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华文仿宋" w:eastAsia="仿宋_GB2312"/>
          <w:b/>
          <w:color w:val="000000"/>
        </w:rPr>
      </w:pPr>
      <w:r>
        <w:rPr>
          <w:rFonts w:hint="eastAsia" w:ascii="仿宋_GB2312" w:eastAsia="仿宋_GB2312"/>
          <w:sz w:val="28"/>
          <w:szCs w:val="28"/>
          <w:lang w:eastAsia="zh-CN"/>
        </w:rPr>
        <w:drawing>
          <wp:anchor distT="0" distB="0" distL="114300" distR="114300" simplePos="0" relativeHeight="251660288" behindDoc="0" locked="0" layoutInCell="1" allowOverlap="1">
            <wp:simplePos x="0" y="0"/>
            <wp:positionH relativeFrom="column">
              <wp:posOffset>4720590</wp:posOffset>
            </wp:positionH>
            <wp:positionV relativeFrom="paragraph">
              <wp:posOffset>67945</wp:posOffset>
            </wp:positionV>
            <wp:extent cx="1190625" cy="1190625"/>
            <wp:effectExtent l="0" t="0" r="9525" b="9525"/>
            <wp:wrapSquare wrapText="bothSides"/>
            <wp:docPr id="1" name="图片 2" descr="C:\Users\Administrator\Desktop\兴义法院\三和新城小区\QQ图片20190117210624.pngQQ图片2019011721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Users\Administrator\Desktop\兴义法院\三和新城小区\QQ图片20190117210624.pngQQ图片20190117210624"/>
                    <pic:cNvPicPr>
                      <a:picLocks noChangeAspect="1"/>
                    </pic:cNvPicPr>
                  </pic:nvPicPr>
                  <pic:blipFill>
                    <a:blip r:embed="rId12"/>
                    <a:srcRect/>
                    <a:stretch>
                      <a:fillRect/>
                    </a:stretch>
                  </pic:blipFill>
                  <pic:spPr>
                    <a:xfrm>
                      <a:off x="0" y="0"/>
                      <a:ext cx="1190625" cy="1190625"/>
                    </a:xfrm>
                    <a:prstGeom prst="rect">
                      <a:avLst/>
                    </a:prstGeom>
                    <a:noFill/>
                    <a:ln w="9525">
                      <a:noFill/>
                    </a:ln>
                  </pic:spPr>
                </pic:pic>
              </a:graphicData>
            </a:graphic>
          </wp:anchor>
        </w:drawing>
      </w:r>
      <w:r>
        <w:rPr>
          <w:rFonts w:hint="eastAsia" w:ascii="仿宋_GB2312" w:hAnsi="华文仿宋" w:eastAsia="仿宋_GB2312"/>
          <w:b/>
          <w:color w:val="000000"/>
          <w:sz w:val="52"/>
          <w:szCs w:val="52"/>
          <w:lang w:val="en-US" w:eastAsia="zh-CN"/>
        </w:rPr>
        <w:t xml:space="preserve">        </w:t>
      </w:r>
      <w:r>
        <w:rPr>
          <w:rFonts w:hint="eastAsia" w:ascii="仿宋_GB2312" w:hAnsi="华文仿宋" w:eastAsia="仿宋_GB2312"/>
          <w:b/>
          <w:color w:val="000000"/>
          <w:sz w:val="52"/>
          <w:szCs w:val="52"/>
        </w:rPr>
        <w:t>房地产估价报告</w:t>
      </w:r>
    </w:p>
    <w:p>
      <w:pPr>
        <w:spacing w:line="360" w:lineRule="auto"/>
        <w:rPr>
          <w:rFonts w:hint="eastAsia" w:ascii="仿宋_GB2312" w:hAnsi="华文仿宋" w:eastAsia="仿宋_GB2312"/>
          <w:b/>
          <w:color w:val="000000"/>
        </w:rPr>
      </w:pPr>
    </w:p>
    <w:p>
      <w:pPr>
        <w:spacing w:line="360" w:lineRule="auto"/>
        <w:rPr>
          <w:rFonts w:hint="eastAsia" w:ascii="仿宋_GB2312" w:hAnsi="华文仿宋" w:eastAsia="仿宋_GB2312"/>
          <w:b/>
          <w:color w:val="000000"/>
        </w:rPr>
      </w:pPr>
    </w:p>
    <w:p>
      <w:pPr>
        <w:tabs>
          <w:tab w:val="left" w:pos="6770"/>
        </w:tabs>
        <w:spacing w:line="360" w:lineRule="auto"/>
        <w:rPr>
          <w:rFonts w:hint="eastAsia" w:ascii="仿宋_GB2312" w:hAnsi="华文仿宋" w:eastAsia="仿宋_GB2312"/>
          <w:b/>
          <w:color w:val="000000"/>
          <w:lang w:eastAsia="zh-CN"/>
        </w:rPr>
      </w:pPr>
      <w:r>
        <w:rPr>
          <w:rFonts w:hint="eastAsia" w:ascii="仿宋_GB2312" w:hAnsi="华文仿宋" w:eastAsia="仿宋_GB2312"/>
          <w:b/>
          <w:color w:val="000000"/>
          <w:lang w:eastAsia="zh-CN"/>
        </w:rPr>
        <w:tab/>
      </w:r>
    </w:p>
    <w:p>
      <w:pPr>
        <w:spacing w:line="360" w:lineRule="auto"/>
        <w:rPr>
          <w:rFonts w:hint="eastAsia" w:ascii="仿宋_GB2312" w:hAnsi="华文仿宋" w:eastAsia="仿宋_GB2312"/>
          <w:b/>
          <w:color w:val="000000"/>
        </w:rPr>
      </w:pPr>
    </w:p>
    <w:p>
      <w:pPr>
        <w:spacing w:line="360" w:lineRule="auto"/>
        <w:rPr>
          <w:rFonts w:hint="eastAsia" w:ascii="仿宋_GB2312" w:hAnsi="华文仿宋" w:eastAsia="仿宋_GB2312"/>
          <w:b/>
          <w:color w:val="000000"/>
        </w:rPr>
      </w:pPr>
    </w:p>
    <w:p>
      <w:pPr>
        <w:spacing w:line="360" w:lineRule="auto"/>
        <w:rPr>
          <w:rFonts w:hint="eastAsia" w:ascii="仿宋_GB2312" w:hAnsi="华文仿宋" w:eastAsia="仿宋_GB2312"/>
          <w:b/>
          <w:color w:val="000000"/>
        </w:rPr>
      </w:pPr>
    </w:p>
    <w:p>
      <w:pPr>
        <w:spacing w:line="360" w:lineRule="auto"/>
        <w:rPr>
          <w:rFonts w:hint="eastAsia" w:ascii="仿宋_GB2312" w:hAnsi="华文仿宋" w:eastAsia="仿宋_GB2312"/>
          <w:b/>
          <w:color w:val="000000"/>
        </w:rPr>
      </w:pPr>
    </w:p>
    <w:p>
      <w:pPr>
        <w:spacing w:line="360" w:lineRule="auto"/>
        <w:rPr>
          <w:rFonts w:hint="eastAsia" w:ascii="仿宋_GB2312" w:hAnsi="华文仿宋" w:eastAsia="仿宋_GB2312"/>
          <w:b/>
          <w:color w:val="000000"/>
        </w:rPr>
      </w:pPr>
    </w:p>
    <w:p>
      <w:pPr>
        <w:spacing w:line="360" w:lineRule="auto"/>
        <w:rPr>
          <w:rFonts w:hint="eastAsia" w:ascii="仿宋_GB2312" w:hAnsi="华文仿宋" w:eastAsia="仿宋_GB2312"/>
          <w:b/>
          <w:color w:val="000000"/>
        </w:rPr>
      </w:pPr>
    </w:p>
    <w:p>
      <w:pPr>
        <w:spacing w:line="360" w:lineRule="auto"/>
        <w:rPr>
          <w:rFonts w:hint="eastAsia" w:ascii="仿宋_GB2312" w:hAnsi="华文仿宋" w:eastAsia="仿宋_GB2312"/>
          <w:b/>
          <w:color w:val="000000"/>
        </w:rPr>
      </w:pPr>
    </w:p>
    <w:p>
      <w:pPr>
        <w:spacing w:line="360" w:lineRule="auto"/>
        <w:rPr>
          <w:rFonts w:hint="eastAsia" w:ascii="仿宋_GB2312" w:hAnsi="华文仿宋" w:eastAsia="仿宋_GB2312"/>
          <w:b/>
          <w:color w:val="000000"/>
        </w:rPr>
      </w:pPr>
    </w:p>
    <w:p>
      <w:pPr>
        <w:spacing w:line="360" w:lineRule="auto"/>
        <w:rPr>
          <w:rFonts w:hint="eastAsia" w:ascii="仿宋_GB2312" w:hAnsi="华文仿宋" w:eastAsia="仿宋_GB2312"/>
          <w:b/>
          <w:color w:val="000000"/>
        </w:rPr>
      </w:pPr>
    </w:p>
    <w:p>
      <w:pPr>
        <w:spacing w:line="360" w:lineRule="auto"/>
        <w:rPr>
          <w:rFonts w:hint="eastAsia" w:ascii="仿宋_GB2312" w:hAnsi="华文仿宋" w:eastAsia="仿宋_GB2312"/>
          <w:b/>
          <w:color w:val="000000"/>
        </w:rPr>
      </w:pPr>
    </w:p>
    <w:p>
      <w:pPr>
        <w:spacing w:line="360" w:lineRule="auto"/>
        <w:rPr>
          <w:rFonts w:hint="eastAsia" w:ascii="仿宋_GB2312" w:hAnsi="华文仿宋" w:eastAsia="仿宋_GB2312"/>
          <w:b/>
          <w:color w:val="000000"/>
        </w:rPr>
      </w:pPr>
    </w:p>
    <w:p>
      <w:pPr>
        <w:widowControl/>
        <w:tabs>
          <w:tab w:val="left" w:pos="2562"/>
        </w:tabs>
        <w:autoSpaceDN w:val="0"/>
        <w:spacing w:line="600" w:lineRule="auto"/>
        <w:ind w:left="2385" w:leftChars="183" w:hanging="2001" w:hangingChars="712"/>
        <w:jc w:val="left"/>
        <w:rPr>
          <w:rFonts w:hint="eastAsia" w:ascii="仿宋_GB2312" w:hAnsi="华文仿宋" w:eastAsia="仿宋_GB2312"/>
          <w:b/>
          <w:color w:val="000000"/>
          <w:kern w:val="0"/>
          <w:sz w:val="28"/>
        </w:rPr>
      </w:pPr>
      <w:r>
        <w:rPr>
          <w:rFonts w:hint="eastAsia" w:ascii="仿宋_GB2312" w:hAnsi="华文仿宋" w:eastAsia="仿宋_GB2312"/>
          <w:b/>
          <w:color w:val="000000"/>
          <w:kern w:val="0"/>
          <w:sz w:val="28"/>
        </w:rPr>
        <w:t>估价项目名称：</w:t>
      </w:r>
      <w:r>
        <w:rPr>
          <w:rFonts w:hint="eastAsia" w:ascii="仿宋_GB2312" w:hAnsi="华文仿宋" w:eastAsia="仿宋_GB2312"/>
          <w:b/>
          <w:color w:val="000000"/>
          <w:kern w:val="0"/>
          <w:sz w:val="28"/>
          <w:lang w:eastAsia="zh-CN"/>
        </w:rPr>
        <w:t>贵州省黔西南布依族苗族自治州兴义市坪东街道办事处青龙路三和新城小区15栋1单元402号</w:t>
      </w:r>
      <w:r>
        <w:rPr>
          <w:rFonts w:hint="eastAsia" w:ascii="仿宋_GB2312" w:hAnsi="宋体" w:eastAsia="仿宋_GB2312"/>
          <w:b/>
          <w:sz w:val="30"/>
          <w:szCs w:val="30"/>
        </w:rPr>
        <w:t>一套</w:t>
      </w:r>
      <w:r>
        <w:rPr>
          <w:rFonts w:hint="eastAsia" w:ascii="仿宋_GB2312" w:eastAsia="仿宋_GB2312"/>
          <w:b/>
          <w:sz w:val="30"/>
          <w:szCs w:val="30"/>
          <w:lang w:eastAsia="zh-CN"/>
        </w:rPr>
        <w:t>住宅房地产市场价值</w:t>
      </w:r>
      <w:r>
        <w:rPr>
          <w:rFonts w:hint="eastAsia" w:ascii="仿宋_GB2312" w:eastAsia="仿宋_GB2312"/>
          <w:b/>
          <w:sz w:val="30"/>
          <w:szCs w:val="30"/>
        </w:rPr>
        <w:t>评估</w:t>
      </w:r>
    </w:p>
    <w:p>
      <w:pPr>
        <w:widowControl/>
        <w:tabs>
          <w:tab w:val="left" w:pos="2205"/>
          <w:tab w:val="left" w:pos="2380"/>
        </w:tabs>
        <w:spacing w:line="600" w:lineRule="auto"/>
        <w:ind w:left="2033" w:leftChars="204" w:hanging="1605" w:hangingChars="571"/>
        <w:jc w:val="left"/>
        <w:rPr>
          <w:rFonts w:hint="eastAsia" w:ascii="仿宋_GB2312" w:hAnsi="华文仿宋" w:eastAsia="仿宋_GB2312"/>
          <w:b/>
          <w:color w:val="000000"/>
          <w:kern w:val="0"/>
          <w:sz w:val="28"/>
        </w:rPr>
      </w:pPr>
      <w:r>
        <w:rPr>
          <w:rFonts w:hint="eastAsia" w:ascii="仿宋_GB2312" w:hAnsi="华文仿宋" w:eastAsia="仿宋_GB2312"/>
          <w:b/>
          <w:color w:val="000000"/>
          <w:kern w:val="0"/>
          <w:sz w:val="28"/>
        </w:rPr>
        <w:t>估价委托人：</w:t>
      </w:r>
      <w:r>
        <w:rPr>
          <w:rFonts w:hint="eastAsia" w:ascii="仿宋_GB2312" w:eastAsia="仿宋_GB2312"/>
          <w:b/>
          <w:sz w:val="30"/>
          <w:szCs w:val="30"/>
          <w:lang w:eastAsia="zh-CN"/>
        </w:rPr>
        <w:t>兴义市人民法院</w:t>
      </w:r>
    </w:p>
    <w:p>
      <w:pPr>
        <w:ind w:firstLine="428" w:firstLineChars="142"/>
        <w:rPr>
          <w:rFonts w:hint="eastAsia"/>
        </w:rPr>
      </w:pPr>
      <w:r>
        <w:rPr>
          <w:rFonts w:hint="eastAsia" w:ascii="仿宋_GB2312" w:eastAsia="仿宋_GB2312"/>
          <w:b/>
          <w:bCs/>
          <w:sz w:val="30"/>
          <w:szCs w:val="30"/>
        </w:rPr>
        <w:t>房地产估价机构</w:t>
      </w:r>
      <w:r>
        <w:rPr>
          <w:rFonts w:hint="eastAsia" w:ascii="仿宋_GB2312" w:hAnsi="华文仿宋" w:eastAsia="仿宋_GB2312"/>
          <w:b/>
          <w:color w:val="000000"/>
          <w:kern w:val="0"/>
          <w:sz w:val="28"/>
        </w:rPr>
        <w:t>：</w:t>
      </w:r>
      <w:r>
        <w:rPr>
          <w:rFonts w:hint="eastAsia" w:ascii="仿宋_GB2312" w:hAnsi="华文仿宋" w:eastAsia="仿宋_GB2312"/>
          <w:b/>
          <w:color w:val="000000"/>
          <w:kern w:val="0"/>
          <w:sz w:val="28"/>
          <w:lang w:eastAsia="zh-CN"/>
        </w:rPr>
        <w:t>山东贵恒信房地产土地评估经纪有限公司</w:t>
      </w:r>
    </w:p>
    <w:p>
      <w:pPr>
        <w:snapToGrid w:val="0"/>
        <w:spacing w:line="600" w:lineRule="exact"/>
        <w:ind w:left="-197" w:leftChars="-94" w:firstLine="602" w:firstLineChars="200"/>
        <w:textAlignment w:val="bottom"/>
        <w:rPr>
          <w:rFonts w:ascii="仿宋_GB2312" w:eastAsia="仿宋_GB2312"/>
          <w:b/>
          <w:bCs/>
          <w:sz w:val="30"/>
          <w:szCs w:val="30"/>
        </w:rPr>
      </w:pPr>
      <w:r>
        <w:rPr>
          <w:rFonts w:hint="eastAsia" w:ascii="仿宋_GB2312" w:eastAsia="仿宋_GB2312"/>
          <w:b/>
          <w:bCs/>
          <w:sz w:val="30"/>
          <w:szCs w:val="30"/>
        </w:rPr>
        <w:t>注册房地产估价师</w:t>
      </w:r>
      <w:r>
        <w:rPr>
          <w:rFonts w:hint="eastAsia" w:ascii="仿宋_GB2312" w:hAnsi="华文仿宋" w:eastAsia="仿宋_GB2312"/>
          <w:b/>
          <w:color w:val="000000"/>
          <w:kern w:val="0"/>
          <w:sz w:val="28"/>
        </w:rPr>
        <w:t>：</w:t>
      </w:r>
      <w:r>
        <w:rPr>
          <w:rFonts w:hint="eastAsia" w:ascii="仿宋_GB2312" w:eastAsia="仿宋_GB2312"/>
          <w:b/>
          <w:bCs/>
          <w:sz w:val="30"/>
          <w:szCs w:val="30"/>
          <w:lang w:eastAsia="zh-CN"/>
        </w:rPr>
        <w:t>张晋华</w:t>
      </w:r>
      <w:r>
        <w:rPr>
          <w:rFonts w:hint="eastAsia" w:ascii="仿宋_GB2312" w:eastAsia="仿宋_GB2312"/>
          <w:b/>
          <w:bCs/>
          <w:sz w:val="30"/>
          <w:szCs w:val="30"/>
        </w:rPr>
        <w:t>（注册号：</w:t>
      </w:r>
      <w:r>
        <w:rPr>
          <w:rFonts w:hint="eastAsia" w:ascii="仿宋_GB2312" w:eastAsia="仿宋_GB2312"/>
          <w:b/>
          <w:bCs/>
          <w:sz w:val="30"/>
          <w:szCs w:val="30"/>
          <w:lang w:eastAsia="zh-CN"/>
        </w:rPr>
        <w:t>3320080014</w:t>
      </w:r>
      <w:r>
        <w:rPr>
          <w:rFonts w:hint="eastAsia" w:ascii="仿宋_GB2312" w:eastAsia="仿宋_GB2312"/>
          <w:b/>
          <w:bCs/>
          <w:sz w:val="30"/>
          <w:szCs w:val="30"/>
        </w:rPr>
        <w:t>）</w:t>
      </w:r>
    </w:p>
    <w:p>
      <w:pPr>
        <w:snapToGrid w:val="0"/>
        <w:spacing w:line="600" w:lineRule="exact"/>
        <w:ind w:firstLine="2951" w:firstLineChars="980"/>
        <w:textAlignment w:val="bottom"/>
        <w:rPr>
          <w:rFonts w:hint="eastAsia" w:ascii="仿宋_GB2312" w:eastAsia="仿宋_GB2312"/>
          <w:b/>
          <w:bCs/>
          <w:sz w:val="30"/>
          <w:szCs w:val="30"/>
        </w:rPr>
      </w:pPr>
      <w:r>
        <w:rPr>
          <w:rFonts w:hint="eastAsia" w:ascii="仿宋_GB2312" w:eastAsia="仿宋_GB2312"/>
          <w:b/>
          <w:bCs/>
          <w:sz w:val="30"/>
          <w:szCs w:val="30"/>
        </w:rPr>
        <w:t xml:space="preserve"> </w:t>
      </w:r>
      <w:r>
        <w:rPr>
          <w:rFonts w:hint="eastAsia" w:ascii="仿宋_GB2312" w:eastAsia="仿宋_GB2312"/>
          <w:b/>
          <w:bCs/>
          <w:sz w:val="30"/>
          <w:szCs w:val="30"/>
          <w:lang w:eastAsia="zh-CN"/>
        </w:rPr>
        <w:t>孟周兵</w:t>
      </w:r>
      <w:r>
        <w:rPr>
          <w:rFonts w:hint="eastAsia" w:ascii="仿宋_GB2312" w:eastAsia="仿宋_GB2312"/>
          <w:b/>
          <w:bCs/>
          <w:sz w:val="30"/>
          <w:szCs w:val="30"/>
        </w:rPr>
        <w:t>（注册号：</w:t>
      </w:r>
      <w:r>
        <w:rPr>
          <w:rFonts w:hint="eastAsia" w:ascii="仿宋_GB2312" w:eastAsia="仿宋_GB2312"/>
          <w:b/>
          <w:bCs/>
          <w:sz w:val="30"/>
          <w:szCs w:val="30"/>
          <w:lang w:eastAsia="zh-CN"/>
        </w:rPr>
        <w:t>5220140034</w:t>
      </w:r>
      <w:r>
        <w:rPr>
          <w:rFonts w:hint="eastAsia" w:ascii="仿宋_GB2312" w:eastAsia="仿宋_GB2312"/>
          <w:b/>
          <w:bCs/>
          <w:sz w:val="30"/>
          <w:szCs w:val="30"/>
        </w:rPr>
        <w:t>）</w:t>
      </w:r>
    </w:p>
    <w:p>
      <w:pPr>
        <w:ind w:firstLine="422" w:firstLineChars="150"/>
        <w:rPr>
          <w:rFonts w:hint="eastAsia" w:ascii="仿宋_GB2312" w:hAnsi="华文仿宋" w:eastAsia="仿宋_GB2312"/>
          <w:b/>
          <w:color w:val="000000"/>
          <w:kern w:val="0"/>
          <w:sz w:val="28"/>
        </w:rPr>
      </w:pPr>
      <w:r>
        <w:rPr>
          <w:rFonts w:hint="eastAsia" w:ascii="仿宋_GB2312" w:hAnsi="华文仿宋" w:eastAsia="仿宋_GB2312"/>
          <w:b/>
          <w:color w:val="000000"/>
          <w:kern w:val="0"/>
          <w:sz w:val="28"/>
        </w:rPr>
        <w:t>估价作业日期：</w:t>
      </w:r>
      <w:r>
        <w:rPr>
          <w:rFonts w:hint="eastAsia" w:ascii="仿宋_GB2312" w:hAnsi="华文仿宋" w:eastAsia="仿宋_GB2312"/>
          <w:b/>
          <w:color w:val="000000"/>
          <w:kern w:val="0"/>
          <w:sz w:val="28"/>
          <w:lang w:eastAsia="zh-CN"/>
        </w:rPr>
        <w:t>201</w:t>
      </w:r>
      <w:r>
        <w:rPr>
          <w:rFonts w:hint="eastAsia" w:ascii="仿宋_GB2312" w:hAnsi="华文仿宋" w:eastAsia="仿宋_GB2312"/>
          <w:b/>
          <w:color w:val="000000"/>
          <w:kern w:val="0"/>
          <w:sz w:val="28"/>
          <w:lang w:val="en-US" w:eastAsia="zh-CN"/>
        </w:rPr>
        <w:t>9</w:t>
      </w:r>
      <w:r>
        <w:rPr>
          <w:rFonts w:hint="eastAsia" w:ascii="仿宋_GB2312" w:hAnsi="华文仿宋" w:eastAsia="仿宋_GB2312"/>
          <w:b/>
          <w:color w:val="000000"/>
          <w:kern w:val="0"/>
          <w:sz w:val="28"/>
          <w:lang w:eastAsia="zh-CN"/>
        </w:rPr>
        <w:t>年</w:t>
      </w:r>
      <w:r>
        <w:rPr>
          <w:rFonts w:hint="eastAsia" w:ascii="仿宋_GB2312" w:hAnsi="华文仿宋" w:eastAsia="仿宋_GB2312"/>
          <w:b/>
          <w:color w:val="000000"/>
          <w:kern w:val="0"/>
          <w:sz w:val="28"/>
          <w:lang w:val="en-US" w:eastAsia="zh-CN"/>
        </w:rPr>
        <w:t>1</w:t>
      </w:r>
      <w:r>
        <w:rPr>
          <w:rFonts w:hint="eastAsia" w:ascii="仿宋_GB2312" w:hAnsi="华文仿宋" w:eastAsia="仿宋_GB2312"/>
          <w:b/>
          <w:color w:val="000000"/>
          <w:kern w:val="0"/>
          <w:sz w:val="28"/>
          <w:lang w:eastAsia="zh-CN"/>
        </w:rPr>
        <w:t>月</w:t>
      </w:r>
      <w:r>
        <w:rPr>
          <w:rFonts w:hint="eastAsia" w:ascii="仿宋_GB2312" w:hAnsi="华文仿宋" w:eastAsia="仿宋_GB2312"/>
          <w:b/>
          <w:color w:val="000000"/>
          <w:kern w:val="0"/>
          <w:sz w:val="28"/>
          <w:lang w:val="en-US" w:eastAsia="zh-CN"/>
        </w:rPr>
        <w:t>7</w:t>
      </w:r>
      <w:r>
        <w:rPr>
          <w:rFonts w:hint="eastAsia" w:ascii="仿宋_GB2312" w:hAnsi="华文仿宋" w:eastAsia="仿宋_GB2312"/>
          <w:b/>
          <w:color w:val="000000"/>
          <w:kern w:val="0"/>
          <w:sz w:val="28"/>
          <w:lang w:eastAsia="zh-CN"/>
        </w:rPr>
        <w:t>日</w:t>
      </w:r>
      <w:r>
        <w:rPr>
          <w:rFonts w:hint="eastAsia" w:ascii="仿宋_GB2312" w:hAnsi="华文仿宋" w:eastAsia="仿宋_GB2312"/>
          <w:b/>
          <w:color w:val="000000"/>
          <w:kern w:val="0"/>
          <w:sz w:val="28"/>
        </w:rPr>
        <w:t>至</w:t>
      </w:r>
      <w:r>
        <w:rPr>
          <w:rFonts w:hint="eastAsia" w:ascii="仿宋_GB2312" w:hAnsi="华文仿宋" w:eastAsia="仿宋_GB2312"/>
          <w:b/>
          <w:color w:val="000000"/>
          <w:kern w:val="0"/>
          <w:sz w:val="28"/>
          <w:lang w:eastAsia="zh-CN"/>
        </w:rPr>
        <w:t>201</w:t>
      </w:r>
      <w:r>
        <w:rPr>
          <w:rFonts w:hint="eastAsia" w:ascii="仿宋_GB2312" w:hAnsi="华文仿宋" w:eastAsia="仿宋_GB2312"/>
          <w:b/>
          <w:color w:val="000000"/>
          <w:kern w:val="0"/>
          <w:sz w:val="28"/>
          <w:lang w:val="en-US" w:eastAsia="zh-CN"/>
        </w:rPr>
        <w:t>9</w:t>
      </w:r>
      <w:r>
        <w:rPr>
          <w:rFonts w:hint="eastAsia" w:ascii="仿宋_GB2312" w:hAnsi="华文仿宋" w:eastAsia="仿宋_GB2312"/>
          <w:b/>
          <w:color w:val="000000"/>
          <w:kern w:val="0"/>
          <w:sz w:val="28"/>
          <w:lang w:eastAsia="zh-CN"/>
        </w:rPr>
        <w:t>年</w:t>
      </w:r>
      <w:r>
        <w:rPr>
          <w:rFonts w:hint="eastAsia" w:ascii="仿宋_GB2312" w:hAnsi="华文仿宋" w:eastAsia="仿宋_GB2312"/>
          <w:b/>
          <w:color w:val="000000"/>
          <w:kern w:val="0"/>
          <w:sz w:val="28"/>
          <w:lang w:val="en-US" w:eastAsia="zh-CN"/>
        </w:rPr>
        <w:t>1</w:t>
      </w:r>
      <w:r>
        <w:rPr>
          <w:rFonts w:hint="eastAsia" w:ascii="仿宋_GB2312" w:hAnsi="华文仿宋" w:eastAsia="仿宋_GB2312"/>
          <w:b/>
          <w:color w:val="000000"/>
          <w:kern w:val="0"/>
          <w:sz w:val="28"/>
          <w:lang w:eastAsia="zh-CN"/>
        </w:rPr>
        <w:t>月</w:t>
      </w:r>
      <w:r>
        <w:rPr>
          <w:rFonts w:hint="eastAsia" w:ascii="仿宋_GB2312" w:hAnsi="华文仿宋" w:eastAsia="仿宋_GB2312"/>
          <w:b/>
          <w:color w:val="000000"/>
          <w:kern w:val="0"/>
          <w:sz w:val="28"/>
          <w:lang w:val="en-US" w:eastAsia="zh-CN"/>
        </w:rPr>
        <w:t>17</w:t>
      </w:r>
      <w:r>
        <w:rPr>
          <w:rFonts w:hint="eastAsia" w:ascii="仿宋_GB2312" w:hAnsi="华文仿宋" w:eastAsia="仿宋_GB2312"/>
          <w:b/>
          <w:color w:val="000000"/>
          <w:kern w:val="0"/>
          <w:sz w:val="28"/>
          <w:lang w:eastAsia="zh-CN"/>
        </w:rPr>
        <w:t>日</w:t>
      </w:r>
    </w:p>
    <w:p>
      <w:pPr>
        <w:widowControl/>
        <w:tabs>
          <w:tab w:val="left" w:pos="1800"/>
        </w:tabs>
        <w:spacing w:line="600" w:lineRule="auto"/>
        <w:ind w:left="1941" w:leftChars="200" w:hanging="1521" w:hangingChars="541"/>
        <w:jc w:val="left"/>
        <w:rPr>
          <w:rFonts w:hint="eastAsia" w:ascii="仿宋_GB2312" w:hAnsi="华文仿宋" w:eastAsia="仿宋_GB2312"/>
          <w:b/>
          <w:color w:val="000000"/>
          <w:kern w:val="0"/>
          <w:sz w:val="28"/>
          <w:lang w:eastAsia="zh-CN"/>
        </w:rPr>
      </w:pPr>
      <w:r>
        <w:rPr>
          <w:rFonts w:hint="eastAsia" w:ascii="仿宋_GB2312" w:hAnsi="华文仿宋" w:eastAsia="仿宋_GB2312"/>
          <w:b/>
          <w:color w:val="000000"/>
          <w:kern w:val="0"/>
          <w:sz w:val="28"/>
        </w:rPr>
        <w:t>估价报告编号：</w:t>
      </w:r>
      <w:r>
        <w:rPr>
          <w:rFonts w:hint="eastAsia" w:ascii="仿宋_GB2312" w:hAnsi="华文仿宋" w:eastAsia="仿宋_GB2312"/>
          <w:b/>
          <w:bCs/>
          <w:color w:val="000000"/>
          <w:kern w:val="0"/>
          <w:sz w:val="28"/>
        </w:rPr>
        <w:t>贵</w:t>
      </w:r>
      <w:r>
        <w:rPr>
          <w:rFonts w:hint="eastAsia" w:ascii="仿宋_GB2312" w:hAnsi="华文仿宋" w:eastAsia="仿宋_GB2312"/>
          <w:b/>
          <w:color w:val="000000"/>
          <w:kern w:val="0"/>
          <w:sz w:val="28"/>
          <w:lang w:eastAsia="zh-CN"/>
        </w:rPr>
        <w:t>恒信房估字【201</w:t>
      </w:r>
      <w:r>
        <w:rPr>
          <w:rFonts w:hint="eastAsia" w:ascii="仿宋_GB2312" w:hAnsi="华文仿宋" w:eastAsia="仿宋_GB2312"/>
          <w:b/>
          <w:color w:val="000000"/>
          <w:kern w:val="0"/>
          <w:sz w:val="28"/>
          <w:lang w:val="en-US" w:eastAsia="zh-CN"/>
        </w:rPr>
        <w:t>9</w:t>
      </w:r>
      <w:r>
        <w:rPr>
          <w:rFonts w:hint="eastAsia" w:ascii="仿宋_GB2312" w:hAnsi="华文仿宋" w:eastAsia="仿宋_GB2312"/>
          <w:b/>
          <w:color w:val="000000"/>
          <w:kern w:val="0"/>
          <w:sz w:val="28"/>
          <w:lang w:eastAsia="zh-CN"/>
        </w:rPr>
        <w:t>】</w:t>
      </w:r>
      <w:r>
        <w:rPr>
          <w:rFonts w:hint="eastAsia" w:ascii="仿宋_GB2312" w:hAnsi="华文仿宋" w:eastAsia="仿宋_GB2312"/>
          <w:b/>
          <w:color w:val="auto"/>
          <w:kern w:val="0"/>
          <w:sz w:val="28"/>
          <w:highlight w:val="none"/>
          <w:lang w:eastAsia="zh-CN"/>
        </w:rPr>
        <w:t>第0141号</w:t>
      </w:r>
    </w:p>
    <w:p>
      <w:pPr>
        <w:pStyle w:val="16"/>
        <w:keepNext w:val="0"/>
        <w:keepLines w:val="0"/>
        <w:pageBreakBefore w:val="0"/>
        <w:widowControl w:val="0"/>
        <w:kinsoku/>
        <w:wordWrap/>
        <w:overflowPunct/>
        <w:topLinePunct w:val="0"/>
        <w:autoSpaceDE w:val="0"/>
        <w:autoSpaceDN/>
        <w:bidi w:val="0"/>
        <w:adjustRightInd w:val="0"/>
        <w:snapToGrid w:val="0"/>
        <w:spacing w:before="100" w:beforeAutospacing="1" w:after="100" w:afterAutospacing="1" w:line="800" w:lineRule="exact"/>
        <w:ind w:left="0" w:leftChars="0" w:right="0" w:rightChars="0" w:firstLine="0" w:firstLineChars="0"/>
        <w:jc w:val="center"/>
        <w:textAlignment w:val="auto"/>
        <w:outlineLvl w:val="9"/>
        <w:rPr>
          <w:rFonts w:hint="eastAsia" w:ascii="仿宋_GB2312" w:eastAsia="仿宋_GB2312"/>
          <w:b/>
          <w:bCs/>
          <w:sz w:val="44"/>
          <w:szCs w:val="44"/>
        </w:rPr>
        <w:sectPr>
          <w:headerReference r:id="rId4" w:type="first"/>
          <w:footerReference r:id="rId6" w:type="first"/>
          <w:headerReference r:id="rId3" w:type="default"/>
          <w:footerReference r:id="rId5" w:type="default"/>
          <w:pgSz w:w="11906" w:h="16838"/>
          <w:pgMar w:top="1532" w:right="1274" w:bottom="993" w:left="1276" w:header="993" w:footer="857" w:gutter="0"/>
          <w:pgBorders>
            <w:top w:val="none" w:sz="0" w:space="0"/>
            <w:left w:val="none" w:sz="0" w:space="0"/>
            <w:bottom w:val="none" w:sz="0" w:space="0"/>
            <w:right w:val="none" w:sz="0" w:space="0"/>
          </w:pgBorders>
          <w:pgNumType w:fmt="decimal" w:start="1"/>
          <w:cols w:space="720" w:num="1"/>
          <w:titlePg/>
          <w:docGrid w:type="lines" w:linePitch="312" w:charSpace="0"/>
        </w:sectPr>
      </w:pPr>
    </w:p>
    <w:p>
      <w:pPr>
        <w:pStyle w:val="16"/>
        <w:keepNext w:val="0"/>
        <w:keepLines w:val="0"/>
        <w:pageBreakBefore w:val="0"/>
        <w:widowControl w:val="0"/>
        <w:kinsoku/>
        <w:wordWrap/>
        <w:overflowPunct/>
        <w:topLinePunct w:val="0"/>
        <w:autoSpaceDE w:val="0"/>
        <w:autoSpaceDN/>
        <w:bidi w:val="0"/>
        <w:adjustRightInd w:val="0"/>
        <w:snapToGrid w:val="0"/>
        <w:spacing w:before="100" w:beforeAutospacing="1" w:after="100" w:afterAutospacing="1" w:line="800" w:lineRule="exact"/>
        <w:ind w:left="0" w:leftChars="0" w:right="0" w:rightChars="0" w:firstLine="0" w:firstLineChars="0"/>
        <w:jc w:val="center"/>
        <w:textAlignment w:val="auto"/>
        <w:outlineLvl w:val="9"/>
        <w:rPr>
          <w:rFonts w:ascii="仿宋_GB2312" w:eastAsia="仿宋_GB2312"/>
          <w:b/>
          <w:bCs/>
          <w:sz w:val="44"/>
          <w:szCs w:val="44"/>
        </w:rPr>
      </w:pPr>
      <w:r>
        <w:rPr>
          <w:rFonts w:hint="eastAsia" w:ascii="仿宋_GB2312" w:eastAsia="仿宋_GB2312"/>
          <w:b/>
          <w:bCs/>
          <w:sz w:val="44"/>
          <w:szCs w:val="44"/>
        </w:rPr>
        <w:t>致估价委托人函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华文仿宋" w:eastAsia="仿宋_GB2312"/>
          <w:b/>
          <w:color w:val="000000"/>
          <w:kern w:val="0"/>
          <w:sz w:val="28"/>
        </w:rPr>
      </w:pPr>
      <w:r>
        <w:rPr>
          <w:rFonts w:hint="eastAsia" w:ascii="仿宋_GB2312" w:eastAsia="仿宋_GB2312"/>
          <w:b/>
          <w:sz w:val="30"/>
          <w:szCs w:val="30"/>
          <w:lang w:eastAsia="zh-CN"/>
        </w:rPr>
        <w:t>兴义市人民法院</w:t>
      </w:r>
      <w:r>
        <w:rPr>
          <w:rFonts w:hint="eastAsia" w:ascii="仿宋_GB2312" w:hAnsi="华文仿宋" w:eastAsia="仿宋_GB2312"/>
          <w:b/>
          <w:color w:val="000000"/>
          <w:kern w:val="0"/>
          <w:sz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63" w:firstLineChars="237"/>
        <w:jc w:val="both"/>
        <w:textAlignment w:val="auto"/>
        <w:outlineLvl w:val="9"/>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承蒙委托，我公司对</w:t>
      </w:r>
      <w:r>
        <w:rPr>
          <w:rFonts w:hint="eastAsia" w:ascii="仿宋_GB2312" w:hAnsi="华文仿宋" w:eastAsia="仿宋_GB2312"/>
          <w:color w:val="000000"/>
          <w:sz w:val="28"/>
          <w:szCs w:val="28"/>
          <w:lang w:eastAsia="zh-CN"/>
        </w:rPr>
        <w:t>朱小友、孙礼艳所拥有</w:t>
      </w:r>
      <w:r>
        <w:rPr>
          <w:rFonts w:hint="eastAsia" w:ascii="仿宋_GB2312" w:hAnsi="华文仿宋" w:eastAsia="仿宋_GB2312"/>
          <w:color w:val="000000"/>
          <w:sz w:val="28"/>
          <w:szCs w:val="28"/>
        </w:rPr>
        <w:t>的位于</w:t>
      </w:r>
      <w:r>
        <w:rPr>
          <w:rFonts w:hint="eastAsia" w:ascii="仿宋_GB2312" w:hAnsi="华文仿宋" w:eastAsia="仿宋_GB2312"/>
          <w:color w:val="000000"/>
          <w:sz w:val="28"/>
          <w:szCs w:val="28"/>
          <w:lang w:eastAsia="zh-CN"/>
        </w:rPr>
        <w:t>贵州省黔西南布依族苗族自治州兴义市坪东街道办事处青龙路三和新城小区15栋1单元402号</w:t>
      </w:r>
      <w:r>
        <w:rPr>
          <w:rFonts w:hint="eastAsia" w:ascii="仿宋_GB2312" w:hAnsi="华文仿宋" w:eastAsia="仿宋_GB2312"/>
          <w:color w:val="000000"/>
          <w:sz w:val="28"/>
          <w:szCs w:val="28"/>
        </w:rPr>
        <w:t>一套住宅房地产进行了</w:t>
      </w:r>
      <w:r>
        <w:rPr>
          <w:rFonts w:hint="eastAsia" w:ascii="仿宋_GB2312" w:hAnsi="华文仿宋" w:eastAsia="仿宋_GB2312"/>
          <w:color w:val="000000"/>
          <w:sz w:val="28"/>
          <w:szCs w:val="28"/>
          <w:lang w:eastAsia="zh-CN"/>
        </w:rPr>
        <w:t>市场</w:t>
      </w:r>
      <w:r>
        <w:rPr>
          <w:rFonts w:hint="eastAsia" w:ascii="仿宋_GB2312" w:hAnsi="华文仿宋" w:eastAsia="仿宋_GB2312"/>
          <w:color w:val="000000"/>
          <w:sz w:val="28"/>
          <w:szCs w:val="28"/>
        </w:rPr>
        <w:t>价值评估。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63" w:firstLineChars="237"/>
        <w:jc w:val="both"/>
        <w:textAlignment w:val="auto"/>
        <w:outlineLvl w:val="9"/>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估价对象：</w:t>
      </w:r>
      <w:r>
        <w:rPr>
          <w:rFonts w:hint="eastAsia" w:ascii="仿宋_GB2312" w:hAnsi="华文仿宋" w:eastAsia="仿宋_GB2312"/>
          <w:color w:val="000000"/>
          <w:sz w:val="28"/>
          <w:szCs w:val="28"/>
          <w:lang w:eastAsia="zh-CN"/>
        </w:rPr>
        <w:t>朱小友、孙礼艳所拥有</w:t>
      </w:r>
      <w:r>
        <w:rPr>
          <w:rFonts w:hint="eastAsia" w:ascii="仿宋_GB2312" w:hAnsi="华文仿宋" w:eastAsia="仿宋_GB2312"/>
          <w:color w:val="000000"/>
          <w:sz w:val="28"/>
          <w:szCs w:val="28"/>
        </w:rPr>
        <w:t>的位于</w:t>
      </w:r>
      <w:r>
        <w:rPr>
          <w:rFonts w:hint="eastAsia" w:ascii="仿宋_GB2312" w:hAnsi="华文仿宋" w:eastAsia="仿宋_GB2312"/>
          <w:color w:val="000000"/>
          <w:sz w:val="28"/>
          <w:szCs w:val="28"/>
          <w:lang w:eastAsia="zh-CN"/>
        </w:rPr>
        <w:t>贵州省黔西南布依族苗族自治州兴义市坪东街道办事处青龙路三和新城小区15栋1单元402号</w:t>
      </w:r>
      <w:r>
        <w:rPr>
          <w:rFonts w:hint="eastAsia" w:ascii="仿宋_GB2312" w:hAnsi="华文仿宋" w:eastAsia="仿宋_GB2312"/>
          <w:color w:val="000000"/>
          <w:sz w:val="28"/>
          <w:szCs w:val="28"/>
        </w:rPr>
        <w:t>一套住宅房地产，房屋建筑面积为</w:t>
      </w:r>
      <w:r>
        <w:rPr>
          <w:rFonts w:hint="eastAsia" w:ascii="仿宋_GB2312" w:hAnsi="华文仿宋" w:eastAsia="仿宋_GB2312"/>
          <w:color w:val="000000"/>
          <w:sz w:val="28"/>
          <w:szCs w:val="28"/>
          <w:lang w:val="en-US" w:eastAsia="zh-CN"/>
        </w:rPr>
        <w:t>108.23</w:t>
      </w:r>
      <w:r>
        <w:rPr>
          <w:rFonts w:hint="eastAsia" w:ascii="仿宋_GB2312" w:hAnsi="华文仿宋" w:eastAsia="仿宋_GB2312"/>
          <w:color w:val="000000"/>
          <w:sz w:val="28"/>
          <w:szCs w:val="28"/>
        </w:rPr>
        <w:t>㎡，估价对象范围包含房屋所有权及其对应分摊的国有建设用地使用权价值、室内装饰装修价值，但不包含室内动产价值。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63" w:firstLineChars="237"/>
        <w:jc w:val="both"/>
        <w:textAlignment w:val="auto"/>
        <w:outlineLvl w:val="9"/>
        <w:rPr>
          <w:rFonts w:hint="eastAsia" w:ascii="仿宋_GB2312" w:hAnsi="华文仿宋" w:eastAsia="仿宋_GB2312"/>
          <w:color w:val="000000"/>
          <w:sz w:val="28"/>
          <w:szCs w:val="28"/>
          <w:lang w:eastAsia="zh-CN"/>
        </w:rPr>
      </w:pPr>
      <w:r>
        <w:rPr>
          <w:rFonts w:hint="eastAsia" w:ascii="仿宋_GB2312" w:hAnsi="华文仿宋" w:eastAsia="仿宋_GB2312"/>
          <w:color w:val="000000"/>
          <w:sz w:val="28"/>
          <w:szCs w:val="28"/>
          <w:lang w:eastAsia="zh-CN"/>
        </w:rPr>
        <w:t>价值时点：2019年1月</w:t>
      </w:r>
      <w:r>
        <w:rPr>
          <w:rFonts w:hint="eastAsia" w:ascii="仿宋_GB2312" w:hAnsi="华文仿宋" w:eastAsia="仿宋_GB2312"/>
          <w:color w:val="000000"/>
          <w:sz w:val="28"/>
          <w:szCs w:val="28"/>
          <w:lang w:val="en-US" w:eastAsia="zh-CN"/>
        </w:rPr>
        <w:t>7</w:t>
      </w:r>
      <w:r>
        <w:rPr>
          <w:rFonts w:hint="eastAsia" w:ascii="仿宋_GB2312" w:hAnsi="华文仿宋" w:eastAsia="仿宋_GB2312"/>
          <w:color w:val="000000"/>
          <w:sz w:val="28"/>
          <w:szCs w:val="28"/>
          <w:lang w:eastAsia="zh-CN"/>
        </w:rPr>
        <w:t>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63" w:firstLineChars="237"/>
        <w:jc w:val="both"/>
        <w:textAlignment w:val="auto"/>
        <w:outlineLvl w:val="9"/>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价值类型：</w:t>
      </w:r>
      <w:r>
        <w:rPr>
          <w:rFonts w:hint="eastAsia" w:ascii="仿宋_GB2312" w:hAnsi="华文仿宋" w:eastAsia="仿宋_GB2312"/>
          <w:color w:val="000000"/>
          <w:sz w:val="28"/>
          <w:szCs w:val="28"/>
          <w:lang w:eastAsia="zh-CN"/>
        </w:rPr>
        <w:t>市场</w:t>
      </w:r>
      <w:r>
        <w:rPr>
          <w:rFonts w:hint="eastAsia" w:ascii="仿宋_GB2312" w:hAnsi="华文仿宋" w:eastAsia="仿宋_GB2312"/>
          <w:color w:val="000000"/>
          <w:sz w:val="28"/>
          <w:szCs w:val="28"/>
        </w:rPr>
        <w:t>价值。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63" w:firstLineChars="237"/>
        <w:jc w:val="both"/>
        <w:textAlignment w:val="auto"/>
        <w:outlineLvl w:val="9"/>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估价目的：</w:t>
      </w:r>
      <w:r>
        <w:rPr>
          <w:rFonts w:hint="eastAsia" w:ascii="仿宋_GB2312" w:eastAsia="仿宋_GB2312"/>
          <w:sz w:val="28"/>
          <w:szCs w:val="28"/>
        </w:rPr>
        <w:t>为委托方案件执行提供价值参考依据而评估房地产市场价值</w:t>
      </w:r>
      <w:r>
        <w:rPr>
          <w:rFonts w:hint="eastAsia" w:ascii="仿宋_GB2312" w:hAnsi="华文仿宋" w:eastAsia="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63" w:firstLineChars="237"/>
        <w:jc w:val="both"/>
        <w:textAlignment w:val="auto"/>
        <w:outlineLvl w:val="9"/>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估价方法：比较法。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63" w:firstLineChars="237"/>
        <w:jc w:val="both"/>
        <w:textAlignment w:val="auto"/>
        <w:outlineLvl w:val="9"/>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估价结果：</w:t>
      </w:r>
      <w:r>
        <w:rPr>
          <w:rFonts w:hint="eastAsia" w:ascii="仿宋_GB2312" w:hAnsi="华文仿宋" w:eastAsia="仿宋_GB2312"/>
          <w:color w:val="000000"/>
          <w:sz w:val="28"/>
          <w:szCs w:val="28"/>
          <w:lang w:eastAsia="zh-CN"/>
        </w:rPr>
        <w:t>我</w:t>
      </w:r>
      <w:r>
        <w:rPr>
          <w:rFonts w:hint="eastAsia" w:ascii="仿宋_GB2312" w:hAnsi="华文仿宋" w:eastAsia="仿宋_GB2312"/>
          <w:color w:val="000000"/>
          <w:sz w:val="28"/>
          <w:szCs w:val="28"/>
        </w:rPr>
        <w:t>公司根据估价目的，遵循估价原则，在认真分析现有资料、市场调查的基础上，依据《房地产估价规范》、《房地产估价基本术语标准》等相关法律法规及估价委托人提供的产权资料和我们实地查勘的情况，结合估价经验与对影响房地产市场价格的因素进行分析，经过测算，在满足本次估价的假设和限制条件下，最终确定估价对象在价值时点</w:t>
      </w:r>
      <w:r>
        <w:rPr>
          <w:rFonts w:hint="eastAsia" w:ascii="仿宋_GB2312" w:hAnsi="华文仿宋" w:eastAsia="仿宋_GB2312"/>
          <w:color w:val="000000"/>
          <w:sz w:val="28"/>
          <w:szCs w:val="28"/>
          <w:lang w:eastAsia="zh-CN"/>
        </w:rPr>
        <w:t>2019年1月</w:t>
      </w:r>
      <w:r>
        <w:rPr>
          <w:rFonts w:hint="eastAsia" w:ascii="仿宋_GB2312" w:hAnsi="华文仿宋" w:eastAsia="仿宋_GB2312"/>
          <w:color w:val="000000"/>
          <w:sz w:val="28"/>
          <w:szCs w:val="28"/>
          <w:lang w:val="en-US" w:eastAsia="zh-CN"/>
        </w:rPr>
        <w:t>7</w:t>
      </w:r>
      <w:r>
        <w:rPr>
          <w:rFonts w:hint="eastAsia" w:ascii="仿宋_GB2312" w:hAnsi="华文仿宋" w:eastAsia="仿宋_GB2312"/>
          <w:color w:val="000000"/>
          <w:sz w:val="28"/>
          <w:szCs w:val="28"/>
          <w:lang w:eastAsia="zh-CN"/>
        </w:rPr>
        <w:t>日</w:t>
      </w:r>
      <w:r>
        <w:rPr>
          <w:rFonts w:hint="eastAsia" w:ascii="仿宋_GB2312" w:hAnsi="华文仿宋" w:eastAsia="仿宋_GB2312"/>
          <w:color w:val="000000"/>
          <w:sz w:val="28"/>
          <w:szCs w:val="28"/>
        </w:rPr>
        <w:t>的估价结果为</w:t>
      </w:r>
      <w:r>
        <w:rPr>
          <w:rFonts w:hint="eastAsia" w:ascii="仿宋_GB2312" w:hAnsi="华文仿宋" w:eastAsia="仿宋_GB2312"/>
          <w:color w:val="000000"/>
          <w:kern w:val="0"/>
          <w:sz w:val="28"/>
          <w:lang w:val="en-US" w:eastAsia="zh-CN"/>
        </w:rPr>
        <w:t>41.16</w:t>
      </w:r>
      <w:r>
        <w:rPr>
          <w:rFonts w:hint="eastAsia" w:ascii="仿宋_GB2312" w:hAnsi="华文仿宋" w:eastAsia="仿宋_GB2312"/>
          <w:color w:val="000000"/>
          <w:kern w:val="0"/>
          <w:sz w:val="28"/>
        </w:rPr>
        <w:t>万元（</w:t>
      </w:r>
      <w:r>
        <w:rPr>
          <w:rFonts w:hint="eastAsia" w:ascii="仿宋_GB2312" w:hAnsi="华文仿宋" w:eastAsia="仿宋_GB2312"/>
          <w:color w:val="000000"/>
          <w:sz w:val="28"/>
          <w:szCs w:val="28"/>
        </w:rPr>
        <w:t>人民币</w:t>
      </w:r>
      <w:r>
        <w:rPr>
          <w:rFonts w:hint="eastAsia" w:ascii="仿宋_GB2312" w:hAnsi="华文仿宋" w:eastAsia="仿宋_GB2312"/>
          <w:color w:val="000000"/>
          <w:kern w:val="0"/>
          <w:sz w:val="28"/>
        </w:rPr>
        <w:t>大写：</w:t>
      </w:r>
      <w:r>
        <w:rPr>
          <w:rFonts w:hint="eastAsia" w:ascii="仿宋_GB2312" w:hAnsi="华文仿宋" w:eastAsia="仿宋_GB2312"/>
          <w:b/>
          <w:bCs/>
          <w:color w:val="000000"/>
          <w:sz w:val="28"/>
          <w:szCs w:val="28"/>
        </w:rPr>
        <w:fldChar w:fldCharType="begin"/>
      </w:r>
      <w:r>
        <w:rPr>
          <w:rFonts w:hint="eastAsia" w:ascii="仿宋_GB2312" w:hAnsi="华文仿宋" w:eastAsia="仿宋_GB2312"/>
          <w:b/>
          <w:bCs/>
          <w:color w:val="000000"/>
          <w:sz w:val="28"/>
          <w:szCs w:val="28"/>
        </w:rPr>
        <w:instrText xml:space="preserve"> = </w:instrText>
      </w:r>
      <w:r>
        <w:rPr>
          <w:rFonts w:hint="eastAsia" w:ascii="仿宋_GB2312" w:eastAsia="仿宋_GB2312"/>
          <w:b/>
          <w:bCs/>
          <w:color w:val="000000"/>
          <w:sz w:val="28"/>
          <w:szCs w:val="28"/>
          <w:lang w:val="en-US" w:eastAsia="zh-CN"/>
        </w:rPr>
        <w:instrText xml:space="preserve">41.16</w:instrText>
      </w:r>
      <w:r>
        <w:rPr>
          <w:rFonts w:hint="eastAsia" w:ascii="仿宋_GB2312" w:hAnsi="华文仿宋" w:eastAsia="仿宋_GB2312"/>
          <w:b/>
          <w:bCs/>
          <w:color w:val="000000"/>
          <w:sz w:val="28"/>
          <w:szCs w:val="28"/>
        </w:rPr>
        <w:instrText xml:space="preserve">*10000 \* CHINESENUM2 \* MERGEFORMAT </w:instrText>
      </w:r>
      <w:r>
        <w:rPr>
          <w:rFonts w:hint="eastAsia" w:ascii="仿宋_GB2312" w:hAnsi="华文仿宋" w:eastAsia="仿宋_GB2312"/>
          <w:b/>
          <w:bCs/>
          <w:color w:val="000000"/>
          <w:sz w:val="28"/>
          <w:szCs w:val="28"/>
        </w:rPr>
        <w:fldChar w:fldCharType="separate"/>
      </w:r>
      <w:r>
        <w:rPr>
          <w:rFonts w:hint="eastAsia" w:ascii="仿宋_GB2312" w:hAnsi="华文仿宋" w:eastAsia="仿宋_GB2312"/>
          <w:b/>
          <w:bCs/>
          <w:color w:val="000000"/>
          <w:sz w:val="28"/>
          <w:szCs w:val="28"/>
        </w:rPr>
        <w:t>肆拾壹万壹仟陆佰</w:t>
      </w:r>
      <w:r>
        <w:rPr>
          <w:rFonts w:hint="eastAsia" w:ascii="仿宋_GB2312" w:hAnsi="华文仿宋" w:eastAsia="仿宋_GB2312"/>
          <w:b/>
          <w:bCs/>
          <w:color w:val="000000"/>
          <w:sz w:val="28"/>
          <w:szCs w:val="28"/>
        </w:rPr>
        <w:fldChar w:fldCharType="end"/>
      </w:r>
      <w:r>
        <w:rPr>
          <w:rFonts w:hint="eastAsia" w:ascii="仿宋_GB2312" w:hAnsi="华文仿宋" w:eastAsia="仿宋_GB2312"/>
          <w:b/>
          <w:bCs/>
          <w:color w:val="000000"/>
          <w:sz w:val="28"/>
          <w:szCs w:val="28"/>
        </w:rPr>
        <w:t>元整</w:t>
      </w:r>
      <w:r>
        <w:rPr>
          <w:rFonts w:hint="eastAsia" w:ascii="仿宋_GB2312" w:hAnsi="华文仿宋" w:eastAsia="仿宋_GB2312"/>
          <w:b/>
          <w:bCs/>
          <w:color w:val="000000"/>
          <w:kern w:val="0"/>
          <w:sz w:val="28"/>
        </w:rPr>
        <w:t>）</w:t>
      </w:r>
      <w:r>
        <w:rPr>
          <w:rFonts w:hint="eastAsia" w:ascii="仿宋_GB2312" w:hAnsi="华文仿宋" w:eastAsia="仿宋_GB2312"/>
          <w:color w:val="000000"/>
          <w:kern w:val="0"/>
          <w:sz w:val="28"/>
        </w:rPr>
        <w:t>，具体</w:t>
      </w:r>
      <w:r>
        <w:rPr>
          <w:rFonts w:hint="eastAsia" w:ascii="仿宋_GB2312" w:hAnsi="华文仿宋" w:eastAsia="仿宋_GB2312"/>
          <w:color w:val="000000"/>
          <w:sz w:val="28"/>
          <w:szCs w:val="28"/>
        </w:rPr>
        <w:t>评估结果详见下表：</w:t>
      </w:r>
    </w:p>
    <w:tbl>
      <w:tblPr>
        <w:tblStyle w:val="13"/>
        <w:tblW w:w="9292" w:type="dxa"/>
        <w:tblInd w:w="179"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512"/>
        <w:gridCol w:w="2687"/>
        <w:gridCol w:w="750"/>
        <w:gridCol w:w="1127"/>
        <w:gridCol w:w="1157"/>
        <w:gridCol w:w="118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870" w:type="dxa"/>
            <w:tcBorders>
              <w:tl2br w:val="nil"/>
              <w:tr2bl w:val="nil"/>
            </w:tcBorders>
            <w:vAlign w:val="center"/>
          </w:tcPr>
          <w:p>
            <w:pPr>
              <w:widowControl/>
              <w:jc w:val="center"/>
              <w:rPr>
                <w:rFonts w:hint="eastAsia" w:ascii="仿宋_GB2312" w:hAnsi="仿宋" w:eastAsia="仿宋_GB2312" w:cs="仿宋"/>
                <w:color w:val="000000"/>
                <w:kern w:val="0"/>
                <w:szCs w:val="21"/>
                <w:lang w:eastAsia="zh-CN"/>
              </w:rPr>
            </w:pPr>
            <w:r>
              <w:rPr>
                <w:rFonts w:hint="eastAsia" w:ascii="仿宋_GB2312" w:hAnsi="仿宋" w:eastAsia="仿宋_GB2312" w:cs="仿宋"/>
                <w:color w:val="000000"/>
                <w:kern w:val="0"/>
                <w:szCs w:val="21"/>
                <w:lang w:eastAsia="zh-CN"/>
              </w:rPr>
              <w:t>房屋所有权人</w:t>
            </w:r>
          </w:p>
        </w:tc>
        <w:tc>
          <w:tcPr>
            <w:tcW w:w="1512" w:type="dxa"/>
            <w:tcBorders>
              <w:tl2br w:val="nil"/>
              <w:tr2bl w:val="nil"/>
            </w:tcBorders>
            <w:vAlign w:val="center"/>
          </w:tcPr>
          <w:p>
            <w:pPr>
              <w:widowControl/>
              <w:jc w:val="center"/>
              <w:rPr>
                <w:rFonts w:hint="eastAsia" w:ascii="仿宋_GB2312" w:hAnsi="仿宋" w:eastAsia="仿宋_GB2312" w:cs="仿宋"/>
                <w:color w:val="000000"/>
                <w:kern w:val="0"/>
                <w:szCs w:val="21"/>
                <w:lang w:eastAsia="zh-CN"/>
              </w:rPr>
            </w:pPr>
            <w:r>
              <w:rPr>
                <w:rFonts w:hint="eastAsia" w:ascii="仿宋_GB2312" w:hAnsi="仿宋" w:eastAsia="仿宋_GB2312" w:cs="仿宋"/>
                <w:color w:val="000000"/>
                <w:kern w:val="0"/>
                <w:szCs w:val="21"/>
                <w:lang w:eastAsia="zh-CN"/>
              </w:rPr>
              <w:t>产权证号</w:t>
            </w:r>
          </w:p>
        </w:tc>
        <w:tc>
          <w:tcPr>
            <w:tcW w:w="2687" w:type="dxa"/>
            <w:tcBorders>
              <w:tl2br w:val="nil"/>
              <w:tr2bl w:val="nil"/>
            </w:tcBorders>
            <w:vAlign w:val="center"/>
          </w:tcPr>
          <w:p>
            <w:pPr>
              <w:widowControl/>
              <w:jc w:val="center"/>
            </w:pPr>
            <w:r>
              <w:rPr>
                <w:rFonts w:hint="eastAsia" w:ascii="仿宋_GB2312" w:hAnsi="仿宋" w:eastAsia="仿宋_GB2312" w:cs="仿宋"/>
                <w:color w:val="000000"/>
                <w:kern w:val="0"/>
                <w:szCs w:val="21"/>
              </w:rPr>
              <w:t>房屋坐落</w:t>
            </w:r>
          </w:p>
        </w:tc>
        <w:tc>
          <w:tcPr>
            <w:tcW w:w="750" w:type="dxa"/>
            <w:tcBorders>
              <w:tl2br w:val="nil"/>
              <w:tr2bl w:val="nil"/>
            </w:tcBorders>
            <w:vAlign w:val="center"/>
          </w:tcPr>
          <w:p>
            <w:pPr>
              <w:widowControl/>
              <w:jc w:val="center"/>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用途</w:t>
            </w:r>
          </w:p>
        </w:tc>
        <w:tc>
          <w:tcPr>
            <w:tcW w:w="1127" w:type="dxa"/>
            <w:tcBorders>
              <w:tl2br w:val="nil"/>
              <w:tr2bl w:val="nil"/>
            </w:tcBorders>
            <w:vAlign w:val="center"/>
          </w:tcPr>
          <w:p>
            <w:pPr>
              <w:widowControl/>
              <w:jc w:val="center"/>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建筑面积（</w:t>
            </w:r>
            <w:r>
              <w:rPr>
                <w:rFonts w:hint="eastAsia" w:ascii="仿宋_GB2312" w:hAnsi="仿宋" w:eastAsia="仿宋" w:cs="仿宋"/>
                <w:color w:val="000000"/>
                <w:kern w:val="0"/>
                <w:szCs w:val="21"/>
              </w:rPr>
              <w:t>㎡</w:t>
            </w:r>
            <w:r>
              <w:rPr>
                <w:rFonts w:hint="eastAsia" w:ascii="仿宋_GB2312" w:hAnsi="仿宋" w:eastAsia="仿宋_GB2312" w:cs="仿宋"/>
                <w:color w:val="000000"/>
                <w:kern w:val="0"/>
                <w:szCs w:val="21"/>
              </w:rPr>
              <w:t>）</w:t>
            </w:r>
          </w:p>
        </w:tc>
        <w:tc>
          <w:tcPr>
            <w:tcW w:w="1157" w:type="dxa"/>
            <w:tcBorders>
              <w:tl2br w:val="nil"/>
              <w:tr2bl w:val="nil"/>
            </w:tcBorders>
            <w:vAlign w:val="center"/>
          </w:tcPr>
          <w:p>
            <w:pPr>
              <w:widowControl/>
              <w:jc w:val="center"/>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评估单价（元/</w:t>
            </w:r>
            <w:r>
              <w:rPr>
                <w:rFonts w:hint="eastAsia" w:ascii="仿宋_GB2312" w:hAnsi="仿宋" w:eastAsia="仿宋" w:cs="仿宋"/>
                <w:color w:val="000000"/>
                <w:kern w:val="0"/>
                <w:szCs w:val="21"/>
              </w:rPr>
              <w:t>㎡</w:t>
            </w:r>
            <w:r>
              <w:rPr>
                <w:rFonts w:hint="eastAsia" w:ascii="仿宋_GB2312" w:hAnsi="仿宋" w:eastAsia="仿宋_GB2312" w:cs="仿宋"/>
                <w:color w:val="000000"/>
                <w:kern w:val="0"/>
                <w:szCs w:val="21"/>
              </w:rPr>
              <w:t>）</w:t>
            </w:r>
          </w:p>
        </w:tc>
        <w:tc>
          <w:tcPr>
            <w:tcW w:w="1189" w:type="dxa"/>
            <w:tcBorders>
              <w:tl2br w:val="nil"/>
              <w:tr2bl w:val="nil"/>
            </w:tcBorders>
            <w:vAlign w:val="center"/>
          </w:tcPr>
          <w:p>
            <w:pPr>
              <w:widowControl/>
              <w:jc w:val="center"/>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评估总价(万元)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870" w:type="dxa"/>
            <w:tcBorders>
              <w:tl2br w:val="nil"/>
              <w:tr2bl w:val="nil"/>
            </w:tcBorders>
            <w:vAlign w:val="center"/>
          </w:tcPr>
          <w:p>
            <w:pPr>
              <w:widowControl/>
              <w:jc w:val="center"/>
              <w:rPr>
                <w:rFonts w:hint="eastAsia" w:ascii="仿宋_GB2312" w:hAnsi="仿宋" w:eastAsia="仿宋_GB2312" w:cs="仿宋"/>
                <w:color w:val="000000"/>
                <w:kern w:val="0"/>
                <w:szCs w:val="21"/>
                <w:lang w:eastAsia="zh-CN"/>
              </w:rPr>
            </w:pPr>
            <w:r>
              <w:rPr>
                <w:rFonts w:hint="eastAsia" w:ascii="仿宋" w:hAnsi="仿宋" w:eastAsia="仿宋" w:cs="仿宋"/>
                <w:color w:val="000000"/>
                <w:kern w:val="0"/>
                <w:szCs w:val="21"/>
                <w:lang w:eastAsia="zh-CN"/>
              </w:rPr>
              <w:t>朱小友、孙礼艳</w:t>
            </w:r>
          </w:p>
        </w:tc>
        <w:tc>
          <w:tcPr>
            <w:tcW w:w="1512" w:type="dxa"/>
            <w:tcBorders>
              <w:tl2br w:val="nil"/>
              <w:tr2bl w:val="nil"/>
            </w:tcBorders>
            <w:vAlign w:val="center"/>
          </w:tcPr>
          <w:p>
            <w:pPr>
              <w:widowControl/>
              <w:jc w:val="center"/>
              <w:rPr>
                <w:rFonts w:hint="eastAsia" w:ascii="仿宋_GB2312" w:hAnsi="仿宋" w:eastAsia="仿宋_GB2312" w:cs="仿宋"/>
                <w:color w:val="000000"/>
                <w:kern w:val="0"/>
                <w:szCs w:val="21"/>
                <w:lang w:eastAsia="zh-CN"/>
              </w:rPr>
            </w:pPr>
            <w:r>
              <w:rPr>
                <w:rFonts w:hint="eastAsia" w:ascii="仿宋_GB2312" w:hAnsi="仿宋" w:eastAsia="仿宋_GB2312" w:cs="仿宋"/>
                <w:color w:val="000000"/>
                <w:kern w:val="0"/>
                <w:szCs w:val="21"/>
                <w:lang w:eastAsia="zh-CN"/>
              </w:rPr>
              <w:t>201404924</w:t>
            </w:r>
          </w:p>
        </w:tc>
        <w:tc>
          <w:tcPr>
            <w:tcW w:w="2687" w:type="dxa"/>
            <w:tcBorders>
              <w:tl2br w:val="nil"/>
              <w:tr2bl w:val="nil"/>
            </w:tcBorders>
            <w:vAlign w:val="center"/>
          </w:tcPr>
          <w:p>
            <w:pPr>
              <w:widowControl/>
              <w:jc w:val="center"/>
            </w:pPr>
            <w:r>
              <w:rPr>
                <w:rFonts w:hint="eastAsia" w:ascii="仿宋" w:hAnsi="仿宋" w:eastAsia="仿宋" w:cs="仿宋"/>
                <w:color w:val="000000"/>
                <w:kern w:val="0"/>
                <w:szCs w:val="21"/>
                <w:lang w:eastAsia="zh-CN"/>
              </w:rPr>
              <w:t>贵州省黔西南布依族苗族自治州兴义市坪东街道办事处青龙路三和新城小区15栋1单元402号</w:t>
            </w:r>
          </w:p>
        </w:tc>
        <w:tc>
          <w:tcPr>
            <w:tcW w:w="750" w:type="dxa"/>
            <w:tcBorders>
              <w:tl2br w:val="nil"/>
              <w:tr2bl w:val="nil"/>
            </w:tcBorders>
            <w:vAlign w:val="center"/>
          </w:tcPr>
          <w:p>
            <w:pPr>
              <w:widowControl/>
              <w:jc w:val="center"/>
              <w:rPr>
                <w:rFonts w:hint="eastAsia" w:ascii="仿宋_GB2312" w:hAnsi="仿宋" w:eastAsia="仿宋_GB2312" w:cs="仿宋"/>
                <w:color w:val="000000"/>
                <w:kern w:val="0"/>
                <w:szCs w:val="21"/>
                <w:lang w:eastAsia="zh-CN"/>
              </w:rPr>
            </w:pPr>
            <w:r>
              <w:rPr>
                <w:rFonts w:hint="eastAsia" w:ascii="仿宋" w:hAnsi="仿宋" w:eastAsia="仿宋" w:cs="仿宋"/>
                <w:color w:val="000000"/>
                <w:kern w:val="0"/>
                <w:szCs w:val="21"/>
                <w:lang w:eastAsia="zh-CN"/>
              </w:rPr>
              <w:t>成套住宅</w:t>
            </w:r>
          </w:p>
        </w:tc>
        <w:tc>
          <w:tcPr>
            <w:tcW w:w="1127" w:type="dxa"/>
            <w:tcBorders>
              <w:tl2br w:val="nil"/>
              <w:tr2bl w:val="nil"/>
            </w:tcBorders>
            <w:vAlign w:val="center"/>
          </w:tcPr>
          <w:p>
            <w:pPr>
              <w:widowControl/>
              <w:jc w:val="center"/>
              <w:rPr>
                <w:rFonts w:hint="eastAsia" w:ascii="仿宋_GB2312" w:hAnsi="仿宋" w:eastAsia="仿宋_GB2312" w:cs="仿宋"/>
                <w:color w:val="000000"/>
                <w:kern w:val="0"/>
                <w:szCs w:val="21"/>
                <w:lang w:eastAsia="zh-CN"/>
              </w:rPr>
            </w:pPr>
            <w:r>
              <w:rPr>
                <w:rFonts w:hint="eastAsia" w:ascii="仿宋" w:hAnsi="仿宋" w:eastAsia="仿宋" w:cs="仿宋"/>
                <w:color w:val="000000"/>
                <w:kern w:val="0"/>
                <w:szCs w:val="21"/>
                <w:lang w:eastAsia="zh-CN"/>
              </w:rPr>
              <w:t>108.23</w:t>
            </w:r>
          </w:p>
        </w:tc>
        <w:tc>
          <w:tcPr>
            <w:tcW w:w="1157" w:type="dxa"/>
            <w:tcBorders>
              <w:tl2br w:val="nil"/>
              <w:tr2bl w:val="nil"/>
            </w:tcBorders>
            <w:vAlign w:val="center"/>
          </w:tcPr>
          <w:p>
            <w:pPr>
              <w:widowControl/>
              <w:jc w:val="center"/>
              <w:rPr>
                <w:rFonts w:hint="eastAsia" w:ascii="仿宋_GB2312" w:hAnsi="仿宋" w:eastAsia="仿宋_GB2312" w:cs="仿宋"/>
                <w:color w:val="000000"/>
                <w:kern w:val="0"/>
                <w:szCs w:val="21"/>
                <w:lang w:eastAsia="zh-CN"/>
              </w:rPr>
            </w:pPr>
            <w:r>
              <w:rPr>
                <w:rFonts w:hint="eastAsia" w:ascii="仿宋" w:hAnsi="仿宋" w:eastAsia="仿宋" w:cs="仿宋"/>
                <w:color w:val="000000"/>
                <w:kern w:val="0"/>
                <w:szCs w:val="21"/>
                <w:lang w:val="en-US" w:eastAsia="zh-CN"/>
              </w:rPr>
              <w:t>3803</w:t>
            </w:r>
          </w:p>
        </w:tc>
        <w:tc>
          <w:tcPr>
            <w:tcW w:w="1189" w:type="dxa"/>
            <w:tcBorders>
              <w:tl2br w:val="nil"/>
              <w:tr2bl w:val="nil"/>
            </w:tcBorders>
            <w:vAlign w:val="center"/>
          </w:tcPr>
          <w:p>
            <w:pPr>
              <w:widowControl/>
              <w:jc w:val="center"/>
              <w:rPr>
                <w:rFonts w:hint="eastAsia" w:ascii="仿宋_GB2312" w:hAnsi="仿宋" w:eastAsia="仿宋_GB2312" w:cs="仿宋"/>
                <w:color w:val="000000"/>
                <w:kern w:val="0"/>
                <w:szCs w:val="21"/>
              </w:rPr>
            </w:pPr>
            <w:r>
              <w:rPr>
                <w:rFonts w:hint="eastAsia" w:ascii="仿宋" w:hAnsi="仿宋" w:eastAsia="仿宋" w:cs="仿宋"/>
                <w:color w:val="000000"/>
                <w:kern w:val="0"/>
                <w:szCs w:val="21"/>
              </w:rPr>
              <w:fldChar w:fldCharType="begin"/>
            </w:r>
            <w:r>
              <w:rPr>
                <w:rFonts w:hint="eastAsia" w:ascii="仿宋" w:hAnsi="仿宋" w:eastAsia="仿宋" w:cs="仿宋"/>
                <w:color w:val="000000"/>
                <w:kern w:val="0"/>
                <w:szCs w:val="21"/>
              </w:rPr>
              <w:instrText xml:space="preserve"> =</w:instrText>
            </w:r>
            <w:r>
              <w:rPr>
                <w:rFonts w:hint="eastAsia" w:ascii="仿宋" w:hAnsi="仿宋" w:eastAsia="仿宋" w:cs="仿宋"/>
                <w:color w:val="000000"/>
                <w:kern w:val="0"/>
                <w:szCs w:val="21"/>
                <w:lang w:val="en-US" w:eastAsia="zh-CN"/>
              </w:rPr>
              <w:instrText xml:space="preserve">11099*212.75</w:instrText>
            </w:r>
            <w:r>
              <w:rPr>
                <w:rFonts w:hint="eastAsia" w:ascii="仿宋" w:hAnsi="仿宋" w:eastAsia="仿宋" w:cs="仿宋"/>
                <w:color w:val="000000"/>
                <w:kern w:val="0"/>
                <w:szCs w:val="21"/>
              </w:rPr>
              <w:instrText xml:space="preserve">/10000 \# "0.00" \* MERGEFORMAT </w:instrText>
            </w:r>
            <w:r>
              <w:rPr>
                <w:rFonts w:hint="eastAsia" w:ascii="仿宋" w:hAnsi="仿宋" w:eastAsia="仿宋" w:cs="仿宋"/>
                <w:color w:val="000000"/>
                <w:kern w:val="0"/>
                <w:szCs w:val="21"/>
              </w:rPr>
              <w:fldChar w:fldCharType="separate"/>
            </w:r>
            <w:r>
              <w:rPr>
                <w:rFonts w:hint="eastAsia" w:ascii="仿宋" w:hAnsi="仿宋" w:eastAsia="仿宋" w:cs="仿宋"/>
                <w:color w:val="000000"/>
                <w:kern w:val="0"/>
                <w:szCs w:val="21"/>
                <w:lang w:eastAsia="zh-CN"/>
              </w:rPr>
              <w:t>41.16</w:t>
            </w:r>
            <w:r>
              <w:rPr>
                <w:rFonts w:hint="eastAsia" w:ascii="仿宋" w:hAnsi="仿宋" w:eastAsia="仿宋" w:cs="仿宋"/>
                <w:color w:val="000000"/>
                <w:kern w:val="0"/>
                <w:szCs w:val="21"/>
              </w:rPr>
              <w:fldChar w:fldCharType="end"/>
            </w:r>
          </w:p>
        </w:tc>
      </w:tr>
    </w:tbl>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26" w:firstLineChars="187"/>
        <w:textAlignment w:val="auto"/>
        <w:outlineLvl w:val="9"/>
        <w:rPr>
          <w:rFonts w:hint="eastAsia" w:ascii="仿宋_GB2312" w:hAnsi="华文仿宋" w:eastAsia="仿宋_GB2312"/>
          <w:b/>
          <w:color w:val="000000"/>
          <w:kern w:val="0"/>
          <w:sz w:val="28"/>
        </w:rPr>
      </w:pPr>
      <w:r>
        <w:rPr>
          <w:rFonts w:hint="eastAsia" w:ascii="仿宋_GB2312" w:hAnsi="华文仿宋" w:eastAsia="仿宋_GB2312"/>
          <w:b/>
          <w:color w:val="000000"/>
          <w:kern w:val="0"/>
          <w:sz w:val="28"/>
        </w:rPr>
        <w:t>关于本次评估结论，我们作以下说明：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26" w:firstLineChars="187"/>
        <w:textAlignment w:val="auto"/>
        <w:outlineLvl w:val="9"/>
        <w:rPr>
          <w:rFonts w:hint="eastAsia" w:ascii="仿宋_GB2312" w:hAnsi="华文仿宋" w:eastAsia="仿宋_GB2312"/>
          <w:b/>
          <w:color w:val="000000"/>
          <w:kern w:val="0"/>
          <w:sz w:val="28"/>
        </w:rPr>
      </w:pPr>
      <w:r>
        <w:rPr>
          <w:rFonts w:hint="eastAsia" w:ascii="仿宋_GB2312" w:hAnsi="华文仿宋" w:eastAsia="仿宋_GB2312"/>
          <w:b/>
          <w:color w:val="000000"/>
          <w:kern w:val="0"/>
          <w:sz w:val="28"/>
        </w:rPr>
        <w:t>1、估价结果中单价保留至元位，总价保留至百元位；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26" w:firstLineChars="187"/>
        <w:textAlignment w:val="auto"/>
        <w:outlineLvl w:val="9"/>
        <w:rPr>
          <w:rFonts w:hint="eastAsia" w:ascii="仿宋_GB2312" w:hAnsi="华文仿宋" w:eastAsia="仿宋_GB2312"/>
          <w:b/>
          <w:color w:val="000000"/>
          <w:kern w:val="0"/>
          <w:sz w:val="28"/>
        </w:rPr>
      </w:pPr>
      <w:r>
        <w:rPr>
          <w:rFonts w:hint="eastAsia" w:ascii="仿宋_GB2312" w:hAnsi="华文仿宋" w:eastAsia="仿宋_GB2312"/>
          <w:b/>
          <w:color w:val="000000"/>
          <w:kern w:val="0"/>
          <w:sz w:val="28"/>
        </w:rPr>
        <w:t>2、估价结果包含房屋所有权及其对应分摊的国有建设用地使用权价值、室内装饰装修价值，但不包含室内动产价值；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26" w:firstLineChars="187"/>
        <w:textAlignment w:val="auto"/>
        <w:outlineLvl w:val="9"/>
        <w:rPr>
          <w:rFonts w:hint="eastAsia" w:ascii="仿宋_GB2312" w:hAnsi="华文仿宋" w:eastAsia="仿宋_GB2312"/>
          <w:b/>
          <w:color w:val="000000"/>
          <w:kern w:val="0"/>
          <w:sz w:val="28"/>
        </w:rPr>
      </w:pPr>
      <w:r>
        <w:rPr>
          <w:rFonts w:hint="eastAsia" w:ascii="仿宋_GB2312" w:hAnsi="华文仿宋" w:eastAsia="仿宋_GB2312"/>
          <w:b/>
          <w:color w:val="000000"/>
          <w:kern w:val="0"/>
          <w:sz w:val="28"/>
        </w:rPr>
        <w:t>3、提请报告书使用人在使用本评估结果时，应详细阅读本报告书全文及附件。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26" w:firstLineChars="187"/>
        <w:textAlignment w:val="auto"/>
        <w:outlineLvl w:val="9"/>
        <w:rPr>
          <w:rFonts w:hint="eastAsia" w:ascii="仿宋_GB2312" w:hAnsi="华文仿宋" w:eastAsia="仿宋_GB2312"/>
          <w:b/>
          <w:color w:val="000000"/>
          <w:kern w:val="0"/>
          <w:sz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26" w:firstLineChars="187"/>
        <w:textAlignment w:val="auto"/>
        <w:outlineLvl w:val="9"/>
        <w:rPr>
          <w:rFonts w:hint="eastAsia" w:ascii="仿宋_GB2312" w:hAnsi="华文仿宋" w:eastAsia="仿宋_GB2312"/>
          <w:b/>
          <w:color w:val="000000"/>
          <w:kern w:val="0"/>
          <w:sz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26" w:firstLineChars="187"/>
        <w:textAlignment w:val="auto"/>
        <w:outlineLvl w:val="9"/>
        <w:rPr>
          <w:rFonts w:hint="eastAsia" w:ascii="仿宋_GB2312" w:hAnsi="华文仿宋" w:eastAsia="仿宋_GB2312"/>
          <w:b/>
          <w:color w:val="000000"/>
          <w:kern w:val="0"/>
          <w:sz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26" w:firstLineChars="187"/>
        <w:textAlignment w:val="auto"/>
        <w:outlineLvl w:val="9"/>
        <w:rPr>
          <w:rFonts w:hint="eastAsia" w:ascii="仿宋_GB2312" w:hAnsi="华文仿宋" w:eastAsia="仿宋_GB2312"/>
          <w:b/>
          <w:color w:val="000000"/>
          <w:kern w:val="0"/>
          <w:sz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26" w:firstLineChars="187"/>
        <w:textAlignment w:val="auto"/>
        <w:outlineLvl w:val="9"/>
        <w:rPr>
          <w:rFonts w:hint="eastAsia" w:ascii="仿宋_GB2312" w:hAnsi="华文仿宋" w:eastAsia="仿宋_GB2312"/>
          <w:b/>
          <w:color w:val="000000"/>
          <w:kern w:val="0"/>
          <w:sz w:val="28"/>
        </w:rPr>
      </w:pPr>
    </w:p>
    <w:p>
      <w:pPr>
        <w:pStyle w:val="4"/>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right"/>
        <w:textAlignment w:val="auto"/>
        <w:outlineLvl w:val="9"/>
        <w:rPr>
          <w:rFonts w:ascii="仿宋_GB2312" w:eastAsia="仿宋_GB2312"/>
          <w:sz w:val="28"/>
          <w:szCs w:val="28"/>
        </w:rPr>
      </w:pPr>
      <w:r>
        <w:rPr>
          <w:rFonts w:hint="eastAsia" w:ascii="仿宋_GB2312" w:eastAsia="仿宋_GB2312"/>
          <w:sz w:val="28"/>
          <w:szCs w:val="28"/>
          <w:lang w:eastAsia="zh-CN"/>
        </w:rPr>
        <w:t>山东贵恒信房地产土地评估经纪有限公司</w:t>
      </w:r>
    </w:p>
    <w:p>
      <w:pPr>
        <w:pStyle w:val="4"/>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880" w:firstLineChars="2100"/>
        <w:textAlignment w:val="auto"/>
        <w:outlineLvl w:val="9"/>
        <w:rPr>
          <w:rFonts w:hint="eastAsia" w:ascii="仿宋_GB2312" w:eastAsia="仿宋_GB2312"/>
          <w:sz w:val="28"/>
          <w:szCs w:val="28"/>
        </w:rPr>
      </w:pPr>
      <w:r>
        <w:rPr>
          <w:rFonts w:hint="eastAsia" w:ascii="仿宋_GB2312" w:hAnsi="华文仿宋" w:eastAsia="仿宋_GB2312"/>
          <w:color w:val="000000"/>
          <w:kern w:val="0"/>
          <w:sz w:val="28"/>
        </w:rPr>
        <w:t>法定代表人</w:t>
      </w:r>
      <w:r>
        <w:rPr>
          <w:rFonts w:hint="eastAsia" w:ascii="仿宋_GB2312" w:eastAsia="仿宋_GB2312"/>
          <w:sz w:val="28"/>
          <w:szCs w:val="28"/>
        </w:rPr>
        <w:t>：董月华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0" w:firstLineChars="2000"/>
        <w:textAlignment w:val="auto"/>
        <w:outlineLvl w:val="9"/>
        <w:rPr>
          <w:rFonts w:hint="eastAsia" w:ascii="仿宋_GB2312" w:eastAsia="仿宋_GB2312"/>
          <w:color w:val="000000"/>
          <w:sz w:val="28"/>
          <w:szCs w:val="28"/>
          <w:lang w:eastAsia="zh-CN"/>
        </w:rPr>
      </w:pPr>
      <w:r>
        <w:rPr>
          <w:rFonts w:hint="eastAsia" w:ascii="仿宋_GB2312" w:eastAsia="仿宋_GB2312"/>
          <w:color w:val="000000"/>
          <w:sz w:val="28"/>
          <w:szCs w:val="28"/>
        </w:rPr>
        <w:t xml:space="preserve">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lang w:eastAsia="zh-CN"/>
        </w:rPr>
        <w:t>二○一九年一月十七日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0" w:firstLineChars="2000"/>
        <w:textAlignment w:val="auto"/>
        <w:outlineLvl w:val="9"/>
        <w:rPr>
          <w:rFonts w:hint="eastAsia" w:ascii="仿宋_GB2312" w:eastAsia="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0" w:firstLineChars="2000"/>
        <w:textAlignment w:val="auto"/>
        <w:outlineLvl w:val="9"/>
        <w:rPr>
          <w:rFonts w:hint="eastAsia" w:ascii="仿宋_GB2312" w:eastAsia="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0" w:firstLineChars="2000"/>
        <w:textAlignment w:val="auto"/>
        <w:outlineLvl w:val="9"/>
        <w:rPr>
          <w:rFonts w:hint="eastAsia" w:ascii="仿宋_GB2312" w:eastAsia="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0" w:firstLineChars="2000"/>
        <w:textAlignment w:val="auto"/>
        <w:outlineLvl w:val="9"/>
        <w:rPr>
          <w:rFonts w:hint="eastAsia" w:ascii="仿宋_GB2312" w:eastAsia="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0" w:firstLineChars="2000"/>
        <w:textAlignment w:val="auto"/>
        <w:outlineLvl w:val="9"/>
        <w:rPr>
          <w:rFonts w:hint="eastAsia" w:ascii="仿宋_GB2312" w:eastAsia="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0" w:firstLineChars="2000"/>
        <w:textAlignment w:val="auto"/>
        <w:outlineLvl w:val="9"/>
        <w:rPr>
          <w:rFonts w:hint="eastAsia" w:ascii="仿宋_GB2312" w:eastAsia="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0" w:firstLineChars="2000"/>
        <w:textAlignment w:val="auto"/>
        <w:outlineLvl w:val="9"/>
        <w:rPr>
          <w:rFonts w:hint="eastAsia" w:ascii="仿宋_GB2312" w:eastAsia="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0" w:firstLineChars="2000"/>
        <w:textAlignment w:val="auto"/>
        <w:outlineLvl w:val="9"/>
        <w:rPr>
          <w:rFonts w:hint="eastAsia" w:ascii="仿宋_GB2312" w:eastAsia="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0" w:firstLineChars="2000"/>
        <w:textAlignment w:val="auto"/>
        <w:outlineLvl w:val="9"/>
        <w:rPr>
          <w:rFonts w:hint="eastAsia" w:ascii="仿宋_GB2312" w:eastAsia="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0" w:firstLineChars="2000"/>
        <w:textAlignment w:val="auto"/>
        <w:outlineLvl w:val="9"/>
        <w:rPr>
          <w:rFonts w:hint="eastAsia" w:ascii="仿宋_GB2312" w:eastAsia="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0" w:firstLineChars="2000"/>
        <w:textAlignment w:val="auto"/>
        <w:outlineLvl w:val="9"/>
        <w:rPr>
          <w:rFonts w:hint="eastAsia" w:ascii="仿宋_GB2312" w:eastAsia="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outlineLvl w:val="9"/>
        <w:rPr>
          <w:rFonts w:hint="eastAsia" w:ascii="仿宋_GB2312" w:eastAsia="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outlineLvl w:val="9"/>
        <w:rPr>
          <w:rFonts w:hint="eastAsia" w:ascii="仿宋_GB2312" w:eastAsia="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华文仿宋" w:eastAsia="仿宋_GB2312" w:cstheme="minorBidi"/>
          <w:bCs/>
          <w:caps/>
          <w:smallCaps/>
          <w:color w:val="000000"/>
          <w:kern w:val="2"/>
          <w:sz w:val="24"/>
          <w:szCs w:val="24"/>
          <w:lang w:val="en-US" w:eastAsia="zh-CN" w:bidi="ar-SA"/>
        </w:rPr>
      </w:pPr>
      <w:r>
        <w:rPr>
          <w:rFonts w:hint="eastAsia" w:ascii="仿宋_GB2312" w:hAnsi="华文仿宋" w:eastAsia="仿宋_GB2312"/>
          <w:b/>
          <w:color w:val="000000"/>
          <w:sz w:val="52"/>
          <w:szCs w:val="52"/>
        </w:rPr>
        <w:t>目  录</w:t>
      </w:r>
      <w:r>
        <w:rPr>
          <w:rFonts w:hint="eastAsia" w:ascii="仿宋_GB2312" w:hAnsi="华文仿宋" w:eastAsia="仿宋_GB2312"/>
          <w:b/>
          <w:bCs/>
          <w:caps/>
          <w:smallCaps/>
          <w:color w:val="000000"/>
          <w:sz w:val="24"/>
          <w:szCs w:val="24"/>
        </w:rPr>
        <w:fldChar w:fldCharType="begin"/>
      </w:r>
      <w:r>
        <w:rPr>
          <w:rStyle w:val="15"/>
          <w:rFonts w:hint="eastAsia" w:ascii="仿宋_GB2312" w:hAnsi="华文仿宋" w:eastAsia="仿宋_GB2312"/>
          <w:b/>
          <w:bCs/>
          <w:caps/>
          <w:smallCaps/>
          <w:color w:val="000000"/>
          <w:sz w:val="24"/>
          <w:szCs w:val="24"/>
        </w:rPr>
        <w:instrText xml:space="preserve"> TOC \o "1-3" \h \z \u </w:instrText>
      </w:r>
      <w:r>
        <w:rPr>
          <w:rFonts w:hint="eastAsia" w:ascii="仿宋_GB2312" w:hAnsi="华文仿宋" w:eastAsia="仿宋_GB2312"/>
          <w:b/>
          <w:bCs/>
          <w:caps/>
          <w:smallCaps/>
          <w:color w:val="000000"/>
          <w:sz w:val="24"/>
          <w:szCs w:val="24"/>
        </w:rPr>
        <w:fldChar w:fldCharType="separate"/>
      </w:r>
    </w:p>
    <w:p>
      <w:pPr>
        <w:pStyle w:val="10"/>
        <w:tabs>
          <w:tab w:val="right" w:leader="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_Toc3555 </w:instrText>
      </w:r>
      <w:r>
        <w:rPr>
          <w:rFonts w:hint="eastAsia" w:ascii="仿宋_GB2312" w:hAnsi="华文仿宋" w:eastAsia="仿宋_GB2312"/>
          <w:bCs/>
          <w:caps/>
          <w:smallCaps/>
          <w:szCs w:val="24"/>
        </w:rPr>
        <w:fldChar w:fldCharType="separate"/>
      </w:r>
      <w:r>
        <w:rPr>
          <w:rFonts w:hint="eastAsia" w:ascii="仿宋_GB2312" w:hAnsi="华文仿宋" w:eastAsia="仿宋_GB2312"/>
        </w:rPr>
        <w:t>注册房地产估价师声明</w:t>
      </w:r>
      <w:r>
        <w:tab/>
      </w:r>
      <w:r>
        <w:fldChar w:fldCharType="begin"/>
      </w:r>
      <w:r>
        <w:instrText xml:space="preserve"> PAGEREF _Toc3555 </w:instrText>
      </w:r>
      <w:r>
        <w:fldChar w:fldCharType="separate"/>
      </w:r>
      <w:r>
        <w:t>4</w:t>
      </w:r>
      <w:r>
        <w:fldChar w:fldCharType="end"/>
      </w:r>
      <w:r>
        <w:rPr>
          <w:rFonts w:hint="eastAsia" w:ascii="仿宋_GB2312" w:hAnsi="华文仿宋" w:eastAsia="仿宋_GB2312"/>
          <w:bCs/>
          <w:caps/>
          <w:smallCaps/>
          <w:color w:val="000000"/>
          <w:szCs w:val="24"/>
        </w:rPr>
        <w:fldChar w:fldCharType="end"/>
      </w:r>
    </w:p>
    <w:p>
      <w:pPr>
        <w:pStyle w:val="10"/>
        <w:tabs>
          <w:tab w:val="right" w:leader="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_Toc17452 </w:instrText>
      </w:r>
      <w:r>
        <w:rPr>
          <w:rFonts w:hint="eastAsia" w:ascii="仿宋_GB2312" w:hAnsi="华文仿宋" w:eastAsia="仿宋_GB2312"/>
          <w:bCs/>
          <w:caps/>
          <w:smallCaps/>
          <w:szCs w:val="24"/>
        </w:rPr>
        <w:fldChar w:fldCharType="separate"/>
      </w:r>
      <w:r>
        <w:rPr>
          <w:rFonts w:hint="eastAsia" w:ascii="仿宋_GB2312" w:hAnsi="华文仿宋" w:eastAsia="仿宋_GB2312"/>
        </w:rPr>
        <w:t>估价的假设和限制条件</w:t>
      </w:r>
      <w:r>
        <w:tab/>
      </w:r>
      <w:r>
        <w:fldChar w:fldCharType="begin"/>
      </w:r>
      <w:r>
        <w:instrText xml:space="preserve"> PAGEREF _Toc17452 </w:instrText>
      </w:r>
      <w:r>
        <w:fldChar w:fldCharType="separate"/>
      </w:r>
      <w:r>
        <w:t>5</w:t>
      </w:r>
      <w:r>
        <w:fldChar w:fldCharType="end"/>
      </w:r>
      <w:r>
        <w:rPr>
          <w:rFonts w:hint="eastAsia" w:ascii="仿宋_GB2312" w:hAnsi="华文仿宋" w:eastAsia="仿宋_GB2312"/>
          <w:bCs/>
          <w:caps/>
          <w:smallCaps/>
          <w:color w:val="000000"/>
          <w:szCs w:val="24"/>
        </w:rPr>
        <w:fldChar w:fldCharType="end"/>
      </w:r>
    </w:p>
    <w:p>
      <w:pPr>
        <w:pStyle w:val="12"/>
        <w:tabs>
          <w:tab w:val="right" w:leader="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_Toc16034 </w:instrText>
      </w:r>
      <w:r>
        <w:rPr>
          <w:rFonts w:hint="eastAsia" w:ascii="仿宋_GB2312" w:hAnsi="华文仿宋" w:eastAsia="仿宋_GB2312"/>
          <w:bCs/>
          <w:caps/>
          <w:smallCaps/>
          <w:szCs w:val="24"/>
        </w:rPr>
        <w:fldChar w:fldCharType="separate"/>
      </w:r>
      <w:r>
        <w:rPr>
          <w:rFonts w:hint="eastAsia" w:ascii="仿宋_GB2312" w:hAnsi="华文仿宋" w:eastAsia="仿宋_GB2312"/>
          <w:szCs w:val="28"/>
        </w:rPr>
        <w:t>一、本次估价的假设前提</w:t>
      </w:r>
      <w:r>
        <w:tab/>
      </w:r>
      <w:r>
        <w:fldChar w:fldCharType="begin"/>
      </w:r>
      <w:r>
        <w:instrText xml:space="preserve"> PAGEREF _Toc16034 </w:instrText>
      </w:r>
      <w:r>
        <w:fldChar w:fldCharType="separate"/>
      </w:r>
      <w:r>
        <w:t>5</w:t>
      </w:r>
      <w:r>
        <w:fldChar w:fldCharType="end"/>
      </w:r>
      <w:r>
        <w:rPr>
          <w:rFonts w:hint="eastAsia" w:ascii="仿宋_GB2312" w:hAnsi="华文仿宋" w:eastAsia="仿宋_GB2312"/>
          <w:bCs/>
          <w:caps/>
          <w:smallCaps/>
          <w:color w:val="000000"/>
          <w:szCs w:val="24"/>
        </w:rPr>
        <w:fldChar w:fldCharType="end"/>
      </w:r>
    </w:p>
    <w:p>
      <w:pPr>
        <w:pStyle w:val="12"/>
        <w:tabs>
          <w:tab w:val="right" w:leader="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_Toc2812 </w:instrText>
      </w:r>
      <w:r>
        <w:rPr>
          <w:rFonts w:hint="eastAsia" w:ascii="仿宋_GB2312" w:hAnsi="华文仿宋" w:eastAsia="仿宋_GB2312"/>
          <w:bCs/>
          <w:caps/>
          <w:smallCaps/>
          <w:szCs w:val="24"/>
        </w:rPr>
        <w:fldChar w:fldCharType="separate"/>
      </w:r>
      <w:r>
        <w:rPr>
          <w:rFonts w:hint="eastAsia" w:ascii="仿宋_GB2312" w:hAnsi="华文仿宋" w:eastAsia="仿宋_GB2312"/>
          <w:szCs w:val="28"/>
        </w:rPr>
        <w:t>二、本报告使用的限制条件</w:t>
      </w:r>
      <w:r>
        <w:tab/>
      </w:r>
      <w:r>
        <w:fldChar w:fldCharType="begin"/>
      </w:r>
      <w:r>
        <w:instrText xml:space="preserve"> PAGEREF _Toc2812 </w:instrText>
      </w:r>
      <w:r>
        <w:fldChar w:fldCharType="separate"/>
      </w:r>
      <w:r>
        <w:t>7</w:t>
      </w:r>
      <w:r>
        <w:fldChar w:fldCharType="end"/>
      </w:r>
      <w:r>
        <w:rPr>
          <w:rFonts w:hint="eastAsia" w:ascii="仿宋_GB2312" w:hAnsi="华文仿宋" w:eastAsia="仿宋_GB2312"/>
          <w:bCs/>
          <w:caps/>
          <w:smallCaps/>
          <w:color w:val="000000"/>
          <w:szCs w:val="24"/>
        </w:rPr>
        <w:fldChar w:fldCharType="end"/>
      </w:r>
    </w:p>
    <w:p>
      <w:pPr>
        <w:pStyle w:val="10"/>
        <w:tabs>
          <w:tab w:val="right" w:leader="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_Toc30635 </w:instrText>
      </w:r>
      <w:r>
        <w:rPr>
          <w:rFonts w:hint="eastAsia" w:ascii="仿宋_GB2312" w:hAnsi="华文仿宋" w:eastAsia="仿宋_GB2312"/>
          <w:bCs/>
          <w:caps/>
          <w:smallCaps/>
          <w:szCs w:val="24"/>
        </w:rPr>
        <w:fldChar w:fldCharType="separate"/>
      </w:r>
      <w:r>
        <w:rPr>
          <w:rFonts w:hint="eastAsia" w:ascii="仿宋_GB2312" w:hAnsi="华文仿宋" w:eastAsia="仿宋_GB2312"/>
        </w:rPr>
        <w:t>房地产估价结果报告</w:t>
      </w:r>
      <w:r>
        <w:tab/>
      </w:r>
      <w:r>
        <w:fldChar w:fldCharType="begin"/>
      </w:r>
      <w:r>
        <w:instrText xml:space="preserve"> PAGEREF _Toc30635 </w:instrText>
      </w:r>
      <w:r>
        <w:fldChar w:fldCharType="separate"/>
      </w:r>
      <w:r>
        <w:t>8</w:t>
      </w:r>
      <w:r>
        <w:fldChar w:fldCharType="end"/>
      </w:r>
      <w:r>
        <w:rPr>
          <w:rFonts w:hint="eastAsia" w:ascii="仿宋_GB2312" w:hAnsi="华文仿宋" w:eastAsia="仿宋_GB2312"/>
          <w:bCs/>
          <w:caps/>
          <w:smallCaps/>
          <w:color w:val="000000"/>
          <w:szCs w:val="24"/>
        </w:rPr>
        <w:fldChar w:fldCharType="end"/>
      </w:r>
    </w:p>
    <w:p>
      <w:pPr>
        <w:pStyle w:val="12"/>
        <w:tabs>
          <w:tab w:val="right" w:leader="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_Toc28062 </w:instrText>
      </w:r>
      <w:r>
        <w:rPr>
          <w:rFonts w:hint="eastAsia" w:ascii="仿宋_GB2312" w:hAnsi="华文仿宋" w:eastAsia="仿宋_GB2312"/>
          <w:bCs/>
          <w:caps/>
          <w:smallCaps/>
          <w:szCs w:val="24"/>
        </w:rPr>
        <w:fldChar w:fldCharType="separate"/>
      </w:r>
      <w:r>
        <w:rPr>
          <w:rFonts w:hint="eastAsia" w:ascii="仿宋_GB2312" w:hAnsi="华文仿宋" w:eastAsia="仿宋_GB2312"/>
          <w:szCs w:val="28"/>
          <w:lang w:val="en-US" w:eastAsia="zh-CN"/>
        </w:rPr>
        <w:t>一、估价委托人</w:t>
      </w:r>
      <w:r>
        <w:tab/>
      </w:r>
      <w:r>
        <w:fldChar w:fldCharType="begin"/>
      </w:r>
      <w:r>
        <w:instrText xml:space="preserve"> PAGEREF _Toc28062 </w:instrText>
      </w:r>
      <w:r>
        <w:fldChar w:fldCharType="separate"/>
      </w:r>
      <w:r>
        <w:t>8</w:t>
      </w:r>
      <w:r>
        <w:fldChar w:fldCharType="end"/>
      </w:r>
      <w:r>
        <w:rPr>
          <w:rFonts w:hint="eastAsia" w:ascii="仿宋_GB2312" w:hAnsi="华文仿宋" w:eastAsia="仿宋_GB2312"/>
          <w:bCs/>
          <w:caps/>
          <w:smallCaps/>
          <w:color w:val="000000"/>
          <w:szCs w:val="24"/>
        </w:rPr>
        <w:fldChar w:fldCharType="end"/>
      </w:r>
    </w:p>
    <w:p>
      <w:pPr>
        <w:pStyle w:val="12"/>
        <w:tabs>
          <w:tab w:val="right" w:leader="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_Toc1074 </w:instrText>
      </w:r>
      <w:r>
        <w:rPr>
          <w:rFonts w:hint="eastAsia" w:ascii="仿宋_GB2312" w:hAnsi="华文仿宋" w:eastAsia="仿宋_GB2312"/>
          <w:bCs/>
          <w:caps/>
          <w:smallCaps/>
          <w:szCs w:val="24"/>
        </w:rPr>
        <w:fldChar w:fldCharType="separate"/>
      </w:r>
      <w:r>
        <w:rPr>
          <w:rFonts w:hint="eastAsia" w:ascii="仿宋_GB2312" w:hAnsi="华文仿宋" w:eastAsia="仿宋_GB2312"/>
          <w:szCs w:val="28"/>
        </w:rPr>
        <w:t>二、 房地产估价机构</w:t>
      </w:r>
      <w:r>
        <w:tab/>
      </w:r>
      <w:r>
        <w:fldChar w:fldCharType="begin"/>
      </w:r>
      <w:r>
        <w:instrText xml:space="preserve"> PAGEREF _Toc1074 </w:instrText>
      </w:r>
      <w:r>
        <w:fldChar w:fldCharType="separate"/>
      </w:r>
      <w:r>
        <w:t>8</w:t>
      </w:r>
      <w:r>
        <w:fldChar w:fldCharType="end"/>
      </w:r>
      <w:r>
        <w:rPr>
          <w:rFonts w:hint="eastAsia" w:ascii="仿宋_GB2312" w:hAnsi="华文仿宋" w:eastAsia="仿宋_GB2312"/>
          <w:bCs/>
          <w:caps/>
          <w:smallCaps/>
          <w:color w:val="000000"/>
          <w:szCs w:val="24"/>
        </w:rPr>
        <w:fldChar w:fldCharType="end"/>
      </w:r>
    </w:p>
    <w:p>
      <w:pPr>
        <w:pStyle w:val="12"/>
        <w:tabs>
          <w:tab w:val="right" w:leader="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_Toc4569 </w:instrText>
      </w:r>
      <w:r>
        <w:rPr>
          <w:rFonts w:hint="eastAsia" w:ascii="仿宋_GB2312" w:hAnsi="华文仿宋" w:eastAsia="仿宋_GB2312"/>
          <w:bCs/>
          <w:caps/>
          <w:smallCaps/>
          <w:szCs w:val="24"/>
        </w:rPr>
        <w:fldChar w:fldCharType="separate"/>
      </w:r>
      <w:r>
        <w:rPr>
          <w:rFonts w:hint="eastAsia" w:ascii="仿宋_GB2312" w:hAnsi="华文仿宋" w:eastAsia="仿宋_GB2312"/>
          <w:szCs w:val="28"/>
        </w:rPr>
        <w:t>三、 估价目的</w:t>
      </w:r>
      <w:r>
        <w:tab/>
      </w:r>
      <w:r>
        <w:fldChar w:fldCharType="begin"/>
      </w:r>
      <w:r>
        <w:instrText xml:space="preserve"> PAGEREF _Toc4569 </w:instrText>
      </w:r>
      <w:r>
        <w:fldChar w:fldCharType="separate"/>
      </w:r>
      <w:r>
        <w:t>8</w:t>
      </w:r>
      <w:r>
        <w:fldChar w:fldCharType="end"/>
      </w:r>
      <w:r>
        <w:rPr>
          <w:rFonts w:hint="eastAsia" w:ascii="仿宋_GB2312" w:hAnsi="华文仿宋" w:eastAsia="仿宋_GB2312"/>
          <w:bCs/>
          <w:caps/>
          <w:smallCaps/>
          <w:color w:val="000000"/>
          <w:szCs w:val="24"/>
        </w:rPr>
        <w:fldChar w:fldCharType="end"/>
      </w:r>
    </w:p>
    <w:p>
      <w:pPr>
        <w:pStyle w:val="12"/>
        <w:tabs>
          <w:tab w:val="right" w:leader="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_Toc1195 </w:instrText>
      </w:r>
      <w:r>
        <w:rPr>
          <w:rFonts w:hint="eastAsia" w:ascii="仿宋_GB2312" w:hAnsi="华文仿宋" w:eastAsia="仿宋_GB2312"/>
          <w:bCs/>
          <w:caps/>
          <w:smallCaps/>
          <w:szCs w:val="24"/>
        </w:rPr>
        <w:fldChar w:fldCharType="separate"/>
      </w:r>
      <w:r>
        <w:rPr>
          <w:rFonts w:hint="eastAsia" w:ascii="仿宋_GB2312" w:hAnsi="华文仿宋" w:eastAsia="仿宋_GB2312"/>
          <w:szCs w:val="28"/>
        </w:rPr>
        <w:t>四、估价对象</w:t>
      </w:r>
      <w:r>
        <w:tab/>
      </w:r>
      <w:r>
        <w:fldChar w:fldCharType="begin"/>
      </w:r>
      <w:r>
        <w:instrText xml:space="preserve"> PAGEREF _Toc1195 </w:instrText>
      </w:r>
      <w:r>
        <w:fldChar w:fldCharType="separate"/>
      </w:r>
      <w:r>
        <w:t>8</w:t>
      </w:r>
      <w:r>
        <w:fldChar w:fldCharType="end"/>
      </w:r>
      <w:r>
        <w:rPr>
          <w:rFonts w:hint="eastAsia" w:ascii="仿宋_GB2312" w:hAnsi="华文仿宋" w:eastAsia="仿宋_GB2312"/>
          <w:bCs/>
          <w:caps/>
          <w:smallCaps/>
          <w:color w:val="000000"/>
          <w:szCs w:val="24"/>
        </w:rPr>
        <w:fldChar w:fldCharType="end"/>
      </w:r>
    </w:p>
    <w:p>
      <w:pPr>
        <w:pStyle w:val="12"/>
        <w:tabs>
          <w:tab w:val="right" w:leader="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_Toc26898 </w:instrText>
      </w:r>
      <w:r>
        <w:rPr>
          <w:rFonts w:hint="eastAsia" w:ascii="仿宋_GB2312" w:hAnsi="华文仿宋" w:eastAsia="仿宋_GB2312"/>
          <w:bCs/>
          <w:caps/>
          <w:smallCaps/>
          <w:szCs w:val="24"/>
        </w:rPr>
        <w:fldChar w:fldCharType="separate"/>
      </w:r>
      <w:r>
        <w:rPr>
          <w:rFonts w:hint="eastAsia" w:ascii="仿宋_GB2312" w:hAnsi="华文仿宋" w:eastAsia="仿宋_GB2312"/>
          <w:szCs w:val="28"/>
        </w:rPr>
        <w:t>五、价值时点</w:t>
      </w:r>
      <w:r>
        <w:tab/>
      </w:r>
      <w:r>
        <w:fldChar w:fldCharType="begin"/>
      </w:r>
      <w:r>
        <w:instrText xml:space="preserve"> PAGEREF _Toc26898 </w:instrText>
      </w:r>
      <w:r>
        <w:fldChar w:fldCharType="separate"/>
      </w:r>
      <w:r>
        <w:t>10</w:t>
      </w:r>
      <w:r>
        <w:fldChar w:fldCharType="end"/>
      </w:r>
      <w:r>
        <w:rPr>
          <w:rFonts w:hint="eastAsia" w:ascii="仿宋_GB2312" w:hAnsi="华文仿宋" w:eastAsia="仿宋_GB2312"/>
          <w:bCs/>
          <w:caps/>
          <w:smallCaps/>
          <w:color w:val="000000"/>
          <w:szCs w:val="24"/>
        </w:rPr>
        <w:fldChar w:fldCharType="end"/>
      </w:r>
    </w:p>
    <w:p>
      <w:pPr>
        <w:pStyle w:val="12"/>
        <w:tabs>
          <w:tab w:val="right" w:leader="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_Toc5301 </w:instrText>
      </w:r>
      <w:r>
        <w:rPr>
          <w:rFonts w:hint="eastAsia" w:ascii="仿宋_GB2312" w:hAnsi="华文仿宋" w:eastAsia="仿宋_GB2312"/>
          <w:bCs/>
          <w:caps/>
          <w:smallCaps/>
          <w:szCs w:val="24"/>
        </w:rPr>
        <w:fldChar w:fldCharType="separate"/>
      </w:r>
      <w:r>
        <w:rPr>
          <w:rFonts w:hint="eastAsia" w:ascii="仿宋_GB2312" w:hAnsi="华文仿宋" w:eastAsia="仿宋_GB2312"/>
          <w:szCs w:val="28"/>
        </w:rPr>
        <w:t>六、价值类型</w:t>
      </w:r>
      <w:r>
        <w:tab/>
      </w:r>
      <w:r>
        <w:fldChar w:fldCharType="begin"/>
      </w:r>
      <w:r>
        <w:instrText xml:space="preserve"> PAGEREF _Toc5301 </w:instrText>
      </w:r>
      <w:r>
        <w:fldChar w:fldCharType="separate"/>
      </w:r>
      <w:r>
        <w:t>10</w:t>
      </w:r>
      <w:r>
        <w:fldChar w:fldCharType="end"/>
      </w:r>
      <w:r>
        <w:rPr>
          <w:rFonts w:hint="eastAsia" w:ascii="仿宋_GB2312" w:hAnsi="华文仿宋" w:eastAsia="仿宋_GB2312"/>
          <w:bCs/>
          <w:caps/>
          <w:smallCaps/>
          <w:color w:val="000000"/>
          <w:szCs w:val="24"/>
        </w:rPr>
        <w:fldChar w:fldCharType="end"/>
      </w:r>
    </w:p>
    <w:p>
      <w:pPr>
        <w:pStyle w:val="12"/>
        <w:tabs>
          <w:tab w:val="right" w:leader="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_Toc6386 </w:instrText>
      </w:r>
      <w:r>
        <w:rPr>
          <w:rFonts w:hint="eastAsia" w:ascii="仿宋_GB2312" w:hAnsi="华文仿宋" w:eastAsia="仿宋_GB2312"/>
          <w:bCs/>
          <w:caps/>
          <w:smallCaps/>
          <w:szCs w:val="24"/>
        </w:rPr>
        <w:fldChar w:fldCharType="separate"/>
      </w:r>
      <w:r>
        <w:rPr>
          <w:rFonts w:hint="eastAsia" w:ascii="仿宋_GB2312" w:hAnsi="华文仿宋" w:eastAsia="仿宋_GB2312"/>
          <w:szCs w:val="28"/>
        </w:rPr>
        <w:t>七、估价依据</w:t>
      </w:r>
      <w:r>
        <w:tab/>
      </w:r>
      <w:r>
        <w:fldChar w:fldCharType="begin"/>
      </w:r>
      <w:r>
        <w:instrText xml:space="preserve"> PAGEREF _Toc6386 </w:instrText>
      </w:r>
      <w:r>
        <w:fldChar w:fldCharType="separate"/>
      </w:r>
      <w:r>
        <w:t>10</w:t>
      </w:r>
      <w:r>
        <w:fldChar w:fldCharType="end"/>
      </w:r>
      <w:r>
        <w:rPr>
          <w:rFonts w:hint="eastAsia" w:ascii="仿宋_GB2312" w:hAnsi="华文仿宋" w:eastAsia="仿宋_GB2312"/>
          <w:bCs/>
          <w:caps/>
          <w:smallCaps/>
          <w:color w:val="000000"/>
          <w:szCs w:val="24"/>
        </w:rPr>
        <w:fldChar w:fldCharType="end"/>
      </w:r>
    </w:p>
    <w:p>
      <w:pPr>
        <w:pStyle w:val="12"/>
        <w:tabs>
          <w:tab w:val="right" w:leader="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_Toc443 </w:instrText>
      </w:r>
      <w:r>
        <w:rPr>
          <w:rFonts w:hint="eastAsia" w:ascii="仿宋_GB2312" w:hAnsi="华文仿宋" w:eastAsia="仿宋_GB2312"/>
          <w:bCs/>
          <w:caps/>
          <w:smallCaps/>
          <w:szCs w:val="24"/>
        </w:rPr>
        <w:fldChar w:fldCharType="separate"/>
      </w:r>
      <w:r>
        <w:rPr>
          <w:rFonts w:hint="eastAsia" w:ascii="仿宋_GB2312" w:hAnsi="华文仿宋" w:eastAsia="仿宋_GB2312"/>
          <w:szCs w:val="28"/>
        </w:rPr>
        <w:t>八、估价原则</w:t>
      </w:r>
      <w:r>
        <w:tab/>
      </w:r>
      <w:r>
        <w:fldChar w:fldCharType="begin"/>
      </w:r>
      <w:r>
        <w:instrText xml:space="preserve"> PAGEREF _Toc443 </w:instrText>
      </w:r>
      <w:r>
        <w:fldChar w:fldCharType="separate"/>
      </w:r>
      <w:r>
        <w:t>11</w:t>
      </w:r>
      <w:r>
        <w:fldChar w:fldCharType="end"/>
      </w:r>
      <w:r>
        <w:rPr>
          <w:rFonts w:hint="eastAsia" w:ascii="仿宋_GB2312" w:hAnsi="华文仿宋" w:eastAsia="仿宋_GB2312"/>
          <w:bCs/>
          <w:caps/>
          <w:smallCaps/>
          <w:color w:val="000000"/>
          <w:szCs w:val="24"/>
        </w:rPr>
        <w:fldChar w:fldCharType="end"/>
      </w:r>
    </w:p>
    <w:p>
      <w:pPr>
        <w:pStyle w:val="12"/>
        <w:tabs>
          <w:tab w:val="right" w:leader="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_Toc1557 </w:instrText>
      </w:r>
      <w:r>
        <w:rPr>
          <w:rFonts w:hint="eastAsia" w:ascii="仿宋_GB2312" w:hAnsi="华文仿宋" w:eastAsia="仿宋_GB2312"/>
          <w:bCs/>
          <w:caps/>
          <w:smallCaps/>
          <w:szCs w:val="24"/>
        </w:rPr>
        <w:fldChar w:fldCharType="separate"/>
      </w:r>
      <w:r>
        <w:rPr>
          <w:rFonts w:hint="eastAsia" w:ascii="仿宋_GB2312" w:hAnsi="华文仿宋" w:eastAsia="仿宋_GB2312"/>
          <w:szCs w:val="28"/>
        </w:rPr>
        <w:t>九、估价方法</w:t>
      </w:r>
      <w:r>
        <w:tab/>
      </w:r>
      <w:r>
        <w:fldChar w:fldCharType="begin"/>
      </w:r>
      <w:r>
        <w:instrText xml:space="preserve"> PAGEREF _Toc1557 </w:instrText>
      </w:r>
      <w:r>
        <w:fldChar w:fldCharType="separate"/>
      </w:r>
      <w:r>
        <w:t>13</w:t>
      </w:r>
      <w:r>
        <w:fldChar w:fldCharType="end"/>
      </w:r>
      <w:r>
        <w:rPr>
          <w:rFonts w:hint="eastAsia" w:ascii="仿宋_GB2312" w:hAnsi="华文仿宋" w:eastAsia="仿宋_GB2312"/>
          <w:bCs/>
          <w:caps/>
          <w:smallCaps/>
          <w:color w:val="000000"/>
          <w:szCs w:val="24"/>
        </w:rPr>
        <w:fldChar w:fldCharType="end"/>
      </w:r>
    </w:p>
    <w:p>
      <w:pPr>
        <w:pStyle w:val="12"/>
        <w:tabs>
          <w:tab w:val="right" w:leader="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_Toc8020 </w:instrText>
      </w:r>
      <w:r>
        <w:rPr>
          <w:rFonts w:hint="eastAsia" w:ascii="仿宋_GB2312" w:hAnsi="华文仿宋" w:eastAsia="仿宋_GB2312"/>
          <w:bCs/>
          <w:caps/>
          <w:smallCaps/>
          <w:szCs w:val="24"/>
        </w:rPr>
        <w:fldChar w:fldCharType="separate"/>
      </w:r>
      <w:r>
        <w:rPr>
          <w:rFonts w:hint="eastAsia" w:ascii="仿宋_GB2312" w:hAnsi="华文仿宋" w:eastAsia="仿宋_GB2312"/>
          <w:szCs w:val="28"/>
        </w:rPr>
        <w:t>十一、 估价人员</w:t>
      </w:r>
      <w:r>
        <w:tab/>
      </w:r>
      <w:r>
        <w:fldChar w:fldCharType="begin"/>
      </w:r>
      <w:r>
        <w:instrText xml:space="preserve"> PAGEREF _Toc8020 </w:instrText>
      </w:r>
      <w:r>
        <w:fldChar w:fldCharType="separate"/>
      </w:r>
      <w:r>
        <w:t>15</w:t>
      </w:r>
      <w:r>
        <w:fldChar w:fldCharType="end"/>
      </w:r>
      <w:r>
        <w:rPr>
          <w:rFonts w:hint="eastAsia" w:ascii="仿宋_GB2312" w:hAnsi="华文仿宋" w:eastAsia="仿宋_GB2312"/>
          <w:bCs/>
          <w:caps/>
          <w:smallCaps/>
          <w:color w:val="000000"/>
          <w:szCs w:val="24"/>
        </w:rPr>
        <w:fldChar w:fldCharType="end"/>
      </w:r>
    </w:p>
    <w:p>
      <w:pPr>
        <w:pStyle w:val="12"/>
        <w:tabs>
          <w:tab w:val="right" w:leader="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_Toc31069 </w:instrText>
      </w:r>
      <w:r>
        <w:rPr>
          <w:rFonts w:hint="eastAsia" w:ascii="仿宋_GB2312" w:hAnsi="华文仿宋" w:eastAsia="仿宋_GB2312"/>
          <w:bCs/>
          <w:caps/>
          <w:smallCaps/>
          <w:szCs w:val="24"/>
        </w:rPr>
        <w:fldChar w:fldCharType="separate"/>
      </w:r>
      <w:r>
        <w:rPr>
          <w:rFonts w:hint="eastAsia" w:ascii="仿宋_GB2312" w:hAnsi="华文仿宋" w:eastAsia="仿宋_GB2312"/>
          <w:szCs w:val="28"/>
        </w:rPr>
        <w:t>十</w:t>
      </w:r>
      <w:r>
        <w:rPr>
          <w:rFonts w:hint="eastAsia" w:ascii="仿宋_GB2312" w:hAnsi="华文仿宋" w:eastAsia="仿宋_GB2312"/>
          <w:szCs w:val="28"/>
          <w:lang w:eastAsia="zh-CN"/>
        </w:rPr>
        <w:t>二</w:t>
      </w:r>
      <w:r>
        <w:rPr>
          <w:rFonts w:hint="eastAsia" w:ascii="仿宋_GB2312" w:hAnsi="华文仿宋" w:eastAsia="仿宋_GB2312"/>
          <w:szCs w:val="28"/>
        </w:rPr>
        <w:t>、估价作业日期</w:t>
      </w:r>
      <w:r>
        <w:tab/>
      </w:r>
      <w:r>
        <w:fldChar w:fldCharType="begin"/>
      </w:r>
      <w:r>
        <w:instrText xml:space="preserve"> PAGEREF _Toc31069 </w:instrText>
      </w:r>
      <w:r>
        <w:fldChar w:fldCharType="separate"/>
      </w:r>
      <w:r>
        <w:t>15</w:t>
      </w:r>
      <w:r>
        <w:fldChar w:fldCharType="end"/>
      </w:r>
      <w:r>
        <w:rPr>
          <w:rFonts w:hint="eastAsia" w:ascii="仿宋_GB2312" w:hAnsi="华文仿宋" w:eastAsia="仿宋_GB2312"/>
          <w:bCs/>
          <w:caps/>
          <w:smallCaps/>
          <w:color w:val="000000"/>
          <w:szCs w:val="24"/>
        </w:rPr>
        <w:fldChar w:fldCharType="end"/>
      </w:r>
    </w:p>
    <w:p>
      <w:pPr>
        <w:pStyle w:val="12"/>
        <w:tabs>
          <w:tab w:val="right" w:leader="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_Toc28646 </w:instrText>
      </w:r>
      <w:r>
        <w:rPr>
          <w:rFonts w:hint="eastAsia" w:ascii="仿宋_GB2312" w:hAnsi="华文仿宋" w:eastAsia="仿宋_GB2312"/>
          <w:bCs/>
          <w:caps/>
          <w:smallCaps/>
          <w:szCs w:val="24"/>
        </w:rPr>
        <w:fldChar w:fldCharType="separate"/>
      </w:r>
      <w:r>
        <w:rPr>
          <w:rFonts w:hint="eastAsia" w:ascii="仿宋_GB2312" w:hAnsi="华文仿宋" w:eastAsia="仿宋_GB2312"/>
          <w:szCs w:val="28"/>
        </w:rPr>
        <w:t>十</w:t>
      </w:r>
      <w:r>
        <w:rPr>
          <w:rFonts w:hint="eastAsia" w:ascii="仿宋_GB2312" w:hAnsi="华文仿宋" w:eastAsia="仿宋_GB2312"/>
          <w:szCs w:val="28"/>
          <w:lang w:eastAsia="zh-CN"/>
        </w:rPr>
        <w:t>三</w:t>
      </w:r>
      <w:r>
        <w:rPr>
          <w:rFonts w:hint="eastAsia" w:ascii="仿宋_GB2312" w:hAnsi="华文仿宋" w:eastAsia="仿宋_GB2312"/>
          <w:szCs w:val="28"/>
        </w:rPr>
        <w:t>、估价报告的有效期</w:t>
      </w:r>
      <w:r>
        <w:tab/>
      </w:r>
      <w:r>
        <w:fldChar w:fldCharType="begin"/>
      </w:r>
      <w:r>
        <w:instrText xml:space="preserve"> PAGEREF _Toc28646 </w:instrText>
      </w:r>
      <w:r>
        <w:fldChar w:fldCharType="separate"/>
      </w:r>
      <w:r>
        <w:t>16</w:t>
      </w:r>
      <w:r>
        <w:fldChar w:fldCharType="end"/>
      </w:r>
      <w:r>
        <w:rPr>
          <w:rFonts w:hint="eastAsia" w:ascii="仿宋_GB2312" w:hAnsi="华文仿宋" w:eastAsia="仿宋_GB2312"/>
          <w:bCs/>
          <w:caps/>
          <w:smallCaps/>
          <w:color w:val="000000"/>
          <w:szCs w:val="24"/>
        </w:rPr>
        <w:fldChar w:fldCharType="end"/>
      </w:r>
    </w:p>
    <w:p>
      <w:pPr>
        <w:pStyle w:val="10"/>
        <w:tabs>
          <w:tab w:val="right" w:leader="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_Toc23701 </w:instrText>
      </w:r>
      <w:r>
        <w:rPr>
          <w:rFonts w:hint="eastAsia" w:ascii="仿宋_GB2312" w:hAnsi="华文仿宋" w:eastAsia="仿宋_GB2312"/>
          <w:bCs/>
          <w:caps/>
          <w:smallCaps/>
          <w:szCs w:val="24"/>
        </w:rPr>
        <w:fldChar w:fldCharType="separate"/>
      </w:r>
      <w:r>
        <w:rPr>
          <w:rFonts w:hint="eastAsia" w:ascii="仿宋_GB2312" w:hAnsi="华文仿宋" w:eastAsia="仿宋_GB2312"/>
        </w:rPr>
        <w:t xml:space="preserve">附 </w:t>
      </w:r>
      <w:r>
        <w:rPr>
          <w:rFonts w:hint="eastAsia" w:ascii="仿宋_GB2312" w:hAnsi="华文仿宋" w:eastAsia="仿宋_GB2312"/>
          <w:lang w:val="en-US" w:eastAsia="zh-CN"/>
        </w:rPr>
        <w:t xml:space="preserve">      </w:t>
      </w:r>
      <w:r>
        <w:rPr>
          <w:rFonts w:hint="eastAsia" w:ascii="仿宋_GB2312" w:hAnsi="华文仿宋" w:eastAsia="仿宋_GB2312"/>
        </w:rPr>
        <w:t>件</w:t>
      </w:r>
      <w:r>
        <w:tab/>
      </w:r>
      <w:r>
        <w:fldChar w:fldCharType="begin"/>
      </w:r>
      <w:r>
        <w:instrText xml:space="preserve"> PAGEREF _Toc23701 </w:instrText>
      </w:r>
      <w:r>
        <w:fldChar w:fldCharType="separate"/>
      </w:r>
      <w:r>
        <w:t>17</w:t>
      </w:r>
      <w:r>
        <w:fldChar w:fldCharType="end"/>
      </w:r>
      <w:r>
        <w:rPr>
          <w:rFonts w:hint="eastAsia" w:ascii="仿宋_GB2312" w:hAnsi="华文仿宋" w:eastAsia="仿宋_GB2312"/>
          <w:bCs/>
          <w:caps/>
          <w:smallCaps/>
          <w:color w:val="000000"/>
          <w:szCs w:val="24"/>
        </w:rPr>
        <w:fldChar w:fldCharType="end"/>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448" w:firstLineChars="187"/>
        <w:jc w:val="center"/>
        <w:textAlignment w:val="auto"/>
        <w:outlineLvl w:val="9"/>
        <w:rPr>
          <w:rFonts w:hint="eastAsia" w:ascii="仿宋_GB2312" w:hAnsi="华文仿宋" w:eastAsia="仿宋_GB2312"/>
          <w:bCs/>
          <w:caps/>
          <w:smallCaps/>
          <w:color w:val="000000"/>
          <w:sz w:val="24"/>
          <w:szCs w:val="24"/>
          <w:lang w:val="en-US" w:eastAsia="zh-CN"/>
        </w:rPr>
      </w:pPr>
      <w:r>
        <w:rPr>
          <w:rFonts w:hint="eastAsia" w:ascii="仿宋_GB2312" w:hAnsi="华文仿宋" w:eastAsia="仿宋_GB2312"/>
          <w:bCs/>
          <w:caps/>
          <w:smallCaps/>
          <w:color w:val="000000"/>
          <w:sz w:val="24"/>
          <w:szCs w:val="24"/>
        </w:rPr>
        <w:fldChar w:fldCharType="end"/>
      </w:r>
      <w:r>
        <w:rPr>
          <w:rFonts w:hint="eastAsia" w:ascii="仿宋_GB2312" w:hAnsi="华文仿宋" w:eastAsia="仿宋_GB2312"/>
          <w:bCs/>
          <w:caps/>
          <w:smallCaps/>
          <w:color w:val="000000"/>
          <w:sz w:val="24"/>
          <w:szCs w:val="24"/>
          <w:lang w:val="en-US" w:eastAsia="zh-CN"/>
        </w:rPr>
        <w:t xml:space="preserve">   </w:t>
      </w:r>
      <w:bookmarkStart w:id="0" w:name="_Toc376163785"/>
    </w:p>
    <w:p>
      <w:pPr>
        <w:spacing w:line="0" w:lineRule="atLeast"/>
        <w:ind w:firstLine="448" w:firstLineChars="187"/>
        <w:rPr>
          <w:rFonts w:hint="eastAsia" w:ascii="仿宋_GB2312" w:hAnsi="华文仿宋" w:eastAsia="仿宋_GB2312"/>
          <w:bCs/>
          <w:caps/>
          <w:smallCaps/>
          <w:color w:val="000000"/>
          <w:sz w:val="24"/>
          <w:szCs w:val="24"/>
          <w:lang w:val="en-US" w:eastAsia="zh-CN"/>
        </w:rPr>
      </w:pPr>
    </w:p>
    <w:p>
      <w:pPr>
        <w:spacing w:line="0" w:lineRule="atLeast"/>
        <w:ind w:firstLine="448" w:firstLineChars="187"/>
        <w:rPr>
          <w:rFonts w:hint="eastAsia" w:ascii="仿宋_GB2312" w:hAnsi="华文仿宋" w:eastAsia="仿宋_GB2312"/>
          <w:bCs/>
          <w:caps/>
          <w:smallCaps/>
          <w:color w:val="000000"/>
          <w:sz w:val="24"/>
          <w:szCs w:val="24"/>
          <w:lang w:val="en-US" w:eastAsia="zh-CN"/>
        </w:rPr>
      </w:pPr>
    </w:p>
    <w:p>
      <w:pPr>
        <w:spacing w:line="0" w:lineRule="atLeast"/>
        <w:ind w:firstLine="448" w:firstLineChars="187"/>
        <w:rPr>
          <w:rFonts w:hint="eastAsia" w:ascii="仿宋_GB2312" w:hAnsi="华文仿宋" w:eastAsia="仿宋_GB2312"/>
          <w:bCs/>
          <w:caps/>
          <w:smallCaps/>
          <w:color w:val="000000"/>
          <w:sz w:val="24"/>
          <w:szCs w:val="24"/>
          <w:lang w:val="en-US" w:eastAsia="zh-CN"/>
        </w:rPr>
      </w:pPr>
    </w:p>
    <w:p>
      <w:pPr>
        <w:spacing w:line="0" w:lineRule="atLeast"/>
        <w:ind w:firstLine="448" w:firstLineChars="187"/>
        <w:rPr>
          <w:rFonts w:hint="eastAsia" w:ascii="仿宋_GB2312" w:hAnsi="华文仿宋" w:eastAsia="仿宋_GB2312"/>
          <w:bCs/>
          <w:caps/>
          <w:smallCaps/>
          <w:color w:val="000000"/>
          <w:sz w:val="24"/>
          <w:szCs w:val="24"/>
          <w:lang w:val="en-US" w:eastAsia="zh-CN"/>
        </w:rPr>
      </w:pPr>
    </w:p>
    <w:p>
      <w:pPr>
        <w:spacing w:line="0" w:lineRule="atLeast"/>
        <w:ind w:firstLine="448" w:firstLineChars="187"/>
        <w:rPr>
          <w:rFonts w:hint="eastAsia" w:ascii="仿宋_GB2312" w:hAnsi="华文仿宋" w:eastAsia="仿宋_GB2312"/>
          <w:bCs/>
          <w:caps/>
          <w:smallCaps/>
          <w:color w:val="000000"/>
          <w:sz w:val="24"/>
          <w:szCs w:val="24"/>
          <w:lang w:val="en-US" w:eastAsia="zh-CN"/>
        </w:rPr>
      </w:pPr>
    </w:p>
    <w:p>
      <w:pPr>
        <w:spacing w:line="0" w:lineRule="atLeast"/>
        <w:ind w:firstLine="448" w:firstLineChars="187"/>
        <w:rPr>
          <w:rFonts w:hint="eastAsia" w:ascii="仿宋_GB2312" w:hAnsi="华文仿宋" w:eastAsia="仿宋_GB2312"/>
          <w:bCs/>
          <w:caps/>
          <w:smallCaps/>
          <w:color w:val="000000"/>
          <w:sz w:val="24"/>
          <w:szCs w:val="24"/>
          <w:lang w:val="en-US" w:eastAsia="zh-CN"/>
        </w:rPr>
      </w:pPr>
    </w:p>
    <w:p>
      <w:pPr>
        <w:spacing w:line="0" w:lineRule="atLeast"/>
        <w:ind w:firstLine="448" w:firstLineChars="187"/>
        <w:rPr>
          <w:rFonts w:hint="eastAsia" w:ascii="仿宋_GB2312" w:hAnsi="华文仿宋" w:eastAsia="仿宋_GB2312"/>
          <w:bCs/>
          <w:caps/>
          <w:smallCaps/>
          <w:color w:val="000000"/>
          <w:sz w:val="24"/>
          <w:szCs w:val="24"/>
          <w:lang w:val="en-US" w:eastAsia="zh-CN"/>
        </w:rPr>
      </w:pPr>
    </w:p>
    <w:p>
      <w:pPr>
        <w:spacing w:line="0" w:lineRule="atLeast"/>
        <w:ind w:firstLine="448" w:firstLineChars="187"/>
        <w:rPr>
          <w:rFonts w:hint="eastAsia" w:ascii="仿宋_GB2312" w:hAnsi="华文仿宋" w:eastAsia="仿宋_GB2312"/>
          <w:bCs/>
          <w:caps/>
          <w:smallCaps/>
          <w:color w:val="000000"/>
          <w:sz w:val="24"/>
          <w:szCs w:val="24"/>
          <w:lang w:val="en-US" w:eastAsia="zh-CN"/>
        </w:rPr>
      </w:pPr>
    </w:p>
    <w:p>
      <w:pPr>
        <w:spacing w:line="0" w:lineRule="atLeast"/>
        <w:ind w:firstLine="448" w:firstLineChars="187"/>
        <w:rPr>
          <w:rFonts w:hint="eastAsia" w:ascii="仿宋_GB2312" w:hAnsi="华文仿宋" w:eastAsia="仿宋_GB2312"/>
          <w:bCs/>
          <w:caps/>
          <w:smallCaps/>
          <w:color w:val="000000"/>
          <w:sz w:val="24"/>
          <w:szCs w:val="24"/>
          <w:lang w:val="en-US" w:eastAsia="zh-CN"/>
        </w:rPr>
      </w:pPr>
    </w:p>
    <w:p>
      <w:pPr>
        <w:spacing w:line="0" w:lineRule="atLeast"/>
        <w:ind w:firstLine="448" w:firstLineChars="187"/>
        <w:rPr>
          <w:rFonts w:hint="eastAsia" w:ascii="仿宋_GB2312" w:hAnsi="华文仿宋" w:eastAsia="仿宋_GB2312"/>
          <w:bCs/>
          <w:caps/>
          <w:smallCaps/>
          <w:color w:val="000000"/>
          <w:sz w:val="24"/>
          <w:szCs w:val="24"/>
          <w:lang w:val="en-US" w:eastAsia="zh-CN"/>
        </w:rPr>
      </w:pPr>
    </w:p>
    <w:p>
      <w:pPr>
        <w:spacing w:line="0" w:lineRule="atLeast"/>
        <w:ind w:firstLine="448" w:firstLineChars="187"/>
        <w:rPr>
          <w:rFonts w:hint="eastAsia" w:ascii="仿宋_GB2312" w:hAnsi="华文仿宋" w:eastAsia="仿宋_GB2312"/>
          <w:bCs/>
          <w:caps/>
          <w:smallCaps/>
          <w:color w:val="000000"/>
          <w:sz w:val="24"/>
          <w:szCs w:val="24"/>
          <w:lang w:val="en-US" w:eastAsia="zh-CN"/>
        </w:rPr>
      </w:pPr>
    </w:p>
    <w:p>
      <w:pPr>
        <w:spacing w:line="0" w:lineRule="atLeast"/>
        <w:ind w:firstLine="448" w:firstLineChars="187"/>
        <w:rPr>
          <w:rFonts w:hint="eastAsia" w:ascii="仿宋_GB2312" w:hAnsi="华文仿宋" w:eastAsia="仿宋_GB2312"/>
          <w:bCs/>
          <w:caps/>
          <w:smallCaps/>
          <w:color w:val="000000"/>
          <w:sz w:val="24"/>
          <w:szCs w:val="24"/>
          <w:lang w:val="en-US" w:eastAsia="zh-CN"/>
        </w:rPr>
      </w:pPr>
    </w:p>
    <w:p>
      <w:pPr>
        <w:spacing w:line="0" w:lineRule="atLeast"/>
        <w:ind w:firstLine="374" w:firstLineChars="187"/>
        <w:rPr>
          <w:rStyle w:val="15"/>
          <w:rFonts w:hint="eastAsia" w:ascii="仿宋_GB2312" w:eastAsia="仿宋_GB2312"/>
          <w:smallCaps/>
          <w:sz w:val="20"/>
        </w:rPr>
      </w:pPr>
    </w:p>
    <w:p>
      <w:pPr>
        <w:spacing w:line="0" w:lineRule="atLeast"/>
        <w:ind w:firstLine="374" w:firstLineChars="187"/>
        <w:rPr>
          <w:rStyle w:val="15"/>
          <w:rFonts w:hint="eastAsia" w:ascii="仿宋_GB2312" w:eastAsia="仿宋_GB2312"/>
          <w:smallCaps/>
          <w:sz w:val="20"/>
        </w:rPr>
      </w:pPr>
    </w:p>
    <w:p>
      <w:pPr>
        <w:pStyle w:val="2"/>
        <w:spacing w:before="0" w:after="0" w:line="800" w:lineRule="exact"/>
        <w:jc w:val="center"/>
        <w:rPr>
          <w:rFonts w:hint="eastAsia" w:ascii="仿宋_GB2312" w:hAnsi="华文仿宋" w:eastAsia="仿宋_GB2312"/>
          <w:color w:val="000000"/>
        </w:rPr>
      </w:pPr>
      <w:bookmarkStart w:id="1" w:name="_Toc3555"/>
      <w:r>
        <w:rPr>
          <w:rFonts w:hint="eastAsia" w:ascii="仿宋_GB2312" w:hAnsi="华文仿宋" w:eastAsia="仿宋_GB2312"/>
          <w:color w:val="000000"/>
        </w:rPr>
        <w:t>注册房地产估价师声明</w:t>
      </w:r>
      <w:bookmarkEnd w:id="0"/>
      <w:bookmarkEnd w:id="1"/>
    </w:p>
    <w:p>
      <w:pPr>
        <w:spacing w:line="540" w:lineRule="exact"/>
        <w:rPr>
          <w:rFonts w:hint="eastAsia" w:ascii="仿宋_GB2312" w:hAnsi="华文仿宋" w:eastAsia="仿宋_GB2312"/>
          <w:b/>
          <w:color w:val="000000"/>
          <w:sz w:val="28"/>
          <w:szCs w:val="28"/>
        </w:rPr>
      </w:pPr>
      <w:r>
        <w:rPr>
          <w:rFonts w:hint="eastAsia" w:ascii="仿宋_GB2312" w:hAnsi="华文仿宋" w:eastAsia="仿宋_GB2312"/>
          <w:b/>
          <w:color w:val="000000"/>
          <w:sz w:val="28"/>
          <w:szCs w:val="28"/>
        </w:rPr>
        <w:t>我们郑重声明：</w:t>
      </w:r>
    </w:p>
    <w:p>
      <w:pPr>
        <w:spacing w:line="540" w:lineRule="exact"/>
        <w:ind w:firstLine="700" w:firstLineChars="250"/>
        <w:rPr>
          <w:rFonts w:hint="eastAsia" w:ascii="仿宋_GB2312" w:hAnsi="华文仿宋" w:eastAsia="仿宋_GB2312"/>
          <w:b/>
          <w:color w:val="000000"/>
          <w:sz w:val="28"/>
          <w:szCs w:val="28"/>
        </w:rPr>
      </w:pPr>
      <w:r>
        <w:rPr>
          <w:rFonts w:hint="eastAsia" w:ascii="仿宋_GB2312" w:hAnsi="华文仿宋" w:eastAsia="仿宋_GB2312"/>
          <w:color w:val="000000"/>
          <w:sz w:val="28"/>
          <w:szCs w:val="28"/>
        </w:rPr>
        <w:t>一、我们在本估价报告中陈述的事实是真实和准确的。</w:t>
      </w:r>
    </w:p>
    <w:p>
      <w:pPr>
        <w:spacing w:line="540" w:lineRule="exact"/>
        <w:ind w:firstLine="700" w:firstLineChars="250"/>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二、本估价报告中的分析、意见和结论是我们自己独立、客观、公正的专业分析、意见和结论，但受到本估价报告中已说明的假设和限制条件的限制。</w:t>
      </w:r>
    </w:p>
    <w:p>
      <w:pPr>
        <w:spacing w:line="540" w:lineRule="exact"/>
        <w:ind w:firstLine="700" w:firstLineChars="250"/>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三、我们与本估价报告中的估价对象没有利害关系，也与有关当事人没有个人利害关系或偏见。</w:t>
      </w:r>
    </w:p>
    <w:p>
      <w:pPr>
        <w:spacing w:line="540" w:lineRule="exact"/>
        <w:ind w:firstLine="700" w:firstLineChars="250"/>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四、我们依照中华人民共和国国家标准《房地产估价规范》（GB/T 50291-2015）、《房地产估价基本术语标准》（GB/T 50899-</w:t>
      </w:r>
      <w:r>
        <w:rPr>
          <w:rFonts w:hint="eastAsia" w:ascii="仿宋_GB2312" w:hAnsi="华文仿宋" w:eastAsia="仿宋_GB2312"/>
          <w:color w:val="000000"/>
          <w:sz w:val="28"/>
          <w:szCs w:val="28"/>
          <w:lang w:eastAsia="zh-CN"/>
        </w:rPr>
        <w:t>2011</w:t>
      </w:r>
      <w:r>
        <w:rPr>
          <w:rFonts w:hint="eastAsia" w:ascii="仿宋_GB2312" w:hAnsi="华文仿宋" w:eastAsia="仿宋_GB2312"/>
          <w:color w:val="000000"/>
          <w:sz w:val="28"/>
          <w:szCs w:val="28"/>
        </w:rPr>
        <w:t>）进行分析、测算和判断，形成意见和结论，撰写本估价报告。</w:t>
      </w:r>
    </w:p>
    <w:p>
      <w:pPr>
        <w:autoSpaceDN w:val="0"/>
        <w:spacing w:line="540" w:lineRule="exact"/>
        <w:ind w:firstLine="700" w:firstLineChars="250"/>
        <w:rPr>
          <w:rFonts w:hint="eastAsia" w:ascii="仿宋_GB2312" w:hAnsi="华文仿宋" w:eastAsia="仿宋_GB2312"/>
          <w:color w:val="000000"/>
          <w:sz w:val="28"/>
          <w:szCs w:val="28"/>
          <w:highlight w:val="none"/>
        </w:rPr>
      </w:pPr>
      <w:r>
        <w:rPr>
          <w:rFonts w:hint="eastAsia" w:ascii="仿宋_GB2312" w:hAnsi="华文仿宋" w:eastAsia="仿宋_GB2312"/>
          <w:color w:val="000000"/>
          <w:sz w:val="28"/>
          <w:szCs w:val="28"/>
        </w:rPr>
        <w:t>五</w:t>
      </w:r>
      <w:r>
        <w:rPr>
          <w:rFonts w:hint="eastAsia" w:ascii="仿宋_GB2312" w:hAnsi="华文仿宋" w:eastAsia="仿宋_GB2312"/>
          <w:color w:val="000000"/>
          <w:sz w:val="28"/>
          <w:szCs w:val="28"/>
          <w:highlight w:val="none"/>
        </w:rPr>
        <w:t>、注册房地产估价师于</w:t>
      </w:r>
      <w:r>
        <w:rPr>
          <w:rFonts w:hint="eastAsia" w:ascii="仿宋_GB2312" w:hAnsi="华文仿宋" w:eastAsia="仿宋_GB2312"/>
          <w:color w:val="000000"/>
          <w:sz w:val="28"/>
          <w:szCs w:val="28"/>
          <w:highlight w:val="none"/>
          <w:lang w:eastAsia="zh-CN"/>
        </w:rPr>
        <w:t>201</w:t>
      </w:r>
      <w:r>
        <w:rPr>
          <w:rFonts w:hint="eastAsia" w:ascii="仿宋_GB2312" w:hAnsi="华文仿宋" w:eastAsia="仿宋_GB2312"/>
          <w:color w:val="000000"/>
          <w:sz w:val="28"/>
          <w:szCs w:val="28"/>
          <w:highlight w:val="none"/>
          <w:lang w:val="en-US" w:eastAsia="zh-CN"/>
        </w:rPr>
        <w:t>9</w:t>
      </w:r>
      <w:r>
        <w:rPr>
          <w:rFonts w:hint="eastAsia" w:ascii="仿宋_GB2312" w:hAnsi="华文仿宋" w:eastAsia="仿宋_GB2312"/>
          <w:color w:val="000000"/>
          <w:sz w:val="28"/>
          <w:szCs w:val="28"/>
          <w:highlight w:val="none"/>
          <w:lang w:eastAsia="zh-CN"/>
        </w:rPr>
        <w:t>年</w:t>
      </w:r>
      <w:r>
        <w:rPr>
          <w:rFonts w:hint="eastAsia" w:ascii="仿宋_GB2312" w:hAnsi="华文仿宋" w:eastAsia="仿宋_GB2312"/>
          <w:color w:val="000000"/>
          <w:sz w:val="28"/>
          <w:szCs w:val="28"/>
          <w:highlight w:val="none"/>
          <w:lang w:val="en-US" w:eastAsia="zh-CN"/>
        </w:rPr>
        <w:t>1</w:t>
      </w:r>
      <w:r>
        <w:rPr>
          <w:rFonts w:hint="eastAsia" w:ascii="仿宋_GB2312" w:hAnsi="华文仿宋" w:eastAsia="仿宋_GB2312"/>
          <w:color w:val="000000"/>
          <w:sz w:val="28"/>
          <w:szCs w:val="28"/>
          <w:highlight w:val="none"/>
          <w:lang w:eastAsia="zh-CN"/>
        </w:rPr>
        <w:t>月</w:t>
      </w:r>
      <w:r>
        <w:rPr>
          <w:rFonts w:hint="eastAsia" w:ascii="仿宋_GB2312" w:hAnsi="华文仿宋" w:eastAsia="仿宋_GB2312"/>
          <w:color w:val="000000"/>
          <w:sz w:val="28"/>
          <w:szCs w:val="28"/>
          <w:highlight w:val="none"/>
          <w:lang w:val="en-US" w:eastAsia="zh-CN"/>
        </w:rPr>
        <w:t>7</w:t>
      </w:r>
      <w:r>
        <w:rPr>
          <w:rFonts w:hint="eastAsia" w:ascii="仿宋_GB2312" w:hAnsi="华文仿宋" w:eastAsia="仿宋_GB2312"/>
          <w:color w:val="000000"/>
          <w:sz w:val="28"/>
          <w:szCs w:val="28"/>
          <w:highlight w:val="none"/>
          <w:lang w:eastAsia="zh-CN"/>
        </w:rPr>
        <w:t>日</w:t>
      </w:r>
      <w:r>
        <w:rPr>
          <w:rFonts w:hint="eastAsia" w:ascii="仿宋_GB2312" w:hAnsi="华文仿宋" w:eastAsia="仿宋_GB2312"/>
          <w:color w:val="000000"/>
          <w:sz w:val="28"/>
          <w:szCs w:val="28"/>
          <w:highlight w:val="none"/>
        </w:rPr>
        <w:t>已对本次估价的估价对象进行了实地查勘，</w:t>
      </w:r>
      <w:r>
        <w:rPr>
          <w:rFonts w:hint="eastAsia" w:ascii="仿宋_GB2312" w:eastAsia="仿宋_GB2312"/>
          <w:color w:val="000000"/>
          <w:sz w:val="28"/>
          <w:szCs w:val="28"/>
          <w:highlight w:val="none"/>
        </w:rPr>
        <w:t>并对勘察的客观性、真实性、公正性承担责任，但我们对估价对象的现场勘察仅限于其外观和使用状况，对被遮盖、未暴露及难以接触到的部分，依据委托方提供的资料进行评估。除非另有协议，我们不承担对估价对象建筑结构质量进行调查的责任。</w:t>
      </w:r>
    </w:p>
    <w:p>
      <w:pPr>
        <w:spacing w:line="540" w:lineRule="exact"/>
        <w:ind w:firstLine="700" w:firstLineChars="250"/>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六、没有人对本估价报告提供重要专业帮助。</w:t>
      </w:r>
    </w:p>
    <w:p>
      <w:pPr>
        <w:spacing w:line="540" w:lineRule="exact"/>
        <w:ind w:firstLine="700" w:firstLineChars="250"/>
        <w:rPr>
          <w:rFonts w:hint="eastAsia" w:ascii="仿宋_GB2312" w:eastAsia="仿宋_GB2312"/>
          <w:color w:val="000000"/>
          <w:sz w:val="28"/>
          <w:szCs w:val="28"/>
        </w:rPr>
      </w:pPr>
      <w:r>
        <w:rPr>
          <w:rFonts w:hint="eastAsia" w:ascii="仿宋_GB2312" w:hAnsi="华文仿宋" w:eastAsia="仿宋_GB2312"/>
          <w:color w:val="000000"/>
          <w:sz w:val="28"/>
          <w:szCs w:val="28"/>
        </w:rPr>
        <w:t>七、</w:t>
      </w:r>
      <w:r>
        <w:rPr>
          <w:rFonts w:hint="eastAsia" w:ascii="仿宋_GB2312" w:eastAsia="仿宋_GB2312"/>
          <w:color w:val="000000"/>
          <w:sz w:val="28"/>
          <w:szCs w:val="28"/>
        </w:rPr>
        <w:t>本估价报告的全部或其部分内容不得发表于任何公开媒体上，报告解释权为本评估机构所有。</w:t>
      </w:r>
    </w:p>
    <w:p>
      <w:pPr>
        <w:spacing w:line="540" w:lineRule="exact"/>
        <w:ind w:firstLine="700" w:firstLineChars="250"/>
        <w:rPr>
          <w:rFonts w:hint="eastAsia" w:eastAsia="仿宋_GB2312"/>
          <w:color w:val="000000"/>
          <w:sz w:val="28"/>
          <w:szCs w:val="28"/>
        </w:rPr>
      </w:pPr>
    </w:p>
    <w:p>
      <w:pPr>
        <w:tabs>
          <w:tab w:val="left" w:pos="5460"/>
        </w:tabs>
        <w:spacing w:line="540" w:lineRule="exact"/>
        <w:ind w:firstLine="525"/>
        <w:rPr>
          <w:rFonts w:hint="eastAsia" w:ascii="仿宋_GB2312" w:hAnsi="华文仿宋" w:eastAsia="仿宋_GB2312"/>
          <w:color w:val="000000"/>
          <w:spacing w:val="-4"/>
          <w:sz w:val="28"/>
          <w:szCs w:val="28"/>
          <w:u w:val="single"/>
        </w:rPr>
      </w:pPr>
      <w:r>
        <w:rPr>
          <w:rFonts w:hint="eastAsia" w:ascii="仿宋_GB2312" w:eastAsia="仿宋_GB2312"/>
          <w:sz w:val="28"/>
          <w:szCs w:val="28"/>
          <w:lang w:eastAsia="zh-CN"/>
        </w:rPr>
        <w:t>张晋华(</w:t>
      </w:r>
      <w:r>
        <w:rPr>
          <w:rFonts w:hint="eastAsia" w:ascii="仿宋_GB2312" w:hAnsi="华文仿宋" w:eastAsia="仿宋_GB2312"/>
          <w:color w:val="000000"/>
          <w:spacing w:val="-4"/>
          <w:sz w:val="28"/>
          <w:szCs w:val="28"/>
        </w:rPr>
        <w:t xml:space="preserve">注册房地产估价师  </w:t>
      </w:r>
      <w:r>
        <w:rPr>
          <w:rFonts w:hint="eastAsia" w:ascii="仿宋_GB2312" w:hAnsi="华文仿宋" w:eastAsia="仿宋_GB2312"/>
          <w:color w:val="000000"/>
          <w:sz w:val="28"/>
          <w:szCs w:val="28"/>
        </w:rPr>
        <w:t>注册号:</w:t>
      </w:r>
      <w:r>
        <w:rPr>
          <w:rFonts w:hint="eastAsia" w:ascii="仿宋_GB2312" w:eastAsia="仿宋_GB2312"/>
          <w:sz w:val="28"/>
          <w:szCs w:val="28"/>
          <w:lang w:eastAsia="zh-CN"/>
        </w:rPr>
        <w:t>3320080014</w:t>
      </w:r>
      <w:r>
        <w:rPr>
          <w:rFonts w:hint="eastAsia" w:ascii="仿宋_GB2312" w:hAnsi="华文仿宋" w:eastAsia="仿宋_GB2312"/>
          <w:color w:val="000000"/>
          <w:spacing w:val="-4"/>
          <w:sz w:val="28"/>
          <w:szCs w:val="28"/>
        </w:rPr>
        <w:t>)  签名：</w:t>
      </w:r>
      <w:r>
        <w:rPr>
          <w:rFonts w:hint="eastAsia" w:ascii="仿宋_GB2312" w:hAnsi="华文仿宋" w:eastAsia="仿宋_GB2312"/>
          <w:color w:val="000000"/>
          <w:spacing w:val="-4"/>
          <w:sz w:val="28"/>
          <w:szCs w:val="28"/>
          <w:u w:val="single"/>
        </w:rPr>
        <w:t xml:space="preserve">             </w:t>
      </w:r>
    </w:p>
    <w:p>
      <w:pPr>
        <w:spacing w:line="540" w:lineRule="exact"/>
        <w:ind w:firstLine="525"/>
        <w:rPr>
          <w:rFonts w:hint="eastAsia" w:ascii="仿宋_GB2312" w:hAnsi="华文仿宋" w:eastAsia="仿宋_GB2312"/>
          <w:color w:val="000000"/>
          <w:spacing w:val="-4"/>
          <w:sz w:val="28"/>
          <w:szCs w:val="28"/>
        </w:rPr>
      </w:pPr>
    </w:p>
    <w:p>
      <w:pPr>
        <w:spacing w:line="540" w:lineRule="exact"/>
        <w:ind w:firstLine="525"/>
        <w:rPr>
          <w:rFonts w:hint="eastAsia" w:ascii="仿宋_GB2312" w:hAnsi="华文仿宋" w:eastAsia="仿宋_GB2312"/>
          <w:color w:val="000000"/>
          <w:spacing w:val="-4"/>
          <w:sz w:val="28"/>
          <w:szCs w:val="28"/>
        </w:rPr>
      </w:pPr>
    </w:p>
    <w:p>
      <w:pPr>
        <w:tabs>
          <w:tab w:val="left" w:pos="5460"/>
        </w:tabs>
        <w:spacing w:line="540" w:lineRule="exact"/>
        <w:ind w:firstLine="525"/>
        <w:rPr>
          <w:rFonts w:hint="eastAsia" w:ascii="仿宋_GB2312" w:hAnsi="华文仿宋" w:eastAsia="仿宋_GB2312"/>
          <w:color w:val="000000"/>
          <w:spacing w:val="-4"/>
          <w:sz w:val="28"/>
          <w:szCs w:val="28"/>
          <w:u w:val="single"/>
        </w:rPr>
      </w:pPr>
      <w:r>
        <w:rPr>
          <w:rFonts w:hint="eastAsia" w:ascii="仿宋_GB2312" w:eastAsia="仿宋_GB2312"/>
          <w:sz w:val="28"/>
          <w:szCs w:val="28"/>
          <w:lang w:eastAsia="zh-CN"/>
        </w:rPr>
        <w:t>孟周兵</w:t>
      </w:r>
      <w:r>
        <w:rPr>
          <w:rFonts w:hint="eastAsia" w:ascii="仿宋_GB2312" w:hAnsi="华文仿宋" w:eastAsia="仿宋_GB2312"/>
          <w:color w:val="000000"/>
          <w:spacing w:val="-4"/>
          <w:sz w:val="28"/>
          <w:szCs w:val="28"/>
        </w:rPr>
        <w:t xml:space="preserve">(注册房地产估价师  </w:t>
      </w:r>
      <w:r>
        <w:rPr>
          <w:rFonts w:hint="eastAsia" w:ascii="仿宋_GB2312" w:hAnsi="华文仿宋" w:eastAsia="仿宋_GB2312"/>
          <w:color w:val="000000"/>
          <w:sz w:val="28"/>
          <w:szCs w:val="28"/>
        </w:rPr>
        <w:t>注册号:</w:t>
      </w:r>
      <w:r>
        <w:rPr>
          <w:rFonts w:hint="eastAsia" w:ascii="仿宋_GB2312" w:eastAsia="仿宋_GB2312"/>
          <w:sz w:val="28"/>
          <w:szCs w:val="28"/>
          <w:lang w:eastAsia="zh-CN"/>
        </w:rPr>
        <w:t>5220140034</w:t>
      </w:r>
      <w:r>
        <w:rPr>
          <w:rFonts w:hint="eastAsia" w:ascii="仿宋_GB2312" w:hAnsi="华文仿宋" w:eastAsia="仿宋_GB2312"/>
          <w:color w:val="000000"/>
          <w:spacing w:val="-4"/>
          <w:sz w:val="28"/>
          <w:szCs w:val="28"/>
        </w:rPr>
        <w:t>)  签名：</w:t>
      </w:r>
      <w:r>
        <w:rPr>
          <w:rFonts w:hint="eastAsia" w:ascii="仿宋_GB2312" w:hAnsi="华文仿宋" w:eastAsia="仿宋_GB2312"/>
          <w:color w:val="000000"/>
          <w:spacing w:val="-4"/>
          <w:sz w:val="28"/>
          <w:szCs w:val="28"/>
          <w:u w:val="single"/>
        </w:rPr>
        <w:t xml:space="preserve">             </w:t>
      </w:r>
    </w:p>
    <w:p>
      <w:pPr>
        <w:pStyle w:val="2"/>
        <w:spacing w:before="0" w:after="0" w:line="800" w:lineRule="exact"/>
        <w:jc w:val="center"/>
        <w:rPr>
          <w:rFonts w:hint="eastAsia" w:ascii="仿宋_GB2312" w:hAnsi="华文仿宋" w:eastAsia="仿宋_GB2312"/>
          <w:color w:val="000000"/>
        </w:rPr>
      </w:pPr>
      <w:bookmarkStart w:id="2" w:name="_Toc376163786"/>
      <w:bookmarkStart w:id="3" w:name="_Toc17452"/>
      <w:r>
        <w:rPr>
          <w:rFonts w:hint="eastAsia" w:ascii="仿宋_GB2312" w:hAnsi="华文仿宋" w:eastAsia="仿宋_GB2312"/>
          <w:color w:val="000000"/>
        </w:rPr>
        <w:t>估价的假设和限制条件</w:t>
      </w:r>
      <w:bookmarkEnd w:id="2"/>
      <w:bookmarkEnd w:id="3"/>
    </w:p>
    <w:p>
      <w:pPr>
        <w:pStyle w:val="3"/>
        <w:spacing w:before="0" w:after="0" w:line="540" w:lineRule="exact"/>
        <w:ind w:firstLine="526" w:firstLineChars="187"/>
        <w:rPr>
          <w:rFonts w:hint="eastAsia" w:ascii="仿宋_GB2312" w:hAnsi="华文仿宋" w:eastAsia="仿宋_GB2312"/>
          <w:color w:val="000000"/>
          <w:sz w:val="28"/>
          <w:szCs w:val="28"/>
        </w:rPr>
      </w:pPr>
      <w:bookmarkStart w:id="4" w:name="_Toc376163787"/>
      <w:bookmarkStart w:id="5" w:name="_Toc16034"/>
      <w:r>
        <w:rPr>
          <w:rFonts w:hint="eastAsia" w:ascii="仿宋_GB2312" w:hAnsi="华文仿宋" w:eastAsia="仿宋_GB2312"/>
          <w:color w:val="000000"/>
          <w:sz w:val="28"/>
          <w:szCs w:val="28"/>
        </w:rPr>
        <w:t>一、本次估价的假设前提</w:t>
      </w:r>
      <w:bookmarkEnd w:id="4"/>
      <w:bookmarkEnd w:id="5"/>
    </w:p>
    <w:p>
      <w:pPr>
        <w:snapToGrid w:val="0"/>
        <w:spacing w:line="540" w:lineRule="exact"/>
        <w:ind w:firstLine="560" w:firstLineChars="200"/>
        <w:rPr>
          <w:rFonts w:ascii="仿宋_GB2312" w:hAnsi="华文仿宋" w:eastAsia="仿宋_GB2312"/>
          <w:color w:val="000000"/>
          <w:sz w:val="28"/>
          <w:szCs w:val="28"/>
        </w:rPr>
      </w:pPr>
      <w:r>
        <w:rPr>
          <w:rFonts w:hint="eastAsia" w:ascii="仿宋_GB2312" w:hAnsi="华文仿宋" w:eastAsia="仿宋_GB2312"/>
          <w:color w:val="000000"/>
          <w:sz w:val="28"/>
          <w:szCs w:val="28"/>
        </w:rPr>
        <w:t xml:space="preserve"> (一)</w:t>
      </w:r>
      <w:r>
        <w:rPr>
          <w:rFonts w:ascii="仿宋_GB2312" w:hAnsi="华文仿宋" w:eastAsia="仿宋_GB2312"/>
          <w:color w:val="000000"/>
          <w:sz w:val="28"/>
          <w:szCs w:val="28"/>
        </w:rPr>
        <w:t>一般假设</w:t>
      </w:r>
    </w:p>
    <w:p>
      <w:pPr>
        <w:spacing w:line="540" w:lineRule="exact"/>
        <w:ind w:firstLine="700" w:firstLineChars="250"/>
        <w:rPr>
          <w:rFonts w:ascii="仿宋_GB2312" w:hAnsi="华文仿宋" w:eastAsia="仿宋_GB2312"/>
          <w:color w:val="000000"/>
          <w:sz w:val="28"/>
          <w:szCs w:val="28"/>
        </w:rPr>
      </w:pPr>
      <w:r>
        <w:rPr>
          <w:rFonts w:ascii="仿宋_GB2312" w:hAnsi="华文仿宋" w:eastAsia="仿宋_GB2312"/>
          <w:color w:val="000000"/>
          <w:sz w:val="28"/>
          <w:szCs w:val="28"/>
        </w:rPr>
        <w:t>1</w:t>
      </w:r>
      <w:r>
        <w:rPr>
          <w:rFonts w:hint="eastAsia" w:ascii="仿宋_GB2312" w:hAnsi="华文仿宋" w:eastAsia="仿宋_GB2312"/>
          <w:color w:val="000000"/>
          <w:sz w:val="28"/>
          <w:szCs w:val="28"/>
        </w:rPr>
        <w:t>.</w:t>
      </w:r>
      <w:r>
        <w:rPr>
          <w:rFonts w:ascii="仿宋_GB2312" w:hAnsi="华文仿宋" w:eastAsia="仿宋_GB2312"/>
          <w:color w:val="000000"/>
          <w:sz w:val="28"/>
          <w:szCs w:val="28"/>
        </w:rPr>
        <w:t>关于估价委托人提供</w:t>
      </w:r>
      <w:r>
        <w:rPr>
          <w:rFonts w:hint="eastAsia" w:ascii="仿宋_GB2312" w:hAnsi="华文仿宋" w:eastAsia="仿宋_GB2312"/>
          <w:color w:val="000000"/>
          <w:sz w:val="28"/>
          <w:szCs w:val="28"/>
        </w:rPr>
        <w:t>的估价对象权属、面积、用途等</w:t>
      </w:r>
      <w:r>
        <w:rPr>
          <w:rFonts w:ascii="仿宋_GB2312" w:hAnsi="华文仿宋" w:eastAsia="仿宋_GB2312"/>
          <w:color w:val="000000"/>
          <w:sz w:val="28"/>
          <w:szCs w:val="28"/>
        </w:rPr>
        <w:t>资料，我们已进行了审慎的检查，但未向政府相关部门进行核</w:t>
      </w:r>
      <w:r>
        <w:rPr>
          <w:rFonts w:hint="eastAsia" w:ascii="仿宋_GB2312" w:hAnsi="华文仿宋" w:eastAsia="仿宋_GB2312"/>
          <w:color w:val="000000"/>
          <w:sz w:val="28"/>
          <w:szCs w:val="28"/>
        </w:rPr>
        <w:t>实</w:t>
      </w:r>
      <w:r>
        <w:rPr>
          <w:rFonts w:ascii="仿宋_GB2312" w:hAnsi="华文仿宋" w:eastAsia="仿宋_GB2312"/>
          <w:color w:val="000000"/>
          <w:sz w:val="28"/>
          <w:szCs w:val="28"/>
        </w:rPr>
        <w:t>，在无理由怀疑估价委托人所提供资料的合法性、真实性、准确性和完整性的情况下，本次估价以估价委托人所提供的的资料是合法、真实、准确和完整的为假设前提，但我们不对估价委托人所提供资料的合法性、真实性、准确性和完整性负责</w:t>
      </w:r>
      <w:r>
        <w:rPr>
          <w:rFonts w:hint="eastAsia" w:ascii="仿宋_GB2312" w:hAnsi="华文仿宋" w:eastAsia="仿宋_GB2312"/>
          <w:color w:val="000000"/>
          <w:sz w:val="28"/>
          <w:szCs w:val="28"/>
        </w:rPr>
        <w:t>，不承担由此带来的任何评估风险和责任</w:t>
      </w:r>
      <w:r>
        <w:rPr>
          <w:rFonts w:ascii="仿宋_GB2312" w:hAnsi="华文仿宋" w:eastAsia="仿宋_GB2312"/>
          <w:color w:val="000000"/>
          <w:sz w:val="28"/>
          <w:szCs w:val="28"/>
        </w:rPr>
        <w:t>。</w:t>
      </w:r>
    </w:p>
    <w:p>
      <w:pPr>
        <w:spacing w:line="540" w:lineRule="exact"/>
        <w:ind w:firstLine="700" w:firstLineChars="250"/>
        <w:rPr>
          <w:rFonts w:ascii="仿宋_GB2312" w:hAnsi="华文仿宋" w:eastAsia="仿宋_GB2312"/>
          <w:color w:val="000000"/>
          <w:sz w:val="28"/>
          <w:szCs w:val="28"/>
        </w:rPr>
      </w:pPr>
      <w:r>
        <w:rPr>
          <w:rFonts w:ascii="仿宋_GB2312" w:hAnsi="华文仿宋" w:eastAsia="仿宋_GB2312"/>
          <w:color w:val="000000"/>
          <w:sz w:val="28"/>
          <w:szCs w:val="28"/>
        </w:rPr>
        <w:t>2</w:t>
      </w:r>
      <w:r>
        <w:rPr>
          <w:rFonts w:hint="eastAsia" w:ascii="仿宋_GB2312" w:hAnsi="华文仿宋" w:eastAsia="仿宋_GB2312"/>
          <w:color w:val="000000"/>
          <w:sz w:val="28"/>
          <w:szCs w:val="28"/>
        </w:rPr>
        <w:t>.</w:t>
      </w:r>
      <w:r>
        <w:rPr>
          <w:rFonts w:ascii="仿宋_GB2312" w:hAnsi="华文仿宋" w:eastAsia="仿宋_GB2312"/>
          <w:color w:val="000000"/>
          <w:sz w:val="28"/>
          <w:szCs w:val="28"/>
        </w:rPr>
        <w:t>我们未获得估价对象的</w:t>
      </w:r>
      <w:r>
        <w:rPr>
          <w:rFonts w:hint="eastAsia" w:ascii="仿宋_GB2312" w:hAnsi="华文仿宋" w:eastAsia="仿宋_GB2312"/>
          <w:color w:val="000000"/>
          <w:sz w:val="28"/>
          <w:szCs w:val="28"/>
        </w:rPr>
        <w:t>房屋</w:t>
      </w:r>
      <w:r>
        <w:rPr>
          <w:rFonts w:ascii="仿宋_GB2312" w:hAnsi="华文仿宋" w:eastAsia="仿宋_GB2312"/>
          <w:color w:val="000000"/>
          <w:sz w:val="28"/>
          <w:szCs w:val="28"/>
        </w:rPr>
        <w:t>建筑面积、</w:t>
      </w:r>
      <w:r>
        <w:rPr>
          <w:rFonts w:hint="eastAsia" w:ascii="仿宋_GB2312" w:hAnsi="华文仿宋" w:eastAsia="仿宋_GB2312"/>
          <w:color w:val="000000"/>
          <w:sz w:val="28"/>
          <w:szCs w:val="28"/>
        </w:rPr>
        <w:t>土地</w:t>
      </w:r>
      <w:r>
        <w:rPr>
          <w:rFonts w:ascii="仿宋_GB2312" w:hAnsi="华文仿宋" w:eastAsia="仿宋_GB2312"/>
          <w:color w:val="000000"/>
          <w:sz w:val="28"/>
          <w:szCs w:val="28"/>
        </w:rPr>
        <w:t>使用权</w:t>
      </w:r>
      <w:r>
        <w:rPr>
          <w:rFonts w:hint="eastAsia" w:ascii="仿宋_GB2312" w:hAnsi="华文仿宋" w:eastAsia="仿宋_GB2312"/>
          <w:color w:val="000000"/>
          <w:sz w:val="28"/>
          <w:szCs w:val="28"/>
        </w:rPr>
        <w:t>面积的测量专业意见，故未对其进行专业测量。本次估价我们以估价委托人提供的</w:t>
      </w:r>
      <w:r>
        <w:rPr>
          <w:rFonts w:hint="eastAsia" w:ascii="仿宋_GB2312" w:hAnsi="华文仿宋" w:eastAsia="仿宋_GB2312"/>
          <w:color w:val="000000"/>
          <w:sz w:val="28"/>
          <w:szCs w:val="28"/>
          <w:lang w:eastAsia="zh-CN"/>
        </w:rPr>
        <w:t>《贵州省兴义市人民法院评估委托书》【（2018）黔2301委评104号】和《不动产权登记记载表》</w:t>
      </w:r>
      <w:r>
        <w:rPr>
          <w:rFonts w:ascii="仿宋_GB2312" w:hAnsi="华文仿宋" w:eastAsia="仿宋_GB2312"/>
          <w:color w:val="000000"/>
          <w:sz w:val="28"/>
          <w:szCs w:val="28"/>
        </w:rPr>
        <w:t>所记载数据为准进行相关说明和测算。</w:t>
      </w:r>
    </w:p>
    <w:p>
      <w:pPr>
        <w:spacing w:line="540" w:lineRule="exact"/>
        <w:ind w:firstLine="700" w:firstLineChars="250"/>
        <w:rPr>
          <w:rFonts w:ascii="仿宋_GB2312" w:hAnsi="华文仿宋" w:eastAsia="仿宋_GB2312"/>
          <w:color w:val="000000"/>
          <w:sz w:val="28"/>
          <w:szCs w:val="28"/>
        </w:rPr>
      </w:pPr>
      <w:r>
        <w:rPr>
          <w:rFonts w:hint="eastAsia" w:ascii="仿宋_GB2312" w:hAnsi="华文仿宋" w:eastAsia="仿宋_GB2312"/>
          <w:color w:val="000000"/>
          <w:sz w:val="28"/>
          <w:szCs w:val="28"/>
        </w:rPr>
        <w:t>3.</w:t>
      </w:r>
      <w:r>
        <w:rPr>
          <w:rFonts w:ascii="仿宋_GB2312" w:hAnsi="华文仿宋" w:eastAsia="仿宋_GB2312"/>
          <w:color w:val="000000"/>
          <w:sz w:val="28"/>
          <w:szCs w:val="28"/>
        </w:rPr>
        <w:t>我们对估价对象进行了实地查勘，但我们仅</w:t>
      </w:r>
      <w:r>
        <w:rPr>
          <w:rFonts w:hint="eastAsia" w:ascii="仿宋_GB2312" w:hAnsi="华文仿宋" w:eastAsia="仿宋_GB2312"/>
          <w:color w:val="000000"/>
          <w:sz w:val="28"/>
          <w:szCs w:val="28"/>
        </w:rPr>
        <w:t>对房屋进行了</w:t>
      </w:r>
      <w:r>
        <w:rPr>
          <w:rFonts w:ascii="仿宋_GB2312" w:hAnsi="华文仿宋" w:eastAsia="仿宋_GB2312"/>
          <w:color w:val="000000"/>
          <w:sz w:val="28"/>
          <w:szCs w:val="28"/>
        </w:rPr>
        <w:t>外观和使用状况一般性的察看，并未进行结构测量和设备测试以确认估价对象是否存在结构性损害</w:t>
      </w:r>
      <w:r>
        <w:rPr>
          <w:rFonts w:hint="eastAsia" w:ascii="仿宋_GB2312" w:hAnsi="华文仿宋" w:eastAsia="仿宋_GB2312"/>
          <w:color w:val="000000"/>
          <w:sz w:val="28"/>
          <w:szCs w:val="28"/>
        </w:rPr>
        <w:t>、建筑物内部缺损</w:t>
      </w:r>
      <w:r>
        <w:rPr>
          <w:rFonts w:ascii="仿宋_GB2312" w:hAnsi="华文仿宋" w:eastAsia="仿宋_GB2312"/>
          <w:color w:val="000000"/>
          <w:sz w:val="28"/>
          <w:szCs w:val="28"/>
        </w:rPr>
        <w:t>或其他缺陷；我们已对房屋安全、环境污染等影响估价对象价值的重大因素给予了关注</w:t>
      </w:r>
      <w:r>
        <w:rPr>
          <w:rFonts w:hint="eastAsia" w:ascii="仿宋_GB2312" w:hAnsi="华文仿宋" w:eastAsia="仿宋_GB2312"/>
          <w:color w:val="000000"/>
          <w:sz w:val="28"/>
          <w:szCs w:val="28"/>
        </w:rPr>
        <w:t>，</w:t>
      </w:r>
      <w:r>
        <w:rPr>
          <w:rFonts w:ascii="仿宋_GB2312" w:hAnsi="华文仿宋" w:eastAsia="仿宋_GB2312"/>
          <w:color w:val="000000"/>
          <w:sz w:val="28"/>
          <w:szCs w:val="28"/>
        </w:rPr>
        <w:t>在无理由怀疑估价对象存在安全、环境污染隐患且无相应的专业机构进行鉴定、检测的情况下，假定估价对象能正常安全使用。</w:t>
      </w:r>
    </w:p>
    <w:p>
      <w:pPr>
        <w:snapToGrid w:val="0"/>
        <w:spacing w:line="540" w:lineRule="exact"/>
        <w:ind w:firstLine="495" w:firstLineChars="177"/>
        <w:rPr>
          <w:rFonts w:ascii="仿宋_GB2312" w:hAnsi="华文仿宋" w:eastAsia="仿宋_GB2312"/>
          <w:color w:val="000000"/>
          <w:sz w:val="28"/>
          <w:szCs w:val="28"/>
        </w:rPr>
      </w:pPr>
      <w:r>
        <w:rPr>
          <w:rFonts w:ascii="仿宋_GB2312" w:hAnsi="华文仿宋" w:eastAsia="仿宋_GB2312"/>
          <w:color w:val="000000"/>
          <w:sz w:val="28"/>
          <w:szCs w:val="28"/>
        </w:rPr>
        <w:t>4</w:t>
      </w:r>
      <w:r>
        <w:rPr>
          <w:rFonts w:hint="eastAsia" w:ascii="仿宋_GB2312" w:hAnsi="华文仿宋" w:eastAsia="仿宋_GB2312"/>
          <w:color w:val="000000"/>
          <w:sz w:val="28"/>
          <w:szCs w:val="28"/>
        </w:rPr>
        <w:t>.</w:t>
      </w:r>
      <w:r>
        <w:rPr>
          <w:rFonts w:ascii="仿宋_GB2312" w:hAnsi="华文仿宋" w:eastAsia="仿宋_GB2312"/>
          <w:color w:val="000000"/>
          <w:sz w:val="28"/>
          <w:szCs w:val="28"/>
        </w:rPr>
        <w:t>估价对象在价值时点的房地产市场为公开、平等、自愿的市场交易，即能满足以下条件：</w:t>
      </w:r>
    </w:p>
    <w:p>
      <w:pPr>
        <w:snapToGrid w:val="0"/>
        <w:spacing w:line="540" w:lineRule="exact"/>
        <w:ind w:firstLine="495" w:firstLineChars="177"/>
        <w:rPr>
          <w:rFonts w:ascii="仿宋_GB2312" w:hAnsi="华文仿宋" w:eastAsia="仿宋_GB2312"/>
          <w:color w:val="000000"/>
          <w:sz w:val="28"/>
          <w:szCs w:val="28"/>
        </w:rPr>
      </w:pPr>
      <w:r>
        <w:rPr>
          <w:rFonts w:hint="eastAsia" w:ascii="仿宋_GB2312" w:hAnsi="华文仿宋" w:eastAsia="仿宋_GB2312"/>
          <w:color w:val="000000"/>
          <w:sz w:val="28"/>
          <w:szCs w:val="28"/>
        </w:rPr>
        <w:t xml:space="preserve"> ⑴</w:t>
      </w:r>
      <w:r>
        <w:rPr>
          <w:rFonts w:ascii="仿宋_GB2312" w:hAnsi="华文仿宋" w:eastAsia="仿宋_GB2312"/>
          <w:color w:val="000000"/>
          <w:sz w:val="28"/>
          <w:szCs w:val="28"/>
        </w:rPr>
        <w:t>交易双方是自愿地进行交易的；</w:t>
      </w:r>
    </w:p>
    <w:p>
      <w:pPr>
        <w:snapToGrid w:val="0"/>
        <w:spacing w:line="540" w:lineRule="exact"/>
        <w:ind w:firstLine="495" w:firstLineChars="177"/>
        <w:rPr>
          <w:rFonts w:ascii="仿宋_GB2312" w:hAnsi="华文仿宋" w:eastAsia="仿宋_GB2312"/>
          <w:color w:val="000000"/>
          <w:sz w:val="28"/>
          <w:szCs w:val="28"/>
        </w:rPr>
      </w:pPr>
      <w:r>
        <w:rPr>
          <w:rFonts w:hint="eastAsia" w:ascii="仿宋_GB2312" w:hAnsi="华文仿宋" w:eastAsia="仿宋_GB2312"/>
          <w:color w:val="000000"/>
          <w:sz w:val="28"/>
          <w:szCs w:val="28"/>
        </w:rPr>
        <w:t xml:space="preserve"> ⑵</w:t>
      </w:r>
      <w:r>
        <w:rPr>
          <w:rFonts w:ascii="仿宋_GB2312" w:hAnsi="华文仿宋" w:eastAsia="仿宋_GB2312"/>
          <w:color w:val="000000"/>
          <w:sz w:val="28"/>
          <w:szCs w:val="28"/>
        </w:rPr>
        <w:t xml:space="preserve">交易双方是出于利己动机进行交易的； </w:t>
      </w:r>
    </w:p>
    <w:p>
      <w:pPr>
        <w:snapToGrid w:val="0"/>
        <w:spacing w:line="540" w:lineRule="exact"/>
        <w:ind w:firstLine="495" w:firstLineChars="177"/>
        <w:rPr>
          <w:rFonts w:ascii="仿宋_GB2312" w:hAnsi="华文仿宋" w:eastAsia="仿宋_GB2312"/>
          <w:color w:val="000000"/>
          <w:sz w:val="28"/>
          <w:szCs w:val="28"/>
        </w:rPr>
      </w:pPr>
      <w:r>
        <w:rPr>
          <w:rFonts w:hint="eastAsia" w:ascii="仿宋_GB2312" w:hAnsi="华文仿宋" w:eastAsia="仿宋_GB2312"/>
          <w:color w:val="000000"/>
          <w:sz w:val="28"/>
          <w:szCs w:val="28"/>
        </w:rPr>
        <w:t xml:space="preserve"> ⑶</w:t>
      </w:r>
      <w:r>
        <w:rPr>
          <w:rFonts w:ascii="仿宋_GB2312" w:hAnsi="华文仿宋" w:eastAsia="仿宋_GB2312"/>
          <w:color w:val="000000"/>
          <w:sz w:val="28"/>
          <w:szCs w:val="28"/>
        </w:rPr>
        <w:t>交易双方是精明的、谨慎行事的，并且了解交易对象、知晓市场行情；</w:t>
      </w:r>
    </w:p>
    <w:p>
      <w:pPr>
        <w:snapToGrid w:val="0"/>
        <w:spacing w:line="540" w:lineRule="exact"/>
        <w:ind w:firstLine="495" w:firstLineChars="177"/>
        <w:rPr>
          <w:rFonts w:ascii="仿宋_GB2312" w:hAnsi="华文仿宋" w:eastAsia="仿宋_GB2312"/>
          <w:color w:val="000000"/>
          <w:sz w:val="28"/>
          <w:szCs w:val="28"/>
        </w:rPr>
      </w:pPr>
      <w:r>
        <w:rPr>
          <w:rFonts w:hint="eastAsia" w:ascii="仿宋_GB2312" w:hAnsi="华文仿宋" w:eastAsia="仿宋_GB2312"/>
          <w:color w:val="000000"/>
          <w:sz w:val="28"/>
          <w:szCs w:val="28"/>
        </w:rPr>
        <w:t xml:space="preserve"> ⑷</w:t>
      </w:r>
      <w:r>
        <w:rPr>
          <w:rFonts w:ascii="仿宋_GB2312" w:hAnsi="华文仿宋" w:eastAsia="仿宋_GB2312"/>
          <w:color w:val="000000"/>
          <w:sz w:val="28"/>
          <w:szCs w:val="28"/>
        </w:rPr>
        <w:t>交易双方有较充裕的时间进行交易；</w:t>
      </w:r>
    </w:p>
    <w:p>
      <w:pPr>
        <w:snapToGrid w:val="0"/>
        <w:spacing w:line="540" w:lineRule="exact"/>
        <w:ind w:left="0" w:leftChars="0" w:firstLine="638" w:firstLineChars="228"/>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⑸</w:t>
      </w:r>
      <w:r>
        <w:rPr>
          <w:rFonts w:ascii="仿宋_GB2312" w:hAnsi="华文仿宋" w:eastAsia="仿宋_GB2312"/>
          <w:color w:val="000000"/>
          <w:sz w:val="28"/>
          <w:szCs w:val="28"/>
        </w:rPr>
        <w:t>不</w:t>
      </w:r>
      <w:r>
        <w:rPr>
          <w:rFonts w:hint="eastAsia" w:ascii="仿宋_GB2312" w:hAnsi="华文仿宋" w:eastAsia="仿宋_GB2312"/>
          <w:color w:val="000000"/>
          <w:sz w:val="28"/>
          <w:szCs w:val="28"/>
        </w:rPr>
        <w:t>存在买者因特殊兴趣而给予附加出价</w:t>
      </w:r>
      <w:r>
        <w:rPr>
          <w:rFonts w:ascii="仿宋_GB2312" w:hAnsi="华文仿宋" w:eastAsia="仿宋_GB2312"/>
          <w:color w:val="000000"/>
          <w:sz w:val="28"/>
          <w:szCs w:val="28"/>
        </w:rPr>
        <w:t>。</w:t>
      </w:r>
    </w:p>
    <w:p>
      <w:pPr>
        <w:snapToGrid w:val="0"/>
        <w:spacing w:line="540" w:lineRule="exact"/>
        <w:rPr>
          <w:rFonts w:hint="eastAsia" w:ascii="仿宋_GB2312" w:hAnsi="华文仿宋" w:eastAsia="仿宋_GB2312"/>
          <w:color w:val="000000"/>
          <w:sz w:val="28"/>
          <w:szCs w:val="28"/>
        </w:rPr>
      </w:pPr>
      <w:r>
        <w:rPr>
          <w:rFonts w:hint="eastAsia" w:ascii="仿宋_GB2312" w:hAnsi="华文仿宋" w:eastAsia="仿宋_GB2312"/>
          <w:color w:val="000000"/>
          <w:sz w:val="28"/>
          <w:szCs w:val="28"/>
          <w:lang w:val="en-US" w:eastAsia="zh-CN"/>
        </w:rPr>
        <w:t xml:space="preserve">    </w:t>
      </w:r>
      <w:r>
        <w:rPr>
          <w:rFonts w:hint="eastAsia" w:ascii="仿宋_GB2312" w:hAnsi="华文仿宋" w:eastAsia="仿宋_GB2312"/>
          <w:color w:val="000000"/>
          <w:sz w:val="28"/>
          <w:szCs w:val="28"/>
        </w:rPr>
        <w:t>5.估价对象为整个房地产中的一部分，应享有公共部位的通行权及水电等共用设施的使用权。</w:t>
      </w:r>
    </w:p>
    <w:p>
      <w:pPr>
        <w:snapToGrid w:val="0"/>
        <w:spacing w:line="540" w:lineRule="exact"/>
        <w:rPr>
          <w:rFonts w:hint="eastAsia" w:ascii="仿宋_GB2312" w:hAnsi="华文仿宋" w:eastAsia="仿宋_GB2312"/>
          <w:color w:val="000000"/>
          <w:sz w:val="28"/>
          <w:szCs w:val="28"/>
        </w:rPr>
      </w:pPr>
      <w:r>
        <w:rPr>
          <w:rFonts w:hint="eastAsia" w:ascii="仿宋_GB2312" w:hAnsi="华文仿宋" w:eastAsia="仿宋_GB2312"/>
          <w:color w:val="000000"/>
          <w:sz w:val="28"/>
          <w:szCs w:val="28"/>
          <w:lang w:val="en-US" w:eastAsia="zh-CN"/>
        </w:rPr>
        <w:t xml:space="preserve">    </w:t>
      </w:r>
      <w:r>
        <w:rPr>
          <w:rFonts w:hint="eastAsia" w:ascii="仿宋_GB2312" w:hAnsi="华文仿宋" w:eastAsia="仿宋_GB2312"/>
          <w:color w:val="000000"/>
          <w:sz w:val="28"/>
          <w:szCs w:val="28"/>
        </w:rPr>
        <w:t>（二）未定事项假设</w:t>
      </w:r>
    </w:p>
    <w:p>
      <w:pPr>
        <w:snapToGrid w:val="0"/>
        <w:spacing w:line="540" w:lineRule="exact"/>
        <w:rPr>
          <w:rFonts w:hint="eastAsia" w:ascii="仿宋_GB2312" w:hAnsi="华文仿宋" w:eastAsia="仿宋_GB2312"/>
          <w:color w:val="000000"/>
          <w:sz w:val="28"/>
          <w:szCs w:val="28"/>
          <w:highlight w:val="none"/>
        </w:rPr>
      </w:pPr>
      <w:r>
        <w:rPr>
          <w:rFonts w:hint="eastAsia" w:ascii="仿宋_GB2312" w:hAnsi="华文仿宋" w:eastAsia="仿宋_GB2312"/>
          <w:color w:val="000000"/>
          <w:sz w:val="28"/>
          <w:szCs w:val="28"/>
          <w:highlight w:val="none"/>
          <w:lang w:val="en-US" w:eastAsia="zh-CN"/>
        </w:rPr>
        <w:t xml:space="preserve">    </w:t>
      </w:r>
      <w:r>
        <w:rPr>
          <w:rFonts w:hint="eastAsia" w:ascii="仿宋_GB2312" w:hAnsi="华文仿宋" w:eastAsia="仿宋_GB2312"/>
          <w:color w:val="000000"/>
          <w:sz w:val="28"/>
          <w:szCs w:val="28"/>
          <w:highlight w:val="none"/>
        </w:rPr>
        <w:t>未定事项假设是指估价所必需的尚未明确或不够明确的房屋的建成年代、土地用途、容积率等事项所做的合理的、最可能的假定。</w:t>
      </w:r>
    </w:p>
    <w:p>
      <w:pPr>
        <w:snapToGrid w:val="0"/>
        <w:spacing w:line="540" w:lineRule="exact"/>
        <w:rPr>
          <w:rFonts w:hint="eastAsia" w:ascii="仿宋_GB2312" w:hAnsi="华文仿宋" w:eastAsia="仿宋_GB2312"/>
          <w:color w:val="000000"/>
          <w:sz w:val="28"/>
          <w:szCs w:val="28"/>
          <w:highlight w:val="yellow"/>
        </w:rPr>
      </w:pPr>
      <w:r>
        <w:rPr>
          <w:rFonts w:hint="eastAsia" w:ascii="仿宋_GB2312" w:hAnsi="华文仿宋" w:eastAsia="仿宋_GB2312"/>
          <w:color w:val="000000"/>
          <w:sz w:val="28"/>
          <w:szCs w:val="28"/>
          <w:lang w:val="en-US" w:eastAsia="zh-CN"/>
        </w:rPr>
        <w:t xml:space="preserve">    </w:t>
      </w:r>
      <w:r>
        <w:rPr>
          <w:rFonts w:hint="eastAsia" w:ascii="仿宋_GB2312" w:hAnsi="华文仿宋" w:eastAsia="仿宋_GB2312"/>
          <w:color w:val="000000"/>
          <w:sz w:val="28"/>
          <w:szCs w:val="28"/>
        </w:rPr>
        <w:t>估价委托人提供的权属资料未记载房屋的建成年代，经估价人员实地调查，估价对象的建成时间为</w:t>
      </w:r>
      <w:r>
        <w:rPr>
          <w:rFonts w:hint="eastAsia" w:ascii="仿宋_GB2312" w:hAnsi="华文仿宋" w:eastAsia="仿宋_GB2312"/>
          <w:color w:val="000000"/>
          <w:sz w:val="28"/>
          <w:szCs w:val="28"/>
          <w:lang w:val="en-US" w:eastAsia="zh-CN"/>
        </w:rPr>
        <w:t>2007</w:t>
      </w:r>
      <w:r>
        <w:rPr>
          <w:rFonts w:hint="eastAsia" w:ascii="仿宋_GB2312" w:hAnsi="华文仿宋" w:eastAsia="仿宋_GB2312"/>
          <w:color w:val="000000"/>
          <w:sz w:val="28"/>
          <w:szCs w:val="28"/>
        </w:rPr>
        <w:t>年，故关于房屋的建成年代，本次评估以实地调查的建成时间为准，若实地调查的建成时间与房屋建成年代事实不符，则报告需作调整或重新出具报告。</w:t>
      </w:r>
    </w:p>
    <w:p>
      <w:pPr>
        <w:snapToGrid w:val="0"/>
        <w:spacing w:line="540" w:lineRule="exact"/>
        <w:rPr>
          <w:rFonts w:hint="eastAsia" w:ascii="仿宋_GB2312" w:hAnsi="华文仿宋" w:eastAsia="仿宋_GB2312"/>
          <w:color w:val="000000"/>
          <w:sz w:val="28"/>
          <w:szCs w:val="28"/>
        </w:rPr>
      </w:pPr>
      <w:r>
        <w:rPr>
          <w:rFonts w:hint="eastAsia" w:ascii="仿宋_GB2312" w:hAnsi="华文仿宋" w:eastAsia="仿宋_GB2312"/>
          <w:color w:val="000000"/>
          <w:sz w:val="28"/>
          <w:szCs w:val="28"/>
          <w:lang w:val="en-US" w:eastAsia="zh-CN"/>
        </w:rPr>
        <w:t xml:space="preserve">    </w:t>
      </w:r>
      <w:r>
        <w:rPr>
          <w:rFonts w:hint="eastAsia" w:ascii="仿宋_GB2312" w:hAnsi="华文仿宋" w:eastAsia="仿宋_GB2312"/>
          <w:color w:val="000000"/>
          <w:sz w:val="28"/>
          <w:szCs w:val="28"/>
        </w:rPr>
        <w:t>（三）背离事实假设</w:t>
      </w:r>
    </w:p>
    <w:p>
      <w:pPr>
        <w:snapToGrid w:val="0"/>
        <w:spacing w:line="540" w:lineRule="exact"/>
        <w:rPr>
          <w:rFonts w:hint="eastAsia" w:ascii="仿宋_GB2312" w:hAnsi="华文仿宋" w:eastAsia="仿宋_GB2312"/>
          <w:color w:val="000000"/>
          <w:sz w:val="28"/>
          <w:szCs w:val="28"/>
        </w:rPr>
      </w:pPr>
      <w:r>
        <w:rPr>
          <w:rFonts w:hint="eastAsia" w:ascii="仿宋_GB2312" w:hAnsi="华文仿宋" w:eastAsia="仿宋_GB2312"/>
          <w:color w:val="000000"/>
          <w:sz w:val="28"/>
          <w:szCs w:val="28"/>
          <w:lang w:val="en-US" w:eastAsia="zh-CN"/>
        </w:rPr>
        <w:t xml:space="preserve">    1.</w:t>
      </w:r>
      <w:r>
        <w:rPr>
          <w:rFonts w:hint="eastAsia" w:ascii="仿宋_GB2312" w:hAnsi="华文仿宋" w:eastAsia="仿宋_GB2312"/>
          <w:color w:val="000000"/>
          <w:sz w:val="28"/>
          <w:szCs w:val="28"/>
        </w:rPr>
        <w:t>估价时没有考虑国家宏观经济政策发生变化、市场供应关系变化、市场结构转变、遇有自然力和其他不可抗力等因素对房地产价值的影响，也没有考虑估价对象在特殊交易方式下的特殊交易价格对估价结果的影响；当上述条件发生变化时，估价结果一般亦会发生变化。</w:t>
      </w:r>
    </w:p>
    <w:p>
      <w:pPr>
        <w:snapToGrid w:val="0"/>
        <w:spacing w:line="540" w:lineRule="exact"/>
        <w:ind w:firstLine="560"/>
        <w:rPr>
          <w:rFonts w:hint="eastAsia" w:ascii="仿宋_GB2312" w:hAnsi="华文仿宋" w:eastAsia="仿宋_GB2312"/>
          <w:color w:val="000000"/>
          <w:sz w:val="28"/>
          <w:szCs w:val="28"/>
        </w:rPr>
      </w:pPr>
      <w:r>
        <w:rPr>
          <w:rFonts w:hint="eastAsia" w:ascii="仿宋_GB2312" w:hAnsi="华文仿宋" w:eastAsia="仿宋_GB2312"/>
          <w:color w:val="000000"/>
          <w:sz w:val="28"/>
          <w:szCs w:val="28"/>
          <w:lang w:val="en-US" w:eastAsia="zh-CN"/>
        </w:rPr>
        <w:t>2.</w:t>
      </w:r>
      <w:r>
        <w:rPr>
          <w:rFonts w:hint="eastAsia" w:ascii="仿宋_GB2312" w:hAnsi="华文仿宋" w:eastAsia="仿宋_GB2312"/>
          <w:color w:val="000000"/>
          <w:sz w:val="28"/>
          <w:szCs w:val="28"/>
        </w:rPr>
        <w:t>估价结果未考虑估价对象及其所有权人已承担的债务、或有债务及经营决策失误或市场运作失当对其价值的影响。</w:t>
      </w:r>
    </w:p>
    <w:p>
      <w:pPr>
        <w:snapToGrid w:val="0"/>
        <w:spacing w:line="540" w:lineRule="exact"/>
        <w:ind w:firstLine="560" w:firstLineChars="200"/>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（四）不相一致假设</w:t>
      </w:r>
    </w:p>
    <w:p>
      <w:pPr>
        <w:snapToGrid w:val="0"/>
        <w:spacing w:line="540" w:lineRule="exact"/>
        <w:ind w:firstLine="700" w:firstLineChars="250"/>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本次估价对象状况之间无不一致，故无不相一致假设。</w:t>
      </w:r>
    </w:p>
    <w:p>
      <w:pPr>
        <w:snapToGrid w:val="0"/>
        <w:spacing w:line="540" w:lineRule="exact"/>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 xml:space="preserve">    （五）依据不足假设</w:t>
      </w:r>
    </w:p>
    <w:p>
      <w:pPr>
        <w:snapToGrid w:val="0"/>
        <w:spacing w:line="540" w:lineRule="exact"/>
        <w:ind w:firstLine="700" w:firstLineChars="250"/>
        <w:rPr>
          <w:rFonts w:hint="eastAsia" w:ascii="仿宋_GB2312" w:hAnsi="华文仿宋" w:eastAsia="仿宋_GB2312"/>
          <w:color w:val="000000"/>
          <w:sz w:val="28"/>
          <w:szCs w:val="28"/>
        </w:rPr>
      </w:pPr>
      <w:bookmarkStart w:id="6" w:name="_Toc376163788"/>
      <w:r>
        <w:rPr>
          <w:rFonts w:hint="eastAsia" w:ascii="仿宋_GB2312" w:hAnsi="华文仿宋" w:eastAsia="仿宋_GB2312"/>
          <w:color w:val="000000"/>
          <w:sz w:val="28"/>
          <w:szCs w:val="28"/>
        </w:rPr>
        <w:t>估价委托人仅提供了估价对象权属证明复印件，我们未能查阅其权属证明原件，亦未就权属证明复印件的合法性、真实性、准确性及完整性向政府相关部门进行核查，在无理由怀疑估价委托人提供的权属证明复印件的合法性、真实性、准确性及完整性的情况下，本次估价假定估价委托人提供的权证证明复印件登记内容与权属证明原件登记内容一致。</w:t>
      </w:r>
    </w:p>
    <w:p>
      <w:pPr>
        <w:pStyle w:val="3"/>
        <w:spacing w:before="0" w:after="0" w:line="540" w:lineRule="exact"/>
        <w:rPr>
          <w:rFonts w:hint="eastAsia" w:ascii="仿宋_GB2312" w:hAnsi="华文仿宋" w:eastAsia="仿宋_GB2312"/>
          <w:color w:val="000000"/>
          <w:sz w:val="28"/>
          <w:szCs w:val="28"/>
        </w:rPr>
      </w:pPr>
      <w:r>
        <w:rPr>
          <w:rFonts w:hint="eastAsia" w:ascii="仿宋_GB2312" w:hAnsi="华文仿宋" w:eastAsia="仿宋_GB2312"/>
          <w:color w:val="000000"/>
          <w:sz w:val="28"/>
          <w:szCs w:val="28"/>
          <w:lang w:val="en-US" w:eastAsia="zh-CN"/>
        </w:rPr>
        <w:t xml:space="preserve">    </w:t>
      </w:r>
      <w:bookmarkStart w:id="7" w:name="_Toc2812"/>
      <w:r>
        <w:rPr>
          <w:rFonts w:hint="eastAsia" w:ascii="仿宋_GB2312" w:hAnsi="华文仿宋" w:eastAsia="仿宋_GB2312"/>
          <w:color w:val="000000"/>
          <w:sz w:val="28"/>
          <w:szCs w:val="28"/>
        </w:rPr>
        <w:t>二、本报告使用的限制条件</w:t>
      </w:r>
      <w:bookmarkEnd w:id="6"/>
      <w:bookmarkEnd w:id="7"/>
    </w:p>
    <w:p>
      <w:pPr>
        <w:adjustRightInd w:val="0"/>
        <w:snapToGrid w:val="0"/>
        <w:spacing w:line="540" w:lineRule="exact"/>
        <w:rPr>
          <w:rFonts w:hint="eastAsia" w:ascii="仿宋_GB2312" w:eastAsia="仿宋_GB2312"/>
          <w:sz w:val="28"/>
          <w:szCs w:val="28"/>
        </w:rPr>
      </w:pPr>
      <w:r>
        <w:rPr>
          <w:rFonts w:hint="eastAsia" w:ascii="仿宋_GB2312" w:hAnsi="华文仿宋" w:eastAsia="仿宋_GB2312"/>
          <w:sz w:val="28"/>
          <w:szCs w:val="28"/>
          <w:lang w:val="en-US" w:eastAsia="zh-CN"/>
        </w:rPr>
        <w:t xml:space="preserve">    </w:t>
      </w:r>
      <w:r>
        <w:rPr>
          <w:rFonts w:hint="eastAsia" w:ascii="仿宋_GB2312" w:hAnsi="华文仿宋" w:eastAsia="仿宋_GB2312"/>
          <w:sz w:val="28"/>
          <w:szCs w:val="28"/>
        </w:rPr>
        <w:t>(一)本估价报告估价结果</w:t>
      </w:r>
      <w:r>
        <w:rPr>
          <w:rFonts w:hint="eastAsia" w:ascii="仿宋_GB2312" w:eastAsia="仿宋_GB2312"/>
          <w:sz w:val="28"/>
          <w:szCs w:val="28"/>
        </w:rPr>
        <w:t>是根据本次估价目的，对估价对象在保持现使用状态下评估测算出的，仅作</w:t>
      </w:r>
      <w:r>
        <w:rPr>
          <w:rFonts w:hint="eastAsia" w:ascii="仿宋_GB2312" w:eastAsia="仿宋_GB2312" w:cs="仿宋_GB2312"/>
          <w:b w:val="0"/>
          <w:bCs w:val="0"/>
          <w:kern w:val="0"/>
          <w:sz w:val="28"/>
          <w:szCs w:val="28"/>
          <w:lang w:val="en-US" w:eastAsia="zh-CN" w:bidi="ar-SA"/>
        </w:rPr>
        <w:t>为</w:t>
      </w:r>
      <w:r>
        <w:rPr>
          <w:rFonts w:hint="eastAsia" w:ascii="仿宋_GB2312" w:eastAsia="仿宋_GB2312"/>
          <w:sz w:val="28"/>
          <w:szCs w:val="28"/>
        </w:rPr>
        <w:t>委托方案件执行提供价值参考依据而评估房地产市场价值，不得用于其它目的，若用于其他用途，对使用者造成的损失，我公司不承担任何责任。</w:t>
      </w:r>
    </w:p>
    <w:p>
      <w:pPr>
        <w:spacing w:line="540" w:lineRule="exact"/>
        <w:rPr>
          <w:rFonts w:hint="eastAsia" w:ascii="仿宋_GB2312" w:hAnsi="华文仿宋" w:eastAsia="仿宋_GB2312"/>
          <w:sz w:val="28"/>
          <w:szCs w:val="28"/>
        </w:rPr>
      </w:pPr>
      <w:r>
        <w:rPr>
          <w:rFonts w:hint="eastAsia" w:ascii="仿宋_GB2312" w:hAnsi="华文仿宋" w:eastAsia="仿宋_GB2312"/>
          <w:sz w:val="28"/>
          <w:szCs w:val="28"/>
          <w:lang w:val="en-US" w:eastAsia="zh-CN"/>
        </w:rPr>
        <w:t xml:space="preserve">    </w:t>
      </w:r>
      <w:r>
        <w:rPr>
          <w:rFonts w:hint="eastAsia" w:ascii="仿宋_GB2312" w:hAnsi="华文仿宋" w:eastAsia="仿宋_GB2312"/>
          <w:sz w:val="28"/>
          <w:szCs w:val="28"/>
        </w:rPr>
        <w:t>(二)本估价报告使用期限自估价报告出具之日起为壹年，即自</w:t>
      </w:r>
      <w:r>
        <w:rPr>
          <w:rFonts w:hint="eastAsia" w:ascii="仿宋_GB2312" w:hAnsi="华文仿宋" w:eastAsia="仿宋_GB2312"/>
          <w:sz w:val="28"/>
          <w:szCs w:val="28"/>
          <w:lang w:eastAsia="zh-CN"/>
        </w:rPr>
        <w:t>201</w:t>
      </w:r>
      <w:r>
        <w:rPr>
          <w:rFonts w:hint="eastAsia" w:ascii="仿宋_GB2312" w:hAnsi="华文仿宋" w:eastAsia="仿宋_GB2312"/>
          <w:sz w:val="28"/>
          <w:szCs w:val="28"/>
          <w:lang w:val="en-US" w:eastAsia="zh-CN"/>
        </w:rPr>
        <w:t>9</w:t>
      </w:r>
      <w:r>
        <w:rPr>
          <w:rFonts w:hint="eastAsia" w:ascii="仿宋_GB2312" w:hAnsi="华文仿宋" w:eastAsia="仿宋_GB2312"/>
          <w:sz w:val="28"/>
          <w:szCs w:val="28"/>
          <w:lang w:eastAsia="zh-CN"/>
        </w:rPr>
        <w:t>年</w:t>
      </w:r>
      <w:r>
        <w:rPr>
          <w:rFonts w:hint="eastAsia" w:ascii="仿宋_GB2312" w:hAnsi="华文仿宋" w:eastAsia="仿宋_GB2312"/>
          <w:sz w:val="28"/>
          <w:szCs w:val="28"/>
          <w:lang w:val="en-US" w:eastAsia="zh-CN"/>
        </w:rPr>
        <w:t>1</w:t>
      </w:r>
      <w:r>
        <w:rPr>
          <w:rFonts w:hint="eastAsia" w:ascii="仿宋_GB2312" w:hAnsi="华文仿宋" w:eastAsia="仿宋_GB2312"/>
          <w:sz w:val="28"/>
          <w:szCs w:val="28"/>
          <w:lang w:eastAsia="zh-CN"/>
        </w:rPr>
        <w:t>月</w:t>
      </w:r>
      <w:r>
        <w:rPr>
          <w:rFonts w:hint="eastAsia" w:ascii="仿宋_GB2312" w:hAnsi="华文仿宋" w:eastAsia="仿宋_GB2312"/>
          <w:sz w:val="28"/>
          <w:szCs w:val="28"/>
          <w:lang w:val="en-US" w:eastAsia="zh-CN"/>
        </w:rPr>
        <w:t>17</w:t>
      </w:r>
      <w:r>
        <w:rPr>
          <w:rFonts w:hint="eastAsia" w:ascii="仿宋_GB2312" w:hAnsi="华文仿宋" w:eastAsia="仿宋_GB2312"/>
          <w:sz w:val="28"/>
          <w:szCs w:val="28"/>
          <w:lang w:eastAsia="zh-CN"/>
        </w:rPr>
        <w:t>日至20</w:t>
      </w:r>
      <w:r>
        <w:rPr>
          <w:rFonts w:hint="eastAsia" w:ascii="仿宋_GB2312" w:hAnsi="华文仿宋" w:eastAsia="仿宋_GB2312"/>
          <w:sz w:val="28"/>
          <w:szCs w:val="28"/>
          <w:lang w:val="en-US" w:eastAsia="zh-CN"/>
        </w:rPr>
        <w:t>20</w:t>
      </w:r>
      <w:r>
        <w:rPr>
          <w:rFonts w:hint="eastAsia" w:ascii="仿宋_GB2312" w:hAnsi="华文仿宋" w:eastAsia="仿宋_GB2312"/>
          <w:sz w:val="28"/>
          <w:szCs w:val="28"/>
          <w:lang w:eastAsia="zh-CN"/>
        </w:rPr>
        <w:t>年</w:t>
      </w:r>
      <w:r>
        <w:rPr>
          <w:rFonts w:hint="eastAsia" w:ascii="仿宋_GB2312" w:hAnsi="华文仿宋" w:eastAsia="仿宋_GB2312"/>
          <w:sz w:val="28"/>
          <w:szCs w:val="28"/>
          <w:lang w:val="en-US" w:eastAsia="zh-CN"/>
        </w:rPr>
        <w:t>1</w:t>
      </w:r>
      <w:r>
        <w:rPr>
          <w:rFonts w:hint="eastAsia" w:ascii="仿宋_GB2312" w:hAnsi="华文仿宋" w:eastAsia="仿宋_GB2312"/>
          <w:sz w:val="28"/>
          <w:szCs w:val="28"/>
          <w:lang w:eastAsia="zh-CN"/>
        </w:rPr>
        <w:t>月</w:t>
      </w:r>
      <w:r>
        <w:rPr>
          <w:rFonts w:hint="eastAsia" w:ascii="仿宋_GB2312" w:hAnsi="华文仿宋" w:eastAsia="仿宋_GB2312"/>
          <w:sz w:val="28"/>
          <w:szCs w:val="28"/>
          <w:lang w:val="en-US" w:eastAsia="zh-CN"/>
        </w:rPr>
        <w:t>16</w:t>
      </w:r>
      <w:r>
        <w:rPr>
          <w:rFonts w:hint="eastAsia" w:ascii="仿宋_GB2312" w:hAnsi="华文仿宋" w:eastAsia="仿宋_GB2312"/>
          <w:sz w:val="28"/>
          <w:szCs w:val="28"/>
          <w:lang w:eastAsia="zh-CN"/>
        </w:rPr>
        <w:t>日止</w:t>
      </w:r>
      <w:r>
        <w:rPr>
          <w:rFonts w:hint="eastAsia" w:ascii="仿宋_GB2312" w:hAnsi="华文仿宋" w:eastAsia="仿宋_GB2312"/>
          <w:sz w:val="28"/>
          <w:szCs w:val="28"/>
        </w:rPr>
        <w:t>，若报告使用期限内，房地产市场或估价对象状况发生重大变化，估价结果需做相应调整或委托估价机构重新估价。</w:t>
      </w:r>
    </w:p>
    <w:p>
      <w:pPr>
        <w:spacing w:line="540" w:lineRule="exact"/>
        <w:ind w:firstLine="560" w:firstLineChars="200"/>
        <w:rPr>
          <w:rFonts w:hint="eastAsia" w:ascii="仿宋_GB2312" w:hAnsi="华文仿宋" w:eastAsia="仿宋_GB2312"/>
          <w:sz w:val="28"/>
          <w:szCs w:val="28"/>
        </w:rPr>
      </w:pPr>
      <w:r>
        <w:rPr>
          <w:rFonts w:hint="eastAsia" w:ascii="仿宋_GB2312" w:hAnsi="华文仿宋" w:eastAsia="仿宋_GB2312"/>
          <w:sz w:val="28"/>
          <w:szCs w:val="28"/>
        </w:rPr>
        <w:t>(三)</w:t>
      </w:r>
      <w:r>
        <w:rPr>
          <w:rFonts w:hint="eastAsia" w:ascii="仿宋_GB2312" w:eastAsia="仿宋_GB2312"/>
          <w:sz w:val="28"/>
          <w:szCs w:val="28"/>
        </w:rPr>
        <w:t>本报告包括封面、目录、致估价委托人函、估价师声明、估价假设和限制条件、估价结果报告、附件共</w:t>
      </w:r>
      <w:r>
        <w:rPr>
          <w:rFonts w:hint="eastAsia" w:ascii="仿宋_GB2312" w:eastAsia="仿宋_GB2312"/>
          <w:sz w:val="28"/>
          <w:szCs w:val="28"/>
          <w:lang w:eastAsia="zh-CN"/>
        </w:rPr>
        <w:t>七</w:t>
      </w:r>
      <w:r>
        <w:rPr>
          <w:rFonts w:hint="eastAsia" w:ascii="仿宋_GB2312" w:eastAsia="仿宋_GB2312"/>
          <w:sz w:val="28"/>
          <w:szCs w:val="28"/>
        </w:rPr>
        <w:t>部分。估价报告必须完整使用方为有效，对使用本报告中部分内容而导致的损失，我公司不承担任何责任。</w:t>
      </w:r>
    </w:p>
    <w:p>
      <w:pPr>
        <w:spacing w:line="540" w:lineRule="exact"/>
        <w:ind w:firstLine="560" w:firstLineChars="200"/>
        <w:rPr>
          <w:rFonts w:hint="eastAsia" w:ascii="仿宋_GB2312" w:hAnsi="华文仿宋" w:eastAsia="仿宋_GB2312"/>
          <w:sz w:val="28"/>
          <w:szCs w:val="28"/>
        </w:rPr>
      </w:pPr>
      <w:r>
        <w:rPr>
          <w:rFonts w:hint="eastAsia" w:ascii="仿宋_GB2312" w:hAnsi="华文仿宋" w:eastAsia="仿宋_GB2312"/>
          <w:sz w:val="28"/>
          <w:szCs w:val="28"/>
        </w:rPr>
        <w:t>(四)估价报告的估价结果是在满足本报告的假设条件及价值内涵条件下的房地产市场价值，若价值时点、建筑面积、权属状况、价值类型、实物状况、区位状况等影响房地产价值的因素发生变化，本估价报告中的估价结果必须进行相应的调整方能使用本估价报告。</w:t>
      </w:r>
    </w:p>
    <w:p>
      <w:pPr>
        <w:spacing w:line="540" w:lineRule="exact"/>
        <w:ind w:firstLine="560" w:firstLineChars="200"/>
        <w:rPr>
          <w:rFonts w:hint="eastAsia" w:ascii="仿宋_GB2312" w:hAnsi="华文仿宋" w:eastAsia="仿宋_GB2312"/>
          <w:sz w:val="28"/>
          <w:szCs w:val="28"/>
        </w:rPr>
      </w:pPr>
      <w:r>
        <w:rPr>
          <w:rFonts w:hint="eastAsia" w:ascii="仿宋_GB2312" w:hAnsi="华文仿宋" w:eastAsia="仿宋_GB2312"/>
          <w:sz w:val="28"/>
          <w:szCs w:val="28"/>
        </w:rPr>
        <w:t>(五)未经估价机构书面同意，本估价报告的全部或部分及任何参考资料均不允许在任何公开发表的文件、通告或声明中引用，亦不得以其他任何方式公开发表。</w:t>
      </w:r>
    </w:p>
    <w:p>
      <w:pPr>
        <w:adjustRightInd w:val="0"/>
        <w:snapToGrid w:val="0"/>
        <w:spacing w:line="540" w:lineRule="exact"/>
        <w:ind w:firstLine="560" w:firstLineChars="200"/>
        <w:rPr>
          <w:rFonts w:hint="eastAsia" w:ascii="仿宋_GB2312" w:eastAsia="仿宋_GB2312"/>
          <w:sz w:val="28"/>
          <w:szCs w:val="28"/>
        </w:rPr>
      </w:pPr>
      <w:r>
        <w:rPr>
          <w:rFonts w:hint="eastAsia" w:ascii="仿宋_GB2312" w:hAnsi="华文仿宋" w:eastAsia="仿宋_GB2312"/>
          <w:sz w:val="28"/>
          <w:szCs w:val="28"/>
        </w:rPr>
        <w:t>(六)</w:t>
      </w:r>
      <w:r>
        <w:rPr>
          <w:rFonts w:hint="eastAsia" w:ascii="仿宋_GB2312" w:eastAsia="仿宋_GB2312"/>
          <w:sz w:val="28"/>
          <w:szCs w:val="28"/>
        </w:rPr>
        <w:t>本估价报告不作为估价对象权属确认的依据。</w:t>
      </w:r>
    </w:p>
    <w:p>
      <w:pPr>
        <w:adjustRightInd w:val="0"/>
        <w:snapToGrid w:val="0"/>
        <w:spacing w:line="540" w:lineRule="exact"/>
        <w:ind w:firstLine="560" w:firstLineChars="200"/>
        <w:rPr>
          <w:rFonts w:hint="eastAsia" w:ascii="仿宋_GB2312" w:eastAsia="仿宋_GB2312"/>
          <w:sz w:val="28"/>
          <w:szCs w:val="28"/>
          <w:lang w:eastAsia="zh-CN"/>
        </w:rPr>
      </w:pPr>
      <w:r>
        <w:rPr>
          <w:rFonts w:hint="eastAsia" w:ascii="仿宋_GB2312" w:hAnsi="华文仿宋" w:eastAsia="仿宋_GB2312"/>
          <w:sz w:val="28"/>
          <w:szCs w:val="28"/>
        </w:rPr>
        <w:t>(七)</w:t>
      </w:r>
      <w:r>
        <w:rPr>
          <w:rFonts w:hint="eastAsia" w:ascii="仿宋_GB2312" w:eastAsia="仿宋_GB2312"/>
          <w:sz w:val="28"/>
          <w:szCs w:val="28"/>
        </w:rPr>
        <w:t>本报告对估价对象市场价格的把握，仅相对于价值时点的假设条件、市场状况而言，并未考虑市场价格波动、税率变化、国家经济政策发生变化以及其他不可抗力等因素对估价对象价值的影响。使用者应当充分考虑估价对象状况和房地产市场状况因时间变化对房地产价值可能产生的影响；应当定期或者在房地产市场价格变化较快时对房地产价值进行再评估</w:t>
      </w:r>
      <w:r>
        <w:rPr>
          <w:rFonts w:hint="eastAsia" w:ascii="仿宋_GB2312" w:eastAsia="仿宋_GB2312"/>
          <w:sz w:val="28"/>
          <w:szCs w:val="28"/>
          <w:lang w:eastAsia="zh-CN"/>
        </w:rPr>
        <w:t>。</w:t>
      </w:r>
    </w:p>
    <w:p>
      <w:pPr>
        <w:adjustRightInd w:val="0"/>
        <w:snapToGrid w:val="0"/>
        <w:spacing w:line="540" w:lineRule="exact"/>
        <w:ind w:firstLine="560" w:firstLineChars="200"/>
        <w:rPr>
          <w:rFonts w:hint="eastAsia" w:ascii="仿宋_GB2312" w:eastAsia="仿宋_GB2312"/>
          <w:sz w:val="28"/>
          <w:szCs w:val="28"/>
          <w:lang w:eastAsia="zh-CN"/>
        </w:rPr>
      </w:pPr>
    </w:p>
    <w:p>
      <w:pPr>
        <w:adjustRightInd w:val="0"/>
        <w:snapToGrid w:val="0"/>
        <w:spacing w:line="540" w:lineRule="exact"/>
        <w:ind w:firstLine="883" w:firstLineChars="200"/>
        <w:jc w:val="center"/>
        <w:rPr>
          <w:rFonts w:hint="eastAsia" w:ascii="仿宋_GB2312" w:hAnsi="华文仿宋" w:eastAsia="仿宋_GB2312"/>
          <w:b/>
          <w:bCs/>
          <w:color w:val="000000"/>
          <w:sz w:val="44"/>
          <w:szCs w:val="44"/>
        </w:rPr>
      </w:pPr>
      <w:bookmarkStart w:id="8" w:name="_Toc30635"/>
      <w:bookmarkStart w:id="9" w:name="_Toc376163792"/>
      <w:r>
        <w:rPr>
          <w:rFonts w:hint="eastAsia" w:ascii="仿宋_GB2312" w:hAnsi="华文仿宋" w:eastAsia="仿宋_GB2312"/>
          <w:b/>
          <w:bCs/>
          <w:color w:val="000000"/>
          <w:sz w:val="44"/>
          <w:szCs w:val="44"/>
        </w:rPr>
        <w:t>房地产估价结果报告</w:t>
      </w:r>
      <w:bookmarkEnd w:id="8"/>
    </w:p>
    <w:p>
      <w:pPr>
        <w:pStyle w:val="3"/>
        <w:spacing w:before="0" w:after="0" w:line="540" w:lineRule="exact"/>
        <w:ind w:firstLine="562" w:firstLineChars="200"/>
        <w:rPr>
          <w:rFonts w:hint="eastAsia" w:ascii="仿宋_GB2312" w:hAnsi="华文仿宋" w:eastAsia="仿宋_GB2312"/>
          <w:color w:val="000000"/>
          <w:sz w:val="28"/>
          <w:szCs w:val="28"/>
          <w:lang w:val="en-US" w:eastAsia="zh-CN"/>
        </w:rPr>
      </w:pPr>
      <w:bookmarkStart w:id="10" w:name="_Toc28062"/>
      <w:r>
        <w:rPr>
          <w:rFonts w:hint="eastAsia" w:ascii="仿宋_GB2312" w:hAnsi="华文仿宋" w:eastAsia="仿宋_GB2312"/>
          <w:color w:val="000000"/>
          <w:sz w:val="28"/>
          <w:szCs w:val="28"/>
          <w:lang w:val="en-US" w:eastAsia="zh-CN"/>
        </w:rPr>
        <w:t>一、</w:t>
      </w:r>
      <w:bookmarkEnd w:id="9"/>
      <w:r>
        <w:rPr>
          <w:rFonts w:hint="eastAsia" w:ascii="仿宋_GB2312" w:hAnsi="华文仿宋" w:eastAsia="仿宋_GB2312"/>
          <w:color w:val="000000"/>
          <w:sz w:val="28"/>
          <w:szCs w:val="28"/>
          <w:lang w:val="en-US" w:eastAsia="zh-CN"/>
        </w:rPr>
        <w:t>估价委托人</w:t>
      </w:r>
      <w:bookmarkEnd w:id="10"/>
    </w:p>
    <w:p>
      <w:pPr>
        <w:spacing w:line="540" w:lineRule="exact"/>
        <w:ind w:left="525"/>
        <w:rPr>
          <w:rFonts w:hint="eastAsia" w:ascii="仿宋_GB2312" w:eastAsia="仿宋_GB2312"/>
          <w:color w:val="000000"/>
          <w:sz w:val="28"/>
          <w:szCs w:val="28"/>
        </w:rPr>
      </w:pPr>
      <w:r>
        <w:rPr>
          <w:rFonts w:hint="eastAsia" w:ascii="仿宋_GB2312" w:eastAsia="仿宋_GB2312"/>
          <w:color w:val="000000"/>
          <w:sz w:val="28"/>
          <w:szCs w:val="28"/>
          <w:lang w:eastAsia="zh-CN"/>
        </w:rPr>
        <w:t>委托单位</w:t>
      </w:r>
      <w:r>
        <w:rPr>
          <w:rFonts w:hint="eastAsia" w:ascii="仿宋_GB2312" w:eastAsia="仿宋_GB2312"/>
          <w:color w:val="000000"/>
          <w:sz w:val="28"/>
          <w:szCs w:val="28"/>
        </w:rPr>
        <w:t>：</w:t>
      </w:r>
      <w:r>
        <w:rPr>
          <w:rFonts w:hint="eastAsia" w:ascii="仿宋_GB2312" w:eastAsia="仿宋_GB2312"/>
          <w:color w:val="000000"/>
          <w:sz w:val="28"/>
          <w:szCs w:val="28"/>
          <w:lang w:eastAsia="zh-CN"/>
        </w:rPr>
        <w:t>兴义市人民法院</w:t>
      </w:r>
    </w:p>
    <w:p>
      <w:pPr>
        <w:pStyle w:val="3"/>
        <w:numPr>
          <w:ilvl w:val="0"/>
          <w:numId w:val="1"/>
        </w:numPr>
        <w:spacing w:before="0" w:after="0" w:line="800" w:lineRule="exact"/>
        <w:ind w:firstLine="526" w:firstLineChars="187"/>
        <w:rPr>
          <w:rFonts w:hint="eastAsia" w:ascii="仿宋_GB2312" w:hAnsi="华文仿宋" w:eastAsia="仿宋_GB2312"/>
          <w:color w:val="000000"/>
          <w:sz w:val="28"/>
          <w:szCs w:val="28"/>
        </w:rPr>
      </w:pPr>
      <w:bookmarkStart w:id="11" w:name="_Toc1074"/>
      <w:bookmarkStart w:id="12" w:name="_Toc376163793"/>
      <w:r>
        <w:rPr>
          <w:rFonts w:hint="eastAsia" w:ascii="仿宋_GB2312" w:hAnsi="华文仿宋" w:eastAsia="仿宋_GB2312"/>
          <w:color w:val="000000"/>
          <w:sz w:val="28"/>
          <w:szCs w:val="28"/>
        </w:rPr>
        <w:t>房地产估价机构</w:t>
      </w:r>
      <w:bookmarkEnd w:id="11"/>
      <w:bookmarkEnd w:id="12"/>
    </w:p>
    <w:p>
      <w:pPr>
        <w:spacing w:line="540" w:lineRule="exact"/>
        <w:ind w:firstLine="560" w:firstLineChars="200"/>
        <w:rPr>
          <w:rFonts w:hint="eastAsia" w:ascii="仿宋_GB2312" w:hAnsi="华文仿宋" w:eastAsia="仿宋_GB2312"/>
          <w:sz w:val="28"/>
          <w:szCs w:val="28"/>
        </w:rPr>
      </w:pPr>
      <w:bookmarkStart w:id="13" w:name="_Toc376163794"/>
      <w:r>
        <w:rPr>
          <w:rFonts w:hint="eastAsia" w:ascii="仿宋_GB2312" w:hAnsi="华文仿宋" w:eastAsia="仿宋_GB2312"/>
          <w:sz w:val="28"/>
          <w:szCs w:val="28"/>
        </w:rPr>
        <w:t>机构名称：</w:t>
      </w:r>
      <w:r>
        <w:rPr>
          <w:rFonts w:hint="eastAsia" w:ascii="仿宋_GB2312" w:eastAsia="仿宋_GB2312"/>
          <w:sz w:val="28"/>
          <w:szCs w:val="28"/>
        </w:rPr>
        <w:t>山东贵恒信房地产土地评估经纪有限公司</w:t>
      </w:r>
    </w:p>
    <w:p>
      <w:pPr>
        <w:spacing w:line="540" w:lineRule="exact"/>
        <w:ind w:firstLine="560" w:firstLineChars="200"/>
        <w:rPr>
          <w:rFonts w:hint="eastAsia" w:ascii="仿宋_GB2312" w:hAnsi="华文仿宋" w:eastAsia="仿宋_GB2312"/>
          <w:sz w:val="28"/>
          <w:szCs w:val="28"/>
        </w:rPr>
      </w:pPr>
      <w:r>
        <w:rPr>
          <w:rFonts w:hint="eastAsia" w:ascii="仿宋_GB2312" w:hAnsi="华文仿宋" w:eastAsia="仿宋_GB2312"/>
          <w:sz w:val="28"/>
          <w:szCs w:val="28"/>
        </w:rPr>
        <w:t>法定代表人：董月华</w:t>
      </w:r>
    </w:p>
    <w:p>
      <w:pPr>
        <w:spacing w:line="540" w:lineRule="exact"/>
        <w:ind w:firstLine="560" w:firstLineChars="200"/>
        <w:rPr>
          <w:rFonts w:hint="eastAsia" w:ascii="仿宋_GB2312" w:hAnsi="华文仿宋" w:eastAsia="仿宋_GB2312"/>
          <w:sz w:val="28"/>
          <w:szCs w:val="28"/>
        </w:rPr>
      </w:pPr>
      <w:r>
        <w:rPr>
          <w:rFonts w:hint="eastAsia" w:ascii="仿宋_GB2312" w:hAnsi="华文仿宋" w:eastAsia="仿宋_GB2312"/>
          <w:sz w:val="28"/>
          <w:szCs w:val="28"/>
        </w:rPr>
        <w:t>住所：济南市历下区山大路242-2号A座616号</w:t>
      </w:r>
    </w:p>
    <w:p>
      <w:pPr>
        <w:tabs>
          <w:tab w:val="left" w:pos="4034"/>
        </w:tabs>
        <w:spacing w:line="540" w:lineRule="exact"/>
        <w:ind w:firstLine="560" w:firstLineChars="200"/>
        <w:rPr>
          <w:rFonts w:hint="eastAsia" w:ascii="仿宋_GB2312" w:hAnsi="华文仿宋" w:eastAsia="仿宋_GB2312"/>
          <w:sz w:val="28"/>
          <w:szCs w:val="28"/>
        </w:rPr>
      </w:pPr>
      <w:r>
        <w:rPr>
          <w:rFonts w:hint="eastAsia" w:ascii="仿宋_GB2312" w:hAnsi="华文仿宋" w:eastAsia="仿宋_GB2312"/>
          <w:sz w:val="28"/>
          <w:szCs w:val="28"/>
        </w:rPr>
        <w:t>资质等级：</w:t>
      </w:r>
      <w:r>
        <w:rPr>
          <w:rFonts w:ascii="仿宋_GB2312" w:hAnsi="宋体" w:eastAsia="仿宋_GB2312" w:cs="仿宋_GB2312"/>
          <w:sz w:val="28"/>
          <w:szCs w:val="28"/>
        </w:rPr>
        <w:fldChar w:fldCharType="begin"/>
      </w:r>
      <w:r>
        <w:rPr>
          <w:rFonts w:ascii="仿宋_GB2312" w:hAnsi="宋体" w:eastAsia="仿宋_GB2312" w:cs="仿宋_GB2312"/>
          <w:sz w:val="28"/>
          <w:szCs w:val="28"/>
        </w:rPr>
        <w:instrText xml:space="preserve"> </w:instrText>
      </w:r>
      <w:r>
        <w:rPr>
          <w:rFonts w:hint="eastAsia" w:ascii="仿宋_GB2312" w:hAnsi="宋体" w:eastAsia="仿宋_GB2312" w:cs="仿宋_GB2312"/>
          <w:sz w:val="28"/>
          <w:szCs w:val="28"/>
        </w:rPr>
        <w:instrText xml:space="preserve">= 1 \* CHINESENUM2</w:instrText>
      </w:r>
      <w:r>
        <w:rPr>
          <w:rFonts w:ascii="仿宋_GB2312" w:hAnsi="宋体" w:eastAsia="仿宋_GB2312" w:cs="仿宋_GB2312"/>
          <w:sz w:val="28"/>
          <w:szCs w:val="28"/>
        </w:rPr>
        <w:instrText xml:space="preserve"> </w:instrText>
      </w:r>
      <w:r>
        <w:rPr>
          <w:rFonts w:ascii="仿宋_GB2312" w:hAnsi="宋体" w:eastAsia="仿宋_GB2312" w:cs="仿宋_GB2312"/>
          <w:sz w:val="28"/>
          <w:szCs w:val="28"/>
        </w:rPr>
        <w:fldChar w:fldCharType="separate"/>
      </w:r>
      <w:r>
        <w:rPr>
          <w:rFonts w:hint="eastAsia" w:ascii="仿宋_GB2312" w:hAnsi="宋体" w:eastAsia="仿宋_GB2312" w:cs="仿宋_GB2312"/>
          <w:sz w:val="28"/>
          <w:szCs w:val="28"/>
        </w:rPr>
        <w:t>壹</w:t>
      </w:r>
      <w:r>
        <w:rPr>
          <w:rFonts w:ascii="仿宋_GB2312" w:hAnsi="宋体" w:eastAsia="仿宋_GB2312" w:cs="仿宋_GB2312"/>
          <w:sz w:val="28"/>
          <w:szCs w:val="28"/>
        </w:rPr>
        <w:fldChar w:fldCharType="end"/>
      </w:r>
      <w:r>
        <w:rPr>
          <w:rFonts w:hint="eastAsia" w:ascii="仿宋_GB2312" w:hAnsi="宋体" w:eastAsia="仿宋_GB2312" w:cs="仿宋_GB2312"/>
          <w:sz w:val="28"/>
          <w:szCs w:val="28"/>
        </w:rPr>
        <w:t>级</w:t>
      </w:r>
      <w:r>
        <w:rPr>
          <w:rFonts w:hint="eastAsia" w:ascii="仿宋_GB2312" w:hAnsi="华文仿宋" w:eastAsia="仿宋_GB2312"/>
          <w:sz w:val="28"/>
          <w:szCs w:val="28"/>
        </w:rPr>
        <w:tab/>
      </w:r>
    </w:p>
    <w:p>
      <w:pPr>
        <w:spacing w:line="540" w:lineRule="exact"/>
        <w:ind w:firstLine="560" w:firstLineChars="200"/>
        <w:rPr>
          <w:rFonts w:hint="eastAsia" w:ascii="仿宋_GB2312" w:eastAsia="仿宋_GB2312"/>
        </w:rPr>
      </w:pPr>
      <w:r>
        <w:rPr>
          <w:rFonts w:hint="eastAsia" w:ascii="仿宋_GB2312" w:hAnsi="华文仿宋" w:eastAsia="仿宋_GB2312"/>
          <w:sz w:val="28"/>
          <w:szCs w:val="28"/>
        </w:rPr>
        <w:t>证书编号：</w:t>
      </w:r>
      <w:r>
        <w:rPr>
          <w:rFonts w:hint="eastAsia" w:ascii="仿宋_GB2312" w:hAnsi="宋体" w:eastAsia="仿宋_GB2312" w:cs="仿宋_GB2312"/>
          <w:sz w:val="28"/>
          <w:szCs w:val="28"/>
        </w:rPr>
        <w:t>建房估</w:t>
      </w:r>
      <w:r>
        <w:rPr>
          <w:rFonts w:hint="eastAsia" w:ascii="仿宋_GB2312" w:hAnsi="宋体" w:eastAsia="仿宋_GB2312" w:cs="仿宋_GB2312"/>
          <w:sz w:val="28"/>
          <w:szCs w:val="28"/>
          <w:lang w:eastAsia="zh-CN"/>
        </w:rPr>
        <w:t>证</w:t>
      </w:r>
      <w:r>
        <w:rPr>
          <w:rFonts w:hint="eastAsia" w:ascii="仿宋_GB2312" w:hAnsi="宋体" w:eastAsia="仿宋_GB2312" w:cs="仿宋_GB2312"/>
          <w:sz w:val="28"/>
          <w:szCs w:val="28"/>
        </w:rPr>
        <w:t>字[</w:t>
      </w:r>
      <w:r>
        <w:rPr>
          <w:rFonts w:hint="eastAsia" w:ascii="仿宋_GB2312" w:hAnsi="宋体" w:eastAsia="仿宋_GB2312" w:cs="仿宋_GB2312"/>
          <w:sz w:val="28"/>
          <w:szCs w:val="28"/>
          <w:lang w:eastAsia="zh-CN"/>
        </w:rPr>
        <w:t>2011</w:t>
      </w:r>
      <w:r>
        <w:rPr>
          <w:rFonts w:hint="eastAsia" w:ascii="仿宋_GB2312" w:hAnsi="宋体" w:eastAsia="仿宋_GB2312" w:cs="仿宋_GB2312"/>
          <w:sz w:val="28"/>
          <w:szCs w:val="28"/>
        </w:rPr>
        <w:t>]025号</w:t>
      </w:r>
    </w:p>
    <w:p>
      <w:pPr>
        <w:pStyle w:val="3"/>
        <w:numPr>
          <w:ilvl w:val="0"/>
          <w:numId w:val="1"/>
        </w:numPr>
        <w:spacing w:before="0" w:after="0" w:line="800" w:lineRule="exact"/>
        <w:ind w:firstLine="526" w:firstLineChars="187"/>
        <w:rPr>
          <w:rFonts w:hint="eastAsia" w:ascii="仿宋_GB2312" w:hAnsi="华文仿宋" w:eastAsia="仿宋_GB2312"/>
          <w:color w:val="000000"/>
          <w:sz w:val="28"/>
          <w:szCs w:val="28"/>
        </w:rPr>
      </w:pPr>
      <w:bookmarkStart w:id="14" w:name="_Toc4569"/>
      <w:r>
        <w:rPr>
          <w:rFonts w:hint="eastAsia" w:ascii="仿宋_GB2312" w:hAnsi="华文仿宋" w:eastAsia="仿宋_GB2312"/>
          <w:color w:val="000000"/>
          <w:sz w:val="28"/>
          <w:szCs w:val="28"/>
        </w:rPr>
        <w:t>估价</w:t>
      </w:r>
      <w:bookmarkEnd w:id="13"/>
      <w:r>
        <w:rPr>
          <w:rFonts w:hint="eastAsia" w:ascii="仿宋_GB2312" w:hAnsi="华文仿宋" w:eastAsia="仿宋_GB2312"/>
          <w:color w:val="000000"/>
          <w:sz w:val="28"/>
          <w:szCs w:val="28"/>
        </w:rPr>
        <w:t>目的</w:t>
      </w:r>
      <w:bookmarkEnd w:id="14"/>
    </w:p>
    <w:p>
      <w:pPr>
        <w:spacing w:line="540" w:lineRule="exact"/>
        <w:ind w:firstLine="560"/>
        <w:rPr>
          <w:rFonts w:hint="eastAsia" w:ascii="仿宋_GB2312" w:eastAsia="仿宋_GB2312"/>
          <w:sz w:val="28"/>
          <w:szCs w:val="28"/>
        </w:rPr>
      </w:pPr>
      <w:r>
        <w:rPr>
          <w:rFonts w:hint="eastAsia" w:ascii="仿宋_GB2312" w:eastAsia="仿宋_GB2312"/>
          <w:sz w:val="28"/>
          <w:szCs w:val="28"/>
        </w:rPr>
        <w:t>为委托方案件执行提供价值参考依据而评估房地产市场价值。</w:t>
      </w:r>
    </w:p>
    <w:p>
      <w:pPr>
        <w:pStyle w:val="3"/>
        <w:spacing w:before="0" w:after="0" w:line="800" w:lineRule="exact"/>
        <w:ind w:firstLine="526" w:firstLineChars="187"/>
        <w:rPr>
          <w:rFonts w:hint="eastAsia" w:ascii="仿宋_GB2312" w:hAnsi="华文仿宋" w:eastAsia="仿宋_GB2312"/>
          <w:color w:val="000000"/>
          <w:sz w:val="28"/>
          <w:szCs w:val="28"/>
        </w:rPr>
      </w:pPr>
      <w:bookmarkStart w:id="15" w:name="_Toc376163795"/>
      <w:bookmarkStart w:id="16" w:name="_Toc1195"/>
      <w:r>
        <w:rPr>
          <w:rFonts w:hint="eastAsia" w:ascii="仿宋_GB2312" w:hAnsi="华文仿宋" w:eastAsia="仿宋_GB2312"/>
          <w:color w:val="000000"/>
          <w:sz w:val="28"/>
          <w:szCs w:val="28"/>
        </w:rPr>
        <w:t>四、估价</w:t>
      </w:r>
      <w:bookmarkEnd w:id="15"/>
      <w:r>
        <w:rPr>
          <w:rFonts w:hint="eastAsia" w:ascii="仿宋_GB2312" w:hAnsi="华文仿宋" w:eastAsia="仿宋_GB2312"/>
          <w:color w:val="000000"/>
          <w:sz w:val="28"/>
          <w:szCs w:val="28"/>
        </w:rPr>
        <w:t>对象</w:t>
      </w:r>
      <w:bookmarkEnd w:id="16"/>
    </w:p>
    <w:p>
      <w:pPr>
        <w:tabs>
          <w:tab w:val="left" w:pos="630"/>
        </w:tabs>
        <w:spacing w:line="540" w:lineRule="exact"/>
        <w:ind w:left="525"/>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(一)估价对象及范围</w:t>
      </w:r>
    </w:p>
    <w:p>
      <w:pPr>
        <w:spacing w:line="540" w:lineRule="exact"/>
        <w:ind w:firstLine="527"/>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估价对象位于</w:t>
      </w:r>
      <w:r>
        <w:rPr>
          <w:rFonts w:hint="eastAsia" w:ascii="仿宋_GB2312" w:hAnsi="华文仿宋" w:eastAsia="仿宋_GB2312"/>
          <w:color w:val="000000"/>
          <w:sz w:val="28"/>
          <w:szCs w:val="28"/>
          <w:lang w:eastAsia="zh-CN"/>
        </w:rPr>
        <w:t>贵州省黔西南布依族苗族自治州兴义市坪东街道办事处青龙路三和新城小区15栋1单元402号</w:t>
      </w:r>
      <w:r>
        <w:rPr>
          <w:rFonts w:hint="eastAsia" w:ascii="仿宋_GB2312" w:hAnsi="华文仿宋" w:eastAsia="仿宋_GB2312"/>
          <w:color w:val="000000"/>
          <w:sz w:val="28"/>
          <w:szCs w:val="28"/>
        </w:rPr>
        <w:t>一套</w:t>
      </w:r>
      <w:r>
        <w:rPr>
          <w:rFonts w:hint="eastAsia" w:ascii="仿宋_GB2312" w:hAnsi="华文仿宋" w:eastAsia="仿宋_GB2312"/>
          <w:color w:val="000000"/>
          <w:sz w:val="28"/>
          <w:szCs w:val="28"/>
          <w:lang w:eastAsia="zh-CN"/>
        </w:rPr>
        <w:t>住宅房地产</w:t>
      </w:r>
      <w:r>
        <w:rPr>
          <w:rFonts w:hint="eastAsia" w:ascii="仿宋_GB2312" w:hAnsi="华文仿宋" w:eastAsia="仿宋_GB2312"/>
          <w:color w:val="000000"/>
          <w:sz w:val="28"/>
          <w:szCs w:val="28"/>
        </w:rPr>
        <w:t>，估价对象范围包含房屋所有权及其对应分摊的国有建设用地使用权价值、室内装饰装修价值，但不包含室内动产价值。</w:t>
      </w:r>
    </w:p>
    <w:p>
      <w:pPr>
        <w:tabs>
          <w:tab w:val="left" w:pos="630"/>
        </w:tabs>
        <w:spacing w:line="540" w:lineRule="exact"/>
        <w:ind w:left="525"/>
        <w:rPr>
          <w:rFonts w:hint="eastAsia" w:ascii="仿宋_GB2312" w:hAnsi="华文仿宋" w:eastAsia="仿宋_GB2312"/>
          <w:color w:val="000000"/>
          <w:sz w:val="28"/>
          <w:szCs w:val="28"/>
          <w:highlight w:val="none"/>
        </w:rPr>
      </w:pPr>
      <w:r>
        <w:rPr>
          <w:rFonts w:hint="eastAsia" w:ascii="仿宋_GB2312" w:hAnsi="华文仿宋" w:eastAsia="仿宋_GB2312"/>
          <w:color w:val="000000"/>
          <w:sz w:val="28"/>
          <w:szCs w:val="28"/>
          <w:highlight w:val="none"/>
        </w:rPr>
        <w:t>(二)估价对象的权益状况</w:t>
      </w:r>
    </w:p>
    <w:p>
      <w:pPr>
        <w:spacing w:line="580" w:lineRule="exact"/>
        <w:ind w:firstLine="527"/>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根据委托方提供的资料</w:t>
      </w:r>
      <w:r>
        <w:rPr>
          <w:rFonts w:hint="eastAsia" w:ascii="仿宋_GB2312" w:hAnsi="华文仿宋" w:eastAsia="仿宋_GB2312"/>
          <w:color w:val="000000"/>
          <w:sz w:val="28"/>
          <w:szCs w:val="28"/>
          <w:lang w:eastAsia="zh-CN"/>
        </w:rPr>
        <w:t>《不动产权登记记载表》</w:t>
      </w:r>
      <w:r>
        <w:rPr>
          <w:rFonts w:hint="eastAsia" w:ascii="仿宋_GB2312" w:hAnsi="华文仿宋" w:eastAsia="仿宋_GB2312"/>
          <w:color w:val="000000"/>
          <w:sz w:val="28"/>
          <w:szCs w:val="28"/>
        </w:rPr>
        <w:t>，权益状况如下表所示：</w:t>
      </w:r>
    </w:p>
    <w:tbl>
      <w:tblPr>
        <w:tblStyle w:val="13"/>
        <w:tblW w:w="9093" w:type="dxa"/>
        <w:jc w:val="center"/>
        <w:tblInd w:w="-124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610"/>
        <w:gridCol w:w="2829"/>
        <w:gridCol w:w="1159"/>
        <w:gridCol w:w="1815"/>
        <w:gridCol w:w="88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796" w:type="dxa"/>
            <w:tcBorders>
              <w:tl2br w:val="nil"/>
              <w:tr2bl w:val="nil"/>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eastAsia="zh-CN"/>
              </w:rPr>
              <w:t>房屋所有权人</w:t>
            </w:r>
          </w:p>
        </w:tc>
        <w:tc>
          <w:tcPr>
            <w:tcW w:w="1610" w:type="dxa"/>
            <w:tcBorders>
              <w:tl2br w:val="nil"/>
              <w:tr2bl w:val="nil"/>
            </w:tcBorders>
            <w:vAlign w:val="center"/>
          </w:tcPr>
          <w:p>
            <w:pPr>
              <w:widowControl/>
              <w:spacing w:line="30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产权证号</w:t>
            </w:r>
          </w:p>
        </w:tc>
        <w:tc>
          <w:tcPr>
            <w:tcW w:w="2829" w:type="dxa"/>
            <w:tcBorders>
              <w:tl2br w:val="nil"/>
              <w:tr2bl w:val="nil"/>
            </w:tcBorders>
            <w:vAlign w:val="center"/>
          </w:tcPr>
          <w:p>
            <w:pPr>
              <w:widowControl/>
              <w:spacing w:line="30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房屋坐落</w:t>
            </w:r>
          </w:p>
        </w:tc>
        <w:tc>
          <w:tcPr>
            <w:tcW w:w="1159" w:type="dxa"/>
            <w:tcBorders>
              <w:tl2br w:val="nil"/>
              <w:tr2bl w:val="nil"/>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spacing w:val="-2"/>
                <w:sz w:val="21"/>
                <w:szCs w:val="21"/>
              </w:rPr>
              <w:t>房屋结构</w:t>
            </w:r>
          </w:p>
        </w:tc>
        <w:tc>
          <w:tcPr>
            <w:tcW w:w="1815" w:type="dxa"/>
            <w:tcBorders>
              <w:tl2br w:val="nil"/>
              <w:tr2bl w:val="nil"/>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建筑面积（㎡）</w:t>
            </w:r>
          </w:p>
        </w:tc>
        <w:tc>
          <w:tcPr>
            <w:tcW w:w="884" w:type="dxa"/>
            <w:tcBorders>
              <w:tl2br w:val="nil"/>
              <w:tr2bl w:val="nil"/>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用途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796" w:type="dxa"/>
            <w:tcBorders>
              <w:tl2br w:val="nil"/>
              <w:tr2bl w:val="nil"/>
            </w:tcBorders>
            <w:vAlign w:val="center"/>
          </w:tcPr>
          <w:p>
            <w:pPr>
              <w:widowControl/>
              <w:spacing w:line="300" w:lineRule="exact"/>
              <w:jc w:val="center"/>
              <w:rPr>
                <w:rFonts w:hint="eastAsia" w:ascii="仿宋" w:hAnsi="仿宋" w:eastAsia="仿宋" w:cs="仿宋"/>
                <w:kern w:val="0"/>
                <w:sz w:val="21"/>
                <w:szCs w:val="21"/>
                <w:lang w:eastAsia="zh-CN"/>
              </w:rPr>
            </w:pPr>
            <w:r>
              <w:rPr>
                <w:rFonts w:hint="eastAsia" w:ascii="仿宋" w:hAnsi="仿宋" w:eastAsia="仿宋" w:cs="仿宋"/>
                <w:spacing w:val="-2"/>
                <w:sz w:val="21"/>
                <w:szCs w:val="21"/>
                <w:lang w:eastAsia="zh-CN"/>
              </w:rPr>
              <w:t>朱小友、孙礼艳</w:t>
            </w:r>
          </w:p>
        </w:tc>
        <w:tc>
          <w:tcPr>
            <w:tcW w:w="1610" w:type="dxa"/>
            <w:tcBorders>
              <w:tl2br w:val="nil"/>
              <w:tr2bl w:val="nil"/>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color w:val="000000"/>
                <w:kern w:val="0"/>
                <w:sz w:val="21"/>
                <w:szCs w:val="21"/>
                <w:lang w:eastAsia="zh-CN"/>
              </w:rPr>
              <w:t>201404924</w:t>
            </w:r>
          </w:p>
        </w:tc>
        <w:tc>
          <w:tcPr>
            <w:tcW w:w="2829" w:type="dxa"/>
            <w:tcBorders>
              <w:tl2br w:val="nil"/>
              <w:tr2bl w:val="nil"/>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color w:val="000000"/>
                <w:kern w:val="0"/>
                <w:sz w:val="21"/>
                <w:szCs w:val="21"/>
                <w:lang w:eastAsia="zh-CN"/>
              </w:rPr>
              <w:t>贵州省黔西南布依族苗族自治州兴义市坪东街道办事处青龙路三和新城小区15栋1单元402号</w:t>
            </w:r>
          </w:p>
        </w:tc>
        <w:tc>
          <w:tcPr>
            <w:tcW w:w="1159" w:type="dxa"/>
            <w:tcBorders>
              <w:tl2br w:val="nil"/>
              <w:tr2bl w:val="nil"/>
            </w:tcBorders>
            <w:vAlign w:val="center"/>
          </w:tcPr>
          <w:p>
            <w:pPr>
              <w:widowControl/>
              <w:spacing w:line="300" w:lineRule="exact"/>
              <w:jc w:val="center"/>
              <w:rPr>
                <w:rFonts w:hint="eastAsia" w:ascii="仿宋" w:hAnsi="仿宋" w:eastAsia="仿宋" w:cs="仿宋"/>
                <w:kern w:val="0"/>
                <w:sz w:val="21"/>
                <w:szCs w:val="21"/>
                <w:lang w:eastAsia="zh-CN"/>
              </w:rPr>
            </w:pPr>
            <w:r>
              <w:rPr>
                <w:rFonts w:hint="eastAsia" w:ascii="仿宋" w:hAnsi="仿宋" w:eastAsia="仿宋" w:cs="仿宋"/>
                <w:spacing w:val="-2"/>
                <w:sz w:val="21"/>
                <w:szCs w:val="21"/>
                <w:lang w:eastAsia="zh-CN"/>
              </w:rPr>
              <w:t>混合结构</w:t>
            </w:r>
          </w:p>
        </w:tc>
        <w:tc>
          <w:tcPr>
            <w:tcW w:w="1815" w:type="dxa"/>
            <w:tcBorders>
              <w:tl2br w:val="nil"/>
              <w:tr2bl w:val="nil"/>
            </w:tcBorders>
            <w:vAlign w:val="center"/>
          </w:tcPr>
          <w:p>
            <w:pPr>
              <w:widowControl/>
              <w:spacing w:line="30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108.23</w:t>
            </w:r>
          </w:p>
        </w:tc>
        <w:tc>
          <w:tcPr>
            <w:tcW w:w="884" w:type="dxa"/>
            <w:tcBorders>
              <w:tl2br w:val="nil"/>
              <w:tr2bl w:val="nil"/>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eastAsia="zh-CN"/>
              </w:rPr>
              <w:t>成套</w:t>
            </w:r>
            <w:r>
              <w:rPr>
                <w:rFonts w:hint="eastAsia" w:ascii="仿宋" w:hAnsi="仿宋" w:eastAsia="仿宋" w:cs="仿宋"/>
                <w:kern w:val="0"/>
                <w:sz w:val="21"/>
                <w:szCs w:val="21"/>
              </w:rPr>
              <w:t>住宅</w:t>
            </w:r>
          </w:p>
        </w:tc>
      </w:tr>
    </w:tbl>
    <w:p>
      <w:pPr>
        <w:tabs>
          <w:tab w:val="left" w:pos="630"/>
        </w:tabs>
        <w:spacing w:line="540" w:lineRule="exact"/>
        <w:ind w:left="525"/>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(三)</w:t>
      </w:r>
      <w:r>
        <w:rPr>
          <w:rFonts w:hint="eastAsia" w:ascii="仿宋_GB2312" w:eastAsia="仿宋_GB2312"/>
          <w:color w:val="000000"/>
          <w:sz w:val="28"/>
          <w:szCs w:val="28"/>
        </w:rPr>
        <w:t>估价对象的实物状况</w:t>
      </w:r>
    </w:p>
    <w:p>
      <w:pPr>
        <w:spacing w:line="540" w:lineRule="exact"/>
        <w:ind w:firstLine="560" w:firstLineChars="200"/>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1.土地基本状况</w:t>
      </w:r>
    </w:p>
    <w:p>
      <w:pPr>
        <w:spacing w:line="540" w:lineRule="exact"/>
        <w:ind w:firstLine="527"/>
        <w:rPr>
          <w:rFonts w:hint="eastAsia" w:ascii="仿宋_GB2312" w:eastAsia="仿宋_GB2312" w:cs="仿宋_GB2312"/>
          <w:color w:val="auto"/>
          <w:spacing w:val="-2"/>
          <w:sz w:val="28"/>
          <w:szCs w:val="28"/>
        </w:rPr>
      </w:pPr>
      <w:r>
        <w:rPr>
          <w:rFonts w:hint="eastAsia" w:ascii="仿宋_GB2312" w:eastAsia="仿宋_GB2312" w:cs="仿宋_GB2312"/>
          <w:spacing w:val="-2"/>
          <w:sz w:val="28"/>
          <w:szCs w:val="28"/>
        </w:rPr>
        <w:t>估价对象对应占用的国有建设用地所属地块形状较规则，坡度较小，地势较平坦，自然排水畅通，积水的可能性小，地质条件较好，地基承载力较好，稳定性较强；开发程度为宗地红线内外</w:t>
      </w:r>
      <w:r>
        <w:rPr>
          <w:rFonts w:hint="eastAsia" w:ascii="仿宋_GB2312" w:eastAsia="仿宋_GB2312" w:cs="仿宋_GB2312"/>
          <w:color w:val="auto"/>
          <w:spacing w:val="-2"/>
          <w:sz w:val="28"/>
          <w:szCs w:val="28"/>
          <w:lang w:eastAsia="zh-CN"/>
        </w:rPr>
        <w:t>六通(通路、通电、通上水、通下水、通讯、通气)</w:t>
      </w:r>
      <w:r>
        <w:rPr>
          <w:rFonts w:hint="eastAsia" w:ascii="仿宋_GB2312" w:eastAsia="仿宋_GB2312" w:cs="仿宋_GB2312"/>
          <w:color w:val="auto"/>
          <w:spacing w:val="-2"/>
          <w:sz w:val="28"/>
          <w:szCs w:val="28"/>
        </w:rPr>
        <w:t>，宗地内场地平整。</w:t>
      </w:r>
    </w:p>
    <w:p>
      <w:pPr>
        <w:spacing w:line="540" w:lineRule="exact"/>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 xml:space="preserve">    2.建筑物基本状况</w:t>
      </w:r>
    </w:p>
    <w:tbl>
      <w:tblPr>
        <w:tblStyle w:val="13"/>
        <w:tblW w:w="9343" w:type="dxa"/>
        <w:tblInd w:w="0" w:type="dxa"/>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892"/>
        <w:gridCol w:w="2220"/>
        <w:gridCol w:w="2265"/>
        <w:gridCol w:w="2966"/>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trPr>
        <w:tc>
          <w:tcPr>
            <w:tcW w:w="1892" w:type="dxa"/>
            <w:tcBorders>
              <w:tl2br w:val="nil"/>
              <w:tr2bl w:val="nil"/>
            </w:tcBorders>
            <w:vAlign w:val="center"/>
          </w:tcPr>
          <w:p>
            <w:pPr>
              <w:widowControl/>
              <w:jc w:val="center"/>
              <w:textAlignment w:val="center"/>
              <w:rPr>
                <w:rFonts w:ascii="仿宋_GB2312" w:hAnsi="宋体" w:eastAsia="仿宋_GB2312" w:cs="仿宋_GB2312"/>
                <w:b/>
                <w:bCs/>
                <w:color w:val="000000"/>
                <w:sz w:val="24"/>
                <w:szCs w:val="24"/>
              </w:rPr>
            </w:pPr>
            <w:r>
              <w:rPr>
                <w:rFonts w:ascii="仿宋_GB2312" w:hAnsi="宋体" w:eastAsia="仿宋_GB2312" w:cs="仿宋_GB2312"/>
                <w:b/>
                <w:bCs/>
                <w:color w:val="000000"/>
                <w:kern w:val="0"/>
                <w:sz w:val="24"/>
                <w:szCs w:val="24"/>
                <w:lang w:bidi="ar"/>
              </w:rPr>
              <w:t>房屋名称</w:t>
            </w:r>
          </w:p>
        </w:tc>
        <w:tc>
          <w:tcPr>
            <w:tcW w:w="7451" w:type="dxa"/>
            <w:gridSpan w:val="3"/>
            <w:tcBorders>
              <w:tl2br w:val="nil"/>
              <w:tr2bl w:val="nil"/>
            </w:tcBorders>
            <w:vAlign w:val="center"/>
          </w:tcPr>
          <w:p>
            <w:pPr>
              <w:widowControl/>
              <w:textAlignment w:val="center"/>
              <w:rPr>
                <w:rFonts w:hint="eastAsia" w:ascii="仿宋_GB2312" w:hAnsi="宋体" w:eastAsia="仿宋_GB2312" w:cs="仿宋_GB2312"/>
                <w:color w:val="000000"/>
                <w:sz w:val="24"/>
                <w:szCs w:val="24"/>
                <w:lang w:eastAsia="zh-CN"/>
              </w:rPr>
            </w:pPr>
            <w:r>
              <w:rPr>
                <w:rFonts w:hint="eastAsia" w:ascii="仿宋_GB2312" w:hAnsi="宋体" w:eastAsia="仿宋_GB2312" w:cs="仿宋_GB2312"/>
                <w:color w:val="000000"/>
                <w:sz w:val="24"/>
                <w:szCs w:val="24"/>
                <w:lang w:eastAsia="zh-CN"/>
              </w:rPr>
              <w:t>贵州省黔西南布依族苗族自治州兴义市坪东街道办事处青龙路三和新城小区15栋1单元402号</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trPr>
        <w:tc>
          <w:tcPr>
            <w:tcW w:w="1892" w:type="dxa"/>
            <w:tcBorders>
              <w:tl2br w:val="nil"/>
              <w:tr2bl w:val="nil"/>
            </w:tcBorders>
            <w:vAlign w:val="center"/>
          </w:tcPr>
          <w:p>
            <w:pPr>
              <w:widowControl/>
              <w:jc w:val="center"/>
              <w:textAlignment w:val="center"/>
              <w:rPr>
                <w:rFonts w:hint="eastAsia" w:ascii="仿宋_GB2312" w:hAnsi="宋体" w:eastAsia="仿宋_GB2312" w:cs="仿宋_GB2312"/>
                <w:b/>
                <w:bCs/>
                <w:color w:val="000000"/>
                <w:sz w:val="24"/>
                <w:szCs w:val="24"/>
                <w:lang w:eastAsia="zh-CN"/>
              </w:rPr>
            </w:pPr>
            <w:r>
              <w:rPr>
                <w:rFonts w:hint="eastAsia" w:ascii="仿宋_GB2312" w:hAnsi="宋体" w:eastAsia="仿宋_GB2312" w:cs="仿宋_GB2312"/>
                <w:b/>
                <w:bCs/>
                <w:color w:val="000000"/>
                <w:kern w:val="0"/>
                <w:sz w:val="24"/>
                <w:szCs w:val="24"/>
                <w:lang w:eastAsia="zh-CN" w:bidi="ar"/>
              </w:rPr>
              <w:t>房屋所有权人</w:t>
            </w:r>
          </w:p>
        </w:tc>
        <w:tc>
          <w:tcPr>
            <w:tcW w:w="2220" w:type="dxa"/>
            <w:tcBorders>
              <w:tl2br w:val="nil"/>
              <w:tr2bl w:val="nil"/>
            </w:tcBorders>
            <w:vAlign w:val="center"/>
          </w:tcPr>
          <w:p>
            <w:pPr>
              <w:widowControl/>
              <w:jc w:val="left"/>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lang w:eastAsia="zh-CN"/>
              </w:rPr>
              <w:t>朱小友、孙礼艳</w:t>
            </w:r>
          </w:p>
        </w:tc>
        <w:tc>
          <w:tcPr>
            <w:tcW w:w="2265" w:type="dxa"/>
            <w:tcBorders>
              <w:tl2br w:val="nil"/>
              <w:tr2bl w:val="nil"/>
            </w:tcBorders>
            <w:vAlign w:val="center"/>
          </w:tcPr>
          <w:p>
            <w:pPr>
              <w:widowControl/>
              <w:jc w:val="center"/>
              <w:textAlignment w:val="center"/>
              <w:rPr>
                <w:rFonts w:ascii="仿宋_GB2312" w:hAnsi="宋体" w:eastAsia="仿宋_GB2312" w:cs="仿宋_GB2312"/>
                <w:b/>
                <w:bCs/>
                <w:color w:val="000000"/>
                <w:sz w:val="24"/>
                <w:szCs w:val="24"/>
              </w:rPr>
            </w:pPr>
            <w:r>
              <w:rPr>
                <w:rFonts w:ascii="仿宋_GB2312" w:hAnsi="宋体" w:eastAsia="仿宋_GB2312" w:cs="仿宋_GB2312"/>
                <w:b/>
                <w:bCs/>
                <w:color w:val="000000"/>
                <w:kern w:val="0"/>
                <w:sz w:val="24"/>
                <w:szCs w:val="24"/>
                <w:lang w:bidi="ar"/>
              </w:rPr>
              <w:t>房屋用途</w:t>
            </w:r>
          </w:p>
        </w:tc>
        <w:tc>
          <w:tcPr>
            <w:tcW w:w="2966" w:type="dxa"/>
            <w:tcBorders>
              <w:tl2br w:val="nil"/>
              <w:tr2bl w:val="nil"/>
            </w:tcBorders>
            <w:vAlign w:val="center"/>
          </w:tcPr>
          <w:p>
            <w:pPr>
              <w:widowControl/>
              <w:jc w:val="left"/>
              <w:textAlignment w:val="center"/>
              <w:rPr>
                <w:rFonts w:hint="eastAsia" w:ascii="仿宋_GB2312" w:hAnsi="宋体" w:eastAsia="仿宋_GB2312" w:cs="仿宋_GB2312"/>
                <w:color w:val="000000"/>
                <w:sz w:val="24"/>
                <w:szCs w:val="24"/>
                <w:lang w:eastAsia="zh-CN"/>
              </w:rPr>
            </w:pPr>
            <w:r>
              <w:rPr>
                <w:rFonts w:hint="eastAsia" w:ascii="仿宋_GB2312" w:hAnsi="宋体" w:eastAsia="仿宋_GB2312" w:cs="仿宋_GB2312"/>
                <w:color w:val="000000"/>
                <w:kern w:val="0"/>
                <w:sz w:val="24"/>
                <w:szCs w:val="24"/>
                <w:lang w:eastAsia="zh-CN" w:bidi="ar"/>
              </w:rPr>
              <w:t>成套住宅</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trPr>
        <w:tc>
          <w:tcPr>
            <w:tcW w:w="1892" w:type="dxa"/>
            <w:tcBorders>
              <w:tl2br w:val="nil"/>
              <w:tr2bl w:val="nil"/>
            </w:tcBorders>
            <w:vAlign w:val="center"/>
          </w:tcPr>
          <w:p>
            <w:pPr>
              <w:widowControl/>
              <w:jc w:val="center"/>
              <w:textAlignment w:val="center"/>
              <w:rPr>
                <w:rFonts w:ascii="仿宋_GB2312" w:hAnsi="宋体" w:eastAsia="仿宋_GB2312" w:cs="仿宋_GB2312"/>
                <w:b/>
                <w:bCs/>
                <w:color w:val="000000"/>
                <w:sz w:val="24"/>
                <w:szCs w:val="24"/>
              </w:rPr>
            </w:pPr>
            <w:r>
              <w:rPr>
                <w:rFonts w:ascii="仿宋_GB2312" w:hAnsi="宋体" w:eastAsia="仿宋_GB2312" w:cs="仿宋_GB2312"/>
                <w:b/>
                <w:bCs/>
                <w:color w:val="000000"/>
                <w:kern w:val="0"/>
                <w:sz w:val="24"/>
                <w:szCs w:val="24"/>
                <w:lang w:bidi="ar"/>
              </w:rPr>
              <w:t>建成年代（年）</w:t>
            </w:r>
          </w:p>
        </w:tc>
        <w:tc>
          <w:tcPr>
            <w:tcW w:w="2220" w:type="dxa"/>
            <w:tcBorders>
              <w:tl2br w:val="nil"/>
              <w:tr2bl w:val="nil"/>
            </w:tcBorders>
            <w:vAlign w:val="center"/>
          </w:tcPr>
          <w:p>
            <w:pPr>
              <w:widowControl/>
              <w:jc w:val="left"/>
              <w:textAlignment w:val="center"/>
              <w:rPr>
                <w:rFonts w:hint="eastAsia" w:ascii="仿宋_GB2312" w:hAnsi="宋体" w:eastAsia="仿宋_GB2312" w:cs="仿宋_GB2312"/>
                <w:color w:val="000000"/>
                <w:sz w:val="24"/>
                <w:szCs w:val="24"/>
                <w:lang w:val="en-US" w:eastAsia="zh-CN"/>
              </w:rPr>
            </w:pPr>
            <w:r>
              <w:rPr>
                <w:rFonts w:hint="eastAsia" w:ascii="仿宋_GB2312" w:hAnsi="宋体" w:eastAsia="仿宋_GB2312" w:cs="仿宋_GB2312"/>
                <w:color w:val="000000"/>
                <w:kern w:val="0"/>
                <w:sz w:val="24"/>
                <w:szCs w:val="24"/>
                <w:lang w:val="en-US" w:eastAsia="zh-CN" w:bidi="ar"/>
              </w:rPr>
              <w:t>2007</w:t>
            </w:r>
          </w:p>
        </w:tc>
        <w:tc>
          <w:tcPr>
            <w:tcW w:w="2265" w:type="dxa"/>
            <w:tcBorders>
              <w:tl2br w:val="nil"/>
              <w:tr2bl w:val="nil"/>
            </w:tcBorders>
            <w:vAlign w:val="center"/>
          </w:tcPr>
          <w:p>
            <w:pPr>
              <w:widowControl/>
              <w:jc w:val="center"/>
              <w:textAlignment w:val="center"/>
              <w:rPr>
                <w:rFonts w:ascii="仿宋_GB2312" w:hAnsi="宋体" w:eastAsia="仿宋_GB2312" w:cs="仿宋_GB2312"/>
                <w:b/>
                <w:bCs/>
                <w:color w:val="000000"/>
                <w:sz w:val="24"/>
                <w:szCs w:val="24"/>
              </w:rPr>
            </w:pPr>
            <w:r>
              <w:rPr>
                <w:rFonts w:ascii="仿宋_GB2312" w:hAnsi="宋体" w:eastAsia="仿宋_GB2312" w:cs="仿宋_GB2312"/>
                <w:b/>
                <w:bCs/>
                <w:color w:val="000000"/>
                <w:kern w:val="0"/>
                <w:sz w:val="24"/>
                <w:szCs w:val="24"/>
                <w:lang w:bidi="ar"/>
              </w:rPr>
              <w:t>房屋结构</w:t>
            </w:r>
          </w:p>
        </w:tc>
        <w:tc>
          <w:tcPr>
            <w:tcW w:w="2966" w:type="dxa"/>
            <w:tcBorders>
              <w:tl2br w:val="nil"/>
              <w:tr2bl w:val="nil"/>
            </w:tcBorders>
            <w:vAlign w:val="center"/>
          </w:tcPr>
          <w:p>
            <w:pPr>
              <w:widowControl/>
              <w:jc w:val="left"/>
              <w:textAlignment w:val="center"/>
              <w:rPr>
                <w:rFonts w:hint="eastAsia" w:ascii="仿宋_GB2312" w:hAnsi="宋体"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eastAsia="zh-CN" w:bidi="ar"/>
              </w:rPr>
              <w:t>混合</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trPr>
        <w:tc>
          <w:tcPr>
            <w:tcW w:w="1892" w:type="dxa"/>
            <w:tcBorders>
              <w:tl2br w:val="nil"/>
              <w:tr2bl w:val="nil"/>
            </w:tcBorders>
            <w:vAlign w:val="center"/>
          </w:tcPr>
          <w:p>
            <w:pPr>
              <w:widowControl/>
              <w:jc w:val="center"/>
              <w:textAlignment w:val="center"/>
              <w:rPr>
                <w:rFonts w:ascii="仿宋_GB2312" w:hAnsi="宋体" w:eastAsia="仿宋_GB2312" w:cs="仿宋_GB2312"/>
                <w:b/>
                <w:bCs/>
                <w:color w:val="000000"/>
                <w:sz w:val="24"/>
                <w:szCs w:val="24"/>
              </w:rPr>
            </w:pPr>
            <w:r>
              <w:rPr>
                <w:rFonts w:ascii="仿宋_GB2312" w:hAnsi="宋体" w:eastAsia="仿宋_GB2312" w:cs="仿宋_GB2312"/>
                <w:b/>
                <w:bCs/>
                <w:color w:val="000000"/>
                <w:kern w:val="0"/>
                <w:sz w:val="24"/>
                <w:szCs w:val="24"/>
                <w:lang w:bidi="ar"/>
              </w:rPr>
              <w:t>建筑面积（㎡）</w:t>
            </w:r>
          </w:p>
        </w:tc>
        <w:tc>
          <w:tcPr>
            <w:tcW w:w="2220" w:type="dxa"/>
            <w:tcBorders>
              <w:tl2br w:val="nil"/>
              <w:tr2bl w:val="nil"/>
            </w:tcBorders>
            <w:vAlign w:val="center"/>
          </w:tcPr>
          <w:p>
            <w:pPr>
              <w:widowControl/>
              <w:jc w:val="left"/>
              <w:textAlignment w:val="center"/>
              <w:rPr>
                <w:rFonts w:hint="eastAsia" w:ascii="仿宋_GB2312" w:hAnsi="宋体" w:eastAsia="仿宋_GB2312" w:cs="仿宋_GB2312"/>
                <w:color w:val="000000"/>
                <w:sz w:val="24"/>
                <w:szCs w:val="24"/>
                <w:lang w:eastAsia="zh-CN"/>
              </w:rPr>
            </w:pPr>
            <w:r>
              <w:rPr>
                <w:rFonts w:hint="eastAsia" w:ascii="仿宋_GB2312" w:hAnsi="宋体" w:eastAsia="仿宋_GB2312" w:cs="仿宋_GB2312"/>
                <w:color w:val="000000"/>
                <w:kern w:val="0"/>
                <w:sz w:val="24"/>
                <w:szCs w:val="24"/>
                <w:lang w:eastAsia="zh-CN" w:bidi="ar"/>
              </w:rPr>
              <w:t>108.23</w:t>
            </w:r>
          </w:p>
        </w:tc>
        <w:tc>
          <w:tcPr>
            <w:tcW w:w="2265" w:type="dxa"/>
            <w:tcBorders>
              <w:tl2br w:val="nil"/>
              <w:tr2bl w:val="nil"/>
            </w:tcBorders>
            <w:vAlign w:val="center"/>
          </w:tcPr>
          <w:p>
            <w:pPr>
              <w:widowControl/>
              <w:jc w:val="center"/>
              <w:textAlignment w:val="center"/>
              <w:rPr>
                <w:rFonts w:ascii="仿宋_GB2312" w:hAnsi="宋体" w:eastAsia="仿宋_GB2312" w:cs="仿宋_GB2312"/>
                <w:b/>
                <w:bCs/>
                <w:color w:val="000000"/>
                <w:sz w:val="24"/>
                <w:szCs w:val="24"/>
              </w:rPr>
            </w:pPr>
            <w:r>
              <w:rPr>
                <w:rFonts w:ascii="仿宋_GB2312" w:hAnsi="宋体" w:eastAsia="仿宋_GB2312" w:cs="仿宋_GB2312"/>
                <w:b/>
                <w:bCs/>
                <w:color w:val="000000"/>
                <w:kern w:val="0"/>
                <w:sz w:val="24"/>
                <w:szCs w:val="24"/>
                <w:lang w:bidi="ar"/>
              </w:rPr>
              <w:t>空间布局</w:t>
            </w:r>
          </w:p>
        </w:tc>
        <w:tc>
          <w:tcPr>
            <w:tcW w:w="2966" w:type="dxa"/>
            <w:tcBorders>
              <w:tl2br w:val="nil"/>
              <w:tr2bl w:val="nil"/>
            </w:tcBorders>
            <w:vAlign w:val="center"/>
          </w:tcPr>
          <w:p>
            <w:pPr>
              <w:widowControl/>
              <w:jc w:val="left"/>
              <w:textAlignment w:val="center"/>
              <w:rPr>
                <w:rFonts w:hint="eastAsia" w:ascii="仿宋_GB2312" w:hAnsi="宋体" w:eastAsia="仿宋_GB2312" w:cs="仿宋_GB2312"/>
                <w:color w:val="000000"/>
                <w:sz w:val="24"/>
                <w:szCs w:val="24"/>
                <w:lang w:val="en-US" w:eastAsia="zh-CN"/>
              </w:rPr>
            </w:pPr>
            <w:r>
              <w:rPr>
                <w:rFonts w:hint="eastAsia" w:ascii="仿宋_GB2312" w:hAnsi="宋体" w:eastAsia="仿宋_GB2312" w:cs="仿宋_GB2312"/>
                <w:color w:val="000000"/>
                <w:sz w:val="24"/>
                <w:szCs w:val="24"/>
                <w:lang w:val="en-US" w:eastAsia="zh-CN"/>
              </w:rPr>
              <w:t xml:space="preserve">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trPr>
        <w:tc>
          <w:tcPr>
            <w:tcW w:w="1892" w:type="dxa"/>
            <w:tcBorders>
              <w:tl2br w:val="nil"/>
              <w:tr2bl w:val="nil"/>
            </w:tcBorders>
            <w:vAlign w:val="center"/>
          </w:tcPr>
          <w:p>
            <w:pPr>
              <w:widowControl/>
              <w:jc w:val="center"/>
              <w:textAlignment w:val="center"/>
              <w:rPr>
                <w:rFonts w:ascii="仿宋_GB2312" w:hAnsi="宋体" w:eastAsia="仿宋_GB2312" w:cs="仿宋_GB2312"/>
                <w:b/>
                <w:bCs/>
                <w:color w:val="000000"/>
                <w:sz w:val="24"/>
                <w:szCs w:val="24"/>
              </w:rPr>
            </w:pPr>
            <w:r>
              <w:rPr>
                <w:rFonts w:ascii="仿宋_GB2312" w:hAnsi="宋体" w:eastAsia="仿宋_GB2312" w:cs="仿宋_GB2312"/>
                <w:b/>
                <w:bCs/>
                <w:color w:val="000000"/>
                <w:kern w:val="0"/>
                <w:sz w:val="24"/>
                <w:szCs w:val="24"/>
                <w:lang w:bidi="ar"/>
              </w:rPr>
              <w:t>装饰装修</w:t>
            </w:r>
          </w:p>
        </w:tc>
        <w:tc>
          <w:tcPr>
            <w:tcW w:w="7451" w:type="dxa"/>
            <w:gridSpan w:val="3"/>
            <w:tcBorders>
              <w:tl2br w:val="nil"/>
              <w:tr2bl w:val="nil"/>
            </w:tcBorders>
            <w:vAlign w:val="center"/>
          </w:tcPr>
          <w:p>
            <w:pPr>
              <w:widowControl/>
              <w:jc w:val="left"/>
              <w:textAlignment w:val="center"/>
              <w:rPr>
                <w:rFonts w:hint="eastAsia" w:ascii="仿宋_GB2312" w:hAnsi="宋体" w:eastAsia="仿宋_GB2312" w:cs="仿宋_GB2312"/>
                <w:color w:val="000000"/>
                <w:sz w:val="24"/>
                <w:szCs w:val="24"/>
                <w:lang w:val="en-US" w:eastAsia="zh-CN"/>
              </w:rPr>
            </w:pPr>
            <w:r>
              <w:rPr>
                <w:rFonts w:hint="eastAsia" w:ascii="仿宋_GB2312" w:hAnsi="宋体" w:eastAsia="仿宋_GB2312" w:cs="仿宋_GB2312"/>
                <w:color w:val="000000"/>
                <w:sz w:val="24"/>
                <w:szCs w:val="24"/>
                <w:lang w:val="en-US" w:eastAsia="zh-CN"/>
              </w:rPr>
              <w:t>由于被执行人未到现场，无法进入室内勘察装修情况，根据委托方要求，本次装修按一般装修进行评估。</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trPr>
        <w:tc>
          <w:tcPr>
            <w:tcW w:w="1892" w:type="dxa"/>
            <w:tcBorders>
              <w:tl2br w:val="nil"/>
              <w:tr2bl w:val="nil"/>
            </w:tcBorders>
            <w:vAlign w:val="center"/>
          </w:tcPr>
          <w:p>
            <w:pPr>
              <w:widowControl/>
              <w:jc w:val="center"/>
              <w:textAlignment w:val="center"/>
              <w:rPr>
                <w:rFonts w:ascii="仿宋_GB2312" w:hAnsi="宋体" w:eastAsia="仿宋_GB2312" w:cs="仿宋_GB2312"/>
                <w:b/>
                <w:bCs/>
                <w:color w:val="000000"/>
                <w:sz w:val="24"/>
                <w:szCs w:val="24"/>
              </w:rPr>
            </w:pPr>
            <w:r>
              <w:rPr>
                <w:rFonts w:ascii="仿宋_GB2312" w:hAnsi="宋体" w:eastAsia="仿宋_GB2312" w:cs="仿宋_GB2312"/>
                <w:b/>
                <w:bCs/>
                <w:color w:val="000000"/>
                <w:kern w:val="0"/>
                <w:sz w:val="24"/>
                <w:szCs w:val="24"/>
                <w:lang w:bidi="ar"/>
              </w:rPr>
              <w:t>设施设备</w:t>
            </w:r>
          </w:p>
        </w:tc>
        <w:tc>
          <w:tcPr>
            <w:tcW w:w="7451" w:type="dxa"/>
            <w:gridSpan w:val="3"/>
            <w:tcBorders>
              <w:tl2br w:val="nil"/>
              <w:tr2bl w:val="nil"/>
            </w:tcBorders>
            <w:vAlign w:val="center"/>
          </w:tcPr>
          <w:p>
            <w:pPr>
              <w:widowControl/>
              <w:jc w:val="left"/>
              <w:textAlignment w:val="center"/>
              <w:rPr>
                <w:rFonts w:hint="eastAsia" w:ascii="仿宋_GB2312" w:hAnsi="宋体" w:eastAsia="仿宋_GB2312" w:cs="仿宋_GB2312"/>
                <w:color w:val="000000"/>
                <w:sz w:val="24"/>
                <w:szCs w:val="24"/>
                <w:lang w:eastAsia="zh-CN"/>
              </w:rPr>
            </w:pPr>
            <w:r>
              <w:rPr>
                <w:rFonts w:ascii="仿宋_GB2312" w:hAnsi="宋体" w:eastAsia="仿宋_GB2312" w:cs="仿宋_GB2312"/>
                <w:color w:val="000000"/>
                <w:kern w:val="0"/>
                <w:sz w:val="24"/>
                <w:szCs w:val="24"/>
                <w:lang w:bidi="ar"/>
              </w:rPr>
              <w:t>水、电安装</w:t>
            </w:r>
            <w:r>
              <w:rPr>
                <w:rFonts w:hint="eastAsia" w:ascii="仿宋_GB2312" w:hAnsi="宋体" w:eastAsia="仿宋_GB2312" w:cs="仿宋_GB2312"/>
                <w:color w:val="000000"/>
                <w:kern w:val="0"/>
                <w:sz w:val="24"/>
                <w:szCs w:val="24"/>
                <w:lang w:eastAsia="zh-CN" w:bidi="ar"/>
              </w:rPr>
              <w:t>，配备有步梯、消防栓等设施设备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trPr>
        <w:tc>
          <w:tcPr>
            <w:tcW w:w="1892" w:type="dxa"/>
            <w:tcBorders>
              <w:tl2br w:val="nil"/>
              <w:tr2bl w:val="nil"/>
            </w:tcBorders>
            <w:vAlign w:val="center"/>
          </w:tcPr>
          <w:p>
            <w:pPr>
              <w:widowControl/>
              <w:jc w:val="center"/>
              <w:textAlignment w:val="center"/>
              <w:rPr>
                <w:rFonts w:ascii="仿宋_GB2312" w:hAnsi="宋体" w:eastAsia="仿宋_GB2312" w:cs="仿宋_GB2312"/>
                <w:b/>
                <w:bCs/>
                <w:color w:val="000000"/>
                <w:sz w:val="24"/>
                <w:szCs w:val="24"/>
              </w:rPr>
            </w:pPr>
            <w:r>
              <w:rPr>
                <w:rFonts w:ascii="仿宋_GB2312" w:hAnsi="宋体" w:eastAsia="仿宋_GB2312" w:cs="仿宋_GB2312"/>
                <w:b/>
                <w:bCs/>
                <w:color w:val="000000"/>
                <w:kern w:val="0"/>
                <w:sz w:val="24"/>
                <w:szCs w:val="24"/>
                <w:lang w:bidi="ar"/>
              </w:rPr>
              <w:t>使用及维护状况</w:t>
            </w:r>
          </w:p>
        </w:tc>
        <w:tc>
          <w:tcPr>
            <w:tcW w:w="7451" w:type="dxa"/>
            <w:gridSpan w:val="3"/>
            <w:tcBorders>
              <w:tl2br w:val="nil"/>
              <w:tr2bl w:val="nil"/>
            </w:tcBorders>
            <w:vAlign w:val="center"/>
          </w:tcPr>
          <w:p>
            <w:pPr>
              <w:widowControl/>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估价对象建筑物目前</w:t>
            </w:r>
            <w:r>
              <w:rPr>
                <w:rFonts w:hint="eastAsia" w:ascii="仿宋_GB2312" w:hAnsi="宋体" w:eastAsia="仿宋_GB2312" w:cs="仿宋_GB2312"/>
                <w:color w:val="000000"/>
                <w:kern w:val="0"/>
                <w:sz w:val="24"/>
                <w:szCs w:val="24"/>
                <w:lang w:eastAsia="zh-CN" w:bidi="ar"/>
              </w:rPr>
              <w:t>为使用状态</w:t>
            </w:r>
            <w:r>
              <w:rPr>
                <w:rFonts w:ascii="仿宋_GB2312" w:hAnsi="宋体" w:eastAsia="仿宋_GB2312" w:cs="仿宋_GB2312"/>
                <w:color w:val="000000"/>
                <w:kern w:val="0"/>
                <w:sz w:val="24"/>
                <w:szCs w:val="24"/>
                <w:lang w:bidi="ar"/>
              </w:rPr>
              <w:t>，维护保养情况</w:t>
            </w:r>
            <w:r>
              <w:rPr>
                <w:rFonts w:hint="eastAsia" w:ascii="仿宋_GB2312" w:hAnsi="宋体" w:eastAsia="仿宋_GB2312" w:cs="仿宋_GB2312"/>
                <w:color w:val="000000"/>
                <w:kern w:val="0"/>
                <w:sz w:val="24"/>
                <w:szCs w:val="24"/>
                <w:lang w:eastAsia="zh-CN" w:bidi="ar"/>
              </w:rPr>
              <w:t>较好</w:t>
            </w:r>
          </w:p>
        </w:tc>
      </w:tr>
    </w:tbl>
    <w:p>
      <w:pPr>
        <w:numPr>
          <w:ilvl w:val="0"/>
          <w:numId w:val="2"/>
        </w:numPr>
        <w:spacing w:line="460" w:lineRule="exact"/>
        <w:ind w:firstLine="560" w:firstLineChars="200"/>
        <w:rPr>
          <w:rFonts w:hint="eastAsia" w:ascii="仿宋_GB2312" w:hAnsi="仿宋" w:eastAsia="仿宋_GB2312"/>
          <w:sz w:val="28"/>
          <w:szCs w:val="28"/>
        </w:rPr>
      </w:pPr>
      <w:r>
        <w:rPr>
          <w:rFonts w:hint="eastAsia" w:ascii="仿宋_GB2312" w:eastAsia="仿宋_GB2312"/>
          <w:color w:val="000000"/>
          <w:sz w:val="28"/>
          <w:szCs w:val="28"/>
        </w:rPr>
        <w:t>估价对象的</w:t>
      </w:r>
      <w:r>
        <w:rPr>
          <w:rFonts w:hint="eastAsia" w:ascii="仿宋_GB2312" w:hAnsi="仿宋" w:eastAsia="仿宋_GB2312"/>
          <w:sz w:val="28"/>
          <w:szCs w:val="28"/>
        </w:rPr>
        <w:t>区位状况</w:t>
      </w:r>
    </w:p>
    <w:tbl>
      <w:tblPr>
        <w:tblStyle w:val="13"/>
        <w:tblW w:w="9400" w:type="dxa"/>
        <w:tblInd w:w="0" w:type="dxa"/>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FFFFFF"/>
        <w:tblLayout w:type="fixed"/>
        <w:tblCellMar>
          <w:top w:w="15" w:type="dxa"/>
          <w:left w:w="15" w:type="dxa"/>
          <w:bottom w:w="15" w:type="dxa"/>
          <w:right w:w="15" w:type="dxa"/>
        </w:tblCellMar>
      </w:tblPr>
      <w:tblGrid>
        <w:gridCol w:w="1897"/>
        <w:gridCol w:w="1870"/>
        <w:gridCol w:w="2651"/>
        <w:gridCol w:w="1407"/>
        <w:gridCol w:w="1575"/>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FFFFFF"/>
          <w:tblLayout w:type="fixed"/>
          <w:tblCellMar>
            <w:top w:w="15" w:type="dxa"/>
            <w:left w:w="15" w:type="dxa"/>
            <w:bottom w:w="15" w:type="dxa"/>
            <w:right w:w="15" w:type="dxa"/>
          </w:tblCellMar>
        </w:tblPrEx>
        <w:trPr>
          <w:trHeight w:val="752" w:hRule="atLeast"/>
        </w:trPr>
        <w:tc>
          <w:tcPr>
            <w:tcW w:w="1897" w:type="dxa"/>
            <w:vMerge w:val="restart"/>
            <w:tcBorders>
              <w:tl2br w:val="nil"/>
              <w:tr2bl w:val="nil"/>
            </w:tcBorders>
            <w:shd w:val="clear" w:color="auto" w:fill="FFFFFF"/>
            <w:vAlign w:val="center"/>
          </w:tcPr>
          <w:p>
            <w:pPr>
              <w:widowControl/>
              <w:jc w:val="center"/>
              <w:textAlignment w:val="center"/>
              <w:rPr>
                <w:rFonts w:hint="eastAsia" w:ascii="仿宋" w:hAnsi="仿宋" w:eastAsia="仿宋" w:cs="仿宋"/>
                <w:b/>
                <w:bCs/>
                <w:color w:val="000000"/>
                <w:sz w:val="24"/>
                <w:szCs w:val="24"/>
              </w:rPr>
            </w:pPr>
            <w:bookmarkStart w:id="17" w:name="_Toc376163796"/>
            <w:r>
              <w:rPr>
                <w:rFonts w:hint="eastAsia" w:ascii="仿宋" w:hAnsi="仿宋" w:eastAsia="仿宋" w:cs="仿宋"/>
                <w:b/>
                <w:bCs/>
                <w:color w:val="000000"/>
                <w:kern w:val="0"/>
                <w:sz w:val="24"/>
                <w:szCs w:val="24"/>
                <w:lang w:bidi="ar"/>
              </w:rPr>
              <w:t>位置状况</w:t>
            </w:r>
          </w:p>
        </w:tc>
        <w:tc>
          <w:tcPr>
            <w:tcW w:w="1870" w:type="dxa"/>
            <w:tcBorders>
              <w:tl2br w:val="nil"/>
              <w:tr2bl w:val="nil"/>
            </w:tcBorders>
            <w:shd w:val="clear" w:color="auto" w:fill="FFFFFF"/>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坐落</w:t>
            </w:r>
          </w:p>
        </w:tc>
        <w:tc>
          <w:tcPr>
            <w:tcW w:w="5633" w:type="dxa"/>
            <w:gridSpan w:val="3"/>
            <w:tcBorders>
              <w:tl2br w:val="nil"/>
              <w:tr2bl w:val="nil"/>
            </w:tcBorders>
            <w:shd w:val="clear" w:color="auto" w:fill="FFFFFF"/>
            <w:vAlign w:val="center"/>
          </w:tcPr>
          <w:p>
            <w:pPr>
              <w:widowControl/>
              <w:jc w:val="left"/>
              <w:textAlignment w:val="center"/>
              <w:rPr>
                <w:rFonts w:hint="eastAsia" w:ascii="仿宋" w:hAnsi="仿宋" w:eastAsia="仿宋" w:cs="仿宋"/>
                <w:color w:val="000000"/>
                <w:sz w:val="24"/>
                <w:szCs w:val="24"/>
                <w:lang w:eastAsia="zh-CN"/>
              </w:rPr>
            </w:pPr>
            <w:r>
              <w:rPr>
                <w:rFonts w:hint="eastAsia" w:ascii="仿宋_GB2312" w:hAnsi="宋体" w:eastAsia="仿宋_GB2312" w:cs="仿宋_GB2312"/>
                <w:color w:val="000000"/>
                <w:sz w:val="24"/>
                <w:szCs w:val="24"/>
                <w:lang w:eastAsia="zh-CN"/>
              </w:rPr>
              <w:t>贵州省黔西南布依族苗族自治州兴义市坪东街道办事处青龙路三和新城小区15栋1单元402号</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97" w:hRule="atLeast"/>
        </w:trPr>
        <w:tc>
          <w:tcPr>
            <w:tcW w:w="1897" w:type="dxa"/>
            <w:vMerge w:val="continue"/>
            <w:tcBorders>
              <w:tl2br w:val="nil"/>
              <w:tr2bl w:val="nil"/>
            </w:tcBorders>
            <w:shd w:val="clear" w:color="auto" w:fill="FFFFFF"/>
            <w:vAlign w:val="center"/>
          </w:tcPr>
          <w:p>
            <w:pPr>
              <w:jc w:val="center"/>
              <w:rPr>
                <w:rFonts w:hint="eastAsia" w:ascii="仿宋" w:hAnsi="仿宋" w:eastAsia="仿宋" w:cs="仿宋"/>
                <w:b/>
                <w:bCs/>
                <w:color w:val="000000"/>
                <w:sz w:val="24"/>
                <w:szCs w:val="24"/>
              </w:rPr>
            </w:pPr>
          </w:p>
        </w:tc>
        <w:tc>
          <w:tcPr>
            <w:tcW w:w="1870" w:type="dxa"/>
            <w:tcBorders>
              <w:tl2br w:val="nil"/>
              <w:tr2bl w:val="nil"/>
            </w:tcBorders>
            <w:shd w:val="clear" w:color="auto" w:fill="FFFFFF"/>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临街状况</w:t>
            </w:r>
          </w:p>
        </w:tc>
        <w:tc>
          <w:tcPr>
            <w:tcW w:w="2651" w:type="dxa"/>
            <w:tcBorders>
              <w:tl2br w:val="nil"/>
              <w:tr2bl w:val="nil"/>
            </w:tcBorders>
            <w:shd w:val="clear" w:color="auto" w:fill="FFFFFF"/>
            <w:vAlign w:val="center"/>
          </w:tcPr>
          <w:p>
            <w:pPr>
              <w:widowControl/>
              <w:jc w:val="left"/>
              <w:textAlignment w:val="center"/>
              <w:rPr>
                <w:rFonts w:hint="eastAsia" w:ascii="仿宋" w:hAnsi="仿宋" w:eastAsia="仿宋" w:cs="仿宋"/>
                <w:color w:val="000000"/>
                <w:sz w:val="24"/>
                <w:szCs w:val="24"/>
                <w:lang w:eastAsia="zh-CN"/>
              </w:rPr>
            </w:pPr>
            <w:r>
              <w:rPr>
                <w:rFonts w:hint="eastAsia" w:ascii="仿宋" w:hAnsi="仿宋" w:eastAsia="仿宋" w:cs="仿宋"/>
                <w:color w:val="000000"/>
                <w:kern w:val="0"/>
                <w:sz w:val="24"/>
                <w:szCs w:val="24"/>
                <w:lang w:eastAsia="zh-CN" w:bidi="ar"/>
              </w:rPr>
              <w:t>临区域干道</w:t>
            </w:r>
          </w:p>
        </w:tc>
        <w:tc>
          <w:tcPr>
            <w:tcW w:w="1407" w:type="dxa"/>
            <w:tcBorders>
              <w:tl2br w:val="nil"/>
              <w:tr2bl w:val="nil"/>
            </w:tcBorders>
            <w:shd w:val="clear" w:color="auto" w:fill="FFFFFF"/>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楼层</w:t>
            </w:r>
          </w:p>
        </w:tc>
        <w:tc>
          <w:tcPr>
            <w:tcW w:w="1575" w:type="dxa"/>
            <w:tcBorders>
              <w:tl2br w:val="nil"/>
              <w:tr2bl w:val="nil"/>
            </w:tcBorders>
            <w:shd w:val="clear" w:color="auto" w:fill="FFFFFF"/>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位于所在楼幢地上第</w:t>
            </w:r>
            <w:r>
              <w:rPr>
                <w:rStyle w:val="17"/>
                <w:rFonts w:hint="eastAsia" w:ascii="仿宋" w:hAnsi="仿宋" w:eastAsia="仿宋" w:cs="仿宋"/>
                <w:sz w:val="24"/>
                <w:szCs w:val="24"/>
                <w:lang w:val="en-US" w:eastAsia="zh-CN" w:bidi="ar"/>
              </w:rPr>
              <w:t>4</w:t>
            </w:r>
            <w:r>
              <w:rPr>
                <w:rStyle w:val="18"/>
                <w:rFonts w:hint="default" w:ascii="仿宋" w:hAnsi="仿宋" w:eastAsia="仿宋" w:cs="仿宋"/>
                <w:sz w:val="24"/>
                <w:szCs w:val="24"/>
                <w:lang w:bidi="ar"/>
              </w:rPr>
              <w:t>层</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97" w:hRule="atLeast"/>
        </w:trPr>
        <w:tc>
          <w:tcPr>
            <w:tcW w:w="1897" w:type="dxa"/>
            <w:vMerge w:val="restart"/>
            <w:tcBorders>
              <w:tl2br w:val="nil"/>
              <w:tr2bl w:val="nil"/>
            </w:tcBorders>
            <w:shd w:val="clear" w:color="auto" w:fill="FFFFFF"/>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交通状况</w:t>
            </w:r>
          </w:p>
        </w:tc>
        <w:tc>
          <w:tcPr>
            <w:tcW w:w="1870" w:type="dxa"/>
            <w:tcBorders>
              <w:tl2br w:val="nil"/>
              <w:tr2bl w:val="nil"/>
            </w:tcBorders>
            <w:shd w:val="clear" w:color="auto" w:fill="FFFFFF"/>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道路状况</w:t>
            </w:r>
          </w:p>
        </w:tc>
        <w:tc>
          <w:tcPr>
            <w:tcW w:w="2651" w:type="dxa"/>
            <w:tcBorders>
              <w:tl2br w:val="nil"/>
              <w:tr2bl w:val="nil"/>
            </w:tcBorders>
            <w:shd w:val="clear" w:color="auto" w:fill="FFFFFF"/>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外联道路有</w:t>
            </w:r>
            <w:r>
              <w:rPr>
                <w:rFonts w:hint="eastAsia" w:ascii="仿宋_GB2312" w:hAnsi="宋体" w:eastAsia="仿宋_GB2312" w:cs="仿宋_GB2312"/>
                <w:color w:val="000000"/>
                <w:sz w:val="24"/>
                <w:szCs w:val="24"/>
                <w:lang w:eastAsia="zh-CN"/>
              </w:rPr>
              <w:t>青龙西路</w:t>
            </w:r>
            <w:r>
              <w:rPr>
                <w:rFonts w:hint="eastAsia" w:ascii="仿宋" w:hAnsi="仿宋" w:eastAsia="仿宋" w:cs="仿宋"/>
                <w:color w:val="000000"/>
                <w:kern w:val="0"/>
                <w:sz w:val="24"/>
                <w:szCs w:val="24"/>
                <w:lang w:bidi="ar"/>
              </w:rPr>
              <w:t>等，道路状况较优</w:t>
            </w:r>
          </w:p>
        </w:tc>
        <w:tc>
          <w:tcPr>
            <w:tcW w:w="1407" w:type="dxa"/>
            <w:tcBorders>
              <w:tl2br w:val="nil"/>
              <w:tr2bl w:val="nil"/>
            </w:tcBorders>
            <w:shd w:val="clear" w:color="auto" w:fill="FFFFFF"/>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交通管制</w:t>
            </w:r>
          </w:p>
        </w:tc>
        <w:tc>
          <w:tcPr>
            <w:tcW w:w="1575" w:type="dxa"/>
            <w:tcBorders>
              <w:tl2br w:val="nil"/>
              <w:tr2bl w:val="nil"/>
            </w:tcBorders>
            <w:shd w:val="clear" w:color="auto" w:fill="FFFFFF"/>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无</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28" w:hRule="atLeast"/>
        </w:trPr>
        <w:tc>
          <w:tcPr>
            <w:tcW w:w="1897" w:type="dxa"/>
            <w:vMerge w:val="continue"/>
            <w:tcBorders>
              <w:tl2br w:val="nil"/>
              <w:tr2bl w:val="nil"/>
            </w:tcBorders>
            <w:shd w:val="clear" w:color="auto" w:fill="FFFFFF"/>
            <w:vAlign w:val="center"/>
          </w:tcPr>
          <w:p>
            <w:pPr>
              <w:jc w:val="center"/>
              <w:rPr>
                <w:rFonts w:hint="eastAsia" w:ascii="仿宋" w:hAnsi="仿宋" w:eastAsia="仿宋" w:cs="仿宋"/>
                <w:b/>
                <w:bCs/>
                <w:color w:val="000000"/>
                <w:sz w:val="24"/>
                <w:szCs w:val="24"/>
              </w:rPr>
            </w:pPr>
          </w:p>
        </w:tc>
        <w:tc>
          <w:tcPr>
            <w:tcW w:w="1870" w:type="dxa"/>
            <w:tcBorders>
              <w:tl2br w:val="nil"/>
              <w:tr2bl w:val="nil"/>
            </w:tcBorders>
            <w:shd w:val="clear" w:color="auto" w:fill="FFFFFF"/>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出入可利用交通工具</w:t>
            </w:r>
          </w:p>
        </w:tc>
        <w:tc>
          <w:tcPr>
            <w:tcW w:w="2651" w:type="dxa"/>
            <w:tcBorders>
              <w:tl2br w:val="nil"/>
              <w:tr2bl w:val="nil"/>
            </w:tcBorders>
            <w:shd w:val="clear" w:color="auto" w:fill="FFFFFF"/>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通</w:t>
            </w:r>
            <w:r>
              <w:rPr>
                <w:rFonts w:hint="eastAsia" w:ascii="仿宋" w:hAnsi="仿宋" w:eastAsia="仿宋" w:cs="仿宋"/>
                <w:color w:val="000000"/>
                <w:kern w:val="0"/>
                <w:sz w:val="24"/>
                <w:szCs w:val="24"/>
                <w:lang w:eastAsia="zh-CN" w:bidi="ar"/>
              </w:rPr>
              <w:t>兴义</w:t>
            </w:r>
            <w:r>
              <w:rPr>
                <w:rFonts w:hint="eastAsia" w:ascii="仿宋" w:hAnsi="仿宋" w:eastAsia="仿宋" w:cs="仿宋"/>
                <w:color w:val="000000"/>
                <w:kern w:val="0"/>
                <w:sz w:val="24"/>
                <w:szCs w:val="24"/>
                <w:lang w:val="en-US" w:eastAsia="zh-CN" w:bidi="ar"/>
              </w:rPr>
              <w:t>1、3、5等</w:t>
            </w:r>
            <w:r>
              <w:rPr>
                <w:rFonts w:hint="eastAsia" w:ascii="仿宋" w:hAnsi="仿宋" w:eastAsia="仿宋" w:cs="仿宋"/>
                <w:color w:val="000000"/>
                <w:kern w:val="0"/>
                <w:sz w:val="24"/>
                <w:szCs w:val="24"/>
                <w:lang w:bidi="ar"/>
              </w:rPr>
              <w:t>多条公交线及出租车</w:t>
            </w:r>
          </w:p>
        </w:tc>
        <w:tc>
          <w:tcPr>
            <w:tcW w:w="1407" w:type="dxa"/>
            <w:tcBorders>
              <w:tl2br w:val="nil"/>
              <w:tr2bl w:val="nil"/>
            </w:tcBorders>
            <w:shd w:val="clear" w:color="auto" w:fill="FFFFFF"/>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停车便利度</w:t>
            </w:r>
          </w:p>
        </w:tc>
        <w:tc>
          <w:tcPr>
            <w:tcW w:w="1575" w:type="dxa"/>
            <w:tcBorders>
              <w:tl2br w:val="nil"/>
              <w:tr2bl w:val="nil"/>
            </w:tcBorders>
            <w:shd w:val="clear" w:color="auto" w:fill="FFFFFF"/>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好</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97" w:hRule="atLeast"/>
        </w:trPr>
        <w:tc>
          <w:tcPr>
            <w:tcW w:w="1897" w:type="dxa"/>
            <w:vMerge w:val="restart"/>
            <w:tcBorders>
              <w:tl2br w:val="nil"/>
              <w:tr2bl w:val="nil"/>
            </w:tcBorders>
            <w:shd w:val="clear" w:color="auto" w:fill="FFFFFF"/>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环境状况</w:t>
            </w:r>
          </w:p>
        </w:tc>
        <w:tc>
          <w:tcPr>
            <w:tcW w:w="1870" w:type="dxa"/>
            <w:tcBorders>
              <w:tl2br w:val="nil"/>
              <w:tr2bl w:val="nil"/>
            </w:tcBorders>
            <w:shd w:val="clear" w:color="auto" w:fill="FFFFFF"/>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自然环境</w:t>
            </w:r>
          </w:p>
        </w:tc>
        <w:tc>
          <w:tcPr>
            <w:tcW w:w="5633" w:type="dxa"/>
            <w:gridSpan w:val="3"/>
            <w:tcBorders>
              <w:tl2br w:val="nil"/>
              <w:tr2bl w:val="nil"/>
            </w:tcBorders>
            <w:shd w:val="clear" w:color="auto" w:fill="FFFFFF"/>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周边环境</w:t>
            </w:r>
            <w:r>
              <w:rPr>
                <w:rFonts w:hint="eastAsia" w:ascii="仿宋" w:hAnsi="仿宋" w:eastAsia="仿宋" w:cs="仿宋"/>
                <w:color w:val="000000"/>
                <w:kern w:val="0"/>
                <w:sz w:val="24"/>
                <w:szCs w:val="24"/>
                <w:lang w:eastAsia="zh-CN" w:bidi="ar"/>
              </w:rPr>
              <w:t>较好</w:t>
            </w:r>
            <w:r>
              <w:rPr>
                <w:rFonts w:hint="eastAsia" w:ascii="仿宋" w:hAnsi="仿宋" w:eastAsia="仿宋" w:cs="仿宋"/>
                <w:color w:val="000000"/>
                <w:kern w:val="0"/>
                <w:sz w:val="24"/>
                <w:szCs w:val="24"/>
                <w:lang w:bidi="ar"/>
              </w:rPr>
              <w:t>，无空气、水、噪声、辐射、固体废弃物等污染</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28" w:hRule="atLeast"/>
        </w:trPr>
        <w:tc>
          <w:tcPr>
            <w:tcW w:w="1897" w:type="dxa"/>
            <w:vMerge w:val="continue"/>
            <w:tcBorders>
              <w:tl2br w:val="nil"/>
              <w:tr2bl w:val="nil"/>
            </w:tcBorders>
            <w:shd w:val="clear" w:color="auto" w:fill="FFFFFF"/>
            <w:vAlign w:val="center"/>
          </w:tcPr>
          <w:p>
            <w:pPr>
              <w:jc w:val="center"/>
              <w:rPr>
                <w:rFonts w:hint="eastAsia" w:ascii="仿宋" w:hAnsi="仿宋" w:eastAsia="仿宋" w:cs="仿宋"/>
                <w:b/>
                <w:bCs/>
                <w:color w:val="000000"/>
                <w:sz w:val="24"/>
                <w:szCs w:val="24"/>
              </w:rPr>
            </w:pPr>
          </w:p>
        </w:tc>
        <w:tc>
          <w:tcPr>
            <w:tcW w:w="1870" w:type="dxa"/>
            <w:tcBorders>
              <w:tl2br w:val="nil"/>
              <w:tr2bl w:val="nil"/>
            </w:tcBorders>
            <w:shd w:val="clear" w:color="auto" w:fill="FFFFFF"/>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人文环境</w:t>
            </w:r>
          </w:p>
        </w:tc>
        <w:tc>
          <w:tcPr>
            <w:tcW w:w="5633" w:type="dxa"/>
            <w:gridSpan w:val="3"/>
            <w:tcBorders>
              <w:tl2br w:val="nil"/>
              <w:tr2bl w:val="nil"/>
            </w:tcBorders>
            <w:shd w:val="clear" w:color="auto" w:fill="FFFFFF"/>
            <w:vAlign w:val="center"/>
          </w:tcPr>
          <w:p>
            <w:pPr>
              <w:widowControl/>
              <w:jc w:val="left"/>
              <w:textAlignment w:val="center"/>
              <w:rPr>
                <w:rFonts w:hint="eastAsia" w:ascii="仿宋" w:hAnsi="仿宋" w:eastAsia="仿宋" w:cs="仿宋"/>
                <w:color w:val="000000"/>
                <w:sz w:val="24"/>
                <w:szCs w:val="24"/>
              </w:rPr>
            </w:pPr>
            <w:r>
              <w:rPr>
                <w:rFonts w:hint="eastAsia" w:ascii="仿宋_GB2312" w:hAnsi="仿宋" w:eastAsia="仿宋_GB2312" w:cs="仿宋"/>
                <w:color w:val="000000"/>
                <w:kern w:val="0"/>
                <w:sz w:val="24"/>
                <w:szCs w:val="24"/>
                <w:lang w:bidi="ar"/>
              </w:rPr>
              <w:t>周边人口</w:t>
            </w:r>
            <w:r>
              <w:rPr>
                <w:rFonts w:hint="eastAsia" w:ascii="仿宋_GB2312" w:hAnsi="仿宋" w:eastAsia="仿宋_GB2312" w:cs="仿宋"/>
                <w:color w:val="000000"/>
                <w:kern w:val="0"/>
                <w:sz w:val="24"/>
                <w:szCs w:val="24"/>
                <w:lang w:eastAsia="zh-CN" w:bidi="ar"/>
              </w:rPr>
              <w:t>素质较好</w:t>
            </w:r>
            <w:r>
              <w:rPr>
                <w:rFonts w:hint="eastAsia" w:ascii="仿宋_GB2312" w:hAnsi="仿宋" w:eastAsia="仿宋_GB2312" w:cs="仿宋"/>
                <w:color w:val="000000"/>
                <w:kern w:val="0"/>
                <w:sz w:val="24"/>
                <w:szCs w:val="24"/>
                <w:lang w:bidi="ar"/>
              </w:rPr>
              <w:t>，治安管理</w:t>
            </w:r>
            <w:r>
              <w:rPr>
                <w:rFonts w:hint="eastAsia" w:ascii="仿宋_GB2312" w:hAnsi="仿宋" w:eastAsia="仿宋_GB2312" w:cs="仿宋"/>
                <w:color w:val="000000"/>
                <w:kern w:val="0"/>
                <w:sz w:val="24"/>
                <w:szCs w:val="24"/>
                <w:lang w:eastAsia="zh-CN" w:bidi="ar"/>
              </w:rPr>
              <w:t>较好</w:t>
            </w:r>
            <w:r>
              <w:rPr>
                <w:rFonts w:hint="eastAsia" w:ascii="仿宋_GB2312" w:hAnsi="仿宋" w:eastAsia="仿宋_GB2312" w:cs="仿宋"/>
                <w:color w:val="000000"/>
                <w:kern w:val="0"/>
                <w:sz w:val="24"/>
                <w:szCs w:val="24"/>
                <w:lang w:bidi="ar"/>
              </w:rPr>
              <w:t>，人文环境</w:t>
            </w:r>
            <w:r>
              <w:rPr>
                <w:rFonts w:hint="eastAsia" w:ascii="仿宋_GB2312" w:hAnsi="仿宋" w:eastAsia="仿宋_GB2312" w:cs="仿宋"/>
                <w:color w:val="000000"/>
                <w:kern w:val="0"/>
                <w:sz w:val="24"/>
                <w:szCs w:val="24"/>
                <w:lang w:eastAsia="zh-CN" w:bidi="ar"/>
              </w:rPr>
              <w:t>一般</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0" w:hRule="atLeast"/>
        </w:trPr>
        <w:tc>
          <w:tcPr>
            <w:tcW w:w="1897" w:type="dxa"/>
            <w:vMerge w:val="continue"/>
            <w:tcBorders>
              <w:tl2br w:val="nil"/>
              <w:tr2bl w:val="nil"/>
            </w:tcBorders>
            <w:shd w:val="clear" w:color="auto" w:fill="FFFFFF"/>
            <w:vAlign w:val="center"/>
          </w:tcPr>
          <w:p>
            <w:pPr>
              <w:jc w:val="center"/>
              <w:rPr>
                <w:rFonts w:hint="eastAsia" w:ascii="仿宋" w:hAnsi="仿宋" w:eastAsia="仿宋" w:cs="仿宋"/>
                <w:b/>
                <w:bCs/>
                <w:color w:val="000000"/>
                <w:sz w:val="24"/>
                <w:szCs w:val="24"/>
              </w:rPr>
            </w:pPr>
          </w:p>
        </w:tc>
        <w:tc>
          <w:tcPr>
            <w:tcW w:w="1870" w:type="dxa"/>
            <w:tcBorders>
              <w:tl2br w:val="nil"/>
              <w:tr2bl w:val="nil"/>
            </w:tcBorders>
            <w:shd w:val="clear" w:color="auto" w:fill="FFFFFF"/>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景观</w:t>
            </w:r>
          </w:p>
        </w:tc>
        <w:tc>
          <w:tcPr>
            <w:tcW w:w="5633" w:type="dxa"/>
            <w:gridSpan w:val="3"/>
            <w:tcBorders>
              <w:tl2br w:val="nil"/>
              <w:tr2bl w:val="nil"/>
            </w:tcBorders>
            <w:shd w:val="clear" w:color="auto" w:fill="FFFFFF"/>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景观</w:t>
            </w:r>
            <w:r>
              <w:rPr>
                <w:rFonts w:hint="eastAsia" w:ascii="仿宋" w:hAnsi="仿宋" w:eastAsia="仿宋" w:cs="仿宋"/>
                <w:color w:val="000000"/>
                <w:kern w:val="0"/>
                <w:sz w:val="24"/>
                <w:szCs w:val="24"/>
                <w:lang w:eastAsia="zh-CN" w:bidi="ar"/>
              </w:rPr>
              <w:t>一般</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05" w:hRule="atLeast"/>
        </w:trPr>
        <w:tc>
          <w:tcPr>
            <w:tcW w:w="1897" w:type="dxa"/>
            <w:vMerge w:val="restart"/>
            <w:tcBorders>
              <w:tl2br w:val="nil"/>
              <w:tr2bl w:val="nil"/>
            </w:tcBorders>
            <w:shd w:val="clear" w:color="auto" w:fill="FFFFFF"/>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外部配套</w:t>
            </w:r>
            <w:r>
              <w:rPr>
                <w:rFonts w:hint="eastAsia" w:ascii="仿宋" w:hAnsi="仿宋" w:eastAsia="仿宋" w:cs="仿宋"/>
                <w:b/>
                <w:bCs/>
                <w:color w:val="000000"/>
                <w:kern w:val="0"/>
                <w:sz w:val="24"/>
                <w:szCs w:val="24"/>
                <w:lang w:bidi="ar"/>
              </w:rPr>
              <w:br w:type="textWrapping"/>
            </w:r>
            <w:r>
              <w:rPr>
                <w:rFonts w:hint="eastAsia" w:ascii="仿宋" w:hAnsi="仿宋" w:eastAsia="仿宋" w:cs="仿宋"/>
                <w:b/>
                <w:bCs/>
                <w:color w:val="000000"/>
                <w:kern w:val="0"/>
                <w:sz w:val="24"/>
                <w:szCs w:val="24"/>
                <w:lang w:bidi="ar"/>
              </w:rPr>
              <w:t>设施状况</w:t>
            </w:r>
          </w:p>
        </w:tc>
        <w:tc>
          <w:tcPr>
            <w:tcW w:w="1870" w:type="dxa"/>
            <w:tcBorders>
              <w:tl2br w:val="nil"/>
              <w:tr2bl w:val="nil"/>
            </w:tcBorders>
            <w:shd w:val="clear" w:color="auto" w:fill="FFFFFF"/>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基础设施</w:t>
            </w:r>
          </w:p>
        </w:tc>
        <w:tc>
          <w:tcPr>
            <w:tcW w:w="5633" w:type="dxa"/>
            <w:gridSpan w:val="3"/>
            <w:tcBorders>
              <w:tl2br w:val="nil"/>
              <w:tr2bl w:val="nil"/>
            </w:tcBorders>
            <w:shd w:val="clear" w:color="auto" w:fill="FFFFFF"/>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周边基础设施已达到“</w:t>
            </w:r>
            <w:r>
              <w:rPr>
                <w:rFonts w:hint="eastAsia" w:ascii="仿宋" w:hAnsi="仿宋" w:eastAsia="仿宋" w:cs="仿宋"/>
                <w:color w:val="000000"/>
                <w:kern w:val="0"/>
                <w:sz w:val="24"/>
                <w:szCs w:val="24"/>
                <w:lang w:eastAsia="zh-CN" w:bidi="ar"/>
              </w:rPr>
              <w:t>六</w:t>
            </w:r>
            <w:r>
              <w:rPr>
                <w:rFonts w:hint="eastAsia" w:ascii="仿宋" w:hAnsi="仿宋" w:eastAsia="仿宋" w:cs="仿宋"/>
                <w:color w:val="000000"/>
                <w:kern w:val="0"/>
                <w:sz w:val="24"/>
                <w:szCs w:val="24"/>
                <w:lang w:bidi="ar"/>
              </w:rPr>
              <w:t>通”，道路、供水、排水（雨水、污水）、供电、</w:t>
            </w:r>
            <w:r>
              <w:rPr>
                <w:rFonts w:hint="eastAsia" w:ascii="仿宋" w:hAnsi="仿宋" w:eastAsia="仿宋" w:cs="仿宋"/>
                <w:color w:val="000000"/>
                <w:kern w:val="0"/>
                <w:sz w:val="24"/>
                <w:szCs w:val="24"/>
                <w:lang w:eastAsia="zh-CN" w:bidi="ar"/>
              </w:rPr>
              <w:t>供气、</w:t>
            </w:r>
            <w:r>
              <w:rPr>
                <w:rFonts w:hint="eastAsia" w:ascii="仿宋" w:hAnsi="仿宋" w:eastAsia="仿宋" w:cs="仿宋"/>
                <w:color w:val="000000"/>
                <w:kern w:val="0"/>
                <w:sz w:val="24"/>
                <w:szCs w:val="24"/>
                <w:lang w:bidi="ar"/>
              </w:rPr>
              <w:t>通信、有线电视等设施的完备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90" w:hRule="atLeast"/>
        </w:trPr>
        <w:tc>
          <w:tcPr>
            <w:tcW w:w="1897" w:type="dxa"/>
            <w:vMerge w:val="continue"/>
            <w:tcBorders>
              <w:tl2br w:val="nil"/>
              <w:tr2bl w:val="nil"/>
            </w:tcBorders>
            <w:shd w:val="clear" w:color="auto" w:fill="FFFFFF"/>
            <w:vAlign w:val="center"/>
          </w:tcPr>
          <w:p>
            <w:pPr>
              <w:jc w:val="center"/>
              <w:rPr>
                <w:rFonts w:hint="eastAsia" w:ascii="仿宋" w:hAnsi="仿宋" w:eastAsia="仿宋" w:cs="仿宋"/>
                <w:b/>
                <w:bCs/>
                <w:color w:val="000000"/>
                <w:sz w:val="24"/>
                <w:szCs w:val="24"/>
              </w:rPr>
            </w:pPr>
          </w:p>
        </w:tc>
        <w:tc>
          <w:tcPr>
            <w:tcW w:w="1870" w:type="dxa"/>
            <w:tcBorders>
              <w:tl2br w:val="nil"/>
              <w:tr2bl w:val="nil"/>
            </w:tcBorders>
            <w:shd w:val="clear" w:color="auto" w:fill="FFFFFF"/>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公共服务设施</w:t>
            </w:r>
          </w:p>
        </w:tc>
        <w:tc>
          <w:tcPr>
            <w:tcW w:w="5633" w:type="dxa"/>
            <w:gridSpan w:val="3"/>
            <w:tcBorders>
              <w:tl2br w:val="nil"/>
              <w:tr2bl w:val="nil"/>
            </w:tcBorders>
            <w:shd w:val="clear" w:color="auto" w:fill="FFFFFF"/>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附近有</w:t>
            </w:r>
            <w:r>
              <w:rPr>
                <w:rFonts w:hint="eastAsia" w:ascii="仿宋" w:hAnsi="仿宋" w:eastAsia="仿宋" w:cs="仿宋"/>
                <w:color w:val="000000"/>
                <w:kern w:val="0"/>
                <w:sz w:val="24"/>
                <w:szCs w:val="24"/>
                <w:lang w:eastAsia="zh-CN" w:bidi="ar"/>
              </w:rPr>
              <w:t>中国邮政储蓄银行</w:t>
            </w:r>
            <w:r>
              <w:rPr>
                <w:rFonts w:hint="eastAsia" w:ascii="仿宋" w:hAnsi="仿宋" w:eastAsia="仿宋" w:cs="仿宋"/>
                <w:color w:val="000000"/>
                <w:kern w:val="0"/>
                <w:sz w:val="24"/>
                <w:szCs w:val="24"/>
                <w:lang w:val="en-US" w:eastAsia="zh-CN" w:bidi="ar"/>
              </w:rPr>
              <w:t>、贵阳银行、小太阳幼儿园、扬州午托园、优客购物超市、新城超市</w:t>
            </w:r>
            <w:r>
              <w:rPr>
                <w:rFonts w:hint="eastAsia" w:ascii="仿宋" w:hAnsi="仿宋" w:eastAsia="仿宋" w:cs="仿宋"/>
                <w:color w:val="000000"/>
                <w:kern w:val="0"/>
                <w:sz w:val="24"/>
                <w:szCs w:val="24"/>
                <w:lang w:bidi="ar"/>
              </w:rPr>
              <w:t>等，附近公共服务设施较齐备</w:t>
            </w:r>
          </w:p>
        </w:tc>
      </w:tr>
    </w:tbl>
    <w:p>
      <w:pPr>
        <w:pStyle w:val="3"/>
        <w:spacing w:before="0" w:after="0" w:line="540" w:lineRule="exact"/>
        <w:ind w:firstLine="526" w:firstLineChars="187"/>
        <w:rPr>
          <w:rFonts w:hint="eastAsia" w:ascii="仿宋_GB2312" w:hAnsi="华文仿宋" w:eastAsia="仿宋_GB2312"/>
          <w:color w:val="000000"/>
          <w:sz w:val="28"/>
          <w:szCs w:val="28"/>
        </w:rPr>
      </w:pPr>
      <w:bookmarkStart w:id="18" w:name="_Toc26898"/>
      <w:r>
        <w:rPr>
          <w:rFonts w:hint="eastAsia" w:ascii="仿宋_GB2312" w:hAnsi="华文仿宋" w:eastAsia="仿宋_GB2312"/>
          <w:color w:val="000000"/>
          <w:sz w:val="28"/>
          <w:szCs w:val="28"/>
        </w:rPr>
        <w:t>五、价值时点</w:t>
      </w:r>
      <w:bookmarkEnd w:id="17"/>
      <w:bookmarkEnd w:id="18"/>
    </w:p>
    <w:p>
      <w:pPr>
        <w:spacing w:line="5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本次价值时点为：</w:t>
      </w:r>
      <w:r>
        <w:rPr>
          <w:rFonts w:hint="eastAsia" w:ascii="仿宋" w:hAnsi="仿宋" w:eastAsia="仿宋" w:cs="仿宋"/>
          <w:color w:val="000000"/>
          <w:sz w:val="28"/>
          <w:szCs w:val="28"/>
          <w:lang w:eastAsia="zh-CN"/>
        </w:rPr>
        <w:t>2019年1月</w:t>
      </w:r>
      <w:r>
        <w:rPr>
          <w:rFonts w:hint="eastAsia" w:ascii="仿宋" w:hAnsi="仿宋" w:eastAsia="仿宋" w:cs="仿宋"/>
          <w:color w:val="000000"/>
          <w:sz w:val="28"/>
          <w:szCs w:val="28"/>
          <w:lang w:val="en-US" w:eastAsia="zh-CN"/>
        </w:rPr>
        <w:t>7</w:t>
      </w:r>
      <w:r>
        <w:rPr>
          <w:rFonts w:hint="eastAsia" w:ascii="仿宋" w:hAnsi="仿宋" w:eastAsia="仿宋" w:cs="仿宋"/>
          <w:color w:val="000000"/>
          <w:sz w:val="28"/>
          <w:szCs w:val="28"/>
          <w:lang w:eastAsia="zh-CN"/>
        </w:rPr>
        <w:t>日</w:t>
      </w:r>
      <w:r>
        <w:rPr>
          <w:rFonts w:hint="eastAsia" w:ascii="仿宋" w:hAnsi="仿宋" w:eastAsia="仿宋" w:cs="仿宋"/>
          <w:color w:val="000000"/>
          <w:sz w:val="28"/>
          <w:szCs w:val="28"/>
        </w:rPr>
        <w:t>（以现场实际</w:t>
      </w:r>
      <w:r>
        <w:rPr>
          <w:rFonts w:hint="eastAsia" w:ascii="仿宋" w:hAnsi="仿宋" w:eastAsia="仿宋" w:cs="仿宋"/>
          <w:color w:val="000000"/>
          <w:sz w:val="28"/>
          <w:szCs w:val="28"/>
          <w:lang w:eastAsia="zh-CN"/>
        </w:rPr>
        <w:t>查</w:t>
      </w:r>
      <w:r>
        <w:rPr>
          <w:rFonts w:hint="eastAsia" w:ascii="仿宋" w:hAnsi="仿宋" w:eastAsia="仿宋" w:cs="仿宋"/>
          <w:color w:val="000000"/>
          <w:sz w:val="28"/>
          <w:szCs w:val="28"/>
        </w:rPr>
        <w:t>勘之日为准）。</w:t>
      </w:r>
    </w:p>
    <w:p>
      <w:pPr>
        <w:pStyle w:val="3"/>
        <w:spacing w:before="0" w:after="0" w:line="540" w:lineRule="exact"/>
        <w:ind w:firstLine="562" w:firstLineChars="200"/>
        <w:rPr>
          <w:rFonts w:hint="eastAsia" w:ascii="仿宋_GB2312" w:hAnsi="华文仿宋" w:eastAsia="仿宋_GB2312"/>
          <w:color w:val="000000"/>
          <w:sz w:val="28"/>
          <w:szCs w:val="28"/>
        </w:rPr>
      </w:pPr>
      <w:bookmarkStart w:id="19" w:name="_Toc376163797"/>
      <w:bookmarkStart w:id="20" w:name="_Toc5301"/>
      <w:r>
        <w:rPr>
          <w:rFonts w:hint="eastAsia" w:ascii="仿宋_GB2312" w:hAnsi="华文仿宋" w:eastAsia="仿宋_GB2312"/>
          <w:color w:val="000000"/>
          <w:sz w:val="28"/>
          <w:szCs w:val="28"/>
        </w:rPr>
        <w:t>六、价值类型</w:t>
      </w:r>
      <w:bookmarkEnd w:id="19"/>
      <w:bookmarkEnd w:id="20"/>
    </w:p>
    <w:p>
      <w:pPr>
        <w:spacing w:line="540" w:lineRule="exact"/>
        <w:ind w:firstLine="560" w:firstLineChars="200"/>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本估价报告出具的市场价值是</w:t>
      </w:r>
      <w:r>
        <w:rPr>
          <w:rFonts w:hint="eastAsia" w:ascii="仿宋_GB2312" w:hAnsi="华文仿宋" w:eastAsia="仿宋_GB2312"/>
          <w:color w:val="000000"/>
          <w:sz w:val="28"/>
          <w:szCs w:val="28"/>
          <w:lang w:eastAsia="zh-CN"/>
        </w:rPr>
        <w:t>依据《不动产权登记记载表》中规划用途为住宅，在当前市场状况下，</w:t>
      </w:r>
      <w:r>
        <w:rPr>
          <w:rFonts w:hint="eastAsia" w:ascii="仿宋_GB2312" w:hAnsi="华文仿宋" w:eastAsia="仿宋_GB2312"/>
          <w:color w:val="000000"/>
          <w:sz w:val="28"/>
          <w:szCs w:val="28"/>
        </w:rPr>
        <w:t>于价值时点</w:t>
      </w:r>
      <w:r>
        <w:rPr>
          <w:rFonts w:hint="eastAsia" w:ascii="仿宋_GB2312" w:hAnsi="华文仿宋" w:eastAsia="仿宋_GB2312"/>
          <w:color w:val="000000"/>
          <w:sz w:val="28"/>
          <w:szCs w:val="28"/>
          <w:lang w:val="en-US" w:eastAsia="zh-CN"/>
        </w:rPr>
        <w:t>2019年1月7日</w:t>
      </w:r>
      <w:r>
        <w:rPr>
          <w:rFonts w:hint="eastAsia" w:ascii="仿宋_GB2312" w:hAnsi="华文仿宋" w:eastAsia="仿宋_GB2312"/>
          <w:color w:val="000000"/>
          <w:sz w:val="28"/>
          <w:szCs w:val="28"/>
          <w:lang w:eastAsia="zh-CN"/>
        </w:rPr>
        <w:t>房地产的</w:t>
      </w:r>
      <w:r>
        <w:rPr>
          <w:rFonts w:hint="eastAsia" w:ascii="仿宋_GB2312" w:hAnsi="华文仿宋" w:eastAsia="仿宋_GB2312"/>
          <w:color w:val="000000"/>
          <w:sz w:val="28"/>
          <w:szCs w:val="28"/>
        </w:rPr>
        <w:t>市场价值，未考虑租赁、抵押、查封等情况对估价对象市场价值的影响，属公开市场价值范畴。</w:t>
      </w:r>
    </w:p>
    <w:p>
      <w:pPr>
        <w:spacing w:line="540" w:lineRule="exact"/>
        <w:ind w:left="1" w:firstLine="523" w:firstLineChars="187"/>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公开市场价值：在公开市场上最可能形成的价值。公开市场指在该市场上交易双方进行交易的目的在于最大限度地追求经济效益，并掌握必要的市场信息，有较充裕的时间进行交易，对交易对象具有必要的专业知识，交易条件公开并不具有排它性。</w:t>
      </w:r>
    </w:p>
    <w:p>
      <w:pPr>
        <w:pStyle w:val="3"/>
        <w:spacing w:before="0" w:after="0" w:line="540" w:lineRule="exact"/>
        <w:ind w:firstLine="526" w:firstLineChars="187"/>
        <w:rPr>
          <w:rFonts w:hint="eastAsia" w:ascii="仿宋_GB2312" w:hAnsi="华文仿宋" w:eastAsia="仿宋_GB2312"/>
          <w:color w:val="000000"/>
          <w:sz w:val="28"/>
          <w:szCs w:val="28"/>
        </w:rPr>
      </w:pPr>
      <w:bookmarkStart w:id="21" w:name="_Toc376163798"/>
      <w:bookmarkStart w:id="22" w:name="_Toc6386"/>
      <w:r>
        <w:rPr>
          <w:rFonts w:hint="eastAsia" w:ascii="仿宋_GB2312" w:hAnsi="华文仿宋" w:eastAsia="仿宋_GB2312"/>
          <w:color w:val="000000"/>
          <w:sz w:val="28"/>
          <w:szCs w:val="28"/>
        </w:rPr>
        <w:t>七、估价依据</w:t>
      </w:r>
      <w:bookmarkEnd w:id="21"/>
      <w:bookmarkEnd w:id="22"/>
    </w:p>
    <w:p>
      <w:pPr>
        <w:spacing w:line="540" w:lineRule="exact"/>
        <w:ind w:firstLine="560" w:firstLineChars="200"/>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本次评估依据国家、贵州省人民政府及其有关部门颁布的法律规定和政策性文件以及评估房地产的具体资料，主要有：</w:t>
      </w:r>
    </w:p>
    <w:p>
      <w:pPr>
        <w:spacing w:line="540" w:lineRule="exact"/>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 xml:space="preserve">    (一)估价所依据的有关法律、法规和政策</w:t>
      </w:r>
    </w:p>
    <w:p>
      <w:pPr>
        <w:spacing w:line="540" w:lineRule="exact"/>
        <w:ind w:firstLine="560" w:firstLineChars="200"/>
        <w:rPr>
          <w:rFonts w:hint="eastAsia" w:ascii="仿宋_GB2312" w:hAnsi="华文仿宋" w:eastAsia="仿宋_GB2312"/>
          <w:sz w:val="28"/>
          <w:szCs w:val="28"/>
        </w:rPr>
      </w:pPr>
      <w:r>
        <w:rPr>
          <w:rFonts w:hint="eastAsia" w:ascii="仿宋_GB2312" w:hAnsi="华文仿宋" w:eastAsia="仿宋_GB2312"/>
          <w:color w:val="000000"/>
          <w:sz w:val="28"/>
          <w:szCs w:val="28"/>
        </w:rPr>
        <w:t>1.《中华人民</w:t>
      </w:r>
      <w:r>
        <w:rPr>
          <w:rFonts w:hint="eastAsia" w:ascii="仿宋_GB2312" w:hAnsi="华文仿宋" w:eastAsia="仿宋_GB2312"/>
          <w:sz w:val="28"/>
          <w:szCs w:val="28"/>
        </w:rPr>
        <w:t>共和国物权法》（中华人民共和国第十届全国人民代表大会第五次会议于2007年3月16日通过，2007年3月16日中华人民共和国主席令第六十二号公布，自2007年10月1日起施行）；</w:t>
      </w:r>
    </w:p>
    <w:p>
      <w:pPr>
        <w:spacing w:line="540" w:lineRule="exact"/>
        <w:ind w:firstLine="560" w:firstLineChars="200"/>
        <w:rPr>
          <w:rFonts w:hint="eastAsia" w:ascii="仿宋_GB2312" w:hAnsi="华文仿宋" w:eastAsia="仿宋_GB2312"/>
          <w:sz w:val="28"/>
          <w:szCs w:val="28"/>
        </w:rPr>
      </w:pPr>
      <w:r>
        <w:rPr>
          <w:rFonts w:hint="eastAsia" w:ascii="仿宋_GB2312" w:hAnsi="华文仿宋" w:eastAsia="仿宋_GB2312"/>
          <w:sz w:val="28"/>
          <w:szCs w:val="28"/>
        </w:rPr>
        <w:t>2.《中华人民共和国城市房地产管理法》（中华人民共和国主席令第72号，2007年8月30日）；</w:t>
      </w:r>
    </w:p>
    <w:p>
      <w:pPr>
        <w:spacing w:line="540" w:lineRule="exact"/>
        <w:ind w:firstLine="560" w:firstLineChars="200"/>
        <w:rPr>
          <w:rFonts w:hint="eastAsia" w:ascii="仿宋_GB2312" w:hAnsi="华文仿宋" w:eastAsia="仿宋_GB2312"/>
          <w:sz w:val="28"/>
          <w:szCs w:val="28"/>
        </w:rPr>
      </w:pPr>
      <w:r>
        <w:rPr>
          <w:rFonts w:hint="eastAsia" w:ascii="仿宋_GB2312" w:hAnsi="华文仿宋" w:eastAsia="仿宋_GB2312"/>
          <w:sz w:val="28"/>
          <w:szCs w:val="28"/>
        </w:rPr>
        <w:t>3.《中华人民共和国土地管理法》（中华人民共和国主席令第28号，2004年8月28日）；</w:t>
      </w:r>
    </w:p>
    <w:p>
      <w:pPr>
        <w:spacing w:line="540" w:lineRule="exact"/>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 xml:space="preserve">    4.《中华人民共和国城乡规划法》（中华人民共和国主席令第74号，2007年10月28日）；</w:t>
      </w:r>
    </w:p>
    <w:p>
      <w:pPr>
        <w:tabs>
          <w:tab w:val="left" w:pos="-360"/>
          <w:tab w:val="left" w:pos="0"/>
        </w:tabs>
        <w:spacing w:line="540" w:lineRule="exact"/>
        <w:ind w:right="359" w:rightChars="171" w:firstLine="560" w:firstLineChars="200"/>
        <w:textAlignment w:val="baseline"/>
        <w:rPr>
          <w:rFonts w:hint="eastAsia" w:ascii="仿宋_GB2312" w:eastAsia="仿宋_GB2312" w:cs="仿宋_GB2312"/>
          <w:sz w:val="28"/>
          <w:szCs w:val="28"/>
        </w:rPr>
      </w:pPr>
      <w:r>
        <w:rPr>
          <w:rFonts w:hint="eastAsia" w:ascii="仿宋_GB2312" w:hAnsi="华文仿宋" w:eastAsia="仿宋_GB2312"/>
          <w:color w:val="000000"/>
          <w:sz w:val="28"/>
          <w:szCs w:val="28"/>
        </w:rPr>
        <w:t>5.</w:t>
      </w:r>
      <w:r>
        <w:rPr>
          <w:rFonts w:hint="eastAsia" w:ascii="仿宋_GB2312" w:eastAsia="仿宋_GB2312" w:cs="仿宋_GB2312"/>
          <w:sz w:val="28"/>
          <w:szCs w:val="28"/>
        </w:rPr>
        <w:t>《中华人民共和国资产评估法》</w:t>
      </w:r>
      <w:r>
        <w:rPr>
          <w:rFonts w:hint="eastAsia" w:ascii="仿宋_GB2312" w:eastAsia="仿宋_GB2312" w:cs="仿宋_GB2312"/>
          <w:sz w:val="28"/>
          <w:szCs w:val="28"/>
          <w:lang w:eastAsia="zh-CN"/>
        </w:rPr>
        <w:t>（</w:t>
      </w:r>
      <w:r>
        <w:rPr>
          <w:rFonts w:hint="eastAsia" w:ascii="仿宋_GB2312" w:eastAsia="仿宋_GB2312" w:cs="仿宋_GB2312"/>
          <w:sz w:val="28"/>
          <w:szCs w:val="28"/>
        </w:rPr>
        <w:t>中华人民共和国主席令第</w:t>
      </w:r>
      <w:r>
        <w:rPr>
          <w:rFonts w:hint="eastAsia" w:ascii="仿宋_GB2312" w:eastAsia="仿宋_GB2312" w:cs="仿宋_GB2312"/>
          <w:sz w:val="28"/>
          <w:szCs w:val="28"/>
          <w:lang w:val="en-US" w:eastAsia="zh-CN"/>
        </w:rPr>
        <w:t>46</w:t>
      </w:r>
      <w:r>
        <w:rPr>
          <w:rFonts w:hint="eastAsia" w:ascii="仿宋_GB2312" w:eastAsia="仿宋_GB2312" w:cs="仿宋_GB2312"/>
          <w:sz w:val="28"/>
          <w:szCs w:val="28"/>
        </w:rPr>
        <w:t>号</w:t>
      </w:r>
      <w:r>
        <w:rPr>
          <w:rFonts w:hint="eastAsia" w:ascii="仿宋_GB2312" w:eastAsia="仿宋_GB2312" w:cs="仿宋_GB2312"/>
          <w:sz w:val="28"/>
          <w:szCs w:val="28"/>
          <w:lang w:eastAsia="zh-CN"/>
        </w:rPr>
        <w:t>，2016年12月1日起施行</w:t>
      </w:r>
      <w:r>
        <w:rPr>
          <w:rFonts w:hint="eastAsia" w:ascii="仿宋_GB2312" w:eastAsia="仿宋_GB2312" w:cs="仿宋_GB2312"/>
          <w:sz w:val="28"/>
          <w:szCs w:val="28"/>
        </w:rPr>
        <w:t>）；</w:t>
      </w:r>
    </w:p>
    <w:p>
      <w:pPr>
        <w:spacing w:line="540" w:lineRule="exact"/>
        <w:ind w:firstLine="560" w:firstLineChars="200"/>
        <w:rPr>
          <w:rFonts w:hint="eastAsia" w:ascii="仿宋_GB2312" w:hAnsi="华文仿宋" w:eastAsia="仿宋_GB2312"/>
          <w:color w:val="000000"/>
          <w:sz w:val="28"/>
          <w:szCs w:val="28"/>
        </w:rPr>
      </w:pPr>
      <w:r>
        <w:rPr>
          <w:rFonts w:hint="eastAsia" w:ascii="仿宋_GB2312" w:hAnsi="华文仿宋" w:eastAsia="仿宋_GB2312"/>
          <w:color w:val="000000"/>
          <w:sz w:val="28"/>
          <w:szCs w:val="28"/>
          <w:lang w:val="en-US" w:eastAsia="zh-CN"/>
        </w:rPr>
        <w:t>6</w:t>
      </w:r>
      <w:r>
        <w:rPr>
          <w:rFonts w:hint="eastAsia" w:ascii="仿宋_GB2312" w:hAnsi="华文仿宋" w:eastAsia="仿宋_GB2312"/>
          <w:color w:val="000000"/>
          <w:sz w:val="28"/>
          <w:szCs w:val="28"/>
        </w:rPr>
        <w:t>.估价所依据的其他法律、法规及政策。</w:t>
      </w:r>
    </w:p>
    <w:p>
      <w:pPr>
        <w:spacing w:line="540" w:lineRule="exact"/>
        <w:ind w:firstLine="560" w:firstLineChars="200"/>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(二)估价所依据的技术标准</w:t>
      </w:r>
    </w:p>
    <w:p>
      <w:pPr>
        <w:spacing w:line="540" w:lineRule="exact"/>
        <w:ind w:firstLine="560" w:firstLineChars="200"/>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1.《房地</w:t>
      </w:r>
      <w:r>
        <w:rPr>
          <w:rFonts w:hint="eastAsia" w:ascii="仿宋_GB2312" w:hAnsi="华文仿宋" w:eastAsia="仿宋_GB2312"/>
          <w:sz w:val="28"/>
          <w:szCs w:val="28"/>
        </w:rPr>
        <w:t>产估价</w:t>
      </w:r>
      <w:r>
        <w:rPr>
          <w:rFonts w:hint="eastAsia" w:ascii="仿宋_GB2312" w:hAnsi="华文仿宋" w:eastAsia="仿宋_GB2312"/>
          <w:color w:val="000000"/>
          <w:sz w:val="28"/>
          <w:szCs w:val="28"/>
        </w:rPr>
        <w:t>规范》（GB/T 50291-2015）；</w:t>
      </w:r>
    </w:p>
    <w:p>
      <w:pPr>
        <w:spacing w:line="540" w:lineRule="exact"/>
        <w:ind w:firstLine="560" w:firstLineChars="200"/>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2.《房地产估价基本术语标准》（GB/T 50899-</w:t>
      </w:r>
      <w:r>
        <w:rPr>
          <w:rFonts w:hint="eastAsia" w:ascii="仿宋_GB2312" w:hAnsi="华文仿宋" w:eastAsia="仿宋_GB2312"/>
          <w:color w:val="000000"/>
          <w:sz w:val="28"/>
          <w:szCs w:val="28"/>
          <w:lang w:eastAsia="zh-CN"/>
        </w:rPr>
        <w:t>2011</w:t>
      </w:r>
      <w:r>
        <w:rPr>
          <w:rFonts w:hint="eastAsia" w:ascii="仿宋_GB2312" w:hAnsi="华文仿宋" w:eastAsia="仿宋_GB2312"/>
          <w:color w:val="000000"/>
          <w:sz w:val="28"/>
          <w:szCs w:val="28"/>
        </w:rPr>
        <w:t>）。</w:t>
      </w:r>
    </w:p>
    <w:p>
      <w:pPr>
        <w:spacing w:line="540" w:lineRule="exact"/>
        <w:ind w:firstLine="560" w:firstLineChars="200"/>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(三)估价委托人提供的有关资料</w:t>
      </w:r>
    </w:p>
    <w:p>
      <w:pPr>
        <w:spacing w:line="540" w:lineRule="exact"/>
        <w:ind w:firstLine="560" w:firstLineChars="200"/>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1.</w:t>
      </w:r>
      <w:r>
        <w:rPr>
          <w:rFonts w:hint="eastAsia" w:ascii="仿宋_GB2312" w:hAnsi="华文仿宋" w:eastAsia="仿宋_GB2312"/>
          <w:color w:val="000000"/>
          <w:sz w:val="28"/>
          <w:szCs w:val="28"/>
          <w:lang w:eastAsia="zh-CN"/>
        </w:rPr>
        <w:t>《贵州省兴义市人民法院评估委托书》【（</w:t>
      </w:r>
      <w:r>
        <w:rPr>
          <w:rFonts w:hint="eastAsia" w:ascii="仿宋_GB2312" w:hAnsi="华文仿宋" w:eastAsia="仿宋_GB2312"/>
          <w:color w:val="000000"/>
          <w:sz w:val="28"/>
          <w:szCs w:val="28"/>
          <w:lang w:val="en-US" w:eastAsia="zh-CN"/>
        </w:rPr>
        <w:t>2018</w:t>
      </w:r>
      <w:r>
        <w:rPr>
          <w:rFonts w:hint="eastAsia" w:ascii="仿宋_GB2312" w:hAnsi="华文仿宋" w:eastAsia="仿宋_GB2312"/>
          <w:color w:val="000000"/>
          <w:sz w:val="28"/>
          <w:szCs w:val="28"/>
          <w:lang w:eastAsia="zh-CN"/>
        </w:rPr>
        <w:t>）黔</w:t>
      </w:r>
      <w:r>
        <w:rPr>
          <w:rFonts w:hint="eastAsia" w:ascii="仿宋_GB2312" w:hAnsi="华文仿宋" w:eastAsia="仿宋_GB2312"/>
          <w:color w:val="000000"/>
          <w:sz w:val="28"/>
          <w:szCs w:val="28"/>
          <w:lang w:val="en-US" w:eastAsia="zh-CN"/>
        </w:rPr>
        <w:t>2301委评104</w:t>
      </w:r>
      <w:r>
        <w:rPr>
          <w:rFonts w:hint="eastAsia" w:ascii="仿宋_GB2312" w:hAnsi="华文仿宋" w:eastAsia="仿宋_GB2312"/>
          <w:color w:val="000000"/>
          <w:sz w:val="28"/>
          <w:szCs w:val="28"/>
          <w:lang w:eastAsia="zh-CN"/>
        </w:rPr>
        <w:t>号】</w:t>
      </w:r>
      <w:r>
        <w:rPr>
          <w:rFonts w:hint="eastAsia" w:ascii="仿宋_GB2312" w:hAnsi="华文仿宋" w:eastAsia="仿宋_GB2312"/>
          <w:color w:val="000000"/>
          <w:sz w:val="28"/>
          <w:szCs w:val="28"/>
        </w:rPr>
        <w:t>；</w:t>
      </w:r>
    </w:p>
    <w:p>
      <w:pPr>
        <w:spacing w:line="540" w:lineRule="exact"/>
        <w:ind w:firstLine="560" w:firstLineChars="200"/>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2.估价对象的权属资料复印件；</w:t>
      </w:r>
    </w:p>
    <w:p>
      <w:pPr>
        <w:spacing w:line="540" w:lineRule="exact"/>
        <w:ind w:firstLine="560" w:firstLineChars="200"/>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3.估价委托人提供的其他资料。</w:t>
      </w:r>
    </w:p>
    <w:p>
      <w:pPr>
        <w:spacing w:line="540" w:lineRule="exact"/>
        <w:ind w:firstLine="560" w:firstLineChars="200"/>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(四)估价机构所掌握的有关资料</w:t>
      </w:r>
    </w:p>
    <w:p>
      <w:pPr>
        <w:spacing w:line="540" w:lineRule="exact"/>
        <w:ind w:firstLine="560" w:firstLineChars="200"/>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1.估价人员现场查勘的相关资料；</w:t>
      </w:r>
    </w:p>
    <w:p>
      <w:pPr>
        <w:spacing w:line="540" w:lineRule="exact"/>
        <w:ind w:firstLine="560" w:firstLineChars="200"/>
        <w:rPr>
          <w:rFonts w:hint="eastAsia" w:ascii="仿宋_GB2312" w:hAnsi="华文仿宋" w:eastAsia="仿宋_GB2312"/>
          <w:color w:val="000000"/>
          <w:sz w:val="28"/>
          <w:szCs w:val="28"/>
        </w:rPr>
      </w:pPr>
      <w:r>
        <w:rPr>
          <w:rFonts w:hint="eastAsia" w:ascii="仿宋_GB2312" w:hAnsi="华文仿宋" w:eastAsia="仿宋_GB2312"/>
          <w:color w:val="000000"/>
          <w:sz w:val="28"/>
          <w:szCs w:val="28"/>
          <w:lang w:val="en-US" w:eastAsia="zh-CN"/>
        </w:rPr>
        <w:t>2</w:t>
      </w:r>
      <w:r>
        <w:rPr>
          <w:rFonts w:hint="eastAsia" w:ascii="仿宋_GB2312" w:hAnsi="华文仿宋" w:eastAsia="仿宋_GB2312"/>
          <w:color w:val="000000"/>
          <w:sz w:val="28"/>
          <w:szCs w:val="28"/>
        </w:rPr>
        <w:t>.估价人员对估价对象所在地区的地产市场和房地产市场的调查资料；</w:t>
      </w:r>
    </w:p>
    <w:p>
      <w:pPr>
        <w:spacing w:line="540" w:lineRule="exact"/>
        <w:ind w:firstLine="560" w:firstLineChars="200"/>
        <w:rPr>
          <w:rFonts w:hint="eastAsia" w:ascii="仿宋_GB2312" w:hAnsi="华文仿宋" w:eastAsia="仿宋_GB2312"/>
          <w:color w:val="000000"/>
          <w:spacing w:val="-4"/>
          <w:sz w:val="28"/>
          <w:szCs w:val="28"/>
        </w:rPr>
      </w:pPr>
      <w:r>
        <w:rPr>
          <w:rFonts w:hint="eastAsia" w:ascii="仿宋_GB2312" w:hAnsi="华文仿宋" w:eastAsia="仿宋_GB2312"/>
          <w:color w:val="000000"/>
          <w:sz w:val="28"/>
          <w:szCs w:val="28"/>
          <w:lang w:val="en-US" w:eastAsia="zh-CN"/>
        </w:rPr>
        <w:t>3</w:t>
      </w:r>
      <w:r>
        <w:rPr>
          <w:rFonts w:hint="eastAsia" w:ascii="仿宋_GB2312" w:hAnsi="华文仿宋" w:eastAsia="仿宋_GB2312"/>
          <w:color w:val="000000"/>
          <w:sz w:val="28"/>
          <w:szCs w:val="28"/>
        </w:rPr>
        <w:t>.估价人员收集的其他相关信息资料。</w:t>
      </w:r>
    </w:p>
    <w:p>
      <w:pPr>
        <w:pStyle w:val="3"/>
        <w:spacing w:before="0" w:after="0" w:line="540" w:lineRule="exact"/>
        <w:ind w:firstLine="526" w:firstLineChars="187"/>
        <w:rPr>
          <w:rFonts w:hint="eastAsia" w:ascii="仿宋_GB2312" w:hAnsi="华文仿宋" w:eastAsia="仿宋_GB2312"/>
          <w:color w:val="000000"/>
          <w:sz w:val="28"/>
          <w:szCs w:val="28"/>
        </w:rPr>
      </w:pPr>
      <w:bookmarkStart w:id="23" w:name="_Toc376163799"/>
      <w:bookmarkStart w:id="24" w:name="_Toc443"/>
      <w:r>
        <w:rPr>
          <w:rFonts w:hint="eastAsia" w:ascii="仿宋_GB2312" w:hAnsi="华文仿宋" w:eastAsia="仿宋_GB2312"/>
          <w:color w:val="000000"/>
          <w:sz w:val="28"/>
          <w:szCs w:val="28"/>
        </w:rPr>
        <w:t>八、估价原则</w:t>
      </w:r>
      <w:bookmarkEnd w:id="23"/>
      <w:bookmarkEnd w:id="24"/>
    </w:p>
    <w:p>
      <w:pPr>
        <w:spacing w:line="540" w:lineRule="exact"/>
        <w:ind w:left="1" w:firstLine="508" w:firstLineChars="187"/>
        <w:rPr>
          <w:rFonts w:hint="eastAsia" w:ascii="仿宋_GB2312" w:hAnsi="华文仿宋" w:eastAsia="仿宋_GB2312"/>
          <w:color w:val="000000"/>
          <w:spacing w:val="-4"/>
          <w:sz w:val="28"/>
          <w:szCs w:val="28"/>
        </w:rPr>
      </w:pPr>
      <w:bookmarkStart w:id="25" w:name="_Toc376163800"/>
      <w:r>
        <w:rPr>
          <w:rFonts w:hint="eastAsia" w:ascii="仿宋_GB2312" w:hAnsi="华文仿宋" w:eastAsia="仿宋_GB2312"/>
          <w:color w:val="000000"/>
          <w:spacing w:val="-4"/>
          <w:sz w:val="28"/>
          <w:szCs w:val="28"/>
        </w:rPr>
        <w:t>本次估价遵循的房地产估价原则有：独立客观公正原则、合法原则、最高最佳使用原则、替代原则、价值时点原则、谨慎原则。</w:t>
      </w:r>
    </w:p>
    <w:p>
      <w:pPr>
        <w:spacing w:line="540" w:lineRule="exact"/>
        <w:ind w:left="1" w:firstLine="523" w:firstLineChars="187"/>
        <w:rPr>
          <w:rFonts w:hint="eastAsia" w:ascii="仿宋_GB2312" w:hAnsi="华文仿宋" w:eastAsia="仿宋_GB2312"/>
          <w:color w:val="000000"/>
          <w:spacing w:val="-4"/>
          <w:sz w:val="28"/>
          <w:szCs w:val="28"/>
        </w:rPr>
      </w:pPr>
      <w:r>
        <w:rPr>
          <w:rFonts w:hint="eastAsia" w:ascii="仿宋_GB2312" w:hAnsi="华文仿宋" w:eastAsia="仿宋_GB2312"/>
          <w:color w:val="000000"/>
          <w:sz w:val="28"/>
          <w:szCs w:val="28"/>
        </w:rPr>
        <w:t>(一)</w:t>
      </w:r>
      <w:r>
        <w:rPr>
          <w:rFonts w:hint="eastAsia" w:ascii="仿宋_GB2312" w:hAnsi="华文仿宋" w:eastAsia="仿宋_GB2312"/>
          <w:color w:val="000000"/>
          <w:spacing w:val="-4"/>
          <w:sz w:val="28"/>
          <w:szCs w:val="28"/>
        </w:rPr>
        <w:t>独立、客观、公正原则：所谓独立，一是要求房地产估价机构本身应当是一个不依赖于他人、不受他人束缚的独立机构；二是要求房地产估价机构和估价人员与估价对象及相关当事人没有利害关系；三是要求房地产估价机构和估价人员在估价中不应受到外部干扰因素的影响，不屈从于外部压力，完全凭借自己的专业知识、经验和良心进行估价。所谓客观，是要求房地产估价机构和估价人员不带着自己的好恶、情感和偏见，完全从实际出发，按照事物的本来面目去估价。所谓公正，是要求房地产估价机构和估价人员在估价中应公平正直，不偏袒任何一方，因此，要求站在中立的立场上，实事求是、公平正直的评估出对各方估价厉害关系人均是公平合理的价值或价格的原则。</w:t>
      </w:r>
    </w:p>
    <w:p>
      <w:pPr>
        <w:spacing w:line="540" w:lineRule="exact"/>
        <w:ind w:left="1" w:firstLine="523" w:firstLineChars="187"/>
        <w:rPr>
          <w:rFonts w:hint="eastAsia" w:ascii="仿宋_GB2312" w:hAnsi="华文仿宋" w:eastAsia="仿宋_GB2312"/>
          <w:color w:val="000000"/>
          <w:spacing w:val="-4"/>
          <w:sz w:val="28"/>
          <w:szCs w:val="28"/>
        </w:rPr>
      </w:pPr>
      <w:r>
        <w:rPr>
          <w:rFonts w:hint="eastAsia" w:ascii="仿宋_GB2312" w:hAnsi="华文仿宋" w:eastAsia="仿宋_GB2312"/>
          <w:color w:val="000000"/>
          <w:sz w:val="28"/>
          <w:szCs w:val="28"/>
        </w:rPr>
        <w:t>(二)</w:t>
      </w:r>
      <w:r>
        <w:rPr>
          <w:rFonts w:hint="eastAsia" w:ascii="仿宋_GB2312" w:hAnsi="华文仿宋" w:eastAsia="仿宋_GB2312"/>
          <w:color w:val="000000"/>
          <w:spacing w:val="-4"/>
          <w:sz w:val="28"/>
          <w:szCs w:val="28"/>
        </w:rPr>
        <w:t>合法原则：房地产价格是实物、区位、权益三者的有机结合，所以估价方和估价人员在估价中必须在房地产的产权、房地产的利用以及房地产的处分的方面皆符合相关法律法规的约定，在产权无法明确的情况下应明确设定估价对象的产权。因此，估价结果是在依法判定的估价对象状况下的价值或价格。</w:t>
      </w:r>
    </w:p>
    <w:p>
      <w:pPr>
        <w:spacing w:line="540" w:lineRule="exact"/>
        <w:ind w:left="1" w:firstLine="523" w:firstLineChars="187"/>
        <w:rPr>
          <w:rFonts w:hint="eastAsia" w:ascii="仿宋_GB2312" w:hAnsi="华文仿宋" w:eastAsia="仿宋_GB2312"/>
          <w:color w:val="000000"/>
          <w:spacing w:val="-4"/>
          <w:sz w:val="28"/>
          <w:szCs w:val="28"/>
        </w:rPr>
      </w:pPr>
      <w:r>
        <w:rPr>
          <w:rFonts w:hint="eastAsia" w:ascii="仿宋_GB2312" w:hAnsi="华文仿宋" w:eastAsia="仿宋_GB2312"/>
          <w:color w:val="000000"/>
          <w:sz w:val="28"/>
          <w:szCs w:val="28"/>
        </w:rPr>
        <w:t>(三)</w:t>
      </w:r>
      <w:r>
        <w:rPr>
          <w:rFonts w:hint="eastAsia" w:ascii="仿宋_GB2312" w:hAnsi="华文仿宋" w:eastAsia="仿宋_GB2312"/>
          <w:color w:val="000000"/>
          <w:spacing w:val="-4"/>
          <w:sz w:val="28"/>
          <w:szCs w:val="28"/>
        </w:rPr>
        <w:t>最高最佳利用原则：要求估价结果是在法律上允许、技术上可能、财务上可行并使价值最大的合理、可能的利用，包括最佳的用途、规模、档次等最高最佳利用状况下的价值或价格的原则。在合法前提下的最高最佳利用是能使该房地产获利最大的使用方式。房地产价格受土地与建筑物组合状态的影响，两者的配合适当均衡时，房地产的效用便能高度发挥，达到最高最佳利用状态。</w:t>
      </w:r>
    </w:p>
    <w:p>
      <w:pPr>
        <w:spacing w:line="540" w:lineRule="exact"/>
        <w:ind w:left="1" w:firstLine="523" w:firstLineChars="187"/>
        <w:rPr>
          <w:rFonts w:hint="eastAsia" w:ascii="仿宋_GB2312" w:hAnsi="华文仿宋" w:eastAsia="仿宋_GB2312"/>
          <w:color w:val="000000"/>
          <w:spacing w:val="-4"/>
          <w:sz w:val="28"/>
          <w:szCs w:val="28"/>
        </w:rPr>
      </w:pPr>
      <w:r>
        <w:rPr>
          <w:rFonts w:hint="eastAsia" w:ascii="仿宋_GB2312" w:hAnsi="华文仿宋" w:eastAsia="仿宋_GB2312"/>
          <w:color w:val="000000"/>
          <w:sz w:val="28"/>
          <w:szCs w:val="28"/>
        </w:rPr>
        <w:t>(四)</w:t>
      </w:r>
      <w:r>
        <w:rPr>
          <w:rFonts w:hint="eastAsia" w:ascii="仿宋_GB2312" w:hAnsi="华文仿宋" w:eastAsia="仿宋_GB2312"/>
          <w:color w:val="000000"/>
          <w:spacing w:val="-4"/>
          <w:sz w:val="28"/>
          <w:szCs w:val="28"/>
        </w:rPr>
        <w:t>替代原则：根据市场运行规律，在同一商品市场中，商品或提供服务的效用相同或大致相似时，价格低者吸引需求，即有两个以上互有替代性的商品或服务同时存在时，商品或服务的价格是经过相互影响与比较之后来决定的。房地产市场价格也同样遵循替代规律，某房地产市场价格，受其它具有相同使用价值的房地产，即同类型具有替代可能的房地产市场价格所牵制。换言之，估价结果与估价对象的类似房地产在同等条件下的价值或价格偏差在合理范围内。</w:t>
      </w:r>
    </w:p>
    <w:p>
      <w:pPr>
        <w:spacing w:line="540" w:lineRule="exact"/>
        <w:ind w:left="1" w:firstLine="523" w:firstLineChars="187"/>
        <w:rPr>
          <w:rFonts w:hint="eastAsia" w:ascii="仿宋_GB2312" w:hAnsi="华文仿宋" w:eastAsia="仿宋_GB2312"/>
          <w:color w:val="000000"/>
          <w:spacing w:val="-4"/>
          <w:sz w:val="28"/>
          <w:szCs w:val="28"/>
        </w:rPr>
      </w:pPr>
      <w:r>
        <w:rPr>
          <w:rFonts w:hint="eastAsia" w:ascii="仿宋_GB2312" w:hAnsi="华文仿宋" w:eastAsia="仿宋_GB2312"/>
          <w:color w:val="000000"/>
          <w:sz w:val="28"/>
          <w:szCs w:val="28"/>
        </w:rPr>
        <w:t>(五)</w:t>
      </w:r>
      <w:r>
        <w:rPr>
          <w:rFonts w:hint="eastAsia" w:ascii="仿宋_GB2312" w:hAnsi="华文仿宋" w:eastAsia="仿宋_GB2312"/>
          <w:color w:val="000000"/>
          <w:spacing w:val="-4"/>
          <w:sz w:val="28"/>
          <w:szCs w:val="28"/>
        </w:rPr>
        <w:t>价值时点原则：房地产市场是不断变化的，影响房地产价格的因素是不断变化的，房地产价格自然也是不断变化的。因此，房地产价格具有很强的时间性，每一个价格都对应着一个具体的时间，估价结果是在根据估价目的确定的某一特定时间的价格或价格。</w:t>
      </w:r>
    </w:p>
    <w:p>
      <w:pPr>
        <w:pStyle w:val="3"/>
        <w:spacing w:before="0" w:after="0" w:line="540" w:lineRule="exact"/>
        <w:ind w:firstLine="526" w:firstLineChars="187"/>
        <w:rPr>
          <w:rFonts w:hint="eastAsia" w:ascii="仿宋_GB2312" w:hAnsi="华文仿宋" w:eastAsia="仿宋_GB2312"/>
          <w:color w:val="000000"/>
          <w:sz w:val="28"/>
          <w:szCs w:val="28"/>
        </w:rPr>
      </w:pPr>
      <w:bookmarkStart w:id="26" w:name="_Toc1557"/>
      <w:r>
        <w:rPr>
          <w:rFonts w:hint="eastAsia" w:ascii="仿宋_GB2312" w:hAnsi="华文仿宋" w:eastAsia="仿宋_GB2312"/>
          <w:color w:val="000000"/>
          <w:sz w:val="28"/>
          <w:szCs w:val="28"/>
        </w:rPr>
        <w:t>九、估价方法</w:t>
      </w:r>
      <w:bookmarkEnd w:id="25"/>
      <w:bookmarkEnd w:id="26"/>
    </w:p>
    <w:p>
      <w:pPr>
        <w:pStyle w:val="6"/>
        <w:spacing w:line="540" w:lineRule="exact"/>
        <w:rPr>
          <w:rFonts w:hint="eastAsia" w:ascii="仿宋_GB2312" w:hAnsi="华文仿宋" w:eastAsia="仿宋_GB2312"/>
          <w:color w:val="000000"/>
          <w:szCs w:val="28"/>
        </w:rPr>
      </w:pPr>
      <w:r>
        <w:rPr>
          <w:rFonts w:hint="eastAsia" w:ascii="仿宋_GB2312" w:hAnsi="华文仿宋" w:eastAsia="仿宋_GB2312"/>
          <w:color w:val="000000"/>
          <w:szCs w:val="28"/>
        </w:rPr>
        <w:t xml:space="preserve"> (一)估价方法的规定</w:t>
      </w:r>
    </w:p>
    <w:p>
      <w:pPr>
        <w:pStyle w:val="6"/>
        <w:spacing w:line="540" w:lineRule="exact"/>
        <w:ind w:firstLine="0"/>
        <w:rPr>
          <w:rFonts w:hint="eastAsia" w:ascii="仿宋_GB2312" w:hAnsi="华文仿宋" w:eastAsia="仿宋_GB2312"/>
          <w:color w:val="000000"/>
          <w:szCs w:val="28"/>
        </w:rPr>
      </w:pPr>
      <w:r>
        <w:rPr>
          <w:rFonts w:hint="eastAsia" w:ascii="仿宋_GB2312" w:hAnsi="华文仿宋" w:eastAsia="仿宋_GB2312"/>
          <w:color w:val="000000"/>
          <w:szCs w:val="28"/>
        </w:rPr>
        <w:t xml:space="preserve">    根据《房地产估价规范》（GB/T 50291-2015）4.1.2条规定，估价方法的选用，应符合下列规定：</w:t>
      </w:r>
    </w:p>
    <w:p>
      <w:pPr>
        <w:pStyle w:val="6"/>
        <w:spacing w:line="540" w:lineRule="exact"/>
        <w:rPr>
          <w:rFonts w:hint="eastAsia" w:ascii="仿宋_GB2312" w:hAnsi="华文仿宋" w:eastAsia="仿宋_GB2312"/>
          <w:color w:val="000000"/>
          <w:szCs w:val="28"/>
        </w:rPr>
      </w:pPr>
      <w:r>
        <w:rPr>
          <w:rFonts w:hint="eastAsia" w:ascii="仿宋_GB2312" w:hAnsi="华文仿宋" w:eastAsia="仿宋_GB2312"/>
          <w:color w:val="000000"/>
          <w:szCs w:val="28"/>
        </w:rPr>
        <w:t xml:space="preserve"> 1.估价对象的同类房地产有较多交易的，应选用比较法。</w:t>
      </w:r>
    </w:p>
    <w:p>
      <w:pPr>
        <w:pStyle w:val="6"/>
        <w:spacing w:line="540" w:lineRule="exact"/>
        <w:ind w:firstLine="0"/>
        <w:rPr>
          <w:rFonts w:hint="eastAsia" w:ascii="仿宋_GB2312" w:hAnsi="华文仿宋" w:eastAsia="仿宋_GB2312"/>
          <w:color w:val="000000"/>
          <w:szCs w:val="28"/>
        </w:rPr>
      </w:pPr>
      <w:r>
        <w:rPr>
          <w:rFonts w:hint="eastAsia" w:ascii="仿宋_GB2312" w:hAnsi="华文仿宋" w:eastAsia="仿宋_GB2312"/>
          <w:color w:val="000000"/>
          <w:szCs w:val="28"/>
        </w:rPr>
        <w:t xml:space="preserve">    2.估价对象或其同类房地产通常有租金等经济收入的，应选用收益法。</w:t>
      </w:r>
    </w:p>
    <w:p>
      <w:pPr>
        <w:pStyle w:val="6"/>
        <w:spacing w:line="540" w:lineRule="exact"/>
        <w:ind w:firstLine="0"/>
        <w:rPr>
          <w:rFonts w:hint="eastAsia" w:ascii="仿宋_GB2312" w:hAnsi="华文仿宋" w:eastAsia="仿宋_GB2312"/>
          <w:color w:val="000000"/>
          <w:szCs w:val="28"/>
        </w:rPr>
      </w:pPr>
      <w:r>
        <w:rPr>
          <w:rFonts w:hint="eastAsia" w:ascii="仿宋_GB2312" w:hAnsi="华文仿宋" w:eastAsia="仿宋_GB2312"/>
          <w:color w:val="000000"/>
          <w:szCs w:val="28"/>
        </w:rPr>
        <w:t xml:space="preserve">    3.估价对象可假定为独立的开发建设项目进行重新开发建设的，宜选用成本法；当估价对象的同类房地产没有交易或交易很少，且估价对象或其同类房地产没有租金等经济收入时，应选用成本法。</w:t>
      </w:r>
    </w:p>
    <w:p>
      <w:pPr>
        <w:pStyle w:val="6"/>
        <w:spacing w:line="540" w:lineRule="exact"/>
        <w:ind w:firstLine="0"/>
        <w:rPr>
          <w:rFonts w:hint="eastAsia" w:ascii="仿宋_GB2312" w:hAnsi="华文仿宋" w:eastAsia="仿宋_GB2312"/>
          <w:color w:val="000000"/>
          <w:szCs w:val="28"/>
        </w:rPr>
      </w:pPr>
      <w:r>
        <w:rPr>
          <w:rFonts w:hint="eastAsia" w:ascii="仿宋_GB2312" w:hAnsi="华文仿宋" w:eastAsia="仿宋_GB2312"/>
          <w:color w:val="000000"/>
          <w:szCs w:val="28"/>
        </w:rPr>
        <w:t xml:space="preserve">    4.估价对象具有开发或再开发潜力且开发完成后的价值可采用除成本法以外的方法测算的，应选用假设开发法。</w:t>
      </w:r>
    </w:p>
    <w:p>
      <w:pPr>
        <w:pStyle w:val="6"/>
        <w:spacing w:line="540" w:lineRule="exact"/>
        <w:rPr>
          <w:rFonts w:hint="eastAsia" w:ascii="仿宋_GB2312" w:hAnsi="华文仿宋" w:eastAsia="仿宋_GB2312"/>
          <w:color w:val="000000"/>
          <w:szCs w:val="28"/>
        </w:rPr>
      </w:pPr>
      <w:r>
        <w:rPr>
          <w:rFonts w:hint="eastAsia" w:ascii="仿宋_GB2312" w:hAnsi="华文仿宋" w:eastAsia="仿宋_GB2312"/>
          <w:color w:val="000000"/>
          <w:szCs w:val="28"/>
        </w:rPr>
        <w:t xml:space="preserve"> (二)估价方法选取的具体选择说明</w:t>
      </w:r>
    </w:p>
    <w:p>
      <w:pPr>
        <w:pStyle w:val="6"/>
        <w:spacing w:line="540" w:lineRule="exact"/>
        <w:ind w:firstLine="525"/>
        <w:jc w:val="left"/>
        <w:rPr>
          <w:rFonts w:hint="eastAsia" w:ascii="仿宋_GB2312" w:hAnsi="华文仿宋" w:eastAsia="仿宋_GB2312"/>
          <w:szCs w:val="28"/>
        </w:rPr>
      </w:pPr>
      <w:r>
        <w:rPr>
          <w:rFonts w:hint="eastAsia" w:ascii="仿宋_GB2312" w:hAnsi="华文仿宋" w:eastAsia="仿宋_GB2312"/>
          <w:color w:val="000000"/>
          <w:szCs w:val="28"/>
        </w:rPr>
        <w:t>估价对象为</w:t>
      </w:r>
      <w:r>
        <w:rPr>
          <w:rFonts w:hint="eastAsia" w:ascii="仿宋_GB2312" w:hAnsi="华文仿宋" w:eastAsia="仿宋_GB2312"/>
          <w:color w:val="000000"/>
          <w:szCs w:val="28"/>
          <w:lang w:eastAsia="zh-CN"/>
        </w:rPr>
        <w:t>住宅用房</w:t>
      </w:r>
      <w:r>
        <w:rPr>
          <w:rFonts w:hint="eastAsia" w:ascii="仿宋_GB2312" w:hAnsi="华文仿宋" w:eastAsia="仿宋_GB2312"/>
          <w:color w:val="000000"/>
          <w:szCs w:val="28"/>
        </w:rPr>
        <w:t>，根据《房地产估价规范》（GB/T50291-2015）,在价值时点近期，通过实地查看和对周边区域的调查并分析有关资料后，根据估价</w:t>
      </w:r>
      <w:r>
        <w:rPr>
          <w:rFonts w:hint="eastAsia" w:ascii="仿宋_GB2312" w:hAnsi="华文仿宋" w:eastAsia="仿宋_GB2312"/>
          <w:szCs w:val="28"/>
        </w:rPr>
        <w:t>对象房地产的特点和实际情况，进行评估方法的具体选择。</w:t>
      </w:r>
    </w:p>
    <w:p>
      <w:pPr>
        <w:pStyle w:val="6"/>
        <w:spacing w:line="540" w:lineRule="exact"/>
        <w:ind w:firstLine="0"/>
        <w:rPr>
          <w:rFonts w:hint="eastAsia" w:ascii="仿宋_GB2312" w:hAnsi="华文仿宋" w:eastAsia="仿宋_GB2312"/>
          <w:szCs w:val="28"/>
        </w:rPr>
      </w:pPr>
      <w:r>
        <w:rPr>
          <w:rFonts w:hint="eastAsia" w:ascii="仿宋_GB2312" w:hAnsi="华文仿宋" w:eastAsia="仿宋_GB2312"/>
          <w:szCs w:val="28"/>
        </w:rPr>
        <w:t xml:space="preserve"> </w:t>
      </w:r>
      <w:r>
        <w:rPr>
          <w:rFonts w:hint="eastAsia" w:ascii="仿宋_GB2312" w:hAnsi="华文仿宋" w:eastAsia="仿宋_GB2312"/>
          <w:szCs w:val="28"/>
          <w:lang w:val="en-US" w:eastAsia="zh-CN"/>
        </w:rPr>
        <w:t xml:space="preserve">   1</w:t>
      </w:r>
      <w:r>
        <w:rPr>
          <w:rFonts w:hint="eastAsia" w:ascii="仿宋_GB2312" w:hAnsi="华文仿宋" w:eastAsia="仿宋_GB2312"/>
          <w:szCs w:val="28"/>
        </w:rPr>
        <w:t>.比较法是将估价对象与在价值时点近期有过交易的类似房地产进行比较，对这些类似房地产的已知价格作适当的修正，以此估算估价对象的客观合理价格或价值的方法。对于估价对象</w:t>
      </w:r>
      <w:r>
        <w:rPr>
          <w:rFonts w:hint="eastAsia" w:ascii="仿宋_GB2312" w:hAnsi="华文仿宋" w:eastAsia="仿宋_GB2312"/>
          <w:szCs w:val="28"/>
          <w:lang w:eastAsia="zh-CN"/>
        </w:rPr>
        <w:t>住宅用房</w:t>
      </w:r>
      <w:r>
        <w:rPr>
          <w:rFonts w:hint="eastAsia" w:ascii="仿宋_GB2312" w:hAnsi="华文仿宋" w:eastAsia="仿宋_GB2312"/>
          <w:szCs w:val="28"/>
        </w:rPr>
        <w:t>，同一供求圈内近期类似物业交易案例较多，且可比性较好，交易实例容易搜集，故可采用比较法测算估价对象</w:t>
      </w:r>
      <w:r>
        <w:rPr>
          <w:rFonts w:hint="eastAsia" w:ascii="仿宋_GB2312" w:hAnsi="华文仿宋" w:eastAsia="仿宋_GB2312"/>
          <w:szCs w:val="28"/>
          <w:lang w:eastAsia="zh-CN"/>
        </w:rPr>
        <w:t>住宅用房</w:t>
      </w:r>
      <w:r>
        <w:rPr>
          <w:rFonts w:hint="eastAsia" w:ascii="仿宋_GB2312" w:hAnsi="华文仿宋" w:eastAsia="仿宋_GB2312"/>
          <w:szCs w:val="28"/>
        </w:rPr>
        <w:t>的市场价值。</w:t>
      </w:r>
    </w:p>
    <w:p>
      <w:pPr>
        <w:pStyle w:val="6"/>
        <w:spacing w:line="540" w:lineRule="exact"/>
        <w:ind w:firstLine="525"/>
        <w:rPr>
          <w:rFonts w:hint="eastAsia" w:ascii="仿宋_GB2312" w:hAnsi="华文仿宋" w:eastAsia="仿宋_GB2312"/>
          <w:szCs w:val="28"/>
        </w:rPr>
      </w:pPr>
      <w:r>
        <w:rPr>
          <w:rFonts w:hint="eastAsia" w:ascii="仿宋_GB2312" w:hAnsi="华文仿宋" w:eastAsia="仿宋_GB2312"/>
          <w:szCs w:val="28"/>
          <w:lang w:val="en-US" w:eastAsia="zh-CN"/>
        </w:rPr>
        <w:t>2</w:t>
      </w:r>
      <w:r>
        <w:rPr>
          <w:rFonts w:hint="eastAsia" w:ascii="仿宋_GB2312" w:hAnsi="华文仿宋" w:eastAsia="仿宋_GB2312"/>
          <w:szCs w:val="28"/>
        </w:rPr>
        <w:t>.收益法是预计估价对象未来的正常净收益，选用适当的资本化率将其折现到价值时点后累加，以此估算估价对象的客观合理价格或价值的方法。由于估价对象为</w:t>
      </w:r>
      <w:r>
        <w:rPr>
          <w:rFonts w:hint="eastAsia" w:ascii="仿宋_GB2312" w:hAnsi="华文仿宋" w:eastAsia="仿宋_GB2312"/>
          <w:szCs w:val="28"/>
          <w:lang w:eastAsia="zh-CN"/>
        </w:rPr>
        <w:t>住宅用房</w:t>
      </w:r>
      <w:r>
        <w:rPr>
          <w:rFonts w:hint="eastAsia" w:ascii="仿宋_GB2312" w:hAnsi="华文仿宋" w:eastAsia="仿宋_GB2312"/>
          <w:szCs w:val="28"/>
        </w:rPr>
        <w:t>，收益性</w:t>
      </w:r>
      <w:r>
        <w:rPr>
          <w:rFonts w:hint="eastAsia" w:ascii="仿宋_GB2312" w:hAnsi="华文仿宋" w:eastAsia="仿宋_GB2312"/>
          <w:szCs w:val="28"/>
          <w:lang w:eastAsia="zh-CN"/>
        </w:rPr>
        <w:t>不</w:t>
      </w:r>
      <w:r>
        <w:rPr>
          <w:rFonts w:hint="eastAsia" w:ascii="仿宋_GB2312" w:hAnsi="华文仿宋" w:eastAsia="仿宋_GB2312"/>
          <w:szCs w:val="28"/>
        </w:rPr>
        <w:t>明显，将其预期收益转换为价值后，</w:t>
      </w:r>
      <w:r>
        <w:rPr>
          <w:rFonts w:hint="eastAsia" w:ascii="仿宋_GB2312" w:hAnsi="华文仿宋" w:eastAsia="仿宋_GB2312"/>
          <w:szCs w:val="28"/>
          <w:lang w:eastAsia="zh-CN"/>
        </w:rPr>
        <w:t>不</w:t>
      </w:r>
      <w:r>
        <w:rPr>
          <w:rFonts w:hint="eastAsia" w:ascii="仿宋_GB2312" w:hAnsi="华文仿宋" w:eastAsia="仿宋_GB2312"/>
          <w:szCs w:val="28"/>
        </w:rPr>
        <w:t>能客观、合理反映估价对象的市场价值，故</w:t>
      </w:r>
      <w:r>
        <w:rPr>
          <w:rFonts w:hint="eastAsia" w:ascii="仿宋_GB2312" w:hAnsi="华文仿宋" w:eastAsia="仿宋_GB2312"/>
          <w:szCs w:val="28"/>
          <w:lang w:eastAsia="zh-CN"/>
        </w:rPr>
        <w:t>不</w:t>
      </w:r>
      <w:r>
        <w:rPr>
          <w:rFonts w:hint="eastAsia" w:ascii="仿宋_GB2312" w:hAnsi="华文仿宋" w:eastAsia="仿宋_GB2312"/>
          <w:szCs w:val="28"/>
        </w:rPr>
        <w:t>宜采用收益法测算估价对象的市场价值。</w:t>
      </w:r>
    </w:p>
    <w:p>
      <w:pPr>
        <w:pStyle w:val="6"/>
        <w:spacing w:line="540" w:lineRule="exact"/>
        <w:ind w:firstLine="525"/>
        <w:rPr>
          <w:rFonts w:hint="eastAsia" w:ascii="仿宋_GB2312" w:hAnsi="华文仿宋" w:eastAsia="仿宋_GB2312"/>
          <w:szCs w:val="28"/>
        </w:rPr>
      </w:pPr>
      <w:r>
        <w:rPr>
          <w:rFonts w:hint="eastAsia" w:ascii="仿宋_GB2312" w:hAnsi="华文仿宋" w:eastAsia="仿宋_GB2312"/>
          <w:szCs w:val="28"/>
          <w:lang w:val="en-US" w:eastAsia="zh-CN"/>
        </w:rPr>
        <w:t>3</w:t>
      </w:r>
      <w:r>
        <w:rPr>
          <w:rFonts w:hint="eastAsia" w:ascii="仿宋_GB2312" w:hAnsi="华文仿宋" w:eastAsia="仿宋_GB2312"/>
          <w:szCs w:val="28"/>
        </w:rPr>
        <w:t>.成本法是求取估价对象在价值时点的重置价格或重建价格，扣除折旧，以此估算估价对象的客观合理价格或价值的方法。估价对象为</w:t>
      </w:r>
      <w:r>
        <w:rPr>
          <w:rFonts w:hint="eastAsia" w:ascii="仿宋_GB2312" w:hAnsi="华文仿宋" w:eastAsia="仿宋_GB2312"/>
          <w:szCs w:val="28"/>
          <w:lang w:eastAsia="zh-CN"/>
        </w:rPr>
        <w:t>住宅用房</w:t>
      </w:r>
      <w:r>
        <w:rPr>
          <w:rFonts w:hint="eastAsia" w:ascii="仿宋_GB2312" w:hAnsi="华文仿宋" w:eastAsia="仿宋_GB2312"/>
          <w:szCs w:val="28"/>
        </w:rPr>
        <w:t>，市场交易和租赁活动活跃，因此不适合成本法评估。</w:t>
      </w:r>
    </w:p>
    <w:p>
      <w:pPr>
        <w:pStyle w:val="6"/>
        <w:spacing w:line="540" w:lineRule="exact"/>
        <w:ind w:firstLine="0"/>
        <w:rPr>
          <w:rFonts w:hint="eastAsia" w:ascii="仿宋_GB2312" w:hAnsi="华文仿宋" w:eastAsia="仿宋_GB2312"/>
          <w:szCs w:val="28"/>
        </w:rPr>
      </w:pPr>
      <w:r>
        <w:rPr>
          <w:rFonts w:hint="eastAsia" w:ascii="仿宋_GB2312" w:hAnsi="华文仿宋" w:eastAsia="仿宋_GB2312"/>
          <w:szCs w:val="28"/>
        </w:rPr>
        <w:t xml:space="preserve">    </w:t>
      </w:r>
      <w:r>
        <w:rPr>
          <w:rFonts w:hint="eastAsia" w:ascii="仿宋_GB2312" w:hAnsi="华文仿宋" w:eastAsia="仿宋_GB2312"/>
          <w:szCs w:val="28"/>
          <w:lang w:val="en-US" w:eastAsia="zh-CN"/>
        </w:rPr>
        <w:t>4</w:t>
      </w:r>
      <w:r>
        <w:rPr>
          <w:rFonts w:hint="eastAsia" w:ascii="仿宋_GB2312" w:hAnsi="华文仿宋" w:eastAsia="仿宋_GB2312"/>
          <w:szCs w:val="28"/>
        </w:rPr>
        <w:t>.假设开发法是将估价对象房地产的预期开发后的价值，扣除其预期的正常开发成本、税金和利润等，以此估算估价对象的客观合理价格或价值的方法。估价对象为已建成的</w:t>
      </w:r>
      <w:r>
        <w:rPr>
          <w:rFonts w:hint="eastAsia" w:ascii="仿宋_GB2312" w:hAnsi="华文仿宋" w:eastAsia="仿宋_GB2312"/>
          <w:szCs w:val="28"/>
          <w:lang w:eastAsia="zh-CN"/>
        </w:rPr>
        <w:t>住宅用房</w:t>
      </w:r>
      <w:r>
        <w:rPr>
          <w:rFonts w:hint="eastAsia" w:ascii="仿宋_GB2312" w:hAnsi="华文仿宋" w:eastAsia="仿宋_GB2312"/>
          <w:szCs w:val="28"/>
        </w:rPr>
        <w:t>，规划及设计用途明确，故无重新改造或重新开发必要，即假设开发法不宜采用。</w:t>
      </w:r>
    </w:p>
    <w:p>
      <w:pPr>
        <w:pStyle w:val="6"/>
        <w:spacing w:line="540" w:lineRule="exact"/>
        <w:ind w:firstLine="0"/>
        <w:rPr>
          <w:rFonts w:hint="eastAsia" w:ascii="仿宋_GB2312" w:hAnsi="华文仿宋" w:eastAsia="仿宋_GB2312"/>
          <w:sz w:val="28"/>
          <w:szCs w:val="28"/>
        </w:rPr>
      </w:pPr>
      <w:r>
        <w:rPr>
          <w:rFonts w:hint="eastAsia" w:ascii="仿宋_GB2312" w:hAnsi="华文仿宋" w:eastAsia="仿宋_GB2312"/>
          <w:szCs w:val="28"/>
        </w:rPr>
        <w:t xml:space="preserve">   </w:t>
      </w:r>
      <w:r>
        <w:rPr>
          <w:rFonts w:hint="eastAsia" w:ascii="仿宋_GB2312" w:hAnsi="华文仿宋" w:eastAsia="仿宋_GB2312"/>
          <w:sz w:val="28"/>
          <w:szCs w:val="28"/>
        </w:rPr>
        <w:t>根据以上分析，结合估价对象的特点和现状，分析估价委托人提供的资料及注册房地产估价师所掌握的资料，在实地查勘和调研的基础上，根据估价对象的特点及估价目的，遵照国家标准《房地产估价规范》</w:t>
      </w:r>
      <w:r>
        <w:rPr>
          <w:rFonts w:hint="eastAsia" w:ascii="仿宋_GB2312" w:hAnsi="华文仿宋" w:eastAsia="仿宋_GB2312"/>
          <w:color w:val="000000"/>
          <w:sz w:val="28"/>
          <w:szCs w:val="28"/>
        </w:rPr>
        <w:t>（GB/T 50291-2015）</w:t>
      </w:r>
      <w:r>
        <w:rPr>
          <w:rFonts w:hint="eastAsia" w:ascii="仿宋_GB2312" w:hAnsi="华文仿宋" w:eastAsia="仿宋_GB2312"/>
          <w:sz w:val="28"/>
          <w:szCs w:val="28"/>
        </w:rPr>
        <w:t>，最终选择比较法作为本次估价的基本方法综合评定其市场价值。</w:t>
      </w:r>
    </w:p>
    <w:p>
      <w:pPr>
        <w:pStyle w:val="11"/>
        <w:tabs>
          <w:tab w:val="left" w:pos="0"/>
          <w:tab w:val="left" w:pos="7965"/>
        </w:tabs>
        <w:spacing w:after="0" w:line="540" w:lineRule="exact"/>
        <w:ind w:left="0" w:leftChars="0" w:firstLine="560" w:firstLineChars="200"/>
        <w:rPr>
          <w:rFonts w:hint="eastAsia" w:ascii="仿宋_GB2312" w:hAnsi="华文仿宋" w:eastAsia="仿宋_GB2312"/>
          <w:sz w:val="28"/>
          <w:szCs w:val="28"/>
        </w:rPr>
      </w:pPr>
      <w:r>
        <w:rPr>
          <w:rFonts w:hint="eastAsia" w:ascii="仿宋_GB2312" w:hAnsi="华文仿宋" w:eastAsia="仿宋_GB2312"/>
          <w:color w:val="000000"/>
          <w:sz w:val="28"/>
          <w:szCs w:val="28"/>
        </w:rPr>
        <w:t>(三)</w:t>
      </w:r>
      <w:r>
        <w:rPr>
          <w:rFonts w:hint="eastAsia" w:ascii="仿宋_GB2312" w:hAnsi="华文仿宋" w:eastAsia="仿宋_GB2312"/>
          <w:sz w:val="28"/>
          <w:szCs w:val="28"/>
        </w:rPr>
        <w:t>估价方法的定义</w:t>
      </w:r>
    </w:p>
    <w:p>
      <w:pPr>
        <w:pStyle w:val="11"/>
        <w:pageBreakBefore w:val="0"/>
        <w:tabs>
          <w:tab w:val="left" w:pos="0"/>
          <w:tab w:val="left" w:pos="7965"/>
        </w:tabs>
        <w:kinsoku/>
        <w:wordWrap/>
        <w:overflowPunct/>
        <w:topLinePunct w:val="0"/>
        <w:autoSpaceDE/>
        <w:autoSpaceDN/>
        <w:bidi w:val="0"/>
        <w:adjustRightInd/>
        <w:snapToGrid/>
        <w:spacing w:line="540" w:lineRule="exact"/>
        <w:ind w:left="0" w:leftChars="0" w:firstLine="560" w:firstLineChars="200"/>
        <w:rPr>
          <w:rFonts w:hint="eastAsia" w:ascii="仿宋_GB2312" w:hAnsi="华文仿宋" w:eastAsia="仿宋_GB2312"/>
          <w:color w:val="auto"/>
          <w:kern w:val="2"/>
          <w:sz w:val="28"/>
          <w:szCs w:val="28"/>
          <w:highlight w:val="none"/>
          <w:lang w:val="en-US" w:eastAsia="zh-CN" w:bidi="ar-SA"/>
        </w:rPr>
      </w:pPr>
      <w:r>
        <w:rPr>
          <w:rFonts w:hint="eastAsia" w:ascii="仿宋_GB2312" w:hAnsi="华文仿宋" w:eastAsia="仿宋_GB2312"/>
          <w:color w:val="auto"/>
          <w:kern w:val="2"/>
          <w:sz w:val="28"/>
          <w:szCs w:val="28"/>
          <w:highlight w:val="none"/>
          <w:lang w:val="en-US" w:eastAsia="zh-CN" w:bidi="ar-SA"/>
        </w:rPr>
        <w:t>比较法是指选取一定数量的可比实例，将它们与估价对象进行比较，根据其间的差异对可比实例成交价格进行修正处理后得到估价对象的价值或价格。</w:t>
      </w:r>
    </w:p>
    <w:p>
      <w:pPr>
        <w:pStyle w:val="11"/>
        <w:pageBreakBefore w:val="0"/>
        <w:tabs>
          <w:tab w:val="left" w:pos="0"/>
          <w:tab w:val="left" w:pos="7965"/>
        </w:tabs>
        <w:kinsoku/>
        <w:wordWrap/>
        <w:overflowPunct/>
        <w:topLinePunct w:val="0"/>
        <w:autoSpaceDE/>
        <w:autoSpaceDN/>
        <w:bidi w:val="0"/>
        <w:adjustRightInd/>
        <w:snapToGrid/>
        <w:spacing w:line="540" w:lineRule="exact"/>
        <w:ind w:left="0" w:leftChars="0" w:firstLine="560" w:firstLineChars="200"/>
        <w:rPr>
          <w:rFonts w:hint="eastAsia" w:ascii="仿宋_GB2312" w:hAnsi="华文仿宋" w:eastAsia="仿宋_GB2312"/>
          <w:color w:val="auto"/>
          <w:kern w:val="2"/>
          <w:sz w:val="28"/>
          <w:szCs w:val="28"/>
          <w:highlight w:val="none"/>
          <w:lang w:val="en-US" w:eastAsia="zh-CN" w:bidi="ar-SA"/>
        </w:rPr>
      </w:pPr>
      <w:r>
        <w:rPr>
          <w:rFonts w:hint="eastAsia" w:ascii="仿宋_GB2312" w:hAnsi="华文仿宋" w:eastAsia="仿宋_GB2312"/>
          <w:color w:val="auto"/>
          <w:kern w:val="2"/>
          <w:sz w:val="28"/>
          <w:szCs w:val="28"/>
          <w:highlight w:val="none"/>
          <w:lang w:val="en-US" w:eastAsia="zh-CN" w:bidi="ar-SA"/>
        </w:rPr>
        <w:t>可比实例是指交易实例中交易方式适合估价目的、成交日期接近价值时点、成交价格为正常价格或可修正为正常价格的估价对象的类似房地产等财产或相关权益。</w:t>
      </w:r>
    </w:p>
    <w:p>
      <w:pPr>
        <w:pStyle w:val="11"/>
        <w:pageBreakBefore w:val="0"/>
        <w:tabs>
          <w:tab w:val="left" w:pos="0"/>
          <w:tab w:val="left" w:pos="7965"/>
        </w:tabs>
        <w:kinsoku/>
        <w:wordWrap/>
        <w:overflowPunct/>
        <w:topLinePunct w:val="0"/>
        <w:autoSpaceDE/>
        <w:autoSpaceDN/>
        <w:bidi w:val="0"/>
        <w:adjustRightInd/>
        <w:snapToGrid/>
        <w:spacing w:line="540" w:lineRule="exact"/>
        <w:ind w:left="0" w:leftChars="0" w:firstLine="560" w:firstLineChars="200"/>
        <w:rPr>
          <w:rFonts w:hint="eastAsia" w:ascii="仿宋_GB2312" w:hAnsi="华文仿宋" w:eastAsia="仿宋_GB2312"/>
          <w:color w:val="auto"/>
          <w:kern w:val="2"/>
          <w:sz w:val="28"/>
          <w:szCs w:val="28"/>
          <w:highlight w:val="none"/>
          <w:lang w:val="en-US" w:eastAsia="zh-CN" w:bidi="ar-SA"/>
        </w:rPr>
      </w:pPr>
      <w:r>
        <w:rPr>
          <w:rFonts w:hint="eastAsia" w:ascii="仿宋_GB2312" w:hAnsi="华文仿宋" w:eastAsia="仿宋_GB2312"/>
          <w:color w:val="auto"/>
          <w:kern w:val="2"/>
          <w:sz w:val="28"/>
          <w:szCs w:val="28"/>
          <w:highlight w:val="none"/>
          <w:lang w:val="en-US" w:eastAsia="zh-CN" w:bidi="ar-SA"/>
        </w:rPr>
        <w:t>交易实例是指真实成交的房地产等财产或相关权益及有关信息，包括：交易对象基本状况、交易双方基本情况、交易方式、成交日期、成交价格、付款方式、融资条件、交易税费负担、交易目的等。</w:t>
      </w:r>
    </w:p>
    <w:p>
      <w:pPr>
        <w:pStyle w:val="11"/>
        <w:pageBreakBefore w:val="0"/>
        <w:tabs>
          <w:tab w:val="left" w:pos="0"/>
          <w:tab w:val="left" w:pos="7965"/>
        </w:tabs>
        <w:kinsoku/>
        <w:wordWrap/>
        <w:overflowPunct/>
        <w:topLinePunct w:val="0"/>
        <w:autoSpaceDE/>
        <w:autoSpaceDN/>
        <w:bidi w:val="0"/>
        <w:adjustRightInd/>
        <w:snapToGrid/>
        <w:spacing w:line="540" w:lineRule="exact"/>
        <w:ind w:left="0" w:leftChars="0" w:firstLine="560" w:firstLineChars="200"/>
        <w:rPr>
          <w:rFonts w:hint="eastAsia" w:ascii="仿宋_GB2312" w:hAnsi="华文仿宋" w:eastAsia="仿宋_GB2312"/>
          <w:color w:val="auto"/>
          <w:kern w:val="2"/>
          <w:sz w:val="28"/>
          <w:szCs w:val="28"/>
          <w:highlight w:val="none"/>
          <w:lang w:val="en-US" w:eastAsia="zh-CN" w:bidi="ar-SA"/>
        </w:rPr>
      </w:pPr>
      <w:r>
        <w:rPr>
          <w:rFonts w:hint="eastAsia" w:ascii="仿宋_GB2312" w:hAnsi="华文仿宋" w:eastAsia="仿宋_GB2312"/>
          <w:color w:val="auto"/>
          <w:kern w:val="2"/>
          <w:sz w:val="28"/>
          <w:szCs w:val="28"/>
          <w:highlight w:val="none"/>
          <w:lang w:val="en-US" w:eastAsia="zh-CN" w:bidi="ar-SA"/>
        </w:rPr>
        <w:t>建立比较基础是指使可比实例成交价格与估价对象价值或价格之间、各个可比实例的成交价格之间口径一致、相互可比的处理。</w:t>
      </w:r>
    </w:p>
    <w:p>
      <w:pPr>
        <w:pStyle w:val="11"/>
        <w:pageBreakBefore w:val="0"/>
        <w:tabs>
          <w:tab w:val="left" w:pos="0"/>
          <w:tab w:val="left" w:pos="7965"/>
        </w:tabs>
        <w:kinsoku/>
        <w:wordWrap/>
        <w:overflowPunct/>
        <w:topLinePunct w:val="0"/>
        <w:autoSpaceDE/>
        <w:autoSpaceDN/>
        <w:bidi w:val="0"/>
        <w:adjustRightInd/>
        <w:snapToGrid/>
        <w:spacing w:line="540" w:lineRule="exact"/>
        <w:ind w:left="0" w:leftChars="0" w:firstLine="560" w:firstLineChars="200"/>
        <w:rPr>
          <w:rFonts w:hint="eastAsia" w:ascii="仿宋_GB2312" w:hAnsi="华文仿宋" w:eastAsia="仿宋_GB2312"/>
          <w:color w:val="auto"/>
          <w:kern w:val="2"/>
          <w:sz w:val="28"/>
          <w:szCs w:val="28"/>
          <w:highlight w:val="none"/>
          <w:lang w:val="en-US" w:eastAsia="zh-CN" w:bidi="ar-SA"/>
        </w:rPr>
      </w:pPr>
      <w:r>
        <w:rPr>
          <w:rFonts w:hint="eastAsia" w:ascii="仿宋_GB2312" w:hAnsi="华文仿宋" w:eastAsia="仿宋_GB2312"/>
          <w:color w:val="auto"/>
          <w:kern w:val="2"/>
          <w:sz w:val="28"/>
          <w:szCs w:val="28"/>
          <w:highlight w:val="none"/>
          <w:lang w:val="en-US" w:eastAsia="zh-CN" w:bidi="ar-SA"/>
        </w:rPr>
        <w:t>交易情况修正是指使可比实例的非正常成交价格成为正常价格的处理。</w:t>
      </w:r>
    </w:p>
    <w:p>
      <w:pPr>
        <w:pStyle w:val="11"/>
        <w:pageBreakBefore w:val="0"/>
        <w:tabs>
          <w:tab w:val="left" w:pos="0"/>
          <w:tab w:val="left" w:pos="7965"/>
        </w:tabs>
        <w:kinsoku/>
        <w:wordWrap/>
        <w:overflowPunct/>
        <w:topLinePunct w:val="0"/>
        <w:autoSpaceDE/>
        <w:autoSpaceDN/>
        <w:bidi w:val="0"/>
        <w:adjustRightInd/>
        <w:snapToGrid/>
        <w:spacing w:line="540" w:lineRule="exact"/>
        <w:ind w:left="0" w:leftChars="0" w:firstLine="560" w:firstLineChars="200"/>
        <w:rPr>
          <w:rFonts w:hint="eastAsia" w:ascii="仿宋_GB2312" w:hAnsi="华文仿宋" w:eastAsia="仿宋_GB2312"/>
          <w:color w:val="auto"/>
          <w:kern w:val="2"/>
          <w:sz w:val="28"/>
          <w:szCs w:val="28"/>
          <w:highlight w:val="none"/>
          <w:lang w:val="en-US" w:eastAsia="zh-CN" w:bidi="ar-SA"/>
        </w:rPr>
      </w:pPr>
      <w:r>
        <w:rPr>
          <w:rFonts w:hint="eastAsia" w:ascii="仿宋_GB2312" w:hAnsi="华文仿宋" w:eastAsia="仿宋_GB2312"/>
          <w:color w:val="auto"/>
          <w:kern w:val="2"/>
          <w:sz w:val="28"/>
          <w:szCs w:val="28"/>
          <w:highlight w:val="none"/>
          <w:lang w:val="en-US" w:eastAsia="zh-CN" w:bidi="ar-SA"/>
        </w:rPr>
        <w:t>市场状况调整是指使可比实例在其成交日期的价格成为在价值时点的价格的处理。</w:t>
      </w:r>
    </w:p>
    <w:p>
      <w:pPr>
        <w:pStyle w:val="11"/>
        <w:pageBreakBefore w:val="0"/>
        <w:tabs>
          <w:tab w:val="left" w:pos="0"/>
          <w:tab w:val="left" w:pos="7965"/>
        </w:tabs>
        <w:kinsoku/>
        <w:wordWrap/>
        <w:overflowPunct/>
        <w:topLinePunct w:val="0"/>
        <w:autoSpaceDE/>
        <w:autoSpaceDN/>
        <w:bidi w:val="0"/>
        <w:adjustRightInd/>
        <w:snapToGrid/>
        <w:spacing w:line="540" w:lineRule="exact"/>
        <w:ind w:left="0" w:leftChars="0" w:firstLine="560" w:firstLineChars="200"/>
        <w:rPr>
          <w:rFonts w:hint="eastAsia" w:ascii="仿宋_GB2312" w:hAnsi="华文仿宋" w:eastAsia="仿宋_GB2312"/>
          <w:color w:val="auto"/>
          <w:kern w:val="2"/>
          <w:sz w:val="28"/>
          <w:szCs w:val="28"/>
          <w:highlight w:val="none"/>
          <w:lang w:val="en-US" w:eastAsia="zh-CN" w:bidi="ar-SA"/>
        </w:rPr>
      </w:pPr>
      <w:r>
        <w:rPr>
          <w:rFonts w:hint="eastAsia" w:ascii="仿宋_GB2312" w:hAnsi="华文仿宋" w:eastAsia="仿宋_GB2312"/>
          <w:color w:val="auto"/>
          <w:kern w:val="2"/>
          <w:sz w:val="28"/>
          <w:szCs w:val="28"/>
          <w:highlight w:val="none"/>
          <w:lang w:val="en-US" w:eastAsia="zh-CN" w:bidi="ar-SA"/>
        </w:rPr>
        <w:t>房地产状况调整是指使可比实例在自身状况下的价格成为在估价对象状况下的价格的处理，包括：区位状况调整、实物状况调整和权益状况调整。</w:t>
      </w:r>
    </w:p>
    <w:p>
      <w:pPr>
        <w:pStyle w:val="11"/>
        <w:pageBreakBefore w:val="0"/>
        <w:tabs>
          <w:tab w:val="left" w:pos="0"/>
          <w:tab w:val="left" w:pos="7965"/>
        </w:tabs>
        <w:kinsoku/>
        <w:wordWrap/>
        <w:overflowPunct/>
        <w:topLinePunct w:val="0"/>
        <w:autoSpaceDE/>
        <w:autoSpaceDN/>
        <w:bidi w:val="0"/>
        <w:adjustRightInd/>
        <w:snapToGrid/>
        <w:spacing w:line="540" w:lineRule="exact"/>
        <w:ind w:left="0" w:leftChars="0" w:firstLine="560" w:firstLineChars="200"/>
        <w:rPr>
          <w:rFonts w:hint="eastAsia" w:ascii="仿宋_GB2312" w:hAnsi="华文仿宋" w:eastAsia="仿宋_GB2312"/>
          <w:color w:val="auto"/>
          <w:kern w:val="2"/>
          <w:sz w:val="28"/>
          <w:szCs w:val="28"/>
          <w:highlight w:val="none"/>
          <w:lang w:val="en-US" w:eastAsia="zh-CN" w:bidi="ar-SA"/>
        </w:rPr>
      </w:pPr>
      <w:r>
        <w:rPr>
          <w:rFonts w:hint="eastAsia" w:ascii="仿宋_GB2312" w:hAnsi="华文仿宋" w:eastAsia="仿宋_GB2312"/>
          <w:color w:val="auto"/>
          <w:kern w:val="2"/>
          <w:sz w:val="28"/>
          <w:szCs w:val="28"/>
          <w:highlight w:val="none"/>
          <w:lang w:val="en-US" w:eastAsia="zh-CN" w:bidi="ar-SA"/>
        </w:rPr>
        <w:t>比较法计算公式：比较价值是指采用比较法测算出的估价对象的价值或价格。估价对象比较价值=可比实例价格×交易情况修正系数×市场状况调整系数×房地产状况调整系数。</w:t>
      </w:r>
    </w:p>
    <w:p>
      <w:pPr>
        <w:pStyle w:val="6"/>
        <w:pageBreakBefore w:val="0"/>
        <w:widowControl w:val="0"/>
        <w:kinsoku/>
        <w:wordWrap/>
        <w:overflowPunct/>
        <w:topLinePunct w:val="0"/>
        <w:autoSpaceDE/>
        <w:autoSpaceDN/>
        <w:bidi w:val="0"/>
        <w:adjustRightInd/>
        <w:snapToGrid/>
        <w:spacing w:after="0" w:line="540" w:lineRule="exact"/>
        <w:ind w:right="0" w:rightChars="0"/>
        <w:textAlignment w:val="auto"/>
        <w:rPr>
          <w:rFonts w:hint="eastAsia" w:ascii="仿宋_GB2312" w:hAnsi="华文仿宋" w:eastAsia="仿宋_GB2312"/>
          <w:b/>
          <w:bCs/>
          <w:color w:val="000000"/>
          <w:sz w:val="28"/>
          <w:szCs w:val="28"/>
        </w:rPr>
      </w:pPr>
      <w:bookmarkStart w:id="27" w:name="_Toc376163801"/>
      <w:r>
        <w:rPr>
          <w:rFonts w:hint="eastAsia" w:ascii="仿宋_GB2312" w:hAnsi="华文仿宋" w:eastAsia="仿宋_GB2312"/>
          <w:color w:val="auto"/>
          <w:sz w:val="28"/>
          <w:szCs w:val="28"/>
          <w:lang w:val="en-US" w:eastAsia="zh-CN"/>
        </w:rPr>
        <w:t xml:space="preserve"> </w:t>
      </w:r>
      <w:r>
        <w:rPr>
          <w:rFonts w:hint="eastAsia" w:ascii="仿宋_GB2312" w:hAnsi="华文仿宋" w:eastAsia="仿宋_GB2312"/>
          <w:b/>
          <w:bCs/>
          <w:color w:val="000000"/>
          <w:sz w:val="28"/>
          <w:szCs w:val="28"/>
        </w:rPr>
        <w:t>十、估价结果</w:t>
      </w:r>
      <w:bookmarkEnd w:id="27"/>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63" w:firstLineChars="237"/>
        <w:jc w:val="both"/>
        <w:textAlignment w:val="auto"/>
        <w:outlineLvl w:val="9"/>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经过市场调查和实地查勘，根据相关资料和有关政策法规，并遵循房地产估价原则，在认真分析现有资料的基础上，结合估价经验和对影响房地产价值因素分析、估算，</w:t>
      </w:r>
      <w:bookmarkStart w:id="28" w:name="_Toc376163803"/>
      <w:r>
        <w:rPr>
          <w:rFonts w:hint="eastAsia" w:ascii="仿宋_GB2312" w:hAnsi="华文仿宋" w:eastAsia="仿宋_GB2312"/>
          <w:color w:val="000000"/>
          <w:sz w:val="28"/>
          <w:szCs w:val="28"/>
        </w:rPr>
        <w:t>在满足本次估价的假设和限制条件下，最终确定估价对象在价值时点</w:t>
      </w:r>
      <w:r>
        <w:rPr>
          <w:rFonts w:hint="eastAsia" w:ascii="仿宋_GB2312" w:hAnsi="华文仿宋" w:eastAsia="仿宋_GB2312"/>
          <w:color w:val="000000"/>
          <w:sz w:val="28"/>
          <w:szCs w:val="28"/>
          <w:lang w:eastAsia="zh-CN"/>
        </w:rPr>
        <w:t>2019年1月</w:t>
      </w:r>
      <w:r>
        <w:rPr>
          <w:rFonts w:hint="eastAsia" w:ascii="仿宋_GB2312" w:hAnsi="华文仿宋" w:eastAsia="仿宋_GB2312"/>
          <w:color w:val="000000"/>
          <w:sz w:val="28"/>
          <w:szCs w:val="28"/>
          <w:lang w:val="en-US" w:eastAsia="zh-CN"/>
        </w:rPr>
        <w:t>7</w:t>
      </w:r>
      <w:r>
        <w:rPr>
          <w:rFonts w:hint="eastAsia" w:ascii="仿宋_GB2312" w:hAnsi="华文仿宋" w:eastAsia="仿宋_GB2312"/>
          <w:color w:val="000000"/>
          <w:sz w:val="28"/>
          <w:szCs w:val="28"/>
          <w:lang w:eastAsia="zh-CN"/>
        </w:rPr>
        <w:t>日</w:t>
      </w:r>
      <w:r>
        <w:rPr>
          <w:rFonts w:hint="eastAsia" w:ascii="仿宋_GB2312" w:hAnsi="华文仿宋" w:eastAsia="仿宋_GB2312"/>
          <w:color w:val="000000"/>
          <w:sz w:val="28"/>
          <w:szCs w:val="28"/>
        </w:rPr>
        <w:t>的估价结果为</w:t>
      </w:r>
      <w:r>
        <w:rPr>
          <w:rFonts w:hint="eastAsia" w:ascii="仿宋_GB2312" w:hAnsi="华文仿宋" w:eastAsia="仿宋_GB2312"/>
          <w:color w:val="000000"/>
          <w:kern w:val="0"/>
          <w:sz w:val="28"/>
          <w:lang w:val="en-US" w:eastAsia="zh-CN"/>
        </w:rPr>
        <w:t>41.16</w:t>
      </w:r>
      <w:r>
        <w:rPr>
          <w:rFonts w:hint="eastAsia" w:ascii="仿宋_GB2312" w:hAnsi="华文仿宋" w:eastAsia="仿宋_GB2312"/>
          <w:color w:val="000000"/>
          <w:kern w:val="0"/>
          <w:sz w:val="28"/>
        </w:rPr>
        <w:t>万元（</w:t>
      </w:r>
      <w:r>
        <w:rPr>
          <w:rFonts w:hint="eastAsia" w:ascii="仿宋_GB2312" w:hAnsi="华文仿宋" w:eastAsia="仿宋_GB2312"/>
          <w:color w:val="000000"/>
          <w:sz w:val="28"/>
          <w:szCs w:val="28"/>
        </w:rPr>
        <w:t>人民币</w:t>
      </w:r>
      <w:r>
        <w:rPr>
          <w:rFonts w:hint="eastAsia" w:ascii="仿宋_GB2312" w:hAnsi="华文仿宋" w:eastAsia="仿宋_GB2312"/>
          <w:color w:val="000000"/>
          <w:kern w:val="0"/>
          <w:sz w:val="28"/>
        </w:rPr>
        <w:t>大写：</w:t>
      </w:r>
      <w:r>
        <w:rPr>
          <w:rFonts w:hint="eastAsia" w:ascii="仿宋_GB2312" w:hAnsi="华文仿宋" w:eastAsia="仿宋_GB2312"/>
          <w:b/>
          <w:bCs/>
          <w:color w:val="000000"/>
          <w:sz w:val="28"/>
          <w:szCs w:val="28"/>
        </w:rPr>
        <w:fldChar w:fldCharType="begin"/>
      </w:r>
      <w:r>
        <w:rPr>
          <w:rFonts w:hint="eastAsia" w:ascii="仿宋_GB2312" w:hAnsi="华文仿宋" w:eastAsia="仿宋_GB2312"/>
          <w:b/>
          <w:bCs/>
          <w:color w:val="000000"/>
          <w:sz w:val="28"/>
          <w:szCs w:val="28"/>
        </w:rPr>
        <w:instrText xml:space="preserve"> = </w:instrText>
      </w:r>
      <w:r>
        <w:rPr>
          <w:rFonts w:hint="eastAsia" w:ascii="仿宋_GB2312" w:eastAsia="仿宋_GB2312"/>
          <w:b/>
          <w:bCs/>
          <w:color w:val="000000"/>
          <w:sz w:val="28"/>
          <w:szCs w:val="28"/>
          <w:lang w:val="en-US" w:eastAsia="zh-CN"/>
        </w:rPr>
        <w:instrText xml:space="preserve">41.16</w:instrText>
      </w:r>
      <w:r>
        <w:rPr>
          <w:rFonts w:hint="eastAsia" w:ascii="仿宋_GB2312" w:hAnsi="华文仿宋" w:eastAsia="仿宋_GB2312"/>
          <w:b/>
          <w:bCs/>
          <w:color w:val="000000"/>
          <w:sz w:val="28"/>
          <w:szCs w:val="28"/>
        </w:rPr>
        <w:instrText xml:space="preserve">*10000 \* CHINESENUM2 \* MERGEFORMAT </w:instrText>
      </w:r>
      <w:r>
        <w:rPr>
          <w:rFonts w:hint="eastAsia" w:ascii="仿宋_GB2312" w:hAnsi="华文仿宋" w:eastAsia="仿宋_GB2312"/>
          <w:b/>
          <w:bCs/>
          <w:color w:val="000000"/>
          <w:sz w:val="28"/>
          <w:szCs w:val="28"/>
        </w:rPr>
        <w:fldChar w:fldCharType="separate"/>
      </w:r>
      <w:r>
        <w:rPr>
          <w:rFonts w:hint="eastAsia" w:ascii="仿宋_GB2312" w:hAnsi="华文仿宋" w:eastAsia="仿宋_GB2312"/>
          <w:b/>
          <w:bCs/>
          <w:color w:val="000000"/>
          <w:sz w:val="28"/>
          <w:szCs w:val="28"/>
        </w:rPr>
        <w:t>肆拾壹万壹仟陆佰</w:t>
      </w:r>
      <w:r>
        <w:rPr>
          <w:rFonts w:hint="eastAsia" w:ascii="仿宋_GB2312" w:hAnsi="华文仿宋" w:eastAsia="仿宋_GB2312"/>
          <w:b/>
          <w:bCs/>
          <w:color w:val="000000"/>
          <w:sz w:val="28"/>
          <w:szCs w:val="28"/>
        </w:rPr>
        <w:fldChar w:fldCharType="end"/>
      </w:r>
      <w:r>
        <w:rPr>
          <w:rFonts w:hint="eastAsia" w:ascii="仿宋_GB2312" w:hAnsi="华文仿宋" w:eastAsia="仿宋_GB2312"/>
          <w:b/>
          <w:bCs/>
          <w:color w:val="000000"/>
          <w:sz w:val="28"/>
          <w:szCs w:val="28"/>
        </w:rPr>
        <w:t>元整</w:t>
      </w:r>
      <w:r>
        <w:rPr>
          <w:rFonts w:hint="eastAsia" w:ascii="仿宋_GB2312" w:hAnsi="华文仿宋" w:eastAsia="仿宋_GB2312"/>
          <w:b/>
          <w:bCs/>
          <w:color w:val="000000"/>
          <w:kern w:val="0"/>
          <w:sz w:val="28"/>
        </w:rPr>
        <w:t>）</w:t>
      </w:r>
      <w:r>
        <w:rPr>
          <w:rFonts w:hint="eastAsia" w:ascii="仿宋_GB2312" w:hAnsi="华文仿宋" w:eastAsia="仿宋_GB2312"/>
          <w:color w:val="000000"/>
          <w:kern w:val="0"/>
          <w:sz w:val="28"/>
        </w:rPr>
        <w:t>，具体</w:t>
      </w:r>
      <w:r>
        <w:rPr>
          <w:rFonts w:hint="eastAsia" w:ascii="仿宋_GB2312" w:hAnsi="华文仿宋" w:eastAsia="仿宋_GB2312"/>
          <w:color w:val="000000"/>
          <w:sz w:val="28"/>
          <w:szCs w:val="28"/>
        </w:rPr>
        <w:t>评估结果详见下表：</w:t>
      </w:r>
    </w:p>
    <w:tbl>
      <w:tblPr>
        <w:tblStyle w:val="13"/>
        <w:tblW w:w="9292" w:type="dxa"/>
        <w:tblInd w:w="179"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512"/>
        <w:gridCol w:w="2687"/>
        <w:gridCol w:w="750"/>
        <w:gridCol w:w="1127"/>
        <w:gridCol w:w="1157"/>
        <w:gridCol w:w="118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870" w:type="dxa"/>
            <w:tcBorders>
              <w:tl2br w:val="nil"/>
              <w:tr2bl w:val="nil"/>
            </w:tcBorders>
            <w:vAlign w:val="center"/>
          </w:tcPr>
          <w:p>
            <w:pPr>
              <w:widowControl/>
              <w:jc w:val="center"/>
              <w:rPr>
                <w:rFonts w:hint="eastAsia" w:ascii="仿宋_GB2312" w:hAnsi="仿宋" w:eastAsia="仿宋_GB2312" w:cs="仿宋"/>
                <w:color w:val="000000"/>
                <w:kern w:val="0"/>
                <w:szCs w:val="21"/>
                <w:lang w:eastAsia="zh-CN"/>
              </w:rPr>
            </w:pPr>
            <w:r>
              <w:rPr>
                <w:rFonts w:hint="eastAsia" w:ascii="仿宋_GB2312" w:hAnsi="仿宋" w:eastAsia="仿宋_GB2312" w:cs="仿宋"/>
                <w:color w:val="000000"/>
                <w:kern w:val="0"/>
                <w:szCs w:val="21"/>
                <w:lang w:eastAsia="zh-CN"/>
              </w:rPr>
              <w:t>房屋所有权人</w:t>
            </w:r>
          </w:p>
        </w:tc>
        <w:tc>
          <w:tcPr>
            <w:tcW w:w="1512" w:type="dxa"/>
            <w:tcBorders>
              <w:tl2br w:val="nil"/>
              <w:tr2bl w:val="nil"/>
            </w:tcBorders>
            <w:vAlign w:val="center"/>
          </w:tcPr>
          <w:p>
            <w:pPr>
              <w:widowControl/>
              <w:jc w:val="center"/>
              <w:rPr>
                <w:rFonts w:hint="eastAsia" w:ascii="仿宋_GB2312" w:hAnsi="仿宋" w:eastAsia="仿宋_GB2312" w:cs="仿宋"/>
                <w:color w:val="000000"/>
                <w:kern w:val="0"/>
                <w:szCs w:val="21"/>
                <w:lang w:eastAsia="zh-CN"/>
              </w:rPr>
            </w:pPr>
            <w:r>
              <w:rPr>
                <w:rFonts w:hint="eastAsia" w:ascii="仿宋_GB2312" w:hAnsi="仿宋" w:eastAsia="仿宋_GB2312" w:cs="仿宋"/>
                <w:color w:val="000000"/>
                <w:kern w:val="0"/>
                <w:szCs w:val="21"/>
                <w:lang w:eastAsia="zh-CN"/>
              </w:rPr>
              <w:t>产权证号</w:t>
            </w:r>
          </w:p>
        </w:tc>
        <w:tc>
          <w:tcPr>
            <w:tcW w:w="2687" w:type="dxa"/>
            <w:tcBorders>
              <w:tl2br w:val="nil"/>
              <w:tr2bl w:val="nil"/>
            </w:tcBorders>
            <w:vAlign w:val="center"/>
          </w:tcPr>
          <w:p>
            <w:pPr>
              <w:widowControl/>
              <w:jc w:val="center"/>
            </w:pPr>
            <w:r>
              <w:rPr>
                <w:rFonts w:hint="eastAsia" w:ascii="仿宋_GB2312" w:hAnsi="仿宋" w:eastAsia="仿宋_GB2312" w:cs="仿宋"/>
                <w:color w:val="000000"/>
                <w:kern w:val="0"/>
                <w:szCs w:val="21"/>
              </w:rPr>
              <w:t>房屋坐落</w:t>
            </w:r>
          </w:p>
        </w:tc>
        <w:tc>
          <w:tcPr>
            <w:tcW w:w="750" w:type="dxa"/>
            <w:tcBorders>
              <w:tl2br w:val="nil"/>
              <w:tr2bl w:val="nil"/>
            </w:tcBorders>
            <w:vAlign w:val="center"/>
          </w:tcPr>
          <w:p>
            <w:pPr>
              <w:widowControl/>
              <w:jc w:val="center"/>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用途</w:t>
            </w:r>
          </w:p>
        </w:tc>
        <w:tc>
          <w:tcPr>
            <w:tcW w:w="1127" w:type="dxa"/>
            <w:tcBorders>
              <w:tl2br w:val="nil"/>
              <w:tr2bl w:val="nil"/>
            </w:tcBorders>
            <w:vAlign w:val="center"/>
          </w:tcPr>
          <w:p>
            <w:pPr>
              <w:widowControl/>
              <w:jc w:val="center"/>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建筑面积（</w:t>
            </w:r>
            <w:r>
              <w:rPr>
                <w:rFonts w:hint="eastAsia" w:ascii="仿宋_GB2312" w:hAnsi="仿宋" w:eastAsia="仿宋" w:cs="仿宋"/>
                <w:color w:val="000000"/>
                <w:kern w:val="0"/>
                <w:szCs w:val="21"/>
              </w:rPr>
              <w:t>㎡</w:t>
            </w:r>
            <w:r>
              <w:rPr>
                <w:rFonts w:hint="eastAsia" w:ascii="仿宋_GB2312" w:hAnsi="仿宋" w:eastAsia="仿宋_GB2312" w:cs="仿宋"/>
                <w:color w:val="000000"/>
                <w:kern w:val="0"/>
                <w:szCs w:val="21"/>
              </w:rPr>
              <w:t>）</w:t>
            </w:r>
          </w:p>
        </w:tc>
        <w:tc>
          <w:tcPr>
            <w:tcW w:w="1157" w:type="dxa"/>
            <w:tcBorders>
              <w:tl2br w:val="nil"/>
              <w:tr2bl w:val="nil"/>
            </w:tcBorders>
            <w:vAlign w:val="center"/>
          </w:tcPr>
          <w:p>
            <w:pPr>
              <w:widowControl/>
              <w:jc w:val="center"/>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评估单价（元/</w:t>
            </w:r>
            <w:r>
              <w:rPr>
                <w:rFonts w:hint="eastAsia" w:ascii="仿宋_GB2312" w:hAnsi="仿宋" w:eastAsia="仿宋" w:cs="仿宋"/>
                <w:color w:val="000000"/>
                <w:kern w:val="0"/>
                <w:szCs w:val="21"/>
              </w:rPr>
              <w:t>㎡</w:t>
            </w:r>
            <w:r>
              <w:rPr>
                <w:rFonts w:hint="eastAsia" w:ascii="仿宋_GB2312" w:hAnsi="仿宋" w:eastAsia="仿宋_GB2312" w:cs="仿宋"/>
                <w:color w:val="000000"/>
                <w:kern w:val="0"/>
                <w:szCs w:val="21"/>
              </w:rPr>
              <w:t>）</w:t>
            </w:r>
          </w:p>
        </w:tc>
        <w:tc>
          <w:tcPr>
            <w:tcW w:w="1189" w:type="dxa"/>
            <w:tcBorders>
              <w:tl2br w:val="nil"/>
              <w:tr2bl w:val="nil"/>
            </w:tcBorders>
            <w:vAlign w:val="center"/>
          </w:tcPr>
          <w:p>
            <w:pPr>
              <w:widowControl/>
              <w:jc w:val="center"/>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评估总价(万元)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870" w:type="dxa"/>
            <w:tcBorders>
              <w:tl2br w:val="nil"/>
              <w:tr2bl w:val="nil"/>
            </w:tcBorders>
            <w:vAlign w:val="center"/>
          </w:tcPr>
          <w:p>
            <w:pPr>
              <w:widowControl/>
              <w:jc w:val="center"/>
              <w:rPr>
                <w:rFonts w:hint="eastAsia" w:ascii="仿宋_GB2312" w:hAnsi="仿宋" w:eastAsia="仿宋_GB2312" w:cs="仿宋"/>
                <w:color w:val="000000"/>
                <w:kern w:val="0"/>
                <w:szCs w:val="21"/>
                <w:lang w:eastAsia="zh-CN"/>
              </w:rPr>
            </w:pPr>
            <w:r>
              <w:rPr>
                <w:rFonts w:hint="eastAsia" w:ascii="仿宋" w:hAnsi="仿宋" w:eastAsia="仿宋" w:cs="仿宋"/>
                <w:color w:val="000000"/>
                <w:kern w:val="0"/>
                <w:szCs w:val="21"/>
                <w:lang w:eastAsia="zh-CN"/>
              </w:rPr>
              <w:t>朱小友、孙礼艳</w:t>
            </w:r>
          </w:p>
        </w:tc>
        <w:tc>
          <w:tcPr>
            <w:tcW w:w="1512" w:type="dxa"/>
            <w:tcBorders>
              <w:tl2br w:val="nil"/>
              <w:tr2bl w:val="nil"/>
            </w:tcBorders>
            <w:vAlign w:val="center"/>
          </w:tcPr>
          <w:p>
            <w:pPr>
              <w:widowControl/>
              <w:jc w:val="center"/>
              <w:rPr>
                <w:rFonts w:hint="eastAsia" w:ascii="仿宋_GB2312" w:hAnsi="仿宋" w:eastAsia="仿宋_GB2312" w:cs="仿宋"/>
                <w:color w:val="000000"/>
                <w:kern w:val="0"/>
                <w:szCs w:val="21"/>
                <w:lang w:eastAsia="zh-CN"/>
              </w:rPr>
            </w:pPr>
            <w:r>
              <w:rPr>
                <w:rFonts w:hint="eastAsia" w:ascii="仿宋_GB2312" w:hAnsi="仿宋" w:eastAsia="仿宋_GB2312" w:cs="仿宋"/>
                <w:color w:val="000000"/>
                <w:kern w:val="0"/>
                <w:szCs w:val="21"/>
                <w:lang w:eastAsia="zh-CN"/>
              </w:rPr>
              <w:t>201404924</w:t>
            </w:r>
          </w:p>
        </w:tc>
        <w:tc>
          <w:tcPr>
            <w:tcW w:w="2687" w:type="dxa"/>
            <w:tcBorders>
              <w:tl2br w:val="nil"/>
              <w:tr2bl w:val="nil"/>
            </w:tcBorders>
            <w:vAlign w:val="center"/>
          </w:tcPr>
          <w:p>
            <w:pPr>
              <w:widowControl/>
              <w:jc w:val="center"/>
            </w:pPr>
            <w:r>
              <w:rPr>
                <w:rFonts w:hint="eastAsia" w:ascii="仿宋" w:hAnsi="仿宋" w:eastAsia="仿宋" w:cs="仿宋"/>
                <w:color w:val="000000"/>
                <w:kern w:val="0"/>
                <w:szCs w:val="21"/>
                <w:lang w:eastAsia="zh-CN"/>
              </w:rPr>
              <w:t>贵州省黔西南布依族苗族自治州兴义市坪东街道办事处青龙路三和新城小区15栋1单元402号</w:t>
            </w:r>
          </w:p>
        </w:tc>
        <w:tc>
          <w:tcPr>
            <w:tcW w:w="750" w:type="dxa"/>
            <w:tcBorders>
              <w:tl2br w:val="nil"/>
              <w:tr2bl w:val="nil"/>
            </w:tcBorders>
            <w:vAlign w:val="center"/>
          </w:tcPr>
          <w:p>
            <w:pPr>
              <w:widowControl/>
              <w:jc w:val="center"/>
              <w:rPr>
                <w:rFonts w:hint="eastAsia" w:ascii="仿宋_GB2312" w:hAnsi="仿宋" w:eastAsia="仿宋_GB2312" w:cs="仿宋"/>
                <w:color w:val="000000"/>
                <w:kern w:val="0"/>
                <w:szCs w:val="21"/>
                <w:lang w:eastAsia="zh-CN"/>
              </w:rPr>
            </w:pPr>
            <w:r>
              <w:rPr>
                <w:rFonts w:hint="eastAsia" w:ascii="仿宋" w:hAnsi="仿宋" w:eastAsia="仿宋" w:cs="仿宋"/>
                <w:color w:val="000000"/>
                <w:kern w:val="0"/>
                <w:szCs w:val="21"/>
                <w:lang w:eastAsia="zh-CN"/>
              </w:rPr>
              <w:t>成套住宅</w:t>
            </w:r>
          </w:p>
        </w:tc>
        <w:tc>
          <w:tcPr>
            <w:tcW w:w="1127" w:type="dxa"/>
            <w:tcBorders>
              <w:tl2br w:val="nil"/>
              <w:tr2bl w:val="nil"/>
            </w:tcBorders>
            <w:vAlign w:val="center"/>
          </w:tcPr>
          <w:p>
            <w:pPr>
              <w:widowControl/>
              <w:jc w:val="center"/>
              <w:rPr>
                <w:rFonts w:hint="eastAsia" w:ascii="仿宋_GB2312" w:hAnsi="仿宋" w:eastAsia="仿宋_GB2312" w:cs="仿宋"/>
                <w:color w:val="000000"/>
                <w:kern w:val="0"/>
                <w:szCs w:val="21"/>
                <w:lang w:eastAsia="zh-CN"/>
              </w:rPr>
            </w:pPr>
            <w:r>
              <w:rPr>
                <w:rFonts w:hint="eastAsia" w:ascii="仿宋" w:hAnsi="仿宋" w:eastAsia="仿宋" w:cs="仿宋"/>
                <w:color w:val="000000"/>
                <w:kern w:val="0"/>
                <w:szCs w:val="21"/>
                <w:lang w:eastAsia="zh-CN"/>
              </w:rPr>
              <w:t>108.23</w:t>
            </w:r>
          </w:p>
        </w:tc>
        <w:tc>
          <w:tcPr>
            <w:tcW w:w="1157" w:type="dxa"/>
            <w:tcBorders>
              <w:tl2br w:val="nil"/>
              <w:tr2bl w:val="nil"/>
            </w:tcBorders>
            <w:vAlign w:val="center"/>
          </w:tcPr>
          <w:p>
            <w:pPr>
              <w:widowControl/>
              <w:jc w:val="center"/>
              <w:rPr>
                <w:rFonts w:hint="eastAsia" w:ascii="仿宋_GB2312" w:hAnsi="仿宋" w:eastAsia="仿宋_GB2312" w:cs="仿宋"/>
                <w:color w:val="000000"/>
                <w:kern w:val="0"/>
                <w:szCs w:val="21"/>
                <w:lang w:eastAsia="zh-CN"/>
              </w:rPr>
            </w:pPr>
            <w:r>
              <w:rPr>
                <w:rFonts w:hint="eastAsia" w:ascii="仿宋" w:hAnsi="仿宋" w:eastAsia="仿宋" w:cs="仿宋"/>
                <w:color w:val="000000"/>
                <w:kern w:val="0"/>
                <w:szCs w:val="21"/>
                <w:lang w:val="en-US" w:eastAsia="zh-CN"/>
              </w:rPr>
              <w:t>3803</w:t>
            </w:r>
          </w:p>
        </w:tc>
        <w:tc>
          <w:tcPr>
            <w:tcW w:w="1189" w:type="dxa"/>
            <w:tcBorders>
              <w:tl2br w:val="nil"/>
              <w:tr2bl w:val="nil"/>
            </w:tcBorders>
            <w:vAlign w:val="center"/>
          </w:tcPr>
          <w:p>
            <w:pPr>
              <w:widowControl/>
              <w:jc w:val="center"/>
              <w:rPr>
                <w:rFonts w:hint="eastAsia" w:ascii="仿宋_GB2312" w:hAnsi="仿宋" w:eastAsia="仿宋_GB2312" w:cs="仿宋"/>
                <w:color w:val="000000"/>
                <w:kern w:val="0"/>
                <w:szCs w:val="21"/>
              </w:rPr>
            </w:pPr>
            <w:r>
              <w:rPr>
                <w:rFonts w:hint="eastAsia" w:ascii="仿宋" w:hAnsi="仿宋" w:eastAsia="仿宋" w:cs="仿宋"/>
                <w:color w:val="000000"/>
                <w:kern w:val="0"/>
                <w:szCs w:val="21"/>
              </w:rPr>
              <w:fldChar w:fldCharType="begin"/>
            </w:r>
            <w:r>
              <w:rPr>
                <w:rFonts w:hint="eastAsia" w:ascii="仿宋" w:hAnsi="仿宋" w:eastAsia="仿宋" w:cs="仿宋"/>
                <w:color w:val="000000"/>
                <w:kern w:val="0"/>
                <w:szCs w:val="21"/>
              </w:rPr>
              <w:instrText xml:space="preserve"> =</w:instrText>
            </w:r>
            <w:r>
              <w:rPr>
                <w:rFonts w:hint="eastAsia" w:ascii="仿宋" w:hAnsi="仿宋" w:eastAsia="仿宋" w:cs="仿宋"/>
                <w:color w:val="000000"/>
                <w:kern w:val="0"/>
                <w:szCs w:val="21"/>
                <w:lang w:val="en-US" w:eastAsia="zh-CN"/>
              </w:rPr>
              <w:instrText xml:space="preserve">11099*212.75</w:instrText>
            </w:r>
            <w:r>
              <w:rPr>
                <w:rFonts w:hint="eastAsia" w:ascii="仿宋" w:hAnsi="仿宋" w:eastAsia="仿宋" w:cs="仿宋"/>
                <w:color w:val="000000"/>
                <w:kern w:val="0"/>
                <w:szCs w:val="21"/>
              </w:rPr>
              <w:instrText xml:space="preserve">/10000 \# "0.00" \* MERGEFORMAT </w:instrText>
            </w:r>
            <w:r>
              <w:rPr>
                <w:rFonts w:hint="eastAsia" w:ascii="仿宋" w:hAnsi="仿宋" w:eastAsia="仿宋" w:cs="仿宋"/>
                <w:color w:val="000000"/>
                <w:kern w:val="0"/>
                <w:szCs w:val="21"/>
              </w:rPr>
              <w:fldChar w:fldCharType="separate"/>
            </w:r>
            <w:r>
              <w:rPr>
                <w:rFonts w:hint="eastAsia" w:ascii="仿宋" w:hAnsi="仿宋" w:eastAsia="仿宋" w:cs="仿宋"/>
                <w:color w:val="000000"/>
                <w:kern w:val="0"/>
                <w:szCs w:val="21"/>
                <w:lang w:eastAsia="zh-CN"/>
              </w:rPr>
              <w:t>41.16</w:t>
            </w:r>
            <w:r>
              <w:rPr>
                <w:rFonts w:hint="eastAsia" w:ascii="仿宋" w:hAnsi="仿宋" w:eastAsia="仿宋" w:cs="仿宋"/>
                <w:color w:val="000000"/>
                <w:kern w:val="0"/>
                <w:szCs w:val="21"/>
              </w:rPr>
              <w:fldChar w:fldCharType="end"/>
            </w:r>
          </w:p>
        </w:tc>
      </w:tr>
    </w:tbl>
    <w:p>
      <w:pPr>
        <w:pStyle w:val="3"/>
        <w:numPr>
          <w:ilvl w:val="0"/>
          <w:numId w:val="3"/>
        </w:numPr>
        <w:spacing w:before="0" w:after="0" w:line="540" w:lineRule="exact"/>
        <w:ind w:firstLine="526" w:firstLineChars="187"/>
        <w:rPr>
          <w:rFonts w:hint="eastAsia" w:ascii="仿宋_GB2312" w:hAnsi="华文仿宋" w:eastAsia="仿宋_GB2312"/>
          <w:color w:val="000000"/>
          <w:sz w:val="28"/>
          <w:szCs w:val="28"/>
        </w:rPr>
      </w:pPr>
      <w:bookmarkStart w:id="29" w:name="_Toc8020"/>
      <w:r>
        <w:rPr>
          <w:rFonts w:hint="eastAsia" w:ascii="仿宋_GB2312" w:hAnsi="华文仿宋" w:eastAsia="仿宋_GB2312"/>
          <w:color w:val="000000"/>
          <w:sz w:val="28"/>
          <w:szCs w:val="28"/>
        </w:rPr>
        <w:t>估价人员</w:t>
      </w:r>
      <w:bookmarkEnd w:id="28"/>
      <w:bookmarkEnd w:id="29"/>
    </w:p>
    <w:p>
      <w:pPr>
        <w:numPr>
          <w:ilvl w:val="0"/>
          <w:numId w:val="0"/>
        </w:numPr>
        <w:rPr>
          <w:rFonts w:hint="eastAsia"/>
        </w:rPr>
      </w:pPr>
    </w:p>
    <w:p>
      <w:pPr>
        <w:tabs>
          <w:tab w:val="left" w:pos="5460"/>
        </w:tabs>
        <w:spacing w:line="540" w:lineRule="exact"/>
        <w:ind w:firstLine="525"/>
        <w:rPr>
          <w:rFonts w:hint="eastAsia" w:ascii="仿宋_GB2312" w:hAnsi="华文仿宋" w:eastAsia="仿宋_GB2312"/>
          <w:color w:val="000000"/>
          <w:spacing w:val="-4"/>
          <w:sz w:val="28"/>
          <w:szCs w:val="28"/>
          <w:u w:val="single"/>
        </w:rPr>
      </w:pPr>
      <w:r>
        <w:rPr>
          <w:rFonts w:hint="eastAsia" w:ascii="仿宋_GB2312" w:eastAsia="仿宋_GB2312"/>
          <w:sz w:val="28"/>
          <w:szCs w:val="28"/>
          <w:lang w:eastAsia="zh-CN"/>
        </w:rPr>
        <w:t>张晋华(</w:t>
      </w:r>
      <w:r>
        <w:rPr>
          <w:rFonts w:hint="eastAsia" w:ascii="仿宋_GB2312" w:hAnsi="华文仿宋" w:eastAsia="仿宋_GB2312"/>
          <w:color w:val="000000"/>
          <w:spacing w:val="-4"/>
          <w:sz w:val="28"/>
          <w:szCs w:val="28"/>
        </w:rPr>
        <w:t xml:space="preserve">注册房地产估价师  </w:t>
      </w:r>
      <w:r>
        <w:rPr>
          <w:rFonts w:hint="eastAsia" w:ascii="仿宋_GB2312" w:hAnsi="华文仿宋" w:eastAsia="仿宋_GB2312"/>
          <w:color w:val="000000"/>
          <w:sz w:val="28"/>
          <w:szCs w:val="28"/>
        </w:rPr>
        <w:t xml:space="preserve">注册号: </w:t>
      </w:r>
      <w:r>
        <w:rPr>
          <w:rFonts w:hint="eastAsia" w:ascii="仿宋_GB2312" w:eastAsia="仿宋_GB2312"/>
          <w:sz w:val="28"/>
          <w:szCs w:val="28"/>
          <w:lang w:eastAsia="zh-CN"/>
        </w:rPr>
        <w:t>3320080014</w:t>
      </w:r>
      <w:r>
        <w:rPr>
          <w:rFonts w:hint="eastAsia" w:ascii="仿宋_GB2312" w:hAnsi="华文仿宋" w:eastAsia="仿宋_GB2312"/>
          <w:color w:val="000000"/>
          <w:spacing w:val="-4"/>
          <w:sz w:val="28"/>
          <w:szCs w:val="28"/>
        </w:rPr>
        <w:t>)  签名：</w:t>
      </w:r>
      <w:r>
        <w:rPr>
          <w:rFonts w:hint="eastAsia" w:ascii="仿宋_GB2312" w:hAnsi="华文仿宋" w:eastAsia="仿宋_GB2312"/>
          <w:color w:val="000000"/>
          <w:spacing w:val="-4"/>
          <w:sz w:val="28"/>
          <w:szCs w:val="28"/>
          <w:u w:val="single"/>
        </w:rPr>
        <w:t xml:space="preserve">             </w:t>
      </w:r>
    </w:p>
    <w:p>
      <w:pPr>
        <w:spacing w:line="540" w:lineRule="exact"/>
        <w:ind w:firstLine="525"/>
        <w:rPr>
          <w:rFonts w:hint="eastAsia" w:ascii="仿宋_GB2312" w:hAnsi="华文仿宋" w:eastAsia="仿宋_GB2312"/>
          <w:color w:val="000000"/>
          <w:spacing w:val="-4"/>
          <w:sz w:val="28"/>
          <w:szCs w:val="28"/>
        </w:rPr>
      </w:pPr>
    </w:p>
    <w:p>
      <w:pPr>
        <w:spacing w:line="540" w:lineRule="exact"/>
        <w:ind w:firstLine="525"/>
        <w:rPr>
          <w:rFonts w:hint="eastAsia" w:ascii="仿宋_GB2312" w:hAnsi="华文仿宋" w:eastAsia="仿宋_GB2312"/>
          <w:color w:val="000000"/>
          <w:spacing w:val="-4"/>
          <w:sz w:val="28"/>
          <w:szCs w:val="28"/>
        </w:rPr>
      </w:pPr>
    </w:p>
    <w:p>
      <w:pPr>
        <w:tabs>
          <w:tab w:val="left" w:pos="5460"/>
        </w:tabs>
        <w:spacing w:line="540" w:lineRule="exact"/>
        <w:ind w:firstLine="525"/>
        <w:rPr>
          <w:rFonts w:hint="eastAsia" w:ascii="仿宋_GB2312" w:hAnsi="华文仿宋" w:eastAsia="仿宋_GB2312"/>
          <w:color w:val="000000"/>
          <w:spacing w:val="-4"/>
          <w:sz w:val="28"/>
          <w:szCs w:val="28"/>
          <w:u w:val="single"/>
        </w:rPr>
      </w:pPr>
      <w:r>
        <w:rPr>
          <w:rFonts w:hint="eastAsia" w:ascii="仿宋_GB2312" w:eastAsia="仿宋_GB2312"/>
          <w:sz w:val="28"/>
          <w:szCs w:val="28"/>
          <w:lang w:eastAsia="zh-CN"/>
        </w:rPr>
        <w:t>孟周兵</w:t>
      </w:r>
      <w:r>
        <w:rPr>
          <w:rFonts w:hint="eastAsia" w:ascii="仿宋_GB2312" w:hAnsi="华文仿宋" w:eastAsia="仿宋_GB2312"/>
          <w:color w:val="000000"/>
          <w:spacing w:val="-4"/>
          <w:sz w:val="28"/>
          <w:szCs w:val="28"/>
        </w:rPr>
        <w:t xml:space="preserve">(注册房地产估价师  </w:t>
      </w:r>
      <w:r>
        <w:rPr>
          <w:rFonts w:hint="eastAsia" w:ascii="仿宋_GB2312" w:hAnsi="华文仿宋" w:eastAsia="仿宋_GB2312"/>
          <w:color w:val="000000"/>
          <w:sz w:val="28"/>
          <w:szCs w:val="28"/>
        </w:rPr>
        <w:t xml:space="preserve">注册号: </w:t>
      </w:r>
      <w:r>
        <w:rPr>
          <w:rFonts w:hint="eastAsia" w:ascii="仿宋_GB2312" w:hAnsi="华文仿宋" w:eastAsia="仿宋_GB2312"/>
          <w:color w:val="000000"/>
          <w:sz w:val="28"/>
          <w:szCs w:val="28"/>
          <w:lang w:eastAsia="zh-CN"/>
        </w:rPr>
        <w:t>5220140034</w:t>
      </w:r>
      <w:r>
        <w:rPr>
          <w:rFonts w:hint="eastAsia" w:ascii="仿宋_GB2312" w:hAnsi="华文仿宋" w:eastAsia="仿宋_GB2312"/>
          <w:color w:val="000000"/>
          <w:spacing w:val="-4"/>
          <w:sz w:val="28"/>
          <w:szCs w:val="28"/>
        </w:rPr>
        <w:t>)  签名：</w:t>
      </w:r>
      <w:r>
        <w:rPr>
          <w:rFonts w:hint="eastAsia" w:ascii="仿宋_GB2312" w:hAnsi="华文仿宋" w:eastAsia="仿宋_GB2312"/>
          <w:color w:val="000000"/>
          <w:spacing w:val="-4"/>
          <w:sz w:val="28"/>
          <w:szCs w:val="28"/>
          <w:u w:val="single"/>
        </w:rPr>
        <w:t xml:space="preserve">             </w:t>
      </w:r>
    </w:p>
    <w:p>
      <w:pPr>
        <w:pStyle w:val="3"/>
        <w:spacing w:before="0" w:after="0" w:line="540" w:lineRule="exact"/>
        <w:ind w:firstLine="526" w:firstLineChars="187"/>
        <w:rPr>
          <w:rFonts w:hint="eastAsia" w:ascii="仿宋_GB2312" w:hAnsi="华文仿宋" w:eastAsia="仿宋_GB2312"/>
          <w:color w:val="000000"/>
          <w:sz w:val="28"/>
          <w:szCs w:val="28"/>
        </w:rPr>
      </w:pPr>
      <w:bookmarkStart w:id="30" w:name="_Toc376163804"/>
      <w:bookmarkStart w:id="31" w:name="_Toc31069"/>
      <w:r>
        <w:rPr>
          <w:rFonts w:hint="eastAsia" w:ascii="仿宋_GB2312" w:hAnsi="华文仿宋" w:eastAsia="仿宋_GB2312"/>
          <w:color w:val="000000"/>
          <w:sz w:val="28"/>
          <w:szCs w:val="28"/>
        </w:rPr>
        <w:t>十</w:t>
      </w:r>
      <w:r>
        <w:rPr>
          <w:rFonts w:hint="eastAsia" w:ascii="仿宋_GB2312" w:hAnsi="华文仿宋" w:eastAsia="仿宋_GB2312"/>
          <w:color w:val="000000"/>
          <w:sz w:val="28"/>
          <w:szCs w:val="28"/>
          <w:lang w:eastAsia="zh-CN"/>
        </w:rPr>
        <w:t>二</w:t>
      </w:r>
      <w:r>
        <w:rPr>
          <w:rFonts w:hint="eastAsia" w:ascii="仿宋_GB2312" w:hAnsi="华文仿宋" w:eastAsia="仿宋_GB2312"/>
          <w:color w:val="000000"/>
          <w:sz w:val="28"/>
          <w:szCs w:val="28"/>
        </w:rPr>
        <w:t>、估价作业日期</w:t>
      </w:r>
      <w:bookmarkEnd w:id="30"/>
      <w:bookmarkEnd w:id="31"/>
    </w:p>
    <w:p>
      <w:pPr>
        <w:tabs>
          <w:tab w:val="left" w:pos="9345"/>
        </w:tabs>
        <w:spacing w:line="540" w:lineRule="exact"/>
        <w:ind w:firstLine="544" w:firstLineChars="200"/>
        <w:rPr>
          <w:rFonts w:hint="eastAsia" w:ascii="仿宋_GB2312" w:hAnsi="华文仿宋" w:eastAsia="仿宋_GB2312"/>
          <w:color w:val="000000"/>
          <w:spacing w:val="-4"/>
          <w:sz w:val="28"/>
          <w:szCs w:val="28"/>
        </w:rPr>
      </w:pPr>
      <w:r>
        <w:rPr>
          <w:rFonts w:hint="eastAsia" w:ascii="仿宋_GB2312" w:hAnsi="华文仿宋" w:eastAsia="仿宋_GB2312"/>
          <w:color w:val="000000"/>
          <w:spacing w:val="-4"/>
          <w:sz w:val="28"/>
          <w:szCs w:val="28"/>
          <w:lang w:eastAsia="zh-CN"/>
        </w:rPr>
        <w:t>2019年1月</w:t>
      </w:r>
      <w:r>
        <w:rPr>
          <w:rFonts w:hint="eastAsia" w:ascii="仿宋_GB2312" w:hAnsi="华文仿宋" w:eastAsia="仿宋_GB2312"/>
          <w:color w:val="000000"/>
          <w:spacing w:val="-4"/>
          <w:sz w:val="28"/>
          <w:szCs w:val="28"/>
          <w:lang w:val="en-US" w:eastAsia="zh-CN"/>
        </w:rPr>
        <w:t>7</w:t>
      </w:r>
      <w:r>
        <w:rPr>
          <w:rFonts w:hint="eastAsia" w:ascii="仿宋_GB2312" w:hAnsi="华文仿宋" w:eastAsia="仿宋_GB2312"/>
          <w:color w:val="000000"/>
          <w:spacing w:val="-4"/>
          <w:sz w:val="28"/>
          <w:szCs w:val="28"/>
          <w:lang w:eastAsia="zh-CN"/>
        </w:rPr>
        <w:t>日</w:t>
      </w:r>
      <w:r>
        <w:rPr>
          <w:rFonts w:hint="eastAsia" w:ascii="仿宋_GB2312" w:hAnsi="华文仿宋" w:eastAsia="仿宋_GB2312"/>
          <w:color w:val="000000"/>
          <w:spacing w:val="-4"/>
          <w:sz w:val="28"/>
          <w:szCs w:val="28"/>
        </w:rPr>
        <w:t>至</w:t>
      </w:r>
      <w:r>
        <w:rPr>
          <w:rFonts w:hint="eastAsia" w:ascii="仿宋_GB2312" w:hAnsi="华文仿宋" w:eastAsia="仿宋_GB2312"/>
          <w:color w:val="000000"/>
          <w:spacing w:val="-4"/>
          <w:sz w:val="28"/>
          <w:szCs w:val="28"/>
          <w:lang w:eastAsia="zh-CN"/>
        </w:rPr>
        <w:t>201</w:t>
      </w:r>
      <w:r>
        <w:rPr>
          <w:rFonts w:hint="eastAsia" w:ascii="仿宋_GB2312" w:hAnsi="华文仿宋" w:eastAsia="仿宋_GB2312"/>
          <w:color w:val="000000"/>
          <w:spacing w:val="-4"/>
          <w:sz w:val="28"/>
          <w:szCs w:val="28"/>
          <w:lang w:val="en-US" w:eastAsia="zh-CN"/>
        </w:rPr>
        <w:t>9</w:t>
      </w:r>
      <w:r>
        <w:rPr>
          <w:rFonts w:hint="eastAsia" w:ascii="仿宋_GB2312" w:hAnsi="华文仿宋" w:eastAsia="仿宋_GB2312"/>
          <w:color w:val="000000"/>
          <w:spacing w:val="-4"/>
          <w:sz w:val="28"/>
          <w:szCs w:val="28"/>
          <w:lang w:eastAsia="zh-CN"/>
        </w:rPr>
        <w:t>年</w:t>
      </w:r>
      <w:r>
        <w:rPr>
          <w:rFonts w:hint="eastAsia" w:ascii="仿宋_GB2312" w:hAnsi="华文仿宋" w:eastAsia="仿宋_GB2312"/>
          <w:color w:val="000000"/>
          <w:spacing w:val="-4"/>
          <w:sz w:val="28"/>
          <w:szCs w:val="28"/>
          <w:lang w:val="en-US" w:eastAsia="zh-CN"/>
        </w:rPr>
        <w:t>1</w:t>
      </w:r>
      <w:r>
        <w:rPr>
          <w:rFonts w:hint="eastAsia" w:ascii="仿宋_GB2312" w:hAnsi="华文仿宋" w:eastAsia="仿宋_GB2312"/>
          <w:color w:val="000000"/>
          <w:spacing w:val="-4"/>
          <w:sz w:val="28"/>
          <w:szCs w:val="28"/>
          <w:lang w:eastAsia="zh-CN"/>
        </w:rPr>
        <w:t>月</w:t>
      </w:r>
      <w:r>
        <w:rPr>
          <w:rFonts w:hint="eastAsia" w:ascii="仿宋_GB2312" w:hAnsi="华文仿宋" w:eastAsia="仿宋_GB2312"/>
          <w:color w:val="000000"/>
          <w:spacing w:val="-4"/>
          <w:sz w:val="28"/>
          <w:szCs w:val="28"/>
          <w:lang w:val="en-US" w:eastAsia="zh-CN"/>
        </w:rPr>
        <w:t>17</w:t>
      </w:r>
      <w:r>
        <w:rPr>
          <w:rFonts w:hint="eastAsia" w:ascii="仿宋_GB2312" w:hAnsi="华文仿宋" w:eastAsia="仿宋_GB2312"/>
          <w:color w:val="000000"/>
          <w:spacing w:val="-4"/>
          <w:sz w:val="28"/>
          <w:szCs w:val="28"/>
          <w:lang w:eastAsia="zh-CN"/>
        </w:rPr>
        <w:t>日</w:t>
      </w:r>
      <w:r>
        <w:rPr>
          <w:rFonts w:hint="eastAsia" w:ascii="仿宋_GB2312" w:hAnsi="华文仿宋" w:eastAsia="仿宋_GB2312"/>
          <w:color w:val="000000"/>
          <w:spacing w:val="-4"/>
          <w:sz w:val="28"/>
          <w:szCs w:val="28"/>
        </w:rPr>
        <w:t>。</w:t>
      </w:r>
    </w:p>
    <w:p>
      <w:pPr>
        <w:pStyle w:val="3"/>
        <w:spacing w:before="0" w:after="0" w:line="540" w:lineRule="exact"/>
        <w:ind w:firstLine="526" w:firstLineChars="187"/>
        <w:rPr>
          <w:rFonts w:hint="eastAsia" w:ascii="仿宋_GB2312" w:hAnsi="华文仿宋" w:eastAsia="仿宋_GB2312"/>
          <w:color w:val="000000"/>
          <w:sz w:val="28"/>
          <w:szCs w:val="28"/>
        </w:rPr>
      </w:pPr>
      <w:bookmarkStart w:id="32" w:name="_Toc376163805"/>
      <w:bookmarkStart w:id="33" w:name="_Toc28646"/>
      <w:r>
        <w:rPr>
          <w:rFonts w:hint="eastAsia" w:ascii="仿宋_GB2312" w:hAnsi="华文仿宋" w:eastAsia="仿宋_GB2312"/>
          <w:color w:val="000000"/>
          <w:sz w:val="28"/>
          <w:szCs w:val="28"/>
        </w:rPr>
        <w:t>十</w:t>
      </w:r>
      <w:r>
        <w:rPr>
          <w:rFonts w:hint="eastAsia" w:ascii="仿宋_GB2312" w:hAnsi="华文仿宋" w:eastAsia="仿宋_GB2312"/>
          <w:color w:val="000000"/>
          <w:sz w:val="28"/>
          <w:szCs w:val="28"/>
          <w:lang w:eastAsia="zh-CN"/>
        </w:rPr>
        <w:t>三</w:t>
      </w:r>
      <w:r>
        <w:rPr>
          <w:rFonts w:hint="eastAsia" w:ascii="仿宋_GB2312" w:hAnsi="华文仿宋" w:eastAsia="仿宋_GB2312"/>
          <w:color w:val="000000"/>
          <w:sz w:val="28"/>
          <w:szCs w:val="28"/>
        </w:rPr>
        <w:t>、估价报告的有效期</w:t>
      </w:r>
      <w:bookmarkEnd w:id="32"/>
      <w:bookmarkEnd w:id="33"/>
    </w:p>
    <w:p>
      <w:pPr>
        <w:tabs>
          <w:tab w:val="left" w:pos="210"/>
          <w:tab w:val="left" w:pos="420"/>
          <w:tab w:val="left" w:pos="532"/>
        </w:tabs>
        <w:spacing w:line="540" w:lineRule="exact"/>
        <w:ind w:left="-105" w:leftChars="-50" w:firstLine="671" w:firstLineChars="247"/>
        <w:rPr>
          <w:rFonts w:hint="eastAsia" w:ascii="仿宋_GB2312" w:hAnsi="华文仿宋" w:eastAsia="仿宋_GB2312"/>
          <w:color w:val="000000"/>
          <w:spacing w:val="-4"/>
          <w:sz w:val="28"/>
          <w:szCs w:val="28"/>
        </w:rPr>
      </w:pPr>
      <w:r>
        <w:rPr>
          <w:rFonts w:hint="eastAsia" w:ascii="仿宋_GB2312" w:hAnsi="华文仿宋" w:eastAsia="仿宋_GB2312"/>
          <w:color w:val="000000"/>
          <w:spacing w:val="-4"/>
          <w:sz w:val="28"/>
          <w:szCs w:val="28"/>
        </w:rPr>
        <w:t>如果房地产市场无大的变化，本估价报告提供的估价结果自估价作业日期止起有效，估价报告的有效期为壹年，即从</w:t>
      </w:r>
      <w:r>
        <w:rPr>
          <w:rFonts w:hint="eastAsia" w:ascii="仿宋_GB2312" w:hAnsi="华文仿宋" w:eastAsia="仿宋_GB2312"/>
          <w:color w:val="000000"/>
          <w:spacing w:val="-4"/>
          <w:sz w:val="28"/>
          <w:szCs w:val="28"/>
          <w:lang w:eastAsia="zh-CN"/>
        </w:rPr>
        <w:t>201</w:t>
      </w:r>
      <w:r>
        <w:rPr>
          <w:rFonts w:hint="eastAsia" w:ascii="仿宋_GB2312" w:hAnsi="华文仿宋" w:eastAsia="仿宋_GB2312"/>
          <w:color w:val="000000"/>
          <w:spacing w:val="-4"/>
          <w:sz w:val="28"/>
          <w:szCs w:val="28"/>
          <w:lang w:val="en-US" w:eastAsia="zh-CN"/>
        </w:rPr>
        <w:t>9</w:t>
      </w:r>
      <w:r>
        <w:rPr>
          <w:rFonts w:hint="eastAsia" w:ascii="仿宋_GB2312" w:hAnsi="华文仿宋" w:eastAsia="仿宋_GB2312"/>
          <w:color w:val="000000"/>
          <w:spacing w:val="-4"/>
          <w:sz w:val="28"/>
          <w:szCs w:val="28"/>
          <w:lang w:eastAsia="zh-CN"/>
        </w:rPr>
        <w:t>年</w:t>
      </w:r>
      <w:r>
        <w:rPr>
          <w:rFonts w:hint="eastAsia" w:ascii="仿宋_GB2312" w:hAnsi="华文仿宋" w:eastAsia="仿宋_GB2312"/>
          <w:color w:val="000000"/>
          <w:spacing w:val="-4"/>
          <w:sz w:val="28"/>
          <w:szCs w:val="28"/>
          <w:lang w:val="en-US" w:eastAsia="zh-CN"/>
        </w:rPr>
        <w:t>1</w:t>
      </w:r>
      <w:r>
        <w:rPr>
          <w:rFonts w:hint="eastAsia" w:ascii="仿宋_GB2312" w:hAnsi="华文仿宋" w:eastAsia="仿宋_GB2312"/>
          <w:color w:val="000000"/>
          <w:spacing w:val="-4"/>
          <w:sz w:val="28"/>
          <w:szCs w:val="28"/>
          <w:lang w:eastAsia="zh-CN"/>
        </w:rPr>
        <w:t>月</w:t>
      </w:r>
      <w:r>
        <w:rPr>
          <w:rFonts w:hint="eastAsia" w:ascii="仿宋_GB2312" w:hAnsi="华文仿宋" w:eastAsia="仿宋_GB2312"/>
          <w:color w:val="000000"/>
          <w:spacing w:val="-4"/>
          <w:sz w:val="28"/>
          <w:szCs w:val="28"/>
          <w:lang w:val="en-US" w:eastAsia="zh-CN"/>
        </w:rPr>
        <w:t>17</w:t>
      </w:r>
      <w:r>
        <w:rPr>
          <w:rFonts w:hint="eastAsia" w:ascii="仿宋_GB2312" w:hAnsi="华文仿宋" w:eastAsia="仿宋_GB2312"/>
          <w:color w:val="000000"/>
          <w:spacing w:val="-4"/>
          <w:sz w:val="28"/>
          <w:szCs w:val="28"/>
          <w:lang w:eastAsia="zh-CN"/>
        </w:rPr>
        <w:t>日至20</w:t>
      </w:r>
      <w:r>
        <w:rPr>
          <w:rFonts w:hint="eastAsia" w:ascii="仿宋_GB2312" w:hAnsi="华文仿宋" w:eastAsia="仿宋_GB2312"/>
          <w:color w:val="000000"/>
          <w:spacing w:val="-4"/>
          <w:sz w:val="28"/>
          <w:szCs w:val="28"/>
          <w:lang w:val="en-US" w:eastAsia="zh-CN"/>
        </w:rPr>
        <w:t>20</w:t>
      </w:r>
      <w:r>
        <w:rPr>
          <w:rFonts w:hint="eastAsia" w:ascii="仿宋_GB2312" w:hAnsi="华文仿宋" w:eastAsia="仿宋_GB2312"/>
          <w:color w:val="000000"/>
          <w:spacing w:val="-4"/>
          <w:sz w:val="28"/>
          <w:szCs w:val="28"/>
          <w:lang w:eastAsia="zh-CN"/>
        </w:rPr>
        <w:t>年</w:t>
      </w:r>
      <w:r>
        <w:rPr>
          <w:rFonts w:hint="eastAsia" w:ascii="仿宋_GB2312" w:hAnsi="华文仿宋" w:eastAsia="仿宋_GB2312"/>
          <w:color w:val="000000"/>
          <w:spacing w:val="-4"/>
          <w:sz w:val="28"/>
          <w:szCs w:val="28"/>
          <w:lang w:val="en-US" w:eastAsia="zh-CN"/>
        </w:rPr>
        <w:t>1</w:t>
      </w:r>
      <w:r>
        <w:rPr>
          <w:rFonts w:hint="eastAsia" w:ascii="仿宋_GB2312" w:hAnsi="华文仿宋" w:eastAsia="仿宋_GB2312"/>
          <w:color w:val="000000"/>
          <w:spacing w:val="-4"/>
          <w:sz w:val="28"/>
          <w:szCs w:val="28"/>
          <w:lang w:eastAsia="zh-CN"/>
        </w:rPr>
        <w:t>月</w:t>
      </w:r>
      <w:r>
        <w:rPr>
          <w:rFonts w:hint="eastAsia" w:ascii="仿宋_GB2312" w:hAnsi="华文仿宋" w:eastAsia="仿宋_GB2312"/>
          <w:color w:val="000000"/>
          <w:spacing w:val="-4"/>
          <w:sz w:val="28"/>
          <w:szCs w:val="28"/>
          <w:lang w:val="en-US" w:eastAsia="zh-CN"/>
        </w:rPr>
        <w:t>16</w:t>
      </w:r>
      <w:r>
        <w:rPr>
          <w:rFonts w:hint="eastAsia" w:ascii="仿宋_GB2312" w:hAnsi="华文仿宋" w:eastAsia="仿宋_GB2312"/>
          <w:color w:val="000000"/>
          <w:spacing w:val="-4"/>
          <w:sz w:val="28"/>
          <w:szCs w:val="28"/>
          <w:lang w:eastAsia="zh-CN"/>
        </w:rPr>
        <w:t>日止</w:t>
      </w:r>
      <w:r>
        <w:rPr>
          <w:rFonts w:hint="eastAsia" w:ascii="仿宋_GB2312" w:hAnsi="华文仿宋" w:eastAsia="仿宋_GB2312"/>
          <w:color w:val="000000"/>
          <w:spacing w:val="-4"/>
          <w:sz w:val="28"/>
          <w:szCs w:val="28"/>
        </w:rPr>
        <w:t>。</w:t>
      </w:r>
    </w:p>
    <w:p>
      <w:pPr>
        <w:spacing w:line="540" w:lineRule="exact"/>
        <w:rPr>
          <w:rFonts w:hint="eastAsia" w:ascii="仿宋_GB2312" w:hAnsi="华文仿宋" w:eastAsia="仿宋_GB2312"/>
          <w:color w:val="000000"/>
          <w:spacing w:val="-4"/>
          <w:sz w:val="28"/>
          <w:szCs w:val="28"/>
        </w:rPr>
      </w:pPr>
      <w:r>
        <w:rPr>
          <w:rFonts w:hint="eastAsia" w:ascii="仿宋_GB2312" w:hAnsi="华文仿宋" w:eastAsia="仿宋_GB2312"/>
          <w:color w:val="000000"/>
          <w:spacing w:val="-4"/>
          <w:sz w:val="28"/>
          <w:szCs w:val="28"/>
        </w:rPr>
        <w:t xml:space="preserve">       </w:t>
      </w:r>
    </w:p>
    <w:p>
      <w:pPr>
        <w:spacing w:line="540" w:lineRule="exact"/>
        <w:rPr>
          <w:rFonts w:hint="eastAsia" w:ascii="仿宋_GB2312" w:hAnsi="华文仿宋" w:eastAsia="仿宋_GB2312"/>
          <w:color w:val="000000"/>
          <w:spacing w:val="-4"/>
          <w:sz w:val="28"/>
          <w:szCs w:val="28"/>
        </w:rPr>
      </w:pPr>
    </w:p>
    <w:p>
      <w:pPr>
        <w:spacing w:line="540" w:lineRule="exact"/>
        <w:rPr>
          <w:rFonts w:hint="eastAsia" w:ascii="仿宋_GB2312" w:hAnsi="华文仿宋" w:eastAsia="仿宋_GB2312"/>
          <w:color w:val="000000"/>
          <w:spacing w:val="-4"/>
          <w:sz w:val="28"/>
          <w:szCs w:val="28"/>
        </w:rPr>
      </w:pPr>
      <w:r>
        <w:rPr>
          <w:rFonts w:hint="eastAsia" w:ascii="仿宋_GB2312" w:hAnsi="华文仿宋" w:eastAsia="仿宋_GB2312"/>
          <w:color w:val="000000"/>
          <w:spacing w:val="-4"/>
          <w:sz w:val="28"/>
          <w:szCs w:val="28"/>
        </w:rPr>
        <w:t xml:space="preserve">              </w:t>
      </w:r>
    </w:p>
    <w:p>
      <w:pPr>
        <w:spacing w:line="540" w:lineRule="exact"/>
        <w:rPr>
          <w:rFonts w:hint="eastAsia" w:ascii="仿宋_GB2312" w:hAnsi="华文仿宋" w:eastAsia="仿宋_GB2312"/>
          <w:color w:val="000000"/>
          <w:spacing w:val="-4"/>
          <w:sz w:val="28"/>
          <w:szCs w:val="28"/>
        </w:rPr>
      </w:pPr>
      <w:r>
        <w:rPr>
          <w:rFonts w:hint="eastAsia" w:ascii="仿宋_GB2312" w:hAnsi="华文仿宋" w:eastAsia="仿宋_GB2312"/>
          <w:color w:val="000000"/>
          <w:spacing w:val="-4"/>
          <w:sz w:val="28"/>
          <w:szCs w:val="28"/>
        </w:rPr>
        <w:t xml:space="preserve">                   </w:t>
      </w:r>
      <w:r>
        <w:rPr>
          <w:rFonts w:hint="eastAsia" w:ascii="仿宋_GB2312" w:hAnsi="华文仿宋" w:eastAsia="仿宋_GB2312"/>
          <w:color w:val="000000"/>
          <w:spacing w:val="-4"/>
          <w:sz w:val="28"/>
          <w:szCs w:val="28"/>
          <w:lang w:val="en-US" w:eastAsia="zh-CN"/>
        </w:rPr>
        <w:t xml:space="preserve">          </w:t>
      </w:r>
      <w:r>
        <w:rPr>
          <w:rFonts w:hint="eastAsia" w:ascii="仿宋_GB2312" w:hAnsi="华文仿宋" w:eastAsia="仿宋_GB2312"/>
          <w:color w:val="000000"/>
          <w:spacing w:val="-4"/>
          <w:sz w:val="28"/>
          <w:szCs w:val="28"/>
        </w:rPr>
        <w:t xml:space="preserve">    </w:t>
      </w:r>
      <w:r>
        <w:rPr>
          <w:rFonts w:hint="eastAsia" w:ascii="仿宋_GB2312" w:hAnsi="华文仿宋" w:eastAsia="仿宋_GB2312"/>
          <w:color w:val="000000"/>
          <w:spacing w:val="-4"/>
          <w:sz w:val="28"/>
          <w:szCs w:val="28"/>
          <w:lang w:eastAsia="zh-CN"/>
        </w:rPr>
        <w:t>山东贵恒信房地产土地评估经纪有限公司</w:t>
      </w:r>
    </w:p>
    <w:p>
      <w:pPr>
        <w:spacing w:line="540" w:lineRule="exact"/>
        <w:ind w:firstLine="5600" w:firstLineChars="2000"/>
        <w:rPr>
          <w:rFonts w:hint="eastAsia" w:ascii="仿宋_GB2312" w:eastAsia="仿宋_GB2312"/>
          <w:color w:val="000000"/>
          <w:sz w:val="28"/>
          <w:szCs w:val="28"/>
        </w:rPr>
      </w:pPr>
      <w:bookmarkStart w:id="34" w:name="_Toc480277432"/>
      <w:bookmarkStart w:id="35" w:name="_Toc376163806"/>
      <w:r>
        <w:rPr>
          <w:rFonts w:hint="eastAsia" w:ascii="仿宋_GB2312" w:eastAsia="仿宋_GB2312"/>
          <w:color w:val="000000"/>
          <w:sz w:val="28"/>
          <w:szCs w:val="28"/>
        </w:rPr>
        <w:t xml:space="preserve"> </w:t>
      </w:r>
      <w:r>
        <w:rPr>
          <w:rFonts w:hint="eastAsia"/>
        </w:rPr>
        <w:t xml:space="preserve"> </w:t>
      </w:r>
      <w:r>
        <w:rPr>
          <w:rFonts w:hint="eastAsia" w:ascii="仿宋_GB2312" w:eastAsia="仿宋_GB2312"/>
          <w:color w:val="000000"/>
          <w:sz w:val="28"/>
          <w:szCs w:val="28"/>
          <w:lang w:eastAsia="zh-CN"/>
        </w:rPr>
        <w:t>二○一九年一月十七日</w:t>
      </w:r>
    </w:p>
    <w:p>
      <w:pPr>
        <w:spacing w:line="540" w:lineRule="exact"/>
        <w:ind w:firstLine="5600" w:firstLineChars="2000"/>
        <w:rPr>
          <w:rFonts w:hint="eastAsia" w:ascii="仿宋_GB2312" w:eastAsia="仿宋_GB2312"/>
          <w:color w:val="000000"/>
          <w:sz w:val="28"/>
          <w:szCs w:val="28"/>
        </w:rPr>
      </w:pPr>
    </w:p>
    <w:p>
      <w:pPr>
        <w:spacing w:line="540" w:lineRule="exact"/>
        <w:ind w:firstLine="5600" w:firstLineChars="2000"/>
        <w:rPr>
          <w:rFonts w:hint="eastAsia" w:ascii="仿宋_GB2312" w:eastAsia="仿宋_GB2312"/>
          <w:color w:val="000000"/>
          <w:sz w:val="28"/>
          <w:szCs w:val="28"/>
        </w:rPr>
      </w:pPr>
    </w:p>
    <w:p>
      <w:pPr>
        <w:spacing w:line="540" w:lineRule="exact"/>
        <w:ind w:firstLine="5600" w:firstLineChars="2000"/>
        <w:rPr>
          <w:rFonts w:hint="eastAsia" w:ascii="仿宋_GB2312" w:eastAsia="仿宋_GB2312"/>
          <w:color w:val="000000"/>
          <w:sz w:val="28"/>
          <w:szCs w:val="28"/>
        </w:rPr>
      </w:pPr>
    </w:p>
    <w:p>
      <w:pPr>
        <w:spacing w:line="540" w:lineRule="exact"/>
        <w:ind w:firstLine="5600" w:firstLineChars="2000"/>
        <w:rPr>
          <w:rFonts w:hint="eastAsia" w:ascii="仿宋_GB2312" w:eastAsia="仿宋_GB2312"/>
          <w:color w:val="000000"/>
          <w:sz w:val="28"/>
          <w:szCs w:val="28"/>
        </w:rPr>
      </w:pPr>
    </w:p>
    <w:p>
      <w:pPr>
        <w:spacing w:line="540" w:lineRule="exact"/>
        <w:ind w:firstLine="5600" w:firstLineChars="2000"/>
        <w:rPr>
          <w:rFonts w:hint="eastAsia" w:ascii="仿宋_GB2312" w:eastAsia="仿宋_GB2312"/>
          <w:color w:val="000000"/>
          <w:sz w:val="28"/>
          <w:szCs w:val="28"/>
        </w:rPr>
      </w:pPr>
    </w:p>
    <w:p>
      <w:pPr>
        <w:spacing w:line="540" w:lineRule="exact"/>
        <w:ind w:firstLine="5600" w:firstLineChars="2000"/>
        <w:rPr>
          <w:rFonts w:hint="eastAsia" w:ascii="仿宋_GB2312" w:eastAsia="仿宋_GB2312"/>
          <w:color w:val="000000"/>
          <w:sz w:val="28"/>
          <w:szCs w:val="28"/>
        </w:rPr>
      </w:pPr>
    </w:p>
    <w:p>
      <w:pPr>
        <w:spacing w:line="540" w:lineRule="exact"/>
        <w:ind w:firstLine="5600" w:firstLineChars="2000"/>
        <w:rPr>
          <w:rFonts w:hint="eastAsia" w:ascii="仿宋_GB2312" w:eastAsia="仿宋_GB2312"/>
          <w:color w:val="000000"/>
          <w:sz w:val="28"/>
          <w:szCs w:val="28"/>
        </w:rPr>
      </w:pPr>
    </w:p>
    <w:p>
      <w:pPr>
        <w:spacing w:line="540" w:lineRule="exact"/>
        <w:ind w:firstLine="5600" w:firstLineChars="2000"/>
        <w:rPr>
          <w:rFonts w:hint="eastAsia" w:ascii="仿宋_GB2312" w:eastAsia="仿宋_GB2312"/>
          <w:color w:val="000000"/>
          <w:sz w:val="28"/>
          <w:szCs w:val="28"/>
        </w:rPr>
      </w:pPr>
    </w:p>
    <w:p>
      <w:pPr>
        <w:spacing w:line="540" w:lineRule="exact"/>
        <w:ind w:firstLine="5600" w:firstLineChars="2000"/>
        <w:rPr>
          <w:rFonts w:hint="eastAsia" w:ascii="仿宋_GB2312" w:eastAsia="仿宋_GB2312"/>
          <w:color w:val="000000"/>
          <w:sz w:val="28"/>
          <w:szCs w:val="28"/>
        </w:rPr>
      </w:pPr>
    </w:p>
    <w:p>
      <w:pPr>
        <w:spacing w:line="540" w:lineRule="exact"/>
        <w:ind w:firstLine="5600" w:firstLineChars="2000"/>
        <w:rPr>
          <w:rFonts w:hint="eastAsia" w:ascii="仿宋_GB2312" w:eastAsia="仿宋_GB2312"/>
          <w:color w:val="000000"/>
          <w:sz w:val="28"/>
          <w:szCs w:val="28"/>
        </w:rPr>
      </w:pPr>
    </w:p>
    <w:p>
      <w:pPr>
        <w:spacing w:line="540" w:lineRule="exact"/>
        <w:ind w:firstLine="5600" w:firstLineChars="2000"/>
        <w:rPr>
          <w:rFonts w:hint="eastAsia" w:ascii="仿宋_GB2312" w:eastAsia="仿宋_GB2312"/>
          <w:color w:val="000000"/>
          <w:sz w:val="28"/>
          <w:szCs w:val="28"/>
        </w:rPr>
      </w:pPr>
    </w:p>
    <w:p>
      <w:pPr>
        <w:spacing w:line="540" w:lineRule="exact"/>
        <w:ind w:firstLine="5600" w:firstLineChars="2000"/>
        <w:rPr>
          <w:rFonts w:hint="eastAsia" w:ascii="仿宋_GB2312" w:eastAsia="仿宋_GB2312"/>
          <w:color w:val="000000"/>
          <w:sz w:val="28"/>
          <w:szCs w:val="28"/>
        </w:rPr>
      </w:pPr>
    </w:p>
    <w:p>
      <w:pPr>
        <w:spacing w:line="540" w:lineRule="exact"/>
        <w:ind w:firstLine="5600" w:firstLineChars="2000"/>
        <w:rPr>
          <w:rFonts w:hint="eastAsia" w:ascii="仿宋_GB2312" w:eastAsia="仿宋_GB2312"/>
          <w:color w:val="000000"/>
          <w:sz w:val="28"/>
          <w:szCs w:val="28"/>
        </w:rPr>
      </w:pPr>
    </w:p>
    <w:p>
      <w:pPr>
        <w:spacing w:line="540" w:lineRule="exact"/>
        <w:ind w:firstLine="5600" w:firstLineChars="2000"/>
        <w:rPr>
          <w:rFonts w:hint="eastAsia" w:ascii="仿宋_GB2312" w:eastAsia="仿宋_GB2312"/>
          <w:color w:val="000000"/>
          <w:sz w:val="28"/>
          <w:szCs w:val="28"/>
        </w:rPr>
      </w:pPr>
    </w:p>
    <w:p>
      <w:pPr>
        <w:spacing w:line="540" w:lineRule="exact"/>
        <w:ind w:firstLine="5600" w:firstLineChars="2000"/>
        <w:rPr>
          <w:rFonts w:hint="eastAsia" w:ascii="仿宋_GB2312" w:eastAsia="仿宋_GB2312"/>
          <w:color w:val="000000"/>
          <w:sz w:val="28"/>
          <w:szCs w:val="28"/>
        </w:rPr>
      </w:pPr>
    </w:p>
    <w:bookmarkEnd w:id="34"/>
    <w:bookmarkEnd w:id="35"/>
    <w:p>
      <w:pPr>
        <w:pStyle w:val="2"/>
        <w:spacing w:before="0" w:after="0" w:line="800" w:lineRule="exact"/>
        <w:jc w:val="center"/>
        <w:rPr>
          <w:rFonts w:hint="eastAsia" w:ascii="仿宋_GB2312" w:hAnsi="Arial Narrow" w:eastAsia="仿宋_GB2312"/>
          <w:bCs w:val="0"/>
          <w:sz w:val="44"/>
          <w:szCs w:val="44"/>
        </w:rPr>
      </w:pPr>
      <w:bookmarkStart w:id="36" w:name="_Toc475012529"/>
      <w:bookmarkStart w:id="37" w:name="_Toc23701"/>
      <w:r>
        <w:rPr>
          <w:rFonts w:hint="eastAsia" w:ascii="仿宋_GB2312" w:hAnsi="华文仿宋" w:eastAsia="仿宋_GB2312"/>
          <w:color w:val="000000"/>
        </w:rPr>
        <w:t xml:space="preserve">附 </w:t>
      </w:r>
      <w:r>
        <w:rPr>
          <w:rFonts w:hint="eastAsia" w:ascii="仿宋_GB2312" w:hAnsi="华文仿宋" w:eastAsia="仿宋_GB2312"/>
          <w:color w:val="000000"/>
          <w:lang w:val="en-US" w:eastAsia="zh-CN"/>
        </w:rPr>
        <w:t xml:space="preserve">      </w:t>
      </w:r>
      <w:r>
        <w:rPr>
          <w:rFonts w:hint="eastAsia" w:ascii="仿宋_GB2312" w:hAnsi="华文仿宋" w:eastAsia="仿宋_GB2312"/>
          <w:color w:val="000000"/>
        </w:rPr>
        <w:t>件</w:t>
      </w:r>
      <w:bookmarkEnd w:id="36"/>
      <w:bookmarkEnd w:id="37"/>
    </w:p>
    <w:p>
      <w:pPr>
        <w:spacing w:line="500" w:lineRule="exact"/>
        <w:jc w:val="left"/>
        <w:rPr>
          <w:rFonts w:hint="eastAsia" w:ascii="仿宋_GB2312" w:eastAsia="仿宋_GB2312" w:cs="仿宋_GB2312"/>
          <w:sz w:val="28"/>
          <w:szCs w:val="28"/>
        </w:rPr>
      </w:pPr>
      <w:r>
        <w:rPr>
          <w:rFonts w:hint="eastAsia" w:ascii="仿宋_GB2312" w:eastAsia="仿宋_GB2312" w:cs="仿宋_GB2312"/>
          <w:sz w:val="28"/>
          <w:szCs w:val="28"/>
        </w:rPr>
        <w:t>1、估价对象位置示意图及照片</w:t>
      </w:r>
    </w:p>
    <w:p>
      <w:pPr>
        <w:spacing w:line="500" w:lineRule="exact"/>
        <w:jc w:val="left"/>
        <w:rPr>
          <w:rFonts w:hint="eastAsia" w:ascii="仿宋_GB2312" w:eastAsia="仿宋_GB2312"/>
          <w:sz w:val="28"/>
        </w:rPr>
      </w:pPr>
      <w:r>
        <w:rPr>
          <w:rFonts w:hint="eastAsia" w:ascii="仿宋_GB2312" w:eastAsia="仿宋_GB2312"/>
          <w:sz w:val="28"/>
        </w:rPr>
        <w:t>2、</w:t>
      </w:r>
      <w:r>
        <w:rPr>
          <w:rFonts w:ascii="仿宋_GB2312" w:hAnsi="华文仿宋" w:eastAsia="仿宋_GB2312"/>
          <w:color w:val="000000"/>
          <w:sz w:val="28"/>
          <w:szCs w:val="28"/>
        </w:rPr>
        <w:t>《</w:t>
      </w:r>
      <w:r>
        <w:rPr>
          <w:rFonts w:hint="eastAsia" w:ascii="仿宋_GB2312" w:hAnsi="华文仿宋" w:eastAsia="仿宋_GB2312"/>
          <w:color w:val="000000"/>
          <w:sz w:val="28"/>
          <w:szCs w:val="28"/>
          <w:lang w:eastAsia="zh-CN"/>
        </w:rPr>
        <w:t>贵州省兴义市人民法院评估委托书</w:t>
      </w:r>
      <w:r>
        <w:rPr>
          <w:rFonts w:ascii="仿宋_GB2312" w:hAnsi="华文仿宋" w:eastAsia="仿宋_GB2312"/>
          <w:color w:val="000000"/>
          <w:sz w:val="28"/>
          <w:szCs w:val="28"/>
        </w:rPr>
        <w:t>》</w:t>
      </w:r>
      <w:r>
        <w:rPr>
          <w:rFonts w:hint="eastAsia" w:ascii="仿宋_GB2312" w:eastAsia="仿宋_GB2312"/>
          <w:sz w:val="28"/>
        </w:rPr>
        <w:t>复印件</w:t>
      </w:r>
    </w:p>
    <w:p>
      <w:pPr>
        <w:spacing w:line="500" w:lineRule="exact"/>
        <w:jc w:val="left"/>
        <w:rPr>
          <w:rFonts w:hint="eastAsia" w:ascii="仿宋_GB2312" w:eastAsia="仿宋_GB2312" w:cs="仿宋_GB2312"/>
          <w:color w:val="000000"/>
          <w:sz w:val="28"/>
          <w:szCs w:val="28"/>
        </w:rPr>
      </w:pPr>
      <w:r>
        <w:rPr>
          <w:rFonts w:hint="eastAsia" w:ascii="仿宋_GB2312" w:eastAsia="仿宋_GB2312"/>
          <w:sz w:val="28"/>
        </w:rPr>
        <w:t>3</w:t>
      </w:r>
      <w:r>
        <w:rPr>
          <w:rFonts w:hint="eastAsia" w:ascii="仿宋_GB2312" w:eastAsia="仿宋_GB2312" w:cs="仿宋_GB2312"/>
          <w:sz w:val="28"/>
          <w:szCs w:val="28"/>
        </w:rPr>
        <w:t>、产权资料复印件及估价委托人提供的其他资料复印件</w:t>
      </w:r>
    </w:p>
    <w:p>
      <w:pPr>
        <w:spacing w:line="500" w:lineRule="exact"/>
        <w:jc w:val="left"/>
        <w:rPr>
          <w:rFonts w:hint="eastAsia" w:ascii="仿宋_GB2312" w:eastAsia="仿宋_GB2312" w:cs="仿宋_GB2312"/>
          <w:sz w:val="28"/>
          <w:szCs w:val="28"/>
        </w:rPr>
      </w:pPr>
      <w:r>
        <w:rPr>
          <w:rFonts w:hint="eastAsia" w:ascii="仿宋_GB2312" w:eastAsia="仿宋_GB2312" w:cs="仿宋_GB2312"/>
          <w:sz w:val="28"/>
          <w:szCs w:val="28"/>
        </w:rPr>
        <w:t>4、评估机构资质证书复印件</w:t>
      </w:r>
    </w:p>
    <w:p>
      <w:pPr>
        <w:spacing w:line="500" w:lineRule="exact"/>
        <w:jc w:val="left"/>
        <w:rPr>
          <w:rFonts w:hint="eastAsia" w:ascii="仿宋_GB2312" w:eastAsia="仿宋_GB2312" w:cs="仿宋_GB2312"/>
          <w:sz w:val="28"/>
          <w:szCs w:val="28"/>
        </w:rPr>
      </w:pPr>
      <w:r>
        <w:rPr>
          <w:rFonts w:hint="eastAsia" w:ascii="仿宋_GB2312" w:eastAsia="仿宋_GB2312" w:cs="仿宋_GB2312"/>
          <w:sz w:val="28"/>
          <w:szCs w:val="28"/>
        </w:rPr>
        <w:t>5、评估机构营业执照复印件</w:t>
      </w:r>
    </w:p>
    <w:p>
      <w:pPr>
        <w:spacing w:line="500" w:lineRule="exact"/>
        <w:jc w:val="left"/>
        <w:rPr>
          <w:rFonts w:hint="eastAsia" w:ascii="仿宋_GB2312" w:eastAsia="仿宋_GB2312" w:cs="仿宋_GB2312"/>
          <w:sz w:val="28"/>
          <w:szCs w:val="28"/>
        </w:rPr>
      </w:pPr>
      <w:r>
        <w:rPr>
          <w:rFonts w:hint="eastAsia" w:ascii="仿宋_GB2312" w:eastAsia="仿宋_GB2312" w:cs="仿宋_GB2312"/>
          <w:sz w:val="28"/>
          <w:szCs w:val="28"/>
        </w:rPr>
        <w:t>6、估价人员资格证书复印件</w:t>
      </w:r>
    </w:p>
    <w:p>
      <w:pPr>
        <w:spacing w:line="500" w:lineRule="exact"/>
        <w:rPr>
          <w:rFonts w:hint="eastAsia" w:ascii="仿宋_GB2312" w:eastAsia="仿宋_GB2312" w:cs="仿宋_GB2312"/>
          <w:sz w:val="28"/>
          <w:szCs w:val="28"/>
        </w:rPr>
      </w:pPr>
    </w:p>
    <w:p>
      <w:pPr>
        <w:ind w:firstLine="560" w:firstLineChars="200"/>
        <w:rPr>
          <w:rFonts w:hint="eastAsia" w:ascii="仿宋_GB2312" w:eastAsia="仿宋_GB2312"/>
          <w:color w:val="000000"/>
          <w:sz w:val="28"/>
          <w:szCs w:val="28"/>
        </w:rPr>
      </w:pPr>
    </w:p>
    <w:p>
      <w:pPr>
        <w:ind w:firstLine="560" w:firstLineChars="200"/>
        <w:rPr>
          <w:rFonts w:hint="eastAsia" w:ascii="仿宋_GB2312" w:eastAsia="仿宋_GB2312"/>
          <w:color w:val="000000"/>
          <w:sz w:val="28"/>
          <w:szCs w:val="28"/>
        </w:rPr>
      </w:pPr>
    </w:p>
    <w:p>
      <w:pPr>
        <w:ind w:firstLine="560" w:firstLineChars="200"/>
        <w:rPr>
          <w:rFonts w:hint="eastAsia" w:ascii="仿宋_GB2312" w:eastAsia="仿宋_GB2312"/>
          <w:color w:val="000000"/>
          <w:sz w:val="28"/>
          <w:szCs w:val="28"/>
        </w:rPr>
      </w:pPr>
    </w:p>
    <w:p>
      <w:pPr>
        <w:ind w:firstLine="560" w:firstLineChars="200"/>
        <w:rPr>
          <w:rFonts w:hint="eastAsia" w:ascii="仿宋_GB2312" w:eastAsia="仿宋_GB2312"/>
          <w:color w:val="000000"/>
          <w:sz w:val="28"/>
          <w:szCs w:val="28"/>
        </w:rPr>
      </w:pPr>
    </w:p>
    <w:p>
      <w:pPr>
        <w:ind w:firstLine="560" w:firstLineChars="200"/>
        <w:rPr>
          <w:rFonts w:hint="eastAsia" w:ascii="仿宋_GB2312" w:eastAsia="仿宋_GB2312"/>
          <w:color w:val="000000"/>
          <w:sz w:val="28"/>
          <w:szCs w:val="28"/>
        </w:rPr>
      </w:pPr>
    </w:p>
    <w:p>
      <w:pPr>
        <w:ind w:firstLine="560" w:firstLineChars="200"/>
        <w:rPr>
          <w:rFonts w:hint="eastAsia" w:ascii="仿宋_GB2312" w:eastAsia="仿宋_GB2312"/>
          <w:color w:val="000000"/>
          <w:sz w:val="28"/>
          <w:szCs w:val="28"/>
        </w:rPr>
      </w:pPr>
    </w:p>
    <w:p>
      <w:pPr>
        <w:ind w:firstLine="560" w:firstLineChars="200"/>
        <w:rPr>
          <w:rFonts w:hint="eastAsia" w:ascii="仿宋_GB2312" w:eastAsia="仿宋_GB2312"/>
          <w:color w:val="000000"/>
          <w:sz w:val="28"/>
          <w:szCs w:val="28"/>
        </w:rPr>
      </w:pPr>
    </w:p>
    <w:p>
      <w:pPr>
        <w:ind w:firstLine="883" w:firstLineChars="200"/>
        <w:rPr>
          <w:rFonts w:hint="eastAsia" w:ascii="仿宋_GB2312" w:eastAsia="仿宋_GB2312"/>
          <w:b/>
          <w:sz w:val="44"/>
          <w:szCs w:val="44"/>
        </w:rPr>
      </w:pPr>
    </w:p>
    <w:p>
      <w:pPr>
        <w:ind w:firstLine="883" w:firstLineChars="200"/>
        <w:rPr>
          <w:rFonts w:hint="eastAsia" w:ascii="仿宋_GB2312" w:eastAsia="仿宋_GB2312"/>
          <w:b/>
          <w:sz w:val="44"/>
          <w:szCs w:val="44"/>
        </w:rPr>
      </w:pPr>
    </w:p>
    <w:p>
      <w:pPr>
        <w:ind w:firstLine="883" w:firstLineChars="200"/>
        <w:rPr>
          <w:rFonts w:hint="eastAsia" w:ascii="仿宋_GB2312" w:eastAsia="仿宋_GB2312"/>
          <w:b/>
          <w:sz w:val="44"/>
          <w:szCs w:val="44"/>
        </w:rPr>
      </w:pPr>
    </w:p>
    <w:p>
      <w:pPr>
        <w:ind w:firstLine="883" w:firstLineChars="200"/>
        <w:rPr>
          <w:rFonts w:hint="eastAsia" w:ascii="仿宋_GB2312" w:eastAsia="仿宋_GB2312"/>
          <w:b/>
          <w:sz w:val="44"/>
          <w:szCs w:val="44"/>
        </w:rPr>
      </w:pPr>
    </w:p>
    <w:p>
      <w:pPr>
        <w:ind w:firstLine="883" w:firstLineChars="200"/>
        <w:rPr>
          <w:rFonts w:hint="eastAsia" w:ascii="仿宋_GB2312" w:eastAsia="仿宋_GB2312"/>
          <w:b/>
          <w:sz w:val="44"/>
          <w:szCs w:val="44"/>
        </w:rPr>
      </w:pPr>
    </w:p>
    <w:p>
      <w:pPr>
        <w:ind w:firstLine="883" w:firstLineChars="200"/>
        <w:rPr>
          <w:rFonts w:hint="eastAsia" w:ascii="仿宋_GB2312" w:eastAsia="仿宋_GB2312"/>
          <w:b/>
          <w:sz w:val="44"/>
          <w:szCs w:val="44"/>
        </w:rPr>
      </w:pPr>
    </w:p>
    <w:p>
      <w:pPr>
        <w:ind w:firstLine="883" w:firstLineChars="200"/>
        <w:rPr>
          <w:rFonts w:hint="eastAsia" w:ascii="仿宋_GB2312" w:eastAsia="仿宋_GB2312"/>
          <w:b/>
          <w:sz w:val="44"/>
          <w:szCs w:val="44"/>
        </w:rPr>
      </w:pPr>
    </w:p>
    <w:p>
      <w:pPr>
        <w:jc w:val="both"/>
        <w:rPr>
          <w:rFonts w:hint="eastAsia" w:ascii="仿宋_GB2312" w:eastAsia="仿宋_GB2312"/>
          <w:b/>
          <w:sz w:val="44"/>
          <w:szCs w:val="44"/>
        </w:rPr>
      </w:pPr>
    </w:p>
    <w:p>
      <w:pPr>
        <w:jc w:val="center"/>
        <w:rPr>
          <w:rFonts w:hint="eastAsia"/>
          <w:b/>
          <w:szCs w:val="21"/>
        </w:rPr>
        <w:sectPr>
          <w:footerReference r:id="rId8" w:type="first"/>
          <w:footerReference r:id="rId7" w:type="default"/>
          <w:pgSz w:w="11906" w:h="16838"/>
          <w:pgMar w:top="1532" w:right="1274" w:bottom="993" w:left="1276" w:header="993" w:footer="857" w:gutter="0"/>
          <w:pgBorders>
            <w:top w:val="none" w:sz="0" w:space="0"/>
            <w:left w:val="none" w:sz="0" w:space="0"/>
            <w:bottom w:val="none" w:sz="0" w:space="0"/>
            <w:right w:val="none" w:sz="0" w:space="0"/>
          </w:pgBorders>
          <w:pgNumType w:fmt="decimal" w:start="1"/>
          <w:cols w:space="720" w:num="1"/>
          <w:titlePg/>
          <w:docGrid w:type="lines" w:linePitch="312" w:charSpace="0"/>
        </w:sectPr>
      </w:pPr>
    </w:p>
    <w:tbl>
      <w:tblPr>
        <w:tblStyle w:val="13"/>
        <w:tblW w:w="9282"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694"/>
        <w:gridCol w:w="458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9282" w:type="dxa"/>
            <w:gridSpan w:val="2"/>
            <w:vAlign w:val="center"/>
          </w:tcPr>
          <w:p>
            <w:pPr>
              <w:jc w:val="center"/>
              <w:rPr>
                <w:rFonts w:hint="eastAsia"/>
                <w:b/>
                <w:szCs w:val="21"/>
              </w:rPr>
            </w:pPr>
            <w:r>
              <w:rPr>
                <w:rFonts w:hint="eastAsia"/>
                <w:b/>
                <w:szCs w:val="21"/>
              </w:rPr>
              <w:t>估价对象位置示意图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9282" w:type="dxa"/>
            <w:gridSpan w:val="2"/>
            <w:vAlign w:val="center"/>
          </w:tcPr>
          <w:p>
            <w:pPr>
              <w:jc w:val="center"/>
              <w:rPr>
                <w:rFonts w:hint="eastAsia"/>
                <w:sz w:val="28"/>
                <w:szCs w:val="28"/>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1600835</wp:posOffset>
                      </wp:positionH>
                      <wp:positionV relativeFrom="paragraph">
                        <wp:posOffset>1741170</wp:posOffset>
                      </wp:positionV>
                      <wp:extent cx="267970" cy="233045"/>
                      <wp:effectExtent l="0" t="0" r="17780" b="14605"/>
                      <wp:wrapNone/>
                      <wp:docPr id="10" name="椭圆 2"/>
                      <wp:cNvGraphicFramePr/>
                      <a:graphic xmlns:a="http://schemas.openxmlformats.org/drawingml/2006/main">
                        <a:graphicData uri="http://schemas.microsoft.com/office/word/2010/wordprocessingShape">
                          <wps:wsp>
                            <wps:cNvSpPr/>
                            <wps:spPr>
                              <a:xfrm>
                                <a:off x="0" y="0"/>
                                <a:ext cx="267970" cy="233045"/>
                              </a:xfrm>
                              <a:prstGeom prst="ellipse">
                                <a:avLst/>
                              </a:prstGeom>
                              <a:solidFill>
                                <a:srgbClr val="FF0000"/>
                              </a:solidFill>
                              <a:ln w="15875">
                                <a:noFill/>
                              </a:ln>
                            </wps:spPr>
                            <wps:bodyPr upright="1"/>
                          </wps:wsp>
                        </a:graphicData>
                      </a:graphic>
                    </wp:anchor>
                  </w:drawing>
                </mc:Choice>
                <mc:Fallback>
                  <w:pict>
                    <v:shape id="椭圆 2" o:spid="_x0000_s1026" o:spt="3" type="#_x0000_t3" style="position:absolute;left:0pt;margin-left:126.05pt;margin-top:137.1pt;height:18.35pt;width:21.1pt;z-index:251658240;mso-width-relative:page;mso-height-relative:page;" fillcolor="#FF0000" filled="t" stroked="f" coordsize="21600,21600" o:gfxdata="UEsDBAoAAAAAAIdO4kAAAAAAAAAAAAAAAAAEAAAAZHJzL1BLAwQUAAAACACHTuJA6A14fdsAAAAL&#10;AQAADwAAAGRycy9kb3ducmV2LnhtbE2Py07DMBBF90j8gzVI7Kgdp4U0xKkoKKqEuqGwYOnaJomI&#10;H7LdB3/PsCq7Gc3RnXOb1dlO5GhiGr0TUMwYEOOU16PrBXy8d3cVkJSl03Lyzgj4MQlW7fVVI2vt&#10;T+7NHHe5JxjiUi0FDDmHmtKkBmNlmvlgHN6+fLQy4xp7qqM8YbidKGfsnlo5OvwwyGCeB6O+dwcr&#10;oFps1VO3/QzxpeqUDXZdvm7WQtzeFOwRSDbnfIHhTx/VoUWnvT84ncgkgC94gSgOD3MOBAm+nJdA&#10;9gLKgi2Btg3936H9BVBLAwQUAAAACACHTuJAOFUzBaEBAAAeAwAADgAAAGRycy9lMm9Eb2MueG1s&#10;rZJLbtswEIb3BXoHgvtashLHqWA5iwTOpmgDpD0ATZESAb4ww1j2BXqKLrvtsdpzdEi7Th+7IlpQ&#10;HM7o0/z/cHWzd5btFKAJvuPzWc2Z8jL0xg8d//Rx8+aaM0zC98IGrzp+UMhv1q9frabYqiaMwfYK&#10;GEE8tlPs+JhSbKsK5aicwFmIylNSB3AiUQhD1YOYiO5s1dT1VTUF6CMEqRDp9O6Y5OvC11rJ9EFr&#10;VInZjlNvqaxQ1m1eq/VKtAOIOBp5akP8RxdOGE8/PaPuRBLsCcw/KGckBAw6zWRwVdDaSFU0kJp5&#10;/Zeax1FEVbSQORjPNuHLYeX73QMw09PsyB4vHM3ox9dv3798Zk02Z4rYUs1jfIBThLTNSvcaXH6T&#10;BrYvhh7Ohqp9YpIOm6vl2yVxJaWai4v6cpGZ1fPHETDdq+BY3nRcWWsiZsmiFbt3mI7Vv6ryMQZr&#10;+o2xtgQwbG8tsJ2g8W42NT2nH/xRZj2bSODierkoaB8y4Mi2nhrKKo+68m4b+gOZ8hTBDCN1NS/M&#10;nKEhlPZPFyZP+fe4kJ6v9f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6A14fdsAAAALAQAADwAA&#10;AAAAAAABACAAAAAiAAAAZHJzL2Rvd25yZXYueG1sUEsBAhQAFAAAAAgAh07iQDhVMwWhAQAAHgMA&#10;AA4AAAAAAAAAAQAgAAAAKgEAAGRycy9lMm9Eb2MueG1sUEsFBgAAAAAGAAYAWQEAAD0FAAAAAA==&#10;">
                      <v:fill on="t" focussize="0,0"/>
                      <v:stroke on="f" weight="1.25pt"/>
                      <v:imagedata o:title=""/>
                      <o:lock v:ext="edit" aspectratio="f"/>
                    </v:shape>
                  </w:pict>
                </mc:Fallback>
              </mc:AlternateContent>
            </w:r>
            <w:r>
              <w:rPr>
                <w:rFonts w:hint="eastAsia" w:ascii="仿宋_GB2312" w:eastAsia="仿宋_GB2312"/>
                <w:b/>
                <w:sz w:val="44"/>
                <w:szCs w:val="44"/>
              </w:rPr>
              <mc:AlternateContent>
                <mc:Choice Requires="wps">
                  <w:drawing>
                    <wp:anchor distT="0" distB="0" distL="114300" distR="114300" simplePos="0" relativeHeight="251659264" behindDoc="0" locked="0" layoutInCell="1" allowOverlap="1">
                      <wp:simplePos x="0" y="0"/>
                      <wp:positionH relativeFrom="column">
                        <wp:posOffset>1692275</wp:posOffset>
                      </wp:positionH>
                      <wp:positionV relativeFrom="paragraph">
                        <wp:posOffset>650875</wp:posOffset>
                      </wp:positionV>
                      <wp:extent cx="1266190" cy="314325"/>
                      <wp:effectExtent l="7620" t="7620" r="21590" b="973455"/>
                      <wp:wrapNone/>
                      <wp:docPr id="11" name="自选图形 3"/>
                      <wp:cNvGraphicFramePr/>
                      <a:graphic xmlns:a="http://schemas.openxmlformats.org/drawingml/2006/main">
                        <a:graphicData uri="http://schemas.microsoft.com/office/word/2010/wordprocessingShape">
                          <wps:wsp>
                            <wps:cNvSpPr/>
                            <wps:spPr>
                              <a:xfrm>
                                <a:off x="0" y="0"/>
                                <a:ext cx="1266190" cy="314325"/>
                              </a:xfrm>
                              <a:prstGeom prst="wedgeRoundRectCallout">
                                <a:avLst>
                                  <a:gd name="adj1" fmla="val -42326"/>
                                  <a:gd name="adj2" fmla="val 339090"/>
                                  <a:gd name="adj3" fmla="val 16667"/>
                                </a:avLst>
                              </a:prstGeom>
                              <a:noFill/>
                              <a:ln w="15875" cap="flat" cmpd="sng">
                                <a:solidFill>
                                  <a:srgbClr val="739CC3"/>
                                </a:solidFill>
                                <a:prstDash val="solid"/>
                                <a:miter/>
                                <a:headEnd type="none" w="med" len="med"/>
                                <a:tailEnd type="none" w="med" len="med"/>
                              </a:ln>
                            </wps:spPr>
                            <wps:txbx>
                              <w:txbxContent>
                                <w:p>
                                  <w:pPr>
                                    <w:rPr>
                                      <w:sz w:val="18"/>
                                      <w:szCs w:val="18"/>
                                    </w:rPr>
                                  </w:pPr>
                                  <w:r>
                                    <w:rPr>
                                      <w:rFonts w:hint="eastAsia"/>
                                      <w:sz w:val="18"/>
                                      <w:szCs w:val="18"/>
                                    </w:rPr>
                                    <w:t>估价对象</w:t>
                                  </w:r>
                                  <w:r>
                                    <w:rPr>
                                      <w:rFonts w:hint="eastAsia"/>
                                      <w:sz w:val="18"/>
                                      <w:szCs w:val="18"/>
                                      <w:lang w:eastAsia="zh-CN"/>
                                    </w:rPr>
                                    <w:t>所处位置</w:t>
                                  </w:r>
                                </w:p>
                              </w:txbxContent>
                            </wps:txbx>
                            <wps:bodyPr upright="1"/>
                          </wps:wsp>
                        </a:graphicData>
                      </a:graphic>
                    </wp:anchor>
                  </w:drawing>
                </mc:Choice>
                <mc:Fallback>
                  <w:pict>
                    <v:shape id="自选图形 3" o:spid="_x0000_s1026" o:spt="62" type="#_x0000_t62" style="position:absolute;left:0pt;margin-left:133.25pt;margin-top:51.25pt;height:24.75pt;width:99.7pt;z-index:251659264;mso-width-relative:page;mso-height-relative:page;" filled="f" stroked="t" coordsize="21600,21600" o:gfxdata="UEsDBAoAAAAAAIdO4kAAAAAAAAAAAAAAAAAEAAAAZHJzL1BLAwQUAAAACACHTuJA8sO4edcAAAAL&#10;AQAADwAAAGRycy9kb3ducmV2LnhtbE2PwU7DMBBE70j8g7VIXBC1G5E0hDg9IAHiSOgHbGMTp8Tr&#10;KHab9u9ZTnDb3RnNvqm3Zz+Kk53jEEjDeqVAWOqCGajXsPt8uS9BxIRkcAxkNVxshG1zfVVjZcJC&#10;H/bUpl5wCMUKNbiUpkrK2DnrMa7CZIm1rzB7TLzOvTQzLhzuR5kpVUiPA/EHh5N9drb7bo9ew135&#10;1l7KwzJseveqDoSz371vtL69WasnEMme058ZfvEZHRpm2ocjmShGDVlR5GxlQWU8sOOhyB9B7PmS&#10;ZwpkU8v/HZofUEsDBBQAAAAIAIdO4kD9yMUQLgIAAEIEAAAOAAAAZHJzL2Uyb0RvYy54bWytU02O&#10;0zAU3iNxB8v7aZpkmk6jprNoGTYIRjNwADd2EiP/yXabdMcOcQZ2LLkD3GYkuAXPbugU2CDExnmO&#10;n7/3ve/zW14PUqA9s45rVeF0MsWIqVpTrtoKv3l9c3GFkfNEUSK0YhU+MIevV0+fLHtTskx3WlBm&#10;EYAoV/amwp33pkwSV3dMEjfRhik4bLSVxMPWtgm1pAd0KZJsOi2SXltqrK6Zc/B3czzEq4jfNKz2&#10;r5rGMY9EhYGbj6uN6zasyWpJytYS0/F6pEH+gYUkXEHRE9SGeIJ2lv8BJXlttdONn9RaJrppeM1i&#10;D9BNOv2tm/uOGBZ7AXGcOcnk/h9s/XJ/axGn4F2KkSISPPr2/vP3dx8ePn59+PIJ5UGi3rgSMu/N&#10;rR13DsLQ79BYGb7QCRqirIeTrGzwqIafaVYU6QLUr+EsTy/zbBZAk8fbxjr/nGmJQlDhntGW3emd&#10;ondg4JoIoXc+ykv2L5yPOtORLKFvgXgjBdi2JwJdXGZ5Voy+niVl50l5vpgCoaP5Z0n5eVJaFMV8&#10;JDrWBco/qQYSSt9wISKKUKiHTmdX8xn0SeAlN4J4CKUBbZ1qI32nBafhTrjtbLtdC4uAdYXn+WK9&#10;jlpDjV/SQsENcd0xLx4diUvumY3FO0boM0WRPxiwT8Gg4cBGMoqRYDCXIYqZnnDxN5lAQiiwKBh/&#10;tDpEftgOABPCraYHeDg7Y3nbgWVpFCqcwEON3o5DFSbhfB9BH0d/9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yw7h51wAAAAsBAAAPAAAAAAAAAAEAIAAAACIAAABkcnMvZG93bnJldi54bWxQSwEC&#10;FAAUAAAACACHTuJA/cjFEC4CAABCBAAADgAAAAAAAAABACAAAAAmAQAAZHJzL2Uyb0RvYy54bWxQ&#10;SwUGAAAAAAYABgBZAQAAxgUAAAAA&#10;" adj="1658,84043,14400">
                      <v:fill on="f" focussize="0,0"/>
                      <v:stroke weight="1.25pt" color="#739CC3" joinstyle="miter"/>
                      <v:imagedata o:title=""/>
                      <o:lock v:ext="edit" aspectratio="f"/>
                      <v:textbox>
                        <w:txbxContent>
                          <w:p>
                            <w:pPr>
                              <w:rPr>
                                <w:sz w:val="18"/>
                                <w:szCs w:val="18"/>
                              </w:rPr>
                            </w:pPr>
                            <w:r>
                              <w:rPr>
                                <w:rFonts w:hint="eastAsia"/>
                                <w:sz w:val="18"/>
                                <w:szCs w:val="18"/>
                              </w:rPr>
                              <w:t>估价对象</w:t>
                            </w:r>
                            <w:r>
                              <w:rPr>
                                <w:rFonts w:hint="eastAsia"/>
                                <w:sz w:val="18"/>
                                <w:szCs w:val="18"/>
                                <w:lang w:eastAsia="zh-CN"/>
                              </w:rPr>
                              <w:t>所处位置</w:t>
                            </w:r>
                          </w:p>
                        </w:txbxContent>
                      </v:textbox>
                    </v:shape>
                  </w:pict>
                </mc:Fallback>
              </mc:AlternateContent>
            </w:r>
            <w:r>
              <w:rPr>
                <w:rFonts w:hAnsi="宋体"/>
                <w:sz w:val="24"/>
                <w:szCs w:val="24"/>
              </w:rPr>
              <w:drawing>
                <wp:inline distT="0" distB="0" distL="114300" distR="114300">
                  <wp:extent cx="4930140" cy="3431540"/>
                  <wp:effectExtent l="0" t="0" r="3810" b="16510"/>
                  <wp:docPr id="5" name="图片 2" descr="C:\Users\Administrator\Desktop\360截图20190117175157291.jpg360截图20190117175157291"/>
                  <wp:cNvGraphicFramePr/>
                  <a:graphic xmlns:a="http://schemas.openxmlformats.org/drawingml/2006/main">
                    <a:graphicData uri="http://schemas.openxmlformats.org/drawingml/2006/picture">
                      <pic:pic xmlns:pic="http://schemas.openxmlformats.org/drawingml/2006/picture">
                        <pic:nvPicPr>
                          <pic:cNvPr id="5" name="图片 2" descr="C:\Users\Administrator\Desktop\360截图20190117175157291.jpg360截图20190117175157291"/>
                          <pic:cNvPicPr/>
                        </pic:nvPicPr>
                        <pic:blipFill>
                          <a:blip r:embed="rId13"/>
                          <a:srcRect/>
                          <a:stretch>
                            <a:fillRect/>
                          </a:stretch>
                        </pic:blipFill>
                        <pic:spPr>
                          <a:xfrm>
                            <a:off x="0" y="0"/>
                            <a:ext cx="4930140" cy="343154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7" w:hRule="atLeast"/>
          <w:jc w:val="center"/>
        </w:trPr>
        <w:tc>
          <w:tcPr>
            <w:tcW w:w="4694" w:type="dxa"/>
            <w:vAlign w:val="center"/>
          </w:tcPr>
          <w:p>
            <w:pPr>
              <w:jc w:val="center"/>
              <w:rPr>
                <w:rFonts w:hint="eastAsia"/>
                <w:b/>
                <w:szCs w:val="21"/>
              </w:rPr>
            </w:pPr>
            <w:r>
              <w:rPr>
                <w:rFonts w:hint="eastAsia"/>
                <w:b/>
                <w:szCs w:val="21"/>
              </w:rPr>
              <w:t>估价对象</w:t>
            </w:r>
            <w:r>
              <w:rPr>
                <w:rFonts w:hint="eastAsia"/>
                <w:b/>
                <w:szCs w:val="21"/>
                <w:lang w:eastAsia="zh-CN"/>
              </w:rPr>
              <w:t>外观图</w:t>
            </w:r>
          </w:p>
        </w:tc>
        <w:tc>
          <w:tcPr>
            <w:tcW w:w="4588" w:type="dxa"/>
            <w:vAlign w:val="center"/>
          </w:tcPr>
          <w:p>
            <w:pPr>
              <w:jc w:val="center"/>
              <w:rPr>
                <w:rFonts w:hint="eastAsia"/>
                <w:b/>
                <w:szCs w:val="21"/>
              </w:rPr>
            </w:pPr>
            <w:r>
              <w:rPr>
                <w:rFonts w:hint="eastAsia"/>
                <w:b/>
                <w:szCs w:val="21"/>
              </w:rPr>
              <w:t>估价对象</w:t>
            </w:r>
            <w:r>
              <w:rPr>
                <w:rFonts w:hint="eastAsia"/>
                <w:b/>
                <w:szCs w:val="21"/>
                <w:lang w:eastAsia="zh-CN"/>
              </w:rPr>
              <w:t>外观图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59" w:hRule="atLeast"/>
          <w:jc w:val="center"/>
        </w:trPr>
        <w:tc>
          <w:tcPr>
            <w:tcW w:w="4694" w:type="dxa"/>
            <w:vAlign w:val="center"/>
          </w:tcPr>
          <w:p>
            <w:pPr>
              <w:jc w:val="center"/>
              <w:rPr>
                <w:rFonts w:hint="eastAsia"/>
                <w:sz w:val="28"/>
                <w:szCs w:val="28"/>
              </w:rPr>
            </w:pPr>
            <w:r>
              <w:rPr>
                <w:rFonts w:hint="eastAsia"/>
                <w:sz w:val="28"/>
                <w:szCs w:val="28"/>
              </w:rPr>
              <w:drawing>
                <wp:inline distT="0" distB="0" distL="114300" distR="114300">
                  <wp:extent cx="1813560" cy="4053205"/>
                  <wp:effectExtent l="0" t="0" r="15240" b="4445"/>
                  <wp:docPr id="13" name="图片 3" descr="C:\Users\Administrator\Desktop\兴义法院\三和新城小区\微信图片_20190110141634.jpg微信图片_20190110141634"/>
                  <wp:cNvGraphicFramePr/>
                  <a:graphic xmlns:a="http://schemas.openxmlformats.org/drawingml/2006/main">
                    <a:graphicData uri="http://schemas.openxmlformats.org/drawingml/2006/picture">
                      <pic:pic xmlns:pic="http://schemas.openxmlformats.org/drawingml/2006/picture">
                        <pic:nvPicPr>
                          <pic:cNvPr id="13" name="图片 3" descr="C:\Users\Administrator\Desktop\兴义法院\三和新城小区\微信图片_20190110141634.jpg微信图片_20190110141634"/>
                          <pic:cNvPicPr/>
                        </pic:nvPicPr>
                        <pic:blipFill>
                          <a:blip r:embed="rId14"/>
                          <a:srcRect/>
                          <a:stretch>
                            <a:fillRect/>
                          </a:stretch>
                        </pic:blipFill>
                        <pic:spPr>
                          <a:xfrm>
                            <a:off x="0" y="0"/>
                            <a:ext cx="1813560" cy="4053205"/>
                          </a:xfrm>
                          <a:prstGeom prst="rect">
                            <a:avLst/>
                          </a:prstGeom>
                          <a:noFill/>
                          <a:ln w="9525">
                            <a:noFill/>
                          </a:ln>
                        </pic:spPr>
                      </pic:pic>
                    </a:graphicData>
                  </a:graphic>
                </wp:inline>
              </w:drawing>
            </w:r>
          </w:p>
        </w:tc>
        <w:tc>
          <w:tcPr>
            <w:tcW w:w="4588" w:type="dxa"/>
            <w:vAlign w:val="center"/>
          </w:tcPr>
          <w:p>
            <w:pPr>
              <w:jc w:val="center"/>
              <w:rPr>
                <w:rFonts w:hint="eastAsia"/>
                <w:sz w:val="28"/>
                <w:szCs w:val="28"/>
              </w:rPr>
            </w:pPr>
            <w:r>
              <w:rPr>
                <w:rFonts w:hint="eastAsia"/>
                <w:sz w:val="28"/>
                <w:szCs w:val="28"/>
              </w:rPr>
              <w:drawing>
                <wp:inline distT="0" distB="0" distL="114300" distR="114300">
                  <wp:extent cx="2141220" cy="3739515"/>
                  <wp:effectExtent l="0" t="0" r="11430" b="13335"/>
                  <wp:docPr id="15" name="图片 4" descr="C:\Users\Administrator\Desktop\兴义法院\三和新城小区\微信图片_20190110141645.jpg微信图片_20190110141645"/>
                  <wp:cNvGraphicFramePr/>
                  <a:graphic xmlns:a="http://schemas.openxmlformats.org/drawingml/2006/main">
                    <a:graphicData uri="http://schemas.openxmlformats.org/drawingml/2006/picture">
                      <pic:pic xmlns:pic="http://schemas.openxmlformats.org/drawingml/2006/picture">
                        <pic:nvPicPr>
                          <pic:cNvPr id="15" name="图片 4" descr="C:\Users\Administrator\Desktop\兴义法院\三和新城小区\微信图片_20190110141645.jpg微信图片_20190110141645"/>
                          <pic:cNvPicPr/>
                        </pic:nvPicPr>
                        <pic:blipFill>
                          <a:blip r:embed="rId15"/>
                          <a:srcRect/>
                          <a:stretch>
                            <a:fillRect/>
                          </a:stretch>
                        </pic:blipFill>
                        <pic:spPr>
                          <a:xfrm>
                            <a:off x="0" y="0"/>
                            <a:ext cx="2141220" cy="3739515"/>
                          </a:xfrm>
                          <a:prstGeom prst="rect">
                            <a:avLst/>
                          </a:prstGeom>
                          <a:noFill/>
                          <a:ln w="9525">
                            <a:noFill/>
                          </a:ln>
                        </pic:spPr>
                      </pic:pic>
                    </a:graphicData>
                  </a:graphic>
                </wp:inline>
              </w:drawing>
            </w:r>
          </w:p>
        </w:tc>
      </w:tr>
    </w:tbl>
    <w:p>
      <w:pPr>
        <w:tabs>
          <w:tab w:val="left" w:pos="630"/>
        </w:tabs>
        <w:snapToGrid w:val="0"/>
        <w:spacing w:line="480" w:lineRule="auto"/>
        <w:rPr>
          <w:rFonts w:hint="eastAsia" w:ascii="仿宋" w:hAnsi="仿宋" w:eastAsia="仿宋" w:cs="仿宋"/>
          <w:sz w:val="24"/>
        </w:rPr>
      </w:pPr>
    </w:p>
    <w:tbl>
      <w:tblPr>
        <w:tblStyle w:val="13"/>
        <w:tblW w:w="9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9"/>
        <w:gridCol w:w="4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4829" w:type="dxa"/>
            <w:tcBorders>
              <w:tl2br w:val="nil"/>
              <w:tr2bl w:val="nil"/>
            </w:tcBorders>
            <w:noWrap w:val="0"/>
            <w:vAlign w:val="center"/>
          </w:tcPr>
          <w:p>
            <w:pPr>
              <w:jc w:val="center"/>
              <w:rPr>
                <w:rFonts w:hint="eastAsia" w:ascii="仿宋" w:hAnsi="仿宋" w:eastAsia="仿宋" w:cs="仿宋"/>
                <w:b/>
                <w:szCs w:val="21"/>
              </w:rPr>
            </w:pPr>
            <w:r>
              <w:rPr>
                <w:rFonts w:hint="eastAsia" w:ascii="仿宋" w:hAnsi="仿宋" w:eastAsia="仿宋" w:cs="仿宋"/>
                <w:b/>
                <w:szCs w:val="21"/>
              </w:rPr>
              <w:t>估价对象</w:t>
            </w:r>
            <w:r>
              <w:rPr>
                <w:rFonts w:hint="eastAsia" w:ascii="仿宋" w:hAnsi="仿宋" w:eastAsia="仿宋" w:cs="仿宋"/>
                <w:b/>
                <w:szCs w:val="21"/>
                <w:lang w:eastAsia="zh-CN"/>
              </w:rPr>
              <w:t>入户门</w:t>
            </w:r>
          </w:p>
        </w:tc>
        <w:tc>
          <w:tcPr>
            <w:tcW w:w="4331" w:type="dxa"/>
            <w:tcBorders>
              <w:tl2br w:val="nil"/>
              <w:tr2bl w:val="nil"/>
            </w:tcBorders>
            <w:noWrap w:val="0"/>
            <w:vAlign w:val="center"/>
          </w:tcPr>
          <w:p>
            <w:pPr>
              <w:jc w:val="center"/>
              <w:rPr>
                <w:rFonts w:hint="eastAsia" w:ascii="仿宋" w:hAnsi="仿宋" w:eastAsia="仿宋" w:cs="仿宋"/>
                <w:b/>
                <w:szCs w:val="21"/>
              </w:rPr>
            </w:pPr>
            <w:r>
              <w:rPr>
                <w:rFonts w:hint="eastAsia" w:ascii="仿宋" w:hAnsi="仿宋" w:eastAsia="仿宋" w:cs="仿宋"/>
                <w:b/>
                <w:szCs w:val="21"/>
              </w:rPr>
              <w:t>估价对象</w:t>
            </w:r>
            <w:r>
              <w:rPr>
                <w:rFonts w:hint="eastAsia" w:ascii="仿宋" w:hAnsi="仿宋" w:eastAsia="仿宋" w:cs="仿宋"/>
                <w:b/>
                <w:szCs w:val="21"/>
                <w:lang w:eastAsia="zh-CN"/>
              </w:rPr>
              <w:t>入户门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3" w:hRule="atLeast"/>
          <w:jc w:val="center"/>
        </w:trPr>
        <w:tc>
          <w:tcPr>
            <w:tcW w:w="4829" w:type="dxa"/>
            <w:tcBorders>
              <w:tl2br w:val="nil"/>
              <w:tr2bl w:val="nil"/>
            </w:tcBorders>
            <w:noWrap w:val="0"/>
            <w:vAlign w:val="center"/>
          </w:tcPr>
          <w:p>
            <w:pPr>
              <w:jc w:val="center"/>
              <w:rPr>
                <w:rFonts w:hint="eastAsia" w:ascii="仿宋" w:hAnsi="仿宋" w:eastAsia="仿宋" w:cs="仿宋"/>
                <w:b/>
                <w:szCs w:val="21"/>
              </w:rPr>
            </w:pPr>
            <w:r>
              <w:rPr>
                <w:rFonts w:hint="eastAsia" w:ascii="仿宋" w:hAnsi="仿宋" w:eastAsia="仿宋" w:cs="仿宋"/>
                <w:sz w:val="28"/>
                <w:szCs w:val="28"/>
              </w:rPr>
              <w:drawing>
                <wp:inline distT="0" distB="0" distL="114300" distR="114300">
                  <wp:extent cx="1911985" cy="2536825"/>
                  <wp:effectExtent l="0" t="0" r="12065" b="15875"/>
                  <wp:docPr id="4" name="图片 1" descr="C:\Users\Administrator\Desktop\兴义法院\三和新城小区\微信图片_20190110141649.jpg微信图片_2019011014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Administrator\Desktop\兴义法院\三和新城小区\微信图片_20190110141649.jpg微信图片_20190110141649"/>
                          <pic:cNvPicPr>
                            <a:picLocks noChangeAspect="1"/>
                          </pic:cNvPicPr>
                        </pic:nvPicPr>
                        <pic:blipFill>
                          <a:blip r:embed="rId16"/>
                          <a:srcRect/>
                          <a:stretch>
                            <a:fillRect/>
                          </a:stretch>
                        </pic:blipFill>
                        <pic:spPr>
                          <a:xfrm>
                            <a:off x="0" y="0"/>
                            <a:ext cx="1911985" cy="2536825"/>
                          </a:xfrm>
                          <a:prstGeom prst="rect">
                            <a:avLst/>
                          </a:prstGeom>
                          <a:noFill/>
                          <a:ln w="9525">
                            <a:noFill/>
                          </a:ln>
                        </pic:spPr>
                      </pic:pic>
                    </a:graphicData>
                  </a:graphic>
                </wp:inline>
              </w:drawing>
            </w:r>
          </w:p>
        </w:tc>
        <w:tc>
          <w:tcPr>
            <w:tcW w:w="4331" w:type="dxa"/>
            <w:tcBorders>
              <w:tl2br w:val="nil"/>
              <w:tr2bl w:val="nil"/>
            </w:tcBorders>
            <w:noWrap w:val="0"/>
            <w:vAlign w:val="center"/>
          </w:tcPr>
          <w:p>
            <w:pPr>
              <w:jc w:val="center"/>
              <w:rPr>
                <w:rFonts w:hint="eastAsia" w:ascii="仿宋" w:hAnsi="仿宋" w:eastAsia="仿宋" w:cs="仿宋"/>
                <w:b/>
                <w:szCs w:val="21"/>
              </w:rPr>
            </w:pPr>
            <w:r>
              <w:rPr>
                <w:rFonts w:hint="eastAsia" w:ascii="仿宋" w:hAnsi="仿宋" w:eastAsia="仿宋" w:cs="仿宋"/>
                <w:sz w:val="28"/>
                <w:szCs w:val="28"/>
              </w:rPr>
              <w:drawing>
                <wp:inline distT="0" distB="0" distL="114300" distR="114300">
                  <wp:extent cx="1993265" cy="2586990"/>
                  <wp:effectExtent l="0" t="0" r="6985" b="3810"/>
                  <wp:docPr id="6" name="图片 2" descr="C:\Users\Administrator\Desktop\兴义法院\三和新城小区\微信图片_20190110141657.jpg微信图片_2019011014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C:\Users\Administrator\Desktop\兴义法院\三和新城小区\微信图片_20190110141657.jpg微信图片_20190110141657"/>
                          <pic:cNvPicPr>
                            <a:picLocks noChangeAspect="1"/>
                          </pic:cNvPicPr>
                        </pic:nvPicPr>
                        <pic:blipFill>
                          <a:blip r:embed="rId17"/>
                          <a:srcRect/>
                          <a:stretch>
                            <a:fillRect/>
                          </a:stretch>
                        </pic:blipFill>
                        <pic:spPr>
                          <a:xfrm>
                            <a:off x="0" y="0"/>
                            <a:ext cx="1993265" cy="258699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9160" w:type="dxa"/>
            <w:gridSpan w:val="2"/>
            <w:tcBorders>
              <w:tl2br w:val="nil"/>
              <w:tr2bl w:val="nil"/>
            </w:tcBorders>
            <w:noWrap w:val="0"/>
            <w:vAlign w:val="center"/>
          </w:tcPr>
          <w:p>
            <w:pPr>
              <w:jc w:val="center"/>
              <w:rPr>
                <w:rFonts w:hint="eastAsia"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4829" w:type="dxa"/>
            <w:tcBorders>
              <w:tl2br w:val="nil"/>
              <w:tr2bl w:val="nil"/>
            </w:tcBorders>
            <w:noWrap w:val="0"/>
            <w:vAlign w:val="center"/>
          </w:tcPr>
          <w:p>
            <w:pPr>
              <w:jc w:val="center"/>
              <w:rPr>
                <w:rFonts w:hint="eastAsia" w:ascii="仿宋" w:hAnsi="仿宋" w:eastAsia="仿宋" w:cs="仿宋"/>
                <w:sz w:val="28"/>
                <w:szCs w:val="28"/>
              </w:rPr>
            </w:pPr>
            <w:r>
              <w:rPr>
                <w:rFonts w:hint="eastAsia" w:ascii="仿宋" w:hAnsi="仿宋" w:eastAsia="仿宋" w:cs="仿宋"/>
                <w:b/>
                <w:szCs w:val="21"/>
              </w:rPr>
              <w:t>估价对象</w:t>
            </w:r>
            <w:r>
              <w:rPr>
                <w:rFonts w:hint="eastAsia" w:ascii="仿宋" w:hAnsi="仿宋" w:eastAsia="仿宋" w:cs="仿宋"/>
                <w:b/>
                <w:szCs w:val="21"/>
                <w:lang w:eastAsia="zh-CN"/>
              </w:rPr>
              <w:t>入户门</w:t>
            </w:r>
          </w:p>
        </w:tc>
        <w:tc>
          <w:tcPr>
            <w:tcW w:w="4331" w:type="dxa"/>
            <w:tcBorders>
              <w:tl2br w:val="nil"/>
              <w:tr2bl w:val="nil"/>
            </w:tcBorders>
            <w:noWrap w:val="0"/>
            <w:vAlign w:val="center"/>
          </w:tcPr>
          <w:p>
            <w:pPr>
              <w:jc w:val="center"/>
              <w:rPr>
                <w:rFonts w:hint="eastAsia" w:ascii="仿宋" w:hAnsi="仿宋" w:eastAsia="仿宋" w:cs="仿宋"/>
                <w:sz w:val="28"/>
                <w:szCs w:val="28"/>
              </w:rPr>
            </w:pPr>
            <w:r>
              <w:rPr>
                <w:rFonts w:hint="eastAsia" w:ascii="仿宋" w:hAnsi="仿宋" w:eastAsia="仿宋" w:cs="仿宋"/>
                <w:b/>
                <w:szCs w:val="21"/>
              </w:rPr>
              <w:t>估价对象</w:t>
            </w:r>
            <w:r>
              <w:rPr>
                <w:rFonts w:hint="eastAsia" w:ascii="仿宋" w:hAnsi="仿宋" w:eastAsia="仿宋" w:cs="仿宋"/>
                <w:b/>
                <w:szCs w:val="21"/>
                <w:lang w:eastAsia="zh-CN"/>
              </w:rPr>
              <w:t>入户门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0" w:hRule="atLeast"/>
          <w:jc w:val="center"/>
        </w:trPr>
        <w:tc>
          <w:tcPr>
            <w:tcW w:w="4829" w:type="dxa"/>
            <w:tcBorders>
              <w:tl2br w:val="nil"/>
              <w:tr2bl w:val="nil"/>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drawing>
                <wp:inline distT="0" distB="0" distL="114300" distR="114300">
                  <wp:extent cx="1930400" cy="2494915"/>
                  <wp:effectExtent l="0" t="0" r="12700" b="635"/>
                  <wp:docPr id="7" name="图片 3" descr="C:\Users\Administrator\Desktop\兴义法院\三和新城小区\微信图片_20190110141653.jpg微信图片_2019011014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C:\Users\Administrator\Desktop\兴义法院\三和新城小区\微信图片_20190110141653.jpg微信图片_20190110141653"/>
                          <pic:cNvPicPr>
                            <a:picLocks noChangeAspect="1"/>
                          </pic:cNvPicPr>
                        </pic:nvPicPr>
                        <pic:blipFill>
                          <a:blip r:embed="rId18"/>
                          <a:srcRect/>
                          <a:stretch>
                            <a:fillRect/>
                          </a:stretch>
                        </pic:blipFill>
                        <pic:spPr>
                          <a:xfrm>
                            <a:off x="0" y="0"/>
                            <a:ext cx="1930400" cy="2494915"/>
                          </a:xfrm>
                          <a:prstGeom prst="rect">
                            <a:avLst/>
                          </a:prstGeom>
                          <a:noFill/>
                          <a:ln w="9525">
                            <a:noFill/>
                          </a:ln>
                        </pic:spPr>
                      </pic:pic>
                    </a:graphicData>
                  </a:graphic>
                </wp:inline>
              </w:drawing>
            </w:r>
          </w:p>
        </w:tc>
        <w:tc>
          <w:tcPr>
            <w:tcW w:w="4331" w:type="dxa"/>
            <w:tcBorders>
              <w:tl2br w:val="nil"/>
              <w:tr2bl w:val="nil"/>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drawing>
                <wp:inline distT="0" distB="0" distL="114300" distR="114300">
                  <wp:extent cx="2044065" cy="2397125"/>
                  <wp:effectExtent l="0" t="0" r="13335" b="3175"/>
                  <wp:docPr id="8" name="图片 4" descr="C:\Users\Administrator\Desktop\兴义法院\三和新城小区\微信图片_20190110141649.jpg微信图片_2019011014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C:\Users\Administrator\Desktop\兴义法院\三和新城小区\微信图片_20190110141649.jpg微信图片_20190110141649"/>
                          <pic:cNvPicPr>
                            <a:picLocks noChangeAspect="1"/>
                          </pic:cNvPicPr>
                        </pic:nvPicPr>
                        <pic:blipFill>
                          <a:blip r:embed="rId16"/>
                          <a:srcRect/>
                          <a:stretch>
                            <a:fillRect/>
                          </a:stretch>
                        </pic:blipFill>
                        <pic:spPr>
                          <a:xfrm>
                            <a:off x="0" y="0"/>
                            <a:ext cx="2044065" cy="2397125"/>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9160" w:type="dxa"/>
            <w:gridSpan w:val="2"/>
            <w:tcBorders>
              <w:tl2br w:val="nil"/>
              <w:tr2bl w:val="nil"/>
            </w:tcBorders>
            <w:noWrap w:val="0"/>
            <w:vAlign w:val="center"/>
          </w:tcPr>
          <w:p>
            <w:pPr>
              <w:jc w:val="center"/>
              <w:rPr>
                <w:rFonts w:hint="eastAsia" w:ascii="仿宋" w:hAnsi="仿宋" w:eastAsia="仿宋" w:cs="仿宋"/>
                <w:b/>
                <w:szCs w:val="21"/>
              </w:rPr>
            </w:pPr>
          </w:p>
        </w:tc>
      </w:tr>
    </w:tbl>
    <w:p>
      <w:pPr>
        <w:tabs>
          <w:tab w:val="left" w:pos="630"/>
        </w:tabs>
        <w:snapToGrid w:val="0"/>
        <w:spacing w:line="480" w:lineRule="auto"/>
        <w:rPr>
          <w:sz w:val="24"/>
        </w:rPr>
      </w:pPr>
    </w:p>
    <w:p>
      <w:pPr>
        <w:tabs>
          <w:tab w:val="left" w:pos="630"/>
        </w:tabs>
        <w:snapToGrid w:val="0"/>
        <w:spacing w:line="480" w:lineRule="auto"/>
        <w:rPr>
          <w:sz w:val="24"/>
        </w:rPr>
      </w:pPr>
    </w:p>
    <w:p>
      <w:pPr>
        <w:tabs>
          <w:tab w:val="left" w:pos="815"/>
        </w:tabs>
        <w:jc w:val="left"/>
        <w:rPr>
          <w:lang w:val="en-US" w:eastAsia="zh-CN"/>
        </w:rPr>
      </w:pPr>
      <w:bookmarkStart w:id="38" w:name="_GoBack"/>
      <w:bookmarkEnd w:id="38"/>
    </w:p>
    <w:sectPr>
      <w:footerReference r:id="rId10" w:type="first"/>
      <w:footerReference r:id="rId9" w:type="default"/>
      <w:pgSz w:w="11906" w:h="16838"/>
      <w:pgMar w:top="1532" w:right="1274" w:bottom="993" w:left="1276" w:header="993" w:footer="857" w:gutter="0"/>
      <w:pgBorders>
        <w:top w:val="none" w:sz="0" w:space="0"/>
        <w:left w:val="none" w:sz="0" w:space="0"/>
        <w:bottom w:val="none" w:sz="0" w:space="0"/>
        <w:right w:val="none" w:sz="0" w:space="0"/>
      </w:pgBorders>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ouble" w:color="auto" w:sz="4" w:space="0"/>
      </w:pBdr>
      <w:rPr>
        <w:rFonts w:hint="eastAsia"/>
        <w:lang w:val="en-US" w:eastAsia="zh-CN"/>
      </w:rPr>
    </w:pPr>
  </w:p>
  <w:p>
    <w:pPr>
      <w:pStyle w:val="8"/>
      <w:rPr>
        <w:rFonts w:hint="eastAsia"/>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ouble" w:color="auto" w:sz="4" w:space="0"/>
      </w:pBdr>
      <w:rPr>
        <w:rFonts w:hint="eastAsia"/>
        <w:lang w:val="en-US" w:eastAsia="zh-CN"/>
      </w:rPr>
    </w:pPr>
  </w:p>
  <w:p>
    <w:pPr>
      <w:pStyle w:val="8"/>
      <w:rPr>
        <w:rFonts w:hint="eastAsia"/>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ouble" w:color="auto" w:sz="4" w:space="0"/>
      </w:pBdr>
      <w:rPr>
        <w:rFonts w:hint="eastAsia"/>
        <w:lang w:val="en-US" w:eastAsia="zh-CN"/>
      </w:rPr>
    </w:pPr>
    <w:r>
      <w:rPr>
        <w:sz w:val="21"/>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p>
  <w:p>
    <w:pPr>
      <w:pStyle w:val="8"/>
      <w:rPr>
        <w:rFonts w:hint="eastAsia"/>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ouble" w:color="auto" w:sz="4" w:space="0"/>
      </w:pBdr>
      <w:rPr>
        <w:rFonts w:hint="eastAsia"/>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p>
    <w:pPr>
      <w:pStyle w:val="8"/>
      <w:rPr>
        <w:rFonts w:hint="eastAsia"/>
        <w:lang w:val="en-US"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ouble" w:color="auto" w:sz="4" w:space="0"/>
      </w:pBdr>
      <w:rPr>
        <w:rFonts w:hint="eastAsia"/>
        <w:lang w:val="en-US" w:eastAsia="zh-CN"/>
      </w:rPr>
    </w:pPr>
  </w:p>
  <w:p>
    <w:pPr>
      <w:pStyle w:val="8"/>
      <w:rPr>
        <w:rFonts w:hint="eastAsia"/>
        <w:lang w:val="en-US" w:eastAsia="zh-C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ouble" w:color="auto" w:sz="4" w:space="0"/>
      </w:pBdr>
      <w:rPr>
        <w:rFonts w:hint="eastAsia"/>
        <w:lang w:val="en-US" w:eastAsia="zh-CN"/>
      </w:rPr>
    </w:pPr>
  </w:p>
  <w:p>
    <w:pPr>
      <w:pStyle w:val="8"/>
      <w:rPr>
        <w:rFonts w:hint="eastAsia"/>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double" w:color="auto" w:sz="8" w:space="1"/>
      </w:pBdr>
      <w:tabs>
        <w:tab w:val="right" w:pos="9356"/>
        <w:tab w:val="clear" w:pos="4153"/>
        <w:tab w:val="clear" w:pos="8306"/>
      </w:tabs>
      <w:jc w:val="both"/>
      <w:rPr>
        <w:rFonts w:hint="eastAsia"/>
        <w:lang w:val="en-US" w:eastAsia="zh-CN"/>
      </w:rPr>
    </w:pPr>
    <w:r>
      <w:rPr>
        <w:rFonts w:hint="eastAsia"/>
        <w:lang w:eastAsia="zh-CN"/>
      </w:rPr>
      <w:t>山东贵恒信房地产土地评估经纪有限公司</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【房地产估价报告】</w:t>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double" w:color="auto" w:sz="8" w:space="1"/>
      </w:pBdr>
      <w:tabs>
        <w:tab w:val="right" w:pos="9356"/>
        <w:tab w:val="clear" w:pos="4153"/>
        <w:tab w:val="clear" w:pos="8306"/>
      </w:tabs>
      <w:jc w:val="both"/>
      <w:rPr>
        <w:rFonts w:hint="eastAsia"/>
        <w:lang w:val="en-US" w:eastAsia="zh-CN"/>
      </w:rPr>
    </w:pPr>
    <w:r>
      <w:rPr>
        <w:rFonts w:hint="eastAsia"/>
        <w:lang w:eastAsia="zh-CN"/>
      </w:rPr>
      <w:t>山东贵恒信房地产土地评估经纪有限公司</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【房地产估价报告】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477EE"/>
    <w:multiLevelType w:val="singleLevel"/>
    <w:tmpl w:val="58D477EE"/>
    <w:lvl w:ilvl="0" w:tentative="0">
      <w:start w:val="2"/>
      <w:numFmt w:val="chineseCounting"/>
      <w:suff w:val="nothing"/>
      <w:lvlText w:val="%1、"/>
      <w:lvlJc w:val="left"/>
    </w:lvl>
  </w:abstractNum>
  <w:abstractNum w:abstractNumId="1">
    <w:nsid w:val="5927A3E4"/>
    <w:multiLevelType w:val="singleLevel"/>
    <w:tmpl w:val="5927A3E4"/>
    <w:lvl w:ilvl="0" w:tentative="0">
      <w:start w:val="4"/>
      <w:numFmt w:val="chineseCounting"/>
      <w:suff w:val="nothing"/>
      <w:lvlText w:val="(%1)"/>
      <w:lvlJc w:val="left"/>
    </w:lvl>
  </w:abstractNum>
  <w:abstractNum w:abstractNumId="2">
    <w:nsid w:val="593665C2"/>
    <w:multiLevelType w:val="singleLevel"/>
    <w:tmpl w:val="593665C2"/>
    <w:lvl w:ilvl="0" w:tentative="0">
      <w:start w:val="1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FA3C09"/>
    <w:rsid w:val="000419B1"/>
    <w:rsid w:val="015D4A3D"/>
    <w:rsid w:val="02A14144"/>
    <w:rsid w:val="02BC113C"/>
    <w:rsid w:val="03465C05"/>
    <w:rsid w:val="036E1350"/>
    <w:rsid w:val="03EA4A86"/>
    <w:rsid w:val="04057131"/>
    <w:rsid w:val="048D3F4C"/>
    <w:rsid w:val="062F217F"/>
    <w:rsid w:val="079775CE"/>
    <w:rsid w:val="082F5032"/>
    <w:rsid w:val="08714C7E"/>
    <w:rsid w:val="08DB463B"/>
    <w:rsid w:val="099C3110"/>
    <w:rsid w:val="09F53793"/>
    <w:rsid w:val="0A0232ED"/>
    <w:rsid w:val="0A354D35"/>
    <w:rsid w:val="0A6A0BBF"/>
    <w:rsid w:val="0A724898"/>
    <w:rsid w:val="0A791A62"/>
    <w:rsid w:val="0AD34FC5"/>
    <w:rsid w:val="0B9B1E2D"/>
    <w:rsid w:val="0CC7381A"/>
    <w:rsid w:val="0D010999"/>
    <w:rsid w:val="0DB248F4"/>
    <w:rsid w:val="0DF438BB"/>
    <w:rsid w:val="0F69302D"/>
    <w:rsid w:val="0FFD527D"/>
    <w:rsid w:val="10FE57AA"/>
    <w:rsid w:val="11254F76"/>
    <w:rsid w:val="134C3C9B"/>
    <w:rsid w:val="139625A7"/>
    <w:rsid w:val="14765BE4"/>
    <w:rsid w:val="14A46A0F"/>
    <w:rsid w:val="166B2CEE"/>
    <w:rsid w:val="17FD509B"/>
    <w:rsid w:val="19410786"/>
    <w:rsid w:val="19481E9C"/>
    <w:rsid w:val="1A600BDE"/>
    <w:rsid w:val="1A767E31"/>
    <w:rsid w:val="1B30181D"/>
    <w:rsid w:val="1B302CC3"/>
    <w:rsid w:val="1B460140"/>
    <w:rsid w:val="1D6D5B8E"/>
    <w:rsid w:val="1D863F4B"/>
    <w:rsid w:val="1E844E46"/>
    <w:rsid w:val="1E8C2011"/>
    <w:rsid w:val="1EAE6C94"/>
    <w:rsid w:val="1F5B47A3"/>
    <w:rsid w:val="20DD48BF"/>
    <w:rsid w:val="212060BF"/>
    <w:rsid w:val="21F44B4F"/>
    <w:rsid w:val="22877332"/>
    <w:rsid w:val="23A6395B"/>
    <w:rsid w:val="23B1266F"/>
    <w:rsid w:val="23F37C63"/>
    <w:rsid w:val="244B6190"/>
    <w:rsid w:val="2457781F"/>
    <w:rsid w:val="24A640C8"/>
    <w:rsid w:val="24AB6E30"/>
    <w:rsid w:val="259D32CF"/>
    <w:rsid w:val="26190C86"/>
    <w:rsid w:val="266D0E23"/>
    <w:rsid w:val="26903B15"/>
    <w:rsid w:val="26CF7C06"/>
    <w:rsid w:val="26DC34EA"/>
    <w:rsid w:val="28080390"/>
    <w:rsid w:val="29474694"/>
    <w:rsid w:val="299975C3"/>
    <w:rsid w:val="299B312D"/>
    <w:rsid w:val="29C13D9B"/>
    <w:rsid w:val="29F8787C"/>
    <w:rsid w:val="2A1C7134"/>
    <w:rsid w:val="2AA9083A"/>
    <w:rsid w:val="2AD37E9F"/>
    <w:rsid w:val="2B88190A"/>
    <w:rsid w:val="2B9F4F28"/>
    <w:rsid w:val="2BBF6BEF"/>
    <w:rsid w:val="2C096308"/>
    <w:rsid w:val="2C9376D6"/>
    <w:rsid w:val="2D6631E4"/>
    <w:rsid w:val="2FBE3BA0"/>
    <w:rsid w:val="2FC336CF"/>
    <w:rsid w:val="301A01E4"/>
    <w:rsid w:val="30CF35AC"/>
    <w:rsid w:val="3110249D"/>
    <w:rsid w:val="313707C8"/>
    <w:rsid w:val="31F8118C"/>
    <w:rsid w:val="32D6047E"/>
    <w:rsid w:val="330B7C8C"/>
    <w:rsid w:val="33342C5D"/>
    <w:rsid w:val="336A0449"/>
    <w:rsid w:val="345A24BF"/>
    <w:rsid w:val="34A4741C"/>
    <w:rsid w:val="356A2E12"/>
    <w:rsid w:val="35CD3F0A"/>
    <w:rsid w:val="35CF46DA"/>
    <w:rsid w:val="35FC4938"/>
    <w:rsid w:val="3649595B"/>
    <w:rsid w:val="370F6744"/>
    <w:rsid w:val="371E4BDF"/>
    <w:rsid w:val="376A4E52"/>
    <w:rsid w:val="37B215B9"/>
    <w:rsid w:val="380F2A06"/>
    <w:rsid w:val="38FE5713"/>
    <w:rsid w:val="39816A6D"/>
    <w:rsid w:val="39AD78A1"/>
    <w:rsid w:val="3ABC7BC8"/>
    <w:rsid w:val="3ADF2692"/>
    <w:rsid w:val="3B5B2F8C"/>
    <w:rsid w:val="3BB117CE"/>
    <w:rsid w:val="3C13572A"/>
    <w:rsid w:val="3C7E365A"/>
    <w:rsid w:val="3CA61A29"/>
    <w:rsid w:val="3E504D2B"/>
    <w:rsid w:val="3E6868BC"/>
    <w:rsid w:val="3E9860BA"/>
    <w:rsid w:val="3FE50A7E"/>
    <w:rsid w:val="4042512A"/>
    <w:rsid w:val="40705951"/>
    <w:rsid w:val="40F71AC1"/>
    <w:rsid w:val="416F6AED"/>
    <w:rsid w:val="42782822"/>
    <w:rsid w:val="42F74752"/>
    <w:rsid w:val="430D5851"/>
    <w:rsid w:val="43132A83"/>
    <w:rsid w:val="432809BA"/>
    <w:rsid w:val="43547E3F"/>
    <w:rsid w:val="4415153D"/>
    <w:rsid w:val="44CD4B7C"/>
    <w:rsid w:val="460D5645"/>
    <w:rsid w:val="46A25508"/>
    <w:rsid w:val="46B328FF"/>
    <w:rsid w:val="46FB05B7"/>
    <w:rsid w:val="48005F98"/>
    <w:rsid w:val="48747F0F"/>
    <w:rsid w:val="48EB2085"/>
    <w:rsid w:val="48F15446"/>
    <w:rsid w:val="495472CC"/>
    <w:rsid w:val="496D50F0"/>
    <w:rsid w:val="49E958E5"/>
    <w:rsid w:val="4A8A622E"/>
    <w:rsid w:val="4ABC1A74"/>
    <w:rsid w:val="4B0D47B3"/>
    <w:rsid w:val="4B6B35DC"/>
    <w:rsid w:val="4CB856E4"/>
    <w:rsid w:val="4D882B4B"/>
    <w:rsid w:val="4E322456"/>
    <w:rsid w:val="4E58448B"/>
    <w:rsid w:val="4EE823E1"/>
    <w:rsid w:val="4F1E4769"/>
    <w:rsid w:val="4FC11B25"/>
    <w:rsid w:val="50480C5C"/>
    <w:rsid w:val="505C4E76"/>
    <w:rsid w:val="516E763D"/>
    <w:rsid w:val="51811FA0"/>
    <w:rsid w:val="52B61959"/>
    <w:rsid w:val="52D17DB3"/>
    <w:rsid w:val="52D52EF0"/>
    <w:rsid w:val="5399587B"/>
    <w:rsid w:val="53B200DA"/>
    <w:rsid w:val="53DB44F1"/>
    <w:rsid w:val="53EE7BDE"/>
    <w:rsid w:val="543D6B7A"/>
    <w:rsid w:val="545B2F02"/>
    <w:rsid w:val="55566DAC"/>
    <w:rsid w:val="557635D1"/>
    <w:rsid w:val="56391EEA"/>
    <w:rsid w:val="567C30CF"/>
    <w:rsid w:val="57241472"/>
    <w:rsid w:val="5853798B"/>
    <w:rsid w:val="593214D3"/>
    <w:rsid w:val="598D162D"/>
    <w:rsid w:val="59A21FDC"/>
    <w:rsid w:val="59E87318"/>
    <w:rsid w:val="5A363D58"/>
    <w:rsid w:val="5A4B1DB3"/>
    <w:rsid w:val="5BA76591"/>
    <w:rsid w:val="5D0D367F"/>
    <w:rsid w:val="5D7909D0"/>
    <w:rsid w:val="5DF13B7F"/>
    <w:rsid w:val="5ECB3971"/>
    <w:rsid w:val="5ED26B42"/>
    <w:rsid w:val="5FD22CD3"/>
    <w:rsid w:val="5FDA0FA6"/>
    <w:rsid w:val="60424806"/>
    <w:rsid w:val="609A0DBB"/>
    <w:rsid w:val="616807F6"/>
    <w:rsid w:val="6184175E"/>
    <w:rsid w:val="61A75FDC"/>
    <w:rsid w:val="62AA6D88"/>
    <w:rsid w:val="630D0D54"/>
    <w:rsid w:val="63697B98"/>
    <w:rsid w:val="63A91A8B"/>
    <w:rsid w:val="6448659D"/>
    <w:rsid w:val="648B4A9F"/>
    <w:rsid w:val="66CC1900"/>
    <w:rsid w:val="678025DF"/>
    <w:rsid w:val="67EE1FFD"/>
    <w:rsid w:val="68912076"/>
    <w:rsid w:val="68B37FCF"/>
    <w:rsid w:val="69BE5037"/>
    <w:rsid w:val="69E61974"/>
    <w:rsid w:val="6AA9329A"/>
    <w:rsid w:val="6AE46A67"/>
    <w:rsid w:val="6B075F4F"/>
    <w:rsid w:val="6C8510AD"/>
    <w:rsid w:val="6CC020D4"/>
    <w:rsid w:val="6D045B04"/>
    <w:rsid w:val="6D8B2A9A"/>
    <w:rsid w:val="6EF22741"/>
    <w:rsid w:val="6F3C4DA6"/>
    <w:rsid w:val="6F814224"/>
    <w:rsid w:val="6F816F46"/>
    <w:rsid w:val="70441D8B"/>
    <w:rsid w:val="705B39D2"/>
    <w:rsid w:val="70980596"/>
    <w:rsid w:val="70FA3AC5"/>
    <w:rsid w:val="718263D6"/>
    <w:rsid w:val="71941C0E"/>
    <w:rsid w:val="71AA0CFE"/>
    <w:rsid w:val="72C53AF9"/>
    <w:rsid w:val="732830E7"/>
    <w:rsid w:val="743178CB"/>
    <w:rsid w:val="750A6892"/>
    <w:rsid w:val="755407A6"/>
    <w:rsid w:val="764C4FEF"/>
    <w:rsid w:val="770E6D49"/>
    <w:rsid w:val="77ED45DF"/>
    <w:rsid w:val="7888546A"/>
    <w:rsid w:val="7895076B"/>
    <w:rsid w:val="78C4140F"/>
    <w:rsid w:val="791D4774"/>
    <w:rsid w:val="79C63F21"/>
    <w:rsid w:val="7A0226D5"/>
    <w:rsid w:val="7A100D12"/>
    <w:rsid w:val="7A235AAC"/>
    <w:rsid w:val="7A553EB5"/>
    <w:rsid w:val="7A6F4723"/>
    <w:rsid w:val="7AD3384B"/>
    <w:rsid w:val="7BEC43DD"/>
    <w:rsid w:val="7C146CAC"/>
    <w:rsid w:val="7C2F2648"/>
    <w:rsid w:val="7D0D2E98"/>
    <w:rsid w:val="7D2D56B5"/>
    <w:rsid w:val="7DA779AA"/>
    <w:rsid w:val="7DB03913"/>
    <w:rsid w:val="7DEC1C83"/>
    <w:rsid w:val="7F4932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unhideWhenUsed/>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14">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rPr>
      <w:sz w:val="28"/>
    </w:rPr>
  </w:style>
  <w:style w:type="paragraph" w:styleId="6">
    <w:name w:val="Body Text Indent"/>
    <w:basedOn w:val="1"/>
    <w:qFormat/>
    <w:uiPriority w:val="0"/>
    <w:pPr>
      <w:spacing w:line="360" w:lineRule="auto"/>
      <w:ind w:firstLine="426"/>
    </w:pPr>
    <w:rPr>
      <w:rFonts w:eastAsia="楷体_GB2312"/>
      <w:sz w:val="28"/>
    </w:rPr>
  </w:style>
  <w:style w:type="paragraph" w:styleId="7">
    <w:name w:val="Plain Text"/>
    <w:basedOn w:val="1"/>
    <w:qFormat/>
    <w:uiPriority w:val="0"/>
    <w:pPr>
      <w:widowControl w:val="0"/>
      <w:jc w:val="both"/>
    </w:pPr>
    <w:rPr>
      <w:rFonts w:ascii="宋体" w:hAnsi="Courier New"/>
      <w:kern w:val="2"/>
      <w:sz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toc 1"/>
    <w:basedOn w:val="1"/>
    <w:next w:val="1"/>
    <w:qFormat/>
    <w:uiPriority w:val="0"/>
    <w:pPr>
      <w:tabs>
        <w:tab w:val="right" w:leader="dot" w:pos="9765"/>
      </w:tabs>
      <w:spacing w:before="120" w:beforeLines="0" w:after="120" w:afterLines="0" w:line="400" w:lineRule="exact"/>
      <w:jc w:val="left"/>
    </w:pPr>
    <w:rPr>
      <w:b/>
      <w:bCs/>
      <w:caps/>
      <w:sz w:val="20"/>
    </w:rPr>
  </w:style>
  <w:style w:type="paragraph" w:styleId="11">
    <w:name w:val="Body Text Indent 3"/>
    <w:basedOn w:val="1"/>
    <w:qFormat/>
    <w:uiPriority w:val="0"/>
    <w:pPr>
      <w:spacing w:after="120" w:afterLines="0"/>
      <w:ind w:left="420" w:leftChars="200"/>
    </w:pPr>
    <w:rPr>
      <w:sz w:val="16"/>
      <w:szCs w:val="16"/>
    </w:rPr>
  </w:style>
  <w:style w:type="paragraph" w:styleId="12">
    <w:name w:val="toc 2"/>
    <w:basedOn w:val="1"/>
    <w:next w:val="1"/>
    <w:qFormat/>
    <w:uiPriority w:val="0"/>
    <w:pPr>
      <w:tabs>
        <w:tab w:val="right" w:leader="dot" w:pos="9765"/>
      </w:tabs>
      <w:spacing w:line="400" w:lineRule="exact"/>
      <w:jc w:val="left"/>
    </w:pPr>
    <w:rPr>
      <w:smallCaps/>
      <w:sz w:val="20"/>
    </w:rPr>
  </w:style>
  <w:style w:type="character" w:styleId="15">
    <w:name w:val="Hyperlink"/>
    <w:basedOn w:val="14"/>
    <w:qFormat/>
    <w:uiPriority w:val="0"/>
    <w:rPr>
      <w:color w:val="333333"/>
      <w:u w:val="none"/>
    </w:rPr>
  </w:style>
  <w:style w:type="paragraph" w:customStyle="1" w:styleId="16">
    <w:name w:val="报告正文 Char Char Char Char"/>
    <w:basedOn w:val="1"/>
    <w:qFormat/>
    <w:uiPriority w:val="0"/>
    <w:pPr>
      <w:autoSpaceDE w:val="0"/>
      <w:adjustRightInd w:val="0"/>
      <w:snapToGrid w:val="0"/>
      <w:spacing w:before="100" w:beforeAutospacing="1" w:after="100" w:afterAutospacing="1" w:line="336" w:lineRule="auto"/>
      <w:ind w:left="2603"/>
    </w:pPr>
    <w:rPr>
      <w:rFonts w:ascii="华文细黑" w:hAnsi="华文细黑" w:cs="宋体"/>
      <w:sz w:val="22"/>
      <w:szCs w:val="22"/>
    </w:rPr>
  </w:style>
  <w:style w:type="character" w:customStyle="1" w:styleId="17">
    <w:name w:val="font01"/>
    <w:basedOn w:val="14"/>
    <w:qFormat/>
    <w:uiPriority w:val="0"/>
    <w:rPr>
      <w:rFonts w:hint="default" w:ascii="Times New Roman" w:hAnsi="Times New Roman" w:cs="Times New Roman"/>
      <w:color w:val="000000"/>
      <w:sz w:val="20"/>
      <w:szCs w:val="20"/>
      <w:u w:val="none"/>
    </w:rPr>
  </w:style>
  <w:style w:type="character" w:customStyle="1" w:styleId="18">
    <w:name w:val="font31"/>
    <w:basedOn w:val="1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7.jpeg"/><Relationship Id="rId17" Type="http://schemas.openxmlformats.org/officeDocument/2006/relationships/image" Target="media/image6.jpeg"/><Relationship Id="rId16" Type="http://schemas.openxmlformats.org/officeDocument/2006/relationships/image" Target="media/image5.jpeg"/><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jpe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2017-06-06T06:25:00Z</dcterms:created>
  <dc:creator>Administrator</dc:creator>
  <cp:lastModifiedBy>Administrator</cp:lastModifiedBy>
  <cp:lastPrinted>2019-01-18T01:31:00Z</cp:lastPrinted>
  <dcterms:modified xsi:type="dcterms:W3CDTF">2019-06-12T08:22:19Z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