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spacing w:before="2"/>
        <w:ind w:left="0"/>
        <w:rPr>
          <w:rFonts w:ascii="Times New Roman"/>
          <w:sz w:val="23"/>
        </w:rPr>
      </w:pPr>
    </w:p>
    <w:p>
      <w:pPr>
        <w:tabs>
          <w:tab w:val="left" w:pos="3477"/>
          <w:tab w:val="left" w:pos="4161"/>
          <w:tab w:val="left" w:pos="4845"/>
          <w:tab w:val="left" w:pos="5532"/>
          <w:tab w:val="left" w:pos="6216"/>
          <w:tab w:val="left" w:pos="6900"/>
        </w:tabs>
        <w:spacing w:before="0" w:line="760" w:lineRule="exact"/>
        <w:ind w:left="2790" w:right="0" w:firstLine="0"/>
        <w:jc w:val="left"/>
        <w:rPr>
          <w:sz w:val="44"/>
        </w:rPr>
      </w:pPr>
      <w:r>
        <w:rPr>
          <w:sz w:val="44"/>
        </w:rPr>
        <w:t>房</w:t>
      </w:r>
      <w:r>
        <w:rPr>
          <w:sz w:val="44"/>
        </w:rPr>
        <w:tab/>
      </w:r>
      <w:r>
        <w:rPr>
          <w:sz w:val="44"/>
        </w:rPr>
        <w:t>地</w:t>
      </w:r>
      <w:r>
        <w:rPr>
          <w:sz w:val="44"/>
        </w:rPr>
        <w:tab/>
      </w:r>
      <w:r>
        <w:rPr>
          <w:sz w:val="44"/>
        </w:rPr>
        <w:t>产</w:t>
      </w:r>
      <w:r>
        <w:rPr>
          <w:sz w:val="44"/>
        </w:rPr>
        <w:tab/>
      </w:r>
      <w:r>
        <w:rPr>
          <w:sz w:val="44"/>
        </w:rPr>
        <w:t>估</w:t>
      </w:r>
      <w:r>
        <w:rPr>
          <w:sz w:val="44"/>
        </w:rPr>
        <w:tab/>
      </w:r>
      <w:r>
        <w:rPr>
          <w:sz w:val="44"/>
        </w:rPr>
        <w:t>价</w:t>
      </w:r>
      <w:r>
        <w:rPr>
          <w:sz w:val="44"/>
        </w:rPr>
        <w:tab/>
      </w:r>
      <w:r>
        <w:rPr>
          <w:sz w:val="44"/>
        </w:rPr>
        <w:t>报</w:t>
      </w:r>
      <w:r>
        <w:rPr>
          <w:sz w:val="44"/>
        </w:rPr>
        <w:tab/>
      </w:r>
      <w:r>
        <w:rPr>
          <w:sz w:val="44"/>
        </w:rPr>
        <w:t>告</w:t>
      </w:r>
    </w:p>
    <w:p>
      <w:pPr>
        <w:pStyle w:val="3"/>
        <w:ind w:left="0"/>
        <w:rPr>
          <w:sz w:val="44"/>
        </w:rPr>
      </w:pPr>
    </w:p>
    <w:p>
      <w:pPr>
        <w:pStyle w:val="3"/>
        <w:ind w:left="0"/>
        <w:rPr>
          <w:sz w:val="44"/>
        </w:rPr>
      </w:pPr>
    </w:p>
    <w:p>
      <w:pPr>
        <w:pStyle w:val="3"/>
        <w:spacing w:before="17"/>
        <w:ind w:left="0"/>
      </w:pPr>
    </w:p>
    <w:p>
      <w:pPr>
        <w:pStyle w:val="3"/>
        <w:spacing w:line="566" w:lineRule="exact"/>
        <w:ind w:left="926"/>
      </w:pPr>
      <w:r>
        <w:rPr>
          <w:spacing w:val="14"/>
        </w:rPr>
        <w:t>估价报告编号：河北金石估</w:t>
      </w:r>
      <w:r>
        <w:rPr>
          <w:rFonts w:hint="eastAsia" w:ascii="Noto Sans Mono CJK JP Regular" w:eastAsia="Noto Sans Mono CJK JP Regular"/>
          <w:spacing w:val="7"/>
        </w:rPr>
        <w:t>[2019]</w:t>
      </w:r>
      <w:r>
        <w:rPr>
          <w:spacing w:val="14"/>
        </w:rPr>
        <w:t xml:space="preserve">字第 </w:t>
      </w:r>
      <w:r>
        <w:rPr>
          <w:rFonts w:hint="eastAsia" w:ascii="Noto Sans Mono CJK JP Regular" w:eastAsia="Noto Sans Mono CJK JP Regular"/>
          <w:spacing w:val="6"/>
        </w:rPr>
        <w:t>F02040</w:t>
      </w:r>
      <w:r>
        <w:rPr>
          <w:rFonts w:hint="eastAsia" w:ascii="Noto Sans Mono CJK JP Regular" w:eastAsia="Noto Sans Mono CJK JP Regular"/>
          <w:spacing w:val="-58"/>
        </w:rPr>
        <w:t xml:space="preserve"> </w:t>
      </w:r>
      <w:r>
        <w:t>号</w:t>
      </w:r>
    </w:p>
    <w:p>
      <w:pPr>
        <w:pStyle w:val="3"/>
        <w:spacing w:before="10" w:line="218" w:lineRule="auto"/>
        <w:ind w:left="2999" w:right="621" w:hanging="2074"/>
        <w:jc w:val="both"/>
      </w:pPr>
      <w:r>
        <w:rPr>
          <w:spacing w:val="13"/>
        </w:rPr>
        <w:t>估价项目名称：邯郸市思特利房地产开发有限公司位于邯郸市邯山区</w:t>
      </w:r>
      <w:r>
        <w:rPr>
          <w:spacing w:val="15"/>
        </w:rPr>
        <w:t xml:space="preserve">兴和路 </w:t>
      </w:r>
      <w:r>
        <w:rPr>
          <w:rFonts w:hint="eastAsia" w:ascii="Noto Sans Mono CJK JP Regular" w:eastAsia="Noto Sans Mono CJK JP Regular"/>
          <w:spacing w:val="4"/>
        </w:rPr>
        <w:t>366</w:t>
      </w:r>
      <w:r>
        <w:rPr>
          <w:rFonts w:hint="eastAsia" w:ascii="Noto Sans Mono CJK JP Regular" w:eastAsia="Noto Sans Mono CJK JP Regular"/>
          <w:spacing w:val="-52"/>
        </w:rPr>
        <w:t xml:space="preserve"> </w:t>
      </w:r>
      <w:r>
        <w:rPr>
          <w:spacing w:val="14"/>
        </w:rPr>
        <w:t xml:space="preserve">号汇鑫湾 </w:t>
      </w:r>
      <w:r>
        <w:rPr>
          <w:rFonts w:hint="eastAsia" w:ascii="Noto Sans Mono CJK JP Regular" w:eastAsia="Noto Sans Mono CJK JP Regular"/>
          <w:spacing w:val="6"/>
        </w:rPr>
        <w:t>5-1-501</w:t>
      </w:r>
      <w:r>
        <w:rPr>
          <w:rFonts w:hint="eastAsia" w:ascii="Noto Sans Mono CJK JP Regular" w:eastAsia="Noto Sans Mono CJK JP Regular"/>
          <w:spacing w:val="-53"/>
        </w:rPr>
        <w:t xml:space="preserve"> </w:t>
      </w:r>
      <w:r>
        <w:rPr>
          <w:spacing w:val="12"/>
        </w:rPr>
        <w:t>号住宅在建工程市场价</w:t>
      </w:r>
      <w:r>
        <w:rPr>
          <w:spacing w:val="15"/>
        </w:rPr>
        <w:t>值评估</w:t>
      </w:r>
      <w:r>
        <w:rPr>
          <w:spacing w:val="14"/>
        </w:rPr>
        <w:t>（</w:t>
      </w:r>
      <w:r>
        <w:rPr>
          <w:spacing w:val="15"/>
        </w:rPr>
        <w:t>邯郸市</w:t>
      </w:r>
      <w:r>
        <w:t>）</w:t>
      </w:r>
    </w:p>
    <w:p>
      <w:pPr>
        <w:pStyle w:val="3"/>
        <w:spacing w:line="523" w:lineRule="exact"/>
        <w:ind w:left="926"/>
      </w:pPr>
      <w:r>
        <w:t>估价委托人：邯郸市邯山区人民法院</w:t>
      </w:r>
    </w:p>
    <w:p>
      <w:pPr>
        <w:pStyle w:val="3"/>
        <w:spacing w:before="9" w:line="218" w:lineRule="auto"/>
        <w:ind w:left="926" w:right="3214"/>
      </w:pPr>
      <w:r>
        <w:t xml:space="preserve">房地产估价机构：河北金石房地产评估有限公司注册房地产估价师：曹毅（注册号 </w:t>
      </w:r>
      <w:r>
        <w:rPr>
          <w:rFonts w:hint="eastAsia" w:ascii="Noto Sans Mono CJK JP Regular" w:eastAsia="Noto Sans Mono CJK JP Regular"/>
        </w:rPr>
        <w:t>1320140088</w:t>
      </w:r>
      <w:r>
        <w:t>）</w:t>
      </w:r>
    </w:p>
    <w:p>
      <w:pPr>
        <w:pStyle w:val="3"/>
        <w:spacing w:line="218" w:lineRule="auto"/>
        <w:ind w:left="926" w:right="3202" w:firstLine="2678"/>
      </w:pPr>
      <w:r>
        <w:t xml:space="preserve">王茹（注册号 </w:t>
      </w:r>
      <w:r>
        <w:rPr>
          <w:rFonts w:hint="eastAsia" w:ascii="Noto Sans Mono CJK JP Regular" w:hAnsi="Noto Sans Mono CJK JP Regular" w:eastAsia="Noto Sans Mono CJK JP Regular"/>
        </w:rPr>
        <w:t>1320170079</w:t>
      </w:r>
      <w:r>
        <w:t>） 估价作业日期：二○一九年一月九日</w:t>
      </w:r>
    </w:p>
    <w:p>
      <w:pPr>
        <w:pStyle w:val="3"/>
        <w:spacing w:line="218" w:lineRule="auto"/>
        <w:ind w:left="926" w:right="2684" w:firstLine="3571"/>
      </w:pPr>
      <w:r>
        <w:t>至二○一九年二月十五日估价报告出具日期：二○一九年二月十五日</w:t>
      </w:r>
    </w:p>
    <w:p>
      <w:pPr>
        <w:spacing w:after="0" w:line="218" w:lineRule="auto"/>
        <w:sectPr>
          <w:headerReference r:id="rId3" w:type="default"/>
          <w:type w:val="continuous"/>
          <w:pgSz w:w="11910" w:h="16840"/>
          <w:pgMar w:top="1580" w:right="680" w:bottom="280" w:left="800" w:header="922" w:footer="720" w:gutter="0"/>
        </w:sectPr>
      </w:pPr>
    </w:p>
    <w:p>
      <w:pPr>
        <w:pStyle w:val="3"/>
        <w:spacing w:before="5"/>
        <w:ind w:left="0"/>
        <w:rPr>
          <w:sz w:val="10"/>
        </w:rPr>
      </w:pPr>
    </w:p>
    <w:p>
      <w:pPr>
        <w:spacing w:after="0"/>
        <w:rPr>
          <w:sz w:val="10"/>
        </w:rPr>
        <w:sectPr>
          <w:headerReference r:id="rId4" w:type="default"/>
          <w:pgSz w:w="11910" w:h="16840"/>
          <w:pgMar w:top="1580" w:right="680" w:bottom="280" w:left="800" w:header="867" w:footer="0" w:gutter="0"/>
        </w:sectPr>
      </w:pPr>
    </w:p>
    <w:p>
      <w:pPr>
        <w:pStyle w:val="3"/>
        <w:spacing w:before="16"/>
        <w:ind w:left="0"/>
        <w:rPr>
          <w:sz w:val="23"/>
        </w:rPr>
      </w:pPr>
    </w:p>
    <w:p>
      <w:pPr>
        <w:pStyle w:val="3"/>
        <w:ind w:left="448"/>
      </w:pPr>
      <w:r>
        <w:t>邯郸市邯山区人民法院：</w:t>
      </w:r>
    </w:p>
    <w:p>
      <w:pPr>
        <w:pStyle w:val="2"/>
        <w:ind w:left="137"/>
      </w:pPr>
      <w:r>
        <w:br w:type="column"/>
      </w:r>
      <w:r>
        <w:t>致估价委托人函</w:t>
      </w:r>
    </w:p>
    <w:p>
      <w:pPr>
        <w:spacing w:after="0"/>
        <w:sectPr>
          <w:type w:val="continuous"/>
          <w:pgSz w:w="11910" w:h="16840"/>
          <w:pgMar w:top="1580" w:right="680" w:bottom="280" w:left="800" w:header="720" w:footer="720" w:gutter="0"/>
          <w:cols w:equalWidth="0" w:num="2">
            <w:col w:w="3694" w:space="40"/>
            <w:col w:w="6696"/>
          </w:cols>
        </w:sectPr>
      </w:pPr>
    </w:p>
    <w:p>
      <w:pPr>
        <w:pStyle w:val="3"/>
        <w:spacing w:line="392" w:lineRule="exact"/>
        <w:ind w:left="1041"/>
      </w:pPr>
      <w:r>
        <w:t>接受贵院的委托，我公司按照《房地产估价规范》和房地产估价程序、</w:t>
      </w:r>
    </w:p>
    <w:p>
      <w:pPr>
        <w:pStyle w:val="3"/>
        <w:spacing w:before="29" w:line="184" w:lineRule="auto"/>
        <w:ind w:left="448" w:right="467"/>
        <w:jc w:val="both"/>
      </w:pPr>
      <w:r>
        <w:t>选用适宜的估价方法，结合委托的内容和特定的估价目的，遵循独立、客观、公正、合法的原则，对所委托的估价对象进行客观、公正、合理的评估。</w:t>
      </w:r>
    </w:p>
    <w:tbl>
      <w:tblPr>
        <w:tblStyle w:val="6"/>
        <w:tblW w:w="10175"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2"/>
        <w:gridCol w:w="2408"/>
        <w:gridCol w:w="2268"/>
        <w:gridCol w:w="2268"/>
        <w:gridCol w:w="2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752" w:type="dxa"/>
            <w:vMerge w:val="restart"/>
          </w:tcPr>
          <w:p>
            <w:pPr>
              <w:pStyle w:val="10"/>
              <w:rPr>
                <w:sz w:val="24"/>
              </w:rPr>
            </w:pPr>
          </w:p>
          <w:p>
            <w:pPr>
              <w:pStyle w:val="10"/>
              <w:spacing w:before="6"/>
              <w:rPr>
                <w:sz w:val="24"/>
              </w:rPr>
            </w:pPr>
          </w:p>
          <w:p>
            <w:pPr>
              <w:pStyle w:val="10"/>
              <w:spacing w:line="189" w:lineRule="auto"/>
              <w:ind w:left="117" w:right="110"/>
              <w:rPr>
                <w:sz w:val="24"/>
              </w:rPr>
            </w:pPr>
            <w:r>
              <w:rPr>
                <w:sz w:val="24"/>
              </w:rPr>
              <w:t>估价对象</w:t>
            </w:r>
          </w:p>
        </w:tc>
        <w:tc>
          <w:tcPr>
            <w:tcW w:w="4676" w:type="dxa"/>
            <w:gridSpan w:val="2"/>
          </w:tcPr>
          <w:p>
            <w:pPr>
              <w:pStyle w:val="10"/>
              <w:spacing w:line="366" w:lineRule="exact"/>
              <w:ind w:left="285"/>
              <w:rPr>
                <w:sz w:val="24"/>
              </w:rPr>
            </w:pPr>
            <w:r>
              <w:rPr>
                <w:sz w:val="24"/>
              </w:rPr>
              <w:t>《新建商品房网签备案情况查询表》</w:t>
            </w:r>
          </w:p>
        </w:tc>
        <w:tc>
          <w:tcPr>
            <w:tcW w:w="4747" w:type="dxa"/>
            <w:gridSpan w:val="2"/>
          </w:tcPr>
          <w:p>
            <w:pPr>
              <w:pStyle w:val="10"/>
              <w:spacing w:line="366" w:lineRule="exact"/>
              <w:ind w:left="770"/>
              <w:rPr>
                <w:rFonts w:hint="eastAsia" w:ascii="Noto Sans Mono CJK JP Regular" w:eastAsia="Noto Sans Mono CJK JP Regular"/>
                <w:sz w:val="24"/>
              </w:rPr>
            </w:pPr>
            <w:r>
              <w:rPr>
                <w:sz w:val="24"/>
              </w:rPr>
              <w:t>幢编码：</w:t>
            </w:r>
            <w:r>
              <w:rPr>
                <w:rFonts w:hint="eastAsia" w:ascii="Noto Sans Mono CJK JP Regular" w:eastAsia="Noto Sans Mono CJK JP Regular"/>
                <w:sz w:val="24"/>
              </w:rPr>
              <w:t>10000010018099999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9" w:hRule="atLeast"/>
        </w:trPr>
        <w:tc>
          <w:tcPr>
            <w:tcW w:w="752" w:type="dxa"/>
            <w:vMerge w:val="continue"/>
            <w:tcBorders>
              <w:top w:val="nil"/>
            </w:tcBorders>
          </w:tcPr>
          <w:p>
            <w:pPr>
              <w:rPr>
                <w:sz w:val="2"/>
                <w:szCs w:val="2"/>
              </w:rPr>
            </w:pPr>
          </w:p>
        </w:tc>
        <w:tc>
          <w:tcPr>
            <w:tcW w:w="2408" w:type="dxa"/>
          </w:tcPr>
          <w:p>
            <w:pPr>
              <w:pStyle w:val="10"/>
              <w:spacing w:before="123"/>
              <w:ind w:left="564" w:right="576"/>
              <w:jc w:val="center"/>
              <w:rPr>
                <w:sz w:val="24"/>
              </w:rPr>
            </w:pPr>
            <w:r>
              <w:rPr>
                <w:sz w:val="24"/>
              </w:rPr>
              <w:t>开发企业</w:t>
            </w:r>
          </w:p>
        </w:tc>
        <w:tc>
          <w:tcPr>
            <w:tcW w:w="2268" w:type="dxa"/>
          </w:tcPr>
          <w:p>
            <w:pPr>
              <w:pStyle w:val="10"/>
              <w:spacing w:line="379" w:lineRule="exact"/>
              <w:ind w:left="144" w:right="154"/>
              <w:jc w:val="center"/>
              <w:rPr>
                <w:sz w:val="24"/>
              </w:rPr>
            </w:pPr>
            <w:r>
              <w:rPr>
                <w:sz w:val="24"/>
              </w:rPr>
              <w:t>邯郸市思特利房地</w:t>
            </w:r>
          </w:p>
          <w:p>
            <w:pPr>
              <w:pStyle w:val="10"/>
              <w:spacing w:line="386" w:lineRule="exact"/>
              <w:ind w:left="144" w:right="154"/>
              <w:jc w:val="center"/>
              <w:rPr>
                <w:sz w:val="24"/>
              </w:rPr>
            </w:pPr>
            <w:r>
              <w:rPr>
                <w:sz w:val="24"/>
              </w:rPr>
              <w:t>产开发有限公司</w:t>
            </w:r>
          </w:p>
        </w:tc>
        <w:tc>
          <w:tcPr>
            <w:tcW w:w="2268" w:type="dxa"/>
          </w:tcPr>
          <w:p>
            <w:pPr>
              <w:pStyle w:val="10"/>
              <w:spacing w:before="123"/>
              <w:ind w:left="144" w:right="150"/>
              <w:jc w:val="center"/>
              <w:rPr>
                <w:sz w:val="24"/>
              </w:rPr>
            </w:pPr>
            <w:r>
              <w:rPr>
                <w:sz w:val="24"/>
              </w:rPr>
              <w:t>委估建筑面积</w:t>
            </w:r>
          </w:p>
        </w:tc>
        <w:tc>
          <w:tcPr>
            <w:tcW w:w="2479" w:type="dxa"/>
          </w:tcPr>
          <w:p>
            <w:pPr>
              <w:pStyle w:val="10"/>
              <w:spacing w:before="123"/>
              <w:ind w:left="693"/>
              <w:rPr>
                <w:rFonts w:hint="eastAsia" w:ascii="Droid Sans Fallback" w:eastAsia="Droid Sans Fallback"/>
                <w:sz w:val="24"/>
              </w:rPr>
            </w:pPr>
            <w:r>
              <w:rPr>
                <w:rFonts w:hint="eastAsia" w:ascii="Noto Sans Mono CJK JP Regular" w:eastAsia="Noto Sans Mono CJK JP Regular"/>
                <w:sz w:val="24"/>
              </w:rPr>
              <w:t xml:space="preserve">145.04 </w:t>
            </w:r>
            <w:r>
              <w:rPr>
                <w:rFonts w:hint="eastAsia" w:ascii="Droid Sans Fallback" w:eastAsia="Droid Sans Fallback"/>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752" w:type="dxa"/>
            <w:vMerge w:val="continue"/>
            <w:tcBorders>
              <w:top w:val="nil"/>
            </w:tcBorders>
          </w:tcPr>
          <w:p>
            <w:pPr>
              <w:rPr>
                <w:sz w:val="2"/>
                <w:szCs w:val="2"/>
              </w:rPr>
            </w:pPr>
          </w:p>
        </w:tc>
        <w:tc>
          <w:tcPr>
            <w:tcW w:w="2408" w:type="dxa"/>
          </w:tcPr>
          <w:p>
            <w:pPr>
              <w:pStyle w:val="10"/>
              <w:spacing w:line="366" w:lineRule="exact"/>
              <w:ind w:left="564" w:right="576"/>
              <w:jc w:val="center"/>
              <w:rPr>
                <w:sz w:val="24"/>
              </w:rPr>
            </w:pPr>
            <w:r>
              <w:rPr>
                <w:sz w:val="24"/>
              </w:rPr>
              <w:t>房屋坐落</w:t>
            </w:r>
          </w:p>
        </w:tc>
        <w:tc>
          <w:tcPr>
            <w:tcW w:w="7015" w:type="dxa"/>
            <w:gridSpan w:val="3"/>
          </w:tcPr>
          <w:p>
            <w:pPr>
              <w:pStyle w:val="10"/>
              <w:spacing w:line="366" w:lineRule="exact"/>
              <w:ind w:left="942"/>
              <w:rPr>
                <w:sz w:val="24"/>
              </w:rPr>
            </w:pPr>
            <w:r>
              <w:rPr>
                <w:spacing w:val="13"/>
                <w:sz w:val="24"/>
              </w:rPr>
              <w:t xml:space="preserve">邯郸市邯山区兴和路 </w:t>
            </w:r>
            <w:r>
              <w:rPr>
                <w:rFonts w:hint="eastAsia" w:ascii="Noto Sans Mono CJK JP Regular" w:eastAsia="Noto Sans Mono CJK JP Regular"/>
                <w:spacing w:val="4"/>
                <w:sz w:val="24"/>
              </w:rPr>
              <w:t xml:space="preserve">366 </w:t>
            </w:r>
            <w:r>
              <w:rPr>
                <w:spacing w:val="14"/>
                <w:sz w:val="24"/>
              </w:rPr>
              <w:t xml:space="preserve">号汇鑫湾 </w:t>
            </w:r>
            <w:r>
              <w:rPr>
                <w:rFonts w:hint="eastAsia" w:ascii="Noto Sans Mono CJK JP Regular" w:eastAsia="Noto Sans Mono CJK JP Regular"/>
                <w:spacing w:val="6"/>
                <w:sz w:val="24"/>
              </w:rPr>
              <w:t>5-1-501</w:t>
            </w:r>
            <w:r>
              <w:rPr>
                <w:rFonts w:hint="eastAsia" w:ascii="Noto Sans Mono CJK JP Regular" w:eastAsia="Noto Sans Mono CJK JP Regular"/>
                <w:spacing w:val="-48"/>
                <w:sz w:val="24"/>
              </w:rPr>
              <w:t xml:space="preserve"> </w:t>
            </w:r>
            <w:r>
              <w:rPr>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752" w:type="dxa"/>
            <w:vMerge w:val="continue"/>
            <w:tcBorders>
              <w:top w:val="nil"/>
            </w:tcBorders>
          </w:tcPr>
          <w:p>
            <w:pPr>
              <w:rPr>
                <w:sz w:val="2"/>
                <w:szCs w:val="2"/>
              </w:rPr>
            </w:pPr>
          </w:p>
        </w:tc>
        <w:tc>
          <w:tcPr>
            <w:tcW w:w="2408" w:type="dxa"/>
          </w:tcPr>
          <w:p>
            <w:pPr>
              <w:pStyle w:val="10"/>
              <w:spacing w:line="366" w:lineRule="exact"/>
              <w:ind w:left="581" w:right="576"/>
              <w:jc w:val="center"/>
              <w:rPr>
                <w:sz w:val="24"/>
              </w:rPr>
            </w:pPr>
            <w:r>
              <w:rPr>
                <w:sz w:val="24"/>
              </w:rPr>
              <w:t>房地产状况</w:t>
            </w:r>
          </w:p>
        </w:tc>
        <w:tc>
          <w:tcPr>
            <w:tcW w:w="7015" w:type="dxa"/>
            <w:gridSpan w:val="3"/>
          </w:tcPr>
          <w:p>
            <w:pPr>
              <w:pStyle w:val="10"/>
              <w:spacing w:line="366" w:lineRule="exact"/>
              <w:ind w:left="1069"/>
              <w:rPr>
                <w:sz w:val="24"/>
              </w:rPr>
            </w:pPr>
            <w:r>
              <w:rPr>
                <w:sz w:val="24"/>
              </w:rPr>
              <w:t>在建工程，主体封顶，内部粗装修未完成。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752" w:type="dxa"/>
            <w:vMerge w:val="continue"/>
            <w:tcBorders>
              <w:top w:val="nil"/>
            </w:tcBorders>
          </w:tcPr>
          <w:p>
            <w:pPr>
              <w:rPr>
                <w:sz w:val="2"/>
                <w:szCs w:val="2"/>
              </w:rPr>
            </w:pPr>
          </w:p>
        </w:tc>
        <w:tc>
          <w:tcPr>
            <w:tcW w:w="2408" w:type="dxa"/>
          </w:tcPr>
          <w:p>
            <w:pPr>
              <w:pStyle w:val="10"/>
              <w:spacing w:line="366" w:lineRule="exact"/>
              <w:ind w:left="564" w:right="576"/>
              <w:jc w:val="center"/>
              <w:rPr>
                <w:sz w:val="24"/>
              </w:rPr>
            </w:pPr>
            <w:r>
              <w:rPr>
                <w:sz w:val="24"/>
              </w:rPr>
              <w:t>房屋结构</w:t>
            </w:r>
          </w:p>
        </w:tc>
        <w:tc>
          <w:tcPr>
            <w:tcW w:w="2268" w:type="dxa"/>
          </w:tcPr>
          <w:p>
            <w:pPr>
              <w:pStyle w:val="10"/>
              <w:spacing w:line="366" w:lineRule="exact"/>
              <w:ind w:left="144" w:right="153"/>
              <w:jc w:val="center"/>
              <w:rPr>
                <w:sz w:val="24"/>
              </w:rPr>
            </w:pPr>
            <w:r>
              <w:rPr>
                <w:sz w:val="24"/>
              </w:rPr>
              <w:t>框架剪力墙</w:t>
            </w:r>
          </w:p>
        </w:tc>
        <w:tc>
          <w:tcPr>
            <w:tcW w:w="2268" w:type="dxa"/>
          </w:tcPr>
          <w:p>
            <w:pPr>
              <w:pStyle w:val="10"/>
              <w:spacing w:line="366" w:lineRule="exact"/>
              <w:ind w:left="144" w:right="150"/>
              <w:jc w:val="center"/>
              <w:rPr>
                <w:sz w:val="24"/>
              </w:rPr>
            </w:pPr>
            <w:r>
              <w:rPr>
                <w:sz w:val="24"/>
              </w:rPr>
              <w:t>设计用途</w:t>
            </w:r>
          </w:p>
        </w:tc>
        <w:tc>
          <w:tcPr>
            <w:tcW w:w="2479" w:type="dxa"/>
          </w:tcPr>
          <w:p>
            <w:pPr>
              <w:pStyle w:val="10"/>
              <w:spacing w:line="366" w:lineRule="exact"/>
              <w:ind w:left="873" w:right="1075"/>
              <w:jc w:val="center"/>
              <w:rPr>
                <w:sz w:val="24"/>
              </w:rPr>
            </w:pPr>
            <w:r>
              <w:rPr>
                <w:sz w:val="24"/>
              </w:rPr>
              <w:t>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752" w:type="dxa"/>
            <w:vMerge w:val="continue"/>
            <w:tcBorders>
              <w:top w:val="nil"/>
            </w:tcBorders>
          </w:tcPr>
          <w:p>
            <w:pPr>
              <w:rPr>
                <w:sz w:val="2"/>
                <w:szCs w:val="2"/>
              </w:rPr>
            </w:pPr>
          </w:p>
        </w:tc>
        <w:tc>
          <w:tcPr>
            <w:tcW w:w="2408" w:type="dxa"/>
          </w:tcPr>
          <w:p>
            <w:pPr>
              <w:pStyle w:val="10"/>
              <w:spacing w:line="366" w:lineRule="exact"/>
              <w:ind w:left="564" w:right="576"/>
              <w:jc w:val="center"/>
              <w:rPr>
                <w:sz w:val="24"/>
              </w:rPr>
            </w:pPr>
            <w:r>
              <w:rPr>
                <w:sz w:val="24"/>
              </w:rPr>
              <w:t>建造年代</w:t>
            </w:r>
          </w:p>
        </w:tc>
        <w:tc>
          <w:tcPr>
            <w:tcW w:w="2268" w:type="dxa"/>
          </w:tcPr>
          <w:p>
            <w:pPr>
              <w:pStyle w:val="10"/>
              <w:spacing w:line="366" w:lineRule="exact"/>
              <w:ind w:left="144" w:right="151"/>
              <w:jc w:val="center"/>
              <w:rPr>
                <w:sz w:val="24"/>
              </w:rPr>
            </w:pPr>
            <w:r>
              <w:rPr>
                <w:sz w:val="24"/>
              </w:rPr>
              <w:t>在建工程</w:t>
            </w:r>
          </w:p>
        </w:tc>
        <w:tc>
          <w:tcPr>
            <w:tcW w:w="2268" w:type="dxa"/>
          </w:tcPr>
          <w:p>
            <w:pPr>
              <w:pStyle w:val="10"/>
              <w:spacing w:line="366" w:lineRule="exact"/>
              <w:ind w:left="144" w:right="136"/>
              <w:jc w:val="center"/>
              <w:rPr>
                <w:sz w:val="24"/>
              </w:rPr>
            </w:pPr>
            <w:r>
              <w:rPr>
                <w:sz w:val="24"/>
              </w:rPr>
              <w:t>所在层</w:t>
            </w:r>
            <w:r>
              <w:rPr>
                <w:rFonts w:hint="eastAsia" w:ascii="Noto Sans Mono CJK JP Regular" w:eastAsia="Noto Sans Mono CJK JP Regular"/>
                <w:sz w:val="24"/>
              </w:rPr>
              <w:t>/</w:t>
            </w:r>
            <w:r>
              <w:rPr>
                <w:sz w:val="24"/>
              </w:rPr>
              <w:t>地上总层</w:t>
            </w:r>
          </w:p>
        </w:tc>
        <w:tc>
          <w:tcPr>
            <w:tcW w:w="2479" w:type="dxa"/>
          </w:tcPr>
          <w:p>
            <w:pPr>
              <w:pStyle w:val="10"/>
              <w:spacing w:line="366" w:lineRule="exact"/>
              <w:ind w:left="566"/>
              <w:rPr>
                <w:rFonts w:hint="eastAsia" w:ascii="Noto Sans Mono CJK JP Regular" w:eastAsia="Noto Sans Mono CJK JP Regular"/>
                <w:sz w:val="24"/>
              </w:rPr>
            </w:pPr>
            <w:r>
              <w:rPr>
                <w:rFonts w:hint="eastAsia" w:ascii="Noto Sans Mono CJK JP Regular" w:eastAsia="Noto Sans Mono CJK JP Regular"/>
                <w:spacing w:val="4"/>
                <w:sz w:val="24"/>
              </w:rPr>
              <w:t xml:space="preserve">5.6 </w:t>
            </w:r>
            <w:r>
              <w:rPr>
                <w:spacing w:val="15"/>
                <w:sz w:val="24"/>
              </w:rPr>
              <w:t>跃层</w:t>
            </w:r>
            <w:r>
              <w:rPr>
                <w:rFonts w:hint="eastAsia" w:ascii="Noto Sans Mono CJK JP Regular" w:eastAsia="Noto Sans Mono CJK JP Regular"/>
                <w:spacing w:val="5"/>
                <w:sz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9" w:hRule="atLeast"/>
        </w:trPr>
        <w:tc>
          <w:tcPr>
            <w:tcW w:w="752" w:type="dxa"/>
          </w:tcPr>
          <w:p>
            <w:pPr>
              <w:pStyle w:val="10"/>
              <w:spacing w:before="198" w:line="189" w:lineRule="auto"/>
              <w:ind w:left="117" w:right="110"/>
              <w:rPr>
                <w:sz w:val="24"/>
              </w:rPr>
            </w:pPr>
            <w:r>
              <w:rPr>
                <w:sz w:val="24"/>
              </w:rPr>
              <w:t>估价目的</w:t>
            </w:r>
          </w:p>
        </w:tc>
        <w:tc>
          <w:tcPr>
            <w:tcW w:w="9423" w:type="dxa"/>
            <w:gridSpan w:val="4"/>
          </w:tcPr>
          <w:p>
            <w:pPr>
              <w:pStyle w:val="10"/>
              <w:spacing w:before="2" w:line="187" w:lineRule="auto"/>
              <w:ind w:left="105" w:right="114" w:firstLine="513"/>
              <w:rPr>
                <w:sz w:val="24"/>
              </w:rPr>
            </w:pPr>
            <w:r>
              <w:rPr>
                <w:sz w:val="24"/>
              </w:rPr>
              <w:t>受估价委托人的委托，为邯郸市邯山区人民法院审理的申请人李鹏、于翔，被执行人邯郸市思特利房地产开发有限公司民间借贷纠纷案的涉案房地产价值提供</w:t>
            </w:r>
          </w:p>
          <w:p>
            <w:pPr>
              <w:pStyle w:val="10"/>
              <w:spacing w:line="369" w:lineRule="exact"/>
              <w:ind w:left="105"/>
              <w:rPr>
                <w:sz w:val="24"/>
              </w:rPr>
            </w:pPr>
            <w:r>
              <w:rPr>
                <w:sz w:val="24"/>
              </w:rPr>
              <w:t>参考，而评估该房地产的市场价值。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3160" w:type="dxa"/>
            <w:gridSpan w:val="2"/>
          </w:tcPr>
          <w:p>
            <w:pPr>
              <w:pStyle w:val="10"/>
              <w:spacing w:line="366" w:lineRule="exact"/>
              <w:ind w:left="1071" w:right="1079"/>
              <w:jc w:val="center"/>
              <w:rPr>
                <w:sz w:val="24"/>
              </w:rPr>
            </w:pPr>
            <w:r>
              <w:rPr>
                <w:sz w:val="24"/>
              </w:rPr>
              <w:t>价值时点</w:t>
            </w:r>
          </w:p>
        </w:tc>
        <w:tc>
          <w:tcPr>
            <w:tcW w:w="7015" w:type="dxa"/>
            <w:gridSpan w:val="3"/>
          </w:tcPr>
          <w:p>
            <w:pPr>
              <w:pStyle w:val="10"/>
              <w:spacing w:line="366" w:lineRule="exact"/>
              <w:ind w:left="2396" w:right="2408"/>
              <w:jc w:val="center"/>
              <w:rPr>
                <w:sz w:val="24"/>
              </w:rPr>
            </w:pPr>
            <w:r>
              <w:rPr>
                <w:sz w:val="24"/>
              </w:rPr>
              <w:t>二○一九年一月九日</w:t>
            </w:r>
          </w:p>
        </w:tc>
      </w:tr>
    </w:tbl>
    <w:p>
      <w:pPr>
        <w:pStyle w:val="3"/>
        <w:spacing w:before="9" w:line="184" w:lineRule="auto"/>
        <w:ind w:left="448" w:right="466" w:firstLine="624"/>
        <w:jc w:val="both"/>
      </w:pPr>
      <w:r>
        <w:t>我公司估价人员，经过实地勘查、勘测和有关资料的收集等，结合该估价对象的建造年代、建筑结构、配套设施、使用功能等因素，按照国家规定的有关技术标准，以及贵方提供的有关资料等，本着独立、客观、公正、合法、谨慎的原则，评估方法采用了假设开发法，对其在价值定义、价值时点以及在满足本次估价的全部假设和限制条件下，形成如下评估结论，提供委托方参考使用：</w:t>
      </w:r>
    </w:p>
    <w:tbl>
      <w:tblPr>
        <w:tblStyle w:val="6"/>
        <w:tblW w:w="10123"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
        <w:gridCol w:w="2979"/>
        <w:gridCol w:w="6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819" w:type="dxa"/>
            <w:vMerge w:val="restart"/>
          </w:tcPr>
          <w:p>
            <w:pPr>
              <w:pStyle w:val="10"/>
              <w:spacing w:before="7"/>
              <w:rPr>
                <w:sz w:val="29"/>
              </w:rPr>
            </w:pPr>
          </w:p>
          <w:p>
            <w:pPr>
              <w:pStyle w:val="10"/>
              <w:spacing w:line="189" w:lineRule="auto"/>
              <w:ind w:left="150" w:right="142"/>
              <w:rPr>
                <w:sz w:val="24"/>
              </w:rPr>
            </w:pPr>
            <w:r>
              <w:rPr>
                <w:sz w:val="24"/>
              </w:rPr>
              <w:t>估价结果</w:t>
            </w:r>
          </w:p>
        </w:tc>
        <w:tc>
          <w:tcPr>
            <w:tcW w:w="9304" w:type="dxa"/>
            <w:gridSpan w:val="2"/>
          </w:tcPr>
          <w:p>
            <w:pPr>
              <w:pStyle w:val="10"/>
              <w:spacing w:line="375" w:lineRule="exact"/>
              <w:ind w:left="352"/>
              <w:rPr>
                <w:sz w:val="24"/>
              </w:rPr>
            </w:pPr>
            <w:r>
              <w:rPr>
                <w:sz w:val="24"/>
              </w:rPr>
              <w:t>估价结果单位：</w:t>
            </w:r>
            <w:r>
              <w:rPr>
                <w:rFonts w:hint="eastAsia" w:ascii="Noto Sans Mono CJK JP Regular" w:eastAsia="Noto Sans Mono CJK JP Regular"/>
                <w:sz w:val="24"/>
              </w:rPr>
              <w:t>1</w:t>
            </w:r>
            <w:r>
              <w:rPr>
                <w:sz w:val="24"/>
              </w:rPr>
              <w:t>、币种人民币；</w:t>
            </w:r>
            <w:r>
              <w:rPr>
                <w:rFonts w:hint="eastAsia" w:ascii="Noto Sans Mono CJK JP Regular" w:eastAsia="Noto Sans Mono CJK JP Regular"/>
                <w:sz w:val="24"/>
              </w:rPr>
              <w:t>2</w:t>
            </w:r>
            <w:r>
              <w:rPr>
                <w:sz w:val="24"/>
              </w:rPr>
              <w:t>、面积</w:t>
            </w:r>
            <w:r>
              <w:rPr>
                <w:rFonts w:hint="eastAsia" w:ascii="Droid Sans Fallback" w:eastAsia="Droid Sans Fallback"/>
                <w:sz w:val="24"/>
              </w:rPr>
              <w:t>㎡</w:t>
            </w:r>
            <w:r>
              <w:rPr>
                <w:sz w:val="24"/>
              </w:rPr>
              <w:t>；</w:t>
            </w:r>
            <w:r>
              <w:rPr>
                <w:rFonts w:hint="eastAsia" w:ascii="Noto Sans Mono CJK JP Regular" w:eastAsia="Noto Sans Mono CJK JP Regular"/>
                <w:sz w:val="24"/>
              </w:rPr>
              <w:t>3</w:t>
            </w:r>
            <w:r>
              <w:rPr>
                <w:sz w:val="24"/>
              </w:rPr>
              <w:t>、单价元</w:t>
            </w:r>
            <w:r>
              <w:rPr>
                <w:rFonts w:hint="eastAsia" w:ascii="Noto Sans Mono CJK JP Regular" w:eastAsia="Noto Sans Mono CJK JP Regular"/>
                <w:sz w:val="24"/>
              </w:rPr>
              <w:t>/</w:t>
            </w:r>
            <w:r>
              <w:rPr>
                <w:rFonts w:hint="eastAsia" w:ascii="Droid Sans Fallback" w:eastAsia="Droid Sans Fallback"/>
                <w:sz w:val="24"/>
              </w:rPr>
              <w:t>㎡</w:t>
            </w:r>
            <w:r>
              <w:rPr>
                <w:sz w:val="24"/>
              </w:rPr>
              <w:t>；</w:t>
            </w:r>
            <w:r>
              <w:rPr>
                <w:rFonts w:hint="eastAsia" w:ascii="Noto Sans Mono CJK JP Regular" w:eastAsia="Noto Sans Mono CJK JP Regular"/>
                <w:sz w:val="24"/>
              </w:rPr>
              <w:t>4</w:t>
            </w:r>
            <w:r>
              <w:rPr>
                <w:sz w:val="24"/>
              </w:rPr>
              <w:t>、总价万元。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819" w:type="dxa"/>
            <w:vMerge w:val="continue"/>
            <w:tcBorders>
              <w:top w:val="nil"/>
            </w:tcBorders>
          </w:tcPr>
          <w:p>
            <w:pPr>
              <w:rPr>
                <w:sz w:val="2"/>
                <w:szCs w:val="2"/>
              </w:rPr>
            </w:pPr>
          </w:p>
        </w:tc>
        <w:tc>
          <w:tcPr>
            <w:tcW w:w="2979" w:type="dxa"/>
          </w:tcPr>
          <w:p>
            <w:pPr>
              <w:pStyle w:val="10"/>
              <w:spacing w:line="373" w:lineRule="exact"/>
              <w:ind w:left="613" w:right="624"/>
              <w:jc w:val="center"/>
              <w:rPr>
                <w:sz w:val="24"/>
              </w:rPr>
            </w:pPr>
            <w:r>
              <w:rPr>
                <w:sz w:val="24"/>
              </w:rPr>
              <w:t>评估单价</w:t>
            </w:r>
          </w:p>
        </w:tc>
        <w:tc>
          <w:tcPr>
            <w:tcW w:w="6325" w:type="dxa"/>
          </w:tcPr>
          <w:p>
            <w:pPr>
              <w:pStyle w:val="10"/>
              <w:spacing w:line="373" w:lineRule="exact"/>
              <w:ind w:left="105"/>
              <w:rPr>
                <w:rFonts w:hint="eastAsia" w:ascii="Droid Sans Fallback" w:eastAsia="Droid Sans Fallback"/>
                <w:sz w:val="24"/>
              </w:rPr>
            </w:pPr>
            <w:r>
              <w:rPr>
                <w:rFonts w:hint="eastAsia" w:ascii="Noto Sans Mono CJK JP Regular" w:eastAsia="Noto Sans Mono CJK JP Regular"/>
                <w:spacing w:val="5"/>
                <w:sz w:val="24"/>
              </w:rPr>
              <w:t>5835</w:t>
            </w:r>
            <w:r>
              <w:rPr>
                <w:rFonts w:hint="eastAsia" w:ascii="Noto Sans Mono CJK JP Regular" w:eastAsia="Noto Sans Mono CJK JP Regular"/>
                <w:spacing w:val="-46"/>
                <w:sz w:val="24"/>
              </w:rPr>
              <w:t xml:space="preserve"> </w:t>
            </w:r>
            <w:r>
              <w:rPr>
                <w:spacing w:val="14"/>
                <w:sz w:val="24"/>
              </w:rPr>
              <w:t>元</w:t>
            </w:r>
            <w:r>
              <w:rPr>
                <w:rFonts w:hint="eastAsia" w:ascii="Noto Sans Mono CJK JP Regular" w:eastAsia="Noto Sans Mono CJK JP Regular"/>
                <w:spacing w:val="9"/>
                <w:sz w:val="24"/>
              </w:rPr>
              <w:t>/</w:t>
            </w:r>
            <w:r>
              <w:rPr>
                <w:rFonts w:hint="eastAsia" w:ascii="Droid Sans Fallback" w:eastAsia="Droid Sans Fallback"/>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819" w:type="dxa"/>
            <w:vMerge w:val="continue"/>
            <w:tcBorders>
              <w:top w:val="nil"/>
            </w:tcBorders>
          </w:tcPr>
          <w:p>
            <w:pPr>
              <w:rPr>
                <w:sz w:val="2"/>
                <w:szCs w:val="2"/>
              </w:rPr>
            </w:pPr>
          </w:p>
        </w:tc>
        <w:tc>
          <w:tcPr>
            <w:tcW w:w="2979" w:type="dxa"/>
          </w:tcPr>
          <w:p>
            <w:pPr>
              <w:pStyle w:val="10"/>
              <w:spacing w:line="375" w:lineRule="exact"/>
              <w:ind w:left="613" w:right="624"/>
              <w:jc w:val="center"/>
              <w:rPr>
                <w:sz w:val="24"/>
              </w:rPr>
            </w:pPr>
            <w:r>
              <w:rPr>
                <w:sz w:val="24"/>
              </w:rPr>
              <w:t>评估总价</w:t>
            </w:r>
          </w:p>
        </w:tc>
        <w:tc>
          <w:tcPr>
            <w:tcW w:w="6325" w:type="dxa"/>
          </w:tcPr>
          <w:p>
            <w:pPr>
              <w:pStyle w:val="10"/>
              <w:spacing w:line="375" w:lineRule="exact"/>
              <w:ind w:left="105"/>
              <w:rPr>
                <w:sz w:val="24"/>
              </w:rPr>
            </w:pPr>
            <w:r>
              <w:rPr>
                <w:rFonts w:hint="eastAsia" w:ascii="Noto Sans Mono CJK JP Regular" w:eastAsia="Noto Sans Mono CJK JP Regular"/>
                <w:spacing w:val="5"/>
                <w:sz w:val="24"/>
              </w:rPr>
              <w:t xml:space="preserve">84.6308 </w:t>
            </w:r>
            <w:r>
              <w:rPr>
                <w:spacing w:val="16"/>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819" w:type="dxa"/>
            <w:vMerge w:val="continue"/>
            <w:tcBorders>
              <w:top w:val="nil"/>
            </w:tcBorders>
          </w:tcPr>
          <w:p>
            <w:pPr>
              <w:rPr>
                <w:sz w:val="2"/>
                <w:szCs w:val="2"/>
              </w:rPr>
            </w:pPr>
          </w:p>
        </w:tc>
        <w:tc>
          <w:tcPr>
            <w:tcW w:w="2979" w:type="dxa"/>
          </w:tcPr>
          <w:p>
            <w:pPr>
              <w:pStyle w:val="10"/>
              <w:spacing w:line="376" w:lineRule="exact"/>
              <w:ind w:left="625" w:right="624"/>
              <w:jc w:val="center"/>
              <w:rPr>
                <w:sz w:val="24"/>
              </w:rPr>
            </w:pPr>
            <w:r>
              <w:rPr>
                <w:sz w:val="24"/>
              </w:rPr>
              <w:t>评估总价值大写</w:t>
            </w:r>
          </w:p>
        </w:tc>
        <w:tc>
          <w:tcPr>
            <w:tcW w:w="6325" w:type="dxa"/>
          </w:tcPr>
          <w:p>
            <w:pPr>
              <w:pStyle w:val="10"/>
              <w:spacing w:line="376" w:lineRule="exact"/>
              <w:ind w:left="105"/>
              <w:rPr>
                <w:sz w:val="24"/>
              </w:rPr>
            </w:pPr>
            <w:r>
              <w:rPr>
                <w:sz w:val="24"/>
              </w:rPr>
              <w:t>捌拾肆万陆仟叁佰零捌元整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1" w:hRule="atLeast"/>
        </w:trPr>
        <w:tc>
          <w:tcPr>
            <w:tcW w:w="819" w:type="dxa"/>
            <w:vMerge w:val="restart"/>
          </w:tcPr>
          <w:p>
            <w:pPr>
              <w:pStyle w:val="10"/>
              <w:spacing w:before="5"/>
              <w:rPr>
                <w:sz w:val="10"/>
              </w:rPr>
            </w:pPr>
          </w:p>
          <w:p>
            <w:pPr>
              <w:pStyle w:val="10"/>
              <w:spacing w:before="1" w:line="187" w:lineRule="auto"/>
              <w:ind w:left="150" w:right="142"/>
              <w:rPr>
                <w:sz w:val="24"/>
              </w:rPr>
            </w:pPr>
            <w:r>
              <w:rPr>
                <w:sz w:val="24"/>
              </w:rPr>
              <w:t>特别提示</w:t>
            </w:r>
          </w:p>
        </w:tc>
        <w:tc>
          <w:tcPr>
            <w:tcW w:w="9304" w:type="dxa"/>
            <w:gridSpan w:val="2"/>
          </w:tcPr>
          <w:p>
            <w:pPr>
              <w:pStyle w:val="10"/>
              <w:spacing w:line="388" w:lineRule="exact"/>
              <w:ind w:left="105"/>
              <w:rPr>
                <w:sz w:val="24"/>
              </w:rPr>
            </w:pPr>
            <w:r>
              <w:rPr>
                <w:rFonts w:hint="eastAsia" w:ascii="Noto Sans Mono CJK JP Regular" w:eastAsia="Noto Sans Mono CJK JP Regular"/>
                <w:sz w:val="24"/>
              </w:rPr>
              <w:t>1</w:t>
            </w:r>
            <w:r>
              <w:rPr>
                <w:sz w:val="24"/>
              </w:rPr>
              <w:t>、上述估价结果包含分摊的土地价值，未扣除变现时所需支付的契税、增值税、所得</w:t>
            </w:r>
          </w:p>
          <w:p>
            <w:pPr>
              <w:pStyle w:val="10"/>
              <w:spacing w:line="388" w:lineRule="exact"/>
              <w:ind w:left="105"/>
              <w:rPr>
                <w:sz w:val="24"/>
              </w:rPr>
            </w:pPr>
            <w:r>
              <w:rPr>
                <w:sz w:val="24"/>
              </w:rPr>
              <w:t>税、交易手续费、房地产评估费、拍卖佣金等费用以及司法诉讼费和其他应付费用。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819" w:type="dxa"/>
            <w:vMerge w:val="continue"/>
            <w:tcBorders>
              <w:top w:val="nil"/>
            </w:tcBorders>
          </w:tcPr>
          <w:p>
            <w:pPr>
              <w:rPr>
                <w:sz w:val="2"/>
                <w:szCs w:val="2"/>
              </w:rPr>
            </w:pPr>
          </w:p>
        </w:tc>
        <w:tc>
          <w:tcPr>
            <w:tcW w:w="9304" w:type="dxa"/>
            <w:gridSpan w:val="2"/>
          </w:tcPr>
          <w:p>
            <w:pPr>
              <w:pStyle w:val="10"/>
              <w:spacing w:line="375" w:lineRule="exact"/>
              <w:ind w:left="105"/>
              <w:rPr>
                <w:sz w:val="24"/>
              </w:rPr>
            </w:pPr>
            <w:r>
              <w:rPr>
                <w:rFonts w:hint="eastAsia" w:ascii="Noto Sans Mono CJK JP Regular" w:eastAsia="Noto Sans Mono CJK JP Regular"/>
                <w:sz w:val="24"/>
              </w:rPr>
              <w:t>2</w:t>
            </w:r>
            <w:r>
              <w:rPr>
                <w:sz w:val="24"/>
              </w:rPr>
              <w:t>、本报告及结果仅提供委托人在特定委托目的下使用，使用有效期壹年。</w:t>
            </w:r>
          </w:p>
        </w:tc>
      </w:tr>
    </w:tbl>
    <w:p>
      <w:pPr>
        <w:pStyle w:val="3"/>
        <w:spacing w:line="175" w:lineRule="auto"/>
        <w:ind w:left="6672" w:right="596" w:hanging="680"/>
      </w:pPr>
      <w:r>
        <w:t>河北金石房地产评估有限公司二○一九年二月十五日</w:t>
      </w:r>
    </w:p>
    <w:p>
      <w:pPr>
        <w:spacing w:after="0" w:line="175" w:lineRule="auto"/>
        <w:sectPr>
          <w:type w:val="continuous"/>
          <w:pgSz w:w="11910" w:h="16840"/>
          <w:pgMar w:top="1580" w:right="680" w:bottom="280" w:left="800" w:header="720" w:footer="720" w:gutter="0"/>
        </w:sectPr>
      </w:pPr>
    </w:p>
    <w:p>
      <w:pPr>
        <w:pStyle w:val="3"/>
        <w:ind w:left="0"/>
        <w:rPr>
          <w:sz w:val="20"/>
        </w:rPr>
      </w:pPr>
    </w:p>
    <w:p>
      <w:pPr>
        <w:pStyle w:val="3"/>
        <w:spacing w:before="13"/>
        <w:ind w:left="0"/>
        <w:rPr>
          <w:sz w:val="18"/>
        </w:rPr>
      </w:pPr>
    </w:p>
    <w:p>
      <w:pPr>
        <w:pStyle w:val="2"/>
        <w:tabs>
          <w:tab w:val="left" w:pos="755"/>
        </w:tabs>
        <w:spacing w:line="641" w:lineRule="exact"/>
        <w:ind w:right="58"/>
        <w:jc w:val="center"/>
      </w:pPr>
      <w:r>
        <w:t>目</w:t>
      </w:r>
      <w:r>
        <w:tab/>
      </w:r>
      <w:r>
        <w:t>录</w:t>
      </w:r>
    </w:p>
    <w:sdt>
      <w:sdtPr>
        <w:id w:val="0"/>
        <w:docPartObj>
          <w:docPartGallery w:val="Table of Contents"/>
          <w:docPartUnique/>
        </w:docPartObj>
      </w:sdtPr>
      <w:sdtContent>
        <w:p>
          <w:pPr>
            <w:pStyle w:val="4"/>
            <w:tabs>
              <w:tab w:val="right" w:leader="dot" w:pos="9958"/>
            </w:tabs>
            <w:spacing w:before="552" w:line="414" w:lineRule="exact"/>
            <w:rPr>
              <w:rFonts w:hint="eastAsia" w:ascii="Noto Sans Mono CJK JP Regular" w:eastAsia="Noto Sans Mono CJK JP Regular"/>
            </w:rPr>
          </w:pPr>
          <w:r>
            <w:fldChar w:fldCharType="begin"/>
          </w:r>
          <w:r>
            <w:instrText xml:space="preserve"> HYPERLINK \l "_bookmark0" </w:instrText>
          </w:r>
          <w:r>
            <w:fldChar w:fldCharType="separate"/>
          </w:r>
          <w:r>
            <w:rPr>
              <w:spacing w:val="16"/>
            </w:rPr>
            <w:t>估</w:t>
          </w:r>
          <w:r>
            <w:rPr>
              <w:spacing w:val="14"/>
            </w:rPr>
            <w:t>价</w:t>
          </w:r>
          <w:r>
            <w:rPr>
              <w:spacing w:val="16"/>
            </w:rPr>
            <w:t>师声</w:t>
          </w:r>
          <w:r>
            <w:t>明</w:t>
          </w:r>
          <w:r>
            <w:tab/>
          </w:r>
          <w:r>
            <w:rPr>
              <w:rFonts w:hint="eastAsia" w:ascii="Noto Sans Mono CJK JP Regular" w:eastAsia="Noto Sans Mono CJK JP Regular"/>
            </w:rPr>
            <w:t>1</w:t>
          </w:r>
          <w:r>
            <w:rPr>
              <w:rFonts w:hint="eastAsia" w:ascii="Noto Sans Mono CJK JP Regular" w:eastAsia="Noto Sans Mono CJK JP Regular"/>
            </w:rPr>
            <w:fldChar w:fldCharType="end"/>
          </w:r>
        </w:p>
        <w:p>
          <w:pPr>
            <w:pStyle w:val="4"/>
            <w:tabs>
              <w:tab w:val="right" w:leader="dot" w:pos="9958"/>
            </w:tabs>
            <w:spacing w:line="319" w:lineRule="exact"/>
            <w:rPr>
              <w:rFonts w:hint="eastAsia" w:ascii="Noto Sans Mono CJK JP Regular" w:eastAsia="Noto Sans Mono CJK JP Regular"/>
            </w:rPr>
          </w:pPr>
          <w:r>
            <w:fldChar w:fldCharType="begin"/>
          </w:r>
          <w:r>
            <w:instrText xml:space="preserve"> HYPERLINK \l "_bookmark1" </w:instrText>
          </w:r>
          <w:r>
            <w:fldChar w:fldCharType="separate"/>
          </w:r>
          <w:r>
            <w:rPr>
              <w:spacing w:val="16"/>
            </w:rPr>
            <w:t>估</w:t>
          </w:r>
          <w:r>
            <w:rPr>
              <w:spacing w:val="14"/>
            </w:rPr>
            <w:t>价</w:t>
          </w:r>
          <w:r>
            <w:rPr>
              <w:spacing w:val="16"/>
            </w:rPr>
            <w:t>的假设和</w:t>
          </w:r>
          <w:r>
            <w:rPr>
              <w:spacing w:val="14"/>
            </w:rPr>
            <w:t>限</w:t>
          </w:r>
          <w:r>
            <w:rPr>
              <w:spacing w:val="16"/>
            </w:rPr>
            <w:t>制条</w:t>
          </w:r>
          <w:r>
            <w:t>件</w:t>
          </w:r>
          <w:r>
            <w:tab/>
          </w:r>
          <w:r>
            <w:rPr>
              <w:rFonts w:hint="eastAsia" w:ascii="Noto Sans Mono CJK JP Regular" w:eastAsia="Noto Sans Mono CJK JP Regular"/>
            </w:rPr>
            <w:t>2</w:t>
          </w:r>
          <w:r>
            <w:rPr>
              <w:rFonts w:hint="eastAsia" w:ascii="Noto Sans Mono CJK JP Regular" w:eastAsia="Noto Sans Mono CJK JP Regular"/>
            </w:rPr>
            <w:fldChar w:fldCharType="end"/>
          </w:r>
        </w:p>
        <w:p>
          <w:pPr>
            <w:pStyle w:val="5"/>
            <w:tabs>
              <w:tab w:val="right" w:leader="dot" w:pos="9617"/>
            </w:tabs>
            <w:rPr>
              <w:rFonts w:hint="eastAsia" w:ascii="Noto Sans Mono CJK JP Regular" w:eastAsia="Noto Sans Mono CJK JP Regular"/>
            </w:rPr>
          </w:pPr>
          <w:r>
            <w:fldChar w:fldCharType="begin"/>
          </w:r>
          <w:r>
            <w:instrText xml:space="preserve"> HYPERLINK \l "_bookmark2" </w:instrText>
          </w:r>
          <w:r>
            <w:fldChar w:fldCharType="separate"/>
          </w:r>
          <w:r>
            <w:rPr>
              <w:spacing w:val="16"/>
            </w:rPr>
            <w:t>一</w:t>
          </w:r>
          <w:r>
            <w:rPr>
              <w:spacing w:val="14"/>
            </w:rPr>
            <w:t>、</w:t>
          </w:r>
          <w:r>
            <w:rPr>
              <w:spacing w:val="16"/>
            </w:rPr>
            <w:t>一般假</w:t>
          </w:r>
          <w:r>
            <w:t>设</w:t>
          </w:r>
          <w:r>
            <w:tab/>
          </w:r>
          <w:r>
            <w:rPr>
              <w:rFonts w:hint="eastAsia" w:ascii="Noto Sans Mono CJK JP Regular" w:eastAsia="Noto Sans Mono CJK JP Regular"/>
            </w:rPr>
            <w:t>2</w:t>
          </w:r>
          <w:r>
            <w:rPr>
              <w:rFonts w:hint="eastAsia" w:ascii="Noto Sans Mono CJK JP Regular" w:eastAsia="Noto Sans Mono CJK JP Regular"/>
            </w:rPr>
            <w:fldChar w:fldCharType="end"/>
          </w:r>
        </w:p>
        <w:p>
          <w:pPr>
            <w:pStyle w:val="5"/>
            <w:tabs>
              <w:tab w:val="right" w:leader="dot" w:pos="9617"/>
            </w:tabs>
            <w:rPr>
              <w:rFonts w:hint="eastAsia" w:ascii="Noto Sans Mono CJK JP Regular" w:eastAsia="Noto Sans Mono CJK JP Regular"/>
            </w:rPr>
          </w:pPr>
          <w:r>
            <w:fldChar w:fldCharType="begin"/>
          </w:r>
          <w:r>
            <w:instrText xml:space="preserve"> HYPERLINK \l "_bookmark3" </w:instrText>
          </w:r>
          <w:r>
            <w:fldChar w:fldCharType="separate"/>
          </w:r>
          <w:r>
            <w:rPr>
              <w:spacing w:val="16"/>
            </w:rPr>
            <w:t>二</w:t>
          </w:r>
          <w:r>
            <w:rPr>
              <w:spacing w:val="14"/>
            </w:rPr>
            <w:t>、</w:t>
          </w:r>
          <w:r>
            <w:rPr>
              <w:spacing w:val="16"/>
            </w:rPr>
            <w:t>未定事项</w:t>
          </w:r>
          <w:r>
            <w:rPr>
              <w:spacing w:val="14"/>
            </w:rPr>
            <w:t>假</w:t>
          </w:r>
          <w:r>
            <w:t>设</w:t>
          </w:r>
          <w:r>
            <w:tab/>
          </w:r>
          <w:r>
            <w:rPr>
              <w:rFonts w:hint="eastAsia" w:ascii="Noto Sans Mono CJK JP Regular" w:eastAsia="Noto Sans Mono CJK JP Regular"/>
            </w:rPr>
            <w:t>3</w:t>
          </w:r>
          <w:r>
            <w:rPr>
              <w:rFonts w:hint="eastAsia" w:ascii="Noto Sans Mono CJK JP Regular" w:eastAsia="Noto Sans Mono CJK JP Regular"/>
            </w:rPr>
            <w:fldChar w:fldCharType="end"/>
          </w:r>
        </w:p>
        <w:p>
          <w:pPr>
            <w:pStyle w:val="5"/>
            <w:tabs>
              <w:tab w:val="right" w:leader="dot" w:pos="9617"/>
            </w:tabs>
            <w:spacing w:line="319" w:lineRule="exact"/>
            <w:rPr>
              <w:rFonts w:hint="eastAsia" w:ascii="Noto Sans Mono CJK JP Regular" w:eastAsia="Noto Sans Mono CJK JP Regular"/>
            </w:rPr>
          </w:pPr>
          <w:r>
            <w:fldChar w:fldCharType="begin"/>
          </w:r>
          <w:r>
            <w:instrText xml:space="preserve"> HYPERLINK \l "_bookmark4" </w:instrText>
          </w:r>
          <w:r>
            <w:fldChar w:fldCharType="separate"/>
          </w:r>
          <w:r>
            <w:rPr>
              <w:spacing w:val="16"/>
            </w:rPr>
            <w:t>三</w:t>
          </w:r>
          <w:r>
            <w:rPr>
              <w:spacing w:val="14"/>
            </w:rPr>
            <w:t>、</w:t>
          </w:r>
          <w:r>
            <w:rPr>
              <w:spacing w:val="16"/>
            </w:rPr>
            <w:t>背离事项</w:t>
          </w:r>
          <w:r>
            <w:rPr>
              <w:spacing w:val="14"/>
            </w:rPr>
            <w:t>假</w:t>
          </w:r>
          <w:r>
            <w:t>设</w:t>
          </w:r>
          <w:r>
            <w:tab/>
          </w:r>
          <w:r>
            <w:rPr>
              <w:rFonts w:hint="eastAsia" w:ascii="Noto Sans Mono CJK JP Regular" w:eastAsia="Noto Sans Mono CJK JP Regular"/>
            </w:rPr>
            <w:t>3</w:t>
          </w:r>
          <w:r>
            <w:rPr>
              <w:rFonts w:hint="eastAsia" w:ascii="Noto Sans Mono CJK JP Regular" w:eastAsia="Noto Sans Mono CJK JP Regular"/>
            </w:rPr>
            <w:fldChar w:fldCharType="end"/>
          </w:r>
        </w:p>
        <w:p>
          <w:pPr>
            <w:pStyle w:val="5"/>
            <w:tabs>
              <w:tab w:val="right" w:leader="dot" w:pos="9617"/>
            </w:tabs>
            <w:spacing w:line="321" w:lineRule="exact"/>
            <w:rPr>
              <w:rFonts w:hint="eastAsia" w:ascii="Noto Sans Mono CJK JP Regular" w:eastAsia="Noto Sans Mono CJK JP Regular"/>
            </w:rPr>
          </w:pPr>
          <w:r>
            <w:fldChar w:fldCharType="begin"/>
          </w:r>
          <w:r>
            <w:instrText xml:space="preserve"> HYPERLINK \l "_bookmark5" </w:instrText>
          </w:r>
          <w:r>
            <w:fldChar w:fldCharType="separate"/>
          </w:r>
          <w:r>
            <w:rPr>
              <w:spacing w:val="16"/>
            </w:rPr>
            <w:t>四</w:t>
          </w:r>
          <w:r>
            <w:rPr>
              <w:spacing w:val="14"/>
            </w:rPr>
            <w:t>、</w:t>
          </w:r>
          <w:r>
            <w:rPr>
              <w:spacing w:val="16"/>
            </w:rPr>
            <w:t>不相一致</w:t>
          </w:r>
          <w:r>
            <w:rPr>
              <w:spacing w:val="14"/>
            </w:rPr>
            <w:t>假</w:t>
          </w:r>
          <w:r>
            <w:t>设</w:t>
          </w:r>
          <w:r>
            <w:tab/>
          </w:r>
          <w:r>
            <w:rPr>
              <w:rFonts w:hint="eastAsia" w:ascii="Noto Sans Mono CJK JP Regular" w:eastAsia="Noto Sans Mono CJK JP Regular"/>
            </w:rPr>
            <w:t>3</w:t>
          </w:r>
          <w:r>
            <w:rPr>
              <w:rFonts w:hint="eastAsia" w:ascii="Noto Sans Mono CJK JP Regular" w:eastAsia="Noto Sans Mono CJK JP Regular"/>
            </w:rPr>
            <w:fldChar w:fldCharType="end"/>
          </w:r>
        </w:p>
        <w:p>
          <w:pPr>
            <w:pStyle w:val="5"/>
            <w:tabs>
              <w:tab w:val="right" w:leader="dot" w:pos="9617"/>
            </w:tabs>
            <w:spacing w:line="321" w:lineRule="exact"/>
            <w:rPr>
              <w:rFonts w:hint="eastAsia" w:ascii="Noto Sans Mono CJK JP Regular" w:eastAsia="Noto Sans Mono CJK JP Regular"/>
            </w:rPr>
          </w:pPr>
          <w:r>
            <w:fldChar w:fldCharType="begin"/>
          </w:r>
          <w:r>
            <w:instrText xml:space="preserve"> HYPERLINK \l "_bookmark6" </w:instrText>
          </w:r>
          <w:r>
            <w:fldChar w:fldCharType="separate"/>
          </w:r>
          <w:r>
            <w:rPr>
              <w:spacing w:val="16"/>
            </w:rPr>
            <w:t>五</w:t>
          </w:r>
          <w:r>
            <w:rPr>
              <w:spacing w:val="14"/>
            </w:rPr>
            <w:t>、</w:t>
          </w:r>
          <w:r>
            <w:rPr>
              <w:spacing w:val="16"/>
            </w:rPr>
            <w:t>依据不足</w:t>
          </w:r>
          <w:r>
            <w:rPr>
              <w:spacing w:val="14"/>
            </w:rPr>
            <w:t>假</w:t>
          </w:r>
          <w:r>
            <w:t>设</w:t>
          </w:r>
          <w:r>
            <w:tab/>
          </w:r>
          <w:r>
            <w:rPr>
              <w:rFonts w:hint="eastAsia" w:ascii="Noto Sans Mono CJK JP Regular" w:eastAsia="Noto Sans Mono CJK JP Regular"/>
            </w:rPr>
            <w:t>3</w:t>
          </w:r>
          <w:r>
            <w:rPr>
              <w:rFonts w:hint="eastAsia" w:ascii="Noto Sans Mono CJK JP Regular" w:eastAsia="Noto Sans Mono CJK JP Regular"/>
            </w:rPr>
            <w:fldChar w:fldCharType="end"/>
          </w:r>
        </w:p>
        <w:p>
          <w:pPr>
            <w:pStyle w:val="5"/>
            <w:tabs>
              <w:tab w:val="right" w:leader="dot" w:pos="9617"/>
            </w:tabs>
            <w:spacing w:line="319" w:lineRule="exact"/>
            <w:rPr>
              <w:rFonts w:hint="eastAsia" w:ascii="Noto Sans Mono CJK JP Regular" w:eastAsia="Noto Sans Mono CJK JP Regular"/>
            </w:rPr>
          </w:pPr>
          <w:r>
            <w:fldChar w:fldCharType="begin"/>
          </w:r>
          <w:r>
            <w:instrText xml:space="preserve"> HYPERLINK \l "_bookmark7" </w:instrText>
          </w:r>
          <w:r>
            <w:fldChar w:fldCharType="separate"/>
          </w:r>
          <w:r>
            <w:rPr>
              <w:spacing w:val="16"/>
            </w:rPr>
            <w:t>六</w:t>
          </w:r>
          <w:r>
            <w:rPr>
              <w:spacing w:val="14"/>
            </w:rPr>
            <w:t>、</w:t>
          </w:r>
          <w:r>
            <w:rPr>
              <w:spacing w:val="16"/>
            </w:rPr>
            <w:t>估价报告</w:t>
          </w:r>
          <w:r>
            <w:rPr>
              <w:spacing w:val="14"/>
            </w:rPr>
            <w:t>使</w:t>
          </w:r>
          <w:r>
            <w:rPr>
              <w:spacing w:val="16"/>
            </w:rPr>
            <w:t>用限</w:t>
          </w:r>
          <w:r>
            <w:t>制</w:t>
          </w:r>
          <w:r>
            <w:tab/>
          </w:r>
          <w:r>
            <w:rPr>
              <w:rFonts w:hint="eastAsia" w:ascii="Noto Sans Mono CJK JP Regular" w:eastAsia="Noto Sans Mono CJK JP Regular"/>
            </w:rPr>
            <w:t>4</w:t>
          </w:r>
          <w:r>
            <w:rPr>
              <w:rFonts w:hint="eastAsia" w:ascii="Noto Sans Mono CJK JP Regular" w:eastAsia="Noto Sans Mono CJK JP Regular"/>
            </w:rPr>
            <w:fldChar w:fldCharType="end"/>
          </w:r>
        </w:p>
        <w:p>
          <w:pPr>
            <w:pStyle w:val="4"/>
            <w:tabs>
              <w:tab w:val="right" w:leader="dot" w:pos="9958"/>
            </w:tabs>
            <w:rPr>
              <w:rFonts w:hint="eastAsia" w:ascii="Noto Sans Mono CJK JP Regular" w:eastAsia="Noto Sans Mono CJK JP Regular"/>
            </w:rPr>
          </w:pPr>
          <w:r>
            <w:fldChar w:fldCharType="begin"/>
          </w:r>
          <w:r>
            <w:instrText xml:space="preserve"> HYPERLINK \l "_bookmark8" </w:instrText>
          </w:r>
          <w:r>
            <w:fldChar w:fldCharType="separate"/>
          </w:r>
          <w:r>
            <w:rPr>
              <w:spacing w:val="16"/>
            </w:rPr>
            <w:t>房</w:t>
          </w:r>
          <w:r>
            <w:rPr>
              <w:spacing w:val="14"/>
            </w:rPr>
            <w:t>地</w:t>
          </w:r>
          <w:r>
            <w:rPr>
              <w:spacing w:val="16"/>
            </w:rPr>
            <w:t>产估价结</w:t>
          </w:r>
          <w:r>
            <w:rPr>
              <w:spacing w:val="14"/>
            </w:rPr>
            <w:t>果</w:t>
          </w:r>
          <w:r>
            <w:rPr>
              <w:spacing w:val="16"/>
            </w:rPr>
            <w:t>报</w:t>
          </w:r>
          <w:r>
            <w:t>告</w:t>
          </w:r>
          <w:r>
            <w:tab/>
          </w:r>
          <w:r>
            <w:rPr>
              <w:rFonts w:hint="eastAsia" w:ascii="Noto Sans Mono CJK JP Regular" w:eastAsia="Noto Sans Mono CJK JP Regular"/>
            </w:rPr>
            <w:t>6</w:t>
          </w:r>
          <w:r>
            <w:rPr>
              <w:rFonts w:hint="eastAsia" w:ascii="Noto Sans Mono CJK JP Regular" w:eastAsia="Noto Sans Mono CJK JP Regular"/>
            </w:rPr>
            <w:fldChar w:fldCharType="end"/>
          </w:r>
        </w:p>
        <w:p>
          <w:pPr>
            <w:pStyle w:val="5"/>
            <w:tabs>
              <w:tab w:val="right" w:leader="dot" w:pos="9617"/>
            </w:tabs>
            <w:rPr>
              <w:rFonts w:hint="eastAsia" w:ascii="Noto Sans Mono CJK JP Regular" w:eastAsia="Noto Sans Mono CJK JP Regular"/>
            </w:rPr>
          </w:pPr>
          <w:r>
            <w:fldChar w:fldCharType="begin"/>
          </w:r>
          <w:r>
            <w:instrText xml:space="preserve"> HYPERLINK \l "_bookmark9" </w:instrText>
          </w:r>
          <w:r>
            <w:fldChar w:fldCharType="separate"/>
          </w:r>
          <w:r>
            <w:rPr>
              <w:spacing w:val="16"/>
            </w:rPr>
            <w:t>一</w:t>
          </w:r>
          <w:r>
            <w:rPr>
              <w:spacing w:val="14"/>
            </w:rPr>
            <w:t>、</w:t>
          </w:r>
          <w:r>
            <w:rPr>
              <w:spacing w:val="16"/>
            </w:rPr>
            <w:t>估价委托</w:t>
          </w:r>
          <w:r>
            <w:t>人</w:t>
          </w:r>
          <w:r>
            <w:tab/>
          </w:r>
          <w:r>
            <w:rPr>
              <w:rFonts w:hint="eastAsia" w:ascii="Noto Sans Mono CJK JP Regular" w:eastAsia="Noto Sans Mono CJK JP Regular"/>
            </w:rPr>
            <w:t>6</w:t>
          </w:r>
          <w:r>
            <w:rPr>
              <w:rFonts w:hint="eastAsia" w:ascii="Noto Sans Mono CJK JP Regular" w:eastAsia="Noto Sans Mono CJK JP Regular"/>
            </w:rPr>
            <w:fldChar w:fldCharType="end"/>
          </w:r>
        </w:p>
        <w:p>
          <w:pPr>
            <w:pStyle w:val="5"/>
            <w:tabs>
              <w:tab w:val="right" w:leader="dot" w:pos="9617"/>
            </w:tabs>
            <w:spacing w:line="319" w:lineRule="exact"/>
            <w:rPr>
              <w:rFonts w:hint="eastAsia" w:ascii="Noto Sans Mono CJK JP Regular" w:eastAsia="Noto Sans Mono CJK JP Regular"/>
            </w:rPr>
          </w:pPr>
          <w:r>
            <w:fldChar w:fldCharType="begin"/>
          </w:r>
          <w:r>
            <w:instrText xml:space="preserve"> HYPERLINK \l "_bookmark10" </w:instrText>
          </w:r>
          <w:r>
            <w:fldChar w:fldCharType="separate"/>
          </w:r>
          <w:r>
            <w:rPr>
              <w:spacing w:val="16"/>
            </w:rPr>
            <w:t>二</w:t>
          </w:r>
          <w:r>
            <w:rPr>
              <w:spacing w:val="14"/>
            </w:rPr>
            <w:t>、</w:t>
          </w:r>
          <w:r>
            <w:rPr>
              <w:spacing w:val="16"/>
            </w:rPr>
            <w:t>房地产估</w:t>
          </w:r>
          <w:r>
            <w:rPr>
              <w:spacing w:val="14"/>
            </w:rPr>
            <w:t>价</w:t>
          </w:r>
          <w:r>
            <w:rPr>
              <w:spacing w:val="16"/>
            </w:rPr>
            <w:t>机</w:t>
          </w:r>
          <w:r>
            <w:t>构</w:t>
          </w:r>
          <w:r>
            <w:tab/>
          </w:r>
          <w:r>
            <w:rPr>
              <w:rFonts w:hint="eastAsia" w:ascii="Noto Sans Mono CJK JP Regular" w:eastAsia="Noto Sans Mono CJK JP Regular"/>
            </w:rPr>
            <w:t>6</w:t>
          </w:r>
          <w:r>
            <w:rPr>
              <w:rFonts w:hint="eastAsia" w:ascii="Noto Sans Mono CJK JP Regular" w:eastAsia="Noto Sans Mono CJK JP Regular"/>
            </w:rPr>
            <w:fldChar w:fldCharType="end"/>
          </w:r>
        </w:p>
        <w:p>
          <w:pPr>
            <w:pStyle w:val="5"/>
            <w:tabs>
              <w:tab w:val="right" w:leader="dot" w:pos="9617"/>
            </w:tabs>
            <w:rPr>
              <w:rFonts w:hint="eastAsia" w:ascii="Noto Sans Mono CJK JP Regular" w:eastAsia="Noto Sans Mono CJK JP Regular"/>
            </w:rPr>
          </w:pPr>
          <w:r>
            <w:fldChar w:fldCharType="begin"/>
          </w:r>
          <w:r>
            <w:instrText xml:space="preserve"> HYPERLINK \l "_bookmark11" </w:instrText>
          </w:r>
          <w:r>
            <w:fldChar w:fldCharType="separate"/>
          </w:r>
          <w:r>
            <w:rPr>
              <w:spacing w:val="16"/>
            </w:rPr>
            <w:t>三</w:t>
          </w:r>
          <w:r>
            <w:rPr>
              <w:spacing w:val="14"/>
            </w:rPr>
            <w:t>、</w:t>
          </w:r>
          <w:r>
            <w:rPr>
              <w:spacing w:val="16"/>
            </w:rPr>
            <w:t>估价目</w:t>
          </w:r>
          <w:r>
            <w:t>的</w:t>
          </w:r>
          <w:r>
            <w:tab/>
          </w:r>
          <w:r>
            <w:rPr>
              <w:rFonts w:hint="eastAsia" w:ascii="Noto Sans Mono CJK JP Regular" w:eastAsia="Noto Sans Mono CJK JP Regular"/>
            </w:rPr>
            <w:t>6</w:t>
          </w:r>
          <w:r>
            <w:rPr>
              <w:rFonts w:hint="eastAsia" w:ascii="Noto Sans Mono CJK JP Regular" w:eastAsia="Noto Sans Mono CJK JP Regular"/>
            </w:rPr>
            <w:fldChar w:fldCharType="end"/>
          </w:r>
        </w:p>
        <w:p>
          <w:pPr>
            <w:pStyle w:val="5"/>
            <w:tabs>
              <w:tab w:val="right" w:leader="dot" w:pos="9617"/>
            </w:tabs>
            <w:rPr>
              <w:rFonts w:hint="eastAsia" w:ascii="Noto Sans Mono CJK JP Regular" w:eastAsia="Noto Sans Mono CJK JP Regular"/>
            </w:rPr>
          </w:pPr>
          <w:r>
            <w:fldChar w:fldCharType="begin"/>
          </w:r>
          <w:r>
            <w:instrText xml:space="preserve"> HYPERLINK \l "_bookmark12" </w:instrText>
          </w:r>
          <w:r>
            <w:fldChar w:fldCharType="separate"/>
          </w:r>
          <w:r>
            <w:rPr>
              <w:spacing w:val="16"/>
            </w:rPr>
            <w:t>四</w:t>
          </w:r>
          <w:r>
            <w:rPr>
              <w:spacing w:val="14"/>
            </w:rPr>
            <w:t>、</w:t>
          </w:r>
          <w:r>
            <w:rPr>
              <w:spacing w:val="16"/>
            </w:rPr>
            <w:t>估价对</w:t>
          </w:r>
          <w:r>
            <w:t>象</w:t>
          </w:r>
          <w:r>
            <w:tab/>
          </w:r>
          <w:r>
            <w:rPr>
              <w:rFonts w:hint="eastAsia" w:ascii="Noto Sans Mono CJK JP Regular" w:eastAsia="Noto Sans Mono CJK JP Regular"/>
            </w:rPr>
            <w:t>6</w:t>
          </w:r>
          <w:r>
            <w:rPr>
              <w:rFonts w:hint="eastAsia" w:ascii="Noto Sans Mono CJK JP Regular" w:eastAsia="Noto Sans Mono CJK JP Regular"/>
            </w:rPr>
            <w:fldChar w:fldCharType="end"/>
          </w:r>
        </w:p>
        <w:p>
          <w:pPr>
            <w:pStyle w:val="5"/>
            <w:tabs>
              <w:tab w:val="right" w:leader="dot" w:pos="9617"/>
            </w:tabs>
            <w:spacing w:line="319" w:lineRule="exact"/>
            <w:rPr>
              <w:rFonts w:hint="eastAsia" w:ascii="Noto Sans Mono CJK JP Regular" w:eastAsia="Noto Sans Mono CJK JP Regular"/>
            </w:rPr>
          </w:pPr>
          <w:r>
            <w:fldChar w:fldCharType="begin"/>
          </w:r>
          <w:r>
            <w:instrText xml:space="preserve"> HYPERLINK \l "_bookmark13" </w:instrText>
          </w:r>
          <w:r>
            <w:fldChar w:fldCharType="separate"/>
          </w:r>
          <w:r>
            <w:rPr>
              <w:spacing w:val="16"/>
            </w:rPr>
            <w:t>五</w:t>
          </w:r>
          <w:r>
            <w:rPr>
              <w:spacing w:val="14"/>
            </w:rPr>
            <w:t>、</w:t>
          </w:r>
          <w:r>
            <w:rPr>
              <w:spacing w:val="16"/>
            </w:rPr>
            <w:t>价值时</w:t>
          </w:r>
          <w:r>
            <w:t>点</w:t>
          </w:r>
          <w:r>
            <w:tab/>
          </w:r>
          <w:r>
            <w:rPr>
              <w:rFonts w:hint="eastAsia" w:ascii="Noto Sans Mono CJK JP Regular" w:eastAsia="Noto Sans Mono CJK JP Regular"/>
            </w:rPr>
            <w:t>7</w:t>
          </w:r>
          <w:r>
            <w:rPr>
              <w:rFonts w:hint="eastAsia" w:ascii="Noto Sans Mono CJK JP Regular" w:eastAsia="Noto Sans Mono CJK JP Regular"/>
            </w:rPr>
            <w:fldChar w:fldCharType="end"/>
          </w:r>
        </w:p>
        <w:p>
          <w:pPr>
            <w:pStyle w:val="5"/>
            <w:tabs>
              <w:tab w:val="right" w:leader="dot" w:pos="9617"/>
            </w:tabs>
            <w:rPr>
              <w:rFonts w:hint="eastAsia" w:ascii="Noto Sans Mono CJK JP Regular" w:eastAsia="Noto Sans Mono CJK JP Regular"/>
            </w:rPr>
          </w:pPr>
          <w:r>
            <w:fldChar w:fldCharType="begin"/>
          </w:r>
          <w:r>
            <w:instrText xml:space="preserve"> HYPERLINK \l "_bookmark14" </w:instrText>
          </w:r>
          <w:r>
            <w:fldChar w:fldCharType="separate"/>
          </w:r>
          <w:r>
            <w:rPr>
              <w:spacing w:val="16"/>
            </w:rPr>
            <w:t>六</w:t>
          </w:r>
          <w:r>
            <w:rPr>
              <w:spacing w:val="14"/>
            </w:rPr>
            <w:t>、</w:t>
          </w:r>
          <w:r>
            <w:rPr>
              <w:spacing w:val="16"/>
            </w:rPr>
            <w:t>价值类</w:t>
          </w:r>
          <w:r>
            <w:t>型</w:t>
          </w:r>
          <w:r>
            <w:tab/>
          </w:r>
          <w:r>
            <w:rPr>
              <w:rFonts w:hint="eastAsia" w:ascii="Noto Sans Mono CJK JP Regular" w:eastAsia="Noto Sans Mono CJK JP Regular"/>
            </w:rPr>
            <w:t>7</w:t>
          </w:r>
          <w:r>
            <w:rPr>
              <w:rFonts w:hint="eastAsia" w:ascii="Noto Sans Mono CJK JP Regular" w:eastAsia="Noto Sans Mono CJK JP Regular"/>
            </w:rPr>
            <w:fldChar w:fldCharType="end"/>
          </w:r>
        </w:p>
        <w:p>
          <w:pPr>
            <w:pStyle w:val="5"/>
            <w:tabs>
              <w:tab w:val="right" w:leader="dot" w:pos="9617"/>
            </w:tabs>
            <w:rPr>
              <w:rFonts w:hint="eastAsia" w:ascii="Noto Sans Mono CJK JP Regular" w:eastAsia="Noto Sans Mono CJK JP Regular"/>
            </w:rPr>
          </w:pPr>
          <w:r>
            <w:fldChar w:fldCharType="begin"/>
          </w:r>
          <w:r>
            <w:instrText xml:space="preserve"> HYPERLINK \l "_bookmark15" </w:instrText>
          </w:r>
          <w:r>
            <w:fldChar w:fldCharType="separate"/>
          </w:r>
          <w:r>
            <w:rPr>
              <w:spacing w:val="16"/>
            </w:rPr>
            <w:t>七</w:t>
          </w:r>
          <w:r>
            <w:rPr>
              <w:spacing w:val="14"/>
            </w:rPr>
            <w:t>、</w:t>
          </w:r>
          <w:r>
            <w:rPr>
              <w:spacing w:val="16"/>
            </w:rPr>
            <w:t>估价原</w:t>
          </w:r>
          <w:r>
            <w:t>则</w:t>
          </w:r>
          <w:r>
            <w:tab/>
          </w:r>
          <w:r>
            <w:rPr>
              <w:rFonts w:hint="eastAsia" w:ascii="Noto Sans Mono CJK JP Regular" w:eastAsia="Noto Sans Mono CJK JP Regular"/>
            </w:rPr>
            <w:t>7</w:t>
          </w:r>
          <w:r>
            <w:rPr>
              <w:rFonts w:hint="eastAsia" w:ascii="Noto Sans Mono CJK JP Regular" w:eastAsia="Noto Sans Mono CJK JP Regular"/>
            </w:rPr>
            <w:fldChar w:fldCharType="end"/>
          </w:r>
        </w:p>
        <w:p>
          <w:pPr>
            <w:pStyle w:val="5"/>
            <w:tabs>
              <w:tab w:val="right" w:leader="dot" w:pos="9617"/>
            </w:tabs>
            <w:spacing w:line="319" w:lineRule="exact"/>
            <w:rPr>
              <w:rFonts w:hint="eastAsia" w:ascii="Noto Sans Mono CJK JP Regular" w:eastAsia="Noto Sans Mono CJK JP Regular"/>
            </w:rPr>
          </w:pPr>
          <w:r>
            <w:fldChar w:fldCharType="begin"/>
          </w:r>
          <w:r>
            <w:instrText xml:space="preserve"> HYPERLINK \l "_bookmark16" </w:instrText>
          </w:r>
          <w:r>
            <w:fldChar w:fldCharType="separate"/>
          </w:r>
          <w:r>
            <w:rPr>
              <w:spacing w:val="16"/>
            </w:rPr>
            <w:t>八</w:t>
          </w:r>
          <w:r>
            <w:rPr>
              <w:spacing w:val="14"/>
            </w:rPr>
            <w:t>、</w:t>
          </w:r>
          <w:r>
            <w:rPr>
              <w:spacing w:val="16"/>
            </w:rPr>
            <w:t>估价依</w:t>
          </w:r>
          <w:r>
            <w:t>据</w:t>
          </w:r>
          <w:r>
            <w:tab/>
          </w:r>
          <w:r>
            <w:rPr>
              <w:rFonts w:hint="eastAsia" w:ascii="Noto Sans Mono CJK JP Regular" w:eastAsia="Noto Sans Mono CJK JP Regular"/>
            </w:rPr>
            <w:t>8</w:t>
          </w:r>
          <w:r>
            <w:rPr>
              <w:rFonts w:hint="eastAsia" w:ascii="Noto Sans Mono CJK JP Regular" w:eastAsia="Noto Sans Mono CJK JP Regular"/>
            </w:rPr>
            <w:fldChar w:fldCharType="end"/>
          </w:r>
        </w:p>
        <w:p>
          <w:pPr>
            <w:pStyle w:val="5"/>
            <w:tabs>
              <w:tab w:val="right" w:leader="dot" w:pos="9617"/>
            </w:tabs>
            <w:spacing w:line="321" w:lineRule="exact"/>
            <w:rPr>
              <w:rFonts w:hint="eastAsia" w:ascii="Noto Sans Mono CJK JP Regular" w:eastAsia="Noto Sans Mono CJK JP Regular"/>
            </w:rPr>
          </w:pPr>
          <w:r>
            <w:fldChar w:fldCharType="begin"/>
          </w:r>
          <w:r>
            <w:instrText xml:space="preserve"> HYPERLINK \l "_bookmark17" </w:instrText>
          </w:r>
          <w:r>
            <w:fldChar w:fldCharType="separate"/>
          </w:r>
          <w:r>
            <w:rPr>
              <w:spacing w:val="16"/>
            </w:rPr>
            <w:t>九</w:t>
          </w:r>
          <w:r>
            <w:rPr>
              <w:spacing w:val="14"/>
            </w:rPr>
            <w:t>、</w:t>
          </w:r>
          <w:r>
            <w:rPr>
              <w:spacing w:val="16"/>
            </w:rPr>
            <w:t>估价方法</w:t>
          </w:r>
          <w:r>
            <w:rPr>
              <w:spacing w:val="14"/>
            </w:rPr>
            <w:t>选</w:t>
          </w:r>
          <w:r>
            <w:rPr>
              <w:spacing w:val="16"/>
            </w:rPr>
            <w:t>用及定</w:t>
          </w:r>
          <w:r>
            <w:t>义</w:t>
          </w:r>
          <w:r>
            <w:tab/>
          </w:r>
          <w:r>
            <w:rPr>
              <w:rFonts w:hint="eastAsia" w:ascii="Noto Sans Mono CJK JP Regular" w:eastAsia="Noto Sans Mono CJK JP Regular"/>
            </w:rPr>
            <w:t>9</w:t>
          </w:r>
          <w:r>
            <w:rPr>
              <w:rFonts w:hint="eastAsia" w:ascii="Noto Sans Mono CJK JP Regular" w:eastAsia="Noto Sans Mono CJK JP Regular"/>
            </w:rPr>
            <w:fldChar w:fldCharType="end"/>
          </w:r>
        </w:p>
        <w:p>
          <w:pPr>
            <w:pStyle w:val="5"/>
            <w:tabs>
              <w:tab w:val="right" w:leader="dot" w:pos="9622"/>
            </w:tabs>
            <w:spacing w:line="321" w:lineRule="exact"/>
            <w:rPr>
              <w:rFonts w:hint="eastAsia" w:ascii="Noto Sans Mono CJK JP Regular" w:eastAsia="Noto Sans Mono CJK JP Regular"/>
            </w:rPr>
          </w:pPr>
          <w:r>
            <w:fldChar w:fldCharType="begin"/>
          </w:r>
          <w:r>
            <w:instrText xml:space="preserve"> HYPERLINK \l "_bookmark18" </w:instrText>
          </w:r>
          <w:r>
            <w:fldChar w:fldCharType="separate"/>
          </w:r>
          <w:r>
            <w:rPr>
              <w:spacing w:val="16"/>
            </w:rPr>
            <w:t>十</w:t>
          </w:r>
          <w:r>
            <w:rPr>
              <w:spacing w:val="14"/>
            </w:rPr>
            <w:t>、</w:t>
          </w:r>
          <w:r>
            <w:rPr>
              <w:spacing w:val="16"/>
            </w:rPr>
            <w:t>估价结</w:t>
          </w:r>
          <w:r>
            <w:t>果</w:t>
          </w:r>
          <w:r>
            <w:tab/>
          </w:r>
          <w:r>
            <w:rPr>
              <w:rFonts w:hint="eastAsia" w:ascii="Noto Sans Mono CJK JP Regular" w:eastAsia="Noto Sans Mono CJK JP Regular"/>
              <w:spacing w:val="7"/>
            </w:rPr>
            <w:t>10</w:t>
          </w:r>
          <w:r>
            <w:rPr>
              <w:rFonts w:hint="eastAsia" w:ascii="Noto Sans Mono CJK JP Regular" w:eastAsia="Noto Sans Mono CJK JP Regular"/>
              <w:spacing w:val="7"/>
            </w:rPr>
            <w:fldChar w:fldCharType="end"/>
          </w:r>
        </w:p>
        <w:p>
          <w:pPr>
            <w:pStyle w:val="5"/>
            <w:tabs>
              <w:tab w:val="right" w:leader="dot" w:pos="9622"/>
            </w:tabs>
            <w:spacing w:line="319" w:lineRule="exact"/>
            <w:rPr>
              <w:rFonts w:hint="eastAsia" w:ascii="Noto Sans Mono CJK JP Regular" w:eastAsia="Noto Sans Mono CJK JP Regular"/>
            </w:rPr>
          </w:pPr>
          <w:r>
            <w:fldChar w:fldCharType="begin"/>
          </w:r>
          <w:r>
            <w:instrText xml:space="preserve"> HYPERLINK \l "_bookmark19" </w:instrText>
          </w:r>
          <w:r>
            <w:fldChar w:fldCharType="separate"/>
          </w:r>
          <w:r>
            <w:rPr>
              <w:spacing w:val="16"/>
            </w:rPr>
            <w:t>十</w:t>
          </w:r>
          <w:r>
            <w:rPr>
              <w:spacing w:val="14"/>
            </w:rPr>
            <w:t>一</w:t>
          </w:r>
          <w:r>
            <w:rPr>
              <w:spacing w:val="16"/>
            </w:rPr>
            <w:t>、注册房</w:t>
          </w:r>
          <w:r>
            <w:rPr>
              <w:spacing w:val="14"/>
            </w:rPr>
            <w:t>地</w:t>
          </w:r>
          <w:r>
            <w:rPr>
              <w:spacing w:val="16"/>
            </w:rPr>
            <w:t>产估价</w:t>
          </w:r>
          <w:r>
            <w:t>师</w:t>
          </w:r>
          <w:r>
            <w:tab/>
          </w:r>
          <w:r>
            <w:rPr>
              <w:rFonts w:hint="eastAsia" w:ascii="Noto Sans Mono CJK JP Regular" w:eastAsia="Noto Sans Mono CJK JP Regular"/>
              <w:spacing w:val="7"/>
            </w:rPr>
            <w:t>10</w:t>
          </w:r>
          <w:r>
            <w:rPr>
              <w:rFonts w:hint="eastAsia" w:ascii="Noto Sans Mono CJK JP Regular" w:eastAsia="Noto Sans Mono CJK JP Regular"/>
              <w:spacing w:val="7"/>
            </w:rPr>
            <w:fldChar w:fldCharType="end"/>
          </w:r>
        </w:p>
        <w:p>
          <w:pPr>
            <w:pStyle w:val="5"/>
            <w:tabs>
              <w:tab w:val="right" w:leader="dot" w:pos="9622"/>
            </w:tabs>
            <w:rPr>
              <w:rFonts w:hint="eastAsia" w:ascii="Noto Sans Mono CJK JP Regular" w:eastAsia="Noto Sans Mono CJK JP Regular"/>
            </w:rPr>
          </w:pPr>
          <w:r>
            <w:fldChar w:fldCharType="begin"/>
          </w:r>
          <w:r>
            <w:instrText xml:space="preserve"> HYPERLINK \l "_bookmark20" </w:instrText>
          </w:r>
          <w:r>
            <w:fldChar w:fldCharType="separate"/>
          </w:r>
          <w:r>
            <w:rPr>
              <w:spacing w:val="16"/>
            </w:rPr>
            <w:t>十</w:t>
          </w:r>
          <w:r>
            <w:rPr>
              <w:spacing w:val="14"/>
            </w:rPr>
            <w:t>二</w:t>
          </w:r>
          <w:r>
            <w:rPr>
              <w:spacing w:val="16"/>
            </w:rPr>
            <w:t>、实地查</w:t>
          </w:r>
          <w:r>
            <w:rPr>
              <w:spacing w:val="14"/>
            </w:rPr>
            <w:t>勘</w:t>
          </w:r>
          <w:r>
            <w:rPr>
              <w:spacing w:val="16"/>
            </w:rPr>
            <w:t>日</w:t>
          </w:r>
          <w:r>
            <w:t>期</w:t>
          </w:r>
          <w:r>
            <w:tab/>
          </w:r>
          <w:r>
            <w:rPr>
              <w:rFonts w:hint="eastAsia" w:ascii="Noto Sans Mono CJK JP Regular" w:eastAsia="Noto Sans Mono CJK JP Regular"/>
              <w:spacing w:val="7"/>
            </w:rPr>
            <w:t>11</w:t>
          </w:r>
          <w:r>
            <w:rPr>
              <w:rFonts w:hint="eastAsia" w:ascii="Noto Sans Mono CJK JP Regular" w:eastAsia="Noto Sans Mono CJK JP Regular"/>
              <w:spacing w:val="7"/>
            </w:rPr>
            <w:fldChar w:fldCharType="end"/>
          </w:r>
        </w:p>
        <w:p>
          <w:pPr>
            <w:pStyle w:val="5"/>
            <w:tabs>
              <w:tab w:val="right" w:leader="dot" w:pos="9622"/>
            </w:tabs>
            <w:rPr>
              <w:rFonts w:hint="eastAsia" w:ascii="Noto Sans Mono CJK JP Regular" w:eastAsia="Noto Sans Mono CJK JP Regular"/>
            </w:rPr>
          </w:pPr>
          <w:r>
            <w:fldChar w:fldCharType="begin"/>
          </w:r>
          <w:r>
            <w:instrText xml:space="preserve"> HYPERLINK \l "_bookmark21" </w:instrText>
          </w:r>
          <w:r>
            <w:fldChar w:fldCharType="separate"/>
          </w:r>
          <w:r>
            <w:rPr>
              <w:spacing w:val="16"/>
            </w:rPr>
            <w:t>十</w:t>
          </w:r>
          <w:r>
            <w:rPr>
              <w:spacing w:val="14"/>
            </w:rPr>
            <w:t>三</w:t>
          </w:r>
          <w:r>
            <w:rPr>
              <w:spacing w:val="16"/>
            </w:rPr>
            <w:t>、估价作</w:t>
          </w:r>
          <w:r>
            <w:rPr>
              <w:spacing w:val="14"/>
            </w:rPr>
            <w:t>业</w:t>
          </w:r>
          <w:r>
            <w:rPr>
              <w:spacing w:val="16"/>
            </w:rPr>
            <w:t>日</w:t>
          </w:r>
          <w:r>
            <w:t>期</w:t>
          </w:r>
          <w:r>
            <w:tab/>
          </w:r>
          <w:r>
            <w:rPr>
              <w:rFonts w:hint="eastAsia" w:ascii="Noto Sans Mono CJK JP Regular" w:eastAsia="Noto Sans Mono CJK JP Regular"/>
              <w:spacing w:val="7"/>
            </w:rPr>
            <w:t>11</w:t>
          </w:r>
          <w:r>
            <w:rPr>
              <w:rFonts w:hint="eastAsia" w:ascii="Noto Sans Mono CJK JP Regular" w:eastAsia="Noto Sans Mono CJK JP Regular"/>
              <w:spacing w:val="7"/>
            </w:rPr>
            <w:fldChar w:fldCharType="end"/>
          </w:r>
        </w:p>
        <w:p>
          <w:pPr>
            <w:pStyle w:val="5"/>
            <w:tabs>
              <w:tab w:val="right" w:leader="dot" w:pos="9622"/>
            </w:tabs>
            <w:spacing w:line="319" w:lineRule="exact"/>
            <w:rPr>
              <w:rFonts w:hint="eastAsia" w:ascii="Noto Sans Mono CJK JP Regular" w:eastAsia="Noto Sans Mono CJK JP Regular"/>
            </w:rPr>
          </w:pPr>
          <w:r>
            <w:fldChar w:fldCharType="begin"/>
          </w:r>
          <w:r>
            <w:instrText xml:space="preserve"> HYPERLINK \l "_bookmark22" </w:instrText>
          </w:r>
          <w:r>
            <w:fldChar w:fldCharType="separate"/>
          </w:r>
          <w:r>
            <w:rPr>
              <w:spacing w:val="16"/>
            </w:rPr>
            <w:t>十</w:t>
          </w:r>
          <w:r>
            <w:rPr>
              <w:spacing w:val="14"/>
            </w:rPr>
            <w:t>四</w:t>
          </w:r>
          <w:r>
            <w:rPr>
              <w:spacing w:val="16"/>
            </w:rPr>
            <w:t>、估价报</w:t>
          </w:r>
          <w:r>
            <w:rPr>
              <w:spacing w:val="14"/>
            </w:rPr>
            <w:t>告</w:t>
          </w:r>
          <w:r>
            <w:rPr>
              <w:spacing w:val="16"/>
            </w:rPr>
            <w:t>有效</w:t>
          </w:r>
          <w:r>
            <w:t>期</w:t>
          </w:r>
          <w:r>
            <w:tab/>
          </w:r>
          <w:r>
            <w:rPr>
              <w:rFonts w:hint="eastAsia" w:ascii="Noto Sans Mono CJK JP Regular" w:eastAsia="Noto Sans Mono CJK JP Regular"/>
              <w:spacing w:val="7"/>
            </w:rPr>
            <w:t>11</w:t>
          </w:r>
          <w:r>
            <w:rPr>
              <w:rFonts w:hint="eastAsia" w:ascii="Noto Sans Mono CJK JP Regular" w:eastAsia="Noto Sans Mono CJK JP Regular"/>
              <w:spacing w:val="7"/>
            </w:rPr>
            <w:fldChar w:fldCharType="end"/>
          </w:r>
        </w:p>
        <w:p>
          <w:pPr>
            <w:pStyle w:val="5"/>
            <w:tabs>
              <w:tab w:val="right" w:leader="dot" w:pos="9622"/>
            </w:tabs>
            <w:rPr>
              <w:rFonts w:hint="eastAsia" w:ascii="Noto Sans Mono CJK JP Regular" w:eastAsia="Noto Sans Mono CJK JP Regular"/>
            </w:rPr>
          </w:pPr>
          <w:r>
            <w:fldChar w:fldCharType="begin"/>
          </w:r>
          <w:r>
            <w:instrText xml:space="preserve"> HYPERLINK \l "_bookmark23" </w:instrText>
          </w:r>
          <w:r>
            <w:fldChar w:fldCharType="separate"/>
          </w:r>
          <w:r>
            <w:rPr>
              <w:spacing w:val="16"/>
            </w:rPr>
            <w:t>十</w:t>
          </w:r>
          <w:r>
            <w:rPr>
              <w:spacing w:val="14"/>
            </w:rPr>
            <w:t>五</w:t>
          </w:r>
          <w:r>
            <w:rPr>
              <w:spacing w:val="16"/>
            </w:rPr>
            <w:t>、其他需</w:t>
          </w:r>
          <w:r>
            <w:rPr>
              <w:spacing w:val="14"/>
            </w:rPr>
            <w:t>要</w:t>
          </w:r>
          <w:r>
            <w:rPr>
              <w:spacing w:val="16"/>
            </w:rPr>
            <w:t>说明的</w:t>
          </w:r>
          <w:r>
            <w:rPr>
              <w:spacing w:val="14"/>
            </w:rPr>
            <w:t>事</w:t>
          </w:r>
          <w:r>
            <w:t>项</w:t>
          </w:r>
          <w:r>
            <w:tab/>
          </w:r>
          <w:r>
            <w:rPr>
              <w:rFonts w:hint="eastAsia" w:ascii="Noto Sans Mono CJK JP Regular" w:eastAsia="Noto Sans Mono CJK JP Regular"/>
              <w:spacing w:val="7"/>
            </w:rPr>
            <w:t>11</w:t>
          </w:r>
          <w:r>
            <w:rPr>
              <w:rFonts w:hint="eastAsia" w:ascii="Noto Sans Mono CJK JP Regular" w:eastAsia="Noto Sans Mono CJK JP Regular"/>
              <w:spacing w:val="7"/>
            </w:rPr>
            <w:fldChar w:fldCharType="end"/>
          </w:r>
        </w:p>
        <w:p>
          <w:pPr>
            <w:pStyle w:val="4"/>
            <w:tabs>
              <w:tab w:val="right" w:leader="dot" w:pos="9963"/>
            </w:tabs>
            <w:rPr>
              <w:rFonts w:hint="eastAsia" w:ascii="Noto Sans Mono CJK JP Regular" w:eastAsia="Noto Sans Mono CJK JP Regular"/>
            </w:rPr>
          </w:pPr>
          <w:r>
            <w:fldChar w:fldCharType="begin"/>
          </w:r>
          <w:r>
            <w:instrText xml:space="preserve"> HYPERLINK \l "_bookmark24" </w:instrText>
          </w:r>
          <w:r>
            <w:fldChar w:fldCharType="separate"/>
          </w:r>
          <w:r>
            <w:t xml:space="preserve">附 </w:t>
          </w:r>
          <w:r>
            <w:rPr>
              <w:spacing w:val="36"/>
            </w:rPr>
            <w:t xml:space="preserve"> </w:t>
          </w:r>
          <w:r>
            <w:t>件</w:t>
          </w:r>
          <w:r>
            <w:tab/>
          </w:r>
          <w:r>
            <w:rPr>
              <w:rFonts w:hint="eastAsia" w:ascii="Noto Sans Mono CJK JP Regular" w:eastAsia="Noto Sans Mono CJK JP Regular"/>
              <w:spacing w:val="7"/>
            </w:rPr>
            <w:t>12</w:t>
          </w:r>
          <w:r>
            <w:rPr>
              <w:rFonts w:hint="eastAsia" w:ascii="Noto Sans Mono CJK JP Regular" w:eastAsia="Noto Sans Mono CJK JP Regular"/>
              <w:spacing w:val="7"/>
            </w:rPr>
            <w:fldChar w:fldCharType="end"/>
          </w:r>
        </w:p>
      </w:sdtContent>
    </w:sdt>
    <w:p>
      <w:pPr>
        <w:spacing w:before="0" w:line="319" w:lineRule="exact"/>
        <w:ind w:left="1041" w:right="0" w:firstLine="0"/>
        <w:jc w:val="left"/>
        <w:rPr>
          <w:sz w:val="24"/>
        </w:rPr>
      </w:pPr>
      <w:r>
        <w:rPr>
          <w:spacing w:val="12"/>
          <w:sz w:val="24"/>
        </w:rPr>
        <w:t xml:space="preserve">《邯郸市邯山区人民法院评估委托书》复印件 </w:t>
      </w:r>
      <w:r>
        <w:rPr>
          <w:rFonts w:hint="eastAsia" w:ascii="Noto Sans Mono CJK JP Regular" w:eastAsia="Noto Sans Mono CJK JP Regular"/>
          <w:spacing w:val="4"/>
          <w:sz w:val="24"/>
        </w:rPr>
        <w:t xml:space="preserve">........ </w:t>
      </w:r>
      <w:r>
        <w:rPr>
          <w:spacing w:val="16"/>
          <w:sz w:val="24"/>
        </w:rPr>
        <w:t>错误！未定义书签。</w:t>
      </w:r>
    </w:p>
    <w:p>
      <w:pPr>
        <w:spacing w:before="36" w:line="151" w:lineRule="auto"/>
        <w:ind w:left="1041" w:right="797" w:firstLine="0"/>
        <w:jc w:val="left"/>
        <w:rPr>
          <w:sz w:val="24"/>
        </w:rPr>
      </w:pPr>
      <w:r>
        <w:rPr>
          <w:spacing w:val="12"/>
          <w:sz w:val="24"/>
        </w:rPr>
        <w:t xml:space="preserve">《新建商品房网签备案情况查询表》复印件 </w:t>
      </w:r>
      <w:r>
        <w:rPr>
          <w:rFonts w:hint="eastAsia" w:ascii="Noto Sans Mono CJK JP Regular" w:eastAsia="Noto Sans Mono CJK JP Regular"/>
          <w:spacing w:val="4"/>
          <w:sz w:val="24"/>
        </w:rPr>
        <w:t xml:space="preserve">.......... </w:t>
      </w:r>
      <w:r>
        <w:rPr>
          <w:spacing w:val="16"/>
          <w:sz w:val="24"/>
        </w:rPr>
        <w:t>错误！未定义书签。</w:t>
      </w:r>
      <w:r>
        <w:rPr>
          <w:spacing w:val="15"/>
          <w:sz w:val="24"/>
        </w:rPr>
        <w:t xml:space="preserve">现场勘察表 </w:t>
      </w:r>
      <w:r>
        <w:rPr>
          <w:rFonts w:hint="eastAsia" w:ascii="Noto Sans Mono CJK JP Regular" w:eastAsia="Noto Sans Mono CJK JP Regular"/>
          <w:spacing w:val="6"/>
          <w:sz w:val="24"/>
        </w:rPr>
        <w:t xml:space="preserve">...................................... </w:t>
      </w:r>
      <w:r>
        <w:rPr>
          <w:spacing w:val="16"/>
          <w:sz w:val="24"/>
        </w:rPr>
        <w:t>错误！未定义书签。</w:t>
      </w:r>
    </w:p>
    <w:p>
      <w:pPr>
        <w:spacing w:before="0" w:line="283" w:lineRule="exact"/>
        <w:ind w:left="1041" w:right="0" w:firstLine="0"/>
        <w:jc w:val="left"/>
        <w:rPr>
          <w:sz w:val="24"/>
        </w:rPr>
      </w:pPr>
      <w:r>
        <w:rPr>
          <w:spacing w:val="13"/>
          <w:sz w:val="24"/>
        </w:rPr>
        <w:t xml:space="preserve">委估房地产区域图 </w:t>
      </w:r>
      <w:r>
        <w:rPr>
          <w:rFonts w:hint="eastAsia" w:ascii="Noto Sans Mono CJK JP Regular" w:eastAsia="Noto Sans Mono CJK JP Regular"/>
          <w:spacing w:val="5"/>
          <w:sz w:val="24"/>
        </w:rPr>
        <w:t xml:space="preserve">................................ </w:t>
      </w:r>
      <w:r>
        <w:rPr>
          <w:spacing w:val="16"/>
          <w:sz w:val="24"/>
        </w:rPr>
        <w:t>错误！未定义书签。</w:t>
      </w:r>
    </w:p>
    <w:p>
      <w:pPr>
        <w:spacing w:before="0" w:line="321" w:lineRule="exact"/>
        <w:ind w:left="1041" w:right="0" w:firstLine="0"/>
        <w:jc w:val="left"/>
        <w:rPr>
          <w:sz w:val="24"/>
        </w:rPr>
      </w:pPr>
      <w:r>
        <w:rPr>
          <w:spacing w:val="16"/>
          <w:sz w:val="24"/>
        </w:rPr>
        <w:t xml:space="preserve">现场照片 </w:t>
      </w:r>
      <w:r>
        <w:rPr>
          <w:rFonts w:hint="eastAsia" w:ascii="Noto Sans Mono CJK JP Regular" w:eastAsia="Noto Sans Mono CJK JP Regular"/>
          <w:spacing w:val="6"/>
          <w:sz w:val="24"/>
        </w:rPr>
        <w:t xml:space="preserve">........................................ </w:t>
      </w:r>
      <w:r>
        <w:rPr>
          <w:spacing w:val="16"/>
          <w:sz w:val="24"/>
        </w:rPr>
        <w:t>错误！未定义书签。</w:t>
      </w:r>
    </w:p>
    <w:p>
      <w:pPr>
        <w:spacing w:before="0" w:line="320" w:lineRule="exact"/>
        <w:ind w:left="1041" w:right="0" w:firstLine="0"/>
        <w:jc w:val="left"/>
        <w:rPr>
          <w:sz w:val="24"/>
        </w:rPr>
      </w:pPr>
      <w:r>
        <w:rPr>
          <w:spacing w:val="12"/>
          <w:sz w:val="24"/>
        </w:rPr>
        <w:t xml:space="preserve">估价机构营业执照复印件 </w:t>
      </w:r>
      <w:r>
        <w:rPr>
          <w:rFonts w:hint="eastAsia" w:ascii="Noto Sans Mono CJK JP Regular" w:eastAsia="Noto Sans Mono CJK JP Regular"/>
          <w:spacing w:val="5"/>
          <w:sz w:val="24"/>
        </w:rPr>
        <w:t xml:space="preserve">.......................... </w:t>
      </w:r>
      <w:r>
        <w:rPr>
          <w:spacing w:val="16"/>
          <w:sz w:val="24"/>
        </w:rPr>
        <w:t>错误！未定义书签。</w:t>
      </w:r>
    </w:p>
    <w:p>
      <w:pPr>
        <w:spacing w:before="0" w:line="319" w:lineRule="exact"/>
        <w:ind w:left="1041" w:right="0" w:firstLine="0"/>
        <w:jc w:val="left"/>
        <w:rPr>
          <w:sz w:val="24"/>
        </w:rPr>
      </w:pPr>
      <w:r>
        <w:rPr>
          <w:spacing w:val="12"/>
          <w:sz w:val="24"/>
        </w:rPr>
        <w:t xml:space="preserve">估价机构资质证书复印件 </w:t>
      </w:r>
      <w:r>
        <w:rPr>
          <w:rFonts w:hint="eastAsia" w:ascii="Noto Sans Mono CJK JP Regular" w:eastAsia="Noto Sans Mono CJK JP Regular"/>
          <w:spacing w:val="5"/>
          <w:sz w:val="24"/>
        </w:rPr>
        <w:t xml:space="preserve">.......................... </w:t>
      </w:r>
      <w:r>
        <w:rPr>
          <w:spacing w:val="16"/>
          <w:sz w:val="24"/>
        </w:rPr>
        <w:t>错误！未定义书签。</w:t>
      </w:r>
    </w:p>
    <w:p>
      <w:pPr>
        <w:spacing w:before="0" w:line="414" w:lineRule="exact"/>
        <w:ind w:left="1041" w:right="0" w:firstLine="0"/>
        <w:jc w:val="left"/>
        <w:rPr>
          <w:sz w:val="24"/>
        </w:rPr>
      </w:pPr>
      <w:r>
        <w:rPr>
          <w:spacing w:val="12"/>
          <w:sz w:val="24"/>
        </w:rPr>
        <w:t xml:space="preserve">房地产估价师注册证书复印件 </w:t>
      </w:r>
      <w:r>
        <w:rPr>
          <w:rFonts w:hint="eastAsia" w:ascii="Noto Sans Mono CJK JP Regular" w:eastAsia="Noto Sans Mono CJK JP Regular"/>
          <w:spacing w:val="5"/>
          <w:sz w:val="24"/>
        </w:rPr>
        <w:t xml:space="preserve">...................... </w:t>
      </w:r>
      <w:r>
        <w:rPr>
          <w:spacing w:val="16"/>
          <w:sz w:val="24"/>
        </w:rPr>
        <w:t>错误！未定义书签。</w:t>
      </w:r>
    </w:p>
    <w:p>
      <w:pPr>
        <w:spacing w:after="0" w:line="414" w:lineRule="exact"/>
        <w:jc w:val="left"/>
        <w:rPr>
          <w:sz w:val="24"/>
        </w:rPr>
        <w:sectPr>
          <w:pgSz w:w="11910" w:h="16840"/>
          <w:pgMar w:top="1580" w:right="680" w:bottom="280" w:left="800" w:header="867" w:footer="0" w:gutter="0"/>
        </w:sectPr>
      </w:pPr>
    </w:p>
    <w:p>
      <w:pPr>
        <w:pStyle w:val="3"/>
        <w:spacing w:before="18"/>
        <w:ind w:left="0"/>
        <w:rPr>
          <w:sz w:val="8"/>
        </w:rPr>
      </w:pPr>
    </w:p>
    <w:p>
      <w:pPr>
        <w:pStyle w:val="2"/>
        <w:spacing w:line="634" w:lineRule="exact"/>
        <w:ind w:right="581"/>
        <w:jc w:val="center"/>
      </w:pPr>
      <w:bookmarkStart w:id="0" w:name="_bookmark0"/>
      <w:bookmarkEnd w:id="0"/>
      <w:r>
        <w:t>估价师声明</w:t>
      </w:r>
    </w:p>
    <w:p>
      <w:pPr>
        <w:pStyle w:val="3"/>
        <w:spacing w:line="559" w:lineRule="exact"/>
        <w:rPr>
          <w:rFonts w:hint="eastAsia" w:ascii="Noto Sans Mono CJK JP Regular" w:eastAsia="Noto Sans Mono CJK JP Regular"/>
        </w:rPr>
      </w:pPr>
      <w:r>
        <w:t>我们郑重声名</w:t>
      </w:r>
      <w:r>
        <w:rPr>
          <w:rFonts w:hint="eastAsia" w:ascii="Noto Sans Mono CJK JP Regular" w:eastAsia="Noto Sans Mono CJK JP Regular"/>
        </w:rPr>
        <w:t>:</w:t>
      </w:r>
    </w:p>
    <w:p>
      <w:pPr>
        <w:pStyle w:val="3"/>
        <w:spacing w:before="9" w:line="218" w:lineRule="auto"/>
        <w:ind w:right="454" w:firstLine="559"/>
        <w:jc w:val="both"/>
      </w:pPr>
      <w:r>
        <w:rPr>
          <w:rFonts w:hint="eastAsia" w:ascii="Noto Sans Mono CJK JP Regular" w:eastAsia="Noto Sans Mono CJK JP Regular"/>
        </w:rPr>
        <w:t>1</w:t>
      </w:r>
      <w:r>
        <w:rPr>
          <w:spacing w:val="-5"/>
        </w:rPr>
        <w:t>、注册房地产估价师在本估价报告中对事实的说明是真实和准确的，没有</w:t>
      </w:r>
      <w:r>
        <w:rPr>
          <w:spacing w:val="-4"/>
        </w:rPr>
        <w:t>虚假记载、误导性陈述和重大遗漏。</w:t>
      </w:r>
    </w:p>
    <w:p>
      <w:pPr>
        <w:pStyle w:val="3"/>
        <w:spacing w:line="218" w:lineRule="auto"/>
        <w:ind w:right="454" w:firstLine="559"/>
        <w:jc w:val="both"/>
      </w:pPr>
      <w:r>
        <w:rPr>
          <w:rFonts w:hint="eastAsia" w:ascii="Noto Sans Mono CJK JP Regular" w:eastAsia="Noto Sans Mono CJK JP Regular"/>
        </w:rPr>
        <w:t>2</w:t>
      </w:r>
      <w:r>
        <w:rPr>
          <w:spacing w:val="-5"/>
        </w:rPr>
        <w:t>、估价报告中的分析、意见和结论是注册房地产估价师独立、客观、公正</w:t>
      </w:r>
      <w:r>
        <w:rPr>
          <w:spacing w:val="-1"/>
        </w:rPr>
        <w:t>的专业分析、意见和结论，但受到本估价报告中已说明的估价假设和限制条件的限制。</w:t>
      </w:r>
    </w:p>
    <w:p>
      <w:pPr>
        <w:pStyle w:val="3"/>
        <w:spacing w:line="218" w:lineRule="auto"/>
        <w:ind w:right="454" w:firstLine="559"/>
        <w:jc w:val="both"/>
      </w:pPr>
      <w:r>
        <w:rPr>
          <w:rFonts w:hint="eastAsia" w:ascii="Noto Sans Mono CJK JP Regular" w:eastAsia="Noto Sans Mono CJK JP Regular"/>
        </w:rPr>
        <w:t>3</w:t>
      </w:r>
      <w:r>
        <w:rPr>
          <w:spacing w:val="-5"/>
        </w:rPr>
        <w:t>、注册房地产估价师与估价报告中的估价对象没有现实或潜在的利益，与</w:t>
      </w:r>
      <w:r>
        <w:rPr>
          <w:spacing w:val="-1"/>
        </w:rPr>
        <w:t>估价委托人及估价利害关系人没有利害关系，也对估价对象、估价委托人及估</w:t>
      </w:r>
      <w:r>
        <w:rPr>
          <w:spacing w:val="-3"/>
        </w:rPr>
        <w:t>价利害关系人没有偏见。</w:t>
      </w:r>
    </w:p>
    <w:p>
      <w:pPr>
        <w:pStyle w:val="3"/>
        <w:spacing w:line="218" w:lineRule="auto"/>
        <w:ind w:right="449" w:firstLine="559"/>
        <w:jc w:val="both"/>
      </w:pPr>
      <w:r>
        <w:rPr>
          <w:rFonts w:hint="eastAsia" w:ascii="Noto Sans Mono CJK JP Regular" w:eastAsia="Noto Sans Mono CJK JP Regular"/>
        </w:rPr>
        <w:t>4</w:t>
      </w:r>
      <w:r>
        <w:rPr>
          <w:spacing w:val="-10"/>
        </w:rPr>
        <w:t xml:space="preserve">、注册房地产估价师是按照中华人民共和国国家标准 </w:t>
      </w:r>
      <w:r>
        <w:rPr>
          <w:rFonts w:hint="eastAsia" w:ascii="Noto Sans Mono CJK JP Regular" w:eastAsia="Noto Sans Mono CJK JP Regular"/>
        </w:rPr>
        <w:t>GB/T50291</w:t>
      </w:r>
      <w:r>
        <w:rPr>
          <w:rFonts w:hint="eastAsia" w:ascii="Noto Sans Mono CJK JP Regular" w:eastAsia="Noto Sans Mono CJK JP Regular"/>
          <w:spacing w:val="-63"/>
        </w:rPr>
        <w:t xml:space="preserve"> </w:t>
      </w:r>
      <w:r>
        <w:rPr>
          <w:rFonts w:hint="eastAsia" w:ascii="Noto Sans Mono CJK JP Regular" w:eastAsia="Noto Sans Mono CJK JP Regular"/>
          <w:spacing w:val="-18"/>
        </w:rPr>
        <w:t>-2015</w:t>
      </w:r>
      <w:r>
        <w:t>《房</w:t>
      </w:r>
      <w:r>
        <w:rPr>
          <w:spacing w:val="-14"/>
        </w:rPr>
        <w:t xml:space="preserve">地产估价规范》、中华人民共和国国家标准 </w:t>
      </w:r>
      <w:r>
        <w:rPr>
          <w:rFonts w:hint="eastAsia" w:ascii="Noto Sans Mono CJK JP Regular" w:eastAsia="Noto Sans Mono CJK JP Regular"/>
          <w:spacing w:val="-5"/>
        </w:rPr>
        <w:t>GB/T50899-2013</w:t>
      </w:r>
      <w:r>
        <w:rPr>
          <w:spacing w:val="-2"/>
        </w:rPr>
        <w:t>《房地产估价基本术</w:t>
      </w:r>
      <w:r>
        <w:rPr>
          <w:spacing w:val="-3"/>
        </w:rPr>
        <w:t>语标准》等有关房地产估价标准的规定进行估价工作，撰写估价报告。</w:t>
      </w:r>
    </w:p>
    <w:p>
      <w:pPr>
        <w:pStyle w:val="3"/>
        <w:spacing w:line="523" w:lineRule="exact"/>
        <w:ind w:left="892"/>
      </w:pPr>
      <w:r>
        <w:rPr>
          <w:rFonts w:hint="eastAsia" w:ascii="Noto Sans Mono CJK JP Regular" w:eastAsia="Noto Sans Mono CJK JP Regular"/>
        </w:rPr>
        <w:t>5</w:t>
      </w:r>
      <w:r>
        <w:t>、没有人对本估价报告提供重要专业帮助。</w:t>
      </w:r>
    </w:p>
    <w:p>
      <w:pPr>
        <w:pStyle w:val="3"/>
        <w:spacing w:line="538" w:lineRule="exact"/>
        <w:ind w:left="892"/>
      </w:pPr>
      <w:r>
        <w:rPr>
          <w:rFonts w:hint="eastAsia" w:ascii="Noto Sans Mono CJK JP Regular" w:eastAsia="Noto Sans Mono CJK JP Regular"/>
        </w:rPr>
        <w:t>6</w:t>
      </w:r>
      <w:r>
        <w:t>、本估价报告的解释权归河北金石房地产评估有限公司所有。</w:t>
      </w:r>
    </w:p>
    <w:p>
      <w:pPr>
        <w:pStyle w:val="3"/>
        <w:spacing w:line="566" w:lineRule="exact"/>
        <w:ind w:left="3612"/>
      </w:pPr>
      <w:r>
        <w:pict>
          <v:shape id="_x0000_s1026" o:spid="_x0000_s1026" o:spt="202" type="#_x0000_t202" style="position:absolute;left:0pt;margin-left:59.75pt;margin-top:27.55pt;height:129.75pt;width:476.05pt;mso-position-horizontal-relative:page;z-index:1024;mso-width-relative:page;mso-height-relative:page;" filled="f" stroked="f" coordsize="21600,21600">
            <v:path/>
            <v:fill on="f" focussize="0,0"/>
            <v:stroke on="f"/>
            <v:imagedata o:title=""/>
            <o:lock v:ext="edit"/>
            <v:textbox inset="0mm,0mm,0mm,0mm">
              <w:txbxContent>
                <w:tbl>
                  <w:tblPr>
                    <w:tblStyle w:val="6"/>
                    <w:tblW w:w="95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9"/>
                    <w:gridCol w:w="2240"/>
                    <w:gridCol w:w="2660"/>
                    <w:gridCol w:w="3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1599" w:type="dxa"/>
                      </w:tcPr>
                      <w:p>
                        <w:pPr>
                          <w:pStyle w:val="10"/>
                          <w:spacing w:before="111"/>
                          <w:ind w:left="499" w:right="490"/>
                          <w:jc w:val="center"/>
                          <w:rPr>
                            <w:sz w:val="28"/>
                          </w:rPr>
                        </w:pPr>
                        <w:r>
                          <w:rPr>
                            <w:sz w:val="28"/>
                          </w:rPr>
                          <w:t>姓名</w:t>
                        </w:r>
                      </w:p>
                    </w:tc>
                    <w:tc>
                      <w:tcPr>
                        <w:tcW w:w="2240" w:type="dxa"/>
                      </w:tcPr>
                      <w:p>
                        <w:pPr>
                          <w:pStyle w:val="10"/>
                          <w:spacing w:before="111"/>
                          <w:ind w:left="395" w:right="387"/>
                          <w:jc w:val="center"/>
                          <w:rPr>
                            <w:sz w:val="28"/>
                          </w:rPr>
                        </w:pPr>
                        <w:r>
                          <w:rPr>
                            <w:sz w:val="28"/>
                          </w:rPr>
                          <w:t>注册号</w:t>
                        </w:r>
                      </w:p>
                    </w:tc>
                    <w:tc>
                      <w:tcPr>
                        <w:tcW w:w="2660" w:type="dxa"/>
                      </w:tcPr>
                      <w:p>
                        <w:pPr>
                          <w:pStyle w:val="10"/>
                          <w:spacing w:before="111"/>
                          <w:ind w:left="1031" w:right="1019"/>
                          <w:jc w:val="center"/>
                          <w:rPr>
                            <w:sz w:val="28"/>
                          </w:rPr>
                        </w:pPr>
                        <w:r>
                          <w:rPr>
                            <w:sz w:val="28"/>
                          </w:rPr>
                          <w:t>签名</w:t>
                        </w:r>
                      </w:p>
                    </w:tc>
                    <w:tc>
                      <w:tcPr>
                        <w:tcW w:w="3008" w:type="dxa"/>
                      </w:tcPr>
                      <w:p>
                        <w:pPr>
                          <w:pStyle w:val="10"/>
                          <w:spacing w:before="111"/>
                          <w:ind w:left="944"/>
                          <w:rPr>
                            <w:sz w:val="28"/>
                          </w:rPr>
                        </w:pPr>
                        <w:r>
                          <w:rPr>
                            <w:sz w:val="28"/>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1599" w:type="dxa"/>
                      </w:tcPr>
                      <w:p>
                        <w:pPr>
                          <w:pStyle w:val="10"/>
                          <w:spacing w:before="111"/>
                          <w:ind w:left="499" w:right="490"/>
                          <w:jc w:val="center"/>
                          <w:rPr>
                            <w:sz w:val="28"/>
                          </w:rPr>
                        </w:pPr>
                        <w:r>
                          <w:rPr>
                            <w:sz w:val="28"/>
                          </w:rPr>
                          <w:t>曹毅</w:t>
                        </w:r>
                      </w:p>
                    </w:tc>
                    <w:tc>
                      <w:tcPr>
                        <w:tcW w:w="2240" w:type="dxa"/>
                      </w:tcPr>
                      <w:p>
                        <w:pPr>
                          <w:pStyle w:val="10"/>
                          <w:spacing w:before="111"/>
                          <w:ind w:left="395" w:right="387"/>
                          <w:jc w:val="center"/>
                          <w:rPr>
                            <w:rFonts w:ascii="Noto Sans Mono CJK JP Regular"/>
                            <w:sz w:val="28"/>
                          </w:rPr>
                        </w:pPr>
                        <w:r>
                          <w:rPr>
                            <w:rFonts w:ascii="Noto Sans Mono CJK JP Regular"/>
                            <w:sz w:val="28"/>
                          </w:rPr>
                          <w:t>1320140088</w:t>
                        </w:r>
                      </w:p>
                    </w:tc>
                    <w:tc>
                      <w:tcPr>
                        <w:tcW w:w="2660" w:type="dxa"/>
                      </w:tcPr>
                      <w:p>
                        <w:pPr>
                          <w:pStyle w:val="10"/>
                          <w:rPr>
                            <w:rFonts w:ascii="Times New Roman"/>
                            <w:sz w:val="26"/>
                          </w:rPr>
                        </w:pPr>
                      </w:p>
                    </w:tc>
                    <w:tc>
                      <w:tcPr>
                        <w:tcW w:w="3008" w:type="dxa"/>
                      </w:tcPr>
                      <w:p>
                        <w:pPr>
                          <w:pStyle w:val="10"/>
                          <w:tabs>
                            <w:tab w:val="left" w:pos="1713"/>
                            <w:tab w:val="left" w:pos="2413"/>
                          </w:tabs>
                          <w:spacing w:before="111"/>
                          <w:ind w:left="1014"/>
                          <w:rPr>
                            <w:sz w:val="28"/>
                          </w:rPr>
                        </w:pPr>
                        <w:r>
                          <w:rPr>
                            <w:sz w:val="28"/>
                          </w:rPr>
                          <w:t>年</w:t>
                        </w:r>
                        <w:r>
                          <w:rPr>
                            <w:sz w:val="28"/>
                          </w:rPr>
                          <w:tab/>
                        </w:r>
                        <w:r>
                          <w:rPr>
                            <w:sz w:val="28"/>
                          </w:rPr>
                          <w:t>月</w:t>
                        </w:r>
                        <w:r>
                          <w:rPr>
                            <w:sz w:val="28"/>
                          </w:rPr>
                          <w:tab/>
                        </w:r>
                        <w:r>
                          <w:rPr>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1599" w:type="dxa"/>
                      </w:tcPr>
                      <w:p>
                        <w:pPr>
                          <w:pStyle w:val="10"/>
                          <w:spacing w:before="108"/>
                          <w:ind w:left="499" w:right="490"/>
                          <w:jc w:val="center"/>
                          <w:rPr>
                            <w:sz w:val="28"/>
                          </w:rPr>
                        </w:pPr>
                        <w:r>
                          <w:rPr>
                            <w:sz w:val="28"/>
                          </w:rPr>
                          <w:t>王茹</w:t>
                        </w:r>
                      </w:p>
                    </w:tc>
                    <w:tc>
                      <w:tcPr>
                        <w:tcW w:w="2240" w:type="dxa"/>
                      </w:tcPr>
                      <w:p>
                        <w:pPr>
                          <w:pStyle w:val="10"/>
                          <w:spacing w:before="108"/>
                          <w:ind w:left="395" w:right="387"/>
                          <w:jc w:val="center"/>
                          <w:rPr>
                            <w:rFonts w:ascii="Noto Sans Mono CJK JP Regular"/>
                            <w:sz w:val="28"/>
                          </w:rPr>
                        </w:pPr>
                        <w:r>
                          <w:rPr>
                            <w:rFonts w:ascii="Noto Sans Mono CJK JP Regular"/>
                            <w:sz w:val="28"/>
                          </w:rPr>
                          <w:t>1320170079</w:t>
                        </w:r>
                      </w:p>
                    </w:tc>
                    <w:tc>
                      <w:tcPr>
                        <w:tcW w:w="2660" w:type="dxa"/>
                      </w:tcPr>
                      <w:p>
                        <w:pPr>
                          <w:pStyle w:val="10"/>
                          <w:rPr>
                            <w:rFonts w:ascii="Times New Roman"/>
                            <w:sz w:val="26"/>
                          </w:rPr>
                        </w:pPr>
                      </w:p>
                    </w:tc>
                    <w:tc>
                      <w:tcPr>
                        <w:tcW w:w="3008" w:type="dxa"/>
                      </w:tcPr>
                      <w:p>
                        <w:pPr>
                          <w:pStyle w:val="10"/>
                          <w:tabs>
                            <w:tab w:val="left" w:pos="1713"/>
                            <w:tab w:val="left" w:pos="2413"/>
                          </w:tabs>
                          <w:spacing w:before="108"/>
                          <w:ind w:left="1014"/>
                          <w:rPr>
                            <w:sz w:val="28"/>
                          </w:rPr>
                        </w:pPr>
                        <w:r>
                          <w:rPr>
                            <w:sz w:val="28"/>
                          </w:rPr>
                          <w:t>年</w:t>
                        </w:r>
                        <w:r>
                          <w:rPr>
                            <w:sz w:val="28"/>
                          </w:rPr>
                          <w:tab/>
                        </w:r>
                        <w:r>
                          <w:rPr>
                            <w:sz w:val="28"/>
                          </w:rPr>
                          <w:t>月</w:t>
                        </w:r>
                        <w:r>
                          <w:rPr>
                            <w:sz w:val="28"/>
                          </w:rPr>
                          <w:tab/>
                        </w:r>
                        <w:r>
                          <w:rPr>
                            <w:sz w:val="28"/>
                          </w:rPr>
                          <w:t>日</w:t>
                        </w:r>
                      </w:p>
                    </w:tc>
                  </w:tr>
                </w:tbl>
                <w:p>
                  <w:pPr>
                    <w:pStyle w:val="3"/>
                    <w:ind w:left="0"/>
                  </w:pPr>
                </w:p>
              </w:txbxContent>
            </v:textbox>
          </v:shape>
        </w:pict>
      </w:r>
      <w:r>
        <w:t>参加估价的注册房地产估价师</w:t>
      </w:r>
    </w:p>
    <w:p>
      <w:pPr>
        <w:spacing w:after="0" w:line="566" w:lineRule="exact"/>
        <w:sectPr>
          <w:headerReference r:id="rId5" w:type="default"/>
          <w:footerReference r:id="rId6" w:type="default"/>
          <w:pgSz w:w="11910" w:h="16840"/>
          <w:pgMar w:top="1580" w:right="680" w:bottom="1120" w:left="800" w:header="922" w:footer="937" w:gutter="0"/>
          <w:pgNumType w:start="1"/>
        </w:sectPr>
      </w:pPr>
    </w:p>
    <w:p>
      <w:pPr>
        <w:pStyle w:val="3"/>
        <w:spacing w:before="19"/>
        <w:ind w:left="0"/>
        <w:rPr>
          <w:sz w:val="22"/>
        </w:rPr>
      </w:pPr>
    </w:p>
    <w:p>
      <w:pPr>
        <w:spacing w:after="0"/>
        <w:rPr>
          <w:sz w:val="22"/>
        </w:rPr>
        <w:sectPr>
          <w:pgSz w:w="11910" w:h="16840"/>
          <w:pgMar w:top="1580" w:right="680" w:bottom="1120" w:left="800" w:header="922" w:footer="937" w:gutter="0"/>
        </w:sectPr>
      </w:pPr>
    </w:p>
    <w:p>
      <w:pPr>
        <w:pStyle w:val="3"/>
        <w:spacing w:before="19"/>
        <w:ind w:left="0"/>
        <w:rPr>
          <w:sz w:val="23"/>
        </w:rPr>
      </w:pPr>
    </w:p>
    <w:p>
      <w:pPr>
        <w:pStyle w:val="3"/>
        <w:ind w:left="1019"/>
      </w:pPr>
      <w:bookmarkStart w:id="1" w:name="_bookmark2"/>
      <w:bookmarkEnd w:id="1"/>
      <w:bookmarkStart w:id="2" w:name="_bookmark1"/>
      <w:bookmarkEnd w:id="2"/>
      <w:r>
        <w:t>一、一般假设</w:t>
      </w:r>
    </w:p>
    <w:p>
      <w:pPr>
        <w:pStyle w:val="2"/>
        <w:ind w:left="606"/>
      </w:pPr>
      <w:r>
        <w:br w:type="column"/>
      </w:r>
      <w:r>
        <w:t>估价的假设和限制条件</w:t>
      </w:r>
    </w:p>
    <w:p>
      <w:pPr>
        <w:spacing w:after="0"/>
        <w:sectPr>
          <w:type w:val="continuous"/>
          <w:pgSz w:w="11910" w:h="16840"/>
          <w:pgMar w:top="1580" w:right="680" w:bottom="280" w:left="800" w:header="720" w:footer="720" w:gutter="0"/>
          <w:cols w:equalWidth="0" w:num="2">
            <w:col w:w="2705" w:space="40"/>
            <w:col w:w="7685"/>
          </w:cols>
        </w:sectPr>
      </w:pPr>
    </w:p>
    <w:p>
      <w:pPr>
        <w:pStyle w:val="3"/>
        <w:spacing w:line="510" w:lineRule="exact"/>
        <w:ind w:left="892"/>
      </w:pPr>
      <w:r>
        <w:rPr>
          <w:rFonts w:hint="eastAsia" w:ascii="Noto Sans Mono CJK JP Regular" w:eastAsia="Noto Sans Mono CJK JP Regular"/>
        </w:rPr>
        <w:t>1</w:t>
      </w:r>
      <w:r>
        <w:t>、本次估价房地产位臵及用途以估价委托人提供的《邯郸市邯山区人民法</w:t>
      </w:r>
    </w:p>
    <w:p>
      <w:pPr>
        <w:pStyle w:val="3"/>
        <w:spacing w:before="9" w:line="218" w:lineRule="auto"/>
        <w:ind w:right="315"/>
        <w:jc w:val="both"/>
      </w:pPr>
      <w:r>
        <w:rPr>
          <w:spacing w:val="-23"/>
        </w:rPr>
        <w:t>院评估委托书》</w:t>
      </w:r>
      <w:r>
        <w:rPr>
          <w:spacing w:val="-3"/>
        </w:rPr>
        <w:t>（</w:t>
      </w:r>
      <w:r>
        <w:rPr>
          <w:rFonts w:hint="eastAsia" w:ascii="Noto Sans Mono CJK JP Regular" w:eastAsia="Noto Sans Mono CJK JP Regular"/>
          <w:spacing w:val="-3"/>
        </w:rPr>
        <w:t>2018</w:t>
      </w:r>
      <w:r>
        <w:rPr>
          <w:spacing w:val="-3"/>
        </w:rPr>
        <w:t>）</w:t>
      </w:r>
      <w:r>
        <w:t xml:space="preserve">邯山技评字第 </w:t>
      </w:r>
      <w:r>
        <w:rPr>
          <w:rFonts w:hint="eastAsia" w:ascii="Noto Sans Mono CJK JP Regular" w:eastAsia="Noto Sans Mono CJK JP Regular"/>
        </w:rPr>
        <w:t>194</w:t>
      </w:r>
      <w:r>
        <w:rPr>
          <w:rFonts w:hint="eastAsia" w:ascii="Noto Sans Mono CJK JP Regular" w:eastAsia="Noto Sans Mono CJK JP Regular"/>
          <w:spacing w:val="-65"/>
        </w:rPr>
        <w:t xml:space="preserve"> </w:t>
      </w:r>
      <w:r>
        <w:rPr>
          <w:spacing w:val="-4"/>
        </w:rPr>
        <w:t>号原件及估价委托人提供的《新建商</w:t>
      </w:r>
      <w:r>
        <w:rPr>
          <w:spacing w:val="-11"/>
        </w:rPr>
        <w:t>品房网签备案情况查询表》</w:t>
      </w:r>
      <w:r>
        <w:t>（</w:t>
      </w:r>
      <w:r>
        <w:rPr>
          <w:spacing w:val="1"/>
        </w:rPr>
        <w:t>幢编码：</w:t>
      </w:r>
      <w:r>
        <w:rPr>
          <w:rFonts w:hint="eastAsia" w:ascii="Noto Sans Mono CJK JP Regular" w:eastAsia="Noto Sans Mono CJK JP Regular"/>
        </w:rPr>
        <w:t>10000010018099999</w:t>
      </w:r>
      <w:r>
        <w:t>）</w:t>
      </w:r>
      <w:r>
        <w:rPr>
          <w:spacing w:val="1"/>
        </w:rPr>
        <w:t>复印件所记载的内</w:t>
      </w:r>
      <w:r>
        <w:t>容为依据，该内容如有变动估价结果应进行相应调整。估价委托人对所提供资料的合法性、真实性、准确性和完整性负责并承担法律责任。注册房地产估价</w:t>
      </w:r>
      <w:r>
        <w:rPr>
          <w:spacing w:val="-5"/>
        </w:rPr>
        <w:t>师对估价所依据的资料进行了审慎检查，本估价报告以估价所依据的资料合法、</w:t>
      </w:r>
      <w:r>
        <w:rPr>
          <w:spacing w:val="-4"/>
        </w:rPr>
        <w:t>真实、准确和完整为假设前提。</w:t>
      </w:r>
    </w:p>
    <w:p>
      <w:pPr>
        <w:pStyle w:val="3"/>
        <w:spacing w:line="516" w:lineRule="exact"/>
        <w:ind w:left="892"/>
      </w:pPr>
      <w:r>
        <w:rPr>
          <w:rFonts w:hint="eastAsia" w:ascii="Noto Sans Mono CJK JP Regular" w:eastAsia="Noto Sans Mono CJK JP Regular"/>
        </w:rPr>
        <w:t>2</w:t>
      </w:r>
      <w:r>
        <w:t>、本估价报告估价结果是在公开市场前提下求取的在建工程市场价值。</w:t>
      </w:r>
    </w:p>
    <w:p>
      <w:pPr>
        <w:pStyle w:val="3"/>
        <w:spacing w:before="9" w:line="218" w:lineRule="auto"/>
        <w:ind w:right="406" w:firstLine="559"/>
      </w:pPr>
      <w:r>
        <w:rPr>
          <w:rFonts w:hint="eastAsia" w:ascii="Noto Sans Mono CJK JP Regular" w:eastAsia="Noto Sans Mono CJK JP Regular"/>
        </w:rPr>
        <w:t>3</w:t>
      </w:r>
      <w:r>
        <w:t>、本估价报告以委托人提供的资料真实可靠，估价对象的权益没有争议为假设前提。不考虑估价对象的连带负债及评估范围以外的法律问题。</w:t>
      </w:r>
    </w:p>
    <w:p>
      <w:pPr>
        <w:pStyle w:val="3"/>
        <w:spacing w:line="218" w:lineRule="auto"/>
        <w:ind w:right="451" w:firstLine="559"/>
        <w:jc w:val="both"/>
      </w:pPr>
      <w:r>
        <w:rPr>
          <w:rFonts w:hint="eastAsia" w:ascii="Noto Sans Mono CJK JP Regular" w:eastAsia="Noto Sans Mono CJK JP Regular"/>
        </w:rPr>
        <w:t>4</w:t>
      </w:r>
      <w:r>
        <w:rPr>
          <w:spacing w:val="-5"/>
        </w:rPr>
        <w:t>、注册房地产估价师对估价对象的实地查勘仅限于估价对象的外部状况和</w:t>
      </w:r>
      <w:r>
        <w:t>区位状况，不承担对其建筑结构、内部质量及其它被遮盖、未暴露及难于接触到的部分进行检测的责任。本估价报告以估价对象持续可发并可交付使用、不</w:t>
      </w:r>
      <w:r>
        <w:rPr>
          <w:spacing w:val="-3"/>
        </w:rPr>
        <w:t>存在安全隐患、可以安全使用为假设前提。</w:t>
      </w:r>
    </w:p>
    <w:p>
      <w:pPr>
        <w:pStyle w:val="3"/>
        <w:spacing w:line="518" w:lineRule="exact"/>
        <w:ind w:left="892"/>
      </w:pPr>
      <w:r>
        <w:rPr>
          <w:rFonts w:hint="eastAsia" w:ascii="Noto Sans Mono CJK JP Regular" w:eastAsia="Noto Sans Mono CJK JP Regular"/>
        </w:rPr>
        <w:t>5</w:t>
      </w:r>
      <w:r>
        <w:t>、在价值时点的房地产市场为公开、平等、自愿的交易市场。</w:t>
      </w:r>
    </w:p>
    <w:p>
      <w:pPr>
        <w:pStyle w:val="3"/>
        <w:spacing w:before="7" w:line="218" w:lineRule="auto"/>
        <w:ind w:right="454" w:firstLine="559"/>
        <w:jc w:val="both"/>
      </w:pPr>
      <w:r>
        <w:rPr>
          <w:rFonts w:hint="eastAsia" w:ascii="Noto Sans Mono CJK JP Regular" w:eastAsia="Noto Sans Mono CJK JP Regular"/>
        </w:rPr>
        <w:t>6</w:t>
      </w:r>
      <w:r>
        <w:rPr>
          <w:spacing w:val="-5"/>
        </w:rPr>
        <w:t>、本估价报告的市场价值为正常条件下的公开市场价值，房地产交易需要</w:t>
      </w:r>
      <w:r>
        <w:rPr>
          <w:spacing w:val="-1"/>
        </w:rPr>
        <w:t>买卖双方在了解足够的市场信息，拥有足够的谈判时间，经过谨慎的考虑和对</w:t>
      </w:r>
      <w:r>
        <w:t>房地产市场进行合理预期，并具体考虑买卖双方的偏好等条件下方能实现。对于房地产市场的波动及快速变现等特殊交易因素可能导致房地产价格有较大幅</w:t>
      </w:r>
      <w:r>
        <w:rPr>
          <w:spacing w:val="-3"/>
        </w:rPr>
        <w:t>度的变化，本估价报告未考虑这种变化对估价对象价值产生的影响。</w:t>
      </w:r>
    </w:p>
    <w:p>
      <w:pPr>
        <w:pStyle w:val="3"/>
        <w:spacing w:line="218" w:lineRule="auto"/>
        <w:ind w:right="431" w:firstLine="559"/>
      </w:pPr>
      <w:r>
        <w:rPr>
          <w:rFonts w:hint="eastAsia" w:ascii="Noto Sans Mono CJK JP Regular" w:eastAsia="Noto Sans Mono CJK JP Regular"/>
        </w:rPr>
        <w:t>7</w:t>
      </w:r>
      <w:r>
        <w:rPr>
          <w:spacing w:val="-3"/>
        </w:rPr>
        <w:t>、本次估价未考虑政治、军事突变，国家宏观经济、政策发生重大调整， 以及不可预见的重大自然灾害等不可抗力的因素对评估价值的影响。</w:t>
      </w:r>
    </w:p>
    <w:p>
      <w:pPr>
        <w:pStyle w:val="3"/>
        <w:spacing w:line="553" w:lineRule="exact"/>
        <w:ind w:left="892"/>
      </w:pPr>
      <w:r>
        <w:rPr>
          <w:rFonts w:hint="eastAsia" w:ascii="Noto Sans Mono CJK JP Regular" w:eastAsia="Noto Sans Mono CJK JP Regular"/>
        </w:rPr>
        <w:t>8</w:t>
      </w:r>
      <w:r>
        <w:t>、本次评估未考虑抵押、查封、租赁、纠纷等因素的影响。</w:t>
      </w:r>
    </w:p>
    <w:p>
      <w:pPr>
        <w:spacing w:after="0" w:line="553" w:lineRule="exact"/>
        <w:sectPr>
          <w:type w:val="continuous"/>
          <w:pgSz w:w="11910" w:h="16840"/>
          <w:pgMar w:top="1580" w:right="680" w:bottom="280" w:left="800" w:header="720" w:footer="720" w:gutter="0"/>
        </w:sectPr>
      </w:pPr>
    </w:p>
    <w:p>
      <w:pPr>
        <w:pStyle w:val="3"/>
        <w:spacing w:line="497" w:lineRule="exact"/>
        <w:ind w:left="1019"/>
      </w:pPr>
      <w:bookmarkStart w:id="3" w:name="_bookmark3"/>
      <w:bookmarkEnd w:id="3"/>
      <w:r>
        <w:t>二、未定事项假设</w:t>
      </w:r>
    </w:p>
    <w:p>
      <w:pPr>
        <w:pStyle w:val="3"/>
        <w:spacing w:before="52" w:line="201" w:lineRule="auto"/>
        <w:ind w:right="454" w:firstLine="559"/>
        <w:jc w:val="both"/>
      </w:pPr>
      <w:r>
        <w:rPr>
          <w:rFonts w:hint="eastAsia" w:ascii="Noto Sans Mono CJK JP Regular" w:eastAsia="Noto Sans Mono CJK JP Regular"/>
        </w:rPr>
        <w:t>1</w:t>
      </w:r>
      <w:r>
        <w:rPr>
          <w:spacing w:val="-5"/>
        </w:rPr>
        <w:t>、本次估价未考虑估价对象已经存在或将来可能承担的抵押、担保或其他</w:t>
      </w:r>
      <w:r>
        <w:rPr>
          <w:spacing w:val="-1"/>
        </w:rPr>
        <w:t>债项对其市场价值产生的影响，也未考虑估价对象产权交易时可能发生的任何</w:t>
      </w:r>
      <w:r>
        <w:rPr>
          <w:spacing w:val="-2"/>
        </w:rPr>
        <w:t>税项或费用。</w:t>
      </w:r>
    </w:p>
    <w:p>
      <w:pPr>
        <w:pStyle w:val="3"/>
        <w:spacing w:line="475" w:lineRule="exact"/>
        <w:ind w:left="892"/>
      </w:pPr>
      <w:r>
        <w:rPr>
          <w:rFonts w:hint="eastAsia" w:ascii="Noto Sans Mono CJK JP Regular" w:eastAsia="Noto Sans Mono CJK JP Regular"/>
          <w:spacing w:val="3"/>
        </w:rPr>
        <w:t>2</w:t>
      </w:r>
      <w:r>
        <w:rPr>
          <w:spacing w:val="-6"/>
        </w:rPr>
        <w:t>、价委托人提供的《邯郸市邯山区人民法院评估委托书》</w:t>
      </w:r>
      <w:r>
        <w:t>（</w:t>
      </w:r>
      <w:r>
        <w:rPr>
          <w:rFonts w:hint="eastAsia" w:ascii="Noto Sans Mono CJK JP Regular" w:eastAsia="Noto Sans Mono CJK JP Regular"/>
        </w:rPr>
        <w:t>2018</w:t>
      </w:r>
      <w:r>
        <w:t>）</w:t>
      </w:r>
      <w:r>
        <w:rPr>
          <w:spacing w:val="1"/>
        </w:rPr>
        <w:t>邯山技</w:t>
      </w:r>
    </w:p>
    <w:p>
      <w:pPr>
        <w:pStyle w:val="3"/>
        <w:spacing w:line="538" w:lineRule="exact"/>
      </w:pPr>
      <w:r>
        <w:rPr>
          <w:spacing w:val="14"/>
        </w:rPr>
        <w:t xml:space="preserve">评字第   </w:t>
      </w:r>
      <w:r>
        <w:rPr>
          <w:rFonts w:hint="eastAsia" w:ascii="Noto Sans Mono CJK JP Regular" w:eastAsia="Noto Sans Mono CJK JP Regular"/>
        </w:rPr>
        <w:t>194</w:t>
      </w:r>
      <w:r>
        <w:rPr>
          <w:rFonts w:hint="eastAsia" w:ascii="Noto Sans Mono CJK JP Regular" w:eastAsia="Noto Sans Mono CJK JP Regular"/>
          <w:spacing w:val="55"/>
        </w:rPr>
        <w:t xml:space="preserve"> </w:t>
      </w:r>
      <w:r>
        <w:rPr>
          <w:spacing w:val="35"/>
        </w:rPr>
        <w:t>号原件及《新建商品房网签备案情况查询表》</w:t>
      </w:r>
      <w:r>
        <w:t>（</w:t>
      </w:r>
      <w:r>
        <w:rPr>
          <w:spacing w:val="22"/>
        </w:rPr>
        <w:t xml:space="preserve"> 幢编码：</w:t>
      </w:r>
      <w:r>
        <w:rPr>
          <w:spacing w:val="-20"/>
        </w:rPr>
        <w:t xml:space="preserve"> </w:t>
      </w:r>
    </w:p>
    <w:p>
      <w:pPr>
        <w:pStyle w:val="3"/>
        <w:spacing w:before="10" w:line="218" w:lineRule="auto"/>
        <w:ind w:right="450"/>
        <w:jc w:val="both"/>
      </w:pPr>
      <w:r>
        <w:rPr>
          <w:rFonts w:hint="eastAsia" w:ascii="Noto Sans Mono CJK JP Regular" w:eastAsia="Noto Sans Mono CJK JP Regular"/>
          <w:spacing w:val="-1"/>
        </w:rPr>
        <w:t>10000010018099999</w:t>
      </w:r>
      <w:r>
        <w:rPr>
          <w:spacing w:val="-1"/>
        </w:rPr>
        <w:t>）</w:t>
      </w:r>
      <w:r>
        <w:rPr>
          <w:spacing w:val="-4"/>
        </w:rPr>
        <w:t>复印件，本次估价建筑面积依据《新建商品房网签备案情</w:t>
      </w:r>
      <w:r>
        <w:rPr>
          <w:spacing w:val="-26"/>
        </w:rPr>
        <w:t>况查询表》</w:t>
      </w:r>
      <w:r>
        <w:rPr>
          <w:spacing w:val="4"/>
        </w:rPr>
        <w:t>（</w:t>
      </w:r>
      <w:r>
        <w:t>幢编码：</w:t>
      </w:r>
      <w:r>
        <w:rPr>
          <w:rFonts w:hint="eastAsia" w:ascii="Noto Sans Mono CJK JP Regular" w:eastAsia="Noto Sans Mono CJK JP Regular"/>
        </w:rPr>
        <w:t>10000010018099999</w:t>
      </w:r>
      <w:r>
        <w:t>）复印件载明的预测建筑面积，如不</w:t>
      </w:r>
      <w:r>
        <w:rPr>
          <w:spacing w:val="-3"/>
        </w:rPr>
        <w:t>符，最终以房地产权利部门确认的数据为准，本估价报告需做相应调整。</w:t>
      </w:r>
    </w:p>
    <w:p>
      <w:pPr>
        <w:pStyle w:val="3"/>
        <w:spacing w:line="522" w:lineRule="exact"/>
        <w:ind w:left="1019"/>
      </w:pPr>
      <w:bookmarkStart w:id="4" w:name="_bookmark4"/>
      <w:bookmarkEnd w:id="4"/>
      <w:r>
        <w:t>三、背离事项假设</w:t>
      </w:r>
    </w:p>
    <w:p>
      <w:pPr>
        <w:pStyle w:val="3"/>
        <w:spacing w:before="10" w:line="218" w:lineRule="auto"/>
        <w:ind w:right="451" w:firstLine="559"/>
        <w:jc w:val="both"/>
      </w:pPr>
      <w:r>
        <w:rPr>
          <w:rFonts w:hint="eastAsia" w:ascii="Noto Sans Mono CJK JP Regular" w:eastAsia="Noto Sans Mono CJK JP Regular"/>
        </w:rPr>
        <w:t>1</w:t>
      </w:r>
      <w:r>
        <w:rPr>
          <w:spacing w:val="-5"/>
        </w:rPr>
        <w:t>、截至价值时点，估价对象已被查封，但由于本次评估的是委估房产的市</w:t>
      </w:r>
      <w:r>
        <w:rPr>
          <w:spacing w:val="-1"/>
        </w:rPr>
        <w:t>场价值，并不需要在市场价值中予以考虑查封影响，因此评估委估房产市场价</w:t>
      </w:r>
      <w:r>
        <w:t>值不予考虑其已被查封情况，也不考虑委估房产上原有的担保物权和其他优先受偿权。上述已查封情况是客观真实存在的，由于上述原因未考虑，因此提醒</w:t>
      </w:r>
      <w:r>
        <w:rPr>
          <w:spacing w:val="-3"/>
        </w:rPr>
        <w:t>估价报告的使用者，在使用本估价报告时应对上述事项予以关注。</w:t>
      </w:r>
    </w:p>
    <w:p>
      <w:pPr>
        <w:pStyle w:val="3"/>
        <w:spacing w:line="218" w:lineRule="auto"/>
        <w:ind w:right="451" w:firstLine="559"/>
        <w:jc w:val="both"/>
      </w:pPr>
      <w:r>
        <w:rPr>
          <w:rFonts w:hint="eastAsia" w:ascii="Noto Sans Mono CJK JP Regular" w:eastAsia="Noto Sans Mono CJK JP Regular"/>
        </w:rPr>
        <w:t>2</w:t>
      </w:r>
      <w:r>
        <w:rPr>
          <w:spacing w:val="-5"/>
        </w:rPr>
        <w:t>、本次估价未考虑处臵风险。由于房地产不易变现的特点，如出现对房地</w:t>
      </w:r>
      <w:r>
        <w:rPr>
          <w:spacing w:val="-1"/>
        </w:rPr>
        <w:t>产进行短期强制处分时，则可能导致处臵价格远远低于其正常价值，因此提醒</w:t>
      </w:r>
      <w:r>
        <w:t>估价报告的使用者，在使用本估价报告时，应全面考虑各类风险，作出综合决策。</w:t>
      </w:r>
    </w:p>
    <w:p>
      <w:pPr>
        <w:pStyle w:val="3"/>
        <w:spacing w:before="38" w:line="201" w:lineRule="auto"/>
        <w:ind w:right="315" w:firstLine="559"/>
      </w:pPr>
      <w:r>
        <w:rPr>
          <w:rFonts w:hint="eastAsia" w:ascii="Noto Sans Mono CJK JP Regular" w:eastAsia="Noto Sans Mono CJK JP Regular"/>
        </w:rPr>
        <w:t>3</w:t>
      </w:r>
      <w:r>
        <w:rPr>
          <w:spacing w:val="-5"/>
        </w:rPr>
        <w:t>、本次估价未考虑估价对象在公开市场上自由转让时，权利人凭借递延条</w:t>
      </w:r>
      <w:r>
        <w:rPr>
          <w:spacing w:val="-7"/>
        </w:rPr>
        <w:t>件合约、售后租回、合作经营、管理协议等附加条件对其评估价值产生的影响。</w:t>
      </w:r>
    </w:p>
    <w:p>
      <w:pPr>
        <w:pStyle w:val="3"/>
        <w:spacing w:line="474" w:lineRule="exact"/>
        <w:ind w:left="1019"/>
      </w:pPr>
      <w:bookmarkStart w:id="5" w:name="_bookmark5"/>
      <w:bookmarkEnd w:id="5"/>
      <w:r>
        <w:rPr>
          <w:spacing w:val="-1"/>
        </w:rPr>
        <w:t>四、不相一致假设</w:t>
      </w:r>
    </w:p>
    <w:p>
      <w:pPr>
        <w:pStyle w:val="3"/>
        <w:spacing w:before="9" w:line="218" w:lineRule="auto"/>
        <w:ind w:left="1019" w:right="1971" w:hanging="128"/>
      </w:pPr>
      <w:r>
        <w:rPr>
          <w:spacing w:val="-3"/>
        </w:rPr>
        <w:t>本次估价的估价对象状况之间无不一致，故无不相一致假设。</w:t>
      </w:r>
      <w:bookmarkStart w:id="6" w:name="_bookmark6"/>
      <w:bookmarkEnd w:id="6"/>
      <w:r>
        <w:rPr>
          <w:spacing w:val="-3"/>
        </w:rPr>
        <w:t>五、依据不足假设</w:t>
      </w:r>
    </w:p>
    <w:p>
      <w:pPr>
        <w:pStyle w:val="3"/>
        <w:spacing w:line="523" w:lineRule="exact"/>
        <w:ind w:left="892"/>
      </w:pPr>
      <w:r>
        <w:rPr>
          <w:rFonts w:hint="eastAsia" w:ascii="Noto Sans Mono CJK JP Regular" w:eastAsia="Noto Sans Mono CJK JP Regular"/>
        </w:rPr>
        <w:t>1</w:t>
      </w:r>
      <w:r>
        <w:t>、本次估价依据估价委托人提供的《邯郸市邯山区人民法院评估委托书》</w:t>
      </w:r>
    </w:p>
    <w:p>
      <w:pPr>
        <w:pStyle w:val="3"/>
        <w:spacing w:line="566" w:lineRule="exact"/>
        <w:jc w:val="both"/>
      </w:pPr>
      <w:r>
        <w:t>（</w:t>
      </w:r>
      <w:r>
        <w:rPr>
          <w:rFonts w:hint="eastAsia" w:ascii="Noto Sans Mono CJK JP Regular" w:eastAsia="Noto Sans Mono CJK JP Regular"/>
        </w:rPr>
        <w:t>2018</w:t>
      </w:r>
      <w:r>
        <w:t xml:space="preserve">）邯山技评字第 </w:t>
      </w:r>
      <w:r>
        <w:rPr>
          <w:rFonts w:hint="eastAsia" w:ascii="Noto Sans Mono CJK JP Regular" w:eastAsia="Noto Sans Mono CJK JP Regular"/>
        </w:rPr>
        <w:t xml:space="preserve">194 </w:t>
      </w:r>
      <w:r>
        <w:t>号原件、《新建商品房网签备案情况查询表》（幢编</w:t>
      </w:r>
    </w:p>
    <w:p>
      <w:pPr>
        <w:spacing w:after="0" w:line="566" w:lineRule="exact"/>
        <w:jc w:val="both"/>
        <w:sectPr>
          <w:pgSz w:w="11910" w:h="16840"/>
          <w:pgMar w:top="1580" w:right="680" w:bottom="1120" w:left="800" w:header="922" w:footer="937" w:gutter="0"/>
        </w:sectPr>
      </w:pPr>
    </w:p>
    <w:p>
      <w:pPr>
        <w:pStyle w:val="3"/>
        <w:spacing w:line="483" w:lineRule="exact"/>
      </w:pPr>
      <w:r>
        <w:rPr>
          <w:spacing w:val="-3"/>
        </w:rPr>
        <w:t>码：</w:t>
      </w:r>
      <w:r>
        <w:rPr>
          <w:rFonts w:hint="eastAsia" w:ascii="Noto Sans Mono CJK JP Regular" w:eastAsia="Noto Sans Mono CJK JP Regular"/>
          <w:spacing w:val="-5"/>
        </w:rPr>
        <w:t>10000010018099999</w:t>
      </w:r>
      <w:r>
        <w:rPr>
          <w:spacing w:val="-5"/>
        </w:rPr>
        <w:t>）</w:t>
      </w:r>
      <w:r>
        <w:rPr>
          <w:spacing w:val="-10"/>
        </w:rPr>
        <w:t>复印件，其中《新建商品房网签备案情况查询表</w:t>
      </w:r>
      <w:r>
        <w:rPr>
          <w:spacing w:val="-172"/>
        </w:rPr>
        <w:t>》</w:t>
      </w:r>
      <w:r>
        <w:rPr>
          <w:spacing w:val="-3"/>
        </w:rPr>
        <w:t>（</w:t>
      </w:r>
      <w:r>
        <w:t>幢</w:t>
      </w:r>
    </w:p>
    <w:p>
      <w:pPr>
        <w:pStyle w:val="3"/>
        <w:spacing w:before="9" w:line="218" w:lineRule="auto"/>
        <w:ind w:right="405"/>
      </w:pPr>
      <w:r>
        <w:t>编码：</w:t>
      </w:r>
      <w:r>
        <w:rPr>
          <w:rFonts w:hint="eastAsia" w:ascii="Noto Sans Mono CJK JP Regular" w:eastAsia="Noto Sans Mono CJK JP Regular"/>
        </w:rPr>
        <w:t>10000010018099999</w:t>
      </w:r>
      <w:r>
        <w:t>）为复印件，若报告使用人对此提出异议，由提供资料的估价委托人负责解释。</w:t>
      </w:r>
    </w:p>
    <w:p>
      <w:pPr>
        <w:pStyle w:val="3"/>
        <w:spacing w:before="53" w:line="201" w:lineRule="auto"/>
        <w:ind w:left="614" w:right="404" w:firstLine="278"/>
      </w:pPr>
      <w:r>
        <w:rPr>
          <w:rFonts w:hint="eastAsia" w:ascii="Noto Sans Mono CJK JP Regular" w:eastAsia="Noto Sans Mono CJK JP Regular"/>
        </w:rPr>
        <w:t>2</w:t>
      </w:r>
      <w:r>
        <w:t>、本次估价以开发企业通过合法有偿方式取得估价对象所分摊的土地使用权，并能够分享整体房地产配套设施的各项权益为假设前提。</w:t>
      </w:r>
    </w:p>
    <w:p>
      <w:pPr>
        <w:pStyle w:val="3"/>
        <w:spacing w:line="488" w:lineRule="exact"/>
        <w:ind w:left="1019"/>
      </w:pPr>
      <w:bookmarkStart w:id="7" w:name="_bookmark7"/>
      <w:bookmarkEnd w:id="7"/>
      <w:r>
        <w:t>六、估价报告使用限制</w:t>
      </w:r>
    </w:p>
    <w:p>
      <w:pPr>
        <w:pStyle w:val="3"/>
        <w:spacing w:before="52" w:line="201" w:lineRule="auto"/>
        <w:ind w:right="454" w:firstLine="574"/>
        <w:jc w:val="both"/>
      </w:pPr>
      <w:r>
        <w:rPr>
          <w:rFonts w:hint="eastAsia" w:ascii="Noto Sans Mono CJK JP Regular" w:hAnsi="Noto Sans Mono CJK JP Regular" w:eastAsia="Noto Sans Mono CJK JP Regular"/>
        </w:rPr>
        <w:t>1</w:t>
      </w:r>
      <w:r>
        <w:rPr>
          <w:spacing w:val="-6"/>
        </w:rPr>
        <w:t>、本估价报告在房地产市场情况无较大波动时的有效使用期限为一年，自</w:t>
      </w:r>
      <w:r>
        <w:rPr>
          <w:spacing w:val="-1"/>
        </w:rPr>
        <w:t>二○一九年二月十五日至二○二○年二月十四日，若市场情况有较大波动或超</w:t>
      </w:r>
      <w:r>
        <w:rPr>
          <w:spacing w:val="-3"/>
        </w:rPr>
        <w:t>过一年时需重新进行估价。</w:t>
      </w:r>
    </w:p>
    <w:p>
      <w:pPr>
        <w:pStyle w:val="3"/>
        <w:spacing w:line="475" w:lineRule="exact"/>
        <w:ind w:left="892"/>
      </w:pPr>
      <w:r>
        <w:rPr>
          <w:rFonts w:hint="eastAsia" w:ascii="Noto Sans Mono CJK JP Regular" w:eastAsia="Noto Sans Mono CJK JP Regular"/>
        </w:rPr>
        <w:t>2</w:t>
      </w:r>
      <w:r>
        <w:t>、本次估价仅对估价对象价值做出合理估价，不作为其权属方面确认的依</w:t>
      </w:r>
    </w:p>
    <w:p>
      <w:pPr>
        <w:pStyle w:val="3"/>
        <w:spacing w:line="538" w:lineRule="exact"/>
      </w:pPr>
      <w:r>
        <w:t>据，有关权属确定以有关部门认定为准。</w:t>
      </w:r>
    </w:p>
    <w:p>
      <w:pPr>
        <w:pStyle w:val="3"/>
        <w:spacing w:before="10" w:line="218" w:lineRule="auto"/>
        <w:ind w:right="312" w:firstLine="559"/>
      </w:pPr>
      <w:r>
        <w:rPr>
          <w:rFonts w:hint="eastAsia" w:ascii="Noto Sans Mono CJK JP Regular" w:eastAsia="Noto Sans Mono CJK JP Regular"/>
        </w:rPr>
        <w:t>3</w:t>
      </w:r>
      <w:r>
        <w:rPr>
          <w:spacing w:val="-15"/>
        </w:rPr>
        <w:t xml:space="preserve">、本估价报告仅供估价委托人、主办法院、双方当事人及利害关系人使用， </w:t>
      </w:r>
      <w:r>
        <w:rPr>
          <w:spacing w:val="-3"/>
        </w:rPr>
        <w:t>未经本估价机构同意，不得向估价委托人和报告审查部门之外的任何单位和个</w:t>
      </w:r>
      <w:r>
        <w:t>人提供。本估价报告的全文或任何部分内容或任何注释，均不能以任何形式刊载于任何文件、通函或声明中，均不允许在任何公开发表的文件、通告或声明</w:t>
      </w:r>
      <w:r>
        <w:rPr>
          <w:spacing w:val="-3"/>
        </w:rPr>
        <w:t>中引用，亦不得以其他任何方式公开发表。</w:t>
      </w:r>
    </w:p>
    <w:p>
      <w:pPr>
        <w:pStyle w:val="3"/>
        <w:spacing w:line="218" w:lineRule="auto"/>
        <w:ind w:right="452" w:firstLine="559"/>
        <w:jc w:val="both"/>
      </w:pPr>
      <w:r>
        <w:rPr>
          <w:rFonts w:hint="eastAsia" w:ascii="Noto Sans Mono CJK JP Regular" w:eastAsia="Noto Sans Mono CJK JP Regular"/>
        </w:rPr>
        <w:t>4</w:t>
      </w:r>
      <w:r>
        <w:rPr>
          <w:spacing w:val="-5"/>
        </w:rPr>
        <w:t>、估价结果是反映估价对象在本次估价目的下，根据公开市场原则确定的</w:t>
      </w:r>
      <w:r>
        <w:rPr>
          <w:spacing w:val="-1"/>
        </w:rPr>
        <w:t>价值时点的市场价值，仅作为估价委托人进行房地产司法鉴定的参考依据，不</w:t>
      </w:r>
      <w:r>
        <w:t>得用于其他目的和用途。我们不承担对任何第三者对本估价报告的全文或任何部分内容的任何责任。若改变估价目的及使用条件需向本估价机构咨询后作必</w:t>
      </w:r>
      <w:r>
        <w:rPr>
          <w:spacing w:val="-3"/>
        </w:rPr>
        <w:t>要的修正甚至重新估价。</w:t>
      </w:r>
    </w:p>
    <w:p>
      <w:pPr>
        <w:pStyle w:val="3"/>
        <w:spacing w:line="218" w:lineRule="auto"/>
        <w:ind w:right="331" w:firstLine="559"/>
        <w:jc w:val="both"/>
      </w:pPr>
      <w:r>
        <w:rPr>
          <w:rFonts w:hint="eastAsia" w:ascii="Noto Sans Mono CJK JP Regular" w:eastAsia="Noto Sans Mono CJK JP Regular"/>
        </w:rPr>
        <w:t>5</w:t>
      </w:r>
      <w:r>
        <w:rPr>
          <w:spacing w:val="-5"/>
        </w:rPr>
        <w:t>、假设房地产市场在报告有效期内没有较大波动，在报告使用有效期内如</w:t>
      </w:r>
      <w:r>
        <w:rPr>
          <w:spacing w:val="-1"/>
        </w:rPr>
        <w:t>有较大波动，提醒报告使用者慎重使用本估价结果。超过有效期，或价值时点</w:t>
      </w:r>
      <w:r>
        <w:t>之后、有效期之内估价对象或国家经济形势、城市规划、房地产税费政策等发生变化，对估价结果产生明显影响时，估价委托人应及时聘请房地产估价机构</w:t>
      </w:r>
      <w:r>
        <w:rPr>
          <w:spacing w:val="-17"/>
        </w:rPr>
        <w:t xml:space="preserve">对估价结果作相应调整或重新估价。相关当事人在接到估价报告书次日起 </w:t>
      </w:r>
      <w:r>
        <w:rPr>
          <w:rFonts w:hint="eastAsia" w:ascii="Noto Sans Mono CJK JP Regular" w:eastAsia="Noto Sans Mono CJK JP Regular"/>
        </w:rPr>
        <w:t>3</w:t>
      </w:r>
      <w:r>
        <w:rPr>
          <w:rFonts w:hint="eastAsia" w:ascii="Noto Sans Mono CJK JP Regular" w:eastAsia="Noto Sans Mono CJK JP Regular"/>
          <w:spacing w:val="-71"/>
        </w:rPr>
        <w:t xml:space="preserve"> </w:t>
      </w:r>
      <w:r>
        <w:rPr>
          <w:spacing w:val="-17"/>
        </w:rPr>
        <w:t>日内，</w:t>
      </w:r>
    </w:p>
    <w:p>
      <w:pPr>
        <w:spacing w:after="0" w:line="218" w:lineRule="auto"/>
        <w:jc w:val="both"/>
        <w:sectPr>
          <w:pgSz w:w="11910" w:h="16840"/>
          <w:pgMar w:top="1580" w:right="680" w:bottom="1120" w:left="800" w:header="922" w:footer="937" w:gutter="0"/>
        </w:sectPr>
      </w:pPr>
    </w:p>
    <w:p>
      <w:pPr>
        <w:pStyle w:val="3"/>
        <w:spacing w:line="483" w:lineRule="exact"/>
      </w:pPr>
      <w:r>
        <w:t>对估价报告和结果有异议的，可向评估机构提出申请解释、复估或重估。</w:t>
      </w:r>
    </w:p>
    <w:p>
      <w:pPr>
        <w:pStyle w:val="3"/>
        <w:spacing w:before="9" w:line="218" w:lineRule="auto"/>
        <w:ind w:right="454" w:firstLine="559"/>
        <w:jc w:val="both"/>
      </w:pPr>
      <w:r>
        <w:rPr>
          <w:rFonts w:hint="eastAsia" w:ascii="Noto Sans Mono CJK JP Regular" w:eastAsia="Noto Sans Mono CJK JP Regular"/>
        </w:rPr>
        <w:t>6</w:t>
      </w:r>
      <w:r>
        <w:rPr>
          <w:spacing w:val="-5"/>
        </w:rPr>
        <w:t>、本估价报告提供的估价结果为估价对象在价值时点的客观合理价值，价</w:t>
      </w:r>
      <w:r>
        <w:rPr>
          <w:spacing w:val="-1"/>
        </w:rPr>
        <w:t>值时点以后估价报告有效期内，估价对象的质量、性质、面积等影响价格的因</w:t>
      </w:r>
      <w:r>
        <w:rPr>
          <w:spacing w:val="-3"/>
        </w:rPr>
        <w:t>素发生变化，并对估价对象的价值产生影响时，不能直接使用本估价结果。</w:t>
      </w:r>
    </w:p>
    <w:p>
      <w:pPr>
        <w:pStyle w:val="3"/>
        <w:spacing w:line="218" w:lineRule="auto"/>
        <w:ind w:right="451" w:firstLine="559"/>
        <w:jc w:val="both"/>
      </w:pPr>
      <w:r>
        <w:rPr>
          <w:rFonts w:hint="eastAsia" w:ascii="Noto Sans Mono CJK JP Regular" w:eastAsia="Noto Sans Mono CJK JP Regular"/>
        </w:rPr>
        <w:t>7</w:t>
      </w:r>
      <w:r>
        <w:rPr>
          <w:spacing w:val="-5"/>
        </w:rPr>
        <w:t>、本估价报告必须完整使用方为有效，翻印、复制、修改无效。对仅使用</w:t>
      </w:r>
      <w:r>
        <w:rPr>
          <w:spacing w:val="-4"/>
        </w:rPr>
        <w:t>本估价报告中部分内容可能导致的损失，本估价机构不承担责任。</w:t>
      </w:r>
    </w:p>
    <w:p>
      <w:pPr>
        <w:pStyle w:val="3"/>
        <w:spacing w:line="525" w:lineRule="exact"/>
        <w:ind w:left="892"/>
      </w:pPr>
      <w:r>
        <w:rPr>
          <w:rFonts w:hint="eastAsia" w:ascii="Noto Sans Mono CJK JP Regular" w:eastAsia="Noto Sans Mono CJK JP Regular"/>
        </w:rPr>
        <w:t>8</w:t>
      </w:r>
      <w:r>
        <w:t>、本估价报告经本估价机构盖章并由注册房地产估价师签字后方为有效。</w:t>
      </w:r>
    </w:p>
    <w:p>
      <w:pPr>
        <w:pStyle w:val="3"/>
        <w:spacing w:before="3" w:line="218" w:lineRule="auto"/>
        <w:ind w:right="452" w:firstLine="559"/>
        <w:jc w:val="both"/>
      </w:pPr>
      <w:r>
        <w:rPr>
          <w:rFonts w:hint="eastAsia" w:ascii="Noto Sans Mono CJK JP Regular" w:eastAsia="Noto Sans Mono CJK JP Regular"/>
        </w:rPr>
        <w:t>9</w:t>
      </w:r>
      <w:r>
        <w:rPr>
          <w:spacing w:val="-3"/>
        </w:rPr>
        <w:t xml:space="preserve">、本估价报告计算部分均采用 </w:t>
      </w:r>
      <w:r>
        <w:rPr>
          <w:rFonts w:hint="eastAsia" w:ascii="Noto Sans Mono CJK JP Regular" w:eastAsia="Noto Sans Mono CJK JP Regular"/>
        </w:rPr>
        <w:t>EXCEL</w:t>
      </w:r>
      <w:r>
        <w:rPr>
          <w:rFonts w:hint="eastAsia" w:ascii="Noto Sans Mono CJK JP Regular" w:eastAsia="Noto Sans Mono CJK JP Regular"/>
          <w:spacing w:val="-66"/>
        </w:rPr>
        <w:t xml:space="preserve"> </w:t>
      </w:r>
      <w:r>
        <w:rPr>
          <w:spacing w:val="-5"/>
        </w:rPr>
        <w:t>电子表格进行计算，由于小数点后位</w:t>
      </w:r>
      <w:r>
        <w:rPr>
          <w:spacing w:val="-4"/>
        </w:rPr>
        <w:t>数保留不等的原因，导致部分等式并不完全相等，但不影响最终的估价结果。</w:t>
      </w:r>
    </w:p>
    <w:p>
      <w:pPr>
        <w:pStyle w:val="3"/>
        <w:spacing w:line="218" w:lineRule="auto"/>
        <w:ind w:right="315" w:firstLine="559"/>
        <w:jc w:val="both"/>
      </w:pPr>
      <w:r>
        <w:rPr>
          <w:rFonts w:hint="eastAsia" w:ascii="Noto Sans Mono CJK JP Regular" w:eastAsia="Noto Sans Mono CJK JP Regular"/>
        </w:rPr>
        <w:t>10</w:t>
      </w:r>
      <w:r>
        <w:t>、本估价报告所载内容的文字或数字如存在表述不清、出现因校印、打</w:t>
      </w:r>
      <w:r>
        <w:rPr>
          <w:spacing w:val="-5"/>
        </w:rPr>
        <w:t xml:space="preserve">印或其他原因出现误差时，请报告使用人及时通知本估价机构予以澄清或更正， </w:t>
      </w:r>
      <w:r>
        <w:rPr>
          <w:spacing w:val="-4"/>
        </w:rPr>
        <w:t>不得恶意使用。</w:t>
      </w:r>
    </w:p>
    <w:p>
      <w:pPr>
        <w:pStyle w:val="3"/>
        <w:spacing w:line="577" w:lineRule="exact"/>
        <w:ind w:left="892"/>
      </w:pPr>
      <w:r>
        <w:rPr>
          <w:rFonts w:hint="eastAsia" w:ascii="Noto Sans Mono CJK JP Regular" w:eastAsia="Noto Sans Mono CJK JP Regular"/>
        </w:rPr>
        <w:t>11</w:t>
      </w:r>
      <w:r>
        <w:t>、欲了解估价对象的全面情况，应认真阅读本估价报告全文。</w:t>
      </w:r>
    </w:p>
    <w:p>
      <w:pPr>
        <w:spacing w:after="0" w:line="577" w:lineRule="exact"/>
        <w:sectPr>
          <w:pgSz w:w="11910" w:h="16840"/>
          <w:pgMar w:top="1580" w:right="680" w:bottom="1120" w:left="800" w:header="922" w:footer="937" w:gutter="0"/>
        </w:sectPr>
      </w:pPr>
    </w:p>
    <w:p>
      <w:pPr>
        <w:pStyle w:val="3"/>
        <w:spacing w:before="19"/>
        <w:ind w:left="0"/>
        <w:rPr>
          <w:sz w:val="22"/>
        </w:rPr>
      </w:pPr>
    </w:p>
    <w:p>
      <w:pPr>
        <w:pStyle w:val="2"/>
        <w:ind w:left="3379"/>
      </w:pPr>
      <w:bookmarkStart w:id="8" w:name="_bookmark8"/>
      <w:bookmarkEnd w:id="8"/>
      <w:r>
        <w:t>房地产估价结果报告</w:t>
      </w:r>
    </w:p>
    <w:p>
      <w:pPr>
        <w:pStyle w:val="3"/>
        <w:spacing w:before="8"/>
        <w:ind w:left="0"/>
        <w:rPr>
          <w:sz w:val="20"/>
        </w:rPr>
      </w:pPr>
    </w:p>
    <w:p>
      <w:pPr>
        <w:pStyle w:val="3"/>
        <w:spacing w:before="1" w:line="546" w:lineRule="exact"/>
        <w:ind w:left="1060"/>
      </w:pPr>
      <w:bookmarkStart w:id="9" w:name="_bookmark9"/>
      <w:bookmarkEnd w:id="9"/>
      <w:r>
        <w:t>一、估价委托人</w:t>
      </w:r>
    </w:p>
    <w:p>
      <w:pPr>
        <w:pStyle w:val="3"/>
        <w:spacing w:before="14" w:line="204" w:lineRule="auto"/>
        <w:ind w:left="1060" w:right="4921" w:firstLine="14"/>
      </w:pPr>
      <w:r>
        <w:t>委托单位：邯郸市邯山区人民法院</w:t>
      </w:r>
      <w:bookmarkStart w:id="10" w:name="_bookmark10"/>
      <w:bookmarkEnd w:id="10"/>
      <w:r>
        <w:t>二、房地产估价机构</w:t>
      </w:r>
    </w:p>
    <w:p>
      <w:pPr>
        <w:pStyle w:val="3"/>
        <w:spacing w:line="201" w:lineRule="auto"/>
        <w:ind w:left="1074" w:right="4031"/>
      </w:pPr>
      <w:r>
        <w:t>估价机构：河北金石房地产评估有限公司法定代表人：孙少峰</w:t>
      </w:r>
    </w:p>
    <w:p>
      <w:pPr>
        <w:pStyle w:val="3"/>
        <w:spacing w:line="484" w:lineRule="exact"/>
        <w:ind w:left="1074"/>
      </w:pPr>
      <w:r>
        <w:t>资质等级：贰级</w:t>
      </w:r>
    </w:p>
    <w:p>
      <w:pPr>
        <w:pStyle w:val="3"/>
        <w:spacing w:line="499" w:lineRule="exact"/>
        <w:ind w:left="1074"/>
      </w:pPr>
      <w:r>
        <w:rPr>
          <w:spacing w:val="14"/>
        </w:rPr>
        <w:t>资质证书编号：冀建房估（</w:t>
      </w:r>
      <w:r>
        <w:rPr>
          <w:spacing w:val="16"/>
        </w:rPr>
        <w:t>邯</w:t>
      </w:r>
      <w:r>
        <w:rPr>
          <w:spacing w:val="9"/>
        </w:rPr>
        <w:t>）</w:t>
      </w:r>
      <w:r>
        <w:rPr>
          <w:rFonts w:hint="eastAsia" w:ascii="Noto Sans Mono CJK JP Regular" w:eastAsia="Noto Sans Mono CJK JP Regular"/>
          <w:spacing w:val="9"/>
        </w:rPr>
        <w:t>15</w:t>
      </w:r>
      <w:r>
        <w:rPr>
          <w:rFonts w:hint="eastAsia" w:ascii="Noto Sans Mono CJK JP Regular" w:eastAsia="Noto Sans Mono CJK JP Regular"/>
          <w:spacing w:val="-58"/>
        </w:rPr>
        <w:t xml:space="preserve"> </w:t>
      </w:r>
      <w:r>
        <w:t>号</w:t>
      </w:r>
    </w:p>
    <w:p>
      <w:pPr>
        <w:pStyle w:val="3"/>
        <w:spacing w:line="500" w:lineRule="exact"/>
        <w:ind w:left="1074"/>
      </w:pPr>
      <w:r>
        <w:rPr>
          <w:spacing w:val="14"/>
        </w:rPr>
        <w:t xml:space="preserve">单位地址：河北省邯郸市丛台区滏东北大街 </w:t>
      </w:r>
      <w:r>
        <w:rPr>
          <w:rFonts w:hint="eastAsia" w:ascii="Noto Sans Mono CJK JP Regular" w:eastAsia="Noto Sans Mono CJK JP Regular"/>
          <w:spacing w:val="4"/>
        </w:rPr>
        <w:t>289</w:t>
      </w:r>
      <w:r>
        <w:rPr>
          <w:rFonts w:hint="eastAsia" w:ascii="Noto Sans Mono CJK JP Regular" w:eastAsia="Noto Sans Mono CJK JP Regular"/>
          <w:spacing w:val="-56"/>
        </w:rPr>
        <w:t xml:space="preserve"> </w:t>
      </w:r>
      <w:r>
        <w:rPr>
          <w:spacing w:val="11"/>
        </w:rPr>
        <w:t>号三龙大厦</w:t>
      </w:r>
    </w:p>
    <w:p>
      <w:pPr>
        <w:pStyle w:val="3"/>
        <w:spacing w:line="500" w:lineRule="exact"/>
        <w:ind w:left="2555"/>
      </w:pPr>
      <w:r>
        <w:rPr>
          <w:rFonts w:hint="eastAsia" w:ascii="Noto Sans Mono CJK JP Regular" w:eastAsia="Noto Sans Mono CJK JP Regular"/>
        </w:rPr>
        <w:t>B</w:t>
      </w:r>
      <w:r>
        <w:rPr>
          <w:rFonts w:hint="eastAsia" w:ascii="Noto Sans Mono CJK JP Regular" w:eastAsia="Noto Sans Mono CJK JP Regular"/>
          <w:spacing w:val="-58"/>
        </w:rPr>
        <w:t xml:space="preserve"> </w:t>
      </w:r>
      <w:r>
        <w:rPr>
          <w:spacing w:val="14"/>
        </w:rPr>
        <w:t xml:space="preserve">座 </w:t>
      </w:r>
      <w:r>
        <w:rPr>
          <w:rFonts w:hint="eastAsia" w:ascii="Noto Sans Mono CJK JP Regular" w:eastAsia="Noto Sans Mono CJK JP Regular"/>
          <w:spacing w:val="3"/>
        </w:rPr>
        <w:t>11</w:t>
      </w:r>
      <w:r>
        <w:rPr>
          <w:rFonts w:hint="eastAsia" w:ascii="Noto Sans Mono CJK JP Regular" w:eastAsia="Noto Sans Mono CJK JP Regular"/>
          <w:spacing w:val="-57"/>
        </w:rPr>
        <w:t xml:space="preserve"> </w:t>
      </w:r>
      <w:r>
        <w:rPr>
          <w:spacing w:val="13"/>
        </w:rPr>
        <w:t xml:space="preserve">层 </w:t>
      </w:r>
      <w:r>
        <w:rPr>
          <w:rFonts w:hint="eastAsia" w:ascii="Noto Sans Mono CJK JP Regular" w:eastAsia="Noto Sans Mono CJK JP Regular"/>
          <w:spacing w:val="5"/>
        </w:rPr>
        <w:t>1101</w:t>
      </w:r>
      <w:r>
        <w:rPr>
          <w:rFonts w:hint="eastAsia" w:ascii="Noto Sans Mono CJK JP Regular" w:eastAsia="Noto Sans Mono CJK JP Regular"/>
          <w:spacing w:val="-57"/>
        </w:rPr>
        <w:t xml:space="preserve"> </w:t>
      </w:r>
      <w:r>
        <w:t>号</w:t>
      </w:r>
    </w:p>
    <w:p>
      <w:pPr>
        <w:pStyle w:val="3"/>
        <w:tabs>
          <w:tab w:val="left" w:pos="2706"/>
        </w:tabs>
        <w:spacing w:line="499" w:lineRule="exact"/>
        <w:ind w:left="1074"/>
        <w:rPr>
          <w:rFonts w:hint="eastAsia" w:ascii="Noto Sans Mono CJK JP Regular" w:eastAsia="Noto Sans Mono CJK JP Regular"/>
        </w:rPr>
      </w:pPr>
      <w:r>
        <w:rPr>
          <w:spacing w:val="16"/>
        </w:rPr>
        <w:t>联</w:t>
      </w:r>
      <w:r>
        <w:rPr>
          <w:spacing w:val="14"/>
        </w:rPr>
        <w:t>系</w:t>
      </w:r>
      <w:r>
        <w:rPr>
          <w:spacing w:val="16"/>
        </w:rPr>
        <w:t>电</w:t>
      </w:r>
      <w:r>
        <w:rPr>
          <w:spacing w:val="17"/>
        </w:rPr>
        <w:t>话</w:t>
      </w:r>
      <w:r>
        <w:rPr>
          <w:rFonts w:hint="eastAsia" w:ascii="Noto Sans Mono CJK JP Regular" w:eastAsia="Noto Sans Mono CJK JP Regular"/>
        </w:rPr>
        <w:t>:</w:t>
      </w:r>
      <w:r>
        <w:rPr>
          <w:rFonts w:hint="eastAsia" w:ascii="Noto Sans Mono CJK JP Regular" w:eastAsia="Noto Sans Mono CJK JP Regular"/>
        </w:rPr>
        <w:tab/>
      </w:r>
      <w:r>
        <w:rPr>
          <w:rFonts w:hint="eastAsia" w:ascii="Noto Sans Mono CJK JP Regular" w:eastAsia="Noto Sans Mono CJK JP Regular"/>
          <w:spacing w:val="6"/>
        </w:rPr>
        <w:t>0310-8503309</w:t>
      </w:r>
    </w:p>
    <w:p>
      <w:pPr>
        <w:pStyle w:val="3"/>
        <w:spacing w:line="500" w:lineRule="exact"/>
        <w:ind w:left="1060"/>
      </w:pPr>
      <w:bookmarkStart w:id="11" w:name="_bookmark11"/>
      <w:bookmarkEnd w:id="11"/>
      <w:r>
        <w:t>三、估价目的</w:t>
      </w:r>
    </w:p>
    <w:p>
      <w:pPr>
        <w:pStyle w:val="3"/>
        <w:spacing w:before="17" w:line="201" w:lineRule="auto"/>
        <w:ind w:right="588" w:firstLine="624"/>
        <w:jc w:val="both"/>
      </w:pPr>
      <w:r>
        <w:t>受估价委托人的委托，为邯郸市邯山区人民法院审理的申请人李鹏、于翔被执行人邯郸市思特利房地产开发有限公司民间借贷纠纷案的涉案房地产价值提供参考，而评估该房地产的市场价值。</w:t>
      </w:r>
    </w:p>
    <w:p>
      <w:pPr>
        <w:pStyle w:val="3"/>
        <w:spacing w:line="485" w:lineRule="exact"/>
        <w:ind w:left="1060"/>
      </w:pPr>
      <w:bookmarkStart w:id="12" w:name="_bookmark12"/>
      <w:bookmarkEnd w:id="12"/>
      <w:r>
        <w:t>四、估价对象</w:t>
      </w:r>
    </w:p>
    <w:p>
      <w:pPr>
        <w:pStyle w:val="3"/>
        <w:spacing w:line="499" w:lineRule="exact"/>
        <w:ind w:left="926"/>
      </w:pPr>
      <w:r>
        <w:rPr>
          <w:rFonts w:hint="eastAsia" w:ascii="Noto Sans Mono CJK JP Regular" w:eastAsia="Noto Sans Mono CJK JP Regular"/>
        </w:rPr>
        <w:t>1</w:t>
      </w:r>
      <w:r>
        <w:t>、估价对象区位状况</w:t>
      </w:r>
    </w:p>
    <w:p>
      <w:pPr>
        <w:pStyle w:val="3"/>
        <w:spacing w:before="19" w:line="201" w:lineRule="auto"/>
        <w:ind w:right="619" w:firstLine="593"/>
        <w:jc w:val="both"/>
      </w:pPr>
      <w:r>
        <w:t xml:space="preserve">估价对象位于邯郸市邯山区兴和路 </w:t>
      </w:r>
      <w:r>
        <w:rPr>
          <w:rFonts w:hint="eastAsia" w:ascii="Noto Sans Mono CJK JP Regular" w:eastAsia="Noto Sans Mono CJK JP Regular"/>
        </w:rPr>
        <w:t xml:space="preserve">366 </w:t>
      </w:r>
      <w:r>
        <w:t xml:space="preserve">号汇鑫湾 </w:t>
      </w:r>
      <w:r>
        <w:rPr>
          <w:rFonts w:hint="eastAsia" w:ascii="Noto Sans Mono CJK JP Regular" w:eastAsia="Noto Sans Mono CJK JP Regular"/>
        </w:rPr>
        <w:t xml:space="preserve">5-1-501 </w:t>
      </w:r>
      <w:r>
        <w:t>号，周边主要道路有陵西大街、南环路。周边环境有赵王商城、赵国美食城、隆基泰和广场、中国石化、南环花卉市场、张庄桥小学、赵王幼儿园、七色光赵都校区、二十三中赵都新城校区、南湖公园、赵都新城天和园、赵都新城文和园、赵都新城福和园、颐景蓝湾小区、金碧苑小区、现代海棠湾小区等。</w:t>
      </w:r>
    </w:p>
    <w:p>
      <w:pPr>
        <w:pStyle w:val="3"/>
        <w:spacing w:line="490" w:lineRule="exact"/>
        <w:ind w:left="926"/>
      </w:pPr>
      <w:r>
        <w:rPr>
          <w:rFonts w:hint="eastAsia" w:ascii="Noto Sans Mono CJK JP Regular" w:eastAsia="Noto Sans Mono CJK JP Regular"/>
        </w:rPr>
        <w:t>2</w:t>
      </w:r>
      <w:r>
        <w:t>、估价对象权益状况</w:t>
      </w:r>
    </w:p>
    <w:p>
      <w:pPr>
        <w:pStyle w:val="3"/>
        <w:spacing w:line="548" w:lineRule="exact"/>
        <w:ind w:left="926"/>
      </w:pPr>
      <w:r>
        <w:rPr>
          <w:spacing w:val="15"/>
        </w:rPr>
        <w:t xml:space="preserve">待估对象位于邯郸市邯山区兴和路 </w:t>
      </w:r>
      <w:r>
        <w:rPr>
          <w:rFonts w:hint="eastAsia" w:ascii="Noto Sans Mono CJK JP Regular" w:eastAsia="Noto Sans Mono CJK JP Regular"/>
          <w:spacing w:val="4"/>
        </w:rPr>
        <w:t xml:space="preserve">366 </w:t>
      </w:r>
      <w:r>
        <w:rPr>
          <w:spacing w:val="16"/>
        </w:rPr>
        <w:t xml:space="preserve">号汇鑫湾 </w:t>
      </w:r>
      <w:r>
        <w:rPr>
          <w:rFonts w:hint="eastAsia" w:ascii="Noto Sans Mono CJK JP Regular" w:eastAsia="Noto Sans Mono CJK JP Regular"/>
          <w:spacing w:val="6"/>
        </w:rPr>
        <w:t xml:space="preserve">5-1-501 </w:t>
      </w:r>
      <w:r>
        <w:rPr>
          <w:spacing w:val="4"/>
        </w:rPr>
        <w:t>号，是邯郸</w:t>
      </w:r>
    </w:p>
    <w:p>
      <w:pPr>
        <w:spacing w:after="0" w:line="548" w:lineRule="exact"/>
        <w:sectPr>
          <w:pgSz w:w="11910" w:h="16840"/>
          <w:pgMar w:top="1580" w:right="680" w:bottom="1120" w:left="800" w:header="922" w:footer="937" w:gutter="0"/>
        </w:sectPr>
      </w:pPr>
    </w:p>
    <w:p>
      <w:pPr>
        <w:pStyle w:val="3"/>
        <w:spacing w:line="492" w:lineRule="exact"/>
        <w:jc w:val="both"/>
      </w:pPr>
      <w:r>
        <w:t>市思特利房地产开发有限公司的在建工程。</w:t>
      </w:r>
    </w:p>
    <w:p>
      <w:pPr>
        <w:pStyle w:val="3"/>
        <w:spacing w:line="499" w:lineRule="exact"/>
        <w:ind w:left="926"/>
      </w:pPr>
      <w:r>
        <w:t>根据估价委托人提供的《新建商品房网签备案情况查询表》（幢编码：</w:t>
      </w:r>
    </w:p>
    <w:p>
      <w:pPr>
        <w:pStyle w:val="3"/>
        <w:spacing w:line="546" w:lineRule="exact"/>
        <w:jc w:val="both"/>
      </w:pPr>
      <w:r>
        <w:pict>
          <v:shape id="_x0000_s1027" o:spid="_x0000_s1027" o:spt="202" type="#_x0000_t202" style="position:absolute;left:0pt;margin-left:51pt;margin-top:23.35pt;height:103pt;width:466.9pt;mso-position-horizontal-relative:page;z-index:2048;mso-width-relative:page;mso-height-relative:page;" filled="f" stroked="f" coordsize="21600,21600">
            <v:path/>
            <v:fill on="f" focussize="0,0"/>
            <v:stroke on="f" joinstyle="miter"/>
            <v:imagedata o:title=""/>
            <o:lock v:ext="edit"/>
            <v:textbox inset="0mm,0mm,0mm,0mm">
              <w:txbxContent>
                <w:tbl>
                  <w:tblPr>
                    <w:tblStyle w:val="6"/>
                    <w:tblW w:w="93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6"/>
                    <w:gridCol w:w="1277"/>
                    <w:gridCol w:w="1274"/>
                    <w:gridCol w:w="1418"/>
                    <w:gridCol w:w="1418"/>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376" w:type="dxa"/>
                      </w:tcPr>
                      <w:p>
                        <w:pPr>
                          <w:pStyle w:val="10"/>
                          <w:spacing w:line="378" w:lineRule="exact"/>
                          <w:ind w:left="107"/>
                          <w:rPr>
                            <w:sz w:val="24"/>
                          </w:rPr>
                        </w:pPr>
                        <w:r>
                          <w:rPr>
                            <w:sz w:val="24"/>
                          </w:rPr>
                          <w:t>开发企业</w:t>
                        </w:r>
                      </w:p>
                    </w:tc>
                    <w:tc>
                      <w:tcPr>
                        <w:tcW w:w="6945" w:type="dxa"/>
                        <w:gridSpan w:val="5"/>
                      </w:tcPr>
                      <w:p>
                        <w:pPr>
                          <w:pStyle w:val="10"/>
                          <w:spacing w:line="378" w:lineRule="exact"/>
                          <w:ind w:left="108"/>
                          <w:rPr>
                            <w:sz w:val="24"/>
                          </w:rPr>
                        </w:pPr>
                        <w:r>
                          <w:rPr>
                            <w:sz w:val="24"/>
                          </w:rPr>
                          <w:t>邯郸市思特利房地产开发有限公司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2376" w:type="dxa"/>
                      </w:tcPr>
                      <w:p>
                        <w:pPr>
                          <w:pStyle w:val="10"/>
                          <w:spacing w:line="380" w:lineRule="exact"/>
                          <w:ind w:left="107"/>
                          <w:rPr>
                            <w:sz w:val="24"/>
                          </w:rPr>
                        </w:pPr>
                        <w:r>
                          <w:rPr>
                            <w:sz w:val="24"/>
                          </w:rPr>
                          <w:t>房屋坐落</w:t>
                        </w:r>
                      </w:p>
                    </w:tc>
                    <w:tc>
                      <w:tcPr>
                        <w:tcW w:w="6945" w:type="dxa"/>
                        <w:gridSpan w:val="5"/>
                      </w:tcPr>
                      <w:p>
                        <w:pPr>
                          <w:pStyle w:val="10"/>
                          <w:spacing w:line="380" w:lineRule="exact"/>
                          <w:ind w:left="108"/>
                          <w:rPr>
                            <w:sz w:val="24"/>
                          </w:rPr>
                        </w:pPr>
                        <w:r>
                          <w:rPr>
                            <w:spacing w:val="13"/>
                            <w:sz w:val="24"/>
                          </w:rPr>
                          <w:t xml:space="preserve">邯郸市邯山区兴和路 </w:t>
                        </w:r>
                        <w:r>
                          <w:rPr>
                            <w:rFonts w:hint="eastAsia" w:ascii="Noto Sans Mono CJK JP Regular" w:eastAsia="Noto Sans Mono CJK JP Regular"/>
                            <w:spacing w:val="4"/>
                            <w:sz w:val="24"/>
                          </w:rPr>
                          <w:t xml:space="preserve">366 </w:t>
                        </w:r>
                        <w:r>
                          <w:rPr>
                            <w:spacing w:val="14"/>
                            <w:sz w:val="24"/>
                          </w:rPr>
                          <w:t xml:space="preserve">号汇鑫湾 </w:t>
                        </w:r>
                        <w:r>
                          <w:rPr>
                            <w:rFonts w:hint="eastAsia" w:ascii="Noto Sans Mono CJK JP Regular" w:eastAsia="Noto Sans Mono CJK JP Regular"/>
                            <w:spacing w:val="6"/>
                            <w:sz w:val="24"/>
                          </w:rPr>
                          <w:t>5-1-501</w:t>
                        </w:r>
                        <w:r>
                          <w:rPr>
                            <w:rFonts w:hint="eastAsia" w:ascii="Noto Sans Mono CJK JP Regular" w:eastAsia="Noto Sans Mono CJK JP Regular"/>
                            <w:spacing w:val="-48"/>
                            <w:sz w:val="24"/>
                          </w:rPr>
                          <w:t xml:space="preserve"> </w:t>
                        </w:r>
                        <w:r>
                          <w:rPr>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2376" w:type="dxa"/>
                      </w:tcPr>
                      <w:p>
                        <w:pPr>
                          <w:pStyle w:val="10"/>
                          <w:spacing w:line="380" w:lineRule="exact"/>
                          <w:ind w:left="107"/>
                          <w:rPr>
                            <w:sz w:val="24"/>
                          </w:rPr>
                        </w:pPr>
                        <w:r>
                          <w:rPr>
                            <w:sz w:val="24"/>
                          </w:rPr>
                          <w:t>委估建筑面积</w:t>
                        </w:r>
                      </w:p>
                    </w:tc>
                    <w:tc>
                      <w:tcPr>
                        <w:tcW w:w="1277" w:type="dxa"/>
                      </w:tcPr>
                      <w:p>
                        <w:pPr>
                          <w:pStyle w:val="10"/>
                          <w:spacing w:line="380" w:lineRule="exact"/>
                          <w:ind w:left="108"/>
                          <w:rPr>
                            <w:rFonts w:hint="eastAsia" w:ascii="Droid Sans Fallback" w:eastAsia="Droid Sans Fallback"/>
                            <w:sz w:val="24"/>
                          </w:rPr>
                        </w:pPr>
                        <w:r>
                          <w:rPr>
                            <w:rFonts w:hint="eastAsia" w:ascii="Noto Sans Mono CJK JP Regular" w:eastAsia="Noto Sans Mono CJK JP Regular"/>
                            <w:spacing w:val="-10"/>
                            <w:sz w:val="24"/>
                          </w:rPr>
                          <w:t>145.04</w:t>
                        </w:r>
                        <w:r>
                          <w:rPr>
                            <w:rFonts w:hint="eastAsia" w:ascii="Noto Sans Mono CJK JP Regular" w:eastAsia="Noto Sans Mono CJK JP Regular"/>
                            <w:spacing w:val="-77"/>
                            <w:sz w:val="24"/>
                          </w:rPr>
                          <w:t xml:space="preserve"> </w:t>
                        </w:r>
                        <w:r>
                          <w:rPr>
                            <w:rFonts w:hint="eastAsia" w:ascii="Droid Sans Fallback" w:eastAsia="Droid Sans Fallback"/>
                            <w:sz w:val="24"/>
                          </w:rPr>
                          <w:t>㎡</w:t>
                        </w:r>
                      </w:p>
                    </w:tc>
                    <w:tc>
                      <w:tcPr>
                        <w:tcW w:w="1274" w:type="dxa"/>
                      </w:tcPr>
                      <w:p>
                        <w:pPr>
                          <w:pStyle w:val="10"/>
                          <w:spacing w:line="380" w:lineRule="exact"/>
                          <w:ind w:left="108"/>
                          <w:rPr>
                            <w:sz w:val="24"/>
                          </w:rPr>
                        </w:pPr>
                        <w:r>
                          <w:rPr>
                            <w:sz w:val="24"/>
                          </w:rPr>
                          <w:t>用途</w:t>
                        </w:r>
                      </w:p>
                    </w:tc>
                    <w:tc>
                      <w:tcPr>
                        <w:tcW w:w="1418" w:type="dxa"/>
                      </w:tcPr>
                      <w:p>
                        <w:pPr>
                          <w:pStyle w:val="10"/>
                          <w:spacing w:line="380" w:lineRule="exact"/>
                          <w:ind w:left="111"/>
                          <w:rPr>
                            <w:sz w:val="24"/>
                          </w:rPr>
                        </w:pPr>
                        <w:r>
                          <w:rPr>
                            <w:sz w:val="24"/>
                          </w:rPr>
                          <w:t>住宅</w:t>
                        </w:r>
                      </w:p>
                    </w:tc>
                    <w:tc>
                      <w:tcPr>
                        <w:tcW w:w="1418" w:type="dxa"/>
                      </w:tcPr>
                      <w:p>
                        <w:pPr>
                          <w:pStyle w:val="10"/>
                          <w:spacing w:line="380" w:lineRule="exact"/>
                          <w:ind w:left="109"/>
                          <w:rPr>
                            <w:sz w:val="24"/>
                          </w:rPr>
                        </w:pPr>
                        <w:r>
                          <w:rPr>
                            <w:sz w:val="24"/>
                          </w:rPr>
                          <w:t>结构</w:t>
                        </w:r>
                      </w:p>
                    </w:tc>
                    <w:tc>
                      <w:tcPr>
                        <w:tcW w:w="1558" w:type="dxa"/>
                      </w:tcPr>
                      <w:p>
                        <w:pPr>
                          <w:pStyle w:val="10"/>
                          <w:spacing w:line="380" w:lineRule="exact"/>
                          <w:ind w:left="110"/>
                          <w:rPr>
                            <w:sz w:val="24"/>
                          </w:rPr>
                        </w:pPr>
                        <w:r>
                          <w:rPr>
                            <w:sz w:val="24"/>
                          </w:rPr>
                          <w:t>框架剪力墙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2376" w:type="dxa"/>
                      </w:tcPr>
                      <w:p>
                        <w:pPr>
                          <w:pStyle w:val="10"/>
                          <w:spacing w:line="380" w:lineRule="exact"/>
                          <w:ind w:left="107"/>
                          <w:rPr>
                            <w:sz w:val="24"/>
                          </w:rPr>
                        </w:pPr>
                        <w:r>
                          <w:rPr>
                            <w:sz w:val="24"/>
                          </w:rPr>
                          <w:t>套内面积</w:t>
                        </w:r>
                      </w:p>
                    </w:tc>
                    <w:tc>
                      <w:tcPr>
                        <w:tcW w:w="1277" w:type="dxa"/>
                      </w:tcPr>
                      <w:p>
                        <w:pPr>
                          <w:pStyle w:val="10"/>
                          <w:spacing w:line="380" w:lineRule="exact"/>
                          <w:ind w:left="108"/>
                          <w:rPr>
                            <w:rFonts w:hint="eastAsia" w:ascii="Droid Sans Fallback" w:eastAsia="Droid Sans Fallback"/>
                            <w:sz w:val="24"/>
                          </w:rPr>
                        </w:pPr>
                        <w:r>
                          <w:rPr>
                            <w:rFonts w:hint="eastAsia" w:ascii="Noto Sans Mono CJK JP Regular" w:eastAsia="Noto Sans Mono CJK JP Regular"/>
                            <w:spacing w:val="-10"/>
                            <w:sz w:val="24"/>
                          </w:rPr>
                          <w:t>95.89</w:t>
                        </w:r>
                        <w:r>
                          <w:rPr>
                            <w:rFonts w:hint="eastAsia" w:ascii="Noto Sans Mono CJK JP Regular" w:eastAsia="Noto Sans Mono CJK JP Regular"/>
                            <w:spacing w:val="-77"/>
                            <w:sz w:val="24"/>
                          </w:rPr>
                          <w:t xml:space="preserve"> </w:t>
                        </w:r>
                        <w:r>
                          <w:rPr>
                            <w:rFonts w:hint="eastAsia" w:ascii="Droid Sans Fallback" w:eastAsia="Droid Sans Fallback"/>
                            <w:sz w:val="24"/>
                          </w:rPr>
                          <w:t>㎡</w:t>
                        </w:r>
                      </w:p>
                    </w:tc>
                    <w:tc>
                      <w:tcPr>
                        <w:tcW w:w="1274" w:type="dxa"/>
                      </w:tcPr>
                      <w:p>
                        <w:pPr>
                          <w:pStyle w:val="10"/>
                          <w:spacing w:line="380" w:lineRule="exact"/>
                          <w:ind w:left="108"/>
                          <w:rPr>
                            <w:sz w:val="24"/>
                          </w:rPr>
                        </w:pPr>
                        <w:r>
                          <w:rPr>
                            <w:sz w:val="24"/>
                          </w:rPr>
                          <w:t>房屋性质</w:t>
                        </w:r>
                      </w:p>
                    </w:tc>
                    <w:tc>
                      <w:tcPr>
                        <w:tcW w:w="1418" w:type="dxa"/>
                      </w:tcPr>
                      <w:p>
                        <w:pPr>
                          <w:pStyle w:val="10"/>
                          <w:spacing w:line="380" w:lineRule="exact"/>
                          <w:ind w:left="111"/>
                          <w:rPr>
                            <w:sz w:val="24"/>
                          </w:rPr>
                        </w:pPr>
                        <w:r>
                          <w:rPr>
                            <w:sz w:val="24"/>
                          </w:rPr>
                          <w:t>商品房</w:t>
                        </w:r>
                      </w:p>
                    </w:tc>
                    <w:tc>
                      <w:tcPr>
                        <w:tcW w:w="1418" w:type="dxa"/>
                      </w:tcPr>
                      <w:p>
                        <w:pPr>
                          <w:pStyle w:val="10"/>
                          <w:spacing w:line="380" w:lineRule="exact"/>
                          <w:ind w:left="109"/>
                          <w:rPr>
                            <w:sz w:val="24"/>
                          </w:rPr>
                        </w:pPr>
                        <w:r>
                          <w:rPr>
                            <w:sz w:val="24"/>
                          </w:rPr>
                          <w:t>地下层数</w:t>
                        </w:r>
                      </w:p>
                    </w:tc>
                    <w:tc>
                      <w:tcPr>
                        <w:tcW w:w="1558" w:type="dxa"/>
                      </w:tcPr>
                      <w:p>
                        <w:pPr>
                          <w:pStyle w:val="10"/>
                          <w:spacing w:line="380" w:lineRule="exact"/>
                          <w:ind w:left="110"/>
                          <w:rPr>
                            <w:rFonts w:ascii="Noto Sans Mono CJK JP Regular"/>
                            <w:sz w:val="24"/>
                          </w:rPr>
                        </w:pPr>
                        <w:r>
                          <w:rPr>
                            <w:rFonts w:ascii="Noto Sans Mono CJK JP Regular"/>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2376" w:type="dxa"/>
                      </w:tcPr>
                      <w:p>
                        <w:pPr>
                          <w:pStyle w:val="10"/>
                          <w:spacing w:line="380" w:lineRule="exact"/>
                          <w:ind w:left="107"/>
                          <w:rPr>
                            <w:sz w:val="24"/>
                          </w:rPr>
                        </w:pPr>
                        <w:r>
                          <w:rPr>
                            <w:sz w:val="24"/>
                          </w:rPr>
                          <w:t>地上总层数</w:t>
                        </w:r>
                      </w:p>
                    </w:tc>
                    <w:tc>
                      <w:tcPr>
                        <w:tcW w:w="1277" w:type="dxa"/>
                      </w:tcPr>
                      <w:p>
                        <w:pPr>
                          <w:pStyle w:val="10"/>
                          <w:spacing w:line="380" w:lineRule="exact"/>
                          <w:ind w:left="108"/>
                          <w:rPr>
                            <w:rFonts w:ascii="Noto Sans Mono CJK JP Regular"/>
                            <w:sz w:val="24"/>
                          </w:rPr>
                        </w:pPr>
                        <w:r>
                          <w:rPr>
                            <w:rFonts w:ascii="Noto Sans Mono CJK JP Regular"/>
                            <w:sz w:val="24"/>
                          </w:rPr>
                          <w:t>18</w:t>
                        </w:r>
                      </w:p>
                    </w:tc>
                    <w:tc>
                      <w:tcPr>
                        <w:tcW w:w="1274" w:type="dxa"/>
                      </w:tcPr>
                      <w:p>
                        <w:pPr>
                          <w:pStyle w:val="10"/>
                          <w:spacing w:line="380" w:lineRule="exact"/>
                          <w:ind w:left="108"/>
                          <w:rPr>
                            <w:sz w:val="24"/>
                          </w:rPr>
                        </w:pPr>
                        <w:r>
                          <w:rPr>
                            <w:sz w:val="24"/>
                          </w:rPr>
                          <w:t>所在层数</w:t>
                        </w:r>
                      </w:p>
                    </w:tc>
                    <w:tc>
                      <w:tcPr>
                        <w:tcW w:w="1418" w:type="dxa"/>
                      </w:tcPr>
                      <w:p>
                        <w:pPr>
                          <w:pStyle w:val="10"/>
                          <w:spacing w:line="380" w:lineRule="exact"/>
                          <w:ind w:left="111"/>
                          <w:rPr>
                            <w:sz w:val="24"/>
                          </w:rPr>
                        </w:pPr>
                        <w:r>
                          <w:rPr>
                            <w:rFonts w:hint="eastAsia" w:ascii="Noto Sans Mono CJK JP Regular" w:eastAsia="Noto Sans Mono CJK JP Regular"/>
                            <w:spacing w:val="4"/>
                            <w:sz w:val="24"/>
                          </w:rPr>
                          <w:t xml:space="preserve">5.6 </w:t>
                        </w:r>
                        <w:r>
                          <w:rPr>
                            <w:spacing w:val="14"/>
                            <w:sz w:val="24"/>
                          </w:rPr>
                          <w:t>跃层</w:t>
                        </w:r>
                      </w:p>
                    </w:tc>
                    <w:tc>
                      <w:tcPr>
                        <w:tcW w:w="1418" w:type="dxa"/>
                      </w:tcPr>
                      <w:p>
                        <w:pPr>
                          <w:pStyle w:val="10"/>
                          <w:spacing w:line="380" w:lineRule="exact"/>
                          <w:ind w:left="109"/>
                          <w:rPr>
                            <w:sz w:val="24"/>
                          </w:rPr>
                        </w:pPr>
                        <w:r>
                          <w:rPr>
                            <w:sz w:val="24"/>
                          </w:rPr>
                          <w:t>建造年代</w:t>
                        </w:r>
                      </w:p>
                    </w:tc>
                    <w:tc>
                      <w:tcPr>
                        <w:tcW w:w="1558" w:type="dxa"/>
                      </w:tcPr>
                      <w:p>
                        <w:pPr>
                          <w:pStyle w:val="10"/>
                          <w:spacing w:line="380" w:lineRule="exact"/>
                          <w:ind w:left="110"/>
                          <w:rPr>
                            <w:sz w:val="24"/>
                          </w:rPr>
                        </w:pPr>
                        <w:r>
                          <w:rPr>
                            <w:sz w:val="24"/>
                          </w:rPr>
                          <w:t>在建工程</w:t>
                        </w:r>
                      </w:p>
                    </w:tc>
                  </w:tr>
                </w:tbl>
                <w:p>
                  <w:pPr>
                    <w:pStyle w:val="3"/>
                    <w:ind w:left="0"/>
                  </w:pPr>
                </w:p>
              </w:txbxContent>
            </v:textbox>
          </v:shape>
        </w:pict>
      </w:r>
      <w:r>
        <w:rPr>
          <w:rFonts w:hint="eastAsia" w:ascii="Noto Sans Mono CJK JP Regular" w:eastAsia="Noto Sans Mono CJK JP Regular"/>
          <w:spacing w:val="8"/>
          <w:w w:val="100"/>
        </w:rPr>
        <w:t>1000</w:t>
      </w:r>
      <w:r>
        <w:rPr>
          <w:rFonts w:hint="eastAsia" w:ascii="Noto Sans Mono CJK JP Regular" w:eastAsia="Noto Sans Mono CJK JP Regular"/>
          <w:spacing w:val="5"/>
          <w:w w:val="100"/>
        </w:rPr>
        <w:t>0</w:t>
      </w:r>
      <w:r>
        <w:rPr>
          <w:rFonts w:hint="eastAsia" w:ascii="Noto Sans Mono CJK JP Regular" w:eastAsia="Noto Sans Mono CJK JP Regular"/>
          <w:spacing w:val="8"/>
          <w:w w:val="100"/>
        </w:rPr>
        <w:t>010</w:t>
      </w:r>
      <w:r>
        <w:rPr>
          <w:rFonts w:hint="eastAsia" w:ascii="Noto Sans Mono CJK JP Regular" w:eastAsia="Noto Sans Mono CJK JP Regular"/>
          <w:spacing w:val="5"/>
          <w:w w:val="100"/>
        </w:rPr>
        <w:t>0</w:t>
      </w:r>
      <w:r>
        <w:rPr>
          <w:rFonts w:hint="eastAsia" w:ascii="Noto Sans Mono CJK JP Regular" w:eastAsia="Noto Sans Mono CJK JP Regular"/>
          <w:spacing w:val="8"/>
          <w:w w:val="100"/>
        </w:rPr>
        <w:t>180</w:t>
      </w:r>
      <w:r>
        <w:rPr>
          <w:rFonts w:hint="eastAsia" w:ascii="Noto Sans Mono CJK JP Regular" w:eastAsia="Noto Sans Mono CJK JP Regular"/>
          <w:spacing w:val="5"/>
          <w:w w:val="100"/>
        </w:rPr>
        <w:t>9</w:t>
      </w:r>
      <w:r>
        <w:rPr>
          <w:rFonts w:hint="eastAsia" w:ascii="Noto Sans Mono CJK JP Regular" w:eastAsia="Noto Sans Mono CJK JP Regular"/>
          <w:spacing w:val="8"/>
          <w:w w:val="100"/>
        </w:rPr>
        <w:t>99</w:t>
      </w:r>
      <w:r>
        <w:rPr>
          <w:rFonts w:hint="eastAsia" w:ascii="Noto Sans Mono CJK JP Regular" w:eastAsia="Noto Sans Mono CJK JP Regular"/>
          <w:spacing w:val="5"/>
          <w:w w:val="100"/>
        </w:rPr>
        <w:t>9</w:t>
      </w:r>
      <w:r>
        <w:rPr>
          <w:rFonts w:hint="eastAsia" w:ascii="Noto Sans Mono CJK JP Regular" w:eastAsia="Noto Sans Mono CJK JP Regular"/>
          <w:spacing w:val="13"/>
          <w:w w:val="100"/>
        </w:rPr>
        <w:t>9</w:t>
      </w:r>
      <w:r>
        <w:rPr>
          <w:spacing w:val="-132"/>
          <w:w w:val="100"/>
        </w:rPr>
        <w:t>）</w:t>
      </w:r>
      <w:r>
        <w:rPr>
          <w:spacing w:val="-3"/>
          <w:w w:val="100"/>
        </w:rPr>
        <w:t>，委托评估的在建工程权益状况如下：</w:t>
      </w:r>
    </w:p>
    <w:p>
      <w:pPr>
        <w:pStyle w:val="3"/>
        <w:ind w:left="0"/>
      </w:pPr>
    </w:p>
    <w:p>
      <w:pPr>
        <w:pStyle w:val="3"/>
        <w:ind w:left="0"/>
      </w:pPr>
    </w:p>
    <w:p>
      <w:pPr>
        <w:pStyle w:val="3"/>
        <w:spacing w:before="16"/>
        <w:ind w:left="0"/>
        <w:rPr>
          <w:sz w:val="36"/>
        </w:rPr>
      </w:pPr>
    </w:p>
    <w:p>
      <w:pPr>
        <w:pStyle w:val="3"/>
        <w:spacing w:line="547" w:lineRule="exact"/>
        <w:ind w:left="926"/>
      </w:pPr>
      <w:r>
        <w:rPr>
          <w:rFonts w:hint="eastAsia" w:ascii="Noto Sans Mono CJK JP Regular" w:eastAsia="Noto Sans Mono CJK JP Regular"/>
        </w:rPr>
        <w:t>3</w:t>
      </w:r>
      <w:r>
        <w:t>、估价对象实物状况</w:t>
      </w:r>
    </w:p>
    <w:p>
      <w:pPr>
        <w:pStyle w:val="3"/>
        <w:spacing w:line="501" w:lineRule="exact"/>
        <w:ind w:left="926"/>
      </w:pPr>
      <w:r>
        <w:t>委估</w:t>
      </w:r>
      <w:bookmarkStart w:id="25" w:name="_GoBack"/>
      <w:r>
        <w:t xml:space="preserve">在建工程总建筑面积 </w:t>
      </w:r>
      <w:r>
        <w:rPr>
          <w:rFonts w:hint="eastAsia" w:ascii="Noto Sans Mono CJK JP Regular" w:eastAsia="Noto Sans Mono CJK JP Regular"/>
        </w:rPr>
        <w:t xml:space="preserve">145.04 </w:t>
      </w:r>
      <w:r>
        <w:t>平方米，房屋结构为框架剪力墙结构，</w:t>
      </w:r>
    </w:p>
    <w:p>
      <w:pPr>
        <w:pStyle w:val="3"/>
        <w:spacing w:before="21" w:line="201" w:lineRule="auto"/>
        <w:ind w:right="571"/>
        <w:jc w:val="both"/>
      </w:pPr>
      <w:r>
        <w:rPr>
          <w:spacing w:val="-5"/>
        </w:rPr>
        <w:t xml:space="preserve">设计用途为住宅，拟建住宅用房，单层层高 </w:t>
      </w:r>
      <w:r>
        <w:rPr>
          <w:rFonts w:hint="eastAsia" w:ascii="Noto Sans Mono CJK JP Regular" w:eastAsia="Noto Sans Mono CJK JP Regular"/>
        </w:rPr>
        <w:t>2.8</w:t>
      </w:r>
      <w:r>
        <w:rPr>
          <w:rFonts w:hint="eastAsia" w:ascii="Noto Sans Mono CJK JP Regular" w:eastAsia="Noto Sans Mono CJK JP Regular"/>
          <w:spacing w:val="-64"/>
        </w:rPr>
        <w:t xml:space="preserve"> </w:t>
      </w:r>
      <w:r>
        <w:rPr>
          <w:spacing w:val="-5"/>
        </w:rPr>
        <w:t>米，截止估价时点，委估在建</w:t>
      </w:r>
      <w:r>
        <w:rPr>
          <w:spacing w:val="-4"/>
        </w:rPr>
        <w:t xml:space="preserve">工程所在整幢楼主体封顶，委估楼层外墙及隔墙已完成，外墙已抹灰刮涂料， </w:t>
      </w:r>
      <w:r>
        <w:rPr>
          <w:spacing w:val="13"/>
        </w:rPr>
        <w:t>室内布线及楼顶墙体装饰已完成，门窗目前未安装。电梯未安装。</w:t>
      </w:r>
    </w:p>
    <w:bookmarkEnd w:id="25"/>
    <w:p>
      <w:pPr>
        <w:pStyle w:val="3"/>
        <w:spacing w:line="484" w:lineRule="exact"/>
        <w:ind w:left="1060"/>
      </w:pPr>
      <w:bookmarkStart w:id="13" w:name="_bookmark13"/>
      <w:bookmarkEnd w:id="13"/>
      <w:r>
        <w:t>五、价值时点</w:t>
      </w:r>
    </w:p>
    <w:p>
      <w:pPr>
        <w:pStyle w:val="3"/>
        <w:spacing w:before="19" w:line="201" w:lineRule="auto"/>
        <w:ind w:right="537" w:firstLine="593"/>
      </w:pPr>
      <w:r>
        <w:t>根据本次估价目的并结合估价对象的特点综合考虑，本次价值时点为实地查勘之日，即二○一九年一月九日。</w:t>
      </w:r>
    </w:p>
    <w:p>
      <w:pPr>
        <w:pStyle w:val="3"/>
        <w:spacing w:line="484" w:lineRule="exact"/>
        <w:ind w:left="1060"/>
      </w:pPr>
      <w:bookmarkStart w:id="14" w:name="_bookmark14"/>
      <w:bookmarkEnd w:id="14"/>
      <w:r>
        <w:t>六、价值类型</w:t>
      </w:r>
    </w:p>
    <w:p>
      <w:pPr>
        <w:pStyle w:val="3"/>
        <w:spacing w:line="499" w:lineRule="exact"/>
        <w:ind w:left="926"/>
      </w:pPr>
      <w:r>
        <w:t>本次评估采用公开市场价值标准进行评估，价值定义如下：</w:t>
      </w:r>
    </w:p>
    <w:p>
      <w:pPr>
        <w:pStyle w:val="3"/>
        <w:tabs>
          <w:tab w:val="left" w:pos="1607"/>
        </w:tabs>
        <w:spacing w:line="500" w:lineRule="exact"/>
        <w:ind w:left="926"/>
      </w:pPr>
      <w:r>
        <w:rPr>
          <w:rFonts w:hint="eastAsia" w:ascii="Noto Sans Mono CJK JP Regular" w:eastAsia="Noto Sans Mono CJK JP Regular"/>
        </w:rPr>
        <w:t>1</w:t>
      </w:r>
      <w:r>
        <w:t>、</w:t>
      </w:r>
      <w:r>
        <w:tab/>
      </w:r>
      <w:r>
        <w:t>评估的</w:t>
      </w:r>
      <w:r>
        <w:rPr>
          <w:spacing w:val="-3"/>
        </w:rPr>
        <w:t>是</w:t>
      </w:r>
      <w:r>
        <w:t>委估</w:t>
      </w:r>
      <w:r>
        <w:rPr>
          <w:spacing w:val="-3"/>
        </w:rPr>
        <w:t>在建</w:t>
      </w:r>
      <w:r>
        <w:t>工程市</w:t>
      </w:r>
      <w:r>
        <w:rPr>
          <w:spacing w:val="-3"/>
        </w:rPr>
        <w:t>场</w:t>
      </w:r>
      <w:r>
        <w:t>价值</w:t>
      </w:r>
      <w:r>
        <w:rPr>
          <w:spacing w:val="-3"/>
        </w:rPr>
        <w:t>，包</w:t>
      </w:r>
      <w:r>
        <w:t>含分摊</w:t>
      </w:r>
      <w:r>
        <w:rPr>
          <w:spacing w:val="-3"/>
        </w:rPr>
        <w:t>的</w:t>
      </w:r>
      <w:r>
        <w:t>土地</w:t>
      </w:r>
      <w:r>
        <w:rPr>
          <w:spacing w:val="-3"/>
        </w:rPr>
        <w:t>价值</w:t>
      </w:r>
      <w:r>
        <w:t>。</w:t>
      </w:r>
    </w:p>
    <w:p>
      <w:pPr>
        <w:pStyle w:val="3"/>
        <w:tabs>
          <w:tab w:val="left" w:pos="1607"/>
        </w:tabs>
        <w:spacing w:before="20" w:line="201" w:lineRule="auto"/>
        <w:ind w:left="1060" w:right="696" w:hanging="135"/>
      </w:pPr>
      <w:r>
        <w:rPr>
          <w:rFonts w:hint="eastAsia" w:ascii="Noto Sans Mono CJK JP Regular" w:eastAsia="Noto Sans Mono CJK JP Regular"/>
        </w:rPr>
        <w:t>2</w:t>
      </w:r>
      <w:r>
        <w:t>、</w:t>
      </w:r>
      <w:r>
        <w:tab/>
      </w:r>
      <w:r>
        <w:t>次评估</w:t>
      </w:r>
      <w:r>
        <w:rPr>
          <w:spacing w:val="-3"/>
        </w:rPr>
        <w:t>不</w:t>
      </w:r>
      <w:r>
        <w:t>考虑</w:t>
      </w:r>
      <w:r>
        <w:rPr>
          <w:spacing w:val="-3"/>
        </w:rPr>
        <w:t>委估</w:t>
      </w:r>
      <w:r>
        <w:t>在建工</w:t>
      </w:r>
      <w:r>
        <w:rPr>
          <w:spacing w:val="-3"/>
        </w:rPr>
        <w:t>程</w:t>
      </w:r>
      <w:r>
        <w:t>上原</w:t>
      </w:r>
      <w:r>
        <w:rPr>
          <w:spacing w:val="-3"/>
        </w:rPr>
        <w:t>有的</w:t>
      </w:r>
      <w:r>
        <w:t>担保物</w:t>
      </w:r>
      <w:r>
        <w:rPr>
          <w:spacing w:val="-3"/>
        </w:rPr>
        <w:t>权</w:t>
      </w:r>
      <w:r>
        <w:t>和其</w:t>
      </w:r>
      <w:r>
        <w:rPr>
          <w:spacing w:val="-3"/>
        </w:rPr>
        <w:t>他优</w:t>
      </w:r>
      <w:r>
        <w:t>先受偿权。</w:t>
      </w:r>
      <w:bookmarkStart w:id="15" w:name="_bookmark15"/>
      <w:bookmarkEnd w:id="15"/>
      <w:r>
        <w:t>七、估价原则</w:t>
      </w:r>
    </w:p>
    <w:p>
      <w:pPr>
        <w:pStyle w:val="3"/>
        <w:spacing w:line="482" w:lineRule="exact"/>
        <w:ind w:left="926"/>
      </w:pPr>
      <w:r>
        <w:rPr>
          <w:rFonts w:hint="eastAsia" w:ascii="Noto Sans Mono CJK JP Regular" w:eastAsia="Noto Sans Mono CJK JP Regular"/>
        </w:rPr>
        <w:t>1</w:t>
      </w:r>
      <w:r>
        <w:t>、独立、客观、公正原则</w:t>
      </w:r>
    </w:p>
    <w:p>
      <w:pPr>
        <w:pStyle w:val="3"/>
        <w:spacing w:before="21" w:line="201" w:lineRule="auto"/>
        <w:ind w:right="607" w:firstLine="593"/>
      </w:pPr>
      <w:r>
        <w:rPr>
          <w:spacing w:val="-10"/>
        </w:rPr>
        <w:t>遵循独立、客观、公正原则，评估价值应为对各方估价利害关系人均是公</w:t>
      </w:r>
      <w:r>
        <w:rPr>
          <w:spacing w:val="-7"/>
        </w:rPr>
        <w:t>平合理的价值或价格。</w:t>
      </w:r>
    </w:p>
    <w:p>
      <w:pPr>
        <w:pStyle w:val="3"/>
        <w:spacing w:line="483" w:lineRule="exact"/>
        <w:ind w:left="926"/>
      </w:pPr>
      <w:r>
        <w:rPr>
          <w:rFonts w:hint="eastAsia" w:ascii="Noto Sans Mono CJK JP Regular" w:eastAsia="Noto Sans Mono CJK JP Regular"/>
        </w:rPr>
        <w:t>2</w:t>
      </w:r>
      <w:r>
        <w:t>、合法原则</w:t>
      </w:r>
    </w:p>
    <w:p>
      <w:pPr>
        <w:pStyle w:val="3"/>
        <w:spacing w:line="548" w:lineRule="exact"/>
        <w:ind w:left="926"/>
      </w:pPr>
      <w:r>
        <w:t>遵循合法原则，评估价值应为在依法判定的估价对象状况下的价值或价</w:t>
      </w:r>
    </w:p>
    <w:p>
      <w:pPr>
        <w:pStyle w:val="3"/>
        <w:spacing w:line="452" w:lineRule="exact"/>
      </w:pPr>
      <w:r>
        <w:t>格。</w:t>
      </w:r>
    </w:p>
    <w:p>
      <w:pPr>
        <w:pStyle w:val="3"/>
        <w:spacing w:line="546" w:lineRule="exact"/>
        <w:ind w:left="926"/>
      </w:pPr>
      <w:r>
        <w:rPr>
          <w:rFonts w:hint="eastAsia" w:ascii="Noto Sans Mono CJK JP Regular" w:eastAsia="Noto Sans Mono CJK JP Regular"/>
        </w:rPr>
        <w:t>3</w:t>
      </w:r>
      <w:r>
        <w:t>、价值时点原则</w:t>
      </w:r>
    </w:p>
    <w:p>
      <w:pPr>
        <w:spacing w:after="0" w:line="546" w:lineRule="exact"/>
        <w:sectPr>
          <w:pgSz w:w="11910" w:h="16840"/>
          <w:pgMar w:top="1580" w:right="680" w:bottom="1120" w:left="800" w:header="922" w:footer="937" w:gutter="0"/>
        </w:sectPr>
      </w:pPr>
    </w:p>
    <w:p>
      <w:pPr>
        <w:pStyle w:val="3"/>
        <w:spacing w:before="12" w:line="201" w:lineRule="auto"/>
        <w:ind w:right="609" w:firstLine="593"/>
      </w:pPr>
      <w:r>
        <w:rPr>
          <w:spacing w:val="-10"/>
        </w:rPr>
        <w:t>遵循价值时点原则，评估价值应为在根据估价目的确定的某一特定时间的</w:t>
      </w:r>
      <w:r>
        <w:rPr>
          <w:spacing w:val="-7"/>
        </w:rPr>
        <w:t>价值或价格。</w:t>
      </w:r>
    </w:p>
    <w:p>
      <w:pPr>
        <w:pStyle w:val="3"/>
        <w:spacing w:line="482" w:lineRule="exact"/>
        <w:ind w:left="926"/>
      </w:pPr>
      <w:r>
        <w:rPr>
          <w:rFonts w:hint="eastAsia" w:ascii="Noto Sans Mono CJK JP Regular" w:eastAsia="Noto Sans Mono CJK JP Regular"/>
        </w:rPr>
        <w:t>4</w:t>
      </w:r>
      <w:r>
        <w:t>、替代原则</w:t>
      </w:r>
    </w:p>
    <w:p>
      <w:pPr>
        <w:pStyle w:val="3"/>
        <w:spacing w:before="20" w:line="201" w:lineRule="auto"/>
        <w:ind w:right="609" w:firstLine="593"/>
      </w:pPr>
      <w:r>
        <w:rPr>
          <w:spacing w:val="-10"/>
        </w:rPr>
        <w:t>遵循替代原则，评估价值与估价对象的类似房地产在同等条件下的价值或</w:t>
      </w:r>
      <w:r>
        <w:rPr>
          <w:spacing w:val="-7"/>
        </w:rPr>
        <w:t>价格偏差应在合理范围内。</w:t>
      </w:r>
    </w:p>
    <w:p>
      <w:pPr>
        <w:pStyle w:val="3"/>
        <w:spacing w:line="482" w:lineRule="exact"/>
        <w:ind w:left="926"/>
      </w:pPr>
      <w:r>
        <w:rPr>
          <w:rFonts w:hint="eastAsia" w:ascii="Noto Sans Mono CJK JP Regular" w:eastAsia="Noto Sans Mono CJK JP Regular"/>
        </w:rPr>
        <w:t>5</w:t>
      </w:r>
      <w:r>
        <w:t>、最高最佳利用原则</w:t>
      </w:r>
    </w:p>
    <w:p>
      <w:pPr>
        <w:pStyle w:val="3"/>
        <w:spacing w:before="20" w:line="201" w:lineRule="auto"/>
        <w:ind w:right="609" w:firstLine="727"/>
        <w:jc w:val="both"/>
      </w:pPr>
      <w:r>
        <w:rPr>
          <w:spacing w:val="-3"/>
        </w:rPr>
        <w:t>遵循最高最佳利用原则，评估价值应为在估价对象最高最佳利用下的价</w:t>
      </w:r>
      <w:r>
        <w:rPr>
          <w:spacing w:val="-7"/>
        </w:rPr>
        <w:t>值或价格。估价对象的最高最佳利用是指法律上允许、技术上可能、财务上可</w:t>
      </w:r>
      <w:r>
        <w:rPr>
          <w:spacing w:val="-5"/>
        </w:rPr>
        <w:t>行、价值最大化的合理、可能的利用，包括最佳的用途、规模和档次。</w:t>
      </w:r>
    </w:p>
    <w:p>
      <w:pPr>
        <w:pStyle w:val="3"/>
        <w:spacing w:line="485" w:lineRule="exact"/>
        <w:ind w:left="1060"/>
      </w:pPr>
      <w:bookmarkStart w:id="16" w:name="_bookmark16"/>
      <w:bookmarkEnd w:id="16"/>
      <w:r>
        <w:t>八、估价依据</w:t>
      </w:r>
    </w:p>
    <w:p>
      <w:pPr>
        <w:pStyle w:val="3"/>
        <w:spacing w:line="499" w:lineRule="exact"/>
        <w:ind w:left="926"/>
      </w:pPr>
      <w:r>
        <w:rPr>
          <w:rFonts w:hint="eastAsia" w:ascii="Noto Sans Mono CJK JP Regular" w:eastAsia="Noto Sans Mono CJK JP Regular"/>
        </w:rPr>
        <w:t>1</w:t>
      </w:r>
      <w:r>
        <w:t>、国家及地方相关法律法规</w:t>
      </w:r>
    </w:p>
    <w:p>
      <w:pPr>
        <w:pStyle w:val="3"/>
        <w:spacing w:line="500" w:lineRule="exact"/>
        <w:ind w:left="926"/>
      </w:pPr>
      <w:r>
        <w:t>（</w:t>
      </w:r>
      <w:r>
        <w:rPr>
          <w:rFonts w:hint="eastAsia" w:ascii="Noto Sans Mono CJK JP Regular" w:eastAsia="Noto Sans Mono CJK JP Regular"/>
        </w:rPr>
        <w:t>1</w:t>
      </w:r>
      <w:r>
        <w:t>）、《中华人民共和国城市房地产管理法》；</w:t>
      </w:r>
    </w:p>
    <w:p>
      <w:pPr>
        <w:pStyle w:val="3"/>
        <w:spacing w:line="500" w:lineRule="exact"/>
        <w:ind w:left="926"/>
      </w:pPr>
      <w:r>
        <w:t>（</w:t>
      </w:r>
      <w:r>
        <w:rPr>
          <w:rFonts w:hint="eastAsia" w:ascii="Noto Sans Mono CJK JP Regular" w:eastAsia="Noto Sans Mono CJK JP Regular"/>
        </w:rPr>
        <w:t>2</w:t>
      </w:r>
      <w:r>
        <w:t>）、《中华人民共和国土地管理法》；</w:t>
      </w:r>
    </w:p>
    <w:p>
      <w:pPr>
        <w:pStyle w:val="3"/>
        <w:spacing w:line="499" w:lineRule="exact"/>
        <w:ind w:left="926"/>
      </w:pPr>
      <w:r>
        <w:rPr>
          <w:spacing w:val="-1"/>
        </w:rPr>
        <w:t>（</w:t>
      </w:r>
      <w:r>
        <w:rPr>
          <w:rFonts w:hint="eastAsia" w:ascii="Noto Sans Mono CJK JP Regular" w:eastAsia="Noto Sans Mono CJK JP Regular"/>
          <w:spacing w:val="-1"/>
        </w:rPr>
        <w:t>3</w:t>
      </w:r>
      <w:r>
        <w:rPr>
          <w:spacing w:val="-1"/>
        </w:rPr>
        <w:t>）</w:t>
      </w:r>
      <w:r>
        <w:rPr>
          <w:spacing w:val="-3"/>
        </w:rPr>
        <w:t>、《中华人民共和国物权法》；</w:t>
      </w:r>
    </w:p>
    <w:p>
      <w:pPr>
        <w:pStyle w:val="3"/>
        <w:spacing w:line="501" w:lineRule="exact"/>
        <w:ind w:left="926"/>
      </w:pPr>
      <w:r>
        <w:rPr>
          <w:spacing w:val="-1"/>
        </w:rPr>
        <w:t>（</w:t>
      </w:r>
      <w:r>
        <w:rPr>
          <w:rFonts w:hint="eastAsia" w:ascii="Noto Sans Mono CJK JP Regular" w:eastAsia="Noto Sans Mono CJK JP Regular"/>
          <w:spacing w:val="-1"/>
        </w:rPr>
        <w:t>4</w:t>
      </w:r>
      <w:r>
        <w:rPr>
          <w:spacing w:val="-1"/>
        </w:rPr>
        <w:t>）</w:t>
      </w:r>
      <w:r>
        <w:rPr>
          <w:spacing w:val="-3"/>
        </w:rPr>
        <w:t>、《中华人民共和国担保法》；</w:t>
      </w:r>
    </w:p>
    <w:p>
      <w:pPr>
        <w:pStyle w:val="3"/>
        <w:spacing w:line="501" w:lineRule="exact"/>
        <w:ind w:left="926"/>
      </w:pPr>
      <w:r>
        <w:t>（</w:t>
      </w:r>
      <w:r>
        <w:rPr>
          <w:rFonts w:hint="eastAsia" w:ascii="Noto Sans Mono CJK JP Regular" w:eastAsia="Noto Sans Mono CJK JP Regular"/>
        </w:rPr>
        <w:t>5</w:t>
      </w:r>
      <w:r>
        <w:t>）、《中华人民共和国资产评估法》。</w:t>
      </w:r>
    </w:p>
    <w:p>
      <w:pPr>
        <w:pStyle w:val="3"/>
        <w:spacing w:line="499" w:lineRule="exact"/>
        <w:ind w:left="926"/>
      </w:pPr>
      <w:r>
        <w:rPr>
          <w:rFonts w:hint="eastAsia" w:ascii="Noto Sans Mono CJK JP Regular" w:eastAsia="Noto Sans Mono CJK JP Regular"/>
        </w:rPr>
        <w:t>2</w:t>
      </w:r>
      <w:r>
        <w:t>、房地产估价国家标准和相关专项标准</w:t>
      </w:r>
    </w:p>
    <w:p>
      <w:pPr>
        <w:pStyle w:val="3"/>
        <w:spacing w:line="500" w:lineRule="exact"/>
        <w:ind w:left="926"/>
      </w:pPr>
      <w:r>
        <w:t>（</w:t>
      </w:r>
      <w:r>
        <w:rPr>
          <w:rFonts w:hint="eastAsia" w:ascii="Noto Sans Mono CJK JP Regular" w:eastAsia="Noto Sans Mono CJK JP Regular"/>
        </w:rPr>
        <w:t>1</w:t>
      </w:r>
      <w:r>
        <w:t xml:space="preserve">）、中华人民共和国国家标准 </w:t>
      </w:r>
      <w:r>
        <w:rPr>
          <w:rFonts w:hint="eastAsia" w:ascii="Noto Sans Mono CJK JP Regular" w:eastAsia="Noto Sans Mono CJK JP Regular"/>
        </w:rPr>
        <w:t>GB/T50291-2015</w:t>
      </w:r>
      <w:r>
        <w:t>《房地产估价规范》；</w:t>
      </w:r>
    </w:p>
    <w:p>
      <w:pPr>
        <w:pStyle w:val="3"/>
        <w:spacing w:before="21" w:line="201" w:lineRule="auto"/>
        <w:ind w:right="605" w:firstLine="593"/>
      </w:pPr>
      <w:r>
        <w:t>（</w:t>
      </w:r>
      <w:r>
        <w:rPr>
          <w:rFonts w:hint="eastAsia" w:ascii="Noto Sans Mono CJK JP Regular" w:eastAsia="Noto Sans Mono CJK JP Regular"/>
        </w:rPr>
        <w:t>2</w:t>
      </w:r>
      <w:r>
        <w:t xml:space="preserve">）、中华人民共和国国家标准 </w:t>
      </w:r>
      <w:r>
        <w:rPr>
          <w:rFonts w:hint="eastAsia" w:ascii="Noto Sans Mono CJK JP Regular" w:eastAsia="Noto Sans Mono CJK JP Regular"/>
        </w:rPr>
        <w:t>GB/T50899-2013</w:t>
      </w:r>
      <w:r>
        <w:t>《房地产估价基本术语标准》。</w:t>
      </w:r>
    </w:p>
    <w:p>
      <w:pPr>
        <w:pStyle w:val="3"/>
        <w:spacing w:line="482" w:lineRule="exact"/>
        <w:ind w:left="926"/>
      </w:pPr>
      <w:r>
        <w:rPr>
          <w:rFonts w:hint="eastAsia" w:ascii="Noto Sans Mono CJK JP Regular" w:eastAsia="Noto Sans Mono CJK JP Regular"/>
        </w:rPr>
        <w:t>3</w:t>
      </w:r>
      <w:r>
        <w:t>、估价委托人提供的估价所需资料</w:t>
      </w:r>
    </w:p>
    <w:p>
      <w:pPr>
        <w:pStyle w:val="3"/>
        <w:spacing w:line="500" w:lineRule="exact"/>
        <w:ind w:left="926"/>
      </w:pPr>
      <w:r>
        <w:t>（</w:t>
      </w:r>
      <w:r>
        <w:rPr>
          <w:rFonts w:hint="eastAsia" w:ascii="Noto Sans Mono CJK JP Regular" w:eastAsia="Noto Sans Mono CJK JP Regular"/>
        </w:rPr>
        <w:t>1</w:t>
      </w:r>
      <w:r>
        <w:t>）、《邯郸市邯山区人民法院评估委托书》（</w:t>
      </w:r>
      <w:r>
        <w:rPr>
          <w:rFonts w:hint="eastAsia" w:ascii="Noto Sans Mono CJK JP Regular" w:eastAsia="Noto Sans Mono CJK JP Regular"/>
        </w:rPr>
        <w:t>2018</w:t>
      </w:r>
      <w:r>
        <w:t>）邯山技评字第</w:t>
      </w:r>
    </w:p>
    <w:p>
      <w:pPr>
        <w:pStyle w:val="3"/>
        <w:spacing w:line="499" w:lineRule="exact"/>
      </w:pPr>
      <w:r>
        <w:rPr>
          <w:rFonts w:hint="eastAsia" w:ascii="Noto Sans Mono CJK JP Regular" w:eastAsia="Noto Sans Mono CJK JP Regular"/>
          <w:spacing w:val="5"/>
        </w:rPr>
        <w:t>194</w:t>
      </w:r>
      <w:r>
        <w:rPr>
          <w:rFonts w:hint="eastAsia" w:ascii="Noto Sans Mono CJK JP Regular" w:eastAsia="Noto Sans Mono CJK JP Regular"/>
          <w:spacing w:val="-57"/>
        </w:rPr>
        <w:t xml:space="preserve"> </w:t>
      </w:r>
      <w:r>
        <w:rPr>
          <w:spacing w:val="7"/>
        </w:rPr>
        <w:t>号；</w:t>
      </w:r>
    </w:p>
    <w:p>
      <w:pPr>
        <w:pStyle w:val="3"/>
        <w:spacing w:line="501" w:lineRule="exact"/>
        <w:ind w:left="926"/>
      </w:pPr>
      <w:r>
        <w:t>（</w:t>
      </w:r>
      <w:r>
        <w:rPr>
          <w:rFonts w:hint="eastAsia" w:ascii="Noto Sans Mono CJK JP Regular" w:eastAsia="Noto Sans Mono CJK JP Regular"/>
        </w:rPr>
        <w:t>2</w:t>
      </w:r>
      <w:r>
        <w:t>）、《新建商品房网签备案情况查询表》（幢编码</w:t>
      </w:r>
    </w:p>
    <w:p>
      <w:pPr>
        <w:pStyle w:val="3"/>
        <w:spacing w:line="500" w:lineRule="exact"/>
      </w:pPr>
      <w:r>
        <w:rPr>
          <w:rFonts w:hint="eastAsia" w:ascii="Noto Sans Mono CJK JP Regular" w:eastAsia="Noto Sans Mono CJK JP Regular"/>
        </w:rPr>
        <w:t>10000010018099999</w:t>
      </w:r>
      <w:r>
        <w:t>）复印件。</w:t>
      </w:r>
    </w:p>
    <w:p>
      <w:pPr>
        <w:pStyle w:val="3"/>
        <w:spacing w:line="499" w:lineRule="exact"/>
        <w:ind w:left="926"/>
      </w:pPr>
      <w:r>
        <w:rPr>
          <w:rFonts w:hint="eastAsia" w:ascii="Noto Sans Mono CJK JP Regular" w:eastAsia="Noto Sans Mono CJK JP Regular"/>
        </w:rPr>
        <w:t>4</w:t>
      </w:r>
      <w:r>
        <w:t>、房地产估价机构掌握的估价所需资料</w:t>
      </w:r>
    </w:p>
    <w:p>
      <w:pPr>
        <w:pStyle w:val="3"/>
        <w:spacing w:line="546" w:lineRule="exact"/>
        <w:ind w:left="926"/>
      </w:pPr>
      <w:r>
        <w:t>（</w:t>
      </w:r>
      <w:r>
        <w:rPr>
          <w:rFonts w:hint="eastAsia" w:ascii="Noto Sans Mono CJK JP Regular" w:eastAsia="Noto Sans Mono CJK JP Regular"/>
        </w:rPr>
        <w:t>1</w:t>
      </w:r>
      <w:r>
        <w:t>）、现场勘查资料及照片；</w:t>
      </w:r>
    </w:p>
    <w:p>
      <w:pPr>
        <w:spacing w:after="0" w:line="546" w:lineRule="exact"/>
        <w:sectPr>
          <w:pgSz w:w="11910" w:h="16840"/>
          <w:pgMar w:top="1580" w:right="680" w:bottom="1120" w:left="800" w:header="922" w:footer="937" w:gutter="0"/>
        </w:sectPr>
      </w:pPr>
    </w:p>
    <w:p>
      <w:pPr>
        <w:pStyle w:val="3"/>
        <w:spacing w:before="12" w:line="201" w:lineRule="auto"/>
        <w:ind w:left="1060" w:right="4875" w:hanging="135"/>
      </w:pPr>
      <w:r>
        <w:t>（</w:t>
      </w:r>
      <w:r>
        <w:rPr>
          <w:rFonts w:hint="eastAsia" w:ascii="Noto Sans Mono CJK JP Regular" w:eastAsia="Noto Sans Mono CJK JP Regular"/>
        </w:rPr>
        <w:t>2</w:t>
      </w:r>
      <w:r>
        <w:t>）、房地产市场情况的有关资料。</w:t>
      </w:r>
      <w:bookmarkStart w:id="17" w:name="_bookmark17"/>
      <w:bookmarkEnd w:id="17"/>
      <w:r>
        <w:t>九、估价方法选用及定义</w:t>
      </w:r>
    </w:p>
    <w:p>
      <w:pPr>
        <w:pStyle w:val="3"/>
        <w:spacing w:line="482" w:lineRule="exact"/>
        <w:ind w:left="926"/>
      </w:pPr>
      <w:r>
        <w:t>（一）、估价程序</w:t>
      </w:r>
    </w:p>
    <w:p>
      <w:pPr>
        <w:pStyle w:val="3"/>
        <w:spacing w:before="20" w:line="201" w:lineRule="auto"/>
        <w:ind w:right="609" w:firstLine="593"/>
      </w:pPr>
      <w:r>
        <w:rPr>
          <w:rFonts w:hint="eastAsia" w:ascii="Noto Sans Mono CJK JP Regular" w:eastAsia="Noto Sans Mono CJK JP Regular"/>
        </w:rPr>
        <w:t>1</w:t>
      </w:r>
      <w:r>
        <w:t>、接受委托后，充分认识估价事项，明确估价目的、价值时点、估价对象和价值类型等估价基本事项。</w:t>
      </w:r>
    </w:p>
    <w:p>
      <w:pPr>
        <w:pStyle w:val="3"/>
        <w:spacing w:line="482" w:lineRule="exact"/>
        <w:ind w:left="926"/>
      </w:pPr>
      <w:r>
        <w:rPr>
          <w:rFonts w:hint="eastAsia" w:ascii="Noto Sans Mono CJK JP Regular" w:eastAsia="Noto Sans Mono CJK JP Regular"/>
        </w:rPr>
        <w:t>2</w:t>
      </w:r>
      <w:r>
        <w:t>、确定估价对象价格形成的过程，拟定估价作业方案。</w:t>
      </w:r>
    </w:p>
    <w:p>
      <w:pPr>
        <w:pStyle w:val="3"/>
        <w:spacing w:before="20" w:line="201" w:lineRule="auto"/>
        <w:ind w:right="609" w:firstLine="593"/>
      </w:pPr>
      <w:r>
        <w:rPr>
          <w:rFonts w:hint="eastAsia" w:ascii="Noto Sans Mono CJK JP Regular" w:eastAsia="Noto Sans Mono CJK JP Regular"/>
        </w:rPr>
        <w:t>3</w:t>
      </w:r>
      <w:r>
        <w:t>、遵循房地产估价原则，根据估价对象、估价目的有针对性的搜集估价所需资料及数据，并对估价对象进行仔细的实地查勘。</w:t>
      </w:r>
    </w:p>
    <w:p>
      <w:pPr>
        <w:pStyle w:val="3"/>
        <w:spacing w:line="204" w:lineRule="auto"/>
        <w:ind w:right="609" w:firstLine="593"/>
      </w:pPr>
      <w:r>
        <w:rPr>
          <w:rFonts w:hint="eastAsia" w:ascii="Noto Sans Mono CJK JP Regular" w:eastAsia="Noto Sans Mono CJK JP Regular"/>
        </w:rPr>
        <w:t>4</w:t>
      </w:r>
      <w:r>
        <w:t>、根据所确定的估价基本事项和所收集、掌握的资料，初步选用估价方法，在选用估价方法上，要对估价方法进行适用性分析。</w:t>
      </w:r>
    </w:p>
    <w:p>
      <w:pPr>
        <w:pStyle w:val="3"/>
        <w:spacing w:line="476" w:lineRule="exact"/>
        <w:ind w:left="926"/>
      </w:pPr>
      <w:r>
        <w:rPr>
          <w:rFonts w:hint="eastAsia" w:ascii="Noto Sans Mono CJK JP Regular" w:eastAsia="Noto Sans Mono CJK JP Regular"/>
        </w:rPr>
        <w:t>5</w:t>
      </w:r>
      <w:r>
        <w:t>、根据选用的估价方法，求取估价对象价值，并确定最终的估价结果。</w:t>
      </w:r>
    </w:p>
    <w:p>
      <w:pPr>
        <w:pStyle w:val="3"/>
        <w:spacing w:line="500" w:lineRule="exact"/>
        <w:ind w:left="777"/>
      </w:pPr>
      <w:r>
        <w:t>（二）、估价方法的选用</w:t>
      </w:r>
    </w:p>
    <w:p>
      <w:pPr>
        <w:pStyle w:val="3"/>
        <w:spacing w:before="18" w:line="201" w:lineRule="auto"/>
        <w:ind w:right="465" w:firstLine="554"/>
        <w:jc w:val="both"/>
      </w:pPr>
      <w:r>
        <w:rPr>
          <w:spacing w:val="-5"/>
        </w:rPr>
        <w:t>根据估价目的和估价委托人提供的资料，注册房地产估价师对估价对象进</w:t>
      </w:r>
      <w:r>
        <w:rPr>
          <w:spacing w:val="-8"/>
        </w:rPr>
        <w:t>行了实地查勘、权属状况调查，并对所在区域该类房地产市场进行了调查和分</w:t>
      </w:r>
      <w:r>
        <w:rPr>
          <w:spacing w:val="-15"/>
        </w:rPr>
        <w:t xml:space="preserve">析。估价对象为在建工程，同一供求范围内同类型同进度房地产交易实例匮乏， </w:t>
      </w:r>
      <w:r>
        <w:rPr>
          <w:spacing w:val="-11"/>
        </w:rPr>
        <w:t>不适宜选用比较法；同一供求范围内无同类型同进度房地产出租实例，不适宜</w:t>
      </w:r>
      <w:r>
        <w:rPr>
          <w:spacing w:val="-10"/>
        </w:rPr>
        <w:t>选用收益法；估价对象在价值时点为在建工程，具有开发或再开发潜力，适宜选用假设开发法；估价对象为商业在建工程房地产，不适宜选用成本法。因此</w:t>
      </w:r>
      <w:r>
        <w:rPr>
          <w:spacing w:val="-7"/>
        </w:rPr>
        <w:t>本次估价选用假设开发法进行测算。</w:t>
      </w:r>
    </w:p>
    <w:p>
      <w:pPr>
        <w:pStyle w:val="3"/>
        <w:spacing w:before="9" w:line="201" w:lineRule="auto"/>
        <w:ind w:right="470" w:firstLine="554"/>
      </w:pPr>
      <w:r>
        <w:rPr>
          <w:spacing w:val="-15"/>
        </w:rPr>
        <w:t>假设开发法：预计估价对象开发完成后的价值，扣除预计的正常开发成本、</w:t>
      </w:r>
      <w:r>
        <w:rPr>
          <w:spacing w:val="-8"/>
        </w:rPr>
        <w:t>税费和利润等，以此估算估价对象的客观合理价格或价值的方法。</w:t>
      </w:r>
    </w:p>
    <w:p>
      <w:pPr>
        <w:pStyle w:val="3"/>
        <w:spacing w:line="484" w:lineRule="exact"/>
        <w:ind w:left="1060"/>
      </w:pPr>
      <w:r>
        <w:t>（三）、估价技术路线</w:t>
      </w:r>
    </w:p>
    <w:p>
      <w:pPr>
        <w:pStyle w:val="3"/>
        <w:spacing w:before="20" w:line="201" w:lineRule="auto"/>
        <w:ind w:right="607" w:firstLine="727"/>
      </w:pPr>
      <w:r>
        <w:rPr>
          <w:rFonts w:hint="eastAsia" w:ascii="Noto Sans Mono CJK JP Regular" w:eastAsia="Noto Sans Mono CJK JP Regular"/>
        </w:rPr>
        <w:t>1</w:t>
      </w:r>
      <w:r>
        <w:rPr>
          <w:spacing w:val="-10"/>
        </w:rPr>
        <w:t>、假设开发法基本公式：在建工程价格</w:t>
      </w:r>
      <w:r>
        <w:t>＝</w:t>
      </w:r>
      <w:r>
        <w:rPr>
          <w:spacing w:val="-3"/>
        </w:rPr>
        <w:t>续建完成后的房地产总价值－ 续建成本－管理费用－投资利息－销售税金及费用－续建投资利润－买方购 买在建工程负担的税费</w:t>
      </w:r>
    </w:p>
    <w:p>
      <w:pPr>
        <w:pStyle w:val="3"/>
        <w:spacing w:before="4" w:line="201" w:lineRule="auto"/>
        <w:ind w:right="605" w:firstLine="727"/>
      </w:pPr>
      <w:r>
        <w:rPr>
          <w:rFonts w:hint="eastAsia" w:ascii="Noto Sans Mono CJK JP Regular" w:eastAsia="Noto Sans Mono CJK JP Regular"/>
        </w:rPr>
        <w:t>2</w:t>
      </w:r>
      <w:r>
        <w:rPr>
          <w:spacing w:val="-9"/>
        </w:rPr>
        <w:t>、根据估价对象所处开发建设阶段，本次评估选取假设开发法中静态分</w:t>
      </w:r>
      <w:r>
        <w:rPr>
          <w:spacing w:val="-6"/>
        </w:rPr>
        <w:t>析法进行评估。</w:t>
      </w:r>
    </w:p>
    <w:p>
      <w:pPr>
        <w:spacing w:after="0" w:line="201" w:lineRule="auto"/>
        <w:sectPr>
          <w:pgSz w:w="11910" w:h="16840"/>
          <w:pgMar w:top="1580" w:right="680" w:bottom="1120" w:left="800" w:header="922" w:footer="937" w:gutter="0"/>
        </w:sectPr>
      </w:pPr>
    </w:p>
    <w:p>
      <w:pPr>
        <w:pStyle w:val="3"/>
        <w:spacing w:before="12" w:line="201" w:lineRule="auto"/>
        <w:ind w:right="677" w:firstLine="593"/>
      </w:pPr>
      <w:r>
        <w:rPr>
          <w:rFonts w:hint="eastAsia" w:ascii="Noto Sans Mono CJK JP Regular" w:eastAsia="Noto Sans Mono CJK JP Regular"/>
        </w:rPr>
        <w:t>3</w:t>
      </w:r>
      <w:r>
        <w:t>、根据估价目的、估价对象所处开发建设状态，本次评估选择业主被迫转让前提。</w:t>
      </w:r>
    </w:p>
    <w:p>
      <w:pPr>
        <w:pStyle w:val="3"/>
        <w:spacing w:line="204" w:lineRule="auto"/>
        <w:ind w:right="609" w:firstLine="593"/>
      </w:pPr>
      <w:r>
        <w:rPr>
          <w:rFonts w:hint="eastAsia" w:ascii="Noto Sans Mono CJK JP Regular" w:eastAsia="Noto Sans Mono CJK JP Regular"/>
        </w:rPr>
        <w:t>4</w:t>
      </w:r>
      <w:r>
        <w:t>、根据估价对象状况、估价对象所在地的房地产市场状况，本次评估确定最佳开发经营方式为开发完成后全部出售。</w:t>
      </w:r>
    </w:p>
    <w:p>
      <w:pPr>
        <w:pStyle w:val="3"/>
        <w:spacing w:line="201" w:lineRule="auto"/>
        <w:ind w:right="628" w:firstLine="593"/>
      </w:pPr>
      <w:r>
        <w:rPr>
          <w:rFonts w:hint="eastAsia" w:ascii="Noto Sans Mono CJK JP Regular" w:eastAsia="Noto Sans Mono CJK JP Regular"/>
        </w:rPr>
        <w:t>5</w:t>
      </w:r>
      <w:r>
        <w:t>、根据该项目的开发规模、目前的施工进度及类似房地产开发项目相应的一般期限，确定本次估价项目后期续建开发周期。</w:t>
      </w:r>
    </w:p>
    <w:p>
      <w:pPr>
        <w:pStyle w:val="3"/>
        <w:spacing w:line="201" w:lineRule="auto"/>
        <w:ind w:right="630" w:firstLine="593"/>
      </w:pPr>
      <w:r>
        <w:rPr>
          <w:rFonts w:hint="eastAsia" w:ascii="Noto Sans Mono CJK JP Regular" w:eastAsia="Noto Sans Mono CJK JP Regular"/>
          <w:spacing w:val="8"/>
          <w:w w:val="100"/>
        </w:rPr>
        <w:t>6</w:t>
      </w:r>
      <w:r>
        <w:rPr>
          <w:spacing w:val="14"/>
          <w:w w:val="100"/>
        </w:rPr>
        <w:t>、用比较法求出委估房地产售价（设定为全新可使用状态</w:t>
      </w:r>
      <w:r>
        <w:rPr>
          <w:spacing w:val="-135"/>
          <w:w w:val="100"/>
        </w:rPr>
        <w:t>）</w:t>
      </w:r>
      <w:r>
        <w:rPr>
          <w:spacing w:val="11"/>
          <w:w w:val="100"/>
        </w:rPr>
        <w:t>，搜集周</w:t>
      </w:r>
      <w:r>
        <w:rPr>
          <w:spacing w:val="13"/>
        </w:rPr>
        <w:t>边已建好正在销售同类型案例，综合对比后，确定全新状态下售价。</w:t>
      </w:r>
    </w:p>
    <w:p>
      <w:pPr>
        <w:pStyle w:val="3"/>
        <w:spacing w:line="204" w:lineRule="auto"/>
        <w:ind w:right="607" w:firstLine="727"/>
      </w:pPr>
      <w:r>
        <w:rPr>
          <w:rFonts w:hint="eastAsia" w:ascii="Noto Sans Mono CJK JP Regular" w:eastAsia="Noto Sans Mono CJK JP Regular"/>
        </w:rPr>
        <w:t>7</w:t>
      </w:r>
      <w:r>
        <w:rPr>
          <w:spacing w:val="-9"/>
        </w:rPr>
        <w:t>、测算续建成本、管理费用、投资利息、销售税金及费用、开发利润及</w:t>
      </w:r>
      <w:r>
        <w:rPr>
          <w:spacing w:val="-6"/>
        </w:rPr>
        <w:t>投资者购买在建工程房地产应负担的税费，进而确定委估在建工程价款。</w:t>
      </w:r>
    </w:p>
    <w:p>
      <w:pPr>
        <w:pStyle w:val="3"/>
        <w:spacing w:line="476" w:lineRule="exact"/>
        <w:ind w:left="1060"/>
      </w:pPr>
      <w:bookmarkStart w:id="18" w:name="_bookmark18"/>
      <w:bookmarkEnd w:id="18"/>
      <w:r>
        <w:t>十、估价结果</w:t>
      </w:r>
    </w:p>
    <w:p>
      <w:pPr>
        <w:pStyle w:val="3"/>
        <w:spacing w:before="13" w:line="201" w:lineRule="auto"/>
        <w:ind w:right="604" w:firstLine="593"/>
        <w:jc w:val="both"/>
      </w:pPr>
      <w:r>
        <w:rPr>
          <w:spacing w:val="-8"/>
        </w:rPr>
        <w:t>估价人员根据估价目的，遵循估价原则，采用科学的估价方法，在认真分</w:t>
      </w:r>
      <w:r>
        <w:rPr>
          <w:spacing w:val="-7"/>
        </w:rPr>
        <w:t>析所掌握资料与影响估价对象价值诸因素的基础上，取假设开发法计算结果为</w:t>
      </w:r>
      <w:r>
        <w:rPr>
          <w:spacing w:val="-9"/>
        </w:rPr>
        <w:t>估价结果，确定估价对象在满足本次估价的全部假设和限制条件下，于价值时</w:t>
      </w:r>
      <w:r>
        <w:rPr>
          <w:spacing w:val="-6"/>
        </w:rPr>
        <w:t>点的估价结果如下：</w:t>
      </w:r>
    </w:p>
    <w:p>
      <w:pPr>
        <w:pStyle w:val="3"/>
        <w:spacing w:line="488" w:lineRule="exact"/>
        <w:ind w:left="957"/>
        <w:rPr>
          <w:rFonts w:hint="eastAsia" w:ascii="Noto Sans Mono CJK JP Regular" w:hAnsi="Noto Sans Mono CJK JP Regular" w:eastAsia="Noto Sans Mono CJK JP Regular"/>
        </w:rPr>
      </w:pPr>
      <w:r>
        <w:t xml:space="preserve">价值时点为二○一九年一月九日，待估在建工程总建筑面积为 </w:t>
      </w:r>
      <w:r>
        <w:rPr>
          <w:rFonts w:hint="eastAsia" w:ascii="Noto Sans Mono CJK JP Regular" w:hAnsi="Noto Sans Mono CJK JP Regular" w:eastAsia="Noto Sans Mono CJK JP Regular"/>
        </w:rPr>
        <w:t>145.04</w:t>
      </w:r>
    </w:p>
    <w:p>
      <w:pPr>
        <w:pStyle w:val="3"/>
        <w:spacing w:before="19" w:line="201" w:lineRule="auto"/>
        <w:ind w:right="620"/>
      </w:pPr>
      <w:r>
        <w:rPr>
          <w:spacing w:val="14"/>
        </w:rPr>
        <w:t xml:space="preserve">平方米，评估单价为 </w:t>
      </w:r>
      <w:r>
        <w:rPr>
          <w:rFonts w:hint="eastAsia" w:ascii="Noto Sans Mono CJK JP Regular" w:eastAsia="Noto Sans Mono CJK JP Regular"/>
          <w:spacing w:val="5"/>
        </w:rPr>
        <w:t>5835</w:t>
      </w:r>
      <w:r>
        <w:rPr>
          <w:rFonts w:hint="eastAsia" w:ascii="Noto Sans Mono CJK JP Regular" w:eastAsia="Noto Sans Mono CJK JP Regular"/>
          <w:spacing w:val="-50"/>
        </w:rPr>
        <w:t xml:space="preserve"> </w:t>
      </w:r>
      <w:r>
        <w:rPr>
          <w:spacing w:val="14"/>
        </w:rPr>
        <w:t>元</w:t>
      </w:r>
      <w:r>
        <w:rPr>
          <w:rFonts w:hint="eastAsia" w:ascii="Noto Sans Mono CJK JP Regular" w:eastAsia="Noto Sans Mono CJK JP Regular"/>
          <w:spacing w:val="8"/>
        </w:rPr>
        <w:t>/</w:t>
      </w:r>
      <w:r>
        <w:rPr>
          <w:rFonts w:hint="eastAsia" w:ascii="Droid Sans Fallback" w:eastAsia="Droid Sans Fallback"/>
          <w:spacing w:val="14"/>
        </w:rPr>
        <w:t>㎡，</w:t>
      </w:r>
      <w:r>
        <w:rPr>
          <w:spacing w:val="14"/>
        </w:rPr>
        <w:t xml:space="preserve">评估总价值为 </w:t>
      </w:r>
      <w:r>
        <w:rPr>
          <w:rFonts w:hint="eastAsia" w:ascii="Noto Sans Mono CJK JP Regular" w:eastAsia="Noto Sans Mono CJK JP Regular"/>
          <w:spacing w:val="6"/>
        </w:rPr>
        <w:t>84.6308</w:t>
      </w:r>
      <w:r>
        <w:rPr>
          <w:rFonts w:hint="eastAsia" w:ascii="Noto Sans Mono CJK JP Regular" w:eastAsia="Noto Sans Mono CJK JP Regular"/>
          <w:spacing w:val="-50"/>
        </w:rPr>
        <w:t xml:space="preserve"> </w:t>
      </w:r>
      <w:r>
        <w:rPr>
          <w:spacing w:val="12"/>
        </w:rPr>
        <w:t>万元，大写人民</w:t>
      </w:r>
      <w:r>
        <w:rPr>
          <w:spacing w:val="13"/>
        </w:rPr>
        <w:t>币：捌拾肆万陆仟叁佰零捌元整。</w:t>
      </w:r>
    </w:p>
    <w:p>
      <w:pPr>
        <w:pStyle w:val="3"/>
        <w:spacing w:line="484" w:lineRule="exact"/>
        <w:ind w:left="957"/>
      </w:pPr>
      <w:r>
        <w:t>（币种：人民币；总价取整至元）</w:t>
      </w:r>
    </w:p>
    <w:p>
      <w:pPr>
        <w:pStyle w:val="3"/>
        <w:spacing w:before="19" w:line="201" w:lineRule="auto"/>
        <w:ind w:left="1060" w:right="2501" w:hanging="135"/>
      </w:pPr>
      <w:r>
        <w:t>估价师认为其符合实际，可以以此作为最终的估价结果。</w:t>
      </w:r>
      <w:bookmarkStart w:id="19" w:name="_bookmark19"/>
      <w:bookmarkEnd w:id="19"/>
      <w:r>
        <w:t>十一、注册房地产估价师</w:t>
      </w:r>
    </w:p>
    <w:p>
      <w:pPr>
        <w:pStyle w:val="3"/>
        <w:spacing w:line="531" w:lineRule="exact"/>
        <w:ind w:left="376" w:right="58"/>
        <w:jc w:val="center"/>
      </w:pPr>
      <w:r>
        <w:pict>
          <v:shape id="_x0000_s1028" o:spid="_x0000_s1028" o:spt="202" type="#_x0000_t202" style="position:absolute;left:0pt;margin-left:59.75pt;margin-top:22.5pt;height:129.65pt;width:476.05pt;mso-position-horizontal-relative:page;z-index:2048;mso-width-relative:page;mso-height-relative:page;" filled="f" stroked="f" coordsize="21600,21600">
            <v:path/>
            <v:fill on="f" focussize="0,0"/>
            <v:stroke on="f" joinstyle="miter"/>
            <v:imagedata o:title=""/>
            <o:lock v:ext="edit"/>
            <v:textbox inset="0mm,0mm,0mm,0mm">
              <w:txbxContent>
                <w:tbl>
                  <w:tblPr>
                    <w:tblStyle w:val="6"/>
                    <w:tblW w:w="95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9"/>
                    <w:gridCol w:w="2240"/>
                    <w:gridCol w:w="2660"/>
                    <w:gridCol w:w="3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2" w:hRule="atLeast"/>
                    </w:trPr>
                    <w:tc>
                      <w:tcPr>
                        <w:tcW w:w="1599" w:type="dxa"/>
                      </w:tcPr>
                      <w:p>
                        <w:pPr>
                          <w:pStyle w:val="10"/>
                          <w:spacing w:before="108"/>
                          <w:ind w:left="499" w:right="490"/>
                          <w:jc w:val="center"/>
                          <w:rPr>
                            <w:sz w:val="28"/>
                          </w:rPr>
                        </w:pPr>
                        <w:r>
                          <w:rPr>
                            <w:sz w:val="28"/>
                          </w:rPr>
                          <w:t>姓名</w:t>
                        </w:r>
                      </w:p>
                    </w:tc>
                    <w:tc>
                      <w:tcPr>
                        <w:tcW w:w="2240" w:type="dxa"/>
                      </w:tcPr>
                      <w:p>
                        <w:pPr>
                          <w:pStyle w:val="10"/>
                          <w:spacing w:before="108"/>
                          <w:ind w:left="395" w:right="387"/>
                          <w:jc w:val="center"/>
                          <w:rPr>
                            <w:sz w:val="28"/>
                          </w:rPr>
                        </w:pPr>
                        <w:r>
                          <w:rPr>
                            <w:sz w:val="28"/>
                          </w:rPr>
                          <w:t>注册号</w:t>
                        </w:r>
                      </w:p>
                    </w:tc>
                    <w:tc>
                      <w:tcPr>
                        <w:tcW w:w="2660" w:type="dxa"/>
                      </w:tcPr>
                      <w:p>
                        <w:pPr>
                          <w:pStyle w:val="10"/>
                          <w:spacing w:before="108"/>
                          <w:ind w:left="1031" w:right="1019"/>
                          <w:jc w:val="center"/>
                          <w:rPr>
                            <w:sz w:val="28"/>
                          </w:rPr>
                        </w:pPr>
                        <w:r>
                          <w:rPr>
                            <w:sz w:val="28"/>
                          </w:rPr>
                          <w:t>签名</w:t>
                        </w:r>
                      </w:p>
                    </w:tc>
                    <w:tc>
                      <w:tcPr>
                        <w:tcW w:w="3008" w:type="dxa"/>
                      </w:tcPr>
                      <w:p>
                        <w:pPr>
                          <w:pStyle w:val="10"/>
                          <w:spacing w:before="108"/>
                          <w:ind w:left="944"/>
                          <w:rPr>
                            <w:sz w:val="28"/>
                          </w:rPr>
                        </w:pPr>
                        <w:r>
                          <w:rPr>
                            <w:sz w:val="28"/>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trPr>
                    <w:tc>
                      <w:tcPr>
                        <w:tcW w:w="1599" w:type="dxa"/>
                      </w:tcPr>
                      <w:p>
                        <w:pPr>
                          <w:pStyle w:val="10"/>
                          <w:spacing w:before="108"/>
                          <w:ind w:left="499" w:right="490"/>
                          <w:jc w:val="center"/>
                          <w:rPr>
                            <w:sz w:val="28"/>
                          </w:rPr>
                        </w:pPr>
                        <w:r>
                          <w:rPr>
                            <w:sz w:val="28"/>
                          </w:rPr>
                          <w:t>曹毅</w:t>
                        </w:r>
                      </w:p>
                    </w:tc>
                    <w:tc>
                      <w:tcPr>
                        <w:tcW w:w="2240" w:type="dxa"/>
                      </w:tcPr>
                      <w:p>
                        <w:pPr>
                          <w:pStyle w:val="10"/>
                          <w:spacing w:before="108"/>
                          <w:ind w:left="390" w:right="390"/>
                          <w:jc w:val="center"/>
                          <w:rPr>
                            <w:rFonts w:ascii="Noto Sans Mono CJK JP Regular"/>
                            <w:sz w:val="28"/>
                          </w:rPr>
                        </w:pPr>
                        <w:r>
                          <w:rPr>
                            <w:rFonts w:ascii="Noto Sans Mono CJK JP Regular"/>
                            <w:sz w:val="28"/>
                          </w:rPr>
                          <w:t>1320140088</w:t>
                        </w:r>
                      </w:p>
                    </w:tc>
                    <w:tc>
                      <w:tcPr>
                        <w:tcW w:w="2660" w:type="dxa"/>
                      </w:tcPr>
                      <w:p>
                        <w:pPr>
                          <w:pStyle w:val="10"/>
                          <w:rPr>
                            <w:rFonts w:ascii="Times New Roman"/>
                            <w:sz w:val="26"/>
                          </w:rPr>
                        </w:pPr>
                      </w:p>
                    </w:tc>
                    <w:tc>
                      <w:tcPr>
                        <w:tcW w:w="3008" w:type="dxa"/>
                      </w:tcPr>
                      <w:p>
                        <w:pPr>
                          <w:pStyle w:val="10"/>
                          <w:tabs>
                            <w:tab w:val="left" w:pos="1713"/>
                            <w:tab w:val="left" w:pos="2413"/>
                          </w:tabs>
                          <w:spacing w:before="108"/>
                          <w:ind w:left="1014"/>
                          <w:rPr>
                            <w:sz w:val="28"/>
                          </w:rPr>
                        </w:pPr>
                        <w:r>
                          <w:rPr>
                            <w:sz w:val="28"/>
                          </w:rPr>
                          <w:t>年</w:t>
                        </w:r>
                        <w:r>
                          <w:rPr>
                            <w:sz w:val="28"/>
                          </w:rPr>
                          <w:tab/>
                        </w:r>
                        <w:r>
                          <w:rPr>
                            <w:sz w:val="28"/>
                          </w:rPr>
                          <w:t>月</w:t>
                        </w:r>
                        <w:r>
                          <w:rPr>
                            <w:sz w:val="28"/>
                          </w:rPr>
                          <w:tab/>
                        </w:r>
                        <w:r>
                          <w:rPr>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1599" w:type="dxa"/>
                      </w:tcPr>
                      <w:p>
                        <w:pPr>
                          <w:pStyle w:val="10"/>
                          <w:spacing w:before="111"/>
                          <w:ind w:left="499" w:right="490"/>
                          <w:jc w:val="center"/>
                          <w:rPr>
                            <w:sz w:val="28"/>
                          </w:rPr>
                        </w:pPr>
                        <w:r>
                          <w:rPr>
                            <w:sz w:val="28"/>
                          </w:rPr>
                          <w:t>王茹</w:t>
                        </w:r>
                      </w:p>
                    </w:tc>
                    <w:tc>
                      <w:tcPr>
                        <w:tcW w:w="2240" w:type="dxa"/>
                      </w:tcPr>
                      <w:p>
                        <w:pPr>
                          <w:pStyle w:val="10"/>
                          <w:spacing w:before="111"/>
                          <w:ind w:left="395" w:right="386"/>
                          <w:jc w:val="center"/>
                          <w:rPr>
                            <w:rFonts w:ascii="Noto Sans Mono CJK JP Regular"/>
                            <w:sz w:val="28"/>
                          </w:rPr>
                        </w:pPr>
                        <w:r>
                          <w:rPr>
                            <w:rFonts w:ascii="Noto Sans Mono CJK JP Regular"/>
                            <w:sz w:val="28"/>
                          </w:rPr>
                          <w:t>1320170079</w:t>
                        </w:r>
                      </w:p>
                    </w:tc>
                    <w:tc>
                      <w:tcPr>
                        <w:tcW w:w="2660" w:type="dxa"/>
                      </w:tcPr>
                      <w:p>
                        <w:pPr>
                          <w:pStyle w:val="10"/>
                          <w:rPr>
                            <w:rFonts w:ascii="Times New Roman"/>
                            <w:sz w:val="26"/>
                          </w:rPr>
                        </w:pPr>
                      </w:p>
                    </w:tc>
                    <w:tc>
                      <w:tcPr>
                        <w:tcW w:w="3008" w:type="dxa"/>
                      </w:tcPr>
                      <w:p>
                        <w:pPr>
                          <w:pStyle w:val="10"/>
                          <w:tabs>
                            <w:tab w:val="left" w:pos="1713"/>
                            <w:tab w:val="left" w:pos="2413"/>
                          </w:tabs>
                          <w:spacing w:before="111"/>
                          <w:ind w:left="1014"/>
                          <w:rPr>
                            <w:sz w:val="28"/>
                          </w:rPr>
                        </w:pPr>
                        <w:r>
                          <w:rPr>
                            <w:sz w:val="28"/>
                          </w:rPr>
                          <w:t>年</w:t>
                        </w:r>
                        <w:r>
                          <w:rPr>
                            <w:sz w:val="28"/>
                          </w:rPr>
                          <w:tab/>
                        </w:r>
                        <w:r>
                          <w:rPr>
                            <w:sz w:val="28"/>
                          </w:rPr>
                          <w:t>月</w:t>
                        </w:r>
                        <w:r>
                          <w:rPr>
                            <w:sz w:val="28"/>
                          </w:rPr>
                          <w:tab/>
                        </w:r>
                        <w:r>
                          <w:rPr>
                            <w:sz w:val="28"/>
                          </w:rPr>
                          <w:t>日</w:t>
                        </w:r>
                      </w:p>
                    </w:tc>
                  </w:tr>
                </w:tbl>
                <w:p>
                  <w:pPr>
                    <w:pStyle w:val="3"/>
                    <w:ind w:left="0"/>
                  </w:pPr>
                </w:p>
              </w:txbxContent>
            </v:textbox>
          </v:shape>
        </w:pict>
      </w:r>
      <w:r>
        <w:t>参加估价的注册房地产估价师</w:t>
      </w:r>
    </w:p>
    <w:p>
      <w:pPr>
        <w:spacing w:after="0" w:line="531" w:lineRule="exact"/>
        <w:jc w:val="center"/>
        <w:sectPr>
          <w:pgSz w:w="11910" w:h="16840"/>
          <w:pgMar w:top="1580" w:right="680" w:bottom="1120" w:left="800" w:header="922" w:footer="937" w:gutter="0"/>
        </w:sectPr>
      </w:pPr>
    </w:p>
    <w:p>
      <w:pPr>
        <w:pStyle w:val="3"/>
        <w:spacing w:before="12" w:line="201" w:lineRule="auto"/>
        <w:ind w:left="926" w:right="6841" w:firstLine="134"/>
        <w:jc w:val="both"/>
      </w:pPr>
      <w:bookmarkStart w:id="20" w:name="_bookmark20"/>
      <w:bookmarkEnd w:id="20"/>
      <w:r>
        <w:t>十二、实地查勘日期二○一九年一月九日</w:t>
      </w:r>
      <w:bookmarkStart w:id="21" w:name="_bookmark21"/>
      <w:bookmarkEnd w:id="21"/>
      <w:r>
        <w:t>十三、估价作业日期</w:t>
      </w:r>
    </w:p>
    <w:p>
      <w:pPr>
        <w:pStyle w:val="3"/>
        <w:spacing w:before="4" w:line="201" w:lineRule="auto"/>
        <w:ind w:left="1060" w:right="3586" w:hanging="135"/>
      </w:pPr>
      <w:r>
        <w:t>二○一九年一月九日至二○一九年二月十五日</w:t>
      </w:r>
      <w:bookmarkStart w:id="22" w:name="_bookmark22"/>
      <w:bookmarkEnd w:id="22"/>
      <w:r>
        <w:t>十四、估价报告有效期</w:t>
      </w:r>
    </w:p>
    <w:p>
      <w:pPr>
        <w:pStyle w:val="3"/>
        <w:spacing w:line="204" w:lineRule="auto"/>
        <w:ind w:left="1060" w:right="3617" w:hanging="135"/>
      </w:pPr>
      <w:r>
        <w:t>二○一九年二月十五日至二○二○年二月十四日</w:t>
      </w:r>
      <w:bookmarkStart w:id="23" w:name="_bookmark23"/>
      <w:bookmarkEnd w:id="23"/>
      <w:r>
        <w:t>十五、其他需要说明的事项</w:t>
      </w:r>
    </w:p>
    <w:p>
      <w:pPr>
        <w:pStyle w:val="3"/>
        <w:spacing w:line="201" w:lineRule="auto"/>
        <w:ind w:right="608" w:firstLine="593"/>
      </w:pPr>
      <w:r>
        <w:rPr>
          <w:rFonts w:hint="eastAsia" w:ascii="Noto Sans Mono CJK JP Regular" w:eastAsia="Noto Sans Mono CJK JP Regular"/>
        </w:rPr>
        <w:t>1</w:t>
      </w:r>
      <w:r>
        <w:t>、本次估价选用的是比较法，因此房地产市场因时间变化，会对估价对象客观合理价值产生直接影响。</w:t>
      </w:r>
    </w:p>
    <w:p>
      <w:pPr>
        <w:pStyle w:val="3"/>
        <w:spacing w:line="201" w:lineRule="auto"/>
        <w:ind w:right="609" w:firstLine="593"/>
      </w:pPr>
      <w:r>
        <w:rPr>
          <w:rFonts w:hint="eastAsia" w:ascii="Noto Sans Mono CJK JP Regular" w:eastAsia="Noto Sans Mono CJK JP Regular"/>
        </w:rPr>
        <w:t>2</w:t>
      </w:r>
      <w:r>
        <w:t>、估价委托人应合理使用本估价报告，估价结果仅供估价委托人在本次估价目的下使用，不得用于其他目的和用途。</w:t>
      </w:r>
    </w:p>
    <w:p>
      <w:pPr>
        <w:pStyle w:val="3"/>
        <w:spacing w:line="204" w:lineRule="auto"/>
        <w:ind w:right="609" w:firstLine="593"/>
      </w:pPr>
      <w:r>
        <w:rPr>
          <w:rFonts w:hint="eastAsia" w:ascii="Noto Sans Mono CJK JP Regular" w:eastAsia="Noto Sans Mono CJK JP Regular"/>
        </w:rPr>
        <w:t>3</w:t>
      </w:r>
      <w:r>
        <w:t>、房地产市场价格变化较快时，报告使用人需对房地产市场价值及时进行再评估，可避免因此而产生的风险。</w:t>
      </w:r>
    </w:p>
    <w:p>
      <w:pPr>
        <w:pStyle w:val="3"/>
        <w:spacing w:line="523" w:lineRule="exact"/>
        <w:ind w:left="926"/>
      </w:pPr>
      <w:r>
        <w:rPr>
          <w:rFonts w:hint="eastAsia" w:ascii="Noto Sans Mono CJK JP Regular" w:eastAsia="Noto Sans Mono CJK JP Regular"/>
        </w:rPr>
        <w:t>4</w:t>
      </w:r>
      <w:r>
        <w:t>、本估价报告所提供的房地产估价结果仅作为价值意见而不是作价格保</w:t>
      </w:r>
    </w:p>
    <w:p>
      <w:pPr>
        <w:pStyle w:val="3"/>
        <w:spacing w:line="448" w:lineRule="exact"/>
      </w:pPr>
      <w:r>
        <w:t>证。</w:t>
      </w:r>
    </w:p>
    <w:p>
      <w:pPr>
        <w:pStyle w:val="3"/>
        <w:spacing w:line="501" w:lineRule="exact"/>
        <w:ind w:left="926"/>
      </w:pPr>
      <w:r>
        <w:rPr>
          <w:rFonts w:hint="eastAsia" w:ascii="Noto Sans Mono CJK JP Regular" w:eastAsia="Noto Sans Mono CJK JP Regular"/>
        </w:rPr>
        <w:t>5</w:t>
      </w:r>
      <w:r>
        <w:t>、本估价报告一式陆份，交估价委托人伍份，复印无效。</w:t>
      </w:r>
    </w:p>
    <w:p>
      <w:pPr>
        <w:pStyle w:val="3"/>
        <w:spacing w:line="546" w:lineRule="exact"/>
        <w:ind w:left="926"/>
      </w:pPr>
      <w:r>
        <w:rPr>
          <w:rFonts w:hint="eastAsia" w:ascii="Noto Sans Mono CJK JP Regular" w:eastAsia="Noto Sans Mono CJK JP Regular"/>
        </w:rPr>
        <w:t>6</w:t>
      </w:r>
      <w:r>
        <w:t>、本估价报告仅以估价委托人提供的现有资料为估价依据，得出估价结</w:t>
      </w:r>
    </w:p>
    <w:p>
      <w:pPr>
        <w:pStyle w:val="3"/>
        <w:spacing w:line="453" w:lineRule="exact"/>
      </w:pPr>
      <w:r>
        <w:rPr>
          <w:spacing w:val="-6"/>
        </w:rPr>
        <w:t>果，如双方当事人对估价结果有异议，应在收到估价报告之日起壹拾日内提出</w:t>
      </w:r>
    </w:p>
    <w:p>
      <w:pPr>
        <w:pStyle w:val="3"/>
        <w:spacing w:before="20" w:line="201" w:lineRule="auto"/>
        <w:ind w:left="926" w:right="392" w:hanging="594"/>
      </w:pPr>
      <w:r>
        <w:t xml:space="preserve">书面异议并通过邯郸市邯山区人民法院转交本估价机构进行复核。                       </w:t>
      </w:r>
      <w:r>
        <w:rPr>
          <w:rFonts w:hint="eastAsia" w:ascii="Noto Sans Mono CJK JP Regular" w:eastAsia="Noto Sans Mono CJK JP Regular"/>
        </w:rPr>
        <w:t>7</w:t>
      </w:r>
      <w:r>
        <w:t>、本估价报告所体现的估价结果未扣除变现时所需支付的契税、增值税、</w:t>
      </w:r>
    </w:p>
    <w:p>
      <w:pPr>
        <w:pStyle w:val="3"/>
        <w:spacing w:line="204" w:lineRule="auto"/>
        <w:ind w:right="554"/>
      </w:pPr>
      <w:r>
        <w:t>所得税、交易手续费、房地产评估费、拍卖佣金等费用以及司法诉讼费和其他应付费用。</w:t>
      </w:r>
    </w:p>
    <w:p>
      <w:pPr>
        <w:pStyle w:val="3"/>
        <w:spacing w:line="201" w:lineRule="auto"/>
        <w:ind w:right="604" w:firstLine="593"/>
        <w:jc w:val="both"/>
      </w:pPr>
      <w:r>
        <w:rPr>
          <w:rFonts w:hint="eastAsia" w:ascii="Noto Sans Mono CJK JP Regular" w:eastAsia="Noto Sans Mono CJK JP Regular"/>
        </w:rPr>
        <w:t>8</w:t>
      </w:r>
      <w:r>
        <w:t>、本估价报告所载内容的文字或数字如存在表述不清、出现因校印、打印或其他原因出现误差时，请报告使用人及时通知本估价机构予以澄清或更正，不得恶意使用。</w:t>
      </w:r>
    </w:p>
    <w:p>
      <w:pPr>
        <w:pStyle w:val="3"/>
        <w:spacing w:line="201" w:lineRule="auto"/>
        <w:ind w:left="6247" w:right="1021" w:hanging="488"/>
      </w:pPr>
      <w:r>
        <w:t>河北金石房地产评估有限公司二○一九年二月十五日</w:t>
      </w:r>
    </w:p>
    <w:p>
      <w:pPr>
        <w:spacing w:after="0" w:line="201" w:lineRule="auto"/>
        <w:sectPr>
          <w:pgSz w:w="11910" w:h="16840"/>
          <w:pgMar w:top="1580" w:right="680" w:bottom="1120" w:left="800" w:header="922" w:footer="937" w:gutter="0"/>
        </w:sectPr>
      </w:pPr>
    </w:p>
    <w:p>
      <w:pPr>
        <w:pStyle w:val="3"/>
        <w:ind w:left="0"/>
        <w:rPr>
          <w:sz w:val="20"/>
        </w:rPr>
      </w:pPr>
    </w:p>
    <w:p>
      <w:pPr>
        <w:pStyle w:val="3"/>
        <w:spacing w:before="5"/>
        <w:ind w:left="0"/>
        <w:rPr>
          <w:sz w:val="14"/>
        </w:rPr>
      </w:pPr>
    </w:p>
    <w:p>
      <w:pPr>
        <w:pStyle w:val="2"/>
        <w:tabs>
          <w:tab w:val="left" w:pos="5169"/>
        </w:tabs>
        <w:ind w:left="4603"/>
      </w:pPr>
      <w:bookmarkStart w:id="24" w:name="_bookmark24"/>
      <w:bookmarkEnd w:id="24"/>
      <w:r>
        <w:t>附</w:t>
      </w:r>
      <w:r>
        <w:tab/>
      </w:r>
      <w:r>
        <w:t>件</w:t>
      </w:r>
    </w:p>
    <w:p>
      <w:pPr>
        <w:pStyle w:val="3"/>
        <w:spacing w:before="19"/>
        <w:ind w:left="0"/>
        <w:rPr>
          <w:sz w:val="29"/>
        </w:rPr>
      </w:pPr>
    </w:p>
    <w:p>
      <w:pPr>
        <w:pStyle w:val="9"/>
        <w:numPr>
          <w:ilvl w:val="0"/>
          <w:numId w:val="1"/>
        </w:numPr>
        <w:tabs>
          <w:tab w:val="left" w:pos="1593"/>
          <w:tab w:val="left" w:pos="1594"/>
        </w:tabs>
        <w:spacing w:before="0" w:after="0" w:line="242" w:lineRule="auto"/>
        <w:ind w:left="926" w:right="446" w:firstLine="0"/>
        <w:jc w:val="left"/>
        <w:rPr>
          <w:sz w:val="28"/>
        </w:rPr>
      </w:pPr>
      <w:r>
        <w:rPr>
          <w:spacing w:val="5"/>
          <w:sz w:val="28"/>
        </w:rPr>
        <w:t>《邯郸市邯山区人民法院评估委托书》</w:t>
      </w:r>
      <w:r>
        <w:rPr>
          <w:spacing w:val="10"/>
          <w:sz w:val="28"/>
        </w:rPr>
        <w:t>（</w:t>
      </w:r>
      <w:r>
        <w:rPr>
          <w:rFonts w:hint="eastAsia" w:ascii="Noto Sans Mono CJK JP Regular" w:eastAsia="Noto Sans Mono CJK JP Regular"/>
          <w:spacing w:val="10"/>
          <w:sz w:val="28"/>
        </w:rPr>
        <w:t>2018</w:t>
      </w:r>
      <w:r>
        <w:rPr>
          <w:spacing w:val="10"/>
          <w:sz w:val="28"/>
        </w:rPr>
        <w:t>）</w:t>
      </w:r>
      <w:r>
        <w:rPr>
          <w:spacing w:val="17"/>
          <w:sz w:val="28"/>
        </w:rPr>
        <w:t xml:space="preserve">邯山技评字第 </w:t>
      </w:r>
      <w:r>
        <w:rPr>
          <w:rFonts w:hint="eastAsia" w:ascii="Noto Sans Mono CJK JP Regular" w:eastAsia="Noto Sans Mono CJK JP Regular"/>
          <w:spacing w:val="8"/>
          <w:sz w:val="28"/>
        </w:rPr>
        <w:t xml:space="preserve">194 </w:t>
      </w:r>
      <w:r>
        <w:rPr>
          <w:spacing w:val="11"/>
          <w:sz w:val="28"/>
        </w:rPr>
        <w:t>号复印件</w:t>
      </w:r>
    </w:p>
    <w:p>
      <w:pPr>
        <w:pStyle w:val="9"/>
        <w:numPr>
          <w:ilvl w:val="0"/>
          <w:numId w:val="1"/>
        </w:numPr>
        <w:tabs>
          <w:tab w:val="left" w:pos="1593"/>
          <w:tab w:val="left" w:pos="1594"/>
        </w:tabs>
        <w:spacing w:before="1" w:after="0" w:line="240" w:lineRule="auto"/>
        <w:ind w:left="926" w:right="0" w:firstLine="0"/>
        <w:jc w:val="left"/>
        <w:rPr>
          <w:sz w:val="28"/>
        </w:rPr>
      </w:pPr>
      <w:r>
        <w:rPr>
          <w:spacing w:val="-2"/>
          <w:sz w:val="28"/>
        </w:rPr>
        <w:t xml:space="preserve">《 新 建 商 品 房 网 签 备 案 情 况 查 询 表 》 </w:t>
      </w:r>
      <w:r>
        <w:rPr>
          <w:sz w:val="28"/>
        </w:rPr>
        <w:t>（</w:t>
      </w:r>
      <w:r>
        <w:rPr>
          <w:spacing w:val="7"/>
          <w:sz w:val="28"/>
        </w:rPr>
        <w:t xml:space="preserve"> 幢 编 码 ：</w:t>
      </w:r>
    </w:p>
    <w:p>
      <w:pPr>
        <w:pStyle w:val="3"/>
        <w:spacing w:before="7"/>
        <w:ind w:left="926"/>
      </w:pPr>
      <w:r>
        <w:rPr>
          <w:rFonts w:hint="eastAsia" w:ascii="Noto Sans Mono CJK JP Regular" w:eastAsia="Noto Sans Mono CJK JP Regular"/>
        </w:rPr>
        <w:t>10000010018099999</w:t>
      </w:r>
      <w:r>
        <w:t>）复印件</w:t>
      </w:r>
    </w:p>
    <w:p>
      <w:pPr>
        <w:pStyle w:val="9"/>
        <w:numPr>
          <w:ilvl w:val="0"/>
          <w:numId w:val="1"/>
        </w:numPr>
        <w:tabs>
          <w:tab w:val="left" w:pos="1593"/>
          <w:tab w:val="left" w:pos="1594"/>
        </w:tabs>
        <w:spacing w:before="7" w:after="0" w:line="240" w:lineRule="auto"/>
        <w:ind w:left="926" w:right="0" w:firstLine="0"/>
        <w:jc w:val="left"/>
        <w:rPr>
          <w:sz w:val="28"/>
        </w:rPr>
      </w:pPr>
      <w:r>
        <w:rPr>
          <w:spacing w:val="11"/>
          <w:sz w:val="28"/>
        </w:rPr>
        <w:t>现场勘察表</w:t>
      </w:r>
    </w:p>
    <w:p>
      <w:pPr>
        <w:pStyle w:val="9"/>
        <w:numPr>
          <w:ilvl w:val="0"/>
          <w:numId w:val="1"/>
        </w:numPr>
        <w:tabs>
          <w:tab w:val="left" w:pos="1593"/>
          <w:tab w:val="left" w:pos="1594"/>
        </w:tabs>
        <w:spacing w:before="6" w:after="0" w:line="240" w:lineRule="auto"/>
        <w:ind w:left="926" w:right="0" w:firstLine="0"/>
        <w:jc w:val="left"/>
        <w:rPr>
          <w:sz w:val="28"/>
        </w:rPr>
      </w:pPr>
      <w:r>
        <w:rPr>
          <w:spacing w:val="10"/>
          <w:sz w:val="28"/>
        </w:rPr>
        <w:t>区域图</w:t>
      </w:r>
    </w:p>
    <w:p>
      <w:pPr>
        <w:pStyle w:val="9"/>
        <w:numPr>
          <w:ilvl w:val="0"/>
          <w:numId w:val="1"/>
        </w:numPr>
        <w:tabs>
          <w:tab w:val="left" w:pos="1593"/>
          <w:tab w:val="left" w:pos="1594"/>
        </w:tabs>
        <w:spacing w:before="6" w:after="0" w:line="240" w:lineRule="auto"/>
        <w:ind w:left="926" w:right="0" w:firstLine="0"/>
        <w:jc w:val="left"/>
        <w:rPr>
          <w:sz w:val="28"/>
        </w:rPr>
      </w:pPr>
      <w:r>
        <w:rPr>
          <w:spacing w:val="11"/>
          <w:sz w:val="28"/>
        </w:rPr>
        <w:t>现场照片</w:t>
      </w:r>
    </w:p>
    <w:p>
      <w:pPr>
        <w:pStyle w:val="9"/>
        <w:numPr>
          <w:ilvl w:val="0"/>
          <w:numId w:val="1"/>
        </w:numPr>
        <w:tabs>
          <w:tab w:val="left" w:pos="1593"/>
          <w:tab w:val="left" w:pos="1594"/>
        </w:tabs>
        <w:spacing w:before="7" w:after="0" w:line="240" w:lineRule="auto"/>
        <w:ind w:left="926" w:right="0" w:firstLine="0"/>
        <w:jc w:val="left"/>
        <w:rPr>
          <w:sz w:val="28"/>
        </w:rPr>
      </w:pPr>
      <w:r>
        <w:rPr>
          <w:spacing w:val="12"/>
          <w:sz w:val="28"/>
        </w:rPr>
        <w:t>估价机构营业执照复印件</w:t>
      </w:r>
    </w:p>
    <w:p>
      <w:pPr>
        <w:pStyle w:val="9"/>
        <w:numPr>
          <w:ilvl w:val="0"/>
          <w:numId w:val="1"/>
        </w:numPr>
        <w:tabs>
          <w:tab w:val="left" w:pos="1593"/>
          <w:tab w:val="left" w:pos="1594"/>
        </w:tabs>
        <w:spacing w:before="6" w:after="0" w:line="240" w:lineRule="auto"/>
        <w:ind w:left="926" w:right="0" w:firstLine="0"/>
        <w:jc w:val="left"/>
        <w:rPr>
          <w:sz w:val="28"/>
        </w:rPr>
      </w:pPr>
      <w:r>
        <w:rPr>
          <w:spacing w:val="12"/>
          <w:sz w:val="28"/>
        </w:rPr>
        <w:t>估价机构资质证书复印件</w:t>
      </w:r>
    </w:p>
    <w:p>
      <w:pPr>
        <w:pStyle w:val="9"/>
        <w:numPr>
          <w:ilvl w:val="0"/>
          <w:numId w:val="1"/>
        </w:numPr>
        <w:tabs>
          <w:tab w:val="left" w:pos="1593"/>
          <w:tab w:val="left" w:pos="1594"/>
        </w:tabs>
        <w:spacing w:before="7" w:after="0" w:line="240" w:lineRule="auto"/>
        <w:ind w:left="926" w:right="0" w:firstLine="0"/>
        <w:jc w:val="left"/>
        <w:rPr>
          <w:sz w:val="28"/>
        </w:rPr>
      </w:pPr>
      <w:r>
        <w:rPr>
          <w:spacing w:val="12"/>
          <w:sz w:val="28"/>
        </w:rPr>
        <w:t>估价师注册证书复印件</w:t>
      </w:r>
    </w:p>
    <w:sectPr>
      <w:pgSz w:w="11910" w:h="16840"/>
      <w:pgMar w:top="1580" w:right="680" w:bottom="1120" w:left="800" w:header="922" w:footer="93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Noto Sans CJK JP Regular">
    <w:altName w:val="Segoe Print"/>
    <w:panose1 w:val="00000000000000000000"/>
    <w:charset w:val="00"/>
    <w:family w:val="swiss"/>
    <w:pitch w:val="default"/>
    <w:sig w:usb0="00000000" w:usb1="00000000" w:usb2="00000000" w:usb3="00000000" w:csb0="00000000"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Droid Sans Fallback">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line id="_x0000_s2051" o:spid="_x0000_s2051" o:spt="20" style="position:absolute;left:0pt;margin-left:55.2pt;margin-top:781.4pt;height:0pt;width:484.9pt;mso-position-horizontal-relative:page;mso-position-vertical-relative:page;z-index:-18432;mso-width-relative:page;mso-height-relative:page;" stroked="t" coordsize="21600,21600">
          <v:path arrowok="t"/>
          <v:fill focussize="0,0"/>
          <v:stroke weight="0.72pt" color="#000000"/>
          <v:imagedata o:title=""/>
          <o:lock v:ext="edit"/>
        </v:line>
      </w:pict>
    </w:r>
    <w:r>
      <w:pict>
        <v:shape id="_x0000_s2052" o:spid="_x0000_s2052" o:spt="202" type="#_x0000_t202" style="position:absolute;left:0pt;margin-left:55.6pt;margin-top:781.75pt;height:23.65pt;width:272.9pt;mso-position-horizontal-relative:page;mso-position-vertical-relative:page;z-index:-18432;mso-width-relative:page;mso-height-relative:page;" filled="f" stroked="f" coordsize="21600,21600">
          <v:path/>
          <v:fill on="f" focussize="0,0"/>
          <v:stroke on="f" joinstyle="miter"/>
          <v:imagedata o:title=""/>
          <o:lock v:ext="edit"/>
          <v:textbox inset="0mm,0mm,0mm,0mm">
            <w:txbxContent>
              <w:p>
                <w:pPr>
                  <w:spacing w:before="18" w:line="146" w:lineRule="auto"/>
                  <w:ind w:left="20" w:right="18" w:firstLine="0"/>
                  <w:jc w:val="left"/>
                  <w:rPr>
                    <w:rFonts w:ascii="Times New Roman" w:eastAsia="Times New Roman"/>
                    <w:sz w:val="18"/>
                  </w:rPr>
                </w:pPr>
                <w:r>
                  <w:rPr>
                    <w:sz w:val="18"/>
                  </w:rPr>
                  <w:t xml:space="preserve">地址：河北邯郸丛台区滏东北大街 </w:t>
                </w:r>
                <w:r>
                  <w:rPr>
                    <w:rFonts w:ascii="Times New Roman" w:eastAsia="Times New Roman"/>
                    <w:sz w:val="18"/>
                  </w:rPr>
                  <w:t xml:space="preserve">289 </w:t>
                </w:r>
                <w:r>
                  <w:rPr>
                    <w:sz w:val="18"/>
                  </w:rPr>
                  <w:t xml:space="preserve">号三龙大厦 </w:t>
                </w:r>
                <w:r>
                  <w:rPr>
                    <w:rFonts w:ascii="Times New Roman" w:eastAsia="Times New Roman"/>
                    <w:sz w:val="18"/>
                  </w:rPr>
                  <w:t xml:space="preserve">B </w:t>
                </w:r>
                <w:r>
                  <w:rPr>
                    <w:sz w:val="18"/>
                  </w:rPr>
                  <w:t xml:space="preserve">座 </w:t>
                </w:r>
                <w:r>
                  <w:rPr>
                    <w:rFonts w:ascii="Times New Roman" w:eastAsia="Times New Roman"/>
                    <w:sz w:val="18"/>
                  </w:rPr>
                  <w:t xml:space="preserve">11 </w:t>
                </w:r>
                <w:r>
                  <w:rPr>
                    <w:sz w:val="18"/>
                  </w:rPr>
                  <w:t xml:space="preserve">层 </w:t>
                </w:r>
                <w:r>
                  <w:rPr>
                    <w:rFonts w:ascii="Times New Roman" w:eastAsia="Times New Roman"/>
                    <w:sz w:val="18"/>
                  </w:rPr>
                  <w:t xml:space="preserve">1101 </w:t>
                </w:r>
                <w:r>
                  <w:rPr>
                    <w:sz w:val="18"/>
                  </w:rPr>
                  <w:t>号电话：</w:t>
                </w:r>
                <w:r>
                  <w:rPr>
                    <w:rFonts w:ascii="Times New Roman" w:eastAsia="Times New Roman"/>
                    <w:sz w:val="18"/>
                  </w:rPr>
                  <w:t>0310-8503309</w:t>
                </w:r>
              </w:p>
            </w:txbxContent>
          </v:textbox>
        </v:shape>
      </w:pict>
    </w:r>
    <w:r>
      <w:pict>
        <v:shape id="_x0000_s2053" o:spid="_x0000_s2053" o:spt="202" type="#_x0000_t202" style="position:absolute;left:0pt;margin-left:486.4pt;margin-top:793.35pt;height:12pt;width:38pt;mso-position-horizontal-relative:page;mso-position-vertical-relative:page;z-index:-1843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10</w:t>
                </w:r>
                <w:r>
                  <w:fldChar w:fldCharType="end"/>
                </w:r>
                <w:r>
                  <w:rPr>
                    <w:rFonts w:ascii="Times New Roman" w:eastAsia="Times New Roman"/>
                    <w:sz w:val="18"/>
                  </w:rPr>
                  <w:t xml:space="preserve"> </w:t>
                </w:r>
                <w:r>
                  <w:rPr>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drawing>
        <wp:anchor distT="0" distB="0" distL="0" distR="0" simplePos="0" relativeHeight="268417024" behindDoc="1" locked="0" layoutInCell="1" allowOverlap="1">
          <wp:simplePos x="0" y="0"/>
          <wp:positionH relativeFrom="page">
            <wp:posOffset>737870</wp:posOffset>
          </wp:positionH>
          <wp:positionV relativeFrom="page">
            <wp:posOffset>585470</wp:posOffset>
          </wp:positionV>
          <wp:extent cx="2588895" cy="3651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2588929" cy="36496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drawing>
        <wp:anchor distT="0" distB="0" distL="0" distR="0" simplePos="0" relativeHeight="268417024" behindDoc="1" locked="0" layoutInCell="1" allowOverlap="1">
          <wp:simplePos x="0" y="0"/>
          <wp:positionH relativeFrom="page">
            <wp:posOffset>810895</wp:posOffset>
          </wp:positionH>
          <wp:positionV relativeFrom="page">
            <wp:posOffset>550545</wp:posOffset>
          </wp:positionV>
          <wp:extent cx="2588895" cy="3651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 cstate="print"/>
                  <a:stretch>
                    <a:fillRect/>
                  </a:stretch>
                </pic:blipFill>
                <pic:spPr>
                  <a:xfrm>
                    <a:off x="0" y="0"/>
                    <a:ext cx="2588929" cy="364966"/>
                  </a:xfrm>
                  <a:prstGeom prst="rect">
                    <a:avLst/>
                  </a:prstGeom>
                </pic:spPr>
              </pic:pic>
            </a:graphicData>
          </a:graphic>
        </wp:anchor>
      </w:drawing>
    </w:r>
    <w:r>
      <w:pict>
        <v:line id="_x0000_s2049" o:spid="_x0000_s2049" o:spt="20" style="position:absolute;left:0pt;margin-left:60.95pt;margin-top:74.15pt;height:0pt;width:479.25pt;mso-position-horizontal-relative:page;mso-position-vertical-relative:page;z-index:-18432;mso-width-relative:page;mso-height-relative:page;" stroked="t" coordsize="21600,21600">
          <v:path arrowok="t"/>
          <v:fill focussize="0,0"/>
          <v:stroke weight="0.72pt" color="#000000"/>
          <v:imagedata o:title=""/>
          <o:lock v:ext="edit"/>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drawing>
        <wp:anchor distT="0" distB="0" distL="0" distR="0" simplePos="0" relativeHeight="268417024" behindDoc="1" locked="0" layoutInCell="1" allowOverlap="1">
          <wp:simplePos x="0" y="0"/>
          <wp:positionH relativeFrom="page">
            <wp:posOffset>737870</wp:posOffset>
          </wp:positionH>
          <wp:positionV relativeFrom="page">
            <wp:posOffset>585470</wp:posOffset>
          </wp:positionV>
          <wp:extent cx="2588895" cy="36512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 cstate="print"/>
                  <a:stretch>
                    <a:fillRect/>
                  </a:stretch>
                </pic:blipFill>
                <pic:spPr>
                  <a:xfrm>
                    <a:off x="0" y="0"/>
                    <a:ext cx="2588929" cy="364966"/>
                  </a:xfrm>
                  <a:prstGeom prst="rect">
                    <a:avLst/>
                  </a:prstGeom>
                </pic:spPr>
              </pic:pic>
            </a:graphicData>
          </a:graphic>
        </wp:anchor>
      </w:drawing>
    </w:r>
    <w:r>
      <w:pict>
        <v:line id="_x0000_s2050" o:spid="_x0000_s2050" o:spt="20" style="position:absolute;left:0pt;margin-left:55.2pt;margin-top:77pt;height:0pt;width:484.9pt;mso-position-horizontal-relative:page;mso-position-vertical-relative:page;z-index:-18432;mso-width-relative:page;mso-height-relative:page;" stroked="t" coordsize="21600,21600">
          <v:path arrowok="t"/>
          <v:fill focussize="0,0"/>
          <v:stroke weight="0.72pt" color="#000000"/>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926" w:hanging="668"/>
        <w:jc w:val="left"/>
      </w:pPr>
      <w:rPr>
        <w:rFonts w:hint="default" w:ascii="Noto Sans Mono CJK JP Regular" w:hAnsi="Noto Sans Mono CJK JP Regular" w:eastAsia="Noto Sans Mono CJK JP Regular" w:cs="Noto Sans Mono CJK JP Regular"/>
        <w:spacing w:val="0"/>
        <w:w w:val="100"/>
        <w:sz w:val="28"/>
        <w:szCs w:val="28"/>
        <w:lang w:val="zh-CN" w:eastAsia="zh-CN" w:bidi="zh-CN"/>
      </w:rPr>
    </w:lvl>
    <w:lvl w:ilvl="1" w:tentative="0">
      <w:start w:val="0"/>
      <w:numFmt w:val="bullet"/>
      <w:lvlText w:val="•"/>
      <w:lvlJc w:val="left"/>
      <w:pPr>
        <w:ind w:left="1870" w:hanging="668"/>
      </w:pPr>
      <w:rPr>
        <w:rFonts w:hint="default"/>
        <w:lang w:val="zh-CN" w:eastAsia="zh-CN" w:bidi="zh-CN"/>
      </w:rPr>
    </w:lvl>
    <w:lvl w:ilvl="2" w:tentative="0">
      <w:start w:val="0"/>
      <w:numFmt w:val="bullet"/>
      <w:lvlText w:val="•"/>
      <w:lvlJc w:val="left"/>
      <w:pPr>
        <w:ind w:left="2821" w:hanging="668"/>
      </w:pPr>
      <w:rPr>
        <w:rFonts w:hint="default"/>
        <w:lang w:val="zh-CN" w:eastAsia="zh-CN" w:bidi="zh-CN"/>
      </w:rPr>
    </w:lvl>
    <w:lvl w:ilvl="3" w:tentative="0">
      <w:start w:val="0"/>
      <w:numFmt w:val="bullet"/>
      <w:lvlText w:val="•"/>
      <w:lvlJc w:val="left"/>
      <w:pPr>
        <w:ind w:left="3771" w:hanging="668"/>
      </w:pPr>
      <w:rPr>
        <w:rFonts w:hint="default"/>
        <w:lang w:val="zh-CN" w:eastAsia="zh-CN" w:bidi="zh-CN"/>
      </w:rPr>
    </w:lvl>
    <w:lvl w:ilvl="4" w:tentative="0">
      <w:start w:val="0"/>
      <w:numFmt w:val="bullet"/>
      <w:lvlText w:val="•"/>
      <w:lvlJc w:val="left"/>
      <w:pPr>
        <w:ind w:left="4722" w:hanging="668"/>
      </w:pPr>
      <w:rPr>
        <w:rFonts w:hint="default"/>
        <w:lang w:val="zh-CN" w:eastAsia="zh-CN" w:bidi="zh-CN"/>
      </w:rPr>
    </w:lvl>
    <w:lvl w:ilvl="5" w:tentative="0">
      <w:start w:val="0"/>
      <w:numFmt w:val="bullet"/>
      <w:lvlText w:val="•"/>
      <w:lvlJc w:val="left"/>
      <w:pPr>
        <w:ind w:left="5673" w:hanging="668"/>
      </w:pPr>
      <w:rPr>
        <w:rFonts w:hint="default"/>
        <w:lang w:val="zh-CN" w:eastAsia="zh-CN" w:bidi="zh-CN"/>
      </w:rPr>
    </w:lvl>
    <w:lvl w:ilvl="6" w:tentative="0">
      <w:start w:val="0"/>
      <w:numFmt w:val="bullet"/>
      <w:lvlText w:val="•"/>
      <w:lvlJc w:val="left"/>
      <w:pPr>
        <w:ind w:left="6623" w:hanging="668"/>
      </w:pPr>
      <w:rPr>
        <w:rFonts w:hint="default"/>
        <w:lang w:val="zh-CN" w:eastAsia="zh-CN" w:bidi="zh-CN"/>
      </w:rPr>
    </w:lvl>
    <w:lvl w:ilvl="7" w:tentative="0">
      <w:start w:val="0"/>
      <w:numFmt w:val="bullet"/>
      <w:lvlText w:val="•"/>
      <w:lvlJc w:val="left"/>
      <w:pPr>
        <w:ind w:left="7574" w:hanging="668"/>
      </w:pPr>
      <w:rPr>
        <w:rFonts w:hint="default"/>
        <w:lang w:val="zh-CN" w:eastAsia="zh-CN" w:bidi="zh-CN"/>
      </w:rPr>
    </w:lvl>
    <w:lvl w:ilvl="8" w:tentative="0">
      <w:start w:val="0"/>
      <w:numFmt w:val="bullet"/>
      <w:lvlText w:val="•"/>
      <w:lvlJc w:val="left"/>
      <w:pPr>
        <w:ind w:left="8525" w:hanging="668"/>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23FE54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zh-CN" w:eastAsia="zh-CN" w:bidi="zh-CN"/>
    </w:rPr>
  </w:style>
  <w:style w:type="paragraph" w:styleId="2">
    <w:name w:val="heading 1"/>
    <w:basedOn w:val="1"/>
    <w:next w:val="1"/>
    <w:qFormat/>
    <w:uiPriority w:val="1"/>
    <w:pPr>
      <w:spacing w:line="640" w:lineRule="exact"/>
      <w:outlineLvl w:val="1"/>
    </w:pPr>
    <w:rPr>
      <w:rFonts w:ascii="Noto Sans CJK JP Regular" w:hAnsi="Noto Sans CJK JP Regular" w:eastAsia="Noto Sans CJK JP Regular" w:cs="Noto Sans CJK JP Regular"/>
      <w:sz w:val="36"/>
      <w:szCs w:val="36"/>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332"/>
    </w:pPr>
    <w:rPr>
      <w:rFonts w:ascii="Noto Sans CJK JP Regular" w:hAnsi="Noto Sans CJK JP Regular" w:eastAsia="Noto Sans CJK JP Regular" w:cs="Noto Sans CJK JP Regular"/>
      <w:sz w:val="28"/>
      <w:szCs w:val="28"/>
      <w:lang w:val="zh-CN" w:eastAsia="zh-CN" w:bidi="zh-CN"/>
    </w:rPr>
  </w:style>
  <w:style w:type="paragraph" w:styleId="4">
    <w:name w:val="toc 1"/>
    <w:basedOn w:val="1"/>
    <w:next w:val="1"/>
    <w:qFormat/>
    <w:uiPriority w:val="1"/>
    <w:pPr>
      <w:spacing w:line="320" w:lineRule="exact"/>
      <w:ind w:left="448"/>
    </w:pPr>
    <w:rPr>
      <w:rFonts w:ascii="Noto Sans CJK JP Regular" w:hAnsi="Noto Sans CJK JP Regular" w:eastAsia="Noto Sans CJK JP Regular" w:cs="Noto Sans CJK JP Regular"/>
      <w:sz w:val="24"/>
      <w:szCs w:val="24"/>
      <w:lang w:val="zh-CN" w:eastAsia="zh-CN" w:bidi="zh-CN"/>
    </w:rPr>
  </w:style>
  <w:style w:type="paragraph" w:styleId="5">
    <w:name w:val="toc 2"/>
    <w:basedOn w:val="1"/>
    <w:next w:val="1"/>
    <w:qFormat/>
    <w:uiPriority w:val="1"/>
    <w:pPr>
      <w:spacing w:line="320" w:lineRule="exact"/>
      <w:ind w:left="1041"/>
    </w:pPr>
    <w:rPr>
      <w:rFonts w:ascii="Noto Sans CJK JP Regular" w:hAnsi="Noto Sans CJK JP Regular" w:eastAsia="Noto Sans CJK JP Regular" w:cs="Noto Sans CJK JP Regular"/>
      <w:sz w:val="24"/>
      <w:szCs w:val="24"/>
      <w:lang w:val="zh-CN" w:eastAsia="zh-CN" w:bidi="zh-CN"/>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6"/>
      <w:ind w:left="926"/>
    </w:pPr>
    <w:rPr>
      <w:rFonts w:ascii="Noto Sans CJK JP Regular" w:hAnsi="Noto Sans CJK JP Regular" w:eastAsia="Noto Sans CJK JP Regular" w:cs="Noto Sans CJK JP Regular"/>
      <w:lang w:val="zh-CN" w:eastAsia="zh-CN" w:bidi="zh-CN"/>
    </w:rPr>
  </w:style>
  <w:style w:type="paragraph" w:customStyle="1" w:styleId="10">
    <w:name w:val="Table Paragraph"/>
    <w:basedOn w:val="1"/>
    <w:qFormat/>
    <w:uiPriority w:val="1"/>
    <w:rPr>
      <w:rFonts w:ascii="Noto Sans CJK JP Regular" w:hAnsi="Noto Sans CJK JP Regular" w:eastAsia="Noto Sans CJK JP Regular" w:cs="Noto Sans CJK JP Regula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2019-06-13T08:33:00Z</dcterms:created>
  <dc:creator>杨俊峰</dc:creator>
  <cp:lastModifiedBy>唯美1419561724</cp:lastModifiedBy>
  <dcterms:modified xsi:type="dcterms:W3CDTF">2019-06-13T09:01:24Z</dcterms:modified>
  <dc:title>房产评估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Office Word 2007</vt:lpwstr>
  </property>
  <property fmtid="{D5CDD505-2E9C-101B-9397-08002B2CF9AE}" pid="4" name="LastSaved">
    <vt:filetime>2019-06-13T00:00:00Z</vt:filetime>
  </property>
  <property fmtid="{D5CDD505-2E9C-101B-9397-08002B2CF9AE}" pid="5" name="KSOProductBuildVer">
    <vt:lpwstr>2052-11.1.0.8696</vt:lpwstr>
  </property>
</Properties>
</file>