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仿宋"/>
          <w:b/>
          <w:bCs/>
          <w:color w:val="FF0000"/>
          <w:sz w:val="44"/>
        </w:rPr>
      </w:pPr>
      <w:r>
        <w:rPr>
          <w:rFonts w:eastAsia="仿宋"/>
          <w:b/>
          <w:bCs/>
          <w:color w:val="FF0000"/>
          <w:sz w:val="44"/>
        </w:rPr>
        <w:pict>
          <v:rect id="_x0000_s1036" o:spid="_x0000_s1036" o:spt="1" style="position:absolute;left:0pt;margin-left:-26.65pt;margin-top:-45.4pt;height:54.75pt;width:482.25pt;z-index:251659264;mso-width-relative:page;mso-height-relative:page;" stroked="f" coordsize="21600,21600">
            <v:path/>
            <v:fill focussize="0,0"/>
            <v:stroke on="f"/>
            <v:imagedata o:title=""/>
            <o:lock v:ext="edit"/>
          </v:rect>
        </w:pict>
      </w:r>
    </w:p>
    <w:p>
      <w:pPr>
        <w:spacing w:line="520" w:lineRule="exact"/>
        <w:rPr>
          <w:rFonts w:eastAsia="仿宋"/>
          <w:b/>
          <w:bCs/>
          <w:color w:val="FF0000"/>
          <w:sz w:val="44"/>
        </w:rPr>
      </w:pPr>
    </w:p>
    <w:p>
      <w:pPr>
        <w:spacing w:line="520" w:lineRule="exact"/>
        <w:rPr>
          <w:rFonts w:eastAsia="仿宋"/>
          <w:b/>
          <w:bCs/>
          <w:color w:val="FF0000"/>
          <w:sz w:val="44"/>
        </w:rPr>
      </w:pPr>
    </w:p>
    <w:p>
      <w:pPr>
        <w:spacing w:line="520" w:lineRule="exact"/>
        <w:rPr>
          <w:rFonts w:eastAsia="仿宋"/>
          <w:b/>
          <w:bCs/>
          <w:color w:val="FF0000"/>
          <w:sz w:val="44"/>
        </w:rPr>
      </w:pPr>
    </w:p>
    <w:p>
      <w:pPr>
        <w:spacing w:line="520" w:lineRule="exact"/>
        <w:rPr>
          <w:rFonts w:eastAsia="仿宋"/>
          <w:b/>
          <w:bCs/>
          <w:color w:val="FF0000"/>
          <w:sz w:val="44"/>
        </w:rPr>
      </w:pPr>
    </w:p>
    <w:p>
      <w:pPr>
        <w:spacing w:line="520" w:lineRule="exact"/>
        <w:jc w:val="center"/>
        <w:rPr>
          <w:rFonts w:eastAsia="仿宋"/>
          <w:b/>
          <w:bCs/>
          <w:spacing w:val="20"/>
          <w:sz w:val="44"/>
          <w:szCs w:val="44"/>
        </w:rPr>
      </w:pPr>
      <w:r>
        <w:rPr>
          <w:rFonts w:hAnsi="仿宋" w:eastAsia="仿宋"/>
          <w:b/>
          <w:bCs/>
          <w:spacing w:val="20"/>
          <w:sz w:val="44"/>
          <w:szCs w:val="44"/>
        </w:rPr>
        <w:t>房地产估价报告</w:t>
      </w:r>
    </w:p>
    <w:p>
      <w:pPr>
        <w:spacing w:line="520" w:lineRule="exact"/>
        <w:rPr>
          <w:rFonts w:eastAsia="仿宋"/>
          <w:color w:val="FF0000"/>
          <w:spacing w:val="16"/>
          <w:sz w:val="32"/>
        </w:rPr>
      </w:pPr>
    </w:p>
    <w:p>
      <w:pPr>
        <w:tabs>
          <w:tab w:val="left" w:pos="3675"/>
        </w:tabs>
        <w:spacing w:line="840" w:lineRule="exact"/>
        <w:ind w:left="2794" w:hanging="2794" w:hangingChars="800"/>
        <w:rPr>
          <w:rFonts w:eastAsia="仿宋"/>
          <w:b/>
          <w:spacing w:val="14"/>
          <w:sz w:val="32"/>
          <w:szCs w:val="32"/>
        </w:rPr>
      </w:pPr>
      <w:r>
        <w:rPr>
          <w:rFonts w:hAnsi="仿宋" w:eastAsia="仿宋"/>
          <w:b/>
          <w:spacing w:val="14"/>
          <w:sz w:val="32"/>
          <w:szCs w:val="32"/>
        </w:rPr>
        <w:t>估价报告编号：苏信房地估字</w:t>
      </w:r>
      <w:r>
        <w:rPr>
          <w:rFonts w:eastAsia="仿宋"/>
          <w:b/>
          <w:spacing w:val="14"/>
          <w:sz w:val="32"/>
          <w:szCs w:val="32"/>
        </w:rPr>
        <w:t>[201</w:t>
      </w:r>
      <w:r>
        <w:rPr>
          <w:rFonts w:hint="eastAsia" w:eastAsia="仿宋"/>
          <w:b/>
          <w:spacing w:val="14"/>
          <w:sz w:val="32"/>
          <w:szCs w:val="32"/>
        </w:rPr>
        <w:t>8</w:t>
      </w:r>
      <w:r>
        <w:rPr>
          <w:rFonts w:eastAsia="仿宋"/>
          <w:b/>
          <w:spacing w:val="14"/>
          <w:sz w:val="32"/>
          <w:szCs w:val="32"/>
        </w:rPr>
        <w:t>]</w:t>
      </w:r>
      <w:r>
        <w:rPr>
          <w:rFonts w:hAnsi="仿宋" w:eastAsia="仿宋"/>
          <w:b/>
          <w:spacing w:val="14"/>
          <w:sz w:val="32"/>
          <w:szCs w:val="32"/>
        </w:rPr>
        <w:t>第</w:t>
      </w:r>
      <w:r>
        <w:rPr>
          <w:rFonts w:eastAsia="仿宋"/>
          <w:b/>
          <w:spacing w:val="14"/>
          <w:sz w:val="32"/>
          <w:szCs w:val="32"/>
        </w:rPr>
        <w:t>010306号</w:t>
      </w:r>
    </w:p>
    <w:p>
      <w:pPr>
        <w:spacing w:line="840" w:lineRule="exact"/>
        <w:ind w:left="2334" w:hanging="2334" w:hangingChars="646"/>
        <w:jc w:val="left"/>
        <w:rPr>
          <w:rFonts w:eastAsia="仿宋"/>
          <w:b/>
          <w:spacing w:val="20"/>
          <w:sz w:val="32"/>
          <w:szCs w:val="32"/>
        </w:rPr>
      </w:pPr>
      <w:r>
        <w:rPr>
          <w:rFonts w:hAnsi="仿宋" w:eastAsia="仿宋"/>
          <w:b/>
          <w:spacing w:val="20"/>
          <w:sz w:val="32"/>
          <w:szCs w:val="32"/>
        </w:rPr>
        <w:t>估价项目名称：上海市杨浦区长阳路2080号宁武小区402室住宅房地产市场价值评估</w:t>
      </w:r>
    </w:p>
    <w:p>
      <w:pPr>
        <w:tabs>
          <w:tab w:val="left" w:pos="3675"/>
        </w:tabs>
        <w:spacing w:line="840" w:lineRule="exact"/>
        <w:ind w:left="2892" w:hanging="2892" w:hangingChars="828"/>
        <w:rPr>
          <w:rFonts w:eastAsia="仿宋"/>
          <w:b/>
          <w:spacing w:val="14"/>
          <w:sz w:val="32"/>
          <w:szCs w:val="32"/>
        </w:rPr>
      </w:pPr>
      <w:r>
        <w:rPr>
          <w:rFonts w:hAnsi="仿宋" w:eastAsia="仿宋"/>
          <w:b/>
          <w:spacing w:val="14"/>
          <w:sz w:val="32"/>
          <w:szCs w:val="32"/>
        </w:rPr>
        <w:t>估价委托人：南京市建邺区人民法院</w:t>
      </w:r>
    </w:p>
    <w:p>
      <w:pPr>
        <w:spacing w:line="840" w:lineRule="exact"/>
        <w:ind w:left="2794" w:hanging="2794" w:hangingChars="800"/>
        <w:rPr>
          <w:rFonts w:eastAsia="仿宋"/>
          <w:b/>
          <w:spacing w:val="14"/>
          <w:sz w:val="32"/>
          <w:szCs w:val="32"/>
        </w:rPr>
      </w:pPr>
      <w:r>
        <w:rPr>
          <w:rFonts w:hAnsi="仿宋" w:eastAsia="仿宋"/>
          <w:b/>
          <w:spacing w:val="14"/>
          <w:sz w:val="32"/>
          <w:szCs w:val="32"/>
        </w:rPr>
        <w:t>房地产估价机构：江苏苏信房地产评估咨询有限公司</w:t>
      </w:r>
    </w:p>
    <w:p>
      <w:pPr>
        <w:tabs>
          <w:tab w:val="left" w:pos="735"/>
          <w:tab w:val="left" w:pos="3675"/>
          <w:tab w:val="left" w:pos="7605"/>
        </w:tabs>
        <w:spacing w:line="840" w:lineRule="exact"/>
        <w:ind w:left="2794" w:hanging="2794" w:hangingChars="800"/>
        <w:rPr>
          <w:rFonts w:eastAsia="仿宋"/>
          <w:b/>
          <w:spacing w:val="14"/>
          <w:sz w:val="32"/>
          <w:szCs w:val="32"/>
        </w:rPr>
      </w:pPr>
      <w:r>
        <w:rPr>
          <w:rFonts w:hAnsi="仿宋" w:eastAsia="仿宋"/>
          <w:b/>
          <w:spacing w:val="14"/>
          <w:sz w:val="32"/>
          <w:szCs w:val="32"/>
        </w:rPr>
        <w:t>注册房地产估价师：夏建国</w:t>
      </w:r>
      <w:r>
        <w:rPr>
          <w:rFonts w:eastAsia="仿宋"/>
          <w:b/>
          <w:spacing w:val="14"/>
          <w:sz w:val="32"/>
          <w:szCs w:val="32"/>
        </w:rPr>
        <w:t xml:space="preserve">  </w:t>
      </w:r>
      <w:r>
        <w:rPr>
          <w:rFonts w:hAnsi="仿宋" w:eastAsia="仿宋"/>
          <w:b/>
          <w:spacing w:val="14"/>
          <w:sz w:val="32"/>
          <w:szCs w:val="32"/>
        </w:rPr>
        <w:t>注册号</w:t>
      </w:r>
      <w:r>
        <w:rPr>
          <w:rFonts w:eastAsia="仿宋"/>
          <w:b/>
          <w:spacing w:val="14"/>
          <w:sz w:val="32"/>
          <w:szCs w:val="32"/>
        </w:rPr>
        <w:t xml:space="preserve"> 3220090094</w:t>
      </w:r>
    </w:p>
    <w:p>
      <w:pPr>
        <w:tabs>
          <w:tab w:val="left" w:pos="735"/>
          <w:tab w:val="left" w:pos="3675"/>
          <w:tab w:val="left" w:pos="7605"/>
        </w:tabs>
        <w:spacing w:line="840" w:lineRule="exact"/>
        <w:ind w:firstLine="3119" w:firstLineChars="893"/>
        <w:rPr>
          <w:rFonts w:eastAsia="仿宋"/>
          <w:b/>
          <w:spacing w:val="14"/>
          <w:sz w:val="32"/>
          <w:szCs w:val="32"/>
        </w:rPr>
      </w:pPr>
      <w:r>
        <w:rPr>
          <w:rFonts w:hAnsi="仿宋" w:eastAsia="仿宋"/>
          <w:b/>
          <w:spacing w:val="14"/>
          <w:sz w:val="32"/>
          <w:szCs w:val="32"/>
        </w:rPr>
        <w:t>徐张华</w:t>
      </w:r>
      <w:r>
        <w:rPr>
          <w:rFonts w:eastAsia="仿宋"/>
          <w:b/>
          <w:spacing w:val="14"/>
          <w:sz w:val="32"/>
          <w:szCs w:val="32"/>
        </w:rPr>
        <w:t xml:space="preserve">  </w:t>
      </w:r>
      <w:r>
        <w:rPr>
          <w:rFonts w:hAnsi="仿宋" w:eastAsia="仿宋"/>
          <w:b/>
          <w:spacing w:val="14"/>
          <w:sz w:val="32"/>
          <w:szCs w:val="32"/>
        </w:rPr>
        <w:t>注册号</w:t>
      </w:r>
      <w:r>
        <w:rPr>
          <w:rFonts w:eastAsia="仿宋"/>
          <w:b/>
          <w:spacing w:val="14"/>
          <w:sz w:val="32"/>
          <w:szCs w:val="32"/>
        </w:rPr>
        <w:t xml:space="preserve"> 3220170169</w:t>
      </w:r>
    </w:p>
    <w:p>
      <w:pPr>
        <w:tabs>
          <w:tab w:val="left" w:pos="735"/>
          <w:tab w:val="left" w:pos="3675"/>
          <w:tab w:val="left" w:pos="7605"/>
        </w:tabs>
        <w:spacing w:line="840" w:lineRule="exact"/>
        <w:ind w:left="2794" w:hanging="2794" w:hangingChars="800"/>
        <w:rPr>
          <w:rFonts w:eastAsia="仿宋"/>
          <w:b/>
          <w:spacing w:val="14"/>
          <w:sz w:val="32"/>
          <w:szCs w:val="32"/>
        </w:rPr>
      </w:pPr>
      <w:r>
        <w:rPr>
          <w:rFonts w:hAnsi="仿宋" w:eastAsia="仿宋"/>
          <w:b/>
          <w:spacing w:val="14"/>
          <w:sz w:val="32"/>
          <w:szCs w:val="32"/>
        </w:rPr>
        <w:t>价值时点：</w:t>
      </w:r>
      <w:r>
        <w:rPr>
          <w:rFonts w:eastAsia="仿宋"/>
          <w:b/>
          <w:spacing w:val="14"/>
          <w:sz w:val="32"/>
          <w:szCs w:val="32"/>
        </w:rPr>
        <w:t>2018年11月02日</w:t>
      </w:r>
    </w:p>
    <w:p>
      <w:pPr>
        <w:tabs>
          <w:tab w:val="left" w:pos="3675"/>
        </w:tabs>
        <w:spacing w:line="840" w:lineRule="exact"/>
        <w:ind w:left="2794" w:hanging="2794" w:hangingChars="800"/>
        <w:rPr>
          <w:rFonts w:eastAsia="仿宋"/>
          <w:b/>
          <w:spacing w:val="14"/>
          <w:sz w:val="32"/>
          <w:szCs w:val="32"/>
        </w:rPr>
      </w:pPr>
      <w:r>
        <w:rPr>
          <w:rFonts w:hAnsi="仿宋" w:eastAsia="仿宋"/>
          <w:b/>
          <w:spacing w:val="14"/>
          <w:sz w:val="32"/>
          <w:szCs w:val="32"/>
        </w:rPr>
        <w:t>估价报告出具日期：</w:t>
      </w:r>
      <w:r>
        <w:rPr>
          <w:rFonts w:eastAsia="仿宋"/>
          <w:b/>
          <w:spacing w:val="14"/>
          <w:sz w:val="32"/>
          <w:szCs w:val="32"/>
        </w:rPr>
        <w:t>2018年11月12日</w:t>
      </w:r>
    </w:p>
    <w:p>
      <w:pPr>
        <w:tabs>
          <w:tab w:val="left" w:pos="3675"/>
        </w:tabs>
        <w:spacing w:line="840" w:lineRule="exact"/>
        <w:ind w:left="2794" w:hanging="2794" w:hangingChars="800"/>
        <w:jc w:val="left"/>
        <w:rPr>
          <w:rFonts w:eastAsia="仿宋"/>
          <w:b/>
          <w:spacing w:val="14"/>
          <w:sz w:val="32"/>
          <w:szCs w:val="32"/>
        </w:rPr>
      </w:pPr>
      <w:r>
        <w:rPr>
          <w:rFonts w:hAnsi="仿宋" w:eastAsia="仿宋"/>
          <w:b/>
          <w:spacing w:val="14"/>
          <w:sz w:val="32"/>
          <w:szCs w:val="32"/>
        </w:rPr>
        <w:t>司法鉴定委托函号：（2018）苏0105委鉴字第00226号</w:t>
      </w:r>
    </w:p>
    <w:p>
      <w:pPr>
        <w:tabs>
          <w:tab w:val="left" w:pos="3675"/>
        </w:tabs>
        <w:spacing w:line="520" w:lineRule="exact"/>
        <w:rPr>
          <w:rFonts w:eastAsia="仿宋"/>
          <w:color w:val="FF0000"/>
        </w:rPr>
      </w:pPr>
    </w:p>
    <w:p>
      <w:pPr>
        <w:spacing w:line="520" w:lineRule="exact"/>
        <w:jc w:val="center"/>
        <w:rPr>
          <w:rFonts w:eastAsia="仿宋"/>
          <w:b/>
          <w:bCs/>
          <w:color w:val="FF0000"/>
          <w:sz w:val="44"/>
        </w:rPr>
        <w:sectPr>
          <w:headerReference r:id="rId4" w:type="first"/>
          <w:footerReference r:id="rId5" w:type="first"/>
          <w:headerReference r:id="rId3" w:type="default"/>
          <w:pgSz w:w="11907" w:h="16840"/>
          <w:pgMar w:top="1418" w:right="1701" w:bottom="1418" w:left="1418" w:header="851" w:footer="851" w:gutter="0"/>
          <w:cols w:space="720" w:num="1"/>
          <w:docGrid w:linePitch="286" w:charSpace="0"/>
        </w:sectPr>
      </w:pPr>
    </w:p>
    <w:p>
      <w:pPr>
        <w:spacing w:line="520" w:lineRule="exact"/>
        <w:jc w:val="center"/>
        <w:rPr>
          <w:rFonts w:eastAsia="仿宋"/>
          <w:b/>
          <w:bCs/>
          <w:color w:val="FF0000"/>
          <w:sz w:val="44"/>
        </w:rPr>
      </w:pPr>
    </w:p>
    <w:p>
      <w:pPr>
        <w:jc w:val="center"/>
        <w:rPr>
          <w:rFonts w:eastAsia="仿宋"/>
          <w:b/>
          <w:sz w:val="36"/>
          <w:szCs w:val="36"/>
        </w:rPr>
      </w:pPr>
      <w:r>
        <w:rPr>
          <w:rFonts w:hAnsi="仿宋" w:eastAsia="仿宋"/>
          <w:b/>
          <w:sz w:val="36"/>
          <w:szCs w:val="36"/>
        </w:rPr>
        <w:t>致估价委托人函</w:t>
      </w:r>
    </w:p>
    <w:p>
      <w:pPr>
        <w:spacing w:line="520" w:lineRule="exact"/>
        <w:rPr>
          <w:rFonts w:eastAsia="仿宋"/>
          <w:sz w:val="28"/>
        </w:rPr>
      </w:pPr>
      <w:r>
        <w:rPr>
          <w:rFonts w:hAnsi="仿宋" w:eastAsia="仿宋"/>
          <w:bCs/>
          <w:sz w:val="28"/>
        </w:rPr>
        <w:t>南京市建邺区人民法院</w:t>
      </w:r>
      <w:r>
        <w:rPr>
          <w:rFonts w:hAnsi="仿宋" w:eastAsia="仿宋"/>
          <w:sz w:val="28"/>
        </w:rPr>
        <w:t>：</w:t>
      </w:r>
    </w:p>
    <w:p>
      <w:pPr>
        <w:spacing w:line="520" w:lineRule="exact"/>
        <w:ind w:firstLine="537" w:firstLineChars="192"/>
        <w:rPr>
          <w:rFonts w:eastAsia="仿宋"/>
          <w:sz w:val="28"/>
          <w:szCs w:val="28"/>
        </w:rPr>
      </w:pPr>
      <w:r>
        <w:rPr>
          <w:rFonts w:hAnsi="仿宋" w:eastAsia="仿宋"/>
          <w:sz w:val="28"/>
          <w:szCs w:val="28"/>
        </w:rPr>
        <w:t>我们接受贵院的委托</w:t>
      </w:r>
      <w:r>
        <w:rPr>
          <w:rFonts w:eastAsia="仿宋"/>
          <w:sz w:val="28"/>
          <w:szCs w:val="28"/>
        </w:rPr>
        <w:t>[</w:t>
      </w:r>
      <w:r>
        <w:rPr>
          <w:rFonts w:hAnsi="仿宋" w:eastAsia="仿宋"/>
          <w:sz w:val="28"/>
          <w:szCs w:val="28"/>
        </w:rPr>
        <w:t>委托</w:t>
      </w:r>
      <w:r>
        <w:rPr>
          <w:rFonts w:hint="eastAsia" w:hAnsi="仿宋" w:eastAsia="仿宋"/>
          <w:sz w:val="28"/>
          <w:szCs w:val="28"/>
        </w:rPr>
        <w:t>函</w:t>
      </w:r>
      <w:r>
        <w:rPr>
          <w:rFonts w:hAnsi="仿宋" w:eastAsia="仿宋"/>
          <w:sz w:val="28"/>
          <w:szCs w:val="28"/>
        </w:rPr>
        <w:t>号：（2018）苏0105委鉴字第00226号</w:t>
      </w:r>
      <w:r>
        <w:rPr>
          <w:rFonts w:eastAsia="仿宋"/>
          <w:sz w:val="28"/>
          <w:szCs w:val="28"/>
        </w:rPr>
        <w:t>]</w:t>
      </w:r>
      <w:r>
        <w:rPr>
          <w:rFonts w:hAnsi="仿宋" w:eastAsia="仿宋"/>
          <w:sz w:val="28"/>
          <w:szCs w:val="28"/>
        </w:rPr>
        <w:t>，对位于上海市杨浦区长阳路2080号宁武小区402室住宅房地产进行市场价值评估</w:t>
      </w:r>
      <w:r>
        <w:rPr>
          <w:rFonts w:hAnsi="仿宋" w:eastAsia="仿宋"/>
          <w:sz w:val="28"/>
        </w:rPr>
        <w:t>（建筑面积为</w:t>
      </w:r>
      <w:r>
        <w:rPr>
          <w:rFonts w:eastAsia="仿宋"/>
          <w:sz w:val="28"/>
        </w:rPr>
        <w:t>72.79m</w:t>
      </w:r>
      <w:r>
        <w:rPr>
          <w:rFonts w:eastAsia="仿宋"/>
          <w:sz w:val="28"/>
          <w:vertAlign w:val="superscript"/>
        </w:rPr>
        <w:t>2</w:t>
      </w:r>
      <w:r>
        <w:rPr>
          <w:rFonts w:hAnsi="仿宋" w:eastAsia="仿宋"/>
          <w:sz w:val="28"/>
          <w:szCs w:val="28"/>
        </w:rPr>
        <w:t>及其相应分摊的土地使用权面积</w:t>
      </w:r>
      <w:r>
        <w:rPr>
          <w:rFonts w:hAnsi="仿宋" w:eastAsia="仿宋"/>
          <w:sz w:val="28"/>
        </w:rPr>
        <w:t>）</w:t>
      </w:r>
      <w:r>
        <w:rPr>
          <w:rFonts w:hAnsi="仿宋" w:eastAsia="仿宋"/>
          <w:sz w:val="28"/>
          <w:szCs w:val="28"/>
        </w:rPr>
        <w:t>。</w:t>
      </w:r>
    </w:p>
    <w:p>
      <w:pPr>
        <w:spacing w:line="520" w:lineRule="exact"/>
        <w:ind w:firstLine="537" w:firstLineChars="192"/>
        <w:rPr>
          <w:rFonts w:eastAsia="仿宋"/>
          <w:sz w:val="28"/>
          <w:szCs w:val="28"/>
        </w:rPr>
      </w:pPr>
      <w:r>
        <w:rPr>
          <w:rFonts w:hAnsi="仿宋" w:eastAsia="仿宋"/>
          <w:sz w:val="28"/>
          <w:szCs w:val="28"/>
        </w:rPr>
        <w:t>估价方法：比较法。</w:t>
      </w:r>
    </w:p>
    <w:p>
      <w:pPr>
        <w:spacing w:line="520" w:lineRule="exact"/>
        <w:ind w:firstLine="537" w:firstLineChars="192"/>
        <w:rPr>
          <w:rFonts w:eastAsia="仿宋"/>
          <w:sz w:val="28"/>
          <w:szCs w:val="28"/>
        </w:rPr>
      </w:pPr>
      <w:r>
        <w:rPr>
          <w:rFonts w:hAnsi="仿宋" w:eastAsia="仿宋"/>
          <w:sz w:val="28"/>
          <w:szCs w:val="28"/>
        </w:rPr>
        <w:t>坐落：上海市杨浦区长阳路2080号宁武小区402室。</w:t>
      </w:r>
    </w:p>
    <w:p>
      <w:pPr>
        <w:spacing w:line="520" w:lineRule="exact"/>
        <w:ind w:firstLine="537" w:firstLineChars="192"/>
        <w:rPr>
          <w:rFonts w:eastAsia="仿宋"/>
          <w:sz w:val="28"/>
          <w:szCs w:val="28"/>
        </w:rPr>
      </w:pPr>
      <w:r>
        <w:rPr>
          <w:rFonts w:hAnsi="仿宋" w:eastAsia="仿宋"/>
          <w:sz w:val="28"/>
          <w:szCs w:val="28"/>
        </w:rPr>
        <w:t>物业类型（用途）：住宅房地产。</w:t>
      </w:r>
    </w:p>
    <w:p>
      <w:pPr>
        <w:spacing w:line="520" w:lineRule="exact"/>
        <w:ind w:firstLine="537" w:firstLineChars="192"/>
        <w:rPr>
          <w:rFonts w:eastAsia="仿宋"/>
          <w:sz w:val="28"/>
          <w:szCs w:val="28"/>
        </w:rPr>
      </w:pPr>
      <w:r>
        <w:rPr>
          <w:rFonts w:hAnsi="仿宋" w:eastAsia="仿宋"/>
          <w:sz w:val="28"/>
        </w:rPr>
        <w:t>价值时点</w:t>
      </w:r>
      <w:r>
        <w:rPr>
          <w:rFonts w:hAnsi="仿宋" w:eastAsia="仿宋"/>
          <w:sz w:val="28"/>
          <w:szCs w:val="28"/>
        </w:rPr>
        <w:t>：</w:t>
      </w:r>
      <w:r>
        <w:rPr>
          <w:rFonts w:eastAsia="仿宋"/>
          <w:sz w:val="28"/>
          <w:szCs w:val="28"/>
        </w:rPr>
        <w:t>2018年11月02日</w:t>
      </w:r>
      <w:r>
        <w:rPr>
          <w:rFonts w:hAnsi="仿宋" w:eastAsia="仿宋"/>
          <w:sz w:val="28"/>
          <w:szCs w:val="28"/>
        </w:rPr>
        <w:t>。</w:t>
      </w:r>
    </w:p>
    <w:p>
      <w:pPr>
        <w:spacing w:line="520" w:lineRule="exact"/>
        <w:ind w:firstLine="537" w:firstLineChars="192"/>
        <w:rPr>
          <w:rFonts w:eastAsia="仿宋"/>
          <w:sz w:val="28"/>
          <w:szCs w:val="28"/>
        </w:rPr>
      </w:pPr>
      <w:r>
        <w:rPr>
          <w:rFonts w:hAnsi="仿宋" w:eastAsia="仿宋"/>
          <w:sz w:val="28"/>
          <w:szCs w:val="28"/>
        </w:rPr>
        <w:t>估价目的：为</w:t>
      </w:r>
      <w:r>
        <w:rPr>
          <w:rFonts w:hAnsi="仿宋" w:eastAsia="仿宋"/>
          <w:sz w:val="28"/>
        </w:rPr>
        <w:t>南京市建邺区人民法院</w:t>
      </w:r>
      <w:r>
        <w:rPr>
          <w:rFonts w:hAnsi="仿宋" w:eastAsia="仿宋"/>
          <w:sz w:val="28"/>
          <w:szCs w:val="28"/>
        </w:rPr>
        <w:t>执行涉案房地产提供价值参考。</w:t>
      </w:r>
    </w:p>
    <w:p>
      <w:pPr>
        <w:spacing w:line="520" w:lineRule="exact"/>
        <w:ind w:firstLine="560" w:firstLineChars="200"/>
        <w:rPr>
          <w:rFonts w:eastAsia="仿宋"/>
          <w:sz w:val="28"/>
          <w:shd w:val="clear" w:color="auto" w:fill="FFFF00"/>
        </w:rPr>
      </w:pPr>
      <w:r>
        <w:rPr>
          <w:rFonts w:hAnsi="仿宋" w:eastAsia="仿宋"/>
          <w:sz w:val="28"/>
          <w:szCs w:val="28"/>
        </w:rPr>
        <w:t>根据贵院所提供的有关资料</w:t>
      </w:r>
      <w:r>
        <w:rPr>
          <w:rFonts w:hAnsi="仿宋" w:eastAsia="仿宋"/>
          <w:sz w:val="28"/>
        </w:rPr>
        <w:t>，本公司注册房地产估价师</w:t>
      </w:r>
      <w:r>
        <w:rPr>
          <w:rFonts w:hAnsi="仿宋" w:eastAsia="仿宋"/>
          <w:sz w:val="28"/>
          <w:szCs w:val="28"/>
        </w:rPr>
        <w:t>依据国家标准</w:t>
      </w:r>
      <w:r>
        <w:rPr>
          <w:rFonts w:eastAsia="仿宋"/>
          <w:sz w:val="28"/>
          <w:szCs w:val="28"/>
        </w:rPr>
        <w:t>GB/T 50291-2015</w:t>
      </w:r>
      <w:r>
        <w:rPr>
          <w:rFonts w:hAnsi="仿宋" w:eastAsia="仿宋"/>
          <w:sz w:val="28"/>
          <w:szCs w:val="28"/>
        </w:rPr>
        <w:t>《房地产估价规范》、</w:t>
      </w:r>
      <w:r>
        <w:rPr>
          <w:rFonts w:eastAsia="仿宋"/>
          <w:sz w:val="28"/>
          <w:szCs w:val="28"/>
        </w:rPr>
        <w:t>GB/T50899-2013</w:t>
      </w:r>
      <w:r>
        <w:rPr>
          <w:rFonts w:hAnsi="仿宋" w:eastAsia="仿宋"/>
          <w:sz w:val="28"/>
          <w:szCs w:val="28"/>
        </w:rPr>
        <w:t>《房地产估价基本术语标准》</w:t>
      </w:r>
      <w:r>
        <w:rPr>
          <w:rFonts w:hAnsi="仿宋" w:eastAsia="仿宋"/>
          <w:sz w:val="28"/>
        </w:rPr>
        <w:t>等有关法律法规和技术标准，在了解和分析估价对象实际情况的基础上，本着独立、客观、公正、合法的原则，遵循必要的估价程序，选用了比较法进行了评估，综合确定估价对象在价值时点</w:t>
      </w:r>
      <w:r>
        <w:rPr>
          <w:rFonts w:eastAsia="仿宋"/>
          <w:sz w:val="28"/>
          <w:szCs w:val="28"/>
        </w:rPr>
        <w:t>2018年11月02日</w:t>
      </w:r>
      <w:r>
        <w:rPr>
          <w:rFonts w:hAnsi="仿宋" w:eastAsia="仿宋"/>
          <w:sz w:val="28"/>
        </w:rPr>
        <w:t>的房地产市场价值为</w:t>
      </w:r>
      <w:r>
        <w:rPr>
          <w:rFonts w:hint="eastAsia" w:hAnsi="仿宋" w:eastAsia="仿宋"/>
          <w:sz w:val="28"/>
        </w:rPr>
        <w:t>人民币456.21万元（四舍五入至百元），大写人民币</w:t>
      </w:r>
      <w:r>
        <w:rPr>
          <w:rFonts w:hint="eastAsia" w:hAnsi="仿宋" w:eastAsia="仿宋"/>
          <w:b/>
          <w:sz w:val="28"/>
        </w:rPr>
        <w:t>肆佰伍拾陆万贰仟壹佰元</w:t>
      </w:r>
      <w:r>
        <w:rPr>
          <w:rFonts w:hint="eastAsia" w:hAnsi="仿宋" w:eastAsia="仿宋"/>
          <w:sz w:val="28"/>
        </w:rPr>
        <w:t>整，单价62675元/m</w:t>
      </w:r>
      <w:r>
        <w:rPr>
          <w:rFonts w:hint="eastAsia" w:hAnsi="仿宋" w:eastAsia="仿宋"/>
          <w:sz w:val="28"/>
          <w:vertAlign w:val="superscript"/>
        </w:rPr>
        <w:t>2</w:t>
      </w:r>
      <w:r>
        <w:rPr>
          <w:rFonts w:hint="eastAsia" w:hAnsi="仿宋" w:eastAsia="仿宋"/>
          <w:sz w:val="28"/>
        </w:rPr>
        <w:t>。</w:t>
      </w:r>
    </w:p>
    <w:p>
      <w:pPr>
        <w:pStyle w:val="11"/>
        <w:spacing w:line="520" w:lineRule="exact"/>
        <w:ind w:firstLine="523" w:firstLineChars="187"/>
        <w:rPr>
          <w:rFonts w:eastAsia="仿宋"/>
        </w:rPr>
      </w:pPr>
      <w:r>
        <w:rPr>
          <w:rFonts w:hAnsi="仿宋" w:eastAsia="仿宋"/>
        </w:rPr>
        <w:t>以上内容摘自房地产估价报告，欲了解本估价项目的全面情况，请认真阅读房地产估价报告全文。</w:t>
      </w:r>
    </w:p>
    <w:p>
      <w:pPr>
        <w:spacing w:line="520" w:lineRule="exact"/>
        <w:ind w:firstLine="4200" w:firstLineChars="1500"/>
        <w:jc w:val="left"/>
        <w:rPr>
          <w:rFonts w:eastAsia="仿宋"/>
          <w:sz w:val="28"/>
        </w:rPr>
      </w:pPr>
    </w:p>
    <w:p>
      <w:pPr>
        <w:spacing w:line="520" w:lineRule="exact"/>
        <w:ind w:firstLine="4216" w:firstLineChars="1500"/>
        <w:jc w:val="left"/>
        <w:rPr>
          <w:rFonts w:eastAsia="仿宋"/>
          <w:b/>
          <w:sz w:val="28"/>
        </w:rPr>
      </w:pPr>
      <w:r>
        <w:rPr>
          <w:rFonts w:hAnsi="仿宋" w:eastAsia="仿宋"/>
          <w:b/>
          <w:sz w:val="28"/>
        </w:rPr>
        <w:t>江苏苏信房地产评估咨询有限公司</w:t>
      </w:r>
    </w:p>
    <w:p>
      <w:pPr>
        <w:spacing w:line="520" w:lineRule="exact"/>
        <w:ind w:firstLine="4498" w:firstLineChars="1600"/>
        <w:jc w:val="left"/>
        <w:rPr>
          <w:rFonts w:eastAsia="仿宋"/>
          <w:b/>
          <w:sz w:val="28"/>
        </w:rPr>
      </w:pPr>
      <w:r>
        <w:rPr>
          <w:rFonts w:hAnsi="仿宋" w:eastAsia="仿宋"/>
          <w:b/>
          <w:sz w:val="28"/>
        </w:rPr>
        <w:t>法定代表人：</w:t>
      </w:r>
    </w:p>
    <w:p>
      <w:pPr>
        <w:spacing w:line="520" w:lineRule="exact"/>
        <w:ind w:firstLine="4498" w:firstLineChars="1600"/>
        <w:jc w:val="left"/>
        <w:rPr>
          <w:rFonts w:eastAsia="仿宋"/>
          <w:b/>
          <w:sz w:val="28"/>
        </w:rPr>
      </w:pPr>
    </w:p>
    <w:p>
      <w:pPr>
        <w:spacing w:line="520" w:lineRule="exact"/>
        <w:ind w:firstLine="5341" w:firstLineChars="1900"/>
        <w:rPr>
          <w:rFonts w:eastAsia="仿宋"/>
          <w:b/>
          <w:sz w:val="36"/>
        </w:rPr>
      </w:pPr>
      <w:r>
        <w:rPr>
          <w:rFonts w:hAnsi="仿宋" w:eastAsia="仿宋"/>
          <w:b/>
          <w:sz w:val="28"/>
        </w:rPr>
        <w:t>二〇一八年</w:t>
      </w:r>
      <w:r>
        <w:rPr>
          <w:rFonts w:hint="eastAsia" w:hAnsi="仿宋" w:eastAsia="仿宋"/>
          <w:b/>
          <w:sz w:val="28"/>
        </w:rPr>
        <w:t>十一</w:t>
      </w:r>
      <w:r>
        <w:rPr>
          <w:rFonts w:hAnsi="仿宋" w:eastAsia="仿宋"/>
          <w:b/>
          <w:sz w:val="28"/>
        </w:rPr>
        <w:t>月</w:t>
      </w:r>
      <w:r>
        <w:rPr>
          <w:rFonts w:hint="eastAsia" w:hAnsi="仿宋" w:eastAsia="仿宋"/>
          <w:b/>
          <w:sz w:val="28"/>
        </w:rPr>
        <w:t>十二</w:t>
      </w:r>
      <w:r>
        <w:rPr>
          <w:rFonts w:hAnsi="仿宋" w:eastAsia="仿宋"/>
          <w:b/>
          <w:sz w:val="28"/>
        </w:rPr>
        <w:t>日</w:t>
      </w:r>
      <w:bookmarkStart w:id="0" w:name="_Toc258499029"/>
      <w:r>
        <w:rPr>
          <w:rFonts w:eastAsia="仿宋"/>
          <w:b/>
          <w:sz w:val="36"/>
        </w:rPr>
        <w:br w:type="page"/>
      </w:r>
    </w:p>
    <w:p>
      <w:pPr>
        <w:spacing w:line="520" w:lineRule="exact"/>
        <w:jc w:val="center"/>
        <w:rPr>
          <w:rFonts w:eastAsia="仿宋"/>
          <w:b/>
          <w:color w:val="FF0000"/>
          <w:sz w:val="36"/>
        </w:rPr>
      </w:pPr>
    </w:p>
    <w:p>
      <w:pPr>
        <w:spacing w:line="520" w:lineRule="exact"/>
        <w:jc w:val="center"/>
        <w:rPr>
          <w:rFonts w:eastAsia="仿宋"/>
          <w:b/>
          <w:color w:val="FF0000"/>
          <w:sz w:val="36"/>
        </w:rPr>
      </w:pPr>
    </w:p>
    <w:p>
      <w:pPr>
        <w:spacing w:line="520" w:lineRule="exact"/>
        <w:jc w:val="center"/>
        <w:rPr>
          <w:rFonts w:eastAsia="仿宋"/>
          <w:b/>
          <w:sz w:val="36"/>
        </w:rPr>
      </w:pPr>
      <w:r>
        <w:rPr>
          <w:rFonts w:hAnsi="仿宋" w:eastAsia="仿宋"/>
          <w:b/>
          <w:sz w:val="36"/>
        </w:rPr>
        <w:t>目</w:t>
      </w:r>
      <w:r>
        <w:rPr>
          <w:rFonts w:eastAsia="仿宋"/>
          <w:b/>
          <w:sz w:val="36"/>
        </w:rPr>
        <w:t xml:space="preserve"> </w:t>
      </w:r>
      <w:r>
        <w:rPr>
          <w:rFonts w:hAnsi="仿宋" w:eastAsia="仿宋"/>
          <w:b/>
          <w:sz w:val="36"/>
        </w:rPr>
        <w:t>录</w:t>
      </w:r>
    </w:p>
    <w:p>
      <w:pPr>
        <w:spacing w:line="520" w:lineRule="exact"/>
        <w:jc w:val="center"/>
        <w:rPr>
          <w:rFonts w:eastAsia="仿宋"/>
          <w:b/>
          <w:color w:val="FF0000"/>
          <w:sz w:val="36"/>
        </w:rPr>
      </w:pPr>
    </w:p>
    <w:p>
      <w:pPr>
        <w:pStyle w:val="23"/>
        <w:tabs>
          <w:tab w:val="right" w:leader="dot" w:pos="8778"/>
        </w:tabs>
        <w:rPr>
          <w:rFonts w:asciiTheme="minorHAnsi" w:hAnsiTheme="minorHAnsi" w:eastAsiaTheme="minorEastAsia" w:cstheme="minorBidi"/>
          <w:szCs w:val="22"/>
        </w:rPr>
      </w:pPr>
      <w:r>
        <w:rPr>
          <w:rFonts w:eastAsia="仿宋"/>
          <w:color w:val="FF0000"/>
          <w:sz w:val="24"/>
        </w:rPr>
        <w:fldChar w:fldCharType="begin"/>
      </w:r>
      <w:r>
        <w:rPr>
          <w:rFonts w:eastAsia="仿宋"/>
          <w:color w:val="FF0000"/>
          <w:sz w:val="24"/>
        </w:rPr>
        <w:instrText xml:space="preserve"> TOC \o "1-3" \h \z \u </w:instrText>
      </w:r>
      <w:r>
        <w:rPr>
          <w:rFonts w:eastAsia="仿宋"/>
          <w:color w:val="FF0000"/>
          <w:sz w:val="24"/>
        </w:rPr>
        <w:fldChar w:fldCharType="separate"/>
      </w:r>
      <w:r>
        <w:fldChar w:fldCharType="begin"/>
      </w:r>
      <w:r>
        <w:instrText xml:space="preserve"> HYPERLINK \l "_Toc529777391" </w:instrText>
      </w:r>
      <w:r>
        <w:fldChar w:fldCharType="separate"/>
      </w:r>
      <w:r>
        <w:rPr>
          <w:rStyle w:val="41"/>
          <w:rFonts w:hint="eastAsia" w:hAnsi="仿宋" w:eastAsia="仿宋"/>
        </w:rPr>
        <w:t>注册房地产估价师声明</w:t>
      </w:r>
      <w:r>
        <w:tab/>
      </w:r>
      <w:r>
        <w:fldChar w:fldCharType="begin"/>
      </w:r>
      <w:r>
        <w:instrText xml:space="preserve"> PAGEREF _Toc529777391 \h </w:instrText>
      </w:r>
      <w:r>
        <w:fldChar w:fldCharType="separate"/>
      </w:r>
      <w:r>
        <w:t>1</w:t>
      </w:r>
      <w:r>
        <w:fldChar w:fldCharType="end"/>
      </w:r>
      <w:r>
        <w:fldChar w:fldCharType="end"/>
      </w:r>
    </w:p>
    <w:p>
      <w:pPr>
        <w:pStyle w:val="23"/>
        <w:tabs>
          <w:tab w:val="right" w:leader="dot" w:pos="8778"/>
        </w:tabs>
        <w:rPr>
          <w:rFonts w:asciiTheme="minorHAnsi" w:hAnsiTheme="minorHAnsi" w:eastAsiaTheme="minorEastAsia" w:cstheme="minorBidi"/>
          <w:szCs w:val="22"/>
        </w:rPr>
      </w:pPr>
      <w:r>
        <w:fldChar w:fldCharType="begin"/>
      </w:r>
      <w:r>
        <w:instrText xml:space="preserve"> HYPERLINK \l "_Toc529777392" </w:instrText>
      </w:r>
      <w:r>
        <w:fldChar w:fldCharType="separate"/>
      </w:r>
      <w:r>
        <w:rPr>
          <w:rStyle w:val="41"/>
          <w:rFonts w:hint="eastAsia" w:hAnsi="仿宋" w:eastAsia="仿宋"/>
        </w:rPr>
        <w:t>估价的假设和限制条件</w:t>
      </w:r>
      <w:r>
        <w:tab/>
      </w:r>
      <w:r>
        <w:fldChar w:fldCharType="begin"/>
      </w:r>
      <w:r>
        <w:instrText xml:space="preserve"> PAGEREF _Toc529777392 \h </w:instrText>
      </w:r>
      <w:r>
        <w:fldChar w:fldCharType="separate"/>
      </w:r>
      <w:r>
        <w:t>2</w:t>
      </w:r>
      <w:r>
        <w:fldChar w:fldCharType="end"/>
      </w:r>
      <w:r>
        <w:fldChar w:fldCharType="end"/>
      </w:r>
    </w:p>
    <w:p>
      <w:pPr>
        <w:pStyle w:val="23"/>
        <w:tabs>
          <w:tab w:val="right" w:leader="dot" w:pos="8778"/>
        </w:tabs>
        <w:rPr>
          <w:rFonts w:asciiTheme="minorHAnsi" w:hAnsiTheme="minorHAnsi" w:eastAsiaTheme="minorEastAsia" w:cstheme="minorBidi"/>
          <w:szCs w:val="22"/>
        </w:rPr>
      </w:pPr>
      <w:r>
        <w:fldChar w:fldCharType="begin"/>
      </w:r>
      <w:r>
        <w:instrText xml:space="preserve"> HYPERLINK \l "_Toc529777393" </w:instrText>
      </w:r>
      <w:r>
        <w:fldChar w:fldCharType="separate"/>
      </w:r>
      <w:r>
        <w:rPr>
          <w:rStyle w:val="41"/>
          <w:rFonts w:hint="eastAsia" w:hAnsi="仿宋" w:eastAsia="仿宋"/>
        </w:rPr>
        <w:t>房地产估价结果报告</w:t>
      </w:r>
      <w:r>
        <w:tab/>
      </w:r>
      <w:r>
        <w:fldChar w:fldCharType="begin"/>
      </w:r>
      <w:r>
        <w:instrText xml:space="preserve"> PAGEREF _Toc529777393 \h </w:instrText>
      </w:r>
      <w:r>
        <w:fldChar w:fldCharType="separate"/>
      </w:r>
      <w:r>
        <w:t>5</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"_Toc529777394" </w:instrText>
      </w:r>
      <w:r>
        <w:fldChar w:fldCharType="separate"/>
      </w:r>
      <w:r>
        <w:rPr>
          <w:rStyle w:val="41"/>
          <w:rFonts w:hint="eastAsia" w:hAnsi="仿宋" w:eastAsia="仿宋"/>
        </w:rPr>
        <w:t>一、估价委托人</w:t>
      </w:r>
      <w:r>
        <w:tab/>
      </w:r>
      <w:r>
        <w:fldChar w:fldCharType="begin"/>
      </w:r>
      <w:r>
        <w:instrText xml:space="preserve"> PAGEREF _Toc529777394 \h </w:instrText>
      </w:r>
      <w:r>
        <w:fldChar w:fldCharType="separate"/>
      </w:r>
      <w:r>
        <w:t>5</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"_Toc529777395" </w:instrText>
      </w:r>
      <w:r>
        <w:fldChar w:fldCharType="separate"/>
      </w:r>
      <w:r>
        <w:rPr>
          <w:rStyle w:val="41"/>
          <w:rFonts w:hint="eastAsia" w:hAnsi="仿宋" w:eastAsia="仿宋"/>
        </w:rPr>
        <w:t>二、估价机构</w:t>
      </w:r>
      <w:r>
        <w:tab/>
      </w:r>
      <w:r>
        <w:fldChar w:fldCharType="begin"/>
      </w:r>
      <w:r>
        <w:instrText xml:space="preserve"> PAGEREF _Toc529777395 \h </w:instrText>
      </w:r>
      <w:r>
        <w:fldChar w:fldCharType="separate"/>
      </w:r>
      <w:r>
        <w:t>5</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"_Toc529777396" </w:instrText>
      </w:r>
      <w:r>
        <w:fldChar w:fldCharType="separate"/>
      </w:r>
      <w:r>
        <w:rPr>
          <w:rStyle w:val="41"/>
          <w:rFonts w:hint="eastAsia" w:hAnsi="仿宋" w:eastAsia="仿宋"/>
        </w:rPr>
        <w:t>三、估价目的</w:t>
      </w:r>
      <w:r>
        <w:tab/>
      </w:r>
      <w:r>
        <w:fldChar w:fldCharType="begin"/>
      </w:r>
      <w:r>
        <w:instrText xml:space="preserve"> PAGEREF _Toc529777396 \h </w:instrText>
      </w:r>
      <w:r>
        <w:fldChar w:fldCharType="separate"/>
      </w:r>
      <w:r>
        <w:t>5</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"_Toc529777397" </w:instrText>
      </w:r>
      <w:r>
        <w:fldChar w:fldCharType="separate"/>
      </w:r>
      <w:r>
        <w:rPr>
          <w:rStyle w:val="41"/>
          <w:rFonts w:hint="eastAsia" w:hAnsi="仿宋" w:eastAsia="仿宋"/>
        </w:rPr>
        <w:t>四、估价对象</w:t>
      </w:r>
      <w:r>
        <w:tab/>
      </w:r>
      <w:r>
        <w:fldChar w:fldCharType="begin"/>
      </w:r>
      <w:r>
        <w:instrText xml:space="preserve"> PAGEREF _Toc529777397 \h </w:instrText>
      </w:r>
      <w:r>
        <w:fldChar w:fldCharType="separate"/>
      </w:r>
      <w:r>
        <w:t>5</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"_Toc529777398" </w:instrText>
      </w:r>
      <w:r>
        <w:fldChar w:fldCharType="separate"/>
      </w:r>
      <w:r>
        <w:rPr>
          <w:rStyle w:val="41"/>
          <w:rFonts w:hint="eastAsia" w:hAnsi="仿宋" w:eastAsia="仿宋"/>
        </w:rPr>
        <w:t>五、价值时点</w:t>
      </w:r>
      <w:r>
        <w:tab/>
      </w:r>
      <w:r>
        <w:fldChar w:fldCharType="begin"/>
      </w:r>
      <w:r>
        <w:instrText xml:space="preserve"> PAGEREF _Toc529777398 \h </w:instrText>
      </w:r>
      <w:r>
        <w:fldChar w:fldCharType="separate"/>
      </w:r>
      <w:r>
        <w:t>8</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"_Toc529777399" </w:instrText>
      </w:r>
      <w:r>
        <w:fldChar w:fldCharType="separate"/>
      </w:r>
      <w:r>
        <w:rPr>
          <w:rStyle w:val="41"/>
          <w:rFonts w:hint="eastAsia" w:hAnsi="仿宋" w:eastAsia="仿宋"/>
        </w:rPr>
        <w:t>六、价值类型</w:t>
      </w:r>
      <w:r>
        <w:tab/>
      </w:r>
      <w:r>
        <w:fldChar w:fldCharType="begin"/>
      </w:r>
      <w:r>
        <w:instrText xml:space="preserve"> PAGEREF _Toc529777399 \h </w:instrText>
      </w:r>
      <w:r>
        <w:fldChar w:fldCharType="separate"/>
      </w:r>
      <w:r>
        <w:t>8</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"_Toc529777400" </w:instrText>
      </w:r>
      <w:r>
        <w:fldChar w:fldCharType="separate"/>
      </w:r>
      <w:r>
        <w:rPr>
          <w:rStyle w:val="41"/>
          <w:rFonts w:hint="eastAsia" w:hAnsi="仿宋" w:eastAsia="仿宋"/>
        </w:rPr>
        <w:t>七、估价原则</w:t>
      </w:r>
      <w:r>
        <w:tab/>
      </w:r>
      <w:r>
        <w:fldChar w:fldCharType="begin"/>
      </w:r>
      <w:r>
        <w:instrText xml:space="preserve"> PAGEREF _Toc529777400 \h </w:instrText>
      </w:r>
      <w:r>
        <w:fldChar w:fldCharType="separate"/>
      </w:r>
      <w:r>
        <w:t>9</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"_Toc529777401" </w:instrText>
      </w:r>
      <w:r>
        <w:fldChar w:fldCharType="separate"/>
      </w:r>
      <w:r>
        <w:rPr>
          <w:rStyle w:val="41"/>
          <w:rFonts w:hint="eastAsia" w:hAnsi="仿宋" w:eastAsia="仿宋"/>
        </w:rPr>
        <w:t>八、估价依据</w:t>
      </w:r>
      <w:r>
        <w:tab/>
      </w:r>
      <w:r>
        <w:fldChar w:fldCharType="begin"/>
      </w:r>
      <w:r>
        <w:instrText xml:space="preserve"> PAGEREF _Toc529777401 \h </w:instrText>
      </w:r>
      <w:r>
        <w:fldChar w:fldCharType="separate"/>
      </w:r>
      <w:r>
        <w:t>9</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"_Toc529777402" </w:instrText>
      </w:r>
      <w:r>
        <w:fldChar w:fldCharType="separate"/>
      </w:r>
      <w:r>
        <w:rPr>
          <w:rStyle w:val="41"/>
          <w:rFonts w:hint="eastAsia" w:hAnsi="仿宋" w:eastAsia="仿宋"/>
        </w:rPr>
        <w:t>九、估价方法</w:t>
      </w:r>
      <w:r>
        <w:tab/>
      </w:r>
      <w:r>
        <w:fldChar w:fldCharType="begin"/>
      </w:r>
      <w:r>
        <w:instrText xml:space="preserve"> PAGEREF _Toc529777402 \h </w:instrText>
      </w:r>
      <w:r>
        <w:fldChar w:fldCharType="separate"/>
      </w:r>
      <w:r>
        <w:t>11</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"_Toc529777403" </w:instrText>
      </w:r>
      <w:r>
        <w:fldChar w:fldCharType="separate"/>
      </w:r>
      <w:r>
        <w:rPr>
          <w:rStyle w:val="41"/>
          <w:rFonts w:hint="eastAsia" w:hAnsi="仿宋" w:eastAsia="仿宋"/>
        </w:rPr>
        <w:t>十、估价结果</w:t>
      </w:r>
      <w:r>
        <w:tab/>
      </w:r>
      <w:r>
        <w:fldChar w:fldCharType="begin"/>
      </w:r>
      <w:r>
        <w:instrText xml:space="preserve"> PAGEREF _Toc529777403 \h </w:instrText>
      </w:r>
      <w:r>
        <w:fldChar w:fldCharType="separate"/>
      </w:r>
      <w:r>
        <w:t>13</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"_Toc529777404" </w:instrText>
      </w:r>
      <w:r>
        <w:fldChar w:fldCharType="separate"/>
      </w:r>
      <w:r>
        <w:rPr>
          <w:rStyle w:val="41"/>
          <w:rFonts w:hint="eastAsia" w:hAnsi="仿宋" w:eastAsia="仿宋"/>
        </w:rPr>
        <w:t>十一、注册房地产估价师</w:t>
      </w:r>
      <w:r>
        <w:tab/>
      </w:r>
      <w:r>
        <w:fldChar w:fldCharType="begin"/>
      </w:r>
      <w:r>
        <w:instrText xml:space="preserve"> PAGEREF _Toc529777404 \h </w:instrText>
      </w:r>
      <w:r>
        <w:fldChar w:fldCharType="separate"/>
      </w:r>
      <w:r>
        <w:t>13</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"_Toc529777405" </w:instrText>
      </w:r>
      <w:r>
        <w:fldChar w:fldCharType="separate"/>
      </w:r>
      <w:r>
        <w:rPr>
          <w:rStyle w:val="41"/>
          <w:rFonts w:hint="eastAsia" w:hAnsi="仿宋" w:eastAsia="仿宋"/>
        </w:rPr>
        <w:t>十二、实地查勘期</w:t>
      </w:r>
      <w:r>
        <w:tab/>
      </w:r>
      <w:r>
        <w:fldChar w:fldCharType="begin"/>
      </w:r>
      <w:r>
        <w:instrText xml:space="preserve"> PAGEREF _Toc529777405 \h </w:instrText>
      </w:r>
      <w:r>
        <w:fldChar w:fldCharType="separate"/>
      </w:r>
      <w:r>
        <w:t>13</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"_Toc529777406" </w:instrText>
      </w:r>
      <w:r>
        <w:fldChar w:fldCharType="separate"/>
      </w:r>
      <w:r>
        <w:rPr>
          <w:rStyle w:val="41"/>
          <w:rFonts w:hint="eastAsia" w:hAnsi="仿宋" w:eastAsia="仿宋"/>
        </w:rPr>
        <w:t>十三、估价作业日期</w:t>
      </w:r>
      <w:r>
        <w:tab/>
      </w:r>
      <w:r>
        <w:fldChar w:fldCharType="begin"/>
      </w:r>
      <w:r>
        <w:instrText xml:space="preserve"> PAGEREF _Toc529777406 \h </w:instrText>
      </w:r>
      <w:r>
        <w:fldChar w:fldCharType="separate"/>
      </w:r>
      <w:r>
        <w:t>13</w:t>
      </w:r>
      <w:r>
        <w:fldChar w:fldCharType="end"/>
      </w:r>
      <w:r>
        <w:fldChar w:fldCharType="end"/>
      </w:r>
    </w:p>
    <w:p>
      <w:pPr>
        <w:pStyle w:val="23"/>
        <w:tabs>
          <w:tab w:val="right" w:leader="dot" w:pos="8778"/>
        </w:tabs>
        <w:rPr>
          <w:rFonts w:asciiTheme="minorHAnsi" w:hAnsiTheme="minorHAnsi" w:eastAsiaTheme="minorEastAsia" w:cstheme="minorBidi"/>
          <w:szCs w:val="22"/>
        </w:rPr>
      </w:pPr>
      <w:r>
        <w:fldChar w:fldCharType="begin"/>
      </w:r>
      <w:r>
        <w:instrText xml:space="preserve"> HYPERLINK \l "_Toc529777407" </w:instrText>
      </w:r>
      <w:r>
        <w:fldChar w:fldCharType="separate"/>
      </w:r>
      <w:r>
        <w:rPr>
          <w:rStyle w:val="41"/>
          <w:rFonts w:hint="eastAsia" w:hAnsi="仿宋" w:eastAsia="仿宋"/>
        </w:rPr>
        <w:t>附</w:t>
      </w:r>
      <w:r>
        <w:rPr>
          <w:rStyle w:val="41"/>
          <w:rFonts w:eastAsia="仿宋"/>
        </w:rPr>
        <w:t xml:space="preserve"> </w:t>
      </w:r>
      <w:r>
        <w:rPr>
          <w:rStyle w:val="41"/>
          <w:rFonts w:hint="eastAsia" w:hAnsi="仿宋" w:eastAsia="仿宋"/>
        </w:rPr>
        <w:t>件</w:t>
      </w:r>
      <w:r>
        <w:tab/>
      </w:r>
      <w:r>
        <w:fldChar w:fldCharType="begin"/>
      </w:r>
      <w:r>
        <w:instrText xml:space="preserve"> PAGEREF _Toc529777407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"_Toc529777408" </w:instrText>
      </w:r>
      <w:r>
        <w:fldChar w:fldCharType="separate"/>
      </w:r>
      <w:r>
        <w:rPr>
          <w:rStyle w:val="41"/>
          <w:rFonts w:eastAsia="仿宋"/>
          <w:spacing w:val="-6"/>
        </w:rPr>
        <w:t>1.</w:t>
      </w:r>
      <w:r>
        <w:rPr>
          <w:rFonts w:asciiTheme="minorHAnsi" w:hAnsiTheme="minorHAnsi" w:eastAsiaTheme="minorEastAsia" w:cstheme="minorBidi"/>
          <w:szCs w:val="22"/>
        </w:rPr>
        <w:tab/>
      </w:r>
      <w:r>
        <w:rPr>
          <w:rStyle w:val="41"/>
          <w:rFonts w:eastAsia="仿宋"/>
          <w:spacing w:val="-6"/>
        </w:rPr>
        <w:t>“</w:t>
      </w:r>
      <w:r>
        <w:rPr>
          <w:rStyle w:val="41"/>
          <w:rFonts w:hint="eastAsia" w:hAnsi="仿宋" w:eastAsia="仿宋"/>
          <w:spacing w:val="-6"/>
        </w:rPr>
        <w:t>南京市建邺区人民法院鉴定委托函</w:t>
      </w:r>
      <w:r>
        <w:rPr>
          <w:rStyle w:val="41"/>
          <w:rFonts w:eastAsia="仿宋"/>
          <w:spacing w:val="-6"/>
        </w:rPr>
        <w:t>”</w:t>
      </w:r>
      <w:r>
        <w:rPr>
          <w:rStyle w:val="41"/>
          <w:rFonts w:hint="eastAsia" w:hAnsi="仿宋" w:eastAsia="仿宋"/>
          <w:spacing w:val="-6"/>
        </w:rPr>
        <w:t>复印件</w:t>
      </w:r>
      <w:r>
        <w:tab/>
      </w:r>
      <w:r>
        <w:fldChar w:fldCharType="begin"/>
      </w:r>
      <w:r>
        <w:instrText xml:space="preserve"> PAGEREF _Toc529777408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"_Toc529777409" </w:instrText>
      </w:r>
      <w:r>
        <w:fldChar w:fldCharType="separate"/>
      </w:r>
      <w:r>
        <w:rPr>
          <w:rStyle w:val="41"/>
          <w:rFonts w:eastAsia="仿宋"/>
        </w:rPr>
        <w:t>2.</w:t>
      </w:r>
      <w:r>
        <w:rPr>
          <w:rFonts w:asciiTheme="minorHAnsi" w:hAnsiTheme="minorHAnsi" w:eastAsiaTheme="minorEastAsia" w:cstheme="minorBidi"/>
          <w:szCs w:val="22"/>
        </w:rPr>
        <w:tab/>
      </w:r>
      <w:r>
        <w:rPr>
          <w:rStyle w:val="41"/>
          <w:rFonts w:hint="eastAsia" w:hAnsi="仿宋" w:eastAsia="仿宋"/>
        </w:rPr>
        <w:t>《上海市不动产登记簿》复印件</w:t>
      </w:r>
      <w:r>
        <w:tab/>
      </w:r>
      <w:r>
        <w:fldChar w:fldCharType="begin"/>
      </w:r>
      <w:r>
        <w:instrText xml:space="preserve"> PAGEREF _Toc529777409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"_Toc529777410" </w:instrText>
      </w:r>
      <w:r>
        <w:fldChar w:fldCharType="separate"/>
      </w:r>
      <w:r>
        <w:rPr>
          <w:rStyle w:val="41"/>
          <w:rFonts w:eastAsia="仿宋"/>
        </w:rPr>
        <w:t>3.</w:t>
      </w:r>
      <w:r>
        <w:rPr>
          <w:rFonts w:asciiTheme="minorHAnsi" w:hAnsiTheme="minorHAnsi" w:eastAsiaTheme="minorEastAsia" w:cstheme="minorBidi"/>
          <w:szCs w:val="22"/>
        </w:rPr>
        <w:tab/>
      </w:r>
      <w:r>
        <w:rPr>
          <w:rStyle w:val="41"/>
          <w:rFonts w:hint="eastAsia" w:hAnsi="仿宋" w:eastAsia="仿宋"/>
        </w:rPr>
        <w:t>估价对象现状照片</w:t>
      </w:r>
      <w:r>
        <w:tab/>
      </w:r>
      <w:r>
        <w:fldChar w:fldCharType="begin"/>
      </w:r>
      <w:r>
        <w:instrText xml:space="preserve"> PAGEREF _Toc529777410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"_Toc529777411" </w:instrText>
      </w:r>
      <w:r>
        <w:fldChar w:fldCharType="separate"/>
      </w:r>
      <w:r>
        <w:rPr>
          <w:rStyle w:val="41"/>
          <w:rFonts w:eastAsia="仿宋"/>
        </w:rPr>
        <w:t>4.</w:t>
      </w:r>
      <w:r>
        <w:rPr>
          <w:rFonts w:asciiTheme="minorHAnsi" w:hAnsiTheme="minorHAnsi" w:eastAsiaTheme="minorEastAsia" w:cstheme="minorBidi"/>
          <w:szCs w:val="22"/>
        </w:rPr>
        <w:tab/>
      </w:r>
      <w:r>
        <w:rPr>
          <w:rStyle w:val="41"/>
          <w:rFonts w:hint="eastAsia" w:hAnsi="仿宋" w:eastAsia="仿宋"/>
        </w:rPr>
        <w:t>估价对象位置图</w:t>
      </w:r>
      <w:r>
        <w:tab/>
      </w:r>
      <w:r>
        <w:fldChar w:fldCharType="begin"/>
      </w:r>
      <w:r>
        <w:instrText xml:space="preserve"> PAGEREF _Toc529777411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"_Toc529777412" </w:instrText>
      </w:r>
      <w:r>
        <w:fldChar w:fldCharType="separate"/>
      </w:r>
      <w:r>
        <w:rPr>
          <w:rStyle w:val="41"/>
          <w:rFonts w:eastAsia="仿宋"/>
        </w:rPr>
        <w:t>5.</w:t>
      </w:r>
      <w:r>
        <w:rPr>
          <w:rFonts w:asciiTheme="minorHAnsi" w:hAnsiTheme="minorHAnsi" w:eastAsiaTheme="minorEastAsia" w:cstheme="minorBidi"/>
          <w:szCs w:val="22"/>
        </w:rPr>
        <w:tab/>
      </w:r>
      <w:r>
        <w:rPr>
          <w:rStyle w:val="41"/>
          <w:rFonts w:hint="eastAsia" w:hAnsi="仿宋" w:eastAsia="仿宋"/>
          <w:bCs/>
          <w:smallCaps/>
        </w:rPr>
        <w:t>房地产估价机构营业执照复印件</w:t>
      </w:r>
      <w:r>
        <w:tab/>
      </w:r>
      <w:r>
        <w:fldChar w:fldCharType="begin"/>
      </w:r>
      <w:r>
        <w:instrText xml:space="preserve"> PAGEREF _Toc529777412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"_Toc529777413" </w:instrText>
      </w:r>
      <w:r>
        <w:fldChar w:fldCharType="separate"/>
      </w:r>
      <w:r>
        <w:rPr>
          <w:rStyle w:val="41"/>
          <w:rFonts w:eastAsia="仿宋"/>
          <w:bCs/>
          <w:smallCaps/>
        </w:rPr>
        <w:t>6.</w:t>
      </w:r>
      <w:r>
        <w:rPr>
          <w:rFonts w:asciiTheme="minorHAnsi" w:hAnsiTheme="minorHAnsi" w:eastAsiaTheme="minorEastAsia" w:cstheme="minorBidi"/>
          <w:szCs w:val="22"/>
        </w:rPr>
        <w:tab/>
      </w:r>
      <w:r>
        <w:rPr>
          <w:rStyle w:val="41"/>
          <w:rFonts w:hint="eastAsia" w:hAnsi="仿宋" w:eastAsia="仿宋"/>
          <w:bCs/>
          <w:smallCaps/>
        </w:rPr>
        <w:t>房地产</w:t>
      </w:r>
      <w:r>
        <w:rPr>
          <w:rStyle w:val="41"/>
          <w:rFonts w:hint="eastAsia" w:hAnsi="仿宋" w:eastAsia="仿宋"/>
        </w:rPr>
        <w:t>估价机构资质证书复印件</w:t>
      </w:r>
      <w:r>
        <w:tab/>
      </w:r>
      <w:r>
        <w:fldChar w:fldCharType="begin"/>
      </w:r>
      <w:r>
        <w:instrText xml:space="preserve"> PAGEREF _Toc529777413 \h </w:instrText>
      </w:r>
      <w:r>
        <w:fldChar w:fldCharType="separate"/>
      </w:r>
      <w:r>
        <w:t>14</w:t>
      </w:r>
      <w:r>
        <w:fldChar w:fldCharType="end"/>
      </w:r>
      <w:r>
        <w:fldChar w:fldCharType="end"/>
      </w:r>
    </w:p>
    <w:p>
      <w:pPr>
        <w:pStyle w:val="23"/>
        <w:tabs>
          <w:tab w:val="left" w:pos="420"/>
          <w:tab w:val="right" w:leader="dot" w:pos="8778"/>
        </w:tabs>
        <w:rPr>
          <w:rFonts w:asciiTheme="minorHAnsi" w:hAnsiTheme="minorHAnsi" w:eastAsiaTheme="minorEastAsia" w:cstheme="minorBidi"/>
          <w:szCs w:val="22"/>
        </w:rPr>
      </w:pPr>
      <w:r>
        <w:fldChar w:fldCharType="begin"/>
      </w:r>
      <w:r>
        <w:instrText xml:space="preserve"> HYPERLINK \l "_Toc529777414" </w:instrText>
      </w:r>
      <w:r>
        <w:fldChar w:fldCharType="separate"/>
      </w:r>
      <w:r>
        <w:rPr>
          <w:rStyle w:val="41"/>
          <w:rFonts w:eastAsia="仿宋"/>
        </w:rPr>
        <w:t>7.</w:t>
      </w:r>
      <w:r>
        <w:rPr>
          <w:rFonts w:asciiTheme="minorHAnsi" w:hAnsiTheme="minorHAnsi" w:eastAsiaTheme="minorEastAsia" w:cstheme="minorBidi"/>
          <w:szCs w:val="22"/>
        </w:rPr>
        <w:tab/>
      </w:r>
      <w:r>
        <w:rPr>
          <w:rStyle w:val="41"/>
          <w:rFonts w:hint="eastAsia" w:hAnsi="仿宋" w:eastAsia="仿宋"/>
        </w:rPr>
        <w:t>注册房地产估价师资格证书复印件</w:t>
      </w:r>
      <w:r>
        <w:tab/>
      </w:r>
      <w:r>
        <w:fldChar w:fldCharType="begin"/>
      </w:r>
      <w:r>
        <w:instrText xml:space="preserve"> PAGEREF _Toc529777414 \h </w:instrText>
      </w:r>
      <w:r>
        <w:fldChar w:fldCharType="separate"/>
      </w:r>
      <w:r>
        <w:t>14</w:t>
      </w:r>
      <w:r>
        <w:fldChar w:fldCharType="end"/>
      </w:r>
      <w:r>
        <w:fldChar w:fldCharType="end"/>
      </w:r>
    </w:p>
    <w:p>
      <w:pPr>
        <w:pStyle w:val="27"/>
        <w:tabs>
          <w:tab w:val="right" w:leader="dot" w:pos="8778"/>
        </w:tabs>
        <w:rPr>
          <w:rFonts w:asciiTheme="minorHAnsi" w:hAnsiTheme="minorHAnsi" w:eastAsiaTheme="minorEastAsia" w:cstheme="minorBidi"/>
          <w:szCs w:val="22"/>
        </w:rPr>
      </w:pPr>
      <w:r>
        <w:fldChar w:fldCharType="begin"/>
      </w:r>
      <w:r>
        <w:instrText xml:space="preserve"> HYPERLINK \l "_Toc529777419" </w:instrText>
      </w:r>
      <w:r>
        <w:fldChar w:fldCharType="separate"/>
      </w:r>
      <w:r>
        <w:fldChar w:fldCharType="end"/>
      </w:r>
    </w:p>
    <w:p>
      <w:pPr>
        <w:spacing w:line="480" w:lineRule="exact"/>
        <w:ind w:firstLine="720" w:firstLineChars="300"/>
        <w:rPr>
          <w:rFonts w:eastAsia="仿宋"/>
          <w:color w:val="FF0000"/>
          <w:sz w:val="24"/>
        </w:rPr>
      </w:pPr>
      <w:r>
        <w:rPr>
          <w:rFonts w:eastAsia="仿宋"/>
          <w:color w:val="FF0000"/>
          <w:sz w:val="24"/>
        </w:rPr>
        <w:fldChar w:fldCharType="end"/>
      </w:r>
    </w:p>
    <w:p>
      <w:pPr>
        <w:spacing w:line="520" w:lineRule="exact"/>
        <w:ind w:firstLine="723" w:firstLineChars="300"/>
        <w:rPr>
          <w:rFonts w:eastAsia="仿宋"/>
          <w:b/>
          <w:bCs/>
          <w:color w:val="FF0000"/>
          <w:sz w:val="24"/>
        </w:rPr>
      </w:pPr>
    </w:p>
    <w:p>
      <w:pPr>
        <w:pStyle w:val="2"/>
        <w:rPr>
          <w:rFonts w:eastAsia="仿宋"/>
          <w:color w:val="FF0000"/>
        </w:rPr>
        <w:sectPr>
          <w:footerReference r:id="rId6" w:type="default"/>
          <w:pgSz w:w="11907" w:h="16840"/>
          <w:pgMar w:top="1418" w:right="1701" w:bottom="1418" w:left="1418" w:header="851" w:footer="851" w:gutter="0"/>
          <w:pgNumType w:fmt="upperRoman" w:start="1"/>
          <w:cols w:space="720" w:num="1"/>
          <w:docGrid w:linePitch="286" w:charSpace="0"/>
        </w:sectPr>
      </w:pPr>
    </w:p>
    <w:p>
      <w:pPr>
        <w:pStyle w:val="2"/>
        <w:rPr>
          <w:rFonts w:eastAsia="仿宋"/>
          <w:color w:val="FF0000"/>
        </w:rPr>
      </w:pPr>
    </w:p>
    <w:p>
      <w:pPr>
        <w:pStyle w:val="2"/>
        <w:rPr>
          <w:rFonts w:eastAsia="仿宋"/>
        </w:rPr>
      </w:pPr>
      <w:bookmarkStart w:id="1" w:name="_Toc529777391"/>
      <w:r>
        <w:rPr>
          <w:rFonts w:hAnsi="仿宋" w:eastAsia="仿宋"/>
        </w:rPr>
        <w:t>注册房地产估价师声明</w:t>
      </w:r>
      <w:bookmarkEnd w:id="0"/>
      <w:bookmarkEnd w:id="1"/>
    </w:p>
    <w:p>
      <w:pPr>
        <w:pStyle w:val="16"/>
        <w:tabs>
          <w:tab w:val="left" w:pos="1554"/>
        </w:tabs>
        <w:spacing w:line="460" w:lineRule="exact"/>
        <w:rPr>
          <w:rFonts w:ascii="Times New Roman" w:hAnsi="Times New Roman" w:eastAsia="仿宋"/>
          <w:bCs/>
          <w:sz w:val="28"/>
        </w:rPr>
      </w:pPr>
      <w:r>
        <w:rPr>
          <w:rFonts w:ascii="Times New Roman" w:hAnsi="仿宋" w:eastAsia="仿宋"/>
          <w:bCs/>
          <w:sz w:val="28"/>
        </w:rPr>
        <w:t>我们郑重声明：</w:t>
      </w:r>
    </w:p>
    <w:p>
      <w:pPr>
        <w:pStyle w:val="16"/>
        <w:tabs>
          <w:tab w:val="left" w:pos="1554"/>
        </w:tabs>
        <w:spacing w:line="460" w:lineRule="exact"/>
        <w:ind w:firstLine="560" w:firstLineChars="200"/>
        <w:rPr>
          <w:rFonts w:ascii="Times New Roman" w:hAnsi="Times New Roman" w:eastAsia="仿宋"/>
          <w:sz w:val="28"/>
        </w:rPr>
      </w:pPr>
      <w:r>
        <w:rPr>
          <w:rFonts w:ascii="Times New Roman" w:hAnsi="Times New Roman" w:eastAsia="仿宋"/>
          <w:sz w:val="28"/>
        </w:rPr>
        <w:t>1.</w:t>
      </w:r>
      <w:r>
        <w:rPr>
          <w:rFonts w:ascii="Times New Roman" w:hAnsi="仿宋" w:eastAsia="仿宋"/>
          <w:sz w:val="28"/>
        </w:rPr>
        <w:t>我们在本估价报告中对事实的说明是真实和准确的，没有虚假记载、误导性陈述和重大遗漏。</w:t>
      </w:r>
    </w:p>
    <w:p>
      <w:pPr>
        <w:pStyle w:val="16"/>
        <w:tabs>
          <w:tab w:val="left" w:pos="1554"/>
        </w:tabs>
        <w:spacing w:line="460" w:lineRule="exact"/>
        <w:ind w:firstLine="560" w:firstLineChars="200"/>
        <w:rPr>
          <w:rFonts w:ascii="Times New Roman" w:hAnsi="Times New Roman" w:eastAsia="仿宋"/>
          <w:sz w:val="28"/>
        </w:rPr>
      </w:pPr>
      <w:r>
        <w:rPr>
          <w:rFonts w:ascii="Times New Roman" w:hAnsi="Times New Roman" w:eastAsia="仿宋"/>
          <w:sz w:val="28"/>
        </w:rPr>
        <w:t>2.</w:t>
      </w:r>
      <w:r>
        <w:rPr>
          <w:rFonts w:ascii="Times New Roman" w:hAnsi="仿宋" w:eastAsia="仿宋"/>
          <w:sz w:val="28"/>
        </w:rPr>
        <w:t>本估价报告中的分析、意见和结论是我们独立、客观、公正的专业分析、意见和结论，但受本估价报告中已说明的估价假设和限制条件的限制。</w:t>
      </w:r>
    </w:p>
    <w:p>
      <w:pPr>
        <w:pStyle w:val="16"/>
        <w:tabs>
          <w:tab w:val="left" w:pos="1554"/>
        </w:tabs>
        <w:spacing w:line="460" w:lineRule="exact"/>
        <w:ind w:firstLine="560" w:firstLineChars="200"/>
        <w:rPr>
          <w:rFonts w:ascii="Times New Roman" w:hAnsi="Times New Roman" w:eastAsia="仿宋"/>
          <w:sz w:val="28"/>
        </w:rPr>
      </w:pPr>
      <w:r>
        <w:rPr>
          <w:rFonts w:ascii="Times New Roman" w:hAnsi="Times New Roman" w:eastAsia="仿宋"/>
          <w:sz w:val="28"/>
        </w:rPr>
        <w:t xml:space="preserve">3. </w:t>
      </w:r>
      <w:r>
        <w:rPr>
          <w:rFonts w:ascii="Times New Roman" w:hAnsi="仿宋" w:eastAsia="仿宋"/>
          <w:sz w:val="28"/>
        </w:rPr>
        <w:t>我们与本报告中的估价对象没有现实或潜在的利益，与估价委托人及估价利害关系人没有利害关系，也对估价对象、估价委托人及估价利害关系人没有偏见。</w:t>
      </w:r>
    </w:p>
    <w:p>
      <w:pPr>
        <w:pStyle w:val="16"/>
        <w:tabs>
          <w:tab w:val="left" w:pos="1554"/>
        </w:tabs>
        <w:spacing w:line="460" w:lineRule="exact"/>
        <w:ind w:firstLine="560" w:firstLineChars="200"/>
        <w:rPr>
          <w:rFonts w:ascii="Times New Roman" w:hAnsi="Times New Roman" w:eastAsia="仿宋"/>
          <w:sz w:val="28"/>
        </w:rPr>
      </w:pPr>
      <w:r>
        <w:rPr>
          <w:rFonts w:ascii="Times New Roman" w:hAnsi="Times New Roman" w:eastAsia="仿宋"/>
          <w:sz w:val="28"/>
        </w:rPr>
        <w:t xml:space="preserve">4. </w:t>
      </w:r>
      <w:r>
        <w:rPr>
          <w:rFonts w:ascii="Times New Roman" w:hAnsi="仿宋" w:eastAsia="仿宋"/>
          <w:sz w:val="28"/>
        </w:rPr>
        <w:t>我们是依照中华人民共和国国家标准</w:t>
      </w:r>
      <w:r>
        <w:rPr>
          <w:rFonts w:ascii="Times New Roman" w:hAnsi="Times New Roman" w:eastAsia="仿宋"/>
          <w:sz w:val="28"/>
        </w:rPr>
        <w:t>GB/T50291-2015</w:t>
      </w:r>
      <w:r>
        <w:rPr>
          <w:rFonts w:ascii="Times New Roman" w:hAnsi="仿宋" w:eastAsia="仿宋"/>
          <w:sz w:val="28"/>
        </w:rPr>
        <w:t>《房地产估价规范》的规定进行估价工作，对估价对象进行充分的调查分析，形成意见和结论，撰写本估价报告。</w:t>
      </w:r>
    </w:p>
    <w:p>
      <w:pPr>
        <w:pStyle w:val="16"/>
        <w:tabs>
          <w:tab w:val="left" w:pos="1554"/>
        </w:tabs>
        <w:spacing w:line="460" w:lineRule="exact"/>
        <w:ind w:firstLine="560" w:firstLineChars="200"/>
        <w:rPr>
          <w:rFonts w:ascii="Times New Roman" w:hAnsi="Times New Roman" w:eastAsia="仿宋"/>
          <w:sz w:val="28"/>
        </w:rPr>
      </w:pPr>
      <w:r>
        <w:rPr>
          <w:rFonts w:ascii="Times New Roman" w:hAnsi="Times New Roman" w:eastAsia="仿宋"/>
          <w:sz w:val="28"/>
        </w:rPr>
        <w:t>5.</w:t>
      </w:r>
      <w:r>
        <w:rPr>
          <w:rFonts w:ascii="Times New Roman" w:hAnsi="仿宋" w:eastAsia="仿宋"/>
          <w:sz w:val="28"/>
        </w:rPr>
        <w:t>参与本次估价项目的注册房地产估价师</w:t>
      </w:r>
      <w:r>
        <w:rPr>
          <w:rFonts w:hint="eastAsia" w:ascii="Times New Roman" w:hAnsi="仿宋" w:eastAsia="仿宋"/>
          <w:sz w:val="28"/>
        </w:rPr>
        <w:t>夏建国、徐张华</w:t>
      </w:r>
      <w:r>
        <w:rPr>
          <w:rFonts w:ascii="Times New Roman" w:hAnsi="仿宋" w:eastAsia="仿宋"/>
          <w:sz w:val="28"/>
        </w:rPr>
        <w:t>于</w:t>
      </w:r>
      <w:r>
        <w:rPr>
          <w:rFonts w:ascii="Times New Roman" w:hAnsi="Times New Roman" w:eastAsia="仿宋"/>
          <w:sz w:val="28"/>
        </w:rPr>
        <w:t>2018年11月02日</w:t>
      </w:r>
      <w:r>
        <w:rPr>
          <w:rFonts w:ascii="Times New Roman" w:hAnsi="仿宋" w:eastAsia="仿宋"/>
          <w:sz w:val="28"/>
        </w:rPr>
        <w:t>对本估价报告中的估价对象室内外状况进行了实地查勘并进行记录。</w:t>
      </w:r>
    </w:p>
    <w:p>
      <w:pPr>
        <w:pStyle w:val="16"/>
        <w:tabs>
          <w:tab w:val="left" w:pos="1554"/>
        </w:tabs>
        <w:spacing w:line="480" w:lineRule="exact"/>
        <w:ind w:firstLine="560" w:firstLineChars="200"/>
        <w:rPr>
          <w:rFonts w:ascii="Times New Roman" w:hAnsi="Times New Roman" w:eastAsia="仿宋"/>
          <w:sz w:val="28"/>
        </w:rPr>
      </w:pPr>
      <w:r>
        <w:rPr>
          <w:rFonts w:ascii="Times New Roman" w:hAnsi="Times New Roman" w:eastAsia="仿宋"/>
          <w:sz w:val="28"/>
        </w:rPr>
        <w:t>6. 我公司承诺参加估价的房地产估价师具有良好的职业道德水准，具备专业的胜任能力，勤勉尽责地完成估价任务</w:t>
      </w:r>
      <w:r>
        <w:rPr>
          <w:rFonts w:ascii="Times New Roman" w:hAnsi="仿宋" w:eastAsia="仿宋"/>
          <w:sz w:val="28"/>
        </w:rPr>
        <w:t>。</w:t>
      </w:r>
    </w:p>
    <w:p>
      <w:pPr>
        <w:pStyle w:val="16"/>
        <w:tabs>
          <w:tab w:val="left" w:pos="630"/>
          <w:tab w:val="left" w:pos="1554"/>
        </w:tabs>
        <w:spacing w:line="460" w:lineRule="exact"/>
        <w:ind w:firstLine="562" w:firstLineChars="200"/>
        <w:rPr>
          <w:rFonts w:ascii="Times New Roman" w:hAnsi="Times New Roman" w:eastAsia="仿宋"/>
          <w:b/>
          <w:sz w:val="28"/>
        </w:rPr>
        <w:sectPr>
          <w:footerReference r:id="rId10" w:type="first"/>
          <w:headerReference r:id="rId7" w:type="default"/>
          <w:footerReference r:id="rId8" w:type="default"/>
          <w:footerReference r:id="rId9" w:type="even"/>
          <w:pgSz w:w="11907" w:h="16840"/>
          <w:pgMar w:top="1247" w:right="1418" w:bottom="1134" w:left="1701" w:header="709" w:footer="567" w:gutter="0"/>
          <w:pgNumType w:start="1"/>
          <w:cols w:space="720" w:num="1"/>
          <w:titlePg/>
        </w:sectPr>
      </w:pPr>
    </w:p>
    <w:p>
      <w:pPr>
        <w:pStyle w:val="16"/>
        <w:spacing w:line="480" w:lineRule="exact"/>
        <w:ind w:firstLine="840" w:firstLineChars="300"/>
        <w:jc w:val="right"/>
        <w:rPr>
          <w:rFonts w:ascii="Times New Roman" w:hAnsi="Times New Roman" w:eastAsia="仿宋"/>
          <w:color w:val="FF0000"/>
          <w:sz w:val="28"/>
        </w:rPr>
      </w:pPr>
      <w:bookmarkStart w:id="2" w:name="_Toc258499030"/>
    </w:p>
    <w:p>
      <w:pPr>
        <w:pStyle w:val="2"/>
        <w:rPr>
          <w:rFonts w:eastAsia="仿宋"/>
        </w:rPr>
      </w:pPr>
      <w:bookmarkStart w:id="3" w:name="_Toc529777392"/>
      <w:r>
        <w:rPr>
          <w:rFonts w:hAnsi="仿宋" w:eastAsia="仿宋"/>
        </w:rPr>
        <w:t>估价的假设和限制条件</w:t>
      </w:r>
      <w:bookmarkEnd w:id="2"/>
      <w:bookmarkEnd w:id="3"/>
    </w:p>
    <w:p>
      <w:pPr>
        <w:spacing w:line="520" w:lineRule="exact"/>
        <w:ind w:firstLine="560" w:firstLineChars="200"/>
        <w:rPr>
          <w:rFonts w:eastAsia="仿宋"/>
          <w:sz w:val="28"/>
          <w:szCs w:val="28"/>
        </w:rPr>
      </w:pPr>
      <w:bookmarkStart w:id="4" w:name="_Toc258499031"/>
      <w:r>
        <w:rPr>
          <w:rFonts w:hAnsi="仿宋" w:eastAsia="仿宋"/>
          <w:sz w:val="28"/>
          <w:szCs w:val="28"/>
        </w:rPr>
        <w:t>本估价报告中的分析、意见和结论是我们自己公正的专业分析、意见和结论，但受以下及本估价报告中已说明的假设和限制条件的限制。</w:t>
      </w:r>
    </w:p>
    <w:p>
      <w:pPr>
        <w:spacing w:line="520" w:lineRule="exact"/>
        <w:rPr>
          <w:rFonts w:eastAsia="仿宋"/>
          <w:b/>
          <w:sz w:val="28"/>
          <w:szCs w:val="28"/>
        </w:rPr>
      </w:pPr>
      <w:r>
        <w:rPr>
          <w:rFonts w:hAnsi="仿宋" w:eastAsia="仿宋"/>
          <w:b/>
          <w:sz w:val="28"/>
          <w:szCs w:val="28"/>
        </w:rPr>
        <w:t>一、一般假设</w:t>
      </w:r>
    </w:p>
    <w:p>
      <w:pPr>
        <w:spacing w:line="520" w:lineRule="exact"/>
        <w:ind w:firstLine="560" w:firstLineChars="200"/>
        <w:rPr>
          <w:rFonts w:eastAsia="仿宋"/>
          <w:sz w:val="28"/>
          <w:szCs w:val="28"/>
        </w:rPr>
      </w:pPr>
      <w:r>
        <w:rPr>
          <w:rFonts w:eastAsia="仿宋"/>
          <w:sz w:val="28"/>
          <w:szCs w:val="28"/>
        </w:rPr>
        <w:t>1.</w:t>
      </w:r>
      <w:r>
        <w:rPr>
          <w:rFonts w:hAnsi="仿宋" w:eastAsia="仿宋"/>
          <w:sz w:val="28"/>
          <w:szCs w:val="28"/>
        </w:rPr>
        <w:t>本报告以委托人提供的房地产权属证书等资料真实合法有效，估价对象无司法机关、行政机关查封等禁止转让、抵押情形，房地产权属无纠纷，符合法定的转让条件等为假设前提，即以估价对象拥有合法产权、属于合法使用、可以在公开市场上自由转让等处分为假设前提。所谓公开市场价格是指评估对象于价值时点在市场公开出售并按以下条件进行交易最可能实现的价格</w:t>
      </w:r>
      <w:r>
        <w:rPr>
          <w:rFonts w:eastAsia="仿宋"/>
          <w:sz w:val="28"/>
          <w:szCs w:val="28"/>
        </w:rPr>
        <w:t>:</w:t>
      </w:r>
    </w:p>
    <w:p>
      <w:pPr>
        <w:spacing w:line="520" w:lineRule="exact"/>
        <w:ind w:firstLine="560" w:firstLineChars="200"/>
        <w:rPr>
          <w:rFonts w:eastAsia="仿宋"/>
          <w:sz w:val="28"/>
          <w:szCs w:val="28"/>
        </w:rPr>
      </w:pPr>
      <w:r>
        <w:rPr>
          <w:rFonts w:eastAsia="仿宋"/>
          <w:sz w:val="28"/>
          <w:szCs w:val="28"/>
        </w:rPr>
        <w:t>a.</w:t>
      </w:r>
      <w:r>
        <w:rPr>
          <w:rFonts w:hAnsi="仿宋" w:eastAsia="仿宋"/>
          <w:sz w:val="28"/>
          <w:szCs w:val="28"/>
        </w:rPr>
        <w:t>适当营销，即估价对象以适当的方式在市场上进行了展示，展示的时间可能随着市场状况而变化，但足以使估价对象引起一定数量的潜在买者的注意；</w:t>
      </w:r>
    </w:p>
    <w:p>
      <w:pPr>
        <w:spacing w:line="520" w:lineRule="exact"/>
        <w:ind w:firstLine="560" w:firstLineChars="200"/>
        <w:rPr>
          <w:rFonts w:eastAsia="仿宋"/>
          <w:sz w:val="28"/>
          <w:szCs w:val="28"/>
        </w:rPr>
      </w:pPr>
      <w:r>
        <w:rPr>
          <w:rFonts w:eastAsia="仿宋"/>
          <w:sz w:val="28"/>
          <w:szCs w:val="28"/>
        </w:rPr>
        <w:t>b.</w:t>
      </w:r>
      <w:r>
        <w:rPr>
          <w:rFonts w:hAnsi="仿宋" w:eastAsia="仿宋"/>
          <w:sz w:val="28"/>
          <w:szCs w:val="28"/>
        </w:rPr>
        <w:t>熟悉情况，即买方和卖方都了解估价对象并熟悉市场行情，买方不是盲目地购买，卖方不是盲目地出售</w:t>
      </w:r>
      <w:r>
        <w:rPr>
          <w:rFonts w:eastAsia="仿宋"/>
          <w:sz w:val="28"/>
          <w:szCs w:val="28"/>
        </w:rPr>
        <w:t>;</w:t>
      </w:r>
    </w:p>
    <w:p>
      <w:pPr>
        <w:spacing w:line="520" w:lineRule="exact"/>
        <w:ind w:firstLine="560" w:firstLineChars="200"/>
        <w:rPr>
          <w:rFonts w:eastAsia="仿宋"/>
          <w:sz w:val="28"/>
          <w:szCs w:val="28"/>
        </w:rPr>
      </w:pPr>
      <w:r>
        <w:rPr>
          <w:rFonts w:eastAsia="仿宋"/>
          <w:sz w:val="28"/>
          <w:szCs w:val="28"/>
        </w:rPr>
        <w:t>c.</w:t>
      </w:r>
      <w:r>
        <w:rPr>
          <w:rFonts w:hAnsi="仿宋" w:eastAsia="仿宋"/>
          <w:sz w:val="28"/>
          <w:szCs w:val="28"/>
        </w:rPr>
        <w:t>谨慎行事，即买方和卖方都是冷静、理性、谨慎的，没有感情用事</w:t>
      </w:r>
      <w:r>
        <w:rPr>
          <w:rFonts w:eastAsia="仿宋"/>
          <w:sz w:val="28"/>
          <w:szCs w:val="28"/>
        </w:rPr>
        <w:t>;</w:t>
      </w:r>
    </w:p>
    <w:p>
      <w:pPr>
        <w:spacing w:line="520" w:lineRule="exact"/>
        <w:ind w:firstLine="560" w:firstLineChars="200"/>
        <w:rPr>
          <w:rFonts w:eastAsia="仿宋"/>
          <w:sz w:val="28"/>
          <w:szCs w:val="28"/>
        </w:rPr>
      </w:pPr>
      <w:r>
        <w:rPr>
          <w:rFonts w:eastAsia="仿宋"/>
          <w:sz w:val="28"/>
          <w:szCs w:val="28"/>
        </w:rPr>
        <w:t>d.</w:t>
      </w:r>
      <w:r>
        <w:rPr>
          <w:rFonts w:hAnsi="仿宋" w:eastAsia="仿宋"/>
          <w:sz w:val="28"/>
          <w:szCs w:val="28"/>
        </w:rPr>
        <w:t>不受强迫，即买方和卖方都是出于自发需要进行估价对象交易的，买方不是急于购买（不是非买不可），卖方不是急于出售（不是非卖不可），同时买方不是被迫地从特定的卖方那里购买估价对象，卖方不是被迫地将估价对象卖给特定的买方</w:t>
      </w:r>
      <w:r>
        <w:rPr>
          <w:rFonts w:eastAsia="仿宋"/>
          <w:sz w:val="28"/>
          <w:szCs w:val="28"/>
        </w:rPr>
        <w:t>;</w:t>
      </w:r>
    </w:p>
    <w:p>
      <w:pPr>
        <w:spacing w:line="520" w:lineRule="exact"/>
        <w:ind w:firstLine="560" w:firstLineChars="200"/>
        <w:rPr>
          <w:rFonts w:eastAsia="仿宋"/>
          <w:sz w:val="28"/>
          <w:szCs w:val="28"/>
        </w:rPr>
      </w:pPr>
      <w:r>
        <w:rPr>
          <w:rFonts w:eastAsia="仿宋"/>
          <w:sz w:val="28"/>
          <w:szCs w:val="28"/>
        </w:rPr>
        <w:t>e.</w:t>
      </w:r>
      <w:r>
        <w:rPr>
          <w:rFonts w:hAnsi="仿宋" w:eastAsia="仿宋"/>
          <w:sz w:val="28"/>
          <w:szCs w:val="28"/>
        </w:rPr>
        <w:t>公平交易，即买方和卖方都是出于自己利益的需要进行估价对象交易的，没有诸如亲友之间、母子公司之间、业主与租户之间等特殊或特别的关系，不是关联交易。</w:t>
      </w:r>
    </w:p>
    <w:p>
      <w:pPr>
        <w:tabs>
          <w:tab w:val="left" w:pos="630"/>
          <w:tab w:val="left" w:pos="840"/>
        </w:tabs>
        <w:spacing w:line="480" w:lineRule="exact"/>
        <w:ind w:firstLine="630"/>
        <w:rPr>
          <w:rFonts w:eastAsia="仿宋"/>
          <w:sz w:val="28"/>
          <w:szCs w:val="28"/>
        </w:rPr>
      </w:pPr>
      <w:r>
        <w:rPr>
          <w:rFonts w:eastAsia="仿宋"/>
          <w:sz w:val="28"/>
          <w:szCs w:val="28"/>
        </w:rPr>
        <w:t>2.</w:t>
      </w:r>
      <w:r>
        <w:rPr>
          <w:rFonts w:hAnsi="仿宋" w:eastAsia="仿宋"/>
          <w:sz w:val="28"/>
          <w:szCs w:val="28"/>
        </w:rPr>
        <w:t>估价对象在估价委托人指定及提供有关情况和资料的基础上，界定财产范围和空间范围，无遗漏和虚构。</w:t>
      </w:r>
    </w:p>
    <w:p>
      <w:pPr>
        <w:pStyle w:val="16"/>
        <w:tabs>
          <w:tab w:val="left" w:pos="1554"/>
        </w:tabs>
        <w:spacing w:line="520" w:lineRule="exact"/>
        <w:ind w:firstLine="570"/>
        <w:rPr>
          <w:rFonts w:ascii="Times New Roman" w:hAnsi="Times New Roman" w:eastAsia="仿宋"/>
          <w:kern w:val="2"/>
          <w:sz w:val="28"/>
          <w:szCs w:val="28"/>
        </w:rPr>
      </w:pPr>
      <w:r>
        <w:rPr>
          <w:rFonts w:ascii="Times New Roman" w:hAnsi="Times New Roman" w:eastAsia="仿宋"/>
          <w:kern w:val="2"/>
          <w:sz w:val="28"/>
          <w:szCs w:val="28"/>
        </w:rPr>
        <w:t>3.</w:t>
      </w:r>
      <w:r>
        <w:rPr>
          <w:rFonts w:ascii="Times New Roman" w:hAnsi="仿宋" w:eastAsia="仿宋"/>
          <w:kern w:val="2"/>
          <w:sz w:val="28"/>
          <w:szCs w:val="28"/>
        </w:rPr>
        <w:t>本报告以房屋建筑质量合乎安全标准，可以长期持续使用为假设前提。我们对估价对象的实地查勘仅限于其外观和使用状况，对被遮盖、未暴露及难以接触到的部分，依据委托人提供的资料进行评估。除非另有协议，我们不承担对估价对象建筑结构质量进行调查的责任。</w:t>
      </w:r>
    </w:p>
    <w:p>
      <w:pPr>
        <w:tabs>
          <w:tab w:val="left" w:pos="630"/>
          <w:tab w:val="left" w:pos="840"/>
        </w:tabs>
        <w:spacing w:line="480" w:lineRule="exact"/>
        <w:ind w:firstLine="630"/>
        <w:rPr>
          <w:rFonts w:eastAsia="仿宋"/>
          <w:sz w:val="28"/>
        </w:rPr>
      </w:pPr>
      <w:r>
        <w:rPr>
          <w:rFonts w:eastAsia="仿宋"/>
          <w:sz w:val="28"/>
        </w:rPr>
        <w:t>4.</w:t>
      </w:r>
      <w:r>
        <w:rPr>
          <w:rFonts w:hAnsi="仿宋" w:eastAsia="仿宋"/>
          <w:sz w:val="28"/>
        </w:rPr>
        <w:t>本次估价未对估价对象做建筑物基础和结构上的实验，本次评估假设其无基础、结构等方面的重大质量问题。</w:t>
      </w:r>
    </w:p>
    <w:p>
      <w:pPr>
        <w:tabs>
          <w:tab w:val="left" w:pos="630"/>
          <w:tab w:val="left" w:pos="840"/>
        </w:tabs>
        <w:spacing w:line="480" w:lineRule="exact"/>
        <w:ind w:firstLine="630"/>
        <w:rPr>
          <w:rFonts w:eastAsia="仿宋"/>
          <w:sz w:val="28"/>
        </w:rPr>
      </w:pPr>
      <w:bookmarkStart w:id="5" w:name="_Toc391042768"/>
      <w:bookmarkStart w:id="6" w:name="_Toc391043077"/>
      <w:r>
        <w:rPr>
          <w:rFonts w:eastAsia="仿宋"/>
          <w:sz w:val="28"/>
        </w:rPr>
        <w:t>5.</w:t>
      </w:r>
      <w:r>
        <w:rPr>
          <w:rFonts w:hAnsi="仿宋" w:eastAsia="仿宋"/>
          <w:sz w:val="28"/>
        </w:rPr>
        <w:t>估价对象应享有公共部位的通行权及水电等共用设施的使用权。</w:t>
      </w:r>
    </w:p>
    <w:bookmarkEnd w:id="5"/>
    <w:bookmarkEnd w:id="6"/>
    <w:p>
      <w:pPr>
        <w:spacing w:line="520" w:lineRule="exact"/>
        <w:rPr>
          <w:rFonts w:eastAsia="仿宋"/>
          <w:b/>
          <w:sz w:val="28"/>
          <w:szCs w:val="28"/>
        </w:rPr>
      </w:pPr>
      <w:r>
        <w:rPr>
          <w:rFonts w:hAnsi="仿宋" w:eastAsia="仿宋"/>
          <w:b/>
          <w:sz w:val="28"/>
          <w:szCs w:val="28"/>
        </w:rPr>
        <w:t>二、未定事项假设</w:t>
      </w:r>
    </w:p>
    <w:p>
      <w:pPr>
        <w:spacing w:line="500" w:lineRule="exact"/>
        <w:ind w:firstLine="560" w:firstLineChars="200"/>
        <w:rPr>
          <w:rFonts w:hAnsi="仿宋" w:eastAsia="仿宋"/>
          <w:sz w:val="28"/>
        </w:rPr>
      </w:pPr>
      <w:r>
        <w:rPr>
          <w:rFonts w:hAnsi="仿宋" w:eastAsia="仿宋"/>
          <w:sz w:val="28"/>
        </w:rPr>
        <w:t>本次评估的房屋建筑面积是根据委托人提供的《上海市不动产登记簿》复印件得出的数据，如有不同，则估价值应相应改变。</w:t>
      </w:r>
    </w:p>
    <w:p>
      <w:pPr>
        <w:spacing w:line="520" w:lineRule="exact"/>
        <w:rPr>
          <w:rFonts w:eastAsia="仿宋"/>
          <w:b/>
          <w:sz w:val="28"/>
          <w:szCs w:val="28"/>
        </w:rPr>
      </w:pPr>
      <w:r>
        <w:rPr>
          <w:rFonts w:hAnsi="仿宋" w:eastAsia="仿宋"/>
          <w:b/>
          <w:sz w:val="28"/>
          <w:szCs w:val="28"/>
        </w:rPr>
        <w:t>三、背离事实假设</w:t>
      </w:r>
    </w:p>
    <w:p>
      <w:pPr>
        <w:spacing w:line="520" w:lineRule="exact"/>
        <w:ind w:firstLine="560" w:firstLineChars="200"/>
        <w:rPr>
          <w:rFonts w:eastAsia="仿宋"/>
          <w:sz w:val="28"/>
        </w:rPr>
      </w:pPr>
      <w:r>
        <w:rPr>
          <w:rFonts w:hAnsi="仿宋" w:eastAsia="仿宋"/>
          <w:sz w:val="28"/>
        </w:rPr>
        <w:t>本次评估无背离事实假设。</w:t>
      </w:r>
    </w:p>
    <w:p>
      <w:pPr>
        <w:spacing w:line="520" w:lineRule="exact"/>
        <w:rPr>
          <w:rFonts w:eastAsia="仿宋"/>
          <w:b/>
          <w:sz w:val="28"/>
          <w:szCs w:val="28"/>
        </w:rPr>
      </w:pPr>
      <w:r>
        <w:rPr>
          <w:rFonts w:hAnsi="仿宋" w:eastAsia="仿宋"/>
          <w:b/>
          <w:sz w:val="28"/>
          <w:szCs w:val="28"/>
        </w:rPr>
        <w:t>四、不相一致假设</w:t>
      </w:r>
    </w:p>
    <w:p>
      <w:pPr>
        <w:spacing w:line="520" w:lineRule="exact"/>
        <w:ind w:firstLine="560" w:firstLineChars="200"/>
        <w:rPr>
          <w:rFonts w:eastAsia="仿宋"/>
          <w:sz w:val="28"/>
        </w:rPr>
      </w:pPr>
      <w:r>
        <w:rPr>
          <w:rFonts w:hAnsi="仿宋" w:eastAsia="仿宋"/>
          <w:sz w:val="28"/>
        </w:rPr>
        <w:t>本次评估无不相一致假设。</w:t>
      </w:r>
    </w:p>
    <w:p>
      <w:pPr>
        <w:tabs>
          <w:tab w:val="left" w:pos="630"/>
          <w:tab w:val="left" w:pos="840"/>
        </w:tabs>
        <w:spacing w:line="520" w:lineRule="exact"/>
        <w:rPr>
          <w:rFonts w:eastAsia="仿宋"/>
          <w:b/>
          <w:sz w:val="28"/>
          <w:szCs w:val="28"/>
        </w:rPr>
      </w:pPr>
      <w:r>
        <w:rPr>
          <w:rFonts w:hAnsi="仿宋" w:eastAsia="仿宋"/>
          <w:b/>
          <w:sz w:val="28"/>
          <w:szCs w:val="28"/>
        </w:rPr>
        <w:t>五、依据不足假设</w:t>
      </w:r>
    </w:p>
    <w:p>
      <w:pPr>
        <w:tabs>
          <w:tab w:val="left" w:pos="630"/>
          <w:tab w:val="left" w:pos="840"/>
        </w:tabs>
        <w:spacing w:line="480" w:lineRule="exact"/>
        <w:ind w:firstLine="630"/>
        <w:rPr>
          <w:rFonts w:eastAsia="仿宋"/>
          <w:sz w:val="28"/>
        </w:rPr>
      </w:pPr>
      <w:r>
        <w:rPr>
          <w:rFonts w:hAnsi="仿宋" w:eastAsia="仿宋"/>
          <w:sz w:val="28"/>
        </w:rPr>
        <w:t>估价委托人提供了《上海市不动产登记簿》复印件，但未提供权属证书等资料原件，因此本公司未能对复印件和原件进行核对，也未向政府有关部门进行核实，在无理由怀疑其合法性、真实性、准确性和完整性的情况下，假定估价委托人提供的资料合法、真实、准确、完整。</w:t>
      </w:r>
    </w:p>
    <w:p>
      <w:pPr>
        <w:tabs>
          <w:tab w:val="left" w:pos="630"/>
          <w:tab w:val="left" w:pos="840"/>
        </w:tabs>
        <w:spacing w:line="520" w:lineRule="exact"/>
        <w:rPr>
          <w:rFonts w:eastAsia="仿宋"/>
          <w:b/>
          <w:sz w:val="28"/>
          <w:szCs w:val="28"/>
        </w:rPr>
      </w:pPr>
      <w:r>
        <w:rPr>
          <w:rFonts w:hAnsi="仿宋" w:eastAsia="仿宋"/>
          <w:b/>
          <w:sz w:val="28"/>
          <w:szCs w:val="28"/>
        </w:rPr>
        <w:t>六、估价报告使用限制</w:t>
      </w:r>
    </w:p>
    <w:p>
      <w:pPr>
        <w:spacing w:line="520" w:lineRule="exact"/>
        <w:ind w:firstLine="574" w:firstLineChars="205"/>
        <w:rPr>
          <w:rFonts w:eastAsia="仿宋"/>
          <w:sz w:val="28"/>
        </w:rPr>
      </w:pPr>
      <w:r>
        <w:rPr>
          <w:rFonts w:eastAsia="仿宋"/>
          <w:sz w:val="28"/>
        </w:rPr>
        <w:t>1.</w:t>
      </w:r>
      <w:r>
        <w:rPr>
          <w:rFonts w:hAnsi="仿宋" w:eastAsia="仿宋"/>
          <w:sz w:val="28"/>
        </w:rPr>
        <w:t>本估价报告按估价目的提供给估价委托人使用，不作他用，若改变估价目的及使用条件，需向本公司咨询后作必要调整甚至重新估价。</w:t>
      </w:r>
    </w:p>
    <w:p>
      <w:pPr>
        <w:spacing w:line="520" w:lineRule="exact"/>
        <w:ind w:firstLine="574" w:firstLineChars="205"/>
        <w:rPr>
          <w:rFonts w:eastAsia="仿宋"/>
          <w:sz w:val="28"/>
        </w:rPr>
      </w:pPr>
      <w:r>
        <w:rPr>
          <w:rFonts w:eastAsia="仿宋"/>
          <w:sz w:val="28"/>
        </w:rPr>
        <w:t>2.</w:t>
      </w:r>
      <w:r>
        <w:rPr>
          <w:rFonts w:hAnsi="仿宋" w:eastAsia="仿宋"/>
          <w:sz w:val="28"/>
        </w:rPr>
        <w:t>价值时点后，估价报告有效期内估价对象的质量及价格标准发生变化，并对估价对象价值产生明显影响时不能直接使用本估价结论。</w:t>
      </w:r>
    </w:p>
    <w:p>
      <w:pPr>
        <w:spacing w:line="520" w:lineRule="exact"/>
        <w:ind w:firstLine="574" w:firstLineChars="205"/>
        <w:rPr>
          <w:rFonts w:eastAsia="仿宋"/>
          <w:sz w:val="28"/>
        </w:rPr>
      </w:pPr>
      <w:r>
        <w:rPr>
          <w:rFonts w:eastAsia="仿宋"/>
          <w:sz w:val="28"/>
        </w:rPr>
        <w:t>3.</w:t>
      </w:r>
      <w:r>
        <w:rPr>
          <w:rFonts w:hAnsi="仿宋" w:eastAsia="仿宋"/>
          <w:sz w:val="28"/>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pPr>
        <w:spacing w:line="520" w:lineRule="exact"/>
        <w:ind w:firstLine="574" w:firstLineChars="205"/>
        <w:rPr>
          <w:rFonts w:eastAsia="仿宋"/>
          <w:sz w:val="28"/>
        </w:rPr>
      </w:pPr>
      <w:r>
        <w:rPr>
          <w:rFonts w:eastAsia="仿宋"/>
          <w:sz w:val="28"/>
        </w:rPr>
        <w:t>4.</w:t>
      </w:r>
      <w:r>
        <w:rPr>
          <w:rFonts w:hAnsi="仿宋" w:eastAsia="仿宋"/>
          <w:sz w:val="28"/>
        </w:rPr>
        <w:t>本估价报告结果包含国有土地使用权价值，以及与房地产不可分割的满足其使用功能的水、电以及配套的相关辅助设施等的价值。</w:t>
      </w:r>
    </w:p>
    <w:p>
      <w:pPr>
        <w:spacing w:line="520" w:lineRule="exact"/>
        <w:ind w:firstLine="574" w:firstLineChars="205"/>
        <w:rPr>
          <w:rFonts w:eastAsia="仿宋"/>
          <w:sz w:val="28"/>
        </w:rPr>
      </w:pPr>
      <w:r>
        <w:rPr>
          <w:rFonts w:eastAsia="仿宋"/>
          <w:sz w:val="28"/>
        </w:rPr>
        <w:t>5.</w:t>
      </w:r>
      <w:r>
        <w:rPr>
          <w:rFonts w:hAnsi="仿宋" w:eastAsia="仿宋"/>
          <w:sz w:val="28"/>
        </w:rPr>
        <w:t>本报告自提交之日起一年内有效，若过期使用，必须进行期日修正或重新评估，超过估价报告应用有限期使用估价报告的，相关责任由使用者承担，在估价报告应用有效期内使用本估价报告的，相关责任由出具估价报告估价机构承担，但使用者不当使用的除外。</w:t>
      </w:r>
    </w:p>
    <w:p>
      <w:pPr>
        <w:tabs>
          <w:tab w:val="left" w:pos="630"/>
          <w:tab w:val="left" w:pos="840"/>
        </w:tabs>
        <w:spacing w:line="520" w:lineRule="exact"/>
        <w:ind w:firstLine="630"/>
        <w:rPr>
          <w:rFonts w:eastAsia="仿宋"/>
          <w:sz w:val="28"/>
        </w:rPr>
      </w:pPr>
      <w:r>
        <w:rPr>
          <w:rFonts w:eastAsia="仿宋"/>
          <w:sz w:val="28"/>
        </w:rPr>
        <w:t>6.</w:t>
      </w:r>
      <w:r>
        <w:rPr>
          <w:rFonts w:hAnsi="仿宋" w:eastAsia="仿宋"/>
          <w:sz w:val="28"/>
        </w:rPr>
        <w:t>本估价报告需经房地产估价师签名并加盖估价机构公章，并作为一个整体时有效，复印件无效。</w:t>
      </w:r>
    </w:p>
    <w:p>
      <w:pPr>
        <w:tabs>
          <w:tab w:val="left" w:pos="630"/>
          <w:tab w:val="left" w:pos="840"/>
        </w:tabs>
        <w:spacing w:line="520" w:lineRule="exact"/>
        <w:ind w:firstLine="630"/>
        <w:rPr>
          <w:rFonts w:eastAsia="仿宋"/>
          <w:b/>
          <w:bCs/>
          <w:kern w:val="44"/>
          <w:sz w:val="36"/>
          <w:szCs w:val="36"/>
        </w:rPr>
      </w:pPr>
      <w:r>
        <w:rPr>
          <w:rFonts w:eastAsia="仿宋"/>
          <w:sz w:val="28"/>
        </w:rPr>
        <w:t>7.</w:t>
      </w:r>
      <w:r>
        <w:rPr>
          <w:rFonts w:hAnsi="仿宋" w:eastAsia="仿宋"/>
          <w:sz w:val="28"/>
        </w:rPr>
        <w:t>本报告仅限于中华人民共和国境内使用，用除中文以外的其他文字制作本报告，须经受托房地产估价机构和制作本报告的房地产估价师认可。</w:t>
      </w:r>
      <w:r>
        <w:rPr>
          <w:rFonts w:eastAsia="仿宋"/>
          <w:sz w:val="28"/>
        </w:rPr>
        <w:tab/>
      </w:r>
      <w:r>
        <w:rPr>
          <w:rFonts w:eastAsia="仿宋"/>
        </w:rPr>
        <w:br w:type="page"/>
      </w:r>
    </w:p>
    <w:bookmarkEnd w:id="4"/>
    <w:p>
      <w:pPr>
        <w:pStyle w:val="2"/>
        <w:rPr>
          <w:rFonts w:eastAsia="仿宋"/>
        </w:rPr>
      </w:pPr>
      <w:bookmarkStart w:id="7" w:name="_Toc529777393"/>
      <w:r>
        <w:rPr>
          <w:rFonts w:hAnsi="仿宋" w:eastAsia="仿宋"/>
        </w:rPr>
        <w:t>房地产估价结果报告</w:t>
      </w:r>
      <w:bookmarkEnd w:id="7"/>
    </w:p>
    <w:p>
      <w:pPr>
        <w:tabs>
          <w:tab w:val="left" w:pos="3675"/>
        </w:tabs>
        <w:spacing w:line="420" w:lineRule="exact"/>
        <w:jc w:val="center"/>
        <w:rPr>
          <w:rFonts w:eastAsia="仿宋"/>
          <w:spacing w:val="14"/>
          <w:szCs w:val="21"/>
        </w:rPr>
      </w:pPr>
      <w:bookmarkStart w:id="8" w:name="_Toc258499032"/>
      <w:r>
        <w:rPr>
          <w:rFonts w:hAnsi="仿宋" w:eastAsia="仿宋"/>
          <w:spacing w:val="14"/>
          <w:szCs w:val="21"/>
        </w:rPr>
        <w:t>苏信房地估字</w:t>
      </w:r>
      <w:r>
        <w:rPr>
          <w:rFonts w:eastAsia="仿宋"/>
          <w:spacing w:val="14"/>
          <w:szCs w:val="21"/>
        </w:rPr>
        <w:t>[2018]</w:t>
      </w:r>
      <w:r>
        <w:rPr>
          <w:rFonts w:hAnsi="仿宋" w:eastAsia="仿宋"/>
          <w:spacing w:val="14"/>
          <w:szCs w:val="21"/>
        </w:rPr>
        <w:t>第</w:t>
      </w:r>
      <w:r>
        <w:rPr>
          <w:rFonts w:hint="eastAsia" w:hAnsi="仿宋" w:eastAsia="仿宋"/>
          <w:spacing w:val="14"/>
          <w:szCs w:val="21"/>
        </w:rPr>
        <w:t>010306号</w:t>
      </w:r>
    </w:p>
    <w:p>
      <w:pPr>
        <w:pStyle w:val="4"/>
        <w:rPr>
          <w:rFonts w:eastAsia="仿宋"/>
        </w:rPr>
      </w:pPr>
      <w:bookmarkStart w:id="9" w:name="_Toc529777394"/>
      <w:r>
        <w:rPr>
          <w:rFonts w:hAnsi="仿宋" w:eastAsia="仿宋"/>
        </w:rPr>
        <w:t>一、估价委托人</w:t>
      </w:r>
      <w:bookmarkEnd w:id="8"/>
      <w:bookmarkEnd w:id="9"/>
    </w:p>
    <w:p>
      <w:pPr>
        <w:pStyle w:val="19"/>
        <w:spacing w:after="0" w:line="520" w:lineRule="exact"/>
        <w:ind w:left="418" w:leftChars="199" w:firstLine="136" w:firstLineChars="50"/>
        <w:rPr>
          <w:rFonts w:eastAsia="仿宋"/>
          <w:spacing w:val="-4"/>
          <w:sz w:val="28"/>
          <w:szCs w:val="28"/>
        </w:rPr>
      </w:pPr>
      <w:r>
        <w:rPr>
          <w:rFonts w:hAnsi="仿宋" w:eastAsia="仿宋"/>
          <w:spacing w:val="-4"/>
          <w:sz w:val="28"/>
          <w:szCs w:val="28"/>
        </w:rPr>
        <w:t>委托估价单位：</w:t>
      </w:r>
      <w:r>
        <w:rPr>
          <w:rFonts w:hAnsi="仿宋" w:eastAsia="仿宋"/>
          <w:sz w:val="28"/>
        </w:rPr>
        <w:t>南京市建邺区人民法院</w:t>
      </w:r>
    </w:p>
    <w:p>
      <w:pPr>
        <w:pStyle w:val="4"/>
        <w:rPr>
          <w:rFonts w:eastAsia="仿宋"/>
        </w:rPr>
      </w:pPr>
      <w:bookmarkStart w:id="10" w:name="_Toc529777395"/>
      <w:bookmarkStart w:id="11" w:name="_Toc258499033"/>
      <w:r>
        <w:rPr>
          <w:rFonts w:hAnsi="仿宋" w:eastAsia="仿宋"/>
        </w:rPr>
        <w:t>二、估价机构</w:t>
      </w:r>
      <w:bookmarkEnd w:id="10"/>
      <w:bookmarkEnd w:id="11"/>
    </w:p>
    <w:p>
      <w:pPr>
        <w:spacing w:line="520" w:lineRule="exact"/>
        <w:ind w:firstLine="560" w:firstLineChars="200"/>
        <w:rPr>
          <w:rFonts w:eastAsia="仿宋"/>
          <w:sz w:val="28"/>
        </w:rPr>
      </w:pPr>
      <w:bookmarkStart w:id="12" w:name="_Toc438738448"/>
      <w:bookmarkStart w:id="13" w:name="_Toc391042781"/>
      <w:bookmarkStart w:id="14" w:name="_Toc435452493"/>
      <w:bookmarkStart w:id="15" w:name="_Toc411098362"/>
      <w:r>
        <w:rPr>
          <w:rFonts w:hAnsi="仿宋" w:eastAsia="仿宋"/>
          <w:sz w:val="28"/>
        </w:rPr>
        <w:t>机构名称：江苏苏信房地产评估咨询有限公司</w:t>
      </w:r>
    </w:p>
    <w:p>
      <w:pPr>
        <w:spacing w:line="520" w:lineRule="exact"/>
        <w:ind w:firstLine="560" w:firstLineChars="200"/>
        <w:rPr>
          <w:rFonts w:eastAsia="仿宋"/>
          <w:sz w:val="28"/>
        </w:rPr>
      </w:pPr>
      <w:r>
        <w:rPr>
          <w:rFonts w:hAnsi="仿宋" w:eastAsia="仿宋"/>
          <w:sz w:val="28"/>
        </w:rPr>
        <w:t>住所：南京市建邺区江东中路</w:t>
      </w:r>
      <w:r>
        <w:rPr>
          <w:rFonts w:eastAsia="仿宋"/>
          <w:sz w:val="28"/>
        </w:rPr>
        <w:t>359</w:t>
      </w:r>
      <w:r>
        <w:rPr>
          <w:rFonts w:hAnsi="仿宋" w:eastAsia="仿宋"/>
          <w:sz w:val="28"/>
        </w:rPr>
        <w:t>号国睿大厦主楼西</w:t>
      </w:r>
      <w:r>
        <w:rPr>
          <w:rFonts w:eastAsia="仿宋"/>
          <w:sz w:val="28"/>
        </w:rPr>
        <w:t>20</w:t>
      </w:r>
      <w:r>
        <w:rPr>
          <w:rFonts w:hAnsi="仿宋" w:eastAsia="仿宋"/>
          <w:sz w:val="28"/>
        </w:rPr>
        <w:t>层</w:t>
      </w:r>
    </w:p>
    <w:p>
      <w:pPr>
        <w:spacing w:line="520" w:lineRule="exact"/>
        <w:ind w:firstLine="560" w:firstLineChars="200"/>
        <w:rPr>
          <w:rFonts w:eastAsia="仿宋"/>
          <w:sz w:val="28"/>
        </w:rPr>
      </w:pPr>
      <w:r>
        <w:rPr>
          <w:rFonts w:hAnsi="仿宋" w:eastAsia="仿宋"/>
          <w:sz w:val="28"/>
        </w:rPr>
        <w:t>法定代表人：刘华荣</w:t>
      </w:r>
    </w:p>
    <w:p>
      <w:pPr>
        <w:spacing w:line="520" w:lineRule="exact"/>
        <w:ind w:firstLine="560" w:firstLineChars="200"/>
        <w:rPr>
          <w:rFonts w:eastAsia="仿宋"/>
          <w:sz w:val="28"/>
        </w:rPr>
      </w:pPr>
      <w:r>
        <w:rPr>
          <w:rFonts w:hAnsi="仿宋" w:eastAsia="仿宋"/>
          <w:sz w:val="28"/>
        </w:rPr>
        <w:t>资质等级：一级</w:t>
      </w:r>
    </w:p>
    <w:p>
      <w:pPr>
        <w:spacing w:line="520" w:lineRule="exact"/>
        <w:ind w:firstLine="560" w:firstLineChars="200"/>
        <w:rPr>
          <w:rFonts w:eastAsia="仿宋"/>
          <w:sz w:val="28"/>
          <w:szCs w:val="28"/>
        </w:rPr>
      </w:pPr>
      <w:r>
        <w:rPr>
          <w:rFonts w:hAnsi="仿宋" w:eastAsia="仿宋"/>
          <w:sz w:val="28"/>
          <w:szCs w:val="28"/>
        </w:rPr>
        <w:t>资质证书号：苏建房估备（壹）南京</w:t>
      </w:r>
      <w:r>
        <w:rPr>
          <w:rFonts w:eastAsia="仿宋"/>
          <w:sz w:val="28"/>
          <w:szCs w:val="28"/>
        </w:rPr>
        <w:t>00008</w:t>
      </w:r>
    </w:p>
    <w:p>
      <w:pPr>
        <w:spacing w:line="520" w:lineRule="exact"/>
        <w:ind w:firstLine="560" w:firstLineChars="200"/>
        <w:rPr>
          <w:rFonts w:eastAsia="仿宋"/>
          <w:sz w:val="28"/>
        </w:rPr>
      </w:pPr>
      <w:r>
        <w:rPr>
          <w:rFonts w:hAnsi="仿宋" w:eastAsia="仿宋"/>
          <w:sz w:val="28"/>
        </w:rPr>
        <w:t>联系人：夏建国</w:t>
      </w:r>
    </w:p>
    <w:p>
      <w:pPr>
        <w:spacing w:line="520" w:lineRule="exact"/>
        <w:ind w:firstLine="560" w:firstLineChars="200"/>
        <w:rPr>
          <w:rFonts w:eastAsia="仿宋"/>
          <w:sz w:val="28"/>
        </w:rPr>
      </w:pPr>
      <w:r>
        <w:rPr>
          <w:rFonts w:hAnsi="仿宋" w:eastAsia="仿宋"/>
          <w:sz w:val="28"/>
        </w:rPr>
        <w:t>联系电话：</w:t>
      </w:r>
      <w:r>
        <w:rPr>
          <w:rFonts w:eastAsia="仿宋"/>
          <w:sz w:val="28"/>
          <w:szCs w:val="28"/>
        </w:rPr>
        <w:t>86816396</w:t>
      </w:r>
    </w:p>
    <w:p>
      <w:pPr>
        <w:tabs>
          <w:tab w:val="left" w:pos="2977"/>
        </w:tabs>
        <w:spacing w:line="520" w:lineRule="exact"/>
        <w:ind w:firstLine="560" w:firstLineChars="200"/>
        <w:rPr>
          <w:rFonts w:eastAsia="仿宋"/>
          <w:sz w:val="28"/>
        </w:rPr>
      </w:pPr>
      <w:r>
        <w:rPr>
          <w:rFonts w:hAnsi="仿宋" w:eastAsia="仿宋"/>
          <w:sz w:val="28"/>
        </w:rPr>
        <w:t>邮政编码：</w:t>
      </w:r>
      <w:r>
        <w:rPr>
          <w:rFonts w:eastAsia="仿宋"/>
          <w:sz w:val="28"/>
        </w:rPr>
        <w:t>210019</w:t>
      </w:r>
    </w:p>
    <w:p>
      <w:pPr>
        <w:pStyle w:val="4"/>
        <w:rPr>
          <w:rFonts w:eastAsia="仿宋"/>
        </w:rPr>
      </w:pPr>
      <w:bookmarkStart w:id="16" w:name="_Toc529777396"/>
      <w:r>
        <w:rPr>
          <w:rFonts w:hAnsi="仿宋" w:eastAsia="仿宋"/>
        </w:rPr>
        <w:t>三、估价目的</w:t>
      </w:r>
      <w:bookmarkEnd w:id="12"/>
      <w:bookmarkEnd w:id="13"/>
      <w:bookmarkEnd w:id="14"/>
      <w:bookmarkEnd w:id="15"/>
      <w:bookmarkEnd w:id="16"/>
    </w:p>
    <w:p>
      <w:pPr>
        <w:pStyle w:val="12"/>
        <w:spacing w:after="0" w:line="480" w:lineRule="exact"/>
        <w:ind w:firstLine="560" w:firstLineChars="200"/>
        <w:rPr>
          <w:rFonts w:eastAsia="仿宋"/>
          <w:sz w:val="28"/>
        </w:rPr>
      </w:pPr>
      <w:bookmarkStart w:id="17" w:name="_Toc438738449"/>
      <w:r>
        <w:rPr>
          <w:rFonts w:hAnsi="仿宋" w:eastAsia="仿宋"/>
          <w:sz w:val="28"/>
          <w:szCs w:val="28"/>
        </w:rPr>
        <w:t>为</w:t>
      </w:r>
      <w:r>
        <w:rPr>
          <w:rFonts w:hAnsi="仿宋" w:eastAsia="仿宋"/>
          <w:sz w:val="28"/>
        </w:rPr>
        <w:t>南京市建邺区人民法院</w:t>
      </w:r>
      <w:r>
        <w:rPr>
          <w:rFonts w:hAnsi="仿宋" w:eastAsia="仿宋"/>
          <w:sz w:val="28"/>
          <w:szCs w:val="28"/>
        </w:rPr>
        <w:t>执行涉案房地产提供价值参考。</w:t>
      </w:r>
    </w:p>
    <w:p>
      <w:pPr>
        <w:pStyle w:val="4"/>
        <w:rPr>
          <w:rFonts w:eastAsia="仿宋"/>
        </w:rPr>
      </w:pPr>
      <w:bookmarkStart w:id="18" w:name="_Toc529777397"/>
      <w:r>
        <w:rPr>
          <w:rFonts w:hAnsi="仿宋" w:eastAsia="仿宋"/>
        </w:rPr>
        <w:t>四、估价对象</w:t>
      </w:r>
      <w:bookmarkEnd w:id="17"/>
      <w:bookmarkEnd w:id="18"/>
    </w:p>
    <w:p>
      <w:pPr>
        <w:pStyle w:val="16"/>
        <w:tabs>
          <w:tab w:val="left" w:pos="8085"/>
        </w:tabs>
        <w:spacing w:line="520" w:lineRule="exact"/>
        <w:ind w:left="5250" w:hanging="4541"/>
        <w:rPr>
          <w:rFonts w:ascii="Times New Roman" w:hAnsi="Times New Roman" w:eastAsia="仿宋"/>
          <w:sz w:val="28"/>
        </w:rPr>
      </w:pPr>
      <w:r>
        <w:rPr>
          <w:rFonts w:ascii="Times New Roman" w:hAnsi="Times New Roman" w:eastAsia="仿宋"/>
          <w:sz w:val="28"/>
        </w:rPr>
        <w:t>1.</w:t>
      </w:r>
      <w:r>
        <w:rPr>
          <w:rFonts w:ascii="Times New Roman" w:hAnsi="仿宋" w:eastAsia="仿宋"/>
          <w:sz w:val="28"/>
        </w:rPr>
        <w:t>估价对象范围</w:t>
      </w:r>
    </w:p>
    <w:p>
      <w:pPr>
        <w:pStyle w:val="16"/>
        <w:tabs>
          <w:tab w:val="left" w:pos="8085"/>
        </w:tabs>
        <w:spacing w:line="520" w:lineRule="exact"/>
        <w:ind w:firstLine="630"/>
        <w:rPr>
          <w:rFonts w:ascii="Times New Roman" w:hAnsi="Times New Roman" w:eastAsia="仿宋"/>
          <w:sz w:val="28"/>
        </w:rPr>
      </w:pPr>
      <w:r>
        <w:rPr>
          <w:rFonts w:ascii="Times New Roman" w:hAnsi="仿宋" w:eastAsia="仿宋"/>
          <w:sz w:val="28"/>
        </w:rPr>
        <w:t>估价对象为位于上海市杨浦区长阳路2080号宁武小区402室的住宅房地产，房屋建筑面积为</w:t>
      </w:r>
      <w:r>
        <w:rPr>
          <w:rFonts w:ascii="Times New Roman" w:hAnsi="Times New Roman" w:eastAsia="仿宋"/>
          <w:sz w:val="28"/>
        </w:rPr>
        <w:t>72.79m</w:t>
      </w:r>
      <w:r>
        <w:rPr>
          <w:rFonts w:ascii="Times New Roman" w:hAnsi="Times New Roman" w:eastAsia="仿宋"/>
          <w:sz w:val="28"/>
          <w:vertAlign w:val="superscript"/>
        </w:rPr>
        <w:t>2</w:t>
      </w:r>
      <w:r>
        <w:rPr>
          <w:rFonts w:ascii="Times New Roman" w:hAnsi="仿宋" w:eastAsia="仿宋"/>
          <w:sz w:val="28"/>
          <w:szCs w:val="28"/>
        </w:rPr>
        <w:t>及其相应分摊的土地使用权面积</w:t>
      </w:r>
      <w:r>
        <w:rPr>
          <w:rFonts w:ascii="Times New Roman" w:hAnsi="仿宋" w:eastAsia="仿宋"/>
          <w:color w:val="000000"/>
          <w:sz w:val="28"/>
          <w:szCs w:val="28"/>
        </w:rPr>
        <w:t>，以及室内装饰装修、附属</w:t>
      </w:r>
      <w:r>
        <w:rPr>
          <w:rFonts w:hint="eastAsia" w:ascii="Times New Roman" w:hAnsi="仿宋" w:eastAsia="仿宋"/>
          <w:color w:val="000000"/>
          <w:sz w:val="28"/>
          <w:szCs w:val="28"/>
        </w:rPr>
        <w:t>设施</w:t>
      </w:r>
      <w:r>
        <w:rPr>
          <w:rFonts w:ascii="Times New Roman" w:hAnsi="仿宋" w:eastAsia="仿宋"/>
          <w:color w:val="000000"/>
          <w:sz w:val="28"/>
          <w:szCs w:val="28"/>
        </w:rPr>
        <w:t>等。</w:t>
      </w:r>
    </w:p>
    <w:p>
      <w:pPr>
        <w:pStyle w:val="16"/>
        <w:tabs>
          <w:tab w:val="left" w:pos="8085"/>
        </w:tabs>
        <w:spacing w:line="520" w:lineRule="exact"/>
        <w:ind w:firstLine="630"/>
        <w:rPr>
          <w:rFonts w:ascii="Times New Roman" w:hAnsi="Times New Roman" w:eastAsia="仿宋"/>
          <w:sz w:val="28"/>
        </w:rPr>
      </w:pPr>
      <w:r>
        <w:rPr>
          <w:rFonts w:ascii="Times New Roman" w:hAnsi="Times New Roman" w:eastAsia="仿宋"/>
          <w:sz w:val="28"/>
        </w:rPr>
        <w:t>2.</w:t>
      </w:r>
      <w:r>
        <w:rPr>
          <w:rFonts w:ascii="Times New Roman" w:hAnsi="仿宋" w:eastAsia="仿宋"/>
          <w:sz w:val="28"/>
        </w:rPr>
        <w:t>估价对象权益状况</w:t>
      </w:r>
    </w:p>
    <w:p>
      <w:pPr>
        <w:pStyle w:val="16"/>
        <w:tabs>
          <w:tab w:val="left" w:pos="8085"/>
        </w:tabs>
        <w:spacing w:line="520" w:lineRule="exact"/>
        <w:ind w:firstLine="560" w:firstLineChars="200"/>
        <w:rPr>
          <w:rFonts w:ascii="Times New Roman" w:hAnsi="Times New Roman" w:eastAsia="仿宋"/>
          <w:kern w:val="2"/>
          <w:sz w:val="28"/>
          <w:szCs w:val="28"/>
        </w:rPr>
      </w:pPr>
      <w:r>
        <w:rPr>
          <w:rFonts w:ascii="Times New Roman" w:hAnsi="仿宋" w:eastAsia="仿宋"/>
          <w:kern w:val="2"/>
          <w:sz w:val="28"/>
          <w:szCs w:val="28"/>
        </w:rPr>
        <w:t>（</w:t>
      </w:r>
      <w:r>
        <w:rPr>
          <w:rFonts w:ascii="Times New Roman" w:hAnsi="Times New Roman" w:eastAsia="仿宋"/>
          <w:kern w:val="2"/>
          <w:sz w:val="28"/>
          <w:szCs w:val="28"/>
        </w:rPr>
        <w:t>1</w:t>
      </w:r>
      <w:r>
        <w:rPr>
          <w:rFonts w:ascii="Times New Roman" w:hAnsi="仿宋" w:eastAsia="仿宋"/>
          <w:kern w:val="2"/>
          <w:sz w:val="28"/>
          <w:szCs w:val="28"/>
        </w:rPr>
        <w:t>）估价对象登记状况</w:t>
      </w:r>
    </w:p>
    <w:p>
      <w:pPr>
        <w:tabs>
          <w:tab w:val="left" w:pos="8085"/>
        </w:tabs>
        <w:autoSpaceDE w:val="0"/>
        <w:autoSpaceDN w:val="0"/>
        <w:adjustRightInd w:val="0"/>
        <w:spacing w:line="520" w:lineRule="exact"/>
        <w:ind w:firstLine="560"/>
        <w:textAlignment w:val="baseline"/>
        <w:rPr>
          <w:rFonts w:eastAsia="仿宋"/>
          <w:sz w:val="28"/>
        </w:rPr>
      </w:pPr>
      <w:r>
        <w:rPr>
          <w:rFonts w:hAnsi="仿宋" w:eastAsia="仿宋"/>
          <w:sz w:val="28"/>
        </w:rPr>
        <w:t>根据委托人提供的《上海市不动产登记簿》记载，</w:t>
      </w:r>
      <w:r>
        <w:rPr>
          <w:rFonts w:hint="eastAsia" w:hAnsi="仿宋" w:eastAsia="仿宋"/>
          <w:sz w:val="28"/>
        </w:rPr>
        <w:t>房屋状况及产权人信息如下。房屋</w:t>
      </w:r>
      <w:r>
        <w:rPr>
          <w:rFonts w:hAnsi="仿宋" w:eastAsia="仿宋"/>
          <w:sz w:val="28"/>
        </w:rPr>
        <w:t>坐落：</w:t>
      </w:r>
      <w:r>
        <w:rPr>
          <w:rFonts w:hint="eastAsia" w:hAnsi="仿宋" w:eastAsia="仿宋"/>
          <w:sz w:val="28"/>
        </w:rPr>
        <w:t>长阳路2080号</w:t>
      </w:r>
      <w:r>
        <w:rPr>
          <w:rFonts w:hAnsi="仿宋" w:eastAsia="仿宋"/>
          <w:sz w:val="28"/>
        </w:rPr>
        <w:t>；</w:t>
      </w:r>
      <w:r>
        <w:rPr>
          <w:rFonts w:hint="eastAsia" w:hAnsi="仿宋" w:eastAsia="仿宋"/>
          <w:sz w:val="28"/>
        </w:rPr>
        <w:t>幢号</w:t>
      </w:r>
      <w:r>
        <w:rPr>
          <w:rFonts w:hAnsi="仿宋" w:eastAsia="仿宋"/>
          <w:sz w:val="28"/>
        </w:rPr>
        <w:t>：</w:t>
      </w:r>
      <w:r>
        <w:rPr>
          <w:rFonts w:hint="eastAsia" w:eastAsia="仿宋"/>
          <w:sz w:val="28"/>
        </w:rPr>
        <w:t>2080号</w:t>
      </w:r>
      <w:r>
        <w:rPr>
          <w:rFonts w:hAnsi="仿宋" w:eastAsia="仿宋"/>
          <w:sz w:val="28"/>
        </w:rPr>
        <w:t>；</w:t>
      </w:r>
      <w:r>
        <w:rPr>
          <w:rFonts w:hint="eastAsia" w:hAnsi="仿宋" w:eastAsia="仿宋"/>
          <w:sz w:val="28"/>
        </w:rPr>
        <w:t>部位</w:t>
      </w:r>
      <w:r>
        <w:rPr>
          <w:rFonts w:hAnsi="仿宋" w:eastAsia="仿宋"/>
          <w:sz w:val="28"/>
        </w:rPr>
        <w:t>：</w:t>
      </w:r>
      <w:r>
        <w:rPr>
          <w:rFonts w:hint="eastAsia" w:eastAsia="仿宋"/>
          <w:sz w:val="28"/>
        </w:rPr>
        <w:t>402</w:t>
      </w:r>
      <w:r>
        <w:rPr>
          <w:rFonts w:hAnsi="仿宋" w:eastAsia="仿宋"/>
          <w:sz w:val="28"/>
        </w:rPr>
        <w:t>；</w:t>
      </w:r>
      <w:r>
        <w:rPr>
          <w:rFonts w:hint="eastAsia" w:hAnsi="仿宋" w:eastAsia="仿宋"/>
          <w:sz w:val="28"/>
        </w:rPr>
        <w:t>建筑面积</w:t>
      </w:r>
      <w:r>
        <w:rPr>
          <w:rFonts w:hAnsi="仿宋" w:eastAsia="仿宋"/>
          <w:sz w:val="28"/>
        </w:rPr>
        <w:t>：</w:t>
      </w:r>
      <w:r>
        <w:rPr>
          <w:rFonts w:hint="eastAsia" w:hAnsi="仿宋" w:eastAsia="仿宋"/>
          <w:sz w:val="28"/>
        </w:rPr>
        <w:t>72.79</w:t>
      </w:r>
      <w:r>
        <w:rPr>
          <w:rFonts w:hAnsi="仿宋" w:eastAsia="仿宋"/>
          <w:sz w:val="28"/>
        </w:rPr>
        <w:t>；</w:t>
      </w:r>
      <w:r>
        <w:rPr>
          <w:rFonts w:hint="eastAsia" w:hAnsi="仿宋" w:eastAsia="仿宋"/>
          <w:sz w:val="28"/>
        </w:rPr>
        <w:t>其中地下建筑面积</w:t>
      </w:r>
      <w:r>
        <w:rPr>
          <w:rFonts w:hAnsi="仿宋" w:eastAsia="仿宋"/>
          <w:sz w:val="28"/>
        </w:rPr>
        <w:t>：</w:t>
      </w:r>
      <w:r>
        <w:rPr>
          <w:rFonts w:hint="eastAsia" w:hAnsi="仿宋" w:eastAsia="仿宋"/>
          <w:sz w:val="28"/>
        </w:rPr>
        <w:t>0.00</w:t>
      </w:r>
      <w:r>
        <w:rPr>
          <w:rFonts w:hAnsi="仿宋" w:eastAsia="仿宋"/>
          <w:sz w:val="28"/>
        </w:rPr>
        <w:t>；</w:t>
      </w:r>
      <w:r>
        <w:rPr>
          <w:rFonts w:hint="eastAsia" w:hAnsi="仿宋" w:eastAsia="仿宋"/>
          <w:sz w:val="28"/>
        </w:rPr>
        <w:t>房屋类型</w:t>
      </w:r>
      <w:r>
        <w:rPr>
          <w:rFonts w:hAnsi="仿宋" w:eastAsia="仿宋"/>
          <w:sz w:val="28"/>
        </w:rPr>
        <w:t>：</w:t>
      </w:r>
      <w:r>
        <w:rPr>
          <w:rFonts w:hint="eastAsia" w:hAnsi="仿宋" w:eastAsia="仿宋"/>
          <w:sz w:val="28"/>
        </w:rPr>
        <w:t>公寓</w:t>
      </w:r>
      <w:r>
        <w:rPr>
          <w:rFonts w:hAnsi="仿宋" w:eastAsia="仿宋"/>
          <w:sz w:val="28"/>
        </w:rPr>
        <w:t>；</w:t>
      </w:r>
      <w:r>
        <w:rPr>
          <w:rFonts w:hint="eastAsia" w:hAnsi="仿宋" w:eastAsia="仿宋"/>
          <w:sz w:val="28"/>
        </w:rPr>
        <w:t>房屋结构</w:t>
      </w:r>
      <w:r>
        <w:rPr>
          <w:rFonts w:hAnsi="仿宋" w:eastAsia="仿宋"/>
          <w:sz w:val="28"/>
        </w:rPr>
        <w:t>：</w:t>
      </w:r>
      <w:r>
        <w:rPr>
          <w:rFonts w:hint="eastAsia" w:eastAsia="仿宋"/>
          <w:sz w:val="28"/>
        </w:rPr>
        <w:t>钢混</w:t>
      </w:r>
      <w:r>
        <w:rPr>
          <w:rFonts w:hAnsi="仿宋" w:eastAsia="仿宋"/>
          <w:sz w:val="28"/>
        </w:rPr>
        <w:t>；</w:t>
      </w:r>
      <w:r>
        <w:rPr>
          <w:rFonts w:hint="eastAsia" w:hAnsi="仿宋" w:eastAsia="仿宋"/>
          <w:sz w:val="28"/>
        </w:rPr>
        <w:t>所有权来源</w:t>
      </w:r>
      <w:r>
        <w:rPr>
          <w:rFonts w:hAnsi="仿宋" w:eastAsia="仿宋"/>
          <w:sz w:val="28"/>
        </w:rPr>
        <w:t>：</w:t>
      </w:r>
      <w:r>
        <w:rPr>
          <w:rFonts w:hint="eastAsia" w:hAnsi="仿宋" w:eastAsia="仿宋"/>
          <w:sz w:val="28"/>
        </w:rPr>
        <w:t>买卖</w:t>
      </w:r>
      <w:r>
        <w:rPr>
          <w:rFonts w:hAnsi="仿宋" w:eastAsia="仿宋"/>
          <w:sz w:val="28"/>
        </w:rPr>
        <w:t>；</w:t>
      </w:r>
      <w:r>
        <w:rPr>
          <w:rFonts w:hint="eastAsia" w:hAnsi="仿宋" w:eastAsia="仿宋"/>
          <w:sz w:val="28"/>
        </w:rPr>
        <w:t>竣工日期</w:t>
      </w:r>
      <w:r>
        <w:rPr>
          <w:rFonts w:hAnsi="仿宋" w:eastAsia="仿宋"/>
          <w:sz w:val="28"/>
        </w:rPr>
        <w:t>：</w:t>
      </w:r>
      <w:r>
        <w:rPr>
          <w:rFonts w:hint="eastAsia" w:hAnsi="仿宋" w:eastAsia="仿宋"/>
          <w:sz w:val="28"/>
        </w:rPr>
        <w:t>1996年</w:t>
      </w:r>
      <w:r>
        <w:rPr>
          <w:rFonts w:hAnsi="仿宋" w:eastAsia="仿宋"/>
          <w:sz w:val="28"/>
        </w:rPr>
        <w:t>；</w:t>
      </w:r>
      <w:r>
        <w:rPr>
          <w:rFonts w:hint="eastAsia" w:hAnsi="仿宋" w:eastAsia="仿宋"/>
          <w:sz w:val="28"/>
        </w:rPr>
        <w:t>房屋</w:t>
      </w:r>
      <w:r>
        <w:rPr>
          <w:rFonts w:hAnsi="仿宋" w:eastAsia="仿宋"/>
          <w:sz w:val="28"/>
        </w:rPr>
        <w:t>用途：</w:t>
      </w:r>
      <w:r>
        <w:rPr>
          <w:rFonts w:hint="eastAsia" w:hAnsi="仿宋" w:eastAsia="仿宋"/>
          <w:sz w:val="28"/>
        </w:rPr>
        <w:t>/</w:t>
      </w:r>
      <w:r>
        <w:rPr>
          <w:rFonts w:hAnsi="仿宋" w:eastAsia="仿宋"/>
          <w:sz w:val="28"/>
        </w:rPr>
        <w:t>；总层数：</w:t>
      </w:r>
      <w:r>
        <w:rPr>
          <w:rFonts w:hint="eastAsia" w:eastAsia="仿宋"/>
          <w:sz w:val="28"/>
        </w:rPr>
        <w:t>24</w:t>
      </w:r>
      <w:r>
        <w:rPr>
          <w:rFonts w:hAnsi="仿宋" w:eastAsia="仿宋"/>
          <w:sz w:val="28"/>
        </w:rPr>
        <w:t>；</w:t>
      </w:r>
      <w:r>
        <w:rPr>
          <w:rFonts w:hint="eastAsia" w:hAnsi="仿宋" w:eastAsia="仿宋"/>
          <w:sz w:val="28"/>
        </w:rPr>
        <w:t>权利人</w:t>
      </w:r>
      <w:r>
        <w:rPr>
          <w:rFonts w:hAnsi="仿宋" w:eastAsia="仿宋"/>
          <w:sz w:val="28"/>
        </w:rPr>
        <w:t>：</w:t>
      </w:r>
      <w:r>
        <w:rPr>
          <w:rFonts w:hint="eastAsia" w:eastAsia="仿宋"/>
          <w:sz w:val="28"/>
        </w:rPr>
        <w:t>李华</w:t>
      </w:r>
      <w:r>
        <w:rPr>
          <w:rFonts w:hAnsi="仿宋" w:eastAsia="仿宋"/>
          <w:sz w:val="28"/>
        </w:rPr>
        <w:t>；</w:t>
      </w:r>
      <w:r>
        <w:rPr>
          <w:rFonts w:hint="eastAsia" w:hAnsi="仿宋" w:eastAsia="仿宋"/>
          <w:sz w:val="28"/>
        </w:rPr>
        <w:t>共有人及共有情况</w:t>
      </w:r>
      <w:r>
        <w:rPr>
          <w:rFonts w:hAnsi="仿宋" w:eastAsia="仿宋"/>
          <w:sz w:val="28"/>
        </w:rPr>
        <w:t>：</w:t>
      </w:r>
      <w:r>
        <w:rPr>
          <w:rFonts w:hint="eastAsia" w:eastAsia="仿宋"/>
          <w:sz w:val="28"/>
        </w:rPr>
        <w:t>/</w:t>
      </w:r>
      <w:r>
        <w:rPr>
          <w:rFonts w:hAnsi="仿宋" w:eastAsia="仿宋"/>
          <w:sz w:val="28"/>
        </w:rPr>
        <w:t>；</w:t>
      </w:r>
      <w:r>
        <w:rPr>
          <w:rFonts w:hint="eastAsia" w:hAnsi="仿宋" w:eastAsia="仿宋"/>
          <w:sz w:val="28"/>
        </w:rPr>
        <w:t>房地产权证号</w:t>
      </w:r>
      <w:r>
        <w:rPr>
          <w:rFonts w:hAnsi="仿宋" w:eastAsia="仿宋"/>
          <w:sz w:val="28"/>
        </w:rPr>
        <w:t>：</w:t>
      </w:r>
      <w:r>
        <w:rPr>
          <w:rFonts w:hint="eastAsia" w:eastAsia="仿宋"/>
          <w:sz w:val="28"/>
        </w:rPr>
        <w:t>杨2009017660</w:t>
      </w:r>
      <w:r>
        <w:rPr>
          <w:rFonts w:hAnsi="仿宋" w:eastAsia="仿宋"/>
          <w:sz w:val="28"/>
        </w:rPr>
        <w:t>；</w:t>
      </w:r>
      <w:r>
        <w:rPr>
          <w:rFonts w:hint="eastAsia" w:hAnsi="仿宋" w:eastAsia="仿宋"/>
          <w:sz w:val="28"/>
        </w:rPr>
        <w:t>受理日期</w:t>
      </w:r>
      <w:r>
        <w:rPr>
          <w:rFonts w:hAnsi="仿宋" w:eastAsia="仿宋"/>
          <w:sz w:val="28"/>
        </w:rPr>
        <w:t>：</w:t>
      </w:r>
      <w:r>
        <w:rPr>
          <w:rFonts w:hint="eastAsia" w:hAnsi="仿宋" w:eastAsia="仿宋"/>
          <w:sz w:val="28"/>
        </w:rPr>
        <w:t>2009-7-15</w:t>
      </w:r>
      <w:r>
        <w:rPr>
          <w:rFonts w:hAnsi="仿宋" w:eastAsia="仿宋"/>
          <w:sz w:val="28"/>
        </w:rPr>
        <w:t>；</w:t>
      </w:r>
      <w:r>
        <w:rPr>
          <w:rFonts w:hint="eastAsia" w:hAnsi="仿宋" w:eastAsia="仿宋"/>
          <w:sz w:val="28"/>
        </w:rPr>
        <w:t>核准日期</w:t>
      </w:r>
      <w:r>
        <w:rPr>
          <w:rFonts w:hAnsi="仿宋" w:eastAsia="仿宋"/>
          <w:sz w:val="28"/>
        </w:rPr>
        <w:t>：</w:t>
      </w:r>
      <w:r>
        <w:rPr>
          <w:rFonts w:hint="eastAsia" w:hAnsi="仿宋" w:eastAsia="仿宋"/>
          <w:sz w:val="28"/>
        </w:rPr>
        <w:t>2009-8-3</w:t>
      </w:r>
      <w:r>
        <w:rPr>
          <w:rFonts w:hAnsi="仿宋" w:eastAsia="仿宋"/>
          <w:sz w:val="28"/>
        </w:rPr>
        <w:t>。</w:t>
      </w:r>
    </w:p>
    <w:p>
      <w:pPr>
        <w:tabs>
          <w:tab w:val="left" w:pos="8085"/>
        </w:tabs>
        <w:autoSpaceDE w:val="0"/>
        <w:autoSpaceDN w:val="0"/>
        <w:adjustRightInd w:val="0"/>
        <w:spacing w:line="520" w:lineRule="exact"/>
        <w:ind w:firstLine="560"/>
        <w:textAlignment w:val="baseline"/>
        <w:rPr>
          <w:rFonts w:eastAsia="仿宋"/>
          <w:sz w:val="28"/>
        </w:rPr>
      </w:pPr>
      <w:r>
        <w:rPr>
          <w:rFonts w:hAnsi="仿宋" w:eastAsia="仿宋"/>
          <w:sz w:val="28"/>
        </w:rPr>
        <w:t>根据委托人提供的《上海市不动产登记簿》记载，</w:t>
      </w:r>
      <w:r>
        <w:rPr>
          <w:rFonts w:hint="eastAsia" w:hAnsi="仿宋" w:eastAsia="仿宋"/>
          <w:sz w:val="28"/>
        </w:rPr>
        <w:t>土地状况信息如下。土地</w:t>
      </w:r>
      <w:r>
        <w:rPr>
          <w:rFonts w:hAnsi="仿宋" w:eastAsia="仿宋"/>
          <w:sz w:val="28"/>
        </w:rPr>
        <w:t>坐落：</w:t>
      </w:r>
      <w:r>
        <w:rPr>
          <w:rFonts w:hint="eastAsia" w:hAnsi="仿宋" w:eastAsia="仿宋"/>
          <w:sz w:val="28"/>
        </w:rPr>
        <w:t>长阳路2080号</w:t>
      </w:r>
      <w:r>
        <w:rPr>
          <w:rFonts w:hAnsi="仿宋" w:eastAsia="仿宋"/>
          <w:sz w:val="28"/>
        </w:rPr>
        <w:t>；</w:t>
      </w:r>
      <w:r>
        <w:rPr>
          <w:rFonts w:hint="eastAsia" w:hAnsi="仿宋" w:eastAsia="仿宋"/>
          <w:sz w:val="28"/>
        </w:rPr>
        <w:t>土地宗地号</w:t>
      </w:r>
      <w:r>
        <w:rPr>
          <w:rFonts w:hAnsi="仿宋" w:eastAsia="仿宋"/>
          <w:sz w:val="28"/>
        </w:rPr>
        <w:t>：</w:t>
      </w:r>
      <w:r>
        <w:rPr>
          <w:rFonts w:hint="eastAsia" w:eastAsia="仿宋"/>
          <w:sz w:val="28"/>
        </w:rPr>
        <w:t>杨浦区定海街道136街坊3/1丘</w:t>
      </w:r>
      <w:r>
        <w:rPr>
          <w:rFonts w:hAnsi="仿宋" w:eastAsia="仿宋"/>
          <w:sz w:val="28"/>
        </w:rPr>
        <w:t>；</w:t>
      </w:r>
      <w:r>
        <w:rPr>
          <w:rFonts w:hint="eastAsia" w:hAnsi="仿宋" w:eastAsia="仿宋"/>
          <w:sz w:val="28"/>
        </w:rPr>
        <w:t>使用期限</w:t>
      </w:r>
      <w:r>
        <w:rPr>
          <w:rFonts w:hAnsi="仿宋" w:eastAsia="仿宋"/>
          <w:sz w:val="28"/>
        </w:rPr>
        <w:t>：</w:t>
      </w:r>
      <w:r>
        <w:rPr>
          <w:rFonts w:hint="eastAsia" w:eastAsia="仿宋"/>
          <w:sz w:val="28"/>
        </w:rPr>
        <w:t>/</w:t>
      </w:r>
      <w:r>
        <w:rPr>
          <w:rFonts w:hAnsi="仿宋" w:eastAsia="仿宋"/>
          <w:sz w:val="28"/>
        </w:rPr>
        <w:t>；</w:t>
      </w:r>
      <w:r>
        <w:rPr>
          <w:rFonts w:hint="eastAsia" w:hAnsi="仿宋" w:eastAsia="仿宋"/>
          <w:sz w:val="28"/>
        </w:rPr>
        <w:t>土地权属性质</w:t>
      </w:r>
      <w:r>
        <w:rPr>
          <w:rFonts w:hAnsi="仿宋" w:eastAsia="仿宋"/>
          <w:sz w:val="28"/>
        </w:rPr>
        <w:t>：</w:t>
      </w:r>
      <w:r>
        <w:rPr>
          <w:rFonts w:hint="eastAsia" w:hAnsi="仿宋" w:eastAsia="仿宋"/>
          <w:sz w:val="28"/>
        </w:rPr>
        <w:t>国有建设用地使用权</w:t>
      </w:r>
      <w:r>
        <w:rPr>
          <w:rFonts w:hAnsi="仿宋" w:eastAsia="仿宋"/>
          <w:sz w:val="28"/>
        </w:rPr>
        <w:t>；</w:t>
      </w:r>
      <w:r>
        <w:rPr>
          <w:rFonts w:hint="eastAsia" w:hAnsi="仿宋" w:eastAsia="仿宋"/>
          <w:sz w:val="28"/>
        </w:rPr>
        <w:t>使用权取得方式</w:t>
      </w:r>
      <w:r>
        <w:rPr>
          <w:rFonts w:hAnsi="仿宋" w:eastAsia="仿宋"/>
          <w:sz w:val="28"/>
        </w:rPr>
        <w:t>：</w:t>
      </w:r>
      <w:r>
        <w:rPr>
          <w:rFonts w:hint="eastAsia" w:hAnsi="仿宋" w:eastAsia="仿宋"/>
          <w:sz w:val="28"/>
        </w:rPr>
        <w:t>出让</w:t>
      </w:r>
      <w:r>
        <w:rPr>
          <w:rFonts w:hAnsi="仿宋" w:eastAsia="仿宋"/>
          <w:sz w:val="28"/>
        </w:rPr>
        <w:t>；</w:t>
      </w:r>
      <w:r>
        <w:rPr>
          <w:rFonts w:hint="eastAsia" w:hAnsi="仿宋" w:eastAsia="仿宋"/>
          <w:sz w:val="28"/>
        </w:rPr>
        <w:t>土地用途</w:t>
      </w:r>
      <w:r>
        <w:rPr>
          <w:rFonts w:hAnsi="仿宋" w:eastAsia="仿宋"/>
          <w:sz w:val="28"/>
        </w:rPr>
        <w:t>：</w:t>
      </w:r>
      <w:r>
        <w:rPr>
          <w:rFonts w:hint="eastAsia" w:hAnsi="仿宋" w:eastAsia="仿宋"/>
          <w:sz w:val="28"/>
        </w:rPr>
        <w:t>住宅</w:t>
      </w:r>
      <w:r>
        <w:rPr>
          <w:rFonts w:hAnsi="仿宋" w:eastAsia="仿宋"/>
          <w:sz w:val="28"/>
        </w:rPr>
        <w:t>；</w:t>
      </w:r>
      <w:r>
        <w:rPr>
          <w:rFonts w:hint="eastAsia" w:hAnsi="仿宋" w:eastAsia="仿宋"/>
          <w:sz w:val="28"/>
        </w:rPr>
        <w:t>宗地（丘）面积</w:t>
      </w:r>
      <w:r>
        <w:rPr>
          <w:rFonts w:hAnsi="仿宋" w:eastAsia="仿宋"/>
          <w:sz w:val="28"/>
        </w:rPr>
        <w:t>：</w:t>
      </w:r>
      <w:r>
        <w:rPr>
          <w:rFonts w:hint="eastAsia" w:eastAsia="仿宋"/>
          <w:sz w:val="28"/>
        </w:rPr>
        <w:t>5820.00</w:t>
      </w:r>
      <w:r>
        <w:rPr>
          <w:rFonts w:hAnsi="仿宋" w:eastAsia="仿宋"/>
          <w:sz w:val="28"/>
        </w:rPr>
        <w:t>；</w:t>
      </w:r>
      <w:r>
        <w:rPr>
          <w:rFonts w:hint="eastAsia" w:hAnsi="仿宋" w:eastAsia="仿宋"/>
          <w:sz w:val="28"/>
        </w:rPr>
        <w:t>使用权面积</w:t>
      </w:r>
      <w:r>
        <w:rPr>
          <w:rFonts w:hAnsi="仿宋" w:eastAsia="仿宋"/>
          <w:sz w:val="28"/>
        </w:rPr>
        <w:t>：</w:t>
      </w:r>
      <w:r>
        <w:rPr>
          <w:rFonts w:hint="eastAsia" w:hAnsi="仿宋" w:eastAsia="仿宋"/>
          <w:sz w:val="28"/>
        </w:rPr>
        <w:t>0.00</w:t>
      </w:r>
      <w:r>
        <w:rPr>
          <w:rFonts w:hAnsi="仿宋" w:eastAsia="仿宋"/>
          <w:sz w:val="28"/>
        </w:rPr>
        <w:t>；</w:t>
      </w:r>
      <w:r>
        <w:rPr>
          <w:rFonts w:hint="eastAsia" w:hAnsi="仿宋" w:eastAsia="仿宋"/>
          <w:sz w:val="28"/>
        </w:rPr>
        <w:t>独用面积</w:t>
      </w:r>
      <w:r>
        <w:rPr>
          <w:rFonts w:hAnsi="仿宋" w:eastAsia="仿宋"/>
          <w:sz w:val="28"/>
        </w:rPr>
        <w:t>：</w:t>
      </w:r>
      <w:r>
        <w:rPr>
          <w:rFonts w:hint="eastAsia" w:hAnsi="仿宋" w:eastAsia="仿宋"/>
          <w:sz w:val="28"/>
        </w:rPr>
        <w:t>0</w:t>
      </w:r>
      <w:r>
        <w:rPr>
          <w:rFonts w:hAnsi="仿宋" w:eastAsia="仿宋"/>
          <w:sz w:val="28"/>
        </w:rPr>
        <w:t>；</w:t>
      </w:r>
      <w:r>
        <w:rPr>
          <w:rFonts w:hint="eastAsia" w:hAnsi="仿宋" w:eastAsia="仿宋"/>
          <w:sz w:val="28"/>
        </w:rPr>
        <w:t>分摊面积</w:t>
      </w:r>
      <w:r>
        <w:rPr>
          <w:rFonts w:hAnsi="仿宋" w:eastAsia="仿宋"/>
          <w:sz w:val="28"/>
        </w:rPr>
        <w:t>：</w:t>
      </w:r>
      <w:r>
        <w:rPr>
          <w:rFonts w:hint="eastAsia" w:hAnsi="仿宋" w:eastAsia="仿宋"/>
          <w:sz w:val="28"/>
        </w:rPr>
        <w:t>0</w:t>
      </w:r>
      <w:r>
        <w:rPr>
          <w:rFonts w:hAnsi="仿宋" w:eastAsia="仿宋"/>
          <w:sz w:val="28"/>
        </w:rPr>
        <w:t>；</w:t>
      </w:r>
      <w:r>
        <w:rPr>
          <w:rFonts w:hint="eastAsia" w:hAnsi="仿宋" w:eastAsia="仿宋"/>
          <w:sz w:val="28"/>
        </w:rPr>
        <w:t>权利人</w:t>
      </w:r>
      <w:r>
        <w:rPr>
          <w:rFonts w:hAnsi="仿宋" w:eastAsia="仿宋"/>
          <w:sz w:val="28"/>
        </w:rPr>
        <w:t>：</w:t>
      </w:r>
      <w:r>
        <w:rPr>
          <w:rFonts w:hint="eastAsia" w:eastAsia="仿宋"/>
          <w:sz w:val="28"/>
        </w:rPr>
        <w:t>李华</w:t>
      </w:r>
      <w:r>
        <w:rPr>
          <w:rFonts w:hAnsi="仿宋" w:eastAsia="仿宋"/>
          <w:sz w:val="28"/>
        </w:rPr>
        <w:t>；</w:t>
      </w:r>
      <w:r>
        <w:rPr>
          <w:rFonts w:hint="eastAsia" w:hAnsi="仿宋" w:eastAsia="仿宋"/>
          <w:sz w:val="28"/>
        </w:rPr>
        <w:t>共有人及共有情况</w:t>
      </w:r>
      <w:r>
        <w:rPr>
          <w:rFonts w:hAnsi="仿宋" w:eastAsia="仿宋"/>
          <w:sz w:val="28"/>
        </w:rPr>
        <w:t>：</w:t>
      </w:r>
      <w:r>
        <w:rPr>
          <w:rFonts w:hint="eastAsia" w:eastAsia="仿宋"/>
          <w:sz w:val="28"/>
        </w:rPr>
        <w:t>/</w:t>
      </w:r>
      <w:r>
        <w:rPr>
          <w:rFonts w:hAnsi="仿宋" w:eastAsia="仿宋"/>
          <w:sz w:val="28"/>
        </w:rPr>
        <w:t>；</w:t>
      </w:r>
      <w:r>
        <w:rPr>
          <w:rFonts w:hint="eastAsia" w:hAnsi="仿宋" w:eastAsia="仿宋"/>
          <w:sz w:val="28"/>
        </w:rPr>
        <w:t>房地产权证号</w:t>
      </w:r>
      <w:r>
        <w:rPr>
          <w:rFonts w:hAnsi="仿宋" w:eastAsia="仿宋"/>
          <w:sz w:val="28"/>
        </w:rPr>
        <w:t>：</w:t>
      </w:r>
      <w:r>
        <w:rPr>
          <w:rFonts w:hint="eastAsia" w:eastAsia="仿宋"/>
          <w:sz w:val="28"/>
        </w:rPr>
        <w:t>杨2009017660</w:t>
      </w:r>
      <w:r>
        <w:rPr>
          <w:rFonts w:hAnsi="仿宋" w:eastAsia="仿宋"/>
          <w:sz w:val="28"/>
        </w:rPr>
        <w:t>；</w:t>
      </w:r>
      <w:r>
        <w:rPr>
          <w:rFonts w:hint="eastAsia" w:hAnsi="仿宋" w:eastAsia="仿宋"/>
          <w:sz w:val="28"/>
        </w:rPr>
        <w:t>受理日期</w:t>
      </w:r>
      <w:r>
        <w:rPr>
          <w:rFonts w:hAnsi="仿宋" w:eastAsia="仿宋"/>
          <w:sz w:val="28"/>
        </w:rPr>
        <w:t>：</w:t>
      </w:r>
      <w:r>
        <w:rPr>
          <w:rFonts w:hint="eastAsia" w:hAnsi="仿宋" w:eastAsia="仿宋"/>
          <w:sz w:val="28"/>
        </w:rPr>
        <w:t>2009-7-15</w:t>
      </w:r>
      <w:r>
        <w:rPr>
          <w:rFonts w:hAnsi="仿宋" w:eastAsia="仿宋"/>
          <w:sz w:val="28"/>
        </w:rPr>
        <w:t>；</w:t>
      </w:r>
      <w:r>
        <w:rPr>
          <w:rFonts w:hint="eastAsia" w:hAnsi="仿宋" w:eastAsia="仿宋"/>
          <w:sz w:val="28"/>
        </w:rPr>
        <w:t>核准日期</w:t>
      </w:r>
      <w:r>
        <w:rPr>
          <w:rFonts w:hAnsi="仿宋" w:eastAsia="仿宋"/>
          <w:sz w:val="28"/>
        </w:rPr>
        <w:t>：</w:t>
      </w:r>
      <w:r>
        <w:rPr>
          <w:rFonts w:hint="eastAsia" w:hAnsi="仿宋" w:eastAsia="仿宋"/>
          <w:sz w:val="28"/>
        </w:rPr>
        <w:t>2009-8-3</w:t>
      </w:r>
      <w:r>
        <w:rPr>
          <w:rFonts w:hAnsi="仿宋" w:eastAsia="仿宋"/>
          <w:sz w:val="28"/>
        </w:rPr>
        <w:t>。</w:t>
      </w:r>
    </w:p>
    <w:p>
      <w:pPr>
        <w:tabs>
          <w:tab w:val="left" w:pos="8085"/>
        </w:tabs>
        <w:autoSpaceDE w:val="0"/>
        <w:autoSpaceDN w:val="0"/>
        <w:adjustRightInd w:val="0"/>
        <w:spacing w:line="520" w:lineRule="exact"/>
        <w:ind w:firstLine="560"/>
        <w:textAlignment w:val="baseline"/>
        <w:rPr>
          <w:rFonts w:eastAsia="仿宋"/>
          <w:sz w:val="28"/>
        </w:rPr>
      </w:pPr>
      <w:r>
        <w:rPr>
          <w:rFonts w:hAnsi="仿宋" w:eastAsia="仿宋"/>
          <w:sz w:val="28"/>
        </w:rPr>
        <w:t>（</w:t>
      </w:r>
      <w:r>
        <w:rPr>
          <w:rFonts w:eastAsia="仿宋"/>
          <w:sz w:val="28"/>
        </w:rPr>
        <w:t>2</w:t>
      </w:r>
      <w:r>
        <w:rPr>
          <w:rFonts w:hAnsi="仿宋" w:eastAsia="仿宋"/>
          <w:sz w:val="28"/>
        </w:rPr>
        <w:t>）他项权利状况</w:t>
      </w:r>
    </w:p>
    <w:p>
      <w:pPr>
        <w:spacing w:line="480" w:lineRule="exact"/>
        <w:ind w:firstLine="560" w:firstLineChars="200"/>
        <w:rPr>
          <w:rFonts w:eastAsia="仿宋"/>
          <w:color w:val="FF0000"/>
          <w:sz w:val="28"/>
        </w:rPr>
      </w:pPr>
      <w:r>
        <w:rPr>
          <w:rFonts w:hAnsi="仿宋" w:eastAsia="仿宋"/>
          <w:sz w:val="28"/>
        </w:rPr>
        <w:t>根据委托人提供的《上海市不动产登记簿》记载，估价对象</w:t>
      </w:r>
      <w:r>
        <w:rPr>
          <w:rFonts w:hint="eastAsia" w:hAnsi="仿宋" w:eastAsia="仿宋"/>
          <w:sz w:val="28"/>
        </w:rPr>
        <w:t>未设定抵押等房地产他项权利。</w:t>
      </w:r>
    </w:p>
    <w:p>
      <w:pPr>
        <w:spacing w:line="480" w:lineRule="exact"/>
        <w:ind w:firstLine="560" w:firstLineChars="200"/>
        <w:rPr>
          <w:rFonts w:eastAsia="仿宋"/>
          <w:sz w:val="28"/>
        </w:rPr>
      </w:pPr>
      <w:r>
        <w:rPr>
          <w:rFonts w:hAnsi="仿宋" w:eastAsia="仿宋"/>
          <w:sz w:val="28"/>
        </w:rPr>
        <w:t>（</w:t>
      </w:r>
      <w:r>
        <w:rPr>
          <w:rFonts w:eastAsia="仿宋"/>
          <w:sz w:val="28"/>
        </w:rPr>
        <w:t>3</w:t>
      </w:r>
      <w:r>
        <w:rPr>
          <w:rFonts w:hAnsi="仿宋" w:eastAsia="仿宋"/>
          <w:sz w:val="28"/>
        </w:rPr>
        <w:t>）房地产权利限制状况信息</w:t>
      </w:r>
    </w:p>
    <w:p>
      <w:pPr>
        <w:pStyle w:val="16"/>
        <w:tabs>
          <w:tab w:val="left" w:pos="8085"/>
        </w:tabs>
        <w:spacing w:line="500" w:lineRule="exact"/>
        <w:ind w:firstLine="560" w:firstLineChars="200"/>
        <w:rPr>
          <w:rFonts w:ascii="Times New Roman" w:hAnsi="仿宋" w:eastAsia="仿宋"/>
          <w:sz w:val="28"/>
        </w:rPr>
      </w:pPr>
      <w:r>
        <w:rPr>
          <w:rFonts w:hAnsi="仿宋" w:eastAsia="仿宋"/>
          <w:sz w:val="28"/>
        </w:rPr>
        <w:t>根据委托人提供的《上海市不动产登记簿》记载</w:t>
      </w:r>
      <w:r>
        <w:rPr>
          <w:rFonts w:ascii="Times New Roman" w:hAnsi="仿宋" w:eastAsia="仿宋"/>
          <w:sz w:val="28"/>
        </w:rPr>
        <w:t>，估价对象存在房地产权利限制</w:t>
      </w:r>
      <w:r>
        <w:rPr>
          <w:rFonts w:hint="eastAsia" w:ascii="Times New Roman" w:hAnsi="仿宋" w:eastAsia="仿宋"/>
          <w:sz w:val="28"/>
        </w:rPr>
        <w:t>，具体如下表：</w:t>
      </w:r>
    </w:p>
    <w:p>
      <w:pPr>
        <w:pStyle w:val="16"/>
        <w:tabs>
          <w:tab w:val="left" w:pos="8085"/>
        </w:tabs>
        <w:spacing w:line="500" w:lineRule="exact"/>
        <w:ind w:firstLine="560" w:firstLineChars="200"/>
        <w:rPr>
          <w:rFonts w:ascii="Times New Roman" w:hAnsi="Times New Roman" w:eastAsia="仿宋"/>
          <w:sz w:val="28"/>
        </w:rPr>
      </w:pPr>
      <w:r>
        <w:rPr>
          <w:rFonts w:hint="eastAsia" w:ascii="Times New Roman" w:hAnsi="仿宋" w:eastAsia="仿宋"/>
          <w:sz w:val="28"/>
        </w:rPr>
        <w:t>①</w:t>
      </w:r>
    </w:p>
    <w:tbl>
      <w:tblPr>
        <w:tblStyle w:val="36"/>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251"/>
        <w:gridCol w:w="198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房屋坐落</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长阳路2080号402室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幢号</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2080号</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部位</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限制类型</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司法限制</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限制文件编号</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（2014）建执字第769号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限制方式</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正式查封</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登记证明号</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杨201510007366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限制人</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南京市建邺区人民法院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限制原因</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司法查封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限制起始日期</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2015-5-14</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预计结束日期</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2021-5-13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受理日期</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2015-5-14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备注</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注记信息</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2018-03-21续封，原限制失效日期2018-05-13</w:t>
            </w:r>
          </w:p>
        </w:tc>
      </w:tr>
    </w:tbl>
    <w:p>
      <w:pPr>
        <w:pStyle w:val="16"/>
        <w:tabs>
          <w:tab w:val="left" w:pos="8085"/>
        </w:tabs>
        <w:spacing w:line="500" w:lineRule="exact"/>
        <w:ind w:firstLine="560" w:firstLineChars="200"/>
        <w:rPr>
          <w:rFonts w:ascii="Times New Roman" w:hAnsi="Times New Roman" w:eastAsia="仿宋"/>
          <w:sz w:val="28"/>
        </w:rPr>
      </w:pPr>
      <w:r>
        <w:rPr>
          <w:rFonts w:hint="eastAsia" w:ascii="Times New Roman" w:hAnsi="Times New Roman" w:eastAsia="仿宋"/>
          <w:sz w:val="28"/>
        </w:rPr>
        <w:t>②</w:t>
      </w:r>
    </w:p>
    <w:tbl>
      <w:tblPr>
        <w:tblStyle w:val="36"/>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251"/>
        <w:gridCol w:w="198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房屋坐落</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长阳路2080号402室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幢号</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2080号</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部位</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限制类型</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司法限制</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限制文件编号</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（2015）鼓执字第1684号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限制方式</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轮候查封</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登记证明号</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杨201510022055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限制人</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南京市鼓楼区人民法院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限制原因</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司法查封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限制起始日期</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2015-11-13</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预计结束日期</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2018-11-12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受理日期</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2015-11-13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备注</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w:t>
            </w:r>
          </w:p>
        </w:tc>
      </w:tr>
    </w:tbl>
    <w:p>
      <w:pPr>
        <w:pStyle w:val="16"/>
        <w:tabs>
          <w:tab w:val="left" w:pos="8085"/>
        </w:tabs>
        <w:spacing w:line="500" w:lineRule="exact"/>
        <w:ind w:firstLine="560" w:firstLineChars="200"/>
        <w:rPr>
          <w:rFonts w:ascii="Times New Roman" w:hAnsi="Times New Roman" w:eastAsia="仿宋"/>
          <w:sz w:val="28"/>
        </w:rPr>
      </w:pPr>
      <w:r>
        <w:rPr>
          <w:rFonts w:hint="eastAsia" w:ascii="Times New Roman" w:hAnsi="Times New Roman" w:eastAsia="仿宋"/>
          <w:sz w:val="28"/>
        </w:rPr>
        <w:t>③</w:t>
      </w:r>
    </w:p>
    <w:tbl>
      <w:tblPr>
        <w:tblStyle w:val="36"/>
        <w:tblW w:w="8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251"/>
        <w:gridCol w:w="198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房屋坐落</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长阳路2080号402室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幢号</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2080号</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部位</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限制类型</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司法限制</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限制文件编号</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（2014）鼓执字第1549号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限制方式</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轮候查封</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登记证明号</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沪（2018）杨字不动产证明第10005940号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限制人</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南京市鼓楼区人民法院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限制原因</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司法查封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限制起始日期</w:t>
            </w:r>
          </w:p>
        </w:tc>
        <w:tc>
          <w:tcPr>
            <w:tcW w:w="2251"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2018-6-6</w:t>
            </w:r>
          </w:p>
        </w:tc>
        <w:tc>
          <w:tcPr>
            <w:tcW w:w="1985"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预计结束日期</w:t>
            </w:r>
          </w:p>
        </w:tc>
        <w:tc>
          <w:tcPr>
            <w:tcW w:w="2517" w:type="dxa"/>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受理日期</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2018-6-6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20" w:type="dxa"/>
            <w:vAlign w:val="center"/>
          </w:tcPr>
          <w:p>
            <w:pPr>
              <w:pStyle w:val="16"/>
              <w:tabs>
                <w:tab w:val="left" w:pos="8085"/>
              </w:tabs>
              <w:spacing w:line="240" w:lineRule="auto"/>
              <w:jc w:val="center"/>
              <w:rPr>
                <w:rFonts w:ascii="Times New Roman" w:hAnsi="仿宋" w:eastAsia="仿宋"/>
                <w:szCs w:val="21"/>
              </w:rPr>
            </w:pPr>
            <w:r>
              <w:rPr>
                <w:rFonts w:hint="eastAsia" w:ascii="Times New Roman" w:hAnsi="仿宋" w:eastAsia="仿宋"/>
                <w:szCs w:val="21"/>
              </w:rPr>
              <w:t>备注</w:t>
            </w:r>
          </w:p>
        </w:tc>
        <w:tc>
          <w:tcPr>
            <w:tcW w:w="6753" w:type="dxa"/>
            <w:gridSpan w:val="3"/>
            <w:vAlign w:val="center"/>
          </w:tcPr>
          <w:p>
            <w:pPr>
              <w:pStyle w:val="16"/>
              <w:tabs>
                <w:tab w:val="left" w:pos="8085"/>
              </w:tabs>
              <w:spacing w:line="240" w:lineRule="auto"/>
              <w:rPr>
                <w:rFonts w:ascii="Times New Roman" w:hAnsi="仿宋" w:eastAsia="仿宋"/>
                <w:szCs w:val="21"/>
              </w:rPr>
            </w:pPr>
            <w:r>
              <w:rPr>
                <w:rFonts w:hint="eastAsia" w:ascii="Times New Roman" w:hAnsi="仿宋" w:eastAsia="仿宋"/>
                <w:szCs w:val="21"/>
              </w:rPr>
              <w:t>/</w:t>
            </w:r>
          </w:p>
        </w:tc>
      </w:tr>
    </w:tbl>
    <w:p>
      <w:pPr>
        <w:pStyle w:val="16"/>
        <w:tabs>
          <w:tab w:val="left" w:pos="8085"/>
        </w:tabs>
        <w:spacing w:line="500" w:lineRule="exact"/>
        <w:ind w:firstLine="560" w:firstLineChars="200"/>
        <w:rPr>
          <w:rFonts w:ascii="Times New Roman" w:hAnsi="Times New Roman" w:eastAsia="仿宋"/>
          <w:sz w:val="28"/>
        </w:rPr>
      </w:pPr>
      <w:r>
        <w:rPr>
          <w:rFonts w:ascii="Times New Roman" w:hAnsi="仿宋" w:eastAsia="仿宋"/>
          <w:sz w:val="28"/>
        </w:rPr>
        <w:t>本次估价不考虑估价对象房地产权利</w:t>
      </w:r>
      <w:r>
        <w:rPr>
          <w:rFonts w:hint="eastAsia" w:ascii="Times New Roman" w:hAnsi="仿宋" w:eastAsia="仿宋"/>
          <w:sz w:val="28"/>
        </w:rPr>
        <w:t>限制</w:t>
      </w:r>
      <w:r>
        <w:rPr>
          <w:rFonts w:ascii="Times New Roman" w:hAnsi="仿宋" w:eastAsia="仿宋"/>
          <w:sz w:val="28"/>
        </w:rPr>
        <w:t>的影响。</w:t>
      </w:r>
    </w:p>
    <w:p>
      <w:pPr>
        <w:pStyle w:val="16"/>
        <w:tabs>
          <w:tab w:val="left" w:pos="8085"/>
        </w:tabs>
        <w:spacing w:line="500" w:lineRule="exact"/>
        <w:ind w:firstLine="560" w:firstLineChars="200"/>
        <w:rPr>
          <w:rFonts w:ascii="Times New Roman" w:hAnsi="Times New Roman" w:eastAsia="仿宋"/>
          <w:kern w:val="2"/>
          <w:sz w:val="28"/>
          <w:szCs w:val="24"/>
        </w:rPr>
      </w:pPr>
      <w:r>
        <w:rPr>
          <w:rFonts w:ascii="Times New Roman" w:hAnsi="Times New Roman" w:eastAsia="仿宋"/>
          <w:kern w:val="2"/>
          <w:sz w:val="28"/>
          <w:szCs w:val="24"/>
        </w:rPr>
        <w:t>3.</w:t>
      </w:r>
      <w:r>
        <w:rPr>
          <w:rFonts w:ascii="Times New Roman" w:hAnsi="仿宋" w:eastAsia="仿宋"/>
          <w:kern w:val="2"/>
          <w:sz w:val="28"/>
          <w:szCs w:val="24"/>
        </w:rPr>
        <w:t>估价对象房屋状况</w:t>
      </w:r>
    </w:p>
    <w:p>
      <w:pPr>
        <w:tabs>
          <w:tab w:val="left" w:pos="8085"/>
        </w:tabs>
        <w:autoSpaceDE w:val="0"/>
        <w:autoSpaceDN w:val="0"/>
        <w:adjustRightInd w:val="0"/>
        <w:spacing w:line="520" w:lineRule="exact"/>
        <w:ind w:firstLine="560"/>
        <w:textAlignment w:val="baseline"/>
        <w:rPr>
          <w:rFonts w:hAnsi="仿宋" w:eastAsia="仿宋"/>
          <w:kern w:val="0"/>
          <w:sz w:val="28"/>
        </w:rPr>
      </w:pPr>
      <w:r>
        <w:rPr>
          <w:rFonts w:hAnsi="仿宋" w:eastAsia="仿宋"/>
          <w:kern w:val="0"/>
          <w:sz w:val="28"/>
        </w:rPr>
        <w:t>（1）所在物业：估价对象位于上海市杨浦区长阳路2080号宁武小区402室，所在小区为</w:t>
      </w:r>
      <w:r>
        <w:rPr>
          <w:rFonts w:hint="eastAsia" w:hAnsi="仿宋" w:eastAsia="仿宋"/>
          <w:kern w:val="0"/>
          <w:sz w:val="28"/>
        </w:rPr>
        <w:t>宁武小区</w:t>
      </w:r>
      <w:r>
        <w:rPr>
          <w:rFonts w:hAnsi="仿宋" w:eastAsia="仿宋"/>
          <w:kern w:val="0"/>
          <w:sz w:val="28"/>
        </w:rPr>
        <w:t>。</w:t>
      </w:r>
      <w:r>
        <w:rPr>
          <w:rFonts w:hint="eastAsia" w:hAnsi="仿宋" w:eastAsia="仿宋"/>
          <w:kern w:val="0"/>
          <w:sz w:val="28"/>
        </w:rPr>
        <w:t>宁武小区由浦发房产有限公司开发建设，占地面积5820平方米，容积率为1.8，绿化率38%。</w:t>
      </w:r>
      <w:r>
        <w:rPr>
          <w:rFonts w:hAnsi="仿宋" w:eastAsia="仿宋"/>
          <w:kern w:val="0"/>
          <w:sz w:val="28"/>
        </w:rPr>
        <w:t xml:space="preserve"> </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2</w:t>
      </w:r>
      <w:r>
        <w:rPr>
          <w:rFonts w:hAnsi="仿宋" w:eastAsia="仿宋"/>
          <w:kern w:val="0"/>
          <w:sz w:val="28"/>
        </w:rPr>
        <w:t>）建筑面积：</w:t>
      </w:r>
      <w:r>
        <w:rPr>
          <w:rFonts w:eastAsia="仿宋"/>
          <w:kern w:val="0"/>
          <w:sz w:val="28"/>
        </w:rPr>
        <w:t>72.79m</w:t>
      </w:r>
      <w:r>
        <w:rPr>
          <w:rFonts w:eastAsia="仿宋"/>
          <w:kern w:val="0"/>
          <w:sz w:val="28"/>
          <w:vertAlign w:val="superscript"/>
        </w:rPr>
        <w:t>2</w:t>
      </w:r>
      <w:r>
        <w:rPr>
          <w:rFonts w:hAnsi="仿宋" w:eastAsia="仿宋"/>
          <w:sz w:val="28"/>
        </w:rPr>
        <w:t>。</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3</w:t>
      </w:r>
      <w:r>
        <w:rPr>
          <w:rFonts w:hAnsi="仿宋" w:eastAsia="仿宋"/>
          <w:kern w:val="0"/>
          <w:sz w:val="28"/>
        </w:rPr>
        <w:t>）层数：估价对象所在建筑总层数为</w:t>
      </w:r>
      <w:r>
        <w:rPr>
          <w:rFonts w:hint="eastAsia" w:eastAsia="仿宋"/>
          <w:kern w:val="0"/>
          <w:sz w:val="28"/>
        </w:rPr>
        <w:t>24</w:t>
      </w:r>
      <w:r>
        <w:rPr>
          <w:rFonts w:hAnsi="仿宋" w:eastAsia="仿宋"/>
          <w:kern w:val="0"/>
          <w:sz w:val="28"/>
        </w:rPr>
        <w:t>层，估价对象位于第</w:t>
      </w:r>
      <w:r>
        <w:rPr>
          <w:rFonts w:hint="eastAsia" w:eastAsia="仿宋"/>
          <w:kern w:val="0"/>
          <w:sz w:val="28"/>
        </w:rPr>
        <w:t>4</w:t>
      </w:r>
      <w:r>
        <w:rPr>
          <w:rFonts w:hAnsi="仿宋" w:eastAsia="仿宋"/>
          <w:kern w:val="0"/>
          <w:sz w:val="28"/>
        </w:rPr>
        <w:t>层。</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4</w:t>
      </w:r>
      <w:r>
        <w:rPr>
          <w:rFonts w:hAnsi="仿宋" w:eastAsia="仿宋"/>
          <w:kern w:val="0"/>
          <w:sz w:val="28"/>
        </w:rPr>
        <w:t>）建筑结构</w:t>
      </w:r>
      <w:r>
        <w:rPr>
          <w:rFonts w:hint="eastAsia" w:hAnsi="仿宋" w:eastAsia="仿宋"/>
          <w:kern w:val="0"/>
          <w:sz w:val="28"/>
        </w:rPr>
        <w:t>及层高</w:t>
      </w:r>
      <w:r>
        <w:rPr>
          <w:rFonts w:hAnsi="仿宋" w:eastAsia="仿宋"/>
          <w:kern w:val="0"/>
          <w:sz w:val="28"/>
        </w:rPr>
        <w:t>：估价对象为钢混结构，层高约</w:t>
      </w:r>
      <w:r>
        <w:rPr>
          <w:rFonts w:hint="eastAsia" w:eastAsia="仿宋"/>
          <w:kern w:val="0"/>
          <w:sz w:val="28"/>
        </w:rPr>
        <w:t>2.7m</w:t>
      </w:r>
      <w:r>
        <w:rPr>
          <w:rFonts w:hAnsi="仿宋" w:eastAsia="仿宋"/>
          <w:kern w:val="0"/>
          <w:sz w:val="28"/>
        </w:rPr>
        <w:t>。</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5</w:t>
      </w:r>
      <w:r>
        <w:rPr>
          <w:rFonts w:hAnsi="仿宋" w:eastAsia="仿宋"/>
          <w:kern w:val="0"/>
          <w:sz w:val="28"/>
        </w:rPr>
        <w:t>）现状用途：住宅。</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6</w:t>
      </w:r>
      <w:r>
        <w:rPr>
          <w:rFonts w:hAnsi="仿宋" w:eastAsia="仿宋"/>
          <w:kern w:val="0"/>
          <w:sz w:val="28"/>
        </w:rPr>
        <w:t>）平面布局：估价对象为</w:t>
      </w:r>
      <w:r>
        <w:rPr>
          <w:rFonts w:hint="eastAsia" w:hAnsi="仿宋" w:eastAsia="仿宋"/>
          <w:kern w:val="0"/>
          <w:sz w:val="28"/>
        </w:rPr>
        <w:t>平层商品房，</w:t>
      </w:r>
      <w:r>
        <w:rPr>
          <w:rFonts w:hAnsi="仿宋" w:eastAsia="仿宋"/>
          <w:kern w:val="0"/>
          <w:sz w:val="28"/>
        </w:rPr>
        <w:t>功能分区布置合理。</w:t>
      </w:r>
      <w:r>
        <w:rPr>
          <w:rFonts w:hAnsi="仿宋" w:eastAsia="仿宋"/>
          <w:sz w:val="28"/>
        </w:rPr>
        <w:t>估价对象为</w:t>
      </w:r>
      <w:r>
        <w:rPr>
          <w:rFonts w:hint="eastAsia" w:hAnsi="仿宋" w:eastAsia="仿宋"/>
          <w:sz w:val="28"/>
        </w:rPr>
        <w:t>两室一</w:t>
      </w:r>
      <w:r>
        <w:rPr>
          <w:rFonts w:hAnsi="仿宋" w:eastAsia="仿宋"/>
          <w:sz w:val="28"/>
        </w:rPr>
        <w:t>厅一厨</w:t>
      </w:r>
      <w:r>
        <w:rPr>
          <w:rFonts w:hint="eastAsia" w:hAnsi="仿宋" w:eastAsia="仿宋"/>
          <w:sz w:val="28"/>
        </w:rPr>
        <w:t>一</w:t>
      </w:r>
      <w:r>
        <w:rPr>
          <w:rFonts w:hAnsi="仿宋" w:eastAsia="仿宋"/>
          <w:sz w:val="28"/>
        </w:rPr>
        <w:t>卫</w:t>
      </w:r>
      <w:r>
        <w:rPr>
          <w:rFonts w:hint="eastAsia" w:hAnsi="仿宋" w:eastAsia="仿宋"/>
          <w:sz w:val="28"/>
        </w:rPr>
        <w:t>一阳台</w:t>
      </w:r>
      <w:r>
        <w:rPr>
          <w:rFonts w:hAnsi="仿宋" w:eastAsia="仿宋"/>
          <w:sz w:val="28"/>
        </w:rPr>
        <w:t>。</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7</w:t>
      </w:r>
      <w:r>
        <w:rPr>
          <w:rFonts w:hAnsi="仿宋" w:eastAsia="仿宋"/>
          <w:kern w:val="0"/>
          <w:sz w:val="28"/>
        </w:rPr>
        <w:t>）设施设备：估价对象具备供水、供电、排水等设施设备能满足住宅需要。</w:t>
      </w:r>
    </w:p>
    <w:p>
      <w:pPr>
        <w:tabs>
          <w:tab w:val="left" w:pos="8085"/>
        </w:tabs>
        <w:autoSpaceDE w:val="0"/>
        <w:autoSpaceDN w:val="0"/>
        <w:adjustRightInd w:val="0"/>
        <w:spacing w:line="520" w:lineRule="exact"/>
        <w:ind w:firstLine="560"/>
        <w:textAlignment w:val="baseline"/>
        <w:rPr>
          <w:rFonts w:eastAsia="仿宋"/>
          <w:kern w:val="0"/>
          <w:sz w:val="28"/>
        </w:rPr>
      </w:pPr>
      <w:r>
        <w:rPr>
          <w:rFonts w:hAnsi="仿宋" w:eastAsia="仿宋"/>
          <w:kern w:val="0"/>
          <w:sz w:val="28"/>
        </w:rPr>
        <w:t>（</w:t>
      </w:r>
      <w:r>
        <w:rPr>
          <w:rFonts w:eastAsia="仿宋"/>
          <w:kern w:val="0"/>
          <w:sz w:val="28"/>
        </w:rPr>
        <w:t>8</w:t>
      </w:r>
      <w:r>
        <w:rPr>
          <w:rFonts w:hAnsi="仿宋" w:eastAsia="仿宋"/>
          <w:kern w:val="0"/>
          <w:sz w:val="28"/>
        </w:rPr>
        <w:t>）装饰装修：</w:t>
      </w:r>
    </w:p>
    <w:p>
      <w:pPr>
        <w:tabs>
          <w:tab w:val="left" w:pos="8085"/>
        </w:tabs>
        <w:autoSpaceDE w:val="0"/>
        <w:autoSpaceDN w:val="0"/>
        <w:adjustRightInd w:val="0"/>
        <w:spacing w:line="520" w:lineRule="exact"/>
        <w:ind w:firstLine="560"/>
        <w:textAlignment w:val="baseline"/>
        <w:rPr>
          <w:rFonts w:hAnsi="仿宋" w:eastAsia="仿宋"/>
          <w:kern w:val="0"/>
          <w:sz w:val="28"/>
        </w:rPr>
      </w:pPr>
      <w:r>
        <w:rPr>
          <w:rFonts w:hint="eastAsia" w:hAnsi="仿宋" w:eastAsia="仿宋"/>
          <w:kern w:val="0"/>
          <w:sz w:val="28"/>
        </w:rPr>
        <w:t>估价对象所在</w:t>
      </w:r>
      <w:r>
        <w:rPr>
          <w:rFonts w:hAnsi="仿宋" w:eastAsia="仿宋"/>
          <w:kern w:val="0"/>
          <w:sz w:val="28"/>
        </w:rPr>
        <w:t>建筑物外立面</w:t>
      </w:r>
      <w:r>
        <w:rPr>
          <w:rFonts w:hint="eastAsia" w:hAnsi="仿宋" w:eastAsia="仿宋"/>
          <w:kern w:val="0"/>
          <w:sz w:val="28"/>
        </w:rPr>
        <w:t>贴马赛克墙砖。室内客厅及卧室地面铺设地板，墙面粉刷乳胶漆，顶部粉刷乳胶漆；</w:t>
      </w:r>
      <w:r>
        <w:rPr>
          <w:rFonts w:hAnsi="仿宋" w:eastAsia="仿宋"/>
          <w:kern w:val="0"/>
          <w:sz w:val="28"/>
        </w:rPr>
        <w:t>卫生间和厨房</w:t>
      </w:r>
      <w:r>
        <w:rPr>
          <w:rFonts w:hint="eastAsia" w:hAnsi="仿宋" w:eastAsia="仿宋"/>
          <w:kern w:val="0"/>
          <w:sz w:val="28"/>
        </w:rPr>
        <w:t>地面铺设地砖，墙面贴瓷砖</w:t>
      </w:r>
      <w:r>
        <w:rPr>
          <w:rFonts w:hAnsi="仿宋" w:eastAsia="仿宋"/>
          <w:kern w:val="0"/>
          <w:sz w:val="28"/>
        </w:rPr>
        <w:t>，顶部</w:t>
      </w:r>
      <w:r>
        <w:rPr>
          <w:rFonts w:hint="eastAsia" w:hAnsi="仿宋" w:eastAsia="仿宋"/>
          <w:kern w:val="0"/>
          <w:sz w:val="28"/>
        </w:rPr>
        <w:t>为吊顶</w:t>
      </w:r>
      <w:r>
        <w:rPr>
          <w:rFonts w:hAnsi="仿宋" w:eastAsia="仿宋"/>
          <w:kern w:val="0"/>
          <w:sz w:val="28"/>
        </w:rPr>
        <w:t>。</w:t>
      </w:r>
    </w:p>
    <w:p>
      <w:pPr>
        <w:spacing w:line="500" w:lineRule="exact"/>
        <w:ind w:firstLine="420" w:firstLineChars="150"/>
        <w:rPr>
          <w:rFonts w:eastAsia="仿宋"/>
          <w:kern w:val="0"/>
          <w:sz w:val="28"/>
        </w:rPr>
      </w:pPr>
      <w:r>
        <w:rPr>
          <w:rFonts w:hAnsi="仿宋" w:eastAsia="仿宋"/>
          <w:kern w:val="0"/>
          <w:sz w:val="28"/>
        </w:rPr>
        <w:t>（</w:t>
      </w:r>
      <w:r>
        <w:rPr>
          <w:rFonts w:eastAsia="仿宋"/>
          <w:kern w:val="0"/>
          <w:sz w:val="28"/>
        </w:rPr>
        <w:t>9</w:t>
      </w:r>
      <w:r>
        <w:rPr>
          <w:rFonts w:hAnsi="仿宋" w:eastAsia="仿宋"/>
          <w:kern w:val="0"/>
          <w:sz w:val="28"/>
        </w:rPr>
        <w:t>）建筑年代：</w:t>
      </w:r>
      <w:r>
        <w:rPr>
          <w:rFonts w:hint="eastAsia" w:hAnsi="仿宋" w:eastAsia="仿宋"/>
          <w:kern w:val="0"/>
          <w:sz w:val="28"/>
        </w:rPr>
        <w:t>1996</w:t>
      </w:r>
      <w:r>
        <w:rPr>
          <w:rFonts w:hAnsi="仿宋" w:eastAsia="仿宋"/>
          <w:kern w:val="0"/>
          <w:sz w:val="28"/>
        </w:rPr>
        <w:t>年。</w:t>
      </w:r>
    </w:p>
    <w:p>
      <w:pPr>
        <w:spacing w:line="500" w:lineRule="exact"/>
        <w:ind w:firstLine="420" w:firstLineChars="150"/>
        <w:rPr>
          <w:rFonts w:eastAsia="仿宋"/>
          <w:kern w:val="0"/>
          <w:sz w:val="28"/>
        </w:rPr>
      </w:pPr>
      <w:r>
        <w:rPr>
          <w:rFonts w:hAnsi="仿宋" w:eastAsia="仿宋"/>
          <w:kern w:val="0"/>
          <w:sz w:val="28"/>
        </w:rPr>
        <w:t>（</w:t>
      </w:r>
      <w:r>
        <w:rPr>
          <w:rFonts w:eastAsia="仿宋"/>
          <w:kern w:val="0"/>
          <w:sz w:val="28"/>
        </w:rPr>
        <w:t>10</w:t>
      </w:r>
      <w:r>
        <w:rPr>
          <w:rFonts w:hAnsi="仿宋" w:eastAsia="仿宋"/>
          <w:kern w:val="0"/>
          <w:sz w:val="28"/>
        </w:rPr>
        <w:t>）维护、保养、使用情况：估价对象房屋目前</w:t>
      </w:r>
      <w:r>
        <w:rPr>
          <w:rFonts w:hint="eastAsia" w:hAnsi="仿宋" w:eastAsia="仿宋"/>
          <w:kern w:val="0"/>
          <w:sz w:val="28"/>
        </w:rPr>
        <w:t>作为住宅自用</w:t>
      </w:r>
      <w:r>
        <w:rPr>
          <w:rFonts w:hAnsi="仿宋" w:eastAsia="仿宋"/>
          <w:kern w:val="0"/>
          <w:sz w:val="28"/>
        </w:rPr>
        <w:t>，估价对象的主体结构维修保养良好，成色较新。</w:t>
      </w:r>
    </w:p>
    <w:p>
      <w:pPr>
        <w:spacing w:line="500" w:lineRule="exact"/>
        <w:ind w:firstLine="420" w:firstLineChars="150"/>
        <w:rPr>
          <w:rFonts w:hAnsi="仿宋" w:eastAsia="仿宋"/>
          <w:kern w:val="0"/>
          <w:sz w:val="28"/>
        </w:rPr>
      </w:pPr>
      <w:r>
        <w:rPr>
          <w:rFonts w:hAnsi="仿宋" w:eastAsia="仿宋"/>
          <w:kern w:val="0"/>
          <w:sz w:val="28"/>
        </w:rPr>
        <w:t>（</w:t>
      </w:r>
      <w:r>
        <w:rPr>
          <w:rFonts w:eastAsia="仿宋"/>
          <w:kern w:val="0"/>
          <w:sz w:val="28"/>
        </w:rPr>
        <w:t>11</w:t>
      </w:r>
      <w:r>
        <w:rPr>
          <w:rFonts w:hAnsi="仿宋" w:eastAsia="仿宋"/>
          <w:kern w:val="0"/>
          <w:sz w:val="28"/>
        </w:rPr>
        <w:t>）物业管理：估价对象所在的</w:t>
      </w:r>
      <w:r>
        <w:rPr>
          <w:rFonts w:hint="eastAsia" w:hAnsi="仿宋" w:eastAsia="仿宋"/>
          <w:kern w:val="0"/>
          <w:sz w:val="28"/>
        </w:rPr>
        <w:t>宁武小区</w:t>
      </w:r>
      <w:r>
        <w:rPr>
          <w:rFonts w:hAnsi="仿宋" w:eastAsia="仿宋"/>
          <w:kern w:val="0"/>
          <w:sz w:val="28"/>
        </w:rPr>
        <w:t>物业管理水平</w:t>
      </w:r>
      <w:r>
        <w:rPr>
          <w:rFonts w:hint="eastAsia" w:hAnsi="仿宋" w:eastAsia="仿宋"/>
          <w:kern w:val="0"/>
          <w:sz w:val="28"/>
        </w:rPr>
        <w:t>一般</w:t>
      </w:r>
      <w:r>
        <w:rPr>
          <w:rFonts w:hAnsi="仿宋" w:eastAsia="仿宋"/>
          <w:kern w:val="0"/>
          <w:sz w:val="28"/>
        </w:rPr>
        <w:t>。</w:t>
      </w:r>
    </w:p>
    <w:p>
      <w:pPr>
        <w:pStyle w:val="16"/>
        <w:tabs>
          <w:tab w:val="left" w:pos="8085"/>
        </w:tabs>
        <w:spacing w:line="500" w:lineRule="exact"/>
        <w:ind w:firstLine="560" w:firstLineChars="200"/>
        <w:rPr>
          <w:rFonts w:ascii="Times New Roman" w:hAnsi="Times New Roman" w:eastAsia="仿宋"/>
          <w:sz w:val="28"/>
          <w:szCs w:val="24"/>
        </w:rPr>
      </w:pPr>
      <w:r>
        <w:rPr>
          <w:rFonts w:ascii="Times New Roman" w:hAnsi="Times New Roman" w:eastAsia="仿宋"/>
          <w:sz w:val="28"/>
          <w:szCs w:val="24"/>
        </w:rPr>
        <w:t>4.</w:t>
      </w:r>
      <w:r>
        <w:rPr>
          <w:rFonts w:ascii="Times New Roman" w:hAnsi="仿宋" w:eastAsia="仿宋"/>
          <w:sz w:val="28"/>
          <w:szCs w:val="24"/>
        </w:rPr>
        <w:t>估价对象区位状况</w:t>
      </w:r>
    </w:p>
    <w:p>
      <w:pPr>
        <w:spacing w:line="480" w:lineRule="exact"/>
        <w:ind w:firstLine="560" w:firstLineChars="200"/>
        <w:rPr>
          <w:rFonts w:eastAsia="仿宋"/>
          <w:kern w:val="0"/>
          <w:sz w:val="28"/>
        </w:rPr>
      </w:pPr>
      <w:r>
        <w:rPr>
          <w:rFonts w:hAnsi="仿宋" w:eastAsia="仿宋"/>
          <w:kern w:val="0"/>
          <w:sz w:val="28"/>
        </w:rPr>
        <w:t>（</w:t>
      </w:r>
      <w:r>
        <w:rPr>
          <w:rFonts w:eastAsia="仿宋"/>
          <w:kern w:val="0"/>
          <w:sz w:val="28"/>
        </w:rPr>
        <w:t>1</w:t>
      </w:r>
      <w:r>
        <w:rPr>
          <w:rFonts w:hAnsi="仿宋" w:eastAsia="仿宋"/>
          <w:kern w:val="0"/>
          <w:sz w:val="28"/>
        </w:rPr>
        <w:t>）地理位置</w:t>
      </w:r>
    </w:p>
    <w:p>
      <w:pPr>
        <w:spacing w:line="480" w:lineRule="exact"/>
        <w:ind w:firstLine="560" w:firstLineChars="200"/>
        <w:rPr>
          <w:rFonts w:eastAsia="仿宋"/>
          <w:kern w:val="0"/>
          <w:sz w:val="28"/>
        </w:rPr>
      </w:pPr>
      <w:r>
        <w:rPr>
          <w:rFonts w:hAnsi="仿宋" w:eastAsia="仿宋"/>
          <w:kern w:val="0"/>
          <w:sz w:val="28"/>
        </w:rPr>
        <w:t>估价对象坐落于上海市杨浦区长阳路2080号宁武小区402室。估价对象所在宗地四至情况为：东至</w:t>
      </w:r>
      <w:r>
        <w:rPr>
          <w:rFonts w:hint="eastAsia" w:hAnsi="仿宋" w:eastAsia="仿宋"/>
          <w:kern w:val="0"/>
          <w:sz w:val="28"/>
        </w:rPr>
        <w:t>宁武路</w:t>
      </w:r>
      <w:r>
        <w:rPr>
          <w:rFonts w:hAnsi="仿宋" w:eastAsia="仿宋"/>
          <w:kern w:val="0"/>
          <w:sz w:val="28"/>
        </w:rPr>
        <w:t>、南至</w:t>
      </w:r>
      <w:r>
        <w:rPr>
          <w:rFonts w:hint="eastAsia" w:hAnsi="仿宋" w:eastAsia="仿宋"/>
          <w:kern w:val="0"/>
          <w:sz w:val="28"/>
        </w:rPr>
        <w:t>龙口路</w:t>
      </w:r>
      <w:r>
        <w:rPr>
          <w:rFonts w:hAnsi="仿宋" w:eastAsia="仿宋"/>
          <w:kern w:val="0"/>
          <w:sz w:val="28"/>
        </w:rPr>
        <w:t>，西至</w:t>
      </w:r>
      <w:r>
        <w:rPr>
          <w:rFonts w:hint="eastAsia" w:hAnsi="仿宋" w:eastAsia="仿宋"/>
          <w:kern w:val="0"/>
          <w:sz w:val="28"/>
        </w:rPr>
        <w:t>长阳路1</w:t>
      </w:r>
      <w:r>
        <w:rPr>
          <w:rFonts w:hAnsi="仿宋" w:eastAsia="仿宋"/>
          <w:kern w:val="0"/>
          <w:sz w:val="28"/>
        </w:rPr>
        <w:t>900</w:t>
      </w:r>
      <w:r>
        <w:rPr>
          <w:rFonts w:hint="eastAsia" w:hAnsi="仿宋" w:eastAsia="仿宋"/>
          <w:kern w:val="0"/>
          <w:sz w:val="28"/>
        </w:rPr>
        <w:t>弄小区</w:t>
      </w:r>
      <w:r>
        <w:rPr>
          <w:rFonts w:hAnsi="仿宋" w:eastAsia="仿宋"/>
          <w:kern w:val="0"/>
          <w:sz w:val="28"/>
        </w:rPr>
        <w:t>，北至</w:t>
      </w:r>
      <w:r>
        <w:rPr>
          <w:rFonts w:hint="eastAsia" w:hAnsi="仿宋" w:eastAsia="仿宋"/>
          <w:kern w:val="0"/>
          <w:sz w:val="28"/>
        </w:rPr>
        <w:t>长阳路</w:t>
      </w:r>
      <w:r>
        <w:rPr>
          <w:rFonts w:hAnsi="仿宋" w:eastAsia="仿宋"/>
          <w:kern w:val="0"/>
          <w:sz w:val="28"/>
        </w:rPr>
        <w:t>。</w:t>
      </w:r>
      <w:r>
        <w:rPr>
          <w:rFonts w:hAnsi="仿宋" w:eastAsia="仿宋"/>
          <w:sz w:val="28"/>
        </w:rPr>
        <w:t>区域位置较优。</w:t>
      </w:r>
    </w:p>
    <w:p>
      <w:pPr>
        <w:spacing w:line="480" w:lineRule="exact"/>
        <w:ind w:firstLine="560" w:firstLineChars="200"/>
        <w:rPr>
          <w:rFonts w:eastAsia="仿宋"/>
          <w:kern w:val="0"/>
          <w:sz w:val="28"/>
        </w:rPr>
      </w:pPr>
      <w:bookmarkStart w:id="19" w:name="_Toc391042783"/>
      <w:bookmarkStart w:id="20" w:name="_Toc435452495"/>
      <w:bookmarkStart w:id="21" w:name="_Toc438738450"/>
      <w:bookmarkStart w:id="22" w:name="_Toc411098364"/>
      <w:r>
        <w:rPr>
          <w:rFonts w:hAnsi="仿宋" w:eastAsia="仿宋"/>
          <w:kern w:val="0"/>
          <w:sz w:val="28"/>
        </w:rPr>
        <w:t>（</w:t>
      </w:r>
      <w:r>
        <w:rPr>
          <w:rFonts w:eastAsia="仿宋"/>
          <w:kern w:val="0"/>
          <w:sz w:val="28"/>
        </w:rPr>
        <w:t>2</w:t>
      </w:r>
      <w:r>
        <w:rPr>
          <w:rFonts w:hAnsi="仿宋" w:eastAsia="仿宋"/>
          <w:kern w:val="0"/>
          <w:sz w:val="28"/>
        </w:rPr>
        <w:t>）交通状况</w:t>
      </w:r>
    </w:p>
    <w:p>
      <w:pPr>
        <w:spacing w:line="480" w:lineRule="exact"/>
        <w:ind w:firstLine="560" w:firstLineChars="200"/>
        <w:rPr>
          <w:rFonts w:eastAsia="仿宋"/>
          <w:kern w:val="0"/>
          <w:sz w:val="28"/>
        </w:rPr>
      </w:pPr>
      <w:r>
        <w:rPr>
          <w:rFonts w:eastAsia="仿宋"/>
          <w:kern w:val="0"/>
          <w:sz w:val="28"/>
        </w:rPr>
        <w:t>A.</w:t>
      </w:r>
      <w:r>
        <w:rPr>
          <w:rFonts w:hAnsi="仿宋" w:eastAsia="仿宋"/>
          <w:kern w:val="0"/>
          <w:sz w:val="28"/>
        </w:rPr>
        <w:t>道路状况：估价对象所在区域道路体系为网格状，区域内有</w:t>
      </w:r>
      <w:r>
        <w:rPr>
          <w:rFonts w:hint="eastAsia" w:hAnsi="仿宋" w:eastAsia="仿宋"/>
          <w:kern w:val="0"/>
          <w:sz w:val="28"/>
        </w:rPr>
        <w:t>长阳路、宁武路、双阳路、隆昌路</w:t>
      </w:r>
      <w:r>
        <w:rPr>
          <w:rFonts w:hAnsi="仿宋" w:eastAsia="仿宋"/>
          <w:kern w:val="0"/>
          <w:sz w:val="28"/>
        </w:rPr>
        <w:t>等主次干道，道路路面为沥青，路面保养维修较好，估价对象所在区域内路网密度较高，道路通达状况较好。</w:t>
      </w:r>
    </w:p>
    <w:p>
      <w:pPr>
        <w:spacing w:line="480" w:lineRule="exact"/>
        <w:ind w:firstLine="560" w:firstLineChars="200"/>
        <w:rPr>
          <w:rFonts w:eastAsia="仿宋"/>
          <w:kern w:val="0"/>
          <w:sz w:val="28"/>
        </w:rPr>
      </w:pPr>
      <w:r>
        <w:rPr>
          <w:rFonts w:eastAsia="仿宋"/>
          <w:kern w:val="0"/>
          <w:sz w:val="28"/>
        </w:rPr>
        <w:t>B.</w:t>
      </w:r>
      <w:r>
        <w:rPr>
          <w:rFonts w:hAnsi="仿宋" w:eastAsia="仿宋"/>
          <w:kern w:val="0"/>
          <w:sz w:val="28"/>
        </w:rPr>
        <w:t>公交线路：区域内有</w:t>
      </w:r>
      <w:r>
        <w:rPr>
          <w:rFonts w:eastAsia="仿宋"/>
          <w:kern w:val="0"/>
          <w:sz w:val="28"/>
        </w:rPr>
        <w:t>22</w:t>
      </w:r>
      <w:r>
        <w:rPr>
          <w:rFonts w:hint="eastAsia" w:eastAsia="仿宋"/>
          <w:kern w:val="0"/>
          <w:sz w:val="28"/>
        </w:rPr>
        <w:t>路、</w:t>
      </w:r>
      <w:r>
        <w:rPr>
          <w:rFonts w:eastAsia="仿宋"/>
          <w:kern w:val="0"/>
          <w:sz w:val="28"/>
        </w:rPr>
        <w:t>868</w:t>
      </w:r>
      <w:r>
        <w:rPr>
          <w:rFonts w:hint="eastAsia" w:eastAsia="仿宋"/>
          <w:kern w:val="0"/>
          <w:sz w:val="28"/>
        </w:rPr>
        <w:t>路、</w:t>
      </w:r>
      <w:r>
        <w:rPr>
          <w:rFonts w:eastAsia="仿宋"/>
          <w:kern w:val="0"/>
          <w:sz w:val="28"/>
        </w:rPr>
        <w:t>934</w:t>
      </w:r>
      <w:r>
        <w:rPr>
          <w:rFonts w:hint="eastAsia" w:eastAsia="仿宋"/>
          <w:kern w:val="0"/>
          <w:sz w:val="28"/>
        </w:rPr>
        <w:t>路、地铁1</w:t>
      </w:r>
      <w:r>
        <w:rPr>
          <w:rFonts w:eastAsia="仿宋"/>
          <w:kern w:val="0"/>
          <w:sz w:val="28"/>
        </w:rPr>
        <w:t>2</w:t>
      </w:r>
      <w:r>
        <w:rPr>
          <w:rFonts w:hint="eastAsia" w:eastAsia="仿宋"/>
          <w:kern w:val="0"/>
          <w:sz w:val="28"/>
        </w:rPr>
        <w:t>号线</w:t>
      </w:r>
      <w:r>
        <w:rPr>
          <w:rFonts w:hAnsi="仿宋" w:eastAsia="仿宋"/>
          <w:kern w:val="0"/>
          <w:sz w:val="28"/>
        </w:rPr>
        <w:t>等公交线路，交通便捷度</w:t>
      </w:r>
      <w:r>
        <w:rPr>
          <w:rFonts w:hint="eastAsia" w:hAnsi="仿宋" w:eastAsia="仿宋"/>
          <w:kern w:val="0"/>
          <w:sz w:val="28"/>
        </w:rPr>
        <w:t>较</w:t>
      </w:r>
      <w:r>
        <w:rPr>
          <w:rFonts w:hAnsi="仿宋" w:eastAsia="仿宋"/>
          <w:kern w:val="0"/>
          <w:sz w:val="28"/>
        </w:rPr>
        <w:t>优。</w:t>
      </w:r>
    </w:p>
    <w:p>
      <w:pPr>
        <w:spacing w:line="480" w:lineRule="exact"/>
        <w:ind w:firstLine="560" w:firstLineChars="200"/>
        <w:rPr>
          <w:rFonts w:eastAsia="仿宋"/>
          <w:kern w:val="0"/>
          <w:sz w:val="28"/>
        </w:rPr>
      </w:pPr>
      <w:r>
        <w:rPr>
          <w:rFonts w:hAnsi="仿宋" w:eastAsia="仿宋"/>
          <w:kern w:val="0"/>
          <w:sz w:val="28"/>
        </w:rPr>
        <w:t>（</w:t>
      </w:r>
      <w:r>
        <w:rPr>
          <w:rFonts w:eastAsia="仿宋"/>
          <w:kern w:val="0"/>
          <w:sz w:val="28"/>
        </w:rPr>
        <w:t>3</w:t>
      </w:r>
      <w:r>
        <w:rPr>
          <w:rFonts w:hAnsi="仿宋" w:eastAsia="仿宋"/>
          <w:kern w:val="0"/>
          <w:sz w:val="28"/>
        </w:rPr>
        <w:t>）生活服务设施</w:t>
      </w:r>
    </w:p>
    <w:p>
      <w:pPr>
        <w:spacing w:line="480" w:lineRule="exact"/>
        <w:ind w:firstLine="560" w:firstLineChars="200"/>
        <w:rPr>
          <w:rFonts w:eastAsia="仿宋"/>
          <w:kern w:val="0"/>
          <w:sz w:val="28"/>
        </w:rPr>
      </w:pPr>
      <w:r>
        <w:rPr>
          <w:rFonts w:eastAsia="仿宋"/>
          <w:kern w:val="0"/>
          <w:sz w:val="28"/>
        </w:rPr>
        <w:t>A.</w:t>
      </w:r>
      <w:r>
        <w:rPr>
          <w:rFonts w:hAnsi="仿宋" w:eastAsia="仿宋"/>
          <w:kern w:val="0"/>
          <w:sz w:val="28"/>
        </w:rPr>
        <w:t>商业：距</w:t>
      </w:r>
      <w:r>
        <w:rPr>
          <w:rFonts w:hint="eastAsia" w:hAnsi="仿宋" w:eastAsia="仿宋"/>
          <w:kern w:val="0"/>
          <w:sz w:val="28"/>
        </w:rPr>
        <w:t>甄拾汇美食广场</w:t>
      </w:r>
      <w:r>
        <w:rPr>
          <w:rFonts w:hAnsi="仿宋" w:eastAsia="仿宋"/>
          <w:kern w:val="0"/>
          <w:sz w:val="28"/>
        </w:rPr>
        <w:t>约</w:t>
      </w:r>
      <w:r>
        <w:rPr>
          <w:rFonts w:eastAsia="仿宋"/>
          <w:kern w:val="0"/>
          <w:sz w:val="28"/>
        </w:rPr>
        <w:t xml:space="preserve"> 500</w:t>
      </w:r>
      <w:r>
        <w:rPr>
          <w:rFonts w:hint="eastAsia" w:eastAsia="仿宋"/>
          <w:kern w:val="0"/>
          <w:sz w:val="28"/>
        </w:rPr>
        <w:t>米</w:t>
      </w:r>
      <w:r>
        <w:rPr>
          <w:rFonts w:hAnsi="仿宋" w:eastAsia="仿宋"/>
          <w:kern w:val="0"/>
          <w:sz w:val="28"/>
        </w:rPr>
        <w:t>。</w:t>
      </w:r>
    </w:p>
    <w:p>
      <w:pPr>
        <w:spacing w:line="480" w:lineRule="exact"/>
        <w:ind w:firstLine="560" w:firstLineChars="200"/>
        <w:rPr>
          <w:rFonts w:eastAsia="仿宋"/>
          <w:kern w:val="0"/>
          <w:sz w:val="28"/>
        </w:rPr>
      </w:pPr>
      <w:r>
        <w:rPr>
          <w:rFonts w:eastAsia="仿宋"/>
          <w:kern w:val="0"/>
          <w:sz w:val="28"/>
        </w:rPr>
        <w:t>B.</w:t>
      </w:r>
      <w:r>
        <w:rPr>
          <w:rFonts w:hAnsi="仿宋" w:eastAsia="仿宋"/>
          <w:kern w:val="0"/>
          <w:sz w:val="28"/>
        </w:rPr>
        <w:t>超市：附近有</w:t>
      </w:r>
      <w:r>
        <w:rPr>
          <w:rFonts w:hint="eastAsia" w:hAnsi="仿宋" w:eastAsia="仿宋"/>
          <w:kern w:val="0"/>
          <w:sz w:val="28"/>
        </w:rPr>
        <w:t>欧尚购物超市、华联超市、联华超市、永辉超市</w:t>
      </w:r>
      <w:r>
        <w:rPr>
          <w:rFonts w:hAnsi="仿宋" w:eastAsia="仿宋"/>
          <w:kern w:val="0"/>
          <w:sz w:val="28"/>
        </w:rPr>
        <w:t>等。</w:t>
      </w:r>
    </w:p>
    <w:p>
      <w:pPr>
        <w:spacing w:line="480" w:lineRule="exact"/>
        <w:ind w:firstLine="560" w:firstLineChars="200"/>
        <w:rPr>
          <w:rFonts w:eastAsia="仿宋"/>
          <w:kern w:val="0"/>
          <w:sz w:val="28"/>
        </w:rPr>
      </w:pPr>
      <w:r>
        <w:rPr>
          <w:rFonts w:eastAsia="仿宋"/>
          <w:kern w:val="0"/>
          <w:sz w:val="28"/>
        </w:rPr>
        <w:t>C.</w:t>
      </w:r>
      <w:r>
        <w:rPr>
          <w:rFonts w:hAnsi="仿宋" w:eastAsia="仿宋"/>
          <w:kern w:val="0"/>
          <w:sz w:val="28"/>
        </w:rPr>
        <w:t>银行：附近有中国</w:t>
      </w:r>
      <w:r>
        <w:rPr>
          <w:rFonts w:hint="eastAsia" w:hAnsi="仿宋" w:eastAsia="仿宋"/>
          <w:kern w:val="0"/>
          <w:sz w:val="28"/>
        </w:rPr>
        <w:t>工商</w:t>
      </w:r>
      <w:r>
        <w:rPr>
          <w:rFonts w:hAnsi="仿宋" w:eastAsia="仿宋"/>
          <w:kern w:val="0"/>
          <w:sz w:val="28"/>
        </w:rPr>
        <w:t>银行</w:t>
      </w:r>
      <w:r>
        <w:rPr>
          <w:rFonts w:hint="eastAsia" w:hAnsi="仿宋" w:eastAsia="仿宋"/>
          <w:kern w:val="0"/>
          <w:sz w:val="28"/>
        </w:rPr>
        <w:t>、中国银行、中国农业银行</w:t>
      </w:r>
      <w:r>
        <w:rPr>
          <w:rFonts w:hAnsi="仿宋" w:eastAsia="仿宋"/>
          <w:kern w:val="0"/>
          <w:sz w:val="28"/>
        </w:rPr>
        <w:t>等。</w:t>
      </w:r>
    </w:p>
    <w:p>
      <w:pPr>
        <w:spacing w:line="480" w:lineRule="exact"/>
        <w:ind w:firstLine="560" w:firstLineChars="200"/>
        <w:rPr>
          <w:rFonts w:hAnsi="仿宋" w:eastAsia="仿宋"/>
          <w:kern w:val="0"/>
          <w:sz w:val="28"/>
        </w:rPr>
      </w:pPr>
      <w:r>
        <w:rPr>
          <w:rFonts w:hAnsi="仿宋" w:eastAsia="仿宋"/>
          <w:kern w:val="0"/>
          <w:sz w:val="28"/>
        </w:rPr>
        <w:t>D.学校：附近有</w:t>
      </w:r>
      <w:r>
        <w:rPr>
          <w:rFonts w:hint="eastAsia" w:hAnsi="仿宋" w:eastAsia="仿宋"/>
          <w:kern w:val="0"/>
          <w:sz w:val="28"/>
        </w:rPr>
        <w:t>民办阳浦小学、控江二村小学分校、上海市第二十五中学</w:t>
      </w:r>
      <w:r>
        <w:rPr>
          <w:rFonts w:hAnsi="仿宋" w:eastAsia="仿宋"/>
          <w:kern w:val="0"/>
          <w:sz w:val="28"/>
        </w:rPr>
        <w:t>等。</w:t>
      </w:r>
    </w:p>
    <w:p>
      <w:pPr>
        <w:spacing w:line="480" w:lineRule="exact"/>
        <w:ind w:firstLine="560" w:firstLineChars="200"/>
        <w:rPr>
          <w:rFonts w:eastAsia="仿宋"/>
          <w:kern w:val="0"/>
          <w:sz w:val="28"/>
        </w:rPr>
      </w:pPr>
      <w:r>
        <w:rPr>
          <w:rFonts w:eastAsia="仿宋"/>
          <w:kern w:val="0"/>
          <w:sz w:val="28"/>
        </w:rPr>
        <w:t>E.</w:t>
      </w:r>
      <w:r>
        <w:rPr>
          <w:rFonts w:hAnsi="仿宋" w:eastAsia="仿宋"/>
          <w:kern w:val="0"/>
          <w:sz w:val="28"/>
        </w:rPr>
        <w:t>医院：附近有</w:t>
      </w:r>
      <w:r>
        <w:rPr>
          <w:rFonts w:hint="eastAsia" w:hAnsi="仿宋" w:eastAsia="仿宋"/>
          <w:kern w:val="0"/>
          <w:sz w:val="28"/>
        </w:rPr>
        <w:t>杨浦区中心医院、上海怡百康护理院</w:t>
      </w:r>
      <w:r>
        <w:rPr>
          <w:rFonts w:hAnsi="仿宋" w:eastAsia="仿宋"/>
          <w:kern w:val="0"/>
          <w:sz w:val="28"/>
        </w:rPr>
        <w:t>等。</w:t>
      </w:r>
    </w:p>
    <w:p>
      <w:pPr>
        <w:spacing w:line="480" w:lineRule="exact"/>
        <w:ind w:firstLine="560" w:firstLineChars="200"/>
        <w:rPr>
          <w:rFonts w:hAnsi="仿宋" w:eastAsia="仿宋"/>
          <w:kern w:val="0"/>
          <w:sz w:val="28"/>
        </w:rPr>
      </w:pPr>
      <w:r>
        <w:rPr>
          <w:rFonts w:hAnsi="仿宋" w:eastAsia="仿宋"/>
          <w:kern w:val="0"/>
          <w:sz w:val="28"/>
        </w:rPr>
        <w:t>（4）环境质量</w:t>
      </w:r>
    </w:p>
    <w:p>
      <w:pPr>
        <w:spacing w:line="480" w:lineRule="exact"/>
        <w:ind w:firstLine="560" w:firstLineChars="200"/>
        <w:rPr>
          <w:rFonts w:hAnsi="仿宋" w:eastAsia="仿宋"/>
          <w:kern w:val="0"/>
          <w:sz w:val="28"/>
        </w:rPr>
      </w:pPr>
      <w:r>
        <w:rPr>
          <w:rFonts w:hAnsi="仿宋" w:eastAsia="仿宋"/>
          <w:kern w:val="0"/>
          <w:sz w:val="28"/>
        </w:rPr>
        <w:t>A.绿化环境：估价对象所在</w:t>
      </w:r>
      <w:r>
        <w:rPr>
          <w:rFonts w:hint="eastAsia" w:hAnsi="仿宋" w:eastAsia="仿宋"/>
          <w:kern w:val="0"/>
          <w:sz w:val="28"/>
        </w:rPr>
        <w:t>宁武小区</w:t>
      </w:r>
      <w:r>
        <w:rPr>
          <w:rFonts w:hAnsi="仿宋" w:eastAsia="仿宋"/>
          <w:kern w:val="0"/>
          <w:sz w:val="28"/>
        </w:rPr>
        <w:t>，绿化率达到38%。</w:t>
      </w:r>
    </w:p>
    <w:p>
      <w:pPr>
        <w:spacing w:line="480" w:lineRule="exact"/>
        <w:ind w:firstLine="560" w:firstLineChars="200"/>
        <w:rPr>
          <w:rFonts w:hAnsi="仿宋" w:eastAsia="仿宋"/>
          <w:kern w:val="0"/>
          <w:sz w:val="28"/>
        </w:rPr>
      </w:pPr>
      <w:r>
        <w:rPr>
          <w:rFonts w:hAnsi="仿宋" w:eastAsia="仿宋"/>
          <w:kern w:val="0"/>
          <w:sz w:val="28"/>
        </w:rPr>
        <w:t>B.自然景观：估价对象所在区域属于</w:t>
      </w:r>
      <w:r>
        <w:rPr>
          <w:rFonts w:hint="eastAsia" w:hAnsi="仿宋" w:eastAsia="仿宋"/>
          <w:kern w:val="0"/>
          <w:sz w:val="28"/>
        </w:rPr>
        <w:t>杨浦区，</w:t>
      </w:r>
      <w:r>
        <w:rPr>
          <w:rFonts w:hAnsi="仿宋" w:eastAsia="仿宋"/>
          <w:kern w:val="0"/>
          <w:sz w:val="28"/>
        </w:rPr>
        <w:t>现</w:t>
      </w:r>
      <w:r>
        <w:rPr>
          <w:rFonts w:hint="eastAsia" w:hAnsi="仿宋" w:eastAsia="仿宋"/>
          <w:kern w:val="0"/>
          <w:sz w:val="28"/>
        </w:rPr>
        <w:t>大</w:t>
      </w:r>
      <w:r>
        <w:rPr>
          <w:rFonts w:hAnsi="仿宋" w:eastAsia="仿宋"/>
          <w:kern w:val="0"/>
          <w:sz w:val="28"/>
        </w:rPr>
        <w:t>部分开发为住宅</w:t>
      </w:r>
      <w:r>
        <w:rPr>
          <w:rFonts w:hint="eastAsia" w:hAnsi="仿宋" w:eastAsia="仿宋"/>
          <w:kern w:val="0"/>
          <w:sz w:val="28"/>
        </w:rPr>
        <w:t>、</w:t>
      </w:r>
      <w:r>
        <w:rPr>
          <w:rFonts w:hAnsi="仿宋" w:eastAsia="仿宋"/>
          <w:kern w:val="0"/>
          <w:sz w:val="28"/>
        </w:rPr>
        <w:t>商业，自然环境</w:t>
      </w:r>
      <w:r>
        <w:rPr>
          <w:rFonts w:hint="eastAsia" w:hAnsi="仿宋" w:eastAsia="仿宋"/>
          <w:kern w:val="0"/>
          <w:sz w:val="28"/>
        </w:rPr>
        <w:t>一般</w:t>
      </w:r>
      <w:r>
        <w:rPr>
          <w:rFonts w:hAnsi="仿宋" w:eastAsia="仿宋"/>
          <w:kern w:val="0"/>
          <w:sz w:val="28"/>
        </w:rPr>
        <w:t>。</w:t>
      </w:r>
    </w:p>
    <w:p>
      <w:pPr>
        <w:spacing w:line="480" w:lineRule="exact"/>
        <w:ind w:firstLine="560" w:firstLineChars="200"/>
        <w:rPr>
          <w:rFonts w:hAnsi="仿宋" w:eastAsia="仿宋"/>
          <w:kern w:val="0"/>
          <w:sz w:val="28"/>
        </w:rPr>
      </w:pPr>
      <w:r>
        <w:rPr>
          <w:rFonts w:hAnsi="仿宋" w:eastAsia="仿宋"/>
          <w:kern w:val="0"/>
          <w:sz w:val="28"/>
        </w:rPr>
        <w:t>C.景观环境：区域</w:t>
      </w:r>
      <w:r>
        <w:rPr>
          <w:rFonts w:hint="eastAsia" w:hAnsi="仿宋" w:eastAsia="仿宋"/>
          <w:kern w:val="0"/>
          <w:sz w:val="28"/>
        </w:rPr>
        <w:t>内</w:t>
      </w:r>
      <w:r>
        <w:rPr>
          <w:rFonts w:hAnsi="仿宋" w:eastAsia="仿宋"/>
          <w:kern w:val="0"/>
          <w:sz w:val="28"/>
        </w:rPr>
        <w:t>主要为城景、街景</w:t>
      </w:r>
      <w:r>
        <w:rPr>
          <w:rFonts w:hint="eastAsia" w:hAnsi="仿宋" w:eastAsia="仿宋"/>
          <w:kern w:val="0"/>
          <w:sz w:val="28"/>
        </w:rPr>
        <w:t>，</w:t>
      </w:r>
      <w:r>
        <w:rPr>
          <w:rFonts w:hAnsi="仿宋" w:eastAsia="仿宋"/>
          <w:kern w:val="0"/>
          <w:sz w:val="28"/>
        </w:rPr>
        <w:t>景观环境</w:t>
      </w:r>
      <w:r>
        <w:rPr>
          <w:rFonts w:hint="eastAsia" w:hAnsi="仿宋" w:eastAsia="仿宋"/>
          <w:kern w:val="0"/>
          <w:sz w:val="28"/>
        </w:rPr>
        <w:t>一般</w:t>
      </w:r>
      <w:r>
        <w:rPr>
          <w:rFonts w:hAnsi="仿宋" w:eastAsia="仿宋"/>
          <w:kern w:val="0"/>
          <w:sz w:val="28"/>
        </w:rPr>
        <w:t>。</w:t>
      </w:r>
    </w:p>
    <w:p>
      <w:pPr>
        <w:spacing w:line="480" w:lineRule="exact"/>
        <w:ind w:firstLine="560" w:firstLineChars="200"/>
        <w:rPr>
          <w:rFonts w:hAnsi="仿宋" w:eastAsia="仿宋"/>
          <w:kern w:val="0"/>
          <w:sz w:val="28"/>
        </w:rPr>
      </w:pPr>
      <w:r>
        <w:rPr>
          <w:rFonts w:hAnsi="仿宋" w:eastAsia="仿宋"/>
          <w:kern w:val="0"/>
          <w:sz w:val="28"/>
        </w:rPr>
        <w:t>D.空气质量：</w:t>
      </w:r>
      <w:r>
        <w:rPr>
          <w:rFonts w:hint="eastAsia" w:hAnsi="仿宋" w:eastAsia="仿宋"/>
          <w:kern w:val="0"/>
          <w:sz w:val="28"/>
        </w:rPr>
        <w:t>估价对象所在区域内无明显空气污染源，空气质量较好。</w:t>
      </w:r>
    </w:p>
    <w:p>
      <w:pPr>
        <w:pStyle w:val="4"/>
        <w:rPr>
          <w:rFonts w:eastAsia="仿宋"/>
        </w:rPr>
      </w:pPr>
      <w:bookmarkStart w:id="23" w:name="_Toc529777398"/>
      <w:r>
        <w:rPr>
          <w:rFonts w:hAnsi="仿宋" w:eastAsia="仿宋"/>
        </w:rPr>
        <w:t>五、价值时点</w:t>
      </w:r>
      <w:bookmarkEnd w:id="19"/>
      <w:bookmarkEnd w:id="20"/>
      <w:bookmarkEnd w:id="21"/>
      <w:bookmarkEnd w:id="22"/>
      <w:bookmarkEnd w:id="23"/>
    </w:p>
    <w:p>
      <w:pPr>
        <w:spacing w:line="480" w:lineRule="exact"/>
        <w:ind w:firstLine="560" w:firstLineChars="200"/>
        <w:rPr>
          <w:rFonts w:eastAsia="仿宋"/>
          <w:sz w:val="28"/>
        </w:rPr>
      </w:pPr>
      <w:bookmarkStart w:id="24" w:name="_Toc258499038"/>
      <w:r>
        <w:rPr>
          <w:rFonts w:hAnsi="仿宋" w:eastAsia="仿宋"/>
          <w:sz w:val="28"/>
        </w:rPr>
        <w:t>本次以注册房地产估价师实地查勘之日</w:t>
      </w:r>
      <w:r>
        <w:rPr>
          <w:rFonts w:eastAsia="仿宋"/>
          <w:sz w:val="28"/>
          <w:szCs w:val="28"/>
        </w:rPr>
        <w:t>2018年11月02日</w:t>
      </w:r>
      <w:r>
        <w:rPr>
          <w:rFonts w:hAnsi="仿宋" w:eastAsia="仿宋"/>
          <w:sz w:val="28"/>
        </w:rPr>
        <w:t>作为评估的价值时点。</w:t>
      </w:r>
    </w:p>
    <w:p>
      <w:pPr>
        <w:pStyle w:val="4"/>
        <w:rPr>
          <w:rFonts w:eastAsia="仿宋"/>
        </w:rPr>
      </w:pPr>
      <w:bookmarkStart w:id="25" w:name="_Toc529777399"/>
      <w:r>
        <w:rPr>
          <w:rFonts w:hAnsi="仿宋" w:eastAsia="仿宋"/>
        </w:rPr>
        <w:t>六、价值类型</w:t>
      </w:r>
      <w:bookmarkEnd w:id="25"/>
    </w:p>
    <w:p>
      <w:pPr>
        <w:spacing w:line="480" w:lineRule="exact"/>
        <w:ind w:firstLine="560" w:firstLineChars="200"/>
        <w:rPr>
          <w:rFonts w:eastAsia="仿宋"/>
          <w:sz w:val="28"/>
        </w:rPr>
      </w:pPr>
      <w:bookmarkStart w:id="26" w:name="_Toc434493018"/>
      <w:bookmarkStart w:id="27" w:name="_Toc391042808"/>
      <w:bookmarkStart w:id="28" w:name="_Toc434493836"/>
      <w:bookmarkStart w:id="29" w:name="_Toc392149081"/>
      <w:bookmarkStart w:id="30" w:name="_Toc434914374"/>
      <w:bookmarkStart w:id="31" w:name="_Toc438738452"/>
      <w:bookmarkStart w:id="32" w:name="_Toc437354442"/>
      <w:r>
        <w:rPr>
          <w:rFonts w:hAnsi="仿宋" w:eastAsia="仿宋"/>
          <w:sz w:val="28"/>
        </w:rPr>
        <w:t>根据《房地产估价规范》和本次估价的具体要求，本估价报告中的评估价值是指估价对象在现状状态下，用途为住宅房地产，在价值时点</w:t>
      </w:r>
      <w:r>
        <w:rPr>
          <w:rFonts w:eastAsia="仿宋"/>
          <w:sz w:val="28"/>
        </w:rPr>
        <w:t>2018年11月02日</w:t>
      </w:r>
      <w:r>
        <w:rPr>
          <w:rFonts w:hAnsi="仿宋" w:eastAsia="仿宋"/>
          <w:sz w:val="28"/>
        </w:rPr>
        <w:t>房屋建筑面积为</w:t>
      </w:r>
      <w:r>
        <w:rPr>
          <w:rFonts w:eastAsia="仿宋"/>
          <w:sz w:val="28"/>
        </w:rPr>
        <w:t>72.79m</w:t>
      </w:r>
      <w:r>
        <w:rPr>
          <w:rFonts w:eastAsia="仿宋"/>
          <w:sz w:val="28"/>
          <w:vertAlign w:val="superscript"/>
        </w:rPr>
        <w:t>2</w:t>
      </w:r>
      <w:r>
        <w:rPr>
          <w:rFonts w:hAnsi="仿宋" w:eastAsia="仿宋"/>
          <w:sz w:val="28"/>
        </w:rPr>
        <w:t>的市场价值。</w:t>
      </w:r>
    </w:p>
    <w:p>
      <w:pPr>
        <w:spacing w:line="480" w:lineRule="exact"/>
        <w:ind w:firstLine="560" w:firstLineChars="200"/>
        <w:rPr>
          <w:rFonts w:eastAsia="仿宋"/>
          <w:sz w:val="28"/>
          <w:szCs w:val="28"/>
        </w:rPr>
      </w:pPr>
      <w:r>
        <w:rPr>
          <w:rFonts w:hAnsi="仿宋" w:eastAsia="仿宋"/>
          <w:sz w:val="28"/>
          <w:szCs w:val="28"/>
        </w:rPr>
        <w:t>所谓市场价值是指估价对象经适当营销后，由熟悉情况、谨慎行事且不受强迫的交易双方，以公平交易方式在价值时点自愿进行交易的金额。</w:t>
      </w:r>
    </w:p>
    <w:p>
      <w:pPr>
        <w:pStyle w:val="4"/>
        <w:rPr>
          <w:rFonts w:eastAsia="仿宋"/>
        </w:rPr>
      </w:pPr>
      <w:bookmarkStart w:id="33" w:name="_Toc529777400"/>
      <w:r>
        <w:rPr>
          <w:rFonts w:hAnsi="仿宋" w:eastAsia="仿宋"/>
        </w:rPr>
        <w:t>七、估价原则</w:t>
      </w:r>
      <w:bookmarkEnd w:id="26"/>
      <w:bookmarkEnd w:id="27"/>
      <w:bookmarkEnd w:id="28"/>
      <w:bookmarkEnd w:id="29"/>
      <w:bookmarkEnd w:id="30"/>
      <w:bookmarkEnd w:id="31"/>
      <w:bookmarkEnd w:id="32"/>
      <w:bookmarkEnd w:id="33"/>
    </w:p>
    <w:p>
      <w:pPr>
        <w:spacing w:line="480" w:lineRule="exact"/>
        <w:ind w:firstLine="560" w:firstLineChars="200"/>
        <w:rPr>
          <w:rFonts w:eastAsia="仿宋"/>
          <w:sz w:val="28"/>
          <w:szCs w:val="28"/>
        </w:rPr>
      </w:pPr>
      <w:r>
        <w:rPr>
          <w:rFonts w:hAnsi="仿宋" w:eastAsia="仿宋"/>
          <w:sz w:val="28"/>
          <w:szCs w:val="28"/>
        </w:rPr>
        <w:t>本估价报告所要遵循的估价原则主要有：独立、客观、公正原则、合法原则、价值时点原则、替代原则、最高最佳利用原则。</w:t>
      </w:r>
    </w:p>
    <w:p>
      <w:pPr>
        <w:spacing w:line="480" w:lineRule="exact"/>
        <w:ind w:firstLine="560" w:firstLineChars="200"/>
        <w:rPr>
          <w:rFonts w:eastAsia="仿宋"/>
          <w:sz w:val="28"/>
          <w:szCs w:val="28"/>
        </w:rPr>
      </w:pPr>
      <w:r>
        <w:rPr>
          <w:rFonts w:eastAsia="仿宋"/>
          <w:sz w:val="28"/>
          <w:szCs w:val="28"/>
        </w:rPr>
        <w:t>1.</w:t>
      </w:r>
      <w:r>
        <w:rPr>
          <w:rFonts w:hAnsi="仿宋" w:eastAsia="仿宋"/>
          <w:sz w:val="28"/>
          <w:szCs w:val="28"/>
        </w:rPr>
        <w:t>独立、客观、公正原则</w:t>
      </w:r>
    </w:p>
    <w:p>
      <w:pPr>
        <w:spacing w:line="480" w:lineRule="exact"/>
        <w:ind w:firstLine="560" w:firstLineChars="200"/>
        <w:rPr>
          <w:rFonts w:eastAsia="仿宋"/>
          <w:sz w:val="28"/>
          <w:szCs w:val="28"/>
        </w:rPr>
      </w:pPr>
      <w:r>
        <w:rPr>
          <w:rFonts w:hAnsi="仿宋" w:eastAsia="仿宋"/>
          <w:sz w:val="28"/>
          <w:szCs w:val="28"/>
        </w:rPr>
        <w:t>要求站在中立的立场上，实事求是、公平正直地评估出对各方估价利害关系人均是公平合理的价值或价格的原则。</w:t>
      </w:r>
    </w:p>
    <w:p>
      <w:pPr>
        <w:spacing w:line="480" w:lineRule="exact"/>
        <w:ind w:firstLine="560" w:firstLineChars="200"/>
        <w:rPr>
          <w:rFonts w:eastAsia="仿宋"/>
          <w:sz w:val="28"/>
          <w:szCs w:val="28"/>
        </w:rPr>
      </w:pPr>
      <w:r>
        <w:rPr>
          <w:rFonts w:eastAsia="仿宋"/>
          <w:sz w:val="28"/>
          <w:szCs w:val="28"/>
        </w:rPr>
        <w:t>2.</w:t>
      </w:r>
      <w:r>
        <w:rPr>
          <w:rFonts w:hAnsi="仿宋" w:eastAsia="仿宋"/>
          <w:sz w:val="28"/>
          <w:szCs w:val="28"/>
        </w:rPr>
        <w:t>合法原则</w:t>
      </w:r>
    </w:p>
    <w:p>
      <w:pPr>
        <w:spacing w:line="480" w:lineRule="exact"/>
        <w:ind w:firstLine="560" w:firstLineChars="200"/>
        <w:rPr>
          <w:rFonts w:eastAsia="仿宋"/>
          <w:sz w:val="28"/>
          <w:szCs w:val="28"/>
        </w:rPr>
      </w:pPr>
      <w:r>
        <w:rPr>
          <w:rFonts w:hAnsi="仿宋" w:eastAsia="仿宋"/>
          <w:sz w:val="28"/>
          <w:szCs w:val="28"/>
        </w:rPr>
        <w:t>要求估价结果是在依法判定的估价对象状况下的价值或价格的原则。</w:t>
      </w:r>
    </w:p>
    <w:p>
      <w:pPr>
        <w:spacing w:line="480" w:lineRule="exact"/>
        <w:ind w:firstLine="560" w:firstLineChars="200"/>
        <w:rPr>
          <w:rFonts w:eastAsia="仿宋"/>
          <w:sz w:val="28"/>
          <w:szCs w:val="28"/>
        </w:rPr>
      </w:pPr>
      <w:r>
        <w:rPr>
          <w:rFonts w:eastAsia="仿宋"/>
          <w:sz w:val="28"/>
          <w:szCs w:val="28"/>
        </w:rPr>
        <w:t>3.</w:t>
      </w:r>
      <w:r>
        <w:rPr>
          <w:rFonts w:hAnsi="仿宋" w:eastAsia="仿宋"/>
          <w:sz w:val="28"/>
          <w:szCs w:val="28"/>
        </w:rPr>
        <w:t>价值时点原则</w:t>
      </w:r>
    </w:p>
    <w:p>
      <w:pPr>
        <w:spacing w:line="480" w:lineRule="exact"/>
        <w:ind w:firstLine="560" w:firstLineChars="200"/>
        <w:rPr>
          <w:rFonts w:eastAsia="仿宋"/>
          <w:sz w:val="28"/>
          <w:szCs w:val="28"/>
        </w:rPr>
      </w:pPr>
      <w:r>
        <w:rPr>
          <w:rFonts w:hAnsi="仿宋" w:eastAsia="仿宋"/>
          <w:sz w:val="28"/>
          <w:szCs w:val="28"/>
        </w:rPr>
        <w:t>要求估价结果是在根据估价目的确定的某一特定时间的价值或价格的原则。</w:t>
      </w:r>
    </w:p>
    <w:p>
      <w:pPr>
        <w:spacing w:line="480" w:lineRule="exact"/>
        <w:ind w:firstLine="560" w:firstLineChars="200"/>
        <w:rPr>
          <w:rFonts w:eastAsia="仿宋"/>
          <w:sz w:val="28"/>
          <w:szCs w:val="28"/>
        </w:rPr>
      </w:pPr>
      <w:r>
        <w:rPr>
          <w:rFonts w:eastAsia="仿宋"/>
          <w:sz w:val="28"/>
          <w:szCs w:val="28"/>
        </w:rPr>
        <w:t>4.</w:t>
      </w:r>
      <w:r>
        <w:rPr>
          <w:rFonts w:hAnsi="仿宋" w:eastAsia="仿宋"/>
          <w:sz w:val="28"/>
          <w:szCs w:val="28"/>
        </w:rPr>
        <w:t>替代原则</w:t>
      </w:r>
    </w:p>
    <w:p>
      <w:pPr>
        <w:spacing w:line="480" w:lineRule="exact"/>
        <w:ind w:firstLine="560" w:firstLineChars="200"/>
        <w:rPr>
          <w:rFonts w:eastAsia="仿宋"/>
          <w:sz w:val="28"/>
          <w:szCs w:val="28"/>
        </w:rPr>
      </w:pPr>
      <w:r>
        <w:rPr>
          <w:rFonts w:hAnsi="仿宋" w:eastAsia="仿宋"/>
          <w:sz w:val="28"/>
          <w:szCs w:val="28"/>
        </w:rPr>
        <w:t>要求估价结果与估价对象的类似房地产在同等条件下的价值或价格偏差在合理范围内的原则。</w:t>
      </w:r>
    </w:p>
    <w:p>
      <w:pPr>
        <w:spacing w:line="480" w:lineRule="exact"/>
        <w:ind w:firstLine="560" w:firstLineChars="200"/>
        <w:rPr>
          <w:rFonts w:eastAsia="仿宋"/>
          <w:sz w:val="28"/>
          <w:szCs w:val="28"/>
        </w:rPr>
      </w:pPr>
      <w:r>
        <w:rPr>
          <w:rFonts w:eastAsia="仿宋"/>
          <w:sz w:val="28"/>
          <w:szCs w:val="28"/>
        </w:rPr>
        <w:t>5.</w:t>
      </w:r>
      <w:r>
        <w:rPr>
          <w:rFonts w:hAnsi="仿宋" w:eastAsia="仿宋"/>
          <w:sz w:val="28"/>
          <w:szCs w:val="28"/>
        </w:rPr>
        <w:t>最高最佳利用原则</w:t>
      </w:r>
    </w:p>
    <w:p>
      <w:pPr>
        <w:spacing w:line="480" w:lineRule="exact"/>
        <w:ind w:firstLine="560" w:firstLineChars="200"/>
        <w:rPr>
          <w:rFonts w:eastAsia="仿宋"/>
          <w:sz w:val="28"/>
          <w:szCs w:val="28"/>
        </w:rPr>
      </w:pPr>
      <w:r>
        <w:rPr>
          <w:rFonts w:hAnsi="仿宋" w:eastAsia="仿宋"/>
          <w:sz w:val="28"/>
          <w:szCs w:val="28"/>
        </w:rPr>
        <w:t>要求估价结果是在估价对象最高最佳利用状况下的价值或价格的原则。所谓最高最佳利用，是指房地产在法律上允许、技术上可能、财务上可行并使价值最大的合理、可能的利用，包括最佳的用途、规模、档次等。</w:t>
      </w:r>
    </w:p>
    <w:p>
      <w:pPr>
        <w:pStyle w:val="4"/>
        <w:rPr>
          <w:rFonts w:eastAsia="仿宋"/>
        </w:rPr>
      </w:pPr>
      <w:bookmarkStart w:id="34" w:name="_Toc529777401"/>
      <w:r>
        <w:rPr>
          <w:rFonts w:hAnsi="仿宋" w:eastAsia="仿宋"/>
        </w:rPr>
        <w:t>八、估价依据</w:t>
      </w:r>
      <w:bookmarkEnd w:id="34"/>
    </w:p>
    <w:bookmarkEnd w:id="24"/>
    <w:p>
      <w:pPr>
        <w:spacing w:line="480" w:lineRule="exact"/>
        <w:ind w:firstLine="560" w:firstLineChars="200"/>
        <w:rPr>
          <w:rFonts w:eastAsia="仿宋"/>
          <w:sz w:val="28"/>
          <w:szCs w:val="28"/>
        </w:rPr>
      </w:pPr>
      <w:bookmarkStart w:id="35" w:name="_Toc258499040"/>
      <w:r>
        <w:rPr>
          <w:rFonts w:hAnsi="仿宋" w:eastAsia="仿宋"/>
          <w:sz w:val="28"/>
          <w:szCs w:val="28"/>
        </w:rPr>
        <w:t>（一）本次估价所依据的有关法律、法规和部门规章</w:t>
      </w:r>
    </w:p>
    <w:p>
      <w:pPr>
        <w:snapToGrid w:val="0"/>
        <w:spacing w:line="480" w:lineRule="exact"/>
        <w:ind w:firstLine="560"/>
        <w:rPr>
          <w:rFonts w:eastAsia="仿宋"/>
          <w:sz w:val="28"/>
          <w:szCs w:val="28"/>
        </w:rPr>
      </w:pPr>
      <w:r>
        <w:rPr>
          <w:rFonts w:eastAsia="仿宋"/>
          <w:sz w:val="28"/>
          <w:szCs w:val="28"/>
        </w:rPr>
        <w:t>1.</w:t>
      </w:r>
      <w:r>
        <w:rPr>
          <w:rFonts w:hAnsi="仿宋" w:eastAsia="仿宋"/>
          <w:sz w:val="28"/>
          <w:szCs w:val="28"/>
        </w:rPr>
        <w:t>《中华人民共和国物权法》（</w:t>
      </w:r>
      <w:r>
        <w:rPr>
          <w:rFonts w:eastAsia="仿宋"/>
          <w:sz w:val="28"/>
          <w:szCs w:val="28"/>
        </w:rPr>
        <w:t>2007</w:t>
      </w:r>
      <w:r>
        <w:rPr>
          <w:rFonts w:hAnsi="仿宋" w:eastAsia="仿宋"/>
          <w:sz w:val="28"/>
          <w:szCs w:val="28"/>
        </w:rPr>
        <w:t>年</w:t>
      </w:r>
      <w:r>
        <w:rPr>
          <w:rFonts w:eastAsia="仿宋"/>
          <w:sz w:val="28"/>
          <w:szCs w:val="28"/>
        </w:rPr>
        <w:t>3</w:t>
      </w:r>
      <w:r>
        <w:rPr>
          <w:rFonts w:hAnsi="仿宋" w:eastAsia="仿宋"/>
          <w:sz w:val="28"/>
          <w:szCs w:val="28"/>
        </w:rPr>
        <w:t>月</w:t>
      </w:r>
      <w:r>
        <w:rPr>
          <w:rFonts w:eastAsia="仿宋"/>
          <w:sz w:val="28"/>
          <w:szCs w:val="28"/>
        </w:rPr>
        <w:t>16</w:t>
      </w:r>
      <w:r>
        <w:rPr>
          <w:rFonts w:hAnsi="仿宋" w:eastAsia="仿宋"/>
          <w:sz w:val="28"/>
          <w:szCs w:val="28"/>
        </w:rPr>
        <w:t>日中华人民共和国主席令第</w:t>
      </w:r>
      <w:r>
        <w:rPr>
          <w:rFonts w:eastAsia="仿宋"/>
          <w:sz w:val="28"/>
          <w:szCs w:val="28"/>
        </w:rPr>
        <w:t>62</w:t>
      </w:r>
      <w:r>
        <w:rPr>
          <w:rFonts w:hAnsi="仿宋" w:eastAsia="仿宋"/>
          <w:sz w:val="28"/>
          <w:szCs w:val="28"/>
        </w:rPr>
        <w:t>号公布，自</w:t>
      </w:r>
      <w:r>
        <w:rPr>
          <w:rFonts w:eastAsia="仿宋"/>
          <w:sz w:val="28"/>
          <w:szCs w:val="28"/>
        </w:rPr>
        <w:t>2007</w:t>
      </w:r>
      <w:r>
        <w:rPr>
          <w:rFonts w:hAnsi="仿宋" w:eastAsia="仿宋"/>
          <w:sz w:val="28"/>
          <w:szCs w:val="28"/>
        </w:rPr>
        <w:t>年</w:t>
      </w:r>
      <w:r>
        <w:rPr>
          <w:rFonts w:eastAsia="仿宋"/>
          <w:sz w:val="28"/>
          <w:szCs w:val="28"/>
        </w:rPr>
        <w:t>10</w:t>
      </w:r>
      <w:r>
        <w:rPr>
          <w:rFonts w:hAnsi="仿宋" w:eastAsia="仿宋"/>
          <w:sz w:val="28"/>
          <w:szCs w:val="28"/>
        </w:rPr>
        <w:t>月</w:t>
      </w:r>
      <w:r>
        <w:rPr>
          <w:rFonts w:eastAsia="仿宋"/>
          <w:sz w:val="28"/>
          <w:szCs w:val="28"/>
        </w:rPr>
        <w:t>1</w:t>
      </w:r>
      <w:r>
        <w:rPr>
          <w:rFonts w:hAnsi="仿宋" w:eastAsia="仿宋"/>
          <w:sz w:val="28"/>
          <w:szCs w:val="28"/>
        </w:rPr>
        <w:t>日起施行）；</w:t>
      </w:r>
    </w:p>
    <w:p>
      <w:pPr>
        <w:snapToGrid w:val="0"/>
        <w:spacing w:line="480" w:lineRule="exact"/>
        <w:ind w:firstLine="560"/>
        <w:rPr>
          <w:rFonts w:eastAsia="仿宋"/>
          <w:sz w:val="28"/>
          <w:szCs w:val="28"/>
        </w:rPr>
      </w:pPr>
      <w:r>
        <w:rPr>
          <w:rFonts w:eastAsia="仿宋"/>
          <w:sz w:val="28"/>
          <w:szCs w:val="28"/>
        </w:rPr>
        <w:t>2.</w:t>
      </w:r>
      <w:r>
        <w:rPr>
          <w:rFonts w:hAnsi="仿宋" w:eastAsia="仿宋"/>
          <w:sz w:val="28"/>
          <w:szCs w:val="28"/>
        </w:rPr>
        <w:t>《中华人民共和国资产评估法》（</w:t>
      </w:r>
      <w:r>
        <w:rPr>
          <w:rFonts w:eastAsia="仿宋"/>
          <w:sz w:val="28"/>
          <w:szCs w:val="28"/>
        </w:rPr>
        <w:t>2016</w:t>
      </w:r>
      <w:r>
        <w:rPr>
          <w:rFonts w:hAnsi="仿宋" w:eastAsia="仿宋"/>
          <w:sz w:val="28"/>
          <w:szCs w:val="28"/>
        </w:rPr>
        <w:t>年</w:t>
      </w:r>
      <w:r>
        <w:rPr>
          <w:rFonts w:eastAsia="仿宋"/>
          <w:sz w:val="28"/>
          <w:szCs w:val="28"/>
        </w:rPr>
        <w:t>7</w:t>
      </w:r>
      <w:r>
        <w:rPr>
          <w:rFonts w:hAnsi="仿宋" w:eastAsia="仿宋"/>
          <w:sz w:val="28"/>
          <w:szCs w:val="28"/>
        </w:rPr>
        <w:t>月</w:t>
      </w:r>
      <w:r>
        <w:rPr>
          <w:rFonts w:eastAsia="仿宋"/>
          <w:sz w:val="28"/>
          <w:szCs w:val="28"/>
        </w:rPr>
        <w:t>2</w:t>
      </w:r>
      <w:r>
        <w:rPr>
          <w:rFonts w:hAnsi="仿宋" w:eastAsia="仿宋"/>
          <w:sz w:val="28"/>
          <w:szCs w:val="28"/>
        </w:rPr>
        <w:t>日全国人民代表大会常务委员会发布，自</w:t>
      </w:r>
      <w:r>
        <w:rPr>
          <w:rFonts w:eastAsia="仿宋"/>
          <w:sz w:val="28"/>
          <w:szCs w:val="28"/>
        </w:rPr>
        <w:t>2016</w:t>
      </w:r>
      <w:r>
        <w:rPr>
          <w:rFonts w:hAnsi="仿宋" w:eastAsia="仿宋"/>
          <w:sz w:val="28"/>
          <w:szCs w:val="28"/>
        </w:rPr>
        <w:t>年</w:t>
      </w:r>
      <w:r>
        <w:rPr>
          <w:rFonts w:eastAsia="仿宋"/>
          <w:sz w:val="28"/>
          <w:szCs w:val="28"/>
        </w:rPr>
        <w:t>12</w:t>
      </w:r>
      <w:r>
        <w:rPr>
          <w:rFonts w:hAnsi="仿宋" w:eastAsia="仿宋"/>
          <w:sz w:val="28"/>
          <w:szCs w:val="28"/>
        </w:rPr>
        <w:t>月</w:t>
      </w:r>
      <w:r>
        <w:rPr>
          <w:rFonts w:eastAsia="仿宋"/>
          <w:sz w:val="28"/>
          <w:szCs w:val="28"/>
        </w:rPr>
        <w:t>1</w:t>
      </w:r>
      <w:r>
        <w:rPr>
          <w:rFonts w:hAnsi="仿宋" w:eastAsia="仿宋"/>
          <w:sz w:val="28"/>
          <w:szCs w:val="28"/>
        </w:rPr>
        <w:t>日起施行）；</w:t>
      </w:r>
    </w:p>
    <w:p>
      <w:pPr>
        <w:snapToGrid w:val="0"/>
        <w:spacing w:line="480" w:lineRule="exact"/>
        <w:ind w:firstLine="560"/>
        <w:rPr>
          <w:rFonts w:eastAsia="仿宋"/>
          <w:sz w:val="28"/>
          <w:szCs w:val="28"/>
        </w:rPr>
      </w:pPr>
      <w:r>
        <w:rPr>
          <w:rFonts w:eastAsia="仿宋"/>
          <w:sz w:val="28"/>
          <w:szCs w:val="28"/>
        </w:rPr>
        <w:t>3.</w:t>
      </w:r>
      <w:r>
        <w:rPr>
          <w:rFonts w:hAnsi="仿宋" w:eastAsia="仿宋"/>
          <w:sz w:val="28"/>
          <w:szCs w:val="28"/>
        </w:rPr>
        <w:t>《中华人民共和国城市房地产管理法》（</w:t>
      </w:r>
      <w:r>
        <w:rPr>
          <w:rFonts w:eastAsia="仿宋"/>
          <w:sz w:val="28"/>
          <w:szCs w:val="28"/>
        </w:rPr>
        <w:t>1994</w:t>
      </w:r>
      <w:r>
        <w:rPr>
          <w:rFonts w:hAnsi="仿宋" w:eastAsia="仿宋"/>
          <w:sz w:val="28"/>
          <w:szCs w:val="28"/>
        </w:rPr>
        <w:t>年</w:t>
      </w:r>
      <w:r>
        <w:rPr>
          <w:rFonts w:eastAsia="仿宋"/>
          <w:sz w:val="28"/>
          <w:szCs w:val="28"/>
        </w:rPr>
        <w:t>7</w:t>
      </w:r>
      <w:r>
        <w:rPr>
          <w:rFonts w:hAnsi="仿宋" w:eastAsia="仿宋"/>
          <w:sz w:val="28"/>
          <w:szCs w:val="28"/>
        </w:rPr>
        <w:t>月</w:t>
      </w:r>
      <w:r>
        <w:rPr>
          <w:rFonts w:eastAsia="仿宋"/>
          <w:sz w:val="28"/>
          <w:szCs w:val="28"/>
        </w:rPr>
        <w:t>5</w:t>
      </w:r>
      <w:r>
        <w:rPr>
          <w:rFonts w:hAnsi="仿宋" w:eastAsia="仿宋"/>
          <w:sz w:val="28"/>
          <w:szCs w:val="28"/>
        </w:rPr>
        <w:t>日第八届全国人民代表大会常务委员会第八次会议通过，</w:t>
      </w:r>
      <w:r>
        <w:rPr>
          <w:rFonts w:eastAsia="仿宋"/>
          <w:sz w:val="28"/>
          <w:szCs w:val="28"/>
        </w:rPr>
        <w:t>2007</w:t>
      </w:r>
      <w:r>
        <w:rPr>
          <w:rFonts w:hAnsi="仿宋" w:eastAsia="仿宋"/>
          <w:sz w:val="28"/>
          <w:szCs w:val="28"/>
        </w:rPr>
        <w:t>年</w:t>
      </w:r>
      <w:r>
        <w:rPr>
          <w:rFonts w:eastAsia="仿宋"/>
          <w:sz w:val="28"/>
          <w:szCs w:val="28"/>
        </w:rPr>
        <w:t>8</w:t>
      </w:r>
      <w:r>
        <w:rPr>
          <w:rFonts w:hAnsi="仿宋" w:eastAsia="仿宋"/>
          <w:sz w:val="28"/>
          <w:szCs w:val="28"/>
        </w:rPr>
        <w:t>月</w:t>
      </w:r>
      <w:r>
        <w:rPr>
          <w:rFonts w:eastAsia="仿宋"/>
          <w:sz w:val="28"/>
          <w:szCs w:val="28"/>
        </w:rPr>
        <w:t>30</w:t>
      </w:r>
      <w:r>
        <w:rPr>
          <w:rFonts w:hAnsi="仿宋" w:eastAsia="仿宋"/>
          <w:sz w:val="28"/>
          <w:szCs w:val="28"/>
        </w:rPr>
        <w:t>日第十届全国人民代表大会常务委员会第二十九次会议修正，并自公布之日起施行）；</w:t>
      </w:r>
    </w:p>
    <w:p>
      <w:pPr>
        <w:snapToGrid w:val="0"/>
        <w:spacing w:line="480" w:lineRule="exact"/>
        <w:ind w:firstLine="560"/>
        <w:rPr>
          <w:rFonts w:eastAsia="仿宋"/>
          <w:sz w:val="28"/>
          <w:szCs w:val="28"/>
        </w:rPr>
      </w:pPr>
      <w:r>
        <w:rPr>
          <w:rFonts w:eastAsia="仿宋"/>
          <w:sz w:val="28"/>
          <w:szCs w:val="28"/>
        </w:rPr>
        <w:t>4.</w:t>
      </w:r>
      <w:r>
        <w:rPr>
          <w:rFonts w:hAnsi="仿宋" w:eastAsia="仿宋"/>
          <w:sz w:val="28"/>
          <w:szCs w:val="28"/>
        </w:rPr>
        <w:t>《中华人民共和国土地管理法》（</w:t>
      </w:r>
      <w:r>
        <w:rPr>
          <w:rFonts w:eastAsia="仿宋"/>
          <w:sz w:val="28"/>
          <w:szCs w:val="28"/>
        </w:rPr>
        <w:t>1986</w:t>
      </w:r>
      <w:r>
        <w:rPr>
          <w:rFonts w:hAnsi="仿宋" w:eastAsia="仿宋"/>
          <w:sz w:val="28"/>
          <w:szCs w:val="28"/>
        </w:rPr>
        <w:t>年</w:t>
      </w:r>
      <w:r>
        <w:rPr>
          <w:rFonts w:eastAsia="仿宋"/>
          <w:sz w:val="28"/>
          <w:szCs w:val="28"/>
        </w:rPr>
        <w:t>06</w:t>
      </w:r>
      <w:r>
        <w:rPr>
          <w:rFonts w:hAnsi="仿宋" w:eastAsia="仿宋"/>
          <w:sz w:val="28"/>
          <w:szCs w:val="28"/>
        </w:rPr>
        <w:t>月</w:t>
      </w:r>
      <w:r>
        <w:rPr>
          <w:rFonts w:eastAsia="仿宋"/>
          <w:sz w:val="28"/>
          <w:szCs w:val="28"/>
        </w:rPr>
        <w:t>25</w:t>
      </w:r>
      <w:r>
        <w:rPr>
          <w:rFonts w:hAnsi="仿宋" w:eastAsia="仿宋"/>
          <w:sz w:val="28"/>
          <w:szCs w:val="28"/>
        </w:rPr>
        <w:t>日中华人民共和国主席令第</w:t>
      </w:r>
      <w:r>
        <w:rPr>
          <w:rFonts w:eastAsia="仿宋"/>
          <w:sz w:val="28"/>
          <w:szCs w:val="28"/>
        </w:rPr>
        <w:t>41</w:t>
      </w:r>
      <w:r>
        <w:rPr>
          <w:rFonts w:hAnsi="仿宋" w:eastAsia="仿宋"/>
          <w:sz w:val="28"/>
          <w:szCs w:val="28"/>
        </w:rPr>
        <w:t>号公布，自</w:t>
      </w:r>
      <w:r>
        <w:rPr>
          <w:rFonts w:eastAsia="仿宋"/>
          <w:sz w:val="28"/>
          <w:szCs w:val="28"/>
        </w:rPr>
        <w:t>1987</w:t>
      </w:r>
      <w:r>
        <w:rPr>
          <w:rFonts w:hAnsi="仿宋" w:eastAsia="仿宋"/>
          <w:sz w:val="28"/>
          <w:szCs w:val="28"/>
        </w:rPr>
        <w:t>年</w:t>
      </w:r>
      <w:r>
        <w:rPr>
          <w:rFonts w:eastAsia="仿宋"/>
          <w:sz w:val="28"/>
          <w:szCs w:val="28"/>
        </w:rPr>
        <w:t>1</w:t>
      </w:r>
      <w:r>
        <w:rPr>
          <w:rFonts w:hAnsi="仿宋" w:eastAsia="仿宋"/>
          <w:sz w:val="28"/>
          <w:szCs w:val="28"/>
        </w:rPr>
        <w:t>月</w:t>
      </w:r>
      <w:r>
        <w:rPr>
          <w:rFonts w:eastAsia="仿宋"/>
          <w:sz w:val="28"/>
          <w:szCs w:val="28"/>
        </w:rPr>
        <w:t>1</w:t>
      </w:r>
      <w:r>
        <w:rPr>
          <w:rFonts w:hAnsi="仿宋" w:eastAsia="仿宋"/>
          <w:sz w:val="28"/>
          <w:szCs w:val="28"/>
        </w:rPr>
        <w:t>日起施行；</w:t>
      </w:r>
      <w:r>
        <w:rPr>
          <w:rFonts w:eastAsia="仿宋"/>
          <w:sz w:val="28"/>
          <w:szCs w:val="28"/>
        </w:rPr>
        <w:t>1988</w:t>
      </w:r>
      <w:r>
        <w:rPr>
          <w:rFonts w:hAnsi="仿宋" w:eastAsia="仿宋"/>
          <w:sz w:val="28"/>
          <w:szCs w:val="28"/>
        </w:rPr>
        <w:t>年</w:t>
      </w:r>
      <w:r>
        <w:rPr>
          <w:rFonts w:eastAsia="仿宋"/>
          <w:sz w:val="28"/>
          <w:szCs w:val="28"/>
        </w:rPr>
        <w:t>12</w:t>
      </w:r>
      <w:r>
        <w:rPr>
          <w:rFonts w:hAnsi="仿宋" w:eastAsia="仿宋"/>
          <w:sz w:val="28"/>
          <w:szCs w:val="28"/>
        </w:rPr>
        <w:t>月</w:t>
      </w:r>
      <w:r>
        <w:rPr>
          <w:rFonts w:eastAsia="仿宋"/>
          <w:sz w:val="28"/>
          <w:szCs w:val="28"/>
        </w:rPr>
        <w:t>29</w:t>
      </w:r>
      <w:r>
        <w:rPr>
          <w:rFonts w:hAnsi="仿宋" w:eastAsia="仿宋"/>
          <w:sz w:val="28"/>
          <w:szCs w:val="28"/>
        </w:rPr>
        <w:t>日第七届全国人民代表大会常务委员会第五次会议进行第一次修正，</w:t>
      </w:r>
      <w:r>
        <w:rPr>
          <w:rFonts w:eastAsia="仿宋"/>
          <w:sz w:val="28"/>
          <w:szCs w:val="28"/>
        </w:rPr>
        <w:t>2004</w:t>
      </w:r>
      <w:r>
        <w:rPr>
          <w:rFonts w:hAnsi="仿宋" w:eastAsia="仿宋"/>
          <w:sz w:val="28"/>
          <w:szCs w:val="28"/>
        </w:rPr>
        <w:t>年</w:t>
      </w:r>
      <w:r>
        <w:rPr>
          <w:rFonts w:eastAsia="仿宋"/>
          <w:sz w:val="28"/>
          <w:szCs w:val="28"/>
        </w:rPr>
        <w:t>08</w:t>
      </w:r>
      <w:r>
        <w:rPr>
          <w:rFonts w:hAnsi="仿宋" w:eastAsia="仿宋"/>
          <w:sz w:val="28"/>
          <w:szCs w:val="28"/>
        </w:rPr>
        <w:t>月</w:t>
      </w:r>
      <w:r>
        <w:rPr>
          <w:rFonts w:eastAsia="仿宋"/>
          <w:sz w:val="28"/>
          <w:szCs w:val="28"/>
        </w:rPr>
        <w:t>28</w:t>
      </w:r>
      <w:r>
        <w:rPr>
          <w:rFonts w:hAnsi="仿宋" w:eastAsia="仿宋"/>
          <w:sz w:val="28"/>
          <w:szCs w:val="28"/>
        </w:rPr>
        <w:t>日第十届全国人民代表大会常务委员会第十一次会议进行第二次修正，并自公布之日起施行）；</w:t>
      </w:r>
    </w:p>
    <w:p>
      <w:pPr>
        <w:snapToGrid w:val="0"/>
        <w:spacing w:line="480" w:lineRule="exact"/>
        <w:ind w:firstLine="560"/>
        <w:rPr>
          <w:rFonts w:eastAsia="仿宋"/>
          <w:sz w:val="28"/>
          <w:szCs w:val="28"/>
        </w:rPr>
      </w:pPr>
      <w:r>
        <w:rPr>
          <w:rFonts w:eastAsia="仿宋"/>
          <w:sz w:val="28"/>
          <w:szCs w:val="28"/>
        </w:rPr>
        <w:t>5.</w:t>
      </w:r>
      <w:r>
        <w:rPr>
          <w:rFonts w:hAnsi="仿宋" w:eastAsia="仿宋"/>
          <w:sz w:val="28"/>
          <w:szCs w:val="28"/>
        </w:rPr>
        <w:t>《中华人民共和国土地管理法实施条例》（</w:t>
      </w:r>
      <w:r>
        <w:rPr>
          <w:rFonts w:eastAsia="仿宋"/>
          <w:sz w:val="28"/>
          <w:szCs w:val="28"/>
          <w:shd w:val="clear" w:color="auto" w:fill="FFFFFF"/>
        </w:rPr>
        <w:t>1998</w:t>
      </w:r>
      <w:r>
        <w:rPr>
          <w:rFonts w:hAnsi="仿宋" w:eastAsia="仿宋"/>
          <w:sz w:val="28"/>
          <w:szCs w:val="28"/>
          <w:shd w:val="clear" w:color="auto" w:fill="FFFFFF"/>
        </w:rPr>
        <w:t>年</w:t>
      </w:r>
      <w:r>
        <w:rPr>
          <w:rFonts w:eastAsia="仿宋"/>
          <w:sz w:val="28"/>
          <w:szCs w:val="28"/>
          <w:shd w:val="clear" w:color="auto" w:fill="FFFFFF"/>
        </w:rPr>
        <w:t>12</w:t>
      </w:r>
      <w:r>
        <w:rPr>
          <w:rFonts w:hAnsi="仿宋" w:eastAsia="仿宋"/>
          <w:sz w:val="28"/>
          <w:szCs w:val="28"/>
          <w:shd w:val="clear" w:color="auto" w:fill="FFFFFF"/>
        </w:rPr>
        <w:t>月</w:t>
      </w:r>
      <w:r>
        <w:rPr>
          <w:rFonts w:eastAsia="仿宋"/>
          <w:sz w:val="28"/>
          <w:szCs w:val="28"/>
          <w:shd w:val="clear" w:color="auto" w:fill="FFFFFF"/>
        </w:rPr>
        <w:t>27</w:t>
      </w:r>
      <w:r>
        <w:rPr>
          <w:rFonts w:hAnsi="仿宋" w:eastAsia="仿宋"/>
          <w:sz w:val="28"/>
          <w:szCs w:val="28"/>
          <w:shd w:val="clear" w:color="auto" w:fill="FFFFFF"/>
        </w:rPr>
        <w:t>日中华人民共和国国务院令第</w:t>
      </w:r>
      <w:r>
        <w:rPr>
          <w:rFonts w:eastAsia="仿宋"/>
          <w:sz w:val="28"/>
          <w:szCs w:val="28"/>
          <w:shd w:val="clear" w:color="auto" w:fill="FFFFFF"/>
        </w:rPr>
        <w:t>256</w:t>
      </w:r>
      <w:r>
        <w:rPr>
          <w:rFonts w:hAnsi="仿宋" w:eastAsia="仿宋"/>
          <w:sz w:val="28"/>
          <w:szCs w:val="28"/>
          <w:shd w:val="clear" w:color="auto" w:fill="FFFFFF"/>
        </w:rPr>
        <w:t>号</w:t>
      </w:r>
      <w:r>
        <w:rPr>
          <w:rFonts w:hAnsi="仿宋" w:eastAsia="仿宋"/>
          <w:sz w:val="28"/>
          <w:szCs w:val="28"/>
        </w:rPr>
        <w:t>公布，自</w:t>
      </w:r>
      <w:r>
        <w:rPr>
          <w:rFonts w:eastAsia="仿宋"/>
          <w:sz w:val="28"/>
          <w:szCs w:val="28"/>
        </w:rPr>
        <w:t>1999</w:t>
      </w:r>
      <w:r>
        <w:rPr>
          <w:rFonts w:hAnsi="仿宋" w:eastAsia="仿宋"/>
          <w:sz w:val="28"/>
          <w:szCs w:val="28"/>
        </w:rPr>
        <w:t>年</w:t>
      </w:r>
      <w:r>
        <w:rPr>
          <w:rFonts w:eastAsia="仿宋"/>
          <w:sz w:val="28"/>
          <w:szCs w:val="28"/>
        </w:rPr>
        <w:t>1</w:t>
      </w:r>
      <w:r>
        <w:rPr>
          <w:rFonts w:hAnsi="仿宋" w:eastAsia="仿宋"/>
          <w:sz w:val="28"/>
          <w:szCs w:val="28"/>
        </w:rPr>
        <w:t>月</w:t>
      </w:r>
      <w:r>
        <w:rPr>
          <w:rFonts w:eastAsia="仿宋"/>
          <w:sz w:val="28"/>
          <w:szCs w:val="28"/>
        </w:rPr>
        <w:t>1</w:t>
      </w:r>
      <w:r>
        <w:rPr>
          <w:rFonts w:hAnsi="仿宋" w:eastAsia="仿宋"/>
          <w:sz w:val="28"/>
          <w:szCs w:val="28"/>
        </w:rPr>
        <w:t>日起施行</w:t>
      </w:r>
      <w:r>
        <w:rPr>
          <w:rFonts w:eastAsia="仿宋"/>
          <w:sz w:val="28"/>
          <w:szCs w:val="28"/>
        </w:rPr>
        <w:t xml:space="preserve">, </w:t>
      </w:r>
      <w:r>
        <w:rPr>
          <w:rFonts w:hAnsi="仿宋" w:eastAsia="仿宋"/>
          <w:sz w:val="28"/>
          <w:szCs w:val="28"/>
        </w:rPr>
        <w:t>根据</w:t>
      </w:r>
      <w:r>
        <w:rPr>
          <w:rFonts w:eastAsia="仿宋"/>
          <w:sz w:val="28"/>
          <w:szCs w:val="28"/>
        </w:rPr>
        <w:t>2011</w:t>
      </w:r>
      <w:r>
        <w:rPr>
          <w:rFonts w:hAnsi="仿宋" w:eastAsia="仿宋"/>
          <w:sz w:val="28"/>
          <w:szCs w:val="28"/>
        </w:rPr>
        <w:t>年</w:t>
      </w:r>
      <w:r>
        <w:rPr>
          <w:rFonts w:eastAsia="仿宋"/>
          <w:sz w:val="28"/>
          <w:szCs w:val="28"/>
        </w:rPr>
        <w:t>01</w:t>
      </w:r>
      <w:r>
        <w:rPr>
          <w:rFonts w:hAnsi="仿宋" w:eastAsia="仿宋"/>
          <w:sz w:val="28"/>
          <w:szCs w:val="28"/>
        </w:rPr>
        <w:t>月</w:t>
      </w:r>
      <w:r>
        <w:rPr>
          <w:rFonts w:eastAsia="仿宋"/>
          <w:sz w:val="28"/>
          <w:szCs w:val="28"/>
        </w:rPr>
        <w:t>08</w:t>
      </w:r>
      <w:r>
        <w:rPr>
          <w:rFonts w:hAnsi="仿宋" w:eastAsia="仿宋"/>
          <w:sz w:val="28"/>
          <w:szCs w:val="28"/>
        </w:rPr>
        <w:t>日《国务院关于废止和修改部分行政法规的决定》第一次修订，根据</w:t>
      </w:r>
      <w:r>
        <w:rPr>
          <w:rFonts w:eastAsia="仿宋"/>
          <w:sz w:val="28"/>
          <w:szCs w:val="28"/>
        </w:rPr>
        <w:t>2014</w:t>
      </w:r>
      <w:r>
        <w:rPr>
          <w:rFonts w:hAnsi="仿宋" w:eastAsia="仿宋"/>
          <w:sz w:val="28"/>
          <w:szCs w:val="28"/>
        </w:rPr>
        <w:t>年</w:t>
      </w:r>
      <w:r>
        <w:rPr>
          <w:rFonts w:eastAsia="仿宋"/>
          <w:sz w:val="28"/>
          <w:szCs w:val="28"/>
        </w:rPr>
        <w:t>07</w:t>
      </w:r>
      <w:r>
        <w:rPr>
          <w:rFonts w:hAnsi="仿宋" w:eastAsia="仿宋"/>
          <w:sz w:val="28"/>
          <w:szCs w:val="28"/>
        </w:rPr>
        <w:t>月</w:t>
      </w:r>
      <w:r>
        <w:rPr>
          <w:rFonts w:eastAsia="仿宋"/>
          <w:sz w:val="28"/>
          <w:szCs w:val="28"/>
        </w:rPr>
        <w:t>29</w:t>
      </w:r>
      <w:r>
        <w:rPr>
          <w:rFonts w:hAnsi="仿宋" w:eastAsia="仿宋"/>
          <w:sz w:val="28"/>
          <w:szCs w:val="28"/>
        </w:rPr>
        <w:t>日《国务院关于修改部分行政法规的决定》第二次修订）；</w:t>
      </w:r>
    </w:p>
    <w:p>
      <w:pPr>
        <w:snapToGrid w:val="0"/>
        <w:spacing w:line="480" w:lineRule="exact"/>
        <w:ind w:firstLine="560"/>
        <w:rPr>
          <w:rFonts w:eastAsia="仿宋"/>
          <w:sz w:val="28"/>
          <w:szCs w:val="28"/>
        </w:rPr>
      </w:pPr>
      <w:r>
        <w:rPr>
          <w:rFonts w:eastAsia="仿宋"/>
          <w:sz w:val="28"/>
          <w:szCs w:val="28"/>
        </w:rPr>
        <w:t>6.</w:t>
      </w:r>
      <w:r>
        <w:rPr>
          <w:rFonts w:hAnsi="仿宋" w:eastAsia="仿宋"/>
          <w:sz w:val="28"/>
          <w:szCs w:val="28"/>
        </w:rPr>
        <w:t>《中华人民共和国城乡规划法》（</w:t>
      </w:r>
      <w:r>
        <w:rPr>
          <w:rFonts w:hAnsi="仿宋" w:eastAsia="仿宋"/>
          <w:sz w:val="28"/>
          <w:szCs w:val="28"/>
          <w:shd w:val="clear" w:color="auto" w:fill="FFFFFF"/>
        </w:rPr>
        <w:t>中华人民共和国第十届全国人民代表大会常务委员会第三十次会议于</w:t>
      </w:r>
      <w:r>
        <w:rPr>
          <w:rFonts w:eastAsia="仿宋"/>
          <w:sz w:val="28"/>
          <w:szCs w:val="28"/>
          <w:shd w:val="clear" w:color="auto" w:fill="FFFFFF"/>
        </w:rPr>
        <w:t>2007</w:t>
      </w:r>
      <w:r>
        <w:rPr>
          <w:rFonts w:hAnsi="仿宋" w:eastAsia="仿宋"/>
          <w:sz w:val="28"/>
          <w:szCs w:val="28"/>
          <w:shd w:val="clear" w:color="auto" w:fill="FFFFFF"/>
        </w:rPr>
        <w:t>年</w:t>
      </w:r>
      <w:r>
        <w:rPr>
          <w:rFonts w:eastAsia="仿宋"/>
          <w:sz w:val="28"/>
          <w:szCs w:val="28"/>
          <w:shd w:val="clear" w:color="auto" w:fill="FFFFFF"/>
        </w:rPr>
        <w:t>10</w:t>
      </w:r>
      <w:r>
        <w:rPr>
          <w:rFonts w:hAnsi="仿宋" w:eastAsia="仿宋"/>
          <w:sz w:val="28"/>
          <w:szCs w:val="28"/>
          <w:shd w:val="clear" w:color="auto" w:fill="FFFFFF"/>
        </w:rPr>
        <w:t>月</w:t>
      </w:r>
      <w:r>
        <w:rPr>
          <w:rFonts w:eastAsia="仿宋"/>
          <w:sz w:val="28"/>
          <w:szCs w:val="28"/>
          <w:shd w:val="clear" w:color="auto" w:fill="FFFFFF"/>
        </w:rPr>
        <w:t>28</w:t>
      </w:r>
      <w:r>
        <w:rPr>
          <w:rFonts w:hAnsi="仿宋" w:eastAsia="仿宋"/>
          <w:sz w:val="28"/>
          <w:szCs w:val="28"/>
          <w:shd w:val="clear" w:color="auto" w:fill="FFFFFF"/>
        </w:rPr>
        <w:t>日通过</w:t>
      </w:r>
      <w:r>
        <w:rPr>
          <w:rFonts w:hAnsi="仿宋" w:eastAsia="仿宋"/>
          <w:sz w:val="28"/>
          <w:szCs w:val="28"/>
        </w:rPr>
        <w:t>，</w:t>
      </w:r>
      <w:r>
        <w:rPr>
          <w:rFonts w:hAnsi="仿宋" w:eastAsia="仿宋"/>
          <w:sz w:val="28"/>
          <w:szCs w:val="28"/>
          <w:shd w:val="clear" w:color="auto" w:fill="FFFFFF"/>
        </w:rPr>
        <w:t>自</w:t>
      </w:r>
      <w:r>
        <w:rPr>
          <w:rFonts w:eastAsia="仿宋"/>
          <w:sz w:val="28"/>
          <w:szCs w:val="28"/>
          <w:shd w:val="clear" w:color="auto" w:fill="FFFFFF"/>
        </w:rPr>
        <w:t>2008</w:t>
      </w:r>
      <w:r>
        <w:rPr>
          <w:rFonts w:hAnsi="仿宋" w:eastAsia="仿宋"/>
          <w:sz w:val="28"/>
          <w:szCs w:val="28"/>
          <w:shd w:val="clear" w:color="auto" w:fill="FFFFFF"/>
        </w:rPr>
        <w:t>年</w:t>
      </w:r>
      <w:r>
        <w:rPr>
          <w:rFonts w:eastAsia="仿宋"/>
          <w:sz w:val="28"/>
          <w:szCs w:val="28"/>
          <w:shd w:val="clear" w:color="auto" w:fill="FFFFFF"/>
        </w:rPr>
        <w:t>1</w:t>
      </w:r>
      <w:r>
        <w:rPr>
          <w:rFonts w:hAnsi="仿宋" w:eastAsia="仿宋"/>
          <w:sz w:val="28"/>
          <w:szCs w:val="28"/>
          <w:shd w:val="clear" w:color="auto" w:fill="FFFFFF"/>
        </w:rPr>
        <w:t>月</w:t>
      </w:r>
      <w:r>
        <w:rPr>
          <w:rFonts w:eastAsia="仿宋"/>
          <w:sz w:val="28"/>
          <w:szCs w:val="28"/>
          <w:shd w:val="clear" w:color="auto" w:fill="FFFFFF"/>
        </w:rPr>
        <w:t>1</w:t>
      </w:r>
      <w:r>
        <w:rPr>
          <w:rFonts w:hAnsi="仿宋" w:eastAsia="仿宋"/>
          <w:sz w:val="28"/>
          <w:szCs w:val="28"/>
          <w:shd w:val="clear" w:color="auto" w:fill="FFFFFF"/>
        </w:rPr>
        <w:t>日起施</w:t>
      </w:r>
      <w:r>
        <w:rPr>
          <w:rFonts w:hAnsi="仿宋" w:eastAsia="仿宋"/>
          <w:sz w:val="28"/>
          <w:szCs w:val="28"/>
        </w:rPr>
        <w:t>行</w:t>
      </w:r>
      <w:r>
        <w:rPr>
          <w:rFonts w:eastAsia="仿宋"/>
          <w:sz w:val="28"/>
          <w:szCs w:val="28"/>
        </w:rPr>
        <w:t>; 2001</w:t>
      </w:r>
      <w:r>
        <w:rPr>
          <w:rFonts w:hAnsi="仿宋" w:eastAsia="仿宋"/>
          <w:sz w:val="28"/>
          <w:szCs w:val="28"/>
        </w:rPr>
        <w:t>年</w:t>
      </w:r>
      <w:r>
        <w:rPr>
          <w:rFonts w:eastAsia="仿宋"/>
          <w:sz w:val="28"/>
          <w:szCs w:val="28"/>
        </w:rPr>
        <w:t>4</w:t>
      </w:r>
      <w:r>
        <w:rPr>
          <w:rFonts w:hAnsi="仿宋" w:eastAsia="仿宋"/>
          <w:sz w:val="28"/>
          <w:szCs w:val="28"/>
        </w:rPr>
        <w:t>月</w:t>
      </w:r>
      <w:r>
        <w:rPr>
          <w:rFonts w:eastAsia="仿宋"/>
          <w:sz w:val="28"/>
          <w:szCs w:val="28"/>
        </w:rPr>
        <w:t>24</w:t>
      </w:r>
      <w:r>
        <w:rPr>
          <w:rFonts w:hAnsi="仿宋" w:eastAsia="仿宋"/>
          <w:sz w:val="28"/>
          <w:szCs w:val="28"/>
        </w:rPr>
        <w:t>日，第十二届全国人民代表大会常务委员会第十四次会议通过对《中华人民共和国城乡规划法》作出修改）；</w:t>
      </w:r>
    </w:p>
    <w:p>
      <w:pPr>
        <w:spacing w:line="480" w:lineRule="exact"/>
        <w:ind w:firstLine="560" w:firstLineChars="200"/>
        <w:rPr>
          <w:rFonts w:eastAsia="仿宋"/>
          <w:sz w:val="28"/>
          <w:szCs w:val="28"/>
        </w:rPr>
      </w:pPr>
      <w:r>
        <w:rPr>
          <w:rFonts w:eastAsia="仿宋"/>
          <w:sz w:val="28"/>
          <w:szCs w:val="28"/>
        </w:rPr>
        <w:t>7.</w:t>
      </w:r>
      <w:r>
        <w:rPr>
          <w:rFonts w:hAnsi="仿宋" w:eastAsia="仿宋"/>
          <w:sz w:val="28"/>
          <w:szCs w:val="28"/>
        </w:rPr>
        <w:t>《中华人民共和国城镇国有土地使用权出让和转让暂行条例》（</w:t>
      </w:r>
      <w:r>
        <w:rPr>
          <w:rFonts w:eastAsia="仿宋"/>
          <w:sz w:val="28"/>
          <w:szCs w:val="28"/>
        </w:rPr>
        <w:t>1990</w:t>
      </w:r>
      <w:r>
        <w:rPr>
          <w:rFonts w:hAnsi="仿宋" w:eastAsia="仿宋"/>
          <w:sz w:val="28"/>
          <w:szCs w:val="28"/>
        </w:rPr>
        <w:t>年</w:t>
      </w:r>
      <w:r>
        <w:rPr>
          <w:rFonts w:eastAsia="仿宋"/>
          <w:sz w:val="28"/>
          <w:szCs w:val="28"/>
        </w:rPr>
        <w:t>5</w:t>
      </w:r>
      <w:r>
        <w:rPr>
          <w:rFonts w:hAnsi="仿宋" w:eastAsia="仿宋"/>
          <w:sz w:val="28"/>
          <w:szCs w:val="28"/>
        </w:rPr>
        <w:t>月</w:t>
      </w:r>
      <w:r>
        <w:rPr>
          <w:rFonts w:eastAsia="仿宋"/>
          <w:sz w:val="28"/>
          <w:szCs w:val="28"/>
        </w:rPr>
        <w:t>19</w:t>
      </w:r>
      <w:r>
        <w:rPr>
          <w:rFonts w:hAnsi="仿宋" w:eastAsia="仿宋"/>
          <w:sz w:val="28"/>
          <w:szCs w:val="28"/>
        </w:rPr>
        <w:t>日国务院令第</w:t>
      </w:r>
      <w:r>
        <w:rPr>
          <w:rFonts w:eastAsia="仿宋"/>
          <w:sz w:val="28"/>
          <w:szCs w:val="28"/>
        </w:rPr>
        <w:t>55</w:t>
      </w:r>
      <w:r>
        <w:rPr>
          <w:rFonts w:hAnsi="仿宋" w:eastAsia="仿宋"/>
          <w:sz w:val="28"/>
          <w:szCs w:val="28"/>
        </w:rPr>
        <w:t>号公布，自公布之日起施行）；</w:t>
      </w:r>
    </w:p>
    <w:p>
      <w:pPr>
        <w:spacing w:line="480" w:lineRule="exact"/>
        <w:ind w:firstLine="560" w:firstLineChars="200"/>
        <w:rPr>
          <w:rFonts w:eastAsia="仿宋"/>
          <w:sz w:val="28"/>
          <w:szCs w:val="28"/>
        </w:rPr>
      </w:pPr>
      <w:r>
        <w:rPr>
          <w:rFonts w:eastAsia="仿宋"/>
          <w:sz w:val="28"/>
          <w:szCs w:val="28"/>
        </w:rPr>
        <w:t>8.</w:t>
      </w:r>
      <w:r>
        <w:rPr>
          <w:rFonts w:hAnsi="仿宋" w:eastAsia="仿宋"/>
          <w:sz w:val="28"/>
          <w:szCs w:val="28"/>
        </w:rPr>
        <w:t>《城市房地产转让管理规定》（</w:t>
      </w:r>
      <w:r>
        <w:rPr>
          <w:rFonts w:eastAsia="仿宋"/>
          <w:sz w:val="28"/>
          <w:szCs w:val="28"/>
        </w:rPr>
        <w:t>1995</w:t>
      </w:r>
      <w:r>
        <w:rPr>
          <w:rFonts w:hAnsi="仿宋" w:eastAsia="仿宋"/>
          <w:sz w:val="28"/>
          <w:szCs w:val="28"/>
        </w:rPr>
        <w:t>年</w:t>
      </w:r>
      <w:r>
        <w:rPr>
          <w:rFonts w:eastAsia="仿宋"/>
          <w:sz w:val="28"/>
          <w:szCs w:val="28"/>
        </w:rPr>
        <w:t>8</w:t>
      </w:r>
      <w:r>
        <w:rPr>
          <w:rFonts w:hAnsi="仿宋" w:eastAsia="仿宋"/>
          <w:sz w:val="28"/>
          <w:szCs w:val="28"/>
        </w:rPr>
        <w:t>月</w:t>
      </w:r>
      <w:r>
        <w:rPr>
          <w:rFonts w:eastAsia="仿宋"/>
          <w:sz w:val="28"/>
          <w:szCs w:val="28"/>
        </w:rPr>
        <w:t>7</w:t>
      </w:r>
      <w:r>
        <w:rPr>
          <w:rFonts w:hAnsi="仿宋" w:eastAsia="仿宋"/>
          <w:sz w:val="28"/>
          <w:szCs w:val="28"/>
        </w:rPr>
        <w:t>日建设部令第</w:t>
      </w:r>
      <w:r>
        <w:rPr>
          <w:rFonts w:eastAsia="仿宋"/>
          <w:sz w:val="28"/>
          <w:szCs w:val="28"/>
        </w:rPr>
        <w:t>45</w:t>
      </w:r>
      <w:r>
        <w:rPr>
          <w:rFonts w:hAnsi="仿宋" w:eastAsia="仿宋"/>
          <w:sz w:val="28"/>
          <w:szCs w:val="28"/>
        </w:rPr>
        <w:t>号发布，</w:t>
      </w:r>
      <w:r>
        <w:rPr>
          <w:rFonts w:eastAsia="仿宋"/>
          <w:sz w:val="28"/>
          <w:szCs w:val="28"/>
        </w:rPr>
        <w:t>1995</w:t>
      </w:r>
      <w:r>
        <w:rPr>
          <w:rFonts w:hAnsi="仿宋" w:eastAsia="仿宋"/>
          <w:sz w:val="28"/>
          <w:szCs w:val="28"/>
        </w:rPr>
        <w:t>年</w:t>
      </w:r>
      <w:r>
        <w:rPr>
          <w:rFonts w:eastAsia="仿宋"/>
          <w:sz w:val="28"/>
          <w:szCs w:val="28"/>
        </w:rPr>
        <w:t>9</w:t>
      </w:r>
      <w:r>
        <w:rPr>
          <w:rFonts w:hAnsi="仿宋" w:eastAsia="仿宋"/>
          <w:sz w:val="28"/>
          <w:szCs w:val="28"/>
        </w:rPr>
        <w:t>月</w:t>
      </w:r>
      <w:r>
        <w:rPr>
          <w:rFonts w:eastAsia="仿宋"/>
          <w:sz w:val="28"/>
          <w:szCs w:val="28"/>
        </w:rPr>
        <w:t>1</w:t>
      </w:r>
      <w:r>
        <w:rPr>
          <w:rFonts w:hAnsi="仿宋" w:eastAsia="仿宋"/>
          <w:sz w:val="28"/>
          <w:szCs w:val="28"/>
        </w:rPr>
        <w:t>日起施行，</w:t>
      </w:r>
      <w:r>
        <w:rPr>
          <w:rFonts w:eastAsia="仿宋"/>
          <w:sz w:val="28"/>
          <w:szCs w:val="28"/>
        </w:rPr>
        <w:t>2001</w:t>
      </w:r>
      <w:r>
        <w:rPr>
          <w:rFonts w:hAnsi="仿宋" w:eastAsia="仿宋"/>
          <w:sz w:val="28"/>
          <w:szCs w:val="28"/>
        </w:rPr>
        <w:t>年</w:t>
      </w:r>
      <w:r>
        <w:rPr>
          <w:rFonts w:eastAsia="仿宋"/>
          <w:sz w:val="28"/>
          <w:szCs w:val="28"/>
        </w:rPr>
        <w:t>8</w:t>
      </w:r>
      <w:r>
        <w:rPr>
          <w:rFonts w:hAnsi="仿宋" w:eastAsia="仿宋"/>
          <w:sz w:val="28"/>
          <w:szCs w:val="28"/>
        </w:rPr>
        <w:t>月</w:t>
      </w:r>
      <w:r>
        <w:rPr>
          <w:rFonts w:eastAsia="仿宋"/>
          <w:sz w:val="28"/>
          <w:szCs w:val="28"/>
        </w:rPr>
        <w:t>15</w:t>
      </w:r>
      <w:r>
        <w:rPr>
          <w:rFonts w:hAnsi="仿宋" w:eastAsia="仿宋"/>
          <w:sz w:val="28"/>
          <w:szCs w:val="28"/>
        </w:rPr>
        <w:t>日根据《建设部关于修改＜城市房地产转让管理规定＞的决定》修正）；</w:t>
      </w:r>
    </w:p>
    <w:p>
      <w:pPr>
        <w:spacing w:line="480" w:lineRule="exact"/>
        <w:ind w:firstLine="560" w:firstLineChars="200"/>
        <w:rPr>
          <w:rFonts w:eastAsia="仿宋"/>
          <w:sz w:val="28"/>
          <w:szCs w:val="28"/>
        </w:rPr>
      </w:pPr>
      <w:r>
        <w:rPr>
          <w:rFonts w:eastAsia="仿宋"/>
          <w:sz w:val="28"/>
          <w:szCs w:val="28"/>
        </w:rPr>
        <w:t xml:space="preserve">9. </w:t>
      </w:r>
      <w:r>
        <w:rPr>
          <w:rFonts w:hAnsi="仿宋" w:eastAsia="仿宋"/>
          <w:sz w:val="28"/>
          <w:szCs w:val="28"/>
        </w:rPr>
        <w:t>《全国人大常委会关于司法鉴定管理问题的决定》（</w:t>
      </w:r>
      <w:r>
        <w:rPr>
          <w:rFonts w:eastAsia="仿宋"/>
          <w:sz w:val="28"/>
          <w:szCs w:val="28"/>
        </w:rPr>
        <w:t>2005</w:t>
      </w:r>
      <w:r>
        <w:rPr>
          <w:rFonts w:hAnsi="仿宋" w:eastAsia="仿宋"/>
          <w:sz w:val="28"/>
          <w:szCs w:val="28"/>
        </w:rPr>
        <w:t>年</w:t>
      </w:r>
      <w:r>
        <w:rPr>
          <w:rFonts w:eastAsia="仿宋"/>
          <w:sz w:val="28"/>
          <w:szCs w:val="28"/>
        </w:rPr>
        <w:t>2</w:t>
      </w:r>
      <w:r>
        <w:rPr>
          <w:rFonts w:hAnsi="仿宋" w:eastAsia="仿宋"/>
          <w:sz w:val="28"/>
          <w:szCs w:val="28"/>
        </w:rPr>
        <w:t>月</w:t>
      </w:r>
      <w:r>
        <w:rPr>
          <w:rFonts w:eastAsia="仿宋"/>
          <w:sz w:val="28"/>
          <w:szCs w:val="28"/>
        </w:rPr>
        <w:t>28</w:t>
      </w:r>
      <w:r>
        <w:rPr>
          <w:rFonts w:hAnsi="仿宋" w:eastAsia="仿宋"/>
          <w:sz w:val="28"/>
          <w:szCs w:val="28"/>
        </w:rPr>
        <w:t>日第十届全国人民代表大会常务委员会第十四次会议通过，根据</w:t>
      </w:r>
      <w:r>
        <w:rPr>
          <w:rFonts w:eastAsia="仿宋"/>
          <w:sz w:val="28"/>
          <w:szCs w:val="28"/>
        </w:rPr>
        <w:t>2015</w:t>
      </w:r>
      <w:r>
        <w:rPr>
          <w:rFonts w:hAnsi="仿宋" w:eastAsia="仿宋"/>
          <w:sz w:val="28"/>
          <w:szCs w:val="28"/>
        </w:rPr>
        <w:t>年</w:t>
      </w:r>
      <w:r>
        <w:rPr>
          <w:rFonts w:eastAsia="仿宋"/>
          <w:sz w:val="28"/>
          <w:szCs w:val="28"/>
        </w:rPr>
        <w:t>4</w:t>
      </w:r>
      <w:r>
        <w:rPr>
          <w:rFonts w:hAnsi="仿宋" w:eastAsia="仿宋"/>
          <w:sz w:val="28"/>
          <w:szCs w:val="28"/>
        </w:rPr>
        <w:t>月</w:t>
      </w:r>
      <w:r>
        <w:rPr>
          <w:rFonts w:eastAsia="仿宋"/>
          <w:sz w:val="28"/>
          <w:szCs w:val="28"/>
        </w:rPr>
        <w:t>24</w:t>
      </w:r>
      <w:r>
        <w:rPr>
          <w:rFonts w:hAnsi="仿宋" w:eastAsia="仿宋"/>
          <w:sz w:val="28"/>
          <w:szCs w:val="28"/>
        </w:rPr>
        <w:t>日全国人民代表大会常务委员会关于修改《中华人民共和国义务教育法》等五部法律的决定修订）；</w:t>
      </w:r>
    </w:p>
    <w:p>
      <w:pPr>
        <w:spacing w:line="480" w:lineRule="exact"/>
        <w:ind w:firstLine="560" w:firstLineChars="200"/>
        <w:rPr>
          <w:rFonts w:eastAsia="仿宋"/>
          <w:sz w:val="28"/>
          <w:szCs w:val="28"/>
        </w:rPr>
      </w:pPr>
      <w:r>
        <w:rPr>
          <w:rFonts w:eastAsia="仿宋"/>
          <w:sz w:val="28"/>
          <w:szCs w:val="28"/>
        </w:rPr>
        <w:t xml:space="preserve">10. </w:t>
      </w:r>
      <w:r>
        <w:rPr>
          <w:rFonts w:hAnsi="仿宋" w:eastAsia="仿宋"/>
          <w:sz w:val="28"/>
          <w:szCs w:val="28"/>
        </w:rPr>
        <w:t>《人民法院对外委托司法鉴定管理规定》（经</w:t>
      </w:r>
      <w:r>
        <w:rPr>
          <w:rFonts w:eastAsia="仿宋"/>
          <w:sz w:val="28"/>
          <w:szCs w:val="28"/>
        </w:rPr>
        <w:t>2002</w:t>
      </w:r>
      <w:r>
        <w:rPr>
          <w:rFonts w:hAnsi="仿宋" w:eastAsia="仿宋"/>
          <w:sz w:val="28"/>
          <w:szCs w:val="28"/>
        </w:rPr>
        <w:t>年</w:t>
      </w:r>
      <w:r>
        <w:rPr>
          <w:rFonts w:eastAsia="仿宋"/>
          <w:sz w:val="28"/>
          <w:szCs w:val="28"/>
        </w:rPr>
        <w:t>2</w:t>
      </w:r>
      <w:r>
        <w:rPr>
          <w:rFonts w:hAnsi="仿宋" w:eastAsia="仿宋"/>
          <w:sz w:val="28"/>
          <w:szCs w:val="28"/>
        </w:rPr>
        <w:t>月</w:t>
      </w:r>
      <w:r>
        <w:rPr>
          <w:rFonts w:eastAsia="仿宋"/>
          <w:sz w:val="28"/>
          <w:szCs w:val="28"/>
        </w:rPr>
        <w:t>22</w:t>
      </w:r>
      <w:r>
        <w:rPr>
          <w:rFonts w:hAnsi="仿宋" w:eastAsia="仿宋"/>
          <w:sz w:val="28"/>
          <w:szCs w:val="28"/>
        </w:rPr>
        <w:t>日由最高人民法院审判委员会第</w:t>
      </w:r>
      <w:r>
        <w:rPr>
          <w:rFonts w:eastAsia="仿宋"/>
          <w:sz w:val="28"/>
          <w:szCs w:val="28"/>
        </w:rPr>
        <w:t>1214</w:t>
      </w:r>
      <w:r>
        <w:rPr>
          <w:rFonts w:hAnsi="仿宋" w:eastAsia="仿宋"/>
          <w:sz w:val="28"/>
          <w:szCs w:val="28"/>
        </w:rPr>
        <w:t>次会议通过）；</w:t>
      </w:r>
    </w:p>
    <w:p>
      <w:pPr>
        <w:spacing w:line="480" w:lineRule="exact"/>
        <w:ind w:firstLine="560" w:firstLineChars="200"/>
        <w:rPr>
          <w:rFonts w:eastAsia="仿宋"/>
          <w:sz w:val="28"/>
          <w:szCs w:val="28"/>
        </w:rPr>
      </w:pPr>
      <w:r>
        <w:rPr>
          <w:rFonts w:eastAsia="仿宋"/>
          <w:sz w:val="28"/>
          <w:szCs w:val="28"/>
        </w:rPr>
        <w:t>11.</w:t>
      </w:r>
      <w:r>
        <w:rPr>
          <w:rFonts w:hAnsi="仿宋" w:eastAsia="仿宋"/>
          <w:sz w:val="28"/>
          <w:szCs w:val="28"/>
        </w:rPr>
        <w:t>最高人民法院关于印发《人民法院司法鉴定工作暂行规定》的通知（法发</w:t>
      </w:r>
      <w:r>
        <w:rPr>
          <w:rFonts w:eastAsia="仿宋"/>
          <w:sz w:val="28"/>
          <w:szCs w:val="28"/>
        </w:rPr>
        <w:t>[2001]23</w:t>
      </w:r>
      <w:r>
        <w:rPr>
          <w:rFonts w:hAnsi="仿宋" w:eastAsia="仿宋"/>
          <w:sz w:val="28"/>
          <w:szCs w:val="28"/>
        </w:rPr>
        <w:t>号）；</w:t>
      </w:r>
    </w:p>
    <w:p>
      <w:pPr>
        <w:spacing w:line="480" w:lineRule="exact"/>
        <w:ind w:firstLine="560" w:firstLineChars="200"/>
        <w:rPr>
          <w:rFonts w:eastAsia="仿宋"/>
          <w:sz w:val="28"/>
          <w:szCs w:val="28"/>
        </w:rPr>
      </w:pPr>
      <w:r>
        <w:rPr>
          <w:rFonts w:eastAsia="仿宋"/>
          <w:sz w:val="28"/>
          <w:szCs w:val="28"/>
        </w:rPr>
        <w:t>12.</w:t>
      </w:r>
      <w:r>
        <w:rPr>
          <w:rFonts w:hAnsi="仿宋" w:eastAsia="仿宋"/>
          <w:sz w:val="28"/>
          <w:szCs w:val="28"/>
        </w:rPr>
        <w:t>《最高人民法院关于人民法院民事执行中拍卖、变卖财产的规定》（法释</w:t>
      </w:r>
      <w:r>
        <w:rPr>
          <w:rFonts w:eastAsia="仿宋"/>
          <w:sz w:val="28"/>
          <w:szCs w:val="28"/>
        </w:rPr>
        <w:t>[2004]16</w:t>
      </w:r>
      <w:r>
        <w:rPr>
          <w:rFonts w:hAnsi="仿宋" w:eastAsia="仿宋"/>
          <w:sz w:val="28"/>
          <w:szCs w:val="28"/>
        </w:rPr>
        <w:t>号）；</w:t>
      </w:r>
    </w:p>
    <w:p>
      <w:pPr>
        <w:spacing w:line="480" w:lineRule="exact"/>
        <w:ind w:firstLine="560" w:firstLineChars="200"/>
        <w:rPr>
          <w:rFonts w:eastAsia="仿宋"/>
          <w:sz w:val="28"/>
          <w:szCs w:val="28"/>
        </w:rPr>
      </w:pPr>
      <w:r>
        <w:rPr>
          <w:rFonts w:eastAsia="仿宋"/>
          <w:sz w:val="28"/>
          <w:szCs w:val="28"/>
        </w:rPr>
        <w:t>13.</w:t>
      </w:r>
      <w:r>
        <w:rPr>
          <w:rFonts w:hAnsi="仿宋" w:eastAsia="仿宋"/>
          <w:sz w:val="28"/>
          <w:szCs w:val="28"/>
        </w:rPr>
        <w:t>《最高人民法院关于人民法院网络司法拍卖若干问题的规定》</w:t>
      </w:r>
      <w:r>
        <w:rPr>
          <w:rFonts w:eastAsia="仿宋"/>
          <w:sz w:val="28"/>
          <w:szCs w:val="28"/>
        </w:rPr>
        <w:t>(</w:t>
      </w:r>
      <w:r>
        <w:rPr>
          <w:rFonts w:hAnsi="仿宋" w:eastAsia="仿宋"/>
          <w:sz w:val="28"/>
          <w:szCs w:val="28"/>
        </w:rPr>
        <w:t>法释</w:t>
      </w:r>
      <w:r>
        <w:rPr>
          <w:rFonts w:eastAsia="仿宋"/>
          <w:sz w:val="28"/>
          <w:szCs w:val="28"/>
        </w:rPr>
        <w:t>[2016]18</w:t>
      </w:r>
      <w:r>
        <w:rPr>
          <w:rFonts w:hAnsi="仿宋" w:eastAsia="仿宋"/>
          <w:sz w:val="28"/>
          <w:szCs w:val="28"/>
        </w:rPr>
        <w:t>号</w:t>
      </w:r>
      <w:r>
        <w:rPr>
          <w:rFonts w:eastAsia="仿宋"/>
          <w:sz w:val="28"/>
          <w:szCs w:val="28"/>
        </w:rPr>
        <w:t>)</w:t>
      </w:r>
      <w:r>
        <w:rPr>
          <w:rFonts w:hAnsi="仿宋" w:eastAsia="仿宋"/>
          <w:sz w:val="28"/>
          <w:szCs w:val="28"/>
        </w:rPr>
        <w:t>。</w:t>
      </w:r>
    </w:p>
    <w:p>
      <w:pPr>
        <w:spacing w:line="480" w:lineRule="exact"/>
        <w:ind w:firstLine="560" w:firstLineChars="200"/>
        <w:rPr>
          <w:rFonts w:eastAsia="仿宋"/>
          <w:sz w:val="28"/>
        </w:rPr>
      </w:pPr>
      <w:r>
        <w:rPr>
          <w:rFonts w:hAnsi="仿宋" w:eastAsia="仿宋"/>
          <w:sz w:val="28"/>
        </w:rPr>
        <w:t>（二）本次估价采用的技术规程</w:t>
      </w:r>
    </w:p>
    <w:p>
      <w:pPr>
        <w:spacing w:line="480" w:lineRule="exact"/>
        <w:ind w:firstLine="560" w:firstLineChars="200"/>
        <w:rPr>
          <w:rFonts w:eastAsia="仿宋"/>
          <w:sz w:val="28"/>
        </w:rPr>
      </w:pPr>
      <w:r>
        <w:rPr>
          <w:rFonts w:eastAsia="仿宋"/>
          <w:sz w:val="28"/>
        </w:rPr>
        <w:t>1.</w:t>
      </w:r>
      <w:r>
        <w:rPr>
          <w:rFonts w:hAnsi="仿宋" w:eastAsia="仿宋"/>
          <w:sz w:val="28"/>
        </w:rPr>
        <w:t>中华人民共和国国家标准</w:t>
      </w:r>
      <w:r>
        <w:rPr>
          <w:rFonts w:eastAsia="仿宋"/>
          <w:sz w:val="28"/>
        </w:rPr>
        <w:t>GB/T50291—2015</w:t>
      </w:r>
      <w:r>
        <w:rPr>
          <w:rFonts w:hAnsi="仿宋" w:eastAsia="仿宋"/>
          <w:sz w:val="28"/>
        </w:rPr>
        <w:t>《房地产估价规范》；</w:t>
      </w:r>
    </w:p>
    <w:p>
      <w:pPr>
        <w:spacing w:line="480" w:lineRule="exact"/>
        <w:ind w:firstLine="560" w:firstLineChars="200"/>
        <w:rPr>
          <w:rFonts w:eastAsia="仿宋"/>
          <w:sz w:val="28"/>
        </w:rPr>
      </w:pPr>
      <w:r>
        <w:rPr>
          <w:rFonts w:eastAsia="仿宋"/>
          <w:sz w:val="28"/>
        </w:rPr>
        <w:t>2.</w:t>
      </w:r>
      <w:r>
        <w:rPr>
          <w:rFonts w:hAnsi="仿宋" w:eastAsia="仿宋"/>
          <w:sz w:val="28"/>
        </w:rPr>
        <w:t>中华人民共和国国家标准</w:t>
      </w:r>
      <w:r>
        <w:rPr>
          <w:rFonts w:eastAsia="仿宋"/>
          <w:sz w:val="28"/>
        </w:rPr>
        <w:t>GB/T50899—2013</w:t>
      </w:r>
      <w:r>
        <w:rPr>
          <w:rFonts w:hAnsi="仿宋" w:eastAsia="仿宋"/>
          <w:sz w:val="28"/>
        </w:rPr>
        <w:t>《房地产估价基本术语标准》。</w:t>
      </w:r>
    </w:p>
    <w:p>
      <w:pPr>
        <w:spacing w:line="480" w:lineRule="exact"/>
        <w:ind w:firstLine="560" w:firstLineChars="200"/>
        <w:rPr>
          <w:rFonts w:eastAsia="仿宋"/>
          <w:sz w:val="28"/>
        </w:rPr>
      </w:pPr>
      <w:r>
        <w:rPr>
          <w:rFonts w:hAnsi="仿宋" w:eastAsia="仿宋"/>
          <w:sz w:val="28"/>
        </w:rPr>
        <w:t>（三）委托人提供的有关资料</w:t>
      </w:r>
    </w:p>
    <w:p>
      <w:pPr>
        <w:spacing w:line="480" w:lineRule="exact"/>
        <w:ind w:firstLine="560" w:firstLineChars="200"/>
        <w:rPr>
          <w:rFonts w:hAnsi="仿宋" w:eastAsia="仿宋"/>
          <w:sz w:val="28"/>
          <w:szCs w:val="28"/>
        </w:rPr>
      </w:pPr>
      <w:r>
        <w:rPr>
          <w:rFonts w:eastAsia="仿宋"/>
          <w:sz w:val="28"/>
          <w:szCs w:val="28"/>
        </w:rPr>
        <w:t>1.</w:t>
      </w:r>
      <w:r>
        <w:rPr>
          <w:rFonts w:eastAsia="仿宋"/>
          <w:sz w:val="28"/>
        </w:rPr>
        <w:t>“</w:t>
      </w:r>
      <w:r>
        <w:rPr>
          <w:rFonts w:hAnsi="仿宋" w:eastAsia="仿宋"/>
          <w:sz w:val="28"/>
        </w:rPr>
        <w:t>南京市建邺区人民法院鉴定委托函</w:t>
      </w:r>
      <w:r>
        <w:rPr>
          <w:rFonts w:eastAsia="仿宋"/>
          <w:sz w:val="28"/>
        </w:rPr>
        <w:t>”</w:t>
      </w:r>
      <w:r>
        <w:rPr>
          <w:rFonts w:hAnsi="仿宋" w:eastAsia="仿宋"/>
          <w:sz w:val="28"/>
          <w:szCs w:val="28"/>
        </w:rPr>
        <w:t>；</w:t>
      </w:r>
    </w:p>
    <w:p>
      <w:pPr>
        <w:spacing w:line="480" w:lineRule="exact"/>
        <w:ind w:firstLine="560" w:firstLineChars="200"/>
        <w:rPr>
          <w:rFonts w:eastAsia="仿宋"/>
          <w:sz w:val="28"/>
          <w:szCs w:val="28"/>
        </w:rPr>
      </w:pPr>
      <w:r>
        <w:rPr>
          <w:rFonts w:hint="eastAsia" w:hAnsi="仿宋" w:eastAsia="仿宋"/>
          <w:sz w:val="28"/>
          <w:szCs w:val="28"/>
        </w:rPr>
        <w:t>2《强制执行申请书》</w:t>
      </w:r>
      <w:r>
        <w:rPr>
          <w:rFonts w:hAnsi="仿宋" w:eastAsia="仿宋"/>
          <w:sz w:val="28"/>
        </w:rPr>
        <w:t>复印件</w:t>
      </w:r>
      <w:r>
        <w:rPr>
          <w:rFonts w:hint="eastAsia" w:hAnsi="仿宋" w:eastAsia="仿宋"/>
          <w:sz w:val="28"/>
        </w:rPr>
        <w:t>；</w:t>
      </w:r>
    </w:p>
    <w:p>
      <w:pPr>
        <w:spacing w:line="480" w:lineRule="exact"/>
        <w:ind w:firstLine="560" w:firstLineChars="200"/>
        <w:rPr>
          <w:rFonts w:eastAsia="仿宋"/>
          <w:sz w:val="28"/>
        </w:rPr>
      </w:pPr>
      <w:r>
        <w:rPr>
          <w:rFonts w:hint="eastAsia" w:eastAsia="仿宋"/>
          <w:sz w:val="28"/>
          <w:szCs w:val="28"/>
        </w:rPr>
        <w:t>3</w:t>
      </w:r>
      <w:r>
        <w:rPr>
          <w:rFonts w:eastAsia="仿宋"/>
          <w:sz w:val="28"/>
          <w:szCs w:val="28"/>
        </w:rPr>
        <w:t>.</w:t>
      </w:r>
      <w:r>
        <w:rPr>
          <w:rFonts w:hAnsi="仿宋" w:eastAsia="仿宋"/>
          <w:sz w:val="28"/>
        </w:rPr>
        <w:t>《上海市不动产登记簿》复印件。</w:t>
      </w:r>
    </w:p>
    <w:p>
      <w:pPr>
        <w:spacing w:line="480" w:lineRule="exact"/>
        <w:ind w:firstLine="560" w:firstLineChars="200"/>
        <w:rPr>
          <w:rFonts w:eastAsia="仿宋"/>
          <w:sz w:val="28"/>
        </w:rPr>
      </w:pPr>
      <w:r>
        <w:rPr>
          <w:rFonts w:hAnsi="仿宋" w:eastAsia="仿宋"/>
          <w:sz w:val="28"/>
        </w:rPr>
        <w:t>（四）估价机构和</w:t>
      </w:r>
      <w:r>
        <w:rPr>
          <w:rFonts w:hAnsi="仿宋" w:eastAsia="仿宋"/>
          <w:sz w:val="28"/>
          <w:szCs w:val="28"/>
        </w:rPr>
        <w:t>注册房地产估价师</w:t>
      </w:r>
      <w:r>
        <w:rPr>
          <w:rFonts w:hAnsi="仿宋" w:eastAsia="仿宋"/>
          <w:sz w:val="28"/>
        </w:rPr>
        <w:t>搜集掌握的有关资料</w:t>
      </w:r>
    </w:p>
    <w:p>
      <w:pPr>
        <w:spacing w:line="480" w:lineRule="exact"/>
        <w:ind w:firstLine="560" w:firstLineChars="200"/>
        <w:rPr>
          <w:rFonts w:eastAsia="仿宋"/>
          <w:sz w:val="28"/>
        </w:rPr>
      </w:pPr>
      <w:r>
        <w:rPr>
          <w:rFonts w:eastAsia="仿宋"/>
          <w:sz w:val="28"/>
        </w:rPr>
        <w:t>1.</w:t>
      </w:r>
      <w:r>
        <w:rPr>
          <w:rFonts w:hAnsi="仿宋" w:eastAsia="仿宋"/>
          <w:sz w:val="28"/>
        </w:rPr>
        <w:t>估价对象所在地自然条件、社会经济条件、行政区划人口等方面的基本情况资料；</w:t>
      </w:r>
    </w:p>
    <w:p>
      <w:pPr>
        <w:spacing w:line="480" w:lineRule="exact"/>
        <w:ind w:firstLine="560" w:firstLineChars="200"/>
        <w:rPr>
          <w:rFonts w:eastAsia="仿宋"/>
          <w:sz w:val="28"/>
          <w:szCs w:val="28"/>
        </w:rPr>
      </w:pPr>
      <w:bookmarkStart w:id="36" w:name="_Toc391042807"/>
      <w:bookmarkStart w:id="37" w:name="_Toc391043116"/>
      <w:r>
        <w:rPr>
          <w:rFonts w:eastAsia="仿宋"/>
          <w:sz w:val="28"/>
          <w:szCs w:val="28"/>
        </w:rPr>
        <w:t>2.</w:t>
      </w:r>
      <w:r>
        <w:rPr>
          <w:rFonts w:hAnsi="仿宋" w:eastAsia="仿宋"/>
          <w:sz w:val="28"/>
          <w:szCs w:val="28"/>
        </w:rPr>
        <w:t>注册房地产估价师实地查勘和调查收集的有关估价对象权属、现状利用等方面的资料；</w:t>
      </w:r>
    </w:p>
    <w:p>
      <w:pPr>
        <w:spacing w:line="480" w:lineRule="exact"/>
        <w:ind w:firstLine="560" w:firstLineChars="200"/>
        <w:rPr>
          <w:rFonts w:eastAsia="仿宋"/>
          <w:sz w:val="28"/>
          <w:szCs w:val="28"/>
        </w:rPr>
      </w:pPr>
      <w:r>
        <w:rPr>
          <w:rFonts w:eastAsia="仿宋"/>
          <w:sz w:val="28"/>
          <w:szCs w:val="28"/>
        </w:rPr>
        <w:t>3.</w:t>
      </w:r>
      <w:bookmarkEnd w:id="36"/>
      <w:bookmarkEnd w:id="37"/>
      <w:r>
        <w:rPr>
          <w:rFonts w:hAnsi="仿宋" w:eastAsia="仿宋"/>
          <w:sz w:val="28"/>
          <w:szCs w:val="28"/>
        </w:rPr>
        <w:t>估价对象所在地商品房买卖、租赁等土地房产交易的市场资料</w:t>
      </w:r>
      <w:r>
        <w:rPr>
          <w:rFonts w:eastAsia="仿宋"/>
          <w:sz w:val="28"/>
          <w:szCs w:val="28"/>
        </w:rPr>
        <w:t>;</w:t>
      </w:r>
    </w:p>
    <w:p>
      <w:pPr>
        <w:spacing w:line="480" w:lineRule="exact"/>
        <w:ind w:firstLine="560" w:firstLineChars="200"/>
        <w:rPr>
          <w:rFonts w:eastAsia="仿宋"/>
          <w:sz w:val="28"/>
        </w:rPr>
      </w:pPr>
      <w:r>
        <w:rPr>
          <w:rFonts w:eastAsia="仿宋"/>
          <w:sz w:val="28"/>
          <w:szCs w:val="28"/>
        </w:rPr>
        <w:t>4.</w:t>
      </w:r>
      <w:r>
        <w:rPr>
          <w:rFonts w:hAnsi="仿宋" w:eastAsia="仿宋"/>
          <w:sz w:val="28"/>
          <w:szCs w:val="28"/>
        </w:rPr>
        <w:t>注册房地产估价师实地拍摄的有关估价对象现状的照片。</w:t>
      </w:r>
    </w:p>
    <w:p>
      <w:pPr>
        <w:pStyle w:val="4"/>
        <w:rPr>
          <w:rFonts w:eastAsia="仿宋"/>
        </w:rPr>
      </w:pPr>
      <w:bookmarkStart w:id="38" w:name="_Toc529777402"/>
      <w:r>
        <w:rPr>
          <w:rFonts w:hAnsi="仿宋" w:eastAsia="仿宋"/>
        </w:rPr>
        <w:t>九、估价方法</w:t>
      </w:r>
      <w:bookmarkEnd w:id="35"/>
      <w:bookmarkEnd w:id="38"/>
    </w:p>
    <w:p>
      <w:pPr>
        <w:autoSpaceDE w:val="0"/>
        <w:autoSpaceDN w:val="0"/>
        <w:adjustRightInd w:val="0"/>
        <w:spacing w:line="500" w:lineRule="exact"/>
        <w:ind w:firstLine="630"/>
        <w:textAlignment w:val="baseline"/>
        <w:rPr>
          <w:rFonts w:eastAsia="仿宋"/>
          <w:kern w:val="0"/>
          <w:sz w:val="28"/>
          <w:szCs w:val="20"/>
        </w:rPr>
      </w:pPr>
      <w:r>
        <w:rPr>
          <w:rFonts w:hAnsi="仿宋" w:eastAsia="仿宋"/>
          <w:kern w:val="0"/>
          <w:sz w:val="28"/>
          <w:szCs w:val="20"/>
        </w:rPr>
        <w:t>一般而言，求取房产市场价值时，主要的估价方法有收益法、比较法、假设开发法、成本法等。不同的估价方法从不同的角度反映了房地产在一定权利状态及一定时点的价值水平，只是各种方法的适用条件、特点、对资料的要求有所不同，需根据特定的估价目的、估价对象、市场情况等选择适宜的估价方法。</w:t>
      </w:r>
    </w:p>
    <w:p>
      <w:pPr>
        <w:autoSpaceDE w:val="0"/>
        <w:autoSpaceDN w:val="0"/>
        <w:adjustRightInd w:val="0"/>
        <w:spacing w:line="480" w:lineRule="exact"/>
        <w:ind w:firstLine="537" w:firstLineChars="192"/>
        <w:textAlignment w:val="baseline"/>
        <w:rPr>
          <w:rFonts w:eastAsia="仿宋"/>
          <w:kern w:val="0"/>
          <w:sz w:val="28"/>
          <w:szCs w:val="20"/>
        </w:rPr>
      </w:pPr>
      <w:bookmarkStart w:id="39" w:name="_Toc258499041"/>
      <w:r>
        <w:rPr>
          <w:rFonts w:eastAsia="仿宋"/>
          <w:kern w:val="0"/>
          <w:sz w:val="28"/>
          <w:szCs w:val="20"/>
        </w:rPr>
        <w:t>比较法主要用于房地产市场发达、有充足的具有替代性的比较实例的地区，主要适用于交易性房地产的价格评估。估价对象为</w:t>
      </w:r>
      <w:r>
        <w:rPr>
          <w:rFonts w:hint="eastAsia" w:eastAsia="仿宋"/>
          <w:kern w:val="0"/>
          <w:sz w:val="28"/>
          <w:szCs w:val="20"/>
        </w:rPr>
        <w:t>住宅</w:t>
      </w:r>
      <w:r>
        <w:rPr>
          <w:rFonts w:eastAsia="仿宋"/>
          <w:kern w:val="0"/>
          <w:sz w:val="28"/>
          <w:szCs w:val="20"/>
        </w:rPr>
        <w:t>用房，所处区域同一类型</w:t>
      </w:r>
      <w:r>
        <w:rPr>
          <w:rFonts w:hint="eastAsia" w:eastAsia="仿宋"/>
          <w:kern w:val="0"/>
          <w:sz w:val="28"/>
          <w:szCs w:val="20"/>
        </w:rPr>
        <w:t>住宅</w:t>
      </w:r>
      <w:r>
        <w:rPr>
          <w:rFonts w:eastAsia="仿宋"/>
          <w:kern w:val="0"/>
          <w:sz w:val="28"/>
          <w:szCs w:val="20"/>
        </w:rPr>
        <w:t>用房近期成交</w:t>
      </w:r>
      <w:r>
        <w:rPr>
          <w:rFonts w:hint="eastAsia" w:eastAsia="仿宋"/>
          <w:kern w:val="0"/>
          <w:sz w:val="28"/>
          <w:szCs w:val="20"/>
        </w:rPr>
        <w:t>实例</w:t>
      </w:r>
      <w:r>
        <w:rPr>
          <w:rFonts w:eastAsia="仿宋"/>
          <w:kern w:val="0"/>
          <w:sz w:val="28"/>
          <w:szCs w:val="20"/>
        </w:rPr>
        <w:t>较多，因此适宜用比较法进行评估。</w:t>
      </w:r>
    </w:p>
    <w:p>
      <w:pPr>
        <w:spacing w:line="480" w:lineRule="exact"/>
        <w:ind w:firstLine="555"/>
        <w:rPr>
          <w:rFonts w:eastAsia="仿宋"/>
          <w:sz w:val="28"/>
          <w:szCs w:val="28"/>
        </w:rPr>
      </w:pPr>
      <w:r>
        <w:rPr>
          <w:rFonts w:eastAsia="仿宋"/>
          <w:sz w:val="28"/>
          <w:szCs w:val="28"/>
        </w:rPr>
        <w:t>收益法适用的对象是有收益或潜在收益的房地产。</w:t>
      </w:r>
      <w:r>
        <w:rPr>
          <w:rFonts w:eastAsia="仿宋"/>
          <w:sz w:val="28"/>
        </w:rPr>
        <w:t>估价对象</w:t>
      </w:r>
      <w:r>
        <w:rPr>
          <w:rFonts w:eastAsia="仿宋"/>
          <w:sz w:val="28"/>
          <w:szCs w:val="28"/>
        </w:rPr>
        <w:t>为</w:t>
      </w:r>
      <w:r>
        <w:rPr>
          <w:rFonts w:hint="eastAsia" w:eastAsia="仿宋"/>
          <w:sz w:val="28"/>
          <w:szCs w:val="28"/>
        </w:rPr>
        <w:t>住宅</w:t>
      </w:r>
      <w:r>
        <w:rPr>
          <w:rFonts w:eastAsia="仿宋"/>
          <w:sz w:val="28"/>
          <w:szCs w:val="28"/>
        </w:rPr>
        <w:t>房地产，属于收益性物业，</w:t>
      </w:r>
      <w:r>
        <w:rPr>
          <w:rFonts w:hint="eastAsia" w:eastAsia="仿宋"/>
          <w:sz w:val="28"/>
          <w:szCs w:val="28"/>
        </w:rPr>
        <w:t>但在目前市场状况下，</w:t>
      </w:r>
      <w:r>
        <w:rPr>
          <w:rFonts w:eastAsia="仿宋"/>
          <w:sz w:val="28"/>
          <w:szCs w:val="28"/>
        </w:rPr>
        <w:t>估价对象所在区域</w:t>
      </w:r>
      <w:r>
        <w:rPr>
          <w:rFonts w:hint="eastAsia" w:eastAsia="仿宋"/>
          <w:sz w:val="28"/>
          <w:szCs w:val="28"/>
        </w:rPr>
        <w:t>租售比失衡，采用收益法测算的估价对象房地产价值不能反映客观价值，所以不适合采用收益法进行评估。</w:t>
      </w:r>
    </w:p>
    <w:p>
      <w:pPr>
        <w:spacing w:line="480" w:lineRule="exact"/>
        <w:ind w:firstLine="555"/>
        <w:rPr>
          <w:rFonts w:eastAsia="仿宋"/>
          <w:sz w:val="28"/>
        </w:rPr>
      </w:pPr>
      <w:r>
        <w:rPr>
          <w:rFonts w:eastAsia="仿宋"/>
          <w:sz w:val="28"/>
        </w:rPr>
        <w:t>假设开发法通常用于待开发土地的估价，而且估价对象为已建成的</w:t>
      </w:r>
      <w:r>
        <w:rPr>
          <w:rFonts w:hint="eastAsia" w:eastAsia="仿宋"/>
          <w:sz w:val="28"/>
        </w:rPr>
        <w:t>住宅</w:t>
      </w:r>
      <w:r>
        <w:rPr>
          <w:rFonts w:eastAsia="仿宋"/>
          <w:sz w:val="28"/>
        </w:rPr>
        <w:t>用房，短期改建的可能性不大，因此也不适宜选用假设开发法进行评估。</w:t>
      </w:r>
    </w:p>
    <w:p>
      <w:pPr>
        <w:spacing w:line="480" w:lineRule="exact"/>
        <w:ind w:firstLine="555"/>
        <w:rPr>
          <w:rFonts w:eastAsia="仿宋"/>
          <w:sz w:val="28"/>
          <w:szCs w:val="28"/>
        </w:rPr>
      </w:pPr>
      <w:r>
        <w:rPr>
          <w:rFonts w:eastAsia="仿宋"/>
          <w:sz w:val="28"/>
          <w:szCs w:val="28"/>
        </w:rPr>
        <w:t>成本法适用于新开发建设，或者可以假设重新开发建设以及计划开发建设的房地产估价，特别适用于既无收益又很少发生交易的房地产估价。</w:t>
      </w:r>
      <w:r>
        <w:rPr>
          <w:rFonts w:hint="eastAsia" w:eastAsia="仿宋"/>
          <w:sz w:val="28"/>
          <w:szCs w:val="28"/>
        </w:rPr>
        <w:t>估价对象所在区域有类似的房地产交易可比实例，所以不适合采用成本法进行评估</w:t>
      </w:r>
      <w:r>
        <w:rPr>
          <w:rFonts w:eastAsia="仿宋"/>
          <w:sz w:val="28"/>
          <w:szCs w:val="28"/>
        </w:rPr>
        <w:t>。</w:t>
      </w:r>
    </w:p>
    <w:p>
      <w:pPr>
        <w:spacing w:line="480" w:lineRule="exact"/>
        <w:ind w:firstLine="523" w:firstLineChars="187"/>
        <w:rPr>
          <w:rFonts w:eastAsia="仿宋"/>
          <w:kern w:val="0"/>
          <w:sz w:val="28"/>
          <w:szCs w:val="28"/>
        </w:rPr>
      </w:pPr>
      <w:r>
        <w:rPr>
          <w:rFonts w:hAnsi="仿宋" w:eastAsia="仿宋"/>
          <w:kern w:val="0"/>
          <w:sz w:val="28"/>
          <w:szCs w:val="28"/>
        </w:rPr>
        <w:t>本公司估价师结合估价对象的具体状况，在对其进行实地查勘（包括对估价对象地理位置、周围环境及其建筑、结构及配套设施等），以及类似房地产调查，按照评估程序，认真分析了影响估价对象价值的相关因素后认为，估价对象为住宅用房，所在区域类似房地产具有较为活跃和成熟的房地产交易市场，能够收集到较为丰富的房地产交易资料，故采用比较法进行评估。</w:t>
      </w:r>
    </w:p>
    <w:p>
      <w:pPr>
        <w:snapToGrid w:val="0"/>
        <w:spacing w:line="500" w:lineRule="exact"/>
        <w:ind w:firstLine="523" w:firstLineChars="187"/>
        <w:rPr>
          <w:rFonts w:eastAsia="仿宋"/>
          <w:kern w:val="0"/>
          <w:sz w:val="28"/>
          <w:szCs w:val="28"/>
        </w:rPr>
      </w:pPr>
      <w:r>
        <w:rPr>
          <w:rFonts w:hAnsi="仿宋" w:eastAsia="仿宋"/>
          <w:kern w:val="0"/>
          <w:sz w:val="28"/>
          <w:szCs w:val="28"/>
        </w:rPr>
        <w:t>所谓比较法是指选取一定数量的可比实例，将它们与估价对象进行比较，根据其间的差异对可比实例成交价格进行处理后得到估价对象价值或价格的方法。</w:t>
      </w:r>
    </w:p>
    <w:p>
      <w:pPr>
        <w:snapToGrid w:val="0"/>
        <w:spacing w:line="500" w:lineRule="exact"/>
        <w:ind w:firstLine="523" w:firstLineChars="187"/>
        <w:rPr>
          <w:rFonts w:eastAsia="仿宋"/>
          <w:kern w:val="0"/>
          <w:sz w:val="28"/>
          <w:szCs w:val="28"/>
        </w:rPr>
      </w:pPr>
      <w:r>
        <w:rPr>
          <w:rFonts w:hAnsi="仿宋" w:eastAsia="仿宋"/>
          <w:kern w:val="0"/>
          <w:sz w:val="28"/>
          <w:szCs w:val="28"/>
        </w:rPr>
        <w:t>可比实例是指交易实例中交易方式适合估价目的、成交日期接近价值时点、成交价格为正常价格或可修正为正常价格的估价对象的类似房地产等财产或相关权益。</w:t>
      </w:r>
    </w:p>
    <w:p>
      <w:pPr>
        <w:snapToGrid w:val="0"/>
        <w:spacing w:line="500" w:lineRule="exact"/>
        <w:ind w:firstLine="523" w:firstLineChars="187"/>
        <w:rPr>
          <w:rFonts w:eastAsia="仿宋"/>
          <w:kern w:val="0"/>
          <w:sz w:val="28"/>
          <w:szCs w:val="28"/>
        </w:rPr>
      </w:pPr>
      <w:bookmarkStart w:id="40" w:name="_Toc480880804"/>
      <w:bookmarkStart w:id="41" w:name="_Toc471982788"/>
      <w:bookmarkStart w:id="42" w:name="_Toc471984261"/>
      <w:bookmarkStart w:id="43" w:name="_Toc480382500"/>
      <w:bookmarkStart w:id="44" w:name="_Toc391043119"/>
      <w:r>
        <w:rPr>
          <w:rFonts w:hAnsi="仿宋" w:eastAsia="仿宋"/>
          <w:kern w:val="0"/>
          <w:sz w:val="28"/>
          <w:szCs w:val="28"/>
        </w:rPr>
        <w:t>具体步骤：</w:t>
      </w:r>
      <w:bookmarkEnd w:id="40"/>
      <w:bookmarkEnd w:id="41"/>
      <w:bookmarkEnd w:id="42"/>
      <w:bookmarkEnd w:id="43"/>
    </w:p>
    <w:p>
      <w:pPr>
        <w:snapToGrid w:val="0"/>
        <w:spacing w:line="500" w:lineRule="exact"/>
        <w:ind w:firstLine="523" w:firstLineChars="187"/>
        <w:rPr>
          <w:rFonts w:eastAsia="仿宋"/>
          <w:kern w:val="0"/>
          <w:sz w:val="28"/>
          <w:szCs w:val="28"/>
        </w:rPr>
      </w:pPr>
      <w:r>
        <w:rPr>
          <w:rFonts w:eastAsia="仿宋"/>
          <w:kern w:val="0"/>
          <w:sz w:val="28"/>
          <w:szCs w:val="28"/>
        </w:rPr>
        <w:t>(1)</w:t>
      </w:r>
      <w:r>
        <w:rPr>
          <w:rFonts w:hAnsi="仿宋" w:eastAsia="仿宋"/>
          <w:kern w:val="0"/>
          <w:sz w:val="28"/>
          <w:szCs w:val="28"/>
        </w:rPr>
        <w:t>收集交易实例</w:t>
      </w:r>
      <w:r>
        <w:rPr>
          <w:rFonts w:eastAsia="仿宋"/>
          <w:kern w:val="0"/>
          <w:sz w:val="28"/>
          <w:szCs w:val="28"/>
        </w:rPr>
        <w:t>→(2)</w:t>
      </w:r>
      <w:r>
        <w:rPr>
          <w:rFonts w:hAnsi="仿宋" w:eastAsia="仿宋"/>
          <w:kern w:val="0"/>
          <w:sz w:val="28"/>
          <w:szCs w:val="28"/>
        </w:rPr>
        <w:t>选取可比案例</w:t>
      </w:r>
      <w:r>
        <w:rPr>
          <w:rFonts w:eastAsia="仿宋"/>
          <w:kern w:val="0"/>
          <w:sz w:val="28"/>
          <w:szCs w:val="28"/>
        </w:rPr>
        <w:t>(</w:t>
      </w:r>
      <w:r>
        <w:rPr>
          <w:rFonts w:hAnsi="仿宋" w:eastAsia="仿宋"/>
          <w:kern w:val="0"/>
          <w:sz w:val="28"/>
          <w:szCs w:val="28"/>
        </w:rPr>
        <w:t>三例</w:t>
      </w:r>
      <w:r>
        <w:rPr>
          <w:rFonts w:eastAsia="仿宋"/>
          <w:kern w:val="0"/>
          <w:sz w:val="28"/>
          <w:szCs w:val="28"/>
        </w:rPr>
        <w:t>)→(3)</w:t>
      </w:r>
      <w:r>
        <w:rPr>
          <w:rFonts w:hAnsi="仿宋" w:eastAsia="仿宋"/>
          <w:kern w:val="0"/>
          <w:sz w:val="28"/>
          <w:szCs w:val="28"/>
        </w:rPr>
        <w:t>建立比较基础</w:t>
      </w:r>
      <w:r>
        <w:rPr>
          <w:rFonts w:eastAsia="仿宋"/>
          <w:kern w:val="0"/>
          <w:sz w:val="28"/>
          <w:szCs w:val="28"/>
        </w:rPr>
        <w:t>→(4)</w:t>
      </w:r>
      <w:r>
        <w:rPr>
          <w:rFonts w:hAnsi="仿宋" w:eastAsia="仿宋"/>
          <w:kern w:val="0"/>
          <w:sz w:val="28"/>
          <w:szCs w:val="28"/>
        </w:rPr>
        <w:t>进行交易情况修正</w:t>
      </w:r>
      <w:r>
        <w:rPr>
          <w:rFonts w:eastAsia="仿宋"/>
          <w:kern w:val="0"/>
          <w:sz w:val="28"/>
          <w:szCs w:val="28"/>
        </w:rPr>
        <w:t>→(5)</w:t>
      </w:r>
      <w:r>
        <w:rPr>
          <w:rFonts w:hAnsi="仿宋" w:eastAsia="仿宋"/>
          <w:kern w:val="0"/>
          <w:sz w:val="28"/>
          <w:szCs w:val="28"/>
        </w:rPr>
        <w:t>进行市场状况调整</w:t>
      </w:r>
      <w:r>
        <w:rPr>
          <w:rFonts w:eastAsia="仿宋"/>
          <w:kern w:val="0"/>
          <w:sz w:val="28"/>
          <w:szCs w:val="28"/>
        </w:rPr>
        <w:t>→(6)</w:t>
      </w:r>
      <w:r>
        <w:rPr>
          <w:rFonts w:hAnsi="仿宋" w:eastAsia="仿宋"/>
          <w:kern w:val="0"/>
          <w:sz w:val="28"/>
          <w:szCs w:val="28"/>
        </w:rPr>
        <w:t>进行房地产状况调整</w:t>
      </w:r>
      <w:r>
        <w:rPr>
          <w:rFonts w:eastAsia="仿宋"/>
          <w:kern w:val="0"/>
          <w:sz w:val="28"/>
          <w:szCs w:val="28"/>
        </w:rPr>
        <w:t>(</w:t>
      </w:r>
      <w:r>
        <w:rPr>
          <w:rFonts w:hAnsi="仿宋" w:eastAsia="仿宋"/>
          <w:kern w:val="0"/>
          <w:sz w:val="28"/>
          <w:szCs w:val="28"/>
        </w:rPr>
        <w:t>区位状况调整、实物状况调整、权益状况调整</w:t>
      </w:r>
      <w:r>
        <w:rPr>
          <w:rFonts w:eastAsia="仿宋"/>
          <w:kern w:val="0"/>
          <w:sz w:val="28"/>
          <w:szCs w:val="28"/>
        </w:rPr>
        <w:t>)→(7)</w:t>
      </w:r>
      <w:r>
        <w:rPr>
          <w:rFonts w:hAnsi="仿宋" w:eastAsia="仿宋"/>
          <w:kern w:val="0"/>
          <w:sz w:val="28"/>
          <w:szCs w:val="28"/>
        </w:rPr>
        <w:t>计算比较价值。</w:t>
      </w:r>
    </w:p>
    <w:p>
      <w:pPr>
        <w:snapToGrid w:val="0"/>
        <w:spacing w:line="500" w:lineRule="exact"/>
        <w:ind w:firstLine="523" w:firstLineChars="187"/>
        <w:rPr>
          <w:rFonts w:eastAsia="仿宋"/>
          <w:kern w:val="0"/>
          <w:sz w:val="28"/>
          <w:szCs w:val="28"/>
        </w:rPr>
      </w:pPr>
      <w:bookmarkStart w:id="45" w:name="_Toc480382501"/>
      <w:bookmarkStart w:id="46" w:name="_Toc480880805"/>
      <w:bookmarkStart w:id="47" w:name="_Toc471984262"/>
      <w:bookmarkStart w:id="48" w:name="_Toc471982789"/>
      <w:r>
        <w:rPr>
          <w:rFonts w:hAnsi="仿宋" w:eastAsia="仿宋"/>
          <w:kern w:val="0"/>
          <w:sz w:val="28"/>
          <w:szCs w:val="28"/>
        </w:rPr>
        <w:t>比较法计算公式为：</w:t>
      </w:r>
      <w:bookmarkEnd w:id="45"/>
      <w:bookmarkEnd w:id="46"/>
      <w:bookmarkEnd w:id="47"/>
      <w:bookmarkEnd w:id="48"/>
    </w:p>
    <w:p>
      <w:pPr>
        <w:snapToGrid w:val="0"/>
        <w:spacing w:line="500" w:lineRule="exact"/>
        <w:ind w:firstLine="523" w:firstLineChars="187"/>
        <w:rPr>
          <w:rFonts w:eastAsia="仿宋"/>
          <w:kern w:val="0"/>
          <w:sz w:val="28"/>
          <w:szCs w:val="28"/>
        </w:rPr>
      </w:pPr>
      <w:r>
        <w:rPr>
          <w:rFonts w:hAnsi="仿宋" w:eastAsia="仿宋"/>
          <w:kern w:val="0"/>
          <w:sz w:val="28"/>
          <w:szCs w:val="28"/>
        </w:rPr>
        <w:t>估价对象比较价值</w:t>
      </w:r>
      <w:r>
        <w:rPr>
          <w:rFonts w:eastAsia="仿宋"/>
          <w:kern w:val="0"/>
          <w:sz w:val="28"/>
          <w:szCs w:val="28"/>
        </w:rPr>
        <w:t>=</w:t>
      </w:r>
      <w:r>
        <w:rPr>
          <w:rFonts w:hAnsi="仿宋" w:eastAsia="仿宋"/>
          <w:kern w:val="0"/>
          <w:sz w:val="28"/>
          <w:szCs w:val="28"/>
        </w:rPr>
        <w:t>可比实例成交价格</w:t>
      </w:r>
      <w:r>
        <w:rPr>
          <w:rFonts w:eastAsia="仿宋"/>
          <w:kern w:val="0"/>
          <w:sz w:val="28"/>
          <w:szCs w:val="28"/>
        </w:rPr>
        <w:t>×</w:t>
      </w:r>
      <w:r>
        <w:rPr>
          <w:rFonts w:hAnsi="仿宋" w:eastAsia="仿宋"/>
          <w:kern w:val="0"/>
          <w:sz w:val="28"/>
          <w:szCs w:val="28"/>
        </w:rPr>
        <w:t>交易情况修正系数</w:t>
      </w:r>
      <w:r>
        <w:rPr>
          <w:rFonts w:eastAsia="仿宋"/>
          <w:kern w:val="0"/>
          <w:sz w:val="28"/>
          <w:szCs w:val="28"/>
        </w:rPr>
        <w:t>×</w:t>
      </w:r>
      <w:r>
        <w:rPr>
          <w:rFonts w:hAnsi="仿宋" w:eastAsia="仿宋"/>
          <w:kern w:val="0"/>
          <w:sz w:val="28"/>
          <w:szCs w:val="28"/>
        </w:rPr>
        <w:t>市场状况调整系数</w:t>
      </w:r>
      <w:r>
        <w:rPr>
          <w:rFonts w:eastAsia="仿宋"/>
          <w:kern w:val="0"/>
          <w:sz w:val="28"/>
          <w:szCs w:val="28"/>
        </w:rPr>
        <w:t>×</w:t>
      </w:r>
      <w:r>
        <w:rPr>
          <w:rFonts w:hAnsi="仿宋" w:eastAsia="仿宋"/>
          <w:kern w:val="0"/>
          <w:sz w:val="28"/>
          <w:szCs w:val="28"/>
        </w:rPr>
        <w:t>房地产状况调整系数</w:t>
      </w:r>
    </w:p>
    <w:bookmarkEnd w:id="44"/>
    <w:p>
      <w:pPr>
        <w:pStyle w:val="4"/>
        <w:rPr>
          <w:rFonts w:eastAsia="仿宋"/>
        </w:rPr>
      </w:pPr>
      <w:bookmarkStart w:id="49" w:name="_Toc529777403"/>
      <w:r>
        <w:rPr>
          <w:rFonts w:hAnsi="仿宋" w:eastAsia="仿宋"/>
        </w:rPr>
        <w:t>十、估价结果</w:t>
      </w:r>
      <w:bookmarkEnd w:id="39"/>
      <w:bookmarkEnd w:id="49"/>
    </w:p>
    <w:p>
      <w:pPr>
        <w:spacing w:line="520" w:lineRule="exact"/>
        <w:ind w:firstLine="560" w:firstLineChars="200"/>
        <w:rPr>
          <w:rFonts w:hAnsi="仿宋" w:eastAsia="仿宋"/>
          <w:sz w:val="28"/>
          <w:szCs w:val="28"/>
        </w:rPr>
      </w:pPr>
      <w:bookmarkStart w:id="50" w:name="_Toc258499045"/>
      <w:r>
        <w:rPr>
          <w:rFonts w:hAnsi="仿宋" w:eastAsia="仿宋"/>
          <w:sz w:val="28"/>
          <w:szCs w:val="28"/>
        </w:rPr>
        <w:t>根据贵院提供的有关资料，本公司注册房地产估价师依据国家标准</w:t>
      </w:r>
      <w:r>
        <w:rPr>
          <w:rFonts w:eastAsia="仿宋"/>
          <w:sz w:val="28"/>
          <w:szCs w:val="28"/>
        </w:rPr>
        <w:t>GB/T 50291-2015</w:t>
      </w:r>
      <w:r>
        <w:rPr>
          <w:rFonts w:hAnsi="仿宋" w:eastAsia="仿宋"/>
          <w:sz w:val="28"/>
          <w:szCs w:val="28"/>
        </w:rPr>
        <w:t>《房地产估价规范》、</w:t>
      </w:r>
      <w:r>
        <w:rPr>
          <w:rFonts w:eastAsia="仿宋"/>
          <w:sz w:val="28"/>
          <w:szCs w:val="28"/>
        </w:rPr>
        <w:t>GB/T50899-2013</w:t>
      </w:r>
      <w:r>
        <w:rPr>
          <w:rFonts w:hAnsi="仿宋" w:eastAsia="仿宋"/>
          <w:sz w:val="28"/>
          <w:szCs w:val="28"/>
        </w:rPr>
        <w:t>《房地产估价基本术语标准》、及国家相关法律、法规和政策规定，在了解和分析估价对象实际情况的基础上，本着独立、客观、公正、合法的原则，遵循必要的估价程序，结合注册房地产估价师的经验和对影响房地产价值因素的分析、计算，确定估价对象在满足全部假设及限制条件下</w:t>
      </w:r>
      <w:r>
        <w:rPr>
          <w:rFonts w:hAnsi="仿宋" w:eastAsia="仿宋"/>
          <w:sz w:val="28"/>
        </w:rPr>
        <w:t>在价值时点</w:t>
      </w:r>
      <w:r>
        <w:rPr>
          <w:rFonts w:eastAsia="仿宋"/>
          <w:sz w:val="28"/>
          <w:szCs w:val="28"/>
        </w:rPr>
        <w:t>2018年11月02日</w:t>
      </w:r>
      <w:r>
        <w:rPr>
          <w:rFonts w:hAnsi="仿宋" w:eastAsia="仿宋"/>
          <w:sz w:val="28"/>
        </w:rPr>
        <w:t>的房地产市场价值为</w:t>
      </w:r>
      <w:r>
        <w:rPr>
          <w:rFonts w:hAnsi="仿宋" w:eastAsia="仿宋"/>
          <w:bCs/>
          <w:sz w:val="28"/>
        </w:rPr>
        <w:t>人民币</w:t>
      </w:r>
      <w:bookmarkStart w:id="51" w:name="_Toc391042840"/>
      <w:bookmarkStart w:id="52" w:name="_Toc411098373"/>
      <w:bookmarkStart w:id="53" w:name="_Toc435452503"/>
      <w:bookmarkStart w:id="54" w:name="_Toc438738458"/>
      <w:r>
        <w:rPr>
          <w:rFonts w:eastAsia="仿宋"/>
          <w:sz w:val="28"/>
        </w:rPr>
        <w:t>456.21</w:t>
      </w:r>
      <w:r>
        <w:rPr>
          <w:rFonts w:hAnsi="仿宋" w:eastAsia="仿宋"/>
          <w:sz w:val="28"/>
        </w:rPr>
        <w:t>万元</w:t>
      </w:r>
      <w:r>
        <w:rPr>
          <w:rFonts w:hint="eastAsia" w:hAnsi="仿宋" w:eastAsia="仿宋"/>
          <w:sz w:val="28"/>
        </w:rPr>
        <w:t>（四舍五入至百元）</w:t>
      </w:r>
      <w:r>
        <w:rPr>
          <w:rFonts w:hAnsi="仿宋" w:eastAsia="仿宋"/>
          <w:b/>
          <w:bCs/>
          <w:sz w:val="28"/>
        </w:rPr>
        <w:t>，</w:t>
      </w:r>
      <w:r>
        <w:rPr>
          <w:rFonts w:hAnsi="仿宋" w:eastAsia="仿宋"/>
          <w:bCs/>
          <w:sz w:val="28"/>
        </w:rPr>
        <w:t>大写人民币</w:t>
      </w:r>
      <w:r>
        <w:rPr>
          <w:rFonts w:eastAsia="仿宋"/>
          <w:b/>
          <w:bCs/>
          <w:sz w:val="28"/>
        </w:rPr>
        <w:fldChar w:fldCharType="begin"/>
      </w:r>
      <w:r>
        <w:rPr>
          <w:rFonts w:eastAsia="仿宋"/>
          <w:b/>
          <w:bCs/>
          <w:sz w:val="28"/>
        </w:rPr>
        <w:instrText xml:space="preserve">= 793500 \* CHINESENUM2</w:instrText>
      </w:r>
      <w:r>
        <w:rPr>
          <w:rFonts w:eastAsia="仿宋"/>
          <w:b/>
          <w:bCs/>
          <w:sz w:val="28"/>
        </w:rPr>
        <w:fldChar w:fldCharType="separate"/>
      </w:r>
      <w:r>
        <w:rPr>
          <w:rFonts w:hAnsi="仿宋" w:eastAsia="仿宋"/>
          <w:b/>
          <w:bCs/>
          <w:sz w:val="28"/>
        </w:rPr>
        <w:t>肆佰伍拾陆万贰仟壹佰</w:t>
      </w:r>
      <w:r>
        <w:rPr>
          <w:rFonts w:eastAsia="仿宋"/>
          <w:b/>
          <w:bCs/>
          <w:sz w:val="28"/>
        </w:rPr>
        <w:fldChar w:fldCharType="end"/>
      </w:r>
      <w:r>
        <w:rPr>
          <w:rFonts w:hAnsi="仿宋" w:eastAsia="仿宋"/>
          <w:b/>
          <w:bCs/>
          <w:sz w:val="28"/>
        </w:rPr>
        <w:t>元整</w:t>
      </w:r>
      <w:r>
        <w:rPr>
          <w:rFonts w:hAnsi="仿宋" w:eastAsia="仿宋"/>
          <w:sz w:val="28"/>
        </w:rPr>
        <w:t>，</w:t>
      </w:r>
      <w:r>
        <w:rPr>
          <w:rFonts w:hAnsi="仿宋" w:eastAsia="仿宋"/>
          <w:sz w:val="28"/>
          <w:szCs w:val="28"/>
        </w:rPr>
        <w:t>单价</w:t>
      </w:r>
      <w:r>
        <w:rPr>
          <w:rFonts w:eastAsia="仿宋"/>
          <w:sz w:val="28"/>
          <w:szCs w:val="28"/>
        </w:rPr>
        <w:t>62675</w:t>
      </w:r>
      <w:r>
        <w:rPr>
          <w:rFonts w:hAnsi="仿宋" w:eastAsia="仿宋"/>
          <w:sz w:val="28"/>
          <w:szCs w:val="28"/>
        </w:rPr>
        <w:t>元</w:t>
      </w:r>
      <w:r>
        <w:rPr>
          <w:rFonts w:eastAsia="仿宋"/>
          <w:sz w:val="28"/>
          <w:szCs w:val="28"/>
        </w:rPr>
        <w:t>/</w:t>
      </w:r>
      <w:r>
        <w:rPr>
          <w:rFonts w:hint="eastAsia" w:hAnsi="仿宋" w:eastAsia="仿宋"/>
          <w:sz w:val="28"/>
          <w:szCs w:val="28"/>
        </w:rPr>
        <w:t>m</w:t>
      </w:r>
      <w:r>
        <w:rPr>
          <w:rFonts w:hint="eastAsia" w:hAnsi="仿宋" w:eastAsia="仿宋"/>
          <w:sz w:val="28"/>
          <w:szCs w:val="28"/>
          <w:vertAlign w:val="superscript"/>
        </w:rPr>
        <w:t>2</w:t>
      </w:r>
      <w:r>
        <w:rPr>
          <w:rFonts w:hAnsi="仿宋" w:eastAsia="仿宋"/>
          <w:sz w:val="28"/>
          <w:szCs w:val="28"/>
        </w:rPr>
        <w:t>。</w:t>
      </w:r>
    </w:p>
    <w:p>
      <w:pPr>
        <w:pStyle w:val="4"/>
        <w:rPr>
          <w:rFonts w:eastAsia="仿宋"/>
        </w:rPr>
      </w:pPr>
      <w:bookmarkStart w:id="55" w:name="_Toc529777404"/>
      <w:r>
        <w:rPr>
          <w:rFonts w:hAnsi="仿宋" w:eastAsia="仿宋"/>
        </w:rPr>
        <w:t>十一、</w:t>
      </w:r>
      <w:bookmarkEnd w:id="51"/>
      <w:bookmarkEnd w:id="52"/>
      <w:r>
        <w:rPr>
          <w:rFonts w:hAnsi="仿宋" w:eastAsia="仿宋"/>
        </w:rPr>
        <w:t>注册房地产估价师</w:t>
      </w:r>
      <w:bookmarkEnd w:id="53"/>
      <w:bookmarkEnd w:id="54"/>
      <w:bookmarkEnd w:id="55"/>
    </w:p>
    <w:tbl>
      <w:tblPr>
        <w:tblStyle w:val="3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2126"/>
        <w:gridCol w:w="2551"/>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471" w:type="dxa"/>
            <w:vAlign w:val="center"/>
          </w:tcPr>
          <w:p>
            <w:pPr>
              <w:pStyle w:val="3"/>
              <w:spacing w:beforeLines="50" w:line="480" w:lineRule="exact"/>
              <w:ind w:firstLine="0" w:firstLineChars="0"/>
              <w:jc w:val="center"/>
              <w:rPr>
                <w:rFonts w:eastAsia="仿宋"/>
                <w:kern w:val="0"/>
                <w:sz w:val="28"/>
                <w:szCs w:val="20"/>
              </w:rPr>
            </w:pPr>
            <w:r>
              <w:rPr>
                <w:rFonts w:hAnsi="仿宋" w:eastAsia="仿宋"/>
                <w:kern w:val="0"/>
                <w:sz w:val="28"/>
                <w:szCs w:val="20"/>
              </w:rPr>
              <w:t>姓名</w:t>
            </w:r>
          </w:p>
        </w:tc>
        <w:tc>
          <w:tcPr>
            <w:tcW w:w="2126" w:type="dxa"/>
            <w:vAlign w:val="center"/>
          </w:tcPr>
          <w:p>
            <w:pPr>
              <w:pStyle w:val="3"/>
              <w:spacing w:beforeLines="50" w:line="480" w:lineRule="exact"/>
              <w:ind w:firstLine="0" w:firstLineChars="0"/>
              <w:jc w:val="center"/>
              <w:rPr>
                <w:rFonts w:eastAsia="仿宋"/>
                <w:kern w:val="0"/>
                <w:sz w:val="28"/>
                <w:szCs w:val="20"/>
              </w:rPr>
            </w:pPr>
            <w:r>
              <w:rPr>
                <w:rFonts w:hAnsi="仿宋" w:eastAsia="仿宋"/>
                <w:kern w:val="0"/>
                <w:sz w:val="28"/>
                <w:szCs w:val="20"/>
              </w:rPr>
              <w:t>注册号</w:t>
            </w:r>
          </w:p>
        </w:tc>
        <w:tc>
          <w:tcPr>
            <w:tcW w:w="2551" w:type="dxa"/>
            <w:vAlign w:val="center"/>
          </w:tcPr>
          <w:p>
            <w:pPr>
              <w:pStyle w:val="3"/>
              <w:spacing w:beforeLines="50" w:line="480" w:lineRule="exact"/>
              <w:ind w:firstLine="0" w:firstLineChars="0"/>
              <w:jc w:val="center"/>
              <w:rPr>
                <w:rFonts w:eastAsia="仿宋"/>
                <w:kern w:val="0"/>
                <w:sz w:val="28"/>
                <w:szCs w:val="20"/>
              </w:rPr>
            </w:pPr>
            <w:r>
              <w:rPr>
                <w:rFonts w:hAnsi="仿宋" w:eastAsia="仿宋"/>
                <w:kern w:val="0"/>
                <w:sz w:val="28"/>
                <w:szCs w:val="20"/>
              </w:rPr>
              <w:t>签名</w:t>
            </w:r>
          </w:p>
        </w:tc>
        <w:tc>
          <w:tcPr>
            <w:tcW w:w="2462" w:type="dxa"/>
            <w:vAlign w:val="center"/>
          </w:tcPr>
          <w:p>
            <w:pPr>
              <w:pStyle w:val="3"/>
              <w:spacing w:beforeLines="50" w:line="480" w:lineRule="exact"/>
              <w:ind w:firstLine="0" w:firstLineChars="0"/>
              <w:jc w:val="center"/>
              <w:rPr>
                <w:rFonts w:eastAsia="仿宋"/>
                <w:kern w:val="0"/>
                <w:sz w:val="28"/>
                <w:szCs w:val="20"/>
              </w:rPr>
            </w:pPr>
            <w:r>
              <w:rPr>
                <w:rFonts w:hAnsi="仿宋" w:eastAsia="仿宋"/>
                <w:kern w:val="0"/>
                <w:sz w:val="28"/>
                <w:szCs w:val="2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471" w:type="dxa"/>
            <w:vAlign w:val="center"/>
          </w:tcPr>
          <w:p>
            <w:pPr>
              <w:pStyle w:val="3"/>
              <w:spacing w:beforeLines="50" w:line="480" w:lineRule="exact"/>
              <w:ind w:firstLine="0" w:firstLineChars="0"/>
              <w:jc w:val="center"/>
              <w:rPr>
                <w:rFonts w:eastAsia="仿宋"/>
                <w:kern w:val="0"/>
                <w:sz w:val="28"/>
                <w:szCs w:val="20"/>
              </w:rPr>
            </w:pPr>
            <w:r>
              <w:rPr>
                <w:rFonts w:hAnsi="仿宋" w:eastAsia="仿宋"/>
                <w:kern w:val="0"/>
                <w:sz w:val="28"/>
                <w:szCs w:val="20"/>
              </w:rPr>
              <w:t>夏建国</w:t>
            </w:r>
          </w:p>
        </w:tc>
        <w:tc>
          <w:tcPr>
            <w:tcW w:w="2126" w:type="dxa"/>
            <w:vAlign w:val="center"/>
          </w:tcPr>
          <w:p>
            <w:pPr>
              <w:pStyle w:val="3"/>
              <w:spacing w:beforeLines="50" w:line="480" w:lineRule="exact"/>
              <w:ind w:firstLine="0" w:firstLineChars="0"/>
              <w:jc w:val="center"/>
              <w:rPr>
                <w:rFonts w:eastAsia="仿宋"/>
                <w:kern w:val="0"/>
                <w:sz w:val="28"/>
                <w:szCs w:val="20"/>
              </w:rPr>
            </w:pPr>
            <w:r>
              <w:rPr>
                <w:rFonts w:eastAsia="仿宋"/>
                <w:kern w:val="0"/>
                <w:sz w:val="28"/>
                <w:szCs w:val="20"/>
              </w:rPr>
              <w:t>3220090094</w:t>
            </w:r>
          </w:p>
        </w:tc>
        <w:tc>
          <w:tcPr>
            <w:tcW w:w="2551" w:type="dxa"/>
            <w:vAlign w:val="center"/>
          </w:tcPr>
          <w:p>
            <w:pPr>
              <w:pStyle w:val="3"/>
              <w:spacing w:beforeLines="50" w:line="480" w:lineRule="exact"/>
              <w:ind w:firstLine="0" w:firstLineChars="0"/>
              <w:jc w:val="center"/>
              <w:rPr>
                <w:rFonts w:eastAsia="仿宋"/>
                <w:kern w:val="0"/>
                <w:sz w:val="28"/>
                <w:szCs w:val="20"/>
              </w:rPr>
            </w:pPr>
          </w:p>
        </w:tc>
        <w:tc>
          <w:tcPr>
            <w:tcW w:w="2462" w:type="dxa"/>
            <w:vAlign w:val="center"/>
          </w:tcPr>
          <w:p>
            <w:pPr>
              <w:pStyle w:val="3"/>
              <w:spacing w:beforeLines="50" w:line="480" w:lineRule="exact"/>
              <w:ind w:firstLine="0" w:firstLineChars="0"/>
              <w:jc w:val="center"/>
              <w:rPr>
                <w:rFonts w:eastAsia="仿宋"/>
                <w:kern w:val="0"/>
                <w:sz w:val="28"/>
                <w:szCs w:val="20"/>
              </w:rPr>
            </w:pPr>
            <w:r>
              <w:rPr>
                <w:rFonts w:eastAsia="仿宋"/>
                <w:kern w:val="0"/>
                <w:sz w:val="28"/>
                <w:szCs w:val="20"/>
              </w:rPr>
              <w:t>2018年11月12日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471" w:type="dxa"/>
            <w:vAlign w:val="center"/>
          </w:tcPr>
          <w:p>
            <w:pPr>
              <w:pStyle w:val="3"/>
              <w:spacing w:beforeLines="50" w:line="480" w:lineRule="exact"/>
              <w:ind w:firstLine="0" w:firstLineChars="0"/>
              <w:jc w:val="center"/>
              <w:rPr>
                <w:rFonts w:eastAsia="仿宋"/>
                <w:kern w:val="0"/>
                <w:sz w:val="28"/>
                <w:szCs w:val="20"/>
              </w:rPr>
            </w:pPr>
            <w:r>
              <w:rPr>
                <w:rFonts w:hAnsi="仿宋" w:eastAsia="仿宋"/>
                <w:kern w:val="0"/>
                <w:sz w:val="28"/>
                <w:szCs w:val="20"/>
              </w:rPr>
              <w:t>徐张华</w:t>
            </w:r>
          </w:p>
        </w:tc>
        <w:tc>
          <w:tcPr>
            <w:tcW w:w="2126" w:type="dxa"/>
            <w:vAlign w:val="center"/>
          </w:tcPr>
          <w:p>
            <w:pPr>
              <w:pStyle w:val="3"/>
              <w:spacing w:beforeLines="50" w:line="480" w:lineRule="exact"/>
              <w:ind w:firstLine="0" w:firstLineChars="0"/>
              <w:jc w:val="center"/>
              <w:rPr>
                <w:rFonts w:eastAsia="仿宋"/>
                <w:kern w:val="0"/>
                <w:sz w:val="28"/>
                <w:szCs w:val="20"/>
              </w:rPr>
            </w:pPr>
            <w:r>
              <w:rPr>
                <w:rFonts w:eastAsia="仿宋"/>
                <w:kern w:val="0"/>
                <w:sz w:val="28"/>
                <w:szCs w:val="20"/>
              </w:rPr>
              <w:t>3220170169</w:t>
            </w:r>
          </w:p>
        </w:tc>
        <w:tc>
          <w:tcPr>
            <w:tcW w:w="2551" w:type="dxa"/>
            <w:vAlign w:val="center"/>
          </w:tcPr>
          <w:p>
            <w:pPr>
              <w:pStyle w:val="3"/>
              <w:spacing w:beforeLines="50" w:line="480" w:lineRule="exact"/>
              <w:ind w:firstLine="0" w:firstLineChars="0"/>
              <w:jc w:val="center"/>
              <w:rPr>
                <w:rFonts w:eastAsia="仿宋"/>
                <w:kern w:val="0"/>
                <w:sz w:val="28"/>
                <w:szCs w:val="20"/>
              </w:rPr>
            </w:pPr>
          </w:p>
        </w:tc>
        <w:tc>
          <w:tcPr>
            <w:tcW w:w="2462" w:type="dxa"/>
            <w:vAlign w:val="center"/>
          </w:tcPr>
          <w:p>
            <w:pPr>
              <w:pStyle w:val="3"/>
              <w:spacing w:beforeLines="50" w:line="480" w:lineRule="exact"/>
              <w:ind w:firstLine="0" w:firstLineChars="0"/>
              <w:jc w:val="center"/>
              <w:rPr>
                <w:rFonts w:eastAsia="仿宋"/>
                <w:kern w:val="0"/>
                <w:sz w:val="28"/>
                <w:szCs w:val="20"/>
              </w:rPr>
            </w:pPr>
            <w:r>
              <w:rPr>
                <w:rFonts w:eastAsia="仿宋"/>
                <w:kern w:val="0"/>
                <w:sz w:val="28"/>
                <w:szCs w:val="20"/>
              </w:rPr>
              <w:t>2018年11月12日</w:t>
            </w:r>
          </w:p>
        </w:tc>
      </w:tr>
    </w:tbl>
    <w:p>
      <w:pPr>
        <w:pStyle w:val="4"/>
        <w:rPr>
          <w:rFonts w:eastAsia="仿宋"/>
        </w:rPr>
      </w:pPr>
      <w:bookmarkStart w:id="56" w:name="_Toc529777405"/>
      <w:r>
        <w:rPr>
          <w:rFonts w:hAnsi="仿宋" w:eastAsia="仿宋"/>
        </w:rPr>
        <w:t>十二、</w:t>
      </w:r>
      <w:bookmarkEnd w:id="50"/>
      <w:r>
        <w:rPr>
          <w:rFonts w:hAnsi="仿宋" w:eastAsia="仿宋"/>
        </w:rPr>
        <w:t>实地查勘期</w:t>
      </w:r>
      <w:bookmarkEnd w:id="56"/>
    </w:p>
    <w:p>
      <w:pPr>
        <w:pStyle w:val="3"/>
        <w:spacing w:line="480" w:lineRule="exact"/>
        <w:ind w:firstLine="560"/>
        <w:rPr>
          <w:rFonts w:eastAsia="仿宋"/>
          <w:sz w:val="28"/>
          <w:szCs w:val="28"/>
        </w:rPr>
      </w:pPr>
      <w:r>
        <w:rPr>
          <w:rFonts w:eastAsia="仿宋"/>
          <w:sz w:val="28"/>
        </w:rPr>
        <w:t>2018年11月02日</w:t>
      </w:r>
    </w:p>
    <w:p>
      <w:pPr>
        <w:pStyle w:val="4"/>
        <w:rPr>
          <w:rFonts w:eastAsia="仿宋"/>
        </w:rPr>
      </w:pPr>
      <w:bookmarkStart w:id="57" w:name="_Toc529777406"/>
      <w:bookmarkStart w:id="58" w:name="_Toc258499046"/>
      <w:r>
        <w:rPr>
          <w:rFonts w:hAnsi="仿宋" w:eastAsia="仿宋"/>
        </w:rPr>
        <w:t>十三、估价作业日期</w:t>
      </w:r>
      <w:bookmarkEnd w:id="57"/>
      <w:bookmarkEnd w:id="58"/>
    </w:p>
    <w:p>
      <w:pPr>
        <w:spacing w:line="480" w:lineRule="exact"/>
        <w:ind w:firstLine="560" w:firstLineChars="200"/>
        <w:rPr>
          <w:rFonts w:eastAsia="仿宋"/>
          <w:sz w:val="28"/>
        </w:rPr>
      </w:pPr>
      <w:r>
        <w:rPr>
          <w:rFonts w:hAnsi="仿宋" w:eastAsia="仿宋"/>
          <w:sz w:val="28"/>
        </w:rPr>
        <w:t>从</w:t>
      </w:r>
      <w:r>
        <w:rPr>
          <w:rFonts w:eastAsia="仿宋"/>
          <w:sz w:val="28"/>
        </w:rPr>
        <w:t>2018年11月02日</w:t>
      </w:r>
      <w:r>
        <w:rPr>
          <w:rFonts w:hAnsi="仿宋" w:eastAsia="仿宋"/>
          <w:sz w:val="28"/>
        </w:rPr>
        <w:t>起至</w:t>
      </w:r>
      <w:r>
        <w:rPr>
          <w:rFonts w:eastAsia="仿宋"/>
          <w:sz w:val="28"/>
        </w:rPr>
        <w:t>2018年11月12日</w:t>
      </w:r>
      <w:r>
        <w:rPr>
          <w:rFonts w:hAnsi="仿宋" w:eastAsia="仿宋"/>
          <w:sz w:val="28"/>
        </w:rPr>
        <w:t>止。</w:t>
      </w:r>
    </w:p>
    <w:p>
      <w:pPr>
        <w:spacing w:line="480" w:lineRule="exact"/>
        <w:ind w:firstLine="420" w:firstLineChars="200"/>
        <w:rPr>
          <w:rFonts w:eastAsia="仿宋"/>
          <w:color w:val="FF0000"/>
        </w:rPr>
      </w:pPr>
      <w:r>
        <w:rPr>
          <w:rFonts w:eastAsia="仿宋"/>
          <w:color w:val="FF0000"/>
        </w:rPr>
        <w:br w:type="page"/>
      </w:r>
      <w:bookmarkStart w:id="59" w:name="_Toc406164168"/>
      <w:bookmarkStart w:id="60" w:name="_Toc258499048"/>
    </w:p>
    <w:p>
      <w:pPr>
        <w:pStyle w:val="2"/>
        <w:rPr>
          <w:rFonts w:eastAsia="仿宋"/>
          <w:color w:val="FF0000"/>
        </w:rPr>
      </w:pPr>
    </w:p>
    <w:p>
      <w:pPr>
        <w:pStyle w:val="2"/>
        <w:rPr>
          <w:rFonts w:eastAsia="仿宋"/>
          <w:color w:val="FF0000"/>
        </w:rPr>
      </w:pPr>
    </w:p>
    <w:p>
      <w:pPr>
        <w:pStyle w:val="3"/>
        <w:rPr>
          <w:rFonts w:eastAsia="仿宋"/>
        </w:rPr>
      </w:pPr>
    </w:p>
    <w:p>
      <w:pPr>
        <w:pStyle w:val="3"/>
        <w:rPr>
          <w:rFonts w:eastAsia="仿宋"/>
        </w:rPr>
      </w:pPr>
    </w:p>
    <w:p>
      <w:pPr>
        <w:pStyle w:val="2"/>
        <w:rPr>
          <w:rFonts w:eastAsia="仿宋"/>
        </w:rPr>
      </w:pPr>
      <w:bookmarkStart w:id="61" w:name="_Toc529777407"/>
      <w:r>
        <w:rPr>
          <w:rFonts w:hAnsi="仿宋" w:eastAsia="仿宋"/>
        </w:rPr>
        <w:t>附</w:t>
      </w:r>
      <w:r>
        <w:rPr>
          <w:rFonts w:eastAsia="仿宋"/>
        </w:rPr>
        <w:t xml:space="preserve"> </w:t>
      </w:r>
      <w:r>
        <w:rPr>
          <w:rFonts w:hAnsi="仿宋" w:eastAsia="仿宋"/>
        </w:rPr>
        <w:t>件</w:t>
      </w:r>
      <w:bookmarkEnd w:id="59"/>
      <w:bookmarkEnd w:id="61"/>
    </w:p>
    <w:p>
      <w:pPr>
        <w:spacing w:beforeLines="50" w:afterLines="50"/>
        <w:ind w:left="1558" w:leftChars="742"/>
        <w:rPr>
          <w:rFonts w:eastAsia="仿宋"/>
          <w:sz w:val="32"/>
        </w:rPr>
      </w:pPr>
    </w:p>
    <w:p>
      <w:pPr>
        <w:pStyle w:val="3"/>
        <w:numPr>
          <w:ilvl w:val="0"/>
          <w:numId w:val="1"/>
        </w:numPr>
        <w:spacing w:line="680" w:lineRule="exact"/>
        <w:ind w:firstLineChars="0"/>
        <w:outlineLvl w:val="0"/>
        <w:rPr>
          <w:rFonts w:eastAsia="仿宋"/>
          <w:spacing w:val="-6"/>
          <w:sz w:val="28"/>
        </w:rPr>
      </w:pPr>
      <w:r>
        <w:rPr>
          <w:rFonts w:eastAsia="仿宋"/>
          <w:spacing w:val="-6"/>
          <w:sz w:val="28"/>
        </w:rPr>
        <w:t xml:space="preserve"> </w:t>
      </w:r>
      <w:bookmarkStart w:id="62" w:name="_Toc529777408"/>
      <w:r>
        <w:rPr>
          <w:rFonts w:eastAsia="仿宋"/>
          <w:spacing w:val="-6"/>
          <w:sz w:val="28"/>
        </w:rPr>
        <w:t>“</w:t>
      </w:r>
      <w:r>
        <w:rPr>
          <w:rFonts w:hAnsi="仿宋" w:eastAsia="仿宋"/>
          <w:spacing w:val="-6"/>
          <w:sz w:val="28"/>
        </w:rPr>
        <w:t>南京市建邺区人民法院鉴定委托函</w:t>
      </w:r>
      <w:r>
        <w:rPr>
          <w:rFonts w:eastAsia="仿宋"/>
          <w:spacing w:val="-6"/>
          <w:sz w:val="28"/>
        </w:rPr>
        <w:t>”</w:t>
      </w:r>
      <w:r>
        <w:rPr>
          <w:rFonts w:hAnsi="仿宋" w:eastAsia="仿宋"/>
          <w:spacing w:val="-6"/>
          <w:sz w:val="28"/>
        </w:rPr>
        <w:t>复印件</w:t>
      </w:r>
      <w:bookmarkEnd w:id="62"/>
    </w:p>
    <w:p>
      <w:pPr>
        <w:pStyle w:val="3"/>
        <w:numPr>
          <w:ilvl w:val="0"/>
          <w:numId w:val="1"/>
        </w:numPr>
        <w:spacing w:line="680" w:lineRule="exact"/>
        <w:ind w:firstLineChars="0"/>
        <w:outlineLvl w:val="0"/>
        <w:rPr>
          <w:rFonts w:eastAsia="仿宋"/>
          <w:sz w:val="28"/>
        </w:rPr>
      </w:pPr>
      <w:bookmarkStart w:id="63" w:name="_Toc529777409"/>
      <w:r>
        <w:rPr>
          <w:rFonts w:hAnsi="仿宋" w:eastAsia="仿宋"/>
          <w:sz w:val="28"/>
        </w:rPr>
        <w:t>《上海市不动产登记簿》复印件</w:t>
      </w:r>
      <w:bookmarkEnd w:id="63"/>
    </w:p>
    <w:p>
      <w:pPr>
        <w:pStyle w:val="3"/>
        <w:numPr>
          <w:ilvl w:val="0"/>
          <w:numId w:val="1"/>
        </w:numPr>
        <w:spacing w:line="680" w:lineRule="exact"/>
        <w:ind w:firstLineChars="0"/>
        <w:outlineLvl w:val="0"/>
        <w:rPr>
          <w:rFonts w:eastAsia="仿宋"/>
          <w:sz w:val="28"/>
        </w:rPr>
      </w:pPr>
      <w:bookmarkStart w:id="64" w:name="_Toc529777410"/>
      <w:r>
        <w:rPr>
          <w:rFonts w:hAnsi="仿宋" w:eastAsia="仿宋"/>
          <w:sz w:val="28"/>
        </w:rPr>
        <w:t>估价对象</w:t>
      </w:r>
      <w:r>
        <w:rPr>
          <w:rFonts w:hint="eastAsia" w:hAnsi="仿宋" w:eastAsia="仿宋"/>
          <w:sz w:val="28"/>
        </w:rPr>
        <w:t>现状</w:t>
      </w:r>
      <w:r>
        <w:rPr>
          <w:rFonts w:hAnsi="仿宋" w:eastAsia="仿宋"/>
          <w:sz w:val="28"/>
        </w:rPr>
        <w:t>照片</w:t>
      </w:r>
      <w:bookmarkEnd w:id="64"/>
    </w:p>
    <w:p>
      <w:pPr>
        <w:pStyle w:val="3"/>
        <w:numPr>
          <w:ilvl w:val="0"/>
          <w:numId w:val="1"/>
        </w:numPr>
        <w:spacing w:line="680" w:lineRule="exact"/>
        <w:ind w:firstLineChars="0"/>
        <w:outlineLvl w:val="0"/>
        <w:rPr>
          <w:rFonts w:eastAsia="仿宋"/>
          <w:sz w:val="28"/>
        </w:rPr>
      </w:pPr>
      <w:bookmarkStart w:id="65" w:name="_Toc529777411"/>
      <w:r>
        <w:rPr>
          <w:rFonts w:hAnsi="仿宋" w:eastAsia="仿宋"/>
          <w:sz w:val="28"/>
        </w:rPr>
        <w:t>估价对象位置图</w:t>
      </w:r>
      <w:bookmarkEnd w:id="65"/>
    </w:p>
    <w:p>
      <w:pPr>
        <w:pStyle w:val="3"/>
        <w:numPr>
          <w:ilvl w:val="0"/>
          <w:numId w:val="1"/>
        </w:numPr>
        <w:spacing w:line="680" w:lineRule="exact"/>
        <w:ind w:firstLineChars="0"/>
        <w:outlineLvl w:val="0"/>
        <w:rPr>
          <w:rFonts w:eastAsia="仿宋"/>
          <w:sz w:val="28"/>
        </w:rPr>
      </w:pPr>
      <w:bookmarkStart w:id="66" w:name="_Toc529777412"/>
      <w:r>
        <w:rPr>
          <w:rFonts w:hAnsi="仿宋" w:eastAsia="仿宋"/>
          <w:bCs/>
          <w:smallCaps/>
          <w:sz w:val="28"/>
        </w:rPr>
        <w:t>房地产估价机构营业执照复印件</w:t>
      </w:r>
      <w:bookmarkEnd w:id="66"/>
    </w:p>
    <w:p>
      <w:pPr>
        <w:pStyle w:val="3"/>
        <w:numPr>
          <w:ilvl w:val="0"/>
          <w:numId w:val="1"/>
        </w:numPr>
        <w:spacing w:line="680" w:lineRule="exact"/>
        <w:ind w:firstLineChars="0"/>
        <w:outlineLvl w:val="0"/>
        <w:rPr>
          <w:rFonts w:eastAsia="仿宋"/>
          <w:bCs/>
          <w:smallCaps/>
          <w:sz w:val="28"/>
        </w:rPr>
      </w:pPr>
      <w:bookmarkStart w:id="67" w:name="_Toc529777413"/>
      <w:r>
        <w:rPr>
          <w:rFonts w:hAnsi="仿宋" w:eastAsia="仿宋"/>
          <w:bCs/>
          <w:smallCaps/>
          <w:sz w:val="28"/>
        </w:rPr>
        <w:t>房地产</w:t>
      </w:r>
      <w:r>
        <w:rPr>
          <w:rFonts w:hAnsi="仿宋" w:eastAsia="仿宋"/>
          <w:sz w:val="28"/>
        </w:rPr>
        <w:t>估价机构资质证书复印件</w:t>
      </w:r>
      <w:bookmarkEnd w:id="67"/>
    </w:p>
    <w:p>
      <w:pPr>
        <w:pStyle w:val="3"/>
        <w:numPr>
          <w:ilvl w:val="0"/>
          <w:numId w:val="1"/>
        </w:numPr>
        <w:spacing w:line="680" w:lineRule="exact"/>
        <w:ind w:firstLineChars="0"/>
        <w:outlineLvl w:val="0"/>
        <w:rPr>
          <w:rFonts w:eastAsia="仿宋"/>
          <w:sz w:val="28"/>
        </w:rPr>
      </w:pPr>
      <w:bookmarkStart w:id="68" w:name="_Toc529777414"/>
      <w:r>
        <w:rPr>
          <w:rFonts w:hAnsi="仿宋" w:eastAsia="仿宋"/>
          <w:sz w:val="28"/>
        </w:rPr>
        <w:t>注册房地产估价师资格证书复印件</w:t>
      </w:r>
      <w:bookmarkEnd w:id="68"/>
    </w:p>
    <w:p>
      <w:pPr>
        <w:pStyle w:val="2"/>
        <w:rPr>
          <w:rFonts w:eastAsia="仿宋"/>
        </w:rPr>
      </w:pPr>
    </w:p>
    <w:p>
      <w:pPr>
        <w:pStyle w:val="3"/>
        <w:spacing w:line="680" w:lineRule="exact"/>
        <w:ind w:firstLineChars="0"/>
        <w:jc w:val="center"/>
        <w:rPr>
          <w:rFonts w:eastAsia="仿宋"/>
        </w:rPr>
      </w:pPr>
      <w:r>
        <w:rPr>
          <w:rFonts w:eastAsia="仿宋"/>
        </w:rPr>
        <w:br w:type="page"/>
      </w:r>
    </w:p>
    <w:p>
      <w:pPr>
        <w:widowControl/>
        <w:jc w:val="center"/>
        <w:rPr>
          <w:rFonts w:eastAsia="仿宋"/>
          <w:b/>
          <w:sz w:val="28"/>
        </w:rPr>
      </w:pPr>
      <w:bookmarkStart w:id="72" w:name="_GoBack"/>
      <w:bookmarkEnd w:id="72"/>
      <w:bookmarkStart w:id="69" w:name="_Toc443310357"/>
      <w:bookmarkStart w:id="70" w:name="_Toc439835312"/>
      <w:bookmarkStart w:id="71" w:name="_Toc438817026"/>
      <w:r>
        <w:rPr>
          <w:rFonts w:eastAsia="仿宋"/>
          <w:b/>
          <w:sz w:val="28"/>
        </w:rPr>
        <w:drawing>
          <wp:anchor distT="0" distB="0" distL="114300" distR="114300" simplePos="0" relativeHeight="251656192" behindDoc="1" locked="0" layoutInCell="1" allowOverlap="1">
            <wp:simplePos x="0" y="0"/>
            <wp:positionH relativeFrom="column">
              <wp:posOffset>241935</wp:posOffset>
            </wp:positionH>
            <wp:positionV relativeFrom="paragraph">
              <wp:posOffset>349250</wp:posOffset>
            </wp:positionV>
            <wp:extent cx="8705850" cy="5147310"/>
            <wp:effectExtent l="19050" t="0" r="0" b="0"/>
            <wp:wrapTight wrapText="bothSides">
              <wp:wrapPolygon>
                <wp:start x="-47" y="0"/>
                <wp:lineTo x="-47" y="21504"/>
                <wp:lineTo x="21600" y="21504"/>
                <wp:lineTo x="21600" y="0"/>
                <wp:lineTo x="-47" y="0"/>
              </wp:wrapPolygon>
            </wp:wrapTight>
            <wp:docPr id="2" name="图片 1" descr="位置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位置图.png"/>
                    <pic:cNvPicPr>
                      <a:picLocks noChangeAspect="1"/>
                    </pic:cNvPicPr>
                  </pic:nvPicPr>
                  <pic:blipFill>
                    <a:blip r:embed="rId14" cstate="print"/>
                    <a:stretch>
                      <a:fillRect/>
                    </a:stretch>
                  </pic:blipFill>
                  <pic:spPr>
                    <a:xfrm>
                      <a:off x="0" y="0"/>
                      <a:ext cx="8705850" cy="5147310"/>
                    </a:xfrm>
                    <a:prstGeom prst="rect">
                      <a:avLst/>
                    </a:prstGeom>
                  </pic:spPr>
                </pic:pic>
              </a:graphicData>
            </a:graphic>
          </wp:anchor>
        </w:drawing>
      </w:r>
      <w:r>
        <w:rPr>
          <w:rFonts w:eastAsia="仿宋"/>
          <w:b/>
          <w:sz w:val="28"/>
        </w:rPr>
        <w:pict>
          <v:shape id="_x0000_s1038" o:spid="_x0000_s1038" o:spt="202" type="#_x0000_t202" style="position:absolute;left:0pt;margin-left:346.8pt;margin-top:449.7pt;height:33.75pt;width:45.75pt;z-index:251663360;mso-width-relative:page;mso-height-relative:page;" stroked="f" coordsize="21600,21600">
            <v:path/>
            <v:fill focussize="0,0"/>
            <v:stroke on="f" joinstyle="miter"/>
            <v:imagedata o:title=""/>
            <o:lock v:ext="edit"/>
            <v:textbox style="layout-flow:vertical-ideographic;">
              <w:txbxContent>
                <w:p/>
              </w:txbxContent>
            </v:textbox>
          </v:shape>
        </w:pict>
      </w:r>
      <w:r>
        <w:rPr>
          <w:rFonts w:hAnsi="仿宋" w:eastAsia="仿宋"/>
          <w:b/>
          <w:sz w:val="28"/>
        </w:rPr>
        <w:t>估价对象位置图</w:t>
      </w:r>
      <w:bookmarkEnd w:id="60"/>
      <w:bookmarkEnd w:id="69"/>
      <w:bookmarkEnd w:id="70"/>
      <w:bookmarkEnd w:id="71"/>
    </w:p>
    <w:sectPr>
      <w:footerReference r:id="rId12" w:type="first"/>
      <w:headerReference r:id="rId11" w:type="default"/>
      <w:pgSz w:w="16840" w:h="11907" w:orient="landscape"/>
      <w:pgMar w:top="1418" w:right="1134" w:bottom="1701" w:left="1247" w:header="709" w:footer="567" w:gutter="0"/>
      <w:pgNumType w:start="15"/>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Sylfaen">
    <w:panose1 w:val="010A0502050306030303"/>
    <w:charset w:val="00"/>
    <w:family w:val="roman"/>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rPr>
        <w:lang w:val="zh-CN"/>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I</w:t>
    </w:r>
    <w:r>
      <w:rPr>
        <w:lang w:val="zh-CN"/>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separate"/>
    </w:r>
    <w:r>
      <w:rPr>
        <w:rStyle w:val="39"/>
      </w:rPr>
      <w:t>3</w:t>
    </w:r>
    <w:r>
      <w:rPr>
        <w:rStyle w:val="39"/>
      </w:rP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9"/>
      </w:rPr>
    </w:pPr>
    <w:r>
      <w:rPr>
        <w:rStyle w:val="39"/>
      </w:rPr>
      <w:fldChar w:fldCharType="begin"/>
    </w:r>
    <w:r>
      <w:rPr>
        <w:rStyle w:val="39"/>
      </w:rPr>
      <w:instrText xml:space="preserve">PAGE  </w:instrText>
    </w:r>
    <w:r>
      <w:rPr>
        <w:rStyle w:val="39"/>
      </w:rP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w:t>
    </w:r>
    <w:r>
      <w:rPr>
        <w:lang w:val="zh-CN"/>
      </w:rPr>
      <w:fldChar w:fldCharType="end"/>
    </w:r>
  </w:p>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15</w:t>
    </w:r>
    <w:r>
      <w:rPr>
        <w:lang w:val="zh-CN"/>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napToGrid w:val="0"/>
      <w:jc w:val="center"/>
      <w:rPr>
        <w:sz w:val="18"/>
        <w:szCs w:val="18"/>
      </w:rPr>
    </w:pPr>
    <w:r>
      <w:rPr>
        <w:sz w:val="18"/>
        <w:szCs w:val="18"/>
      </w:rPr>
      <w:drawing>
        <wp:inline distT="0" distB="0" distL="0" distR="0">
          <wp:extent cx="342900" cy="266700"/>
          <wp:effectExtent l="19050" t="0" r="0" b="0"/>
          <wp:docPr id="6" name="图片 1" descr="5702@MY2_9ELI`9}2]XQ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5702@MY2_9ELI`9}2]XQLL6"/>
                  <pic:cNvPicPr>
                    <a:picLocks noChangeAspect="1" noChangeArrowheads="1"/>
                  </pic:cNvPicPr>
                </pic:nvPicPr>
                <pic:blipFill>
                  <a:blip r:embed="rId1"/>
                  <a:srcRect/>
                  <a:stretch>
                    <a:fillRect/>
                  </a:stretch>
                </pic:blipFill>
                <pic:spPr>
                  <a:xfrm>
                    <a:off x="0" y="0"/>
                    <a:ext cx="342900" cy="266700"/>
                  </a:xfrm>
                  <a:prstGeom prst="rect">
                    <a:avLst/>
                  </a:prstGeom>
                  <a:noFill/>
                  <a:ln w="9525">
                    <a:noFill/>
                    <a:miter lim="800000"/>
                    <a:headEnd/>
                    <a:tailEnd/>
                  </a:ln>
                </pic:spPr>
              </pic:pic>
            </a:graphicData>
          </a:graphic>
        </wp:inline>
      </w:drawing>
    </w:r>
    <w:r>
      <w:rPr>
        <w:rFonts w:hint="eastAsia"/>
        <w:sz w:val="18"/>
        <w:szCs w:val="18"/>
      </w:rPr>
      <w:t>江苏苏信房地产评估咨询有限公司                                            TEL：</w:t>
    </w:r>
    <w:r>
      <w:rPr>
        <w:sz w:val="18"/>
        <w:szCs w:val="18"/>
      </w:rPr>
      <w:t>025-8681639</w:t>
    </w:r>
    <w:r>
      <w:rPr>
        <w:rFonts w:hint="eastAsia"/>
        <w:sz w:val="18"/>
        <w:szCs w:val="1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napToGrid w:val="0"/>
      <w:jc w:val="center"/>
      <w:rPr>
        <w:sz w:val="18"/>
        <w:szCs w:val="18"/>
      </w:rPr>
    </w:pPr>
    <w:r>
      <w:rPr>
        <w:sz w:val="18"/>
        <w:szCs w:val="18"/>
      </w:rPr>
      <w:drawing>
        <wp:inline distT="0" distB="0" distL="0" distR="0">
          <wp:extent cx="342900" cy="266700"/>
          <wp:effectExtent l="19050" t="0" r="0" b="0"/>
          <wp:docPr id="7" name="图片 1" descr="5702@MY2_9ELI`9}2]XQ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5702@MY2_9ELI`9}2]XQLL6"/>
                  <pic:cNvPicPr>
                    <a:picLocks noChangeAspect="1" noChangeArrowheads="1"/>
                  </pic:cNvPicPr>
                </pic:nvPicPr>
                <pic:blipFill>
                  <a:blip r:embed="rId1"/>
                  <a:srcRect/>
                  <a:stretch>
                    <a:fillRect/>
                  </a:stretch>
                </pic:blipFill>
                <pic:spPr>
                  <a:xfrm>
                    <a:off x="0" y="0"/>
                    <a:ext cx="342900" cy="266700"/>
                  </a:xfrm>
                  <a:prstGeom prst="rect">
                    <a:avLst/>
                  </a:prstGeom>
                  <a:noFill/>
                  <a:ln w="9525">
                    <a:noFill/>
                    <a:miter lim="800000"/>
                    <a:headEnd/>
                    <a:tailEnd/>
                  </a:ln>
                </pic:spPr>
              </pic:pic>
            </a:graphicData>
          </a:graphic>
        </wp:inline>
      </w:drawing>
    </w:r>
    <w:r>
      <w:rPr>
        <w:rFonts w:hint="eastAsia"/>
        <w:sz w:val="18"/>
        <w:szCs w:val="18"/>
      </w:rPr>
      <w:t>江苏苏信房地产评估咨询有限公司                                            TEL：</w:t>
    </w:r>
    <w:r>
      <w:rPr>
        <w:sz w:val="18"/>
        <w:szCs w:val="18"/>
      </w:rPr>
      <w:t>025-8681639</w:t>
    </w:r>
    <w:r>
      <w:rPr>
        <w:rFonts w:hint="eastAsia"/>
        <w:sz w:val="18"/>
        <w:szCs w:val="18"/>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napToGrid w:val="0"/>
      <w:jc w:val="center"/>
      <w:rPr>
        <w:sz w:val="18"/>
        <w:szCs w:val="18"/>
      </w:rPr>
    </w:pPr>
    <w:r>
      <w:rPr>
        <w:sz w:val="18"/>
        <w:szCs w:val="18"/>
      </w:rPr>
      <w:pict>
        <v:shape id="_x0000_i1025" o:spt="75" alt="5702@MY2_9ELI`9}2]XQLL6" type="#_x0000_t75" style="height:21pt;width:27pt;" filled="f" o:preferrelative="t" stroked="f" coordsize="21600,21600">
          <v:path/>
          <v:fill on="f" focussize="0,0"/>
          <v:stroke on="f" joinstyle="miter"/>
          <v:imagedata r:id="rId1" o:title="5702@MY2_9ELI`9}2]XQLL6"/>
          <o:lock v:ext="edit" aspectratio="t"/>
          <w10:wrap type="none"/>
          <w10:anchorlock/>
        </v:shape>
      </w:pict>
    </w:r>
    <w:r>
      <w:rPr>
        <w:rFonts w:hint="eastAsia"/>
        <w:sz w:val="18"/>
        <w:szCs w:val="18"/>
      </w:rPr>
      <w:t>江苏苏信房地产评估咨询有限公司                                           TEL：</w:t>
    </w:r>
    <w:r>
      <w:rPr>
        <w:sz w:val="18"/>
        <w:szCs w:val="18"/>
      </w:rPr>
      <w:t>025-8681639</w:t>
    </w:r>
    <w:r>
      <w:rPr>
        <w:rFonts w:hint="eastAsia"/>
        <w:sz w:val="18"/>
        <w:szCs w:val="18"/>
      </w:rPr>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abs>
        <w:tab w:val="center" w:pos="4153"/>
        <w:tab w:val="right" w:pos="8306"/>
      </w:tabs>
      <w:snapToGrid w:val="0"/>
      <w:jc w:val="center"/>
      <w:rPr>
        <w:sz w:val="18"/>
        <w:szCs w:val="18"/>
      </w:rPr>
    </w:pPr>
    <w:r>
      <w:rPr>
        <w:sz w:val="18"/>
        <w:szCs w:val="18"/>
      </w:rPr>
      <w:drawing>
        <wp:inline distT="0" distB="0" distL="0" distR="0">
          <wp:extent cx="342900" cy="266700"/>
          <wp:effectExtent l="19050" t="0" r="0" b="0"/>
          <wp:docPr id="9" name="图片 1" descr="5702@MY2_9ELI`9}2]XQ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5702@MY2_9ELI`9}2]XQLL6"/>
                  <pic:cNvPicPr>
                    <a:picLocks noChangeAspect="1" noChangeArrowheads="1"/>
                  </pic:cNvPicPr>
                </pic:nvPicPr>
                <pic:blipFill>
                  <a:blip r:embed="rId1"/>
                  <a:srcRect/>
                  <a:stretch>
                    <a:fillRect/>
                  </a:stretch>
                </pic:blipFill>
                <pic:spPr>
                  <a:xfrm>
                    <a:off x="0" y="0"/>
                    <a:ext cx="342900" cy="266700"/>
                  </a:xfrm>
                  <a:prstGeom prst="rect">
                    <a:avLst/>
                  </a:prstGeom>
                  <a:noFill/>
                  <a:ln w="9525">
                    <a:noFill/>
                    <a:miter lim="800000"/>
                    <a:headEnd/>
                    <a:tailEnd/>
                  </a:ln>
                </pic:spPr>
              </pic:pic>
            </a:graphicData>
          </a:graphic>
        </wp:inline>
      </w:drawing>
    </w:r>
    <w:r>
      <w:rPr>
        <w:rFonts w:hint="eastAsia"/>
        <w:sz w:val="18"/>
        <w:szCs w:val="18"/>
      </w:rPr>
      <w:t>江苏苏信房地产评估咨询有限公司                                            TEL：</w:t>
    </w:r>
    <w:r>
      <w:rPr>
        <w:sz w:val="18"/>
        <w:szCs w:val="18"/>
      </w:rPr>
      <w:t>025-8681639</w:t>
    </w:r>
    <w:r>
      <w:rPr>
        <w:rFonts w:hint="eastAsia"/>
        <w:sz w:val="18"/>
        <w:szCs w:val="1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DE7"/>
    <w:multiLevelType w:val="multilevel"/>
    <w:tmpl w:val="0B6E3DE7"/>
    <w:lvl w:ilvl="0" w:tentative="0">
      <w:start w:val="1"/>
      <w:numFmt w:val="decimal"/>
      <w:lvlText w:val="%1."/>
      <w:lvlJc w:val="left"/>
      <w:pPr>
        <w:ind w:left="1696" w:hanging="420"/>
      </w:p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2DD9"/>
    <w:rsid w:val="00000B18"/>
    <w:rsid w:val="00000C40"/>
    <w:rsid w:val="000011FE"/>
    <w:rsid w:val="00001F0A"/>
    <w:rsid w:val="000029C2"/>
    <w:rsid w:val="00002ADF"/>
    <w:rsid w:val="00002AF5"/>
    <w:rsid w:val="00004C8D"/>
    <w:rsid w:val="00005173"/>
    <w:rsid w:val="000051B1"/>
    <w:rsid w:val="0000581F"/>
    <w:rsid w:val="00006399"/>
    <w:rsid w:val="000064B4"/>
    <w:rsid w:val="000067CD"/>
    <w:rsid w:val="00006F23"/>
    <w:rsid w:val="0000701A"/>
    <w:rsid w:val="0000738A"/>
    <w:rsid w:val="000074C5"/>
    <w:rsid w:val="000109AD"/>
    <w:rsid w:val="00011123"/>
    <w:rsid w:val="00011199"/>
    <w:rsid w:val="00011A7E"/>
    <w:rsid w:val="00012EE7"/>
    <w:rsid w:val="00013784"/>
    <w:rsid w:val="0001557A"/>
    <w:rsid w:val="000166BC"/>
    <w:rsid w:val="000168FC"/>
    <w:rsid w:val="000169A6"/>
    <w:rsid w:val="00016EEF"/>
    <w:rsid w:val="0001723D"/>
    <w:rsid w:val="0001792D"/>
    <w:rsid w:val="00021B2E"/>
    <w:rsid w:val="000227B1"/>
    <w:rsid w:val="0002336C"/>
    <w:rsid w:val="000238EA"/>
    <w:rsid w:val="00023C93"/>
    <w:rsid w:val="000246B9"/>
    <w:rsid w:val="0002552A"/>
    <w:rsid w:val="000257E7"/>
    <w:rsid w:val="000264C7"/>
    <w:rsid w:val="000265C3"/>
    <w:rsid w:val="00027BC1"/>
    <w:rsid w:val="0003103A"/>
    <w:rsid w:val="0003160D"/>
    <w:rsid w:val="00031E55"/>
    <w:rsid w:val="000327AC"/>
    <w:rsid w:val="000340F8"/>
    <w:rsid w:val="00034650"/>
    <w:rsid w:val="00034760"/>
    <w:rsid w:val="00034E58"/>
    <w:rsid w:val="00035274"/>
    <w:rsid w:val="000355EC"/>
    <w:rsid w:val="00035ADA"/>
    <w:rsid w:val="000363E7"/>
    <w:rsid w:val="00037BD9"/>
    <w:rsid w:val="000400A0"/>
    <w:rsid w:val="000408B2"/>
    <w:rsid w:val="00040F93"/>
    <w:rsid w:val="00041087"/>
    <w:rsid w:val="00041DBB"/>
    <w:rsid w:val="00042273"/>
    <w:rsid w:val="000422CF"/>
    <w:rsid w:val="000423CB"/>
    <w:rsid w:val="00042CE4"/>
    <w:rsid w:val="00043163"/>
    <w:rsid w:val="0004319B"/>
    <w:rsid w:val="00043CB0"/>
    <w:rsid w:val="00043FB4"/>
    <w:rsid w:val="00044803"/>
    <w:rsid w:val="00045A28"/>
    <w:rsid w:val="000464F9"/>
    <w:rsid w:val="000468B4"/>
    <w:rsid w:val="0005025B"/>
    <w:rsid w:val="000503B0"/>
    <w:rsid w:val="000504AC"/>
    <w:rsid w:val="00051030"/>
    <w:rsid w:val="00051F37"/>
    <w:rsid w:val="000525CE"/>
    <w:rsid w:val="000530EB"/>
    <w:rsid w:val="00054506"/>
    <w:rsid w:val="0005488F"/>
    <w:rsid w:val="000551D6"/>
    <w:rsid w:val="00055990"/>
    <w:rsid w:val="00055E74"/>
    <w:rsid w:val="000561D8"/>
    <w:rsid w:val="0005629B"/>
    <w:rsid w:val="00056736"/>
    <w:rsid w:val="000568B2"/>
    <w:rsid w:val="00056FA5"/>
    <w:rsid w:val="00056FAA"/>
    <w:rsid w:val="0005700A"/>
    <w:rsid w:val="0005740D"/>
    <w:rsid w:val="0005746C"/>
    <w:rsid w:val="00057DE7"/>
    <w:rsid w:val="000602FE"/>
    <w:rsid w:val="0006227E"/>
    <w:rsid w:val="00062714"/>
    <w:rsid w:val="00063AE1"/>
    <w:rsid w:val="00063C5D"/>
    <w:rsid w:val="00064225"/>
    <w:rsid w:val="00064754"/>
    <w:rsid w:val="00064A9B"/>
    <w:rsid w:val="00064B70"/>
    <w:rsid w:val="00064BC5"/>
    <w:rsid w:val="00064C0E"/>
    <w:rsid w:val="00064C1C"/>
    <w:rsid w:val="00065889"/>
    <w:rsid w:val="000659AA"/>
    <w:rsid w:val="00065D8A"/>
    <w:rsid w:val="00065FBD"/>
    <w:rsid w:val="000665FE"/>
    <w:rsid w:val="00066C0C"/>
    <w:rsid w:val="000671AF"/>
    <w:rsid w:val="0006748F"/>
    <w:rsid w:val="00070231"/>
    <w:rsid w:val="000712E0"/>
    <w:rsid w:val="00071493"/>
    <w:rsid w:val="0007235F"/>
    <w:rsid w:val="000728A4"/>
    <w:rsid w:val="00072D2D"/>
    <w:rsid w:val="00072F14"/>
    <w:rsid w:val="00073A0C"/>
    <w:rsid w:val="000768D2"/>
    <w:rsid w:val="00076F10"/>
    <w:rsid w:val="00076FF0"/>
    <w:rsid w:val="00077137"/>
    <w:rsid w:val="00077466"/>
    <w:rsid w:val="00077B72"/>
    <w:rsid w:val="000803B1"/>
    <w:rsid w:val="00081D1F"/>
    <w:rsid w:val="00081E1B"/>
    <w:rsid w:val="00081E55"/>
    <w:rsid w:val="00082615"/>
    <w:rsid w:val="00082FAD"/>
    <w:rsid w:val="000836BA"/>
    <w:rsid w:val="00084053"/>
    <w:rsid w:val="00084419"/>
    <w:rsid w:val="0008509F"/>
    <w:rsid w:val="00085844"/>
    <w:rsid w:val="0008683C"/>
    <w:rsid w:val="00086BEF"/>
    <w:rsid w:val="00086C41"/>
    <w:rsid w:val="000872DE"/>
    <w:rsid w:val="00087E0E"/>
    <w:rsid w:val="000909F3"/>
    <w:rsid w:val="000912C0"/>
    <w:rsid w:val="00091421"/>
    <w:rsid w:val="000915F8"/>
    <w:rsid w:val="000918A5"/>
    <w:rsid w:val="00092B01"/>
    <w:rsid w:val="000932C3"/>
    <w:rsid w:val="000933AE"/>
    <w:rsid w:val="0009418C"/>
    <w:rsid w:val="00094352"/>
    <w:rsid w:val="0009449A"/>
    <w:rsid w:val="00094555"/>
    <w:rsid w:val="00094F90"/>
    <w:rsid w:val="0009578B"/>
    <w:rsid w:val="00096545"/>
    <w:rsid w:val="00096AE7"/>
    <w:rsid w:val="00096CC6"/>
    <w:rsid w:val="00097126"/>
    <w:rsid w:val="000A082F"/>
    <w:rsid w:val="000A08E6"/>
    <w:rsid w:val="000A138D"/>
    <w:rsid w:val="000A15C8"/>
    <w:rsid w:val="000A1A6E"/>
    <w:rsid w:val="000A1D89"/>
    <w:rsid w:val="000A21DA"/>
    <w:rsid w:val="000A2B4B"/>
    <w:rsid w:val="000A2B8E"/>
    <w:rsid w:val="000A308C"/>
    <w:rsid w:val="000A357C"/>
    <w:rsid w:val="000A3B3F"/>
    <w:rsid w:val="000A3BE4"/>
    <w:rsid w:val="000A3FAF"/>
    <w:rsid w:val="000A3FFA"/>
    <w:rsid w:val="000A4367"/>
    <w:rsid w:val="000A57C8"/>
    <w:rsid w:val="000A61A2"/>
    <w:rsid w:val="000A63FE"/>
    <w:rsid w:val="000A7E1A"/>
    <w:rsid w:val="000B0549"/>
    <w:rsid w:val="000B0553"/>
    <w:rsid w:val="000B0DB5"/>
    <w:rsid w:val="000B0E37"/>
    <w:rsid w:val="000B17AC"/>
    <w:rsid w:val="000B1D11"/>
    <w:rsid w:val="000B20AA"/>
    <w:rsid w:val="000B31B8"/>
    <w:rsid w:val="000B32F7"/>
    <w:rsid w:val="000B39DD"/>
    <w:rsid w:val="000B3F0C"/>
    <w:rsid w:val="000B4111"/>
    <w:rsid w:val="000B6DE9"/>
    <w:rsid w:val="000B739E"/>
    <w:rsid w:val="000C026C"/>
    <w:rsid w:val="000C039A"/>
    <w:rsid w:val="000C0F53"/>
    <w:rsid w:val="000C1085"/>
    <w:rsid w:val="000C1238"/>
    <w:rsid w:val="000C1805"/>
    <w:rsid w:val="000C2587"/>
    <w:rsid w:val="000C279F"/>
    <w:rsid w:val="000C2DEE"/>
    <w:rsid w:val="000C3DBE"/>
    <w:rsid w:val="000C45F0"/>
    <w:rsid w:val="000C4FCB"/>
    <w:rsid w:val="000C52AA"/>
    <w:rsid w:val="000C5C68"/>
    <w:rsid w:val="000C6879"/>
    <w:rsid w:val="000C6983"/>
    <w:rsid w:val="000C7477"/>
    <w:rsid w:val="000C77CB"/>
    <w:rsid w:val="000C78E6"/>
    <w:rsid w:val="000C7D0A"/>
    <w:rsid w:val="000D0A72"/>
    <w:rsid w:val="000D150B"/>
    <w:rsid w:val="000D1DF2"/>
    <w:rsid w:val="000D251D"/>
    <w:rsid w:val="000D37A7"/>
    <w:rsid w:val="000D5A93"/>
    <w:rsid w:val="000D652D"/>
    <w:rsid w:val="000D6592"/>
    <w:rsid w:val="000D6AD6"/>
    <w:rsid w:val="000D7114"/>
    <w:rsid w:val="000D7FCC"/>
    <w:rsid w:val="000E0123"/>
    <w:rsid w:val="000E3068"/>
    <w:rsid w:val="000E337E"/>
    <w:rsid w:val="000E35FE"/>
    <w:rsid w:val="000E3990"/>
    <w:rsid w:val="000E3D9F"/>
    <w:rsid w:val="000E3EA4"/>
    <w:rsid w:val="000E4528"/>
    <w:rsid w:val="000E4B50"/>
    <w:rsid w:val="000E4E72"/>
    <w:rsid w:val="000E513D"/>
    <w:rsid w:val="000E51D8"/>
    <w:rsid w:val="000E57C8"/>
    <w:rsid w:val="000E5B7B"/>
    <w:rsid w:val="000F02E8"/>
    <w:rsid w:val="000F048D"/>
    <w:rsid w:val="000F09D3"/>
    <w:rsid w:val="000F3606"/>
    <w:rsid w:val="000F3ABE"/>
    <w:rsid w:val="000F4ED6"/>
    <w:rsid w:val="000F699A"/>
    <w:rsid w:val="000F7017"/>
    <w:rsid w:val="000F7361"/>
    <w:rsid w:val="000F7402"/>
    <w:rsid w:val="000F7CB1"/>
    <w:rsid w:val="001006A0"/>
    <w:rsid w:val="00100819"/>
    <w:rsid w:val="00100A66"/>
    <w:rsid w:val="00100CD7"/>
    <w:rsid w:val="0010103D"/>
    <w:rsid w:val="00101E95"/>
    <w:rsid w:val="0010275F"/>
    <w:rsid w:val="00103DC0"/>
    <w:rsid w:val="00103E54"/>
    <w:rsid w:val="001056E6"/>
    <w:rsid w:val="001057A3"/>
    <w:rsid w:val="00105C78"/>
    <w:rsid w:val="00106467"/>
    <w:rsid w:val="001069F1"/>
    <w:rsid w:val="00106C33"/>
    <w:rsid w:val="001070C5"/>
    <w:rsid w:val="00107933"/>
    <w:rsid w:val="001102F5"/>
    <w:rsid w:val="001103FC"/>
    <w:rsid w:val="001115EA"/>
    <w:rsid w:val="001118E6"/>
    <w:rsid w:val="00111AAB"/>
    <w:rsid w:val="00111ACC"/>
    <w:rsid w:val="00112C43"/>
    <w:rsid w:val="00114F99"/>
    <w:rsid w:val="001151AA"/>
    <w:rsid w:val="001163FB"/>
    <w:rsid w:val="0011648A"/>
    <w:rsid w:val="001166C7"/>
    <w:rsid w:val="00116843"/>
    <w:rsid w:val="00116881"/>
    <w:rsid w:val="00116FD0"/>
    <w:rsid w:val="0011760E"/>
    <w:rsid w:val="0012076C"/>
    <w:rsid w:val="001207C7"/>
    <w:rsid w:val="00120905"/>
    <w:rsid w:val="00120B57"/>
    <w:rsid w:val="001211BD"/>
    <w:rsid w:val="001211DB"/>
    <w:rsid w:val="00121A2C"/>
    <w:rsid w:val="0012291C"/>
    <w:rsid w:val="00123A4F"/>
    <w:rsid w:val="00124556"/>
    <w:rsid w:val="001247FD"/>
    <w:rsid w:val="00124F9F"/>
    <w:rsid w:val="00125690"/>
    <w:rsid w:val="00125946"/>
    <w:rsid w:val="00127CD4"/>
    <w:rsid w:val="00127D83"/>
    <w:rsid w:val="001301AE"/>
    <w:rsid w:val="0013038C"/>
    <w:rsid w:val="00131BD7"/>
    <w:rsid w:val="00131DF6"/>
    <w:rsid w:val="00132016"/>
    <w:rsid w:val="001322EB"/>
    <w:rsid w:val="00133929"/>
    <w:rsid w:val="0013401D"/>
    <w:rsid w:val="001343E2"/>
    <w:rsid w:val="0013546D"/>
    <w:rsid w:val="00135FCE"/>
    <w:rsid w:val="00136744"/>
    <w:rsid w:val="00136EA7"/>
    <w:rsid w:val="00137E93"/>
    <w:rsid w:val="00140135"/>
    <w:rsid w:val="001408D7"/>
    <w:rsid w:val="00141152"/>
    <w:rsid w:val="00141278"/>
    <w:rsid w:val="00141B77"/>
    <w:rsid w:val="00142541"/>
    <w:rsid w:val="00142B49"/>
    <w:rsid w:val="001449A7"/>
    <w:rsid w:val="00145176"/>
    <w:rsid w:val="0014537A"/>
    <w:rsid w:val="00145765"/>
    <w:rsid w:val="00145AE1"/>
    <w:rsid w:val="00145D90"/>
    <w:rsid w:val="00146421"/>
    <w:rsid w:val="001465BC"/>
    <w:rsid w:val="00146FFE"/>
    <w:rsid w:val="00147A86"/>
    <w:rsid w:val="00150902"/>
    <w:rsid w:val="00151BFA"/>
    <w:rsid w:val="00153253"/>
    <w:rsid w:val="00153612"/>
    <w:rsid w:val="00153BC4"/>
    <w:rsid w:val="00154338"/>
    <w:rsid w:val="00154B92"/>
    <w:rsid w:val="00154D57"/>
    <w:rsid w:val="00154F81"/>
    <w:rsid w:val="00155039"/>
    <w:rsid w:val="00155164"/>
    <w:rsid w:val="00155E17"/>
    <w:rsid w:val="00156099"/>
    <w:rsid w:val="001568CE"/>
    <w:rsid w:val="001569C5"/>
    <w:rsid w:val="0015792F"/>
    <w:rsid w:val="0016029B"/>
    <w:rsid w:val="00160334"/>
    <w:rsid w:val="0016238D"/>
    <w:rsid w:val="001624F0"/>
    <w:rsid w:val="00162799"/>
    <w:rsid w:val="00162DF3"/>
    <w:rsid w:val="00162F7A"/>
    <w:rsid w:val="00163349"/>
    <w:rsid w:val="00163AC7"/>
    <w:rsid w:val="0016405F"/>
    <w:rsid w:val="001641CB"/>
    <w:rsid w:val="00164C56"/>
    <w:rsid w:val="00164EE9"/>
    <w:rsid w:val="0016540C"/>
    <w:rsid w:val="001662C2"/>
    <w:rsid w:val="001663C5"/>
    <w:rsid w:val="001664B2"/>
    <w:rsid w:val="00166E4B"/>
    <w:rsid w:val="0016767B"/>
    <w:rsid w:val="00167C15"/>
    <w:rsid w:val="00170015"/>
    <w:rsid w:val="00170200"/>
    <w:rsid w:val="00170824"/>
    <w:rsid w:val="0017093B"/>
    <w:rsid w:val="00171733"/>
    <w:rsid w:val="00171E7A"/>
    <w:rsid w:val="0017231E"/>
    <w:rsid w:val="00172429"/>
    <w:rsid w:val="001726E8"/>
    <w:rsid w:val="001729C4"/>
    <w:rsid w:val="00173460"/>
    <w:rsid w:val="00173FDC"/>
    <w:rsid w:val="00174AA1"/>
    <w:rsid w:val="001754C8"/>
    <w:rsid w:val="00176A67"/>
    <w:rsid w:val="00176EDC"/>
    <w:rsid w:val="001779E1"/>
    <w:rsid w:val="00177CE2"/>
    <w:rsid w:val="00177D1B"/>
    <w:rsid w:val="00180DEA"/>
    <w:rsid w:val="00181468"/>
    <w:rsid w:val="0018302B"/>
    <w:rsid w:val="00183722"/>
    <w:rsid w:val="00184922"/>
    <w:rsid w:val="00184B7D"/>
    <w:rsid w:val="00184F88"/>
    <w:rsid w:val="00185951"/>
    <w:rsid w:val="00185CC9"/>
    <w:rsid w:val="001866E4"/>
    <w:rsid w:val="00186DB1"/>
    <w:rsid w:val="00186F4B"/>
    <w:rsid w:val="001872B7"/>
    <w:rsid w:val="0018768D"/>
    <w:rsid w:val="001876DF"/>
    <w:rsid w:val="00187E7B"/>
    <w:rsid w:val="00190063"/>
    <w:rsid w:val="00190212"/>
    <w:rsid w:val="001904E9"/>
    <w:rsid w:val="0019083B"/>
    <w:rsid w:val="00190B62"/>
    <w:rsid w:val="00190DF2"/>
    <w:rsid w:val="001922EB"/>
    <w:rsid w:val="00192BCA"/>
    <w:rsid w:val="0019398A"/>
    <w:rsid w:val="00194160"/>
    <w:rsid w:val="0019424D"/>
    <w:rsid w:val="0019544D"/>
    <w:rsid w:val="00195508"/>
    <w:rsid w:val="00195824"/>
    <w:rsid w:val="00196527"/>
    <w:rsid w:val="00196546"/>
    <w:rsid w:val="00197889"/>
    <w:rsid w:val="001A027D"/>
    <w:rsid w:val="001A0883"/>
    <w:rsid w:val="001A0FD8"/>
    <w:rsid w:val="001A10F6"/>
    <w:rsid w:val="001A138E"/>
    <w:rsid w:val="001A1997"/>
    <w:rsid w:val="001A1E6D"/>
    <w:rsid w:val="001A2B0A"/>
    <w:rsid w:val="001A2B9A"/>
    <w:rsid w:val="001A2DC1"/>
    <w:rsid w:val="001A2EB4"/>
    <w:rsid w:val="001A3174"/>
    <w:rsid w:val="001A3635"/>
    <w:rsid w:val="001A41EB"/>
    <w:rsid w:val="001A49C6"/>
    <w:rsid w:val="001A540B"/>
    <w:rsid w:val="001A5B49"/>
    <w:rsid w:val="001A6723"/>
    <w:rsid w:val="001A6734"/>
    <w:rsid w:val="001A6844"/>
    <w:rsid w:val="001A6B39"/>
    <w:rsid w:val="001A6D9F"/>
    <w:rsid w:val="001A7088"/>
    <w:rsid w:val="001A7595"/>
    <w:rsid w:val="001B0698"/>
    <w:rsid w:val="001B0712"/>
    <w:rsid w:val="001B0B33"/>
    <w:rsid w:val="001B0DF4"/>
    <w:rsid w:val="001B1777"/>
    <w:rsid w:val="001B1D0A"/>
    <w:rsid w:val="001B27CF"/>
    <w:rsid w:val="001B3347"/>
    <w:rsid w:val="001B3815"/>
    <w:rsid w:val="001B3A78"/>
    <w:rsid w:val="001B3B89"/>
    <w:rsid w:val="001B3FC7"/>
    <w:rsid w:val="001B4048"/>
    <w:rsid w:val="001B449B"/>
    <w:rsid w:val="001B4C96"/>
    <w:rsid w:val="001B51A3"/>
    <w:rsid w:val="001B51B5"/>
    <w:rsid w:val="001B5628"/>
    <w:rsid w:val="001B6345"/>
    <w:rsid w:val="001B7552"/>
    <w:rsid w:val="001C0530"/>
    <w:rsid w:val="001C0672"/>
    <w:rsid w:val="001C0EC8"/>
    <w:rsid w:val="001C1042"/>
    <w:rsid w:val="001C10A1"/>
    <w:rsid w:val="001C1A67"/>
    <w:rsid w:val="001C1A73"/>
    <w:rsid w:val="001C236F"/>
    <w:rsid w:val="001C2D45"/>
    <w:rsid w:val="001C5C45"/>
    <w:rsid w:val="001C5DE6"/>
    <w:rsid w:val="001C61A5"/>
    <w:rsid w:val="001C656E"/>
    <w:rsid w:val="001C695A"/>
    <w:rsid w:val="001C7D44"/>
    <w:rsid w:val="001D0614"/>
    <w:rsid w:val="001D0837"/>
    <w:rsid w:val="001D0D2A"/>
    <w:rsid w:val="001D1CA6"/>
    <w:rsid w:val="001D20D6"/>
    <w:rsid w:val="001D26FE"/>
    <w:rsid w:val="001D4A3B"/>
    <w:rsid w:val="001D54DA"/>
    <w:rsid w:val="001D5929"/>
    <w:rsid w:val="001D5DF8"/>
    <w:rsid w:val="001D6585"/>
    <w:rsid w:val="001D706F"/>
    <w:rsid w:val="001D710A"/>
    <w:rsid w:val="001D7AA2"/>
    <w:rsid w:val="001D7E41"/>
    <w:rsid w:val="001E0675"/>
    <w:rsid w:val="001E082E"/>
    <w:rsid w:val="001E09D1"/>
    <w:rsid w:val="001E106E"/>
    <w:rsid w:val="001E16B1"/>
    <w:rsid w:val="001E1A63"/>
    <w:rsid w:val="001E27C1"/>
    <w:rsid w:val="001E2C39"/>
    <w:rsid w:val="001E2EB5"/>
    <w:rsid w:val="001E3B56"/>
    <w:rsid w:val="001E3CD2"/>
    <w:rsid w:val="001E52DE"/>
    <w:rsid w:val="001E5921"/>
    <w:rsid w:val="001E5BFC"/>
    <w:rsid w:val="001E63F0"/>
    <w:rsid w:val="001E64CC"/>
    <w:rsid w:val="001E6A7D"/>
    <w:rsid w:val="001E6A8B"/>
    <w:rsid w:val="001E6BDA"/>
    <w:rsid w:val="001E6E90"/>
    <w:rsid w:val="001E6F62"/>
    <w:rsid w:val="001E6FBC"/>
    <w:rsid w:val="001E71EC"/>
    <w:rsid w:val="001E7E36"/>
    <w:rsid w:val="001F08A7"/>
    <w:rsid w:val="001F12E1"/>
    <w:rsid w:val="001F172A"/>
    <w:rsid w:val="001F2EB4"/>
    <w:rsid w:val="001F2EC6"/>
    <w:rsid w:val="001F2FC7"/>
    <w:rsid w:val="001F35E4"/>
    <w:rsid w:val="001F361E"/>
    <w:rsid w:val="001F3A88"/>
    <w:rsid w:val="001F4009"/>
    <w:rsid w:val="001F41C0"/>
    <w:rsid w:val="001F4CAE"/>
    <w:rsid w:val="001F4EC7"/>
    <w:rsid w:val="001F5A23"/>
    <w:rsid w:val="001F6AEA"/>
    <w:rsid w:val="001F70FB"/>
    <w:rsid w:val="001F7A5A"/>
    <w:rsid w:val="00201768"/>
    <w:rsid w:val="00201CFE"/>
    <w:rsid w:val="00201EA8"/>
    <w:rsid w:val="00201FA7"/>
    <w:rsid w:val="00202CCB"/>
    <w:rsid w:val="002042A8"/>
    <w:rsid w:val="002043E5"/>
    <w:rsid w:val="002044D8"/>
    <w:rsid w:val="00204959"/>
    <w:rsid w:val="00204B5A"/>
    <w:rsid w:val="00205312"/>
    <w:rsid w:val="002061E5"/>
    <w:rsid w:val="002062B7"/>
    <w:rsid w:val="00207134"/>
    <w:rsid w:val="00207D92"/>
    <w:rsid w:val="00210295"/>
    <w:rsid w:val="0021029B"/>
    <w:rsid w:val="002106D1"/>
    <w:rsid w:val="00212135"/>
    <w:rsid w:val="002127E5"/>
    <w:rsid w:val="00212F6D"/>
    <w:rsid w:val="0021335C"/>
    <w:rsid w:val="00213F13"/>
    <w:rsid w:val="0021528B"/>
    <w:rsid w:val="002159D3"/>
    <w:rsid w:val="00215C41"/>
    <w:rsid w:val="00215D2C"/>
    <w:rsid w:val="00216C0C"/>
    <w:rsid w:val="00216F73"/>
    <w:rsid w:val="0022013B"/>
    <w:rsid w:val="0022096C"/>
    <w:rsid w:val="00220B31"/>
    <w:rsid w:val="00220BED"/>
    <w:rsid w:val="00220E02"/>
    <w:rsid w:val="00221055"/>
    <w:rsid w:val="00221133"/>
    <w:rsid w:val="002212F7"/>
    <w:rsid w:val="00221B9E"/>
    <w:rsid w:val="002222A6"/>
    <w:rsid w:val="00223151"/>
    <w:rsid w:val="00223F0C"/>
    <w:rsid w:val="00224549"/>
    <w:rsid w:val="002258D5"/>
    <w:rsid w:val="00225FD7"/>
    <w:rsid w:val="0022658A"/>
    <w:rsid w:val="0022672D"/>
    <w:rsid w:val="002267C2"/>
    <w:rsid w:val="00226B63"/>
    <w:rsid w:val="00227255"/>
    <w:rsid w:val="00227CD0"/>
    <w:rsid w:val="0023280B"/>
    <w:rsid w:val="00233844"/>
    <w:rsid w:val="00233B43"/>
    <w:rsid w:val="00234030"/>
    <w:rsid w:val="002343EE"/>
    <w:rsid w:val="00234A15"/>
    <w:rsid w:val="00234CEE"/>
    <w:rsid w:val="00236167"/>
    <w:rsid w:val="00236B44"/>
    <w:rsid w:val="00236DBA"/>
    <w:rsid w:val="00237C95"/>
    <w:rsid w:val="00240198"/>
    <w:rsid w:val="00240A90"/>
    <w:rsid w:val="00240DE2"/>
    <w:rsid w:val="00240E37"/>
    <w:rsid w:val="0024185D"/>
    <w:rsid w:val="002428FB"/>
    <w:rsid w:val="00242C07"/>
    <w:rsid w:val="00242F2E"/>
    <w:rsid w:val="00243054"/>
    <w:rsid w:val="002433FD"/>
    <w:rsid w:val="0024364F"/>
    <w:rsid w:val="00243CA0"/>
    <w:rsid w:val="002440E1"/>
    <w:rsid w:val="00244126"/>
    <w:rsid w:val="0024479C"/>
    <w:rsid w:val="00245291"/>
    <w:rsid w:val="00245B1C"/>
    <w:rsid w:val="002479C8"/>
    <w:rsid w:val="002502C4"/>
    <w:rsid w:val="00251118"/>
    <w:rsid w:val="002512DB"/>
    <w:rsid w:val="00251857"/>
    <w:rsid w:val="00251A66"/>
    <w:rsid w:val="00251C42"/>
    <w:rsid w:val="002527F4"/>
    <w:rsid w:val="0025321B"/>
    <w:rsid w:val="00253A0C"/>
    <w:rsid w:val="00253AF5"/>
    <w:rsid w:val="00254606"/>
    <w:rsid w:val="00254AB2"/>
    <w:rsid w:val="00254C93"/>
    <w:rsid w:val="0025580C"/>
    <w:rsid w:val="002560E9"/>
    <w:rsid w:val="00256E01"/>
    <w:rsid w:val="00256F48"/>
    <w:rsid w:val="00257CE0"/>
    <w:rsid w:val="002606BC"/>
    <w:rsid w:val="00260784"/>
    <w:rsid w:val="00260802"/>
    <w:rsid w:val="00261386"/>
    <w:rsid w:val="00261807"/>
    <w:rsid w:val="002620A2"/>
    <w:rsid w:val="00262413"/>
    <w:rsid w:val="00262777"/>
    <w:rsid w:val="00262AB7"/>
    <w:rsid w:val="00262AF4"/>
    <w:rsid w:val="002637AD"/>
    <w:rsid w:val="00263E9C"/>
    <w:rsid w:val="00264EA0"/>
    <w:rsid w:val="002651FE"/>
    <w:rsid w:val="0026564B"/>
    <w:rsid w:val="00265764"/>
    <w:rsid w:val="0026620B"/>
    <w:rsid w:val="002668E9"/>
    <w:rsid w:val="00266A42"/>
    <w:rsid w:val="00266B9A"/>
    <w:rsid w:val="0026755D"/>
    <w:rsid w:val="00267602"/>
    <w:rsid w:val="00267BC3"/>
    <w:rsid w:val="00267F9B"/>
    <w:rsid w:val="002712D2"/>
    <w:rsid w:val="00271447"/>
    <w:rsid w:val="002723EC"/>
    <w:rsid w:val="00272659"/>
    <w:rsid w:val="00272B7D"/>
    <w:rsid w:val="002741F3"/>
    <w:rsid w:val="00274992"/>
    <w:rsid w:val="00275331"/>
    <w:rsid w:val="00275713"/>
    <w:rsid w:val="00276098"/>
    <w:rsid w:val="0027697E"/>
    <w:rsid w:val="00276F8C"/>
    <w:rsid w:val="00277637"/>
    <w:rsid w:val="00277BF7"/>
    <w:rsid w:val="00277D46"/>
    <w:rsid w:val="00280467"/>
    <w:rsid w:val="00280908"/>
    <w:rsid w:val="00280E7B"/>
    <w:rsid w:val="00280EDB"/>
    <w:rsid w:val="002812BB"/>
    <w:rsid w:val="00281596"/>
    <w:rsid w:val="00282C89"/>
    <w:rsid w:val="00283435"/>
    <w:rsid w:val="002857A1"/>
    <w:rsid w:val="00286064"/>
    <w:rsid w:val="002869F0"/>
    <w:rsid w:val="00286C7C"/>
    <w:rsid w:val="00287892"/>
    <w:rsid w:val="00287A46"/>
    <w:rsid w:val="0029008C"/>
    <w:rsid w:val="00291A30"/>
    <w:rsid w:val="00291BA2"/>
    <w:rsid w:val="00292E80"/>
    <w:rsid w:val="00293002"/>
    <w:rsid w:val="0029315E"/>
    <w:rsid w:val="002936E1"/>
    <w:rsid w:val="00294001"/>
    <w:rsid w:val="00294695"/>
    <w:rsid w:val="002946DE"/>
    <w:rsid w:val="002955FF"/>
    <w:rsid w:val="002957C6"/>
    <w:rsid w:val="00296140"/>
    <w:rsid w:val="002965F6"/>
    <w:rsid w:val="00297614"/>
    <w:rsid w:val="002A0A4F"/>
    <w:rsid w:val="002A0A73"/>
    <w:rsid w:val="002A0D8A"/>
    <w:rsid w:val="002A16EB"/>
    <w:rsid w:val="002A330E"/>
    <w:rsid w:val="002A4200"/>
    <w:rsid w:val="002A4353"/>
    <w:rsid w:val="002A498E"/>
    <w:rsid w:val="002A6414"/>
    <w:rsid w:val="002A656B"/>
    <w:rsid w:val="002A7F03"/>
    <w:rsid w:val="002B0105"/>
    <w:rsid w:val="002B0A87"/>
    <w:rsid w:val="002B0BC7"/>
    <w:rsid w:val="002B0D50"/>
    <w:rsid w:val="002B0FC6"/>
    <w:rsid w:val="002B104F"/>
    <w:rsid w:val="002B181F"/>
    <w:rsid w:val="002B1A02"/>
    <w:rsid w:val="002B1C17"/>
    <w:rsid w:val="002B1F23"/>
    <w:rsid w:val="002B2139"/>
    <w:rsid w:val="002B370E"/>
    <w:rsid w:val="002B3CA8"/>
    <w:rsid w:val="002B3E5C"/>
    <w:rsid w:val="002B4525"/>
    <w:rsid w:val="002B4CA4"/>
    <w:rsid w:val="002B5D76"/>
    <w:rsid w:val="002B6B71"/>
    <w:rsid w:val="002B6C64"/>
    <w:rsid w:val="002B7A92"/>
    <w:rsid w:val="002B7DE7"/>
    <w:rsid w:val="002C1278"/>
    <w:rsid w:val="002C21FD"/>
    <w:rsid w:val="002C2543"/>
    <w:rsid w:val="002C25F3"/>
    <w:rsid w:val="002C3738"/>
    <w:rsid w:val="002C378D"/>
    <w:rsid w:val="002C3E34"/>
    <w:rsid w:val="002C510E"/>
    <w:rsid w:val="002C58A5"/>
    <w:rsid w:val="002C6C24"/>
    <w:rsid w:val="002C77DF"/>
    <w:rsid w:val="002C7846"/>
    <w:rsid w:val="002C7895"/>
    <w:rsid w:val="002D1BD6"/>
    <w:rsid w:val="002D20C1"/>
    <w:rsid w:val="002D2111"/>
    <w:rsid w:val="002D2789"/>
    <w:rsid w:val="002D32EE"/>
    <w:rsid w:val="002D32FA"/>
    <w:rsid w:val="002D3B29"/>
    <w:rsid w:val="002D5BC4"/>
    <w:rsid w:val="002D5BDC"/>
    <w:rsid w:val="002D6EA5"/>
    <w:rsid w:val="002D711E"/>
    <w:rsid w:val="002D7803"/>
    <w:rsid w:val="002D786C"/>
    <w:rsid w:val="002D7CB3"/>
    <w:rsid w:val="002E007F"/>
    <w:rsid w:val="002E1A81"/>
    <w:rsid w:val="002E27A0"/>
    <w:rsid w:val="002E2A8E"/>
    <w:rsid w:val="002E3B69"/>
    <w:rsid w:val="002E44F9"/>
    <w:rsid w:val="002E4791"/>
    <w:rsid w:val="002E4BF5"/>
    <w:rsid w:val="002E4EC3"/>
    <w:rsid w:val="002E4F13"/>
    <w:rsid w:val="002E4FCE"/>
    <w:rsid w:val="002E5235"/>
    <w:rsid w:val="002E554B"/>
    <w:rsid w:val="002E5AA9"/>
    <w:rsid w:val="002E6A98"/>
    <w:rsid w:val="002E78D3"/>
    <w:rsid w:val="002E7D72"/>
    <w:rsid w:val="002E7E6B"/>
    <w:rsid w:val="002F0795"/>
    <w:rsid w:val="002F0BB3"/>
    <w:rsid w:val="002F0CCB"/>
    <w:rsid w:val="002F1C7E"/>
    <w:rsid w:val="002F296E"/>
    <w:rsid w:val="002F29DD"/>
    <w:rsid w:val="002F2A99"/>
    <w:rsid w:val="002F2B47"/>
    <w:rsid w:val="002F2EA0"/>
    <w:rsid w:val="002F357D"/>
    <w:rsid w:val="002F3DFB"/>
    <w:rsid w:val="002F3F82"/>
    <w:rsid w:val="002F495C"/>
    <w:rsid w:val="002F508F"/>
    <w:rsid w:val="002F5EB0"/>
    <w:rsid w:val="002F62CE"/>
    <w:rsid w:val="002F642F"/>
    <w:rsid w:val="002F6821"/>
    <w:rsid w:val="002F6A95"/>
    <w:rsid w:val="002F6CCA"/>
    <w:rsid w:val="002F7196"/>
    <w:rsid w:val="002F7E4C"/>
    <w:rsid w:val="002F7E63"/>
    <w:rsid w:val="003005E1"/>
    <w:rsid w:val="003006D8"/>
    <w:rsid w:val="0030197D"/>
    <w:rsid w:val="00301C94"/>
    <w:rsid w:val="00303528"/>
    <w:rsid w:val="00303553"/>
    <w:rsid w:val="00303C96"/>
    <w:rsid w:val="00304F33"/>
    <w:rsid w:val="003069F2"/>
    <w:rsid w:val="003077CB"/>
    <w:rsid w:val="00307C4F"/>
    <w:rsid w:val="00307DB6"/>
    <w:rsid w:val="00311163"/>
    <w:rsid w:val="00311425"/>
    <w:rsid w:val="00312501"/>
    <w:rsid w:val="00312DB6"/>
    <w:rsid w:val="00313036"/>
    <w:rsid w:val="00313398"/>
    <w:rsid w:val="0031403C"/>
    <w:rsid w:val="00314228"/>
    <w:rsid w:val="00315C2E"/>
    <w:rsid w:val="00315F5A"/>
    <w:rsid w:val="003166C0"/>
    <w:rsid w:val="003166C2"/>
    <w:rsid w:val="00320C66"/>
    <w:rsid w:val="00320D60"/>
    <w:rsid w:val="00321B79"/>
    <w:rsid w:val="00321D65"/>
    <w:rsid w:val="00322571"/>
    <w:rsid w:val="003233C2"/>
    <w:rsid w:val="003235AB"/>
    <w:rsid w:val="00323680"/>
    <w:rsid w:val="0032370F"/>
    <w:rsid w:val="00323910"/>
    <w:rsid w:val="003248AB"/>
    <w:rsid w:val="00324B76"/>
    <w:rsid w:val="003252F7"/>
    <w:rsid w:val="0033129A"/>
    <w:rsid w:val="00332065"/>
    <w:rsid w:val="00332460"/>
    <w:rsid w:val="00332A0A"/>
    <w:rsid w:val="00332A40"/>
    <w:rsid w:val="00333568"/>
    <w:rsid w:val="0033470C"/>
    <w:rsid w:val="00334746"/>
    <w:rsid w:val="0033672D"/>
    <w:rsid w:val="0033676A"/>
    <w:rsid w:val="00336A85"/>
    <w:rsid w:val="00336C82"/>
    <w:rsid w:val="00337003"/>
    <w:rsid w:val="00337263"/>
    <w:rsid w:val="003377A1"/>
    <w:rsid w:val="00337ECC"/>
    <w:rsid w:val="00340461"/>
    <w:rsid w:val="00340463"/>
    <w:rsid w:val="003404AD"/>
    <w:rsid w:val="00340FF1"/>
    <w:rsid w:val="00341399"/>
    <w:rsid w:val="00341FEC"/>
    <w:rsid w:val="003421BA"/>
    <w:rsid w:val="003432E5"/>
    <w:rsid w:val="00343341"/>
    <w:rsid w:val="00345616"/>
    <w:rsid w:val="00345988"/>
    <w:rsid w:val="00346626"/>
    <w:rsid w:val="003470B8"/>
    <w:rsid w:val="003472B2"/>
    <w:rsid w:val="0035006A"/>
    <w:rsid w:val="003503DF"/>
    <w:rsid w:val="003510C7"/>
    <w:rsid w:val="0035145F"/>
    <w:rsid w:val="00351A1F"/>
    <w:rsid w:val="00351DBB"/>
    <w:rsid w:val="003522E4"/>
    <w:rsid w:val="00352530"/>
    <w:rsid w:val="00352DC5"/>
    <w:rsid w:val="00352EA6"/>
    <w:rsid w:val="00353101"/>
    <w:rsid w:val="00353753"/>
    <w:rsid w:val="00353A25"/>
    <w:rsid w:val="00354C65"/>
    <w:rsid w:val="003552AA"/>
    <w:rsid w:val="00355A7A"/>
    <w:rsid w:val="00355B35"/>
    <w:rsid w:val="003560B8"/>
    <w:rsid w:val="00356C16"/>
    <w:rsid w:val="00357094"/>
    <w:rsid w:val="00360476"/>
    <w:rsid w:val="003607D7"/>
    <w:rsid w:val="00360DA7"/>
    <w:rsid w:val="0036109A"/>
    <w:rsid w:val="00362230"/>
    <w:rsid w:val="00362798"/>
    <w:rsid w:val="003627FE"/>
    <w:rsid w:val="00362DE2"/>
    <w:rsid w:val="00362F69"/>
    <w:rsid w:val="0036382A"/>
    <w:rsid w:val="00363C38"/>
    <w:rsid w:val="0036515D"/>
    <w:rsid w:val="00365DD6"/>
    <w:rsid w:val="00365F72"/>
    <w:rsid w:val="003661C9"/>
    <w:rsid w:val="003662ED"/>
    <w:rsid w:val="00366C54"/>
    <w:rsid w:val="00370C6A"/>
    <w:rsid w:val="00371B50"/>
    <w:rsid w:val="00372348"/>
    <w:rsid w:val="0037271B"/>
    <w:rsid w:val="00373125"/>
    <w:rsid w:val="0037642E"/>
    <w:rsid w:val="003770D7"/>
    <w:rsid w:val="00377FE2"/>
    <w:rsid w:val="00380436"/>
    <w:rsid w:val="003806B8"/>
    <w:rsid w:val="003808E5"/>
    <w:rsid w:val="003814AB"/>
    <w:rsid w:val="0038158F"/>
    <w:rsid w:val="003816EF"/>
    <w:rsid w:val="00381FBE"/>
    <w:rsid w:val="0038323F"/>
    <w:rsid w:val="003836F9"/>
    <w:rsid w:val="0038370B"/>
    <w:rsid w:val="003837BA"/>
    <w:rsid w:val="0038431D"/>
    <w:rsid w:val="00384674"/>
    <w:rsid w:val="003846AC"/>
    <w:rsid w:val="003859E7"/>
    <w:rsid w:val="00385AA3"/>
    <w:rsid w:val="00385CA8"/>
    <w:rsid w:val="003866C3"/>
    <w:rsid w:val="00386C56"/>
    <w:rsid w:val="00386EAB"/>
    <w:rsid w:val="00386F68"/>
    <w:rsid w:val="003871ED"/>
    <w:rsid w:val="0038794C"/>
    <w:rsid w:val="00387DE6"/>
    <w:rsid w:val="0039010B"/>
    <w:rsid w:val="003901AD"/>
    <w:rsid w:val="003905DC"/>
    <w:rsid w:val="00390D8E"/>
    <w:rsid w:val="00391C4A"/>
    <w:rsid w:val="0039302B"/>
    <w:rsid w:val="00393635"/>
    <w:rsid w:val="00394134"/>
    <w:rsid w:val="00394406"/>
    <w:rsid w:val="00394C57"/>
    <w:rsid w:val="00394D86"/>
    <w:rsid w:val="00394F4E"/>
    <w:rsid w:val="0039533F"/>
    <w:rsid w:val="00395BCE"/>
    <w:rsid w:val="003A0C4F"/>
    <w:rsid w:val="003A15CD"/>
    <w:rsid w:val="003A2BFD"/>
    <w:rsid w:val="003A315A"/>
    <w:rsid w:val="003A3D7D"/>
    <w:rsid w:val="003A3F8B"/>
    <w:rsid w:val="003A50F7"/>
    <w:rsid w:val="003A5AEF"/>
    <w:rsid w:val="003A5C18"/>
    <w:rsid w:val="003A60F2"/>
    <w:rsid w:val="003A64A1"/>
    <w:rsid w:val="003A70AC"/>
    <w:rsid w:val="003A7266"/>
    <w:rsid w:val="003A74D4"/>
    <w:rsid w:val="003A7509"/>
    <w:rsid w:val="003A7ADE"/>
    <w:rsid w:val="003A7CEB"/>
    <w:rsid w:val="003B05AF"/>
    <w:rsid w:val="003B07F9"/>
    <w:rsid w:val="003B08E8"/>
    <w:rsid w:val="003B1060"/>
    <w:rsid w:val="003B10CB"/>
    <w:rsid w:val="003B141E"/>
    <w:rsid w:val="003B155A"/>
    <w:rsid w:val="003B1B97"/>
    <w:rsid w:val="003B22EC"/>
    <w:rsid w:val="003B2759"/>
    <w:rsid w:val="003B3115"/>
    <w:rsid w:val="003B31E1"/>
    <w:rsid w:val="003B363E"/>
    <w:rsid w:val="003B38AD"/>
    <w:rsid w:val="003B3F63"/>
    <w:rsid w:val="003B4B49"/>
    <w:rsid w:val="003B4B80"/>
    <w:rsid w:val="003B56A1"/>
    <w:rsid w:val="003B6553"/>
    <w:rsid w:val="003B673B"/>
    <w:rsid w:val="003B7A67"/>
    <w:rsid w:val="003B7B47"/>
    <w:rsid w:val="003B7D41"/>
    <w:rsid w:val="003C0307"/>
    <w:rsid w:val="003C0CA6"/>
    <w:rsid w:val="003C0CB5"/>
    <w:rsid w:val="003C208E"/>
    <w:rsid w:val="003C2735"/>
    <w:rsid w:val="003C2FED"/>
    <w:rsid w:val="003C353C"/>
    <w:rsid w:val="003C52E6"/>
    <w:rsid w:val="003C5970"/>
    <w:rsid w:val="003C6316"/>
    <w:rsid w:val="003C791F"/>
    <w:rsid w:val="003C7AA2"/>
    <w:rsid w:val="003D06A1"/>
    <w:rsid w:val="003D111E"/>
    <w:rsid w:val="003D1532"/>
    <w:rsid w:val="003D2DA0"/>
    <w:rsid w:val="003D3257"/>
    <w:rsid w:val="003D3F22"/>
    <w:rsid w:val="003D446F"/>
    <w:rsid w:val="003D4DF2"/>
    <w:rsid w:val="003D511E"/>
    <w:rsid w:val="003D528F"/>
    <w:rsid w:val="003D567B"/>
    <w:rsid w:val="003D5D8C"/>
    <w:rsid w:val="003D6FC0"/>
    <w:rsid w:val="003D7794"/>
    <w:rsid w:val="003D77AB"/>
    <w:rsid w:val="003D7831"/>
    <w:rsid w:val="003E1750"/>
    <w:rsid w:val="003E2B78"/>
    <w:rsid w:val="003E3362"/>
    <w:rsid w:val="003E4551"/>
    <w:rsid w:val="003E48F5"/>
    <w:rsid w:val="003E663B"/>
    <w:rsid w:val="003F01AD"/>
    <w:rsid w:val="003F0470"/>
    <w:rsid w:val="003F1533"/>
    <w:rsid w:val="003F24C3"/>
    <w:rsid w:val="003F28CA"/>
    <w:rsid w:val="003F2AF9"/>
    <w:rsid w:val="003F36F1"/>
    <w:rsid w:val="003F4088"/>
    <w:rsid w:val="003F41B6"/>
    <w:rsid w:val="003F4757"/>
    <w:rsid w:val="003F5487"/>
    <w:rsid w:val="003F7174"/>
    <w:rsid w:val="003F739D"/>
    <w:rsid w:val="0040039A"/>
    <w:rsid w:val="00400FE7"/>
    <w:rsid w:val="004015E0"/>
    <w:rsid w:val="004018B3"/>
    <w:rsid w:val="004030CA"/>
    <w:rsid w:val="00403410"/>
    <w:rsid w:val="004044A3"/>
    <w:rsid w:val="004048E0"/>
    <w:rsid w:val="004055FD"/>
    <w:rsid w:val="0040672F"/>
    <w:rsid w:val="0040721E"/>
    <w:rsid w:val="00407EE2"/>
    <w:rsid w:val="00407FD0"/>
    <w:rsid w:val="00410768"/>
    <w:rsid w:val="00412949"/>
    <w:rsid w:val="004133A8"/>
    <w:rsid w:val="004142B3"/>
    <w:rsid w:val="00414870"/>
    <w:rsid w:val="004149FD"/>
    <w:rsid w:val="00414A1D"/>
    <w:rsid w:val="00414A48"/>
    <w:rsid w:val="00414DEA"/>
    <w:rsid w:val="00415BF9"/>
    <w:rsid w:val="004163F1"/>
    <w:rsid w:val="0041660E"/>
    <w:rsid w:val="00416F6C"/>
    <w:rsid w:val="004178E8"/>
    <w:rsid w:val="00417EE5"/>
    <w:rsid w:val="0042118D"/>
    <w:rsid w:val="00421F28"/>
    <w:rsid w:val="004227DB"/>
    <w:rsid w:val="00422AAF"/>
    <w:rsid w:val="004231D5"/>
    <w:rsid w:val="004237A0"/>
    <w:rsid w:val="00423A05"/>
    <w:rsid w:val="0042439D"/>
    <w:rsid w:val="00425250"/>
    <w:rsid w:val="00425A43"/>
    <w:rsid w:val="00425AAF"/>
    <w:rsid w:val="00425B20"/>
    <w:rsid w:val="00426FCB"/>
    <w:rsid w:val="00427859"/>
    <w:rsid w:val="00430FC3"/>
    <w:rsid w:val="00431079"/>
    <w:rsid w:val="004317C2"/>
    <w:rsid w:val="0043256C"/>
    <w:rsid w:val="00432EEB"/>
    <w:rsid w:val="00433AA9"/>
    <w:rsid w:val="00434B57"/>
    <w:rsid w:val="0043502E"/>
    <w:rsid w:val="00435733"/>
    <w:rsid w:val="00436710"/>
    <w:rsid w:val="00436A58"/>
    <w:rsid w:val="00436BD6"/>
    <w:rsid w:val="00436DF6"/>
    <w:rsid w:val="00437B06"/>
    <w:rsid w:val="00437BB3"/>
    <w:rsid w:val="00440C39"/>
    <w:rsid w:val="00440D3F"/>
    <w:rsid w:val="00441D82"/>
    <w:rsid w:val="004429AB"/>
    <w:rsid w:val="00442CFB"/>
    <w:rsid w:val="0044593B"/>
    <w:rsid w:val="00445AFB"/>
    <w:rsid w:val="00445B8C"/>
    <w:rsid w:val="004476F8"/>
    <w:rsid w:val="004509BA"/>
    <w:rsid w:val="0045190D"/>
    <w:rsid w:val="00451D06"/>
    <w:rsid w:val="0045272D"/>
    <w:rsid w:val="0045319A"/>
    <w:rsid w:val="00454C6B"/>
    <w:rsid w:val="00455CCA"/>
    <w:rsid w:val="00456BDB"/>
    <w:rsid w:val="00456C23"/>
    <w:rsid w:val="00456C5D"/>
    <w:rsid w:val="00456E67"/>
    <w:rsid w:val="00457A76"/>
    <w:rsid w:val="004609F6"/>
    <w:rsid w:val="0046133D"/>
    <w:rsid w:val="00461456"/>
    <w:rsid w:val="00461549"/>
    <w:rsid w:val="00461963"/>
    <w:rsid w:val="00462133"/>
    <w:rsid w:val="00462738"/>
    <w:rsid w:val="00463440"/>
    <w:rsid w:val="0046354F"/>
    <w:rsid w:val="0046440B"/>
    <w:rsid w:val="0046477D"/>
    <w:rsid w:val="00464959"/>
    <w:rsid w:val="00464BA5"/>
    <w:rsid w:val="00464DCC"/>
    <w:rsid w:val="00464EC3"/>
    <w:rsid w:val="004671C6"/>
    <w:rsid w:val="004671E8"/>
    <w:rsid w:val="00467580"/>
    <w:rsid w:val="00470361"/>
    <w:rsid w:val="004705CE"/>
    <w:rsid w:val="004711F4"/>
    <w:rsid w:val="004713EC"/>
    <w:rsid w:val="004715BC"/>
    <w:rsid w:val="00471A88"/>
    <w:rsid w:val="00471A8B"/>
    <w:rsid w:val="00471C2D"/>
    <w:rsid w:val="00472279"/>
    <w:rsid w:val="00474B3E"/>
    <w:rsid w:val="00475678"/>
    <w:rsid w:val="0047583B"/>
    <w:rsid w:val="00476014"/>
    <w:rsid w:val="00476472"/>
    <w:rsid w:val="00476C78"/>
    <w:rsid w:val="00477032"/>
    <w:rsid w:val="004771C1"/>
    <w:rsid w:val="004775CF"/>
    <w:rsid w:val="00477CD5"/>
    <w:rsid w:val="004804B7"/>
    <w:rsid w:val="00480A9C"/>
    <w:rsid w:val="00480F9D"/>
    <w:rsid w:val="00481E76"/>
    <w:rsid w:val="00484A3D"/>
    <w:rsid w:val="00486EAA"/>
    <w:rsid w:val="00487357"/>
    <w:rsid w:val="004877D2"/>
    <w:rsid w:val="004879C0"/>
    <w:rsid w:val="00487DC9"/>
    <w:rsid w:val="004907DD"/>
    <w:rsid w:val="00490A93"/>
    <w:rsid w:val="00490C5D"/>
    <w:rsid w:val="00490D9E"/>
    <w:rsid w:val="00490E87"/>
    <w:rsid w:val="00490FE6"/>
    <w:rsid w:val="0049189B"/>
    <w:rsid w:val="00491B8F"/>
    <w:rsid w:val="00493FF9"/>
    <w:rsid w:val="00494BD1"/>
    <w:rsid w:val="004953D0"/>
    <w:rsid w:val="004953D8"/>
    <w:rsid w:val="004968AC"/>
    <w:rsid w:val="004A0CAA"/>
    <w:rsid w:val="004A4216"/>
    <w:rsid w:val="004A4DFF"/>
    <w:rsid w:val="004A572C"/>
    <w:rsid w:val="004A61F9"/>
    <w:rsid w:val="004A742D"/>
    <w:rsid w:val="004A7FC0"/>
    <w:rsid w:val="004B0774"/>
    <w:rsid w:val="004B0F14"/>
    <w:rsid w:val="004B1F0D"/>
    <w:rsid w:val="004B2C1E"/>
    <w:rsid w:val="004B2DD5"/>
    <w:rsid w:val="004B2FB3"/>
    <w:rsid w:val="004B31FA"/>
    <w:rsid w:val="004B34DC"/>
    <w:rsid w:val="004B38EB"/>
    <w:rsid w:val="004B4696"/>
    <w:rsid w:val="004B4A2B"/>
    <w:rsid w:val="004B58D2"/>
    <w:rsid w:val="004B5A9D"/>
    <w:rsid w:val="004B5C6E"/>
    <w:rsid w:val="004B5F2C"/>
    <w:rsid w:val="004B63F4"/>
    <w:rsid w:val="004B66CC"/>
    <w:rsid w:val="004B751F"/>
    <w:rsid w:val="004B7C59"/>
    <w:rsid w:val="004B7C7E"/>
    <w:rsid w:val="004C01EC"/>
    <w:rsid w:val="004C0F80"/>
    <w:rsid w:val="004C0FF9"/>
    <w:rsid w:val="004C1E57"/>
    <w:rsid w:val="004C1F39"/>
    <w:rsid w:val="004C2D05"/>
    <w:rsid w:val="004C2F48"/>
    <w:rsid w:val="004C3AAC"/>
    <w:rsid w:val="004C4ED4"/>
    <w:rsid w:val="004C523A"/>
    <w:rsid w:val="004C58DE"/>
    <w:rsid w:val="004C68A9"/>
    <w:rsid w:val="004C7067"/>
    <w:rsid w:val="004C70A9"/>
    <w:rsid w:val="004D0E36"/>
    <w:rsid w:val="004D14BC"/>
    <w:rsid w:val="004D2042"/>
    <w:rsid w:val="004D2078"/>
    <w:rsid w:val="004D2870"/>
    <w:rsid w:val="004D2C78"/>
    <w:rsid w:val="004D2F58"/>
    <w:rsid w:val="004D39D2"/>
    <w:rsid w:val="004D5AAC"/>
    <w:rsid w:val="004D5EA9"/>
    <w:rsid w:val="004D65CE"/>
    <w:rsid w:val="004D6C67"/>
    <w:rsid w:val="004D6E0F"/>
    <w:rsid w:val="004D6F4D"/>
    <w:rsid w:val="004D7876"/>
    <w:rsid w:val="004E02DC"/>
    <w:rsid w:val="004E0E44"/>
    <w:rsid w:val="004E21FE"/>
    <w:rsid w:val="004E2CEF"/>
    <w:rsid w:val="004E2FAA"/>
    <w:rsid w:val="004E3287"/>
    <w:rsid w:val="004E46CE"/>
    <w:rsid w:val="004E474C"/>
    <w:rsid w:val="004E5265"/>
    <w:rsid w:val="004E58D9"/>
    <w:rsid w:val="004E58FC"/>
    <w:rsid w:val="004E5EE8"/>
    <w:rsid w:val="004E6A9E"/>
    <w:rsid w:val="004E6C3F"/>
    <w:rsid w:val="004E7030"/>
    <w:rsid w:val="004E70CE"/>
    <w:rsid w:val="004E7612"/>
    <w:rsid w:val="004E7BEC"/>
    <w:rsid w:val="004F08EA"/>
    <w:rsid w:val="004F12CE"/>
    <w:rsid w:val="004F1FD4"/>
    <w:rsid w:val="004F2175"/>
    <w:rsid w:val="004F24CD"/>
    <w:rsid w:val="004F2770"/>
    <w:rsid w:val="004F3A5E"/>
    <w:rsid w:val="004F3D62"/>
    <w:rsid w:val="004F539F"/>
    <w:rsid w:val="004F59B4"/>
    <w:rsid w:val="004F5A19"/>
    <w:rsid w:val="004F6016"/>
    <w:rsid w:val="004F6472"/>
    <w:rsid w:val="004F687E"/>
    <w:rsid w:val="004F6B7D"/>
    <w:rsid w:val="004F7341"/>
    <w:rsid w:val="004F76FC"/>
    <w:rsid w:val="004F7DF9"/>
    <w:rsid w:val="00500144"/>
    <w:rsid w:val="00501542"/>
    <w:rsid w:val="00502621"/>
    <w:rsid w:val="005033CF"/>
    <w:rsid w:val="00503967"/>
    <w:rsid w:val="00503D9F"/>
    <w:rsid w:val="00504AEA"/>
    <w:rsid w:val="00504DDC"/>
    <w:rsid w:val="005051F1"/>
    <w:rsid w:val="00505432"/>
    <w:rsid w:val="00506C81"/>
    <w:rsid w:val="00507D1B"/>
    <w:rsid w:val="00507F96"/>
    <w:rsid w:val="00510BF7"/>
    <w:rsid w:val="00510C4D"/>
    <w:rsid w:val="00510F4F"/>
    <w:rsid w:val="0051129A"/>
    <w:rsid w:val="00511776"/>
    <w:rsid w:val="00512040"/>
    <w:rsid w:val="00512629"/>
    <w:rsid w:val="00512B82"/>
    <w:rsid w:val="0051331E"/>
    <w:rsid w:val="00513616"/>
    <w:rsid w:val="00515B67"/>
    <w:rsid w:val="00516652"/>
    <w:rsid w:val="005166C9"/>
    <w:rsid w:val="00516C15"/>
    <w:rsid w:val="0051765C"/>
    <w:rsid w:val="0051793B"/>
    <w:rsid w:val="00517B46"/>
    <w:rsid w:val="00517F82"/>
    <w:rsid w:val="00520338"/>
    <w:rsid w:val="00520A00"/>
    <w:rsid w:val="0052139C"/>
    <w:rsid w:val="00522569"/>
    <w:rsid w:val="00523134"/>
    <w:rsid w:val="00523FFD"/>
    <w:rsid w:val="005245BD"/>
    <w:rsid w:val="005246C3"/>
    <w:rsid w:val="00524979"/>
    <w:rsid w:val="00524DCC"/>
    <w:rsid w:val="005268FE"/>
    <w:rsid w:val="005270EF"/>
    <w:rsid w:val="0052766B"/>
    <w:rsid w:val="0052773D"/>
    <w:rsid w:val="005279B3"/>
    <w:rsid w:val="0053066C"/>
    <w:rsid w:val="00530BBE"/>
    <w:rsid w:val="00530CB1"/>
    <w:rsid w:val="005312CA"/>
    <w:rsid w:val="0053149A"/>
    <w:rsid w:val="0053188D"/>
    <w:rsid w:val="005318E8"/>
    <w:rsid w:val="00531A36"/>
    <w:rsid w:val="005329D5"/>
    <w:rsid w:val="00534150"/>
    <w:rsid w:val="00534A3C"/>
    <w:rsid w:val="005365A3"/>
    <w:rsid w:val="00536ABC"/>
    <w:rsid w:val="00536EBD"/>
    <w:rsid w:val="005375FB"/>
    <w:rsid w:val="00537AC8"/>
    <w:rsid w:val="00540BC7"/>
    <w:rsid w:val="0054191D"/>
    <w:rsid w:val="00541970"/>
    <w:rsid w:val="00542118"/>
    <w:rsid w:val="005427CB"/>
    <w:rsid w:val="005432FF"/>
    <w:rsid w:val="00543D76"/>
    <w:rsid w:val="00543E5D"/>
    <w:rsid w:val="005443FA"/>
    <w:rsid w:val="005444BF"/>
    <w:rsid w:val="00546088"/>
    <w:rsid w:val="00546665"/>
    <w:rsid w:val="00547CE5"/>
    <w:rsid w:val="00547FBE"/>
    <w:rsid w:val="00551BD1"/>
    <w:rsid w:val="00552B84"/>
    <w:rsid w:val="00552E93"/>
    <w:rsid w:val="0055470E"/>
    <w:rsid w:val="0055589A"/>
    <w:rsid w:val="00556297"/>
    <w:rsid w:val="00556605"/>
    <w:rsid w:val="0055700D"/>
    <w:rsid w:val="00557176"/>
    <w:rsid w:val="00557947"/>
    <w:rsid w:val="00557958"/>
    <w:rsid w:val="00560147"/>
    <w:rsid w:val="0056028E"/>
    <w:rsid w:val="005606C3"/>
    <w:rsid w:val="0056089E"/>
    <w:rsid w:val="00560B0F"/>
    <w:rsid w:val="005610BE"/>
    <w:rsid w:val="00561AC6"/>
    <w:rsid w:val="00562390"/>
    <w:rsid w:val="0056248B"/>
    <w:rsid w:val="0056272C"/>
    <w:rsid w:val="0056332D"/>
    <w:rsid w:val="005635F2"/>
    <w:rsid w:val="00564AE1"/>
    <w:rsid w:val="00564BF6"/>
    <w:rsid w:val="0056561A"/>
    <w:rsid w:val="00565805"/>
    <w:rsid w:val="00565F73"/>
    <w:rsid w:val="00566374"/>
    <w:rsid w:val="00566DA4"/>
    <w:rsid w:val="00567B27"/>
    <w:rsid w:val="005704C1"/>
    <w:rsid w:val="00570610"/>
    <w:rsid w:val="005708AB"/>
    <w:rsid w:val="005708CE"/>
    <w:rsid w:val="00574376"/>
    <w:rsid w:val="00574A96"/>
    <w:rsid w:val="005750BB"/>
    <w:rsid w:val="00575247"/>
    <w:rsid w:val="00575643"/>
    <w:rsid w:val="005758CA"/>
    <w:rsid w:val="005759A2"/>
    <w:rsid w:val="00575AB4"/>
    <w:rsid w:val="00575E43"/>
    <w:rsid w:val="0057692F"/>
    <w:rsid w:val="00576D2D"/>
    <w:rsid w:val="00577363"/>
    <w:rsid w:val="00577470"/>
    <w:rsid w:val="00577924"/>
    <w:rsid w:val="00577F9C"/>
    <w:rsid w:val="00580145"/>
    <w:rsid w:val="005804AC"/>
    <w:rsid w:val="00580C37"/>
    <w:rsid w:val="00581D25"/>
    <w:rsid w:val="00582AEC"/>
    <w:rsid w:val="00582E04"/>
    <w:rsid w:val="00583F4F"/>
    <w:rsid w:val="00584690"/>
    <w:rsid w:val="00584804"/>
    <w:rsid w:val="00584E1D"/>
    <w:rsid w:val="0058548F"/>
    <w:rsid w:val="00585810"/>
    <w:rsid w:val="0058604D"/>
    <w:rsid w:val="005860FB"/>
    <w:rsid w:val="00586495"/>
    <w:rsid w:val="005874ED"/>
    <w:rsid w:val="005875F5"/>
    <w:rsid w:val="00590B79"/>
    <w:rsid w:val="00591406"/>
    <w:rsid w:val="00592056"/>
    <w:rsid w:val="005923A0"/>
    <w:rsid w:val="00592DE4"/>
    <w:rsid w:val="00593595"/>
    <w:rsid w:val="00594A72"/>
    <w:rsid w:val="0059505E"/>
    <w:rsid w:val="00595324"/>
    <w:rsid w:val="0059545E"/>
    <w:rsid w:val="0059651F"/>
    <w:rsid w:val="00596E73"/>
    <w:rsid w:val="00596EF9"/>
    <w:rsid w:val="0059758A"/>
    <w:rsid w:val="00597DDD"/>
    <w:rsid w:val="005A0147"/>
    <w:rsid w:val="005A156F"/>
    <w:rsid w:val="005A1D48"/>
    <w:rsid w:val="005A1E21"/>
    <w:rsid w:val="005A3504"/>
    <w:rsid w:val="005A45AD"/>
    <w:rsid w:val="005A661E"/>
    <w:rsid w:val="005A7D05"/>
    <w:rsid w:val="005B0A0D"/>
    <w:rsid w:val="005B1573"/>
    <w:rsid w:val="005B1E63"/>
    <w:rsid w:val="005B1EB9"/>
    <w:rsid w:val="005B23C1"/>
    <w:rsid w:val="005B25CC"/>
    <w:rsid w:val="005B2928"/>
    <w:rsid w:val="005B2A9B"/>
    <w:rsid w:val="005B2B7F"/>
    <w:rsid w:val="005B2C1A"/>
    <w:rsid w:val="005B305B"/>
    <w:rsid w:val="005B46AC"/>
    <w:rsid w:val="005B46FA"/>
    <w:rsid w:val="005B53D2"/>
    <w:rsid w:val="005B553E"/>
    <w:rsid w:val="005B5696"/>
    <w:rsid w:val="005B6166"/>
    <w:rsid w:val="005B67A8"/>
    <w:rsid w:val="005B7060"/>
    <w:rsid w:val="005B7E08"/>
    <w:rsid w:val="005C0199"/>
    <w:rsid w:val="005C037C"/>
    <w:rsid w:val="005C068E"/>
    <w:rsid w:val="005C0B24"/>
    <w:rsid w:val="005C151A"/>
    <w:rsid w:val="005C1E75"/>
    <w:rsid w:val="005C1F01"/>
    <w:rsid w:val="005C2BAB"/>
    <w:rsid w:val="005C30FC"/>
    <w:rsid w:val="005C34FE"/>
    <w:rsid w:val="005C3A77"/>
    <w:rsid w:val="005C4408"/>
    <w:rsid w:val="005C463C"/>
    <w:rsid w:val="005C4CAE"/>
    <w:rsid w:val="005C4CC3"/>
    <w:rsid w:val="005C528A"/>
    <w:rsid w:val="005C55CA"/>
    <w:rsid w:val="005C5833"/>
    <w:rsid w:val="005C5B81"/>
    <w:rsid w:val="005C606F"/>
    <w:rsid w:val="005C6814"/>
    <w:rsid w:val="005C69B5"/>
    <w:rsid w:val="005C6EC5"/>
    <w:rsid w:val="005C71B2"/>
    <w:rsid w:val="005C7850"/>
    <w:rsid w:val="005C7DDA"/>
    <w:rsid w:val="005C7E5D"/>
    <w:rsid w:val="005D06BC"/>
    <w:rsid w:val="005D0836"/>
    <w:rsid w:val="005D10E9"/>
    <w:rsid w:val="005D2542"/>
    <w:rsid w:val="005D3591"/>
    <w:rsid w:val="005D36F3"/>
    <w:rsid w:val="005D37E2"/>
    <w:rsid w:val="005D3923"/>
    <w:rsid w:val="005D3CF8"/>
    <w:rsid w:val="005D3DB7"/>
    <w:rsid w:val="005D3EBD"/>
    <w:rsid w:val="005D47E9"/>
    <w:rsid w:val="005D4DD4"/>
    <w:rsid w:val="005D7731"/>
    <w:rsid w:val="005D7779"/>
    <w:rsid w:val="005D7F96"/>
    <w:rsid w:val="005E0481"/>
    <w:rsid w:val="005E1415"/>
    <w:rsid w:val="005E224D"/>
    <w:rsid w:val="005E23D6"/>
    <w:rsid w:val="005E2A8B"/>
    <w:rsid w:val="005E2D01"/>
    <w:rsid w:val="005E479F"/>
    <w:rsid w:val="005E4D21"/>
    <w:rsid w:val="005E523A"/>
    <w:rsid w:val="005E57A2"/>
    <w:rsid w:val="005E5FA2"/>
    <w:rsid w:val="005E78FB"/>
    <w:rsid w:val="005F0609"/>
    <w:rsid w:val="005F078E"/>
    <w:rsid w:val="005F0791"/>
    <w:rsid w:val="005F1451"/>
    <w:rsid w:val="005F2EFC"/>
    <w:rsid w:val="005F3277"/>
    <w:rsid w:val="005F35B7"/>
    <w:rsid w:val="005F35E7"/>
    <w:rsid w:val="005F3699"/>
    <w:rsid w:val="005F3B9A"/>
    <w:rsid w:val="005F3CC7"/>
    <w:rsid w:val="005F3E2F"/>
    <w:rsid w:val="005F40B1"/>
    <w:rsid w:val="005F5816"/>
    <w:rsid w:val="005F592E"/>
    <w:rsid w:val="005F67B0"/>
    <w:rsid w:val="005F74FA"/>
    <w:rsid w:val="005F7795"/>
    <w:rsid w:val="0060052E"/>
    <w:rsid w:val="00600A29"/>
    <w:rsid w:val="00600B59"/>
    <w:rsid w:val="006016EA"/>
    <w:rsid w:val="0060174D"/>
    <w:rsid w:val="00601BFD"/>
    <w:rsid w:val="00601C99"/>
    <w:rsid w:val="006021EA"/>
    <w:rsid w:val="006025D0"/>
    <w:rsid w:val="00603F75"/>
    <w:rsid w:val="00604806"/>
    <w:rsid w:val="00604B59"/>
    <w:rsid w:val="006051DC"/>
    <w:rsid w:val="0060540E"/>
    <w:rsid w:val="00605712"/>
    <w:rsid w:val="00605DB0"/>
    <w:rsid w:val="00606255"/>
    <w:rsid w:val="00606309"/>
    <w:rsid w:val="0060654B"/>
    <w:rsid w:val="00606C18"/>
    <w:rsid w:val="00606F68"/>
    <w:rsid w:val="006071ED"/>
    <w:rsid w:val="00607A02"/>
    <w:rsid w:val="0061022F"/>
    <w:rsid w:val="006106DC"/>
    <w:rsid w:val="00610B27"/>
    <w:rsid w:val="00610C3D"/>
    <w:rsid w:val="00611867"/>
    <w:rsid w:val="00612465"/>
    <w:rsid w:val="006130FF"/>
    <w:rsid w:val="00613223"/>
    <w:rsid w:val="0061338F"/>
    <w:rsid w:val="0061350F"/>
    <w:rsid w:val="0061419F"/>
    <w:rsid w:val="00615682"/>
    <w:rsid w:val="0061580E"/>
    <w:rsid w:val="00615BDB"/>
    <w:rsid w:val="00617B64"/>
    <w:rsid w:val="00617EA8"/>
    <w:rsid w:val="006206FF"/>
    <w:rsid w:val="00620D81"/>
    <w:rsid w:val="006213D1"/>
    <w:rsid w:val="00621442"/>
    <w:rsid w:val="0062144F"/>
    <w:rsid w:val="006219B9"/>
    <w:rsid w:val="0062328F"/>
    <w:rsid w:val="00623644"/>
    <w:rsid w:val="006239CA"/>
    <w:rsid w:val="00624078"/>
    <w:rsid w:val="006246E3"/>
    <w:rsid w:val="0062509B"/>
    <w:rsid w:val="006257C7"/>
    <w:rsid w:val="00625B76"/>
    <w:rsid w:val="00626343"/>
    <w:rsid w:val="006264A1"/>
    <w:rsid w:val="006265DE"/>
    <w:rsid w:val="00627563"/>
    <w:rsid w:val="0063003C"/>
    <w:rsid w:val="00630A35"/>
    <w:rsid w:val="00630C13"/>
    <w:rsid w:val="00632018"/>
    <w:rsid w:val="00632995"/>
    <w:rsid w:val="00633087"/>
    <w:rsid w:val="006336BB"/>
    <w:rsid w:val="00634184"/>
    <w:rsid w:val="006344D9"/>
    <w:rsid w:val="0063487E"/>
    <w:rsid w:val="006355BC"/>
    <w:rsid w:val="00635E80"/>
    <w:rsid w:val="00636459"/>
    <w:rsid w:val="00636601"/>
    <w:rsid w:val="00636CCD"/>
    <w:rsid w:val="00637755"/>
    <w:rsid w:val="0064038A"/>
    <w:rsid w:val="00641586"/>
    <w:rsid w:val="006415E9"/>
    <w:rsid w:val="00641F2E"/>
    <w:rsid w:val="00642395"/>
    <w:rsid w:val="00642A07"/>
    <w:rsid w:val="00642A9D"/>
    <w:rsid w:val="00642AE9"/>
    <w:rsid w:val="00643D7B"/>
    <w:rsid w:val="00644C86"/>
    <w:rsid w:val="00645425"/>
    <w:rsid w:val="006458BC"/>
    <w:rsid w:val="00645F41"/>
    <w:rsid w:val="006460DE"/>
    <w:rsid w:val="006463A1"/>
    <w:rsid w:val="00647213"/>
    <w:rsid w:val="0064768F"/>
    <w:rsid w:val="006500DA"/>
    <w:rsid w:val="00650531"/>
    <w:rsid w:val="006511CC"/>
    <w:rsid w:val="006515F1"/>
    <w:rsid w:val="006520DC"/>
    <w:rsid w:val="00652551"/>
    <w:rsid w:val="006527C7"/>
    <w:rsid w:val="006529C8"/>
    <w:rsid w:val="00652B51"/>
    <w:rsid w:val="00652EE1"/>
    <w:rsid w:val="006530FF"/>
    <w:rsid w:val="0065320D"/>
    <w:rsid w:val="00653C93"/>
    <w:rsid w:val="006553CF"/>
    <w:rsid w:val="006553EB"/>
    <w:rsid w:val="00655790"/>
    <w:rsid w:val="00655CA9"/>
    <w:rsid w:val="0065785B"/>
    <w:rsid w:val="0066038D"/>
    <w:rsid w:val="00660CB4"/>
    <w:rsid w:val="00661299"/>
    <w:rsid w:val="0066169E"/>
    <w:rsid w:val="0066188F"/>
    <w:rsid w:val="006618D1"/>
    <w:rsid w:val="00661EE2"/>
    <w:rsid w:val="00662074"/>
    <w:rsid w:val="006621E1"/>
    <w:rsid w:val="00662AAC"/>
    <w:rsid w:val="00663170"/>
    <w:rsid w:val="00664CF2"/>
    <w:rsid w:val="006658AD"/>
    <w:rsid w:val="00665D51"/>
    <w:rsid w:val="00666642"/>
    <w:rsid w:val="00666A5D"/>
    <w:rsid w:val="0067037F"/>
    <w:rsid w:val="0067095E"/>
    <w:rsid w:val="00671B39"/>
    <w:rsid w:val="00671BB6"/>
    <w:rsid w:val="0067205C"/>
    <w:rsid w:val="006725A6"/>
    <w:rsid w:val="0067373A"/>
    <w:rsid w:val="006737D9"/>
    <w:rsid w:val="006737EA"/>
    <w:rsid w:val="00674B2D"/>
    <w:rsid w:val="006755A9"/>
    <w:rsid w:val="006758BF"/>
    <w:rsid w:val="00675B4E"/>
    <w:rsid w:val="006760A4"/>
    <w:rsid w:val="0067683F"/>
    <w:rsid w:val="0067717D"/>
    <w:rsid w:val="00677B01"/>
    <w:rsid w:val="00677D68"/>
    <w:rsid w:val="0068089B"/>
    <w:rsid w:val="00680A62"/>
    <w:rsid w:val="00681586"/>
    <w:rsid w:val="00681F79"/>
    <w:rsid w:val="006824FB"/>
    <w:rsid w:val="00682A7B"/>
    <w:rsid w:val="00684433"/>
    <w:rsid w:val="00684683"/>
    <w:rsid w:val="0068596A"/>
    <w:rsid w:val="0068631E"/>
    <w:rsid w:val="0068652F"/>
    <w:rsid w:val="0068721C"/>
    <w:rsid w:val="00687840"/>
    <w:rsid w:val="00687D6E"/>
    <w:rsid w:val="00690CD7"/>
    <w:rsid w:val="00690E47"/>
    <w:rsid w:val="00690F23"/>
    <w:rsid w:val="006914EB"/>
    <w:rsid w:val="00691A14"/>
    <w:rsid w:val="00691D84"/>
    <w:rsid w:val="00692245"/>
    <w:rsid w:val="006931B4"/>
    <w:rsid w:val="006933A1"/>
    <w:rsid w:val="00693BED"/>
    <w:rsid w:val="006948D9"/>
    <w:rsid w:val="00694F5D"/>
    <w:rsid w:val="00695417"/>
    <w:rsid w:val="00695A05"/>
    <w:rsid w:val="00695FB0"/>
    <w:rsid w:val="00696183"/>
    <w:rsid w:val="006A0151"/>
    <w:rsid w:val="006A06B8"/>
    <w:rsid w:val="006A091E"/>
    <w:rsid w:val="006A1945"/>
    <w:rsid w:val="006A1BA1"/>
    <w:rsid w:val="006A1D8A"/>
    <w:rsid w:val="006A28CE"/>
    <w:rsid w:val="006A34DF"/>
    <w:rsid w:val="006A38DF"/>
    <w:rsid w:val="006A3CAF"/>
    <w:rsid w:val="006A3FC0"/>
    <w:rsid w:val="006A4AE9"/>
    <w:rsid w:val="006A4DA7"/>
    <w:rsid w:val="006A5E6E"/>
    <w:rsid w:val="006A6425"/>
    <w:rsid w:val="006A6FA4"/>
    <w:rsid w:val="006A7216"/>
    <w:rsid w:val="006A756D"/>
    <w:rsid w:val="006B027C"/>
    <w:rsid w:val="006B0285"/>
    <w:rsid w:val="006B02B1"/>
    <w:rsid w:val="006B16BF"/>
    <w:rsid w:val="006B2B34"/>
    <w:rsid w:val="006B45A6"/>
    <w:rsid w:val="006B5154"/>
    <w:rsid w:val="006B53E0"/>
    <w:rsid w:val="006B58C6"/>
    <w:rsid w:val="006B65CB"/>
    <w:rsid w:val="006B7A88"/>
    <w:rsid w:val="006B7CF6"/>
    <w:rsid w:val="006C07CF"/>
    <w:rsid w:val="006C0984"/>
    <w:rsid w:val="006C0BA4"/>
    <w:rsid w:val="006C1008"/>
    <w:rsid w:val="006C1098"/>
    <w:rsid w:val="006C2941"/>
    <w:rsid w:val="006C2DFB"/>
    <w:rsid w:val="006C5003"/>
    <w:rsid w:val="006C5705"/>
    <w:rsid w:val="006C63D3"/>
    <w:rsid w:val="006D01A5"/>
    <w:rsid w:val="006D0D3B"/>
    <w:rsid w:val="006D113F"/>
    <w:rsid w:val="006D11DF"/>
    <w:rsid w:val="006D1258"/>
    <w:rsid w:val="006D1287"/>
    <w:rsid w:val="006D203C"/>
    <w:rsid w:val="006D22BB"/>
    <w:rsid w:val="006D3E5A"/>
    <w:rsid w:val="006D443B"/>
    <w:rsid w:val="006D5307"/>
    <w:rsid w:val="006D5E89"/>
    <w:rsid w:val="006D5E96"/>
    <w:rsid w:val="006D60E7"/>
    <w:rsid w:val="006D66B1"/>
    <w:rsid w:val="006D6ED5"/>
    <w:rsid w:val="006E065D"/>
    <w:rsid w:val="006E086B"/>
    <w:rsid w:val="006E12D7"/>
    <w:rsid w:val="006E1CEA"/>
    <w:rsid w:val="006E2102"/>
    <w:rsid w:val="006E27F3"/>
    <w:rsid w:val="006E2883"/>
    <w:rsid w:val="006E2BF7"/>
    <w:rsid w:val="006E2C33"/>
    <w:rsid w:val="006E3FA7"/>
    <w:rsid w:val="006E4384"/>
    <w:rsid w:val="006E5E08"/>
    <w:rsid w:val="006E675E"/>
    <w:rsid w:val="006E745B"/>
    <w:rsid w:val="006E74E5"/>
    <w:rsid w:val="006F0A1D"/>
    <w:rsid w:val="006F130A"/>
    <w:rsid w:val="006F1EC3"/>
    <w:rsid w:val="006F24EC"/>
    <w:rsid w:val="006F28C6"/>
    <w:rsid w:val="006F2D95"/>
    <w:rsid w:val="006F2E56"/>
    <w:rsid w:val="006F359C"/>
    <w:rsid w:val="006F364B"/>
    <w:rsid w:val="006F4349"/>
    <w:rsid w:val="006F489C"/>
    <w:rsid w:val="006F4ED9"/>
    <w:rsid w:val="006F5001"/>
    <w:rsid w:val="006F5EFB"/>
    <w:rsid w:val="006F624F"/>
    <w:rsid w:val="006F7D71"/>
    <w:rsid w:val="0070007F"/>
    <w:rsid w:val="00701574"/>
    <w:rsid w:val="00701D4D"/>
    <w:rsid w:val="00702688"/>
    <w:rsid w:val="0070289B"/>
    <w:rsid w:val="007039A0"/>
    <w:rsid w:val="007048BD"/>
    <w:rsid w:val="007055E7"/>
    <w:rsid w:val="0070562A"/>
    <w:rsid w:val="0070579F"/>
    <w:rsid w:val="00706AF4"/>
    <w:rsid w:val="00706F22"/>
    <w:rsid w:val="007106AC"/>
    <w:rsid w:val="007106E2"/>
    <w:rsid w:val="007107ED"/>
    <w:rsid w:val="00711107"/>
    <w:rsid w:val="00711F8A"/>
    <w:rsid w:val="00712060"/>
    <w:rsid w:val="007123F7"/>
    <w:rsid w:val="00712816"/>
    <w:rsid w:val="007140D9"/>
    <w:rsid w:val="007148CA"/>
    <w:rsid w:val="00714A71"/>
    <w:rsid w:val="00714D63"/>
    <w:rsid w:val="00714E92"/>
    <w:rsid w:val="00716105"/>
    <w:rsid w:val="007168CD"/>
    <w:rsid w:val="00716C00"/>
    <w:rsid w:val="0071753C"/>
    <w:rsid w:val="00717709"/>
    <w:rsid w:val="00717F2C"/>
    <w:rsid w:val="0072002E"/>
    <w:rsid w:val="00720403"/>
    <w:rsid w:val="0072046C"/>
    <w:rsid w:val="00720C04"/>
    <w:rsid w:val="0072257F"/>
    <w:rsid w:val="00722D63"/>
    <w:rsid w:val="00723015"/>
    <w:rsid w:val="007243BA"/>
    <w:rsid w:val="00724B1B"/>
    <w:rsid w:val="00724DC4"/>
    <w:rsid w:val="007267F5"/>
    <w:rsid w:val="00727B94"/>
    <w:rsid w:val="00727E3D"/>
    <w:rsid w:val="00730413"/>
    <w:rsid w:val="00730441"/>
    <w:rsid w:val="00730B3D"/>
    <w:rsid w:val="007313C0"/>
    <w:rsid w:val="007320E3"/>
    <w:rsid w:val="00732C23"/>
    <w:rsid w:val="00733234"/>
    <w:rsid w:val="0073492A"/>
    <w:rsid w:val="00734FCF"/>
    <w:rsid w:val="0073549A"/>
    <w:rsid w:val="0073736C"/>
    <w:rsid w:val="007373AA"/>
    <w:rsid w:val="0073782F"/>
    <w:rsid w:val="00740031"/>
    <w:rsid w:val="0074103A"/>
    <w:rsid w:val="0074151F"/>
    <w:rsid w:val="007416AB"/>
    <w:rsid w:val="00741857"/>
    <w:rsid w:val="00741C56"/>
    <w:rsid w:val="00742325"/>
    <w:rsid w:val="0074234C"/>
    <w:rsid w:val="00742A92"/>
    <w:rsid w:val="007448D3"/>
    <w:rsid w:val="007449EF"/>
    <w:rsid w:val="007452F7"/>
    <w:rsid w:val="007456FC"/>
    <w:rsid w:val="00745954"/>
    <w:rsid w:val="00745B2E"/>
    <w:rsid w:val="00746378"/>
    <w:rsid w:val="00747005"/>
    <w:rsid w:val="0074771C"/>
    <w:rsid w:val="00747784"/>
    <w:rsid w:val="00747CEB"/>
    <w:rsid w:val="00747D26"/>
    <w:rsid w:val="00747E37"/>
    <w:rsid w:val="00750362"/>
    <w:rsid w:val="00750B3B"/>
    <w:rsid w:val="00751092"/>
    <w:rsid w:val="007511E8"/>
    <w:rsid w:val="00751233"/>
    <w:rsid w:val="00751497"/>
    <w:rsid w:val="007515B1"/>
    <w:rsid w:val="00751A88"/>
    <w:rsid w:val="00751D9F"/>
    <w:rsid w:val="00751F38"/>
    <w:rsid w:val="00753009"/>
    <w:rsid w:val="00753202"/>
    <w:rsid w:val="007534E5"/>
    <w:rsid w:val="007539A2"/>
    <w:rsid w:val="00753FA1"/>
    <w:rsid w:val="00754850"/>
    <w:rsid w:val="007553C5"/>
    <w:rsid w:val="00755BDB"/>
    <w:rsid w:val="0075709C"/>
    <w:rsid w:val="00757334"/>
    <w:rsid w:val="00757423"/>
    <w:rsid w:val="00760909"/>
    <w:rsid w:val="00760B04"/>
    <w:rsid w:val="00760C9D"/>
    <w:rsid w:val="007615AF"/>
    <w:rsid w:val="0076189B"/>
    <w:rsid w:val="00761A99"/>
    <w:rsid w:val="00762223"/>
    <w:rsid w:val="007634D9"/>
    <w:rsid w:val="0076366F"/>
    <w:rsid w:val="00763B0B"/>
    <w:rsid w:val="00763BB6"/>
    <w:rsid w:val="00764425"/>
    <w:rsid w:val="0076524B"/>
    <w:rsid w:val="00765785"/>
    <w:rsid w:val="007660CF"/>
    <w:rsid w:val="00766261"/>
    <w:rsid w:val="007663F1"/>
    <w:rsid w:val="0077083A"/>
    <w:rsid w:val="00770A4C"/>
    <w:rsid w:val="00772DC0"/>
    <w:rsid w:val="00773A48"/>
    <w:rsid w:val="0077444F"/>
    <w:rsid w:val="0077461E"/>
    <w:rsid w:val="00774F8E"/>
    <w:rsid w:val="00775FD5"/>
    <w:rsid w:val="007765F8"/>
    <w:rsid w:val="00777080"/>
    <w:rsid w:val="00777263"/>
    <w:rsid w:val="00777406"/>
    <w:rsid w:val="00777BF2"/>
    <w:rsid w:val="00781697"/>
    <w:rsid w:val="007820EA"/>
    <w:rsid w:val="007822AA"/>
    <w:rsid w:val="0078236A"/>
    <w:rsid w:val="00782753"/>
    <w:rsid w:val="00782F2B"/>
    <w:rsid w:val="00782F4D"/>
    <w:rsid w:val="00783238"/>
    <w:rsid w:val="0078336F"/>
    <w:rsid w:val="007838BA"/>
    <w:rsid w:val="00783CF3"/>
    <w:rsid w:val="0078490A"/>
    <w:rsid w:val="0078504C"/>
    <w:rsid w:val="00786257"/>
    <w:rsid w:val="00786B76"/>
    <w:rsid w:val="0078700A"/>
    <w:rsid w:val="007873D6"/>
    <w:rsid w:val="00790AA7"/>
    <w:rsid w:val="00790B69"/>
    <w:rsid w:val="00790DFD"/>
    <w:rsid w:val="00791119"/>
    <w:rsid w:val="0079182B"/>
    <w:rsid w:val="00791CB4"/>
    <w:rsid w:val="00792D4A"/>
    <w:rsid w:val="0079558F"/>
    <w:rsid w:val="00795B72"/>
    <w:rsid w:val="007960EB"/>
    <w:rsid w:val="00797011"/>
    <w:rsid w:val="00797651"/>
    <w:rsid w:val="0079774A"/>
    <w:rsid w:val="00797A2E"/>
    <w:rsid w:val="00797CCF"/>
    <w:rsid w:val="007A0015"/>
    <w:rsid w:val="007A08F8"/>
    <w:rsid w:val="007A11D7"/>
    <w:rsid w:val="007A1FD1"/>
    <w:rsid w:val="007A20C3"/>
    <w:rsid w:val="007A24DC"/>
    <w:rsid w:val="007A38E0"/>
    <w:rsid w:val="007A40EB"/>
    <w:rsid w:val="007A43B2"/>
    <w:rsid w:val="007A4D5F"/>
    <w:rsid w:val="007A61D2"/>
    <w:rsid w:val="007A638E"/>
    <w:rsid w:val="007A7199"/>
    <w:rsid w:val="007A73C0"/>
    <w:rsid w:val="007A7805"/>
    <w:rsid w:val="007A79EF"/>
    <w:rsid w:val="007A7D18"/>
    <w:rsid w:val="007B010A"/>
    <w:rsid w:val="007B04AF"/>
    <w:rsid w:val="007B1A89"/>
    <w:rsid w:val="007B1DB5"/>
    <w:rsid w:val="007B2262"/>
    <w:rsid w:val="007B2D85"/>
    <w:rsid w:val="007B3339"/>
    <w:rsid w:val="007B369B"/>
    <w:rsid w:val="007B5061"/>
    <w:rsid w:val="007B541B"/>
    <w:rsid w:val="007B5F98"/>
    <w:rsid w:val="007B6911"/>
    <w:rsid w:val="007B7773"/>
    <w:rsid w:val="007B7D4F"/>
    <w:rsid w:val="007C0699"/>
    <w:rsid w:val="007C07F1"/>
    <w:rsid w:val="007C15D8"/>
    <w:rsid w:val="007C187F"/>
    <w:rsid w:val="007C1DBB"/>
    <w:rsid w:val="007C1E9E"/>
    <w:rsid w:val="007C2B53"/>
    <w:rsid w:val="007C3C62"/>
    <w:rsid w:val="007C3FD2"/>
    <w:rsid w:val="007C47DC"/>
    <w:rsid w:val="007C4F4D"/>
    <w:rsid w:val="007C5585"/>
    <w:rsid w:val="007C566A"/>
    <w:rsid w:val="007C613B"/>
    <w:rsid w:val="007C62BE"/>
    <w:rsid w:val="007C66D8"/>
    <w:rsid w:val="007C68B2"/>
    <w:rsid w:val="007C69B9"/>
    <w:rsid w:val="007C72B0"/>
    <w:rsid w:val="007D0A7A"/>
    <w:rsid w:val="007D13F8"/>
    <w:rsid w:val="007D26B9"/>
    <w:rsid w:val="007D30D5"/>
    <w:rsid w:val="007D488C"/>
    <w:rsid w:val="007D4A35"/>
    <w:rsid w:val="007D4B77"/>
    <w:rsid w:val="007D51D4"/>
    <w:rsid w:val="007D6031"/>
    <w:rsid w:val="007D6C06"/>
    <w:rsid w:val="007D766C"/>
    <w:rsid w:val="007D7BE0"/>
    <w:rsid w:val="007D7EDD"/>
    <w:rsid w:val="007E0AE4"/>
    <w:rsid w:val="007E1883"/>
    <w:rsid w:val="007E1BD7"/>
    <w:rsid w:val="007E25FA"/>
    <w:rsid w:val="007E2749"/>
    <w:rsid w:val="007E3A08"/>
    <w:rsid w:val="007E4018"/>
    <w:rsid w:val="007E51FE"/>
    <w:rsid w:val="007E551A"/>
    <w:rsid w:val="007E5985"/>
    <w:rsid w:val="007E62A9"/>
    <w:rsid w:val="007E7364"/>
    <w:rsid w:val="007F0212"/>
    <w:rsid w:val="007F0733"/>
    <w:rsid w:val="007F0848"/>
    <w:rsid w:val="007F1FF9"/>
    <w:rsid w:val="007F2549"/>
    <w:rsid w:val="007F2881"/>
    <w:rsid w:val="007F2D3A"/>
    <w:rsid w:val="007F2E4E"/>
    <w:rsid w:val="007F31CC"/>
    <w:rsid w:val="007F38BF"/>
    <w:rsid w:val="007F452E"/>
    <w:rsid w:val="007F4CF0"/>
    <w:rsid w:val="007F5367"/>
    <w:rsid w:val="007F5481"/>
    <w:rsid w:val="007F58C2"/>
    <w:rsid w:val="007F739D"/>
    <w:rsid w:val="007F7648"/>
    <w:rsid w:val="007F7CC2"/>
    <w:rsid w:val="008003DF"/>
    <w:rsid w:val="00801934"/>
    <w:rsid w:val="00802151"/>
    <w:rsid w:val="00802B1B"/>
    <w:rsid w:val="008030D4"/>
    <w:rsid w:val="00803BAF"/>
    <w:rsid w:val="00806638"/>
    <w:rsid w:val="00810FDF"/>
    <w:rsid w:val="00812129"/>
    <w:rsid w:val="00812559"/>
    <w:rsid w:val="00813F32"/>
    <w:rsid w:val="0081415A"/>
    <w:rsid w:val="00815499"/>
    <w:rsid w:val="008159B1"/>
    <w:rsid w:val="00815B11"/>
    <w:rsid w:val="00815B91"/>
    <w:rsid w:val="00815D9A"/>
    <w:rsid w:val="0081635E"/>
    <w:rsid w:val="00817F2C"/>
    <w:rsid w:val="008202B5"/>
    <w:rsid w:val="00820935"/>
    <w:rsid w:val="00820F1A"/>
    <w:rsid w:val="00821276"/>
    <w:rsid w:val="0082136D"/>
    <w:rsid w:val="00822369"/>
    <w:rsid w:val="00822512"/>
    <w:rsid w:val="00823888"/>
    <w:rsid w:val="008260E4"/>
    <w:rsid w:val="0082664E"/>
    <w:rsid w:val="00827055"/>
    <w:rsid w:val="00830103"/>
    <w:rsid w:val="0083014B"/>
    <w:rsid w:val="00830380"/>
    <w:rsid w:val="00832AFB"/>
    <w:rsid w:val="008331B8"/>
    <w:rsid w:val="00834DC3"/>
    <w:rsid w:val="008353BD"/>
    <w:rsid w:val="00835702"/>
    <w:rsid w:val="00835F40"/>
    <w:rsid w:val="00836822"/>
    <w:rsid w:val="008376F2"/>
    <w:rsid w:val="00837F4D"/>
    <w:rsid w:val="00840678"/>
    <w:rsid w:val="0084069D"/>
    <w:rsid w:val="00840996"/>
    <w:rsid w:val="00840B24"/>
    <w:rsid w:val="008414A3"/>
    <w:rsid w:val="00841FA3"/>
    <w:rsid w:val="008427BB"/>
    <w:rsid w:val="00842BD2"/>
    <w:rsid w:val="008434A5"/>
    <w:rsid w:val="00844138"/>
    <w:rsid w:val="00844FDC"/>
    <w:rsid w:val="00845345"/>
    <w:rsid w:val="00845721"/>
    <w:rsid w:val="0084618E"/>
    <w:rsid w:val="008467E1"/>
    <w:rsid w:val="008468CE"/>
    <w:rsid w:val="00846907"/>
    <w:rsid w:val="0084692D"/>
    <w:rsid w:val="00846A49"/>
    <w:rsid w:val="00846ECF"/>
    <w:rsid w:val="0084730E"/>
    <w:rsid w:val="008476FC"/>
    <w:rsid w:val="00847A96"/>
    <w:rsid w:val="00850A44"/>
    <w:rsid w:val="00850B7A"/>
    <w:rsid w:val="00850D91"/>
    <w:rsid w:val="00851B5E"/>
    <w:rsid w:val="00851BF9"/>
    <w:rsid w:val="00851CA8"/>
    <w:rsid w:val="0085200C"/>
    <w:rsid w:val="00852C42"/>
    <w:rsid w:val="00853452"/>
    <w:rsid w:val="0085380E"/>
    <w:rsid w:val="00855999"/>
    <w:rsid w:val="008562F2"/>
    <w:rsid w:val="00856AEA"/>
    <w:rsid w:val="008570D0"/>
    <w:rsid w:val="0085724F"/>
    <w:rsid w:val="00857923"/>
    <w:rsid w:val="00857AC1"/>
    <w:rsid w:val="00857AFF"/>
    <w:rsid w:val="00857CBA"/>
    <w:rsid w:val="00860356"/>
    <w:rsid w:val="008609B3"/>
    <w:rsid w:val="00860BD5"/>
    <w:rsid w:val="00860EEA"/>
    <w:rsid w:val="00861910"/>
    <w:rsid w:val="008619B2"/>
    <w:rsid w:val="0086257C"/>
    <w:rsid w:val="00862AD1"/>
    <w:rsid w:val="00862F05"/>
    <w:rsid w:val="00863E01"/>
    <w:rsid w:val="0086459C"/>
    <w:rsid w:val="00865054"/>
    <w:rsid w:val="00865BBC"/>
    <w:rsid w:val="00866396"/>
    <w:rsid w:val="00866E08"/>
    <w:rsid w:val="00866F29"/>
    <w:rsid w:val="008700D6"/>
    <w:rsid w:val="00870203"/>
    <w:rsid w:val="00872E78"/>
    <w:rsid w:val="00873CBE"/>
    <w:rsid w:val="00873D65"/>
    <w:rsid w:val="00874180"/>
    <w:rsid w:val="008754DC"/>
    <w:rsid w:val="0087597B"/>
    <w:rsid w:val="00875C7C"/>
    <w:rsid w:val="00876339"/>
    <w:rsid w:val="008768B2"/>
    <w:rsid w:val="00876DC0"/>
    <w:rsid w:val="00877164"/>
    <w:rsid w:val="00877305"/>
    <w:rsid w:val="008777D0"/>
    <w:rsid w:val="00877B64"/>
    <w:rsid w:val="00877E57"/>
    <w:rsid w:val="0088079C"/>
    <w:rsid w:val="00882BF2"/>
    <w:rsid w:val="00882C80"/>
    <w:rsid w:val="008834A7"/>
    <w:rsid w:val="008839B2"/>
    <w:rsid w:val="008840B6"/>
    <w:rsid w:val="008845EF"/>
    <w:rsid w:val="008856CF"/>
    <w:rsid w:val="00885915"/>
    <w:rsid w:val="00886739"/>
    <w:rsid w:val="00886781"/>
    <w:rsid w:val="00886FF4"/>
    <w:rsid w:val="008873C6"/>
    <w:rsid w:val="00887EC3"/>
    <w:rsid w:val="008908F6"/>
    <w:rsid w:val="00890EC4"/>
    <w:rsid w:val="0089186F"/>
    <w:rsid w:val="00891C42"/>
    <w:rsid w:val="00892005"/>
    <w:rsid w:val="0089251B"/>
    <w:rsid w:val="0089295B"/>
    <w:rsid w:val="00892E65"/>
    <w:rsid w:val="00892F7E"/>
    <w:rsid w:val="00893410"/>
    <w:rsid w:val="008936ED"/>
    <w:rsid w:val="00893D9F"/>
    <w:rsid w:val="00893E71"/>
    <w:rsid w:val="00894070"/>
    <w:rsid w:val="00894269"/>
    <w:rsid w:val="0089499D"/>
    <w:rsid w:val="00896977"/>
    <w:rsid w:val="00896ED7"/>
    <w:rsid w:val="00897602"/>
    <w:rsid w:val="008A0589"/>
    <w:rsid w:val="008A0779"/>
    <w:rsid w:val="008A07B8"/>
    <w:rsid w:val="008A0C3E"/>
    <w:rsid w:val="008A0E07"/>
    <w:rsid w:val="008A0F51"/>
    <w:rsid w:val="008A12F1"/>
    <w:rsid w:val="008A2571"/>
    <w:rsid w:val="008A2CEA"/>
    <w:rsid w:val="008A3D80"/>
    <w:rsid w:val="008A44A2"/>
    <w:rsid w:val="008A453A"/>
    <w:rsid w:val="008A4B23"/>
    <w:rsid w:val="008A55CE"/>
    <w:rsid w:val="008A686B"/>
    <w:rsid w:val="008A7EEB"/>
    <w:rsid w:val="008B081C"/>
    <w:rsid w:val="008B081D"/>
    <w:rsid w:val="008B0881"/>
    <w:rsid w:val="008B09D1"/>
    <w:rsid w:val="008B0D2D"/>
    <w:rsid w:val="008B1140"/>
    <w:rsid w:val="008B189B"/>
    <w:rsid w:val="008B259F"/>
    <w:rsid w:val="008B2F00"/>
    <w:rsid w:val="008B4929"/>
    <w:rsid w:val="008B4CF4"/>
    <w:rsid w:val="008B4F00"/>
    <w:rsid w:val="008B5324"/>
    <w:rsid w:val="008B550D"/>
    <w:rsid w:val="008B63A4"/>
    <w:rsid w:val="008B642B"/>
    <w:rsid w:val="008B6715"/>
    <w:rsid w:val="008B6E63"/>
    <w:rsid w:val="008B79DB"/>
    <w:rsid w:val="008C0982"/>
    <w:rsid w:val="008C0B4C"/>
    <w:rsid w:val="008C13C1"/>
    <w:rsid w:val="008C1694"/>
    <w:rsid w:val="008C3D9C"/>
    <w:rsid w:val="008C433D"/>
    <w:rsid w:val="008C4397"/>
    <w:rsid w:val="008C4CEF"/>
    <w:rsid w:val="008C4DF5"/>
    <w:rsid w:val="008C5A46"/>
    <w:rsid w:val="008C5DAB"/>
    <w:rsid w:val="008C6139"/>
    <w:rsid w:val="008C658E"/>
    <w:rsid w:val="008C7787"/>
    <w:rsid w:val="008D0021"/>
    <w:rsid w:val="008D097A"/>
    <w:rsid w:val="008D10A1"/>
    <w:rsid w:val="008D17D3"/>
    <w:rsid w:val="008D18E6"/>
    <w:rsid w:val="008D304A"/>
    <w:rsid w:val="008D39FF"/>
    <w:rsid w:val="008D3B5D"/>
    <w:rsid w:val="008D3D4D"/>
    <w:rsid w:val="008D405F"/>
    <w:rsid w:val="008D420F"/>
    <w:rsid w:val="008D4B96"/>
    <w:rsid w:val="008D4BFE"/>
    <w:rsid w:val="008D4CD5"/>
    <w:rsid w:val="008D5461"/>
    <w:rsid w:val="008D6126"/>
    <w:rsid w:val="008D65B5"/>
    <w:rsid w:val="008D6CA6"/>
    <w:rsid w:val="008D6DB7"/>
    <w:rsid w:val="008D701B"/>
    <w:rsid w:val="008D7FD7"/>
    <w:rsid w:val="008D7FF4"/>
    <w:rsid w:val="008E0630"/>
    <w:rsid w:val="008E0E04"/>
    <w:rsid w:val="008E16E7"/>
    <w:rsid w:val="008E1A47"/>
    <w:rsid w:val="008E1D07"/>
    <w:rsid w:val="008E3070"/>
    <w:rsid w:val="008E38E6"/>
    <w:rsid w:val="008E3954"/>
    <w:rsid w:val="008E4195"/>
    <w:rsid w:val="008E4EAE"/>
    <w:rsid w:val="008E5385"/>
    <w:rsid w:val="008E5E02"/>
    <w:rsid w:val="008E6D2D"/>
    <w:rsid w:val="008E70DB"/>
    <w:rsid w:val="008E73E6"/>
    <w:rsid w:val="008E746B"/>
    <w:rsid w:val="008F09DE"/>
    <w:rsid w:val="008F0BD4"/>
    <w:rsid w:val="008F2608"/>
    <w:rsid w:val="008F3679"/>
    <w:rsid w:val="008F3BA6"/>
    <w:rsid w:val="008F3F15"/>
    <w:rsid w:val="008F46F3"/>
    <w:rsid w:val="008F47E7"/>
    <w:rsid w:val="008F4993"/>
    <w:rsid w:val="008F53DE"/>
    <w:rsid w:val="008F5DAE"/>
    <w:rsid w:val="008F613B"/>
    <w:rsid w:val="008F618A"/>
    <w:rsid w:val="008F6E3E"/>
    <w:rsid w:val="008F7B94"/>
    <w:rsid w:val="009000BB"/>
    <w:rsid w:val="00900983"/>
    <w:rsid w:val="00900DBA"/>
    <w:rsid w:val="00900EAE"/>
    <w:rsid w:val="0090110D"/>
    <w:rsid w:val="0090195C"/>
    <w:rsid w:val="00901C67"/>
    <w:rsid w:val="0090269D"/>
    <w:rsid w:val="009038CB"/>
    <w:rsid w:val="00903CA3"/>
    <w:rsid w:val="00904413"/>
    <w:rsid w:val="0090449D"/>
    <w:rsid w:val="009044DE"/>
    <w:rsid w:val="009048D9"/>
    <w:rsid w:val="00904CCE"/>
    <w:rsid w:val="00904E51"/>
    <w:rsid w:val="0090520A"/>
    <w:rsid w:val="009078DF"/>
    <w:rsid w:val="00910FDF"/>
    <w:rsid w:val="0091156E"/>
    <w:rsid w:val="00911BDC"/>
    <w:rsid w:val="00912723"/>
    <w:rsid w:val="00912881"/>
    <w:rsid w:val="00912882"/>
    <w:rsid w:val="009129C0"/>
    <w:rsid w:val="00912A01"/>
    <w:rsid w:val="009140B1"/>
    <w:rsid w:val="0091453E"/>
    <w:rsid w:val="00914F19"/>
    <w:rsid w:val="00915829"/>
    <w:rsid w:val="00917921"/>
    <w:rsid w:val="00921183"/>
    <w:rsid w:val="0092187E"/>
    <w:rsid w:val="00921F95"/>
    <w:rsid w:val="00922A27"/>
    <w:rsid w:val="00923668"/>
    <w:rsid w:val="0092375F"/>
    <w:rsid w:val="00924281"/>
    <w:rsid w:val="00925475"/>
    <w:rsid w:val="009254E1"/>
    <w:rsid w:val="009268A4"/>
    <w:rsid w:val="00927E24"/>
    <w:rsid w:val="00927E67"/>
    <w:rsid w:val="00930899"/>
    <w:rsid w:val="00930FC1"/>
    <w:rsid w:val="0093163B"/>
    <w:rsid w:val="00931E95"/>
    <w:rsid w:val="00931F6D"/>
    <w:rsid w:val="009324A9"/>
    <w:rsid w:val="00933515"/>
    <w:rsid w:val="0093376C"/>
    <w:rsid w:val="00933B0B"/>
    <w:rsid w:val="009346D4"/>
    <w:rsid w:val="0093498E"/>
    <w:rsid w:val="009358BE"/>
    <w:rsid w:val="00936511"/>
    <w:rsid w:val="00936B63"/>
    <w:rsid w:val="009371EE"/>
    <w:rsid w:val="00937D56"/>
    <w:rsid w:val="00937D61"/>
    <w:rsid w:val="00941D17"/>
    <w:rsid w:val="009427FA"/>
    <w:rsid w:val="00942FC9"/>
    <w:rsid w:val="0094321F"/>
    <w:rsid w:val="009432A6"/>
    <w:rsid w:val="009433DA"/>
    <w:rsid w:val="00943DD9"/>
    <w:rsid w:val="009442B2"/>
    <w:rsid w:val="00944C9A"/>
    <w:rsid w:val="0094564A"/>
    <w:rsid w:val="00945C21"/>
    <w:rsid w:val="00945D30"/>
    <w:rsid w:val="00946C62"/>
    <w:rsid w:val="00946EDC"/>
    <w:rsid w:val="0094709C"/>
    <w:rsid w:val="0094755E"/>
    <w:rsid w:val="00947677"/>
    <w:rsid w:val="0095024C"/>
    <w:rsid w:val="009515CD"/>
    <w:rsid w:val="009525F9"/>
    <w:rsid w:val="00952768"/>
    <w:rsid w:val="00953574"/>
    <w:rsid w:val="009535E1"/>
    <w:rsid w:val="009542E5"/>
    <w:rsid w:val="00954511"/>
    <w:rsid w:val="00954514"/>
    <w:rsid w:val="00954C25"/>
    <w:rsid w:val="00954EC1"/>
    <w:rsid w:val="00955457"/>
    <w:rsid w:val="009559FD"/>
    <w:rsid w:val="00955EBC"/>
    <w:rsid w:val="00955F47"/>
    <w:rsid w:val="00956932"/>
    <w:rsid w:val="009578B1"/>
    <w:rsid w:val="0096029A"/>
    <w:rsid w:val="00962164"/>
    <w:rsid w:val="009630F6"/>
    <w:rsid w:val="009634F3"/>
    <w:rsid w:val="009636BC"/>
    <w:rsid w:val="009638E3"/>
    <w:rsid w:val="00964086"/>
    <w:rsid w:val="00964C53"/>
    <w:rsid w:val="00965056"/>
    <w:rsid w:val="00965804"/>
    <w:rsid w:val="00965B44"/>
    <w:rsid w:val="00965BF1"/>
    <w:rsid w:val="0096677E"/>
    <w:rsid w:val="009669C0"/>
    <w:rsid w:val="00966A8F"/>
    <w:rsid w:val="009705AE"/>
    <w:rsid w:val="00971B43"/>
    <w:rsid w:val="00972C53"/>
    <w:rsid w:val="00972F69"/>
    <w:rsid w:val="009730C1"/>
    <w:rsid w:val="00973C54"/>
    <w:rsid w:val="00974463"/>
    <w:rsid w:val="00974ADC"/>
    <w:rsid w:val="00974BF0"/>
    <w:rsid w:val="00974E2F"/>
    <w:rsid w:val="00974F06"/>
    <w:rsid w:val="009754AB"/>
    <w:rsid w:val="00976677"/>
    <w:rsid w:val="009767B1"/>
    <w:rsid w:val="00976D89"/>
    <w:rsid w:val="0097702B"/>
    <w:rsid w:val="00977875"/>
    <w:rsid w:val="00977970"/>
    <w:rsid w:val="0098044E"/>
    <w:rsid w:val="00980BC8"/>
    <w:rsid w:val="009815FF"/>
    <w:rsid w:val="00981A1F"/>
    <w:rsid w:val="009826F9"/>
    <w:rsid w:val="00982937"/>
    <w:rsid w:val="0098337F"/>
    <w:rsid w:val="00983512"/>
    <w:rsid w:val="0098389F"/>
    <w:rsid w:val="00984344"/>
    <w:rsid w:val="00984499"/>
    <w:rsid w:val="00984B94"/>
    <w:rsid w:val="00984D00"/>
    <w:rsid w:val="00985251"/>
    <w:rsid w:val="0098545C"/>
    <w:rsid w:val="00985F1C"/>
    <w:rsid w:val="0098608F"/>
    <w:rsid w:val="00986168"/>
    <w:rsid w:val="009877B1"/>
    <w:rsid w:val="009879E4"/>
    <w:rsid w:val="00987A3D"/>
    <w:rsid w:val="00987D00"/>
    <w:rsid w:val="00987DCE"/>
    <w:rsid w:val="00990821"/>
    <w:rsid w:val="009908AF"/>
    <w:rsid w:val="009910AF"/>
    <w:rsid w:val="009913F3"/>
    <w:rsid w:val="00991C39"/>
    <w:rsid w:val="009935E9"/>
    <w:rsid w:val="0099376E"/>
    <w:rsid w:val="00993D3B"/>
    <w:rsid w:val="00993DED"/>
    <w:rsid w:val="00994018"/>
    <w:rsid w:val="0099469E"/>
    <w:rsid w:val="00994768"/>
    <w:rsid w:val="00994BCD"/>
    <w:rsid w:val="00995398"/>
    <w:rsid w:val="00995F01"/>
    <w:rsid w:val="00996059"/>
    <w:rsid w:val="00996F6A"/>
    <w:rsid w:val="009974DD"/>
    <w:rsid w:val="00997658"/>
    <w:rsid w:val="00997B73"/>
    <w:rsid w:val="009A0763"/>
    <w:rsid w:val="009A10A6"/>
    <w:rsid w:val="009A10E1"/>
    <w:rsid w:val="009A1D4C"/>
    <w:rsid w:val="009A230C"/>
    <w:rsid w:val="009A2455"/>
    <w:rsid w:val="009A2F40"/>
    <w:rsid w:val="009A3401"/>
    <w:rsid w:val="009A3472"/>
    <w:rsid w:val="009A3F75"/>
    <w:rsid w:val="009A4DBC"/>
    <w:rsid w:val="009A6D36"/>
    <w:rsid w:val="009A7762"/>
    <w:rsid w:val="009A7880"/>
    <w:rsid w:val="009B0099"/>
    <w:rsid w:val="009B0B42"/>
    <w:rsid w:val="009B1701"/>
    <w:rsid w:val="009B1807"/>
    <w:rsid w:val="009B20FD"/>
    <w:rsid w:val="009B2486"/>
    <w:rsid w:val="009B2BDC"/>
    <w:rsid w:val="009B2DC8"/>
    <w:rsid w:val="009B2FC2"/>
    <w:rsid w:val="009B2FCB"/>
    <w:rsid w:val="009B402F"/>
    <w:rsid w:val="009B54D4"/>
    <w:rsid w:val="009B5F44"/>
    <w:rsid w:val="009B6313"/>
    <w:rsid w:val="009B65D4"/>
    <w:rsid w:val="009B72B7"/>
    <w:rsid w:val="009B7817"/>
    <w:rsid w:val="009B7AD8"/>
    <w:rsid w:val="009C00E8"/>
    <w:rsid w:val="009C0626"/>
    <w:rsid w:val="009C0A79"/>
    <w:rsid w:val="009C0D7A"/>
    <w:rsid w:val="009C1D91"/>
    <w:rsid w:val="009C311B"/>
    <w:rsid w:val="009C3B8C"/>
    <w:rsid w:val="009C428F"/>
    <w:rsid w:val="009C4DA0"/>
    <w:rsid w:val="009C4DAE"/>
    <w:rsid w:val="009C5F62"/>
    <w:rsid w:val="009C63E0"/>
    <w:rsid w:val="009C6855"/>
    <w:rsid w:val="009C700A"/>
    <w:rsid w:val="009C78C6"/>
    <w:rsid w:val="009C7C29"/>
    <w:rsid w:val="009D00A0"/>
    <w:rsid w:val="009D0A1D"/>
    <w:rsid w:val="009D1958"/>
    <w:rsid w:val="009D2217"/>
    <w:rsid w:val="009D2AD8"/>
    <w:rsid w:val="009D2E9F"/>
    <w:rsid w:val="009D312D"/>
    <w:rsid w:val="009D3A95"/>
    <w:rsid w:val="009D43B7"/>
    <w:rsid w:val="009D487E"/>
    <w:rsid w:val="009D4904"/>
    <w:rsid w:val="009D4CEE"/>
    <w:rsid w:val="009D5B95"/>
    <w:rsid w:val="009D62EB"/>
    <w:rsid w:val="009D6622"/>
    <w:rsid w:val="009D668E"/>
    <w:rsid w:val="009D6ADF"/>
    <w:rsid w:val="009D6B22"/>
    <w:rsid w:val="009E00F0"/>
    <w:rsid w:val="009E028B"/>
    <w:rsid w:val="009E0EB7"/>
    <w:rsid w:val="009E12CE"/>
    <w:rsid w:val="009E1900"/>
    <w:rsid w:val="009E2560"/>
    <w:rsid w:val="009E2669"/>
    <w:rsid w:val="009E3281"/>
    <w:rsid w:val="009E432A"/>
    <w:rsid w:val="009E5522"/>
    <w:rsid w:val="009E59CA"/>
    <w:rsid w:val="009E6100"/>
    <w:rsid w:val="009E6AA2"/>
    <w:rsid w:val="009E6BC0"/>
    <w:rsid w:val="009E7251"/>
    <w:rsid w:val="009E7785"/>
    <w:rsid w:val="009E79BD"/>
    <w:rsid w:val="009E7EC7"/>
    <w:rsid w:val="009F0165"/>
    <w:rsid w:val="009F05C8"/>
    <w:rsid w:val="009F068F"/>
    <w:rsid w:val="009F0BD9"/>
    <w:rsid w:val="009F122D"/>
    <w:rsid w:val="009F1DC5"/>
    <w:rsid w:val="009F209C"/>
    <w:rsid w:val="009F26F5"/>
    <w:rsid w:val="009F273D"/>
    <w:rsid w:val="009F32FD"/>
    <w:rsid w:val="009F34F8"/>
    <w:rsid w:val="009F3693"/>
    <w:rsid w:val="009F46FE"/>
    <w:rsid w:val="009F4DAD"/>
    <w:rsid w:val="009F5042"/>
    <w:rsid w:val="009F5A0C"/>
    <w:rsid w:val="009F5C7B"/>
    <w:rsid w:val="009F6982"/>
    <w:rsid w:val="009F7B63"/>
    <w:rsid w:val="009F7D2E"/>
    <w:rsid w:val="009F7E63"/>
    <w:rsid w:val="00A00592"/>
    <w:rsid w:val="00A010BF"/>
    <w:rsid w:val="00A010C5"/>
    <w:rsid w:val="00A01264"/>
    <w:rsid w:val="00A01A0E"/>
    <w:rsid w:val="00A01A48"/>
    <w:rsid w:val="00A01C4C"/>
    <w:rsid w:val="00A01EEE"/>
    <w:rsid w:val="00A029E7"/>
    <w:rsid w:val="00A0378A"/>
    <w:rsid w:val="00A058DA"/>
    <w:rsid w:val="00A05DC3"/>
    <w:rsid w:val="00A0609A"/>
    <w:rsid w:val="00A0654E"/>
    <w:rsid w:val="00A06A56"/>
    <w:rsid w:val="00A07001"/>
    <w:rsid w:val="00A07467"/>
    <w:rsid w:val="00A07A43"/>
    <w:rsid w:val="00A07EA2"/>
    <w:rsid w:val="00A108F6"/>
    <w:rsid w:val="00A116FF"/>
    <w:rsid w:val="00A11C75"/>
    <w:rsid w:val="00A11D68"/>
    <w:rsid w:val="00A1246E"/>
    <w:rsid w:val="00A12E84"/>
    <w:rsid w:val="00A135FF"/>
    <w:rsid w:val="00A14C81"/>
    <w:rsid w:val="00A14E9A"/>
    <w:rsid w:val="00A15901"/>
    <w:rsid w:val="00A159F5"/>
    <w:rsid w:val="00A15BF9"/>
    <w:rsid w:val="00A17CEA"/>
    <w:rsid w:val="00A17D65"/>
    <w:rsid w:val="00A20A79"/>
    <w:rsid w:val="00A21AFD"/>
    <w:rsid w:val="00A226E3"/>
    <w:rsid w:val="00A229F1"/>
    <w:rsid w:val="00A22C48"/>
    <w:rsid w:val="00A22EC3"/>
    <w:rsid w:val="00A235A0"/>
    <w:rsid w:val="00A237D5"/>
    <w:rsid w:val="00A23838"/>
    <w:rsid w:val="00A24261"/>
    <w:rsid w:val="00A24AF0"/>
    <w:rsid w:val="00A24D56"/>
    <w:rsid w:val="00A24E3D"/>
    <w:rsid w:val="00A270BD"/>
    <w:rsid w:val="00A272C6"/>
    <w:rsid w:val="00A302C0"/>
    <w:rsid w:val="00A30921"/>
    <w:rsid w:val="00A30979"/>
    <w:rsid w:val="00A313F8"/>
    <w:rsid w:val="00A32765"/>
    <w:rsid w:val="00A32C62"/>
    <w:rsid w:val="00A32CCA"/>
    <w:rsid w:val="00A3330A"/>
    <w:rsid w:val="00A34301"/>
    <w:rsid w:val="00A3455B"/>
    <w:rsid w:val="00A34ECE"/>
    <w:rsid w:val="00A34F5E"/>
    <w:rsid w:val="00A367AF"/>
    <w:rsid w:val="00A36C15"/>
    <w:rsid w:val="00A371E2"/>
    <w:rsid w:val="00A37ADC"/>
    <w:rsid w:val="00A37CED"/>
    <w:rsid w:val="00A404E4"/>
    <w:rsid w:val="00A4110C"/>
    <w:rsid w:val="00A41221"/>
    <w:rsid w:val="00A4197C"/>
    <w:rsid w:val="00A4206E"/>
    <w:rsid w:val="00A42691"/>
    <w:rsid w:val="00A42D88"/>
    <w:rsid w:val="00A433BB"/>
    <w:rsid w:val="00A435B6"/>
    <w:rsid w:val="00A43661"/>
    <w:rsid w:val="00A43CB4"/>
    <w:rsid w:val="00A44358"/>
    <w:rsid w:val="00A4460E"/>
    <w:rsid w:val="00A44A84"/>
    <w:rsid w:val="00A452EB"/>
    <w:rsid w:val="00A455B6"/>
    <w:rsid w:val="00A45644"/>
    <w:rsid w:val="00A47021"/>
    <w:rsid w:val="00A4791A"/>
    <w:rsid w:val="00A51059"/>
    <w:rsid w:val="00A51285"/>
    <w:rsid w:val="00A513EA"/>
    <w:rsid w:val="00A51A6F"/>
    <w:rsid w:val="00A522B1"/>
    <w:rsid w:val="00A5298C"/>
    <w:rsid w:val="00A52BAA"/>
    <w:rsid w:val="00A53606"/>
    <w:rsid w:val="00A53985"/>
    <w:rsid w:val="00A5452A"/>
    <w:rsid w:val="00A54C3C"/>
    <w:rsid w:val="00A54DF0"/>
    <w:rsid w:val="00A55110"/>
    <w:rsid w:val="00A55866"/>
    <w:rsid w:val="00A56B08"/>
    <w:rsid w:val="00A56C48"/>
    <w:rsid w:val="00A57B5C"/>
    <w:rsid w:val="00A602AD"/>
    <w:rsid w:val="00A60401"/>
    <w:rsid w:val="00A6217B"/>
    <w:rsid w:val="00A6232A"/>
    <w:rsid w:val="00A623BB"/>
    <w:rsid w:val="00A63174"/>
    <w:rsid w:val="00A6488B"/>
    <w:rsid w:val="00A64DB4"/>
    <w:rsid w:val="00A65AD4"/>
    <w:rsid w:val="00A65FA9"/>
    <w:rsid w:val="00A661A4"/>
    <w:rsid w:val="00A66F51"/>
    <w:rsid w:val="00A6702C"/>
    <w:rsid w:val="00A67620"/>
    <w:rsid w:val="00A67DF3"/>
    <w:rsid w:val="00A7195C"/>
    <w:rsid w:val="00A71B57"/>
    <w:rsid w:val="00A71BCE"/>
    <w:rsid w:val="00A7383E"/>
    <w:rsid w:val="00A73896"/>
    <w:rsid w:val="00A73A9C"/>
    <w:rsid w:val="00A741BD"/>
    <w:rsid w:val="00A74C57"/>
    <w:rsid w:val="00A75395"/>
    <w:rsid w:val="00A76A1F"/>
    <w:rsid w:val="00A77CC6"/>
    <w:rsid w:val="00A80DD2"/>
    <w:rsid w:val="00A81639"/>
    <w:rsid w:val="00A816E1"/>
    <w:rsid w:val="00A82C8E"/>
    <w:rsid w:val="00A8330B"/>
    <w:rsid w:val="00A8358F"/>
    <w:rsid w:val="00A84237"/>
    <w:rsid w:val="00A845E0"/>
    <w:rsid w:val="00A855D0"/>
    <w:rsid w:val="00A858C1"/>
    <w:rsid w:val="00A86447"/>
    <w:rsid w:val="00A86616"/>
    <w:rsid w:val="00A86A4C"/>
    <w:rsid w:val="00A86C0F"/>
    <w:rsid w:val="00A87079"/>
    <w:rsid w:val="00A872A4"/>
    <w:rsid w:val="00A87A44"/>
    <w:rsid w:val="00A87B6D"/>
    <w:rsid w:val="00A87C4D"/>
    <w:rsid w:val="00A87EFD"/>
    <w:rsid w:val="00A909AF"/>
    <w:rsid w:val="00A90B8A"/>
    <w:rsid w:val="00A91182"/>
    <w:rsid w:val="00A92024"/>
    <w:rsid w:val="00A927F4"/>
    <w:rsid w:val="00A934BF"/>
    <w:rsid w:val="00A946D6"/>
    <w:rsid w:val="00A947AD"/>
    <w:rsid w:val="00A948B1"/>
    <w:rsid w:val="00A94D43"/>
    <w:rsid w:val="00A94DB9"/>
    <w:rsid w:val="00A955F0"/>
    <w:rsid w:val="00A95842"/>
    <w:rsid w:val="00A95EFD"/>
    <w:rsid w:val="00A96607"/>
    <w:rsid w:val="00A96903"/>
    <w:rsid w:val="00A97A58"/>
    <w:rsid w:val="00AA0DAA"/>
    <w:rsid w:val="00AA0FD8"/>
    <w:rsid w:val="00AA1434"/>
    <w:rsid w:val="00AA2A45"/>
    <w:rsid w:val="00AA3A48"/>
    <w:rsid w:val="00AA3F7C"/>
    <w:rsid w:val="00AA4172"/>
    <w:rsid w:val="00AA4466"/>
    <w:rsid w:val="00AA4A16"/>
    <w:rsid w:val="00AA50D5"/>
    <w:rsid w:val="00AA6B87"/>
    <w:rsid w:val="00AA6C02"/>
    <w:rsid w:val="00AA6D3F"/>
    <w:rsid w:val="00AA6EEC"/>
    <w:rsid w:val="00AA7101"/>
    <w:rsid w:val="00AA77BA"/>
    <w:rsid w:val="00AA7EAF"/>
    <w:rsid w:val="00AB0991"/>
    <w:rsid w:val="00AB1310"/>
    <w:rsid w:val="00AB1D38"/>
    <w:rsid w:val="00AB23B6"/>
    <w:rsid w:val="00AB281C"/>
    <w:rsid w:val="00AB2976"/>
    <w:rsid w:val="00AB2CFC"/>
    <w:rsid w:val="00AB32F4"/>
    <w:rsid w:val="00AB3582"/>
    <w:rsid w:val="00AB3BCB"/>
    <w:rsid w:val="00AB4311"/>
    <w:rsid w:val="00AB4C9E"/>
    <w:rsid w:val="00AB4F3F"/>
    <w:rsid w:val="00AB50D3"/>
    <w:rsid w:val="00AB554A"/>
    <w:rsid w:val="00AB6F8D"/>
    <w:rsid w:val="00AB72BD"/>
    <w:rsid w:val="00AB7C44"/>
    <w:rsid w:val="00AC04B4"/>
    <w:rsid w:val="00AC0B31"/>
    <w:rsid w:val="00AC0B94"/>
    <w:rsid w:val="00AC112F"/>
    <w:rsid w:val="00AC18E1"/>
    <w:rsid w:val="00AC2957"/>
    <w:rsid w:val="00AC2FD4"/>
    <w:rsid w:val="00AC50C2"/>
    <w:rsid w:val="00AC58F7"/>
    <w:rsid w:val="00AC5C83"/>
    <w:rsid w:val="00AC6115"/>
    <w:rsid w:val="00AC6366"/>
    <w:rsid w:val="00AC67AA"/>
    <w:rsid w:val="00AC7733"/>
    <w:rsid w:val="00AC78D6"/>
    <w:rsid w:val="00AC7D8F"/>
    <w:rsid w:val="00AC7E66"/>
    <w:rsid w:val="00AD05E9"/>
    <w:rsid w:val="00AD0C98"/>
    <w:rsid w:val="00AD0CED"/>
    <w:rsid w:val="00AD115E"/>
    <w:rsid w:val="00AD1DC4"/>
    <w:rsid w:val="00AD1F5E"/>
    <w:rsid w:val="00AD227D"/>
    <w:rsid w:val="00AD262C"/>
    <w:rsid w:val="00AD27EE"/>
    <w:rsid w:val="00AD35AA"/>
    <w:rsid w:val="00AD3AB7"/>
    <w:rsid w:val="00AD4141"/>
    <w:rsid w:val="00AD4933"/>
    <w:rsid w:val="00AD5016"/>
    <w:rsid w:val="00AD52FF"/>
    <w:rsid w:val="00AD5CBC"/>
    <w:rsid w:val="00AD5D1F"/>
    <w:rsid w:val="00AD691D"/>
    <w:rsid w:val="00AD6E20"/>
    <w:rsid w:val="00AD72D9"/>
    <w:rsid w:val="00AD7641"/>
    <w:rsid w:val="00AD799B"/>
    <w:rsid w:val="00AE027D"/>
    <w:rsid w:val="00AE030A"/>
    <w:rsid w:val="00AE0B46"/>
    <w:rsid w:val="00AE0D7B"/>
    <w:rsid w:val="00AE0FD2"/>
    <w:rsid w:val="00AE1082"/>
    <w:rsid w:val="00AE13FD"/>
    <w:rsid w:val="00AE155A"/>
    <w:rsid w:val="00AE1ABC"/>
    <w:rsid w:val="00AE2992"/>
    <w:rsid w:val="00AE34E8"/>
    <w:rsid w:val="00AE3A34"/>
    <w:rsid w:val="00AE4640"/>
    <w:rsid w:val="00AE4791"/>
    <w:rsid w:val="00AE4D94"/>
    <w:rsid w:val="00AE658D"/>
    <w:rsid w:val="00AE6C30"/>
    <w:rsid w:val="00AE6EFD"/>
    <w:rsid w:val="00AE7BED"/>
    <w:rsid w:val="00AF04AE"/>
    <w:rsid w:val="00AF1162"/>
    <w:rsid w:val="00AF1CCE"/>
    <w:rsid w:val="00AF1DF7"/>
    <w:rsid w:val="00AF22C9"/>
    <w:rsid w:val="00AF3B5A"/>
    <w:rsid w:val="00AF3C94"/>
    <w:rsid w:val="00AF4422"/>
    <w:rsid w:val="00AF46DE"/>
    <w:rsid w:val="00AF4E3F"/>
    <w:rsid w:val="00AF6E26"/>
    <w:rsid w:val="00B00353"/>
    <w:rsid w:val="00B006F9"/>
    <w:rsid w:val="00B0086E"/>
    <w:rsid w:val="00B01F63"/>
    <w:rsid w:val="00B03487"/>
    <w:rsid w:val="00B03634"/>
    <w:rsid w:val="00B037E7"/>
    <w:rsid w:val="00B04A47"/>
    <w:rsid w:val="00B04E57"/>
    <w:rsid w:val="00B055BE"/>
    <w:rsid w:val="00B05B38"/>
    <w:rsid w:val="00B07781"/>
    <w:rsid w:val="00B07D0C"/>
    <w:rsid w:val="00B07FFA"/>
    <w:rsid w:val="00B1064B"/>
    <w:rsid w:val="00B107C1"/>
    <w:rsid w:val="00B110E8"/>
    <w:rsid w:val="00B11ACC"/>
    <w:rsid w:val="00B11C0A"/>
    <w:rsid w:val="00B12737"/>
    <w:rsid w:val="00B128B2"/>
    <w:rsid w:val="00B12A4C"/>
    <w:rsid w:val="00B12ACB"/>
    <w:rsid w:val="00B130A7"/>
    <w:rsid w:val="00B13453"/>
    <w:rsid w:val="00B143D0"/>
    <w:rsid w:val="00B14683"/>
    <w:rsid w:val="00B1483E"/>
    <w:rsid w:val="00B15A8E"/>
    <w:rsid w:val="00B17362"/>
    <w:rsid w:val="00B201BD"/>
    <w:rsid w:val="00B208F3"/>
    <w:rsid w:val="00B20937"/>
    <w:rsid w:val="00B20D49"/>
    <w:rsid w:val="00B21062"/>
    <w:rsid w:val="00B22045"/>
    <w:rsid w:val="00B222E0"/>
    <w:rsid w:val="00B244F6"/>
    <w:rsid w:val="00B24FE6"/>
    <w:rsid w:val="00B2560D"/>
    <w:rsid w:val="00B2600E"/>
    <w:rsid w:val="00B2779D"/>
    <w:rsid w:val="00B30847"/>
    <w:rsid w:val="00B31404"/>
    <w:rsid w:val="00B31D99"/>
    <w:rsid w:val="00B321F3"/>
    <w:rsid w:val="00B3267F"/>
    <w:rsid w:val="00B33011"/>
    <w:rsid w:val="00B3360A"/>
    <w:rsid w:val="00B33B9F"/>
    <w:rsid w:val="00B33DFF"/>
    <w:rsid w:val="00B3630D"/>
    <w:rsid w:val="00B363FE"/>
    <w:rsid w:val="00B3692F"/>
    <w:rsid w:val="00B36B90"/>
    <w:rsid w:val="00B36BC6"/>
    <w:rsid w:val="00B36F30"/>
    <w:rsid w:val="00B37155"/>
    <w:rsid w:val="00B3759E"/>
    <w:rsid w:val="00B37ADD"/>
    <w:rsid w:val="00B4000B"/>
    <w:rsid w:val="00B402B1"/>
    <w:rsid w:val="00B40326"/>
    <w:rsid w:val="00B40BEC"/>
    <w:rsid w:val="00B40FE8"/>
    <w:rsid w:val="00B41F01"/>
    <w:rsid w:val="00B42204"/>
    <w:rsid w:val="00B426DE"/>
    <w:rsid w:val="00B4298A"/>
    <w:rsid w:val="00B42B8D"/>
    <w:rsid w:val="00B436B1"/>
    <w:rsid w:val="00B45357"/>
    <w:rsid w:val="00B45771"/>
    <w:rsid w:val="00B458E9"/>
    <w:rsid w:val="00B45AA7"/>
    <w:rsid w:val="00B4635E"/>
    <w:rsid w:val="00B47A56"/>
    <w:rsid w:val="00B47B8C"/>
    <w:rsid w:val="00B47C1A"/>
    <w:rsid w:val="00B50327"/>
    <w:rsid w:val="00B50A66"/>
    <w:rsid w:val="00B51F2B"/>
    <w:rsid w:val="00B52A70"/>
    <w:rsid w:val="00B52E20"/>
    <w:rsid w:val="00B53077"/>
    <w:rsid w:val="00B53188"/>
    <w:rsid w:val="00B53BD0"/>
    <w:rsid w:val="00B53C27"/>
    <w:rsid w:val="00B53F20"/>
    <w:rsid w:val="00B542AD"/>
    <w:rsid w:val="00B556FA"/>
    <w:rsid w:val="00B55FD2"/>
    <w:rsid w:val="00B5628E"/>
    <w:rsid w:val="00B56C29"/>
    <w:rsid w:val="00B56E15"/>
    <w:rsid w:val="00B57E48"/>
    <w:rsid w:val="00B61659"/>
    <w:rsid w:val="00B61772"/>
    <w:rsid w:val="00B61A1D"/>
    <w:rsid w:val="00B6275B"/>
    <w:rsid w:val="00B627FA"/>
    <w:rsid w:val="00B63175"/>
    <w:rsid w:val="00B6408B"/>
    <w:rsid w:val="00B64AD6"/>
    <w:rsid w:val="00B65B0D"/>
    <w:rsid w:val="00B667EE"/>
    <w:rsid w:val="00B6751F"/>
    <w:rsid w:val="00B703EE"/>
    <w:rsid w:val="00B70FEB"/>
    <w:rsid w:val="00B715A2"/>
    <w:rsid w:val="00B71CC0"/>
    <w:rsid w:val="00B71DA6"/>
    <w:rsid w:val="00B721B1"/>
    <w:rsid w:val="00B7229F"/>
    <w:rsid w:val="00B72B2A"/>
    <w:rsid w:val="00B72B3F"/>
    <w:rsid w:val="00B73E81"/>
    <w:rsid w:val="00B74D63"/>
    <w:rsid w:val="00B755B5"/>
    <w:rsid w:val="00B75AF5"/>
    <w:rsid w:val="00B766ED"/>
    <w:rsid w:val="00B76714"/>
    <w:rsid w:val="00B76A33"/>
    <w:rsid w:val="00B76DA6"/>
    <w:rsid w:val="00B801EC"/>
    <w:rsid w:val="00B80707"/>
    <w:rsid w:val="00B80B9F"/>
    <w:rsid w:val="00B80E5B"/>
    <w:rsid w:val="00B80FDE"/>
    <w:rsid w:val="00B81337"/>
    <w:rsid w:val="00B81B2F"/>
    <w:rsid w:val="00B81DA2"/>
    <w:rsid w:val="00B823AA"/>
    <w:rsid w:val="00B829A0"/>
    <w:rsid w:val="00B82FDE"/>
    <w:rsid w:val="00B83517"/>
    <w:rsid w:val="00B836CC"/>
    <w:rsid w:val="00B83AF6"/>
    <w:rsid w:val="00B852D6"/>
    <w:rsid w:val="00B8560F"/>
    <w:rsid w:val="00B85A90"/>
    <w:rsid w:val="00B86ECE"/>
    <w:rsid w:val="00B87F5E"/>
    <w:rsid w:val="00B9064B"/>
    <w:rsid w:val="00B91437"/>
    <w:rsid w:val="00B91F53"/>
    <w:rsid w:val="00B921D6"/>
    <w:rsid w:val="00B92877"/>
    <w:rsid w:val="00B92B27"/>
    <w:rsid w:val="00B942EE"/>
    <w:rsid w:val="00B9517C"/>
    <w:rsid w:val="00B959E6"/>
    <w:rsid w:val="00B95E1D"/>
    <w:rsid w:val="00B9638E"/>
    <w:rsid w:val="00B965A2"/>
    <w:rsid w:val="00B965D8"/>
    <w:rsid w:val="00B97014"/>
    <w:rsid w:val="00B974D7"/>
    <w:rsid w:val="00BA05F0"/>
    <w:rsid w:val="00BA06F0"/>
    <w:rsid w:val="00BA073C"/>
    <w:rsid w:val="00BA1157"/>
    <w:rsid w:val="00BA16B1"/>
    <w:rsid w:val="00BA18BA"/>
    <w:rsid w:val="00BA23B2"/>
    <w:rsid w:val="00BA27EC"/>
    <w:rsid w:val="00BA39BD"/>
    <w:rsid w:val="00BA4051"/>
    <w:rsid w:val="00BA43D6"/>
    <w:rsid w:val="00BA488A"/>
    <w:rsid w:val="00BA4D2C"/>
    <w:rsid w:val="00BA4E80"/>
    <w:rsid w:val="00BA5ECC"/>
    <w:rsid w:val="00BA6F40"/>
    <w:rsid w:val="00BA725C"/>
    <w:rsid w:val="00BA7FD6"/>
    <w:rsid w:val="00BB1525"/>
    <w:rsid w:val="00BB2AAE"/>
    <w:rsid w:val="00BB2AD2"/>
    <w:rsid w:val="00BB2F8A"/>
    <w:rsid w:val="00BB3AFF"/>
    <w:rsid w:val="00BB40AD"/>
    <w:rsid w:val="00BB47BC"/>
    <w:rsid w:val="00BB4BB4"/>
    <w:rsid w:val="00BB62A4"/>
    <w:rsid w:val="00BB684C"/>
    <w:rsid w:val="00BB6B7C"/>
    <w:rsid w:val="00BB6F62"/>
    <w:rsid w:val="00BB74FB"/>
    <w:rsid w:val="00BB7B69"/>
    <w:rsid w:val="00BC12D5"/>
    <w:rsid w:val="00BC15B0"/>
    <w:rsid w:val="00BC1CA8"/>
    <w:rsid w:val="00BC28D8"/>
    <w:rsid w:val="00BC2A25"/>
    <w:rsid w:val="00BC30CB"/>
    <w:rsid w:val="00BC3965"/>
    <w:rsid w:val="00BC3A69"/>
    <w:rsid w:val="00BC3A8C"/>
    <w:rsid w:val="00BC4219"/>
    <w:rsid w:val="00BC49DA"/>
    <w:rsid w:val="00BC4DD5"/>
    <w:rsid w:val="00BC59B3"/>
    <w:rsid w:val="00BC695C"/>
    <w:rsid w:val="00BC72FE"/>
    <w:rsid w:val="00BC7789"/>
    <w:rsid w:val="00BD1162"/>
    <w:rsid w:val="00BD220D"/>
    <w:rsid w:val="00BD2B24"/>
    <w:rsid w:val="00BD2D72"/>
    <w:rsid w:val="00BD4A51"/>
    <w:rsid w:val="00BD4C6C"/>
    <w:rsid w:val="00BD6486"/>
    <w:rsid w:val="00BD6D6B"/>
    <w:rsid w:val="00BE0D25"/>
    <w:rsid w:val="00BE0E4C"/>
    <w:rsid w:val="00BE17B2"/>
    <w:rsid w:val="00BE18E9"/>
    <w:rsid w:val="00BE1A72"/>
    <w:rsid w:val="00BE228A"/>
    <w:rsid w:val="00BE3371"/>
    <w:rsid w:val="00BE3F01"/>
    <w:rsid w:val="00BE3F2A"/>
    <w:rsid w:val="00BE41B6"/>
    <w:rsid w:val="00BE4553"/>
    <w:rsid w:val="00BE5ABC"/>
    <w:rsid w:val="00BE5AD9"/>
    <w:rsid w:val="00BE5ADB"/>
    <w:rsid w:val="00BE619D"/>
    <w:rsid w:val="00BE68B8"/>
    <w:rsid w:val="00BE7D92"/>
    <w:rsid w:val="00BF0A13"/>
    <w:rsid w:val="00BF135F"/>
    <w:rsid w:val="00BF25C1"/>
    <w:rsid w:val="00BF2A35"/>
    <w:rsid w:val="00BF2EAF"/>
    <w:rsid w:val="00BF3B24"/>
    <w:rsid w:val="00BF3C10"/>
    <w:rsid w:val="00BF48A1"/>
    <w:rsid w:val="00BF49B5"/>
    <w:rsid w:val="00BF4B4E"/>
    <w:rsid w:val="00BF57E3"/>
    <w:rsid w:val="00BF58F9"/>
    <w:rsid w:val="00BF5DAE"/>
    <w:rsid w:val="00BF722A"/>
    <w:rsid w:val="00BF72B9"/>
    <w:rsid w:val="00BF75D1"/>
    <w:rsid w:val="00BF7830"/>
    <w:rsid w:val="00BF7995"/>
    <w:rsid w:val="00BF7E46"/>
    <w:rsid w:val="00C007CB"/>
    <w:rsid w:val="00C00F3A"/>
    <w:rsid w:val="00C01289"/>
    <w:rsid w:val="00C019B4"/>
    <w:rsid w:val="00C01A91"/>
    <w:rsid w:val="00C01FEC"/>
    <w:rsid w:val="00C0246C"/>
    <w:rsid w:val="00C024D7"/>
    <w:rsid w:val="00C02863"/>
    <w:rsid w:val="00C028BF"/>
    <w:rsid w:val="00C02EA1"/>
    <w:rsid w:val="00C03ACD"/>
    <w:rsid w:val="00C03B43"/>
    <w:rsid w:val="00C042FF"/>
    <w:rsid w:val="00C0498D"/>
    <w:rsid w:val="00C04A8B"/>
    <w:rsid w:val="00C053C7"/>
    <w:rsid w:val="00C06326"/>
    <w:rsid w:val="00C066C0"/>
    <w:rsid w:val="00C07DE9"/>
    <w:rsid w:val="00C10149"/>
    <w:rsid w:val="00C10415"/>
    <w:rsid w:val="00C1158E"/>
    <w:rsid w:val="00C12394"/>
    <w:rsid w:val="00C12637"/>
    <w:rsid w:val="00C126C1"/>
    <w:rsid w:val="00C13070"/>
    <w:rsid w:val="00C14CAB"/>
    <w:rsid w:val="00C14E7D"/>
    <w:rsid w:val="00C1551B"/>
    <w:rsid w:val="00C16DD1"/>
    <w:rsid w:val="00C16E27"/>
    <w:rsid w:val="00C17A42"/>
    <w:rsid w:val="00C17FEE"/>
    <w:rsid w:val="00C20705"/>
    <w:rsid w:val="00C20BDF"/>
    <w:rsid w:val="00C20C01"/>
    <w:rsid w:val="00C20EF1"/>
    <w:rsid w:val="00C214EC"/>
    <w:rsid w:val="00C21655"/>
    <w:rsid w:val="00C21DA8"/>
    <w:rsid w:val="00C22507"/>
    <w:rsid w:val="00C22AD3"/>
    <w:rsid w:val="00C23050"/>
    <w:rsid w:val="00C230C5"/>
    <w:rsid w:val="00C23145"/>
    <w:rsid w:val="00C235E4"/>
    <w:rsid w:val="00C245EA"/>
    <w:rsid w:val="00C246DA"/>
    <w:rsid w:val="00C24858"/>
    <w:rsid w:val="00C25127"/>
    <w:rsid w:val="00C254DC"/>
    <w:rsid w:val="00C25AC1"/>
    <w:rsid w:val="00C25B24"/>
    <w:rsid w:val="00C2645D"/>
    <w:rsid w:val="00C268FE"/>
    <w:rsid w:val="00C2713D"/>
    <w:rsid w:val="00C273E8"/>
    <w:rsid w:val="00C2773D"/>
    <w:rsid w:val="00C27B51"/>
    <w:rsid w:val="00C30086"/>
    <w:rsid w:val="00C31A8A"/>
    <w:rsid w:val="00C32074"/>
    <w:rsid w:val="00C3254D"/>
    <w:rsid w:val="00C32710"/>
    <w:rsid w:val="00C327C0"/>
    <w:rsid w:val="00C33478"/>
    <w:rsid w:val="00C3362E"/>
    <w:rsid w:val="00C349BE"/>
    <w:rsid w:val="00C34C54"/>
    <w:rsid w:val="00C34D56"/>
    <w:rsid w:val="00C3550A"/>
    <w:rsid w:val="00C35BB5"/>
    <w:rsid w:val="00C379A0"/>
    <w:rsid w:val="00C37FB4"/>
    <w:rsid w:val="00C40969"/>
    <w:rsid w:val="00C415D3"/>
    <w:rsid w:val="00C4321C"/>
    <w:rsid w:val="00C434E8"/>
    <w:rsid w:val="00C43804"/>
    <w:rsid w:val="00C43DC6"/>
    <w:rsid w:val="00C44B1F"/>
    <w:rsid w:val="00C44DE7"/>
    <w:rsid w:val="00C44F2C"/>
    <w:rsid w:val="00C4550B"/>
    <w:rsid w:val="00C4581A"/>
    <w:rsid w:val="00C458C9"/>
    <w:rsid w:val="00C459AE"/>
    <w:rsid w:val="00C45CB3"/>
    <w:rsid w:val="00C4607D"/>
    <w:rsid w:val="00C464C6"/>
    <w:rsid w:val="00C469EE"/>
    <w:rsid w:val="00C46BF6"/>
    <w:rsid w:val="00C46DDD"/>
    <w:rsid w:val="00C47749"/>
    <w:rsid w:val="00C477B4"/>
    <w:rsid w:val="00C477C9"/>
    <w:rsid w:val="00C502D8"/>
    <w:rsid w:val="00C512BC"/>
    <w:rsid w:val="00C519ED"/>
    <w:rsid w:val="00C51BAD"/>
    <w:rsid w:val="00C52042"/>
    <w:rsid w:val="00C53773"/>
    <w:rsid w:val="00C53923"/>
    <w:rsid w:val="00C53AE0"/>
    <w:rsid w:val="00C53C58"/>
    <w:rsid w:val="00C54B80"/>
    <w:rsid w:val="00C54FC2"/>
    <w:rsid w:val="00C56368"/>
    <w:rsid w:val="00C5709A"/>
    <w:rsid w:val="00C57BD7"/>
    <w:rsid w:val="00C57CFC"/>
    <w:rsid w:val="00C6031F"/>
    <w:rsid w:val="00C603C0"/>
    <w:rsid w:val="00C60C42"/>
    <w:rsid w:val="00C61902"/>
    <w:rsid w:val="00C61DDA"/>
    <w:rsid w:val="00C62E45"/>
    <w:rsid w:val="00C62F79"/>
    <w:rsid w:val="00C632B0"/>
    <w:rsid w:val="00C637D7"/>
    <w:rsid w:val="00C64B43"/>
    <w:rsid w:val="00C666F5"/>
    <w:rsid w:val="00C66FA7"/>
    <w:rsid w:val="00C670AF"/>
    <w:rsid w:val="00C6724E"/>
    <w:rsid w:val="00C701E8"/>
    <w:rsid w:val="00C706E8"/>
    <w:rsid w:val="00C7143C"/>
    <w:rsid w:val="00C71C32"/>
    <w:rsid w:val="00C72484"/>
    <w:rsid w:val="00C73271"/>
    <w:rsid w:val="00C739E6"/>
    <w:rsid w:val="00C73E61"/>
    <w:rsid w:val="00C746FF"/>
    <w:rsid w:val="00C74713"/>
    <w:rsid w:val="00C74AA6"/>
    <w:rsid w:val="00C7515A"/>
    <w:rsid w:val="00C7520D"/>
    <w:rsid w:val="00C75A45"/>
    <w:rsid w:val="00C75B3B"/>
    <w:rsid w:val="00C76AC0"/>
    <w:rsid w:val="00C76C60"/>
    <w:rsid w:val="00C76CE1"/>
    <w:rsid w:val="00C76CF8"/>
    <w:rsid w:val="00C7700B"/>
    <w:rsid w:val="00C773C6"/>
    <w:rsid w:val="00C777B2"/>
    <w:rsid w:val="00C77A29"/>
    <w:rsid w:val="00C80B66"/>
    <w:rsid w:val="00C819BB"/>
    <w:rsid w:val="00C81AD7"/>
    <w:rsid w:val="00C8221B"/>
    <w:rsid w:val="00C82E37"/>
    <w:rsid w:val="00C83BFB"/>
    <w:rsid w:val="00C84655"/>
    <w:rsid w:val="00C84C7B"/>
    <w:rsid w:val="00C84D77"/>
    <w:rsid w:val="00C8545E"/>
    <w:rsid w:val="00C86BA8"/>
    <w:rsid w:val="00C871A6"/>
    <w:rsid w:val="00C87530"/>
    <w:rsid w:val="00C879B2"/>
    <w:rsid w:val="00C87E92"/>
    <w:rsid w:val="00C9014C"/>
    <w:rsid w:val="00C90368"/>
    <w:rsid w:val="00C90471"/>
    <w:rsid w:val="00C90CD4"/>
    <w:rsid w:val="00C9161C"/>
    <w:rsid w:val="00C91710"/>
    <w:rsid w:val="00C91996"/>
    <w:rsid w:val="00C930E5"/>
    <w:rsid w:val="00C9364B"/>
    <w:rsid w:val="00C93D1B"/>
    <w:rsid w:val="00C9487E"/>
    <w:rsid w:val="00C95491"/>
    <w:rsid w:val="00C9628F"/>
    <w:rsid w:val="00C9635D"/>
    <w:rsid w:val="00C966AE"/>
    <w:rsid w:val="00C96820"/>
    <w:rsid w:val="00C96E49"/>
    <w:rsid w:val="00C97BB2"/>
    <w:rsid w:val="00C97D27"/>
    <w:rsid w:val="00C97D2C"/>
    <w:rsid w:val="00CA03D5"/>
    <w:rsid w:val="00CA09D6"/>
    <w:rsid w:val="00CA0E11"/>
    <w:rsid w:val="00CA0F64"/>
    <w:rsid w:val="00CA0FBB"/>
    <w:rsid w:val="00CA1831"/>
    <w:rsid w:val="00CA1F74"/>
    <w:rsid w:val="00CA1FA8"/>
    <w:rsid w:val="00CA226A"/>
    <w:rsid w:val="00CA25DD"/>
    <w:rsid w:val="00CA36E5"/>
    <w:rsid w:val="00CA39FE"/>
    <w:rsid w:val="00CA3D68"/>
    <w:rsid w:val="00CA56D8"/>
    <w:rsid w:val="00CA5DC1"/>
    <w:rsid w:val="00CA5E3C"/>
    <w:rsid w:val="00CA6CA2"/>
    <w:rsid w:val="00CA6D06"/>
    <w:rsid w:val="00CA6DC4"/>
    <w:rsid w:val="00CA7197"/>
    <w:rsid w:val="00CA734C"/>
    <w:rsid w:val="00CA7986"/>
    <w:rsid w:val="00CB01F0"/>
    <w:rsid w:val="00CB1A8C"/>
    <w:rsid w:val="00CB1ACD"/>
    <w:rsid w:val="00CB39B6"/>
    <w:rsid w:val="00CB3E61"/>
    <w:rsid w:val="00CB49DA"/>
    <w:rsid w:val="00CB529E"/>
    <w:rsid w:val="00CB53C5"/>
    <w:rsid w:val="00CB5444"/>
    <w:rsid w:val="00CB56CD"/>
    <w:rsid w:val="00CB580A"/>
    <w:rsid w:val="00CB5FFD"/>
    <w:rsid w:val="00CB7D55"/>
    <w:rsid w:val="00CC0F66"/>
    <w:rsid w:val="00CC13EF"/>
    <w:rsid w:val="00CC18E3"/>
    <w:rsid w:val="00CC1B41"/>
    <w:rsid w:val="00CC2062"/>
    <w:rsid w:val="00CC2757"/>
    <w:rsid w:val="00CC3408"/>
    <w:rsid w:val="00CC3F4D"/>
    <w:rsid w:val="00CC4402"/>
    <w:rsid w:val="00CC5236"/>
    <w:rsid w:val="00CC5CD3"/>
    <w:rsid w:val="00CC5F6C"/>
    <w:rsid w:val="00CD0925"/>
    <w:rsid w:val="00CD13AA"/>
    <w:rsid w:val="00CD14FD"/>
    <w:rsid w:val="00CD1C6C"/>
    <w:rsid w:val="00CD2954"/>
    <w:rsid w:val="00CD36CC"/>
    <w:rsid w:val="00CD3CD4"/>
    <w:rsid w:val="00CD3F57"/>
    <w:rsid w:val="00CD4CFC"/>
    <w:rsid w:val="00CD592E"/>
    <w:rsid w:val="00CD640F"/>
    <w:rsid w:val="00CD6481"/>
    <w:rsid w:val="00CD6507"/>
    <w:rsid w:val="00CD69F1"/>
    <w:rsid w:val="00CD7005"/>
    <w:rsid w:val="00CD7ADA"/>
    <w:rsid w:val="00CD7C3E"/>
    <w:rsid w:val="00CE107B"/>
    <w:rsid w:val="00CE1D4D"/>
    <w:rsid w:val="00CE24EA"/>
    <w:rsid w:val="00CE3903"/>
    <w:rsid w:val="00CE43E3"/>
    <w:rsid w:val="00CE4FB6"/>
    <w:rsid w:val="00CE5406"/>
    <w:rsid w:val="00CE6492"/>
    <w:rsid w:val="00CE6654"/>
    <w:rsid w:val="00CE6D4C"/>
    <w:rsid w:val="00CE6E6B"/>
    <w:rsid w:val="00CE771D"/>
    <w:rsid w:val="00CF039A"/>
    <w:rsid w:val="00CF1141"/>
    <w:rsid w:val="00CF1E15"/>
    <w:rsid w:val="00CF2A2C"/>
    <w:rsid w:val="00CF49F2"/>
    <w:rsid w:val="00CF4B19"/>
    <w:rsid w:val="00CF51EE"/>
    <w:rsid w:val="00CF5C99"/>
    <w:rsid w:val="00CF68AA"/>
    <w:rsid w:val="00CF69F0"/>
    <w:rsid w:val="00CF719C"/>
    <w:rsid w:val="00CF71D2"/>
    <w:rsid w:val="00CF7C1C"/>
    <w:rsid w:val="00D004A3"/>
    <w:rsid w:val="00D005A0"/>
    <w:rsid w:val="00D005E2"/>
    <w:rsid w:val="00D00C81"/>
    <w:rsid w:val="00D01F3A"/>
    <w:rsid w:val="00D02392"/>
    <w:rsid w:val="00D0241B"/>
    <w:rsid w:val="00D02616"/>
    <w:rsid w:val="00D028AC"/>
    <w:rsid w:val="00D0299D"/>
    <w:rsid w:val="00D02FCB"/>
    <w:rsid w:val="00D03432"/>
    <w:rsid w:val="00D039CF"/>
    <w:rsid w:val="00D03C70"/>
    <w:rsid w:val="00D04090"/>
    <w:rsid w:val="00D04315"/>
    <w:rsid w:val="00D046A8"/>
    <w:rsid w:val="00D04C6B"/>
    <w:rsid w:val="00D05B90"/>
    <w:rsid w:val="00D05D8F"/>
    <w:rsid w:val="00D0668A"/>
    <w:rsid w:val="00D066F6"/>
    <w:rsid w:val="00D069BE"/>
    <w:rsid w:val="00D0773A"/>
    <w:rsid w:val="00D07785"/>
    <w:rsid w:val="00D078AE"/>
    <w:rsid w:val="00D07E41"/>
    <w:rsid w:val="00D105B0"/>
    <w:rsid w:val="00D10EDC"/>
    <w:rsid w:val="00D1122C"/>
    <w:rsid w:val="00D11CBA"/>
    <w:rsid w:val="00D12DC1"/>
    <w:rsid w:val="00D12EB1"/>
    <w:rsid w:val="00D12EC8"/>
    <w:rsid w:val="00D12F44"/>
    <w:rsid w:val="00D133A5"/>
    <w:rsid w:val="00D1355D"/>
    <w:rsid w:val="00D14E3F"/>
    <w:rsid w:val="00D151BB"/>
    <w:rsid w:val="00D15666"/>
    <w:rsid w:val="00D15F1A"/>
    <w:rsid w:val="00D165F7"/>
    <w:rsid w:val="00D169D3"/>
    <w:rsid w:val="00D16AF5"/>
    <w:rsid w:val="00D16E06"/>
    <w:rsid w:val="00D179B6"/>
    <w:rsid w:val="00D17AE7"/>
    <w:rsid w:val="00D209B7"/>
    <w:rsid w:val="00D20D0F"/>
    <w:rsid w:val="00D20D29"/>
    <w:rsid w:val="00D2120D"/>
    <w:rsid w:val="00D21321"/>
    <w:rsid w:val="00D215C3"/>
    <w:rsid w:val="00D22D1D"/>
    <w:rsid w:val="00D22DD9"/>
    <w:rsid w:val="00D2368E"/>
    <w:rsid w:val="00D23C57"/>
    <w:rsid w:val="00D23EE4"/>
    <w:rsid w:val="00D247DE"/>
    <w:rsid w:val="00D24CC6"/>
    <w:rsid w:val="00D24E75"/>
    <w:rsid w:val="00D25E6F"/>
    <w:rsid w:val="00D260B1"/>
    <w:rsid w:val="00D2689B"/>
    <w:rsid w:val="00D27674"/>
    <w:rsid w:val="00D27859"/>
    <w:rsid w:val="00D27CB6"/>
    <w:rsid w:val="00D30DC4"/>
    <w:rsid w:val="00D31A23"/>
    <w:rsid w:val="00D31A43"/>
    <w:rsid w:val="00D31D65"/>
    <w:rsid w:val="00D32198"/>
    <w:rsid w:val="00D32AE6"/>
    <w:rsid w:val="00D334F2"/>
    <w:rsid w:val="00D33909"/>
    <w:rsid w:val="00D33CA1"/>
    <w:rsid w:val="00D346DB"/>
    <w:rsid w:val="00D34F75"/>
    <w:rsid w:val="00D350D3"/>
    <w:rsid w:val="00D3574E"/>
    <w:rsid w:val="00D35E34"/>
    <w:rsid w:val="00D35E7D"/>
    <w:rsid w:val="00D3637B"/>
    <w:rsid w:val="00D36808"/>
    <w:rsid w:val="00D37E3A"/>
    <w:rsid w:val="00D40668"/>
    <w:rsid w:val="00D41463"/>
    <w:rsid w:val="00D428F2"/>
    <w:rsid w:val="00D42B45"/>
    <w:rsid w:val="00D431B8"/>
    <w:rsid w:val="00D4322B"/>
    <w:rsid w:val="00D438C2"/>
    <w:rsid w:val="00D43BD0"/>
    <w:rsid w:val="00D44949"/>
    <w:rsid w:val="00D457A7"/>
    <w:rsid w:val="00D460C5"/>
    <w:rsid w:val="00D46A3F"/>
    <w:rsid w:val="00D46E8D"/>
    <w:rsid w:val="00D47B4A"/>
    <w:rsid w:val="00D47B8B"/>
    <w:rsid w:val="00D50C06"/>
    <w:rsid w:val="00D513D1"/>
    <w:rsid w:val="00D5227A"/>
    <w:rsid w:val="00D533A1"/>
    <w:rsid w:val="00D53894"/>
    <w:rsid w:val="00D53EC7"/>
    <w:rsid w:val="00D545D0"/>
    <w:rsid w:val="00D55022"/>
    <w:rsid w:val="00D55BD9"/>
    <w:rsid w:val="00D56000"/>
    <w:rsid w:val="00D56338"/>
    <w:rsid w:val="00D56A8C"/>
    <w:rsid w:val="00D57ED3"/>
    <w:rsid w:val="00D600DF"/>
    <w:rsid w:val="00D6017F"/>
    <w:rsid w:val="00D604FF"/>
    <w:rsid w:val="00D609AD"/>
    <w:rsid w:val="00D613EF"/>
    <w:rsid w:val="00D61B68"/>
    <w:rsid w:val="00D61D36"/>
    <w:rsid w:val="00D6285E"/>
    <w:rsid w:val="00D62D45"/>
    <w:rsid w:val="00D6351D"/>
    <w:rsid w:val="00D63683"/>
    <w:rsid w:val="00D63FBA"/>
    <w:rsid w:val="00D64236"/>
    <w:rsid w:val="00D64F50"/>
    <w:rsid w:val="00D64FD7"/>
    <w:rsid w:val="00D651D8"/>
    <w:rsid w:val="00D652FA"/>
    <w:rsid w:val="00D66051"/>
    <w:rsid w:val="00D6637E"/>
    <w:rsid w:val="00D6723C"/>
    <w:rsid w:val="00D7002A"/>
    <w:rsid w:val="00D7058A"/>
    <w:rsid w:val="00D7133D"/>
    <w:rsid w:val="00D71709"/>
    <w:rsid w:val="00D72655"/>
    <w:rsid w:val="00D726B1"/>
    <w:rsid w:val="00D72B11"/>
    <w:rsid w:val="00D7422F"/>
    <w:rsid w:val="00D74379"/>
    <w:rsid w:val="00D75A27"/>
    <w:rsid w:val="00D7626A"/>
    <w:rsid w:val="00D76B59"/>
    <w:rsid w:val="00D76BB7"/>
    <w:rsid w:val="00D80594"/>
    <w:rsid w:val="00D82337"/>
    <w:rsid w:val="00D82A06"/>
    <w:rsid w:val="00D8329D"/>
    <w:rsid w:val="00D83C63"/>
    <w:rsid w:val="00D84335"/>
    <w:rsid w:val="00D84907"/>
    <w:rsid w:val="00D84B97"/>
    <w:rsid w:val="00D84BE3"/>
    <w:rsid w:val="00D8506E"/>
    <w:rsid w:val="00D85198"/>
    <w:rsid w:val="00D85DDD"/>
    <w:rsid w:val="00D862D6"/>
    <w:rsid w:val="00D864BB"/>
    <w:rsid w:val="00D87082"/>
    <w:rsid w:val="00D87C7E"/>
    <w:rsid w:val="00D9020C"/>
    <w:rsid w:val="00D90F34"/>
    <w:rsid w:val="00D9108B"/>
    <w:rsid w:val="00D91399"/>
    <w:rsid w:val="00D91968"/>
    <w:rsid w:val="00D91A77"/>
    <w:rsid w:val="00D9258C"/>
    <w:rsid w:val="00D927DB"/>
    <w:rsid w:val="00D92E9B"/>
    <w:rsid w:val="00D93F7A"/>
    <w:rsid w:val="00D9416C"/>
    <w:rsid w:val="00D9458F"/>
    <w:rsid w:val="00D9497E"/>
    <w:rsid w:val="00D94DB9"/>
    <w:rsid w:val="00D95B5A"/>
    <w:rsid w:val="00D95E53"/>
    <w:rsid w:val="00D9680D"/>
    <w:rsid w:val="00D96A2F"/>
    <w:rsid w:val="00D96EEF"/>
    <w:rsid w:val="00D9705B"/>
    <w:rsid w:val="00D97BCB"/>
    <w:rsid w:val="00DA007A"/>
    <w:rsid w:val="00DA02E9"/>
    <w:rsid w:val="00DA0364"/>
    <w:rsid w:val="00DA0658"/>
    <w:rsid w:val="00DA159D"/>
    <w:rsid w:val="00DA1695"/>
    <w:rsid w:val="00DA1D27"/>
    <w:rsid w:val="00DA2BEF"/>
    <w:rsid w:val="00DA3CD4"/>
    <w:rsid w:val="00DA4064"/>
    <w:rsid w:val="00DA4A56"/>
    <w:rsid w:val="00DA4E14"/>
    <w:rsid w:val="00DA51CB"/>
    <w:rsid w:val="00DA57E5"/>
    <w:rsid w:val="00DA5C35"/>
    <w:rsid w:val="00DA612C"/>
    <w:rsid w:val="00DA6255"/>
    <w:rsid w:val="00DA6B75"/>
    <w:rsid w:val="00DA6D27"/>
    <w:rsid w:val="00DA726B"/>
    <w:rsid w:val="00DA75D4"/>
    <w:rsid w:val="00DA7F6E"/>
    <w:rsid w:val="00DB06EC"/>
    <w:rsid w:val="00DB24BA"/>
    <w:rsid w:val="00DB2AB4"/>
    <w:rsid w:val="00DB4061"/>
    <w:rsid w:val="00DB4850"/>
    <w:rsid w:val="00DB51B2"/>
    <w:rsid w:val="00DB57A7"/>
    <w:rsid w:val="00DB6367"/>
    <w:rsid w:val="00DB6E3D"/>
    <w:rsid w:val="00DB6F7E"/>
    <w:rsid w:val="00DB6FFF"/>
    <w:rsid w:val="00DB70AC"/>
    <w:rsid w:val="00DB7849"/>
    <w:rsid w:val="00DC0582"/>
    <w:rsid w:val="00DC0B80"/>
    <w:rsid w:val="00DC32FD"/>
    <w:rsid w:val="00DC3AE0"/>
    <w:rsid w:val="00DC581C"/>
    <w:rsid w:val="00DC5B94"/>
    <w:rsid w:val="00DC614B"/>
    <w:rsid w:val="00DC6763"/>
    <w:rsid w:val="00DC6773"/>
    <w:rsid w:val="00DC6D93"/>
    <w:rsid w:val="00DC7318"/>
    <w:rsid w:val="00DC75FF"/>
    <w:rsid w:val="00DC7D03"/>
    <w:rsid w:val="00DD06BA"/>
    <w:rsid w:val="00DD154C"/>
    <w:rsid w:val="00DD15D5"/>
    <w:rsid w:val="00DD1650"/>
    <w:rsid w:val="00DD1D84"/>
    <w:rsid w:val="00DD1E6B"/>
    <w:rsid w:val="00DD2E4E"/>
    <w:rsid w:val="00DD32A9"/>
    <w:rsid w:val="00DD3525"/>
    <w:rsid w:val="00DD3556"/>
    <w:rsid w:val="00DD48C5"/>
    <w:rsid w:val="00DD4A23"/>
    <w:rsid w:val="00DD4B41"/>
    <w:rsid w:val="00DD4FBC"/>
    <w:rsid w:val="00DD52E6"/>
    <w:rsid w:val="00DD53D2"/>
    <w:rsid w:val="00DD59F9"/>
    <w:rsid w:val="00DD5E94"/>
    <w:rsid w:val="00DD688F"/>
    <w:rsid w:val="00DD76DC"/>
    <w:rsid w:val="00DD774E"/>
    <w:rsid w:val="00DD77FB"/>
    <w:rsid w:val="00DD79B6"/>
    <w:rsid w:val="00DE0456"/>
    <w:rsid w:val="00DE05A7"/>
    <w:rsid w:val="00DE0F60"/>
    <w:rsid w:val="00DE1C10"/>
    <w:rsid w:val="00DE1F6F"/>
    <w:rsid w:val="00DE222C"/>
    <w:rsid w:val="00DE25E1"/>
    <w:rsid w:val="00DE28B6"/>
    <w:rsid w:val="00DE2909"/>
    <w:rsid w:val="00DE2B9E"/>
    <w:rsid w:val="00DE3398"/>
    <w:rsid w:val="00DE58AE"/>
    <w:rsid w:val="00DE5B2E"/>
    <w:rsid w:val="00DF1104"/>
    <w:rsid w:val="00DF2E19"/>
    <w:rsid w:val="00DF31A1"/>
    <w:rsid w:val="00DF32FD"/>
    <w:rsid w:val="00DF498F"/>
    <w:rsid w:val="00DF4C08"/>
    <w:rsid w:val="00DF4CE1"/>
    <w:rsid w:val="00DF5DFF"/>
    <w:rsid w:val="00DF6A3E"/>
    <w:rsid w:val="00DF7016"/>
    <w:rsid w:val="00DF7F95"/>
    <w:rsid w:val="00E0108E"/>
    <w:rsid w:val="00E012FA"/>
    <w:rsid w:val="00E03A13"/>
    <w:rsid w:val="00E03DE7"/>
    <w:rsid w:val="00E03E80"/>
    <w:rsid w:val="00E0425C"/>
    <w:rsid w:val="00E04B8B"/>
    <w:rsid w:val="00E04F17"/>
    <w:rsid w:val="00E051EF"/>
    <w:rsid w:val="00E055F0"/>
    <w:rsid w:val="00E05636"/>
    <w:rsid w:val="00E0623B"/>
    <w:rsid w:val="00E06645"/>
    <w:rsid w:val="00E0664E"/>
    <w:rsid w:val="00E067CB"/>
    <w:rsid w:val="00E072D3"/>
    <w:rsid w:val="00E07679"/>
    <w:rsid w:val="00E100B1"/>
    <w:rsid w:val="00E10AF8"/>
    <w:rsid w:val="00E10B35"/>
    <w:rsid w:val="00E10F65"/>
    <w:rsid w:val="00E11851"/>
    <w:rsid w:val="00E119B4"/>
    <w:rsid w:val="00E119FB"/>
    <w:rsid w:val="00E121D3"/>
    <w:rsid w:val="00E13BD8"/>
    <w:rsid w:val="00E1455F"/>
    <w:rsid w:val="00E149C5"/>
    <w:rsid w:val="00E14D80"/>
    <w:rsid w:val="00E1519B"/>
    <w:rsid w:val="00E153C9"/>
    <w:rsid w:val="00E15426"/>
    <w:rsid w:val="00E1585E"/>
    <w:rsid w:val="00E15BCD"/>
    <w:rsid w:val="00E15F52"/>
    <w:rsid w:val="00E1632B"/>
    <w:rsid w:val="00E16428"/>
    <w:rsid w:val="00E1652C"/>
    <w:rsid w:val="00E166AA"/>
    <w:rsid w:val="00E178EF"/>
    <w:rsid w:val="00E17AC1"/>
    <w:rsid w:val="00E2012B"/>
    <w:rsid w:val="00E201C7"/>
    <w:rsid w:val="00E2059D"/>
    <w:rsid w:val="00E20869"/>
    <w:rsid w:val="00E215CF"/>
    <w:rsid w:val="00E21CF4"/>
    <w:rsid w:val="00E21EC4"/>
    <w:rsid w:val="00E23307"/>
    <w:rsid w:val="00E241DD"/>
    <w:rsid w:val="00E24DC8"/>
    <w:rsid w:val="00E24DD2"/>
    <w:rsid w:val="00E24F84"/>
    <w:rsid w:val="00E25240"/>
    <w:rsid w:val="00E25367"/>
    <w:rsid w:val="00E254BD"/>
    <w:rsid w:val="00E25DFC"/>
    <w:rsid w:val="00E2619E"/>
    <w:rsid w:val="00E26BB7"/>
    <w:rsid w:val="00E26BD4"/>
    <w:rsid w:val="00E26FF3"/>
    <w:rsid w:val="00E2777C"/>
    <w:rsid w:val="00E27D00"/>
    <w:rsid w:val="00E305E0"/>
    <w:rsid w:val="00E30FA5"/>
    <w:rsid w:val="00E31DD6"/>
    <w:rsid w:val="00E32AA7"/>
    <w:rsid w:val="00E32EFC"/>
    <w:rsid w:val="00E330A6"/>
    <w:rsid w:val="00E334AA"/>
    <w:rsid w:val="00E33672"/>
    <w:rsid w:val="00E3373E"/>
    <w:rsid w:val="00E33C1B"/>
    <w:rsid w:val="00E3416B"/>
    <w:rsid w:val="00E352FE"/>
    <w:rsid w:val="00E36012"/>
    <w:rsid w:val="00E361BE"/>
    <w:rsid w:val="00E362F7"/>
    <w:rsid w:val="00E3674C"/>
    <w:rsid w:val="00E36B5B"/>
    <w:rsid w:val="00E40534"/>
    <w:rsid w:val="00E40701"/>
    <w:rsid w:val="00E408E9"/>
    <w:rsid w:val="00E4092F"/>
    <w:rsid w:val="00E4093B"/>
    <w:rsid w:val="00E41A3E"/>
    <w:rsid w:val="00E41CD1"/>
    <w:rsid w:val="00E42814"/>
    <w:rsid w:val="00E42A48"/>
    <w:rsid w:val="00E46214"/>
    <w:rsid w:val="00E469B2"/>
    <w:rsid w:val="00E46A7C"/>
    <w:rsid w:val="00E470E1"/>
    <w:rsid w:val="00E50E88"/>
    <w:rsid w:val="00E5165A"/>
    <w:rsid w:val="00E5192D"/>
    <w:rsid w:val="00E5289E"/>
    <w:rsid w:val="00E53018"/>
    <w:rsid w:val="00E5304B"/>
    <w:rsid w:val="00E536CA"/>
    <w:rsid w:val="00E53EB2"/>
    <w:rsid w:val="00E54234"/>
    <w:rsid w:val="00E54C81"/>
    <w:rsid w:val="00E553B7"/>
    <w:rsid w:val="00E554D0"/>
    <w:rsid w:val="00E55902"/>
    <w:rsid w:val="00E562F2"/>
    <w:rsid w:val="00E564EB"/>
    <w:rsid w:val="00E60771"/>
    <w:rsid w:val="00E62881"/>
    <w:rsid w:val="00E62DBC"/>
    <w:rsid w:val="00E6451D"/>
    <w:rsid w:val="00E64F90"/>
    <w:rsid w:val="00E65A71"/>
    <w:rsid w:val="00E65AA3"/>
    <w:rsid w:val="00E65AAF"/>
    <w:rsid w:val="00E71124"/>
    <w:rsid w:val="00E72279"/>
    <w:rsid w:val="00E7234F"/>
    <w:rsid w:val="00E72B62"/>
    <w:rsid w:val="00E72EF7"/>
    <w:rsid w:val="00E732C3"/>
    <w:rsid w:val="00E73326"/>
    <w:rsid w:val="00E73496"/>
    <w:rsid w:val="00E735E1"/>
    <w:rsid w:val="00E73C35"/>
    <w:rsid w:val="00E740B4"/>
    <w:rsid w:val="00E74B08"/>
    <w:rsid w:val="00E74F55"/>
    <w:rsid w:val="00E751C5"/>
    <w:rsid w:val="00E75722"/>
    <w:rsid w:val="00E759B5"/>
    <w:rsid w:val="00E761A8"/>
    <w:rsid w:val="00E7659F"/>
    <w:rsid w:val="00E76852"/>
    <w:rsid w:val="00E76BEB"/>
    <w:rsid w:val="00E7701A"/>
    <w:rsid w:val="00E7718D"/>
    <w:rsid w:val="00E77DEB"/>
    <w:rsid w:val="00E8033B"/>
    <w:rsid w:val="00E8036D"/>
    <w:rsid w:val="00E813B1"/>
    <w:rsid w:val="00E81524"/>
    <w:rsid w:val="00E81F60"/>
    <w:rsid w:val="00E81FF1"/>
    <w:rsid w:val="00E821F3"/>
    <w:rsid w:val="00E82BD0"/>
    <w:rsid w:val="00E837F6"/>
    <w:rsid w:val="00E84BE1"/>
    <w:rsid w:val="00E86A15"/>
    <w:rsid w:val="00E86C6D"/>
    <w:rsid w:val="00E86DA5"/>
    <w:rsid w:val="00E875CE"/>
    <w:rsid w:val="00E91800"/>
    <w:rsid w:val="00E91B8C"/>
    <w:rsid w:val="00E92290"/>
    <w:rsid w:val="00E92B1C"/>
    <w:rsid w:val="00E930B5"/>
    <w:rsid w:val="00E93449"/>
    <w:rsid w:val="00E93762"/>
    <w:rsid w:val="00E94346"/>
    <w:rsid w:val="00E9445A"/>
    <w:rsid w:val="00E9699E"/>
    <w:rsid w:val="00E96F3D"/>
    <w:rsid w:val="00E973A2"/>
    <w:rsid w:val="00EA0BCC"/>
    <w:rsid w:val="00EA2AFE"/>
    <w:rsid w:val="00EA3641"/>
    <w:rsid w:val="00EA43A6"/>
    <w:rsid w:val="00EA4B31"/>
    <w:rsid w:val="00EA5267"/>
    <w:rsid w:val="00EA58A5"/>
    <w:rsid w:val="00EA58AC"/>
    <w:rsid w:val="00EA6556"/>
    <w:rsid w:val="00EA6AC2"/>
    <w:rsid w:val="00EA719A"/>
    <w:rsid w:val="00EB0224"/>
    <w:rsid w:val="00EB08DC"/>
    <w:rsid w:val="00EB08E8"/>
    <w:rsid w:val="00EB1464"/>
    <w:rsid w:val="00EB1A06"/>
    <w:rsid w:val="00EB2ABE"/>
    <w:rsid w:val="00EB30F6"/>
    <w:rsid w:val="00EB3747"/>
    <w:rsid w:val="00EB42DE"/>
    <w:rsid w:val="00EB5AA9"/>
    <w:rsid w:val="00EB60DA"/>
    <w:rsid w:val="00EB63DE"/>
    <w:rsid w:val="00EB6B56"/>
    <w:rsid w:val="00EB6BFA"/>
    <w:rsid w:val="00EB6E08"/>
    <w:rsid w:val="00EB7491"/>
    <w:rsid w:val="00EB7A4D"/>
    <w:rsid w:val="00EB7B4A"/>
    <w:rsid w:val="00EB7C29"/>
    <w:rsid w:val="00EB7DA2"/>
    <w:rsid w:val="00EC0F24"/>
    <w:rsid w:val="00EC0FA5"/>
    <w:rsid w:val="00EC0FB0"/>
    <w:rsid w:val="00EC15A3"/>
    <w:rsid w:val="00EC23EA"/>
    <w:rsid w:val="00EC36D5"/>
    <w:rsid w:val="00EC38A8"/>
    <w:rsid w:val="00EC4B34"/>
    <w:rsid w:val="00EC4B75"/>
    <w:rsid w:val="00EC5B99"/>
    <w:rsid w:val="00EC6251"/>
    <w:rsid w:val="00EC6D42"/>
    <w:rsid w:val="00EC7519"/>
    <w:rsid w:val="00EC7D24"/>
    <w:rsid w:val="00ED02E3"/>
    <w:rsid w:val="00ED08C3"/>
    <w:rsid w:val="00ED0915"/>
    <w:rsid w:val="00ED0EAC"/>
    <w:rsid w:val="00ED10F5"/>
    <w:rsid w:val="00ED2639"/>
    <w:rsid w:val="00ED3ABB"/>
    <w:rsid w:val="00ED47D9"/>
    <w:rsid w:val="00ED4B2D"/>
    <w:rsid w:val="00ED51A5"/>
    <w:rsid w:val="00ED5490"/>
    <w:rsid w:val="00ED5A94"/>
    <w:rsid w:val="00ED6806"/>
    <w:rsid w:val="00ED690E"/>
    <w:rsid w:val="00ED699C"/>
    <w:rsid w:val="00ED6D7D"/>
    <w:rsid w:val="00ED72A3"/>
    <w:rsid w:val="00ED7C58"/>
    <w:rsid w:val="00ED7E57"/>
    <w:rsid w:val="00EE04BE"/>
    <w:rsid w:val="00EE14A7"/>
    <w:rsid w:val="00EE17A0"/>
    <w:rsid w:val="00EE1B75"/>
    <w:rsid w:val="00EE25CD"/>
    <w:rsid w:val="00EE2D6D"/>
    <w:rsid w:val="00EE47DD"/>
    <w:rsid w:val="00EE4A9E"/>
    <w:rsid w:val="00EE4C04"/>
    <w:rsid w:val="00EE4CA4"/>
    <w:rsid w:val="00EE4DDF"/>
    <w:rsid w:val="00EE510E"/>
    <w:rsid w:val="00EE51D0"/>
    <w:rsid w:val="00EE5BFD"/>
    <w:rsid w:val="00EE5E41"/>
    <w:rsid w:val="00EE775E"/>
    <w:rsid w:val="00EE77EF"/>
    <w:rsid w:val="00EE787C"/>
    <w:rsid w:val="00EE7F2E"/>
    <w:rsid w:val="00EF1371"/>
    <w:rsid w:val="00EF1A0D"/>
    <w:rsid w:val="00EF1C02"/>
    <w:rsid w:val="00EF24BA"/>
    <w:rsid w:val="00EF2BF2"/>
    <w:rsid w:val="00EF416C"/>
    <w:rsid w:val="00EF5838"/>
    <w:rsid w:val="00EF5A7B"/>
    <w:rsid w:val="00EF5B57"/>
    <w:rsid w:val="00EF6148"/>
    <w:rsid w:val="00EF65C4"/>
    <w:rsid w:val="00EF69CC"/>
    <w:rsid w:val="00EF6BE1"/>
    <w:rsid w:val="00F000AC"/>
    <w:rsid w:val="00F00223"/>
    <w:rsid w:val="00F00C95"/>
    <w:rsid w:val="00F0202E"/>
    <w:rsid w:val="00F02CF6"/>
    <w:rsid w:val="00F03CAE"/>
    <w:rsid w:val="00F03D3C"/>
    <w:rsid w:val="00F03F45"/>
    <w:rsid w:val="00F0479D"/>
    <w:rsid w:val="00F05DED"/>
    <w:rsid w:val="00F05E4B"/>
    <w:rsid w:val="00F06540"/>
    <w:rsid w:val="00F07620"/>
    <w:rsid w:val="00F07E55"/>
    <w:rsid w:val="00F10045"/>
    <w:rsid w:val="00F10327"/>
    <w:rsid w:val="00F10AEF"/>
    <w:rsid w:val="00F10B6C"/>
    <w:rsid w:val="00F12356"/>
    <w:rsid w:val="00F12D19"/>
    <w:rsid w:val="00F12D4C"/>
    <w:rsid w:val="00F1547A"/>
    <w:rsid w:val="00F16B13"/>
    <w:rsid w:val="00F172FD"/>
    <w:rsid w:val="00F2036C"/>
    <w:rsid w:val="00F204B0"/>
    <w:rsid w:val="00F215A3"/>
    <w:rsid w:val="00F21EAC"/>
    <w:rsid w:val="00F21F0D"/>
    <w:rsid w:val="00F22859"/>
    <w:rsid w:val="00F2385F"/>
    <w:rsid w:val="00F239AF"/>
    <w:rsid w:val="00F2457B"/>
    <w:rsid w:val="00F247D4"/>
    <w:rsid w:val="00F24C03"/>
    <w:rsid w:val="00F25D5C"/>
    <w:rsid w:val="00F261E9"/>
    <w:rsid w:val="00F26812"/>
    <w:rsid w:val="00F279EF"/>
    <w:rsid w:val="00F309A3"/>
    <w:rsid w:val="00F30CD2"/>
    <w:rsid w:val="00F3311A"/>
    <w:rsid w:val="00F3361E"/>
    <w:rsid w:val="00F34669"/>
    <w:rsid w:val="00F352FA"/>
    <w:rsid w:val="00F404F7"/>
    <w:rsid w:val="00F40AE2"/>
    <w:rsid w:val="00F40FD9"/>
    <w:rsid w:val="00F41073"/>
    <w:rsid w:val="00F42D65"/>
    <w:rsid w:val="00F434C6"/>
    <w:rsid w:val="00F437BD"/>
    <w:rsid w:val="00F43E7F"/>
    <w:rsid w:val="00F4422B"/>
    <w:rsid w:val="00F442C3"/>
    <w:rsid w:val="00F44ADC"/>
    <w:rsid w:val="00F4563C"/>
    <w:rsid w:val="00F467AE"/>
    <w:rsid w:val="00F47D16"/>
    <w:rsid w:val="00F50D69"/>
    <w:rsid w:val="00F515FF"/>
    <w:rsid w:val="00F516E4"/>
    <w:rsid w:val="00F52E47"/>
    <w:rsid w:val="00F52F2C"/>
    <w:rsid w:val="00F5364B"/>
    <w:rsid w:val="00F53797"/>
    <w:rsid w:val="00F53E7F"/>
    <w:rsid w:val="00F54230"/>
    <w:rsid w:val="00F54978"/>
    <w:rsid w:val="00F55F9E"/>
    <w:rsid w:val="00F56183"/>
    <w:rsid w:val="00F56535"/>
    <w:rsid w:val="00F573AE"/>
    <w:rsid w:val="00F6073C"/>
    <w:rsid w:val="00F60875"/>
    <w:rsid w:val="00F60CFD"/>
    <w:rsid w:val="00F610F3"/>
    <w:rsid w:val="00F61BD0"/>
    <w:rsid w:val="00F61C4A"/>
    <w:rsid w:val="00F632AB"/>
    <w:rsid w:val="00F65143"/>
    <w:rsid w:val="00F65902"/>
    <w:rsid w:val="00F65991"/>
    <w:rsid w:val="00F66071"/>
    <w:rsid w:val="00F660DE"/>
    <w:rsid w:val="00F664D8"/>
    <w:rsid w:val="00F66881"/>
    <w:rsid w:val="00F66D93"/>
    <w:rsid w:val="00F66EC7"/>
    <w:rsid w:val="00F6767C"/>
    <w:rsid w:val="00F67726"/>
    <w:rsid w:val="00F706A0"/>
    <w:rsid w:val="00F71412"/>
    <w:rsid w:val="00F71EC5"/>
    <w:rsid w:val="00F724D4"/>
    <w:rsid w:val="00F7256A"/>
    <w:rsid w:val="00F72E20"/>
    <w:rsid w:val="00F73315"/>
    <w:rsid w:val="00F7339A"/>
    <w:rsid w:val="00F73495"/>
    <w:rsid w:val="00F744F6"/>
    <w:rsid w:val="00F7463C"/>
    <w:rsid w:val="00F76475"/>
    <w:rsid w:val="00F76606"/>
    <w:rsid w:val="00F769AD"/>
    <w:rsid w:val="00F76BD0"/>
    <w:rsid w:val="00F76FD5"/>
    <w:rsid w:val="00F80AB8"/>
    <w:rsid w:val="00F81706"/>
    <w:rsid w:val="00F81875"/>
    <w:rsid w:val="00F81E89"/>
    <w:rsid w:val="00F81E8A"/>
    <w:rsid w:val="00F8289C"/>
    <w:rsid w:val="00F828FE"/>
    <w:rsid w:val="00F82F70"/>
    <w:rsid w:val="00F82FC9"/>
    <w:rsid w:val="00F83FB2"/>
    <w:rsid w:val="00F8412C"/>
    <w:rsid w:val="00F84E85"/>
    <w:rsid w:val="00F8510E"/>
    <w:rsid w:val="00F86785"/>
    <w:rsid w:val="00F8685E"/>
    <w:rsid w:val="00F8702E"/>
    <w:rsid w:val="00F876B3"/>
    <w:rsid w:val="00F9117F"/>
    <w:rsid w:val="00F91E00"/>
    <w:rsid w:val="00F92516"/>
    <w:rsid w:val="00F92763"/>
    <w:rsid w:val="00F927D8"/>
    <w:rsid w:val="00F94071"/>
    <w:rsid w:val="00F9412A"/>
    <w:rsid w:val="00F94471"/>
    <w:rsid w:val="00F94ED9"/>
    <w:rsid w:val="00F95109"/>
    <w:rsid w:val="00F95654"/>
    <w:rsid w:val="00F958A6"/>
    <w:rsid w:val="00F958EC"/>
    <w:rsid w:val="00F959C9"/>
    <w:rsid w:val="00F95B8F"/>
    <w:rsid w:val="00F95E21"/>
    <w:rsid w:val="00F95E24"/>
    <w:rsid w:val="00F96207"/>
    <w:rsid w:val="00F966E9"/>
    <w:rsid w:val="00F96CF3"/>
    <w:rsid w:val="00F96E03"/>
    <w:rsid w:val="00F97A35"/>
    <w:rsid w:val="00F97E94"/>
    <w:rsid w:val="00FA0A53"/>
    <w:rsid w:val="00FA0EC5"/>
    <w:rsid w:val="00FA0F24"/>
    <w:rsid w:val="00FA1EF9"/>
    <w:rsid w:val="00FA26D0"/>
    <w:rsid w:val="00FA298F"/>
    <w:rsid w:val="00FA2B4B"/>
    <w:rsid w:val="00FA3155"/>
    <w:rsid w:val="00FA3E77"/>
    <w:rsid w:val="00FA4147"/>
    <w:rsid w:val="00FA44D4"/>
    <w:rsid w:val="00FA591B"/>
    <w:rsid w:val="00FA6B4D"/>
    <w:rsid w:val="00FA7630"/>
    <w:rsid w:val="00FB02D4"/>
    <w:rsid w:val="00FB0888"/>
    <w:rsid w:val="00FB0F38"/>
    <w:rsid w:val="00FB1E27"/>
    <w:rsid w:val="00FB22A1"/>
    <w:rsid w:val="00FB26E9"/>
    <w:rsid w:val="00FB301F"/>
    <w:rsid w:val="00FB3D59"/>
    <w:rsid w:val="00FB4551"/>
    <w:rsid w:val="00FB5958"/>
    <w:rsid w:val="00FB7969"/>
    <w:rsid w:val="00FB7A40"/>
    <w:rsid w:val="00FC04E7"/>
    <w:rsid w:val="00FC0A88"/>
    <w:rsid w:val="00FC0D72"/>
    <w:rsid w:val="00FC25B3"/>
    <w:rsid w:val="00FC2B7B"/>
    <w:rsid w:val="00FC316E"/>
    <w:rsid w:val="00FC31F1"/>
    <w:rsid w:val="00FC3FE2"/>
    <w:rsid w:val="00FC45F7"/>
    <w:rsid w:val="00FC5787"/>
    <w:rsid w:val="00FC6068"/>
    <w:rsid w:val="00FC6090"/>
    <w:rsid w:val="00FC69EA"/>
    <w:rsid w:val="00FC7333"/>
    <w:rsid w:val="00FC7837"/>
    <w:rsid w:val="00FC796D"/>
    <w:rsid w:val="00FC7990"/>
    <w:rsid w:val="00FC7E08"/>
    <w:rsid w:val="00FD1DFD"/>
    <w:rsid w:val="00FD218E"/>
    <w:rsid w:val="00FD27F8"/>
    <w:rsid w:val="00FD2873"/>
    <w:rsid w:val="00FD358A"/>
    <w:rsid w:val="00FD3711"/>
    <w:rsid w:val="00FD3D31"/>
    <w:rsid w:val="00FD4D74"/>
    <w:rsid w:val="00FD6210"/>
    <w:rsid w:val="00FD66F0"/>
    <w:rsid w:val="00FD6922"/>
    <w:rsid w:val="00FE0385"/>
    <w:rsid w:val="00FE1047"/>
    <w:rsid w:val="00FE1051"/>
    <w:rsid w:val="00FE264A"/>
    <w:rsid w:val="00FE2711"/>
    <w:rsid w:val="00FE314E"/>
    <w:rsid w:val="00FE323B"/>
    <w:rsid w:val="00FE3C37"/>
    <w:rsid w:val="00FE3E54"/>
    <w:rsid w:val="00FE441C"/>
    <w:rsid w:val="00FE4A23"/>
    <w:rsid w:val="00FE5B22"/>
    <w:rsid w:val="00FE5C6B"/>
    <w:rsid w:val="00FE726B"/>
    <w:rsid w:val="00FE766F"/>
    <w:rsid w:val="00FF1294"/>
    <w:rsid w:val="00FF1A28"/>
    <w:rsid w:val="00FF1D1F"/>
    <w:rsid w:val="00FF404F"/>
    <w:rsid w:val="00FF4CF0"/>
    <w:rsid w:val="00FF5719"/>
    <w:rsid w:val="00FF73DF"/>
    <w:rsid w:val="00FF764B"/>
    <w:rsid w:val="05020C45"/>
    <w:rsid w:val="58191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60"/>
    <w:qFormat/>
    <w:uiPriority w:val="0"/>
    <w:pPr>
      <w:keepNext/>
      <w:keepLines/>
      <w:spacing w:line="560" w:lineRule="exact"/>
      <w:jc w:val="center"/>
      <w:outlineLvl w:val="0"/>
    </w:pPr>
    <w:rPr>
      <w:rFonts w:eastAsia="仿宋_GB2312"/>
      <w:b/>
      <w:bCs/>
      <w:sz w:val="36"/>
      <w:szCs w:val="36"/>
    </w:rPr>
  </w:style>
  <w:style w:type="paragraph" w:styleId="4">
    <w:name w:val="heading 2"/>
    <w:basedOn w:val="1"/>
    <w:next w:val="3"/>
    <w:link w:val="61"/>
    <w:qFormat/>
    <w:uiPriority w:val="0"/>
    <w:pPr>
      <w:keepNext/>
      <w:keepLines/>
      <w:spacing w:line="480" w:lineRule="exact"/>
      <w:ind w:left="565" w:hanging="565" w:hangingChars="201"/>
      <w:jc w:val="left"/>
      <w:outlineLvl w:val="1"/>
    </w:pPr>
    <w:rPr>
      <w:rFonts w:eastAsia="仿宋_GB2312"/>
      <w:b/>
      <w:bCs/>
      <w:kern w:val="0"/>
      <w:sz w:val="28"/>
      <w:szCs w:val="28"/>
    </w:rPr>
  </w:style>
  <w:style w:type="paragraph" w:styleId="5">
    <w:name w:val="heading 3"/>
    <w:basedOn w:val="1"/>
    <w:next w:val="3"/>
    <w:link w:val="62"/>
    <w:qFormat/>
    <w:uiPriority w:val="0"/>
    <w:pPr>
      <w:keepNext/>
      <w:keepLines/>
      <w:jc w:val="left"/>
      <w:outlineLvl w:val="2"/>
    </w:pPr>
    <w:rPr>
      <w:rFonts w:ascii="宋体" w:hAnsi="宋体"/>
      <w:b/>
      <w:bCs/>
      <w:szCs w:val="32"/>
    </w:rPr>
  </w:style>
  <w:style w:type="paragraph" w:styleId="6">
    <w:name w:val="heading 4"/>
    <w:basedOn w:val="1"/>
    <w:next w:val="3"/>
    <w:link w:val="63"/>
    <w:qFormat/>
    <w:uiPriority w:val="0"/>
    <w:pPr>
      <w:keepNext/>
      <w:keepLines/>
      <w:spacing w:before="280" w:after="290" w:line="376" w:lineRule="auto"/>
      <w:outlineLvl w:val="3"/>
    </w:pPr>
    <w:rPr>
      <w:rFonts w:ascii="黑体" w:hAnsi="Arial" w:eastAsia="黑体"/>
      <w:b/>
      <w:bCs/>
      <w:szCs w:val="28"/>
    </w:rPr>
  </w:style>
  <w:style w:type="character" w:default="1" w:styleId="37">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51"/>
    <w:qFormat/>
    <w:uiPriority w:val="0"/>
    <w:pPr>
      <w:ind w:firstLine="420" w:firstLineChars="200"/>
    </w:p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caption"/>
    <w:basedOn w:val="1"/>
    <w:next w:val="3"/>
    <w:qFormat/>
    <w:uiPriority w:val="0"/>
    <w:pPr>
      <w:spacing w:before="152" w:after="160"/>
    </w:pPr>
    <w:rPr>
      <w:rFonts w:ascii="Arial" w:hAnsi="Arial" w:eastAsia="黑体" w:cs="Arial"/>
      <w:szCs w:val="20"/>
    </w:rPr>
  </w:style>
  <w:style w:type="paragraph" w:styleId="9">
    <w:name w:val="Document Map"/>
    <w:basedOn w:val="1"/>
    <w:link w:val="65"/>
    <w:semiHidden/>
    <w:qFormat/>
    <w:uiPriority w:val="0"/>
    <w:pPr>
      <w:shd w:val="clear" w:color="auto" w:fill="000080"/>
    </w:pPr>
    <w:rPr>
      <w:sz w:val="18"/>
    </w:rPr>
  </w:style>
  <w:style w:type="paragraph" w:styleId="10">
    <w:name w:val="annotation text"/>
    <w:basedOn w:val="1"/>
    <w:link w:val="52"/>
    <w:qFormat/>
    <w:uiPriority w:val="0"/>
    <w:pPr>
      <w:jc w:val="left"/>
    </w:pPr>
  </w:style>
  <w:style w:type="paragraph" w:styleId="11">
    <w:name w:val="Salutation"/>
    <w:basedOn w:val="1"/>
    <w:next w:val="1"/>
    <w:link w:val="66"/>
    <w:qFormat/>
    <w:uiPriority w:val="0"/>
    <w:pPr>
      <w:widowControl/>
      <w:jc w:val="left"/>
    </w:pPr>
    <w:rPr>
      <w:kern w:val="0"/>
      <w:sz w:val="28"/>
      <w:szCs w:val="20"/>
    </w:rPr>
  </w:style>
  <w:style w:type="paragraph" w:styleId="12">
    <w:name w:val="Body Text"/>
    <w:basedOn w:val="1"/>
    <w:link w:val="71"/>
    <w:qFormat/>
    <w:uiPriority w:val="0"/>
    <w:pPr>
      <w:spacing w:after="120"/>
    </w:pPr>
  </w:style>
  <w:style w:type="paragraph" w:styleId="13">
    <w:name w:val="Body Text Indent"/>
    <w:basedOn w:val="1"/>
    <w:link w:val="67"/>
    <w:qFormat/>
    <w:uiPriority w:val="0"/>
    <w:pPr>
      <w:widowControl/>
      <w:spacing w:line="500" w:lineRule="exact"/>
      <w:ind w:firstLine="560" w:firstLineChars="200"/>
    </w:pPr>
    <w:rPr>
      <w:kern w:val="0"/>
      <w:sz w:val="28"/>
      <w:szCs w:val="20"/>
    </w:rPr>
  </w:style>
  <w:style w:type="paragraph" w:styleId="14">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5">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16">
    <w:name w:val="Plain Text"/>
    <w:basedOn w:val="1"/>
    <w:link w:val="45"/>
    <w:qFormat/>
    <w:uiPriority w:val="0"/>
    <w:pPr>
      <w:autoSpaceDE w:val="0"/>
      <w:autoSpaceDN w:val="0"/>
      <w:adjustRightInd w:val="0"/>
      <w:spacing w:line="312" w:lineRule="atLeast"/>
      <w:textAlignment w:val="baseline"/>
    </w:pPr>
    <w:rPr>
      <w:rFonts w:ascii="Courier New" w:hAnsi="Courier New"/>
      <w:kern w:val="0"/>
      <w:szCs w:val="20"/>
    </w:rPr>
  </w:style>
  <w:style w:type="paragraph" w:styleId="17">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8">
    <w:name w:val="Date"/>
    <w:basedOn w:val="1"/>
    <w:next w:val="1"/>
    <w:link w:val="68"/>
    <w:qFormat/>
    <w:uiPriority w:val="0"/>
    <w:pPr>
      <w:widowControl/>
      <w:ind w:left="100" w:leftChars="2500"/>
      <w:jc w:val="left"/>
    </w:pPr>
    <w:rPr>
      <w:kern w:val="0"/>
      <w:sz w:val="28"/>
      <w:szCs w:val="20"/>
    </w:rPr>
  </w:style>
  <w:style w:type="paragraph" w:styleId="19">
    <w:name w:val="Body Text Indent 2"/>
    <w:basedOn w:val="1"/>
    <w:link w:val="73"/>
    <w:qFormat/>
    <w:uiPriority w:val="0"/>
    <w:pPr>
      <w:spacing w:after="120" w:line="480" w:lineRule="auto"/>
      <w:ind w:left="420" w:leftChars="200"/>
    </w:pPr>
  </w:style>
  <w:style w:type="paragraph" w:styleId="20">
    <w:name w:val="Balloon Text"/>
    <w:basedOn w:val="1"/>
    <w:link w:val="70"/>
    <w:semiHidden/>
    <w:qFormat/>
    <w:uiPriority w:val="0"/>
    <w:rPr>
      <w:sz w:val="18"/>
      <w:szCs w:val="18"/>
    </w:rPr>
  </w:style>
  <w:style w:type="paragraph" w:styleId="21">
    <w:name w:val="footer"/>
    <w:basedOn w:val="1"/>
    <w:link w:val="54"/>
    <w:qFormat/>
    <w:uiPriority w:val="0"/>
    <w:pPr>
      <w:widowControl/>
      <w:tabs>
        <w:tab w:val="center" w:pos="4153"/>
        <w:tab w:val="right" w:pos="8306"/>
      </w:tabs>
      <w:snapToGrid w:val="0"/>
      <w:jc w:val="left"/>
    </w:pPr>
    <w:rPr>
      <w:kern w:val="0"/>
      <w:sz w:val="18"/>
      <w:szCs w:val="18"/>
    </w:rPr>
  </w:style>
  <w:style w:type="paragraph" w:styleId="22">
    <w:name w:val="header"/>
    <w:basedOn w:val="1"/>
    <w:link w:val="50"/>
    <w:qFormat/>
    <w:uiPriority w:val="0"/>
    <w:pPr>
      <w:widowControl/>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39"/>
  </w:style>
  <w:style w:type="paragraph" w:styleId="24">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5">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6">
    <w:name w:val="Body Text Indent 3"/>
    <w:basedOn w:val="1"/>
    <w:link w:val="69"/>
    <w:qFormat/>
    <w:uiPriority w:val="0"/>
    <w:pPr>
      <w:spacing w:line="480" w:lineRule="exact"/>
      <w:ind w:firstLine="560" w:firstLineChars="200"/>
    </w:pPr>
    <w:rPr>
      <w:rFonts w:ascii="宋体" w:hAnsi="宋体"/>
      <w:sz w:val="28"/>
      <w:szCs w:val="20"/>
    </w:rPr>
  </w:style>
  <w:style w:type="paragraph" w:styleId="27">
    <w:name w:val="toc 2"/>
    <w:basedOn w:val="1"/>
    <w:next w:val="1"/>
    <w:qFormat/>
    <w:uiPriority w:val="39"/>
    <w:pPr>
      <w:ind w:left="420" w:leftChars="200"/>
    </w:pPr>
  </w:style>
  <w:style w:type="paragraph" w:styleId="2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9">
    <w:name w:val="Body Text 2"/>
    <w:basedOn w:val="1"/>
    <w:link w:val="72"/>
    <w:qFormat/>
    <w:uiPriority w:val="0"/>
    <w:pPr>
      <w:tabs>
        <w:tab w:val="left" w:pos="630"/>
      </w:tabs>
      <w:spacing w:line="380" w:lineRule="exact"/>
    </w:pPr>
    <w:rPr>
      <w:rFonts w:eastAsia="黑体"/>
      <w:sz w:val="24"/>
      <w:shd w:val="pct10" w:color="auto" w:fill="FFFFFF"/>
    </w:rPr>
  </w:style>
  <w:style w:type="paragraph" w:styleId="30">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2">
    <w:name w:val="index 1"/>
    <w:basedOn w:val="1"/>
    <w:next w:val="1"/>
    <w:qFormat/>
    <w:uiPriority w:val="0"/>
    <w:pPr>
      <w:ind w:left="-63" w:leftChars="-30" w:right="-63" w:rightChars="-30"/>
    </w:pPr>
    <w:rPr>
      <w:rFonts w:eastAsia="仿宋_GB2312"/>
      <w:shd w:val="clear" w:color="auto" w:fill="FFFFFF"/>
    </w:rPr>
  </w:style>
  <w:style w:type="paragraph" w:styleId="33">
    <w:name w:val="Title"/>
    <w:basedOn w:val="1"/>
    <w:next w:val="3"/>
    <w:link w:val="64"/>
    <w:qFormat/>
    <w:uiPriority w:val="0"/>
    <w:pPr>
      <w:spacing w:beforeLines="50" w:afterLines="50"/>
      <w:jc w:val="center"/>
    </w:pPr>
    <w:rPr>
      <w:rFonts w:ascii="Arial" w:hAnsi="Arial" w:cs="Arial"/>
      <w:b/>
      <w:bCs/>
      <w:sz w:val="44"/>
      <w:szCs w:val="32"/>
    </w:rPr>
  </w:style>
  <w:style w:type="paragraph" w:styleId="34">
    <w:name w:val="annotation subject"/>
    <w:basedOn w:val="10"/>
    <w:next w:val="10"/>
    <w:link w:val="56"/>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8">
    <w:name w:val="Strong"/>
    <w:basedOn w:val="37"/>
    <w:qFormat/>
    <w:uiPriority w:val="0"/>
    <w:rPr>
      <w:b/>
      <w:bCs/>
    </w:rPr>
  </w:style>
  <w:style w:type="character" w:styleId="39">
    <w:name w:val="page number"/>
    <w:basedOn w:val="37"/>
    <w:qFormat/>
    <w:uiPriority w:val="0"/>
  </w:style>
  <w:style w:type="character" w:styleId="40">
    <w:name w:val="FollowedHyperlink"/>
    <w:basedOn w:val="37"/>
    <w:qFormat/>
    <w:uiPriority w:val="0"/>
    <w:rPr>
      <w:color w:val="800080"/>
      <w:u w:val="single"/>
    </w:rPr>
  </w:style>
  <w:style w:type="character" w:styleId="41">
    <w:name w:val="Hyperlink"/>
    <w:basedOn w:val="37"/>
    <w:qFormat/>
    <w:uiPriority w:val="99"/>
    <w:rPr>
      <w:color w:val="0000FF"/>
      <w:u w:val="single"/>
    </w:rPr>
  </w:style>
  <w:style w:type="character" w:styleId="42">
    <w:name w:val="annotation reference"/>
    <w:basedOn w:val="37"/>
    <w:qFormat/>
    <w:uiPriority w:val="0"/>
    <w:rPr>
      <w:sz w:val="21"/>
      <w:szCs w:val="21"/>
    </w:rPr>
  </w:style>
  <w:style w:type="character" w:customStyle="1" w:styleId="43">
    <w:name w:val="line_group1"/>
    <w:basedOn w:val="37"/>
    <w:qFormat/>
    <w:uiPriority w:val="0"/>
    <w:rPr>
      <w:color w:val="000000"/>
      <w:sz w:val="18"/>
      <w:szCs w:val="18"/>
    </w:rPr>
  </w:style>
  <w:style w:type="paragraph" w:customStyle="1" w:styleId="44">
    <w:name w:val="indented8l"/>
    <w:basedOn w:val="1"/>
    <w:qFormat/>
    <w:uiPriority w:val="0"/>
    <w:pPr>
      <w:widowControl/>
      <w:spacing w:before="60" w:after="60"/>
      <w:ind w:left="120"/>
      <w:jc w:val="left"/>
    </w:pPr>
    <w:rPr>
      <w:rFonts w:ascii="Tahoma" w:hAnsi="Tahoma" w:cs="Tahoma"/>
      <w:color w:val="636363"/>
      <w:kern w:val="0"/>
      <w:sz w:val="17"/>
      <w:szCs w:val="17"/>
    </w:rPr>
  </w:style>
  <w:style w:type="character" w:customStyle="1" w:styleId="45">
    <w:name w:val="纯文本 Char1"/>
    <w:basedOn w:val="37"/>
    <w:link w:val="16"/>
    <w:qFormat/>
    <w:uiPriority w:val="0"/>
    <w:rPr>
      <w:rFonts w:ascii="Courier New" w:hAnsi="Courier New" w:eastAsia="宋体"/>
      <w:sz w:val="21"/>
      <w:lang w:val="en-US" w:eastAsia="zh-CN" w:bidi="ar-SA"/>
    </w:rPr>
  </w:style>
  <w:style w:type="character" w:customStyle="1" w:styleId="46">
    <w:name w:val="style241"/>
    <w:basedOn w:val="37"/>
    <w:qFormat/>
    <w:uiPriority w:val="0"/>
    <w:rPr>
      <w:sz w:val="19"/>
      <w:szCs w:val="19"/>
    </w:rPr>
  </w:style>
  <w:style w:type="character" w:customStyle="1" w:styleId="47">
    <w:name w:val="aa"/>
    <w:basedOn w:val="37"/>
    <w:qFormat/>
    <w:uiPriority w:val="0"/>
  </w:style>
  <w:style w:type="character" w:customStyle="1" w:styleId="48">
    <w:name w:val="纯文本 Char"/>
    <w:basedOn w:val="37"/>
    <w:qFormat/>
    <w:uiPriority w:val="0"/>
    <w:rPr>
      <w:rFonts w:ascii="Courier New" w:hAnsi="Courier New" w:eastAsia="宋体"/>
      <w:sz w:val="21"/>
      <w:szCs w:val="21"/>
      <w:lang w:val="en-US" w:eastAsia="zh-CN" w:bidi="ar-SA"/>
    </w:rPr>
  </w:style>
  <w:style w:type="paragraph" w:customStyle="1" w:styleId="49">
    <w:name w:val="Default"/>
    <w:qFormat/>
    <w:uiPriority w:val="0"/>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character" w:customStyle="1" w:styleId="50">
    <w:name w:val="页眉 Char"/>
    <w:basedOn w:val="37"/>
    <w:link w:val="22"/>
    <w:qFormat/>
    <w:uiPriority w:val="0"/>
    <w:rPr>
      <w:rFonts w:eastAsia="宋体"/>
      <w:sz w:val="18"/>
      <w:szCs w:val="18"/>
      <w:lang w:val="en-US" w:eastAsia="zh-CN" w:bidi="ar-SA"/>
    </w:rPr>
  </w:style>
  <w:style w:type="character" w:customStyle="1" w:styleId="51">
    <w:name w:val="正文缩进 Char"/>
    <w:basedOn w:val="37"/>
    <w:link w:val="3"/>
    <w:qFormat/>
    <w:locked/>
    <w:uiPriority w:val="0"/>
    <w:rPr>
      <w:rFonts w:eastAsia="宋体"/>
      <w:kern w:val="2"/>
      <w:sz w:val="21"/>
      <w:szCs w:val="24"/>
      <w:lang w:val="en-US" w:eastAsia="zh-CN" w:bidi="ar-SA"/>
    </w:rPr>
  </w:style>
  <w:style w:type="character" w:customStyle="1" w:styleId="52">
    <w:name w:val="批注文字 Char"/>
    <w:basedOn w:val="37"/>
    <w:link w:val="10"/>
    <w:qFormat/>
    <w:uiPriority w:val="0"/>
    <w:rPr>
      <w:rFonts w:eastAsia="宋体"/>
      <w:kern w:val="2"/>
      <w:sz w:val="21"/>
      <w:szCs w:val="24"/>
      <w:lang w:val="en-US" w:eastAsia="zh-CN" w:bidi="ar-SA"/>
    </w:rPr>
  </w:style>
  <w:style w:type="character" w:customStyle="1" w:styleId="53">
    <w:name w:val="书籍标题1"/>
    <w:basedOn w:val="37"/>
    <w:qFormat/>
    <w:uiPriority w:val="33"/>
    <w:rPr>
      <w:b/>
      <w:bCs/>
      <w:smallCaps/>
      <w:spacing w:val="5"/>
    </w:rPr>
  </w:style>
  <w:style w:type="character" w:customStyle="1" w:styleId="54">
    <w:name w:val="页脚 Char"/>
    <w:basedOn w:val="37"/>
    <w:link w:val="21"/>
    <w:qFormat/>
    <w:uiPriority w:val="99"/>
    <w:rPr>
      <w:sz w:val="18"/>
      <w:szCs w:val="18"/>
    </w:rPr>
  </w:style>
  <w:style w:type="paragraph" w:customStyle="1" w:styleId="55">
    <w:name w:val="标题22"/>
    <w:basedOn w:val="1"/>
    <w:qFormat/>
    <w:uiPriority w:val="0"/>
    <w:pPr>
      <w:spacing w:line="600" w:lineRule="exact"/>
      <w:ind w:left="1701" w:leftChars="810"/>
    </w:pPr>
    <w:rPr>
      <w:rFonts w:ascii="仿宋" w:hAnsi="仿宋" w:eastAsia="仿宋"/>
      <w:sz w:val="28"/>
      <w:szCs w:val="28"/>
    </w:rPr>
  </w:style>
  <w:style w:type="character" w:customStyle="1" w:styleId="56">
    <w:name w:val="批注主题 Char"/>
    <w:basedOn w:val="52"/>
    <w:link w:val="34"/>
    <w:qFormat/>
    <w:uiPriority w:val="0"/>
    <w:rPr>
      <w:rFonts w:eastAsia="宋体"/>
      <w:b/>
      <w:bCs/>
      <w:kern w:val="2"/>
      <w:sz w:val="21"/>
      <w:szCs w:val="24"/>
      <w:lang w:val="en-US" w:eastAsia="zh-CN" w:bidi="ar-SA"/>
    </w:rPr>
  </w:style>
  <w:style w:type="paragraph" w:customStyle="1" w:styleId="57">
    <w:name w:val="估价项目名称"/>
    <w:basedOn w:val="1"/>
    <w:qFormat/>
    <w:uiPriority w:val="0"/>
    <w:pPr>
      <w:tabs>
        <w:tab w:val="center" w:pos="4513"/>
        <w:tab w:val="left" w:pos="7275"/>
      </w:tabs>
      <w:spacing w:line="460" w:lineRule="exact"/>
      <w:ind w:left="210" w:leftChars="100" w:firstLine="560" w:firstLineChars="200"/>
      <w:jc w:val="left"/>
    </w:pPr>
    <w:rPr>
      <w:rFonts w:ascii="仿宋_GB2312" w:eastAsia="仿宋_GB2312"/>
      <w:bCs/>
      <w:color w:val="000000"/>
      <w:sz w:val="28"/>
    </w:rPr>
  </w:style>
  <w:style w:type="paragraph" w:customStyle="1" w:styleId="58">
    <w:name w:val="xl27"/>
    <w:basedOn w:val="1"/>
    <w:uiPriority w:val="0"/>
    <w:pPr>
      <w:widowControl/>
      <w:pBdr>
        <w:bottom w:val="single" w:color="auto" w:sz="4" w:space="0"/>
        <w:right w:val="single" w:color="auto" w:sz="4" w:space="0"/>
      </w:pBdr>
      <w:spacing w:before="100" w:beforeAutospacing="1" w:after="100" w:afterAutospacing="1"/>
      <w:jc w:val="center"/>
    </w:pPr>
    <w:rPr>
      <w:rFonts w:hint="eastAsia" w:ascii="方正楷体简体" w:hAnsi="宋体" w:eastAsia="方正楷体简体"/>
      <w:color w:val="000000"/>
      <w:kern w:val="0"/>
      <w:szCs w:val="21"/>
    </w:rPr>
  </w:style>
  <w:style w:type="paragraph" w:customStyle="1" w:styleId="59">
    <w:name w:val="Char Char Char"/>
    <w:basedOn w:val="1"/>
    <w:qFormat/>
    <w:uiPriority w:val="0"/>
    <w:pPr>
      <w:widowControl/>
      <w:spacing w:after="160" w:line="240" w:lineRule="exact"/>
      <w:jc w:val="left"/>
    </w:pPr>
    <w:rPr>
      <w:rFonts w:ascii="Verdana" w:hAnsi="Verdana" w:eastAsia="Times New Roman"/>
      <w:kern w:val="0"/>
      <w:sz w:val="20"/>
      <w:szCs w:val="20"/>
      <w:lang w:eastAsia="en-US"/>
    </w:rPr>
  </w:style>
  <w:style w:type="character" w:customStyle="1" w:styleId="60">
    <w:name w:val="标题 1 Char"/>
    <w:basedOn w:val="37"/>
    <w:link w:val="2"/>
    <w:qFormat/>
    <w:uiPriority w:val="0"/>
    <w:rPr>
      <w:rFonts w:eastAsia="仿宋_GB2312"/>
      <w:b/>
      <w:bCs/>
      <w:kern w:val="2"/>
      <w:sz w:val="36"/>
      <w:szCs w:val="36"/>
    </w:rPr>
  </w:style>
  <w:style w:type="character" w:customStyle="1" w:styleId="61">
    <w:name w:val="标题 2 Char"/>
    <w:basedOn w:val="37"/>
    <w:link w:val="4"/>
    <w:uiPriority w:val="0"/>
    <w:rPr>
      <w:rFonts w:eastAsia="仿宋_GB2312"/>
      <w:b/>
      <w:bCs/>
      <w:sz w:val="28"/>
      <w:szCs w:val="28"/>
    </w:rPr>
  </w:style>
  <w:style w:type="character" w:customStyle="1" w:styleId="62">
    <w:name w:val="标题 3 Char"/>
    <w:basedOn w:val="37"/>
    <w:link w:val="5"/>
    <w:uiPriority w:val="0"/>
    <w:rPr>
      <w:rFonts w:ascii="宋体" w:hAnsi="宋体"/>
      <w:b/>
      <w:bCs/>
      <w:kern w:val="2"/>
      <w:sz w:val="21"/>
      <w:szCs w:val="32"/>
    </w:rPr>
  </w:style>
  <w:style w:type="character" w:customStyle="1" w:styleId="63">
    <w:name w:val="标题 4 Char"/>
    <w:basedOn w:val="37"/>
    <w:link w:val="6"/>
    <w:uiPriority w:val="0"/>
    <w:rPr>
      <w:rFonts w:ascii="黑体" w:hAnsi="Arial" w:eastAsia="黑体"/>
      <w:b/>
      <w:bCs/>
      <w:kern w:val="2"/>
      <w:sz w:val="21"/>
      <w:szCs w:val="28"/>
    </w:rPr>
  </w:style>
  <w:style w:type="character" w:customStyle="1" w:styleId="64">
    <w:name w:val="标题 Char"/>
    <w:basedOn w:val="37"/>
    <w:link w:val="33"/>
    <w:uiPriority w:val="0"/>
    <w:rPr>
      <w:rFonts w:ascii="Arial" w:hAnsi="Arial" w:cs="Arial"/>
      <w:b/>
      <w:bCs/>
      <w:kern w:val="2"/>
      <w:sz w:val="44"/>
      <w:szCs w:val="32"/>
    </w:rPr>
  </w:style>
  <w:style w:type="character" w:customStyle="1" w:styleId="65">
    <w:name w:val="文档结构图 Char"/>
    <w:basedOn w:val="37"/>
    <w:link w:val="9"/>
    <w:semiHidden/>
    <w:uiPriority w:val="0"/>
    <w:rPr>
      <w:kern w:val="2"/>
      <w:sz w:val="18"/>
      <w:szCs w:val="24"/>
      <w:shd w:val="clear" w:color="auto" w:fill="000080"/>
    </w:rPr>
  </w:style>
  <w:style w:type="character" w:customStyle="1" w:styleId="66">
    <w:name w:val="称呼 Char"/>
    <w:basedOn w:val="37"/>
    <w:link w:val="11"/>
    <w:uiPriority w:val="0"/>
    <w:rPr>
      <w:sz w:val="28"/>
    </w:rPr>
  </w:style>
  <w:style w:type="character" w:customStyle="1" w:styleId="67">
    <w:name w:val="正文文本缩进 Char"/>
    <w:basedOn w:val="37"/>
    <w:link w:val="13"/>
    <w:uiPriority w:val="0"/>
    <w:rPr>
      <w:sz w:val="28"/>
    </w:rPr>
  </w:style>
  <w:style w:type="character" w:customStyle="1" w:styleId="68">
    <w:name w:val="日期 Char"/>
    <w:basedOn w:val="37"/>
    <w:link w:val="18"/>
    <w:qFormat/>
    <w:uiPriority w:val="0"/>
    <w:rPr>
      <w:sz w:val="28"/>
    </w:rPr>
  </w:style>
  <w:style w:type="character" w:customStyle="1" w:styleId="69">
    <w:name w:val="正文文本缩进 3 Char"/>
    <w:basedOn w:val="37"/>
    <w:link w:val="26"/>
    <w:uiPriority w:val="0"/>
    <w:rPr>
      <w:rFonts w:ascii="宋体" w:hAnsi="宋体"/>
      <w:kern w:val="2"/>
      <w:sz w:val="28"/>
    </w:rPr>
  </w:style>
  <w:style w:type="character" w:customStyle="1" w:styleId="70">
    <w:name w:val="批注框文本 Char"/>
    <w:basedOn w:val="37"/>
    <w:link w:val="20"/>
    <w:semiHidden/>
    <w:qFormat/>
    <w:uiPriority w:val="0"/>
    <w:rPr>
      <w:kern w:val="2"/>
      <w:sz w:val="18"/>
      <w:szCs w:val="18"/>
    </w:rPr>
  </w:style>
  <w:style w:type="character" w:customStyle="1" w:styleId="71">
    <w:name w:val="正文文本 Char"/>
    <w:basedOn w:val="37"/>
    <w:link w:val="12"/>
    <w:qFormat/>
    <w:uiPriority w:val="0"/>
    <w:rPr>
      <w:kern w:val="2"/>
      <w:sz w:val="21"/>
      <w:szCs w:val="24"/>
    </w:rPr>
  </w:style>
  <w:style w:type="character" w:customStyle="1" w:styleId="72">
    <w:name w:val="正文文本 2 Char"/>
    <w:basedOn w:val="37"/>
    <w:link w:val="29"/>
    <w:qFormat/>
    <w:uiPriority w:val="0"/>
    <w:rPr>
      <w:rFonts w:eastAsia="黑体"/>
      <w:kern w:val="2"/>
      <w:sz w:val="24"/>
      <w:szCs w:val="24"/>
    </w:rPr>
  </w:style>
  <w:style w:type="character" w:customStyle="1" w:styleId="73">
    <w:name w:val="正文文本缩进 2 Char"/>
    <w:basedOn w:val="37"/>
    <w:link w:val="19"/>
    <w:qFormat/>
    <w:uiPriority w:val="0"/>
    <w:rPr>
      <w:kern w:val="2"/>
      <w:sz w:val="21"/>
      <w:szCs w:val="24"/>
    </w:rPr>
  </w:style>
  <w:style w:type="character" w:customStyle="1" w:styleId="74">
    <w:name w:val="font_text1"/>
    <w:basedOn w:val="37"/>
    <w:uiPriority w:val="0"/>
    <w:rPr>
      <w:sz w:val="24"/>
      <w:szCs w:val="24"/>
    </w:rPr>
  </w:style>
  <w:style w:type="character" w:customStyle="1" w:styleId="75">
    <w:name w:val="f14b1"/>
    <w:basedOn w:val="37"/>
    <w:qFormat/>
    <w:uiPriority w:val="0"/>
    <w:rPr>
      <w:b/>
      <w:bCs/>
      <w:sz w:val="21"/>
      <w:szCs w:val="21"/>
    </w:rPr>
  </w:style>
  <w:style w:type="character" w:customStyle="1" w:styleId="76">
    <w:name w:val="12p-18hg"/>
    <w:basedOn w:val="37"/>
    <w:uiPriority w:val="0"/>
  </w:style>
  <w:style w:type="character" w:customStyle="1" w:styleId="77">
    <w:name w:val="title23"/>
    <w:basedOn w:val="37"/>
    <w:uiPriority w:val="0"/>
  </w:style>
  <w:style w:type="paragraph" w:customStyle="1" w:styleId="78">
    <w:name w:val="表格数据"/>
    <w:basedOn w:val="1"/>
    <w:qFormat/>
    <w:uiPriority w:val="0"/>
    <w:rPr>
      <w:rFonts w:eastAsia="仿宋_GB2312"/>
      <w:szCs w:val="21"/>
    </w:rPr>
  </w:style>
  <w:style w:type="character" w:customStyle="1" w:styleId="79">
    <w:name w:val="a11"/>
    <w:basedOn w:val="37"/>
    <w:qFormat/>
    <w:uiPriority w:val="0"/>
    <w:rPr>
      <w:rFonts w:hint="eastAsia" w:ascii="宋体" w:hAnsi="宋体" w:eastAsia="宋体"/>
      <w:color w:val="464646"/>
      <w:sz w:val="20"/>
      <w:szCs w:val="20"/>
    </w:rPr>
  </w:style>
  <w:style w:type="character" w:customStyle="1" w:styleId="80">
    <w:name w:val="Char Char10"/>
    <w:basedOn w:val="37"/>
    <w:qFormat/>
    <w:locked/>
    <w:uiPriority w:val="0"/>
    <w:rPr>
      <w:rFonts w:cs="Times New Roman"/>
      <w:kern w:val="2"/>
      <w:sz w:val="21"/>
    </w:rPr>
  </w:style>
  <w:style w:type="character" w:customStyle="1" w:styleId="81">
    <w:name w:val="hide"/>
    <w:basedOn w:val="37"/>
    <w:qFormat/>
    <w:uiPriority w:val="0"/>
  </w:style>
  <w:style w:type="character" w:customStyle="1" w:styleId="82">
    <w:name w:val="apple-converted-space"/>
    <w:basedOn w:val="37"/>
    <w:uiPriority w:val="0"/>
  </w:style>
  <w:style w:type="character" w:customStyle="1" w:styleId="83">
    <w:name w:val="HTML 预设格式 Char"/>
    <w:basedOn w:val="37"/>
    <w:link w:val="30"/>
    <w:qFormat/>
    <w:uiPriority w:val="0"/>
    <w:rPr>
      <w:rFonts w:ascii="Arial" w:hAnsi="Arial" w:cs="Arial"/>
      <w:sz w:val="21"/>
      <w:szCs w:val="21"/>
    </w:rPr>
  </w:style>
  <w:style w:type="paragraph" w:customStyle="1" w:styleId="84">
    <w:name w:val="Char Char Char1"/>
    <w:basedOn w:val="1"/>
    <w:uiPriority w:val="0"/>
    <w:pPr>
      <w:widowControl/>
      <w:spacing w:after="160" w:line="240" w:lineRule="exact"/>
      <w:jc w:val="left"/>
    </w:pPr>
    <w:rPr>
      <w:rFonts w:ascii="Verdana" w:hAnsi="Verdana" w:eastAsia="Times New Roman"/>
      <w:kern w:val="0"/>
      <w:sz w:val="20"/>
      <w:szCs w:val="20"/>
      <w:lang w:eastAsia="en-US"/>
    </w:rPr>
  </w:style>
  <w:style w:type="paragraph" w:customStyle="1" w:styleId="85">
    <w:name w:val="20"/>
    <w:basedOn w:val="1"/>
    <w:uiPriority w:val="0"/>
    <w:pPr>
      <w:widowControl/>
      <w:spacing w:before="100" w:beforeAutospacing="1" w:after="100" w:afterAutospacing="1" w:line="300" w:lineRule="atLeast"/>
      <w:jc w:val="left"/>
    </w:pPr>
    <w:rPr>
      <w:rFonts w:ascii="宋体" w:hAnsi="宋体" w:eastAsia="仿宋_GB2312"/>
      <w:color w:val="000000"/>
      <w:kern w:val="0"/>
      <w:sz w:val="18"/>
      <w:szCs w:val="18"/>
    </w:rPr>
  </w:style>
  <w:style w:type="character" w:customStyle="1" w:styleId="86">
    <w:name w:val="正文文本 (2)_"/>
    <w:basedOn w:val="37"/>
    <w:link w:val="87"/>
    <w:uiPriority w:val="0"/>
    <w:rPr>
      <w:rFonts w:ascii="MingLiU" w:hAnsi="MingLiU" w:eastAsia="MingLiU" w:cs="MingLiU"/>
      <w:sz w:val="21"/>
      <w:szCs w:val="21"/>
      <w:shd w:val="clear" w:color="auto" w:fill="FFFFFF"/>
    </w:rPr>
  </w:style>
  <w:style w:type="paragraph" w:customStyle="1" w:styleId="87">
    <w:name w:val="正文文本 (2)"/>
    <w:basedOn w:val="1"/>
    <w:link w:val="86"/>
    <w:uiPriority w:val="0"/>
    <w:pPr>
      <w:widowControl/>
      <w:shd w:val="clear" w:color="auto" w:fill="FFFFFF"/>
      <w:spacing w:after="180" w:line="0" w:lineRule="atLeast"/>
      <w:ind w:hanging="1120"/>
      <w:jc w:val="distribute"/>
    </w:pPr>
    <w:rPr>
      <w:rFonts w:ascii="MingLiU" w:hAnsi="MingLiU" w:eastAsia="MingLiU" w:cs="MingLiU"/>
      <w:kern w:val="0"/>
      <w:szCs w:val="21"/>
    </w:rPr>
  </w:style>
  <w:style w:type="character" w:customStyle="1" w:styleId="88">
    <w:name w:val="正文文本 (2) + Sylfaen"/>
    <w:basedOn w:val="86"/>
    <w:uiPriority w:val="0"/>
    <w:rPr>
      <w:rFonts w:ascii="Sylfaen" w:hAnsi="Sylfaen" w:eastAsia="Sylfaen" w:cs="Sylfaen"/>
      <w:color w:val="000000"/>
      <w:spacing w:val="0"/>
      <w:w w:val="100"/>
      <w:position w:val="0"/>
      <w:sz w:val="22"/>
      <w:szCs w:val="22"/>
      <w:shd w:val="clear" w:color="auto" w:fill="FFFFFF"/>
      <w:lang w:val="en-US" w:eastAsia="en-US" w:bidi="en-US"/>
    </w:rPr>
  </w:style>
  <w:style w:type="paragraph" w:customStyle="1" w:styleId="89">
    <w:name w:val="列出段落1"/>
    <w:basedOn w:val="1"/>
    <w:qFormat/>
    <w:uiPriority w:val="34"/>
    <w:pPr>
      <w:ind w:firstLine="420" w:firstLineChars="200"/>
    </w:pPr>
  </w:style>
  <w:style w:type="paragraph" w:styleId="9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6"/>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65464-C6F6-4291-9011-CF57A55B73A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1613</Words>
  <Characters>9200</Characters>
  <Lines>76</Lines>
  <Paragraphs>21</Paragraphs>
  <TotalTime>2937</TotalTime>
  <ScaleCrop>false</ScaleCrop>
  <LinksUpToDate>false</LinksUpToDate>
  <CharactersWithSpaces>10792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2017-03-07T14:18:00Z</dcterms:created>
  <dc:creator>孙涛</dc:creator>
  <cp:lastModifiedBy>Magnolia</cp:lastModifiedBy>
  <cp:lastPrinted>2018-11-12T07:29:00Z</cp:lastPrinted>
  <dcterms:modified xsi:type="dcterms:W3CDTF">2019-07-15T07:26:19Z</dcterms:modified>
  <dc:title>房 地 产 估 价 报 告</dc:title>
  <cp:revision>343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