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ctiveX/activeX1.bin" ContentType="application/vnd.ms-office.activeX"/>
  <Override PartName="/word/activeX/activeX1.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pacing w:before="100" w:beforeAutospacing="1" w:after="100" w:afterAutospacing="1" w:line="500" w:lineRule="exact"/>
        <w:jc w:val="center"/>
        <w:textAlignment w:val="baseline"/>
        <w:rPr>
          <w:rFonts w:ascii="楷体_GB2312" w:hAnsi="黑体" w:eastAsia="楷体_GB2312"/>
          <w:bCs/>
          <w:kern w:val="28"/>
          <w:sz w:val="48"/>
          <w:szCs w:val="48"/>
        </w:rPr>
      </w:pPr>
    </w:p>
    <w:p>
      <w:pPr>
        <w:adjustRightInd w:val="0"/>
        <w:spacing w:before="100" w:beforeAutospacing="1" w:after="100" w:afterAutospacing="1" w:line="500" w:lineRule="exact"/>
        <w:jc w:val="center"/>
        <w:textAlignment w:val="baseline"/>
        <w:rPr>
          <w:rFonts w:ascii="黑体" w:hAnsi="黑体" w:eastAsia="黑体"/>
          <w:bCs/>
          <w:kern w:val="28"/>
          <w:sz w:val="48"/>
          <w:szCs w:val="48"/>
        </w:rPr>
      </w:pPr>
    </w:p>
    <w:p>
      <w:pPr>
        <w:adjustRightInd w:val="0"/>
        <w:spacing w:before="100" w:beforeAutospacing="1" w:after="100" w:afterAutospacing="1" w:line="500" w:lineRule="exact"/>
        <w:jc w:val="center"/>
        <w:textAlignment w:val="baseline"/>
        <w:rPr>
          <w:rFonts w:ascii="黑体" w:hAnsi="黑体" w:eastAsia="黑体"/>
          <w:bCs/>
          <w:kern w:val="28"/>
          <w:sz w:val="48"/>
          <w:szCs w:val="48"/>
        </w:rPr>
      </w:pPr>
      <w:r>
        <w:rPr>
          <w:rFonts w:hint="eastAsia" w:ascii="黑体" w:hAnsi="黑体" w:eastAsia="黑体"/>
          <w:bCs/>
          <w:kern w:val="28"/>
          <w:sz w:val="48"/>
          <w:szCs w:val="48"/>
        </w:rPr>
        <w:t>房地产估价报告</w:t>
      </w:r>
    </w:p>
    <w:p>
      <w:pPr>
        <w:adjustRightInd w:val="0"/>
        <w:spacing w:before="100" w:beforeAutospacing="1" w:after="100" w:afterAutospacing="1" w:line="500" w:lineRule="exact"/>
        <w:jc w:val="center"/>
        <w:textAlignment w:val="baseline"/>
        <w:rPr>
          <w:rFonts w:ascii="黑体" w:hAnsi="黑体" w:eastAsia="黑体"/>
          <w:bCs/>
          <w:kern w:val="28"/>
          <w:sz w:val="48"/>
          <w:szCs w:val="48"/>
        </w:rPr>
      </w:pPr>
    </w:p>
    <w:p>
      <w:pPr>
        <w:adjustRightInd w:val="0"/>
        <w:spacing w:before="100" w:beforeAutospacing="1" w:after="100" w:afterAutospacing="1" w:line="500" w:lineRule="exact"/>
        <w:jc w:val="center"/>
        <w:textAlignment w:val="baseline"/>
        <w:rPr>
          <w:rFonts w:ascii="黑体" w:hAnsi="黑体" w:eastAsia="黑体"/>
          <w:bCs/>
          <w:kern w:val="28"/>
          <w:sz w:val="48"/>
          <w:szCs w:val="48"/>
        </w:rPr>
      </w:pPr>
    </w:p>
    <w:p>
      <w:pPr>
        <w:jc w:val="center"/>
        <w:rPr>
          <w:rFonts w:ascii="楷体_GB2312" w:hAnsi="黑体" w:eastAsia="楷体_GB2312"/>
          <w:kern w:val="0"/>
          <w:sz w:val="36"/>
          <w:szCs w:val="36"/>
        </w:rPr>
      </w:pPr>
    </w:p>
    <w:p>
      <w:pPr>
        <w:spacing w:before="100" w:beforeAutospacing="1" w:after="100" w:afterAutospacing="1" w:line="560" w:lineRule="exact"/>
        <w:ind w:left="2410" w:leftChars="126" w:right="223" w:rightChars="106" w:hanging="2145" w:hangingChars="715"/>
        <w:jc w:val="left"/>
        <w:rPr>
          <w:rFonts w:ascii="楷体_GB2312" w:hAnsi="黑体" w:eastAsia="楷体_GB2312"/>
          <w:kern w:val="28"/>
          <w:sz w:val="30"/>
          <w:szCs w:val="30"/>
        </w:rPr>
      </w:pPr>
      <w:r>
        <w:rPr>
          <w:rFonts w:hint="eastAsia" w:ascii="黑体" w:hAnsi="黑体" w:eastAsia="黑体" w:cs="黑体"/>
          <w:bCs/>
          <w:kern w:val="28"/>
          <w:sz w:val="30"/>
          <w:szCs w:val="30"/>
        </w:rPr>
        <w:t>估价项目名称</w:t>
      </w:r>
      <w:r>
        <w:rPr>
          <w:rFonts w:hint="eastAsia" w:ascii="黑体" w:hAnsi="黑体" w:eastAsia="黑体" w:cs="黑体"/>
          <w:sz w:val="30"/>
          <w:szCs w:val="30"/>
        </w:rPr>
        <w:t>：</w:t>
      </w:r>
      <w:r>
        <w:rPr>
          <w:rFonts w:hint="eastAsia" w:ascii="仿宋_GB2312" w:hAnsi="黑体" w:eastAsia="仿宋_GB2312"/>
          <w:kern w:val="28"/>
          <w:sz w:val="30"/>
          <w:szCs w:val="30"/>
          <w:lang w:eastAsia="zh-CN"/>
        </w:rPr>
        <w:t>汕头市潮阳区谷饶镇谷苑商场A4幢3-7号 坐南向北</w:t>
      </w:r>
      <w:r>
        <w:rPr>
          <w:rFonts w:hint="eastAsia" w:ascii="仿宋_GB2312" w:hAnsi="黑体" w:eastAsia="仿宋_GB2312"/>
          <w:kern w:val="28"/>
          <w:sz w:val="30"/>
          <w:szCs w:val="30"/>
        </w:rPr>
        <w:t>的房地产司法处置评估</w:t>
      </w:r>
    </w:p>
    <w:p>
      <w:pPr>
        <w:spacing w:before="100" w:beforeAutospacing="1" w:after="100" w:afterAutospacing="1" w:line="460" w:lineRule="exact"/>
        <w:ind w:left="2410" w:leftChars="126" w:right="223" w:rightChars="106" w:hanging="2145" w:hangingChars="715"/>
        <w:jc w:val="left"/>
        <w:rPr>
          <w:rFonts w:ascii="楷体_GB2312" w:hAnsi="黑体" w:eastAsia="楷体_GB2312" w:cs="黑体"/>
          <w:kern w:val="28"/>
          <w:sz w:val="30"/>
          <w:szCs w:val="30"/>
        </w:rPr>
      </w:pPr>
      <w:r>
        <w:rPr>
          <w:rFonts w:hint="eastAsia" w:ascii="黑体" w:hAnsi="黑体" w:eastAsia="黑体"/>
          <w:bCs/>
          <w:kern w:val="28"/>
          <w:sz w:val="30"/>
          <w:szCs w:val="30"/>
        </w:rPr>
        <w:t>估价委托方：</w:t>
      </w:r>
      <w:r>
        <w:rPr>
          <w:rFonts w:hint="eastAsia" w:ascii="仿宋_GB2312" w:hAnsi="黑体" w:eastAsia="仿宋_GB2312"/>
          <w:kern w:val="28"/>
          <w:sz w:val="30"/>
          <w:szCs w:val="30"/>
        </w:rPr>
        <w:t>汕头市潮阳区人民法院</w:t>
      </w:r>
    </w:p>
    <w:p>
      <w:pPr>
        <w:spacing w:line="480" w:lineRule="auto"/>
        <w:ind w:firstLine="300" w:firstLineChars="100"/>
        <w:jc w:val="left"/>
        <w:rPr>
          <w:rFonts w:ascii="楷体_GB2312" w:hAnsi="黑体" w:eastAsia="楷体_GB2312"/>
          <w:bCs/>
          <w:kern w:val="28"/>
          <w:sz w:val="30"/>
          <w:szCs w:val="30"/>
        </w:rPr>
      </w:pPr>
      <w:r>
        <w:rPr>
          <w:rFonts w:hint="eastAsia" w:ascii="黑体" w:hAnsi="黑体" w:eastAsia="黑体"/>
          <w:bCs/>
          <w:kern w:val="28"/>
          <w:sz w:val="30"/>
          <w:szCs w:val="30"/>
        </w:rPr>
        <w:t>估价机构：</w:t>
      </w:r>
      <w:r>
        <w:rPr>
          <w:rFonts w:hint="eastAsia" w:ascii="仿宋_GB2312" w:hAnsi="黑体" w:eastAsia="仿宋_GB2312"/>
          <w:kern w:val="28"/>
          <w:sz w:val="30"/>
          <w:szCs w:val="30"/>
        </w:rPr>
        <w:t>深圳市国咨土地房地产资产评估有限公司</w:t>
      </w:r>
    </w:p>
    <w:p>
      <w:pPr>
        <w:spacing w:line="480" w:lineRule="auto"/>
        <w:ind w:firstLine="300" w:firstLineChars="100"/>
        <w:jc w:val="left"/>
        <w:rPr>
          <w:rFonts w:ascii="楷体_GB2312" w:hAnsi="黑体" w:eastAsia="楷体_GB2312"/>
          <w:kern w:val="0"/>
          <w:sz w:val="30"/>
          <w:szCs w:val="30"/>
        </w:rPr>
      </w:pPr>
      <w:r>
        <w:rPr>
          <w:rFonts w:hint="eastAsia" w:ascii="黑体" w:hAnsi="黑体" w:eastAsia="黑体"/>
          <w:bCs/>
          <w:kern w:val="28"/>
          <w:sz w:val="30"/>
          <w:szCs w:val="30"/>
        </w:rPr>
        <w:t>估价人员：</w:t>
      </w:r>
      <w:r>
        <w:rPr>
          <w:rFonts w:hint="eastAsia" w:ascii="仿宋_GB2312" w:hAnsi="黑体" w:eastAsia="仿宋_GB2312"/>
          <w:kern w:val="28"/>
          <w:sz w:val="30"/>
          <w:szCs w:val="30"/>
        </w:rPr>
        <w:t>刘怡     陶伟</w:t>
      </w:r>
    </w:p>
    <w:p>
      <w:pPr>
        <w:spacing w:line="480" w:lineRule="auto"/>
        <w:ind w:firstLine="300" w:firstLineChars="100"/>
        <w:jc w:val="left"/>
        <w:rPr>
          <w:rFonts w:ascii="楷体_GB2312" w:hAnsi="楷体_GB2312" w:eastAsia="仿宋_GB2312" w:cs="楷体_GB2312"/>
          <w:spacing w:val="-26"/>
          <w:kern w:val="28"/>
          <w:sz w:val="30"/>
          <w:szCs w:val="30"/>
        </w:rPr>
      </w:pPr>
      <w:r>
        <w:rPr>
          <w:rFonts w:hint="eastAsia" w:ascii="黑体" w:hAnsi="黑体" w:eastAsia="黑体"/>
          <w:bCs/>
          <w:kern w:val="28"/>
          <w:sz w:val="30"/>
          <w:szCs w:val="30"/>
        </w:rPr>
        <w:t>估价作业日期：</w:t>
      </w:r>
      <w:r>
        <w:rPr>
          <w:rFonts w:hint="eastAsia" w:ascii="仿宋_GB2312" w:hAnsi="黑体" w:eastAsia="仿宋_GB2312"/>
          <w:spacing w:val="-26"/>
          <w:kern w:val="28"/>
          <w:sz w:val="30"/>
          <w:szCs w:val="30"/>
          <w:lang w:eastAsia="zh-CN"/>
        </w:rPr>
        <w:t>二〇一九年五月二十七日</w:t>
      </w:r>
      <w:r>
        <w:rPr>
          <w:rFonts w:hint="eastAsia" w:ascii="仿宋_GB2312" w:hAnsi="楷体_GB2312" w:eastAsia="仿宋_GB2312" w:cs="楷体_GB2312"/>
          <w:spacing w:val="-26"/>
          <w:kern w:val="28"/>
          <w:sz w:val="30"/>
          <w:szCs w:val="30"/>
        </w:rPr>
        <w:t>至</w:t>
      </w:r>
      <w:r>
        <w:rPr>
          <w:rFonts w:hint="eastAsia" w:ascii="仿宋_GB2312" w:hAnsi="楷体_GB2312" w:eastAsia="仿宋_GB2312" w:cs="楷体_GB2312"/>
          <w:spacing w:val="-26"/>
          <w:kern w:val="28"/>
          <w:sz w:val="30"/>
          <w:szCs w:val="30"/>
          <w:lang w:eastAsia="zh-CN"/>
        </w:rPr>
        <w:t>二〇一九年六月二十六日</w:t>
      </w:r>
    </w:p>
    <w:p>
      <w:pPr>
        <w:spacing w:line="480" w:lineRule="auto"/>
        <w:ind w:firstLine="300" w:firstLineChars="100"/>
        <w:jc w:val="left"/>
        <w:rPr>
          <w:rFonts w:ascii="楷体_GB2312" w:hAnsi="黑体" w:eastAsia="仿宋_GB2312"/>
          <w:bCs/>
          <w:kern w:val="28"/>
          <w:sz w:val="30"/>
          <w:szCs w:val="30"/>
        </w:rPr>
      </w:pPr>
      <w:r>
        <w:rPr>
          <w:rFonts w:hint="eastAsia" w:ascii="黑体" w:hAnsi="黑体" w:eastAsia="黑体"/>
          <w:bCs/>
          <w:kern w:val="28"/>
          <w:sz w:val="30"/>
          <w:szCs w:val="30"/>
        </w:rPr>
        <w:t>报告提交日期：</w:t>
      </w:r>
      <w:r>
        <w:rPr>
          <w:rFonts w:hint="eastAsia" w:ascii="仿宋_GB2312" w:hAnsi="楷体_GB2312" w:eastAsia="仿宋_GB2312" w:cs="楷体_GB2312"/>
          <w:spacing w:val="-26"/>
          <w:kern w:val="28"/>
          <w:sz w:val="30"/>
          <w:szCs w:val="30"/>
          <w:lang w:eastAsia="zh-CN"/>
        </w:rPr>
        <w:t>二〇一九年六月二十六日</w:t>
      </w:r>
    </w:p>
    <w:p>
      <w:pPr>
        <w:spacing w:line="480" w:lineRule="auto"/>
        <w:ind w:firstLine="300" w:firstLineChars="100"/>
        <w:jc w:val="left"/>
        <w:rPr>
          <w:rFonts w:ascii="楷体_GB2312" w:hAnsi="黑体" w:eastAsia="仿宋_GB2312"/>
          <w:kern w:val="28"/>
          <w:sz w:val="30"/>
          <w:szCs w:val="30"/>
        </w:rPr>
      </w:pPr>
      <w:r>
        <w:rPr>
          <w:rFonts w:hint="eastAsia" w:ascii="黑体" w:hAnsi="黑体" w:eastAsia="黑体"/>
          <w:bCs/>
          <w:kern w:val="28"/>
          <w:sz w:val="30"/>
          <w:szCs w:val="30"/>
        </w:rPr>
        <w:t>估价报告编号：</w:t>
      </w:r>
      <w:r>
        <w:rPr>
          <w:rFonts w:hint="eastAsia" w:ascii="仿宋_GB2312" w:hAnsi="黑体" w:eastAsia="仿宋_GB2312"/>
          <w:kern w:val="28"/>
          <w:sz w:val="30"/>
          <w:szCs w:val="30"/>
          <w:lang w:eastAsia="zh-CN"/>
        </w:rPr>
        <w:t>深国咨汕评字[2019]S06第0008号</w:t>
      </w:r>
    </w:p>
    <w:p>
      <w:pPr>
        <w:spacing w:line="460" w:lineRule="exact"/>
        <w:ind w:firstLine="640" w:firstLineChars="200"/>
        <w:jc w:val="left"/>
        <w:rPr>
          <w:rFonts w:ascii="楷体_GB2312" w:hAnsi="黑体" w:eastAsia="楷体_GB2312"/>
          <w:bCs/>
          <w:kern w:val="28"/>
          <w:sz w:val="32"/>
          <w:szCs w:val="32"/>
        </w:rPr>
      </w:pPr>
    </w:p>
    <w:p>
      <w:pPr>
        <w:spacing w:line="460" w:lineRule="exact"/>
        <w:ind w:firstLine="640" w:firstLineChars="200"/>
        <w:jc w:val="left"/>
        <w:rPr>
          <w:rFonts w:ascii="楷体_GB2312" w:hAnsi="黑体" w:eastAsia="楷体_GB2312"/>
          <w:bCs/>
          <w:kern w:val="28"/>
          <w:sz w:val="32"/>
          <w:szCs w:val="32"/>
        </w:rPr>
      </w:pPr>
    </w:p>
    <w:p>
      <w:pPr>
        <w:spacing w:line="460" w:lineRule="exact"/>
        <w:jc w:val="left"/>
        <w:rPr>
          <w:rFonts w:ascii="楷体_GB2312" w:hAnsi="黑体" w:eastAsia="楷体_GB2312"/>
          <w:bCs/>
          <w:kern w:val="28"/>
          <w:sz w:val="32"/>
          <w:szCs w:val="32"/>
        </w:rPr>
      </w:pPr>
    </w:p>
    <w:p>
      <w:pPr>
        <w:rPr>
          <w:rFonts w:ascii="楷体_GB2312" w:eastAsia="楷体_GB2312"/>
          <w:snapToGrid w:val="0"/>
          <w:kern w:val="0"/>
          <w:sz w:val="36"/>
          <w:szCs w:val="36"/>
        </w:rPr>
      </w:pPr>
    </w:p>
    <w:p>
      <w:pPr>
        <w:pStyle w:val="23"/>
        <w:adjustRightInd w:val="0"/>
        <w:snapToGrid w:val="0"/>
        <w:spacing w:beforeLines="100" w:afterLines="100" w:line="600" w:lineRule="exact"/>
        <w:jc w:val="center"/>
        <w:rPr>
          <w:rFonts w:ascii="Times New Roman" w:hAnsi="Times New Roman" w:eastAsia="黑体"/>
          <w:b/>
          <w:sz w:val="44"/>
          <w:szCs w:val="44"/>
        </w:rPr>
      </w:pPr>
    </w:p>
    <w:p>
      <w:pPr>
        <w:pStyle w:val="23"/>
        <w:adjustRightInd w:val="0"/>
        <w:snapToGrid w:val="0"/>
        <w:spacing w:beforeLines="100" w:afterLines="100" w:line="600" w:lineRule="exact"/>
        <w:jc w:val="center"/>
        <w:rPr>
          <w:rFonts w:ascii="Times New Roman" w:hAnsi="Times New Roman" w:eastAsia="黑体"/>
          <w:b/>
          <w:sz w:val="44"/>
          <w:szCs w:val="44"/>
        </w:rPr>
      </w:pPr>
    </w:p>
    <w:p>
      <w:pPr>
        <w:pStyle w:val="23"/>
        <w:keepNext w:val="0"/>
        <w:keepLines w:val="0"/>
        <w:pageBreakBefore w:val="0"/>
        <w:widowControl w:val="0"/>
        <w:kinsoku/>
        <w:wordWrap/>
        <w:overflowPunct/>
        <w:topLinePunct w:val="0"/>
        <w:autoSpaceDE/>
        <w:autoSpaceDN/>
        <w:bidi w:val="0"/>
        <w:adjustRightInd w:val="0"/>
        <w:snapToGrid w:val="0"/>
        <w:spacing w:before="481" w:beforeLines="100" w:after="481" w:afterLines="100" w:line="240" w:lineRule="atLeast"/>
        <w:ind w:left="0" w:leftChars="0" w:right="0" w:rightChars="0" w:firstLine="0" w:firstLineChars="0"/>
        <w:jc w:val="center"/>
        <w:textAlignment w:val="auto"/>
        <w:outlineLvl w:val="9"/>
        <w:rPr>
          <w:rFonts w:ascii="Times New Roman" w:hAnsi="Times New Roman" w:eastAsia="黑体"/>
          <w:b/>
          <w:sz w:val="44"/>
          <w:szCs w:val="44"/>
        </w:rPr>
      </w:pPr>
      <w:r>
        <w:rPr>
          <w:rFonts w:hint="eastAsia" w:ascii="Times New Roman" w:hAnsi="Times New Roman" w:eastAsia="黑体"/>
          <w:b/>
          <w:sz w:val="44"/>
          <w:szCs w:val="44"/>
        </w:rPr>
        <w:t>房地产估价</w:t>
      </w:r>
      <w:r>
        <w:rPr>
          <w:rFonts w:ascii="Times New Roman" w:hAnsi="Times New Roman" w:eastAsia="黑体"/>
          <w:b/>
          <w:sz w:val="44"/>
          <w:szCs w:val="44"/>
        </w:rPr>
        <w:t>报告摘要</w:t>
      </w:r>
    </w:p>
    <w:p>
      <w:pPr>
        <w:pStyle w:val="23"/>
        <w:keepNext w:val="0"/>
        <w:keepLines w:val="0"/>
        <w:pageBreakBefore w:val="0"/>
        <w:widowControl w:val="0"/>
        <w:kinsoku/>
        <w:wordWrap/>
        <w:overflowPunct/>
        <w:topLinePunct w:val="0"/>
        <w:autoSpaceDE/>
        <w:autoSpaceDN/>
        <w:bidi w:val="0"/>
        <w:adjustRightInd w:val="0"/>
        <w:snapToGrid w:val="0"/>
        <w:spacing w:before="481" w:beforeLines="100" w:after="481" w:afterLines="100" w:line="240" w:lineRule="atLeast"/>
        <w:ind w:left="0" w:leftChars="0" w:right="0" w:rightChars="0" w:firstLine="0" w:firstLineChars="0"/>
        <w:jc w:val="center"/>
        <w:textAlignment w:val="auto"/>
        <w:outlineLvl w:val="9"/>
        <w:rPr>
          <w:rFonts w:ascii="Times New Roman" w:hAnsi="Times New Roman" w:eastAsia="黑体"/>
          <w:b/>
          <w:sz w:val="44"/>
          <w:szCs w:val="44"/>
        </w:rPr>
      </w:pPr>
      <w:r>
        <w:rPr>
          <w:rFonts w:hint="eastAsia" w:eastAsia="仿宋_GB2312"/>
          <w:sz w:val="24"/>
          <w:lang w:eastAsia="zh-CN"/>
        </w:rPr>
        <w:t>深国咨汕评字[2019]S06第0008号</w:t>
      </w:r>
    </w:p>
    <w:tbl>
      <w:tblPr>
        <w:tblStyle w:val="45"/>
        <w:tblpPr w:leftFromText="180" w:rightFromText="180" w:vertAnchor="text" w:horzAnchor="page" w:tblpX="1800" w:tblpY="717"/>
        <w:tblW w:w="9016" w:type="dxa"/>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5158"/>
        <w:gridCol w:w="3858"/>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Ex>
        <w:trPr>
          <w:trHeight w:val="3741" w:hRule="atLeast"/>
        </w:trPr>
        <w:tc>
          <w:tcPr>
            <w:tcW w:w="5158" w:type="dxa"/>
          </w:tcPr>
          <w:p>
            <w:pPr>
              <w:rPr>
                <w:rFonts w:hint="eastAsia" w:eastAsia="宋体"/>
                <w:lang w:eastAsia="zh-CN"/>
              </w:rPr>
            </w:pPr>
            <w:r>
              <w:rPr>
                <w:rFonts w:hint="eastAsia" w:eastAsia="宋体"/>
                <w:lang w:eastAsia="zh-CN"/>
              </w:rPr>
              <w:drawing>
                <wp:anchor distT="0" distB="0" distL="114300" distR="114300" simplePos="0" relativeHeight="251663360" behindDoc="1" locked="0" layoutInCell="1" allowOverlap="1">
                  <wp:simplePos x="0" y="0"/>
                  <wp:positionH relativeFrom="column">
                    <wp:posOffset>19050</wp:posOffset>
                  </wp:positionH>
                  <wp:positionV relativeFrom="paragraph">
                    <wp:posOffset>29210</wp:posOffset>
                  </wp:positionV>
                  <wp:extent cx="3136900" cy="2273935"/>
                  <wp:effectExtent l="0" t="0" r="6350" b="12065"/>
                  <wp:wrapNone/>
                  <wp:docPr id="1" name="图片 1" descr="47137335890093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71373358900934274"/>
                          <pic:cNvPicPr>
                            <a:picLocks noChangeAspect="1"/>
                          </pic:cNvPicPr>
                        </pic:nvPicPr>
                        <pic:blipFill>
                          <a:blip r:embed="rId6"/>
                          <a:stretch>
                            <a:fillRect/>
                          </a:stretch>
                        </pic:blipFill>
                        <pic:spPr>
                          <a:xfrm>
                            <a:off x="0" y="0"/>
                            <a:ext cx="3136900" cy="2273935"/>
                          </a:xfrm>
                          <a:prstGeom prst="rect">
                            <a:avLst/>
                          </a:prstGeom>
                        </pic:spPr>
                      </pic:pic>
                    </a:graphicData>
                  </a:graphic>
                </wp:anchor>
              </w:drawing>
            </w:r>
          </w:p>
        </w:tc>
        <w:tc>
          <w:tcPr>
            <w:tcW w:w="3858" w:type="dxa"/>
          </w:tcPr>
          <w:p>
            <w:pPr>
              <w:spacing w:line="360" w:lineRule="auto"/>
              <w:jc w:val="center"/>
              <w:rPr>
                <w:rFonts w:eastAsia="黑体"/>
                <w:sz w:val="28"/>
                <w:szCs w:val="28"/>
              </w:rPr>
            </w:pPr>
          </w:p>
          <w:p>
            <w:pPr>
              <w:spacing w:line="360" w:lineRule="auto"/>
              <w:jc w:val="center"/>
              <w:rPr>
                <w:rFonts w:eastAsia="黑体"/>
                <w:sz w:val="28"/>
                <w:szCs w:val="28"/>
              </w:rPr>
            </w:pPr>
            <w:r>
              <w:rPr>
                <w:rFonts w:hint="eastAsia" w:eastAsia="黑体"/>
                <w:sz w:val="28"/>
                <w:szCs w:val="28"/>
              </w:rPr>
              <w:t>价值</w:t>
            </w:r>
            <w:r>
              <w:rPr>
                <w:rFonts w:eastAsia="黑体"/>
                <w:sz w:val="28"/>
                <w:szCs w:val="28"/>
              </w:rPr>
              <w:t>结果要点摘录</w:t>
            </w:r>
          </w:p>
          <w:p>
            <w:pPr>
              <w:tabs>
                <w:tab w:val="left" w:pos="534"/>
              </w:tabs>
              <w:spacing w:line="360" w:lineRule="auto"/>
              <w:ind w:left="288"/>
              <w:rPr>
                <w:rFonts w:eastAsia="仿宋_GB2312"/>
                <w:sz w:val="24"/>
              </w:rPr>
            </w:pPr>
            <w:r>
              <w:rPr>
                <w:rFonts w:eastAsia="仿宋_GB2312"/>
                <w:sz w:val="24"/>
              </w:rPr>
              <w:t>价值时点：</w:t>
            </w:r>
            <w:r>
              <w:rPr>
                <w:rFonts w:hint="eastAsia" w:eastAsia="仿宋_GB2312"/>
                <w:sz w:val="24"/>
                <w:lang w:eastAsia="zh-CN"/>
              </w:rPr>
              <w:t>2019年05月27日</w:t>
            </w:r>
          </w:p>
          <w:p>
            <w:pPr>
              <w:tabs>
                <w:tab w:val="left" w:pos="534"/>
              </w:tabs>
              <w:spacing w:line="360" w:lineRule="auto"/>
              <w:ind w:left="320"/>
              <w:rPr>
                <w:rFonts w:eastAsia="仿宋_GB2312"/>
                <w:sz w:val="24"/>
              </w:rPr>
            </w:pPr>
            <w:r>
              <w:rPr>
                <w:rFonts w:hint="eastAsia" w:eastAsia="仿宋_GB2312"/>
                <w:sz w:val="24"/>
              </w:rPr>
              <w:t>总</w:t>
            </w:r>
            <w:r>
              <w:rPr>
                <w:rFonts w:eastAsia="仿宋_GB2312"/>
                <w:sz w:val="24"/>
              </w:rPr>
              <w:t>建筑面积：</w:t>
            </w:r>
            <w:r>
              <w:rPr>
                <w:rFonts w:hint="eastAsia" w:eastAsia="仿宋_GB2312"/>
                <w:kern w:val="0"/>
                <w:sz w:val="24"/>
                <w:lang w:eastAsia="zh-CN"/>
              </w:rPr>
              <w:t>1577.48</w:t>
            </w:r>
            <w:r>
              <w:rPr>
                <w:rFonts w:eastAsia="仿宋_GB2312"/>
                <w:sz w:val="24"/>
              </w:rPr>
              <w:t>m</w:t>
            </w:r>
            <w:r>
              <w:rPr>
                <w:rFonts w:eastAsia="仿宋_GB2312"/>
                <w:sz w:val="24"/>
                <w:vertAlign w:val="superscript"/>
              </w:rPr>
              <w:t>2</w:t>
            </w:r>
          </w:p>
          <w:p>
            <w:pPr>
              <w:tabs>
                <w:tab w:val="left" w:pos="534"/>
              </w:tabs>
              <w:spacing w:line="360" w:lineRule="auto"/>
              <w:ind w:left="288"/>
              <w:rPr>
                <w:rFonts w:eastAsia="仿宋_GB2312"/>
                <w:sz w:val="24"/>
              </w:rPr>
            </w:pPr>
            <w:r>
              <w:rPr>
                <w:rFonts w:eastAsia="仿宋_GB2312"/>
                <w:sz w:val="24"/>
              </w:rPr>
              <w:t>土地性质：</w:t>
            </w:r>
            <w:r>
              <w:rPr>
                <w:rFonts w:hint="eastAsia" w:eastAsia="仿宋_GB2312"/>
                <w:sz w:val="24"/>
              </w:rPr>
              <w:t>集体</w:t>
            </w:r>
          </w:p>
          <w:p>
            <w:pPr>
              <w:tabs>
                <w:tab w:val="left" w:pos="534"/>
              </w:tabs>
              <w:spacing w:line="360" w:lineRule="auto"/>
              <w:ind w:left="288"/>
              <w:rPr>
                <w:rFonts w:eastAsia="仿宋_GB2312"/>
                <w:sz w:val="24"/>
              </w:rPr>
            </w:pPr>
            <w:r>
              <w:rPr>
                <w:rFonts w:hint="eastAsia" w:eastAsia="仿宋_GB2312"/>
                <w:sz w:val="24"/>
                <w:lang w:eastAsia="zh-CN"/>
              </w:rPr>
              <w:t>房屋</w:t>
            </w:r>
            <w:r>
              <w:rPr>
                <w:rFonts w:eastAsia="仿宋_GB2312"/>
                <w:sz w:val="24"/>
              </w:rPr>
              <w:t>用途：</w:t>
            </w:r>
            <w:r>
              <w:rPr>
                <w:rFonts w:hint="eastAsia" w:eastAsia="仿宋_GB2312"/>
                <w:sz w:val="24"/>
                <w:lang w:eastAsia="zh-CN"/>
              </w:rPr>
              <w:t>住宅</w:t>
            </w:r>
          </w:p>
          <w:p>
            <w:pPr>
              <w:tabs>
                <w:tab w:val="left" w:pos="534"/>
              </w:tabs>
              <w:spacing w:line="360" w:lineRule="auto"/>
              <w:ind w:left="288"/>
              <w:rPr>
                <w:rFonts w:eastAsia="仿宋_GB2312"/>
                <w:sz w:val="24"/>
              </w:rPr>
            </w:pPr>
            <w:r>
              <w:rPr>
                <w:rFonts w:eastAsia="仿宋_GB2312"/>
                <w:sz w:val="24"/>
              </w:rPr>
              <w:t>市场价值：</w:t>
            </w:r>
            <w:r>
              <w:rPr>
                <w:rFonts w:hint="eastAsia" w:eastAsia="仿宋_GB2312"/>
                <w:sz w:val="24"/>
                <w:lang w:eastAsia="zh-CN"/>
              </w:rPr>
              <w:t>7,035,600</w:t>
            </w:r>
            <w:r>
              <w:rPr>
                <w:rFonts w:eastAsia="仿宋_GB2312"/>
                <w:sz w:val="24"/>
              </w:rPr>
              <w:t>元</w:t>
            </w:r>
          </w:p>
        </w:tc>
      </w:tr>
    </w:tbl>
    <w:p>
      <w:pPr>
        <w:pStyle w:val="23"/>
        <w:adjustRightInd w:val="0"/>
        <w:snapToGrid w:val="0"/>
        <w:spacing w:beforeLines="100" w:afterLines="100" w:line="600" w:lineRule="exact"/>
        <w:jc w:val="center"/>
        <w:rPr>
          <w:rFonts w:hint="eastAsia" w:eastAsia="仿宋_GB2312"/>
          <w:sz w:val="24"/>
          <w:lang w:eastAsia="zh-CN"/>
        </w:rPr>
      </w:pPr>
      <w:r>
        <w:drawing>
          <wp:anchor distT="0" distB="0" distL="114300" distR="114300" simplePos="0" relativeHeight="251662336" behindDoc="1" locked="0" layoutInCell="1" allowOverlap="1">
            <wp:simplePos x="0" y="0"/>
            <wp:positionH relativeFrom="column">
              <wp:posOffset>366395</wp:posOffset>
            </wp:positionH>
            <wp:positionV relativeFrom="paragraph">
              <wp:posOffset>3354705</wp:posOffset>
            </wp:positionV>
            <wp:extent cx="4857115" cy="3532505"/>
            <wp:effectExtent l="0" t="0" r="635" b="1079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4857115" cy="3532505"/>
                    </a:xfrm>
                    <a:prstGeom prst="rect">
                      <a:avLst/>
                    </a:prstGeom>
                    <a:noFill/>
                    <a:ln w="9525">
                      <a:noFill/>
                      <a:miter/>
                    </a:ln>
                  </pic:spPr>
                </pic:pic>
              </a:graphicData>
            </a:graphic>
          </wp:anchor>
        </w:drawing>
      </w:r>
    </w:p>
    <w:p>
      <w:pPr>
        <w:tabs>
          <w:tab w:val="left" w:pos="534"/>
        </w:tabs>
        <w:spacing w:line="360" w:lineRule="auto"/>
        <w:jc w:val="both"/>
        <w:rPr>
          <w:rFonts w:eastAsia="仿宋_GB2312"/>
          <w:sz w:val="24"/>
        </w:rPr>
      </w:pPr>
    </w:p>
    <w:p>
      <w:pPr>
        <w:pStyle w:val="23"/>
        <w:adjustRightInd w:val="0"/>
        <w:snapToGrid w:val="0"/>
        <w:spacing w:beforeLines="100" w:afterLines="100" w:line="360" w:lineRule="auto"/>
        <w:ind w:right="-74"/>
        <w:jc w:val="center"/>
        <w:rPr>
          <w:rFonts w:hint="eastAsia" w:eastAsia="黑体"/>
          <w:szCs w:val="28"/>
        </w:rPr>
      </w:pPr>
    </w:p>
    <w:p>
      <w:pPr>
        <w:pStyle w:val="18"/>
        <w:adjustRightInd w:val="0"/>
        <w:spacing w:line="600" w:lineRule="exact"/>
        <w:ind w:firstLine="601"/>
        <w:jc w:val="center"/>
        <w:rPr>
          <w:rFonts w:hint="eastAsia" w:eastAsia="黑体"/>
          <w:szCs w:val="28"/>
        </w:rPr>
      </w:pPr>
    </w:p>
    <w:p>
      <w:pPr>
        <w:pStyle w:val="18"/>
        <w:adjustRightInd w:val="0"/>
        <w:spacing w:line="600" w:lineRule="exact"/>
        <w:ind w:firstLine="601"/>
        <w:jc w:val="center"/>
        <w:rPr>
          <w:rFonts w:hint="eastAsia" w:eastAsia="黑体"/>
          <w:szCs w:val="28"/>
        </w:rPr>
      </w:pPr>
    </w:p>
    <w:p>
      <w:pPr>
        <w:pStyle w:val="18"/>
        <w:adjustRightInd w:val="0"/>
        <w:spacing w:line="600" w:lineRule="exact"/>
        <w:ind w:firstLine="601"/>
        <w:jc w:val="center"/>
        <w:rPr>
          <w:rFonts w:hint="eastAsia" w:eastAsia="黑体"/>
          <w:szCs w:val="28"/>
        </w:rPr>
      </w:pPr>
    </w:p>
    <w:p>
      <w:pPr>
        <w:pStyle w:val="18"/>
        <w:adjustRightInd w:val="0"/>
        <w:spacing w:line="600" w:lineRule="exact"/>
        <w:ind w:firstLine="601"/>
        <w:jc w:val="center"/>
        <w:rPr>
          <w:rFonts w:hint="eastAsia" w:eastAsia="黑体"/>
          <w:szCs w:val="28"/>
        </w:rPr>
      </w:pPr>
    </w:p>
    <w:p>
      <w:pPr>
        <w:pStyle w:val="18"/>
        <w:adjustRightInd w:val="0"/>
        <w:spacing w:line="600" w:lineRule="exact"/>
        <w:ind w:firstLine="601"/>
        <w:jc w:val="center"/>
        <w:rPr>
          <w:rFonts w:hint="eastAsia" w:eastAsia="黑体"/>
          <w:szCs w:val="28"/>
        </w:rPr>
      </w:pPr>
    </w:p>
    <w:p>
      <w:pPr>
        <w:pStyle w:val="18"/>
        <w:adjustRightInd w:val="0"/>
        <w:spacing w:line="600" w:lineRule="exact"/>
        <w:ind w:firstLine="601"/>
        <w:jc w:val="center"/>
        <w:rPr>
          <w:rFonts w:eastAsia="黑体"/>
          <w:szCs w:val="28"/>
        </w:rPr>
      </w:pPr>
      <w:r>
        <w:rPr>
          <w:rFonts w:hint="eastAsia" w:eastAsia="黑体"/>
          <w:szCs w:val="28"/>
        </w:rPr>
        <w:t>深圳市国咨土地房地产资产评估有限公司</w:t>
      </w:r>
    </w:p>
    <w:p>
      <w:pPr>
        <w:ind w:firstLine="600"/>
        <w:jc w:val="center"/>
        <w:rPr>
          <w:rFonts w:hint="eastAsia" w:eastAsia="黑体"/>
          <w:sz w:val="28"/>
          <w:szCs w:val="28"/>
          <w:lang w:eastAsia="zh-CN"/>
        </w:rPr>
      </w:pPr>
      <w:r>
        <w:rPr>
          <w:rFonts w:hint="eastAsia" w:eastAsia="黑体"/>
          <w:sz w:val="28"/>
          <w:szCs w:val="28"/>
          <w:lang w:eastAsia="zh-CN"/>
        </w:rPr>
        <w:t>二〇一九年六月二十六日</w:t>
      </w:r>
    </w:p>
    <w:p>
      <w:pPr>
        <w:jc w:val="both"/>
        <w:rPr>
          <w:rFonts w:hint="eastAsia" w:ascii="黑体" w:hAnsi="宋体" w:eastAsia="黑体"/>
          <w:b/>
          <w:snapToGrid w:val="0"/>
          <w:kern w:val="0"/>
          <w:sz w:val="32"/>
          <w:szCs w:val="32"/>
        </w:rPr>
      </w:pPr>
    </w:p>
    <w:p>
      <w:pPr>
        <w:jc w:val="both"/>
        <w:rPr>
          <w:rFonts w:hint="eastAsia" w:ascii="黑体" w:hAnsi="宋体" w:eastAsia="黑体"/>
          <w:b/>
          <w:snapToGrid w:val="0"/>
          <w:kern w:val="0"/>
          <w:sz w:val="32"/>
          <w:szCs w:val="32"/>
        </w:rPr>
      </w:pPr>
    </w:p>
    <w:p>
      <w:pPr>
        <w:jc w:val="center"/>
        <w:rPr>
          <w:rFonts w:ascii="楷体_GB2312" w:eastAsia="楷体_GB2312"/>
          <w:snapToGrid w:val="0"/>
          <w:kern w:val="0"/>
          <w:sz w:val="36"/>
          <w:szCs w:val="36"/>
        </w:rPr>
      </w:pPr>
      <w:r>
        <w:rPr>
          <w:rFonts w:hint="eastAsia" w:ascii="黑体" w:hAnsi="宋体" w:eastAsia="黑体"/>
          <w:b/>
          <w:snapToGrid w:val="0"/>
          <w:kern w:val="0"/>
          <w:sz w:val="32"/>
          <w:szCs w:val="32"/>
        </w:rPr>
        <w:t>报 告 目 录</w:t>
      </w:r>
    </w:p>
    <w:p>
      <w:pPr>
        <w:pStyle w:val="30"/>
        <w:tabs>
          <w:tab w:val="right" w:leader="dot" w:pos="8458"/>
          <w:tab w:val="clear" w:pos="8448"/>
        </w:tabs>
      </w:pPr>
      <w:r>
        <w:rPr>
          <w:rFonts w:hint="eastAsia" w:ascii="楷体_GB2312" w:hAnsi="宋体" w:eastAsia="楷体_GB2312"/>
          <w:snapToGrid w:val="0"/>
          <w:kern w:val="0"/>
          <w:sz w:val="28"/>
          <w:szCs w:val="28"/>
        </w:rPr>
        <w:fldChar w:fldCharType="begin"/>
      </w:r>
      <w:r>
        <w:rPr>
          <w:rFonts w:hint="eastAsia" w:ascii="楷体_GB2312" w:hAnsi="宋体" w:eastAsia="楷体_GB2312"/>
          <w:snapToGrid w:val="0"/>
          <w:kern w:val="0"/>
          <w:sz w:val="28"/>
          <w:szCs w:val="28"/>
        </w:rPr>
        <w:instrText xml:space="preserve"> TOC \o "1-3" \h \z </w:instrText>
      </w:r>
      <w:r>
        <w:rPr>
          <w:rFonts w:hint="eastAsia" w:ascii="楷体_GB2312" w:hAnsi="宋体" w:eastAsia="楷体_GB2312"/>
          <w:snapToGrid w:val="0"/>
          <w:kern w:val="0"/>
          <w:sz w:val="28"/>
          <w:szCs w:val="28"/>
        </w:rPr>
        <w:fldChar w:fldCharType="separate"/>
      </w: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_Toc23360 </w:instrText>
      </w:r>
      <w:r>
        <w:rPr>
          <w:rFonts w:hint="eastAsia" w:ascii="楷体_GB2312" w:hAnsi="宋体" w:eastAsia="楷体_GB2312"/>
          <w:snapToGrid w:val="0"/>
          <w:kern w:val="0"/>
          <w:szCs w:val="28"/>
        </w:rPr>
        <w:fldChar w:fldCharType="separate"/>
      </w:r>
      <w:r>
        <w:rPr>
          <w:rFonts w:hint="eastAsia" w:ascii="黑体" w:eastAsia="黑体"/>
          <w:snapToGrid w:val="0"/>
          <w:kern w:val="0"/>
          <w:szCs w:val="44"/>
        </w:rPr>
        <w:t>致委托方函</w:t>
      </w:r>
      <w:r>
        <w:tab/>
      </w:r>
      <w:r>
        <w:fldChar w:fldCharType="begin"/>
      </w:r>
      <w:r>
        <w:instrText xml:space="preserve"> PAGEREF _Toc23360 </w:instrText>
      </w:r>
      <w:r>
        <w:fldChar w:fldCharType="separate"/>
      </w:r>
      <w:r>
        <w:t>1</w:t>
      </w:r>
      <w:r>
        <w:fldChar w:fldCharType="end"/>
      </w:r>
      <w:r>
        <w:rPr>
          <w:rFonts w:hint="eastAsia" w:ascii="楷体_GB2312" w:hAnsi="宋体" w:eastAsia="楷体_GB2312"/>
          <w:snapToGrid w:val="0"/>
          <w:kern w:val="0"/>
          <w:szCs w:val="28"/>
        </w:rPr>
        <w:fldChar w:fldCharType="end"/>
      </w:r>
    </w:p>
    <w:p>
      <w:pPr>
        <w:pStyle w:val="30"/>
        <w:tabs>
          <w:tab w:val="right" w:leader="dot" w:pos="8458"/>
          <w:tab w:val="clear" w:pos="844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_Toc9659 </w:instrText>
      </w:r>
      <w:r>
        <w:rPr>
          <w:rFonts w:hint="eastAsia" w:ascii="楷体_GB2312" w:hAnsi="宋体" w:eastAsia="楷体_GB2312"/>
          <w:snapToGrid w:val="0"/>
          <w:kern w:val="0"/>
          <w:szCs w:val="28"/>
        </w:rPr>
        <w:fldChar w:fldCharType="separate"/>
      </w:r>
      <w:r>
        <w:rPr>
          <w:rFonts w:hint="eastAsia" w:ascii="黑体" w:eastAsia="黑体"/>
          <w:snapToGrid w:val="0"/>
          <w:kern w:val="0"/>
          <w:szCs w:val="44"/>
        </w:rPr>
        <w:t>注册房地产估价师声明</w:t>
      </w:r>
      <w:r>
        <w:tab/>
      </w:r>
      <w:r>
        <w:fldChar w:fldCharType="begin"/>
      </w:r>
      <w:r>
        <w:instrText xml:space="preserve"> PAGEREF _Toc9659 </w:instrText>
      </w:r>
      <w:r>
        <w:fldChar w:fldCharType="separate"/>
      </w:r>
      <w:r>
        <w:t>1</w:t>
      </w:r>
      <w:r>
        <w:fldChar w:fldCharType="end"/>
      </w:r>
      <w:r>
        <w:rPr>
          <w:rFonts w:hint="eastAsia" w:ascii="楷体_GB2312" w:hAnsi="宋体" w:eastAsia="楷体_GB2312"/>
          <w:snapToGrid w:val="0"/>
          <w:kern w:val="0"/>
          <w:szCs w:val="28"/>
        </w:rPr>
        <w:fldChar w:fldCharType="end"/>
      </w:r>
    </w:p>
    <w:p>
      <w:pPr>
        <w:pStyle w:val="30"/>
        <w:tabs>
          <w:tab w:val="right" w:leader="dot" w:pos="8458"/>
          <w:tab w:val="clear" w:pos="844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_Toc4373 </w:instrText>
      </w:r>
      <w:r>
        <w:rPr>
          <w:rFonts w:hint="eastAsia" w:ascii="楷体_GB2312" w:hAnsi="宋体" w:eastAsia="楷体_GB2312"/>
          <w:snapToGrid w:val="0"/>
          <w:kern w:val="0"/>
          <w:szCs w:val="28"/>
        </w:rPr>
        <w:fldChar w:fldCharType="separate"/>
      </w:r>
      <w:r>
        <w:rPr>
          <w:rFonts w:hint="eastAsia" w:ascii="黑体" w:eastAsia="黑体"/>
          <w:snapToGrid w:val="0"/>
          <w:kern w:val="0"/>
          <w:szCs w:val="44"/>
        </w:rPr>
        <w:t>估价假设和限制条件</w:t>
      </w:r>
      <w:r>
        <w:tab/>
      </w:r>
      <w:r>
        <w:fldChar w:fldCharType="begin"/>
      </w:r>
      <w:r>
        <w:instrText xml:space="preserve"> PAGEREF _Toc4373 </w:instrText>
      </w:r>
      <w:r>
        <w:fldChar w:fldCharType="separate"/>
      </w:r>
      <w:r>
        <w:t>4</w:t>
      </w:r>
      <w:r>
        <w:fldChar w:fldCharType="end"/>
      </w:r>
      <w:r>
        <w:rPr>
          <w:rFonts w:hint="eastAsia" w:ascii="楷体_GB2312" w:hAnsi="宋体" w:eastAsia="楷体_GB2312"/>
          <w:snapToGrid w:val="0"/>
          <w:kern w:val="0"/>
          <w:szCs w:val="28"/>
        </w:rPr>
        <w:fldChar w:fldCharType="end"/>
      </w:r>
    </w:p>
    <w:p>
      <w:pPr>
        <w:pStyle w:val="30"/>
        <w:tabs>
          <w:tab w:val="right" w:leader="dot" w:pos="8458"/>
          <w:tab w:val="clear" w:pos="844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_Toc29208 </w:instrText>
      </w:r>
      <w:r>
        <w:rPr>
          <w:rFonts w:hint="eastAsia" w:ascii="楷体_GB2312" w:hAnsi="宋体" w:eastAsia="楷体_GB2312"/>
          <w:snapToGrid w:val="0"/>
          <w:kern w:val="0"/>
          <w:szCs w:val="28"/>
        </w:rPr>
        <w:fldChar w:fldCharType="separate"/>
      </w:r>
      <w:r>
        <w:rPr>
          <w:rFonts w:hint="eastAsia" w:ascii="黑体" w:eastAsia="黑体"/>
          <w:snapToGrid w:val="0"/>
          <w:kern w:val="0"/>
          <w:szCs w:val="30"/>
        </w:rPr>
        <w:t>（一）估价假设</w:t>
      </w:r>
      <w:r>
        <w:tab/>
      </w:r>
      <w:r>
        <w:fldChar w:fldCharType="begin"/>
      </w:r>
      <w:r>
        <w:instrText xml:space="preserve"> PAGEREF _Toc29208 </w:instrText>
      </w:r>
      <w:r>
        <w:fldChar w:fldCharType="separate"/>
      </w:r>
      <w:r>
        <w:t>4</w:t>
      </w:r>
      <w:r>
        <w:fldChar w:fldCharType="end"/>
      </w:r>
      <w:r>
        <w:rPr>
          <w:rFonts w:hint="eastAsia" w:ascii="楷体_GB2312" w:hAnsi="宋体" w:eastAsia="楷体_GB2312"/>
          <w:snapToGrid w:val="0"/>
          <w:kern w:val="0"/>
          <w:szCs w:val="28"/>
        </w:rPr>
        <w:fldChar w:fldCharType="end"/>
      </w:r>
    </w:p>
    <w:p>
      <w:pPr>
        <w:pStyle w:val="30"/>
        <w:tabs>
          <w:tab w:val="right" w:leader="dot" w:pos="8458"/>
          <w:tab w:val="clear" w:pos="844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_Toc7051 </w:instrText>
      </w:r>
      <w:r>
        <w:rPr>
          <w:rFonts w:hint="eastAsia" w:ascii="楷体_GB2312" w:hAnsi="宋体" w:eastAsia="楷体_GB2312"/>
          <w:snapToGrid w:val="0"/>
          <w:kern w:val="0"/>
          <w:szCs w:val="28"/>
        </w:rPr>
        <w:fldChar w:fldCharType="separate"/>
      </w:r>
      <w:r>
        <w:rPr>
          <w:rFonts w:hint="eastAsia" w:ascii="仿宋_GB2312" w:eastAsia="仿宋_GB2312"/>
          <w:snapToGrid w:val="0"/>
          <w:kern w:val="0"/>
          <w:szCs w:val="28"/>
        </w:rPr>
        <w:t>一、一般假设</w:t>
      </w:r>
      <w:r>
        <w:tab/>
      </w:r>
      <w:r>
        <w:fldChar w:fldCharType="begin"/>
      </w:r>
      <w:r>
        <w:instrText xml:space="preserve"> PAGEREF _Toc7051 </w:instrText>
      </w:r>
      <w:r>
        <w:fldChar w:fldCharType="separate"/>
      </w:r>
      <w:r>
        <w:t>4</w:t>
      </w:r>
      <w:r>
        <w:fldChar w:fldCharType="end"/>
      </w:r>
      <w:r>
        <w:rPr>
          <w:rFonts w:hint="eastAsia" w:ascii="楷体_GB2312" w:hAnsi="宋体" w:eastAsia="楷体_GB2312"/>
          <w:snapToGrid w:val="0"/>
          <w:kern w:val="0"/>
          <w:szCs w:val="28"/>
        </w:rPr>
        <w:fldChar w:fldCharType="end"/>
      </w:r>
    </w:p>
    <w:p>
      <w:pPr>
        <w:pStyle w:val="30"/>
        <w:tabs>
          <w:tab w:val="right" w:leader="dot" w:pos="8458"/>
          <w:tab w:val="clear" w:pos="844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_Toc22704 </w:instrText>
      </w:r>
      <w:r>
        <w:rPr>
          <w:rFonts w:hint="eastAsia" w:ascii="楷体_GB2312" w:hAnsi="宋体" w:eastAsia="楷体_GB2312"/>
          <w:snapToGrid w:val="0"/>
          <w:kern w:val="0"/>
          <w:szCs w:val="28"/>
        </w:rPr>
        <w:fldChar w:fldCharType="separate"/>
      </w:r>
      <w:r>
        <w:rPr>
          <w:rFonts w:hint="eastAsia" w:ascii="仿宋_GB2312" w:eastAsia="仿宋_GB2312"/>
          <w:snapToGrid w:val="0"/>
          <w:kern w:val="0"/>
          <w:szCs w:val="28"/>
        </w:rPr>
        <w:t>二、未定事项假设</w:t>
      </w:r>
      <w:r>
        <w:tab/>
      </w:r>
      <w:r>
        <w:fldChar w:fldCharType="begin"/>
      </w:r>
      <w:r>
        <w:instrText xml:space="preserve"> PAGEREF _Toc22704 </w:instrText>
      </w:r>
      <w:r>
        <w:fldChar w:fldCharType="separate"/>
      </w:r>
      <w:r>
        <w:t>5</w:t>
      </w:r>
      <w:r>
        <w:fldChar w:fldCharType="end"/>
      </w:r>
      <w:r>
        <w:rPr>
          <w:rFonts w:hint="eastAsia" w:ascii="楷体_GB2312" w:hAnsi="宋体" w:eastAsia="楷体_GB2312"/>
          <w:snapToGrid w:val="0"/>
          <w:kern w:val="0"/>
          <w:szCs w:val="28"/>
        </w:rPr>
        <w:fldChar w:fldCharType="end"/>
      </w:r>
    </w:p>
    <w:p>
      <w:pPr>
        <w:pStyle w:val="30"/>
        <w:tabs>
          <w:tab w:val="right" w:leader="dot" w:pos="8458"/>
          <w:tab w:val="clear" w:pos="844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_Toc22516 </w:instrText>
      </w:r>
      <w:r>
        <w:rPr>
          <w:rFonts w:hint="eastAsia" w:ascii="楷体_GB2312" w:hAnsi="宋体" w:eastAsia="楷体_GB2312"/>
          <w:snapToGrid w:val="0"/>
          <w:kern w:val="0"/>
          <w:szCs w:val="28"/>
        </w:rPr>
        <w:fldChar w:fldCharType="separate"/>
      </w:r>
      <w:r>
        <w:rPr>
          <w:rFonts w:hint="eastAsia" w:ascii="仿宋_GB2312" w:eastAsia="仿宋_GB2312"/>
          <w:snapToGrid w:val="0"/>
          <w:kern w:val="0"/>
          <w:szCs w:val="28"/>
        </w:rPr>
        <w:t>三、背离事实假设</w:t>
      </w:r>
      <w:r>
        <w:tab/>
      </w:r>
      <w:r>
        <w:fldChar w:fldCharType="begin"/>
      </w:r>
      <w:r>
        <w:instrText xml:space="preserve"> PAGEREF _Toc22516 </w:instrText>
      </w:r>
      <w:r>
        <w:fldChar w:fldCharType="separate"/>
      </w:r>
      <w:r>
        <w:t>5</w:t>
      </w:r>
      <w:r>
        <w:fldChar w:fldCharType="end"/>
      </w:r>
      <w:r>
        <w:rPr>
          <w:rFonts w:hint="eastAsia" w:ascii="楷体_GB2312" w:hAnsi="宋体" w:eastAsia="楷体_GB2312"/>
          <w:snapToGrid w:val="0"/>
          <w:kern w:val="0"/>
          <w:szCs w:val="28"/>
        </w:rPr>
        <w:fldChar w:fldCharType="end"/>
      </w:r>
    </w:p>
    <w:p>
      <w:pPr>
        <w:pStyle w:val="30"/>
        <w:tabs>
          <w:tab w:val="right" w:leader="dot" w:pos="8458"/>
          <w:tab w:val="clear" w:pos="844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_Toc19583 </w:instrText>
      </w:r>
      <w:r>
        <w:rPr>
          <w:rFonts w:hint="eastAsia" w:ascii="楷体_GB2312" w:hAnsi="宋体" w:eastAsia="楷体_GB2312"/>
          <w:snapToGrid w:val="0"/>
          <w:kern w:val="0"/>
          <w:szCs w:val="28"/>
        </w:rPr>
        <w:fldChar w:fldCharType="separate"/>
      </w:r>
      <w:r>
        <w:rPr>
          <w:rFonts w:hint="eastAsia" w:ascii="仿宋_GB2312" w:eastAsia="仿宋_GB2312"/>
          <w:snapToGrid w:val="0"/>
          <w:kern w:val="0"/>
          <w:szCs w:val="28"/>
        </w:rPr>
        <w:t>四、不相一致假设</w:t>
      </w:r>
      <w:r>
        <w:tab/>
      </w:r>
      <w:r>
        <w:fldChar w:fldCharType="begin"/>
      </w:r>
      <w:r>
        <w:instrText xml:space="preserve"> PAGEREF _Toc19583 </w:instrText>
      </w:r>
      <w:r>
        <w:fldChar w:fldCharType="separate"/>
      </w:r>
      <w:r>
        <w:t>5</w:t>
      </w:r>
      <w:r>
        <w:fldChar w:fldCharType="end"/>
      </w:r>
      <w:r>
        <w:rPr>
          <w:rFonts w:hint="eastAsia" w:ascii="楷体_GB2312" w:hAnsi="宋体" w:eastAsia="楷体_GB2312"/>
          <w:snapToGrid w:val="0"/>
          <w:kern w:val="0"/>
          <w:szCs w:val="28"/>
        </w:rPr>
        <w:fldChar w:fldCharType="end"/>
      </w:r>
    </w:p>
    <w:p>
      <w:pPr>
        <w:pStyle w:val="30"/>
        <w:tabs>
          <w:tab w:val="right" w:leader="dot" w:pos="8458"/>
          <w:tab w:val="clear" w:pos="844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_Toc5255 </w:instrText>
      </w:r>
      <w:r>
        <w:rPr>
          <w:rFonts w:hint="eastAsia" w:ascii="楷体_GB2312" w:hAnsi="宋体" w:eastAsia="楷体_GB2312"/>
          <w:snapToGrid w:val="0"/>
          <w:kern w:val="0"/>
          <w:szCs w:val="28"/>
        </w:rPr>
        <w:fldChar w:fldCharType="separate"/>
      </w:r>
      <w:r>
        <w:rPr>
          <w:rFonts w:hint="eastAsia" w:ascii="黑体" w:eastAsia="黑体"/>
          <w:snapToGrid w:val="0"/>
          <w:kern w:val="0"/>
          <w:szCs w:val="30"/>
        </w:rPr>
        <w:t>（二）估价限制条件</w:t>
      </w:r>
      <w:r>
        <w:tab/>
      </w:r>
      <w:r>
        <w:fldChar w:fldCharType="begin"/>
      </w:r>
      <w:r>
        <w:instrText xml:space="preserve"> PAGEREF _Toc5255 </w:instrText>
      </w:r>
      <w:r>
        <w:fldChar w:fldCharType="separate"/>
      </w:r>
      <w:r>
        <w:t>6</w:t>
      </w:r>
      <w:r>
        <w:fldChar w:fldCharType="end"/>
      </w:r>
      <w:r>
        <w:rPr>
          <w:rFonts w:hint="eastAsia" w:ascii="楷体_GB2312" w:hAnsi="宋体" w:eastAsia="楷体_GB2312"/>
          <w:snapToGrid w:val="0"/>
          <w:kern w:val="0"/>
          <w:szCs w:val="28"/>
        </w:rPr>
        <w:fldChar w:fldCharType="end"/>
      </w:r>
    </w:p>
    <w:p>
      <w:pPr>
        <w:pStyle w:val="30"/>
        <w:tabs>
          <w:tab w:val="right" w:leader="dot" w:pos="8458"/>
          <w:tab w:val="clear" w:pos="844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_Toc5476 </w:instrText>
      </w:r>
      <w:r>
        <w:rPr>
          <w:rFonts w:hint="eastAsia" w:ascii="楷体_GB2312" w:hAnsi="宋体" w:eastAsia="楷体_GB2312"/>
          <w:snapToGrid w:val="0"/>
          <w:kern w:val="0"/>
          <w:szCs w:val="28"/>
        </w:rPr>
        <w:fldChar w:fldCharType="separate"/>
      </w:r>
      <w:r>
        <w:rPr>
          <w:rFonts w:hint="eastAsia" w:ascii="黑体" w:eastAsia="黑体"/>
          <w:snapToGrid w:val="0"/>
          <w:kern w:val="0"/>
          <w:szCs w:val="44"/>
        </w:rPr>
        <w:t>估价结果报告</w:t>
      </w:r>
      <w:r>
        <w:tab/>
      </w:r>
      <w:r>
        <w:fldChar w:fldCharType="begin"/>
      </w:r>
      <w:r>
        <w:instrText xml:space="preserve"> PAGEREF _Toc5476 </w:instrText>
      </w:r>
      <w:r>
        <w:fldChar w:fldCharType="separate"/>
      </w:r>
      <w:r>
        <w:t>8</w:t>
      </w:r>
      <w:r>
        <w:fldChar w:fldCharType="end"/>
      </w:r>
      <w:r>
        <w:rPr>
          <w:rFonts w:hint="eastAsia" w:ascii="楷体_GB2312" w:hAnsi="宋体" w:eastAsia="楷体_GB2312"/>
          <w:snapToGrid w:val="0"/>
          <w:kern w:val="0"/>
          <w:szCs w:val="28"/>
        </w:rPr>
        <w:fldChar w:fldCharType="end"/>
      </w:r>
    </w:p>
    <w:p>
      <w:pPr>
        <w:pStyle w:val="30"/>
        <w:tabs>
          <w:tab w:val="right" w:leader="dot" w:pos="8458"/>
          <w:tab w:val="clear" w:pos="844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_Toc27172 </w:instrText>
      </w:r>
      <w:r>
        <w:rPr>
          <w:rFonts w:hint="eastAsia" w:ascii="楷体_GB2312" w:hAnsi="宋体" w:eastAsia="楷体_GB2312"/>
          <w:snapToGrid w:val="0"/>
          <w:kern w:val="0"/>
          <w:szCs w:val="28"/>
        </w:rPr>
        <w:fldChar w:fldCharType="separate"/>
      </w:r>
      <w:r>
        <w:rPr>
          <w:rFonts w:hint="eastAsia" w:ascii="黑体" w:eastAsia="黑体"/>
          <w:snapToGrid w:val="0"/>
          <w:kern w:val="0"/>
          <w:szCs w:val="30"/>
        </w:rPr>
        <w:t>（一）估价委托人</w:t>
      </w:r>
      <w:r>
        <w:tab/>
      </w:r>
      <w:r>
        <w:fldChar w:fldCharType="begin"/>
      </w:r>
      <w:r>
        <w:instrText xml:space="preserve"> PAGEREF _Toc27172 </w:instrText>
      </w:r>
      <w:r>
        <w:fldChar w:fldCharType="separate"/>
      </w:r>
      <w:r>
        <w:t>8</w:t>
      </w:r>
      <w:r>
        <w:fldChar w:fldCharType="end"/>
      </w:r>
      <w:r>
        <w:rPr>
          <w:rFonts w:hint="eastAsia" w:ascii="楷体_GB2312" w:hAnsi="宋体" w:eastAsia="楷体_GB2312"/>
          <w:snapToGrid w:val="0"/>
          <w:kern w:val="0"/>
          <w:szCs w:val="28"/>
        </w:rPr>
        <w:fldChar w:fldCharType="end"/>
      </w:r>
    </w:p>
    <w:p>
      <w:pPr>
        <w:pStyle w:val="30"/>
        <w:tabs>
          <w:tab w:val="right" w:leader="dot" w:pos="8458"/>
          <w:tab w:val="clear" w:pos="844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_Toc32590 </w:instrText>
      </w:r>
      <w:r>
        <w:rPr>
          <w:rFonts w:hint="eastAsia" w:ascii="楷体_GB2312" w:hAnsi="宋体" w:eastAsia="楷体_GB2312"/>
          <w:snapToGrid w:val="0"/>
          <w:kern w:val="0"/>
          <w:szCs w:val="28"/>
        </w:rPr>
        <w:fldChar w:fldCharType="separate"/>
      </w:r>
      <w:r>
        <w:rPr>
          <w:rFonts w:hint="eastAsia" w:ascii="黑体" w:eastAsia="黑体"/>
          <w:snapToGrid w:val="0"/>
          <w:kern w:val="0"/>
          <w:szCs w:val="30"/>
        </w:rPr>
        <w:t>（二）估价机构</w:t>
      </w:r>
      <w:r>
        <w:tab/>
      </w:r>
      <w:r>
        <w:fldChar w:fldCharType="begin"/>
      </w:r>
      <w:r>
        <w:instrText xml:space="preserve"> PAGEREF _Toc32590 </w:instrText>
      </w:r>
      <w:r>
        <w:fldChar w:fldCharType="separate"/>
      </w:r>
      <w:r>
        <w:t>8</w:t>
      </w:r>
      <w:r>
        <w:fldChar w:fldCharType="end"/>
      </w:r>
      <w:r>
        <w:rPr>
          <w:rFonts w:hint="eastAsia" w:ascii="楷体_GB2312" w:hAnsi="宋体" w:eastAsia="楷体_GB2312"/>
          <w:snapToGrid w:val="0"/>
          <w:kern w:val="0"/>
          <w:szCs w:val="28"/>
        </w:rPr>
        <w:fldChar w:fldCharType="end"/>
      </w:r>
    </w:p>
    <w:p>
      <w:pPr>
        <w:pStyle w:val="30"/>
        <w:tabs>
          <w:tab w:val="right" w:leader="dot" w:pos="8458"/>
          <w:tab w:val="clear" w:pos="844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_Toc31043 </w:instrText>
      </w:r>
      <w:r>
        <w:rPr>
          <w:rFonts w:hint="eastAsia" w:ascii="楷体_GB2312" w:hAnsi="宋体" w:eastAsia="楷体_GB2312"/>
          <w:snapToGrid w:val="0"/>
          <w:kern w:val="0"/>
          <w:szCs w:val="28"/>
        </w:rPr>
        <w:fldChar w:fldCharType="separate"/>
      </w:r>
      <w:r>
        <w:rPr>
          <w:rFonts w:hint="eastAsia" w:ascii="黑体" w:eastAsia="黑体"/>
          <w:snapToGrid w:val="0"/>
          <w:kern w:val="0"/>
          <w:szCs w:val="30"/>
        </w:rPr>
        <w:t>（三）估价对象</w:t>
      </w:r>
      <w:r>
        <w:tab/>
      </w:r>
      <w:r>
        <w:fldChar w:fldCharType="begin"/>
      </w:r>
      <w:r>
        <w:instrText xml:space="preserve"> PAGEREF _Toc31043 </w:instrText>
      </w:r>
      <w:r>
        <w:fldChar w:fldCharType="separate"/>
      </w:r>
      <w:r>
        <w:t>8</w:t>
      </w:r>
      <w:r>
        <w:fldChar w:fldCharType="end"/>
      </w:r>
      <w:r>
        <w:rPr>
          <w:rFonts w:hint="eastAsia" w:ascii="楷体_GB2312" w:hAnsi="宋体" w:eastAsia="楷体_GB2312"/>
          <w:snapToGrid w:val="0"/>
          <w:kern w:val="0"/>
          <w:szCs w:val="28"/>
        </w:rPr>
        <w:fldChar w:fldCharType="end"/>
      </w:r>
    </w:p>
    <w:p>
      <w:pPr>
        <w:pStyle w:val="30"/>
        <w:tabs>
          <w:tab w:val="right" w:leader="dot" w:pos="8458"/>
          <w:tab w:val="clear" w:pos="844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_Toc17398 </w:instrText>
      </w:r>
      <w:r>
        <w:rPr>
          <w:rFonts w:hint="eastAsia" w:ascii="楷体_GB2312" w:hAnsi="宋体" w:eastAsia="楷体_GB2312"/>
          <w:snapToGrid w:val="0"/>
          <w:kern w:val="0"/>
          <w:szCs w:val="28"/>
        </w:rPr>
        <w:fldChar w:fldCharType="separate"/>
      </w:r>
      <w:r>
        <w:rPr>
          <w:rFonts w:hint="eastAsia" w:ascii="黑体" w:eastAsia="黑体"/>
          <w:snapToGrid w:val="0"/>
          <w:kern w:val="0"/>
          <w:szCs w:val="30"/>
        </w:rPr>
        <w:t>（四）估价目的</w:t>
      </w:r>
      <w:r>
        <w:tab/>
      </w:r>
      <w:r>
        <w:fldChar w:fldCharType="begin"/>
      </w:r>
      <w:r>
        <w:instrText xml:space="preserve"> PAGEREF _Toc17398 </w:instrText>
      </w:r>
      <w:r>
        <w:fldChar w:fldCharType="separate"/>
      </w:r>
      <w:r>
        <w:t>9</w:t>
      </w:r>
      <w:r>
        <w:fldChar w:fldCharType="end"/>
      </w:r>
      <w:r>
        <w:rPr>
          <w:rFonts w:hint="eastAsia" w:ascii="楷体_GB2312" w:hAnsi="宋体" w:eastAsia="楷体_GB2312"/>
          <w:snapToGrid w:val="0"/>
          <w:kern w:val="0"/>
          <w:szCs w:val="28"/>
        </w:rPr>
        <w:fldChar w:fldCharType="end"/>
      </w:r>
    </w:p>
    <w:p>
      <w:pPr>
        <w:pStyle w:val="30"/>
        <w:tabs>
          <w:tab w:val="right" w:leader="dot" w:pos="8458"/>
          <w:tab w:val="clear" w:pos="844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_Toc19285 </w:instrText>
      </w:r>
      <w:r>
        <w:rPr>
          <w:rFonts w:hint="eastAsia" w:ascii="楷体_GB2312" w:hAnsi="宋体" w:eastAsia="楷体_GB2312"/>
          <w:snapToGrid w:val="0"/>
          <w:kern w:val="0"/>
          <w:szCs w:val="28"/>
        </w:rPr>
        <w:fldChar w:fldCharType="separate"/>
      </w:r>
      <w:r>
        <w:rPr>
          <w:rFonts w:hint="eastAsia" w:ascii="黑体" w:eastAsia="黑体"/>
          <w:snapToGrid w:val="0"/>
          <w:kern w:val="0"/>
          <w:szCs w:val="30"/>
        </w:rPr>
        <w:t>（五）价值时点</w:t>
      </w:r>
      <w:r>
        <w:tab/>
      </w:r>
      <w:r>
        <w:fldChar w:fldCharType="begin"/>
      </w:r>
      <w:r>
        <w:instrText xml:space="preserve"> PAGEREF _Toc19285 </w:instrText>
      </w:r>
      <w:r>
        <w:fldChar w:fldCharType="separate"/>
      </w:r>
      <w:r>
        <w:t>10</w:t>
      </w:r>
      <w:r>
        <w:fldChar w:fldCharType="end"/>
      </w:r>
      <w:r>
        <w:rPr>
          <w:rFonts w:hint="eastAsia" w:ascii="楷体_GB2312" w:hAnsi="宋体" w:eastAsia="楷体_GB2312"/>
          <w:snapToGrid w:val="0"/>
          <w:kern w:val="0"/>
          <w:szCs w:val="28"/>
        </w:rPr>
        <w:fldChar w:fldCharType="end"/>
      </w:r>
    </w:p>
    <w:p>
      <w:pPr>
        <w:pStyle w:val="30"/>
        <w:tabs>
          <w:tab w:val="right" w:leader="dot" w:pos="8458"/>
          <w:tab w:val="clear" w:pos="844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_Toc2881 </w:instrText>
      </w:r>
      <w:r>
        <w:rPr>
          <w:rFonts w:hint="eastAsia" w:ascii="楷体_GB2312" w:hAnsi="宋体" w:eastAsia="楷体_GB2312"/>
          <w:snapToGrid w:val="0"/>
          <w:kern w:val="0"/>
          <w:szCs w:val="28"/>
        </w:rPr>
        <w:fldChar w:fldCharType="separate"/>
      </w:r>
      <w:r>
        <w:rPr>
          <w:rFonts w:hint="eastAsia" w:ascii="黑体" w:eastAsia="黑体"/>
          <w:snapToGrid w:val="0"/>
          <w:kern w:val="0"/>
          <w:szCs w:val="30"/>
        </w:rPr>
        <w:t>（六）价值定义</w:t>
      </w:r>
      <w:r>
        <w:tab/>
      </w:r>
      <w:r>
        <w:fldChar w:fldCharType="begin"/>
      </w:r>
      <w:r>
        <w:instrText xml:space="preserve"> PAGEREF _Toc2881 </w:instrText>
      </w:r>
      <w:r>
        <w:fldChar w:fldCharType="separate"/>
      </w:r>
      <w:r>
        <w:t>10</w:t>
      </w:r>
      <w:r>
        <w:fldChar w:fldCharType="end"/>
      </w:r>
      <w:r>
        <w:rPr>
          <w:rFonts w:hint="eastAsia" w:ascii="楷体_GB2312" w:hAnsi="宋体" w:eastAsia="楷体_GB2312"/>
          <w:snapToGrid w:val="0"/>
          <w:kern w:val="0"/>
          <w:szCs w:val="28"/>
        </w:rPr>
        <w:fldChar w:fldCharType="end"/>
      </w:r>
    </w:p>
    <w:p>
      <w:pPr>
        <w:pStyle w:val="30"/>
        <w:tabs>
          <w:tab w:val="right" w:leader="dot" w:pos="8458"/>
          <w:tab w:val="clear" w:pos="844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_Toc25623 </w:instrText>
      </w:r>
      <w:r>
        <w:rPr>
          <w:rFonts w:hint="eastAsia" w:ascii="楷体_GB2312" w:hAnsi="宋体" w:eastAsia="楷体_GB2312"/>
          <w:snapToGrid w:val="0"/>
          <w:kern w:val="0"/>
          <w:szCs w:val="28"/>
        </w:rPr>
        <w:fldChar w:fldCharType="separate"/>
      </w:r>
      <w:r>
        <w:rPr>
          <w:rFonts w:hint="eastAsia" w:ascii="黑体" w:eastAsia="黑体"/>
          <w:snapToGrid w:val="0"/>
          <w:kern w:val="0"/>
          <w:szCs w:val="30"/>
        </w:rPr>
        <w:t>（七）估价依据</w:t>
      </w:r>
      <w:r>
        <w:tab/>
      </w:r>
      <w:r>
        <w:fldChar w:fldCharType="begin"/>
      </w:r>
      <w:r>
        <w:instrText xml:space="preserve"> PAGEREF _Toc25623 </w:instrText>
      </w:r>
      <w:r>
        <w:fldChar w:fldCharType="separate"/>
      </w:r>
      <w:r>
        <w:t>10</w:t>
      </w:r>
      <w:r>
        <w:fldChar w:fldCharType="end"/>
      </w:r>
      <w:r>
        <w:rPr>
          <w:rFonts w:hint="eastAsia" w:ascii="楷体_GB2312" w:hAnsi="宋体" w:eastAsia="楷体_GB2312"/>
          <w:snapToGrid w:val="0"/>
          <w:kern w:val="0"/>
          <w:szCs w:val="28"/>
        </w:rPr>
        <w:fldChar w:fldCharType="end"/>
      </w:r>
    </w:p>
    <w:p>
      <w:pPr>
        <w:pStyle w:val="30"/>
        <w:tabs>
          <w:tab w:val="right" w:leader="dot" w:pos="8458"/>
          <w:tab w:val="clear" w:pos="844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_Toc32693 </w:instrText>
      </w:r>
      <w:r>
        <w:rPr>
          <w:rFonts w:hint="eastAsia" w:ascii="楷体_GB2312" w:hAnsi="宋体" w:eastAsia="楷体_GB2312"/>
          <w:snapToGrid w:val="0"/>
          <w:kern w:val="0"/>
          <w:szCs w:val="28"/>
        </w:rPr>
        <w:fldChar w:fldCharType="separate"/>
      </w:r>
      <w:r>
        <w:rPr>
          <w:rFonts w:hint="eastAsia" w:ascii="黑体" w:eastAsia="黑体"/>
          <w:snapToGrid w:val="0"/>
          <w:kern w:val="0"/>
          <w:szCs w:val="30"/>
        </w:rPr>
        <w:t>（八）估价原则</w:t>
      </w:r>
      <w:r>
        <w:tab/>
      </w:r>
      <w:r>
        <w:fldChar w:fldCharType="begin"/>
      </w:r>
      <w:r>
        <w:instrText xml:space="preserve"> PAGEREF _Toc32693 </w:instrText>
      </w:r>
      <w:r>
        <w:fldChar w:fldCharType="separate"/>
      </w:r>
      <w:r>
        <w:t>12</w:t>
      </w:r>
      <w:r>
        <w:fldChar w:fldCharType="end"/>
      </w:r>
      <w:r>
        <w:rPr>
          <w:rFonts w:hint="eastAsia" w:ascii="楷体_GB2312" w:hAnsi="宋体" w:eastAsia="楷体_GB2312"/>
          <w:snapToGrid w:val="0"/>
          <w:kern w:val="0"/>
          <w:szCs w:val="28"/>
        </w:rPr>
        <w:fldChar w:fldCharType="end"/>
      </w:r>
    </w:p>
    <w:p>
      <w:pPr>
        <w:pStyle w:val="30"/>
        <w:tabs>
          <w:tab w:val="right" w:leader="dot" w:pos="8458"/>
          <w:tab w:val="clear" w:pos="844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_Toc10928 </w:instrText>
      </w:r>
      <w:r>
        <w:rPr>
          <w:rFonts w:hint="eastAsia" w:ascii="楷体_GB2312" w:hAnsi="宋体" w:eastAsia="楷体_GB2312"/>
          <w:snapToGrid w:val="0"/>
          <w:kern w:val="0"/>
          <w:szCs w:val="28"/>
        </w:rPr>
        <w:fldChar w:fldCharType="separate"/>
      </w:r>
      <w:r>
        <w:rPr>
          <w:rFonts w:hint="eastAsia" w:ascii="黑体" w:eastAsia="黑体"/>
          <w:snapToGrid w:val="0"/>
          <w:kern w:val="0"/>
          <w:szCs w:val="30"/>
        </w:rPr>
        <w:t>（九）估价方法</w:t>
      </w:r>
      <w:r>
        <w:tab/>
      </w:r>
      <w:r>
        <w:fldChar w:fldCharType="begin"/>
      </w:r>
      <w:r>
        <w:instrText xml:space="preserve"> PAGEREF _Toc10928 </w:instrText>
      </w:r>
      <w:r>
        <w:fldChar w:fldCharType="separate"/>
      </w:r>
      <w:r>
        <w:t>15</w:t>
      </w:r>
      <w:r>
        <w:fldChar w:fldCharType="end"/>
      </w:r>
      <w:r>
        <w:rPr>
          <w:rFonts w:hint="eastAsia" w:ascii="楷体_GB2312" w:hAnsi="宋体" w:eastAsia="楷体_GB2312"/>
          <w:snapToGrid w:val="0"/>
          <w:kern w:val="0"/>
          <w:szCs w:val="28"/>
        </w:rPr>
        <w:fldChar w:fldCharType="end"/>
      </w:r>
    </w:p>
    <w:p>
      <w:pPr>
        <w:pStyle w:val="30"/>
        <w:tabs>
          <w:tab w:val="right" w:leader="dot" w:pos="8458"/>
          <w:tab w:val="clear" w:pos="844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_Toc8110 </w:instrText>
      </w:r>
      <w:r>
        <w:rPr>
          <w:rFonts w:hint="eastAsia" w:ascii="楷体_GB2312" w:hAnsi="宋体" w:eastAsia="楷体_GB2312"/>
          <w:snapToGrid w:val="0"/>
          <w:kern w:val="0"/>
          <w:szCs w:val="28"/>
        </w:rPr>
        <w:fldChar w:fldCharType="separate"/>
      </w:r>
      <w:r>
        <w:rPr>
          <w:rFonts w:hint="eastAsia" w:ascii="黑体" w:eastAsia="黑体"/>
          <w:snapToGrid w:val="0"/>
          <w:kern w:val="0"/>
          <w:szCs w:val="30"/>
        </w:rPr>
        <w:t>（十）估价结果</w:t>
      </w:r>
      <w:r>
        <w:tab/>
      </w:r>
      <w:r>
        <w:fldChar w:fldCharType="begin"/>
      </w:r>
      <w:r>
        <w:instrText xml:space="preserve"> PAGEREF _Toc8110 </w:instrText>
      </w:r>
      <w:r>
        <w:fldChar w:fldCharType="separate"/>
      </w:r>
      <w:r>
        <w:t>16</w:t>
      </w:r>
      <w:r>
        <w:fldChar w:fldCharType="end"/>
      </w:r>
      <w:r>
        <w:rPr>
          <w:rFonts w:hint="eastAsia" w:ascii="楷体_GB2312" w:hAnsi="宋体" w:eastAsia="楷体_GB2312"/>
          <w:snapToGrid w:val="0"/>
          <w:kern w:val="0"/>
          <w:szCs w:val="28"/>
        </w:rPr>
        <w:fldChar w:fldCharType="end"/>
      </w:r>
    </w:p>
    <w:p>
      <w:pPr>
        <w:pStyle w:val="30"/>
        <w:tabs>
          <w:tab w:val="right" w:leader="dot" w:pos="8458"/>
          <w:tab w:val="clear" w:pos="844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_Toc20626 </w:instrText>
      </w:r>
      <w:r>
        <w:rPr>
          <w:rFonts w:hint="eastAsia" w:ascii="楷体_GB2312" w:hAnsi="宋体" w:eastAsia="楷体_GB2312"/>
          <w:snapToGrid w:val="0"/>
          <w:kern w:val="0"/>
          <w:szCs w:val="28"/>
        </w:rPr>
        <w:fldChar w:fldCharType="separate"/>
      </w:r>
      <w:r>
        <w:rPr>
          <w:rFonts w:hint="eastAsia" w:ascii="黑体" w:eastAsia="黑体"/>
          <w:snapToGrid w:val="0"/>
          <w:kern w:val="0"/>
          <w:szCs w:val="30"/>
        </w:rPr>
        <w:t>（十一）估价人员</w:t>
      </w:r>
      <w:r>
        <w:tab/>
      </w:r>
      <w:r>
        <w:fldChar w:fldCharType="begin"/>
      </w:r>
      <w:r>
        <w:instrText xml:space="preserve"> PAGEREF _Toc20626 </w:instrText>
      </w:r>
      <w:r>
        <w:fldChar w:fldCharType="separate"/>
      </w:r>
      <w:r>
        <w:t>17</w:t>
      </w:r>
      <w:r>
        <w:fldChar w:fldCharType="end"/>
      </w:r>
      <w:r>
        <w:rPr>
          <w:rFonts w:hint="eastAsia" w:ascii="楷体_GB2312" w:hAnsi="宋体" w:eastAsia="楷体_GB2312"/>
          <w:snapToGrid w:val="0"/>
          <w:kern w:val="0"/>
          <w:szCs w:val="28"/>
        </w:rPr>
        <w:fldChar w:fldCharType="end"/>
      </w:r>
    </w:p>
    <w:p>
      <w:pPr>
        <w:pStyle w:val="30"/>
        <w:tabs>
          <w:tab w:val="right" w:leader="dot" w:pos="8458"/>
          <w:tab w:val="clear" w:pos="844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_Toc31036 </w:instrText>
      </w:r>
      <w:r>
        <w:rPr>
          <w:rFonts w:hint="eastAsia" w:ascii="楷体_GB2312" w:hAnsi="宋体" w:eastAsia="楷体_GB2312"/>
          <w:snapToGrid w:val="0"/>
          <w:kern w:val="0"/>
          <w:szCs w:val="28"/>
        </w:rPr>
        <w:fldChar w:fldCharType="separate"/>
      </w:r>
      <w:r>
        <w:rPr>
          <w:rFonts w:hint="eastAsia" w:ascii="黑体" w:eastAsia="黑体"/>
          <w:snapToGrid w:val="0"/>
          <w:kern w:val="0"/>
          <w:szCs w:val="30"/>
        </w:rPr>
        <w:t>（十二）估价作业日期</w:t>
      </w:r>
      <w:r>
        <w:tab/>
      </w:r>
      <w:r>
        <w:fldChar w:fldCharType="begin"/>
      </w:r>
      <w:r>
        <w:instrText xml:space="preserve"> PAGEREF _Toc31036 </w:instrText>
      </w:r>
      <w:r>
        <w:fldChar w:fldCharType="separate"/>
      </w:r>
      <w:r>
        <w:t>17</w:t>
      </w:r>
      <w:r>
        <w:fldChar w:fldCharType="end"/>
      </w:r>
      <w:r>
        <w:rPr>
          <w:rFonts w:hint="eastAsia" w:ascii="楷体_GB2312" w:hAnsi="宋体" w:eastAsia="楷体_GB2312"/>
          <w:snapToGrid w:val="0"/>
          <w:kern w:val="0"/>
          <w:szCs w:val="28"/>
        </w:rPr>
        <w:fldChar w:fldCharType="end"/>
      </w:r>
    </w:p>
    <w:p>
      <w:pPr>
        <w:pStyle w:val="30"/>
        <w:tabs>
          <w:tab w:val="right" w:leader="dot" w:pos="8458"/>
          <w:tab w:val="clear" w:pos="844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_Toc19563 </w:instrText>
      </w:r>
      <w:r>
        <w:rPr>
          <w:rFonts w:hint="eastAsia" w:ascii="楷体_GB2312" w:hAnsi="宋体" w:eastAsia="楷体_GB2312"/>
          <w:snapToGrid w:val="0"/>
          <w:kern w:val="0"/>
          <w:szCs w:val="28"/>
        </w:rPr>
        <w:fldChar w:fldCharType="separate"/>
      </w:r>
      <w:r>
        <w:rPr>
          <w:rFonts w:hint="eastAsia" w:ascii="黑体" w:eastAsia="黑体"/>
          <w:snapToGrid w:val="0"/>
          <w:kern w:val="0"/>
          <w:szCs w:val="30"/>
        </w:rPr>
        <w:t>（十三）估价报告应用的有效期</w:t>
      </w:r>
      <w:r>
        <w:tab/>
      </w:r>
      <w:r>
        <w:fldChar w:fldCharType="begin"/>
      </w:r>
      <w:r>
        <w:instrText xml:space="preserve"> PAGEREF _Toc19563 </w:instrText>
      </w:r>
      <w:r>
        <w:fldChar w:fldCharType="separate"/>
      </w:r>
      <w:r>
        <w:t>17</w:t>
      </w:r>
      <w:r>
        <w:fldChar w:fldCharType="end"/>
      </w:r>
      <w:r>
        <w:rPr>
          <w:rFonts w:hint="eastAsia" w:ascii="楷体_GB2312" w:hAnsi="宋体" w:eastAsia="楷体_GB2312"/>
          <w:snapToGrid w:val="0"/>
          <w:kern w:val="0"/>
          <w:szCs w:val="28"/>
        </w:rPr>
        <w:fldChar w:fldCharType="end"/>
      </w:r>
    </w:p>
    <w:p>
      <w:pPr>
        <w:pStyle w:val="30"/>
        <w:tabs>
          <w:tab w:val="right" w:leader="dot" w:pos="8458"/>
          <w:tab w:val="clear" w:pos="844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_Toc11717 </w:instrText>
      </w:r>
      <w:r>
        <w:rPr>
          <w:rFonts w:hint="eastAsia" w:ascii="楷体_GB2312" w:hAnsi="宋体" w:eastAsia="楷体_GB2312"/>
          <w:snapToGrid w:val="0"/>
          <w:kern w:val="0"/>
          <w:szCs w:val="28"/>
        </w:rPr>
        <w:fldChar w:fldCharType="separate"/>
      </w:r>
      <w:r>
        <w:rPr>
          <w:rFonts w:hint="eastAsia" w:ascii="黑体" w:eastAsia="黑体"/>
          <w:snapToGrid w:val="0"/>
          <w:kern w:val="0"/>
          <w:szCs w:val="44"/>
        </w:rPr>
        <w:t>估价技术报告</w:t>
      </w:r>
      <w:r>
        <w:tab/>
      </w:r>
      <w:r>
        <w:fldChar w:fldCharType="begin"/>
      </w:r>
      <w:r>
        <w:instrText xml:space="preserve"> PAGEREF _Toc11717 </w:instrText>
      </w:r>
      <w:r>
        <w:fldChar w:fldCharType="separate"/>
      </w:r>
      <w:r>
        <w:t>18</w:t>
      </w:r>
      <w:r>
        <w:fldChar w:fldCharType="end"/>
      </w:r>
      <w:r>
        <w:rPr>
          <w:rFonts w:hint="eastAsia" w:ascii="楷体_GB2312" w:hAnsi="宋体" w:eastAsia="楷体_GB2312"/>
          <w:snapToGrid w:val="0"/>
          <w:kern w:val="0"/>
          <w:szCs w:val="28"/>
        </w:rPr>
        <w:fldChar w:fldCharType="end"/>
      </w:r>
    </w:p>
    <w:p>
      <w:pPr>
        <w:pStyle w:val="37"/>
        <w:tabs>
          <w:tab w:val="right" w:leader="dot" w:pos="845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_Toc29108 </w:instrText>
      </w:r>
      <w:r>
        <w:rPr>
          <w:rFonts w:hint="eastAsia" w:ascii="楷体_GB2312" w:hAnsi="宋体" w:eastAsia="楷体_GB2312"/>
          <w:snapToGrid w:val="0"/>
          <w:kern w:val="0"/>
          <w:szCs w:val="28"/>
        </w:rPr>
        <w:fldChar w:fldCharType="separate"/>
      </w:r>
      <w:r>
        <w:rPr>
          <w:rFonts w:hint="eastAsia"/>
          <w:snapToGrid w:val="0"/>
          <w:kern w:val="0"/>
          <w:szCs w:val="30"/>
        </w:rPr>
        <w:t>（一）个别因素分析</w:t>
      </w:r>
      <w:r>
        <w:tab/>
      </w:r>
      <w:r>
        <w:fldChar w:fldCharType="begin"/>
      </w:r>
      <w:r>
        <w:instrText xml:space="preserve"> PAGEREF _Toc29108 </w:instrText>
      </w:r>
      <w:r>
        <w:fldChar w:fldCharType="separate"/>
      </w:r>
      <w:r>
        <w:t>18</w:t>
      </w:r>
      <w:r>
        <w:fldChar w:fldCharType="end"/>
      </w:r>
      <w:r>
        <w:rPr>
          <w:rFonts w:hint="eastAsia" w:ascii="楷体_GB2312" w:hAnsi="宋体" w:eastAsia="楷体_GB2312"/>
          <w:snapToGrid w:val="0"/>
          <w:kern w:val="0"/>
          <w:szCs w:val="28"/>
        </w:rPr>
        <w:fldChar w:fldCharType="end"/>
      </w:r>
    </w:p>
    <w:p>
      <w:pPr>
        <w:pStyle w:val="37"/>
        <w:tabs>
          <w:tab w:val="right" w:leader="dot" w:pos="845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_Toc17377 </w:instrText>
      </w:r>
      <w:r>
        <w:rPr>
          <w:rFonts w:hint="eastAsia" w:ascii="楷体_GB2312" w:hAnsi="宋体" w:eastAsia="楷体_GB2312"/>
          <w:snapToGrid w:val="0"/>
          <w:kern w:val="0"/>
          <w:szCs w:val="28"/>
        </w:rPr>
        <w:fldChar w:fldCharType="separate"/>
      </w:r>
      <w:r>
        <w:rPr>
          <w:rFonts w:hint="eastAsia"/>
          <w:snapToGrid w:val="0"/>
          <w:kern w:val="0"/>
          <w:szCs w:val="30"/>
        </w:rPr>
        <w:t>（二）区域因素分析</w:t>
      </w:r>
      <w:r>
        <w:tab/>
      </w:r>
      <w:r>
        <w:fldChar w:fldCharType="begin"/>
      </w:r>
      <w:r>
        <w:instrText xml:space="preserve"> PAGEREF _Toc17377 </w:instrText>
      </w:r>
      <w:r>
        <w:fldChar w:fldCharType="separate"/>
      </w:r>
      <w:r>
        <w:t>19</w:t>
      </w:r>
      <w:r>
        <w:fldChar w:fldCharType="end"/>
      </w:r>
      <w:r>
        <w:rPr>
          <w:rFonts w:hint="eastAsia" w:ascii="楷体_GB2312" w:hAnsi="宋体" w:eastAsia="楷体_GB2312"/>
          <w:snapToGrid w:val="0"/>
          <w:kern w:val="0"/>
          <w:szCs w:val="28"/>
        </w:rPr>
        <w:fldChar w:fldCharType="end"/>
      </w:r>
    </w:p>
    <w:p>
      <w:pPr>
        <w:pStyle w:val="37"/>
        <w:tabs>
          <w:tab w:val="right" w:leader="dot" w:pos="845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_Toc12699 </w:instrText>
      </w:r>
      <w:r>
        <w:rPr>
          <w:rFonts w:hint="eastAsia" w:ascii="楷体_GB2312" w:hAnsi="宋体" w:eastAsia="楷体_GB2312"/>
          <w:snapToGrid w:val="0"/>
          <w:kern w:val="0"/>
          <w:szCs w:val="28"/>
        </w:rPr>
        <w:fldChar w:fldCharType="separate"/>
      </w:r>
      <w:r>
        <w:rPr>
          <w:rFonts w:hint="eastAsia"/>
          <w:snapToGrid w:val="0"/>
          <w:kern w:val="0"/>
          <w:szCs w:val="30"/>
        </w:rPr>
        <w:t>（三）市场背景分析</w:t>
      </w:r>
      <w:r>
        <w:tab/>
      </w:r>
      <w:r>
        <w:fldChar w:fldCharType="begin"/>
      </w:r>
      <w:r>
        <w:instrText xml:space="preserve"> PAGEREF _Toc12699 </w:instrText>
      </w:r>
      <w:r>
        <w:fldChar w:fldCharType="separate"/>
      </w:r>
      <w:r>
        <w:t>20</w:t>
      </w:r>
      <w:r>
        <w:fldChar w:fldCharType="end"/>
      </w:r>
      <w:r>
        <w:rPr>
          <w:rFonts w:hint="eastAsia" w:ascii="楷体_GB2312" w:hAnsi="宋体" w:eastAsia="楷体_GB2312"/>
          <w:snapToGrid w:val="0"/>
          <w:kern w:val="0"/>
          <w:szCs w:val="28"/>
        </w:rPr>
        <w:fldChar w:fldCharType="end"/>
      </w:r>
    </w:p>
    <w:p>
      <w:pPr>
        <w:pStyle w:val="37"/>
        <w:tabs>
          <w:tab w:val="right" w:leader="dot" w:pos="845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_Toc16662 </w:instrText>
      </w:r>
      <w:r>
        <w:rPr>
          <w:rFonts w:hint="eastAsia" w:ascii="楷体_GB2312" w:hAnsi="宋体" w:eastAsia="楷体_GB2312"/>
          <w:snapToGrid w:val="0"/>
          <w:kern w:val="0"/>
          <w:szCs w:val="28"/>
        </w:rPr>
        <w:fldChar w:fldCharType="separate"/>
      </w:r>
      <w:r>
        <w:rPr>
          <w:rFonts w:hint="eastAsia"/>
          <w:snapToGrid w:val="0"/>
          <w:kern w:val="0"/>
          <w:szCs w:val="30"/>
        </w:rPr>
        <w:t>（四）最高最佳使用分析</w:t>
      </w:r>
      <w:r>
        <w:tab/>
      </w:r>
      <w:r>
        <w:fldChar w:fldCharType="begin"/>
      </w:r>
      <w:r>
        <w:instrText xml:space="preserve"> PAGEREF _Toc16662 </w:instrText>
      </w:r>
      <w:r>
        <w:fldChar w:fldCharType="separate"/>
      </w:r>
      <w:r>
        <w:t>23</w:t>
      </w:r>
      <w:r>
        <w:fldChar w:fldCharType="end"/>
      </w:r>
      <w:r>
        <w:rPr>
          <w:rFonts w:hint="eastAsia" w:ascii="楷体_GB2312" w:hAnsi="宋体" w:eastAsia="楷体_GB2312"/>
          <w:snapToGrid w:val="0"/>
          <w:kern w:val="0"/>
          <w:szCs w:val="28"/>
        </w:rPr>
        <w:fldChar w:fldCharType="end"/>
      </w:r>
    </w:p>
    <w:p>
      <w:pPr>
        <w:pStyle w:val="37"/>
        <w:tabs>
          <w:tab w:val="right" w:leader="dot" w:pos="845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_Toc14429 </w:instrText>
      </w:r>
      <w:r>
        <w:rPr>
          <w:rFonts w:hint="eastAsia" w:ascii="楷体_GB2312" w:hAnsi="宋体" w:eastAsia="楷体_GB2312"/>
          <w:snapToGrid w:val="0"/>
          <w:kern w:val="0"/>
          <w:szCs w:val="28"/>
        </w:rPr>
        <w:fldChar w:fldCharType="separate"/>
      </w:r>
      <w:r>
        <w:rPr>
          <w:rFonts w:hint="eastAsia"/>
          <w:snapToGrid w:val="0"/>
          <w:kern w:val="0"/>
          <w:szCs w:val="30"/>
        </w:rPr>
        <w:t>（五）估价方法适用性分析</w:t>
      </w:r>
      <w:r>
        <w:tab/>
      </w:r>
      <w:r>
        <w:fldChar w:fldCharType="begin"/>
      </w:r>
      <w:r>
        <w:instrText xml:space="preserve"> PAGEREF _Toc14429 </w:instrText>
      </w:r>
      <w:r>
        <w:fldChar w:fldCharType="separate"/>
      </w:r>
      <w:r>
        <w:t>23</w:t>
      </w:r>
      <w:r>
        <w:fldChar w:fldCharType="end"/>
      </w:r>
      <w:r>
        <w:rPr>
          <w:rFonts w:hint="eastAsia" w:ascii="楷体_GB2312" w:hAnsi="宋体" w:eastAsia="楷体_GB2312"/>
          <w:snapToGrid w:val="0"/>
          <w:kern w:val="0"/>
          <w:szCs w:val="28"/>
        </w:rPr>
        <w:fldChar w:fldCharType="end"/>
      </w:r>
    </w:p>
    <w:p>
      <w:pPr>
        <w:pStyle w:val="30"/>
        <w:tabs>
          <w:tab w:val="right" w:leader="dot" w:pos="8458"/>
          <w:tab w:val="clear" w:pos="844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_Toc4689 </w:instrText>
      </w:r>
      <w:r>
        <w:rPr>
          <w:rFonts w:hint="eastAsia" w:ascii="楷体_GB2312" w:hAnsi="宋体" w:eastAsia="楷体_GB2312"/>
          <w:snapToGrid w:val="0"/>
          <w:kern w:val="0"/>
          <w:szCs w:val="28"/>
        </w:rPr>
        <w:fldChar w:fldCharType="separate"/>
      </w:r>
      <w:r>
        <w:rPr>
          <w:rFonts w:hint="eastAsia" w:ascii="黑体" w:eastAsia="黑体"/>
          <w:snapToGrid w:val="0"/>
          <w:kern w:val="0"/>
          <w:szCs w:val="30"/>
        </w:rPr>
        <w:t>附　　件</w:t>
      </w:r>
      <w:r>
        <w:tab/>
      </w:r>
      <w:r>
        <w:fldChar w:fldCharType="begin"/>
      </w:r>
      <w:r>
        <w:instrText xml:space="preserve"> PAGEREF _Toc4689 </w:instrText>
      </w:r>
      <w:r>
        <w:fldChar w:fldCharType="separate"/>
      </w:r>
      <w:r>
        <w:t>40</w:t>
      </w:r>
      <w:r>
        <w:fldChar w:fldCharType="end"/>
      </w:r>
      <w:r>
        <w:rPr>
          <w:rFonts w:hint="eastAsia" w:ascii="楷体_GB2312" w:hAnsi="宋体" w:eastAsia="楷体_GB2312"/>
          <w:snapToGrid w:val="0"/>
          <w:kern w:val="0"/>
          <w:szCs w:val="28"/>
        </w:rPr>
        <w:fldChar w:fldCharType="end"/>
      </w:r>
    </w:p>
    <w:p>
      <w:pPr>
        <w:pStyle w:val="37"/>
        <w:tabs>
          <w:tab w:val="right" w:leader="dot" w:pos="845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_Toc29258 </w:instrText>
      </w:r>
      <w:r>
        <w:rPr>
          <w:rFonts w:hint="eastAsia" w:ascii="楷体_GB2312" w:hAnsi="宋体" w:eastAsia="楷体_GB2312"/>
          <w:snapToGrid w:val="0"/>
          <w:kern w:val="0"/>
          <w:szCs w:val="28"/>
        </w:rPr>
        <w:fldChar w:fldCharType="separate"/>
      </w:r>
      <w:r>
        <w:rPr>
          <w:rFonts w:hint="eastAsia" w:ascii="仿宋_GB2312" w:hAnsi="Times New Roman" w:eastAsia="仿宋_GB2312"/>
          <w:bCs w:val="0"/>
          <w:snapToGrid w:val="0"/>
          <w:kern w:val="0"/>
          <w:szCs w:val="28"/>
        </w:rPr>
        <w:t>一、估价对象的地理位置示意图</w:t>
      </w:r>
      <w:r>
        <w:tab/>
      </w:r>
      <w:r>
        <w:fldChar w:fldCharType="begin"/>
      </w:r>
      <w:r>
        <w:instrText xml:space="preserve"> PAGEREF _Toc29258 </w:instrText>
      </w:r>
      <w:r>
        <w:fldChar w:fldCharType="separate"/>
      </w:r>
      <w:r>
        <w:t>40</w:t>
      </w:r>
      <w:r>
        <w:fldChar w:fldCharType="end"/>
      </w:r>
      <w:r>
        <w:rPr>
          <w:rFonts w:hint="eastAsia" w:ascii="楷体_GB2312" w:hAnsi="宋体" w:eastAsia="楷体_GB2312"/>
          <w:snapToGrid w:val="0"/>
          <w:kern w:val="0"/>
          <w:szCs w:val="28"/>
        </w:rPr>
        <w:fldChar w:fldCharType="end"/>
      </w:r>
    </w:p>
    <w:p>
      <w:pPr>
        <w:pStyle w:val="37"/>
        <w:tabs>
          <w:tab w:val="right" w:leader="dot" w:pos="845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_Toc16724 </w:instrText>
      </w:r>
      <w:r>
        <w:rPr>
          <w:rFonts w:hint="eastAsia" w:ascii="楷体_GB2312" w:hAnsi="宋体" w:eastAsia="楷体_GB2312"/>
          <w:snapToGrid w:val="0"/>
          <w:kern w:val="0"/>
          <w:szCs w:val="28"/>
        </w:rPr>
        <w:fldChar w:fldCharType="separate"/>
      </w:r>
      <w:r>
        <w:rPr>
          <w:rFonts w:hint="eastAsia" w:ascii="仿宋_GB2312" w:hAnsi="Times New Roman" w:eastAsia="仿宋_GB2312"/>
          <w:bCs w:val="0"/>
          <w:snapToGrid w:val="0"/>
          <w:kern w:val="0"/>
          <w:szCs w:val="28"/>
        </w:rPr>
        <w:t>二、估价对象权属证明复印件</w:t>
      </w:r>
      <w:r>
        <w:tab/>
      </w:r>
      <w:r>
        <w:fldChar w:fldCharType="begin"/>
      </w:r>
      <w:r>
        <w:instrText xml:space="preserve"> PAGEREF _Toc16724 </w:instrText>
      </w:r>
      <w:r>
        <w:fldChar w:fldCharType="separate"/>
      </w:r>
      <w:r>
        <w:t>40</w:t>
      </w:r>
      <w:r>
        <w:fldChar w:fldCharType="end"/>
      </w:r>
      <w:r>
        <w:rPr>
          <w:rFonts w:hint="eastAsia" w:ascii="楷体_GB2312" w:hAnsi="宋体" w:eastAsia="楷体_GB2312"/>
          <w:snapToGrid w:val="0"/>
          <w:kern w:val="0"/>
          <w:szCs w:val="28"/>
        </w:rPr>
        <w:fldChar w:fldCharType="end"/>
      </w:r>
    </w:p>
    <w:p>
      <w:pPr>
        <w:pStyle w:val="37"/>
        <w:tabs>
          <w:tab w:val="right" w:leader="dot" w:pos="845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_Toc7686 </w:instrText>
      </w:r>
      <w:r>
        <w:rPr>
          <w:rFonts w:hint="eastAsia" w:ascii="楷体_GB2312" w:hAnsi="宋体" w:eastAsia="楷体_GB2312"/>
          <w:snapToGrid w:val="0"/>
          <w:kern w:val="0"/>
          <w:szCs w:val="28"/>
        </w:rPr>
        <w:fldChar w:fldCharType="separate"/>
      </w:r>
      <w:r>
        <w:rPr>
          <w:rFonts w:hint="eastAsia" w:ascii="仿宋_GB2312" w:hAnsi="Times New Roman" w:eastAsia="仿宋_GB2312"/>
          <w:bCs w:val="0"/>
          <w:snapToGrid w:val="0"/>
          <w:kern w:val="0"/>
          <w:szCs w:val="28"/>
        </w:rPr>
        <w:t>三、评估委托合同及委托方身份证复印件</w:t>
      </w:r>
      <w:r>
        <w:tab/>
      </w:r>
      <w:r>
        <w:fldChar w:fldCharType="begin"/>
      </w:r>
      <w:r>
        <w:instrText xml:space="preserve"> PAGEREF _Toc7686 </w:instrText>
      </w:r>
      <w:r>
        <w:fldChar w:fldCharType="separate"/>
      </w:r>
      <w:r>
        <w:t>40</w:t>
      </w:r>
      <w:r>
        <w:fldChar w:fldCharType="end"/>
      </w:r>
      <w:r>
        <w:rPr>
          <w:rFonts w:hint="eastAsia" w:ascii="楷体_GB2312" w:hAnsi="宋体" w:eastAsia="楷体_GB2312"/>
          <w:snapToGrid w:val="0"/>
          <w:kern w:val="0"/>
          <w:szCs w:val="28"/>
        </w:rPr>
        <w:fldChar w:fldCharType="end"/>
      </w:r>
    </w:p>
    <w:p>
      <w:pPr>
        <w:pStyle w:val="37"/>
        <w:tabs>
          <w:tab w:val="right" w:leader="dot" w:pos="845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_Toc9844 </w:instrText>
      </w:r>
      <w:r>
        <w:rPr>
          <w:rFonts w:hint="eastAsia" w:ascii="楷体_GB2312" w:hAnsi="宋体" w:eastAsia="楷体_GB2312"/>
          <w:snapToGrid w:val="0"/>
          <w:kern w:val="0"/>
          <w:szCs w:val="28"/>
        </w:rPr>
        <w:fldChar w:fldCharType="separate"/>
      </w:r>
      <w:r>
        <w:rPr>
          <w:rFonts w:hint="eastAsia" w:ascii="仿宋_GB2312" w:hAnsi="Times New Roman" w:eastAsia="仿宋_GB2312"/>
          <w:bCs w:val="0"/>
          <w:snapToGrid w:val="0"/>
          <w:kern w:val="0"/>
          <w:szCs w:val="28"/>
        </w:rPr>
        <w:t>四、估价机构资质与工商营业执照复印件</w:t>
      </w:r>
      <w:r>
        <w:tab/>
      </w:r>
      <w:r>
        <w:fldChar w:fldCharType="begin"/>
      </w:r>
      <w:r>
        <w:instrText xml:space="preserve"> PAGEREF _Toc9844 </w:instrText>
      </w:r>
      <w:r>
        <w:fldChar w:fldCharType="separate"/>
      </w:r>
      <w:r>
        <w:t>40</w:t>
      </w:r>
      <w:r>
        <w:fldChar w:fldCharType="end"/>
      </w:r>
      <w:r>
        <w:rPr>
          <w:rFonts w:hint="eastAsia" w:ascii="楷体_GB2312" w:hAnsi="宋体" w:eastAsia="楷体_GB2312"/>
          <w:snapToGrid w:val="0"/>
          <w:kern w:val="0"/>
          <w:szCs w:val="28"/>
        </w:rPr>
        <w:fldChar w:fldCharType="end"/>
      </w:r>
    </w:p>
    <w:p>
      <w:pPr>
        <w:pStyle w:val="37"/>
        <w:tabs>
          <w:tab w:val="right" w:leader="dot" w:pos="8458"/>
        </w:tabs>
      </w:pPr>
      <w:r>
        <w:rPr>
          <w:rFonts w:hint="eastAsia" w:ascii="楷体_GB2312" w:hAnsi="宋体" w:eastAsia="楷体_GB2312"/>
          <w:snapToGrid w:val="0"/>
          <w:kern w:val="0"/>
          <w:szCs w:val="28"/>
        </w:rPr>
        <w:fldChar w:fldCharType="begin"/>
      </w:r>
      <w:r>
        <w:rPr>
          <w:rFonts w:hint="eastAsia" w:ascii="楷体_GB2312" w:hAnsi="宋体" w:eastAsia="楷体_GB2312"/>
          <w:snapToGrid w:val="0"/>
          <w:kern w:val="0"/>
          <w:szCs w:val="28"/>
        </w:rPr>
        <w:instrText xml:space="preserve"> HYPERLINK \l _Toc32202 </w:instrText>
      </w:r>
      <w:r>
        <w:rPr>
          <w:rFonts w:hint="eastAsia" w:ascii="楷体_GB2312" w:hAnsi="宋体" w:eastAsia="楷体_GB2312"/>
          <w:snapToGrid w:val="0"/>
          <w:kern w:val="0"/>
          <w:szCs w:val="28"/>
        </w:rPr>
        <w:fldChar w:fldCharType="separate"/>
      </w:r>
      <w:r>
        <w:rPr>
          <w:rFonts w:hint="eastAsia" w:ascii="仿宋_GB2312" w:hAnsi="Times New Roman" w:eastAsia="仿宋_GB2312"/>
          <w:bCs w:val="0"/>
          <w:snapToGrid w:val="0"/>
          <w:kern w:val="0"/>
          <w:szCs w:val="28"/>
        </w:rPr>
        <w:t>五、注册房地产估价师注册证书复印件</w:t>
      </w:r>
      <w:r>
        <w:tab/>
      </w:r>
      <w:r>
        <w:fldChar w:fldCharType="begin"/>
      </w:r>
      <w:r>
        <w:instrText xml:space="preserve"> PAGEREF _Toc32202 </w:instrText>
      </w:r>
      <w:r>
        <w:fldChar w:fldCharType="separate"/>
      </w:r>
      <w:r>
        <w:t>40</w:t>
      </w:r>
      <w:r>
        <w:fldChar w:fldCharType="end"/>
      </w:r>
      <w:r>
        <w:rPr>
          <w:rFonts w:hint="eastAsia" w:ascii="楷体_GB2312" w:hAnsi="宋体" w:eastAsia="楷体_GB2312"/>
          <w:snapToGrid w:val="0"/>
          <w:kern w:val="0"/>
          <w:szCs w:val="28"/>
        </w:rPr>
        <w:fldChar w:fldCharType="end"/>
      </w:r>
    </w:p>
    <w:p>
      <w:pPr>
        <w:tabs>
          <w:tab w:val="right" w:leader="dot" w:pos="8174"/>
        </w:tabs>
        <w:spacing w:line="400" w:lineRule="exact"/>
        <w:jc w:val="center"/>
        <w:rPr>
          <w:rFonts w:eastAsia="黑体"/>
          <w:snapToGrid w:val="0"/>
          <w:kern w:val="0"/>
          <w:sz w:val="24"/>
        </w:rPr>
        <w:sectPr>
          <w:pgSz w:w="11907" w:h="16840"/>
          <w:pgMar w:top="426" w:right="1723" w:bottom="568" w:left="1726" w:header="680" w:footer="794" w:gutter="284"/>
          <w:pgBorders>
            <w:top w:val="none" w:sz="0" w:space="0"/>
            <w:left w:val="none" w:sz="0" w:space="0"/>
            <w:bottom w:val="none" w:sz="0" w:space="0"/>
            <w:right w:val="none" w:sz="0" w:space="0"/>
          </w:pgBorders>
          <w:cols w:space="720" w:num="1"/>
          <w:docGrid w:type="lines" w:linePitch="479" w:charSpace="11986"/>
        </w:sectPr>
      </w:pPr>
      <w:r>
        <w:rPr>
          <w:rFonts w:hint="eastAsia" w:ascii="楷体_GB2312" w:hAnsi="宋体" w:eastAsia="楷体_GB2312"/>
          <w:snapToGrid w:val="0"/>
          <w:kern w:val="0"/>
          <w:szCs w:val="28"/>
        </w:rPr>
        <w:fldChar w:fldCharType="end"/>
      </w:r>
    </w:p>
    <w:p>
      <w:pPr>
        <w:pStyle w:val="2"/>
        <w:spacing w:before="120" w:after="240" w:line="240" w:lineRule="atLeast"/>
        <w:rPr>
          <w:rFonts w:ascii="黑体" w:eastAsia="黑体"/>
          <w:snapToGrid w:val="0"/>
          <w:kern w:val="0"/>
          <w:sz w:val="44"/>
          <w:szCs w:val="44"/>
        </w:rPr>
      </w:pPr>
      <w:bookmarkStart w:id="0" w:name="_Toc23360"/>
      <w:r>
        <w:rPr>
          <w:rFonts w:hint="eastAsia" w:ascii="黑体" w:eastAsia="黑体"/>
          <w:snapToGrid w:val="0"/>
          <w:kern w:val="0"/>
          <w:sz w:val="44"/>
          <w:szCs w:val="44"/>
        </w:rPr>
        <w:t>致委托方函</w:t>
      </w:r>
      <w:bookmarkEnd w:id="0"/>
    </w:p>
    <w:p>
      <w:pPr>
        <w:pStyle w:val="35"/>
        <w:adjustRightInd w:val="0"/>
        <w:snapToGrid w:val="0"/>
        <w:ind w:firstLine="0"/>
        <w:rPr>
          <w:rFonts w:ascii="黑体" w:eastAsia="黑体"/>
          <w:snapToGrid w:val="0"/>
          <w:sz w:val="30"/>
          <w:szCs w:val="30"/>
        </w:rPr>
      </w:pPr>
      <w:r>
        <w:rPr>
          <w:rFonts w:hint="eastAsia" w:ascii="黑体" w:eastAsia="黑体"/>
          <w:snapToGrid w:val="0"/>
          <w:sz w:val="30"/>
          <w:szCs w:val="30"/>
        </w:rPr>
        <w:t>汕头市潮阳区人民法院：</w:t>
      </w:r>
    </w:p>
    <w:p>
      <w:pPr>
        <w:pStyle w:val="35"/>
        <w:adjustRightInd w:val="0"/>
        <w:snapToGrid w:val="0"/>
        <w:ind w:firstLine="560" w:firstLineChars="200"/>
        <w:rPr>
          <w:rFonts w:ascii="仿宋_GB2312" w:eastAsia="仿宋_GB2312"/>
          <w:snapToGrid w:val="0"/>
          <w:sz w:val="28"/>
          <w:szCs w:val="28"/>
        </w:rPr>
      </w:pPr>
      <w:r>
        <w:rPr>
          <w:rFonts w:hint="eastAsia" w:ascii="仿宋_GB2312" w:eastAsia="仿宋_GB2312"/>
          <w:snapToGrid w:val="0"/>
          <w:sz w:val="28"/>
          <w:szCs w:val="28"/>
        </w:rPr>
        <w:t>根据贵院提供的《评估委托书》（</w:t>
      </w:r>
      <w:r>
        <w:rPr>
          <w:rFonts w:hint="eastAsia" w:ascii="仿宋_GB2312" w:eastAsia="仿宋_GB2312"/>
          <w:snapToGrid w:val="0"/>
          <w:sz w:val="28"/>
          <w:szCs w:val="28"/>
          <w:lang w:eastAsia="zh-CN"/>
        </w:rPr>
        <w:t>(2019)汕阳法技鉴字第26号</w:t>
      </w:r>
      <w:r>
        <w:rPr>
          <w:rFonts w:hint="eastAsia" w:ascii="仿宋_GB2312" w:eastAsia="仿宋_GB2312"/>
          <w:snapToGrid w:val="0"/>
          <w:sz w:val="28"/>
          <w:szCs w:val="28"/>
        </w:rPr>
        <w:t>），本次价值时点设定为</w:t>
      </w:r>
      <w:r>
        <w:rPr>
          <w:rFonts w:hint="eastAsia" w:ascii="仿宋_GB2312" w:eastAsia="仿宋_GB2312"/>
          <w:snapToGrid w:val="0"/>
          <w:sz w:val="28"/>
          <w:szCs w:val="28"/>
          <w:lang w:eastAsia="zh-CN"/>
        </w:rPr>
        <w:t>二〇一九年五月二十七日</w:t>
      </w:r>
      <w:r>
        <w:rPr>
          <w:rFonts w:hint="eastAsia" w:ascii="仿宋_GB2312" w:eastAsia="仿宋_GB2312"/>
          <w:snapToGrid w:val="0"/>
          <w:sz w:val="28"/>
          <w:szCs w:val="28"/>
        </w:rPr>
        <w:t>；估价目的是为贵院进行司法处置提供价值参考；报告应用的有效期自完成并提交估价报告之日起原则上规定为一年（自</w:t>
      </w:r>
      <w:r>
        <w:rPr>
          <w:rFonts w:hint="eastAsia" w:ascii="仿宋_GB2312" w:eastAsia="仿宋_GB2312"/>
          <w:snapToGrid w:val="0"/>
          <w:sz w:val="28"/>
          <w:szCs w:val="28"/>
          <w:lang w:eastAsia="zh-CN"/>
        </w:rPr>
        <w:t>二〇一九年六月二十六日</w:t>
      </w:r>
      <w:r>
        <w:rPr>
          <w:rFonts w:hint="eastAsia" w:ascii="仿宋_GB2312" w:eastAsia="仿宋_GB2312"/>
          <w:snapToGrid w:val="0"/>
          <w:sz w:val="28"/>
          <w:szCs w:val="28"/>
        </w:rPr>
        <w:t>至</w:t>
      </w:r>
      <w:r>
        <w:rPr>
          <w:rFonts w:hint="eastAsia" w:ascii="仿宋_GB2312" w:eastAsia="仿宋_GB2312"/>
          <w:snapToGrid w:val="0"/>
          <w:sz w:val="28"/>
          <w:szCs w:val="28"/>
          <w:lang w:eastAsia="zh-CN"/>
        </w:rPr>
        <w:t>二〇二〇年六月二十五日</w:t>
      </w:r>
      <w:r>
        <w:rPr>
          <w:rFonts w:hint="eastAsia" w:ascii="仿宋_GB2312" w:eastAsia="仿宋_GB2312"/>
          <w:snapToGrid w:val="0"/>
          <w:sz w:val="28"/>
          <w:szCs w:val="28"/>
        </w:rPr>
        <w:t>止），若房地产市场有较大波动或超过一年或房地产状况发生变化，需重新进行评估。</w:t>
      </w:r>
    </w:p>
    <w:p>
      <w:pPr>
        <w:pStyle w:val="35"/>
        <w:adjustRightInd w:val="0"/>
        <w:snapToGrid w:val="0"/>
        <w:ind w:firstLine="420" w:firstLineChars="150"/>
        <w:rPr>
          <w:rFonts w:ascii="仿宋_GB2312" w:eastAsia="仿宋_GB2312"/>
          <w:snapToGrid w:val="0"/>
          <w:sz w:val="28"/>
          <w:szCs w:val="28"/>
        </w:rPr>
      </w:pPr>
      <w:r>
        <w:rPr>
          <w:rFonts w:hint="eastAsia" w:ascii="仿宋_GB2312" w:eastAsia="仿宋_GB2312"/>
          <w:snapToGrid w:val="0"/>
          <w:sz w:val="28"/>
          <w:szCs w:val="28"/>
        </w:rPr>
        <w:t>本着独立、客观、公正、合法的原则，估价人员在进行实地查勘、广泛收集有关市场信息和估价对象信息的基础上，全面分析了影响估价对象价值的各项有利和不利因素，根据国家有关房地产估价的法律法规和估价目的，按照科学的估价程序，对估价对象进行价值测算，确定估价对象（建筑面积为</w:t>
      </w:r>
      <w:r>
        <w:rPr>
          <w:rFonts w:hint="eastAsia" w:ascii="仿宋_GB2312" w:eastAsia="仿宋_GB2312"/>
          <w:snapToGrid w:val="0"/>
          <w:sz w:val="28"/>
          <w:szCs w:val="28"/>
          <w:lang w:eastAsia="zh-CN"/>
        </w:rPr>
        <w:t>1577.48</w:t>
      </w:r>
      <w:r>
        <w:rPr>
          <w:rFonts w:hint="eastAsia" w:ascii="仿宋_GB2312" w:eastAsia="仿宋_GB2312"/>
          <w:snapToGrid w:val="0"/>
          <w:sz w:val="28"/>
          <w:szCs w:val="28"/>
        </w:rPr>
        <w:t>平方米）于价值时点</w:t>
      </w:r>
      <w:r>
        <w:rPr>
          <w:rFonts w:hint="eastAsia" w:ascii="仿宋_GB2312" w:eastAsia="仿宋_GB2312"/>
          <w:snapToGrid w:val="0"/>
          <w:sz w:val="28"/>
          <w:szCs w:val="28"/>
          <w:lang w:eastAsia="zh-CN"/>
        </w:rPr>
        <w:t>2019年05月27日</w:t>
      </w:r>
      <w:r>
        <w:rPr>
          <w:rFonts w:hint="eastAsia" w:ascii="仿宋_GB2312" w:eastAsia="仿宋_GB2312"/>
          <w:snapToGrid w:val="0"/>
          <w:sz w:val="28"/>
          <w:szCs w:val="28"/>
        </w:rPr>
        <w:t>的市场价值为</w:t>
      </w:r>
      <w:r>
        <w:rPr>
          <w:rFonts w:hint="eastAsia" w:ascii="仿宋_GB2312" w:eastAsia="仿宋_GB2312"/>
          <w:snapToGrid w:val="0"/>
          <w:sz w:val="28"/>
          <w:szCs w:val="28"/>
          <w:lang w:eastAsia="zh-CN"/>
        </w:rPr>
        <w:t>7,035,600</w:t>
      </w:r>
      <w:r>
        <w:rPr>
          <w:rFonts w:hint="eastAsia" w:ascii="仿宋_GB2312" w:eastAsia="仿宋_GB2312"/>
          <w:snapToGrid w:val="0"/>
          <w:sz w:val="28"/>
          <w:szCs w:val="28"/>
        </w:rPr>
        <w:t>元人民币，大写人民币</w:t>
      </w:r>
      <w:r>
        <w:rPr>
          <w:rFonts w:hint="eastAsia" w:ascii="仿宋_GB2312" w:eastAsia="仿宋_GB2312"/>
          <w:b/>
          <w:snapToGrid w:val="0"/>
          <w:sz w:val="28"/>
          <w:szCs w:val="28"/>
          <w:lang w:eastAsia="zh-CN"/>
        </w:rPr>
        <w:t>柒佰零叁万伍仟陆佰</w:t>
      </w:r>
      <w:r>
        <w:rPr>
          <w:rFonts w:hint="eastAsia" w:ascii="仿宋_GB2312" w:eastAsia="仿宋_GB2312"/>
          <w:snapToGrid w:val="0"/>
          <w:sz w:val="28"/>
          <w:szCs w:val="28"/>
        </w:rPr>
        <w:t>元整。估价结果详见《估价结果明细表》。</w:t>
      </w:r>
    </w:p>
    <w:p>
      <w:pPr>
        <w:adjustRightInd w:val="0"/>
        <w:snapToGrid w:val="0"/>
        <w:spacing w:line="360" w:lineRule="auto"/>
        <w:jc w:val="center"/>
        <w:rPr>
          <w:rFonts w:hint="eastAsia" w:ascii="仿宋_GB2312" w:hAnsi="仿宋_GB2312" w:eastAsia="仿宋_GB2312" w:cs="仿宋_GB2312"/>
          <w:kern w:val="0"/>
          <w:sz w:val="18"/>
          <w:szCs w:val="18"/>
          <w:lang w:val="en-US" w:eastAsia="zh-CN"/>
        </w:rPr>
      </w:pPr>
      <w:r>
        <w:rPr>
          <w:rFonts w:hint="eastAsia" w:ascii="仿宋_GB2312" w:hAnsi="Arial" w:eastAsia="仿宋_GB2312"/>
          <w:b/>
          <w:snapToGrid w:val="0"/>
          <w:sz w:val="28"/>
        </w:rPr>
        <w:t>估价结果明细表</w:t>
      </w:r>
    </w:p>
    <w:tbl>
      <w:tblPr>
        <w:tblStyle w:val="45"/>
        <w:tblW w:w="9777" w:type="dxa"/>
        <w:tblInd w:w="0" w:type="dxa"/>
        <w:shd w:val="clear" w:color="auto" w:fill="auto"/>
        <w:tblLayout w:type="fixed"/>
        <w:tblCellMar>
          <w:top w:w="0" w:type="dxa"/>
          <w:left w:w="0" w:type="dxa"/>
          <w:bottom w:w="0" w:type="dxa"/>
          <w:right w:w="0" w:type="dxa"/>
        </w:tblCellMar>
      </w:tblPr>
      <w:tblGrid>
        <w:gridCol w:w="1391"/>
        <w:gridCol w:w="1170"/>
        <w:gridCol w:w="1267"/>
        <w:gridCol w:w="1267"/>
        <w:gridCol w:w="1157"/>
        <w:gridCol w:w="1322"/>
        <w:gridCol w:w="1019"/>
        <w:gridCol w:w="1184"/>
      </w:tblGrid>
      <w:tr>
        <w:tblPrEx>
          <w:shd w:val="clear" w:color="auto" w:fill="auto"/>
          <w:tblLayout w:type="fixed"/>
          <w:tblCellMar>
            <w:top w:w="0" w:type="dxa"/>
            <w:left w:w="0" w:type="dxa"/>
            <w:bottom w:w="0" w:type="dxa"/>
            <w:right w:w="0" w:type="dxa"/>
          </w:tblCellMar>
        </w:tblPrEx>
        <w:trPr>
          <w:trHeight w:val="800" w:hRule="atLeast"/>
        </w:trPr>
        <w:tc>
          <w:tcPr>
            <w:tcW w:w="1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估价对象</w:t>
            </w:r>
          </w:p>
        </w:tc>
        <w:tc>
          <w:tcPr>
            <w:tcW w:w="11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用途</w:t>
            </w:r>
          </w:p>
        </w:tc>
        <w:tc>
          <w:tcPr>
            <w:tcW w:w="12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权属人</w:t>
            </w:r>
          </w:p>
        </w:tc>
        <w:tc>
          <w:tcPr>
            <w:tcW w:w="12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产权证号</w:t>
            </w:r>
          </w:p>
        </w:tc>
        <w:tc>
          <w:tcPr>
            <w:tcW w:w="1157"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土地性质</w:t>
            </w:r>
          </w:p>
        </w:tc>
        <w:tc>
          <w:tcPr>
            <w:tcW w:w="132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建筑面积（㎡）</w:t>
            </w:r>
          </w:p>
        </w:tc>
        <w:tc>
          <w:tcPr>
            <w:tcW w:w="10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评估单价（元/㎡）</w:t>
            </w:r>
          </w:p>
        </w:tc>
        <w:tc>
          <w:tcPr>
            <w:tcW w:w="1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评估总价（元）</w:t>
            </w:r>
          </w:p>
        </w:tc>
      </w:tr>
      <w:tr>
        <w:tblPrEx>
          <w:tblLayout w:type="fixed"/>
          <w:tblCellMar>
            <w:top w:w="0" w:type="dxa"/>
            <w:left w:w="0" w:type="dxa"/>
            <w:bottom w:w="0" w:type="dxa"/>
            <w:right w:w="0" w:type="dxa"/>
          </w:tblCellMar>
        </w:tblPrEx>
        <w:trPr>
          <w:trHeight w:val="400" w:hRule="atLeast"/>
        </w:trPr>
        <w:tc>
          <w:tcPr>
            <w:tcW w:w="13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汕头市潮阳区谷饶镇谷苑商场A4幢3-7号坐南向北</w:t>
            </w: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住宅</w:t>
            </w:r>
          </w:p>
        </w:tc>
        <w:tc>
          <w:tcPr>
            <w:tcW w:w="126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张宝生</w:t>
            </w:r>
          </w:p>
        </w:tc>
        <w:tc>
          <w:tcPr>
            <w:tcW w:w="126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粤房地证字第C6956883号</w:t>
            </w:r>
          </w:p>
        </w:tc>
        <w:tc>
          <w:tcPr>
            <w:tcW w:w="115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bookmarkStart w:id="65" w:name="_GoBack"/>
            <w:bookmarkEnd w:id="65"/>
            <w:r>
              <w:rPr>
                <w:sz w:val="20"/>
              </w:rPr>
              <w:pict>
                <v:group id="_x0000_s1030" o:spid="_x0000_s1030" o:spt="203" style="position:absolute;left:0pt;margin-left:46.45pt;margin-top:16.9pt;height:123.05pt;width:123.05pt;mso-position-horizontal-relative:page;mso-position-vertical-relative:page;z-index:251675648;mso-width-relative:page;mso-height-relative:page;" coordsize="1562735,1562735" editas="canvas">
                  <o:lock v:ext="edit" aspectratio="f"/>
                  <v:shape id="_x0000_s1029" o:spid="_x0000_s1029" o:spt="75" type="#_x0000_t75" style="position:absolute;left:0;top:0;height:1562735;width:1562735;" filled="f" stroked="f" coordsize="21600,21600">
                    <v:path/>
                    <v:fill on="f" focussize="0,0"/>
                    <v:stroke on="f"/>
                    <v:imagedata o:title=""/>
                    <o:lock v:ext="edit" aspectratio="f"/>
                  </v:shape>
                  <v:group id="_x0000_s1026" o:spid="_x0000_s1026" o:spt="203" style="position:absolute;left:0;top:0;height:1562100;width:1562100;" coordsize="2460,2460" o:gfxdata="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">
                    <o:lock v:ext="edit" aspectratio="f"/>
                    <v:shape id="_x0000_s1031" o:spid="_x0000_s1031" o:spt="202" alt="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" type="#_x0000_t202" style="position:absolute;left:0;top:0;height:2381;width:2381;visibility:hidden;" filled="f" stroked="f" coordsize="21600,21600">
                      <v:path/>
                      <v:fill on="f" focussize="0,0"/>
                      <v:stroke on="f"/>
                      <v:imagedata o:title=""/>
                      <o:lock v:ext="edit" aspectratio="f"/>
                      <v:textbox>
                        <w:txbxContent>
                          <w:p/>
                        </w:txbxContent>
                      </v:textbox>
                    </v:shape>
                    <v:shape id="_x0000_s1032" o:spid="_x0000_s1032" o:spt="202" alt="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" type="#_x0000_t202" style="position:absolute;left:0;top:0;height:2381;width:2381;visibility:hidden;" filled="f" stroked="f" coordsize="21600,21600">
                      <v:path/>
                      <v:fill on="f" focussize="0,0"/>
                      <v:stroke on="f"/>
                      <v:imagedata o:title=""/>
                      <o:lock v:ext="edit" aspectratio="f"/>
                      <v:textbox>
                        <w:txbxContent>
                          <w:p/>
                        </w:txbxContent>
                      </v:textbox>
                    </v:shape>
                    <v:shape id="_x0000_s1033" o:spid="_x0000_s1033" o:spt="202" alt="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" type="#_x0000_t202" style="position:absolute;left:0;top:0;height:2381;width:2381;visibility:hidden;" filled="f" stroked="f" coordsize="21600,21600">
                      <v:path/>
                      <v:fill on="f" focussize="0,0"/>
                      <v:stroke on="f"/>
                      <v:imagedata o:title=""/>
                      <o:lock v:ext="edit" aspectratio="f"/>
                      <v:textbox>
                        <w:txbxContent>
                          <w:p/>
                        </w:txbxContent>
                      </v:textbox>
                    </v:shape>
                    <v:shape id="_x0000_s1034" o:spid="_x0000_s1034" o:spt="202" type="#_x0000_t202" style="position:absolute;left:0;top:0;height:2381;width:2381;visibility:hidden;" filled="f" stroked="f" coordsize="21600,21600">
                      <v:path/>
                      <v:fill on="f" focussize="0,0"/>
                      <v:stroke on="f"/>
                      <v:imagedata o:title=""/>
                      <o:lock v:ext="edit" aspectratio="f"/>
                      <v:textbox>
                        <w:txbxContent>
                          <w:p/>
                        </w:txbxContent>
                      </v:textbox>
                    </v:shape>
                    <v:shape id="_x0000_s1035" o:spid="_x0000_s1035" o:spt="202" type="#_x0000_t202" style="position:absolute;left:0;top:0;height:2381;width:2381;visibility:hidden;" filled="f" stroked="f" coordsize="21600,21600">
                      <v:path/>
                      <v:fill on="f" focussize="0,0"/>
                      <v:stroke on="f"/>
                      <v:imagedata o:title=""/>
                      <o:lock v:ext="edit" aspectratio="f"/>
                      <v:textbox>
                        <w:txbxContent>
                          <w:p/>
                        </w:txbxContent>
                      </v:textbox>
                    </v:shape>
                    <v:shape id="_x0000_s1026" o:spid="_x0000_s1026" o:spt="75" alt="Sig32" type="#_x0000_t75" style="position:absolute;left:0;top:0;height:2461;width:2461;" filled="f" o:preferrelative="t" stroked="f" coordsize="21600,21600" o:gfxdata="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ZZM2vQAA&#10;ANoAAAAPAAAAAAAAAAEAIAAAACIAAABkcnMvZG93bnJldi54bWxQSwECFAAUAAAACACHTuJAMy8F&#10;njsAAAA5AAAAEAAAAAAAAAABACAAAAAMAQAAZHJzL3NoYXBleG1sLnhtbFBLBQYAAAAABgAGAFsB&#10;AAC2AwAAAAA=&#10;">
                      <v:fill on="f" focussize="0,0"/>
                      <v:stroke on="f"/>
                      <v:imagedata r:id="rId8" chromakey="#FFFFFF" o:title="Sig32"/>
                      <o:lock v:ext="edit" aspectratio="t"/>
                    </v:shape>
                    <v:shape id="_x0000_s1026" o:spid="_x0000_s1026" o:spt="75" alt="Sig32" type="#_x0000_t75" style="position:absolute;left:0;top:0;height:2461;width:2461;visibility:hidden;" filled="f" o:preferrelative="t" stroked="f" coordsize="21600,21600" o:gfxdata="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LInwvQAA&#10;ANoAAAAPAAAAAAAAAAEAIAAAACIAAABkcnMvZG93bnJldi54bWxQSwECFAAUAAAACACHTuJAMy8F&#10;njsAAAA5AAAAEAAAAAAAAAABACAAAAAMAQAAZHJzL3NoYXBleG1sLnhtbFBLBQYAAAAABgAGAFsB&#10;AAC2AwAAAAA=&#10;">
                      <v:fill on="f" focussize="0,0"/>
                      <v:stroke on="f"/>
                      <v:imagedata r:id="rId8" chromakey="#FFFFFF" o:title="Sig32"/>
                      <o:lock v:ext="edit" aspectratio="t"/>
                    </v:shape>
                    <v:shape id="_x0000_s1026" o:spid="_x0000_s1026" o:spt="75" alt="Err" type="#_x0000_t75" style="position:absolute;left:0;top:0;height:2461;width:2461;visibility:hidden;" filled="f" o:preferrelative="t" stroked="f" coordsize="21600,21600" o:gfxdata="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LRJu/&#10;AAAA2gAAAA8AAAAAAAAAAQAgAAAAIgAAAGRycy9kb3ducmV2LnhtbFBLAQIUABQAAAAIAIdO4kAz&#10;LwWeOwAAADkAAAAQAAAAAAAAAAEAIAAAAA4BAABkcnMvc2hhcGV4bWwueG1sUEsFBgAAAAAGAAYA&#10;WwEAALgDAAAAAA==&#10;">
                      <v:fill on="f" focussize="0,0"/>
                      <v:stroke on="f"/>
                      <v:imagedata r:id="rId9" chromakey="#FFFFFF" o:title="Err"/>
                      <o:lock v:ext="edit" aspectratio="t"/>
                    </v:shape>
                  </v:group>
                </v:group>
              </w:pict>
            </w:r>
            <w:r>
              <w:rPr>
                <w:rFonts w:hint="eastAsia" w:ascii="仿宋" w:hAnsi="仿宋" w:eastAsia="仿宋" w:cs="仿宋"/>
                <w:i w:val="0"/>
                <w:color w:val="000000"/>
                <w:kern w:val="0"/>
                <w:sz w:val="20"/>
                <w:szCs w:val="20"/>
                <w:u w:val="none"/>
                <w:lang w:val="en-US" w:eastAsia="zh-CN" w:bidi="ar"/>
              </w:rPr>
              <w:t>集体</w:t>
            </w:r>
          </w:p>
        </w:tc>
        <w:tc>
          <w:tcPr>
            <w:tcW w:w="132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1577.48</w:t>
            </w:r>
          </w:p>
        </w:tc>
        <w:tc>
          <w:tcPr>
            <w:tcW w:w="101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4,460 </w:t>
            </w:r>
          </w:p>
        </w:tc>
        <w:tc>
          <w:tcPr>
            <w:tcW w:w="11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7,035,600 </w:t>
            </w:r>
          </w:p>
        </w:tc>
      </w:tr>
      <w:tr>
        <w:tblPrEx>
          <w:tblLayout w:type="fixed"/>
          <w:tblCellMar>
            <w:top w:w="0" w:type="dxa"/>
            <w:left w:w="0" w:type="dxa"/>
            <w:bottom w:w="0" w:type="dxa"/>
            <w:right w:w="0" w:type="dxa"/>
          </w:tblCellMar>
        </w:tblPrEx>
        <w:trPr>
          <w:trHeight w:val="400" w:hRule="atLeast"/>
        </w:trPr>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2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2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1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3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1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r>
      <w:tr>
        <w:tblPrEx>
          <w:tblLayout w:type="fixed"/>
          <w:tblCellMar>
            <w:top w:w="0" w:type="dxa"/>
            <w:left w:w="0" w:type="dxa"/>
            <w:bottom w:w="0" w:type="dxa"/>
            <w:right w:w="0" w:type="dxa"/>
          </w:tblCellMar>
        </w:tblPrEx>
        <w:trPr>
          <w:trHeight w:val="400" w:hRule="atLeast"/>
        </w:trPr>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2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26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1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32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0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1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r>
    </w:tbl>
    <w:p>
      <w:pPr>
        <w:adjustRightInd w:val="0"/>
        <w:snapToGrid w:val="0"/>
        <w:spacing w:line="360" w:lineRule="auto"/>
        <w:rPr>
          <w:rFonts w:ascii="仿宋_GB2312" w:hAnsi="仿宋_GB2312" w:eastAsia="仿宋_GB2312" w:cs="仿宋_GB2312"/>
          <w:kern w:val="0"/>
          <w:sz w:val="18"/>
          <w:szCs w:val="18"/>
        </w:rPr>
      </w:pPr>
      <w:r>
        <w:rPr>
          <w:rFonts w:hint="eastAsia" w:ascii="仿宋_GB2312" w:hAnsi="仿宋_GB2312" w:eastAsia="仿宋_GB2312" w:cs="仿宋_GB2312"/>
          <w:kern w:val="0"/>
          <w:sz w:val="18"/>
          <w:szCs w:val="18"/>
        </w:rPr>
        <w:t>备注：根据委托方委托，估价对象拍卖成交时有关税费用由买受人承担，评估结果已考虑。</w:t>
      </w:r>
    </w:p>
    <w:p>
      <w:pPr>
        <w:adjustRightInd w:val="0"/>
        <w:snapToGrid w:val="0"/>
        <w:spacing w:line="360" w:lineRule="auto"/>
        <w:rPr>
          <w:rFonts w:hint="eastAsia" w:ascii="黑体" w:hAnsi="黑体" w:eastAsia="黑体"/>
          <w:kern w:val="0"/>
          <w:sz w:val="28"/>
          <w:szCs w:val="28"/>
          <w:lang w:eastAsia="zh-CN"/>
        </w:rPr>
      </w:pPr>
    </w:p>
    <w:p>
      <w:pPr>
        <w:adjustRightInd w:val="0"/>
        <w:snapToGrid w:val="0"/>
        <w:spacing w:line="360" w:lineRule="auto"/>
        <w:ind w:firstLine="4200" w:firstLineChars="1500"/>
        <w:rPr>
          <w:rFonts w:ascii="黑体" w:hAnsi="黑体" w:eastAsia="黑体"/>
          <w:kern w:val="0"/>
          <w:sz w:val="28"/>
          <w:szCs w:val="28"/>
        </w:rPr>
      </w:pPr>
      <w:r>
        <w:rPr>
          <w:rFonts w:hint="eastAsia" w:ascii="黑体" w:hAnsi="黑体" w:eastAsia="黑体"/>
          <w:kern w:val="0"/>
          <w:sz w:val="28"/>
          <w:szCs w:val="28"/>
        </w:rPr>
        <w:t>深圳市国咨土地房地产资产评估有限公司</w:t>
      </w:r>
    </w:p>
    <w:p>
      <w:pPr>
        <w:adjustRightInd w:val="0"/>
        <w:snapToGrid w:val="0"/>
        <w:spacing w:line="360" w:lineRule="auto"/>
        <w:ind w:firstLine="560" w:firstLineChars="200"/>
        <w:rPr>
          <w:rFonts w:ascii="黑体" w:hAnsi="黑体" w:eastAsia="黑体"/>
          <w:kern w:val="0"/>
          <w:sz w:val="28"/>
          <w:szCs w:val="28"/>
        </w:rPr>
      </w:pPr>
      <w:r>
        <w:rPr>
          <w:sz w:val="28"/>
        </w:rPr>
        <w:pict>
          <v:shape id="_x0000_s1027" o:spid="_x0000_s1027" o:spt="201" type="#_x0000_t201" style="position:absolute;left:0pt;margin-left:356.25pt;margin-top:662.3pt;height:99pt;width:99pt;mso-position-horizontal-relative:page;mso-position-vertical-relative:page;z-index:-251640832;mso-width-relative:page;mso-height-relative:page;" o:ole="t" filled="f" o:preferrelative="t" stroked="f" coordsize="21600,21600">
            <v:path/>
            <v:fill on="f" focussize="0,0"/>
            <v:stroke on="f"/>
            <v:imagedata r:id="rId11" o:title=""/>
            <o:lock v:ext="edit" aspectratio="f"/>
          </v:shape>
          <w:control r:id="rId10" w:name="Control 3" w:shapeid="_x0000_s1027"/>
        </w:pict>
      </w:r>
    </w:p>
    <w:p>
      <w:pPr>
        <w:adjustRightInd w:val="0"/>
        <w:snapToGrid w:val="0"/>
        <w:spacing w:line="360" w:lineRule="auto"/>
        <w:ind w:firstLine="4620" w:firstLineChars="1650"/>
        <w:rPr>
          <w:rFonts w:ascii="黑体" w:hAnsi="黑体" w:eastAsia="黑体"/>
          <w:kern w:val="0"/>
          <w:sz w:val="28"/>
          <w:szCs w:val="28"/>
        </w:rPr>
      </w:pPr>
      <w:r>
        <w:rPr>
          <w:rFonts w:hint="eastAsia" w:ascii="黑体" w:hAnsi="黑体" w:eastAsia="黑体"/>
          <w:kern w:val="0"/>
          <w:sz w:val="28"/>
          <w:szCs w:val="28"/>
        </w:rPr>
        <w:t>法定代表人：</w:t>
      </w:r>
    </w:p>
    <w:p>
      <w:pPr>
        <w:adjustRightInd w:val="0"/>
        <w:snapToGrid w:val="0"/>
        <w:spacing w:line="360" w:lineRule="auto"/>
        <w:ind w:firstLine="5740" w:firstLineChars="2050"/>
        <w:rPr>
          <w:rFonts w:hint="eastAsia" w:ascii="黑体" w:hAnsi="黑体" w:eastAsia="黑体"/>
          <w:kern w:val="0"/>
          <w:sz w:val="28"/>
          <w:szCs w:val="28"/>
          <w:lang w:eastAsia="zh-CN"/>
        </w:rPr>
      </w:pPr>
      <w:r>
        <w:rPr>
          <w:rFonts w:hint="eastAsia" w:ascii="黑体" w:hAnsi="黑体" w:eastAsia="黑体"/>
          <w:kern w:val="0"/>
          <w:sz w:val="28"/>
          <w:szCs w:val="28"/>
          <w:lang w:eastAsia="zh-CN"/>
        </w:rPr>
        <w:t>二〇一九年六月二十六日</w:t>
      </w:r>
    </w:p>
    <w:p>
      <w:pPr>
        <w:jc w:val="right"/>
        <w:rPr>
          <w:rFonts w:ascii="黑体" w:eastAsia="黑体"/>
          <w:b/>
          <w:snapToGrid w:val="0"/>
          <w:kern w:val="0"/>
          <w:sz w:val="28"/>
        </w:rPr>
        <w:sectPr>
          <w:footerReference r:id="rId3" w:type="default"/>
          <w:pgSz w:w="11907" w:h="16840"/>
          <w:pgMar w:top="1440" w:right="1080" w:bottom="1440" w:left="1080" w:header="680" w:footer="794" w:gutter="284"/>
          <w:pgBorders>
            <w:top w:val="none" w:sz="0" w:space="0"/>
            <w:left w:val="none" w:sz="0" w:space="0"/>
            <w:bottom w:val="none" w:sz="0" w:space="0"/>
            <w:right w:val="none" w:sz="0" w:space="0"/>
          </w:pgBorders>
          <w:pgNumType w:start="1"/>
          <w:cols w:space="720" w:num="1"/>
          <w:docGrid w:type="lines" w:linePitch="479" w:charSpace="11986"/>
        </w:sectPr>
      </w:pPr>
    </w:p>
    <w:p>
      <w:pPr>
        <w:pStyle w:val="2"/>
        <w:spacing w:before="120" w:after="240" w:line="240" w:lineRule="atLeast"/>
        <w:rPr>
          <w:rFonts w:ascii="黑体" w:eastAsia="黑体"/>
          <w:snapToGrid w:val="0"/>
          <w:kern w:val="0"/>
          <w:sz w:val="44"/>
          <w:szCs w:val="44"/>
        </w:rPr>
      </w:pPr>
      <w:bookmarkStart w:id="1" w:name="_Toc451758622"/>
      <w:bookmarkStart w:id="2" w:name="_Toc451525146"/>
      <w:bookmarkStart w:id="3" w:name="_Toc451761848"/>
      <w:bookmarkStart w:id="4" w:name="_Toc9659"/>
      <w:r>
        <w:rPr>
          <w:rFonts w:hint="eastAsia" w:ascii="黑体" w:eastAsia="黑体"/>
          <w:snapToGrid w:val="0"/>
          <w:kern w:val="0"/>
          <w:sz w:val="44"/>
          <w:szCs w:val="44"/>
        </w:rPr>
        <w:t>注册房地产估价师声明</w:t>
      </w:r>
      <w:bookmarkEnd w:id="1"/>
      <w:bookmarkEnd w:id="2"/>
      <w:bookmarkEnd w:id="3"/>
      <w:bookmarkEnd w:id="4"/>
    </w:p>
    <w:p>
      <w:pPr>
        <w:adjustRightInd w:val="0"/>
        <w:snapToGrid w:val="0"/>
        <w:spacing w:line="360" w:lineRule="auto"/>
        <w:ind w:firstLine="714" w:firstLineChars="200"/>
        <w:rPr>
          <w:rFonts w:ascii="黑体" w:hAnsi="仿宋" w:eastAsia="黑体"/>
          <w:sz w:val="30"/>
          <w:szCs w:val="30"/>
        </w:rPr>
      </w:pPr>
      <w:r>
        <w:rPr>
          <w:rFonts w:hint="eastAsia" w:ascii="黑体" w:hAnsi="仿宋" w:eastAsia="黑体"/>
          <w:b/>
          <w:sz w:val="30"/>
          <w:szCs w:val="30"/>
        </w:rPr>
        <w:t>我们郑重声明</w:t>
      </w:r>
      <w:r>
        <w:rPr>
          <w:rFonts w:hint="eastAsia" w:ascii="黑体" w:hAnsi="仿宋" w:eastAsia="黑体"/>
          <w:sz w:val="30"/>
          <w:szCs w:val="30"/>
        </w:rPr>
        <w:t>：</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1、我们在本估价报告中陈述的事实是真实的和准确的。权证资料及其他有关资料、文件均由委托方提供，委托方应对所提供资料的完整性、真实性、合法性承担全部责任。房地产估价师对于估价对象的权属状况给予必要的关注，但不对估价对象的法律权属做任何形式的保证。</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2、本估价报告中的分析、意见和结论是我们自己公正的专业分析、意见和结论，但估价结果受到本估价报告中已说明的假设和限制条件的限制。</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3、估价师所在的评估机构坚持公正、公平原则，站在中立的立场上实事求是地开展本次评估工作，与本估价报告中的估价对象没有任何利害关系，也与有关当事人没有个人利害关系或偏见。</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4、我们严格依照中华人民共和国国家标准《房地产估价规范》【GB/T50291-2015】进行分析，形成结论，撰写本估价报告。</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5、我们已对本估价报告中的估价对象进行了实地查勘，并对查勘的客观性、真实性、公正性承担责任，但我们对估价对象的现场查勘仅限于其外观和使用状况，对被遮盖、未暴露及难以接触到的部分，我们不承担对估价对象建筑结构质量进行调查的责任，相关权属资料仅以委托方提供的复印件为基础进行形式审查和一般性核对，实质性审查为相关房地产主管单位及部门，故本公司不对其建筑结构质量、数量等内容的准确性及相关权益负责。</w:t>
      </w:r>
    </w:p>
    <w:p>
      <w:pPr>
        <w:pStyle w:val="35"/>
        <w:adjustRightInd w:val="0"/>
        <w:snapToGrid w:val="0"/>
        <w:ind w:firstLine="674" w:firstLineChars="200"/>
        <w:rPr>
          <w:rFonts w:ascii="仿宋_GB2312" w:eastAsia="仿宋_GB2312"/>
          <w:snapToGrid w:val="0"/>
          <w:sz w:val="28"/>
          <w:szCs w:val="28"/>
        </w:rPr>
      </w:pPr>
      <w:r>
        <w:rPr>
          <w:rFonts w:hint="eastAsia" w:ascii="仿宋_GB2312" w:eastAsia="仿宋_GB2312"/>
          <w:snapToGrid w:val="0"/>
          <w:sz w:val="28"/>
          <w:szCs w:val="28"/>
        </w:rPr>
        <w:t>我公司房地产估价师于</w:t>
      </w:r>
      <w:r>
        <w:rPr>
          <w:rFonts w:hint="eastAsia" w:ascii="仿宋_GB2312" w:eastAsia="仿宋_GB2312"/>
          <w:snapToGrid w:val="0"/>
          <w:sz w:val="28"/>
          <w:szCs w:val="28"/>
          <w:lang w:eastAsia="zh-CN"/>
        </w:rPr>
        <w:t>2019年05月27日</w:t>
      </w:r>
      <w:r>
        <w:rPr>
          <w:rFonts w:hint="eastAsia" w:ascii="仿宋_GB2312" w:eastAsia="仿宋_GB2312"/>
          <w:snapToGrid w:val="0"/>
          <w:sz w:val="28"/>
          <w:szCs w:val="28"/>
        </w:rPr>
        <w:t>已对估价对象进行了实地勘察。</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6、注册房地产估价师及其所在的评估机构具备本评估业务所需的执业资格和相关的评估经验。由于估价人员的专业限制，本次估价过程中没有其他专业人员及机构对本估价报告提供诸如结构安全、环境保护、规划控制、产权设定与登记、装修及配套设施设备的权属等方面的专业支持和帮助，委托方应当保证估价对象在合法使用前提下获得收益。</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7、本估价报告是本估价机构根据估价目的，遵循估价原则，采用科学合理的估价方法，在认真分析现有资料的基础上，经过测算，结合估价经验与对影响房地产市场价格因素进行分析，为估价对象在特定估价目的而出具的，但受本估价机构估价人员的职业水平和能力的影响。</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8、本评估报告的使用范围：委托方在使用本报告时，务请注意本评估结果报告中的估价的假设和限制条件。并且本评估报告的全文作为一个不可分割的整体，若仅有部分内容，则不能成为有效的评估报告。</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9、本报告书专为委托方为本报告所列明的估价对象在价值时点和估价目的等条件下的市场客观价值提供参考依据。未经本公司同意，本报告的全部或部分内容不得提供给与本报告估价目的无关的单位或个人，不得发表于任何公开媒体上。</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10、本估价报告若因打印、校对及其他原因发生误差时，请委托方及时通知本评估机构予以更正，否则，误差部分无效。</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11、本报告中的数据全部采用电算化连续计算得出，由于在报告中计算的数据均按四舍五入保留两位小数或取整，因此，可能出现个别等式左右不完全相等的情况，但不影响计算结果及最终评估结论的准确性。</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12、本报告中，除使用政府部门、行业公布的价格资料和公开市场的价格信息外，主要依据估价委托人提供的相关材料，包括但不限于其提供的权属证件等复印件，我们未得到授权也无法定资格核查审验估价委托人提供的资料之真伪，估价委托人应对其提供的全部资料的真实性、合法性、完整性及其可能引起的后果负责。</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13、其他声明事项：出于职业责任，我们与委托方进行必要沟通，避免对本估价报告使用不当的情况发生，提示估价报告使用者合理并恰当使用估价报告，并声明不承担相关当事人决策的责任。估价对象所占用土地性质为集体，目前根据相关国家法律法规，集体土地上的房地产在产权变更会受到相关限制条件的约束，估价对象及其相应的通行权、采光权及其他权利应符合法律规定设置的条件，其具体设置及享受权利的情况请报告使用人咨询规划、国土及房地产管理主管单位予以详细了解后结合本报告结果予以决策，因委托方片面使用报告或用于本报告所限定的估价目的以外用途而导致的法律后果，均由委托方承担，本公司不对此承担任何责任，因此，报告使用人需全面阅读房地产估价报告并合理使用。</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14、本报告须由本评估机构及估价人员签字盖章后方为有效，估价报告的全部或部分复印件均无效。</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15、本评估报告若有其他未尽事宜，则由深圳市国咨土地房地产资产评估有限公司负责解释。</w:t>
      </w:r>
    </w:p>
    <w:p>
      <w:pPr>
        <w:adjustRightInd w:val="0"/>
        <w:snapToGrid w:val="0"/>
        <w:spacing w:line="360" w:lineRule="auto"/>
        <w:ind w:firstLine="433" w:firstLineChars="146"/>
        <w:rPr>
          <w:snapToGrid w:val="0"/>
          <w:kern w:val="0"/>
          <w:sz w:val="24"/>
          <w:szCs w:val="24"/>
        </w:rPr>
      </w:pPr>
    </w:p>
    <w:p>
      <w:pPr>
        <w:adjustRightInd w:val="0"/>
        <w:snapToGrid w:val="0"/>
        <w:spacing w:line="360" w:lineRule="auto"/>
        <w:ind w:firstLine="433" w:firstLineChars="146"/>
        <w:rPr>
          <w:snapToGrid w:val="0"/>
          <w:kern w:val="0"/>
          <w:sz w:val="24"/>
          <w:szCs w:val="24"/>
        </w:rPr>
      </w:pPr>
    </w:p>
    <w:p>
      <w:pPr>
        <w:adjustRightInd w:val="0"/>
        <w:snapToGrid w:val="0"/>
        <w:spacing w:line="360" w:lineRule="auto"/>
        <w:ind w:firstLine="491" w:firstLineChars="146"/>
        <w:rPr>
          <w:snapToGrid w:val="0"/>
          <w:kern w:val="0"/>
          <w:sz w:val="28"/>
          <w:szCs w:val="28"/>
        </w:rPr>
      </w:pPr>
      <w:r>
        <w:rPr>
          <w:rFonts w:hint="eastAsia"/>
          <w:b/>
          <w:snapToGrid w:val="0"/>
          <w:kern w:val="0"/>
          <w:sz w:val="28"/>
          <w:szCs w:val="28"/>
        </w:rPr>
        <w:t xml:space="preserve">注册房地产估价师：刘怡       </w:t>
      </w:r>
      <w:r>
        <w:rPr>
          <w:rFonts w:hint="eastAsia"/>
          <w:snapToGrid w:val="0"/>
          <w:kern w:val="0"/>
          <w:sz w:val="28"/>
          <w:szCs w:val="28"/>
        </w:rPr>
        <w:t xml:space="preserve">签名： </w:t>
      </w:r>
    </w:p>
    <w:p>
      <w:pPr>
        <w:adjustRightInd w:val="0"/>
        <w:snapToGrid w:val="0"/>
        <w:spacing w:line="360" w:lineRule="auto"/>
        <w:ind w:firstLine="491" w:firstLineChars="146"/>
        <w:rPr>
          <w:b/>
          <w:snapToGrid w:val="0"/>
          <w:kern w:val="0"/>
          <w:sz w:val="28"/>
          <w:szCs w:val="28"/>
        </w:rPr>
      </w:pPr>
      <w:r>
        <w:rPr>
          <w:rFonts w:hint="eastAsia"/>
          <w:b/>
          <w:snapToGrid w:val="0"/>
          <w:kern w:val="0"/>
          <w:sz w:val="28"/>
          <w:szCs w:val="28"/>
        </w:rPr>
        <w:t>注册号：5119980021</w:t>
      </w:r>
    </w:p>
    <w:p>
      <w:pPr>
        <w:adjustRightInd w:val="0"/>
        <w:snapToGrid w:val="0"/>
        <w:spacing w:line="360" w:lineRule="auto"/>
        <w:ind w:firstLine="491" w:firstLineChars="146"/>
        <w:rPr>
          <w:b/>
          <w:snapToGrid w:val="0"/>
          <w:kern w:val="0"/>
          <w:sz w:val="28"/>
          <w:szCs w:val="28"/>
        </w:rPr>
      </w:pPr>
    </w:p>
    <w:p>
      <w:pPr>
        <w:adjustRightInd w:val="0"/>
        <w:snapToGrid w:val="0"/>
        <w:spacing w:line="360" w:lineRule="auto"/>
        <w:ind w:firstLine="491" w:firstLineChars="146"/>
        <w:rPr>
          <w:b/>
          <w:snapToGrid w:val="0"/>
          <w:kern w:val="0"/>
          <w:sz w:val="28"/>
          <w:szCs w:val="28"/>
        </w:rPr>
      </w:pPr>
    </w:p>
    <w:p>
      <w:pPr>
        <w:adjustRightInd w:val="0"/>
        <w:snapToGrid w:val="0"/>
        <w:spacing w:line="360" w:lineRule="auto"/>
        <w:ind w:firstLine="491" w:firstLineChars="146"/>
        <w:rPr>
          <w:snapToGrid w:val="0"/>
          <w:kern w:val="0"/>
          <w:sz w:val="28"/>
          <w:szCs w:val="28"/>
        </w:rPr>
      </w:pPr>
      <w:r>
        <w:rPr>
          <w:rFonts w:hint="eastAsia"/>
          <w:b/>
          <w:snapToGrid w:val="0"/>
          <w:kern w:val="0"/>
          <w:sz w:val="28"/>
          <w:szCs w:val="28"/>
        </w:rPr>
        <w:t xml:space="preserve">注册房地产估价师：陶伟      </w:t>
      </w:r>
      <w:r>
        <w:rPr>
          <w:rFonts w:hint="eastAsia"/>
          <w:snapToGrid w:val="0"/>
          <w:kern w:val="0"/>
          <w:sz w:val="28"/>
          <w:szCs w:val="28"/>
        </w:rPr>
        <w:t>签名：</w:t>
      </w:r>
    </w:p>
    <w:p>
      <w:pPr>
        <w:adjustRightInd w:val="0"/>
        <w:snapToGrid w:val="0"/>
        <w:spacing w:line="360" w:lineRule="auto"/>
        <w:ind w:firstLine="491" w:firstLineChars="146"/>
        <w:rPr>
          <w:b/>
          <w:snapToGrid w:val="0"/>
          <w:kern w:val="0"/>
          <w:sz w:val="28"/>
          <w:szCs w:val="28"/>
        </w:rPr>
      </w:pPr>
      <w:r>
        <w:rPr>
          <w:rFonts w:hint="eastAsia"/>
          <w:b/>
          <w:snapToGrid w:val="0"/>
          <w:kern w:val="0"/>
          <w:sz w:val="28"/>
          <w:szCs w:val="28"/>
        </w:rPr>
        <w:t>注册号：3420020009</w:t>
      </w:r>
    </w:p>
    <w:p>
      <w:pPr>
        <w:pStyle w:val="2"/>
        <w:spacing w:line="360" w:lineRule="auto"/>
        <w:rPr>
          <w:rFonts w:ascii="黑体" w:eastAsia="黑体"/>
          <w:snapToGrid w:val="0"/>
          <w:kern w:val="0"/>
          <w:sz w:val="44"/>
          <w:szCs w:val="44"/>
        </w:rPr>
      </w:pPr>
      <w:r>
        <w:rPr>
          <w:snapToGrid w:val="0"/>
          <w:kern w:val="0"/>
          <w:sz w:val="24"/>
        </w:rPr>
        <w:br w:type="page"/>
      </w:r>
      <w:bookmarkStart w:id="5" w:name="_Toc4373"/>
      <w:r>
        <w:rPr>
          <w:rFonts w:hint="eastAsia" w:ascii="黑体" w:eastAsia="黑体"/>
          <w:snapToGrid w:val="0"/>
          <w:kern w:val="0"/>
          <w:sz w:val="44"/>
          <w:szCs w:val="44"/>
        </w:rPr>
        <w:t>估价假设和限制条件</w:t>
      </w:r>
      <w:bookmarkEnd w:id="5"/>
    </w:p>
    <w:p>
      <w:pPr>
        <w:jc w:val="center"/>
        <w:rPr>
          <w:rFonts w:eastAsia="黑体"/>
          <w:snapToGrid w:val="0"/>
          <w:kern w:val="0"/>
          <w:sz w:val="32"/>
        </w:rPr>
      </w:pPr>
    </w:p>
    <w:p>
      <w:pPr>
        <w:pStyle w:val="2"/>
        <w:spacing w:line="360" w:lineRule="auto"/>
        <w:jc w:val="left"/>
        <w:rPr>
          <w:rFonts w:ascii="黑体" w:eastAsia="黑体"/>
          <w:snapToGrid w:val="0"/>
          <w:kern w:val="0"/>
          <w:sz w:val="30"/>
          <w:szCs w:val="30"/>
        </w:rPr>
      </w:pPr>
      <w:bookmarkStart w:id="6" w:name="_Toc29208"/>
      <w:r>
        <w:rPr>
          <w:rFonts w:hint="eastAsia" w:ascii="黑体" w:eastAsia="黑体"/>
          <w:snapToGrid w:val="0"/>
          <w:kern w:val="0"/>
          <w:sz w:val="30"/>
          <w:szCs w:val="30"/>
        </w:rPr>
        <w:t>（一）估价假设</w:t>
      </w:r>
      <w:bookmarkEnd w:id="6"/>
    </w:p>
    <w:p>
      <w:pPr>
        <w:pStyle w:val="2"/>
        <w:spacing w:line="360" w:lineRule="auto"/>
        <w:ind w:firstLine="337" w:firstLineChars="100"/>
        <w:jc w:val="left"/>
        <w:rPr>
          <w:rFonts w:ascii="仿宋_GB2312" w:eastAsia="仿宋_GB2312"/>
          <w:b w:val="0"/>
          <w:snapToGrid w:val="0"/>
          <w:kern w:val="0"/>
          <w:szCs w:val="28"/>
        </w:rPr>
      </w:pPr>
      <w:bookmarkStart w:id="7" w:name="_Toc7051"/>
      <w:r>
        <w:rPr>
          <w:rFonts w:hint="eastAsia" w:ascii="仿宋_GB2312" w:eastAsia="仿宋_GB2312"/>
          <w:b w:val="0"/>
          <w:snapToGrid w:val="0"/>
          <w:kern w:val="0"/>
          <w:szCs w:val="28"/>
        </w:rPr>
        <w:t>一、一般假设</w:t>
      </w:r>
      <w:bookmarkEnd w:id="7"/>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1、估价对象产权明晰，手续齐全，可以在市场上自由转让。</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2、估价委托人提供了估价对象的权证资料复印件，我方对权属证书上记载的权属、面积、用途等资料进行了审慎检查，并在政府相关网站上对所提供资料进行核实，在无理由怀疑其合法性、真实性、准确性和完整性的情况下，假定估价委托人提供的资料合法、真实、准确、完整。</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3、我司评估人员已对房屋安全、环境污染等影响估价对象价值的重要因素给予了关注，在无理由怀疑估价对象存在隐患且无相应的专业机构进行鉴定、监测的情况下，假定估价对象能正常安全使用。</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4、估价对象在价值时点的房地产市场为公开、平等、自愿的交易市场，即满足以下条件：</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(1) 买卖双方处于公平交易状态，对物业成交有充分讨价还价的权利；</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(2) 买卖双方都有一段充分了解物业现状及所处市场行情的时间,并且有一段合理的洽谈交易时间；</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(3) 在此期间物业价值将保持稳定；</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(4) 物业可以在公开市场上自由转让；</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(5) 不考虑特殊买家的额外出价；</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(6) 买卖双方之间无任何利害关系。</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5、估价对象建筑面积来源于估价委托人提供的</w:t>
      </w:r>
      <w:r>
        <w:rPr>
          <w:rFonts w:hint="eastAsia" w:ascii="仿宋_GB2312" w:eastAsia="仿宋_GB2312"/>
          <w:snapToGrid w:val="0"/>
          <w:sz w:val="28"/>
          <w:szCs w:val="28"/>
          <w:lang w:eastAsia="zh-CN"/>
        </w:rPr>
        <w:t>粤房地证字第C6956883号</w:t>
      </w:r>
      <w:r>
        <w:rPr>
          <w:rFonts w:hint="eastAsia" w:ascii="仿宋_GB2312" w:eastAsia="仿宋_GB2312"/>
          <w:snapToGrid w:val="0"/>
          <w:sz w:val="28"/>
          <w:szCs w:val="28"/>
        </w:rPr>
        <w:t>《房地产权证》</w:t>
      </w:r>
      <w:r>
        <w:rPr>
          <w:rFonts w:hint="eastAsia" w:ascii="仿宋_GB2312" w:eastAsia="仿宋_GB2312"/>
          <w:snapToGrid w:val="0"/>
          <w:sz w:val="28"/>
          <w:szCs w:val="28"/>
          <w:lang w:eastAsia="zh-CN"/>
        </w:rPr>
        <w:t>及</w:t>
      </w:r>
      <w:r>
        <w:rPr>
          <w:rFonts w:hint="eastAsia" w:ascii="仿宋_GB2312" w:eastAsia="仿宋_GB2312"/>
          <w:snapToGrid w:val="0"/>
          <w:sz w:val="28"/>
          <w:szCs w:val="28"/>
        </w:rPr>
        <w:t>复印件，若与实际不符，应据实调整评估价值。因其不实造成的影响，本公司不承担任何责任</w:t>
      </w:r>
      <w:r>
        <w:rPr>
          <w:rFonts w:ascii="仿宋_GB2312" w:eastAsia="仿宋_GB2312"/>
          <w:snapToGrid w:val="0"/>
          <w:sz w:val="28"/>
          <w:szCs w:val="28"/>
        </w:rPr>
        <w:t>。</w:t>
      </w:r>
    </w:p>
    <w:p>
      <w:pPr>
        <w:pStyle w:val="2"/>
        <w:spacing w:line="360" w:lineRule="auto"/>
        <w:jc w:val="left"/>
        <w:rPr>
          <w:rFonts w:ascii="仿宋_GB2312" w:eastAsia="仿宋_GB2312"/>
          <w:b w:val="0"/>
          <w:snapToGrid w:val="0"/>
          <w:kern w:val="0"/>
          <w:szCs w:val="28"/>
        </w:rPr>
      </w:pPr>
      <w:bookmarkStart w:id="8" w:name="_Toc22704"/>
      <w:r>
        <w:rPr>
          <w:rFonts w:hint="eastAsia" w:ascii="仿宋_GB2312" w:eastAsia="仿宋_GB2312"/>
          <w:b w:val="0"/>
          <w:snapToGrid w:val="0"/>
          <w:kern w:val="0"/>
          <w:szCs w:val="28"/>
        </w:rPr>
        <w:t>二、未定事项假设</w:t>
      </w:r>
      <w:bookmarkEnd w:id="8"/>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1、本次估价对象由估价委托人有关人员现场指认，若与实际不符，应重新估价；估价人员现场勘查时，未对其做建筑物基础、房屋结构上的测量和实验，本次估价假设其无建筑物基础、结构等方面的重大质量问题。</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2、本报告中预计转让税费为我司评估人员根据价值时点的国家、地方相关规定预计测算，仅供参考，估价对象实际发生转让时所发生的税费应以税务等相关政府部门测算为准。</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3、根据本次估价工作具体情况及委托方、估价对象权利人提供的相关资料，仅考虑了评估人员已知悉的法定优先受偿款，可能存在评估人员无法知悉的法定优先受偿款，谨提请报告使用人予以关注。</w:t>
      </w:r>
    </w:p>
    <w:p>
      <w:pPr>
        <w:pStyle w:val="2"/>
        <w:spacing w:line="360" w:lineRule="auto"/>
        <w:jc w:val="left"/>
        <w:rPr>
          <w:rFonts w:ascii="仿宋_GB2312" w:eastAsia="仿宋_GB2312"/>
          <w:b w:val="0"/>
          <w:snapToGrid w:val="0"/>
          <w:kern w:val="0"/>
          <w:szCs w:val="28"/>
        </w:rPr>
      </w:pPr>
      <w:bookmarkStart w:id="9" w:name="_Toc22516"/>
      <w:r>
        <w:rPr>
          <w:rFonts w:hint="eastAsia" w:ascii="仿宋_GB2312" w:eastAsia="仿宋_GB2312"/>
          <w:b w:val="0"/>
          <w:snapToGrid w:val="0"/>
          <w:kern w:val="0"/>
          <w:szCs w:val="28"/>
        </w:rPr>
        <w:t>三、背离事实假设</w:t>
      </w:r>
      <w:bookmarkEnd w:id="9"/>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1、本次估价时没有考虑国家宏观经济政策发生变化，市场供求关系变化、市场结构转变、遇有自然力和其他不可抗力等因素对房地产价值的影响，未考虑估价对象可能存在抵押、担保等影响其价值的因素限制，也没有考虑估价对象将来可能承担违约责任的事宜，以及特殊交易方式下的特殊交易价格等对估价结果的影响。当上述条件发生变化时，估价结果亦会发生变化。</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2、根据估价委托人提供的产权资料复印件，本次估价是为估价委托人司法处置使用，故本次估价未考虑他项权利对估价结果的影响，以估价对象具有完整产权、无他项权利限制为评估前提。</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3、估价结果未考虑估价对象及其所有人已承担的债务、或者债务及经营决策失误或者市场运作失当对其价值的影响。</w:t>
      </w:r>
    </w:p>
    <w:p>
      <w:pPr>
        <w:pStyle w:val="2"/>
        <w:spacing w:line="360" w:lineRule="auto"/>
        <w:jc w:val="left"/>
        <w:rPr>
          <w:rFonts w:ascii="仿宋_GB2312" w:eastAsia="仿宋_GB2312"/>
          <w:b w:val="0"/>
          <w:snapToGrid w:val="0"/>
          <w:kern w:val="0"/>
          <w:szCs w:val="28"/>
        </w:rPr>
      </w:pPr>
      <w:bookmarkStart w:id="10" w:name="_Toc19583"/>
      <w:r>
        <w:rPr>
          <w:rFonts w:hint="eastAsia" w:ascii="仿宋_GB2312" w:eastAsia="仿宋_GB2312"/>
          <w:b w:val="0"/>
          <w:snapToGrid w:val="0"/>
          <w:kern w:val="0"/>
          <w:szCs w:val="28"/>
        </w:rPr>
        <w:t>四、不相一致假设</w:t>
      </w:r>
      <w:bookmarkEnd w:id="10"/>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1、本次估价的估价对象法定用途与</w:t>
      </w:r>
      <w:r>
        <w:rPr>
          <w:rFonts w:hint="eastAsia" w:ascii="仿宋_GB2312" w:eastAsia="仿宋_GB2312"/>
          <w:snapToGrid w:val="0"/>
          <w:sz w:val="28"/>
          <w:szCs w:val="28"/>
          <w:lang w:eastAsia="zh-CN"/>
        </w:rPr>
        <w:t>房屋</w:t>
      </w:r>
      <w:r>
        <w:rPr>
          <w:rFonts w:hint="eastAsia" w:ascii="仿宋_GB2312" w:eastAsia="仿宋_GB2312"/>
          <w:snapToGrid w:val="0"/>
          <w:sz w:val="28"/>
          <w:szCs w:val="28"/>
        </w:rPr>
        <w:t>用途一致；结合评估人员对现场的查勘情况，估价对象所在区域</w:t>
      </w:r>
      <w:r>
        <w:rPr>
          <w:rFonts w:hint="eastAsia" w:ascii="仿宋_GB2312" w:eastAsia="仿宋_GB2312"/>
          <w:snapToGrid w:val="0"/>
          <w:sz w:val="28"/>
          <w:szCs w:val="28"/>
          <w:lang w:eastAsia="zh-CN"/>
        </w:rPr>
        <w:t>基础设施完善，商住条件</w:t>
      </w:r>
      <w:r>
        <w:rPr>
          <w:rFonts w:hint="eastAsia" w:ascii="仿宋_GB2312" w:eastAsia="仿宋_GB2312"/>
          <w:snapToGrid w:val="0"/>
          <w:sz w:val="28"/>
          <w:szCs w:val="28"/>
        </w:rPr>
        <w:t>较好。遵循最高最佳利用原则，本次评估以估价对象保持</w:t>
      </w:r>
      <w:r>
        <w:rPr>
          <w:rFonts w:hint="eastAsia" w:ascii="仿宋_GB2312" w:eastAsia="仿宋_GB2312"/>
          <w:snapToGrid w:val="0"/>
          <w:sz w:val="28"/>
          <w:szCs w:val="28"/>
          <w:lang w:eastAsia="zh-CN"/>
        </w:rPr>
        <w:t>房屋</w:t>
      </w:r>
      <w:r>
        <w:rPr>
          <w:rFonts w:hint="eastAsia" w:ascii="仿宋_GB2312" w:eastAsia="仿宋_GB2312"/>
          <w:snapToGrid w:val="0"/>
          <w:sz w:val="28"/>
          <w:szCs w:val="28"/>
        </w:rPr>
        <w:t>用途持续使用为估价前提。</w:t>
      </w:r>
    </w:p>
    <w:p>
      <w:pPr>
        <w:pStyle w:val="35"/>
        <w:adjustRightInd w:val="0"/>
        <w:snapToGrid w:val="0"/>
        <w:ind w:firstLine="505" w:firstLineChars="150"/>
        <w:rPr>
          <w:rFonts w:hint="eastAsia" w:ascii="仿宋_GB2312" w:eastAsia="仿宋_GB2312"/>
          <w:snapToGrid w:val="0"/>
          <w:sz w:val="28"/>
          <w:szCs w:val="28"/>
        </w:rPr>
      </w:pPr>
      <w:r>
        <w:rPr>
          <w:rFonts w:hint="eastAsia" w:ascii="仿宋_GB2312" w:eastAsia="仿宋_GB2312"/>
          <w:snapToGrid w:val="0"/>
          <w:sz w:val="28"/>
          <w:szCs w:val="28"/>
        </w:rPr>
        <w:t>2、本次评估以所有权人知悉并同意本次评估行为，且估价对象所有权人对估价对象产权归属不存在异议为假设前提。</w:t>
      </w:r>
    </w:p>
    <w:p>
      <w:pPr>
        <w:pStyle w:val="35"/>
        <w:adjustRightInd w:val="0"/>
        <w:snapToGrid w:val="0"/>
        <w:ind w:firstLine="505" w:firstLineChars="150"/>
        <w:rPr>
          <w:rFonts w:hint="eastAsia" w:ascii="仿宋_GB2312" w:eastAsia="仿宋_GB2312"/>
          <w:snapToGrid w:val="0"/>
          <w:sz w:val="28"/>
          <w:szCs w:val="28"/>
          <w:lang w:val="en-US" w:eastAsia="zh-CN"/>
        </w:rPr>
      </w:pPr>
      <w:r>
        <w:rPr>
          <w:rFonts w:hint="eastAsia" w:ascii="仿宋_GB2312" w:eastAsia="仿宋_GB2312"/>
          <w:snapToGrid w:val="0"/>
          <w:sz w:val="28"/>
          <w:szCs w:val="28"/>
          <w:lang w:val="en-US" w:eastAsia="zh-CN"/>
        </w:rPr>
        <w:t>3、委托方提供的产权证中，房屋用途为住宅，现状用途为小型加工厂，土地用途未证载，根据估价人员现场勘查，估价对象建筑物功能格局与房屋用途相符合，估本次按产权证记载的房屋用途（住宅）进行估价活动。</w:t>
      </w:r>
    </w:p>
    <w:p>
      <w:pPr>
        <w:pStyle w:val="2"/>
        <w:spacing w:line="360" w:lineRule="auto"/>
        <w:jc w:val="left"/>
        <w:rPr>
          <w:rFonts w:ascii="黑体" w:eastAsia="黑体"/>
          <w:snapToGrid w:val="0"/>
          <w:kern w:val="0"/>
          <w:sz w:val="30"/>
          <w:szCs w:val="30"/>
        </w:rPr>
      </w:pPr>
      <w:bookmarkStart w:id="11" w:name="_Toc5255"/>
      <w:r>
        <w:rPr>
          <w:rFonts w:hint="eastAsia" w:ascii="黑体" w:eastAsia="黑体"/>
          <w:snapToGrid w:val="0"/>
          <w:kern w:val="0"/>
          <w:sz w:val="30"/>
          <w:szCs w:val="30"/>
        </w:rPr>
        <w:t>（二）估价限制条件</w:t>
      </w:r>
      <w:bookmarkEnd w:id="11"/>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1、本估价报告估价结果是按照既定目的提供给估价委托人使用，若改变估价目的及使用条件，需向本公司咨询后作必要调整甚至重新估价。</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2、本估价报告应用的有效期自完成并提交估价报告之日起原则上规定为一年（自</w:t>
      </w:r>
      <w:r>
        <w:rPr>
          <w:rFonts w:hint="eastAsia" w:ascii="仿宋_GB2312" w:eastAsia="仿宋_GB2312"/>
          <w:snapToGrid w:val="0"/>
          <w:sz w:val="28"/>
          <w:szCs w:val="28"/>
          <w:lang w:eastAsia="zh-CN"/>
        </w:rPr>
        <w:t>二〇一九年六月二十六日</w:t>
      </w:r>
      <w:r>
        <w:rPr>
          <w:rFonts w:hint="eastAsia" w:ascii="仿宋_GB2312" w:eastAsia="仿宋_GB2312"/>
          <w:snapToGrid w:val="0"/>
          <w:sz w:val="28"/>
          <w:szCs w:val="28"/>
        </w:rPr>
        <w:t>至</w:t>
      </w:r>
      <w:r>
        <w:rPr>
          <w:rFonts w:hint="eastAsia" w:ascii="仿宋_GB2312" w:eastAsia="仿宋_GB2312"/>
          <w:snapToGrid w:val="0"/>
          <w:sz w:val="28"/>
          <w:szCs w:val="28"/>
          <w:lang w:eastAsia="zh-CN"/>
        </w:rPr>
        <w:t>二〇二〇年六月二十五日</w:t>
      </w:r>
      <w:r>
        <w:rPr>
          <w:rFonts w:hint="eastAsia" w:ascii="仿宋_GB2312" w:eastAsia="仿宋_GB2312"/>
          <w:snapToGrid w:val="0"/>
          <w:sz w:val="28"/>
          <w:szCs w:val="28"/>
        </w:rPr>
        <w:t>止），若报告使用期限内，房地产市场或估价对象状况发生重大变化，估价结果需做相应调整或委托估价机构重新估价。</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3、本报告中对于未来房地产市场发展趋势的分析、判断，是估价人员基于价值时点的房地产市场状况作出的，估价结果为价值时点下估价对象土地在现状规划条件、建筑物在现状利用条件下的房地产正常市场价值，如估价对象规划用途、建筑面积或建筑物使用状况发生变化，估价结果需要做相应的调整直至重新评估。</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4、本报告未考虑国家经济政策等发生变化或其他不可抗力时对估价对象的价值影响。估价对象在处置过程中，可能存在操作、法律、道德等方面无法预测的风险，对估价对象处置及交易过户等均可能产生一定的影响，从而可能对估价对象的处置价值产生减损作用，我司无法对此作出判断，特提醒报告使用人注意。</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5、本报告估价结果已经考虑标的物拍卖成交时有关增值税和一切有关费用承担的因素，特提醒报告使用人注意。</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6、本报告仅针对委托方估价目的做出估价，不对其他用途负责。</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7、如无特别说明，本估价报告中所使用的货币均为人民币。</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8、本估价报告不作为估价对象权属确认的依据。</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9、</w:t>
      </w:r>
      <w:r>
        <w:rPr>
          <w:rFonts w:ascii="仿宋_GB2312" w:eastAsia="仿宋_GB2312"/>
          <w:snapToGrid w:val="0"/>
          <w:sz w:val="28"/>
          <w:szCs w:val="28"/>
        </w:rPr>
        <w:t>本报告必须完整使用方为有效，</w:t>
      </w:r>
      <w:r>
        <w:rPr>
          <w:rFonts w:hint="eastAsia" w:ascii="仿宋_GB2312" w:eastAsia="仿宋_GB2312"/>
          <w:snapToGrid w:val="0"/>
          <w:sz w:val="28"/>
          <w:szCs w:val="28"/>
        </w:rPr>
        <w:t>本估价报告含若干附件，与报告书正文具同等法律效力，不可分割对待。</w:t>
      </w:r>
      <w:r>
        <w:rPr>
          <w:rFonts w:ascii="仿宋_GB2312" w:eastAsia="仿宋_GB2312"/>
          <w:snapToGrid w:val="0"/>
          <w:sz w:val="28"/>
          <w:szCs w:val="28"/>
        </w:rPr>
        <w:t>对使用本报告中的部分内容导致的可能发生的损失，受托机构不承担责任。</w:t>
      </w:r>
      <w:r>
        <w:rPr>
          <w:rFonts w:hint="eastAsia" w:ascii="仿宋_GB2312" w:eastAsia="仿宋_GB2312"/>
          <w:snapToGrid w:val="0"/>
          <w:sz w:val="28"/>
          <w:szCs w:val="28"/>
        </w:rPr>
        <w:t>同时未经我公司书面同意，本估价报告全部或部分内容不得公开发表，也不得向相关登记或备案部门以外的单位或个人提供。</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10、本次评估是基于上述假设和限制条件成立的，如以上假设和限制条件发生变化，本报告结果必须作相应调整。</w:t>
      </w:r>
    </w:p>
    <w:p>
      <w:pPr>
        <w:pStyle w:val="35"/>
        <w:adjustRightInd w:val="0"/>
        <w:snapToGrid w:val="0"/>
        <w:ind w:firstLine="505" w:firstLineChars="150"/>
        <w:rPr>
          <w:snapToGrid w:val="0"/>
        </w:rPr>
      </w:pPr>
      <w:r>
        <w:rPr>
          <w:rFonts w:hint="eastAsia" w:ascii="仿宋_GB2312" w:eastAsia="仿宋_GB2312"/>
          <w:snapToGrid w:val="0"/>
          <w:sz w:val="28"/>
          <w:szCs w:val="28"/>
        </w:rPr>
        <w:t>11、本报告书含若干附件，与报告书正文具同等效力，不可分割对待。</w:t>
      </w:r>
    </w:p>
    <w:p>
      <w:pPr>
        <w:adjustRightInd w:val="0"/>
        <w:snapToGrid w:val="0"/>
        <w:spacing w:line="360" w:lineRule="auto"/>
        <w:ind w:firstLine="505"/>
        <w:rPr>
          <w:rFonts w:ascii="宋体" w:hAnsi="宋体"/>
          <w:snapToGrid w:val="0"/>
          <w:kern w:val="0"/>
          <w:sz w:val="24"/>
        </w:rPr>
      </w:pPr>
    </w:p>
    <w:p>
      <w:pPr>
        <w:adjustRightInd w:val="0"/>
        <w:snapToGrid w:val="0"/>
        <w:spacing w:line="360" w:lineRule="auto"/>
        <w:ind w:firstLine="505"/>
        <w:rPr>
          <w:rFonts w:ascii="宋体" w:hAnsi="宋体"/>
          <w:snapToGrid w:val="0"/>
          <w:kern w:val="0"/>
          <w:sz w:val="24"/>
        </w:rPr>
      </w:pPr>
    </w:p>
    <w:p>
      <w:pPr>
        <w:adjustRightInd w:val="0"/>
        <w:snapToGrid w:val="0"/>
        <w:spacing w:line="360" w:lineRule="auto"/>
        <w:ind w:firstLine="505"/>
        <w:rPr>
          <w:rFonts w:ascii="宋体" w:hAnsi="宋体"/>
          <w:snapToGrid w:val="0"/>
          <w:kern w:val="0"/>
          <w:sz w:val="24"/>
        </w:rPr>
      </w:pPr>
    </w:p>
    <w:p>
      <w:pPr>
        <w:adjustRightInd w:val="0"/>
        <w:snapToGrid w:val="0"/>
        <w:spacing w:line="360" w:lineRule="auto"/>
        <w:ind w:firstLine="505"/>
        <w:rPr>
          <w:rFonts w:ascii="宋体" w:hAnsi="宋体"/>
          <w:snapToGrid w:val="0"/>
          <w:kern w:val="0"/>
          <w:sz w:val="24"/>
        </w:rPr>
      </w:pPr>
    </w:p>
    <w:p>
      <w:pPr>
        <w:adjustRightInd w:val="0"/>
        <w:snapToGrid w:val="0"/>
        <w:spacing w:line="360" w:lineRule="auto"/>
        <w:ind w:firstLine="505"/>
        <w:rPr>
          <w:rFonts w:ascii="宋体" w:hAnsi="宋体"/>
          <w:snapToGrid w:val="0"/>
          <w:kern w:val="0"/>
          <w:sz w:val="24"/>
        </w:rPr>
      </w:pPr>
    </w:p>
    <w:p>
      <w:pPr>
        <w:adjustRightInd w:val="0"/>
        <w:snapToGrid w:val="0"/>
        <w:spacing w:line="360" w:lineRule="auto"/>
        <w:ind w:firstLine="505"/>
        <w:rPr>
          <w:rFonts w:ascii="宋体" w:hAnsi="宋体"/>
          <w:snapToGrid w:val="0"/>
          <w:kern w:val="0"/>
          <w:sz w:val="24"/>
        </w:rPr>
      </w:pPr>
    </w:p>
    <w:p>
      <w:pPr>
        <w:adjustRightInd w:val="0"/>
        <w:snapToGrid w:val="0"/>
        <w:spacing w:line="360" w:lineRule="auto"/>
        <w:ind w:firstLine="505"/>
        <w:rPr>
          <w:rFonts w:ascii="宋体" w:hAnsi="宋体"/>
          <w:snapToGrid w:val="0"/>
          <w:kern w:val="0"/>
          <w:sz w:val="24"/>
        </w:rPr>
      </w:pPr>
    </w:p>
    <w:p>
      <w:pPr>
        <w:adjustRightInd w:val="0"/>
        <w:snapToGrid w:val="0"/>
        <w:spacing w:line="360" w:lineRule="auto"/>
        <w:ind w:firstLine="505"/>
        <w:rPr>
          <w:rFonts w:ascii="宋体" w:hAnsi="宋体"/>
          <w:snapToGrid w:val="0"/>
          <w:kern w:val="0"/>
          <w:sz w:val="24"/>
        </w:rPr>
      </w:pPr>
    </w:p>
    <w:p>
      <w:pPr>
        <w:adjustRightInd w:val="0"/>
        <w:snapToGrid w:val="0"/>
        <w:spacing w:line="360" w:lineRule="auto"/>
        <w:ind w:firstLine="505"/>
        <w:rPr>
          <w:rFonts w:ascii="宋体" w:hAnsi="宋体"/>
          <w:snapToGrid w:val="0"/>
          <w:kern w:val="0"/>
          <w:sz w:val="24"/>
        </w:rPr>
      </w:pPr>
    </w:p>
    <w:p>
      <w:pPr>
        <w:adjustRightInd w:val="0"/>
        <w:snapToGrid w:val="0"/>
        <w:spacing w:line="360" w:lineRule="auto"/>
        <w:ind w:firstLine="505"/>
        <w:rPr>
          <w:rFonts w:ascii="宋体" w:hAnsi="宋体"/>
          <w:snapToGrid w:val="0"/>
          <w:kern w:val="0"/>
          <w:sz w:val="24"/>
        </w:rPr>
      </w:pPr>
    </w:p>
    <w:p>
      <w:pPr>
        <w:adjustRightInd w:val="0"/>
        <w:snapToGrid w:val="0"/>
        <w:spacing w:line="360" w:lineRule="auto"/>
        <w:ind w:firstLine="505"/>
        <w:rPr>
          <w:rFonts w:ascii="宋体" w:hAnsi="宋体"/>
          <w:snapToGrid w:val="0"/>
          <w:kern w:val="0"/>
          <w:sz w:val="24"/>
        </w:rPr>
      </w:pPr>
    </w:p>
    <w:p>
      <w:pPr>
        <w:adjustRightInd w:val="0"/>
        <w:snapToGrid w:val="0"/>
        <w:spacing w:line="360" w:lineRule="auto"/>
        <w:ind w:firstLine="505"/>
        <w:rPr>
          <w:rFonts w:ascii="宋体" w:hAnsi="宋体"/>
          <w:snapToGrid w:val="0"/>
          <w:kern w:val="0"/>
          <w:sz w:val="24"/>
        </w:rPr>
      </w:pPr>
    </w:p>
    <w:p>
      <w:pPr>
        <w:adjustRightInd w:val="0"/>
        <w:snapToGrid w:val="0"/>
        <w:spacing w:line="360" w:lineRule="auto"/>
        <w:ind w:firstLine="505"/>
        <w:rPr>
          <w:rFonts w:ascii="宋体" w:hAnsi="宋体"/>
          <w:snapToGrid w:val="0"/>
          <w:kern w:val="0"/>
          <w:sz w:val="24"/>
        </w:rPr>
      </w:pPr>
    </w:p>
    <w:p>
      <w:pPr>
        <w:adjustRightInd w:val="0"/>
        <w:snapToGrid w:val="0"/>
        <w:spacing w:line="360" w:lineRule="auto"/>
        <w:ind w:firstLine="505"/>
        <w:rPr>
          <w:rFonts w:ascii="宋体" w:hAnsi="宋体"/>
          <w:snapToGrid w:val="0"/>
          <w:kern w:val="0"/>
          <w:sz w:val="24"/>
        </w:rPr>
      </w:pPr>
    </w:p>
    <w:p>
      <w:pPr>
        <w:adjustRightInd w:val="0"/>
        <w:snapToGrid w:val="0"/>
        <w:spacing w:line="360" w:lineRule="auto"/>
        <w:ind w:firstLine="505"/>
        <w:rPr>
          <w:rFonts w:ascii="宋体" w:hAnsi="宋体"/>
          <w:snapToGrid w:val="0"/>
          <w:kern w:val="0"/>
          <w:sz w:val="24"/>
        </w:rPr>
      </w:pPr>
    </w:p>
    <w:p>
      <w:pPr>
        <w:adjustRightInd w:val="0"/>
        <w:snapToGrid w:val="0"/>
        <w:spacing w:line="360" w:lineRule="auto"/>
        <w:ind w:firstLine="505"/>
        <w:rPr>
          <w:rFonts w:ascii="宋体" w:hAnsi="宋体"/>
          <w:snapToGrid w:val="0"/>
          <w:kern w:val="0"/>
          <w:sz w:val="24"/>
        </w:rPr>
      </w:pPr>
    </w:p>
    <w:p>
      <w:pPr>
        <w:adjustRightInd w:val="0"/>
        <w:snapToGrid w:val="0"/>
        <w:spacing w:line="360" w:lineRule="auto"/>
        <w:ind w:firstLine="505"/>
        <w:rPr>
          <w:rFonts w:ascii="宋体" w:hAnsi="宋体"/>
          <w:snapToGrid w:val="0"/>
          <w:kern w:val="0"/>
          <w:sz w:val="24"/>
        </w:rPr>
      </w:pPr>
    </w:p>
    <w:p>
      <w:pPr>
        <w:adjustRightInd w:val="0"/>
        <w:snapToGrid w:val="0"/>
        <w:spacing w:line="360" w:lineRule="auto"/>
        <w:ind w:firstLine="505"/>
        <w:rPr>
          <w:rFonts w:ascii="宋体" w:hAnsi="宋体"/>
          <w:snapToGrid w:val="0"/>
          <w:kern w:val="0"/>
          <w:sz w:val="24"/>
        </w:rPr>
      </w:pPr>
    </w:p>
    <w:p>
      <w:pPr>
        <w:adjustRightInd w:val="0"/>
        <w:snapToGrid w:val="0"/>
        <w:spacing w:line="360" w:lineRule="auto"/>
        <w:rPr>
          <w:rFonts w:ascii="宋体" w:hAnsi="宋体"/>
          <w:snapToGrid w:val="0"/>
          <w:kern w:val="0"/>
          <w:sz w:val="28"/>
          <w:szCs w:val="28"/>
        </w:rPr>
      </w:pPr>
    </w:p>
    <w:p>
      <w:pPr>
        <w:pStyle w:val="2"/>
        <w:spacing w:line="360" w:lineRule="auto"/>
      </w:pPr>
      <w:bookmarkStart w:id="12" w:name="_Toc5476"/>
      <w:r>
        <w:rPr>
          <w:rFonts w:hint="eastAsia" w:ascii="黑体" w:eastAsia="黑体"/>
          <w:snapToGrid w:val="0"/>
          <w:kern w:val="0"/>
          <w:sz w:val="44"/>
          <w:szCs w:val="44"/>
        </w:rPr>
        <w:t>估价结果报告</w:t>
      </w:r>
      <w:bookmarkEnd w:id="12"/>
    </w:p>
    <w:p>
      <w:pPr>
        <w:pStyle w:val="2"/>
        <w:spacing w:line="360" w:lineRule="auto"/>
        <w:jc w:val="left"/>
        <w:rPr>
          <w:rFonts w:ascii="黑体" w:eastAsia="黑体"/>
          <w:snapToGrid w:val="0"/>
          <w:kern w:val="0"/>
          <w:sz w:val="30"/>
          <w:szCs w:val="30"/>
        </w:rPr>
      </w:pPr>
      <w:bookmarkStart w:id="13" w:name="_Toc27172"/>
      <w:r>
        <w:rPr>
          <w:rFonts w:hint="eastAsia" w:ascii="黑体" w:eastAsia="黑体"/>
          <w:snapToGrid w:val="0"/>
          <w:kern w:val="0"/>
          <w:sz w:val="30"/>
          <w:szCs w:val="30"/>
        </w:rPr>
        <w:t>（一）估价委托人</w:t>
      </w:r>
      <w:bookmarkEnd w:id="13"/>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单位：汕头市潮阳区人民法院</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地址：</w:t>
      </w:r>
      <w:r>
        <w:rPr>
          <w:rFonts w:ascii="仿宋_GB2312" w:eastAsia="仿宋_GB2312"/>
          <w:snapToGrid w:val="0"/>
          <w:sz w:val="28"/>
          <w:szCs w:val="28"/>
        </w:rPr>
        <w:t>广东省汕头市潮阳区城西六路</w:t>
      </w:r>
    </w:p>
    <w:p>
      <w:pPr>
        <w:pStyle w:val="2"/>
        <w:spacing w:line="360" w:lineRule="auto"/>
        <w:jc w:val="left"/>
        <w:rPr>
          <w:rFonts w:ascii="黑体" w:eastAsia="黑体"/>
          <w:snapToGrid w:val="0"/>
          <w:kern w:val="0"/>
          <w:sz w:val="30"/>
          <w:szCs w:val="30"/>
        </w:rPr>
      </w:pPr>
      <w:bookmarkStart w:id="14" w:name="_Toc32590"/>
      <w:r>
        <w:rPr>
          <w:rFonts w:hint="eastAsia" w:ascii="黑体" w:eastAsia="黑体"/>
          <w:snapToGrid w:val="0"/>
          <w:kern w:val="0"/>
          <w:sz w:val="30"/>
          <w:szCs w:val="30"/>
        </w:rPr>
        <w:t>（二）估价机构</w:t>
      </w:r>
      <w:bookmarkEnd w:id="14"/>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深圳市国咨土地房地产资产评估有限公司</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法定代表人：龚伟平</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汕头分公司负责人：陶伟</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资质等级：国家一级房地产价格评估机构</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证书编号：粤房估备字壹0200039</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地    址：深圳市福田区深南中路国际科技大厦31楼</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电    话：0755-83279666</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汕头分公司地址：汕头市中环大厦25F</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电    话：0754-88541558</w:t>
      </w:r>
    </w:p>
    <w:p>
      <w:pPr>
        <w:pStyle w:val="2"/>
        <w:spacing w:line="360" w:lineRule="auto"/>
        <w:jc w:val="left"/>
        <w:rPr>
          <w:rFonts w:ascii="黑体" w:eastAsia="黑体"/>
          <w:snapToGrid w:val="0"/>
          <w:kern w:val="0"/>
          <w:sz w:val="30"/>
          <w:szCs w:val="30"/>
        </w:rPr>
      </w:pPr>
      <w:bookmarkStart w:id="15" w:name="_Toc31043"/>
      <w:r>
        <w:rPr>
          <w:rFonts w:hint="eastAsia" w:ascii="黑体" w:eastAsia="黑体"/>
          <w:snapToGrid w:val="0"/>
          <w:kern w:val="0"/>
          <w:sz w:val="30"/>
          <w:szCs w:val="30"/>
        </w:rPr>
        <w:t>（三）估价对象</w:t>
      </w:r>
      <w:bookmarkEnd w:id="15"/>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1、估价对象位置状况</w:t>
      </w:r>
    </w:p>
    <w:tbl>
      <w:tblPr>
        <w:tblStyle w:val="45"/>
        <w:tblW w:w="9807" w:type="dxa"/>
        <w:jc w:val="center"/>
        <w:tblInd w:w="0" w:type="dxa"/>
        <w:tblLayout w:type="fixed"/>
        <w:tblCellMar>
          <w:top w:w="0" w:type="dxa"/>
          <w:left w:w="30" w:type="dxa"/>
          <w:bottom w:w="0" w:type="dxa"/>
          <w:right w:w="30" w:type="dxa"/>
        </w:tblCellMar>
      </w:tblPr>
      <w:tblGrid>
        <w:gridCol w:w="2245"/>
        <w:gridCol w:w="7562"/>
      </w:tblGrid>
      <w:tr>
        <w:tblPrEx>
          <w:tblLayout w:type="fixed"/>
          <w:tblCellMar>
            <w:top w:w="0" w:type="dxa"/>
            <w:left w:w="30" w:type="dxa"/>
            <w:bottom w:w="0" w:type="dxa"/>
            <w:right w:w="30" w:type="dxa"/>
          </w:tblCellMar>
        </w:tblPrEx>
        <w:trPr>
          <w:cantSplit/>
          <w:trHeight w:val="412" w:hRule="atLeast"/>
          <w:jc w:val="center"/>
        </w:trPr>
        <w:tc>
          <w:tcPr>
            <w:tcW w:w="2245" w:type="dxa"/>
            <w:tcBorders>
              <w:top w:val="single" w:color="auto" w:sz="6" w:space="0"/>
              <w:left w:val="single" w:color="auto" w:sz="6" w:space="0"/>
              <w:bottom w:val="single" w:color="auto" w:sz="6" w:space="0"/>
              <w:right w:val="single" w:color="auto" w:sz="6" w:space="0"/>
            </w:tcBorders>
            <w:vAlign w:val="center"/>
          </w:tcPr>
          <w:p>
            <w:pPr>
              <w:pStyle w:val="23"/>
              <w:tabs>
                <w:tab w:val="left" w:pos="0"/>
              </w:tabs>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估价对象名称</w:t>
            </w:r>
          </w:p>
        </w:tc>
        <w:tc>
          <w:tcPr>
            <w:tcW w:w="7562" w:type="dxa"/>
            <w:tcBorders>
              <w:top w:val="single" w:color="auto" w:sz="6" w:space="0"/>
              <w:left w:val="nil"/>
              <w:bottom w:val="single" w:color="auto" w:sz="6" w:space="0"/>
              <w:right w:val="single" w:color="auto" w:sz="6" w:space="0"/>
            </w:tcBorders>
            <w:vAlign w:val="center"/>
          </w:tcPr>
          <w:p>
            <w:pPr>
              <w:pStyle w:val="23"/>
              <w:tabs>
                <w:tab w:val="left" w:pos="0"/>
              </w:tabs>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eastAsia="zh-CN"/>
              </w:rPr>
              <w:t>汕头市潮阳区谷饶镇谷苑商场A4幢3-7号 坐南向北</w:t>
            </w:r>
          </w:p>
        </w:tc>
      </w:tr>
      <w:tr>
        <w:tblPrEx>
          <w:tblLayout w:type="fixed"/>
          <w:tblCellMar>
            <w:top w:w="0" w:type="dxa"/>
            <w:left w:w="30" w:type="dxa"/>
            <w:bottom w:w="0" w:type="dxa"/>
            <w:right w:w="30" w:type="dxa"/>
          </w:tblCellMar>
        </w:tblPrEx>
        <w:trPr>
          <w:cantSplit/>
          <w:trHeight w:val="548" w:hRule="atLeast"/>
          <w:jc w:val="center"/>
        </w:trPr>
        <w:tc>
          <w:tcPr>
            <w:tcW w:w="2245" w:type="dxa"/>
            <w:tcBorders>
              <w:top w:val="single" w:color="auto" w:sz="6" w:space="0"/>
              <w:left w:val="single" w:color="auto" w:sz="6" w:space="0"/>
              <w:bottom w:val="single" w:color="auto" w:sz="6" w:space="0"/>
              <w:right w:val="single" w:color="auto" w:sz="6" w:space="0"/>
            </w:tcBorders>
            <w:vAlign w:val="center"/>
          </w:tcPr>
          <w:p>
            <w:pPr>
              <w:pStyle w:val="23"/>
              <w:tabs>
                <w:tab w:val="left" w:pos="0"/>
              </w:tabs>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地理位置</w:t>
            </w:r>
          </w:p>
        </w:tc>
        <w:tc>
          <w:tcPr>
            <w:tcW w:w="7562" w:type="dxa"/>
            <w:tcBorders>
              <w:top w:val="single" w:color="auto" w:sz="6" w:space="0"/>
              <w:left w:val="nil"/>
              <w:bottom w:val="single" w:color="auto" w:sz="6" w:space="0"/>
              <w:right w:val="single" w:color="auto" w:sz="6" w:space="0"/>
            </w:tcBorders>
            <w:vAlign w:val="center"/>
          </w:tcPr>
          <w:p>
            <w:pPr>
              <w:pStyle w:val="23"/>
              <w:tabs>
                <w:tab w:val="left" w:pos="0"/>
              </w:tabs>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CN"/>
              </w:rPr>
              <w:t>估价对象位于汕头市潮阳区谷饶镇谷苑商场A4幢3-7号 坐南向北，东至茂新路，西至饶西路，</w:t>
            </w:r>
            <w:r>
              <w:rPr>
                <w:rFonts w:hint="eastAsia" w:ascii="仿宋_GB2312" w:hAnsi="宋体" w:eastAsia="仿宋_GB2312"/>
                <w:snapToGrid w:val="0"/>
                <w:kern w:val="0"/>
                <w:sz w:val="24"/>
                <w:szCs w:val="24"/>
              </w:rPr>
              <w:t>地理位置一般。</w:t>
            </w:r>
          </w:p>
        </w:tc>
      </w:tr>
      <w:tr>
        <w:tblPrEx>
          <w:tblLayout w:type="fixed"/>
          <w:tblCellMar>
            <w:top w:w="0" w:type="dxa"/>
            <w:left w:w="30" w:type="dxa"/>
            <w:bottom w:w="0" w:type="dxa"/>
            <w:right w:w="30" w:type="dxa"/>
          </w:tblCellMar>
        </w:tblPrEx>
        <w:trPr>
          <w:cantSplit/>
          <w:trHeight w:val="558" w:hRule="atLeast"/>
          <w:jc w:val="center"/>
        </w:trPr>
        <w:tc>
          <w:tcPr>
            <w:tcW w:w="2245" w:type="dxa"/>
            <w:tcBorders>
              <w:top w:val="single" w:color="auto" w:sz="6" w:space="0"/>
              <w:left w:val="single" w:color="auto" w:sz="6" w:space="0"/>
              <w:bottom w:val="single" w:color="auto" w:sz="6" w:space="0"/>
              <w:right w:val="single" w:color="auto" w:sz="6" w:space="0"/>
            </w:tcBorders>
            <w:vAlign w:val="center"/>
          </w:tcPr>
          <w:p>
            <w:pPr>
              <w:pStyle w:val="23"/>
              <w:tabs>
                <w:tab w:val="left" w:pos="0"/>
              </w:tabs>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道路通达度</w:t>
            </w:r>
          </w:p>
        </w:tc>
        <w:tc>
          <w:tcPr>
            <w:tcW w:w="7562" w:type="dxa"/>
            <w:tcBorders>
              <w:top w:val="single" w:color="auto" w:sz="6" w:space="0"/>
              <w:left w:val="nil"/>
              <w:bottom w:val="single" w:color="auto" w:sz="6" w:space="0"/>
              <w:right w:val="single" w:color="auto" w:sz="6" w:space="0"/>
            </w:tcBorders>
            <w:vAlign w:val="center"/>
          </w:tcPr>
          <w:p>
            <w:pPr>
              <w:pStyle w:val="23"/>
              <w:tabs>
                <w:tab w:val="left" w:pos="0"/>
              </w:tabs>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估价对象主要通过区间路出入。</w:t>
            </w:r>
          </w:p>
        </w:tc>
      </w:tr>
      <w:tr>
        <w:tblPrEx>
          <w:tblLayout w:type="fixed"/>
          <w:tblCellMar>
            <w:top w:w="0" w:type="dxa"/>
            <w:left w:w="30" w:type="dxa"/>
            <w:bottom w:w="0" w:type="dxa"/>
            <w:right w:w="30" w:type="dxa"/>
          </w:tblCellMar>
        </w:tblPrEx>
        <w:trPr>
          <w:cantSplit/>
          <w:trHeight w:val="410" w:hRule="atLeast"/>
          <w:jc w:val="center"/>
        </w:trPr>
        <w:tc>
          <w:tcPr>
            <w:tcW w:w="2245" w:type="dxa"/>
            <w:tcBorders>
              <w:top w:val="single" w:color="auto" w:sz="6" w:space="0"/>
              <w:left w:val="single" w:color="auto" w:sz="6" w:space="0"/>
              <w:bottom w:val="single" w:color="auto" w:sz="6" w:space="0"/>
              <w:right w:val="single" w:color="auto" w:sz="6" w:space="0"/>
            </w:tcBorders>
            <w:vAlign w:val="center"/>
          </w:tcPr>
          <w:p>
            <w:pPr>
              <w:pStyle w:val="23"/>
              <w:tabs>
                <w:tab w:val="left" w:pos="0"/>
              </w:tabs>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交通便捷度</w:t>
            </w:r>
          </w:p>
        </w:tc>
        <w:tc>
          <w:tcPr>
            <w:tcW w:w="7562" w:type="dxa"/>
            <w:tcBorders>
              <w:top w:val="single" w:color="auto" w:sz="6" w:space="0"/>
              <w:left w:val="nil"/>
              <w:bottom w:val="single" w:color="auto" w:sz="6" w:space="0"/>
              <w:right w:val="single" w:color="auto" w:sz="6" w:space="0"/>
            </w:tcBorders>
            <w:vAlign w:val="center"/>
          </w:tcPr>
          <w:p>
            <w:pPr>
              <w:pStyle w:val="23"/>
              <w:tabs>
                <w:tab w:val="left" w:pos="0"/>
              </w:tabs>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CN"/>
              </w:rPr>
              <w:t>估价对象交通方便，附近有307、308路等公交车通达</w:t>
            </w:r>
            <w:r>
              <w:rPr>
                <w:rFonts w:hint="eastAsia" w:ascii="仿宋_GB2312" w:hAnsi="宋体" w:eastAsia="仿宋_GB2312"/>
                <w:snapToGrid w:val="0"/>
                <w:kern w:val="0"/>
                <w:sz w:val="24"/>
                <w:szCs w:val="24"/>
              </w:rPr>
              <w:t>。</w:t>
            </w:r>
          </w:p>
        </w:tc>
      </w:tr>
      <w:tr>
        <w:tblPrEx>
          <w:tblLayout w:type="fixed"/>
          <w:tblCellMar>
            <w:top w:w="0" w:type="dxa"/>
            <w:left w:w="30" w:type="dxa"/>
            <w:bottom w:w="0" w:type="dxa"/>
            <w:right w:w="30" w:type="dxa"/>
          </w:tblCellMar>
        </w:tblPrEx>
        <w:trPr>
          <w:cantSplit/>
          <w:trHeight w:val="544" w:hRule="atLeast"/>
          <w:jc w:val="center"/>
        </w:trPr>
        <w:tc>
          <w:tcPr>
            <w:tcW w:w="2245" w:type="dxa"/>
            <w:tcBorders>
              <w:top w:val="single" w:color="auto" w:sz="6" w:space="0"/>
              <w:left w:val="single" w:color="auto" w:sz="6" w:space="0"/>
              <w:bottom w:val="single" w:color="auto" w:sz="6" w:space="0"/>
              <w:right w:val="single" w:color="auto" w:sz="6" w:space="0"/>
            </w:tcBorders>
            <w:vAlign w:val="center"/>
          </w:tcPr>
          <w:p>
            <w:pPr>
              <w:pStyle w:val="23"/>
              <w:tabs>
                <w:tab w:val="left" w:pos="0"/>
              </w:tabs>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公共配套情况</w:t>
            </w:r>
          </w:p>
        </w:tc>
        <w:tc>
          <w:tcPr>
            <w:tcW w:w="7562" w:type="dxa"/>
            <w:tcBorders>
              <w:top w:val="single" w:color="auto" w:sz="6" w:space="0"/>
              <w:left w:val="nil"/>
              <w:bottom w:val="single" w:color="auto" w:sz="6" w:space="0"/>
              <w:right w:val="single" w:color="auto" w:sz="6" w:space="0"/>
            </w:tcBorders>
            <w:vAlign w:val="center"/>
          </w:tcPr>
          <w:p>
            <w:pPr>
              <w:pStyle w:val="23"/>
              <w:tabs>
                <w:tab w:val="left" w:pos="0"/>
              </w:tabs>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周围分布有学校、市场、银行等公共配套设施和生活设施较完善。</w:t>
            </w:r>
          </w:p>
        </w:tc>
      </w:tr>
      <w:tr>
        <w:tblPrEx>
          <w:tblLayout w:type="fixed"/>
          <w:tblCellMar>
            <w:top w:w="0" w:type="dxa"/>
            <w:left w:w="30" w:type="dxa"/>
            <w:bottom w:w="0" w:type="dxa"/>
            <w:right w:w="30" w:type="dxa"/>
          </w:tblCellMar>
        </w:tblPrEx>
        <w:trPr>
          <w:cantSplit/>
          <w:trHeight w:val="407" w:hRule="atLeast"/>
          <w:jc w:val="center"/>
        </w:trPr>
        <w:tc>
          <w:tcPr>
            <w:tcW w:w="2245" w:type="dxa"/>
            <w:tcBorders>
              <w:top w:val="single" w:color="auto" w:sz="6" w:space="0"/>
              <w:left w:val="single" w:color="auto" w:sz="6" w:space="0"/>
              <w:bottom w:val="single" w:color="auto" w:sz="6" w:space="0"/>
              <w:right w:val="single" w:color="auto" w:sz="6" w:space="0"/>
            </w:tcBorders>
            <w:vAlign w:val="center"/>
          </w:tcPr>
          <w:p>
            <w:pPr>
              <w:pStyle w:val="23"/>
              <w:tabs>
                <w:tab w:val="left" w:pos="0"/>
              </w:tabs>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基础设施完善度</w:t>
            </w:r>
          </w:p>
        </w:tc>
        <w:tc>
          <w:tcPr>
            <w:tcW w:w="7562" w:type="dxa"/>
            <w:tcBorders>
              <w:top w:val="single" w:color="auto" w:sz="6" w:space="0"/>
              <w:left w:val="nil"/>
              <w:bottom w:val="single" w:color="auto" w:sz="6" w:space="0"/>
              <w:right w:val="single" w:color="auto" w:sz="6" w:space="0"/>
            </w:tcBorders>
            <w:vAlign w:val="center"/>
          </w:tcPr>
          <w:p>
            <w:pPr>
              <w:pStyle w:val="23"/>
              <w:tabs>
                <w:tab w:val="left" w:pos="0"/>
              </w:tabs>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周边公共配套设施较为齐全。</w:t>
            </w:r>
          </w:p>
        </w:tc>
      </w:tr>
    </w:tbl>
    <w:p>
      <w:pPr>
        <w:pStyle w:val="35"/>
        <w:adjustRightInd w:val="0"/>
        <w:snapToGrid w:val="0"/>
        <w:ind w:firstLine="505" w:firstLineChars="150"/>
        <w:rPr>
          <w:rFonts w:ascii="仿宋_GB2312" w:eastAsia="仿宋_GB2312"/>
          <w:snapToGrid w:val="0"/>
          <w:sz w:val="28"/>
          <w:szCs w:val="28"/>
        </w:rPr>
      </w:pP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2、估价对象实物状况</w:t>
      </w:r>
    </w:p>
    <w:tbl>
      <w:tblPr>
        <w:tblStyle w:val="45"/>
        <w:tblW w:w="99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755"/>
        <w:gridCol w:w="2574"/>
        <w:gridCol w:w="215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394"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估价对象名称</w:t>
            </w:r>
          </w:p>
        </w:tc>
        <w:tc>
          <w:tcPr>
            <w:tcW w:w="7569" w:type="dxa"/>
            <w:gridSpan w:val="3"/>
            <w:vAlign w:val="center"/>
          </w:tcPr>
          <w:p>
            <w:pPr>
              <w:widowControl/>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eastAsia="zh-CN"/>
              </w:rPr>
              <w:t>汕头市潮阳区谷饶镇谷苑商场A4幢3-7号 坐南向北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2394"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总建筑面积</w:t>
            </w:r>
          </w:p>
        </w:tc>
        <w:tc>
          <w:tcPr>
            <w:tcW w:w="2574"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CN"/>
              </w:rPr>
              <w:t>1577.48</w:t>
            </w:r>
            <w:r>
              <w:rPr>
                <w:rFonts w:hint="eastAsia" w:ascii="仿宋_GB2312" w:hAnsi="宋体" w:eastAsia="仿宋_GB2312"/>
                <w:snapToGrid w:val="0"/>
                <w:kern w:val="0"/>
                <w:sz w:val="24"/>
                <w:szCs w:val="24"/>
              </w:rPr>
              <w:t>㎡</w:t>
            </w:r>
          </w:p>
        </w:tc>
        <w:tc>
          <w:tcPr>
            <w:tcW w:w="2152"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建筑结构</w:t>
            </w:r>
          </w:p>
        </w:tc>
        <w:tc>
          <w:tcPr>
            <w:tcW w:w="2843"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钢筋混凝土结构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2394"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总楼层</w:t>
            </w:r>
          </w:p>
        </w:tc>
        <w:tc>
          <w:tcPr>
            <w:tcW w:w="2574"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共6层</w:t>
            </w:r>
          </w:p>
        </w:tc>
        <w:tc>
          <w:tcPr>
            <w:tcW w:w="2152"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评估房号</w:t>
            </w:r>
          </w:p>
        </w:tc>
        <w:tc>
          <w:tcPr>
            <w:tcW w:w="2843"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全幢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394"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采光</w:t>
            </w:r>
          </w:p>
        </w:tc>
        <w:tc>
          <w:tcPr>
            <w:tcW w:w="2574"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较好</w:t>
            </w:r>
          </w:p>
        </w:tc>
        <w:tc>
          <w:tcPr>
            <w:tcW w:w="2152"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景观</w:t>
            </w:r>
          </w:p>
        </w:tc>
        <w:tc>
          <w:tcPr>
            <w:tcW w:w="2843"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394"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房屋用途</w:t>
            </w:r>
          </w:p>
        </w:tc>
        <w:tc>
          <w:tcPr>
            <w:tcW w:w="2574" w:type="dxa"/>
            <w:vAlign w:val="center"/>
          </w:tcPr>
          <w:p>
            <w:pPr>
              <w:widowControl/>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eastAsia="zh-CN"/>
              </w:rPr>
              <w:t>住宅</w:t>
            </w:r>
          </w:p>
        </w:tc>
        <w:tc>
          <w:tcPr>
            <w:tcW w:w="2152" w:type="dxa"/>
            <w:vAlign w:val="center"/>
          </w:tcPr>
          <w:p>
            <w:pPr>
              <w:widowControl/>
              <w:ind w:right="-384" w:rightChars="-144"/>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房屋取得方式</w:t>
            </w:r>
          </w:p>
        </w:tc>
        <w:tc>
          <w:tcPr>
            <w:tcW w:w="2843" w:type="dxa"/>
            <w:vAlign w:val="center"/>
          </w:tcPr>
          <w:p>
            <w:pPr>
              <w:widowControl/>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val="en-US" w:eastAsia="zh-CN"/>
              </w:rPr>
              <w:t>2009年10月购买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394"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平面布置</w:t>
            </w:r>
          </w:p>
        </w:tc>
        <w:tc>
          <w:tcPr>
            <w:tcW w:w="7569" w:type="dxa"/>
            <w:gridSpan w:val="3"/>
            <w:vAlign w:val="center"/>
          </w:tcPr>
          <w:p>
            <w:pPr>
              <w:widowControl/>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eastAsia="zh-CN"/>
              </w:rPr>
              <w:t>平面布置近似矩形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639" w:type="dxa"/>
            <w:vMerge w:val="restart"/>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装修情况</w:t>
            </w:r>
          </w:p>
        </w:tc>
        <w:tc>
          <w:tcPr>
            <w:tcW w:w="9324" w:type="dxa"/>
            <w:gridSpan w:val="4"/>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公共部分装修状况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639" w:type="dxa"/>
            <w:vMerge w:val="continue"/>
            <w:vAlign w:val="center"/>
          </w:tcPr>
          <w:p>
            <w:pPr>
              <w:widowControl/>
              <w:jc w:val="center"/>
              <w:rPr>
                <w:rFonts w:ascii="仿宋_GB2312" w:hAnsi="宋体" w:eastAsia="仿宋_GB2312"/>
                <w:snapToGrid w:val="0"/>
                <w:kern w:val="0"/>
                <w:sz w:val="24"/>
                <w:szCs w:val="24"/>
              </w:rPr>
            </w:pP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外  墙</w:t>
            </w:r>
          </w:p>
        </w:tc>
        <w:tc>
          <w:tcPr>
            <w:tcW w:w="2574"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马赛克</w:t>
            </w:r>
          </w:p>
        </w:tc>
        <w:tc>
          <w:tcPr>
            <w:tcW w:w="2152"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内   墙</w:t>
            </w:r>
          </w:p>
        </w:tc>
        <w:tc>
          <w:tcPr>
            <w:tcW w:w="2843"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刷白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639" w:type="dxa"/>
            <w:vMerge w:val="continue"/>
            <w:vAlign w:val="center"/>
          </w:tcPr>
          <w:p>
            <w:pPr>
              <w:widowControl/>
              <w:jc w:val="center"/>
              <w:rPr>
                <w:rFonts w:ascii="仿宋_GB2312" w:hAnsi="宋体" w:eastAsia="仿宋_GB2312"/>
                <w:snapToGrid w:val="0"/>
                <w:kern w:val="0"/>
                <w:sz w:val="24"/>
                <w:szCs w:val="24"/>
              </w:rPr>
            </w:pP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天  花</w:t>
            </w:r>
          </w:p>
        </w:tc>
        <w:tc>
          <w:tcPr>
            <w:tcW w:w="2574"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乳胶漆</w:t>
            </w:r>
          </w:p>
        </w:tc>
        <w:tc>
          <w:tcPr>
            <w:tcW w:w="2152"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楼地面</w:t>
            </w:r>
          </w:p>
        </w:tc>
        <w:tc>
          <w:tcPr>
            <w:tcW w:w="2843"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地砖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639" w:type="dxa"/>
            <w:vMerge w:val="continue"/>
            <w:vAlign w:val="center"/>
          </w:tcPr>
          <w:p>
            <w:pPr>
              <w:widowControl/>
              <w:jc w:val="center"/>
              <w:rPr>
                <w:rFonts w:ascii="仿宋_GB2312" w:hAnsi="宋体" w:eastAsia="仿宋_GB2312"/>
                <w:snapToGrid w:val="0"/>
                <w:kern w:val="0"/>
                <w:sz w:val="24"/>
                <w:szCs w:val="24"/>
              </w:rPr>
            </w:pP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门</w:t>
            </w:r>
          </w:p>
        </w:tc>
        <w:tc>
          <w:tcPr>
            <w:tcW w:w="2574" w:type="dxa"/>
            <w:vAlign w:val="center"/>
          </w:tcPr>
          <w:p>
            <w:pPr>
              <w:widowControl/>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eastAsia="zh-CN"/>
              </w:rPr>
              <w:t>外铁拉闸门、内不锈钢门</w:t>
            </w:r>
          </w:p>
        </w:tc>
        <w:tc>
          <w:tcPr>
            <w:tcW w:w="2152"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窗</w:t>
            </w:r>
          </w:p>
        </w:tc>
        <w:tc>
          <w:tcPr>
            <w:tcW w:w="2843"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铝合金窗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639" w:type="dxa"/>
            <w:vMerge w:val="restart"/>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设施设备</w:t>
            </w: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水  电</w:t>
            </w:r>
          </w:p>
        </w:tc>
        <w:tc>
          <w:tcPr>
            <w:tcW w:w="2574"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暗设</w:t>
            </w:r>
          </w:p>
        </w:tc>
        <w:tc>
          <w:tcPr>
            <w:tcW w:w="2152"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电  梯</w:t>
            </w:r>
          </w:p>
        </w:tc>
        <w:tc>
          <w:tcPr>
            <w:tcW w:w="2843" w:type="dxa"/>
            <w:vAlign w:val="center"/>
          </w:tcPr>
          <w:p>
            <w:pPr>
              <w:widowControl/>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639" w:type="dxa"/>
            <w:vMerge w:val="continue"/>
            <w:vAlign w:val="center"/>
          </w:tcPr>
          <w:p>
            <w:pPr>
              <w:widowControl/>
              <w:jc w:val="center"/>
              <w:rPr>
                <w:rFonts w:ascii="仿宋_GB2312" w:hAnsi="宋体" w:eastAsia="仿宋_GB2312"/>
                <w:snapToGrid w:val="0"/>
                <w:kern w:val="0"/>
                <w:sz w:val="24"/>
                <w:szCs w:val="24"/>
              </w:rPr>
            </w:pP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煤  气</w:t>
            </w:r>
          </w:p>
        </w:tc>
        <w:tc>
          <w:tcPr>
            <w:tcW w:w="2574"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w:t>
            </w:r>
          </w:p>
        </w:tc>
        <w:tc>
          <w:tcPr>
            <w:tcW w:w="2152"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消  防</w:t>
            </w:r>
          </w:p>
        </w:tc>
        <w:tc>
          <w:tcPr>
            <w:tcW w:w="2843" w:type="dxa"/>
            <w:vAlign w:val="center"/>
          </w:tcPr>
          <w:p>
            <w:pPr>
              <w:widowControl/>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eastAsia="zh-CN"/>
              </w:rPr>
              <w:t>警报铃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639" w:type="dxa"/>
            <w:vMerge w:val="continue"/>
            <w:vAlign w:val="center"/>
          </w:tcPr>
          <w:p>
            <w:pPr>
              <w:widowControl/>
              <w:jc w:val="center"/>
              <w:rPr>
                <w:rFonts w:ascii="仿宋_GB2312" w:hAnsi="宋体" w:eastAsia="仿宋_GB2312"/>
                <w:snapToGrid w:val="0"/>
                <w:kern w:val="0"/>
                <w:sz w:val="24"/>
                <w:szCs w:val="24"/>
              </w:rPr>
            </w:pP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空  调</w:t>
            </w:r>
          </w:p>
        </w:tc>
        <w:tc>
          <w:tcPr>
            <w:tcW w:w="2574"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w:t>
            </w:r>
          </w:p>
        </w:tc>
        <w:tc>
          <w:tcPr>
            <w:tcW w:w="2152"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其它设备</w:t>
            </w:r>
          </w:p>
        </w:tc>
        <w:tc>
          <w:tcPr>
            <w:tcW w:w="2843"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639" w:type="dxa"/>
            <w:vMerge w:val="restart"/>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使用维护</w:t>
            </w: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竣工年月</w:t>
            </w:r>
          </w:p>
        </w:tc>
        <w:tc>
          <w:tcPr>
            <w:tcW w:w="2574"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w:t>
            </w:r>
          </w:p>
        </w:tc>
        <w:tc>
          <w:tcPr>
            <w:tcW w:w="2152"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成新度</w:t>
            </w:r>
          </w:p>
        </w:tc>
        <w:tc>
          <w:tcPr>
            <w:tcW w:w="2843" w:type="dxa"/>
            <w:vAlign w:val="center"/>
          </w:tcPr>
          <w:p>
            <w:pPr>
              <w:widowControl/>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639" w:type="dxa"/>
            <w:vMerge w:val="continue"/>
            <w:vAlign w:val="center"/>
          </w:tcPr>
          <w:p>
            <w:pPr>
              <w:widowControl/>
              <w:jc w:val="center"/>
              <w:rPr>
                <w:rFonts w:ascii="仿宋_GB2312" w:hAnsi="宋体" w:eastAsia="仿宋_GB2312"/>
                <w:snapToGrid w:val="0"/>
                <w:kern w:val="0"/>
                <w:sz w:val="24"/>
                <w:szCs w:val="24"/>
              </w:rPr>
            </w:pP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使用状况</w:t>
            </w:r>
          </w:p>
        </w:tc>
        <w:tc>
          <w:tcPr>
            <w:tcW w:w="7569" w:type="dxa"/>
            <w:gridSpan w:val="3"/>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自用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639" w:type="dxa"/>
            <w:vMerge w:val="continue"/>
            <w:vAlign w:val="center"/>
          </w:tcPr>
          <w:p>
            <w:pPr>
              <w:widowControl/>
              <w:jc w:val="center"/>
              <w:rPr>
                <w:rFonts w:ascii="仿宋_GB2312" w:hAnsi="宋体" w:eastAsia="仿宋_GB2312"/>
                <w:snapToGrid w:val="0"/>
                <w:kern w:val="0"/>
                <w:sz w:val="24"/>
                <w:szCs w:val="24"/>
              </w:rPr>
            </w:pP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维护与保养</w:t>
            </w:r>
          </w:p>
        </w:tc>
        <w:tc>
          <w:tcPr>
            <w:tcW w:w="7569" w:type="dxa"/>
            <w:gridSpan w:val="3"/>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良好</w:t>
            </w:r>
          </w:p>
        </w:tc>
      </w:tr>
    </w:tbl>
    <w:p>
      <w:pPr>
        <w:pStyle w:val="35"/>
        <w:adjustRightInd w:val="0"/>
        <w:snapToGrid w:val="0"/>
        <w:ind w:firstLine="505" w:firstLineChars="150"/>
        <w:rPr>
          <w:rFonts w:ascii="仿宋_GB2312" w:eastAsia="仿宋_GB2312"/>
          <w:snapToGrid w:val="0"/>
          <w:sz w:val="28"/>
          <w:szCs w:val="28"/>
        </w:rPr>
      </w:pP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3. 估价对象权益状况</w:t>
      </w:r>
    </w:p>
    <w:tbl>
      <w:tblPr>
        <w:tblStyle w:val="45"/>
        <w:tblpPr w:leftFromText="180" w:rightFromText="180" w:vertAnchor="text" w:horzAnchor="margin" w:tblpXSpec="center" w:tblpY="3"/>
        <w:tblW w:w="10139" w:type="dxa"/>
        <w:tblInd w:w="0" w:type="dxa"/>
        <w:tblLayout w:type="fixed"/>
        <w:tblCellMar>
          <w:top w:w="0" w:type="dxa"/>
          <w:left w:w="108" w:type="dxa"/>
          <w:bottom w:w="0" w:type="dxa"/>
          <w:right w:w="108" w:type="dxa"/>
        </w:tblCellMar>
      </w:tblPr>
      <w:tblGrid>
        <w:gridCol w:w="2660"/>
        <w:gridCol w:w="2505"/>
        <w:gridCol w:w="2130"/>
        <w:gridCol w:w="2844"/>
      </w:tblGrid>
      <w:tr>
        <w:tblPrEx>
          <w:tblLayout w:type="fixed"/>
          <w:tblCellMar>
            <w:top w:w="0" w:type="dxa"/>
            <w:left w:w="108" w:type="dxa"/>
            <w:bottom w:w="0" w:type="dxa"/>
            <w:right w:w="108" w:type="dxa"/>
          </w:tblCellMar>
        </w:tblPrEx>
        <w:trPr>
          <w:trHeight w:val="472" w:hRule="atLeast"/>
        </w:trPr>
        <w:tc>
          <w:tcPr>
            <w:tcW w:w="2660" w:type="dxa"/>
            <w:tcBorders>
              <w:top w:val="single" w:color="auto" w:sz="4" w:space="0"/>
              <w:left w:val="single" w:color="auto" w:sz="4" w:space="0"/>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估价对象名称</w:t>
            </w:r>
          </w:p>
        </w:tc>
        <w:tc>
          <w:tcPr>
            <w:tcW w:w="7479" w:type="dxa"/>
            <w:gridSpan w:val="3"/>
            <w:tcBorders>
              <w:top w:val="single" w:color="auto" w:sz="4" w:space="0"/>
              <w:left w:val="nil"/>
              <w:bottom w:val="single" w:color="auto" w:sz="4" w:space="0"/>
              <w:right w:val="single" w:color="auto" w:sz="4" w:space="0"/>
            </w:tcBorders>
            <w:vAlign w:val="center"/>
          </w:tcPr>
          <w:p>
            <w:pPr>
              <w:pStyle w:val="23"/>
              <w:tabs>
                <w:tab w:val="left" w:pos="0"/>
              </w:tabs>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eastAsia="zh-CN"/>
              </w:rPr>
              <w:t>汕头市潮阳区谷饶镇谷苑商场A4幢3-7号 坐南向北</w:t>
            </w:r>
          </w:p>
        </w:tc>
      </w:tr>
      <w:tr>
        <w:tblPrEx>
          <w:tblLayout w:type="fixed"/>
          <w:tblCellMar>
            <w:top w:w="0" w:type="dxa"/>
            <w:left w:w="108" w:type="dxa"/>
            <w:bottom w:w="0" w:type="dxa"/>
            <w:right w:w="108" w:type="dxa"/>
          </w:tblCellMar>
        </w:tblPrEx>
        <w:trPr>
          <w:trHeight w:val="472" w:hRule="atLeast"/>
        </w:trPr>
        <w:tc>
          <w:tcPr>
            <w:tcW w:w="2660" w:type="dxa"/>
            <w:tcBorders>
              <w:top w:val="single" w:color="auto" w:sz="4" w:space="0"/>
              <w:left w:val="single" w:color="auto" w:sz="4" w:space="0"/>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估价对象位置</w:t>
            </w:r>
          </w:p>
        </w:tc>
        <w:tc>
          <w:tcPr>
            <w:tcW w:w="7479" w:type="dxa"/>
            <w:gridSpan w:val="3"/>
            <w:tcBorders>
              <w:top w:val="single" w:color="auto" w:sz="4" w:space="0"/>
              <w:left w:val="nil"/>
              <w:bottom w:val="single" w:color="auto" w:sz="4" w:space="0"/>
              <w:right w:val="single" w:color="auto" w:sz="4" w:space="0"/>
            </w:tcBorders>
            <w:vAlign w:val="center"/>
          </w:tcPr>
          <w:p>
            <w:pPr>
              <w:pStyle w:val="23"/>
              <w:tabs>
                <w:tab w:val="left" w:pos="0"/>
              </w:tabs>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eastAsia="zh-CN"/>
              </w:rPr>
              <w:t>汕头市潮阳区谷饶镇谷苑商场A4幢3-7号 坐南向北</w:t>
            </w:r>
          </w:p>
        </w:tc>
      </w:tr>
      <w:tr>
        <w:tblPrEx>
          <w:tblLayout w:type="fixed"/>
          <w:tblCellMar>
            <w:top w:w="0" w:type="dxa"/>
            <w:left w:w="108" w:type="dxa"/>
            <w:bottom w:w="0" w:type="dxa"/>
            <w:right w:w="108" w:type="dxa"/>
          </w:tblCellMar>
        </w:tblPrEx>
        <w:trPr>
          <w:trHeight w:val="472" w:hRule="atLeast"/>
        </w:trPr>
        <w:tc>
          <w:tcPr>
            <w:tcW w:w="2660" w:type="dxa"/>
            <w:tcBorders>
              <w:top w:val="single" w:color="auto" w:sz="4" w:space="0"/>
              <w:left w:val="single" w:color="auto" w:sz="4" w:space="0"/>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房地产权属人</w:t>
            </w:r>
          </w:p>
        </w:tc>
        <w:tc>
          <w:tcPr>
            <w:tcW w:w="7479" w:type="dxa"/>
            <w:gridSpan w:val="3"/>
            <w:tcBorders>
              <w:top w:val="single" w:color="auto" w:sz="4" w:space="0"/>
              <w:left w:val="nil"/>
              <w:bottom w:val="single" w:color="auto" w:sz="4" w:space="0"/>
              <w:right w:val="single" w:color="auto" w:sz="4" w:space="0"/>
            </w:tcBorders>
            <w:vAlign w:val="center"/>
          </w:tcPr>
          <w:p>
            <w:pPr>
              <w:pStyle w:val="23"/>
              <w:tabs>
                <w:tab w:val="left" w:pos="0"/>
              </w:tabs>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eastAsia="zh-CN"/>
              </w:rPr>
              <w:t>张宝生</w:t>
            </w:r>
          </w:p>
        </w:tc>
      </w:tr>
      <w:tr>
        <w:tblPrEx>
          <w:tblLayout w:type="fixed"/>
          <w:tblCellMar>
            <w:top w:w="0" w:type="dxa"/>
            <w:left w:w="108" w:type="dxa"/>
            <w:bottom w:w="0" w:type="dxa"/>
            <w:right w:w="108" w:type="dxa"/>
          </w:tblCellMar>
        </w:tblPrEx>
        <w:trPr>
          <w:trHeight w:val="472" w:hRule="atLeast"/>
        </w:trPr>
        <w:tc>
          <w:tcPr>
            <w:tcW w:w="2660" w:type="dxa"/>
            <w:tcBorders>
              <w:top w:val="single" w:color="auto" w:sz="4" w:space="0"/>
              <w:left w:val="single" w:color="auto" w:sz="4" w:space="0"/>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产权证号</w:t>
            </w:r>
          </w:p>
        </w:tc>
        <w:tc>
          <w:tcPr>
            <w:tcW w:w="7479" w:type="dxa"/>
            <w:gridSpan w:val="3"/>
            <w:tcBorders>
              <w:top w:val="single" w:color="auto" w:sz="4" w:space="0"/>
              <w:left w:val="nil"/>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《房地产权证》</w:t>
            </w:r>
            <w:r>
              <w:rPr>
                <w:rFonts w:hint="eastAsia" w:ascii="仿宋_GB2312" w:hAnsi="宋体" w:eastAsia="仿宋_GB2312"/>
                <w:snapToGrid w:val="0"/>
                <w:kern w:val="0"/>
                <w:sz w:val="24"/>
                <w:szCs w:val="24"/>
                <w:lang w:eastAsia="zh-CN"/>
              </w:rPr>
              <w:t>粤房地证字第C6956883号</w:t>
            </w:r>
          </w:p>
        </w:tc>
      </w:tr>
      <w:tr>
        <w:tblPrEx>
          <w:tblLayout w:type="fixed"/>
          <w:tblCellMar>
            <w:top w:w="0" w:type="dxa"/>
            <w:left w:w="108" w:type="dxa"/>
            <w:bottom w:w="0" w:type="dxa"/>
            <w:right w:w="108" w:type="dxa"/>
          </w:tblCellMar>
        </w:tblPrEx>
        <w:trPr>
          <w:trHeight w:val="472" w:hRule="atLeast"/>
        </w:trPr>
        <w:tc>
          <w:tcPr>
            <w:tcW w:w="2660" w:type="dxa"/>
            <w:tcBorders>
              <w:top w:val="single" w:color="auto" w:sz="4" w:space="0"/>
              <w:left w:val="single" w:color="auto" w:sz="4" w:space="0"/>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地号</w:t>
            </w:r>
          </w:p>
        </w:tc>
        <w:tc>
          <w:tcPr>
            <w:tcW w:w="2505" w:type="dxa"/>
            <w:tcBorders>
              <w:top w:val="single" w:color="auto" w:sz="4" w:space="0"/>
              <w:left w:val="nil"/>
              <w:bottom w:val="single" w:color="auto" w:sz="4" w:space="0"/>
              <w:right w:val="single" w:color="auto" w:sz="4" w:space="0"/>
            </w:tcBorders>
            <w:vAlign w:val="center"/>
          </w:tcPr>
          <w:p>
            <w:pPr>
              <w:pStyle w:val="23"/>
              <w:tabs>
                <w:tab w:val="left" w:pos="0"/>
              </w:tabs>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eastAsia="zh-CN"/>
              </w:rPr>
              <w:t>A00024</w:t>
            </w:r>
          </w:p>
        </w:tc>
        <w:tc>
          <w:tcPr>
            <w:tcW w:w="2130" w:type="dxa"/>
            <w:tcBorders>
              <w:top w:val="single" w:color="auto" w:sz="4" w:space="0"/>
              <w:left w:val="nil"/>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土地使用权类型</w:t>
            </w:r>
          </w:p>
        </w:tc>
        <w:tc>
          <w:tcPr>
            <w:tcW w:w="2844" w:type="dxa"/>
            <w:tcBorders>
              <w:top w:val="single" w:color="auto" w:sz="4" w:space="0"/>
              <w:left w:val="nil"/>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集体</w:t>
            </w:r>
          </w:p>
        </w:tc>
      </w:tr>
      <w:tr>
        <w:tblPrEx>
          <w:tblLayout w:type="fixed"/>
          <w:tblCellMar>
            <w:top w:w="0" w:type="dxa"/>
            <w:left w:w="108" w:type="dxa"/>
            <w:bottom w:w="0" w:type="dxa"/>
            <w:right w:w="108" w:type="dxa"/>
          </w:tblCellMar>
        </w:tblPrEx>
        <w:trPr>
          <w:trHeight w:val="472" w:hRule="atLeast"/>
        </w:trPr>
        <w:tc>
          <w:tcPr>
            <w:tcW w:w="2660" w:type="dxa"/>
            <w:tcBorders>
              <w:top w:val="single" w:color="auto" w:sz="4" w:space="0"/>
              <w:left w:val="single" w:color="auto" w:sz="4" w:space="0"/>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土地用途</w:t>
            </w:r>
          </w:p>
        </w:tc>
        <w:tc>
          <w:tcPr>
            <w:tcW w:w="2505" w:type="dxa"/>
            <w:tcBorders>
              <w:top w:val="single" w:color="auto" w:sz="4" w:space="0"/>
              <w:left w:val="nil"/>
              <w:bottom w:val="single" w:color="auto" w:sz="4" w:space="0"/>
              <w:right w:val="single" w:color="auto" w:sz="4" w:space="0"/>
            </w:tcBorders>
            <w:vAlign w:val="center"/>
          </w:tcPr>
          <w:p>
            <w:pPr>
              <w:pStyle w:val="23"/>
              <w:tabs>
                <w:tab w:val="left" w:pos="0"/>
              </w:tabs>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eastAsia="zh-CN"/>
              </w:rPr>
              <w:t>——</w:t>
            </w:r>
          </w:p>
        </w:tc>
        <w:tc>
          <w:tcPr>
            <w:tcW w:w="2130" w:type="dxa"/>
            <w:tcBorders>
              <w:top w:val="single" w:color="auto" w:sz="4" w:space="0"/>
              <w:left w:val="nil"/>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房屋用途</w:t>
            </w:r>
          </w:p>
        </w:tc>
        <w:tc>
          <w:tcPr>
            <w:tcW w:w="2844" w:type="dxa"/>
            <w:tcBorders>
              <w:top w:val="single" w:color="auto" w:sz="4" w:space="0"/>
              <w:left w:val="nil"/>
              <w:bottom w:val="single" w:color="auto" w:sz="4" w:space="0"/>
              <w:right w:val="single" w:color="auto" w:sz="4" w:space="0"/>
            </w:tcBorders>
            <w:vAlign w:val="center"/>
          </w:tcPr>
          <w:p>
            <w:pPr>
              <w:pStyle w:val="23"/>
              <w:tabs>
                <w:tab w:val="left" w:pos="0"/>
              </w:tabs>
              <w:jc w:val="center"/>
              <w:rPr>
                <w:rFonts w:hint="eastAsia" w:ascii="仿宋_GB2312" w:hAnsi="宋体" w:eastAsia="仿宋_GB2312"/>
                <w:snapToGrid w:val="0"/>
                <w:kern w:val="0"/>
                <w:sz w:val="24"/>
                <w:szCs w:val="24"/>
                <w:lang w:eastAsia="zh-CN"/>
              </w:rPr>
            </w:pPr>
            <w:r>
              <w:rPr>
                <w:rFonts w:hint="eastAsia" w:ascii="仿宋_GB2312" w:hAnsi="宋体" w:eastAsia="仿宋_GB2312" w:cs="宋体"/>
                <w:snapToGrid w:val="0"/>
                <w:kern w:val="0"/>
                <w:sz w:val="24"/>
                <w:szCs w:val="24"/>
                <w:lang w:eastAsia="zh-CN"/>
              </w:rPr>
              <w:t>住宅</w:t>
            </w:r>
          </w:p>
        </w:tc>
      </w:tr>
      <w:tr>
        <w:tblPrEx>
          <w:tblLayout w:type="fixed"/>
          <w:tblCellMar>
            <w:top w:w="0" w:type="dxa"/>
            <w:left w:w="108" w:type="dxa"/>
            <w:bottom w:w="0" w:type="dxa"/>
            <w:right w:w="108" w:type="dxa"/>
          </w:tblCellMar>
        </w:tblPrEx>
        <w:trPr>
          <w:trHeight w:val="472" w:hRule="atLeast"/>
        </w:trPr>
        <w:tc>
          <w:tcPr>
            <w:tcW w:w="2660" w:type="dxa"/>
            <w:tcBorders>
              <w:top w:val="single" w:color="auto" w:sz="4" w:space="0"/>
              <w:left w:val="single" w:color="auto" w:sz="4" w:space="0"/>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CN"/>
              </w:rPr>
              <w:t>自用</w:t>
            </w:r>
            <w:r>
              <w:rPr>
                <w:rFonts w:hint="eastAsia" w:ascii="仿宋_GB2312" w:hAnsi="宋体" w:eastAsia="仿宋_GB2312"/>
                <w:snapToGrid w:val="0"/>
                <w:kern w:val="0"/>
                <w:sz w:val="24"/>
                <w:szCs w:val="24"/>
              </w:rPr>
              <w:t>面积</w:t>
            </w:r>
          </w:p>
        </w:tc>
        <w:tc>
          <w:tcPr>
            <w:tcW w:w="2505" w:type="dxa"/>
            <w:tcBorders>
              <w:top w:val="single" w:color="auto" w:sz="4" w:space="0"/>
              <w:left w:val="nil"/>
              <w:bottom w:val="single" w:color="auto" w:sz="4" w:space="0"/>
              <w:right w:val="single" w:color="auto" w:sz="4" w:space="0"/>
            </w:tcBorders>
            <w:vAlign w:val="center"/>
          </w:tcPr>
          <w:p>
            <w:pPr>
              <w:pStyle w:val="23"/>
              <w:tabs>
                <w:tab w:val="left" w:pos="0"/>
              </w:tabs>
              <w:jc w:val="center"/>
              <w:rPr>
                <w:rFonts w:hint="eastAsia" w:hAnsi="宋体" w:eastAsia="宋体" w:cs="宋体"/>
                <w:snapToGrid w:val="0"/>
                <w:kern w:val="0"/>
                <w:sz w:val="24"/>
                <w:szCs w:val="24"/>
                <w:lang w:eastAsia="zh-CN"/>
              </w:rPr>
            </w:pPr>
            <w:r>
              <w:rPr>
                <w:rFonts w:hint="eastAsia" w:ascii="仿宋_GB2312" w:hAnsi="宋体" w:eastAsia="仿宋_GB2312"/>
                <w:snapToGrid w:val="0"/>
                <w:kern w:val="0"/>
                <w:sz w:val="24"/>
                <w:szCs w:val="24"/>
                <w:lang w:eastAsia="zh-CN"/>
              </w:rPr>
              <w:t>256.25㎡</w:t>
            </w:r>
          </w:p>
        </w:tc>
        <w:tc>
          <w:tcPr>
            <w:tcW w:w="2130" w:type="dxa"/>
            <w:tcBorders>
              <w:top w:val="single" w:color="auto" w:sz="4" w:space="0"/>
              <w:left w:val="nil"/>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分摊面积</w:t>
            </w:r>
          </w:p>
        </w:tc>
        <w:tc>
          <w:tcPr>
            <w:tcW w:w="2844" w:type="dxa"/>
            <w:tcBorders>
              <w:top w:val="single" w:color="auto" w:sz="4" w:space="0"/>
              <w:left w:val="nil"/>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w:t>
            </w:r>
          </w:p>
        </w:tc>
      </w:tr>
      <w:tr>
        <w:tblPrEx>
          <w:tblLayout w:type="fixed"/>
          <w:tblCellMar>
            <w:top w:w="0" w:type="dxa"/>
            <w:left w:w="108" w:type="dxa"/>
            <w:bottom w:w="0" w:type="dxa"/>
            <w:right w:w="108" w:type="dxa"/>
          </w:tblCellMar>
        </w:tblPrEx>
        <w:trPr>
          <w:trHeight w:val="472" w:hRule="atLeast"/>
        </w:trPr>
        <w:tc>
          <w:tcPr>
            <w:tcW w:w="2660" w:type="dxa"/>
            <w:tcBorders>
              <w:top w:val="single" w:color="auto" w:sz="4" w:space="0"/>
              <w:left w:val="single" w:color="auto" w:sz="4" w:space="0"/>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土地使用权取得方式</w:t>
            </w:r>
          </w:p>
        </w:tc>
        <w:tc>
          <w:tcPr>
            <w:tcW w:w="2505" w:type="dxa"/>
            <w:tcBorders>
              <w:top w:val="single" w:color="auto" w:sz="4" w:space="0"/>
              <w:left w:val="nil"/>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批准拨用</w:t>
            </w:r>
          </w:p>
        </w:tc>
        <w:tc>
          <w:tcPr>
            <w:tcW w:w="2130" w:type="dxa"/>
            <w:tcBorders>
              <w:top w:val="single" w:color="auto" w:sz="4" w:space="0"/>
              <w:left w:val="nil"/>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竣工日期</w:t>
            </w:r>
          </w:p>
        </w:tc>
        <w:tc>
          <w:tcPr>
            <w:tcW w:w="2844" w:type="dxa"/>
            <w:tcBorders>
              <w:top w:val="single" w:color="auto" w:sz="4" w:space="0"/>
              <w:left w:val="nil"/>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w:t>
            </w:r>
          </w:p>
        </w:tc>
      </w:tr>
      <w:tr>
        <w:tblPrEx>
          <w:tblLayout w:type="fixed"/>
          <w:tblCellMar>
            <w:top w:w="0" w:type="dxa"/>
            <w:left w:w="108" w:type="dxa"/>
            <w:bottom w:w="0" w:type="dxa"/>
            <w:right w:w="108" w:type="dxa"/>
          </w:tblCellMar>
        </w:tblPrEx>
        <w:trPr>
          <w:trHeight w:val="472" w:hRule="atLeast"/>
        </w:trPr>
        <w:tc>
          <w:tcPr>
            <w:tcW w:w="2660" w:type="dxa"/>
            <w:tcBorders>
              <w:top w:val="single" w:color="auto" w:sz="4" w:space="0"/>
              <w:left w:val="single" w:color="auto" w:sz="4" w:space="0"/>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CN"/>
              </w:rPr>
              <w:t>产权证登记</w:t>
            </w:r>
            <w:r>
              <w:rPr>
                <w:rFonts w:hint="eastAsia" w:ascii="仿宋_GB2312" w:hAnsi="宋体" w:eastAsia="仿宋_GB2312"/>
                <w:snapToGrid w:val="0"/>
                <w:kern w:val="0"/>
                <w:sz w:val="24"/>
                <w:szCs w:val="24"/>
              </w:rPr>
              <w:t>日期</w:t>
            </w:r>
          </w:p>
        </w:tc>
        <w:tc>
          <w:tcPr>
            <w:tcW w:w="7479" w:type="dxa"/>
            <w:gridSpan w:val="3"/>
            <w:tcBorders>
              <w:top w:val="single" w:color="auto" w:sz="4" w:space="0"/>
              <w:left w:val="nil"/>
              <w:bottom w:val="single" w:color="auto" w:sz="4" w:space="0"/>
              <w:right w:val="single" w:color="auto" w:sz="4" w:space="0"/>
            </w:tcBorders>
            <w:vAlign w:val="center"/>
          </w:tcPr>
          <w:p>
            <w:pPr>
              <w:pStyle w:val="23"/>
              <w:tabs>
                <w:tab w:val="left" w:pos="0"/>
              </w:tabs>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val="en-US" w:eastAsia="zh-CN"/>
              </w:rPr>
              <w:t>2009年11月15日</w:t>
            </w:r>
          </w:p>
        </w:tc>
      </w:tr>
    </w:tbl>
    <w:p>
      <w:pPr>
        <w:adjustRightInd w:val="0"/>
        <w:snapToGrid w:val="0"/>
        <w:spacing w:line="460" w:lineRule="exact"/>
        <w:rPr>
          <w:b/>
          <w:snapToGrid w:val="0"/>
          <w:kern w:val="0"/>
          <w:sz w:val="28"/>
          <w:szCs w:val="28"/>
        </w:rPr>
      </w:pPr>
    </w:p>
    <w:p>
      <w:pPr>
        <w:pStyle w:val="2"/>
        <w:spacing w:line="360" w:lineRule="auto"/>
        <w:jc w:val="left"/>
        <w:rPr>
          <w:rFonts w:ascii="黑体" w:eastAsia="黑体"/>
          <w:snapToGrid w:val="0"/>
          <w:kern w:val="0"/>
          <w:sz w:val="30"/>
          <w:szCs w:val="30"/>
        </w:rPr>
      </w:pPr>
      <w:bookmarkStart w:id="16" w:name="_Toc17398"/>
      <w:r>
        <w:rPr>
          <w:rFonts w:hint="eastAsia" w:ascii="黑体" w:eastAsia="黑体"/>
          <w:snapToGrid w:val="0"/>
          <w:kern w:val="0"/>
          <w:sz w:val="30"/>
          <w:szCs w:val="30"/>
        </w:rPr>
        <w:t>（四）估价目的</w:t>
      </w:r>
      <w:bookmarkEnd w:id="16"/>
    </w:p>
    <w:p>
      <w:pPr>
        <w:pStyle w:val="35"/>
        <w:adjustRightInd w:val="0"/>
        <w:snapToGrid w:val="0"/>
        <w:ind w:firstLine="505" w:firstLineChars="150"/>
        <w:rPr>
          <w:snapToGrid w:val="0"/>
        </w:rPr>
      </w:pPr>
      <w:r>
        <w:rPr>
          <w:rFonts w:hint="eastAsia" w:ascii="仿宋_GB2312" w:eastAsia="仿宋_GB2312"/>
          <w:snapToGrid w:val="0"/>
          <w:sz w:val="28"/>
          <w:szCs w:val="28"/>
        </w:rPr>
        <w:t>为汕头市潮阳区人民法院进行司法处置提供价值参考依据。</w:t>
      </w:r>
    </w:p>
    <w:p>
      <w:pPr>
        <w:adjustRightInd w:val="0"/>
        <w:snapToGrid w:val="0"/>
        <w:spacing w:line="460" w:lineRule="exact"/>
        <w:rPr>
          <w:b/>
          <w:snapToGrid w:val="0"/>
          <w:kern w:val="0"/>
          <w:sz w:val="28"/>
          <w:szCs w:val="28"/>
        </w:rPr>
      </w:pPr>
    </w:p>
    <w:p>
      <w:pPr>
        <w:pStyle w:val="2"/>
        <w:spacing w:line="360" w:lineRule="auto"/>
        <w:jc w:val="left"/>
        <w:rPr>
          <w:rFonts w:ascii="黑体" w:eastAsia="黑体"/>
          <w:snapToGrid w:val="0"/>
          <w:kern w:val="0"/>
          <w:sz w:val="30"/>
          <w:szCs w:val="30"/>
        </w:rPr>
      </w:pPr>
      <w:bookmarkStart w:id="17" w:name="_Toc19285"/>
      <w:r>
        <w:rPr>
          <w:rFonts w:hint="eastAsia" w:ascii="黑体" w:eastAsia="黑体"/>
          <w:snapToGrid w:val="0"/>
          <w:kern w:val="0"/>
          <w:sz w:val="30"/>
          <w:szCs w:val="30"/>
        </w:rPr>
        <w:t>（五）价值时点</w:t>
      </w:r>
      <w:bookmarkEnd w:id="17"/>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价值时点为</w:t>
      </w:r>
      <w:r>
        <w:rPr>
          <w:rFonts w:hint="eastAsia" w:ascii="仿宋_GB2312" w:eastAsia="仿宋_GB2312"/>
          <w:snapToGrid w:val="0"/>
          <w:sz w:val="28"/>
          <w:szCs w:val="28"/>
          <w:lang w:eastAsia="zh-CN"/>
        </w:rPr>
        <w:t>二〇一九年五月二十七日</w:t>
      </w:r>
      <w:r>
        <w:rPr>
          <w:rFonts w:hint="eastAsia" w:ascii="仿宋_GB2312" w:eastAsia="仿宋_GB2312"/>
          <w:snapToGrid w:val="0"/>
          <w:sz w:val="28"/>
          <w:szCs w:val="28"/>
        </w:rPr>
        <w:t>（价值时点的确定理由：根据《房地产估价规范》【GB/T50291-2015】规定及委托书，价值时点为估价人员对估价对象实地查勘之日）。</w:t>
      </w:r>
    </w:p>
    <w:p>
      <w:pPr>
        <w:adjustRightInd w:val="0"/>
        <w:snapToGrid w:val="0"/>
        <w:spacing w:line="460" w:lineRule="exact"/>
        <w:rPr>
          <w:b/>
          <w:snapToGrid w:val="0"/>
          <w:kern w:val="0"/>
          <w:sz w:val="28"/>
          <w:szCs w:val="28"/>
        </w:rPr>
      </w:pPr>
    </w:p>
    <w:p>
      <w:pPr>
        <w:pStyle w:val="2"/>
        <w:spacing w:line="360" w:lineRule="auto"/>
        <w:jc w:val="left"/>
        <w:rPr>
          <w:rFonts w:ascii="黑体" w:eastAsia="黑体"/>
          <w:snapToGrid w:val="0"/>
          <w:kern w:val="0"/>
          <w:sz w:val="30"/>
          <w:szCs w:val="30"/>
        </w:rPr>
      </w:pPr>
      <w:bookmarkStart w:id="18" w:name="_Toc2881"/>
      <w:r>
        <w:rPr>
          <w:rFonts w:hint="eastAsia" w:ascii="黑体" w:eastAsia="黑体"/>
          <w:snapToGrid w:val="0"/>
          <w:kern w:val="0"/>
          <w:sz w:val="30"/>
          <w:szCs w:val="30"/>
        </w:rPr>
        <w:t>（六）价值定义</w:t>
      </w:r>
      <w:bookmarkEnd w:id="18"/>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本报告中的评估价值为估价对象于价值时点状态、在公开市场价值标准及满足估价的假设和限制条件下的公开市场价值。根据《房地产估价规范》【GB/T50291-2015】和本次估价的具体要求，本估价报告中的评估价值是指估价对象在价值时点</w:t>
      </w:r>
      <w:r>
        <w:rPr>
          <w:rFonts w:hint="eastAsia" w:ascii="仿宋_GB2312" w:eastAsia="仿宋_GB2312"/>
          <w:snapToGrid w:val="0"/>
          <w:sz w:val="28"/>
          <w:szCs w:val="28"/>
          <w:lang w:eastAsia="zh-CN"/>
        </w:rPr>
        <w:t>2019年05月27日</w:t>
      </w:r>
      <w:r>
        <w:rPr>
          <w:rFonts w:hint="eastAsia" w:ascii="仿宋_GB2312" w:eastAsia="仿宋_GB2312"/>
          <w:snapToGrid w:val="0"/>
          <w:sz w:val="28"/>
          <w:szCs w:val="28"/>
        </w:rPr>
        <w:t>现状利用条件下的房地产市场价值。</w:t>
      </w:r>
    </w:p>
    <w:p>
      <w:pPr>
        <w:adjustRightInd w:val="0"/>
        <w:snapToGrid w:val="0"/>
        <w:spacing w:line="460" w:lineRule="exact"/>
        <w:rPr>
          <w:b/>
          <w:snapToGrid w:val="0"/>
          <w:kern w:val="0"/>
          <w:sz w:val="28"/>
          <w:szCs w:val="28"/>
        </w:rPr>
      </w:pPr>
    </w:p>
    <w:p>
      <w:pPr>
        <w:pStyle w:val="2"/>
        <w:spacing w:line="360" w:lineRule="auto"/>
        <w:jc w:val="left"/>
        <w:rPr>
          <w:rFonts w:ascii="黑体" w:eastAsia="黑体"/>
          <w:snapToGrid w:val="0"/>
          <w:kern w:val="0"/>
          <w:sz w:val="30"/>
          <w:szCs w:val="30"/>
        </w:rPr>
      </w:pPr>
      <w:bookmarkStart w:id="19" w:name="_Toc25623"/>
      <w:r>
        <w:rPr>
          <w:rFonts w:hint="eastAsia" w:ascii="黑体" w:eastAsia="黑体"/>
          <w:snapToGrid w:val="0"/>
          <w:kern w:val="0"/>
          <w:sz w:val="30"/>
          <w:szCs w:val="30"/>
        </w:rPr>
        <w:t>（七）估价依据</w:t>
      </w:r>
      <w:bookmarkEnd w:id="19"/>
    </w:p>
    <w:p>
      <w:pPr>
        <w:spacing w:line="360" w:lineRule="auto"/>
        <w:ind w:firstLine="674" w:firstLineChars="200"/>
        <w:rPr>
          <w:rFonts w:ascii="仿宋_GB2312" w:eastAsia="仿宋_GB2312"/>
          <w:snapToGrid w:val="0"/>
          <w:kern w:val="0"/>
          <w:sz w:val="28"/>
          <w:szCs w:val="28"/>
        </w:rPr>
      </w:pPr>
      <w:r>
        <w:rPr>
          <w:rFonts w:hint="eastAsia" w:ascii="仿宋_GB2312" w:eastAsia="仿宋_GB2312"/>
          <w:snapToGrid w:val="0"/>
          <w:kern w:val="0"/>
          <w:sz w:val="28"/>
          <w:szCs w:val="28"/>
        </w:rPr>
        <w:t>本次评估依据国务院、建设部、国土资源部、广东省及其有关部门颁布的法律规定和政策性文件以及评估房地产的具体资料，主要有：</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一、国家有关部门颁布的法律法规及相关文件</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1.《中华人民共和国物权法》（2007年3月16日中华人民共和国主席令第62号，2007年10月1日施行）；</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2.《中华人民共和国城市房地产管理法》（2007修正）》（中华人民共和国主席令[2007]第72号）;</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3.《中华人民共和国土地管理法》（第二次修正，2004年8月28日中华人民共和国主席令第28号公布）；</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4.《中华人民共和国城乡规划法》（2007年10月28日第十届全国人民代表大会常务委员会第三十次会议通过，2007年10月28日中华人民共和国主席令第74号公布）；</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5.《中华人民共和国担保法》（1995年6月30日第八届全国人民代表大会常务委员会第十四次会议通过，自1995年10月1日起施行）；</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6.《中华人民共和国土地管理法实施细则》（1998年12月24日国务院令第256号，1999年1月1日施行）；</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7.《中华人民共和国城镇国有土地使用权出让和转让暂行条例》（1990年5月19日中华人民共和国国务院令第55号，1990年5月19日施行）；</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8. 《最高人民法院关于人民法院委托评估、拍卖和变卖工作的若干规定》法释［2009］16号；</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9. 《最高人民法院关于人民法院民事执行中拍卖、变卖财产的规定》法释［2004］16号；</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二、地方有关部门颁布的法规及相关文件</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1.《广东省建筑与装饰工程综合计价》和《广东省建筑工程工程量清单计价实施细则》；</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2.《广东省建筑工程预算定额》；</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3.广东省及汕头市人民政府及有关管理部门颁布的有关法规、部门规章和政策文件。</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三、本次估价依据的技术规程</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1.《房地产估价规范》【GB/T50291-2015】</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2.《房地产估价基本术语标准》【GB/T 50899-2013】</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 xml:space="preserve">四、委托方提供的有关资料 </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1、《评估委托书》（</w:t>
      </w:r>
      <w:r>
        <w:rPr>
          <w:rFonts w:hint="eastAsia" w:ascii="仿宋_GB2312" w:eastAsia="仿宋_GB2312"/>
          <w:snapToGrid w:val="0"/>
          <w:sz w:val="28"/>
          <w:szCs w:val="28"/>
          <w:lang w:eastAsia="zh-CN"/>
        </w:rPr>
        <w:t>(2019)汕阳法技鉴字第26号</w:t>
      </w:r>
      <w:r>
        <w:rPr>
          <w:rFonts w:hint="eastAsia" w:ascii="仿宋_GB2312" w:eastAsia="仿宋_GB2312"/>
          <w:snapToGrid w:val="0"/>
          <w:sz w:val="28"/>
          <w:szCs w:val="28"/>
        </w:rPr>
        <w:t>）及权证资料；</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2、《执行裁定书》（</w:t>
      </w:r>
      <w:r>
        <w:rPr>
          <w:rFonts w:hint="eastAsia" w:ascii="仿宋_GB2312" w:eastAsia="仿宋_GB2312"/>
          <w:snapToGrid w:val="0"/>
          <w:sz w:val="28"/>
          <w:szCs w:val="28"/>
          <w:lang w:eastAsia="zh-CN"/>
        </w:rPr>
        <w:t>（2019）粤0513执224号</w:t>
      </w:r>
      <w:r>
        <w:rPr>
          <w:rFonts w:hint="eastAsia" w:ascii="仿宋_GB2312" w:eastAsia="仿宋_GB2312"/>
          <w:snapToGrid w:val="0"/>
          <w:sz w:val="28"/>
          <w:szCs w:val="28"/>
        </w:rPr>
        <w:t>）；</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3、委托方提供的基本情况资料。</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五、估价机构掌握的有关资料</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1.估价对象所在地自然条件、社会经济条件、行政区划人口等方面的基本情况资料；</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2.估价对象所在地统计资料；</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3.估价对象所在地城市规划资料；</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4.估价对象所在地城市基础设施基本情况资料；</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5.建设部《房屋完损等级评定标准》；</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六、估价人员实际勘察、调查所获取的资料</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1.估价人员实地踏勘和调查收集的有关估价对象权属、基础设施、宗地条件方面的资料;</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2.估价人员实地踏勘和调查收集的有关估价对象建筑物状况资料;</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3.估价对象所在地土地出让转让、土地市场供需状况、商品房买卖、租赁等土地房产交易的市场资料;</w:t>
      </w: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4.估价人员实地拍摄的有关估价对象现状的照片。（详见报告附件）</w:t>
      </w:r>
    </w:p>
    <w:p>
      <w:pPr>
        <w:adjustRightInd w:val="0"/>
        <w:snapToGrid w:val="0"/>
        <w:spacing w:line="460" w:lineRule="exact"/>
        <w:rPr>
          <w:b/>
          <w:snapToGrid w:val="0"/>
          <w:kern w:val="0"/>
          <w:sz w:val="28"/>
          <w:szCs w:val="28"/>
        </w:rPr>
      </w:pPr>
    </w:p>
    <w:p>
      <w:pPr>
        <w:pStyle w:val="2"/>
        <w:spacing w:line="360" w:lineRule="auto"/>
        <w:jc w:val="left"/>
        <w:rPr>
          <w:rFonts w:ascii="黑体" w:eastAsia="黑体"/>
          <w:snapToGrid w:val="0"/>
          <w:kern w:val="0"/>
          <w:sz w:val="30"/>
          <w:szCs w:val="30"/>
        </w:rPr>
      </w:pPr>
      <w:bookmarkStart w:id="20" w:name="_Toc32693"/>
      <w:r>
        <w:rPr>
          <w:rFonts w:hint="eastAsia" w:ascii="黑体" w:eastAsia="黑体"/>
          <w:snapToGrid w:val="0"/>
          <w:kern w:val="0"/>
          <w:sz w:val="30"/>
          <w:szCs w:val="30"/>
        </w:rPr>
        <w:t>（八）估价原则</w:t>
      </w:r>
      <w:bookmarkEnd w:id="20"/>
    </w:p>
    <w:p>
      <w:pPr>
        <w:adjustRightInd w:val="0"/>
        <w:snapToGrid w:val="0"/>
        <w:spacing w:line="520" w:lineRule="exact"/>
        <w:ind w:firstLine="491" w:firstLineChars="146"/>
        <w:rPr>
          <w:rFonts w:ascii="仿宋_GB2312" w:hAnsi="宋体" w:eastAsia="仿宋_GB2312"/>
          <w:snapToGrid w:val="0"/>
          <w:kern w:val="0"/>
          <w:sz w:val="28"/>
          <w:szCs w:val="28"/>
        </w:rPr>
      </w:pPr>
      <w:r>
        <w:rPr>
          <w:rFonts w:hint="eastAsia" w:ascii="仿宋_GB2312" w:hAnsi="楷体" w:eastAsia="仿宋_GB2312"/>
          <w:snapToGrid w:val="0"/>
          <w:kern w:val="0"/>
          <w:sz w:val="28"/>
          <w:szCs w:val="28"/>
        </w:rPr>
        <w:t>根据估价目的，结合估价对象的具体情况，本次估价过程遵循</w:t>
      </w:r>
      <w:r>
        <w:rPr>
          <w:rFonts w:hint="eastAsia" w:ascii="仿宋_GB2312" w:hAnsi="宋体" w:eastAsia="仿宋_GB2312"/>
          <w:snapToGrid w:val="0"/>
          <w:kern w:val="0"/>
          <w:sz w:val="28"/>
          <w:szCs w:val="28"/>
        </w:rPr>
        <w:t>独立、客观、公正原则、合法原则、价值时点原则、替代原则、最高最佳利用原则、最高最佳利用、谨慎原则等房地产估价原则。</w:t>
      </w:r>
    </w:p>
    <w:p>
      <w:pPr>
        <w:spacing w:line="520" w:lineRule="exact"/>
        <w:ind w:firstLine="674" w:firstLineChars="200"/>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1、独立、客观、公正原则</w:t>
      </w:r>
    </w:p>
    <w:p>
      <w:pPr>
        <w:spacing w:line="520" w:lineRule="exact"/>
        <w:ind w:firstLine="674" w:firstLineChars="200"/>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要求站在中立的立场上，实事求是、公平正直地评估出对各方估价利害关系人均是公平合理的价值或价格的原则。</w:t>
      </w:r>
    </w:p>
    <w:p>
      <w:pPr>
        <w:spacing w:line="520" w:lineRule="exact"/>
        <w:ind w:firstLine="674" w:firstLineChars="200"/>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所谓“独立”，就是要求我司评估人员和房地产估价机构与估价委托人及估价利害关系人没有利害关系，在估价中不受包括估价委托人在内的任何单位和个人的影响，应凭自己的专业知识、经验和职业道德进行估价。所谓“客观”，就是要求我司评估人员和房地产估价机构在估价中不带着自己的情感、好恶和偏见，应按照事物的本来面目、实事求是地进行估价。所谓“公正”，就是要求我司评估人员和房地产估价机构在估价中不偏袒估价利害关系人中的任何一方，应坚持原则、公平正直地进行估价。</w:t>
      </w:r>
    </w:p>
    <w:p>
      <w:pPr>
        <w:spacing w:line="520" w:lineRule="exact"/>
        <w:ind w:firstLine="674" w:firstLineChars="200"/>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本次估价坚守独立、客观、公正原则，我们建立了行之有效的内部审核制度，以保证评估过程规范有序，既不受其他单位和个人的非法干预和影响，也不因房地产估价师个人好恶或主观偏见影响其分析、判断的客观性。</w:t>
      </w:r>
    </w:p>
    <w:p>
      <w:pPr>
        <w:spacing w:line="520" w:lineRule="exact"/>
        <w:ind w:firstLine="674" w:firstLineChars="200"/>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2、合法原则</w:t>
      </w:r>
    </w:p>
    <w:p>
      <w:pPr>
        <w:spacing w:line="520" w:lineRule="exact"/>
        <w:ind w:firstLine="674" w:firstLineChars="200"/>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要求估价结果是在依法判定的估价对象状况下的价值或价格的原则。</w:t>
      </w:r>
    </w:p>
    <w:p>
      <w:pPr>
        <w:spacing w:line="520" w:lineRule="exact"/>
        <w:ind w:firstLine="674" w:firstLineChars="200"/>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依法是指不仅要依据有关法律、行政法规、最高人民法院和最高人民检察院发布的有关司法解释，还要依据估价对象所在地的有关地方性法规（民族自治地方应同时依据有关自治条例和单行条例），国务院所属部门颁发的有关部门规章和政策，估价对象所在地人民政府颁发的有关地方政府规章和政策，以及估价对象的不动产登记簿（房屋登记簿、土地登记簿）、权属证书、有关批文和合同等（如规划意见书、国有建设用地使用权出让招标文件、国有建设用地使用权出让合同、房地产转让合同、房屋租赁合同等）。</w:t>
      </w:r>
    </w:p>
    <w:p>
      <w:pPr>
        <w:spacing w:line="520" w:lineRule="exact"/>
        <w:ind w:firstLine="674" w:firstLineChars="200"/>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本次评估以估价对象法定用途为前提，适当考虑现状用途对房地产价值的影响。</w:t>
      </w:r>
    </w:p>
    <w:p>
      <w:pPr>
        <w:spacing w:line="520" w:lineRule="exact"/>
        <w:ind w:firstLine="674" w:firstLineChars="200"/>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3、价值时点原则</w:t>
      </w:r>
    </w:p>
    <w:p>
      <w:pPr>
        <w:spacing w:line="520" w:lineRule="exact"/>
        <w:ind w:firstLine="674" w:firstLineChars="200"/>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房地产市场处于不断变化之中，房地产价格价格具有很强的时间性，它是某一时点上的价格。在不同时点，同一宗房地产往往会有不同的价格。价值时点原则是指求取某一时点上的价格，所以再评估一宗房地产的价格时，必须假定市场停止在价值时点上，同时估价对象房地产的状况通常也是以其在该时点时的状况为准。</w:t>
      </w:r>
    </w:p>
    <w:p>
      <w:pPr>
        <w:spacing w:line="520" w:lineRule="exact"/>
        <w:ind w:firstLine="674" w:firstLineChars="200"/>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价值时点原则强调的是估价结论具有很强的时间相关性和时效性。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估价结论同时具有很强的时效性，这主要是考虑到房地产市场价格的波动，同一估价对象在不同时点会具不同的市场价格。</w:t>
      </w:r>
    </w:p>
    <w:p>
      <w:pPr>
        <w:spacing w:line="520" w:lineRule="exact"/>
        <w:ind w:firstLine="674" w:firstLineChars="200"/>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本次估价以价值时点原则为前提，根据价值时点原则确定政府有关房地产的法律、法规、税收政策、估价标准等的发布、变更、实施日期等估价依据。估价结果是根据估价目的确定的价值时点所对应的市场价值。</w:t>
      </w:r>
    </w:p>
    <w:p>
      <w:pPr>
        <w:spacing w:line="520" w:lineRule="exact"/>
        <w:ind w:firstLine="674" w:firstLineChars="200"/>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4、替代原则</w:t>
      </w:r>
    </w:p>
    <w:p>
      <w:pPr>
        <w:spacing w:line="520" w:lineRule="exact"/>
        <w:ind w:firstLine="674" w:firstLineChars="200"/>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要求评估价值与估价对象的类似房地产在同等条件下的价值或价格偏差在合理范围内。即估价不得明显偏离类似房地产在同等条件下的正常价格。同一供求范围内，在用途、规模、档次、建筑结构等方面类似的房地产之间具有相互影响作用，其价格会相互牵制而趋于一致。</w:t>
      </w:r>
    </w:p>
    <w:p>
      <w:pPr>
        <w:adjustRightInd w:val="0"/>
        <w:snapToGrid w:val="0"/>
        <w:spacing w:line="520" w:lineRule="exact"/>
        <w:ind w:firstLine="491" w:firstLineChars="146"/>
        <w:rPr>
          <w:rFonts w:ascii="仿宋_GB2312" w:hAnsi="楷体" w:eastAsia="仿宋_GB2312"/>
          <w:snapToGrid w:val="0"/>
          <w:kern w:val="0"/>
          <w:sz w:val="28"/>
          <w:szCs w:val="28"/>
        </w:rPr>
      </w:pPr>
      <w:r>
        <w:rPr>
          <w:rFonts w:hint="eastAsia" w:ascii="仿宋_GB2312" w:hAnsi="宋体" w:eastAsia="仿宋_GB2312"/>
          <w:snapToGrid w:val="0"/>
          <w:kern w:val="0"/>
          <w:sz w:val="28"/>
          <w:szCs w:val="28"/>
        </w:rPr>
        <w:t>根据市场运行规律，在同一商品市场中，商品或提供服务的效用相同或大致相似时，价格低者吸引需求，即有两个以上互有替代性的商品或服务同时存在时，商品或服务的价格中经过相互影响与比较之后来决定的。房地产价格也同样遵循替代规律，受其它具有相同使用价值的房地产，即同类型具有替代可能的房地产价格所牵制。</w:t>
      </w:r>
      <w:r>
        <w:rPr>
          <w:rFonts w:hint="eastAsia" w:ascii="仿宋_GB2312" w:hAnsi="楷体" w:eastAsia="仿宋_GB2312"/>
          <w:snapToGrid w:val="0"/>
          <w:kern w:val="0"/>
          <w:sz w:val="28"/>
          <w:szCs w:val="28"/>
        </w:rPr>
        <w:t>同一供求范围内，在用途、规模、档次、建筑结构等方面类似的房地产之间具有相互影响作用。</w:t>
      </w:r>
      <w:r>
        <w:rPr>
          <w:rFonts w:hint="eastAsia" w:ascii="仿宋_GB2312" w:hAnsi="宋体" w:eastAsia="仿宋_GB2312"/>
          <w:snapToGrid w:val="0"/>
          <w:kern w:val="0"/>
          <w:sz w:val="28"/>
          <w:szCs w:val="28"/>
        </w:rPr>
        <w:t>换言之，具有相同使用价值、替代可能的房地产之间，会相互影响和竞争，使价格相互牵制而趋于一致。</w:t>
      </w:r>
    </w:p>
    <w:p>
      <w:pPr>
        <w:spacing w:line="520" w:lineRule="exact"/>
        <w:ind w:firstLine="674" w:firstLineChars="200"/>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本次评估中，比较法选取具有替代性的案例就遵循了替代原则。</w:t>
      </w:r>
    </w:p>
    <w:p>
      <w:pPr>
        <w:spacing w:line="520" w:lineRule="exact"/>
        <w:ind w:firstLine="674" w:firstLineChars="200"/>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5、最高最佳利用原则</w:t>
      </w:r>
    </w:p>
    <w:p>
      <w:pPr>
        <w:adjustRightInd w:val="0"/>
        <w:snapToGrid w:val="0"/>
        <w:spacing w:line="520" w:lineRule="exact"/>
        <w:ind w:firstLine="491" w:firstLineChars="146"/>
        <w:rPr>
          <w:rFonts w:ascii="仿宋_GB2312" w:hAnsi="宋体" w:eastAsia="仿宋_GB2312"/>
          <w:snapToGrid w:val="0"/>
          <w:kern w:val="0"/>
          <w:sz w:val="28"/>
          <w:szCs w:val="28"/>
        </w:rPr>
      </w:pPr>
      <w:r>
        <w:rPr>
          <w:rFonts w:hint="eastAsia" w:ascii="仿宋_GB2312" w:hAnsi="楷体" w:eastAsia="仿宋_GB2312"/>
          <w:snapToGrid w:val="0"/>
          <w:kern w:val="0"/>
          <w:sz w:val="28"/>
          <w:szCs w:val="28"/>
        </w:rPr>
        <w:t>评估价值应为在估价对象最高最佳利用状况下的价值或价格。</w:t>
      </w:r>
      <w:r>
        <w:rPr>
          <w:rFonts w:hint="eastAsia" w:ascii="仿宋_GB2312" w:hAnsi="宋体" w:eastAsia="仿宋_GB2312"/>
          <w:snapToGrid w:val="0"/>
          <w:kern w:val="0"/>
          <w:sz w:val="28"/>
          <w:szCs w:val="28"/>
        </w:rPr>
        <w:t>所谓最高最佳利用是估价对象一种最可能的使用，这种最可能的使用是法律上允许、技术上可能、财务上可行、经过充分合理的论证，并能给予估价对象带来最高价值的使用。它的一种具体表现，是以能使估价对象获利最多的用途和开发强度来衡量。这是因为在房地产市场中，每位房地产拥有者在主观上都试图充分地发挥房地产的潜力，采用最高最佳利用方式，取得最大的收益。</w:t>
      </w:r>
    </w:p>
    <w:p>
      <w:pPr>
        <w:spacing w:line="520" w:lineRule="exact"/>
        <w:ind w:firstLine="674" w:firstLineChars="200"/>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本估价报告已对估价对象的最高最佳利用进行了分析和判断。</w:t>
      </w:r>
    </w:p>
    <w:p>
      <w:pPr>
        <w:spacing w:line="520" w:lineRule="exact"/>
        <w:ind w:firstLine="674" w:firstLineChars="200"/>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6、谨慎原则</w:t>
      </w:r>
    </w:p>
    <w:p>
      <w:pPr>
        <w:adjustRightInd w:val="0"/>
        <w:snapToGrid w:val="0"/>
        <w:spacing w:line="520" w:lineRule="exact"/>
        <w:ind w:firstLine="491" w:firstLineChars="146"/>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谨慎原则是评估时应当遵循的一项原则，它要求在存在不确定性因素的情况下作出估价相关判断时，应当保持必要的谨慎，并在报告中做出必要的风险提示。</w:t>
      </w:r>
    </w:p>
    <w:p>
      <w:pPr>
        <w:adjustRightInd w:val="0"/>
        <w:snapToGrid w:val="0"/>
        <w:spacing w:line="520" w:lineRule="exact"/>
        <w:ind w:firstLine="491" w:firstLineChars="146"/>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总之，在评估过程中，要按国家、地方有关规定，遵守客观、公正、科学、合法的原则进行房地产价值评估，做到评估过程合法合理，评估方法科学，评估结果准确，严格保守评估秘密。</w:t>
      </w:r>
    </w:p>
    <w:p>
      <w:pPr>
        <w:pStyle w:val="2"/>
        <w:spacing w:line="360" w:lineRule="auto"/>
        <w:jc w:val="left"/>
        <w:rPr>
          <w:rFonts w:ascii="黑体" w:eastAsia="黑体"/>
          <w:snapToGrid w:val="0"/>
          <w:kern w:val="0"/>
          <w:sz w:val="30"/>
          <w:szCs w:val="30"/>
        </w:rPr>
      </w:pPr>
      <w:bookmarkStart w:id="21" w:name="_Toc10928"/>
      <w:r>
        <w:rPr>
          <w:rFonts w:hint="eastAsia" w:ascii="黑体" w:eastAsia="黑体"/>
          <w:snapToGrid w:val="0"/>
          <w:kern w:val="0"/>
          <w:sz w:val="30"/>
          <w:szCs w:val="30"/>
        </w:rPr>
        <w:t>（九）估价方法</w:t>
      </w:r>
      <w:bookmarkEnd w:id="21"/>
    </w:p>
    <w:p>
      <w:pPr>
        <w:snapToGrid w:val="0"/>
        <w:spacing w:line="336" w:lineRule="auto"/>
        <w:ind w:firstLine="674" w:firstLineChars="200"/>
        <w:rPr>
          <w:rFonts w:ascii="仿宋_GB2312" w:hAnsi="楷体_GB2312" w:eastAsia="仿宋_GB2312" w:cs="楷体_GB2312"/>
          <w:snapToGrid w:val="0"/>
          <w:kern w:val="0"/>
          <w:sz w:val="28"/>
          <w:szCs w:val="28"/>
        </w:rPr>
      </w:pPr>
      <w:r>
        <w:rPr>
          <w:rFonts w:hint="eastAsia" w:ascii="仿宋_GB2312" w:hAnsi="楷体_GB2312" w:eastAsia="仿宋_GB2312" w:cs="楷体_GB2312"/>
          <w:snapToGrid w:val="0"/>
          <w:kern w:val="0"/>
          <w:sz w:val="28"/>
          <w:szCs w:val="28"/>
        </w:rPr>
        <w:t>评估人员在认真分析所掌握的资料，并对估价对象进行了实地查勘以及对周边房地产市场进行调查后，根据《房地产估价规范》【GB/T50291-2015】、《房地产估价基本术语标准》【GB/T50899-2013】，遵照国家有关法律、法规、估价技术标准，经过反复研究，最终选取收益法对估价对象建筑面积</w:t>
      </w:r>
      <w:r>
        <w:rPr>
          <w:rFonts w:hint="eastAsia" w:ascii="仿宋_GB2312" w:hAnsi="楷体_GB2312" w:eastAsia="仿宋_GB2312" w:cs="楷体_GB2312"/>
          <w:snapToGrid w:val="0"/>
          <w:kern w:val="0"/>
          <w:sz w:val="28"/>
          <w:szCs w:val="28"/>
          <w:lang w:eastAsia="zh-CN"/>
        </w:rPr>
        <w:t>1577.48</w:t>
      </w:r>
      <w:r>
        <w:rPr>
          <w:rFonts w:hint="eastAsia" w:ascii="仿宋_GB2312" w:hAnsi="楷体_GB2312" w:eastAsia="仿宋_GB2312" w:cs="楷体_GB2312"/>
          <w:snapToGrid w:val="0"/>
          <w:kern w:val="0"/>
          <w:sz w:val="28"/>
          <w:szCs w:val="28"/>
        </w:rPr>
        <w:t>平方米房地产进行估价，具体分析如下表：</w:t>
      </w:r>
    </w:p>
    <w:tbl>
      <w:tblPr>
        <w:tblStyle w:val="45"/>
        <w:tblW w:w="99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3818"/>
        <w:gridCol w:w="4095"/>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05" w:type="dxa"/>
            <w:vAlign w:val="center"/>
          </w:tcPr>
          <w:p>
            <w:pPr>
              <w:widowControl/>
              <w:jc w:val="center"/>
              <w:rPr>
                <w:rFonts w:ascii="仿宋_GB2312" w:hAnsi="楷体_GB2312" w:eastAsia="仿宋_GB2312" w:cs="楷体_GB2312"/>
                <w:b/>
                <w:szCs w:val="21"/>
              </w:rPr>
            </w:pPr>
            <w:r>
              <w:rPr>
                <w:rFonts w:hint="eastAsia" w:ascii="仿宋_GB2312" w:hAnsi="宋体" w:eastAsia="仿宋_GB2312" w:cs="宋体"/>
                <w:b/>
                <w:color w:val="000000"/>
                <w:kern w:val="0"/>
                <w:szCs w:val="21"/>
              </w:rPr>
              <w:t>可选估价方法</w:t>
            </w:r>
          </w:p>
        </w:tc>
        <w:tc>
          <w:tcPr>
            <w:tcW w:w="3818" w:type="dxa"/>
            <w:vAlign w:val="center"/>
          </w:tcPr>
          <w:p>
            <w:pPr>
              <w:widowControl/>
              <w:jc w:val="center"/>
              <w:rPr>
                <w:rFonts w:ascii="仿宋_GB2312" w:hAnsi="楷体_GB2312" w:eastAsia="仿宋_GB2312" w:cs="楷体_GB2312"/>
                <w:b/>
                <w:szCs w:val="21"/>
              </w:rPr>
            </w:pPr>
            <w:r>
              <w:rPr>
                <w:rFonts w:hint="eastAsia" w:ascii="仿宋_GB2312" w:hAnsi="宋体" w:eastAsia="仿宋_GB2312" w:cs="宋体"/>
                <w:b/>
                <w:color w:val="000000"/>
                <w:kern w:val="0"/>
                <w:szCs w:val="21"/>
              </w:rPr>
              <w:t>估价方法定义</w:t>
            </w:r>
          </w:p>
        </w:tc>
        <w:tc>
          <w:tcPr>
            <w:tcW w:w="4095" w:type="dxa"/>
            <w:vAlign w:val="center"/>
          </w:tcPr>
          <w:p>
            <w:pPr>
              <w:widowControl/>
              <w:jc w:val="center"/>
              <w:rPr>
                <w:rFonts w:ascii="仿宋_GB2312" w:hAnsi="楷体_GB2312" w:eastAsia="仿宋_GB2312" w:cs="楷体_GB2312"/>
                <w:b/>
                <w:szCs w:val="21"/>
              </w:rPr>
            </w:pPr>
            <w:r>
              <w:rPr>
                <w:rFonts w:hint="eastAsia" w:ascii="仿宋_GB2312" w:hAnsi="宋体" w:eastAsia="仿宋_GB2312" w:cs="宋体"/>
                <w:b/>
                <w:color w:val="000000"/>
                <w:kern w:val="0"/>
                <w:szCs w:val="21"/>
              </w:rPr>
              <w:t>估价方法是否选择理由</w:t>
            </w:r>
          </w:p>
        </w:tc>
        <w:tc>
          <w:tcPr>
            <w:tcW w:w="945" w:type="dxa"/>
            <w:vAlign w:val="center"/>
          </w:tcPr>
          <w:p>
            <w:pPr>
              <w:widowControl/>
              <w:jc w:val="center"/>
              <w:rPr>
                <w:rFonts w:ascii="仿宋_GB2312" w:hAnsi="宋体" w:eastAsia="仿宋_GB2312" w:cs="宋体"/>
                <w:b/>
                <w:color w:val="000000"/>
                <w:kern w:val="0"/>
                <w:szCs w:val="21"/>
              </w:rPr>
            </w:pPr>
            <w:r>
              <w:rPr>
                <w:rFonts w:hint="eastAsia" w:ascii="仿宋_GB2312" w:hAnsi="宋体" w:eastAsia="仿宋_GB2312" w:cs="宋体"/>
                <w:b/>
                <w:color w:val="000000"/>
                <w:kern w:val="0"/>
                <w:szCs w:val="21"/>
              </w:rPr>
              <w:t>是否选取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6" w:hRule="atLeast"/>
          <w:jc w:val="center"/>
        </w:trPr>
        <w:tc>
          <w:tcPr>
            <w:tcW w:w="1105" w:type="dxa"/>
            <w:vAlign w:val="center"/>
          </w:tcPr>
          <w:p>
            <w:pPr>
              <w:widowControl/>
              <w:jc w:val="center"/>
              <w:rPr>
                <w:rFonts w:ascii="仿宋_GB2312" w:hAnsi="楷体_GB2312" w:eastAsia="仿宋_GB2312" w:cs="楷体_GB2312"/>
                <w:b/>
                <w:bCs/>
                <w:szCs w:val="21"/>
              </w:rPr>
            </w:pPr>
            <w:r>
              <w:rPr>
                <w:rFonts w:hint="eastAsia" w:ascii="仿宋_GB2312" w:hAnsi="宋体" w:eastAsia="仿宋_GB2312" w:cs="宋体"/>
                <w:b/>
                <w:color w:val="000000"/>
                <w:kern w:val="0"/>
                <w:szCs w:val="21"/>
              </w:rPr>
              <w:t>比较法</w:t>
            </w:r>
          </w:p>
        </w:tc>
        <w:tc>
          <w:tcPr>
            <w:tcW w:w="3818" w:type="dxa"/>
            <w:vAlign w:val="center"/>
          </w:tcPr>
          <w:p>
            <w:pPr>
              <w:widowControl/>
              <w:jc w:val="center"/>
              <w:rPr>
                <w:rFonts w:ascii="仿宋_GB2312" w:hAnsi="楷体_GB2312" w:eastAsia="仿宋_GB2312" w:cs="楷体_GB2312"/>
                <w:szCs w:val="21"/>
              </w:rPr>
            </w:pPr>
            <w:r>
              <w:rPr>
                <w:rFonts w:hint="eastAsia" w:ascii="仿宋_GB2312" w:hAnsi="宋体" w:eastAsia="仿宋_GB2312" w:cs="宋体"/>
                <w:color w:val="000000"/>
                <w:kern w:val="0"/>
                <w:szCs w:val="21"/>
              </w:rPr>
              <w:t>选取一定数量的可比实例，将它们与估价对象进行比较，根据其间的差异对可比实例成交价格进行处理后得到估价对象价值或价格的方法。</w:t>
            </w:r>
          </w:p>
        </w:tc>
        <w:tc>
          <w:tcPr>
            <w:tcW w:w="4095" w:type="dxa"/>
            <w:vAlign w:val="center"/>
          </w:tcPr>
          <w:p>
            <w:pPr>
              <w:widowControl/>
              <w:jc w:val="center"/>
              <w:rPr>
                <w:rFonts w:ascii="仿宋_GB2312" w:hAnsi="楷体_GB2312" w:eastAsia="仿宋_GB2312" w:cs="楷体_GB2312"/>
                <w:szCs w:val="21"/>
              </w:rPr>
            </w:pPr>
            <w:r>
              <w:rPr>
                <w:rFonts w:hint="eastAsia" w:ascii="仿宋_GB2312" w:hAnsi="宋体" w:eastAsia="仿宋_GB2312" w:cs="宋体"/>
                <w:color w:val="000000"/>
                <w:kern w:val="0"/>
                <w:szCs w:val="21"/>
              </w:rPr>
              <w:t>估价对象</w:t>
            </w:r>
            <w:r>
              <w:rPr>
                <w:rFonts w:hint="eastAsia" w:ascii="仿宋_GB2312" w:hAnsi="宋体" w:eastAsia="仿宋_GB2312" w:cs="宋体"/>
                <w:color w:val="000000"/>
                <w:kern w:val="0"/>
                <w:szCs w:val="21"/>
                <w:lang w:eastAsia="zh-CN"/>
              </w:rPr>
              <w:t>房屋证载</w:t>
            </w:r>
            <w:r>
              <w:rPr>
                <w:rFonts w:hint="eastAsia" w:ascii="仿宋_GB2312" w:hAnsi="宋体" w:eastAsia="仿宋_GB2312" w:cs="宋体"/>
                <w:color w:val="000000"/>
                <w:kern w:val="0"/>
                <w:szCs w:val="21"/>
              </w:rPr>
              <w:t>用途为</w:t>
            </w:r>
            <w:r>
              <w:rPr>
                <w:rFonts w:hint="eastAsia" w:ascii="仿宋_GB2312" w:hAnsi="宋体" w:eastAsia="仿宋_GB2312" w:cs="宋体"/>
                <w:color w:val="000000"/>
                <w:kern w:val="0"/>
                <w:szCs w:val="21"/>
                <w:lang w:eastAsia="zh-CN"/>
              </w:rPr>
              <w:t>住宅</w:t>
            </w:r>
            <w:r>
              <w:rPr>
                <w:rFonts w:hint="eastAsia" w:ascii="仿宋_GB2312" w:hAnsi="宋体" w:eastAsia="仿宋_GB2312" w:cs="宋体"/>
                <w:color w:val="000000"/>
                <w:kern w:val="0"/>
                <w:szCs w:val="21"/>
              </w:rPr>
              <w:t>，</w:t>
            </w:r>
            <w:r>
              <w:rPr>
                <w:rFonts w:hint="eastAsia" w:ascii="仿宋_GB2312" w:hAnsi="宋体" w:eastAsia="仿宋_GB2312" w:cs="宋体"/>
                <w:kern w:val="0"/>
                <w:szCs w:val="21"/>
              </w:rPr>
              <w:t>所在区域与估价对象相似使用的出售可比案例（同一供需圈内、用途一致、邻近区域）较少，故本次评估不选取比较法对估价对象进行估价。</w:t>
            </w:r>
          </w:p>
        </w:tc>
        <w:tc>
          <w:tcPr>
            <w:tcW w:w="945" w:type="dxa"/>
            <w:vAlign w:val="center"/>
          </w:tcPr>
          <w:p>
            <w:pPr>
              <w:spacing w:line="288" w:lineRule="auto"/>
              <w:jc w:val="center"/>
              <w:rPr>
                <w:rFonts w:ascii="仿宋_GB2312" w:hAnsi="楷体_GB2312" w:eastAsia="仿宋_GB2312" w:cs="楷体_GB2312"/>
                <w:bCs/>
                <w:szCs w:val="21"/>
              </w:rPr>
            </w:pPr>
            <w:r>
              <w:rPr>
                <w:rFonts w:hint="eastAsia" w:ascii="仿宋_GB2312" w:hAnsi="楷体_GB2312" w:eastAsia="仿宋_GB2312" w:cs="楷体_GB2312"/>
                <w:bCs/>
                <w:szCs w:val="21"/>
              </w:rPr>
              <w:t>不选取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05" w:type="dxa"/>
            <w:vAlign w:val="center"/>
          </w:tcPr>
          <w:p>
            <w:pPr>
              <w:widowControl/>
              <w:jc w:val="center"/>
              <w:rPr>
                <w:rFonts w:ascii="仿宋_GB2312" w:hAnsi="楷体_GB2312" w:eastAsia="仿宋_GB2312" w:cs="楷体_GB2312"/>
                <w:b/>
                <w:bCs/>
                <w:szCs w:val="21"/>
              </w:rPr>
            </w:pPr>
            <w:r>
              <w:rPr>
                <w:rFonts w:hint="eastAsia" w:ascii="仿宋_GB2312" w:hAnsi="宋体" w:eastAsia="仿宋_GB2312" w:cs="宋体"/>
                <w:b/>
                <w:color w:val="000000"/>
                <w:kern w:val="0"/>
                <w:szCs w:val="21"/>
              </w:rPr>
              <w:t>收益法</w:t>
            </w:r>
          </w:p>
        </w:tc>
        <w:tc>
          <w:tcPr>
            <w:tcW w:w="3818" w:type="dxa"/>
            <w:vAlign w:val="center"/>
          </w:tcPr>
          <w:p>
            <w:pPr>
              <w:widowControl/>
              <w:jc w:val="center"/>
              <w:rPr>
                <w:rFonts w:ascii="仿宋_GB2312" w:hAnsi="楷体_GB2312" w:eastAsia="仿宋_GB2312" w:cs="楷体_GB2312"/>
                <w:szCs w:val="21"/>
              </w:rPr>
            </w:pPr>
            <w:r>
              <w:rPr>
                <w:rFonts w:hint="eastAsia" w:ascii="仿宋_GB2312" w:hAnsi="宋体" w:eastAsia="仿宋_GB2312" w:cs="宋体"/>
                <w:color w:val="000000"/>
                <w:kern w:val="0"/>
                <w:szCs w:val="21"/>
              </w:rPr>
              <w:t>预测估价对象的未来收益，利用报酬率或资本化率、收益乘数将未来收益转换为价值得到估价对象价值或价格的方法。</w:t>
            </w:r>
          </w:p>
        </w:tc>
        <w:tc>
          <w:tcPr>
            <w:tcW w:w="4095" w:type="dxa"/>
            <w:vAlign w:val="center"/>
          </w:tcPr>
          <w:p>
            <w:pPr>
              <w:widowControl/>
              <w:jc w:val="center"/>
              <w:rPr>
                <w:rFonts w:ascii="仿宋_GB2312" w:hAnsi="楷体_GB2312" w:eastAsia="仿宋_GB2312" w:cs="楷体_GB2312"/>
                <w:szCs w:val="21"/>
              </w:rPr>
            </w:pPr>
            <w:r>
              <w:rPr>
                <w:rFonts w:hint="eastAsia" w:ascii="仿宋_GB2312" w:hAnsi="宋体" w:eastAsia="仿宋_GB2312" w:cs="宋体"/>
                <w:kern w:val="0"/>
                <w:szCs w:val="21"/>
              </w:rPr>
              <w:t>收益法适宜用于收益性物业评估，即为有经济收益或有潜在经济收益的房地产，估价对象所属区域已形成一定的租赁市场，出租收益回报也较好，且租金水平较为稳定，故本次评估选取采用收益法进行估价。</w:t>
            </w:r>
          </w:p>
        </w:tc>
        <w:tc>
          <w:tcPr>
            <w:tcW w:w="945" w:type="dxa"/>
            <w:vAlign w:val="center"/>
          </w:tcPr>
          <w:p>
            <w:pPr>
              <w:spacing w:line="288" w:lineRule="auto"/>
              <w:jc w:val="center"/>
              <w:rPr>
                <w:rFonts w:ascii="仿宋_GB2312" w:hAnsi="楷体_GB2312" w:eastAsia="仿宋_GB2312" w:cs="楷体_GB2312"/>
                <w:bCs/>
                <w:szCs w:val="21"/>
              </w:rPr>
            </w:pPr>
            <w:r>
              <w:rPr>
                <w:rFonts w:hint="eastAsia" w:ascii="仿宋_GB2312" w:hAnsi="楷体_GB2312" w:eastAsia="仿宋_GB2312" w:cs="楷体_GB2312"/>
                <w:bCs/>
                <w:szCs w:val="21"/>
              </w:rPr>
              <w:t>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5" w:hRule="atLeast"/>
          <w:jc w:val="center"/>
        </w:trPr>
        <w:tc>
          <w:tcPr>
            <w:tcW w:w="1105" w:type="dxa"/>
            <w:vAlign w:val="center"/>
          </w:tcPr>
          <w:p>
            <w:pPr>
              <w:widowControl/>
              <w:jc w:val="center"/>
              <w:rPr>
                <w:rFonts w:ascii="仿宋_GB2312" w:hAnsi="楷体_GB2312" w:eastAsia="仿宋_GB2312" w:cs="楷体_GB2312"/>
                <w:b/>
                <w:bCs/>
                <w:szCs w:val="21"/>
              </w:rPr>
            </w:pPr>
            <w:r>
              <w:rPr>
                <w:rFonts w:hint="eastAsia" w:ascii="仿宋_GB2312" w:hAnsi="宋体" w:eastAsia="仿宋_GB2312" w:cs="宋体"/>
                <w:b/>
                <w:color w:val="000000"/>
                <w:kern w:val="0"/>
                <w:szCs w:val="21"/>
              </w:rPr>
              <w:t>假设开发法</w:t>
            </w:r>
          </w:p>
        </w:tc>
        <w:tc>
          <w:tcPr>
            <w:tcW w:w="3818" w:type="dxa"/>
            <w:vAlign w:val="center"/>
          </w:tcPr>
          <w:p>
            <w:pPr>
              <w:widowControl/>
              <w:jc w:val="center"/>
              <w:rPr>
                <w:rFonts w:ascii="仿宋_GB2312" w:hAnsi="楷体_GB2312" w:eastAsia="仿宋_GB2312" w:cs="楷体_GB2312"/>
                <w:szCs w:val="21"/>
              </w:rPr>
            </w:pPr>
            <w:r>
              <w:rPr>
                <w:rFonts w:hint="eastAsia" w:ascii="仿宋_GB2312" w:hAnsi="宋体" w:eastAsia="仿宋_GB2312" w:cs="宋体"/>
                <w:color w:val="000000"/>
                <w:kern w:val="0"/>
                <w:szCs w:val="21"/>
              </w:rPr>
              <w:t>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w:t>
            </w:r>
          </w:p>
        </w:tc>
        <w:tc>
          <w:tcPr>
            <w:tcW w:w="4095" w:type="dxa"/>
            <w:vAlign w:val="center"/>
          </w:tcPr>
          <w:p>
            <w:pPr>
              <w:widowControl/>
              <w:jc w:val="center"/>
              <w:rPr>
                <w:rFonts w:ascii="仿宋_GB2312" w:hAnsi="楷体_GB2312" w:eastAsia="仿宋_GB2312" w:cs="楷体_GB2312"/>
                <w:szCs w:val="21"/>
              </w:rPr>
            </w:pPr>
            <w:r>
              <w:rPr>
                <w:rFonts w:hint="eastAsia" w:ascii="仿宋_GB2312" w:hAnsi="宋体" w:eastAsia="仿宋_GB2312" w:cs="宋体"/>
                <w:color w:val="000000"/>
                <w:kern w:val="0"/>
                <w:szCs w:val="21"/>
              </w:rPr>
              <w:t>假设开发法适用于评估具有投资开发价值或再开发潜力的房地产，估价对象为现状房地产，故本次评估不选取假设开发法作为估价方法。</w:t>
            </w:r>
          </w:p>
        </w:tc>
        <w:tc>
          <w:tcPr>
            <w:tcW w:w="945" w:type="dxa"/>
            <w:vAlign w:val="center"/>
          </w:tcPr>
          <w:p>
            <w:pPr>
              <w:spacing w:line="288" w:lineRule="auto"/>
              <w:jc w:val="center"/>
              <w:rPr>
                <w:rFonts w:ascii="仿宋_GB2312" w:hAnsi="楷体_GB2312" w:eastAsia="仿宋_GB2312" w:cs="楷体_GB2312"/>
                <w:bCs/>
                <w:szCs w:val="21"/>
              </w:rPr>
            </w:pPr>
            <w:r>
              <w:rPr>
                <w:rFonts w:hint="eastAsia" w:ascii="仿宋_GB2312" w:hAnsi="楷体_GB2312" w:eastAsia="仿宋_GB2312" w:cs="楷体_GB2312"/>
                <w:bCs/>
                <w:szCs w:val="21"/>
              </w:rPr>
              <w:t>不选取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6" w:hRule="atLeast"/>
          <w:jc w:val="center"/>
        </w:trPr>
        <w:tc>
          <w:tcPr>
            <w:tcW w:w="1105" w:type="dxa"/>
            <w:vAlign w:val="center"/>
          </w:tcPr>
          <w:p>
            <w:pPr>
              <w:widowControl/>
              <w:jc w:val="center"/>
              <w:rPr>
                <w:rFonts w:ascii="仿宋_GB2312" w:hAnsi="楷体_GB2312" w:eastAsia="仿宋_GB2312" w:cs="楷体_GB2312"/>
                <w:b/>
                <w:bCs/>
                <w:szCs w:val="21"/>
              </w:rPr>
            </w:pPr>
            <w:r>
              <w:rPr>
                <w:rFonts w:hint="eastAsia" w:ascii="仿宋_GB2312" w:hAnsi="宋体" w:eastAsia="仿宋_GB2312" w:cs="宋体"/>
                <w:b/>
                <w:color w:val="000000"/>
                <w:kern w:val="0"/>
                <w:szCs w:val="21"/>
              </w:rPr>
              <w:t>成本法</w:t>
            </w:r>
          </w:p>
        </w:tc>
        <w:tc>
          <w:tcPr>
            <w:tcW w:w="3818" w:type="dxa"/>
            <w:vAlign w:val="center"/>
          </w:tcPr>
          <w:p>
            <w:pPr>
              <w:widowControl/>
              <w:jc w:val="center"/>
              <w:rPr>
                <w:rFonts w:ascii="仿宋_GB2312" w:hAnsi="楷体_GB2312" w:eastAsia="仿宋_GB2312" w:cs="楷体_GB2312"/>
                <w:szCs w:val="21"/>
              </w:rPr>
            </w:pPr>
            <w:r>
              <w:rPr>
                <w:rFonts w:hint="eastAsia" w:ascii="仿宋_GB2312" w:hAnsi="宋体" w:eastAsia="仿宋_GB2312" w:cs="宋体"/>
                <w:color w:val="000000"/>
                <w:kern w:val="0"/>
                <w:szCs w:val="21"/>
              </w:rPr>
              <w:t>测算估价对象在价值时点的重置成本或重建成本和折旧，将重置成本或重建成本减去折旧得到估价对象价值或价格的方法。</w:t>
            </w:r>
          </w:p>
        </w:tc>
        <w:tc>
          <w:tcPr>
            <w:tcW w:w="4095" w:type="dxa"/>
            <w:vAlign w:val="center"/>
          </w:tcPr>
          <w:p>
            <w:pPr>
              <w:widowControl/>
              <w:jc w:val="center"/>
              <w:rPr>
                <w:rFonts w:ascii="仿宋_GB2312" w:hAnsi="楷体_GB2312" w:eastAsia="仿宋_GB2312" w:cs="楷体_GB2312"/>
                <w:szCs w:val="21"/>
              </w:rPr>
            </w:pPr>
            <w:r>
              <w:rPr>
                <w:rFonts w:hint="eastAsia" w:ascii="仿宋_GB2312" w:hAnsi="宋体" w:eastAsia="仿宋_GB2312" w:cs="宋体"/>
                <w:color w:val="000000"/>
                <w:kern w:val="0"/>
                <w:szCs w:val="21"/>
              </w:rPr>
              <w:t>估价对象为已建成房地产的分割单元，不具备开发或再开发潜力，运用成本法测算的结果不能较好反映估价对象市场价值，故不选取成本法进行评估。</w:t>
            </w:r>
          </w:p>
        </w:tc>
        <w:tc>
          <w:tcPr>
            <w:tcW w:w="945" w:type="dxa"/>
            <w:vAlign w:val="center"/>
          </w:tcPr>
          <w:p>
            <w:pPr>
              <w:spacing w:line="288" w:lineRule="auto"/>
              <w:jc w:val="center"/>
              <w:rPr>
                <w:rFonts w:ascii="仿宋_GB2312" w:hAnsi="楷体_GB2312" w:eastAsia="仿宋_GB2312" w:cs="楷体_GB2312"/>
                <w:bCs/>
                <w:szCs w:val="21"/>
              </w:rPr>
            </w:pPr>
            <w:r>
              <w:rPr>
                <w:rFonts w:hint="eastAsia" w:ascii="仿宋_GB2312" w:hAnsi="楷体_GB2312" w:eastAsia="仿宋_GB2312" w:cs="楷体_GB2312"/>
                <w:bCs/>
                <w:szCs w:val="21"/>
              </w:rPr>
              <w:t>不选取</w:t>
            </w:r>
          </w:p>
        </w:tc>
      </w:tr>
    </w:tbl>
    <w:p>
      <w:pPr>
        <w:widowControl/>
        <w:jc w:val="left"/>
        <w:rPr>
          <w:rFonts w:ascii="仿宋_GB2312" w:hAnsi="楷体_GB2312" w:eastAsia="仿宋_GB2312" w:cs="楷体_GB2312"/>
          <w:snapToGrid w:val="0"/>
          <w:kern w:val="0"/>
          <w:sz w:val="28"/>
          <w:szCs w:val="28"/>
        </w:rPr>
      </w:pPr>
      <w:r>
        <w:rPr>
          <w:rFonts w:hint="eastAsia" w:ascii="仿宋_GB2312" w:hAnsi="宋体" w:eastAsia="仿宋_GB2312" w:cs="宋体"/>
          <w:b/>
          <w:color w:val="000000"/>
          <w:kern w:val="0"/>
          <w:sz w:val="28"/>
          <w:szCs w:val="28"/>
        </w:rPr>
        <w:t xml:space="preserve">  2.本次选用估价方法定义及基本公式</w:t>
      </w:r>
    </w:p>
    <w:p>
      <w:pPr>
        <w:adjustRightInd w:val="0"/>
        <w:snapToGrid w:val="0"/>
        <w:spacing w:line="360" w:lineRule="auto"/>
        <w:ind w:firstLine="501" w:firstLineChars="149"/>
        <w:rPr>
          <w:rFonts w:ascii="仿宋_GB2312" w:eastAsia="仿宋_GB2312"/>
          <w:snapToGrid w:val="0"/>
          <w:sz w:val="28"/>
          <w:szCs w:val="28"/>
        </w:rPr>
      </w:pPr>
      <w:r>
        <w:rPr>
          <w:rFonts w:hint="eastAsia" w:ascii="仿宋_GB2312" w:eastAsia="仿宋_GB2312"/>
          <w:snapToGrid w:val="0"/>
          <w:sz w:val="28"/>
          <w:szCs w:val="28"/>
        </w:rPr>
        <w:t>收益法：预测估价对象的未来收益，利用报酬率或资本化率、收益乘数将未来收益转换为价值得到估价对象价值或价格的方法。</w:t>
      </w:r>
    </w:p>
    <w:p>
      <w:pPr>
        <w:adjustRightInd w:val="0"/>
        <w:snapToGrid w:val="0"/>
        <w:spacing w:line="360" w:lineRule="auto"/>
        <w:ind w:firstLine="501" w:firstLineChars="149"/>
        <w:rPr>
          <w:rFonts w:ascii="仿宋_GB2312" w:eastAsia="仿宋_GB2312"/>
          <w:snapToGrid w:val="0"/>
          <w:sz w:val="28"/>
          <w:szCs w:val="28"/>
        </w:rPr>
      </w:pPr>
      <w:r>
        <w:rPr>
          <w:rFonts w:hint="eastAsia" w:ascii="仿宋_GB2312" w:eastAsia="仿宋_GB2312"/>
          <w:snapToGrid w:val="0"/>
          <w:sz w:val="28"/>
          <w:szCs w:val="28"/>
        </w:rPr>
        <w:t>公式：</w:t>
      </w:r>
    </w:p>
    <w:p>
      <w:pPr>
        <w:tabs>
          <w:tab w:val="left" w:pos="6810"/>
        </w:tabs>
        <w:spacing w:line="360" w:lineRule="auto"/>
        <w:ind w:firstLine="2159" w:firstLineChars="641"/>
        <w:rPr>
          <w:rFonts w:ascii="仿宋_GB2312" w:hAnsi="宋体" w:eastAsia="仿宋_GB2312"/>
          <w:sz w:val="28"/>
          <w:szCs w:val="28"/>
        </w:rPr>
      </w:pPr>
      <w:r>
        <w:rPr>
          <w:rFonts w:hint="eastAsia" w:ascii="仿宋_GB2312" w:hAnsi="宋体" w:eastAsia="仿宋_GB2312"/>
          <w:position w:val="-32"/>
          <w:sz w:val="28"/>
          <w:szCs w:val="28"/>
        </w:rPr>
        <w:object>
          <v:shape id="_x0000_i1025" o:spt="75" type="#_x0000_t75" style="height:38.25pt;width:144pt;" o:ole="t" filled="f" o:preferrelative="t" stroked="f" coordsize="21600,21600">
            <v:path/>
            <v:fill on="f" focussize="0,0"/>
            <v:stroke on="f" joinstyle="miter"/>
            <v:imagedata r:id="rId13" o:title=""/>
            <o:lock v:ext="edit" aspectratio="t"/>
            <w10:wrap type="none"/>
            <w10:anchorlock/>
          </v:shape>
          <o:OLEObject Type="Embed" ProgID="Equations" ShapeID="_x0000_i1025" DrawAspect="Content" ObjectID="_1468075725" r:id="rId12">
            <o:LockedField>false</o:LockedField>
          </o:OLEObject>
        </w:object>
      </w:r>
      <w:r>
        <w:rPr>
          <w:rFonts w:hint="eastAsia" w:ascii="仿宋_GB2312" w:hAnsi="宋体" w:eastAsia="仿宋_GB2312"/>
          <w:sz w:val="28"/>
          <w:szCs w:val="28"/>
        </w:rPr>
        <w:t xml:space="preserve"> 或</w:t>
      </w:r>
      <w:r>
        <w:rPr>
          <w:rFonts w:hint="eastAsia" w:ascii="仿宋_GB2312" w:hAnsi="宋体" w:eastAsia="仿宋_GB2312"/>
          <w:position w:val="-36"/>
          <w:sz w:val="28"/>
          <w:szCs w:val="28"/>
        </w:rPr>
        <w:object>
          <v:shape id="_x0000_i1026" o:spt="75" type="#_x0000_t75" style="height:42pt;width:147pt;" o:ole="t" filled="f" o:preferrelative="t" stroked="f" coordsize="21600,21600">
            <v:path/>
            <v:fill on="f" focussize="0,0"/>
            <v:stroke on="f" joinstyle="miter"/>
            <v:imagedata r:id="rId15" o:title=""/>
            <o:lock v:ext="edit" aspectratio="t"/>
            <w10:wrap type="none"/>
            <w10:anchorlock/>
          </v:shape>
          <o:OLEObject Type="Embed" ProgID="Equations" ShapeID="_x0000_i1026" DrawAspect="Content" ObjectID="_1468075726" r:id="rId14">
            <o:LockedField>false</o:LockedField>
          </o:OLEObject>
        </w:object>
      </w:r>
    </w:p>
    <w:p>
      <w:pPr>
        <w:adjustRightInd w:val="0"/>
        <w:snapToGrid w:val="0"/>
        <w:spacing w:line="360" w:lineRule="auto"/>
        <w:ind w:firstLine="501" w:firstLineChars="149"/>
        <w:rPr>
          <w:rFonts w:ascii="仿宋_GB2312" w:eastAsia="仿宋_GB2312"/>
          <w:snapToGrid w:val="0"/>
          <w:sz w:val="28"/>
          <w:szCs w:val="28"/>
        </w:rPr>
      </w:pPr>
      <w:r>
        <w:rPr>
          <w:rFonts w:hint="eastAsia" w:ascii="仿宋_GB2312" w:eastAsia="仿宋_GB2312"/>
          <w:snapToGrid w:val="0"/>
          <w:sz w:val="28"/>
          <w:szCs w:val="28"/>
        </w:rPr>
        <w:t>(式中：V＝收益价值，a＝房地产的年净收益，r＝房地产的报酬率或资本化率，n＝房地产的收益期，g＝净收益递增比例)</w:t>
      </w:r>
    </w:p>
    <w:p>
      <w:pPr>
        <w:adjustRightInd w:val="0"/>
        <w:snapToGrid w:val="0"/>
        <w:spacing w:line="360" w:lineRule="auto"/>
        <w:ind w:firstLine="501" w:firstLineChars="149"/>
        <w:rPr>
          <w:rFonts w:ascii="仿宋_GB2312" w:eastAsia="仿宋_GB2312"/>
          <w:snapToGrid w:val="0"/>
          <w:sz w:val="28"/>
          <w:szCs w:val="28"/>
        </w:rPr>
      </w:pPr>
      <w:r>
        <w:rPr>
          <w:rFonts w:hint="eastAsia" w:ascii="仿宋_GB2312" w:eastAsia="仿宋_GB2312"/>
          <w:snapToGrid w:val="0"/>
          <w:sz w:val="28"/>
          <w:szCs w:val="28"/>
        </w:rPr>
        <w:t>技术路线：</w:t>
      </w:r>
    </w:p>
    <w:p>
      <w:pPr>
        <w:adjustRightInd w:val="0"/>
        <w:snapToGrid w:val="0"/>
        <w:spacing w:line="360" w:lineRule="auto"/>
        <w:ind w:firstLine="501" w:firstLineChars="149"/>
        <w:rPr>
          <w:rFonts w:ascii="仿宋_GB2312" w:eastAsia="仿宋_GB2312"/>
          <w:snapToGrid w:val="0"/>
          <w:sz w:val="28"/>
          <w:szCs w:val="28"/>
        </w:rPr>
      </w:pPr>
      <w:r>
        <w:rPr>
          <w:rFonts w:hint="eastAsia" w:ascii="仿宋_GB2312" w:eastAsia="仿宋_GB2312"/>
          <w:snapToGrid w:val="0"/>
          <w:sz w:val="28"/>
          <w:szCs w:val="28"/>
        </w:rPr>
        <w:t>①并验证与估价对象未来预期收益有关的数据资料；</w:t>
      </w:r>
    </w:p>
    <w:p>
      <w:pPr>
        <w:adjustRightInd w:val="0"/>
        <w:snapToGrid w:val="0"/>
        <w:spacing w:line="360" w:lineRule="auto"/>
        <w:ind w:firstLine="501" w:firstLineChars="149"/>
        <w:rPr>
          <w:rFonts w:ascii="仿宋_GB2312" w:eastAsia="仿宋_GB2312"/>
          <w:snapToGrid w:val="0"/>
          <w:sz w:val="28"/>
          <w:szCs w:val="28"/>
        </w:rPr>
      </w:pPr>
      <w:r>
        <w:rPr>
          <w:rFonts w:hint="eastAsia" w:ascii="仿宋_GB2312" w:eastAsia="仿宋_GB2312"/>
          <w:snapToGrid w:val="0"/>
          <w:sz w:val="28"/>
          <w:szCs w:val="28"/>
        </w:rPr>
        <w:t>②预测估价对象的未来收益；</w:t>
      </w:r>
    </w:p>
    <w:p>
      <w:pPr>
        <w:adjustRightInd w:val="0"/>
        <w:snapToGrid w:val="0"/>
        <w:spacing w:line="360" w:lineRule="auto"/>
        <w:ind w:firstLine="501" w:firstLineChars="149"/>
        <w:rPr>
          <w:rFonts w:ascii="仿宋_GB2312" w:eastAsia="仿宋_GB2312"/>
          <w:snapToGrid w:val="0"/>
          <w:sz w:val="28"/>
          <w:szCs w:val="28"/>
        </w:rPr>
      </w:pPr>
      <w:r>
        <w:rPr>
          <w:rFonts w:hint="eastAsia" w:ascii="仿宋_GB2312" w:eastAsia="仿宋_GB2312"/>
          <w:snapToGrid w:val="0"/>
          <w:sz w:val="28"/>
          <w:szCs w:val="28"/>
        </w:rPr>
        <w:t>③求取报酬率或资本化率；</w:t>
      </w:r>
    </w:p>
    <w:p>
      <w:pPr>
        <w:adjustRightInd w:val="0"/>
        <w:snapToGrid w:val="0"/>
        <w:spacing w:line="360" w:lineRule="auto"/>
        <w:ind w:firstLine="501" w:firstLineChars="149"/>
        <w:rPr>
          <w:rFonts w:ascii="仿宋_GB2312" w:eastAsia="仿宋_GB2312"/>
          <w:snapToGrid w:val="0"/>
          <w:sz w:val="28"/>
          <w:szCs w:val="28"/>
        </w:rPr>
      </w:pPr>
      <w:r>
        <w:rPr>
          <w:rFonts w:hint="eastAsia" w:ascii="仿宋_GB2312" w:eastAsia="仿宋_GB2312"/>
          <w:snapToGrid w:val="0"/>
          <w:sz w:val="28"/>
          <w:szCs w:val="28"/>
        </w:rPr>
        <w:t>④选择适宜的收益公式计算收益价值</w:t>
      </w:r>
    </w:p>
    <w:p>
      <w:pPr>
        <w:pStyle w:val="2"/>
        <w:spacing w:line="360" w:lineRule="auto"/>
        <w:jc w:val="left"/>
        <w:rPr>
          <w:rFonts w:ascii="黑体" w:eastAsia="黑体"/>
          <w:snapToGrid w:val="0"/>
          <w:kern w:val="0"/>
          <w:sz w:val="30"/>
          <w:szCs w:val="30"/>
        </w:rPr>
      </w:pPr>
      <w:bookmarkStart w:id="22" w:name="_Toc8110"/>
      <w:r>
        <w:rPr>
          <w:rFonts w:hint="eastAsia" w:ascii="黑体" w:eastAsia="黑体"/>
          <w:snapToGrid w:val="0"/>
          <w:kern w:val="0"/>
          <w:sz w:val="30"/>
          <w:szCs w:val="30"/>
        </w:rPr>
        <w:t>（十）估价结果</w:t>
      </w:r>
      <w:bookmarkEnd w:id="22"/>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本着</w:t>
      </w:r>
      <w:r>
        <w:rPr>
          <w:rFonts w:ascii="仿宋_GB2312" w:eastAsia="仿宋_GB2312"/>
          <w:snapToGrid w:val="0"/>
          <w:sz w:val="28"/>
          <w:szCs w:val="28"/>
        </w:rPr>
        <w:t>独立、客观、公正、合法的原则</w:t>
      </w:r>
      <w:r>
        <w:rPr>
          <w:rFonts w:hint="eastAsia" w:ascii="仿宋_GB2312" w:eastAsia="仿宋_GB2312"/>
          <w:snapToGrid w:val="0"/>
          <w:sz w:val="28"/>
          <w:szCs w:val="28"/>
        </w:rPr>
        <w:t>，估价人员在进行实地查勘、广泛收集有关市场信息和估价对象信息的基础上，全面分析了影响估价对象价值的各项有利和不利因素，根据国家有关房地产估价的法律法规和估价目的，按照科学的估价程序，并运用收益还原法，对估价对象进行价值测算</w:t>
      </w:r>
      <w:r>
        <w:rPr>
          <w:rFonts w:ascii="仿宋_GB2312" w:eastAsia="仿宋_GB2312"/>
          <w:snapToGrid w:val="0"/>
          <w:sz w:val="28"/>
          <w:szCs w:val="28"/>
        </w:rPr>
        <w:t>，</w:t>
      </w:r>
      <w:r>
        <w:rPr>
          <w:rFonts w:hint="eastAsia" w:ascii="仿宋_GB2312" w:eastAsia="仿宋_GB2312"/>
          <w:snapToGrid w:val="0"/>
          <w:sz w:val="28"/>
          <w:szCs w:val="28"/>
        </w:rPr>
        <w:t>确定估价对象（建筑面积为</w:t>
      </w:r>
      <w:r>
        <w:rPr>
          <w:rFonts w:hint="eastAsia" w:ascii="仿宋_GB2312" w:eastAsia="仿宋_GB2312"/>
          <w:snapToGrid w:val="0"/>
          <w:sz w:val="28"/>
          <w:szCs w:val="28"/>
          <w:lang w:eastAsia="zh-CN"/>
        </w:rPr>
        <w:t>1577.48</w:t>
      </w:r>
      <w:r>
        <w:rPr>
          <w:rFonts w:hint="eastAsia" w:ascii="仿宋_GB2312" w:eastAsia="仿宋_GB2312"/>
          <w:snapToGrid w:val="0"/>
          <w:sz w:val="28"/>
          <w:szCs w:val="28"/>
        </w:rPr>
        <w:t>平方米）于价值时点</w:t>
      </w:r>
      <w:r>
        <w:rPr>
          <w:rFonts w:hint="eastAsia" w:ascii="仿宋_GB2312" w:eastAsia="仿宋_GB2312"/>
          <w:snapToGrid w:val="0"/>
          <w:sz w:val="28"/>
          <w:szCs w:val="28"/>
          <w:lang w:eastAsia="zh-CN"/>
        </w:rPr>
        <w:t>2019年05月27日</w:t>
      </w:r>
      <w:r>
        <w:rPr>
          <w:rFonts w:hint="eastAsia" w:ascii="仿宋_GB2312" w:eastAsia="仿宋_GB2312"/>
          <w:snapToGrid w:val="0"/>
          <w:sz w:val="28"/>
          <w:szCs w:val="28"/>
        </w:rPr>
        <w:t>的市场价值为</w:t>
      </w:r>
      <w:r>
        <w:rPr>
          <w:rFonts w:hint="eastAsia" w:ascii="仿宋_GB2312" w:eastAsia="仿宋_GB2312"/>
          <w:snapToGrid w:val="0"/>
          <w:sz w:val="28"/>
          <w:szCs w:val="28"/>
          <w:lang w:eastAsia="zh-CN"/>
        </w:rPr>
        <w:t>7,035,600</w:t>
      </w:r>
      <w:r>
        <w:rPr>
          <w:rFonts w:hint="eastAsia" w:ascii="仿宋_GB2312" w:eastAsia="仿宋_GB2312"/>
          <w:snapToGrid w:val="0"/>
          <w:sz w:val="28"/>
          <w:szCs w:val="28"/>
        </w:rPr>
        <w:t>元人民币，大写人民币</w:t>
      </w:r>
      <w:r>
        <w:rPr>
          <w:rFonts w:hint="eastAsia" w:ascii="仿宋_GB2312" w:eastAsia="仿宋_GB2312"/>
          <w:b/>
          <w:snapToGrid w:val="0"/>
          <w:sz w:val="28"/>
          <w:szCs w:val="28"/>
          <w:lang w:eastAsia="zh-CN"/>
        </w:rPr>
        <w:t>柒佰零叁万伍仟陆佰</w:t>
      </w:r>
      <w:r>
        <w:rPr>
          <w:rFonts w:hint="eastAsia" w:ascii="仿宋_GB2312" w:eastAsia="仿宋_GB2312"/>
          <w:snapToGrid w:val="0"/>
          <w:sz w:val="28"/>
          <w:szCs w:val="28"/>
        </w:rPr>
        <w:t>元整。估价结果详见《估价结果明细表》。</w:t>
      </w:r>
    </w:p>
    <w:p>
      <w:pPr>
        <w:adjustRightInd w:val="0"/>
        <w:snapToGrid w:val="0"/>
        <w:spacing w:line="360" w:lineRule="auto"/>
        <w:jc w:val="center"/>
        <w:rPr>
          <w:rFonts w:hint="eastAsia" w:ascii="仿宋_GB2312" w:hAnsi="Arial" w:eastAsia="仿宋_GB2312"/>
          <w:b/>
          <w:snapToGrid w:val="0"/>
          <w:sz w:val="28"/>
        </w:rPr>
      </w:pPr>
      <w:r>
        <w:rPr>
          <w:rFonts w:hint="eastAsia" w:ascii="仿宋_GB2312" w:hAnsi="Arial" w:eastAsia="仿宋_GB2312"/>
          <w:b/>
          <w:snapToGrid w:val="0"/>
          <w:sz w:val="28"/>
        </w:rPr>
        <w:t>估价结果明细表</w:t>
      </w:r>
    </w:p>
    <w:tbl>
      <w:tblPr>
        <w:tblStyle w:val="45"/>
        <w:tblW w:w="9777" w:type="dxa"/>
        <w:tblInd w:w="0" w:type="dxa"/>
        <w:shd w:val="clear" w:color="auto" w:fill="auto"/>
        <w:tblLayout w:type="fixed"/>
        <w:tblCellMar>
          <w:top w:w="0" w:type="dxa"/>
          <w:left w:w="0" w:type="dxa"/>
          <w:bottom w:w="0" w:type="dxa"/>
          <w:right w:w="0" w:type="dxa"/>
        </w:tblCellMar>
      </w:tblPr>
      <w:tblGrid>
        <w:gridCol w:w="1391"/>
        <w:gridCol w:w="975"/>
        <w:gridCol w:w="975"/>
        <w:gridCol w:w="1754"/>
        <w:gridCol w:w="1157"/>
        <w:gridCol w:w="1229"/>
        <w:gridCol w:w="1112"/>
        <w:gridCol w:w="1184"/>
      </w:tblGrid>
      <w:tr>
        <w:tblPrEx>
          <w:shd w:val="clear" w:color="auto" w:fill="auto"/>
          <w:tblLayout w:type="fixed"/>
          <w:tblCellMar>
            <w:top w:w="0" w:type="dxa"/>
            <w:left w:w="0" w:type="dxa"/>
            <w:bottom w:w="0" w:type="dxa"/>
            <w:right w:w="0" w:type="dxa"/>
          </w:tblCellMar>
        </w:tblPrEx>
        <w:trPr>
          <w:trHeight w:val="800" w:hRule="atLeast"/>
        </w:trPr>
        <w:tc>
          <w:tcPr>
            <w:tcW w:w="1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估价对象</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用途</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权属人</w:t>
            </w:r>
          </w:p>
        </w:tc>
        <w:tc>
          <w:tcPr>
            <w:tcW w:w="17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产权证号</w:t>
            </w:r>
          </w:p>
        </w:tc>
        <w:tc>
          <w:tcPr>
            <w:tcW w:w="1157"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土地性质</w:t>
            </w:r>
          </w:p>
        </w:tc>
        <w:tc>
          <w:tcPr>
            <w:tcW w:w="12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建筑面积（㎡）</w:t>
            </w:r>
          </w:p>
        </w:tc>
        <w:tc>
          <w:tcPr>
            <w:tcW w:w="11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评估单价（元/㎡）</w:t>
            </w:r>
          </w:p>
        </w:tc>
        <w:tc>
          <w:tcPr>
            <w:tcW w:w="11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评估总价（元）</w:t>
            </w:r>
          </w:p>
        </w:tc>
      </w:tr>
      <w:tr>
        <w:tblPrEx>
          <w:tblLayout w:type="fixed"/>
          <w:tblCellMar>
            <w:top w:w="0" w:type="dxa"/>
            <w:left w:w="0" w:type="dxa"/>
            <w:bottom w:w="0" w:type="dxa"/>
            <w:right w:w="0" w:type="dxa"/>
          </w:tblCellMar>
        </w:tblPrEx>
        <w:trPr>
          <w:trHeight w:val="400" w:hRule="atLeast"/>
        </w:trPr>
        <w:tc>
          <w:tcPr>
            <w:tcW w:w="13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汕头市潮阳区谷饶镇谷苑商场A4幢3-7号坐南向北</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住宅</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张宝生</w:t>
            </w:r>
          </w:p>
        </w:tc>
        <w:tc>
          <w:tcPr>
            <w:tcW w:w="175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粤房地证字第C6956883号</w:t>
            </w:r>
          </w:p>
        </w:tc>
        <w:tc>
          <w:tcPr>
            <w:tcW w:w="115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集体</w:t>
            </w:r>
          </w:p>
        </w:tc>
        <w:tc>
          <w:tcPr>
            <w:tcW w:w="122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1577.48</w:t>
            </w:r>
          </w:p>
        </w:tc>
        <w:tc>
          <w:tcPr>
            <w:tcW w:w="111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4,460 </w:t>
            </w:r>
          </w:p>
        </w:tc>
        <w:tc>
          <w:tcPr>
            <w:tcW w:w="11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7,035,600 </w:t>
            </w:r>
          </w:p>
        </w:tc>
      </w:tr>
      <w:tr>
        <w:tblPrEx>
          <w:tblLayout w:type="fixed"/>
          <w:tblCellMar>
            <w:top w:w="0" w:type="dxa"/>
            <w:left w:w="0" w:type="dxa"/>
            <w:bottom w:w="0" w:type="dxa"/>
            <w:right w:w="0" w:type="dxa"/>
          </w:tblCellMar>
        </w:tblPrEx>
        <w:trPr>
          <w:trHeight w:val="400" w:hRule="atLeast"/>
        </w:trPr>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7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1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2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1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r>
      <w:tr>
        <w:tblPrEx>
          <w:tblLayout w:type="fixed"/>
          <w:tblCellMar>
            <w:top w:w="0" w:type="dxa"/>
            <w:left w:w="0" w:type="dxa"/>
            <w:bottom w:w="0" w:type="dxa"/>
            <w:right w:w="0" w:type="dxa"/>
          </w:tblCellMar>
        </w:tblPrEx>
        <w:trPr>
          <w:trHeight w:val="400" w:hRule="atLeast"/>
        </w:trPr>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75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1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22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11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1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r>
    </w:tbl>
    <w:p>
      <w:pPr>
        <w:pStyle w:val="35"/>
        <w:adjustRightInd w:val="0"/>
        <w:snapToGrid w:val="0"/>
        <w:ind w:left="0" w:leftChars="0" w:firstLine="0" w:firstLineChars="0"/>
        <w:rPr>
          <w:rFonts w:ascii="黑体" w:hAnsi="黑体" w:eastAsia="黑体"/>
          <w:sz w:val="28"/>
          <w:szCs w:val="28"/>
        </w:rPr>
      </w:pPr>
      <w:r>
        <w:rPr>
          <w:rFonts w:hint="eastAsia" w:ascii="仿宋_GB2312" w:hAnsi="仿宋_GB2312" w:eastAsia="仿宋_GB2312" w:cs="仿宋_GB2312"/>
          <w:kern w:val="0"/>
          <w:sz w:val="18"/>
          <w:szCs w:val="18"/>
        </w:rPr>
        <w:t>备注：根据委托方委托，估价对象拍卖成交时有关税费用由买受人承担，评估结果已考虑。</w:t>
      </w:r>
    </w:p>
    <w:p>
      <w:pPr>
        <w:pStyle w:val="2"/>
        <w:spacing w:line="360" w:lineRule="auto"/>
        <w:jc w:val="left"/>
        <w:rPr>
          <w:rFonts w:ascii="黑体" w:eastAsia="黑体"/>
          <w:snapToGrid w:val="0"/>
          <w:kern w:val="0"/>
          <w:sz w:val="30"/>
          <w:szCs w:val="30"/>
        </w:rPr>
      </w:pPr>
      <w:bookmarkStart w:id="23" w:name="_Toc20626"/>
      <w:r>
        <w:rPr>
          <w:rFonts w:hint="eastAsia" w:ascii="黑体" w:eastAsia="黑体"/>
          <w:snapToGrid w:val="0"/>
          <w:kern w:val="0"/>
          <w:sz w:val="30"/>
          <w:szCs w:val="30"/>
        </w:rPr>
        <w:t>（十一）估价人员</w:t>
      </w:r>
      <w:bookmarkEnd w:id="23"/>
    </w:p>
    <w:p>
      <w:pPr>
        <w:adjustRightInd w:val="0"/>
        <w:snapToGrid w:val="0"/>
        <w:spacing w:line="360" w:lineRule="auto"/>
        <w:rPr>
          <w:b/>
          <w:snapToGrid w:val="0"/>
          <w:kern w:val="0"/>
          <w:sz w:val="28"/>
          <w:szCs w:val="28"/>
        </w:rPr>
      </w:pPr>
    </w:p>
    <w:p>
      <w:pPr>
        <w:adjustRightInd w:val="0"/>
        <w:snapToGrid w:val="0"/>
        <w:spacing w:line="360" w:lineRule="auto"/>
        <w:ind w:firstLine="491" w:firstLineChars="146"/>
        <w:rPr>
          <w:rFonts w:ascii="仿宋_GB2312" w:eastAsia="仿宋_GB2312"/>
          <w:snapToGrid w:val="0"/>
          <w:kern w:val="0"/>
          <w:sz w:val="28"/>
          <w:szCs w:val="28"/>
        </w:rPr>
      </w:pPr>
      <w:r>
        <w:rPr>
          <w:rFonts w:hint="eastAsia" w:ascii="仿宋_GB2312" w:eastAsia="仿宋_GB2312"/>
          <w:b/>
          <w:snapToGrid w:val="0"/>
          <w:kern w:val="0"/>
          <w:sz w:val="28"/>
          <w:szCs w:val="28"/>
        </w:rPr>
        <w:t xml:space="preserve">注册房地产估价师：刘怡 </w:t>
      </w:r>
      <w:r>
        <w:rPr>
          <w:rFonts w:hint="eastAsia" w:ascii="仿宋_GB2312" w:eastAsia="仿宋_GB2312"/>
          <w:snapToGrid w:val="0"/>
          <w:kern w:val="0"/>
          <w:sz w:val="28"/>
          <w:szCs w:val="28"/>
        </w:rPr>
        <w:t xml:space="preserve">         签 名：</w:t>
      </w:r>
    </w:p>
    <w:p>
      <w:pPr>
        <w:adjustRightInd w:val="0"/>
        <w:snapToGrid w:val="0"/>
        <w:spacing w:line="360" w:lineRule="auto"/>
        <w:ind w:firstLine="491" w:firstLineChars="146"/>
        <w:rPr>
          <w:rFonts w:ascii="仿宋_GB2312" w:eastAsia="仿宋_GB2312"/>
          <w:b/>
          <w:snapToGrid w:val="0"/>
          <w:kern w:val="0"/>
          <w:sz w:val="28"/>
          <w:szCs w:val="28"/>
        </w:rPr>
      </w:pPr>
      <w:r>
        <w:rPr>
          <w:rFonts w:hint="eastAsia" w:ascii="仿宋_GB2312" w:eastAsia="仿宋_GB2312"/>
          <w:b/>
          <w:snapToGrid w:val="0"/>
          <w:kern w:val="0"/>
          <w:sz w:val="28"/>
          <w:szCs w:val="28"/>
        </w:rPr>
        <w:t>注册号：5119980021</w:t>
      </w:r>
    </w:p>
    <w:p>
      <w:pPr>
        <w:adjustRightInd w:val="0"/>
        <w:snapToGrid w:val="0"/>
        <w:spacing w:line="360" w:lineRule="auto"/>
        <w:ind w:firstLine="491" w:firstLineChars="146"/>
        <w:rPr>
          <w:rFonts w:ascii="仿宋_GB2312" w:eastAsia="仿宋_GB2312"/>
          <w:snapToGrid w:val="0"/>
          <w:kern w:val="0"/>
          <w:sz w:val="28"/>
          <w:szCs w:val="28"/>
        </w:rPr>
      </w:pPr>
    </w:p>
    <w:p>
      <w:pPr>
        <w:adjustRightInd w:val="0"/>
        <w:snapToGrid w:val="0"/>
        <w:spacing w:line="360" w:lineRule="auto"/>
        <w:ind w:firstLine="491" w:firstLineChars="146"/>
        <w:rPr>
          <w:rFonts w:ascii="仿宋_GB2312" w:eastAsia="仿宋_GB2312"/>
          <w:snapToGrid w:val="0"/>
          <w:kern w:val="0"/>
          <w:sz w:val="28"/>
          <w:szCs w:val="28"/>
        </w:rPr>
      </w:pPr>
      <w:r>
        <w:rPr>
          <w:rFonts w:hint="eastAsia" w:ascii="仿宋_GB2312" w:eastAsia="仿宋_GB2312"/>
          <w:b/>
          <w:snapToGrid w:val="0"/>
          <w:kern w:val="0"/>
          <w:sz w:val="28"/>
          <w:szCs w:val="28"/>
        </w:rPr>
        <w:t xml:space="preserve">注册房地产估价师：陶伟  </w:t>
      </w:r>
      <w:r>
        <w:rPr>
          <w:rFonts w:hint="eastAsia" w:ascii="仿宋_GB2312" w:eastAsia="仿宋_GB2312"/>
          <w:snapToGrid w:val="0"/>
          <w:kern w:val="0"/>
          <w:sz w:val="28"/>
          <w:szCs w:val="28"/>
        </w:rPr>
        <w:t xml:space="preserve">          签 名：</w:t>
      </w:r>
    </w:p>
    <w:p>
      <w:pPr>
        <w:adjustRightInd w:val="0"/>
        <w:snapToGrid w:val="0"/>
        <w:spacing w:line="360" w:lineRule="auto"/>
        <w:ind w:firstLine="491" w:firstLineChars="146"/>
        <w:rPr>
          <w:rFonts w:ascii="仿宋_GB2312" w:eastAsia="仿宋_GB2312"/>
          <w:b/>
          <w:snapToGrid w:val="0"/>
          <w:kern w:val="0"/>
          <w:sz w:val="28"/>
          <w:szCs w:val="28"/>
        </w:rPr>
      </w:pPr>
      <w:r>
        <w:rPr>
          <w:rFonts w:hint="eastAsia" w:ascii="仿宋_GB2312" w:eastAsia="仿宋_GB2312"/>
          <w:b/>
          <w:snapToGrid w:val="0"/>
          <w:kern w:val="0"/>
          <w:sz w:val="28"/>
          <w:szCs w:val="28"/>
        </w:rPr>
        <w:t>注册号：3420020009</w:t>
      </w:r>
    </w:p>
    <w:p>
      <w:pPr>
        <w:adjustRightInd w:val="0"/>
        <w:snapToGrid w:val="0"/>
        <w:spacing w:line="360" w:lineRule="auto"/>
        <w:rPr>
          <w:b/>
          <w:snapToGrid w:val="0"/>
          <w:kern w:val="0"/>
          <w:sz w:val="28"/>
          <w:szCs w:val="28"/>
        </w:rPr>
      </w:pPr>
    </w:p>
    <w:p>
      <w:pPr>
        <w:pStyle w:val="2"/>
        <w:spacing w:line="360" w:lineRule="auto"/>
        <w:jc w:val="left"/>
        <w:rPr>
          <w:rFonts w:ascii="黑体" w:eastAsia="黑体"/>
          <w:snapToGrid w:val="0"/>
          <w:kern w:val="0"/>
          <w:sz w:val="30"/>
          <w:szCs w:val="30"/>
        </w:rPr>
      </w:pPr>
      <w:bookmarkStart w:id="24" w:name="_Toc31036"/>
      <w:r>
        <w:rPr>
          <w:rFonts w:hint="eastAsia" w:ascii="黑体" w:eastAsia="黑体"/>
          <w:snapToGrid w:val="0"/>
          <w:kern w:val="0"/>
          <w:sz w:val="30"/>
          <w:szCs w:val="30"/>
        </w:rPr>
        <w:t>（十二）估价作业日期</w:t>
      </w:r>
      <w:bookmarkEnd w:id="24"/>
    </w:p>
    <w:p>
      <w:pPr>
        <w:adjustRightInd w:val="0"/>
        <w:snapToGrid w:val="0"/>
        <w:spacing w:line="360" w:lineRule="auto"/>
        <w:ind w:firstLine="505"/>
        <w:rPr>
          <w:rFonts w:ascii="仿宋_GB2312" w:eastAsia="仿宋_GB2312"/>
          <w:snapToGrid w:val="0"/>
          <w:kern w:val="0"/>
          <w:sz w:val="28"/>
          <w:szCs w:val="28"/>
        </w:rPr>
      </w:pPr>
      <w:r>
        <w:rPr>
          <w:rFonts w:hint="eastAsia" w:ascii="仿宋_GB2312" w:eastAsia="仿宋_GB2312"/>
          <w:snapToGrid w:val="0"/>
          <w:kern w:val="0"/>
          <w:sz w:val="28"/>
          <w:szCs w:val="28"/>
          <w:lang w:eastAsia="zh-CN"/>
        </w:rPr>
        <w:t>二〇一九年五月二十七日</w:t>
      </w:r>
      <w:r>
        <w:rPr>
          <w:rFonts w:hint="eastAsia" w:ascii="仿宋_GB2312" w:eastAsia="仿宋_GB2312"/>
          <w:snapToGrid w:val="0"/>
          <w:kern w:val="0"/>
          <w:sz w:val="28"/>
          <w:szCs w:val="28"/>
        </w:rPr>
        <w:t>至</w:t>
      </w:r>
      <w:r>
        <w:rPr>
          <w:rFonts w:hint="eastAsia" w:ascii="仿宋_GB2312" w:eastAsia="仿宋_GB2312"/>
          <w:snapToGrid w:val="0"/>
          <w:kern w:val="0"/>
          <w:sz w:val="28"/>
          <w:szCs w:val="28"/>
          <w:lang w:eastAsia="zh-CN"/>
        </w:rPr>
        <w:t>二〇一九年六月二十六日</w:t>
      </w:r>
    </w:p>
    <w:p>
      <w:pPr>
        <w:adjustRightInd w:val="0"/>
        <w:snapToGrid w:val="0"/>
        <w:spacing w:line="360" w:lineRule="auto"/>
        <w:rPr>
          <w:b/>
          <w:snapToGrid w:val="0"/>
          <w:kern w:val="0"/>
          <w:sz w:val="28"/>
          <w:szCs w:val="28"/>
        </w:rPr>
      </w:pPr>
    </w:p>
    <w:p>
      <w:pPr>
        <w:pStyle w:val="2"/>
        <w:spacing w:line="360" w:lineRule="auto"/>
        <w:jc w:val="left"/>
        <w:rPr>
          <w:rFonts w:ascii="黑体" w:eastAsia="黑体"/>
          <w:snapToGrid w:val="0"/>
          <w:kern w:val="0"/>
          <w:sz w:val="30"/>
          <w:szCs w:val="30"/>
        </w:rPr>
      </w:pPr>
      <w:bookmarkStart w:id="25" w:name="_Toc19563"/>
      <w:r>
        <w:rPr>
          <w:rFonts w:hint="eastAsia" w:ascii="黑体" w:eastAsia="黑体"/>
          <w:snapToGrid w:val="0"/>
          <w:kern w:val="0"/>
          <w:sz w:val="30"/>
          <w:szCs w:val="30"/>
        </w:rPr>
        <w:t>（十三）估价报告应用的有效期</w:t>
      </w:r>
      <w:bookmarkEnd w:id="25"/>
    </w:p>
    <w:p>
      <w:pPr>
        <w:adjustRightInd w:val="0"/>
        <w:snapToGrid w:val="0"/>
        <w:spacing w:line="360" w:lineRule="auto"/>
        <w:ind w:firstLine="505"/>
        <w:rPr>
          <w:rFonts w:ascii="仿宋_GB2312" w:eastAsia="仿宋_GB2312"/>
          <w:snapToGrid w:val="0"/>
          <w:kern w:val="0"/>
          <w:sz w:val="28"/>
          <w:szCs w:val="28"/>
        </w:rPr>
      </w:pPr>
      <w:r>
        <w:rPr>
          <w:rFonts w:hint="eastAsia" w:ascii="仿宋_GB2312" w:eastAsia="仿宋_GB2312"/>
          <w:snapToGrid w:val="0"/>
          <w:kern w:val="0"/>
          <w:sz w:val="28"/>
          <w:szCs w:val="28"/>
        </w:rPr>
        <w:t>本报告应用有效期为出具报告之日起一年，自</w:t>
      </w:r>
      <w:r>
        <w:rPr>
          <w:rFonts w:hint="eastAsia" w:ascii="仿宋_GB2312" w:eastAsia="仿宋_GB2312"/>
          <w:snapToGrid w:val="0"/>
          <w:kern w:val="0"/>
          <w:sz w:val="28"/>
          <w:szCs w:val="28"/>
          <w:lang w:eastAsia="zh-CN"/>
        </w:rPr>
        <w:t>二〇一九年六月二十六日</w:t>
      </w:r>
      <w:r>
        <w:rPr>
          <w:rFonts w:hint="eastAsia" w:ascii="仿宋_GB2312" w:eastAsia="仿宋_GB2312"/>
          <w:snapToGrid w:val="0"/>
          <w:kern w:val="0"/>
          <w:sz w:val="28"/>
          <w:szCs w:val="28"/>
        </w:rPr>
        <w:t>至</w:t>
      </w:r>
      <w:r>
        <w:rPr>
          <w:rFonts w:hint="eastAsia" w:ascii="仿宋_GB2312" w:eastAsia="仿宋_GB2312"/>
          <w:snapToGrid w:val="0"/>
          <w:kern w:val="0"/>
          <w:sz w:val="28"/>
          <w:szCs w:val="28"/>
          <w:lang w:eastAsia="zh-CN"/>
        </w:rPr>
        <w:t>二〇二〇年六月二十五日</w:t>
      </w:r>
      <w:r>
        <w:rPr>
          <w:rFonts w:hint="eastAsia" w:ascii="仿宋_GB2312" w:eastAsia="仿宋_GB2312"/>
          <w:snapToGrid w:val="0"/>
          <w:kern w:val="0"/>
          <w:sz w:val="28"/>
          <w:szCs w:val="28"/>
        </w:rPr>
        <w:t>止，若市场有较大波动或超过一年，需重新进行评估。</w:t>
      </w:r>
      <w:bookmarkStart w:id="26" w:name="_Toc404947558"/>
      <w:bookmarkEnd w:id="26"/>
    </w:p>
    <w:p/>
    <w:p>
      <w:pPr>
        <w:pStyle w:val="2"/>
        <w:spacing w:line="360" w:lineRule="auto"/>
        <w:rPr>
          <w:rFonts w:ascii="黑体" w:eastAsia="黑体"/>
          <w:snapToGrid w:val="0"/>
          <w:kern w:val="0"/>
          <w:sz w:val="44"/>
          <w:szCs w:val="44"/>
        </w:rPr>
      </w:pPr>
      <w:bookmarkStart w:id="27" w:name="_Toc11717"/>
      <w:r>
        <w:rPr>
          <w:rFonts w:hint="eastAsia" w:ascii="黑体" w:eastAsia="黑体"/>
          <w:snapToGrid w:val="0"/>
          <w:kern w:val="0"/>
          <w:sz w:val="44"/>
          <w:szCs w:val="44"/>
        </w:rPr>
        <w:t>估价技术报告</w:t>
      </w:r>
      <w:bookmarkEnd w:id="27"/>
    </w:p>
    <w:p>
      <w:pPr>
        <w:pStyle w:val="3"/>
        <w:snapToGrid w:val="0"/>
        <w:spacing w:before="240" w:after="0" w:line="360" w:lineRule="auto"/>
        <w:rPr>
          <w:snapToGrid w:val="0"/>
          <w:kern w:val="0"/>
          <w:sz w:val="30"/>
          <w:szCs w:val="30"/>
        </w:rPr>
      </w:pPr>
      <w:bookmarkStart w:id="28" w:name="_Toc273364708"/>
      <w:bookmarkStart w:id="29" w:name="_Toc262454102"/>
      <w:bookmarkStart w:id="30" w:name="_Toc262224741"/>
      <w:bookmarkStart w:id="31" w:name="_Toc339438802"/>
      <w:bookmarkStart w:id="32" w:name="_Toc29108"/>
      <w:r>
        <w:rPr>
          <w:rFonts w:hint="eastAsia"/>
          <w:snapToGrid w:val="0"/>
          <w:kern w:val="0"/>
          <w:sz w:val="30"/>
          <w:szCs w:val="30"/>
        </w:rPr>
        <w:t>（一）个别因素分析</w:t>
      </w:r>
      <w:bookmarkEnd w:id="28"/>
      <w:bookmarkEnd w:id="29"/>
      <w:bookmarkEnd w:id="30"/>
      <w:bookmarkEnd w:id="31"/>
      <w:bookmarkEnd w:id="32"/>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1、估价对象位置状况</w:t>
      </w:r>
    </w:p>
    <w:tbl>
      <w:tblPr>
        <w:tblStyle w:val="45"/>
        <w:tblW w:w="9934" w:type="dxa"/>
        <w:jc w:val="center"/>
        <w:tblInd w:w="0" w:type="dxa"/>
        <w:tblLayout w:type="fixed"/>
        <w:tblCellMar>
          <w:top w:w="0" w:type="dxa"/>
          <w:left w:w="30" w:type="dxa"/>
          <w:bottom w:w="0" w:type="dxa"/>
          <w:right w:w="30" w:type="dxa"/>
        </w:tblCellMar>
      </w:tblPr>
      <w:tblGrid>
        <w:gridCol w:w="2245"/>
        <w:gridCol w:w="7689"/>
      </w:tblGrid>
      <w:tr>
        <w:tblPrEx>
          <w:tblLayout w:type="fixed"/>
          <w:tblCellMar>
            <w:top w:w="0" w:type="dxa"/>
            <w:left w:w="30" w:type="dxa"/>
            <w:bottom w:w="0" w:type="dxa"/>
            <w:right w:w="30" w:type="dxa"/>
          </w:tblCellMar>
        </w:tblPrEx>
        <w:trPr>
          <w:cantSplit/>
          <w:trHeight w:val="412" w:hRule="atLeast"/>
          <w:jc w:val="center"/>
        </w:trPr>
        <w:tc>
          <w:tcPr>
            <w:tcW w:w="2245" w:type="dxa"/>
            <w:tcBorders>
              <w:top w:val="single" w:color="auto" w:sz="6" w:space="0"/>
              <w:left w:val="single" w:color="auto" w:sz="6" w:space="0"/>
              <w:bottom w:val="single" w:color="auto" w:sz="6" w:space="0"/>
              <w:right w:val="single" w:color="auto" w:sz="6" w:space="0"/>
            </w:tcBorders>
            <w:vAlign w:val="center"/>
          </w:tcPr>
          <w:p>
            <w:pPr>
              <w:pStyle w:val="23"/>
              <w:tabs>
                <w:tab w:val="left" w:pos="0"/>
              </w:tabs>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估价对象名称</w:t>
            </w:r>
          </w:p>
        </w:tc>
        <w:tc>
          <w:tcPr>
            <w:tcW w:w="7689" w:type="dxa"/>
            <w:tcBorders>
              <w:top w:val="single" w:color="auto" w:sz="6" w:space="0"/>
              <w:left w:val="nil"/>
              <w:bottom w:val="single" w:color="auto" w:sz="6" w:space="0"/>
              <w:right w:val="single" w:color="auto" w:sz="6" w:space="0"/>
            </w:tcBorders>
            <w:vAlign w:val="center"/>
          </w:tcPr>
          <w:p>
            <w:pPr>
              <w:pStyle w:val="23"/>
              <w:tabs>
                <w:tab w:val="left" w:pos="0"/>
              </w:tabs>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eastAsia="zh-CN"/>
              </w:rPr>
              <w:t>汕头市潮阳区谷饶镇谷苑商场A4幢3-7号 坐南向北</w:t>
            </w:r>
          </w:p>
        </w:tc>
      </w:tr>
      <w:tr>
        <w:tblPrEx>
          <w:tblLayout w:type="fixed"/>
          <w:tblCellMar>
            <w:top w:w="0" w:type="dxa"/>
            <w:left w:w="30" w:type="dxa"/>
            <w:bottom w:w="0" w:type="dxa"/>
            <w:right w:w="30" w:type="dxa"/>
          </w:tblCellMar>
        </w:tblPrEx>
        <w:trPr>
          <w:cantSplit/>
          <w:trHeight w:val="548" w:hRule="atLeast"/>
          <w:jc w:val="center"/>
        </w:trPr>
        <w:tc>
          <w:tcPr>
            <w:tcW w:w="2245" w:type="dxa"/>
            <w:tcBorders>
              <w:top w:val="single" w:color="auto" w:sz="6" w:space="0"/>
              <w:left w:val="single" w:color="auto" w:sz="6" w:space="0"/>
              <w:bottom w:val="single" w:color="auto" w:sz="6" w:space="0"/>
              <w:right w:val="single" w:color="auto" w:sz="6" w:space="0"/>
            </w:tcBorders>
            <w:vAlign w:val="center"/>
          </w:tcPr>
          <w:p>
            <w:pPr>
              <w:pStyle w:val="23"/>
              <w:tabs>
                <w:tab w:val="left" w:pos="0"/>
              </w:tabs>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地理位置</w:t>
            </w:r>
          </w:p>
        </w:tc>
        <w:tc>
          <w:tcPr>
            <w:tcW w:w="7689" w:type="dxa"/>
            <w:tcBorders>
              <w:top w:val="single" w:color="auto" w:sz="6" w:space="0"/>
              <w:left w:val="nil"/>
              <w:bottom w:val="single" w:color="auto" w:sz="6" w:space="0"/>
              <w:right w:val="single" w:color="auto" w:sz="6" w:space="0"/>
            </w:tcBorders>
            <w:vAlign w:val="center"/>
          </w:tcPr>
          <w:p>
            <w:pPr>
              <w:pStyle w:val="23"/>
              <w:tabs>
                <w:tab w:val="left" w:pos="0"/>
              </w:tabs>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CN"/>
              </w:rPr>
              <w:t>估价对象位于汕头市潮阳区谷饶镇谷苑商场A4幢3-7号 坐南向北，东至茂新路，西至饶西路，</w:t>
            </w:r>
            <w:r>
              <w:rPr>
                <w:rFonts w:hint="eastAsia" w:ascii="仿宋_GB2312" w:hAnsi="宋体" w:eastAsia="仿宋_GB2312"/>
                <w:snapToGrid w:val="0"/>
                <w:kern w:val="0"/>
                <w:sz w:val="24"/>
                <w:szCs w:val="24"/>
              </w:rPr>
              <w:t>地理位置一般。</w:t>
            </w:r>
          </w:p>
        </w:tc>
      </w:tr>
      <w:tr>
        <w:tblPrEx>
          <w:tblLayout w:type="fixed"/>
          <w:tblCellMar>
            <w:top w:w="0" w:type="dxa"/>
            <w:left w:w="30" w:type="dxa"/>
            <w:bottom w:w="0" w:type="dxa"/>
            <w:right w:w="30" w:type="dxa"/>
          </w:tblCellMar>
        </w:tblPrEx>
        <w:trPr>
          <w:cantSplit/>
          <w:trHeight w:val="558" w:hRule="atLeast"/>
          <w:jc w:val="center"/>
        </w:trPr>
        <w:tc>
          <w:tcPr>
            <w:tcW w:w="2245" w:type="dxa"/>
            <w:tcBorders>
              <w:top w:val="single" w:color="auto" w:sz="6" w:space="0"/>
              <w:left w:val="single" w:color="auto" w:sz="6" w:space="0"/>
              <w:bottom w:val="single" w:color="auto" w:sz="6" w:space="0"/>
              <w:right w:val="single" w:color="auto" w:sz="6" w:space="0"/>
            </w:tcBorders>
            <w:vAlign w:val="center"/>
          </w:tcPr>
          <w:p>
            <w:pPr>
              <w:pStyle w:val="23"/>
              <w:tabs>
                <w:tab w:val="left" w:pos="0"/>
              </w:tabs>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道路通达度</w:t>
            </w:r>
          </w:p>
        </w:tc>
        <w:tc>
          <w:tcPr>
            <w:tcW w:w="7689" w:type="dxa"/>
            <w:tcBorders>
              <w:top w:val="single" w:color="auto" w:sz="6" w:space="0"/>
              <w:left w:val="nil"/>
              <w:bottom w:val="single" w:color="auto" w:sz="6" w:space="0"/>
              <w:right w:val="single" w:color="auto" w:sz="6" w:space="0"/>
            </w:tcBorders>
            <w:vAlign w:val="center"/>
          </w:tcPr>
          <w:p>
            <w:pPr>
              <w:pStyle w:val="23"/>
              <w:tabs>
                <w:tab w:val="left" w:pos="0"/>
              </w:tabs>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估价对象主要通过区间路出入。</w:t>
            </w:r>
          </w:p>
        </w:tc>
      </w:tr>
      <w:tr>
        <w:tblPrEx>
          <w:tblLayout w:type="fixed"/>
          <w:tblCellMar>
            <w:top w:w="0" w:type="dxa"/>
            <w:left w:w="30" w:type="dxa"/>
            <w:bottom w:w="0" w:type="dxa"/>
            <w:right w:w="30" w:type="dxa"/>
          </w:tblCellMar>
        </w:tblPrEx>
        <w:trPr>
          <w:cantSplit/>
          <w:trHeight w:val="410" w:hRule="atLeast"/>
          <w:jc w:val="center"/>
        </w:trPr>
        <w:tc>
          <w:tcPr>
            <w:tcW w:w="2245" w:type="dxa"/>
            <w:tcBorders>
              <w:top w:val="single" w:color="auto" w:sz="6" w:space="0"/>
              <w:left w:val="single" w:color="auto" w:sz="6" w:space="0"/>
              <w:bottom w:val="single" w:color="auto" w:sz="6" w:space="0"/>
              <w:right w:val="single" w:color="auto" w:sz="6" w:space="0"/>
            </w:tcBorders>
            <w:vAlign w:val="center"/>
          </w:tcPr>
          <w:p>
            <w:pPr>
              <w:pStyle w:val="23"/>
              <w:tabs>
                <w:tab w:val="left" w:pos="0"/>
              </w:tabs>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交通便捷度</w:t>
            </w:r>
          </w:p>
        </w:tc>
        <w:tc>
          <w:tcPr>
            <w:tcW w:w="7689" w:type="dxa"/>
            <w:tcBorders>
              <w:top w:val="single" w:color="auto" w:sz="6" w:space="0"/>
              <w:left w:val="nil"/>
              <w:bottom w:val="single" w:color="auto" w:sz="6" w:space="0"/>
              <w:right w:val="single" w:color="auto" w:sz="6" w:space="0"/>
            </w:tcBorders>
            <w:vAlign w:val="center"/>
          </w:tcPr>
          <w:p>
            <w:pPr>
              <w:pStyle w:val="23"/>
              <w:tabs>
                <w:tab w:val="left" w:pos="0"/>
              </w:tabs>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CN"/>
              </w:rPr>
              <w:t>估价对象交通方便，附近有307、308路等公交车通达</w:t>
            </w:r>
            <w:r>
              <w:rPr>
                <w:rFonts w:hint="eastAsia" w:ascii="仿宋_GB2312" w:hAnsi="宋体" w:eastAsia="仿宋_GB2312"/>
                <w:snapToGrid w:val="0"/>
                <w:kern w:val="0"/>
                <w:sz w:val="24"/>
                <w:szCs w:val="24"/>
              </w:rPr>
              <w:t>。</w:t>
            </w:r>
          </w:p>
        </w:tc>
      </w:tr>
      <w:tr>
        <w:tblPrEx>
          <w:tblLayout w:type="fixed"/>
          <w:tblCellMar>
            <w:top w:w="0" w:type="dxa"/>
            <w:left w:w="30" w:type="dxa"/>
            <w:bottom w:w="0" w:type="dxa"/>
            <w:right w:w="30" w:type="dxa"/>
          </w:tblCellMar>
        </w:tblPrEx>
        <w:trPr>
          <w:cantSplit/>
          <w:trHeight w:val="544" w:hRule="atLeast"/>
          <w:jc w:val="center"/>
        </w:trPr>
        <w:tc>
          <w:tcPr>
            <w:tcW w:w="2245" w:type="dxa"/>
            <w:tcBorders>
              <w:top w:val="single" w:color="auto" w:sz="6" w:space="0"/>
              <w:left w:val="single" w:color="auto" w:sz="6" w:space="0"/>
              <w:bottom w:val="single" w:color="auto" w:sz="6" w:space="0"/>
              <w:right w:val="single" w:color="auto" w:sz="6" w:space="0"/>
            </w:tcBorders>
            <w:vAlign w:val="center"/>
          </w:tcPr>
          <w:p>
            <w:pPr>
              <w:pStyle w:val="23"/>
              <w:tabs>
                <w:tab w:val="left" w:pos="0"/>
              </w:tabs>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公共配套情况</w:t>
            </w:r>
          </w:p>
        </w:tc>
        <w:tc>
          <w:tcPr>
            <w:tcW w:w="7689" w:type="dxa"/>
            <w:tcBorders>
              <w:top w:val="single" w:color="auto" w:sz="6" w:space="0"/>
              <w:left w:val="nil"/>
              <w:bottom w:val="single" w:color="auto" w:sz="6" w:space="0"/>
              <w:right w:val="single" w:color="auto" w:sz="6" w:space="0"/>
            </w:tcBorders>
            <w:vAlign w:val="center"/>
          </w:tcPr>
          <w:p>
            <w:pPr>
              <w:pStyle w:val="23"/>
              <w:tabs>
                <w:tab w:val="left" w:pos="0"/>
              </w:tabs>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周围分布有学校、市场、银行等公共配套设施和生活设施较完善。</w:t>
            </w:r>
          </w:p>
        </w:tc>
      </w:tr>
      <w:tr>
        <w:tblPrEx>
          <w:tblLayout w:type="fixed"/>
          <w:tblCellMar>
            <w:top w:w="0" w:type="dxa"/>
            <w:left w:w="30" w:type="dxa"/>
            <w:bottom w:w="0" w:type="dxa"/>
            <w:right w:w="30" w:type="dxa"/>
          </w:tblCellMar>
        </w:tblPrEx>
        <w:trPr>
          <w:cantSplit/>
          <w:trHeight w:val="407" w:hRule="atLeast"/>
          <w:jc w:val="center"/>
        </w:trPr>
        <w:tc>
          <w:tcPr>
            <w:tcW w:w="2245" w:type="dxa"/>
            <w:tcBorders>
              <w:top w:val="single" w:color="auto" w:sz="6" w:space="0"/>
              <w:left w:val="single" w:color="auto" w:sz="6" w:space="0"/>
              <w:bottom w:val="single" w:color="auto" w:sz="6" w:space="0"/>
              <w:right w:val="single" w:color="auto" w:sz="6" w:space="0"/>
            </w:tcBorders>
            <w:vAlign w:val="center"/>
          </w:tcPr>
          <w:p>
            <w:pPr>
              <w:pStyle w:val="23"/>
              <w:tabs>
                <w:tab w:val="left" w:pos="0"/>
              </w:tabs>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基础设施完善度</w:t>
            </w:r>
          </w:p>
        </w:tc>
        <w:tc>
          <w:tcPr>
            <w:tcW w:w="7689" w:type="dxa"/>
            <w:tcBorders>
              <w:top w:val="single" w:color="auto" w:sz="6" w:space="0"/>
              <w:left w:val="nil"/>
              <w:bottom w:val="single" w:color="auto" w:sz="6" w:space="0"/>
              <w:right w:val="single" w:color="auto" w:sz="6" w:space="0"/>
            </w:tcBorders>
            <w:vAlign w:val="center"/>
          </w:tcPr>
          <w:p>
            <w:pPr>
              <w:pStyle w:val="23"/>
              <w:tabs>
                <w:tab w:val="left" w:pos="0"/>
              </w:tabs>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周边公共配套设施较为齐全。</w:t>
            </w:r>
          </w:p>
        </w:tc>
      </w:tr>
    </w:tbl>
    <w:p>
      <w:pPr>
        <w:pStyle w:val="35"/>
        <w:adjustRightInd w:val="0"/>
        <w:snapToGrid w:val="0"/>
        <w:ind w:firstLine="505" w:firstLineChars="150"/>
        <w:rPr>
          <w:rFonts w:ascii="仿宋_GB2312" w:eastAsia="仿宋_GB2312"/>
          <w:snapToGrid w:val="0"/>
          <w:sz w:val="28"/>
          <w:szCs w:val="28"/>
        </w:rPr>
      </w:pP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2、估价对象实物状况</w:t>
      </w:r>
    </w:p>
    <w:tbl>
      <w:tblPr>
        <w:tblStyle w:val="45"/>
        <w:tblW w:w="99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755"/>
        <w:gridCol w:w="2574"/>
        <w:gridCol w:w="215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394"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估价对象名称</w:t>
            </w:r>
          </w:p>
        </w:tc>
        <w:tc>
          <w:tcPr>
            <w:tcW w:w="7569" w:type="dxa"/>
            <w:gridSpan w:val="3"/>
            <w:vAlign w:val="center"/>
          </w:tcPr>
          <w:p>
            <w:pPr>
              <w:widowControl/>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eastAsia="zh-CN"/>
              </w:rPr>
              <w:t>汕头市潮阳区谷饶镇谷苑商场A4幢3-7号 坐南向北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2394"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总建筑面积</w:t>
            </w:r>
          </w:p>
        </w:tc>
        <w:tc>
          <w:tcPr>
            <w:tcW w:w="2574"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CN"/>
              </w:rPr>
              <w:t>1577.48</w:t>
            </w:r>
            <w:r>
              <w:rPr>
                <w:rFonts w:hint="eastAsia" w:ascii="仿宋_GB2312" w:hAnsi="宋体" w:eastAsia="仿宋_GB2312"/>
                <w:snapToGrid w:val="0"/>
                <w:kern w:val="0"/>
                <w:sz w:val="24"/>
                <w:szCs w:val="24"/>
              </w:rPr>
              <w:t>㎡</w:t>
            </w:r>
          </w:p>
        </w:tc>
        <w:tc>
          <w:tcPr>
            <w:tcW w:w="2152"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建筑结构</w:t>
            </w:r>
          </w:p>
        </w:tc>
        <w:tc>
          <w:tcPr>
            <w:tcW w:w="2843"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钢筋混凝土结构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2394"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总楼层</w:t>
            </w:r>
          </w:p>
        </w:tc>
        <w:tc>
          <w:tcPr>
            <w:tcW w:w="2574"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共6层</w:t>
            </w:r>
          </w:p>
        </w:tc>
        <w:tc>
          <w:tcPr>
            <w:tcW w:w="2152"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评估房号</w:t>
            </w:r>
          </w:p>
        </w:tc>
        <w:tc>
          <w:tcPr>
            <w:tcW w:w="2843"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全幢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394"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采光</w:t>
            </w:r>
          </w:p>
        </w:tc>
        <w:tc>
          <w:tcPr>
            <w:tcW w:w="2574"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较好</w:t>
            </w:r>
          </w:p>
        </w:tc>
        <w:tc>
          <w:tcPr>
            <w:tcW w:w="2152"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景观</w:t>
            </w:r>
          </w:p>
        </w:tc>
        <w:tc>
          <w:tcPr>
            <w:tcW w:w="2843"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394"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房屋用途</w:t>
            </w:r>
          </w:p>
        </w:tc>
        <w:tc>
          <w:tcPr>
            <w:tcW w:w="2574" w:type="dxa"/>
            <w:vAlign w:val="center"/>
          </w:tcPr>
          <w:p>
            <w:pPr>
              <w:widowControl/>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eastAsia="zh-CN"/>
              </w:rPr>
              <w:t>住宅</w:t>
            </w:r>
          </w:p>
        </w:tc>
        <w:tc>
          <w:tcPr>
            <w:tcW w:w="2152" w:type="dxa"/>
            <w:vAlign w:val="center"/>
          </w:tcPr>
          <w:p>
            <w:pPr>
              <w:widowControl/>
              <w:ind w:right="-384" w:rightChars="-144"/>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房屋取得方式</w:t>
            </w:r>
          </w:p>
        </w:tc>
        <w:tc>
          <w:tcPr>
            <w:tcW w:w="2843" w:type="dxa"/>
            <w:vAlign w:val="center"/>
          </w:tcPr>
          <w:p>
            <w:pPr>
              <w:widowControl/>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val="en-US" w:eastAsia="zh-CN"/>
              </w:rPr>
              <w:t>2009年10月购买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394" w:type="dxa"/>
            <w:gridSpan w:val="2"/>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平面布置</w:t>
            </w:r>
          </w:p>
        </w:tc>
        <w:tc>
          <w:tcPr>
            <w:tcW w:w="7569" w:type="dxa"/>
            <w:gridSpan w:val="3"/>
            <w:vAlign w:val="center"/>
          </w:tcPr>
          <w:p>
            <w:pPr>
              <w:widowControl/>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eastAsia="zh-CN"/>
              </w:rPr>
              <w:t>平面布置近似矩形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639" w:type="dxa"/>
            <w:vMerge w:val="restart"/>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装修情况</w:t>
            </w:r>
          </w:p>
        </w:tc>
        <w:tc>
          <w:tcPr>
            <w:tcW w:w="9324" w:type="dxa"/>
            <w:gridSpan w:val="4"/>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公共部分装修状况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639" w:type="dxa"/>
            <w:vMerge w:val="continue"/>
            <w:vAlign w:val="center"/>
          </w:tcPr>
          <w:p>
            <w:pPr>
              <w:widowControl/>
              <w:jc w:val="center"/>
              <w:rPr>
                <w:rFonts w:ascii="仿宋_GB2312" w:hAnsi="宋体" w:eastAsia="仿宋_GB2312"/>
                <w:snapToGrid w:val="0"/>
                <w:kern w:val="0"/>
                <w:sz w:val="24"/>
                <w:szCs w:val="24"/>
              </w:rPr>
            </w:pP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外  墙</w:t>
            </w:r>
          </w:p>
        </w:tc>
        <w:tc>
          <w:tcPr>
            <w:tcW w:w="2574"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马赛克</w:t>
            </w:r>
          </w:p>
        </w:tc>
        <w:tc>
          <w:tcPr>
            <w:tcW w:w="2152"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内   墙</w:t>
            </w:r>
          </w:p>
        </w:tc>
        <w:tc>
          <w:tcPr>
            <w:tcW w:w="2843"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刷白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639" w:type="dxa"/>
            <w:vMerge w:val="continue"/>
            <w:vAlign w:val="center"/>
          </w:tcPr>
          <w:p>
            <w:pPr>
              <w:widowControl/>
              <w:jc w:val="center"/>
              <w:rPr>
                <w:rFonts w:ascii="仿宋_GB2312" w:hAnsi="宋体" w:eastAsia="仿宋_GB2312"/>
                <w:snapToGrid w:val="0"/>
                <w:kern w:val="0"/>
                <w:sz w:val="24"/>
                <w:szCs w:val="24"/>
              </w:rPr>
            </w:pP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天  花</w:t>
            </w:r>
          </w:p>
        </w:tc>
        <w:tc>
          <w:tcPr>
            <w:tcW w:w="2574"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乳胶漆</w:t>
            </w:r>
          </w:p>
        </w:tc>
        <w:tc>
          <w:tcPr>
            <w:tcW w:w="2152"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楼地面</w:t>
            </w:r>
          </w:p>
        </w:tc>
        <w:tc>
          <w:tcPr>
            <w:tcW w:w="2843"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地砖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639" w:type="dxa"/>
            <w:vMerge w:val="continue"/>
            <w:vAlign w:val="center"/>
          </w:tcPr>
          <w:p>
            <w:pPr>
              <w:widowControl/>
              <w:jc w:val="center"/>
              <w:rPr>
                <w:rFonts w:ascii="仿宋_GB2312" w:hAnsi="宋体" w:eastAsia="仿宋_GB2312"/>
                <w:snapToGrid w:val="0"/>
                <w:kern w:val="0"/>
                <w:sz w:val="24"/>
                <w:szCs w:val="24"/>
              </w:rPr>
            </w:pP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门</w:t>
            </w:r>
          </w:p>
        </w:tc>
        <w:tc>
          <w:tcPr>
            <w:tcW w:w="2574" w:type="dxa"/>
            <w:vAlign w:val="center"/>
          </w:tcPr>
          <w:p>
            <w:pPr>
              <w:widowControl/>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eastAsia="zh-CN"/>
              </w:rPr>
              <w:t>外铁拉闸门、内不锈钢门</w:t>
            </w:r>
          </w:p>
        </w:tc>
        <w:tc>
          <w:tcPr>
            <w:tcW w:w="2152"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窗</w:t>
            </w:r>
          </w:p>
        </w:tc>
        <w:tc>
          <w:tcPr>
            <w:tcW w:w="2843"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铝合金窗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639" w:type="dxa"/>
            <w:vMerge w:val="restart"/>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设施设备</w:t>
            </w: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水  电</w:t>
            </w:r>
          </w:p>
        </w:tc>
        <w:tc>
          <w:tcPr>
            <w:tcW w:w="2574"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暗设</w:t>
            </w:r>
          </w:p>
        </w:tc>
        <w:tc>
          <w:tcPr>
            <w:tcW w:w="2152"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电  梯</w:t>
            </w:r>
          </w:p>
        </w:tc>
        <w:tc>
          <w:tcPr>
            <w:tcW w:w="2843" w:type="dxa"/>
            <w:vAlign w:val="center"/>
          </w:tcPr>
          <w:p>
            <w:pPr>
              <w:widowControl/>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639" w:type="dxa"/>
            <w:vMerge w:val="continue"/>
            <w:vAlign w:val="center"/>
          </w:tcPr>
          <w:p>
            <w:pPr>
              <w:widowControl/>
              <w:jc w:val="center"/>
              <w:rPr>
                <w:rFonts w:ascii="仿宋_GB2312" w:hAnsi="宋体" w:eastAsia="仿宋_GB2312"/>
                <w:snapToGrid w:val="0"/>
                <w:kern w:val="0"/>
                <w:sz w:val="24"/>
                <w:szCs w:val="24"/>
              </w:rPr>
            </w:pP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煤  气</w:t>
            </w:r>
          </w:p>
        </w:tc>
        <w:tc>
          <w:tcPr>
            <w:tcW w:w="2574"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w:t>
            </w:r>
          </w:p>
        </w:tc>
        <w:tc>
          <w:tcPr>
            <w:tcW w:w="2152"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消  防</w:t>
            </w:r>
          </w:p>
        </w:tc>
        <w:tc>
          <w:tcPr>
            <w:tcW w:w="2843" w:type="dxa"/>
            <w:vAlign w:val="center"/>
          </w:tcPr>
          <w:p>
            <w:pPr>
              <w:widowControl/>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eastAsia="zh-CN"/>
              </w:rPr>
              <w:t>警报铃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639" w:type="dxa"/>
            <w:vMerge w:val="continue"/>
            <w:vAlign w:val="center"/>
          </w:tcPr>
          <w:p>
            <w:pPr>
              <w:widowControl/>
              <w:jc w:val="center"/>
              <w:rPr>
                <w:rFonts w:ascii="仿宋_GB2312" w:hAnsi="宋体" w:eastAsia="仿宋_GB2312"/>
                <w:snapToGrid w:val="0"/>
                <w:kern w:val="0"/>
                <w:sz w:val="24"/>
                <w:szCs w:val="24"/>
              </w:rPr>
            </w:pP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空  调</w:t>
            </w:r>
          </w:p>
        </w:tc>
        <w:tc>
          <w:tcPr>
            <w:tcW w:w="2574"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w:t>
            </w:r>
          </w:p>
        </w:tc>
        <w:tc>
          <w:tcPr>
            <w:tcW w:w="2152"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其它设备</w:t>
            </w:r>
          </w:p>
        </w:tc>
        <w:tc>
          <w:tcPr>
            <w:tcW w:w="2843"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639" w:type="dxa"/>
            <w:vMerge w:val="restart"/>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使用维护</w:t>
            </w: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竣工年月</w:t>
            </w:r>
          </w:p>
        </w:tc>
        <w:tc>
          <w:tcPr>
            <w:tcW w:w="2574"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w:t>
            </w:r>
          </w:p>
        </w:tc>
        <w:tc>
          <w:tcPr>
            <w:tcW w:w="2152"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成新度</w:t>
            </w:r>
          </w:p>
        </w:tc>
        <w:tc>
          <w:tcPr>
            <w:tcW w:w="2843" w:type="dxa"/>
            <w:vAlign w:val="center"/>
          </w:tcPr>
          <w:p>
            <w:pPr>
              <w:widowControl/>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639" w:type="dxa"/>
            <w:vMerge w:val="continue"/>
            <w:vAlign w:val="center"/>
          </w:tcPr>
          <w:p>
            <w:pPr>
              <w:widowControl/>
              <w:jc w:val="center"/>
              <w:rPr>
                <w:rFonts w:ascii="仿宋_GB2312" w:hAnsi="宋体" w:eastAsia="仿宋_GB2312"/>
                <w:snapToGrid w:val="0"/>
                <w:kern w:val="0"/>
                <w:sz w:val="24"/>
                <w:szCs w:val="24"/>
              </w:rPr>
            </w:pP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使用状况</w:t>
            </w:r>
          </w:p>
        </w:tc>
        <w:tc>
          <w:tcPr>
            <w:tcW w:w="7569" w:type="dxa"/>
            <w:gridSpan w:val="3"/>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自用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639" w:type="dxa"/>
            <w:vMerge w:val="continue"/>
            <w:vAlign w:val="center"/>
          </w:tcPr>
          <w:p>
            <w:pPr>
              <w:widowControl/>
              <w:jc w:val="center"/>
              <w:rPr>
                <w:rFonts w:ascii="仿宋_GB2312" w:hAnsi="宋体" w:eastAsia="仿宋_GB2312"/>
                <w:snapToGrid w:val="0"/>
                <w:kern w:val="0"/>
                <w:sz w:val="24"/>
                <w:szCs w:val="24"/>
              </w:rPr>
            </w:pPr>
          </w:p>
        </w:tc>
        <w:tc>
          <w:tcPr>
            <w:tcW w:w="1755" w:type="dxa"/>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维护与保养</w:t>
            </w:r>
          </w:p>
        </w:tc>
        <w:tc>
          <w:tcPr>
            <w:tcW w:w="7569" w:type="dxa"/>
            <w:gridSpan w:val="3"/>
            <w:vAlign w:val="center"/>
          </w:tcPr>
          <w:p>
            <w:pPr>
              <w:widowControl/>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良好</w:t>
            </w:r>
          </w:p>
        </w:tc>
      </w:tr>
    </w:tbl>
    <w:p>
      <w:pPr>
        <w:pStyle w:val="35"/>
        <w:adjustRightInd w:val="0"/>
        <w:snapToGrid w:val="0"/>
        <w:ind w:firstLine="505" w:firstLineChars="150"/>
        <w:rPr>
          <w:rFonts w:ascii="仿宋_GB2312" w:eastAsia="仿宋_GB2312"/>
          <w:snapToGrid w:val="0"/>
          <w:sz w:val="28"/>
          <w:szCs w:val="28"/>
        </w:rPr>
      </w:pPr>
    </w:p>
    <w:p>
      <w:pPr>
        <w:pStyle w:val="35"/>
        <w:adjustRightInd w:val="0"/>
        <w:snapToGrid w:val="0"/>
        <w:ind w:firstLine="505" w:firstLineChars="150"/>
        <w:rPr>
          <w:rFonts w:ascii="仿宋_GB2312" w:eastAsia="仿宋_GB2312"/>
          <w:snapToGrid w:val="0"/>
          <w:sz w:val="28"/>
          <w:szCs w:val="28"/>
        </w:rPr>
      </w:pPr>
      <w:r>
        <w:rPr>
          <w:rFonts w:hint="eastAsia" w:ascii="仿宋_GB2312" w:eastAsia="仿宋_GB2312"/>
          <w:snapToGrid w:val="0"/>
          <w:sz w:val="28"/>
          <w:szCs w:val="28"/>
        </w:rPr>
        <w:t>3. 估价对象权益状况</w:t>
      </w:r>
    </w:p>
    <w:tbl>
      <w:tblPr>
        <w:tblStyle w:val="45"/>
        <w:tblpPr w:leftFromText="180" w:rightFromText="180" w:vertAnchor="text" w:horzAnchor="margin" w:tblpXSpec="center" w:tblpY="3"/>
        <w:tblW w:w="10139" w:type="dxa"/>
        <w:tblInd w:w="0" w:type="dxa"/>
        <w:tblLayout w:type="fixed"/>
        <w:tblCellMar>
          <w:top w:w="0" w:type="dxa"/>
          <w:left w:w="108" w:type="dxa"/>
          <w:bottom w:w="0" w:type="dxa"/>
          <w:right w:w="108" w:type="dxa"/>
        </w:tblCellMar>
      </w:tblPr>
      <w:tblGrid>
        <w:gridCol w:w="2660"/>
        <w:gridCol w:w="2505"/>
        <w:gridCol w:w="2130"/>
        <w:gridCol w:w="2844"/>
      </w:tblGrid>
      <w:tr>
        <w:tblPrEx>
          <w:tblLayout w:type="fixed"/>
          <w:tblCellMar>
            <w:top w:w="0" w:type="dxa"/>
            <w:left w:w="108" w:type="dxa"/>
            <w:bottom w:w="0" w:type="dxa"/>
            <w:right w:w="108" w:type="dxa"/>
          </w:tblCellMar>
        </w:tblPrEx>
        <w:trPr>
          <w:trHeight w:val="472" w:hRule="atLeast"/>
        </w:trPr>
        <w:tc>
          <w:tcPr>
            <w:tcW w:w="2660" w:type="dxa"/>
            <w:tcBorders>
              <w:top w:val="single" w:color="auto" w:sz="4" w:space="0"/>
              <w:left w:val="single" w:color="auto" w:sz="4" w:space="0"/>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估价对象名称</w:t>
            </w:r>
          </w:p>
        </w:tc>
        <w:tc>
          <w:tcPr>
            <w:tcW w:w="7479" w:type="dxa"/>
            <w:gridSpan w:val="3"/>
            <w:tcBorders>
              <w:top w:val="single" w:color="auto" w:sz="4" w:space="0"/>
              <w:left w:val="nil"/>
              <w:bottom w:val="single" w:color="auto" w:sz="4" w:space="0"/>
              <w:right w:val="single" w:color="auto" w:sz="4" w:space="0"/>
            </w:tcBorders>
            <w:vAlign w:val="center"/>
          </w:tcPr>
          <w:p>
            <w:pPr>
              <w:pStyle w:val="23"/>
              <w:tabs>
                <w:tab w:val="left" w:pos="0"/>
              </w:tabs>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eastAsia="zh-CN"/>
              </w:rPr>
              <w:t>汕头市潮阳区谷饶镇谷苑商场A4幢3-7号 坐南向北</w:t>
            </w:r>
          </w:p>
        </w:tc>
      </w:tr>
      <w:tr>
        <w:tblPrEx>
          <w:tblLayout w:type="fixed"/>
          <w:tblCellMar>
            <w:top w:w="0" w:type="dxa"/>
            <w:left w:w="108" w:type="dxa"/>
            <w:bottom w:w="0" w:type="dxa"/>
            <w:right w:w="108" w:type="dxa"/>
          </w:tblCellMar>
        </w:tblPrEx>
        <w:trPr>
          <w:trHeight w:val="472" w:hRule="atLeast"/>
        </w:trPr>
        <w:tc>
          <w:tcPr>
            <w:tcW w:w="2660" w:type="dxa"/>
            <w:tcBorders>
              <w:top w:val="single" w:color="auto" w:sz="4" w:space="0"/>
              <w:left w:val="single" w:color="auto" w:sz="4" w:space="0"/>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估价对象位置</w:t>
            </w:r>
          </w:p>
        </w:tc>
        <w:tc>
          <w:tcPr>
            <w:tcW w:w="7479" w:type="dxa"/>
            <w:gridSpan w:val="3"/>
            <w:tcBorders>
              <w:top w:val="single" w:color="auto" w:sz="4" w:space="0"/>
              <w:left w:val="nil"/>
              <w:bottom w:val="single" w:color="auto" w:sz="4" w:space="0"/>
              <w:right w:val="single" w:color="auto" w:sz="4" w:space="0"/>
            </w:tcBorders>
            <w:vAlign w:val="center"/>
          </w:tcPr>
          <w:p>
            <w:pPr>
              <w:pStyle w:val="23"/>
              <w:tabs>
                <w:tab w:val="left" w:pos="0"/>
              </w:tabs>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eastAsia="zh-CN"/>
              </w:rPr>
              <w:t>汕头市潮阳区谷饶镇谷苑商场A4幢3-7号 坐南向北</w:t>
            </w:r>
          </w:p>
        </w:tc>
      </w:tr>
      <w:tr>
        <w:tblPrEx>
          <w:tblLayout w:type="fixed"/>
          <w:tblCellMar>
            <w:top w:w="0" w:type="dxa"/>
            <w:left w:w="108" w:type="dxa"/>
            <w:bottom w:w="0" w:type="dxa"/>
            <w:right w:w="108" w:type="dxa"/>
          </w:tblCellMar>
        </w:tblPrEx>
        <w:trPr>
          <w:trHeight w:val="472" w:hRule="atLeast"/>
        </w:trPr>
        <w:tc>
          <w:tcPr>
            <w:tcW w:w="2660" w:type="dxa"/>
            <w:tcBorders>
              <w:top w:val="single" w:color="auto" w:sz="4" w:space="0"/>
              <w:left w:val="single" w:color="auto" w:sz="4" w:space="0"/>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房地产权属人</w:t>
            </w:r>
          </w:p>
        </w:tc>
        <w:tc>
          <w:tcPr>
            <w:tcW w:w="7479" w:type="dxa"/>
            <w:gridSpan w:val="3"/>
            <w:tcBorders>
              <w:top w:val="single" w:color="auto" w:sz="4" w:space="0"/>
              <w:left w:val="nil"/>
              <w:bottom w:val="single" w:color="auto" w:sz="4" w:space="0"/>
              <w:right w:val="single" w:color="auto" w:sz="4" w:space="0"/>
            </w:tcBorders>
            <w:vAlign w:val="center"/>
          </w:tcPr>
          <w:p>
            <w:pPr>
              <w:pStyle w:val="23"/>
              <w:tabs>
                <w:tab w:val="left" w:pos="0"/>
              </w:tabs>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eastAsia="zh-CN"/>
              </w:rPr>
              <w:t>张宝生</w:t>
            </w:r>
          </w:p>
        </w:tc>
      </w:tr>
      <w:tr>
        <w:tblPrEx>
          <w:tblLayout w:type="fixed"/>
          <w:tblCellMar>
            <w:top w:w="0" w:type="dxa"/>
            <w:left w:w="108" w:type="dxa"/>
            <w:bottom w:w="0" w:type="dxa"/>
            <w:right w:w="108" w:type="dxa"/>
          </w:tblCellMar>
        </w:tblPrEx>
        <w:trPr>
          <w:trHeight w:val="472" w:hRule="atLeast"/>
        </w:trPr>
        <w:tc>
          <w:tcPr>
            <w:tcW w:w="2660" w:type="dxa"/>
            <w:tcBorders>
              <w:top w:val="single" w:color="auto" w:sz="4" w:space="0"/>
              <w:left w:val="single" w:color="auto" w:sz="4" w:space="0"/>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产权证号</w:t>
            </w:r>
          </w:p>
        </w:tc>
        <w:tc>
          <w:tcPr>
            <w:tcW w:w="7479" w:type="dxa"/>
            <w:gridSpan w:val="3"/>
            <w:tcBorders>
              <w:top w:val="single" w:color="auto" w:sz="4" w:space="0"/>
              <w:left w:val="nil"/>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《房地产权证》</w:t>
            </w:r>
            <w:r>
              <w:rPr>
                <w:rFonts w:hint="eastAsia" w:ascii="仿宋_GB2312" w:hAnsi="宋体" w:eastAsia="仿宋_GB2312"/>
                <w:snapToGrid w:val="0"/>
                <w:kern w:val="0"/>
                <w:sz w:val="24"/>
                <w:szCs w:val="24"/>
                <w:lang w:eastAsia="zh-CN"/>
              </w:rPr>
              <w:t>粤房地证字第C6956883号</w:t>
            </w:r>
          </w:p>
        </w:tc>
      </w:tr>
      <w:tr>
        <w:tblPrEx>
          <w:tblLayout w:type="fixed"/>
          <w:tblCellMar>
            <w:top w:w="0" w:type="dxa"/>
            <w:left w:w="108" w:type="dxa"/>
            <w:bottom w:w="0" w:type="dxa"/>
            <w:right w:w="108" w:type="dxa"/>
          </w:tblCellMar>
        </w:tblPrEx>
        <w:trPr>
          <w:trHeight w:val="472" w:hRule="atLeast"/>
        </w:trPr>
        <w:tc>
          <w:tcPr>
            <w:tcW w:w="2660" w:type="dxa"/>
            <w:tcBorders>
              <w:top w:val="single" w:color="auto" w:sz="4" w:space="0"/>
              <w:left w:val="single" w:color="auto" w:sz="4" w:space="0"/>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地号</w:t>
            </w:r>
          </w:p>
        </w:tc>
        <w:tc>
          <w:tcPr>
            <w:tcW w:w="2505" w:type="dxa"/>
            <w:tcBorders>
              <w:top w:val="single" w:color="auto" w:sz="4" w:space="0"/>
              <w:left w:val="nil"/>
              <w:bottom w:val="single" w:color="auto" w:sz="4" w:space="0"/>
              <w:right w:val="single" w:color="auto" w:sz="4" w:space="0"/>
            </w:tcBorders>
            <w:vAlign w:val="center"/>
          </w:tcPr>
          <w:p>
            <w:pPr>
              <w:pStyle w:val="23"/>
              <w:tabs>
                <w:tab w:val="left" w:pos="0"/>
              </w:tabs>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eastAsia="zh-CN"/>
              </w:rPr>
              <w:t>A00024</w:t>
            </w:r>
          </w:p>
        </w:tc>
        <w:tc>
          <w:tcPr>
            <w:tcW w:w="2130" w:type="dxa"/>
            <w:tcBorders>
              <w:top w:val="single" w:color="auto" w:sz="4" w:space="0"/>
              <w:left w:val="nil"/>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土地使用权类型</w:t>
            </w:r>
          </w:p>
        </w:tc>
        <w:tc>
          <w:tcPr>
            <w:tcW w:w="2844" w:type="dxa"/>
            <w:tcBorders>
              <w:top w:val="single" w:color="auto" w:sz="4" w:space="0"/>
              <w:left w:val="nil"/>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集体</w:t>
            </w:r>
          </w:p>
        </w:tc>
      </w:tr>
      <w:tr>
        <w:tblPrEx>
          <w:tblLayout w:type="fixed"/>
          <w:tblCellMar>
            <w:top w:w="0" w:type="dxa"/>
            <w:left w:w="108" w:type="dxa"/>
            <w:bottom w:w="0" w:type="dxa"/>
            <w:right w:w="108" w:type="dxa"/>
          </w:tblCellMar>
        </w:tblPrEx>
        <w:trPr>
          <w:trHeight w:val="472" w:hRule="atLeast"/>
        </w:trPr>
        <w:tc>
          <w:tcPr>
            <w:tcW w:w="2660" w:type="dxa"/>
            <w:tcBorders>
              <w:top w:val="single" w:color="auto" w:sz="4" w:space="0"/>
              <w:left w:val="single" w:color="auto" w:sz="4" w:space="0"/>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土地用途</w:t>
            </w:r>
          </w:p>
        </w:tc>
        <w:tc>
          <w:tcPr>
            <w:tcW w:w="2505" w:type="dxa"/>
            <w:tcBorders>
              <w:top w:val="single" w:color="auto" w:sz="4" w:space="0"/>
              <w:left w:val="nil"/>
              <w:bottom w:val="single" w:color="auto" w:sz="4" w:space="0"/>
              <w:right w:val="single" w:color="auto" w:sz="4" w:space="0"/>
            </w:tcBorders>
            <w:vAlign w:val="center"/>
          </w:tcPr>
          <w:p>
            <w:pPr>
              <w:pStyle w:val="23"/>
              <w:tabs>
                <w:tab w:val="left" w:pos="0"/>
              </w:tabs>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eastAsia="zh-CN"/>
              </w:rPr>
              <w:t>——</w:t>
            </w:r>
          </w:p>
        </w:tc>
        <w:tc>
          <w:tcPr>
            <w:tcW w:w="2130" w:type="dxa"/>
            <w:tcBorders>
              <w:top w:val="single" w:color="auto" w:sz="4" w:space="0"/>
              <w:left w:val="nil"/>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房屋用途</w:t>
            </w:r>
          </w:p>
        </w:tc>
        <w:tc>
          <w:tcPr>
            <w:tcW w:w="2844" w:type="dxa"/>
            <w:tcBorders>
              <w:top w:val="single" w:color="auto" w:sz="4" w:space="0"/>
              <w:left w:val="nil"/>
              <w:bottom w:val="single" w:color="auto" w:sz="4" w:space="0"/>
              <w:right w:val="single" w:color="auto" w:sz="4" w:space="0"/>
            </w:tcBorders>
            <w:vAlign w:val="center"/>
          </w:tcPr>
          <w:p>
            <w:pPr>
              <w:pStyle w:val="23"/>
              <w:tabs>
                <w:tab w:val="left" w:pos="0"/>
              </w:tabs>
              <w:jc w:val="center"/>
              <w:rPr>
                <w:rFonts w:hint="eastAsia" w:ascii="仿宋_GB2312" w:hAnsi="宋体" w:eastAsia="仿宋_GB2312"/>
                <w:snapToGrid w:val="0"/>
                <w:kern w:val="0"/>
                <w:sz w:val="24"/>
                <w:szCs w:val="24"/>
                <w:lang w:eastAsia="zh-CN"/>
              </w:rPr>
            </w:pPr>
            <w:r>
              <w:rPr>
                <w:rFonts w:hint="eastAsia" w:ascii="仿宋_GB2312" w:hAnsi="宋体" w:eastAsia="仿宋_GB2312" w:cs="宋体"/>
                <w:snapToGrid w:val="0"/>
                <w:kern w:val="0"/>
                <w:sz w:val="24"/>
                <w:szCs w:val="24"/>
                <w:lang w:eastAsia="zh-CN"/>
              </w:rPr>
              <w:t>住宅</w:t>
            </w:r>
          </w:p>
        </w:tc>
      </w:tr>
      <w:tr>
        <w:tblPrEx>
          <w:tblLayout w:type="fixed"/>
          <w:tblCellMar>
            <w:top w:w="0" w:type="dxa"/>
            <w:left w:w="108" w:type="dxa"/>
            <w:bottom w:w="0" w:type="dxa"/>
            <w:right w:w="108" w:type="dxa"/>
          </w:tblCellMar>
        </w:tblPrEx>
        <w:trPr>
          <w:trHeight w:val="472" w:hRule="atLeast"/>
        </w:trPr>
        <w:tc>
          <w:tcPr>
            <w:tcW w:w="2660" w:type="dxa"/>
            <w:tcBorders>
              <w:top w:val="single" w:color="auto" w:sz="4" w:space="0"/>
              <w:left w:val="single" w:color="auto" w:sz="4" w:space="0"/>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CN"/>
              </w:rPr>
              <w:t>自用</w:t>
            </w:r>
            <w:r>
              <w:rPr>
                <w:rFonts w:hint="eastAsia" w:ascii="仿宋_GB2312" w:hAnsi="宋体" w:eastAsia="仿宋_GB2312"/>
                <w:snapToGrid w:val="0"/>
                <w:kern w:val="0"/>
                <w:sz w:val="24"/>
                <w:szCs w:val="24"/>
              </w:rPr>
              <w:t>面积</w:t>
            </w:r>
          </w:p>
        </w:tc>
        <w:tc>
          <w:tcPr>
            <w:tcW w:w="2505" w:type="dxa"/>
            <w:tcBorders>
              <w:top w:val="single" w:color="auto" w:sz="4" w:space="0"/>
              <w:left w:val="nil"/>
              <w:bottom w:val="single" w:color="auto" w:sz="4" w:space="0"/>
              <w:right w:val="single" w:color="auto" w:sz="4" w:space="0"/>
            </w:tcBorders>
            <w:vAlign w:val="center"/>
          </w:tcPr>
          <w:p>
            <w:pPr>
              <w:pStyle w:val="23"/>
              <w:tabs>
                <w:tab w:val="left" w:pos="0"/>
              </w:tabs>
              <w:jc w:val="center"/>
              <w:rPr>
                <w:rFonts w:hint="eastAsia" w:hAnsi="宋体" w:eastAsia="宋体" w:cs="宋体"/>
                <w:snapToGrid w:val="0"/>
                <w:kern w:val="0"/>
                <w:sz w:val="24"/>
                <w:szCs w:val="24"/>
                <w:lang w:eastAsia="zh-CN"/>
              </w:rPr>
            </w:pPr>
            <w:r>
              <w:rPr>
                <w:rFonts w:hint="eastAsia" w:ascii="仿宋_GB2312" w:hAnsi="宋体" w:eastAsia="仿宋_GB2312"/>
                <w:snapToGrid w:val="0"/>
                <w:kern w:val="0"/>
                <w:sz w:val="24"/>
                <w:szCs w:val="24"/>
                <w:lang w:eastAsia="zh-CN"/>
              </w:rPr>
              <w:t>256.25㎡</w:t>
            </w:r>
          </w:p>
        </w:tc>
        <w:tc>
          <w:tcPr>
            <w:tcW w:w="2130" w:type="dxa"/>
            <w:tcBorders>
              <w:top w:val="single" w:color="auto" w:sz="4" w:space="0"/>
              <w:left w:val="nil"/>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分摊面积</w:t>
            </w:r>
          </w:p>
        </w:tc>
        <w:tc>
          <w:tcPr>
            <w:tcW w:w="2844" w:type="dxa"/>
            <w:tcBorders>
              <w:top w:val="single" w:color="auto" w:sz="4" w:space="0"/>
              <w:left w:val="nil"/>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w:t>
            </w:r>
          </w:p>
        </w:tc>
      </w:tr>
      <w:tr>
        <w:tblPrEx>
          <w:tblLayout w:type="fixed"/>
          <w:tblCellMar>
            <w:top w:w="0" w:type="dxa"/>
            <w:left w:w="108" w:type="dxa"/>
            <w:bottom w:w="0" w:type="dxa"/>
            <w:right w:w="108" w:type="dxa"/>
          </w:tblCellMar>
        </w:tblPrEx>
        <w:trPr>
          <w:trHeight w:val="472" w:hRule="atLeast"/>
        </w:trPr>
        <w:tc>
          <w:tcPr>
            <w:tcW w:w="2660" w:type="dxa"/>
            <w:tcBorders>
              <w:top w:val="single" w:color="auto" w:sz="4" w:space="0"/>
              <w:left w:val="single" w:color="auto" w:sz="4" w:space="0"/>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土地使用权取得方式</w:t>
            </w:r>
          </w:p>
        </w:tc>
        <w:tc>
          <w:tcPr>
            <w:tcW w:w="2505" w:type="dxa"/>
            <w:tcBorders>
              <w:top w:val="single" w:color="auto" w:sz="4" w:space="0"/>
              <w:left w:val="nil"/>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批准拨用</w:t>
            </w:r>
          </w:p>
        </w:tc>
        <w:tc>
          <w:tcPr>
            <w:tcW w:w="2130" w:type="dxa"/>
            <w:tcBorders>
              <w:top w:val="single" w:color="auto" w:sz="4" w:space="0"/>
              <w:left w:val="nil"/>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竣工日期</w:t>
            </w:r>
          </w:p>
        </w:tc>
        <w:tc>
          <w:tcPr>
            <w:tcW w:w="2844" w:type="dxa"/>
            <w:tcBorders>
              <w:top w:val="single" w:color="auto" w:sz="4" w:space="0"/>
              <w:left w:val="nil"/>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w:t>
            </w:r>
          </w:p>
        </w:tc>
      </w:tr>
      <w:tr>
        <w:tblPrEx>
          <w:tblLayout w:type="fixed"/>
          <w:tblCellMar>
            <w:top w:w="0" w:type="dxa"/>
            <w:left w:w="108" w:type="dxa"/>
            <w:bottom w:w="0" w:type="dxa"/>
            <w:right w:w="108" w:type="dxa"/>
          </w:tblCellMar>
        </w:tblPrEx>
        <w:trPr>
          <w:trHeight w:val="472" w:hRule="atLeast"/>
        </w:trPr>
        <w:tc>
          <w:tcPr>
            <w:tcW w:w="2660" w:type="dxa"/>
            <w:tcBorders>
              <w:top w:val="single" w:color="auto" w:sz="4" w:space="0"/>
              <w:left w:val="single" w:color="auto" w:sz="4" w:space="0"/>
              <w:bottom w:val="single" w:color="auto" w:sz="4" w:space="0"/>
              <w:right w:val="single" w:color="auto" w:sz="4" w:space="0"/>
            </w:tcBorders>
            <w:vAlign w:val="center"/>
          </w:tcPr>
          <w:p>
            <w:pPr>
              <w:pStyle w:val="23"/>
              <w:tabs>
                <w:tab w:val="left" w:pos="0"/>
              </w:tabs>
              <w:jc w:val="center"/>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CN"/>
              </w:rPr>
              <w:t>产权证登记</w:t>
            </w:r>
            <w:r>
              <w:rPr>
                <w:rFonts w:hint="eastAsia" w:ascii="仿宋_GB2312" w:hAnsi="宋体" w:eastAsia="仿宋_GB2312"/>
                <w:snapToGrid w:val="0"/>
                <w:kern w:val="0"/>
                <w:sz w:val="24"/>
                <w:szCs w:val="24"/>
              </w:rPr>
              <w:t>日期</w:t>
            </w:r>
          </w:p>
        </w:tc>
        <w:tc>
          <w:tcPr>
            <w:tcW w:w="7479" w:type="dxa"/>
            <w:gridSpan w:val="3"/>
            <w:tcBorders>
              <w:top w:val="single" w:color="auto" w:sz="4" w:space="0"/>
              <w:left w:val="nil"/>
              <w:bottom w:val="single" w:color="auto" w:sz="4" w:space="0"/>
              <w:right w:val="single" w:color="auto" w:sz="4" w:space="0"/>
            </w:tcBorders>
            <w:vAlign w:val="center"/>
          </w:tcPr>
          <w:p>
            <w:pPr>
              <w:pStyle w:val="23"/>
              <w:tabs>
                <w:tab w:val="left" w:pos="0"/>
              </w:tabs>
              <w:jc w:val="center"/>
              <w:rPr>
                <w:rFonts w:hint="eastAsia" w:ascii="仿宋_GB2312" w:hAnsi="宋体" w:eastAsia="仿宋_GB2312"/>
                <w:snapToGrid w:val="0"/>
                <w:kern w:val="0"/>
                <w:sz w:val="24"/>
                <w:szCs w:val="24"/>
                <w:lang w:eastAsia="zh-CN"/>
              </w:rPr>
            </w:pPr>
            <w:r>
              <w:rPr>
                <w:rFonts w:hint="eastAsia" w:ascii="仿宋_GB2312" w:hAnsi="宋体" w:eastAsia="仿宋_GB2312"/>
                <w:snapToGrid w:val="0"/>
                <w:kern w:val="0"/>
                <w:sz w:val="24"/>
                <w:szCs w:val="24"/>
                <w:lang w:val="en-US" w:eastAsia="zh-CN"/>
              </w:rPr>
              <w:t>2009年11月15日</w:t>
            </w:r>
          </w:p>
        </w:tc>
      </w:tr>
    </w:tbl>
    <w:p>
      <w:pPr>
        <w:pStyle w:val="3"/>
        <w:snapToGrid w:val="0"/>
        <w:spacing w:before="240" w:after="0" w:line="360" w:lineRule="auto"/>
        <w:rPr>
          <w:snapToGrid w:val="0"/>
          <w:kern w:val="0"/>
          <w:sz w:val="30"/>
          <w:szCs w:val="30"/>
        </w:rPr>
      </w:pPr>
      <w:bookmarkStart w:id="33" w:name="_Toc17377"/>
      <w:r>
        <w:rPr>
          <w:rFonts w:hint="eastAsia"/>
          <w:snapToGrid w:val="0"/>
          <w:kern w:val="0"/>
          <w:sz w:val="30"/>
          <w:szCs w:val="30"/>
        </w:rPr>
        <w:t>（二）区域因素分析</w:t>
      </w:r>
      <w:bookmarkEnd w:id="33"/>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汕头市位于广东省的东南北部，韩江三角洲的南端，北接潮州市，东南北濒临南海，西邻揭阳市，素有“华南要冲，岭南门户”之美称，是我国南方美丽的港口城市，全国五大经济特区之一，也是全国著名的侨乡。汕头市辖金平区、龙湖区、濠江区、潮阳区、潮南区和澄海区六个区和南澳县。全市总面积2064.4平方公里，总人口484.64万人，海岸线长289.10公里。汕头市先后被评为“中国优秀旅游城市”、“全国双拥模范城市”和“国家卫生城市”等称号。</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潮阳区</w:t>
      </w:r>
      <w:r>
        <w:rPr>
          <w:rFonts w:ascii="仿宋_GB2312" w:eastAsia="仿宋_GB2312"/>
          <w:snapToGrid w:val="0"/>
          <w:kern w:val="0"/>
          <w:sz w:val="28"/>
          <w:szCs w:val="28"/>
        </w:rPr>
        <w:t>位于广东省东南部，濒临南海，东北连汕头，西接</w:t>
      </w:r>
      <w:r>
        <w:fldChar w:fldCharType="begin"/>
      </w:r>
      <w:r>
        <w:instrText xml:space="preserve"> HYPERLINK "http://baike.sogou.com/lemma/ShowInnerLink.htm?lemmaId=56163&amp;ss_c=ssc.citiao.link" \t "_blank" </w:instrText>
      </w:r>
      <w:r>
        <w:fldChar w:fldCharType="separate"/>
      </w:r>
      <w:r>
        <w:rPr>
          <w:rFonts w:ascii="仿宋_GB2312" w:eastAsia="仿宋_GB2312"/>
          <w:snapToGrid w:val="0"/>
          <w:kern w:val="0"/>
          <w:sz w:val="28"/>
          <w:szCs w:val="28"/>
        </w:rPr>
        <w:t>普宁</w:t>
      </w:r>
      <w:r>
        <w:rPr>
          <w:rFonts w:ascii="仿宋_GB2312" w:eastAsia="仿宋_GB2312"/>
          <w:snapToGrid w:val="0"/>
          <w:kern w:val="0"/>
          <w:sz w:val="28"/>
          <w:szCs w:val="28"/>
        </w:rPr>
        <w:fldChar w:fldCharType="end"/>
      </w:r>
      <w:r>
        <w:rPr>
          <w:rFonts w:ascii="仿宋_GB2312" w:eastAsia="仿宋_GB2312"/>
          <w:snapToGrid w:val="0"/>
          <w:kern w:val="0"/>
          <w:sz w:val="28"/>
          <w:szCs w:val="28"/>
        </w:rPr>
        <w:t>，南邻</w:t>
      </w:r>
      <w:r>
        <w:fldChar w:fldCharType="begin"/>
      </w:r>
      <w:r>
        <w:instrText xml:space="preserve"> HYPERLINK "http://baike.sogou.com/lemma/ShowInnerLink.htm?lemmaId=124151&amp;ss_c=ssc.citiao.link" \t "_blank" </w:instrText>
      </w:r>
      <w:r>
        <w:fldChar w:fldCharType="separate"/>
      </w:r>
      <w:r>
        <w:rPr>
          <w:rFonts w:ascii="仿宋_GB2312" w:eastAsia="仿宋_GB2312"/>
          <w:snapToGrid w:val="0"/>
          <w:kern w:val="0"/>
          <w:sz w:val="28"/>
          <w:szCs w:val="28"/>
        </w:rPr>
        <w:t>惠来</w:t>
      </w:r>
      <w:r>
        <w:rPr>
          <w:rFonts w:ascii="仿宋_GB2312" w:eastAsia="仿宋_GB2312"/>
          <w:snapToGrid w:val="0"/>
          <w:kern w:val="0"/>
          <w:sz w:val="28"/>
          <w:szCs w:val="28"/>
        </w:rPr>
        <w:fldChar w:fldCharType="end"/>
      </w:r>
      <w:r>
        <w:rPr>
          <w:rFonts w:ascii="仿宋_GB2312" w:eastAsia="仿宋_GB2312"/>
          <w:snapToGrid w:val="0"/>
          <w:kern w:val="0"/>
          <w:sz w:val="28"/>
          <w:szCs w:val="28"/>
        </w:rPr>
        <w:t>，北界</w:t>
      </w:r>
      <w:r>
        <w:fldChar w:fldCharType="begin"/>
      </w:r>
      <w:r>
        <w:instrText xml:space="preserve"> HYPERLINK "http://baike.sogou.com/lemma/ShowInnerLink.htm?lemmaId=52640&amp;ss_c=ssc.citiao.link" \t "_blank" </w:instrText>
      </w:r>
      <w:r>
        <w:fldChar w:fldCharType="separate"/>
      </w:r>
      <w:r>
        <w:rPr>
          <w:rFonts w:ascii="仿宋_GB2312" w:eastAsia="仿宋_GB2312"/>
          <w:snapToGrid w:val="0"/>
          <w:kern w:val="0"/>
          <w:sz w:val="28"/>
          <w:szCs w:val="28"/>
        </w:rPr>
        <w:t>揭东</w:t>
      </w:r>
      <w:r>
        <w:rPr>
          <w:rFonts w:ascii="仿宋_GB2312" w:eastAsia="仿宋_GB2312"/>
          <w:snapToGrid w:val="0"/>
          <w:kern w:val="0"/>
          <w:sz w:val="28"/>
          <w:szCs w:val="28"/>
        </w:rPr>
        <w:fldChar w:fldCharType="end"/>
      </w:r>
      <w:r>
        <w:rPr>
          <w:rFonts w:hint="eastAsia" w:ascii="仿宋_GB2312" w:eastAsia="仿宋_GB2312"/>
          <w:snapToGrid w:val="0"/>
          <w:kern w:val="0"/>
          <w:sz w:val="28"/>
          <w:szCs w:val="28"/>
        </w:rPr>
        <w:t>。</w:t>
      </w:r>
      <w:r>
        <w:rPr>
          <w:rFonts w:ascii="仿宋_GB2312" w:eastAsia="仿宋_GB2312"/>
          <w:snapToGrid w:val="0"/>
          <w:kern w:val="0"/>
          <w:sz w:val="28"/>
          <w:szCs w:val="28"/>
        </w:rPr>
        <w:t>总面积647.67平方公里，下辖4个街道、9个镇，272个村（社区），总人口约175万（2015年）。潮阳文物名胜众多，是汕头市旅游景点最多的区，区内现有古迹和旅游景点100多处，属省重点</w:t>
      </w:r>
      <w:r>
        <w:fldChar w:fldCharType="begin"/>
      </w:r>
      <w:r>
        <w:instrText xml:space="preserve"> HYPERLINK "http://baike.sogou.com/lemma/ShowInnerLink.htm?lemmaId=190932&amp;ss_c=ssc.citiao.link" \t "_blank" </w:instrText>
      </w:r>
      <w:r>
        <w:fldChar w:fldCharType="separate"/>
      </w:r>
      <w:r>
        <w:rPr>
          <w:rFonts w:ascii="仿宋_GB2312" w:eastAsia="仿宋_GB2312"/>
          <w:snapToGrid w:val="0"/>
          <w:kern w:val="0"/>
          <w:sz w:val="28"/>
          <w:szCs w:val="28"/>
        </w:rPr>
        <w:t>文物保护单位</w:t>
      </w:r>
      <w:r>
        <w:rPr>
          <w:rFonts w:ascii="仿宋_GB2312" w:eastAsia="仿宋_GB2312"/>
          <w:snapToGrid w:val="0"/>
          <w:kern w:val="0"/>
          <w:sz w:val="28"/>
          <w:szCs w:val="28"/>
        </w:rPr>
        <w:fldChar w:fldCharType="end"/>
      </w:r>
      <w:r>
        <w:rPr>
          <w:rFonts w:ascii="仿宋_GB2312" w:eastAsia="仿宋_GB2312"/>
          <w:snapToGrid w:val="0"/>
          <w:kern w:val="0"/>
          <w:sz w:val="28"/>
          <w:szCs w:val="28"/>
        </w:rPr>
        <w:t>4处</w:t>
      </w:r>
      <w:r>
        <w:rPr>
          <w:rFonts w:hint="eastAsia" w:ascii="仿宋_GB2312" w:eastAsia="仿宋_GB2312"/>
          <w:snapToGrid w:val="0"/>
          <w:kern w:val="0"/>
          <w:sz w:val="28"/>
          <w:szCs w:val="28"/>
        </w:rPr>
        <w:t>。</w:t>
      </w:r>
      <w:r>
        <w:rPr>
          <w:rFonts w:ascii="仿宋_GB2312" w:eastAsia="仿宋_GB2312"/>
          <w:snapToGrid w:val="0"/>
          <w:kern w:val="0"/>
          <w:sz w:val="28"/>
          <w:szCs w:val="28"/>
        </w:rPr>
        <w:t>民营工业已初步形成纺织服装、音像制品、纸品文具、机电制造和建筑安装等支柱产业。拥有</w:t>
      </w:r>
      <w:r>
        <w:fldChar w:fldCharType="begin"/>
      </w:r>
      <w:r>
        <w:instrText xml:space="preserve"> HYPERLINK "http://baike.sogou.com/lemma/ShowInnerLink.htm?lemmaId=210254&amp;ss_c=ssc.citiao.link" \t "_blank" </w:instrText>
      </w:r>
      <w:r>
        <w:fldChar w:fldCharType="separate"/>
      </w:r>
      <w:r>
        <w:rPr>
          <w:rFonts w:ascii="仿宋_GB2312" w:eastAsia="仿宋_GB2312"/>
          <w:snapToGrid w:val="0"/>
          <w:kern w:val="0"/>
          <w:sz w:val="28"/>
          <w:szCs w:val="28"/>
        </w:rPr>
        <w:t>谷饶</w:t>
      </w:r>
      <w:r>
        <w:rPr>
          <w:rFonts w:ascii="仿宋_GB2312" w:eastAsia="仿宋_GB2312"/>
          <w:snapToGrid w:val="0"/>
          <w:kern w:val="0"/>
          <w:sz w:val="28"/>
          <w:szCs w:val="28"/>
        </w:rPr>
        <w:fldChar w:fldCharType="end"/>
      </w:r>
      <w:r>
        <w:rPr>
          <w:rFonts w:ascii="仿宋_GB2312" w:eastAsia="仿宋_GB2312"/>
          <w:snapToGrid w:val="0"/>
          <w:kern w:val="0"/>
          <w:sz w:val="28"/>
          <w:szCs w:val="28"/>
        </w:rPr>
        <w:t>纺织服装、和平音像制品、贵屿废旧机电产品拆解利用等产业集群，</w:t>
      </w:r>
      <w:r>
        <w:fldChar w:fldCharType="begin"/>
      </w:r>
      <w:r>
        <w:instrText xml:space="preserve"> HYPERLINK "http://baike.sogou.com/lemma/ShowInnerLink.htm?lemmaId=210254&amp;ss_c=ssc.citiao.link" \t "_blank" </w:instrText>
      </w:r>
      <w:r>
        <w:fldChar w:fldCharType="separate"/>
      </w:r>
      <w:r>
        <w:rPr>
          <w:rFonts w:ascii="仿宋_GB2312" w:eastAsia="仿宋_GB2312"/>
          <w:snapToGrid w:val="0"/>
          <w:kern w:val="0"/>
          <w:sz w:val="28"/>
          <w:szCs w:val="28"/>
        </w:rPr>
        <w:t>谷饶镇</w:t>
      </w:r>
      <w:r>
        <w:rPr>
          <w:rFonts w:ascii="仿宋_GB2312" w:eastAsia="仿宋_GB2312"/>
          <w:snapToGrid w:val="0"/>
          <w:kern w:val="0"/>
          <w:sz w:val="28"/>
          <w:szCs w:val="28"/>
        </w:rPr>
        <w:fldChar w:fldCharType="end"/>
      </w:r>
      <w:r>
        <w:rPr>
          <w:rFonts w:ascii="仿宋_GB2312" w:eastAsia="仿宋_GB2312"/>
          <w:snapToGrid w:val="0"/>
          <w:kern w:val="0"/>
          <w:sz w:val="28"/>
          <w:szCs w:val="28"/>
        </w:rPr>
        <w:t>被</w:t>
      </w:r>
      <w:r>
        <w:fldChar w:fldCharType="begin"/>
      </w:r>
      <w:r>
        <w:instrText xml:space="preserve"> HYPERLINK "http://baike.sogou.com/lemma/ShowInnerLink.htm?lemmaId=6857767&amp;ss_c=ssc.citiao.link" \t "_blank" </w:instrText>
      </w:r>
      <w:r>
        <w:fldChar w:fldCharType="separate"/>
      </w:r>
      <w:r>
        <w:rPr>
          <w:rFonts w:ascii="仿宋_GB2312" w:eastAsia="仿宋_GB2312"/>
          <w:snapToGrid w:val="0"/>
          <w:kern w:val="0"/>
          <w:sz w:val="28"/>
          <w:szCs w:val="28"/>
        </w:rPr>
        <w:t>中国纺织工业协会</w:t>
      </w:r>
      <w:r>
        <w:rPr>
          <w:rFonts w:ascii="仿宋_GB2312" w:eastAsia="仿宋_GB2312"/>
          <w:snapToGrid w:val="0"/>
          <w:kern w:val="0"/>
          <w:sz w:val="28"/>
          <w:szCs w:val="28"/>
        </w:rPr>
        <w:fldChar w:fldCharType="end"/>
      </w:r>
      <w:r>
        <w:rPr>
          <w:rFonts w:ascii="仿宋_GB2312" w:eastAsia="仿宋_GB2312"/>
          <w:snapToGrid w:val="0"/>
          <w:kern w:val="0"/>
          <w:sz w:val="28"/>
          <w:szCs w:val="28"/>
        </w:rPr>
        <w:t>命名为“中国针织内衣名镇”，和平镇是中国CD-R光盘主要生产基地，</w:t>
      </w:r>
      <w:r>
        <w:fldChar w:fldCharType="begin"/>
      </w:r>
      <w:r>
        <w:instrText xml:space="preserve"> HYPERLINK "http://baike.sogou.com/lemma/ShowInnerLink.htm?lemmaId=362560&amp;ss_c=ssc.citiao.link" \t "_blank" </w:instrText>
      </w:r>
      <w:r>
        <w:fldChar w:fldCharType="separate"/>
      </w:r>
      <w:r>
        <w:rPr>
          <w:rFonts w:ascii="仿宋_GB2312" w:eastAsia="仿宋_GB2312"/>
          <w:snapToGrid w:val="0"/>
          <w:kern w:val="0"/>
          <w:sz w:val="28"/>
          <w:szCs w:val="28"/>
        </w:rPr>
        <w:t>贵屿镇</w:t>
      </w:r>
      <w:r>
        <w:rPr>
          <w:rFonts w:ascii="仿宋_GB2312" w:eastAsia="仿宋_GB2312"/>
          <w:snapToGrid w:val="0"/>
          <w:kern w:val="0"/>
          <w:sz w:val="28"/>
          <w:szCs w:val="28"/>
        </w:rPr>
        <w:fldChar w:fldCharType="end"/>
      </w:r>
      <w:r>
        <w:rPr>
          <w:rFonts w:ascii="仿宋_GB2312" w:eastAsia="仿宋_GB2312"/>
          <w:snapToGrid w:val="0"/>
          <w:kern w:val="0"/>
          <w:sz w:val="28"/>
          <w:szCs w:val="28"/>
        </w:rPr>
        <w:t>是中国最大的废弃机电产品拆解利用基地和</w:t>
      </w:r>
      <w:r>
        <w:fldChar w:fldCharType="begin"/>
      </w:r>
      <w:r>
        <w:instrText xml:space="preserve"> HYPERLINK "http://baike.sogou.com/lemma/ShowInnerLink.htm?lemmaId=100108595&amp;ss_c=ssc.citiao.link" \t "_blank" </w:instrText>
      </w:r>
      <w:r>
        <w:fldChar w:fldCharType="separate"/>
      </w:r>
      <w:r>
        <w:rPr>
          <w:rFonts w:ascii="仿宋_GB2312" w:eastAsia="仿宋_GB2312"/>
          <w:snapToGrid w:val="0"/>
          <w:kern w:val="0"/>
          <w:sz w:val="28"/>
          <w:szCs w:val="28"/>
        </w:rPr>
        <w:t>中国循环经济</w:t>
      </w:r>
      <w:r>
        <w:rPr>
          <w:rFonts w:ascii="仿宋_GB2312" w:eastAsia="仿宋_GB2312"/>
          <w:snapToGrid w:val="0"/>
          <w:kern w:val="0"/>
          <w:sz w:val="28"/>
          <w:szCs w:val="28"/>
        </w:rPr>
        <w:fldChar w:fldCharType="end"/>
      </w:r>
      <w:r>
        <w:rPr>
          <w:rFonts w:ascii="仿宋_GB2312" w:eastAsia="仿宋_GB2312"/>
          <w:snapToGrid w:val="0"/>
          <w:kern w:val="0"/>
          <w:sz w:val="28"/>
          <w:szCs w:val="28"/>
        </w:rPr>
        <w:t>试验基地唯一镇级试点单位</w:t>
      </w:r>
      <w:r>
        <w:rPr>
          <w:rFonts w:hint="eastAsia" w:ascii="仿宋_GB2312" w:eastAsia="仿宋_GB2312"/>
          <w:snapToGrid w:val="0"/>
          <w:kern w:val="0"/>
          <w:sz w:val="28"/>
          <w:szCs w:val="28"/>
        </w:rPr>
        <w:t>。</w:t>
      </w:r>
    </w:p>
    <w:p>
      <w:pPr>
        <w:pStyle w:val="3"/>
        <w:snapToGrid w:val="0"/>
        <w:spacing w:before="240" w:after="0" w:line="360" w:lineRule="auto"/>
        <w:rPr>
          <w:snapToGrid w:val="0"/>
          <w:kern w:val="0"/>
          <w:sz w:val="30"/>
          <w:szCs w:val="30"/>
        </w:rPr>
      </w:pPr>
      <w:bookmarkStart w:id="34" w:name="_Toc12699"/>
      <w:r>
        <w:rPr>
          <w:rFonts w:hint="eastAsia"/>
          <w:snapToGrid w:val="0"/>
          <w:kern w:val="0"/>
          <w:sz w:val="30"/>
          <w:szCs w:val="30"/>
        </w:rPr>
        <w:t>（三）市场背景分析</w:t>
      </w:r>
      <w:bookmarkEnd w:id="34"/>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回首2018，这一年的楼市从上至下，经过了平淡的上半年，熬过了成色不足的金九银十，来到12月份，汕头绿地中心、荷悦里、充耀号的开盘，才让人意识到购房者的厚积薄发，不是市场太冷淡，而是购房更理性了。这一年，房贷利率经历了上涨又在年底回落，公积金放款慢，提取难度加大，大力度推行公转商贴息贷款，这无疑也让购房者更加慎重考虑当下置业的时机是否合适。那么，2018年汕头楼市的成交情况究竟如何？哪一些房企在这低迷当中依旧能够逆势成交？汕头房天下2018年终白皮书之成交篇将用数字为您解读汕头楼市。</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据汕头房天下数据监控中心统计，截至12月31日，汕头市（金平区、龙湖区、濠江区、澄海区、潮阳区、南澳县、潮南区）2018年1-12月有成交记录的项目共有290个，共成交37291套，总成交面积358.7万平方米，成交总金额</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kern w:val="0"/>
          <w:sz w:val="28"/>
          <w:szCs w:val="28"/>
        </w:rPr>
        <w:drawing>
          <wp:anchor distT="0" distB="0" distL="114300" distR="114300" simplePos="0" relativeHeight="251671552" behindDoc="1" locked="0" layoutInCell="1" allowOverlap="1">
            <wp:simplePos x="0" y="0"/>
            <wp:positionH relativeFrom="column">
              <wp:posOffset>1209675</wp:posOffset>
            </wp:positionH>
            <wp:positionV relativeFrom="paragraph">
              <wp:posOffset>635000</wp:posOffset>
            </wp:positionV>
            <wp:extent cx="4210050" cy="3820795"/>
            <wp:effectExtent l="0" t="0" r="0" b="8255"/>
            <wp:wrapNone/>
            <wp:docPr id="6" name="图片 6" descr="C:\Documents and Settings\Administrator\桌面\搜狗截图19年01月21日16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Documents and Settings\Administrator\桌面\搜狗截图19年01月21日1601_1.png"/>
                    <pic:cNvPicPr>
                      <a:picLocks noChangeAspect="1" noChangeArrowheads="1"/>
                    </pic:cNvPicPr>
                  </pic:nvPicPr>
                  <pic:blipFill>
                    <a:blip r:embed="rId16" cstate="print"/>
                    <a:srcRect/>
                    <a:stretch>
                      <a:fillRect/>
                    </a:stretch>
                  </pic:blipFill>
                  <pic:spPr>
                    <a:xfrm>
                      <a:off x="0" y="0"/>
                      <a:ext cx="4210050" cy="3820795"/>
                    </a:xfrm>
                    <a:prstGeom prst="rect">
                      <a:avLst/>
                    </a:prstGeom>
                    <a:noFill/>
                    <a:ln w="9525">
                      <a:noFill/>
                      <a:miter lim="800000"/>
                      <a:headEnd/>
                      <a:tailEnd/>
                    </a:ln>
                    <a:effectLst/>
                  </pic:spPr>
                </pic:pic>
              </a:graphicData>
            </a:graphic>
          </wp:anchor>
        </w:drawing>
      </w:r>
      <w:r>
        <w:rPr>
          <w:rFonts w:hint="eastAsia" w:ascii="仿宋_GB2312" w:eastAsia="仿宋_GB2312"/>
          <w:snapToGrid w:val="0"/>
          <w:kern w:val="0"/>
          <w:sz w:val="28"/>
          <w:szCs w:val="28"/>
        </w:rPr>
        <w:t>达349.17亿元，同比2017同期成交59519套的数据下跌37.3%。2018年，汕头楼市在“房子是用来住的”主基调下回归理性，市场在一片稳定中收官！</w:t>
      </w:r>
    </w:p>
    <w:p>
      <w:pPr>
        <w:tabs>
          <w:tab w:val="left" w:pos="0"/>
        </w:tabs>
        <w:adjustRightInd w:val="0"/>
        <w:snapToGrid w:val="0"/>
        <w:spacing w:line="360" w:lineRule="auto"/>
        <w:ind w:firstLine="480"/>
        <w:rPr>
          <w:rFonts w:ascii="仿宋_GB2312" w:eastAsia="仿宋_GB2312"/>
          <w:snapToGrid w:val="0"/>
          <w:kern w:val="0"/>
          <w:sz w:val="28"/>
          <w:szCs w:val="28"/>
        </w:rPr>
      </w:pPr>
    </w:p>
    <w:p>
      <w:pPr>
        <w:tabs>
          <w:tab w:val="left" w:pos="0"/>
        </w:tabs>
        <w:adjustRightInd w:val="0"/>
        <w:snapToGrid w:val="0"/>
        <w:spacing w:line="360" w:lineRule="auto"/>
        <w:ind w:firstLine="480"/>
        <w:rPr>
          <w:rFonts w:ascii="仿宋_GB2312" w:eastAsia="仿宋_GB2312"/>
          <w:snapToGrid w:val="0"/>
          <w:kern w:val="0"/>
          <w:sz w:val="28"/>
          <w:szCs w:val="28"/>
        </w:rPr>
      </w:pPr>
    </w:p>
    <w:p>
      <w:pPr>
        <w:tabs>
          <w:tab w:val="left" w:pos="0"/>
        </w:tabs>
        <w:adjustRightInd w:val="0"/>
        <w:snapToGrid w:val="0"/>
        <w:spacing w:line="360" w:lineRule="auto"/>
        <w:ind w:firstLine="480"/>
        <w:rPr>
          <w:rFonts w:ascii="仿宋_GB2312" w:eastAsia="仿宋_GB2312"/>
          <w:snapToGrid w:val="0"/>
          <w:kern w:val="0"/>
          <w:sz w:val="28"/>
          <w:szCs w:val="28"/>
        </w:rPr>
      </w:pPr>
    </w:p>
    <w:p>
      <w:pPr>
        <w:tabs>
          <w:tab w:val="left" w:pos="0"/>
        </w:tabs>
        <w:adjustRightInd w:val="0"/>
        <w:snapToGrid w:val="0"/>
        <w:spacing w:line="360" w:lineRule="auto"/>
        <w:ind w:firstLine="480"/>
        <w:rPr>
          <w:rFonts w:ascii="仿宋_GB2312" w:eastAsia="仿宋_GB2312"/>
          <w:snapToGrid w:val="0"/>
          <w:kern w:val="0"/>
          <w:sz w:val="28"/>
          <w:szCs w:val="28"/>
        </w:rPr>
      </w:pPr>
    </w:p>
    <w:p>
      <w:pPr>
        <w:tabs>
          <w:tab w:val="left" w:pos="0"/>
        </w:tabs>
        <w:adjustRightInd w:val="0"/>
        <w:snapToGrid w:val="0"/>
        <w:spacing w:line="360" w:lineRule="auto"/>
        <w:ind w:firstLine="480"/>
        <w:rPr>
          <w:rFonts w:ascii="仿宋_GB2312" w:eastAsia="仿宋_GB2312"/>
          <w:snapToGrid w:val="0"/>
          <w:kern w:val="0"/>
          <w:sz w:val="28"/>
          <w:szCs w:val="28"/>
        </w:rPr>
      </w:pPr>
    </w:p>
    <w:p>
      <w:pPr>
        <w:tabs>
          <w:tab w:val="left" w:pos="0"/>
        </w:tabs>
        <w:adjustRightInd w:val="0"/>
        <w:snapToGrid w:val="0"/>
        <w:spacing w:line="360" w:lineRule="auto"/>
        <w:ind w:firstLine="480"/>
        <w:rPr>
          <w:rFonts w:ascii="仿宋_GB2312" w:eastAsia="仿宋_GB2312"/>
          <w:snapToGrid w:val="0"/>
          <w:kern w:val="0"/>
          <w:sz w:val="28"/>
          <w:szCs w:val="28"/>
        </w:rPr>
      </w:pPr>
    </w:p>
    <w:p>
      <w:pPr>
        <w:tabs>
          <w:tab w:val="left" w:pos="0"/>
        </w:tabs>
        <w:adjustRightInd w:val="0"/>
        <w:snapToGrid w:val="0"/>
        <w:spacing w:line="360" w:lineRule="auto"/>
        <w:ind w:firstLine="480"/>
        <w:rPr>
          <w:rFonts w:ascii="仿宋_GB2312" w:eastAsia="仿宋_GB2312"/>
          <w:snapToGrid w:val="0"/>
          <w:kern w:val="0"/>
          <w:sz w:val="28"/>
          <w:szCs w:val="28"/>
        </w:rPr>
      </w:pPr>
    </w:p>
    <w:p>
      <w:pPr>
        <w:tabs>
          <w:tab w:val="left" w:pos="0"/>
        </w:tabs>
        <w:adjustRightInd w:val="0"/>
        <w:snapToGrid w:val="0"/>
        <w:spacing w:line="360" w:lineRule="auto"/>
        <w:ind w:firstLine="480"/>
        <w:rPr>
          <w:rFonts w:ascii="仿宋_GB2312" w:eastAsia="仿宋_GB2312"/>
          <w:snapToGrid w:val="0"/>
          <w:kern w:val="0"/>
          <w:sz w:val="28"/>
          <w:szCs w:val="28"/>
        </w:rPr>
      </w:pPr>
    </w:p>
    <w:p>
      <w:pPr>
        <w:tabs>
          <w:tab w:val="left" w:pos="0"/>
        </w:tabs>
        <w:adjustRightInd w:val="0"/>
        <w:snapToGrid w:val="0"/>
        <w:spacing w:line="360" w:lineRule="auto"/>
        <w:rPr>
          <w:rFonts w:ascii="仿宋_GB2312" w:eastAsia="仿宋_GB2312"/>
          <w:snapToGrid w:val="0"/>
          <w:kern w:val="0"/>
          <w:sz w:val="28"/>
          <w:szCs w:val="28"/>
        </w:rPr>
      </w:pPr>
    </w:p>
    <w:p>
      <w:pPr>
        <w:tabs>
          <w:tab w:val="left" w:pos="0"/>
        </w:tabs>
        <w:adjustRightInd w:val="0"/>
        <w:snapToGrid w:val="0"/>
        <w:spacing w:line="360" w:lineRule="auto"/>
        <w:rPr>
          <w:rFonts w:hint="eastAsia" w:ascii="仿宋_GB2312" w:eastAsia="仿宋_GB2312"/>
          <w:snapToGrid w:val="0"/>
          <w:kern w:val="0"/>
          <w:sz w:val="28"/>
          <w:szCs w:val="28"/>
        </w:rPr>
      </w:pP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drawing>
          <wp:anchor distT="0" distB="0" distL="114300" distR="114300" simplePos="0" relativeHeight="251672576" behindDoc="1" locked="0" layoutInCell="1" allowOverlap="1">
            <wp:simplePos x="0" y="0"/>
            <wp:positionH relativeFrom="column">
              <wp:posOffset>724535</wp:posOffset>
            </wp:positionH>
            <wp:positionV relativeFrom="paragraph">
              <wp:posOffset>1811655</wp:posOffset>
            </wp:positionV>
            <wp:extent cx="4940935" cy="2801620"/>
            <wp:effectExtent l="0" t="0" r="12065" b="17780"/>
            <wp:wrapNone/>
            <wp:docPr id="9" name="图片 9" descr="C:\Documents and Settings\Administrator\桌面\搜狗截图19年01月21日16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Documents and Settings\Administrator\桌面\搜狗截图19年01月21日1601_1.png"/>
                    <pic:cNvPicPr>
                      <a:picLocks noChangeAspect="1" noChangeArrowheads="1"/>
                    </pic:cNvPicPr>
                  </pic:nvPicPr>
                  <pic:blipFill>
                    <a:blip r:embed="rId17" cstate="print"/>
                    <a:srcRect/>
                    <a:stretch>
                      <a:fillRect/>
                    </a:stretch>
                  </pic:blipFill>
                  <pic:spPr>
                    <a:xfrm>
                      <a:off x="0" y="0"/>
                      <a:ext cx="4940935" cy="2801620"/>
                    </a:xfrm>
                    <a:prstGeom prst="rect">
                      <a:avLst/>
                    </a:prstGeom>
                    <a:noFill/>
                    <a:ln w="9525">
                      <a:noFill/>
                      <a:miter lim="800000"/>
                      <a:headEnd/>
                      <a:tailEnd/>
                    </a:ln>
                    <a:effectLst/>
                  </pic:spPr>
                </pic:pic>
              </a:graphicData>
            </a:graphic>
          </wp:anchor>
        </w:drawing>
      </w:r>
      <w:r>
        <w:rPr>
          <w:rFonts w:hint="eastAsia" w:ascii="仿宋_GB2312" w:eastAsia="仿宋_GB2312"/>
          <w:snapToGrid w:val="0"/>
          <w:kern w:val="0"/>
          <w:sz w:val="28"/>
          <w:szCs w:val="28"/>
        </w:rPr>
        <w:t>从具体的市场表现看，汕头楼市2018年整体销售表现较为平稳，对比2017年而言，可以看出汕头楼市的旺季集中在1月和6月，但是整体难以突破2017年的巅峰值。虽然历史继续上演，但是传奇并未继续。在经过两年多的火热之后，汕头楼市慢慢迎来降温，购房也渐渐回归理性。不同的是，房价相比两年前却是迎来翻番的上涨，但是刚需购房群体却依然庞大，这也就说明了楼市还能稳定几年。</w:t>
      </w:r>
    </w:p>
    <w:p>
      <w:pPr>
        <w:tabs>
          <w:tab w:val="left" w:pos="0"/>
        </w:tabs>
        <w:adjustRightInd w:val="0"/>
        <w:snapToGrid w:val="0"/>
        <w:spacing w:line="360" w:lineRule="auto"/>
        <w:ind w:firstLine="480"/>
        <w:rPr>
          <w:rFonts w:ascii="仿宋_GB2312" w:eastAsia="仿宋_GB2312"/>
          <w:snapToGrid w:val="0"/>
          <w:kern w:val="0"/>
          <w:sz w:val="28"/>
          <w:szCs w:val="28"/>
        </w:rPr>
      </w:pPr>
    </w:p>
    <w:p>
      <w:pPr>
        <w:tabs>
          <w:tab w:val="left" w:pos="0"/>
        </w:tabs>
        <w:adjustRightInd w:val="0"/>
        <w:snapToGrid w:val="0"/>
        <w:spacing w:line="360" w:lineRule="auto"/>
        <w:ind w:firstLine="480"/>
        <w:rPr>
          <w:rFonts w:ascii="仿宋_GB2312" w:eastAsia="仿宋_GB2312"/>
          <w:snapToGrid w:val="0"/>
          <w:kern w:val="0"/>
          <w:sz w:val="28"/>
          <w:szCs w:val="28"/>
        </w:rPr>
      </w:pPr>
    </w:p>
    <w:p>
      <w:pPr>
        <w:tabs>
          <w:tab w:val="left" w:pos="0"/>
        </w:tabs>
        <w:adjustRightInd w:val="0"/>
        <w:snapToGrid w:val="0"/>
        <w:spacing w:line="360" w:lineRule="auto"/>
        <w:ind w:firstLine="480"/>
        <w:rPr>
          <w:rFonts w:ascii="仿宋_GB2312" w:eastAsia="仿宋_GB2312"/>
          <w:snapToGrid w:val="0"/>
          <w:kern w:val="0"/>
          <w:sz w:val="28"/>
          <w:szCs w:val="28"/>
        </w:rPr>
      </w:pPr>
    </w:p>
    <w:p>
      <w:pPr>
        <w:tabs>
          <w:tab w:val="left" w:pos="0"/>
        </w:tabs>
        <w:adjustRightInd w:val="0"/>
        <w:snapToGrid w:val="0"/>
        <w:spacing w:line="360" w:lineRule="auto"/>
        <w:ind w:firstLine="480"/>
        <w:rPr>
          <w:rFonts w:ascii="仿宋_GB2312" w:eastAsia="仿宋_GB2312"/>
          <w:snapToGrid w:val="0"/>
          <w:kern w:val="0"/>
          <w:sz w:val="28"/>
          <w:szCs w:val="28"/>
        </w:rPr>
      </w:pPr>
    </w:p>
    <w:p>
      <w:pPr>
        <w:tabs>
          <w:tab w:val="left" w:pos="0"/>
        </w:tabs>
        <w:adjustRightInd w:val="0"/>
        <w:snapToGrid w:val="0"/>
        <w:spacing w:line="360" w:lineRule="auto"/>
        <w:ind w:firstLine="480"/>
        <w:rPr>
          <w:rFonts w:ascii="仿宋_GB2312" w:eastAsia="仿宋_GB2312"/>
          <w:snapToGrid w:val="0"/>
          <w:kern w:val="0"/>
          <w:sz w:val="28"/>
          <w:szCs w:val="28"/>
        </w:rPr>
      </w:pPr>
    </w:p>
    <w:p>
      <w:pPr>
        <w:tabs>
          <w:tab w:val="left" w:pos="0"/>
        </w:tabs>
        <w:adjustRightInd w:val="0"/>
        <w:snapToGrid w:val="0"/>
        <w:spacing w:line="360" w:lineRule="auto"/>
        <w:ind w:firstLine="480"/>
        <w:rPr>
          <w:rFonts w:ascii="仿宋_GB2312" w:eastAsia="仿宋_GB2312"/>
          <w:snapToGrid w:val="0"/>
          <w:kern w:val="0"/>
          <w:sz w:val="28"/>
          <w:szCs w:val="28"/>
        </w:rPr>
      </w:pPr>
    </w:p>
    <w:p>
      <w:pPr>
        <w:tabs>
          <w:tab w:val="left" w:pos="0"/>
        </w:tabs>
        <w:adjustRightInd w:val="0"/>
        <w:snapToGrid w:val="0"/>
        <w:spacing w:line="360" w:lineRule="auto"/>
        <w:rPr>
          <w:rFonts w:ascii="仿宋_GB2312" w:eastAsia="仿宋_GB2312"/>
          <w:snapToGrid w:val="0"/>
          <w:kern w:val="0"/>
          <w:sz w:val="28"/>
          <w:szCs w:val="28"/>
        </w:rPr>
      </w:pPr>
    </w:p>
    <w:p>
      <w:pPr>
        <w:tabs>
          <w:tab w:val="left" w:pos="0"/>
        </w:tabs>
        <w:adjustRightInd w:val="0"/>
        <w:snapToGrid w:val="0"/>
        <w:spacing w:line="360" w:lineRule="auto"/>
        <w:rPr>
          <w:rFonts w:ascii="仿宋_GB2312" w:eastAsia="仿宋_GB2312"/>
          <w:snapToGrid w:val="0"/>
          <w:kern w:val="0"/>
          <w:sz w:val="28"/>
          <w:szCs w:val="28"/>
        </w:rPr>
      </w:pP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drawing>
          <wp:anchor distT="0" distB="0" distL="114300" distR="114300" simplePos="0" relativeHeight="251673600" behindDoc="1" locked="0" layoutInCell="1" allowOverlap="1">
            <wp:simplePos x="0" y="0"/>
            <wp:positionH relativeFrom="column">
              <wp:posOffset>638175</wp:posOffset>
            </wp:positionH>
            <wp:positionV relativeFrom="paragraph">
              <wp:posOffset>1663065</wp:posOffset>
            </wp:positionV>
            <wp:extent cx="5274310" cy="2095500"/>
            <wp:effectExtent l="0" t="0" r="2540" b="0"/>
            <wp:wrapNone/>
            <wp:docPr id="7" name="图片 7" descr="C:\Documents and Settings\Administrator\桌面\搜狗截图19年01月21日16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Documents and Settings\Administrator\桌面\搜狗截图19年01月21日1601_1.png"/>
                    <pic:cNvPicPr>
                      <a:picLocks noChangeAspect="1" noChangeArrowheads="1"/>
                    </pic:cNvPicPr>
                  </pic:nvPicPr>
                  <pic:blipFill>
                    <a:blip r:embed="rId18" cstate="print"/>
                    <a:srcRect/>
                    <a:stretch>
                      <a:fillRect/>
                    </a:stretch>
                  </pic:blipFill>
                  <pic:spPr>
                    <a:xfrm>
                      <a:off x="0" y="0"/>
                      <a:ext cx="5274310" cy="2095500"/>
                    </a:xfrm>
                    <a:prstGeom prst="rect">
                      <a:avLst/>
                    </a:prstGeom>
                    <a:noFill/>
                    <a:ln w="9525">
                      <a:noFill/>
                      <a:miter lim="800000"/>
                      <a:headEnd/>
                      <a:tailEnd/>
                    </a:ln>
                    <a:effectLst/>
                  </pic:spPr>
                </pic:pic>
              </a:graphicData>
            </a:graphic>
          </wp:anchor>
        </w:drawing>
      </w:r>
      <w:r>
        <w:rPr>
          <w:rFonts w:hint="eastAsia" w:ascii="仿宋_GB2312" w:eastAsia="仿宋_GB2312"/>
          <w:snapToGrid w:val="0"/>
          <w:kern w:val="0"/>
          <w:sz w:val="28"/>
          <w:szCs w:val="28"/>
        </w:rPr>
        <w:t>据汕头房天下数据监控中心统计，从2018年整体房价走势来看，整体房价趋于稳定，8月、9月、11月成交均价较高，这也是与部分高价网签盘集中签约，区县低价盘签约量少有关系。其中值得注意的是不同于以往的涨跌相对均衡，8、9月份成交均价上涨是由于金平区的世纪海岸、龙湖区的佰悦春天网签提升了整体均价，从这些数据也可以看出汕头2018年房价上涨势头并不明显。</w:t>
      </w:r>
    </w:p>
    <w:p>
      <w:pPr>
        <w:tabs>
          <w:tab w:val="left" w:pos="0"/>
        </w:tabs>
        <w:adjustRightInd w:val="0"/>
        <w:snapToGrid w:val="0"/>
        <w:spacing w:line="360" w:lineRule="auto"/>
        <w:ind w:firstLine="480"/>
        <w:rPr>
          <w:rFonts w:hint="eastAsia" w:ascii="仿宋_GB2312" w:eastAsia="仿宋_GB2312"/>
          <w:snapToGrid w:val="0"/>
          <w:kern w:val="0"/>
          <w:sz w:val="28"/>
          <w:szCs w:val="28"/>
        </w:rPr>
      </w:pPr>
    </w:p>
    <w:p>
      <w:pPr>
        <w:tabs>
          <w:tab w:val="left" w:pos="0"/>
        </w:tabs>
        <w:adjustRightInd w:val="0"/>
        <w:snapToGrid w:val="0"/>
        <w:spacing w:line="360" w:lineRule="auto"/>
        <w:ind w:firstLine="480"/>
        <w:rPr>
          <w:rFonts w:hint="eastAsia" w:ascii="仿宋_GB2312" w:eastAsia="仿宋_GB2312"/>
          <w:snapToGrid w:val="0"/>
          <w:kern w:val="0"/>
          <w:sz w:val="28"/>
          <w:szCs w:val="28"/>
        </w:rPr>
      </w:pPr>
    </w:p>
    <w:p>
      <w:pPr>
        <w:tabs>
          <w:tab w:val="left" w:pos="0"/>
        </w:tabs>
        <w:adjustRightInd w:val="0"/>
        <w:snapToGrid w:val="0"/>
        <w:spacing w:line="360" w:lineRule="auto"/>
        <w:ind w:firstLine="480"/>
        <w:rPr>
          <w:rFonts w:hint="eastAsia" w:ascii="仿宋_GB2312" w:eastAsia="仿宋_GB2312"/>
          <w:snapToGrid w:val="0"/>
          <w:kern w:val="0"/>
          <w:sz w:val="28"/>
          <w:szCs w:val="28"/>
        </w:rPr>
      </w:pPr>
    </w:p>
    <w:p>
      <w:pPr>
        <w:tabs>
          <w:tab w:val="left" w:pos="0"/>
        </w:tabs>
        <w:adjustRightInd w:val="0"/>
        <w:snapToGrid w:val="0"/>
        <w:spacing w:line="360" w:lineRule="auto"/>
        <w:ind w:firstLine="480"/>
        <w:rPr>
          <w:rFonts w:hint="eastAsia" w:ascii="仿宋_GB2312" w:eastAsia="仿宋_GB2312"/>
          <w:snapToGrid w:val="0"/>
          <w:kern w:val="0"/>
          <w:sz w:val="28"/>
          <w:szCs w:val="28"/>
        </w:rPr>
      </w:pPr>
    </w:p>
    <w:p>
      <w:pPr>
        <w:tabs>
          <w:tab w:val="left" w:pos="0"/>
        </w:tabs>
        <w:adjustRightInd w:val="0"/>
        <w:snapToGrid w:val="0"/>
        <w:spacing w:line="360" w:lineRule="auto"/>
        <w:ind w:firstLine="480"/>
        <w:rPr>
          <w:rFonts w:hint="eastAsia" w:ascii="仿宋_GB2312" w:eastAsia="仿宋_GB2312"/>
          <w:snapToGrid w:val="0"/>
          <w:kern w:val="0"/>
          <w:sz w:val="28"/>
          <w:szCs w:val="28"/>
        </w:rPr>
      </w:pPr>
    </w:p>
    <w:p>
      <w:pPr>
        <w:tabs>
          <w:tab w:val="left" w:pos="0"/>
        </w:tabs>
        <w:adjustRightInd w:val="0"/>
        <w:snapToGrid w:val="0"/>
        <w:spacing w:line="360" w:lineRule="auto"/>
        <w:ind w:firstLine="480"/>
        <w:rPr>
          <w:rFonts w:hint="eastAsia" w:ascii="仿宋_GB2312" w:eastAsia="仿宋_GB2312"/>
          <w:snapToGrid w:val="0"/>
          <w:kern w:val="0"/>
          <w:sz w:val="28"/>
          <w:szCs w:val="28"/>
        </w:rPr>
      </w:pP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据汕头房天下数据监控中心统计，截止12月31日，汕头市（金平区、龙湖区、濠江区、澄海区、潮阳区、南澳县、潮南区）高层住宅成交24673套，成交面积308.8万平方米，同比2017年同期（42447套）下跌41.87%；多层住宅成交586套，同比2017年同期（906套）下跌35.3%；车位成交8874宗，同比2017年同期（11824宗）下跌24.9%；铺面成交620宗，同比2017年同期（1351宗）下跌54.1%。</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drawing>
          <wp:anchor distT="0" distB="0" distL="114300" distR="114300" simplePos="0" relativeHeight="251674624" behindDoc="1" locked="0" layoutInCell="1" allowOverlap="1">
            <wp:simplePos x="0" y="0"/>
            <wp:positionH relativeFrom="column">
              <wp:posOffset>571500</wp:posOffset>
            </wp:positionH>
            <wp:positionV relativeFrom="paragraph">
              <wp:posOffset>8890</wp:posOffset>
            </wp:positionV>
            <wp:extent cx="5274310" cy="2400300"/>
            <wp:effectExtent l="0" t="0" r="2540" b="0"/>
            <wp:wrapNone/>
            <wp:docPr id="10" name="图片 10" descr="C:\Documents and Settings\Administrator\桌面\搜狗截图19年01月21日16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Documents and Settings\Administrator\桌面\搜狗截图19年01月21日1601_1.png"/>
                    <pic:cNvPicPr>
                      <a:picLocks noChangeAspect="1" noChangeArrowheads="1"/>
                    </pic:cNvPicPr>
                  </pic:nvPicPr>
                  <pic:blipFill>
                    <a:blip r:embed="rId19" cstate="print"/>
                    <a:srcRect/>
                    <a:stretch>
                      <a:fillRect/>
                    </a:stretch>
                  </pic:blipFill>
                  <pic:spPr>
                    <a:xfrm>
                      <a:off x="0" y="0"/>
                      <a:ext cx="5274310" cy="2400300"/>
                    </a:xfrm>
                    <a:prstGeom prst="rect">
                      <a:avLst/>
                    </a:prstGeom>
                    <a:noFill/>
                    <a:ln w="9525">
                      <a:noFill/>
                      <a:miter lim="800000"/>
                      <a:headEnd/>
                      <a:tailEnd/>
                    </a:ln>
                    <a:effectLst/>
                  </pic:spPr>
                </pic:pic>
              </a:graphicData>
            </a:graphic>
          </wp:anchor>
        </w:drawing>
      </w:r>
    </w:p>
    <w:p>
      <w:pPr>
        <w:tabs>
          <w:tab w:val="left" w:pos="0"/>
        </w:tabs>
        <w:adjustRightInd w:val="0"/>
        <w:snapToGrid w:val="0"/>
        <w:spacing w:line="360" w:lineRule="auto"/>
        <w:ind w:firstLine="480"/>
        <w:rPr>
          <w:rFonts w:ascii="仿宋_GB2312" w:eastAsia="仿宋_GB2312"/>
          <w:snapToGrid w:val="0"/>
          <w:kern w:val="0"/>
          <w:sz w:val="28"/>
          <w:szCs w:val="28"/>
        </w:rPr>
      </w:pPr>
    </w:p>
    <w:p>
      <w:pPr>
        <w:tabs>
          <w:tab w:val="left" w:pos="0"/>
        </w:tabs>
        <w:adjustRightInd w:val="0"/>
        <w:snapToGrid w:val="0"/>
        <w:spacing w:line="360" w:lineRule="auto"/>
        <w:ind w:firstLine="480"/>
        <w:rPr>
          <w:rFonts w:ascii="仿宋_GB2312" w:eastAsia="仿宋_GB2312"/>
          <w:snapToGrid w:val="0"/>
          <w:kern w:val="0"/>
          <w:sz w:val="28"/>
          <w:szCs w:val="28"/>
        </w:rPr>
      </w:pPr>
    </w:p>
    <w:p>
      <w:pPr>
        <w:tabs>
          <w:tab w:val="left" w:pos="0"/>
        </w:tabs>
        <w:adjustRightInd w:val="0"/>
        <w:snapToGrid w:val="0"/>
        <w:spacing w:line="360" w:lineRule="auto"/>
        <w:ind w:firstLine="480"/>
        <w:rPr>
          <w:rFonts w:ascii="仿宋_GB2312" w:eastAsia="仿宋_GB2312"/>
          <w:snapToGrid w:val="0"/>
          <w:kern w:val="0"/>
          <w:sz w:val="28"/>
          <w:szCs w:val="28"/>
        </w:rPr>
      </w:pPr>
    </w:p>
    <w:p>
      <w:pPr>
        <w:tabs>
          <w:tab w:val="left" w:pos="0"/>
        </w:tabs>
        <w:adjustRightInd w:val="0"/>
        <w:snapToGrid w:val="0"/>
        <w:spacing w:line="360" w:lineRule="auto"/>
        <w:rPr>
          <w:rFonts w:ascii="仿宋_GB2312" w:eastAsia="仿宋_GB2312"/>
          <w:snapToGrid w:val="0"/>
          <w:kern w:val="0"/>
          <w:sz w:val="28"/>
          <w:szCs w:val="28"/>
        </w:rPr>
      </w:pPr>
    </w:p>
    <w:p>
      <w:pPr>
        <w:tabs>
          <w:tab w:val="left" w:pos="0"/>
        </w:tabs>
        <w:adjustRightInd w:val="0"/>
        <w:snapToGrid w:val="0"/>
        <w:spacing w:line="360" w:lineRule="auto"/>
        <w:rPr>
          <w:rFonts w:ascii="仿宋_GB2312" w:eastAsia="仿宋_GB2312"/>
          <w:snapToGrid w:val="0"/>
          <w:kern w:val="0"/>
          <w:sz w:val="28"/>
          <w:szCs w:val="28"/>
        </w:rPr>
      </w:pPr>
    </w:p>
    <w:p>
      <w:pPr>
        <w:tabs>
          <w:tab w:val="left" w:pos="0"/>
        </w:tabs>
        <w:adjustRightInd w:val="0"/>
        <w:snapToGrid w:val="0"/>
        <w:spacing w:line="360" w:lineRule="auto"/>
        <w:ind w:firstLine="480"/>
        <w:rPr>
          <w:rFonts w:ascii="仿宋_GB2312" w:eastAsia="仿宋_GB2312"/>
          <w:snapToGrid w:val="0"/>
          <w:kern w:val="0"/>
          <w:sz w:val="28"/>
          <w:szCs w:val="28"/>
        </w:rPr>
      </w:pPr>
    </w:p>
    <w:p>
      <w:pPr>
        <w:tabs>
          <w:tab w:val="left" w:pos="0"/>
        </w:tabs>
        <w:adjustRightInd w:val="0"/>
        <w:snapToGrid w:val="0"/>
        <w:spacing w:line="360" w:lineRule="auto"/>
        <w:ind w:firstLine="480"/>
        <w:rPr>
          <w:rFonts w:ascii="仿宋_GB2312" w:eastAsia="仿宋_GB2312"/>
          <w:snapToGrid w:val="0"/>
          <w:kern w:val="0"/>
          <w:sz w:val="28"/>
          <w:szCs w:val="28"/>
        </w:rPr>
      </w:pP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据汕头房天下数据监控中心统计，截止12月31日，2018年汕头市（金平区、龙湖区、濠江区、澄海区、潮阳区、南澳县、潮南区）住宅成交共25042套，从片区来看，成交量最大的为龙湖区，共成交8388套，占2018年住宅成交总量比例高达33.5%。金平区作为汕头旧城区2018年共成交1374套，占2018年成交总量比例5.5%。濠江区2018年成交量占总量的14.23%，2018年澄海区成交总量占比16.6%，潮阳区成交总量占比18.2%，潮南区成交总量占比4.9%，南澳县成交总量占比7%。在成交均价方面，龙湖区、金平区、濠江区的成交均价已站稳万字头。</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从总体成交数据来看，2018年的楼市数据，虽然比不上2017年同期那般精彩激扬，在5年数据中来看，汕头楼市的走势依旧是向上的，这是经历了2017年楼市狂欢后的一场理性的回归。</w:t>
      </w:r>
    </w:p>
    <w:p>
      <w:pPr>
        <w:pStyle w:val="3"/>
        <w:snapToGrid w:val="0"/>
        <w:spacing w:before="240" w:after="0" w:line="360" w:lineRule="auto"/>
        <w:rPr>
          <w:snapToGrid w:val="0"/>
          <w:kern w:val="0"/>
          <w:sz w:val="30"/>
          <w:szCs w:val="30"/>
        </w:rPr>
      </w:pPr>
      <w:bookmarkStart w:id="35" w:name="_Toc16662"/>
      <w:r>
        <w:rPr>
          <w:rFonts w:hint="eastAsia"/>
          <w:snapToGrid w:val="0"/>
          <w:kern w:val="0"/>
          <w:sz w:val="30"/>
          <w:szCs w:val="30"/>
        </w:rPr>
        <w:t>（四）最高最佳使用分析</w:t>
      </w:r>
      <w:bookmarkEnd w:id="35"/>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房地产估价要以房地产的最高最佳使用为前提。所谓最高最佳使用，是估价对象的一种最可能的使用，这种最可能的使用是法律上允许、技术上可能、财务上可行，经过充分合理的论证，并能给估价对象带来最高价值的使用。</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最高最佳使用分析真正体现了估价的客观性。衡量、判断的标准如下：</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法律上的许可性（规划及相关政策法规许可），即不受现时使用状况的限制，而依照法律、城市规划发展的规定。</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技术上的可能性，即不能把技术上无法做到的使用当作最高最佳使用，要按照可达到的建筑材料、施工技术等方面的要求确定。</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经济上的可行性，即在各种可能的使用方式中，选择收入现值大于支出现值的方式，寻求以经济上有限的投入而能获得最大收益的使用方式。</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价值最大性，使估价对象的价值在具有经济可行性的使用方式中达到最大的一种。</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土地与建筑物的均衡性，即以房地产内部构成要素的组合是否均衡来判定。估价师，把建筑物与土地区位是否相匹配，是否具有投资集约度的因素考虑进去。</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与外部环境的协调性，应按房地产与其周围环境相协调，能活的最佳外部经济效益的用途估价。</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可持续发展性，按可持续发展的观点确定使用方式，即研究房地产市场的发展变动趋势、使未来利益最大化的使用方式。</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对于估价对象的最高最佳使用，主要基于以下几个方面的考虑：</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1. 估价对象权证记载规划用途为</w:t>
      </w:r>
      <w:r>
        <w:rPr>
          <w:rFonts w:hint="eastAsia" w:ascii="仿宋_GB2312" w:eastAsia="仿宋_GB2312"/>
          <w:snapToGrid w:val="0"/>
          <w:kern w:val="0"/>
          <w:sz w:val="28"/>
          <w:szCs w:val="28"/>
          <w:lang w:eastAsia="zh-CN"/>
        </w:rPr>
        <w:t>住宅</w:t>
      </w:r>
      <w:r>
        <w:rPr>
          <w:rFonts w:hint="eastAsia" w:ascii="仿宋_GB2312" w:eastAsia="仿宋_GB2312"/>
          <w:snapToGrid w:val="0"/>
          <w:kern w:val="0"/>
          <w:sz w:val="28"/>
          <w:szCs w:val="28"/>
        </w:rPr>
        <w:t>，实际用途为</w:t>
      </w:r>
      <w:r>
        <w:rPr>
          <w:rFonts w:hint="eastAsia" w:ascii="仿宋_GB2312" w:eastAsia="仿宋_GB2312"/>
          <w:snapToGrid w:val="0"/>
          <w:kern w:val="0"/>
          <w:sz w:val="28"/>
          <w:szCs w:val="28"/>
          <w:lang w:eastAsia="zh-CN"/>
        </w:rPr>
        <w:t>（小型加工厂）</w:t>
      </w:r>
      <w:r>
        <w:rPr>
          <w:rFonts w:hint="eastAsia" w:ascii="仿宋_GB2312" w:eastAsia="仿宋_GB2312"/>
          <w:snapToGrid w:val="0"/>
          <w:kern w:val="0"/>
          <w:sz w:val="28"/>
          <w:szCs w:val="28"/>
        </w:rPr>
        <w:t>；</w:t>
      </w:r>
    </w:p>
    <w:p>
      <w:pPr>
        <w:tabs>
          <w:tab w:val="left" w:pos="0"/>
        </w:tabs>
        <w:adjustRightInd w:val="0"/>
        <w:snapToGrid w:val="0"/>
        <w:spacing w:line="360" w:lineRule="auto"/>
        <w:ind w:firstLine="480"/>
        <w:rPr>
          <w:rFonts w:ascii="仿宋_GB2312" w:eastAsia="仿宋_GB2312"/>
          <w:snapToGrid w:val="0"/>
          <w:kern w:val="0"/>
          <w:sz w:val="28"/>
          <w:szCs w:val="28"/>
        </w:rPr>
      </w:pPr>
      <w:r>
        <w:rPr>
          <w:rFonts w:hint="eastAsia" w:ascii="仿宋_GB2312" w:eastAsia="仿宋_GB2312"/>
          <w:snapToGrid w:val="0"/>
          <w:kern w:val="0"/>
          <w:sz w:val="28"/>
          <w:szCs w:val="28"/>
        </w:rPr>
        <w:t>2. 估价对象建筑布局为</w:t>
      </w:r>
      <w:r>
        <w:rPr>
          <w:rFonts w:hint="eastAsia" w:ascii="仿宋_GB2312" w:eastAsia="仿宋_GB2312"/>
          <w:snapToGrid w:val="0"/>
          <w:kern w:val="0"/>
          <w:sz w:val="28"/>
          <w:szCs w:val="28"/>
          <w:lang w:eastAsia="zh-CN"/>
        </w:rPr>
        <w:t>住宅</w:t>
      </w:r>
      <w:r>
        <w:rPr>
          <w:rFonts w:hint="eastAsia" w:ascii="仿宋_GB2312" w:eastAsia="仿宋_GB2312"/>
          <w:snapToGrid w:val="0"/>
          <w:kern w:val="0"/>
          <w:sz w:val="28"/>
          <w:szCs w:val="28"/>
        </w:rPr>
        <w:t>用途布局，</w:t>
      </w:r>
      <w:r>
        <w:rPr>
          <w:rFonts w:hint="eastAsia" w:ascii="仿宋_GB2312" w:eastAsia="仿宋_GB2312"/>
          <w:snapToGrid w:val="0"/>
          <w:color w:val="auto"/>
          <w:kern w:val="0"/>
          <w:sz w:val="28"/>
          <w:szCs w:val="28"/>
          <w:lang w:eastAsia="zh-CN"/>
        </w:rPr>
        <w:t>技术上决定本次评估最高最佳用途为住宅</w:t>
      </w:r>
      <w:r>
        <w:rPr>
          <w:rFonts w:hint="eastAsia" w:ascii="仿宋_GB2312" w:eastAsia="仿宋_GB2312"/>
          <w:snapToGrid w:val="0"/>
          <w:kern w:val="0"/>
          <w:sz w:val="28"/>
          <w:szCs w:val="28"/>
        </w:rPr>
        <w:t>。</w:t>
      </w:r>
    </w:p>
    <w:p>
      <w:pPr>
        <w:pStyle w:val="3"/>
        <w:snapToGrid w:val="0"/>
        <w:spacing w:before="0" w:after="0" w:line="360" w:lineRule="auto"/>
        <w:rPr>
          <w:snapToGrid w:val="0"/>
          <w:kern w:val="0"/>
          <w:sz w:val="30"/>
          <w:szCs w:val="30"/>
        </w:rPr>
      </w:pPr>
      <w:bookmarkStart w:id="36" w:name="_Toc14429"/>
      <w:r>
        <w:rPr>
          <w:rFonts w:hint="eastAsia"/>
          <w:snapToGrid w:val="0"/>
          <w:kern w:val="0"/>
          <w:sz w:val="30"/>
          <w:szCs w:val="30"/>
        </w:rPr>
        <w:t>（五）估价方法适用性分析</w:t>
      </w:r>
      <w:bookmarkEnd w:id="36"/>
    </w:p>
    <w:p>
      <w:pPr>
        <w:widowControl/>
        <w:jc w:val="left"/>
        <w:rPr>
          <w:rFonts w:ascii="仿宋_GB2312" w:hAnsi="宋体" w:eastAsia="仿宋_GB2312" w:cs="宋体"/>
          <w:b/>
          <w:color w:val="000000"/>
          <w:kern w:val="0"/>
          <w:sz w:val="28"/>
          <w:szCs w:val="28"/>
        </w:rPr>
      </w:pPr>
      <w:r>
        <w:rPr>
          <w:rFonts w:hint="eastAsia" w:ascii="仿宋_GB2312" w:hAnsi="宋体" w:eastAsia="仿宋_GB2312" w:cs="宋体"/>
          <w:b/>
          <w:color w:val="000000"/>
          <w:kern w:val="0"/>
          <w:sz w:val="28"/>
          <w:szCs w:val="28"/>
        </w:rPr>
        <w:t>1、估价方法选用</w:t>
      </w:r>
    </w:p>
    <w:p>
      <w:pPr>
        <w:snapToGrid w:val="0"/>
        <w:spacing w:line="336" w:lineRule="auto"/>
        <w:ind w:firstLine="674" w:firstLineChars="200"/>
        <w:rPr>
          <w:rFonts w:ascii="仿宋_GB2312" w:hAnsi="楷体_GB2312" w:eastAsia="仿宋_GB2312" w:cs="楷体_GB2312"/>
          <w:snapToGrid w:val="0"/>
          <w:kern w:val="0"/>
          <w:sz w:val="28"/>
          <w:szCs w:val="28"/>
        </w:rPr>
      </w:pPr>
      <w:r>
        <w:rPr>
          <w:rFonts w:hint="eastAsia" w:ascii="仿宋_GB2312" w:hAnsi="楷体_GB2312" w:eastAsia="仿宋_GB2312" w:cs="楷体_GB2312"/>
          <w:snapToGrid w:val="0"/>
          <w:kern w:val="0"/>
          <w:sz w:val="28"/>
          <w:szCs w:val="28"/>
        </w:rPr>
        <w:t>评估人员在认真分析所掌握的资料，并对估价对象进行了实地查勘以及对周边房地产市场进行调查后，根据《房地产估价规范》【GB/T50291-2015】、《房地产估价基本术语标准》【GB/T50899-2013】，遵照国家有关法律、法规、估价技术标准，经过反复研究，最终选取收益法对估价对象建筑面积</w:t>
      </w:r>
      <w:r>
        <w:rPr>
          <w:rFonts w:hint="eastAsia" w:ascii="仿宋_GB2312" w:hAnsi="楷体_GB2312" w:eastAsia="仿宋_GB2312" w:cs="楷体_GB2312"/>
          <w:snapToGrid w:val="0"/>
          <w:kern w:val="0"/>
          <w:sz w:val="28"/>
          <w:szCs w:val="28"/>
          <w:lang w:eastAsia="zh-CN"/>
        </w:rPr>
        <w:t>1577.48</w:t>
      </w:r>
      <w:r>
        <w:rPr>
          <w:rFonts w:hint="eastAsia" w:ascii="仿宋_GB2312" w:hAnsi="楷体_GB2312" w:eastAsia="仿宋_GB2312" w:cs="楷体_GB2312"/>
          <w:snapToGrid w:val="0"/>
          <w:kern w:val="0"/>
          <w:sz w:val="28"/>
          <w:szCs w:val="28"/>
        </w:rPr>
        <w:t>平方米房地产进行估价，具体分析如下表：</w:t>
      </w:r>
    </w:p>
    <w:tbl>
      <w:tblPr>
        <w:tblStyle w:val="45"/>
        <w:tblW w:w="99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3818"/>
        <w:gridCol w:w="4095"/>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05" w:type="dxa"/>
            <w:vAlign w:val="center"/>
          </w:tcPr>
          <w:p>
            <w:pPr>
              <w:widowControl/>
              <w:jc w:val="center"/>
              <w:rPr>
                <w:rFonts w:ascii="仿宋_GB2312" w:hAnsi="楷体_GB2312" w:eastAsia="仿宋_GB2312" w:cs="楷体_GB2312"/>
                <w:b/>
                <w:szCs w:val="21"/>
              </w:rPr>
            </w:pPr>
            <w:r>
              <w:rPr>
                <w:rFonts w:hint="eastAsia" w:ascii="仿宋_GB2312" w:hAnsi="宋体" w:eastAsia="仿宋_GB2312" w:cs="宋体"/>
                <w:b/>
                <w:color w:val="000000"/>
                <w:kern w:val="0"/>
                <w:szCs w:val="21"/>
              </w:rPr>
              <w:t>可选估价方法</w:t>
            </w:r>
          </w:p>
        </w:tc>
        <w:tc>
          <w:tcPr>
            <w:tcW w:w="3818" w:type="dxa"/>
            <w:vAlign w:val="center"/>
          </w:tcPr>
          <w:p>
            <w:pPr>
              <w:widowControl/>
              <w:jc w:val="center"/>
              <w:rPr>
                <w:rFonts w:ascii="仿宋_GB2312" w:hAnsi="楷体_GB2312" w:eastAsia="仿宋_GB2312" w:cs="楷体_GB2312"/>
                <w:b/>
                <w:szCs w:val="21"/>
              </w:rPr>
            </w:pPr>
            <w:r>
              <w:rPr>
                <w:rFonts w:hint="eastAsia" w:ascii="仿宋_GB2312" w:hAnsi="宋体" w:eastAsia="仿宋_GB2312" w:cs="宋体"/>
                <w:b/>
                <w:color w:val="000000"/>
                <w:kern w:val="0"/>
                <w:szCs w:val="21"/>
              </w:rPr>
              <w:t>估价方法定义</w:t>
            </w:r>
          </w:p>
        </w:tc>
        <w:tc>
          <w:tcPr>
            <w:tcW w:w="4095" w:type="dxa"/>
            <w:vAlign w:val="center"/>
          </w:tcPr>
          <w:p>
            <w:pPr>
              <w:widowControl/>
              <w:jc w:val="center"/>
              <w:rPr>
                <w:rFonts w:ascii="仿宋_GB2312" w:hAnsi="楷体_GB2312" w:eastAsia="仿宋_GB2312" w:cs="楷体_GB2312"/>
                <w:b/>
                <w:szCs w:val="21"/>
              </w:rPr>
            </w:pPr>
            <w:r>
              <w:rPr>
                <w:rFonts w:hint="eastAsia" w:ascii="仿宋_GB2312" w:hAnsi="宋体" w:eastAsia="仿宋_GB2312" w:cs="宋体"/>
                <w:b/>
                <w:color w:val="000000"/>
                <w:kern w:val="0"/>
                <w:szCs w:val="21"/>
              </w:rPr>
              <w:t>估价方法是否选择理由</w:t>
            </w:r>
          </w:p>
        </w:tc>
        <w:tc>
          <w:tcPr>
            <w:tcW w:w="945" w:type="dxa"/>
            <w:vAlign w:val="center"/>
          </w:tcPr>
          <w:p>
            <w:pPr>
              <w:widowControl/>
              <w:jc w:val="center"/>
              <w:rPr>
                <w:rFonts w:ascii="仿宋_GB2312" w:hAnsi="宋体" w:eastAsia="仿宋_GB2312" w:cs="宋体"/>
                <w:b/>
                <w:color w:val="000000"/>
                <w:kern w:val="0"/>
                <w:szCs w:val="21"/>
              </w:rPr>
            </w:pPr>
            <w:r>
              <w:rPr>
                <w:rFonts w:hint="eastAsia" w:ascii="仿宋_GB2312" w:hAnsi="宋体" w:eastAsia="仿宋_GB2312" w:cs="宋体"/>
                <w:b/>
                <w:color w:val="000000"/>
                <w:kern w:val="0"/>
                <w:szCs w:val="21"/>
              </w:rPr>
              <w:t>是否选取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6" w:hRule="atLeast"/>
          <w:jc w:val="center"/>
        </w:trPr>
        <w:tc>
          <w:tcPr>
            <w:tcW w:w="1105" w:type="dxa"/>
            <w:vAlign w:val="center"/>
          </w:tcPr>
          <w:p>
            <w:pPr>
              <w:widowControl/>
              <w:jc w:val="center"/>
              <w:rPr>
                <w:rFonts w:ascii="仿宋_GB2312" w:hAnsi="楷体_GB2312" w:eastAsia="仿宋_GB2312" w:cs="楷体_GB2312"/>
                <w:b/>
                <w:bCs/>
                <w:szCs w:val="21"/>
              </w:rPr>
            </w:pPr>
            <w:r>
              <w:rPr>
                <w:rFonts w:hint="eastAsia" w:ascii="仿宋_GB2312" w:hAnsi="宋体" w:eastAsia="仿宋_GB2312" w:cs="宋体"/>
                <w:b/>
                <w:color w:val="000000"/>
                <w:kern w:val="0"/>
                <w:szCs w:val="21"/>
              </w:rPr>
              <w:t>比较法</w:t>
            </w:r>
          </w:p>
        </w:tc>
        <w:tc>
          <w:tcPr>
            <w:tcW w:w="3818" w:type="dxa"/>
            <w:vAlign w:val="center"/>
          </w:tcPr>
          <w:p>
            <w:pPr>
              <w:widowControl/>
              <w:jc w:val="center"/>
              <w:rPr>
                <w:rFonts w:ascii="仿宋_GB2312" w:hAnsi="楷体_GB2312" w:eastAsia="仿宋_GB2312" w:cs="楷体_GB2312"/>
                <w:szCs w:val="21"/>
              </w:rPr>
            </w:pPr>
            <w:r>
              <w:rPr>
                <w:rFonts w:hint="eastAsia" w:ascii="仿宋_GB2312" w:hAnsi="宋体" w:eastAsia="仿宋_GB2312" w:cs="宋体"/>
                <w:color w:val="000000"/>
                <w:kern w:val="0"/>
                <w:szCs w:val="21"/>
              </w:rPr>
              <w:t>选取一定数量的可比实例，将它们与估价对象进行比较，根据其间的差异对可比实例成交价格进行处理后得到估价对象价值或价格的方法。</w:t>
            </w:r>
          </w:p>
        </w:tc>
        <w:tc>
          <w:tcPr>
            <w:tcW w:w="4095" w:type="dxa"/>
            <w:vAlign w:val="center"/>
          </w:tcPr>
          <w:p>
            <w:pPr>
              <w:widowControl/>
              <w:jc w:val="center"/>
              <w:rPr>
                <w:rFonts w:ascii="仿宋_GB2312" w:hAnsi="楷体_GB2312" w:eastAsia="仿宋_GB2312" w:cs="楷体_GB2312"/>
                <w:szCs w:val="21"/>
              </w:rPr>
            </w:pPr>
            <w:r>
              <w:rPr>
                <w:rFonts w:hint="eastAsia" w:ascii="仿宋_GB2312" w:hAnsi="宋体" w:eastAsia="仿宋_GB2312" w:cs="宋体"/>
                <w:color w:val="000000"/>
                <w:kern w:val="0"/>
                <w:szCs w:val="21"/>
              </w:rPr>
              <w:t>估价对象</w:t>
            </w:r>
            <w:r>
              <w:rPr>
                <w:rFonts w:hint="eastAsia" w:ascii="仿宋_GB2312" w:hAnsi="宋体" w:eastAsia="仿宋_GB2312" w:cs="宋体"/>
                <w:color w:val="000000"/>
                <w:kern w:val="0"/>
                <w:szCs w:val="21"/>
                <w:lang w:eastAsia="zh-CN"/>
              </w:rPr>
              <w:t>房屋证载</w:t>
            </w:r>
            <w:r>
              <w:rPr>
                <w:rFonts w:hint="eastAsia" w:ascii="仿宋_GB2312" w:hAnsi="宋体" w:eastAsia="仿宋_GB2312" w:cs="宋体"/>
                <w:color w:val="000000"/>
                <w:kern w:val="0"/>
                <w:szCs w:val="21"/>
              </w:rPr>
              <w:t>用途为</w:t>
            </w:r>
            <w:r>
              <w:rPr>
                <w:rFonts w:hint="eastAsia" w:ascii="仿宋_GB2312" w:hAnsi="宋体" w:eastAsia="仿宋_GB2312" w:cs="宋体"/>
                <w:color w:val="000000"/>
                <w:kern w:val="0"/>
                <w:szCs w:val="21"/>
                <w:lang w:eastAsia="zh-CN"/>
              </w:rPr>
              <w:t>住宅</w:t>
            </w:r>
            <w:r>
              <w:rPr>
                <w:rFonts w:hint="eastAsia" w:ascii="仿宋_GB2312" w:hAnsi="宋体" w:eastAsia="仿宋_GB2312" w:cs="宋体"/>
                <w:color w:val="000000"/>
                <w:kern w:val="0"/>
                <w:szCs w:val="21"/>
              </w:rPr>
              <w:t>，</w:t>
            </w:r>
            <w:r>
              <w:rPr>
                <w:rFonts w:hint="eastAsia" w:ascii="仿宋_GB2312" w:hAnsi="宋体" w:eastAsia="仿宋_GB2312" w:cs="宋体"/>
                <w:kern w:val="0"/>
                <w:szCs w:val="21"/>
              </w:rPr>
              <w:t>所在区域与估价对象相似使用的出售可比案例（同一供需圈内、用途一致、邻近区域）较少，故本次评估不选取比较法对估价对象进行估价。</w:t>
            </w:r>
          </w:p>
        </w:tc>
        <w:tc>
          <w:tcPr>
            <w:tcW w:w="945" w:type="dxa"/>
            <w:vAlign w:val="center"/>
          </w:tcPr>
          <w:p>
            <w:pPr>
              <w:spacing w:line="288" w:lineRule="auto"/>
              <w:jc w:val="center"/>
              <w:rPr>
                <w:rFonts w:ascii="仿宋_GB2312" w:hAnsi="楷体_GB2312" w:eastAsia="仿宋_GB2312" w:cs="楷体_GB2312"/>
                <w:bCs/>
                <w:szCs w:val="21"/>
              </w:rPr>
            </w:pPr>
            <w:r>
              <w:rPr>
                <w:rFonts w:hint="eastAsia" w:ascii="仿宋_GB2312" w:hAnsi="楷体_GB2312" w:eastAsia="仿宋_GB2312" w:cs="楷体_GB2312"/>
                <w:bCs/>
                <w:szCs w:val="21"/>
              </w:rPr>
              <w:t>不选取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05" w:type="dxa"/>
            <w:vAlign w:val="center"/>
          </w:tcPr>
          <w:p>
            <w:pPr>
              <w:widowControl/>
              <w:jc w:val="center"/>
              <w:rPr>
                <w:rFonts w:ascii="仿宋_GB2312" w:hAnsi="楷体_GB2312" w:eastAsia="仿宋_GB2312" w:cs="楷体_GB2312"/>
                <w:b/>
                <w:bCs/>
                <w:szCs w:val="21"/>
              </w:rPr>
            </w:pPr>
            <w:r>
              <w:rPr>
                <w:rFonts w:hint="eastAsia" w:ascii="仿宋_GB2312" w:hAnsi="宋体" w:eastAsia="仿宋_GB2312" w:cs="宋体"/>
                <w:b/>
                <w:color w:val="000000"/>
                <w:kern w:val="0"/>
                <w:szCs w:val="21"/>
              </w:rPr>
              <w:t>收益法</w:t>
            </w:r>
          </w:p>
        </w:tc>
        <w:tc>
          <w:tcPr>
            <w:tcW w:w="3818" w:type="dxa"/>
            <w:vAlign w:val="center"/>
          </w:tcPr>
          <w:p>
            <w:pPr>
              <w:widowControl/>
              <w:jc w:val="center"/>
              <w:rPr>
                <w:rFonts w:ascii="仿宋_GB2312" w:hAnsi="楷体_GB2312" w:eastAsia="仿宋_GB2312" w:cs="楷体_GB2312"/>
                <w:szCs w:val="21"/>
              </w:rPr>
            </w:pPr>
            <w:r>
              <w:rPr>
                <w:rFonts w:hint="eastAsia" w:ascii="仿宋_GB2312" w:hAnsi="宋体" w:eastAsia="仿宋_GB2312" w:cs="宋体"/>
                <w:color w:val="000000"/>
                <w:kern w:val="0"/>
                <w:szCs w:val="21"/>
              </w:rPr>
              <w:t>预测估价对象的未来收益，利用报酬率或资本化率、收益乘数将未来收益转换为价值得到估价对象价值或价格的方法。</w:t>
            </w:r>
          </w:p>
        </w:tc>
        <w:tc>
          <w:tcPr>
            <w:tcW w:w="4095" w:type="dxa"/>
            <w:vAlign w:val="center"/>
          </w:tcPr>
          <w:p>
            <w:pPr>
              <w:widowControl/>
              <w:jc w:val="center"/>
              <w:rPr>
                <w:rFonts w:ascii="仿宋_GB2312" w:hAnsi="楷体_GB2312" w:eastAsia="仿宋_GB2312" w:cs="楷体_GB2312"/>
                <w:szCs w:val="21"/>
              </w:rPr>
            </w:pPr>
            <w:r>
              <w:rPr>
                <w:rFonts w:hint="eastAsia" w:ascii="仿宋_GB2312" w:hAnsi="宋体" w:eastAsia="仿宋_GB2312" w:cs="宋体"/>
                <w:kern w:val="0"/>
                <w:szCs w:val="21"/>
              </w:rPr>
              <w:t>收益法适宜用于收益性物业评估，即为有经济收益或有潜在经济收益的房地产，估价对象所属区域已形成一定的租赁市场，出租收益回报也较好，且租金水平较为稳定，故本次评估选取采用收益法进行估价。</w:t>
            </w:r>
          </w:p>
        </w:tc>
        <w:tc>
          <w:tcPr>
            <w:tcW w:w="945" w:type="dxa"/>
            <w:vAlign w:val="center"/>
          </w:tcPr>
          <w:p>
            <w:pPr>
              <w:spacing w:line="288" w:lineRule="auto"/>
              <w:jc w:val="center"/>
              <w:rPr>
                <w:rFonts w:ascii="仿宋_GB2312" w:hAnsi="楷体_GB2312" w:eastAsia="仿宋_GB2312" w:cs="楷体_GB2312"/>
                <w:bCs/>
                <w:szCs w:val="21"/>
              </w:rPr>
            </w:pPr>
            <w:r>
              <w:rPr>
                <w:rFonts w:hint="eastAsia" w:ascii="仿宋_GB2312" w:hAnsi="楷体_GB2312" w:eastAsia="仿宋_GB2312" w:cs="楷体_GB2312"/>
                <w:bCs/>
                <w:szCs w:val="21"/>
              </w:rPr>
              <w:t>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5" w:hRule="atLeast"/>
          <w:jc w:val="center"/>
        </w:trPr>
        <w:tc>
          <w:tcPr>
            <w:tcW w:w="1105" w:type="dxa"/>
            <w:vAlign w:val="center"/>
          </w:tcPr>
          <w:p>
            <w:pPr>
              <w:widowControl/>
              <w:jc w:val="center"/>
              <w:rPr>
                <w:rFonts w:ascii="仿宋_GB2312" w:hAnsi="楷体_GB2312" w:eastAsia="仿宋_GB2312" w:cs="楷体_GB2312"/>
                <w:b/>
                <w:bCs/>
                <w:szCs w:val="21"/>
              </w:rPr>
            </w:pPr>
            <w:r>
              <w:rPr>
                <w:rFonts w:hint="eastAsia" w:ascii="仿宋_GB2312" w:hAnsi="宋体" w:eastAsia="仿宋_GB2312" w:cs="宋体"/>
                <w:b/>
                <w:color w:val="000000"/>
                <w:kern w:val="0"/>
                <w:szCs w:val="21"/>
              </w:rPr>
              <w:t>假设开发法</w:t>
            </w:r>
          </w:p>
        </w:tc>
        <w:tc>
          <w:tcPr>
            <w:tcW w:w="3818" w:type="dxa"/>
            <w:vAlign w:val="center"/>
          </w:tcPr>
          <w:p>
            <w:pPr>
              <w:widowControl/>
              <w:jc w:val="center"/>
              <w:rPr>
                <w:rFonts w:ascii="仿宋_GB2312" w:hAnsi="楷体_GB2312" w:eastAsia="仿宋_GB2312" w:cs="楷体_GB2312"/>
                <w:szCs w:val="21"/>
              </w:rPr>
            </w:pPr>
            <w:r>
              <w:rPr>
                <w:rFonts w:hint="eastAsia" w:ascii="仿宋_GB2312" w:hAnsi="宋体" w:eastAsia="仿宋_GB2312" w:cs="宋体"/>
                <w:color w:val="000000"/>
                <w:kern w:val="0"/>
                <w:szCs w:val="21"/>
              </w:rPr>
              <w:t>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w:t>
            </w:r>
          </w:p>
        </w:tc>
        <w:tc>
          <w:tcPr>
            <w:tcW w:w="4095" w:type="dxa"/>
            <w:vAlign w:val="center"/>
          </w:tcPr>
          <w:p>
            <w:pPr>
              <w:widowControl/>
              <w:jc w:val="center"/>
              <w:rPr>
                <w:rFonts w:ascii="仿宋_GB2312" w:hAnsi="楷体_GB2312" w:eastAsia="仿宋_GB2312" w:cs="楷体_GB2312"/>
                <w:szCs w:val="21"/>
              </w:rPr>
            </w:pPr>
            <w:r>
              <w:rPr>
                <w:rFonts w:hint="eastAsia" w:ascii="仿宋_GB2312" w:hAnsi="宋体" w:eastAsia="仿宋_GB2312" w:cs="宋体"/>
                <w:color w:val="000000"/>
                <w:kern w:val="0"/>
                <w:szCs w:val="21"/>
              </w:rPr>
              <w:t>假设开发法适用于评估具有投资开发价值或再开发潜力的房地产，估价对象为现状房地产，故本次评估不选取假设开发法作为估价方法。</w:t>
            </w:r>
          </w:p>
        </w:tc>
        <w:tc>
          <w:tcPr>
            <w:tcW w:w="945" w:type="dxa"/>
            <w:vAlign w:val="center"/>
          </w:tcPr>
          <w:p>
            <w:pPr>
              <w:spacing w:line="288" w:lineRule="auto"/>
              <w:jc w:val="center"/>
              <w:rPr>
                <w:rFonts w:ascii="仿宋_GB2312" w:hAnsi="楷体_GB2312" w:eastAsia="仿宋_GB2312" w:cs="楷体_GB2312"/>
                <w:bCs/>
                <w:szCs w:val="21"/>
              </w:rPr>
            </w:pPr>
            <w:r>
              <w:rPr>
                <w:rFonts w:hint="eastAsia" w:ascii="仿宋_GB2312" w:hAnsi="楷体_GB2312" w:eastAsia="仿宋_GB2312" w:cs="楷体_GB2312"/>
                <w:bCs/>
                <w:szCs w:val="21"/>
              </w:rPr>
              <w:t>不选取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6" w:hRule="atLeast"/>
          <w:jc w:val="center"/>
        </w:trPr>
        <w:tc>
          <w:tcPr>
            <w:tcW w:w="1105" w:type="dxa"/>
            <w:vAlign w:val="center"/>
          </w:tcPr>
          <w:p>
            <w:pPr>
              <w:widowControl/>
              <w:jc w:val="center"/>
              <w:rPr>
                <w:rFonts w:ascii="仿宋_GB2312" w:hAnsi="楷体_GB2312" w:eastAsia="仿宋_GB2312" w:cs="楷体_GB2312"/>
                <w:b/>
                <w:bCs/>
                <w:szCs w:val="21"/>
              </w:rPr>
            </w:pPr>
            <w:r>
              <w:rPr>
                <w:rFonts w:hint="eastAsia" w:ascii="仿宋_GB2312" w:hAnsi="宋体" w:eastAsia="仿宋_GB2312" w:cs="宋体"/>
                <w:b/>
                <w:color w:val="000000"/>
                <w:kern w:val="0"/>
                <w:szCs w:val="21"/>
              </w:rPr>
              <w:t>成本法</w:t>
            </w:r>
          </w:p>
        </w:tc>
        <w:tc>
          <w:tcPr>
            <w:tcW w:w="3818" w:type="dxa"/>
            <w:vAlign w:val="center"/>
          </w:tcPr>
          <w:p>
            <w:pPr>
              <w:widowControl/>
              <w:jc w:val="center"/>
              <w:rPr>
                <w:rFonts w:ascii="仿宋_GB2312" w:hAnsi="楷体_GB2312" w:eastAsia="仿宋_GB2312" w:cs="楷体_GB2312"/>
                <w:szCs w:val="21"/>
              </w:rPr>
            </w:pPr>
            <w:r>
              <w:rPr>
                <w:rFonts w:hint="eastAsia" w:ascii="仿宋_GB2312" w:hAnsi="宋体" w:eastAsia="仿宋_GB2312" w:cs="宋体"/>
                <w:color w:val="000000"/>
                <w:kern w:val="0"/>
                <w:szCs w:val="21"/>
              </w:rPr>
              <w:t>测算估价对象在价值时点的重置成本或重建成本和折旧，将重置成本或重建成本减去折旧得到估价对象价值或价格的方法。</w:t>
            </w:r>
          </w:p>
        </w:tc>
        <w:tc>
          <w:tcPr>
            <w:tcW w:w="4095" w:type="dxa"/>
            <w:vAlign w:val="center"/>
          </w:tcPr>
          <w:p>
            <w:pPr>
              <w:widowControl/>
              <w:jc w:val="center"/>
              <w:rPr>
                <w:rFonts w:ascii="仿宋_GB2312" w:hAnsi="楷体_GB2312" w:eastAsia="仿宋_GB2312" w:cs="楷体_GB2312"/>
                <w:szCs w:val="21"/>
              </w:rPr>
            </w:pPr>
            <w:r>
              <w:rPr>
                <w:rFonts w:hint="eastAsia" w:ascii="仿宋_GB2312" w:hAnsi="宋体" w:eastAsia="仿宋_GB2312" w:cs="宋体"/>
                <w:color w:val="000000"/>
                <w:kern w:val="0"/>
                <w:szCs w:val="21"/>
              </w:rPr>
              <w:t>估价对象为已建成房地产的分割单元，不具备开发或再开发潜力，运用成本法测算的结果不能较好反映估价对象市场价值，故不选取成本法进行评估。</w:t>
            </w:r>
          </w:p>
        </w:tc>
        <w:tc>
          <w:tcPr>
            <w:tcW w:w="945" w:type="dxa"/>
            <w:vAlign w:val="center"/>
          </w:tcPr>
          <w:p>
            <w:pPr>
              <w:spacing w:line="288" w:lineRule="auto"/>
              <w:jc w:val="center"/>
              <w:rPr>
                <w:rFonts w:ascii="仿宋_GB2312" w:hAnsi="楷体_GB2312" w:eastAsia="仿宋_GB2312" w:cs="楷体_GB2312"/>
                <w:bCs/>
                <w:szCs w:val="21"/>
              </w:rPr>
            </w:pPr>
            <w:r>
              <w:rPr>
                <w:rFonts w:hint="eastAsia" w:ascii="仿宋_GB2312" w:hAnsi="楷体_GB2312" w:eastAsia="仿宋_GB2312" w:cs="楷体_GB2312"/>
                <w:bCs/>
                <w:szCs w:val="21"/>
              </w:rPr>
              <w:t>不选取</w:t>
            </w:r>
          </w:p>
        </w:tc>
      </w:tr>
    </w:tbl>
    <w:p>
      <w:pPr>
        <w:widowControl/>
        <w:jc w:val="left"/>
        <w:rPr>
          <w:rFonts w:ascii="仿宋_GB2312" w:hAnsi="楷体_GB2312" w:eastAsia="仿宋_GB2312" w:cs="楷体_GB2312"/>
          <w:snapToGrid w:val="0"/>
          <w:kern w:val="0"/>
          <w:sz w:val="28"/>
          <w:szCs w:val="28"/>
        </w:rPr>
      </w:pPr>
      <w:r>
        <w:rPr>
          <w:rFonts w:hint="eastAsia" w:ascii="仿宋_GB2312" w:hAnsi="宋体" w:eastAsia="仿宋_GB2312" w:cs="宋体"/>
          <w:b/>
          <w:color w:val="000000"/>
          <w:kern w:val="0"/>
          <w:sz w:val="28"/>
          <w:szCs w:val="28"/>
        </w:rPr>
        <w:t xml:space="preserve">  2.本次选用估价方法定义及基本公式</w:t>
      </w:r>
    </w:p>
    <w:p>
      <w:pPr>
        <w:adjustRightInd w:val="0"/>
        <w:snapToGrid w:val="0"/>
        <w:spacing w:line="360" w:lineRule="auto"/>
        <w:ind w:firstLine="501" w:firstLineChars="149"/>
        <w:rPr>
          <w:rFonts w:ascii="仿宋_GB2312" w:eastAsia="仿宋_GB2312"/>
          <w:snapToGrid w:val="0"/>
          <w:sz w:val="28"/>
          <w:szCs w:val="28"/>
        </w:rPr>
      </w:pPr>
      <w:r>
        <w:rPr>
          <w:rFonts w:hint="eastAsia" w:ascii="仿宋_GB2312" w:eastAsia="仿宋_GB2312"/>
          <w:snapToGrid w:val="0"/>
          <w:sz w:val="28"/>
          <w:szCs w:val="28"/>
        </w:rPr>
        <w:t>收益法：预测估价对象的未来收益，利用报酬率或资本化率、收益乘数将未来收益转换为价值得到估价对象价值或价格的方法。</w:t>
      </w:r>
    </w:p>
    <w:p>
      <w:pPr>
        <w:adjustRightInd w:val="0"/>
        <w:snapToGrid w:val="0"/>
        <w:spacing w:line="360" w:lineRule="auto"/>
        <w:ind w:firstLine="501" w:firstLineChars="149"/>
        <w:rPr>
          <w:rFonts w:ascii="仿宋_GB2312" w:eastAsia="仿宋_GB2312"/>
          <w:snapToGrid w:val="0"/>
          <w:sz w:val="28"/>
          <w:szCs w:val="28"/>
        </w:rPr>
      </w:pPr>
      <w:r>
        <w:rPr>
          <w:rFonts w:hint="eastAsia" w:ascii="仿宋_GB2312" w:eastAsia="仿宋_GB2312"/>
          <w:snapToGrid w:val="0"/>
          <w:sz w:val="28"/>
          <w:szCs w:val="28"/>
        </w:rPr>
        <w:t>公式：</w:t>
      </w:r>
    </w:p>
    <w:p>
      <w:pPr>
        <w:tabs>
          <w:tab w:val="left" w:pos="6810"/>
        </w:tabs>
        <w:spacing w:line="360" w:lineRule="auto"/>
        <w:ind w:firstLine="2159" w:firstLineChars="641"/>
        <w:rPr>
          <w:rFonts w:ascii="仿宋_GB2312" w:hAnsi="宋体" w:eastAsia="仿宋_GB2312"/>
          <w:sz w:val="28"/>
          <w:szCs w:val="28"/>
        </w:rPr>
      </w:pPr>
      <w:r>
        <w:rPr>
          <w:rFonts w:hint="eastAsia" w:ascii="仿宋_GB2312" w:hAnsi="宋体" w:eastAsia="仿宋_GB2312"/>
          <w:position w:val="-32"/>
          <w:sz w:val="28"/>
          <w:szCs w:val="28"/>
        </w:rPr>
        <w:object>
          <v:shape id="_x0000_i1027" o:spt="75" type="#_x0000_t75" style="height:38.25pt;width:144pt;" o:ole="t" filled="f" o:preferrelative="t" stroked="f" coordsize="21600,21600">
            <v:path/>
            <v:fill on="f" focussize="0,0"/>
            <v:stroke on="f" joinstyle="miter"/>
            <v:imagedata r:id="rId13" o:title=""/>
            <o:lock v:ext="edit" aspectratio="t"/>
            <w10:wrap type="none"/>
            <w10:anchorlock/>
          </v:shape>
          <o:OLEObject Type="Embed" ProgID="Equations" ShapeID="_x0000_i1027" DrawAspect="Content" ObjectID="_1468075727" r:id="rId20">
            <o:LockedField>false</o:LockedField>
          </o:OLEObject>
        </w:object>
      </w:r>
      <w:r>
        <w:rPr>
          <w:rFonts w:hint="eastAsia" w:ascii="仿宋_GB2312" w:hAnsi="宋体" w:eastAsia="仿宋_GB2312"/>
          <w:sz w:val="28"/>
          <w:szCs w:val="28"/>
        </w:rPr>
        <w:t xml:space="preserve"> 或</w:t>
      </w:r>
      <w:r>
        <w:rPr>
          <w:rFonts w:hint="eastAsia" w:ascii="仿宋_GB2312" w:hAnsi="宋体" w:eastAsia="仿宋_GB2312"/>
          <w:position w:val="-36"/>
          <w:sz w:val="28"/>
          <w:szCs w:val="28"/>
        </w:rPr>
        <w:object>
          <v:shape id="_x0000_i1028" o:spt="75" type="#_x0000_t75" style="height:42pt;width:147pt;" o:ole="t" filled="f" o:preferrelative="t" stroked="f" coordsize="21600,21600">
            <v:path/>
            <v:fill on="f" focussize="0,0"/>
            <v:stroke on="f" joinstyle="miter"/>
            <v:imagedata r:id="rId15" o:title=""/>
            <o:lock v:ext="edit" aspectratio="t"/>
            <w10:wrap type="none"/>
            <w10:anchorlock/>
          </v:shape>
          <o:OLEObject Type="Embed" ProgID="Equations" ShapeID="_x0000_i1028" DrawAspect="Content" ObjectID="_1468075728" r:id="rId21">
            <o:LockedField>false</o:LockedField>
          </o:OLEObject>
        </w:object>
      </w:r>
    </w:p>
    <w:p>
      <w:pPr>
        <w:adjustRightInd w:val="0"/>
        <w:snapToGrid w:val="0"/>
        <w:spacing w:line="360" w:lineRule="auto"/>
        <w:ind w:firstLine="501" w:firstLineChars="149"/>
        <w:rPr>
          <w:rFonts w:ascii="仿宋_GB2312" w:eastAsia="仿宋_GB2312"/>
          <w:snapToGrid w:val="0"/>
          <w:sz w:val="28"/>
          <w:szCs w:val="28"/>
        </w:rPr>
      </w:pPr>
      <w:r>
        <w:rPr>
          <w:rFonts w:hint="eastAsia" w:ascii="仿宋_GB2312" w:eastAsia="仿宋_GB2312"/>
          <w:snapToGrid w:val="0"/>
          <w:sz w:val="28"/>
          <w:szCs w:val="28"/>
        </w:rPr>
        <w:t>(式中：V＝收益价值，a＝房地产的年净收益，r＝房地产的报酬率或资本化率，n＝房地产的收益期，g＝净收益递增比例)</w:t>
      </w:r>
    </w:p>
    <w:p>
      <w:pPr>
        <w:adjustRightInd w:val="0"/>
        <w:snapToGrid w:val="0"/>
        <w:spacing w:line="360" w:lineRule="auto"/>
        <w:ind w:firstLine="501" w:firstLineChars="149"/>
        <w:rPr>
          <w:rFonts w:ascii="仿宋_GB2312" w:eastAsia="仿宋_GB2312"/>
          <w:snapToGrid w:val="0"/>
          <w:sz w:val="28"/>
          <w:szCs w:val="28"/>
        </w:rPr>
      </w:pPr>
      <w:r>
        <w:rPr>
          <w:rFonts w:hint="eastAsia" w:ascii="仿宋_GB2312" w:eastAsia="仿宋_GB2312"/>
          <w:snapToGrid w:val="0"/>
          <w:sz w:val="28"/>
          <w:szCs w:val="28"/>
        </w:rPr>
        <w:t>技术路线：</w:t>
      </w:r>
    </w:p>
    <w:p>
      <w:pPr>
        <w:adjustRightInd w:val="0"/>
        <w:snapToGrid w:val="0"/>
        <w:spacing w:line="360" w:lineRule="auto"/>
        <w:ind w:firstLine="501" w:firstLineChars="149"/>
        <w:rPr>
          <w:rFonts w:ascii="仿宋_GB2312" w:eastAsia="仿宋_GB2312"/>
          <w:snapToGrid w:val="0"/>
          <w:sz w:val="28"/>
          <w:szCs w:val="28"/>
        </w:rPr>
      </w:pPr>
      <w:r>
        <w:rPr>
          <w:rFonts w:hint="eastAsia" w:ascii="仿宋_GB2312" w:eastAsia="仿宋_GB2312"/>
          <w:snapToGrid w:val="0"/>
          <w:sz w:val="28"/>
          <w:szCs w:val="28"/>
        </w:rPr>
        <w:t>①并验证与估价对象未来预期收益有关的数据资料；</w:t>
      </w:r>
    </w:p>
    <w:p>
      <w:pPr>
        <w:adjustRightInd w:val="0"/>
        <w:snapToGrid w:val="0"/>
        <w:spacing w:line="360" w:lineRule="auto"/>
        <w:ind w:firstLine="501" w:firstLineChars="149"/>
        <w:rPr>
          <w:rFonts w:ascii="仿宋_GB2312" w:eastAsia="仿宋_GB2312"/>
          <w:snapToGrid w:val="0"/>
          <w:sz w:val="28"/>
          <w:szCs w:val="28"/>
        </w:rPr>
      </w:pPr>
      <w:r>
        <w:rPr>
          <w:rFonts w:hint="eastAsia" w:ascii="仿宋_GB2312" w:eastAsia="仿宋_GB2312"/>
          <w:snapToGrid w:val="0"/>
          <w:sz w:val="28"/>
          <w:szCs w:val="28"/>
        </w:rPr>
        <w:t>②预测估价对象的未来收益；</w:t>
      </w:r>
    </w:p>
    <w:p>
      <w:pPr>
        <w:adjustRightInd w:val="0"/>
        <w:snapToGrid w:val="0"/>
        <w:spacing w:line="360" w:lineRule="auto"/>
        <w:ind w:firstLine="501" w:firstLineChars="149"/>
        <w:rPr>
          <w:rFonts w:ascii="仿宋_GB2312" w:eastAsia="仿宋_GB2312"/>
          <w:snapToGrid w:val="0"/>
          <w:sz w:val="28"/>
          <w:szCs w:val="28"/>
        </w:rPr>
      </w:pPr>
      <w:r>
        <w:rPr>
          <w:rFonts w:hint="eastAsia" w:ascii="仿宋_GB2312" w:eastAsia="仿宋_GB2312"/>
          <w:snapToGrid w:val="0"/>
          <w:sz w:val="28"/>
          <w:szCs w:val="28"/>
        </w:rPr>
        <w:t>③求取报酬率或资本化率；</w:t>
      </w:r>
    </w:p>
    <w:p>
      <w:pPr>
        <w:adjustRightInd w:val="0"/>
        <w:snapToGrid w:val="0"/>
        <w:spacing w:line="360" w:lineRule="auto"/>
        <w:ind w:firstLine="501" w:firstLineChars="149"/>
        <w:rPr>
          <w:rFonts w:ascii="仿宋_GB2312" w:eastAsia="仿宋_GB2312"/>
          <w:snapToGrid w:val="0"/>
          <w:sz w:val="28"/>
          <w:szCs w:val="28"/>
        </w:rPr>
      </w:pPr>
      <w:r>
        <w:rPr>
          <w:rFonts w:hint="eastAsia" w:ascii="仿宋_GB2312" w:eastAsia="仿宋_GB2312"/>
          <w:snapToGrid w:val="0"/>
          <w:sz w:val="28"/>
          <w:szCs w:val="28"/>
        </w:rPr>
        <w:t>④选择适宜的收益公式计算收益价值</w:t>
      </w:r>
    </w:p>
    <w:p>
      <w:pPr>
        <w:spacing w:line="360" w:lineRule="auto"/>
        <w:rPr>
          <w:rFonts w:hint="eastAsia" w:ascii="黑体" w:hAnsi="黑体" w:eastAsia="黑体" w:cs="黑体"/>
          <w:b/>
          <w:bCs/>
          <w:snapToGrid w:val="0"/>
          <w:kern w:val="0"/>
          <w:sz w:val="30"/>
          <w:szCs w:val="30"/>
        </w:rPr>
      </w:pPr>
      <w:r>
        <w:rPr>
          <w:rFonts w:hint="eastAsia" w:ascii="Arial" w:hAnsi="Arial" w:eastAsia="黑体"/>
          <w:b/>
          <w:bCs/>
          <w:snapToGrid w:val="0"/>
          <w:kern w:val="0"/>
          <w:sz w:val="30"/>
          <w:szCs w:val="30"/>
        </w:rPr>
        <w:t>（六）估价测算过程</w:t>
      </w:r>
    </w:p>
    <w:p>
      <w:pPr>
        <w:spacing w:line="440" w:lineRule="exact"/>
        <w:ind w:firstLine="714" w:firstLineChars="200"/>
        <w:rPr>
          <w:rFonts w:ascii="仿宋_GB2312" w:hAnsi="宋体" w:eastAsia="仿宋_GB2312"/>
          <w:b/>
          <w:bCs/>
          <w:spacing w:val="10"/>
          <w:sz w:val="28"/>
          <w:szCs w:val="28"/>
        </w:rPr>
      </w:pPr>
      <w:r>
        <w:rPr>
          <w:rFonts w:hint="eastAsia" w:ascii="仿宋_GB2312" w:hAnsi="宋体" w:eastAsia="仿宋_GB2312"/>
          <w:b/>
          <w:snapToGrid w:val="0"/>
          <w:spacing w:val="10"/>
          <w:sz w:val="28"/>
          <w:szCs w:val="28"/>
        </w:rPr>
        <w:t>采用</w:t>
      </w:r>
      <w:r>
        <w:rPr>
          <w:rFonts w:hint="eastAsia" w:ascii="仿宋_GB2312" w:hAnsi="宋体" w:eastAsia="仿宋_GB2312"/>
          <w:b/>
          <w:spacing w:val="10"/>
          <w:sz w:val="28"/>
          <w:szCs w:val="28"/>
        </w:rPr>
        <w:t>收益法</w:t>
      </w:r>
      <w:r>
        <w:rPr>
          <w:rFonts w:hint="eastAsia" w:ascii="仿宋_GB2312" w:hAnsi="宋体" w:eastAsia="仿宋_GB2312"/>
          <w:b/>
          <w:snapToGrid w:val="0"/>
          <w:spacing w:val="10"/>
          <w:sz w:val="28"/>
          <w:szCs w:val="28"/>
        </w:rPr>
        <w:t>测</w:t>
      </w:r>
      <w:r>
        <w:rPr>
          <w:rFonts w:hint="eastAsia" w:ascii="仿宋_GB2312" w:hAnsi="宋体" w:eastAsia="仿宋_GB2312"/>
          <w:b/>
          <w:spacing w:val="10"/>
          <w:sz w:val="28"/>
          <w:szCs w:val="28"/>
        </w:rPr>
        <w:t>算</w:t>
      </w:r>
      <w:r>
        <w:rPr>
          <w:rFonts w:hint="eastAsia" w:ascii="仿宋_GB2312" w:hAnsi="宋体" w:eastAsia="仿宋_GB2312"/>
          <w:b/>
          <w:snapToGrid w:val="0"/>
          <w:spacing w:val="10"/>
          <w:sz w:val="28"/>
          <w:szCs w:val="28"/>
        </w:rPr>
        <w:t>房地产</w:t>
      </w:r>
      <w:r>
        <w:rPr>
          <w:rFonts w:hint="eastAsia" w:ascii="仿宋_GB2312" w:hAnsi="宋体" w:eastAsia="仿宋_GB2312"/>
          <w:b/>
          <w:snapToGrid w:val="0"/>
          <w:spacing w:val="10"/>
          <w:sz w:val="28"/>
          <w:szCs w:val="28"/>
          <w:lang w:eastAsia="zh-CN"/>
        </w:rPr>
        <w:t>租金</w:t>
      </w:r>
      <w:r>
        <w:rPr>
          <w:rFonts w:hint="eastAsia" w:ascii="仿宋_GB2312" w:hAnsi="宋体" w:eastAsia="仿宋_GB2312"/>
          <w:b/>
          <w:snapToGrid w:val="0"/>
          <w:spacing w:val="10"/>
          <w:sz w:val="28"/>
          <w:szCs w:val="28"/>
        </w:rPr>
        <w:t>市场价值</w:t>
      </w:r>
    </w:p>
    <w:p>
      <w:pPr>
        <w:tabs>
          <w:tab w:val="left" w:pos="0"/>
        </w:tabs>
        <w:adjustRightInd w:val="0"/>
        <w:snapToGrid w:val="0"/>
        <w:spacing w:line="480" w:lineRule="exact"/>
        <w:ind w:firstLine="482"/>
        <w:rPr>
          <w:rFonts w:ascii="仿宋_GB2312" w:hAnsi="宋体" w:eastAsia="仿宋_GB2312"/>
          <w:sz w:val="28"/>
          <w:szCs w:val="28"/>
        </w:rPr>
      </w:pPr>
      <w:r>
        <w:rPr>
          <w:rFonts w:hint="eastAsia" w:ascii="仿宋_GB2312" w:hAnsi="宋体" w:eastAsia="仿宋_GB2312"/>
          <w:snapToGrid w:val="0"/>
          <w:kern w:val="0"/>
          <w:sz w:val="28"/>
          <w:szCs w:val="28"/>
        </w:rPr>
        <w:t>在估价对象所在的区域内，有不少业主将与估价对象房屋相类似的房地产长期用于出租以获取稳定的收益，故也可以采用收益法估价。具体如下：</w:t>
      </w:r>
    </w:p>
    <w:p>
      <w:pPr>
        <w:suppressAutoHyphens/>
        <w:adjustRightInd w:val="0"/>
        <w:snapToGrid w:val="0"/>
        <w:spacing w:line="440" w:lineRule="exact"/>
        <w:ind w:firstLine="714" w:firstLineChars="200"/>
        <w:rPr>
          <w:rFonts w:ascii="仿宋_GB2312" w:hAnsi="宋体" w:eastAsia="仿宋_GB2312"/>
          <w:bCs/>
          <w:sz w:val="28"/>
          <w:szCs w:val="28"/>
        </w:rPr>
      </w:pPr>
      <w:r>
        <w:rPr>
          <w:rFonts w:hint="eastAsia" w:ascii="仿宋_GB2312" w:hAnsi="宋体" w:eastAsia="仿宋_GB2312"/>
          <w:b/>
          <w:snapToGrid w:val="0"/>
          <w:spacing w:val="10"/>
          <w:sz w:val="28"/>
          <w:szCs w:val="28"/>
        </w:rPr>
        <w:t>1．基本原理</w:t>
      </w:r>
    </w:p>
    <w:p>
      <w:pPr>
        <w:tabs>
          <w:tab w:val="left" w:pos="0"/>
        </w:tabs>
        <w:adjustRightInd w:val="0"/>
        <w:snapToGrid w:val="0"/>
        <w:spacing w:line="480" w:lineRule="exact"/>
        <w:ind w:firstLine="482"/>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预测估价对象的未来收益，利用报酬率或资本化率、收益乘数将未来收益转换为价值得到估价对象价值或价格的方法。</w:t>
      </w:r>
    </w:p>
    <w:p>
      <w:pPr>
        <w:pStyle w:val="26"/>
        <w:topLinePunct/>
        <w:spacing w:before="240"/>
        <w:ind w:firstLine="560"/>
        <w:rPr>
          <w:rFonts w:ascii="仿宋_GB2312" w:hAnsi="宋体" w:eastAsia="仿宋_GB2312"/>
          <w:position w:val="-36"/>
          <w:sz w:val="28"/>
          <w:szCs w:val="28"/>
        </w:rPr>
      </w:pPr>
      <w:r>
        <w:rPr>
          <w:rFonts w:hint="eastAsia" w:ascii="仿宋_GB2312" w:eastAsia="仿宋_GB2312"/>
          <w:sz w:val="28"/>
          <w:szCs w:val="28"/>
        </w:rPr>
        <w:t>公式：</w:t>
      </w:r>
      <w:r>
        <w:rPr>
          <w:rFonts w:ascii="仿宋_GB2312" w:hAnsi="宋体" w:eastAsia="仿宋_GB2312"/>
          <w:position w:val="-36"/>
          <w:sz w:val="28"/>
          <w:szCs w:val="28"/>
        </w:rPr>
        <w:t xml:space="preserve"> </w:t>
      </w:r>
      <w:r>
        <w:rPr>
          <w:rFonts w:hint="eastAsia" w:ascii="仿宋_GB2312" w:hAnsi="宋体" w:eastAsia="仿宋_GB2312"/>
          <w:position w:val="-36"/>
          <w:sz w:val="28"/>
          <w:szCs w:val="28"/>
        </w:rPr>
        <w:object>
          <v:shape id="_x0000_i1029" o:spt="75" type="#_x0000_t75" style="height:42pt;width:147pt;" o:ole="t" filled="f" o:preferrelative="t" stroked="f" coordsize="21600,21600">
            <v:path/>
            <v:fill on="f" focussize="0,0"/>
            <v:stroke on="f" joinstyle="miter"/>
            <v:imagedata r:id="rId15" o:title=""/>
            <o:lock v:ext="edit" aspectratio="t"/>
            <w10:wrap type="none"/>
            <w10:anchorlock/>
          </v:shape>
          <o:OLEObject Type="Embed" ProgID="Equations" ShapeID="_x0000_i1029" DrawAspect="Content" ObjectID="_1468075729" r:id="rId22">
            <o:LockedField>false</o:LockedField>
          </o:OLEObject>
        </w:object>
      </w:r>
    </w:p>
    <w:p>
      <w:pPr>
        <w:tabs>
          <w:tab w:val="left" w:pos="0"/>
        </w:tabs>
        <w:adjustRightInd w:val="0"/>
        <w:snapToGrid w:val="0"/>
        <w:spacing w:line="480" w:lineRule="exact"/>
        <w:ind w:firstLine="482"/>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式中：V＝收益价值，</w:t>
      </w:r>
    </w:p>
    <w:p>
      <w:pPr>
        <w:tabs>
          <w:tab w:val="left" w:pos="0"/>
        </w:tabs>
        <w:adjustRightInd w:val="0"/>
        <w:snapToGrid w:val="0"/>
        <w:spacing w:line="480" w:lineRule="exact"/>
        <w:ind w:firstLine="1300" w:firstLineChars="386"/>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a＝房地产的年净收益，</w:t>
      </w:r>
    </w:p>
    <w:p>
      <w:pPr>
        <w:tabs>
          <w:tab w:val="left" w:pos="0"/>
        </w:tabs>
        <w:adjustRightInd w:val="0"/>
        <w:snapToGrid w:val="0"/>
        <w:spacing w:line="480" w:lineRule="exact"/>
        <w:ind w:firstLine="1307" w:firstLineChars="388"/>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r＝房地产的报酬率，</w:t>
      </w:r>
    </w:p>
    <w:p>
      <w:pPr>
        <w:tabs>
          <w:tab w:val="left" w:pos="0"/>
        </w:tabs>
        <w:adjustRightInd w:val="0"/>
        <w:snapToGrid w:val="0"/>
        <w:spacing w:line="480" w:lineRule="exact"/>
        <w:ind w:firstLine="1307" w:firstLineChars="388"/>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n＝房地产的收益期，</w:t>
      </w:r>
    </w:p>
    <w:p>
      <w:pPr>
        <w:tabs>
          <w:tab w:val="left" w:pos="0"/>
        </w:tabs>
        <w:adjustRightInd w:val="0"/>
        <w:snapToGrid w:val="0"/>
        <w:spacing w:line="480" w:lineRule="exact"/>
        <w:ind w:firstLine="1307" w:firstLineChars="388"/>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g＝净收益递增比例。</w:t>
      </w:r>
    </w:p>
    <w:p>
      <w:pPr>
        <w:spacing w:line="440" w:lineRule="exact"/>
        <w:ind w:firstLine="714" w:firstLineChars="200"/>
        <w:rPr>
          <w:rFonts w:ascii="仿宋_GB2312" w:hAnsi="宋体" w:eastAsia="仿宋_GB2312"/>
          <w:b/>
          <w:spacing w:val="10"/>
          <w:sz w:val="28"/>
          <w:szCs w:val="28"/>
        </w:rPr>
      </w:pPr>
      <w:r>
        <w:rPr>
          <w:rFonts w:hint="eastAsia" w:ascii="仿宋_GB2312" w:hAnsi="宋体" w:eastAsia="仿宋_GB2312"/>
          <w:b/>
          <w:spacing w:val="10"/>
          <w:sz w:val="28"/>
          <w:szCs w:val="28"/>
        </w:rPr>
        <w:t>2．估算步骤</w:t>
      </w:r>
    </w:p>
    <w:p>
      <w:pPr>
        <w:tabs>
          <w:tab w:val="left" w:pos="0"/>
        </w:tabs>
        <w:adjustRightInd w:val="0"/>
        <w:snapToGrid w:val="0"/>
        <w:spacing w:line="480" w:lineRule="exact"/>
        <w:ind w:firstLine="482"/>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① 搜集有关收入和税费的资料；</w:t>
      </w:r>
    </w:p>
    <w:p>
      <w:pPr>
        <w:tabs>
          <w:tab w:val="left" w:pos="0"/>
        </w:tabs>
        <w:adjustRightInd w:val="0"/>
        <w:snapToGrid w:val="0"/>
        <w:spacing w:line="480" w:lineRule="exact"/>
        <w:ind w:firstLine="482"/>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② 选用适当的资本化率；</w:t>
      </w:r>
    </w:p>
    <w:p>
      <w:pPr>
        <w:tabs>
          <w:tab w:val="left" w:pos="0"/>
        </w:tabs>
        <w:adjustRightInd w:val="0"/>
        <w:snapToGrid w:val="0"/>
        <w:spacing w:line="480" w:lineRule="exact"/>
        <w:ind w:firstLine="482"/>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③ 估算潜在毛收入；</w:t>
      </w:r>
    </w:p>
    <w:p>
      <w:pPr>
        <w:tabs>
          <w:tab w:val="left" w:pos="0"/>
        </w:tabs>
        <w:adjustRightInd w:val="0"/>
        <w:snapToGrid w:val="0"/>
        <w:spacing w:line="480" w:lineRule="exact"/>
        <w:ind w:firstLine="482"/>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④ 估算有效毛收入；</w:t>
      </w:r>
    </w:p>
    <w:p>
      <w:pPr>
        <w:tabs>
          <w:tab w:val="left" w:pos="0"/>
        </w:tabs>
        <w:adjustRightInd w:val="0"/>
        <w:snapToGrid w:val="0"/>
        <w:spacing w:line="480" w:lineRule="exact"/>
        <w:ind w:firstLine="482"/>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⑤ 估算相关税费；</w:t>
      </w:r>
    </w:p>
    <w:p>
      <w:pPr>
        <w:tabs>
          <w:tab w:val="left" w:pos="0"/>
        </w:tabs>
        <w:adjustRightInd w:val="0"/>
        <w:snapToGrid w:val="0"/>
        <w:spacing w:line="480" w:lineRule="exact"/>
        <w:ind w:firstLine="482"/>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⑥ 估算净收益；</w:t>
      </w:r>
    </w:p>
    <w:p>
      <w:pPr>
        <w:tabs>
          <w:tab w:val="left" w:pos="0"/>
        </w:tabs>
        <w:adjustRightInd w:val="0"/>
        <w:snapToGrid w:val="0"/>
        <w:spacing w:line="480" w:lineRule="exact"/>
        <w:ind w:firstLine="482"/>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⑦ 确定收益期；</w:t>
      </w:r>
    </w:p>
    <w:p>
      <w:pPr>
        <w:tabs>
          <w:tab w:val="left" w:pos="0"/>
        </w:tabs>
        <w:adjustRightInd w:val="0"/>
        <w:snapToGrid w:val="0"/>
        <w:spacing w:line="480" w:lineRule="exact"/>
        <w:ind w:firstLine="482"/>
        <w:rPr>
          <w:rFonts w:ascii="仿宋_GB2312" w:hAnsi="宋体" w:eastAsia="仿宋_GB2312"/>
          <w:snapToGrid w:val="0"/>
          <w:kern w:val="0"/>
          <w:sz w:val="28"/>
          <w:szCs w:val="28"/>
        </w:rPr>
      </w:pPr>
      <w:r>
        <w:rPr>
          <w:rFonts w:hint="eastAsia" w:ascii="仿宋_GB2312" w:hAnsi="宋体" w:eastAsia="仿宋_GB2312"/>
          <w:snapToGrid w:val="0"/>
          <w:kern w:val="0"/>
          <w:sz w:val="28"/>
          <w:szCs w:val="28"/>
        </w:rPr>
        <w:t>⑧ 选用适宜的计算公式求出收益价值。</w:t>
      </w:r>
    </w:p>
    <w:p>
      <w:pPr>
        <w:autoSpaceDE w:val="0"/>
        <w:autoSpaceDN w:val="0"/>
        <w:adjustRightInd w:val="0"/>
        <w:snapToGrid w:val="0"/>
        <w:spacing w:line="440" w:lineRule="exact"/>
        <w:ind w:left="-2" w:firstLine="674" w:firstLineChars="200"/>
        <w:rPr>
          <w:rFonts w:ascii="仿宋_GB2312" w:hAnsi="宋体" w:eastAsia="仿宋_GB2312"/>
          <w:b/>
          <w:sz w:val="28"/>
          <w:szCs w:val="28"/>
        </w:rPr>
      </w:pPr>
      <w:r>
        <w:rPr>
          <w:rFonts w:hint="eastAsia" w:ascii="仿宋_GB2312" w:hAnsi="宋体" w:eastAsia="仿宋_GB2312"/>
          <w:b/>
          <w:sz w:val="28"/>
          <w:szCs w:val="28"/>
        </w:rPr>
        <w:t>3．测算过程</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⑴ 计算净收益</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根据《房地产估价规范》的规定，出租型房地产的净收益为租赁收入扣除维修费、管理费、保险费和税金等费用。</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① 求取年租赁收入</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租赁收入包括有效毛租金收入和租赁保证金、押金等的利息收入。</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宋体" w:hAnsi="宋体" w:cs="宋体"/>
          <w:snapToGrid w:val="0"/>
          <w:kern w:val="0"/>
          <w:sz w:val="28"/>
          <w:szCs w:val="28"/>
        </w:rPr>
        <w:t>ⅰ</w:t>
      </w:r>
      <w:r>
        <w:rPr>
          <w:rFonts w:hint="eastAsia" w:ascii="仿宋_GB2312" w:eastAsia="仿宋_GB2312"/>
          <w:snapToGrid w:val="0"/>
          <w:kern w:val="0"/>
          <w:sz w:val="28"/>
          <w:szCs w:val="28"/>
        </w:rPr>
        <w:t>、 确定有效毛租金收入</w:t>
      </w:r>
    </w:p>
    <w:p>
      <w:pPr>
        <w:spacing w:line="500" w:lineRule="exact"/>
        <w:ind w:firstLine="659" w:firstLineChars="196"/>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调查档次相同、用途相似的房地产的租金水平和出租率，比较分析确定出租的客观租金水平和出租率。根据调查分析，用市场比较法推算估价对象客观租金水平。</w:t>
      </w:r>
    </w:p>
    <w:p>
      <w:pPr>
        <w:spacing w:line="500" w:lineRule="exact"/>
        <w:ind w:firstLine="659" w:firstLineChars="196"/>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选择交易案例：</w:t>
      </w:r>
    </w:p>
    <w:p>
      <w:pPr>
        <w:spacing w:line="500" w:lineRule="exact"/>
        <w:ind w:firstLine="659" w:firstLineChars="196"/>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估价人员经过市场调查，该房地产所在区域内，根据当地租赁市场交易习惯，均以产权登记面积为准收取租金。租金标准为随市场行情一年一交、一次性付清，故租赁情况并不对房地产价值产生明显影响。估价对象所在市场发展状况较为成熟稳定，极少会发生拖延支付租金或空置现象，因此本次测算考虑空置和收租损失对房地产价值的影响较小。经调查，该区域用于租赁的房地产经营收入和相关费用一般波动较小，呈稳定发展态势。</w:t>
      </w:r>
    </w:p>
    <w:p>
      <w:pPr>
        <w:spacing w:line="500" w:lineRule="exact"/>
        <w:ind w:firstLine="659" w:firstLineChars="196"/>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根据调查，同一档次类似房地产租赁市场，针对估价对象的功能及特点，收集了有关的成交资料，进行分析比较，根据替代原则，从中选择了可比性较强的三个实例，该三个实例均为出租型的房产，与估价对象同属一区域，建筑结构及建筑年代类似，因此，区位状况一致，实物状况类似，具体情况详见比较因素条件说明表：</w:t>
      </w:r>
    </w:p>
    <w:p>
      <w:pPr>
        <w:spacing w:line="500" w:lineRule="exact"/>
        <w:ind w:firstLine="659" w:firstLineChars="196"/>
        <w:jc w:val="center"/>
        <w:rPr>
          <w:rFonts w:hint="eastAsia" w:ascii="仿宋_GB2312" w:hAnsi="楷体" w:eastAsia="仿宋_GB2312"/>
          <w:snapToGrid w:val="0"/>
          <w:kern w:val="0"/>
          <w:sz w:val="28"/>
          <w:szCs w:val="28"/>
        </w:rPr>
      </w:pPr>
      <w:r>
        <w:rPr>
          <w:rFonts w:hint="eastAsia" w:ascii="仿宋_GB2312" w:hAnsi="楷体" w:eastAsia="仿宋_GB2312"/>
          <w:snapToGrid w:val="0"/>
          <w:kern w:val="0"/>
          <w:sz w:val="28"/>
          <w:szCs w:val="28"/>
        </w:rPr>
        <w:t>比较因素条件说明表</w:t>
      </w:r>
    </w:p>
    <w:tbl>
      <w:tblPr>
        <w:tblStyle w:val="45"/>
        <w:tblW w:w="977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476"/>
        <w:gridCol w:w="1475"/>
        <w:gridCol w:w="1476"/>
        <w:gridCol w:w="1763"/>
        <w:gridCol w:w="1743"/>
        <w:gridCol w:w="18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450" w:hRule="atLeast"/>
        </w:trPr>
        <w:tc>
          <w:tcPr>
            <w:tcW w:w="29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比较因素</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估价对象</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A</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B</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29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位置</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18"/>
                <w:szCs w:val="18"/>
                <w:u w:val="none"/>
              </w:rPr>
            </w:pP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龙井小区</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潮海路</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西环城路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29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用途</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住宅</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住宅</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住宅</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住宅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29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交易类型</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出租</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出租</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出租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29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交易单价</w:t>
            </w:r>
          </w:p>
        </w:tc>
        <w:tc>
          <w:tcPr>
            <w:tcW w:w="14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w:t>
            </w:r>
          </w:p>
        </w:tc>
        <w:tc>
          <w:tcPr>
            <w:tcW w:w="17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12.00 </w:t>
            </w:r>
          </w:p>
        </w:tc>
        <w:tc>
          <w:tcPr>
            <w:tcW w:w="17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12.50 </w:t>
            </w:r>
          </w:p>
        </w:tc>
        <w:tc>
          <w:tcPr>
            <w:tcW w:w="18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 xml:space="preserve">12.00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29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（元</w:t>
            </w:r>
            <w:r>
              <w:rPr>
                <w:rFonts w:hint="default" w:ascii="Times New Roman" w:hAnsi="Times New Roman" w:eastAsia="仿宋_GB2312" w:cs="Times New Roman"/>
                <w:i w:val="0"/>
                <w:color w:val="000000"/>
                <w:kern w:val="0"/>
                <w:sz w:val="18"/>
                <w:szCs w:val="18"/>
                <w:u w:val="none"/>
                <w:lang w:val="en-US" w:eastAsia="zh-CN" w:bidi="ar"/>
              </w:rPr>
              <w:t>/m</w:t>
            </w:r>
            <w:r>
              <w:rPr>
                <w:rFonts w:hint="default" w:ascii="Times New Roman" w:hAnsi="Times New Roman" w:eastAsia="仿宋_GB2312" w:cs="Times New Roman"/>
                <w:i w:val="0"/>
                <w:color w:val="000000"/>
                <w:kern w:val="0"/>
                <w:sz w:val="18"/>
                <w:szCs w:val="18"/>
                <w:u w:val="none"/>
                <w:vertAlign w:val="superscript"/>
                <w:lang w:val="en-US" w:eastAsia="zh-CN" w:bidi="ar"/>
              </w:rPr>
              <w:t>2</w:t>
            </w:r>
            <w:r>
              <w:rPr>
                <w:rFonts w:hint="eastAsia" w:ascii="仿宋_GB2312" w:hAnsi="宋体" w:eastAsia="仿宋_GB2312" w:cs="仿宋_GB2312"/>
                <w:i w:val="0"/>
                <w:color w:val="000000"/>
                <w:kern w:val="0"/>
                <w:sz w:val="18"/>
                <w:szCs w:val="18"/>
                <w:u w:val="none"/>
                <w:lang w:val="en-US" w:eastAsia="zh-CN" w:bidi="ar"/>
              </w:rPr>
              <w:t>）</w:t>
            </w:r>
          </w:p>
        </w:tc>
        <w:tc>
          <w:tcPr>
            <w:tcW w:w="14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8"/>
                <w:szCs w:val="18"/>
                <w:u w:val="none"/>
              </w:rPr>
            </w:pPr>
          </w:p>
        </w:tc>
        <w:tc>
          <w:tcPr>
            <w:tcW w:w="17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8"/>
                <w:szCs w:val="18"/>
                <w:u w:val="none"/>
              </w:rPr>
            </w:pPr>
          </w:p>
        </w:tc>
        <w:tc>
          <w:tcPr>
            <w:tcW w:w="17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8"/>
                <w:szCs w:val="18"/>
                <w:u w:val="none"/>
              </w:rPr>
            </w:pPr>
          </w:p>
        </w:tc>
        <w:tc>
          <w:tcPr>
            <w:tcW w:w="18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29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交易情况</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正常</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正常</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正常</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正常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29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调查日期</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2018年5月27日</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2018年5月27日</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2018年5月27日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14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区位因素</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道路通达度</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临干道，通达度较高</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临干道，通达度较高</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临干道，通达度较高</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临干道，通达度较高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4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18"/>
                <w:szCs w:val="18"/>
                <w:u w:val="none"/>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交通状况</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较好</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较好</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较好</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较好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14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18"/>
                <w:szCs w:val="18"/>
                <w:u w:val="none"/>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基础设施状况</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五通一平</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五通一平</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五通一平</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五通一平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14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18"/>
                <w:szCs w:val="18"/>
                <w:u w:val="none"/>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公共配套设施</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公共配套设施齐全</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公共配套设施齐全</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公共配套设施齐全</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公共配套设施齐全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75" w:hRule="atLeast"/>
        </w:trPr>
        <w:tc>
          <w:tcPr>
            <w:tcW w:w="14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18"/>
                <w:szCs w:val="18"/>
                <w:u w:val="none"/>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商住氛围</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周边多商住用房，氛围较好</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周边多商住用房，氛围较好</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周边多商住用房，氛围较好</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周边多商住用房，氛围较好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14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18"/>
                <w:szCs w:val="18"/>
                <w:u w:val="none"/>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环境优劣度</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基本无污染</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基本无污染</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基本无污染</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基本无污染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4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实物因素</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临路状况</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不临路</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不临路</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不临路</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不临路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14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18"/>
                <w:szCs w:val="18"/>
                <w:u w:val="none"/>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外观新旧程度</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一般</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一般</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一般</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一般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14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18"/>
                <w:szCs w:val="18"/>
                <w:u w:val="none"/>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层高</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正常层高</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正常层高</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正常层高</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正常层高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14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18"/>
                <w:szCs w:val="18"/>
                <w:u w:val="none"/>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有无配套电梯</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无</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无</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无</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4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18"/>
                <w:szCs w:val="18"/>
                <w:u w:val="none"/>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成交规模</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适中</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适中</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较小</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较大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4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18"/>
                <w:szCs w:val="18"/>
                <w:u w:val="none"/>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装修情况</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普通装修</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普通装修</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普通装修</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普通装修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75" w:hRule="atLeast"/>
        </w:trPr>
        <w:tc>
          <w:tcPr>
            <w:tcW w:w="14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18"/>
                <w:szCs w:val="18"/>
                <w:u w:val="none"/>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停车场地大小</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车位充足，适合大车出入</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车位充足，适合大车出入</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车位充足，适合大车出入</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车位充足，适合大车出入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80" w:hRule="atLeast"/>
        </w:trPr>
        <w:tc>
          <w:tcPr>
            <w:tcW w:w="14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color w:val="000000"/>
                <w:sz w:val="18"/>
                <w:szCs w:val="18"/>
                <w:u w:val="none"/>
              </w:rPr>
            </w:pP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物业配套管理</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一般</w:t>
            </w:r>
          </w:p>
        </w:tc>
        <w:tc>
          <w:tcPr>
            <w:tcW w:w="17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较好</w:t>
            </w:r>
          </w:p>
        </w:tc>
        <w:tc>
          <w:tcPr>
            <w:tcW w:w="17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较好</w:t>
            </w:r>
          </w:p>
        </w:tc>
        <w:tc>
          <w:tcPr>
            <w:tcW w:w="1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18"/>
                <w:szCs w:val="18"/>
                <w:u w:val="none"/>
              </w:rPr>
            </w:pPr>
            <w:r>
              <w:rPr>
                <w:rFonts w:hint="eastAsia" w:ascii="仿宋_GB2312" w:hAnsi="宋体" w:eastAsia="仿宋_GB2312" w:cs="仿宋_GB2312"/>
                <w:i w:val="0"/>
                <w:color w:val="000000"/>
                <w:kern w:val="0"/>
                <w:sz w:val="18"/>
                <w:szCs w:val="18"/>
                <w:u w:val="none"/>
                <w:lang w:val="en-US" w:eastAsia="zh-CN" w:bidi="ar"/>
              </w:rPr>
              <w:t>较好</w:t>
            </w:r>
          </w:p>
        </w:tc>
      </w:tr>
    </w:tbl>
    <w:p>
      <w:pPr>
        <w:spacing w:line="500" w:lineRule="exact"/>
        <w:rPr>
          <w:rFonts w:ascii="仿宋_GB2312" w:hAnsi="楷体" w:eastAsia="仿宋_GB2312"/>
          <w:snapToGrid w:val="0"/>
          <w:kern w:val="0"/>
          <w:sz w:val="28"/>
          <w:szCs w:val="28"/>
        </w:rPr>
      </w:pPr>
      <w:r>
        <w:rPr>
          <w:rFonts w:hint="eastAsia" w:ascii="仿宋_GB2312" w:hAnsi="楷体" w:eastAsia="仿宋_GB2312"/>
          <w:snapToGrid w:val="0"/>
          <w:kern w:val="0"/>
          <w:sz w:val="28"/>
          <w:szCs w:val="28"/>
          <w:lang w:val="en-US" w:eastAsia="zh-CN"/>
        </w:rPr>
        <w:t xml:space="preserve">    </w:t>
      </w:r>
      <w:r>
        <w:rPr>
          <w:rFonts w:hint="eastAsia" w:ascii="仿宋_GB2312" w:hAnsi="楷体" w:eastAsia="仿宋_GB2312"/>
          <w:snapToGrid w:val="0"/>
          <w:kern w:val="0"/>
          <w:sz w:val="28"/>
          <w:szCs w:val="28"/>
        </w:rPr>
        <w:t xml:space="preserve">对可比实例进行因素修正：                                  </w:t>
      </w:r>
    </w:p>
    <w:p>
      <w:pPr>
        <w:spacing w:line="500" w:lineRule="exact"/>
        <w:ind w:firstLine="659" w:firstLineChars="196"/>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A、交易情况调整系数的确定</w:t>
      </w:r>
    </w:p>
    <w:p>
      <w:pPr>
        <w:spacing w:line="500" w:lineRule="exact"/>
        <w:ind w:firstLine="659" w:firstLineChars="196"/>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估价对象与可比实例A、B、C均为正常交易，无需进行交易情况修正，即三个交易实例的交易情况调整系数均为100/100。</w:t>
      </w:r>
    </w:p>
    <w:p>
      <w:pPr>
        <w:spacing w:line="500" w:lineRule="exact"/>
        <w:ind w:firstLine="659" w:firstLineChars="196"/>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B、市场状况调整系数的确定</w:t>
      </w:r>
    </w:p>
    <w:p>
      <w:pPr>
        <w:spacing w:line="500" w:lineRule="exact"/>
        <w:ind w:firstLine="659" w:firstLineChars="196"/>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三个可比实例的交易时间与估价时点较接近，至估价时点市场状况变化较小，无需进行市场状况修正。确定交易实例A、B、C的市场状况条件调整系数均为100/100。</w:t>
      </w:r>
    </w:p>
    <w:p>
      <w:pPr>
        <w:spacing w:line="500" w:lineRule="exact"/>
        <w:ind w:firstLine="659" w:firstLineChars="196"/>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C、区位状况调整系数的确定</w:t>
      </w:r>
    </w:p>
    <w:p>
      <w:pPr>
        <w:spacing w:line="500" w:lineRule="exact"/>
        <w:ind w:firstLine="659" w:firstLineChars="196"/>
        <w:rPr>
          <w:rFonts w:ascii="仿宋_GB2312" w:hAnsi="楷体" w:eastAsia="仿宋_GB2312"/>
          <w:snapToGrid w:val="0"/>
          <w:color w:val="auto"/>
          <w:kern w:val="0"/>
          <w:sz w:val="28"/>
          <w:szCs w:val="28"/>
        </w:rPr>
      </w:pPr>
      <w:r>
        <w:rPr>
          <w:rFonts w:hint="eastAsia" w:ascii="仿宋_GB2312" w:hAnsi="楷体" w:eastAsia="仿宋_GB2312"/>
          <w:snapToGrid w:val="0"/>
          <w:color w:val="auto"/>
          <w:kern w:val="0"/>
          <w:sz w:val="28"/>
          <w:szCs w:val="28"/>
        </w:rPr>
        <w:t>道路通达度：根据估价对象所在区域的道路通达度情况，分为较高、一般、较低三个等级，以估价对象为100，每上升或下降一个等级，指数向上或向下修正5。</w:t>
      </w:r>
    </w:p>
    <w:p>
      <w:pPr>
        <w:spacing w:line="500" w:lineRule="exact"/>
        <w:ind w:firstLine="659" w:firstLineChars="196"/>
        <w:rPr>
          <w:rFonts w:ascii="仿宋_GB2312" w:hAnsi="楷体" w:eastAsia="仿宋_GB2312"/>
          <w:snapToGrid w:val="0"/>
          <w:color w:val="auto"/>
          <w:kern w:val="0"/>
          <w:sz w:val="28"/>
          <w:szCs w:val="28"/>
        </w:rPr>
      </w:pPr>
      <w:r>
        <w:rPr>
          <w:rFonts w:hint="eastAsia" w:ascii="仿宋_GB2312" w:hAnsi="楷体" w:eastAsia="仿宋_GB2312"/>
          <w:snapToGrid w:val="0"/>
          <w:color w:val="auto"/>
          <w:kern w:val="0"/>
          <w:sz w:val="28"/>
          <w:szCs w:val="28"/>
        </w:rPr>
        <w:t>交通状况：根据项目位置所在区域的交通状况，分为较方便、一般、较不方便三个等级，以估价对象为100，每上升或下降一个等级，指数向上或向下修正5。</w:t>
      </w:r>
    </w:p>
    <w:p>
      <w:pPr>
        <w:spacing w:line="500" w:lineRule="exact"/>
        <w:ind w:firstLine="659" w:firstLineChars="196"/>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基础设施完善度：根据项目位置所在区域的基础设施完善情况，分为较好、一般、较差三个等级，以估价对象为100，每上升或下降一个等级，指数向上或向下修正2。</w:t>
      </w:r>
    </w:p>
    <w:p>
      <w:pPr>
        <w:spacing w:line="500" w:lineRule="exact"/>
        <w:ind w:firstLine="659" w:firstLineChars="196"/>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公共设施完善度：根据项目位置所在区域的公共设施完善情况，分为较好、一般、较差三个等级，以估价对象为100，每上升或下降一个等级，指数向上或向下修正2。</w:t>
      </w:r>
    </w:p>
    <w:p>
      <w:pPr>
        <w:spacing w:line="500" w:lineRule="exact"/>
        <w:ind w:firstLine="659" w:firstLineChars="196"/>
        <w:rPr>
          <w:rFonts w:ascii="仿宋_GB2312" w:hAnsi="楷体" w:eastAsia="仿宋_GB2312"/>
          <w:snapToGrid w:val="0"/>
          <w:color w:val="auto"/>
          <w:kern w:val="0"/>
          <w:sz w:val="28"/>
          <w:szCs w:val="28"/>
        </w:rPr>
      </w:pPr>
      <w:r>
        <w:rPr>
          <w:rFonts w:hint="eastAsia" w:ascii="仿宋_GB2312" w:hAnsi="楷体" w:eastAsia="仿宋_GB2312"/>
          <w:snapToGrid w:val="0"/>
          <w:color w:val="auto"/>
          <w:kern w:val="0"/>
          <w:sz w:val="28"/>
          <w:szCs w:val="28"/>
          <w:lang w:eastAsia="zh-CN"/>
        </w:rPr>
        <w:t>商住氛围</w:t>
      </w:r>
      <w:r>
        <w:rPr>
          <w:rFonts w:hint="eastAsia" w:ascii="仿宋_GB2312" w:hAnsi="楷体" w:eastAsia="仿宋_GB2312"/>
          <w:snapToGrid w:val="0"/>
          <w:color w:val="auto"/>
          <w:kern w:val="0"/>
          <w:sz w:val="28"/>
          <w:szCs w:val="28"/>
        </w:rPr>
        <w:t>：根据项目位置所在区域的</w:t>
      </w:r>
      <w:r>
        <w:rPr>
          <w:rFonts w:hint="eastAsia" w:ascii="仿宋_GB2312" w:hAnsi="楷体" w:eastAsia="仿宋_GB2312"/>
          <w:snapToGrid w:val="0"/>
          <w:color w:val="auto"/>
          <w:kern w:val="0"/>
          <w:sz w:val="28"/>
          <w:szCs w:val="28"/>
          <w:lang w:eastAsia="zh-CN"/>
        </w:rPr>
        <w:t>商住</w:t>
      </w:r>
      <w:r>
        <w:rPr>
          <w:rFonts w:hint="eastAsia" w:ascii="仿宋_GB2312" w:hAnsi="楷体" w:eastAsia="仿宋_GB2312"/>
          <w:snapToGrid w:val="0"/>
          <w:color w:val="auto"/>
          <w:kern w:val="0"/>
          <w:sz w:val="28"/>
          <w:szCs w:val="28"/>
        </w:rPr>
        <w:t>氛围情况，分为较高、一般、较差，以估价对象为100，每上升或下降一个等级，指数向上或向下修正</w:t>
      </w:r>
      <w:r>
        <w:rPr>
          <w:rFonts w:hint="eastAsia" w:ascii="仿宋_GB2312" w:hAnsi="楷体" w:eastAsia="仿宋_GB2312"/>
          <w:snapToGrid w:val="0"/>
          <w:color w:val="auto"/>
          <w:kern w:val="0"/>
          <w:sz w:val="28"/>
          <w:szCs w:val="28"/>
          <w:lang w:val="en-US" w:eastAsia="zh-CN"/>
        </w:rPr>
        <w:t>5</w:t>
      </w:r>
      <w:r>
        <w:rPr>
          <w:rFonts w:hint="eastAsia" w:ascii="仿宋_GB2312" w:hAnsi="楷体" w:eastAsia="仿宋_GB2312"/>
          <w:snapToGrid w:val="0"/>
          <w:color w:val="auto"/>
          <w:kern w:val="0"/>
          <w:sz w:val="28"/>
          <w:szCs w:val="28"/>
        </w:rPr>
        <w:t>。</w:t>
      </w:r>
    </w:p>
    <w:p>
      <w:pPr>
        <w:spacing w:line="500" w:lineRule="exact"/>
        <w:ind w:firstLine="659" w:firstLineChars="196"/>
        <w:rPr>
          <w:rFonts w:ascii="仿宋_GB2312" w:hAnsi="楷体" w:eastAsia="仿宋_GB2312"/>
          <w:snapToGrid w:val="0"/>
          <w:color w:val="auto"/>
          <w:kern w:val="0"/>
          <w:sz w:val="28"/>
          <w:szCs w:val="28"/>
        </w:rPr>
      </w:pPr>
      <w:r>
        <w:rPr>
          <w:rFonts w:hint="eastAsia" w:ascii="仿宋_GB2312" w:hAnsi="楷体" w:eastAsia="仿宋_GB2312"/>
          <w:snapToGrid w:val="0"/>
          <w:color w:val="auto"/>
          <w:kern w:val="0"/>
          <w:sz w:val="28"/>
          <w:szCs w:val="28"/>
        </w:rPr>
        <w:t>环境优劣度：根据项目位置所在区域的自然资源、空气质量、噪声、污染情况，分为较好、一般、较差三个等级，以估价对象为100，每上升或下降一个等级，指数向上或向下修正2。</w:t>
      </w:r>
    </w:p>
    <w:p>
      <w:pPr>
        <w:spacing w:line="500" w:lineRule="exact"/>
        <w:ind w:firstLine="659" w:firstLineChars="196"/>
        <w:rPr>
          <w:rFonts w:ascii="仿宋_GB2312" w:hAnsi="楷体" w:eastAsia="仿宋_GB2312"/>
          <w:snapToGrid w:val="0"/>
          <w:color w:val="auto"/>
          <w:kern w:val="0"/>
          <w:sz w:val="28"/>
          <w:szCs w:val="28"/>
        </w:rPr>
      </w:pPr>
      <w:bookmarkStart w:id="37" w:name="_Toc263081067"/>
      <w:r>
        <w:rPr>
          <w:rFonts w:hint="eastAsia" w:ascii="仿宋_GB2312" w:hAnsi="楷体" w:eastAsia="仿宋_GB2312"/>
          <w:snapToGrid w:val="0"/>
          <w:color w:val="auto"/>
          <w:kern w:val="0"/>
          <w:sz w:val="28"/>
          <w:szCs w:val="28"/>
        </w:rPr>
        <w:t>D、个别因素调整系数的确定</w:t>
      </w:r>
      <w:bookmarkEnd w:id="37"/>
    </w:p>
    <w:p>
      <w:pPr>
        <w:spacing w:line="500" w:lineRule="exact"/>
        <w:ind w:firstLine="659" w:firstLineChars="196"/>
        <w:rPr>
          <w:rFonts w:ascii="仿宋_GB2312" w:hAnsi="楷体" w:eastAsia="仿宋_GB2312"/>
          <w:snapToGrid w:val="0"/>
          <w:color w:val="auto"/>
          <w:kern w:val="0"/>
          <w:sz w:val="28"/>
          <w:szCs w:val="28"/>
        </w:rPr>
      </w:pPr>
      <w:r>
        <w:rPr>
          <w:rFonts w:hint="eastAsia" w:ascii="仿宋_GB2312" w:hAnsi="楷体" w:eastAsia="仿宋_GB2312"/>
          <w:snapToGrid w:val="0"/>
          <w:color w:val="auto"/>
          <w:kern w:val="0"/>
          <w:sz w:val="28"/>
          <w:szCs w:val="28"/>
        </w:rPr>
        <w:t>临路状况：按较好、一般、较差分为三个等级，以估价对象为100，每上升或下降一个等级，指数向上或向下修正5。</w:t>
      </w:r>
    </w:p>
    <w:p>
      <w:pPr>
        <w:spacing w:line="500" w:lineRule="exact"/>
        <w:ind w:firstLine="659" w:firstLineChars="196"/>
        <w:rPr>
          <w:rFonts w:ascii="仿宋_GB2312" w:hAnsi="楷体" w:eastAsia="仿宋_GB2312"/>
          <w:snapToGrid w:val="0"/>
          <w:kern w:val="0"/>
          <w:sz w:val="28"/>
          <w:szCs w:val="28"/>
        </w:rPr>
      </w:pPr>
      <w:r>
        <w:rPr>
          <w:rFonts w:hint="eastAsia" w:ascii="仿宋_GB2312" w:hAnsi="楷体" w:eastAsia="仿宋_GB2312"/>
          <w:snapToGrid w:val="0"/>
          <w:color w:val="auto"/>
          <w:kern w:val="0"/>
          <w:sz w:val="28"/>
          <w:szCs w:val="28"/>
        </w:rPr>
        <w:t>外观新旧程度：按较新、一般、旧分为三个等级，以估价对象为100，每上升或下降一个等级，指数向上或向下修正5</w:t>
      </w:r>
      <w:r>
        <w:rPr>
          <w:rFonts w:hint="eastAsia" w:ascii="仿宋_GB2312" w:hAnsi="楷体" w:eastAsia="仿宋_GB2312"/>
          <w:snapToGrid w:val="0"/>
          <w:kern w:val="0"/>
          <w:sz w:val="28"/>
          <w:szCs w:val="28"/>
        </w:rPr>
        <w:t>。</w:t>
      </w:r>
    </w:p>
    <w:p>
      <w:pPr>
        <w:spacing w:line="500" w:lineRule="exact"/>
        <w:ind w:firstLine="659" w:firstLineChars="196"/>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层高：根据实际情况，以估价对象为100，层高分为3米、3.5米、4米、4.5米、5米、5.5米六个等级，每上升或下降一个等级，指数向上或向下修正2。</w:t>
      </w:r>
    </w:p>
    <w:p>
      <w:pPr>
        <w:spacing w:line="500" w:lineRule="exact"/>
        <w:ind w:firstLine="659" w:firstLineChars="196"/>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有无配备电梯：按充足、较充足、不充足分为三个等级，以估价对象为100，每上升或下降一个等级，指数向上或向下修正</w:t>
      </w:r>
      <w:r>
        <w:rPr>
          <w:rFonts w:hint="eastAsia" w:ascii="仿宋_GB2312" w:hAnsi="楷体" w:eastAsia="仿宋_GB2312"/>
          <w:snapToGrid w:val="0"/>
          <w:kern w:val="0"/>
          <w:sz w:val="28"/>
          <w:szCs w:val="28"/>
          <w:lang w:val="en-US" w:eastAsia="zh-CN"/>
        </w:rPr>
        <w:t>1</w:t>
      </w:r>
      <w:r>
        <w:rPr>
          <w:rFonts w:hint="eastAsia" w:ascii="仿宋_GB2312" w:hAnsi="楷体" w:eastAsia="仿宋_GB2312"/>
          <w:snapToGrid w:val="0"/>
          <w:kern w:val="0"/>
          <w:sz w:val="28"/>
          <w:szCs w:val="28"/>
        </w:rPr>
        <w:t>。</w:t>
      </w:r>
    </w:p>
    <w:p>
      <w:pPr>
        <w:spacing w:line="500" w:lineRule="exact"/>
        <w:ind w:firstLine="659" w:firstLineChars="196"/>
        <w:rPr>
          <w:rFonts w:hint="eastAsia" w:ascii="仿宋_GB2312" w:hAnsi="楷体" w:eastAsia="仿宋_GB2312"/>
          <w:snapToGrid w:val="0"/>
          <w:kern w:val="0"/>
          <w:sz w:val="28"/>
          <w:szCs w:val="28"/>
        </w:rPr>
      </w:pPr>
      <w:r>
        <w:rPr>
          <w:rFonts w:hint="eastAsia" w:ascii="仿宋_GB2312" w:hAnsi="楷体" w:eastAsia="仿宋_GB2312"/>
          <w:snapToGrid w:val="0"/>
          <w:kern w:val="0"/>
          <w:sz w:val="28"/>
          <w:szCs w:val="28"/>
          <w:lang w:eastAsia="zh-CN"/>
        </w:rPr>
        <w:t>成交规模</w:t>
      </w:r>
      <w:r>
        <w:rPr>
          <w:rFonts w:hint="eastAsia" w:ascii="仿宋_GB2312" w:hAnsi="楷体" w:eastAsia="仿宋_GB2312"/>
          <w:snapToGrid w:val="0"/>
          <w:kern w:val="0"/>
          <w:sz w:val="28"/>
          <w:szCs w:val="28"/>
        </w:rPr>
        <w:t>大小：按、较大、适中、较小分为</w:t>
      </w:r>
      <w:r>
        <w:rPr>
          <w:rFonts w:hint="eastAsia" w:ascii="仿宋_GB2312" w:hAnsi="楷体" w:eastAsia="仿宋_GB2312"/>
          <w:snapToGrid w:val="0"/>
          <w:kern w:val="0"/>
          <w:sz w:val="28"/>
          <w:szCs w:val="28"/>
          <w:lang w:eastAsia="zh-CN"/>
        </w:rPr>
        <w:t>三</w:t>
      </w:r>
      <w:r>
        <w:rPr>
          <w:rFonts w:hint="eastAsia" w:ascii="仿宋_GB2312" w:hAnsi="楷体" w:eastAsia="仿宋_GB2312"/>
          <w:snapToGrid w:val="0"/>
          <w:kern w:val="0"/>
          <w:sz w:val="28"/>
          <w:szCs w:val="28"/>
        </w:rPr>
        <w:t>个等级，以估价对象为100，每上升或下降一个等级，指数向上或向下修正</w:t>
      </w:r>
      <w:r>
        <w:rPr>
          <w:rFonts w:hint="eastAsia" w:ascii="仿宋_GB2312" w:hAnsi="楷体" w:eastAsia="仿宋_GB2312"/>
          <w:snapToGrid w:val="0"/>
          <w:kern w:val="0"/>
          <w:sz w:val="28"/>
          <w:szCs w:val="28"/>
          <w:lang w:val="en-US" w:eastAsia="zh-CN"/>
        </w:rPr>
        <w:t>1</w:t>
      </w:r>
      <w:r>
        <w:rPr>
          <w:rFonts w:hint="eastAsia" w:ascii="仿宋_GB2312" w:hAnsi="楷体" w:eastAsia="仿宋_GB2312"/>
          <w:snapToGrid w:val="0"/>
          <w:kern w:val="0"/>
          <w:sz w:val="28"/>
          <w:szCs w:val="28"/>
        </w:rPr>
        <w:t>。</w:t>
      </w:r>
    </w:p>
    <w:p>
      <w:pPr>
        <w:spacing w:line="500" w:lineRule="exact"/>
        <w:ind w:firstLine="659" w:firstLineChars="196"/>
        <w:rPr>
          <w:rFonts w:hint="eastAsia" w:ascii="仿宋_GB2312" w:hAnsi="楷体" w:eastAsia="仿宋_GB2312"/>
          <w:snapToGrid w:val="0"/>
          <w:color w:val="auto"/>
          <w:kern w:val="0"/>
          <w:sz w:val="28"/>
          <w:szCs w:val="28"/>
          <w:lang w:eastAsia="zh-CN"/>
        </w:rPr>
      </w:pPr>
      <w:r>
        <w:rPr>
          <w:rFonts w:hint="eastAsia" w:ascii="仿宋_GB2312" w:hAnsi="楷体" w:eastAsia="仿宋_GB2312"/>
          <w:snapToGrid w:val="0"/>
          <w:color w:val="auto"/>
          <w:kern w:val="0"/>
          <w:sz w:val="28"/>
          <w:szCs w:val="28"/>
          <w:lang w:eastAsia="zh-CN"/>
        </w:rPr>
        <w:t>装修状况：按高档装修、中档装修、普通装修分为三个等级，以估价对象为</w:t>
      </w:r>
      <w:r>
        <w:rPr>
          <w:rFonts w:hint="eastAsia" w:ascii="仿宋_GB2312" w:hAnsi="楷体" w:eastAsia="仿宋_GB2312"/>
          <w:snapToGrid w:val="0"/>
          <w:color w:val="auto"/>
          <w:kern w:val="0"/>
          <w:sz w:val="28"/>
          <w:szCs w:val="28"/>
          <w:lang w:val="en-US" w:eastAsia="zh-CN"/>
        </w:rPr>
        <w:t>100，每上升或下降一个等级，指数向上或向下修正5。</w:t>
      </w:r>
    </w:p>
    <w:p>
      <w:pPr>
        <w:spacing w:line="500" w:lineRule="exact"/>
        <w:ind w:firstLine="659" w:firstLineChars="196"/>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停车场地大小：按是否适合大车出入分为适合、不适合两个等级，指数向上或向下修正2。</w:t>
      </w:r>
    </w:p>
    <w:p>
      <w:pPr>
        <w:spacing w:line="500" w:lineRule="exact"/>
        <w:ind w:firstLine="659" w:firstLineChars="196"/>
        <w:rPr>
          <w:rFonts w:ascii="仿宋_GB2312" w:hAnsi="楷体" w:eastAsia="仿宋_GB2312"/>
          <w:snapToGrid w:val="0"/>
          <w:color w:val="auto"/>
          <w:kern w:val="0"/>
          <w:sz w:val="28"/>
          <w:szCs w:val="28"/>
        </w:rPr>
      </w:pPr>
      <w:r>
        <w:rPr>
          <w:rFonts w:hint="eastAsia" w:ascii="仿宋_GB2312" w:hAnsi="楷体" w:eastAsia="仿宋_GB2312"/>
          <w:snapToGrid w:val="0"/>
          <w:color w:val="auto"/>
          <w:kern w:val="0"/>
          <w:sz w:val="28"/>
          <w:szCs w:val="28"/>
        </w:rPr>
        <w:t>物业配套管理：按较好、一般、较差三个等级，指数向上或向下修正</w:t>
      </w:r>
      <w:r>
        <w:rPr>
          <w:rFonts w:hint="eastAsia" w:ascii="仿宋_GB2312" w:hAnsi="楷体" w:eastAsia="仿宋_GB2312"/>
          <w:snapToGrid w:val="0"/>
          <w:color w:val="auto"/>
          <w:kern w:val="0"/>
          <w:sz w:val="28"/>
          <w:szCs w:val="28"/>
          <w:lang w:val="en-US" w:eastAsia="zh-CN"/>
        </w:rPr>
        <w:t>2</w:t>
      </w:r>
      <w:r>
        <w:rPr>
          <w:rFonts w:hint="eastAsia" w:ascii="仿宋_GB2312" w:hAnsi="楷体" w:eastAsia="仿宋_GB2312"/>
          <w:snapToGrid w:val="0"/>
          <w:color w:val="auto"/>
          <w:kern w:val="0"/>
          <w:sz w:val="28"/>
          <w:szCs w:val="28"/>
        </w:rPr>
        <w:t>。</w:t>
      </w:r>
    </w:p>
    <w:p>
      <w:pPr>
        <w:spacing w:line="500" w:lineRule="exact"/>
        <w:ind w:firstLine="659" w:firstLineChars="196"/>
        <w:rPr>
          <w:rFonts w:ascii="仿宋_GB2312" w:hAnsi="楷体" w:eastAsia="仿宋_GB2312"/>
          <w:snapToGrid w:val="0"/>
          <w:kern w:val="0"/>
          <w:sz w:val="28"/>
          <w:szCs w:val="28"/>
        </w:rPr>
      </w:pPr>
      <w:r>
        <w:rPr>
          <w:rFonts w:hint="eastAsia" w:ascii="仿宋_GB2312" w:hAnsi="楷体" w:eastAsia="仿宋_GB2312"/>
          <w:snapToGrid w:val="0"/>
          <w:color w:val="auto"/>
          <w:kern w:val="0"/>
          <w:sz w:val="28"/>
          <w:szCs w:val="28"/>
        </w:rPr>
        <w:t>将可比实例相应因素条件与估价对象相比较，确定相应指数，详见下表《区</w:t>
      </w:r>
      <w:r>
        <w:rPr>
          <w:rFonts w:hint="eastAsia" w:ascii="仿宋_GB2312" w:hAnsi="楷体" w:eastAsia="仿宋_GB2312"/>
          <w:snapToGrid w:val="0"/>
          <w:kern w:val="0"/>
          <w:sz w:val="28"/>
          <w:szCs w:val="28"/>
        </w:rPr>
        <w:t>域因素及个别因素条件指数表》。</w:t>
      </w:r>
    </w:p>
    <w:p>
      <w:pPr>
        <w:spacing w:line="500" w:lineRule="exact"/>
        <w:ind w:firstLine="659" w:firstLineChars="196"/>
        <w:jc w:val="center"/>
        <w:rPr>
          <w:rFonts w:hint="eastAsia" w:ascii="仿宋_GB2312" w:hAnsi="楷体" w:eastAsia="仿宋_GB2312"/>
          <w:snapToGrid w:val="0"/>
          <w:kern w:val="0"/>
          <w:sz w:val="28"/>
          <w:szCs w:val="28"/>
        </w:rPr>
      </w:pPr>
      <w:r>
        <w:rPr>
          <w:rFonts w:hint="eastAsia" w:ascii="仿宋_GB2312" w:hAnsi="楷体" w:eastAsia="仿宋_GB2312"/>
          <w:snapToGrid w:val="0"/>
          <w:kern w:val="0"/>
          <w:sz w:val="28"/>
          <w:szCs w:val="28"/>
        </w:rPr>
        <w:t>比较因素条件指数</w:t>
      </w:r>
    </w:p>
    <w:tbl>
      <w:tblPr>
        <w:tblStyle w:val="45"/>
        <w:tblW w:w="97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519"/>
        <w:gridCol w:w="1519"/>
        <w:gridCol w:w="1518"/>
        <w:gridCol w:w="1519"/>
        <w:gridCol w:w="1904"/>
        <w:gridCol w:w="17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13" w:hRule="atLeast"/>
        </w:trPr>
        <w:tc>
          <w:tcPr>
            <w:tcW w:w="30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比较因素</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估价对象</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A</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B</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3" w:hRule="atLeast"/>
        </w:trPr>
        <w:tc>
          <w:tcPr>
            <w:tcW w:w="30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交易情况</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3" w:hRule="atLeast"/>
        </w:trPr>
        <w:tc>
          <w:tcPr>
            <w:tcW w:w="30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交易日期</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50" w:hRule="atLeast"/>
        </w:trPr>
        <w:tc>
          <w:tcPr>
            <w:tcW w:w="15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区位因素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道路通达度</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1" w:hRule="atLeast"/>
        </w:trPr>
        <w:tc>
          <w:tcPr>
            <w:tcW w:w="15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0"/>
                <w:szCs w:val="20"/>
                <w:u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交通状况</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50" w:hRule="atLeast"/>
        </w:trPr>
        <w:tc>
          <w:tcPr>
            <w:tcW w:w="15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0"/>
                <w:szCs w:val="20"/>
                <w:u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基础设施状况</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50" w:hRule="atLeast"/>
        </w:trPr>
        <w:tc>
          <w:tcPr>
            <w:tcW w:w="15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0"/>
                <w:szCs w:val="20"/>
                <w:u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公共配套设施</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705" w:hRule="atLeast"/>
        </w:trPr>
        <w:tc>
          <w:tcPr>
            <w:tcW w:w="15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0"/>
                <w:szCs w:val="20"/>
                <w:u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color w:val="000000"/>
                <w:sz w:val="20"/>
                <w:szCs w:val="20"/>
                <w:u w:val="none"/>
              </w:rPr>
            </w:pPr>
            <w:r>
              <w:rPr>
                <w:rFonts w:hint="eastAsia" w:ascii="仿宋_GB2312" w:hAnsi="宋体" w:eastAsia="仿宋_GB2312" w:cs="仿宋_GB2312"/>
                <w:i w:val="0"/>
                <w:color w:val="000000"/>
                <w:kern w:val="0"/>
                <w:sz w:val="20"/>
                <w:szCs w:val="20"/>
                <w:u w:val="none"/>
                <w:lang w:val="en-US" w:eastAsia="zh-CN" w:bidi="ar"/>
              </w:rPr>
              <w:t>商住氛围</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50" w:hRule="atLeast"/>
        </w:trPr>
        <w:tc>
          <w:tcPr>
            <w:tcW w:w="15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0"/>
                <w:szCs w:val="20"/>
                <w:u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环境优劣度</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1" w:hRule="atLeast"/>
        </w:trPr>
        <w:tc>
          <w:tcPr>
            <w:tcW w:w="15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实物因素</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临路状况</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50" w:hRule="atLeast"/>
        </w:trPr>
        <w:tc>
          <w:tcPr>
            <w:tcW w:w="15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0"/>
                <w:szCs w:val="20"/>
                <w:u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外观新旧程度</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3" w:hRule="atLeast"/>
        </w:trPr>
        <w:tc>
          <w:tcPr>
            <w:tcW w:w="15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0"/>
                <w:szCs w:val="20"/>
                <w:u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层高</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50" w:hRule="atLeast"/>
        </w:trPr>
        <w:tc>
          <w:tcPr>
            <w:tcW w:w="15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0"/>
                <w:szCs w:val="20"/>
                <w:u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有无配套电梯</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1" w:hRule="atLeast"/>
        </w:trPr>
        <w:tc>
          <w:tcPr>
            <w:tcW w:w="15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0"/>
                <w:szCs w:val="20"/>
                <w:u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成交规模</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102</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101</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21" w:hRule="atLeast"/>
        </w:trPr>
        <w:tc>
          <w:tcPr>
            <w:tcW w:w="15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0"/>
                <w:szCs w:val="20"/>
                <w:u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装修情况</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705" w:hRule="atLeast"/>
        </w:trPr>
        <w:tc>
          <w:tcPr>
            <w:tcW w:w="15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0"/>
                <w:szCs w:val="20"/>
                <w:u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停车场地大小</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60" w:hRule="atLeast"/>
        </w:trPr>
        <w:tc>
          <w:tcPr>
            <w:tcW w:w="15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0"/>
                <w:szCs w:val="20"/>
                <w:u w:val="none"/>
              </w:rPr>
            </w:pP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物业配套管理</w:t>
            </w:r>
          </w:p>
        </w:tc>
        <w:tc>
          <w:tcPr>
            <w:tcW w:w="15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100</w:t>
            </w:r>
          </w:p>
        </w:tc>
        <w:tc>
          <w:tcPr>
            <w:tcW w:w="1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102</w:t>
            </w:r>
          </w:p>
        </w:tc>
        <w:tc>
          <w:tcPr>
            <w:tcW w:w="1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102</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8"/>
                <w:szCs w:val="18"/>
                <w:u w:val="none"/>
              </w:rPr>
            </w:pPr>
            <w:r>
              <w:rPr>
                <w:rFonts w:hint="default" w:ascii="Times New Roman" w:hAnsi="Times New Roman" w:eastAsia="宋体" w:cs="Times New Roman"/>
                <w:i w:val="0"/>
                <w:color w:val="000000"/>
                <w:kern w:val="0"/>
                <w:sz w:val="18"/>
                <w:szCs w:val="18"/>
                <w:u w:val="none"/>
                <w:lang w:val="en-US" w:eastAsia="zh-CN" w:bidi="ar"/>
              </w:rPr>
              <w:t>102</w:t>
            </w:r>
          </w:p>
        </w:tc>
      </w:tr>
    </w:tbl>
    <w:p>
      <w:pPr>
        <w:snapToGrid w:val="0"/>
        <w:spacing w:before="240" w:line="480" w:lineRule="exact"/>
        <w:rPr>
          <w:rFonts w:ascii="仿宋_GB2312" w:hAnsi="楷体" w:eastAsia="仿宋_GB2312"/>
          <w:snapToGrid w:val="0"/>
          <w:kern w:val="0"/>
          <w:sz w:val="28"/>
          <w:szCs w:val="28"/>
        </w:rPr>
      </w:pPr>
      <w:r>
        <w:rPr>
          <w:rFonts w:hint="eastAsia" w:ascii="仿宋_GB2312" w:hAnsi="楷体" w:eastAsia="仿宋_GB2312"/>
          <w:snapToGrid w:val="0"/>
          <w:kern w:val="0"/>
          <w:sz w:val="28"/>
          <w:szCs w:val="28"/>
          <w:lang w:val="en-US" w:eastAsia="zh-CN"/>
        </w:rPr>
        <w:t xml:space="preserve">    </w:t>
      </w:r>
      <w:r>
        <w:rPr>
          <w:rFonts w:hint="eastAsia" w:ascii="仿宋_GB2312" w:hAnsi="楷体" w:eastAsia="仿宋_GB2312"/>
          <w:snapToGrid w:val="0"/>
          <w:kern w:val="0"/>
          <w:sz w:val="28"/>
          <w:szCs w:val="28"/>
        </w:rPr>
        <w:t>E、编制比较因素调整系数表及测算估价对象比准租金</w:t>
      </w:r>
    </w:p>
    <w:p>
      <w:pPr>
        <w:spacing w:before="240" w:line="480" w:lineRule="exact"/>
        <w:ind w:firstLine="659" w:firstLineChars="196"/>
        <w:rPr>
          <w:rFonts w:ascii="仿宋_GB2312" w:hAnsi="楷体" w:eastAsia="仿宋_GB2312"/>
          <w:snapToGrid w:val="0"/>
          <w:kern w:val="0"/>
          <w:sz w:val="28"/>
          <w:szCs w:val="28"/>
        </w:rPr>
      </w:pPr>
      <w:r>
        <w:rPr>
          <w:rFonts w:hint="eastAsia" w:ascii="仿宋_GB2312" w:hAnsi="楷体" w:eastAsia="仿宋_GB2312"/>
          <w:snapToGrid w:val="0"/>
          <w:kern w:val="0"/>
          <w:sz w:val="28"/>
          <w:szCs w:val="28"/>
        </w:rPr>
        <w:t>比准租金＝可比实例租金×交易情况修正系数×交易日期修正系数×区域因素修正系数×个别因素修正系数</w:t>
      </w:r>
    </w:p>
    <w:p>
      <w:pPr>
        <w:spacing w:line="480" w:lineRule="exact"/>
        <w:ind w:firstLine="659" w:firstLineChars="196"/>
        <w:jc w:val="center"/>
        <w:rPr>
          <w:rFonts w:hint="eastAsia" w:ascii="仿宋_GB2312" w:hAnsi="楷体" w:eastAsia="仿宋_GB2312"/>
          <w:snapToGrid w:val="0"/>
          <w:kern w:val="0"/>
          <w:sz w:val="28"/>
          <w:szCs w:val="28"/>
        </w:rPr>
      </w:pPr>
      <w:r>
        <w:rPr>
          <w:rFonts w:hint="eastAsia" w:ascii="仿宋_GB2312" w:hAnsi="楷体" w:eastAsia="仿宋_GB2312"/>
          <w:snapToGrid w:val="0"/>
          <w:kern w:val="0"/>
          <w:sz w:val="28"/>
          <w:szCs w:val="28"/>
        </w:rPr>
        <w:t>租金比较因素调整系数表</w:t>
      </w:r>
    </w:p>
    <w:tbl>
      <w:tblPr>
        <w:tblStyle w:val="45"/>
        <w:tblW w:w="982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905"/>
        <w:gridCol w:w="1434"/>
        <w:gridCol w:w="585"/>
        <w:gridCol w:w="698"/>
        <w:gridCol w:w="1102"/>
        <w:gridCol w:w="708"/>
        <w:gridCol w:w="906"/>
        <w:gridCol w:w="906"/>
        <w:gridCol w:w="905"/>
        <w:gridCol w:w="906"/>
        <w:gridCol w:w="7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4" w:hRule="atLeast"/>
        </w:trPr>
        <w:tc>
          <w:tcPr>
            <w:tcW w:w="23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比较因素</w:t>
            </w:r>
          </w:p>
        </w:tc>
        <w:tc>
          <w:tcPr>
            <w:tcW w:w="238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A</w:t>
            </w:r>
          </w:p>
        </w:tc>
        <w:tc>
          <w:tcPr>
            <w:tcW w:w="25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B</w:t>
            </w:r>
          </w:p>
        </w:tc>
        <w:tc>
          <w:tcPr>
            <w:tcW w:w="25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73" w:hRule="atLeast"/>
        </w:trPr>
        <w:tc>
          <w:tcPr>
            <w:tcW w:w="23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交易价格（元</w:t>
            </w:r>
            <w:r>
              <w:rPr>
                <w:rFonts w:hint="default" w:ascii="Times New Roman" w:hAnsi="Times New Roman" w:eastAsia="宋体" w:cs="Times New Roman"/>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w:t>
            </w:r>
            <w:r>
              <w:rPr>
                <w:rFonts w:ascii="仿宋_GB2312" w:hAnsi="Times New Roman" w:eastAsia="仿宋_GB2312" w:cs="仿宋_GB2312"/>
                <w:i w:val="0"/>
                <w:color w:val="000000"/>
                <w:kern w:val="0"/>
                <w:sz w:val="20"/>
                <w:szCs w:val="20"/>
                <w:u w:val="none"/>
                <w:lang w:val="en-US" w:eastAsia="zh-CN" w:bidi="ar"/>
              </w:rPr>
              <w:t>）</w:t>
            </w:r>
          </w:p>
        </w:tc>
        <w:tc>
          <w:tcPr>
            <w:tcW w:w="238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 xml:space="preserve">12.00 </w:t>
            </w:r>
          </w:p>
        </w:tc>
        <w:tc>
          <w:tcPr>
            <w:tcW w:w="25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 xml:space="preserve">12.50 </w:t>
            </w:r>
          </w:p>
        </w:tc>
        <w:tc>
          <w:tcPr>
            <w:tcW w:w="25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 xml:space="preserve">12.00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4" w:hRule="atLeast"/>
        </w:trPr>
        <w:tc>
          <w:tcPr>
            <w:tcW w:w="23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交易情况</w:t>
            </w:r>
          </w:p>
        </w:tc>
        <w:tc>
          <w:tcPr>
            <w:tcW w:w="58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698"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1102"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708"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6"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906"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6"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769"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4" w:hRule="atLeast"/>
        </w:trPr>
        <w:tc>
          <w:tcPr>
            <w:tcW w:w="23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交易日期</w:t>
            </w:r>
          </w:p>
        </w:tc>
        <w:tc>
          <w:tcPr>
            <w:tcW w:w="58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698"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1102"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708"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6"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906"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6"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769"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8" w:hRule="atLeast"/>
        </w:trPr>
        <w:tc>
          <w:tcPr>
            <w:tcW w:w="9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区位因素</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道路通达度</w:t>
            </w:r>
          </w:p>
        </w:tc>
        <w:tc>
          <w:tcPr>
            <w:tcW w:w="58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698"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1102"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708"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6"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906"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6"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769"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4" w:hRule="atLeast"/>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0"/>
                <w:szCs w:val="20"/>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交通状况</w:t>
            </w:r>
          </w:p>
        </w:tc>
        <w:tc>
          <w:tcPr>
            <w:tcW w:w="58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698"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1102"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708"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6"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906"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6"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769"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8" w:hRule="atLeast"/>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0"/>
                <w:szCs w:val="20"/>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基础设施状况</w:t>
            </w:r>
          </w:p>
        </w:tc>
        <w:tc>
          <w:tcPr>
            <w:tcW w:w="58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698"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1102"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708"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6"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906"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6"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769"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8" w:hRule="atLeast"/>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0"/>
                <w:szCs w:val="20"/>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公共配套设施</w:t>
            </w:r>
          </w:p>
        </w:tc>
        <w:tc>
          <w:tcPr>
            <w:tcW w:w="58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698"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1102"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708"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6"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906"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6"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769"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02" w:hRule="atLeast"/>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0"/>
                <w:szCs w:val="20"/>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商住氛围</w:t>
            </w:r>
          </w:p>
        </w:tc>
        <w:tc>
          <w:tcPr>
            <w:tcW w:w="58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698"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1102"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708"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6"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906"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6"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769"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8" w:hRule="atLeast"/>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0"/>
                <w:szCs w:val="20"/>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环境优劣度</w:t>
            </w:r>
          </w:p>
        </w:tc>
        <w:tc>
          <w:tcPr>
            <w:tcW w:w="58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698"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1102"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708"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6"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906"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6"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769"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4" w:hRule="atLeast"/>
        </w:trPr>
        <w:tc>
          <w:tcPr>
            <w:tcW w:w="9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实物因素</w:t>
            </w: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临路状况</w:t>
            </w:r>
          </w:p>
        </w:tc>
        <w:tc>
          <w:tcPr>
            <w:tcW w:w="58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698"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1102"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708"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6"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906"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6"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769"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8" w:hRule="atLeast"/>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0"/>
                <w:szCs w:val="20"/>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外观新旧程度</w:t>
            </w:r>
          </w:p>
        </w:tc>
        <w:tc>
          <w:tcPr>
            <w:tcW w:w="58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698"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1102"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708"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6"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906"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6"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769"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02" w:hRule="atLeast"/>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0"/>
                <w:szCs w:val="20"/>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层高</w:t>
            </w:r>
          </w:p>
        </w:tc>
        <w:tc>
          <w:tcPr>
            <w:tcW w:w="58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698"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1102"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708"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6"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906"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6"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769"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90" w:hRule="atLeast"/>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0"/>
                <w:szCs w:val="20"/>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有无配套电梯</w:t>
            </w:r>
          </w:p>
        </w:tc>
        <w:tc>
          <w:tcPr>
            <w:tcW w:w="58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698"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1102"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708"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6"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906"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6"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769"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02" w:hRule="atLeast"/>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0"/>
                <w:szCs w:val="20"/>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成交规模</w:t>
            </w:r>
          </w:p>
        </w:tc>
        <w:tc>
          <w:tcPr>
            <w:tcW w:w="58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698"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1102"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102</w:t>
            </w:r>
          </w:p>
        </w:tc>
        <w:tc>
          <w:tcPr>
            <w:tcW w:w="708"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6"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906"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101</w:t>
            </w:r>
          </w:p>
        </w:tc>
        <w:tc>
          <w:tcPr>
            <w:tcW w:w="90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6"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769"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4" w:hRule="atLeast"/>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0"/>
                <w:szCs w:val="20"/>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装修情况</w:t>
            </w:r>
          </w:p>
        </w:tc>
        <w:tc>
          <w:tcPr>
            <w:tcW w:w="58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698"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1102"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708"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6"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906"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6"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769"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02" w:hRule="atLeast"/>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0"/>
                <w:szCs w:val="20"/>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停车场地大小</w:t>
            </w:r>
          </w:p>
        </w:tc>
        <w:tc>
          <w:tcPr>
            <w:tcW w:w="58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698"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1102"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708"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6"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906"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6"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769"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38" w:hRule="atLeast"/>
        </w:trPr>
        <w:tc>
          <w:tcPr>
            <w:tcW w:w="9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0"/>
                <w:szCs w:val="20"/>
                <w:u w:val="none"/>
              </w:rPr>
            </w:pPr>
          </w:p>
        </w:tc>
        <w:tc>
          <w:tcPr>
            <w:tcW w:w="14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物业配套管理</w:t>
            </w:r>
          </w:p>
        </w:tc>
        <w:tc>
          <w:tcPr>
            <w:tcW w:w="58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698"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1102"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102</w:t>
            </w:r>
          </w:p>
        </w:tc>
        <w:tc>
          <w:tcPr>
            <w:tcW w:w="708"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6"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906"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102</w:t>
            </w:r>
          </w:p>
        </w:tc>
        <w:tc>
          <w:tcPr>
            <w:tcW w:w="905"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100</w:t>
            </w:r>
          </w:p>
        </w:tc>
        <w:tc>
          <w:tcPr>
            <w:tcW w:w="906" w:type="dxa"/>
            <w:tcBorders>
              <w:top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w:t>
            </w:r>
          </w:p>
        </w:tc>
        <w:tc>
          <w:tcPr>
            <w:tcW w:w="769"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02" w:hRule="atLeast"/>
        </w:trPr>
        <w:tc>
          <w:tcPr>
            <w:tcW w:w="23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比准价格（元</w:t>
            </w:r>
            <w:r>
              <w:rPr>
                <w:rFonts w:hint="default" w:ascii="Times New Roman" w:hAnsi="Times New Roman" w:eastAsia="宋体" w:cs="Times New Roman"/>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w:t>
            </w:r>
            <w:r>
              <w:rPr>
                <w:rFonts w:ascii="仿宋_GB2312" w:hAnsi="Times New Roman" w:eastAsia="仿宋_GB2312" w:cs="仿宋_GB2312"/>
                <w:i w:val="0"/>
                <w:color w:val="000000"/>
                <w:kern w:val="0"/>
                <w:sz w:val="20"/>
                <w:szCs w:val="20"/>
                <w:u w:val="none"/>
                <w:lang w:val="en-US" w:eastAsia="zh-CN" w:bidi="ar"/>
              </w:rPr>
              <w:t>）</w:t>
            </w:r>
          </w:p>
        </w:tc>
        <w:tc>
          <w:tcPr>
            <w:tcW w:w="238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11.53</w:t>
            </w:r>
          </w:p>
        </w:tc>
        <w:tc>
          <w:tcPr>
            <w:tcW w:w="25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12.13</w:t>
            </w:r>
          </w:p>
        </w:tc>
        <w:tc>
          <w:tcPr>
            <w:tcW w:w="25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11.53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4" w:hRule="atLeast"/>
        </w:trPr>
        <w:tc>
          <w:tcPr>
            <w:tcW w:w="23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权重</w:t>
            </w:r>
          </w:p>
        </w:tc>
        <w:tc>
          <w:tcPr>
            <w:tcW w:w="238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 xml:space="preserve"> 1/3</w:t>
            </w:r>
          </w:p>
        </w:tc>
        <w:tc>
          <w:tcPr>
            <w:tcW w:w="252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 xml:space="preserve"> 1/3</w:t>
            </w:r>
          </w:p>
        </w:tc>
        <w:tc>
          <w:tcPr>
            <w:tcW w:w="25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 xml:space="preserve"> 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48" w:hRule="atLeast"/>
        </w:trPr>
        <w:tc>
          <w:tcPr>
            <w:tcW w:w="23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ascii="仿宋_GB2312" w:hAnsi="Times New Roman" w:eastAsia="仿宋_GB2312" w:cs="仿宋_GB2312"/>
                <w:i w:val="0"/>
                <w:color w:val="000000"/>
                <w:kern w:val="0"/>
                <w:sz w:val="20"/>
                <w:szCs w:val="20"/>
                <w:u w:val="none"/>
                <w:lang w:val="en-US" w:eastAsia="zh-CN" w:bidi="ar"/>
              </w:rPr>
              <w:t>修正后单价（元</w:t>
            </w:r>
            <w:r>
              <w:rPr>
                <w:rFonts w:hint="default" w:ascii="Times New Roman" w:hAnsi="Times New Roman" w:eastAsia="宋体" w:cs="Times New Roman"/>
                <w:i w:val="0"/>
                <w:color w:val="000000"/>
                <w:kern w:val="0"/>
                <w:sz w:val="20"/>
                <w:szCs w:val="20"/>
                <w:u w:val="none"/>
                <w:lang w:val="en-US" w:eastAsia="zh-CN" w:bidi="ar"/>
              </w:rPr>
              <w:t>/</w:t>
            </w:r>
            <w:r>
              <w:rPr>
                <w:rFonts w:hint="eastAsia" w:ascii="宋体" w:hAnsi="宋体" w:eastAsia="宋体" w:cs="宋体"/>
                <w:i w:val="0"/>
                <w:color w:val="000000"/>
                <w:kern w:val="0"/>
                <w:sz w:val="20"/>
                <w:szCs w:val="20"/>
                <w:u w:val="none"/>
                <w:lang w:val="en-US" w:eastAsia="zh-CN" w:bidi="ar"/>
              </w:rPr>
              <w:t>㎡</w:t>
            </w:r>
            <w:r>
              <w:rPr>
                <w:rFonts w:ascii="仿宋_GB2312" w:hAnsi="Times New Roman" w:eastAsia="仿宋_GB2312" w:cs="仿宋_GB2312"/>
                <w:i w:val="0"/>
                <w:color w:val="000000"/>
                <w:kern w:val="0"/>
                <w:sz w:val="20"/>
                <w:szCs w:val="20"/>
                <w:u w:val="none"/>
                <w:lang w:val="en-US" w:eastAsia="zh-CN" w:bidi="ar"/>
              </w:rPr>
              <w:t>）</w:t>
            </w:r>
          </w:p>
        </w:tc>
        <w:tc>
          <w:tcPr>
            <w:tcW w:w="748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0"/>
                <w:szCs w:val="20"/>
                <w:u w:val="none"/>
              </w:rPr>
            </w:pPr>
            <w:r>
              <w:rPr>
                <w:rFonts w:hint="default" w:ascii="Times New Roman" w:hAnsi="Times New Roman" w:eastAsia="宋体" w:cs="Times New Roman"/>
                <w:i w:val="0"/>
                <w:color w:val="000000"/>
                <w:kern w:val="0"/>
                <w:sz w:val="20"/>
                <w:szCs w:val="20"/>
                <w:u w:val="none"/>
                <w:lang w:val="en-US" w:eastAsia="zh-CN" w:bidi="ar"/>
              </w:rPr>
              <w:t xml:space="preserve">12.00 </w:t>
            </w:r>
          </w:p>
        </w:tc>
      </w:tr>
    </w:tbl>
    <w:p>
      <w:pPr>
        <w:spacing w:line="500" w:lineRule="exact"/>
        <w:rPr>
          <w:rFonts w:ascii="仿宋_GB2312" w:eastAsia="仿宋_GB2312"/>
          <w:snapToGrid w:val="0"/>
          <w:kern w:val="0"/>
          <w:sz w:val="28"/>
          <w:szCs w:val="28"/>
        </w:rPr>
      </w:pPr>
      <w:r>
        <w:rPr>
          <w:rFonts w:hint="eastAsia" w:ascii="仿宋_GB2312" w:eastAsia="仿宋_GB2312"/>
          <w:snapToGrid w:val="0"/>
          <w:kern w:val="0"/>
          <w:sz w:val="28"/>
          <w:szCs w:val="28"/>
          <w:lang w:val="en-US" w:eastAsia="zh-CN"/>
        </w:rPr>
        <w:t xml:space="preserve">     </w:t>
      </w:r>
      <w:r>
        <w:rPr>
          <w:rFonts w:hint="eastAsia" w:ascii="仿宋_GB2312" w:eastAsia="仿宋_GB2312"/>
          <w:snapToGrid w:val="0"/>
          <w:kern w:val="0"/>
          <w:sz w:val="28"/>
          <w:szCs w:val="28"/>
        </w:rPr>
        <w:t>经过测算，类似房地产的租金状况一般为</w:t>
      </w:r>
      <w:r>
        <w:rPr>
          <w:rFonts w:hint="eastAsia" w:ascii="仿宋_GB2312" w:eastAsia="仿宋_GB2312"/>
          <w:snapToGrid w:val="0"/>
          <w:kern w:val="0"/>
          <w:sz w:val="28"/>
          <w:szCs w:val="28"/>
          <w:lang w:eastAsia="zh-CN"/>
        </w:rPr>
        <w:t>12.00</w:t>
      </w:r>
      <w:r>
        <w:rPr>
          <w:rFonts w:hint="eastAsia" w:ascii="仿宋_GB2312" w:eastAsia="仿宋_GB2312"/>
          <w:snapToGrid w:val="0"/>
          <w:kern w:val="0"/>
          <w:sz w:val="28"/>
          <w:szCs w:val="28"/>
        </w:rPr>
        <w:t>元/月/平方米。</w:t>
      </w:r>
    </w:p>
    <w:p>
      <w:pPr>
        <w:tabs>
          <w:tab w:val="left" w:pos="0"/>
        </w:tabs>
        <w:adjustRightInd w:val="0"/>
        <w:snapToGrid w:val="0"/>
        <w:spacing w:line="480" w:lineRule="exact"/>
        <w:rPr>
          <w:rFonts w:ascii="仿宋_GB2312" w:eastAsia="仿宋_GB2312"/>
          <w:snapToGrid w:val="0"/>
          <w:kern w:val="0"/>
          <w:sz w:val="28"/>
          <w:szCs w:val="28"/>
        </w:rPr>
      </w:pPr>
      <w:r>
        <w:rPr>
          <w:rFonts w:hint="eastAsia" w:ascii="仿宋_GB2312" w:eastAsia="仿宋_GB2312"/>
          <w:snapToGrid w:val="0"/>
          <w:kern w:val="0"/>
          <w:sz w:val="28"/>
          <w:szCs w:val="28"/>
        </w:rPr>
        <w:t xml:space="preserve">     租金损失主要是空置率、逾期交纳租金等原因造成,由于该区域租赁市场较为规范、活跃,租赁市场现状为供求量低于市场需求量，综合市场状况后考虑，决定此次评估租金损失为</w:t>
      </w:r>
      <w:r>
        <w:rPr>
          <w:rFonts w:hint="eastAsia" w:ascii="仿宋_GB2312" w:eastAsia="仿宋_GB2312"/>
          <w:snapToGrid w:val="0"/>
          <w:kern w:val="0"/>
          <w:sz w:val="28"/>
          <w:szCs w:val="28"/>
          <w:lang w:val="en-US" w:eastAsia="zh-CN"/>
        </w:rPr>
        <w:t>6</w:t>
      </w:r>
      <w:r>
        <w:rPr>
          <w:rFonts w:hint="eastAsia" w:ascii="仿宋_GB2312" w:eastAsia="仿宋_GB2312"/>
          <w:snapToGrid w:val="0"/>
          <w:kern w:val="0"/>
          <w:sz w:val="28"/>
          <w:szCs w:val="28"/>
        </w:rPr>
        <w:t>%，则其每平方建筑面积年有效潜在毛收入为：</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年有效潜在毛收入 ＝月租金×（1－空置率）×12个月</w:t>
      </w:r>
    </w:p>
    <w:p>
      <w:pPr>
        <w:tabs>
          <w:tab w:val="left" w:pos="0"/>
        </w:tabs>
        <w:adjustRightInd w:val="0"/>
        <w:snapToGrid w:val="0"/>
        <w:spacing w:line="480" w:lineRule="exact"/>
        <w:ind w:firstLine="2793" w:firstLineChars="829"/>
        <w:rPr>
          <w:rFonts w:ascii="宋体" w:hAnsi="宋体" w:cs="宋体"/>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12.00</w:t>
      </w:r>
      <w:r>
        <w:rPr>
          <w:rFonts w:hint="eastAsia" w:ascii="仿宋_GB2312" w:eastAsia="仿宋_GB2312"/>
          <w:snapToGrid w:val="0"/>
          <w:kern w:val="0"/>
          <w:sz w:val="28"/>
          <w:szCs w:val="28"/>
        </w:rPr>
        <w:t>元/</w:t>
      </w:r>
      <w:r>
        <w:rPr>
          <w:rFonts w:hint="eastAsia" w:ascii="宋体" w:hAnsi="宋体" w:cs="宋体"/>
          <w:snapToGrid w:val="0"/>
          <w:kern w:val="0"/>
          <w:sz w:val="28"/>
          <w:szCs w:val="28"/>
        </w:rPr>
        <w:t>㎡</w:t>
      </w:r>
      <w:r>
        <w:rPr>
          <w:rFonts w:hint="eastAsia" w:ascii="仿宋_GB2312" w:eastAsia="仿宋_GB2312"/>
          <w:snapToGrid w:val="0"/>
          <w:kern w:val="0"/>
          <w:sz w:val="28"/>
          <w:szCs w:val="28"/>
        </w:rPr>
        <w:t>·月×（1－</w:t>
      </w:r>
      <w:r>
        <w:rPr>
          <w:rFonts w:hint="eastAsia" w:ascii="仿宋_GB2312" w:eastAsia="仿宋_GB2312"/>
          <w:snapToGrid w:val="0"/>
          <w:kern w:val="0"/>
          <w:sz w:val="28"/>
          <w:szCs w:val="28"/>
          <w:lang w:val="en-US" w:eastAsia="zh-CN"/>
        </w:rPr>
        <w:t>6</w:t>
      </w:r>
      <w:r>
        <w:rPr>
          <w:rFonts w:hint="eastAsia" w:ascii="仿宋_GB2312" w:eastAsia="仿宋_GB2312"/>
          <w:snapToGrid w:val="0"/>
          <w:kern w:val="0"/>
          <w:sz w:val="28"/>
          <w:szCs w:val="28"/>
        </w:rPr>
        <w:t>%）×12个月</w:t>
      </w:r>
    </w:p>
    <w:p>
      <w:pPr>
        <w:tabs>
          <w:tab w:val="left" w:pos="0"/>
        </w:tabs>
        <w:adjustRightInd w:val="0"/>
        <w:snapToGrid w:val="0"/>
        <w:spacing w:line="480" w:lineRule="exact"/>
        <w:ind w:firstLine="2786" w:firstLineChars="827"/>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135.36</w:t>
      </w:r>
      <w:r>
        <w:rPr>
          <w:rFonts w:hint="eastAsia" w:ascii="仿宋_GB2312" w:eastAsia="仿宋_GB2312"/>
          <w:snapToGrid w:val="0"/>
          <w:kern w:val="0"/>
          <w:sz w:val="28"/>
          <w:szCs w:val="28"/>
        </w:rPr>
        <w:t>(元)</w:t>
      </w:r>
    </w:p>
    <w:p>
      <w:pPr>
        <w:tabs>
          <w:tab w:val="left" w:pos="0"/>
        </w:tabs>
        <w:adjustRightInd w:val="0"/>
        <w:snapToGrid w:val="0"/>
        <w:spacing w:line="480" w:lineRule="exact"/>
        <w:ind w:firstLine="480"/>
        <w:rPr>
          <w:rFonts w:ascii="宋体" w:hAnsi="宋体" w:cs="宋体"/>
          <w:snapToGrid w:val="0"/>
          <w:kern w:val="0"/>
          <w:sz w:val="28"/>
          <w:szCs w:val="28"/>
        </w:rPr>
      </w:pP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宋体" w:hAnsi="宋体" w:cs="宋体"/>
          <w:snapToGrid w:val="0"/>
          <w:kern w:val="0"/>
          <w:sz w:val="28"/>
          <w:szCs w:val="28"/>
        </w:rPr>
        <w:t>ⅱ</w:t>
      </w:r>
      <w:r>
        <w:rPr>
          <w:rFonts w:hint="eastAsia" w:ascii="仿宋_GB2312" w:eastAsia="仿宋_GB2312"/>
          <w:snapToGrid w:val="0"/>
          <w:kern w:val="0"/>
          <w:sz w:val="28"/>
          <w:szCs w:val="28"/>
        </w:rPr>
        <w:t>、确定租赁保证金、押金等的利息收入</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按照估价对象所在区域市场的实际情况，保证金、押金一般为三个月的租金，若租期按一年计，则估价对象的保证金、押金利息为：</w:t>
      </w:r>
    </w:p>
    <w:p>
      <w:pPr>
        <w:tabs>
          <w:tab w:val="left" w:pos="0"/>
        </w:tabs>
        <w:adjustRightInd w:val="0"/>
        <w:snapToGrid w:val="0"/>
        <w:spacing w:line="480" w:lineRule="exact"/>
        <w:ind w:firstLine="480"/>
        <w:rPr>
          <w:rFonts w:ascii="仿宋_GB2312" w:eastAsia="仿宋_GB2312"/>
          <w:snapToGrid w:val="0"/>
          <w:color w:val="auto"/>
          <w:kern w:val="0"/>
          <w:sz w:val="28"/>
          <w:szCs w:val="28"/>
        </w:rPr>
      </w:pPr>
      <w:r>
        <w:rPr>
          <w:rFonts w:hint="eastAsia" w:ascii="仿宋_GB2312" w:eastAsia="仿宋_GB2312"/>
          <w:snapToGrid w:val="0"/>
          <w:kern w:val="0"/>
          <w:sz w:val="28"/>
          <w:szCs w:val="28"/>
        </w:rPr>
        <w:t>保证金、押金利息 ＝月租金×押金月数×（1－空置率）×</w:t>
      </w:r>
      <w:r>
        <w:rPr>
          <w:rFonts w:hint="eastAsia" w:ascii="仿宋_GB2312" w:eastAsia="仿宋_GB2312"/>
          <w:snapToGrid w:val="0"/>
          <w:color w:val="auto"/>
          <w:kern w:val="0"/>
          <w:sz w:val="28"/>
          <w:szCs w:val="28"/>
        </w:rPr>
        <w:t>存款利率</w:t>
      </w:r>
    </w:p>
    <w:p>
      <w:pPr>
        <w:tabs>
          <w:tab w:val="left" w:pos="0"/>
        </w:tabs>
        <w:adjustRightInd w:val="0"/>
        <w:snapToGrid w:val="0"/>
        <w:spacing w:line="480" w:lineRule="exact"/>
        <w:ind w:firstLine="2793" w:firstLineChars="829"/>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12.00</w:t>
      </w:r>
      <w:r>
        <w:rPr>
          <w:rFonts w:hint="eastAsia" w:ascii="仿宋_GB2312" w:eastAsia="仿宋_GB2312"/>
          <w:snapToGrid w:val="0"/>
          <w:kern w:val="0"/>
          <w:sz w:val="28"/>
          <w:szCs w:val="28"/>
        </w:rPr>
        <w:t>元/</w:t>
      </w:r>
      <w:r>
        <w:rPr>
          <w:rFonts w:hint="eastAsia" w:ascii="宋体" w:hAnsi="宋体" w:cs="宋体"/>
          <w:snapToGrid w:val="0"/>
          <w:kern w:val="0"/>
          <w:sz w:val="28"/>
          <w:szCs w:val="28"/>
        </w:rPr>
        <w:t>㎡</w:t>
      </w:r>
      <w:r>
        <w:rPr>
          <w:rFonts w:hint="eastAsia" w:ascii="仿宋_GB2312" w:eastAsia="仿宋_GB2312"/>
          <w:snapToGrid w:val="0"/>
          <w:kern w:val="0"/>
          <w:sz w:val="28"/>
          <w:szCs w:val="28"/>
        </w:rPr>
        <w:t>×3×（1－</w:t>
      </w:r>
      <w:r>
        <w:rPr>
          <w:rFonts w:hint="eastAsia" w:ascii="仿宋_GB2312" w:eastAsia="仿宋_GB2312"/>
          <w:snapToGrid w:val="0"/>
          <w:kern w:val="0"/>
          <w:sz w:val="28"/>
          <w:szCs w:val="28"/>
          <w:lang w:val="en-US" w:eastAsia="zh-CN"/>
        </w:rPr>
        <w:t>6</w:t>
      </w:r>
      <w:r>
        <w:rPr>
          <w:rFonts w:hint="eastAsia" w:ascii="仿宋_GB2312" w:eastAsia="仿宋_GB2312"/>
          <w:snapToGrid w:val="0"/>
          <w:kern w:val="0"/>
          <w:sz w:val="28"/>
          <w:szCs w:val="28"/>
        </w:rPr>
        <w:t>%）×1.5%</w:t>
      </w:r>
    </w:p>
    <w:p>
      <w:pPr>
        <w:tabs>
          <w:tab w:val="left" w:pos="0"/>
        </w:tabs>
        <w:adjustRightInd w:val="0"/>
        <w:snapToGrid w:val="0"/>
        <w:spacing w:line="480" w:lineRule="exact"/>
        <w:ind w:firstLine="2793" w:firstLineChars="829"/>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0.51</w:t>
      </w:r>
      <w:r>
        <w:rPr>
          <w:rFonts w:hint="eastAsia" w:ascii="仿宋_GB2312" w:eastAsia="仿宋_GB2312"/>
          <w:snapToGrid w:val="0"/>
          <w:kern w:val="0"/>
          <w:sz w:val="28"/>
          <w:szCs w:val="28"/>
        </w:rPr>
        <w:t xml:space="preserve">(元) </w:t>
      </w:r>
    </w:p>
    <w:p>
      <w:pPr>
        <w:tabs>
          <w:tab w:val="left" w:pos="0"/>
        </w:tabs>
        <w:adjustRightInd w:val="0"/>
        <w:snapToGrid w:val="0"/>
        <w:spacing w:line="480" w:lineRule="exact"/>
        <w:rPr>
          <w:rFonts w:ascii="宋体" w:hAnsi="宋体" w:cs="宋体"/>
          <w:snapToGrid w:val="0"/>
          <w:kern w:val="0"/>
          <w:sz w:val="28"/>
          <w:szCs w:val="28"/>
        </w:rPr>
      </w:pP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宋体" w:hAnsi="宋体" w:cs="宋体"/>
          <w:snapToGrid w:val="0"/>
          <w:kern w:val="0"/>
          <w:sz w:val="28"/>
          <w:szCs w:val="28"/>
        </w:rPr>
        <w:t>ⅲ</w:t>
      </w:r>
      <w:r>
        <w:rPr>
          <w:rFonts w:hint="eastAsia" w:ascii="仿宋_GB2312" w:eastAsia="仿宋_GB2312"/>
          <w:snapToGrid w:val="0"/>
          <w:kern w:val="0"/>
          <w:sz w:val="28"/>
          <w:szCs w:val="28"/>
        </w:rPr>
        <w:t>、确定估价对象的年租赁收入</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通过上述分析计算，可以确定估价对象的年租赁收入为：</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年租赁收入 ＝年有效潜在毛收入+保证金、押金利息</w:t>
      </w:r>
    </w:p>
    <w:p>
      <w:pPr>
        <w:tabs>
          <w:tab w:val="left" w:pos="0"/>
        </w:tabs>
        <w:adjustRightInd w:val="0"/>
        <w:snapToGrid w:val="0"/>
        <w:spacing w:line="480" w:lineRule="exact"/>
        <w:ind w:firstLine="1967" w:firstLineChars="584"/>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135.36</w:t>
      </w: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0.51</w:t>
      </w:r>
    </w:p>
    <w:p>
      <w:pPr>
        <w:tabs>
          <w:tab w:val="left" w:pos="0"/>
        </w:tabs>
        <w:adjustRightInd w:val="0"/>
        <w:snapToGrid w:val="0"/>
        <w:spacing w:line="480" w:lineRule="exact"/>
        <w:ind w:firstLine="1967" w:firstLineChars="584"/>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135.87</w:t>
      </w:r>
      <w:r>
        <w:rPr>
          <w:rFonts w:hint="eastAsia" w:ascii="仿宋_GB2312" w:eastAsia="仿宋_GB2312"/>
          <w:snapToGrid w:val="0"/>
          <w:kern w:val="0"/>
          <w:sz w:val="28"/>
          <w:szCs w:val="28"/>
        </w:rPr>
        <w:t>(元)</w:t>
      </w:r>
    </w:p>
    <w:p>
      <w:pPr>
        <w:tabs>
          <w:tab w:val="left" w:pos="0"/>
        </w:tabs>
        <w:adjustRightInd w:val="0"/>
        <w:snapToGrid w:val="0"/>
        <w:spacing w:line="480" w:lineRule="exact"/>
        <w:ind w:firstLine="1967" w:firstLineChars="584"/>
        <w:rPr>
          <w:rFonts w:ascii="仿宋_GB2312" w:eastAsia="仿宋_GB2312"/>
          <w:snapToGrid w:val="0"/>
          <w:kern w:val="0"/>
          <w:sz w:val="28"/>
          <w:szCs w:val="28"/>
        </w:rPr>
      </w:pP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② 确定维修费、管理费、保险费和税金等费用</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按照《房地产估价规范》的规定，维修费、管理费、保险费和税金等四项费用应参照市场上类似房地产的一般费用水平进行估算，即应采用客观费用作为估价依据。</w:t>
      </w:r>
    </w:p>
    <w:p>
      <w:pPr>
        <w:tabs>
          <w:tab w:val="left" w:pos="0"/>
        </w:tabs>
        <w:adjustRightInd w:val="0"/>
        <w:snapToGrid w:val="0"/>
        <w:spacing w:line="480" w:lineRule="exact"/>
        <w:ind w:firstLine="505" w:firstLineChars="150"/>
        <w:rPr>
          <w:rFonts w:ascii="仿宋_GB2312" w:eastAsia="仿宋_GB2312"/>
          <w:snapToGrid w:val="0"/>
          <w:kern w:val="0"/>
          <w:sz w:val="28"/>
          <w:szCs w:val="28"/>
        </w:rPr>
      </w:pPr>
      <w:r>
        <w:rPr>
          <w:rFonts w:hint="eastAsia" w:ascii="宋体" w:hAnsi="宋体" w:cs="宋体"/>
          <w:snapToGrid w:val="0"/>
          <w:kern w:val="0"/>
          <w:sz w:val="28"/>
          <w:szCs w:val="28"/>
        </w:rPr>
        <w:t>ⅰ、</w:t>
      </w:r>
      <w:r>
        <w:rPr>
          <w:rFonts w:hint="eastAsia" w:ascii="仿宋_GB2312" w:eastAsia="仿宋_GB2312"/>
          <w:snapToGrid w:val="0"/>
          <w:kern w:val="0"/>
          <w:sz w:val="28"/>
          <w:szCs w:val="28"/>
        </w:rPr>
        <w:t>维修费</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维修费指为保障房屋正常使用每年需支付的修缮费。</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维修费一般按租金收入的一定比例进行计算，根据当地市场情况，结合估价对象的具体状况，确定比例为1%。则：</w:t>
      </w:r>
    </w:p>
    <w:p>
      <w:pPr>
        <w:tabs>
          <w:tab w:val="left" w:pos="0"/>
        </w:tabs>
        <w:adjustRightInd w:val="0"/>
        <w:snapToGrid w:val="0"/>
        <w:spacing w:line="480" w:lineRule="exact"/>
        <w:ind w:firstLine="1168" w:firstLineChars="347"/>
        <w:rPr>
          <w:rFonts w:ascii="仿宋_GB2312" w:eastAsia="仿宋_GB2312"/>
          <w:snapToGrid w:val="0"/>
          <w:kern w:val="0"/>
          <w:sz w:val="28"/>
          <w:szCs w:val="28"/>
          <w:highlight w:val="yellow"/>
        </w:rPr>
      </w:pPr>
      <w:r>
        <w:rPr>
          <w:rFonts w:hint="eastAsia" w:ascii="仿宋_GB2312" w:eastAsia="仿宋_GB2312"/>
          <w:snapToGrid w:val="0"/>
          <w:kern w:val="0"/>
          <w:sz w:val="28"/>
          <w:szCs w:val="28"/>
        </w:rPr>
        <w:t>年维修费 ＝房地出租年租金收益×1%</w:t>
      </w:r>
    </w:p>
    <w:p>
      <w:pPr>
        <w:pStyle w:val="215"/>
        <w:tabs>
          <w:tab w:val="left" w:pos="0"/>
        </w:tabs>
        <w:adjustRightInd w:val="0"/>
        <w:snapToGrid w:val="0"/>
        <w:spacing w:line="480" w:lineRule="exact"/>
        <w:ind w:left="1238" w:leftChars="464" w:firstLine="1148" w:firstLineChars="341"/>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135.36</w:t>
      </w: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1</w:t>
      </w:r>
      <w:r>
        <w:rPr>
          <w:rFonts w:hint="eastAsia" w:ascii="仿宋_GB2312" w:eastAsia="仿宋_GB2312"/>
          <w:snapToGrid w:val="0"/>
          <w:kern w:val="0"/>
          <w:sz w:val="28"/>
          <w:szCs w:val="28"/>
        </w:rPr>
        <w:t>%</w:t>
      </w:r>
    </w:p>
    <w:p>
      <w:pPr>
        <w:pStyle w:val="215"/>
        <w:tabs>
          <w:tab w:val="left" w:pos="0"/>
        </w:tabs>
        <w:adjustRightInd w:val="0"/>
        <w:snapToGrid w:val="0"/>
        <w:spacing w:line="480" w:lineRule="exact"/>
        <w:ind w:left="1238" w:leftChars="464" w:firstLine="1155" w:firstLineChars="343"/>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1.35</w:t>
      </w:r>
      <w:r>
        <w:rPr>
          <w:rFonts w:hint="eastAsia" w:ascii="仿宋_GB2312" w:eastAsia="仿宋_GB2312"/>
          <w:snapToGrid w:val="0"/>
          <w:kern w:val="0"/>
          <w:sz w:val="28"/>
          <w:szCs w:val="28"/>
        </w:rPr>
        <w:t>（元）</w:t>
      </w:r>
    </w:p>
    <w:p>
      <w:pPr>
        <w:pStyle w:val="215"/>
        <w:tabs>
          <w:tab w:val="left" w:pos="0"/>
        </w:tabs>
        <w:adjustRightInd w:val="0"/>
        <w:snapToGrid w:val="0"/>
        <w:spacing w:line="480" w:lineRule="exact"/>
        <w:ind w:left="1238" w:leftChars="464" w:firstLine="1155" w:firstLineChars="343"/>
        <w:rPr>
          <w:rFonts w:ascii="仿宋_GB2312" w:eastAsia="仿宋_GB2312"/>
          <w:snapToGrid w:val="0"/>
          <w:kern w:val="0"/>
          <w:sz w:val="28"/>
          <w:szCs w:val="28"/>
        </w:rPr>
      </w:pP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宋体" w:hAnsi="宋体" w:cs="宋体"/>
          <w:snapToGrid w:val="0"/>
          <w:kern w:val="0"/>
          <w:sz w:val="28"/>
          <w:szCs w:val="28"/>
        </w:rPr>
        <w:t>ⅱ、</w:t>
      </w:r>
      <w:r>
        <w:rPr>
          <w:rFonts w:hint="eastAsia" w:ascii="仿宋_GB2312" w:eastAsia="仿宋_GB2312"/>
          <w:snapToGrid w:val="0"/>
          <w:kern w:val="0"/>
          <w:sz w:val="28"/>
          <w:szCs w:val="28"/>
        </w:rPr>
        <w:t>年管理费</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管理费是指对出租房屋进行必要管理所需的费用，分为两部分：一是出租经营过程中消耗品价值的货币支出；另一是管理人员的工资支出，一般取有效毛收入的1%-5%。根据估价师实地勘察和对市场现状的分析，本次估价测算过程中的管理费取房地产出租年租金收入的1.0%。</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年管理费 ＝房地出租年租金收入×管理费比率</w:t>
      </w:r>
    </w:p>
    <w:p>
      <w:pPr>
        <w:tabs>
          <w:tab w:val="left" w:pos="0"/>
        </w:tabs>
        <w:adjustRightInd w:val="0"/>
        <w:snapToGrid w:val="0"/>
        <w:spacing w:line="480" w:lineRule="exact"/>
        <w:ind w:firstLine="1802" w:firstLineChars="535"/>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135.36</w:t>
      </w:r>
      <w:r>
        <w:rPr>
          <w:rFonts w:hint="eastAsia" w:ascii="仿宋_GB2312" w:eastAsia="仿宋_GB2312"/>
          <w:snapToGrid w:val="0"/>
          <w:kern w:val="0"/>
          <w:sz w:val="28"/>
          <w:szCs w:val="28"/>
        </w:rPr>
        <w:t>×1.0%</w:t>
      </w:r>
    </w:p>
    <w:p>
      <w:pPr>
        <w:tabs>
          <w:tab w:val="left" w:pos="0"/>
        </w:tabs>
        <w:adjustRightInd w:val="0"/>
        <w:snapToGrid w:val="0"/>
        <w:spacing w:line="480" w:lineRule="exact"/>
        <w:ind w:firstLine="1802" w:firstLineChars="535"/>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1.35</w:t>
      </w:r>
      <w:r>
        <w:rPr>
          <w:rFonts w:hint="eastAsia" w:ascii="仿宋_GB2312" w:eastAsia="仿宋_GB2312"/>
          <w:snapToGrid w:val="0"/>
          <w:kern w:val="0"/>
          <w:sz w:val="28"/>
          <w:szCs w:val="28"/>
        </w:rPr>
        <w:t>(元)</w:t>
      </w:r>
    </w:p>
    <w:p>
      <w:pPr>
        <w:pStyle w:val="23"/>
        <w:snapToGrid w:val="0"/>
        <w:spacing w:line="480" w:lineRule="exact"/>
        <w:ind w:firstLine="555"/>
        <w:rPr>
          <w:rFonts w:hAnsi="宋体" w:cs="宋体"/>
          <w:snapToGrid w:val="0"/>
          <w:kern w:val="0"/>
          <w:sz w:val="28"/>
          <w:szCs w:val="28"/>
        </w:rPr>
      </w:pPr>
    </w:p>
    <w:p>
      <w:pPr>
        <w:pStyle w:val="23"/>
        <w:snapToGrid w:val="0"/>
        <w:spacing w:line="480" w:lineRule="exact"/>
        <w:ind w:firstLine="555"/>
        <w:rPr>
          <w:rFonts w:ascii="仿宋_GB2312" w:hAnsi="Times New Roman" w:eastAsia="仿宋_GB2312"/>
          <w:snapToGrid w:val="0"/>
          <w:kern w:val="0"/>
          <w:sz w:val="28"/>
          <w:szCs w:val="28"/>
        </w:rPr>
      </w:pPr>
      <w:r>
        <w:rPr>
          <w:rFonts w:hint="eastAsia" w:hAnsi="宋体" w:cs="宋体"/>
          <w:snapToGrid w:val="0"/>
          <w:kern w:val="0"/>
          <w:sz w:val="28"/>
          <w:szCs w:val="28"/>
        </w:rPr>
        <w:t>ⅲ、</w:t>
      </w:r>
      <w:r>
        <w:rPr>
          <w:rFonts w:hint="eastAsia" w:ascii="仿宋_GB2312" w:hAnsi="Times New Roman" w:eastAsia="仿宋_GB2312"/>
          <w:snapToGrid w:val="0"/>
          <w:kern w:val="0"/>
          <w:sz w:val="28"/>
          <w:szCs w:val="28"/>
        </w:rPr>
        <w:t>保险费</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保险费是指房屋所有权人为使自己的房产避免意外损失而向保险公司支付的费用。根据保险公司的有关规定及估价人员根据估价对象实际状况的判断，本次评估保险费率</w:t>
      </w:r>
      <w:r>
        <w:rPr>
          <w:rFonts w:hint="eastAsia" w:ascii="仿宋_GB2312" w:eastAsia="仿宋_GB2312"/>
          <w:snapToGrid w:val="0"/>
          <w:kern w:val="0"/>
          <w:sz w:val="28"/>
          <w:szCs w:val="28"/>
          <w:lang w:eastAsia="zh-CN"/>
        </w:rPr>
        <w:t>按年租金</w:t>
      </w:r>
      <w:r>
        <w:rPr>
          <w:rFonts w:hint="eastAsia" w:ascii="仿宋_GB2312" w:eastAsia="仿宋_GB2312"/>
          <w:snapToGrid w:val="0"/>
          <w:kern w:val="0"/>
          <w:sz w:val="28"/>
          <w:szCs w:val="28"/>
        </w:rPr>
        <w:t>的0.15%</w:t>
      </w:r>
      <w:r>
        <w:rPr>
          <w:rFonts w:hint="eastAsia" w:ascii="仿宋_GB2312" w:eastAsia="仿宋_GB2312"/>
          <w:snapToGrid w:val="0"/>
          <w:kern w:val="0"/>
          <w:sz w:val="28"/>
          <w:szCs w:val="28"/>
          <w:lang w:eastAsia="zh-CN"/>
        </w:rPr>
        <w:t>折算</w:t>
      </w:r>
      <w:r>
        <w:rPr>
          <w:rFonts w:hint="eastAsia" w:ascii="仿宋_GB2312" w:eastAsia="仿宋_GB2312"/>
          <w:snapToGrid w:val="0"/>
          <w:kern w:val="0"/>
          <w:sz w:val="28"/>
          <w:szCs w:val="28"/>
        </w:rPr>
        <w:t>。</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年保险费 ＝</w:t>
      </w:r>
      <w:r>
        <w:rPr>
          <w:rFonts w:hint="eastAsia" w:ascii="仿宋_GB2312" w:eastAsia="仿宋_GB2312"/>
          <w:snapToGrid w:val="0"/>
          <w:kern w:val="0"/>
          <w:sz w:val="28"/>
          <w:szCs w:val="28"/>
          <w:lang w:eastAsia="zh-CN"/>
        </w:rPr>
        <w:t>年租金</w:t>
      </w:r>
      <w:r>
        <w:rPr>
          <w:rFonts w:hint="eastAsia" w:ascii="仿宋_GB2312" w:eastAsia="仿宋_GB2312"/>
          <w:snapToGrid w:val="0"/>
          <w:kern w:val="0"/>
          <w:sz w:val="28"/>
          <w:szCs w:val="28"/>
        </w:rPr>
        <w:t>×保险费率</w:t>
      </w:r>
    </w:p>
    <w:p>
      <w:pPr>
        <w:tabs>
          <w:tab w:val="left" w:pos="0"/>
        </w:tabs>
        <w:adjustRightInd w:val="0"/>
        <w:snapToGrid w:val="0"/>
        <w:spacing w:line="480" w:lineRule="exact"/>
        <w:ind w:firstLine="1802" w:firstLineChars="535"/>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135.36</w:t>
      </w:r>
      <w:r>
        <w:rPr>
          <w:rFonts w:hint="eastAsia" w:ascii="仿宋_GB2312" w:eastAsia="仿宋_GB2312"/>
          <w:snapToGrid w:val="0"/>
          <w:kern w:val="0"/>
          <w:sz w:val="28"/>
          <w:szCs w:val="28"/>
        </w:rPr>
        <w:t>×0.15%</w:t>
      </w:r>
    </w:p>
    <w:p>
      <w:pPr>
        <w:tabs>
          <w:tab w:val="left" w:pos="0"/>
        </w:tabs>
        <w:adjustRightInd w:val="0"/>
        <w:snapToGrid w:val="0"/>
        <w:spacing w:line="480" w:lineRule="exact"/>
        <w:ind w:firstLine="1802" w:firstLineChars="535"/>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0.20</w:t>
      </w:r>
      <w:r>
        <w:rPr>
          <w:rFonts w:hint="eastAsia" w:ascii="仿宋_GB2312" w:eastAsia="仿宋_GB2312"/>
          <w:snapToGrid w:val="0"/>
          <w:kern w:val="0"/>
          <w:sz w:val="28"/>
          <w:szCs w:val="28"/>
        </w:rPr>
        <w:t>(元)</w:t>
      </w:r>
    </w:p>
    <w:p>
      <w:pPr>
        <w:tabs>
          <w:tab w:val="left" w:pos="0"/>
        </w:tabs>
        <w:adjustRightInd w:val="0"/>
        <w:snapToGrid w:val="0"/>
        <w:spacing w:line="480" w:lineRule="exact"/>
        <w:ind w:firstLine="1802" w:firstLineChars="535"/>
        <w:rPr>
          <w:rFonts w:ascii="仿宋_GB2312" w:eastAsia="仿宋_GB2312"/>
          <w:snapToGrid w:val="0"/>
          <w:kern w:val="0"/>
          <w:sz w:val="28"/>
          <w:szCs w:val="28"/>
        </w:rPr>
      </w:pP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宋体" w:hAnsi="宋体" w:cs="宋体"/>
          <w:snapToGrid w:val="0"/>
          <w:kern w:val="0"/>
          <w:sz w:val="28"/>
          <w:szCs w:val="28"/>
        </w:rPr>
        <w:t>ⅳ、</w:t>
      </w:r>
      <w:r>
        <w:rPr>
          <w:rFonts w:hint="eastAsia" w:ascii="仿宋_GB2312" w:eastAsia="仿宋_GB2312"/>
          <w:snapToGrid w:val="0"/>
          <w:kern w:val="0"/>
          <w:sz w:val="28"/>
          <w:szCs w:val="28"/>
        </w:rPr>
        <w:t>相关税金</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A、房产税</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房产税：指房产所有人按有关规定向税务机关缴纳房产税费，依据《中华人民共和国房产税暂行条例》、《广东省房产税暂行条例实施细则》，自用的房地产房产税以房产原值一次减除10%-30%后的余值为计税依据，税率按1.2%缴纳；依照房产租金收入计算缴纳的，税率为12％。根据估价对象所在地的税务部门了解以及估价师掌握的资料，房产税以房屋年租金的12%除以（1+增值税率）计。</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年房产税 ＝房屋年租金</w:t>
      </w:r>
      <w:r>
        <w:rPr>
          <w:rFonts w:ascii="仿宋_GB2312" w:eastAsia="仿宋_GB2312"/>
          <w:snapToGrid w:val="0"/>
          <w:kern w:val="0"/>
          <w:sz w:val="28"/>
          <w:szCs w:val="28"/>
        </w:rPr>
        <w:t>×12%÷</w:t>
      </w:r>
      <w:r>
        <w:rPr>
          <w:rFonts w:hint="eastAsia" w:ascii="仿宋_GB2312" w:eastAsia="仿宋_GB2312"/>
          <w:snapToGrid w:val="0"/>
          <w:kern w:val="0"/>
          <w:sz w:val="28"/>
          <w:szCs w:val="28"/>
        </w:rPr>
        <w:t>（1+增值税率）</w:t>
      </w:r>
    </w:p>
    <w:p>
      <w:pPr>
        <w:tabs>
          <w:tab w:val="left" w:pos="0"/>
        </w:tabs>
        <w:adjustRightInd w:val="0"/>
        <w:snapToGrid w:val="0"/>
        <w:spacing w:line="480" w:lineRule="exact"/>
        <w:ind w:firstLine="1802" w:firstLineChars="535"/>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135.36</w:t>
      </w:r>
      <w:r>
        <w:rPr>
          <w:rFonts w:hint="eastAsia" w:ascii="仿宋_GB2312" w:eastAsia="仿宋_GB2312"/>
          <w:snapToGrid w:val="0"/>
          <w:kern w:val="0"/>
          <w:sz w:val="28"/>
          <w:szCs w:val="28"/>
        </w:rPr>
        <w:t>元</w:t>
      </w:r>
      <w:r>
        <w:rPr>
          <w:rFonts w:hint="eastAsia" w:ascii="仿宋_GB2312" w:hAnsi="仿宋_GB2312" w:eastAsia="仿宋_GB2312" w:cs="仿宋_GB2312"/>
          <w:snapToGrid w:val="0"/>
          <w:kern w:val="0"/>
          <w:sz w:val="28"/>
          <w:szCs w:val="28"/>
        </w:rPr>
        <w:t>×</w:t>
      </w:r>
      <w:r>
        <w:rPr>
          <w:rFonts w:hint="eastAsia" w:ascii="仿宋_GB2312" w:eastAsia="仿宋_GB2312"/>
          <w:snapToGrid w:val="0"/>
          <w:kern w:val="0"/>
          <w:sz w:val="28"/>
          <w:szCs w:val="28"/>
        </w:rPr>
        <w:t>12%</w:t>
      </w:r>
      <w:r>
        <w:rPr>
          <w:rFonts w:ascii="仿宋_GB2312" w:eastAsia="仿宋_GB2312"/>
          <w:snapToGrid w:val="0"/>
          <w:kern w:val="0"/>
          <w:sz w:val="28"/>
          <w:szCs w:val="28"/>
        </w:rPr>
        <w:t>÷</w:t>
      </w:r>
      <w:r>
        <w:rPr>
          <w:rFonts w:hint="eastAsia" w:ascii="仿宋_GB2312" w:eastAsia="仿宋_GB2312"/>
          <w:snapToGrid w:val="0"/>
          <w:kern w:val="0"/>
          <w:sz w:val="28"/>
          <w:szCs w:val="28"/>
        </w:rPr>
        <w:t>（1+5%）</w:t>
      </w:r>
    </w:p>
    <w:p>
      <w:pPr>
        <w:tabs>
          <w:tab w:val="left" w:pos="0"/>
        </w:tabs>
        <w:adjustRightInd w:val="0"/>
        <w:snapToGrid w:val="0"/>
        <w:spacing w:line="480" w:lineRule="exact"/>
        <w:ind w:firstLine="1802" w:firstLineChars="535"/>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15.47</w:t>
      </w:r>
      <w:r>
        <w:rPr>
          <w:rFonts w:hint="eastAsia" w:ascii="仿宋_GB2312" w:eastAsia="仿宋_GB2312"/>
          <w:snapToGrid w:val="0"/>
          <w:kern w:val="0"/>
          <w:sz w:val="28"/>
          <w:szCs w:val="28"/>
        </w:rPr>
        <w:t>（元）</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B、增值税及其他：</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自2016年5月1日起在全国范围内全面推开营业税改征增值税（以下简称“营改增”），现行房地产业等纳税人由原来缴纳营业税改为缴纳增值税，涉及税制转换和政策调整，较为复杂。出租2016年4月30前取得的不动产，可选择简易计税方法计税或一般计税方法计税。出租2016年5月1日后不动产，适用一般计税方法计税，本次估价采用简单计算方法。</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a、年增值税 ＝年有效潜在毛收入×5%</w:t>
      </w:r>
      <w:r>
        <w:rPr>
          <w:rFonts w:ascii="仿宋_GB2312" w:eastAsia="仿宋_GB2312"/>
          <w:snapToGrid w:val="0"/>
          <w:kern w:val="0"/>
          <w:sz w:val="28"/>
          <w:szCs w:val="28"/>
        </w:rPr>
        <w:t>÷</w:t>
      </w:r>
      <w:r>
        <w:rPr>
          <w:rFonts w:hint="eastAsia" w:ascii="仿宋_GB2312" w:eastAsia="仿宋_GB2312"/>
          <w:snapToGrid w:val="0"/>
          <w:kern w:val="0"/>
          <w:sz w:val="28"/>
          <w:szCs w:val="28"/>
        </w:rPr>
        <w:t>（1+5%）</w:t>
      </w:r>
    </w:p>
    <w:p>
      <w:pPr>
        <w:tabs>
          <w:tab w:val="left" w:pos="0"/>
        </w:tabs>
        <w:adjustRightInd w:val="0"/>
        <w:snapToGrid w:val="0"/>
        <w:spacing w:line="480" w:lineRule="exact"/>
        <w:ind w:firstLine="2297" w:firstLineChars="682"/>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135.36</w:t>
      </w:r>
      <w:r>
        <w:rPr>
          <w:rFonts w:hint="eastAsia" w:ascii="仿宋_GB2312" w:eastAsia="仿宋_GB2312"/>
          <w:snapToGrid w:val="0"/>
          <w:kern w:val="0"/>
          <w:sz w:val="28"/>
          <w:szCs w:val="28"/>
        </w:rPr>
        <w:t>元</w:t>
      </w:r>
      <w:r>
        <w:rPr>
          <w:rFonts w:hint="eastAsia" w:ascii="仿宋_GB2312" w:hAnsi="仿宋_GB2312" w:eastAsia="仿宋_GB2312" w:cs="仿宋_GB2312"/>
          <w:snapToGrid w:val="0"/>
          <w:kern w:val="0"/>
          <w:sz w:val="28"/>
          <w:szCs w:val="28"/>
        </w:rPr>
        <w:t>×</w:t>
      </w:r>
      <w:r>
        <w:rPr>
          <w:rFonts w:hint="eastAsia" w:ascii="仿宋_GB2312" w:eastAsia="仿宋_GB2312"/>
          <w:snapToGrid w:val="0"/>
          <w:kern w:val="0"/>
          <w:sz w:val="28"/>
          <w:szCs w:val="28"/>
        </w:rPr>
        <w:t>5%</w:t>
      </w:r>
      <w:r>
        <w:rPr>
          <w:rFonts w:ascii="仿宋_GB2312" w:eastAsia="仿宋_GB2312"/>
          <w:snapToGrid w:val="0"/>
          <w:kern w:val="0"/>
          <w:sz w:val="28"/>
          <w:szCs w:val="28"/>
        </w:rPr>
        <w:t>÷</w:t>
      </w:r>
      <w:r>
        <w:rPr>
          <w:rFonts w:hint="eastAsia" w:ascii="仿宋_GB2312" w:eastAsia="仿宋_GB2312"/>
          <w:snapToGrid w:val="0"/>
          <w:kern w:val="0"/>
          <w:sz w:val="28"/>
          <w:szCs w:val="28"/>
        </w:rPr>
        <w:t>（1+5%）</w:t>
      </w:r>
    </w:p>
    <w:p>
      <w:pPr>
        <w:tabs>
          <w:tab w:val="left" w:pos="0"/>
        </w:tabs>
        <w:adjustRightInd w:val="0"/>
        <w:snapToGrid w:val="0"/>
        <w:spacing w:line="480" w:lineRule="exact"/>
        <w:ind w:firstLine="2297" w:firstLineChars="682"/>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6.45</w:t>
      </w:r>
      <w:r>
        <w:rPr>
          <w:rFonts w:hint="eastAsia" w:ascii="仿宋_GB2312" w:eastAsia="仿宋_GB2312"/>
          <w:snapToGrid w:val="0"/>
          <w:kern w:val="0"/>
          <w:sz w:val="28"/>
          <w:szCs w:val="28"/>
        </w:rPr>
        <w:t>（元）</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b、年城建维护税 ＝年增值税×7%</w:t>
      </w:r>
    </w:p>
    <w:p>
      <w:pPr>
        <w:tabs>
          <w:tab w:val="left" w:pos="0"/>
        </w:tabs>
        <w:adjustRightInd w:val="0"/>
        <w:snapToGrid w:val="0"/>
        <w:spacing w:line="480" w:lineRule="exact"/>
        <w:ind w:firstLine="2793" w:firstLineChars="829"/>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6.45</w:t>
      </w:r>
      <w:r>
        <w:rPr>
          <w:rFonts w:hint="eastAsia" w:ascii="仿宋_GB2312" w:eastAsia="仿宋_GB2312"/>
          <w:snapToGrid w:val="0"/>
          <w:kern w:val="0"/>
          <w:sz w:val="28"/>
          <w:szCs w:val="28"/>
        </w:rPr>
        <w:t>元</w:t>
      </w:r>
      <w:r>
        <w:rPr>
          <w:rFonts w:hint="eastAsia" w:ascii="仿宋_GB2312" w:hAnsi="仿宋_GB2312" w:eastAsia="仿宋_GB2312" w:cs="仿宋_GB2312"/>
          <w:snapToGrid w:val="0"/>
          <w:kern w:val="0"/>
          <w:sz w:val="28"/>
          <w:szCs w:val="28"/>
        </w:rPr>
        <w:t>×</w:t>
      </w:r>
      <w:r>
        <w:rPr>
          <w:rFonts w:hint="eastAsia" w:ascii="仿宋_GB2312" w:eastAsia="仿宋_GB2312"/>
          <w:snapToGrid w:val="0"/>
          <w:kern w:val="0"/>
          <w:sz w:val="28"/>
          <w:szCs w:val="28"/>
        </w:rPr>
        <w:t>7%</w:t>
      </w:r>
    </w:p>
    <w:p>
      <w:pPr>
        <w:tabs>
          <w:tab w:val="left" w:pos="0"/>
        </w:tabs>
        <w:adjustRightInd w:val="0"/>
        <w:snapToGrid w:val="0"/>
        <w:spacing w:line="480" w:lineRule="exact"/>
        <w:ind w:firstLine="2793" w:firstLineChars="829"/>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0.45</w:t>
      </w:r>
      <w:r>
        <w:rPr>
          <w:rFonts w:hint="eastAsia" w:ascii="仿宋_GB2312" w:eastAsia="仿宋_GB2312"/>
          <w:snapToGrid w:val="0"/>
          <w:kern w:val="0"/>
          <w:sz w:val="28"/>
          <w:szCs w:val="28"/>
        </w:rPr>
        <w:t>（元）</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c、教育附加 ＝年增值税×3%</w:t>
      </w:r>
    </w:p>
    <w:p>
      <w:pPr>
        <w:tabs>
          <w:tab w:val="left" w:pos="0"/>
        </w:tabs>
        <w:adjustRightInd w:val="0"/>
        <w:snapToGrid w:val="0"/>
        <w:spacing w:line="480" w:lineRule="exact"/>
        <w:ind w:firstLine="2297" w:firstLineChars="682"/>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6.45</w:t>
      </w:r>
      <w:r>
        <w:rPr>
          <w:rFonts w:hint="eastAsia" w:ascii="仿宋_GB2312" w:eastAsia="仿宋_GB2312"/>
          <w:snapToGrid w:val="0"/>
          <w:kern w:val="0"/>
          <w:sz w:val="28"/>
          <w:szCs w:val="28"/>
        </w:rPr>
        <w:t>元</w:t>
      </w:r>
      <w:r>
        <w:rPr>
          <w:rFonts w:hint="eastAsia" w:ascii="仿宋_GB2312" w:hAnsi="仿宋_GB2312" w:eastAsia="仿宋_GB2312" w:cs="仿宋_GB2312"/>
          <w:snapToGrid w:val="0"/>
          <w:kern w:val="0"/>
          <w:sz w:val="28"/>
          <w:szCs w:val="28"/>
        </w:rPr>
        <w:t>×</w:t>
      </w:r>
      <w:r>
        <w:rPr>
          <w:rFonts w:hint="eastAsia" w:ascii="仿宋_GB2312" w:eastAsia="仿宋_GB2312"/>
          <w:snapToGrid w:val="0"/>
          <w:kern w:val="0"/>
          <w:sz w:val="28"/>
          <w:szCs w:val="28"/>
        </w:rPr>
        <w:t>3%</w:t>
      </w:r>
    </w:p>
    <w:p>
      <w:pPr>
        <w:tabs>
          <w:tab w:val="left" w:pos="0"/>
        </w:tabs>
        <w:adjustRightInd w:val="0"/>
        <w:snapToGrid w:val="0"/>
        <w:spacing w:line="480" w:lineRule="exact"/>
        <w:ind w:firstLine="2297" w:firstLineChars="682"/>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0.19</w:t>
      </w:r>
      <w:r>
        <w:rPr>
          <w:rFonts w:hint="eastAsia" w:ascii="仿宋_GB2312" w:eastAsia="仿宋_GB2312"/>
          <w:snapToGrid w:val="0"/>
          <w:kern w:val="0"/>
          <w:sz w:val="28"/>
          <w:szCs w:val="28"/>
        </w:rPr>
        <w:t>（元）</w:t>
      </w:r>
    </w:p>
    <w:p>
      <w:pPr>
        <w:tabs>
          <w:tab w:val="left" w:pos="0"/>
        </w:tabs>
        <w:adjustRightInd w:val="0"/>
        <w:snapToGrid w:val="0"/>
        <w:spacing w:line="480" w:lineRule="exact"/>
        <w:rPr>
          <w:rFonts w:ascii="仿宋_GB2312" w:eastAsia="仿宋_GB2312"/>
          <w:snapToGrid w:val="0"/>
          <w:kern w:val="0"/>
          <w:sz w:val="28"/>
          <w:szCs w:val="28"/>
        </w:rPr>
      </w:pPr>
      <w:r>
        <w:rPr>
          <w:rFonts w:hint="eastAsia" w:ascii="仿宋_GB2312" w:eastAsia="仿宋_GB2312"/>
          <w:snapToGrid w:val="0"/>
          <w:kern w:val="0"/>
          <w:sz w:val="28"/>
          <w:szCs w:val="28"/>
        </w:rPr>
        <w:t xml:space="preserve">   C、确定相关税金</w:t>
      </w:r>
    </w:p>
    <w:p>
      <w:pPr>
        <w:tabs>
          <w:tab w:val="left" w:pos="0"/>
        </w:tabs>
        <w:adjustRightInd w:val="0"/>
        <w:snapToGrid w:val="0"/>
        <w:spacing w:line="480" w:lineRule="exact"/>
        <w:rPr>
          <w:rFonts w:ascii="仿宋_GB2312" w:eastAsia="仿宋_GB2312"/>
          <w:snapToGrid w:val="0"/>
          <w:kern w:val="0"/>
          <w:sz w:val="28"/>
          <w:szCs w:val="28"/>
        </w:rPr>
      </w:pPr>
      <w:r>
        <w:rPr>
          <w:rFonts w:hint="eastAsia" w:ascii="仿宋_GB2312" w:eastAsia="仿宋_GB2312"/>
          <w:snapToGrid w:val="0"/>
          <w:kern w:val="0"/>
          <w:sz w:val="28"/>
          <w:szCs w:val="28"/>
        </w:rPr>
        <w:t xml:space="preserve">      相关税金＝房产税+年增值税+年城建维护税+教育附加</w:t>
      </w:r>
    </w:p>
    <w:p>
      <w:pPr>
        <w:tabs>
          <w:tab w:val="left" w:pos="0"/>
        </w:tabs>
        <w:adjustRightInd w:val="0"/>
        <w:snapToGrid w:val="0"/>
        <w:spacing w:line="480" w:lineRule="exact"/>
        <w:rPr>
          <w:rFonts w:ascii="仿宋_GB2312" w:eastAsia="仿宋_GB2312"/>
          <w:snapToGrid w:val="0"/>
          <w:kern w:val="0"/>
          <w:sz w:val="28"/>
          <w:szCs w:val="28"/>
        </w:rPr>
      </w:pPr>
      <w:r>
        <w:rPr>
          <w:rFonts w:hint="eastAsia" w:ascii="仿宋_GB2312" w:eastAsia="仿宋_GB2312"/>
          <w:snapToGrid w:val="0"/>
          <w:kern w:val="0"/>
          <w:sz w:val="28"/>
          <w:szCs w:val="28"/>
        </w:rPr>
        <w:t xml:space="preserve">              ＝</w:t>
      </w:r>
      <w:r>
        <w:rPr>
          <w:rFonts w:hint="eastAsia" w:ascii="仿宋_GB2312" w:eastAsia="仿宋_GB2312"/>
          <w:snapToGrid w:val="0"/>
          <w:kern w:val="0"/>
          <w:sz w:val="28"/>
          <w:szCs w:val="28"/>
          <w:lang w:eastAsia="zh-CN"/>
        </w:rPr>
        <w:t>15.47</w:t>
      </w: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6.45</w:t>
      </w: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0.45</w:t>
      </w: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0.19</w:t>
      </w:r>
      <w:r>
        <w:rPr>
          <w:rFonts w:hint="eastAsia" w:ascii="仿宋_GB2312" w:eastAsia="仿宋_GB2312"/>
          <w:snapToGrid w:val="0"/>
          <w:kern w:val="0"/>
          <w:sz w:val="28"/>
          <w:szCs w:val="28"/>
        </w:rPr>
        <w:t xml:space="preserve"> </w:t>
      </w:r>
    </w:p>
    <w:p>
      <w:pPr>
        <w:tabs>
          <w:tab w:val="left" w:pos="0"/>
        </w:tabs>
        <w:adjustRightInd w:val="0"/>
        <w:snapToGrid w:val="0"/>
        <w:spacing w:line="480" w:lineRule="exact"/>
        <w:rPr>
          <w:rFonts w:ascii="仿宋_GB2312" w:eastAsia="仿宋_GB2312"/>
          <w:snapToGrid w:val="0"/>
          <w:kern w:val="0"/>
          <w:sz w:val="28"/>
          <w:szCs w:val="28"/>
        </w:rPr>
      </w:pPr>
      <w:r>
        <w:rPr>
          <w:rFonts w:hint="eastAsia" w:ascii="仿宋_GB2312" w:eastAsia="仿宋_GB2312"/>
          <w:snapToGrid w:val="0"/>
          <w:kern w:val="0"/>
          <w:sz w:val="28"/>
          <w:szCs w:val="28"/>
        </w:rPr>
        <w:t xml:space="preserve">              ＝</w:t>
      </w:r>
      <w:r>
        <w:rPr>
          <w:rFonts w:hint="eastAsia" w:ascii="仿宋_GB2312" w:eastAsia="仿宋_GB2312"/>
          <w:snapToGrid w:val="0"/>
          <w:kern w:val="0"/>
          <w:sz w:val="28"/>
          <w:szCs w:val="28"/>
          <w:lang w:eastAsia="zh-CN"/>
        </w:rPr>
        <w:t>22.56</w:t>
      </w:r>
      <w:r>
        <w:rPr>
          <w:rFonts w:hint="eastAsia" w:ascii="仿宋_GB2312" w:eastAsia="仿宋_GB2312"/>
          <w:snapToGrid w:val="0"/>
          <w:kern w:val="0"/>
          <w:sz w:val="28"/>
          <w:szCs w:val="28"/>
        </w:rPr>
        <w:t>元</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ⅴ、确定年出租总税费</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年出租总税费＝ 年维修费+年管理费+年保险费+相关税金</w:t>
      </w:r>
      <w:r>
        <w:rPr>
          <w:rFonts w:ascii="仿宋_GB2312" w:eastAsia="仿宋_GB2312"/>
          <w:snapToGrid w:val="0"/>
          <w:kern w:val="0"/>
          <w:sz w:val="28"/>
          <w:szCs w:val="28"/>
        </w:rPr>
        <w:t xml:space="preserve"> </w:t>
      </w:r>
    </w:p>
    <w:p>
      <w:pPr>
        <w:tabs>
          <w:tab w:val="left" w:pos="0"/>
        </w:tabs>
        <w:adjustRightInd w:val="0"/>
        <w:snapToGrid w:val="0"/>
        <w:spacing w:line="480" w:lineRule="exact"/>
        <w:ind w:firstLine="2125" w:firstLineChars="631"/>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1.35</w:t>
      </w: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1.35</w:t>
      </w: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0.20</w:t>
      </w:r>
      <w:r>
        <w:rPr>
          <w:rFonts w:hint="eastAsia" w:ascii="仿宋_GB2312" w:eastAsia="仿宋_GB2312"/>
          <w:snapToGrid w:val="0"/>
          <w:kern w:val="0"/>
          <w:sz w:val="28"/>
          <w:szCs w:val="28"/>
        </w:rPr>
        <w:t xml:space="preserve">+ </w:t>
      </w:r>
      <w:r>
        <w:rPr>
          <w:rFonts w:hint="eastAsia" w:ascii="仿宋_GB2312" w:eastAsia="仿宋_GB2312"/>
          <w:snapToGrid w:val="0"/>
          <w:kern w:val="0"/>
          <w:sz w:val="28"/>
          <w:szCs w:val="28"/>
          <w:lang w:eastAsia="zh-CN"/>
        </w:rPr>
        <w:t>22.56</w:t>
      </w:r>
    </w:p>
    <w:p>
      <w:pPr>
        <w:tabs>
          <w:tab w:val="left" w:pos="0"/>
        </w:tabs>
        <w:adjustRightInd w:val="0"/>
        <w:snapToGrid w:val="0"/>
        <w:spacing w:line="480" w:lineRule="exact"/>
        <w:ind w:firstLine="2159" w:firstLineChars="641"/>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25.47</w:t>
      </w:r>
      <w:r>
        <w:rPr>
          <w:rFonts w:hint="eastAsia" w:ascii="仿宋_GB2312" w:eastAsia="仿宋_GB2312"/>
          <w:snapToGrid w:val="0"/>
          <w:kern w:val="0"/>
          <w:sz w:val="28"/>
          <w:szCs w:val="28"/>
        </w:rPr>
        <w:t>(元)</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③确定估价对象的净收益</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通过上述分析计算，已分别确定了估价对象的租赁收入和维修费、管理费、保险费和税金等费用，因而可计算其净收益。</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年净收益＝年租赁收入－年出租总税费</w:t>
      </w:r>
    </w:p>
    <w:p>
      <w:pPr>
        <w:tabs>
          <w:tab w:val="left" w:pos="0"/>
        </w:tabs>
        <w:adjustRightInd w:val="0"/>
        <w:snapToGrid w:val="0"/>
        <w:spacing w:line="480" w:lineRule="exact"/>
        <w:ind w:firstLine="1802" w:firstLineChars="535"/>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135.87</w:t>
      </w: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25.47</w:t>
      </w:r>
    </w:p>
    <w:p>
      <w:pPr>
        <w:tabs>
          <w:tab w:val="left" w:pos="0"/>
        </w:tabs>
        <w:adjustRightInd w:val="0"/>
        <w:snapToGrid w:val="0"/>
        <w:spacing w:line="480" w:lineRule="exact"/>
        <w:ind w:firstLine="1802" w:firstLineChars="535"/>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110.40</w:t>
      </w:r>
      <w:r>
        <w:rPr>
          <w:rFonts w:hint="eastAsia" w:ascii="仿宋_GB2312" w:eastAsia="仿宋_GB2312"/>
          <w:snapToGrid w:val="0"/>
          <w:kern w:val="0"/>
          <w:sz w:val="28"/>
          <w:szCs w:val="28"/>
        </w:rPr>
        <w:t>(元)</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（2） 确定资本化率（折现率）</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本次估价根据当地房地产市场同类房地产项目的平均收益率，采用累加法确定。</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累加法是将折现率视为包含无风险报酬率和风险报酬率两大部分，然后分别求出每一部分，再将它们相加得到折现率的方法。</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无风险报酬率也成安全利率，是无风险投资的报酬率，是资金的机会成本。风险报酬率是指承担额外的风险所要求的补偿，即超过无风险报酬率以上部分的 报酬率，具体是对是对估价对象自身及其所在的区域、行业、市场等所存在的风险补偿。</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累加法的细化公式为：</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折现率＝无风险报酬率+投资风险补偿率+管理负担补偿率+缺乏流动性补偿率-易于获得融资的优惠率-投资带来的优惠率</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其中，</w:t>
      </w:r>
      <w:r>
        <w:rPr>
          <w:rFonts w:hint="eastAsia" w:ascii="仿宋_GB2312" w:eastAsia="仿宋_GB2312"/>
          <w:snapToGrid w:val="0"/>
          <w:kern w:val="0"/>
          <w:sz w:val="28"/>
          <w:szCs w:val="28"/>
        </w:rPr>
        <w:fldChar w:fldCharType="begin"/>
      </w:r>
      <w:r>
        <w:rPr>
          <w:rFonts w:hint="eastAsia" w:ascii="仿宋_GB2312" w:eastAsia="仿宋_GB2312"/>
          <w:snapToGrid w:val="0"/>
          <w:kern w:val="0"/>
          <w:sz w:val="28"/>
          <w:szCs w:val="28"/>
        </w:rPr>
        <w:instrText xml:space="preserve"> = 1 \* GB3 \* MERGEFORMAT </w:instrText>
      </w:r>
      <w:r>
        <w:rPr>
          <w:rFonts w:hint="eastAsia" w:ascii="仿宋_GB2312" w:eastAsia="仿宋_GB2312"/>
          <w:snapToGrid w:val="0"/>
          <w:kern w:val="0"/>
          <w:sz w:val="28"/>
          <w:szCs w:val="28"/>
        </w:rPr>
        <w:fldChar w:fldCharType="separate"/>
      </w:r>
      <w:r>
        <w:rPr>
          <w:rFonts w:hint="eastAsia" w:ascii="仿宋_GB2312" w:eastAsia="仿宋_GB2312"/>
          <w:snapToGrid w:val="0"/>
          <w:kern w:val="0"/>
          <w:sz w:val="28"/>
          <w:szCs w:val="28"/>
        </w:rPr>
        <w:t>①</w:t>
      </w:r>
      <w:r>
        <w:rPr>
          <w:rFonts w:hint="eastAsia" w:ascii="仿宋_GB2312" w:eastAsia="仿宋_GB2312"/>
          <w:snapToGrid w:val="0"/>
          <w:kern w:val="0"/>
          <w:sz w:val="28"/>
          <w:szCs w:val="28"/>
        </w:rPr>
        <w:fldChar w:fldCharType="end"/>
      </w:r>
      <w:r>
        <w:rPr>
          <w:rFonts w:hint="eastAsia" w:ascii="仿宋_GB2312" w:eastAsia="仿宋_GB2312"/>
          <w:snapToGrid w:val="0"/>
          <w:kern w:val="0"/>
          <w:sz w:val="28"/>
          <w:szCs w:val="28"/>
        </w:rPr>
        <w:t>投资风险报酬率，是指当投资者投资于收益不确定、具有一定风险的房地产时，他必然会要求对所承担的额外风险有所补偿，否则就不会投资。</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fldChar w:fldCharType="begin"/>
      </w:r>
      <w:r>
        <w:rPr>
          <w:rFonts w:hint="eastAsia" w:ascii="仿宋_GB2312" w:eastAsia="仿宋_GB2312"/>
          <w:snapToGrid w:val="0"/>
          <w:kern w:val="0"/>
          <w:sz w:val="28"/>
          <w:szCs w:val="28"/>
        </w:rPr>
        <w:instrText xml:space="preserve"> = 2 \* GB3 \* MERGEFORMAT </w:instrText>
      </w:r>
      <w:r>
        <w:rPr>
          <w:rFonts w:hint="eastAsia" w:ascii="仿宋_GB2312" w:eastAsia="仿宋_GB2312"/>
          <w:snapToGrid w:val="0"/>
          <w:kern w:val="0"/>
          <w:sz w:val="28"/>
          <w:szCs w:val="28"/>
        </w:rPr>
        <w:fldChar w:fldCharType="separate"/>
      </w:r>
      <w:r>
        <w:rPr>
          <w:rFonts w:hint="eastAsia" w:ascii="仿宋_GB2312" w:eastAsia="仿宋_GB2312"/>
          <w:snapToGrid w:val="0"/>
          <w:kern w:val="0"/>
          <w:sz w:val="28"/>
          <w:szCs w:val="28"/>
        </w:rPr>
        <w:t>②</w:t>
      </w:r>
      <w:r>
        <w:rPr>
          <w:rFonts w:hint="eastAsia" w:ascii="仿宋_GB2312" w:eastAsia="仿宋_GB2312"/>
          <w:snapToGrid w:val="0"/>
          <w:kern w:val="0"/>
          <w:sz w:val="28"/>
          <w:szCs w:val="28"/>
        </w:rPr>
        <w:fldChar w:fldCharType="end"/>
      </w:r>
      <w:r>
        <w:rPr>
          <w:rFonts w:hint="eastAsia" w:ascii="仿宋_GB2312" w:eastAsia="仿宋_GB2312"/>
          <w:snapToGrid w:val="0"/>
          <w:kern w:val="0"/>
          <w:sz w:val="28"/>
          <w:szCs w:val="28"/>
        </w:rPr>
        <w:t>管理负担补偿率，是指意向投资所要求的操劳越多，其吸引力就越小，从而投资者必然会要求对所承担的额外管理有所补偿，房地产要求的管理工作一边高于存款、证</w:t>
      </w:r>
      <w:r>
        <w:rPr>
          <w:rFonts w:hint="eastAsia" w:ascii="宋体" w:hAnsi="宋体" w:cs="宋体"/>
          <w:snapToGrid w:val="0"/>
          <w:kern w:val="0"/>
          <w:sz w:val="28"/>
          <w:szCs w:val="28"/>
        </w:rPr>
        <w:t>劵</w:t>
      </w:r>
      <w:r>
        <w:rPr>
          <w:rFonts w:hint="eastAsia" w:ascii="仿宋_GB2312" w:hAnsi="仿宋_GB2312" w:eastAsia="仿宋_GB2312" w:cs="仿宋_GB2312"/>
          <w:snapToGrid w:val="0"/>
          <w:kern w:val="0"/>
          <w:sz w:val="28"/>
          <w:szCs w:val="28"/>
        </w:rPr>
        <w:t>。</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fldChar w:fldCharType="begin"/>
      </w:r>
      <w:r>
        <w:rPr>
          <w:rFonts w:hint="eastAsia" w:ascii="仿宋_GB2312" w:eastAsia="仿宋_GB2312"/>
          <w:snapToGrid w:val="0"/>
          <w:kern w:val="0"/>
          <w:sz w:val="28"/>
          <w:szCs w:val="28"/>
        </w:rPr>
        <w:instrText xml:space="preserve"> = 3 \* GB3 \* MERGEFORMAT </w:instrText>
      </w:r>
      <w:r>
        <w:rPr>
          <w:rFonts w:hint="eastAsia" w:ascii="仿宋_GB2312" w:eastAsia="仿宋_GB2312"/>
          <w:snapToGrid w:val="0"/>
          <w:kern w:val="0"/>
          <w:sz w:val="28"/>
          <w:szCs w:val="28"/>
        </w:rPr>
        <w:fldChar w:fldCharType="separate"/>
      </w:r>
      <w:r>
        <w:rPr>
          <w:rFonts w:hint="eastAsia" w:ascii="仿宋_GB2312" w:eastAsia="仿宋_GB2312"/>
          <w:snapToGrid w:val="0"/>
          <w:kern w:val="0"/>
          <w:sz w:val="28"/>
          <w:szCs w:val="28"/>
        </w:rPr>
        <w:t>③</w:t>
      </w:r>
      <w:r>
        <w:rPr>
          <w:rFonts w:hint="eastAsia" w:ascii="仿宋_GB2312" w:eastAsia="仿宋_GB2312"/>
          <w:snapToGrid w:val="0"/>
          <w:kern w:val="0"/>
          <w:sz w:val="28"/>
          <w:szCs w:val="28"/>
        </w:rPr>
        <w:fldChar w:fldCharType="end"/>
      </w:r>
      <w:r>
        <w:rPr>
          <w:rFonts w:hint="eastAsia" w:ascii="仿宋_GB2312" w:eastAsia="仿宋_GB2312"/>
          <w:snapToGrid w:val="0"/>
          <w:kern w:val="0"/>
          <w:sz w:val="28"/>
          <w:szCs w:val="28"/>
        </w:rPr>
        <w:t>缺乏流动性补偿率，是指投资者对所投入的资金由于缺乏流动性所要求的补偿。房地产与存款、股票、债券、黄金相比，买卖要困难，变现能力弱。</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fldChar w:fldCharType="begin"/>
      </w:r>
      <w:r>
        <w:rPr>
          <w:rFonts w:hint="eastAsia" w:ascii="仿宋_GB2312" w:eastAsia="仿宋_GB2312"/>
          <w:snapToGrid w:val="0"/>
          <w:kern w:val="0"/>
          <w:sz w:val="28"/>
          <w:szCs w:val="28"/>
        </w:rPr>
        <w:instrText xml:space="preserve"> = 4 \* GB3 \* MERGEFORMAT </w:instrText>
      </w:r>
      <w:r>
        <w:rPr>
          <w:rFonts w:hint="eastAsia" w:ascii="仿宋_GB2312" w:eastAsia="仿宋_GB2312"/>
          <w:snapToGrid w:val="0"/>
          <w:kern w:val="0"/>
          <w:sz w:val="28"/>
          <w:szCs w:val="28"/>
        </w:rPr>
        <w:fldChar w:fldCharType="separate"/>
      </w:r>
      <w:r>
        <w:rPr>
          <w:rFonts w:hint="eastAsia" w:ascii="仿宋_GB2312" w:eastAsia="仿宋_GB2312"/>
          <w:snapToGrid w:val="0"/>
          <w:kern w:val="0"/>
          <w:sz w:val="28"/>
          <w:szCs w:val="28"/>
        </w:rPr>
        <w:t>④</w:t>
      </w:r>
      <w:r>
        <w:rPr>
          <w:rFonts w:hint="eastAsia" w:ascii="仿宋_GB2312" w:eastAsia="仿宋_GB2312"/>
          <w:snapToGrid w:val="0"/>
          <w:kern w:val="0"/>
          <w:sz w:val="28"/>
          <w:szCs w:val="28"/>
        </w:rPr>
        <w:fldChar w:fldCharType="end"/>
      </w:r>
      <w:r>
        <w:rPr>
          <w:rFonts w:hint="eastAsia" w:ascii="仿宋_GB2312" w:eastAsia="仿宋_GB2312"/>
          <w:snapToGrid w:val="0"/>
          <w:kern w:val="0"/>
          <w:sz w:val="28"/>
          <w:szCs w:val="28"/>
        </w:rPr>
        <w:t>投资带来的优惠率，是指由于投资房地产可能获得某些额外的好处，例如易于获得融资（如可以抵押贷款），从而投资者会降低所要求的报酬率。因此，针对投资估价对象可以获得额外的好处，投资者之间竞争的结果也会要求作相应的扣减。而各种补偿率和优惠率又受以下因素影响，各个因素和影响分值如下表A所示：</w:t>
      </w:r>
    </w:p>
    <w:tbl>
      <w:tblPr>
        <w:tblStyle w:val="45"/>
        <w:tblW w:w="9963" w:type="dxa"/>
        <w:tblInd w:w="0" w:type="dxa"/>
        <w:tblLayout w:type="fixed"/>
        <w:tblCellMar>
          <w:top w:w="0" w:type="dxa"/>
          <w:left w:w="108" w:type="dxa"/>
          <w:bottom w:w="0" w:type="dxa"/>
          <w:right w:w="108" w:type="dxa"/>
        </w:tblCellMar>
      </w:tblPr>
      <w:tblGrid>
        <w:gridCol w:w="767"/>
        <w:gridCol w:w="765"/>
        <w:gridCol w:w="1020"/>
        <w:gridCol w:w="886"/>
        <w:gridCol w:w="765"/>
        <w:gridCol w:w="1154"/>
        <w:gridCol w:w="768"/>
        <w:gridCol w:w="768"/>
        <w:gridCol w:w="768"/>
        <w:gridCol w:w="768"/>
        <w:gridCol w:w="768"/>
        <w:gridCol w:w="766"/>
      </w:tblGrid>
      <w:tr>
        <w:tblPrEx>
          <w:tblLayout w:type="fixed"/>
          <w:tblCellMar>
            <w:top w:w="0" w:type="dxa"/>
            <w:left w:w="108" w:type="dxa"/>
            <w:bottom w:w="0" w:type="dxa"/>
            <w:right w:w="108" w:type="dxa"/>
          </w:tblCellMar>
        </w:tblPrEx>
        <w:trPr>
          <w:trHeight w:val="300" w:hRule="atLeast"/>
        </w:trPr>
        <w:tc>
          <w:tcPr>
            <w:tcW w:w="767" w:type="dxa"/>
            <w:tcBorders>
              <w:top w:val="single" w:color="auto" w:sz="8" w:space="0"/>
              <w:left w:val="single" w:color="auto" w:sz="8" w:space="0"/>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序号</w:t>
            </w:r>
          </w:p>
        </w:tc>
        <w:tc>
          <w:tcPr>
            <w:tcW w:w="765" w:type="dxa"/>
            <w:tcBorders>
              <w:top w:val="single" w:color="auto" w:sz="8" w:space="0"/>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名称</w:t>
            </w:r>
          </w:p>
        </w:tc>
        <w:tc>
          <w:tcPr>
            <w:tcW w:w="1906" w:type="dxa"/>
            <w:gridSpan w:val="2"/>
            <w:tcBorders>
              <w:top w:val="single" w:color="auto" w:sz="8" w:space="0"/>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取值范围</w:t>
            </w:r>
          </w:p>
        </w:tc>
        <w:tc>
          <w:tcPr>
            <w:tcW w:w="765" w:type="dxa"/>
            <w:tcBorders>
              <w:top w:val="single" w:color="auto" w:sz="8" w:space="0"/>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影响因素</w:t>
            </w:r>
          </w:p>
        </w:tc>
        <w:tc>
          <w:tcPr>
            <w:tcW w:w="1154" w:type="dxa"/>
            <w:tcBorders>
              <w:top w:val="single" w:color="auto" w:sz="8" w:space="0"/>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所占比例</w:t>
            </w:r>
          </w:p>
        </w:tc>
        <w:tc>
          <w:tcPr>
            <w:tcW w:w="4606" w:type="dxa"/>
            <w:gridSpan w:val="6"/>
            <w:tcBorders>
              <w:top w:val="single" w:color="auto" w:sz="8" w:space="0"/>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xml:space="preserve"> </w:t>
            </w:r>
          </w:p>
        </w:tc>
      </w:tr>
      <w:tr>
        <w:tblPrEx>
          <w:tblLayout w:type="fixed"/>
          <w:tblCellMar>
            <w:top w:w="0" w:type="dxa"/>
            <w:left w:w="108" w:type="dxa"/>
            <w:bottom w:w="0" w:type="dxa"/>
            <w:right w:w="108" w:type="dxa"/>
          </w:tblCellMar>
        </w:tblPrEx>
        <w:trPr>
          <w:trHeight w:val="300" w:hRule="atLeast"/>
        </w:trPr>
        <w:tc>
          <w:tcPr>
            <w:tcW w:w="767" w:type="dxa"/>
            <w:tcBorders>
              <w:top w:val="nil"/>
              <w:left w:val="single" w:color="auto" w:sz="8" w:space="0"/>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765"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1906" w:type="dxa"/>
            <w:gridSpan w:val="2"/>
            <w:tcBorders>
              <w:top w:val="single" w:color="auto" w:sz="8" w:space="0"/>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765"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1154"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高</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中高</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中</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中低</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低</w:t>
            </w:r>
          </w:p>
        </w:tc>
        <w:tc>
          <w:tcPr>
            <w:tcW w:w="766"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取值</w:t>
            </w:r>
          </w:p>
        </w:tc>
      </w:tr>
      <w:tr>
        <w:tblPrEx>
          <w:tblLayout w:type="fixed"/>
          <w:tblCellMar>
            <w:top w:w="0" w:type="dxa"/>
            <w:left w:w="108" w:type="dxa"/>
            <w:bottom w:w="0" w:type="dxa"/>
            <w:right w:w="108" w:type="dxa"/>
          </w:tblCellMar>
        </w:tblPrEx>
        <w:trPr>
          <w:trHeight w:val="525" w:hRule="atLeast"/>
        </w:trPr>
        <w:tc>
          <w:tcPr>
            <w:tcW w:w="767" w:type="dxa"/>
            <w:tcBorders>
              <w:top w:val="nil"/>
              <w:left w:val="single" w:color="auto" w:sz="8" w:space="0"/>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w:t>
            </w:r>
          </w:p>
        </w:tc>
        <w:tc>
          <w:tcPr>
            <w:tcW w:w="765"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无风险报酬率</w:t>
            </w:r>
          </w:p>
        </w:tc>
        <w:tc>
          <w:tcPr>
            <w:tcW w:w="1020"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1.50%</w:t>
            </w:r>
          </w:p>
        </w:tc>
        <w:tc>
          <w:tcPr>
            <w:tcW w:w="886"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1.50%</w:t>
            </w:r>
          </w:p>
        </w:tc>
        <w:tc>
          <w:tcPr>
            <w:tcW w:w="6525" w:type="dxa"/>
            <w:gridSpan w:val="8"/>
            <w:tcBorders>
              <w:top w:val="single" w:color="auto" w:sz="8" w:space="0"/>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r>
      <w:tr>
        <w:tblPrEx>
          <w:tblLayout w:type="fixed"/>
          <w:tblCellMar>
            <w:top w:w="0" w:type="dxa"/>
            <w:left w:w="108" w:type="dxa"/>
            <w:bottom w:w="0" w:type="dxa"/>
            <w:right w:w="108" w:type="dxa"/>
          </w:tblCellMar>
        </w:tblPrEx>
        <w:trPr>
          <w:trHeight w:val="525" w:hRule="atLeast"/>
        </w:trPr>
        <w:tc>
          <w:tcPr>
            <w:tcW w:w="767" w:type="dxa"/>
            <w:vMerge w:val="restart"/>
            <w:tcBorders>
              <w:top w:val="nil"/>
              <w:left w:val="single" w:color="auto" w:sz="8" w:space="0"/>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c>
          <w:tcPr>
            <w:tcW w:w="765" w:type="dxa"/>
            <w:vMerge w:val="restart"/>
            <w:tcBorders>
              <w:top w:val="nil"/>
              <w:left w:val="single" w:color="auto" w:sz="8" w:space="0"/>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投资风险补偿率</w:t>
            </w:r>
          </w:p>
        </w:tc>
        <w:tc>
          <w:tcPr>
            <w:tcW w:w="1020"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0.00%</w:t>
            </w:r>
          </w:p>
        </w:tc>
        <w:tc>
          <w:tcPr>
            <w:tcW w:w="886"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0.2</w:t>
            </w:r>
          </w:p>
        </w:tc>
        <w:tc>
          <w:tcPr>
            <w:tcW w:w="765"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投资周期风险</w:t>
            </w:r>
          </w:p>
        </w:tc>
        <w:tc>
          <w:tcPr>
            <w:tcW w:w="1154"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lang w:eastAsia="zh-CN"/>
              </w:rPr>
              <w:t>12.00</w:t>
            </w:r>
            <w:r>
              <w:rPr>
                <w:rFonts w:hint="eastAsia" w:ascii="仿宋_GB2312" w:hAnsi="宋体" w:eastAsia="仿宋_GB2312" w:cs="宋体"/>
                <w:color w:val="000000"/>
                <w:kern w:val="0"/>
                <w:szCs w:val="21"/>
              </w:rPr>
              <w:t>%</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9～10</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7～8</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5～6</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3～4</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1～2</w:t>
            </w:r>
          </w:p>
        </w:tc>
        <w:tc>
          <w:tcPr>
            <w:tcW w:w="766"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Layout w:type="fixed"/>
          <w:tblCellMar>
            <w:top w:w="0" w:type="dxa"/>
            <w:left w:w="108" w:type="dxa"/>
            <w:bottom w:w="0" w:type="dxa"/>
            <w:right w:w="108" w:type="dxa"/>
          </w:tblCellMar>
        </w:tblPrEx>
        <w:trPr>
          <w:trHeight w:val="525" w:hRule="atLeast"/>
        </w:trPr>
        <w:tc>
          <w:tcPr>
            <w:tcW w:w="767" w:type="dxa"/>
            <w:vMerge w:val="continue"/>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宋体" w:eastAsia="仿宋_GB2312" w:cs="宋体"/>
                <w:color w:val="000000"/>
                <w:kern w:val="0"/>
                <w:szCs w:val="21"/>
              </w:rPr>
            </w:pPr>
          </w:p>
        </w:tc>
        <w:tc>
          <w:tcPr>
            <w:tcW w:w="765" w:type="dxa"/>
            <w:vMerge w:val="continue"/>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宋体" w:eastAsia="仿宋_GB2312" w:cs="宋体"/>
                <w:color w:val="000000"/>
                <w:kern w:val="0"/>
                <w:szCs w:val="21"/>
              </w:rPr>
            </w:pPr>
          </w:p>
        </w:tc>
        <w:tc>
          <w:tcPr>
            <w:tcW w:w="1020"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886"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0.1</w:t>
            </w:r>
          </w:p>
        </w:tc>
        <w:tc>
          <w:tcPr>
            <w:tcW w:w="765"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退出损失风险</w:t>
            </w:r>
          </w:p>
        </w:tc>
        <w:tc>
          <w:tcPr>
            <w:tcW w:w="1154"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lang w:eastAsia="zh-CN"/>
              </w:rPr>
              <w:t>12.00</w:t>
            </w:r>
            <w:r>
              <w:rPr>
                <w:rFonts w:hint="eastAsia" w:ascii="仿宋_GB2312" w:hAnsi="宋体" w:eastAsia="仿宋_GB2312" w:cs="宋体"/>
                <w:color w:val="000000"/>
                <w:kern w:val="0"/>
                <w:szCs w:val="21"/>
              </w:rPr>
              <w:t>%</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9～10</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7～8</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5～6</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3～4</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1～2</w:t>
            </w:r>
          </w:p>
        </w:tc>
        <w:tc>
          <w:tcPr>
            <w:tcW w:w="766"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w:t>
            </w:r>
          </w:p>
        </w:tc>
      </w:tr>
      <w:tr>
        <w:tblPrEx>
          <w:tblLayout w:type="fixed"/>
          <w:tblCellMar>
            <w:top w:w="0" w:type="dxa"/>
            <w:left w:w="108" w:type="dxa"/>
            <w:bottom w:w="0" w:type="dxa"/>
            <w:right w:w="108" w:type="dxa"/>
          </w:tblCellMar>
        </w:tblPrEx>
        <w:trPr>
          <w:trHeight w:val="525" w:hRule="atLeast"/>
        </w:trPr>
        <w:tc>
          <w:tcPr>
            <w:tcW w:w="767" w:type="dxa"/>
            <w:vMerge w:val="continue"/>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宋体" w:eastAsia="仿宋_GB2312" w:cs="宋体"/>
                <w:color w:val="000000"/>
                <w:kern w:val="0"/>
                <w:szCs w:val="21"/>
              </w:rPr>
            </w:pPr>
          </w:p>
        </w:tc>
        <w:tc>
          <w:tcPr>
            <w:tcW w:w="765" w:type="dxa"/>
            <w:vMerge w:val="continue"/>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宋体" w:eastAsia="仿宋_GB2312" w:cs="宋体"/>
                <w:color w:val="000000"/>
                <w:kern w:val="0"/>
                <w:szCs w:val="21"/>
              </w:rPr>
            </w:pPr>
          </w:p>
        </w:tc>
        <w:tc>
          <w:tcPr>
            <w:tcW w:w="1020"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886"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0.1</w:t>
            </w:r>
          </w:p>
        </w:tc>
        <w:tc>
          <w:tcPr>
            <w:tcW w:w="765"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竞争能力风险</w:t>
            </w:r>
          </w:p>
        </w:tc>
        <w:tc>
          <w:tcPr>
            <w:tcW w:w="1154"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lang w:eastAsia="zh-CN"/>
              </w:rPr>
              <w:t>12.00</w:t>
            </w:r>
            <w:r>
              <w:rPr>
                <w:rFonts w:hint="eastAsia" w:ascii="仿宋_GB2312" w:hAnsi="宋体" w:eastAsia="仿宋_GB2312" w:cs="宋体"/>
                <w:color w:val="000000"/>
                <w:kern w:val="0"/>
                <w:szCs w:val="21"/>
              </w:rPr>
              <w:t>%</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9～10</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7～8</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5～6</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3～4</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1～2</w:t>
            </w:r>
          </w:p>
        </w:tc>
        <w:tc>
          <w:tcPr>
            <w:tcW w:w="766"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w:t>
            </w:r>
          </w:p>
        </w:tc>
      </w:tr>
      <w:tr>
        <w:tblPrEx>
          <w:tblLayout w:type="fixed"/>
          <w:tblCellMar>
            <w:top w:w="0" w:type="dxa"/>
            <w:left w:w="108" w:type="dxa"/>
            <w:bottom w:w="0" w:type="dxa"/>
            <w:right w:w="108" w:type="dxa"/>
          </w:tblCellMar>
        </w:tblPrEx>
        <w:trPr>
          <w:trHeight w:val="525" w:hRule="atLeast"/>
        </w:trPr>
        <w:tc>
          <w:tcPr>
            <w:tcW w:w="767" w:type="dxa"/>
            <w:vMerge w:val="continue"/>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宋体" w:eastAsia="仿宋_GB2312" w:cs="宋体"/>
                <w:color w:val="000000"/>
                <w:kern w:val="0"/>
                <w:szCs w:val="21"/>
              </w:rPr>
            </w:pPr>
          </w:p>
        </w:tc>
        <w:tc>
          <w:tcPr>
            <w:tcW w:w="765" w:type="dxa"/>
            <w:vMerge w:val="continue"/>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宋体" w:eastAsia="仿宋_GB2312" w:cs="宋体"/>
                <w:color w:val="000000"/>
                <w:kern w:val="0"/>
                <w:szCs w:val="21"/>
              </w:rPr>
            </w:pPr>
          </w:p>
        </w:tc>
        <w:tc>
          <w:tcPr>
            <w:tcW w:w="1020"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886"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0.2</w:t>
            </w:r>
          </w:p>
        </w:tc>
        <w:tc>
          <w:tcPr>
            <w:tcW w:w="765"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投资规模风险</w:t>
            </w:r>
          </w:p>
        </w:tc>
        <w:tc>
          <w:tcPr>
            <w:tcW w:w="1154"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lang w:eastAsia="zh-CN"/>
              </w:rPr>
              <w:t>12.00</w:t>
            </w:r>
            <w:r>
              <w:rPr>
                <w:rFonts w:hint="eastAsia" w:ascii="仿宋_GB2312" w:hAnsi="宋体" w:eastAsia="仿宋_GB2312" w:cs="宋体"/>
                <w:color w:val="000000"/>
                <w:kern w:val="0"/>
                <w:szCs w:val="21"/>
              </w:rPr>
              <w:t>%</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9～10</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7～8</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5～6</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3～4</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1～2</w:t>
            </w:r>
          </w:p>
        </w:tc>
        <w:tc>
          <w:tcPr>
            <w:tcW w:w="766"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w:t>
            </w:r>
          </w:p>
        </w:tc>
      </w:tr>
      <w:tr>
        <w:tblPrEx>
          <w:tblLayout w:type="fixed"/>
          <w:tblCellMar>
            <w:top w:w="0" w:type="dxa"/>
            <w:left w:w="108" w:type="dxa"/>
            <w:bottom w:w="0" w:type="dxa"/>
            <w:right w:w="108" w:type="dxa"/>
          </w:tblCellMar>
        </w:tblPrEx>
        <w:trPr>
          <w:trHeight w:val="525" w:hRule="atLeast"/>
        </w:trPr>
        <w:tc>
          <w:tcPr>
            <w:tcW w:w="767" w:type="dxa"/>
            <w:vMerge w:val="continue"/>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宋体" w:eastAsia="仿宋_GB2312" w:cs="宋体"/>
                <w:color w:val="000000"/>
                <w:kern w:val="0"/>
                <w:szCs w:val="21"/>
              </w:rPr>
            </w:pPr>
          </w:p>
        </w:tc>
        <w:tc>
          <w:tcPr>
            <w:tcW w:w="765" w:type="dxa"/>
            <w:vMerge w:val="continue"/>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宋体" w:eastAsia="仿宋_GB2312" w:cs="宋体"/>
                <w:color w:val="000000"/>
                <w:kern w:val="0"/>
                <w:szCs w:val="21"/>
              </w:rPr>
            </w:pPr>
          </w:p>
        </w:tc>
        <w:tc>
          <w:tcPr>
            <w:tcW w:w="1020"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886"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0.2</w:t>
            </w:r>
          </w:p>
        </w:tc>
        <w:tc>
          <w:tcPr>
            <w:tcW w:w="765"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收益稳定性风险</w:t>
            </w:r>
          </w:p>
        </w:tc>
        <w:tc>
          <w:tcPr>
            <w:tcW w:w="1154"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20.00%</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9～10</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7～8</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5～6</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3～4</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1～2</w:t>
            </w:r>
          </w:p>
        </w:tc>
        <w:tc>
          <w:tcPr>
            <w:tcW w:w="766"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w:t>
            </w:r>
          </w:p>
        </w:tc>
      </w:tr>
      <w:tr>
        <w:tblPrEx>
          <w:tblLayout w:type="fixed"/>
          <w:tblCellMar>
            <w:top w:w="0" w:type="dxa"/>
            <w:left w:w="108" w:type="dxa"/>
            <w:bottom w:w="0" w:type="dxa"/>
            <w:right w:w="108" w:type="dxa"/>
          </w:tblCellMar>
        </w:tblPrEx>
        <w:trPr>
          <w:trHeight w:val="780" w:hRule="atLeast"/>
        </w:trPr>
        <w:tc>
          <w:tcPr>
            <w:tcW w:w="767" w:type="dxa"/>
            <w:vMerge w:val="continue"/>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宋体" w:eastAsia="仿宋_GB2312" w:cs="宋体"/>
                <w:color w:val="000000"/>
                <w:kern w:val="0"/>
                <w:szCs w:val="21"/>
              </w:rPr>
            </w:pPr>
          </w:p>
        </w:tc>
        <w:tc>
          <w:tcPr>
            <w:tcW w:w="765" w:type="dxa"/>
            <w:vMerge w:val="continue"/>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宋体" w:eastAsia="仿宋_GB2312" w:cs="宋体"/>
                <w:color w:val="000000"/>
                <w:kern w:val="0"/>
                <w:szCs w:val="21"/>
              </w:rPr>
            </w:pPr>
          </w:p>
        </w:tc>
        <w:tc>
          <w:tcPr>
            <w:tcW w:w="1020"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886"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0.2</w:t>
            </w:r>
          </w:p>
        </w:tc>
        <w:tc>
          <w:tcPr>
            <w:tcW w:w="765"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市场规模和成熟程度风险</w:t>
            </w:r>
          </w:p>
        </w:tc>
        <w:tc>
          <w:tcPr>
            <w:tcW w:w="1154"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20.00%</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9～10</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7～8</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5～6</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3～4</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1～2</w:t>
            </w:r>
          </w:p>
        </w:tc>
        <w:tc>
          <w:tcPr>
            <w:tcW w:w="766"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w:t>
            </w:r>
          </w:p>
        </w:tc>
      </w:tr>
      <w:tr>
        <w:tblPrEx>
          <w:tblLayout w:type="fixed"/>
          <w:tblCellMar>
            <w:top w:w="0" w:type="dxa"/>
            <w:left w:w="108" w:type="dxa"/>
            <w:bottom w:w="0" w:type="dxa"/>
            <w:right w:w="108" w:type="dxa"/>
          </w:tblCellMar>
        </w:tblPrEx>
        <w:trPr>
          <w:trHeight w:val="780" w:hRule="atLeast"/>
        </w:trPr>
        <w:tc>
          <w:tcPr>
            <w:tcW w:w="767" w:type="dxa"/>
            <w:vMerge w:val="continue"/>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宋体" w:eastAsia="仿宋_GB2312" w:cs="宋体"/>
                <w:color w:val="000000"/>
                <w:kern w:val="0"/>
                <w:szCs w:val="21"/>
              </w:rPr>
            </w:pPr>
          </w:p>
        </w:tc>
        <w:tc>
          <w:tcPr>
            <w:tcW w:w="765" w:type="dxa"/>
            <w:vMerge w:val="continue"/>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宋体" w:eastAsia="仿宋_GB2312" w:cs="宋体"/>
                <w:color w:val="000000"/>
                <w:kern w:val="0"/>
                <w:szCs w:val="21"/>
              </w:rPr>
            </w:pPr>
          </w:p>
        </w:tc>
        <w:tc>
          <w:tcPr>
            <w:tcW w:w="1020"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886"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0.1</w:t>
            </w:r>
          </w:p>
        </w:tc>
        <w:tc>
          <w:tcPr>
            <w:tcW w:w="765"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市场失衡的可能性风险</w:t>
            </w:r>
          </w:p>
        </w:tc>
        <w:tc>
          <w:tcPr>
            <w:tcW w:w="1154"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lang w:eastAsia="zh-CN"/>
              </w:rPr>
              <w:t>12.00</w:t>
            </w:r>
            <w:r>
              <w:rPr>
                <w:rFonts w:hint="eastAsia" w:ascii="仿宋_GB2312" w:hAnsi="宋体" w:eastAsia="仿宋_GB2312" w:cs="宋体"/>
                <w:color w:val="000000"/>
                <w:kern w:val="0"/>
                <w:szCs w:val="21"/>
              </w:rPr>
              <w:t>%</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9～10</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7～8</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5～6</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3～4</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1～2</w:t>
            </w:r>
          </w:p>
        </w:tc>
        <w:tc>
          <w:tcPr>
            <w:tcW w:w="766"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w:t>
            </w:r>
          </w:p>
        </w:tc>
      </w:tr>
      <w:tr>
        <w:tblPrEx>
          <w:tblLayout w:type="fixed"/>
          <w:tblCellMar>
            <w:top w:w="0" w:type="dxa"/>
            <w:left w:w="108" w:type="dxa"/>
            <w:bottom w:w="0" w:type="dxa"/>
            <w:right w:w="108" w:type="dxa"/>
          </w:tblCellMar>
        </w:tblPrEx>
        <w:trPr>
          <w:trHeight w:val="300" w:hRule="atLeast"/>
        </w:trPr>
        <w:tc>
          <w:tcPr>
            <w:tcW w:w="767" w:type="dxa"/>
            <w:vMerge w:val="continue"/>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宋体" w:eastAsia="仿宋_GB2312" w:cs="宋体"/>
                <w:color w:val="000000"/>
                <w:kern w:val="0"/>
                <w:szCs w:val="21"/>
              </w:rPr>
            </w:pPr>
          </w:p>
        </w:tc>
        <w:tc>
          <w:tcPr>
            <w:tcW w:w="765" w:type="dxa"/>
            <w:vMerge w:val="continue"/>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宋体" w:eastAsia="仿宋_GB2312" w:cs="宋体"/>
                <w:color w:val="000000"/>
                <w:kern w:val="0"/>
                <w:szCs w:val="21"/>
              </w:rPr>
            </w:pPr>
          </w:p>
        </w:tc>
        <w:tc>
          <w:tcPr>
            <w:tcW w:w="1020"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15.00%</w:t>
            </w:r>
          </w:p>
        </w:tc>
        <w:tc>
          <w:tcPr>
            <w:tcW w:w="886"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0.1</w:t>
            </w:r>
          </w:p>
        </w:tc>
        <w:tc>
          <w:tcPr>
            <w:tcW w:w="765"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政策风险</w:t>
            </w:r>
          </w:p>
        </w:tc>
        <w:tc>
          <w:tcPr>
            <w:tcW w:w="1154"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lang w:eastAsia="zh-CN"/>
              </w:rPr>
              <w:t>12.00</w:t>
            </w:r>
            <w:r>
              <w:rPr>
                <w:rFonts w:hint="eastAsia" w:ascii="仿宋_GB2312" w:hAnsi="宋体" w:eastAsia="仿宋_GB2312" w:cs="宋体"/>
                <w:color w:val="000000"/>
                <w:kern w:val="0"/>
                <w:szCs w:val="21"/>
              </w:rPr>
              <w:t>%</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9～10</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7～8</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5～6</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3～4</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1～2</w:t>
            </w:r>
          </w:p>
        </w:tc>
        <w:tc>
          <w:tcPr>
            <w:tcW w:w="766"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w:t>
            </w:r>
          </w:p>
        </w:tc>
      </w:tr>
      <w:tr>
        <w:tblPrEx>
          <w:tblLayout w:type="fixed"/>
          <w:tblCellMar>
            <w:top w:w="0" w:type="dxa"/>
            <w:left w:w="108" w:type="dxa"/>
            <w:bottom w:w="0" w:type="dxa"/>
            <w:right w:w="108" w:type="dxa"/>
          </w:tblCellMar>
        </w:tblPrEx>
        <w:trPr>
          <w:trHeight w:val="300" w:hRule="atLeast"/>
        </w:trPr>
        <w:tc>
          <w:tcPr>
            <w:tcW w:w="1532" w:type="dxa"/>
            <w:gridSpan w:val="2"/>
            <w:tcBorders>
              <w:top w:val="single" w:color="auto" w:sz="8" w:space="0"/>
              <w:left w:val="single" w:color="auto" w:sz="8" w:space="0"/>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小计</w:t>
            </w:r>
          </w:p>
        </w:tc>
        <w:tc>
          <w:tcPr>
            <w:tcW w:w="1020"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1.80%</w:t>
            </w:r>
          </w:p>
        </w:tc>
        <w:tc>
          <w:tcPr>
            <w:tcW w:w="886"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1.2</w:t>
            </w:r>
          </w:p>
        </w:tc>
        <w:tc>
          <w:tcPr>
            <w:tcW w:w="765"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1154"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100.00%</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766"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r>
      <w:tr>
        <w:tblPrEx>
          <w:tblLayout w:type="fixed"/>
          <w:tblCellMar>
            <w:top w:w="0" w:type="dxa"/>
            <w:left w:w="108" w:type="dxa"/>
            <w:bottom w:w="0" w:type="dxa"/>
            <w:right w:w="108" w:type="dxa"/>
          </w:tblCellMar>
        </w:tblPrEx>
        <w:trPr>
          <w:trHeight w:val="525" w:hRule="atLeast"/>
        </w:trPr>
        <w:tc>
          <w:tcPr>
            <w:tcW w:w="767" w:type="dxa"/>
            <w:vMerge w:val="restart"/>
            <w:tcBorders>
              <w:top w:val="nil"/>
              <w:left w:val="single" w:color="auto" w:sz="8" w:space="0"/>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w:t>
            </w:r>
          </w:p>
        </w:tc>
        <w:tc>
          <w:tcPr>
            <w:tcW w:w="765" w:type="dxa"/>
            <w:vMerge w:val="restart"/>
            <w:tcBorders>
              <w:top w:val="nil"/>
              <w:left w:val="single" w:color="auto" w:sz="8" w:space="0"/>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管理负担补偿率</w:t>
            </w:r>
          </w:p>
        </w:tc>
        <w:tc>
          <w:tcPr>
            <w:tcW w:w="1020"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0.00%</w:t>
            </w:r>
          </w:p>
        </w:tc>
        <w:tc>
          <w:tcPr>
            <w:tcW w:w="886"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0.5</w:t>
            </w:r>
          </w:p>
        </w:tc>
        <w:tc>
          <w:tcPr>
            <w:tcW w:w="765"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管理难易程度</w:t>
            </w:r>
          </w:p>
        </w:tc>
        <w:tc>
          <w:tcPr>
            <w:tcW w:w="1154"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25.00%</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9～10</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7～8</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5～6</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3～4</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1～2</w:t>
            </w:r>
          </w:p>
        </w:tc>
        <w:tc>
          <w:tcPr>
            <w:tcW w:w="766"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2</w:t>
            </w:r>
          </w:p>
        </w:tc>
      </w:tr>
      <w:tr>
        <w:tblPrEx>
          <w:tblLayout w:type="fixed"/>
          <w:tblCellMar>
            <w:top w:w="0" w:type="dxa"/>
            <w:left w:w="108" w:type="dxa"/>
            <w:bottom w:w="0" w:type="dxa"/>
            <w:right w:w="108" w:type="dxa"/>
          </w:tblCellMar>
        </w:tblPrEx>
        <w:trPr>
          <w:trHeight w:val="780" w:hRule="atLeast"/>
        </w:trPr>
        <w:tc>
          <w:tcPr>
            <w:tcW w:w="767" w:type="dxa"/>
            <w:vMerge w:val="continue"/>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宋体" w:eastAsia="仿宋_GB2312" w:cs="宋体"/>
                <w:color w:val="000000"/>
                <w:kern w:val="0"/>
                <w:szCs w:val="21"/>
              </w:rPr>
            </w:pPr>
          </w:p>
        </w:tc>
        <w:tc>
          <w:tcPr>
            <w:tcW w:w="765" w:type="dxa"/>
            <w:vMerge w:val="continue"/>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宋体" w:eastAsia="仿宋_GB2312" w:cs="宋体"/>
                <w:color w:val="000000"/>
                <w:kern w:val="0"/>
                <w:szCs w:val="21"/>
              </w:rPr>
            </w:pPr>
          </w:p>
        </w:tc>
        <w:tc>
          <w:tcPr>
            <w:tcW w:w="1020"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886"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0.5</w:t>
            </w:r>
          </w:p>
        </w:tc>
        <w:tc>
          <w:tcPr>
            <w:tcW w:w="765"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管理对价值的影响程度</w:t>
            </w:r>
          </w:p>
        </w:tc>
        <w:tc>
          <w:tcPr>
            <w:tcW w:w="1154"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25.00%</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9～10</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7～8</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5～6</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3～4</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1～2</w:t>
            </w:r>
          </w:p>
        </w:tc>
        <w:tc>
          <w:tcPr>
            <w:tcW w:w="766"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2</w:t>
            </w:r>
          </w:p>
        </w:tc>
      </w:tr>
      <w:tr>
        <w:tblPrEx>
          <w:tblLayout w:type="fixed"/>
          <w:tblCellMar>
            <w:top w:w="0" w:type="dxa"/>
            <w:left w:w="108" w:type="dxa"/>
            <w:bottom w:w="0" w:type="dxa"/>
            <w:right w:w="108" w:type="dxa"/>
          </w:tblCellMar>
        </w:tblPrEx>
        <w:trPr>
          <w:trHeight w:val="780" w:hRule="atLeast"/>
        </w:trPr>
        <w:tc>
          <w:tcPr>
            <w:tcW w:w="767" w:type="dxa"/>
            <w:vMerge w:val="continue"/>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宋体" w:eastAsia="仿宋_GB2312" w:cs="宋体"/>
                <w:color w:val="000000"/>
                <w:kern w:val="0"/>
                <w:szCs w:val="21"/>
              </w:rPr>
            </w:pPr>
          </w:p>
        </w:tc>
        <w:tc>
          <w:tcPr>
            <w:tcW w:w="765" w:type="dxa"/>
            <w:vMerge w:val="continue"/>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宋体" w:eastAsia="仿宋_GB2312" w:cs="宋体"/>
                <w:color w:val="000000"/>
                <w:kern w:val="0"/>
                <w:szCs w:val="21"/>
              </w:rPr>
            </w:pPr>
          </w:p>
        </w:tc>
        <w:tc>
          <w:tcPr>
            <w:tcW w:w="1020"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886"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0.5</w:t>
            </w:r>
          </w:p>
        </w:tc>
        <w:tc>
          <w:tcPr>
            <w:tcW w:w="765"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管理的成本费用水平</w:t>
            </w:r>
          </w:p>
        </w:tc>
        <w:tc>
          <w:tcPr>
            <w:tcW w:w="1154"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25.00%</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9～10</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7～8</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5～6</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3～4</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1～2</w:t>
            </w:r>
          </w:p>
        </w:tc>
        <w:tc>
          <w:tcPr>
            <w:tcW w:w="766"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2</w:t>
            </w:r>
          </w:p>
        </w:tc>
      </w:tr>
      <w:tr>
        <w:tblPrEx>
          <w:tblLayout w:type="fixed"/>
          <w:tblCellMar>
            <w:top w:w="0" w:type="dxa"/>
            <w:left w:w="108" w:type="dxa"/>
            <w:bottom w:w="0" w:type="dxa"/>
            <w:right w:w="108" w:type="dxa"/>
          </w:tblCellMar>
        </w:tblPrEx>
        <w:trPr>
          <w:trHeight w:val="300" w:hRule="atLeast"/>
        </w:trPr>
        <w:tc>
          <w:tcPr>
            <w:tcW w:w="767" w:type="dxa"/>
            <w:vMerge w:val="continue"/>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宋体" w:eastAsia="仿宋_GB2312" w:cs="宋体"/>
                <w:color w:val="000000"/>
                <w:kern w:val="0"/>
                <w:szCs w:val="21"/>
              </w:rPr>
            </w:pPr>
          </w:p>
        </w:tc>
        <w:tc>
          <w:tcPr>
            <w:tcW w:w="765" w:type="dxa"/>
            <w:vMerge w:val="continue"/>
            <w:tcBorders>
              <w:top w:val="nil"/>
              <w:left w:val="single" w:color="auto" w:sz="8" w:space="0"/>
              <w:bottom w:val="single" w:color="auto" w:sz="8" w:space="0"/>
              <w:right w:val="single" w:color="auto" w:sz="8" w:space="0"/>
            </w:tcBorders>
            <w:shd w:val="clear" w:color="auto" w:fill="auto"/>
            <w:vAlign w:val="center"/>
          </w:tcPr>
          <w:p>
            <w:pPr>
              <w:widowControl/>
              <w:jc w:val="left"/>
              <w:rPr>
                <w:rFonts w:ascii="仿宋_GB2312" w:hAnsi="宋体" w:eastAsia="仿宋_GB2312" w:cs="宋体"/>
                <w:color w:val="000000"/>
                <w:kern w:val="0"/>
                <w:szCs w:val="21"/>
              </w:rPr>
            </w:pPr>
          </w:p>
        </w:tc>
        <w:tc>
          <w:tcPr>
            <w:tcW w:w="1020"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4.00%</w:t>
            </w:r>
          </w:p>
        </w:tc>
        <w:tc>
          <w:tcPr>
            <w:tcW w:w="886"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0.25</w:t>
            </w:r>
          </w:p>
        </w:tc>
        <w:tc>
          <w:tcPr>
            <w:tcW w:w="765"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专业性</w:t>
            </w:r>
          </w:p>
        </w:tc>
        <w:tc>
          <w:tcPr>
            <w:tcW w:w="1154"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25.00%</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9～10</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7～8</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5～6</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3～4</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1～2</w:t>
            </w:r>
          </w:p>
        </w:tc>
        <w:tc>
          <w:tcPr>
            <w:tcW w:w="766"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1</w:t>
            </w:r>
          </w:p>
        </w:tc>
      </w:tr>
      <w:tr>
        <w:tblPrEx>
          <w:tblLayout w:type="fixed"/>
          <w:tblCellMar>
            <w:top w:w="0" w:type="dxa"/>
            <w:left w:w="108" w:type="dxa"/>
            <w:bottom w:w="0" w:type="dxa"/>
            <w:right w:w="108" w:type="dxa"/>
          </w:tblCellMar>
        </w:tblPrEx>
        <w:trPr>
          <w:trHeight w:val="300" w:hRule="atLeast"/>
        </w:trPr>
        <w:tc>
          <w:tcPr>
            <w:tcW w:w="1532" w:type="dxa"/>
            <w:gridSpan w:val="2"/>
            <w:tcBorders>
              <w:top w:val="single" w:color="auto" w:sz="8" w:space="0"/>
              <w:left w:val="single" w:color="auto" w:sz="8" w:space="0"/>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小计</w:t>
            </w:r>
          </w:p>
        </w:tc>
        <w:tc>
          <w:tcPr>
            <w:tcW w:w="1020"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0.70%</w:t>
            </w:r>
          </w:p>
        </w:tc>
        <w:tc>
          <w:tcPr>
            <w:tcW w:w="886"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1.75</w:t>
            </w:r>
          </w:p>
        </w:tc>
        <w:tc>
          <w:tcPr>
            <w:tcW w:w="765"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1154"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100.00%</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768"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c>
          <w:tcPr>
            <w:tcW w:w="766"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r>
      <w:tr>
        <w:tblPrEx>
          <w:tblLayout w:type="fixed"/>
          <w:tblCellMar>
            <w:top w:w="0" w:type="dxa"/>
            <w:left w:w="108" w:type="dxa"/>
            <w:bottom w:w="0" w:type="dxa"/>
            <w:right w:w="108" w:type="dxa"/>
          </w:tblCellMar>
        </w:tblPrEx>
        <w:trPr>
          <w:trHeight w:val="525" w:hRule="atLeast"/>
        </w:trPr>
        <w:tc>
          <w:tcPr>
            <w:tcW w:w="767" w:type="dxa"/>
            <w:tcBorders>
              <w:top w:val="nil"/>
              <w:left w:val="single" w:color="auto" w:sz="8" w:space="0"/>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4</w:t>
            </w:r>
          </w:p>
        </w:tc>
        <w:tc>
          <w:tcPr>
            <w:tcW w:w="765"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缺乏流动性补偿率</w:t>
            </w:r>
          </w:p>
        </w:tc>
        <w:tc>
          <w:tcPr>
            <w:tcW w:w="1020"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0-4%</w:t>
            </w:r>
          </w:p>
        </w:tc>
        <w:tc>
          <w:tcPr>
            <w:tcW w:w="7411" w:type="dxa"/>
            <w:gridSpan w:val="9"/>
            <w:tcBorders>
              <w:top w:val="single" w:color="auto" w:sz="8" w:space="0"/>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详见表B</w:t>
            </w:r>
          </w:p>
        </w:tc>
      </w:tr>
      <w:tr>
        <w:tblPrEx>
          <w:tblLayout w:type="fixed"/>
          <w:tblCellMar>
            <w:top w:w="0" w:type="dxa"/>
            <w:left w:w="108" w:type="dxa"/>
            <w:bottom w:w="0" w:type="dxa"/>
            <w:right w:w="108" w:type="dxa"/>
          </w:tblCellMar>
        </w:tblPrEx>
        <w:trPr>
          <w:trHeight w:val="300" w:hRule="atLeast"/>
        </w:trPr>
        <w:tc>
          <w:tcPr>
            <w:tcW w:w="1532" w:type="dxa"/>
            <w:gridSpan w:val="2"/>
            <w:tcBorders>
              <w:top w:val="single" w:color="auto" w:sz="8" w:space="0"/>
              <w:left w:val="single" w:color="auto" w:sz="8" w:space="0"/>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取值</w:t>
            </w:r>
          </w:p>
        </w:tc>
        <w:tc>
          <w:tcPr>
            <w:tcW w:w="1020"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1.55%</w:t>
            </w:r>
          </w:p>
        </w:tc>
        <w:tc>
          <w:tcPr>
            <w:tcW w:w="7411" w:type="dxa"/>
            <w:gridSpan w:val="9"/>
            <w:tcBorders>
              <w:top w:val="single" w:color="auto" w:sz="8" w:space="0"/>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r>
      <w:tr>
        <w:tblPrEx>
          <w:tblLayout w:type="fixed"/>
          <w:tblCellMar>
            <w:top w:w="0" w:type="dxa"/>
            <w:left w:w="108" w:type="dxa"/>
            <w:bottom w:w="0" w:type="dxa"/>
            <w:right w:w="108" w:type="dxa"/>
          </w:tblCellMar>
        </w:tblPrEx>
        <w:trPr>
          <w:trHeight w:val="780" w:hRule="atLeast"/>
        </w:trPr>
        <w:tc>
          <w:tcPr>
            <w:tcW w:w="767" w:type="dxa"/>
            <w:tcBorders>
              <w:top w:val="nil"/>
              <w:left w:val="single" w:color="auto" w:sz="8" w:space="0"/>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5</w:t>
            </w:r>
          </w:p>
        </w:tc>
        <w:tc>
          <w:tcPr>
            <w:tcW w:w="765"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易于获得融资的优惠率</w:t>
            </w:r>
          </w:p>
        </w:tc>
        <w:tc>
          <w:tcPr>
            <w:tcW w:w="1020"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0-2%</w:t>
            </w:r>
          </w:p>
        </w:tc>
        <w:tc>
          <w:tcPr>
            <w:tcW w:w="7411" w:type="dxa"/>
            <w:gridSpan w:val="9"/>
            <w:tcBorders>
              <w:top w:val="single" w:color="auto" w:sz="8" w:space="0"/>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一般指房地产易于获得金融机构的抵押贷款支持</w:t>
            </w:r>
          </w:p>
        </w:tc>
      </w:tr>
      <w:tr>
        <w:tblPrEx>
          <w:tblLayout w:type="fixed"/>
          <w:tblCellMar>
            <w:top w:w="0" w:type="dxa"/>
            <w:left w:w="108" w:type="dxa"/>
            <w:bottom w:w="0" w:type="dxa"/>
            <w:right w:w="108" w:type="dxa"/>
          </w:tblCellMar>
        </w:tblPrEx>
        <w:trPr>
          <w:trHeight w:val="300" w:hRule="atLeast"/>
        </w:trPr>
        <w:tc>
          <w:tcPr>
            <w:tcW w:w="1532" w:type="dxa"/>
            <w:gridSpan w:val="2"/>
            <w:tcBorders>
              <w:top w:val="single" w:color="auto" w:sz="8" w:space="0"/>
              <w:left w:val="single" w:color="auto" w:sz="8" w:space="0"/>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取值</w:t>
            </w:r>
          </w:p>
        </w:tc>
        <w:tc>
          <w:tcPr>
            <w:tcW w:w="1020"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1.40%</w:t>
            </w:r>
          </w:p>
        </w:tc>
        <w:tc>
          <w:tcPr>
            <w:tcW w:w="7411" w:type="dxa"/>
            <w:gridSpan w:val="9"/>
            <w:tcBorders>
              <w:top w:val="single" w:color="auto" w:sz="8" w:space="0"/>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r>
      <w:tr>
        <w:tblPrEx>
          <w:tblLayout w:type="fixed"/>
          <w:tblCellMar>
            <w:top w:w="0" w:type="dxa"/>
            <w:left w:w="108" w:type="dxa"/>
            <w:bottom w:w="0" w:type="dxa"/>
            <w:right w:w="108" w:type="dxa"/>
          </w:tblCellMar>
        </w:tblPrEx>
        <w:trPr>
          <w:trHeight w:val="780" w:hRule="atLeast"/>
        </w:trPr>
        <w:tc>
          <w:tcPr>
            <w:tcW w:w="767" w:type="dxa"/>
            <w:tcBorders>
              <w:top w:val="nil"/>
              <w:left w:val="single" w:color="auto" w:sz="8" w:space="0"/>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6</w:t>
            </w:r>
          </w:p>
        </w:tc>
        <w:tc>
          <w:tcPr>
            <w:tcW w:w="765"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所得税抵扣的优惠率</w:t>
            </w:r>
          </w:p>
        </w:tc>
        <w:tc>
          <w:tcPr>
            <w:tcW w:w="1020"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0-2%</w:t>
            </w:r>
          </w:p>
        </w:tc>
        <w:tc>
          <w:tcPr>
            <w:tcW w:w="7411" w:type="dxa"/>
            <w:gridSpan w:val="9"/>
            <w:tcBorders>
              <w:top w:val="single" w:color="auto" w:sz="8" w:space="0"/>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指房地产可能获得所得税抵扣方面的优惠</w:t>
            </w:r>
          </w:p>
        </w:tc>
      </w:tr>
      <w:tr>
        <w:tblPrEx>
          <w:tblLayout w:type="fixed"/>
          <w:tblCellMar>
            <w:top w:w="0" w:type="dxa"/>
            <w:left w:w="108" w:type="dxa"/>
            <w:bottom w:w="0" w:type="dxa"/>
            <w:right w:w="108" w:type="dxa"/>
          </w:tblCellMar>
        </w:tblPrEx>
        <w:trPr>
          <w:trHeight w:val="300" w:hRule="atLeast"/>
        </w:trPr>
        <w:tc>
          <w:tcPr>
            <w:tcW w:w="1532" w:type="dxa"/>
            <w:gridSpan w:val="2"/>
            <w:tcBorders>
              <w:top w:val="single" w:color="auto" w:sz="8" w:space="0"/>
              <w:left w:val="single" w:color="auto" w:sz="8" w:space="0"/>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取值</w:t>
            </w:r>
          </w:p>
        </w:tc>
        <w:tc>
          <w:tcPr>
            <w:tcW w:w="1020"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0%</w:t>
            </w:r>
          </w:p>
        </w:tc>
        <w:tc>
          <w:tcPr>
            <w:tcW w:w="7411" w:type="dxa"/>
            <w:gridSpan w:val="9"/>
            <w:tcBorders>
              <w:top w:val="single" w:color="auto" w:sz="8" w:space="0"/>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　</w:t>
            </w:r>
          </w:p>
        </w:tc>
      </w:tr>
      <w:tr>
        <w:tblPrEx>
          <w:tblLayout w:type="fixed"/>
          <w:tblCellMar>
            <w:top w:w="0" w:type="dxa"/>
            <w:left w:w="108" w:type="dxa"/>
            <w:bottom w:w="0" w:type="dxa"/>
            <w:right w:w="108" w:type="dxa"/>
          </w:tblCellMar>
        </w:tblPrEx>
        <w:trPr>
          <w:trHeight w:val="540" w:hRule="atLeast"/>
        </w:trPr>
        <w:tc>
          <w:tcPr>
            <w:tcW w:w="1532" w:type="dxa"/>
            <w:gridSpan w:val="2"/>
            <w:tcBorders>
              <w:top w:val="single" w:color="auto" w:sz="8" w:space="0"/>
              <w:left w:val="single" w:color="auto" w:sz="8" w:space="0"/>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折现率</w:t>
            </w:r>
          </w:p>
        </w:tc>
        <w:tc>
          <w:tcPr>
            <w:tcW w:w="1020" w:type="dxa"/>
            <w:tcBorders>
              <w:top w:val="nil"/>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kern w:val="0"/>
                <w:szCs w:val="21"/>
              </w:rPr>
            </w:pPr>
            <w:r>
              <w:rPr>
                <w:rFonts w:hint="eastAsia" w:ascii="仿宋_GB2312" w:hAnsi="宋体" w:eastAsia="仿宋_GB2312" w:cs="宋体"/>
                <w:kern w:val="0"/>
                <w:szCs w:val="21"/>
              </w:rPr>
              <w:t>4.15%</w:t>
            </w:r>
          </w:p>
        </w:tc>
        <w:tc>
          <w:tcPr>
            <w:tcW w:w="7411" w:type="dxa"/>
            <w:gridSpan w:val="9"/>
            <w:tcBorders>
              <w:top w:val="single" w:color="auto" w:sz="8" w:space="0"/>
              <w:left w:val="nil"/>
              <w:bottom w:val="single" w:color="auto" w:sz="8" w:space="0"/>
              <w:right w:val="single" w:color="auto" w:sz="8" w:space="0"/>
            </w:tcBorders>
            <w:shd w:val="clear" w:color="auto" w:fill="auto"/>
            <w:vAlign w:val="bottom"/>
          </w:tcPr>
          <w:p>
            <w:pPr>
              <w:widowControl/>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报酬率</w:t>
            </w:r>
            <w:r>
              <w:rPr>
                <w:rFonts w:hint="eastAsia" w:ascii="仿宋_GB2312" w:hAnsi="宋体" w:eastAsia="仿宋_GB2312" w:cs="宋体"/>
                <w:color w:val="000000"/>
                <w:kern w:val="0"/>
                <w:sz w:val="24"/>
                <w:szCs w:val="24"/>
              </w:rPr>
              <w:t>＝</w:t>
            </w:r>
            <w:r>
              <w:rPr>
                <w:rFonts w:hint="eastAsia" w:ascii="仿宋_GB2312" w:hAnsi="宋体" w:eastAsia="仿宋_GB2312" w:cs="宋体"/>
                <w:color w:val="000000"/>
                <w:kern w:val="0"/>
                <w:szCs w:val="21"/>
              </w:rPr>
              <w:t>无风险报酬率+投资风险补偿率+管理负担补偿率+缺乏流动性补偿率-易于获得融资的优惠率-投资带来的优惠率</w:t>
            </w:r>
          </w:p>
        </w:tc>
      </w:tr>
    </w:tbl>
    <w:p>
      <w:pPr>
        <w:tabs>
          <w:tab w:val="left" w:pos="0"/>
        </w:tabs>
        <w:adjustRightInd w:val="0"/>
        <w:snapToGrid w:val="0"/>
        <w:spacing w:line="480" w:lineRule="exact"/>
        <w:rPr>
          <w:rFonts w:ascii="仿宋_GB2312" w:eastAsia="仿宋_GB2312"/>
          <w:snapToGrid w:val="0"/>
          <w:kern w:val="0"/>
          <w:sz w:val="28"/>
          <w:szCs w:val="28"/>
        </w:rPr>
      </w:pPr>
      <w:r>
        <w:rPr>
          <w:rFonts w:hint="eastAsia" w:ascii="仿宋_GB2312" w:eastAsia="仿宋_GB2312"/>
          <w:snapToGrid w:val="0"/>
          <w:kern w:val="0"/>
          <w:sz w:val="28"/>
          <w:szCs w:val="28"/>
        </w:rPr>
        <w:t xml:space="preserve">    说明：</w:t>
      </w:r>
      <w:r>
        <w:rPr>
          <w:rFonts w:hint="eastAsia" w:ascii="仿宋_GB2312" w:eastAsia="仿宋_GB2312"/>
          <w:snapToGrid w:val="0"/>
          <w:kern w:val="0"/>
          <w:sz w:val="28"/>
          <w:szCs w:val="28"/>
        </w:rPr>
        <w:fldChar w:fldCharType="begin"/>
      </w:r>
      <w:r>
        <w:rPr>
          <w:rFonts w:hint="eastAsia" w:ascii="仿宋_GB2312" w:eastAsia="仿宋_GB2312"/>
          <w:snapToGrid w:val="0"/>
          <w:kern w:val="0"/>
          <w:sz w:val="28"/>
          <w:szCs w:val="28"/>
        </w:rPr>
        <w:instrText xml:space="preserve"> = 1 \* GB3 \* MERGEFORMAT </w:instrText>
      </w:r>
      <w:r>
        <w:rPr>
          <w:rFonts w:hint="eastAsia" w:ascii="仿宋_GB2312" w:eastAsia="仿宋_GB2312"/>
          <w:snapToGrid w:val="0"/>
          <w:kern w:val="0"/>
          <w:sz w:val="28"/>
          <w:szCs w:val="28"/>
        </w:rPr>
        <w:fldChar w:fldCharType="separate"/>
      </w:r>
      <w:r>
        <w:rPr>
          <w:rFonts w:hint="eastAsia" w:ascii="仿宋_GB2312" w:eastAsia="仿宋_GB2312"/>
          <w:snapToGrid w:val="0"/>
          <w:kern w:val="0"/>
          <w:sz w:val="28"/>
          <w:szCs w:val="28"/>
        </w:rPr>
        <w:t>①</w:t>
      </w:r>
      <w:r>
        <w:rPr>
          <w:rFonts w:hint="eastAsia" w:ascii="仿宋_GB2312" w:eastAsia="仿宋_GB2312"/>
          <w:snapToGrid w:val="0"/>
          <w:kern w:val="0"/>
          <w:sz w:val="28"/>
          <w:szCs w:val="28"/>
        </w:rPr>
        <w:fldChar w:fldCharType="end"/>
      </w:r>
      <w:r>
        <w:rPr>
          <w:rFonts w:hint="eastAsia" w:ascii="仿宋_GB2312" w:eastAsia="仿宋_GB2312"/>
          <w:snapToGrid w:val="0"/>
          <w:kern w:val="0"/>
          <w:sz w:val="28"/>
          <w:szCs w:val="28"/>
        </w:rPr>
        <w:t>投资风险报酬率，选用同期中国人民银行公布的一年期商业银行存款年利率；目前，中国人民银行公布的一年定期存款年利率为1.50%，故无风险报酬率取1.50%。</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fldChar w:fldCharType="begin"/>
      </w:r>
      <w:r>
        <w:rPr>
          <w:rFonts w:hint="eastAsia" w:ascii="仿宋_GB2312" w:eastAsia="仿宋_GB2312"/>
          <w:snapToGrid w:val="0"/>
          <w:kern w:val="0"/>
          <w:sz w:val="28"/>
          <w:szCs w:val="28"/>
        </w:rPr>
        <w:instrText xml:space="preserve"> = 2 \* GB3 \* MERGEFORMAT </w:instrText>
      </w:r>
      <w:r>
        <w:rPr>
          <w:rFonts w:hint="eastAsia" w:ascii="仿宋_GB2312" w:eastAsia="仿宋_GB2312"/>
          <w:snapToGrid w:val="0"/>
          <w:kern w:val="0"/>
          <w:sz w:val="28"/>
          <w:szCs w:val="28"/>
        </w:rPr>
        <w:fldChar w:fldCharType="separate"/>
      </w:r>
      <w:r>
        <w:rPr>
          <w:rFonts w:hint="eastAsia" w:ascii="仿宋_GB2312" w:eastAsia="仿宋_GB2312"/>
          <w:snapToGrid w:val="0"/>
          <w:kern w:val="0"/>
          <w:sz w:val="28"/>
          <w:szCs w:val="28"/>
        </w:rPr>
        <w:t>②</w:t>
      </w:r>
      <w:r>
        <w:rPr>
          <w:rFonts w:hint="eastAsia" w:ascii="仿宋_GB2312" w:eastAsia="仿宋_GB2312"/>
          <w:snapToGrid w:val="0"/>
          <w:kern w:val="0"/>
          <w:sz w:val="28"/>
          <w:szCs w:val="28"/>
        </w:rPr>
        <w:fldChar w:fldCharType="end"/>
      </w:r>
      <w:r>
        <w:rPr>
          <w:rFonts w:hint="eastAsia" w:ascii="仿宋_GB2312" w:eastAsia="仿宋_GB2312"/>
          <w:snapToGrid w:val="0"/>
          <w:kern w:val="0"/>
          <w:sz w:val="28"/>
          <w:szCs w:val="28"/>
        </w:rPr>
        <w:t>根据估价人员调查行业相关情况，并结合估价人员的专业分析，认为投资风险补偿率的取值范围在0%--15%，而影响投资风险补偿率的主要因素有投资周期风险、退出损失风险、竞争能力风险、投资规模风险、收益稳定性风险、市场规模和成熟程度风险、市场失衡的可能性风险、政策风险等。估价人员通过对这些影响因素赋予一定的权重，对各项因素按高、中高、中、中低、低5个层次赋予分值，先求取加权平均分值，最好利用内部插值法得出投资风险补偿率，由上表得出投资风险补偿率为1.80%。</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fldChar w:fldCharType="begin"/>
      </w:r>
      <w:r>
        <w:rPr>
          <w:rFonts w:hint="eastAsia" w:ascii="仿宋_GB2312" w:eastAsia="仿宋_GB2312"/>
          <w:snapToGrid w:val="0"/>
          <w:kern w:val="0"/>
          <w:sz w:val="28"/>
          <w:szCs w:val="28"/>
        </w:rPr>
        <w:instrText xml:space="preserve"> = 3 \* GB3 \* MERGEFORMAT </w:instrText>
      </w:r>
      <w:r>
        <w:rPr>
          <w:rFonts w:hint="eastAsia" w:ascii="仿宋_GB2312" w:eastAsia="仿宋_GB2312"/>
          <w:snapToGrid w:val="0"/>
          <w:kern w:val="0"/>
          <w:sz w:val="28"/>
          <w:szCs w:val="28"/>
        </w:rPr>
        <w:fldChar w:fldCharType="separate"/>
      </w:r>
      <w:r>
        <w:rPr>
          <w:rFonts w:hint="eastAsia" w:ascii="仿宋_GB2312" w:eastAsia="仿宋_GB2312"/>
          <w:snapToGrid w:val="0"/>
          <w:kern w:val="0"/>
          <w:sz w:val="28"/>
          <w:szCs w:val="28"/>
        </w:rPr>
        <w:t>③</w:t>
      </w:r>
      <w:r>
        <w:rPr>
          <w:rFonts w:hint="eastAsia" w:ascii="仿宋_GB2312" w:eastAsia="仿宋_GB2312"/>
          <w:snapToGrid w:val="0"/>
          <w:kern w:val="0"/>
          <w:sz w:val="28"/>
          <w:szCs w:val="28"/>
        </w:rPr>
        <w:fldChar w:fldCharType="end"/>
      </w:r>
      <w:r>
        <w:rPr>
          <w:rFonts w:hint="eastAsia" w:ascii="仿宋_GB2312" w:eastAsia="仿宋_GB2312"/>
          <w:snapToGrid w:val="0"/>
          <w:kern w:val="0"/>
          <w:sz w:val="28"/>
          <w:szCs w:val="28"/>
        </w:rPr>
        <w:t>管理负担补偿率，根据估价人员调查行业相关情况，并结合估价人员的专业分析，认为管理负担补偿率的取值范围在0%--4%，而影响管理负担补偿率的主要因素有管理难易程度、管理对价值的影响程度、管理的成本费用水平、专业性等。估价人员通过对这些影响因素赋予一定的权重，对各项因素按高、中高、中、中低、低5个层次赋予分值，先求取加权平均分值，最好利用内部插值法得出管理负担补偿率，由上表得出管理负担补偿率为0.70%。</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fldChar w:fldCharType="begin"/>
      </w:r>
      <w:r>
        <w:rPr>
          <w:rFonts w:hint="eastAsia" w:ascii="仿宋_GB2312" w:eastAsia="仿宋_GB2312"/>
          <w:snapToGrid w:val="0"/>
          <w:kern w:val="0"/>
          <w:sz w:val="28"/>
          <w:szCs w:val="28"/>
        </w:rPr>
        <w:instrText xml:space="preserve"> = 4 \* GB3 \* MERGEFORMAT </w:instrText>
      </w:r>
      <w:r>
        <w:rPr>
          <w:rFonts w:hint="eastAsia" w:ascii="仿宋_GB2312" w:eastAsia="仿宋_GB2312"/>
          <w:snapToGrid w:val="0"/>
          <w:kern w:val="0"/>
          <w:sz w:val="28"/>
          <w:szCs w:val="28"/>
        </w:rPr>
        <w:fldChar w:fldCharType="separate"/>
      </w:r>
      <w:r>
        <w:rPr>
          <w:rFonts w:hint="eastAsia" w:ascii="仿宋_GB2312" w:eastAsia="仿宋_GB2312"/>
          <w:snapToGrid w:val="0"/>
          <w:kern w:val="0"/>
          <w:sz w:val="28"/>
          <w:szCs w:val="28"/>
        </w:rPr>
        <w:t>④</w:t>
      </w:r>
      <w:r>
        <w:rPr>
          <w:rFonts w:hint="eastAsia" w:ascii="仿宋_GB2312" w:eastAsia="仿宋_GB2312"/>
          <w:snapToGrid w:val="0"/>
          <w:kern w:val="0"/>
          <w:sz w:val="28"/>
          <w:szCs w:val="28"/>
        </w:rPr>
        <w:fldChar w:fldCharType="end"/>
      </w:r>
      <w:r>
        <w:rPr>
          <w:rFonts w:hint="eastAsia" w:ascii="仿宋_GB2312" w:eastAsia="仿宋_GB2312"/>
          <w:snapToGrid w:val="0"/>
          <w:kern w:val="0"/>
          <w:sz w:val="28"/>
          <w:szCs w:val="28"/>
        </w:rPr>
        <w:t>缺乏流动性补偿率，根据估价人员调查行业相关情况，并结合估价人员专业分析，估价对象为通用性物业，在市场上能自由出售，处于活跃市场状态，无其他限制条件，考虑这些因素判定缺乏流动性补偿率为1.55%，详见下表B：</w:t>
      </w:r>
    </w:p>
    <w:tbl>
      <w:tblPr>
        <w:tblStyle w:val="45"/>
        <w:tblW w:w="99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7"/>
        <w:gridCol w:w="1753"/>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7" w:type="dxa"/>
            <w:vAlign w:val="center"/>
          </w:tcPr>
          <w:p>
            <w:pPr>
              <w:jc w:val="center"/>
              <w:rPr>
                <w:rFonts w:ascii="仿宋_GB2312" w:hAnsi="仿宋" w:eastAsia="仿宋_GB2312" w:cs="仿宋"/>
                <w:szCs w:val="21"/>
              </w:rPr>
            </w:pPr>
            <w:r>
              <w:rPr>
                <w:rFonts w:hint="eastAsia" w:ascii="仿宋_GB2312" w:hAnsi="仿宋" w:eastAsia="仿宋_GB2312" w:cs="仿宋"/>
                <w:b/>
                <w:bCs/>
                <w:szCs w:val="21"/>
              </w:rPr>
              <w:t>若房地产为通用性物业</w:t>
            </w:r>
          </w:p>
        </w:tc>
        <w:tc>
          <w:tcPr>
            <w:tcW w:w="1753" w:type="dxa"/>
            <w:vAlign w:val="center"/>
          </w:tcPr>
          <w:p>
            <w:pPr>
              <w:jc w:val="center"/>
              <w:rPr>
                <w:rFonts w:ascii="仿宋_GB2312" w:hAnsi="仿宋" w:eastAsia="仿宋_GB2312" w:cs="仿宋"/>
                <w:szCs w:val="21"/>
              </w:rPr>
            </w:pPr>
          </w:p>
        </w:tc>
        <w:tc>
          <w:tcPr>
            <w:tcW w:w="1313" w:type="dxa"/>
            <w:vAlign w:val="center"/>
          </w:tcPr>
          <w:p>
            <w:pPr>
              <w:jc w:val="center"/>
              <w:rPr>
                <w:rFonts w:ascii="仿宋_GB2312" w:hAnsi="仿宋" w:eastAsia="仿宋_GB2312" w:cs="仿宋"/>
                <w:szCs w:val="21"/>
              </w:rPr>
            </w:pPr>
            <w:r>
              <w:rPr>
                <w:rFonts w:hint="eastAsia" w:ascii="仿宋_GB2312" w:hAnsi="仿宋" w:eastAsia="仿宋_GB2312" w:cs="仿宋"/>
                <w:szCs w:val="21"/>
              </w:rPr>
              <w:t>判定状况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7" w:type="dxa"/>
            <w:vAlign w:val="center"/>
          </w:tcPr>
          <w:p>
            <w:pPr>
              <w:jc w:val="center"/>
              <w:rPr>
                <w:rFonts w:ascii="仿宋_GB2312" w:hAnsi="仿宋" w:eastAsia="仿宋_GB2312" w:cs="仿宋"/>
                <w:szCs w:val="21"/>
              </w:rPr>
            </w:pPr>
            <w:r>
              <w:rPr>
                <w:rFonts w:hint="eastAsia" w:ascii="仿宋_GB2312" w:hAnsi="仿宋" w:eastAsia="仿宋_GB2312" w:cs="仿宋"/>
                <w:szCs w:val="21"/>
              </w:rPr>
              <w:t>能自由出售，不受管制</w:t>
            </w:r>
          </w:p>
        </w:tc>
        <w:tc>
          <w:tcPr>
            <w:tcW w:w="1753" w:type="dxa"/>
            <w:vAlign w:val="center"/>
          </w:tcPr>
          <w:p>
            <w:pPr>
              <w:jc w:val="center"/>
              <w:rPr>
                <w:rFonts w:ascii="仿宋_GB2312" w:hAnsi="仿宋" w:eastAsia="仿宋_GB2312" w:cs="仿宋"/>
                <w:szCs w:val="21"/>
              </w:rPr>
            </w:pPr>
            <w:r>
              <w:rPr>
                <w:rFonts w:hint="eastAsia" w:ascii="仿宋_GB2312" w:hAnsi="仿宋" w:eastAsia="仿宋_GB2312" w:cs="仿宋"/>
                <w:szCs w:val="21"/>
              </w:rPr>
              <w:t>流动性最大</w:t>
            </w:r>
          </w:p>
        </w:tc>
        <w:tc>
          <w:tcPr>
            <w:tcW w:w="1313" w:type="dxa"/>
            <w:vMerge w:val="restart"/>
            <w:vAlign w:val="center"/>
          </w:tcPr>
          <w:p>
            <w:pPr>
              <w:jc w:val="center"/>
              <w:rPr>
                <w:rFonts w:ascii="仿宋_GB2312" w:hAnsi="仿宋" w:eastAsia="仿宋_GB2312" w:cs="仿宋"/>
                <w:szCs w:val="21"/>
              </w:rPr>
            </w:pPr>
            <w:r>
              <w:rPr>
                <w:rFonts w:hint="eastAsia" w:ascii="仿宋_GB2312" w:hAnsi="仿宋" w:eastAsia="仿宋_GB2312" w:cs="仿宋"/>
                <w:szCs w:val="21"/>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7" w:type="dxa"/>
            <w:vAlign w:val="center"/>
          </w:tcPr>
          <w:p>
            <w:pPr>
              <w:jc w:val="center"/>
              <w:rPr>
                <w:rFonts w:ascii="仿宋_GB2312" w:hAnsi="仿宋" w:eastAsia="仿宋_GB2312" w:cs="仿宋"/>
                <w:szCs w:val="21"/>
              </w:rPr>
            </w:pPr>
            <w:r>
              <w:rPr>
                <w:rFonts w:hint="eastAsia" w:ascii="仿宋_GB2312" w:hAnsi="仿宋" w:eastAsia="仿宋_GB2312" w:cs="仿宋"/>
                <w:szCs w:val="21"/>
              </w:rPr>
              <w:t>活跃市场</w:t>
            </w:r>
          </w:p>
        </w:tc>
        <w:tc>
          <w:tcPr>
            <w:tcW w:w="1753" w:type="dxa"/>
            <w:vMerge w:val="restart"/>
            <w:vAlign w:val="center"/>
          </w:tcPr>
          <w:p>
            <w:pPr>
              <w:jc w:val="center"/>
              <w:rPr>
                <w:rFonts w:ascii="仿宋_GB2312" w:hAnsi="Arial" w:eastAsia="仿宋_GB2312" w:cs="Arial"/>
                <w:szCs w:val="21"/>
              </w:rPr>
            </w:pPr>
          </w:p>
          <w:p>
            <w:pPr>
              <w:jc w:val="center"/>
              <w:rPr>
                <w:rFonts w:ascii="仿宋_GB2312" w:hAnsi="Arial" w:eastAsia="仿宋_GB2312" w:cs="Arial"/>
                <w:szCs w:val="21"/>
              </w:rPr>
            </w:pPr>
          </w:p>
          <w:p>
            <w:pPr>
              <w:jc w:val="center"/>
              <w:rPr>
                <w:rFonts w:ascii="仿宋_GB2312" w:hAnsi="Arial" w:eastAsia="仿宋_GB2312" w:cs="Arial"/>
                <w:szCs w:val="21"/>
              </w:rPr>
            </w:pPr>
          </w:p>
          <w:p>
            <w:pPr>
              <w:jc w:val="center"/>
              <w:rPr>
                <w:rFonts w:ascii="仿宋_GB2312" w:hAnsi="仿宋" w:eastAsia="仿宋_GB2312" w:cs="仿宋"/>
                <w:szCs w:val="21"/>
              </w:rPr>
            </w:pPr>
            <w:r>
              <w:rPr>
                <w:rFonts w:hint="eastAsia" w:ascii="仿宋_GB2312" w:hAnsi="仿宋" w:eastAsia="仿宋_GB2312" w:cs="仿宋"/>
                <w:szCs w:val="21"/>
              </w:rPr>
              <w:t>↑</w:t>
            </w:r>
          </w:p>
          <w:p>
            <w:pPr>
              <w:jc w:val="center"/>
              <w:rPr>
                <w:rFonts w:ascii="仿宋_GB2312" w:hAnsi="仿宋" w:eastAsia="仿宋_GB2312" w:cs="仿宋"/>
                <w:szCs w:val="21"/>
              </w:rPr>
            </w:pPr>
            <w:r>
              <w:rPr>
                <w:rFonts w:hint="eastAsia" w:ascii="仿宋_GB2312" w:hAnsi="仿宋" w:eastAsia="仿宋" w:cs="仿宋"/>
                <w:szCs w:val="21"/>
              </w:rPr>
              <w:t>∣</w:t>
            </w:r>
          </w:p>
          <w:p>
            <w:pPr>
              <w:jc w:val="center"/>
              <w:rPr>
                <w:rFonts w:ascii="仿宋_GB2312" w:hAnsi="仿宋" w:eastAsia="仿宋_GB2312" w:cs="仿宋"/>
                <w:szCs w:val="21"/>
              </w:rPr>
            </w:pPr>
            <w:r>
              <w:rPr>
                <w:rFonts w:hint="eastAsia" w:ascii="仿宋_GB2312" w:hAnsi="仿宋" w:eastAsia="仿宋" w:cs="仿宋"/>
                <w:szCs w:val="21"/>
              </w:rPr>
              <w:t>∣</w:t>
            </w:r>
          </w:p>
          <w:p>
            <w:pPr>
              <w:jc w:val="center"/>
              <w:rPr>
                <w:rFonts w:ascii="仿宋_GB2312" w:hAnsi="仿宋" w:eastAsia="仿宋_GB2312" w:cs="仿宋"/>
                <w:szCs w:val="21"/>
              </w:rPr>
            </w:pPr>
            <w:r>
              <w:rPr>
                <w:rFonts w:hint="eastAsia" w:ascii="仿宋_GB2312" w:hAnsi="仿宋" w:eastAsia="仿宋" w:cs="仿宋"/>
                <w:szCs w:val="21"/>
              </w:rPr>
              <w:t>∣</w:t>
            </w:r>
          </w:p>
          <w:p>
            <w:pPr>
              <w:jc w:val="center"/>
              <w:rPr>
                <w:rFonts w:ascii="仿宋_GB2312" w:hAnsi="仿宋" w:eastAsia="仿宋_GB2312" w:cs="仿宋"/>
                <w:szCs w:val="21"/>
              </w:rPr>
            </w:pPr>
            <w:r>
              <w:rPr>
                <w:rFonts w:hint="eastAsia" w:ascii="仿宋_GB2312" w:hAnsi="仿宋" w:eastAsia="仿宋" w:cs="仿宋"/>
                <w:szCs w:val="21"/>
              </w:rPr>
              <w:t>∣</w:t>
            </w:r>
          </w:p>
          <w:p>
            <w:pPr>
              <w:jc w:val="center"/>
              <w:rPr>
                <w:rFonts w:ascii="仿宋_GB2312" w:hAnsi="仿宋" w:eastAsia="仿宋_GB2312" w:cs="仿宋"/>
                <w:szCs w:val="21"/>
              </w:rPr>
            </w:pPr>
            <w:r>
              <w:rPr>
                <w:rFonts w:hint="eastAsia" w:ascii="仿宋_GB2312" w:hAnsi="仿宋" w:eastAsia="仿宋" w:cs="仿宋"/>
                <w:szCs w:val="21"/>
              </w:rPr>
              <w:t>∣</w:t>
            </w:r>
          </w:p>
          <w:p>
            <w:pPr>
              <w:jc w:val="center"/>
              <w:rPr>
                <w:rFonts w:ascii="仿宋_GB2312" w:hAnsi="仿宋" w:eastAsia="仿宋_GB2312" w:cs="仿宋"/>
                <w:szCs w:val="21"/>
              </w:rPr>
            </w:pPr>
            <w:r>
              <w:rPr>
                <w:rFonts w:hint="eastAsia" w:ascii="仿宋_GB2312" w:hAnsi="仿宋" w:eastAsia="仿宋" w:cs="仿宋"/>
                <w:szCs w:val="21"/>
              </w:rPr>
              <w:t>∣</w:t>
            </w:r>
          </w:p>
          <w:p>
            <w:pPr>
              <w:jc w:val="center"/>
              <w:rPr>
                <w:rFonts w:ascii="仿宋_GB2312" w:hAnsi="仿宋" w:eastAsia="仿宋_GB2312" w:cs="仿宋"/>
                <w:szCs w:val="21"/>
              </w:rPr>
            </w:pPr>
            <w:r>
              <w:rPr>
                <w:rFonts w:hint="eastAsia" w:ascii="仿宋_GB2312" w:hAnsi="仿宋" w:eastAsia="仿宋" w:cs="仿宋"/>
                <w:szCs w:val="21"/>
              </w:rPr>
              <w:t>∣</w:t>
            </w:r>
          </w:p>
          <w:p>
            <w:pPr>
              <w:jc w:val="center"/>
              <w:rPr>
                <w:rFonts w:ascii="仿宋_GB2312" w:hAnsi="仿宋" w:eastAsia="仿宋_GB2312" w:cs="仿宋"/>
                <w:szCs w:val="21"/>
              </w:rPr>
            </w:pPr>
            <w:r>
              <w:rPr>
                <w:rFonts w:hint="eastAsia" w:ascii="仿宋_GB2312" w:hAnsi="仿宋" w:eastAsia="仿宋" w:cs="仿宋"/>
                <w:szCs w:val="21"/>
              </w:rPr>
              <w:t>∣</w:t>
            </w:r>
          </w:p>
          <w:p>
            <w:pPr>
              <w:jc w:val="center"/>
              <w:rPr>
                <w:rFonts w:ascii="仿宋_GB2312" w:hAnsi="仿宋" w:eastAsia="仿宋_GB2312" w:cs="仿宋"/>
                <w:szCs w:val="21"/>
              </w:rPr>
            </w:pPr>
            <w:r>
              <w:rPr>
                <w:rFonts w:hint="eastAsia" w:ascii="仿宋_GB2312" w:hAnsi="仿宋" w:eastAsia="仿宋" w:cs="仿宋"/>
                <w:szCs w:val="21"/>
              </w:rPr>
              <w:t>∣</w:t>
            </w:r>
          </w:p>
          <w:p>
            <w:pPr>
              <w:jc w:val="center"/>
              <w:rPr>
                <w:rFonts w:ascii="仿宋_GB2312" w:hAnsi="仿宋" w:eastAsia="仿宋_GB2312" w:cs="仿宋"/>
                <w:szCs w:val="21"/>
              </w:rPr>
            </w:pPr>
            <w:r>
              <w:rPr>
                <w:rFonts w:hint="eastAsia" w:ascii="仿宋_GB2312" w:hAnsi="仿宋" w:eastAsia="仿宋" w:cs="仿宋"/>
                <w:szCs w:val="21"/>
              </w:rPr>
              <w:t>∣</w:t>
            </w:r>
          </w:p>
          <w:p>
            <w:pPr>
              <w:jc w:val="center"/>
              <w:rPr>
                <w:rFonts w:ascii="仿宋_GB2312" w:hAnsi="仿宋" w:eastAsia="仿宋_GB2312" w:cs="仿宋"/>
                <w:szCs w:val="21"/>
              </w:rPr>
            </w:pPr>
            <w:r>
              <w:rPr>
                <w:rFonts w:hint="eastAsia" w:ascii="仿宋_GB2312" w:hAnsi="仿宋" w:eastAsia="仿宋" w:cs="仿宋"/>
                <w:szCs w:val="21"/>
              </w:rPr>
              <w:t>∣</w:t>
            </w:r>
          </w:p>
          <w:p>
            <w:pPr>
              <w:jc w:val="center"/>
              <w:rPr>
                <w:rFonts w:ascii="仿宋_GB2312" w:hAnsi="仿宋" w:eastAsia="仿宋_GB2312" w:cs="仿宋"/>
                <w:szCs w:val="21"/>
              </w:rPr>
            </w:pPr>
            <w:r>
              <w:rPr>
                <w:rFonts w:hint="eastAsia" w:ascii="仿宋_GB2312" w:hAnsi="仿宋" w:eastAsia="仿宋" w:cs="仿宋"/>
                <w:szCs w:val="21"/>
              </w:rPr>
              <w:t>∣</w:t>
            </w:r>
          </w:p>
          <w:p>
            <w:pPr>
              <w:jc w:val="center"/>
              <w:rPr>
                <w:rFonts w:ascii="仿宋_GB2312" w:hAnsi="仿宋" w:eastAsia="仿宋_GB2312" w:cs="仿宋"/>
                <w:szCs w:val="21"/>
              </w:rPr>
            </w:pPr>
            <w:r>
              <w:rPr>
                <w:rFonts w:hint="eastAsia" w:ascii="仿宋_GB2312" w:hAnsi="仿宋" w:eastAsia="仿宋" w:cs="仿宋"/>
                <w:szCs w:val="21"/>
              </w:rPr>
              <w:t>∣</w:t>
            </w:r>
          </w:p>
          <w:p>
            <w:pPr>
              <w:jc w:val="center"/>
              <w:rPr>
                <w:rFonts w:ascii="仿宋_GB2312" w:hAnsi="仿宋" w:eastAsia="仿宋_GB2312" w:cs="仿宋"/>
                <w:szCs w:val="21"/>
              </w:rPr>
            </w:pPr>
            <w:r>
              <w:rPr>
                <w:rFonts w:hint="eastAsia" w:ascii="仿宋_GB2312" w:hAnsi="仿宋" w:eastAsia="仿宋_GB2312" w:cs="仿宋"/>
                <w:szCs w:val="21"/>
              </w:rPr>
              <w:t>↓</w:t>
            </w:r>
          </w:p>
        </w:tc>
        <w:tc>
          <w:tcPr>
            <w:tcW w:w="1313" w:type="dxa"/>
            <w:vMerge w:val="continue"/>
            <w:vAlign w:val="center"/>
          </w:tcPr>
          <w:p>
            <w:pPr>
              <w:jc w:val="center"/>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7" w:type="dxa"/>
            <w:vAlign w:val="center"/>
          </w:tcPr>
          <w:p>
            <w:pPr>
              <w:jc w:val="center"/>
              <w:rPr>
                <w:rFonts w:ascii="仿宋_GB2312" w:hAnsi="仿宋" w:eastAsia="仿宋_GB2312" w:cs="仿宋"/>
                <w:szCs w:val="21"/>
              </w:rPr>
            </w:pPr>
            <w:r>
              <w:rPr>
                <w:rFonts w:hint="eastAsia" w:ascii="仿宋_GB2312" w:hAnsi="仿宋" w:eastAsia="仿宋_GB2312" w:cs="仿宋"/>
                <w:szCs w:val="21"/>
              </w:rPr>
              <w:t>非活跃市场</w:t>
            </w:r>
          </w:p>
        </w:tc>
        <w:tc>
          <w:tcPr>
            <w:tcW w:w="1753" w:type="dxa"/>
            <w:vMerge w:val="continue"/>
            <w:vAlign w:val="center"/>
          </w:tcPr>
          <w:p>
            <w:pPr>
              <w:jc w:val="center"/>
              <w:rPr>
                <w:rFonts w:ascii="仿宋_GB2312" w:hAnsi="仿宋" w:eastAsia="仿宋_GB2312" w:cs="仿宋"/>
                <w:szCs w:val="21"/>
              </w:rPr>
            </w:pPr>
          </w:p>
        </w:tc>
        <w:tc>
          <w:tcPr>
            <w:tcW w:w="1313" w:type="dxa"/>
            <w:vMerge w:val="continue"/>
            <w:vAlign w:val="center"/>
          </w:tcPr>
          <w:p>
            <w:pPr>
              <w:jc w:val="center"/>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7" w:type="dxa"/>
            <w:vAlign w:val="center"/>
          </w:tcPr>
          <w:p>
            <w:pPr>
              <w:jc w:val="center"/>
              <w:rPr>
                <w:rFonts w:ascii="仿宋_GB2312" w:hAnsi="仿宋" w:eastAsia="仿宋_GB2312" w:cs="仿宋"/>
                <w:szCs w:val="21"/>
              </w:rPr>
            </w:pPr>
            <w:r>
              <w:rPr>
                <w:rFonts w:hint="eastAsia" w:ascii="仿宋_GB2312" w:hAnsi="仿宋" w:eastAsia="仿宋_GB2312" w:cs="仿宋"/>
                <w:szCs w:val="21"/>
              </w:rPr>
              <w:t>受限制性房地产，但有一定市场</w:t>
            </w:r>
          </w:p>
        </w:tc>
        <w:tc>
          <w:tcPr>
            <w:tcW w:w="1753" w:type="dxa"/>
            <w:vMerge w:val="continue"/>
            <w:vAlign w:val="center"/>
          </w:tcPr>
          <w:p>
            <w:pPr>
              <w:jc w:val="center"/>
              <w:rPr>
                <w:rFonts w:ascii="仿宋_GB2312" w:hAnsi="仿宋" w:eastAsia="仿宋_GB2312" w:cs="仿宋"/>
                <w:szCs w:val="21"/>
              </w:rPr>
            </w:pPr>
          </w:p>
        </w:tc>
        <w:tc>
          <w:tcPr>
            <w:tcW w:w="1313" w:type="dxa"/>
            <w:vMerge w:val="continue"/>
            <w:vAlign w:val="center"/>
          </w:tcPr>
          <w:p>
            <w:pPr>
              <w:jc w:val="center"/>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7" w:type="dxa"/>
            <w:vAlign w:val="center"/>
          </w:tcPr>
          <w:p>
            <w:pPr>
              <w:jc w:val="center"/>
              <w:rPr>
                <w:rFonts w:ascii="仿宋_GB2312" w:hAnsi="仿宋" w:eastAsia="仿宋_GB2312" w:cs="仿宋"/>
                <w:szCs w:val="21"/>
              </w:rPr>
            </w:pPr>
            <w:r>
              <w:rPr>
                <w:rFonts w:hint="eastAsia" w:ascii="仿宋_GB2312" w:hAnsi="仿宋" w:eastAsia="仿宋_GB2312" w:cs="仿宋"/>
                <w:szCs w:val="21"/>
              </w:rPr>
              <w:t>活跃市场</w:t>
            </w:r>
          </w:p>
        </w:tc>
        <w:tc>
          <w:tcPr>
            <w:tcW w:w="1753" w:type="dxa"/>
            <w:vMerge w:val="continue"/>
            <w:vAlign w:val="center"/>
          </w:tcPr>
          <w:p>
            <w:pPr>
              <w:jc w:val="center"/>
              <w:rPr>
                <w:rFonts w:ascii="仿宋_GB2312" w:hAnsi="仿宋" w:eastAsia="仿宋_GB2312" w:cs="仿宋"/>
                <w:szCs w:val="21"/>
              </w:rPr>
            </w:pPr>
          </w:p>
        </w:tc>
        <w:tc>
          <w:tcPr>
            <w:tcW w:w="1313" w:type="dxa"/>
            <w:vMerge w:val="continue"/>
            <w:vAlign w:val="center"/>
          </w:tcPr>
          <w:p>
            <w:pPr>
              <w:jc w:val="center"/>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7" w:type="dxa"/>
            <w:vAlign w:val="center"/>
          </w:tcPr>
          <w:p>
            <w:pPr>
              <w:jc w:val="center"/>
              <w:rPr>
                <w:rFonts w:ascii="仿宋_GB2312" w:hAnsi="仿宋" w:eastAsia="仿宋_GB2312" w:cs="仿宋"/>
                <w:szCs w:val="21"/>
              </w:rPr>
            </w:pPr>
            <w:r>
              <w:rPr>
                <w:rFonts w:hint="eastAsia" w:ascii="仿宋_GB2312" w:hAnsi="仿宋" w:eastAsia="仿宋_GB2312" w:cs="仿宋"/>
                <w:szCs w:val="21"/>
              </w:rPr>
              <w:t>非活跃市场</w:t>
            </w:r>
          </w:p>
        </w:tc>
        <w:tc>
          <w:tcPr>
            <w:tcW w:w="1753" w:type="dxa"/>
            <w:vMerge w:val="continue"/>
            <w:vAlign w:val="center"/>
          </w:tcPr>
          <w:p>
            <w:pPr>
              <w:jc w:val="center"/>
              <w:rPr>
                <w:rFonts w:ascii="仿宋_GB2312" w:hAnsi="仿宋" w:eastAsia="仿宋_GB2312" w:cs="仿宋"/>
                <w:szCs w:val="21"/>
              </w:rPr>
            </w:pPr>
          </w:p>
        </w:tc>
        <w:tc>
          <w:tcPr>
            <w:tcW w:w="1313" w:type="dxa"/>
            <w:vMerge w:val="continue"/>
            <w:vAlign w:val="center"/>
          </w:tcPr>
          <w:p>
            <w:pPr>
              <w:jc w:val="center"/>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7" w:type="dxa"/>
            <w:vAlign w:val="center"/>
          </w:tcPr>
          <w:p>
            <w:pPr>
              <w:jc w:val="center"/>
              <w:rPr>
                <w:rFonts w:ascii="仿宋_GB2312" w:hAnsi="仿宋" w:eastAsia="仿宋_GB2312" w:cs="仿宋"/>
                <w:szCs w:val="21"/>
              </w:rPr>
            </w:pPr>
            <w:r>
              <w:rPr>
                <w:rFonts w:hint="eastAsia" w:ascii="仿宋_GB2312" w:hAnsi="仿宋" w:eastAsia="仿宋_GB2312" w:cs="仿宋"/>
                <w:b/>
                <w:bCs/>
                <w:szCs w:val="21"/>
              </w:rPr>
              <w:t>若房地产为专业性物业</w:t>
            </w:r>
          </w:p>
        </w:tc>
        <w:tc>
          <w:tcPr>
            <w:tcW w:w="1753" w:type="dxa"/>
            <w:vMerge w:val="continue"/>
            <w:vAlign w:val="center"/>
          </w:tcPr>
          <w:p>
            <w:pPr>
              <w:jc w:val="center"/>
              <w:rPr>
                <w:rFonts w:ascii="仿宋_GB2312" w:hAnsi="仿宋" w:eastAsia="仿宋_GB2312" w:cs="仿宋"/>
                <w:szCs w:val="21"/>
              </w:rPr>
            </w:pPr>
          </w:p>
        </w:tc>
        <w:tc>
          <w:tcPr>
            <w:tcW w:w="1313" w:type="dxa"/>
            <w:vMerge w:val="continue"/>
            <w:vAlign w:val="center"/>
          </w:tcPr>
          <w:p>
            <w:pPr>
              <w:jc w:val="center"/>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7" w:type="dxa"/>
            <w:vAlign w:val="center"/>
          </w:tcPr>
          <w:p>
            <w:pPr>
              <w:jc w:val="center"/>
              <w:rPr>
                <w:rFonts w:ascii="仿宋_GB2312" w:hAnsi="仿宋" w:eastAsia="仿宋_GB2312" w:cs="仿宋"/>
                <w:szCs w:val="21"/>
              </w:rPr>
            </w:pPr>
            <w:r>
              <w:rPr>
                <w:rFonts w:hint="eastAsia" w:ascii="仿宋_GB2312" w:hAnsi="仿宋" w:eastAsia="仿宋_GB2312" w:cs="仿宋"/>
                <w:szCs w:val="21"/>
              </w:rPr>
              <w:t>能自由出售，不受管制</w:t>
            </w:r>
          </w:p>
        </w:tc>
        <w:tc>
          <w:tcPr>
            <w:tcW w:w="1753" w:type="dxa"/>
            <w:vMerge w:val="continue"/>
            <w:vAlign w:val="center"/>
          </w:tcPr>
          <w:p>
            <w:pPr>
              <w:jc w:val="center"/>
              <w:rPr>
                <w:rFonts w:ascii="仿宋_GB2312" w:hAnsi="仿宋" w:eastAsia="仿宋_GB2312" w:cs="仿宋"/>
                <w:szCs w:val="21"/>
              </w:rPr>
            </w:pPr>
          </w:p>
        </w:tc>
        <w:tc>
          <w:tcPr>
            <w:tcW w:w="1313" w:type="dxa"/>
            <w:vMerge w:val="continue"/>
            <w:vAlign w:val="center"/>
          </w:tcPr>
          <w:p>
            <w:pPr>
              <w:jc w:val="center"/>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7" w:type="dxa"/>
            <w:vAlign w:val="center"/>
          </w:tcPr>
          <w:p>
            <w:pPr>
              <w:jc w:val="center"/>
              <w:rPr>
                <w:rFonts w:ascii="仿宋_GB2312" w:hAnsi="仿宋" w:eastAsia="仿宋_GB2312" w:cs="仿宋"/>
                <w:szCs w:val="21"/>
              </w:rPr>
            </w:pPr>
            <w:r>
              <w:rPr>
                <w:rFonts w:hint="eastAsia" w:ascii="仿宋_GB2312" w:hAnsi="仿宋" w:eastAsia="仿宋_GB2312" w:cs="仿宋"/>
                <w:szCs w:val="21"/>
              </w:rPr>
              <w:t>有市场证据：</w:t>
            </w:r>
          </w:p>
        </w:tc>
        <w:tc>
          <w:tcPr>
            <w:tcW w:w="1753" w:type="dxa"/>
            <w:vMerge w:val="continue"/>
            <w:vAlign w:val="center"/>
          </w:tcPr>
          <w:p>
            <w:pPr>
              <w:jc w:val="center"/>
              <w:rPr>
                <w:rFonts w:ascii="仿宋_GB2312" w:hAnsi="仿宋" w:eastAsia="仿宋_GB2312" w:cs="仿宋"/>
                <w:szCs w:val="21"/>
              </w:rPr>
            </w:pPr>
          </w:p>
        </w:tc>
        <w:tc>
          <w:tcPr>
            <w:tcW w:w="1313" w:type="dxa"/>
            <w:vMerge w:val="continue"/>
            <w:vAlign w:val="center"/>
          </w:tcPr>
          <w:p>
            <w:pPr>
              <w:jc w:val="center"/>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7" w:type="dxa"/>
            <w:vAlign w:val="center"/>
          </w:tcPr>
          <w:p>
            <w:pPr>
              <w:jc w:val="center"/>
              <w:rPr>
                <w:rFonts w:ascii="仿宋_GB2312" w:hAnsi="仿宋" w:eastAsia="仿宋_GB2312" w:cs="仿宋"/>
                <w:szCs w:val="21"/>
              </w:rPr>
            </w:pPr>
            <w:r>
              <w:rPr>
                <w:rFonts w:hint="eastAsia" w:ascii="仿宋_GB2312" w:hAnsi="仿宋" w:eastAsia="仿宋_GB2312" w:cs="仿宋"/>
                <w:szCs w:val="21"/>
              </w:rPr>
              <w:t>具有意义的替代数据（租金、成本、造价等）</w:t>
            </w:r>
          </w:p>
        </w:tc>
        <w:tc>
          <w:tcPr>
            <w:tcW w:w="1753" w:type="dxa"/>
            <w:vMerge w:val="continue"/>
            <w:vAlign w:val="center"/>
          </w:tcPr>
          <w:p>
            <w:pPr>
              <w:jc w:val="center"/>
              <w:rPr>
                <w:rFonts w:ascii="仿宋_GB2312" w:hAnsi="仿宋" w:eastAsia="仿宋_GB2312" w:cs="仿宋"/>
                <w:szCs w:val="21"/>
              </w:rPr>
            </w:pPr>
          </w:p>
        </w:tc>
        <w:tc>
          <w:tcPr>
            <w:tcW w:w="1313" w:type="dxa"/>
            <w:vMerge w:val="continue"/>
            <w:vAlign w:val="center"/>
          </w:tcPr>
          <w:p>
            <w:pPr>
              <w:jc w:val="center"/>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7" w:type="dxa"/>
            <w:vAlign w:val="center"/>
          </w:tcPr>
          <w:p>
            <w:pPr>
              <w:jc w:val="center"/>
              <w:rPr>
                <w:rFonts w:ascii="仿宋_GB2312" w:hAnsi="仿宋" w:eastAsia="仿宋_GB2312" w:cs="仿宋"/>
                <w:szCs w:val="21"/>
              </w:rPr>
            </w:pPr>
            <w:r>
              <w:rPr>
                <w:rFonts w:hint="eastAsia" w:ascii="仿宋_GB2312" w:hAnsi="仿宋" w:eastAsia="仿宋_GB2312" w:cs="仿宋"/>
                <w:szCs w:val="21"/>
              </w:rPr>
              <w:t>无替代数据（租金、成本、造价等）</w:t>
            </w:r>
          </w:p>
        </w:tc>
        <w:tc>
          <w:tcPr>
            <w:tcW w:w="1753" w:type="dxa"/>
            <w:vMerge w:val="continue"/>
            <w:vAlign w:val="center"/>
          </w:tcPr>
          <w:p>
            <w:pPr>
              <w:jc w:val="center"/>
              <w:rPr>
                <w:rFonts w:ascii="仿宋_GB2312" w:hAnsi="仿宋" w:eastAsia="仿宋_GB2312" w:cs="仿宋"/>
                <w:szCs w:val="21"/>
              </w:rPr>
            </w:pPr>
          </w:p>
        </w:tc>
        <w:tc>
          <w:tcPr>
            <w:tcW w:w="1313" w:type="dxa"/>
            <w:vMerge w:val="continue"/>
            <w:vAlign w:val="center"/>
          </w:tcPr>
          <w:p>
            <w:pPr>
              <w:jc w:val="center"/>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7" w:type="dxa"/>
            <w:vAlign w:val="center"/>
          </w:tcPr>
          <w:p>
            <w:pPr>
              <w:jc w:val="center"/>
              <w:rPr>
                <w:rFonts w:ascii="仿宋_GB2312" w:hAnsi="仿宋" w:eastAsia="仿宋_GB2312" w:cs="仿宋"/>
                <w:szCs w:val="21"/>
              </w:rPr>
            </w:pPr>
            <w:r>
              <w:rPr>
                <w:rFonts w:hint="eastAsia" w:ascii="仿宋_GB2312" w:hAnsi="仿宋" w:eastAsia="仿宋_GB2312" w:cs="仿宋"/>
                <w:szCs w:val="21"/>
              </w:rPr>
              <w:t>无市场证据：</w:t>
            </w:r>
          </w:p>
        </w:tc>
        <w:tc>
          <w:tcPr>
            <w:tcW w:w="1753" w:type="dxa"/>
            <w:vMerge w:val="continue"/>
            <w:vAlign w:val="center"/>
          </w:tcPr>
          <w:p>
            <w:pPr>
              <w:jc w:val="center"/>
              <w:rPr>
                <w:rFonts w:ascii="仿宋_GB2312" w:hAnsi="仿宋" w:eastAsia="仿宋_GB2312" w:cs="仿宋"/>
                <w:szCs w:val="21"/>
              </w:rPr>
            </w:pPr>
          </w:p>
        </w:tc>
        <w:tc>
          <w:tcPr>
            <w:tcW w:w="1313" w:type="dxa"/>
            <w:vMerge w:val="continue"/>
            <w:vAlign w:val="center"/>
          </w:tcPr>
          <w:p>
            <w:pPr>
              <w:jc w:val="center"/>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7" w:type="dxa"/>
            <w:vAlign w:val="center"/>
          </w:tcPr>
          <w:p>
            <w:pPr>
              <w:jc w:val="center"/>
              <w:rPr>
                <w:rFonts w:ascii="仿宋_GB2312" w:hAnsi="仿宋" w:eastAsia="仿宋_GB2312" w:cs="仿宋"/>
                <w:szCs w:val="21"/>
              </w:rPr>
            </w:pPr>
            <w:r>
              <w:rPr>
                <w:rFonts w:hint="eastAsia" w:ascii="仿宋_GB2312" w:hAnsi="仿宋" w:eastAsia="仿宋_GB2312" w:cs="仿宋"/>
                <w:szCs w:val="21"/>
              </w:rPr>
              <w:t>具有意义的替代数据（租金、成本、造价等）</w:t>
            </w:r>
          </w:p>
        </w:tc>
        <w:tc>
          <w:tcPr>
            <w:tcW w:w="1753" w:type="dxa"/>
            <w:vMerge w:val="continue"/>
            <w:vAlign w:val="center"/>
          </w:tcPr>
          <w:p>
            <w:pPr>
              <w:jc w:val="center"/>
              <w:rPr>
                <w:rFonts w:ascii="仿宋_GB2312" w:hAnsi="仿宋" w:eastAsia="仿宋_GB2312" w:cs="仿宋"/>
                <w:szCs w:val="21"/>
              </w:rPr>
            </w:pPr>
          </w:p>
        </w:tc>
        <w:tc>
          <w:tcPr>
            <w:tcW w:w="1313" w:type="dxa"/>
            <w:vMerge w:val="continue"/>
            <w:vAlign w:val="center"/>
          </w:tcPr>
          <w:p>
            <w:pPr>
              <w:jc w:val="center"/>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7" w:type="dxa"/>
            <w:vAlign w:val="center"/>
          </w:tcPr>
          <w:p>
            <w:pPr>
              <w:jc w:val="center"/>
              <w:rPr>
                <w:rFonts w:ascii="仿宋_GB2312" w:hAnsi="仿宋" w:eastAsia="仿宋_GB2312" w:cs="仿宋"/>
                <w:szCs w:val="21"/>
              </w:rPr>
            </w:pPr>
            <w:r>
              <w:rPr>
                <w:rFonts w:hint="eastAsia" w:ascii="仿宋_GB2312" w:hAnsi="仿宋" w:eastAsia="仿宋_GB2312" w:cs="仿宋"/>
                <w:szCs w:val="21"/>
              </w:rPr>
              <w:t>无替代数据（租金、成本、造价等）</w:t>
            </w:r>
          </w:p>
        </w:tc>
        <w:tc>
          <w:tcPr>
            <w:tcW w:w="1753" w:type="dxa"/>
            <w:vMerge w:val="continue"/>
            <w:vAlign w:val="center"/>
          </w:tcPr>
          <w:p>
            <w:pPr>
              <w:jc w:val="center"/>
              <w:rPr>
                <w:rFonts w:ascii="仿宋_GB2312" w:hAnsi="仿宋" w:eastAsia="仿宋_GB2312" w:cs="仿宋"/>
                <w:szCs w:val="21"/>
              </w:rPr>
            </w:pPr>
          </w:p>
        </w:tc>
        <w:tc>
          <w:tcPr>
            <w:tcW w:w="1313" w:type="dxa"/>
            <w:vMerge w:val="continue"/>
            <w:vAlign w:val="center"/>
          </w:tcPr>
          <w:p>
            <w:pPr>
              <w:jc w:val="center"/>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7" w:type="dxa"/>
            <w:vAlign w:val="center"/>
          </w:tcPr>
          <w:p>
            <w:pPr>
              <w:jc w:val="center"/>
              <w:rPr>
                <w:rFonts w:ascii="仿宋_GB2312" w:hAnsi="仿宋" w:eastAsia="仿宋_GB2312" w:cs="仿宋"/>
                <w:szCs w:val="21"/>
              </w:rPr>
            </w:pPr>
            <w:r>
              <w:rPr>
                <w:rFonts w:hint="eastAsia" w:ascii="仿宋_GB2312" w:hAnsi="仿宋" w:eastAsia="仿宋_GB2312" w:cs="仿宋"/>
                <w:szCs w:val="21"/>
              </w:rPr>
              <w:t>受管制，不能自由出售</w:t>
            </w:r>
          </w:p>
        </w:tc>
        <w:tc>
          <w:tcPr>
            <w:tcW w:w="1753" w:type="dxa"/>
            <w:vMerge w:val="continue"/>
            <w:vAlign w:val="center"/>
          </w:tcPr>
          <w:p>
            <w:pPr>
              <w:jc w:val="center"/>
              <w:rPr>
                <w:rFonts w:ascii="仿宋_GB2312" w:hAnsi="仿宋" w:eastAsia="仿宋_GB2312" w:cs="仿宋"/>
                <w:szCs w:val="21"/>
              </w:rPr>
            </w:pPr>
          </w:p>
        </w:tc>
        <w:tc>
          <w:tcPr>
            <w:tcW w:w="1313" w:type="dxa"/>
            <w:vMerge w:val="continue"/>
            <w:vAlign w:val="center"/>
          </w:tcPr>
          <w:p>
            <w:pPr>
              <w:jc w:val="center"/>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7" w:type="dxa"/>
            <w:vAlign w:val="center"/>
          </w:tcPr>
          <w:p>
            <w:pPr>
              <w:jc w:val="center"/>
              <w:rPr>
                <w:rFonts w:ascii="仿宋_GB2312" w:hAnsi="仿宋" w:eastAsia="仿宋_GB2312" w:cs="仿宋"/>
                <w:szCs w:val="21"/>
              </w:rPr>
            </w:pPr>
            <w:r>
              <w:rPr>
                <w:rFonts w:hint="eastAsia" w:ascii="仿宋_GB2312" w:hAnsi="仿宋" w:eastAsia="仿宋_GB2312" w:cs="仿宋"/>
                <w:szCs w:val="21"/>
              </w:rPr>
              <w:t>有市场证据：</w:t>
            </w:r>
          </w:p>
        </w:tc>
        <w:tc>
          <w:tcPr>
            <w:tcW w:w="1753" w:type="dxa"/>
            <w:vMerge w:val="continue"/>
            <w:vAlign w:val="center"/>
          </w:tcPr>
          <w:p>
            <w:pPr>
              <w:jc w:val="center"/>
              <w:rPr>
                <w:rFonts w:ascii="仿宋_GB2312" w:hAnsi="仿宋" w:eastAsia="仿宋_GB2312" w:cs="仿宋"/>
                <w:szCs w:val="21"/>
              </w:rPr>
            </w:pPr>
          </w:p>
        </w:tc>
        <w:tc>
          <w:tcPr>
            <w:tcW w:w="1313" w:type="dxa"/>
            <w:vMerge w:val="continue"/>
            <w:vAlign w:val="center"/>
          </w:tcPr>
          <w:p>
            <w:pPr>
              <w:jc w:val="center"/>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7" w:type="dxa"/>
            <w:vAlign w:val="center"/>
          </w:tcPr>
          <w:p>
            <w:pPr>
              <w:jc w:val="center"/>
              <w:rPr>
                <w:rFonts w:ascii="仿宋_GB2312" w:hAnsi="仿宋" w:eastAsia="仿宋_GB2312" w:cs="仿宋"/>
                <w:szCs w:val="21"/>
              </w:rPr>
            </w:pPr>
            <w:r>
              <w:rPr>
                <w:rFonts w:hint="eastAsia" w:ascii="仿宋_GB2312" w:hAnsi="仿宋" w:eastAsia="仿宋_GB2312" w:cs="仿宋"/>
                <w:szCs w:val="21"/>
              </w:rPr>
              <w:t>具有意义的替代数据（租金、成本、造价等）</w:t>
            </w:r>
          </w:p>
        </w:tc>
        <w:tc>
          <w:tcPr>
            <w:tcW w:w="1753" w:type="dxa"/>
            <w:vMerge w:val="continue"/>
            <w:vAlign w:val="center"/>
          </w:tcPr>
          <w:p>
            <w:pPr>
              <w:jc w:val="center"/>
              <w:rPr>
                <w:rFonts w:ascii="仿宋_GB2312" w:hAnsi="仿宋" w:eastAsia="仿宋_GB2312" w:cs="仿宋"/>
                <w:szCs w:val="21"/>
              </w:rPr>
            </w:pPr>
          </w:p>
        </w:tc>
        <w:tc>
          <w:tcPr>
            <w:tcW w:w="1313" w:type="dxa"/>
            <w:vMerge w:val="continue"/>
            <w:vAlign w:val="center"/>
          </w:tcPr>
          <w:p>
            <w:pPr>
              <w:jc w:val="center"/>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7" w:type="dxa"/>
            <w:vAlign w:val="center"/>
          </w:tcPr>
          <w:p>
            <w:pPr>
              <w:jc w:val="center"/>
              <w:rPr>
                <w:rFonts w:ascii="仿宋_GB2312" w:hAnsi="仿宋" w:eastAsia="仿宋_GB2312" w:cs="仿宋"/>
                <w:szCs w:val="21"/>
              </w:rPr>
            </w:pPr>
            <w:r>
              <w:rPr>
                <w:rFonts w:hint="eastAsia" w:ascii="仿宋_GB2312" w:hAnsi="仿宋" w:eastAsia="仿宋_GB2312" w:cs="仿宋"/>
                <w:szCs w:val="21"/>
              </w:rPr>
              <w:t>无替代数据（租金、成本、造价等）</w:t>
            </w:r>
          </w:p>
        </w:tc>
        <w:tc>
          <w:tcPr>
            <w:tcW w:w="1753" w:type="dxa"/>
            <w:vMerge w:val="continue"/>
            <w:vAlign w:val="center"/>
          </w:tcPr>
          <w:p>
            <w:pPr>
              <w:jc w:val="center"/>
              <w:rPr>
                <w:rFonts w:ascii="仿宋_GB2312" w:hAnsi="仿宋" w:eastAsia="仿宋_GB2312" w:cs="仿宋"/>
                <w:szCs w:val="21"/>
              </w:rPr>
            </w:pPr>
          </w:p>
        </w:tc>
        <w:tc>
          <w:tcPr>
            <w:tcW w:w="1313" w:type="dxa"/>
            <w:vMerge w:val="continue"/>
            <w:vAlign w:val="center"/>
          </w:tcPr>
          <w:p>
            <w:pPr>
              <w:jc w:val="center"/>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7" w:type="dxa"/>
            <w:vAlign w:val="center"/>
          </w:tcPr>
          <w:p>
            <w:pPr>
              <w:jc w:val="center"/>
              <w:rPr>
                <w:rFonts w:ascii="仿宋_GB2312" w:hAnsi="仿宋" w:eastAsia="仿宋_GB2312" w:cs="仿宋"/>
                <w:szCs w:val="21"/>
              </w:rPr>
            </w:pPr>
            <w:r>
              <w:rPr>
                <w:rFonts w:hint="eastAsia" w:ascii="仿宋_GB2312" w:hAnsi="仿宋" w:eastAsia="仿宋_GB2312" w:cs="仿宋"/>
                <w:szCs w:val="21"/>
              </w:rPr>
              <w:t>无市场证据：</w:t>
            </w:r>
          </w:p>
        </w:tc>
        <w:tc>
          <w:tcPr>
            <w:tcW w:w="1753" w:type="dxa"/>
            <w:vMerge w:val="continue"/>
            <w:vAlign w:val="center"/>
          </w:tcPr>
          <w:p>
            <w:pPr>
              <w:jc w:val="center"/>
              <w:rPr>
                <w:rFonts w:ascii="仿宋_GB2312" w:hAnsi="仿宋" w:eastAsia="仿宋_GB2312" w:cs="仿宋"/>
                <w:szCs w:val="21"/>
              </w:rPr>
            </w:pPr>
          </w:p>
        </w:tc>
        <w:tc>
          <w:tcPr>
            <w:tcW w:w="1313" w:type="dxa"/>
            <w:vMerge w:val="continue"/>
            <w:vAlign w:val="center"/>
          </w:tcPr>
          <w:p>
            <w:pPr>
              <w:jc w:val="center"/>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7" w:type="dxa"/>
            <w:vAlign w:val="center"/>
          </w:tcPr>
          <w:p>
            <w:pPr>
              <w:jc w:val="center"/>
              <w:rPr>
                <w:rFonts w:ascii="仿宋_GB2312" w:hAnsi="仿宋" w:eastAsia="仿宋_GB2312" w:cs="仿宋"/>
                <w:szCs w:val="21"/>
              </w:rPr>
            </w:pPr>
            <w:r>
              <w:rPr>
                <w:rFonts w:hint="eastAsia" w:ascii="仿宋_GB2312" w:hAnsi="仿宋" w:eastAsia="仿宋_GB2312" w:cs="仿宋"/>
                <w:szCs w:val="21"/>
              </w:rPr>
              <w:t>具有意义的替代数据（租金、成本、造价等）</w:t>
            </w:r>
          </w:p>
        </w:tc>
        <w:tc>
          <w:tcPr>
            <w:tcW w:w="1753" w:type="dxa"/>
            <w:vMerge w:val="continue"/>
            <w:vAlign w:val="center"/>
          </w:tcPr>
          <w:p>
            <w:pPr>
              <w:jc w:val="center"/>
              <w:rPr>
                <w:rFonts w:ascii="仿宋_GB2312" w:hAnsi="仿宋" w:eastAsia="仿宋_GB2312" w:cs="仿宋"/>
                <w:szCs w:val="21"/>
              </w:rPr>
            </w:pPr>
          </w:p>
        </w:tc>
        <w:tc>
          <w:tcPr>
            <w:tcW w:w="1313" w:type="dxa"/>
            <w:vMerge w:val="continue"/>
            <w:vAlign w:val="center"/>
          </w:tcPr>
          <w:p>
            <w:pPr>
              <w:jc w:val="center"/>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7" w:type="dxa"/>
            <w:vAlign w:val="center"/>
          </w:tcPr>
          <w:p>
            <w:pPr>
              <w:jc w:val="center"/>
              <w:rPr>
                <w:rFonts w:ascii="仿宋_GB2312" w:hAnsi="仿宋" w:eastAsia="仿宋_GB2312" w:cs="仿宋"/>
                <w:szCs w:val="21"/>
              </w:rPr>
            </w:pPr>
            <w:r>
              <w:rPr>
                <w:rFonts w:hint="eastAsia" w:ascii="仿宋_GB2312" w:hAnsi="仿宋" w:eastAsia="仿宋_GB2312" w:cs="仿宋"/>
                <w:szCs w:val="21"/>
              </w:rPr>
              <w:t>无替代数据（租金、成本、造价等）</w:t>
            </w:r>
          </w:p>
        </w:tc>
        <w:tc>
          <w:tcPr>
            <w:tcW w:w="1753" w:type="dxa"/>
            <w:vMerge w:val="continue"/>
            <w:vAlign w:val="center"/>
          </w:tcPr>
          <w:p>
            <w:pPr>
              <w:jc w:val="center"/>
              <w:rPr>
                <w:rFonts w:ascii="仿宋_GB2312" w:hAnsi="仿宋" w:eastAsia="仿宋_GB2312" w:cs="仿宋"/>
                <w:szCs w:val="21"/>
              </w:rPr>
            </w:pPr>
          </w:p>
        </w:tc>
        <w:tc>
          <w:tcPr>
            <w:tcW w:w="1313" w:type="dxa"/>
            <w:vMerge w:val="continue"/>
            <w:vAlign w:val="center"/>
          </w:tcPr>
          <w:p>
            <w:pPr>
              <w:jc w:val="center"/>
              <w:rPr>
                <w:rFonts w:ascii="仿宋_GB2312" w:hAnsi="仿宋" w:eastAsia="仿宋_GB2312"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97" w:type="dxa"/>
            <w:vAlign w:val="center"/>
          </w:tcPr>
          <w:p>
            <w:pPr>
              <w:jc w:val="center"/>
              <w:rPr>
                <w:rFonts w:ascii="仿宋_GB2312" w:hAnsi="仿宋" w:eastAsia="仿宋_GB2312" w:cs="仿宋"/>
                <w:szCs w:val="21"/>
              </w:rPr>
            </w:pPr>
          </w:p>
        </w:tc>
        <w:tc>
          <w:tcPr>
            <w:tcW w:w="1753" w:type="dxa"/>
            <w:vAlign w:val="center"/>
          </w:tcPr>
          <w:p>
            <w:pPr>
              <w:jc w:val="center"/>
              <w:rPr>
                <w:rFonts w:ascii="仿宋_GB2312" w:hAnsi="仿宋" w:eastAsia="仿宋_GB2312" w:cs="仿宋"/>
                <w:szCs w:val="21"/>
              </w:rPr>
            </w:pPr>
            <w:r>
              <w:rPr>
                <w:rFonts w:hint="eastAsia" w:ascii="仿宋_GB2312" w:hAnsi="仿宋" w:eastAsia="仿宋_GB2312" w:cs="仿宋"/>
                <w:szCs w:val="21"/>
              </w:rPr>
              <w:t>价值</w:t>
            </w:r>
          </w:p>
          <w:p>
            <w:pPr>
              <w:jc w:val="center"/>
              <w:rPr>
                <w:rFonts w:ascii="仿宋_GB2312" w:hAnsi="仿宋" w:eastAsia="仿宋_GB2312" w:cs="仿宋"/>
                <w:szCs w:val="21"/>
              </w:rPr>
            </w:pPr>
            <w:r>
              <w:rPr>
                <w:rFonts w:hint="eastAsia" w:ascii="仿宋_GB2312" w:hAnsi="仿宋" w:eastAsia="仿宋_GB2312" w:cs="仿宋"/>
                <w:szCs w:val="21"/>
              </w:rPr>
              <w:t>最受影响</w:t>
            </w:r>
          </w:p>
        </w:tc>
        <w:tc>
          <w:tcPr>
            <w:tcW w:w="1313" w:type="dxa"/>
            <w:vMerge w:val="continue"/>
            <w:vAlign w:val="center"/>
          </w:tcPr>
          <w:p>
            <w:pPr>
              <w:jc w:val="center"/>
              <w:rPr>
                <w:rFonts w:ascii="仿宋_GB2312" w:hAnsi="仿宋" w:eastAsia="仿宋_GB2312" w:cs="仿宋"/>
                <w:szCs w:val="21"/>
              </w:rPr>
            </w:pPr>
          </w:p>
        </w:tc>
      </w:tr>
    </w:tbl>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fldChar w:fldCharType="begin"/>
      </w:r>
      <w:r>
        <w:rPr>
          <w:rFonts w:hint="eastAsia" w:ascii="仿宋_GB2312" w:eastAsia="仿宋_GB2312"/>
          <w:snapToGrid w:val="0"/>
          <w:kern w:val="0"/>
          <w:sz w:val="28"/>
          <w:szCs w:val="28"/>
        </w:rPr>
        <w:instrText xml:space="preserve"> = 5 \* GB3 \* MERGEFORMAT </w:instrText>
      </w:r>
      <w:r>
        <w:rPr>
          <w:rFonts w:hint="eastAsia" w:ascii="仿宋_GB2312" w:eastAsia="仿宋_GB2312"/>
          <w:snapToGrid w:val="0"/>
          <w:kern w:val="0"/>
          <w:sz w:val="28"/>
          <w:szCs w:val="28"/>
        </w:rPr>
        <w:fldChar w:fldCharType="separate"/>
      </w:r>
      <w:r>
        <w:rPr>
          <w:rFonts w:hint="eastAsia" w:ascii="仿宋_GB2312" w:eastAsia="仿宋_GB2312"/>
          <w:snapToGrid w:val="0"/>
          <w:kern w:val="0"/>
          <w:sz w:val="28"/>
          <w:szCs w:val="28"/>
        </w:rPr>
        <w:t>⑤</w:t>
      </w:r>
      <w:r>
        <w:rPr>
          <w:rFonts w:hint="eastAsia" w:ascii="仿宋_GB2312" w:eastAsia="仿宋_GB2312"/>
          <w:snapToGrid w:val="0"/>
          <w:kern w:val="0"/>
          <w:sz w:val="28"/>
          <w:szCs w:val="28"/>
        </w:rPr>
        <w:fldChar w:fldCharType="end"/>
      </w:r>
      <w:r>
        <w:rPr>
          <w:rFonts w:hint="eastAsia" w:ascii="仿宋_GB2312" w:eastAsia="仿宋_GB2312"/>
          <w:snapToGrid w:val="0"/>
          <w:kern w:val="0"/>
          <w:sz w:val="28"/>
          <w:szCs w:val="28"/>
        </w:rPr>
        <w:t>投资带来的优惠率，易于获得融资的优惠率，根据估价人员调查行业相关情况，并结合估价人员的专业分析，估价对象作为房地产易于获得金融机构的抵押贷款支持，考虑此项因素，易于获得融资的优惠率取1.40%。</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fldChar w:fldCharType="begin"/>
      </w:r>
      <w:r>
        <w:rPr>
          <w:rFonts w:hint="eastAsia" w:ascii="仿宋_GB2312" w:eastAsia="仿宋_GB2312"/>
          <w:snapToGrid w:val="0"/>
          <w:kern w:val="0"/>
          <w:sz w:val="28"/>
          <w:szCs w:val="28"/>
        </w:rPr>
        <w:instrText xml:space="preserve"> = 6 \* GB3 \* MERGEFORMAT </w:instrText>
      </w:r>
      <w:r>
        <w:rPr>
          <w:rFonts w:hint="eastAsia" w:ascii="仿宋_GB2312" w:eastAsia="仿宋_GB2312"/>
          <w:snapToGrid w:val="0"/>
          <w:kern w:val="0"/>
          <w:sz w:val="28"/>
          <w:szCs w:val="28"/>
        </w:rPr>
        <w:fldChar w:fldCharType="separate"/>
      </w:r>
      <w:r>
        <w:rPr>
          <w:rFonts w:hint="eastAsia" w:ascii="仿宋_GB2312" w:eastAsia="仿宋_GB2312"/>
          <w:snapToGrid w:val="0"/>
          <w:kern w:val="0"/>
          <w:sz w:val="28"/>
          <w:szCs w:val="28"/>
        </w:rPr>
        <w:t>⑥</w:t>
      </w:r>
      <w:r>
        <w:rPr>
          <w:rFonts w:hint="eastAsia" w:ascii="仿宋_GB2312" w:eastAsia="仿宋_GB2312"/>
          <w:snapToGrid w:val="0"/>
          <w:kern w:val="0"/>
          <w:sz w:val="28"/>
          <w:szCs w:val="28"/>
        </w:rPr>
        <w:fldChar w:fldCharType="end"/>
      </w:r>
      <w:r>
        <w:rPr>
          <w:rFonts w:hint="eastAsia" w:ascii="仿宋_GB2312" w:eastAsia="仿宋_GB2312"/>
          <w:snapToGrid w:val="0"/>
          <w:kern w:val="0"/>
          <w:sz w:val="28"/>
          <w:szCs w:val="28"/>
        </w:rPr>
        <w:t>所得税抵扣的优惠率，根据估价人员调查行业相关情况，并结合估价人员专业分析，估价对象并未能获得所得税抵扣的优惠率，故不考虑所得税抵扣的优惠率。</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根据公式：</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折现率＝无风险报酬率+投资风险补偿率+管理负担补偿率+缺乏流动性补偿率-易于获得融资的优惠率-投资带来的优惠率</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折现率 ＝1.50%+1.80%+0.70%+1.55%-1.40%-0.00%</w:t>
      </w:r>
    </w:p>
    <w:p>
      <w:pPr>
        <w:tabs>
          <w:tab w:val="left" w:pos="0"/>
        </w:tabs>
        <w:adjustRightInd w:val="0"/>
        <w:snapToGrid w:val="0"/>
        <w:spacing w:line="480" w:lineRule="exact"/>
        <w:ind w:firstLine="1472" w:firstLineChars="437"/>
        <w:rPr>
          <w:rFonts w:ascii="仿宋_GB2312" w:eastAsia="仿宋_GB2312"/>
          <w:snapToGrid w:val="0"/>
          <w:kern w:val="0"/>
          <w:sz w:val="28"/>
          <w:szCs w:val="28"/>
        </w:rPr>
      </w:pPr>
      <w:r>
        <w:rPr>
          <w:rFonts w:hint="eastAsia" w:ascii="仿宋_GB2312" w:eastAsia="仿宋_GB2312"/>
          <w:snapToGrid w:val="0"/>
          <w:kern w:val="0"/>
          <w:sz w:val="28"/>
          <w:szCs w:val="28"/>
        </w:rPr>
        <w:t>＝4.15%</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⑶ 确定未来可获收益的年限</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估价对象土地使用期限未记载，根据委托方提供的《房地产权证》记载，房屋所有权取得方式为</w:t>
      </w:r>
      <w:r>
        <w:rPr>
          <w:rFonts w:hint="eastAsia" w:ascii="仿宋_GB2312" w:eastAsia="仿宋_GB2312"/>
          <w:snapToGrid w:val="0"/>
          <w:color w:val="auto"/>
          <w:kern w:val="0"/>
          <w:sz w:val="28"/>
          <w:szCs w:val="28"/>
          <w:lang w:val="en-US" w:eastAsia="zh-CN"/>
        </w:rPr>
        <w:t>2009年10月购买</w:t>
      </w: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土地使用权终止日期未记载，根据估价对象产权资料及现实情况，经综合考虑决定，本次估价以土地使用权证号填发日期即</w:t>
      </w:r>
      <w:r>
        <w:rPr>
          <w:rFonts w:hint="eastAsia" w:ascii="仿宋_GB2312" w:eastAsia="仿宋_GB2312"/>
          <w:snapToGrid w:val="0"/>
          <w:kern w:val="0"/>
          <w:sz w:val="28"/>
          <w:szCs w:val="28"/>
          <w:lang w:val="en-US" w:eastAsia="zh-CN"/>
        </w:rPr>
        <w:t>1998年作为土地使用权起始日期</w:t>
      </w: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住宅</w:t>
      </w:r>
      <w:r>
        <w:rPr>
          <w:rFonts w:hint="eastAsia" w:ascii="仿宋_GB2312" w:eastAsia="仿宋_GB2312"/>
          <w:snapToGrid w:val="0"/>
          <w:kern w:val="0"/>
          <w:sz w:val="28"/>
          <w:szCs w:val="28"/>
        </w:rPr>
        <w:t>用途土地年限为</w:t>
      </w:r>
      <w:r>
        <w:rPr>
          <w:rFonts w:hint="eastAsia" w:ascii="仿宋_GB2312" w:eastAsia="仿宋_GB2312"/>
          <w:snapToGrid w:val="0"/>
          <w:kern w:val="0"/>
          <w:sz w:val="28"/>
          <w:szCs w:val="28"/>
          <w:lang w:val="en-US" w:eastAsia="zh-CN"/>
        </w:rPr>
        <w:t>70</w:t>
      </w:r>
      <w:r>
        <w:rPr>
          <w:rFonts w:hint="eastAsia" w:ascii="仿宋_GB2312" w:eastAsia="仿宋_GB2312"/>
          <w:snapToGrid w:val="0"/>
          <w:kern w:val="0"/>
          <w:sz w:val="28"/>
          <w:szCs w:val="28"/>
        </w:rPr>
        <w:t>年，截至价值时点</w:t>
      </w:r>
      <w:r>
        <w:rPr>
          <w:rFonts w:hint="eastAsia" w:ascii="仿宋_GB2312" w:eastAsia="仿宋_GB2312"/>
          <w:snapToGrid w:val="0"/>
          <w:kern w:val="0"/>
          <w:sz w:val="28"/>
          <w:szCs w:val="28"/>
          <w:lang w:eastAsia="zh-CN"/>
        </w:rPr>
        <w:t>2019年05月27日</w:t>
      </w:r>
      <w:r>
        <w:rPr>
          <w:rFonts w:hint="eastAsia" w:ascii="仿宋_GB2312" w:eastAsia="仿宋_GB2312"/>
          <w:snapToGrid w:val="0"/>
          <w:kern w:val="0"/>
          <w:sz w:val="28"/>
          <w:szCs w:val="28"/>
        </w:rPr>
        <w:t>计算，剩余受益年限为</w:t>
      </w:r>
      <w:r>
        <w:rPr>
          <w:rFonts w:hint="eastAsia" w:ascii="仿宋_GB2312" w:eastAsia="仿宋_GB2312"/>
          <w:snapToGrid w:val="0"/>
          <w:kern w:val="0"/>
          <w:sz w:val="28"/>
          <w:szCs w:val="28"/>
          <w:lang w:val="en-US" w:eastAsia="zh-CN"/>
        </w:rPr>
        <w:t>48.63</w:t>
      </w:r>
      <w:r>
        <w:rPr>
          <w:rFonts w:hint="eastAsia" w:ascii="仿宋_GB2312" w:eastAsia="仿宋_GB2312"/>
          <w:snapToGrid w:val="0"/>
          <w:kern w:val="0"/>
          <w:sz w:val="28"/>
          <w:szCs w:val="28"/>
        </w:rPr>
        <w:t>年，综合考虑，本次测算中收益年限采用</w:t>
      </w:r>
      <w:r>
        <w:rPr>
          <w:rFonts w:hint="eastAsia" w:ascii="仿宋_GB2312" w:eastAsia="仿宋_GB2312"/>
          <w:snapToGrid w:val="0"/>
          <w:kern w:val="0"/>
          <w:sz w:val="28"/>
          <w:szCs w:val="28"/>
          <w:lang w:eastAsia="zh-CN"/>
        </w:rPr>
        <w:t>48.63</w:t>
      </w:r>
      <w:r>
        <w:rPr>
          <w:rFonts w:hint="eastAsia" w:ascii="仿宋_GB2312" w:eastAsia="仿宋_GB2312"/>
          <w:snapToGrid w:val="0"/>
          <w:kern w:val="0"/>
          <w:sz w:val="28"/>
          <w:szCs w:val="28"/>
        </w:rPr>
        <w:t>年。</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⑷净收益变化趋势分析：</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经过估价人员对该估价对象所在区域的房地产市场进行调查及分析,随着市场的不断调整规范，设施的不断完善，租赁价格有一定的上涨空间，租赁市场较为活跃,类似房地产近几年租金水平一直有所上涨,估价对象净收益呈逐年递增趋势，估价对象未来的运营费用大部分与其经营所产生的收入呈正比关系。本次评估我们采用递增收益法进行估价作业，根据调查，估价对象所在区域交易市场随着经济发展及人民生活水平的进一步提高而凸显供需矛盾，而城市改造及增加供应亦受城市历史原因而形成的城市框架约束，短期内供需矛盾难以得到有效缓解，本着谨慎客观的估价态度，我们可以合理预测,在未来收益年限内,净收益每年递增</w:t>
      </w:r>
      <w:r>
        <w:rPr>
          <w:rFonts w:hint="eastAsia" w:ascii="仿宋_GB2312" w:eastAsia="仿宋_GB2312"/>
          <w:snapToGrid w:val="0"/>
          <w:kern w:val="0"/>
          <w:sz w:val="28"/>
          <w:szCs w:val="28"/>
          <w:lang w:val="en-US" w:eastAsia="zh-CN"/>
        </w:rPr>
        <w:t>3.50</w:t>
      </w:r>
      <w:r>
        <w:rPr>
          <w:rFonts w:hint="eastAsia" w:ascii="仿宋_GB2312" w:eastAsia="仿宋_GB2312"/>
          <w:snapToGrid w:val="0"/>
          <w:kern w:val="0"/>
          <w:sz w:val="28"/>
          <w:szCs w:val="28"/>
        </w:rPr>
        <w:t>%。</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⑸确定估价对象的客观合理价值</w:t>
      </w:r>
    </w:p>
    <w:p>
      <w:pPr>
        <w:tabs>
          <w:tab w:val="left" w:pos="0"/>
        </w:tabs>
        <w:adjustRightInd w:val="0"/>
        <w:snapToGrid w:val="0"/>
        <w:spacing w:line="480" w:lineRule="exact"/>
        <w:ind w:firstLine="480"/>
        <w:rPr>
          <w:rFonts w:ascii="仿宋_GB2312" w:eastAsia="仿宋_GB2312"/>
          <w:snapToGrid w:val="0"/>
          <w:kern w:val="0"/>
          <w:sz w:val="28"/>
          <w:szCs w:val="28"/>
        </w:rPr>
      </w:pPr>
      <w:r>
        <w:rPr>
          <w:rFonts w:hint="eastAsia" w:ascii="仿宋_GB2312" w:eastAsia="仿宋_GB2312"/>
          <w:snapToGrid w:val="0"/>
          <w:kern w:val="0"/>
          <w:sz w:val="28"/>
          <w:szCs w:val="28"/>
        </w:rPr>
        <w:t>收益法公式：本次评估采用收益递增的公式。</w:t>
      </w:r>
    </w:p>
    <w:p>
      <w:pPr>
        <w:pStyle w:val="26"/>
        <w:topLinePunct/>
        <w:ind w:firstLine="560"/>
        <w:rPr>
          <w:rFonts w:ascii="仿宋_GB2312" w:eastAsia="仿宋_GB2312"/>
          <w:sz w:val="28"/>
          <w:szCs w:val="28"/>
        </w:rPr>
      </w:pPr>
      <w:r>
        <w:rPr>
          <w:rFonts w:hint="eastAsia" w:ascii="仿宋_GB2312" w:hAnsi="宋体" w:eastAsia="仿宋_GB2312"/>
          <w:position w:val="-36"/>
          <w:sz w:val="28"/>
          <w:szCs w:val="28"/>
        </w:rPr>
        <w:object>
          <v:shape id="_x0000_i1030" o:spt="75" type="#_x0000_t75" style="height:42pt;width:147pt;" o:ole="t" filled="f" o:preferrelative="t" stroked="f" coordsize="21600,21600">
            <v:path/>
            <v:fill on="f" focussize="0,0"/>
            <v:stroke on="f" joinstyle="miter"/>
            <v:imagedata r:id="rId15" o:title=""/>
            <o:lock v:ext="edit" aspectratio="t"/>
            <w10:wrap type="none"/>
            <w10:anchorlock/>
          </v:shape>
          <o:OLEObject Type="Embed" ProgID="Equations" ShapeID="_x0000_i1030" DrawAspect="Content" ObjectID="_1468075730" r:id="rId23">
            <o:LockedField>false</o:LockedField>
          </o:OLEObject>
        </w:object>
      </w:r>
    </w:p>
    <w:p>
      <w:pPr>
        <w:spacing w:line="430" w:lineRule="exact"/>
        <w:ind w:firstLine="674" w:firstLineChars="200"/>
        <w:rPr>
          <w:rFonts w:ascii="仿宋_GB2312" w:hAnsi="宋体" w:eastAsia="仿宋_GB2312"/>
          <w:sz w:val="28"/>
          <w:szCs w:val="28"/>
        </w:rPr>
      </w:pPr>
      <w:r>
        <w:rPr>
          <w:rFonts w:hint="eastAsia" w:ascii="仿宋_GB2312" w:hAnsi="宋体" w:eastAsia="仿宋_GB2312"/>
          <w:sz w:val="28"/>
          <w:szCs w:val="28"/>
        </w:rPr>
        <w:t>式中：V＝收益价值，</w:t>
      </w:r>
    </w:p>
    <w:p>
      <w:pPr>
        <w:spacing w:line="430" w:lineRule="exact"/>
        <w:ind w:firstLine="1664" w:firstLineChars="494"/>
        <w:rPr>
          <w:rFonts w:ascii="仿宋_GB2312" w:hAnsi="宋体" w:eastAsia="仿宋_GB2312"/>
          <w:sz w:val="28"/>
          <w:szCs w:val="28"/>
        </w:rPr>
      </w:pPr>
      <w:r>
        <w:rPr>
          <w:rFonts w:hint="eastAsia" w:ascii="仿宋_GB2312" w:hAnsi="宋体" w:eastAsia="仿宋_GB2312"/>
          <w:sz w:val="28"/>
          <w:szCs w:val="28"/>
        </w:rPr>
        <w:t>a＝房地产的年净收益，</w:t>
      </w:r>
    </w:p>
    <w:p>
      <w:pPr>
        <w:spacing w:line="430" w:lineRule="exact"/>
        <w:ind w:firstLine="1664" w:firstLineChars="494"/>
        <w:rPr>
          <w:rFonts w:ascii="仿宋_GB2312" w:hAnsi="宋体" w:eastAsia="仿宋_GB2312"/>
          <w:sz w:val="28"/>
          <w:szCs w:val="28"/>
        </w:rPr>
      </w:pPr>
      <w:r>
        <w:rPr>
          <w:rFonts w:hint="eastAsia" w:ascii="仿宋_GB2312" w:hAnsi="宋体" w:eastAsia="仿宋_GB2312"/>
          <w:sz w:val="28"/>
          <w:szCs w:val="28"/>
        </w:rPr>
        <w:t>r＝房地产的报酬率或资本化率，</w:t>
      </w:r>
    </w:p>
    <w:p>
      <w:pPr>
        <w:spacing w:line="430" w:lineRule="exact"/>
        <w:ind w:firstLine="1664" w:firstLineChars="494"/>
        <w:rPr>
          <w:rFonts w:ascii="仿宋_GB2312" w:hAnsi="宋体" w:eastAsia="仿宋_GB2312"/>
          <w:sz w:val="28"/>
          <w:szCs w:val="28"/>
        </w:rPr>
      </w:pPr>
      <w:r>
        <w:rPr>
          <w:rFonts w:hint="eastAsia" w:ascii="仿宋_GB2312" w:hAnsi="宋体" w:eastAsia="仿宋_GB2312"/>
          <w:sz w:val="28"/>
          <w:szCs w:val="28"/>
        </w:rPr>
        <w:t>n＝房地产的收益期，</w:t>
      </w:r>
    </w:p>
    <w:p>
      <w:pPr>
        <w:spacing w:line="430" w:lineRule="exact"/>
        <w:ind w:firstLine="1664" w:firstLineChars="494"/>
        <w:rPr>
          <w:rFonts w:ascii="仿宋_GB2312" w:hAnsi="宋体" w:eastAsia="仿宋_GB2312"/>
          <w:sz w:val="28"/>
          <w:szCs w:val="28"/>
        </w:rPr>
      </w:pPr>
      <w:r>
        <w:rPr>
          <w:rFonts w:hint="eastAsia" w:ascii="仿宋_GB2312" w:hAnsi="宋体" w:eastAsia="仿宋_GB2312"/>
          <w:sz w:val="28"/>
          <w:szCs w:val="28"/>
        </w:rPr>
        <w:t>g＝净收益递增比例</w:t>
      </w:r>
    </w:p>
    <w:p>
      <w:pPr>
        <w:tabs>
          <w:tab w:val="left" w:pos="0"/>
        </w:tabs>
        <w:adjustRightInd w:val="0"/>
        <w:snapToGrid w:val="0"/>
        <w:spacing w:line="360" w:lineRule="auto"/>
        <w:ind w:firstLine="461" w:firstLineChars="137"/>
        <w:rPr>
          <w:rFonts w:ascii="仿宋_GB2312" w:hAnsi="宋体" w:eastAsia="仿宋_GB2312"/>
          <w:position w:val="-36"/>
          <w:sz w:val="28"/>
          <w:szCs w:val="28"/>
        </w:rPr>
      </w:pPr>
      <w:r>
        <w:rPr>
          <w:rFonts w:hint="eastAsia" w:ascii="仿宋_GB2312" w:hAnsi="宋体" w:eastAsia="仿宋_GB2312"/>
          <w:position w:val="-36"/>
          <w:sz w:val="28"/>
          <w:szCs w:val="28"/>
        </w:rPr>
        <w:object>
          <v:shape id="_x0000_i1031" o:spt="75" type="#_x0000_t75" style="height:42pt;width:147pt;" o:ole="t" filled="f" o:preferrelative="t" stroked="f" coordsize="21600,21600">
            <v:path/>
            <v:fill on="f" focussize="0,0"/>
            <v:stroke on="f" joinstyle="miter"/>
            <v:imagedata r:id="rId15" o:title=""/>
            <o:lock v:ext="edit" aspectratio="t"/>
            <w10:wrap type="none"/>
            <w10:anchorlock/>
          </v:shape>
          <o:OLEObject Type="Embed" ProgID="Equations" ShapeID="_x0000_i1031" DrawAspect="Content" ObjectID="_1468075731" r:id="rId24">
            <o:LockedField>false</o:LockedField>
          </o:OLEObject>
        </w:object>
      </w:r>
    </w:p>
    <w:p>
      <w:pPr>
        <w:tabs>
          <w:tab w:val="left" w:pos="0"/>
        </w:tabs>
        <w:adjustRightInd w:val="0"/>
        <w:snapToGrid w:val="0"/>
        <w:spacing w:line="480" w:lineRule="exact"/>
        <w:ind w:firstLine="811" w:firstLineChars="241"/>
        <w:rPr>
          <w:rFonts w:hint="default" w:ascii="仿宋_GB2312" w:eastAsia="仿宋_GB2312"/>
          <w:snapToGrid w:val="0"/>
          <w:kern w:val="0"/>
          <w:sz w:val="28"/>
          <w:szCs w:val="28"/>
          <w:lang w:val="en-US"/>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110.40</w:t>
      </w:r>
      <w:r>
        <w:rPr>
          <w:rFonts w:hint="eastAsia" w:ascii="仿宋_GB2312" w:eastAsia="仿宋_GB2312"/>
          <w:snapToGrid w:val="0"/>
          <w:kern w:val="0"/>
          <w:sz w:val="28"/>
          <w:szCs w:val="28"/>
        </w:rPr>
        <w:t>/(4.15%-</w:t>
      </w:r>
      <w:r>
        <w:rPr>
          <w:rFonts w:hint="eastAsia" w:ascii="仿宋_GB2312" w:eastAsia="仿宋_GB2312"/>
          <w:snapToGrid w:val="0"/>
          <w:kern w:val="0"/>
          <w:sz w:val="28"/>
          <w:szCs w:val="28"/>
          <w:lang w:val="en-US" w:eastAsia="zh-CN"/>
        </w:rPr>
        <w:t>3.50</w:t>
      </w:r>
      <w:r>
        <w:rPr>
          <w:rFonts w:hint="eastAsia" w:ascii="仿宋_GB2312" w:eastAsia="仿宋_GB2312"/>
          <w:snapToGrid w:val="0"/>
          <w:kern w:val="0"/>
          <w:sz w:val="28"/>
          <w:szCs w:val="28"/>
        </w:rPr>
        <w:t>%) ×[1-（1+</w:t>
      </w:r>
      <w:r>
        <w:rPr>
          <w:rFonts w:hint="eastAsia" w:ascii="仿宋_GB2312" w:eastAsia="仿宋_GB2312"/>
          <w:snapToGrid w:val="0"/>
          <w:kern w:val="0"/>
          <w:sz w:val="28"/>
          <w:szCs w:val="28"/>
          <w:lang w:val="en-US" w:eastAsia="zh-CN"/>
        </w:rPr>
        <w:t>3.50</w:t>
      </w: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48.63</w:t>
      </w:r>
      <w:r>
        <w:rPr>
          <w:rFonts w:hint="eastAsia" w:ascii="仿宋_GB2312" w:eastAsia="仿宋_GB2312"/>
          <w:snapToGrid w:val="0"/>
          <w:kern w:val="0"/>
          <w:sz w:val="28"/>
          <w:szCs w:val="28"/>
        </w:rPr>
        <w:t xml:space="preserve"> /（1+4.15%）^</w:t>
      </w:r>
      <w:r>
        <w:rPr>
          <w:rFonts w:hint="eastAsia" w:ascii="仿宋_GB2312" w:eastAsia="仿宋_GB2312"/>
          <w:snapToGrid w:val="0"/>
          <w:kern w:val="0"/>
          <w:sz w:val="28"/>
          <w:szCs w:val="28"/>
          <w:lang w:eastAsia="zh-CN"/>
        </w:rPr>
        <w:t>48.63</w:t>
      </w:r>
      <w:r>
        <w:rPr>
          <w:rFonts w:hint="eastAsia" w:ascii="仿宋_GB2312" w:eastAsia="仿宋_GB2312"/>
          <w:snapToGrid w:val="0"/>
          <w:kern w:val="0"/>
          <w:sz w:val="28"/>
          <w:szCs w:val="28"/>
          <w:lang w:val="en-US" w:eastAsia="zh-CN"/>
        </w:rPr>
        <w:t>]</w:t>
      </w:r>
    </w:p>
    <w:p>
      <w:pPr>
        <w:tabs>
          <w:tab w:val="left" w:pos="0"/>
        </w:tabs>
        <w:adjustRightInd w:val="0"/>
        <w:snapToGrid w:val="0"/>
        <w:spacing w:line="480" w:lineRule="exact"/>
        <w:ind w:firstLine="831" w:firstLineChars="247"/>
        <w:rPr>
          <w:rFonts w:ascii="仿宋_GB2312" w:eastAsia="仿宋_GB2312"/>
          <w:snapToGrid w:val="0"/>
          <w:kern w:val="0"/>
          <w:sz w:val="28"/>
          <w:szCs w:val="28"/>
        </w:rPr>
      </w:pPr>
      <w:r>
        <w:rPr>
          <w:rFonts w:hint="eastAsia" w:ascii="仿宋_GB2312" w:eastAsia="仿宋_GB2312"/>
          <w:snapToGrid w:val="0"/>
          <w:kern w:val="0"/>
          <w:sz w:val="28"/>
          <w:szCs w:val="28"/>
        </w:rPr>
        <w:t>＝</w:t>
      </w:r>
      <w:r>
        <w:rPr>
          <w:rFonts w:hint="eastAsia" w:ascii="仿宋_GB2312" w:eastAsia="仿宋_GB2312"/>
          <w:snapToGrid w:val="0"/>
          <w:kern w:val="0"/>
          <w:sz w:val="28"/>
          <w:szCs w:val="28"/>
          <w:lang w:eastAsia="zh-CN"/>
        </w:rPr>
        <w:t>4460.00</w:t>
      </w:r>
      <w:r>
        <w:rPr>
          <w:rFonts w:hint="eastAsia" w:ascii="仿宋_GB2312" w:eastAsia="仿宋_GB2312"/>
          <w:snapToGrid w:val="0"/>
          <w:kern w:val="0"/>
          <w:sz w:val="28"/>
          <w:szCs w:val="28"/>
        </w:rPr>
        <w:t>（元，取整至十位）</w:t>
      </w:r>
    </w:p>
    <w:p>
      <w:pPr>
        <w:tabs>
          <w:tab w:val="left" w:pos="0"/>
        </w:tabs>
        <w:adjustRightInd w:val="0"/>
        <w:snapToGrid w:val="0"/>
        <w:spacing w:line="480" w:lineRule="exact"/>
        <w:ind w:firstLine="831" w:firstLineChars="247"/>
        <w:rPr>
          <w:rFonts w:ascii="仿宋_GB2312" w:eastAsia="仿宋_GB2312"/>
          <w:snapToGrid w:val="0"/>
          <w:kern w:val="0"/>
          <w:sz w:val="28"/>
          <w:szCs w:val="28"/>
        </w:rPr>
      </w:pPr>
      <w:r>
        <w:rPr>
          <w:rFonts w:hint="eastAsia" w:ascii="仿宋_GB2312" w:eastAsia="仿宋_GB2312"/>
          <w:snapToGrid w:val="0"/>
          <w:kern w:val="0"/>
          <w:sz w:val="28"/>
          <w:szCs w:val="28"/>
        </w:rPr>
        <w:t>估价对象建筑面积为</w:t>
      </w:r>
      <w:r>
        <w:rPr>
          <w:rFonts w:hint="eastAsia" w:ascii="仿宋_GB2312" w:eastAsia="仿宋_GB2312"/>
          <w:snapToGrid w:val="0"/>
          <w:kern w:val="0"/>
          <w:sz w:val="28"/>
          <w:szCs w:val="28"/>
          <w:lang w:val="en-US" w:eastAsia="zh-CN"/>
        </w:rPr>
        <w:t>1577.48</w:t>
      </w:r>
      <w:r>
        <w:rPr>
          <w:rFonts w:hint="eastAsia" w:ascii="仿宋_GB2312" w:eastAsia="仿宋_GB2312"/>
          <w:snapToGrid w:val="0"/>
          <w:kern w:val="0"/>
          <w:sz w:val="28"/>
          <w:szCs w:val="28"/>
        </w:rPr>
        <w:t>㎡，则：</w:t>
      </w:r>
    </w:p>
    <w:p>
      <w:pPr>
        <w:tabs>
          <w:tab w:val="left" w:pos="0"/>
        </w:tabs>
        <w:adjustRightInd w:val="0"/>
        <w:snapToGrid w:val="0"/>
        <w:spacing w:line="480" w:lineRule="exact"/>
        <w:ind w:firstLine="831" w:firstLineChars="247"/>
        <w:rPr>
          <w:rFonts w:hint="eastAsia" w:ascii="仿宋_GB2312" w:eastAsia="仿宋_GB2312"/>
          <w:snapToGrid w:val="0"/>
          <w:kern w:val="0"/>
          <w:sz w:val="28"/>
          <w:szCs w:val="28"/>
        </w:rPr>
      </w:pPr>
      <w:r>
        <w:rPr>
          <w:rFonts w:hint="eastAsia" w:ascii="仿宋_GB2312" w:eastAsia="仿宋_GB2312"/>
          <w:snapToGrid w:val="0"/>
          <w:kern w:val="0"/>
          <w:sz w:val="28"/>
          <w:szCs w:val="28"/>
        </w:rPr>
        <w:t>估价总值＝</w:t>
      </w:r>
      <w:r>
        <w:rPr>
          <w:rFonts w:hint="eastAsia" w:ascii="仿宋_GB2312" w:eastAsia="仿宋_GB2312"/>
          <w:snapToGrid w:val="0"/>
          <w:kern w:val="0"/>
          <w:sz w:val="28"/>
          <w:szCs w:val="28"/>
          <w:lang w:eastAsia="zh-CN"/>
        </w:rPr>
        <w:t>4460.00</w:t>
      </w: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1577.48</w:t>
      </w:r>
      <w:r>
        <w:rPr>
          <w:rFonts w:hint="eastAsia" w:ascii="仿宋_GB2312" w:eastAsia="仿宋_GB2312"/>
          <w:snapToGrid w:val="0"/>
          <w:kern w:val="0"/>
          <w:sz w:val="28"/>
          <w:szCs w:val="28"/>
        </w:rPr>
        <w:t>＝</w:t>
      </w:r>
      <w:r>
        <w:rPr>
          <w:rFonts w:hint="eastAsia" w:ascii="仿宋_GB2312" w:eastAsia="仿宋_GB2312"/>
          <w:snapToGrid w:val="0"/>
          <w:kern w:val="0"/>
          <w:sz w:val="28"/>
          <w:szCs w:val="28"/>
          <w:lang w:val="en-US" w:eastAsia="zh-CN"/>
        </w:rPr>
        <w:t>7035600.00</w:t>
      </w:r>
      <w:r>
        <w:rPr>
          <w:rFonts w:hint="eastAsia" w:ascii="仿宋_GB2312" w:eastAsia="仿宋_GB2312"/>
          <w:snapToGrid w:val="0"/>
          <w:kern w:val="0"/>
          <w:sz w:val="28"/>
          <w:szCs w:val="28"/>
        </w:rPr>
        <w:t>（元，取整至百位）</w:t>
      </w:r>
    </w:p>
    <w:p>
      <w:pPr>
        <w:rPr>
          <w:rFonts w:hint="eastAsia" w:ascii="Arial" w:hAnsi="Arial" w:eastAsia="黑体"/>
          <w:b w:val="0"/>
          <w:bCs w:val="0"/>
          <w:snapToGrid w:val="0"/>
          <w:kern w:val="0"/>
          <w:sz w:val="30"/>
          <w:szCs w:val="30"/>
          <w:lang w:eastAsia="zh-CN"/>
        </w:rPr>
      </w:pPr>
    </w:p>
    <w:p>
      <w:pPr>
        <w:ind w:firstLine="639" w:firstLineChars="179"/>
        <w:rPr>
          <w:rFonts w:ascii="Arial" w:hAnsi="Arial" w:eastAsia="黑体"/>
          <w:b/>
          <w:bCs/>
          <w:snapToGrid w:val="0"/>
          <w:kern w:val="0"/>
          <w:sz w:val="30"/>
          <w:szCs w:val="30"/>
        </w:rPr>
      </w:pPr>
      <w:r>
        <w:rPr>
          <w:rFonts w:hint="eastAsia" w:ascii="Arial" w:hAnsi="Arial" w:eastAsia="黑体"/>
          <w:b/>
          <w:bCs/>
          <w:snapToGrid w:val="0"/>
          <w:kern w:val="0"/>
          <w:sz w:val="30"/>
          <w:szCs w:val="30"/>
        </w:rPr>
        <w:t>（七）评估结果</w:t>
      </w:r>
    </w:p>
    <w:p>
      <w:pPr>
        <w:pStyle w:val="35"/>
        <w:adjustRightInd w:val="0"/>
        <w:snapToGrid w:val="0"/>
        <w:ind w:firstLine="505" w:firstLineChars="150"/>
        <w:rPr>
          <w:rFonts w:hint="eastAsia" w:ascii="仿宋_GB2312" w:hAnsi="Arial" w:eastAsia="仿宋_GB2312"/>
          <w:b/>
          <w:snapToGrid w:val="0"/>
          <w:sz w:val="28"/>
        </w:rPr>
      </w:pPr>
      <w:bookmarkStart w:id="38" w:name="_Toc342918043"/>
      <w:bookmarkStart w:id="39" w:name="_Toc262224748"/>
      <w:bookmarkStart w:id="40" w:name="_Toc262454109"/>
      <w:bookmarkStart w:id="41" w:name="_Toc273364715"/>
      <w:r>
        <w:rPr>
          <w:rFonts w:hint="eastAsia" w:ascii="仿宋_GB2312" w:eastAsia="仿宋_GB2312"/>
          <w:snapToGrid w:val="0"/>
          <w:sz w:val="28"/>
          <w:szCs w:val="28"/>
        </w:rPr>
        <w:t>我公司本着</w:t>
      </w:r>
      <w:r>
        <w:rPr>
          <w:rFonts w:ascii="仿宋_GB2312" w:eastAsia="仿宋_GB2312"/>
          <w:snapToGrid w:val="0"/>
          <w:sz w:val="28"/>
          <w:szCs w:val="28"/>
        </w:rPr>
        <w:t>独立、客观、公正、合法、谨慎的原则</w:t>
      </w:r>
      <w:r>
        <w:rPr>
          <w:rFonts w:hint="eastAsia" w:ascii="仿宋_GB2312" w:eastAsia="仿宋_GB2312"/>
          <w:snapToGrid w:val="0"/>
          <w:sz w:val="28"/>
          <w:szCs w:val="28"/>
        </w:rPr>
        <w:t>，广泛收集有关市场信息和估价对象信息的基础上，全面分析了影响估价对象评估价值的因素，根据国家有关房地产估价的法律法规和估价目的，按照科学的估价程序，并运用适当的估价方法，对本次估价对象进行测算确定估价对象（建筑面积为</w:t>
      </w:r>
      <w:r>
        <w:rPr>
          <w:rFonts w:hint="eastAsia" w:ascii="仿宋_GB2312" w:eastAsia="仿宋_GB2312"/>
          <w:snapToGrid w:val="0"/>
          <w:sz w:val="28"/>
          <w:szCs w:val="28"/>
          <w:lang w:eastAsia="zh-CN"/>
        </w:rPr>
        <w:t>1577.48</w:t>
      </w:r>
      <w:r>
        <w:rPr>
          <w:rFonts w:hint="eastAsia" w:ascii="仿宋_GB2312" w:eastAsia="仿宋_GB2312"/>
          <w:snapToGrid w:val="0"/>
          <w:sz w:val="28"/>
          <w:szCs w:val="28"/>
        </w:rPr>
        <w:t>平方米）于价值时点</w:t>
      </w:r>
      <w:r>
        <w:rPr>
          <w:rFonts w:hint="eastAsia" w:ascii="仿宋_GB2312" w:eastAsia="仿宋_GB2312"/>
          <w:snapToGrid w:val="0"/>
          <w:sz w:val="28"/>
          <w:szCs w:val="28"/>
          <w:lang w:eastAsia="zh-CN"/>
        </w:rPr>
        <w:t>2019年05月27日</w:t>
      </w:r>
      <w:r>
        <w:rPr>
          <w:rFonts w:hint="eastAsia" w:ascii="仿宋_GB2312" w:eastAsia="仿宋_GB2312"/>
          <w:snapToGrid w:val="0"/>
          <w:sz w:val="28"/>
          <w:szCs w:val="28"/>
        </w:rPr>
        <w:t>的市场价值为</w:t>
      </w:r>
      <w:r>
        <w:rPr>
          <w:rFonts w:hint="eastAsia" w:ascii="仿宋_GB2312" w:eastAsia="仿宋_GB2312"/>
          <w:snapToGrid w:val="0"/>
          <w:sz w:val="28"/>
          <w:szCs w:val="28"/>
          <w:lang w:eastAsia="zh-CN"/>
        </w:rPr>
        <w:t>7,035,600</w:t>
      </w:r>
      <w:r>
        <w:rPr>
          <w:rFonts w:hint="eastAsia" w:ascii="仿宋_GB2312" w:eastAsia="仿宋_GB2312"/>
          <w:snapToGrid w:val="0"/>
          <w:sz w:val="28"/>
          <w:szCs w:val="28"/>
        </w:rPr>
        <w:t>人民币元，大写人民币</w:t>
      </w:r>
      <w:r>
        <w:rPr>
          <w:rFonts w:hint="eastAsia" w:ascii="仿宋_GB2312" w:eastAsia="仿宋_GB2312"/>
          <w:b/>
          <w:snapToGrid w:val="0"/>
          <w:sz w:val="28"/>
          <w:szCs w:val="28"/>
          <w:lang w:eastAsia="zh-CN"/>
        </w:rPr>
        <w:t>柒佰零叁万伍仟陆佰</w:t>
      </w:r>
      <w:r>
        <w:rPr>
          <w:rFonts w:hint="eastAsia" w:ascii="仿宋_GB2312" w:eastAsia="仿宋_GB2312"/>
          <w:snapToGrid w:val="0"/>
          <w:sz w:val="28"/>
          <w:szCs w:val="28"/>
        </w:rPr>
        <w:t>元整。估价结果详见《估价结果明细表》。</w:t>
      </w:r>
    </w:p>
    <w:p>
      <w:pPr>
        <w:pStyle w:val="35"/>
        <w:adjustRightInd w:val="0"/>
        <w:snapToGrid w:val="0"/>
        <w:ind w:left="0" w:leftChars="0" w:firstLine="0" w:firstLineChars="0"/>
        <w:jc w:val="center"/>
        <w:rPr>
          <w:rFonts w:hint="eastAsia" w:ascii="仿宋_GB2312" w:hAnsi="仿宋_GB2312" w:eastAsia="仿宋_GB2312" w:cs="仿宋_GB2312"/>
          <w:kern w:val="0"/>
          <w:sz w:val="18"/>
          <w:szCs w:val="18"/>
        </w:rPr>
      </w:pPr>
      <w:r>
        <w:rPr>
          <w:rFonts w:hint="eastAsia" w:ascii="仿宋_GB2312" w:hAnsi="Arial" w:eastAsia="仿宋_GB2312"/>
          <w:b/>
          <w:snapToGrid w:val="0"/>
          <w:sz w:val="28"/>
        </w:rPr>
        <w:t>估价结果明细表</w:t>
      </w:r>
    </w:p>
    <w:tbl>
      <w:tblPr>
        <w:tblStyle w:val="45"/>
        <w:tblW w:w="9777" w:type="dxa"/>
        <w:tblInd w:w="0" w:type="dxa"/>
        <w:shd w:val="clear" w:color="auto" w:fill="auto"/>
        <w:tblLayout w:type="fixed"/>
        <w:tblCellMar>
          <w:top w:w="0" w:type="dxa"/>
          <w:left w:w="0" w:type="dxa"/>
          <w:bottom w:w="0" w:type="dxa"/>
          <w:right w:w="0" w:type="dxa"/>
        </w:tblCellMar>
      </w:tblPr>
      <w:tblGrid>
        <w:gridCol w:w="1391"/>
        <w:gridCol w:w="915"/>
        <w:gridCol w:w="1080"/>
        <w:gridCol w:w="1709"/>
        <w:gridCol w:w="1157"/>
        <w:gridCol w:w="1124"/>
        <w:gridCol w:w="1125"/>
        <w:gridCol w:w="1276"/>
      </w:tblGrid>
      <w:tr>
        <w:tblPrEx>
          <w:shd w:val="clear" w:color="auto" w:fill="auto"/>
          <w:tblLayout w:type="fixed"/>
          <w:tblCellMar>
            <w:top w:w="0" w:type="dxa"/>
            <w:left w:w="0" w:type="dxa"/>
            <w:bottom w:w="0" w:type="dxa"/>
            <w:right w:w="0" w:type="dxa"/>
          </w:tblCellMar>
        </w:tblPrEx>
        <w:trPr>
          <w:trHeight w:val="800" w:hRule="atLeast"/>
        </w:trPr>
        <w:tc>
          <w:tcPr>
            <w:tcW w:w="139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估价对象</w:t>
            </w: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用途</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权属人</w:t>
            </w:r>
          </w:p>
        </w:tc>
        <w:tc>
          <w:tcPr>
            <w:tcW w:w="17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产权证号</w:t>
            </w:r>
          </w:p>
        </w:tc>
        <w:tc>
          <w:tcPr>
            <w:tcW w:w="1157"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土地性质</w:t>
            </w:r>
          </w:p>
        </w:tc>
        <w:tc>
          <w:tcPr>
            <w:tcW w:w="11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建筑面积（㎡）</w:t>
            </w:r>
          </w:p>
        </w:tc>
        <w:tc>
          <w:tcPr>
            <w:tcW w:w="11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评估单价（元/㎡）</w:t>
            </w:r>
          </w:p>
        </w:tc>
        <w:tc>
          <w:tcPr>
            <w:tcW w:w="12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评估总价（元）</w:t>
            </w:r>
          </w:p>
        </w:tc>
      </w:tr>
      <w:tr>
        <w:tblPrEx>
          <w:tblLayout w:type="fixed"/>
          <w:tblCellMar>
            <w:top w:w="0" w:type="dxa"/>
            <w:left w:w="0" w:type="dxa"/>
            <w:bottom w:w="0" w:type="dxa"/>
            <w:right w:w="0" w:type="dxa"/>
          </w:tblCellMar>
        </w:tblPrEx>
        <w:trPr>
          <w:trHeight w:val="400" w:hRule="atLeast"/>
        </w:trPr>
        <w:tc>
          <w:tcPr>
            <w:tcW w:w="139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汕头市潮阳区谷饶镇谷苑商场A4幢3-7号坐南向北</w:t>
            </w:r>
          </w:p>
        </w:tc>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住宅</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张宝生</w:t>
            </w:r>
          </w:p>
        </w:tc>
        <w:tc>
          <w:tcPr>
            <w:tcW w:w="170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粤房地证字第C6956883号</w:t>
            </w:r>
          </w:p>
        </w:tc>
        <w:tc>
          <w:tcPr>
            <w:tcW w:w="115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集体</w:t>
            </w:r>
          </w:p>
        </w:tc>
        <w:tc>
          <w:tcPr>
            <w:tcW w:w="112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1577.48</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4,460 </w:t>
            </w:r>
          </w:p>
        </w:tc>
        <w:tc>
          <w:tcPr>
            <w:tcW w:w="127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 xml:space="preserve">7,035,600 </w:t>
            </w:r>
          </w:p>
        </w:tc>
      </w:tr>
      <w:tr>
        <w:tblPrEx>
          <w:tblLayout w:type="fixed"/>
          <w:tblCellMar>
            <w:top w:w="0" w:type="dxa"/>
            <w:left w:w="0" w:type="dxa"/>
            <w:bottom w:w="0" w:type="dxa"/>
            <w:right w:w="0" w:type="dxa"/>
          </w:tblCellMar>
        </w:tblPrEx>
        <w:trPr>
          <w:trHeight w:val="400" w:hRule="atLeast"/>
        </w:trPr>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7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1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2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r>
      <w:tr>
        <w:tblPrEx>
          <w:tblLayout w:type="fixed"/>
          <w:tblCellMar>
            <w:top w:w="0" w:type="dxa"/>
            <w:left w:w="0" w:type="dxa"/>
            <w:bottom w:w="0" w:type="dxa"/>
            <w:right w:w="0" w:type="dxa"/>
          </w:tblCellMar>
        </w:tblPrEx>
        <w:trPr>
          <w:trHeight w:val="400" w:hRule="atLeast"/>
        </w:trPr>
        <w:tc>
          <w:tcPr>
            <w:tcW w:w="139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70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15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12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c>
          <w:tcPr>
            <w:tcW w:w="127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0"/>
                <w:szCs w:val="20"/>
                <w:u w:val="none"/>
              </w:rPr>
            </w:pPr>
          </w:p>
        </w:tc>
      </w:tr>
    </w:tbl>
    <w:p>
      <w:pPr>
        <w:pStyle w:val="35"/>
        <w:adjustRightInd w:val="0"/>
        <w:snapToGrid w:val="0"/>
        <w:ind w:left="0" w:leftChars="0" w:firstLine="0" w:firstLineChars="0"/>
      </w:pPr>
      <w:r>
        <w:rPr>
          <w:rFonts w:hint="eastAsia" w:ascii="仿宋_GB2312" w:hAnsi="仿宋_GB2312" w:eastAsia="仿宋_GB2312" w:cs="仿宋_GB2312"/>
          <w:kern w:val="0"/>
          <w:sz w:val="18"/>
          <w:szCs w:val="18"/>
        </w:rPr>
        <w:t>备注：根据委托方委托，估价对象拍卖成交时有关税费用由买受人承担，评估结果已考虑。</w:t>
      </w:r>
    </w:p>
    <w:p>
      <w:pPr>
        <w:pStyle w:val="2"/>
        <w:rPr>
          <w:rFonts w:ascii="黑体" w:eastAsia="黑体"/>
          <w:snapToGrid w:val="0"/>
          <w:kern w:val="0"/>
          <w:sz w:val="30"/>
          <w:szCs w:val="30"/>
        </w:rPr>
      </w:pPr>
      <w:bookmarkStart w:id="42" w:name="_Toc4689"/>
      <w:r>
        <w:rPr>
          <w:rFonts w:hint="eastAsia" w:ascii="黑体" w:eastAsia="黑体"/>
          <w:snapToGrid w:val="0"/>
          <w:kern w:val="0"/>
          <w:sz w:val="30"/>
          <w:szCs w:val="30"/>
        </w:rPr>
        <w:t>附　　件</w:t>
      </w:r>
      <w:bookmarkEnd w:id="38"/>
      <w:bookmarkEnd w:id="39"/>
      <w:bookmarkEnd w:id="40"/>
      <w:bookmarkEnd w:id="41"/>
      <w:bookmarkEnd w:id="42"/>
    </w:p>
    <w:p/>
    <w:p>
      <w:pPr>
        <w:jc w:val="center"/>
        <w:rPr>
          <w:snapToGrid w:val="0"/>
          <w:kern w:val="0"/>
          <w:sz w:val="24"/>
        </w:rPr>
      </w:pPr>
    </w:p>
    <w:p>
      <w:pPr>
        <w:pStyle w:val="3"/>
        <w:snapToGrid w:val="0"/>
        <w:spacing w:before="120" w:after="0" w:line="360" w:lineRule="auto"/>
        <w:ind w:firstLine="1206" w:firstLineChars="358"/>
        <w:rPr>
          <w:rFonts w:ascii="仿宋_GB2312" w:hAnsi="Times New Roman" w:eastAsia="仿宋_GB2312"/>
          <w:b w:val="0"/>
          <w:bCs w:val="0"/>
          <w:snapToGrid w:val="0"/>
          <w:kern w:val="0"/>
          <w:sz w:val="28"/>
          <w:szCs w:val="28"/>
        </w:rPr>
      </w:pPr>
      <w:bookmarkStart w:id="43" w:name="_Toc262454110"/>
      <w:bookmarkStart w:id="44" w:name="_Toc262224750"/>
      <w:bookmarkStart w:id="45" w:name="_Toc273364716"/>
      <w:bookmarkStart w:id="46" w:name="_Toc339438810"/>
      <w:bookmarkStart w:id="47" w:name="_Toc29258"/>
      <w:r>
        <w:rPr>
          <w:rFonts w:hint="eastAsia" w:ascii="仿宋_GB2312" w:hAnsi="Times New Roman" w:eastAsia="仿宋_GB2312"/>
          <w:b w:val="0"/>
          <w:bCs w:val="0"/>
          <w:snapToGrid w:val="0"/>
          <w:kern w:val="0"/>
          <w:sz w:val="28"/>
          <w:szCs w:val="28"/>
        </w:rPr>
        <w:t>一、估价对象的地理位置示意图</w:t>
      </w:r>
      <w:bookmarkEnd w:id="43"/>
      <w:bookmarkEnd w:id="44"/>
      <w:bookmarkEnd w:id="45"/>
      <w:bookmarkEnd w:id="46"/>
      <w:bookmarkEnd w:id="47"/>
    </w:p>
    <w:p>
      <w:pPr>
        <w:pStyle w:val="3"/>
        <w:snapToGrid w:val="0"/>
        <w:spacing w:before="120" w:after="0" w:line="360" w:lineRule="auto"/>
        <w:ind w:firstLine="1206" w:firstLineChars="358"/>
        <w:rPr>
          <w:rFonts w:ascii="仿宋_GB2312" w:hAnsi="Times New Roman" w:eastAsia="仿宋_GB2312"/>
          <w:b w:val="0"/>
          <w:bCs w:val="0"/>
          <w:snapToGrid w:val="0"/>
          <w:kern w:val="0"/>
          <w:sz w:val="28"/>
          <w:szCs w:val="28"/>
        </w:rPr>
      </w:pPr>
      <w:bookmarkStart w:id="48" w:name="_Toc262454112"/>
      <w:bookmarkStart w:id="49" w:name="_Toc273364717"/>
      <w:bookmarkStart w:id="50" w:name="_Toc262224752"/>
      <w:bookmarkStart w:id="51" w:name="_Toc339438811"/>
      <w:bookmarkStart w:id="52" w:name="_Toc16724"/>
      <w:r>
        <w:rPr>
          <w:rFonts w:hint="eastAsia" w:ascii="仿宋_GB2312" w:hAnsi="Times New Roman" w:eastAsia="仿宋_GB2312"/>
          <w:b w:val="0"/>
          <w:bCs w:val="0"/>
          <w:snapToGrid w:val="0"/>
          <w:kern w:val="0"/>
          <w:sz w:val="28"/>
          <w:szCs w:val="28"/>
        </w:rPr>
        <w:t>二、估价对象权属证明复印件</w:t>
      </w:r>
      <w:bookmarkEnd w:id="48"/>
      <w:bookmarkEnd w:id="49"/>
      <w:bookmarkEnd w:id="50"/>
      <w:bookmarkEnd w:id="51"/>
      <w:bookmarkEnd w:id="52"/>
    </w:p>
    <w:p>
      <w:pPr>
        <w:pStyle w:val="3"/>
        <w:snapToGrid w:val="0"/>
        <w:spacing w:before="120" w:after="0" w:line="360" w:lineRule="auto"/>
        <w:ind w:firstLine="1206" w:firstLineChars="358"/>
        <w:rPr>
          <w:rFonts w:ascii="仿宋_GB2312" w:hAnsi="Times New Roman" w:eastAsia="仿宋_GB2312"/>
          <w:b w:val="0"/>
          <w:bCs w:val="0"/>
          <w:snapToGrid w:val="0"/>
          <w:kern w:val="0"/>
          <w:sz w:val="28"/>
          <w:szCs w:val="28"/>
        </w:rPr>
      </w:pPr>
      <w:bookmarkStart w:id="53" w:name="_Toc339438812"/>
      <w:bookmarkStart w:id="54" w:name="_Toc7686"/>
      <w:bookmarkStart w:id="55" w:name="_Toc262454113"/>
      <w:bookmarkStart w:id="56" w:name="_Toc262224753"/>
      <w:bookmarkStart w:id="57" w:name="_Toc273364718"/>
      <w:r>
        <w:rPr>
          <w:rFonts w:hint="eastAsia" w:ascii="仿宋_GB2312" w:hAnsi="Times New Roman" w:eastAsia="仿宋_GB2312"/>
          <w:b w:val="0"/>
          <w:bCs w:val="0"/>
          <w:snapToGrid w:val="0"/>
          <w:kern w:val="0"/>
          <w:sz w:val="28"/>
          <w:szCs w:val="28"/>
        </w:rPr>
        <w:t>三、评估委托合同及委托方身份证复印件</w:t>
      </w:r>
      <w:bookmarkEnd w:id="53"/>
      <w:bookmarkEnd w:id="54"/>
    </w:p>
    <w:p>
      <w:pPr>
        <w:pStyle w:val="3"/>
        <w:snapToGrid w:val="0"/>
        <w:spacing w:before="120" w:after="0" w:line="360" w:lineRule="auto"/>
        <w:ind w:firstLine="1206" w:firstLineChars="358"/>
        <w:rPr>
          <w:rFonts w:ascii="仿宋_GB2312" w:hAnsi="Times New Roman" w:eastAsia="仿宋_GB2312"/>
          <w:b w:val="0"/>
          <w:bCs w:val="0"/>
          <w:snapToGrid w:val="0"/>
          <w:kern w:val="0"/>
          <w:sz w:val="28"/>
          <w:szCs w:val="28"/>
        </w:rPr>
      </w:pPr>
      <w:bookmarkStart w:id="58" w:name="_Toc339438813"/>
      <w:bookmarkStart w:id="59" w:name="_Toc9844"/>
      <w:r>
        <w:rPr>
          <w:rFonts w:hint="eastAsia" w:ascii="仿宋_GB2312" w:hAnsi="Times New Roman" w:eastAsia="仿宋_GB2312"/>
          <w:b w:val="0"/>
          <w:bCs w:val="0"/>
          <w:snapToGrid w:val="0"/>
          <w:kern w:val="0"/>
          <w:sz w:val="28"/>
          <w:szCs w:val="28"/>
        </w:rPr>
        <w:t>四、估价机构资质与工商营业执照复印件</w:t>
      </w:r>
      <w:bookmarkEnd w:id="55"/>
      <w:bookmarkEnd w:id="56"/>
      <w:bookmarkEnd w:id="57"/>
      <w:bookmarkEnd w:id="58"/>
      <w:bookmarkEnd w:id="59"/>
    </w:p>
    <w:p>
      <w:pPr>
        <w:pStyle w:val="3"/>
        <w:snapToGrid w:val="0"/>
        <w:spacing w:before="120" w:after="0" w:line="360" w:lineRule="auto"/>
        <w:ind w:firstLine="1206" w:firstLineChars="358"/>
        <w:rPr>
          <w:rFonts w:ascii="仿宋_GB2312" w:hAnsi="Times New Roman" w:eastAsia="仿宋_GB2312"/>
          <w:b w:val="0"/>
          <w:bCs w:val="0"/>
          <w:snapToGrid w:val="0"/>
          <w:kern w:val="0"/>
          <w:sz w:val="28"/>
          <w:szCs w:val="28"/>
        </w:rPr>
      </w:pPr>
      <w:bookmarkStart w:id="60" w:name="_Toc339438814"/>
      <w:bookmarkStart w:id="61" w:name="_Toc262454114"/>
      <w:bookmarkStart w:id="62" w:name="_Toc262224754"/>
      <w:bookmarkStart w:id="63" w:name="_Toc273364719"/>
      <w:bookmarkStart w:id="64" w:name="_Toc32202"/>
      <w:r>
        <w:rPr>
          <w:rFonts w:hint="eastAsia" w:ascii="仿宋_GB2312" w:hAnsi="Times New Roman" w:eastAsia="仿宋_GB2312"/>
          <w:b w:val="0"/>
          <w:bCs w:val="0"/>
          <w:snapToGrid w:val="0"/>
          <w:kern w:val="0"/>
          <w:sz w:val="28"/>
          <w:szCs w:val="28"/>
        </w:rPr>
        <w:t>五、注册房地产估价师注册证书复印件</w:t>
      </w:r>
      <w:bookmarkEnd w:id="60"/>
      <w:bookmarkEnd w:id="61"/>
      <w:bookmarkEnd w:id="62"/>
      <w:bookmarkEnd w:id="63"/>
      <w:bookmarkEnd w:id="64"/>
    </w:p>
    <w:p>
      <w:pPr>
        <w:rPr>
          <w:snapToGrid w:val="0"/>
          <w:kern w:val="0"/>
          <w:sz w:val="24"/>
        </w:rPr>
      </w:pPr>
    </w:p>
    <w:sectPr>
      <w:footerReference r:id="rId4" w:type="default"/>
      <w:pgSz w:w="11907" w:h="16840"/>
      <w:pgMar w:top="1440" w:right="1080" w:bottom="1440" w:left="1080" w:header="680" w:footer="851" w:gutter="284"/>
      <w:pgBorders>
        <w:top w:val="none" w:sz="0" w:space="0"/>
        <w:left w:val="none" w:sz="0" w:space="0"/>
        <w:bottom w:val="none" w:sz="0" w:space="0"/>
        <w:right w:val="none" w:sz="0" w:space="0"/>
      </w:pgBorders>
      <w:pgNumType w:start="1"/>
      <w:cols w:space="720" w:num="1"/>
      <w:docGrid w:type="linesAndChars" w:linePitch="475" w:charSpace="1182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Bookman Old Style">
    <w:altName w:val="Segoe Print"/>
    <w:panose1 w:val="02050604050505020204"/>
    <w:charset w:val="00"/>
    <w:family w:val="roman"/>
    <w:pitch w:val="default"/>
    <w:sig w:usb0="00000000" w:usb1="00000000" w:usb2="00000000" w:usb3="00000000" w:csb0="2000009F" w:csb1="DFD70000"/>
  </w:font>
  <w:font w:name="华文细黑">
    <w:altName w:val="微软雅黑"/>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文鼎中隶简">
    <w:altName w:val="宋体"/>
    <w:panose1 w:val="00000000000000000000"/>
    <w:charset w:val="86"/>
    <w:family w:val="modern"/>
    <w:pitch w:val="default"/>
    <w:sig w:usb0="00000000" w:usb1="00000000" w:usb2="00000010" w:usb3="00000000" w:csb0="00040000" w:csb1="00000000"/>
  </w:font>
  <w:font w:name="方正楷体简体">
    <w:altName w:val="宋体"/>
    <w:panose1 w:val="00000000000000000000"/>
    <w:charset w:val="86"/>
    <w:family w:val="script"/>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roma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t xml:space="preserve">- </w:t>
    </w:r>
    <w:r>
      <w:fldChar w:fldCharType="begin"/>
    </w:r>
    <w:r>
      <w:instrText xml:space="preserve"> PAGE </w:instrText>
    </w:r>
    <w:r>
      <w:fldChar w:fldCharType="separate"/>
    </w:r>
    <w:r>
      <w:t>1</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w:rPr>
        <w:kern w:val="0"/>
        <w:sz w:val="20"/>
      </w:rPr>
      <w:t xml:space="preserve">- </w:t>
    </w:r>
    <w:r>
      <w:rPr>
        <w:kern w:val="0"/>
        <w:sz w:val="20"/>
      </w:rPr>
      <w:fldChar w:fldCharType="begin"/>
    </w:r>
    <w:r>
      <w:rPr>
        <w:kern w:val="0"/>
        <w:sz w:val="20"/>
      </w:rPr>
      <w:instrText xml:space="preserve"> PAGE </w:instrText>
    </w:r>
    <w:r>
      <w:rPr>
        <w:kern w:val="0"/>
        <w:sz w:val="20"/>
      </w:rPr>
      <w:fldChar w:fldCharType="separate"/>
    </w:r>
    <w:r>
      <w:rPr>
        <w:kern w:val="0"/>
        <w:sz w:val="20"/>
      </w:rPr>
      <w:t>17</w:t>
    </w:r>
    <w:r>
      <w:rPr>
        <w:kern w:val="0"/>
        <w:sz w:val="20"/>
      </w:rPr>
      <w:fldChar w:fldCharType="end"/>
    </w:r>
    <w:r>
      <w:rPr>
        <w:kern w:val="0"/>
        <w:sz w:val="20"/>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0054"/>
    <w:multiLevelType w:val="singleLevel"/>
    <w:tmpl w:val="00270054"/>
    <w:lvl w:ilvl="0" w:tentative="0">
      <w:start w:val="1"/>
      <w:numFmt w:val="japaneseCounting"/>
      <w:pStyle w:val="224"/>
      <w:lvlText w:val="%1、"/>
      <w:lvlJc w:val="left"/>
      <w:pPr>
        <w:tabs>
          <w:tab w:val="left" w:pos="420"/>
        </w:tabs>
        <w:ind w:left="420" w:hanging="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gutterAtTop/>
  <w:attachedTemplate r:id="rId1"/>
  <w:revisionView w:markup="0"/>
  <w:documentProtection w:edit="readOnly" w:enforcement="1" w:cryptProviderType="rsaFull" w:cryptAlgorithmClass="hash" w:cryptAlgorithmType="typeAny" w:cryptAlgorithmSid="4" w:cryptSpinCount="0" w:hash="ulrn8rNbHDgUll6Cby41YBJZZ84=" w:salt="PwmYSecEvwkvbjYNvjHRrg=="/>
  <w:defaultTabStop w:val="425"/>
  <w:drawingGridHorizontalSpacing w:val="134"/>
  <w:drawingGridVerticalSpacing w:val="475"/>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doNotExpandShiftReturn/>
    <w:doNotBreakWrappedTables/>
    <w:doNotWrapTextWithPunct/>
    <w:doNotUseEastAsianBreakRules/>
    <w:useFELayout/>
    <w:doNotUseIndentAsNumberingTabStop/>
    <w:useAltKinsokuLineBreakRules/>
    <w:compatSetting w:name="compatibilityMode" w:uri="http://schemas.microsoft.com/office/word" w:val="12"/>
  </w:compat>
  <w:docVars>
    <w:docVar w:name="{962FC79F-1765-4CF8-B30A-C752AC65DF80}" w:val="2Z47B1y9pHO0LCPGF3jbhnelA5iMqmra8xTsSWRgXUckJdzv+Ew=K6YQDVfuItN/o"/>
    <w:docVar w:name="DocumentID" w:val="{282C7A56-6926-41CC-9E6F-A1727433286E}"/>
  </w:docVars>
  <w:rsids>
    <w:rsidRoot w:val="00172A27"/>
    <w:rsid w:val="000001E1"/>
    <w:rsid w:val="0000115E"/>
    <w:rsid w:val="000025DD"/>
    <w:rsid w:val="00002797"/>
    <w:rsid w:val="00004B15"/>
    <w:rsid w:val="00005021"/>
    <w:rsid w:val="000050EA"/>
    <w:rsid w:val="000052F2"/>
    <w:rsid w:val="00005D7A"/>
    <w:rsid w:val="000109D1"/>
    <w:rsid w:val="00010E08"/>
    <w:rsid w:val="0001123E"/>
    <w:rsid w:val="000124B0"/>
    <w:rsid w:val="0001318B"/>
    <w:rsid w:val="0001375F"/>
    <w:rsid w:val="00015EC3"/>
    <w:rsid w:val="0001685D"/>
    <w:rsid w:val="00016C94"/>
    <w:rsid w:val="00016D00"/>
    <w:rsid w:val="00016E63"/>
    <w:rsid w:val="0001739D"/>
    <w:rsid w:val="00017B81"/>
    <w:rsid w:val="00017D05"/>
    <w:rsid w:val="00020284"/>
    <w:rsid w:val="000209C8"/>
    <w:rsid w:val="00021176"/>
    <w:rsid w:val="00021B68"/>
    <w:rsid w:val="00023531"/>
    <w:rsid w:val="0002440D"/>
    <w:rsid w:val="00026028"/>
    <w:rsid w:val="00026D15"/>
    <w:rsid w:val="00030C60"/>
    <w:rsid w:val="00030C89"/>
    <w:rsid w:val="0003130A"/>
    <w:rsid w:val="0003407D"/>
    <w:rsid w:val="00034357"/>
    <w:rsid w:val="00034400"/>
    <w:rsid w:val="00036BB7"/>
    <w:rsid w:val="00037C40"/>
    <w:rsid w:val="0004002A"/>
    <w:rsid w:val="000444B3"/>
    <w:rsid w:val="000447EC"/>
    <w:rsid w:val="00044EF6"/>
    <w:rsid w:val="00044F17"/>
    <w:rsid w:val="0004549F"/>
    <w:rsid w:val="000459ED"/>
    <w:rsid w:val="00045CCC"/>
    <w:rsid w:val="0005150D"/>
    <w:rsid w:val="000519E7"/>
    <w:rsid w:val="00052046"/>
    <w:rsid w:val="00052EC9"/>
    <w:rsid w:val="00053521"/>
    <w:rsid w:val="000539E8"/>
    <w:rsid w:val="000541A4"/>
    <w:rsid w:val="0005456F"/>
    <w:rsid w:val="00054762"/>
    <w:rsid w:val="00054816"/>
    <w:rsid w:val="00055CBE"/>
    <w:rsid w:val="0005680E"/>
    <w:rsid w:val="00060533"/>
    <w:rsid w:val="00060F41"/>
    <w:rsid w:val="0006246C"/>
    <w:rsid w:val="0006367C"/>
    <w:rsid w:val="0006428C"/>
    <w:rsid w:val="00064619"/>
    <w:rsid w:val="00064B3F"/>
    <w:rsid w:val="000650F2"/>
    <w:rsid w:val="000652C0"/>
    <w:rsid w:val="00065559"/>
    <w:rsid w:val="00070675"/>
    <w:rsid w:val="00071299"/>
    <w:rsid w:val="000721D3"/>
    <w:rsid w:val="000724B0"/>
    <w:rsid w:val="0007278F"/>
    <w:rsid w:val="00072F6D"/>
    <w:rsid w:val="0007417D"/>
    <w:rsid w:val="000746EB"/>
    <w:rsid w:val="00074EED"/>
    <w:rsid w:val="00075E60"/>
    <w:rsid w:val="00075F67"/>
    <w:rsid w:val="00076192"/>
    <w:rsid w:val="00076318"/>
    <w:rsid w:val="000765CF"/>
    <w:rsid w:val="00076C13"/>
    <w:rsid w:val="0007719C"/>
    <w:rsid w:val="00077228"/>
    <w:rsid w:val="000776EA"/>
    <w:rsid w:val="00080291"/>
    <w:rsid w:val="000810B2"/>
    <w:rsid w:val="00081102"/>
    <w:rsid w:val="00081524"/>
    <w:rsid w:val="00081BEC"/>
    <w:rsid w:val="00081D0E"/>
    <w:rsid w:val="00081EBE"/>
    <w:rsid w:val="000832A5"/>
    <w:rsid w:val="00083702"/>
    <w:rsid w:val="00083ABA"/>
    <w:rsid w:val="00083D9D"/>
    <w:rsid w:val="00084A06"/>
    <w:rsid w:val="00085428"/>
    <w:rsid w:val="00085C98"/>
    <w:rsid w:val="00086BED"/>
    <w:rsid w:val="00087C23"/>
    <w:rsid w:val="00087FF2"/>
    <w:rsid w:val="00090761"/>
    <w:rsid w:val="000910DF"/>
    <w:rsid w:val="00091249"/>
    <w:rsid w:val="00092B2B"/>
    <w:rsid w:val="00092C35"/>
    <w:rsid w:val="00092C39"/>
    <w:rsid w:val="00092EA2"/>
    <w:rsid w:val="000930DD"/>
    <w:rsid w:val="00093483"/>
    <w:rsid w:val="0009357D"/>
    <w:rsid w:val="00095C4E"/>
    <w:rsid w:val="00095CCB"/>
    <w:rsid w:val="0009601C"/>
    <w:rsid w:val="00096034"/>
    <w:rsid w:val="000967DB"/>
    <w:rsid w:val="000968FA"/>
    <w:rsid w:val="0009704C"/>
    <w:rsid w:val="0009796D"/>
    <w:rsid w:val="00097EA4"/>
    <w:rsid w:val="000A0215"/>
    <w:rsid w:val="000A13B9"/>
    <w:rsid w:val="000A2784"/>
    <w:rsid w:val="000A32DB"/>
    <w:rsid w:val="000A3697"/>
    <w:rsid w:val="000A5C96"/>
    <w:rsid w:val="000A5D50"/>
    <w:rsid w:val="000A5FD7"/>
    <w:rsid w:val="000A6C59"/>
    <w:rsid w:val="000A70C5"/>
    <w:rsid w:val="000B0773"/>
    <w:rsid w:val="000B0872"/>
    <w:rsid w:val="000B14A5"/>
    <w:rsid w:val="000B19EB"/>
    <w:rsid w:val="000B1D48"/>
    <w:rsid w:val="000B230C"/>
    <w:rsid w:val="000B2B98"/>
    <w:rsid w:val="000B37C3"/>
    <w:rsid w:val="000B42E3"/>
    <w:rsid w:val="000B58BE"/>
    <w:rsid w:val="000B6671"/>
    <w:rsid w:val="000B6C65"/>
    <w:rsid w:val="000B6E74"/>
    <w:rsid w:val="000B719E"/>
    <w:rsid w:val="000B79C4"/>
    <w:rsid w:val="000B7A69"/>
    <w:rsid w:val="000B7EAC"/>
    <w:rsid w:val="000C0A8D"/>
    <w:rsid w:val="000C263A"/>
    <w:rsid w:val="000C28C5"/>
    <w:rsid w:val="000C316E"/>
    <w:rsid w:val="000C543E"/>
    <w:rsid w:val="000C58AC"/>
    <w:rsid w:val="000C66CA"/>
    <w:rsid w:val="000C6DBE"/>
    <w:rsid w:val="000C7D3F"/>
    <w:rsid w:val="000C7DDE"/>
    <w:rsid w:val="000D035D"/>
    <w:rsid w:val="000D037B"/>
    <w:rsid w:val="000D0D58"/>
    <w:rsid w:val="000D1207"/>
    <w:rsid w:val="000D131F"/>
    <w:rsid w:val="000D208E"/>
    <w:rsid w:val="000D3A0E"/>
    <w:rsid w:val="000D4606"/>
    <w:rsid w:val="000E14E5"/>
    <w:rsid w:val="000E19DA"/>
    <w:rsid w:val="000E2910"/>
    <w:rsid w:val="000E32BA"/>
    <w:rsid w:val="000E4560"/>
    <w:rsid w:val="000E470E"/>
    <w:rsid w:val="000E47BA"/>
    <w:rsid w:val="000E4CB4"/>
    <w:rsid w:val="000E4ED1"/>
    <w:rsid w:val="000E59AD"/>
    <w:rsid w:val="000E6A95"/>
    <w:rsid w:val="000F0B68"/>
    <w:rsid w:val="000F30BE"/>
    <w:rsid w:val="000F5436"/>
    <w:rsid w:val="000F57D3"/>
    <w:rsid w:val="000F5D5C"/>
    <w:rsid w:val="000F5FBA"/>
    <w:rsid w:val="000F60CF"/>
    <w:rsid w:val="0010095F"/>
    <w:rsid w:val="00100EEC"/>
    <w:rsid w:val="00100F0D"/>
    <w:rsid w:val="001010EF"/>
    <w:rsid w:val="00102588"/>
    <w:rsid w:val="0010497C"/>
    <w:rsid w:val="00105250"/>
    <w:rsid w:val="00105931"/>
    <w:rsid w:val="00105B89"/>
    <w:rsid w:val="00112085"/>
    <w:rsid w:val="001125DC"/>
    <w:rsid w:val="00113BDC"/>
    <w:rsid w:val="001147FC"/>
    <w:rsid w:val="00114EB9"/>
    <w:rsid w:val="001169C9"/>
    <w:rsid w:val="00116CFA"/>
    <w:rsid w:val="00116D34"/>
    <w:rsid w:val="00116FD6"/>
    <w:rsid w:val="00117094"/>
    <w:rsid w:val="00117570"/>
    <w:rsid w:val="0011785A"/>
    <w:rsid w:val="001200ED"/>
    <w:rsid w:val="00120256"/>
    <w:rsid w:val="00122331"/>
    <w:rsid w:val="001228FA"/>
    <w:rsid w:val="00123198"/>
    <w:rsid w:val="001238CF"/>
    <w:rsid w:val="0012405A"/>
    <w:rsid w:val="0012438B"/>
    <w:rsid w:val="00124516"/>
    <w:rsid w:val="00124660"/>
    <w:rsid w:val="00125ED9"/>
    <w:rsid w:val="00126D6E"/>
    <w:rsid w:val="00127855"/>
    <w:rsid w:val="00127911"/>
    <w:rsid w:val="0013058D"/>
    <w:rsid w:val="00130A37"/>
    <w:rsid w:val="001315B2"/>
    <w:rsid w:val="00131993"/>
    <w:rsid w:val="00131C5F"/>
    <w:rsid w:val="00131C79"/>
    <w:rsid w:val="0013271E"/>
    <w:rsid w:val="0013273C"/>
    <w:rsid w:val="001333F7"/>
    <w:rsid w:val="00133500"/>
    <w:rsid w:val="00133BD0"/>
    <w:rsid w:val="00135AC7"/>
    <w:rsid w:val="00136436"/>
    <w:rsid w:val="0013661A"/>
    <w:rsid w:val="00136689"/>
    <w:rsid w:val="00136C02"/>
    <w:rsid w:val="00136E76"/>
    <w:rsid w:val="001377CD"/>
    <w:rsid w:val="00137DFC"/>
    <w:rsid w:val="00140384"/>
    <w:rsid w:val="001403B9"/>
    <w:rsid w:val="001403D3"/>
    <w:rsid w:val="00140BE7"/>
    <w:rsid w:val="00140BF2"/>
    <w:rsid w:val="001418D0"/>
    <w:rsid w:val="00144688"/>
    <w:rsid w:val="00144F38"/>
    <w:rsid w:val="001451F8"/>
    <w:rsid w:val="00145794"/>
    <w:rsid w:val="00145855"/>
    <w:rsid w:val="00145A62"/>
    <w:rsid w:val="00145D5D"/>
    <w:rsid w:val="00150126"/>
    <w:rsid w:val="001506A2"/>
    <w:rsid w:val="001507EB"/>
    <w:rsid w:val="001509CC"/>
    <w:rsid w:val="001509E5"/>
    <w:rsid w:val="00151DBA"/>
    <w:rsid w:val="00151FEB"/>
    <w:rsid w:val="0015202B"/>
    <w:rsid w:val="001549FE"/>
    <w:rsid w:val="00155DCF"/>
    <w:rsid w:val="001561F9"/>
    <w:rsid w:val="001570D8"/>
    <w:rsid w:val="001572E2"/>
    <w:rsid w:val="00157D09"/>
    <w:rsid w:val="00157E1F"/>
    <w:rsid w:val="00160210"/>
    <w:rsid w:val="001612B4"/>
    <w:rsid w:val="00161E1A"/>
    <w:rsid w:val="00161FB7"/>
    <w:rsid w:val="00162B90"/>
    <w:rsid w:val="001640F7"/>
    <w:rsid w:val="00164638"/>
    <w:rsid w:val="001648F6"/>
    <w:rsid w:val="00165A6D"/>
    <w:rsid w:val="0016638D"/>
    <w:rsid w:val="001678E9"/>
    <w:rsid w:val="0017097C"/>
    <w:rsid w:val="0017171B"/>
    <w:rsid w:val="00172A19"/>
    <w:rsid w:val="00172A27"/>
    <w:rsid w:val="00172C5D"/>
    <w:rsid w:val="00173989"/>
    <w:rsid w:val="00173C26"/>
    <w:rsid w:val="001745C4"/>
    <w:rsid w:val="00175183"/>
    <w:rsid w:val="001758EA"/>
    <w:rsid w:val="00175D9D"/>
    <w:rsid w:val="001764FC"/>
    <w:rsid w:val="00176D35"/>
    <w:rsid w:val="00176D5D"/>
    <w:rsid w:val="0017722D"/>
    <w:rsid w:val="00177B6A"/>
    <w:rsid w:val="00180657"/>
    <w:rsid w:val="0018153B"/>
    <w:rsid w:val="00181FCD"/>
    <w:rsid w:val="00182431"/>
    <w:rsid w:val="00182E81"/>
    <w:rsid w:val="00183A82"/>
    <w:rsid w:val="001842CA"/>
    <w:rsid w:val="0018524A"/>
    <w:rsid w:val="001857B2"/>
    <w:rsid w:val="001865D5"/>
    <w:rsid w:val="00186F42"/>
    <w:rsid w:val="00190E17"/>
    <w:rsid w:val="001913D6"/>
    <w:rsid w:val="00192780"/>
    <w:rsid w:val="00196B05"/>
    <w:rsid w:val="00196C70"/>
    <w:rsid w:val="001A0694"/>
    <w:rsid w:val="001A159A"/>
    <w:rsid w:val="001A2582"/>
    <w:rsid w:val="001A4008"/>
    <w:rsid w:val="001A49B7"/>
    <w:rsid w:val="001A622F"/>
    <w:rsid w:val="001A647C"/>
    <w:rsid w:val="001A6491"/>
    <w:rsid w:val="001A6A92"/>
    <w:rsid w:val="001B1281"/>
    <w:rsid w:val="001B146F"/>
    <w:rsid w:val="001B1CF9"/>
    <w:rsid w:val="001B20C6"/>
    <w:rsid w:val="001B275E"/>
    <w:rsid w:val="001B27D7"/>
    <w:rsid w:val="001B28BA"/>
    <w:rsid w:val="001B31C6"/>
    <w:rsid w:val="001B4577"/>
    <w:rsid w:val="001B5285"/>
    <w:rsid w:val="001B6638"/>
    <w:rsid w:val="001C1928"/>
    <w:rsid w:val="001C3EC0"/>
    <w:rsid w:val="001C4007"/>
    <w:rsid w:val="001C458C"/>
    <w:rsid w:val="001C52E2"/>
    <w:rsid w:val="001C58E4"/>
    <w:rsid w:val="001C650F"/>
    <w:rsid w:val="001C6DD2"/>
    <w:rsid w:val="001C7A72"/>
    <w:rsid w:val="001C7CA0"/>
    <w:rsid w:val="001D14A5"/>
    <w:rsid w:val="001D2295"/>
    <w:rsid w:val="001D2A06"/>
    <w:rsid w:val="001D2A84"/>
    <w:rsid w:val="001D4573"/>
    <w:rsid w:val="001D5A18"/>
    <w:rsid w:val="001D5F9D"/>
    <w:rsid w:val="001D65DF"/>
    <w:rsid w:val="001D6A46"/>
    <w:rsid w:val="001D7627"/>
    <w:rsid w:val="001D79F2"/>
    <w:rsid w:val="001D7BAA"/>
    <w:rsid w:val="001E037D"/>
    <w:rsid w:val="001E0DF0"/>
    <w:rsid w:val="001E1E28"/>
    <w:rsid w:val="001E26BF"/>
    <w:rsid w:val="001E42EF"/>
    <w:rsid w:val="001E44D7"/>
    <w:rsid w:val="001E5CE1"/>
    <w:rsid w:val="001E61E6"/>
    <w:rsid w:val="001E64B7"/>
    <w:rsid w:val="001E6BD5"/>
    <w:rsid w:val="001F0384"/>
    <w:rsid w:val="001F0E0E"/>
    <w:rsid w:val="001F2465"/>
    <w:rsid w:val="001F39AB"/>
    <w:rsid w:val="001F70AE"/>
    <w:rsid w:val="001F763C"/>
    <w:rsid w:val="001F7E03"/>
    <w:rsid w:val="002015EF"/>
    <w:rsid w:val="002017AA"/>
    <w:rsid w:val="00202599"/>
    <w:rsid w:val="00202842"/>
    <w:rsid w:val="00202D6A"/>
    <w:rsid w:val="00203378"/>
    <w:rsid w:val="002037D3"/>
    <w:rsid w:val="00203F0B"/>
    <w:rsid w:val="00203FA2"/>
    <w:rsid w:val="00207840"/>
    <w:rsid w:val="0021058C"/>
    <w:rsid w:val="002115C5"/>
    <w:rsid w:val="002120C8"/>
    <w:rsid w:val="002122AE"/>
    <w:rsid w:val="00212D17"/>
    <w:rsid w:val="0021334D"/>
    <w:rsid w:val="002138E5"/>
    <w:rsid w:val="002140DE"/>
    <w:rsid w:val="002171EE"/>
    <w:rsid w:val="00221CCD"/>
    <w:rsid w:val="002246BD"/>
    <w:rsid w:val="00224C8C"/>
    <w:rsid w:val="0022550B"/>
    <w:rsid w:val="00225DE7"/>
    <w:rsid w:val="0022774C"/>
    <w:rsid w:val="00227AA4"/>
    <w:rsid w:val="00230D0D"/>
    <w:rsid w:val="00231477"/>
    <w:rsid w:val="002322E7"/>
    <w:rsid w:val="00234989"/>
    <w:rsid w:val="00235213"/>
    <w:rsid w:val="00236718"/>
    <w:rsid w:val="00240243"/>
    <w:rsid w:val="00240CA6"/>
    <w:rsid w:val="002416F5"/>
    <w:rsid w:val="00241E66"/>
    <w:rsid w:val="00242223"/>
    <w:rsid w:val="0024359C"/>
    <w:rsid w:val="002456FA"/>
    <w:rsid w:val="00245CB2"/>
    <w:rsid w:val="002463C0"/>
    <w:rsid w:val="00246703"/>
    <w:rsid w:val="00247AE8"/>
    <w:rsid w:val="00247D10"/>
    <w:rsid w:val="00251166"/>
    <w:rsid w:val="002517F0"/>
    <w:rsid w:val="00251813"/>
    <w:rsid w:val="00251E32"/>
    <w:rsid w:val="00252D7C"/>
    <w:rsid w:val="00252D83"/>
    <w:rsid w:val="002541BE"/>
    <w:rsid w:val="002551AB"/>
    <w:rsid w:val="00255480"/>
    <w:rsid w:val="00256EC5"/>
    <w:rsid w:val="00257660"/>
    <w:rsid w:val="00257962"/>
    <w:rsid w:val="00260F80"/>
    <w:rsid w:val="00261090"/>
    <w:rsid w:val="002612DE"/>
    <w:rsid w:val="002626F1"/>
    <w:rsid w:val="002628BC"/>
    <w:rsid w:val="00263238"/>
    <w:rsid w:val="002633BF"/>
    <w:rsid w:val="00264746"/>
    <w:rsid w:val="00264AFA"/>
    <w:rsid w:val="00265292"/>
    <w:rsid w:val="0026608D"/>
    <w:rsid w:val="0026664A"/>
    <w:rsid w:val="002667E6"/>
    <w:rsid w:val="00266A4F"/>
    <w:rsid w:val="00266DAE"/>
    <w:rsid w:val="00270BD6"/>
    <w:rsid w:val="00270FFB"/>
    <w:rsid w:val="00271519"/>
    <w:rsid w:val="00273B24"/>
    <w:rsid w:val="002743B2"/>
    <w:rsid w:val="00274F59"/>
    <w:rsid w:val="00275773"/>
    <w:rsid w:val="00275BDD"/>
    <w:rsid w:val="0027673D"/>
    <w:rsid w:val="0028067B"/>
    <w:rsid w:val="0028096E"/>
    <w:rsid w:val="00280B35"/>
    <w:rsid w:val="00281C65"/>
    <w:rsid w:val="00281DBA"/>
    <w:rsid w:val="00282939"/>
    <w:rsid w:val="00283C8F"/>
    <w:rsid w:val="00283D43"/>
    <w:rsid w:val="00284627"/>
    <w:rsid w:val="00285143"/>
    <w:rsid w:val="002925C9"/>
    <w:rsid w:val="00292BBC"/>
    <w:rsid w:val="00293C31"/>
    <w:rsid w:val="0029535A"/>
    <w:rsid w:val="00295879"/>
    <w:rsid w:val="00296281"/>
    <w:rsid w:val="002A0297"/>
    <w:rsid w:val="002A08EE"/>
    <w:rsid w:val="002A26AC"/>
    <w:rsid w:val="002A2DA8"/>
    <w:rsid w:val="002A343A"/>
    <w:rsid w:val="002A359B"/>
    <w:rsid w:val="002A391E"/>
    <w:rsid w:val="002A3925"/>
    <w:rsid w:val="002A3AEA"/>
    <w:rsid w:val="002A3BF9"/>
    <w:rsid w:val="002A449F"/>
    <w:rsid w:val="002A4BAC"/>
    <w:rsid w:val="002A530B"/>
    <w:rsid w:val="002A533C"/>
    <w:rsid w:val="002A77EA"/>
    <w:rsid w:val="002B065B"/>
    <w:rsid w:val="002B1455"/>
    <w:rsid w:val="002B31BC"/>
    <w:rsid w:val="002B372D"/>
    <w:rsid w:val="002B4465"/>
    <w:rsid w:val="002B4F4E"/>
    <w:rsid w:val="002B5F70"/>
    <w:rsid w:val="002B62F9"/>
    <w:rsid w:val="002B6E70"/>
    <w:rsid w:val="002B6F7F"/>
    <w:rsid w:val="002B7D54"/>
    <w:rsid w:val="002B7F96"/>
    <w:rsid w:val="002C0237"/>
    <w:rsid w:val="002C184B"/>
    <w:rsid w:val="002C34B7"/>
    <w:rsid w:val="002C3759"/>
    <w:rsid w:val="002C3948"/>
    <w:rsid w:val="002C45FC"/>
    <w:rsid w:val="002C4CD2"/>
    <w:rsid w:val="002C5A7A"/>
    <w:rsid w:val="002C5E2B"/>
    <w:rsid w:val="002C6A48"/>
    <w:rsid w:val="002C6DB4"/>
    <w:rsid w:val="002C6F19"/>
    <w:rsid w:val="002C713F"/>
    <w:rsid w:val="002C7417"/>
    <w:rsid w:val="002D073E"/>
    <w:rsid w:val="002D0EC0"/>
    <w:rsid w:val="002D12BF"/>
    <w:rsid w:val="002D18A1"/>
    <w:rsid w:val="002D191E"/>
    <w:rsid w:val="002D1932"/>
    <w:rsid w:val="002D1E1D"/>
    <w:rsid w:val="002D2E1E"/>
    <w:rsid w:val="002D2FCC"/>
    <w:rsid w:val="002D3485"/>
    <w:rsid w:val="002D3E74"/>
    <w:rsid w:val="002D4103"/>
    <w:rsid w:val="002D4D40"/>
    <w:rsid w:val="002D4D62"/>
    <w:rsid w:val="002D4F38"/>
    <w:rsid w:val="002D6A84"/>
    <w:rsid w:val="002D79ED"/>
    <w:rsid w:val="002E03C1"/>
    <w:rsid w:val="002E433B"/>
    <w:rsid w:val="002E438F"/>
    <w:rsid w:val="002E4487"/>
    <w:rsid w:val="002E45FB"/>
    <w:rsid w:val="002E4E37"/>
    <w:rsid w:val="002E51D6"/>
    <w:rsid w:val="002E770A"/>
    <w:rsid w:val="002F091D"/>
    <w:rsid w:val="002F134E"/>
    <w:rsid w:val="002F178E"/>
    <w:rsid w:val="002F18A4"/>
    <w:rsid w:val="002F2129"/>
    <w:rsid w:val="002F28D0"/>
    <w:rsid w:val="002F4850"/>
    <w:rsid w:val="002F4C46"/>
    <w:rsid w:val="002F5983"/>
    <w:rsid w:val="002F6539"/>
    <w:rsid w:val="00300306"/>
    <w:rsid w:val="0030066B"/>
    <w:rsid w:val="00300E75"/>
    <w:rsid w:val="003013B7"/>
    <w:rsid w:val="0030185E"/>
    <w:rsid w:val="003030D5"/>
    <w:rsid w:val="0030557C"/>
    <w:rsid w:val="00305E76"/>
    <w:rsid w:val="00306D0E"/>
    <w:rsid w:val="00306F12"/>
    <w:rsid w:val="00310247"/>
    <w:rsid w:val="00311002"/>
    <w:rsid w:val="00311F4D"/>
    <w:rsid w:val="00312512"/>
    <w:rsid w:val="00313612"/>
    <w:rsid w:val="00313C7E"/>
    <w:rsid w:val="00315281"/>
    <w:rsid w:val="003160B7"/>
    <w:rsid w:val="00316191"/>
    <w:rsid w:val="00316895"/>
    <w:rsid w:val="00320373"/>
    <w:rsid w:val="00320600"/>
    <w:rsid w:val="00320BB1"/>
    <w:rsid w:val="00321B5D"/>
    <w:rsid w:val="00322B42"/>
    <w:rsid w:val="00322BC6"/>
    <w:rsid w:val="00323916"/>
    <w:rsid w:val="0032483A"/>
    <w:rsid w:val="0032509C"/>
    <w:rsid w:val="003254BB"/>
    <w:rsid w:val="00327EAE"/>
    <w:rsid w:val="00327ED4"/>
    <w:rsid w:val="003302F0"/>
    <w:rsid w:val="003314FA"/>
    <w:rsid w:val="0033166D"/>
    <w:rsid w:val="00333010"/>
    <w:rsid w:val="003342F4"/>
    <w:rsid w:val="00335B7F"/>
    <w:rsid w:val="00337441"/>
    <w:rsid w:val="00337934"/>
    <w:rsid w:val="00340C9B"/>
    <w:rsid w:val="00341040"/>
    <w:rsid w:val="00342CAB"/>
    <w:rsid w:val="00342CC8"/>
    <w:rsid w:val="00343019"/>
    <w:rsid w:val="0034341B"/>
    <w:rsid w:val="003453BE"/>
    <w:rsid w:val="00345BDD"/>
    <w:rsid w:val="003469AD"/>
    <w:rsid w:val="00347475"/>
    <w:rsid w:val="00347DED"/>
    <w:rsid w:val="00351094"/>
    <w:rsid w:val="00351425"/>
    <w:rsid w:val="00351BA5"/>
    <w:rsid w:val="003526DA"/>
    <w:rsid w:val="00352FD3"/>
    <w:rsid w:val="00354F8F"/>
    <w:rsid w:val="00355331"/>
    <w:rsid w:val="003560D5"/>
    <w:rsid w:val="003569BA"/>
    <w:rsid w:val="00356B89"/>
    <w:rsid w:val="00356E9E"/>
    <w:rsid w:val="003574FA"/>
    <w:rsid w:val="00357E23"/>
    <w:rsid w:val="00360C52"/>
    <w:rsid w:val="0036257B"/>
    <w:rsid w:val="003629B2"/>
    <w:rsid w:val="00362A2C"/>
    <w:rsid w:val="00362A84"/>
    <w:rsid w:val="00362AEC"/>
    <w:rsid w:val="0036367E"/>
    <w:rsid w:val="00363901"/>
    <w:rsid w:val="00364AA3"/>
    <w:rsid w:val="00364C60"/>
    <w:rsid w:val="003652D3"/>
    <w:rsid w:val="00365CC9"/>
    <w:rsid w:val="00366153"/>
    <w:rsid w:val="00366E36"/>
    <w:rsid w:val="00366FA9"/>
    <w:rsid w:val="00367F8C"/>
    <w:rsid w:val="00370620"/>
    <w:rsid w:val="00370C3A"/>
    <w:rsid w:val="003718E4"/>
    <w:rsid w:val="003724CD"/>
    <w:rsid w:val="00372693"/>
    <w:rsid w:val="00374050"/>
    <w:rsid w:val="0037560F"/>
    <w:rsid w:val="00376670"/>
    <w:rsid w:val="003767D9"/>
    <w:rsid w:val="0037696D"/>
    <w:rsid w:val="00377290"/>
    <w:rsid w:val="003779F7"/>
    <w:rsid w:val="00382E00"/>
    <w:rsid w:val="00383B8C"/>
    <w:rsid w:val="0038454A"/>
    <w:rsid w:val="00385178"/>
    <w:rsid w:val="0038712E"/>
    <w:rsid w:val="00387307"/>
    <w:rsid w:val="003901CC"/>
    <w:rsid w:val="00390CB4"/>
    <w:rsid w:val="00390ED3"/>
    <w:rsid w:val="00390F3D"/>
    <w:rsid w:val="00391499"/>
    <w:rsid w:val="0039166E"/>
    <w:rsid w:val="0039220F"/>
    <w:rsid w:val="00392360"/>
    <w:rsid w:val="00392BBB"/>
    <w:rsid w:val="00392E2C"/>
    <w:rsid w:val="003947B9"/>
    <w:rsid w:val="00396196"/>
    <w:rsid w:val="0039628E"/>
    <w:rsid w:val="003969FE"/>
    <w:rsid w:val="00397531"/>
    <w:rsid w:val="003A0316"/>
    <w:rsid w:val="003A139E"/>
    <w:rsid w:val="003A13B8"/>
    <w:rsid w:val="003A1DAD"/>
    <w:rsid w:val="003A1E53"/>
    <w:rsid w:val="003A2764"/>
    <w:rsid w:val="003A3E39"/>
    <w:rsid w:val="003A451C"/>
    <w:rsid w:val="003A5B1A"/>
    <w:rsid w:val="003A6F2B"/>
    <w:rsid w:val="003A7EDD"/>
    <w:rsid w:val="003B011F"/>
    <w:rsid w:val="003B0AC7"/>
    <w:rsid w:val="003B0E07"/>
    <w:rsid w:val="003B1149"/>
    <w:rsid w:val="003B2373"/>
    <w:rsid w:val="003B28FD"/>
    <w:rsid w:val="003B29C1"/>
    <w:rsid w:val="003B37C2"/>
    <w:rsid w:val="003B3E60"/>
    <w:rsid w:val="003B4FE4"/>
    <w:rsid w:val="003B5311"/>
    <w:rsid w:val="003B5652"/>
    <w:rsid w:val="003B57D7"/>
    <w:rsid w:val="003B580C"/>
    <w:rsid w:val="003B69D4"/>
    <w:rsid w:val="003B7B26"/>
    <w:rsid w:val="003C060E"/>
    <w:rsid w:val="003C0856"/>
    <w:rsid w:val="003C185B"/>
    <w:rsid w:val="003C234C"/>
    <w:rsid w:val="003C286B"/>
    <w:rsid w:val="003C287A"/>
    <w:rsid w:val="003C2D0B"/>
    <w:rsid w:val="003C2F56"/>
    <w:rsid w:val="003C3A3E"/>
    <w:rsid w:val="003C3D5B"/>
    <w:rsid w:val="003C3EB1"/>
    <w:rsid w:val="003C544B"/>
    <w:rsid w:val="003C6163"/>
    <w:rsid w:val="003C6731"/>
    <w:rsid w:val="003C67AC"/>
    <w:rsid w:val="003C738D"/>
    <w:rsid w:val="003C7744"/>
    <w:rsid w:val="003C7B78"/>
    <w:rsid w:val="003D0C5B"/>
    <w:rsid w:val="003D14CE"/>
    <w:rsid w:val="003D1686"/>
    <w:rsid w:val="003D3F90"/>
    <w:rsid w:val="003D4083"/>
    <w:rsid w:val="003D4454"/>
    <w:rsid w:val="003D4743"/>
    <w:rsid w:val="003D529F"/>
    <w:rsid w:val="003D53CA"/>
    <w:rsid w:val="003D56D5"/>
    <w:rsid w:val="003D7562"/>
    <w:rsid w:val="003E01C7"/>
    <w:rsid w:val="003E12B3"/>
    <w:rsid w:val="003E140F"/>
    <w:rsid w:val="003E1C89"/>
    <w:rsid w:val="003E31A8"/>
    <w:rsid w:val="003E3CD2"/>
    <w:rsid w:val="003E4B37"/>
    <w:rsid w:val="003E4D50"/>
    <w:rsid w:val="003E4F0B"/>
    <w:rsid w:val="003E5C4E"/>
    <w:rsid w:val="003E775F"/>
    <w:rsid w:val="003E77BC"/>
    <w:rsid w:val="003F179C"/>
    <w:rsid w:val="003F1AF2"/>
    <w:rsid w:val="003F1BEA"/>
    <w:rsid w:val="003F1C60"/>
    <w:rsid w:val="003F22AB"/>
    <w:rsid w:val="003F23E4"/>
    <w:rsid w:val="003F2603"/>
    <w:rsid w:val="003F2F29"/>
    <w:rsid w:val="003F39FF"/>
    <w:rsid w:val="003F3E08"/>
    <w:rsid w:val="003F4616"/>
    <w:rsid w:val="003F4C98"/>
    <w:rsid w:val="003F4F35"/>
    <w:rsid w:val="003F59F6"/>
    <w:rsid w:val="003F633D"/>
    <w:rsid w:val="003F69A8"/>
    <w:rsid w:val="003F7172"/>
    <w:rsid w:val="003F78F5"/>
    <w:rsid w:val="003F790F"/>
    <w:rsid w:val="0040063A"/>
    <w:rsid w:val="00400A37"/>
    <w:rsid w:val="00400DCC"/>
    <w:rsid w:val="00401E6E"/>
    <w:rsid w:val="004021C7"/>
    <w:rsid w:val="0040232E"/>
    <w:rsid w:val="004024F0"/>
    <w:rsid w:val="00403252"/>
    <w:rsid w:val="00403FBF"/>
    <w:rsid w:val="00405689"/>
    <w:rsid w:val="00405A47"/>
    <w:rsid w:val="00406200"/>
    <w:rsid w:val="00406933"/>
    <w:rsid w:val="00406F6F"/>
    <w:rsid w:val="00407279"/>
    <w:rsid w:val="0041036A"/>
    <w:rsid w:val="0041229D"/>
    <w:rsid w:val="00412B3D"/>
    <w:rsid w:val="00413C17"/>
    <w:rsid w:val="004145D8"/>
    <w:rsid w:val="00414D67"/>
    <w:rsid w:val="0041561A"/>
    <w:rsid w:val="004168BA"/>
    <w:rsid w:val="0042054E"/>
    <w:rsid w:val="0042070D"/>
    <w:rsid w:val="00422E7C"/>
    <w:rsid w:val="00422F7E"/>
    <w:rsid w:val="004232CD"/>
    <w:rsid w:val="00424283"/>
    <w:rsid w:val="00426549"/>
    <w:rsid w:val="00427099"/>
    <w:rsid w:val="004274B0"/>
    <w:rsid w:val="004275A6"/>
    <w:rsid w:val="00430146"/>
    <w:rsid w:val="0043035E"/>
    <w:rsid w:val="00431300"/>
    <w:rsid w:val="004313D8"/>
    <w:rsid w:val="00432614"/>
    <w:rsid w:val="00432C1F"/>
    <w:rsid w:val="00433726"/>
    <w:rsid w:val="00433B95"/>
    <w:rsid w:val="00433BD7"/>
    <w:rsid w:val="00434AD6"/>
    <w:rsid w:val="00434D8F"/>
    <w:rsid w:val="00435383"/>
    <w:rsid w:val="004354AD"/>
    <w:rsid w:val="00436742"/>
    <w:rsid w:val="00440257"/>
    <w:rsid w:val="00440320"/>
    <w:rsid w:val="004409FF"/>
    <w:rsid w:val="0044214C"/>
    <w:rsid w:val="004428BD"/>
    <w:rsid w:val="004429BD"/>
    <w:rsid w:val="00446AD1"/>
    <w:rsid w:val="00446AEB"/>
    <w:rsid w:val="00446C58"/>
    <w:rsid w:val="00446E4D"/>
    <w:rsid w:val="004502B4"/>
    <w:rsid w:val="00450A97"/>
    <w:rsid w:val="0045164A"/>
    <w:rsid w:val="004516D9"/>
    <w:rsid w:val="00451D7E"/>
    <w:rsid w:val="00453539"/>
    <w:rsid w:val="00453969"/>
    <w:rsid w:val="00454189"/>
    <w:rsid w:val="00454256"/>
    <w:rsid w:val="00455062"/>
    <w:rsid w:val="0045513A"/>
    <w:rsid w:val="0045540F"/>
    <w:rsid w:val="0045554A"/>
    <w:rsid w:val="0045600F"/>
    <w:rsid w:val="0045703D"/>
    <w:rsid w:val="0046073C"/>
    <w:rsid w:val="004607F5"/>
    <w:rsid w:val="00462020"/>
    <w:rsid w:val="004621F5"/>
    <w:rsid w:val="0046230F"/>
    <w:rsid w:val="00462E67"/>
    <w:rsid w:val="004638C4"/>
    <w:rsid w:val="00466255"/>
    <w:rsid w:val="00467622"/>
    <w:rsid w:val="00467E42"/>
    <w:rsid w:val="00470D32"/>
    <w:rsid w:val="00471006"/>
    <w:rsid w:val="0047218B"/>
    <w:rsid w:val="00472232"/>
    <w:rsid w:val="004734D8"/>
    <w:rsid w:val="0047457F"/>
    <w:rsid w:val="00474589"/>
    <w:rsid w:val="00474F24"/>
    <w:rsid w:val="00474FA9"/>
    <w:rsid w:val="00476BD9"/>
    <w:rsid w:val="00476FB3"/>
    <w:rsid w:val="004772DE"/>
    <w:rsid w:val="00477928"/>
    <w:rsid w:val="00477A7E"/>
    <w:rsid w:val="00477F08"/>
    <w:rsid w:val="0048078A"/>
    <w:rsid w:val="00480792"/>
    <w:rsid w:val="00480EA4"/>
    <w:rsid w:val="00481D9F"/>
    <w:rsid w:val="00482EE5"/>
    <w:rsid w:val="00483365"/>
    <w:rsid w:val="004840B1"/>
    <w:rsid w:val="004845C3"/>
    <w:rsid w:val="00485263"/>
    <w:rsid w:val="004854DD"/>
    <w:rsid w:val="0048580E"/>
    <w:rsid w:val="00485F22"/>
    <w:rsid w:val="004861B5"/>
    <w:rsid w:val="00486846"/>
    <w:rsid w:val="00490213"/>
    <w:rsid w:val="004902A9"/>
    <w:rsid w:val="004904E4"/>
    <w:rsid w:val="00491087"/>
    <w:rsid w:val="004911B6"/>
    <w:rsid w:val="00492431"/>
    <w:rsid w:val="0049250A"/>
    <w:rsid w:val="00492D17"/>
    <w:rsid w:val="004933F7"/>
    <w:rsid w:val="00494057"/>
    <w:rsid w:val="0049417D"/>
    <w:rsid w:val="00494280"/>
    <w:rsid w:val="00494DD0"/>
    <w:rsid w:val="0049511C"/>
    <w:rsid w:val="00495D5A"/>
    <w:rsid w:val="00495EF1"/>
    <w:rsid w:val="00496056"/>
    <w:rsid w:val="00496191"/>
    <w:rsid w:val="00497210"/>
    <w:rsid w:val="004A1580"/>
    <w:rsid w:val="004A23F0"/>
    <w:rsid w:val="004A2701"/>
    <w:rsid w:val="004A2AD2"/>
    <w:rsid w:val="004A2E75"/>
    <w:rsid w:val="004A3103"/>
    <w:rsid w:val="004A435B"/>
    <w:rsid w:val="004A520F"/>
    <w:rsid w:val="004A562A"/>
    <w:rsid w:val="004A6195"/>
    <w:rsid w:val="004A66D2"/>
    <w:rsid w:val="004A6CCD"/>
    <w:rsid w:val="004A733B"/>
    <w:rsid w:val="004A7624"/>
    <w:rsid w:val="004B0A08"/>
    <w:rsid w:val="004B0B95"/>
    <w:rsid w:val="004B26CD"/>
    <w:rsid w:val="004B4F30"/>
    <w:rsid w:val="004B5D3C"/>
    <w:rsid w:val="004B6111"/>
    <w:rsid w:val="004B6EFF"/>
    <w:rsid w:val="004B73D2"/>
    <w:rsid w:val="004C0020"/>
    <w:rsid w:val="004C0304"/>
    <w:rsid w:val="004C0533"/>
    <w:rsid w:val="004C0694"/>
    <w:rsid w:val="004C1C9D"/>
    <w:rsid w:val="004C2308"/>
    <w:rsid w:val="004C329C"/>
    <w:rsid w:val="004C446A"/>
    <w:rsid w:val="004C447F"/>
    <w:rsid w:val="004C4E2D"/>
    <w:rsid w:val="004C4FFB"/>
    <w:rsid w:val="004C577B"/>
    <w:rsid w:val="004C5B21"/>
    <w:rsid w:val="004C682C"/>
    <w:rsid w:val="004C727E"/>
    <w:rsid w:val="004C79CE"/>
    <w:rsid w:val="004C7B5A"/>
    <w:rsid w:val="004D2E20"/>
    <w:rsid w:val="004D320C"/>
    <w:rsid w:val="004D3F8A"/>
    <w:rsid w:val="004D4572"/>
    <w:rsid w:val="004D4D28"/>
    <w:rsid w:val="004D5123"/>
    <w:rsid w:val="004D5D7A"/>
    <w:rsid w:val="004D746E"/>
    <w:rsid w:val="004D7643"/>
    <w:rsid w:val="004D77D7"/>
    <w:rsid w:val="004E0635"/>
    <w:rsid w:val="004E10F7"/>
    <w:rsid w:val="004E124A"/>
    <w:rsid w:val="004E13FE"/>
    <w:rsid w:val="004E159E"/>
    <w:rsid w:val="004E2422"/>
    <w:rsid w:val="004E391A"/>
    <w:rsid w:val="004E3F1E"/>
    <w:rsid w:val="004E55B5"/>
    <w:rsid w:val="004E589E"/>
    <w:rsid w:val="004E6281"/>
    <w:rsid w:val="004E66C3"/>
    <w:rsid w:val="004E69AA"/>
    <w:rsid w:val="004E6A7C"/>
    <w:rsid w:val="004E76B6"/>
    <w:rsid w:val="004F063C"/>
    <w:rsid w:val="004F1018"/>
    <w:rsid w:val="004F20E0"/>
    <w:rsid w:val="004F253A"/>
    <w:rsid w:val="004F3D2E"/>
    <w:rsid w:val="004F4152"/>
    <w:rsid w:val="004F4BE7"/>
    <w:rsid w:val="004F508D"/>
    <w:rsid w:val="004F6C68"/>
    <w:rsid w:val="005005EF"/>
    <w:rsid w:val="00501481"/>
    <w:rsid w:val="0050171A"/>
    <w:rsid w:val="00502150"/>
    <w:rsid w:val="005026A0"/>
    <w:rsid w:val="005037D0"/>
    <w:rsid w:val="00504A8C"/>
    <w:rsid w:val="00505DC9"/>
    <w:rsid w:val="00506D6E"/>
    <w:rsid w:val="00507338"/>
    <w:rsid w:val="005079F2"/>
    <w:rsid w:val="00507B3D"/>
    <w:rsid w:val="00510913"/>
    <w:rsid w:val="00511023"/>
    <w:rsid w:val="0051258A"/>
    <w:rsid w:val="00512E52"/>
    <w:rsid w:val="00512FB9"/>
    <w:rsid w:val="0051536B"/>
    <w:rsid w:val="005156C0"/>
    <w:rsid w:val="00516E3C"/>
    <w:rsid w:val="00516FDF"/>
    <w:rsid w:val="00517265"/>
    <w:rsid w:val="00517986"/>
    <w:rsid w:val="005179B9"/>
    <w:rsid w:val="00517ED9"/>
    <w:rsid w:val="0052191C"/>
    <w:rsid w:val="00521B86"/>
    <w:rsid w:val="00522756"/>
    <w:rsid w:val="00523897"/>
    <w:rsid w:val="00523E68"/>
    <w:rsid w:val="0052483B"/>
    <w:rsid w:val="00524E09"/>
    <w:rsid w:val="00525D6A"/>
    <w:rsid w:val="00526C3D"/>
    <w:rsid w:val="00526DF5"/>
    <w:rsid w:val="005274B8"/>
    <w:rsid w:val="005276C3"/>
    <w:rsid w:val="00527CB1"/>
    <w:rsid w:val="00527DD5"/>
    <w:rsid w:val="00527F15"/>
    <w:rsid w:val="00530A5F"/>
    <w:rsid w:val="00532349"/>
    <w:rsid w:val="005328C3"/>
    <w:rsid w:val="00532C5D"/>
    <w:rsid w:val="00533E94"/>
    <w:rsid w:val="00533EF2"/>
    <w:rsid w:val="0053473A"/>
    <w:rsid w:val="00535C2E"/>
    <w:rsid w:val="00535ED1"/>
    <w:rsid w:val="005363ED"/>
    <w:rsid w:val="005402D6"/>
    <w:rsid w:val="005407D2"/>
    <w:rsid w:val="00540928"/>
    <w:rsid w:val="00541151"/>
    <w:rsid w:val="00541EEB"/>
    <w:rsid w:val="00542B67"/>
    <w:rsid w:val="0054330E"/>
    <w:rsid w:val="0054396D"/>
    <w:rsid w:val="00543BF9"/>
    <w:rsid w:val="0054455F"/>
    <w:rsid w:val="005447BD"/>
    <w:rsid w:val="005449C0"/>
    <w:rsid w:val="00545527"/>
    <w:rsid w:val="00545A4B"/>
    <w:rsid w:val="00546948"/>
    <w:rsid w:val="00546A47"/>
    <w:rsid w:val="0055134F"/>
    <w:rsid w:val="00551934"/>
    <w:rsid w:val="005524FE"/>
    <w:rsid w:val="00552724"/>
    <w:rsid w:val="00552D1D"/>
    <w:rsid w:val="00552F18"/>
    <w:rsid w:val="00553A99"/>
    <w:rsid w:val="00553B1B"/>
    <w:rsid w:val="00554308"/>
    <w:rsid w:val="00554923"/>
    <w:rsid w:val="00554A67"/>
    <w:rsid w:val="00554ACF"/>
    <w:rsid w:val="00554FC0"/>
    <w:rsid w:val="00555993"/>
    <w:rsid w:val="00555C00"/>
    <w:rsid w:val="00556A47"/>
    <w:rsid w:val="00556BB5"/>
    <w:rsid w:val="00557803"/>
    <w:rsid w:val="00560E9F"/>
    <w:rsid w:val="00561AFE"/>
    <w:rsid w:val="005621BC"/>
    <w:rsid w:val="00562AAC"/>
    <w:rsid w:val="005630C5"/>
    <w:rsid w:val="00564195"/>
    <w:rsid w:val="00566499"/>
    <w:rsid w:val="0056732C"/>
    <w:rsid w:val="00567CBA"/>
    <w:rsid w:val="00567EB8"/>
    <w:rsid w:val="00570011"/>
    <w:rsid w:val="00570A58"/>
    <w:rsid w:val="005712BE"/>
    <w:rsid w:val="00571486"/>
    <w:rsid w:val="005714AF"/>
    <w:rsid w:val="005721B1"/>
    <w:rsid w:val="00572289"/>
    <w:rsid w:val="00572A55"/>
    <w:rsid w:val="00573214"/>
    <w:rsid w:val="00573E01"/>
    <w:rsid w:val="00575159"/>
    <w:rsid w:val="00581171"/>
    <w:rsid w:val="005812C5"/>
    <w:rsid w:val="00581764"/>
    <w:rsid w:val="00581D0A"/>
    <w:rsid w:val="00582609"/>
    <w:rsid w:val="0058274F"/>
    <w:rsid w:val="00582F07"/>
    <w:rsid w:val="00583901"/>
    <w:rsid w:val="005841AA"/>
    <w:rsid w:val="0058494B"/>
    <w:rsid w:val="005852B2"/>
    <w:rsid w:val="005853AB"/>
    <w:rsid w:val="0058558E"/>
    <w:rsid w:val="0058774A"/>
    <w:rsid w:val="0059091B"/>
    <w:rsid w:val="00590C82"/>
    <w:rsid w:val="005913B9"/>
    <w:rsid w:val="00591553"/>
    <w:rsid w:val="00593BCA"/>
    <w:rsid w:val="00594BB7"/>
    <w:rsid w:val="00594BD1"/>
    <w:rsid w:val="00594C24"/>
    <w:rsid w:val="00596A1D"/>
    <w:rsid w:val="005976A0"/>
    <w:rsid w:val="005A1F9D"/>
    <w:rsid w:val="005A2FFF"/>
    <w:rsid w:val="005A30BC"/>
    <w:rsid w:val="005A4EDC"/>
    <w:rsid w:val="005A50FD"/>
    <w:rsid w:val="005A567F"/>
    <w:rsid w:val="005A73D4"/>
    <w:rsid w:val="005A765B"/>
    <w:rsid w:val="005A7711"/>
    <w:rsid w:val="005B08C7"/>
    <w:rsid w:val="005B13F3"/>
    <w:rsid w:val="005B1733"/>
    <w:rsid w:val="005B1B9B"/>
    <w:rsid w:val="005B1D7D"/>
    <w:rsid w:val="005B2EA2"/>
    <w:rsid w:val="005B2F19"/>
    <w:rsid w:val="005B34E0"/>
    <w:rsid w:val="005B38DC"/>
    <w:rsid w:val="005B3A3F"/>
    <w:rsid w:val="005B3FA9"/>
    <w:rsid w:val="005B4608"/>
    <w:rsid w:val="005B4C9C"/>
    <w:rsid w:val="005B4F93"/>
    <w:rsid w:val="005B50B4"/>
    <w:rsid w:val="005B54D9"/>
    <w:rsid w:val="005B566A"/>
    <w:rsid w:val="005B61CC"/>
    <w:rsid w:val="005C02F9"/>
    <w:rsid w:val="005C0F95"/>
    <w:rsid w:val="005C117C"/>
    <w:rsid w:val="005C1393"/>
    <w:rsid w:val="005C14BF"/>
    <w:rsid w:val="005C1CBB"/>
    <w:rsid w:val="005C265E"/>
    <w:rsid w:val="005C398C"/>
    <w:rsid w:val="005C48F5"/>
    <w:rsid w:val="005C5148"/>
    <w:rsid w:val="005C5A7E"/>
    <w:rsid w:val="005C7154"/>
    <w:rsid w:val="005C7E39"/>
    <w:rsid w:val="005D0808"/>
    <w:rsid w:val="005D132D"/>
    <w:rsid w:val="005D1980"/>
    <w:rsid w:val="005D21F3"/>
    <w:rsid w:val="005D2F12"/>
    <w:rsid w:val="005D31CA"/>
    <w:rsid w:val="005D32DB"/>
    <w:rsid w:val="005D4E01"/>
    <w:rsid w:val="005D4FE5"/>
    <w:rsid w:val="005D5343"/>
    <w:rsid w:val="005D5F8D"/>
    <w:rsid w:val="005E0245"/>
    <w:rsid w:val="005E0E62"/>
    <w:rsid w:val="005E0F44"/>
    <w:rsid w:val="005E1B2D"/>
    <w:rsid w:val="005E27F6"/>
    <w:rsid w:val="005E331D"/>
    <w:rsid w:val="005E43AB"/>
    <w:rsid w:val="005E493D"/>
    <w:rsid w:val="005E617F"/>
    <w:rsid w:val="005E6268"/>
    <w:rsid w:val="005E6FD2"/>
    <w:rsid w:val="005E7617"/>
    <w:rsid w:val="005E77DA"/>
    <w:rsid w:val="005F0C82"/>
    <w:rsid w:val="005F29BC"/>
    <w:rsid w:val="005F29D3"/>
    <w:rsid w:val="005F2A8E"/>
    <w:rsid w:val="005F30EF"/>
    <w:rsid w:val="005F3443"/>
    <w:rsid w:val="005F3D55"/>
    <w:rsid w:val="005F45B3"/>
    <w:rsid w:val="005F482B"/>
    <w:rsid w:val="005F535E"/>
    <w:rsid w:val="005F62EF"/>
    <w:rsid w:val="006013E2"/>
    <w:rsid w:val="0060174B"/>
    <w:rsid w:val="006017FE"/>
    <w:rsid w:val="00601FB4"/>
    <w:rsid w:val="00603AAC"/>
    <w:rsid w:val="00604E6E"/>
    <w:rsid w:val="006058F7"/>
    <w:rsid w:val="00605919"/>
    <w:rsid w:val="0060654A"/>
    <w:rsid w:val="00607B0E"/>
    <w:rsid w:val="00607F34"/>
    <w:rsid w:val="006104D1"/>
    <w:rsid w:val="00610A1F"/>
    <w:rsid w:val="006119DA"/>
    <w:rsid w:val="00612265"/>
    <w:rsid w:val="00612689"/>
    <w:rsid w:val="006146E2"/>
    <w:rsid w:val="00616452"/>
    <w:rsid w:val="006165E1"/>
    <w:rsid w:val="006166F4"/>
    <w:rsid w:val="0061790B"/>
    <w:rsid w:val="0062012C"/>
    <w:rsid w:val="00620C3A"/>
    <w:rsid w:val="00620D28"/>
    <w:rsid w:val="00621632"/>
    <w:rsid w:val="00621B3B"/>
    <w:rsid w:val="006226B6"/>
    <w:rsid w:val="00622790"/>
    <w:rsid w:val="00622A76"/>
    <w:rsid w:val="00623C37"/>
    <w:rsid w:val="00624B3C"/>
    <w:rsid w:val="00625CD5"/>
    <w:rsid w:val="00626614"/>
    <w:rsid w:val="00627B2E"/>
    <w:rsid w:val="00630431"/>
    <w:rsid w:val="0063057F"/>
    <w:rsid w:val="00630BDD"/>
    <w:rsid w:val="00630FDA"/>
    <w:rsid w:val="00631D30"/>
    <w:rsid w:val="00633707"/>
    <w:rsid w:val="00635BE5"/>
    <w:rsid w:val="00635D3E"/>
    <w:rsid w:val="00636120"/>
    <w:rsid w:val="00636313"/>
    <w:rsid w:val="00636318"/>
    <w:rsid w:val="00637353"/>
    <w:rsid w:val="00640763"/>
    <w:rsid w:val="006409D3"/>
    <w:rsid w:val="00641C13"/>
    <w:rsid w:val="00642C40"/>
    <w:rsid w:val="00644287"/>
    <w:rsid w:val="00644421"/>
    <w:rsid w:val="00645FC4"/>
    <w:rsid w:val="0064663A"/>
    <w:rsid w:val="00646673"/>
    <w:rsid w:val="00646C2F"/>
    <w:rsid w:val="00646EC6"/>
    <w:rsid w:val="00647266"/>
    <w:rsid w:val="00650FE7"/>
    <w:rsid w:val="00651148"/>
    <w:rsid w:val="0065174C"/>
    <w:rsid w:val="00651B6E"/>
    <w:rsid w:val="00653342"/>
    <w:rsid w:val="00653CAA"/>
    <w:rsid w:val="00655D5D"/>
    <w:rsid w:val="00657108"/>
    <w:rsid w:val="0065791A"/>
    <w:rsid w:val="00657C6A"/>
    <w:rsid w:val="00660E48"/>
    <w:rsid w:val="006610C4"/>
    <w:rsid w:val="00661A65"/>
    <w:rsid w:val="006622A8"/>
    <w:rsid w:val="00662874"/>
    <w:rsid w:val="0066424F"/>
    <w:rsid w:val="00664676"/>
    <w:rsid w:val="006657E5"/>
    <w:rsid w:val="00666854"/>
    <w:rsid w:val="00667147"/>
    <w:rsid w:val="00667159"/>
    <w:rsid w:val="006678DA"/>
    <w:rsid w:val="00667E52"/>
    <w:rsid w:val="00670AB9"/>
    <w:rsid w:val="00670BAD"/>
    <w:rsid w:val="00671BEB"/>
    <w:rsid w:val="00671D3F"/>
    <w:rsid w:val="00671D65"/>
    <w:rsid w:val="00672195"/>
    <w:rsid w:val="006722E0"/>
    <w:rsid w:val="006736CA"/>
    <w:rsid w:val="00674134"/>
    <w:rsid w:val="0067456A"/>
    <w:rsid w:val="00674A17"/>
    <w:rsid w:val="00675230"/>
    <w:rsid w:val="00675830"/>
    <w:rsid w:val="0068004A"/>
    <w:rsid w:val="00680263"/>
    <w:rsid w:val="00680E63"/>
    <w:rsid w:val="006817CC"/>
    <w:rsid w:val="00681B35"/>
    <w:rsid w:val="00682D76"/>
    <w:rsid w:val="00684197"/>
    <w:rsid w:val="006855B0"/>
    <w:rsid w:val="00685885"/>
    <w:rsid w:val="006859A3"/>
    <w:rsid w:val="00686900"/>
    <w:rsid w:val="00687104"/>
    <w:rsid w:val="00687572"/>
    <w:rsid w:val="00687F37"/>
    <w:rsid w:val="00687F46"/>
    <w:rsid w:val="00690A5E"/>
    <w:rsid w:val="00690C51"/>
    <w:rsid w:val="006912DF"/>
    <w:rsid w:val="00692AD6"/>
    <w:rsid w:val="006932BF"/>
    <w:rsid w:val="0069372A"/>
    <w:rsid w:val="006937F6"/>
    <w:rsid w:val="00693DD3"/>
    <w:rsid w:val="00694954"/>
    <w:rsid w:val="006956AC"/>
    <w:rsid w:val="0069670E"/>
    <w:rsid w:val="00697248"/>
    <w:rsid w:val="00697ADC"/>
    <w:rsid w:val="00697CEF"/>
    <w:rsid w:val="006A0EA4"/>
    <w:rsid w:val="006A15C2"/>
    <w:rsid w:val="006A3074"/>
    <w:rsid w:val="006A3B3F"/>
    <w:rsid w:val="006A3E46"/>
    <w:rsid w:val="006A4C7F"/>
    <w:rsid w:val="006A58A0"/>
    <w:rsid w:val="006A5CDE"/>
    <w:rsid w:val="006A6FB9"/>
    <w:rsid w:val="006A70AB"/>
    <w:rsid w:val="006A7166"/>
    <w:rsid w:val="006A7B4B"/>
    <w:rsid w:val="006B0466"/>
    <w:rsid w:val="006B0E35"/>
    <w:rsid w:val="006B1161"/>
    <w:rsid w:val="006B2422"/>
    <w:rsid w:val="006B380B"/>
    <w:rsid w:val="006B3C38"/>
    <w:rsid w:val="006B40F2"/>
    <w:rsid w:val="006B42BF"/>
    <w:rsid w:val="006B7CE8"/>
    <w:rsid w:val="006B7D74"/>
    <w:rsid w:val="006B7E8A"/>
    <w:rsid w:val="006C11B4"/>
    <w:rsid w:val="006C1357"/>
    <w:rsid w:val="006C1644"/>
    <w:rsid w:val="006C1F6C"/>
    <w:rsid w:val="006C2FA4"/>
    <w:rsid w:val="006C43BA"/>
    <w:rsid w:val="006C5525"/>
    <w:rsid w:val="006C6913"/>
    <w:rsid w:val="006D0B23"/>
    <w:rsid w:val="006D1B32"/>
    <w:rsid w:val="006D1DFC"/>
    <w:rsid w:val="006D2FBA"/>
    <w:rsid w:val="006D3477"/>
    <w:rsid w:val="006D36BC"/>
    <w:rsid w:val="006D4CB0"/>
    <w:rsid w:val="006D581D"/>
    <w:rsid w:val="006D77C2"/>
    <w:rsid w:val="006E0CFB"/>
    <w:rsid w:val="006E16A7"/>
    <w:rsid w:val="006E1EA9"/>
    <w:rsid w:val="006E202C"/>
    <w:rsid w:val="006E2647"/>
    <w:rsid w:val="006E272F"/>
    <w:rsid w:val="006E28A2"/>
    <w:rsid w:val="006E2CF6"/>
    <w:rsid w:val="006E31F9"/>
    <w:rsid w:val="006E339E"/>
    <w:rsid w:val="006E35EA"/>
    <w:rsid w:val="006E3E3A"/>
    <w:rsid w:val="006E40FD"/>
    <w:rsid w:val="006E4A27"/>
    <w:rsid w:val="006E4CE6"/>
    <w:rsid w:val="006E5143"/>
    <w:rsid w:val="006E5212"/>
    <w:rsid w:val="006E585F"/>
    <w:rsid w:val="006E65B5"/>
    <w:rsid w:val="006F11BE"/>
    <w:rsid w:val="006F2EC3"/>
    <w:rsid w:val="006F3371"/>
    <w:rsid w:val="006F3488"/>
    <w:rsid w:val="006F3AE9"/>
    <w:rsid w:val="006F3D14"/>
    <w:rsid w:val="006F49F1"/>
    <w:rsid w:val="006F5080"/>
    <w:rsid w:val="006F5156"/>
    <w:rsid w:val="006F6260"/>
    <w:rsid w:val="006F63AD"/>
    <w:rsid w:val="006F66F9"/>
    <w:rsid w:val="006F69CC"/>
    <w:rsid w:val="006F6B7B"/>
    <w:rsid w:val="006F6CE3"/>
    <w:rsid w:val="006F7CC3"/>
    <w:rsid w:val="007009A2"/>
    <w:rsid w:val="007029DA"/>
    <w:rsid w:val="00703ED4"/>
    <w:rsid w:val="00704056"/>
    <w:rsid w:val="00704173"/>
    <w:rsid w:val="007046CF"/>
    <w:rsid w:val="0070663B"/>
    <w:rsid w:val="00706658"/>
    <w:rsid w:val="00706DD8"/>
    <w:rsid w:val="0070753F"/>
    <w:rsid w:val="00710AB8"/>
    <w:rsid w:val="00710ABA"/>
    <w:rsid w:val="00710B84"/>
    <w:rsid w:val="00710F17"/>
    <w:rsid w:val="00711345"/>
    <w:rsid w:val="00711443"/>
    <w:rsid w:val="00711BCB"/>
    <w:rsid w:val="00713248"/>
    <w:rsid w:val="007152B0"/>
    <w:rsid w:val="00715367"/>
    <w:rsid w:val="007162D7"/>
    <w:rsid w:val="00716420"/>
    <w:rsid w:val="00716605"/>
    <w:rsid w:val="007179B0"/>
    <w:rsid w:val="00717A41"/>
    <w:rsid w:val="00717C71"/>
    <w:rsid w:val="007216E3"/>
    <w:rsid w:val="00721E0C"/>
    <w:rsid w:val="00721FD7"/>
    <w:rsid w:val="007220DD"/>
    <w:rsid w:val="0072263E"/>
    <w:rsid w:val="00722EF9"/>
    <w:rsid w:val="00723199"/>
    <w:rsid w:val="007231FE"/>
    <w:rsid w:val="00723EBE"/>
    <w:rsid w:val="00724063"/>
    <w:rsid w:val="00724977"/>
    <w:rsid w:val="0072637A"/>
    <w:rsid w:val="0072658C"/>
    <w:rsid w:val="00726983"/>
    <w:rsid w:val="007301D6"/>
    <w:rsid w:val="00732E0C"/>
    <w:rsid w:val="007345C2"/>
    <w:rsid w:val="007348EE"/>
    <w:rsid w:val="007354E3"/>
    <w:rsid w:val="00740B08"/>
    <w:rsid w:val="00741011"/>
    <w:rsid w:val="0074226C"/>
    <w:rsid w:val="0074241F"/>
    <w:rsid w:val="00742741"/>
    <w:rsid w:val="00743881"/>
    <w:rsid w:val="00744865"/>
    <w:rsid w:val="00744A56"/>
    <w:rsid w:val="00744FAC"/>
    <w:rsid w:val="00745A96"/>
    <w:rsid w:val="0074617D"/>
    <w:rsid w:val="007466A1"/>
    <w:rsid w:val="00746EB4"/>
    <w:rsid w:val="00747224"/>
    <w:rsid w:val="007515F9"/>
    <w:rsid w:val="00751850"/>
    <w:rsid w:val="00751B64"/>
    <w:rsid w:val="00752711"/>
    <w:rsid w:val="00753A85"/>
    <w:rsid w:val="00753BAE"/>
    <w:rsid w:val="00754716"/>
    <w:rsid w:val="007559B4"/>
    <w:rsid w:val="00755A9A"/>
    <w:rsid w:val="0075698E"/>
    <w:rsid w:val="00756A8D"/>
    <w:rsid w:val="00757259"/>
    <w:rsid w:val="00757ACE"/>
    <w:rsid w:val="00760DC9"/>
    <w:rsid w:val="00761466"/>
    <w:rsid w:val="0076161F"/>
    <w:rsid w:val="00761E21"/>
    <w:rsid w:val="0076309B"/>
    <w:rsid w:val="0076451E"/>
    <w:rsid w:val="00764C47"/>
    <w:rsid w:val="00764CA0"/>
    <w:rsid w:val="00765042"/>
    <w:rsid w:val="00765F3A"/>
    <w:rsid w:val="007665C6"/>
    <w:rsid w:val="00766AB2"/>
    <w:rsid w:val="0076796B"/>
    <w:rsid w:val="007707A0"/>
    <w:rsid w:val="00773C21"/>
    <w:rsid w:val="00773D92"/>
    <w:rsid w:val="00773E2C"/>
    <w:rsid w:val="007747E6"/>
    <w:rsid w:val="00774CDE"/>
    <w:rsid w:val="00774D77"/>
    <w:rsid w:val="00774F40"/>
    <w:rsid w:val="00775351"/>
    <w:rsid w:val="007753CC"/>
    <w:rsid w:val="00775758"/>
    <w:rsid w:val="0077596D"/>
    <w:rsid w:val="00776790"/>
    <w:rsid w:val="00777577"/>
    <w:rsid w:val="00781CA7"/>
    <w:rsid w:val="007831C3"/>
    <w:rsid w:val="00783660"/>
    <w:rsid w:val="00783677"/>
    <w:rsid w:val="00783FB0"/>
    <w:rsid w:val="00784076"/>
    <w:rsid w:val="0078505F"/>
    <w:rsid w:val="0078565E"/>
    <w:rsid w:val="00785B46"/>
    <w:rsid w:val="0078622C"/>
    <w:rsid w:val="00786A06"/>
    <w:rsid w:val="00786ABE"/>
    <w:rsid w:val="007872A4"/>
    <w:rsid w:val="0078758A"/>
    <w:rsid w:val="0078761B"/>
    <w:rsid w:val="00790CF4"/>
    <w:rsid w:val="00791434"/>
    <w:rsid w:val="0079179C"/>
    <w:rsid w:val="0079340B"/>
    <w:rsid w:val="0079373E"/>
    <w:rsid w:val="0079431A"/>
    <w:rsid w:val="00794565"/>
    <w:rsid w:val="007945BD"/>
    <w:rsid w:val="007954D5"/>
    <w:rsid w:val="00795B2B"/>
    <w:rsid w:val="00796E69"/>
    <w:rsid w:val="00797546"/>
    <w:rsid w:val="00797FCF"/>
    <w:rsid w:val="007A0400"/>
    <w:rsid w:val="007A07BC"/>
    <w:rsid w:val="007A142A"/>
    <w:rsid w:val="007A1A6C"/>
    <w:rsid w:val="007A20AB"/>
    <w:rsid w:val="007A282D"/>
    <w:rsid w:val="007A2D0F"/>
    <w:rsid w:val="007A3006"/>
    <w:rsid w:val="007A3382"/>
    <w:rsid w:val="007A33F9"/>
    <w:rsid w:val="007A3BD8"/>
    <w:rsid w:val="007A4412"/>
    <w:rsid w:val="007A4616"/>
    <w:rsid w:val="007A543E"/>
    <w:rsid w:val="007A60BA"/>
    <w:rsid w:val="007A7456"/>
    <w:rsid w:val="007A79E3"/>
    <w:rsid w:val="007B02F8"/>
    <w:rsid w:val="007B0B8E"/>
    <w:rsid w:val="007B0F2B"/>
    <w:rsid w:val="007B114D"/>
    <w:rsid w:val="007B16F3"/>
    <w:rsid w:val="007B28F2"/>
    <w:rsid w:val="007B2E90"/>
    <w:rsid w:val="007B2EEA"/>
    <w:rsid w:val="007B381F"/>
    <w:rsid w:val="007B437E"/>
    <w:rsid w:val="007B470D"/>
    <w:rsid w:val="007B4C80"/>
    <w:rsid w:val="007B52D4"/>
    <w:rsid w:val="007B56CE"/>
    <w:rsid w:val="007B6120"/>
    <w:rsid w:val="007B6A31"/>
    <w:rsid w:val="007B7BEA"/>
    <w:rsid w:val="007C07FF"/>
    <w:rsid w:val="007C11BB"/>
    <w:rsid w:val="007C1283"/>
    <w:rsid w:val="007C15A2"/>
    <w:rsid w:val="007C167C"/>
    <w:rsid w:val="007C16E8"/>
    <w:rsid w:val="007C197F"/>
    <w:rsid w:val="007C1F15"/>
    <w:rsid w:val="007C4126"/>
    <w:rsid w:val="007C4378"/>
    <w:rsid w:val="007C477A"/>
    <w:rsid w:val="007C47CE"/>
    <w:rsid w:val="007C56E5"/>
    <w:rsid w:val="007C7C25"/>
    <w:rsid w:val="007C7DE2"/>
    <w:rsid w:val="007C7F11"/>
    <w:rsid w:val="007C7F57"/>
    <w:rsid w:val="007D1471"/>
    <w:rsid w:val="007D1F9E"/>
    <w:rsid w:val="007D2777"/>
    <w:rsid w:val="007D2A26"/>
    <w:rsid w:val="007D3798"/>
    <w:rsid w:val="007D38D1"/>
    <w:rsid w:val="007D413B"/>
    <w:rsid w:val="007D4F26"/>
    <w:rsid w:val="007D4FFF"/>
    <w:rsid w:val="007D5539"/>
    <w:rsid w:val="007D6E0E"/>
    <w:rsid w:val="007D70C6"/>
    <w:rsid w:val="007D7A54"/>
    <w:rsid w:val="007E00D1"/>
    <w:rsid w:val="007E0872"/>
    <w:rsid w:val="007E0D32"/>
    <w:rsid w:val="007E12E8"/>
    <w:rsid w:val="007E1743"/>
    <w:rsid w:val="007E23B5"/>
    <w:rsid w:val="007E263B"/>
    <w:rsid w:val="007E3280"/>
    <w:rsid w:val="007E3545"/>
    <w:rsid w:val="007E3B87"/>
    <w:rsid w:val="007E4EF0"/>
    <w:rsid w:val="007F20EC"/>
    <w:rsid w:val="007F5A78"/>
    <w:rsid w:val="007F6339"/>
    <w:rsid w:val="007F6F30"/>
    <w:rsid w:val="00800046"/>
    <w:rsid w:val="00800676"/>
    <w:rsid w:val="00802AB3"/>
    <w:rsid w:val="00802E39"/>
    <w:rsid w:val="00802FF9"/>
    <w:rsid w:val="0080321C"/>
    <w:rsid w:val="00804B0B"/>
    <w:rsid w:val="00805FF9"/>
    <w:rsid w:val="00807F10"/>
    <w:rsid w:val="0081017E"/>
    <w:rsid w:val="00810432"/>
    <w:rsid w:val="00811B5A"/>
    <w:rsid w:val="00811E62"/>
    <w:rsid w:val="0081296C"/>
    <w:rsid w:val="00812A44"/>
    <w:rsid w:val="00812C79"/>
    <w:rsid w:val="00813142"/>
    <w:rsid w:val="008132A3"/>
    <w:rsid w:val="0081421C"/>
    <w:rsid w:val="00814745"/>
    <w:rsid w:val="00814AD9"/>
    <w:rsid w:val="00814E9C"/>
    <w:rsid w:val="0081507B"/>
    <w:rsid w:val="0081507E"/>
    <w:rsid w:val="00816A4B"/>
    <w:rsid w:val="008201D3"/>
    <w:rsid w:val="00822088"/>
    <w:rsid w:val="00822D68"/>
    <w:rsid w:val="00823703"/>
    <w:rsid w:val="00823A2E"/>
    <w:rsid w:val="0082431A"/>
    <w:rsid w:val="008261FE"/>
    <w:rsid w:val="00826C67"/>
    <w:rsid w:val="008279F5"/>
    <w:rsid w:val="00827C7A"/>
    <w:rsid w:val="00831072"/>
    <w:rsid w:val="0083254E"/>
    <w:rsid w:val="00833226"/>
    <w:rsid w:val="00833758"/>
    <w:rsid w:val="0083458C"/>
    <w:rsid w:val="00834C1E"/>
    <w:rsid w:val="0083594A"/>
    <w:rsid w:val="0083603D"/>
    <w:rsid w:val="008376A0"/>
    <w:rsid w:val="00837747"/>
    <w:rsid w:val="008378FC"/>
    <w:rsid w:val="00837DE6"/>
    <w:rsid w:val="00842063"/>
    <w:rsid w:val="00844053"/>
    <w:rsid w:val="00844454"/>
    <w:rsid w:val="00845A8B"/>
    <w:rsid w:val="00846136"/>
    <w:rsid w:val="0084622D"/>
    <w:rsid w:val="0084630E"/>
    <w:rsid w:val="0084662C"/>
    <w:rsid w:val="008470F8"/>
    <w:rsid w:val="008478D0"/>
    <w:rsid w:val="00850B97"/>
    <w:rsid w:val="008513DB"/>
    <w:rsid w:val="00851A32"/>
    <w:rsid w:val="008535F4"/>
    <w:rsid w:val="008537F0"/>
    <w:rsid w:val="0085409B"/>
    <w:rsid w:val="00854C35"/>
    <w:rsid w:val="008551EB"/>
    <w:rsid w:val="0085562B"/>
    <w:rsid w:val="00855736"/>
    <w:rsid w:val="00855B4A"/>
    <w:rsid w:val="00856C7F"/>
    <w:rsid w:val="00857012"/>
    <w:rsid w:val="008572A3"/>
    <w:rsid w:val="00860505"/>
    <w:rsid w:val="00861054"/>
    <w:rsid w:val="0086120D"/>
    <w:rsid w:val="008624EA"/>
    <w:rsid w:val="008639E1"/>
    <w:rsid w:val="00863ACC"/>
    <w:rsid w:val="00864905"/>
    <w:rsid w:val="00865074"/>
    <w:rsid w:val="00865595"/>
    <w:rsid w:val="00866046"/>
    <w:rsid w:val="008665BC"/>
    <w:rsid w:val="008667E2"/>
    <w:rsid w:val="00866A5C"/>
    <w:rsid w:val="00866CE2"/>
    <w:rsid w:val="00870909"/>
    <w:rsid w:val="00870C28"/>
    <w:rsid w:val="00871790"/>
    <w:rsid w:val="008727F7"/>
    <w:rsid w:val="00873B61"/>
    <w:rsid w:val="00874268"/>
    <w:rsid w:val="00876FF0"/>
    <w:rsid w:val="008775C0"/>
    <w:rsid w:val="00877EB4"/>
    <w:rsid w:val="00880691"/>
    <w:rsid w:val="00880D15"/>
    <w:rsid w:val="00882625"/>
    <w:rsid w:val="00882C9D"/>
    <w:rsid w:val="00883042"/>
    <w:rsid w:val="00883FBD"/>
    <w:rsid w:val="00885AEA"/>
    <w:rsid w:val="008866BE"/>
    <w:rsid w:val="008867C4"/>
    <w:rsid w:val="00887029"/>
    <w:rsid w:val="00890028"/>
    <w:rsid w:val="00890236"/>
    <w:rsid w:val="00892668"/>
    <w:rsid w:val="008928C8"/>
    <w:rsid w:val="00892A56"/>
    <w:rsid w:val="00894EB8"/>
    <w:rsid w:val="00896522"/>
    <w:rsid w:val="008977DB"/>
    <w:rsid w:val="008A072F"/>
    <w:rsid w:val="008A1729"/>
    <w:rsid w:val="008A29B1"/>
    <w:rsid w:val="008A2BB1"/>
    <w:rsid w:val="008A371C"/>
    <w:rsid w:val="008A3947"/>
    <w:rsid w:val="008A6577"/>
    <w:rsid w:val="008B101A"/>
    <w:rsid w:val="008B13C0"/>
    <w:rsid w:val="008B1C71"/>
    <w:rsid w:val="008B20EF"/>
    <w:rsid w:val="008B2606"/>
    <w:rsid w:val="008B293E"/>
    <w:rsid w:val="008B31C0"/>
    <w:rsid w:val="008B38B9"/>
    <w:rsid w:val="008B4AF9"/>
    <w:rsid w:val="008B52E8"/>
    <w:rsid w:val="008B5A6D"/>
    <w:rsid w:val="008B7288"/>
    <w:rsid w:val="008B7340"/>
    <w:rsid w:val="008B7FA8"/>
    <w:rsid w:val="008C012F"/>
    <w:rsid w:val="008C2C3A"/>
    <w:rsid w:val="008C2F5C"/>
    <w:rsid w:val="008C2F9C"/>
    <w:rsid w:val="008C3301"/>
    <w:rsid w:val="008C4D0E"/>
    <w:rsid w:val="008C55C7"/>
    <w:rsid w:val="008C5C78"/>
    <w:rsid w:val="008C62F9"/>
    <w:rsid w:val="008C677D"/>
    <w:rsid w:val="008C6B28"/>
    <w:rsid w:val="008C717E"/>
    <w:rsid w:val="008C7E46"/>
    <w:rsid w:val="008D018E"/>
    <w:rsid w:val="008D03B4"/>
    <w:rsid w:val="008D0A1C"/>
    <w:rsid w:val="008D1535"/>
    <w:rsid w:val="008D2AD9"/>
    <w:rsid w:val="008D2C4E"/>
    <w:rsid w:val="008D3CB3"/>
    <w:rsid w:val="008D477A"/>
    <w:rsid w:val="008D66D5"/>
    <w:rsid w:val="008D7101"/>
    <w:rsid w:val="008D7578"/>
    <w:rsid w:val="008D7B76"/>
    <w:rsid w:val="008E073D"/>
    <w:rsid w:val="008E0D69"/>
    <w:rsid w:val="008E1695"/>
    <w:rsid w:val="008E2425"/>
    <w:rsid w:val="008E2B61"/>
    <w:rsid w:val="008E44EA"/>
    <w:rsid w:val="008E465C"/>
    <w:rsid w:val="008E5539"/>
    <w:rsid w:val="008E5EA5"/>
    <w:rsid w:val="008E615C"/>
    <w:rsid w:val="008E654C"/>
    <w:rsid w:val="008E66A9"/>
    <w:rsid w:val="008E6EF1"/>
    <w:rsid w:val="008E7484"/>
    <w:rsid w:val="008E7F35"/>
    <w:rsid w:val="008F01E2"/>
    <w:rsid w:val="008F0FB7"/>
    <w:rsid w:val="008F21AC"/>
    <w:rsid w:val="008F24E6"/>
    <w:rsid w:val="008F3711"/>
    <w:rsid w:val="008F3B4D"/>
    <w:rsid w:val="008F3F15"/>
    <w:rsid w:val="008F40F4"/>
    <w:rsid w:val="008F48F3"/>
    <w:rsid w:val="008F4E02"/>
    <w:rsid w:val="008F5780"/>
    <w:rsid w:val="008F5BA8"/>
    <w:rsid w:val="008F5DE7"/>
    <w:rsid w:val="008F6CAF"/>
    <w:rsid w:val="008F6E38"/>
    <w:rsid w:val="008F7052"/>
    <w:rsid w:val="008F7143"/>
    <w:rsid w:val="008F7249"/>
    <w:rsid w:val="008F7673"/>
    <w:rsid w:val="00901BB0"/>
    <w:rsid w:val="00902551"/>
    <w:rsid w:val="0090258D"/>
    <w:rsid w:val="009027D9"/>
    <w:rsid w:val="00902B2D"/>
    <w:rsid w:val="00902DC3"/>
    <w:rsid w:val="00902EC9"/>
    <w:rsid w:val="00904624"/>
    <w:rsid w:val="009053D3"/>
    <w:rsid w:val="00906276"/>
    <w:rsid w:val="0090698B"/>
    <w:rsid w:val="0090758B"/>
    <w:rsid w:val="00907DC5"/>
    <w:rsid w:val="00910D30"/>
    <w:rsid w:val="00913F4D"/>
    <w:rsid w:val="00914112"/>
    <w:rsid w:val="00914365"/>
    <w:rsid w:val="00914ABF"/>
    <w:rsid w:val="00915097"/>
    <w:rsid w:val="00915C0A"/>
    <w:rsid w:val="00915D8C"/>
    <w:rsid w:val="00916736"/>
    <w:rsid w:val="009201B1"/>
    <w:rsid w:val="0092205A"/>
    <w:rsid w:val="009222B3"/>
    <w:rsid w:val="009235A5"/>
    <w:rsid w:val="00925741"/>
    <w:rsid w:val="0092661D"/>
    <w:rsid w:val="0092770A"/>
    <w:rsid w:val="009278E6"/>
    <w:rsid w:val="00927DE4"/>
    <w:rsid w:val="00927F31"/>
    <w:rsid w:val="0093066B"/>
    <w:rsid w:val="00930929"/>
    <w:rsid w:val="00930C34"/>
    <w:rsid w:val="00930D24"/>
    <w:rsid w:val="00931900"/>
    <w:rsid w:val="0093404B"/>
    <w:rsid w:val="009347BB"/>
    <w:rsid w:val="009349F4"/>
    <w:rsid w:val="00934EDC"/>
    <w:rsid w:val="00935B23"/>
    <w:rsid w:val="00936C73"/>
    <w:rsid w:val="00937736"/>
    <w:rsid w:val="00940203"/>
    <w:rsid w:val="00940937"/>
    <w:rsid w:val="00940C2A"/>
    <w:rsid w:val="0094181A"/>
    <w:rsid w:val="00942339"/>
    <w:rsid w:val="009423E0"/>
    <w:rsid w:val="00942B0A"/>
    <w:rsid w:val="009430EE"/>
    <w:rsid w:val="00943C95"/>
    <w:rsid w:val="00943F58"/>
    <w:rsid w:val="0094408D"/>
    <w:rsid w:val="009441CC"/>
    <w:rsid w:val="00944529"/>
    <w:rsid w:val="009445C9"/>
    <w:rsid w:val="00945CD8"/>
    <w:rsid w:val="0094612E"/>
    <w:rsid w:val="009462A0"/>
    <w:rsid w:val="00946A66"/>
    <w:rsid w:val="00946B01"/>
    <w:rsid w:val="00946F26"/>
    <w:rsid w:val="0094784B"/>
    <w:rsid w:val="00947F2A"/>
    <w:rsid w:val="00950127"/>
    <w:rsid w:val="0095117F"/>
    <w:rsid w:val="009516EB"/>
    <w:rsid w:val="0095227E"/>
    <w:rsid w:val="00952AB5"/>
    <w:rsid w:val="00952C20"/>
    <w:rsid w:val="00953628"/>
    <w:rsid w:val="00953704"/>
    <w:rsid w:val="0095489E"/>
    <w:rsid w:val="00955284"/>
    <w:rsid w:val="00955B2A"/>
    <w:rsid w:val="00955E4C"/>
    <w:rsid w:val="00956D42"/>
    <w:rsid w:val="00956E6E"/>
    <w:rsid w:val="009571D3"/>
    <w:rsid w:val="00957943"/>
    <w:rsid w:val="009620FE"/>
    <w:rsid w:val="00962A4D"/>
    <w:rsid w:val="009631B3"/>
    <w:rsid w:val="00964007"/>
    <w:rsid w:val="009643AC"/>
    <w:rsid w:val="00965B1D"/>
    <w:rsid w:val="0096686E"/>
    <w:rsid w:val="0097020B"/>
    <w:rsid w:val="00971128"/>
    <w:rsid w:val="0097222E"/>
    <w:rsid w:val="00973561"/>
    <w:rsid w:val="00973C08"/>
    <w:rsid w:val="00974F71"/>
    <w:rsid w:val="00976746"/>
    <w:rsid w:val="009767DD"/>
    <w:rsid w:val="00976BDC"/>
    <w:rsid w:val="00977569"/>
    <w:rsid w:val="00977D2D"/>
    <w:rsid w:val="0098115C"/>
    <w:rsid w:val="00981885"/>
    <w:rsid w:val="00981D32"/>
    <w:rsid w:val="0098245F"/>
    <w:rsid w:val="00983AA6"/>
    <w:rsid w:val="00984E23"/>
    <w:rsid w:val="0098563E"/>
    <w:rsid w:val="00985AE7"/>
    <w:rsid w:val="00986912"/>
    <w:rsid w:val="009875D6"/>
    <w:rsid w:val="00987ABA"/>
    <w:rsid w:val="0099030A"/>
    <w:rsid w:val="0099290C"/>
    <w:rsid w:val="00992D49"/>
    <w:rsid w:val="00993684"/>
    <w:rsid w:val="00994779"/>
    <w:rsid w:val="00994A63"/>
    <w:rsid w:val="0099656C"/>
    <w:rsid w:val="00997073"/>
    <w:rsid w:val="0099771F"/>
    <w:rsid w:val="00997CE7"/>
    <w:rsid w:val="009A010B"/>
    <w:rsid w:val="009A058E"/>
    <w:rsid w:val="009A1B77"/>
    <w:rsid w:val="009A296C"/>
    <w:rsid w:val="009A466C"/>
    <w:rsid w:val="009A4672"/>
    <w:rsid w:val="009A5276"/>
    <w:rsid w:val="009A55D3"/>
    <w:rsid w:val="009A5709"/>
    <w:rsid w:val="009A6251"/>
    <w:rsid w:val="009A730F"/>
    <w:rsid w:val="009B07A2"/>
    <w:rsid w:val="009B097E"/>
    <w:rsid w:val="009B0CAE"/>
    <w:rsid w:val="009B1398"/>
    <w:rsid w:val="009B13BF"/>
    <w:rsid w:val="009B16F1"/>
    <w:rsid w:val="009B1C61"/>
    <w:rsid w:val="009B2469"/>
    <w:rsid w:val="009B24F2"/>
    <w:rsid w:val="009B2B24"/>
    <w:rsid w:val="009B2D15"/>
    <w:rsid w:val="009B312C"/>
    <w:rsid w:val="009B342B"/>
    <w:rsid w:val="009B3560"/>
    <w:rsid w:val="009B39F7"/>
    <w:rsid w:val="009B509B"/>
    <w:rsid w:val="009B5BB4"/>
    <w:rsid w:val="009C0A66"/>
    <w:rsid w:val="009C2035"/>
    <w:rsid w:val="009C2A1C"/>
    <w:rsid w:val="009C3945"/>
    <w:rsid w:val="009C54DB"/>
    <w:rsid w:val="009C5655"/>
    <w:rsid w:val="009C576A"/>
    <w:rsid w:val="009C5A0D"/>
    <w:rsid w:val="009C63FF"/>
    <w:rsid w:val="009C754A"/>
    <w:rsid w:val="009D1A79"/>
    <w:rsid w:val="009D3680"/>
    <w:rsid w:val="009D3BE5"/>
    <w:rsid w:val="009D4181"/>
    <w:rsid w:val="009D66AC"/>
    <w:rsid w:val="009E2403"/>
    <w:rsid w:val="009E261E"/>
    <w:rsid w:val="009E282A"/>
    <w:rsid w:val="009E2BE5"/>
    <w:rsid w:val="009E2F24"/>
    <w:rsid w:val="009E39E9"/>
    <w:rsid w:val="009E46E8"/>
    <w:rsid w:val="009E5B64"/>
    <w:rsid w:val="009E71E7"/>
    <w:rsid w:val="009F01D5"/>
    <w:rsid w:val="009F0C40"/>
    <w:rsid w:val="009F12FD"/>
    <w:rsid w:val="009F13B9"/>
    <w:rsid w:val="009F1B4F"/>
    <w:rsid w:val="009F376B"/>
    <w:rsid w:val="009F474E"/>
    <w:rsid w:val="009F50E4"/>
    <w:rsid w:val="009F5692"/>
    <w:rsid w:val="009F585E"/>
    <w:rsid w:val="009F5E38"/>
    <w:rsid w:val="009F6C3E"/>
    <w:rsid w:val="009F70FB"/>
    <w:rsid w:val="009F72AA"/>
    <w:rsid w:val="009F7C76"/>
    <w:rsid w:val="00A006F1"/>
    <w:rsid w:val="00A024DE"/>
    <w:rsid w:val="00A03381"/>
    <w:rsid w:val="00A03CA3"/>
    <w:rsid w:val="00A04BE2"/>
    <w:rsid w:val="00A05142"/>
    <w:rsid w:val="00A0538C"/>
    <w:rsid w:val="00A068CB"/>
    <w:rsid w:val="00A068DA"/>
    <w:rsid w:val="00A11013"/>
    <w:rsid w:val="00A1122C"/>
    <w:rsid w:val="00A117B0"/>
    <w:rsid w:val="00A1396A"/>
    <w:rsid w:val="00A143E6"/>
    <w:rsid w:val="00A15961"/>
    <w:rsid w:val="00A15B02"/>
    <w:rsid w:val="00A163C1"/>
    <w:rsid w:val="00A16E44"/>
    <w:rsid w:val="00A177BB"/>
    <w:rsid w:val="00A201CE"/>
    <w:rsid w:val="00A235AF"/>
    <w:rsid w:val="00A23B3A"/>
    <w:rsid w:val="00A23F38"/>
    <w:rsid w:val="00A25E9D"/>
    <w:rsid w:val="00A26952"/>
    <w:rsid w:val="00A27018"/>
    <w:rsid w:val="00A302FF"/>
    <w:rsid w:val="00A3143C"/>
    <w:rsid w:val="00A32EE8"/>
    <w:rsid w:val="00A33232"/>
    <w:rsid w:val="00A33D83"/>
    <w:rsid w:val="00A346FD"/>
    <w:rsid w:val="00A347CE"/>
    <w:rsid w:val="00A35743"/>
    <w:rsid w:val="00A358FC"/>
    <w:rsid w:val="00A3595C"/>
    <w:rsid w:val="00A35C55"/>
    <w:rsid w:val="00A35C9D"/>
    <w:rsid w:val="00A365A2"/>
    <w:rsid w:val="00A370FC"/>
    <w:rsid w:val="00A37D13"/>
    <w:rsid w:val="00A402C2"/>
    <w:rsid w:val="00A403DE"/>
    <w:rsid w:val="00A40703"/>
    <w:rsid w:val="00A40DD5"/>
    <w:rsid w:val="00A40F88"/>
    <w:rsid w:val="00A415E0"/>
    <w:rsid w:val="00A42188"/>
    <w:rsid w:val="00A42F2D"/>
    <w:rsid w:val="00A43BAF"/>
    <w:rsid w:val="00A44097"/>
    <w:rsid w:val="00A444D1"/>
    <w:rsid w:val="00A44C76"/>
    <w:rsid w:val="00A45431"/>
    <w:rsid w:val="00A4666C"/>
    <w:rsid w:val="00A46924"/>
    <w:rsid w:val="00A469D9"/>
    <w:rsid w:val="00A469DF"/>
    <w:rsid w:val="00A46D13"/>
    <w:rsid w:val="00A46E22"/>
    <w:rsid w:val="00A47574"/>
    <w:rsid w:val="00A50B7D"/>
    <w:rsid w:val="00A50D7B"/>
    <w:rsid w:val="00A5111F"/>
    <w:rsid w:val="00A511E5"/>
    <w:rsid w:val="00A513FC"/>
    <w:rsid w:val="00A519AD"/>
    <w:rsid w:val="00A51EE8"/>
    <w:rsid w:val="00A51FEC"/>
    <w:rsid w:val="00A534E5"/>
    <w:rsid w:val="00A53A79"/>
    <w:rsid w:val="00A541A4"/>
    <w:rsid w:val="00A54FED"/>
    <w:rsid w:val="00A55BEF"/>
    <w:rsid w:val="00A57008"/>
    <w:rsid w:val="00A6039F"/>
    <w:rsid w:val="00A6054A"/>
    <w:rsid w:val="00A60D1B"/>
    <w:rsid w:val="00A6133A"/>
    <w:rsid w:val="00A61789"/>
    <w:rsid w:val="00A61C2C"/>
    <w:rsid w:val="00A61DEB"/>
    <w:rsid w:val="00A62880"/>
    <w:rsid w:val="00A631F5"/>
    <w:rsid w:val="00A63357"/>
    <w:rsid w:val="00A6374E"/>
    <w:rsid w:val="00A64417"/>
    <w:rsid w:val="00A648A8"/>
    <w:rsid w:val="00A6592C"/>
    <w:rsid w:val="00A6643E"/>
    <w:rsid w:val="00A6743B"/>
    <w:rsid w:val="00A6781D"/>
    <w:rsid w:val="00A71403"/>
    <w:rsid w:val="00A71771"/>
    <w:rsid w:val="00A720D2"/>
    <w:rsid w:val="00A725A8"/>
    <w:rsid w:val="00A732D8"/>
    <w:rsid w:val="00A733FD"/>
    <w:rsid w:val="00A74460"/>
    <w:rsid w:val="00A74528"/>
    <w:rsid w:val="00A76119"/>
    <w:rsid w:val="00A761A5"/>
    <w:rsid w:val="00A76822"/>
    <w:rsid w:val="00A76E8B"/>
    <w:rsid w:val="00A76FA6"/>
    <w:rsid w:val="00A7718F"/>
    <w:rsid w:val="00A80B47"/>
    <w:rsid w:val="00A80C1C"/>
    <w:rsid w:val="00A8164D"/>
    <w:rsid w:val="00A81BF2"/>
    <w:rsid w:val="00A82264"/>
    <w:rsid w:val="00A82446"/>
    <w:rsid w:val="00A83498"/>
    <w:rsid w:val="00A83836"/>
    <w:rsid w:val="00A862BB"/>
    <w:rsid w:val="00A87532"/>
    <w:rsid w:val="00A903DB"/>
    <w:rsid w:val="00A9059A"/>
    <w:rsid w:val="00A90B10"/>
    <w:rsid w:val="00A91543"/>
    <w:rsid w:val="00A91CD7"/>
    <w:rsid w:val="00A91D33"/>
    <w:rsid w:val="00A92844"/>
    <w:rsid w:val="00A9364A"/>
    <w:rsid w:val="00A93B87"/>
    <w:rsid w:val="00A969E2"/>
    <w:rsid w:val="00A97287"/>
    <w:rsid w:val="00A972E6"/>
    <w:rsid w:val="00A9748E"/>
    <w:rsid w:val="00A9756B"/>
    <w:rsid w:val="00AA003E"/>
    <w:rsid w:val="00AA06AC"/>
    <w:rsid w:val="00AA2CBA"/>
    <w:rsid w:val="00AA5153"/>
    <w:rsid w:val="00AA55D3"/>
    <w:rsid w:val="00AA67D6"/>
    <w:rsid w:val="00AB0719"/>
    <w:rsid w:val="00AB09CE"/>
    <w:rsid w:val="00AB13B4"/>
    <w:rsid w:val="00AB1677"/>
    <w:rsid w:val="00AB4C36"/>
    <w:rsid w:val="00AB4F99"/>
    <w:rsid w:val="00AB58D4"/>
    <w:rsid w:val="00AB7B61"/>
    <w:rsid w:val="00AB7F2B"/>
    <w:rsid w:val="00AC0075"/>
    <w:rsid w:val="00AC047D"/>
    <w:rsid w:val="00AC0920"/>
    <w:rsid w:val="00AC1931"/>
    <w:rsid w:val="00AC2618"/>
    <w:rsid w:val="00AC3138"/>
    <w:rsid w:val="00AC3159"/>
    <w:rsid w:val="00AC3410"/>
    <w:rsid w:val="00AC3517"/>
    <w:rsid w:val="00AC502D"/>
    <w:rsid w:val="00AC5530"/>
    <w:rsid w:val="00AC55D8"/>
    <w:rsid w:val="00AC6604"/>
    <w:rsid w:val="00AC6647"/>
    <w:rsid w:val="00AC6D51"/>
    <w:rsid w:val="00AD08FB"/>
    <w:rsid w:val="00AD0E26"/>
    <w:rsid w:val="00AD31F9"/>
    <w:rsid w:val="00AD46BD"/>
    <w:rsid w:val="00AD4980"/>
    <w:rsid w:val="00AD58C4"/>
    <w:rsid w:val="00AD5D2C"/>
    <w:rsid w:val="00AD60E0"/>
    <w:rsid w:val="00AD6189"/>
    <w:rsid w:val="00AD63BC"/>
    <w:rsid w:val="00AE0DA4"/>
    <w:rsid w:val="00AE1911"/>
    <w:rsid w:val="00AE2F4C"/>
    <w:rsid w:val="00AE6C82"/>
    <w:rsid w:val="00AF00C5"/>
    <w:rsid w:val="00AF1714"/>
    <w:rsid w:val="00AF1829"/>
    <w:rsid w:val="00AF1DFD"/>
    <w:rsid w:val="00AF2093"/>
    <w:rsid w:val="00AF224C"/>
    <w:rsid w:val="00AF2852"/>
    <w:rsid w:val="00AF2875"/>
    <w:rsid w:val="00AF28DC"/>
    <w:rsid w:val="00AF4219"/>
    <w:rsid w:val="00AF59E2"/>
    <w:rsid w:val="00AF64CA"/>
    <w:rsid w:val="00AF6C7B"/>
    <w:rsid w:val="00AF7617"/>
    <w:rsid w:val="00AF780E"/>
    <w:rsid w:val="00AF7903"/>
    <w:rsid w:val="00AF7CD9"/>
    <w:rsid w:val="00B004DA"/>
    <w:rsid w:val="00B00BBC"/>
    <w:rsid w:val="00B00C07"/>
    <w:rsid w:val="00B00F35"/>
    <w:rsid w:val="00B016C8"/>
    <w:rsid w:val="00B0280E"/>
    <w:rsid w:val="00B02E43"/>
    <w:rsid w:val="00B02F23"/>
    <w:rsid w:val="00B032EB"/>
    <w:rsid w:val="00B03743"/>
    <w:rsid w:val="00B03F2B"/>
    <w:rsid w:val="00B04F48"/>
    <w:rsid w:val="00B06474"/>
    <w:rsid w:val="00B07E36"/>
    <w:rsid w:val="00B1116E"/>
    <w:rsid w:val="00B1295E"/>
    <w:rsid w:val="00B129FA"/>
    <w:rsid w:val="00B133EB"/>
    <w:rsid w:val="00B13594"/>
    <w:rsid w:val="00B15283"/>
    <w:rsid w:val="00B15D7D"/>
    <w:rsid w:val="00B1689D"/>
    <w:rsid w:val="00B20832"/>
    <w:rsid w:val="00B21203"/>
    <w:rsid w:val="00B21F7C"/>
    <w:rsid w:val="00B225F8"/>
    <w:rsid w:val="00B22B6F"/>
    <w:rsid w:val="00B2342C"/>
    <w:rsid w:val="00B23708"/>
    <w:rsid w:val="00B23DEA"/>
    <w:rsid w:val="00B2613E"/>
    <w:rsid w:val="00B26783"/>
    <w:rsid w:val="00B311CC"/>
    <w:rsid w:val="00B31B7E"/>
    <w:rsid w:val="00B31D9C"/>
    <w:rsid w:val="00B32432"/>
    <w:rsid w:val="00B32CC6"/>
    <w:rsid w:val="00B32EBB"/>
    <w:rsid w:val="00B33276"/>
    <w:rsid w:val="00B333B8"/>
    <w:rsid w:val="00B3355A"/>
    <w:rsid w:val="00B337C9"/>
    <w:rsid w:val="00B34EBF"/>
    <w:rsid w:val="00B34F2D"/>
    <w:rsid w:val="00B361B3"/>
    <w:rsid w:val="00B4003C"/>
    <w:rsid w:val="00B408F8"/>
    <w:rsid w:val="00B40EE7"/>
    <w:rsid w:val="00B4179A"/>
    <w:rsid w:val="00B42100"/>
    <w:rsid w:val="00B42422"/>
    <w:rsid w:val="00B4245F"/>
    <w:rsid w:val="00B425C9"/>
    <w:rsid w:val="00B42C05"/>
    <w:rsid w:val="00B42D4B"/>
    <w:rsid w:val="00B42FE2"/>
    <w:rsid w:val="00B43241"/>
    <w:rsid w:val="00B438B5"/>
    <w:rsid w:val="00B44EAE"/>
    <w:rsid w:val="00B45C00"/>
    <w:rsid w:val="00B469E1"/>
    <w:rsid w:val="00B47157"/>
    <w:rsid w:val="00B5285D"/>
    <w:rsid w:val="00B52D56"/>
    <w:rsid w:val="00B53066"/>
    <w:rsid w:val="00B546A8"/>
    <w:rsid w:val="00B553EA"/>
    <w:rsid w:val="00B55BA4"/>
    <w:rsid w:val="00B57A7A"/>
    <w:rsid w:val="00B57FAB"/>
    <w:rsid w:val="00B60A1A"/>
    <w:rsid w:val="00B60D4A"/>
    <w:rsid w:val="00B612C3"/>
    <w:rsid w:val="00B61B51"/>
    <w:rsid w:val="00B62626"/>
    <w:rsid w:val="00B6378A"/>
    <w:rsid w:val="00B65042"/>
    <w:rsid w:val="00B65DB5"/>
    <w:rsid w:val="00B65EC9"/>
    <w:rsid w:val="00B65F61"/>
    <w:rsid w:val="00B66491"/>
    <w:rsid w:val="00B67087"/>
    <w:rsid w:val="00B705D4"/>
    <w:rsid w:val="00B707FC"/>
    <w:rsid w:val="00B76F3F"/>
    <w:rsid w:val="00B77FAA"/>
    <w:rsid w:val="00B80BBB"/>
    <w:rsid w:val="00B80DB5"/>
    <w:rsid w:val="00B8145A"/>
    <w:rsid w:val="00B81ABC"/>
    <w:rsid w:val="00B82F14"/>
    <w:rsid w:val="00B8382D"/>
    <w:rsid w:val="00B84128"/>
    <w:rsid w:val="00B84371"/>
    <w:rsid w:val="00B84780"/>
    <w:rsid w:val="00B84AF7"/>
    <w:rsid w:val="00B8585E"/>
    <w:rsid w:val="00B85B94"/>
    <w:rsid w:val="00B85D7F"/>
    <w:rsid w:val="00B86D54"/>
    <w:rsid w:val="00B86D75"/>
    <w:rsid w:val="00B875A0"/>
    <w:rsid w:val="00B90851"/>
    <w:rsid w:val="00B91634"/>
    <w:rsid w:val="00B927B2"/>
    <w:rsid w:val="00B92C43"/>
    <w:rsid w:val="00B938FA"/>
    <w:rsid w:val="00B93FC4"/>
    <w:rsid w:val="00B95276"/>
    <w:rsid w:val="00B95CD8"/>
    <w:rsid w:val="00B96AFC"/>
    <w:rsid w:val="00B974AD"/>
    <w:rsid w:val="00BA0963"/>
    <w:rsid w:val="00BA2FB2"/>
    <w:rsid w:val="00BA3BE1"/>
    <w:rsid w:val="00BA42FD"/>
    <w:rsid w:val="00BA50C8"/>
    <w:rsid w:val="00BA5B5F"/>
    <w:rsid w:val="00BA63E4"/>
    <w:rsid w:val="00BA78D4"/>
    <w:rsid w:val="00BB0357"/>
    <w:rsid w:val="00BB0369"/>
    <w:rsid w:val="00BB1FA4"/>
    <w:rsid w:val="00BB2243"/>
    <w:rsid w:val="00BB466F"/>
    <w:rsid w:val="00BB4F52"/>
    <w:rsid w:val="00BB51C4"/>
    <w:rsid w:val="00BB558C"/>
    <w:rsid w:val="00BB5CE5"/>
    <w:rsid w:val="00BB638B"/>
    <w:rsid w:val="00BB701C"/>
    <w:rsid w:val="00BB731C"/>
    <w:rsid w:val="00BB7398"/>
    <w:rsid w:val="00BB75FF"/>
    <w:rsid w:val="00BB7B9D"/>
    <w:rsid w:val="00BB7D22"/>
    <w:rsid w:val="00BC052C"/>
    <w:rsid w:val="00BC0531"/>
    <w:rsid w:val="00BC07A7"/>
    <w:rsid w:val="00BC0E18"/>
    <w:rsid w:val="00BC1C91"/>
    <w:rsid w:val="00BC223C"/>
    <w:rsid w:val="00BC47CF"/>
    <w:rsid w:val="00BC7BE4"/>
    <w:rsid w:val="00BD0237"/>
    <w:rsid w:val="00BD0A7B"/>
    <w:rsid w:val="00BD19B3"/>
    <w:rsid w:val="00BD213C"/>
    <w:rsid w:val="00BD40C1"/>
    <w:rsid w:val="00BD5117"/>
    <w:rsid w:val="00BD525A"/>
    <w:rsid w:val="00BD61DB"/>
    <w:rsid w:val="00BD6770"/>
    <w:rsid w:val="00BD6EA6"/>
    <w:rsid w:val="00BD7B4B"/>
    <w:rsid w:val="00BE0401"/>
    <w:rsid w:val="00BE15C0"/>
    <w:rsid w:val="00BE191A"/>
    <w:rsid w:val="00BE1B83"/>
    <w:rsid w:val="00BE3012"/>
    <w:rsid w:val="00BE30D8"/>
    <w:rsid w:val="00BE3665"/>
    <w:rsid w:val="00BE39F9"/>
    <w:rsid w:val="00BE3F57"/>
    <w:rsid w:val="00BE416C"/>
    <w:rsid w:val="00BE488E"/>
    <w:rsid w:val="00BE4C45"/>
    <w:rsid w:val="00BE4D23"/>
    <w:rsid w:val="00BE514D"/>
    <w:rsid w:val="00BE5AC1"/>
    <w:rsid w:val="00BE6130"/>
    <w:rsid w:val="00BE7FDF"/>
    <w:rsid w:val="00BF0726"/>
    <w:rsid w:val="00BF13A2"/>
    <w:rsid w:val="00BF274F"/>
    <w:rsid w:val="00BF3012"/>
    <w:rsid w:val="00BF326A"/>
    <w:rsid w:val="00BF33B0"/>
    <w:rsid w:val="00BF495E"/>
    <w:rsid w:val="00BF4B38"/>
    <w:rsid w:val="00BF4C85"/>
    <w:rsid w:val="00BF54B7"/>
    <w:rsid w:val="00BF6AED"/>
    <w:rsid w:val="00BF7021"/>
    <w:rsid w:val="00C00440"/>
    <w:rsid w:val="00C00DFC"/>
    <w:rsid w:val="00C010D1"/>
    <w:rsid w:val="00C017C9"/>
    <w:rsid w:val="00C02C43"/>
    <w:rsid w:val="00C04D71"/>
    <w:rsid w:val="00C04FC1"/>
    <w:rsid w:val="00C0508C"/>
    <w:rsid w:val="00C05775"/>
    <w:rsid w:val="00C05781"/>
    <w:rsid w:val="00C05977"/>
    <w:rsid w:val="00C059CE"/>
    <w:rsid w:val="00C05AB4"/>
    <w:rsid w:val="00C067A2"/>
    <w:rsid w:val="00C067D3"/>
    <w:rsid w:val="00C06919"/>
    <w:rsid w:val="00C06EA0"/>
    <w:rsid w:val="00C06F0B"/>
    <w:rsid w:val="00C0753F"/>
    <w:rsid w:val="00C079AF"/>
    <w:rsid w:val="00C07D5D"/>
    <w:rsid w:val="00C105C9"/>
    <w:rsid w:val="00C116DA"/>
    <w:rsid w:val="00C1297C"/>
    <w:rsid w:val="00C1411A"/>
    <w:rsid w:val="00C1414D"/>
    <w:rsid w:val="00C15226"/>
    <w:rsid w:val="00C15909"/>
    <w:rsid w:val="00C15DBA"/>
    <w:rsid w:val="00C1637A"/>
    <w:rsid w:val="00C1644B"/>
    <w:rsid w:val="00C17D8C"/>
    <w:rsid w:val="00C207C5"/>
    <w:rsid w:val="00C20E5B"/>
    <w:rsid w:val="00C21A69"/>
    <w:rsid w:val="00C22583"/>
    <w:rsid w:val="00C22632"/>
    <w:rsid w:val="00C22A4E"/>
    <w:rsid w:val="00C23175"/>
    <w:rsid w:val="00C2673F"/>
    <w:rsid w:val="00C27DEE"/>
    <w:rsid w:val="00C30176"/>
    <w:rsid w:val="00C3137E"/>
    <w:rsid w:val="00C33DCF"/>
    <w:rsid w:val="00C3426A"/>
    <w:rsid w:val="00C34282"/>
    <w:rsid w:val="00C35844"/>
    <w:rsid w:val="00C3594A"/>
    <w:rsid w:val="00C362C5"/>
    <w:rsid w:val="00C3757D"/>
    <w:rsid w:val="00C37F7D"/>
    <w:rsid w:val="00C401F3"/>
    <w:rsid w:val="00C4292E"/>
    <w:rsid w:val="00C42C22"/>
    <w:rsid w:val="00C44473"/>
    <w:rsid w:val="00C444AB"/>
    <w:rsid w:val="00C447A7"/>
    <w:rsid w:val="00C45B0F"/>
    <w:rsid w:val="00C46008"/>
    <w:rsid w:val="00C461CD"/>
    <w:rsid w:val="00C52828"/>
    <w:rsid w:val="00C52AF5"/>
    <w:rsid w:val="00C532BB"/>
    <w:rsid w:val="00C535AA"/>
    <w:rsid w:val="00C537BB"/>
    <w:rsid w:val="00C5398D"/>
    <w:rsid w:val="00C544C3"/>
    <w:rsid w:val="00C54A73"/>
    <w:rsid w:val="00C54CF6"/>
    <w:rsid w:val="00C54EB0"/>
    <w:rsid w:val="00C5590D"/>
    <w:rsid w:val="00C569CA"/>
    <w:rsid w:val="00C56F31"/>
    <w:rsid w:val="00C62C72"/>
    <w:rsid w:val="00C63005"/>
    <w:rsid w:val="00C632E2"/>
    <w:rsid w:val="00C645F5"/>
    <w:rsid w:val="00C64623"/>
    <w:rsid w:val="00C648CF"/>
    <w:rsid w:val="00C64D55"/>
    <w:rsid w:val="00C650B0"/>
    <w:rsid w:val="00C65242"/>
    <w:rsid w:val="00C653AF"/>
    <w:rsid w:val="00C655E9"/>
    <w:rsid w:val="00C670E3"/>
    <w:rsid w:val="00C70885"/>
    <w:rsid w:val="00C73207"/>
    <w:rsid w:val="00C73486"/>
    <w:rsid w:val="00C73DCD"/>
    <w:rsid w:val="00C7503D"/>
    <w:rsid w:val="00C75119"/>
    <w:rsid w:val="00C771B7"/>
    <w:rsid w:val="00C774CD"/>
    <w:rsid w:val="00C77C1B"/>
    <w:rsid w:val="00C77CD0"/>
    <w:rsid w:val="00C77E97"/>
    <w:rsid w:val="00C77F28"/>
    <w:rsid w:val="00C814F3"/>
    <w:rsid w:val="00C83089"/>
    <w:rsid w:val="00C831E0"/>
    <w:rsid w:val="00C836F1"/>
    <w:rsid w:val="00C83EF0"/>
    <w:rsid w:val="00C842F7"/>
    <w:rsid w:val="00C84563"/>
    <w:rsid w:val="00C84732"/>
    <w:rsid w:val="00C85209"/>
    <w:rsid w:val="00C85CE8"/>
    <w:rsid w:val="00C862BF"/>
    <w:rsid w:val="00C86ECB"/>
    <w:rsid w:val="00C87A78"/>
    <w:rsid w:val="00C90582"/>
    <w:rsid w:val="00C90FB6"/>
    <w:rsid w:val="00C91CBD"/>
    <w:rsid w:val="00C93786"/>
    <w:rsid w:val="00C93FE4"/>
    <w:rsid w:val="00C944F4"/>
    <w:rsid w:val="00C94901"/>
    <w:rsid w:val="00C95282"/>
    <w:rsid w:val="00C97D22"/>
    <w:rsid w:val="00CA070B"/>
    <w:rsid w:val="00CA25E9"/>
    <w:rsid w:val="00CA2EEB"/>
    <w:rsid w:val="00CA33A8"/>
    <w:rsid w:val="00CA41F7"/>
    <w:rsid w:val="00CA47EC"/>
    <w:rsid w:val="00CA4BF6"/>
    <w:rsid w:val="00CA5665"/>
    <w:rsid w:val="00CA5A09"/>
    <w:rsid w:val="00CA796D"/>
    <w:rsid w:val="00CA79C2"/>
    <w:rsid w:val="00CB0139"/>
    <w:rsid w:val="00CB1419"/>
    <w:rsid w:val="00CB1929"/>
    <w:rsid w:val="00CB2686"/>
    <w:rsid w:val="00CB3CFC"/>
    <w:rsid w:val="00CB4577"/>
    <w:rsid w:val="00CB4F33"/>
    <w:rsid w:val="00CB620C"/>
    <w:rsid w:val="00CB6E46"/>
    <w:rsid w:val="00CC0149"/>
    <w:rsid w:val="00CC0293"/>
    <w:rsid w:val="00CC0F1C"/>
    <w:rsid w:val="00CC148C"/>
    <w:rsid w:val="00CC1556"/>
    <w:rsid w:val="00CC1691"/>
    <w:rsid w:val="00CC182B"/>
    <w:rsid w:val="00CC2574"/>
    <w:rsid w:val="00CC2B7D"/>
    <w:rsid w:val="00CC4029"/>
    <w:rsid w:val="00CC4D2B"/>
    <w:rsid w:val="00CC6801"/>
    <w:rsid w:val="00CC68A6"/>
    <w:rsid w:val="00CC761B"/>
    <w:rsid w:val="00CC7E31"/>
    <w:rsid w:val="00CD0110"/>
    <w:rsid w:val="00CD07E5"/>
    <w:rsid w:val="00CD09D4"/>
    <w:rsid w:val="00CD0E84"/>
    <w:rsid w:val="00CD103E"/>
    <w:rsid w:val="00CD1BBB"/>
    <w:rsid w:val="00CD208D"/>
    <w:rsid w:val="00CD2931"/>
    <w:rsid w:val="00CD29BB"/>
    <w:rsid w:val="00CD3834"/>
    <w:rsid w:val="00CD39C5"/>
    <w:rsid w:val="00CD3D8D"/>
    <w:rsid w:val="00CD5217"/>
    <w:rsid w:val="00CD5525"/>
    <w:rsid w:val="00CD564C"/>
    <w:rsid w:val="00CD6E63"/>
    <w:rsid w:val="00CE05F8"/>
    <w:rsid w:val="00CE1351"/>
    <w:rsid w:val="00CE18F5"/>
    <w:rsid w:val="00CE3587"/>
    <w:rsid w:val="00CE5161"/>
    <w:rsid w:val="00CE5473"/>
    <w:rsid w:val="00CE58EE"/>
    <w:rsid w:val="00CE6066"/>
    <w:rsid w:val="00CE617E"/>
    <w:rsid w:val="00CE6F66"/>
    <w:rsid w:val="00CE729D"/>
    <w:rsid w:val="00CE7837"/>
    <w:rsid w:val="00CE7C56"/>
    <w:rsid w:val="00CF024F"/>
    <w:rsid w:val="00CF0E96"/>
    <w:rsid w:val="00CF17A9"/>
    <w:rsid w:val="00CF17C6"/>
    <w:rsid w:val="00CF2447"/>
    <w:rsid w:val="00CF2470"/>
    <w:rsid w:val="00CF33E5"/>
    <w:rsid w:val="00CF3E2A"/>
    <w:rsid w:val="00CF40DC"/>
    <w:rsid w:val="00CF48E4"/>
    <w:rsid w:val="00CF5C1D"/>
    <w:rsid w:val="00CF6736"/>
    <w:rsid w:val="00CF7EF1"/>
    <w:rsid w:val="00D0185A"/>
    <w:rsid w:val="00D02256"/>
    <w:rsid w:val="00D027FB"/>
    <w:rsid w:val="00D032AF"/>
    <w:rsid w:val="00D03482"/>
    <w:rsid w:val="00D03673"/>
    <w:rsid w:val="00D039A3"/>
    <w:rsid w:val="00D0400C"/>
    <w:rsid w:val="00D04670"/>
    <w:rsid w:val="00D04DCA"/>
    <w:rsid w:val="00D050C5"/>
    <w:rsid w:val="00D0532C"/>
    <w:rsid w:val="00D054E6"/>
    <w:rsid w:val="00D059D5"/>
    <w:rsid w:val="00D0690E"/>
    <w:rsid w:val="00D06F61"/>
    <w:rsid w:val="00D06FAB"/>
    <w:rsid w:val="00D07349"/>
    <w:rsid w:val="00D0760D"/>
    <w:rsid w:val="00D10B5E"/>
    <w:rsid w:val="00D11928"/>
    <w:rsid w:val="00D133F0"/>
    <w:rsid w:val="00D13787"/>
    <w:rsid w:val="00D15353"/>
    <w:rsid w:val="00D15D61"/>
    <w:rsid w:val="00D16BA8"/>
    <w:rsid w:val="00D176B1"/>
    <w:rsid w:val="00D211BD"/>
    <w:rsid w:val="00D21CDA"/>
    <w:rsid w:val="00D22241"/>
    <w:rsid w:val="00D23A09"/>
    <w:rsid w:val="00D23D3A"/>
    <w:rsid w:val="00D24466"/>
    <w:rsid w:val="00D2561D"/>
    <w:rsid w:val="00D25C17"/>
    <w:rsid w:val="00D26058"/>
    <w:rsid w:val="00D27715"/>
    <w:rsid w:val="00D2778E"/>
    <w:rsid w:val="00D311A7"/>
    <w:rsid w:val="00D3182D"/>
    <w:rsid w:val="00D31B96"/>
    <w:rsid w:val="00D3278A"/>
    <w:rsid w:val="00D3380E"/>
    <w:rsid w:val="00D33A41"/>
    <w:rsid w:val="00D342B5"/>
    <w:rsid w:val="00D34747"/>
    <w:rsid w:val="00D34C78"/>
    <w:rsid w:val="00D353A1"/>
    <w:rsid w:val="00D353F2"/>
    <w:rsid w:val="00D3641E"/>
    <w:rsid w:val="00D36775"/>
    <w:rsid w:val="00D4040A"/>
    <w:rsid w:val="00D4083B"/>
    <w:rsid w:val="00D41B22"/>
    <w:rsid w:val="00D4247C"/>
    <w:rsid w:val="00D42ED6"/>
    <w:rsid w:val="00D4536F"/>
    <w:rsid w:val="00D4659D"/>
    <w:rsid w:val="00D46AB1"/>
    <w:rsid w:val="00D46ABA"/>
    <w:rsid w:val="00D46AD1"/>
    <w:rsid w:val="00D46CF3"/>
    <w:rsid w:val="00D46E3E"/>
    <w:rsid w:val="00D476CA"/>
    <w:rsid w:val="00D47D46"/>
    <w:rsid w:val="00D507A1"/>
    <w:rsid w:val="00D5134D"/>
    <w:rsid w:val="00D53148"/>
    <w:rsid w:val="00D531BA"/>
    <w:rsid w:val="00D5383F"/>
    <w:rsid w:val="00D5482C"/>
    <w:rsid w:val="00D54A45"/>
    <w:rsid w:val="00D54C24"/>
    <w:rsid w:val="00D5593F"/>
    <w:rsid w:val="00D57159"/>
    <w:rsid w:val="00D57721"/>
    <w:rsid w:val="00D578BC"/>
    <w:rsid w:val="00D60641"/>
    <w:rsid w:val="00D61328"/>
    <w:rsid w:val="00D6195F"/>
    <w:rsid w:val="00D62200"/>
    <w:rsid w:val="00D629CF"/>
    <w:rsid w:val="00D63DA8"/>
    <w:rsid w:val="00D64414"/>
    <w:rsid w:val="00D648BF"/>
    <w:rsid w:val="00D64C42"/>
    <w:rsid w:val="00D656E4"/>
    <w:rsid w:val="00D657F4"/>
    <w:rsid w:val="00D65D8E"/>
    <w:rsid w:val="00D66463"/>
    <w:rsid w:val="00D66797"/>
    <w:rsid w:val="00D7035F"/>
    <w:rsid w:val="00D708CD"/>
    <w:rsid w:val="00D716A5"/>
    <w:rsid w:val="00D722E8"/>
    <w:rsid w:val="00D7241D"/>
    <w:rsid w:val="00D724E2"/>
    <w:rsid w:val="00D72928"/>
    <w:rsid w:val="00D72EFF"/>
    <w:rsid w:val="00D7312D"/>
    <w:rsid w:val="00D735A9"/>
    <w:rsid w:val="00D74592"/>
    <w:rsid w:val="00D76233"/>
    <w:rsid w:val="00D77650"/>
    <w:rsid w:val="00D80286"/>
    <w:rsid w:val="00D80FD7"/>
    <w:rsid w:val="00D8186E"/>
    <w:rsid w:val="00D81A27"/>
    <w:rsid w:val="00D81B49"/>
    <w:rsid w:val="00D826FE"/>
    <w:rsid w:val="00D827AA"/>
    <w:rsid w:val="00D829F6"/>
    <w:rsid w:val="00D83209"/>
    <w:rsid w:val="00D842CD"/>
    <w:rsid w:val="00D842F0"/>
    <w:rsid w:val="00D846A3"/>
    <w:rsid w:val="00D84991"/>
    <w:rsid w:val="00D84C27"/>
    <w:rsid w:val="00D84D02"/>
    <w:rsid w:val="00D856F5"/>
    <w:rsid w:val="00D8705F"/>
    <w:rsid w:val="00D878E5"/>
    <w:rsid w:val="00D87B4C"/>
    <w:rsid w:val="00D9044D"/>
    <w:rsid w:val="00D909A3"/>
    <w:rsid w:val="00D91021"/>
    <w:rsid w:val="00D91B08"/>
    <w:rsid w:val="00D93269"/>
    <w:rsid w:val="00D962DD"/>
    <w:rsid w:val="00D96D44"/>
    <w:rsid w:val="00D974E8"/>
    <w:rsid w:val="00DA1F3E"/>
    <w:rsid w:val="00DA20D9"/>
    <w:rsid w:val="00DA4134"/>
    <w:rsid w:val="00DA41C6"/>
    <w:rsid w:val="00DA4B86"/>
    <w:rsid w:val="00DA5039"/>
    <w:rsid w:val="00DA73C5"/>
    <w:rsid w:val="00DB0963"/>
    <w:rsid w:val="00DB1491"/>
    <w:rsid w:val="00DB18BF"/>
    <w:rsid w:val="00DB2121"/>
    <w:rsid w:val="00DB4CC2"/>
    <w:rsid w:val="00DB5A0D"/>
    <w:rsid w:val="00DB5A25"/>
    <w:rsid w:val="00DB7AD1"/>
    <w:rsid w:val="00DC0D88"/>
    <w:rsid w:val="00DC1421"/>
    <w:rsid w:val="00DC1460"/>
    <w:rsid w:val="00DC17B5"/>
    <w:rsid w:val="00DC1D9C"/>
    <w:rsid w:val="00DC2309"/>
    <w:rsid w:val="00DC3518"/>
    <w:rsid w:val="00DC3A01"/>
    <w:rsid w:val="00DC4C6C"/>
    <w:rsid w:val="00DC5C43"/>
    <w:rsid w:val="00DC5D92"/>
    <w:rsid w:val="00DC75EF"/>
    <w:rsid w:val="00DC7E8B"/>
    <w:rsid w:val="00DD1185"/>
    <w:rsid w:val="00DD2179"/>
    <w:rsid w:val="00DD27CA"/>
    <w:rsid w:val="00DD30D9"/>
    <w:rsid w:val="00DD33A0"/>
    <w:rsid w:val="00DD3DCC"/>
    <w:rsid w:val="00DD4734"/>
    <w:rsid w:val="00DD4E53"/>
    <w:rsid w:val="00DD62CB"/>
    <w:rsid w:val="00DD68D0"/>
    <w:rsid w:val="00DD748F"/>
    <w:rsid w:val="00DE0587"/>
    <w:rsid w:val="00DE09AD"/>
    <w:rsid w:val="00DE311A"/>
    <w:rsid w:val="00DE36A4"/>
    <w:rsid w:val="00DE4B58"/>
    <w:rsid w:val="00DE4B7B"/>
    <w:rsid w:val="00DE5FB4"/>
    <w:rsid w:val="00DE6143"/>
    <w:rsid w:val="00DE6545"/>
    <w:rsid w:val="00DE66C1"/>
    <w:rsid w:val="00DE699B"/>
    <w:rsid w:val="00DE7A12"/>
    <w:rsid w:val="00DE7C74"/>
    <w:rsid w:val="00DF07D6"/>
    <w:rsid w:val="00DF1060"/>
    <w:rsid w:val="00DF10F1"/>
    <w:rsid w:val="00DF13BD"/>
    <w:rsid w:val="00DF14BE"/>
    <w:rsid w:val="00DF187C"/>
    <w:rsid w:val="00DF201E"/>
    <w:rsid w:val="00DF244D"/>
    <w:rsid w:val="00DF2514"/>
    <w:rsid w:val="00DF35B4"/>
    <w:rsid w:val="00DF3936"/>
    <w:rsid w:val="00DF3C30"/>
    <w:rsid w:val="00DF4293"/>
    <w:rsid w:val="00DF4382"/>
    <w:rsid w:val="00DF46B9"/>
    <w:rsid w:val="00DF5393"/>
    <w:rsid w:val="00DF54ED"/>
    <w:rsid w:val="00DF5A85"/>
    <w:rsid w:val="00DF5C1B"/>
    <w:rsid w:val="00DF6A21"/>
    <w:rsid w:val="00DF71B1"/>
    <w:rsid w:val="00DF758D"/>
    <w:rsid w:val="00DF7728"/>
    <w:rsid w:val="00DF7FBC"/>
    <w:rsid w:val="00E0043A"/>
    <w:rsid w:val="00E0146A"/>
    <w:rsid w:val="00E01AB3"/>
    <w:rsid w:val="00E0258F"/>
    <w:rsid w:val="00E02721"/>
    <w:rsid w:val="00E02AA1"/>
    <w:rsid w:val="00E02BD8"/>
    <w:rsid w:val="00E02FF8"/>
    <w:rsid w:val="00E0311B"/>
    <w:rsid w:val="00E033E8"/>
    <w:rsid w:val="00E040BC"/>
    <w:rsid w:val="00E040D0"/>
    <w:rsid w:val="00E05D70"/>
    <w:rsid w:val="00E07451"/>
    <w:rsid w:val="00E10605"/>
    <w:rsid w:val="00E1161B"/>
    <w:rsid w:val="00E12579"/>
    <w:rsid w:val="00E12974"/>
    <w:rsid w:val="00E12BAA"/>
    <w:rsid w:val="00E131CC"/>
    <w:rsid w:val="00E143E1"/>
    <w:rsid w:val="00E14CFB"/>
    <w:rsid w:val="00E159CF"/>
    <w:rsid w:val="00E165A4"/>
    <w:rsid w:val="00E1707A"/>
    <w:rsid w:val="00E21133"/>
    <w:rsid w:val="00E21B42"/>
    <w:rsid w:val="00E21F4C"/>
    <w:rsid w:val="00E22338"/>
    <w:rsid w:val="00E2233B"/>
    <w:rsid w:val="00E22485"/>
    <w:rsid w:val="00E2313E"/>
    <w:rsid w:val="00E24CA6"/>
    <w:rsid w:val="00E24CB3"/>
    <w:rsid w:val="00E25560"/>
    <w:rsid w:val="00E25CD0"/>
    <w:rsid w:val="00E25E79"/>
    <w:rsid w:val="00E25F04"/>
    <w:rsid w:val="00E2658C"/>
    <w:rsid w:val="00E26CA6"/>
    <w:rsid w:val="00E313C6"/>
    <w:rsid w:val="00E3163C"/>
    <w:rsid w:val="00E322D6"/>
    <w:rsid w:val="00E32DF3"/>
    <w:rsid w:val="00E3319B"/>
    <w:rsid w:val="00E33364"/>
    <w:rsid w:val="00E35740"/>
    <w:rsid w:val="00E35E4A"/>
    <w:rsid w:val="00E360BC"/>
    <w:rsid w:val="00E361C1"/>
    <w:rsid w:val="00E36D50"/>
    <w:rsid w:val="00E36FD4"/>
    <w:rsid w:val="00E373AC"/>
    <w:rsid w:val="00E37553"/>
    <w:rsid w:val="00E37BFD"/>
    <w:rsid w:val="00E40AA7"/>
    <w:rsid w:val="00E414B7"/>
    <w:rsid w:val="00E41AA0"/>
    <w:rsid w:val="00E42408"/>
    <w:rsid w:val="00E42513"/>
    <w:rsid w:val="00E441A5"/>
    <w:rsid w:val="00E442A3"/>
    <w:rsid w:val="00E44D9B"/>
    <w:rsid w:val="00E45327"/>
    <w:rsid w:val="00E45613"/>
    <w:rsid w:val="00E457AD"/>
    <w:rsid w:val="00E45F03"/>
    <w:rsid w:val="00E47066"/>
    <w:rsid w:val="00E4764F"/>
    <w:rsid w:val="00E47CE0"/>
    <w:rsid w:val="00E509DA"/>
    <w:rsid w:val="00E50BE9"/>
    <w:rsid w:val="00E5110C"/>
    <w:rsid w:val="00E51316"/>
    <w:rsid w:val="00E52C1A"/>
    <w:rsid w:val="00E53429"/>
    <w:rsid w:val="00E54777"/>
    <w:rsid w:val="00E5539D"/>
    <w:rsid w:val="00E556DD"/>
    <w:rsid w:val="00E55E36"/>
    <w:rsid w:val="00E56863"/>
    <w:rsid w:val="00E568E8"/>
    <w:rsid w:val="00E57270"/>
    <w:rsid w:val="00E578A6"/>
    <w:rsid w:val="00E578A8"/>
    <w:rsid w:val="00E57905"/>
    <w:rsid w:val="00E57AF9"/>
    <w:rsid w:val="00E6004B"/>
    <w:rsid w:val="00E60989"/>
    <w:rsid w:val="00E61954"/>
    <w:rsid w:val="00E61B95"/>
    <w:rsid w:val="00E61CB6"/>
    <w:rsid w:val="00E61DFB"/>
    <w:rsid w:val="00E63102"/>
    <w:rsid w:val="00E63131"/>
    <w:rsid w:val="00E64097"/>
    <w:rsid w:val="00E64A1A"/>
    <w:rsid w:val="00E659BA"/>
    <w:rsid w:val="00E65C4F"/>
    <w:rsid w:val="00E67B32"/>
    <w:rsid w:val="00E73A0F"/>
    <w:rsid w:val="00E73FE4"/>
    <w:rsid w:val="00E7441C"/>
    <w:rsid w:val="00E74FF9"/>
    <w:rsid w:val="00E7514B"/>
    <w:rsid w:val="00E75394"/>
    <w:rsid w:val="00E755FB"/>
    <w:rsid w:val="00E763C0"/>
    <w:rsid w:val="00E802B3"/>
    <w:rsid w:val="00E811FC"/>
    <w:rsid w:val="00E8136D"/>
    <w:rsid w:val="00E81916"/>
    <w:rsid w:val="00E81E47"/>
    <w:rsid w:val="00E821C9"/>
    <w:rsid w:val="00E82244"/>
    <w:rsid w:val="00E8262A"/>
    <w:rsid w:val="00E83165"/>
    <w:rsid w:val="00E83AE4"/>
    <w:rsid w:val="00E83EA9"/>
    <w:rsid w:val="00E841B2"/>
    <w:rsid w:val="00E85615"/>
    <w:rsid w:val="00E85B1C"/>
    <w:rsid w:val="00E87D32"/>
    <w:rsid w:val="00E90BE8"/>
    <w:rsid w:val="00E90DD8"/>
    <w:rsid w:val="00E9111C"/>
    <w:rsid w:val="00E9169C"/>
    <w:rsid w:val="00E91FDD"/>
    <w:rsid w:val="00E92473"/>
    <w:rsid w:val="00E92908"/>
    <w:rsid w:val="00E92990"/>
    <w:rsid w:val="00E94CE7"/>
    <w:rsid w:val="00E9538D"/>
    <w:rsid w:val="00E96029"/>
    <w:rsid w:val="00E96399"/>
    <w:rsid w:val="00E96732"/>
    <w:rsid w:val="00E978B9"/>
    <w:rsid w:val="00E97E82"/>
    <w:rsid w:val="00EA1F94"/>
    <w:rsid w:val="00EA2049"/>
    <w:rsid w:val="00EA3710"/>
    <w:rsid w:val="00EA3741"/>
    <w:rsid w:val="00EA3D69"/>
    <w:rsid w:val="00EA3EDC"/>
    <w:rsid w:val="00EA45FD"/>
    <w:rsid w:val="00EA4ADF"/>
    <w:rsid w:val="00EA5878"/>
    <w:rsid w:val="00EA69DF"/>
    <w:rsid w:val="00EB056B"/>
    <w:rsid w:val="00EB29B2"/>
    <w:rsid w:val="00EB34FE"/>
    <w:rsid w:val="00EB3501"/>
    <w:rsid w:val="00EB4563"/>
    <w:rsid w:val="00EB5265"/>
    <w:rsid w:val="00EB58CA"/>
    <w:rsid w:val="00EB63C5"/>
    <w:rsid w:val="00EB6BB0"/>
    <w:rsid w:val="00EB72D8"/>
    <w:rsid w:val="00EB7459"/>
    <w:rsid w:val="00EC0021"/>
    <w:rsid w:val="00EC08E2"/>
    <w:rsid w:val="00EC0F30"/>
    <w:rsid w:val="00EC2149"/>
    <w:rsid w:val="00EC26BE"/>
    <w:rsid w:val="00EC32AC"/>
    <w:rsid w:val="00EC3400"/>
    <w:rsid w:val="00EC361D"/>
    <w:rsid w:val="00EC36F1"/>
    <w:rsid w:val="00EC3C6B"/>
    <w:rsid w:val="00EC423E"/>
    <w:rsid w:val="00EC53C8"/>
    <w:rsid w:val="00EC56A9"/>
    <w:rsid w:val="00EC5873"/>
    <w:rsid w:val="00EC7AB0"/>
    <w:rsid w:val="00ED0837"/>
    <w:rsid w:val="00ED1F48"/>
    <w:rsid w:val="00ED20D3"/>
    <w:rsid w:val="00ED3E2B"/>
    <w:rsid w:val="00ED4897"/>
    <w:rsid w:val="00ED5238"/>
    <w:rsid w:val="00ED5FC4"/>
    <w:rsid w:val="00EE049F"/>
    <w:rsid w:val="00EE159B"/>
    <w:rsid w:val="00EE25C5"/>
    <w:rsid w:val="00EE370B"/>
    <w:rsid w:val="00EE45E0"/>
    <w:rsid w:val="00EE51E2"/>
    <w:rsid w:val="00EE5365"/>
    <w:rsid w:val="00EE5520"/>
    <w:rsid w:val="00EE5691"/>
    <w:rsid w:val="00EE6244"/>
    <w:rsid w:val="00EE7427"/>
    <w:rsid w:val="00EF0997"/>
    <w:rsid w:val="00EF113D"/>
    <w:rsid w:val="00EF23B7"/>
    <w:rsid w:val="00EF2A14"/>
    <w:rsid w:val="00EF2DB0"/>
    <w:rsid w:val="00EF2F6E"/>
    <w:rsid w:val="00EF49B8"/>
    <w:rsid w:val="00EF595E"/>
    <w:rsid w:val="00F00934"/>
    <w:rsid w:val="00F00B61"/>
    <w:rsid w:val="00F02EAA"/>
    <w:rsid w:val="00F056FA"/>
    <w:rsid w:val="00F06DC5"/>
    <w:rsid w:val="00F079BD"/>
    <w:rsid w:val="00F07A3F"/>
    <w:rsid w:val="00F10B50"/>
    <w:rsid w:val="00F1178A"/>
    <w:rsid w:val="00F121B9"/>
    <w:rsid w:val="00F144AA"/>
    <w:rsid w:val="00F15FDF"/>
    <w:rsid w:val="00F167F5"/>
    <w:rsid w:val="00F17D71"/>
    <w:rsid w:val="00F21A38"/>
    <w:rsid w:val="00F21B38"/>
    <w:rsid w:val="00F220A0"/>
    <w:rsid w:val="00F2461A"/>
    <w:rsid w:val="00F2471E"/>
    <w:rsid w:val="00F263ED"/>
    <w:rsid w:val="00F269B0"/>
    <w:rsid w:val="00F30045"/>
    <w:rsid w:val="00F30FF9"/>
    <w:rsid w:val="00F316D2"/>
    <w:rsid w:val="00F3178D"/>
    <w:rsid w:val="00F31C4A"/>
    <w:rsid w:val="00F31CCB"/>
    <w:rsid w:val="00F3320C"/>
    <w:rsid w:val="00F3401F"/>
    <w:rsid w:val="00F34FFE"/>
    <w:rsid w:val="00F35095"/>
    <w:rsid w:val="00F35723"/>
    <w:rsid w:val="00F36B4F"/>
    <w:rsid w:val="00F40542"/>
    <w:rsid w:val="00F40B68"/>
    <w:rsid w:val="00F40BFE"/>
    <w:rsid w:val="00F41581"/>
    <w:rsid w:val="00F42099"/>
    <w:rsid w:val="00F425A8"/>
    <w:rsid w:val="00F44EC4"/>
    <w:rsid w:val="00F4627C"/>
    <w:rsid w:val="00F465A2"/>
    <w:rsid w:val="00F50DDB"/>
    <w:rsid w:val="00F511E3"/>
    <w:rsid w:val="00F520F8"/>
    <w:rsid w:val="00F5344C"/>
    <w:rsid w:val="00F53D3A"/>
    <w:rsid w:val="00F53FA5"/>
    <w:rsid w:val="00F545C7"/>
    <w:rsid w:val="00F54ACD"/>
    <w:rsid w:val="00F56093"/>
    <w:rsid w:val="00F57486"/>
    <w:rsid w:val="00F5793B"/>
    <w:rsid w:val="00F579C7"/>
    <w:rsid w:val="00F60419"/>
    <w:rsid w:val="00F60EFE"/>
    <w:rsid w:val="00F6193D"/>
    <w:rsid w:val="00F61DA3"/>
    <w:rsid w:val="00F6237C"/>
    <w:rsid w:val="00F624F4"/>
    <w:rsid w:val="00F62792"/>
    <w:rsid w:val="00F62C2A"/>
    <w:rsid w:val="00F62CC8"/>
    <w:rsid w:val="00F62F2D"/>
    <w:rsid w:val="00F6364E"/>
    <w:rsid w:val="00F63A22"/>
    <w:rsid w:val="00F63D59"/>
    <w:rsid w:val="00F64C04"/>
    <w:rsid w:val="00F664A9"/>
    <w:rsid w:val="00F66BB8"/>
    <w:rsid w:val="00F66EAF"/>
    <w:rsid w:val="00F674BE"/>
    <w:rsid w:val="00F677F9"/>
    <w:rsid w:val="00F7007F"/>
    <w:rsid w:val="00F70B85"/>
    <w:rsid w:val="00F742E1"/>
    <w:rsid w:val="00F745E6"/>
    <w:rsid w:val="00F75A0F"/>
    <w:rsid w:val="00F75A37"/>
    <w:rsid w:val="00F7677F"/>
    <w:rsid w:val="00F76B0C"/>
    <w:rsid w:val="00F76EEF"/>
    <w:rsid w:val="00F774BD"/>
    <w:rsid w:val="00F819CC"/>
    <w:rsid w:val="00F81A00"/>
    <w:rsid w:val="00F81ED2"/>
    <w:rsid w:val="00F82E88"/>
    <w:rsid w:val="00F83009"/>
    <w:rsid w:val="00F830F3"/>
    <w:rsid w:val="00F83561"/>
    <w:rsid w:val="00F83A17"/>
    <w:rsid w:val="00F84708"/>
    <w:rsid w:val="00F852AE"/>
    <w:rsid w:val="00F854BF"/>
    <w:rsid w:val="00F857A5"/>
    <w:rsid w:val="00F86094"/>
    <w:rsid w:val="00F86517"/>
    <w:rsid w:val="00F8696E"/>
    <w:rsid w:val="00F86E37"/>
    <w:rsid w:val="00F87A77"/>
    <w:rsid w:val="00F9054B"/>
    <w:rsid w:val="00F91299"/>
    <w:rsid w:val="00F918BA"/>
    <w:rsid w:val="00F91E91"/>
    <w:rsid w:val="00F91EBB"/>
    <w:rsid w:val="00F9246D"/>
    <w:rsid w:val="00F94BBF"/>
    <w:rsid w:val="00F95864"/>
    <w:rsid w:val="00F966BC"/>
    <w:rsid w:val="00F97106"/>
    <w:rsid w:val="00F976F1"/>
    <w:rsid w:val="00FA086C"/>
    <w:rsid w:val="00FA0DD8"/>
    <w:rsid w:val="00FA229A"/>
    <w:rsid w:val="00FA2A13"/>
    <w:rsid w:val="00FA357B"/>
    <w:rsid w:val="00FA36E4"/>
    <w:rsid w:val="00FA4484"/>
    <w:rsid w:val="00FA46F3"/>
    <w:rsid w:val="00FA4FD7"/>
    <w:rsid w:val="00FA6715"/>
    <w:rsid w:val="00FA6BE6"/>
    <w:rsid w:val="00FA725F"/>
    <w:rsid w:val="00FA7658"/>
    <w:rsid w:val="00FB0196"/>
    <w:rsid w:val="00FB1921"/>
    <w:rsid w:val="00FB1D79"/>
    <w:rsid w:val="00FB2631"/>
    <w:rsid w:val="00FB3816"/>
    <w:rsid w:val="00FB398F"/>
    <w:rsid w:val="00FB46DC"/>
    <w:rsid w:val="00FB4974"/>
    <w:rsid w:val="00FB4A54"/>
    <w:rsid w:val="00FB4A9D"/>
    <w:rsid w:val="00FB76A4"/>
    <w:rsid w:val="00FB7BBC"/>
    <w:rsid w:val="00FC0709"/>
    <w:rsid w:val="00FC0756"/>
    <w:rsid w:val="00FC2213"/>
    <w:rsid w:val="00FC2AE8"/>
    <w:rsid w:val="00FC2FFC"/>
    <w:rsid w:val="00FC4190"/>
    <w:rsid w:val="00FC5086"/>
    <w:rsid w:val="00FC5CB1"/>
    <w:rsid w:val="00FC5D52"/>
    <w:rsid w:val="00FC76CE"/>
    <w:rsid w:val="00FC7A05"/>
    <w:rsid w:val="00FD3239"/>
    <w:rsid w:val="00FD3B8C"/>
    <w:rsid w:val="00FD488A"/>
    <w:rsid w:val="00FD4D5E"/>
    <w:rsid w:val="00FD5161"/>
    <w:rsid w:val="00FD533C"/>
    <w:rsid w:val="00FD5792"/>
    <w:rsid w:val="00FD5CAE"/>
    <w:rsid w:val="00FD5F9A"/>
    <w:rsid w:val="00FD66C1"/>
    <w:rsid w:val="00FD6D98"/>
    <w:rsid w:val="00FD6F58"/>
    <w:rsid w:val="00FD7542"/>
    <w:rsid w:val="00FD7823"/>
    <w:rsid w:val="00FD792B"/>
    <w:rsid w:val="00FE0DA4"/>
    <w:rsid w:val="00FE1335"/>
    <w:rsid w:val="00FE2096"/>
    <w:rsid w:val="00FE20B2"/>
    <w:rsid w:val="00FE2E3E"/>
    <w:rsid w:val="00FE3F76"/>
    <w:rsid w:val="00FE49E0"/>
    <w:rsid w:val="00FE5A6E"/>
    <w:rsid w:val="00FE67A1"/>
    <w:rsid w:val="00FE6AC8"/>
    <w:rsid w:val="00FE7C23"/>
    <w:rsid w:val="00FE7FB1"/>
    <w:rsid w:val="00FF0B1B"/>
    <w:rsid w:val="00FF2DD4"/>
    <w:rsid w:val="00FF3F5E"/>
    <w:rsid w:val="00FF6458"/>
    <w:rsid w:val="00FF65F4"/>
    <w:rsid w:val="00FF6991"/>
    <w:rsid w:val="00FF7007"/>
    <w:rsid w:val="00FF7AF2"/>
    <w:rsid w:val="04CD7B13"/>
    <w:rsid w:val="0516010D"/>
    <w:rsid w:val="058D427F"/>
    <w:rsid w:val="071163AA"/>
    <w:rsid w:val="07262586"/>
    <w:rsid w:val="07A13275"/>
    <w:rsid w:val="080E58B6"/>
    <w:rsid w:val="0E5C591E"/>
    <w:rsid w:val="12435284"/>
    <w:rsid w:val="131C7759"/>
    <w:rsid w:val="15757AC2"/>
    <w:rsid w:val="16E54997"/>
    <w:rsid w:val="182F44B6"/>
    <w:rsid w:val="19BC4DC1"/>
    <w:rsid w:val="1CDD55E8"/>
    <w:rsid w:val="1FA86D80"/>
    <w:rsid w:val="20B96BBD"/>
    <w:rsid w:val="20BD6BCD"/>
    <w:rsid w:val="22DA35F0"/>
    <w:rsid w:val="23E76D75"/>
    <w:rsid w:val="26DA24E7"/>
    <w:rsid w:val="27AC6378"/>
    <w:rsid w:val="27C24AC7"/>
    <w:rsid w:val="27CC2E58"/>
    <w:rsid w:val="2E2D753E"/>
    <w:rsid w:val="33A06A36"/>
    <w:rsid w:val="342E2B27"/>
    <w:rsid w:val="347A51A5"/>
    <w:rsid w:val="38532BFB"/>
    <w:rsid w:val="38D66179"/>
    <w:rsid w:val="39A62C24"/>
    <w:rsid w:val="3D5742AE"/>
    <w:rsid w:val="3EC8157F"/>
    <w:rsid w:val="46390D16"/>
    <w:rsid w:val="46486A69"/>
    <w:rsid w:val="47FD6734"/>
    <w:rsid w:val="4D0A4DA3"/>
    <w:rsid w:val="4F210E16"/>
    <w:rsid w:val="4F871206"/>
    <w:rsid w:val="51146616"/>
    <w:rsid w:val="52807369"/>
    <w:rsid w:val="548163A5"/>
    <w:rsid w:val="5D6D354B"/>
    <w:rsid w:val="5D8F5D8E"/>
    <w:rsid w:val="61854ABA"/>
    <w:rsid w:val="6270558C"/>
    <w:rsid w:val="6563758C"/>
    <w:rsid w:val="65F67629"/>
    <w:rsid w:val="671C67EE"/>
    <w:rsid w:val="67F03A8F"/>
    <w:rsid w:val="685C39E4"/>
    <w:rsid w:val="694148B0"/>
    <w:rsid w:val="6F3A77CA"/>
    <w:rsid w:val="71081E06"/>
    <w:rsid w:val="774175B4"/>
    <w:rsid w:val="7AB73C0A"/>
    <w:rsid w:val="7AFE310C"/>
    <w:rsid w:val="7CEA28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iPriority="0" w:name="heading 8"/>
    <w:lsdException w:qFormat="1" w:unhideWhenUsed="0" w:uiPriority="0" w:semiHidden="0" w:name="heading 9"/>
    <w:lsdException w:qFormat="1"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qFormat="1"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01"/>
    <w:qFormat/>
    <w:uiPriority w:val="9"/>
    <w:pPr>
      <w:keepNext/>
      <w:jc w:val="center"/>
      <w:outlineLvl w:val="0"/>
    </w:pPr>
    <w:rPr>
      <w:b/>
      <w:sz w:val="28"/>
    </w:rPr>
  </w:style>
  <w:style w:type="paragraph" w:styleId="3">
    <w:name w:val="heading 2"/>
    <w:basedOn w:val="1"/>
    <w:next w:val="1"/>
    <w:link w:val="103"/>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105"/>
    <w:qFormat/>
    <w:uiPriority w:val="9"/>
    <w:pPr>
      <w:keepNext/>
      <w:keepLines/>
      <w:spacing w:before="260" w:after="260" w:line="416" w:lineRule="auto"/>
      <w:outlineLvl w:val="2"/>
    </w:pPr>
    <w:rPr>
      <w:b/>
      <w:bCs/>
      <w:sz w:val="32"/>
      <w:szCs w:val="32"/>
    </w:rPr>
  </w:style>
  <w:style w:type="paragraph" w:styleId="5">
    <w:name w:val="heading 4"/>
    <w:basedOn w:val="1"/>
    <w:next w:val="1"/>
    <w:link w:val="107"/>
    <w:qFormat/>
    <w:uiPriority w:val="0"/>
    <w:pPr>
      <w:widowControl/>
      <w:spacing w:before="100" w:beforeAutospacing="1" w:after="100" w:afterAutospacing="1"/>
      <w:jc w:val="left"/>
      <w:outlineLvl w:val="3"/>
    </w:pPr>
    <w:rPr>
      <w:rFonts w:ascii="宋体" w:hAnsi="宋体"/>
      <w:b/>
      <w:bCs/>
      <w:kern w:val="0"/>
      <w:sz w:val="24"/>
      <w:szCs w:val="24"/>
    </w:rPr>
  </w:style>
  <w:style w:type="paragraph" w:styleId="6">
    <w:name w:val="heading 5"/>
    <w:basedOn w:val="1"/>
    <w:next w:val="1"/>
    <w:link w:val="109"/>
    <w:qFormat/>
    <w:uiPriority w:val="0"/>
    <w:pPr>
      <w:widowControl/>
      <w:spacing w:before="100" w:beforeAutospacing="1" w:after="100" w:afterAutospacing="1"/>
      <w:jc w:val="left"/>
      <w:outlineLvl w:val="4"/>
    </w:pPr>
    <w:rPr>
      <w:rFonts w:ascii="Arial Unicode MS" w:hAnsi="Arial Unicode MS" w:eastAsia="Arial Unicode MS"/>
      <w:b/>
      <w:bCs/>
      <w:kern w:val="0"/>
      <w:sz w:val="20"/>
    </w:rPr>
  </w:style>
  <w:style w:type="paragraph" w:styleId="7">
    <w:name w:val="heading 6"/>
    <w:basedOn w:val="1"/>
    <w:next w:val="1"/>
    <w:link w:val="111"/>
    <w:qFormat/>
    <w:uiPriority w:val="0"/>
    <w:pPr>
      <w:widowControl/>
      <w:spacing w:before="100" w:beforeAutospacing="1" w:after="100" w:afterAutospacing="1"/>
      <w:jc w:val="left"/>
      <w:outlineLvl w:val="5"/>
    </w:pPr>
    <w:rPr>
      <w:rFonts w:ascii="宋体" w:hAnsi="宋体"/>
      <w:b/>
      <w:bCs/>
      <w:kern w:val="0"/>
      <w:sz w:val="15"/>
      <w:szCs w:val="15"/>
    </w:rPr>
  </w:style>
  <w:style w:type="paragraph" w:styleId="8">
    <w:name w:val="heading 7"/>
    <w:basedOn w:val="1"/>
    <w:next w:val="1"/>
    <w:link w:val="113"/>
    <w:qFormat/>
    <w:uiPriority w:val="9"/>
    <w:pPr>
      <w:keepNext/>
      <w:keepLines/>
      <w:tabs>
        <w:tab w:val="left" w:pos="420"/>
      </w:tabs>
      <w:autoSpaceDN w:val="0"/>
      <w:spacing w:before="240" w:after="64" w:line="320" w:lineRule="auto"/>
      <w:ind w:left="420" w:hanging="420"/>
      <w:outlineLvl w:val="6"/>
    </w:pPr>
    <w:rPr>
      <w:rFonts w:ascii="仿宋_GB2312" w:hAnsi="宋体" w:eastAsia="仿宋_GB2312" w:cs="宋体"/>
      <w:b/>
      <w:bCs/>
      <w:sz w:val="24"/>
      <w:szCs w:val="24"/>
    </w:rPr>
  </w:style>
  <w:style w:type="paragraph" w:styleId="9">
    <w:name w:val="heading 9"/>
    <w:basedOn w:val="1"/>
    <w:next w:val="10"/>
    <w:link w:val="115"/>
    <w:qFormat/>
    <w:uiPriority w:val="0"/>
    <w:pPr>
      <w:autoSpaceDE w:val="0"/>
      <w:autoSpaceDN w:val="0"/>
      <w:adjustRightInd w:val="0"/>
      <w:spacing w:before="200" w:after="200" w:line="360" w:lineRule="auto"/>
      <w:jc w:val="left"/>
      <w:outlineLvl w:val="8"/>
    </w:pPr>
    <w:rPr>
      <w:rFonts w:ascii="黑体" w:hAnsi="Arial" w:eastAsia="黑体"/>
      <w:kern w:val="0"/>
      <w:sz w:val="28"/>
    </w:rPr>
  </w:style>
  <w:style w:type="character" w:default="1" w:styleId="47">
    <w:name w:val="Default Paragraph Font"/>
    <w:unhideWhenUsed/>
    <w:qFormat/>
    <w:uiPriority w:val="1"/>
  </w:style>
  <w:style w:type="table" w:default="1" w:styleId="45">
    <w:name w:val="Normal Table"/>
    <w:unhideWhenUsed/>
    <w:qFormat/>
    <w:uiPriority w:val="99"/>
    <w:tblPr>
      <w:tblLayout w:type="fixed"/>
      <w:tblCellMar>
        <w:top w:w="0" w:type="dxa"/>
        <w:left w:w="108" w:type="dxa"/>
        <w:bottom w:w="0" w:type="dxa"/>
        <w:right w:w="108" w:type="dxa"/>
      </w:tblCellMar>
    </w:tblPr>
  </w:style>
  <w:style w:type="paragraph" w:customStyle="1" w:styleId="10">
    <w:name w:val="正文（首行缩进两字）"/>
    <w:basedOn w:val="1"/>
    <w:qFormat/>
    <w:uiPriority w:val="0"/>
    <w:pPr>
      <w:autoSpaceDN w:val="0"/>
    </w:pPr>
    <w:rPr>
      <w:rFonts w:ascii="仿宋_GB2312" w:hAnsi="宋体" w:eastAsia="仿宋_GB2312" w:cs="宋体"/>
      <w:sz w:val="28"/>
      <w:szCs w:val="24"/>
    </w:rPr>
  </w:style>
  <w:style w:type="paragraph" w:styleId="11">
    <w:name w:val="toc 7"/>
    <w:basedOn w:val="1"/>
    <w:next w:val="1"/>
    <w:unhideWhenUsed/>
    <w:qFormat/>
    <w:uiPriority w:val="0"/>
    <w:pPr>
      <w:ind w:left="1260"/>
      <w:jc w:val="left"/>
    </w:pPr>
    <w:rPr>
      <w:szCs w:val="21"/>
    </w:rPr>
  </w:style>
  <w:style w:type="paragraph" w:styleId="12">
    <w:name w:val="Normal Indent"/>
    <w:basedOn w:val="1"/>
    <w:link w:val="121"/>
    <w:qFormat/>
    <w:uiPriority w:val="0"/>
    <w:pPr>
      <w:snapToGrid w:val="0"/>
      <w:spacing w:line="360" w:lineRule="auto"/>
      <w:ind w:firstLine="567"/>
    </w:pPr>
    <w:rPr>
      <w:sz w:val="28"/>
    </w:rPr>
  </w:style>
  <w:style w:type="paragraph" w:styleId="13">
    <w:name w:val="Document Map"/>
    <w:basedOn w:val="1"/>
    <w:link w:val="140"/>
    <w:unhideWhenUsed/>
    <w:qFormat/>
    <w:uiPriority w:val="0"/>
    <w:pPr>
      <w:shd w:val="clear" w:color="auto" w:fill="000080"/>
    </w:pPr>
  </w:style>
  <w:style w:type="paragraph" w:styleId="14">
    <w:name w:val="annotation text"/>
    <w:basedOn w:val="1"/>
    <w:link w:val="117"/>
    <w:qFormat/>
    <w:uiPriority w:val="0"/>
    <w:pPr>
      <w:jc w:val="left"/>
    </w:pPr>
  </w:style>
  <w:style w:type="paragraph" w:styleId="15">
    <w:name w:val="Salutation"/>
    <w:basedOn w:val="1"/>
    <w:next w:val="1"/>
    <w:link w:val="73"/>
    <w:qFormat/>
    <w:uiPriority w:val="0"/>
    <w:rPr>
      <w:rFonts w:ascii="宋体" w:hAnsi="Bookman Old Style"/>
    </w:rPr>
  </w:style>
  <w:style w:type="paragraph" w:styleId="16">
    <w:name w:val="Closing"/>
    <w:basedOn w:val="1"/>
    <w:next w:val="1"/>
    <w:link w:val="131"/>
    <w:qFormat/>
    <w:uiPriority w:val="0"/>
    <w:pPr>
      <w:ind w:left="4320"/>
    </w:pPr>
    <w:rPr>
      <w:rFonts w:ascii="宋体" w:hAnsi="Bookman Old Style"/>
    </w:rPr>
  </w:style>
  <w:style w:type="paragraph" w:styleId="17">
    <w:name w:val="Body Text"/>
    <w:basedOn w:val="1"/>
    <w:link w:val="63"/>
    <w:qFormat/>
    <w:uiPriority w:val="0"/>
    <w:pPr>
      <w:spacing w:line="360" w:lineRule="auto"/>
    </w:pPr>
    <w:rPr>
      <w:rFonts w:ascii="宋体"/>
      <w:spacing w:val="10"/>
      <w:sz w:val="24"/>
    </w:rPr>
  </w:style>
  <w:style w:type="paragraph" w:styleId="18">
    <w:name w:val="Body Text Indent"/>
    <w:basedOn w:val="1"/>
    <w:link w:val="123"/>
    <w:qFormat/>
    <w:uiPriority w:val="0"/>
    <w:pPr>
      <w:ind w:firstLine="525"/>
    </w:pPr>
    <w:rPr>
      <w:sz w:val="28"/>
    </w:rPr>
  </w:style>
  <w:style w:type="paragraph" w:styleId="19">
    <w:name w:val="List 2"/>
    <w:basedOn w:val="1"/>
    <w:qFormat/>
    <w:uiPriority w:val="0"/>
    <w:pPr>
      <w:adjustRightInd w:val="0"/>
      <w:spacing w:line="312" w:lineRule="atLeast"/>
      <w:ind w:left="840" w:hanging="420"/>
      <w:textAlignment w:val="baseline"/>
    </w:pPr>
    <w:rPr>
      <w:kern w:val="0"/>
    </w:rPr>
  </w:style>
  <w:style w:type="paragraph" w:styleId="20">
    <w:name w:val="Block Text"/>
    <w:basedOn w:val="1"/>
    <w:qFormat/>
    <w:uiPriority w:val="0"/>
    <w:pPr>
      <w:ind w:left="56" w:leftChars="20" w:right="285" w:hanging="2"/>
    </w:pPr>
    <w:rPr>
      <w:snapToGrid w:val="0"/>
      <w:kern w:val="0"/>
    </w:rPr>
  </w:style>
  <w:style w:type="paragraph" w:styleId="21">
    <w:name w:val="toc 5"/>
    <w:basedOn w:val="1"/>
    <w:next w:val="1"/>
    <w:unhideWhenUsed/>
    <w:qFormat/>
    <w:uiPriority w:val="0"/>
    <w:pPr>
      <w:ind w:left="840"/>
      <w:jc w:val="left"/>
    </w:pPr>
    <w:rPr>
      <w:szCs w:val="21"/>
    </w:rPr>
  </w:style>
  <w:style w:type="paragraph" w:styleId="22">
    <w:name w:val="toc 3"/>
    <w:basedOn w:val="1"/>
    <w:next w:val="1"/>
    <w:unhideWhenUsed/>
    <w:qFormat/>
    <w:uiPriority w:val="39"/>
    <w:pPr>
      <w:ind w:left="840" w:leftChars="400"/>
    </w:pPr>
    <w:rPr>
      <w:rFonts w:ascii="Calibri" w:hAnsi="Calibri"/>
      <w:szCs w:val="22"/>
    </w:rPr>
  </w:style>
  <w:style w:type="paragraph" w:styleId="23">
    <w:name w:val="Plain Text"/>
    <w:basedOn w:val="1"/>
    <w:link w:val="67"/>
    <w:qFormat/>
    <w:uiPriority w:val="0"/>
    <w:rPr>
      <w:rFonts w:ascii="宋体" w:hAnsi="Courier New"/>
    </w:rPr>
  </w:style>
  <w:style w:type="paragraph" w:styleId="24">
    <w:name w:val="toc 8"/>
    <w:basedOn w:val="1"/>
    <w:next w:val="1"/>
    <w:unhideWhenUsed/>
    <w:qFormat/>
    <w:uiPriority w:val="0"/>
    <w:pPr>
      <w:ind w:left="1470"/>
      <w:jc w:val="left"/>
    </w:pPr>
    <w:rPr>
      <w:szCs w:val="21"/>
    </w:rPr>
  </w:style>
  <w:style w:type="paragraph" w:styleId="25">
    <w:name w:val="Date"/>
    <w:basedOn w:val="1"/>
    <w:next w:val="1"/>
    <w:link w:val="133"/>
    <w:qFormat/>
    <w:uiPriority w:val="0"/>
  </w:style>
  <w:style w:type="paragraph" w:styleId="26">
    <w:name w:val="Body Text Indent 2"/>
    <w:basedOn w:val="1"/>
    <w:link w:val="75"/>
    <w:qFormat/>
    <w:uiPriority w:val="0"/>
    <w:pPr>
      <w:spacing w:line="360" w:lineRule="auto"/>
      <w:ind w:left="476" w:hanging="238"/>
      <w:jc w:val="left"/>
    </w:pPr>
    <w:rPr>
      <w:rFonts w:ascii="宋体" w:hAnsi="Bookman Old Style"/>
    </w:rPr>
  </w:style>
  <w:style w:type="paragraph" w:styleId="27">
    <w:name w:val="Balloon Text"/>
    <w:basedOn w:val="1"/>
    <w:link w:val="125"/>
    <w:qFormat/>
    <w:uiPriority w:val="99"/>
    <w:rPr>
      <w:sz w:val="18"/>
      <w:szCs w:val="18"/>
    </w:rPr>
  </w:style>
  <w:style w:type="paragraph" w:styleId="28">
    <w:name w:val="footer"/>
    <w:basedOn w:val="1"/>
    <w:link w:val="77"/>
    <w:qFormat/>
    <w:uiPriority w:val="99"/>
    <w:pPr>
      <w:tabs>
        <w:tab w:val="center" w:pos="4153"/>
        <w:tab w:val="right" w:pos="8306"/>
      </w:tabs>
      <w:snapToGrid w:val="0"/>
      <w:jc w:val="left"/>
    </w:pPr>
    <w:rPr>
      <w:sz w:val="18"/>
    </w:rPr>
  </w:style>
  <w:style w:type="paragraph" w:styleId="29">
    <w:name w:val="header"/>
    <w:basedOn w:val="1"/>
    <w:link w:val="83"/>
    <w:qFormat/>
    <w:uiPriority w:val="99"/>
    <w:pPr>
      <w:pBdr>
        <w:bottom w:val="single" w:color="auto" w:sz="6" w:space="1"/>
      </w:pBdr>
      <w:tabs>
        <w:tab w:val="center" w:pos="4153"/>
        <w:tab w:val="right" w:pos="8306"/>
      </w:tabs>
      <w:snapToGrid w:val="0"/>
      <w:jc w:val="center"/>
    </w:pPr>
    <w:rPr>
      <w:sz w:val="18"/>
    </w:rPr>
  </w:style>
  <w:style w:type="paragraph" w:styleId="30">
    <w:name w:val="toc 1"/>
    <w:basedOn w:val="1"/>
    <w:next w:val="1"/>
    <w:qFormat/>
    <w:uiPriority w:val="39"/>
    <w:pPr>
      <w:tabs>
        <w:tab w:val="right" w:leader="dot" w:pos="8448"/>
      </w:tabs>
    </w:pPr>
  </w:style>
  <w:style w:type="paragraph" w:styleId="31">
    <w:name w:val="toc 4"/>
    <w:basedOn w:val="1"/>
    <w:next w:val="1"/>
    <w:unhideWhenUsed/>
    <w:qFormat/>
    <w:uiPriority w:val="0"/>
    <w:pPr>
      <w:ind w:left="630"/>
      <w:jc w:val="left"/>
    </w:pPr>
    <w:rPr>
      <w:szCs w:val="21"/>
    </w:rPr>
  </w:style>
  <w:style w:type="paragraph" w:styleId="32">
    <w:name w:val="List"/>
    <w:basedOn w:val="1"/>
    <w:qFormat/>
    <w:uiPriority w:val="0"/>
    <w:pPr>
      <w:ind w:left="200" w:hanging="200" w:hangingChars="200"/>
      <w:contextualSpacing/>
    </w:pPr>
  </w:style>
  <w:style w:type="paragraph" w:styleId="33">
    <w:name w:val="footnote text"/>
    <w:basedOn w:val="1"/>
    <w:link w:val="135"/>
    <w:qFormat/>
    <w:uiPriority w:val="0"/>
    <w:pPr>
      <w:adjustRightInd w:val="0"/>
      <w:spacing w:line="312" w:lineRule="atLeast"/>
      <w:jc w:val="left"/>
      <w:textAlignment w:val="baseline"/>
    </w:pPr>
    <w:rPr>
      <w:kern w:val="0"/>
      <w:sz w:val="18"/>
    </w:rPr>
  </w:style>
  <w:style w:type="paragraph" w:styleId="34">
    <w:name w:val="toc 6"/>
    <w:basedOn w:val="1"/>
    <w:next w:val="1"/>
    <w:unhideWhenUsed/>
    <w:qFormat/>
    <w:uiPriority w:val="0"/>
    <w:pPr>
      <w:ind w:left="1050"/>
      <w:jc w:val="left"/>
    </w:pPr>
    <w:rPr>
      <w:szCs w:val="21"/>
    </w:rPr>
  </w:style>
  <w:style w:type="paragraph" w:styleId="35">
    <w:name w:val="Body Text Indent 3"/>
    <w:basedOn w:val="1"/>
    <w:link w:val="79"/>
    <w:qFormat/>
    <w:uiPriority w:val="0"/>
    <w:pPr>
      <w:spacing w:line="360" w:lineRule="auto"/>
      <w:ind w:firstLine="525"/>
    </w:pPr>
    <w:rPr>
      <w:kern w:val="0"/>
      <w:sz w:val="24"/>
    </w:rPr>
  </w:style>
  <w:style w:type="paragraph" w:styleId="36">
    <w:name w:val="table of figures"/>
    <w:basedOn w:val="1"/>
    <w:next w:val="1"/>
    <w:qFormat/>
    <w:uiPriority w:val="0"/>
    <w:pPr>
      <w:adjustRightInd w:val="0"/>
      <w:snapToGrid w:val="0"/>
    </w:pPr>
    <w:rPr>
      <w:rFonts w:ascii="华文细黑" w:eastAsia="华文细黑"/>
      <w:b/>
      <w:sz w:val="18"/>
      <w:szCs w:val="18"/>
    </w:rPr>
  </w:style>
  <w:style w:type="paragraph" w:styleId="37">
    <w:name w:val="toc 2"/>
    <w:basedOn w:val="1"/>
    <w:next w:val="1"/>
    <w:qFormat/>
    <w:uiPriority w:val="39"/>
    <w:pPr>
      <w:ind w:left="420" w:leftChars="200"/>
    </w:pPr>
  </w:style>
  <w:style w:type="paragraph" w:styleId="38">
    <w:name w:val="toc 9"/>
    <w:basedOn w:val="1"/>
    <w:next w:val="1"/>
    <w:unhideWhenUsed/>
    <w:qFormat/>
    <w:uiPriority w:val="0"/>
    <w:pPr>
      <w:ind w:left="1680"/>
      <w:jc w:val="left"/>
    </w:pPr>
    <w:rPr>
      <w:szCs w:val="21"/>
    </w:rPr>
  </w:style>
  <w:style w:type="paragraph" w:styleId="39">
    <w:name w:val="Body Text 2"/>
    <w:basedOn w:val="1"/>
    <w:link w:val="90"/>
    <w:qFormat/>
    <w:uiPriority w:val="0"/>
    <w:pPr>
      <w:adjustRightInd w:val="0"/>
      <w:snapToGrid w:val="0"/>
      <w:jc w:val="center"/>
    </w:pPr>
    <w:rPr>
      <w:rFonts w:eastAsia="仿宋_GB2312"/>
      <w:spacing w:val="-8"/>
    </w:rPr>
  </w:style>
  <w:style w:type="paragraph" w:styleId="40">
    <w:name w:val="HTML Preformatted"/>
    <w:basedOn w:val="1"/>
    <w:link w:val="6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41">
    <w:name w:val="Normal (Web)"/>
    <w:basedOn w:val="1"/>
    <w:qFormat/>
    <w:uiPriority w:val="0"/>
    <w:pPr>
      <w:widowControl/>
      <w:spacing w:before="100" w:beforeAutospacing="1" w:after="100" w:afterAutospacing="1"/>
      <w:jc w:val="left"/>
    </w:pPr>
    <w:rPr>
      <w:rFonts w:ascii="宋体" w:hAnsi="宋体"/>
      <w:color w:val="000000"/>
      <w:kern w:val="0"/>
      <w:sz w:val="24"/>
    </w:rPr>
  </w:style>
  <w:style w:type="paragraph" w:styleId="42">
    <w:name w:val="index 1"/>
    <w:basedOn w:val="1"/>
    <w:next w:val="1"/>
    <w:unhideWhenUsed/>
    <w:qFormat/>
    <w:uiPriority w:val="99"/>
    <w:rPr>
      <w:rFonts w:eastAsia="仿宋_GB2312"/>
    </w:rPr>
  </w:style>
  <w:style w:type="paragraph" w:styleId="43">
    <w:name w:val="Title"/>
    <w:basedOn w:val="6"/>
    <w:link w:val="148"/>
    <w:qFormat/>
    <w:uiPriority w:val="10"/>
    <w:pPr>
      <w:spacing w:beforeLines="100" w:afterLines="100"/>
      <w:ind w:firstLine="320" w:firstLineChars="38"/>
      <w:jc w:val="center"/>
    </w:pPr>
    <w:rPr>
      <w:rFonts w:ascii="黑体" w:hAnsi="宋体" w:eastAsia="黑体"/>
      <w:sz w:val="84"/>
      <w:szCs w:val="84"/>
    </w:rPr>
  </w:style>
  <w:style w:type="paragraph" w:styleId="44">
    <w:name w:val="annotation subject"/>
    <w:basedOn w:val="14"/>
    <w:next w:val="14"/>
    <w:link w:val="129"/>
    <w:qFormat/>
    <w:uiPriority w:val="0"/>
    <w:rPr>
      <w:b/>
      <w:bCs/>
    </w:rPr>
  </w:style>
  <w:style w:type="table" w:styleId="46">
    <w:name w:val="Table Grid"/>
    <w:basedOn w:val="4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48">
    <w:name w:val="Strong"/>
    <w:basedOn w:val="47"/>
    <w:qFormat/>
    <w:uiPriority w:val="0"/>
    <w:rPr>
      <w:b/>
      <w:bCs/>
    </w:rPr>
  </w:style>
  <w:style w:type="character" w:styleId="49">
    <w:name w:val="page number"/>
    <w:basedOn w:val="47"/>
    <w:qFormat/>
    <w:uiPriority w:val="0"/>
  </w:style>
  <w:style w:type="character" w:styleId="50">
    <w:name w:val="FollowedHyperlink"/>
    <w:basedOn w:val="47"/>
    <w:qFormat/>
    <w:uiPriority w:val="0"/>
    <w:rPr>
      <w:color w:val="800080"/>
      <w:u w:val="single"/>
    </w:rPr>
  </w:style>
  <w:style w:type="character" w:styleId="51">
    <w:name w:val="Emphasis"/>
    <w:basedOn w:val="47"/>
    <w:qFormat/>
    <w:uiPriority w:val="0"/>
    <w:rPr>
      <w:i/>
      <w:iCs/>
    </w:rPr>
  </w:style>
  <w:style w:type="character" w:styleId="52">
    <w:name w:val="line number"/>
    <w:basedOn w:val="47"/>
    <w:qFormat/>
    <w:uiPriority w:val="0"/>
  </w:style>
  <w:style w:type="character" w:styleId="53">
    <w:name w:val="Hyperlink"/>
    <w:basedOn w:val="47"/>
    <w:qFormat/>
    <w:uiPriority w:val="99"/>
    <w:rPr>
      <w:color w:val="0000FF"/>
      <w:u w:val="single"/>
    </w:rPr>
  </w:style>
  <w:style w:type="character" w:styleId="54">
    <w:name w:val="HTML Code"/>
    <w:qFormat/>
    <w:uiPriority w:val="0"/>
    <w:rPr>
      <w:rFonts w:ascii="宋体" w:hAnsi="宋体" w:eastAsia="宋体" w:cs="宋体"/>
      <w:spacing w:val="0"/>
      <w:sz w:val="24"/>
      <w:szCs w:val="24"/>
    </w:rPr>
  </w:style>
  <w:style w:type="character" w:styleId="55">
    <w:name w:val="annotation reference"/>
    <w:basedOn w:val="47"/>
    <w:qFormat/>
    <w:uiPriority w:val="0"/>
    <w:rPr>
      <w:sz w:val="21"/>
    </w:rPr>
  </w:style>
  <w:style w:type="character" w:styleId="56">
    <w:name w:val="HTML Cite"/>
    <w:qFormat/>
    <w:uiPriority w:val="0"/>
    <w:rPr>
      <w:i/>
      <w:iCs/>
      <w:spacing w:val="0"/>
      <w:sz w:val="21"/>
    </w:rPr>
  </w:style>
  <w:style w:type="character" w:styleId="57">
    <w:name w:val="footnote reference"/>
    <w:qFormat/>
    <w:uiPriority w:val="0"/>
    <w:rPr>
      <w:vertAlign w:val="superscript"/>
    </w:rPr>
  </w:style>
  <w:style w:type="character" w:customStyle="1" w:styleId="58">
    <w:name w:val="v_面积"/>
    <w:basedOn w:val="47"/>
    <w:qFormat/>
    <w:uiPriority w:val="0"/>
    <w:rPr>
      <w:spacing w:val="0"/>
      <w:sz w:val="21"/>
    </w:rPr>
  </w:style>
  <w:style w:type="character" w:customStyle="1" w:styleId="59">
    <w:name w:val="yq"/>
    <w:basedOn w:val="47"/>
    <w:qFormat/>
    <w:uiPriority w:val="0"/>
  </w:style>
  <w:style w:type="character" w:customStyle="1" w:styleId="60">
    <w:name w:val="r_价值类型"/>
    <w:basedOn w:val="47"/>
    <w:qFormat/>
    <w:uiPriority w:val="0"/>
    <w:rPr>
      <w:spacing w:val="0"/>
      <w:sz w:val="21"/>
    </w:rPr>
  </w:style>
  <w:style w:type="character" w:customStyle="1" w:styleId="61">
    <w:name w:val="font41"/>
    <w:basedOn w:val="47"/>
    <w:qFormat/>
    <w:uiPriority w:val="0"/>
    <w:rPr>
      <w:rFonts w:hint="eastAsia" w:ascii="宋体" w:hAnsi="宋体" w:eastAsia="宋体" w:cs="宋体"/>
      <w:color w:val="000000"/>
      <w:sz w:val="20"/>
      <w:szCs w:val="20"/>
      <w:u w:val="none"/>
    </w:rPr>
  </w:style>
  <w:style w:type="character" w:customStyle="1" w:styleId="62">
    <w:name w:val="s_房产证号"/>
    <w:basedOn w:val="47"/>
    <w:qFormat/>
    <w:uiPriority w:val="0"/>
    <w:rPr>
      <w:spacing w:val="0"/>
      <w:sz w:val="21"/>
    </w:rPr>
  </w:style>
  <w:style w:type="character" w:customStyle="1" w:styleId="63">
    <w:name w:val="正文文本 Char"/>
    <w:basedOn w:val="47"/>
    <w:link w:val="17"/>
    <w:qFormat/>
    <w:uiPriority w:val="0"/>
    <w:rPr>
      <w:rFonts w:ascii="宋体"/>
      <w:spacing w:val="10"/>
      <w:kern w:val="2"/>
      <w:sz w:val="24"/>
    </w:rPr>
  </w:style>
  <w:style w:type="character" w:customStyle="1" w:styleId="64">
    <w:name w:val="s_内墙"/>
    <w:basedOn w:val="47"/>
    <w:qFormat/>
    <w:uiPriority w:val="0"/>
    <w:rPr>
      <w:spacing w:val="0"/>
      <w:sz w:val="21"/>
    </w:rPr>
  </w:style>
  <w:style w:type="character" w:customStyle="1" w:styleId="65">
    <w:name w:val="font71"/>
    <w:basedOn w:val="47"/>
    <w:qFormat/>
    <w:uiPriority w:val="0"/>
    <w:rPr>
      <w:rFonts w:hint="eastAsia" w:ascii="宋体" w:hAnsi="宋体" w:eastAsia="宋体" w:cs="宋体"/>
      <w:color w:val="000000"/>
      <w:sz w:val="20"/>
      <w:szCs w:val="20"/>
      <w:u w:val="none"/>
    </w:rPr>
  </w:style>
  <w:style w:type="character" w:customStyle="1" w:styleId="66">
    <w:name w:val="casecount"/>
    <w:basedOn w:val="47"/>
    <w:qFormat/>
    <w:uiPriority w:val="0"/>
    <w:rPr>
      <w:spacing w:val="0"/>
      <w:sz w:val="21"/>
    </w:rPr>
  </w:style>
  <w:style w:type="character" w:customStyle="1" w:styleId="67">
    <w:name w:val="纯文本 Char"/>
    <w:basedOn w:val="47"/>
    <w:link w:val="23"/>
    <w:qFormat/>
    <w:uiPriority w:val="0"/>
    <w:rPr>
      <w:rFonts w:ascii="宋体" w:hAnsi="Courier New" w:eastAsia="宋体"/>
      <w:kern w:val="2"/>
      <w:sz w:val="21"/>
      <w:lang w:val="en-US" w:eastAsia="zh-CN" w:bidi="ar-SA"/>
    </w:rPr>
  </w:style>
  <w:style w:type="character" w:customStyle="1" w:styleId="68">
    <w:name w:val="client1"/>
    <w:basedOn w:val="47"/>
    <w:qFormat/>
    <w:uiPriority w:val="0"/>
    <w:rPr>
      <w:spacing w:val="0"/>
      <w:sz w:val="21"/>
    </w:rPr>
  </w:style>
  <w:style w:type="character" w:customStyle="1" w:styleId="69">
    <w:name w:val="HTML 预设格式 Char"/>
    <w:basedOn w:val="47"/>
    <w:link w:val="40"/>
    <w:qFormat/>
    <w:uiPriority w:val="0"/>
    <w:rPr>
      <w:rFonts w:ascii="宋体" w:hAnsi="宋体" w:cs="宋体"/>
      <w:sz w:val="24"/>
      <w:szCs w:val="24"/>
    </w:rPr>
  </w:style>
  <w:style w:type="character" w:customStyle="1" w:styleId="70">
    <w:name w:val="v_单价"/>
    <w:basedOn w:val="47"/>
    <w:qFormat/>
    <w:uiPriority w:val="0"/>
    <w:rPr>
      <w:spacing w:val="0"/>
      <w:sz w:val="21"/>
    </w:rPr>
  </w:style>
  <w:style w:type="character" w:customStyle="1" w:styleId="71">
    <w:name w:val="font51"/>
    <w:basedOn w:val="47"/>
    <w:qFormat/>
    <w:uiPriority w:val="0"/>
    <w:rPr>
      <w:rFonts w:hint="eastAsia" w:ascii="宋体" w:hAnsi="宋体" w:eastAsia="宋体" w:cs="宋体"/>
      <w:color w:val="000000"/>
      <w:sz w:val="20"/>
      <w:szCs w:val="20"/>
      <w:u w:val="none"/>
      <w:vertAlign w:val="superscript"/>
    </w:rPr>
  </w:style>
  <w:style w:type="character" w:customStyle="1" w:styleId="72">
    <w:name w:val="option1"/>
    <w:basedOn w:val="47"/>
    <w:qFormat/>
    <w:uiPriority w:val="0"/>
    <w:rPr>
      <w:spacing w:val="0"/>
      <w:sz w:val="21"/>
    </w:rPr>
  </w:style>
  <w:style w:type="character" w:customStyle="1" w:styleId="73">
    <w:name w:val="称呼 Char"/>
    <w:basedOn w:val="47"/>
    <w:link w:val="15"/>
    <w:qFormat/>
    <w:uiPriority w:val="0"/>
    <w:rPr>
      <w:rFonts w:ascii="宋体" w:hAnsi="Bookman Old Style"/>
      <w:kern w:val="2"/>
      <w:sz w:val="21"/>
    </w:rPr>
  </w:style>
  <w:style w:type="character" w:customStyle="1" w:styleId="74">
    <w:name w:val="current"/>
    <w:qFormat/>
    <w:uiPriority w:val="0"/>
    <w:rPr>
      <w:b/>
      <w:color w:val="FFFFFF"/>
      <w:spacing w:val="0"/>
      <w:sz w:val="21"/>
      <w:bdr w:val="single" w:color="D21300" w:sz="6" w:space="0"/>
      <w:shd w:val="clear" w:color="auto" w:fill="D21300"/>
    </w:rPr>
  </w:style>
  <w:style w:type="character" w:customStyle="1" w:styleId="75">
    <w:name w:val="正文文本缩进 2 Char"/>
    <w:basedOn w:val="47"/>
    <w:link w:val="26"/>
    <w:qFormat/>
    <w:uiPriority w:val="0"/>
    <w:rPr>
      <w:rFonts w:ascii="宋体" w:hAnsi="Bookman Old Style"/>
      <w:kern w:val="2"/>
      <w:sz w:val="21"/>
    </w:rPr>
  </w:style>
  <w:style w:type="character" w:customStyle="1" w:styleId="76">
    <w:name w:val="s_用地面积"/>
    <w:basedOn w:val="47"/>
    <w:qFormat/>
    <w:uiPriority w:val="0"/>
    <w:rPr>
      <w:spacing w:val="0"/>
      <w:sz w:val="21"/>
    </w:rPr>
  </w:style>
  <w:style w:type="character" w:customStyle="1" w:styleId="77">
    <w:name w:val="页脚 Char"/>
    <w:basedOn w:val="47"/>
    <w:link w:val="28"/>
    <w:qFormat/>
    <w:uiPriority w:val="99"/>
    <w:rPr>
      <w:kern w:val="2"/>
      <w:sz w:val="18"/>
    </w:rPr>
  </w:style>
  <w:style w:type="character" w:customStyle="1" w:styleId="78">
    <w:name w:val="r_估价期日"/>
    <w:basedOn w:val="47"/>
    <w:qFormat/>
    <w:uiPriority w:val="0"/>
    <w:rPr>
      <w:spacing w:val="0"/>
      <w:sz w:val="21"/>
    </w:rPr>
  </w:style>
  <w:style w:type="character" w:customStyle="1" w:styleId="79">
    <w:name w:val="正文文本缩进 3 Char"/>
    <w:basedOn w:val="47"/>
    <w:link w:val="35"/>
    <w:qFormat/>
    <w:uiPriority w:val="0"/>
    <w:rPr>
      <w:sz w:val="24"/>
    </w:rPr>
  </w:style>
  <w:style w:type="character" w:customStyle="1" w:styleId="80">
    <w:name w:val="s_土地使用者"/>
    <w:basedOn w:val="47"/>
    <w:qFormat/>
    <w:uiPriority w:val="0"/>
    <w:rPr>
      <w:spacing w:val="0"/>
      <w:sz w:val="21"/>
    </w:rPr>
  </w:style>
  <w:style w:type="character" w:customStyle="1" w:styleId="81">
    <w:name w:val="font21"/>
    <w:basedOn w:val="47"/>
    <w:qFormat/>
    <w:uiPriority w:val="0"/>
    <w:rPr>
      <w:rFonts w:hint="default" w:ascii="楷体_GB2312" w:eastAsia="楷体_GB2312" w:cs="楷体_GB2312"/>
      <w:color w:val="000000"/>
      <w:sz w:val="20"/>
      <w:szCs w:val="20"/>
      <w:u w:val="none"/>
    </w:rPr>
  </w:style>
  <w:style w:type="character" w:customStyle="1" w:styleId="82">
    <w:name w:val="s_房地产变现后应先交纳"/>
    <w:basedOn w:val="47"/>
    <w:qFormat/>
    <w:uiPriority w:val="0"/>
    <w:rPr>
      <w:spacing w:val="0"/>
      <w:sz w:val="21"/>
    </w:rPr>
  </w:style>
  <w:style w:type="character" w:customStyle="1" w:styleId="83">
    <w:name w:val="页眉 Char"/>
    <w:basedOn w:val="47"/>
    <w:link w:val="29"/>
    <w:qFormat/>
    <w:uiPriority w:val="99"/>
    <w:rPr>
      <w:kern w:val="2"/>
      <w:sz w:val="18"/>
    </w:rPr>
  </w:style>
  <w:style w:type="character" w:customStyle="1" w:styleId="84">
    <w:name w:val="Char Char1"/>
    <w:qFormat/>
    <w:uiPriority w:val="0"/>
    <w:rPr>
      <w:rFonts w:ascii="宋体" w:eastAsia="宋体"/>
      <w:sz w:val="21"/>
      <w:lang w:val="en-US" w:eastAsia="zh-CN" w:bidi="ar-SA"/>
    </w:rPr>
  </w:style>
  <w:style w:type="character" w:customStyle="1" w:styleId="85">
    <w:name w:val="s_建筑面积"/>
    <w:basedOn w:val="47"/>
    <w:qFormat/>
    <w:uiPriority w:val="0"/>
    <w:rPr>
      <w:spacing w:val="0"/>
      <w:sz w:val="21"/>
    </w:rPr>
  </w:style>
  <w:style w:type="character" w:customStyle="1" w:styleId="86">
    <w:name w:val="ninetext1"/>
    <w:qFormat/>
    <w:uiPriority w:val="0"/>
    <w:rPr>
      <w:sz w:val="18"/>
      <w:szCs w:val="18"/>
    </w:rPr>
  </w:style>
  <w:style w:type="character" w:customStyle="1" w:styleId="87">
    <w:name w:val="name21"/>
    <w:basedOn w:val="47"/>
    <w:qFormat/>
    <w:uiPriority w:val="0"/>
    <w:rPr>
      <w:spacing w:val="0"/>
      <w:sz w:val="21"/>
    </w:rPr>
  </w:style>
  <w:style w:type="character" w:customStyle="1" w:styleId="88">
    <w:name w:val="正文（首行缩进两字） Char"/>
    <w:qFormat/>
    <w:uiPriority w:val="0"/>
    <w:rPr>
      <w:rFonts w:eastAsia="宋体"/>
      <w:kern w:val="2"/>
      <w:sz w:val="28"/>
      <w:lang w:val="en-US" w:eastAsia="zh-CN" w:bidi="ar-SA"/>
    </w:rPr>
  </w:style>
  <w:style w:type="character" w:customStyle="1" w:styleId="89">
    <w:name w:val="corp1name"/>
    <w:basedOn w:val="47"/>
    <w:qFormat/>
    <w:uiPriority w:val="0"/>
    <w:rPr>
      <w:spacing w:val="0"/>
      <w:sz w:val="21"/>
    </w:rPr>
  </w:style>
  <w:style w:type="character" w:customStyle="1" w:styleId="90">
    <w:name w:val="正文文本 2 Char"/>
    <w:basedOn w:val="47"/>
    <w:link w:val="39"/>
    <w:qFormat/>
    <w:uiPriority w:val="0"/>
    <w:rPr>
      <w:rFonts w:eastAsia="仿宋_GB2312"/>
      <w:spacing w:val="-8"/>
      <w:kern w:val="2"/>
      <w:sz w:val="21"/>
    </w:rPr>
  </w:style>
  <w:style w:type="character" w:customStyle="1" w:styleId="91">
    <w:name w:val="detpname"/>
    <w:qFormat/>
    <w:uiPriority w:val="0"/>
    <w:rPr>
      <w:color w:val="A00101"/>
      <w:spacing w:val="0"/>
      <w:sz w:val="21"/>
    </w:rPr>
  </w:style>
  <w:style w:type="character" w:customStyle="1" w:styleId="92">
    <w:name w:val="s_地址"/>
    <w:basedOn w:val="47"/>
    <w:qFormat/>
    <w:uiPriority w:val="0"/>
    <w:rPr>
      <w:spacing w:val="0"/>
      <w:sz w:val="21"/>
    </w:rPr>
  </w:style>
  <w:style w:type="character" w:customStyle="1" w:styleId="93">
    <w:name w:val="time"/>
    <w:qFormat/>
    <w:uiPriority w:val="0"/>
    <w:rPr>
      <w:spacing w:val="0"/>
      <w:sz w:val="18"/>
      <w:szCs w:val="18"/>
    </w:rPr>
  </w:style>
  <w:style w:type="character" w:customStyle="1" w:styleId="94">
    <w:name w:val="s_配套设施"/>
    <w:basedOn w:val="47"/>
    <w:qFormat/>
    <w:uiPriority w:val="0"/>
    <w:rPr>
      <w:spacing w:val="0"/>
      <w:sz w:val="21"/>
    </w:rPr>
  </w:style>
  <w:style w:type="character" w:customStyle="1" w:styleId="95">
    <w:name w:val="v_面积汇总的市场比较法总价"/>
    <w:basedOn w:val="47"/>
    <w:qFormat/>
    <w:uiPriority w:val="0"/>
    <w:rPr>
      <w:spacing w:val="0"/>
      <w:sz w:val="21"/>
    </w:rPr>
  </w:style>
  <w:style w:type="character" w:customStyle="1" w:styleId="96">
    <w:name w:val="s_外墙"/>
    <w:basedOn w:val="47"/>
    <w:qFormat/>
    <w:uiPriority w:val="0"/>
    <w:rPr>
      <w:spacing w:val="0"/>
      <w:sz w:val="21"/>
    </w:rPr>
  </w:style>
  <w:style w:type="character" w:customStyle="1" w:styleId="97">
    <w:name w:val="s_估价类型"/>
    <w:basedOn w:val="47"/>
    <w:qFormat/>
    <w:uiPriority w:val="0"/>
    <w:rPr>
      <w:spacing w:val="0"/>
      <w:sz w:val="21"/>
    </w:rPr>
  </w:style>
  <w:style w:type="character" w:customStyle="1" w:styleId="98">
    <w:name w:val="HTML 预设格式 Char1"/>
    <w:basedOn w:val="47"/>
    <w:qFormat/>
    <w:uiPriority w:val="0"/>
    <w:rPr>
      <w:rFonts w:ascii="Courier New" w:hAnsi="Courier New" w:cs="Courier New"/>
      <w:kern w:val="2"/>
    </w:rPr>
  </w:style>
  <w:style w:type="character" w:customStyle="1" w:styleId="99">
    <w:name w:val="bsharetext"/>
    <w:basedOn w:val="47"/>
    <w:qFormat/>
    <w:uiPriority w:val="0"/>
    <w:rPr>
      <w:spacing w:val="0"/>
      <w:sz w:val="21"/>
    </w:rPr>
  </w:style>
  <w:style w:type="character" w:customStyle="1" w:styleId="100">
    <w:name w:val="s_土地性质"/>
    <w:basedOn w:val="47"/>
    <w:qFormat/>
    <w:uiPriority w:val="0"/>
    <w:rPr>
      <w:spacing w:val="0"/>
      <w:sz w:val="21"/>
    </w:rPr>
  </w:style>
  <w:style w:type="character" w:customStyle="1" w:styleId="101">
    <w:name w:val="标题 1 Char"/>
    <w:basedOn w:val="47"/>
    <w:link w:val="2"/>
    <w:qFormat/>
    <w:uiPriority w:val="9"/>
    <w:rPr>
      <w:b/>
      <w:kern w:val="2"/>
      <w:sz w:val="28"/>
    </w:rPr>
  </w:style>
  <w:style w:type="character" w:customStyle="1" w:styleId="102">
    <w:name w:val="s_土地用途"/>
    <w:basedOn w:val="47"/>
    <w:qFormat/>
    <w:uiPriority w:val="0"/>
    <w:rPr>
      <w:spacing w:val="0"/>
      <w:sz w:val="21"/>
    </w:rPr>
  </w:style>
  <w:style w:type="character" w:customStyle="1" w:styleId="103">
    <w:name w:val="标题 2 Char"/>
    <w:basedOn w:val="47"/>
    <w:link w:val="3"/>
    <w:qFormat/>
    <w:uiPriority w:val="0"/>
    <w:rPr>
      <w:rFonts w:ascii="Arial" w:hAnsi="Arial" w:eastAsia="黑体"/>
      <w:b/>
      <w:bCs/>
      <w:kern w:val="2"/>
      <w:sz w:val="32"/>
      <w:szCs w:val="32"/>
    </w:rPr>
  </w:style>
  <w:style w:type="character" w:customStyle="1" w:styleId="104">
    <w:name w:val="s_他项权利情况"/>
    <w:basedOn w:val="47"/>
    <w:qFormat/>
    <w:uiPriority w:val="0"/>
    <w:rPr>
      <w:spacing w:val="0"/>
      <w:sz w:val="21"/>
    </w:rPr>
  </w:style>
  <w:style w:type="character" w:customStyle="1" w:styleId="105">
    <w:name w:val="标题 3 Char"/>
    <w:basedOn w:val="47"/>
    <w:link w:val="4"/>
    <w:qFormat/>
    <w:uiPriority w:val="9"/>
    <w:rPr>
      <w:b/>
      <w:bCs/>
      <w:kern w:val="2"/>
      <w:sz w:val="32"/>
      <w:szCs w:val="32"/>
    </w:rPr>
  </w:style>
  <w:style w:type="character" w:customStyle="1" w:styleId="106">
    <w:name w:val="name2"/>
    <w:basedOn w:val="47"/>
    <w:qFormat/>
    <w:uiPriority w:val="0"/>
    <w:rPr>
      <w:spacing w:val="0"/>
      <w:sz w:val="21"/>
    </w:rPr>
  </w:style>
  <w:style w:type="character" w:customStyle="1" w:styleId="107">
    <w:name w:val="标题 4 Char"/>
    <w:basedOn w:val="47"/>
    <w:link w:val="5"/>
    <w:qFormat/>
    <w:uiPriority w:val="0"/>
    <w:rPr>
      <w:rFonts w:ascii="宋体" w:hAnsi="宋体"/>
      <w:b/>
      <w:bCs/>
      <w:sz w:val="24"/>
      <w:szCs w:val="24"/>
    </w:rPr>
  </w:style>
  <w:style w:type="character" w:customStyle="1" w:styleId="108">
    <w:name w:val="casenames"/>
    <w:basedOn w:val="47"/>
    <w:qFormat/>
    <w:uiPriority w:val="0"/>
    <w:rPr>
      <w:spacing w:val="0"/>
      <w:sz w:val="21"/>
    </w:rPr>
  </w:style>
  <w:style w:type="character" w:customStyle="1" w:styleId="109">
    <w:name w:val="标题 5 Char"/>
    <w:basedOn w:val="47"/>
    <w:link w:val="6"/>
    <w:qFormat/>
    <w:uiPriority w:val="0"/>
    <w:rPr>
      <w:rFonts w:ascii="Arial Unicode MS" w:hAnsi="Arial Unicode MS" w:eastAsia="Arial Unicode MS"/>
      <w:b/>
      <w:bCs/>
    </w:rPr>
  </w:style>
  <w:style w:type="character" w:customStyle="1" w:styleId="110">
    <w:name w:val="type"/>
    <w:basedOn w:val="47"/>
    <w:qFormat/>
    <w:uiPriority w:val="0"/>
    <w:rPr>
      <w:spacing w:val="0"/>
      <w:sz w:val="21"/>
    </w:rPr>
  </w:style>
  <w:style w:type="character" w:customStyle="1" w:styleId="111">
    <w:name w:val="标题 6 Char"/>
    <w:basedOn w:val="47"/>
    <w:link w:val="7"/>
    <w:qFormat/>
    <w:uiPriority w:val="0"/>
    <w:rPr>
      <w:rFonts w:ascii="宋体" w:hAnsi="宋体"/>
      <w:b/>
      <w:bCs/>
      <w:sz w:val="15"/>
      <w:szCs w:val="15"/>
    </w:rPr>
  </w:style>
  <w:style w:type="character" w:customStyle="1" w:styleId="112">
    <w:name w:val="grame"/>
    <w:basedOn w:val="47"/>
    <w:qFormat/>
    <w:uiPriority w:val="0"/>
    <w:rPr>
      <w:spacing w:val="0"/>
      <w:sz w:val="21"/>
    </w:rPr>
  </w:style>
  <w:style w:type="character" w:customStyle="1" w:styleId="113">
    <w:name w:val="标题 7 Char"/>
    <w:basedOn w:val="47"/>
    <w:link w:val="8"/>
    <w:qFormat/>
    <w:uiPriority w:val="9"/>
    <w:rPr>
      <w:rFonts w:ascii="仿宋_GB2312" w:hAnsi="宋体" w:eastAsia="仿宋_GB2312" w:cs="宋体"/>
      <w:b/>
      <w:bCs/>
      <w:kern w:val="2"/>
      <w:sz w:val="24"/>
      <w:szCs w:val="24"/>
    </w:rPr>
  </w:style>
  <w:style w:type="character" w:customStyle="1" w:styleId="114">
    <w:name w:val="s_土地证号"/>
    <w:basedOn w:val="47"/>
    <w:qFormat/>
    <w:uiPriority w:val="0"/>
    <w:rPr>
      <w:spacing w:val="0"/>
      <w:sz w:val="21"/>
    </w:rPr>
  </w:style>
  <w:style w:type="character" w:customStyle="1" w:styleId="115">
    <w:name w:val="标题 9 Char"/>
    <w:basedOn w:val="47"/>
    <w:link w:val="9"/>
    <w:qFormat/>
    <w:uiPriority w:val="0"/>
    <w:rPr>
      <w:rFonts w:ascii="黑体" w:hAnsi="Arial" w:eastAsia="黑体"/>
      <w:sz w:val="28"/>
    </w:rPr>
  </w:style>
  <w:style w:type="character" w:customStyle="1" w:styleId="116">
    <w:name w:val="s_单价(小写)"/>
    <w:basedOn w:val="47"/>
    <w:qFormat/>
    <w:uiPriority w:val="0"/>
    <w:rPr>
      <w:spacing w:val="0"/>
      <w:sz w:val="21"/>
    </w:rPr>
  </w:style>
  <w:style w:type="character" w:customStyle="1" w:styleId="117">
    <w:name w:val="批注文字 Char"/>
    <w:basedOn w:val="47"/>
    <w:link w:val="14"/>
    <w:qFormat/>
    <w:uiPriority w:val="0"/>
    <w:rPr>
      <w:kern w:val="2"/>
      <w:sz w:val="21"/>
    </w:rPr>
  </w:style>
  <w:style w:type="character" w:customStyle="1" w:styleId="118">
    <w:name w:val="option"/>
    <w:basedOn w:val="47"/>
    <w:qFormat/>
    <w:uiPriority w:val="0"/>
    <w:rPr>
      <w:spacing w:val="0"/>
      <w:sz w:val="21"/>
    </w:rPr>
  </w:style>
  <w:style w:type="character" w:customStyle="1" w:styleId="119">
    <w:name w:val="font31"/>
    <w:basedOn w:val="47"/>
    <w:qFormat/>
    <w:uiPriority w:val="0"/>
    <w:rPr>
      <w:rFonts w:hint="eastAsia" w:ascii="宋体" w:hAnsi="宋体" w:eastAsia="宋体" w:cs="宋体"/>
      <w:color w:val="000000"/>
      <w:sz w:val="20"/>
      <w:szCs w:val="20"/>
      <w:u w:val="none"/>
    </w:rPr>
  </w:style>
  <w:style w:type="character" w:customStyle="1" w:styleId="120">
    <w:name w:val="r_估价师"/>
    <w:basedOn w:val="47"/>
    <w:qFormat/>
    <w:uiPriority w:val="0"/>
    <w:rPr>
      <w:spacing w:val="0"/>
      <w:sz w:val="21"/>
    </w:rPr>
  </w:style>
  <w:style w:type="character" w:customStyle="1" w:styleId="121">
    <w:name w:val="正文缩进 Char"/>
    <w:link w:val="12"/>
    <w:qFormat/>
    <w:uiPriority w:val="0"/>
    <w:rPr>
      <w:kern w:val="2"/>
      <w:sz w:val="28"/>
    </w:rPr>
  </w:style>
  <w:style w:type="character" w:customStyle="1" w:styleId="122">
    <w:name w:val="type1"/>
    <w:basedOn w:val="47"/>
    <w:qFormat/>
    <w:uiPriority w:val="0"/>
    <w:rPr>
      <w:spacing w:val="0"/>
      <w:sz w:val="21"/>
    </w:rPr>
  </w:style>
  <w:style w:type="character" w:customStyle="1" w:styleId="123">
    <w:name w:val="正文文本缩进 Char"/>
    <w:basedOn w:val="47"/>
    <w:link w:val="18"/>
    <w:qFormat/>
    <w:uiPriority w:val="0"/>
    <w:rPr>
      <w:kern w:val="2"/>
      <w:sz w:val="28"/>
    </w:rPr>
  </w:style>
  <w:style w:type="character" w:customStyle="1" w:styleId="124">
    <w:name w:val="s_门"/>
    <w:basedOn w:val="47"/>
    <w:qFormat/>
    <w:uiPriority w:val="0"/>
    <w:rPr>
      <w:spacing w:val="0"/>
      <w:sz w:val="21"/>
    </w:rPr>
  </w:style>
  <w:style w:type="character" w:customStyle="1" w:styleId="125">
    <w:name w:val="批注框文本 Char"/>
    <w:basedOn w:val="47"/>
    <w:link w:val="27"/>
    <w:qFormat/>
    <w:uiPriority w:val="99"/>
    <w:rPr>
      <w:kern w:val="2"/>
      <w:sz w:val="18"/>
      <w:szCs w:val="18"/>
    </w:rPr>
  </w:style>
  <w:style w:type="character" w:customStyle="1" w:styleId="126">
    <w:name w:val="disabled"/>
    <w:qFormat/>
    <w:uiPriority w:val="0"/>
    <w:rPr>
      <w:color w:val="CCCCCC"/>
      <w:spacing w:val="0"/>
      <w:sz w:val="21"/>
      <w:bdr w:val="single" w:color="CCCCCC" w:sz="6" w:space="0"/>
    </w:rPr>
  </w:style>
  <w:style w:type="character" w:customStyle="1" w:styleId="127">
    <w:name w:val="font81"/>
    <w:basedOn w:val="47"/>
    <w:qFormat/>
    <w:uiPriority w:val="0"/>
    <w:rPr>
      <w:rFonts w:hint="eastAsia" w:ascii="宋体" w:hAnsi="宋体" w:eastAsia="宋体" w:cs="宋体"/>
      <w:color w:val="000000"/>
      <w:sz w:val="20"/>
      <w:szCs w:val="20"/>
      <w:u w:val="none"/>
      <w:vertAlign w:val="superscript"/>
    </w:rPr>
  </w:style>
  <w:style w:type="character" w:customStyle="1" w:styleId="128">
    <w:name w:val="r_报告编号"/>
    <w:basedOn w:val="47"/>
    <w:qFormat/>
    <w:uiPriority w:val="0"/>
    <w:rPr>
      <w:spacing w:val="0"/>
      <w:sz w:val="21"/>
    </w:rPr>
  </w:style>
  <w:style w:type="character" w:customStyle="1" w:styleId="129">
    <w:name w:val="批注主题 Char"/>
    <w:basedOn w:val="117"/>
    <w:link w:val="44"/>
    <w:qFormat/>
    <w:uiPriority w:val="0"/>
    <w:rPr>
      <w:b/>
      <w:bCs/>
      <w:kern w:val="2"/>
      <w:sz w:val="21"/>
    </w:rPr>
  </w:style>
  <w:style w:type="character" w:customStyle="1" w:styleId="130">
    <w:name w:val="s_建成年份"/>
    <w:basedOn w:val="47"/>
    <w:qFormat/>
    <w:uiPriority w:val="0"/>
    <w:rPr>
      <w:spacing w:val="0"/>
      <w:sz w:val="21"/>
    </w:rPr>
  </w:style>
  <w:style w:type="character" w:customStyle="1" w:styleId="131">
    <w:name w:val="结束语 Char"/>
    <w:basedOn w:val="47"/>
    <w:link w:val="16"/>
    <w:qFormat/>
    <w:uiPriority w:val="0"/>
    <w:rPr>
      <w:rFonts w:ascii="宋体" w:hAnsi="Bookman Old Style"/>
      <w:kern w:val="2"/>
      <w:sz w:val="21"/>
    </w:rPr>
  </w:style>
  <w:style w:type="character" w:customStyle="1" w:styleId="132">
    <w:name w:val="r_总价(大写)"/>
    <w:basedOn w:val="47"/>
    <w:qFormat/>
    <w:uiPriority w:val="0"/>
    <w:rPr>
      <w:spacing w:val="0"/>
      <w:sz w:val="21"/>
    </w:rPr>
  </w:style>
  <w:style w:type="character" w:customStyle="1" w:styleId="133">
    <w:name w:val="日期 Char"/>
    <w:basedOn w:val="47"/>
    <w:link w:val="25"/>
    <w:qFormat/>
    <w:uiPriority w:val="0"/>
    <w:rPr>
      <w:kern w:val="2"/>
      <w:sz w:val="21"/>
    </w:rPr>
  </w:style>
  <w:style w:type="character" w:customStyle="1" w:styleId="134">
    <w:name w:val="basefactorname"/>
    <w:basedOn w:val="47"/>
    <w:qFormat/>
    <w:uiPriority w:val="0"/>
    <w:rPr>
      <w:spacing w:val="0"/>
      <w:sz w:val="21"/>
    </w:rPr>
  </w:style>
  <w:style w:type="character" w:customStyle="1" w:styleId="135">
    <w:name w:val="脚注文本 Char"/>
    <w:basedOn w:val="47"/>
    <w:link w:val="33"/>
    <w:qFormat/>
    <w:uiPriority w:val="0"/>
    <w:rPr>
      <w:sz w:val="18"/>
    </w:rPr>
  </w:style>
  <w:style w:type="character" w:customStyle="1" w:styleId="136">
    <w:name w:val="font01"/>
    <w:basedOn w:val="47"/>
    <w:qFormat/>
    <w:uiPriority w:val="0"/>
    <w:rPr>
      <w:rFonts w:hint="eastAsia" w:ascii="楷体_GB2312" w:eastAsia="楷体_GB2312" w:cs="楷体_GB2312"/>
      <w:color w:val="000000"/>
      <w:sz w:val="20"/>
      <w:szCs w:val="20"/>
      <w:u w:val="none"/>
    </w:rPr>
  </w:style>
  <w:style w:type="character" w:customStyle="1" w:styleId="137">
    <w:name w:val="r_短估价目的"/>
    <w:basedOn w:val="47"/>
    <w:qFormat/>
    <w:uiPriority w:val="0"/>
    <w:rPr>
      <w:spacing w:val="0"/>
      <w:sz w:val="21"/>
    </w:rPr>
  </w:style>
  <w:style w:type="character" w:customStyle="1" w:styleId="138">
    <w:name w:val="apple-converted-space"/>
    <w:basedOn w:val="47"/>
    <w:qFormat/>
    <w:uiPriority w:val="0"/>
  </w:style>
  <w:style w:type="character" w:customStyle="1" w:styleId="139">
    <w:name w:val="s_结构"/>
    <w:basedOn w:val="47"/>
    <w:qFormat/>
    <w:uiPriority w:val="0"/>
    <w:rPr>
      <w:spacing w:val="0"/>
      <w:sz w:val="21"/>
    </w:rPr>
  </w:style>
  <w:style w:type="character" w:customStyle="1" w:styleId="140">
    <w:name w:val="文档结构图 Char"/>
    <w:basedOn w:val="47"/>
    <w:link w:val="13"/>
    <w:qFormat/>
    <w:uiPriority w:val="0"/>
    <w:rPr>
      <w:kern w:val="2"/>
      <w:sz w:val="21"/>
      <w:shd w:val="clear" w:color="auto" w:fill="000080"/>
    </w:rPr>
  </w:style>
  <w:style w:type="character" w:customStyle="1" w:styleId="141">
    <w:name w:val="r_总价(小写)"/>
    <w:basedOn w:val="47"/>
    <w:qFormat/>
    <w:uiPriority w:val="0"/>
    <w:rPr>
      <w:spacing w:val="0"/>
      <w:sz w:val="21"/>
    </w:rPr>
  </w:style>
  <w:style w:type="character" w:customStyle="1" w:styleId="142">
    <w:name w:val="纯文本 Char1"/>
    <w:basedOn w:val="47"/>
    <w:qFormat/>
    <w:locked/>
    <w:uiPriority w:val="0"/>
    <w:rPr>
      <w:rFonts w:ascii="宋体" w:hAnsi="Courier New" w:eastAsia="宋体" w:cs="Times New Roman"/>
      <w:szCs w:val="20"/>
    </w:rPr>
  </w:style>
  <w:style w:type="character" w:customStyle="1" w:styleId="143">
    <w:name w:val="链接"/>
    <w:basedOn w:val="47"/>
    <w:qFormat/>
    <w:uiPriority w:val="0"/>
    <w:rPr>
      <w:rFonts w:ascii="Times New Roman" w:eastAsia="宋体"/>
      <w:color w:val="0000FF"/>
      <w:spacing w:val="0"/>
      <w:sz w:val="21"/>
      <w:u w:val="single" w:color="0000FF"/>
      <w:vertAlign w:val="baseline"/>
      <w:lang w:val="en-US" w:eastAsia="zh-CN"/>
    </w:rPr>
  </w:style>
  <w:style w:type="character" w:customStyle="1" w:styleId="144">
    <w:name w:val="op-map-singlepoint-info-left"/>
    <w:basedOn w:val="47"/>
    <w:qFormat/>
    <w:uiPriority w:val="0"/>
  </w:style>
  <w:style w:type="character" w:customStyle="1" w:styleId="145">
    <w:name w:val="r_开始日期(长)"/>
    <w:basedOn w:val="47"/>
    <w:qFormat/>
    <w:uiPriority w:val="0"/>
    <w:rPr>
      <w:spacing w:val="0"/>
      <w:sz w:val="21"/>
    </w:rPr>
  </w:style>
  <w:style w:type="character" w:customStyle="1" w:styleId="146">
    <w:name w:val="c-gap-right"/>
    <w:basedOn w:val="47"/>
    <w:qFormat/>
    <w:uiPriority w:val="0"/>
  </w:style>
  <w:style w:type="character" w:customStyle="1" w:styleId="147">
    <w:name w:val="font11"/>
    <w:qFormat/>
    <w:uiPriority w:val="0"/>
    <w:rPr>
      <w:rFonts w:hint="eastAsia" w:ascii="宋体" w:hAnsi="宋体" w:eastAsia="宋体"/>
      <w:color w:val="000000"/>
      <w:spacing w:val="0"/>
      <w:sz w:val="20"/>
      <w:szCs w:val="20"/>
      <w:u w:val="none"/>
      <w:vertAlign w:val="superscript"/>
    </w:rPr>
  </w:style>
  <w:style w:type="character" w:customStyle="1" w:styleId="148">
    <w:name w:val="标题 Char"/>
    <w:basedOn w:val="47"/>
    <w:link w:val="43"/>
    <w:qFormat/>
    <w:uiPriority w:val="10"/>
    <w:rPr>
      <w:rFonts w:ascii="黑体" w:hAnsi="宋体" w:eastAsia="黑体"/>
      <w:b/>
      <w:bCs/>
      <w:sz w:val="84"/>
      <w:szCs w:val="84"/>
    </w:rPr>
  </w:style>
  <w:style w:type="character" w:customStyle="1" w:styleId="149">
    <w:name w:val="r_结束日期(长)"/>
    <w:basedOn w:val="47"/>
    <w:qFormat/>
    <w:uiPriority w:val="0"/>
    <w:rPr>
      <w:spacing w:val="0"/>
      <w:sz w:val="21"/>
    </w:rPr>
  </w:style>
  <w:style w:type="character" w:customStyle="1" w:styleId="150">
    <w:name w:val="r_有效年期"/>
    <w:basedOn w:val="47"/>
    <w:qFormat/>
    <w:uiPriority w:val="0"/>
    <w:rPr>
      <w:spacing w:val="0"/>
      <w:sz w:val="21"/>
    </w:rPr>
  </w:style>
  <w:style w:type="character" w:customStyle="1" w:styleId="151">
    <w:name w:val="标题 3 Char Char"/>
    <w:qFormat/>
    <w:uiPriority w:val="0"/>
    <w:rPr>
      <w:rFonts w:eastAsia="宋体"/>
      <w:b/>
      <w:bCs/>
      <w:kern w:val="2"/>
      <w:sz w:val="32"/>
      <w:szCs w:val="32"/>
      <w:lang w:val="en-US" w:eastAsia="zh-CN" w:bidi="ar-SA"/>
    </w:rPr>
  </w:style>
  <w:style w:type="character" w:customStyle="1" w:styleId="152">
    <w:name w:val="s_楼地面"/>
    <w:basedOn w:val="47"/>
    <w:qFormat/>
    <w:uiPriority w:val="0"/>
    <w:rPr>
      <w:spacing w:val="0"/>
      <w:sz w:val="21"/>
    </w:rPr>
  </w:style>
  <w:style w:type="character" w:customStyle="1" w:styleId="153">
    <w:name w:val="正文（首行缩进两字） Char3"/>
    <w:qFormat/>
    <w:uiPriority w:val="0"/>
    <w:rPr>
      <w:rFonts w:eastAsia="宋体"/>
      <w:kern w:val="2"/>
      <w:sz w:val="28"/>
      <w:lang w:val="en-US" w:eastAsia="zh-CN" w:bidi="ar-SA"/>
    </w:rPr>
  </w:style>
  <w:style w:type="character" w:customStyle="1" w:styleId="154">
    <w:name w:val="s_权利人"/>
    <w:basedOn w:val="47"/>
    <w:qFormat/>
    <w:uiPriority w:val="0"/>
    <w:rPr>
      <w:spacing w:val="0"/>
      <w:sz w:val="21"/>
    </w:rPr>
  </w:style>
  <w:style w:type="character" w:customStyle="1" w:styleId="155">
    <w:name w:val="description"/>
    <w:basedOn w:val="47"/>
    <w:qFormat/>
    <w:uiPriority w:val="0"/>
  </w:style>
  <w:style w:type="character" w:customStyle="1" w:styleId="156">
    <w:name w:val="yl"/>
    <w:qFormat/>
    <w:uiPriority w:val="0"/>
    <w:rPr>
      <w:rFonts w:hint="default" w:ascii="微软雅黑" w:hAnsi="微软雅黑" w:eastAsia="微软雅黑" w:cs="微软雅黑"/>
      <w:b/>
      <w:color w:val="444343"/>
      <w:spacing w:val="0"/>
      <w:sz w:val="22"/>
      <w:szCs w:val="22"/>
    </w:rPr>
  </w:style>
  <w:style w:type="character" w:customStyle="1" w:styleId="157">
    <w:name w:val="Char Char3"/>
    <w:basedOn w:val="47"/>
    <w:qFormat/>
    <w:uiPriority w:val="0"/>
    <w:rPr>
      <w:b/>
      <w:bCs/>
      <w:color w:val="000000"/>
      <w:kern w:val="28"/>
      <w:sz w:val="28"/>
      <w:szCs w:val="44"/>
      <w:u w:color="000000"/>
    </w:rPr>
  </w:style>
  <w:style w:type="character" w:customStyle="1" w:styleId="158">
    <w:name w:val="num"/>
    <w:qFormat/>
    <w:uiPriority w:val="0"/>
    <w:rPr>
      <w:color w:val="A00101"/>
      <w:spacing w:val="0"/>
      <w:sz w:val="21"/>
    </w:rPr>
  </w:style>
  <w:style w:type="character" w:customStyle="1" w:styleId="159">
    <w:name w:val="time1"/>
    <w:qFormat/>
    <w:uiPriority w:val="0"/>
    <w:rPr>
      <w:rFonts w:hint="eastAsia" w:ascii="微软雅黑" w:hAnsi="微软雅黑" w:eastAsia="微软雅黑" w:cs="微软雅黑"/>
      <w:color w:val="383838"/>
      <w:spacing w:val="0"/>
      <w:sz w:val="27"/>
      <w:szCs w:val="27"/>
    </w:rPr>
  </w:style>
  <w:style w:type="character" w:customStyle="1" w:styleId="160">
    <w:name w:val="s_窗"/>
    <w:basedOn w:val="47"/>
    <w:qFormat/>
    <w:uiPriority w:val="0"/>
    <w:rPr>
      <w:spacing w:val="0"/>
      <w:sz w:val="21"/>
    </w:rPr>
  </w:style>
  <w:style w:type="character" w:customStyle="1" w:styleId="161">
    <w:name w:val="blackfont"/>
    <w:basedOn w:val="47"/>
    <w:qFormat/>
    <w:uiPriority w:val="0"/>
    <w:rPr>
      <w:spacing w:val="0"/>
      <w:sz w:val="21"/>
    </w:rPr>
  </w:style>
  <w:style w:type="character" w:customStyle="1" w:styleId="162">
    <w:name w:val="s_单价(大写)"/>
    <w:basedOn w:val="47"/>
    <w:qFormat/>
    <w:uiPriority w:val="0"/>
    <w:rPr>
      <w:spacing w:val="0"/>
      <w:sz w:val="21"/>
    </w:rPr>
  </w:style>
  <w:style w:type="character" w:customStyle="1" w:styleId="163">
    <w:name w:val="name"/>
    <w:qFormat/>
    <w:uiPriority w:val="0"/>
    <w:rPr>
      <w:spacing w:val="0"/>
      <w:sz w:val="18"/>
      <w:szCs w:val="18"/>
    </w:rPr>
  </w:style>
  <w:style w:type="character" w:customStyle="1" w:styleId="164">
    <w:name w:val="appraisers"/>
    <w:basedOn w:val="47"/>
    <w:qFormat/>
    <w:uiPriority w:val="0"/>
    <w:rPr>
      <w:spacing w:val="0"/>
      <w:sz w:val="21"/>
    </w:rPr>
  </w:style>
  <w:style w:type="character" w:customStyle="1" w:styleId="165">
    <w:name w:val="name1"/>
    <w:basedOn w:val="47"/>
    <w:qFormat/>
    <w:uiPriority w:val="0"/>
    <w:rPr>
      <w:spacing w:val="0"/>
      <w:sz w:val="21"/>
    </w:rPr>
  </w:style>
  <w:style w:type="character" w:customStyle="1" w:styleId="166">
    <w:name w:val="s_间数层数"/>
    <w:basedOn w:val="47"/>
    <w:qFormat/>
    <w:uiPriority w:val="0"/>
    <w:rPr>
      <w:spacing w:val="0"/>
      <w:sz w:val="21"/>
    </w:rPr>
  </w:style>
  <w:style w:type="character" w:customStyle="1" w:styleId="167">
    <w:name w:val="apple-style-span"/>
    <w:basedOn w:val="47"/>
    <w:qFormat/>
    <w:uiPriority w:val="0"/>
  </w:style>
  <w:style w:type="character" w:customStyle="1" w:styleId="168">
    <w:name w:val="s_应缴纳"/>
    <w:basedOn w:val="47"/>
    <w:qFormat/>
    <w:uiPriority w:val="0"/>
    <w:rPr>
      <w:spacing w:val="0"/>
      <w:sz w:val="21"/>
    </w:rPr>
  </w:style>
  <w:style w:type="paragraph" w:customStyle="1" w:styleId="169">
    <w:name w:val="ilinks"/>
    <w:basedOn w:val="1"/>
    <w:qFormat/>
    <w:uiPriority w:val="0"/>
    <w:pPr>
      <w:widowControl/>
      <w:spacing w:before="100" w:beforeAutospacing="1" w:after="100" w:afterAutospacing="1"/>
      <w:jc w:val="left"/>
    </w:pPr>
    <w:rPr>
      <w:rFonts w:ascii="宋体" w:hAnsi="宋体" w:cs="宋体"/>
      <w:b/>
      <w:bCs/>
      <w:color w:val="FFFFFF"/>
      <w:kern w:val="0"/>
      <w:sz w:val="18"/>
      <w:szCs w:val="18"/>
    </w:rPr>
  </w:style>
  <w:style w:type="paragraph" w:customStyle="1" w:styleId="170">
    <w:name w:val="zw_title"/>
    <w:basedOn w:val="1"/>
    <w:qFormat/>
    <w:uiPriority w:val="0"/>
    <w:pPr>
      <w:widowControl/>
      <w:spacing w:before="100" w:beforeAutospacing="1" w:after="100" w:afterAutospacing="1" w:line="360" w:lineRule="auto"/>
      <w:jc w:val="left"/>
    </w:pPr>
    <w:rPr>
      <w:rFonts w:ascii="宋体" w:hAnsi="宋体" w:cs="宋体"/>
      <w:b/>
      <w:bCs/>
      <w:color w:val="333333"/>
      <w:kern w:val="0"/>
      <w:sz w:val="35"/>
      <w:szCs w:val="35"/>
    </w:rPr>
  </w:style>
  <w:style w:type="paragraph" w:customStyle="1" w:styleId="171">
    <w:name w:val="样式2"/>
    <w:basedOn w:val="1"/>
    <w:qFormat/>
    <w:uiPriority w:val="0"/>
    <w:pPr>
      <w:spacing w:line="360" w:lineRule="auto"/>
      <w:jc w:val="center"/>
    </w:pPr>
    <w:rPr>
      <w:rFonts w:ascii="宋体" w:hAnsi="Arial"/>
      <w:sz w:val="24"/>
    </w:rPr>
  </w:style>
  <w:style w:type="paragraph" w:customStyle="1" w:styleId="172">
    <w:name w:val="zwdt13l21"/>
    <w:basedOn w:val="1"/>
    <w:qFormat/>
    <w:uiPriority w:val="0"/>
    <w:pPr>
      <w:widowControl/>
      <w:spacing w:before="100" w:beforeAutospacing="1" w:after="100" w:afterAutospacing="1" w:line="315" w:lineRule="atLeast"/>
      <w:jc w:val="left"/>
    </w:pPr>
    <w:rPr>
      <w:rFonts w:ascii="宋体" w:hAnsi="宋体" w:cs="宋体"/>
      <w:color w:val="000000"/>
      <w:kern w:val="0"/>
      <w:sz w:val="20"/>
    </w:rPr>
  </w:style>
  <w:style w:type="paragraph" w:customStyle="1" w:styleId="173">
    <w:name w:val="bord3b"/>
    <w:basedOn w:val="1"/>
    <w:qFormat/>
    <w:uiPriority w:val="0"/>
    <w:pPr>
      <w:widowControl/>
      <w:pBdr>
        <w:top w:val="single" w:color="D2E8F7" w:sz="6" w:space="0"/>
        <w:left w:val="single" w:color="D2E8F7" w:sz="6" w:space="0"/>
        <w:right w:val="single" w:color="D2E8F7" w:sz="6" w:space="0"/>
      </w:pBdr>
      <w:spacing w:before="100" w:beforeAutospacing="1" w:after="100" w:afterAutospacing="1"/>
      <w:jc w:val="left"/>
    </w:pPr>
    <w:rPr>
      <w:rFonts w:ascii="宋体" w:hAnsi="宋体" w:cs="宋体"/>
      <w:kern w:val="0"/>
      <w:sz w:val="24"/>
      <w:szCs w:val="24"/>
    </w:rPr>
  </w:style>
  <w:style w:type="paragraph" w:customStyle="1" w:styleId="174">
    <w:name w:val="spbb_link1"/>
    <w:basedOn w:val="1"/>
    <w:qFormat/>
    <w:uiPriority w:val="0"/>
    <w:pPr>
      <w:widowControl/>
      <w:spacing w:before="100" w:beforeAutospacing="1" w:after="100" w:afterAutospacing="1" w:line="240" w:lineRule="atLeast"/>
      <w:jc w:val="left"/>
    </w:pPr>
    <w:rPr>
      <w:rFonts w:ascii="宋体" w:hAnsi="宋体" w:cs="宋体"/>
      <w:color w:val="666666"/>
      <w:kern w:val="0"/>
      <w:sz w:val="18"/>
      <w:szCs w:val="18"/>
    </w:rPr>
  </w:style>
  <w:style w:type="paragraph" w:customStyle="1" w:styleId="175">
    <w:name w:val="font14gray"/>
    <w:basedOn w:val="1"/>
    <w:qFormat/>
    <w:uiPriority w:val="0"/>
    <w:pPr>
      <w:widowControl/>
      <w:spacing w:before="100" w:beforeAutospacing="1" w:after="100" w:afterAutospacing="1"/>
      <w:jc w:val="left"/>
    </w:pPr>
    <w:rPr>
      <w:rFonts w:ascii="宋体" w:hAnsi="宋体" w:cs="宋体"/>
      <w:b/>
      <w:bCs/>
      <w:color w:val="505050"/>
      <w:kern w:val="0"/>
      <w:szCs w:val="21"/>
    </w:rPr>
  </w:style>
  <w:style w:type="paragraph" w:customStyle="1" w:styleId="176">
    <w:name w:val="bord4b"/>
    <w:basedOn w:val="1"/>
    <w:qFormat/>
    <w:uiPriority w:val="0"/>
    <w:pPr>
      <w:widowControl/>
      <w:pBdr>
        <w:top w:val="single" w:color="D2E8F7" w:sz="6" w:space="0"/>
        <w:left w:val="single" w:color="D2E8F7" w:sz="6" w:space="0"/>
        <w:bottom w:val="single" w:color="D2E8F7" w:sz="6" w:space="0"/>
        <w:right w:val="single" w:color="D2E8F7" w:sz="6" w:space="0"/>
      </w:pBdr>
      <w:spacing w:before="100" w:beforeAutospacing="1" w:after="100" w:afterAutospacing="1"/>
      <w:jc w:val="left"/>
    </w:pPr>
    <w:rPr>
      <w:rFonts w:ascii="宋体" w:hAnsi="宋体" w:cs="宋体"/>
      <w:kern w:val="0"/>
      <w:sz w:val="24"/>
      <w:szCs w:val="24"/>
    </w:rPr>
  </w:style>
  <w:style w:type="paragraph" w:customStyle="1" w:styleId="177">
    <w:name w:val="spbb_bord4b2"/>
    <w:basedOn w:val="1"/>
    <w:qFormat/>
    <w:uiPriority w:val="0"/>
    <w:pPr>
      <w:widowControl/>
      <w:pBdr>
        <w:top w:val="single" w:color="CFC9BB" w:sz="6" w:space="0"/>
        <w:left w:val="single" w:color="CFC9BB" w:sz="6" w:space="0"/>
        <w:bottom w:val="single" w:color="CFC9BB" w:sz="6" w:space="0"/>
        <w:right w:val="single" w:color="CFC9BB" w:sz="6" w:space="0"/>
      </w:pBdr>
      <w:spacing w:before="100" w:beforeAutospacing="1" w:after="100" w:afterAutospacing="1"/>
      <w:jc w:val="left"/>
    </w:pPr>
    <w:rPr>
      <w:rFonts w:ascii="宋体" w:hAnsi="宋体" w:cs="宋体"/>
      <w:kern w:val="0"/>
      <w:sz w:val="24"/>
      <w:szCs w:val="24"/>
    </w:rPr>
  </w:style>
  <w:style w:type="paragraph" w:customStyle="1" w:styleId="178">
    <w:name w:val="font14black"/>
    <w:basedOn w:val="1"/>
    <w:qFormat/>
    <w:uiPriority w:val="0"/>
    <w:pPr>
      <w:widowControl/>
      <w:spacing w:before="100" w:beforeAutospacing="1" w:after="100" w:afterAutospacing="1"/>
      <w:jc w:val="left"/>
    </w:pPr>
    <w:rPr>
      <w:rFonts w:ascii="宋体" w:hAnsi="宋体" w:cs="宋体"/>
      <w:b/>
      <w:bCs/>
      <w:color w:val="000000"/>
      <w:kern w:val="0"/>
      <w:szCs w:val="21"/>
    </w:rPr>
  </w:style>
  <w:style w:type="paragraph" w:customStyle="1" w:styleId="179">
    <w:name w:val="spbb_bord4b1"/>
    <w:basedOn w:val="1"/>
    <w:qFormat/>
    <w:uiPriority w:val="0"/>
    <w:pPr>
      <w:widowControl/>
      <w:pBdr>
        <w:top w:val="single" w:color="69B1DE" w:sz="6" w:space="0"/>
        <w:left w:val="single" w:color="69B1DE" w:sz="6" w:space="0"/>
        <w:bottom w:val="single" w:color="69B1DE" w:sz="6" w:space="0"/>
        <w:right w:val="single" w:color="69B1DE" w:sz="6" w:space="0"/>
      </w:pBdr>
      <w:spacing w:before="100" w:beforeAutospacing="1" w:after="100" w:afterAutospacing="1"/>
      <w:jc w:val="left"/>
    </w:pPr>
    <w:rPr>
      <w:rFonts w:ascii="宋体" w:hAnsi="宋体" w:cs="宋体"/>
      <w:kern w:val="0"/>
      <w:sz w:val="24"/>
      <w:szCs w:val="24"/>
    </w:rPr>
  </w:style>
  <w:style w:type="paragraph" w:customStyle="1" w:styleId="180">
    <w:name w:val="iblue12"/>
    <w:basedOn w:val="1"/>
    <w:qFormat/>
    <w:uiPriority w:val="0"/>
    <w:pPr>
      <w:widowControl/>
      <w:spacing w:before="100" w:beforeAutospacing="1" w:after="100" w:afterAutospacing="1"/>
      <w:jc w:val="left"/>
    </w:pPr>
    <w:rPr>
      <w:rFonts w:ascii="宋体" w:hAnsi="宋体" w:cs="宋体"/>
      <w:color w:val="075CA4"/>
      <w:kern w:val="0"/>
      <w:sz w:val="18"/>
      <w:szCs w:val="18"/>
    </w:rPr>
  </w:style>
  <w:style w:type="paragraph" w:customStyle="1" w:styleId="181">
    <w:name w:val="spbb_font"/>
    <w:basedOn w:val="1"/>
    <w:qFormat/>
    <w:uiPriority w:val="0"/>
    <w:pPr>
      <w:widowControl/>
      <w:spacing w:before="100" w:beforeAutospacing="1" w:after="100" w:afterAutospacing="1"/>
      <w:jc w:val="left"/>
    </w:pPr>
    <w:rPr>
      <w:rFonts w:ascii="宋体" w:hAnsi="宋体" w:cs="宋体"/>
      <w:color w:val="999999"/>
      <w:kern w:val="0"/>
      <w:szCs w:val="21"/>
    </w:rPr>
  </w:style>
  <w:style w:type="paragraph" w:customStyle="1" w:styleId="182">
    <w:name w:val="xxhblue14"/>
    <w:basedOn w:val="1"/>
    <w:qFormat/>
    <w:uiPriority w:val="0"/>
    <w:pPr>
      <w:widowControl/>
      <w:spacing w:before="100" w:beforeAutospacing="1" w:after="100" w:afterAutospacing="1"/>
      <w:jc w:val="left"/>
    </w:pPr>
    <w:rPr>
      <w:rFonts w:ascii="宋体" w:hAnsi="宋体" w:cs="宋体"/>
      <w:color w:val="004D9C"/>
      <w:kern w:val="0"/>
      <w:szCs w:val="21"/>
    </w:rPr>
  </w:style>
  <w:style w:type="paragraph" w:customStyle="1" w:styleId="183">
    <w:name w:val="font14width"/>
    <w:basedOn w:val="1"/>
    <w:qFormat/>
    <w:uiPriority w:val="0"/>
    <w:pPr>
      <w:widowControl/>
      <w:spacing w:before="100" w:beforeAutospacing="1" w:after="100" w:afterAutospacing="1"/>
      <w:jc w:val="left"/>
    </w:pPr>
    <w:rPr>
      <w:rFonts w:ascii="宋体" w:hAnsi="宋体" w:cs="宋体"/>
      <w:b/>
      <w:bCs/>
      <w:color w:val="FFFFFF"/>
      <w:kern w:val="0"/>
      <w:szCs w:val="21"/>
    </w:rPr>
  </w:style>
  <w:style w:type="paragraph" w:customStyle="1" w:styleId="184">
    <w:name w:val="spbb_link3"/>
    <w:basedOn w:val="1"/>
    <w:qFormat/>
    <w:uiPriority w:val="0"/>
    <w:pPr>
      <w:widowControl/>
      <w:spacing w:before="100" w:beforeAutospacing="1" w:after="100" w:afterAutospacing="1" w:line="240" w:lineRule="atLeast"/>
      <w:jc w:val="left"/>
    </w:pPr>
    <w:rPr>
      <w:rFonts w:ascii="宋体" w:hAnsi="宋体" w:cs="宋体"/>
      <w:color w:val="666666"/>
      <w:kern w:val="0"/>
      <w:sz w:val="18"/>
      <w:szCs w:val="18"/>
    </w:rPr>
  </w:style>
  <w:style w:type="paragraph" w:customStyle="1" w:styleId="185">
    <w:name w:val="ih13l18"/>
    <w:basedOn w:val="1"/>
    <w:qFormat/>
    <w:uiPriority w:val="0"/>
    <w:pPr>
      <w:widowControl/>
      <w:spacing w:before="100" w:beforeAutospacing="1" w:after="100" w:afterAutospacing="1" w:line="270" w:lineRule="atLeast"/>
      <w:jc w:val="left"/>
    </w:pPr>
    <w:rPr>
      <w:rFonts w:ascii="宋体" w:hAnsi="宋体" w:cs="宋体"/>
      <w:color w:val="313131"/>
      <w:kern w:val="0"/>
      <w:sz w:val="20"/>
    </w:rPr>
  </w:style>
  <w:style w:type="paragraph" w:customStyle="1" w:styleId="186">
    <w:name w:val="tdscschlist"/>
    <w:basedOn w:val="1"/>
    <w:qFormat/>
    <w:uiPriority w:val="0"/>
    <w:pPr>
      <w:widowControl/>
      <w:spacing w:before="165" w:after="100" w:afterAutospacing="1"/>
      <w:jc w:val="left"/>
    </w:pPr>
    <w:rPr>
      <w:rFonts w:ascii="宋体" w:hAnsi="宋体" w:cs="宋体"/>
      <w:kern w:val="0"/>
      <w:sz w:val="24"/>
      <w:szCs w:val="24"/>
    </w:rPr>
  </w:style>
  <w:style w:type="paragraph" w:customStyle="1" w:styleId="187">
    <w:name w:val="bsfwdiv2"/>
    <w:basedOn w:val="1"/>
    <w:qFormat/>
    <w:uiPriority w:val="0"/>
    <w:pPr>
      <w:widowControl/>
      <w:spacing w:before="100" w:beforeAutospacing="1" w:after="100" w:afterAutospacing="1"/>
      <w:jc w:val="left"/>
    </w:pPr>
    <w:rPr>
      <w:rFonts w:ascii="宋体" w:hAnsi="宋体" w:cs="宋体"/>
      <w:b/>
      <w:bCs/>
      <w:color w:val="ADA700"/>
      <w:kern w:val="0"/>
      <w:szCs w:val="21"/>
    </w:rPr>
  </w:style>
  <w:style w:type="paragraph" w:customStyle="1" w:styleId="188">
    <w:name w:val="link8"/>
    <w:basedOn w:val="1"/>
    <w:qFormat/>
    <w:uiPriority w:val="0"/>
    <w:pPr>
      <w:widowControl/>
      <w:spacing w:before="100" w:beforeAutospacing="1" w:after="100" w:afterAutospacing="1" w:line="270" w:lineRule="atLeast"/>
      <w:jc w:val="left"/>
    </w:pPr>
    <w:rPr>
      <w:rFonts w:ascii="宋体" w:hAnsi="宋体" w:cs="宋体"/>
      <w:color w:val="666666"/>
      <w:kern w:val="0"/>
      <w:sz w:val="18"/>
      <w:szCs w:val="18"/>
    </w:rPr>
  </w:style>
  <w:style w:type="paragraph" w:customStyle="1" w:styleId="189">
    <w:name w:val="menubox"/>
    <w:basedOn w:val="1"/>
    <w:qFormat/>
    <w:uiPriority w:val="0"/>
    <w:pPr>
      <w:widowControl/>
      <w:spacing w:before="100" w:beforeAutospacing="1" w:after="100" w:afterAutospacing="1" w:line="420" w:lineRule="atLeast"/>
      <w:jc w:val="left"/>
    </w:pPr>
    <w:rPr>
      <w:rFonts w:ascii="宋体" w:hAnsi="宋体" w:cs="宋体"/>
      <w:kern w:val="0"/>
      <w:sz w:val="24"/>
      <w:szCs w:val="24"/>
    </w:rPr>
  </w:style>
  <w:style w:type="paragraph" w:customStyle="1" w:styleId="190">
    <w:name w:val="spbb_bord2"/>
    <w:basedOn w:val="1"/>
    <w:qFormat/>
    <w:uiPriority w:val="0"/>
    <w:pPr>
      <w:widowControl/>
      <w:pBdr>
        <w:left w:val="single" w:color="7D7559" w:sz="6" w:space="0"/>
        <w:bottom w:val="single" w:color="7D7559" w:sz="6" w:space="0"/>
        <w:right w:val="single" w:color="7D7559" w:sz="6" w:space="0"/>
      </w:pBdr>
      <w:spacing w:before="100" w:beforeAutospacing="1" w:after="100" w:afterAutospacing="1"/>
      <w:jc w:val="left"/>
    </w:pPr>
    <w:rPr>
      <w:rFonts w:ascii="宋体" w:hAnsi="宋体" w:cs="宋体"/>
      <w:kern w:val="0"/>
      <w:sz w:val="24"/>
      <w:szCs w:val="24"/>
    </w:rPr>
  </w:style>
  <w:style w:type="paragraph" w:customStyle="1" w:styleId="191">
    <w:name w:val="flfg_bord"/>
    <w:basedOn w:val="1"/>
    <w:qFormat/>
    <w:uiPriority w:val="0"/>
    <w:pPr>
      <w:widowControl/>
      <w:pBdr>
        <w:top w:val="single" w:color="E3F1FB" w:sz="6" w:space="0"/>
        <w:left w:val="single" w:color="E3F1FB" w:sz="6" w:space="0"/>
        <w:bottom w:val="single" w:color="E3F1FB" w:sz="6" w:space="0"/>
        <w:right w:val="single" w:color="E3F1FB" w:sz="6" w:space="0"/>
      </w:pBdr>
      <w:spacing w:before="100" w:beforeAutospacing="1" w:after="100" w:afterAutospacing="1"/>
      <w:jc w:val="left"/>
    </w:pPr>
    <w:rPr>
      <w:rFonts w:ascii="宋体" w:hAnsi="宋体" w:cs="宋体"/>
      <w:kern w:val="0"/>
      <w:sz w:val="24"/>
      <w:szCs w:val="24"/>
    </w:rPr>
  </w:style>
  <w:style w:type="paragraph" w:customStyle="1" w:styleId="192">
    <w:name w:val="zwdtzctl"/>
    <w:basedOn w:val="1"/>
    <w:qFormat/>
    <w:uiPriority w:val="0"/>
    <w:pPr>
      <w:widowControl/>
      <w:spacing w:before="100" w:beforeAutospacing="1" w:after="100" w:afterAutospacing="1"/>
      <w:jc w:val="left"/>
    </w:pPr>
    <w:rPr>
      <w:rFonts w:ascii="宋体" w:hAnsi="宋体" w:cs="宋体"/>
      <w:color w:val="0E3C72"/>
      <w:kern w:val="0"/>
      <w:szCs w:val="21"/>
    </w:rPr>
  </w:style>
  <w:style w:type="paragraph" w:customStyle="1" w:styleId="193">
    <w:name w:val="bord1"/>
    <w:basedOn w:val="1"/>
    <w:qFormat/>
    <w:uiPriority w:val="0"/>
    <w:pPr>
      <w:widowControl/>
      <w:pBdr>
        <w:top w:val="single" w:color="CCCCCC" w:sz="6" w:space="0"/>
        <w:left w:val="single" w:color="CCCCCC" w:sz="6" w:space="0"/>
        <w:bottom w:val="single" w:color="CCCCCC" w:sz="6" w:space="0"/>
        <w:right w:val="single" w:color="CCCCCC" w:sz="6" w:space="0"/>
      </w:pBdr>
      <w:spacing w:before="100" w:beforeAutospacing="1" w:after="100" w:afterAutospacing="1"/>
      <w:jc w:val="left"/>
    </w:pPr>
    <w:rPr>
      <w:rFonts w:ascii="宋体" w:hAnsi="宋体" w:cs="宋体"/>
      <w:kern w:val="0"/>
      <w:sz w:val="24"/>
      <w:szCs w:val="24"/>
    </w:rPr>
  </w:style>
  <w:style w:type="paragraph" w:customStyle="1" w:styleId="194">
    <w:name w:val="zwf_title"/>
    <w:basedOn w:val="1"/>
    <w:qFormat/>
    <w:uiPriority w:val="0"/>
    <w:pPr>
      <w:widowControl/>
      <w:spacing w:before="100" w:beforeAutospacing="1" w:after="100" w:afterAutospacing="1" w:line="345" w:lineRule="atLeast"/>
      <w:jc w:val="left"/>
    </w:pPr>
    <w:rPr>
      <w:rFonts w:ascii="宋体" w:hAnsi="宋体" w:cs="宋体"/>
      <w:b/>
      <w:bCs/>
      <w:color w:val="666666"/>
      <w:kern w:val="0"/>
      <w:sz w:val="24"/>
      <w:szCs w:val="24"/>
    </w:rPr>
  </w:style>
  <w:style w:type="paragraph" w:customStyle="1" w:styleId="195">
    <w:name w:val="page"/>
    <w:basedOn w:val="1"/>
    <w:qFormat/>
    <w:uiPriority w:val="0"/>
    <w:pPr>
      <w:widowControl/>
      <w:spacing w:before="100" w:beforeAutospacing="1" w:after="100" w:afterAutospacing="1"/>
      <w:jc w:val="left"/>
    </w:pPr>
    <w:rPr>
      <w:rFonts w:ascii="宋体" w:hAnsi="宋体" w:cs="宋体"/>
      <w:color w:val="184B7A"/>
      <w:kern w:val="0"/>
      <w:szCs w:val="21"/>
    </w:rPr>
  </w:style>
  <w:style w:type="paragraph" w:customStyle="1" w:styleId="196">
    <w:name w:val="wskt_more"/>
    <w:basedOn w:val="1"/>
    <w:qFormat/>
    <w:uiPriority w:val="0"/>
    <w:pPr>
      <w:widowControl/>
      <w:spacing w:before="100" w:beforeAutospacing="1" w:after="100" w:afterAutospacing="1" w:line="240" w:lineRule="atLeast"/>
      <w:jc w:val="left"/>
    </w:pPr>
    <w:rPr>
      <w:rFonts w:ascii="宋体" w:hAnsi="宋体" w:cs="宋体"/>
      <w:color w:val="E9471B"/>
      <w:kern w:val="0"/>
      <w:sz w:val="18"/>
      <w:szCs w:val="18"/>
    </w:rPr>
  </w:style>
  <w:style w:type="paragraph" w:customStyle="1" w:styleId="197">
    <w:name w:val="flfg_bord3"/>
    <w:basedOn w:val="1"/>
    <w:qFormat/>
    <w:uiPriority w:val="0"/>
    <w:pPr>
      <w:widowControl/>
      <w:pBdr>
        <w:right w:val="single" w:color="E3F1FB" w:sz="6" w:space="0"/>
      </w:pBdr>
      <w:spacing w:before="100" w:beforeAutospacing="1" w:after="100" w:afterAutospacing="1"/>
      <w:jc w:val="left"/>
    </w:pPr>
    <w:rPr>
      <w:rFonts w:ascii="宋体" w:hAnsi="宋体" w:cs="宋体"/>
      <w:kern w:val="0"/>
      <w:sz w:val="24"/>
      <w:szCs w:val="24"/>
    </w:rPr>
  </w:style>
  <w:style w:type="paragraph" w:customStyle="1" w:styleId="198">
    <w:name w:val="style2"/>
    <w:basedOn w:val="1"/>
    <w:qFormat/>
    <w:uiPriority w:val="0"/>
    <w:pPr>
      <w:widowControl/>
      <w:spacing w:before="100" w:beforeAutospacing="1" w:after="100" w:afterAutospacing="1"/>
      <w:jc w:val="left"/>
    </w:pPr>
    <w:rPr>
      <w:rFonts w:ascii="楷体_GB2312" w:hAnsi="宋体" w:eastAsia="楷体_GB2312" w:cs="宋体"/>
      <w:kern w:val="0"/>
      <w:szCs w:val="21"/>
    </w:rPr>
  </w:style>
  <w:style w:type="paragraph" w:customStyle="1" w:styleId="199">
    <w:name w:val="wskt_link1"/>
    <w:basedOn w:val="1"/>
    <w:qFormat/>
    <w:uiPriority w:val="0"/>
    <w:pPr>
      <w:widowControl/>
      <w:spacing w:before="100" w:beforeAutospacing="1" w:after="100" w:afterAutospacing="1" w:line="240" w:lineRule="atLeast"/>
      <w:jc w:val="left"/>
    </w:pPr>
    <w:rPr>
      <w:rFonts w:ascii="宋体" w:hAnsi="宋体" w:cs="宋体"/>
      <w:color w:val="333333"/>
      <w:kern w:val="0"/>
      <w:sz w:val="18"/>
      <w:szCs w:val="18"/>
    </w:rPr>
  </w:style>
  <w:style w:type="paragraph" w:customStyle="1" w:styleId="200">
    <w:name w:val="ih13"/>
    <w:basedOn w:val="1"/>
    <w:qFormat/>
    <w:uiPriority w:val="0"/>
    <w:pPr>
      <w:widowControl/>
      <w:spacing w:before="100" w:beforeAutospacing="1" w:after="100" w:afterAutospacing="1"/>
      <w:jc w:val="left"/>
    </w:pPr>
    <w:rPr>
      <w:rFonts w:ascii="宋体" w:hAnsi="宋体" w:cs="宋体"/>
      <w:color w:val="212121"/>
      <w:kern w:val="0"/>
      <w:sz w:val="20"/>
    </w:rPr>
  </w:style>
  <w:style w:type="paragraph" w:customStyle="1" w:styleId="201">
    <w:name w:val="wskt_link"/>
    <w:basedOn w:val="1"/>
    <w:qFormat/>
    <w:uiPriority w:val="0"/>
    <w:pPr>
      <w:widowControl/>
      <w:spacing w:before="100" w:beforeAutospacing="1" w:after="100" w:afterAutospacing="1" w:line="240" w:lineRule="atLeast"/>
      <w:jc w:val="left"/>
    </w:pPr>
    <w:rPr>
      <w:rFonts w:ascii="宋体" w:hAnsi="宋体" w:cs="宋体"/>
      <w:b/>
      <w:bCs/>
      <w:color w:val="333333"/>
      <w:kern w:val="0"/>
      <w:sz w:val="18"/>
      <w:szCs w:val="18"/>
    </w:rPr>
  </w:style>
  <w:style w:type="paragraph" w:customStyle="1" w:styleId="202">
    <w:name w:val="link2"/>
    <w:basedOn w:val="1"/>
    <w:qFormat/>
    <w:uiPriority w:val="0"/>
    <w:pPr>
      <w:widowControl/>
      <w:spacing w:before="100" w:beforeAutospacing="1" w:after="100" w:afterAutospacing="1"/>
      <w:jc w:val="left"/>
    </w:pPr>
    <w:rPr>
      <w:rFonts w:ascii="宋体" w:hAnsi="宋体" w:cs="宋体"/>
      <w:color w:val="003399"/>
      <w:kern w:val="0"/>
      <w:szCs w:val="21"/>
    </w:rPr>
  </w:style>
  <w:style w:type="paragraph" w:customStyle="1" w:styleId="203">
    <w:name w:val="zwgkmenu"/>
    <w:basedOn w:val="1"/>
    <w:qFormat/>
    <w:uiPriority w:val="0"/>
    <w:pPr>
      <w:widowControl/>
      <w:spacing w:before="100" w:beforeAutospacing="1" w:after="100" w:afterAutospacing="1"/>
      <w:jc w:val="left"/>
    </w:pPr>
    <w:rPr>
      <w:rFonts w:ascii="宋体" w:hAnsi="宋体" w:cs="宋体"/>
      <w:color w:val="003366"/>
      <w:kern w:val="0"/>
      <w:sz w:val="20"/>
    </w:rPr>
  </w:style>
  <w:style w:type="paragraph" w:customStyle="1" w:styleId="204">
    <w:name w:val="bordbottom"/>
    <w:basedOn w:val="1"/>
    <w:qFormat/>
    <w:uiPriority w:val="0"/>
    <w:pPr>
      <w:widowControl/>
      <w:pBdr>
        <w:top w:val="single" w:color="CCCCCC" w:sz="6" w:space="0"/>
      </w:pBdr>
      <w:spacing w:before="100" w:beforeAutospacing="1" w:after="100" w:afterAutospacing="1"/>
      <w:jc w:val="left"/>
    </w:pPr>
    <w:rPr>
      <w:rFonts w:ascii="宋体" w:hAnsi="宋体" w:cs="宋体"/>
      <w:kern w:val="0"/>
      <w:sz w:val="24"/>
      <w:szCs w:val="24"/>
    </w:rPr>
  </w:style>
  <w:style w:type="paragraph" w:customStyle="1" w:styleId="205">
    <w:name w:val="tdsch12"/>
    <w:basedOn w:val="1"/>
    <w:qFormat/>
    <w:uiPriority w:val="0"/>
    <w:pPr>
      <w:widowControl/>
      <w:spacing w:before="100" w:beforeAutospacing="1" w:after="100" w:afterAutospacing="1"/>
      <w:jc w:val="left"/>
    </w:pPr>
    <w:rPr>
      <w:rFonts w:ascii="宋体" w:hAnsi="宋体" w:cs="宋体"/>
      <w:color w:val="2A2A2A"/>
      <w:kern w:val="0"/>
      <w:sz w:val="18"/>
      <w:szCs w:val="18"/>
    </w:rPr>
  </w:style>
  <w:style w:type="paragraph" w:customStyle="1" w:styleId="206">
    <w:name w:val="align_center"/>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207">
    <w:name w:val="章标题"/>
    <w:basedOn w:val="1"/>
    <w:next w:val="208"/>
    <w:qFormat/>
    <w:uiPriority w:val="0"/>
    <w:pPr>
      <w:widowControl/>
      <w:spacing w:before="158" w:after="153" w:line="323" w:lineRule="atLeast"/>
      <w:jc w:val="center"/>
      <w:textAlignment w:val="baseline"/>
    </w:pPr>
    <w:rPr>
      <w:rFonts w:ascii="Arial" w:eastAsia="黑体"/>
      <w:color w:val="000000"/>
      <w:kern w:val="0"/>
      <w:sz w:val="31"/>
      <w:u w:color="000000"/>
    </w:rPr>
  </w:style>
  <w:style w:type="paragraph" w:customStyle="1" w:styleId="208">
    <w:name w:val="节标题"/>
    <w:basedOn w:val="1"/>
    <w:next w:val="209"/>
    <w:qFormat/>
    <w:uiPriority w:val="0"/>
    <w:pPr>
      <w:widowControl/>
      <w:spacing w:line="289" w:lineRule="atLeast"/>
      <w:jc w:val="center"/>
      <w:textAlignment w:val="baseline"/>
    </w:pPr>
    <w:rPr>
      <w:color w:val="000000"/>
      <w:kern w:val="0"/>
      <w:sz w:val="28"/>
      <w:u w:color="000000"/>
    </w:rPr>
  </w:style>
  <w:style w:type="paragraph" w:customStyle="1" w:styleId="209">
    <w:name w:val="小节标题"/>
    <w:basedOn w:val="1"/>
    <w:next w:val="1"/>
    <w:qFormat/>
    <w:uiPriority w:val="0"/>
    <w:pPr>
      <w:widowControl/>
      <w:spacing w:before="175" w:after="102" w:line="351" w:lineRule="atLeast"/>
      <w:textAlignment w:val="baseline"/>
    </w:pPr>
    <w:rPr>
      <w:rFonts w:eastAsia="黑体"/>
      <w:color w:val="000000"/>
      <w:kern w:val="0"/>
      <w:u w:color="000000"/>
    </w:rPr>
  </w:style>
  <w:style w:type="paragraph" w:customStyle="1" w:styleId="210">
    <w:name w:val="floatl"/>
    <w:basedOn w:val="1"/>
    <w:qFormat/>
    <w:uiPriority w:val="0"/>
    <w:pPr>
      <w:widowControl/>
      <w:spacing w:before="15"/>
      <w:ind w:left="75" w:right="60"/>
      <w:jc w:val="left"/>
    </w:pPr>
    <w:rPr>
      <w:rFonts w:ascii="宋体" w:hAnsi="宋体" w:cs="宋体"/>
      <w:kern w:val="0"/>
      <w:sz w:val="24"/>
      <w:szCs w:val="24"/>
    </w:rPr>
  </w:style>
  <w:style w:type="paragraph" w:customStyle="1" w:styleId="211">
    <w:name w:val="spbb_news"/>
    <w:basedOn w:val="1"/>
    <w:qFormat/>
    <w:uiPriority w:val="0"/>
    <w:pPr>
      <w:widowControl/>
      <w:spacing w:before="100" w:beforeAutospacing="1" w:after="100" w:afterAutospacing="1"/>
      <w:jc w:val="left"/>
    </w:pPr>
    <w:rPr>
      <w:rFonts w:ascii="宋体" w:hAnsi="宋体" w:cs="宋体"/>
      <w:color w:val="333333"/>
      <w:kern w:val="0"/>
      <w:sz w:val="18"/>
      <w:szCs w:val="18"/>
    </w:rPr>
  </w:style>
  <w:style w:type="paragraph" w:customStyle="1" w:styleId="212">
    <w:name w:val="menu"/>
    <w:basedOn w:val="1"/>
    <w:qFormat/>
    <w:uiPriority w:val="0"/>
    <w:pPr>
      <w:widowControl/>
      <w:spacing w:before="100" w:beforeAutospacing="1" w:after="100" w:afterAutospacing="1"/>
      <w:jc w:val="left"/>
    </w:pPr>
    <w:rPr>
      <w:rFonts w:ascii="宋体" w:hAnsi="宋体" w:cs="宋体"/>
      <w:color w:val="333333"/>
      <w:kern w:val="0"/>
      <w:szCs w:val="21"/>
    </w:rPr>
  </w:style>
  <w:style w:type="paragraph" w:customStyle="1" w:styleId="213">
    <w:name w:val="bsfwdiv1"/>
    <w:basedOn w:val="1"/>
    <w:qFormat/>
    <w:uiPriority w:val="0"/>
    <w:pPr>
      <w:widowControl/>
      <w:spacing w:before="100" w:beforeAutospacing="1" w:after="100" w:afterAutospacing="1"/>
      <w:jc w:val="left"/>
    </w:pPr>
    <w:rPr>
      <w:rFonts w:ascii="宋体" w:hAnsi="宋体" w:cs="宋体"/>
      <w:b/>
      <w:bCs/>
      <w:color w:val="FFFFFF"/>
      <w:kern w:val="0"/>
      <w:szCs w:val="21"/>
    </w:rPr>
  </w:style>
  <w:style w:type="paragraph" w:customStyle="1" w:styleId="214">
    <w:name w:val="bord2b"/>
    <w:basedOn w:val="1"/>
    <w:qFormat/>
    <w:uiPriority w:val="0"/>
    <w:pPr>
      <w:widowControl/>
      <w:pBdr>
        <w:bottom w:val="single" w:color="D2E2E7" w:sz="6" w:space="0"/>
        <w:right w:val="single" w:color="D2E2E7" w:sz="6" w:space="0"/>
      </w:pBdr>
      <w:spacing w:before="100" w:beforeAutospacing="1" w:after="100" w:afterAutospacing="1"/>
      <w:jc w:val="left"/>
    </w:pPr>
    <w:rPr>
      <w:rFonts w:ascii="宋体" w:hAnsi="宋体" w:cs="宋体"/>
      <w:kern w:val="0"/>
      <w:sz w:val="24"/>
      <w:szCs w:val="24"/>
    </w:rPr>
  </w:style>
  <w:style w:type="paragraph" w:customStyle="1" w:styleId="215">
    <w:name w:val="列出段落1"/>
    <w:basedOn w:val="1"/>
    <w:qFormat/>
    <w:uiPriority w:val="34"/>
    <w:pPr>
      <w:ind w:firstLine="420" w:firstLineChars="200"/>
    </w:pPr>
  </w:style>
  <w:style w:type="paragraph" w:customStyle="1" w:styleId="216">
    <w:name w:val="title03"/>
    <w:basedOn w:val="1"/>
    <w:qFormat/>
    <w:uiPriority w:val="0"/>
    <w:pPr>
      <w:widowControl/>
      <w:spacing w:before="100" w:beforeAutospacing="1" w:after="100" w:afterAutospacing="1"/>
      <w:jc w:val="left"/>
    </w:pPr>
    <w:rPr>
      <w:rFonts w:ascii="宋体" w:hAnsi="宋体" w:cs="宋体"/>
      <w:color w:val="CC0000"/>
      <w:kern w:val="0"/>
      <w:szCs w:val="21"/>
    </w:rPr>
  </w:style>
  <w:style w:type="paragraph" w:customStyle="1" w:styleId="217">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18">
    <w:name w:val="Char Char Char Char Char Char Char"/>
    <w:basedOn w:val="1"/>
    <w:qFormat/>
    <w:uiPriority w:val="0"/>
    <w:pPr>
      <w:widowControl/>
      <w:spacing w:after="160" w:line="240" w:lineRule="exact"/>
      <w:jc w:val="left"/>
    </w:pPr>
    <w:rPr>
      <w:rFonts w:ascii="Verdana" w:hAnsi="Verdana" w:eastAsia="Times New Roman"/>
      <w:kern w:val="0"/>
      <w:sz w:val="20"/>
      <w:lang w:eastAsia="en-US"/>
    </w:rPr>
  </w:style>
  <w:style w:type="paragraph" w:customStyle="1" w:styleId="219">
    <w:name w:val="font14blue"/>
    <w:basedOn w:val="1"/>
    <w:qFormat/>
    <w:uiPriority w:val="0"/>
    <w:pPr>
      <w:widowControl/>
      <w:spacing w:before="100" w:beforeAutospacing="1" w:after="100" w:afterAutospacing="1" w:line="345" w:lineRule="atLeast"/>
      <w:jc w:val="left"/>
    </w:pPr>
    <w:rPr>
      <w:rFonts w:ascii="宋体" w:hAnsi="宋体" w:cs="宋体"/>
      <w:b/>
      <w:bCs/>
      <w:color w:val="184B7A"/>
      <w:kern w:val="0"/>
      <w:szCs w:val="21"/>
    </w:rPr>
  </w:style>
  <w:style w:type="paragraph" w:customStyle="1" w:styleId="220">
    <w:name w:val="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221">
    <w:name w:val="jgdjmenu"/>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22">
    <w:name w:val="gray12"/>
    <w:basedOn w:val="1"/>
    <w:qFormat/>
    <w:uiPriority w:val="0"/>
    <w:pPr>
      <w:widowControl/>
      <w:spacing w:before="100" w:beforeAutospacing="1" w:after="100" w:afterAutospacing="1"/>
      <w:jc w:val="left"/>
    </w:pPr>
    <w:rPr>
      <w:rFonts w:ascii="宋体" w:hAnsi="宋体" w:cs="宋体"/>
      <w:color w:val="888888"/>
      <w:kern w:val="0"/>
      <w:sz w:val="18"/>
      <w:szCs w:val="18"/>
    </w:rPr>
  </w:style>
  <w:style w:type="paragraph" w:customStyle="1" w:styleId="223">
    <w:name w:val="ll0"/>
    <w:basedOn w:val="224"/>
    <w:qFormat/>
    <w:uiPriority w:val="0"/>
    <w:pPr>
      <w:numPr>
        <w:numId w:val="0"/>
      </w:numPr>
      <w:tabs>
        <w:tab w:val="left" w:pos="420"/>
      </w:tabs>
      <w:ind w:firstLine="420"/>
    </w:pPr>
    <w:rPr>
      <w:rFonts w:ascii="宋体" w:eastAsia="宋体"/>
      <w:b w:val="0"/>
      <w:spacing w:val="12"/>
    </w:rPr>
  </w:style>
  <w:style w:type="paragraph" w:customStyle="1" w:styleId="224">
    <w:name w:val="样式1"/>
    <w:basedOn w:val="1"/>
    <w:qFormat/>
    <w:uiPriority w:val="0"/>
    <w:pPr>
      <w:numPr>
        <w:ilvl w:val="0"/>
        <w:numId w:val="1"/>
      </w:numPr>
      <w:spacing w:line="460" w:lineRule="exact"/>
    </w:pPr>
    <w:rPr>
      <w:rFonts w:eastAsia="文鼎中隶简"/>
      <w:b/>
      <w:sz w:val="24"/>
    </w:rPr>
  </w:style>
  <w:style w:type="paragraph" w:customStyle="1" w:styleId="225">
    <w:name w:val="Char Char Char Char Char Char Char1"/>
    <w:basedOn w:val="1"/>
    <w:qFormat/>
    <w:uiPriority w:val="0"/>
    <w:pPr>
      <w:widowControl/>
      <w:spacing w:after="160" w:line="240" w:lineRule="exact"/>
      <w:jc w:val="left"/>
    </w:pPr>
    <w:rPr>
      <w:rFonts w:ascii="Verdana" w:hAnsi="Verdana" w:eastAsia="Times New Roman"/>
      <w:kern w:val="0"/>
      <w:sz w:val="20"/>
      <w:lang w:eastAsia="en-US"/>
    </w:rPr>
  </w:style>
  <w:style w:type="paragraph" w:customStyle="1" w:styleId="226">
    <w:name w:val="iy13"/>
    <w:basedOn w:val="1"/>
    <w:qFormat/>
    <w:uiPriority w:val="0"/>
    <w:pPr>
      <w:widowControl/>
      <w:spacing w:before="100" w:beforeAutospacing="1" w:after="100" w:afterAutospacing="1"/>
      <w:jc w:val="left"/>
    </w:pPr>
    <w:rPr>
      <w:rFonts w:ascii="宋体" w:hAnsi="宋体" w:cs="宋体"/>
      <w:color w:val="615015"/>
      <w:kern w:val="0"/>
      <w:sz w:val="20"/>
    </w:rPr>
  </w:style>
  <w:style w:type="paragraph" w:customStyle="1" w:styleId="227">
    <w:name w:val="列出段落11"/>
    <w:basedOn w:val="1"/>
    <w:qFormat/>
    <w:uiPriority w:val="34"/>
    <w:pPr>
      <w:ind w:firstLine="420" w:firstLineChars="200"/>
    </w:pPr>
  </w:style>
  <w:style w:type="paragraph" w:customStyle="1" w:styleId="228">
    <w:name w:val="flfg_link2"/>
    <w:basedOn w:val="1"/>
    <w:qFormat/>
    <w:uiPriority w:val="0"/>
    <w:pPr>
      <w:widowControl/>
      <w:spacing w:before="100" w:beforeAutospacing="1" w:after="100" w:afterAutospacing="1" w:line="270" w:lineRule="atLeast"/>
      <w:jc w:val="left"/>
    </w:pPr>
    <w:rPr>
      <w:rFonts w:ascii="宋体" w:hAnsi="宋体" w:cs="宋体"/>
      <w:color w:val="CC0000"/>
      <w:kern w:val="0"/>
      <w:szCs w:val="21"/>
    </w:rPr>
  </w:style>
  <w:style w:type="paragraph" w:customStyle="1" w:styleId="229">
    <w:name w:val="xl24"/>
    <w:basedOn w:val="1"/>
    <w:qFormat/>
    <w:uiPriority w:val="0"/>
    <w:pPr>
      <w:widowControl/>
      <w:spacing w:before="100" w:beforeAutospacing="1" w:after="100" w:afterAutospacing="1"/>
      <w:jc w:val="center"/>
      <w:textAlignment w:val="center"/>
    </w:pPr>
    <w:rPr>
      <w:rFonts w:ascii="宋体" w:hAnsi="宋体"/>
      <w:kern w:val="0"/>
      <w:sz w:val="24"/>
      <w:szCs w:val="24"/>
    </w:rPr>
  </w:style>
  <w:style w:type="paragraph" w:customStyle="1" w:styleId="230">
    <w:name w:val="wskt_bord2"/>
    <w:basedOn w:val="1"/>
    <w:qFormat/>
    <w:uiPriority w:val="0"/>
    <w:pPr>
      <w:widowControl/>
      <w:pBdr>
        <w:left w:val="single" w:color="CCCCCC" w:sz="6" w:space="0"/>
        <w:right w:val="single" w:color="CCCCCC" w:sz="6" w:space="0"/>
      </w:pBdr>
      <w:spacing w:before="100" w:beforeAutospacing="1" w:after="100" w:afterAutospacing="1"/>
      <w:jc w:val="left"/>
    </w:pPr>
    <w:rPr>
      <w:rFonts w:ascii="宋体" w:hAnsi="宋体" w:cs="宋体"/>
      <w:kern w:val="0"/>
      <w:sz w:val="24"/>
      <w:szCs w:val="24"/>
    </w:rPr>
  </w:style>
  <w:style w:type="paragraph" w:customStyle="1" w:styleId="231">
    <w:name w:val="zmhd_bord3b"/>
    <w:basedOn w:val="1"/>
    <w:qFormat/>
    <w:uiPriority w:val="0"/>
    <w:pPr>
      <w:widowControl/>
      <w:pBdr>
        <w:top w:val="single" w:color="CFD9DE" w:sz="6" w:space="0"/>
        <w:left w:val="single" w:color="CFD9DE" w:sz="6" w:space="0"/>
        <w:right w:val="single" w:color="CFD9DE" w:sz="6" w:space="0"/>
      </w:pBdr>
      <w:spacing w:before="100" w:beforeAutospacing="1" w:after="100" w:afterAutospacing="1"/>
      <w:jc w:val="left"/>
    </w:pPr>
    <w:rPr>
      <w:rFonts w:ascii="宋体" w:hAnsi="宋体" w:cs="宋体"/>
      <w:kern w:val="0"/>
      <w:sz w:val="24"/>
      <w:szCs w:val="24"/>
    </w:rPr>
  </w:style>
  <w:style w:type="paragraph" w:customStyle="1" w:styleId="232">
    <w:name w:val="tdsctop"/>
    <w:basedOn w:val="1"/>
    <w:qFormat/>
    <w:uiPriority w:val="0"/>
    <w:pPr>
      <w:widowControl/>
      <w:spacing w:before="100" w:beforeAutospacing="1" w:after="100" w:afterAutospacing="1"/>
      <w:jc w:val="left"/>
    </w:pPr>
    <w:rPr>
      <w:rFonts w:ascii="宋体" w:hAnsi="宋体" w:cs="宋体"/>
      <w:color w:val="CA0000"/>
      <w:kern w:val="0"/>
      <w:sz w:val="18"/>
      <w:szCs w:val="18"/>
    </w:rPr>
  </w:style>
  <w:style w:type="paragraph" w:customStyle="1" w:styleId="233">
    <w:name w:val="wskt_link2"/>
    <w:basedOn w:val="1"/>
    <w:qFormat/>
    <w:uiPriority w:val="0"/>
    <w:pPr>
      <w:widowControl/>
      <w:spacing w:before="100" w:beforeAutospacing="1" w:after="100" w:afterAutospacing="1" w:line="270" w:lineRule="atLeast"/>
      <w:jc w:val="left"/>
    </w:pPr>
    <w:rPr>
      <w:rFonts w:ascii="宋体" w:hAnsi="宋体" w:cs="宋体"/>
      <w:color w:val="333333"/>
      <w:kern w:val="0"/>
      <w:sz w:val="18"/>
      <w:szCs w:val="18"/>
    </w:rPr>
  </w:style>
  <w:style w:type="paragraph" w:customStyle="1" w:styleId="234">
    <w:name w:val="tssc13tt"/>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235">
    <w:name w:val="kyqsctop"/>
    <w:basedOn w:val="1"/>
    <w:qFormat/>
    <w:uiPriority w:val="0"/>
    <w:pPr>
      <w:widowControl/>
      <w:spacing w:before="100" w:beforeAutospacing="1" w:after="100" w:afterAutospacing="1"/>
      <w:jc w:val="left"/>
    </w:pPr>
    <w:rPr>
      <w:rFonts w:ascii="宋体" w:hAnsi="宋体" w:cs="宋体"/>
      <w:color w:val="1949B6"/>
      <w:kern w:val="0"/>
      <w:sz w:val="18"/>
      <w:szCs w:val="18"/>
    </w:rPr>
  </w:style>
  <w:style w:type="paragraph" w:customStyle="1" w:styleId="236">
    <w:name w:val="ibl1"/>
    <w:basedOn w:val="1"/>
    <w:qFormat/>
    <w:uiPriority w:val="0"/>
    <w:pPr>
      <w:widowControl/>
      <w:spacing w:before="100" w:beforeAutospacing="1" w:after="100" w:afterAutospacing="1"/>
      <w:jc w:val="left"/>
    </w:pPr>
    <w:rPr>
      <w:rFonts w:ascii="宋体" w:hAnsi="宋体" w:cs="宋体"/>
      <w:color w:val="04399B"/>
      <w:spacing w:val="15"/>
      <w:kern w:val="0"/>
      <w:sz w:val="18"/>
      <w:szCs w:val="18"/>
    </w:rPr>
  </w:style>
  <w:style w:type="paragraph" w:customStyle="1" w:styleId="237">
    <w:name w:val="iblues13"/>
    <w:basedOn w:val="1"/>
    <w:qFormat/>
    <w:uiPriority w:val="0"/>
    <w:pPr>
      <w:widowControl/>
      <w:spacing w:before="100" w:beforeAutospacing="1" w:after="100" w:afterAutospacing="1"/>
      <w:jc w:val="left"/>
    </w:pPr>
    <w:rPr>
      <w:rFonts w:ascii="宋体" w:hAnsi="宋体" w:cs="宋体"/>
      <w:color w:val="174B8B"/>
      <w:kern w:val="0"/>
      <w:sz w:val="20"/>
    </w:rPr>
  </w:style>
  <w:style w:type="paragraph" w:customStyle="1" w:styleId="238">
    <w:name w:val="ih14"/>
    <w:basedOn w:val="1"/>
    <w:qFormat/>
    <w:uiPriority w:val="0"/>
    <w:pPr>
      <w:widowControl/>
      <w:spacing w:before="100" w:beforeAutospacing="1" w:after="100" w:afterAutospacing="1"/>
      <w:jc w:val="left"/>
    </w:pPr>
    <w:rPr>
      <w:rFonts w:ascii="宋体" w:hAnsi="宋体" w:cs="宋体"/>
      <w:color w:val="0E0E0E"/>
      <w:kern w:val="0"/>
      <w:szCs w:val="21"/>
    </w:rPr>
  </w:style>
  <w:style w:type="paragraph" w:customStyle="1" w:styleId="239">
    <w:name w:val="ipadding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40">
    <w:name w:val="wskt_menu"/>
    <w:basedOn w:val="1"/>
    <w:qFormat/>
    <w:uiPriority w:val="0"/>
    <w:pPr>
      <w:widowControl/>
      <w:spacing w:before="100" w:beforeAutospacing="1" w:after="100" w:afterAutospacing="1" w:line="240" w:lineRule="atLeast"/>
      <w:jc w:val="left"/>
    </w:pPr>
    <w:rPr>
      <w:rFonts w:ascii="宋体" w:hAnsi="宋体" w:cs="宋体"/>
      <w:color w:val="487A00"/>
      <w:kern w:val="0"/>
      <w:sz w:val="18"/>
      <w:szCs w:val="18"/>
    </w:rPr>
  </w:style>
  <w:style w:type="paragraph" w:customStyle="1" w:styleId="241">
    <w:name w:val="wskt_bord3a"/>
    <w:basedOn w:val="1"/>
    <w:qFormat/>
    <w:uiPriority w:val="0"/>
    <w:pPr>
      <w:widowControl/>
      <w:pBdr>
        <w:left w:val="single" w:color="C9C9C9" w:sz="6" w:space="0"/>
        <w:bottom w:val="single" w:color="C9C9C9" w:sz="6" w:space="0"/>
        <w:right w:val="single" w:color="C9C9C9" w:sz="6" w:space="0"/>
      </w:pBdr>
      <w:spacing w:before="100" w:beforeAutospacing="1" w:after="100" w:afterAutospacing="1"/>
      <w:jc w:val="left"/>
    </w:pPr>
    <w:rPr>
      <w:rFonts w:ascii="宋体" w:hAnsi="宋体" w:cs="宋体"/>
      <w:kern w:val="0"/>
      <w:sz w:val="24"/>
      <w:szCs w:val="24"/>
    </w:rPr>
  </w:style>
  <w:style w:type="paragraph" w:customStyle="1" w:styleId="242">
    <w:name w:val="zmhd_bord1"/>
    <w:basedOn w:val="1"/>
    <w:qFormat/>
    <w:uiPriority w:val="0"/>
    <w:pPr>
      <w:widowControl/>
      <w:pBdr>
        <w:top w:val="single" w:color="CFD9DE" w:sz="6" w:space="0"/>
        <w:left w:val="single" w:color="CFD9DE" w:sz="6" w:space="0"/>
        <w:bottom w:val="single" w:color="CFD9DE" w:sz="6" w:space="0"/>
        <w:right w:val="single" w:color="CFD9DE" w:sz="6" w:space="0"/>
      </w:pBdr>
      <w:spacing w:before="100" w:beforeAutospacing="1" w:after="100" w:afterAutospacing="1"/>
      <w:jc w:val="left"/>
    </w:pPr>
    <w:rPr>
      <w:rFonts w:ascii="宋体" w:hAnsi="宋体" w:cs="宋体"/>
      <w:kern w:val="0"/>
      <w:sz w:val="24"/>
      <w:szCs w:val="24"/>
    </w:rPr>
  </w:style>
  <w:style w:type="paragraph" w:customStyle="1" w:styleId="243">
    <w:name w:val="btn2"/>
    <w:basedOn w:val="1"/>
    <w:qFormat/>
    <w:uiPriority w:val="0"/>
    <w:pPr>
      <w:widowControl/>
      <w:shd w:val="clear" w:color="auto" w:fill="ECE9D8"/>
      <w:spacing w:before="100" w:beforeAutospacing="1" w:after="100" w:afterAutospacing="1"/>
      <w:jc w:val="left"/>
    </w:pPr>
    <w:rPr>
      <w:rFonts w:ascii="宋体" w:hAnsi="宋体" w:cs="宋体"/>
      <w:kern w:val="0"/>
      <w:sz w:val="18"/>
      <w:szCs w:val="18"/>
    </w:rPr>
  </w:style>
  <w:style w:type="paragraph" w:customStyle="1" w:styleId="244">
    <w:name w:val="ih12"/>
    <w:basedOn w:val="1"/>
    <w:qFormat/>
    <w:uiPriority w:val="0"/>
    <w:pPr>
      <w:widowControl/>
      <w:spacing w:before="100" w:beforeAutospacing="1" w:after="100" w:afterAutospacing="1"/>
      <w:jc w:val="left"/>
    </w:pPr>
    <w:rPr>
      <w:rFonts w:ascii="宋体" w:hAnsi="宋体" w:cs="宋体"/>
      <w:color w:val="2D2D2D"/>
      <w:kern w:val="0"/>
      <w:sz w:val="18"/>
      <w:szCs w:val="18"/>
    </w:rPr>
  </w:style>
  <w:style w:type="paragraph" w:customStyle="1" w:styleId="245">
    <w:name w:val="tdscsch"/>
    <w:basedOn w:val="1"/>
    <w:qFormat/>
    <w:uiPriority w:val="0"/>
    <w:pPr>
      <w:widowControl/>
      <w:jc w:val="center"/>
    </w:pPr>
    <w:rPr>
      <w:rFonts w:ascii="宋体" w:hAnsi="宋体" w:cs="宋体"/>
      <w:b/>
      <w:bCs/>
      <w:color w:val="000000"/>
      <w:kern w:val="0"/>
      <w:sz w:val="20"/>
    </w:rPr>
  </w:style>
  <w:style w:type="paragraph" w:customStyle="1" w:styleId="246">
    <w:name w:val="纯文本1"/>
    <w:basedOn w:val="1"/>
    <w:qFormat/>
    <w:uiPriority w:val="0"/>
    <w:rPr>
      <w:rFonts w:ascii="宋体" w:hAnsi="Courier New" w:cs="Courier New"/>
      <w:szCs w:val="21"/>
    </w:rPr>
  </w:style>
  <w:style w:type="paragraph" w:customStyle="1" w:styleId="247">
    <w:name w:val="Char3"/>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248">
    <w:name w:val="contentbox"/>
    <w:basedOn w:val="1"/>
    <w:qFormat/>
    <w:uiPriority w:val="0"/>
    <w:pPr>
      <w:widowControl/>
      <w:spacing w:after="100" w:afterAutospacing="1"/>
      <w:jc w:val="left"/>
    </w:pPr>
    <w:rPr>
      <w:rFonts w:ascii="宋体" w:hAnsi="宋体" w:cs="宋体"/>
      <w:kern w:val="0"/>
      <w:sz w:val="24"/>
      <w:szCs w:val="24"/>
    </w:rPr>
  </w:style>
  <w:style w:type="paragraph" w:customStyle="1" w:styleId="249">
    <w:name w:val="zwgk_ldzc_leftmenu1"/>
    <w:basedOn w:val="1"/>
    <w:qFormat/>
    <w:uiPriority w:val="0"/>
    <w:pPr>
      <w:widowControl/>
      <w:spacing w:before="100" w:beforeAutospacing="1" w:after="100" w:afterAutospacing="1" w:line="330" w:lineRule="atLeast"/>
      <w:jc w:val="left"/>
    </w:pPr>
    <w:rPr>
      <w:rFonts w:ascii="宋体" w:hAnsi="宋体" w:cs="宋体"/>
      <w:b/>
      <w:bCs/>
      <w:color w:val="CC0000"/>
      <w:kern w:val="0"/>
      <w:szCs w:val="21"/>
    </w:rPr>
  </w:style>
  <w:style w:type="paragraph" w:customStyle="1" w:styleId="250">
    <w:name w:val="xl45"/>
    <w:basedOn w:val="1"/>
    <w:qFormat/>
    <w:uiPriority w:val="99"/>
    <w:pPr>
      <w:widowControl/>
      <w:spacing w:before="100" w:beforeAutospacing="1" w:after="100" w:afterAutospacing="1"/>
      <w:jc w:val="center"/>
    </w:pPr>
    <w:rPr>
      <w:rFonts w:ascii="Arial Unicode MS" w:hAnsi="Arial Unicode MS" w:eastAsia="Arial Unicode MS" w:cs="Arial Unicode MS"/>
      <w:b/>
      <w:bCs/>
      <w:kern w:val="0"/>
      <w:sz w:val="28"/>
      <w:szCs w:val="28"/>
    </w:rPr>
  </w:style>
  <w:style w:type="paragraph" w:customStyle="1" w:styleId="251">
    <w:name w:val="xl28"/>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hint="eastAsia" w:ascii="方正楷体简体" w:hAnsi="宋体" w:eastAsia="方正楷体简体"/>
      <w:kern w:val="0"/>
      <w:sz w:val="24"/>
      <w:szCs w:val="24"/>
    </w:rPr>
  </w:style>
  <w:style w:type="paragraph" w:customStyle="1" w:styleId="252">
    <w:name w:val="spbb_bord3"/>
    <w:basedOn w:val="1"/>
    <w:qFormat/>
    <w:uiPriority w:val="0"/>
    <w:pPr>
      <w:widowControl/>
      <w:pBdr>
        <w:left w:val="single" w:color="69B1DE" w:sz="6" w:space="0"/>
        <w:bottom w:val="single" w:color="69B1DE" w:sz="6" w:space="0"/>
        <w:right w:val="single" w:color="69B1DE" w:sz="6" w:space="0"/>
      </w:pBdr>
      <w:spacing w:before="100" w:beforeAutospacing="1" w:after="100" w:afterAutospacing="1"/>
      <w:jc w:val="left"/>
    </w:pPr>
    <w:rPr>
      <w:rFonts w:ascii="宋体" w:hAnsi="宋体" w:cs="宋体"/>
      <w:kern w:val="0"/>
      <w:sz w:val="24"/>
      <w:szCs w:val="24"/>
    </w:rPr>
  </w:style>
  <w:style w:type="paragraph" w:customStyle="1" w:styleId="253">
    <w:name w:val="ikqsc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54">
    <w:name w:val="样式3"/>
    <w:basedOn w:val="1"/>
    <w:qFormat/>
    <w:uiPriority w:val="0"/>
    <w:pPr>
      <w:spacing w:line="360" w:lineRule="auto"/>
      <w:jc w:val="center"/>
    </w:pPr>
    <w:rPr>
      <w:rFonts w:ascii="宋体"/>
      <w:spacing w:val="6"/>
    </w:rPr>
  </w:style>
  <w:style w:type="paragraph" w:customStyle="1" w:styleId="255">
    <w:name w:val="font12"/>
    <w:basedOn w:val="1"/>
    <w:qFormat/>
    <w:uiPriority w:val="0"/>
    <w:pPr>
      <w:widowControl/>
      <w:spacing w:before="100" w:beforeAutospacing="1" w:after="100" w:afterAutospacing="1" w:line="270" w:lineRule="atLeast"/>
      <w:jc w:val="left"/>
    </w:pPr>
    <w:rPr>
      <w:rFonts w:ascii="宋体" w:hAnsi="宋体" w:cs="宋体"/>
      <w:color w:val="000000"/>
      <w:kern w:val="0"/>
      <w:sz w:val="18"/>
      <w:szCs w:val="18"/>
    </w:rPr>
  </w:style>
  <w:style w:type="paragraph" w:customStyle="1" w:styleId="256">
    <w:name w:val="bord"/>
    <w:basedOn w:val="1"/>
    <w:qFormat/>
    <w:uiPriority w:val="0"/>
    <w:pPr>
      <w:widowControl/>
      <w:pBdr>
        <w:top w:val="single" w:color="CCCCCC" w:sz="6" w:space="0"/>
        <w:left w:val="single" w:color="CCCCCC" w:sz="6" w:space="0"/>
        <w:bottom w:val="single" w:color="CCCCCC" w:sz="6" w:space="0"/>
        <w:right w:val="single" w:color="CCCCCC" w:sz="6" w:space="0"/>
      </w:pBdr>
      <w:spacing w:before="100" w:beforeAutospacing="1" w:after="100" w:afterAutospacing="1"/>
      <w:jc w:val="left"/>
    </w:pPr>
    <w:rPr>
      <w:rFonts w:ascii="宋体" w:hAnsi="宋体" w:cs="宋体"/>
      <w:kern w:val="0"/>
      <w:sz w:val="24"/>
      <w:szCs w:val="24"/>
    </w:rPr>
  </w:style>
  <w:style w:type="paragraph" w:customStyle="1" w:styleId="257">
    <w:name w:val="itdscgreen"/>
    <w:basedOn w:val="1"/>
    <w:qFormat/>
    <w:uiPriority w:val="0"/>
    <w:pPr>
      <w:widowControl/>
      <w:spacing w:before="100" w:beforeAutospacing="1" w:after="100" w:afterAutospacing="1"/>
      <w:jc w:val="left"/>
    </w:pPr>
    <w:rPr>
      <w:rFonts w:ascii="宋体" w:hAnsi="宋体" w:cs="宋体"/>
      <w:color w:val="B0B0B0"/>
      <w:kern w:val="0"/>
      <w:sz w:val="20"/>
    </w:rPr>
  </w:style>
  <w:style w:type="paragraph" w:customStyle="1" w:styleId="258">
    <w:name w:val="bsfwtop"/>
    <w:basedOn w:val="1"/>
    <w:qFormat/>
    <w:uiPriority w:val="0"/>
    <w:pPr>
      <w:widowControl/>
      <w:spacing w:before="100" w:beforeAutospacing="1" w:after="100" w:afterAutospacing="1"/>
      <w:jc w:val="left"/>
    </w:pPr>
    <w:rPr>
      <w:rFonts w:ascii="宋体" w:hAnsi="宋体" w:cs="宋体"/>
      <w:color w:val="6C8C0A"/>
      <w:kern w:val="0"/>
      <w:sz w:val="18"/>
      <w:szCs w:val="18"/>
    </w:rPr>
  </w:style>
  <w:style w:type="paragraph" w:customStyle="1" w:styleId="259">
    <w:name w:val="目录2"/>
    <w:basedOn w:val="3"/>
    <w:qFormat/>
    <w:uiPriority w:val="0"/>
    <w:pPr>
      <w:keepLines w:val="0"/>
      <w:tabs>
        <w:tab w:val="left" w:pos="975"/>
      </w:tabs>
      <w:adjustRightInd w:val="0"/>
      <w:snapToGrid w:val="0"/>
      <w:spacing w:before="0" w:after="0" w:line="440" w:lineRule="exact"/>
      <w:ind w:firstLine="679" w:firstLineChars="200"/>
    </w:pPr>
    <w:rPr>
      <w:rFonts w:ascii="黑体" w:hAnsi="宋体"/>
      <w:spacing w:val="10"/>
      <w:sz w:val="30"/>
      <w:szCs w:val="30"/>
    </w:rPr>
  </w:style>
  <w:style w:type="paragraph" w:customStyle="1" w:styleId="260">
    <w:name w:val="p0"/>
    <w:basedOn w:val="1"/>
    <w:qFormat/>
    <w:uiPriority w:val="0"/>
    <w:pPr>
      <w:widowControl/>
    </w:pPr>
    <w:rPr>
      <w:kern w:val="0"/>
      <w:szCs w:val="21"/>
    </w:rPr>
  </w:style>
  <w:style w:type="paragraph" w:customStyle="1" w:styleId="261">
    <w:name w:val="文章副标题"/>
    <w:basedOn w:val="1"/>
    <w:next w:val="207"/>
    <w:qFormat/>
    <w:uiPriority w:val="0"/>
    <w:pPr>
      <w:widowControl/>
      <w:spacing w:before="187" w:after="175" w:line="374" w:lineRule="atLeast"/>
      <w:jc w:val="center"/>
      <w:textAlignment w:val="baseline"/>
    </w:pPr>
    <w:rPr>
      <w:color w:val="000000"/>
      <w:kern w:val="0"/>
      <w:sz w:val="36"/>
      <w:u w:color="000000"/>
    </w:rPr>
  </w:style>
  <w:style w:type="paragraph" w:customStyle="1" w:styleId="262">
    <w:name w:val="title02"/>
    <w:basedOn w:val="1"/>
    <w:qFormat/>
    <w:uiPriority w:val="0"/>
    <w:pPr>
      <w:widowControl/>
      <w:spacing w:before="100" w:beforeAutospacing="1" w:after="100" w:afterAutospacing="1"/>
      <w:jc w:val="left"/>
    </w:pPr>
    <w:rPr>
      <w:rFonts w:ascii="宋体" w:hAnsi="宋体" w:cs="宋体"/>
      <w:color w:val="993300"/>
      <w:kern w:val="0"/>
      <w:szCs w:val="21"/>
    </w:rPr>
  </w:style>
  <w:style w:type="paragraph" w:customStyle="1" w:styleId="263">
    <w:name w:val="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264">
    <w:name w:val="more"/>
    <w:basedOn w:val="1"/>
    <w:qFormat/>
    <w:uiPriority w:val="0"/>
    <w:pPr>
      <w:widowControl/>
      <w:spacing w:before="100" w:beforeAutospacing="1" w:after="100" w:afterAutospacing="1"/>
      <w:jc w:val="left"/>
    </w:pPr>
    <w:rPr>
      <w:rFonts w:ascii="宋体" w:hAnsi="宋体" w:cs="宋体"/>
      <w:color w:val="2577B7"/>
      <w:kern w:val="0"/>
      <w:sz w:val="18"/>
      <w:szCs w:val="18"/>
    </w:rPr>
  </w:style>
  <w:style w:type="paragraph" w:customStyle="1" w:styleId="265">
    <w:name w:val="ipadding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66">
    <w:name w:val="input"/>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267">
    <w:name w:val="kyqscblue14b"/>
    <w:basedOn w:val="1"/>
    <w:qFormat/>
    <w:uiPriority w:val="0"/>
    <w:pPr>
      <w:widowControl/>
      <w:spacing w:before="100" w:beforeAutospacing="1" w:after="100" w:afterAutospacing="1"/>
      <w:jc w:val="left"/>
    </w:pPr>
    <w:rPr>
      <w:rFonts w:ascii="宋体" w:hAnsi="宋体" w:cs="宋体"/>
      <w:b/>
      <w:bCs/>
      <w:color w:val="1F6ED9"/>
      <w:kern w:val="0"/>
      <w:szCs w:val="21"/>
    </w:rPr>
  </w:style>
  <w:style w:type="paragraph" w:customStyle="1" w:styleId="268">
    <w:name w:val="ihych"/>
    <w:basedOn w:val="1"/>
    <w:qFormat/>
    <w:uiPriority w:val="0"/>
    <w:pPr>
      <w:widowControl/>
      <w:spacing w:before="100" w:beforeAutospacing="1" w:after="100" w:afterAutospacing="1"/>
      <w:jc w:val="left"/>
    </w:pPr>
    <w:rPr>
      <w:rFonts w:ascii="宋体" w:hAnsi="宋体" w:cs="宋体"/>
      <w:color w:val="333333"/>
      <w:kern w:val="0"/>
      <w:sz w:val="20"/>
    </w:rPr>
  </w:style>
  <w:style w:type="paragraph" w:customStyle="1" w:styleId="269">
    <w:name w:val="flfg_font12"/>
    <w:basedOn w:val="1"/>
    <w:qFormat/>
    <w:uiPriority w:val="0"/>
    <w:pPr>
      <w:widowControl/>
      <w:spacing w:before="100" w:beforeAutospacing="1" w:after="100" w:afterAutospacing="1" w:line="270" w:lineRule="atLeast"/>
      <w:jc w:val="left"/>
    </w:pPr>
    <w:rPr>
      <w:rFonts w:ascii="宋体" w:hAnsi="宋体" w:cs="宋体"/>
      <w:color w:val="333333"/>
      <w:kern w:val="0"/>
      <w:sz w:val="18"/>
      <w:szCs w:val="18"/>
    </w:rPr>
  </w:style>
  <w:style w:type="paragraph" w:customStyle="1" w:styleId="270">
    <w:name w:val="xxhw12"/>
    <w:basedOn w:val="1"/>
    <w:qFormat/>
    <w:uiPriority w:val="0"/>
    <w:pPr>
      <w:widowControl/>
      <w:spacing w:before="100" w:beforeAutospacing="1" w:after="100" w:afterAutospacing="1"/>
      <w:jc w:val="left"/>
    </w:pPr>
    <w:rPr>
      <w:rFonts w:ascii="宋体" w:hAnsi="宋体" w:cs="宋体"/>
      <w:color w:val="FFFFFF"/>
      <w:kern w:val="0"/>
      <w:sz w:val="18"/>
      <w:szCs w:val="18"/>
    </w:rPr>
  </w:style>
  <w:style w:type="paragraph" w:customStyle="1" w:styleId="271">
    <w:name w:val="basfwhui12"/>
    <w:basedOn w:val="1"/>
    <w:qFormat/>
    <w:uiPriority w:val="0"/>
    <w:pPr>
      <w:widowControl/>
      <w:spacing w:before="100" w:beforeAutospacing="1" w:after="100" w:afterAutospacing="1"/>
      <w:jc w:val="left"/>
    </w:pPr>
    <w:rPr>
      <w:rFonts w:ascii="宋体" w:hAnsi="宋体" w:cs="宋体"/>
      <w:color w:val="343434"/>
      <w:kern w:val="0"/>
      <w:sz w:val="18"/>
      <w:szCs w:val="18"/>
    </w:rPr>
  </w:style>
  <w:style w:type="paragraph" w:customStyle="1" w:styleId="272">
    <w:name w:val="wskt_link3"/>
    <w:basedOn w:val="1"/>
    <w:qFormat/>
    <w:uiPriority w:val="0"/>
    <w:pPr>
      <w:widowControl/>
      <w:spacing w:before="100" w:beforeAutospacing="1" w:after="100" w:afterAutospacing="1" w:line="300" w:lineRule="atLeast"/>
      <w:jc w:val="left"/>
    </w:pPr>
    <w:rPr>
      <w:rFonts w:ascii="宋体" w:hAnsi="宋体" w:cs="宋体"/>
      <w:color w:val="333333"/>
      <w:kern w:val="0"/>
      <w:sz w:val="20"/>
    </w:rPr>
  </w:style>
  <w:style w:type="paragraph" w:customStyle="1" w:styleId="273">
    <w:name w:val="默认段落字体 Para Char Char Char Char Char Char Char"/>
    <w:basedOn w:val="1"/>
    <w:qFormat/>
    <w:uiPriority w:val="0"/>
    <w:rPr>
      <w:rFonts w:eastAsia="Times New Roman"/>
      <w:kern w:val="0"/>
      <w:sz w:val="20"/>
      <w:szCs w:val="24"/>
    </w:rPr>
  </w:style>
  <w:style w:type="paragraph" w:customStyle="1" w:styleId="274">
    <w:name w:val="Char Char Char1 Char Char Char Char"/>
    <w:basedOn w:val="1"/>
    <w:qFormat/>
    <w:uiPriority w:val="0"/>
    <w:pPr>
      <w:widowControl/>
      <w:jc w:val="left"/>
    </w:pPr>
    <w:rPr>
      <w:rFonts w:ascii="宋体" w:hAnsi="宋体" w:cs="Courier New"/>
      <w:kern w:val="0"/>
      <w:sz w:val="32"/>
      <w:szCs w:val="32"/>
    </w:rPr>
  </w:style>
  <w:style w:type="paragraph" w:customStyle="1" w:styleId="275">
    <w:name w:val="bordleft"/>
    <w:basedOn w:val="1"/>
    <w:qFormat/>
    <w:uiPriority w:val="0"/>
    <w:pPr>
      <w:widowControl/>
      <w:pBdr>
        <w:left w:val="single" w:color="CCCCCC" w:sz="6" w:space="0"/>
      </w:pBdr>
      <w:spacing w:before="100" w:beforeAutospacing="1" w:after="100" w:afterAutospacing="1"/>
      <w:jc w:val="left"/>
    </w:pPr>
    <w:rPr>
      <w:rFonts w:ascii="宋体" w:hAnsi="宋体" w:cs="宋体"/>
      <w:kern w:val="0"/>
      <w:sz w:val="24"/>
      <w:szCs w:val="24"/>
    </w:rPr>
  </w:style>
  <w:style w:type="paragraph" w:customStyle="1" w:styleId="276">
    <w:name w:val="Char Char"/>
    <w:basedOn w:val="1"/>
    <w:qFormat/>
    <w:uiPriority w:val="99"/>
  </w:style>
  <w:style w:type="paragraph" w:customStyle="1" w:styleId="277">
    <w:name w:val="文章总标题"/>
    <w:basedOn w:val="1"/>
    <w:next w:val="261"/>
    <w:qFormat/>
    <w:uiPriority w:val="0"/>
    <w:pPr>
      <w:widowControl/>
      <w:spacing w:before="566" w:after="544" w:line="566" w:lineRule="atLeast"/>
      <w:jc w:val="center"/>
      <w:textAlignment w:val="baseline"/>
    </w:pPr>
    <w:rPr>
      <w:rFonts w:ascii="Arial" w:eastAsia="黑体"/>
      <w:color w:val="000000"/>
      <w:kern w:val="0"/>
      <w:sz w:val="54"/>
      <w:u w:color="000000"/>
    </w:rPr>
  </w:style>
  <w:style w:type="paragraph" w:customStyle="1" w:styleId="278">
    <w:name w:val="xwdt_img_bord4b"/>
    <w:basedOn w:val="1"/>
    <w:qFormat/>
    <w:uiPriority w:val="0"/>
    <w:pPr>
      <w:widowControl/>
      <w:pBdr>
        <w:top w:val="single" w:color="CCCCCC" w:sz="6" w:space="0"/>
        <w:left w:val="single" w:color="CCCCCC" w:sz="6" w:space="0"/>
        <w:bottom w:val="single" w:color="CCCCCC" w:sz="6" w:space="0"/>
        <w:right w:val="single" w:color="CCCCCC" w:sz="6" w:space="0"/>
      </w:pBdr>
      <w:spacing w:before="100" w:beforeAutospacing="1" w:after="100" w:afterAutospacing="1"/>
      <w:jc w:val="left"/>
    </w:pPr>
    <w:rPr>
      <w:rFonts w:ascii="宋体" w:hAnsi="宋体" w:cs="宋体"/>
      <w:kern w:val="0"/>
      <w:sz w:val="24"/>
      <w:szCs w:val="24"/>
    </w:rPr>
  </w:style>
  <w:style w:type="paragraph" w:customStyle="1" w:styleId="279">
    <w:name w:val="flfg_bord2"/>
    <w:basedOn w:val="1"/>
    <w:qFormat/>
    <w:uiPriority w:val="0"/>
    <w:pPr>
      <w:widowControl/>
      <w:pBdr>
        <w:bottom w:val="single" w:color="E3F1FB" w:sz="6" w:space="0"/>
      </w:pBdr>
      <w:spacing w:before="100" w:beforeAutospacing="1" w:after="100" w:afterAutospacing="1"/>
      <w:jc w:val="left"/>
    </w:pPr>
    <w:rPr>
      <w:rFonts w:ascii="宋体" w:hAnsi="宋体" w:cs="宋体"/>
      <w:kern w:val="0"/>
      <w:sz w:val="24"/>
      <w:szCs w:val="24"/>
    </w:rPr>
  </w:style>
  <w:style w:type="paragraph" w:customStyle="1" w:styleId="280">
    <w:name w:val="目录1"/>
    <w:basedOn w:val="2"/>
    <w:qFormat/>
    <w:uiPriority w:val="0"/>
    <w:pPr>
      <w:keepLines/>
      <w:spacing w:before="340" w:after="330" w:line="500" w:lineRule="exact"/>
    </w:pPr>
    <w:rPr>
      <w:rFonts w:ascii="黑体" w:eastAsia="黑体"/>
      <w:bCs/>
      <w:kern w:val="44"/>
      <w:sz w:val="36"/>
      <w:szCs w:val="36"/>
    </w:rPr>
  </w:style>
  <w:style w:type="paragraph" w:customStyle="1" w:styleId="281">
    <w:name w:val="zmhd_fff"/>
    <w:basedOn w:val="1"/>
    <w:qFormat/>
    <w:uiPriority w:val="0"/>
    <w:pPr>
      <w:widowControl/>
      <w:spacing w:before="100" w:beforeAutospacing="1" w:after="100" w:afterAutospacing="1"/>
      <w:jc w:val="left"/>
    </w:pPr>
    <w:rPr>
      <w:rFonts w:ascii="宋体" w:hAnsi="宋体" w:cs="宋体"/>
      <w:color w:val="FFFFFF"/>
      <w:kern w:val="0"/>
      <w:sz w:val="18"/>
      <w:szCs w:val="18"/>
    </w:rPr>
  </w:style>
  <w:style w:type="paragraph" w:customStyle="1" w:styleId="282">
    <w:name w:val="wskt_more1"/>
    <w:basedOn w:val="1"/>
    <w:qFormat/>
    <w:uiPriority w:val="0"/>
    <w:pPr>
      <w:widowControl/>
      <w:spacing w:before="100" w:beforeAutospacing="1" w:after="100" w:afterAutospacing="1" w:line="240" w:lineRule="atLeast"/>
      <w:jc w:val="left"/>
    </w:pPr>
    <w:rPr>
      <w:rFonts w:ascii="宋体" w:hAnsi="宋体" w:cs="宋体"/>
      <w:color w:val="333333"/>
      <w:kern w:val="0"/>
      <w:sz w:val="18"/>
      <w:szCs w:val="18"/>
    </w:rPr>
  </w:style>
  <w:style w:type="paragraph" w:customStyle="1" w:styleId="283">
    <w:name w:val="ipadding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84">
    <w:name w:val="itime12"/>
    <w:basedOn w:val="1"/>
    <w:qFormat/>
    <w:uiPriority w:val="0"/>
    <w:pPr>
      <w:widowControl/>
      <w:spacing w:before="100" w:beforeAutospacing="1" w:after="100" w:afterAutospacing="1"/>
      <w:jc w:val="left"/>
    </w:pPr>
    <w:rPr>
      <w:rFonts w:ascii="宋体" w:hAnsi="宋体" w:cs="宋体"/>
      <w:color w:val="6E6E6E"/>
      <w:kern w:val="0"/>
      <w:sz w:val="18"/>
      <w:szCs w:val="18"/>
    </w:rPr>
  </w:style>
  <w:style w:type="paragraph" w:customStyle="1" w:styleId="285">
    <w:name w:val="link6"/>
    <w:basedOn w:val="1"/>
    <w:qFormat/>
    <w:uiPriority w:val="0"/>
    <w:pPr>
      <w:widowControl/>
      <w:spacing w:before="100" w:beforeAutospacing="1" w:after="100" w:afterAutospacing="1"/>
      <w:jc w:val="left"/>
    </w:pPr>
    <w:rPr>
      <w:rFonts w:ascii="宋体" w:hAnsi="宋体" w:cs="宋体"/>
      <w:color w:val="990000"/>
      <w:kern w:val="0"/>
      <w:sz w:val="18"/>
      <w:szCs w:val="18"/>
    </w:rPr>
  </w:style>
  <w:style w:type="paragraph" w:customStyle="1" w:styleId="286">
    <w:name w:val="spbb_bord1"/>
    <w:basedOn w:val="1"/>
    <w:qFormat/>
    <w:uiPriority w:val="0"/>
    <w:pPr>
      <w:widowControl/>
      <w:pBdr>
        <w:left w:val="single" w:color="DDECF5" w:sz="6" w:space="0"/>
        <w:bottom w:val="single" w:color="DDECF5" w:sz="6" w:space="0"/>
        <w:right w:val="single" w:color="DDECF5" w:sz="6" w:space="0"/>
      </w:pBdr>
      <w:spacing w:before="100" w:beforeAutospacing="1" w:after="100" w:afterAutospacing="1"/>
      <w:jc w:val="left"/>
    </w:pPr>
    <w:rPr>
      <w:rFonts w:ascii="宋体" w:hAnsi="宋体" w:cs="宋体"/>
      <w:kern w:val="0"/>
      <w:sz w:val="24"/>
      <w:szCs w:val="24"/>
    </w:rPr>
  </w:style>
  <w:style w:type="paragraph" w:customStyle="1" w:styleId="287">
    <w:name w:val="link1"/>
    <w:basedOn w:val="1"/>
    <w:qFormat/>
    <w:uiPriority w:val="0"/>
    <w:pPr>
      <w:widowControl/>
      <w:spacing w:before="100" w:beforeAutospacing="1" w:after="100" w:afterAutospacing="1" w:line="270" w:lineRule="atLeast"/>
      <w:jc w:val="left"/>
    </w:pPr>
    <w:rPr>
      <w:rFonts w:ascii="宋体" w:hAnsi="宋体" w:cs="宋体"/>
      <w:color w:val="003366"/>
      <w:kern w:val="0"/>
      <w:sz w:val="18"/>
      <w:szCs w:val="18"/>
    </w:rPr>
  </w:style>
  <w:style w:type="paragraph" w:customStyle="1" w:styleId="288">
    <w:name w:val="Char Char Char"/>
    <w:basedOn w:val="1"/>
    <w:qFormat/>
    <w:uiPriority w:val="0"/>
    <w:pPr>
      <w:widowControl/>
      <w:autoSpaceDN w:val="0"/>
      <w:spacing w:after="160" w:line="240" w:lineRule="exact"/>
      <w:jc w:val="left"/>
    </w:pPr>
    <w:rPr>
      <w:rFonts w:ascii="仿宋_GB2312" w:hAnsi="宋体" w:eastAsia="仿宋_GB2312" w:cs="宋体"/>
      <w:szCs w:val="24"/>
    </w:rPr>
  </w:style>
  <w:style w:type="paragraph" w:customStyle="1" w:styleId="289">
    <w:name w:val="basfwhui14b"/>
    <w:basedOn w:val="1"/>
    <w:qFormat/>
    <w:uiPriority w:val="0"/>
    <w:pPr>
      <w:widowControl/>
      <w:spacing w:before="100" w:beforeAutospacing="1" w:after="100" w:afterAutospacing="1"/>
      <w:jc w:val="left"/>
    </w:pPr>
    <w:rPr>
      <w:rFonts w:ascii="宋体" w:hAnsi="宋体" w:cs="宋体"/>
      <w:b/>
      <w:bCs/>
      <w:color w:val="343434"/>
      <w:kern w:val="0"/>
      <w:szCs w:val="21"/>
    </w:rPr>
  </w:style>
  <w:style w:type="paragraph" w:customStyle="1" w:styleId="290">
    <w:name w:val="igreen12"/>
    <w:basedOn w:val="1"/>
    <w:qFormat/>
    <w:uiPriority w:val="0"/>
    <w:pPr>
      <w:widowControl/>
      <w:spacing w:before="100" w:beforeAutospacing="1" w:after="100" w:afterAutospacing="1"/>
      <w:jc w:val="left"/>
    </w:pPr>
    <w:rPr>
      <w:rFonts w:ascii="宋体" w:hAnsi="宋体" w:cs="宋体"/>
      <w:color w:val="297A17"/>
      <w:kern w:val="0"/>
      <w:sz w:val="18"/>
      <w:szCs w:val="18"/>
    </w:rPr>
  </w:style>
  <w:style w:type="paragraph" w:customStyle="1" w:styleId="291">
    <w:name w:val="title01"/>
    <w:basedOn w:val="1"/>
    <w:qFormat/>
    <w:uiPriority w:val="0"/>
    <w:pPr>
      <w:widowControl/>
      <w:spacing w:before="100" w:beforeAutospacing="1" w:after="100" w:afterAutospacing="1"/>
      <w:jc w:val="left"/>
    </w:pPr>
    <w:rPr>
      <w:rFonts w:ascii="宋体" w:hAnsi="宋体" w:cs="宋体"/>
      <w:color w:val="003399"/>
      <w:kern w:val="0"/>
      <w:szCs w:val="21"/>
    </w:rPr>
  </w:style>
  <w:style w:type="paragraph" w:customStyle="1" w:styleId="292">
    <w:name w:val="spbb_bord3a"/>
    <w:basedOn w:val="1"/>
    <w:qFormat/>
    <w:uiPriority w:val="0"/>
    <w:pPr>
      <w:widowControl/>
      <w:pBdr>
        <w:left w:val="single" w:color="7D7559" w:sz="6" w:space="0"/>
        <w:bottom w:val="single" w:color="7D7559" w:sz="6" w:space="0"/>
        <w:right w:val="single" w:color="7D7559" w:sz="6" w:space="0"/>
      </w:pBdr>
      <w:spacing w:before="100" w:beforeAutospacing="1" w:after="100" w:afterAutospacing="1"/>
      <w:jc w:val="left"/>
    </w:pPr>
    <w:rPr>
      <w:rFonts w:ascii="宋体" w:hAnsi="宋体" w:cs="宋体"/>
      <w:kern w:val="0"/>
      <w:sz w:val="24"/>
      <w:szCs w:val="24"/>
    </w:rPr>
  </w:style>
  <w:style w:type="paragraph" w:customStyle="1" w:styleId="293">
    <w:name w:val="bord3b1"/>
    <w:basedOn w:val="1"/>
    <w:qFormat/>
    <w:uiPriority w:val="0"/>
    <w:pPr>
      <w:widowControl/>
      <w:pBdr>
        <w:left w:val="single" w:color="D2E2E7" w:sz="6" w:space="0"/>
        <w:bottom w:val="single" w:color="D2E2E7" w:sz="6" w:space="0"/>
        <w:right w:val="single" w:color="D2E2E7" w:sz="6" w:space="0"/>
      </w:pBdr>
      <w:spacing w:before="100" w:beforeAutospacing="1" w:after="100" w:afterAutospacing="1"/>
      <w:jc w:val="left"/>
    </w:pPr>
    <w:rPr>
      <w:rFonts w:ascii="宋体" w:hAnsi="宋体" w:cs="宋体"/>
      <w:kern w:val="0"/>
      <w:sz w:val="24"/>
      <w:szCs w:val="24"/>
    </w:rPr>
  </w:style>
  <w:style w:type="paragraph" w:customStyle="1" w:styleId="294">
    <w:name w:val="spbb_link2"/>
    <w:basedOn w:val="1"/>
    <w:qFormat/>
    <w:uiPriority w:val="0"/>
    <w:pPr>
      <w:widowControl/>
      <w:spacing w:before="100" w:beforeAutospacing="1" w:after="100" w:afterAutospacing="1" w:line="300" w:lineRule="atLeast"/>
      <w:jc w:val="left"/>
    </w:pPr>
    <w:rPr>
      <w:rFonts w:ascii="宋体" w:hAnsi="宋体" w:cs="宋体"/>
      <w:color w:val="45A1D1"/>
      <w:kern w:val="0"/>
      <w:szCs w:val="21"/>
    </w:rPr>
  </w:style>
  <w:style w:type="paragraph" w:customStyle="1" w:styleId="295">
    <w:name w:val="1"/>
    <w:basedOn w:val="1"/>
    <w:next w:val="26"/>
    <w:qFormat/>
    <w:uiPriority w:val="0"/>
    <w:pPr>
      <w:adjustRightInd w:val="0"/>
      <w:spacing w:line="360" w:lineRule="auto"/>
      <w:ind w:firstLine="600"/>
      <w:textAlignment w:val="baseline"/>
    </w:pPr>
    <w:rPr>
      <w:kern w:val="0"/>
      <w:sz w:val="28"/>
    </w:rPr>
  </w:style>
  <w:style w:type="paragraph" w:customStyle="1" w:styleId="296">
    <w:name w:val="spbb_bord"/>
    <w:basedOn w:val="1"/>
    <w:qFormat/>
    <w:uiPriority w:val="0"/>
    <w:pPr>
      <w:widowControl/>
      <w:pBdr>
        <w:left w:val="single" w:color="CFC9BB" w:sz="6" w:space="0"/>
        <w:bottom w:val="single" w:color="CFC9BB" w:sz="6" w:space="0"/>
        <w:right w:val="single" w:color="CFC9BB" w:sz="6" w:space="0"/>
      </w:pBdr>
      <w:spacing w:before="100" w:beforeAutospacing="1" w:after="100" w:afterAutospacing="1"/>
      <w:jc w:val="left"/>
    </w:pPr>
    <w:rPr>
      <w:rFonts w:ascii="宋体" w:hAnsi="宋体" w:cs="宋体"/>
      <w:kern w:val="0"/>
      <w:sz w:val="24"/>
      <w:szCs w:val="24"/>
    </w:rPr>
  </w:style>
  <w:style w:type="paragraph" w:customStyle="1" w:styleId="297">
    <w:name w:val="xxhtop"/>
    <w:basedOn w:val="1"/>
    <w:qFormat/>
    <w:uiPriority w:val="0"/>
    <w:pPr>
      <w:widowControl/>
      <w:spacing w:before="100" w:beforeAutospacing="1" w:after="100" w:afterAutospacing="1"/>
      <w:jc w:val="left"/>
    </w:pPr>
    <w:rPr>
      <w:rFonts w:ascii="宋体" w:hAnsi="宋体" w:cs="宋体"/>
      <w:color w:val="0269AB"/>
      <w:kern w:val="0"/>
      <w:sz w:val="18"/>
      <w:szCs w:val="18"/>
    </w:rPr>
  </w:style>
  <w:style w:type="paragraph" w:customStyle="1" w:styleId="298">
    <w:name w:val="dzzh_font"/>
    <w:basedOn w:val="1"/>
    <w:qFormat/>
    <w:uiPriority w:val="0"/>
    <w:pPr>
      <w:widowControl/>
      <w:spacing w:before="100" w:beforeAutospacing="1" w:after="100" w:afterAutospacing="1"/>
      <w:jc w:val="left"/>
    </w:pPr>
    <w:rPr>
      <w:rFonts w:ascii="宋体" w:hAnsi="宋体" w:cs="宋体"/>
      <w:b/>
      <w:bCs/>
      <w:color w:val="FFFFFF"/>
      <w:kern w:val="0"/>
      <w:sz w:val="23"/>
      <w:szCs w:val="23"/>
    </w:rPr>
  </w:style>
  <w:style w:type="paragraph" w:customStyle="1" w:styleId="299">
    <w:name w:val="flfg_link1"/>
    <w:basedOn w:val="1"/>
    <w:qFormat/>
    <w:uiPriority w:val="0"/>
    <w:pPr>
      <w:widowControl/>
      <w:spacing w:before="100" w:beforeAutospacing="1" w:after="100" w:afterAutospacing="1" w:line="270" w:lineRule="atLeast"/>
      <w:jc w:val="left"/>
    </w:pPr>
    <w:rPr>
      <w:rFonts w:ascii="宋体" w:hAnsi="宋体" w:cs="宋体"/>
      <w:color w:val="0066FF"/>
      <w:kern w:val="0"/>
      <w:szCs w:val="21"/>
    </w:rPr>
  </w:style>
  <w:style w:type="paragraph" w:customStyle="1" w:styleId="300">
    <w:name w:val="ilinkdiv"/>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01">
    <w:name w:val="zwdt"/>
    <w:basedOn w:val="1"/>
    <w:qFormat/>
    <w:uiPriority w:val="0"/>
    <w:pPr>
      <w:widowControl/>
      <w:spacing w:before="100" w:beforeAutospacing="1" w:after="100" w:afterAutospacing="1"/>
      <w:jc w:val="left"/>
    </w:pPr>
    <w:rPr>
      <w:rFonts w:ascii="宋体" w:hAnsi="宋体" w:cs="宋体"/>
      <w:color w:val="D01919"/>
      <w:kern w:val="0"/>
      <w:sz w:val="18"/>
      <w:szCs w:val="18"/>
    </w:rPr>
  </w:style>
  <w:style w:type="paragraph" w:customStyle="1" w:styleId="302">
    <w:name w:val="news_bord"/>
    <w:basedOn w:val="1"/>
    <w:qFormat/>
    <w:uiPriority w:val="0"/>
    <w:pPr>
      <w:widowControl/>
      <w:pBdr>
        <w:right w:val="single" w:color="CDDDEA" w:sz="6" w:space="0"/>
      </w:pBdr>
      <w:spacing w:before="100" w:beforeAutospacing="1" w:after="100" w:afterAutospacing="1"/>
      <w:jc w:val="left"/>
    </w:pPr>
    <w:rPr>
      <w:rFonts w:ascii="宋体" w:hAnsi="宋体" w:cs="宋体"/>
      <w:kern w:val="0"/>
      <w:sz w:val="24"/>
      <w:szCs w:val="24"/>
    </w:rPr>
  </w:style>
  <w:style w:type="paragraph" w:customStyle="1" w:styleId="303">
    <w:name w:val="xxhmore12"/>
    <w:basedOn w:val="1"/>
    <w:qFormat/>
    <w:uiPriority w:val="0"/>
    <w:pPr>
      <w:widowControl/>
      <w:spacing w:before="100" w:beforeAutospacing="1" w:after="100" w:afterAutospacing="1"/>
      <w:jc w:val="left"/>
    </w:pPr>
    <w:rPr>
      <w:rFonts w:ascii="宋体" w:hAnsi="宋体" w:cs="宋体"/>
      <w:color w:val="4A4A4A"/>
      <w:kern w:val="0"/>
      <w:sz w:val="18"/>
      <w:szCs w:val="18"/>
    </w:rPr>
  </w:style>
  <w:style w:type="paragraph" w:customStyle="1" w:styleId="304">
    <w:name w:val="ldzc_name"/>
    <w:basedOn w:val="1"/>
    <w:qFormat/>
    <w:uiPriority w:val="0"/>
    <w:pPr>
      <w:widowControl/>
      <w:spacing w:before="100" w:beforeAutospacing="1" w:after="100" w:afterAutospacing="1"/>
      <w:jc w:val="left"/>
    </w:pPr>
    <w:rPr>
      <w:rFonts w:ascii="宋体" w:hAnsi="宋体" w:cs="宋体"/>
      <w:b/>
      <w:bCs/>
      <w:color w:val="CC0000"/>
      <w:kern w:val="0"/>
      <w:sz w:val="27"/>
      <w:szCs w:val="27"/>
    </w:rPr>
  </w:style>
  <w:style w:type="paragraph" w:customStyle="1" w:styleId="305">
    <w:name w:val="bordtop"/>
    <w:basedOn w:val="1"/>
    <w:qFormat/>
    <w:uiPriority w:val="0"/>
    <w:pPr>
      <w:widowControl/>
      <w:pBdr>
        <w:top w:val="single" w:color="CCCCCC" w:sz="6" w:space="0"/>
      </w:pBdr>
      <w:spacing w:before="100" w:beforeAutospacing="1" w:after="100" w:afterAutospacing="1"/>
      <w:jc w:val="left"/>
    </w:pPr>
    <w:rPr>
      <w:rFonts w:ascii="宋体" w:hAnsi="宋体" w:cs="宋体"/>
      <w:kern w:val="0"/>
      <w:sz w:val="24"/>
      <w:szCs w:val="24"/>
    </w:rPr>
  </w:style>
  <w:style w:type="paragraph" w:customStyle="1" w:styleId="306">
    <w:name w:val="blue12"/>
    <w:basedOn w:val="1"/>
    <w:qFormat/>
    <w:uiPriority w:val="0"/>
    <w:pPr>
      <w:widowControl/>
      <w:spacing w:before="100" w:beforeAutospacing="1" w:after="100" w:afterAutospacing="1"/>
      <w:jc w:val="left"/>
    </w:pPr>
    <w:rPr>
      <w:rFonts w:ascii="宋体" w:hAnsi="宋体" w:cs="宋体"/>
      <w:color w:val="075CA4"/>
      <w:kern w:val="0"/>
      <w:sz w:val="18"/>
      <w:szCs w:val="18"/>
    </w:rPr>
  </w:style>
  <w:style w:type="paragraph" w:customStyle="1" w:styleId="307">
    <w:name w:val="iw13b"/>
    <w:basedOn w:val="1"/>
    <w:qFormat/>
    <w:uiPriority w:val="0"/>
    <w:pPr>
      <w:widowControl/>
      <w:spacing w:before="100" w:beforeAutospacing="1" w:after="100" w:afterAutospacing="1"/>
      <w:jc w:val="left"/>
    </w:pPr>
    <w:rPr>
      <w:rFonts w:ascii="宋体" w:hAnsi="宋体" w:cs="宋体"/>
      <w:color w:val="FFFFFF"/>
      <w:kern w:val="0"/>
      <w:sz w:val="20"/>
    </w:rPr>
  </w:style>
  <w:style w:type="paragraph" w:customStyle="1" w:styleId="308">
    <w:name w:val="flfg_bord1"/>
    <w:basedOn w:val="1"/>
    <w:qFormat/>
    <w:uiPriority w:val="0"/>
    <w:pPr>
      <w:widowControl/>
      <w:pBdr>
        <w:bottom w:val="single" w:color="E3F1FB" w:sz="6" w:space="0"/>
        <w:right w:val="single" w:color="E3F1FB" w:sz="6" w:space="0"/>
      </w:pBdr>
      <w:spacing w:before="100" w:beforeAutospacing="1" w:after="100" w:afterAutospacing="1"/>
      <w:jc w:val="left"/>
    </w:pPr>
    <w:rPr>
      <w:rFonts w:ascii="宋体" w:hAnsi="宋体" w:cs="宋体"/>
      <w:kern w:val="0"/>
      <w:sz w:val="24"/>
      <w:szCs w:val="24"/>
    </w:rPr>
  </w:style>
  <w:style w:type="paragraph" w:customStyle="1" w:styleId="309">
    <w:name w:val="link7"/>
    <w:basedOn w:val="1"/>
    <w:qFormat/>
    <w:uiPriority w:val="0"/>
    <w:pPr>
      <w:widowControl/>
      <w:spacing w:before="100" w:beforeAutospacing="1" w:after="100" w:afterAutospacing="1" w:line="270" w:lineRule="atLeast"/>
      <w:jc w:val="left"/>
    </w:pPr>
    <w:rPr>
      <w:rFonts w:ascii="宋体" w:hAnsi="宋体" w:cs="宋体"/>
      <w:color w:val="666666"/>
      <w:kern w:val="0"/>
      <w:sz w:val="18"/>
      <w:szCs w:val="18"/>
    </w:rPr>
  </w:style>
  <w:style w:type="paragraph" w:customStyle="1" w:styleId="310">
    <w:name w:val="iblue16b"/>
    <w:basedOn w:val="1"/>
    <w:qFormat/>
    <w:uiPriority w:val="0"/>
    <w:pPr>
      <w:widowControl/>
      <w:spacing w:before="100" w:beforeAutospacing="1" w:after="100" w:afterAutospacing="1"/>
      <w:jc w:val="left"/>
    </w:pPr>
    <w:rPr>
      <w:rFonts w:ascii="宋体" w:hAnsi="宋体" w:cs="宋体"/>
      <w:color w:val="0953C2"/>
      <w:kern w:val="0"/>
      <w:sz w:val="23"/>
      <w:szCs w:val="23"/>
    </w:rPr>
  </w:style>
  <w:style w:type="paragraph" w:customStyle="1" w:styleId="311">
    <w:name w:val="Char1 Char Char Char"/>
    <w:basedOn w:val="1"/>
    <w:qFormat/>
    <w:uiPriority w:val="0"/>
  </w:style>
  <w:style w:type="paragraph" w:customStyle="1" w:styleId="312">
    <w:name w:val="tssc13txt"/>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313">
    <w:name w:val="location"/>
    <w:basedOn w:val="1"/>
    <w:qFormat/>
    <w:uiPriority w:val="0"/>
    <w:pPr>
      <w:widowControl/>
      <w:spacing w:before="100" w:beforeAutospacing="1" w:after="100" w:afterAutospacing="1"/>
      <w:jc w:val="left"/>
    </w:pPr>
    <w:rPr>
      <w:rFonts w:ascii="宋体" w:hAnsi="宋体" w:cs="宋体"/>
      <w:color w:val="003366"/>
      <w:kern w:val="0"/>
      <w:sz w:val="18"/>
      <w:szCs w:val="18"/>
    </w:rPr>
  </w:style>
  <w:style w:type="paragraph" w:customStyle="1" w:styleId="314">
    <w:name w:val="trs_editor"/>
    <w:basedOn w:val="1"/>
    <w:qFormat/>
    <w:uiPriority w:val="0"/>
    <w:pPr>
      <w:widowControl/>
      <w:spacing w:before="100" w:beforeAutospacing="1" w:after="100" w:afterAutospacing="1"/>
      <w:jc w:val="left"/>
    </w:pPr>
    <w:rPr>
      <w:rFonts w:ascii="宋体" w:hAnsi="宋体" w:cs="宋体"/>
      <w:kern w:val="0"/>
      <w:szCs w:val="21"/>
    </w:rPr>
  </w:style>
  <w:style w:type="paragraph" w:customStyle="1" w:styleId="315">
    <w:name w:val="ittli"/>
    <w:basedOn w:val="1"/>
    <w:qFormat/>
    <w:uiPriority w:val="0"/>
    <w:pPr>
      <w:widowControl/>
      <w:spacing w:before="100" w:beforeAutospacing="1" w:after="100" w:afterAutospacing="1"/>
      <w:jc w:val="left"/>
    </w:pPr>
    <w:rPr>
      <w:rFonts w:ascii="宋体" w:hAnsi="宋体" w:cs="宋体"/>
      <w:color w:val="0953C2"/>
      <w:kern w:val="0"/>
      <w:sz w:val="18"/>
      <w:szCs w:val="18"/>
    </w:rPr>
  </w:style>
  <w:style w:type="paragraph" w:customStyle="1" w:styleId="316">
    <w:name w:val="spbb_bord4b"/>
    <w:basedOn w:val="1"/>
    <w:qFormat/>
    <w:uiPriority w:val="0"/>
    <w:pPr>
      <w:widowControl/>
      <w:pBdr>
        <w:top w:val="single" w:color="EEEAEA" w:sz="6" w:space="0"/>
        <w:left w:val="single" w:color="EEEAEA" w:sz="6" w:space="0"/>
        <w:bottom w:val="single" w:color="EEEAEA" w:sz="6" w:space="0"/>
        <w:right w:val="single" w:color="EEEAEA" w:sz="6" w:space="0"/>
      </w:pBdr>
      <w:spacing w:before="100" w:beforeAutospacing="1" w:after="100" w:afterAutospacing="1"/>
      <w:jc w:val="left"/>
    </w:pPr>
    <w:rPr>
      <w:rFonts w:ascii="宋体" w:hAnsi="宋体" w:cs="宋体"/>
      <w:kern w:val="0"/>
      <w:sz w:val="24"/>
      <w:szCs w:val="24"/>
    </w:rPr>
  </w:style>
  <w:style w:type="paragraph" w:customStyle="1" w:styleId="317">
    <w:name w:val="font14widthnew"/>
    <w:basedOn w:val="1"/>
    <w:qFormat/>
    <w:uiPriority w:val="0"/>
    <w:pPr>
      <w:widowControl/>
      <w:spacing w:before="100" w:beforeAutospacing="1" w:after="100" w:afterAutospacing="1"/>
      <w:jc w:val="left"/>
    </w:pPr>
    <w:rPr>
      <w:rFonts w:ascii="宋体" w:hAnsi="宋体" w:cs="宋体"/>
      <w:b/>
      <w:bCs/>
      <w:color w:val="A11414"/>
      <w:kern w:val="0"/>
      <w:szCs w:val="21"/>
    </w:rPr>
  </w:style>
  <w:style w:type="paragraph" w:customStyle="1" w:styleId="318">
    <w:name w:val="报告封面"/>
    <w:basedOn w:val="1"/>
    <w:qFormat/>
    <w:uiPriority w:val="0"/>
    <w:pPr>
      <w:widowControl/>
      <w:spacing w:line="351" w:lineRule="atLeast"/>
      <w:ind w:firstLine="419"/>
      <w:textAlignment w:val="baseline"/>
    </w:pPr>
    <w:rPr>
      <w:color w:val="000000"/>
      <w:kern w:val="0"/>
      <w:sz w:val="54"/>
      <w:u w:color="000000"/>
    </w:rPr>
  </w:style>
  <w:style w:type="paragraph" w:customStyle="1" w:styleId="319">
    <w:name w:val="目录标题"/>
    <w:basedOn w:val="1"/>
    <w:next w:val="1"/>
    <w:qFormat/>
    <w:uiPriority w:val="0"/>
    <w:pPr>
      <w:widowControl/>
      <w:spacing w:before="215" w:after="419" w:line="436" w:lineRule="atLeast"/>
      <w:ind w:firstLine="419"/>
      <w:jc w:val="center"/>
      <w:textAlignment w:val="baseline"/>
    </w:pPr>
    <w:rPr>
      <w:rFonts w:ascii="Arial" w:eastAsia="黑体"/>
      <w:color w:val="000000"/>
      <w:spacing w:val="283"/>
      <w:kern w:val="0"/>
      <w:sz w:val="42"/>
      <w:u w:color="000000"/>
    </w:rPr>
  </w:style>
  <w:style w:type="paragraph" w:customStyle="1" w:styleId="320">
    <w:name w:val="目录4"/>
    <w:basedOn w:val="1"/>
    <w:next w:val="1"/>
    <w:qFormat/>
    <w:uiPriority w:val="0"/>
    <w:pPr>
      <w:widowControl/>
      <w:tabs>
        <w:tab w:val="left" w:leader="dot" w:pos="8503"/>
      </w:tabs>
      <w:spacing w:line="317" w:lineRule="atLeast"/>
      <w:ind w:left="419" w:firstLine="629"/>
      <w:textAlignment w:val="baseline"/>
    </w:pPr>
    <w:rPr>
      <w:color w:val="000000"/>
      <w:kern w:val="0"/>
      <w:u w:color="000000"/>
    </w:rPr>
  </w:style>
  <w:style w:type="paragraph" w:customStyle="1" w:styleId="321">
    <w:name w:val="目录3"/>
    <w:basedOn w:val="1"/>
    <w:next w:val="1"/>
    <w:qFormat/>
    <w:uiPriority w:val="0"/>
    <w:pPr>
      <w:widowControl/>
      <w:tabs>
        <w:tab w:val="left" w:leader="dot" w:pos="8503"/>
      </w:tabs>
      <w:spacing w:line="317" w:lineRule="atLeast"/>
      <w:ind w:left="419" w:firstLine="419"/>
      <w:textAlignment w:val="baseline"/>
    </w:pPr>
    <w:rPr>
      <w:color w:val="000000"/>
      <w:kern w:val="0"/>
      <w:u w:color="000000"/>
    </w:rPr>
  </w:style>
  <w:style w:type="paragraph" w:customStyle="1" w:styleId="322">
    <w:name w:val="xl30"/>
    <w:basedOn w:val="1"/>
    <w:qFormat/>
    <w:uiPriority w:val="0"/>
    <w:pPr>
      <w:widowControl/>
      <w:spacing w:before="100" w:beforeAutospacing="1" w:after="100" w:afterAutospacing="1"/>
      <w:jc w:val="center"/>
      <w:textAlignment w:val="center"/>
    </w:pPr>
    <w:rPr>
      <w:rFonts w:ascii="宋体" w:hAnsi="宋体"/>
      <w:kern w:val="0"/>
      <w:sz w:val="24"/>
      <w:szCs w:val="24"/>
    </w:rPr>
  </w:style>
  <w:style w:type="paragraph" w:customStyle="1" w:styleId="323">
    <w:name w:val="Default"/>
    <w:qFormat/>
    <w:uiPriority w:val="0"/>
    <w:pPr>
      <w:widowControl w:val="0"/>
      <w:autoSpaceDE w:val="0"/>
      <w:autoSpaceDN w:val="0"/>
      <w:adjustRightInd w:val="0"/>
    </w:pPr>
    <w:rPr>
      <w:rFonts w:ascii="华文细黑" w:hAnsi="Times New Roman" w:eastAsia="华文细黑" w:cs="华文细黑"/>
      <w:color w:val="000000"/>
      <w:sz w:val="24"/>
      <w:szCs w:val="24"/>
      <w:lang w:val="en-US" w:eastAsia="zh-CN" w:bidi="ar-SA"/>
    </w:rPr>
  </w:style>
  <w:style w:type="paragraph" w:customStyle="1" w:styleId="324">
    <w:name w:val="_Style 30"/>
    <w:basedOn w:val="1"/>
    <w:qFormat/>
    <w:uiPriority w:val="0"/>
    <w:rPr>
      <w:rFonts w:ascii="Tahoma" w:hAnsi="Tahoma"/>
      <w:sz w:val="24"/>
    </w:rPr>
  </w:style>
  <w:style w:type="paragraph" w:customStyle="1" w:styleId="325">
    <w:name w:val="列出段落2"/>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oleObject" Target="embeddings/oleObject7.bin"/><Relationship Id="rId23" Type="http://schemas.openxmlformats.org/officeDocument/2006/relationships/oleObject" Target="embeddings/oleObject6.bin"/><Relationship Id="rId22" Type="http://schemas.openxmlformats.org/officeDocument/2006/relationships/oleObject" Target="embeddings/oleObject5.bin"/><Relationship Id="rId21" Type="http://schemas.openxmlformats.org/officeDocument/2006/relationships/oleObject" Target="embeddings/oleObject4.bin"/><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wmf"/><Relationship Id="rId14" Type="http://schemas.openxmlformats.org/officeDocument/2006/relationships/oleObject" Target="embeddings/oleObject2.bin"/><Relationship Id="rId13" Type="http://schemas.openxmlformats.org/officeDocument/2006/relationships/image" Target="media/image6.wmf"/><Relationship Id="rId12" Type="http://schemas.openxmlformats.org/officeDocument/2006/relationships/oleObject" Target="embeddings/oleObject1.bin"/><Relationship Id="rId11" Type="http://schemas.openxmlformats.org/officeDocument/2006/relationships/image" Target="media/image5.wmf"/><Relationship Id="rId10" Type="http://schemas.openxmlformats.org/officeDocument/2006/relationships/control" Target="activeX/activeX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7733;&#22836;&#20272;&#20215;&#27169;&#26495;---&#24066;&#22330;&#27604;&#36739;&#27861;"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E531053D-0904-4D26-ABF3-6E07DD308AB0}" r:id="rId1" ax:persistence="persistStorag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9"/>
    <customShpInfo spid="_x0000_s1031"/>
    <customShpInfo spid="_x0000_s1032"/>
    <customShpInfo spid="_x0000_s1033"/>
    <customShpInfo spid="_x0000_s1034"/>
    <customShpInfo spid="_x0000_s1035"/>
    <customShpInfo spid="_x0000_s1026" textRotate="1"/>
    <customShpInfo spid="_x0000_s1030"/>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汕头估价模板---市场比较法</Template>
  <Company>微软中国</Company>
  <Pages>46</Pages>
  <Words>4723</Words>
  <Characters>26925</Characters>
  <Lines>224</Lines>
  <Paragraphs>63</Paragraphs>
  <TotalTime>0</TotalTime>
  <ScaleCrop>false</ScaleCrop>
  <LinksUpToDate>false</LinksUpToDate>
  <CharactersWithSpaces>31585</CharactersWithSpaces>
  <Application>WPS Office_11.1.0.8808_F1E327BC-269C-435d-A152-05C5408002CA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2019-01-14T02:06:00Z</dcterms:created>
  <dc:creator>陈锋涛</dc:creator>
  <cp:lastModifiedBy>Administrator</cp:lastModifiedBy>
  <cp:lastPrinted>2019-01-17T03:04:00Z</cp:lastPrinted>
  <dcterms:modified xsi:type="dcterms:W3CDTF">2019-07-05T08:31:45Z</dcterms:modified>
  <dc:subject>模板</dc:subject>
  <dc:title>市场比较法</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