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lang w:val="en-US" w:eastAsia="zh-CN"/>
        </w:rPr>
      </w:pPr>
      <w:r>
        <w:rPr>
          <w:rFonts w:hint="eastAsia" w:ascii="黑体" w:hAnsi="黑体" w:eastAsia="黑体" w:cs="黑体"/>
          <w:sz w:val="36"/>
          <w:szCs w:val="36"/>
          <w:lang w:eastAsia="zh-CN"/>
        </w:rPr>
        <w:t>宁强县汉源街道办事处西街口</w:t>
      </w:r>
      <w:r>
        <w:rPr>
          <w:rFonts w:hint="eastAsia" w:ascii="黑体" w:hAnsi="黑体" w:eastAsia="黑体" w:cs="黑体"/>
          <w:sz w:val="36"/>
          <w:szCs w:val="36"/>
          <w:lang w:val="en-US" w:eastAsia="zh-CN"/>
        </w:rPr>
        <w:t>房产一套</w:t>
      </w:r>
    </w:p>
    <w:p>
      <w:pPr>
        <w:spacing w:line="360" w:lineRule="auto"/>
        <w:jc w:val="center"/>
        <w:rPr>
          <w:rFonts w:ascii="黑体" w:hAnsi="黑体" w:eastAsia="黑体" w:cs="黑体"/>
          <w:b/>
          <w:sz w:val="52"/>
          <w:szCs w:val="52"/>
        </w:rPr>
      </w:pPr>
      <w:r>
        <w:rPr>
          <w:rFonts w:hint="eastAsia" w:ascii="黑体" w:hAnsi="黑体" w:eastAsia="黑体" w:cs="黑体"/>
          <w:b/>
          <w:sz w:val="52"/>
          <w:szCs w:val="52"/>
          <w:lang w:val="en-US" w:eastAsia="zh-CN"/>
        </w:rPr>
        <w:t xml:space="preserve">价 格 </w:t>
      </w:r>
      <w:r>
        <w:rPr>
          <w:rFonts w:hint="eastAsia" w:ascii="黑体" w:hAnsi="黑体" w:eastAsia="黑体" w:cs="黑体"/>
          <w:b/>
          <w:sz w:val="52"/>
          <w:szCs w:val="52"/>
        </w:rPr>
        <w:t>评 估 报 告</w:t>
      </w:r>
    </w:p>
    <w:p>
      <w:pPr>
        <w:spacing w:line="360" w:lineRule="auto"/>
        <w:jc w:val="center"/>
        <w:rPr>
          <w:rFonts w:ascii="仿宋" w:hAnsi="仿宋" w:eastAsia="仿宋" w:cs="仿宋"/>
          <w:b/>
          <w:sz w:val="28"/>
          <w:szCs w:val="28"/>
        </w:rPr>
      </w:pPr>
      <w:r>
        <w:rPr>
          <w:rFonts w:hint="eastAsia" w:ascii="黑体" w:hAnsi="黑体" w:eastAsia="黑体" w:cs="黑体"/>
          <w:sz w:val="28"/>
          <w:szCs w:val="28"/>
        </w:rPr>
        <w:t>秦价汉</w:t>
      </w:r>
      <w:r>
        <w:rPr>
          <w:rFonts w:hint="eastAsia" w:ascii="黑体" w:hAnsi="黑体" w:eastAsia="黑体" w:cs="黑体"/>
          <w:sz w:val="28"/>
          <w:szCs w:val="28"/>
          <w:lang w:eastAsia="zh-CN"/>
        </w:rPr>
        <w:t>评</w:t>
      </w:r>
      <w:r>
        <w:rPr>
          <w:rFonts w:hint="eastAsia" w:ascii="黑体" w:hAnsi="黑体" w:eastAsia="黑体" w:cs="黑体"/>
          <w:sz w:val="28"/>
          <w:szCs w:val="28"/>
        </w:rPr>
        <w:t>字[201</w:t>
      </w:r>
      <w:r>
        <w:rPr>
          <w:rFonts w:hint="eastAsia" w:ascii="黑体" w:hAnsi="黑体" w:eastAsia="黑体" w:cs="黑体"/>
          <w:sz w:val="28"/>
          <w:szCs w:val="28"/>
          <w:lang w:val="en-US" w:eastAsia="zh-CN"/>
        </w:rPr>
        <w:t>9</w:t>
      </w:r>
      <w:r>
        <w:rPr>
          <w:rFonts w:hint="eastAsia" w:ascii="黑体" w:hAnsi="黑体" w:eastAsia="黑体" w:cs="黑体"/>
          <w:sz w:val="28"/>
          <w:szCs w:val="28"/>
        </w:rPr>
        <w:t>]</w:t>
      </w:r>
      <w:r>
        <w:rPr>
          <w:rFonts w:hint="eastAsia" w:ascii="黑体" w:hAnsi="黑体" w:eastAsia="黑体" w:cs="黑体"/>
          <w:sz w:val="28"/>
          <w:szCs w:val="28"/>
          <w:lang w:val="en-US" w:eastAsia="zh-CN"/>
        </w:rPr>
        <w:t>114-9</w:t>
      </w:r>
      <w:r>
        <w:rPr>
          <w:rFonts w:hint="eastAsia" w:ascii="黑体" w:hAnsi="黑体" w:eastAsia="黑体" w:cs="黑体"/>
          <w:sz w:val="28"/>
          <w:szCs w:val="28"/>
        </w:rPr>
        <w:t>号</w:t>
      </w:r>
    </w:p>
    <w:p>
      <w:pPr>
        <w:spacing w:line="360" w:lineRule="auto"/>
        <w:rPr>
          <w:rFonts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both"/>
        <w:textAlignment w:val="auto"/>
        <w:rPr>
          <w:rFonts w:ascii="仿宋" w:hAnsi="仿宋" w:eastAsia="仿宋" w:cs="仿宋"/>
          <w:b/>
          <w:bCs/>
          <w:sz w:val="30"/>
          <w:szCs w:val="30"/>
        </w:rPr>
      </w:pPr>
      <w:r>
        <w:rPr>
          <w:rFonts w:hint="eastAsia" w:ascii="仿宋" w:hAnsi="仿宋" w:eastAsia="仿宋" w:cs="仿宋"/>
          <w:b/>
          <w:bCs/>
          <w:sz w:val="30"/>
          <w:szCs w:val="30"/>
          <w:lang w:eastAsia="zh-CN"/>
        </w:rPr>
        <w:t>陕西省宁强县人民法院</w:t>
      </w:r>
      <w:r>
        <w:rPr>
          <w:rFonts w:hint="eastAsia" w:ascii="仿宋" w:hAnsi="仿宋" w:eastAsia="仿宋" w:cs="仿宋"/>
          <w:b/>
          <w:bCs/>
          <w:sz w:val="30"/>
          <w:szCs w:val="30"/>
        </w:rPr>
        <w:t>：</w:t>
      </w:r>
    </w:p>
    <w:p>
      <w:pPr>
        <w:keepNext w:val="0"/>
        <w:keepLines w:val="0"/>
        <w:pageBreakBefore w:val="0"/>
        <w:widowControl w:val="0"/>
        <w:tabs>
          <w:tab w:val="left" w:pos="54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根据你院（201</w:t>
      </w:r>
      <w:r>
        <w:rPr>
          <w:rFonts w:hint="eastAsia" w:ascii="仿宋" w:hAnsi="仿宋" w:eastAsia="仿宋" w:cs="仿宋"/>
          <w:sz w:val="30"/>
          <w:szCs w:val="30"/>
          <w:lang w:val="en-US" w:eastAsia="zh-CN"/>
        </w:rPr>
        <w:t>9</w:t>
      </w:r>
      <w:r>
        <w:rPr>
          <w:rFonts w:hint="eastAsia" w:ascii="仿宋" w:hAnsi="仿宋" w:eastAsia="仿宋" w:cs="仿宋"/>
          <w:sz w:val="30"/>
          <w:szCs w:val="30"/>
        </w:rPr>
        <w:t>）陕07</w:t>
      </w:r>
      <w:r>
        <w:rPr>
          <w:rFonts w:hint="eastAsia" w:ascii="仿宋" w:hAnsi="仿宋" w:eastAsia="仿宋" w:cs="仿宋"/>
          <w:sz w:val="30"/>
          <w:szCs w:val="30"/>
          <w:lang w:val="en-US" w:eastAsia="zh-CN"/>
        </w:rPr>
        <w:t>26执恢6-1</w:t>
      </w:r>
      <w:r>
        <w:rPr>
          <w:rFonts w:hint="eastAsia" w:ascii="仿宋" w:hAnsi="仿宋" w:eastAsia="仿宋" w:cs="仿宋"/>
          <w:sz w:val="30"/>
          <w:szCs w:val="30"/>
        </w:rPr>
        <w:t>号评估委托书的委托，遵循</w:t>
      </w:r>
      <w:r>
        <w:rPr>
          <w:rFonts w:hint="eastAsia" w:ascii="仿宋" w:hAnsi="仿宋" w:eastAsia="仿宋" w:cs="仿宋"/>
          <w:bCs/>
          <w:sz w:val="30"/>
          <w:szCs w:val="30"/>
        </w:rPr>
        <w:t>依法、公正、科学、效率</w:t>
      </w:r>
      <w:r>
        <w:rPr>
          <w:rFonts w:hint="eastAsia" w:ascii="仿宋" w:hAnsi="仿宋" w:eastAsia="仿宋" w:cs="仿宋"/>
          <w:sz w:val="30"/>
          <w:szCs w:val="30"/>
        </w:rPr>
        <w:t>的原则，按照规定的标准、程序和方法，我公司依法对</w:t>
      </w:r>
      <w:r>
        <w:rPr>
          <w:rFonts w:hint="eastAsia" w:ascii="仿宋" w:hAnsi="仿宋" w:eastAsia="仿宋" w:cs="仿宋"/>
          <w:sz w:val="30"/>
          <w:szCs w:val="30"/>
          <w:lang w:eastAsia="zh-CN"/>
        </w:rPr>
        <w:t>陕西省宁强县人民法院执行的申请执行人何秀玲与被执行人杨涛民间借贷纠纷一案中，所涉及的位于陕西省宁强县汉源街道办事处西街口新</w:t>
      </w:r>
      <w:r>
        <w:rPr>
          <w:rFonts w:hint="eastAsia" w:ascii="仿宋" w:hAnsi="仿宋" w:eastAsia="仿宋" w:cs="仿宋"/>
          <w:sz w:val="30"/>
          <w:szCs w:val="30"/>
          <w:lang w:val="en-US" w:eastAsia="zh-CN"/>
        </w:rPr>
        <w:t>4号楼4单元302室住宅房</w:t>
      </w:r>
      <w:r>
        <w:rPr>
          <w:rFonts w:hint="eastAsia" w:ascii="仿宋" w:hAnsi="仿宋" w:eastAsia="仿宋" w:cs="仿宋"/>
          <w:sz w:val="30"/>
          <w:szCs w:val="30"/>
        </w:rPr>
        <w:t>进行了价格评估。现将价格评估情况综述如下：</w:t>
      </w:r>
    </w:p>
    <w:p>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价格评估标的</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lang w:eastAsia="zh-CN"/>
        </w:rPr>
        <w:t>陕西省宁强县汉源街道办事处西街口新</w:t>
      </w:r>
      <w:r>
        <w:rPr>
          <w:rFonts w:hint="eastAsia" w:ascii="仿宋" w:hAnsi="仿宋" w:eastAsia="仿宋" w:cs="仿宋"/>
          <w:sz w:val="30"/>
          <w:szCs w:val="30"/>
          <w:lang w:val="en-US" w:eastAsia="zh-CN"/>
        </w:rPr>
        <w:t>4号楼4单元302室房产一套（房产证号：宁房权证宁字第11215号）</w:t>
      </w:r>
      <w:r>
        <w:rPr>
          <w:rFonts w:hint="eastAsia" w:ascii="仿宋" w:hAnsi="仿宋" w:eastAsia="仿宋" w:cs="仿宋"/>
          <w:sz w:val="30"/>
          <w:szCs w:val="30"/>
        </w:rPr>
        <w:t>。</w:t>
      </w:r>
    </w:p>
    <w:p>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hint="eastAsia" w:ascii="仿宋" w:hAnsi="仿宋" w:eastAsia="仿宋" w:cs="仿宋"/>
          <w:b/>
          <w:sz w:val="30"/>
          <w:szCs w:val="30"/>
        </w:rPr>
      </w:pPr>
      <w:r>
        <w:rPr>
          <w:rFonts w:hint="eastAsia" w:ascii="仿宋" w:hAnsi="仿宋" w:eastAsia="仿宋" w:cs="仿宋"/>
          <w:b/>
          <w:sz w:val="30"/>
          <w:szCs w:val="30"/>
        </w:rPr>
        <w:t>价格评估目的</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确定价格评估标的在价格评估基准日的价格，为司法处分提供标的价格依据。</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价格评估基准日</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本次价格评估基准日为201</w:t>
      </w:r>
      <w:r>
        <w:rPr>
          <w:rFonts w:hint="eastAsia" w:ascii="仿宋" w:hAnsi="仿宋" w:eastAsia="仿宋" w:cs="仿宋"/>
          <w:sz w:val="30"/>
          <w:szCs w:val="30"/>
          <w:lang w:val="en-US" w:eastAsia="zh-CN"/>
        </w:rPr>
        <w:t>9</w:t>
      </w:r>
      <w:r>
        <w:rPr>
          <w:rFonts w:hint="eastAsia" w:ascii="仿宋" w:hAnsi="仿宋" w:eastAsia="仿宋" w:cs="仿宋"/>
          <w:sz w:val="30"/>
          <w:szCs w:val="30"/>
        </w:rPr>
        <w:t>年</w:t>
      </w:r>
      <w:r>
        <w:rPr>
          <w:rFonts w:hint="eastAsia" w:ascii="仿宋" w:hAnsi="仿宋" w:eastAsia="仿宋" w:cs="仿宋"/>
          <w:sz w:val="30"/>
          <w:szCs w:val="30"/>
          <w:lang w:val="en-US" w:eastAsia="zh-CN"/>
        </w:rPr>
        <w:t>3</w:t>
      </w:r>
      <w:r>
        <w:rPr>
          <w:rFonts w:hint="eastAsia" w:ascii="仿宋" w:hAnsi="仿宋" w:eastAsia="仿宋" w:cs="仿宋"/>
          <w:sz w:val="30"/>
          <w:szCs w:val="30"/>
        </w:rPr>
        <w:t>月</w:t>
      </w:r>
      <w:r>
        <w:rPr>
          <w:rFonts w:hint="eastAsia" w:ascii="仿宋" w:hAnsi="仿宋" w:eastAsia="仿宋" w:cs="仿宋"/>
          <w:sz w:val="30"/>
          <w:szCs w:val="30"/>
          <w:lang w:val="en-US" w:eastAsia="zh-CN"/>
        </w:rPr>
        <w:t>11</w:t>
      </w:r>
      <w:r>
        <w:rPr>
          <w:rFonts w:hint="eastAsia" w:ascii="仿宋" w:hAnsi="仿宋" w:eastAsia="仿宋" w:cs="仿宋"/>
          <w:sz w:val="30"/>
          <w:szCs w:val="30"/>
        </w:rPr>
        <w:t>日。</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价格定义</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价格评估结论所指价格是：评估标的在评估基准日，采用公开市场价值标准确定的客观合理的价格。</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价格评估依据</w:t>
      </w:r>
    </w:p>
    <w:p>
      <w:pPr>
        <w:keepNext w:val="0"/>
        <w:keepLines w:val="0"/>
        <w:pageBreakBefore w:val="0"/>
        <w:widowControl w:val="0"/>
        <w:numPr>
          <w:ilvl w:val="0"/>
          <w:numId w:val="3"/>
        </w:numPr>
        <w:kinsoku/>
        <w:wordWrap/>
        <w:overflowPunct/>
        <w:topLinePunct w:val="0"/>
        <w:autoSpaceDE/>
        <w:autoSpaceDN/>
        <w:bidi w:val="0"/>
        <w:adjustRightInd/>
        <w:snapToGrid/>
        <w:spacing w:line="640" w:lineRule="exact"/>
        <w:ind w:left="0" w:leftChars="0" w:right="0" w:rightChars="0"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有关的法律、法规及技术标准文件</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《中华人民共和国价格法》；</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《中华人民共和国资产评估法》；</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中华人民共和国国家标准《房地产估价规范》；</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b w:val="0"/>
          <w:bCs w:val="0"/>
          <w:sz w:val="30"/>
          <w:szCs w:val="30"/>
        </w:rPr>
      </w:pPr>
      <w:r>
        <w:rPr>
          <w:rFonts w:hint="eastAsia" w:ascii="仿宋" w:hAnsi="仿宋" w:eastAsia="仿宋" w:cs="仿宋"/>
          <w:b w:val="0"/>
          <w:bCs w:val="0"/>
          <w:sz w:val="30"/>
          <w:szCs w:val="30"/>
          <w:lang w:eastAsia="zh-CN"/>
        </w:rPr>
        <w:t>《中华人民共和国土地管理法》；</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lang w:eastAsia="zh-CN"/>
        </w:rPr>
        <w:t>《中华人民共和国城市房地产管理法》；</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《价格评估执业规范》（2017）；</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《陕西省涉案财物价格鉴定条例》；</w:t>
      </w:r>
    </w:p>
    <w:p>
      <w:pPr>
        <w:keepNext w:val="0"/>
        <w:keepLines w:val="0"/>
        <w:pageBreakBefore w:val="0"/>
        <w:widowControl w:val="0"/>
        <w:numPr>
          <w:ilvl w:val="0"/>
          <w:numId w:val="4"/>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《陕西省价格鉴证操作规范》（试行）。</w:t>
      </w:r>
    </w:p>
    <w:p>
      <w:pPr>
        <w:keepNext w:val="0"/>
        <w:keepLines w:val="0"/>
        <w:pageBreakBefore w:val="0"/>
        <w:widowControl w:val="0"/>
        <w:numPr>
          <w:ilvl w:val="0"/>
          <w:numId w:val="5"/>
        </w:numPr>
        <w:kinsoku/>
        <w:wordWrap/>
        <w:overflowPunct/>
        <w:topLinePunct w:val="0"/>
        <w:autoSpaceDE/>
        <w:autoSpaceDN/>
        <w:bidi w:val="0"/>
        <w:adjustRightInd/>
        <w:snapToGrid/>
        <w:spacing w:line="640" w:lineRule="exact"/>
        <w:ind w:left="0" w:leftChars="0" w:right="0" w:rightChars="0"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委托方提供的有关资料</w:t>
      </w:r>
    </w:p>
    <w:p>
      <w:pPr>
        <w:keepNext w:val="0"/>
        <w:keepLines w:val="0"/>
        <w:pageBreakBefore w:val="0"/>
        <w:widowControl w:val="0"/>
        <w:numPr>
          <w:ilvl w:val="0"/>
          <w:numId w:val="6"/>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陕西省宁强县人民法院出具的（201</w:t>
      </w:r>
      <w:r>
        <w:rPr>
          <w:rFonts w:hint="eastAsia" w:ascii="仿宋" w:hAnsi="仿宋" w:eastAsia="仿宋" w:cs="仿宋"/>
          <w:sz w:val="30"/>
          <w:szCs w:val="30"/>
          <w:lang w:val="en-US" w:eastAsia="zh-CN"/>
        </w:rPr>
        <w:t>9</w:t>
      </w:r>
      <w:r>
        <w:rPr>
          <w:rFonts w:hint="eastAsia" w:ascii="仿宋" w:hAnsi="仿宋" w:eastAsia="仿宋" w:cs="仿宋"/>
          <w:sz w:val="30"/>
          <w:szCs w:val="30"/>
          <w:lang w:eastAsia="zh-CN"/>
        </w:rPr>
        <w:t>）陕07</w:t>
      </w:r>
      <w:r>
        <w:rPr>
          <w:rFonts w:hint="eastAsia" w:ascii="仿宋" w:hAnsi="仿宋" w:eastAsia="仿宋" w:cs="仿宋"/>
          <w:sz w:val="30"/>
          <w:szCs w:val="30"/>
          <w:lang w:val="en-US" w:eastAsia="zh-CN"/>
        </w:rPr>
        <w:t>26执恢6-1</w:t>
      </w:r>
      <w:r>
        <w:rPr>
          <w:rFonts w:hint="eastAsia" w:ascii="仿宋" w:hAnsi="仿宋" w:eastAsia="仿宋" w:cs="仿宋"/>
          <w:sz w:val="30"/>
          <w:szCs w:val="30"/>
          <w:lang w:eastAsia="zh-CN"/>
        </w:rPr>
        <w:t>号委托书；</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40" w:lineRule="exact"/>
        <w:ind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2、房产证</w:t>
      </w:r>
      <w:r>
        <w:rPr>
          <w:rFonts w:hint="eastAsia" w:ascii="仿宋" w:hAnsi="仿宋" w:eastAsia="仿宋" w:cs="仿宋"/>
          <w:sz w:val="30"/>
          <w:szCs w:val="30"/>
          <w:lang w:eastAsia="zh-CN"/>
        </w:rPr>
        <w:t>复印件。</w:t>
      </w:r>
    </w:p>
    <w:p>
      <w:pPr>
        <w:keepNext w:val="0"/>
        <w:keepLines w:val="0"/>
        <w:pageBreakBefore w:val="0"/>
        <w:widowControl w:val="0"/>
        <w:numPr>
          <w:ilvl w:val="0"/>
          <w:numId w:val="5"/>
        </w:numPr>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评估方收集的有关资料</w:t>
      </w:r>
    </w:p>
    <w:p>
      <w:pPr>
        <w:keepNext w:val="0"/>
        <w:keepLines w:val="0"/>
        <w:pageBreakBefore w:val="0"/>
        <w:widowControl w:val="0"/>
        <w:numPr>
          <w:ilvl w:val="0"/>
          <w:numId w:val="7"/>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现场勘验资料；</w:t>
      </w:r>
    </w:p>
    <w:p>
      <w:pPr>
        <w:keepNext w:val="0"/>
        <w:keepLines w:val="0"/>
        <w:pageBreakBefore w:val="0"/>
        <w:widowControl w:val="0"/>
        <w:numPr>
          <w:ilvl w:val="0"/>
          <w:numId w:val="7"/>
        </w:numPr>
        <w:kinsoku/>
        <w:wordWrap/>
        <w:overflowPunct/>
        <w:topLinePunct w:val="0"/>
        <w:autoSpaceDE/>
        <w:autoSpaceDN/>
        <w:bidi w:val="0"/>
        <w:adjustRightInd/>
        <w:snapToGrid/>
        <w:spacing w:line="64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市场调查资料。</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价格评估方法</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根据本次价格评估标的的目的及特点，本次价格评估采用</w:t>
      </w:r>
      <w:r>
        <w:rPr>
          <w:rFonts w:hint="eastAsia" w:ascii="仿宋" w:hAnsi="仿宋" w:eastAsia="仿宋" w:cs="仿宋"/>
          <w:sz w:val="30"/>
          <w:szCs w:val="30"/>
          <w:lang w:eastAsia="zh-CN"/>
        </w:rPr>
        <w:t>市场</w:t>
      </w:r>
      <w:r>
        <w:rPr>
          <w:rFonts w:hint="eastAsia" w:ascii="仿宋" w:hAnsi="仿宋" w:eastAsia="仿宋" w:cs="仿宋"/>
          <w:sz w:val="30"/>
          <w:szCs w:val="30"/>
        </w:rPr>
        <w:t>法。</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价格评估过程</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接受委托后，本公司组成了价格评估小组，制定了作业方案，</w:t>
      </w:r>
      <w:r>
        <w:rPr>
          <w:rFonts w:hint="eastAsia" w:ascii="仿宋" w:hAnsi="仿宋" w:eastAsia="仿宋" w:cs="仿宋"/>
          <w:sz w:val="30"/>
          <w:szCs w:val="30"/>
          <w:lang w:eastAsia="zh-CN"/>
        </w:rPr>
        <w:t>于</w:t>
      </w:r>
      <w:r>
        <w:rPr>
          <w:rFonts w:hint="eastAsia" w:ascii="仿宋" w:hAnsi="仿宋" w:eastAsia="仿宋" w:cs="仿宋"/>
          <w:sz w:val="30"/>
          <w:szCs w:val="30"/>
          <w:lang w:val="en-US" w:eastAsia="zh-CN"/>
        </w:rPr>
        <w:t>2019年3月11日前往陕西省宁强县人民法院，在委托方及相关人员的陪同下，共同对位于</w:t>
      </w:r>
      <w:r>
        <w:rPr>
          <w:rFonts w:hint="eastAsia" w:ascii="仿宋" w:hAnsi="仿宋" w:eastAsia="仿宋" w:cs="仿宋"/>
          <w:sz w:val="30"/>
          <w:szCs w:val="30"/>
          <w:lang w:eastAsia="zh-CN"/>
        </w:rPr>
        <w:t>宁强县汉源街道办事处西街口新</w:t>
      </w:r>
      <w:r>
        <w:rPr>
          <w:rFonts w:hint="eastAsia" w:ascii="仿宋" w:hAnsi="仿宋" w:eastAsia="仿宋" w:cs="仿宋"/>
          <w:sz w:val="30"/>
          <w:szCs w:val="30"/>
          <w:lang w:val="en-US" w:eastAsia="zh-CN"/>
        </w:rPr>
        <w:t>4号楼4单元302室住宅房进行了现场勘查。</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评估人员根据国家有关房地产价格评估的规程和标准，严格按照价格评估程序和原则</w:t>
      </w:r>
      <w:r>
        <w:rPr>
          <w:rFonts w:hint="eastAsia" w:ascii="仿宋" w:hAnsi="仿宋" w:eastAsia="仿宋" w:cs="仿宋"/>
          <w:sz w:val="30"/>
          <w:szCs w:val="30"/>
          <w:lang w:eastAsia="zh-CN"/>
        </w:rPr>
        <w:t>，经过比较、分析、测算套用市场法对本次标的</w:t>
      </w:r>
      <w:r>
        <w:rPr>
          <w:rFonts w:hint="eastAsia" w:ascii="仿宋" w:hAnsi="仿宋" w:eastAsia="仿宋" w:cs="仿宋"/>
          <w:sz w:val="30"/>
          <w:szCs w:val="30"/>
        </w:rPr>
        <w:t>在价格评估基准日的市场价格</w:t>
      </w:r>
      <w:r>
        <w:rPr>
          <w:rFonts w:hint="eastAsia" w:ascii="仿宋" w:hAnsi="仿宋" w:eastAsia="仿宋" w:cs="仿宋"/>
          <w:sz w:val="30"/>
          <w:szCs w:val="30"/>
          <w:lang w:eastAsia="zh-CN"/>
        </w:rPr>
        <w:t>进行了价格评估。具体过程详见《价格评估技术报告》。</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价格评估结论</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本次评估标的价格</w:t>
      </w:r>
      <w:r>
        <w:rPr>
          <w:rFonts w:hint="eastAsia" w:ascii="仿宋" w:hAnsi="仿宋" w:eastAsia="仿宋" w:cs="仿宋"/>
          <w:sz w:val="30"/>
          <w:szCs w:val="30"/>
          <w:lang w:eastAsia="zh-CN"/>
        </w:rPr>
        <w:t>在</w:t>
      </w:r>
      <w:r>
        <w:rPr>
          <w:rFonts w:hint="eastAsia" w:ascii="仿宋" w:hAnsi="仿宋" w:eastAsia="仿宋" w:cs="仿宋"/>
          <w:sz w:val="30"/>
          <w:szCs w:val="30"/>
        </w:rPr>
        <w:t>评估基准日的评估价格为￥</w:t>
      </w:r>
      <w:r>
        <w:rPr>
          <w:rFonts w:hint="eastAsia" w:ascii="仿宋" w:hAnsi="仿宋" w:eastAsia="仿宋" w:cs="仿宋"/>
          <w:sz w:val="30"/>
          <w:szCs w:val="30"/>
          <w:lang w:val="en-US" w:eastAsia="zh-CN"/>
        </w:rPr>
        <w:t>251518</w:t>
      </w:r>
      <w:r>
        <w:rPr>
          <w:rFonts w:ascii="仿宋" w:hAnsi="Arial" w:eastAsia="仿宋" w:cs="仿宋"/>
          <w:color w:val="000000"/>
          <w:kern w:val="0"/>
          <w:sz w:val="32"/>
          <w:szCs w:val="32"/>
        </w:rPr>
        <w:t>. 00</w:t>
      </w:r>
      <w:r>
        <w:rPr>
          <w:rFonts w:hint="eastAsia" w:ascii="仿宋" w:hAnsi="仿宋" w:eastAsia="仿宋" w:cs="仿宋"/>
          <w:sz w:val="30"/>
          <w:szCs w:val="30"/>
        </w:rPr>
        <w:t>元（人民币：</w:t>
      </w:r>
      <w:r>
        <w:rPr>
          <w:rFonts w:hint="eastAsia" w:ascii="仿宋" w:hAnsi="仿宋" w:eastAsia="仿宋" w:cs="仿宋"/>
          <w:sz w:val="30"/>
          <w:szCs w:val="30"/>
          <w:lang w:eastAsia="zh-CN"/>
        </w:rPr>
        <w:t>贰拾伍万壹仟伍佰壹拾捌</w:t>
      </w:r>
      <w:r>
        <w:rPr>
          <w:rFonts w:hint="eastAsia" w:ascii="仿宋" w:hAnsi="仿宋" w:eastAsia="仿宋" w:cs="仿宋"/>
          <w:sz w:val="30"/>
          <w:szCs w:val="30"/>
        </w:rPr>
        <w:t>元整）评估结果保留整数。</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价格评估限定条件</w:t>
      </w:r>
    </w:p>
    <w:p>
      <w:pPr>
        <w:keepNext w:val="0"/>
        <w:keepLines w:val="0"/>
        <w:pageBreakBefore w:val="0"/>
        <w:widowControl w:val="0"/>
        <w:numPr>
          <w:ilvl w:val="0"/>
          <w:numId w:val="8"/>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委托方提供资料客观、真实；</w:t>
      </w:r>
    </w:p>
    <w:p>
      <w:pPr>
        <w:keepNext w:val="0"/>
        <w:keepLines w:val="0"/>
        <w:pageBreakBefore w:val="0"/>
        <w:widowControl w:val="0"/>
        <w:numPr>
          <w:ilvl w:val="0"/>
          <w:numId w:val="8"/>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本评估结论有效期自本结论报告书出具之日起壹年内</w:t>
      </w:r>
      <w:r>
        <w:rPr>
          <w:rFonts w:hint="eastAsia" w:ascii="仿宋" w:hAnsi="仿宋" w:eastAsia="仿宋" w:cs="仿宋"/>
          <w:sz w:val="30"/>
          <w:szCs w:val="30"/>
          <w:lang w:eastAsia="zh-CN"/>
        </w:rPr>
        <w:t>；</w:t>
      </w:r>
    </w:p>
    <w:p>
      <w:pPr>
        <w:keepNext w:val="0"/>
        <w:keepLines w:val="0"/>
        <w:pageBreakBefore w:val="0"/>
        <w:widowControl w:val="0"/>
        <w:numPr>
          <w:ilvl w:val="0"/>
          <w:numId w:val="8"/>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lang w:eastAsia="zh-CN"/>
        </w:rPr>
        <w:t>本评估结论值未考虑未来市场变化风险。</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ascii="仿宋" w:hAnsi="仿宋" w:eastAsia="仿宋" w:cs="仿宋"/>
          <w:b/>
          <w:sz w:val="30"/>
          <w:szCs w:val="30"/>
        </w:rPr>
      </w:pPr>
      <w:r>
        <w:rPr>
          <w:rFonts w:hint="eastAsia" w:ascii="仿宋" w:hAnsi="仿宋" w:eastAsia="仿宋" w:cs="仿宋"/>
          <w:b/>
          <w:sz w:val="30"/>
          <w:szCs w:val="30"/>
        </w:rPr>
        <w:t>声明</w:t>
      </w:r>
    </w:p>
    <w:p>
      <w:pPr>
        <w:keepNext w:val="0"/>
        <w:keepLines w:val="0"/>
        <w:pageBreakBefore w:val="0"/>
        <w:widowControl w:val="0"/>
        <w:numPr>
          <w:ilvl w:val="0"/>
          <w:numId w:val="9"/>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价格评估结论书中已说明的限定条件限制；</w:t>
      </w:r>
    </w:p>
    <w:p>
      <w:pPr>
        <w:keepNext w:val="0"/>
        <w:keepLines w:val="0"/>
        <w:pageBreakBefore w:val="0"/>
        <w:widowControl w:val="0"/>
        <w:numPr>
          <w:ilvl w:val="0"/>
          <w:numId w:val="9"/>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委托方提供资料的真实性由委托方负责；</w:t>
      </w:r>
    </w:p>
    <w:p>
      <w:pPr>
        <w:keepNext w:val="0"/>
        <w:keepLines w:val="0"/>
        <w:pageBreakBefore w:val="0"/>
        <w:widowControl w:val="0"/>
        <w:numPr>
          <w:ilvl w:val="0"/>
          <w:numId w:val="9"/>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价格评估结论仅对本次委托有效，不做他用，未经我公司同意，不得向委托方和有关当事人之外的任何单位和个人提供，结论书的全部或部分内容不得发表于任何公开媒体上；</w:t>
      </w:r>
    </w:p>
    <w:p>
      <w:pPr>
        <w:keepNext w:val="0"/>
        <w:keepLines w:val="0"/>
        <w:pageBreakBefore w:val="0"/>
        <w:widowControl w:val="0"/>
        <w:numPr>
          <w:ilvl w:val="0"/>
          <w:numId w:val="9"/>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评估机构和评估人员与价格评估标的没有利害关系，也与有关当事人没有利害关系；</w:t>
      </w:r>
    </w:p>
    <w:p>
      <w:pPr>
        <w:keepNext w:val="0"/>
        <w:keepLines w:val="0"/>
        <w:pageBreakBefore w:val="0"/>
        <w:widowControl w:val="0"/>
        <w:numPr>
          <w:ilvl w:val="0"/>
          <w:numId w:val="9"/>
        </w:numPr>
        <w:tabs>
          <w:tab w:val="left" w:pos="540"/>
          <w:tab w:val="clear" w:pos="0"/>
        </w:tabs>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如对本结论有异议，可与结论书送达之日起十日内书面向评估机构提出重新、补充评估。</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hint="eastAsia" w:ascii="仿宋" w:hAnsi="仿宋" w:eastAsia="仿宋" w:cs="仿宋"/>
          <w:b/>
          <w:sz w:val="30"/>
          <w:szCs w:val="30"/>
        </w:rPr>
      </w:pPr>
      <w:r>
        <w:rPr>
          <w:rFonts w:hint="eastAsia" w:ascii="仿宋" w:hAnsi="仿宋" w:eastAsia="仿宋" w:cs="仿宋"/>
          <w:b/>
          <w:sz w:val="30"/>
          <w:szCs w:val="30"/>
        </w:rPr>
        <w:t>价格评估作业日期</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201</w:t>
      </w:r>
      <w:r>
        <w:rPr>
          <w:rFonts w:hint="eastAsia" w:ascii="仿宋" w:hAnsi="仿宋" w:eastAsia="仿宋" w:cs="仿宋"/>
          <w:sz w:val="30"/>
          <w:szCs w:val="30"/>
          <w:lang w:val="en-US" w:eastAsia="zh-CN"/>
        </w:rPr>
        <w:t>9</w:t>
      </w:r>
      <w:r>
        <w:rPr>
          <w:rFonts w:hint="eastAsia" w:ascii="仿宋" w:hAnsi="仿宋" w:eastAsia="仿宋" w:cs="仿宋"/>
          <w:sz w:val="30"/>
          <w:szCs w:val="30"/>
        </w:rPr>
        <w:t>年</w:t>
      </w:r>
      <w:r>
        <w:rPr>
          <w:rFonts w:hint="eastAsia" w:ascii="仿宋" w:hAnsi="仿宋" w:eastAsia="仿宋" w:cs="仿宋"/>
          <w:sz w:val="30"/>
          <w:szCs w:val="30"/>
          <w:lang w:val="en-US" w:eastAsia="zh-CN"/>
        </w:rPr>
        <w:t>3</w:t>
      </w:r>
      <w:r>
        <w:rPr>
          <w:rFonts w:hint="eastAsia" w:ascii="仿宋" w:hAnsi="仿宋" w:eastAsia="仿宋" w:cs="仿宋"/>
          <w:sz w:val="30"/>
          <w:szCs w:val="30"/>
        </w:rPr>
        <w:t>月</w:t>
      </w:r>
      <w:r>
        <w:rPr>
          <w:rFonts w:hint="eastAsia" w:ascii="仿宋" w:hAnsi="仿宋" w:eastAsia="仿宋" w:cs="仿宋"/>
          <w:sz w:val="30"/>
          <w:szCs w:val="30"/>
          <w:lang w:val="en-US" w:eastAsia="zh-CN"/>
        </w:rPr>
        <w:t>11</w:t>
      </w:r>
      <w:r>
        <w:rPr>
          <w:rFonts w:hint="eastAsia" w:ascii="仿宋" w:hAnsi="仿宋" w:eastAsia="仿宋" w:cs="仿宋"/>
          <w:sz w:val="30"/>
          <w:szCs w:val="30"/>
        </w:rPr>
        <w:t>日至201</w:t>
      </w:r>
      <w:r>
        <w:rPr>
          <w:rFonts w:hint="eastAsia" w:ascii="仿宋" w:hAnsi="仿宋" w:eastAsia="仿宋" w:cs="仿宋"/>
          <w:sz w:val="30"/>
          <w:szCs w:val="30"/>
          <w:lang w:val="en-US" w:eastAsia="zh-CN"/>
        </w:rPr>
        <w:t>9</w:t>
      </w:r>
      <w:r>
        <w:rPr>
          <w:rFonts w:hint="eastAsia" w:ascii="仿宋" w:hAnsi="仿宋" w:eastAsia="仿宋" w:cs="仿宋"/>
          <w:sz w:val="30"/>
          <w:szCs w:val="30"/>
        </w:rPr>
        <w:t>年</w:t>
      </w:r>
      <w:r>
        <w:rPr>
          <w:rFonts w:hint="eastAsia" w:ascii="仿宋" w:hAnsi="仿宋" w:eastAsia="仿宋" w:cs="仿宋"/>
          <w:sz w:val="30"/>
          <w:szCs w:val="30"/>
          <w:lang w:val="en-US" w:eastAsia="zh-CN"/>
        </w:rPr>
        <w:t>3</w:t>
      </w:r>
      <w:r>
        <w:rPr>
          <w:rFonts w:hint="eastAsia" w:ascii="仿宋" w:hAnsi="仿宋" w:eastAsia="仿宋" w:cs="仿宋"/>
          <w:sz w:val="30"/>
          <w:szCs w:val="30"/>
        </w:rPr>
        <w:t>月</w:t>
      </w:r>
      <w:r>
        <w:rPr>
          <w:rFonts w:hint="eastAsia" w:ascii="仿宋" w:hAnsi="仿宋" w:eastAsia="仿宋" w:cs="仿宋"/>
          <w:sz w:val="30"/>
          <w:szCs w:val="30"/>
          <w:lang w:val="en-US" w:eastAsia="zh-CN"/>
        </w:rPr>
        <w:t>15</w:t>
      </w:r>
      <w:r>
        <w:rPr>
          <w:rFonts w:hint="eastAsia" w:ascii="仿宋" w:hAnsi="仿宋" w:eastAsia="仿宋" w:cs="仿宋"/>
          <w:sz w:val="30"/>
          <w:szCs w:val="30"/>
        </w:rPr>
        <w:t>日</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hint="eastAsia" w:ascii="仿宋" w:hAnsi="仿宋" w:eastAsia="仿宋" w:cs="仿宋"/>
          <w:b/>
          <w:sz w:val="30"/>
          <w:szCs w:val="30"/>
        </w:rPr>
      </w:pPr>
      <w:r>
        <w:rPr>
          <w:rFonts w:hint="eastAsia" w:ascii="仿宋" w:hAnsi="仿宋" w:eastAsia="仿宋" w:cs="仿宋"/>
          <w:b/>
          <w:sz w:val="30"/>
          <w:szCs w:val="30"/>
        </w:rPr>
        <w:t>价格评估机构</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机构名称：陕西秦正价格评估有限公司</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机构资质证号：陕J610012</w:t>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hint="eastAsia" w:ascii="仿宋" w:hAnsi="仿宋" w:eastAsia="仿宋" w:cs="仿宋"/>
          <w:b/>
          <w:sz w:val="30"/>
          <w:szCs w:val="30"/>
        </w:rPr>
      </w:pPr>
      <w:r>
        <w:rPr>
          <w:rFonts w:hint="eastAsia" w:ascii="仿宋" w:hAnsi="仿宋" w:eastAsia="仿宋" w:cs="仿宋"/>
          <w:b/>
          <w:sz w:val="30"/>
          <w:szCs w:val="30"/>
        </w:rPr>
        <w:t>价格评估人员：</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60" w:firstLineChars="200"/>
        <w:jc w:val="both"/>
        <w:textAlignment w:val="auto"/>
        <w:rPr>
          <w:rFonts w:ascii="仿宋" w:hAnsi="仿宋" w:eastAsia="仿宋" w:cs="仿宋"/>
          <w:sz w:val="28"/>
          <w:szCs w:val="28"/>
        </w:rPr>
      </w:pPr>
      <w:r>
        <w:rPr>
          <w:rFonts w:hint="eastAsia" w:ascii="仿宋" w:hAnsi="仿宋" w:eastAsia="仿宋" w:cs="仿宋"/>
          <w:sz w:val="28"/>
          <w:szCs w:val="28"/>
        </w:rPr>
        <w:t>姓名         执业资格名称        资格证号     印   章</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60" w:firstLineChars="200"/>
        <w:jc w:val="both"/>
        <w:textAlignment w:val="auto"/>
        <w:rPr>
          <w:rFonts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60" w:firstLineChars="200"/>
        <w:jc w:val="both"/>
        <w:textAlignment w:val="auto"/>
        <w:rPr>
          <w:rFonts w:ascii="仿宋" w:hAnsi="仿宋" w:eastAsia="仿宋" w:cs="仿宋"/>
          <w:sz w:val="28"/>
          <w:szCs w:val="28"/>
        </w:rPr>
      </w:pPr>
      <w:r>
        <w:rPr>
          <w:rFonts w:hint="eastAsia" w:ascii="仿宋" w:hAnsi="仿宋" w:eastAsia="仿宋" w:cs="仿宋"/>
          <w:sz w:val="28"/>
          <w:szCs w:val="28"/>
        </w:rPr>
        <w:t>杨沧海     注册执业价格鉴证师    0002832</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60" w:firstLineChars="200"/>
        <w:jc w:val="both"/>
        <w:textAlignment w:val="auto"/>
        <w:rPr>
          <w:rFonts w:ascii="仿宋" w:hAnsi="仿宋" w:eastAsia="仿宋" w:cs="仿宋"/>
          <w:color w:val="000000"/>
          <w:sz w:val="28"/>
          <w:szCs w:val="28"/>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60" w:firstLineChars="200"/>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肖建波</w:t>
      </w:r>
      <w:r>
        <w:rPr>
          <w:rFonts w:hint="eastAsia" w:ascii="仿宋" w:hAnsi="仿宋" w:eastAsia="仿宋" w:cs="仿宋"/>
          <w:color w:val="000000"/>
          <w:sz w:val="28"/>
          <w:szCs w:val="28"/>
        </w:rPr>
        <w:t xml:space="preserve">     执业价格评估员       6101000</w:t>
      </w:r>
      <w:r>
        <w:rPr>
          <w:rFonts w:hint="eastAsia" w:ascii="仿宋" w:hAnsi="仿宋" w:eastAsia="仿宋" w:cs="仿宋"/>
          <w:color w:val="000000"/>
          <w:sz w:val="28"/>
          <w:szCs w:val="28"/>
          <w:lang w:val="en-US" w:eastAsia="zh-CN"/>
        </w:rPr>
        <w:t>6</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60" w:firstLineChars="200"/>
        <w:jc w:val="both"/>
        <w:textAlignment w:val="auto"/>
        <w:rPr>
          <w:rFonts w:hint="eastAsia" w:ascii="仿宋" w:hAnsi="仿宋" w:eastAsia="仿宋" w:cs="仿宋"/>
          <w:color w:val="000000"/>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602" w:firstLineChars="200"/>
        <w:jc w:val="both"/>
        <w:textAlignment w:val="auto"/>
        <w:rPr>
          <w:rFonts w:hint="eastAsia" w:ascii="仿宋" w:hAnsi="仿宋" w:eastAsia="仿宋" w:cs="仿宋"/>
          <w:b/>
          <w:sz w:val="30"/>
          <w:szCs w:val="30"/>
        </w:rPr>
      </w:pPr>
      <w:r>
        <w:rPr>
          <w:rFonts w:hint="eastAsia" w:ascii="仿宋" w:hAnsi="仿宋" w:eastAsia="仿宋" w:cs="仿宋"/>
          <w:b/>
          <w:sz w:val="30"/>
          <w:szCs w:val="30"/>
        </w:rPr>
        <w:t>附件</w:t>
      </w:r>
    </w:p>
    <w:p>
      <w:pPr>
        <w:keepNext w:val="0"/>
        <w:keepLines w:val="0"/>
        <w:pageBreakBefore w:val="0"/>
        <w:widowControl w:val="0"/>
        <w:numPr>
          <w:ilvl w:val="0"/>
          <w:numId w:val="10"/>
        </w:numPr>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bCs/>
          <w:sz w:val="30"/>
          <w:szCs w:val="30"/>
        </w:rPr>
        <w:t>《</w:t>
      </w:r>
      <w:r>
        <w:rPr>
          <w:rFonts w:hint="eastAsia" w:ascii="仿宋" w:hAnsi="仿宋" w:eastAsia="仿宋" w:cs="仿宋"/>
          <w:bCs/>
          <w:sz w:val="30"/>
          <w:szCs w:val="30"/>
          <w:lang w:eastAsia="zh-CN"/>
        </w:rPr>
        <w:t>价格评估</w:t>
      </w:r>
      <w:r>
        <w:rPr>
          <w:rFonts w:hint="eastAsia" w:ascii="仿宋" w:hAnsi="仿宋" w:eastAsia="仿宋" w:cs="仿宋"/>
          <w:bCs/>
          <w:sz w:val="30"/>
          <w:szCs w:val="30"/>
        </w:rPr>
        <w:t>技术报告》；</w:t>
      </w:r>
    </w:p>
    <w:p>
      <w:pPr>
        <w:keepNext w:val="0"/>
        <w:keepLines w:val="0"/>
        <w:pageBreakBefore w:val="0"/>
        <w:widowControl w:val="0"/>
        <w:numPr>
          <w:ilvl w:val="0"/>
          <w:numId w:val="10"/>
        </w:numPr>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《价格评估委托书》复印件；</w:t>
      </w:r>
    </w:p>
    <w:p>
      <w:pPr>
        <w:keepNext w:val="0"/>
        <w:keepLines w:val="0"/>
        <w:pageBreakBefore w:val="0"/>
        <w:widowControl w:val="0"/>
        <w:numPr>
          <w:ilvl w:val="0"/>
          <w:numId w:val="10"/>
        </w:numPr>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价格评估机构《营业执照》复印件；</w:t>
      </w:r>
    </w:p>
    <w:p>
      <w:pPr>
        <w:keepNext w:val="0"/>
        <w:keepLines w:val="0"/>
        <w:pageBreakBefore w:val="0"/>
        <w:widowControl w:val="0"/>
        <w:numPr>
          <w:ilvl w:val="0"/>
          <w:numId w:val="10"/>
        </w:numPr>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《价格评估机构资质登记证书》复印件；</w:t>
      </w:r>
    </w:p>
    <w:p>
      <w:pPr>
        <w:keepNext w:val="0"/>
        <w:keepLines w:val="0"/>
        <w:pageBreakBefore w:val="0"/>
        <w:widowControl w:val="0"/>
        <w:numPr>
          <w:ilvl w:val="0"/>
          <w:numId w:val="10"/>
        </w:numPr>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《价格评估人员资格证书》复印件。</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 xml:space="preserve">                 </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ascii="仿宋" w:hAnsi="仿宋" w:eastAsia="仿宋" w:cs="仿宋"/>
          <w:sz w:val="30"/>
          <w:szCs w:val="30"/>
        </w:rPr>
      </w:pP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陕西秦正价格评估有限公司</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201</w:t>
      </w:r>
      <w:r>
        <w:rPr>
          <w:rFonts w:hint="eastAsia" w:ascii="仿宋" w:hAnsi="仿宋" w:eastAsia="仿宋" w:cs="仿宋"/>
          <w:sz w:val="30"/>
          <w:szCs w:val="30"/>
          <w:lang w:val="en-US" w:eastAsia="zh-CN"/>
        </w:rPr>
        <w:t>9</w:t>
      </w:r>
      <w:r>
        <w:rPr>
          <w:rFonts w:hint="eastAsia" w:ascii="仿宋" w:hAnsi="仿宋" w:eastAsia="仿宋" w:cs="仿宋"/>
          <w:sz w:val="30"/>
          <w:szCs w:val="30"/>
        </w:rPr>
        <w:t>年</w:t>
      </w:r>
      <w:r>
        <w:rPr>
          <w:rFonts w:hint="eastAsia" w:ascii="仿宋" w:hAnsi="仿宋" w:eastAsia="仿宋" w:cs="仿宋"/>
          <w:sz w:val="30"/>
          <w:szCs w:val="30"/>
          <w:lang w:val="en-US" w:eastAsia="zh-CN"/>
        </w:rPr>
        <w:t>3</w:t>
      </w:r>
      <w:r>
        <w:rPr>
          <w:rFonts w:hint="eastAsia" w:ascii="仿宋" w:hAnsi="仿宋" w:eastAsia="仿宋" w:cs="仿宋"/>
          <w:sz w:val="30"/>
          <w:szCs w:val="30"/>
        </w:rPr>
        <w:t>月</w:t>
      </w:r>
      <w:r>
        <w:rPr>
          <w:rFonts w:hint="eastAsia" w:ascii="仿宋" w:hAnsi="仿宋" w:eastAsia="仿宋" w:cs="仿宋"/>
          <w:sz w:val="30"/>
          <w:szCs w:val="30"/>
          <w:lang w:val="en-US" w:eastAsia="zh-CN"/>
        </w:rPr>
        <w:t>15</w:t>
      </w:r>
      <w:r>
        <w:rPr>
          <w:rFonts w:hint="eastAsia" w:ascii="仿宋" w:hAnsi="仿宋" w:eastAsia="仿宋" w:cs="仿宋"/>
          <w:sz w:val="30"/>
          <w:szCs w:val="30"/>
        </w:rPr>
        <w:t>日</w:t>
      </w:r>
      <w:bookmarkStart w:id="0" w:name="_Toc453774154"/>
    </w:p>
    <w:p>
      <w:pPr>
        <w:pStyle w:val="2"/>
        <w:jc w:val="both"/>
        <w:rPr>
          <w:rFonts w:ascii="仿宋" w:hAnsi="仿宋" w:eastAsia="仿宋" w:cs="仿宋"/>
          <w:sz w:val="30"/>
          <w:szCs w:val="30"/>
        </w:rPr>
      </w:pPr>
      <w:r>
        <w:rPr>
          <w:rFonts w:hint="eastAsia" w:ascii="仿宋" w:hAnsi="仿宋" w:eastAsia="仿宋" w:cs="仿宋"/>
          <w:sz w:val="30"/>
          <w:szCs w:val="30"/>
        </w:rPr>
        <w:br w:type="page"/>
      </w:r>
    </w:p>
    <w:bookmarkEnd w:id="0"/>
    <w:p>
      <w:pPr>
        <w:spacing w:line="640" w:lineRule="exact"/>
        <w:rPr>
          <w:rFonts w:ascii="仿宋" w:hAnsi="仿宋" w:eastAsia="仿宋" w:cs="仿宋"/>
          <w:sz w:val="30"/>
          <w:szCs w:val="30"/>
        </w:rPr>
      </w:pPr>
      <w:r>
        <w:rPr>
          <w:rFonts w:hint="eastAsia" w:ascii="仿宋" w:hAnsi="仿宋" w:eastAsia="仿宋" w:cs="仿宋"/>
          <w:sz w:val="30"/>
          <w:szCs w:val="30"/>
        </w:rPr>
        <w:t>附件</w:t>
      </w:r>
      <w:r>
        <w:rPr>
          <w:rFonts w:hint="eastAsia" w:ascii="仿宋" w:hAnsi="仿宋" w:eastAsia="仿宋" w:cs="仿宋"/>
          <w:sz w:val="30"/>
          <w:szCs w:val="30"/>
          <w:lang w:val="en-US" w:eastAsia="zh-CN"/>
        </w:rPr>
        <w:t>一</w:t>
      </w:r>
      <w:r>
        <w:rPr>
          <w:rFonts w:hint="eastAsia" w:ascii="仿宋" w:hAnsi="仿宋" w:eastAsia="仿宋" w:cs="仿宋"/>
          <w:sz w:val="30"/>
          <w:szCs w:val="30"/>
        </w:rPr>
        <w:t>、</w:t>
      </w:r>
      <w:r>
        <w:rPr>
          <w:rFonts w:hint="eastAsia" w:ascii="仿宋" w:hAnsi="仿宋" w:eastAsia="仿宋" w:cs="仿宋"/>
          <w:bCs/>
          <w:sz w:val="30"/>
          <w:szCs w:val="30"/>
        </w:rPr>
        <w:t>《</w:t>
      </w:r>
      <w:r>
        <w:rPr>
          <w:rFonts w:hint="eastAsia" w:ascii="仿宋" w:hAnsi="仿宋" w:eastAsia="仿宋" w:cs="仿宋"/>
          <w:bCs/>
          <w:sz w:val="30"/>
          <w:szCs w:val="30"/>
          <w:lang w:eastAsia="zh-CN"/>
        </w:rPr>
        <w:t>价格评估</w:t>
      </w:r>
      <w:r>
        <w:rPr>
          <w:rFonts w:hint="eastAsia" w:ascii="仿宋" w:hAnsi="仿宋" w:eastAsia="仿宋" w:cs="仿宋"/>
          <w:bCs/>
          <w:sz w:val="30"/>
          <w:szCs w:val="30"/>
        </w:rPr>
        <w:t>技术报告》</w:t>
      </w:r>
    </w:p>
    <w:p>
      <w:pPr>
        <w:pStyle w:val="2"/>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b/>
          <w:bCs/>
          <w:spacing w:val="0"/>
          <w:kern w:val="2"/>
          <w:sz w:val="30"/>
          <w:szCs w:val="30"/>
          <w:lang w:val="en-US" w:eastAsia="zh-CN" w:bidi="ar-SA"/>
        </w:rPr>
      </w:pPr>
      <w:r>
        <w:rPr>
          <w:rFonts w:hint="eastAsia" w:ascii="仿宋" w:hAnsi="仿宋" w:eastAsia="仿宋" w:cs="仿宋"/>
          <w:b/>
          <w:bCs/>
          <w:spacing w:val="0"/>
          <w:kern w:val="2"/>
          <w:sz w:val="30"/>
          <w:szCs w:val="30"/>
          <w:lang w:val="en-US" w:eastAsia="zh-CN" w:bidi="ar-SA"/>
        </w:rPr>
        <w:t>价格评估技术报告</w:t>
      </w:r>
    </w:p>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42"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lang w:val="en-US" w:eastAsia="zh-CN"/>
        </w:rPr>
        <w:t>价格评估标的概况</w:t>
      </w:r>
    </w:p>
    <w:p>
      <w:pPr>
        <w:pageBreakBefore w:val="0"/>
        <w:widowControl w:val="0"/>
        <w:kinsoku/>
        <w:wordWrap/>
        <w:overflowPunct/>
        <w:topLinePunct w:val="0"/>
        <w:autoSpaceDE/>
        <w:autoSpaceDN/>
        <w:bidi w:val="0"/>
        <w:adjustRightInd/>
        <w:snapToGrid/>
        <w:spacing w:line="64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该标的</w:t>
      </w:r>
      <w:r>
        <w:rPr>
          <w:rFonts w:hint="eastAsia" w:ascii="仿宋" w:hAnsi="仿宋" w:eastAsia="仿宋" w:cs="仿宋"/>
          <w:sz w:val="30"/>
          <w:szCs w:val="30"/>
          <w:lang w:eastAsia="zh-CN"/>
        </w:rPr>
        <w:t>位于陕西省宁强县汉源街道办事处西街口新</w:t>
      </w:r>
      <w:r>
        <w:rPr>
          <w:rFonts w:hint="eastAsia" w:ascii="仿宋" w:hAnsi="仿宋" w:eastAsia="仿宋" w:cs="仿宋"/>
          <w:sz w:val="30"/>
          <w:szCs w:val="30"/>
          <w:lang w:val="en-US" w:eastAsia="zh-CN"/>
        </w:rPr>
        <w:t>4号楼，该栋楼共五层，砖混结构，坐北朝南，本次评估标的为该栋楼4单元三楼西户，房号为302室，房产证号为宁房权证宁字第11215号，建筑面积92.3㎡。该区域路网发达、交通便利，区域内有多路公交车通达，交通便捷，城市基础设施配套齐全，环境优越。室内进行了简单装修，地面为瓷砖，墙面及顶面为乳胶漆。</w:t>
      </w:r>
    </w:p>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42"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评估标的权益状况描述与分析</w:t>
      </w:r>
    </w:p>
    <w:p>
      <w:pPr>
        <w:pageBreakBefore w:val="0"/>
        <w:widowControl w:val="0"/>
        <w:numPr>
          <w:ilvl w:val="0"/>
          <w:numId w:val="12"/>
        </w:numPr>
        <w:kinsoku/>
        <w:wordWrap/>
        <w:overflowPunct/>
        <w:topLinePunct w:val="0"/>
        <w:autoSpaceDE/>
        <w:autoSpaceDN/>
        <w:bidi w:val="0"/>
        <w:adjustRightInd/>
        <w:snapToGrid/>
        <w:spacing w:line="640" w:lineRule="exact"/>
        <w:ind w:left="0" w:leftChars="0" w:firstLine="680" w:firstLineChars="200"/>
        <w:jc w:val="both"/>
        <w:textAlignment w:val="auto"/>
        <w:rPr>
          <w:rFonts w:ascii="仿宋" w:hAnsi="仿宋" w:eastAsia="仿宋" w:cs="仿宋"/>
          <w:spacing w:val="20"/>
          <w:sz w:val="30"/>
          <w:szCs w:val="30"/>
        </w:rPr>
      </w:pPr>
      <w:r>
        <w:rPr>
          <w:rFonts w:hint="eastAsia" w:ascii="仿宋" w:hAnsi="仿宋" w:eastAsia="仿宋" w:cs="仿宋"/>
          <w:spacing w:val="20"/>
          <w:sz w:val="30"/>
          <w:szCs w:val="30"/>
        </w:rPr>
        <w:t>权益状况</w:t>
      </w:r>
    </w:p>
    <w:p>
      <w:pPr>
        <w:pageBreakBefore w:val="0"/>
        <w:widowControl w:val="0"/>
        <w:kinsoku/>
        <w:wordWrap/>
        <w:overflowPunct/>
        <w:topLinePunct w:val="0"/>
        <w:autoSpaceDE/>
        <w:autoSpaceDN/>
        <w:bidi w:val="0"/>
        <w:adjustRightInd/>
        <w:snapToGrid/>
        <w:spacing w:line="640" w:lineRule="exact"/>
        <w:ind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根据委托方认定，确定房屋所有权人为杨涛。</w:t>
      </w:r>
    </w:p>
    <w:p>
      <w:pPr>
        <w:pageBreakBefore w:val="0"/>
        <w:widowControl w:val="0"/>
        <w:kinsoku/>
        <w:wordWrap/>
        <w:overflowPunct/>
        <w:topLinePunct w:val="0"/>
        <w:autoSpaceDE/>
        <w:autoSpaceDN/>
        <w:bidi w:val="0"/>
        <w:adjustRightInd/>
        <w:snapToGrid/>
        <w:spacing w:line="640" w:lineRule="exact"/>
        <w:ind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他项权利：本次评估不考虑房屋租赁、抵押、查封等因素对评估标的价值的影响。</w:t>
      </w:r>
    </w:p>
    <w:p>
      <w:pPr>
        <w:pageBreakBefore w:val="0"/>
        <w:widowControl w:val="0"/>
        <w:numPr>
          <w:ilvl w:val="0"/>
          <w:numId w:val="12"/>
        </w:numPr>
        <w:kinsoku/>
        <w:wordWrap/>
        <w:overflowPunct/>
        <w:topLinePunct w:val="0"/>
        <w:autoSpaceDE/>
        <w:autoSpaceDN/>
        <w:bidi w:val="0"/>
        <w:adjustRightInd/>
        <w:snapToGrid/>
        <w:spacing w:line="640" w:lineRule="exact"/>
        <w:ind w:left="0" w:leftChars="0" w:firstLine="680" w:firstLineChars="200"/>
        <w:jc w:val="both"/>
        <w:textAlignment w:val="auto"/>
        <w:rPr>
          <w:rFonts w:ascii="仿宋" w:hAnsi="仿宋" w:eastAsia="仿宋" w:cs="仿宋"/>
          <w:bCs/>
          <w:spacing w:val="20"/>
          <w:sz w:val="30"/>
          <w:szCs w:val="30"/>
        </w:rPr>
      </w:pPr>
      <w:r>
        <w:rPr>
          <w:rFonts w:hint="eastAsia" w:ascii="仿宋" w:hAnsi="仿宋" w:eastAsia="仿宋" w:cs="仿宋"/>
          <w:bCs/>
          <w:spacing w:val="20"/>
          <w:sz w:val="30"/>
          <w:szCs w:val="30"/>
        </w:rPr>
        <w:t>物质实体状况</w:t>
      </w:r>
    </w:p>
    <w:p>
      <w:pPr>
        <w:pageBreakBefore w:val="0"/>
        <w:widowControl w:val="0"/>
        <w:kinsoku/>
        <w:wordWrap/>
        <w:overflowPunct/>
        <w:topLinePunct w:val="0"/>
        <w:autoSpaceDE/>
        <w:autoSpaceDN/>
        <w:bidi w:val="0"/>
        <w:adjustRightInd/>
        <w:snapToGrid/>
        <w:spacing w:line="640" w:lineRule="exact"/>
        <w:ind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建筑物物质实体状况，详见建筑物物质实体状况一览表：</w:t>
      </w:r>
    </w:p>
    <w:tbl>
      <w:tblPr>
        <w:tblStyle w:val="6"/>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89"/>
        <w:gridCol w:w="1456"/>
        <w:gridCol w:w="2780"/>
        <w:gridCol w:w="1456"/>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91" w:hRule="atLeast"/>
        </w:trPr>
        <w:tc>
          <w:tcPr>
            <w:tcW w:w="8336" w:type="dxa"/>
            <w:gridSpan w:val="5"/>
            <w:shd w:val="clear" w:color="auto" w:fill="auto"/>
            <w:vAlign w:val="center"/>
          </w:tcPr>
          <w:p>
            <w:pPr>
              <w:keepNext w:val="0"/>
              <w:keepLines w:val="0"/>
              <w:widowControl/>
              <w:suppressLineNumbers w:val="0"/>
              <w:jc w:val="center"/>
              <w:textAlignment w:val="center"/>
              <w:rPr>
                <w:rFonts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建筑物物质实体状况一览表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1" w:hRule="atLeast"/>
        </w:trPr>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000000"/>
                <w:sz w:val="24"/>
                <w:szCs w:val="24"/>
                <w:u w:val="none"/>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结构</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面积(平方米)</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层数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1" w:hRule="atLeast"/>
        </w:trPr>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混合</w:t>
            </w:r>
          </w:p>
        </w:tc>
        <w:tc>
          <w:tcPr>
            <w:tcW w:w="2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92.3</w:t>
            </w:r>
          </w:p>
        </w:tc>
        <w:tc>
          <w:tcPr>
            <w:tcW w:w="1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1" w:hRule="atLeast"/>
        </w:trPr>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合计</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92.3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w:t>
            </w:r>
          </w:p>
        </w:tc>
      </w:tr>
    </w:tbl>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02" w:firstLineChars="200"/>
        <w:jc w:val="both"/>
        <w:textAlignment w:val="auto"/>
        <w:rPr>
          <w:rFonts w:hint="eastAsia" w:ascii="仿宋" w:hAnsi="仿宋" w:eastAsia="仿宋" w:cs="仿宋"/>
          <w:b w:val="0"/>
          <w:bCs w:val="0"/>
          <w:spacing w:val="0"/>
          <w:kern w:val="2"/>
          <w:sz w:val="30"/>
          <w:szCs w:val="30"/>
          <w:lang w:val="en-US" w:eastAsia="zh-CN" w:bidi="ar-SA"/>
        </w:rPr>
      </w:pPr>
      <w:bookmarkStart w:id="1" w:name="_Toc453774157"/>
      <w:bookmarkStart w:id="2" w:name="_Toc329871102"/>
      <w:bookmarkStart w:id="3" w:name="_Toc382915553"/>
      <w:bookmarkStart w:id="4" w:name="_Toc365441321"/>
      <w:bookmarkStart w:id="5" w:name="_Toc345333555"/>
      <w:bookmarkStart w:id="6" w:name="_Toc342656472"/>
      <w:r>
        <w:rPr>
          <w:rFonts w:hint="eastAsia" w:ascii="仿宋" w:hAnsi="仿宋" w:eastAsia="仿宋" w:cs="仿宋"/>
          <w:b/>
          <w:bCs/>
          <w:spacing w:val="0"/>
          <w:kern w:val="2"/>
          <w:sz w:val="30"/>
          <w:szCs w:val="30"/>
          <w:lang w:val="en-US" w:eastAsia="zh-CN" w:bidi="ar-SA"/>
        </w:rPr>
        <w:t>价格评估客观经济因素分析</w:t>
      </w:r>
    </w:p>
    <w:p>
      <w:pPr>
        <w:pageBreakBefore w:val="0"/>
        <w:widowControl w:val="0"/>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宁强县位于陕西省西南部，北依秦岭南麓，南屏巴山北坡，地处秦岭和巴山两大山系交汇地带，地形多呈“V”型构造，境内东南高，西北低，东西长101.65公里，南北宽65.32公里，总面积3246.8平方公里。全县辖16个镇，2个街道办事处，200个行政村，总人口34万人。宁强县是一个南北交汇、襟陇带蜀的山区县，是大西北进入大西南的主要门户和黄金通道。宝成、阳安铁路纵横县境，108国道、西汉高速公路、西成高铁穿境而过。宁强县是汉江的发源地，素有“三千里汉江第一城”之美誉。2017年全年实现生产总值83.3亿元，地方财政收入1.22亿元，城镇、农村常住人口人均可支配收入分别达到27788元、9555元，自2017年初以来，宁强县商品房均价呈平稳上升趋势，目前已达到历年来房价最高峰，房价是反映市场行情的第一要素。总体而言，从2017年开始，平稳上升的房价可使楼市处于回暖上升的状态。</w:t>
      </w:r>
    </w:p>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02" w:firstLineChars="200"/>
        <w:jc w:val="both"/>
        <w:textAlignment w:val="auto"/>
        <w:rPr>
          <w:rFonts w:hint="eastAsia" w:ascii="仿宋" w:hAnsi="仿宋" w:eastAsia="仿宋" w:cs="仿宋"/>
          <w:b/>
          <w:bCs/>
          <w:spacing w:val="0"/>
          <w:kern w:val="2"/>
          <w:sz w:val="30"/>
          <w:szCs w:val="30"/>
          <w:lang w:val="en-US" w:eastAsia="zh-CN" w:bidi="ar-SA"/>
        </w:rPr>
      </w:pPr>
      <w:r>
        <w:rPr>
          <w:rFonts w:hint="eastAsia" w:ascii="仿宋" w:hAnsi="仿宋" w:eastAsia="仿宋" w:cs="仿宋"/>
          <w:b/>
          <w:bCs/>
          <w:spacing w:val="0"/>
          <w:kern w:val="2"/>
          <w:sz w:val="30"/>
          <w:szCs w:val="30"/>
          <w:lang w:val="en-US" w:eastAsia="zh-CN" w:bidi="ar-SA"/>
        </w:rPr>
        <w:t>价格评估标的区域因素</w:t>
      </w:r>
    </w:p>
    <w:p>
      <w:pPr>
        <w:pageBreakBefore w:val="0"/>
        <w:widowControl w:val="0"/>
        <w:numPr>
          <w:ilvl w:val="0"/>
          <w:numId w:val="0"/>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该标的位于</w:t>
      </w:r>
      <w:r>
        <w:rPr>
          <w:rFonts w:hint="eastAsia" w:ascii="仿宋" w:hAnsi="仿宋" w:eastAsia="仿宋" w:cs="仿宋"/>
          <w:sz w:val="30"/>
          <w:szCs w:val="30"/>
          <w:lang w:eastAsia="zh-CN"/>
        </w:rPr>
        <w:t>陕西省宁强县汉源街道办事处西街口</w:t>
      </w:r>
      <w:r>
        <w:rPr>
          <w:rFonts w:hint="eastAsia" w:ascii="仿宋" w:hAnsi="仿宋" w:eastAsia="仿宋" w:cs="仿宋"/>
          <w:b w:val="0"/>
          <w:bCs w:val="0"/>
          <w:spacing w:val="0"/>
          <w:kern w:val="2"/>
          <w:sz w:val="30"/>
          <w:szCs w:val="30"/>
          <w:lang w:val="en-US" w:eastAsia="zh-CN" w:bidi="ar-SA"/>
        </w:rPr>
        <w:t>，该区域城市配套设施完善，周边学校、银行、邮政、宾馆、餐厅、超市等生活服务设施齐全，临南大街、北大街、西大街、东大街，交通便捷，属宁强县中心区域，环境较好。</w:t>
      </w:r>
    </w:p>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02" w:firstLineChars="200"/>
        <w:jc w:val="both"/>
        <w:textAlignment w:val="auto"/>
        <w:rPr>
          <w:rFonts w:hint="eastAsia" w:ascii="仿宋" w:hAnsi="仿宋" w:eastAsia="仿宋" w:cs="仿宋"/>
          <w:b/>
          <w:bCs/>
          <w:spacing w:val="0"/>
          <w:kern w:val="2"/>
          <w:sz w:val="30"/>
          <w:szCs w:val="30"/>
          <w:lang w:val="en-US" w:eastAsia="zh-CN" w:bidi="ar-SA"/>
        </w:rPr>
      </w:pPr>
      <w:r>
        <w:rPr>
          <w:rFonts w:hint="eastAsia" w:ascii="仿宋" w:hAnsi="仿宋" w:eastAsia="仿宋" w:cs="仿宋"/>
          <w:b/>
          <w:bCs/>
          <w:spacing w:val="0"/>
          <w:kern w:val="2"/>
          <w:sz w:val="30"/>
          <w:szCs w:val="30"/>
          <w:lang w:val="en-US" w:eastAsia="zh-CN" w:bidi="ar-SA"/>
        </w:rPr>
        <w:t>价格评估原则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合法原则；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最高最佳使用原则；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替代原则；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时点原则；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预期收益原则；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贡献原则；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客观、公正原则；</w:t>
      </w:r>
    </w:p>
    <w:p>
      <w:pPr>
        <w:pageBreakBefore w:val="0"/>
        <w:widowControl w:val="0"/>
        <w:numPr>
          <w:ilvl w:val="0"/>
          <w:numId w:val="13"/>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综合分析原则。</w:t>
      </w:r>
    </w:p>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02" w:firstLineChars="200"/>
        <w:jc w:val="both"/>
        <w:textAlignment w:val="auto"/>
        <w:rPr>
          <w:rFonts w:hint="eastAsia" w:ascii="仿宋" w:hAnsi="仿宋" w:eastAsia="仿宋" w:cs="仿宋"/>
          <w:b/>
          <w:bCs/>
          <w:spacing w:val="0"/>
          <w:kern w:val="2"/>
          <w:sz w:val="30"/>
          <w:szCs w:val="30"/>
          <w:lang w:val="en-US" w:eastAsia="zh-CN" w:bidi="ar-SA"/>
        </w:rPr>
      </w:pPr>
      <w:r>
        <w:rPr>
          <w:rFonts w:hint="eastAsia" w:ascii="仿宋" w:hAnsi="仿宋" w:eastAsia="仿宋" w:cs="仿宋"/>
          <w:b/>
          <w:bCs/>
          <w:spacing w:val="0"/>
          <w:kern w:val="2"/>
          <w:sz w:val="30"/>
          <w:szCs w:val="30"/>
          <w:lang w:val="en-US" w:eastAsia="zh-CN" w:bidi="ar-SA"/>
        </w:rPr>
        <w:t>评估标的最高最佳利用分析</w:t>
      </w:r>
      <w:bookmarkEnd w:id="1"/>
    </w:p>
    <w:p>
      <w:pPr>
        <w:pageBreakBefore w:val="0"/>
        <w:widowControl w:val="0"/>
        <w:numPr>
          <w:ilvl w:val="0"/>
          <w:numId w:val="0"/>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房地产评估要以评估标的的最高最佳使用为前提进行。最高最佳使用是指法律上允许、技术上可能、经济上可行、经过充分合理的论证，能使评估标的的价值达到最大化的一种最可能的使用。</w:t>
      </w:r>
    </w:p>
    <w:p>
      <w:pPr>
        <w:pageBreakBefore w:val="0"/>
        <w:widowControl w:val="0"/>
        <w:numPr>
          <w:ilvl w:val="0"/>
          <w:numId w:val="14"/>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法律上的许可性。即不受现时使用状况的限制，而依据法律、城市发展规划的规定。</w:t>
      </w:r>
    </w:p>
    <w:p>
      <w:pPr>
        <w:pageBreakBefore w:val="0"/>
        <w:widowControl w:val="0"/>
        <w:numPr>
          <w:ilvl w:val="0"/>
          <w:numId w:val="14"/>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技术上的可能性。即不能把技术上无法做到的使用当作最高最佳使用，要按照每一种使用方式在技术上是否能够实现，包括建筑材料性能、施工技术手段等的要求来确定。</w:t>
      </w:r>
    </w:p>
    <w:p>
      <w:pPr>
        <w:pageBreakBefore w:val="0"/>
        <w:widowControl w:val="0"/>
        <w:numPr>
          <w:ilvl w:val="0"/>
          <w:numId w:val="14"/>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经济上的可行性。即在各种可能的使用方式中，选择收入大于支出现值的方式，寻求经济上有限的投入而获得最大收益的使用方式。</w:t>
      </w:r>
    </w:p>
    <w:p>
      <w:pPr>
        <w:pageBreakBefore w:val="0"/>
        <w:widowControl w:val="0"/>
        <w:numPr>
          <w:ilvl w:val="0"/>
          <w:numId w:val="14"/>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价值最大化。使估价对象的价值在具有经济可行性的使用方式中达到最大化。</w:t>
      </w:r>
    </w:p>
    <w:p>
      <w:pPr>
        <w:pageBreakBefore w:val="0"/>
        <w:widowControl w:val="0"/>
        <w:numPr>
          <w:ilvl w:val="0"/>
          <w:numId w:val="0"/>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根据以上标准以及委托人提供的相关资料复印件并结合现场查勘，评估标的从设计到使用情况看，最高最佳使用应为住宅用途，因此本次按照住宅用途进行评估。</w:t>
      </w:r>
      <w:bookmarkStart w:id="7" w:name="_Toc342656471"/>
      <w:bookmarkStart w:id="8" w:name="_Toc382915552"/>
      <w:bookmarkStart w:id="9" w:name="_Toc453774158"/>
      <w:bookmarkStart w:id="10" w:name="_Toc329871101"/>
      <w:bookmarkStart w:id="11" w:name="_Toc365441320"/>
      <w:bookmarkStart w:id="12" w:name="_Toc345333554"/>
    </w:p>
    <w:bookmarkEnd w:id="7"/>
    <w:bookmarkEnd w:id="8"/>
    <w:bookmarkEnd w:id="9"/>
    <w:bookmarkEnd w:id="10"/>
    <w:bookmarkEnd w:id="11"/>
    <w:bookmarkEnd w:id="12"/>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42" w:firstLineChars="200"/>
        <w:jc w:val="both"/>
        <w:textAlignment w:val="auto"/>
        <w:rPr>
          <w:rFonts w:hint="eastAsia" w:ascii="仿宋" w:hAnsi="仿宋" w:eastAsia="仿宋" w:cs="仿宋"/>
          <w:lang w:val="en-US" w:eastAsia="zh-CN"/>
        </w:rPr>
      </w:pPr>
      <w:r>
        <w:rPr>
          <w:rFonts w:hint="eastAsia" w:ascii="仿宋" w:hAnsi="仿宋" w:eastAsia="仿宋" w:cs="仿宋"/>
          <w:lang w:val="en-US" w:eastAsia="zh-CN"/>
        </w:rPr>
        <w:t>评估方法的选择</w:t>
      </w:r>
    </w:p>
    <w:p>
      <w:pPr>
        <w:pageBreakBefore w:val="0"/>
        <w:widowControl w:val="0"/>
        <w:numPr>
          <w:ilvl w:val="0"/>
          <w:numId w:val="0"/>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根据《房地产估价规范》，通行的评估方法有市场比较法、收益法、成本法、假设开发法、基准地价系数修正法等。评估方法的选择应按照房地产评估的技术规程，根据陕西省</w:t>
      </w:r>
      <w:bookmarkStart w:id="16" w:name="_GoBack"/>
      <w:bookmarkEnd w:id="16"/>
      <w:r>
        <w:rPr>
          <w:rFonts w:hint="eastAsia" w:ascii="仿宋" w:hAnsi="仿宋" w:eastAsia="仿宋" w:cs="仿宋"/>
          <w:b w:val="0"/>
          <w:bCs w:val="0"/>
          <w:spacing w:val="0"/>
          <w:kern w:val="2"/>
          <w:sz w:val="30"/>
          <w:szCs w:val="30"/>
          <w:lang w:val="en-US" w:eastAsia="zh-CN" w:bidi="ar-SA"/>
        </w:rPr>
        <w:t>宁强县房地产市场发育情况并结合评估标的的具体特点及评估目的等，在遵循评估原则的前提下，采用科学、合理的方法进行评估测算，根据评估目的及标的实际，本评估报告采用市场比较法进行评估。</w:t>
      </w:r>
    </w:p>
    <w:p>
      <w:pPr>
        <w:pageBreakBefore w:val="0"/>
        <w:widowControl w:val="0"/>
        <w:numPr>
          <w:ilvl w:val="0"/>
          <w:numId w:val="0"/>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市场比较法是选择一定数量、符合一定条件、发生过交易的类似房地产，然后将它们与评估标的进行比较，对它们的实际成交价格进行适当处理来求取评估标的值的方法。市场法适用的估价对象是同种类型的数量较多且经常发生交易的房地产，如住宅、写字楼、商铺、标准厂房和房地产开发用地；对于数量较少的房地产，很少发生交易的房地产，可比性差的房地产，如特殊厂房、码头、机场、古建筑、学校、医院、在建工程等，则难以采用市场比较法进行评估。</w:t>
      </w:r>
    </w:p>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02" w:firstLineChars="200"/>
        <w:jc w:val="both"/>
        <w:textAlignment w:val="auto"/>
        <w:rPr>
          <w:rFonts w:hint="eastAsia" w:ascii="仿宋" w:hAnsi="仿宋" w:eastAsia="仿宋" w:cs="仿宋"/>
          <w:b/>
          <w:bCs/>
          <w:spacing w:val="0"/>
          <w:kern w:val="2"/>
          <w:sz w:val="30"/>
          <w:szCs w:val="30"/>
          <w:lang w:val="en-US" w:eastAsia="zh-CN" w:bidi="ar-SA"/>
        </w:rPr>
      </w:pPr>
      <w:bookmarkStart w:id="13" w:name="_Toc453774159"/>
      <w:r>
        <w:rPr>
          <w:rFonts w:hint="eastAsia" w:ascii="仿宋" w:hAnsi="仿宋" w:eastAsia="仿宋" w:cs="仿宋"/>
          <w:b/>
          <w:bCs/>
          <w:spacing w:val="0"/>
          <w:kern w:val="2"/>
          <w:sz w:val="30"/>
          <w:szCs w:val="30"/>
          <w:lang w:val="en-US" w:eastAsia="zh-CN" w:bidi="ar-SA"/>
        </w:rPr>
        <w:t>价格评估过程</w:t>
      </w:r>
      <w:bookmarkEnd w:id="2"/>
      <w:bookmarkEnd w:id="3"/>
      <w:bookmarkEnd w:id="4"/>
      <w:bookmarkEnd w:id="5"/>
      <w:bookmarkEnd w:id="6"/>
      <w:bookmarkEnd w:id="13"/>
    </w:p>
    <w:p>
      <w:pPr>
        <w:pageBreakBefore w:val="0"/>
        <w:widowControl w:val="0"/>
        <w:numPr>
          <w:ilvl w:val="0"/>
          <w:numId w:val="15"/>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基本原理</w:t>
      </w:r>
    </w:p>
    <w:p>
      <w:pPr>
        <w:pageBreakBefore w:val="0"/>
        <w:widowControl w:val="0"/>
        <w:numPr>
          <w:ilvl w:val="0"/>
          <w:numId w:val="0"/>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市场比较法：是价格评估标的在近期有过交易的类似案例进行交易情况修正，区域因素修正，个别因素修正以此求得评估标的在评估基准日的正常价格。</w:t>
      </w:r>
    </w:p>
    <w:p>
      <w:pPr>
        <w:pageBreakBefore w:val="0"/>
        <w:widowControl w:val="0"/>
        <w:numPr>
          <w:ilvl w:val="0"/>
          <w:numId w:val="15"/>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价格评估过程</w:t>
      </w:r>
    </w:p>
    <w:p>
      <w:pPr>
        <w:pageBreakBefore w:val="0"/>
        <w:widowControl w:val="0"/>
        <w:numPr>
          <w:ilvl w:val="0"/>
          <w:numId w:val="16"/>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评估标的状况。</w:t>
      </w:r>
    </w:p>
    <w:p>
      <w:pPr>
        <w:pageBreakBefore w:val="0"/>
        <w:widowControl w:val="0"/>
        <w:numPr>
          <w:ilvl w:val="0"/>
          <w:numId w:val="0"/>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建筑结构：混合；建筑面积： 92.3平方米；建筑总层数： 5；所属层数：3层。</w:t>
      </w:r>
    </w:p>
    <w:p>
      <w:pPr>
        <w:pageBreakBefore w:val="0"/>
        <w:widowControl w:val="0"/>
        <w:numPr>
          <w:ilvl w:val="0"/>
          <w:numId w:val="16"/>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价格评估测算过程</w:t>
      </w:r>
    </w:p>
    <w:p>
      <w:pPr>
        <w:keepNext w:val="0"/>
        <w:keepLines w:val="0"/>
        <w:pageBreakBefore w:val="0"/>
        <w:widowControl w:val="0"/>
        <w:numPr>
          <w:ilvl w:val="0"/>
          <w:numId w:val="17"/>
        </w:numPr>
        <w:kinsoku/>
        <w:wordWrap/>
        <w:overflowPunct/>
        <w:topLinePunct w:val="0"/>
        <w:autoSpaceDE/>
        <w:autoSpaceDN/>
        <w:bidi w:val="0"/>
        <w:adjustRightInd/>
        <w:snapToGrid/>
        <w:spacing w:line="640" w:lineRule="exact"/>
        <w:ind w:left="0"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交易案件比较因素条件指数的确定。以评估标的的各因素条件为基础，将比较案例相应条件与评估标的相比较，确定相应指数，各指数具体修正比例说明如表一。</w:t>
      </w:r>
      <w:bookmarkStart w:id="14" w:name="_Toc453774160"/>
      <w:bookmarkStart w:id="15" w:name="_Toc406059449"/>
    </w:p>
    <w:tbl>
      <w:tblPr>
        <w:tblStyle w:val="6"/>
        <w:tblpPr w:leftFromText="180" w:rightFromText="180" w:vertAnchor="text" w:horzAnchor="page" w:tblpX="1776" w:tblpY="378"/>
        <w:tblOverlap w:val="never"/>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91"/>
        <w:gridCol w:w="2230"/>
        <w:gridCol w:w="1845"/>
        <w:gridCol w:w="1691"/>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8336" w:type="dxa"/>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4"/>
                <w:szCs w:val="24"/>
                <w:u w:val="none"/>
                <w:lang w:val="en-US" w:eastAsia="zh-CN" w:bidi="ar"/>
              </w:rPr>
              <w:t>比较因素修正系数表        表一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89" w:hRule="atLeast"/>
        </w:trPr>
        <w:tc>
          <w:tcPr>
            <w:tcW w:w="3121"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sz w:val="22"/>
              </w:rPr>
              <mc:AlternateContent>
                <mc:Choice Requires="wps">
                  <w:drawing>
                    <wp:anchor distT="0" distB="0" distL="114300" distR="114300" simplePos="0" relativeHeight="252541952" behindDoc="0" locked="0" layoutInCell="1" allowOverlap="1">
                      <wp:simplePos x="0" y="0"/>
                      <wp:positionH relativeFrom="column">
                        <wp:posOffset>-24765</wp:posOffset>
                      </wp:positionH>
                      <wp:positionV relativeFrom="paragraph">
                        <wp:posOffset>-12065</wp:posOffset>
                      </wp:positionV>
                      <wp:extent cx="1993900" cy="502920"/>
                      <wp:effectExtent l="1270" t="4445" r="5080" b="6985"/>
                      <wp:wrapNone/>
                      <wp:docPr id="17" name="直接连接符 17"/>
                      <wp:cNvGraphicFramePr/>
                      <a:graphic xmlns:a="http://schemas.openxmlformats.org/drawingml/2006/main">
                        <a:graphicData uri="http://schemas.microsoft.com/office/word/2010/wordprocessingShape">
                          <wps:wsp>
                            <wps:cNvCnPr/>
                            <wps:spPr>
                              <a:xfrm>
                                <a:off x="0" y="0"/>
                                <a:ext cx="1993900" cy="502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5pt;margin-top:-0.95pt;height:39.6pt;width:157pt;z-index:252541952;mso-width-relative:page;mso-height-relative:page;" filled="f" stroked="t" coordsize="21600,21600" o:gfxdata="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j+9CC1gAAAAgBAAAP&#10;AAAAAAAAAAEAIAAAACIAAABkcnMvZG93bnJldi54bWxQSwECFAAUAAAACACHTuJAzrzpZOEBAACd&#10;AwAADgAAAAAAAAABACAAAAAlAQAAZHJzL2Uyb0RvYy54bWxQSwUGAAAAAAYABgBZAQAAeAUAAAAA&#10;">
                      <v:fill on="f" focussize="0,0"/>
                      <v:stroke color="#000000" joinstyle="round"/>
                      <v:imagedata o:title=""/>
                      <o:lock v:ext="edit" aspectratio="f"/>
                    </v:line>
                  </w:pict>
                </mc:Fallback>
              </mc:AlternateContent>
            </w:r>
            <w:r>
              <w:rPr>
                <w:rFonts w:hint="eastAsia" w:ascii="宋体" w:hAnsi="宋体" w:eastAsia="宋体" w:cs="宋体"/>
                <w:i w:val="0"/>
                <w:color w:val="000000"/>
                <w:kern w:val="0"/>
                <w:sz w:val="22"/>
                <w:szCs w:val="22"/>
                <w:u w:val="none"/>
                <w:lang w:val="en-US" w:eastAsia="zh-CN" w:bidi="ar"/>
              </w:rPr>
              <w:t xml:space="preserve">比较案例 </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可比实例A</w:t>
            </w: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可比实例B</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可比实例C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47" w:hRule="atLeast"/>
        </w:trPr>
        <w:tc>
          <w:tcPr>
            <w:tcW w:w="3121"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用途</w:t>
            </w: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66" w:hRule="atLeast"/>
        </w:trPr>
        <w:tc>
          <w:tcPr>
            <w:tcW w:w="891" w:type="dxa"/>
            <w:vMerge w:val="restart"/>
            <w:tcBorders>
              <w:top w:val="single" w:color="000000" w:sz="4" w:space="0"/>
              <w:left w:val="single" w:color="000000" w:sz="4" w:space="0"/>
              <w:right w:val="single" w:color="000000" w:sz="4" w:space="0"/>
            </w:tcBorders>
            <w:shd w:val="clear" w:color="auto" w:fill="auto"/>
            <w:textDirection w:val="tbLrV"/>
            <w:vAlign w:val="center"/>
          </w:tcPr>
          <w:p>
            <w:pPr>
              <w:keepNext w:val="0"/>
              <w:keepLines w:val="0"/>
              <w:widowControl/>
              <w:suppressLineNumbers w:val="0"/>
              <w:ind w:left="113" w:right="113"/>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一般因素</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建筑用途</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1" w:hRule="atLeast"/>
        </w:trPr>
        <w:tc>
          <w:tcPr>
            <w:tcW w:w="89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交易情况</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1" w:hRule="atLeast"/>
        </w:trPr>
        <w:tc>
          <w:tcPr>
            <w:tcW w:w="89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交易日期</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100/10</w:t>
            </w:r>
            <w:r>
              <w:rPr>
                <w:rFonts w:hint="eastAsia" w:ascii="宋体" w:hAnsi="宋体" w:cs="宋体"/>
                <w:i w:val="0"/>
                <w:color w:val="000000"/>
                <w:kern w:val="0"/>
                <w:sz w:val="22"/>
                <w:szCs w:val="22"/>
                <w:u w:val="none"/>
                <w:lang w:val="en-US" w:eastAsia="zh-CN" w:bidi="ar"/>
              </w:rPr>
              <w:t>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1" w:hRule="atLeast"/>
        </w:trPr>
        <w:tc>
          <w:tcPr>
            <w:tcW w:w="89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交易方式</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7"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区域因素</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交通条件</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100/</w:t>
            </w:r>
            <w:r>
              <w:rPr>
                <w:rFonts w:hint="eastAsia" w:ascii="宋体" w:hAnsi="宋体" w:cs="宋体"/>
                <w:i w:val="0"/>
                <w:color w:val="000000"/>
                <w:kern w:val="0"/>
                <w:sz w:val="22"/>
                <w:szCs w:val="22"/>
                <w:u w:val="none"/>
                <w:lang w:val="en-US" w:eastAsia="zh-CN" w:bidi="ar"/>
              </w:rPr>
              <w:t>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52"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环境质量度</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0"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基础设施配套程度</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05"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区域繁华度</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100/95</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100/9</w:t>
            </w:r>
            <w:r>
              <w:rPr>
                <w:rFonts w:hint="eastAsia" w:ascii="宋体" w:hAnsi="宋体" w:cs="宋体"/>
                <w:i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产业集聚程度</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100/95</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84"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个别因素</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建筑结构</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100/100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4"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i w:val="0"/>
                <w:color w:val="000000"/>
                <w:sz w:val="22"/>
                <w:szCs w:val="22"/>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建筑物状况</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100/1</w:t>
            </w:r>
            <w:r>
              <w:rPr>
                <w:rFonts w:hint="eastAsia" w:ascii="宋体" w:hAnsi="宋体" w:cs="宋体"/>
                <w:i w:val="0"/>
                <w:color w:val="000000"/>
                <w:kern w:val="0"/>
                <w:sz w:val="22"/>
                <w:szCs w:val="22"/>
                <w:u w:val="none"/>
                <w:lang w:val="en-US" w:eastAsia="zh-CN" w:bidi="ar"/>
              </w:rPr>
              <w:t>05</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100/10</w:t>
            </w:r>
            <w:r>
              <w:rPr>
                <w:rFonts w:hint="eastAsia" w:ascii="宋体" w:hAnsi="宋体" w:cs="宋体"/>
                <w:i w:val="0"/>
                <w:color w:val="000000"/>
                <w:kern w:val="0"/>
                <w:sz w:val="22"/>
                <w:szCs w:val="22"/>
                <w:u w:val="none"/>
                <w:lang w:val="en-US" w:eastAsia="zh-CN" w:bidi="ar"/>
              </w:rPr>
              <w:t>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100/110</w:t>
            </w:r>
          </w:p>
        </w:tc>
      </w:tr>
    </w:tbl>
    <w:p>
      <w:pPr>
        <w:keepNext w:val="0"/>
        <w:keepLines w:val="0"/>
        <w:pageBreakBefore w:val="0"/>
        <w:widowControl w:val="0"/>
        <w:numPr>
          <w:ilvl w:val="0"/>
          <w:numId w:val="17"/>
        </w:numPr>
        <w:kinsoku/>
        <w:wordWrap/>
        <w:overflowPunct/>
        <w:topLinePunct w:val="0"/>
        <w:autoSpaceDE/>
        <w:autoSpaceDN/>
        <w:bidi w:val="0"/>
        <w:adjustRightInd/>
        <w:snapToGrid/>
        <w:spacing w:line="640" w:lineRule="exact"/>
        <w:ind w:left="0" w:leftChars="0" w:firstLine="600" w:firstLineChars="200"/>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比准价格的确定（见表二）</w:t>
      </w:r>
    </w:p>
    <w:tbl>
      <w:tblPr>
        <w:tblStyle w:val="6"/>
        <w:tblpPr w:leftFromText="180" w:rightFromText="180" w:vertAnchor="text" w:horzAnchor="page" w:tblpX="1694" w:tblpY="268"/>
        <w:tblOverlap w:val="never"/>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70"/>
        <w:gridCol w:w="1559"/>
        <w:gridCol w:w="1585"/>
        <w:gridCol w:w="1507"/>
        <w:gridCol w:w="1443"/>
        <w:gridCol w:w="1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8336" w:type="dxa"/>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4"/>
                <w:szCs w:val="24"/>
                <w:u w:val="none"/>
                <w:lang w:val="en-US" w:eastAsia="zh-CN" w:bidi="ar"/>
              </w:rPr>
              <w:t>比准价格表     表二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编号</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交易单价</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一般因素修正</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区域因素修正</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个别因素修正</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比准价格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A</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2600</w:t>
            </w:r>
            <w:r>
              <w:rPr>
                <w:rFonts w:hint="eastAsia" w:ascii="宋体" w:hAnsi="宋体" w:eastAsia="宋体" w:cs="宋体"/>
                <w:i w:val="0"/>
                <w:color w:val="000000"/>
                <w:kern w:val="0"/>
                <w:sz w:val="22"/>
                <w:szCs w:val="22"/>
                <w:u w:val="none"/>
                <w:lang w:val="en-US" w:eastAsia="zh-CN" w:bidi="ar"/>
              </w:rPr>
              <w:t xml:space="preserve">.00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r>
              <w:rPr>
                <w:rFonts w:hint="eastAsia" w:ascii="宋体" w:hAnsi="宋体" w:cs="宋体"/>
                <w:i w:val="0"/>
                <w:color w:val="000000"/>
                <w:kern w:val="0"/>
                <w:sz w:val="22"/>
                <w:szCs w:val="22"/>
                <w:u w:val="none"/>
                <w:lang w:val="en-US" w:eastAsia="zh-CN" w:bidi="ar"/>
              </w:rPr>
              <w:t>10.8</w:t>
            </w:r>
            <w:r>
              <w:rPr>
                <w:rFonts w:hint="eastAsia" w:ascii="宋体" w:hAnsi="宋体" w:eastAsia="宋体" w:cs="宋体"/>
                <w:i w:val="0"/>
                <w:color w:val="000000"/>
                <w:kern w:val="0"/>
                <w:sz w:val="22"/>
                <w:szCs w:val="22"/>
                <w:u w:val="none"/>
                <w:lang w:val="en-US" w:eastAsia="zh-CN" w:bidi="ar"/>
              </w:rPr>
              <w:t>%</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5.23</w:t>
            </w:r>
            <w:r>
              <w:rPr>
                <w:rFonts w:hint="eastAsia" w:ascii="宋体" w:hAnsi="宋体" w:eastAsia="宋体" w:cs="宋体"/>
                <w:i w:val="0"/>
                <w:color w:val="000000"/>
                <w:kern w:val="0"/>
                <w:sz w:val="22"/>
                <w:szCs w:val="22"/>
                <w:u w:val="none"/>
                <w:lang w:val="en-US" w:eastAsia="zh-CN" w:bidi="ar"/>
              </w:rPr>
              <w:t>%</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2743</w:t>
            </w:r>
            <w:r>
              <w:rPr>
                <w:rFonts w:hint="eastAsia" w:ascii="宋体" w:hAnsi="宋体" w:eastAsia="宋体" w:cs="宋体"/>
                <w:i w:val="0"/>
                <w:color w:val="000000"/>
                <w:kern w:val="0"/>
                <w:sz w:val="22"/>
                <w:szCs w:val="22"/>
                <w:u w:val="none"/>
                <w:lang w:val="en-US" w:eastAsia="zh-CN" w:bidi="ar"/>
              </w:rPr>
              <w:t xml:space="preserve">.00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2800</w:t>
            </w:r>
            <w:r>
              <w:rPr>
                <w:rFonts w:hint="eastAsia" w:ascii="宋体" w:hAnsi="宋体" w:eastAsia="宋体" w:cs="宋体"/>
                <w:i w:val="0"/>
                <w:color w:val="000000"/>
                <w:kern w:val="0"/>
                <w:sz w:val="22"/>
                <w:szCs w:val="22"/>
                <w:u w:val="none"/>
                <w:lang w:val="en-US" w:eastAsia="zh-CN" w:bidi="ar"/>
              </w:rPr>
              <w:t xml:space="preserve">.00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100</w:t>
            </w:r>
            <w:r>
              <w:rPr>
                <w:rFonts w:hint="eastAsia" w:ascii="宋体" w:hAnsi="宋体" w:eastAsia="宋体" w:cs="宋体"/>
                <w:i w:val="0"/>
                <w:color w:val="000000"/>
                <w:kern w:val="0"/>
                <w:sz w:val="22"/>
                <w:szCs w:val="22"/>
                <w:u w:val="none"/>
                <w:lang w:val="en-US" w:eastAsia="zh-CN" w:bidi="ar"/>
              </w:rPr>
              <w:t>%</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r>
              <w:rPr>
                <w:rFonts w:hint="eastAsia" w:ascii="宋体" w:hAnsi="宋体" w:cs="宋体"/>
                <w:i w:val="0"/>
                <w:color w:val="000000"/>
                <w:kern w:val="0"/>
                <w:sz w:val="22"/>
                <w:szCs w:val="22"/>
                <w:u w:val="none"/>
                <w:lang w:val="en-US" w:eastAsia="zh-CN" w:bidi="ar"/>
              </w:rPr>
              <w:t>05.26</w:t>
            </w:r>
            <w:r>
              <w:rPr>
                <w:rFonts w:hint="eastAsia" w:ascii="宋体" w:hAnsi="宋体" w:eastAsia="宋体" w:cs="宋体"/>
                <w:i w:val="0"/>
                <w:color w:val="000000"/>
                <w:kern w:val="0"/>
                <w:sz w:val="22"/>
                <w:szCs w:val="22"/>
                <w:u w:val="none"/>
                <w:lang w:val="en-US" w:eastAsia="zh-CN" w:bidi="ar"/>
              </w:rPr>
              <w:t>%</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100</w:t>
            </w:r>
            <w:r>
              <w:rPr>
                <w:rFonts w:hint="eastAsia" w:ascii="宋体" w:hAnsi="宋体" w:eastAsia="宋体" w:cs="宋体"/>
                <w:i w:val="0"/>
                <w:color w:val="000000"/>
                <w:kern w:val="0"/>
                <w:sz w:val="22"/>
                <w:szCs w:val="22"/>
                <w:u w:val="none"/>
                <w:lang w:val="en-US" w:eastAsia="zh-CN" w:bidi="ar"/>
              </w:rPr>
              <w:t>%</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2947</w:t>
            </w:r>
            <w:r>
              <w:rPr>
                <w:rFonts w:hint="eastAsia" w:ascii="宋体" w:hAnsi="宋体" w:eastAsia="宋体" w:cs="宋体"/>
                <w:i w:val="0"/>
                <w:color w:val="000000"/>
                <w:kern w:val="0"/>
                <w:sz w:val="22"/>
                <w:szCs w:val="22"/>
                <w:u w:val="none"/>
                <w:lang w:val="en-US" w:eastAsia="zh-CN" w:bidi="ar"/>
              </w:rPr>
              <w:t xml:space="preserve">.00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C</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2950</w:t>
            </w:r>
            <w:r>
              <w:rPr>
                <w:rFonts w:hint="eastAsia" w:ascii="宋体" w:hAnsi="宋体" w:eastAsia="宋体" w:cs="宋体"/>
                <w:i w:val="0"/>
                <w:color w:val="000000"/>
                <w:kern w:val="0"/>
                <w:sz w:val="22"/>
                <w:szCs w:val="22"/>
                <w:u w:val="none"/>
                <w:lang w:val="en-US" w:eastAsia="zh-CN" w:bidi="ar"/>
              </w:rPr>
              <w:t xml:space="preserve">.00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95.23%</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92.45%</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95.68%</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2485</w:t>
            </w:r>
            <w:r>
              <w:rPr>
                <w:rFonts w:hint="eastAsia" w:ascii="宋体" w:hAnsi="宋体" w:eastAsia="宋体" w:cs="宋体"/>
                <w:i w:val="0"/>
                <w:color w:val="000000"/>
                <w:kern w:val="0"/>
                <w:sz w:val="22"/>
                <w:szCs w:val="22"/>
                <w:u w:val="none"/>
                <w:lang w:val="en-US" w:eastAsia="zh-CN" w:bidi="ar"/>
              </w:rPr>
              <w:t xml:space="preserve">.00 </w:t>
            </w:r>
          </w:p>
        </w:tc>
      </w:tr>
    </w:tbl>
    <w:p>
      <w:pPr>
        <w:keepNext w:val="0"/>
        <w:keepLines w:val="0"/>
        <w:pageBreakBefore w:val="0"/>
        <w:widowControl w:val="0"/>
        <w:numPr>
          <w:ilvl w:val="0"/>
          <w:numId w:val="17"/>
        </w:numPr>
        <w:kinsoku/>
        <w:wordWrap/>
        <w:overflowPunct/>
        <w:topLinePunct w:val="0"/>
        <w:autoSpaceDE/>
        <w:autoSpaceDN/>
        <w:bidi w:val="0"/>
        <w:adjustRightInd/>
        <w:snapToGrid/>
        <w:spacing w:line="640" w:lineRule="exact"/>
        <w:ind w:left="0" w:leftChars="0" w:firstLine="600" w:firstLineChars="200"/>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评估基准单价的确定</w:t>
      </w:r>
    </w:p>
    <w:p>
      <w:pPr>
        <w:pageBreakBefore w:val="0"/>
        <w:widowControl w:val="0"/>
        <w:numPr>
          <w:ilvl w:val="0"/>
          <w:numId w:val="0"/>
        </w:numPr>
        <w:kinsoku/>
        <w:wordWrap/>
        <w:overflowPunct/>
        <w:topLinePunct w:val="0"/>
        <w:autoSpaceDE/>
        <w:autoSpaceDN/>
        <w:bidi w:val="0"/>
        <w:adjustRightInd/>
        <w:snapToGrid/>
        <w:spacing w:line="640" w:lineRule="exact"/>
        <w:ind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根据以上修正值和可比实例比准价格，采用简单算术平均法确定该评估标的的基准单价为：</w:t>
      </w:r>
    </w:p>
    <w:p>
      <w:pPr>
        <w:pageBreakBefore w:val="0"/>
        <w:widowControl w:val="0"/>
        <w:numPr>
          <w:ilvl w:val="0"/>
          <w:numId w:val="0"/>
        </w:numPr>
        <w:kinsoku/>
        <w:wordWrap/>
        <w:overflowPunct/>
        <w:topLinePunct w:val="0"/>
        <w:autoSpaceDE/>
        <w:autoSpaceDN/>
        <w:bidi w:val="0"/>
        <w:adjustRightInd/>
        <w:snapToGrid/>
        <w:spacing w:line="640" w:lineRule="exact"/>
        <w:ind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（2743.00+2947.00+2485.00）÷3=2725.00元/㎡</w:t>
      </w:r>
    </w:p>
    <w:p>
      <w:pPr>
        <w:keepNext w:val="0"/>
        <w:keepLines w:val="0"/>
        <w:pageBreakBefore w:val="0"/>
        <w:widowControl w:val="0"/>
        <w:numPr>
          <w:ilvl w:val="0"/>
          <w:numId w:val="17"/>
        </w:numPr>
        <w:kinsoku/>
        <w:wordWrap/>
        <w:overflowPunct/>
        <w:topLinePunct w:val="0"/>
        <w:autoSpaceDE/>
        <w:autoSpaceDN/>
        <w:bidi w:val="0"/>
        <w:adjustRightInd/>
        <w:snapToGrid/>
        <w:spacing w:line="640" w:lineRule="exact"/>
        <w:ind w:left="0" w:leftChars="0" w:firstLine="600" w:firstLineChars="200"/>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评估价格=基准单价×建筑面积</w:t>
      </w:r>
    </w:p>
    <w:p>
      <w:pPr>
        <w:pageBreakBefore w:val="0"/>
        <w:widowControl w:val="0"/>
        <w:numPr>
          <w:ilvl w:val="0"/>
          <w:numId w:val="0"/>
        </w:numPr>
        <w:kinsoku/>
        <w:wordWrap/>
        <w:overflowPunct/>
        <w:topLinePunct w:val="0"/>
        <w:autoSpaceDE/>
        <w:autoSpaceDN/>
        <w:bidi w:val="0"/>
        <w:adjustRightInd/>
        <w:snapToGrid/>
        <w:spacing w:line="640" w:lineRule="exact"/>
        <w:ind w:leftChars="0" w:firstLine="600" w:firstLineChars="200"/>
        <w:jc w:val="both"/>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 xml:space="preserve">            =2725.00元/㎡×92.3㎡=251517.50元</w:t>
      </w:r>
    </w:p>
    <w:p>
      <w:pPr>
        <w:pStyle w:val="3"/>
        <w:pageBreakBefore w:val="0"/>
        <w:widowControl w:val="0"/>
        <w:numPr>
          <w:ilvl w:val="0"/>
          <w:numId w:val="11"/>
        </w:numPr>
        <w:kinsoku/>
        <w:wordWrap/>
        <w:overflowPunct/>
        <w:topLinePunct w:val="0"/>
        <w:autoSpaceDE/>
        <w:autoSpaceDN/>
        <w:bidi w:val="0"/>
        <w:adjustRightInd/>
        <w:snapToGrid/>
        <w:spacing w:line="640" w:lineRule="exact"/>
        <w:ind w:left="0" w:leftChars="0" w:firstLine="602" w:firstLineChars="200"/>
        <w:textAlignment w:val="auto"/>
        <w:rPr>
          <w:rFonts w:hint="eastAsia" w:ascii="仿宋" w:hAnsi="仿宋" w:eastAsia="仿宋" w:cs="仿宋"/>
          <w:b/>
          <w:bCs/>
          <w:spacing w:val="0"/>
          <w:kern w:val="2"/>
          <w:sz w:val="30"/>
          <w:szCs w:val="30"/>
          <w:lang w:val="en-US" w:eastAsia="zh-CN" w:bidi="ar-SA"/>
        </w:rPr>
      </w:pPr>
      <w:r>
        <w:rPr>
          <w:rFonts w:hint="eastAsia" w:ascii="仿宋" w:hAnsi="仿宋" w:eastAsia="仿宋" w:cs="仿宋"/>
          <w:b/>
          <w:bCs/>
          <w:spacing w:val="0"/>
          <w:kern w:val="2"/>
          <w:sz w:val="30"/>
          <w:szCs w:val="30"/>
          <w:lang w:val="en-US" w:eastAsia="zh-CN" w:bidi="ar-SA"/>
        </w:rPr>
        <w:t>评估结果确定</w:t>
      </w:r>
      <w:bookmarkEnd w:id="14"/>
      <w:bookmarkEnd w:id="15"/>
    </w:p>
    <w:p>
      <w:pPr>
        <w:pStyle w:val="3"/>
        <w:pageBreakBefore w:val="0"/>
        <w:widowControl w:val="0"/>
        <w:kinsoku/>
        <w:wordWrap/>
        <w:overflowPunct/>
        <w:topLinePunct w:val="0"/>
        <w:autoSpaceDE/>
        <w:autoSpaceDN/>
        <w:bidi w:val="0"/>
        <w:adjustRightInd/>
        <w:snapToGrid/>
        <w:spacing w:line="640" w:lineRule="exact"/>
        <w:ind w:leftChars="0" w:firstLine="600" w:firstLineChars="200"/>
        <w:textAlignment w:val="auto"/>
        <w:rPr>
          <w:rFonts w:hint="eastAsia" w:ascii="仿宋" w:hAnsi="仿宋" w:eastAsia="仿宋" w:cs="仿宋"/>
          <w:b w:val="0"/>
          <w:bCs w:val="0"/>
          <w:spacing w:val="0"/>
          <w:kern w:val="2"/>
          <w:sz w:val="30"/>
          <w:szCs w:val="30"/>
          <w:lang w:val="en-US" w:eastAsia="zh-CN" w:bidi="ar-SA"/>
        </w:rPr>
      </w:pPr>
      <w:r>
        <w:rPr>
          <w:rFonts w:hint="eastAsia" w:ascii="仿宋" w:hAnsi="仿宋" w:eastAsia="仿宋" w:cs="仿宋"/>
          <w:b w:val="0"/>
          <w:bCs w:val="0"/>
          <w:spacing w:val="0"/>
          <w:kern w:val="2"/>
          <w:sz w:val="30"/>
          <w:szCs w:val="30"/>
          <w:lang w:val="en-US" w:eastAsia="zh-CN" w:bidi="ar-SA"/>
        </w:rPr>
        <w:t>评估人员根据评估目的、遵循评估原则、按照评估程序、选用适宜的评估方法，并在综合分析影响房地产价格因素的基础上，经测算，确定评估标的在2019年3月11日的评估价值为251518.00元，人民币大写：贰拾伍万壹仟伍佰壹拾捌元整（结果保留整数）。</w:t>
      </w:r>
    </w:p>
    <w:p>
      <w:pPr>
        <w:pStyle w:val="3"/>
        <w:pageBreakBefore w:val="0"/>
        <w:widowControl w:val="0"/>
        <w:kinsoku/>
        <w:wordWrap/>
        <w:overflowPunct/>
        <w:topLinePunct w:val="0"/>
        <w:autoSpaceDE/>
        <w:autoSpaceDN/>
        <w:bidi w:val="0"/>
        <w:adjustRightInd/>
        <w:snapToGrid/>
        <w:spacing w:line="240" w:lineRule="auto"/>
        <w:ind w:firstLine="682"/>
        <w:textAlignment w:val="auto"/>
        <w:rPr>
          <w:rFonts w:hint="eastAsia" w:ascii="仿宋" w:hAnsi="仿宋" w:eastAsia="仿宋" w:cs="仿宋"/>
          <w:b w:val="0"/>
          <w:bCs w:val="0"/>
          <w:spacing w:val="0"/>
          <w:kern w:val="2"/>
          <w:sz w:val="30"/>
          <w:szCs w:val="30"/>
          <w:lang w:val="en-US" w:eastAsia="zh-CN" w:bidi="ar-SA"/>
        </w:rPr>
      </w:pPr>
    </w:p>
    <w:p>
      <w:pPr>
        <w:pStyle w:val="3"/>
        <w:pageBreakBefore w:val="0"/>
        <w:widowControl w:val="0"/>
        <w:kinsoku/>
        <w:wordWrap/>
        <w:overflowPunct/>
        <w:topLinePunct w:val="0"/>
        <w:autoSpaceDE/>
        <w:autoSpaceDN/>
        <w:bidi w:val="0"/>
        <w:adjustRightInd/>
        <w:snapToGrid/>
        <w:spacing w:line="240" w:lineRule="auto"/>
        <w:ind w:firstLine="682"/>
        <w:textAlignment w:val="auto"/>
        <w:rPr>
          <w:rFonts w:hint="eastAsia" w:ascii="仿宋" w:hAnsi="仿宋" w:eastAsia="仿宋" w:cs="仿宋"/>
          <w:b w:val="0"/>
          <w:bCs w:val="0"/>
          <w:spacing w:val="0"/>
          <w:kern w:val="2"/>
          <w:sz w:val="30"/>
          <w:szCs w:val="30"/>
          <w:lang w:val="en-US" w:eastAsia="zh-CN" w:bidi="ar-SA"/>
        </w:rPr>
      </w:pPr>
    </w:p>
    <w:p>
      <w:pPr>
        <w:spacing w:line="640" w:lineRule="exact"/>
        <w:rPr>
          <w:rFonts w:hint="eastAsia" w:ascii="仿宋" w:hAnsi="仿宋" w:eastAsia="仿宋" w:cs="仿宋"/>
          <w:sz w:val="30"/>
          <w:szCs w:val="30"/>
        </w:rPr>
      </w:pPr>
      <w:r>
        <w:rPr>
          <w:rFonts w:hint="eastAsia" w:ascii="仿宋" w:hAnsi="仿宋" w:eastAsia="仿宋" w:cs="仿宋"/>
          <w:sz w:val="30"/>
          <w:szCs w:val="30"/>
        </w:rPr>
        <w:br w:type="page"/>
      </w:r>
    </w:p>
    <w:p>
      <w:pPr>
        <w:spacing w:line="640" w:lineRule="exact"/>
        <w:rPr>
          <w:rFonts w:ascii="仿宋" w:hAnsi="仿宋" w:eastAsia="仿宋" w:cs="仿宋"/>
          <w:sz w:val="30"/>
          <w:szCs w:val="30"/>
        </w:rPr>
      </w:pPr>
      <w:r>
        <w:rPr>
          <w:rFonts w:hint="eastAsia" w:ascii="仿宋" w:hAnsi="仿宋" w:eastAsia="仿宋" w:cs="仿宋"/>
          <w:sz w:val="30"/>
          <w:szCs w:val="30"/>
        </w:rPr>
        <w:t>附件二、《评估委托书》复印件</w:t>
      </w:r>
    </w:p>
    <w:p>
      <w:pPr>
        <w:rPr>
          <w:rFonts w:ascii="仿宋" w:hAnsi="仿宋" w:eastAsia="仿宋" w:cs="仿宋"/>
          <w:sz w:val="30"/>
          <w:szCs w:val="30"/>
        </w:rPr>
      </w:pPr>
      <w:r>
        <w:rPr>
          <w:rFonts w:hint="eastAsia" w:ascii="仿宋" w:hAnsi="仿宋" w:eastAsia="仿宋" w:cs="仿宋"/>
          <w:sz w:val="30"/>
          <w:szCs w:val="30"/>
        </w:rPr>
        <w:drawing>
          <wp:inline distT="0" distB="0" distL="114300" distR="114300">
            <wp:extent cx="5115560" cy="7372985"/>
            <wp:effectExtent l="0" t="0" r="8890" b="18415"/>
            <wp:docPr id="12" name="图片 12" descr="C:\Users\Administrator\Desktop\宁强县汉源街道办事处西街口房产\微信图片_20190313135443.jpg微信图片_2019031313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宁强县汉源街道办事处西街口房产\微信图片_20190313135443.jpg微信图片_20190313135443"/>
                    <pic:cNvPicPr>
                      <a:picLocks noChangeAspect="1"/>
                    </pic:cNvPicPr>
                  </pic:nvPicPr>
                  <pic:blipFill>
                    <a:blip r:embed="rId7"/>
                    <a:srcRect/>
                    <a:stretch>
                      <a:fillRect/>
                    </a:stretch>
                  </pic:blipFill>
                  <pic:spPr>
                    <a:xfrm>
                      <a:off x="0" y="0"/>
                      <a:ext cx="5115560" cy="7372985"/>
                    </a:xfrm>
                    <a:prstGeom prst="rect">
                      <a:avLst/>
                    </a:prstGeom>
                  </pic:spPr>
                </pic:pic>
              </a:graphicData>
            </a:graphic>
          </wp:inline>
        </w:drawing>
      </w:r>
    </w:p>
    <w:p>
      <w:pPr>
        <w:spacing w:line="640" w:lineRule="exact"/>
        <w:jc w:val="center"/>
        <w:rPr>
          <w:rFonts w:ascii="仿宋" w:hAnsi="仿宋" w:eastAsia="仿宋" w:cs="仿宋"/>
          <w:sz w:val="30"/>
          <w:szCs w:val="30"/>
        </w:rPr>
      </w:pPr>
    </w:p>
    <w:p>
      <w:pPr>
        <w:spacing w:line="640" w:lineRule="exact"/>
        <w:jc w:val="center"/>
        <w:rPr>
          <w:rFonts w:ascii="仿宋" w:hAnsi="仿宋" w:eastAsia="仿宋" w:cs="仿宋"/>
          <w:sz w:val="30"/>
          <w:szCs w:val="30"/>
        </w:rPr>
      </w:pPr>
    </w:p>
    <w:p>
      <w:pPr>
        <w:spacing w:line="640" w:lineRule="exact"/>
        <w:rPr>
          <w:rFonts w:ascii="仿宋" w:hAnsi="仿宋" w:eastAsia="仿宋" w:cs="仿宋"/>
          <w:sz w:val="30"/>
          <w:szCs w:val="30"/>
        </w:rPr>
      </w:pPr>
      <w:r>
        <w:rPr>
          <w:rFonts w:hint="eastAsia" w:ascii="仿宋" w:hAnsi="仿宋" w:eastAsia="仿宋" w:cs="仿宋"/>
          <w:sz w:val="30"/>
          <w:szCs w:val="30"/>
        </w:rPr>
        <w:t>附件三、价格评估机构《营业执照》复印件</w:t>
      </w:r>
    </w:p>
    <w:p>
      <w:pPr>
        <w:spacing w:line="640" w:lineRule="exact"/>
        <w:rPr>
          <w:rFonts w:ascii="仿宋" w:hAnsi="仿宋" w:eastAsia="仿宋" w:cs="仿宋"/>
          <w:sz w:val="30"/>
          <w:szCs w:val="30"/>
        </w:rPr>
      </w:pPr>
      <w:r>
        <w:rPr>
          <w:rFonts w:hint="eastAsia" w:ascii="仿宋_GB2312" w:hAnsi="仿宋_GB2312" w:eastAsia="仿宋_GB2312" w:cs="仿宋_GB2312"/>
          <w:b/>
          <w:bCs/>
          <w:spacing w:val="-6"/>
          <w:sz w:val="28"/>
          <w:szCs w:val="28"/>
        </w:rPr>
        <w:drawing>
          <wp:anchor distT="0" distB="0" distL="114300" distR="114300" simplePos="0" relativeHeight="252421120" behindDoc="0" locked="0" layoutInCell="1" allowOverlap="1">
            <wp:simplePos x="0" y="0"/>
            <wp:positionH relativeFrom="column">
              <wp:posOffset>3175</wp:posOffset>
            </wp:positionH>
            <wp:positionV relativeFrom="paragraph">
              <wp:posOffset>41910</wp:posOffset>
            </wp:positionV>
            <wp:extent cx="5382895" cy="7501890"/>
            <wp:effectExtent l="0" t="0" r="8255" b="3810"/>
            <wp:wrapSquare wrapText="bothSides"/>
            <wp:docPr id="4" name="图片 4" descr="50562216650494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5622166504946715"/>
                    <pic:cNvPicPr>
                      <a:picLocks noChangeAspect="1"/>
                    </pic:cNvPicPr>
                  </pic:nvPicPr>
                  <pic:blipFill>
                    <a:blip r:embed="rId8" cstate="print"/>
                    <a:srcRect t="3589" r="2301"/>
                    <a:stretch>
                      <a:fillRect/>
                    </a:stretch>
                  </pic:blipFill>
                  <pic:spPr>
                    <a:xfrm>
                      <a:off x="0" y="0"/>
                      <a:ext cx="5382895" cy="7501890"/>
                    </a:xfrm>
                    <a:prstGeom prst="rect">
                      <a:avLst/>
                    </a:prstGeom>
                    <a:noFill/>
                    <a:ln w="9525">
                      <a:noFill/>
                    </a:ln>
                  </pic:spPr>
                </pic:pic>
              </a:graphicData>
            </a:graphic>
          </wp:anchor>
        </w:drawing>
      </w:r>
    </w:p>
    <w:p>
      <w:pPr>
        <w:spacing w:line="640" w:lineRule="exact"/>
        <w:jc w:val="left"/>
        <w:rPr>
          <w:rFonts w:ascii="仿宋" w:hAnsi="仿宋" w:eastAsia="仿宋" w:cs="仿宋"/>
          <w:sz w:val="30"/>
          <w:szCs w:val="30"/>
        </w:rPr>
      </w:pPr>
    </w:p>
    <w:p>
      <w:pPr>
        <w:spacing w:line="640" w:lineRule="exact"/>
        <w:jc w:val="left"/>
        <w:rPr>
          <w:rFonts w:ascii="仿宋" w:hAnsi="仿宋" w:eastAsia="仿宋" w:cs="仿宋"/>
          <w:sz w:val="30"/>
          <w:szCs w:val="30"/>
        </w:rPr>
      </w:pPr>
      <w:r>
        <w:rPr>
          <w:rFonts w:hint="eastAsia" w:ascii="仿宋" w:hAnsi="仿宋" w:eastAsia="仿宋" w:cs="仿宋"/>
          <w:sz w:val="30"/>
          <w:szCs w:val="30"/>
        </w:rPr>
        <w:t>附件四、《价格评估机构资质登记证书》复印件</w:t>
      </w:r>
    </w:p>
    <w:p>
      <w:pPr>
        <w:spacing w:line="640" w:lineRule="exact"/>
        <w:jc w:val="left"/>
        <w:rPr>
          <w:rFonts w:ascii="仿宋" w:hAnsi="仿宋" w:eastAsia="仿宋" w:cs="仿宋"/>
          <w:sz w:val="30"/>
          <w:szCs w:val="30"/>
        </w:rPr>
      </w:pPr>
    </w:p>
    <w:p>
      <w:pPr>
        <w:spacing w:line="640" w:lineRule="exact"/>
        <w:rPr>
          <w:rFonts w:ascii="仿宋" w:hAnsi="仿宋" w:eastAsia="仿宋" w:cs="仿宋"/>
          <w:sz w:val="30"/>
          <w:szCs w:val="30"/>
        </w:rPr>
      </w:pPr>
      <w:r>
        <w:rPr>
          <w:rFonts w:hint="eastAsia" w:ascii="仿宋_GB2312" w:hAnsi="仿宋_GB2312" w:eastAsia="仿宋_GB2312" w:cs="仿宋_GB2312"/>
          <w:b/>
          <w:bCs/>
          <w:color w:val="000000"/>
          <w:sz w:val="28"/>
          <w:szCs w:val="28"/>
        </w:rPr>
        <w:drawing>
          <wp:anchor distT="0" distB="0" distL="114300" distR="114300" simplePos="0" relativeHeight="252432384" behindDoc="0" locked="0" layoutInCell="1" allowOverlap="1">
            <wp:simplePos x="0" y="0"/>
            <wp:positionH relativeFrom="column">
              <wp:posOffset>-1007110</wp:posOffset>
            </wp:positionH>
            <wp:positionV relativeFrom="paragraph">
              <wp:posOffset>812800</wp:posOffset>
            </wp:positionV>
            <wp:extent cx="7404100" cy="5180330"/>
            <wp:effectExtent l="0" t="0" r="1270" b="6350"/>
            <wp:wrapSquare wrapText="bothSides"/>
            <wp:docPr id="5" name="图片 5" descr="微信图片_201803151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315103528"/>
                    <pic:cNvPicPr>
                      <a:picLocks noChangeAspect="1"/>
                    </pic:cNvPicPr>
                  </pic:nvPicPr>
                  <pic:blipFill>
                    <a:blip r:embed="rId9" cstate="print"/>
                    <a:srcRect l="3485" t="2237" r="2890" b="1184"/>
                    <a:stretch>
                      <a:fillRect/>
                    </a:stretch>
                  </pic:blipFill>
                  <pic:spPr>
                    <a:xfrm rot="-5400000">
                      <a:off x="0" y="0"/>
                      <a:ext cx="7404100" cy="5180330"/>
                    </a:xfrm>
                    <a:prstGeom prst="rect">
                      <a:avLst/>
                    </a:prstGeom>
                    <a:noFill/>
                    <a:ln w="9525">
                      <a:noFill/>
                    </a:ln>
                  </pic:spPr>
                </pic:pic>
              </a:graphicData>
            </a:graphic>
          </wp:anchor>
        </w:drawing>
      </w:r>
    </w:p>
    <w:p>
      <w:pPr>
        <w:spacing w:line="640" w:lineRule="exact"/>
        <w:jc w:val="center"/>
        <w:rPr>
          <w:rFonts w:ascii="仿宋" w:hAnsi="仿宋" w:eastAsia="仿宋" w:cs="仿宋"/>
          <w:sz w:val="30"/>
          <w:szCs w:val="30"/>
        </w:rPr>
      </w:pPr>
    </w:p>
    <w:p>
      <w:pPr>
        <w:spacing w:line="640" w:lineRule="exact"/>
        <w:jc w:val="center"/>
        <w:rPr>
          <w:rFonts w:ascii="仿宋" w:hAnsi="仿宋" w:eastAsia="仿宋" w:cs="仿宋"/>
          <w:sz w:val="30"/>
          <w:szCs w:val="30"/>
        </w:rPr>
      </w:pPr>
    </w:p>
    <w:p>
      <w:pPr>
        <w:spacing w:line="640" w:lineRule="exact"/>
        <w:jc w:val="center"/>
        <w:rPr>
          <w:rFonts w:ascii="仿宋" w:hAnsi="仿宋" w:eastAsia="仿宋" w:cs="仿宋"/>
          <w:sz w:val="30"/>
          <w:szCs w:val="30"/>
        </w:rPr>
      </w:pPr>
    </w:p>
    <w:p>
      <w:pPr>
        <w:spacing w:line="640" w:lineRule="exact"/>
        <w:jc w:val="center"/>
        <w:rPr>
          <w:rFonts w:ascii="仿宋" w:hAnsi="仿宋" w:eastAsia="仿宋" w:cs="仿宋"/>
          <w:sz w:val="30"/>
          <w:szCs w:val="30"/>
        </w:rPr>
      </w:pPr>
    </w:p>
    <w:p>
      <w:pPr>
        <w:spacing w:line="640" w:lineRule="exact"/>
        <w:rPr>
          <w:rFonts w:ascii="仿宋" w:hAnsi="仿宋" w:eastAsia="仿宋" w:cs="仿宋"/>
          <w:sz w:val="30"/>
          <w:szCs w:val="30"/>
        </w:rPr>
      </w:pPr>
      <w:r>
        <w:rPr>
          <w:rFonts w:hint="eastAsia" w:ascii="仿宋" w:hAnsi="仿宋" w:eastAsia="仿宋" w:cs="仿宋"/>
          <w:sz w:val="30"/>
          <w:szCs w:val="30"/>
        </w:rPr>
        <w:t>附件五、价格评估人员资格证书复印件</w:t>
      </w:r>
    </w:p>
    <w:p>
      <w:pPr>
        <w:spacing w:line="640" w:lineRule="exact"/>
        <w:rPr>
          <w:rFonts w:ascii="仿宋" w:hAnsi="仿宋" w:eastAsia="仿宋" w:cs="仿宋"/>
          <w:sz w:val="30"/>
          <w:szCs w:val="30"/>
        </w:rPr>
      </w:pPr>
      <w:r>
        <w:rPr>
          <w:rFonts w:hint="eastAsia"/>
        </w:rPr>
        <w:drawing>
          <wp:anchor distT="0" distB="0" distL="114300" distR="114300" simplePos="0" relativeHeight="252449792" behindDoc="0" locked="0" layoutInCell="1" allowOverlap="1">
            <wp:simplePos x="0" y="0"/>
            <wp:positionH relativeFrom="column">
              <wp:posOffset>-152400</wp:posOffset>
            </wp:positionH>
            <wp:positionV relativeFrom="paragraph">
              <wp:posOffset>210185</wp:posOffset>
            </wp:positionV>
            <wp:extent cx="5137150" cy="3949700"/>
            <wp:effectExtent l="0" t="0" r="6350" b="12700"/>
            <wp:wrapSquare wrapText="bothSides"/>
            <wp:docPr id="13" name="图片 13" descr="3148880945187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14888094518737036"/>
                    <pic:cNvPicPr>
                      <a:picLocks noChangeAspect="1"/>
                    </pic:cNvPicPr>
                  </pic:nvPicPr>
                  <pic:blipFill>
                    <a:blip r:embed="rId10" cstate="print"/>
                    <a:stretch>
                      <a:fillRect/>
                    </a:stretch>
                  </pic:blipFill>
                  <pic:spPr>
                    <a:xfrm>
                      <a:off x="0" y="0"/>
                      <a:ext cx="5137150" cy="3949700"/>
                    </a:xfrm>
                    <a:prstGeom prst="rect">
                      <a:avLst/>
                    </a:prstGeom>
                    <a:noFill/>
                    <a:ln w="9525">
                      <a:noFill/>
                    </a:ln>
                  </pic:spPr>
                </pic:pic>
              </a:graphicData>
            </a:graphic>
          </wp:anchor>
        </w:drawing>
      </w:r>
    </w:p>
    <w:p>
      <w:pPr>
        <w:spacing w:line="640" w:lineRule="exact"/>
        <w:jc w:val="center"/>
      </w:pPr>
      <w:r>
        <w:rPr>
          <w:rFonts w:hint="eastAsia"/>
        </w:rPr>
        <w:drawing>
          <wp:anchor distT="0" distB="0" distL="114300" distR="114300" simplePos="0" relativeHeight="252466176" behindDoc="0" locked="0" layoutInCell="1" allowOverlap="1">
            <wp:simplePos x="0" y="0"/>
            <wp:positionH relativeFrom="column">
              <wp:posOffset>-53975</wp:posOffset>
            </wp:positionH>
            <wp:positionV relativeFrom="paragraph">
              <wp:posOffset>107315</wp:posOffset>
            </wp:positionV>
            <wp:extent cx="4863465" cy="3577590"/>
            <wp:effectExtent l="0" t="0" r="13335" b="3810"/>
            <wp:wrapSquare wrapText="bothSides"/>
            <wp:docPr id="14" name="图片 14" descr="37277111112081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2771111120819039"/>
                    <pic:cNvPicPr>
                      <a:picLocks noChangeAspect="1"/>
                    </pic:cNvPicPr>
                  </pic:nvPicPr>
                  <pic:blipFill>
                    <a:blip r:embed="rId11" cstate="print"/>
                    <a:stretch>
                      <a:fillRect/>
                    </a:stretch>
                  </pic:blipFill>
                  <pic:spPr>
                    <a:xfrm>
                      <a:off x="0" y="0"/>
                      <a:ext cx="4863465" cy="3577590"/>
                    </a:xfrm>
                    <a:prstGeom prst="rect">
                      <a:avLst/>
                    </a:prstGeom>
                    <a:noFill/>
                    <a:ln w="9525">
                      <a:noFill/>
                    </a:ln>
                  </pic:spPr>
                </pic:pic>
              </a:graphicData>
            </a:graphic>
          </wp:anchor>
        </w:drawing>
      </w:r>
    </w:p>
    <w:p>
      <w:pPr>
        <w:spacing w:line="640" w:lineRule="exact"/>
        <w:jc w:val="center"/>
      </w:pPr>
    </w:p>
    <w:p>
      <w:pPr>
        <w:spacing w:line="640" w:lineRule="exact"/>
        <w:jc w:val="center"/>
      </w:pPr>
    </w:p>
    <w:p>
      <w:pPr>
        <w:spacing w:line="640" w:lineRule="exact"/>
        <w:jc w:val="center"/>
      </w:pPr>
    </w:p>
    <w:p>
      <w:pPr>
        <w:spacing w:line="640" w:lineRule="exact"/>
        <w:jc w:val="center"/>
      </w:pPr>
    </w:p>
    <w:p>
      <w:pPr>
        <w:spacing w:line="640" w:lineRule="exact"/>
        <w:jc w:val="both"/>
      </w:pPr>
      <w:r>
        <w:br w:type="page"/>
      </w:r>
    </w:p>
    <w:p>
      <w:pPr>
        <w:spacing w:line="640" w:lineRule="exact"/>
        <w:jc w:val="center"/>
      </w:pPr>
      <w:r>
        <w:rPr>
          <w:rFonts w:hint="eastAsia" w:ascii="仿宋" w:hAnsi="仿宋" w:eastAsia="仿宋" w:cs="仿宋"/>
          <w:sz w:val="30"/>
          <w:szCs w:val="30"/>
        </w:rPr>
        <w:drawing>
          <wp:anchor distT="0" distB="0" distL="114300" distR="114300" simplePos="0" relativeHeight="252477440" behindDoc="0" locked="0" layoutInCell="1" allowOverlap="1">
            <wp:simplePos x="0" y="0"/>
            <wp:positionH relativeFrom="column">
              <wp:posOffset>74930</wp:posOffset>
            </wp:positionH>
            <wp:positionV relativeFrom="paragraph">
              <wp:posOffset>4126865</wp:posOffset>
            </wp:positionV>
            <wp:extent cx="5047615" cy="3721100"/>
            <wp:effectExtent l="0" t="0" r="635" b="12700"/>
            <wp:wrapSquare wrapText="bothSides"/>
            <wp:docPr id="15" name="图片 8" descr="C:\Documents and Settings\Administrator\桌面\汉中分公司\肖2.png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Documents and Settings\Administrator\桌面\汉中分公司\肖2.png肖2"/>
                    <pic:cNvPicPr>
                      <a:picLocks noChangeAspect="1"/>
                    </pic:cNvPicPr>
                  </pic:nvPicPr>
                  <pic:blipFill>
                    <a:blip r:embed="rId12"/>
                    <a:srcRect/>
                    <a:stretch>
                      <a:fillRect/>
                    </a:stretch>
                  </pic:blipFill>
                  <pic:spPr>
                    <a:xfrm>
                      <a:off x="0" y="0"/>
                      <a:ext cx="5047615" cy="3721100"/>
                    </a:xfrm>
                    <a:prstGeom prst="rect">
                      <a:avLst/>
                    </a:prstGeom>
                    <a:noFill/>
                    <a:ln w="9525">
                      <a:noFill/>
                    </a:ln>
                  </pic:spPr>
                </pic:pic>
              </a:graphicData>
            </a:graphic>
          </wp:anchor>
        </w:drawing>
      </w:r>
      <w:r>
        <w:rPr>
          <w:rFonts w:hint="eastAsia" w:ascii="仿宋" w:hAnsi="仿宋" w:eastAsia="仿宋" w:cs="仿宋"/>
          <w:sz w:val="30"/>
          <w:szCs w:val="30"/>
        </w:rPr>
        <w:drawing>
          <wp:anchor distT="0" distB="0" distL="114300" distR="114300" simplePos="0" relativeHeight="252472320" behindDoc="0" locked="0" layoutInCell="1" allowOverlap="1">
            <wp:simplePos x="0" y="0"/>
            <wp:positionH relativeFrom="column">
              <wp:posOffset>45720</wp:posOffset>
            </wp:positionH>
            <wp:positionV relativeFrom="paragraph">
              <wp:posOffset>147320</wp:posOffset>
            </wp:positionV>
            <wp:extent cx="5175250" cy="3601085"/>
            <wp:effectExtent l="0" t="0" r="6350" b="18415"/>
            <wp:wrapSquare wrapText="bothSides"/>
            <wp:docPr id="16" name="图片 9" descr="C:\Documents and Settings\Administrator\桌面\汉中分公司\肖1.png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Documents and Settings\Administrator\桌面\汉中分公司\肖1.png肖1"/>
                    <pic:cNvPicPr>
                      <a:picLocks noChangeAspect="1"/>
                    </pic:cNvPicPr>
                  </pic:nvPicPr>
                  <pic:blipFill>
                    <a:blip r:embed="rId13"/>
                    <a:srcRect/>
                    <a:stretch>
                      <a:fillRect/>
                    </a:stretch>
                  </pic:blipFill>
                  <pic:spPr>
                    <a:xfrm>
                      <a:off x="0" y="0"/>
                      <a:ext cx="5175250" cy="3601085"/>
                    </a:xfrm>
                    <a:prstGeom prst="rect">
                      <a:avLst/>
                    </a:prstGeom>
                    <a:noFill/>
                    <a:ln w="9525">
                      <a:noFill/>
                    </a:ln>
                  </pic:spPr>
                </pic:pic>
              </a:graphicData>
            </a:graphic>
          </wp:anchor>
        </w:drawing>
      </w:r>
    </w:p>
    <w:p>
      <w:pPr>
        <w:rPr>
          <w:rFonts w:hint="eastAsia"/>
        </w:rPr>
      </w:pPr>
    </w:p>
    <w:sectPr>
      <w:headerReference r:id="rId3" w:type="default"/>
      <w:footerReference r:id="rId4" w:type="default"/>
      <w:footerReference r:id="rId5" w:type="even"/>
      <w:pgSz w:w="11906" w:h="16838"/>
      <w:pgMar w:top="1440" w:right="1800" w:bottom="1440" w:left="1800" w:header="850" w:footer="102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left w:val="none" w:color="auto" w:sz="0" w:space="0"/>
        <w:bottom w:val="none" w:color="auto" w:sz="0" w:space="0"/>
        <w:right w:val="none" w:color="auto" w:sz="0" w:space="0"/>
        <w:between w:val="none" w:color="auto" w:sz="0" w:space="0"/>
      </w:pBdr>
      <w:tabs>
        <w:tab w:val="left" w:pos="5062"/>
        <w:tab w:val="right" w:pos="8426"/>
      </w:tabs>
      <w:jc w:val="left"/>
      <w:rPr>
        <w:rFonts w:hint="eastAsia" w:ascii="仿宋" w:hAnsi="仿宋" w:eastAsia="仿宋" w:cs="仿宋"/>
        <w:b/>
        <w:strike w:val="0"/>
        <w:dstrike w:val="0"/>
        <w:sz w:val="18"/>
        <w:szCs w:val="18"/>
        <w:u w:val="none"/>
      </w:rPr>
    </w:pPr>
    <w:r>
      <w:rPr>
        <w:sz w:val="15"/>
      </w:rPr>
      <w:pict>
        <v:shape id="_x0000_s2057" o:spid="_x0000_s2057" o:spt="136" type="#_x0000_t136" style="position:absolute;left:0pt;margin-left:223.5pt;margin-top:526.95pt;height:36.2pt;width:190.45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秦正价格评估" style="font-family:仿宋;font-size:36pt;v-same-letter-heights:f;v-text-align:center;"/>
        </v:shape>
      </w:pict>
    </w:r>
    <w:r>
      <w:rPr>
        <w:sz w:val="15"/>
      </w:rPr>
      <w:pict>
        <v:shape id="_x0000_s2056" o:spid="_x0000_s2056" o:spt="136" type="#_x0000_t136" style="position:absolute;left:0pt;margin-left:11.05pt;margin-top:529.4pt;height:36.2pt;width:190.45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秦正价格评估" style="font-family:仿宋;font-size:36pt;v-same-letter-heights:f;v-text-align:center;"/>
        </v:shape>
      </w:pict>
    </w:r>
    <w:r>
      <w:rPr>
        <w:strike w:val="0"/>
        <w:dstrike w:val="0"/>
        <w:sz w:val="18"/>
        <w:u w:val="none"/>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u w:val="none"/>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w:t>
                          </w:r>
                          <w:r>
                            <w:rPr>
                              <w:rFonts w:hint="eastAsia"/>
                              <w:u w:val="none"/>
                            </w:rPr>
                            <w:t xml:space="preserve"> 共 </w:t>
                          </w:r>
                          <w:r>
                            <w:rPr>
                              <w:rFonts w:hint="eastAsia"/>
                              <w:u w:val="none"/>
                            </w:rPr>
                            <w:fldChar w:fldCharType="begin"/>
                          </w:r>
                          <w:r>
                            <w:rPr>
                              <w:rFonts w:hint="eastAsia"/>
                              <w:u w:val="none"/>
                            </w:rPr>
                            <w:instrText xml:space="preserve"> NUMPAGES  \* MERGEFORMAT </w:instrText>
                          </w:r>
                          <w:r>
                            <w:rPr>
                              <w:rFonts w:hint="eastAsia"/>
                              <w:u w:val="none"/>
                            </w:rPr>
                            <w:fldChar w:fldCharType="separate"/>
                          </w:r>
                          <w:r>
                            <w:rPr>
                              <w:u w:val="none"/>
                            </w:rPr>
                            <w:t>12</w:t>
                          </w:r>
                          <w:r>
                            <w:rPr>
                              <w:rFonts w:hint="eastAsia"/>
                              <w:u w:val="none"/>
                            </w:rPr>
                            <w:fldChar w:fldCharType="end"/>
                          </w:r>
                          <w:r>
                            <w:rPr>
                              <w:rFonts w:hint="eastAsia"/>
                              <w:u w:val="none"/>
                            </w:rPr>
                            <w:t xml:space="preserve"> 页</w:t>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GnEaTFAQAAawMAAA4AAAAAAAAAAQAgAAAAHgEAAGRycy9lMm9Eb2MueG1s&#10;UEsFBgAAAAAGAAYAWQEAAFUFAAAAAA==&#10;">
              <v:fill on="f" focussize="0,0"/>
              <v:stroke on="f"/>
              <v:imagedata o:title=""/>
              <o:lock v:ext="edit" aspectratio="f"/>
              <v:textbox inset="0mm,0mm,0mm,0mm" style="mso-fit-shape-to-text:t;">
                <w:txbxContent>
                  <w:p>
                    <w:pPr>
                      <w:pStyle w:val="4"/>
                      <w:rPr>
                        <w:rFonts w:hint="eastAsia"/>
                        <w:u w:val="none"/>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w:t>
                    </w:r>
                    <w:r>
                      <w:rPr>
                        <w:rFonts w:hint="eastAsia"/>
                        <w:u w:val="none"/>
                      </w:rPr>
                      <w:t xml:space="preserve"> 共 </w:t>
                    </w:r>
                    <w:r>
                      <w:rPr>
                        <w:rFonts w:hint="eastAsia"/>
                        <w:u w:val="none"/>
                      </w:rPr>
                      <w:fldChar w:fldCharType="begin"/>
                    </w:r>
                    <w:r>
                      <w:rPr>
                        <w:rFonts w:hint="eastAsia"/>
                        <w:u w:val="none"/>
                      </w:rPr>
                      <w:instrText xml:space="preserve"> NUMPAGES  \* MERGEFORMAT </w:instrText>
                    </w:r>
                    <w:r>
                      <w:rPr>
                        <w:rFonts w:hint="eastAsia"/>
                        <w:u w:val="none"/>
                      </w:rPr>
                      <w:fldChar w:fldCharType="separate"/>
                    </w:r>
                    <w:r>
                      <w:rPr>
                        <w:u w:val="none"/>
                      </w:rPr>
                      <w:t>12</w:t>
                    </w:r>
                    <w:r>
                      <w:rPr>
                        <w:rFonts w:hint="eastAsia"/>
                        <w:u w:val="none"/>
                      </w:rPr>
                      <w:fldChar w:fldCharType="end"/>
                    </w:r>
                    <w:r>
                      <w:rPr>
                        <w:rFonts w:hint="eastAsia"/>
                        <w:u w:val="none"/>
                      </w:rPr>
                      <w:t xml:space="preserve"> 页</w:t>
                    </w:r>
                  </w:p>
                </w:txbxContent>
              </v:textbox>
            </v:shape>
          </w:pict>
        </mc:Fallback>
      </mc:AlternateContent>
    </w:r>
    <w:r>
      <w:rPr>
        <w:rFonts w:hint="eastAsia" w:ascii="黑体" w:hAnsi="黑体" w:eastAsia="黑体" w:cs="黑体"/>
        <w:strike w:val="0"/>
        <w:dstrike w:val="0"/>
        <w:sz w:val="18"/>
        <w:szCs w:val="18"/>
        <w:u w:val="none"/>
        <w:lang w:eastAsia="zh-CN"/>
      </w:rPr>
      <w:tab/>
    </w:r>
    <w:r>
      <w:rPr>
        <w:rFonts w:hint="eastAsia" w:ascii="黑体" w:hAnsi="黑体" w:eastAsia="黑体" w:cs="黑体"/>
        <w:strike w:val="0"/>
        <w:dstrike w:val="0"/>
        <w:sz w:val="18"/>
        <w:szCs w:val="18"/>
        <w:u w:val="none"/>
        <w:lang w:val="en-US" w:eastAsia="zh-CN"/>
      </w:rPr>
      <w:t xml:space="preserve">            </w:t>
    </w:r>
    <w:r>
      <w:rPr>
        <w:rFonts w:hint="eastAsia" w:ascii="黑体" w:hAnsi="黑体" w:eastAsia="黑体" w:cs="黑体"/>
        <w:strike w:val="0"/>
        <w:dstrike w:val="0"/>
        <w:sz w:val="18"/>
        <w:szCs w:val="18"/>
        <w:u w:val="none"/>
      </w:rPr>
      <w:t>秦价</w:t>
    </w:r>
    <w:r>
      <w:rPr>
        <w:rFonts w:hint="eastAsia" w:ascii="黑体" w:hAnsi="黑体" w:eastAsia="黑体" w:cs="黑体"/>
        <w:strike w:val="0"/>
        <w:dstrike w:val="0"/>
        <w:sz w:val="18"/>
        <w:szCs w:val="18"/>
        <w:u w:val="none"/>
        <w:lang w:val="en-US" w:eastAsia="zh-CN"/>
      </w:rPr>
      <w:t>汗评</w:t>
    </w:r>
    <w:r>
      <w:rPr>
        <w:rFonts w:hint="eastAsia" w:ascii="黑体" w:hAnsi="黑体" w:eastAsia="黑体" w:cs="黑体"/>
        <w:strike w:val="0"/>
        <w:dstrike w:val="0"/>
        <w:sz w:val="18"/>
        <w:szCs w:val="18"/>
        <w:u w:val="none"/>
      </w:rPr>
      <w:t>字[201</w:t>
    </w:r>
    <w:r>
      <w:rPr>
        <w:rFonts w:hint="eastAsia" w:ascii="黑体" w:hAnsi="黑体" w:eastAsia="黑体" w:cs="黑体"/>
        <w:strike w:val="0"/>
        <w:dstrike w:val="0"/>
        <w:sz w:val="18"/>
        <w:szCs w:val="18"/>
        <w:u w:val="none"/>
        <w:lang w:val="en-US" w:eastAsia="zh-CN"/>
      </w:rPr>
      <w:t>9</w:t>
    </w:r>
    <w:r>
      <w:rPr>
        <w:rFonts w:hint="eastAsia" w:ascii="黑体" w:hAnsi="黑体" w:eastAsia="黑体" w:cs="黑体"/>
        <w:strike w:val="0"/>
        <w:dstrike w:val="0"/>
        <w:sz w:val="18"/>
        <w:szCs w:val="18"/>
        <w:u w:val="none"/>
      </w:rPr>
      <w:t>]</w:t>
    </w:r>
    <w:r>
      <w:rPr>
        <w:rFonts w:hint="eastAsia" w:ascii="黑体" w:hAnsi="黑体" w:eastAsia="黑体" w:cs="黑体"/>
        <w:strike w:val="0"/>
        <w:dstrike w:val="0"/>
        <w:sz w:val="18"/>
        <w:szCs w:val="18"/>
        <w:u w:val="none"/>
        <w:lang w:val="en-US" w:eastAsia="zh-CN"/>
      </w:rPr>
      <w:t>114-9</w:t>
    </w:r>
    <w:r>
      <w:rPr>
        <w:rFonts w:hint="eastAsia" w:ascii="黑体" w:hAnsi="黑体" w:eastAsia="黑体" w:cs="黑体"/>
        <w:strike w:val="0"/>
        <w:dstrike w:val="0"/>
        <w:sz w:val="18"/>
        <w:szCs w:val="18"/>
        <w:u w:val="none"/>
      </w:rPr>
      <w:t>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9"/>
      </w:rPr>
    </w:pPr>
    <w:r>
      <w:fldChar w:fldCharType="begin"/>
    </w:r>
    <w:r>
      <w:rPr>
        <w:rStyle w:val="9"/>
      </w:rPr>
      <w:instrText xml:space="preserve">PAGE  </w:instrText>
    </w:r>
    <w:r>
      <w:fldChar w:fldCharType="end"/>
    </w:r>
  </w:p>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right"/>
      <w:rPr>
        <w:rFonts w:hint="eastAsia"/>
        <w:sz w:val="21"/>
        <w:szCs w:val="21"/>
      </w:rPr>
    </w:pPr>
    <w:r>
      <w:rPr>
        <w:rFonts w:hint="eastAsia"/>
        <w:sz w:val="21"/>
        <w:szCs w:val="21"/>
      </w:rPr>
      <w:t>陕西秦正价格评估有限公司</w:t>
    </w:r>
  </w:p>
  <w:p>
    <w:pPr>
      <w:pStyle w:val="5"/>
      <w:pBdr>
        <w:bottom w:val="single" w:color="auto" w:sz="4" w:space="1"/>
      </w:pBdr>
      <w:ind w:firstLine="3300" w:firstLineChars="2200"/>
      <w:jc w:val="right"/>
    </w:pPr>
    <w:r>
      <w:rPr>
        <w:sz w:val="15"/>
      </w:rPr>
      <w:pict>
        <v:shape id="_x0000_s2055" o:spid="_x0000_s2055" o:spt="136" type="#_x0000_t136" style="position:absolute;left:0pt;margin-left:221.05pt;margin-top:200.25pt;height:36.2pt;width:190.45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秦正价格评估" style="font-family:仿宋;font-size:36pt;v-same-letter-heights:f;v-text-align:center;"/>
        </v:shape>
      </w:pict>
    </w:r>
    <w:r>
      <w:rPr>
        <w:sz w:val="15"/>
      </w:rPr>
      <w:pict>
        <v:shape id="PowerPlusWaterMarkObject146155" o:spid="_x0000_s2054" o:spt="136" type="#_x0000_t136" style="position:absolute;left:0pt;margin-left:8.2pt;margin-top:193.25pt;height:36.2pt;width:190.45pt;mso-position-horizontal-relative:margin;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秦正价格评估" style="font-family:仿宋;font-size:36pt;v-same-letter-heights:f;v-text-align:center;"/>
        </v:shape>
      </w:pict>
    </w:r>
    <w:r>
      <w:rPr>
        <w:sz w:val="15"/>
      </w:rPr>
      <w:drawing>
        <wp:anchor distT="0" distB="0" distL="114300" distR="114300" simplePos="0" relativeHeight="251659264" behindDoc="1" locked="0" layoutInCell="1" allowOverlap="1">
          <wp:simplePos x="0" y="0"/>
          <wp:positionH relativeFrom="margin">
            <wp:align>right</wp:align>
          </wp:positionH>
          <wp:positionV relativeFrom="margin">
            <wp:align>bottom</wp:align>
          </wp:positionV>
          <wp:extent cx="576580" cy="591820"/>
          <wp:effectExtent l="0" t="0" r="7620" b="5080"/>
          <wp:wrapNone/>
          <wp:docPr id="3" name="WordPictureWatermark21492" descr="水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1492" descr="水印logo"/>
                  <pic:cNvPicPr>
                    <a:picLocks noChangeAspect="1"/>
                  </pic:cNvPicPr>
                </pic:nvPicPr>
                <pic:blipFill>
                  <a:blip r:embed="rId1">
                    <a:lum bright="70000" contrast="-70000"/>
                  </a:blip>
                  <a:stretch>
                    <a:fillRect/>
                  </a:stretch>
                </pic:blipFill>
                <pic:spPr>
                  <a:xfrm>
                    <a:off x="0" y="0"/>
                    <a:ext cx="576580" cy="591820"/>
                  </a:xfrm>
                  <a:prstGeom prst="rect">
                    <a:avLst/>
                  </a:prstGeom>
                </pic:spPr>
              </pic:pic>
            </a:graphicData>
          </a:graphic>
        </wp:anchor>
      </w:drawing>
    </w:r>
    <w:r>
      <w:rPr>
        <w:rFonts w:hint="eastAsia"/>
        <w:sz w:val="15"/>
        <w:szCs w:val="15"/>
      </w:rPr>
      <w:t>Shaanxi Qin Zheng price assessment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3B08F8"/>
    <w:multiLevelType w:val="singleLevel"/>
    <w:tmpl w:val="9B3B08F8"/>
    <w:lvl w:ilvl="0" w:tentative="0">
      <w:start w:val="2"/>
      <w:numFmt w:val="chineseCounting"/>
      <w:suff w:val="nothing"/>
      <w:lvlText w:val="（%1）"/>
      <w:lvlJc w:val="left"/>
      <w:pPr>
        <w:ind w:left="0" w:firstLine="420"/>
      </w:pPr>
      <w:rPr>
        <w:rFonts w:hint="eastAsia"/>
      </w:rPr>
    </w:lvl>
  </w:abstractNum>
  <w:abstractNum w:abstractNumId="1">
    <w:nsid w:val="B448E484"/>
    <w:multiLevelType w:val="singleLevel"/>
    <w:tmpl w:val="B448E484"/>
    <w:lvl w:ilvl="0" w:tentative="0">
      <w:start w:val="1"/>
      <w:numFmt w:val="decimal"/>
      <w:suff w:val="nothing"/>
      <w:lvlText w:val=" %1、"/>
      <w:lvlJc w:val="left"/>
      <w:pPr>
        <w:tabs>
          <w:tab w:val="left" w:pos="0"/>
        </w:tabs>
        <w:ind w:left="0" w:firstLine="403"/>
      </w:pPr>
      <w:rPr>
        <w:rFonts w:hint="default" w:ascii="宋体" w:hAnsi="宋体" w:eastAsia="宋体" w:cs="宋体"/>
      </w:rPr>
    </w:lvl>
  </w:abstractNum>
  <w:abstractNum w:abstractNumId="2">
    <w:nsid w:val="B64FC29E"/>
    <w:multiLevelType w:val="singleLevel"/>
    <w:tmpl w:val="B64FC29E"/>
    <w:lvl w:ilvl="0" w:tentative="0">
      <w:start w:val="1"/>
      <w:numFmt w:val="decimal"/>
      <w:suff w:val="nothing"/>
      <w:lvlText w:val="%1、"/>
      <w:lvlJc w:val="left"/>
    </w:lvl>
  </w:abstractNum>
  <w:abstractNum w:abstractNumId="3">
    <w:nsid w:val="B6FEEECE"/>
    <w:multiLevelType w:val="singleLevel"/>
    <w:tmpl w:val="B6FEEECE"/>
    <w:lvl w:ilvl="0" w:tentative="0">
      <w:start w:val="1"/>
      <w:numFmt w:val="decimal"/>
      <w:suff w:val="nothing"/>
      <w:lvlText w:val=" %1、"/>
      <w:lvlJc w:val="left"/>
      <w:pPr>
        <w:tabs>
          <w:tab w:val="left" w:pos="0"/>
        </w:tabs>
        <w:ind w:left="0" w:firstLine="403"/>
      </w:pPr>
      <w:rPr>
        <w:rFonts w:hint="default" w:ascii="宋体" w:hAnsi="宋体" w:eastAsia="宋体" w:cs="宋体"/>
      </w:rPr>
    </w:lvl>
  </w:abstractNum>
  <w:abstractNum w:abstractNumId="4">
    <w:nsid w:val="BBEDB912"/>
    <w:multiLevelType w:val="singleLevel"/>
    <w:tmpl w:val="BBEDB912"/>
    <w:lvl w:ilvl="0" w:tentative="0">
      <w:start w:val="1"/>
      <w:numFmt w:val="decimal"/>
      <w:suff w:val="nothing"/>
      <w:lvlText w:val="  %1、"/>
      <w:lvlJc w:val="left"/>
      <w:pPr>
        <w:tabs>
          <w:tab w:val="left" w:pos="0"/>
        </w:tabs>
        <w:ind w:left="0" w:firstLine="403"/>
      </w:pPr>
      <w:rPr>
        <w:rFonts w:hint="default" w:ascii="宋体" w:hAnsi="宋体" w:eastAsia="宋体" w:cs="宋体"/>
      </w:rPr>
    </w:lvl>
  </w:abstractNum>
  <w:abstractNum w:abstractNumId="5">
    <w:nsid w:val="C7BBB8EF"/>
    <w:multiLevelType w:val="singleLevel"/>
    <w:tmpl w:val="C7BBB8EF"/>
    <w:lvl w:ilvl="0" w:tentative="0">
      <w:start w:val="1"/>
      <w:numFmt w:val="decimal"/>
      <w:suff w:val="nothing"/>
      <w:lvlText w:val="%1、"/>
      <w:lvlJc w:val="left"/>
    </w:lvl>
  </w:abstractNum>
  <w:abstractNum w:abstractNumId="6">
    <w:nsid w:val="D4E276A6"/>
    <w:multiLevelType w:val="singleLevel"/>
    <w:tmpl w:val="D4E276A6"/>
    <w:lvl w:ilvl="0" w:tentative="0">
      <w:start w:val="1"/>
      <w:numFmt w:val="decimal"/>
      <w:suff w:val="nothing"/>
      <w:lvlText w:val=" %1、"/>
      <w:lvlJc w:val="left"/>
      <w:pPr>
        <w:tabs>
          <w:tab w:val="left" w:pos="0"/>
        </w:tabs>
        <w:ind w:left="0" w:firstLine="403"/>
      </w:pPr>
      <w:rPr>
        <w:rFonts w:hint="default" w:ascii="宋体" w:hAnsi="宋体" w:eastAsia="宋体" w:cs="宋体"/>
      </w:rPr>
    </w:lvl>
  </w:abstractNum>
  <w:abstractNum w:abstractNumId="7">
    <w:nsid w:val="E376EE57"/>
    <w:multiLevelType w:val="singleLevel"/>
    <w:tmpl w:val="E376EE57"/>
    <w:lvl w:ilvl="0" w:tentative="0">
      <w:start w:val="1"/>
      <w:numFmt w:val="chineseCounting"/>
      <w:suff w:val="nothing"/>
      <w:lvlText w:val="（%1）"/>
      <w:lvlJc w:val="left"/>
      <w:rPr>
        <w:rFonts w:hint="eastAsia"/>
      </w:rPr>
    </w:lvl>
  </w:abstractNum>
  <w:abstractNum w:abstractNumId="8">
    <w:nsid w:val="F1E1108E"/>
    <w:multiLevelType w:val="singleLevel"/>
    <w:tmpl w:val="F1E1108E"/>
    <w:lvl w:ilvl="0" w:tentative="0">
      <w:start w:val="1"/>
      <w:numFmt w:val="decimal"/>
      <w:suff w:val="nothing"/>
      <w:lvlText w:val="%1、"/>
      <w:lvlJc w:val="left"/>
    </w:lvl>
  </w:abstractNum>
  <w:abstractNum w:abstractNumId="9">
    <w:nsid w:val="08EF5620"/>
    <w:multiLevelType w:val="singleLevel"/>
    <w:tmpl w:val="08EF5620"/>
    <w:lvl w:ilvl="0" w:tentative="0">
      <w:start w:val="1"/>
      <w:numFmt w:val="decimal"/>
      <w:suff w:val="nothing"/>
      <w:lvlText w:val="%1、"/>
      <w:lvlJc w:val="left"/>
      <w:pPr>
        <w:ind w:left="0" w:firstLine="403"/>
      </w:pPr>
      <w:rPr>
        <w:rFonts w:hint="default"/>
      </w:rPr>
    </w:lvl>
  </w:abstractNum>
  <w:abstractNum w:abstractNumId="10">
    <w:nsid w:val="18C62095"/>
    <w:multiLevelType w:val="singleLevel"/>
    <w:tmpl w:val="18C62095"/>
    <w:lvl w:ilvl="0" w:tentative="0">
      <w:start w:val="1"/>
      <w:numFmt w:val="chineseCounting"/>
      <w:suff w:val="nothing"/>
      <w:lvlText w:val="%1、"/>
      <w:lvlJc w:val="left"/>
      <w:pPr>
        <w:ind w:left="0" w:firstLine="420"/>
      </w:pPr>
      <w:rPr>
        <w:rFonts w:hint="eastAsia"/>
      </w:rPr>
    </w:lvl>
  </w:abstractNum>
  <w:abstractNum w:abstractNumId="11">
    <w:nsid w:val="233FA2AC"/>
    <w:multiLevelType w:val="singleLevel"/>
    <w:tmpl w:val="233FA2AC"/>
    <w:lvl w:ilvl="0" w:tentative="0">
      <w:start w:val="1"/>
      <w:numFmt w:val="chineseCounting"/>
      <w:suff w:val="nothing"/>
      <w:lvlText w:val="（%1）"/>
      <w:lvlJc w:val="left"/>
      <w:pPr>
        <w:ind w:left="0" w:firstLine="420"/>
      </w:pPr>
      <w:rPr>
        <w:rFonts w:hint="eastAsia"/>
      </w:rPr>
    </w:lvl>
  </w:abstractNum>
  <w:abstractNum w:abstractNumId="12">
    <w:nsid w:val="5E3F71CE"/>
    <w:multiLevelType w:val="multilevel"/>
    <w:tmpl w:val="5E3F71CE"/>
    <w:lvl w:ilvl="0" w:tentative="0">
      <w:start w:val="1"/>
      <w:numFmt w:val="japaneseCounting"/>
      <w:lvlText w:val="%1、"/>
      <w:lvlJc w:val="left"/>
      <w:pPr>
        <w:tabs>
          <w:tab w:val="left" w:pos="1440"/>
        </w:tabs>
        <w:ind w:left="1440" w:hanging="720"/>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13">
    <w:nsid w:val="60BEAF4E"/>
    <w:multiLevelType w:val="singleLevel"/>
    <w:tmpl w:val="60BEAF4E"/>
    <w:lvl w:ilvl="0" w:tentative="0">
      <w:start w:val="1"/>
      <w:numFmt w:val="decimal"/>
      <w:lvlText w:val="(%1)"/>
      <w:lvlJc w:val="left"/>
      <w:pPr>
        <w:ind w:left="425" w:hanging="425"/>
      </w:pPr>
      <w:rPr>
        <w:rFonts w:hint="default"/>
      </w:rPr>
    </w:lvl>
  </w:abstractNum>
  <w:abstractNum w:abstractNumId="14">
    <w:nsid w:val="68B24DB3"/>
    <w:multiLevelType w:val="multilevel"/>
    <w:tmpl w:val="68B24DB3"/>
    <w:lvl w:ilvl="0" w:tentative="0">
      <w:start w:val="3"/>
      <w:numFmt w:val="japaneseCounting"/>
      <w:lvlText w:val="%1、"/>
      <w:lvlJc w:val="left"/>
      <w:pPr>
        <w:tabs>
          <w:tab w:val="left" w:pos="1440"/>
        </w:tabs>
        <w:ind w:left="1440" w:hanging="720"/>
      </w:pPr>
      <w:rPr>
        <w:rFonts w:hint="default"/>
        <w:lang w:val="en-US"/>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5">
    <w:nsid w:val="6EB62159"/>
    <w:multiLevelType w:val="singleLevel"/>
    <w:tmpl w:val="6EB62159"/>
    <w:lvl w:ilvl="0" w:tentative="0">
      <w:start w:val="1"/>
      <w:numFmt w:val="decimal"/>
      <w:suff w:val="nothing"/>
      <w:lvlText w:val="  %1、"/>
      <w:lvlJc w:val="left"/>
      <w:pPr>
        <w:tabs>
          <w:tab w:val="left" w:pos="0"/>
        </w:tabs>
        <w:ind w:left="0" w:firstLine="403"/>
      </w:pPr>
      <w:rPr>
        <w:rFonts w:hint="default" w:ascii="宋体" w:hAnsi="宋体" w:eastAsia="宋体" w:cs="宋体"/>
      </w:rPr>
    </w:lvl>
  </w:abstractNum>
  <w:abstractNum w:abstractNumId="16">
    <w:nsid w:val="788A3B51"/>
    <w:multiLevelType w:val="singleLevel"/>
    <w:tmpl w:val="788A3B51"/>
    <w:lvl w:ilvl="0" w:tentative="0">
      <w:start w:val="1"/>
      <w:numFmt w:val="decimal"/>
      <w:suff w:val="nothing"/>
      <w:lvlText w:val="  %1、"/>
      <w:lvlJc w:val="left"/>
      <w:pPr>
        <w:tabs>
          <w:tab w:val="left" w:pos="0"/>
        </w:tabs>
        <w:ind w:left="0" w:firstLine="403"/>
      </w:pPr>
      <w:rPr>
        <w:rFonts w:hint="default" w:ascii="宋体" w:hAnsi="宋体" w:eastAsia="宋体" w:cs="宋体"/>
      </w:rPr>
    </w:lvl>
  </w:abstractNum>
  <w:num w:numId="1">
    <w:abstractNumId w:val="12"/>
  </w:num>
  <w:num w:numId="2">
    <w:abstractNumId w:val="14"/>
  </w:num>
  <w:num w:numId="3">
    <w:abstractNumId w:val="11"/>
  </w:num>
  <w:num w:numId="4">
    <w:abstractNumId w:val="1"/>
  </w:num>
  <w:num w:numId="5">
    <w:abstractNumId w:val="0"/>
  </w:num>
  <w:num w:numId="6">
    <w:abstractNumId w:val="6"/>
  </w:num>
  <w:num w:numId="7">
    <w:abstractNumId w:val="3"/>
  </w:num>
  <w:num w:numId="8">
    <w:abstractNumId w:val="15"/>
  </w:num>
  <w:num w:numId="9">
    <w:abstractNumId w:val="16"/>
  </w:num>
  <w:num w:numId="10">
    <w:abstractNumId w:val="4"/>
  </w:num>
  <w:num w:numId="11">
    <w:abstractNumId w:val="10"/>
  </w:num>
  <w:num w:numId="12">
    <w:abstractNumId w:val="9"/>
  </w:num>
  <w:num w:numId="13">
    <w:abstractNumId w:val="8"/>
  </w:num>
  <w:num w:numId="14">
    <w:abstractNumId w:val="5"/>
  </w:num>
  <w:num w:numId="15">
    <w:abstractNumId w:val="7"/>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hyphenationZone w:val="360"/>
  <w:drawingGridVerticalSpacing w:val="156"/>
  <w:displayHorizontalDrawingGridEvery w:val="1"/>
  <w:displayVerticalDrawingGridEvery w:val="1"/>
  <w:doNotShadeFormData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9B3"/>
    <w:rsid w:val="0000757A"/>
    <w:rsid w:val="000075FA"/>
    <w:rsid w:val="00010693"/>
    <w:rsid w:val="000176E5"/>
    <w:rsid w:val="00022498"/>
    <w:rsid w:val="00023E70"/>
    <w:rsid w:val="000261CC"/>
    <w:rsid w:val="00034B97"/>
    <w:rsid w:val="00061590"/>
    <w:rsid w:val="000742C9"/>
    <w:rsid w:val="00084FC6"/>
    <w:rsid w:val="00094C9A"/>
    <w:rsid w:val="000A17CA"/>
    <w:rsid w:val="000A3541"/>
    <w:rsid w:val="000B1254"/>
    <w:rsid w:val="000C0A31"/>
    <w:rsid w:val="000C27B2"/>
    <w:rsid w:val="000C50C7"/>
    <w:rsid w:val="000D2240"/>
    <w:rsid w:val="000F4900"/>
    <w:rsid w:val="001051A8"/>
    <w:rsid w:val="001101D5"/>
    <w:rsid w:val="00117936"/>
    <w:rsid w:val="0012468F"/>
    <w:rsid w:val="00131C3D"/>
    <w:rsid w:val="001359D4"/>
    <w:rsid w:val="0014141A"/>
    <w:rsid w:val="00151555"/>
    <w:rsid w:val="00154A1E"/>
    <w:rsid w:val="001550E3"/>
    <w:rsid w:val="00160F61"/>
    <w:rsid w:val="001B13E5"/>
    <w:rsid w:val="001C14BC"/>
    <w:rsid w:val="001C5E45"/>
    <w:rsid w:val="001D48F9"/>
    <w:rsid w:val="001D71E9"/>
    <w:rsid w:val="001E0333"/>
    <w:rsid w:val="001E30D1"/>
    <w:rsid w:val="001F43BF"/>
    <w:rsid w:val="00207568"/>
    <w:rsid w:val="00216904"/>
    <w:rsid w:val="00222F47"/>
    <w:rsid w:val="00224386"/>
    <w:rsid w:val="00233AE1"/>
    <w:rsid w:val="00242F7A"/>
    <w:rsid w:val="00243878"/>
    <w:rsid w:val="0024702E"/>
    <w:rsid w:val="00251FEE"/>
    <w:rsid w:val="00261782"/>
    <w:rsid w:val="00263F14"/>
    <w:rsid w:val="00265F72"/>
    <w:rsid w:val="002719C8"/>
    <w:rsid w:val="002751A8"/>
    <w:rsid w:val="00297402"/>
    <w:rsid w:val="002B639A"/>
    <w:rsid w:val="002B6785"/>
    <w:rsid w:val="002D0F5F"/>
    <w:rsid w:val="002D74C3"/>
    <w:rsid w:val="002E2284"/>
    <w:rsid w:val="002F144B"/>
    <w:rsid w:val="002F3F97"/>
    <w:rsid w:val="00316772"/>
    <w:rsid w:val="0032043A"/>
    <w:rsid w:val="00336432"/>
    <w:rsid w:val="00337E6D"/>
    <w:rsid w:val="00351C34"/>
    <w:rsid w:val="00386052"/>
    <w:rsid w:val="00392196"/>
    <w:rsid w:val="00394DC2"/>
    <w:rsid w:val="003A6986"/>
    <w:rsid w:val="003C4A5D"/>
    <w:rsid w:val="003D2D19"/>
    <w:rsid w:val="003D2E93"/>
    <w:rsid w:val="003D4E8E"/>
    <w:rsid w:val="003E0A69"/>
    <w:rsid w:val="00416F7E"/>
    <w:rsid w:val="00423226"/>
    <w:rsid w:val="00425B91"/>
    <w:rsid w:val="00463B12"/>
    <w:rsid w:val="004662BA"/>
    <w:rsid w:val="00470166"/>
    <w:rsid w:val="00470D48"/>
    <w:rsid w:val="00473B7A"/>
    <w:rsid w:val="004C0499"/>
    <w:rsid w:val="004C2210"/>
    <w:rsid w:val="004E7C3D"/>
    <w:rsid w:val="005074C1"/>
    <w:rsid w:val="005136A1"/>
    <w:rsid w:val="00525E6D"/>
    <w:rsid w:val="00530A00"/>
    <w:rsid w:val="00530B4E"/>
    <w:rsid w:val="00531468"/>
    <w:rsid w:val="00551712"/>
    <w:rsid w:val="00556F4E"/>
    <w:rsid w:val="0057664A"/>
    <w:rsid w:val="005867E4"/>
    <w:rsid w:val="005A221C"/>
    <w:rsid w:val="005A5B5B"/>
    <w:rsid w:val="005B73CA"/>
    <w:rsid w:val="005D4522"/>
    <w:rsid w:val="005D4D69"/>
    <w:rsid w:val="005D55F7"/>
    <w:rsid w:val="005D6D79"/>
    <w:rsid w:val="005F3244"/>
    <w:rsid w:val="00602E89"/>
    <w:rsid w:val="00613A14"/>
    <w:rsid w:val="00673F97"/>
    <w:rsid w:val="00695595"/>
    <w:rsid w:val="006A07DC"/>
    <w:rsid w:val="006A39B1"/>
    <w:rsid w:val="006B7044"/>
    <w:rsid w:val="006C356C"/>
    <w:rsid w:val="006D0B65"/>
    <w:rsid w:val="006D475F"/>
    <w:rsid w:val="006D4D3A"/>
    <w:rsid w:val="006D587F"/>
    <w:rsid w:val="006D61B4"/>
    <w:rsid w:val="006E106C"/>
    <w:rsid w:val="006E7EB9"/>
    <w:rsid w:val="007007A4"/>
    <w:rsid w:val="00707534"/>
    <w:rsid w:val="00724907"/>
    <w:rsid w:val="00731F82"/>
    <w:rsid w:val="00742E94"/>
    <w:rsid w:val="00756D3E"/>
    <w:rsid w:val="007812B8"/>
    <w:rsid w:val="0078735A"/>
    <w:rsid w:val="00795167"/>
    <w:rsid w:val="007C16E3"/>
    <w:rsid w:val="007D396C"/>
    <w:rsid w:val="007D4CAC"/>
    <w:rsid w:val="007E3F52"/>
    <w:rsid w:val="007F5E40"/>
    <w:rsid w:val="00802EB5"/>
    <w:rsid w:val="00803149"/>
    <w:rsid w:val="0087205A"/>
    <w:rsid w:val="00877948"/>
    <w:rsid w:val="00883138"/>
    <w:rsid w:val="00890749"/>
    <w:rsid w:val="00891038"/>
    <w:rsid w:val="0089231C"/>
    <w:rsid w:val="008938D4"/>
    <w:rsid w:val="008A533F"/>
    <w:rsid w:val="008B1F93"/>
    <w:rsid w:val="008B6C3B"/>
    <w:rsid w:val="008D0557"/>
    <w:rsid w:val="008D14A5"/>
    <w:rsid w:val="008E40FA"/>
    <w:rsid w:val="008F048C"/>
    <w:rsid w:val="008F3E92"/>
    <w:rsid w:val="00920D16"/>
    <w:rsid w:val="00937DF0"/>
    <w:rsid w:val="00941818"/>
    <w:rsid w:val="00952A37"/>
    <w:rsid w:val="00963CC9"/>
    <w:rsid w:val="00990BF5"/>
    <w:rsid w:val="00993F8E"/>
    <w:rsid w:val="009A1427"/>
    <w:rsid w:val="009B5982"/>
    <w:rsid w:val="009C586F"/>
    <w:rsid w:val="009D6E2A"/>
    <w:rsid w:val="009E36DB"/>
    <w:rsid w:val="009F60BC"/>
    <w:rsid w:val="00A05E81"/>
    <w:rsid w:val="00A06D3E"/>
    <w:rsid w:val="00A14033"/>
    <w:rsid w:val="00A21776"/>
    <w:rsid w:val="00A270D5"/>
    <w:rsid w:val="00A41A9D"/>
    <w:rsid w:val="00A44443"/>
    <w:rsid w:val="00A506C4"/>
    <w:rsid w:val="00A600BE"/>
    <w:rsid w:val="00A61BF6"/>
    <w:rsid w:val="00A7131F"/>
    <w:rsid w:val="00A73283"/>
    <w:rsid w:val="00A75380"/>
    <w:rsid w:val="00AB1489"/>
    <w:rsid w:val="00AB621C"/>
    <w:rsid w:val="00AB78D9"/>
    <w:rsid w:val="00AC45E2"/>
    <w:rsid w:val="00AD2D41"/>
    <w:rsid w:val="00AD3EF1"/>
    <w:rsid w:val="00AE06BE"/>
    <w:rsid w:val="00AE0B06"/>
    <w:rsid w:val="00AE3E12"/>
    <w:rsid w:val="00AF2E87"/>
    <w:rsid w:val="00B145BB"/>
    <w:rsid w:val="00B2166E"/>
    <w:rsid w:val="00B234A3"/>
    <w:rsid w:val="00B26D5D"/>
    <w:rsid w:val="00B34BCF"/>
    <w:rsid w:val="00B54ADF"/>
    <w:rsid w:val="00B60CD0"/>
    <w:rsid w:val="00B67CDD"/>
    <w:rsid w:val="00B82194"/>
    <w:rsid w:val="00B852E6"/>
    <w:rsid w:val="00B85386"/>
    <w:rsid w:val="00B97C37"/>
    <w:rsid w:val="00BA307E"/>
    <w:rsid w:val="00BA623A"/>
    <w:rsid w:val="00BC4841"/>
    <w:rsid w:val="00BD3358"/>
    <w:rsid w:val="00BD74B0"/>
    <w:rsid w:val="00BE325D"/>
    <w:rsid w:val="00BE44CE"/>
    <w:rsid w:val="00BF1DE1"/>
    <w:rsid w:val="00BF721A"/>
    <w:rsid w:val="00C004D4"/>
    <w:rsid w:val="00C038D5"/>
    <w:rsid w:val="00C12532"/>
    <w:rsid w:val="00C20EF0"/>
    <w:rsid w:val="00C248E4"/>
    <w:rsid w:val="00C411F4"/>
    <w:rsid w:val="00C459AE"/>
    <w:rsid w:val="00C51B94"/>
    <w:rsid w:val="00C55243"/>
    <w:rsid w:val="00C56E8A"/>
    <w:rsid w:val="00C66AC4"/>
    <w:rsid w:val="00C72729"/>
    <w:rsid w:val="00C74EA6"/>
    <w:rsid w:val="00C76A95"/>
    <w:rsid w:val="00C77D8B"/>
    <w:rsid w:val="00C86E98"/>
    <w:rsid w:val="00C91371"/>
    <w:rsid w:val="00CA1503"/>
    <w:rsid w:val="00CC2AF3"/>
    <w:rsid w:val="00CC3380"/>
    <w:rsid w:val="00CD15D8"/>
    <w:rsid w:val="00CD5857"/>
    <w:rsid w:val="00CE5E0C"/>
    <w:rsid w:val="00CF48C9"/>
    <w:rsid w:val="00CF7A67"/>
    <w:rsid w:val="00D04EE0"/>
    <w:rsid w:val="00D25B75"/>
    <w:rsid w:val="00D431F9"/>
    <w:rsid w:val="00D85F86"/>
    <w:rsid w:val="00D96450"/>
    <w:rsid w:val="00D973E3"/>
    <w:rsid w:val="00DA2EB9"/>
    <w:rsid w:val="00DB75BD"/>
    <w:rsid w:val="00DC633D"/>
    <w:rsid w:val="00DD3043"/>
    <w:rsid w:val="00DD72EE"/>
    <w:rsid w:val="00DF754F"/>
    <w:rsid w:val="00DF7A00"/>
    <w:rsid w:val="00E039C1"/>
    <w:rsid w:val="00E119B3"/>
    <w:rsid w:val="00E24F7E"/>
    <w:rsid w:val="00E566FE"/>
    <w:rsid w:val="00E575F0"/>
    <w:rsid w:val="00E63DE2"/>
    <w:rsid w:val="00E70123"/>
    <w:rsid w:val="00E755EF"/>
    <w:rsid w:val="00E90ADA"/>
    <w:rsid w:val="00EA1060"/>
    <w:rsid w:val="00EA293D"/>
    <w:rsid w:val="00EA715D"/>
    <w:rsid w:val="00EC5F58"/>
    <w:rsid w:val="00EE25C5"/>
    <w:rsid w:val="00EF4F96"/>
    <w:rsid w:val="00EF6B52"/>
    <w:rsid w:val="00EF7614"/>
    <w:rsid w:val="00EF7F1C"/>
    <w:rsid w:val="00F0094C"/>
    <w:rsid w:val="00F12299"/>
    <w:rsid w:val="00F1344A"/>
    <w:rsid w:val="00F2472A"/>
    <w:rsid w:val="00F27A73"/>
    <w:rsid w:val="00F31DC6"/>
    <w:rsid w:val="00F40299"/>
    <w:rsid w:val="00F6695D"/>
    <w:rsid w:val="00F735BC"/>
    <w:rsid w:val="00F82F2C"/>
    <w:rsid w:val="00F84650"/>
    <w:rsid w:val="00FA073D"/>
    <w:rsid w:val="00FA150E"/>
    <w:rsid w:val="00FB597D"/>
    <w:rsid w:val="00FB774C"/>
    <w:rsid w:val="00FC4631"/>
    <w:rsid w:val="00FD3781"/>
    <w:rsid w:val="00FF1D09"/>
    <w:rsid w:val="00FF25B8"/>
    <w:rsid w:val="0114384F"/>
    <w:rsid w:val="013246B0"/>
    <w:rsid w:val="032400C1"/>
    <w:rsid w:val="03BA36A2"/>
    <w:rsid w:val="0490393A"/>
    <w:rsid w:val="050C020C"/>
    <w:rsid w:val="05AC22FA"/>
    <w:rsid w:val="05D222CE"/>
    <w:rsid w:val="06587884"/>
    <w:rsid w:val="066C607E"/>
    <w:rsid w:val="07E92CFA"/>
    <w:rsid w:val="086F59D8"/>
    <w:rsid w:val="08F11FF3"/>
    <w:rsid w:val="0B211A3B"/>
    <w:rsid w:val="0BEE6311"/>
    <w:rsid w:val="0D5801F9"/>
    <w:rsid w:val="0DE576FD"/>
    <w:rsid w:val="0F816268"/>
    <w:rsid w:val="10C55122"/>
    <w:rsid w:val="11480470"/>
    <w:rsid w:val="11D14C3C"/>
    <w:rsid w:val="12122C51"/>
    <w:rsid w:val="12873DB6"/>
    <w:rsid w:val="12AA51BE"/>
    <w:rsid w:val="13B22800"/>
    <w:rsid w:val="13B34FFF"/>
    <w:rsid w:val="140B0CB8"/>
    <w:rsid w:val="146D6DEC"/>
    <w:rsid w:val="14E936D7"/>
    <w:rsid w:val="15122E0D"/>
    <w:rsid w:val="15311D69"/>
    <w:rsid w:val="196F0142"/>
    <w:rsid w:val="19826C18"/>
    <w:rsid w:val="19C87169"/>
    <w:rsid w:val="1A086166"/>
    <w:rsid w:val="1A193D44"/>
    <w:rsid w:val="1B1106F9"/>
    <w:rsid w:val="1B230692"/>
    <w:rsid w:val="1B93298D"/>
    <w:rsid w:val="1BC10A2B"/>
    <w:rsid w:val="1BD9108F"/>
    <w:rsid w:val="1C0D5DB5"/>
    <w:rsid w:val="1C116EF6"/>
    <w:rsid w:val="1CBF0C52"/>
    <w:rsid w:val="1CD53612"/>
    <w:rsid w:val="1CDA109A"/>
    <w:rsid w:val="1E056EDD"/>
    <w:rsid w:val="1E1C3828"/>
    <w:rsid w:val="20550375"/>
    <w:rsid w:val="206C06E2"/>
    <w:rsid w:val="22BE2C2E"/>
    <w:rsid w:val="22E470B2"/>
    <w:rsid w:val="235D5958"/>
    <w:rsid w:val="236342A5"/>
    <w:rsid w:val="23F151CC"/>
    <w:rsid w:val="24470794"/>
    <w:rsid w:val="24CA135C"/>
    <w:rsid w:val="25AB4AE9"/>
    <w:rsid w:val="265D78F7"/>
    <w:rsid w:val="26D8466D"/>
    <w:rsid w:val="281E011D"/>
    <w:rsid w:val="282D2CB7"/>
    <w:rsid w:val="284638A5"/>
    <w:rsid w:val="28740B8A"/>
    <w:rsid w:val="292B4267"/>
    <w:rsid w:val="29763AC2"/>
    <w:rsid w:val="2AC06245"/>
    <w:rsid w:val="2B7621BE"/>
    <w:rsid w:val="2C99146C"/>
    <w:rsid w:val="2ED56318"/>
    <w:rsid w:val="2EE2576F"/>
    <w:rsid w:val="3049298A"/>
    <w:rsid w:val="316036D9"/>
    <w:rsid w:val="31761247"/>
    <w:rsid w:val="3221429E"/>
    <w:rsid w:val="327B3301"/>
    <w:rsid w:val="33EC63BF"/>
    <w:rsid w:val="351C0FF8"/>
    <w:rsid w:val="35AE7A64"/>
    <w:rsid w:val="35B44648"/>
    <w:rsid w:val="35C51FFE"/>
    <w:rsid w:val="35DB4A34"/>
    <w:rsid w:val="36A21579"/>
    <w:rsid w:val="378D1E10"/>
    <w:rsid w:val="37E714CD"/>
    <w:rsid w:val="38953AD8"/>
    <w:rsid w:val="38B9045C"/>
    <w:rsid w:val="398C3123"/>
    <w:rsid w:val="39E132A0"/>
    <w:rsid w:val="3AD415D4"/>
    <w:rsid w:val="3AFB4931"/>
    <w:rsid w:val="3BCD447D"/>
    <w:rsid w:val="3C274DFB"/>
    <w:rsid w:val="3C5E2969"/>
    <w:rsid w:val="3DC310E7"/>
    <w:rsid w:val="3DF82D4A"/>
    <w:rsid w:val="3E664E39"/>
    <w:rsid w:val="3F4C2D0E"/>
    <w:rsid w:val="3F6A29D9"/>
    <w:rsid w:val="3FE11696"/>
    <w:rsid w:val="407524BD"/>
    <w:rsid w:val="40D725D3"/>
    <w:rsid w:val="41405284"/>
    <w:rsid w:val="42C54DD9"/>
    <w:rsid w:val="42D450E7"/>
    <w:rsid w:val="42F207A0"/>
    <w:rsid w:val="4365100D"/>
    <w:rsid w:val="44E545DD"/>
    <w:rsid w:val="46612175"/>
    <w:rsid w:val="46CC782B"/>
    <w:rsid w:val="472A4ED9"/>
    <w:rsid w:val="47543CB4"/>
    <w:rsid w:val="47D27717"/>
    <w:rsid w:val="47F870EE"/>
    <w:rsid w:val="486D64ED"/>
    <w:rsid w:val="49C122F1"/>
    <w:rsid w:val="49EC5454"/>
    <w:rsid w:val="4B0D26AB"/>
    <w:rsid w:val="4B5875B4"/>
    <w:rsid w:val="4C502433"/>
    <w:rsid w:val="4D4073CB"/>
    <w:rsid w:val="4D7B32E4"/>
    <w:rsid w:val="4E294080"/>
    <w:rsid w:val="4E7F2FBB"/>
    <w:rsid w:val="4EE61EA6"/>
    <w:rsid w:val="4F831F51"/>
    <w:rsid w:val="505B28BC"/>
    <w:rsid w:val="523569BB"/>
    <w:rsid w:val="528418EE"/>
    <w:rsid w:val="5382492C"/>
    <w:rsid w:val="538557A6"/>
    <w:rsid w:val="53A87A02"/>
    <w:rsid w:val="54E1116C"/>
    <w:rsid w:val="55603E0F"/>
    <w:rsid w:val="55D95C39"/>
    <w:rsid w:val="57C07636"/>
    <w:rsid w:val="57CF20AD"/>
    <w:rsid w:val="57F37AA4"/>
    <w:rsid w:val="58ED7784"/>
    <w:rsid w:val="59ED6079"/>
    <w:rsid w:val="59FE3072"/>
    <w:rsid w:val="5AB41EAE"/>
    <w:rsid w:val="5AF32348"/>
    <w:rsid w:val="5CCC000E"/>
    <w:rsid w:val="5D500C5C"/>
    <w:rsid w:val="5DD25116"/>
    <w:rsid w:val="5E2F34BE"/>
    <w:rsid w:val="5E7D4662"/>
    <w:rsid w:val="5F071D0F"/>
    <w:rsid w:val="61ED740B"/>
    <w:rsid w:val="637E6DF7"/>
    <w:rsid w:val="63C46155"/>
    <w:rsid w:val="63F17109"/>
    <w:rsid w:val="6422287B"/>
    <w:rsid w:val="65070599"/>
    <w:rsid w:val="65B111EB"/>
    <w:rsid w:val="66C6748A"/>
    <w:rsid w:val="67003192"/>
    <w:rsid w:val="67390AFE"/>
    <w:rsid w:val="674153CE"/>
    <w:rsid w:val="67535FA1"/>
    <w:rsid w:val="692F7EB4"/>
    <w:rsid w:val="694C4BB5"/>
    <w:rsid w:val="69C67894"/>
    <w:rsid w:val="6A7E5E03"/>
    <w:rsid w:val="6AB21D23"/>
    <w:rsid w:val="6AB77162"/>
    <w:rsid w:val="6B063C39"/>
    <w:rsid w:val="6BC4033E"/>
    <w:rsid w:val="6BFD41F6"/>
    <w:rsid w:val="6C633A7E"/>
    <w:rsid w:val="6CCD63BC"/>
    <w:rsid w:val="6D346591"/>
    <w:rsid w:val="6DAE18C0"/>
    <w:rsid w:val="6EAF645B"/>
    <w:rsid w:val="6F325F51"/>
    <w:rsid w:val="6F8A1A44"/>
    <w:rsid w:val="6FC90567"/>
    <w:rsid w:val="72FB0002"/>
    <w:rsid w:val="730243E7"/>
    <w:rsid w:val="74E66117"/>
    <w:rsid w:val="7508004B"/>
    <w:rsid w:val="76D67A5F"/>
    <w:rsid w:val="77703ECD"/>
    <w:rsid w:val="777D1ACF"/>
    <w:rsid w:val="77D535C0"/>
    <w:rsid w:val="791C051C"/>
    <w:rsid w:val="7A2E6BCE"/>
    <w:rsid w:val="7A734F36"/>
    <w:rsid w:val="7C125E53"/>
    <w:rsid w:val="7D111F29"/>
    <w:rsid w:val="7DF84DA1"/>
    <w:rsid w:val="7E5476DF"/>
    <w:rsid w:val="7E881EC7"/>
    <w:rsid w:val="7FB4561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604" w:lineRule="exact"/>
      <w:jc w:val="center"/>
      <w:outlineLvl w:val="0"/>
    </w:pPr>
    <w:rPr>
      <w:b/>
      <w:bCs/>
      <w:spacing w:val="20"/>
      <w:kern w:val="44"/>
      <w:sz w:val="44"/>
      <w:szCs w:val="44"/>
    </w:rPr>
  </w:style>
  <w:style w:type="paragraph" w:styleId="3">
    <w:name w:val="heading 2"/>
    <w:basedOn w:val="1"/>
    <w:next w:val="1"/>
    <w:qFormat/>
    <w:uiPriority w:val="0"/>
    <w:pPr>
      <w:keepNext/>
      <w:keepLines/>
      <w:spacing w:line="604" w:lineRule="exact"/>
      <w:ind w:firstLine="200" w:firstLineChars="200"/>
      <w:outlineLvl w:val="1"/>
    </w:pPr>
    <w:rPr>
      <w:rFonts w:ascii="Arial" w:hAnsi="Arial" w:eastAsia="仿宋_GB2312"/>
      <w:b/>
      <w:bCs/>
      <w:spacing w:val="20"/>
      <w:sz w:val="28"/>
      <w:szCs w:val="28"/>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7"/>
    <customShpInfo spid="_x0000_s205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1538</Words>
  <Characters>1677</Characters>
  <Lines>17</Lines>
  <Paragraphs>4</Paragraphs>
  <TotalTime>8</TotalTime>
  <ScaleCrop>false</ScaleCrop>
  <LinksUpToDate>false</LinksUpToDate>
  <CharactersWithSpaces>1766</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2012-02-29T06:43:00Z</dcterms:created>
  <dc:creator>微软用户</dc:creator>
  <cp:lastModifiedBy>Administrator</cp:lastModifiedBy>
  <cp:lastPrinted>2017-01-10T06:32:00Z</cp:lastPrinted>
  <dcterms:modified xsi:type="dcterms:W3CDTF">2019-03-13T07:30:10Z</dcterms:modified>
  <dc:title>汉区价认鉴[2012] 029号</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