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top"/>
        <w:rPr>
          <w:rFonts w:ascii="宋体" w:hAnsi="宋体" w:cs="宋体"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Cs/>
          <w:color w:val="auto"/>
          <w:sz w:val="44"/>
          <w:szCs w:val="44"/>
          <w:highlight w:val="none"/>
        </w:rPr>
        <w:t>广西壮族自治区罗城仫佬族自治县人民法院</w:t>
      </w:r>
    </w:p>
    <w:p>
      <w:pPr>
        <w:jc w:val="center"/>
        <w:textAlignment w:val="top"/>
        <w:rPr>
          <w:rFonts w:eastAsia="方正小标宋简体"/>
          <w:bCs/>
          <w:color w:val="auto"/>
          <w:sz w:val="52"/>
          <w:szCs w:val="52"/>
          <w:highlight w:val="none"/>
        </w:rPr>
      </w:pPr>
      <w:r>
        <w:rPr>
          <w:rFonts w:eastAsia="方正小标宋简体"/>
          <w:bCs/>
          <w:color w:val="auto"/>
          <w:sz w:val="52"/>
          <w:szCs w:val="52"/>
          <w:highlight w:val="none"/>
        </w:rPr>
        <w:t>执 行 裁 定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right"/>
        <w:textAlignment w:val="auto"/>
        <w:outlineLvl w:val="0"/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（201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）桂1225执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val="en-US" w:eastAsia="zh-CN"/>
        </w:rPr>
        <w:t>134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号之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申请执行人：</w:t>
      </w:r>
      <w:bookmarkStart w:id="1" w:name="_GoBack"/>
      <w:bookmarkEnd w:id="1"/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吴宇涛，男，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1982年5月29日生，仫佬族，住罗城仫佬族自治县四把镇四把街83号，身份证号：45272319820529241X。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被执行人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广西世纪永泰建设投资集团有限公司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罗城分公司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，住所地：广西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罗城仫佬族自治县东门镇解放路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71号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统一社会信用代码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914512250617135655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法定代表人：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覃春生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，执行董事。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本院在执行申请执行人吴宇涛等68人与被执行人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广西世纪永泰建设投资集团有限公司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广西世纪永泰建设投资集团有限公司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罗城分公司房屋买卖合同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纠纷系列案件中，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本院于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val="en-US" w:eastAsia="zh-CN"/>
        </w:rPr>
        <w:t>2019年3月27日作出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（201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）桂1225执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val="en-US" w:eastAsia="zh-CN"/>
        </w:rPr>
        <w:t>134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号之一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执行裁定书，查封了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被执行人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广西世纪永泰建设投资集团有限公司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罗城公司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罗城仫佬族自治县东门镇朝阳路明宇苑云林大厦负一楼所有车位，现因被执行人未履行完毕所有给付义务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为维护当事人的合法权益，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本院认为，应对所查封的车位进行拍卖以履行本案给付义务，据此，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依照《中华人民共和国民事诉讼法》第二百四十四条、第二百四十七条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《最高人民法院关于人民法院民事执行中拍卖、变卖财产的规定》第一条规定，裁定如下：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拍卖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执行人广西世纪永泰建设投资集团有限公司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罗城分公司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罗城仫佬族自治县东门镇朝阳路明宇苑云林大厦负一楼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1至25号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车位（车位编号以本院编写的为准）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本裁定送达后即发生法律效力。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审　判　长　　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韦瑞营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 xml:space="preserve">人民陪审员　　谢继朗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 xml:space="preserve">人民陪审员　　潘常璨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  <w:bookmarkStart w:id="0" w:name="bookxyz"/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 xml:space="preserve"> 二〇一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十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 xml:space="preserve">日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ascii="仿宋_GB2312" w:hAnsi="宋体" w:eastAsia="仿宋_GB2312" w:cs="Arial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法官助理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　　</w:t>
      </w: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  <w:lang w:eastAsia="zh-CN"/>
        </w:rPr>
        <w:t>覃永扬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outlineLvl w:val="0"/>
        <w:rPr>
          <w:color w:val="auto"/>
          <w:highlight w:val="none"/>
        </w:rPr>
      </w:pPr>
      <w:r>
        <w:rPr>
          <w:rFonts w:hint="eastAsia" w:ascii="仿宋_GB2312" w:hAnsi="宋体" w:eastAsia="仿宋_GB2312" w:cs="Arial"/>
          <w:bCs/>
          <w:color w:val="auto"/>
          <w:sz w:val="32"/>
          <w:szCs w:val="32"/>
          <w:highlight w:val="none"/>
        </w:rPr>
        <w:t>书　记　员　　韦联勇</w:t>
      </w:r>
    </w:p>
    <w:sectPr>
      <w:headerReference r:id="rId3" w:type="default"/>
      <w:footerReference r:id="rId4" w:type="even"/>
      <w:pgSz w:w="11906" w:h="16838"/>
      <w:pgMar w:top="1440" w:right="1463" w:bottom="1440" w:left="1800" w:header="851" w:footer="1587" w:gutter="0"/>
      <w:pgNumType w:fmt="numberInDash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60"/>
    <w:rsid w:val="00497ADB"/>
    <w:rsid w:val="00991360"/>
    <w:rsid w:val="02C12EDE"/>
    <w:rsid w:val="0621564F"/>
    <w:rsid w:val="09DD6AAC"/>
    <w:rsid w:val="24630956"/>
    <w:rsid w:val="2E254659"/>
    <w:rsid w:val="2E4700BC"/>
    <w:rsid w:val="3BED0759"/>
    <w:rsid w:val="473C265B"/>
    <w:rsid w:val="4DC61910"/>
    <w:rsid w:val="52747E79"/>
    <w:rsid w:val="534D0FDF"/>
    <w:rsid w:val="60BB10B4"/>
    <w:rsid w:val="618A4699"/>
    <w:rsid w:val="63064AD1"/>
    <w:rsid w:val="6749132F"/>
    <w:rsid w:val="685D0075"/>
    <w:rsid w:val="6CFB7AF0"/>
    <w:rsid w:val="705930A8"/>
    <w:rsid w:val="71535B38"/>
    <w:rsid w:val="739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408</Characters>
  <Lines>3</Lines>
  <Paragraphs>1</Paragraphs>
  <TotalTime>6</TotalTime>
  <ScaleCrop>false</ScaleCrop>
  <LinksUpToDate>false</LinksUpToDate>
  <CharactersWithSpaces>478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2018-11-27T03:35:00Z</dcterms:created>
  <dc:creator>黄文柳</dc:creator>
  <cp:lastModifiedBy>韦瑞营</cp:lastModifiedBy>
  <cp:lastPrinted>2019-05-25T03:20:03Z</cp:lastPrinted>
  <dcterms:modified xsi:type="dcterms:W3CDTF">2019-05-25T03:25:50Z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