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rPr>
          <w:rFonts w:hAnsi="宋体"/>
          <w:b/>
          <w:sz w:val="84"/>
        </w:rPr>
      </w:pPr>
      <w:r>
        <w:rPr>
          <w:rFonts w:hAnsi="宋体" w:cs="宋体"/>
          <w:sz w:val="24"/>
          <w:szCs w:val="24"/>
        </w:rPr>
        <w:fldChar w:fldCharType="begin"/>
      </w:r>
      <w:r>
        <w:rPr>
          <w:rFonts w:hAnsi="宋体" w:cs="宋体"/>
          <w:sz w:val="24"/>
          <w:szCs w:val="24"/>
        </w:rPr>
        <w:instrText xml:space="preserve"> INCLUDEPICTURE "D:\\My Documents\\Tencent Files\\631266328\\Image\\WR$TZ6R9`L77G4}45VF{]5K.jpg" \* MERGEFORMATINET </w:instrText>
      </w:r>
      <w:r>
        <w:rPr>
          <w:rFonts w:hAnsi="宋体" w:cs="宋体"/>
          <w:sz w:val="24"/>
          <w:szCs w:val="24"/>
        </w:rPr>
        <w:fldChar w:fldCharType="separate"/>
      </w:r>
      <w:r>
        <w:rPr>
          <w:rFonts w:hAnsi="宋体" w:cs="宋体"/>
          <w:sz w:val="24"/>
          <w:szCs w:val="24"/>
        </w:rPr>
        <w:drawing>
          <wp:inline distT="0" distB="0" distL="114300" distR="114300">
            <wp:extent cx="979170" cy="1604645"/>
            <wp:effectExtent l="0" t="0" r="11430" b="14605"/>
            <wp:docPr id="1" name="图片 1" descr="WR$TZ6R9`L77G4}45VF{]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R$TZ6R9`L77G4}45VF{]5K"/>
                    <pic:cNvPicPr>
                      <a:picLocks noChangeAspect="1"/>
                    </pic:cNvPicPr>
                  </pic:nvPicPr>
                  <pic:blipFill>
                    <a:blip r:embed="rId16" cstate="print"/>
                    <a:stretch>
                      <a:fillRect/>
                    </a:stretch>
                  </pic:blipFill>
                  <pic:spPr>
                    <a:xfrm>
                      <a:off x="0" y="0"/>
                      <a:ext cx="979170" cy="1604645"/>
                    </a:xfrm>
                    <a:prstGeom prst="rect">
                      <a:avLst/>
                    </a:prstGeom>
                    <a:noFill/>
                    <a:ln w="9525">
                      <a:noFill/>
                    </a:ln>
                  </pic:spPr>
                </pic:pic>
              </a:graphicData>
            </a:graphic>
          </wp:inline>
        </w:drawing>
      </w:r>
      <w:r>
        <w:rPr>
          <w:rFonts w:hAnsi="宋体" w:cs="宋体"/>
          <w:sz w:val="24"/>
          <w:szCs w:val="24"/>
        </w:rPr>
        <w:fldChar w:fldCharType="end"/>
      </w:r>
    </w:p>
    <w:p>
      <w:pPr>
        <w:spacing w:line="600" w:lineRule="auto"/>
        <w:jc w:val="center"/>
        <w:rPr>
          <w:rFonts w:hAnsi="宋体"/>
          <w:b/>
          <w:sz w:val="72"/>
          <w:szCs w:val="72"/>
        </w:rPr>
      </w:pPr>
      <w:r>
        <w:rPr>
          <w:rFonts w:hint="eastAsia" w:hAnsi="宋体"/>
          <w:b/>
          <w:sz w:val="72"/>
          <w:szCs w:val="72"/>
        </w:rPr>
        <w:t>房地产估价报告</w:t>
      </w:r>
    </w:p>
    <w:p>
      <w:pPr>
        <w:spacing w:line="600" w:lineRule="auto"/>
        <w:rPr>
          <w:rFonts w:ascii="楷体_GB2312" w:eastAsia="楷体_GB2312"/>
          <w:b/>
          <w:sz w:val="32"/>
        </w:rPr>
      </w:pPr>
      <w:r>
        <w:rPr>
          <w:sz w:val="32"/>
        </w:rPr>
        <w:pict>
          <v:shape id="未知" o:spid="_x0000_s1026" o:spt="100" style="position:absolute;left:0pt;margin-left:-22.35pt;margin-top:21.55pt;height:0.2pt;width:459.85pt;z-index:251658240;mso-width-relative:page;mso-height-relative:page;" filled="f" stroked="t" coordsize="9197,4" o:gfxdata="UEsDBAoAAAAAAIdO4kAAAAAAAAAAAAAAAAAEAAAAZHJzL1BLAwQUAAAACACHTuJAeeSHBNYAAAAJ&#10;AQAADwAAAGRycy9kb3ducmV2LnhtbE2PwW7CMAyG75P2DpEn7TJB0tEO1DXlwLTzBEWcQ+u1FYnT&#10;NYHC28+ctqPtX5+/v1hfnRUXHEPvSUMyVyCQat/01GrYV5+zFYgQDTXGekINNwywLh8fCpM3fqIt&#10;XnaxFQyhkBsNXYxDLmWoO3QmzP2AxLdvPzoTeRxb2YxmYriz8lWpN+lMT/yhMwNuOqxPu7PTkGb1&#10;18thqrKfk90q87Gh/a1aaP38lKh3EBGv8S8Md31Wh5Kdjv5MTRBWwyxNlxxl2CIBwYHVMuNyx/si&#10;A1kW8n+D8hdQSwMEFAAAAAgAh07iQEfIrQwWAgAAXgQAAA4AAABkcnMvZTJvRG9jLnhtbK1UzY7T&#10;MBC+I/EOlu80SdWybdV0D5TlgmClXR5gajuJJf/Jdpv2XZA4ceHB4DUYO/1jV1ohxMUZe8bj7/tm&#10;JsvbvVZkJ3yQ1tS0GpWUCMMsl6at6ZfHuzczSkIEw0FZI2p6EIHerl6/WvZuIca2s4oLTzCJCYve&#10;1bSL0S2KIrBOaAgj64RBZ2O9hohb3xbcQ4/ZtSrGZfm26K3nzlsmQsDT9eCkq5y/aQSLn5smiEhU&#10;TRFbzKvP6yatxWoJi9aD6yQ7woB/QKFBGnz0nGoNEcjWy2eptGTeBtvEEbO6sE0jmcgckE1VPmHz&#10;0IETmQuKE9xZpvD/0rJPu3tPJK/pmBIDGkv08+uPX9++J2V6FxYY8ODu/XEX0Ew0943X6YsEyD6r&#10;eTirKfaRMDycziZlOZ9SwtA3nk6y2MXlLtuG+EHYnAd2H0McasFPFnQni+3NyfRY0Rdr6SCmewlc&#10;Mklf03k1v6Gkq+kkl0jbnXi0OSA+AY/oLl5lrqOGJMhkkpTBwMGNRnomn5yfxsNrcsbeSaUyO2US&#10;oOlNNcVmZIAN3yiIaGqHJQimzQiDVZKnOwlk8O3mnfJkB6mFy1lZnoT8I8z5ENcQuiEuu4bm9nZr&#10;eH68E8DfG07iwWGZDc4jTWi04JQogeObrBwZQaq/icwyIPfUKENrJGtj+QGbauu8bDucuCorljzY&#10;xFmp48ClKbne50yX38Lq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nkhwTWAAAACQEAAA8AAAAA&#10;AAAAAQAgAAAAIgAAAGRycy9kb3ducmV2LnhtbFBLAQIUABQAAAAIAIdO4kBHyK0MFgIAAF4EAAAO&#10;AAAAAAAAAAEAIAAAACUBAABkcnMvZTJvRG9jLnhtbFBLBQYAAAAABgAGAFkBAACtBQAAAAA=&#10;" adj="," path="m0,0l9197,4e">
            <v:path o:connecttype="segments"/>
            <v:fill on="f" focussize="0,0"/>
            <v:stroke weight="4.5pt" color="#008000" joinstyle="round"/>
            <v:imagedata o:title=""/>
            <o:lock v:ext="edit"/>
          </v:shape>
        </w:pict>
      </w:r>
    </w:p>
    <w:p>
      <w:pPr>
        <w:ind w:left="3534" w:hanging="3534" w:hangingChars="1100"/>
        <w:jc w:val="both"/>
        <w:rPr>
          <w:rFonts w:hAnsi="宋体"/>
          <w:b/>
          <w:sz w:val="32"/>
          <w:szCs w:val="32"/>
        </w:rPr>
      </w:pPr>
    </w:p>
    <w:p>
      <w:pPr>
        <w:rPr>
          <w:rFonts w:ascii="楷体_GB2312" w:eastAsia="楷体_GB2312"/>
          <w:b/>
          <w:sz w:val="44"/>
          <w:szCs w:val="44"/>
        </w:rPr>
      </w:pPr>
    </w:p>
    <w:p>
      <w:pPr>
        <w:rPr>
          <w:rFonts w:ascii="楷体_GB2312" w:eastAsia="楷体_GB2312"/>
          <w:b/>
          <w:sz w:val="44"/>
          <w:szCs w:val="44"/>
        </w:rPr>
      </w:pPr>
    </w:p>
    <w:p>
      <w:pPr>
        <w:spacing w:line="800" w:lineRule="exact"/>
        <w:ind w:left="2568" w:leftChars="114" w:hanging="2249" w:hangingChars="700"/>
        <w:rPr>
          <w:rFonts w:hAnsi="宋体"/>
          <w:bCs/>
          <w:sz w:val="32"/>
          <w:szCs w:val="32"/>
        </w:rPr>
      </w:pPr>
      <w:r>
        <w:rPr>
          <w:rFonts w:hint="eastAsia" w:hAnsi="宋体"/>
          <w:b/>
          <w:sz w:val="32"/>
          <w:szCs w:val="32"/>
        </w:rPr>
        <w:t>估价项目名称：</w:t>
      </w:r>
      <w:r>
        <w:rPr>
          <w:rFonts w:hint="eastAsia" w:ascii="Times New Roman" w:hAnsi="Times New Roman" w:eastAsia="宋体" w:cs="Times New Roman"/>
          <w:kern w:val="2"/>
          <w:sz w:val="32"/>
          <w:szCs w:val="32"/>
        </w:rPr>
        <w:t>位于贵阳市南明区花果园彭家湾棚户区改造项目C区1号楼1单元32层6号</w:t>
      </w:r>
      <w:r>
        <w:rPr>
          <w:rFonts w:hint="eastAsia" w:hAnsi="宋体"/>
          <w:bCs/>
          <w:sz w:val="32"/>
          <w:szCs w:val="32"/>
        </w:rPr>
        <w:t>房地产的市场价值估价</w:t>
      </w:r>
    </w:p>
    <w:p>
      <w:pPr>
        <w:spacing w:line="540" w:lineRule="exact"/>
        <w:ind w:firstLine="321" w:firstLineChars="100"/>
        <w:rPr>
          <w:rFonts w:hAnsi="宋体"/>
          <w:sz w:val="32"/>
          <w:szCs w:val="32"/>
        </w:rPr>
      </w:pPr>
      <w:r>
        <w:rPr>
          <w:rFonts w:hint="eastAsia" w:hAnsi="宋体"/>
          <w:b/>
          <w:sz w:val="32"/>
          <w:szCs w:val="32"/>
        </w:rPr>
        <w:t>估价委托人</w:t>
      </w:r>
      <w:r>
        <w:rPr>
          <w:rFonts w:hint="eastAsia" w:hAnsi="宋体"/>
          <w:sz w:val="32"/>
          <w:szCs w:val="32"/>
        </w:rPr>
        <w:t>：</w:t>
      </w:r>
      <w:r>
        <w:rPr>
          <w:rFonts w:hint="eastAsia" w:ascii="Times New Roman" w:hAnsi="Times New Roman" w:eastAsia="宋体" w:cs="Times New Roman"/>
          <w:kern w:val="2"/>
          <w:sz w:val="32"/>
          <w:szCs w:val="32"/>
        </w:rPr>
        <w:t>贵阳市云岩区人民法院</w:t>
      </w:r>
    </w:p>
    <w:p>
      <w:pPr>
        <w:spacing w:line="540" w:lineRule="exact"/>
        <w:ind w:firstLine="321" w:firstLineChars="100"/>
        <w:rPr>
          <w:rFonts w:hAnsi="宋体"/>
          <w:sz w:val="32"/>
          <w:szCs w:val="32"/>
        </w:rPr>
      </w:pPr>
      <w:r>
        <w:rPr>
          <w:rFonts w:hint="eastAsia" w:hAnsi="宋体"/>
          <w:b/>
          <w:sz w:val="32"/>
          <w:szCs w:val="32"/>
        </w:rPr>
        <w:t>房地产估价机构：</w:t>
      </w:r>
      <w:r>
        <w:rPr>
          <w:rFonts w:hint="eastAsia" w:hAnsi="宋体"/>
          <w:sz w:val="32"/>
          <w:szCs w:val="32"/>
        </w:rPr>
        <w:t>贵州瑞华亚太房地产土地评估有限公司</w:t>
      </w:r>
    </w:p>
    <w:p>
      <w:pPr>
        <w:spacing w:line="540" w:lineRule="exact"/>
        <w:ind w:firstLine="321" w:firstLineChars="100"/>
        <w:rPr>
          <w:rFonts w:hAnsi="宋体"/>
          <w:szCs w:val="28"/>
        </w:rPr>
      </w:pPr>
      <w:r>
        <w:rPr>
          <w:rFonts w:hint="eastAsia" w:hAnsi="宋体"/>
          <w:b/>
          <w:sz w:val="32"/>
          <w:szCs w:val="32"/>
        </w:rPr>
        <w:t>注册房地产估价师：</w:t>
      </w:r>
      <w:r>
        <w:rPr>
          <w:rFonts w:hint="eastAsia" w:hAnsi="宋体"/>
          <w:sz w:val="32"/>
          <w:szCs w:val="32"/>
        </w:rPr>
        <w:t>谢光明</w:t>
      </w:r>
      <w:r>
        <w:rPr>
          <w:rFonts w:hAnsi="宋体"/>
          <w:sz w:val="32"/>
          <w:szCs w:val="32"/>
        </w:rPr>
        <w:t xml:space="preserve">   注册证号：</w:t>
      </w:r>
      <w:r>
        <w:rPr>
          <w:snapToGrid w:val="0"/>
          <w:sz w:val="32"/>
          <w:szCs w:val="32"/>
        </w:rPr>
        <w:t>52201</w:t>
      </w:r>
      <w:r>
        <w:rPr>
          <w:rFonts w:hint="eastAsia"/>
          <w:snapToGrid w:val="0"/>
          <w:sz w:val="32"/>
          <w:szCs w:val="32"/>
        </w:rPr>
        <w:t>8</w:t>
      </w:r>
      <w:r>
        <w:rPr>
          <w:snapToGrid w:val="0"/>
          <w:sz w:val="32"/>
          <w:szCs w:val="32"/>
        </w:rPr>
        <w:t>0</w:t>
      </w:r>
      <w:r>
        <w:rPr>
          <w:rFonts w:hint="eastAsia"/>
          <w:snapToGrid w:val="0"/>
          <w:sz w:val="32"/>
          <w:szCs w:val="32"/>
        </w:rPr>
        <w:t>018</w:t>
      </w:r>
    </w:p>
    <w:p>
      <w:pPr>
        <w:spacing w:line="540" w:lineRule="exact"/>
        <w:ind w:firstLine="3200" w:firstLineChars="1000"/>
        <w:rPr>
          <w:rFonts w:hAnsi="宋体"/>
          <w:sz w:val="32"/>
          <w:szCs w:val="32"/>
        </w:rPr>
      </w:pPr>
      <w:r>
        <w:rPr>
          <w:rFonts w:hint="eastAsia"/>
          <w:sz w:val="32"/>
          <w:szCs w:val="32"/>
        </w:rPr>
        <w:t xml:space="preserve">张绍伙 </w:t>
      </w:r>
      <w:r>
        <w:rPr>
          <w:rFonts w:hAnsi="宋体"/>
          <w:sz w:val="32"/>
          <w:szCs w:val="32"/>
        </w:rPr>
        <w:t xml:space="preserve">  注册证号：</w:t>
      </w:r>
      <w:r>
        <w:rPr>
          <w:snapToGrid w:val="0"/>
          <w:sz w:val="32"/>
          <w:szCs w:val="32"/>
        </w:rPr>
        <w:t>5220100023</w:t>
      </w:r>
    </w:p>
    <w:p>
      <w:pPr>
        <w:spacing w:line="540" w:lineRule="exact"/>
        <w:ind w:firstLine="321" w:firstLineChars="100"/>
        <w:rPr>
          <w:sz w:val="32"/>
          <w:szCs w:val="32"/>
        </w:rPr>
      </w:pPr>
      <w:r>
        <w:rPr>
          <w:rFonts w:hint="eastAsia" w:hAnsi="宋体"/>
          <w:b/>
          <w:sz w:val="32"/>
          <w:szCs w:val="32"/>
        </w:rPr>
        <w:t>估价报告出具日期：</w:t>
      </w:r>
      <w:r>
        <w:rPr>
          <w:rFonts w:hint="eastAsia"/>
          <w:sz w:val="32"/>
          <w:szCs w:val="32"/>
        </w:rPr>
        <w:t>2019年2月26日</w:t>
      </w:r>
    </w:p>
    <w:p>
      <w:pPr>
        <w:spacing w:line="540" w:lineRule="exact"/>
        <w:ind w:firstLine="321" w:firstLineChars="100"/>
        <w:rPr>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134" w:left="1418" w:header="851" w:footer="851" w:gutter="0"/>
          <w:pgNumType w:start="0"/>
          <w:cols w:space="720" w:num="1"/>
          <w:titlePg/>
          <w:docGrid w:type="lines" w:linePitch="312" w:charSpace="0"/>
        </w:sectPr>
      </w:pPr>
      <w:r>
        <w:rPr>
          <w:rFonts w:hint="eastAsia" w:hAnsi="宋体"/>
          <w:b/>
          <w:sz w:val="32"/>
          <w:szCs w:val="32"/>
        </w:rPr>
        <w:t>估价报告编号：</w:t>
      </w:r>
      <w:r>
        <w:rPr>
          <w:rFonts w:hint="eastAsia"/>
          <w:sz w:val="32"/>
          <w:szCs w:val="32"/>
        </w:rPr>
        <w:t>黔亚太房评【2019】0035号</w:t>
      </w:r>
    </w:p>
    <w:p>
      <w:pPr>
        <w:pStyle w:val="2"/>
        <w:spacing w:beforeLines="50" w:afterLines="50" w:line="360" w:lineRule="auto"/>
        <w:jc w:val="center"/>
        <w:rPr>
          <w:rFonts w:hAnsi="宋体"/>
          <w:spacing w:val="100"/>
        </w:rPr>
      </w:pPr>
      <w:r>
        <w:rPr>
          <w:rFonts w:hAnsi="宋体"/>
          <w:spacing w:val="100"/>
        </w:rPr>
        <w:t>致</w:t>
      </w:r>
      <w:r>
        <w:rPr>
          <w:rFonts w:hint="eastAsia" w:hAnsi="宋体"/>
          <w:spacing w:val="100"/>
        </w:rPr>
        <w:t>委托人</w:t>
      </w:r>
      <w:r>
        <w:rPr>
          <w:rFonts w:hAnsi="宋体"/>
          <w:spacing w:val="100"/>
        </w:rPr>
        <w:t>函</w:t>
      </w:r>
    </w:p>
    <w:p>
      <w:pPr>
        <w:spacing w:line="360" w:lineRule="auto"/>
        <w:rPr>
          <w:rFonts w:hAnsi="宋体"/>
          <w:b/>
          <w:szCs w:val="28"/>
        </w:rPr>
      </w:pPr>
      <w:r>
        <w:rPr>
          <w:rFonts w:hint="eastAsia" w:hAnsi="宋体"/>
          <w:b/>
          <w:szCs w:val="28"/>
        </w:rPr>
        <w:t>贵阳市云岩区人民法院：</w:t>
      </w:r>
    </w:p>
    <w:p>
      <w:pPr>
        <w:spacing w:line="360" w:lineRule="auto"/>
        <w:ind w:firstLine="560" w:firstLineChars="200"/>
        <w:rPr>
          <w:rFonts w:hAnsi="宋体"/>
          <w:szCs w:val="28"/>
        </w:rPr>
      </w:pPr>
      <w:r>
        <w:rPr>
          <w:rFonts w:hint="eastAsia" w:hAnsi="宋体"/>
          <w:szCs w:val="28"/>
        </w:rPr>
        <w:t>我公司接受贵单位的</w:t>
      </w:r>
      <w:r>
        <w:rPr>
          <w:rFonts w:hAnsi="宋体"/>
          <w:szCs w:val="28"/>
        </w:rPr>
        <w:t>委托，秉着独立、客观、公正、科学的原则，对</w:t>
      </w:r>
      <w:r>
        <w:rPr>
          <w:rFonts w:hint="eastAsia" w:hAnsi="宋体"/>
          <w:szCs w:val="28"/>
        </w:rPr>
        <w:t>王传双拥有并位于贵阳市南明区花果园彭家湾棚户区改造项目C区1号楼1单元32层6号的住宅房地产的市场价值</w:t>
      </w:r>
      <w:r>
        <w:rPr>
          <w:rFonts w:hAnsi="宋体"/>
          <w:szCs w:val="28"/>
        </w:rPr>
        <w:t>进行了</w:t>
      </w:r>
      <w:r>
        <w:rPr>
          <w:rFonts w:hint="eastAsia" w:hAnsi="宋体"/>
          <w:szCs w:val="28"/>
        </w:rPr>
        <w:t>评估</w:t>
      </w:r>
      <w:r>
        <w:rPr>
          <w:rFonts w:hAnsi="宋体"/>
          <w:szCs w:val="28"/>
        </w:rPr>
        <w:t>,</w:t>
      </w:r>
      <w:r>
        <w:rPr>
          <w:rFonts w:hint="eastAsia" w:hAnsi="宋体"/>
          <w:szCs w:val="28"/>
        </w:rPr>
        <w:t xml:space="preserve"> 评估基本事项如下：</w:t>
      </w:r>
    </w:p>
    <w:p>
      <w:pPr>
        <w:spacing w:line="360" w:lineRule="auto"/>
        <w:ind w:firstLine="562" w:firstLineChars="200"/>
        <w:rPr>
          <w:rFonts w:hAnsi="宋体"/>
          <w:szCs w:val="28"/>
        </w:rPr>
      </w:pPr>
      <w:r>
        <w:rPr>
          <w:rFonts w:hint="eastAsia" w:hAnsi="宋体"/>
          <w:b/>
          <w:bCs/>
          <w:szCs w:val="28"/>
        </w:rPr>
        <w:t>估价目的：</w:t>
      </w:r>
      <w:r>
        <w:rPr>
          <w:rFonts w:hint="eastAsia" w:hAnsi="宋体"/>
          <w:szCs w:val="28"/>
        </w:rPr>
        <w:t>估价目的是为估价委托人执行案件提供价值参考依据。</w:t>
      </w:r>
    </w:p>
    <w:p>
      <w:pPr>
        <w:spacing w:line="360" w:lineRule="auto"/>
        <w:ind w:firstLine="562" w:firstLineChars="200"/>
        <w:rPr>
          <w:rFonts w:hAnsi="宋体"/>
          <w:szCs w:val="28"/>
        </w:rPr>
      </w:pPr>
      <w:r>
        <w:rPr>
          <w:rFonts w:hint="eastAsia" w:hAnsi="宋体"/>
          <w:b/>
          <w:bCs/>
          <w:szCs w:val="28"/>
        </w:rPr>
        <w:t>估价对象：</w:t>
      </w:r>
      <w:r>
        <w:rPr>
          <w:rFonts w:hint="eastAsia" w:hAnsi="宋体"/>
          <w:szCs w:val="28"/>
        </w:rPr>
        <w:t>估价对象为贵阳市南明区花果园彭家湾棚户区改造项目C区1号楼1单元32层6号的一套住宅房地产。</w:t>
      </w:r>
    </w:p>
    <w:p>
      <w:pPr>
        <w:spacing w:line="360" w:lineRule="auto"/>
        <w:ind w:firstLine="562" w:firstLineChars="200"/>
        <w:rPr>
          <w:rFonts w:hAnsi="宋体"/>
          <w:szCs w:val="28"/>
        </w:rPr>
      </w:pPr>
      <w:r>
        <w:rPr>
          <w:rFonts w:hint="eastAsia" w:hAnsi="宋体"/>
          <w:b/>
          <w:szCs w:val="28"/>
        </w:rPr>
        <w:t>价值时点：</w:t>
      </w:r>
      <w:r>
        <w:rPr>
          <w:rFonts w:hAnsi="宋体"/>
          <w:szCs w:val="28"/>
        </w:rPr>
        <w:t>价值时点为</w:t>
      </w:r>
      <w:r>
        <w:rPr>
          <w:rFonts w:hint="eastAsia"/>
          <w:szCs w:val="28"/>
        </w:rPr>
        <w:t>2019年1月22日（系评估委托书记载之日）。</w:t>
      </w:r>
    </w:p>
    <w:p>
      <w:pPr>
        <w:spacing w:line="360" w:lineRule="auto"/>
        <w:ind w:firstLine="562" w:firstLineChars="200"/>
        <w:rPr>
          <w:rFonts w:hAnsi="宋体"/>
          <w:b/>
          <w:szCs w:val="28"/>
        </w:rPr>
      </w:pPr>
      <w:r>
        <w:rPr>
          <w:rFonts w:hint="eastAsia" w:hAnsi="宋体"/>
          <w:b/>
          <w:szCs w:val="28"/>
        </w:rPr>
        <w:t>价值类型：</w:t>
      </w:r>
      <w:r>
        <w:rPr>
          <w:rFonts w:hint="eastAsia" w:hAnsi="宋体"/>
          <w:szCs w:val="28"/>
        </w:rPr>
        <w:t>市场价值</w:t>
      </w:r>
    </w:p>
    <w:p>
      <w:pPr>
        <w:spacing w:line="360" w:lineRule="auto"/>
        <w:ind w:firstLine="560" w:firstLineChars="200"/>
        <w:rPr>
          <w:rFonts w:hAnsi="宋体" w:cs="宋体"/>
          <w:bCs/>
          <w:szCs w:val="28"/>
        </w:rPr>
      </w:pPr>
      <w:r>
        <w:rPr>
          <w:rFonts w:hint="eastAsia" w:hAnsi="宋体" w:cs="宋体"/>
          <w:bCs/>
          <w:szCs w:val="28"/>
        </w:rPr>
        <w:t>价值类型为估价对象在本报告所述评估目的下于价值时点的房地产市场价值。</w:t>
      </w:r>
    </w:p>
    <w:p>
      <w:pPr>
        <w:spacing w:line="360" w:lineRule="auto"/>
        <w:ind w:firstLine="560" w:firstLineChars="200"/>
        <w:rPr>
          <w:rFonts w:hAnsi="宋体" w:cs="宋体"/>
          <w:bCs/>
          <w:szCs w:val="28"/>
        </w:rPr>
      </w:pPr>
      <w:r>
        <w:rPr>
          <w:rFonts w:hint="eastAsia" w:hAnsi="宋体" w:cs="宋体"/>
          <w:bCs/>
          <w:szCs w:val="28"/>
        </w:rPr>
        <w:t>市场价值是指估价对象经适当营销后，由熟悉情况、谨慎行事且不受强迫的交易双方，自愿的买方和自愿的卖方以公平交易方式在价值时点自愿进行交易的金额。</w:t>
      </w:r>
    </w:p>
    <w:p>
      <w:pPr>
        <w:spacing w:line="360" w:lineRule="auto"/>
        <w:ind w:firstLine="562" w:firstLineChars="200"/>
        <w:rPr>
          <w:rFonts w:hAnsi="宋体"/>
          <w:color w:val="0000FF"/>
          <w:szCs w:val="28"/>
        </w:rPr>
      </w:pPr>
      <w:r>
        <w:rPr>
          <w:rFonts w:hint="eastAsia" w:hAnsi="宋体"/>
          <w:b/>
          <w:szCs w:val="28"/>
        </w:rPr>
        <w:t>估价方法：</w:t>
      </w:r>
      <w:r>
        <w:rPr>
          <w:rFonts w:hint="eastAsia" w:hAnsi="宋体"/>
          <w:szCs w:val="28"/>
        </w:rPr>
        <w:t>比较法</w:t>
      </w:r>
    </w:p>
    <w:p>
      <w:pPr>
        <w:spacing w:line="360" w:lineRule="auto"/>
        <w:ind w:firstLine="562" w:firstLineChars="200"/>
        <w:rPr>
          <w:rFonts w:hAnsi="Calibri"/>
          <w:bCs/>
          <w:szCs w:val="28"/>
        </w:rPr>
      </w:pPr>
      <w:r>
        <w:rPr>
          <w:rFonts w:hint="eastAsia" w:hAnsi="宋体"/>
          <w:b/>
          <w:szCs w:val="28"/>
        </w:rPr>
        <w:t>估价结果：</w:t>
      </w:r>
      <w:r>
        <w:rPr>
          <w:rFonts w:hint="eastAsia" w:hAnsi="宋体"/>
          <w:szCs w:val="28"/>
        </w:rPr>
        <w:t>我公司估价人员</w:t>
      </w:r>
      <w:r>
        <w:rPr>
          <w:rFonts w:hAnsi="宋体"/>
          <w:szCs w:val="28"/>
        </w:rPr>
        <w:t>经过实地查勘和市场调查</w:t>
      </w:r>
      <w:r>
        <w:rPr>
          <w:rFonts w:hint="eastAsia"/>
          <w:szCs w:val="28"/>
        </w:rPr>
        <w:t>，</w:t>
      </w:r>
      <w:r>
        <w:rPr>
          <w:rFonts w:hAnsi="宋体"/>
          <w:szCs w:val="28"/>
        </w:rPr>
        <w:t>遵照《中华人民共和国房地产管理法》、国家标准《房地产估价规范》等法律法规和技术标准，</w:t>
      </w:r>
      <w:r>
        <w:rPr>
          <w:szCs w:val="28"/>
        </w:rPr>
        <w:t>遵循估价原则，按照估价工作程序，</w:t>
      </w:r>
      <w:r>
        <w:rPr>
          <w:rFonts w:hAnsi="宋体"/>
          <w:szCs w:val="28"/>
        </w:rPr>
        <w:t>采用</w:t>
      </w:r>
      <w:r>
        <w:rPr>
          <w:rFonts w:hint="eastAsia" w:hAnsi="宋体"/>
          <w:szCs w:val="28"/>
        </w:rPr>
        <w:t>比较法</w:t>
      </w:r>
      <w:r>
        <w:rPr>
          <w:szCs w:val="28"/>
        </w:rPr>
        <w:t>对估价对象进行了全面细致的测算</w:t>
      </w:r>
      <w:r>
        <w:rPr>
          <w:rFonts w:hAnsi="宋体"/>
          <w:szCs w:val="28"/>
        </w:rPr>
        <w:t>，</w:t>
      </w:r>
      <w:r>
        <w:rPr>
          <w:rFonts w:hint="eastAsia" w:hAnsi="宋体"/>
          <w:szCs w:val="28"/>
        </w:rPr>
        <w:t>并结合估价经验和对影响价值因素的分析，</w:t>
      </w:r>
      <w:r>
        <w:rPr>
          <w:rFonts w:hint="eastAsia" w:hAnsi="宋体" w:eastAsia="宋体" w:cs="宋体"/>
          <w:szCs w:val="28"/>
        </w:rPr>
        <w:t>在满足本次估价的假设和限制条件下，</w:t>
      </w:r>
      <w:r>
        <w:rPr>
          <w:rFonts w:hint="eastAsia" w:hAnsi="宋体"/>
          <w:szCs w:val="28"/>
        </w:rPr>
        <w:t>确定估价对象于价值时点</w:t>
      </w:r>
      <w:r>
        <w:rPr>
          <w:rFonts w:hint="eastAsia" w:hAnsi="Calibri"/>
          <w:szCs w:val="28"/>
        </w:rPr>
        <w:t>2019年1月2</w:t>
      </w:r>
      <w:r>
        <w:rPr>
          <w:rFonts w:hint="eastAsia" w:hAnsi="Calibri"/>
          <w:szCs w:val="28"/>
          <w:lang w:val="en-US" w:eastAsia="zh-CN"/>
        </w:rPr>
        <w:t>2</w:t>
      </w:r>
      <w:bookmarkStart w:id="79" w:name="_GoBack"/>
      <w:bookmarkEnd w:id="79"/>
      <w:r>
        <w:rPr>
          <w:rFonts w:hint="eastAsia" w:hAnsi="Calibri"/>
          <w:szCs w:val="28"/>
        </w:rPr>
        <w:t>日</w:t>
      </w:r>
      <w:r>
        <w:rPr>
          <w:rFonts w:hint="eastAsia" w:hAnsi="宋体"/>
          <w:szCs w:val="28"/>
        </w:rPr>
        <w:t>的市场价值为人民币</w:t>
      </w:r>
      <w:r>
        <w:rPr>
          <w:rFonts w:hint="eastAsia" w:hAnsi="宋体"/>
          <w:b/>
          <w:bCs/>
          <w:szCs w:val="28"/>
        </w:rPr>
        <w:t>（大写）：壹佰叁拾万零捌仟伍佰捌拾贰元整（￥1,308,582.00元），评估单价为9,016.00 元/平方米</w:t>
      </w:r>
      <w:r>
        <w:rPr>
          <w:rFonts w:hint="eastAsia" w:hAnsi="Calibri"/>
          <w:b/>
          <w:szCs w:val="28"/>
        </w:rPr>
        <w:t>。</w:t>
      </w:r>
    </w:p>
    <w:p>
      <w:pPr>
        <w:spacing w:line="360" w:lineRule="auto"/>
        <w:ind w:firstLine="562" w:firstLineChars="200"/>
      </w:pPr>
      <w:r>
        <w:rPr>
          <w:rFonts w:hint="eastAsia"/>
          <w:b/>
          <w:bCs/>
        </w:rPr>
        <w:t>特别提示：</w:t>
      </w:r>
    </w:p>
    <w:p>
      <w:pPr>
        <w:numPr>
          <w:ilvl w:val="0"/>
          <w:numId w:val="1"/>
        </w:numPr>
        <w:snapToGrid w:val="0"/>
        <w:spacing w:line="600" w:lineRule="exact"/>
        <w:ind w:firstLine="560" w:firstLineChars="200"/>
        <w:rPr>
          <w:rFonts w:ascii="Calibri" w:hAnsi="宋体" w:cs="宋体"/>
          <w:szCs w:val="28"/>
        </w:rPr>
      </w:pPr>
      <w:r>
        <w:rPr>
          <w:rFonts w:hint="eastAsia" w:ascii="Calibri" w:hAnsi="宋体" w:cs="宋体"/>
          <w:szCs w:val="28"/>
        </w:rPr>
        <w:t>根据委托人提供的贵阳市不动产登记中心资料记载，且经过估价人员对估价对象的调查了解，估计对象存在租赁、查封、抵押等情况，结合本次估价目的，本次估价未考虑抵押、查封、租赁等情况对估价结果的影响，提请报告使用人给与关注。</w:t>
      </w:r>
    </w:p>
    <w:p>
      <w:pPr>
        <w:numPr>
          <w:ilvl w:val="0"/>
          <w:numId w:val="1"/>
        </w:numPr>
        <w:snapToGrid w:val="0"/>
        <w:spacing w:line="600" w:lineRule="exact"/>
        <w:ind w:firstLine="560" w:firstLineChars="200"/>
        <w:rPr>
          <w:rFonts w:ascii="Calibri" w:hAnsi="宋体" w:cs="宋体"/>
          <w:szCs w:val="28"/>
        </w:rPr>
      </w:pPr>
      <w:r>
        <w:rPr>
          <w:rFonts w:hint="eastAsia" w:ascii="Calibri" w:hAnsi="宋体" w:cs="宋体"/>
          <w:szCs w:val="28"/>
        </w:rPr>
        <w:t>本次估价对象所在位置为商业楼盘，且房屋类型为普通商品房，故本次估价以估价对象均以土地使用权类型为出让、规划用途为住宅作为假设前提，且假设本次估价对象房地产估价时点与现场查勘时点权益状况和实物状况相一致，提请报告使用人给与关注。</w:t>
      </w:r>
    </w:p>
    <w:p>
      <w:pPr>
        <w:snapToGrid w:val="0"/>
        <w:spacing w:line="600" w:lineRule="exact"/>
        <w:ind w:firstLine="560" w:firstLineChars="200"/>
        <w:rPr>
          <w:rFonts w:ascii="Calibri" w:hAnsi="宋体" w:cs="宋体"/>
          <w:szCs w:val="28"/>
        </w:rPr>
      </w:pPr>
      <w:r>
        <w:rPr>
          <w:rFonts w:hint="eastAsia" w:ascii="Calibri" w:hAnsi="宋体" w:cs="宋体"/>
          <w:szCs w:val="28"/>
        </w:rPr>
        <w:t>3、本报告所涉及的有关法律证明文件，以及由估价委托人及相关当事人提供的相关数据资料，其真实性由估价委托人及相关当事人负责，并承担相应的法律责任。</w:t>
      </w:r>
    </w:p>
    <w:p>
      <w:pPr>
        <w:spacing w:line="360" w:lineRule="auto"/>
        <w:ind w:firstLine="548" w:firstLineChars="196"/>
      </w:pPr>
      <w:r>
        <w:rPr>
          <w:rFonts w:hint="eastAsia"/>
        </w:rPr>
        <w:t>4、本机构提醒报告使用方在使用本估价结论时，应认真阅读本报告书全文，提请关注本报告各种假设和限制条件等对该评估结果的影响</w:t>
      </w:r>
    </w:p>
    <w:p>
      <w:pPr>
        <w:spacing w:line="360" w:lineRule="auto"/>
        <w:ind w:firstLine="548" w:firstLineChars="196"/>
      </w:pPr>
    </w:p>
    <w:p>
      <w:pPr>
        <w:spacing w:line="360" w:lineRule="auto"/>
        <w:ind w:firstLine="560" w:firstLineChars="200"/>
        <w:jc w:val="right"/>
        <w:rPr>
          <w:rFonts w:hAnsi="宋体"/>
          <w:szCs w:val="28"/>
        </w:rPr>
      </w:pPr>
      <w:r>
        <w:rPr>
          <w:rFonts w:hint="eastAsia"/>
        </w:rPr>
        <w:t xml:space="preserve">   </w:t>
      </w:r>
      <w:r>
        <w:rPr>
          <w:rFonts w:hint="eastAsia" w:hAnsi="宋体"/>
          <w:szCs w:val="28"/>
        </w:rPr>
        <w:drawing>
          <wp:anchor distT="0" distB="0" distL="114300" distR="114300" simplePos="0" relativeHeight="252062720" behindDoc="0" locked="0" layoutInCell="1" allowOverlap="1">
            <wp:simplePos x="0" y="0"/>
            <wp:positionH relativeFrom="column">
              <wp:posOffset>3914775</wp:posOffset>
            </wp:positionH>
            <wp:positionV relativeFrom="paragraph">
              <wp:posOffset>135255</wp:posOffset>
            </wp:positionV>
            <wp:extent cx="1304925" cy="676275"/>
            <wp:effectExtent l="0" t="0" r="0" b="6985"/>
            <wp:wrapNone/>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17" cstate="print">
                      <a:lum bright="-79999" contrast="80000"/>
                    </a:blip>
                    <a:srcRect b="46620"/>
                    <a:stretch>
                      <a:fillRect/>
                    </a:stretch>
                  </pic:blipFill>
                  <pic:spPr>
                    <a:xfrm>
                      <a:off x="0" y="0"/>
                      <a:ext cx="1304925" cy="676275"/>
                    </a:xfrm>
                    <a:prstGeom prst="rect">
                      <a:avLst/>
                    </a:prstGeom>
                    <a:noFill/>
                    <a:ln w="9525">
                      <a:noFill/>
                    </a:ln>
                  </pic:spPr>
                </pic:pic>
              </a:graphicData>
            </a:graphic>
          </wp:anchor>
        </w:drawing>
      </w:r>
      <w:r>
        <w:rPr>
          <w:rFonts w:hAnsi="宋体"/>
          <w:szCs w:val="28"/>
        </w:rPr>
        <w:t>贵州瑞华亚太房地产土地评估有限公司</w:t>
      </w:r>
    </w:p>
    <w:p>
      <w:pPr>
        <w:wordWrap w:val="0"/>
        <w:spacing w:line="360" w:lineRule="auto"/>
        <w:ind w:right="1120" w:firstLine="4760" w:firstLineChars="1700"/>
        <w:rPr>
          <w:rFonts w:hAnsi="宋体"/>
          <w:szCs w:val="28"/>
        </w:rPr>
      </w:pPr>
      <w:r>
        <w:rPr>
          <w:rFonts w:hAnsi="宋体"/>
          <w:szCs w:val="28"/>
        </w:rPr>
        <w:t>法定代表人：</w:t>
      </w:r>
    </w:p>
    <w:p>
      <w:pPr>
        <w:ind w:right="560"/>
        <w:jc w:val="right"/>
        <w:rPr>
          <w:rFonts w:hAnsi="宋体"/>
          <w:szCs w:val="28"/>
          <w:highlight w:val="none"/>
        </w:rPr>
        <w:sectPr>
          <w:headerReference r:id="rId9" w:type="first"/>
          <w:footerReference r:id="rId11" w:type="first"/>
          <w:footerReference r:id="rId10" w:type="default"/>
          <w:pgSz w:w="11906" w:h="16838"/>
          <w:pgMar w:top="1418" w:right="1418" w:bottom="1134" w:left="1418" w:header="851" w:footer="851" w:gutter="0"/>
          <w:pgNumType w:start="1"/>
          <w:cols w:space="720" w:num="1"/>
          <w:titlePg/>
          <w:docGrid w:type="lines" w:linePitch="312" w:charSpace="0"/>
        </w:sectPr>
      </w:pPr>
      <w:r>
        <w:rPr>
          <w:rFonts w:hint="eastAsia" w:hAnsi="宋体"/>
          <w:szCs w:val="28"/>
          <w:highlight w:val="none"/>
        </w:rPr>
        <w:t>二○一九年二月</w:t>
      </w:r>
      <w:r>
        <w:rPr>
          <w:rFonts w:hint="eastAsia" w:hAnsi="宋体"/>
          <w:szCs w:val="28"/>
          <w:highlight w:val="none"/>
          <w:lang w:val="en-US" w:eastAsia="zh-CN"/>
        </w:rPr>
        <w:t>二</w:t>
      </w:r>
      <w:r>
        <w:rPr>
          <w:rFonts w:hint="eastAsia" w:hAnsi="宋体"/>
          <w:szCs w:val="28"/>
          <w:highlight w:val="none"/>
        </w:rPr>
        <w:t>十六日</w:t>
      </w:r>
    </w:p>
    <w:p>
      <w:pPr>
        <w:jc w:val="center"/>
        <w:rPr>
          <w:rFonts w:hAnsi="宋体"/>
          <w:color w:val="000000"/>
          <w:szCs w:val="44"/>
          <w:lang w:val="zh-CN"/>
        </w:rPr>
      </w:pPr>
      <w:bookmarkStart w:id="0" w:name="_Toc22251"/>
      <w:r>
        <w:rPr>
          <w:rFonts w:hAnsi="宋体"/>
          <w:b/>
          <w:bCs/>
          <w:color w:val="000000"/>
          <w:sz w:val="44"/>
          <w:szCs w:val="44"/>
          <w:lang w:val="zh-CN"/>
        </w:rPr>
        <w:t>目录</w:t>
      </w:r>
      <w:bookmarkEnd w:id="0"/>
      <w:r>
        <w:rPr>
          <w:rFonts w:hAnsi="宋体"/>
          <w:color w:val="000000"/>
          <w:sz w:val="44"/>
          <w:szCs w:val="44"/>
          <w:lang w:val="zh-CN"/>
        </w:rPr>
        <w:fldChar w:fldCharType="begin"/>
      </w:r>
      <w:r>
        <w:rPr>
          <w:rFonts w:hAnsi="宋体"/>
          <w:color w:val="000000"/>
          <w:sz w:val="44"/>
          <w:szCs w:val="44"/>
          <w:lang w:val="zh-CN"/>
        </w:rPr>
        <w:instrText xml:space="preserve">TOC \o "1-3" \h \u </w:instrText>
      </w:r>
      <w:r>
        <w:rPr>
          <w:rFonts w:hAnsi="宋体"/>
          <w:color w:val="000000"/>
          <w:sz w:val="44"/>
          <w:szCs w:val="44"/>
          <w:lang w:val="zh-CN"/>
        </w:rPr>
        <w:fldChar w:fldCharType="separate"/>
      </w:r>
    </w:p>
    <w:p>
      <w:pPr>
        <w:pStyle w:val="13"/>
        <w:tabs>
          <w:tab w:val="right" w:leader="dot" w:pos="9070"/>
        </w:tabs>
      </w:pPr>
      <w:r>
        <w:pict>
          <v:shape id="自选图形 2" o:spid="_x0000_s1027" o:spt="32" type="#_x0000_t32" style="position:absolute;left:0pt;margin-left:-10.9pt;margin-top:0.8pt;height:0pt;width:466.5pt;z-index:251659264;mso-width-relative:page;mso-height-relative:page;" filled="f" stroked="t" coordsize="21600,21600" o:gfxdata="UEsDBAoAAAAAAIdO4kAAAAAAAAAAAAAAAAAEAAAAZHJzL1BLAwQUAAAACACHTuJAU3V3k9IAAAAH&#10;AQAADwAAAGRycy9kb3ducmV2LnhtbE2OwU7DMBBE70j8g7VIvbW2I1FIiNMDCC6VEJRy39pLEhGv&#10;o9htyt9juMBx9EYzr96c/SBONMU+sAG9UiCIbXA9twb2b4/LWxAxITscApOBL4qwaS4vaqxcmPmV&#10;TrvUijzCsUIDXUpjJWW0HXmMqzASZ/YRJo8px6mVbsI5j/tBFkqtpcee80OHI913ZD93R2/gYXs9&#10;qhsu33H/VNoXq5/DHMmYxZVWdyASndNfGX70szo02ekQjuyiGAwsC53VUwZrEJmXWhcgDr9ZNrX8&#10;7998A1BLAwQUAAAACACHTuJA0lEI/uABAACkAwAADgAAAGRycy9lMm9Eb2MueG1srVPNjhMxDL4j&#10;8Q5R7nSmhaJl1OlKtCwXBJWAB3CTzEyk/CkOnfbGDfEM3DjyDuzbrARvgZN2ywIXhLhk7Nj+7O8b&#10;Z3G5t4btVETtXcunk5oz5YSX2vUtf/vm6sEFZ5jASTDeqZYfFPLL5f17izE0auYHb6SKjEAcNmNo&#10;+ZBSaKoKxaAs4MQH5SjY+WghkRv7SkYYCd2aalbXj6vRRxmiFwqRbtfHIF8W/K5TIr3qOlSJmZbT&#10;bKmcsZzbfFbLBTR9hDBocRoD/mEKC9pR0zPUGhKwd1H/AWW1iB59lybC28p3nRaqcCA20/o3Nq8H&#10;CKpwIXEwnGXC/wcrXu42kWnZ8jlnDiz9om8fvnx///Hm0/XN189slhUaAzaUuHKbePIwbGKmu++i&#10;zV8iwvZF1cNZVbVPTNDl/Mns0XxO4ovbWPWzMERMz5W3LBstxxRB90Naeefo3/k4LarC7gUmak2F&#10;twW5q3FsbPnDi2md0YHWpzOQyLSBCKHrSzF6o+WVNiaXYOy3KxPZDvJC1E9rGuwI/Eta7rIGHI55&#10;JXRclUGBfOYkS4dAUjnaaZ5nsEpyZhQ9gWwRIDQJtPmbTOJkXC5QZV1PRLPkR5GztfXyULSvsker&#10;UKQ4rW3etbs+2Xcf1/I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3V3k9IAAAAHAQAADwAAAAAA&#10;AAABACAAAAAiAAAAZHJzL2Rvd25yZXYueG1sUEsBAhQAFAAAAAgAh07iQNJRCP7gAQAApAMAAA4A&#10;AAAAAAAAAQAgAAAAIQEAAGRycy9lMm9Eb2MueG1sUEsFBgAAAAAGAAYAWQEAAHMFAAAAAA==&#10;">
            <v:path arrowok="t"/>
            <v:fill on="f" focussize="0,0"/>
            <v:stroke weight="3pt" color="#00B050"/>
            <v:imagedata o:title=""/>
            <o:lock v:ext="edit"/>
          </v:shape>
        </w:pict>
      </w:r>
      <w:r>
        <w:fldChar w:fldCharType="begin"/>
      </w:r>
      <w:r>
        <w:instrText xml:space="preserve"> HYPERLINK \l "_Toc14653" </w:instrText>
      </w:r>
      <w:r>
        <w:fldChar w:fldCharType="separate"/>
      </w:r>
      <w:r>
        <w:t>估价师声明</w:t>
      </w:r>
      <w:r>
        <w:tab/>
      </w:r>
      <w:r>
        <w:fldChar w:fldCharType="begin"/>
      </w:r>
      <w:r>
        <w:instrText xml:space="preserve"> PAGEREF _Toc14653 </w:instrText>
      </w:r>
      <w:r>
        <w:fldChar w:fldCharType="separate"/>
      </w:r>
      <w:r>
        <w:t>2</w:t>
      </w:r>
      <w:r>
        <w:fldChar w:fldCharType="end"/>
      </w:r>
      <w:r>
        <w:fldChar w:fldCharType="end"/>
      </w:r>
    </w:p>
    <w:p>
      <w:pPr>
        <w:pStyle w:val="13"/>
        <w:tabs>
          <w:tab w:val="right" w:leader="dot" w:pos="9070"/>
        </w:tabs>
      </w:pPr>
      <w:r>
        <w:fldChar w:fldCharType="begin"/>
      </w:r>
      <w:r>
        <w:instrText xml:space="preserve"> HYPERLINK \l "_Toc19359" </w:instrText>
      </w:r>
      <w:r>
        <w:fldChar w:fldCharType="separate"/>
      </w:r>
      <w:r>
        <w:t>估价的假设和限制条件</w:t>
      </w:r>
      <w:r>
        <w:tab/>
      </w:r>
      <w:r>
        <w:fldChar w:fldCharType="begin"/>
      </w:r>
      <w:r>
        <w:instrText xml:space="preserve"> PAGEREF _Toc19359 </w:instrText>
      </w:r>
      <w:r>
        <w:fldChar w:fldCharType="separate"/>
      </w:r>
      <w:r>
        <w:t>4</w:t>
      </w:r>
      <w:r>
        <w:fldChar w:fldCharType="end"/>
      </w:r>
      <w:r>
        <w:fldChar w:fldCharType="end"/>
      </w:r>
    </w:p>
    <w:p>
      <w:pPr>
        <w:pStyle w:val="13"/>
        <w:tabs>
          <w:tab w:val="right" w:leader="dot" w:pos="9070"/>
        </w:tabs>
      </w:pPr>
      <w:r>
        <w:fldChar w:fldCharType="begin"/>
      </w:r>
      <w:r>
        <w:instrText xml:space="preserve"> HYPERLINK \l "_Toc15708" </w:instrText>
      </w:r>
      <w:r>
        <w:fldChar w:fldCharType="separate"/>
      </w:r>
      <w:r>
        <w:rPr>
          <w:rFonts w:hAnsi="宋体"/>
          <w:spacing w:val="40"/>
        </w:rPr>
        <w:t>房地产估价结果报告</w:t>
      </w:r>
      <w:r>
        <w:tab/>
      </w:r>
      <w:r>
        <w:fldChar w:fldCharType="begin"/>
      </w:r>
      <w:r>
        <w:instrText xml:space="preserve"> PAGEREF _Toc15708 </w:instrText>
      </w:r>
      <w:r>
        <w:fldChar w:fldCharType="separate"/>
      </w:r>
      <w:r>
        <w:t>7</w:t>
      </w:r>
      <w:r>
        <w:fldChar w:fldCharType="end"/>
      </w:r>
      <w:r>
        <w:fldChar w:fldCharType="end"/>
      </w:r>
    </w:p>
    <w:p>
      <w:pPr>
        <w:pStyle w:val="14"/>
        <w:tabs>
          <w:tab w:val="right" w:leader="dot" w:pos="9070"/>
        </w:tabs>
        <w:ind w:left="560"/>
      </w:pPr>
      <w:r>
        <w:fldChar w:fldCharType="begin"/>
      </w:r>
      <w:r>
        <w:instrText xml:space="preserve"> HYPERLINK \l "_Toc31462" </w:instrText>
      </w:r>
      <w:r>
        <w:fldChar w:fldCharType="separate"/>
      </w:r>
      <w:r>
        <w:rPr>
          <w:rFonts w:hint="eastAsia" w:hAnsi="宋体" w:eastAsia="宋体" w:cs="宋体"/>
          <w:szCs w:val="28"/>
        </w:rPr>
        <w:t>一、估价委托人</w:t>
      </w:r>
      <w:r>
        <w:tab/>
      </w:r>
      <w:r>
        <w:fldChar w:fldCharType="begin"/>
      </w:r>
      <w:r>
        <w:instrText xml:space="preserve"> PAGEREF _Toc31462 </w:instrText>
      </w:r>
      <w:r>
        <w:fldChar w:fldCharType="separate"/>
      </w:r>
      <w:r>
        <w:t>7</w:t>
      </w:r>
      <w:r>
        <w:fldChar w:fldCharType="end"/>
      </w:r>
      <w:r>
        <w:fldChar w:fldCharType="end"/>
      </w:r>
    </w:p>
    <w:p>
      <w:pPr>
        <w:pStyle w:val="14"/>
        <w:tabs>
          <w:tab w:val="right" w:leader="dot" w:pos="9070"/>
        </w:tabs>
        <w:ind w:left="560"/>
      </w:pPr>
      <w:r>
        <w:fldChar w:fldCharType="begin"/>
      </w:r>
      <w:r>
        <w:instrText xml:space="preserve"> HYPERLINK \l "_Toc8627" </w:instrText>
      </w:r>
      <w:r>
        <w:fldChar w:fldCharType="separate"/>
      </w:r>
      <w:r>
        <w:rPr>
          <w:rFonts w:hint="eastAsia" w:hAnsi="宋体" w:eastAsia="宋体" w:cs="宋体"/>
          <w:szCs w:val="28"/>
        </w:rPr>
        <w:t>二、房地产估价机构</w:t>
      </w:r>
      <w:r>
        <w:tab/>
      </w:r>
      <w:r>
        <w:fldChar w:fldCharType="begin"/>
      </w:r>
      <w:r>
        <w:instrText xml:space="preserve"> PAGEREF _Toc8627 </w:instrText>
      </w:r>
      <w:r>
        <w:fldChar w:fldCharType="separate"/>
      </w:r>
      <w:r>
        <w:t>7</w:t>
      </w:r>
      <w:r>
        <w:fldChar w:fldCharType="end"/>
      </w:r>
      <w:r>
        <w:fldChar w:fldCharType="end"/>
      </w:r>
    </w:p>
    <w:p>
      <w:pPr>
        <w:pStyle w:val="13"/>
        <w:tabs>
          <w:tab w:val="right" w:leader="dot" w:pos="9070"/>
        </w:tabs>
        <w:ind w:firstLine="560" w:firstLineChars="200"/>
      </w:pPr>
      <w:r>
        <w:fldChar w:fldCharType="begin"/>
      </w:r>
      <w:r>
        <w:instrText xml:space="preserve"> HYPERLINK \l "_Toc2047" </w:instrText>
      </w:r>
      <w:r>
        <w:fldChar w:fldCharType="separate"/>
      </w:r>
      <w:r>
        <w:rPr>
          <w:rFonts w:hint="eastAsia" w:hAnsi="宋体"/>
          <w:szCs w:val="28"/>
        </w:rPr>
        <w:t>三</w:t>
      </w:r>
      <w:r>
        <w:rPr>
          <w:rFonts w:hAnsi="宋体"/>
          <w:szCs w:val="28"/>
        </w:rPr>
        <w:t>、估价对象</w:t>
      </w:r>
      <w:r>
        <w:tab/>
      </w:r>
      <w:r>
        <w:fldChar w:fldCharType="begin"/>
      </w:r>
      <w:r>
        <w:instrText xml:space="preserve"> PAGEREF _Toc2047 </w:instrText>
      </w:r>
      <w:r>
        <w:fldChar w:fldCharType="separate"/>
      </w:r>
      <w:r>
        <w:t>7</w:t>
      </w:r>
      <w:r>
        <w:fldChar w:fldCharType="end"/>
      </w:r>
      <w:r>
        <w:fldChar w:fldCharType="end"/>
      </w:r>
    </w:p>
    <w:p>
      <w:pPr>
        <w:pStyle w:val="14"/>
        <w:tabs>
          <w:tab w:val="right" w:leader="dot" w:pos="9070"/>
        </w:tabs>
        <w:ind w:left="560"/>
      </w:pPr>
      <w:r>
        <w:fldChar w:fldCharType="begin"/>
      </w:r>
      <w:r>
        <w:instrText xml:space="preserve"> HYPERLINK \l "_Toc6704" </w:instrText>
      </w:r>
      <w:r>
        <w:fldChar w:fldCharType="separate"/>
      </w:r>
      <w:r>
        <w:rPr>
          <w:rFonts w:hAnsi="宋体" w:eastAsia="宋体"/>
          <w:szCs w:val="28"/>
        </w:rPr>
        <w:t>四、估价目的</w:t>
      </w:r>
      <w:r>
        <w:tab/>
      </w:r>
      <w:r>
        <w:rPr>
          <w:rFonts w:hint="eastAsia"/>
        </w:rPr>
        <w:t>12</w:t>
      </w:r>
      <w:r>
        <w:tab/>
      </w:r>
      <w:r>
        <w:fldChar w:fldCharType="end"/>
      </w:r>
    </w:p>
    <w:p>
      <w:pPr>
        <w:pStyle w:val="14"/>
        <w:tabs>
          <w:tab w:val="right" w:leader="dot" w:pos="9070"/>
        </w:tabs>
        <w:ind w:left="560"/>
      </w:pPr>
      <w:r>
        <w:fldChar w:fldCharType="begin"/>
      </w:r>
      <w:r>
        <w:instrText xml:space="preserve"> HYPERLINK \l "_Toc21710" </w:instrText>
      </w:r>
      <w:r>
        <w:fldChar w:fldCharType="separate"/>
      </w:r>
      <w:r>
        <w:rPr>
          <w:rFonts w:hAnsi="宋体" w:eastAsia="宋体"/>
          <w:szCs w:val="28"/>
        </w:rPr>
        <w:t>五、价值时点</w:t>
      </w:r>
      <w:r>
        <w:tab/>
      </w:r>
      <w:r>
        <w:rPr>
          <w:rFonts w:hint="eastAsia"/>
        </w:rPr>
        <w:t>1</w:t>
      </w:r>
      <w:r>
        <w:rPr>
          <w:rFonts w:hint="eastAsia"/>
        </w:rPr>
        <w:fldChar w:fldCharType="end"/>
      </w:r>
      <w:r>
        <w:rPr>
          <w:rFonts w:hint="eastAsia"/>
        </w:rPr>
        <w:t>3</w:t>
      </w:r>
    </w:p>
    <w:p>
      <w:pPr>
        <w:pStyle w:val="14"/>
        <w:tabs>
          <w:tab w:val="right" w:leader="dot" w:pos="9070"/>
        </w:tabs>
        <w:ind w:left="560"/>
      </w:pPr>
      <w:r>
        <w:fldChar w:fldCharType="begin"/>
      </w:r>
      <w:r>
        <w:instrText xml:space="preserve"> HYPERLINK \l "_Toc20501" </w:instrText>
      </w:r>
      <w:r>
        <w:fldChar w:fldCharType="separate"/>
      </w:r>
      <w:r>
        <w:rPr>
          <w:rFonts w:hAnsi="宋体" w:eastAsia="宋体"/>
          <w:szCs w:val="28"/>
        </w:rPr>
        <w:t>六、价值定义</w:t>
      </w:r>
      <w:r>
        <w:tab/>
      </w:r>
      <w:r>
        <w:rPr>
          <w:rFonts w:hint="eastAsia"/>
        </w:rPr>
        <w:t>1</w:t>
      </w:r>
      <w:r>
        <w:rPr>
          <w:rFonts w:hint="eastAsia"/>
        </w:rPr>
        <w:fldChar w:fldCharType="end"/>
      </w:r>
      <w:r>
        <w:rPr>
          <w:rFonts w:hint="eastAsia"/>
        </w:rPr>
        <w:t>3</w:t>
      </w:r>
    </w:p>
    <w:p>
      <w:pPr>
        <w:pStyle w:val="14"/>
        <w:tabs>
          <w:tab w:val="right" w:leader="dot" w:pos="9070"/>
        </w:tabs>
        <w:ind w:left="560"/>
      </w:pPr>
      <w:r>
        <w:fldChar w:fldCharType="begin"/>
      </w:r>
      <w:r>
        <w:instrText xml:space="preserve"> HYPERLINK \l "_Toc8397" </w:instrText>
      </w:r>
      <w:r>
        <w:fldChar w:fldCharType="separate"/>
      </w:r>
      <w:r>
        <w:rPr>
          <w:rFonts w:hAnsi="宋体" w:eastAsia="宋体"/>
          <w:szCs w:val="28"/>
        </w:rPr>
        <w:t>七、估价依据</w:t>
      </w:r>
      <w:r>
        <w:tab/>
      </w:r>
      <w:r>
        <w:fldChar w:fldCharType="begin"/>
      </w:r>
      <w:r>
        <w:instrText xml:space="preserve"> PAGEREF _Toc8397 </w:instrText>
      </w:r>
      <w:r>
        <w:fldChar w:fldCharType="separate"/>
      </w:r>
      <w:r>
        <w:t>10</w:t>
      </w:r>
      <w:r>
        <w:fldChar w:fldCharType="end"/>
      </w:r>
      <w:r>
        <w:fldChar w:fldCharType="end"/>
      </w:r>
    </w:p>
    <w:p>
      <w:pPr>
        <w:pStyle w:val="14"/>
        <w:tabs>
          <w:tab w:val="right" w:leader="dot" w:pos="9070"/>
        </w:tabs>
        <w:ind w:left="560"/>
      </w:pPr>
      <w:r>
        <w:fldChar w:fldCharType="begin"/>
      </w:r>
      <w:r>
        <w:instrText xml:space="preserve"> HYPERLINK \l "_Toc23336" </w:instrText>
      </w:r>
      <w:r>
        <w:fldChar w:fldCharType="separate"/>
      </w:r>
      <w:r>
        <w:rPr>
          <w:rFonts w:hAnsi="宋体" w:eastAsia="宋体"/>
          <w:szCs w:val="28"/>
        </w:rPr>
        <w:t>八、估价原则</w:t>
      </w:r>
      <w:r>
        <w:tab/>
      </w:r>
      <w:r>
        <w:fldChar w:fldCharType="begin"/>
      </w:r>
      <w:r>
        <w:instrText xml:space="preserve"> PAGEREF _Toc23336 </w:instrText>
      </w:r>
      <w:r>
        <w:fldChar w:fldCharType="separate"/>
      </w:r>
      <w:r>
        <w:t>10</w:t>
      </w:r>
      <w:r>
        <w:fldChar w:fldCharType="end"/>
      </w:r>
      <w:r>
        <w:fldChar w:fldCharType="end"/>
      </w:r>
    </w:p>
    <w:p>
      <w:pPr>
        <w:pStyle w:val="14"/>
        <w:tabs>
          <w:tab w:val="right" w:leader="dot" w:pos="9070"/>
        </w:tabs>
        <w:ind w:left="560"/>
      </w:pPr>
      <w:r>
        <w:fldChar w:fldCharType="begin"/>
      </w:r>
      <w:r>
        <w:instrText xml:space="preserve"> HYPERLINK \l "_Toc2560" </w:instrText>
      </w:r>
      <w:r>
        <w:fldChar w:fldCharType="separate"/>
      </w:r>
      <w:r>
        <w:rPr>
          <w:rFonts w:hAnsi="宋体" w:eastAsia="宋体"/>
          <w:szCs w:val="28"/>
        </w:rPr>
        <w:t>九、估价方法</w:t>
      </w:r>
      <w:r>
        <w:tab/>
      </w:r>
      <w:r>
        <w:fldChar w:fldCharType="begin"/>
      </w:r>
      <w:r>
        <w:instrText xml:space="preserve"> PAGEREF _Toc2560 </w:instrText>
      </w:r>
      <w:r>
        <w:fldChar w:fldCharType="separate"/>
      </w:r>
      <w:r>
        <w:t>11</w:t>
      </w:r>
      <w:r>
        <w:fldChar w:fldCharType="end"/>
      </w:r>
      <w:r>
        <w:fldChar w:fldCharType="end"/>
      </w:r>
    </w:p>
    <w:p>
      <w:pPr>
        <w:pStyle w:val="14"/>
        <w:tabs>
          <w:tab w:val="right" w:leader="dot" w:pos="9070"/>
        </w:tabs>
        <w:ind w:left="560"/>
      </w:pPr>
      <w:r>
        <w:fldChar w:fldCharType="begin"/>
      </w:r>
      <w:r>
        <w:instrText xml:space="preserve"> HYPERLINK \l "_Toc31083" </w:instrText>
      </w:r>
      <w:r>
        <w:fldChar w:fldCharType="separate"/>
      </w:r>
      <w:r>
        <w:rPr>
          <w:rFonts w:hAnsi="宋体" w:eastAsia="宋体"/>
          <w:szCs w:val="28"/>
        </w:rPr>
        <w:t>十、估价结果</w:t>
      </w:r>
      <w:r>
        <w:tab/>
      </w:r>
      <w:r>
        <w:rPr>
          <w:rFonts w:hint="eastAsia"/>
        </w:rPr>
        <w:t>1</w:t>
      </w:r>
      <w:r>
        <w:rPr>
          <w:rFonts w:hint="eastAsia"/>
        </w:rPr>
        <w:fldChar w:fldCharType="end"/>
      </w:r>
      <w:r>
        <w:rPr>
          <w:rFonts w:hint="eastAsia"/>
        </w:rPr>
        <w:t>3</w:t>
      </w:r>
    </w:p>
    <w:p>
      <w:pPr>
        <w:pStyle w:val="14"/>
        <w:tabs>
          <w:tab w:val="right" w:leader="dot" w:pos="9070"/>
        </w:tabs>
        <w:ind w:left="560"/>
      </w:pPr>
      <w:r>
        <w:fldChar w:fldCharType="begin"/>
      </w:r>
      <w:r>
        <w:instrText xml:space="preserve"> HYPERLINK \l "_Toc13890" </w:instrText>
      </w:r>
      <w:r>
        <w:fldChar w:fldCharType="separate"/>
      </w:r>
      <w:r>
        <w:rPr>
          <w:rFonts w:hAnsi="宋体" w:eastAsia="宋体"/>
          <w:szCs w:val="28"/>
        </w:rPr>
        <w:t>十二、</w:t>
      </w:r>
      <w:r>
        <w:rPr>
          <w:rFonts w:hint="eastAsia" w:hAnsi="宋体" w:eastAsia="宋体"/>
          <w:szCs w:val="28"/>
        </w:rPr>
        <w:t>实地查勘</w:t>
      </w:r>
      <w:r>
        <w:rPr>
          <w:rFonts w:hAnsi="宋体" w:eastAsia="宋体"/>
          <w:szCs w:val="28"/>
        </w:rPr>
        <w:t>期</w:t>
      </w:r>
      <w:r>
        <w:tab/>
      </w:r>
      <w:r>
        <w:fldChar w:fldCharType="begin"/>
      </w:r>
      <w:r>
        <w:instrText xml:space="preserve"> PAGEREF _Toc13890 </w:instrText>
      </w:r>
      <w:r>
        <w:fldChar w:fldCharType="separate"/>
      </w:r>
      <w:r>
        <w:t>14</w:t>
      </w:r>
      <w:r>
        <w:fldChar w:fldCharType="end"/>
      </w:r>
      <w:r>
        <w:fldChar w:fldCharType="end"/>
      </w:r>
    </w:p>
    <w:p>
      <w:pPr>
        <w:pStyle w:val="14"/>
        <w:tabs>
          <w:tab w:val="right" w:leader="dot" w:pos="9070"/>
        </w:tabs>
        <w:ind w:left="560"/>
      </w:pPr>
      <w:r>
        <w:fldChar w:fldCharType="begin"/>
      </w:r>
      <w:r>
        <w:instrText xml:space="preserve"> HYPERLINK \l "_Toc8617" </w:instrText>
      </w:r>
      <w:r>
        <w:fldChar w:fldCharType="separate"/>
      </w:r>
      <w:r>
        <w:rPr>
          <w:rFonts w:hAnsi="宋体" w:eastAsia="宋体"/>
          <w:szCs w:val="28"/>
        </w:rPr>
        <w:t>十</w:t>
      </w:r>
      <w:r>
        <w:rPr>
          <w:rFonts w:hint="eastAsia" w:hAnsi="宋体" w:eastAsia="宋体"/>
          <w:szCs w:val="28"/>
        </w:rPr>
        <w:t>三</w:t>
      </w:r>
      <w:r>
        <w:rPr>
          <w:rFonts w:hAnsi="宋体" w:eastAsia="宋体"/>
          <w:szCs w:val="28"/>
        </w:rPr>
        <w:t>、估价作业期</w:t>
      </w:r>
      <w:r>
        <w:tab/>
      </w:r>
      <w:r>
        <w:fldChar w:fldCharType="begin"/>
      </w:r>
      <w:r>
        <w:instrText xml:space="preserve"> PAGEREF _Toc8617 </w:instrText>
      </w:r>
      <w:r>
        <w:fldChar w:fldCharType="separate"/>
      </w:r>
      <w:r>
        <w:t>14</w:t>
      </w:r>
      <w:r>
        <w:fldChar w:fldCharType="end"/>
      </w:r>
      <w:r>
        <w:fldChar w:fldCharType="end"/>
      </w:r>
    </w:p>
    <w:p>
      <w:pPr>
        <w:pStyle w:val="13"/>
        <w:tabs>
          <w:tab w:val="right" w:leader="dot" w:pos="9060"/>
        </w:tabs>
        <w:ind w:firstLine="560" w:firstLineChars="200"/>
        <w:rPr>
          <w:rFonts w:hAnsi="宋体"/>
          <w:spacing w:val="100"/>
        </w:rPr>
        <w:sectPr>
          <w:footerReference r:id="rId13" w:type="first"/>
          <w:footerReference r:id="rId12" w:type="default"/>
          <w:pgSz w:w="11906" w:h="16838"/>
          <w:pgMar w:top="1418" w:right="1418" w:bottom="1134" w:left="1418" w:header="851" w:footer="851" w:gutter="0"/>
          <w:pgNumType w:start="1"/>
          <w:cols w:space="720" w:num="1"/>
          <w:titlePg/>
          <w:docGrid w:type="lines" w:linePitch="312" w:charSpace="0"/>
        </w:sectPr>
      </w:pPr>
      <w:r>
        <w:rPr>
          <w:rFonts w:hAnsi="宋体"/>
          <w:color w:val="000000"/>
          <w:szCs w:val="44"/>
          <w:lang w:val="zh-CN"/>
        </w:rPr>
        <w:fldChar w:fldCharType="end"/>
      </w:r>
      <w:r>
        <w:rPr>
          <w:rFonts w:hint="eastAsia" w:hAnsi="宋体"/>
          <w:color w:val="000000"/>
          <w:szCs w:val="28"/>
        </w:rPr>
        <w:t>附</w:t>
      </w:r>
      <w:r>
        <w:rPr>
          <w:rFonts w:hAnsi="宋体"/>
          <w:color w:val="000000"/>
          <w:szCs w:val="28"/>
        </w:rPr>
        <w:t>件：</w:t>
      </w:r>
      <w:r>
        <w:rPr>
          <w:color w:val="000000"/>
          <w:szCs w:val="28"/>
        </w:rPr>
        <w:t>1</w:t>
      </w:r>
      <w:r>
        <w:rPr>
          <w:rFonts w:hAnsi="宋体"/>
          <w:color w:val="000000"/>
          <w:szCs w:val="28"/>
        </w:rPr>
        <w:t>、</w:t>
      </w:r>
      <w:r>
        <w:rPr>
          <w:rFonts w:hint="eastAsia" w:hAnsi="宋体"/>
          <w:color w:val="000000"/>
          <w:szCs w:val="28"/>
        </w:rPr>
        <w:t>委托书</w:t>
      </w:r>
      <w:r>
        <w:rPr>
          <w:rFonts w:hAnsi="宋体"/>
          <w:color w:val="000000"/>
          <w:szCs w:val="28"/>
        </w:rPr>
        <w:t>；</w:t>
      </w:r>
      <w:r>
        <w:rPr>
          <w:color w:val="000000"/>
          <w:szCs w:val="28"/>
        </w:rPr>
        <w:t>2</w:t>
      </w:r>
      <w:r>
        <w:rPr>
          <w:rFonts w:hAnsi="宋体"/>
          <w:color w:val="000000"/>
          <w:szCs w:val="28"/>
        </w:rPr>
        <w:t>、估价对象</w:t>
      </w:r>
      <w:r>
        <w:rPr>
          <w:rFonts w:hint="eastAsia" w:hAnsi="宋体"/>
          <w:color w:val="000000"/>
          <w:szCs w:val="28"/>
        </w:rPr>
        <w:t>位置图及</w:t>
      </w:r>
      <w:r>
        <w:rPr>
          <w:rFonts w:hAnsi="宋体"/>
          <w:color w:val="000000"/>
          <w:szCs w:val="28"/>
        </w:rPr>
        <w:t>照片</w:t>
      </w:r>
      <w:r>
        <w:rPr>
          <w:rFonts w:hint="eastAsia" w:hAnsi="宋体"/>
          <w:color w:val="000000"/>
          <w:szCs w:val="28"/>
        </w:rPr>
        <w:t>；3、贵阳市不动产登记中心查询资料</w:t>
      </w:r>
      <w:r>
        <w:rPr>
          <w:rFonts w:hAnsi="宋体"/>
          <w:color w:val="000000"/>
          <w:szCs w:val="28"/>
        </w:rPr>
        <w:t>等；</w:t>
      </w:r>
      <w:r>
        <w:rPr>
          <w:rFonts w:hint="eastAsia"/>
          <w:color w:val="000000"/>
          <w:szCs w:val="28"/>
        </w:rPr>
        <w:t>4</w:t>
      </w:r>
      <w:r>
        <w:rPr>
          <w:rFonts w:hAnsi="宋体"/>
          <w:color w:val="000000"/>
          <w:szCs w:val="28"/>
        </w:rPr>
        <w:t>、评估机构资质及估价人员资格证书</w:t>
      </w:r>
      <w:r>
        <w:rPr>
          <w:rFonts w:hint="eastAsia" w:hAnsi="宋体"/>
          <w:color w:val="000000"/>
          <w:szCs w:val="28"/>
        </w:rPr>
        <w:t>。</w:t>
      </w:r>
    </w:p>
    <w:p>
      <w:pPr>
        <w:pStyle w:val="2"/>
        <w:tabs>
          <w:tab w:val="left" w:pos="2760"/>
          <w:tab w:val="center" w:pos="4535"/>
        </w:tabs>
        <w:spacing w:beforeLines="100" w:afterLines="100" w:line="360" w:lineRule="auto"/>
        <w:jc w:val="center"/>
        <w:rPr>
          <w:rFonts w:hAnsi="宋体"/>
        </w:rPr>
      </w:pPr>
      <w:bookmarkStart w:id="1" w:name="_Toc14653"/>
      <w:bookmarkStart w:id="2" w:name="_Toc14451"/>
      <w:bookmarkStart w:id="3" w:name="_Toc8421"/>
      <w:r>
        <w:t>估价师声明</w:t>
      </w:r>
      <w:bookmarkEnd w:id="1"/>
      <w:bookmarkEnd w:id="2"/>
      <w:bookmarkEnd w:id="3"/>
    </w:p>
    <w:p>
      <w:pPr>
        <w:spacing w:line="360" w:lineRule="auto"/>
        <w:rPr>
          <w:rFonts w:hAnsi="宋体"/>
          <w:szCs w:val="28"/>
        </w:rPr>
      </w:pPr>
      <w:r>
        <w:rPr>
          <w:rFonts w:hAnsi="宋体"/>
          <w:b/>
          <w:szCs w:val="28"/>
        </w:rPr>
        <w:t>对本报告我们特作如下郑重声明</w:t>
      </w:r>
      <w:r>
        <w:rPr>
          <w:rFonts w:hAnsi="宋体"/>
          <w:szCs w:val="28"/>
        </w:rPr>
        <w:t>：</w:t>
      </w:r>
    </w:p>
    <w:p>
      <w:pPr>
        <w:snapToGrid w:val="0"/>
        <w:spacing w:line="360" w:lineRule="auto"/>
        <w:ind w:firstLine="560" w:firstLineChars="200"/>
        <w:rPr>
          <w:szCs w:val="28"/>
        </w:rPr>
      </w:pPr>
      <w:r>
        <w:rPr>
          <w:rFonts w:hint="eastAsia"/>
          <w:szCs w:val="28"/>
        </w:rPr>
        <w:t>1、我们在本估价报告中陈述的事实是真实的和准确的。</w:t>
      </w:r>
    </w:p>
    <w:p>
      <w:pPr>
        <w:snapToGrid w:val="0"/>
        <w:spacing w:line="360" w:lineRule="auto"/>
        <w:ind w:firstLine="560" w:firstLineChars="200"/>
        <w:rPr>
          <w:szCs w:val="28"/>
        </w:rPr>
      </w:pPr>
      <w:r>
        <w:rPr>
          <w:rFonts w:hint="eastAsia"/>
          <w:szCs w:val="28"/>
        </w:rPr>
        <w:t>2、本估价报告中的分析、意见和结论是我们自己公正的专业分析、意见和结论，但受到本估价报告中已说明的假设和限制条件的限制。有关假设限制条件见“估价假设和限制条件”以及估价报告正文中相关说明。</w:t>
      </w:r>
    </w:p>
    <w:p>
      <w:pPr>
        <w:snapToGrid w:val="0"/>
        <w:spacing w:line="360" w:lineRule="auto"/>
        <w:ind w:firstLine="560" w:firstLineChars="200"/>
        <w:rPr>
          <w:szCs w:val="28"/>
        </w:rPr>
      </w:pPr>
      <w:r>
        <w:rPr>
          <w:rFonts w:hint="eastAsia"/>
          <w:szCs w:val="28"/>
        </w:rPr>
        <w:t>3、我们与本次评估的估价对象没有利害关系，也与有关当事人没有个人利害关系或偏见。</w:t>
      </w:r>
    </w:p>
    <w:p>
      <w:pPr>
        <w:snapToGrid w:val="0"/>
        <w:spacing w:line="360" w:lineRule="auto"/>
        <w:ind w:firstLine="560" w:firstLineChars="200"/>
        <w:rPr>
          <w:szCs w:val="28"/>
        </w:rPr>
      </w:pPr>
      <w:r>
        <w:rPr>
          <w:rFonts w:hint="eastAsia"/>
          <w:szCs w:val="28"/>
        </w:rPr>
        <w:t>4、我们依照中华人民共和国国家标准《房地产估价规范》（GB/T50291-2015）、《房地产估价基本术语标准GB/T50899-2013》进行分析、形成意见和结论而撰写本估价报告。</w:t>
      </w:r>
    </w:p>
    <w:p>
      <w:pPr>
        <w:snapToGrid w:val="0"/>
        <w:spacing w:line="360" w:lineRule="auto"/>
        <w:ind w:firstLine="560" w:firstLineChars="200"/>
        <w:rPr>
          <w:szCs w:val="28"/>
        </w:rPr>
      </w:pPr>
      <w:r>
        <w:rPr>
          <w:rFonts w:hint="eastAsia"/>
          <w:szCs w:val="28"/>
        </w:rPr>
        <w:t>5、注册房地产估价师及业务助理于2019年1月28日已对本估价报告中的估价对象进行了现场查勘，并对勘察的客观性、真实性、公正性承担责任，但我们对估价对象的现场查勘仅限于其外观和使用状况，对被遮盖、未暴露及难以接触到的部分，依据产权持有方提供的资料以及当前建筑行业一般标准或相关规范进行评估。我们不承担对估价对象建筑结构质量进行调查的责任。</w:t>
      </w:r>
    </w:p>
    <w:p>
      <w:pPr>
        <w:snapToGrid w:val="0"/>
        <w:spacing w:line="360" w:lineRule="auto"/>
        <w:ind w:firstLine="560" w:firstLineChars="200"/>
        <w:rPr>
          <w:szCs w:val="28"/>
        </w:rPr>
      </w:pPr>
      <w:r>
        <w:rPr>
          <w:rFonts w:hint="eastAsia"/>
          <w:szCs w:val="28"/>
        </w:rPr>
        <w:t>6、没有其他人对本估价报告提供重要的专业帮助。</w:t>
      </w:r>
    </w:p>
    <w:p>
      <w:pPr>
        <w:snapToGrid w:val="0"/>
        <w:spacing w:line="360" w:lineRule="auto"/>
        <w:ind w:firstLine="560" w:firstLineChars="200"/>
        <w:rPr>
          <w:szCs w:val="28"/>
        </w:rPr>
      </w:pPr>
      <w:r>
        <w:rPr>
          <w:rFonts w:hint="eastAsia"/>
          <w:szCs w:val="28"/>
        </w:rPr>
        <w:t>7、委托人以及相关部门在使用本估价报告时，对因忽视本估价报告揭示的相关事实所引起的相关法律责任，本估价机构以及估价人员不承担相应责任。</w:t>
      </w:r>
    </w:p>
    <w:p>
      <w:pPr>
        <w:snapToGrid w:val="0"/>
        <w:spacing w:line="360" w:lineRule="auto"/>
        <w:ind w:firstLine="560" w:firstLineChars="200"/>
        <w:rPr>
          <w:szCs w:val="28"/>
        </w:rPr>
      </w:pPr>
      <w:r>
        <w:rPr>
          <w:rFonts w:hint="eastAsia"/>
          <w:szCs w:val="28"/>
        </w:rPr>
        <w:t>8、本估价报告是本估价机构根据估价目的，遵循估价原则，采用科学合理的估价方法，在认真分析现有资料基础上，经过测算，结合估价经验与对影响房地产市场价格因素进行分析，是以估价对象为实现估价目的而出具的，但受本估价机构估价人员的职业水平和能力的影响。</w:t>
      </w:r>
    </w:p>
    <w:p>
      <w:pPr>
        <w:snapToGrid w:val="0"/>
        <w:spacing w:line="360" w:lineRule="auto"/>
        <w:ind w:firstLine="560" w:firstLineChars="200"/>
        <w:rPr>
          <w:rFonts w:hAnsi="宋体"/>
          <w:szCs w:val="28"/>
        </w:rPr>
      </w:pPr>
      <w:r>
        <w:rPr>
          <w:rFonts w:hint="eastAsia"/>
          <w:szCs w:val="28"/>
        </w:rPr>
        <w:t>9、本估价报告中采用的专业术语的解释及定义使用《房地产估价规范》（GB/T50291-2015）、《房地产估价基本术语标准GB/T50899-2013》相关规定。</w:t>
      </w:r>
    </w:p>
    <w:p>
      <w:pPr>
        <w:snapToGrid w:val="0"/>
        <w:spacing w:line="360" w:lineRule="auto"/>
        <w:ind w:firstLine="200"/>
        <w:rPr>
          <w:rFonts w:hAnsi="宋体"/>
          <w:szCs w:val="28"/>
        </w:rPr>
      </w:pPr>
    </w:p>
    <w:tbl>
      <w:tblPr>
        <w:tblStyle w:val="16"/>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2010"/>
        <w:gridCol w:w="3110"/>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jc w:val="center"/>
        </w:trPr>
        <w:tc>
          <w:tcPr>
            <w:tcW w:w="1407" w:type="dxa"/>
            <w:tcBorders>
              <w:top w:val="single" w:color="auto" w:sz="12" w:space="0"/>
              <w:left w:val="single" w:color="auto" w:sz="12" w:space="0"/>
            </w:tcBorders>
            <w:vAlign w:val="center"/>
          </w:tcPr>
          <w:p>
            <w:pPr>
              <w:snapToGrid w:val="0"/>
              <w:jc w:val="center"/>
              <w:rPr>
                <w:szCs w:val="28"/>
              </w:rPr>
            </w:pPr>
            <w:r>
              <w:rPr>
                <w:szCs w:val="28"/>
              </w:rPr>
              <w:t>姓名</w:t>
            </w:r>
          </w:p>
        </w:tc>
        <w:tc>
          <w:tcPr>
            <w:tcW w:w="2010" w:type="dxa"/>
            <w:tcBorders>
              <w:top w:val="single" w:color="auto" w:sz="12" w:space="0"/>
            </w:tcBorders>
            <w:vAlign w:val="center"/>
          </w:tcPr>
          <w:p>
            <w:pPr>
              <w:snapToGrid w:val="0"/>
              <w:jc w:val="center"/>
              <w:rPr>
                <w:szCs w:val="28"/>
              </w:rPr>
            </w:pPr>
            <w:r>
              <w:rPr>
                <w:szCs w:val="28"/>
              </w:rPr>
              <w:t>注册号</w:t>
            </w:r>
          </w:p>
        </w:tc>
        <w:tc>
          <w:tcPr>
            <w:tcW w:w="3110" w:type="dxa"/>
            <w:tcBorders>
              <w:top w:val="single" w:color="auto" w:sz="12" w:space="0"/>
            </w:tcBorders>
            <w:vAlign w:val="center"/>
          </w:tcPr>
          <w:p>
            <w:pPr>
              <w:snapToGrid w:val="0"/>
              <w:jc w:val="center"/>
              <w:rPr>
                <w:szCs w:val="28"/>
              </w:rPr>
            </w:pPr>
            <w:r>
              <w:rPr>
                <w:szCs w:val="28"/>
              </w:rPr>
              <w:t>签名</w:t>
            </w:r>
          </w:p>
        </w:tc>
        <w:tc>
          <w:tcPr>
            <w:tcW w:w="2473" w:type="dxa"/>
            <w:tcBorders>
              <w:top w:val="single" w:color="auto" w:sz="12" w:space="0"/>
              <w:right w:val="single" w:color="auto" w:sz="12" w:space="0"/>
            </w:tcBorders>
            <w:vAlign w:val="center"/>
          </w:tcPr>
          <w:p>
            <w:pPr>
              <w:snapToGrid w:val="0"/>
              <w:jc w:val="center"/>
              <w:rPr>
                <w:szCs w:val="28"/>
              </w:rPr>
            </w:pPr>
            <w:r>
              <w:rPr>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exact"/>
          <w:jc w:val="center"/>
        </w:trPr>
        <w:tc>
          <w:tcPr>
            <w:tcW w:w="1407" w:type="dxa"/>
            <w:tcBorders>
              <w:left w:val="single" w:color="auto" w:sz="12" w:space="0"/>
            </w:tcBorders>
            <w:vAlign w:val="center"/>
          </w:tcPr>
          <w:p>
            <w:pPr>
              <w:snapToGrid w:val="0"/>
              <w:jc w:val="center"/>
              <w:rPr>
                <w:szCs w:val="28"/>
              </w:rPr>
            </w:pPr>
            <w:r>
              <w:rPr>
                <w:rFonts w:hint="eastAsia"/>
                <w:szCs w:val="28"/>
              </w:rPr>
              <w:t>谢光明</w:t>
            </w:r>
          </w:p>
        </w:tc>
        <w:tc>
          <w:tcPr>
            <w:tcW w:w="2010" w:type="dxa"/>
            <w:vAlign w:val="center"/>
          </w:tcPr>
          <w:p>
            <w:pPr>
              <w:snapToGrid w:val="0"/>
              <w:jc w:val="center"/>
              <w:rPr>
                <w:szCs w:val="28"/>
              </w:rPr>
            </w:pPr>
            <w:r>
              <w:rPr>
                <w:snapToGrid w:val="0"/>
                <w:szCs w:val="28"/>
              </w:rPr>
              <w:t>52201</w:t>
            </w:r>
            <w:r>
              <w:rPr>
                <w:rFonts w:hint="eastAsia"/>
                <w:snapToGrid w:val="0"/>
                <w:szCs w:val="28"/>
              </w:rPr>
              <w:t>80018</w:t>
            </w:r>
          </w:p>
        </w:tc>
        <w:tc>
          <w:tcPr>
            <w:tcW w:w="3110" w:type="dxa"/>
            <w:vAlign w:val="center"/>
          </w:tcPr>
          <w:p>
            <w:pPr>
              <w:snapToGrid w:val="0"/>
              <w:jc w:val="center"/>
              <w:rPr>
                <w:szCs w:val="28"/>
              </w:rPr>
            </w:pPr>
          </w:p>
        </w:tc>
        <w:tc>
          <w:tcPr>
            <w:tcW w:w="2473" w:type="dxa"/>
            <w:tcBorders>
              <w:right w:val="single" w:color="auto" w:sz="12" w:space="0"/>
            </w:tcBorders>
            <w:vAlign w:val="center"/>
          </w:tcPr>
          <w:p>
            <w:pPr>
              <w:snapToGrid w:val="0"/>
              <w:rPr>
                <w:szCs w:val="28"/>
              </w:rPr>
            </w:pPr>
            <w:r>
              <w:rPr>
                <w:rFonts w:hint="eastAsia"/>
                <w:szCs w:val="28"/>
              </w:rPr>
              <w:t>2019年2月26日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exact"/>
          <w:jc w:val="center"/>
        </w:trPr>
        <w:tc>
          <w:tcPr>
            <w:tcW w:w="1407" w:type="dxa"/>
            <w:tcBorders>
              <w:left w:val="single" w:color="auto" w:sz="12" w:space="0"/>
              <w:bottom w:val="single" w:color="auto" w:sz="12" w:space="0"/>
            </w:tcBorders>
            <w:vAlign w:val="center"/>
          </w:tcPr>
          <w:p>
            <w:pPr>
              <w:snapToGrid w:val="0"/>
              <w:jc w:val="center"/>
              <w:rPr>
                <w:szCs w:val="28"/>
              </w:rPr>
            </w:pPr>
            <w:r>
              <w:rPr>
                <w:color w:val="000000"/>
                <w:szCs w:val="28"/>
              </w:rPr>
              <w:t>张绍伙</w:t>
            </w:r>
          </w:p>
        </w:tc>
        <w:tc>
          <w:tcPr>
            <w:tcW w:w="2010" w:type="dxa"/>
            <w:tcBorders>
              <w:bottom w:val="single" w:color="auto" w:sz="12" w:space="0"/>
            </w:tcBorders>
            <w:vAlign w:val="center"/>
          </w:tcPr>
          <w:p>
            <w:pPr>
              <w:snapToGrid w:val="0"/>
              <w:jc w:val="center"/>
              <w:rPr>
                <w:szCs w:val="28"/>
              </w:rPr>
            </w:pPr>
            <w:r>
              <w:rPr>
                <w:snapToGrid w:val="0"/>
                <w:szCs w:val="28"/>
              </w:rPr>
              <w:t>5220100023</w:t>
            </w:r>
          </w:p>
        </w:tc>
        <w:tc>
          <w:tcPr>
            <w:tcW w:w="3110" w:type="dxa"/>
            <w:tcBorders>
              <w:bottom w:val="single" w:color="auto" w:sz="12" w:space="0"/>
            </w:tcBorders>
            <w:vAlign w:val="center"/>
          </w:tcPr>
          <w:p>
            <w:pPr>
              <w:snapToGrid w:val="0"/>
              <w:jc w:val="center"/>
              <w:rPr>
                <w:szCs w:val="28"/>
              </w:rPr>
            </w:pPr>
          </w:p>
        </w:tc>
        <w:tc>
          <w:tcPr>
            <w:tcW w:w="2473" w:type="dxa"/>
            <w:tcBorders>
              <w:bottom w:val="single" w:color="auto" w:sz="12" w:space="0"/>
              <w:right w:val="single" w:color="auto" w:sz="12" w:space="0"/>
            </w:tcBorders>
            <w:vAlign w:val="center"/>
          </w:tcPr>
          <w:p>
            <w:pPr>
              <w:snapToGrid w:val="0"/>
              <w:rPr>
                <w:szCs w:val="28"/>
              </w:rPr>
            </w:pPr>
            <w:r>
              <w:rPr>
                <w:rFonts w:hint="eastAsia"/>
                <w:szCs w:val="28"/>
              </w:rPr>
              <w:t>2019年2月26日</w:t>
            </w:r>
          </w:p>
        </w:tc>
      </w:tr>
    </w:tbl>
    <w:p>
      <w:pPr>
        <w:rPr>
          <w:rFonts w:hAnsi="宋体"/>
          <w:szCs w:val="28"/>
        </w:rPr>
      </w:pPr>
    </w:p>
    <w:p>
      <w:pPr>
        <w:rPr>
          <w:rFonts w:hAnsi="宋体"/>
          <w:szCs w:val="28"/>
        </w:rPr>
      </w:pPr>
    </w:p>
    <w:p>
      <w:pPr>
        <w:rPr>
          <w:rFonts w:hAnsi="宋体"/>
          <w:szCs w:val="28"/>
        </w:rPr>
      </w:pPr>
    </w:p>
    <w:p>
      <w:pPr>
        <w:rPr>
          <w:rFonts w:hAnsi="宋体"/>
          <w:szCs w:val="28"/>
        </w:rPr>
      </w:pPr>
    </w:p>
    <w:p>
      <w:pPr>
        <w:rPr>
          <w:rFonts w:hAnsi="宋体"/>
          <w:szCs w:val="28"/>
        </w:rPr>
      </w:pPr>
    </w:p>
    <w:p>
      <w:pPr>
        <w:rPr>
          <w:rFonts w:hAnsi="宋体"/>
          <w:szCs w:val="28"/>
        </w:rPr>
      </w:pPr>
    </w:p>
    <w:p>
      <w:pPr>
        <w:rPr>
          <w:rFonts w:hAnsi="宋体"/>
          <w:szCs w:val="28"/>
        </w:rPr>
      </w:pPr>
    </w:p>
    <w:p>
      <w:pPr>
        <w:rPr>
          <w:rFonts w:hAnsi="宋体"/>
          <w:szCs w:val="28"/>
        </w:rPr>
      </w:pPr>
    </w:p>
    <w:p>
      <w:pPr>
        <w:rPr>
          <w:rFonts w:hAnsi="宋体"/>
          <w:szCs w:val="28"/>
        </w:rPr>
      </w:pPr>
    </w:p>
    <w:p>
      <w:pPr>
        <w:rPr>
          <w:rFonts w:hAnsi="宋体"/>
          <w:szCs w:val="28"/>
        </w:rPr>
      </w:pPr>
    </w:p>
    <w:p>
      <w:pPr>
        <w:rPr>
          <w:rFonts w:hAnsi="宋体"/>
          <w:szCs w:val="28"/>
        </w:rPr>
      </w:pPr>
    </w:p>
    <w:p>
      <w:pPr>
        <w:pStyle w:val="2"/>
        <w:spacing w:beforeLines="100" w:afterLines="100" w:line="360" w:lineRule="auto"/>
        <w:jc w:val="center"/>
      </w:pPr>
      <w:bookmarkStart w:id="4" w:name="_Toc28492"/>
      <w:bookmarkStart w:id="5" w:name="_Toc440992054"/>
      <w:bookmarkStart w:id="6" w:name="_Toc19359"/>
      <w:bookmarkStart w:id="7" w:name="_Toc29726"/>
      <w:bookmarkStart w:id="8" w:name="_Toc464207624"/>
      <w:bookmarkStart w:id="9" w:name="_Toc440990674"/>
      <w:r>
        <w:t>估价的假设和限制条件</w:t>
      </w:r>
      <w:bookmarkEnd w:id="4"/>
      <w:bookmarkEnd w:id="5"/>
      <w:bookmarkEnd w:id="6"/>
      <w:bookmarkEnd w:id="7"/>
      <w:bookmarkEnd w:id="8"/>
      <w:bookmarkEnd w:id="9"/>
    </w:p>
    <w:p>
      <w:pPr>
        <w:spacing w:beforeLines="50" w:afterLines="50" w:line="360" w:lineRule="auto"/>
        <w:ind w:firstLine="562" w:firstLineChars="200"/>
        <w:rPr>
          <w:rFonts w:hAnsi="宋体"/>
          <w:b/>
          <w:szCs w:val="28"/>
        </w:rPr>
      </w:pPr>
      <w:r>
        <w:rPr>
          <w:rFonts w:hint="eastAsia" w:hAnsi="宋体"/>
          <w:b/>
          <w:szCs w:val="28"/>
        </w:rPr>
        <w:t>一、一般假设</w:t>
      </w:r>
    </w:p>
    <w:p>
      <w:pPr>
        <w:spacing w:line="360" w:lineRule="auto"/>
        <w:ind w:firstLine="560" w:firstLineChars="200"/>
        <w:rPr>
          <w:rFonts w:hAnsi="宋体"/>
          <w:szCs w:val="28"/>
        </w:rPr>
      </w:pPr>
      <w:r>
        <w:rPr>
          <w:rFonts w:hint="eastAsia" w:hAnsi="宋体"/>
          <w:szCs w:val="28"/>
        </w:rPr>
        <w:t>1、在价值时点，估价对象</w:t>
      </w:r>
      <w:r>
        <w:rPr>
          <w:rFonts w:hAnsi="宋体"/>
          <w:szCs w:val="28"/>
        </w:rPr>
        <w:t>在公开市场</w:t>
      </w:r>
      <w:r>
        <w:rPr>
          <w:rFonts w:hint="eastAsia" w:hAnsi="宋体"/>
          <w:szCs w:val="28"/>
        </w:rPr>
        <w:t>上</w:t>
      </w:r>
      <w:r>
        <w:rPr>
          <w:rFonts w:hAnsi="宋体"/>
          <w:szCs w:val="28"/>
        </w:rPr>
        <w:t>可合法</w:t>
      </w:r>
      <w:r>
        <w:rPr>
          <w:rFonts w:hint="eastAsia" w:hAnsi="宋体"/>
          <w:szCs w:val="28"/>
        </w:rPr>
        <w:t>自由的</w:t>
      </w:r>
      <w:r>
        <w:rPr>
          <w:rFonts w:hAnsi="宋体"/>
          <w:szCs w:val="28"/>
        </w:rPr>
        <w:t>进行转让。</w:t>
      </w:r>
    </w:p>
    <w:p>
      <w:pPr>
        <w:spacing w:line="360" w:lineRule="auto"/>
        <w:ind w:firstLine="560" w:firstLineChars="200"/>
        <w:rPr>
          <w:rFonts w:hAnsi="宋体"/>
          <w:szCs w:val="28"/>
        </w:rPr>
      </w:pPr>
      <w:r>
        <w:rPr>
          <w:rFonts w:hint="eastAsia"/>
          <w:szCs w:val="28"/>
        </w:rPr>
        <w:t>2</w:t>
      </w:r>
      <w:r>
        <w:rPr>
          <w:rFonts w:hint="eastAsia" w:hAnsi="宋体"/>
          <w:szCs w:val="28"/>
        </w:rPr>
        <w:t>、</w:t>
      </w:r>
      <w:r>
        <w:rPr>
          <w:rFonts w:hAnsi="宋体"/>
          <w:szCs w:val="28"/>
        </w:rPr>
        <w:t>在价值时点的房地产市场为公开、平等、自愿的交易市场。</w:t>
      </w:r>
    </w:p>
    <w:p>
      <w:pPr>
        <w:spacing w:line="360" w:lineRule="auto"/>
        <w:ind w:firstLine="560" w:firstLineChars="200"/>
        <w:rPr>
          <w:rFonts w:hAnsi="宋体"/>
          <w:szCs w:val="28"/>
        </w:rPr>
      </w:pPr>
      <w:r>
        <w:rPr>
          <w:rFonts w:hint="eastAsia" w:hAnsi="宋体"/>
          <w:szCs w:val="28"/>
        </w:rPr>
        <w:t>3、估价对象以合法的方式取得，取得过程中所涉及的各种法律文件、手续齐全，各种规费、税费、费用已全数缴清。</w:t>
      </w:r>
    </w:p>
    <w:p>
      <w:pPr>
        <w:spacing w:line="360" w:lineRule="auto"/>
        <w:ind w:firstLine="560" w:firstLineChars="200"/>
        <w:rPr>
          <w:rFonts w:hAnsi="宋体"/>
          <w:szCs w:val="28"/>
        </w:rPr>
      </w:pPr>
      <w:r>
        <w:rPr>
          <w:rFonts w:hint="eastAsia"/>
          <w:szCs w:val="28"/>
        </w:rPr>
        <w:t>4</w:t>
      </w:r>
      <w:r>
        <w:rPr>
          <w:rFonts w:hint="eastAsia" w:hAnsi="宋体"/>
          <w:szCs w:val="28"/>
        </w:rPr>
        <w:t>、估价对象权属清晰无异议，不属于行政法规规定不得进行抵押的房地产。</w:t>
      </w:r>
    </w:p>
    <w:p>
      <w:pPr>
        <w:spacing w:line="360" w:lineRule="auto"/>
        <w:ind w:firstLine="560" w:firstLineChars="200"/>
        <w:rPr>
          <w:rFonts w:hAnsi="宋体"/>
          <w:szCs w:val="28"/>
        </w:rPr>
      </w:pPr>
      <w:r>
        <w:rPr>
          <w:rFonts w:hint="eastAsia"/>
          <w:szCs w:val="28"/>
        </w:rPr>
        <w:t>5</w:t>
      </w:r>
      <w:r>
        <w:rPr>
          <w:rFonts w:hint="eastAsia" w:hAnsi="宋体"/>
          <w:szCs w:val="28"/>
        </w:rPr>
        <w:t>、本次估价是以估价对象能够按照法定用途持续使用为假设前提。</w:t>
      </w:r>
    </w:p>
    <w:p>
      <w:pPr>
        <w:spacing w:line="360" w:lineRule="auto"/>
        <w:ind w:firstLine="560" w:firstLineChars="200"/>
        <w:rPr>
          <w:rFonts w:hAnsi="宋体"/>
          <w:szCs w:val="28"/>
        </w:rPr>
      </w:pPr>
      <w:r>
        <w:rPr>
          <w:szCs w:val="28"/>
        </w:rPr>
        <w:t>6</w:t>
      </w:r>
      <w:r>
        <w:rPr>
          <w:rFonts w:hAnsi="宋体"/>
          <w:szCs w:val="28"/>
        </w:rPr>
        <w:t>、本次评估假定在未来一段时间内，国家宏观政策以及估价对象所在区域房地产市场状况无较大波动，可以根据当地以往同类房地产市场发展趋势对房地产价格水平进行理性预测。</w:t>
      </w:r>
    </w:p>
    <w:p>
      <w:pPr>
        <w:spacing w:line="360" w:lineRule="auto"/>
        <w:ind w:firstLine="560" w:firstLineChars="200"/>
        <w:rPr>
          <w:rFonts w:hAnsi="宋体"/>
          <w:szCs w:val="28"/>
        </w:rPr>
      </w:pPr>
      <w:r>
        <w:rPr>
          <w:rFonts w:hint="eastAsia" w:hAnsi="宋体"/>
          <w:szCs w:val="28"/>
        </w:rPr>
        <w:t>7、评估价值形成的市场假定</w:t>
      </w:r>
    </w:p>
    <w:p>
      <w:pPr>
        <w:spacing w:line="360" w:lineRule="auto"/>
        <w:ind w:firstLine="560" w:firstLineChars="200"/>
        <w:rPr>
          <w:rFonts w:hAnsi="宋体"/>
          <w:szCs w:val="28"/>
        </w:rPr>
      </w:pPr>
      <w:r>
        <w:rPr>
          <w:rFonts w:hint="eastAsia" w:hAnsi="宋体"/>
          <w:szCs w:val="28"/>
        </w:rPr>
        <w:t>公开市场假设。具体包含：</w:t>
      </w:r>
    </w:p>
    <w:p>
      <w:pPr>
        <w:spacing w:line="360" w:lineRule="auto"/>
        <w:ind w:firstLine="560" w:firstLineChars="200"/>
        <w:rPr>
          <w:rFonts w:hAnsi="宋体"/>
          <w:szCs w:val="28"/>
        </w:rPr>
      </w:pPr>
      <w:r>
        <w:rPr>
          <w:rFonts w:hint="eastAsia" w:hAnsi="宋体"/>
          <w:szCs w:val="28"/>
        </w:rPr>
        <w:t>①交易双方均是自愿地进行交易的；</w:t>
      </w:r>
    </w:p>
    <w:p>
      <w:pPr>
        <w:spacing w:line="360" w:lineRule="auto"/>
        <w:ind w:firstLine="560" w:firstLineChars="200"/>
        <w:rPr>
          <w:rFonts w:hAnsi="宋体"/>
          <w:szCs w:val="28"/>
        </w:rPr>
      </w:pPr>
      <w:r>
        <w:rPr>
          <w:rFonts w:hint="eastAsia" w:hAnsi="宋体"/>
          <w:szCs w:val="28"/>
        </w:rPr>
        <w:t>②交易双方均是出于利己动机，交易双方具有关于交易对象的必要的专业知识，了解交易对象、知晓市场行情，交易目的在于最大限度地追求经济利益；</w:t>
      </w:r>
    </w:p>
    <w:p>
      <w:pPr>
        <w:spacing w:line="360" w:lineRule="auto"/>
        <w:ind w:firstLine="560" w:firstLineChars="200"/>
        <w:rPr>
          <w:rFonts w:hAnsi="宋体"/>
          <w:szCs w:val="28"/>
        </w:rPr>
      </w:pPr>
      <w:r>
        <w:rPr>
          <w:rFonts w:hint="eastAsia" w:hAnsi="宋体"/>
          <w:szCs w:val="28"/>
        </w:rPr>
        <w:t>③市场上有多个买家、卖家，交易条件公开并不具有排他性，交易价格支付为一次性在成交时支付。</w:t>
      </w:r>
    </w:p>
    <w:p>
      <w:pPr>
        <w:spacing w:line="360" w:lineRule="auto"/>
        <w:ind w:firstLine="560" w:firstLineChars="200"/>
        <w:rPr>
          <w:rFonts w:hAnsi="宋体"/>
          <w:szCs w:val="28"/>
        </w:rPr>
      </w:pPr>
      <w:r>
        <w:rPr>
          <w:rFonts w:hint="eastAsia" w:hAnsi="宋体"/>
          <w:szCs w:val="28"/>
        </w:rPr>
        <w:t>④交易房地产在市场上公开足够时间，买卖双方掌握足够的关于交易房地产的信息，并有充裕的时间进行房地产交易；</w:t>
      </w:r>
    </w:p>
    <w:p>
      <w:pPr>
        <w:spacing w:line="360" w:lineRule="auto"/>
        <w:ind w:firstLine="560" w:firstLineChars="200"/>
        <w:rPr>
          <w:rFonts w:hAnsi="宋体"/>
          <w:szCs w:val="28"/>
        </w:rPr>
      </w:pPr>
      <w:r>
        <w:rPr>
          <w:rFonts w:hint="eastAsia" w:hAnsi="宋体"/>
          <w:szCs w:val="28"/>
        </w:rPr>
        <w:t>⑤交易双方均不存在买者因特殊兴趣而给予的附加出价。</w:t>
      </w:r>
    </w:p>
    <w:p>
      <w:pPr>
        <w:spacing w:line="360" w:lineRule="auto"/>
        <w:ind w:firstLine="560" w:firstLineChars="200"/>
        <w:rPr>
          <w:rFonts w:hAnsi="宋体"/>
          <w:szCs w:val="28"/>
        </w:rPr>
      </w:pPr>
      <w:r>
        <w:rPr>
          <w:rFonts w:hint="eastAsia" w:hAnsi="宋体"/>
          <w:szCs w:val="28"/>
        </w:rPr>
        <w:t>估价对象于价值时点的市场价值是指估价对象于价值时点在市场上公开出售最可能实现的价格。</w:t>
      </w:r>
    </w:p>
    <w:p>
      <w:pPr>
        <w:spacing w:beforeLines="50" w:afterLines="50" w:line="360" w:lineRule="auto"/>
        <w:ind w:firstLine="562" w:firstLineChars="200"/>
        <w:rPr>
          <w:rFonts w:hAnsi="宋体"/>
          <w:b/>
          <w:szCs w:val="28"/>
        </w:rPr>
      </w:pPr>
      <w:r>
        <w:rPr>
          <w:rFonts w:hint="eastAsia" w:hAnsi="宋体"/>
          <w:b/>
          <w:szCs w:val="28"/>
        </w:rPr>
        <w:t>二、不相一致假设</w:t>
      </w:r>
    </w:p>
    <w:p>
      <w:pPr>
        <w:spacing w:beforeLines="50" w:afterLines="50" w:line="360" w:lineRule="auto"/>
        <w:ind w:firstLine="560" w:firstLineChars="200"/>
        <w:rPr>
          <w:rFonts w:hAnsi="宋体" w:cs="宋体"/>
          <w:szCs w:val="28"/>
        </w:rPr>
      </w:pPr>
      <w:r>
        <w:rPr>
          <w:rFonts w:hint="eastAsia" w:hAnsi="宋体" w:cs="宋体"/>
          <w:szCs w:val="28"/>
        </w:rPr>
        <w:t>本次估价对象假设房地产估价时点与现场查勘时点权益状况和实物状况相一致。</w:t>
      </w:r>
    </w:p>
    <w:p>
      <w:pPr>
        <w:spacing w:beforeLines="50" w:afterLines="50" w:line="360" w:lineRule="auto"/>
        <w:ind w:firstLine="562" w:firstLineChars="200"/>
        <w:rPr>
          <w:rFonts w:hAnsi="宋体" w:cs="宋体"/>
          <w:b/>
          <w:bCs/>
          <w:szCs w:val="28"/>
        </w:rPr>
      </w:pPr>
      <w:r>
        <w:rPr>
          <w:rFonts w:hint="eastAsia" w:hAnsi="宋体" w:cs="宋体"/>
          <w:b/>
          <w:bCs/>
          <w:szCs w:val="28"/>
        </w:rPr>
        <w:t>三、背离事实假设</w:t>
      </w:r>
    </w:p>
    <w:p>
      <w:pPr>
        <w:spacing w:line="360" w:lineRule="auto"/>
        <w:ind w:firstLine="560" w:firstLineChars="200"/>
        <w:rPr>
          <w:rFonts w:hAnsi="宋体" w:cs="宋体"/>
          <w:szCs w:val="28"/>
        </w:rPr>
      </w:pPr>
      <w:r>
        <w:rPr>
          <w:rFonts w:hint="eastAsia" w:ascii="Times New Roman" w:hAnsi="Times New Roman"/>
          <w:snapToGrid w:val="0"/>
          <w:szCs w:val="28"/>
        </w:rPr>
        <w:t>本次评估所依据的相关事项均与</w:t>
      </w:r>
      <w:r>
        <w:rPr>
          <w:rFonts w:hint="eastAsia" w:hAnsi="宋体"/>
          <w:color w:val="000000"/>
          <w:szCs w:val="28"/>
        </w:rPr>
        <w:t>事实相符，无背离事实假设。</w:t>
      </w:r>
    </w:p>
    <w:p>
      <w:pPr>
        <w:spacing w:beforeLines="50" w:afterLines="50" w:line="360" w:lineRule="auto"/>
        <w:ind w:firstLine="562" w:firstLineChars="200"/>
        <w:rPr>
          <w:rFonts w:hAnsi="宋体" w:cs="宋体"/>
          <w:b/>
          <w:szCs w:val="28"/>
        </w:rPr>
      </w:pPr>
      <w:r>
        <w:rPr>
          <w:rFonts w:hint="eastAsia" w:hAnsi="宋体" w:cs="宋体"/>
          <w:b/>
          <w:szCs w:val="28"/>
        </w:rPr>
        <w:t>四、未定事项假设</w:t>
      </w:r>
    </w:p>
    <w:p>
      <w:pPr>
        <w:spacing w:line="360" w:lineRule="auto"/>
        <w:ind w:firstLine="560" w:firstLineChars="200"/>
        <w:rPr>
          <w:rFonts w:ascii="Calibri" w:hAnsi="宋体"/>
          <w:szCs w:val="28"/>
        </w:rPr>
      </w:pPr>
      <w:r>
        <w:rPr>
          <w:rFonts w:hint="eastAsia" w:ascii="Calibri" w:hAnsi="宋体"/>
          <w:szCs w:val="28"/>
        </w:rPr>
        <w:t>估价对象位于贵阳市南明区花果园彭家湾棚户区改造项目C区1号楼，本次估价委托人及相关当事人未能提供《国有土地使用证》，根据委托人及相关当事人介绍，且经过估价人员对估价对象所处小区的土地权属资料调查收集了解，估价对象所在位置为商业楼盘，且房屋类型为普通商品房，故本次估价以估价对象均以土地使用权类型为出让、规划用途为住宅作为假设前提。</w:t>
      </w:r>
    </w:p>
    <w:p>
      <w:pPr>
        <w:spacing w:line="360" w:lineRule="auto"/>
        <w:ind w:firstLine="562" w:firstLineChars="200"/>
        <w:rPr>
          <w:rFonts w:ascii="Times New Roman" w:hAnsi="宋体"/>
          <w:b/>
          <w:szCs w:val="28"/>
        </w:rPr>
      </w:pPr>
      <w:r>
        <w:rPr>
          <w:rFonts w:hint="eastAsia" w:ascii="Times New Roman" w:hAnsi="宋体"/>
          <w:b/>
          <w:szCs w:val="28"/>
        </w:rPr>
        <w:t>五、依据不足假设</w:t>
      </w:r>
    </w:p>
    <w:p>
      <w:pPr>
        <w:widowControl/>
        <w:spacing w:line="360" w:lineRule="auto"/>
        <w:ind w:firstLine="560" w:firstLineChars="200"/>
        <w:textAlignment w:val="bottom"/>
        <w:rPr>
          <w:rFonts w:ascii="Calibri" w:hAnsi="宋体"/>
          <w:szCs w:val="28"/>
        </w:rPr>
      </w:pPr>
      <w:r>
        <w:rPr>
          <w:rFonts w:hint="eastAsia" w:hAnsi="宋体"/>
          <w:szCs w:val="28"/>
        </w:rPr>
        <w:t>本次评估依据充分，无依据不足假设。</w:t>
      </w:r>
    </w:p>
    <w:p>
      <w:pPr>
        <w:spacing w:beforeLines="50" w:afterLines="50" w:line="360" w:lineRule="auto"/>
        <w:ind w:firstLine="562" w:firstLineChars="200"/>
        <w:rPr>
          <w:rFonts w:hAnsi="宋体"/>
          <w:b/>
          <w:szCs w:val="28"/>
        </w:rPr>
      </w:pPr>
      <w:r>
        <w:rPr>
          <w:rFonts w:hint="eastAsia" w:hAnsi="宋体"/>
          <w:b/>
          <w:szCs w:val="28"/>
        </w:rPr>
        <w:t>六、本报告使用的限制条件</w:t>
      </w:r>
    </w:p>
    <w:p>
      <w:pPr>
        <w:spacing w:line="360" w:lineRule="auto"/>
        <w:ind w:firstLine="560" w:firstLineChars="200"/>
        <w:rPr>
          <w:szCs w:val="28"/>
        </w:rPr>
      </w:pPr>
      <w:r>
        <w:rPr>
          <w:szCs w:val="28"/>
        </w:rPr>
        <w:t>1</w:t>
      </w:r>
      <w:r>
        <w:rPr>
          <w:rFonts w:hint="eastAsia"/>
          <w:szCs w:val="28"/>
        </w:rPr>
        <w:t>、本报告结果为估价对象于2019年1月22日的市场价值，随着时间及市场情况的变化，该价值需作相应的调整。如使用本报告估价结果的时间与报告提交日期相差</w:t>
      </w:r>
      <w:r>
        <w:rPr>
          <w:szCs w:val="28"/>
        </w:rPr>
        <w:t>12</w:t>
      </w:r>
      <w:r>
        <w:rPr>
          <w:rFonts w:hint="eastAsia"/>
          <w:szCs w:val="28"/>
        </w:rPr>
        <w:t>个月或以上，我公司对应用此结果给有关方面造</w:t>
      </w:r>
      <w:r>
        <w:rPr>
          <w:szCs w:val="28"/>
        </w:rPr>
        <w:t>成的损失不承担任何责任。</w:t>
      </w:r>
    </w:p>
    <w:p>
      <w:pPr>
        <w:spacing w:line="360" w:lineRule="auto"/>
        <w:ind w:firstLine="560" w:firstLineChars="200"/>
        <w:rPr>
          <w:szCs w:val="28"/>
        </w:rPr>
      </w:pPr>
      <w:r>
        <w:rPr>
          <w:rFonts w:hint="eastAsia"/>
          <w:szCs w:val="28"/>
        </w:rPr>
        <w:t>2、</w:t>
      </w:r>
      <w:r>
        <w:rPr>
          <w:rFonts w:hAnsi="宋体"/>
          <w:color w:val="000000"/>
          <w:szCs w:val="28"/>
        </w:rPr>
        <w:t>本报告有效期为壹年</w:t>
      </w:r>
      <w:r>
        <w:rPr>
          <w:rFonts w:hAnsi="宋体"/>
          <w:szCs w:val="28"/>
        </w:rPr>
        <w:t>（即</w:t>
      </w:r>
      <w:r>
        <w:rPr>
          <w:rFonts w:hint="eastAsia"/>
          <w:szCs w:val="28"/>
        </w:rPr>
        <w:t>2019年2月26日</w:t>
      </w:r>
      <w:r>
        <w:rPr>
          <w:rFonts w:hAnsi="宋体"/>
          <w:szCs w:val="28"/>
        </w:rPr>
        <w:t>至</w:t>
      </w:r>
      <w:r>
        <w:rPr>
          <w:szCs w:val="28"/>
        </w:rPr>
        <w:t>20</w:t>
      </w:r>
      <w:r>
        <w:rPr>
          <w:rFonts w:hint="eastAsia"/>
          <w:szCs w:val="28"/>
        </w:rPr>
        <w:t>20</w:t>
      </w:r>
      <w:r>
        <w:rPr>
          <w:szCs w:val="28"/>
        </w:rPr>
        <w:t>年</w:t>
      </w:r>
      <w:r>
        <w:rPr>
          <w:rFonts w:hint="eastAsia"/>
          <w:szCs w:val="28"/>
        </w:rPr>
        <w:t>2</w:t>
      </w:r>
      <w:r>
        <w:rPr>
          <w:szCs w:val="28"/>
        </w:rPr>
        <w:t>月</w:t>
      </w:r>
      <w:r>
        <w:rPr>
          <w:rFonts w:hint="eastAsia"/>
          <w:szCs w:val="28"/>
        </w:rPr>
        <w:t>25日</w:t>
      </w:r>
      <w:r>
        <w:rPr>
          <w:rFonts w:hAnsi="宋体"/>
          <w:szCs w:val="28"/>
        </w:rPr>
        <w:t>）</w:t>
      </w:r>
      <w:r>
        <w:rPr>
          <w:rFonts w:hint="eastAsia" w:hAnsi="宋体"/>
          <w:szCs w:val="28"/>
        </w:rPr>
        <w:t>，</w:t>
      </w:r>
      <w:r>
        <w:rPr>
          <w:rFonts w:hAnsi="宋体"/>
          <w:szCs w:val="28"/>
        </w:rPr>
        <w:t>随时间及市场情况的变化，</w:t>
      </w:r>
      <w:r>
        <w:rPr>
          <w:rFonts w:hint="eastAsia" w:hAnsi="宋体"/>
          <w:szCs w:val="28"/>
        </w:rPr>
        <w:t>估价</w:t>
      </w:r>
      <w:r>
        <w:rPr>
          <w:rFonts w:hAnsi="宋体"/>
          <w:szCs w:val="28"/>
        </w:rPr>
        <w:t>对象的价值也应作相应调整。</w:t>
      </w:r>
      <w:r>
        <w:rPr>
          <w:szCs w:val="28"/>
        </w:rPr>
        <w:t xml:space="preserve">   </w:t>
      </w:r>
    </w:p>
    <w:p>
      <w:pPr>
        <w:spacing w:line="360" w:lineRule="auto"/>
        <w:ind w:firstLine="560" w:firstLineChars="200"/>
        <w:rPr>
          <w:szCs w:val="28"/>
        </w:rPr>
      </w:pPr>
      <w:r>
        <w:rPr>
          <w:rFonts w:hint="eastAsia"/>
          <w:szCs w:val="28"/>
        </w:rPr>
        <w:t>3</w:t>
      </w:r>
      <w:r>
        <w:rPr>
          <w:szCs w:val="28"/>
        </w:rPr>
        <w:t>、</w:t>
      </w:r>
      <w:r>
        <w:rPr>
          <w:rFonts w:hint="eastAsia"/>
          <w:szCs w:val="28"/>
        </w:rPr>
        <w:t>本估价报告的估价结果是反映估价对象于价值时点、在本次估价目的下的市场价值。未考虑国家宏观经济政策变化、房地产市场供应关系变化、房地产市场结构变化、遇有自然力和其他不可抗力等因素对房地产市场价值的影响，也未考虑在特殊交易方式下特殊的交易方所能追加付出的价格等对评估价值的影响，估价报告使用有效期内，当上述条件发生变化时，估价结果将随之发生相应变化，估价结果需进行调整或重新出具估价报告。</w:t>
      </w:r>
    </w:p>
    <w:p>
      <w:pPr>
        <w:spacing w:line="360" w:lineRule="auto"/>
        <w:ind w:firstLine="560" w:firstLineChars="200"/>
        <w:rPr>
          <w:szCs w:val="28"/>
        </w:rPr>
      </w:pPr>
      <w:r>
        <w:rPr>
          <w:rFonts w:hint="eastAsia"/>
          <w:szCs w:val="28"/>
        </w:rPr>
        <w:t>4、估价报告有效期内，估价对象质量、功能布局、基础配套设施等变化及价格标准发生变化，导致对估价对象市场价值产生明显影响时，不能直接使用本次估价的估价结果。</w:t>
      </w:r>
    </w:p>
    <w:p>
      <w:pPr>
        <w:spacing w:line="360" w:lineRule="auto"/>
        <w:ind w:firstLine="560" w:firstLineChars="200"/>
        <w:rPr>
          <w:szCs w:val="28"/>
        </w:rPr>
      </w:pPr>
      <w:r>
        <w:rPr>
          <w:rFonts w:hint="eastAsia"/>
          <w:szCs w:val="28"/>
        </w:rPr>
        <w:t>5、未经我公司允许，本估价报告全部或部分内容不得公开发表，本公司对估价结果有最终解释权。</w:t>
      </w:r>
    </w:p>
    <w:p>
      <w:pPr>
        <w:spacing w:line="360" w:lineRule="auto"/>
        <w:ind w:firstLine="560" w:firstLineChars="200"/>
        <w:rPr>
          <w:szCs w:val="28"/>
        </w:rPr>
      </w:pPr>
      <w:r>
        <w:rPr>
          <w:rFonts w:hint="eastAsia"/>
          <w:szCs w:val="28"/>
        </w:rPr>
        <w:t>6、本次评估结果受本估价假设限制条件的影响，当上述条件及评估报告遵循的各种条件和原则发生变化时，本评估结果一般自动失效。</w:t>
      </w:r>
      <w:bookmarkStart w:id="10" w:name="_Toc440990675"/>
      <w:bookmarkStart w:id="11" w:name="_Toc20917"/>
      <w:bookmarkStart w:id="12" w:name="_Toc3076"/>
      <w:bookmarkStart w:id="13" w:name="_Toc440992055"/>
      <w:bookmarkStart w:id="14" w:name="_Toc15708"/>
    </w:p>
    <w:p>
      <w:pPr>
        <w:pStyle w:val="2"/>
        <w:spacing w:beforeLines="100" w:afterLines="100" w:line="360" w:lineRule="auto"/>
        <w:jc w:val="both"/>
        <w:rPr>
          <w:rFonts w:hAnsi="宋体"/>
          <w:spacing w:val="40"/>
        </w:rPr>
      </w:pPr>
    </w:p>
    <w:p>
      <w:pPr>
        <w:pStyle w:val="2"/>
        <w:spacing w:beforeLines="100" w:afterLines="100" w:line="360" w:lineRule="auto"/>
        <w:jc w:val="center"/>
        <w:rPr>
          <w:rFonts w:hAnsi="宋体"/>
          <w:spacing w:val="40"/>
        </w:rPr>
      </w:pPr>
      <w:r>
        <w:rPr>
          <w:rFonts w:hAnsi="宋体"/>
          <w:spacing w:val="40"/>
        </w:rPr>
        <w:t>房地产估价结果报告</w:t>
      </w:r>
      <w:bookmarkEnd w:id="10"/>
      <w:bookmarkEnd w:id="11"/>
      <w:bookmarkEnd w:id="12"/>
      <w:bookmarkEnd w:id="13"/>
      <w:bookmarkEnd w:id="14"/>
    </w:p>
    <w:p>
      <w:pPr>
        <w:pStyle w:val="3"/>
        <w:spacing w:beforeLines="50" w:afterLines="50" w:line="360" w:lineRule="auto"/>
        <w:ind w:firstLine="498" w:firstLineChars="200"/>
        <w:jc w:val="both"/>
        <w:textAlignment w:val="bottom"/>
        <w:rPr>
          <w:rFonts w:ascii="宋体" w:hAnsi="宋体" w:eastAsia="宋体" w:cs="宋体"/>
          <w:sz w:val="28"/>
          <w:szCs w:val="28"/>
        </w:rPr>
      </w:pPr>
      <w:bookmarkStart w:id="15" w:name="_Toc481484538"/>
      <w:bookmarkStart w:id="16" w:name="_Toc31462"/>
      <w:r>
        <w:rPr>
          <w:rFonts w:hint="eastAsia" w:ascii="宋体" w:hAnsi="宋体" w:eastAsia="宋体" w:cs="宋体"/>
          <w:sz w:val="28"/>
          <w:szCs w:val="28"/>
        </w:rPr>
        <w:t>一、</w:t>
      </w:r>
      <w:bookmarkEnd w:id="15"/>
      <w:r>
        <w:rPr>
          <w:rFonts w:hint="eastAsia" w:ascii="宋体" w:hAnsi="宋体" w:eastAsia="宋体" w:cs="宋体"/>
          <w:sz w:val="28"/>
          <w:szCs w:val="28"/>
        </w:rPr>
        <w:t>估价委托人</w:t>
      </w:r>
      <w:bookmarkEnd w:id="16"/>
    </w:p>
    <w:p>
      <w:pPr>
        <w:pStyle w:val="4"/>
        <w:ind w:firstLine="496"/>
        <w:rPr>
          <w:rFonts w:hAnsi="宋体" w:eastAsia="宋体" w:cs="宋体"/>
          <w:szCs w:val="28"/>
        </w:rPr>
      </w:pPr>
      <w:bookmarkStart w:id="17" w:name="_Toc481484539"/>
      <w:bookmarkStart w:id="18" w:name="_Toc8627"/>
      <w:bookmarkStart w:id="19" w:name="_Toc22831"/>
      <w:bookmarkStart w:id="20" w:name="_Toc440992058"/>
      <w:bookmarkStart w:id="21" w:name="_Toc440990678"/>
      <w:bookmarkStart w:id="22" w:name="_Toc25828"/>
      <w:r>
        <w:rPr>
          <w:rFonts w:hint="eastAsia" w:hAnsi="宋体" w:eastAsia="宋体" w:cs="宋体"/>
          <w:spacing w:val="-16"/>
          <w:szCs w:val="28"/>
        </w:rPr>
        <w:t>贵阳市云岩区人民法院</w:t>
      </w:r>
    </w:p>
    <w:p>
      <w:pPr>
        <w:pStyle w:val="3"/>
        <w:spacing w:beforeLines="50" w:afterLines="50" w:line="360" w:lineRule="auto"/>
        <w:ind w:firstLine="498" w:firstLineChars="200"/>
        <w:jc w:val="both"/>
        <w:textAlignment w:val="bottom"/>
        <w:rPr>
          <w:rFonts w:ascii="宋体" w:hAnsi="宋体" w:eastAsia="宋体" w:cs="宋体"/>
          <w:sz w:val="28"/>
          <w:szCs w:val="28"/>
        </w:rPr>
      </w:pPr>
      <w:r>
        <w:rPr>
          <w:rFonts w:hint="eastAsia" w:ascii="宋体" w:hAnsi="宋体" w:eastAsia="宋体" w:cs="宋体"/>
          <w:sz w:val="28"/>
          <w:szCs w:val="28"/>
        </w:rPr>
        <w:t>二、</w:t>
      </w:r>
      <w:bookmarkEnd w:id="17"/>
      <w:r>
        <w:rPr>
          <w:rFonts w:hint="eastAsia" w:ascii="宋体" w:hAnsi="宋体" w:eastAsia="宋体" w:cs="宋体"/>
          <w:sz w:val="28"/>
          <w:szCs w:val="28"/>
        </w:rPr>
        <w:t>房地产估价机构</w:t>
      </w:r>
      <w:bookmarkEnd w:id="18"/>
    </w:p>
    <w:p>
      <w:pPr>
        <w:spacing w:line="360" w:lineRule="auto"/>
        <w:ind w:firstLine="560" w:firstLineChars="200"/>
        <w:rPr>
          <w:rFonts w:hAnsi="宋体"/>
          <w:color w:val="000000"/>
          <w:szCs w:val="28"/>
        </w:rPr>
      </w:pPr>
      <w:r>
        <w:rPr>
          <w:rFonts w:hint="eastAsia" w:hAnsi="宋体"/>
          <w:color w:val="000000"/>
          <w:szCs w:val="28"/>
        </w:rPr>
        <w:t>受托估价方：贵州瑞华亚太房地产土地评估有限公司</w:t>
      </w:r>
    </w:p>
    <w:p>
      <w:pPr>
        <w:spacing w:line="360" w:lineRule="auto"/>
        <w:ind w:firstLine="560" w:firstLineChars="200"/>
        <w:rPr>
          <w:rFonts w:hAnsi="宋体"/>
          <w:color w:val="000000"/>
          <w:szCs w:val="28"/>
        </w:rPr>
      </w:pPr>
      <w:r>
        <w:rPr>
          <w:rFonts w:hint="eastAsia" w:hAnsi="宋体"/>
          <w:color w:val="000000"/>
          <w:szCs w:val="28"/>
        </w:rPr>
        <w:t>统一社会信用代码：91520100745710680D</w:t>
      </w:r>
    </w:p>
    <w:p>
      <w:pPr>
        <w:spacing w:line="360" w:lineRule="auto"/>
        <w:ind w:firstLine="560" w:firstLineChars="200"/>
        <w:rPr>
          <w:rFonts w:hAnsi="宋体"/>
          <w:color w:val="000000"/>
          <w:szCs w:val="28"/>
        </w:rPr>
      </w:pPr>
      <w:r>
        <w:rPr>
          <w:rFonts w:hint="eastAsia" w:hAnsi="宋体"/>
          <w:color w:val="000000"/>
          <w:szCs w:val="28"/>
        </w:rPr>
        <w:t>资格证号：黔建房估字【2015】壹52003001</w:t>
      </w:r>
    </w:p>
    <w:p>
      <w:pPr>
        <w:spacing w:line="360" w:lineRule="auto"/>
        <w:ind w:firstLine="560" w:firstLineChars="200"/>
        <w:rPr>
          <w:rFonts w:hAnsi="宋体"/>
          <w:color w:val="000000"/>
          <w:szCs w:val="28"/>
        </w:rPr>
      </w:pPr>
      <w:r>
        <w:rPr>
          <w:rFonts w:hint="eastAsia" w:hAnsi="宋体"/>
          <w:color w:val="000000"/>
          <w:szCs w:val="28"/>
        </w:rPr>
        <w:t>资质等级：壹级</w:t>
      </w:r>
    </w:p>
    <w:p>
      <w:pPr>
        <w:spacing w:line="360" w:lineRule="auto"/>
        <w:ind w:firstLine="560" w:firstLineChars="200"/>
        <w:rPr>
          <w:rFonts w:hAnsi="宋体"/>
          <w:color w:val="000000"/>
          <w:szCs w:val="28"/>
        </w:rPr>
      </w:pPr>
      <w:r>
        <w:rPr>
          <w:rFonts w:hint="eastAsia" w:hAnsi="宋体"/>
          <w:color w:val="000000"/>
          <w:szCs w:val="28"/>
        </w:rPr>
        <w:t>法定代表人：杨毓怀</w:t>
      </w:r>
    </w:p>
    <w:p>
      <w:pPr>
        <w:spacing w:line="360" w:lineRule="auto"/>
        <w:ind w:firstLine="560" w:firstLineChars="200"/>
        <w:rPr>
          <w:szCs w:val="28"/>
        </w:rPr>
      </w:pPr>
      <w:r>
        <w:rPr>
          <w:rFonts w:hint="eastAsia" w:hAnsi="宋体"/>
          <w:color w:val="000000"/>
          <w:szCs w:val="28"/>
        </w:rPr>
        <w:t>地址：贵州省贵阳市观山湖区诚信北路东侧群升千禧广场05-07B地块20层3号</w:t>
      </w:r>
    </w:p>
    <w:bookmarkEnd w:id="19"/>
    <w:bookmarkEnd w:id="20"/>
    <w:bookmarkEnd w:id="21"/>
    <w:bookmarkEnd w:id="22"/>
    <w:p>
      <w:pPr>
        <w:pStyle w:val="2"/>
        <w:spacing w:beforeLines="50" w:afterLines="50" w:line="360" w:lineRule="auto"/>
        <w:ind w:firstLine="562" w:firstLineChars="200"/>
        <w:textAlignment w:val="bottom"/>
        <w:rPr>
          <w:rFonts w:hAnsi="宋体"/>
          <w:sz w:val="28"/>
          <w:szCs w:val="28"/>
        </w:rPr>
      </w:pPr>
      <w:bookmarkStart w:id="23" w:name="_Toc2047"/>
      <w:bookmarkStart w:id="24" w:name="_Toc481484541"/>
      <w:r>
        <w:rPr>
          <w:rFonts w:hint="eastAsia" w:hAnsi="宋体"/>
          <w:sz w:val="28"/>
          <w:szCs w:val="28"/>
        </w:rPr>
        <w:t>三</w:t>
      </w:r>
      <w:r>
        <w:rPr>
          <w:rFonts w:hAnsi="宋体"/>
          <w:sz w:val="28"/>
          <w:szCs w:val="28"/>
        </w:rPr>
        <w:t>、估价对象</w:t>
      </w:r>
      <w:bookmarkEnd w:id="23"/>
      <w:bookmarkEnd w:id="24"/>
    </w:p>
    <w:p>
      <w:pPr>
        <w:spacing w:line="360" w:lineRule="auto"/>
        <w:ind w:firstLine="562" w:firstLineChars="200"/>
        <w:rPr>
          <w:b/>
          <w:bCs/>
          <w:szCs w:val="28"/>
        </w:rPr>
      </w:pPr>
      <w:r>
        <w:rPr>
          <w:b/>
          <w:bCs/>
          <w:szCs w:val="28"/>
        </w:rPr>
        <w:t>1、估价对象范围</w:t>
      </w:r>
    </w:p>
    <w:p>
      <w:pPr>
        <w:pStyle w:val="24"/>
        <w:spacing w:beforeLines="50" w:afterLines="50" w:line="360" w:lineRule="auto"/>
        <w:ind w:firstLine="560" w:firstLineChars="200"/>
        <w:rPr>
          <w:szCs w:val="28"/>
        </w:rPr>
      </w:pPr>
      <w:r>
        <w:rPr>
          <w:rFonts w:hint="eastAsia"/>
          <w:szCs w:val="28"/>
        </w:rPr>
        <w:t>王传双拥有并位于贵阳市南明区花果园彭家湾棚户区改造项目C区1号楼1单元32层6号的住宅房地产。详细情况见下表：</w:t>
      </w:r>
    </w:p>
    <w:tbl>
      <w:tblPr>
        <w:tblStyle w:val="16"/>
        <w:tblW w:w="8336" w:type="dxa"/>
        <w:tblInd w:w="0" w:type="dxa"/>
        <w:tblLayout w:type="fixed"/>
        <w:tblCellMar>
          <w:top w:w="15" w:type="dxa"/>
          <w:left w:w="15" w:type="dxa"/>
          <w:bottom w:w="15" w:type="dxa"/>
          <w:right w:w="15" w:type="dxa"/>
        </w:tblCellMar>
      </w:tblPr>
      <w:tblGrid>
        <w:gridCol w:w="588"/>
        <w:gridCol w:w="1213"/>
        <w:gridCol w:w="1027"/>
        <w:gridCol w:w="2157"/>
        <w:gridCol w:w="673"/>
        <w:gridCol w:w="1213"/>
        <w:gridCol w:w="690"/>
        <w:gridCol w:w="775"/>
      </w:tblGrid>
      <w:tr>
        <w:tblPrEx>
          <w:tblLayout w:type="fixed"/>
          <w:tblCellMar>
            <w:top w:w="15" w:type="dxa"/>
            <w:left w:w="15" w:type="dxa"/>
            <w:bottom w:w="15" w:type="dxa"/>
            <w:right w:w="15" w:type="dxa"/>
          </w:tblCellMar>
        </w:tblPrEx>
        <w:trPr>
          <w:trHeight w:val="360" w:hRule="atLeast"/>
        </w:trPr>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b/>
                <w:color w:val="000000"/>
                <w:sz w:val="18"/>
                <w:szCs w:val="18"/>
              </w:rPr>
            </w:pPr>
            <w:r>
              <w:rPr>
                <w:rFonts w:hint="eastAsia" w:hAnsi="宋体" w:eastAsia="宋体" w:cs="宋体"/>
                <w:b/>
                <w:color w:val="000000"/>
                <w:sz w:val="18"/>
                <w:szCs w:val="18"/>
              </w:rPr>
              <w:t>序号</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b/>
                <w:color w:val="000000"/>
                <w:sz w:val="18"/>
                <w:szCs w:val="18"/>
              </w:rPr>
            </w:pPr>
            <w:r>
              <w:rPr>
                <w:rFonts w:hint="eastAsia" w:hAnsi="宋体" w:eastAsia="宋体" w:cs="宋体"/>
                <w:b/>
                <w:color w:val="000000"/>
                <w:sz w:val="18"/>
                <w:szCs w:val="18"/>
              </w:rPr>
              <w:t>产权人</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b/>
                <w:color w:val="000000"/>
                <w:sz w:val="18"/>
                <w:szCs w:val="18"/>
              </w:rPr>
            </w:pPr>
            <w:r>
              <w:rPr>
                <w:rFonts w:hint="eastAsia" w:hAnsi="宋体" w:eastAsia="宋体" w:cs="宋体"/>
                <w:b/>
                <w:color w:val="000000"/>
                <w:sz w:val="18"/>
                <w:szCs w:val="18"/>
              </w:rPr>
              <w:t>不动产证号</w:t>
            </w: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b/>
                <w:color w:val="000000"/>
                <w:sz w:val="18"/>
                <w:szCs w:val="18"/>
              </w:rPr>
            </w:pPr>
            <w:r>
              <w:rPr>
                <w:rFonts w:hint="eastAsia" w:hAnsi="宋体" w:eastAsia="宋体" w:cs="宋体"/>
                <w:b/>
                <w:color w:val="000000"/>
                <w:sz w:val="18"/>
                <w:szCs w:val="18"/>
              </w:rPr>
              <w:t>所在地址</w:t>
            </w:r>
          </w:p>
        </w:tc>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b/>
                <w:color w:val="000000"/>
                <w:sz w:val="18"/>
                <w:szCs w:val="18"/>
              </w:rPr>
            </w:pPr>
            <w:r>
              <w:rPr>
                <w:rFonts w:hint="eastAsia" w:hAnsi="宋体" w:eastAsia="宋体" w:cs="宋体"/>
                <w:b/>
                <w:color w:val="000000"/>
                <w:sz w:val="18"/>
                <w:szCs w:val="18"/>
              </w:rPr>
              <w:t>结构</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b/>
                <w:color w:val="000000"/>
                <w:sz w:val="18"/>
                <w:szCs w:val="18"/>
              </w:rPr>
            </w:pPr>
            <w:r>
              <w:rPr>
                <w:rFonts w:hint="eastAsia" w:hAnsi="宋体" w:eastAsia="宋体" w:cs="宋体"/>
                <w:b/>
                <w:color w:val="000000"/>
                <w:sz w:val="18"/>
                <w:szCs w:val="18"/>
              </w:rPr>
              <w:t>用途</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b/>
                <w:color w:val="000000"/>
                <w:sz w:val="18"/>
                <w:szCs w:val="18"/>
              </w:rPr>
            </w:pPr>
            <w:r>
              <w:rPr>
                <w:rFonts w:hint="eastAsia" w:hAnsi="宋体" w:eastAsia="宋体" w:cs="宋体"/>
                <w:b/>
                <w:color w:val="000000"/>
                <w:sz w:val="18"/>
                <w:szCs w:val="18"/>
              </w:rPr>
              <w:t>计量单位</w:t>
            </w:r>
          </w:p>
        </w:tc>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b/>
                <w:color w:val="000000"/>
                <w:sz w:val="18"/>
                <w:szCs w:val="18"/>
              </w:rPr>
            </w:pPr>
            <w:r>
              <w:rPr>
                <w:rFonts w:hint="eastAsia" w:hAnsi="宋体" w:eastAsia="宋体" w:cs="宋体"/>
                <w:b/>
                <w:color w:val="000000"/>
                <w:sz w:val="18"/>
                <w:szCs w:val="18"/>
              </w:rPr>
              <w:t>数量</w:t>
            </w:r>
          </w:p>
        </w:tc>
      </w:tr>
      <w:tr>
        <w:tblPrEx>
          <w:tblLayout w:type="fixed"/>
          <w:tblCellMar>
            <w:top w:w="15" w:type="dxa"/>
            <w:left w:w="15" w:type="dxa"/>
            <w:bottom w:w="15" w:type="dxa"/>
            <w:right w:w="15" w:type="dxa"/>
          </w:tblCellMar>
        </w:tblPrEx>
        <w:trPr>
          <w:trHeight w:val="45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eastAsia="宋体" w:cs="宋体"/>
                <w:b/>
                <w:color w:val="000000"/>
                <w:sz w:val="18"/>
                <w:szCs w:val="18"/>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eastAsia="宋体" w:cs="宋体"/>
                <w:b/>
                <w:color w:val="000000"/>
                <w:sz w:val="18"/>
                <w:szCs w:val="18"/>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eastAsia="宋体" w:cs="宋体"/>
                <w:b/>
                <w:color w:val="000000"/>
                <w:sz w:val="18"/>
                <w:szCs w:val="18"/>
              </w:rPr>
            </w:pP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eastAsia="宋体" w:cs="宋体"/>
                <w:b/>
                <w:color w:val="000000"/>
                <w:sz w:val="18"/>
                <w:szCs w:val="18"/>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eastAsia="宋体" w:cs="宋体"/>
                <w:b/>
                <w:color w:val="000000"/>
                <w:sz w:val="18"/>
                <w:szCs w:val="18"/>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eastAsia="宋体" w:cs="宋体"/>
                <w:b/>
                <w:color w:val="000000"/>
                <w:sz w:val="18"/>
                <w:szCs w:val="18"/>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eastAsia="宋体" w:cs="宋体"/>
                <w:b/>
                <w:color w:val="000000"/>
                <w:sz w:val="18"/>
                <w:szCs w:val="18"/>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eastAsia="宋体" w:cs="宋体"/>
                <w:b/>
                <w:color w:val="000000"/>
                <w:sz w:val="18"/>
                <w:szCs w:val="18"/>
              </w:rPr>
            </w:pPr>
          </w:p>
        </w:tc>
      </w:tr>
      <w:tr>
        <w:tblPrEx>
          <w:tblLayout w:type="fixed"/>
          <w:tblCellMar>
            <w:top w:w="15" w:type="dxa"/>
            <w:left w:w="15" w:type="dxa"/>
            <w:bottom w:w="15" w:type="dxa"/>
            <w:right w:w="15" w:type="dxa"/>
          </w:tblCellMar>
        </w:tblPrEx>
        <w:trPr>
          <w:trHeight w:val="795"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color w:val="000000"/>
                <w:sz w:val="18"/>
                <w:szCs w:val="18"/>
              </w:rPr>
            </w:pPr>
            <w:r>
              <w:rPr>
                <w:rFonts w:hint="eastAsia" w:hAnsi="宋体" w:eastAsia="宋体" w:cs="宋体"/>
                <w:color w:val="000000"/>
                <w:sz w:val="18"/>
                <w:szCs w:val="18"/>
              </w:rPr>
              <w:t>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color w:val="000000"/>
                <w:sz w:val="18"/>
                <w:szCs w:val="18"/>
              </w:rPr>
            </w:pPr>
            <w:r>
              <w:rPr>
                <w:rFonts w:hint="eastAsia" w:hAnsi="宋体" w:eastAsia="宋体" w:cs="宋体"/>
                <w:color w:val="000000"/>
                <w:sz w:val="18"/>
                <w:szCs w:val="18"/>
              </w:rPr>
              <w:t>王传双</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color w:val="000000"/>
                <w:sz w:val="18"/>
                <w:szCs w:val="18"/>
              </w:rPr>
            </w:pPr>
            <w:r>
              <w:rPr>
                <w:rFonts w:hint="eastAsia" w:hAnsi="宋体" w:eastAsia="宋体" w:cs="宋体"/>
                <w:color w:val="000000"/>
                <w:sz w:val="18"/>
                <w:szCs w:val="18"/>
              </w:rPr>
              <w:t>Y1210118</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color w:val="000000"/>
                <w:sz w:val="18"/>
                <w:szCs w:val="18"/>
              </w:rPr>
            </w:pPr>
            <w:r>
              <w:rPr>
                <w:rFonts w:hint="eastAsia" w:hAnsi="宋体" w:eastAsia="宋体" w:cs="宋体"/>
                <w:color w:val="000000"/>
                <w:sz w:val="18"/>
                <w:szCs w:val="18"/>
              </w:rPr>
              <w:t>贵阳市南明区花果园彭家湾棚户区改造项目C区1号楼1单元32层6号</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color w:val="000000"/>
                <w:sz w:val="18"/>
                <w:szCs w:val="18"/>
              </w:rPr>
            </w:pPr>
            <w:r>
              <w:rPr>
                <w:rFonts w:hint="eastAsia" w:hAnsi="宋体" w:eastAsia="宋体" w:cs="宋体"/>
                <w:color w:val="000000"/>
                <w:sz w:val="18"/>
                <w:szCs w:val="18"/>
              </w:rPr>
              <w:t>框架</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color w:val="000000"/>
                <w:sz w:val="18"/>
                <w:szCs w:val="18"/>
              </w:rPr>
            </w:pPr>
            <w:r>
              <w:rPr>
                <w:rFonts w:hint="eastAsia" w:hAnsi="宋体" w:eastAsia="宋体" w:cs="宋体"/>
                <w:color w:val="000000"/>
                <w:sz w:val="18"/>
                <w:szCs w:val="18"/>
              </w:rPr>
              <w:t>住宅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color w:val="000000"/>
                <w:sz w:val="18"/>
                <w:szCs w:val="18"/>
              </w:rPr>
            </w:pPr>
            <w:r>
              <w:rPr>
                <w:rFonts w:hint="eastAsia" w:hAnsi="宋体" w:eastAsia="宋体" w:cs="宋体"/>
                <w:color w:val="000000"/>
                <w:sz w:val="18"/>
                <w:szCs w:val="18"/>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color w:val="000000"/>
                <w:sz w:val="18"/>
                <w:szCs w:val="18"/>
              </w:rPr>
            </w:pPr>
            <w:r>
              <w:rPr>
                <w:rFonts w:hint="eastAsia" w:hAnsi="宋体" w:eastAsia="宋体" w:cs="宋体"/>
                <w:color w:val="000000"/>
                <w:sz w:val="18"/>
                <w:szCs w:val="18"/>
              </w:rPr>
              <w:t>145.14</w:t>
            </w:r>
          </w:p>
        </w:tc>
      </w:tr>
    </w:tbl>
    <w:p>
      <w:pPr>
        <w:spacing w:line="360" w:lineRule="auto"/>
        <w:rPr>
          <w:rFonts w:hAnsi="宋体"/>
          <w:b/>
          <w:bCs/>
          <w:szCs w:val="28"/>
        </w:rPr>
      </w:pPr>
    </w:p>
    <w:p>
      <w:pPr>
        <w:spacing w:line="360" w:lineRule="auto"/>
        <w:ind w:firstLine="281" w:firstLineChars="100"/>
        <w:rPr>
          <w:rFonts w:hAnsi="宋体"/>
          <w:b/>
          <w:bCs/>
          <w:szCs w:val="28"/>
        </w:rPr>
      </w:pPr>
      <w:r>
        <w:rPr>
          <w:rFonts w:hint="eastAsia" w:hAnsi="宋体"/>
          <w:b/>
          <w:bCs/>
          <w:szCs w:val="28"/>
        </w:rPr>
        <w:t xml:space="preserve">  2、</w:t>
      </w:r>
      <w:r>
        <w:rPr>
          <w:rFonts w:hAnsi="宋体"/>
          <w:b/>
          <w:bCs/>
          <w:szCs w:val="28"/>
        </w:rPr>
        <w:t>估价对象的权属状况</w:t>
      </w:r>
      <w:r>
        <w:rPr>
          <w:rFonts w:hint="eastAsia" w:hAnsi="宋体"/>
          <w:b/>
          <w:bCs/>
          <w:szCs w:val="28"/>
        </w:rPr>
        <w:t>分析</w:t>
      </w:r>
    </w:p>
    <w:p>
      <w:pPr>
        <w:spacing w:line="360" w:lineRule="auto"/>
        <w:ind w:firstLine="562" w:firstLineChars="200"/>
        <w:rPr>
          <w:szCs w:val="28"/>
        </w:rPr>
      </w:pPr>
      <w:r>
        <w:rPr>
          <w:rFonts w:hint="eastAsia" w:hAnsi="宋体"/>
          <w:b/>
          <w:bCs/>
          <w:szCs w:val="28"/>
        </w:rPr>
        <w:t>(1)、房屋所有权状况</w:t>
      </w:r>
    </w:p>
    <w:p>
      <w:pPr>
        <w:spacing w:line="360" w:lineRule="auto"/>
        <w:ind w:firstLine="560" w:firstLineChars="200"/>
        <w:rPr>
          <w:rFonts w:ascii="Calibri" w:hAnsi="宋体"/>
          <w:szCs w:val="28"/>
        </w:rPr>
      </w:pPr>
      <w:r>
        <w:rPr>
          <w:rFonts w:hint="eastAsia" w:ascii="Calibri" w:hAnsi="Calibri"/>
          <w:szCs w:val="28"/>
        </w:rPr>
        <w:t>估价对象1</w:t>
      </w:r>
      <w:r>
        <w:rPr>
          <w:rFonts w:hint="eastAsia" w:ascii="Calibri" w:hAnsi="宋体"/>
          <w:szCs w:val="28"/>
        </w:rPr>
        <w:t>位于</w:t>
      </w:r>
      <w:r>
        <w:rPr>
          <w:rFonts w:hint="eastAsia"/>
          <w:bCs/>
          <w:szCs w:val="28"/>
        </w:rPr>
        <w:t>贵阳市南明区花果园彭家湾棚户区改造项目C区1号楼1单元32层6号的一套住宅房地产</w:t>
      </w:r>
      <w:r>
        <w:rPr>
          <w:rFonts w:hint="eastAsia" w:ascii="Calibri" w:hAnsi="Calibri"/>
          <w:szCs w:val="28"/>
        </w:rPr>
        <w:t>，</w:t>
      </w:r>
      <w:r>
        <w:rPr>
          <w:rFonts w:hint="eastAsia" w:ascii="Calibri" w:hAnsi="宋体"/>
          <w:szCs w:val="28"/>
        </w:rPr>
        <w:t>根据委托人提供的贵阳市不动产登记中心资料记载，房屋不动产证号：Y1210118，普通商品房，房屋所有权人为王传双，建筑面积为145.14</w:t>
      </w:r>
      <w:r>
        <w:rPr>
          <w:rFonts w:hint="eastAsia" w:ascii="Calibri" w:hAnsi="宋体" w:cs="宋体"/>
          <w:szCs w:val="28"/>
        </w:rPr>
        <w:t>㎡，整栋房屋共37层，估价对象位于32层，</w:t>
      </w:r>
      <w:r>
        <w:rPr>
          <w:rFonts w:hint="eastAsia" w:ascii="Calibri" w:hAnsi="宋体"/>
          <w:szCs w:val="28"/>
        </w:rPr>
        <w:t>房屋规划用途为住宅。</w:t>
      </w:r>
    </w:p>
    <w:p>
      <w:pPr>
        <w:snapToGrid w:val="0"/>
        <w:spacing w:beforeLines="50" w:afterLines="50" w:line="360" w:lineRule="auto"/>
        <w:ind w:firstLine="562" w:firstLineChars="200"/>
        <w:rPr>
          <w:b/>
          <w:bCs/>
          <w:szCs w:val="28"/>
        </w:rPr>
      </w:pPr>
      <w:r>
        <w:rPr>
          <w:rFonts w:hint="eastAsia"/>
          <w:b/>
          <w:bCs/>
          <w:szCs w:val="28"/>
        </w:rPr>
        <w:t>(2)、土地使用权权益状况</w:t>
      </w:r>
    </w:p>
    <w:p>
      <w:pPr>
        <w:spacing w:line="360" w:lineRule="auto"/>
        <w:ind w:firstLine="560" w:firstLineChars="200"/>
        <w:rPr>
          <w:rFonts w:ascii="Calibri" w:hAnsi="宋体"/>
          <w:szCs w:val="28"/>
        </w:rPr>
      </w:pPr>
      <w:r>
        <w:rPr>
          <w:rFonts w:hint="eastAsia" w:ascii="Calibri" w:hAnsi="宋体"/>
          <w:szCs w:val="28"/>
        </w:rPr>
        <w:t>估价对象位于贵阳市南明区花果园彭家湾棚户区改造项目C区1号楼，本次估价委托人及相关当事人未能提供《国有土地使用证》，根据委托人及相关当事人介绍，且经过估价人员对估价对象所处小区的土地权属资料调查收集了解，估价对象所在位置为商业楼盘，且房屋类型为普通商品房，故本次估价以估价对象均以土地使用权类型为出让、规划用途为住宅作为假设前提。</w:t>
      </w:r>
    </w:p>
    <w:p>
      <w:pPr>
        <w:spacing w:line="360" w:lineRule="auto"/>
        <w:ind w:firstLine="562" w:firstLineChars="200"/>
        <w:rPr>
          <w:rFonts w:ascii="Calibri" w:hAnsi="Calibri"/>
          <w:b/>
          <w:szCs w:val="28"/>
        </w:rPr>
      </w:pPr>
      <w:r>
        <w:rPr>
          <w:rFonts w:hint="eastAsia" w:ascii="Calibri" w:hAnsi="Calibri"/>
          <w:b/>
          <w:szCs w:val="28"/>
        </w:rPr>
        <w:t>(3)、他项权利状况</w:t>
      </w:r>
    </w:p>
    <w:p>
      <w:pPr>
        <w:pStyle w:val="21"/>
        <w:ind w:firstLine="560" w:firstLineChars="200"/>
        <w:rPr>
          <w:b w:val="0"/>
          <w:color w:val="auto"/>
        </w:rPr>
      </w:pPr>
      <w:r>
        <w:rPr>
          <w:rFonts w:hint="eastAsia"/>
          <w:b w:val="0"/>
          <w:color w:val="auto"/>
        </w:rPr>
        <w:t>根据委托人提供的贵阳市不动产登记中心资料记载，且经过估价人员对估价对象的调查了解，估计对象存在租赁、查封、抵押等情况，结合本次估价目的，本次估价未考虑抵押、查封、租赁等情况对估价结果的影响。</w:t>
      </w:r>
    </w:p>
    <w:p>
      <w:pPr>
        <w:pStyle w:val="24"/>
        <w:spacing w:beforeLines="50" w:afterLines="50" w:line="360" w:lineRule="auto"/>
        <w:ind w:left="560" w:leftChars="200"/>
        <w:rPr>
          <w:rFonts w:hAnsi="宋体"/>
          <w:b/>
          <w:szCs w:val="28"/>
        </w:rPr>
      </w:pPr>
      <w:r>
        <w:rPr>
          <w:rFonts w:hint="eastAsia" w:hAnsi="宋体"/>
          <w:b/>
          <w:szCs w:val="28"/>
        </w:rPr>
        <w:t>3、</w:t>
      </w:r>
      <w:r>
        <w:rPr>
          <w:rFonts w:hAnsi="宋体"/>
          <w:b/>
          <w:szCs w:val="28"/>
        </w:rPr>
        <w:t>估价对象的</w:t>
      </w:r>
      <w:r>
        <w:rPr>
          <w:rFonts w:hint="eastAsia" w:hAnsi="宋体"/>
          <w:b/>
          <w:szCs w:val="28"/>
        </w:rPr>
        <w:t>实物状况分析</w:t>
      </w:r>
    </w:p>
    <w:p>
      <w:pPr>
        <w:pStyle w:val="24"/>
        <w:spacing w:beforeLines="50" w:afterLines="50" w:line="360" w:lineRule="auto"/>
        <w:ind w:firstLine="562" w:firstLineChars="200"/>
        <w:rPr>
          <w:b/>
          <w:bCs/>
          <w:color w:val="000000"/>
          <w:szCs w:val="28"/>
        </w:rPr>
      </w:pPr>
      <w:bookmarkStart w:id="25" w:name="_Toc356723315"/>
      <w:r>
        <w:rPr>
          <w:rFonts w:hint="eastAsia"/>
          <w:b/>
          <w:bCs/>
          <w:color w:val="000000"/>
          <w:szCs w:val="28"/>
        </w:rPr>
        <w:t>(</w:t>
      </w:r>
      <w:r>
        <w:rPr>
          <w:b/>
          <w:bCs/>
          <w:color w:val="000000"/>
          <w:szCs w:val="28"/>
        </w:rPr>
        <w:t>1</w:t>
      </w:r>
      <w:r>
        <w:rPr>
          <w:rFonts w:hint="eastAsia"/>
          <w:b/>
          <w:bCs/>
          <w:color w:val="000000"/>
          <w:szCs w:val="28"/>
        </w:rPr>
        <w:t>)、</w:t>
      </w:r>
      <w:bookmarkEnd w:id="25"/>
      <w:r>
        <w:rPr>
          <w:rFonts w:hint="eastAsia"/>
          <w:b/>
          <w:bCs/>
          <w:color w:val="000000"/>
          <w:szCs w:val="28"/>
        </w:rPr>
        <w:t>建筑物的实物状况</w:t>
      </w:r>
    </w:p>
    <w:p>
      <w:pPr>
        <w:pStyle w:val="24"/>
        <w:spacing w:beforeLines="50" w:afterLines="50" w:line="360" w:lineRule="auto"/>
        <w:ind w:firstLine="560" w:firstLineChars="200"/>
        <w:rPr>
          <w:szCs w:val="28"/>
        </w:rPr>
      </w:pPr>
      <w:r>
        <w:rPr>
          <w:rFonts w:hint="eastAsia"/>
          <w:szCs w:val="28"/>
        </w:rPr>
        <w:t>本次估价对象详细情况如下：</w:t>
      </w:r>
    </w:p>
    <w:tbl>
      <w:tblPr>
        <w:tblStyle w:val="16"/>
        <w:tblW w:w="8336" w:type="dxa"/>
        <w:tblInd w:w="0" w:type="dxa"/>
        <w:tblLayout w:type="fixed"/>
        <w:tblCellMar>
          <w:top w:w="15" w:type="dxa"/>
          <w:left w:w="15" w:type="dxa"/>
          <w:bottom w:w="15" w:type="dxa"/>
          <w:right w:w="15" w:type="dxa"/>
        </w:tblCellMar>
      </w:tblPr>
      <w:tblGrid>
        <w:gridCol w:w="588"/>
        <w:gridCol w:w="1213"/>
        <w:gridCol w:w="1027"/>
        <w:gridCol w:w="2157"/>
        <w:gridCol w:w="674"/>
        <w:gridCol w:w="1211"/>
        <w:gridCol w:w="691"/>
        <w:gridCol w:w="775"/>
      </w:tblGrid>
      <w:tr>
        <w:tblPrEx>
          <w:tblLayout w:type="fixed"/>
          <w:tblCellMar>
            <w:top w:w="15" w:type="dxa"/>
            <w:left w:w="15" w:type="dxa"/>
            <w:bottom w:w="15" w:type="dxa"/>
            <w:right w:w="15" w:type="dxa"/>
          </w:tblCellMar>
        </w:tblPrEx>
        <w:trPr>
          <w:trHeight w:val="360" w:hRule="atLeast"/>
        </w:trPr>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b/>
                <w:color w:val="000000"/>
                <w:sz w:val="18"/>
                <w:szCs w:val="18"/>
              </w:rPr>
            </w:pPr>
            <w:r>
              <w:rPr>
                <w:rFonts w:hint="eastAsia" w:hAnsi="宋体" w:eastAsia="宋体" w:cs="宋体"/>
                <w:b/>
                <w:color w:val="000000"/>
                <w:sz w:val="18"/>
                <w:szCs w:val="18"/>
              </w:rPr>
              <w:t>序号</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b/>
                <w:color w:val="000000"/>
                <w:sz w:val="18"/>
                <w:szCs w:val="18"/>
              </w:rPr>
            </w:pPr>
            <w:r>
              <w:rPr>
                <w:rFonts w:hint="eastAsia" w:hAnsi="宋体" w:eastAsia="宋体" w:cs="宋体"/>
                <w:b/>
                <w:color w:val="000000"/>
                <w:sz w:val="18"/>
                <w:szCs w:val="18"/>
              </w:rPr>
              <w:t>产权人</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b/>
                <w:color w:val="000000"/>
                <w:sz w:val="18"/>
                <w:szCs w:val="18"/>
              </w:rPr>
            </w:pPr>
            <w:r>
              <w:rPr>
                <w:rFonts w:hint="eastAsia" w:hAnsi="宋体" w:eastAsia="宋体" w:cs="宋体"/>
                <w:b/>
                <w:color w:val="000000"/>
                <w:sz w:val="18"/>
                <w:szCs w:val="18"/>
              </w:rPr>
              <w:t>不动产证号</w:t>
            </w: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b/>
                <w:color w:val="000000"/>
                <w:sz w:val="18"/>
                <w:szCs w:val="18"/>
              </w:rPr>
            </w:pPr>
            <w:r>
              <w:rPr>
                <w:rFonts w:hint="eastAsia" w:hAnsi="宋体" w:eastAsia="宋体" w:cs="宋体"/>
                <w:b/>
                <w:color w:val="000000"/>
                <w:sz w:val="18"/>
                <w:szCs w:val="18"/>
              </w:rPr>
              <w:t>所在地址</w:t>
            </w: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b/>
                <w:color w:val="000000"/>
                <w:sz w:val="18"/>
                <w:szCs w:val="18"/>
              </w:rPr>
            </w:pPr>
            <w:r>
              <w:rPr>
                <w:rFonts w:hint="eastAsia" w:hAnsi="宋体" w:eastAsia="宋体" w:cs="宋体"/>
                <w:b/>
                <w:color w:val="000000"/>
                <w:sz w:val="18"/>
                <w:szCs w:val="18"/>
              </w:rPr>
              <w:t>结构</w:t>
            </w:r>
          </w:p>
        </w:tc>
        <w:tc>
          <w:tcPr>
            <w:tcW w:w="1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b/>
                <w:color w:val="000000"/>
                <w:sz w:val="18"/>
                <w:szCs w:val="18"/>
              </w:rPr>
            </w:pPr>
            <w:r>
              <w:rPr>
                <w:rFonts w:hint="eastAsia" w:hAnsi="宋体" w:eastAsia="宋体" w:cs="宋体"/>
                <w:b/>
                <w:color w:val="000000"/>
                <w:sz w:val="18"/>
                <w:szCs w:val="18"/>
              </w:rPr>
              <w:t>用途</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b/>
                <w:color w:val="000000"/>
                <w:sz w:val="18"/>
                <w:szCs w:val="18"/>
              </w:rPr>
            </w:pPr>
            <w:r>
              <w:rPr>
                <w:rFonts w:hint="eastAsia" w:hAnsi="宋体" w:eastAsia="宋体" w:cs="宋体"/>
                <w:b/>
                <w:color w:val="000000"/>
                <w:sz w:val="18"/>
                <w:szCs w:val="18"/>
              </w:rPr>
              <w:t>计量单位</w:t>
            </w:r>
          </w:p>
        </w:tc>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b/>
                <w:color w:val="000000"/>
                <w:sz w:val="18"/>
                <w:szCs w:val="18"/>
              </w:rPr>
            </w:pPr>
            <w:r>
              <w:rPr>
                <w:rFonts w:hint="eastAsia" w:hAnsi="宋体" w:eastAsia="宋体" w:cs="宋体"/>
                <w:b/>
                <w:color w:val="000000"/>
                <w:sz w:val="18"/>
                <w:szCs w:val="18"/>
              </w:rPr>
              <w:t>数量</w:t>
            </w:r>
          </w:p>
        </w:tc>
      </w:tr>
      <w:tr>
        <w:tblPrEx>
          <w:tblLayout w:type="fixed"/>
          <w:tblCellMar>
            <w:top w:w="15" w:type="dxa"/>
            <w:left w:w="15" w:type="dxa"/>
            <w:bottom w:w="15" w:type="dxa"/>
            <w:right w:w="15" w:type="dxa"/>
          </w:tblCellMar>
        </w:tblPrEx>
        <w:trPr>
          <w:trHeight w:val="45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eastAsia="宋体" w:cs="宋体"/>
                <w:b/>
                <w:color w:val="000000"/>
                <w:sz w:val="18"/>
                <w:szCs w:val="18"/>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eastAsia="宋体" w:cs="宋体"/>
                <w:b/>
                <w:color w:val="000000"/>
                <w:sz w:val="18"/>
                <w:szCs w:val="18"/>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eastAsia="宋体" w:cs="宋体"/>
                <w:b/>
                <w:color w:val="000000"/>
                <w:sz w:val="18"/>
                <w:szCs w:val="18"/>
              </w:rPr>
            </w:pP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eastAsia="宋体" w:cs="宋体"/>
                <w:b/>
                <w:color w:val="000000"/>
                <w:sz w:val="18"/>
                <w:szCs w:val="18"/>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eastAsia="宋体" w:cs="宋体"/>
                <w:b/>
                <w:color w:val="000000"/>
                <w:sz w:val="18"/>
                <w:szCs w:val="18"/>
              </w:rPr>
            </w:pPr>
          </w:p>
        </w:tc>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eastAsia="宋体" w:cs="宋体"/>
                <w:b/>
                <w:color w:val="000000"/>
                <w:sz w:val="18"/>
                <w:szCs w:val="18"/>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eastAsia="宋体" w:cs="宋体"/>
                <w:b/>
                <w:color w:val="000000"/>
                <w:sz w:val="18"/>
                <w:szCs w:val="18"/>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Ansi="宋体" w:eastAsia="宋体" w:cs="宋体"/>
                <w:b/>
                <w:color w:val="000000"/>
                <w:sz w:val="18"/>
                <w:szCs w:val="18"/>
              </w:rPr>
            </w:pPr>
          </w:p>
        </w:tc>
      </w:tr>
      <w:tr>
        <w:tblPrEx>
          <w:tblLayout w:type="fixed"/>
          <w:tblCellMar>
            <w:top w:w="15" w:type="dxa"/>
            <w:left w:w="15" w:type="dxa"/>
            <w:bottom w:w="15" w:type="dxa"/>
            <w:right w:w="15" w:type="dxa"/>
          </w:tblCellMar>
        </w:tblPrEx>
        <w:trPr>
          <w:trHeight w:val="795"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color w:val="000000"/>
                <w:sz w:val="18"/>
                <w:szCs w:val="18"/>
              </w:rPr>
            </w:pPr>
            <w:r>
              <w:rPr>
                <w:rFonts w:hint="eastAsia" w:hAnsi="宋体" w:eastAsia="宋体" w:cs="宋体"/>
                <w:color w:val="000000"/>
                <w:sz w:val="18"/>
                <w:szCs w:val="18"/>
              </w:rPr>
              <w:t>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color w:val="000000"/>
                <w:sz w:val="18"/>
                <w:szCs w:val="18"/>
              </w:rPr>
            </w:pPr>
            <w:r>
              <w:rPr>
                <w:rFonts w:hint="eastAsia" w:hAnsi="宋体" w:eastAsia="宋体" w:cs="宋体"/>
                <w:color w:val="000000"/>
                <w:sz w:val="18"/>
                <w:szCs w:val="18"/>
              </w:rPr>
              <w:t>王传双</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color w:val="000000"/>
                <w:sz w:val="18"/>
                <w:szCs w:val="18"/>
              </w:rPr>
            </w:pPr>
            <w:r>
              <w:rPr>
                <w:rFonts w:hint="eastAsia" w:hAnsi="宋体" w:eastAsia="宋体" w:cs="宋体"/>
                <w:color w:val="000000"/>
                <w:sz w:val="18"/>
                <w:szCs w:val="18"/>
              </w:rPr>
              <w:t>Y1210118</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color w:val="000000"/>
                <w:sz w:val="18"/>
                <w:szCs w:val="18"/>
              </w:rPr>
            </w:pPr>
            <w:r>
              <w:rPr>
                <w:rFonts w:hint="eastAsia" w:hAnsi="宋体" w:eastAsia="宋体" w:cs="宋体"/>
                <w:color w:val="000000"/>
                <w:sz w:val="18"/>
                <w:szCs w:val="18"/>
              </w:rPr>
              <w:t>贵阳市南明区花果园彭家湾棚户区改造项目C区1号楼1单元32层6号</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color w:val="000000"/>
                <w:sz w:val="18"/>
                <w:szCs w:val="18"/>
              </w:rPr>
            </w:pPr>
            <w:r>
              <w:rPr>
                <w:rFonts w:hint="eastAsia" w:hAnsi="宋体" w:eastAsia="宋体" w:cs="宋体"/>
                <w:color w:val="000000"/>
                <w:sz w:val="18"/>
                <w:szCs w:val="18"/>
              </w:rPr>
              <w:t>框架</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color w:val="000000"/>
                <w:sz w:val="18"/>
                <w:szCs w:val="18"/>
              </w:rPr>
            </w:pPr>
            <w:r>
              <w:rPr>
                <w:rFonts w:hint="eastAsia" w:hAnsi="宋体" w:eastAsia="宋体" w:cs="宋体"/>
                <w:color w:val="000000"/>
                <w:sz w:val="18"/>
                <w:szCs w:val="18"/>
              </w:rPr>
              <w:t>住宅</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color w:val="000000"/>
                <w:sz w:val="18"/>
                <w:szCs w:val="18"/>
              </w:rPr>
            </w:pPr>
            <w:r>
              <w:rPr>
                <w:rFonts w:hint="eastAsia" w:hAnsi="宋体" w:eastAsia="宋体" w:cs="宋体"/>
                <w:color w:val="000000"/>
                <w:sz w:val="18"/>
                <w:szCs w:val="18"/>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Ansi="宋体" w:eastAsia="宋体" w:cs="宋体"/>
                <w:color w:val="000000"/>
                <w:sz w:val="18"/>
                <w:szCs w:val="18"/>
              </w:rPr>
            </w:pPr>
            <w:r>
              <w:rPr>
                <w:rFonts w:hint="eastAsia" w:hAnsi="宋体" w:eastAsia="宋体" w:cs="宋体"/>
                <w:color w:val="000000"/>
                <w:sz w:val="18"/>
                <w:szCs w:val="18"/>
              </w:rPr>
              <w:t>145.14</w:t>
            </w:r>
          </w:p>
        </w:tc>
      </w:tr>
    </w:tbl>
    <w:p>
      <w:pPr>
        <w:pStyle w:val="24"/>
        <w:spacing w:line="360" w:lineRule="auto"/>
        <w:ind w:firstLine="560" w:firstLineChars="200"/>
        <w:rPr>
          <w:rFonts w:ascii="Calibri" w:hAnsi="Calibri"/>
          <w:kern w:val="2"/>
          <w:szCs w:val="28"/>
        </w:rPr>
      </w:pPr>
      <w:r>
        <w:rPr>
          <w:rFonts w:hint="eastAsia" w:ascii="Calibri" w:hAnsi="Calibri"/>
          <w:kern w:val="2"/>
          <w:szCs w:val="28"/>
        </w:rPr>
        <w:t>估价对象位于贵阳市南明区花果园彭家湾棚户区改造项目C区1号楼1单元32层6号，结构为框架结构，规划用途为住宅，实际用途为住宅，空间布局一般。装修情况：外墙刮瓷涂色，进户大门为防盗门，吊顶，客厅墙面为贴墙纸、软包，地面为铺地砖，卫生间、厨房墙面贴瓷砖，于现场勘查之日（2019年1月28日），房屋处于使用状态，使用及维护状况一般。</w:t>
      </w:r>
    </w:p>
    <w:p>
      <w:pPr>
        <w:widowControl/>
        <w:autoSpaceDE/>
        <w:autoSpaceDN/>
        <w:adjustRightInd/>
        <w:spacing w:line="360" w:lineRule="auto"/>
        <w:ind w:firstLine="562" w:firstLineChars="200"/>
        <w:jc w:val="both"/>
        <w:textAlignment w:val="auto"/>
        <w:rPr>
          <w:rFonts w:ascii="Times New Roman" w:hAnsi="Times New Roman" w:eastAsia="宋体" w:cs="Times New Roman"/>
          <w:b/>
          <w:kern w:val="2"/>
          <w:szCs w:val="28"/>
        </w:rPr>
      </w:pPr>
      <w:r>
        <w:rPr>
          <w:rFonts w:hint="eastAsia" w:ascii="Times New Roman" w:hAnsi="Times New Roman" w:eastAsia="宋体" w:cs="Times New Roman"/>
          <w:b/>
          <w:kern w:val="2"/>
          <w:szCs w:val="28"/>
        </w:rPr>
        <w:t xml:space="preserve"> (2)、土地实物状况</w:t>
      </w:r>
    </w:p>
    <w:p>
      <w:pPr>
        <w:widowControl/>
        <w:autoSpaceDE/>
        <w:autoSpaceDN/>
        <w:adjustRightInd/>
        <w:spacing w:line="360" w:lineRule="auto"/>
        <w:ind w:firstLine="560" w:firstLineChars="200"/>
        <w:jc w:val="both"/>
        <w:textAlignment w:val="auto"/>
        <w:rPr>
          <w:rFonts w:ascii="Times New Roman" w:hAnsi="Times New Roman" w:eastAsia="宋体" w:cs="Times New Roman"/>
          <w:kern w:val="2"/>
          <w:szCs w:val="28"/>
        </w:rPr>
      </w:pPr>
      <w:bookmarkStart w:id="26" w:name="_Toc440992059"/>
      <w:bookmarkStart w:id="27" w:name="_Toc22680"/>
      <w:bookmarkStart w:id="28" w:name="_Toc6704"/>
      <w:bookmarkStart w:id="29" w:name="_Toc29223"/>
      <w:bookmarkStart w:id="30" w:name="_Toc440990679"/>
      <w:r>
        <w:rPr>
          <w:rFonts w:hint="eastAsia" w:ascii="Times New Roman" w:hAnsi="Times New Roman" w:eastAsia="宋体" w:cs="Times New Roman"/>
          <w:kern w:val="2"/>
          <w:szCs w:val="28"/>
        </w:rPr>
        <w:t>估价对象位于贵阳市南明区花果园彭家湾棚户区改造项目C区1号1号楼1单元32层6号的一套住宅房地产，该宗地形状规则，地势较平坦，土地开发程度已达到“七通”。</w:t>
      </w:r>
    </w:p>
    <w:p>
      <w:pPr>
        <w:pStyle w:val="3"/>
        <w:adjustRightInd/>
        <w:spacing w:beforeLines="50" w:afterLines="50" w:line="360" w:lineRule="auto"/>
        <w:ind w:firstLine="562" w:firstLineChars="200"/>
        <w:jc w:val="both"/>
        <w:rPr>
          <w:rFonts w:ascii="宋体" w:hAnsi="宋体" w:eastAsia="宋体"/>
          <w:spacing w:val="0"/>
          <w:sz w:val="28"/>
          <w:szCs w:val="28"/>
        </w:rPr>
      </w:pPr>
      <w:r>
        <w:rPr>
          <w:rFonts w:ascii="宋体" w:hAnsi="宋体" w:eastAsia="宋体"/>
          <w:spacing w:val="0"/>
          <w:sz w:val="28"/>
          <w:szCs w:val="28"/>
        </w:rPr>
        <w:t>四、估价目的</w:t>
      </w:r>
      <w:bookmarkEnd w:id="26"/>
      <w:bookmarkEnd w:id="27"/>
      <w:bookmarkEnd w:id="28"/>
      <w:bookmarkEnd w:id="29"/>
      <w:bookmarkEnd w:id="30"/>
    </w:p>
    <w:p>
      <w:pPr>
        <w:pStyle w:val="3"/>
        <w:adjustRightInd/>
        <w:spacing w:beforeLines="50" w:afterLines="50" w:line="360" w:lineRule="auto"/>
        <w:ind w:firstLine="560" w:firstLineChars="200"/>
        <w:jc w:val="both"/>
        <w:rPr>
          <w:rFonts w:ascii="宋体" w:hAnsi="宋体" w:eastAsiaTheme="minorEastAsia"/>
          <w:b w:val="0"/>
          <w:bCs w:val="0"/>
          <w:spacing w:val="0"/>
          <w:sz w:val="28"/>
          <w:szCs w:val="28"/>
        </w:rPr>
      </w:pPr>
      <w:bookmarkStart w:id="31" w:name="_Toc7706"/>
      <w:bookmarkStart w:id="32" w:name="_Toc440992060"/>
      <w:bookmarkStart w:id="33" w:name="_Toc21710"/>
      <w:bookmarkStart w:id="34" w:name="_Toc18159"/>
      <w:bookmarkStart w:id="35" w:name="_Toc440990680"/>
      <w:r>
        <w:rPr>
          <w:rFonts w:hint="eastAsia" w:ascii="宋体" w:hAnsi="宋体" w:eastAsiaTheme="minorEastAsia"/>
          <w:b w:val="0"/>
          <w:bCs w:val="0"/>
          <w:spacing w:val="0"/>
          <w:sz w:val="28"/>
          <w:szCs w:val="28"/>
        </w:rPr>
        <w:t>因贵阳市云岩区人民法院受理的（2019）云评字第15号，申请人何炎玲被申请人王传双、贵阳云岩莱凯时尚酒店买卖合同纠纷一案，因案件执行需要，需对位于贵阳市南明区花果园彭家湾棚户区改造项目C区1号楼1单元32层6号住宅房地产的市场价值进行评估，故本次估价目的为估价委托人执行案件提供价值参考依据。</w:t>
      </w:r>
    </w:p>
    <w:p>
      <w:pPr>
        <w:pStyle w:val="3"/>
        <w:adjustRightInd/>
        <w:spacing w:beforeLines="50" w:afterLines="50" w:line="360" w:lineRule="auto"/>
        <w:ind w:firstLine="562" w:firstLineChars="200"/>
        <w:jc w:val="both"/>
        <w:rPr>
          <w:rFonts w:ascii="宋体" w:hAnsi="宋体" w:eastAsia="宋体"/>
          <w:spacing w:val="0"/>
          <w:sz w:val="28"/>
          <w:szCs w:val="28"/>
        </w:rPr>
      </w:pPr>
      <w:r>
        <w:rPr>
          <w:rFonts w:ascii="宋体" w:hAnsi="宋体" w:eastAsia="宋体"/>
          <w:spacing w:val="0"/>
          <w:sz w:val="28"/>
          <w:szCs w:val="28"/>
        </w:rPr>
        <w:t>五、价值时点</w:t>
      </w:r>
      <w:bookmarkEnd w:id="31"/>
      <w:bookmarkEnd w:id="32"/>
      <w:bookmarkEnd w:id="33"/>
      <w:bookmarkEnd w:id="34"/>
      <w:bookmarkEnd w:id="35"/>
    </w:p>
    <w:p>
      <w:pPr>
        <w:spacing w:line="360" w:lineRule="auto"/>
        <w:ind w:firstLine="560" w:firstLineChars="200"/>
        <w:rPr>
          <w:rFonts w:hAnsi="宋体"/>
          <w:szCs w:val="28"/>
        </w:rPr>
      </w:pPr>
      <w:r>
        <w:rPr>
          <w:rFonts w:hAnsi="宋体"/>
          <w:szCs w:val="28"/>
        </w:rPr>
        <w:t>价值时点为</w:t>
      </w:r>
      <w:r>
        <w:rPr>
          <w:rFonts w:hint="eastAsia"/>
          <w:szCs w:val="28"/>
        </w:rPr>
        <w:t>2019年1月22日</w:t>
      </w:r>
      <w:r>
        <w:rPr>
          <w:rFonts w:hint="eastAsia" w:hAnsi="宋体"/>
          <w:color w:val="000000"/>
          <w:szCs w:val="28"/>
        </w:rPr>
        <w:t>。</w:t>
      </w:r>
    </w:p>
    <w:p>
      <w:pPr>
        <w:pStyle w:val="3"/>
        <w:adjustRightInd/>
        <w:spacing w:beforeLines="50" w:afterLines="50" w:line="360" w:lineRule="auto"/>
        <w:ind w:firstLine="562" w:firstLineChars="200"/>
        <w:jc w:val="both"/>
        <w:rPr>
          <w:rFonts w:ascii="宋体" w:hAnsi="宋体" w:eastAsia="宋体"/>
          <w:spacing w:val="0"/>
          <w:sz w:val="28"/>
          <w:szCs w:val="28"/>
        </w:rPr>
      </w:pPr>
      <w:bookmarkStart w:id="36" w:name="_Toc10217"/>
      <w:bookmarkStart w:id="37" w:name="_Toc440990681"/>
      <w:bookmarkStart w:id="38" w:name="_Toc20501"/>
      <w:bookmarkStart w:id="39" w:name="_Toc10555"/>
      <w:bookmarkStart w:id="40" w:name="_Toc440992061"/>
      <w:r>
        <w:rPr>
          <w:rFonts w:ascii="宋体" w:hAnsi="宋体" w:eastAsia="宋体"/>
          <w:spacing w:val="0"/>
          <w:sz w:val="28"/>
          <w:szCs w:val="28"/>
        </w:rPr>
        <w:t>六、价值定义</w:t>
      </w:r>
      <w:bookmarkEnd w:id="36"/>
      <w:bookmarkEnd w:id="37"/>
      <w:bookmarkEnd w:id="38"/>
      <w:bookmarkEnd w:id="39"/>
      <w:bookmarkEnd w:id="40"/>
    </w:p>
    <w:p>
      <w:pPr>
        <w:pStyle w:val="3"/>
        <w:adjustRightInd/>
        <w:spacing w:beforeLines="50" w:afterLines="50" w:line="360" w:lineRule="auto"/>
        <w:ind w:firstLine="560" w:firstLineChars="200"/>
        <w:jc w:val="both"/>
        <w:rPr>
          <w:rFonts w:ascii="宋体" w:hAnsi="宋体" w:eastAsiaTheme="minorEastAsia"/>
          <w:b w:val="0"/>
          <w:bCs w:val="0"/>
          <w:spacing w:val="0"/>
          <w:sz w:val="28"/>
          <w:szCs w:val="28"/>
        </w:rPr>
      </w:pPr>
      <w:bookmarkStart w:id="41" w:name="_Toc31835"/>
      <w:bookmarkStart w:id="42" w:name="_Toc440992062"/>
      <w:bookmarkStart w:id="43" w:name="_Toc8397"/>
      <w:bookmarkStart w:id="44" w:name="_Toc27632"/>
      <w:bookmarkStart w:id="45" w:name="_Toc440990682"/>
      <w:r>
        <w:rPr>
          <w:rFonts w:hint="eastAsia" w:ascii="宋体" w:hAnsi="宋体" w:eastAsiaTheme="minorEastAsia"/>
          <w:b w:val="0"/>
          <w:bCs w:val="0"/>
          <w:spacing w:val="0"/>
          <w:sz w:val="28"/>
          <w:szCs w:val="28"/>
        </w:rPr>
        <w:t>价值类型为估价对象在本报告所述评估目的下于价值时点的该房地产市场价值。</w:t>
      </w:r>
    </w:p>
    <w:p>
      <w:pPr>
        <w:pStyle w:val="3"/>
        <w:adjustRightInd/>
        <w:spacing w:beforeLines="50" w:afterLines="50" w:line="360" w:lineRule="auto"/>
        <w:ind w:firstLine="560" w:firstLineChars="200"/>
        <w:jc w:val="both"/>
        <w:rPr>
          <w:rFonts w:ascii="宋体" w:hAnsi="宋体" w:eastAsiaTheme="minorEastAsia"/>
          <w:b w:val="0"/>
          <w:bCs w:val="0"/>
          <w:spacing w:val="0"/>
          <w:sz w:val="28"/>
          <w:szCs w:val="28"/>
        </w:rPr>
      </w:pPr>
      <w:r>
        <w:rPr>
          <w:rFonts w:hint="eastAsia" w:ascii="宋体" w:hAnsi="宋体" w:eastAsiaTheme="minorEastAsia"/>
          <w:b w:val="0"/>
          <w:bCs w:val="0"/>
          <w:spacing w:val="0"/>
          <w:sz w:val="28"/>
          <w:szCs w:val="28"/>
        </w:rPr>
        <w:t>市场价值是指估价对象经适当营销后，由熟悉情况、谨慎行事且不受强迫的交易双方，自愿的买方和自愿的卖方以公平交易方式在价值时点自愿进行交易的金额。</w:t>
      </w:r>
    </w:p>
    <w:p>
      <w:pPr>
        <w:pStyle w:val="3"/>
        <w:adjustRightInd/>
        <w:spacing w:beforeLines="50" w:afterLines="50" w:line="360" w:lineRule="auto"/>
        <w:ind w:firstLine="562" w:firstLineChars="200"/>
        <w:jc w:val="both"/>
        <w:rPr>
          <w:rFonts w:ascii="宋体" w:hAnsi="宋体" w:eastAsia="宋体"/>
          <w:spacing w:val="0"/>
          <w:sz w:val="28"/>
          <w:szCs w:val="28"/>
        </w:rPr>
      </w:pPr>
      <w:r>
        <w:rPr>
          <w:rFonts w:ascii="宋体" w:hAnsi="宋体" w:eastAsia="宋体"/>
          <w:spacing w:val="0"/>
          <w:sz w:val="28"/>
          <w:szCs w:val="28"/>
        </w:rPr>
        <w:t>七、估价依据</w:t>
      </w:r>
      <w:bookmarkEnd w:id="41"/>
      <w:bookmarkEnd w:id="42"/>
      <w:bookmarkEnd w:id="43"/>
      <w:bookmarkEnd w:id="44"/>
      <w:bookmarkEnd w:id="45"/>
    </w:p>
    <w:p>
      <w:pPr>
        <w:pStyle w:val="3"/>
        <w:adjustRightInd/>
        <w:spacing w:beforeLines="50" w:afterLines="50" w:line="360" w:lineRule="auto"/>
        <w:ind w:firstLine="560" w:firstLineChars="200"/>
        <w:jc w:val="both"/>
        <w:rPr>
          <w:rFonts w:ascii="宋体" w:eastAsiaTheme="minorEastAsia"/>
          <w:b w:val="0"/>
          <w:bCs w:val="0"/>
          <w:spacing w:val="0"/>
          <w:sz w:val="28"/>
          <w:szCs w:val="28"/>
        </w:rPr>
      </w:pPr>
      <w:bookmarkStart w:id="46" w:name="_Toc440990683"/>
      <w:bookmarkStart w:id="47" w:name="_Toc290"/>
      <w:bookmarkStart w:id="48" w:name="_Toc440992063"/>
      <w:bookmarkStart w:id="49" w:name="_Toc27176"/>
      <w:bookmarkStart w:id="50" w:name="_Toc23336"/>
      <w:r>
        <w:rPr>
          <w:rFonts w:hint="eastAsia" w:ascii="宋体" w:eastAsiaTheme="minorEastAsia"/>
          <w:b w:val="0"/>
          <w:bCs w:val="0"/>
          <w:spacing w:val="0"/>
          <w:sz w:val="28"/>
          <w:szCs w:val="28"/>
        </w:rPr>
        <w:t>1、法律、法规及部门规章</w:t>
      </w:r>
    </w:p>
    <w:p>
      <w:pPr>
        <w:pStyle w:val="3"/>
        <w:adjustRightInd/>
        <w:spacing w:beforeLines="50" w:afterLines="50" w:line="360" w:lineRule="auto"/>
        <w:ind w:firstLine="560" w:firstLineChars="200"/>
        <w:jc w:val="both"/>
        <w:rPr>
          <w:rFonts w:ascii="宋体" w:eastAsiaTheme="minorEastAsia"/>
          <w:b w:val="0"/>
          <w:bCs w:val="0"/>
          <w:spacing w:val="0"/>
          <w:sz w:val="28"/>
          <w:szCs w:val="28"/>
        </w:rPr>
      </w:pPr>
      <w:r>
        <w:rPr>
          <w:rFonts w:hint="eastAsia" w:ascii="宋体" w:eastAsiaTheme="minorEastAsia"/>
          <w:b w:val="0"/>
          <w:bCs w:val="0"/>
          <w:spacing w:val="0"/>
          <w:sz w:val="28"/>
          <w:szCs w:val="28"/>
        </w:rPr>
        <w:t>1.1《中华人民共和国房地产管理法》；</w:t>
      </w:r>
    </w:p>
    <w:p>
      <w:pPr>
        <w:pStyle w:val="3"/>
        <w:adjustRightInd/>
        <w:spacing w:beforeLines="50" w:afterLines="50" w:line="360" w:lineRule="auto"/>
        <w:ind w:firstLine="560" w:firstLineChars="200"/>
        <w:jc w:val="both"/>
        <w:rPr>
          <w:rFonts w:ascii="宋体" w:eastAsiaTheme="minorEastAsia"/>
          <w:b w:val="0"/>
          <w:bCs w:val="0"/>
          <w:spacing w:val="0"/>
          <w:sz w:val="28"/>
          <w:szCs w:val="28"/>
        </w:rPr>
      </w:pPr>
      <w:r>
        <w:rPr>
          <w:rFonts w:hint="eastAsia" w:ascii="宋体" w:eastAsiaTheme="minorEastAsia"/>
          <w:b w:val="0"/>
          <w:bCs w:val="0"/>
          <w:spacing w:val="0"/>
          <w:sz w:val="28"/>
          <w:szCs w:val="28"/>
        </w:rPr>
        <w:t>1.2《中华人民共和国土地管理法》；</w:t>
      </w:r>
    </w:p>
    <w:p>
      <w:pPr>
        <w:pStyle w:val="3"/>
        <w:adjustRightInd/>
        <w:spacing w:beforeLines="50" w:afterLines="50" w:line="360" w:lineRule="auto"/>
        <w:ind w:firstLine="560" w:firstLineChars="200"/>
        <w:jc w:val="both"/>
        <w:rPr>
          <w:rFonts w:ascii="宋体" w:eastAsiaTheme="minorEastAsia"/>
          <w:b w:val="0"/>
          <w:bCs w:val="0"/>
          <w:spacing w:val="0"/>
          <w:sz w:val="28"/>
          <w:szCs w:val="28"/>
        </w:rPr>
      </w:pPr>
      <w:r>
        <w:rPr>
          <w:rFonts w:hint="eastAsia" w:ascii="宋体" w:eastAsiaTheme="minorEastAsia"/>
          <w:b w:val="0"/>
          <w:bCs w:val="0"/>
          <w:spacing w:val="0"/>
          <w:sz w:val="28"/>
          <w:szCs w:val="28"/>
        </w:rPr>
        <w:t>1.3《中华人民共和国物权法》；</w:t>
      </w:r>
    </w:p>
    <w:p>
      <w:pPr>
        <w:pStyle w:val="3"/>
        <w:adjustRightInd/>
        <w:spacing w:beforeLines="50" w:afterLines="50" w:line="360" w:lineRule="auto"/>
        <w:ind w:firstLine="560" w:firstLineChars="200"/>
        <w:jc w:val="both"/>
        <w:rPr>
          <w:rFonts w:ascii="宋体" w:eastAsiaTheme="minorEastAsia"/>
          <w:b w:val="0"/>
          <w:bCs w:val="0"/>
          <w:spacing w:val="0"/>
          <w:sz w:val="28"/>
          <w:szCs w:val="28"/>
        </w:rPr>
      </w:pPr>
      <w:r>
        <w:rPr>
          <w:rFonts w:hint="eastAsia" w:ascii="宋体" w:eastAsiaTheme="minorEastAsia"/>
          <w:b w:val="0"/>
          <w:bCs w:val="0"/>
          <w:spacing w:val="0"/>
          <w:sz w:val="28"/>
          <w:szCs w:val="28"/>
        </w:rPr>
        <w:t>1.4《中华人民共和国担保法》；</w:t>
      </w:r>
    </w:p>
    <w:p>
      <w:pPr>
        <w:pStyle w:val="3"/>
        <w:adjustRightInd/>
        <w:spacing w:beforeLines="50" w:afterLines="50" w:line="360" w:lineRule="auto"/>
        <w:ind w:firstLine="560" w:firstLineChars="200"/>
        <w:jc w:val="both"/>
        <w:rPr>
          <w:rFonts w:ascii="宋体" w:eastAsiaTheme="minorEastAsia"/>
          <w:b w:val="0"/>
          <w:bCs w:val="0"/>
          <w:spacing w:val="0"/>
          <w:sz w:val="28"/>
          <w:szCs w:val="28"/>
        </w:rPr>
      </w:pPr>
      <w:r>
        <w:rPr>
          <w:rFonts w:hint="eastAsia" w:ascii="宋体" w:eastAsiaTheme="minorEastAsia"/>
          <w:b w:val="0"/>
          <w:bCs w:val="0"/>
          <w:spacing w:val="0"/>
          <w:sz w:val="28"/>
          <w:szCs w:val="28"/>
        </w:rPr>
        <w:t>1.5《中华人民共和国资产评估法》。</w:t>
      </w:r>
    </w:p>
    <w:p>
      <w:pPr>
        <w:pStyle w:val="3"/>
        <w:adjustRightInd/>
        <w:spacing w:beforeLines="50" w:afterLines="50" w:line="360" w:lineRule="auto"/>
        <w:ind w:firstLine="560" w:firstLineChars="200"/>
        <w:jc w:val="both"/>
        <w:rPr>
          <w:rFonts w:ascii="宋体" w:eastAsiaTheme="minorEastAsia"/>
          <w:b w:val="0"/>
          <w:bCs w:val="0"/>
          <w:spacing w:val="0"/>
          <w:sz w:val="28"/>
          <w:szCs w:val="28"/>
        </w:rPr>
      </w:pPr>
      <w:r>
        <w:rPr>
          <w:rFonts w:hint="eastAsia" w:ascii="宋体" w:eastAsiaTheme="minorEastAsia"/>
          <w:b w:val="0"/>
          <w:bCs w:val="0"/>
          <w:spacing w:val="0"/>
          <w:sz w:val="28"/>
          <w:szCs w:val="28"/>
        </w:rPr>
        <w:t>2、技术规程</w:t>
      </w:r>
    </w:p>
    <w:p>
      <w:pPr>
        <w:pStyle w:val="3"/>
        <w:adjustRightInd/>
        <w:spacing w:beforeLines="50" w:afterLines="50" w:line="360" w:lineRule="auto"/>
        <w:ind w:firstLine="560" w:firstLineChars="200"/>
        <w:jc w:val="both"/>
        <w:rPr>
          <w:rFonts w:ascii="宋体" w:eastAsiaTheme="minorEastAsia"/>
          <w:b w:val="0"/>
          <w:bCs w:val="0"/>
          <w:spacing w:val="0"/>
          <w:sz w:val="28"/>
          <w:szCs w:val="28"/>
        </w:rPr>
      </w:pPr>
      <w:r>
        <w:rPr>
          <w:rFonts w:hint="eastAsia" w:ascii="宋体" w:eastAsiaTheme="minorEastAsia"/>
          <w:b w:val="0"/>
          <w:bCs w:val="0"/>
          <w:spacing w:val="0"/>
          <w:sz w:val="28"/>
          <w:szCs w:val="28"/>
        </w:rPr>
        <w:t>2.1《房地产估价规范GB/T50291-2015》；</w:t>
      </w:r>
    </w:p>
    <w:p>
      <w:pPr>
        <w:pStyle w:val="3"/>
        <w:adjustRightInd/>
        <w:spacing w:beforeLines="50" w:afterLines="50" w:line="360" w:lineRule="auto"/>
        <w:ind w:firstLine="560" w:firstLineChars="200"/>
        <w:jc w:val="both"/>
        <w:rPr>
          <w:rFonts w:ascii="宋体" w:eastAsiaTheme="minorEastAsia"/>
          <w:b w:val="0"/>
          <w:bCs w:val="0"/>
          <w:spacing w:val="0"/>
          <w:sz w:val="28"/>
          <w:szCs w:val="28"/>
        </w:rPr>
      </w:pPr>
      <w:r>
        <w:rPr>
          <w:rFonts w:hint="eastAsia" w:ascii="宋体" w:eastAsiaTheme="minorEastAsia"/>
          <w:b w:val="0"/>
          <w:bCs w:val="0"/>
          <w:spacing w:val="0"/>
          <w:sz w:val="28"/>
          <w:szCs w:val="28"/>
        </w:rPr>
        <w:t>2.2《房地产估价基本术语标准GB/T50899-2013》；</w:t>
      </w:r>
    </w:p>
    <w:p>
      <w:pPr>
        <w:pStyle w:val="3"/>
        <w:adjustRightInd/>
        <w:spacing w:beforeLines="50" w:afterLines="50" w:line="360" w:lineRule="auto"/>
        <w:ind w:firstLine="560" w:firstLineChars="200"/>
        <w:jc w:val="both"/>
        <w:rPr>
          <w:rFonts w:ascii="宋体" w:eastAsiaTheme="minorEastAsia"/>
          <w:b w:val="0"/>
          <w:bCs w:val="0"/>
          <w:spacing w:val="0"/>
          <w:sz w:val="28"/>
          <w:szCs w:val="28"/>
        </w:rPr>
      </w:pPr>
      <w:r>
        <w:rPr>
          <w:rFonts w:hint="eastAsia" w:ascii="宋体" w:eastAsiaTheme="minorEastAsia"/>
          <w:b w:val="0"/>
          <w:bCs w:val="0"/>
          <w:spacing w:val="0"/>
          <w:sz w:val="28"/>
          <w:szCs w:val="28"/>
        </w:rPr>
        <w:t>2.3《城镇土地估价规程》（GB／T18508-2014）。</w:t>
      </w:r>
    </w:p>
    <w:p>
      <w:pPr>
        <w:pStyle w:val="3"/>
        <w:adjustRightInd/>
        <w:spacing w:beforeLines="50" w:afterLines="50" w:line="360" w:lineRule="auto"/>
        <w:ind w:firstLine="560" w:firstLineChars="200"/>
        <w:jc w:val="both"/>
        <w:rPr>
          <w:rFonts w:ascii="宋体" w:eastAsiaTheme="minorEastAsia"/>
          <w:b w:val="0"/>
          <w:bCs w:val="0"/>
          <w:spacing w:val="0"/>
          <w:sz w:val="28"/>
          <w:szCs w:val="28"/>
        </w:rPr>
      </w:pPr>
      <w:r>
        <w:rPr>
          <w:rFonts w:hint="eastAsia" w:ascii="宋体" w:eastAsiaTheme="minorEastAsia"/>
          <w:b w:val="0"/>
          <w:bCs w:val="0"/>
          <w:spacing w:val="0"/>
          <w:sz w:val="28"/>
          <w:szCs w:val="28"/>
        </w:rPr>
        <w:t>3、参考资料</w:t>
      </w:r>
    </w:p>
    <w:p>
      <w:pPr>
        <w:pStyle w:val="3"/>
        <w:adjustRightInd/>
        <w:spacing w:beforeLines="50" w:afterLines="50" w:line="360" w:lineRule="auto"/>
        <w:ind w:firstLine="560" w:firstLineChars="200"/>
        <w:jc w:val="both"/>
        <w:rPr>
          <w:rFonts w:ascii="宋体" w:eastAsiaTheme="minorEastAsia"/>
          <w:b w:val="0"/>
          <w:bCs w:val="0"/>
          <w:spacing w:val="0"/>
          <w:sz w:val="28"/>
          <w:szCs w:val="28"/>
        </w:rPr>
      </w:pPr>
      <w:r>
        <w:rPr>
          <w:rFonts w:hint="eastAsia" w:ascii="宋体" w:eastAsiaTheme="minorEastAsia"/>
          <w:b w:val="0"/>
          <w:bCs w:val="0"/>
          <w:spacing w:val="0"/>
          <w:sz w:val="28"/>
          <w:szCs w:val="28"/>
        </w:rPr>
        <w:t>3.1估价人员现场查勘调查获得的实况和资料；</w:t>
      </w:r>
    </w:p>
    <w:p>
      <w:pPr>
        <w:pStyle w:val="3"/>
        <w:adjustRightInd/>
        <w:spacing w:beforeLines="50" w:afterLines="50" w:line="360" w:lineRule="auto"/>
        <w:ind w:firstLine="560" w:firstLineChars="200"/>
        <w:jc w:val="both"/>
        <w:rPr>
          <w:rFonts w:ascii="宋体" w:eastAsiaTheme="minorEastAsia"/>
          <w:b w:val="0"/>
          <w:bCs w:val="0"/>
          <w:spacing w:val="0"/>
          <w:sz w:val="28"/>
          <w:szCs w:val="28"/>
        </w:rPr>
      </w:pPr>
      <w:r>
        <w:rPr>
          <w:rFonts w:hint="eastAsia" w:ascii="宋体" w:eastAsiaTheme="minorEastAsia"/>
          <w:b w:val="0"/>
          <w:bCs w:val="0"/>
          <w:spacing w:val="0"/>
          <w:sz w:val="28"/>
          <w:szCs w:val="28"/>
        </w:rPr>
        <w:t>3.2本估价机构掌握的房地产市场相关资料；</w:t>
      </w:r>
    </w:p>
    <w:p>
      <w:pPr>
        <w:pStyle w:val="3"/>
        <w:adjustRightInd/>
        <w:spacing w:beforeLines="50" w:afterLines="50" w:line="360" w:lineRule="auto"/>
        <w:ind w:firstLine="560" w:firstLineChars="200"/>
        <w:jc w:val="both"/>
        <w:rPr>
          <w:rFonts w:ascii="宋体" w:eastAsiaTheme="minorEastAsia"/>
          <w:b w:val="0"/>
          <w:bCs w:val="0"/>
          <w:spacing w:val="0"/>
          <w:sz w:val="28"/>
          <w:szCs w:val="28"/>
        </w:rPr>
      </w:pPr>
      <w:r>
        <w:rPr>
          <w:rFonts w:hint="eastAsia" w:ascii="宋体" w:eastAsiaTheme="minorEastAsia"/>
          <w:b w:val="0"/>
          <w:bCs w:val="0"/>
          <w:spacing w:val="0"/>
          <w:sz w:val="28"/>
          <w:szCs w:val="28"/>
        </w:rPr>
        <w:t>3.3 贵阳市不动产登记中心查询资料。</w:t>
      </w:r>
    </w:p>
    <w:p>
      <w:pPr>
        <w:pStyle w:val="3"/>
        <w:adjustRightInd/>
        <w:spacing w:beforeLines="50" w:afterLines="50" w:line="360" w:lineRule="auto"/>
        <w:ind w:firstLine="562" w:firstLineChars="200"/>
        <w:jc w:val="both"/>
        <w:rPr>
          <w:rFonts w:ascii="宋体" w:hAnsi="宋体" w:eastAsia="宋体"/>
          <w:spacing w:val="0"/>
          <w:sz w:val="28"/>
          <w:szCs w:val="28"/>
        </w:rPr>
      </w:pPr>
      <w:r>
        <w:rPr>
          <w:rFonts w:ascii="宋体" w:hAnsi="宋体" w:eastAsia="宋体"/>
          <w:spacing w:val="0"/>
          <w:sz w:val="28"/>
          <w:szCs w:val="28"/>
        </w:rPr>
        <w:t>八、估价原则</w:t>
      </w:r>
      <w:bookmarkEnd w:id="46"/>
      <w:bookmarkEnd w:id="47"/>
      <w:bookmarkEnd w:id="48"/>
      <w:bookmarkEnd w:id="49"/>
      <w:bookmarkEnd w:id="50"/>
    </w:p>
    <w:p>
      <w:pPr>
        <w:pStyle w:val="3"/>
        <w:adjustRightInd/>
        <w:spacing w:beforeLines="50" w:afterLines="50" w:line="360" w:lineRule="auto"/>
        <w:ind w:firstLine="560" w:firstLineChars="200"/>
        <w:jc w:val="both"/>
        <w:rPr>
          <w:rFonts w:ascii="宋体" w:hAnsi="宋体" w:eastAsiaTheme="minorEastAsia"/>
          <w:b w:val="0"/>
          <w:bCs w:val="0"/>
          <w:spacing w:val="0"/>
          <w:sz w:val="28"/>
          <w:szCs w:val="28"/>
        </w:rPr>
      </w:pPr>
      <w:bookmarkStart w:id="51" w:name="_Toc9547"/>
      <w:bookmarkStart w:id="52" w:name="_Toc440990684"/>
      <w:bookmarkStart w:id="53" w:name="_Toc21253"/>
      <w:bookmarkStart w:id="54" w:name="_Toc440992064"/>
      <w:bookmarkStart w:id="55" w:name="_Toc2560"/>
      <w:r>
        <w:rPr>
          <w:rFonts w:hint="eastAsia" w:ascii="宋体" w:hAnsi="宋体" w:eastAsiaTheme="minorEastAsia"/>
          <w:b w:val="0"/>
          <w:bCs w:val="0"/>
          <w:spacing w:val="0"/>
          <w:sz w:val="28"/>
          <w:szCs w:val="28"/>
        </w:rPr>
        <w:t>本估价报告在遵循客观、公正、科学、合理的基本原则下，结合估价目的对估价对象进行评估。具体依据如下估价原则：客观、独立、公正原则、合法原则、最高最佳使用原则、替代原则、价值时点原则。</w:t>
      </w:r>
    </w:p>
    <w:p>
      <w:pPr>
        <w:pStyle w:val="3"/>
        <w:adjustRightInd/>
        <w:spacing w:beforeLines="50" w:afterLines="50" w:line="360" w:lineRule="auto"/>
        <w:ind w:firstLine="560" w:firstLineChars="200"/>
        <w:jc w:val="both"/>
        <w:rPr>
          <w:rFonts w:ascii="宋体" w:hAnsi="宋体" w:eastAsiaTheme="minorEastAsia"/>
          <w:b w:val="0"/>
          <w:bCs w:val="0"/>
          <w:spacing w:val="0"/>
          <w:sz w:val="28"/>
          <w:szCs w:val="28"/>
        </w:rPr>
      </w:pPr>
      <w:r>
        <w:rPr>
          <w:rFonts w:hint="eastAsia" w:ascii="宋体" w:hAnsi="宋体" w:eastAsiaTheme="minorEastAsia"/>
          <w:b w:val="0"/>
          <w:bCs w:val="0"/>
          <w:spacing w:val="0"/>
          <w:sz w:val="28"/>
          <w:szCs w:val="28"/>
        </w:rPr>
        <w:t>1、客观、独立、公正原则：要求站在中立的立场上，实事求是、公平正直地评估出对各方估价利害关系人均是公平合理的价值或价格的原则。</w:t>
      </w:r>
    </w:p>
    <w:p>
      <w:pPr>
        <w:pStyle w:val="3"/>
        <w:adjustRightInd/>
        <w:spacing w:beforeLines="50" w:afterLines="50" w:line="360" w:lineRule="auto"/>
        <w:ind w:firstLine="560" w:firstLineChars="200"/>
        <w:jc w:val="both"/>
        <w:rPr>
          <w:rFonts w:ascii="宋体" w:hAnsi="宋体" w:eastAsiaTheme="minorEastAsia"/>
          <w:b w:val="0"/>
          <w:bCs w:val="0"/>
          <w:spacing w:val="0"/>
          <w:sz w:val="28"/>
          <w:szCs w:val="28"/>
        </w:rPr>
      </w:pPr>
      <w:r>
        <w:rPr>
          <w:rFonts w:hint="eastAsia" w:ascii="宋体" w:hAnsi="宋体" w:eastAsiaTheme="minorEastAsia"/>
          <w:b w:val="0"/>
          <w:bCs w:val="0"/>
          <w:spacing w:val="0"/>
          <w:sz w:val="28"/>
          <w:szCs w:val="28"/>
        </w:rPr>
        <w:t>2、合法原则：要求估价结果是在依法判定的估价对象状况下的价值或价格的原则。</w:t>
      </w:r>
    </w:p>
    <w:p>
      <w:pPr>
        <w:pStyle w:val="3"/>
        <w:adjustRightInd/>
        <w:spacing w:beforeLines="50" w:afterLines="50" w:line="360" w:lineRule="auto"/>
        <w:ind w:firstLine="560" w:firstLineChars="200"/>
        <w:jc w:val="both"/>
        <w:rPr>
          <w:rFonts w:ascii="宋体" w:hAnsi="宋体" w:eastAsiaTheme="minorEastAsia"/>
          <w:b w:val="0"/>
          <w:bCs w:val="0"/>
          <w:spacing w:val="0"/>
          <w:sz w:val="28"/>
          <w:szCs w:val="28"/>
        </w:rPr>
      </w:pPr>
      <w:r>
        <w:rPr>
          <w:rFonts w:hint="eastAsia" w:ascii="宋体" w:hAnsi="宋体" w:eastAsiaTheme="minorEastAsia"/>
          <w:b w:val="0"/>
          <w:bCs w:val="0"/>
          <w:spacing w:val="0"/>
          <w:sz w:val="28"/>
          <w:szCs w:val="28"/>
        </w:rPr>
        <w:t>3、价值时点原则：要求估价结果是在根据估价目的确定的某一特定时间的价值或价格的原则。</w:t>
      </w:r>
    </w:p>
    <w:p>
      <w:pPr>
        <w:pStyle w:val="3"/>
        <w:adjustRightInd/>
        <w:spacing w:beforeLines="50" w:afterLines="50" w:line="360" w:lineRule="auto"/>
        <w:ind w:firstLine="560" w:firstLineChars="200"/>
        <w:jc w:val="both"/>
        <w:rPr>
          <w:rFonts w:ascii="宋体" w:hAnsi="宋体" w:eastAsiaTheme="minorEastAsia"/>
          <w:b w:val="0"/>
          <w:bCs w:val="0"/>
          <w:spacing w:val="0"/>
          <w:sz w:val="28"/>
          <w:szCs w:val="28"/>
        </w:rPr>
      </w:pPr>
      <w:r>
        <w:rPr>
          <w:rFonts w:hint="eastAsia" w:ascii="宋体" w:hAnsi="宋体" w:eastAsiaTheme="minorEastAsia"/>
          <w:b w:val="0"/>
          <w:bCs w:val="0"/>
          <w:spacing w:val="0"/>
          <w:sz w:val="28"/>
          <w:szCs w:val="28"/>
        </w:rPr>
        <w:t>4、替代原则：要求估价结果与估价对象的类似房地产在同等条件下的价值或价格偏差在合理范围内的原则。</w:t>
      </w:r>
    </w:p>
    <w:p>
      <w:pPr>
        <w:pStyle w:val="3"/>
        <w:adjustRightInd/>
        <w:spacing w:beforeLines="50" w:afterLines="50" w:line="360" w:lineRule="auto"/>
        <w:ind w:firstLine="560" w:firstLineChars="200"/>
        <w:jc w:val="both"/>
        <w:rPr>
          <w:rFonts w:ascii="宋体" w:hAnsi="宋体" w:eastAsiaTheme="minorEastAsia"/>
          <w:b w:val="0"/>
          <w:bCs w:val="0"/>
          <w:spacing w:val="0"/>
          <w:sz w:val="28"/>
          <w:szCs w:val="28"/>
        </w:rPr>
      </w:pPr>
      <w:r>
        <w:rPr>
          <w:rFonts w:hint="eastAsia" w:ascii="宋体" w:hAnsi="宋体" w:eastAsiaTheme="minorEastAsia"/>
          <w:b w:val="0"/>
          <w:bCs w:val="0"/>
          <w:spacing w:val="0"/>
          <w:sz w:val="28"/>
          <w:szCs w:val="28"/>
        </w:rPr>
        <w:t>5、最高最佳利用原则：要求估价结果是在估价对象最高最佳利用状况下的价值或价格的原则。</w:t>
      </w:r>
    </w:p>
    <w:p>
      <w:pPr>
        <w:pStyle w:val="3"/>
        <w:adjustRightInd/>
        <w:spacing w:beforeLines="50" w:afterLines="50" w:line="360" w:lineRule="auto"/>
        <w:ind w:firstLine="562" w:firstLineChars="200"/>
        <w:jc w:val="both"/>
        <w:rPr>
          <w:rFonts w:ascii="宋体" w:hAnsi="宋体" w:eastAsia="宋体"/>
          <w:spacing w:val="0"/>
          <w:sz w:val="28"/>
          <w:szCs w:val="28"/>
        </w:rPr>
      </w:pPr>
      <w:r>
        <w:rPr>
          <w:rFonts w:ascii="宋体" w:hAnsi="宋体" w:eastAsia="宋体"/>
          <w:spacing w:val="0"/>
          <w:sz w:val="28"/>
          <w:szCs w:val="28"/>
        </w:rPr>
        <w:t>九、估价方法</w:t>
      </w:r>
      <w:bookmarkEnd w:id="51"/>
      <w:bookmarkEnd w:id="52"/>
      <w:bookmarkEnd w:id="53"/>
      <w:bookmarkEnd w:id="54"/>
      <w:bookmarkEnd w:id="55"/>
    </w:p>
    <w:p>
      <w:pPr>
        <w:pStyle w:val="3"/>
        <w:adjustRightInd/>
        <w:spacing w:beforeLines="50" w:afterLines="50" w:line="360" w:lineRule="auto"/>
        <w:ind w:firstLine="560" w:firstLineChars="200"/>
        <w:jc w:val="both"/>
        <w:rPr>
          <w:rFonts w:ascii="宋体" w:hAnsi="宋体" w:eastAsia="宋体" w:cs="宋体"/>
          <w:b w:val="0"/>
          <w:spacing w:val="0"/>
          <w:sz w:val="28"/>
          <w:szCs w:val="28"/>
        </w:rPr>
      </w:pPr>
      <w:bookmarkStart w:id="56" w:name="_Toc23178"/>
      <w:bookmarkStart w:id="57" w:name="_Toc26251"/>
      <w:bookmarkStart w:id="58" w:name="_Toc440990685"/>
      <w:bookmarkStart w:id="59" w:name="_Toc31083"/>
      <w:bookmarkStart w:id="60" w:name="_Toc440992065"/>
      <w:r>
        <w:rPr>
          <w:rFonts w:hint="eastAsia" w:ascii="宋体" w:hAnsi="宋体" w:eastAsia="宋体" w:cs="宋体"/>
          <w:b w:val="0"/>
          <w:spacing w:val="0"/>
          <w:sz w:val="28"/>
          <w:szCs w:val="28"/>
        </w:rPr>
        <w:t>根据《房地产估价规范》（GB/T50291-2015）规定，房地产估价方法有比较法，收益法、假设开发法、成本法等。本次估价选用的估价方法为比较法，不适宜选用收益法、成本法及假设开发法。</w:t>
      </w:r>
    </w:p>
    <w:p>
      <w:pPr>
        <w:pStyle w:val="3"/>
        <w:adjustRightInd/>
        <w:spacing w:beforeLines="50" w:afterLines="50" w:line="360" w:lineRule="auto"/>
        <w:ind w:firstLine="562" w:firstLineChars="200"/>
        <w:jc w:val="both"/>
        <w:rPr>
          <w:rFonts w:ascii="宋体" w:hAnsi="宋体" w:eastAsia="宋体" w:cs="宋体"/>
          <w:bCs w:val="0"/>
          <w:spacing w:val="0"/>
          <w:sz w:val="28"/>
          <w:szCs w:val="28"/>
        </w:rPr>
      </w:pPr>
      <w:r>
        <w:rPr>
          <w:rFonts w:hint="eastAsia" w:ascii="宋体" w:hAnsi="宋体" w:eastAsia="宋体" w:cs="宋体"/>
          <w:bCs w:val="0"/>
          <w:spacing w:val="0"/>
          <w:sz w:val="28"/>
          <w:szCs w:val="28"/>
        </w:rPr>
        <w:t>1、选用的估价方法及理由</w:t>
      </w:r>
    </w:p>
    <w:p>
      <w:pPr>
        <w:pStyle w:val="3"/>
        <w:adjustRightInd/>
        <w:spacing w:beforeLines="50" w:afterLines="50" w:line="360" w:lineRule="auto"/>
        <w:ind w:firstLine="560" w:firstLineChars="200"/>
        <w:jc w:val="both"/>
        <w:rPr>
          <w:rFonts w:ascii="宋体" w:hAnsi="宋体" w:eastAsia="宋体" w:cs="宋体"/>
          <w:b w:val="0"/>
          <w:spacing w:val="0"/>
          <w:sz w:val="28"/>
          <w:szCs w:val="28"/>
        </w:rPr>
      </w:pPr>
      <w:r>
        <w:rPr>
          <w:rFonts w:hint="eastAsia" w:ascii="宋体" w:hAnsi="宋体" w:eastAsia="宋体" w:cs="宋体"/>
          <w:b w:val="0"/>
          <w:spacing w:val="0"/>
          <w:sz w:val="28"/>
          <w:szCs w:val="28"/>
        </w:rPr>
        <w:t>比较法，是选取一定数量的可比实例与估价对象进行比较，根据区间的差异对可比实例成交价格进行处理后得到估价对象价值或价格的方法。估价对象为住宅，与估价对象类似的房地产交易市场较活跃，同时也存在着较多的交易案例，因此选用比较法进行估价。</w:t>
      </w:r>
    </w:p>
    <w:p>
      <w:pPr>
        <w:pStyle w:val="3"/>
        <w:adjustRightInd/>
        <w:spacing w:beforeLines="50" w:afterLines="50" w:line="360" w:lineRule="auto"/>
        <w:ind w:firstLine="562" w:firstLineChars="200"/>
        <w:jc w:val="both"/>
        <w:rPr>
          <w:rFonts w:ascii="宋体" w:hAnsi="宋体" w:eastAsia="宋体" w:cs="宋体"/>
          <w:bCs w:val="0"/>
          <w:spacing w:val="0"/>
          <w:sz w:val="28"/>
          <w:szCs w:val="28"/>
        </w:rPr>
      </w:pPr>
      <w:r>
        <w:rPr>
          <w:rFonts w:hint="eastAsia" w:ascii="宋体" w:hAnsi="宋体" w:eastAsia="宋体" w:cs="宋体"/>
          <w:bCs w:val="0"/>
          <w:spacing w:val="0"/>
          <w:sz w:val="28"/>
          <w:szCs w:val="28"/>
        </w:rPr>
        <w:t>2、不选用的估价方法及其理由</w:t>
      </w:r>
    </w:p>
    <w:p>
      <w:pPr>
        <w:pStyle w:val="3"/>
        <w:adjustRightInd/>
        <w:spacing w:beforeLines="50" w:afterLines="50" w:line="360" w:lineRule="auto"/>
        <w:ind w:firstLine="562" w:firstLineChars="200"/>
        <w:jc w:val="both"/>
        <w:rPr>
          <w:rFonts w:ascii="宋体" w:hAnsi="宋体" w:eastAsia="宋体" w:cs="宋体"/>
          <w:bCs w:val="0"/>
          <w:spacing w:val="0"/>
          <w:sz w:val="28"/>
          <w:szCs w:val="28"/>
        </w:rPr>
      </w:pPr>
      <w:r>
        <w:rPr>
          <w:rFonts w:hint="eastAsia" w:ascii="宋体" w:hAnsi="宋体" w:eastAsia="宋体" w:cs="宋体"/>
          <w:bCs w:val="0"/>
          <w:spacing w:val="0"/>
          <w:sz w:val="28"/>
          <w:szCs w:val="28"/>
        </w:rPr>
        <w:t>（1）成本法</w:t>
      </w:r>
    </w:p>
    <w:p>
      <w:pPr>
        <w:pStyle w:val="3"/>
        <w:adjustRightInd/>
        <w:spacing w:beforeLines="50" w:afterLines="50" w:line="360" w:lineRule="auto"/>
        <w:ind w:firstLine="560" w:firstLineChars="200"/>
        <w:jc w:val="both"/>
        <w:rPr>
          <w:rFonts w:ascii="宋体" w:hAnsi="宋体" w:eastAsia="宋体" w:cs="宋体"/>
          <w:b w:val="0"/>
          <w:spacing w:val="0"/>
          <w:sz w:val="28"/>
          <w:szCs w:val="28"/>
        </w:rPr>
      </w:pPr>
      <w:r>
        <w:rPr>
          <w:rFonts w:hint="eastAsia" w:ascii="宋体" w:hAnsi="宋体" w:eastAsia="宋体" w:cs="宋体"/>
          <w:b w:val="0"/>
          <w:spacing w:val="0"/>
          <w:sz w:val="28"/>
          <w:szCs w:val="28"/>
        </w:rPr>
        <w:t>成本法是测算估价对象的重置成本或重建成本，测算折旧得到估价对象价值的方法，因本次估价对象为住宅，成本法不易真实体现估价对象市场价值。故不选用成本法进行估价。</w:t>
      </w:r>
    </w:p>
    <w:p>
      <w:pPr>
        <w:pStyle w:val="3"/>
        <w:adjustRightInd/>
        <w:spacing w:beforeLines="50" w:afterLines="50" w:line="360" w:lineRule="auto"/>
        <w:ind w:firstLine="562" w:firstLineChars="200"/>
        <w:jc w:val="both"/>
        <w:rPr>
          <w:rFonts w:ascii="宋体" w:hAnsi="宋体" w:eastAsia="宋体" w:cs="宋体"/>
          <w:bCs w:val="0"/>
          <w:spacing w:val="0"/>
          <w:sz w:val="28"/>
          <w:szCs w:val="28"/>
        </w:rPr>
      </w:pPr>
      <w:r>
        <w:rPr>
          <w:rFonts w:hint="eastAsia" w:ascii="宋体" w:hAnsi="宋体" w:eastAsia="宋体" w:cs="宋体"/>
          <w:bCs w:val="0"/>
          <w:spacing w:val="0"/>
          <w:sz w:val="28"/>
          <w:szCs w:val="28"/>
        </w:rPr>
        <w:t>（2）假设开发法</w:t>
      </w:r>
    </w:p>
    <w:p>
      <w:pPr>
        <w:pStyle w:val="3"/>
        <w:adjustRightInd/>
        <w:spacing w:beforeLines="50" w:afterLines="50" w:line="360" w:lineRule="auto"/>
        <w:ind w:firstLine="560" w:firstLineChars="200"/>
        <w:jc w:val="both"/>
        <w:rPr>
          <w:rFonts w:ascii="宋体" w:hAnsi="宋体" w:eastAsia="宋体" w:cs="宋体"/>
          <w:b w:val="0"/>
          <w:spacing w:val="0"/>
          <w:sz w:val="28"/>
          <w:szCs w:val="28"/>
        </w:rPr>
      </w:pPr>
      <w:r>
        <w:rPr>
          <w:rFonts w:hint="eastAsia" w:ascii="宋体" w:hAnsi="宋体" w:eastAsia="宋体" w:cs="宋体"/>
          <w:b w:val="0"/>
          <w:spacing w:val="0"/>
          <w:sz w:val="28"/>
          <w:szCs w:val="28"/>
        </w:rPr>
        <w:t>假设开发法适用于具有投资开发或再开发潜力的房地产估价。估价对象为已建成并且可交付使用的住宅用房，在价值时点符合最高最佳利用原则。相关规划许可已获得当地政府批准，不可能单独进行开发或再开发，因此不具有开发与再开发潜力。故也不选用假设开发法进行估价。</w:t>
      </w:r>
    </w:p>
    <w:p>
      <w:pPr>
        <w:pStyle w:val="3"/>
        <w:adjustRightInd/>
        <w:spacing w:beforeLines="50" w:afterLines="50" w:line="360" w:lineRule="auto"/>
        <w:ind w:firstLine="562" w:firstLineChars="200"/>
        <w:jc w:val="both"/>
        <w:rPr>
          <w:rFonts w:ascii="宋体" w:hAnsi="宋体" w:eastAsia="宋体" w:cs="宋体"/>
          <w:bCs w:val="0"/>
          <w:spacing w:val="0"/>
          <w:sz w:val="28"/>
          <w:szCs w:val="28"/>
        </w:rPr>
      </w:pPr>
      <w:r>
        <w:rPr>
          <w:rFonts w:hint="eastAsia" w:ascii="宋体" w:hAnsi="宋体" w:eastAsia="宋体" w:cs="宋体"/>
          <w:bCs w:val="0"/>
          <w:spacing w:val="0"/>
          <w:sz w:val="28"/>
          <w:szCs w:val="28"/>
        </w:rPr>
        <w:t>（3）收益法</w:t>
      </w:r>
    </w:p>
    <w:p>
      <w:pPr>
        <w:pStyle w:val="3"/>
        <w:adjustRightInd/>
        <w:spacing w:beforeLines="50" w:afterLines="50" w:line="360" w:lineRule="auto"/>
        <w:ind w:firstLine="560" w:firstLineChars="200"/>
        <w:jc w:val="both"/>
        <w:rPr>
          <w:rFonts w:ascii="宋体" w:hAnsi="宋体" w:eastAsia="宋体" w:cs="宋体"/>
          <w:b w:val="0"/>
          <w:spacing w:val="0"/>
          <w:sz w:val="28"/>
          <w:szCs w:val="28"/>
        </w:rPr>
      </w:pPr>
      <w:r>
        <w:rPr>
          <w:rFonts w:hint="eastAsia" w:ascii="宋体" w:hAnsi="宋体" w:eastAsia="宋体" w:cs="宋体"/>
          <w:b w:val="0"/>
          <w:spacing w:val="0"/>
          <w:sz w:val="28"/>
          <w:szCs w:val="28"/>
        </w:rPr>
        <w:t>收益法适用于具有收益性的房地产估价。估价对象为住宅用房，估价对象收益性较低，故不选用收益法进行估价。</w:t>
      </w:r>
    </w:p>
    <w:p>
      <w:pPr>
        <w:pStyle w:val="3"/>
        <w:adjustRightInd/>
        <w:spacing w:beforeLines="50" w:afterLines="50" w:line="360" w:lineRule="auto"/>
        <w:ind w:firstLine="562" w:firstLineChars="200"/>
        <w:jc w:val="both"/>
        <w:rPr>
          <w:rFonts w:ascii="宋体" w:hAnsi="宋体" w:eastAsia="宋体" w:cs="宋体"/>
          <w:bCs w:val="0"/>
          <w:spacing w:val="0"/>
          <w:sz w:val="28"/>
          <w:szCs w:val="28"/>
        </w:rPr>
      </w:pPr>
      <w:r>
        <w:rPr>
          <w:rFonts w:hint="eastAsia" w:ascii="宋体" w:hAnsi="宋体" w:eastAsia="宋体" w:cs="宋体"/>
          <w:bCs w:val="0"/>
          <w:spacing w:val="0"/>
          <w:sz w:val="28"/>
          <w:szCs w:val="28"/>
        </w:rPr>
        <w:t>3、估价方法说明</w:t>
      </w:r>
    </w:p>
    <w:p>
      <w:pPr>
        <w:pStyle w:val="3"/>
        <w:adjustRightInd/>
        <w:spacing w:beforeLines="50" w:afterLines="50" w:line="360" w:lineRule="auto"/>
        <w:ind w:firstLine="560" w:firstLineChars="200"/>
        <w:jc w:val="both"/>
        <w:rPr>
          <w:rFonts w:ascii="宋体" w:hAnsi="宋体" w:eastAsia="宋体" w:cs="宋体"/>
          <w:b w:val="0"/>
          <w:spacing w:val="0"/>
          <w:sz w:val="28"/>
          <w:szCs w:val="28"/>
        </w:rPr>
      </w:pPr>
      <w:r>
        <w:rPr>
          <w:rFonts w:hint="eastAsia" w:ascii="宋体" w:hAnsi="宋体" w:eastAsia="宋体" w:cs="宋体"/>
          <w:b w:val="0"/>
          <w:spacing w:val="0"/>
          <w:sz w:val="28"/>
          <w:szCs w:val="28"/>
        </w:rPr>
        <w:t>比较法，是选取一定数量的可比实例,将它们与估价对象进行比较，根据其间的差异对可比实例成交价格进行处理后得到估价对象价值或价格的方法。</w:t>
      </w:r>
    </w:p>
    <w:p>
      <w:pPr>
        <w:pStyle w:val="3"/>
        <w:adjustRightInd/>
        <w:spacing w:beforeLines="50" w:afterLines="50" w:line="360" w:lineRule="auto"/>
        <w:ind w:firstLine="560" w:firstLineChars="200"/>
        <w:jc w:val="both"/>
        <w:rPr>
          <w:rFonts w:ascii="宋体" w:hAnsi="宋体" w:eastAsia="宋体" w:cs="宋体"/>
          <w:b w:val="0"/>
          <w:spacing w:val="0"/>
          <w:sz w:val="28"/>
          <w:szCs w:val="28"/>
        </w:rPr>
      </w:pPr>
      <w:r>
        <w:rPr>
          <w:rFonts w:hint="eastAsia" w:ascii="宋体" w:hAnsi="宋体" w:eastAsia="宋体" w:cs="宋体"/>
          <w:b w:val="0"/>
          <w:spacing w:val="0"/>
          <w:sz w:val="28"/>
          <w:szCs w:val="28"/>
        </w:rPr>
        <w:t>比较法具体计算公式为：</w:t>
      </w:r>
    </w:p>
    <w:p>
      <w:pPr>
        <w:pStyle w:val="3"/>
        <w:adjustRightInd/>
        <w:spacing w:beforeLines="50" w:afterLines="50" w:line="360" w:lineRule="auto"/>
        <w:ind w:firstLine="560" w:firstLineChars="200"/>
        <w:jc w:val="both"/>
        <w:rPr>
          <w:rFonts w:ascii="宋体" w:hAnsi="宋体" w:eastAsia="宋体" w:cs="宋体"/>
          <w:b w:val="0"/>
          <w:spacing w:val="0"/>
          <w:sz w:val="28"/>
          <w:szCs w:val="28"/>
        </w:rPr>
      </w:pPr>
      <w:r>
        <w:rPr>
          <w:rFonts w:hint="eastAsia" w:ascii="宋体" w:hAnsi="宋体" w:eastAsia="宋体" w:cs="宋体"/>
          <w:b w:val="0"/>
          <w:spacing w:val="0"/>
          <w:sz w:val="28"/>
          <w:szCs w:val="28"/>
        </w:rPr>
        <w:t>估价对象价值＝可比实例价格×交易情况修正系数×交易日期修正系数×区位状况修正系数×实物状况修正系数×权益状况修正系数。</w:t>
      </w:r>
    </w:p>
    <w:p>
      <w:pPr>
        <w:pStyle w:val="3"/>
        <w:adjustRightInd/>
        <w:spacing w:beforeLines="50" w:afterLines="50" w:line="360" w:lineRule="auto"/>
        <w:ind w:firstLine="562" w:firstLineChars="200"/>
        <w:jc w:val="both"/>
        <w:rPr>
          <w:rFonts w:ascii="宋体" w:hAnsi="宋体" w:eastAsia="宋体"/>
          <w:spacing w:val="0"/>
          <w:sz w:val="28"/>
          <w:szCs w:val="28"/>
        </w:rPr>
      </w:pPr>
      <w:r>
        <w:rPr>
          <w:rFonts w:ascii="宋体" w:hAnsi="宋体" w:eastAsia="宋体"/>
          <w:spacing w:val="0"/>
          <w:sz w:val="28"/>
          <w:szCs w:val="28"/>
        </w:rPr>
        <w:t>十、估价结果</w:t>
      </w:r>
      <w:bookmarkEnd w:id="56"/>
      <w:bookmarkEnd w:id="57"/>
      <w:bookmarkEnd w:id="58"/>
      <w:bookmarkEnd w:id="59"/>
      <w:bookmarkEnd w:id="60"/>
      <w:bookmarkStart w:id="61" w:name="_Toc252558954"/>
    </w:p>
    <w:p>
      <w:pPr>
        <w:spacing w:line="360" w:lineRule="auto"/>
        <w:ind w:firstLine="560" w:firstLineChars="200"/>
        <w:rPr>
          <w:rFonts w:hAnsi="宋体"/>
          <w:b/>
          <w:szCs w:val="28"/>
        </w:rPr>
      </w:pPr>
      <w:bookmarkStart w:id="62" w:name="_Toc27149"/>
      <w:bookmarkStart w:id="63" w:name="_Toc440990686"/>
      <w:bookmarkStart w:id="64" w:name="_Toc6036"/>
      <w:bookmarkStart w:id="65" w:name="_Toc440992066"/>
      <w:r>
        <w:rPr>
          <w:rFonts w:hint="eastAsia" w:ascii="Times New Roman" w:hAnsi="Times New Roman" w:eastAsia="宋体" w:cs="Times New Roman"/>
          <w:kern w:val="2"/>
          <w:szCs w:val="28"/>
        </w:rPr>
        <w:t>本估价机构根据估价目的，遵循估价原则，采用科学合理的估价方法，在认真分析现有资料的基础上，经过测算，结合估价经验与对影响房地产市场价格因素进行分析，确定估价对象在符合报告中已说明的有关假设以及限制条件的基础上，</w:t>
      </w:r>
      <w:r>
        <w:rPr>
          <w:rFonts w:hint="eastAsia" w:hAnsi="宋体"/>
          <w:szCs w:val="28"/>
        </w:rPr>
        <w:t>确定估价对象于价值时点</w:t>
      </w:r>
      <w:r>
        <w:rPr>
          <w:rFonts w:hint="eastAsia" w:hAnsi="Calibri"/>
          <w:szCs w:val="28"/>
        </w:rPr>
        <w:t>2019年1月22日</w:t>
      </w:r>
      <w:r>
        <w:rPr>
          <w:rFonts w:hint="eastAsia" w:hAnsi="宋体"/>
          <w:szCs w:val="28"/>
        </w:rPr>
        <w:t>的市场价值为人民币</w:t>
      </w:r>
      <w:r>
        <w:rPr>
          <w:rFonts w:hint="eastAsia" w:hAnsi="宋体"/>
          <w:b/>
          <w:bCs/>
          <w:szCs w:val="28"/>
        </w:rPr>
        <w:t>（大写）：壹佰叁拾万零捌仟伍佰捌拾贰元整（￥1,308,582.00元），评估单价为9,016.00 元/平方米</w:t>
      </w:r>
      <w:r>
        <w:rPr>
          <w:rFonts w:hint="eastAsia" w:hAnsi="Calibri"/>
          <w:bCs/>
          <w:szCs w:val="28"/>
        </w:rPr>
        <w:t>。</w:t>
      </w:r>
    </w:p>
    <w:p>
      <w:pPr>
        <w:spacing w:line="360" w:lineRule="auto"/>
        <w:ind w:firstLine="562" w:firstLineChars="200"/>
        <w:rPr>
          <w:rFonts w:hAnsi="宋体" w:eastAsia="宋体"/>
          <w:b/>
          <w:szCs w:val="28"/>
        </w:rPr>
      </w:pPr>
      <w:r>
        <w:rPr>
          <w:rFonts w:hAnsi="宋体" w:eastAsia="宋体"/>
          <w:b/>
          <w:szCs w:val="28"/>
        </w:rPr>
        <w:t>十一、估价人员</w:t>
      </w:r>
      <w:bookmarkEnd w:id="61"/>
      <w:bookmarkEnd w:id="62"/>
      <w:bookmarkEnd w:id="63"/>
      <w:bookmarkEnd w:id="64"/>
      <w:bookmarkEnd w:id="65"/>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72"/>
        <w:gridCol w:w="2538"/>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exact"/>
        </w:trPr>
        <w:tc>
          <w:tcPr>
            <w:tcW w:w="1473" w:type="dxa"/>
            <w:tcBorders>
              <w:top w:val="single" w:color="auto" w:sz="12" w:space="0"/>
              <w:left w:val="single" w:color="auto" w:sz="12" w:space="0"/>
            </w:tcBorders>
            <w:vAlign w:val="center"/>
          </w:tcPr>
          <w:p>
            <w:pPr>
              <w:snapToGrid w:val="0"/>
              <w:jc w:val="center"/>
              <w:rPr>
                <w:szCs w:val="28"/>
              </w:rPr>
            </w:pPr>
            <w:bookmarkStart w:id="66" w:name="_Toc440990687"/>
            <w:bookmarkStart w:id="67" w:name="_Toc12400"/>
            <w:bookmarkStart w:id="68" w:name="_Toc440977514"/>
            <w:bookmarkStart w:id="69" w:name="_Toc32732"/>
            <w:bookmarkStart w:id="70" w:name="_Toc440980990"/>
            <w:bookmarkStart w:id="71" w:name="_Toc440992067"/>
            <w:bookmarkStart w:id="72" w:name="_Toc440980567"/>
            <w:r>
              <w:rPr>
                <w:szCs w:val="28"/>
              </w:rPr>
              <w:t>姓名</w:t>
            </w:r>
          </w:p>
        </w:tc>
        <w:tc>
          <w:tcPr>
            <w:tcW w:w="1872" w:type="dxa"/>
            <w:tcBorders>
              <w:top w:val="single" w:color="auto" w:sz="12" w:space="0"/>
            </w:tcBorders>
            <w:vAlign w:val="center"/>
          </w:tcPr>
          <w:p>
            <w:pPr>
              <w:snapToGrid w:val="0"/>
              <w:jc w:val="center"/>
              <w:rPr>
                <w:szCs w:val="28"/>
              </w:rPr>
            </w:pPr>
            <w:r>
              <w:rPr>
                <w:szCs w:val="28"/>
              </w:rPr>
              <w:t>注册号</w:t>
            </w:r>
          </w:p>
        </w:tc>
        <w:tc>
          <w:tcPr>
            <w:tcW w:w="2538" w:type="dxa"/>
            <w:tcBorders>
              <w:top w:val="single" w:color="auto" w:sz="12" w:space="0"/>
            </w:tcBorders>
            <w:vAlign w:val="center"/>
          </w:tcPr>
          <w:p>
            <w:pPr>
              <w:snapToGrid w:val="0"/>
              <w:jc w:val="center"/>
              <w:rPr>
                <w:szCs w:val="28"/>
              </w:rPr>
            </w:pPr>
            <w:r>
              <w:rPr>
                <w:szCs w:val="28"/>
              </w:rPr>
              <w:t>签名</w:t>
            </w:r>
          </w:p>
        </w:tc>
        <w:tc>
          <w:tcPr>
            <w:tcW w:w="2639" w:type="dxa"/>
            <w:tcBorders>
              <w:top w:val="single" w:color="auto" w:sz="12" w:space="0"/>
              <w:right w:val="single" w:color="auto" w:sz="12" w:space="0"/>
            </w:tcBorders>
            <w:vAlign w:val="center"/>
          </w:tcPr>
          <w:p>
            <w:pPr>
              <w:snapToGrid w:val="0"/>
              <w:jc w:val="center"/>
              <w:rPr>
                <w:szCs w:val="28"/>
              </w:rPr>
            </w:pPr>
            <w:r>
              <w:rPr>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exact"/>
        </w:trPr>
        <w:tc>
          <w:tcPr>
            <w:tcW w:w="1473" w:type="dxa"/>
            <w:tcBorders>
              <w:left w:val="single" w:color="auto" w:sz="12" w:space="0"/>
            </w:tcBorders>
            <w:vAlign w:val="center"/>
          </w:tcPr>
          <w:p>
            <w:pPr>
              <w:snapToGrid w:val="0"/>
              <w:jc w:val="center"/>
              <w:rPr>
                <w:szCs w:val="28"/>
              </w:rPr>
            </w:pPr>
            <w:r>
              <w:rPr>
                <w:rFonts w:hint="eastAsia"/>
                <w:szCs w:val="28"/>
              </w:rPr>
              <w:t>谢光明</w:t>
            </w:r>
          </w:p>
        </w:tc>
        <w:tc>
          <w:tcPr>
            <w:tcW w:w="1872" w:type="dxa"/>
            <w:vAlign w:val="center"/>
          </w:tcPr>
          <w:p>
            <w:pPr>
              <w:snapToGrid w:val="0"/>
              <w:jc w:val="center"/>
              <w:rPr>
                <w:szCs w:val="28"/>
              </w:rPr>
            </w:pPr>
            <w:r>
              <w:rPr>
                <w:snapToGrid w:val="0"/>
                <w:szCs w:val="28"/>
              </w:rPr>
              <w:t>52201</w:t>
            </w:r>
            <w:r>
              <w:rPr>
                <w:rFonts w:hint="eastAsia"/>
                <w:snapToGrid w:val="0"/>
                <w:szCs w:val="28"/>
              </w:rPr>
              <w:t>80018</w:t>
            </w:r>
          </w:p>
        </w:tc>
        <w:tc>
          <w:tcPr>
            <w:tcW w:w="2538" w:type="dxa"/>
            <w:vAlign w:val="center"/>
          </w:tcPr>
          <w:p>
            <w:pPr>
              <w:snapToGrid w:val="0"/>
              <w:jc w:val="center"/>
              <w:rPr>
                <w:szCs w:val="28"/>
              </w:rPr>
            </w:pPr>
          </w:p>
        </w:tc>
        <w:tc>
          <w:tcPr>
            <w:tcW w:w="2639" w:type="dxa"/>
            <w:tcBorders>
              <w:right w:val="single" w:color="auto" w:sz="12" w:space="0"/>
            </w:tcBorders>
            <w:vAlign w:val="center"/>
          </w:tcPr>
          <w:p>
            <w:pPr>
              <w:snapToGrid w:val="0"/>
              <w:rPr>
                <w:szCs w:val="28"/>
              </w:rPr>
            </w:pPr>
            <w:r>
              <w:rPr>
                <w:rFonts w:hint="eastAsia"/>
                <w:szCs w:val="28"/>
              </w:rPr>
              <w:t>2019年2月26日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exact"/>
        </w:trPr>
        <w:tc>
          <w:tcPr>
            <w:tcW w:w="1473" w:type="dxa"/>
            <w:tcBorders>
              <w:left w:val="single" w:color="auto" w:sz="12" w:space="0"/>
              <w:bottom w:val="single" w:color="auto" w:sz="12" w:space="0"/>
            </w:tcBorders>
            <w:vAlign w:val="center"/>
          </w:tcPr>
          <w:p>
            <w:pPr>
              <w:snapToGrid w:val="0"/>
              <w:jc w:val="center"/>
              <w:rPr>
                <w:szCs w:val="28"/>
              </w:rPr>
            </w:pPr>
            <w:r>
              <w:rPr>
                <w:color w:val="000000"/>
                <w:szCs w:val="28"/>
              </w:rPr>
              <w:t>张绍伙</w:t>
            </w:r>
          </w:p>
        </w:tc>
        <w:tc>
          <w:tcPr>
            <w:tcW w:w="1872" w:type="dxa"/>
            <w:tcBorders>
              <w:bottom w:val="single" w:color="auto" w:sz="12" w:space="0"/>
            </w:tcBorders>
            <w:vAlign w:val="center"/>
          </w:tcPr>
          <w:p>
            <w:pPr>
              <w:snapToGrid w:val="0"/>
              <w:jc w:val="center"/>
              <w:rPr>
                <w:szCs w:val="28"/>
              </w:rPr>
            </w:pPr>
            <w:r>
              <w:rPr>
                <w:snapToGrid w:val="0"/>
                <w:szCs w:val="28"/>
              </w:rPr>
              <w:t>5220100023</w:t>
            </w:r>
          </w:p>
        </w:tc>
        <w:tc>
          <w:tcPr>
            <w:tcW w:w="2538" w:type="dxa"/>
            <w:tcBorders>
              <w:bottom w:val="single" w:color="auto" w:sz="12" w:space="0"/>
            </w:tcBorders>
            <w:vAlign w:val="center"/>
          </w:tcPr>
          <w:p>
            <w:pPr>
              <w:snapToGrid w:val="0"/>
              <w:jc w:val="center"/>
              <w:rPr>
                <w:szCs w:val="28"/>
              </w:rPr>
            </w:pPr>
          </w:p>
        </w:tc>
        <w:tc>
          <w:tcPr>
            <w:tcW w:w="2639" w:type="dxa"/>
            <w:tcBorders>
              <w:bottom w:val="single" w:color="auto" w:sz="12" w:space="0"/>
              <w:right w:val="single" w:color="auto" w:sz="12" w:space="0"/>
            </w:tcBorders>
            <w:vAlign w:val="center"/>
          </w:tcPr>
          <w:p>
            <w:pPr>
              <w:snapToGrid w:val="0"/>
              <w:rPr>
                <w:szCs w:val="28"/>
              </w:rPr>
            </w:pPr>
            <w:r>
              <w:rPr>
                <w:rFonts w:hint="eastAsia"/>
                <w:szCs w:val="28"/>
              </w:rPr>
              <w:t>2019年2月26日</w:t>
            </w:r>
          </w:p>
        </w:tc>
      </w:tr>
    </w:tbl>
    <w:p>
      <w:pPr>
        <w:pStyle w:val="3"/>
        <w:adjustRightInd/>
        <w:spacing w:beforeLines="50" w:afterLines="50" w:line="360" w:lineRule="auto"/>
        <w:ind w:firstLine="562" w:firstLineChars="200"/>
        <w:jc w:val="both"/>
        <w:rPr>
          <w:rFonts w:ascii="宋体" w:hAnsi="宋体" w:eastAsia="宋体"/>
          <w:spacing w:val="0"/>
          <w:sz w:val="28"/>
          <w:szCs w:val="28"/>
        </w:rPr>
      </w:pPr>
      <w:bookmarkStart w:id="73" w:name="_Toc13890"/>
      <w:r>
        <w:rPr>
          <w:rFonts w:ascii="宋体" w:hAnsi="宋体" w:eastAsia="宋体"/>
          <w:spacing w:val="0"/>
          <w:sz w:val="28"/>
          <w:szCs w:val="28"/>
        </w:rPr>
        <w:t>十二、</w:t>
      </w:r>
      <w:r>
        <w:rPr>
          <w:rFonts w:hint="eastAsia" w:ascii="宋体" w:hAnsi="宋体" w:eastAsia="宋体"/>
          <w:spacing w:val="0"/>
          <w:sz w:val="28"/>
          <w:szCs w:val="28"/>
        </w:rPr>
        <w:t>实地查勘</w:t>
      </w:r>
      <w:r>
        <w:rPr>
          <w:rFonts w:ascii="宋体" w:hAnsi="宋体" w:eastAsia="宋体"/>
          <w:spacing w:val="0"/>
          <w:sz w:val="28"/>
          <w:szCs w:val="28"/>
        </w:rPr>
        <w:t>期</w:t>
      </w:r>
      <w:bookmarkEnd w:id="66"/>
      <w:bookmarkEnd w:id="67"/>
      <w:bookmarkEnd w:id="68"/>
      <w:bookmarkEnd w:id="69"/>
      <w:bookmarkEnd w:id="70"/>
      <w:bookmarkEnd w:id="71"/>
      <w:bookmarkEnd w:id="72"/>
      <w:bookmarkEnd w:id="73"/>
    </w:p>
    <w:p>
      <w:pPr>
        <w:pStyle w:val="4"/>
        <w:spacing w:line="360" w:lineRule="auto"/>
        <w:ind w:firstLine="560"/>
        <w:rPr>
          <w:szCs w:val="28"/>
        </w:rPr>
      </w:pPr>
      <w:r>
        <w:rPr>
          <w:rFonts w:hint="eastAsia"/>
          <w:szCs w:val="28"/>
        </w:rPr>
        <w:t>2019年1月28日至2019年1月28日</w:t>
      </w:r>
    </w:p>
    <w:p>
      <w:pPr>
        <w:pStyle w:val="3"/>
        <w:adjustRightInd/>
        <w:spacing w:beforeLines="50" w:afterLines="50" w:line="360" w:lineRule="auto"/>
        <w:ind w:firstLine="562" w:firstLineChars="200"/>
        <w:jc w:val="both"/>
        <w:rPr>
          <w:rFonts w:ascii="宋体" w:hAnsi="宋体" w:eastAsia="宋体"/>
          <w:spacing w:val="0"/>
          <w:sz w:val="28"/>
          <w:szCs w:val="28"/>
        </w:rPr>
      </w:pPr>
      <w:bookmarkStart w:id="74" w:name="_Toc440990688"/>
      <w:bookmarkStart w:id="75" w:name="_Toc440992068"/>
      <w:bookmarkStart w:id="76" w:name="_Toc23116"/>
      <w:bookmarkStart w:id="77" w:name="_Toc8617"/>
      <w:bookmarkStart w:id="78" w:name="_Toc13936"/>
      <w:r>
        <w:rPr>
          <w:rFonts w:ascii="宋体" w:hAnsi="宋体" w:eastAsia="宋体"/>
          <w:spacing w:val="0"/>
          <w:sz w:val="28"/>
          <w:szCs w:val="28"/>
        </w:rPr>
        <w:t>十</w:t>
      </w:r>
      <w:r>
        <w:rPr>
          <w:rFonts w:hint="eastAsia" w:ascii="宋体" w:hAnsi="宋体" w:eastAsia="宋体"/>
          <w:spacing w:val="0"/>
          <w:sz w:val="28"/>
          <w:szCs w:val="28"/>
        </w:rPr>
        <w:t>三</w:t>
      </w:r>
      <w:r>
        <w:rPr>
          <w:rFonts w:ascii="宋体" w:hAnsi="宋体" w:eastAsia="宋体"/>
          <w:spacing w:val="0"/>
          <w:sz w:val="28"/>
          <w:szCs w:val="28"/>
        </w:rPr>
        <w:t>、估价作业期</w:t>
      </w:r>
      <w:bookmarkEnd w:id="74"/>
      <w:bookmarkEnd w:id="75"/>
      <w:bookmarkEnd w:id="76"/>
      <w:bookmarkEnd w:id="77"/>
      <w:bookmarkEnd w:id="78"/>
    </w:p>
    <w:p>
      <w:pPr>
        <w:spacing w:line="360" w:lineRule="auto"/>
        <w:ind w:firstLine="560" w:firstLineChars="200"/>
        <w:rPr>
          <w:rFonts w:hAnsi="宋体"/>
          <w:szCs w:val="28"/>
        </w:rPr>
      </w:pPr>
      <w:r>
        <w:rPr>
          <w:rFonts w:hint="eastAsia"/>
          <w:szCs w:val="28"/>
        </w:rPr>
        <w:t>2019年1月28日</w:t>
      </w:r>
      <w:r>
        <w:rPr>
          <w:rFonts w:hAnsi="宋体"/>
          <w:szCs w:val="28"/>
        </w:rPr>
        <w:t>至</w:t>
      </w:r>
      <w:r>
        <w:rPr>
          <w:rFonts w:hint="eastAsia"/>
          <w:szCs w:val="28"/>
          <w:highlight w:val="none"/>
        </w:rPr>
        <w:t>2019年2月26日</w:t>
      </w:r>
      <w:r>
        <w:rPr>
          <w:rFonts w:hAnsi="宋体"/>
          <w:szCs w:val="28"/>
          <w:highlight w:val="none"/>
        </w:rPr>
        <w:t>。</w:t>
      </w:r>
    </w:p>
    <w:p>
      <w:pPr>
        <w:spacing w:line="360" w:lineRule="auto"/>
        <w:ind w:firstLine="560" w:firstLineChars="200"/>
        <w:rPr>
          <w:szCs w:val="28"/>
        </w:rPr>
      </w:pPr>
    </w:p>
    <w:p>
      <w:pPr>
        <w:pStyle w:val="9"/>
        <w:adjustRightInd/>
        <w:spacing w:line="360" w:lineRule="auto"/>
        <w:ind w:left="0" w:leftChars="0" w:firstLine="200"/>
        <w:jc w:val="right"/>
        <w:rPr>
          <w:rFonts w:ascii="宋体" w:hAnsi="宋体" w:eastAsia="宋体"/>
          <w:spacing w:val="0"/>
          <w:szCs w:val="28"/>
        </w:rPr>
      </w:pPr>
      <w:r>
        <w:rPr>
          <w:rFonts w:ascii="宋体" w:hAnsi="宋体" w:eastAsia="宋体"/>
          <w:spacing w:val="0"/>
          <w:szCs w:val="28"/>
        </w:rPr>
        <w:t xml:space="preserve">贵州瑞华亚太房地产土地评估有限公司 </w:t>
      </w:r>
    </w:p>
    <w:p>
      <w:pPr>
        <w:ind w:firstLine="4480" w:firstLineChars="1600"/>
        <w:rPr>
          <w:rFonts w:hAnsi="宋体"/>
          <w:b/>
          <w:bCs/>
          <w:szCs w:val="28"/>
        </w:rPr>
      </w:pPr>
      <w:r>
        <w:rPr>
          <w:rFonts w:hint="eastAsia" w:hAnsi="宋体" w:eastAsia="宋体"/>
          <w:szCs w:val="28"/>
        </w:rPr>
        <w:t>二○一九年二月</w:t>
      </w:r>
      <w:r>
        <w:rPr>
          <w:rFonts w:hint="eastAsia" w:hAnsi="宋体" w:eastAsia="宋体"/>
          <w:szCs w:val="28"/>
          <w:lang w:val="en-US" w:eastAsia="zh-CN"/>
        </w:rPr>
        <w:t>二</w:t>
      </w:r>
      <w:r>
        <w:rPr>
          <w:rFonts w:hint="eastAsia" w:hAnsi="宋体" w:eastAsia="宋体"/>
          <w:szCs w:val="28"/>
        </w:rPr>
        <w:t>十六日</w:t>
      </w:r>
    </w:p>
    <w:sectPr>
      <w:footerReference r:id="rId1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 xml:space="preserve">                                         第2页 共2页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4320" w:firstLineChars="24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52" o:spid="_x0000_s2052"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path/>
          <v:fill on="f" focussize="0,0"/>
          <v:stroke on="f" weight="0.5pt" joinstyle="miter"/>
          <v:imagedata o:title=""/>
          <o:lock v:ext="edit"/>
          <v:textbox inset="0mm,0mm,0mm,0mm" style="mso-fit-shape-to-text:t;">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2 页</w:t>
                </w:r>
              </w:p>
            </w:txbxContent>
          </v:textbox>
        </v:shape>
      </w:pict>
    </w: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4320" w:firstLineChars="2400"/>
    </w:pPr>
    <w:r>
      <w:pict>
        <v:shape id="_x0000_s2053" o:spid="_x0000_s2053"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path/>
          <v:fill on="f" focussize="0,0"/>
          <v:stroke on="f" weight="0.5pt" joinstyle="miter"/>
          <v:imagedata o:title=""/>
          <o:lock v:ext="edit"/>
          <v:textbox inset="0mm,0mm,0mm,0mm" style="mso-fit-shape-to-text:t;">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2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50" o:spid="_x0000_s2050"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path/>
          <v:fill on="f" focussize="0,0"/>
          <v:stroke on="f" weight="0.5pt" joinstyle="miter"/>
          <v:imagedata o:title=""/>
          <o:lock v:ext="edit"/>
          <v:textbox inset="0mm,0mm,0mm,0mm" style="mso-fit-shape-to-text:t;">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22</w:t>
                </w:r>
                <w:r>
                  <w:rPr>
                    <w:rFonts w:hint="eastAsia"/>
                  </w:rPr>
                  <w:fldChar w:fldCharType="end"/>
                </w:r>
                <w:r>
                  <w:rPr>
                    <w:rFonts w:hint="eastAsia"/>
                  </w:rPr>
                  <w:t xml:space="preserve"> 页</w:t>
                </w:r>
              </w:p>
            </w:txbxContent>
          </v:textbox>
        </v:shape>
      </w:pict>
    </w:r>
    <w:r>
      <w:rPr>
        <w:rFonts w:hint="eastAsia"/>
      </w:rPr>
      <w:t xml:space="preserve">                                         第2页 共2页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4320" w:firstLineChars="2400"/>
    </w:pPr>
    <w:r>
      <w:pict>
        <v:shape id="_x0000_s2051" o:spid="_x0000_s2051"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path/>
          <v:fill on="f" focussize="0,0"/>
          <v:stroke on="f" weight="0.5pt" joinstyle="miter"/>
          <v:imagedata o:title=""/>
          <o:lock v:ext="edit"/>
          <v:textbox inset="0mm,0mm,0mm,0mm" style="mso-fit-shape-to-text:t;">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14 页</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shape id="_x0000_s2049" o:spid="_x0000_s2049"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path/>
          <v:fill on="f" focussize="0,0"/>
          <v:stroke on="f" weight="0.5pt" joinstyle="miter"/>
          <v:imagedata o:title=""/>
          <o:lock v:ext="edit"/>
          <v:textbox inset="0mm,0mm,0mm,0mm" style="mso-fit-shape-to-text:t;">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r>
                  <w:rPr>
                    <w:rFonts w:hint="eastAsia"/>
                  </w:rPr>
                  <w:t xml:space="preserve"> 页 共 14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【贵州瑞华亚太房地产土地评估有限公司】                                 【房地产估价报告】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【贵州瑞华亚太房地产土地评估有限公司】                                           【房地产估价报告】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D0431"/>
    <w:multiLevelType w:val="singleLevel"/>
    <w:tmpl w:val="7C0D043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03E338B"/>
    <w:rsid w:val="00003261"/>
    <w:rsid w:val="00012E1F"/>
    <w:rsid w:val="00020FCE"/>
    <w:rsid w:val="0002733F"/>
    <w:rsid w:val="00027F99"/>
    <w:rsid w:val="00041369"/>
    <w:rsid w:val="0005781E"/>
    <w:rsid w:val="00065942"/>
    <w:rsid w:val="000830CB"/>
    <w:rsid w:val="000A6D35"/>
    <w:rsid w:val="000B4DC7"/>
    <w:rsid w:val="000B5374"/>
    <w:rsid w:val="000C0F9F"/>
    <w:rsid w:val="000D02EA"/>
    <w:rsid w:val="000E144F"/>
    <w:rsid w:val="000E497B"/>
    <w:rsid w:val="00102DDB"/>
    <w:rsid w:val="00115825"/>
    <w:rsid w:val="00115BB7"/>
    <w:rsid w:val="00126195"/>
    <w:rsid w:val="001471F8"/>
    <w:rsid w:val="0017241A"/>
    <w:rsid w:val="00185FA8"/>
    <w:rsid w:val="00193F4C"/>
    <w:rsid w:val="001B357C"/>
    <w:rsid w:val="001B4BAA"/>
    <w:rsid w:val="001C4D5C"/>
    <w:rsid w:val="001D1894"/>
    <w:rsid w:val="001D1B5C"/>
    <w:rsid w:val="001D76B3"/>
    <w:rsid w:val="001E2545"/>
    <w:rsid w:val="001F6966"/>
    <w:rsid w:val="00207316"/>
    <w:rsid w:val="0021136E"/>
    <w:rsid w:val="002142E7"/>
    <w:rsid w:val="002234FC"/>
    <w:rsid w:val="00237C15"/>
    <w:rsid w:val="002421BC"/>
    <w:rsid w:val="00242F3A"/>
    <w:rsid w:val="002609F1"/>
    <w:rsid w:val="002636F3"/>
    <w:rsid w:val="002747E6"/>
    <w:rsid w:val="002C2BD6"/>
    <w:rsid w:val="002D5F1A"/>
    <w:rsid w:val="002D6DCC"/>
    <w:rsid w:val="002F5237"/>
    <w:rsid w:val="00304F0F"/>
    <w:rsid w:val="0031798B"/>
    <w:rsid w:val="00337E2B"/>
    <w:rsid w:val="00362362"/>
    <w:rsid w:val="00375B2A"/>
    <w:rsid w:val="003972E2"/>
    <w:rsid w:val="003A420B"/>
    <w:rsid w:val="003D1F87"/>
    <w:rsid w:val="00422389"/>
    <w:rsid w:val="00454B32"/>
    <w:rsid w:val="00456F4B"/>
    <w:rsid w:val="00460CFD"/>
    <w:rsid w:val="00466F52"/>
    <w:rsid w:val="00472BCE"/>
    <w:rsid w:val="0047515F"/>
    <w:rsid w:val="0048164E"/>
    <w:rsid w:val="00484B91"/>
    <w:rsid w:val="00485E51"/>
    <w:rsid w:val="004C5A01"/>
    <w:rsid w:val="004D1DD7"/>
    <w:rsid w:val="004E555A"/>
    <w:rsid w:val="0050222C"/>
    <w:rsid w:val="005078C0"/>
    <w:rsid w:val="00535A04"/>
    <w:rsid w:val="00537268"/>
    <w:rsid w:val="00552686"/>
    <w:rsid w:val="00553789"/>
    <w:rsid w:val="00565480"/>
    <w:rsid w:val="005772D4"/>
    <w:rsid w:val="00584D62"/>
    <w:rsid w:val="00594010"/>
    <w:rsid w:val="005C270E"/>
    <w:rsid w:val="005F0D92"/>
    <w:rsid w:val="00614AAD"/>
    <w:rsid w:val="006320BD"/>
    <w:rsid w:val="00647CEB"/>
    <w:rsid w:val="00670584"/>
    <w:rsid w:val="006839CF"/>
    <w:rsid w:val="006902A4"/>
    <w:rsid w:val="00692864"/>
    <w:rsid w:val="00693C69"/>
    <w:rsid w:val="006A0CDC"/>
    <w:rsid w:val="006B0DAF"/>
    <w:rsid w:val="006C7B07"/>
    <w:rsid w:val="006D0A6B"/>
    <w:rsid w:val="006E737D"/>
    <w:rsid w:val="00713AE3"/>
    <w:rsid w:val="00716C6B"/>
    <w:rsid w:val="0074422B"/>
    <w:rsid w:val="00751FD2"/>
    <w:rsid w:val="00761B84"/>
    <w:rsid w:val="00764CCE"/>
    <w:rsid w:val="00767EE4"/>
    <w:rsid w:val="0078195D"/>
    <w:rsid w:val="00786E60"/>
    <w:rsid w:val="00795EDD"/>
    <w:rsid w:val="007B1A28"/>
    <w:rsid w:val="007B30C7"/>
    <w:rsid w:val="007B32EB"/>
    <w:rsid w:val="007C10C3"/>
    <w:rsid w:val="007C376A"/>
    <w:rsid w:val="007D11AA"/>
    <w:rsid w:val="008005D5"/>
    <w:rsid w:val="00802D5D"/>
    <w:rsid w:val="00803B1D"/>
    <w:rsid w:val="008064A4"/>
    <w:rsid w:val="00813088"/>
    <w:rsid w:val="008143F6"/>
    <w:rsid w:val="00855825"/>
    <w:rsid w:val="008568D2"/>
    <w:rsid w:val="00857384"/>
    <w:rsid w:val="00881D50"/>
    <w:rsid w:val="00893A09"/>
    <w:rsid w:val="008C6BD1"/>
    <w:rsid w:val="008D00CA"/>
    <w:rsid w:val="008D3E56"/>
    <w:rsid w:val="008F5D66"/>
    <w:rsid w:val="0091445F"/>
    <w:rsid w:val="00917E0E"/>
    <w:rsid w:val="00927E0E"/>
    <w:rsid w:val="009312B6"/>
    <w:rsid w:val="009448D6"/>
    <w:rsid w:val="009C01D4"/>
    <w:rsid w:val="009C52AE"/>
    <w:rsid w:val="009C667B"/>
    <w:rsid w:val="009C7E56"/>
    <w:rsid w:val="009D36CD"/>
    <w:rsid w:val="009E45C5"/>
    <w:rsid w:val="009F5599"/>
    <w:rsid w:val="00A162BB"/>
    <w:rsid w:val="00A26393"/>
    <w:rsid w:val="00A37845"/>
    <w:rsid w:val="00A51329"/>
    <w:rsid w:val="00A56883"/>
    <w:rsid w:val="00A75A04"/>
    <w:rsid w:val="00AA3416"/>
    <w:rsid w:val="00AD189D"/>
    <w:rsid w:val="00AD4E73"/>
    <w:rsid w:val="00AE19E3"/>
    <w:rsid w:val="00AE5C26"/>
    <w:rsid w:val="00B0368B"/>
    <w:rsid w:val="00B21D61"/>
    <w:rsid w:val="00B3622A"/>
    <w:rsid w:val="00B3720E"/>
    <w:rsid w:val="00B87C26"/>
    <w:rsid w:val="00BB1E9A"/>
    <w:rsid w:val="00BD7526"/>
    <w:rsid w:val="00BE6D9E"/>
    <w:rsid w:val="00C050F3"/>
    <w:rsid w:val="00C34387"/>
    <w:rsid w:val="00C34EB2"/>
    <w:rsid w:val="00C42675"/>
    <w:rsid w:val="00C4717C"/>
    <w:rsid w:val="00CA22E1"/>
    <w:rsid w:val="00CA3894"/>
    <w:rsid w:val="00CA7570"/>
    <w:rsid w:val="00CB4529"/>
    <w:rsid w:val="00CC2B9A"/>
    <w:rsid w:val="00CD5C86"/>
    <w:rsid w:val="00CF40A2"/>
    <w:rsid w:val="00D11844"/>
    <w:rsid w:val="00D13D3D"/>
    <w:rsid w:val="00D22563"/>
    <w:rsid w:val="00D427DE"/>
    <w:rsid w:val="00D5190E"/>
    <w:rsid w:val="00D619BB"/>
    <w:rsid w:val="00D6393A"/>
    <w:rsid w:val="00D662B3"/>
    <w:rsid w:val="00D73C86"/>
    <w:rsid w:val="00D9452C"/>
    <w:rsid w:val="00DA0937"/>
    <w:rsid w:val="00DC562C"/>
    <w:rsid w:val="00DC5706"/>
    <w:rsid w:val="00DC7F32"/>
    <w:rsid w:val="00DD5F10"/>
    <w:rsid w:val="00DE2A17"/>
    <w:rsid w:val="00E04FF5"/>
    <w:rsid w:val="00E06B22"/>
    <w:rsid w:val="00E169E1"/>
    <w:rsid w:val="00E37744"/>
    <w:rsid w:val="00E526D5"/>
    <w:rsid w:val="00E62DA1"/>
    <w:rsid w:val="00E77920"/>
    <w:rsid w:val="00E917C5"/>
    <w:rsid w:val="00E93A9D"/>
    <w:rsid w:val="00EA34D3"/>
    <w:rsid w:val="00EB0B0F"/>
    <w:rsid w:val="00EC00AF"/>
    <w:rsid w:val="00EC542B"/>
    <w:rsid w:val="00ED2197"/>
    <w:rsid w:val="00ED2204"/>
    <w:rsid w:val="00EF5034"/>
    <w:rsid w:val="00F02E07"/>
    <w:rsid w:val="00F0325E"/>
    <w:rsid w:val="00F14FAB"/>
    <w:rsid w:val="00F22B8E"/>
    <w:rsid w:val="00F37F6F"/>
    <w:rsid w:val="00F470FA"/>
    <w:rsid w:val="00F76E47"/>
    <w:rsid w:val="00F969BB"/>
    <w:rsid w:val="00FA2E2B"/>
    <w:rsid w:val="00FB2CAE"/>
    <w:rsid w:val="00FC06C1"/>
    <w:rsid w:val="01105D2F"/>
    <w:rsid w:val="01B8626C"/>
    <w:rsid w:val="01D9222D"/>
    <w:rsid w:val="02025D76"/>
    <w:rsid w:val="02C939FF"/>
    <w:rsid w:val="033332BC"/>
    <w:rsid w:val="03DD3869"/>
    <w:rsid w:val="045452FF"/>
    <w:rsid w:val="045B0617"/>
    <w:rsid w:val="045F11A2"/>
    <w:rsid w:val="046A7128"/>
    <w:rsid w:val="04827FB9"/>
    <w:rsid w:val="0483198B"/>
    <w:rsid w:val="054F2DC6"/>
    <w:rsid w:val="05B837B0"/>
    <w:rsid w:val="05D72384"/>
    <w:rsid w:val="0649438D"/>
    <w:rsid w:val="066740F1"/>
    <w:rsid w:val="067514EE"/>
    <w:rsid w:val="07006AE6"/>
    <w:rsid w:val="08720C07"/>
    <w:rsid w:val="08A80EE8"/>
    <w:rsid w:val="093C7A50"/>
    <w:rsid w:val="094073CE"/>
    <w:rsid w:val="09D40E25"/>
    <w:rsid w:val="0A714182"/>
    <w:rsid w:val="0ADB2E3F"/>
    <w:rsid w:val="0C660ED9"/>
    <w:rsid w:val="0C9F176E"/>
    <w:rsid w:val="0D076A4A"/>
    <w:rsid w:val="0D2437CB"/>
    <w:rsid w:val="0DF029C3"/>
    <w:rsid w:val="0DFB4219"/>
    <w:rsid w:val="0E0421A9"/>
    <w:rsid w:val="0E8247CD"/>
    <w:rsid w:val="0F2B066F"/>
    <w:rsid w:val="102E2A36"/>
    <w:rsid w:val="12C8598D"/>
    <w:rsid w:val="1323622C"/>
    <w:rsid w:val="133F5971"/>
    <w:rsid w:val="143B269B"/>
    <w:rsid w:val="14F84B24"/>
    <w:rsid w:val="15295F0F"/>
    <w:rsid w:val="156D7089"/>
    <w:rsid w:val="15DD5088"/>
    <w:rsid w:val="16047D98"/>
    <w:rsid w:val="163160BD"/>
    <w:rsid w:val="163D7C6C"/>
    <w:rsid w:val="16EB2591"/>
    <w:rsid w:val="17713B34"/>
    <w:rsid w:val="18A36726"/>
    <w:rsid w:val="18C14EB6"/>
    <w:rsid w:val="19102B48"/>
    <w:rsid w:val="191345E4"/>
    <w:rsid w:val="19873650"/>
    <w:rsid w:val="1A260FB7"/>
    <w:rsid w:val="1A2B0D13"/>
    <w:rsid w:val="1A485E2E"/>
    <w:rsid w:val="1A546AF9"/>
    <w:rsid w:val="1B077073"/>
    <w:rsid w:val="1B55309C"/>
    <w:rsid w:val="1BA659CE"/>
    <w:rsid w:val="1BDA0A77"/>
    <w:rsid w:val="1BFE6A15"/>
    <w:rsid w:val="1CA965B7"/>
    <w:rsid w:val="1CAF59BF"/>
    <w:rsid w:val="1CE906D9"/>
    <w:rsid w:val="1D1051EB"/>
    <w:rsid w:val="1D85261F"/>
    <w:rsid w:val="1DEB38DA"/>
    <w:rsid w:val="1E537224"/>
    <w:rsid w:val="1FA53772"/>
    <w:rsid w:val="203E338B"/>
    <w:rsid w:val="212124CD"/>
    <w:rsid w:val="216F59FD"/>
    <w:rsid w:val="21C22B5C"/>
    <w:rsid w:val="21DB455F"/>
    <w:rsid w:val="22603678"/>
    <w:rsid w:val="22C53104"/>
    <w:rsid w:val="22DF41AA"/>
    <w:rsid w:val="22E1649F"/>
    <w:rsid w:val="22FD4292"/>
    <w:rsid w:val="23327B80"/>
    <w:rsid w:val="234B5934"/>
    <w:rsid w:val="24217AAD"/>
    <w:rsid w:val="24DE547D"/>
    <w:rsid w:val="260207AC"/>
    <w:rsid w:val="260E735F"/>
    <w:rsid w:val="26182B0C"/>
    <w:rsid w:val="2641633D"/>
    <w:rsid w:val="265B7B46"/>
    <w:rsid w:val="26CD6B3F"/>
    <w:rsid w:val="27A803F9"/>
    <w:rsid w:val="27AD25A9"/>
    <w:rsid w:val="27DA3DA5"/>
    <w:rsid w:val="29E05F65"/>
    <w:rsid w:val="2A2F107B"/>
    <w:rsid w:val="2A3331A8"/>
    <w:rsid w:val="2AC52C8E"/>
    <w:rsid w:val="2B294E40"/>
    <w:rsid w:val="2B4D636C"/>
    <w:rsid w:val="2B763BC8"/>
    <w:rsid w:val="2BB657E7"/>
    <w:rsid w:val="2C352496"/>
    <w:rsid w:val="2C8E23BC"/>
    <w:rsid w:val="2C9E0AF7"/>
    <w:rsid w:val="2CD0383E"/>
    <w:rsid w:val="2D2C6046"/>
    <w:rsid w:val="2DB61775"/>
    <w:rsid w:val="2DD0300F"/>
    <w:rsid w:val="2DF1520B"/>
    <w:rsid w:val="2DFC751E"/>
    <w:rsid w:val="2E586356"/>
    <w:rsid w:val="2E662700"/>
    <w:rsid w:val="2EC31D91"/>
    <w:rsid w:val="2EEC60B6"/>
    <w:rsid w:val="2F056837"/>
    <w:rsid w:val="2F9C5E2E"/>
    <w:rsid w:val="2FF24A28"/>
    <w:rsid w:val="2FF702CE"/>
    <w:rsid w:val="31342837"/>
    <w:rsid w:val="31AD7CF0"/>
    <w:rsid w:val="31C15CDB"/>
    <w:rsid w:val="323D1CA2"/>
    <w:rsid w:val="326078C9"/>
    <w:rsid w:val="32CB4E3F"/>
    <w:rsid w:val="332B6EAE"/>
    <w:rsid w:val="337F464F"/>
    <w:rsid w:val="33A5083D"/>
    <w:rsid w:val="33DD7529"/>
    <w:rsid w:val="34346671"/>
    <w:rsid w:val="34D1340F"/>
    <w:rsid w:val="350A1100"/>
    <w:rsid w:val="35665FA1"/>
    <w:rsid w:val="35A42783"/>
    <w:rsid w:val="3628749E"/>
    <w:rsid w:val="36345F35"/>
    <w:rsid w:val="366B16AB"/>
    <w:rsid w:val="37734FF1"/>
    <w:rsid w:val="384A436F"/>
    <w:rsid w:val="387F56F3"/>
    <w:rsid w:val="38841490"/>
    <w:rsid w:val="38B05153"/>
    <w:rsid w:val="395A148C"/>
    <w:rsid w:val="3A144A31"/>
    <w:rsid w:val="3ABD4178"/>
    <w:rsid w:val="3AE14B49"/>
    <w:rsid w:val="3B0D2503"/>
    <w:rsid w:val="3CF12A45"/>
    <w:rsid w:val="3CFE0E05"/>
    <w:rsid w:val="3D9321F2"/>
    <w:rsid w:val="3DF47FD6"/>
    <w:rsid w:val="401E6A8D"/>
    <w:rsid w:val="406420B8"/>
    <w:rsid w:val="40A55698"/>
    <w:rsid w:val="40D727E6"/>
    <w:rsid w:val="42530E0F"/>
    <w:rsid w:val="42961224"/>
    <w:rsid w:val="43172726"/>
    <w:rsid w:val="432154A3"/>
    <w:rsid w:val="43E114D6"/>
    <w:rsid w:val="440C6791"/>
    <w:rsid w:val="448D2036"/>
    <w:rsid w:val="461D1547"/>
    <w:rsid w:val="464B3264"/>
    <w:rsid w:val="4678522D"/>
    <w:rsid w:val="47323494"/>
    <w:rsid w:val="47555288"/>
    <w:rsid w:val="47855705"/>
    <w:rsid w:val="47A2303F"/>
    <w:rsid w:val="47D10E5E"/>
    <w:rsid w:val="48ED5346"/>
    <w:rsid w:val="49256FF7"/>
    <w:rsid w:val="49870152"/>
    <w:rsid w:val="49C050CC"/>
    <w:rsid w:val="49DA7F06"/>
    <w:rsid w:val="4A06406B"/>
    <w:rsid w:val="4A2567F0"/>
    <w:rsid w:val="4A5B6E2D"/>
    <w:rsid w:val="4A93302D"/>
    <w:rsid w:val="4ADB19B2"/>
    <w:rsid w:val="4B445FDC"/>
    <w:rsid w:val="4B853AD8"/>
    <w:rsid w:val="4C0B4AF1"/>
    <w:rsid w:val="4C5E15CB"/>
    <w:rsid w:val="4C8269C7"/>
    <w:rsid w:val="4CCD5A11"/>
    <w:rsid w:val="4D627FF4"/>
    <w:rsid w:val="4E537A61"/>
    <w:rsid w:val="4EA12B37"/>
    <w:rsid w:val="4EE954AB"/>
    <w:rsid w:val="4F2E43D9"/>
    <w:rsid w:val="4F3D28C7"/>
    <w:rsid w:val="502E4A62"/>
    <w:rsid w:val="506C036A"/>
    <w:rsid w:val="50904C95"/>
    <w:rsid w:val="51417317"/>
    <w:rsid w:val="5147020F"/>
    <w:rsid w:val="519D2F76"/>
    <w:rsid w:val="51C2484B"/>
    <w:rsid w:val="520B4714"/>
    <w:rsid w:val="531A78DC"/>
    <w:rsid w:val="534B333B"/>
    <w:rsid w:val="53A44F69"/>
    <w:rsid w:val="53EB0066"/>
    <w:rsid w:val="542F7D24"/>
    <w:rsid w:val="543874BE"/>
    <w:rsid w:val="54896814"/>
    <w:rsid w:val="549D42C8"/>
    <w:rsid w:val="55E25B4D"/>
    <w:rsid w:val="56C47FD0"/>
    <w:rsid w:val="57623786"/>
    <w:rsid w:val="57721920"/>
    <w:rsid w:val="578E269D"/>
    <w:rsid w:val="580E740B"/>
    <w:rsid w:val="585069BB"/>
    <w:rsid w:val="59211F6B"/>
    <w:rsid w:val="593E290D"/>
    <w:rsid w:val="595C3AD6"/>
    <w:rsid w:val="59D01FE2"/>
    <w:rsid w:val="59D67844"/>
    <w:rsid w:val="5A1222DF"/>
    <w:rsid w:val="5A3735FE"/>
    <w:rsid w:val="5AC82942"/>
    <w:rsid w:val="5AD21F65"/>
    <w:rsid w:val="5B3162E9"/>
    <w:rsid w:val="5BF93B1E"/>
    <w:rsid w:val="5C7D760E"/>
    <w:rsid w:val="5C843E48"/>
    <w:rsid w:val="5CBE509C"/>
    <w:rsid w:val="5CDA66AC"/>
    <w:rsid w:val="5DB0741B"/>
    <w:rsid w:val="5E7E55F0"/>
    <w:rsid w:val="5E8C517B"/>
    <w:rsid w:val="5EA20770"/>
    <w:rsid w:val="5F1F383F"/>
    <w:rsid w:val="5FC52ADE"/>
    <w:rsid w:val="5FC969EE"/>
    <w:rsid w:val="60FB566C"/>
    <w:rsid w:val="612C17AC"/>
    <w:rsid w:val="616A6846"/>
    <w:rsid w:val="617317A2"/>
    <w:rsid w:val="61BB5B65"/>
    <w:rsid w:val="61E355F8"/>
    <w:rsid w:val="622844F0"/>
    <w:rsid w:val="624538B0"/>
    <w:rsid w:val="62BF1C0C"/>
    <w:rsid w:val="62CB5F9C"/>
    <w:rsid w:val="63B74E9E"/>
    <w:rsid w:val="63EB3170"/>
    <w:rsid w:val="63EB732A"/>
    <w:rsid w:val="64D23F55"/>
    <w:rsid w:val="656B6EF8"/>
    <w:rsid w:val="65727500"/>
    <w:rsid w:val="65774FC7"/>
    <w:rsid w:val="65A920E5"/>
    <w:rsid w:val="667C78B5"/>
    <w:rsid w:val="6686587F"/>
    <w:rsid w:val="677603B3"/>
    <w:rsid w:val="677E559F"/>
    <w:rsid w:val="6829110C"/>
    <w:rsid w:val="6A625145"/>
    <w:rsid w:val="6AA108B0"/>
    <w:rsid w:val="6ABE358C"/>
    <w:rsid w:val="6B7822BC"/>
    <w:rsid w:val="6BB5673E"/>
    <w:rsid w:val="6C086BFE"/>
    <w:rsid w:val="6C20563E"/>
    <w:rsid w:val="6CEB001E"/>
    <w:rsid w:val="6D5C0D3F"/>
    <w:rsid w:val="6DD9213B"/>
    <w:rsid w:val="6DEE685D"/>
    <w:rsid w:val="6E132676"/>
    <w:rsid w:val="6E4953EE"/>
    <w:rsid w:val="6F867A78"/>
    <w:rsid w:val="6F8C7025"/>
    <w:rsid w:val="700C5BC1"/>
    <w:rsid w:val="704E78B6"/>
    <w:rsid w:val="7068632D"/>
    <w:rsid w:val="70BA58A7"/>
    <w:rsid w:val="711123B3"/>
    <w:rsid w:val="71662CD0"/>
    <w:rsid w:val="716C5DC6"/>
    <w:rsid w:val="71F00493"/>
    <w:rsid w:val="724F53DD"/>
    <w:rsid w:val="72EA7200"/>
    <w:rsid w:val="72EE2832"/>
    <w:rsid w:val="72FC27FA"/>
    <w:rsid w:val="730E014F"/>
    <w:rsid w:val="733A055C"/>
    <w:rsid w:val="73BF1B9E"/>
    <w:rsid w:val="73F40498"/>
    <w:rsid w:val="749D7DE8"/>
    <w:rsid w:val="74E05747"/>
    <w:rsid w:val="752E643D"/>
    <w:rsid w:val="759B7FE5"/>
    <w:rsid w:val="75CE1418"/>
    <w:rsid w:val="75D10774"/>
    <w:rsid w:val="762D3EDD"/>
    <w:rsid w:val="76633142"/>
    <w:rsid w:val="76955535"/>
    <w:rsid w:val="76D9398D"/>
    <w:rsid w:val="773F6938"/>
    <w:rsid w:val="77CC6501"/>
    <w:rsid w:val="786527E4"/>
    <w:rsid w:val="7931772B"/>
    <w:rsid w:val="79AB2EEE"/>
    <w:rsid w:val="79F12139"/>
    <w:rsid w:val="7AA33BB4"/>
    <w:rsid w:val="7B88203E"/>
    <w:rsid w:val="7BC22E22"/>
    <w:rsid w:val="7BF131E7"/>
    <w:rsid w:val="7C1B653F"/>
    <w:rsid w:val="7D506182"/>
    <w:rsid w:val="7DC063B7"/>
    <w:rsid w:val="7DEE367C"/>
    <w:rsid w:val="7DF6136B"/>
    <w:rsid w:val="7DF96D5F"/>
    <w:rsid w:val="7E981D90"/>
    <w:rsid w:val="7EB95011"/>
    <w:rsid w:val="7EC568D6"/>
    <w:rsid w:val="7F9F2371"/>
    <w:rsid w:val="7FEA1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自选图形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textAlignment w:val="baseline"/>
    </w:pPr>
    <w:rPr>
      <w:rFonts w:ascii="宋体" w:hAnsiTheme="minorHAnsi" w:eastAsiaTheme="minorEastAsia" w:cstheme="minorBidi"/>
      <w:sz w:val="28"/>
      <w:szCs w:val="22"/>
      <w:lang w:val="en-US" w:eastAsia="zh-CN" w:bidi="ar-SA"/>
    </w:rPr>
  </w:style>
  <w:style w:type="paragraph" w:styleId="2">
    <w:name w:val="heading 1"/>
    <w:basedOn w:val="1"/>
    <w:next w:val="1"/>
    <w:qFormat/>
    <w:uiPriority w:val="0"/>
    <w:pPr>
      <w:keepNext/>
      <w:keepLines/>
      <w:spacing w:line="578" w:lineRule="auto"/>
      <w:outlineLvl w:val="0"/>
    </w:pPr>
    <w:rPr>
      <w:b/>
      <w:bCs/>
      <w:kern w:val="44"/>
      <w:sz w:val="44"/>
      <w:szCs w:val="44"/>
    </w:rPr>
  </w:style>
  <w:style w:type="paragraph" w:styleId="3">
    <w:name w:val="heading 2"/>
    <w:basedOn w:val="1"/>
    <w:next w:val="4"/>
    <w:unhideWhenUsed/>
    <w:qFormat/>
    <w:uiPriority w:val="0"/>
    <w:pPr>
      <w:spacing w:line="660" w:lineRule="atLeast"/>
      <w:jc w:val="center"/>
      <w:outlineLvl w:val="1"/>
    </w:pPr>
    <w:rPr>
      <w:rFonts w:ascii="仿宋_GB2312" w:eastAsia="仿宋_GB2312"/>
      <w:b/>
      <w:bCs/>
      <w:spacing w:val="-16"/>
      <w:sz w:val="32"/>
      <w:szCs w:val="32"/>
    </w:rPr>
  </w:style>
  <w:style w:type="paragraph" w:styleId="5">
    <w:name w:val="heading 3"/>
    <w:basedOn w:val="1"/>
    <w:next w:val="1"/>
    <w:link w:val="22"/>
    <w:unhideWhenUsed/>
    <w:qFormat/>
    <w:uiPriority w:val="0"/>
    <w:pPr>
      <w:keepNext/>
      <w:keepLines/>
      <w:spacing w:line="413" w:lineRule="auto"/>
      <w:outlineLvl w:val="2"/>
    </w:pPr>
    <w:rPr>
      <w:rFonts w:hAnsi="宋体"/>
      <w:b/>
    </w:rPr>
  </w:style>
  <w:style w:type="character" w:default="1" w:styleId="17">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annotation text"/>
    <w:basedOn w:val="1"/>
    <w:link w:val="25"/>
    <w:qFormat/>
    <w:uiPriority w:val="0"/>
  </w:style>
  <w:style w:type="paragraph" w:styleId="7">
    <w:name w:val="Body Text"/>
    <w:basedOn w:val="1"/>
    <w:qFormat/>
    <w:uiPriority w:val="0"/>
    <w:rPr>
      <w:rFonts w:ascii="仿宋_GB2312" w:eastAsia="仿宋_GB2312"/>
    </w:rPr>
  </w:style>
  <w:style w:type="paragraph" w:styleId="8">
    <w:name w:val="toc 3"/>
    <w:basedOn w:val="1"/>
    <w:next w:val="1"/>
    <w:qFormat/>
    <w:uiPriority w:val="0"/>
    <w:pPr>
      <w:ind w:left="840" w:leftChars="400"/>
    </w:pPr>
  </w:style>
  <w:style w:type="paragraph" w:styleId="9">
    <w:name w:val="Date"/>
    <w:basedOn w:val="1"/>
    <w:next w:val="1"/>
    <w:qFormat/>
    <w:uiPriority w:val="0"/>
    <w:pPr>
      <w:spacing w:line="400" w:lineRule="atLeast"/>
      <w:ind w:left="100" w:leftChars="2500" w:firstLine="454"/>
    </w:pPr>
    <w:rPr>
      <w:rFonts w:ascii="仿宋_GB2312" w:eastAsia="仿宋_GB2312"/>
      <w:spacing w:val="-16"/>
    </w:rPr>
  </w:style>
  <w:style w:type="paragraph" w:styleId="10">
    <w:name w:val="Balloon Text"/>
    <w:basedOn w:val="1"/>
    <w:link w:val="23"/>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annotation subject"/>
    <w:basedOn w:val="6"/>
    <w:next w:val="6"/>
    <w:link w:val="26"/>
    <w:uiPriority w:val="0"/>
    <w:rPr>
      <w:b/>
      <w:bCs/>
    </w:rPr>
  </w:style>
  <w:style w:type="character" w:styleId="18">
    <w:name w:val="Emphasis"/>
    <w:basedOn w:val="17"/>
    <w:qFormat/>
    <w:uiPriority w:val="0"/>
    <w:rPr>
      <w:i/>
    </w:rPr>
  </w:style>
  <w:style w:type="character" w:styleId="19">
    <w:name w:val="Hyperlink"/>
    <w:basedOn w:val="17"/>
    <w:unhideWhenUsed/>
    <w:qFormat/>
    <w:uiPriority w:val="99"/>
    <w:rPr>
      <w:color w:val="0563C1" w:themeColor="hyperlink"/>
      <w:u w:val="single"/>
    </w:rPr>
  </w:style>
  <w:style w:type="character" w:styleId="20">
    <w:name w:val="annotation reference"/>
    <w:basedOn w:val="17"/>
    <w:qFormat/>
    <w:uiPriority w:val="0"/>
    <w:rPr>
      <w:sz w:val="21"/>
      <w:szCs w:val="21"/>
    </w:rPr>
  </w:style>
  <w:style w:type="paragraph" w:customStyle="1" w:styleId="21">
    <w:name w:val="_Style 2"/>
    <w:basedOn w:val="2"/>
    <w:next w:val="1"/>
    <w:qFormat/>
    <w:uiPriority w:val="0"/>
    <w:pPr>
      <w:widowControl/>
      <w:spacing w:line="276" w:lineRule="auto"/>
      <w:outlineLvl w:val="9"/>
    </w:pPr>
    <w:rPr>
      <w:rFonts w:ascii="Cambria" w:hAnsi="Cambria" w:eastAsia="宋体" w:cs="Times New Roman"/>
      <w:color w:val="365F91"/>
      <w:kern w:val="0"/>
      <w:sz w:val="28"/>
      <w:szCs w:val="28"/>
    </w:rPr>
  </w:style>
  <w:style w:type="character" w:customStyle="1" w:styleId="22">
    <w:name w:val="标题 3 Char"/>
    <w:link w:val="5"/>
    <w:qFormat/>
    <w:uiPriority w:val="0"/>
    <w:rPr>
      <w:rFonts w:hAnsi="宋体"/>
      <w:b/>
    </w:rPr>
  </w:style>
  <w:style w:type="character" w:customStyle="1" w:styleId="23">
    <w:name w:val="批注框文本 Char"/>
    <w:basedOn w:val="17"/>
    <w:link w:val="10"/>
    <w:qFormat/>
    <w:uiPriority w:val="0"/>
    <w:rPr>
      <w:rFonts w:ascii="宋体"/>
      <w:sz w:val="18"/>
      <w:szCs w:val="18"/>
    </w:rPr>
  </w:style>
  <w:style w:type="paragraph" w:customStyle="1" w:styleId="24">
    <w:name w:val="p0"/>
    <w:basedOn w:val="1"/>
    <w:qFormat/>
    <w:uiPriority w:val="0"/>
    <w:pPr>
      <w:widowControl/>
    </w:pPr>
    <w:rPr>
      <w:szCs w:val="21"/>
    </w:rPr>
  </w:style>
  <w:style w:type="character" w:customStyle="1" w:styleId="25">
    <w:name w:val="批注文字 Char"/>
    <w:basedOn w:val="17"/>
    <w:link w:val="6"/>
    <w:uiPriority w:val="0"/>
    <w:rPr>
      <w:rFonts w:ascii="宋体" w:hAnsiTheme="minorHAnsi" w:eastAsiaTheme="minorEastAsia" w:cstheme="minorBidi"/>
      <w:sz w:val="28"/>
      <w:szCs w:val="22"/>
    </w:rPr>
  </w:style>
  <w:style w:type="character" w:customStyle="1" w:styleId="26">
    <w:name w:val="批注主题 Char"/>
    <w:basedOn w:val="25"/>
    <w:link w:val="15"/>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pn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2053"/>
    <customShpInfo spid="_x0000_s2050"/>
    <customShpInfo spid="_x0000_s2051"/>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87BE9C-3EBF-4AC7-BDF1-8C92D8C335B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17</Pages>
  <Words>1139</Words>
  <Characters>6495</Characters>
  <Lines>54</Lines>
  <Paragraphs>15</Paragraphs>
  <TotalTime>36</TotalTime>
  <ScaleCrop>false</ScaleCrop>
  <LinksUpToDate>false</LinksUpToDate>
  <CharactersWithSpaces>7619</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2016-08-21T15:10:00Z</dcterms:created>
  <dc:creator>Administrator</dc:creator>
  <cp:lastModifiedBy>刘全华</cp:lastModifiedBy>
  <cp:lastPrinted>2018-10-08T08:01:00Z</cp:lastPrinted>
  <dcterms:modified xsi:type="dcterms:W3CDTF">2019-02-28T07:27:19Z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