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0" w:firstLineChars="0"/>
      </w:pPr>
      <w:r>
        <w:pict>
          <v:shape id="Text Box 3" o:spid="_x0000_s1041" o:spt="202" type="#_x0000_t202" style="position:absolute;left:0pt;margin-left:279.75pt;margin-top:21.75pt;height:50.25pt;width:201.75pt;mso-position-horizontal-relative:page;mso-wrap-distance-bottom:0pt;mso-wrap-distance-left:9pt;mso-wrap-distance-right:9pt;mso-wrap-distance-top:0pt;z-index:251709440;mso-width-relative:page;mso-height-relative:page;" stroked="t" coordsize="21600,21600">
            <v:path/>
            <v:fill focussize="0,0"/>
            <v:stroke weight="0.5pt" color="#333333" joinstyle="miter"/>
            <v:imagedata o:title=""/>
            <o:lock v:ext="edit"/>
            <v:textbox>
              <w:txbxContent>
                <w:p>
                  <w:pPr>
                    <w:spacing w:before="156" w:after="156"/>
                    <w:ind w:firstLine="0" w:firstLineChars="0"/>
                    <w:rPr>
                      <w:rFonts w:ascii="黑体" w:eastAsia="黑体"/>
                      <w:kern w:val="24"/>
                      <w:sz w:val="28"/>
                      <w:szCs w:val="28"/>
                    </w:rPr>
                  </w:pPr>
                  <w:r>
                    <w:rPr>
                      <w:rFonts w:hint="eastAsia" w:ascii="黑体" w:eastAsia="黑体"/>
                      <w:kern w:val="24"/>
                      <w:sz w:val="28"/>
                      <w:szCs w:val="28"/>
                    </w:rPr>
                    <w:t>（2018）文法</w:t>
                  </w:r>
                  <w:r>
                    <w:rPr>
                      <w:rFonts w:ascii="黑体" w:eastAsia="黑体"/>
                      <w:kern w:val="24"/>
                      <w:sz w:val="28"/>
                      <w:szCs w:val="28"/>
                    </w:rPr>
                    <w:t>评字第</w:t>
                  </w:r>
                  <w:r>
                    <w:rPr>
                      <w:rFonts w:hint="eastAsia" w:ascii="黑体" w:eastAsia="黑体"/>
                      <w:kern w:val="24"/>
                      <w:sz w:val="28"/>
                      <w:szCs w:val="28"/>
                    </w:rPr>
                    <w:t>30号</w:t>
                  </w:r>
                </w:p>
              </w:txbxContent>
            </v:textbox>
            <w10:wrap type="square"/>
          </v:shape>
        </w:pict>
      </w:r>
      <w:r>
        <w:drawing>
          <wp:anchor distT="0" distB="0" distL="114300" distR="114300" simplePos="0" relativeHeight="251710464" behindDoc="0" locked="0" layoutInCell="1" allowOverlap="1">
            <wp:simplePos x="0" y="0"/>
            <wp:positionH relativeFrom="column">
              <wp:posOffset>85725</wp:posOffset>
            </wp:positionH>
            <wp:positionV relativeFrom="paragraph">
              <wp:posOffset>85725</wp:posOffset>
            </wp:positionV>
            <wp:extent cx="1066800" cy="1066800"/>
            <wp:effectExtent l="19050" t="0" r="0" b="0"/>
            <wp:wrapNone/>
            <wp:docPr id="18" name="Picture 314" descr="标志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14" descr="标志图标"/>
                    <pic:cNvPicPr>
                      <a:picLocks noChangeAspect="1" noChangeArrowheads="1"/>
                    </pic:cNvPicPr>
                  </pic:nvPicPr>
                  <pic:blipFill>
                    <a:blip r:embed="rId17" cstate="print"/>
                    <a:srcRect/>
                    <a:stretch>
                      <a:fillRect/>
                    </a:stretch>
                  </pic:blipFill>
                  <pic:spPr>
                    <a:xfrm>
                      <a:off x="0" y="0"/>
                      <a:ext cx="1066800" cy="1066800"/>
                    </a:xfrm>
                    <a:prstGeom prst="rect">
                      <a:avLst/>
                    </a:prstGeom>
                    <a:noFill/>
                    <a:ln w="9525">
                      <a:noFill/>
                      <a:miter lim="800000"/>
                      <a:headEnd/>
                      <a:tailEnd/>
                    </a:ln>
                  </pic:spPr>
                </pic:pic>
              </a:graphicData>
            </a:graphic>
          </wp:anchor>
        </w:drawing>
      </w:r>
    </w:p>
    <w:p>
      <w:pPr>
        <w:tabs>
          <w:tab w:val="left" w:pos="2268"/>
        </w:tabs>
        <w:spacing w:before="156" w:after="156"/>
        <w:ind w:firstLine="0" w:firstLineChars="0"/>
        <w:jc w:val="right"/>
      </w:pPr>
    </w:p>
    <w:p>
      <w:pPr>
        <w:tabs>
          <w:tab w:val="left" w:pos="2268"/>
        </w:tabs>
        <w:spacing w:before="156" w:after="156"/>
        <w:ind w:firstLine="0" w:firstLineChars="0"/>
      </w:pPr>
    </w:p>
    <w:p>
      <w:pPr>
        <w:pStyle w:val="48"/>
        <w:spacing w:before="156" w:after="156"/>
        <w:ind w:left="0"/>
        <w:rPr>
          <w:sz w:val="92"/>
          <w:szCs w:val="92"/>
        </w:rPr>
      </w:pPr>
      <w:r>
        <w:rPr>
          <w:rFonts w:hint="eastAsia"/>
          <w:sz w:val="92"/>
          <w:szCs w:val="92"/>
        </w:rPr>
        <w:t xml:space="preserve"> </w:t>
      </w:r>
    </w:p>
    <w:p>
      <w:pPr>
        <w:tabs>
          <w:tab w:val="left" w:pos="720"/>
        </w:tabs>
        <w:spacing w:beforeLines="0" w:afterLines="0" w:line="240" w:lineRule="auto"/>
        <w:ind w:firstLine="0" w:firstLineChars="0"/>
        <w:jc w:val="center"/>
        <w:rPr>
          <w:rFonts w:cs="Times New Roman" w:asciiTheme="minorEastAsia" w:hAnsiTheme="minorEastAsia"/>
          <w:b/>
          <w:bCs/>
          <w:sz w:val="72"/>
          <w:szCs w:val="72"/>
        </w:rPr>
      </w:pPr>
      <w:r>
        <w:rPr>
          <w:rFonts w:hint="eastAsia" w:cs="Times New Roman" w:asciiTheme="minorEastAsia" w:hAnsiTheme="minorEastAsia"/>
          <w:b/>
          <w:bCs/>
          <w:sz w:val="72"/>
          <w:szCs w:val="72"/>
        </w:rPr>
        <w:t>房地产司法鉴定估价报告</w:t>
      </w:r>
    </w:p>
    <w:p>
      <w:pPr>
        <w:spacing w:before="156" w:after="156"/>
        <w:ind w:firstLine="480"/>
      </w:pPr>
    </w:p>
    <w:p>
      <w:pPr>
        <w:spacing w:before="156" w:after="156"/>
        <w:ind w:firstLine="480"/>
      </w:pPr>
    </w:p>
    <w:p>
      <w:pPr>
        <w:spacing w:beforeLines="0" w:afterLines="0"/>
        <w:ind w:left="2352" w:hanging="2352" w:hangingChars="600"/>
        <w:rPr>
          <w:rFonts w:cs="Times New Roman" w:asciiTheme="minorEastAsia" w:hAnsiTheme="minorEastAsia"/>
          <w:spacing w:val="56"/>
          <w:kern w:val="0"/>
          <w:sz w:val="28"/>
          <w:szCs w:val="28"/>
        </w:rPr>
      </w:pPr>
      <w:bookmarkStart w:id="0" w:name="_Toc433202139"/>
      <w:r>
        <w:rPr>
          <w:rFonts w:eastAsia="黑体" w:cs="Times New Roman"/>
          <w:spacing w:val="56"/>
          <w:kern w:val="0"/>
          <w:sz w:val="28"/>
          <w:szCs w:val="30"/>
        </w:rPr>
        <w:t>估价项目</w:t>
      </w:r>
      <w:r>
        <w:rPr>
          <w:rFonts w:hint="eastAsia" w:eastAsia="黑体" w:cs="Times New Roman"/>
          <w:spacing w:val="56"/>
          <w:kern w:val="0"/>
          <w:sz w:val="28"/>
          <w:szCs w:val="30"/>
        </w:rPr>
        <w:t>编</w:t>
      </w:r>
      <w:r>
        <w:rPr>
          <w:rFonts w:hint="eastAsia" w:eastAsia="黑体" w:cs="Times New Roman"/>
          <w:kern w:val="0"/>
          <w:sz w:val="28"/>
          <w:szCs w:val="30"/>
        </w:rPr>
        <w:t>号</w:t>
      </w:r>
      <w:r>
        <w:rPr>
          <w:rFonts w:cs="Times New Roman"/>
          <w:kern w:val="0"/>
          <w:sz w:val="28"/>
          <w:szCs w:val="30"/>
        </w:rPr>
        <w:t>：</w:t>
      </w:r>
      <w:bookmarkEnd w:id="0"/>
      <w:r>
        <w:rPr>
          <w:rFonts w:hint="eastAsia" w:cs="Times New Roman" w:asciiTheme="minorEastAsia" w:hAnsiTheme="minorEastAsia"/>
          <w:kern w:val="0"/>
          <w:sz w:val="28"/>
          <w:szCs w:val="28"/>
        </w:rPr>
        <w:t>海南汇德[2019]（估）字第0192R05号</w:t>
      </w:r>
    </w:p>
    <w:p>
      <w:pPr>
        <w:spacing w:beforeLines="0" w:afterLines="0"/>
        <w:ind w:left="2528" w:hanging="2528" w:hangingChars="645"/>
        <w:rPr>
          <w:rFonts w:asciiTheme="minorEastAsia" w:hAnsiTheme="minorEastAsia"/>
          <w:sz w:val="30"/>
          <w:szCs w:val="30"/>
        </w:rPr>
      </w:pPr>
      <w:r>
        <w:rPr>
          <w:rFonts w:eastAsia="黑体" w:cs="Times New Roman"/>
          <w:spacing w:val="56"/>
          <w:kern w:val="0"/>
          <w:sz w:val="28"/>
          <w:szCs w:val="30"/>
        </w:rPr>
        <w:t>估价项目名</w:t>
      </w:r>
      <w:r>
        <w:rPr>
          <w:rFonts w:eastAsia="黑体" w:cs="Times New Roman"/>
          <w:kern w:val="0"/>
          <w:sz w:val="28"/>
          <w:szCs w:val="30"/>
        </w:rPr>
        <w:t>称</w:t>
      </w:r>
      <w:r>
        <w:rPr>
          <w:rFonts w:hint="eastAsia"/>
          <w:sz w:val="28"/>
          <w:szCs w:val="30"/>
        </w:rPr>
        <w:t>：</w:t>
      </w:r>
      <w:r>
        <w:rPr>
          <w:rFonts w:hint="eastAsia" w:asciiTheme="minorEastAsia" w:hAnsiTheme="minorEastAsia"/>
          <w:sz w:val="28"/>
          <w:szCs w:val="30"/>
        </w:rPr>
        <w:t>海南省文昌市清澜开发区文清大道田头坡西侧1#楼1#单元418房（建筑面积为41.03㎡，合同备案号：WHL000004806）、420房（建筑面积为41.03㎡，合同备案号：WHL000004803）、426房（建筑面积为41.03㎡，合同备案号：WHL000004800）三宗房地产</w:t>
      </w:r>
      <w:r>
        <w:rPr>
          <w:rFonts w:asciiTheme="minorEastAsia" w:hAnsiTheme="minorEastAsia"/>
          <w:sz w:val="28"/>
          <w:szCs w:val="30"/>
        </w:rPr>
        <w:t>市场价值评估</w:t>
      </w:r>
    </w:p>
    <w:p>
      <w:pPr>
        <w:spacing w:beforeLines="0" w:afterLines="0"/>
        <w:ind w:left="3430" w:hanging="3430" w:hangingChars="700"/>
        <w:rPr>
          <w:sz w:val="28"/>
          <w:szCs w:val="30"/>
        </w:rPr>
      </w:pPr>
      <w:r>
        <w:rPr>
          <w:rFonts w:hint="eastAsia" w:ascii="黑体" w:hAnsi="黑体" w:eastAsia="黑体"/>
          <w:spacing w:val="105"/>
          <w:kern w:val="0"/>
          <w:sz w:val="28"/>
          <w:szCs w:val="30"/>
        </w:rPr>
        <w:t>估价委托</w:t>
      </w:r>
      <w:r>
        <w:rPr>
          <w:rFonts w:hint="eastAsia" w:ascii="黑体" w:hAnsi="黑体" w:eastAsia="黑体"/>
          <w:kern w:val="0"/>
          <w:sz w:val="28"/>
          <w:szCs w:val="30"/>
        </w:rPr>
        <w:t>人</w:t>
      </w:r>
      <w:r>
        <w:rPr>
          <w:rFonts w:hint="eastAsia"/>
          <w:sz w:val="28"/>
          <w:szCs w:val="30"/>
        </w:rPr>
        <w:t>：海南省文昌市人民法院</w:t>
      </w:r>
    </w:p>
    <w:p>
      <w:pPr>
        <w:spacing w:beforeLines="0" w:afterLines="0"/>
        <w:ind w:left="2282" w:hanging="2282" w:hangingChars="700"/>
        <w:rPr>
          <w:sz w:val="22"/>
        </w:rPr>
      </w:pPr>
      <w:r>
        <w:rPr>
          <w:rFonts w:hint="eastAsia" w:ascii="黑体" w:hAnsi="黑体" w:eastAsia="黑体"/>
          <w:spacing w:val="23"/>
          <w:kern w:val="0"/>
          <w:sz w:val="28"/>
          <w:szCs w:val="30"/>
        </w:rPr>
        <w:t>房地产估价机</w:t>
      </w:r>
      <w:r>
        <w:rPr>
          <w:rFonts w:hint="eastAsia" w:ascii="黑体" w:hAnsi="黑体" w:eastAsia="黑体"/>
          <w:spacing w:val="2"/>
          <w:kern w:val="0"/>
          <w:sz w:val="28"/>
          <w:szCs w:val="30"/>
        </w:rPr>
        <w:t>构</w:t>
      </w:r>
      <w:r>
        <w:rPr>
          <w:rFonts w:hint="eastAsia"/>
          <w:sz w:val="28"/>
          <w:szCs w:val="30"/>
        </w:rPr>
        <w:t>：海南汇德土地房地产评估咨询有限公司</w:t>
      </w:r>
    </w:p>
    <w:p>
      <w:pPr>
        <w:spacing w:beforeLines="0" w:afterLines="0"/>
        <w:ind w:left="1960" w:hanging="1960" w:hangingChars="700"/>
        <w:rPr>
          <w:rFonts w:cs="Times New Roman" w:asciiTheme="minorEastAsia" w:hAnsiTheme="minorEastAsia"/>
          <w:sz w:val="28"/>
          <w:szCs w:val="30"/>
        </w:rPr>
      </w:pPr>
      <w:r>
        <w:rPr>
          <w:rFonts w:hint="eastAsia" w:ascii="黑体" w:hAnsi="黑体" w:eastAsia="黑体"/>
          <w:kern w:val="0"/>
          <w:sz w:val="28"/>
          <w:szCs w:val="30"/>
          <w:fitText w:val="2240" w:id="0"/>
        </w:rPr>
        <w:t>注册房地产估价师</w:t>
      </w:r>
      <w:r>
        <w:rPr>
          <w:rFonts w:hint="eastAsia"/>
          <w:sz w:val="28"/>
          <w:szCs w:val="30"/>
        </w:rPr>
        <w:t>：</w:t>
      </w:r>
      <w:r>
        <w:rPr>
          <w:rFonts w:hint="eastAsia" w:cs="Times New Roman" w:asciiTheme="minorEastAsia" w:hAnsiTheme="minorEastAsia"/>
          <w:sz w:val="28"/>
          <w:szCs w:val="30"/>
        </w:rPr>
        <w:t>符玉斌  注册证号：4620020005</w:t>
      </w:r>
    </w:p>
    <w:p>
      <w:pPr>
        <w:spacing w:beforeLines="0" w:afterLines="0"/>
        <w:ind w:left="2126" w:leftChars="886" w:firstLine="425" w:firstLineChars="152"/>
        <w:rPr>
          <w:rFonts w:cs="Times New Roman" w:asciiTheme="minorEastAsia" w:hAnsiTheme="minorEastAsia"/>
          <w:sz w:val="28"/>
          <w:szCs w:val="30"/>
        </w:rPr>
      </w:pPr>
      <w:r>
        <w:rPr>
          <w:rFonts w:hint="eastAsia" w:cs="Times New Roman" w:asciiTheme="minorEastAsia" w:hAnsiTheme="minorEastAsia"/>
          <w:sz w:val="28"/>
          <w:szCs w:val="30"/>
        </w:rPr>
        <w:t>卫道仁  注册证号：4420120004</w:t>
      </w:r>
    </w:p>
    <w:p>
      <w:pPr>
        <w:spacing w:beforeLines="0" w:afterLines="0"/>
        <w:ind w:left="1960" w:hanging="1960" w:hangingChars="700"/>
        <w:rPr>
          <w:rFonts w:hint="eastAsia" w:cs="Times New Roman" w:asciiTheme="minorEastAsia" w:hAnsiTheme="minorEastAsia" w:eastAsiaTheme="minorEastAsia"/>
          <w:sz w:val="28"/>
          <w:szCs w:val="30"/>
          <w:lang w:eastAsia="zh-CN"/>
        </w:rPr>
      </w:pPr>
      <w:r>
        <w:rPr>
          <w:rFonts w:hint="eastAsia" w:ascii="黑体" w:hAnsi="黑体" w:eastAsia="黑体" w:cs="Times New Roman"/>
          <w:sz w:val="28"/>
          <w:szCs w:val="30"/>
        </w:rPr>
        <w:t>估价报告出具日期</w:t>
      </w:r>
      <w:r>
        <w:rPr>
          <w:rFonts w:hint="eastAsia" w:cs="Times New Roman"/>
          <w:sz w:val="28"/>
          <w:szCs w:val="30"/>
        </w:rPr>
        <w:t>：</w:t>
      </w:r>
      <w:r>
        <w:rPr>
          <w:rFonts w:hint="eastAsia" w:cs="Times New Roman" w:asciiTheme="minorEastAsia" w:hAnsiTheme="minorEastAsia"/>
          <w:sz w:val="28"/>
          <w:szCs w:val="30"/>
          <w:lang w:eastAsia="zh-CN"/>
        </w:rPr>
        <w:t>2019年04月12日</w:t>
      </w:r>
    </w:p>
    <w:p>
      <w:pPr>
        <w:spacing w:before="156" w:after="156"/>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spacing w:before="163" w:after="163"/>
        <w:ind w:firstLine="0" w:firstLineChars="0"/>
        <w:jc w:val="center"/>
        <w:rPr>
          <w:rFonts w:ascii="黑体" w:hAnsi="黑体" w:eastAsia="黑体"/>
          <w:b/>
          <w:sz w:val="48"/>
          <w:szCs w:val="48"/>
        </w:rPr>
      </w:pPr>
      <w:r>
        <w:rPr>
          <w:rFonts w:hint="eastAsia" w:ascii="黑体" w:hAnsi="黑体" w:eastAsia="黑体"/>
          <w:b/>
          <w:sz w:val="48"/>
          <w:szCs w:val="48"/>
        </w:rPr>
        <w:t>海南汇德土地房地产评估咨询有限公司</w:t>
      </w:r>
    </w:p>
    <w:p>
      <w:pPr>
        <w:pBdr>
          <w:bottom w:val="single" w:color="auto" w:sz="6" w:space="1"/>
        </w:pBdr>
        <w:spacing w:before="163" w:after="163"/>
        <w:ind w:firstLine="0" w:firstLineChars="0"/>
        <w:jc w:val="right"/>
        <w:rPr>
          <w:rFonts w:asciiTheme="minorEastAsia" w:hAnsiTheme="minorEastAsia"/>
          <w:szCs w:val="24"/>
        </w:rPr>
      </w:pPr>
      <w:r>
        <w:rPr>
          <w:rFonts w:hint="eastAsia" w:asciiTheme="minorEastAsia" w:hAnsiTheme="minorEastAsia"/>
          <w:szCs w:val="24"/>
        </w:rPr>
        <w:t>海南汇德[2019]（估）字第0192R05号</w:t>
      </w:r>
    </w:p>
    <w:p>
      <w:pPr>
        <w:spacing w:before="163" w:after="163"/>
        <w:ind w:firstLine="0" w:firstLineChars="0"/>
        <w:jc w:val="center"/>
        <w:rPr>
          <w:rFonts w:ascii="黑体" w:hAnsi="黑体" w:eastAsia="黑体"/>
          <w:sz w:val="36"/>
          <w:szCs w:val="36"/>
        </w:rPr>
      </w:pPr>
      <w:r>
        <w:rPr>
          <w:rFonts w:hint="eastAsia" w:ascii="黑体" w:hAnsi="黑体" w:eastAsia="黑体"/>
          <w:sz w:val="36"/>
          <w:szCs w:val="36"/>
        </w:rPr>
        <w:t>致估价委托人函</w:t>
      </w:r>
    </w:p>
    <w:p>
      <w:pPr>
        <w:spacing w:before="163" w:after="163"/>
        <w:ind w:firstLine="0" w:firstLineChars="0"/>
        <w:rPr>
          <w:rFonts w:ascii="黑体" w:eastAsia="黑体" w:hAnsiTheme="minorEastAsia"/>
        </w:rPr>
      </w:pPr>
      <w:r>
        <w:rPr>
          <w:rFonts w:hint="eastAsia" w:ascii="黑体" w:eastAsia="黑体" w:hAnsiTheme="minorEastAsia"/>
        </w:rPr>
        <w:t>海南省文昌市人民法院：</w:t>
      </w:r>
    </w:p>
    <w:p>
      <w:pPr>
        <w:spacing w:before="163" w:after="163"/>
        <w:ind w:firstLine="480"/>
        <w:rPr>
          <w:rFonts w:asciiTheme="minorEastAsia" w:hAnsiTheme="minorEastAsia"/>
        </w:rPr>
      </w:pPr>
      <w:r>
        <w:rPr>
          <w:rFonts w:hint="eastAsia" w:asciiTheme="minorEastAsia" w:hAnsiTheme="minorEastAsia"/>
        </w:rPr>
        <w:t>受贵院的委托，我公司对谢衡名下位于海南省文昌市清澜开发区文清大道田头坡西侧1#楼1#单元418房（建筑面积为41.03㎡，合同备案号：WHL000004806）、420房（建筑面积为41.03㎡，合同备案号：WHL000004803）、426房（建筑面积为41.03㎡，合同备案号：WHL000004800）三宗房地产市场价值评估。</w:t>
      </w:r>
    </w:p>
    <w:p>
      <w:pPr>
        <w:spacing w:before="163" w:after="163"/>
        <w:ind w:firstLine="480"/>
      </w:pPr>
      <w:r>
        <w:rPr>
          <w:rFonts w:hint="eastAsia"/>
        </w:rPr>
        <w:t>受理委托后，</w:t>
      </w:r>
      <w:r>
        <w:rPr>
          <w:rFonts w:hint="eastAsia" w:ascii="宋体" w:hAnsi="宋体"/>
          <w:snapToGrid w:val="0"/>
          <w:kern w:val="0"/>
        </w:rPr>
        <w:t>我公司估价人员在贵院监督员的组织</w:t>
      </w:r>
      <w:r>
        <w:rPr>
          <w:rFonts w:hint="eastAsia"/>
        </w:rPr>
        <w:t>主持</w:t>
      </w:r>
      <w:r>
        <w:rPr>
          <w:rFonts w:hint="eastAsia" w:ascii="宋体" w:hAnsi="宋体"/>
          <w:snapToGrid w:val="0"/>
          <w:kern w:val="0"/>
        </w:rPr>
        <w:t>下对鉴定对象进行了实地查勘，估价人员对鉴定对象所在区域房地产市场进行了必要的调查了解。在此基础上，遵循房地产价格评估有关规范，对鉴定对象房地产市场价值进行了评估</w:t>
      </w:r>
      <w:r>
        <w:rPr>
          <w:rFonts w:hint="eastAsia"/>
        </w:rPr>
        <w:t>。在委托限期内完成了评估工作，评估基本内容及结果如下：</w:t>
      </w:r>
    </w:p>
    <w:p>
      <w:pPr>
        <w:spacing w:before="163" w:after="163"/>
        <w:ind w:left="1680" w:leftChars="200" w:hanging="1200" w:hangingChars="500"/>
        <w:rPr>
          <w:rFonts w:ascii="黑体" w:hAnsi="黑体" w:eastAsia="黑体"/>
        </w:rPr>
      </w:pPr>
      <w:r>
        <w:rPr>
          <w:rFonts w:hint="eastAsia" w:ascii="黑体" w:hAnsi="黑体" w:eastAsia="黑体"/>
        </w:rPr>
        <w:t>估价目的：</w:t>
      </w:r>
      <w:r>
        <w:rPr>
          <w:rFonts w:hint="eastAsia" w:ascii="宋体" w:hAnsi="宋体"/>
          <w:snapToGrid w:val="0"/>
          <w:kern w:val="0"/>
        </w:rPr>
        <w:t>为估价委托人办理案件提供价格参考依据</w:t>
      </w:r>
      <w:r>
        <w:rPr>
          <w:rFonts w:hint="eastAsia"/>
        </w:rPr>
        <w:t>。</w:t>
      </w:r>
    </w:p>
    <w:p>
      <w:pPr>
        <w:spacing w:before="163" w:after="163"/>
        <w:ind w:left="2880" w:leftChars="200" w:hanging="2400" w:hangingChars="1000"/>
        <w:rPr>
          <w:rFonts w:ascii="黑体" w:hAnsi="黑体" w:eastAsia="黑体"/>
        </w:rPr>
      </w:pPr>
      <w:r>
        <w:rPr>
          <w:rFonts w:hint="eastAsia" w:ascii="黑体" w:hAnsi="黑体" w:eastAsia="黑体"/>
        </w:rPr>
        <w:t>估价目的确定的理由：</w:t>
      </w:r>
      <w:r>
        <w:rPr>
          <w:rFonts w:asciiTheme="minorEastAsia" w:hAnsiTheme="minorEastAsia"/>
        </w:rPr>
        <w:t>根据</w:t>
      </w:r>
      <w:r>
        <w:rPr>
          <w:rFonts w:hint="eastAsia" w:asciiTheme="minorEastAsia" w:hAnsiTheme="minorEastAsia"/>
        </w:rPr>
        <w:t>估价</w:t>
      </w:r>
      <w:r>
        <w:rPr>
          <w:rFonts w:asciiTheme="minorEastAsia" w:hAnsiTheme="minorEastAsia"/>
        </w:rPr>
        <w:t>委托</w:t>
      </w:r>
      <w:r>
        <w:rPr>
          <w:rFonts w:hint="eastAsia" w:asciiTheme="minorEastAsia" w:hAnsiTheme="minorEastAsia"/>
        </w:rPr>
        <w:t>人</w:t>
      </w:r>
      <w:r>
        <w:rPr>
          <w:rFonts w:asciiTheme="minorEastAsia" w:hAnsiTheme="minorEastAsia"/>
        </w:rPr>
        <w:t>提供的（2018）文法评字第30号</w:t>
      </w:r>
      <w:r>
        <w:rPr>
          <w:rFonts w:hint="eastAsia" w:asciiTheme="minorEastAsia" w:hAnsiTheme="minorEastAsia"/>
        </w:rPr>
        <w:t>《海南省文昌市人民法院司法鉴定委托书》</w:t>
      </w:r>
      <w:r>
        <w:rPr>
          <w:rFonts w:asciiTheme="minorEastAsia" w:hAnsiTheme="minorEastAsia"/>
        </w:rPr>
        <w:t>所载明的内容：</w:t>
      </w:r>
      <w:r>
        <w:rPr>
          <w:rFonts w:hint="eastAsia" w:asciiTheme="minorEastAsia" w:hAnsiTheme="minorEastAsia"/>
        </w:rPr>
        <w:t>我院执行局关于申请执行人郭泽安与被执行人谢衡借款合同纠纷一案中，因需对被执行人谢衡名下位于海南省文昌市清澜开发区文清大道田头坡西侧1#楼1单元418房 （房屋所有权证编号：09723号）、420房（房屋所有权证编号：09731号）、426房（房屋所有权证编号：09755号）三套房的房地产价值进行司法评估</w:t>
      </w:r>
      <w:r>
        <w:rPr>
          <w:rFonts w:asciiTheme="minorEastAsia" w:hAnsiTheme="minorEastAsia"/>
        </w:rPr>
        <w:t>…</w:t>
      </w:r>
      <w:r>
        <w:rPr>
          <w:rFonts w:hint="eastAsia" w:asciiTheme="minorEastAsia" w:hAnsiTheme="minorEastAsia"/>
        </w:rPr>
        <w:t>…</w:t>
      </w:r>
      <w:r>
        <w:rPr>
          <w:rFonts w:asciiTheme="minorEastAsia" w:hAnsiTheme="minorEastAsia"/>
        </w:rPr>
        <w:t>。根据以上情况，</w:t>
      </w:r>
      <w:r>
        <w:rPr>
          <w:rFonts w:hint="eastAsia" w:asciiTheme="minorEastAsia" w:hAnsiTheme="minorEastAsia"/>
        </w:rPr>
        <w:t>本次估价目的确定为：为估价委托人办理案件提供价格参考依据。</w:t>
      </w:r>
    </w:p>
    <w:p>
      <w:pPr>
        <w:spacing w:before="163" w:after="163"/>
        <w:ind w:left="1656" w:leftChars="200" w:hanging="1176" w:hangingChars="490"/>
        <w:rPr>
          <w:rFonts w:ascii="黑体" w:hAnsi="黑体" w:eastAsia="黑体"/>
        </w:rPr>
      </w:pPr>
      <w:r>
        <w:rPr>
          <w:rFonts w:hint="eastAsia" w:ascii="黑体" w:hAnsi="黑体" w:eastAsia="黑体"/>
        </w:rPr>
        <w:t>鉴定对象：</w:t>
      </w:r>
      <w:r>
        <w:rPr>
          <w:rFonts w:hint="eastAsia" w:asciiTheme="minorEastAsia" w:hAnsiTheme="minorEastAsia"/>
        </w:rPr>
        <w:t>谢衡名下位于海南省文昌市清澜开发区文清大道田头坡西侧1#楼1#单元418房（建筑面积为41.03㎡，合同备案号：WHL000004806）、420房（建筑面积为41.03㎡，合同备案号：WHL000004803）、426房（建筑面积为41.03㎡，合同备案号：WHL000004800）三宗房地产，鉴定对象房屋买受人为谢衡。</w:t>
      </w:r>
    </w:p>
    <w:p>
      <w:pPr>
        <w:spacing w:before="163" w:after="163"/>
        <w:ind w:firstLine="480"/>
        <w:rPr>
          <w:rFonts w:ascii="黑体" w:hAnsi="黑体" w:eastAsia="黑体"/>
        </w:rPr>
      </w:pPr>
      <w:r>
        <w:rPr>
          <w:rFonts w:hint="eastAsia" w:ascii="黑体" w:hAnsi="黑体" w:eastAsia="黑体"/>
        </w:rPr>
        <w:t>价值时点：</w:t>
      </w:r>
      <w:r>
        <w:rPr>
          <w:rFonts w:asciiTheme="minorEastAsia" w:hAnsiTheme="minorEastAsia"/>
        </w:rPr>
        <w:t>2018年12月25日</w:t>
      </w:r>
    </w:p>
    <w:p>
      <w:pPr>
        <w:spacing w:before="163" w:after="163"/>
        <w:ind w:left="2880" w:leftChars="200" w:hanging="2400" w:hangingChars="1000"/>
        <w:rPr>
          <w:rFonts w:ascii="黑体" w:hAnsi="黑体" w:eastAsia="黑体"/>
        </w:rPr>
      </w:pPr>
      <w:r>
        <w:rPr>
          <w:rFonts w:hint="eastAsia" w:ascii="黑体" w:hAnsi="黑体" w:eastAsia="黑体"/>
        </w:rPr>
        <w:t>价值时点确定的理由：</w:t>
      </w:r>
      <w:r>
        <w:rPr>
          <w:rFonts w:hint="eastAsia" w:asciiTheme="minorEastAsia" w:hAnsiTheme="minorEastAsia"/>
        </w:rPr>
        <w:t>以现场查勘日期为依据，本次现场查勘日期为2018年12月25日。</w:t>
      </w:r>
    </w:p>
    <w:p>
      <w:pPr>
        <w:spacing w:before="163" w:after="163"/>
        <w:ind w:left="1680" w:leftChars="200" w:hanging="1200" w:hangingChars="500"/>
        <w:rPr>
          <w:rFonts w:ascii="黑体" w:hAnsi="黑体" w:eastAsia="黑体"/>
        </w:rPr>
      </w:pPr>
      <w:r>
        <w:rPr>
          <w:rFonts w:hint="eastAsia" w:ascii="黑体" w:hAnsi="黑体" w:eastAsia="黑体"/>
        </w:rPr>
        <w:t>价值类型：</w:t>
      </w:r>
      <w:r>
        <w:rPr>
          <w:rFonts w:hint="eastAsia"/>
        </w:rPr>
        <w:t>本报告评估价格类型为房地产市场价值。</w:t>
      </w:r>
      <w:r>
        <w:rPr>
          <w:rFonts w:hint="eastAsia" w:ascii="宋体" w:hAnsi="宋体"/>
          <w:snapToGrid w:val="0"/>
          <w:kern w:val="0"/>
        </w:rPr>
        <w:t>市场价值是鉴定对象经过适当营销后，由熟悉情况、谨慎行事且不受强迫的交易双方，以公平交易方式在价值时点自愿进行交易的金额，</w:t>
      </w:r>
      <w:r>
        <w:rPr>
          <w:rFonts w:hint="eastAsia" w:ascii="宋体" w:hAnsi="宋体"/>
        </w:rPr>
        <w:t>是在满足全部假设和限制条件下鉴定对象在价值时点现有状况下的房地产市场价值。</w:t>
      </w:r>
    </w:p>
    <w:p>
      <w:pPr>
        <w:spacing w:before="163" w:after="163"/>
        <w:ind w:firstLine="480"/>
        <w:rPr>
          <w:rFonts w:ascii="黑体" w:hAnsi="黑体" w:eastAsia="黑体"/>
        </w:rPr>
      </w:pPr>
      <w:r>
        <w:rPr>
          <w:rFonts w:hint="eastAsia" w:ascii="黑体" w:hAnsi="黑体" w:eastAsia="黑体"/>
        </w:rPr>
        <w:t>估价方法：</w:t>
      </w:r>
      <w:r>
        <w:rPr>
          <w:rFonts w:hint="eastAsia"/>
        </w:rPr>
        <w:t>运用比较法及收益法两种估价方法对鉴定对象进行估价。</w:t>
      </w:r>
    </w:p>
    <w:p>
      <w:pPr>
        <w:spacing w:before="163" w:after="163"/>
        <w:ind w:left="1560" w:leftChars="200" w:hanging="1080" w:hangingChars="450"/>
        <w:rPr>
          <w:rFonts w:ascii="黑体" w:hAnsi="黑体" w:eastAsia="黑体"/>
        </w:rPr>
      </w:pPr>
      <w:r>
        <w:rPr>
          <w:rFonts w:hint="eastAsia" w:ascii="黑体" w:hAnsi="黑体" w:eastAsia="黑体"/>
        </w:rPr>
        <w:t>鉴定结论：</w:t>
      </w:r>
      <w:r>
        <w:rPr>
          <w:rFonts w:hint="eastAsia" w:asciiTheme="minorEastAsia" w:hAnsiTheme="minorEastAsia"/>
        </w:rPr>
        <w:t>经估价人员实地勘察，根据估价目的，遵循估价原则，按照估价规范程序，运用科学的估价方法，在综合分析影响房地产价格因素的基础上进行了测算，确定鉴定对象谢衡名下位于海南省文昌市清澜开发区文清大道田头坡西侧1#楼1#单元418房（建筑面积为41.03㎡，合同备案号：WHL000004806）、420房（建筑面积为41.03㎡，合同备案号：WHL000004803）、426房（建筑面积为41.03㎡，合同备案号：WHL000004800）三宗房地产在价值时点2018年12月25日的房地产市场价值评估结果如下表：</w:t>
      </w:r>
    </w:p>
    <w:p>
      <w:pPr>
        <w:spacing w:before="163" w:afterLines="0"/>
        <w:ind w:firstLine="0" w:firstLineChars="0"/>
        <w:jc w:val="center"/>
        <w:rPr>
          <w:b/>
        </w:rPr>
      </w:pPr>
      <w:r>
        <w:rPr>
          <w:rFonts w:hint="eastAsia"/>
          <w:b/>
        </w:rPr>
        <w:t>房地产市场价值评估结果汇总表</w:t>
      </w:r>
    </w:p>
    <w:p>
      <w:pPr>
        <w:pStyle w:val="44"/>
        <w:spacing w:beforeLines="0" w:afterLines="0"/>
        <w:rPr>
          <w:b w:val="0"/>
          <w:sz w:val="18"/>
          <w:szCs w:val="18"/>
        </w:rPr>
      </w:pPr>
      <w:r>
        <w:rPr>
          <w:rFonts w:hint="eastAsia"/>
          <w:b w:val="0"/>
          <w:sz w:val="18"/>
          <w:szCs w:val="18"/>
        </w:rPr>
        <w:t xml:space="preserve">                                                                            </w:t>
      </w:r>
      <w:r>
        <w:rPr>
          <w:b w:val="0"/>
          <w:sz w:val="18"/>
          <w:szCs w:val="18"/>
        </w:rPr>
        <w:t xml:space="preserve">              </w:t>
      </w:r>
      <w:r>
        <w:rPr>
          <w:rFonts w:hint="eastAsia"/>
          <w:b w:val="0"/>
          <w:sz w:val="18"/>
          <w:szCs w:val="18"/>
        </w:rPr>
        <w:t xml:space="preserve"> 币种：人民币</w:t>
      </w:r>
    </w:p>
    <w:tbl>
      <w:tblPr>
        <w:tblStyle w:val="24"/>
        <w:tblW w:w="8931"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1134"/>
        <w:gridCol w:w="992"/>
        <w:gridCol w:w="992"/>
        <w:gridCol w:w="1058"/>
        <w:gridCol w:w="92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right"/>
        </w:trPr>
        <w:tc>
          <w:tcPr>
            <w:tcW w:w="2694" w:type="dxa"/>
            <w:gridSpan w:val="2"/>
            <w:vMerge w:val="restart"/>
            <w:tcBorders>
              <w:tl2br w:val="single" w:color="auto" w:sz="4" w:space="0"/>
            </w:tcBorders>
            <w:vAlign w:val="center"/>
          </w:tcPr>
          <w:p>
            <w:pPr>
              <w:widowControl/>
              <w:spacing w:before="163" w:after="163"/>
              <w:ind w:firstLine="360"/>
              <w:jc w:val="right"/>
              <w:rPr>
                <w:rFonts w:ascii="宋体" w:hAnsi="宋体"/>
                <w:kern w:val="0"/>
                <w:sz w:val="18"/>
                <w:szCs w:val="18"/>
              </w:rPr>
            </w:pPr>
            <w:r>
              <w:rPr>
                <w:rFonts w:hint="eastAsia" w:ascii="宋体" w:hAnsi="宋体"/>
                <w:sz w:val="18"/>
                <w:szCs w:val="18"/>
              </w:rPr>
              <w:t>估价对象</w:t>
            </w:r>
          </w:p>
          <w:p>
            <w:pPr>
              <w:spacing w:before="163" w:after="163"/>
              <w:ind w:firstLine="360"/>
              <w:rPr>
                <w:kern w:val="0"/>
                <w:sz w:val="21"/>
              </w:rPr>
            </w:pPr>
            <w:r>
              <w:rPr>
                <w:rFonts w:hint="eastAsia" w:ascii="宋体" w:hAnsi="宋体"/>
                <w:sz w:val="18"/>
                <w:szCs w:val="18"/>
              </w:rPr>
              <w:t>项目及结果</w:t>
            </w:r>
          </w:p>
        </w:tc>
        <w:tc>
          <w:tcPr>
            <w:tcW w:w="2126" w:type="dxa"/>
            <w:gridSpan w:val="2"/>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418房（建筑面积为41.03㎡）</w:t>
            </w:r>
            <w:r>
              <w:rPr>
                <w:rFonts w:ascii="宋体" w:hAnsi="宋体" w:eastAsia="宋体" w:cs="宋体"/>
                <w:snapToGrid w:val="0"/>
                <w:kern w:val="0"/>
                <w:sz w:val="18"/>
                <w:szCs w:val="18"/>
              </w:rPr>
              <w:t>房地产</w:t>
            </w:r>
          </w:p>
        </w:tc>
        <w:tc>
          <w:tcPr>
            <w:tcW w:w="2050" w:type="dxa"/>
            <w:gridSpan w:val="2"/>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420</w:t>
            </w:r>
            <w:r>
              <w:rPr>
                <w:rFonts w:hint="eastAsia" w:ascii="宋体" w:hAnsi="宋体" w:eastAsia="宋体" w:cs="宋体"/>
                <w:snapToGrid w:val="0"/>
                <w:kern w:val="0"/>
                <w:sz w:val="18"/>
                <w:szCs w:val="18"/>
              </w:rPr>
              <w:t>房（建筑面积为41.03㎡）</w:t>
            </w:r>
            <w:r>
              <w:rPr>
                <w:rFonts w:ascii="宋体" w:hAnsi="宋体" w:eastAsia="宋体" w:cs="宋体"/>
                <w:snapToGrid w:val="0"/>
                <w:kern w:val="0"/>
                <w:sz w:val="18"/>
                <w:szCs w:val="18"/>
              </w:rPr>
              <w:t>房地产</w:t>
            </w:r>
          </w:p>
        </w:tc>
        <w:tc>
          <w:tcPr>
            <w:tcW w:w="2061" w:type="dxa"/>
            <w:gridSpan w:val="2"/>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426</w:t>
            </w:r>
            <w:r>
              <w:rPr>
                <w:rFonts w:hint="eastAsia" w:ascii="宋体" w:hAnsi="宋体" w:eastAsia="宋体" w:cs="宋体"/>
                <w:snapToGrid w:val="0"/>
                <w:kern w:val="0"/>
                <w:sz w:val="18"/>
                <w:szCs w:val="18"/>
              </w:rPr>
              <w:t>房（建筑面积为41.03㎡）</w:t>
            </w:r>
            <w:r>
              <w:rPr>
                <w:rFonts w:ascii="宋体" w:hAnsi="宋体" w:eastAsia="宋体" w:cs="宋体"/>
                <w:snapToGrid w:val="0"/>
                <w:kern w:val="0"/>
                <w:sz w:val="18"/>
                <w:szCs w:val="18"/>
              </w:rPr>
              <w:t>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right"/>
        </w:trPr>
        <w:tc>
          <w:tcPr>
            <w:tcW w:w="2694" w:type="dxa"/>
            <w:gridSpan w:val="2"/>
            <w:vMerge w:val="continue"/>
            <w:tcBorders>
              <w:tl2br w:val="single" w:color="auto" w:sz="4" w:space="0"/>
            </w:tcBorders>
            <w:vAlign w:val="center"/>
          </w:tcPr>
          <w:p>
            <w:pPr>
              <w:pStyle w:val="45"/>
              <w:spacing w:before="156" w:after="156"/>
              <w:ind w:firstLine="360"/>
              <w:rPr>
                <w:rFonts w:asciiTheme="minorEastAsia" w:hAnsiTheme="minorEastAsia"/>
                <w:sz w:val="18"/>
                <w:szCs w:val="18"/>
              </w:rPr>
            </w:pPr>
          </w:p>
        </w:tc>
        <w:tc>
          <w:tcPr>
            <w:tcW w:w="1134"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比较法</w:t>
            </w:r>
          </w:p>
        </w:tc>
        <w:tc>
          <w:tcPr>
            <w:tcW w:w="992"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收益法</w:t>
            </w:r>
          </w:p>
        </w:tc>
        <w:tc>
          <w:tcPr>
            <w:tcW w:w="992"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比较法</w:t>
            </w:r>
          </w:p>
        </w:tc>
        <w:tc>
          <w:tcPr>
            <w:tcW w:w="1058"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收益法</w:t>
            </w:r>
          </w:p>
        </w:tc>
        <w:tc>
          <w:tcPr>
            <w:tcW w:w="927"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比较法</w:t>
            </w:r>
          </w:p>
        </w:tc>
        <w:tc>
          <w:tcPr>
            <w:tcW w:w="1134"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收益法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1276" w:type="dxa"/>
            <w:vMerge w:val="restart"/>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测算结果</w:t>
            </w:r>
          </w:p>
        </w:tc>
        <w:tc>
          <w:tcPr>
            <w:tcW w:w="1418"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总价</w:t>
            </w:r>
            <w:r>
              <w:rPr>
                <w:rFonts w:hint="eastAsia" w:ascii="宋体" w:hAnsi="宋体" w:eastAsia="宋体" w:cs="宋体"/>
                <w:snapToGrid w:val="0"/>
                <w:kern w:val="0"/>
                <w:sz w:val="18"/>
                <w:szCs w:val="18"/>
              </w:rPr>
              <w:t>（万元）</w:t>
            </w:r>
          </w:p>
        </w:tc>
        <w:tc>
          <w:tcPr>
            <w:tcW w:w="1134"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44.78</w:t>
            </w:r>
          </w:p>
        </w:tc>
        <w:tc>
          <w:tcPr>
            <w:tcW w:w="992"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11.49</w:t>
            </w:r>
          </w:p>
        </w:tc>
        <w:tc>
          <w:tcPr>
            <w:tcW w:w="992"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44.78</w:t>
            </w:r>
          </w:p>
        </w:tc>
        <w:tc>
          <w:tcPr>
            <w:tcW w:w="1058"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11.49</w:t>
            </w:r>
          </w:p>
        </w:tc>
        <w:tc>
          <w:tcPr>
            <w:tcW w:w="927"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44.34</w:t>
            </w:r>
          </w:p>
        </w:tc>
        <w:tc>
          <w:tcPr>
            <w:tcW w:w="1134"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1276" w:type="dxa"/>
            <w:vMerge w:val="continue"/>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p>
        </w:tc>
        <w:tc>
          <w:tcPr>
            <w:tcW w:w="1418"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单价</w:t>
            </w:r>
            <w:r>
              <w:rPr>
                <w:rFonts w:hint="eastAsia" w:ascii="宋体" w:hAnsi="宋体" w:eastAsia="宋体" w:cs="宋体"/>
                <w:snapToGrid w:val="0"/>
                <w:kern w:val="0"/>
                <w:sz w:val="18"/>
                <w:szCs w:val="18"/>
              </w:rPr>
              <w:t>（元/㎡）</w:t>
            </w:r>
          </w:p>
        </w:tc>
        <w:tc>
          <w:tcPr>
            <w:tcW w:w="1134"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10915</w:t>
            </w:r>
          </w:p>
        </w:tc>
        <w:tc>
          <w:tcPr>
            <w:tcW w:w="992"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2801</w:t>
            </w:r>
          </w:p>
        </w:tc>
        <w:tc>
          <w:tcPr>
            <w:tcW w:w="992"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10915</w:t>
            </w:r>
          </w:p>
        </w:tc>
        <w:tc>
          <w:tcPr>
            <w:tcW w:w="1058"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2801</w:t>
            </w:r>
          </w:p>
        </w:tc>
        <w:tc>
          <w:tcPr>
            <w:tcW w:w="927"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10807</w:t>
            </w:r>
          </w:p>
        </w:tc>
        <w:tc>
          <w:tcPr>
            <w:tcW w:w="1134"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1276" w:type="dxa"/>
            <w:vMerge w:val="restart"/>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评估价值</w:t>
            </w:r>
          </w:p>
        </w:tc>
        <w:tc>
          <w:tcPr>
            <w:tcW w:w="1418"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总价</w:t>
            </w:r>
            <w:r>
              <w:rPr>
                <w:rFonts w:hint="eastAsia" w:ascii="宋体" w:hAnsi="宋体" w:eastAsia="宋体" w:cs="宋体"/>
                <w:snapToGrid w:val="0"/>
                <w:kern w:val="0"/>
                <w:sz w:val="18"/>
                <w:szCs w:val="18"/>
              </w:rPr>
              <w:t>（万元）</w:t>
            </w:r>
          </w:p>
        </w:tc>
        <w:tc>
          <w:tcPr>
            <w:tcW w:w="2126" w:type="dxa"/>
            <w:gridSpan w:val="2"/>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44.78</w:t>
            </w:r>
          </w:p>
        </w:tc>
        <w:tc>
          <w:tcPr>
            <w:tcW w:w="2050" w:type="dxa"/>
            <w:gridSpan w:val="2"/>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44.78</w:t>
            </w:r>
          </w:p>
        </w:tc>
        <w:tc>
          <w:tcPr>
            <w:tcW w:w="2061" w:type="dxa"/>
            <w:gridSpan w:val="2"/>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1276" w:type="dxa"/>
            <w:vMerge w:val="continue"/>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p>
        </w:tc>
        <w:tc>
          <w:tcPr>
            <w:tcW w:w="1418"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单价</w:t>
            </w:r>
            <w:r>
              <w:rPr>
                <w:rFonts w:hint="eastAsia" w:ascii="宋体" w:hAnsi="宋体" w:eastAsia="宋体" w:cs="宋体"/>
                <w:snapToGrid w:val="0"/>
                <w:kern w:val="0"/>
                <w:sz w:val="18"/>
                <w:szCs w:val="18"/>
              </w:rPr>
              <w:t>（元/㎡）</w:t>
            </w:r>
          </w:p>
        </w:tc>
        <w:tc>
          <w:tcPr>
            <w:tcW w:w="2126" w:type="dxa"/>
            <w:gridSpan w:val="2"/>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10915</w:t>
            </w:r>
          </w:p>
        </w:tc>
        <w:tc>
          <w:tcPr>
            <w:tcW w:w="2050" w:type="dxa"/>
            <w:gridSpan w:val="2"/>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10915</w:t>
            </w:r>
          </w:p>
        </w:tc>
        <w:tc>
          <w:tcPr>
            <w:tcW w:w="2061" w:type="dxa"/>
            <w:gridSpan w:val="2"/>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2694" w:type="dxa"/>
            <w:gridSpan w:val="2"/>
            <w:vAlign w:val="center"/>
          </w:tcPr>
          <w:p>
            <w:pPr>
              <w:widowControl/>
              <w:spacing w:beforeLines="0" w:afterLines="0" w:line="240" w:lineRule="auto"/>
              <w:ind w:firstLine="0" w:firstLineChars="0"/>
              <w:jc w:val="left"/>
              <w:rPr>
                <w:rFonts w:ascii="宋体" w:hAnsi="宋体" w:eastAsia="宋体" w:cs="宋体"/>
                <w:b/>
                <w:snapToGrid w:val="0"/>
                <w:kern w:val="0"/>
                <w:sz w:val="18"/>
                <w:szCs w:val="18"/>
              </w:rPr>
            </w:pPr>
            <w:r>
              <w:rPr>
                <w:rFonts w:ascii="宋体" w:hAnsi="宋体" w:eastAsia="宋体" w:cs="宋体"/>
                <w:b/>
                <w:snapToGrid w:val="0"/>
                <w:kern w:val="0"/>
                <w:sz w:val="18"/>
                <w:szCs w:val="18"/>
              </w:rPr>
              <w:t>市场价值评估总价大写人民币</w:t>
            </w:r>
          </w:p>
        </w:tc>
        <w:tc>
          <w:tcPr>
            <w:tcW w:w="2126" w:type="dxa"/>
            <w:gridSpan w:val="2"/>
            <w:vAlign w:val="center"/>
          </w:tcPr>
          <w:p>
            <w:pPr>
              <w:widowControl/>
              <w:spacing w:beforeLines="0" w:afterLines="0" w:line="240" w:lineRule="auto"/>
              <w:ind w:firstLine="0" w:firstLineChars="0"/>
              <w:jc w:val="left"/>
              <w:rPr>
                <w:rFonts w:ascii="宋体" w:hAnsi="宋体" w:eastAsia="宋体" w:cs="宋体"/>
                <w:b/>
                <w:snapToGrid w:val="0"/>
                <w:kern w:val="0"/>
                <w:sz w:val="18"/>
                <w:szCs w:val="18"/>
              </w:rPr>
            </w:pPr>
            <w:r>
              <w:rPr>
                <w:rFonts w:hint="eastAsia" w:ascii="宋体" w:hAnsi="宋体" w:eastAsia="宋体" w:cs="宋体"/>
                <w:b/>
                <w:snapToGrid w:val="0"/>
                <w:kern w:val="0"/>
                <w:sz w:val="18"/>
                <w:szCs w:val="18"/>
              </w:rPr>
              <w:t>肆拾肆万柒仟捌佰元整</w:t>
            </w:r>
          </w:p>
        </w:tc>
        <w:tc>
          <w:tcPr>
            <w:tcW w:w="2050" w:type="dxa"/>
            <w:gridSpan w:val="2"/>
            <w:vAlign w:val="center"/>
          </w:tcPr>
          <w:p>
            <w:pPr>
              <w:widowControl/>
              <w:spacing w:beforeLines="0" w:afterLines="0" w:line="240" w:lineRule="auto"/>
              <w:ind w:firstLine="0" w:firstLineChars="0"/>
              <w:jc w:val="left"/>
              <w:rPr>
                <w:rFonts w:ascii="宋体" w:hAnsi="宋体" w:eastAsia="宋体" w:cs="宋体"/>
                <w:b/>
                <w:snapToGrid w:val="0"/>
                <w:kern w:val="0"/>
                <w:sz w:val="18"/>
                <w:szCs w:val="18"/>
              </w:rPr>
            </w:pPr>
            <w:r>
              <w:rPr>
                <w:rFonts w:hint="eastAsia" w:ascii="宋体" w:hAnsi="宋体" w:eastAsia="宋体" w:cs="宋体"/>
                <w:b/>
                <w:snapToGrid w:val="0"/>
                <w:kern w:val="0"/>
                <w:sz w:val="18"/>
                <w:szCs w:val="18"/>
              </w:rPr>
              <w:t>肆拾肆万柒仟捌佰元整</w:t>
            </w:r>
          </w:p>
        </w:tc>
        <w:tc>
          <w:tcPr>
            <w:tcW w:w="2061" w:type="dxa"/>
            <w:gridSpan w:val="2"/>
            <w:vAlign w:val="center"/>
          </w:tcPr>
          <w:p>
            <w:pPr>
              <w:widowControl/>
              <w:spacing w:beforeLines="0" w:afterLines="0" w:line="240" w:lineRule="auto"/>
              <w:ind w:firstLine="0" w:firstLineChars="0"/>
              <w:jc w:val="left"/>
              <w:rPr>
                <w:rFonts w:ascii="宋体" w:hAnsi="宋体" w:eastAsia="宋体" w:cs="宋体"/>
                <w:b/>
                <w:snapToGrid w:val="0"/>
                <w:kern w:val="0"/>
                <w:sz w:val="18"/>
                <w:szCs w:val="18"/>
              </w:rPr>
            </w:pPr>
            <w:r>
              <w:rPr>
                <w:rFonts w:hint="eastAsia" w:ascii="宋体" w:hAnsi="宋体" w:eastAsia="宋体" w:cs="宋体"/>
                <w:b/>
                <w:snapToGrid w:val="0"/>
                <w:kern w:val="0"/>
                <w:sz w:val="18"/>
                <w:szCs w:val="18"/>
              </w:rPr>
              <w:t>肆拾肆万叁仟肆佰元整</w:t>
            </w:r>
          </w:p>
        </w:tc>
      </w:tr>
    </w:tbl>
    <w:p>
      <w:pPr>
        <w:spacing w:before="163" w:after="163"/>
        <w:ind w:firstLine="480"/>
        <w:rPr>
          <w:rFonts w:ascii="黑体" w:hAnsi="黑体" w:eastAsia="黑体"/>
        </w:rPr>
      </w:pPr>
      <w:r>
        <w:rPr>
          <w:rFonts w:hint="eastAsia" w:ascii="黑体" w:hAnsi="黑体" w:eastAsia="黑体"/>
        </w:rPr>
        <w:t>特别提示</w:t>
      </w:r>
    </w:p>
    <w:p>
      <w:pPr>
        <w:pStyle w:val="59"/>
        <w:numPr>
          <w:ilvl w:val="0"/>
          <w:numId w:val="7"/>
        </w:numPr>
        <w:spacing w:before="163" w:after="163"/>
        <w:ind w:left="822" w:hanging="340" w:firstLineChars="0"/>
        <w:rPr>
          <w:szCs w:val="24"/>
        </w:rPr>
      </w:pPr>
      <w:r>
        <w:rPr>
          <w:rFonts w:hint="eastAsia" w:ascii="宋体" w:hAnsi="宋体"/>
        </w:rPr>
        <w:t xml:space="preserve"> 本报告评估结果是假设鉴定对象具有完整、清晰产权条件下的评估结果，因鉴定  对象截止价值时点尚未办理</w:t>
      </w:r>
      <w:r>
        <w:rPr>
          <w:rFonts w:hint="eastAsia" w:ascii="宋体" w:hAnsi="宋体"/>
          <w:color w:val="000000"/>
        </w:rPr>
        <w:t>产权证，在合法办理产权证过程中所产生费用须由有关政府部门确定，提请估价委托人在依法处置过程中披露鉴定对象存在的瑕疵，明确完善产权过程中有关费用的承担问题，提请买受人在购买之前进一步核实相关的情况再做出慎重的决定。请相关利害人正确使用评估结果。</w:t>
      </w:r>
    </w:p>
    <w:p>
      <w:pPr>
        <w:pStyle w:val="42"/>
        <w:numPr>
          <w:ilvl w:val="0"/>
          <w:numId w:val="7"/>
        </w:numPr>
        <w:spacing w:before="163" w:after="163"/>
        <w:ind w:firstLineChars="0"/>
        <w:rPr>
          <w:rFonts w:asciiTheme="minorEastAsia" w:hAnsiTheme="minorEastAsia"/>
        </w:rPr>
      </w:pPr>
      <w:r>
        <w:rPr>
          <w:rFonts w:hint="eastAsia" w:asciiTheme="minorEastAsia" w:hAnsiTheme="minorEastAsia"/>
        </w:rPr>
        <w:t>根据估价</w:t>
      </w:r>
      <w:r>
        <w:rPr>
          <w:rFonts w:asciiTheme="minorEastAsia" w:hAnsiTheme="minorEastAsia"/>
        </w:rPr>
        <w:t>委托</w:t>
      </w:r>
      <w:r>
        <w:rPr>
          <w:rFonts w:hint="eastAsia" w:asciiTheme="minorEastAsia" w:hAnsiTheme="minorEastAsia"/>
        </w:rPr>
        <w:t>人</w:t>
      </w:r>
      <w:r>
        <w:rPr>
          <w:rFonts w:asciiTheme="minorEastAsia" w:hAnsiTheme="minorEastAsia"/>
        </w:rPr>
        <w:t>提供的</w:t>
      </w:r>
      <w:r>
        <w:rPr>
          <w:rFonts w:hint="eastAsia" w:asciiTheme="minorEastAsia" w:hAnsiTheme="minorEastAsia"/>
        </w:rPr>
        <w:t>现有</w:t>
      </w:r>
      <w:r>
        <w:rPr>
          <w:rFonts w:asciiTheme="minorEastAsia" w:hAnsiTheme="minorEastAsia"/>
        </w:rPr>
        <w:t>估价资料，</w:t>
      </w:r>
      <w:r>
        <w:rPr>
          <w:rFonts w:hint="eastAsia" w:asciiTheme="minorEastAsia" w:hAnsiTheme="minorEastAsia"/>
        </w:rPr>
        <w:t>《国有土地</w:t>
      </w:r>
      <w:r>
        <w:rPr>
          <w:rFonts w:asciiTheme="minorEastAsia" w:hAnsiTheme="minorEastAsia"/>
        </w:rPr>
        <w:t>使用</w:t>
      </w:r>
      <w:r>
        <w:rPr>
          <w:rFonts w:hint="eastAsia" w:asciiTheme="minorEastAsia" w:hAnsiTheme="minorEastAsia"/>
        </w:rPr>
        <w:t>证》（证号</w:t>
      </w:r>
      <w:r>
        <w:rPr>
          <w:rFonts w:asciiTheme="minorEastAsia" w:hAnsiTheme="minorEastAsia"/>
        </w:rPr>
        <w:t>为：文国</w:t>
      </w:r>
      <w:r>
        <w:rPr>
          <w:rFonts w:hint="eastAsia" w:asciiTheme="minorEastAsia" w:hAnsiTheme="minorEastAsia"/>
        </w:rPr>
        <w:t>用</w:t>
      </w:r>
      <w:r>
        <w:rPr>
          <w:rFonts w:asciiTheme="minorEastAsia" w:hAnsiTheme="minorEastAsia"/>
        </w:rPr>
        <w:t>（</w:t>
      </w:r>
      <w:r>
        <w:rPr>
          <w:rFonts w:hint="eastAsia" w:asciiTheme="minorEastAsia" w:hAnsiTheme="minorEastAsia"/>
        </w:rPr>
        <w:t>2016</w:t>
      </w:r>
      <w:r>
        <w:rPr>
          <w:rFonts w:asciiTheme="minorEastAsia" w:hAnsiTheme="minorEastAsia"/>
        </w:rPr>
        <w:t>）</w:t>
      </w:r>
      <w:r>
        <w:rPr>
          <w:rFonts w:hint="eastAsia" w:asciiTheme="minorEastAsia" w:hAnsiTheme="minorEastAsia"/>
        </w:rPr>
        <w:t>第W0300483号）载明</w:t>
      </w:r>
      <w:r>
        <w:rPr>
          <w:rFonts w:asciiTheme="minorEastAsia" w:hAnsiTheme="minorEastAsia"/>
        </w:rPr>
        <w:t>土地用途为商住</w:t>
      </w:r>
      <w:r>
        <w:rPr>
          <w:rFonts w:hint="eastAsia" w:asciiTheme="minorEastAsia" w:hAnsiTheme="minorEastAsia"/>
        </w:rPr>
        <w:t>、《房屋</w:t>
      </w:r>
      <w:r>
        <w:rPr>
          <w:rFonts w:asciiTheme="minorEastAsia" w:hAnsiTheme="minorEastAsia"/>
        </w:rPr>
        <w:t>所有权证</w:t>
      </w:r>
      <w:r>
        <w:rPr>
          <w:rFonts w:hint="eastAsia" w:asciiTheme="minorEastAsia" w:hAnsiTheme="minorEastAsia"/>
        </w:rPr>
        <w:t>》（证号</w:t>
      </w:r>
      <w:r>
        <w:rPr>
          <w:rFonts w:asciiTheme="minorEastAsia" w:hAnsiTheme="minorEastAsia"/>
        </w:rPr>
        <w:t>为</w:t>
      </w:r>
      <w:r>
        <w:rPr>
          <w:rFonts w:hint="eastAsia" w:asciiTheme="minorEastAsia" w:hAnsiTheme="minorEastAsia"/>
        </w:rPr>
        <w:t>：</w:t>
      </w:r>
      <w:r>
        <w:rPr>
          <w:rFonts w:asciiTheme="minorEastAsia" w:hAnsiTheme="minorEastAsia"/>
        </w:rPr>
        <w:t>文昌市</w:t>
      </w:r>
      <w:r>
        <w:rPr>
          <w:rFonts w:hint="eastAsia" w:asciiTheme="minorEastAsia" w:hAnsiTheme="minorEastAsia"/>
        </w:rPr>
        <w:t>房权证</w:t>
      </w:r>
      <w:r>
        <w:rPr>
          <w:rFonts w:asciiTheme="minorEastAsia" w:hAnsiTheme="minorEastAsia"/>
        </w:rPr>
        <w:t>文房证字第</w:t>
      </w:r>
      <w:r>
        <w:rPr>
          <w:rFonts w:hint="eastAsia" w:asciiTheme="minorEastAsia" w:hAnsiTheme="minorEastAsia"/>
        </w:rPr>
        <w:t>50931号）载明</w:t>
      </w:r>
      <w:r>
        <w:rPr>
          <w:rFonts w:asciiTheme="minorEastAsia" w:hAnsiTheme="minorEastAsia"/>
        </w:rPr>
        <w:t>房屋用途</w:t>
      </w:r>
      <w:r>
        <w:rPr>
          <w:rFonts w:hint="eastAsia" w:asciiTheme="minorEastAsia" w:hAnsiTheme="minorEastAsia"/>
        </w:rPr>
        <w:t>为</w:t>
      </w:r>
      <w:r>
        <w:rPr>
          <w:rFonts w:asciiTheme="minorEastAsia" w:hAnsiTheme="minorEastAsia"/>
        </w:rPr>
        <w:t>商业</w:t>
      </w:r>
      <w:r>
        <w:rPr>
          <w:rFonts w:hint="eastAsia" w:asciiTheme="minorEastAsia" w:hAnsiTheme="minorEastAsia"/>
        </w:rPr>
        <w:t>，</w:t>
      </w:r>
      <w:r>
        <w:rPr>
          <w:rFonts w:asciiTheme="minorEastAsia" w:hAnsiTheme="minorEastAsia"/>
        </w:rPr>
        <w:t>《</w:t>
      </w:r>
      <w:r>
        <w:rPr>
          <w:rFonts w:hint="eastAsia" w:asciiTheme="minorEastAsia" w:hAnsiTheme="minorEastAsia"/>
        </w:rPr>
        <w:t>文昌市</w:t>
      </w:r>
      <w:r>
        <w:rPr>
          <w:rFonts w:asciiTheme="minorEastAsia" w:hAnsiTheme="minorEastAsia"/>
        </w:rPr>
        <w:t>商品房买卖合同备案表》</w:t>
      </w:r>
      <w:r>
        <w:rPr>
          <w:rFonts w:hint="eastAsia" w:asciiTheme="minorEastAsia" w:hAnsiTheme="minorEastAsia"/>
        </w:rPr>
        <w:t>（复印件）载明</w:t>
      </w:r>
      <w:r>
        <w:rPr>
          <w:rFonts w:asciiTheme="minorEastAsia" w:hAnsiTheme="minorEastAsia"/>
        </w:rPr>
        <w:t>房屋用途为办公</w:t>
      </w:r>
      <w:r>
        <w:rPr>
          <w:rFonts w:hint="eastAsia" w:asciiTheme="minorEastAsia" w:hAnsiTheme="minorEastAsia"/>
        </w:rPr>
        <w:t>，本次评估没有考虑可能存在土地改变用途需补交地价款对评估结果的影响，提请相关利害人关注此事项。特别是办理分户证时可能会存在要求土地改用途的情况出现，提请买受人在做出购买决定之前先至相关不动产登记部门进行核实。</w:t>
      </w:r>
    </w:p>
    <w:p>
      <w:pPr>
        <w:pStyle w:val="42"/>
        <w:numPr>
          <w:ilvl w:val="0"/>
          <w:numId w:val="7"/>
        </w:numPr>
        <w:spacing w:before="163" w:after="163"/>
        <w:ind w:firstLineChars="0"/>
        <w:rPr>
          <w:rFonts w:asciiTheme="minorEastAsia" w:hAnsiTheme="minorEastAsia"/>
        </w:rPr>
      </w:pPr>
      <w:r>
        <w:rPr>
          <w:rFonts w:hint="eastAsia" w:asciiTheme="minorEastAsia" w:hAnsiTheme="minorEastAsia"/>
          <w:color w:val="000000" w:themeColor="text1"/>
        </w:rPr>
        <w:t>如拍卖成交，提请相关利害人调查清楚须补交的费用及该由谁承担等问题后再进行分配。</w:t>
      </w:r>
    </w:p>
    <w:p>
      <w:pPr>
        <w:pStyle w:val="42"/>
        <w:numPr>
          <w:ilvl w:val="0"/>
          <w:numId w:val="7"/>
        </w:numPr>
        <w:spacing w:before="163" w:after="163"/>
        <w:ind w:firstLineChars="0"/>
        <w:rPr>
          <w:rFonts w:asciiTheme="minorEastAsia" w:hAnsiTheme="minorEastAsia"/>
        </w:rPr>
      </w:pPr>
      <w:r>
        <w:rPr>
          <w:rFonts w:hint="eastAsia" w:asciiTheme="minorEastAsia" w:hAnsiTheme="minorEastAsia"/>
        </w:rPr>
        <w:t>本报告有效期从报告完成之日起一年，即报告有效期从</w:t>
      </w:r>
      <w:r>
        <w:rPr>
          <w:rFonts w:hint="eastAsia" w:asciiTheme="minorEastAsia" w:hAnsiTheme="minorEastAsia"/>
          <w:lang w:eastAsia="zh-CN"/>
        </w:rPr>
        <w:t>2019年04月12日</w:t>
      </w:r>
      <w:r>
        <w:rPr>
          <w:rFonts w:hint="eastAsia" w:asciiTheme="minorEastAsia" w:hAnsiTheme="minorEastAsia"/>
        </w:rPr>
        <w:t>至</w:t>
      </w:r>
      <w:r>
        <w:rPr>
          <w:rFonts w:hint="eastAsia" w:asciiTheme="minorEastAsia" w:hAnsiTheme="minorEastAsia"/>
          <w:lang w:eastAsia="zh-CN"/>
        </w:rPr>
        <w:t>2020年04月11日</w:t>
      </w:r>
      <w:r>
        <w:rPr>
          <w:rFonts w:hint="eastAsia" w:asciiTheme="minorEastAsia" w:hAnsiTheme="minorEastAsia"/>
        </w:rPr>
        <w:t>止。但价值时点后，在报告有效期内鉴定对象的质量及价格标准发生变化，并对鉴定对象价值产生明显影响时，不能直接使用本估价结果；超过一年，需重新进行估价。</w:t>
      </w:r>
    </w:p>
    <w:p>
      <w:pPr>
        <w:pStyle w:val="42"/>
        <w:numPr>
          <w:ilvl w:val="0"/>
          <w:numId w:val="7"/>
        </w:numPr>
        <w:spacing w:before="163" w:after="163"/>
        <w:ind w:firstLineChars="0"/>
        <w:rPr>
          <w:rFonts w:asciiTheme="minorEastAsia" w:hAnsiTheme="minorEastAsia"/>
        </w:rPr>
      </w:pPr>
      <w:r>
        <w:rPr>
          <w:rFonts w:hint="eastAsia" w:asciiTheme="minorEastAsia" w:hAnsiTheme="minorEastAsia"/>
        </w:rPr>
        <w:t>估价结果及有关说明详见后附《估价结果报告》，估价分析计算过程和有关技术依据详见后附《估价技术报告》，附本函后的各项内容均为本报告的重要组成部分，缺少任何一项均会使本报告丧失完整性及合法性。</w:t>
      </w:r>
    </w:p>
    <w:p>
      <w:pPr>
        <w:pStyle w:val="42"/>
        <w:spacing w:before="163" w:after="163"/>
        <w:ind w:firstLineChars="0"/>
        <w:rPr>
          <w:rFonts w:asciiTheme="minorEastAsia" w:hAnsiTheme="minorEastAsia"/>
        </w:rPr>
      </w:pPr>
    </w:p>
    <w:p>
      <w:pPr>
        <w:pStyle w:val="42"/>
        <w:spacing w:before="163" w:after="163"/>
        <w:ind w:firstLineChars="0"/>
        <w:rPr>
          <w:rFonts w:asciiTheme="minorEastAsia" w:hAnsiTheme="minorEastAsia"/>
        </w:rPr>
      </w:pPr>
    </w:p>
    <w:p>
      <w:pPr>
        <w:pStyle w:val="42"/>
        <w:spacing w:before="163" w:after="163"/>
        <w:ind w:firstLineChars="0"/>
        <w:rPr>
          <w:rFonts w:hint="eastAsia" w:asciiTheme="minorEastAsia" w:hAnsiTheme="minorEastAsia"/>
        </w:rPr>
      </w:pPr>
    </w:p>
    <w:p>
      <w:pPr>
        <w:spacing w:before="163" w:after="163"/>
        <w:ind w:left="480" w:firstLine="0" w:firstLineChars="0"/>
        <w:rPr>
          <w:rFonts w:ascii="黑体" w:hAnsi="黑体" w:eastAsia="黑体"/>
        </w:rPr>
      </w:pPr>
      <w:r>
        <w:rPr>
          <w:rFonts w:hint="eastAsia" w:ascii="黑体" w:hAnsi="黑体" w:eastAsia="黑体"/>
        </w:rPr>
        <w:t>随函附送</w:t>
      </w:r>
    </w:p>
    <w:p>
      <w:pPr>
        <w:pStyle w:val="42"/>
        <w:numPr>
          <w:ilvl w:val="0"/>
          <w:numId w:val="8"/>
        </w:numPr>
        <w:spacing w:before="163" w:after="163"/>
        <w:ind w:firstLineChars="0"/>
        <w:rPr>
          <w:rFonts w:asciiTheme="minorEastAsia" w:hAnsiTheme="minorEastAsia"/>
        </w:rPr>
      </w:pPr>
      <w:r>
        <w:rPr>
          <w:rFonts w:hint="eastAsia" w:asciiTheme="minorEastAsia" w:hAnsiTheme="minorEastAsia"/>
        </w:rPr>
        <w:t>海南汇德[2019]（估）字第0192R05号《房地产司法鉴定估价报告》正本伍份。</w:t>
      </w:r>
    </w:p>
    <w:p>
      <w:pPr>
        <w:spacing w:before="163" w:after="163"/>
        <w:ind w:firstLine="0" w:firstLineChars="0"/>
        <w:rPr>
          <w:rFonts w:ascii="宋体" w:hAnsi="宋体" w:cs="宋体"/>
          <w:snapToGrid w:val="0"/>
          <w:kern w:val="0"/>
        </w:rPr>
      </w:pPr>
      <w:r>
        <w:rPr>
          <w:rFonts w:hint="eastAsia"/>
        </w:rPr>
        <w:t>此致</w:t>
      </w:r>
      <w:r>
        <w:rPr>
          <w:rFonts w:hint="eastAsia" w:ascii="宋体" w:hAnsi="宋体" w:cs="宋体"/>
          <w:snapToGrid w:val="0"/>
          <w:kern w:val="0"/>
        </w:rPr>
        <w:t>!</w:t>
      </w:r>
    </w:p>
    <w:p>
      <w:pPr>
        <w:spacing w:before="163" w:after="163"/>
        <w:ind w:firstLine="0" w:firstLineChars="0"/>
        <w:rPr>
          <w:rFonts w:ascii="宋体" w:hAnsi="宋体" w:cs="宋体"/>
          <w:snapToGrid w:val="0"/>
          <w:kern w:val="0"/>
        </w:rPr>
      </w:pPr>
    </w:p>
    <w:p>
      <w:pPr>
        <w:spacing w:before="163" w:after="163"/>
        <w:ind w:firstLine="0" w:firstLineChars="0"/>
        <w:rPr>
          <w:rFonts w:ascii="宋体" w:hAnsi="宋体" w:cs="宋体"/>
          <w:snapToGrid w:val="0"/>
          <w:kern w:val="0"/>
        </w:rPr>
      </w:pPr>
    </w:p>
    <w:p>
      <w:pPr>
        <w:spacing w:before="163" w:after="163"/>
        <w:ind w:firstLine="0" w:firstLineChars="0"/>
        <w:rPr>
          <w:rFonts w:ascii="宋体" w:hAnsi="宋体" w:cs="宋体"/>
          <w:snapToGrid w:val="0"/>
          <w:kern w:val="0"/>
        </w:rPr>
      </w:pPr>
    </w:p>
    <w:p>
      <w:pPr>
        <w:spacing w:before="163" w:after="163"/>
        <w:ind w:left="4253" w:firstLine="0" w:firstLineChars="0"/>
      </w:pPr>
      <w:r>
        <w:rPr>
          <w:rFonts w:hint="eastAsia"/>
        </w:rPr>
        <w:t>法定代表人：</w:t>
      </w:r>
    </w:p>
    <w:p>
      <w:pPr>
        <w:spacing w:before="163" w:after="163"/>
        <w:ind w:left="4253" w:firstLine="0" w:firstLineChars="0"/>
      </w:pPr>
    </w:p>
    <w:p>
      <w:pPr>
        <w:spacing w:before="163" w:after="163"/>
        <w:ind w:left="4253" w:firstLine="0" w:firstLineChars="0"/>
        <w:rPr>
          <w:rFonts w:hint="eastAsia"/>
        </w:rPr>
      </w:pPr>
    </w:p>
    <w:p>
      <w:pPr>
        <w:spacing w:before="163" w:after="163"/>
        <w:ind w:left="480" w:firstLine="0" w:firstLineChars="0"/>
        <w:jc w:val="right"/>
      </w:pPr>
      <w:r>
        <w:rPr>
          <w:rFonts w:hint="eastAsia"/>
        </w:rPr>
        <w:t>海南汇德土地房地产评估咨询有限公司</w:t>
      </w:r>
    </w:p>
    <w:p>
      <w:pPr>
        <w:spacing w:before="163" w:after="163"/>
        <w:ind w:left="480" w:right="960" w:firstLine="0" w:firstLineChars="0"/>
        <w:jc w:val="right"/>
        <w:rPr>
          <w:rFonts w:hint="eastAsia" w:asciiTheme="minorEastAsia" w:hAnsiTheme="minorEastAsia" w:eastAsiaTheme="minorEastAsia"/>
          <w:lang w:eastAsia="zh-CN"/>
        </w:rPr>
      </w:pPr>
      <w:r>
        <w:rPr>
          <w:rFonts w:hint="eastAsia" w:asciiTheme="minorEastAsia" w:hAnsiTheme="minorEastAsia"/>
          <w:lang w:eastAsia="zh-CN"/>
        </w:rPr>
        <w:t>2019年04月12日</w:t>
      </w:r>
    </w:p>
    <w:p>
      <w:pPr>
        <w:spacing w:before="163" w:after="163"/>
        <w:ind w:left="480" w:right="960" w:firstLine="0" w:firstLineChars="0"/>
        <w:jc w:val="right"/>
        <w:rPr>
          <w:rFonts w:asciiTheme="minorEastAsia" w:hAnsiTheme="minorEastAsia"/>
        </w:rPr>
      </w:pPr>
    </w:p>
    <w:p>
      <w:pPr>
        <w:spacing w:before="163" w:after="163"/>
        <w:ind w:left="480" w:right="960" w:firstLine="0" w:firstLineChars="0"/>
        <w:jc w:val="right"/>
        <w:rPr>
          <w:rFonts w:asciiTheme="minorEastAsia" w:hAnsiTheme="minorEastAsia"/>
        </w:rPr>
      </w:pPr>
    </w:p>
    <w:p>
      <w:pPr>
        <w:spacing w:before="163" w:after="163"/>
        <w:ind w:left="480" w:right="960" w:firstLine="0" w:firstLineChars="0"/>
        <w:jc w:val="right"/>
        <w:rPr>
          <w:rFonts w:hint="eastAsia" w:asciiTheme="minorEastAsia" w:hAnsiTheme="minorEastAsia"/>
        </w:rPr>
      </w:pPr>
    </w:p>
    <w:p>
      <w:pPr>
        <w:spacing w:before="163" w:after="163" w:line="400" w:lineRule="exact"/>
        <w:ind w:firstLine="480"/>
        <w:outlineLvl w:val="0"/>
        <w:rPr>
          <w:rFonts w:ascii="宋体" w:hAnsi="宋体"/>
          <w:u w:val="single"/>
        </w:rPr>
      </w:pPr>
      <w:r>
        <w:rPr>
          <w:rFonts w:ascii="宋体" w:hAnsi="宋体"/>
          <w:u w:val="single"/>
        </w:rPr>
        <w:pict>
          <v:shape id="_x0000_s1077" o:spid="_x0000_s1077" o:spt="32" type="#_x0000_t32" style="position:absolute;left:0pt;margin-left:22.85pt;margin-top:15.75pt;height:0pt;width:425.65pt;z-index:251735040;mso-width-relative:page;mso-height-relative:page;" o:connectortype="straight" filled="f" coordsize="21600,21600">
            <v:path arrowok="t"/>
            <v:fill on="f" focussize="0,0"/>
            <v:stroke/>
            <v:imagedata o:title=""/>
            <o:lock v:ext="edit"/>
          </v:shape>
        </w:pict>
      </w:r>
    </w:p>
    <w:p>
      <w:pPr>
        <w:spacing w:before="163" w:after="163" w:line="240" w:lineRule="auto"/>
        <w:ind w:firstLine="480"/>
        <w:rPr>
          <w:rFonts w:asciiTheme="minorEastAsia" w:hAnsiTheme="minorEastAsia"/>
        </w:rPr>
      </w:pPr>
      <w:r>
        <w:rPr>
          <w:rFonts w:hint="eastAsia" w:asciiTheme="minorEastAsia" w:hAnsiTheme="minorEastAsia"/>
        </w:rPr>
        <w:t>报：海南省文昌市人民法院                            房档1份</w:t>
      </w:r>
    </w:p>
    <w:p>
      <w:pPr>
        <w:spacing w:before="163" w:after="163" w:line="240" w:lineRule="auto"/>
        <w:ind w:firstLine="480"/>
        <w:rPr>
          <w:rFonts w:asciiTheme="minorEastAsia" w:hAnsiTheme="minorEastAsia"/>
        </w:rPr>
      </w:pPr>
      <w:r>
        <w:rPr>
          <w:rFonts w:hint="eastAsia" w:asciiTheme="minorEastAsia" w:hAnsiTheme="minorEastAsia"/>
        </w:rPr>
        <w:t>送：本案当事人                                      共印</w:t>
      </w:r>
      <w:r>
        <w:rPr>
          <w:rFonts w:asciiTheme="minorEastAsia" w:hAnsiTheme="minorEastAsia"/>
        </w:rPr>
        <w:t>6</w:t>
      </w:r>
      <w:r>
        <w:rPr>
          <w:rFonts w:hint="eastAsia" w:asciiTheme="minorEastAsia" w:hAnsiTheme="minorEastAsia"/>
        </w:rPr>
        <w:t>份</w:t>
      </w:r>
    </w:p>
    <w:p>
      <w:pPr>
        <w:spacing w:beforeLines="0" w:afterLines="0" w:line="240" w:lineRule="auto"/>
        <w:ind w:firstLine="480"/>
        <w:rPr>
          <w:rFonts w:asciiTheme="minorEastAsia" w:hAnsiTheme="minorEastAsia"/>
          <w:b/>
        </w:rPr>
      </w:pPr>
      <w:r>
        <w:rPr>
          <w:rFonts w:asciiTheme="minorEastAsia" w:hAnsiTheme="minorEastAsia"/>
        </w:rPr>
        <w:pict>
          <v:line id="Line 5" o:spid="_x0000_s1043" o:spt="20" style="position:absolute;left:0pt;flip:y;margin-left:22.85pt;margin-top:2.75pt;height:1.7pt;width:429.75pt;mso-wrap-distance-bottom:0pt;mso-wrap-distance-top:0pt;z-index:251712512;mso-width-relative:page;mso-height-relative:page;" coordsize="21600,21600">
            <v:path arrowok="t"/>
            <v:fill focussize="0,0"/>
            <v:stroke/>
            <v:imagedata o:title=""/>
            <o:lock v:ext="edit"/>
            <w10:wrap type="topAndBottom"/>
          </v:line>
        </w:pict>
      </w:r>
      <w:r>
        <w:rPr>
          <w:rFonts w:hint="eastAsia" w:asciiTheme="minorEastAsia" w:hAnsiTheme="minorEastAsia"/>
          <w:bCs/>
        </w:rPr>
        <w:t>电话：</w:t>
      </w:r>
      <w:r>
        <w:rPr>
          <w:rFonts w:hint="eastAsia" w:asciiTheme="minorEastAsia" w:hAnsiTheme="minorEastAsia"/>
        </w:rPr>
        <w:t>（</w:t>
      </w:r>
      <w:r>
        <w:rPr>
          <w:rFonts w:asciiTheme="minorEastAsia" w:hAnsiTheme="minorEastAsia"/>
        </w:rPr>
        <w:t>0898</w:t>
      </w:r>
      <w:r>
        <w:rPr>
          <w:rFonts w:hint="eastAsia" w:asciiTheme="minorEastAsia" w:hAnsiTheme="minorEastAsia"/>
        </w:rPr>
        <w:t>）</w:t>
      </w:r>
      <w:r>
        <w:rPr>
          <w:rFonts w:asciiTheme="minorEastAsia" w:hAnsiTheme="minorEastAsia"/>
        </w:rPr>
        <w:t>66804584     66804684     68583512</w:t>
      </w:r>
    </w:p>
    <w:p>
      <w:pPr>
        <w:spacing w:beforeLines="0" w:afterLines="0" w:line="240" w:lineRule="auto"/>
        <w:ind w:firstLine="480"/>
        <w:rPr>
          <w:rFonts w:asciiTheme="minorEastAsia" w:hAnsiTheme="minorEastAsia"/>
          <w:b/>
        </w:rPr>
      </w:pPr>
      <w:r>
        <w:rPr>
          <w:rFonts w:hint="eastAsia" w:asciiTheme="minorEastAsia" w:hAnsiTheme="minorEastAsia"/>
          <w:bCs/>
        </w:rPr>
        <w:t>传真：</w:t>
      </w:r>
      <w:r>
        <w:rPr>
          <w:rFonts w:hint="eastAsia" w:asciiTheme="minorEastAsia" w:hAnsiTheme="minorEastAsia"/>
        </w:rPr>
        <w:t>（</w:t>
      </w:r>
      <w:r>
        <w:rPr>
          <w:rFonts w:asciiTheme="minorEastAsia" w:hAnsiTheme="minorEastAsia"/>
        </w:rPr>
        <w:t>0898</w:t>
      </w:r>
      <w:r>
        <w:rPr>
          <w:rFonts w:hint="eastAsia" w:asciiTheme="minorEastAsia" w:hAnsiTheme="minorEastAsia"/>
        </w:rPr>
        <w:t>）</w:t>
      </w:r>
      <w:r>
        <w:rPr>
          <w:rFonts w:asciiTheme="minorEastAsia" w:hAnsiTheme="minorEastAsia"/>
        </w:rPr>
        <w:t xml:space="preserve">68583612 </w:t>
      </w:r>
    </w:p>
    <w:p>
      <w:pPr>
        <w:spacing w:beforeLines="0" w:afterLines="0" w:line="240" w:lineRule="auto"/>
        <w:ind w:firstLine="480"/>
        <w:rPr>
          <w:rFonts w:asciiTheme="minorEastAsia" w:hAnsiTheme="minorEastAsia"/>
          <w:bCs/>
        </w:rPr>
      </w:pPr>
      <w:r>
        <w:rPr>
          <w:rFonts w:hint="eastAsia" w:asciiTheme="minorEastAsia" w:hAnsiTheme="minorEastAsia"/>
        </w:rPr>
        <w:t>网址</w:t>
      </w:r>
      <w:r>
        <w:rPr>
          <w:rFonts w:hint="eastAsia" w:asciiTheme="minorEastAsia" w:hAnsiTheme="minorEastAsia"/>
          <w:lang w:val="en-GB"/>
        </w:rPr>
        <w:t>：</w:t>
      </w:r>
      <w:r>
        <w:fldChar w:fldCharType="begin"/>
      </w:r>
      <w:r>
        <w:instrText xml:space="preserve"> HYPERLINK "http://www.hd100.net/" </w:instrText>
      </w:r>
      <w:r>
        <w:fldChar w:fldCharType="separate"/>
      </w:r>
      <w:r>
        <w:rPr>
          <w:rFonts w:asciiTheme="minorEastAsia" w:hAnsiTheme="minorEastAsia"/>
        </w:rPr>
        <w:t>www．hd100．net</w:t>
      </w:r>
      <w:r>
        <w:rPr>
          <w:rFonts w:asciiTheme="minorEastAsia" w:hAnsiTheme="minorEastAsia"/>
        </w:rPr>
        <w:fldChar w:fldCharType="end"/>
      </w:r>
      <w:r>
        <w:rPr>
          <w:rFonts w:asciiTheme="minorEastAsia" w:hAnsiTheme="minorEastAsia"/>
        </w:rPr>
        <w:t xml:space="preserve">E-mail: </w:t>
      </w:r>
      <w:r>
        <w:fldChar w:fldCharType="begin"/>
      </w:r>
      <w:r>
        <w:instrText xml:space="preserve"> HYPERLINK "mailto:hd@hd100.net" </w:instrText>
      </w:r>
      <w:r>
        <w:fldChar w:fldCharType="separate"/>
      </w:r>
      <w:r>
        <w:rPr>
          <w:rFonts w:asciiTheme="minorEastAsia" w:hAnsiTheme="minorEastAsia"/>
        </w:rPr>
        <w:t>huidegj@126．com</w:t>
      </w:r>
      <w:r>
        <w:rPr>
          <w:rFonts w:asciiTheme="minorEastAsia" w:hAnsiTheme="minorEastAsia"/>
        </w:rPr>
        <w:fldChar w:fldCharType="end"/>
      </w:r>
    </w:p>
    <w:p>
      <w:pPr>
        <w:spacing w:beforeLines="0" w:afterLines="0" w:line="240" w:lineRule="auto"/>
        <w:ind w:firstLine="470" w:firstLineChars="196"/>
        <w:rPr>
          <w:rFonts w:asciiTheme="minorEastAsia" w:hAnsiTheme="minorEastAsia"/>
        </w:rPr>
        <w:sectPr>
          <w:headerReference r:id="rId9" w:type="default"/>
          <w:footerReference r:id="rId10" w:type="default"/>
          <w:pgSz w:w="11906" w:h="16838"/>
          <w:pgMar w:top="1440" w:right="851" w:bottom="1440" w:left="1797" w:header="851" w:footer="567" w:gutter="0"/>
          <w:pgNumType w:start="1"/>
          <w:cols w:space="425" w:num="1"/>
          <w:docGrid w:type="lines" w:linePitch="326" w:charSpace="0"/>
        </w:sectPr>
      </w:pPr>
      <w:r>
        <w:rPr>
          <w:rFonts w:hint="eastAsia" w:asciiTheme="minorEastAsia" w:hAnsiTheme="minorEastAsia"/>
          <w:bCs/>
        </w:rPr>
        <w:t>地址：</w:t>
      </w:r>
      <w:r>
        <w:rPr>
          <w:rFonts w:hint="eastAsia" w:asciiTheme="minorEastAsia" w:hAnsiTheme="minorEastAsia"/>
        </w:rPr>
        <w:t>海南省海口市国贸大道</w:t>
      </w:r>
      <w:r>
        <w:rPr>
          <w:rFonts w:asciiTheme="minorEastAsia" w:hAnsiTheme="minorEastAsia"/>
        </w:rPr>
        <w:t>A-8</w:t>
      </w:r>
      <w:r>
        <w:rPr>
          <w:rFonts w:hint="eastAsia" w:asciiTheme="minorEastAsia" w:hAnsiTheme="minorEastAsia"/>
        </w:rPr>
        <w:t>小区申亚大厦第</w:t>
      </w:r>
      <w:r>
        <w:rPr>
          <w:rFonts w:asciiTheme="minorEastAsia" w:hAnsiTheme="minorEastAsia"/>
        </w:rPr>
        <w:t>18</w:t>
      </w:r>
      <w:r>
        <w:rPr>
          <w:rFonts w:hint="eastAsia" w:asciiTheme="minorEastAsia" w:hAnsiTheme="minorEastAsia"/>
        </w:rPr>
        <w:t>层</w:t>
      </w:r>
      <w:r>
        <w:rPr>
          <w:rFonts w:ascii="黑体" w:hAnsi="黑体" w:eastAsia="黑体"/>
          <w:sz w:val="36"/>
          <w:lang w:val="zh-CN"/>
        </w:rPr>
        <w:tab/>
      </w:r>
      <w:r>
        <w:rPr>
          <w:rFonts w:ascii="黑体" w:hAnsi="黑体" w:eastAsia="黑体"/>
          <w:sz w:val="36"/>
          <w:lang w:val="zh-CN"/>
        </w:rPr>
        <w:tab/>
      </w:r>
    </w:p>
    <w:p>
      <w:pPr>
        <w:spacing w:before="156" w:after="156"/>
        <w:ind w:firstLine="0" w:firstLineChars="0"/>
        <w:jc w:val="center"/>
        <w:rPr>
          <w:rFonts w:ascii="黑体" w:hAnsi="黑体" w:eastAsia="黑体"/>
          <w:sz w:val="36"/>
          <w:lang w:val="zh-CN"/>
        </w:rPr>
      </w:pPr>
      <w:r>
        <w:rPr>
          <w:rFonts w:ascii="黑体" w:hAnsi="黑体" w:eastAsia="黑体"/>
          <w:sz w:val="36"/>
          <w:lang w:val="zh-CN"/>
        </w:rPr>
        <w:t>目录</w:t>
      </w:r>
    </w:p>
    <w:p>
      <w:pPr>
        <w:pStyle w:val="20"/>
        <w:tabs>
          <w:tab w:val="left" w:pos="1260"/>
        </w:tabs>
        <w:ind w:firstLine="0"/>
        <w:rPr>
          <w:rFonts w:asciiTheme="minorHAnsi" w:hAnsiTheme="minorHAnsi"/>
          <w:b w:val="0"/>
          <w:sz w:val="21"/>
          <w:szCs w:val="22"/>
        </w:rPr>
      </w:pPr>
      <w:r>
        <w:rPr>
          <w:rFonts w:ascii="黑体" w:hAnsi="黑体" w:eastAsia="黑体"/>
          <w:sz w:val="36"/>
          <w:lang w:val="zh-CN"/>
        </w:rPr>
        <w:fldChar w:fldCharType="begin"/>
      </w:r>
      <w:r>
        <w:rPr>
          <w:rFonts w:hint="eastAsia" w:ascii="黑体" w:hAnsi="黑体" w:eastAsia="黑体"/>
          <w:sz w:val="36"/>
          <w:lang w:val="zh-CN"/>
        </w:rPr>
        <w:instrText xml:space="preserve">TOC \o "1-2" \h \z \u</w:instrText>
      </w:r>
      <w:r>
        <w:rPr>
          <w:rFonts w:ascii="黑体" w:hAnsi="黑体" w:eastAsia="黑体"/>
          <w:sz w:val="36"/>
          <w:lang w:val="zh-CN"/>
        </w:rPr>
        <w:fldChar w:fldCharType="separate"/>
      </w:r>
      <w:r>
        <w:fldChar w:fldCharType="begin"/>
      </w:r>
      <w:r>
        <w:instrText xml:space="preserve"> HYPERLINK \l "_Toc484528281" </w:instrText>
      </w:r>
      <w:r>
        <w:fldChar w:fldCharType="separate"/>
      </w:r>
      <w:r>
        <w:rPr>
          <w:rStyle w:val="27"/>
          <w:rFonts w:hint="eastAsia"/>
        </w:rPr>
        <w:t>一、</w:t>
      </w:r>
      <w:r>
        <w:rPr>
          <w:rFonts w:asciiTheme="minorHAnsi" w:hAnsiTheme="minorHAnsi"/>
          <w:b w:val="0"/>
          <w:sz w:val="21"/>
          <w:szCs w:val="22"/>
        </w:rPr>
        <w:tab/>
      </w:r>
      <w:r>
        <w:rPr>
          <w:rStyle w:val="27"/>
          <w:rFonts w:hint="eastAsia"/>
        </w:rPr>
        <w:t>估价师声明</w:t>
      </w:r>
      <w:r>
        <w:tab/>
      </w:r>
      <w:r>
        <w:fldChar w:fldCharType="begin"/>
      </w:r>
      <w:r>
        <w:instrText xml:space="preserve"> PAGEREF _Toc484528281 \h </w:instrText>
      </w:r>
      <w:r>
        <w:fldChar w:fldCharType="separate"/>
      </w:r>
      <w:r>
        <w:t>1</w:t>
      </w:r>
      <w:r>
        <w:fldChar w:fldCharType="end"/>
      </w:r>
      <w:r>
        <w:fldChar w:fldCharType="end"/>
      </w:r>
    </w:p>
    <w:p>
      <w:pPr>
        <w:pStyle w:val="20"/>
        <w:tabs>
          <w:tab w:val="left" w:pos="1260"/>
        </w:tabs>
        <w:ind w:firstLine="0"/>
        <w:rPr>
          <w:rFonts w:asciiTheme="minorHAnsi" w:hAnsiTheme="minorHAnsi"/>
          <w:b w:val="0"/>
          <w:sz w:val="21"/>
          <w:szCs w:val="22"/>
        </w:rPr>
      </w:pPr>
      <w:r>
        <w:fldChar w:fldCharType="begin"/>
      </w:r>
      <w:r>
        <w:instrText xml:space="preserve"> HYPERLINK \l "_Toc484528282" </w:instrText>
      </w:r>
      <w:r>
        <w:fldChar w:fldCharType="separate"/>
      </w:r>
      <w:r>
        <w:rPr>
          <w:rStyle w:val="27"/>
          <w:rFonts w:hint="eastAsia"/>
        </w:rPr>
        <w:t>二、</w:t>
      </w:r>
      <w:r>
        <w:rPr>
          <w:rFonts w:asciiTheme="minorHAnsi" w:hAnsiTheme="minorHAnsi"/>
          <w:b w:val="0"/>
          <w:sz w:val="21"/>
          <w:szCs w:val="22"/>
        </w:rPr>
        <w:tab/>
      </w:r>
      <w:r>
        <w:rPr>
          <w:rStyle w:val="27"/>
          <w:rFonts w:hint="eastAsia"/>
        </w:rPr>
        <w:t>估价的假设和限制条件</w:t>
      </w:r>
      <w:r>
        <w:tab/>
      </w:r>
      <w:r>
        <w:fldChar w:fldCharType="begin"/>
      </w:r>
      <w:r>
        <w:instrText xml:space="preserve"> PAGEREF _Toc484528282 \h </w:instrText>
      </w:r>
      <w:r>
        <w:fldChar w:fldCharType="separate"/>
      </w:r>
      <w:r>
        <w:t>2</w:t>
      </w:r>
      <w:r>
        <w:fldChar w:fldCharType="end"/>
      </w:r>
      <w:r>
        <w:fldChar w:fldCharType="end"/>
      </w:r>
    </w:p>
    <w:p>
      <w:pPr>
        <w:pStyle w:val="21"/>
        <w:rPr>
          <w:rFonts w:asciiTheme="minorHAnsi" w:hAnsiTheme="minorHAnsi"/>
          <w:sz w:val="21"/>
          <w:szCs w:val="22"/>
        </w:rPr>
      </w:pPr>
      <w:r>
        <w:fldChar w:fldCharType="begin"/>
      </w:r>
      <w:r>
        <w:instrText xml:space="preserve"> HYPERLINK \l "_Toc484528283" </w:instrText>
      </w:r>
      <w:r>
        <w:fldChar w:fldCharType="separate"/>
      </w:r>
      <w:r>
        <w:rPr>
          <w:rStyle w:val="27"/>
          <w:rFonts w:hint="eastAsia"/>
        </w:rPr>
        <w:t>（一） 一般假设</w:t>
      </w:r>
      <w:r>
        <w:tab/>
      </w:r>
      <w:r>
        <w:fldChar w:fldCharType="begin"/>
      </w:r>
      <w:r>
        <w:instrText xml:space="preserve"> PAGEREF _Toc484528283 \h </w:instrText>
      </w:r>
      <w:r>
        <w:fldChar w:fldCharType="separate"/>
      </w:r>
      <w:r>
        <w:t>2</w:t>
      </w:r>
      <w:r>
        <w:fldChar w:fldCharType="end"/>
      </w:r>
      <w:r>
        <w:fldChar w:fldCharType="end"/>
      </w:r>
    </w:p>
    <w:p>
      <w:pPr>
        <w:pStyle w:val="21"/>
        <w:rPr>
          <w:rFonts w:asciiTheme="minorHAnsi" w:hAnsiTheme="minorHAnsi"/>
          <w:sz w:val="21"/>
          <w:szCs w:val="22"/>
        </w:rPr>
      </w:pPr>
      <w:r>
        <w:fldChar w:fldCharType="begin"/>
      </w:r>
      <w:r>
        <w:instrText xml:space="preserve"> HYPERLINK \l "_Toc484528284" </w:instrText>
      </w:r>
      <w:r>
        <w:fldChar w:fldCharType="separate"/>
      </w:r>
      <w:r>
        <w:rPr>
          <w:rStyle w:val="27"/>
          <w:rFonts w:hint="eastAsia"/>
        </w:rPr>
        <w:t>（二） 未定事项假设</w:t>
      </w:r>
      <w:r>
        <w:tab/>
      </w:r>
      <w:r>
        <w:fldChar w:fldCharType="begin"/>
      </w:r>
      <w:r>
        <w:instrText xml:space="preserve"> PAGEREF _Toc484528284 \h </w:instrText>
      </w:r>
      <w:r>
        <w:fldChar w:fldCharType="separate"/>
      </w:r>
      <w:r>
        <w:t>3</w:t>
      </w:r>
      <w:r>
        <w:fldChar w:fldCharType="end"/>
      </w:r>
      <w:r>
        <w:fldChar w:fldCharType="end"/>
      </w:r>
    </w:p>
    <w:p>
      <w:pPr>
        <w:pStyle w:val="21"/>
        <w:rPr>
          <w:rFonts w:asciiTheme="minorHAnsi" w:hAnsiTheme="minorHAnsi"/>
          <w:sz w:val="21"/>
          <w:szCs w:val="22"/>
        </w:rPr>
      </w:pPr>
      <w:r>
        <w:fldChar w:fldCharType="begin"/>
      </w:r>
      <w:r>
        <w:instrText xml:space="preserve"> HYPERLINK \l "_Toc484528285" </w:instrText>
      </w:r>
      <w:r>
        <w:fldChar w:fldCharType="separate"/>
      </w:r>
      <w:r>
        <w:rPr>
          <w:rStyle w:val="27"/>
          <w:rFonts w:hint="eastAsia"/>
        </w:rPr>
        <w:t>（三） 背离事实假设</w:t>
      </w:r>
      <w:r>
        <w:tab/>
      </w:r>
      <w:r>
        <w:fldChar w:fldCharType="begin"/>
      </w:r>
      <w:r>
        <w:instrText xml:space="preserve"> PAGEREF _Toc484528285 \h </w:instrText>
      </w:r>
      <w:r>
        <w:fldChar w:fldCharType="separate"/>
      </w:r>
      <w:r>
        <w:t>3</w:t>
      </w:r>
      <w:r>
        <w:fldChar w:fldCharType="end"/>
      </w:r>
      <w:r>
        <w:fldChar w:fldCharType="end"/>
      </w:r>
    </w:p>
    <w:p>
      <w:pPr>
        <w:pStyle w:val="21"/>
        <w:rPr>
          <w:rFonts w:asciiTheme="minorHAnsi" w:hAnsiTheme="minorHAnsi"/>
          <w:sz w:val="21"/>
          <w:szCs w:val="22"/>
        </w:rPr>
      </w:pPr>
      <w:r>
        <w:fldChar w:fldCharType="begin"/>
      </w:r>
      <w:r>
        <w:instrText xml:space="preserve"> HYPERLINK \l "_Toc484528286" </w:instrText>
      </w:r>
      <w:r>
        <w:fldChar w:fldCharType="separate"/>
      </w:r>
      <w:r>
        <w:rPr>
          <w:rStyle w:val="27"/>
          <w:rFonts w:hint="eastAsia"/>
        </w:rPr>
        <w:t>（四） 不相一致假设</w:t>
      </w:r>
      <w:r>
        <w:tab/>
      </w:r>
      <w:r>
        <w:fldChar w:fldCharType="begin"/>
      </w:r>
      <w:r>
        <w:instrText xml:space="preserve"> PAGEREF _Toc484528286 \h </w:instrText>
      </w:r>
      <w:r>
        <w:fldChar w:fldCharType="separate"/>
      </w:r>
      <w:r>
        <w:t>4</w:t>
      </w:r>
      <w:r>
        <w:fldChar w:fldCharType="end"/>
      </w:r>
      <w:r>
        <w:fldChar w:fldCharType="end"/>
      </w:r>
    </w:p>
    <w:p>
      <w:pPr>
        <w:pStyle w:val="21"/>
        <w:rPr>
          <w:rFonts w:asciiTheme="minorHAnsi" w:hAnsiTheme="minorHAnsi"/>
          <w:sz w:val="21"/>
          <w:szCs w:val="22"/>
        </w:rPr>
      </w:pPr>
      <w:r>
        <w:fldChar w:fldCharType="begin"/>
      </w:r>
      <w:r>
        <w:instrText xml:space="preserve"> HYPERLINK \l "_Toc484528287" </w:instrText>
      </w:r>
      <w:r>
        <w:fldChar w:fldCharType="separate"/>
      </w:r>
      <w:r>
        <w:rPr>
          <w:rStyle w:val="27"/>
          <w:rFonts w:hint="eastAsia"/>
        </w:rPr>
        <w:t>（五） 依据不足假设</w:t>
      </w:r>
      <w:r>
        <w:tab/>
      </w:r>
      <w:r>
        <w:fldChar w:fldCharType="begin"/>
      </w:r>
      <w:r>
        <w:instrText xml:space="preserve"> PAGEREF _Toc484528287 \h </w:instrText>
      </w:r>
      <w:r>
        <w:fldChar w:fldCharType="separate"/>
      </w:r>
      <w:r>
        <w:t>4</w:t>
      </w:r>
      <w:r>
        <w:fldChar w:fldCharType="end"/>
      </w:r>
      <w:r>
        <w:fldChar w:fldCharType="end"/>
      </w:r>
    </w:p>
    <w:p>
      <w:pPr>
        <w:pStyle w:val="21"/>
        <w:rPr>
          <w:rFonts w:asciiTheme="minorHAnsi" w:hAnsiTheme="minorHAnsi"/>
          <w:sz w:val="21"/>
          <w:szCs w:val="22"/>
        </w:rPr>
      </w:pPr>
      <w:r>
        <w:fldChar w:fldCharType="begin"/>
      </w:r>
      <w:r>
        <w:instrText xml:space="preserve"> HYPERLINK \l "_Toc484528288" </w:instrText>
      </w:r>
      <w:r>
        <w:fldChar w:fldCharType="separate"/>
      </w:r>
      <w:r>
        <w:rPr>
          <w:rStyle w:val="27"/>
          <w:rFonts w:hint="eastAsia"/>
        </w:rPr>
        <w:t>（六） 估价报告使用限制</w:t>
      </w:r>
      <w:r>
        <w:tab/>
      </w:r>
      <w:r>
        <w:fldChar w:fldCharType="begin"/>
      </w:r>
      <w:r>
        <w:instrText xml:space="preserve"> PAGEREF _Toc484528288 \h </w:instrText>
      </w:r>
      <w:r>
        <w:fldChar w:fldCharType="separate"/>
      </w:r>
      <w:r>
        <w:t>5</w:t>
      </w:r>
      <w:r>
        <w:fldChar w:fldCharType="end"/>
      </w:r>
      <w:r>
        <w:fldChar w:fldCharType="end"/>
      </w:r>
    </w:p>
    <w:p>
      <w:pPr>
        <w:pStyle w:val="21"/>
        <w:rPr>
          <w:rFonts w:asciiTheme="minorHAnsi" w:hAnsiTheme="minorHAnsi"/>
          <w:sz w:val="21"/>
          <w:szCs w:val="22"/>
        </w:rPr>
      </w:pPr>
      <w:r>
        <w:fldChar w:fldCharType="begin"/>
      </w:r>
      <w:r>
        <w:instrText xml:space="preserve"> HYPERLINK \l "_Toc484528289" </w:instrText>
      </w:r>
      <w:r>
        <w:fldChar w:fldCharType="separate"/>
      </w:r>
      <w:r>
        <w:rPr>
          <w:rStyle w:val="27"/>
          <w:rFonts w:hint="eastAsia"/>
        </w:rPr>
        <w:t>（七） 本次估价需要注意的其他事项</w:t>
      </w:r>
      <w:r>
        <w:tab/>
      </w:r>
      <w:r>
        <w:fldChar w:fldCharType="begin"/>
      </w:r>
      <w:r>
        <w:instrText xml:space="preserve"> PAGEREF _Toc484528289 \h </w:instrText>
      </w:r>
      <w:r>
        <w:fldChar w:fldCharType="separate"/>
      </w:r>
      <w:r>
        <w:t>5</w:t>
      </w:r>
      <w:r>
        <w:fldChar w:fldCharType="end"/>
      </w:r>
      <w:r>
        <w:fldChar w:fldCharType="end"/>
      </w:r>
    </w:p>
    <w:p>
      <w:pPr>
        <w:pStyle w:val="20"/>
        <w:tabs>
          <w:tab w:val="left" w:pos="1260"/>
        </w:tabs>
        <w:ind w:firstLine="0"/>
        <w:rPr>
          <w:rFonts w:asciiTheme="minorHAnsi" w:hAnsiTheme="minorHAnsi"/>
          <w:b w:val="0"/>
          <w:sz w:val="21"/>
          <w:szCs w:val="22"/>
        </w:rPr>
      </w:pPr>
      <w:r>
        <w:fldChar w:fldCharType="begin"/>
      </w:r>
      <w:r>
        <w:instrText xml:space="preserve"> HYPERLINK \l "_Toc484528290" </w:instrText>
      </w:r>
      <w:r>
        <w:fldChar w:fldCharType="separate"/>
      </w:r>
      <w:r>
        <w:rPr>
          <w:rStyle w:val="27"/>
          <w:rFonts w:hint="eastAsia"/>
        </w:rPr>
        <w:t>三、</w:t>
      </w:r>
      <w:r>
        <w:rPr>
          <w:rFonts w:asciiTheme="minorHAnsi" w:hAnsiTheme="minorHAnsi"/>
          <w:b w:val="0"/>
          <w:sz w:val="21"/>
          <w:szCs w:val="22"/>
        </w:rPr>
        <w:tab/>
      </w:r>
      <w:r>
        <w:rPr>
          <w:rStyle w:val="27"/>
          <w:rFonts w:hint="eastAsia"/>
        </w:rPr>
        <w:t>估价结果报告</w:t>
      </w:r>
      <w:r>
        <w:tab/>
      </w:r>
      <w:r>
        <w:fldChar w:fldCharType="begin"/>
      </w:r>
      <w:r>
        <w:instrText xml:space="preserve"> PAGEREF _Toc484528290 \h </w:instrText>
      </w:r>
      <w:r>
        <w:fldChar w:fldCharType="separate"/>
      </w:r>
      <w:r>
        <w:t>8</w:t>
      </w:r>
      <w:r>
        <w:fldChar w:fldCharType="end"/>
      </w:r>
      <w:r>
        <w:fldChar w:fldCharType="end"/>
      </w:r>
    </w:p>
    <w:p>
      <w:pPr>
        <w:pStyle w:val="21"/>
        <w:rPr>
          <w:rFonts w:asciiTheme="minorHAnsi" w:hAnsiTheme="minorHAnsi"/>
          <w:sz w:val="21"/>
          <w:szCs w:val="22"/>
        </w:rPr>
      </w:pPr>
      <w:r>
        <w:fldChar w:fldCharType="begin"/>
      </w:r>
      <w:r>
        <w:instrText xml:space="preserve"> HYPERLINK \l "_Toc484528291" </w:instrText>
      </w:r>
      <w:r>
        <w:fldChar w:fldCharType="separate"/>
      </w:r>
      <w:r>
        <w:rPr>
          <w:rStyle w:val="27"/>
          <w:rFonts w:hint="eastAsia"/>
        </w:rPr>
        <w:t>（一） 估价委托人</w:t>
      </w:r>
      <w:r>
        <w:tab/>
      </w:r>
      <w:r>
        <w:fldChar w:fldCharType="begin"/>
      </w:r>
      <w:r>
        <w:instrText xml:space="preserve"> PAGEREF _Toc484528291 \h </w:instrText>
      </w:r>
      <w:r>
        <w:fldChar w:fldCharType="separate"/>
      </w:r>
      <w:r>
        <w:t>8</w:t>
      </w:r>
      <w:r>
        <w:fldChar w:fldCharType="end"/>
      </w:r>
      <w:r>
        <w:fldChar w:fldCharType="end"/>
      </w:r>
    </w:p>
    <w:p>
      <w:pPr>
        <w:pStyle w:val="21"/>
        <w:rPr>
          <w:rFonts w:asciiTheme="minorHAnsi" w:hAnsiTheme="minorHAnsi"/>
          <w:sz w:val="21"/>
          <w:szCs w:val="22"/>
        </w:rPr>
      </w:pPr>
      <w:r>
        <w:fldChar w:fldCharType="begin"/>
      </w:r>
      <w:r>
        <w:instrText xml:space="preserve"> HYPERLINK \l "_Toc484528292" </w:instrText>
      </w:r>
      <w:r>
        <w:fldChar w:fldCharType="separate"/>
      </w:r>
      <w:r>
        <w:rPr>
          <w:rStyle w:val="27"/>
          <w:rFonts w:hint="eastAsia"/>
        </w:rPr>
        <w:t>（二） 房地产估价机构</w:t>
      </w:r>
      <w:r>
        <w:tab/>
      </w:r>
      <w:r>
        <w:fldChar w:fldCharType="begin"/>
      </w:r>
      <w:r>
        <w:instrText xml:space="preserve"> PAGEREF _Toc484528292 \h </w:instrText>
      </w:r>
      <w:r>
        <w:fldChar w:fldCharType="separate"/>
      </w:r>
      <w:r>
        <w:t>8</w:t>
      </w:r>
      <w:r>
        <w:fldChar w:fldCharType="end"/>
      </w:r>
      <w:r>
        <w:fldChar w:fldCharType="end"/>
      </w:r>
    </w:p>
    <w:p>
      <w:pPr>
        <w:pStyle w:val="21"/>
        <w:rPr>
          <w:rFonts w:asciiTheme="minorHAnsi" w:hAnsiTheme="minorHAnsi"/>
          <w:sz w:val="21"/>
          <w:szCs w:val="22"/>
        </w:rPr>
      </w:pPr>
      <w:r>
        <w:fldChar w:fldCharType="begin"/>
      </w:r>
      <w:r>
        <w:instrText xml:space="preserve"> HYPERLINK \l "_Toc484528293" </w:instrText>
      </w:r>
      <w:r>
        <w:fldChar w:fldCharType="separate"/>
      </w:r>
      <w:r>
        <w:rPr>
          <w:rStyle w:val="27"/>
          <w:rFonts w:hint="eastAsia"/>
        </w:rPr>
        <w:t>（三） 估价目的</w:t>
      </w:r>
      <w:r>
        <w:tab/>
      </w:r>
      <w:r>
        <w:fldChar w:fldCharType="begin"/>
      </w:r>
      <w:r>
        <w:instrText xml:space="preserve"> PAGEREF _Toc484528293 \h </w:instrText>
      </w:r>
      <w:r>
        <w:fldChar w:fldCharType="separate"/>
      </w:r>
      <w:r>
        <w:t>8</w:t>
      </w:r>
      <w:r>
        <w:fldChar w:fldCharType="end"/>
      </w:r>
      <w:r>
        <w:fldChar w:fldCharType="end"/>
      </w:r>
    </w:p>
    <w:p>
      <w:pPr>
        <w:pStyle w:val="21"/>
        <w:rPr>
          <w:rFonts w:asciiTheme="minorHAnsi" w:hAnsiTheme="minorHAnsi"/>
          <w:sz w:val="21"/>
          <w:szCs w:val="22"/>
        </w:rPr>
      </w:pPr>
      <w:r>
        <w:fldChar w:fldCharType="begin"/>
      </w:r>
      <w:r>
        <w:instrText xml:space="preserve"> HYPERLINK \l "_Toc484528294" </w:instrText>
      </w:r>
      <w:r>
        <w:fldChar w:fldCharType="separate"/>
      </w:r>
      <w:r>
        <w:rPr>
          <w:rStyle w:val="27"/>
          <w:rFonts w:hint="eastAsia"/>
        </w:rPr>
        <w:t>（四） 鉴定对象</w:t>
      </w:r>
      <w:r>
        <w:tab/>
      </w:r>
      <w:r>
        <w:fldChar w:fldCharType="begin"/>
      </w:r>
      <w:r>
        <w:instrText xml:space="preserve"> PAGEREF _Toc484528294 \h </w:instrText>
      </w:r>
      <w:r>
        <w:fldChar w:fldCharType="separate"/>
      </w:r>
      <w:r>
        <w:t>8</w:t>
      </w:r>
      <w:r>
        <w:fldChar w:fldCharType="end"/>
      </w:r>
      <w:r>
        <w:fldChar w:fldCharType="end"/>
      </w:r>
    </w:p>
    <w:p>
      <w:pPr>
        <w:pStyle w:val="21"/>
        <w:rPr>
          <w:rFonts w:asciiTheme="minorHAnsi" w:hAnsiTheme="minorHAnsi"/>
          <w:sz w:val="21"/>
          <w:szCs w:val="22"/>
        </w:rPr>
      </w:pPr>
      <w:r>
        <w:fldChar w:fldCharType="begin"/>
      </w:r>
      <w:r>
        <w:instrText xml:space="preserve"> HYPERLINK \l "_Toc484528295" </w:instrText>
      </w:r>
      <w:r>
        <w:fldChar w:fldCharType="separate"/>
      </w:r>
      <w:r>
        <w:rPr>
          <w:rStyle w:val="27"/>
          <w:rFonts w:hint="eastAsia"/>
        </w:rPr>
        <w:t>（五） 价值时点</w:t>
      </w:r>
      <w:r>
        <w:tab/>
      </w:r>
      <w:r>
        <w:fldChar w:fldCharType="begin"/>
      </w:r>
      <w:r>
        <w:instrText xml:space="preserve"> PAGEREF _Toc484528295 \h </w:instrText>
      </w:r>
      <w:r>
        <w:fldChar w:fldCharType="separate"/>
      </w:r>
      <w:r>
        <w:t>14</w:t>
      </w:r>
      <w:r>
        <w:fldChar w:fldCharType="end"/>
      </w:r>
      <w:r>
        <w:fldChar w:fldCharType="end"/>
      </w:r>
    </w:p>
    <w:p>
      <w:pPr>
        <w:pStyle w:val="21"/>
        <w:rPr>
          <w:rFonts w:asciiTheme="minorHAnsi" w:hAnsiTheme="minorHAnsi"/>
          <w:sz w:val="21"/>
          <w:szCs w:val="22"/>
        </w:rPr>
      </w:pPr>
      <w:r>
        <w:fldChar w:fldCharType="begin"/>
      </w:r>
      <w:r>
        <w:instrText xml:space="preserve"> HYPERLINK \l "_Toc484528296" </w:instrText>
      </w:r>
      <w:r>
        <w:fldChar w:fldCharType="separate"/>
      </w:r>
      <w:r>
        <w:rPr>
          <w:rStyle w:val="27"/>
          <w:rFonts w:hint="eastAsia"/>
        </w:rPr>
        <w:t>（六） 价值类型</w:t>
      </w:r>
      <w:r>
        <w:tab/>
      </w:r>
      <w:r>
        <w:fldChar w:fldCharType="begin"/>
      </w:r>
      <w:r>
        <w:instrText xml:space="preserve"> PAGEREF _Toc484528296 \h </w:instrText>
      </w:r>
      <w:r>
        <w:fldChar w:fldCharType="separate"/>
      </w:r>
      <w:r>
        <w:t>14</w:t>
      </w:r>
      <w:r>
        <w:fldChar w:fldCharType="end"/>
      </w:r>
      <w:r>
        <w:fldChar w:fldCharType="end"/>
      </w:r>
    </w:p>
    <w:p>
      <w:pPr>
        <w:pStyle w:val="21"/>
        <w:rPr>
          <w:rFonts w:asciiTheme="minorHAnsi" w:hAnsiTheme="minorHAnsi"/>
          <w:sz w:val="21"/>
          <w:szCs w:val="22"/>
        </w:rPr>
      </w:pPr>
      <w:r>
        <w:fldChar w:fldCharType="begin"/>
      </w:r>
      <w:r>
        <w:instrText xml:space="preserve"> HYPERLINK \l "_Toc484528297" </w:instrText>
      </w:r>
      <w:r>
        <w:fldChar w:fldCharType="separate"/>
      </w:r>
      <w:r>
        <w:rPr>
          <w:rStyle w:val="27"/>
          <w:rFonts w:hint="eastAsia"/>
        </w:rPr>
        <w:t>（七） 估价原则</w:t>
      </w:r>
      <w:r>
        <w:tab/>
      </w:r>
      <w:r>
        <w:fldChar w:fldCharType="begin"/>
      </w:r>
      <w:r>
        <w:instrText xml:space="preserve"> PAGEREF _Toc484528297 \h </w:instrText>
      </w:r>
      <w:r>
        <w:fldChar w:fldCharType="separate"/>
      </w:r>
      <w:r>
        <w:t>14</w:t>
      </w:r>
      <w:r>
        <w:fldChar w:fldCharType="end"/>
      </w:r>
      <w:r>
        <w:fldChar w:fldCharType="end"/>
      </w:r>
    </w:p>
    <w:p>
      <w:pPr>
        <w:pStyle w:val="21"/>
        <w:rPr>
          <w:rFonts w:asciiTheme="minorHAnsi" w:hAnsiTheme="minorHAnsi"/>
          <w:sz w:val="21"/>
          <w:szCs w:val="22"/>
        </w:rPr>
      </w:pPr>
      <w:r>
        <w:fldChar w:fldCharType="begin"/>
      </w:r>
      <w:r>
        <w:instrText xml:space="preserve"> HYPERLINK \l "_Toc484528298" </w:instrText>
      </w:r>
      <w:r>
        <w:fldChar w:fldCharType="separate"/>
      </w:r>
      <w:r>
        <w:rPr>
          <w:rStyle w:val="27"/>
          <w:rFonts w:hint="eastAsia"/>
        </w:rPr>
        <w:t>（八） 估价依据</w:t>
      </w:r>
      <w:r>
        <w:tab/>
      </w:r>
      <w:r>
        <w:fldChar w:fldCharType="begin"/>
      </w:r>
      <w:r>
        <w:instrText xml:space="preserve"> PAGEREF _Toc484528298 \h </w:instrText>
      </w:r>
      <w:r>
        <w:fldChar w:fldCharType="separate"/>
      </w:r>
      <w:r>
        <w:t>15</w:t>
      </w:r>
      <w:r>
        <w:fldChar w:fldCharType="end"/>
      </w:r>
      <w:r>
        <w:fldChar w:fldCharType="end"/>
      </w:r>
    </w:p>
    <w:p>
      <w:pPr>
        <w:pStyle w:val="21"/>
        <w:rPr>
          <w:rFonts w:asciiTheme="minorHAnsi" w:hAnsiTheme="minorHAnsi"/>
          <w:sz w:val="21"/>
          <w:szCs w:val="22"/>
        </w:rPr>
      </w:pPr>
      <w:r>
        <w:fldChar w:fldCharType="begin"/>
      </w:r>
      <w:r>
        <w:instrText xml:space="preserve"> HYPERLINK \l "_Toc484528299" </w:instrText>
      </w:r>
      <w:r>
        <w:fldChar w:fldCharType="separate"/>
      </w:r>
      <w:r>
        <w:rPr>
          <w:rStyle w:val="27"/>
          <w:rFonts w:hint="eastAsia"/>
        </w:rPr>
        <w:t>（九） 估价方法</w:t>
      </w:r>
      <w:r>
        <w:tab/>
      </w:r>
      <w:r>
        <w:fldChar w:fldCharType="begin"/>
      </w:r>
      <w:r>
        <w:instrText xml:space="preserve"> PAGEREF _Toc484528299 \h </w:instrText>
      </w:r>
      <w:r>
        <w:fldChar w:fldCharType="separate"/>
      </w:r>
      <w:r>
        <w:t>17</w:t>
      </w:r>
      <w:r>
        <w:fldChar w:fldCharType="end"/>
      </w:r>
      <w:r>
        <w:fldChar w:fldCharType="end"/>
      </w:r>
    </w:p>
    <w:p>
      <w:pPr>
        <w:pStyle w:val="21"/>
        <w:rPr>
          <w:rFonts w:asciiTheme="minorHAnsi" w:hAnsiTheme="minorHAnsi"/>
          <w:sz w:val="21"/>
          <w:szCs w:val="22"/>
        </w:rPr>
      </w:pPr>
      <w:r>
        <w:fldChar w:fldCharType="begin"/>
      </w:r>
      <w:r>
        <w:instrText xml:space="preserve"> HYPERLINK \l "_Toc484528300" </w:instrText>
      </w:r>
      <w:r>
        <w:fldChar w:fldCharType="separate"/>
      </w:r>
      <w:r>
        <w:rPr>
          <w:rStyle w:val="27"/>
          <w:rFonts w:hint="eastAsia"/>
        </w:rPr>
        <w:t>（十） 估价结果</w:t>
      </w:r>
      <w:r>
        <w:tab/>
      </w:r>
      <w:r>
        <w:fldChar w:fldCharType="begin"/>
      </w:r>
      <w:r>
        <w:instrText xml:space="preserve"> PAGEREF _Toc484528300 \h </w:instrText>
      </w:r>
      <w:r>
        <w:fldChar w:fldCharType="separate"/>
      </w:r>
      <w:r>
        <w:t>18</w:t>
      </w:r>
      <w:r>
        <w:fldChar w:fldCharType="end"/>
      </w:r>
      <w:r>
        <w:fldChar w:fldCharType="end"/>
      </w:r>
    </w:p>
    <w:p>
      <w:pPr>
        <w:pStyle w:val="21"/>
        <w:rPr>
          <w:rFonts w:asciiTheme="minorHAnsi" w:hAnsiTheme="minorHAnsi"/>
          <w:sz w:val="21"/>
          <w:szCs w:val="22"/>
        </w:rPr>
      </w:pPr>
      <w:r>
        <w:fldChar w:fldCharType="begin"/>
      </w:r>
      <w:r>
        <w:instrText xml:space="preserve"> HYPERLINK \l "_Toc484528301" </w:instrText>
      </w:r>
      <w:r>
        <w:fldChar w:fldCharType="separate"/>
      </w:r>
      <w:r>
        <w:rPr>
          <w:rStyle w:val="27"/>
          <w:rFonts w:hint="eastAsia"/>
        </w:rPr>
        <w:t>（十一） 注册房地产估价师</w:t>
      </w:r>
      <w:r>
        <w:tab/>
      </w:r>
      <w:r>
        <w:fldChar w:fldCharType="begin"/>
      </w:r>
      <w:r>
        <w:instrText xml:space="preserve"> PAGEREF _Toc484528301 \h </w:instrText>
      </w:r>
      <w:r>
        <w:fldChar w:fldCharType="separate"/>
      </w:r>
      <w:r>
        <w:t>19</w:t>
      </w:r>
      <w:r>
        <w:fldChar w:fldCharType="end"/>
      </w:r>
      <w:r>
        <w:fldChar w:fldCharType="end"/>
      </w:r>
    </w:p>
    <w:p>
      <w:pPr>
        <w:pStyle w:val="21"/>
      </w:pPr>
      <w:r>
        <w:fldChar w:fldCharType="begin"/>
      </w:r>
      <w:r>
        <w:instrText xml:space="preserve"> HYPERLINK \l "_Toc484528302" </w:instrText>
      </w:r>
      <w:r>
        <w:fldChar w:fldCharType="separate"/>
      </w:r>
      <w:r>
        <w:rPr>
          <w:rStyle w:val="27"/>
          <w:rFonts w:hint="eastAsia"/>
        </w:rPr>
        <w:t>（十二） 实地查勘期</w:t>
      </w:r>
      <w:r>
        <w:tab/>
      </w:r>
      <w:r>
        <w:fldChar w:fldCharType="begin"/>
      </w:r>
      <w:r>
        <w:instrText xml:space="preserve"> PAGEREF _Toc484528302 \h </w:instrText>
      </w:r>
      <w:r>
        <w:fldChar w:fldCharType="separate"/>
      </w:r>
      <w:r>
        <w:t>19</w:t>
      </w:r>
      <w:r>
        <w:fldChar w:fldCharType="end"/>
      </w:r>
      <w:r>
        <w:fldChar w:fldCharType="end"/>
      </w:r>
    </w:p>
    <w:p>
      <w:pPr>
        <w:pStyle w:val="21"/>
        <w:rPr>
          <w:rFonts w:asciiTheme="minorHAnsi" w:hAnsiTheme="minorHAnsi"/>
          <w:sz w:val="21"/>
          <w:szCs w:val="22"/>
        </w:rPr>
      </w:pPr>
      <w:r>
        <w:fldChar w:fldCharType="begin"/>
      </w:r>
      <w:r>
        <w:instrText xml:space="preserve"> HYPERLINK \l "_Toc484528303" </w:instrText>
      </w:r>
      <w:r>
        <w:fldChar w:fldCharType="separate"/>
      </w:r>
      <w:r>
        <w:rPr>
          <w:rStyle w:val="27"/>
          <w:rFonts w:hint="eastAsia"/>
        </w:rPr>
        <w:t>（十三）</w:t>
      </w:r>
      <w:r>
        <w:rPr>
          <w:rStyle w:val="27"/>
          <w:rFonts w:hint="eastAsia" w:asciiTheme="minorEastAsia" w:hAnsiTheme="minorEastAsia"/>
        </w:rPr>
        <w:t xml:space="preserve"> 估价作业期</w:t>
      </w:r>
      <w:r>
        <w:tab/>
      </w:r>
      <w:r>
        <w:fldChar w:fldCharType="begin"/>
      </w:r>
      <w:r>
        <w:instrText xml:space="preserve"> PAGEREF _Toc484528303 \h </w:instrText>
      </w:r>
      <w:r>
        <w:fldChar w:fldCharType="separate"/>
      </w:r>
      <w:r>
        <w:t>19</w:t>
      </w:r>
      <w:r>
        <w:fldChar w:fldCharType="end"/>
      </w:r>
      <w:r>
        <w:fldChar w:fldCharType="end"/>
      </w:r>
    </w:p>
    <w:p>
      <w:pPr>
        <w:pStyle w:val="20"/>
        <w:tabs>
          <w:tab w:val="left" w:pos="1260"/>
        </w:tabs>
        <w:ind w:firstLine="0"/>
        <w:rPr>
          <w:rFonts w:asciiTheme="minorHAnsi" w:hAnsiTheme="minorHAnsi"/>
          <w:b w:val="0"/>
          <w:sz w:val="21"/>
          <w:szCs w:val="22"/>
        </w:rPr>
      </w:pPr>
      <w:r>
        <w:fldChar w:fldCharType="begin"/>
      </w:r>
      <w:r>
        <w:instrText xml:space="preserve"> HYPERLINK \l "_Toc484528304" </w:instrText>
      </w:r>
      <w:r>
        <w:fldChar w:fldCharType="separate"/>
      </w:r>
      <w:r>
        <w:rPr>
          <w:rStyle w:val="27"/>
          <w:rFonts w:hint="eastAsia"/>
        </w:rPr>
        <w:t>四、</w:t>
      </w:r>
      <w:r>
        <w:rPr>
          <w:rFonts w:asciiTheme="minorHAnsi" w:hAnsiTheme="minorHAnsi"/>
          <w:b w:val="0"/>
          <w:sz w:val="21"/>
          <w:szCs w:val="22"/>
        </w:rPr>
        <w:tab/>
      </w:r>
      <w:r>
        <w:rPr>
          <w:rStyle w:val="27"/>
          <w:rFonts w:hint="eastAsia"/>
        </w:rPr>
        <w:t>估价技术报告</w:t>
      </w:r>
      <w:r>
        <w:tab/>
      </w:r>
      <w:r>
        <w:fldChar w:fldCharType="begin"/>
      </w:r>
      <w:r>
        <w:instrText xml:space="preserve"> PAGEREF _Toc484528304 \h </w:instrText>
      </w:r>
      <w:r>
        <w:fldChar w:fldCharType="separate"/>
      </w:r>
      <w:r>
        <w:t>20</w:t>
      </w:r>
      <w:r>
        <w:fldChar w:fldCharType="end"/>
      </w:r>
      <w:r>
        <w:fldChar w:fldCharType="end"/>
      </w:r>
    </w:p>
    <w:p>
      <w:pPr>
        <w:pStyle w:val="21"/>
        <w:rPr>
          <w:rFonts w:asciiTheme="minorHAnsi" w:hAnsiTheme="minorHAnsi"/>
          <w:sz w:val="21"/>
          <w:szCs w:val="22"/>
        </w:rPr>
      </w:pPr>
      <w:r>
        <w:fldChar w:fldCharType="begin"/>
      </w:r>
      <w:r>
        <w:instrText xml:space="preserve"> HYPERLINK \l "_Toc484528305" </w:instrText>
      </w:r>
      <w:r>
        <w:fldChar w:fldCharType="separate"/>
      </w:r>
      <w:r>
        <w:rPr>
          <w:rStyle w:val="27"/>
          <w:rFonts w:hint="eastAsia"/>
        </w:rPr>
        <w:t>（一） 鉴定对象描述与分析</w:t>
      </w:r>
      <w:r>
        <w:tab/>
      </w:r>
      <w:r>
        <w:fldChar w:fldCharType="begin"/>
      </w:r>
      <w:r>
        <w:instrText xml:space="preserve"> PAGEREF _Toc484528305 \h </w:instrText>
      </w:r>
      <w:r>
        <w:fldChar w:fldCharType="separate"/>
      </w:r>
      <w:r>
        <w:t>20</w:t>
      </w:r>
      <w:r>
        <w:fldChar w:fldCharType="end"/>
      </w:r>
      <w:r>
        <w:fldChar w:fldCharType="end"/>
      </w:r>
    </w:p>
    <w:p>
      <w:pPr>
        <w:pStyle w:val="21"/>
        <w:rPr>
          <w:rFonts w:asciiTheme="minorHAnsi" w:hAnsiTheme="minorHAnsi"/>
          <w:sz w:val="21"/>
          <w:szCs w:val="22"/>
        </w:rPr>
      </w:pPr>
      <w:r>
        <w:fldChar w:fldCharType="begin"/>
      </w:r>
      <w:r>
        <w:instrText xml:space="preserve"> HYPERLINK \l "_Toc484528306" </w:instrText>
      </w:r>
      <w:r>
        <w:fldChar w:fldCharType="separate"/>
      </w:r>
      <w:r>
        <w:rPr>
          <w:rStyle w:val="27"/>
          <w:rFonts w:hint="eastAsia"/>
        </w:rPr>
        <w:t>（二） 房地产市场背景描述与分析</w:t>
      </w:r>
      <w:r>
        <w:tab/>
      </w:r>
      <w:r>
        <w:fldChar w:fldCharType="begin"/>
      </w:r>
      <w:r>
        <w:instrText xml:space="preserve"> PAGEREF _Toc484528306 \h </w:instrText>
      </w:r>
      <w:r>
        <w:fldChar w:fldCharType="separate"/>
      </w:r>
      <w:r>
        <w:t>25</w:t>
      </w:r>
      <w:r>
        <w:fldChar w:fldCharType="end"/>
      </w:r>
      <w:r>
        <w:fldChar w:fldCharType="end"/>
      </w:r>
    </w:p>
    <w:p>
      <w:pPr>
        <w:pStyle w:val="21"/>
        <w:rPr>
          <w:rFonts w:asciiTheme="minorHAnsi" w:hAnsiTheme="minorHAnsi"/>
          <w:sz w:val="21"/>
          <w:szCs w:val="22"/>
        </w:rPr>
      </w:pPr>
      <w:r>
        <w:fldChar w:fldCharType="begin"/>
      </w:r>
      <w:r>
        <w:instrText xml:space="preserve"> HYPERLINK \l "_Toc484528307" </w:instrText>
      </w:r>
      <w:r>
        <w:fldChar w:fldCharType="separate"/>
      </w:r>
      <w:r>
        <w:rPr>
          <w:rStyle w:val="27"/>
          <w:rFonts w:hint="eastAsia"/>
        </w:rPr>
        <w:t>（三） 最高最佳利用分析</w:t>
      </w:r>
      <w:r>
        <w:tab/>
      </w:r>
      <w:r>
        <w:fldChar w:fldCharType="begin"/>
      </w:r>
      <w:r>
        <w:instrText xml:space="preserve"> PAGEREF _Toc484528307 \h </w:instrText>
      </w:r>
      <w:r>
        <w:fldChar w:fldCharType="separate"/>
      </w:r>
      <w:r>
        <w:t>30</w:t>
      </w:r>
      <w:r>
        <w:fldChar w:fldCharType="end"/>
      </w:r>
      <w:r>
        <w:fldChar w:fldCharType="end"/>
      </w:r>
    </w:p>
    <w:p>
      <w:pPr>
        <w:pStyle w:val="21"/>
        <w:rPr>
          <w:rFonts w:asciiTheme="minorHAnsi" w:hAnsiTheme="minorHAnsi"/>
          <w:sz w:val="21"/>
          <w:szCs w:val="22"/>
        </w:rPr>
      </w:pPr>
      <w:r>
        <w:fldChar w:fldCharType="begin"/>
      </w:r>
      <w:r>
        <w:instrText xml:space="preserve"> HYPERLINK \l "_Toc484528308" </w:instrText>
      </w:r>
      <w:r>
        <w:fldChar w:fldCharType="separate"/>
      </w:r>
      <w:r>
        <w:rPr>
          <w:rStyle w:val="27"/>
          <w:rFonts w:hint="eastAsia"/>
        </w:rPr>
        <w:t>（四） 估价方法适用性分析</w:t>
      </w:r>
      <w:r>
        <w:tab/>
      </w:r>
      <w:r>
        <w:fldChar w:fldCharType="begin"/>
      </w:r>
      <w:r>
        <w:instrText xml:space="preserve"> PAGEREF _Toc484528308 \h </w:instrText>
      </w:r>
      <w:r>
        <w:fldChar w:fldCharType="separate"/>
      </w:r>
      <w:r>
        <w:t>30</w:t>
      </w:r>
      <w:r>
        <w:fldChar w:fldCharType="end"/>
      </w:r>
      <w:r>
        <w:fldChar w:fldCharType="end"/>
      </w:r>
    </w:p>
    <w:p>
      <w:pPr>
        <w:pStyle w:val="21"/>
        <w:rPr>
          <w:rFonts w:asciiTheme="minorHAnsi" w:hAnsiTheme="minorHAnsi"/>
          <w:sz w:val="21"/>
          <w:szCs w:val="22"/>
        </w:rPr>
      </w:pPr>
      <w:r>
        <w:fldChar w:fldCharType="begin"/>
      </w:r>
      <w:r>
        <w:instrText xml:space="preserve"> HYPERLINK \l "_Toc484528309" </w:instrText>
      </w:r>
      <w:r>
        <w:fldChar w:fldCharType="separate"/>
      </w:r>
      <w:r>
        <w:rPr>
          <w:rStyle w:val="27"/>
          <w:rFonts w:hint="eastAsia"/>
        </w:rPr>
        <w:t>（五） 估价测算过程</w:t>
      </w:r>
      <w:r>
        <w:tab/>
      </w:r>
      <w:r>
        <w:fldChar w:fldCharType="begin"/>
      </w:r>
      <w:r>
        <w:instrText xml:space="preserve"> PAGEREF _Toc484528309 \h </w:instrText>
      </w:r>
      <w:r>
        <w:fldChar w:fldCharType="separate"/>
      </w:r>
      <w:r>
        <w:t>31</w:t>
      </w:r>
      <w:r>
        <w:fldChar w:fldCharType="end"/>
      </w:r>
      <w:r>
        <w:fldChar w:fldCharType="end"/>
      </w:r>
    </w:p>
    <w:p>
      <w:pPr>
        <w:pStyle w:val="21"/>
        <w:rPr>
          <w:rFonts w:asciiTheme="minorHAnsi" w:hAnsiTheme="minorHAnsi"/>
          <w:sz w:val="21"/>
          <w:szCs w:val="22"/>
        </w:rPr>
      </w:pPr>
      <w:r>
        <w:fldChar w:fldCharType="begin"/>
      </w:r>
      <w:r>
        <w:instrText xml:space="preserve"> HYPERLINK \l "_Toc484528310" </w:instrText>
      </w:r>
      <w:r>
        <w:fldChar w:fldCharType="separate"/>
      </w:r>
      <w:r>
        <w:rPr>
          <w:rStyle w:val="27"/>
          <w:rFonts w:hint="eastAsia"/>
        </w:rPr>
        <w:t>（六） 鉴定结论</w:t>
      </w:r>
      <w:r>
        <w:tab/>
      </w:r>
      <w:r>
        <w:fldChar w:fldCharType="begin"/>
      </w:r>
      <w:r>
        <w:instrText xml:space="preserve"> PAGEREF _Toc484528310 \h </w:instrText>
      </w:r>
      <w:r>
        <w:fldChar w:fldCharType="separate"/>
      </w:r>
      <w:r>
        <w:t>45</w:t>
      </w:r>
      <w:r>
        <w:fldChar w:fldCharType="end"/>
      </w:r>
      <w:r>
        <w:fldChar w:fldCharType="end"/>
      </w:r>
    </w:p>
    <w:p>
      <w:pPr>
        <w:pStyle w:val="20"/>
        <w:tabs>
          <w:tab w:val="left" w:pos="1260"/>
        </w:tabs>
        <w:ind w:firstLine="0"/>
        <w:rPr>
          <w:rFonts w:asciiTheme="minorHAnsi" w:hAnsiTheme="minorHAnsi"/>
          <w:b w:val="0"/>
          <w:sz w:val="21"/>
          <w:szCs w:val="22"/>
        </w:rPr>
      </w:pPr>
      <w:r>
        <w:fldChar w:fldCharType="begin"/>
      </w:r>
      <w:r>
        <w:instrText xml:space="preserve"> HYPERLINK \l "_Toc484528311" </w:instrText>
      </w:r>
      <w:r>
        <w:fldChar w:fldCharType="separate"/>
      </w:r>
      <w:r>
        <w:rPr>
          <w:rStyle w:val="27"/>
          <w:rFonts w:hint="eastAsia"/>
        </w:rPr>
        <w:t>五、</w:t>
      </w:r>
      <w:r>
        <w:rPr>
          <w:rFonts w:asciiTheme="minorHAnsi" w:hAnsiTheme="minorHAnsi"/>
          <w:b w:val="0"/>
          <w:sz w:val="21"/>
          <w:szCs w:val="22"/>
        </w:rPr>
        <w:tab/>
      </w:r>
      <w:r>
        <w:rPr>
          <w:rStyle w:val="27"/>
          <w:rFonts w:hint="eastAsia"/>
        </w:rPr>
        <w:t>附件</w:t>
      </w:r>
      <w:r>
        <w:rPr>
          <w:rStyle w:val="27"/>
        </w:rPr>
        <w:tab/>
      </w:r>
      <w:r>
        <w:tab/>
      </w:r>
      <w:r>
        <w:fldChar w:fldCharType="begin"/>
      </w:r>
      <w:r>
        <w:instrText xml:space="preserve"> PAGEREF _Toc484528311 \h </w:instrText>
      </w:r>
      <w:r>
        <w:fldChar w:fldCharType="separate"/>
      </w:r>
      <w:r>
        <w:t>46</w:t>
      </w:r>
      <w:r>
        <w:fldChar w:fldCharType="end"/>
      </w:r>
      <w:r>
        <w:fldChar w:fldCharType="end"/>
      </w:r>
    </w:p>
    <w:p>
      <w:pPr>
        <w:spacing w:beforeLines="0" w:afterLines="0"/>
        <w:ind w:left="1183" w:leftChars="193" w:hanging="720" w:hangingChars="200"/>
        <w:rPr>
          <w:sz w:val="22"/>
        </w:rPr>
      </w:pPr>
      <w:r>
        <w:rPr>
          <w:rFonts w:ascii="黑体" w:hAnsi="黑体" w:eastAsia="黑体"/>
          <w:sz w:val="36"/>
          <w:lang w:val="zh-CN"/>
        </w:rPr>
        <w:fldChar w:fldCharType="end"/>
      </w:r>
      <w:r>
        <w:rPr>
          <w:rFonts w:hint="eastAsia"/>
          <w:sz w:val="22"/>
        </w:rPr>
        <w:t>（一）</w:t>
      </w:r>
      <w:r>
        <w:rPr>
          <w:rFonts w:hint="eastAsia" w:asciiTheme="minorEastAsia" w:hAnsiTheme="minorEastAsia"/>
          <w:sz w:val="22"/>
        </w:rPr>
        <w:t>（2018）文法评字第30号《</w:t>
      </w:r>
      <w:r>
        <w:rPr>
          <w:rFonts w:hint="eastAsia" w:ascii="宋体" w:hAnsi="宋体" w:eastAsia="宋体"/>
          <w:sz w:val="22"/>
          <w:szCs w:val="24"/>
        </w:rPr>
        <w:t>海南省文昌市人民法院司法鉴定委托书</w:t>
      </w:r>
      <w:r>
        <w:rPr>
          <w:rFonts w:hint="eastAsia" w:asciiTheme="minorEastAsia" w:hAnsiTheme="minorEastAsia"/>
          <w:sz w:val="22"/>
        </w:rPr>
        <w:t>》</w:t>
      </w:r>
      <w:r>
        <w:rPr>
          <w:rFonts w:hint="eastAsia" w:ascii="宋体" w:hAnsi="宋体" w:eastAsia="宋体"/>
          <w:sz w:val="22"/>
          <w:szCs w:val="24"/>
        </w:rPr>
        <w:t>（复印件）</w:t>
      </w:r>
      <w:r>
        <w:rPr>
          <w:rFonts w:hint="eastAsia"/>
          <w:sz w:val="22"/>
        </w:rPr>
        <w:t>；</w:t>
      </w:r>
    </w:p>
    <w:p>
      <w:pPr>
        <w:spacing w:beforeLines="0" w:afterLines="0"/>
        <w:ind w:firstLine="440"/>
        <w:rPr>
          <w:sz w:val="22"/>
        </w:rPr>
      </w:pPr>
      <w:r>
        <w:rPr>
          <w:rFonts w:hint="eastAsia"/>
          <w:sz w:val="22"/>
        </w:rPr>
        <w:t>（二）</w:t>
      </w:r>
      <w:r>
        <w:rPr>
          <w:rFonts w:hint="eastAsia" w:ascii="宋体" w:hAnsi="宋体" w:eastAsia="宋体"/>
          <w:sz w:val="22"/>
          <w:szCs w:val="24"/>
        </w:rPr>
        <w:t>鉴定对象位置图及现状照片</w:t>
      </w:r>
      <w:r>
        <w:rPr>
          <w:rFonts w:hint="eastAsia"/>
          <w:sz w:val="22"/>
        </w:rPr>
        <w:t>；</w:t>
      </w:r>
    </w:p>
    <w:p>
      <w:pPr>
        <w:spacing w:beforeLines="0" w:afterLines="0"/>
        <w:ind w:firstLine="440"/>
        <w:rPr>
          <w:sz w:val="22"/>
        </w:rPr>
      </w:pPr>
      <w:r>
        <w:rPr>
          <w:rFonts w:hint="eastAsia"/>
          <w:sz w:val="22"/>
        </w:rPr>
        <w:t>（三）</w:t>
      </w:r>
      <w:r>
        <w:rPr>
          <w:rFonts w:hint="eastAsia" w:ascii="宋体" w:hAnsi="宋体" w:eastAsia="宋体"/>
          <w:snapToGrid w:val="0"/>
          <w:kern w:val="0"/>
          <w:sz w:val="22"/>
          <w:szCs w:val="24"/>
        </w:rPr>
        <w:t>可比实例位置图和外观照片</w:t>
      </w:r>
      <w:r>
        <w:rPr>
          <w:rFonts w:hint="eastAsia"/>
          <w:sz w:val="22"/>
        </w:rPr>
        <w:t>；</w:t>
      </w:r>
    </w:p>
    <w:p>
      <w:pPr>
        <w:spacing w:beforeLines="0" w:afterLines="0"/>
        <w:ind w:firstLine="440"/>
        <w:rPr>
          <w:rFonts w:asciiTheme="minorEastAsia" w:hAnsiTheme="minorEastAsia"/>
          <w:sz w:val="22"/>
        </w:rPr>
      </w:pPr>
      <w:r>
        <w:rPr>
          <w:rFonts w:hint="eastAsia"/>
          <w:sz w:val="22"/>
        </w:rPr>
        <w:t>（四）</w:t>
      </w:r>
      <w:r>
        <w:rPr>
          <w:rFonts w:hint="eastAsia" w:asciiTheme="minorEastAsia" w:hAnsiTheme="minorEastAsia"/>
          <w:sz w:val="22"/>
        </w:rPr>
        <w:t>文国用（2016）第W0300483号《国有土地使用证》（复印件）</w:t>
      </w:r>
      <w:r>
        <w:rPr>
          <w:rFonts w:hint="eastAsia"/>
          <w:sz w:val="22"/>
        </w:rPr>
        <w:t>。</w:t>
      </w:r>
    </w:p>
    <w:p>
      <w:pPr>
        <w:spacing w:beforeLines="0" w:afterLines="0"/>
        <w:ind w:firstLine="418" w:firstLineChars="190"/>
        <w:rPr>
          <w:sz w:val="22"/>
        </w:rPr>
      </w:pPr>
      <w:r>
        <w:rPr>
          <w:rFonts w:hint="eastAsia"/>
          <w:sz w:val="22"/>
        </w:rPr>
        <w:t>（五）文昌市房权证文房证字第</w:t>
      </w:r>
      <w:r>
        <w:rPr>
          <w:sz w:val="22"/>
        </w:rPr>
        <w:t>5</w:t>
      </w:r>
      <w:r>
        <w:rPr>
          <w:rFonts w:hint="eastAsia"/>
          <w:sz w:val="22"/>
        </w:rPr>
        <w:t>0931号《房屋</w:t>
      </w:r>
      <w:r>
        <w:rPr>
          <w:sz w:val="22"/>
        </w:rPr>
        <w:t>所有权证</w:t>
      </w:r>
      <w:r>
        <w:rPr>
          <w:rFonts w:hint="eastAsia"/>
          <w:sz w:val="22"/>
        </w:rPr>
        <w:t>》复印件</w:t>
      </w:r>
      <w:r>
        <w:rPr>
          <w:sz w:val="22"/>
        </w:rPr>
        <w:t>；</w:t>
      </w:r>
    </w:p>
    <w:p>
      <w:pPr>
        <w:spacing w:beforeLines="0" w:afterLines="0"/>
        <w:ind w:left="1212" w:leftChars="184" w:hanging="770" w:hangingChars="350"/>
        <w:rPr>
          <w:rFonts w:asciiTheme="minorEastAsia" w:hAnsiTheme="minorEastAsia"/>
          <w:snapToGrid w:val="0"/>
          <w:kern w:val="0"/>
          <w:sz w:val="22"/>
          <w:szCs w:val="24"/>
        </w:rPr>
      </w:pPr>
      <w:r>
        <w:rPr>
          <w:rFonts w:hint="eastAsia" w:asciiTheme="minorEastAsia" w:hAnsiTheme="minorEastAsia"/>
          <w:sz w:val="22"/>
        </w:rPr>
        <w:t>（</w:t>
      </w:r>
      <w:r>
        <w:rPr>
          <w:rFonts w:hint="eastAsia" w:asciiTheme="minorEastAsia" w:hAnsiTheme="minorEastAsia"/>
          <w:snapToGrid w:val="0"/>
          <w:kern w:val="0"/>
          <w:sz w:val="22"/>
          <w:szCs w:val="24"/>
        </w:rPr>
        <w:t>六</w:t>
      </w:r>
      <w:r>
        <w:rPr>
          <w:rFonts w:hint="eastAsia" w:asciiTheme="minorEastAsia" w:hAnsiTheme="minorEastAsia"/>
          <w:sz w:val="22"/>
        </w:rPr>
        <w:t>）</w:t>
      </w:r>
      <w:r>
        <w:rPr>
          <w:rFonts w:hint="eastAsia" w:asciiTheme="minorEastAsia" w:hAnsiTheme="minorEastAsia"/>
          <w:snapToGrid w:val="0"/>
          <w:kern w:val="0"/>
          <w:sz w:val="22"/>
          <w:szCs w:val="24"/>
        </w:rPr>
        <w:t>《房产面积测算报告书》（变更测绘报告）（复印件）；</w:t>
      </w:r>
    </w:p>
    <w:p>
      <w:pPr>
        <w:spacing w:beforeLines="0" w:afterLines="0"/>
        <w:ind w:left="1212" w:leftChars="184" w:hanging="770" w:hangingChars="350"/>
        <w:rPr>
          <w:rFonts w:asciiTheme="minorEastAsia" w:hAnsiTheme="minorEastAsia"/>
          <w:snapToGrid w:val="0"/>
          <w:kern w:val="0"/>
          <w:sz w:val="22"/>
          <w:szCs w:val="24"/>
        </w:rPr>
      </w:pPr>
      <w:r>
        <w:rPr>
          <w:rFonts w:hint="eastAsia" w:asciiTheme="minorEastAsia" w:hAnsiTheme="minorEastAsia"/>
          <w:sz w:val="22"/>
        </w:rPr>
        <w:t>（</w:t>
      </w:r>
      <w:r>
        <w:rPr>
          <w:rFonts w:hint="eastAsia" w:asciiTheme="minorEastAsia" w:hAnsiTheme="minorEastAsia"/>
          <w:snapToGrid w:val="0"/>
          <w:kern w:val="0"/>
          <w:sz w:val="22"/>
          <w:szCs w:val="24"/>
        </w:rPr>
        <w:t>七</w:t>
      </w:r>
      <w:r>
        <w:rPr>
          <w:rFonts w:hint="eastAsia" w:asciiTheme="minorEastAsia" w:hAnsiTheme="minorEastAsia"/>
          <w:sz w:val="22"/>
        </w:rPr>
        <w:t>）</w:t>
      </w:r>
      <w:r>
        <w:rPr>
          <w:sz w:val="22"/>
        </w:rPr>
        <w:t>《</w:t>
      </w:r>
      <w:r>
        <w:rPr>
          <w:rFonts w:hint="eastAsia"/>
          <w:sz w:val="22"/>
        </w:rPr>
        <w:t>文昌市</w:t>
      </w:r>
      <w:r>
        <w:rPr>
          <w:sz w:val="22"/>
        </w:rPr>
        <w:t>商品房买卖合同备案表》</w:t>
      </w:r>
      <w:r>
        <w:rPr>
          <w:rFonts w:hint="eastAsia"/>
          <w:sz w:val="22"/>
        </w:rPr>
        <w:t>（复印件）；</w:t>
      </w:r>
    </w:p>
    <w:p>
      <w:pPr>
        <w:spacing w:beforeLines="0" w:afterLines="0"/>
        <w:ind w:firstLine="418" w:firstLineChars="190"/>
        <w:rPr>
          <w:sz w:val="22"/>
        </w:rPr>
      </w:pPr>
      <w:r>
        <w:rPr>
          <w:rFonts w:hint="eastAsia" w:asciiTheme="minorEastAsia" w:hAnsiTheme="minorEastAsia"/>
          <w:sz w:val="22"/>
        </w:rPr>
        <w:t>（</w:t>
      </w:r>
      <w:r>
        <w:rPr>
          <w:rFonts w:hint="eastAsia" w:asciiTheme="minorEastAsia" w:hAnsiTheme="minorEastAsia"/>
          <w:snapToGrid w:val="0"/>
          <w:kern w:val="0"/>
          <w:sz w:val="22"/>
          <w:szCs w:val="24"/>
        </w:rPr>
        <w:t>八</w:t>
      </w:r>
      <w:r>
        <w:rPr>
          <w:rFonts w:hint="eastAsia" w:asciiTheme="minorEastAsia" w:hAnsiTheme="minorEastAsia"/>
          <w:sz w:val="22"/>
        </w:rPr>
        <w:t>）《房源核验单》</w:t>
      </w:r>
      <w:r>
        <w:rPr>
          <w:rFonts w:hint="eastAsia" w:asciiTheme="minorEastAsia" w:hAnsiTheme="minorEastAsia"/>
          <w:snapToGrid w:val="0"/>
          <w:kern w:val="0"/>
          <w:sz w:val="22"/>
          <w:szCs w:val="24"/>
        </w:rPr>
        <w:t>（复印件）；</w:t>
      </w:r>
    </w:p>
    <w:p>
      <w:pPr>
        <w:spacing w:beforeLines="0" w:afterLines="0"/>
        <w:ind w:firstLine="440"/>
        <w:rPr>
          <w:sz w:val="22"/>
        </w:rPr>
      </w:pPr>
      <w:r>
        <w:rPr>
          <w:rFonts w:hint="eastAsia"/>
          <w:sz w:val="22"/>
        </w:rPr>
        <w:t>（九）估价委托人营业执照（副本）（复印件）；</w:t>
      </w:r>
    </w:p>
    <w:p>
      <w:pPr>
        <w:spacing w:beforeLines="0" w:afterLines="0"/>
        <w:ind w:firstLine="440"/>
        <w:rPr>
          <w:sz w:val="22"/>
        </w:rPr>
      </w:pPr>
      <w:r>
        <w:rPr>
          <w:rFonts w:hint="eastAsia"/>
          <w:sz w:val="22"/>
        </w:rPr>
        <w:t>（十）</w:t>
      </w:r>
      <w:r>
        <w:rPr>
          <w:sz w:val="22"/>
        </w:rPr>
        <w:t>估价机构营业执照</w:t>
      </w:r>
      <w:r>
        <w:rPr>
          <w:rFonts w:hint="eastAsia"/>
          <w:sz w:val="22"/>
        </w:rPr>
        <w:t>（复印件）；</w:t>
      </w:r>
    </w:p>
    <w:p>
      <w:pPr>
        <w:spacing w:beforeLines="0" w:afterLines="0"/>
        <w:ind w:firstLine="440"/>
        <w:rPr>
          <w:sz w:val="22"/>
        </w:rPr>
      </w:pPr>
      <w:r>
        <w:rPr>
          <w:rFonts w:hint="eastAsia"/>
          <w:sz w:val="22"/>
        </w:rPr>
        <w:t>（十一）</w:t>
      </w:r>
      <w:r>
        <w:rPr>
          <w:sz w:val="22"/>
        </w:rPr>
        <w:t>估价机构房地产评估资格证书</w:t>
      </w:r>
      <w:r>
        <w:rPr>
          <w:rFonts w:hint="eastAsia"/>
          <w:sz w:val="22"/>
        </w:rPr>
        <w:t>（</w:t>
      </w:r>
      <w:r>
        <w:rPr>
          <w:sz w:val="22"/>
        </w:rPr>
        <w:t>复印件</w:t>
      </w:r>
      <w:r>
        <w:rPr>
          <w:rFonts w:hint="eastAsia"/>
          <w:sz w:val="22"/>
        </w:rPr>
        <w:t>）；</w:t>
      </w:r>
    </w:p>
    <w:p>
      <w:pPr>
        <w:spacing w:beforeLines="0" w:afterLines="0"/>
        <w:ind w:firstLine="440"/>
        <w:rPr>
          <w:sz w:val="22"/>
        </w:rPr>
      </w:pPr>
      <w:r>
        <w:rPr>
          <w:rFonts w:hint="eastAsia"/>
          <w:sz w:val="22"/>
        </w:rPr>
        <w:t>（十二）汇德机构业务全案档案目录。</w:t>
      </w:r>
    </w:p>
    <w:p>
      <w:pPr>
        <w:spacing w:before="156" w:after="156"/>
        <w:ind w:firstLine="0" w:firstLineChars="0"/>
        <w:jc w:val="center"/>
        <w:rPr>
          <w:rFonts w:ascii="黑体" w:hAnsi="黑体" w:eastAsia="黑体"/>
          <w:sz w:val="36"/>
          <w:lang w:val="zh-CN"/>
        </w:rPr>
      </w:pPr>
    </w:p>
    <w:p>
      <w:pPr>
        <w:pStyle w:val="2"/>
        <w:spacing w:before="156" w:after="156"/>
        <w:ind w:left="142"/>
        <w:sectPr>
          <w:footerReference r:id="rId11" w:type="default"/>
          <w:pgSz w:w="11906" w:h="16838"/>
          <w:pgMar w:top="1440" w:right="1800" w:bottom="1440" w:left="1800" w:header="851" w:footer="992" w:gutter="0"/>
          <w:pgNumType w:fmt="upperRoman" w:start="2"/>
          <w:cols w:space="425" w:num="1"/>
          <w:docGrid w:type="lines" w:linePitch="312" w:charSpace="0"/>
        </w:sectPr>
      </w:pPr>
      <w:bookmarkStart w:id="1" w:name="_Toc484528281"/>
      <w:bookmarkStart w:id="2" w:name="_Toc451160931"/>
    </w:p>
    <w:p>
      <w:pPr>
        <w:pStyle w:val="2"/>
        <w:spacing w:before="163" w:after="163"/>
        <w:ind w:left="142"/>
      </w:pPr>
      <w:r>
        <w:rPr>
          <w:rFonts w:hint="eastAsia"/>
        </w:rPr>
        <w:t>估价师声明</w:t>
      </w:r>
      <w:bookmarkEnd w:id="1"/>
      <w:bookmarkEnd w:id="2"/>
    </w:p>
    <w:p>
      <w:pPr>
        <w:spacing w:before="163" w:afterLines="0"/>
        <w:ind w:firstLine="0" w:firstLineChars="0"/>
        <w:rPr>
          <w:b/>
        </w:rPr>
      </w:pPr>
      <w:r>
        <w:rPr>
          <w:rFonts w:hint="eastAsia"/>
          <w:b/>
        </w:rPr>
        <w:t>我们根据自己的专业知识和职业道德，在此郑重声明：</w:t>
      </w:r>
    </w:p>
    <w:p>
      <w:pPr>
        <w:spacing w:before="163" w:afterLines="0"/>
        <w:ind w:firstLine="480"/>
        <w:rPr>
          <w:rFonts w:asciiTheme="minorEastAsia" w:hAnsiTheme="minorEastAsia"/>
        </w:rPr>
      </w:pPr>
      <w:r>
        <w:rPr>
          <w:rFonts w:hint="eastAsia" w:asciiTheme="minorEastAsia" w:hAnsiTheme="minorEastAsia"/>
        </w:rPr>
        <w:t>1.我们在本估价报告中对世事的说明是真实和准确的，没有虚假记载、误导性陈述和重大遗漏。</w:t>
      </w:r>
    </w:p>
    <w:p>
      <w:pPr>
        <w:spacing w:before="163" w:afterLines="0"/>
        <w:ind w:firstLine="480"/>
        <w:rPr>
          <w:rFonts w:asciiTheme="minorEastAsia" w:hAnsiTheme="minorEastAsia"/>
        </w:rPr>
      </w:pPr>
      <w:r>
        <w:rPr>
          <w:rFonts w:hint="eastAsia" w:asciiTheme="minorEastAsia" w:hAnsiTheme="minorEastAsia"/>
        </w:rPr>
        <w:t>2.本估价报告中的分析、意见和结论是我们独立、客观、公正的专业分析、意见和结论，但受到本估价报告所说明的假设和限制条件的限制。</w:t>
      </w:r>
    </w:p>
    <w:p>
      <w:pPr>
        <w:spacing w:before="163" w:afterLines="0"/>
        <w:ind w:firstLine="480"/>
        <w:rPr>
          <w:rFonts w:asciiTheme="minorEastAsia" w:hAnsiTheme="minorEastAsia"/>
        </w:rPr>
      </w:pPr>
      <w:r>
        <w:rPr>
          <w:rFonts w:hint="eastAsia" w:asciiTheme="minorEastAsia" w:hAnsiTheme="minorEastAsia"/>
        </w:rPr>
        <w:t>3.我们与本估价报告中的鉴定对象没有现实或潜在的利益，与估价委托人及估价利害关系人没有利害关系，也对鉴定对象、估价委托人及估价利害关系人没有偏见。</w:t>
      </w:r>
    </w:p>
    <w:p>
      <w:pPr>
        <w:spacing w:before="163" w:afterLines="0"/>
        <w:ind w:firstLine="480"/>
        <w:rPr>
          <w:rFonts w:asciiTheme="minorEastAsia" w:hAnsiTheme="minorEastAsia"/>
        </w:rPr>
      </w:pPr>
      <w:r>
        <w:rPr>
          <w:rFonts w:asciiTheme="minorEastAsia" w:hAnsiTheme="minorEastAsia"/>
        </w:rPr>
        <w:t>4</w:t>
      </w:r>
      <w:r>
        <w:rPr>
          <w:rFonts w:hint="eastAsia" w:asciiTheme="minorEastAsia" w:hAnsiTheme="minorEastAsia"/>
        </w:rPr>
        <w:t>.</w:t>
      </w:r>
      <w:r>
        <w:rPr>
          <w:rFonts w:asciiTheme="minorEastAsia" w:hAnsiTheme="minorEastAsia"/>
        </w:rPr>
        <w:t>我们按照</w:t>
      </w:r>
      <w:r>
        <w:rPr>
          <w:rFonts w:hint="eastAsia" w:asciiTheme="minorEastAsia" w:hAnsiTheme="minorEastAsia"/>
        </w:rPr>
        <w:t>《房地产估价规范》（GB</w:t>
      </w:r>
      <w:r>
        <w:rPr>
          <w:rFonts w:asciiTheme="minorEastAsia" w:hAnsiTheme="minorEastAsia"/>
        </w:rPr>
        <w:t>/T50291-2015</w:t>
      </w:r>
      <w:r>
        <w:rPr>
          <w:rFonts w:hint="eastAsia" w:asciiTheme="minorEastAsia" w:hAnsiTheme="minorEastAsia"/>
        </w:rPr>
        <w:t>）、</w:t>
      </w:r>
      <w:r>
        <w:rPr>
          <w:rFonts w:hint="eastAsia" w:asciiTheme="minorEastAsia" w:hAnsiTheme="minorEastAsia"/>
          <w:snapToGrid w:val="0"/>
          <w:kern w:val="0"/>
        </w:rPr>
        <w:t>《房地产估价基本术语标准》（</w:t>
      </w:r>
      <w:r>
        <w:rPr>
          <w:rFonts w:asciiTheme="minorEastAsia" w:hAnsiTheme="minorEastAsia"/>
        </w:rPr>
        <w:t>GB/T5</w:t>
      </w:r>
      <w:r>
        <w:rPr>
          <w:rFonts w:hint="eastAsia" w:asciiTheme="minorEastAsia" w:hAnsiTheme="minorEastAsia"/>
        </w:rPr>
        <w:t>0899</w:t>
      </w:r>
      <w:r>
        <w:rPr>
          <w:rFonts w:asciiTheme="minorEastAsia" w:hAnsiTheme="minorEastAsia"/>
        </w:rPr>
        <w:t>-</w:t>
      </w:r>
      <w:r>
        <w:rPr>
          <w:rFonts w:hint="eastAsia" w:asciiTheme="minorEastAsia" w:hAnsiTheme="minorEastAsia"/>
        </w:rPr>
        <w:t>2013</w:t>
      </w:r>
      <w:r>
        <w:rPr>
          <w:rFonts w:hint="eastAsia" w:asciiTheme="minorEastAsia" w:hAnsiTheme="minorEastAsia"/>
          <w:snapToGrid w:val="0"/>
          <w:kern w:val="0"/>
        </w:rPr>
        <w:t>）进行分析，形成意见和结论，撰写本估价报告</w:t>
      </w:r>
      <w:r>
        <w:rPr>
          <w:rFonts w:hint="eastAsia" w:asciiTheme="minorEastAsia" w:hAnsiTheme="minorEastAsia"/>
        </w:rPr>
        <w:t>。</w:t>
      </w:r>
    </w:p>
    <w:p>
      <w:pPr>
        <w:spacing w:before="163" w:afterLines="0"/>
        <w:ind w:firstLine="480"/>
        <w:rPr>
          <w:rFonts w:asciiTheme="minorEastAsia" w:hAnsiTheme="minorEastAsia"/>
        </w:rPr>
      </w:pPr>
      <w:r>
        <w:rPr>
          <w:rFonts w:hint="eastAsia" w:asciiTheme="minorEastAsia" w:hAnsiTheme="minorEastAsia"/>
        </w:rPr>
        <w:t>5.接受委托后，注册房地产估价师符玉斌、卫道仁等人于2018年12月25日对鉴定对象进行了现场查勘并进行拍照、记录。</w:t>
      </w:r>
    </w:p>
    <w:p>
      <w:pPr>
        <w:spacing w:before="163" w:afterLines="0"/>
        <w:ind w:firstLine="480"/>
        <w:rPr>
          <w:rFonts w:asciiTheme="minorEastAsia" w:hAnsiTheme="minorEastAsia"/>
        </w:rPr>
      </w:pPr>
      <w:r>
        <w:rPr>
          <w:rFonts w:hint="eastAsia" w:asciiTheme="minorEastAsia" w:hAnsiTheme="minorEastAsia"/>
        </w:rPr>
        <w:t>6．没有人对本估价报告提供重要专业帮助。</w:t>
      </w:r>
    </w:p>
    <w:p>
      <w:pPr>
        <w:spacing w:before="163" w:afterLines="0"/>
        <w:ind w:firstLine="480"/>
        <w:rPr>
          <w:rFonts w:asciiTheme="minorEastAsia" w:hAnsiTheme="minorEastAsia"/>
        </w:rPr>
      </w:pPr>
      <w:r>
        <w:rPr>
          <w:rFonts w:hint="eastAsia" w:asciiTheme="minorEastAsia" w:hAnsiTheme="minorEastAsia"/>
        </w:rPr>
        <w:t>7．委估范围与估价目的的实现不相匹配时与估价方责任无关，且资料提供方对其提供资料的真实性、完整性和合法性负责。</w:t>
      </w:r>
    </w:p>
    <w:p>
      <w:pPr>
        <w:pStyle w:val="44"/>
        <w:spacing w:before="163" w:afterLines="0" w:line="360" w:lineRule="auto"/>
      </w:pPr>
      <w:r>
        <w:t>撰写本报告的注册房地产估价师</w:t>
      </w:r>
    </w:p>
    <w:tbl>
      <w:tblPr>
        <w:tblStyle w:val="23"/>
        <w:tblW w:w="94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1927"/>
        <w:gridCol w:w="3420"/>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5" w:hRule="atLeast"/>
          <w:jc w:val="center"/>
        </w:trPr>
        <w:tc>
          <w:tcPr>
            <w:tcW w:w="1758"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姓名</w:t>
            </w:r>
          </w:p>
        </w:tc>
        <w:tc>
          <w:tcPr>
            <w:tcW w:w="1927"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注册号</w:t>
            </w:r>
          </w:p>
        </w:tc>
        <w:tc>
          <w:tcPr>
            <w:tcW w:w="3420"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签名</w:t>
            </w:r>
          </w:p>
        </w:tc>
        <w:tc>
          <w:tcPr>
            <w:tcW w:w="2369"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1" w:hRule="atLeast"/>
          <w:jc w:val="center"/>
        </w:trPr>
        <w:tc>
          <w:tcPr>
            <w:tcW w:w="1758"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符玉斌</w:t>
            </w:r>
          </w:p>
        </w:tc>
        <w:tc>
          <w:tcPr>
            <w:tcW w:w="1927"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4620020005</w:t>
            </w:r>
          </w:p>
        </w:tc>
        <w:tc>
          <w:tcPr>
            <w:tcW w:w="3420"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p>
        </w:tc>
        <w:tc>
          <w:tcPr>
            <w:tcW w:w="2369"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1758"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卫道仁</w:t>
            </w:r>
          </w:p>
        </w:tc>
        <w:tc>
          <w:tcPr>
            <w:tcW w:w="1927"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4420120004</w:t>
            </w:r>
          </w:p>
        </w:tc>
        <w:tc>
          <w:tcPr>
            <w:tcW w:w="3420"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p>
        </w:tc>
        <w:tc>
          <w:tcPr>
            <w:tcW w:w="2369"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年  月  日</w:t>
            </w:r>
          </w:p>
        </w:tc>
      </w:tr>
    </w:tbl>
    <w:p>
      <w:pPr>
        <w:pStyle w:val="2"/>
        <w:spacing w:before="163" w:after="163"/>
      </w:pPr>
      <w:bookmarkStart w:id="3" w:name="_Toc451160932"/>
      <w:bookmarkStart w:id="4" w:name="_Toc484528282"/>
      <w:r>
        <w:t>估价的假设和限制条件</w:t>
      </w:r>
      <w:bookmarkEnd w:id="3"/>
      <w:bookmarkEnd w:id="4"/>
    </w:p>
    <w:p>
      <w:pPr>
        <w:pStyle w:val="3"/>
        <w:spacing w:before="163" w:after="163"/>
        <w:ind w:firstLine="424" w:firstLineChars="151"/>
        <w:rPr>
          <w:szCs w:val="28"/>
        </w:rPr>
      </w:pPr>
      <w:bookmarkStart w:id="5" w:name="_Toc484528283"/>
      <w:bookmarkStart w:id="6" w:name="_Toc451160933"/>
      <w:r>
        <w:rPr>
          <w:szCs w:val="28"/>
        </w:rPr>
        <w:t>一般假设</w:t>
      </w:r>
      <w:bookmarkEnd w:id="5"/>
      <w:bookmarkEnd w:id="6"/>
    </w:p>
    <w:p>
      <w:pPr>
        <w:spacing w:before="163" w:after="163"/>
        <w:ind w:firstLine="480"/>
        <w:rPr>
          <w:rFonts w:asciiTheme="minorEastAsia" w:hAnsiTheme="minorEastAsia"/>
        </w:rPr>
      </w:pPr>
      <w:r>
        <w:rPr>
          <w:rFonts w:hint="eastAsia" w:asciiTheme="minorEastAsia" w:hAnsiTheme="minorEastAsia"/>
          <w:color w:val="000000" w:themeColor="text1"/>
        </w:rPr>
        <w:t>1．</w:t>
      </w:r>
      <w:r>
        <w:rPr>
          <w:rFonts w:hint="eastAsia" w:ascii="宋体" w:hAnsi="宋体"/>
          <w:color w:val="000000" w:themeColor="text1"/>
        </w:rPr>
        <w:t>鉴定对象产权完整、明晰，可在公开市场上自由转让</w:t>
      </w:r>
    </w:p>
    <w:p>
      <w:pPr>
        <w:spacing w:before="163" w:after="163"/>
        <w:ind w:firstLine="480"/>
        <w:rPr>
          <w:rFonts w:asciiTheme="minorEastAsia" w:hAnsiTheme="minorEastAsia"/>
        </w:rPr>
      </w:pPr>
      <w:r>
        <w:rPr>
          <w:rFonts w:asciiTheme="minorEastAsia" w:hAnsiTheme="minorEastAsia"/>
        </w:rPr>
        <w:t>2</w:t>
      </w:r>
      <w:r>
        <w:rPr>
          <w:rFonts w:hint="eastAsia" w:asciiTheme="minorEastAsia" w:hAnsiTheme="minorEastAsia"/>
        </w:rPr>
        <w:t>.报告中所采用的法规、规定和各级政府颁布的文件在估价报告使用期限内没有改变。</w:t>
      </w:r>
    </w:p>
    <w:p>
      <w:pPr>
        <w:spacing w:before="163" w:after="163"/>
        <w:ind w:firstLine="480"/>
        <w:rPr>
          <w:rFonts w:asciiTheme="minorEastAsia" w:hAnsiTheme="minorEastAsia"/>
        </w:rPr>
      </w:pPr>
      <w:r>
        <w:rPr>
          <w:rFonts w:asciiTheme="minorEastAsia" w:hAnsiTheme="minorEastAsia"/>
        </w:rPr>
        <w:t>3</w:t>
      </w:r>
      <w:r>
        <w:rPr>
          <w:rFonts w:hint="eastAsia" w:asciiTheme="minorEastAsia" w:hAnsiTheme="minorEastAsia"/>
        </w:rPr>
        <w:t>.市场供应关系、市场结构保持稳定、未发生重大变化或实质性改变。</w:t>
      </w:r>
    </w:p>
    <w:p>
      <w:pPr>
        <w:spacing w:before="163" w:after="163"/>
        <w:ind w:firstLine="480"/>
        <w:rPr>
          <w:rFonts w:asciiTheme="minorEastAsia" w:hAnsiTheme="minorEastAsia"/>
        </w:rPr>
      </w:pPr>
      <w:r>
        <w:rPr>
          <w:rFonts w:asciiTheme="minorEastAsia" w:hAnsiTheme="minorEastAsia"/>
        </w:rPr>
        <w:t>4</w:t>
      </w:r>
      <w:r>
        <w:rPr>
          <w:rFonts w:hint="eastAsia" w:asciiTheme="minorEastAsia" w:hAnsiTheme="minorEastAsia"/>
        </w:rPr>
        <w:t>.</w:t>
      </w:r>
      <w:r>
        <w:rPr>
          <w:rFonts w:asciiTheme="minorEastAsia" w:hAnsiTheme="minorEastAsia"/>
          <w:snapToGrid w:val="0"/>
          <w:kern w:val="0"/>
        </w:rPr>
        <w:t>鉴定对象价格评估鉴定以委托评估鉴定内容为基本依据和前提</w:t>
      </w:r>
      <w:r>
        <w:rPr>
          <w:rFonts w:hint="eastAsia" w:asciiTheme="minorEastAsia" w:hAnsiTheme="minorEastAsia"/>
          <w:snapToGrid w:val="0"/>
          <w:kern w:val="0"/>
        </w:rPr>
        <w:t>。</w:t>
      </w:r>
    </w:p>
    <w:p>
      <w:pPr>
        <w:spacing w:before="163" w:after="163"/>
        <w:ind w:firstLine="472" w:firstLineChars="197"/>
        <w:rPr>
          <w:rFonts w:asciiTheme="minorEastAsia" w:hAnsiTheme="minorEastAsia"/>
          <w:snapToGrid w:val="0"/>
          <w:kern w:val="0"/>
        </w:rPr>
      </w:pPr>
      <w:r>
        <w:rPr>
          <w:rFonts w:asciiTheme="minorEastAsia" w:hAnsiTheme="minorEastAsia"/>
          <w:snapToGrid w:val="0"/>
          <w:kern w:val="0"/>
        </w:rPr>
        <w:t>5</w:t>
      </w:r>
      <w:r>
        <w:rPr>
          <w:rFonts w:hint="eastAsia" w:asciiTheme="minorEastAsia" w:hAnsiTheme="minorEastAsia"/>
          <w:snapToGrid w:val="0"/>
          <w:kern w:val="0"/>
        </w:rPr>
        <w:t>.</w:t>
      </w:r>
      <w:r>
        <w:rPr>
          <w:rFonts w:hint="eastAsia" w:asciiTheme="minorEastAsia" w:hAnsiTheme="minorEastAsia"/>
          <w:snapToGrid w:val="0"/>
          <w:kern w:val="0"/>
          <w:szCs w:val="24"/>
        </w:rPr>
        <w:t>估价委托人提供了（2018）文法评字第30号《海南省文昌市人民法院司法鉴定委托书》原件、文国用（2016）第W0300483号《国有土地使用证》、文昌市房权证文房证字第50931号《房屋所有权证》、</w:t>
      </w:r>
      <w:r>
        <w:rPr>
          <w:rFonts w:hint="eastAsia" w:asciiTheme="minorEastAsia" w:hAnsiTheme="minorEastAsia"/>
          <w:szCs w:val="24"/>
        </w:rPr>
        <w:t>《房产面积测算报告书》（变更测绘报告）、</w:t>
      </w:r>
      <w:r>
        <w:rPr>
          <w:rFonts w:asciiTheme="minorEastAsia" w:hAnsiTheme="minorEastAsia"/>
        </w:rPr>
        <w:t>《</w:t>
      </w:r>
      <w:r>
        <w:rPr>
          <w:rFonts w:hint="eastAsia" w:asciiTheme="minorEastAsia" w:hAnsiTheme="minorEastAsia"/>
        </w:rPr>
        <w:t>文昌市</w:t>
      </w:r>
      <w:r>
        <w:rPr>
          <w:rFonts w:asciiTheme="minorEastAsia" w:hAnsiTheme="minorEastAsia"/>
        </w:rPr>
        <w:t>商品房买卖合同备案表》</w:t>
      </w:r>
      <w:r>
        <w:rPr>
          <w:rFonts w:hint="eastAsia" w:asciiTheme="minorEastAsia" w:hAnsiTheme="minorEastAsia"/>
        </w:rPr>
        <w:t>（复印件）</w:t>
      </w:r>
      <w:r>
        <w:rPr>
          <w:rFonts w:hint="eastAsia" w:asciiTheme="minorEastAsia" w:hAnsiTheme="minorEastAsia"/>
          <w:szCs w:val="24"/>
        </w:rPr>
        <w:t>、《房源核验单》复印件等资料，截止价值时点，</w:t>
      </w:r>
      <w:r>
        <w:rPr>
          <w:rFonts w:hint="eastAsia" w:asciiTheme="minorEastAsia" w:hAnsiTheme="minorEastAsia"/>
          <w:snapToGrid w:val="0"/>
          <w:kern w:val="0"/>
          <w:szCs w:val="24"/>
        </w:rPr>
        <w:t>注册房地产估价师对所提供资料所载明的权属、建筑面积、用途等资料进行了审慎检查，无理由怀疑其合法性、真实性、准确性和完整性，假定估价委托人提供的资料合法、真实、准确、完整</w:t>
      </w:r>
      <w:r>
        <w:rPr>
          <w:rFonts w:hint="eastAsia" w:asciiTheme="minorEastAsia" w:hAnsiTheme="minorEastAsia"/>
          <w:snapToGrid w:val="0"/>
          <w:kern w:val="0"/>
        </w:rPr>
        <w:t>。</w:t>
      </w:r>
    </w:p>
    <w:p>
      <w:pPr>
        <w:spacing w:before="163" w:after="163"/>
        <w:ind w:firstLine="480"/>
        <w:rPr>
          <w:rFonts w:asciiTheme="minorEastAsia" w:hAnsiTheme="minorEastAsia"/>
        </w:rPr>
      </w:pPr>
      <w:r>
        <w:rPr>
          <w:rFonts w:asciiTheme="minorEastAsia" w:hAnsiTheme="minorEastAsia"/>
        </w:rPr>
        <w:t>6</w:t>
      </w:r>
      <w:r>
        <w:rPr>
          <w:rFonts w:hint="eastAsia" w:asciiTheme="minorEastAsia" w:hAnsiTheme="minorEastAsia"/>
        </w:rPr>
        <w:t>.注册房地产估价师已对房屋安全、环境污染等影响鉴定对象价值的重大因素给予了关注，在无理由怀疑鉴定对象存在隐患且无相应的专业机构进行鉴定、检测的情况下，假定鉴定鉴定对象能正常安全使用。</w:t>
      </w:r>
    </w:p>
    <w:p>
      <w:pPr>
        <w:spacing w:before="163" w:after="163"/>
        <w:ind w:firstLine="480"/>
        <w:rPr>
          <w:rFonts w:asciiTheme="minorEastAsia" w:hAnsiTheme="minorEastAsia"/>
          <w:snapToGrid w:val="0"/>
          <w:kern w:val="0"/>
        </w:rPr>
      </w:pPr>
      <w:r>
        <w:rPr>
          <w:rFonts w:asciiTheme="minorEastAsia" w:hAnsiTheme="minorEastAsia"/>
        </w:rPr>
        <w:t>7</w:t>
      </w:r>
      <w:r>
        <w:rPr>
          <w:rFonts w:hint="eastAsia" w:asciiTheme="minorEastAsia" w:hAnsiTheme="minorEastAsia"/>
        </w:rPr>
        <w:t>.</w:t>
      </w:r>
      <w:r>
        <w:rPr>
          <w:rFonts w:hint="eastAsia" w:cs="Times New Roman" w:asciiTheme="minorEastAsia" w:hAnsiTheme="minorEastAsia"/>
          <w:snapToGrid w:val="0"/>
          <w:kern w:val="0"/>
        </w:rPr>
        <w:t>鉴定对象在价值时点的房地产市场为公开、平等、自愿的交易市场，即能满足以下条件：</w:t>
      </w:r>
    </w:p>
    <w:p>
      <w:pPr>
        <w:spacing w:before="163" w:after="163"/>
        <w:ind w:firstLine="480"/>
        <w:rPr>
          <w:rFonts w:asciiTheme="minorEastAsia" w:hAnsiTheme="minorEastAsia"/>
          <w:snapToGrid w:val="0"/>
          <w:kern w:val="0"/>
        </w:rPr>
      </w:pPr>
      <w:r>
        <w:rPr>
          <w:rFonts w:hint="eastAsia" w:cs="Times New Roman" w:asciiTheme="minorEastAsia" w:hAnsiTheme="minorEastAsia"/>
          <w:snapToGrid w:val="0"/>
          <w:kern w:val="0"/>
        </w:rPr>
        <w:t>（1）自愿销售的卖方及自愿购买的买方；</w:t>
      </w:r>
    </w:p>
    <w:p>
      <w:pPr>
        <w:spacing w:before="163" w:after="163"/>
        <w:ind w:firstLine="480"/>
        <w:rPr>
          <w:rFonts w:asciiTheme="minorEastAsia" w:hAnsiTheme="minorEastAsia"/>
          <w:snapToGrid w:val="0"/>
          <w:kern w:val="0"/>
        </w:rPr>
      </w:pPr>
      <w:r>
        <w:rPr>
          <w:rFonts w:hint="eastAsia" w:cs="Times New Roman" w:asciiTheme="minorEastAsia" w:hAnsiTheme="minorEastAsia"/>
          <w:snapToGrid w:val="0"/>
          <w:kern w:val="0"/>
        </w:rPr>
        <w:t>（2）交易双方无任何利害关系，交易的目的是追求各自利益的最大化；</w:t>
      </w:r>
    </w:p>
    <w:p>
      <w:pPr>
        <w:spacing w:before="163" w:after="163"/>
        <w:ind w:firstLine="480"/>
        <w:rPr>
          <w:rFonts w:asciiTheme="minorEastAsia" w:hAnsiTheme="minorEastAsia"/>
          <w:snapToGrid w:val="0"/>
          <w:kern w:val="0"/>
        </w:rPr>
      </w:pPr>
      <w:r>
        <w:rPr>
          <w:rFonts w:hint="eastAsia" w:cs="Times New Roman" w:asciiTheme="minorEastAsia" w:hAnsiTheme="minorEastAsia"/>
          <w:snapToGrid w:val="0"/>
          <w:kern w:val="0"/>
        </w:rPr>
        <w:t>（3）交易双方了解交易对象、知晓市场行情；</w:t>
      </w:r>
    </w:p>
    <w:p>
      <w:pPr>
        <w:spacing w:before="163" w:after="163"/>
        <w:ind w:firstLine="480"/>
        <w:rPr>
          <w:rFonts w:asciiTheme="minorEastAsia" w:hAnsiTheme="minorEastAsia"/>
          <w:snapToGrid w:val="0"/>
          <w:kern w:val="0"/>
        </w:rPr>
      </w:pPr>
      <w:r>
        <w:rPr>
          <w:rFonts w:hint="eastAsia" w:cs="Times New Roman" w:asciiTheme="minorEastAsia" w:hAnsiTheme="minorEastAsia"/>
          <w:snapToGrid w:val="0"/>
          <w:kern w:val="0"/>
        </w:rPr>
        <w:t>（4）交易双方有较充裕的时间进行交易；</w:t>
      </w:r>
    </w:p>
    <w:p>
      <w:pPr>
        <w:spacing w:before="163" w:after="163"/>
        <w:ind w:firstLine="480"/>
        <w:rPr>
          <w:rFonts w:asciiTheme="minorEastAsia" w:hAnsiTheme="minorEastAsia"/>
          <w:snapToGrid w:val="0"/>
          <w:kern w:val="0"/>
        </w:rPr>
      </w:pPr>
      <w:r>
        <w:rPr>
          <w:rFonts w:hint="eastAsia" w:cs="Times New Roman" w:asciiTheme="minorEastAsia" w:hAnsiTheme="minorEastAsia"/>
          <w:snapToGrid w:val="0"/>
          <w:kern w:val="0"/>
        </w:rPr>
        <w:t>（5）不存在特殊买者的附加出价。</w:t>
      </w:r>
    </w:p>
    <w:p>
      <w:pPr>
        <w:spacing w:before="163" w:after="163"/>
        <w:ind w:firstLine="480"/>
        <w:rPr>
          <w:rFonts w:asciiTheme="minorEastAsia" w:hAnsiTheme="minorEastAsia"/>
        </w:rPr>
      </w:pPr>
      <w:r>
        <w:rPr>
          <w:rFonts w:asciiTheme="minorEastAsia" w:hAnsiTheme="minorEastAsia"/>
        </w:rPr>
        <w:t>8</w:t>
      </w:r>
      <w:r>
        <w:rPr>
          <w:rFonts w:hint="eastAsia" w:asciiTheme="minorEastAsia" w:hAnsiTheme="minorEastAsia"/>
        </w:rPr>
        <w:t>.鉴定对象应享有公共部位的通行权及水电等共用设施的使用权。</w:t>
      </w:r>
    </w:p>
    <w:p>
      <w:pPr>
        <w:spacing w:before="163" w:after="163"/>
        <w:ind w:firstLine="480"/>
        <w:rPr>
          <w:rFonts w:asciiTheme="minorEastAsia" w:hAnsiTheme="minorEastAsia"/>
        </w:rPr>
      </w:pPr>
      <w:r>
        <w:rPr>
          <w:rFonts w:hint="eastAsia" w:asciiTheme="minorEastAsia" w:hAnsiTheme="minorEastAsia"/>
        </w:rPr>
        <w:t>9.根据估价委托人提供的现有</w:t>
      </w:r>
      <w:r>
        <w:rPr>
          <w:rFonts w:asciiTheme="minorEastAsia" w:hAnsiTheme="minorEastAsia"/>
        </w:rPr>
        <w:t>估价资料及</w:t>
      </w:r>
      <w:r>
        <w:rPr>
          <w:rFonts w:hint="eastAsia" w:asciiTheme="minorEastAsia" w:hAnsiTheme="minorEastAsia"/>
        </w:rPr>
        <w:t>注册</w:t>
      </w:r>
      <w:r>
        <w:rPr>
          <w:rFonts w:asciiTheme="minorEastAsia" w:hAnsiTheme="minorEastAsia"/>
        </w:rPr>
        <w:t>房地产估价师调查</w:t>
      </w:r>
      <w:r>
        <w:rPr>
          <w:rFonts w:hint="eastAsia" w:asciiTheme="minorEastAsia" w:hAnsiTheme="minorEastAsia"/>
        </w:rPr>
        <w:t>，鉴定对象已抵押、已</w:t>
      </w:r>
      <w:r>
        <w:rPr>
          <w:rFonts w:asciiTheme="minorEastAsia" w:hAnsiTheme="minorEastAsia"/>
        </w:rPr>
        <w:t>被查封，</w:t>
      </w:r>
      <w:r>
        <w:rPr>
          <w:rFonts w:hint="eastAsia" w:asciiTheme="minorEastAsia" w:hAnsiTheme="minorEastAsia"/>
        </w:rPr>
        <w:t>结合本次评估目的，本次评估没有考虑鉴定对象存在抵押、</w:t>
      </w:r>
      <w:r>
        <w:rPr>
          <w:rFonts w:asciiTheme="minorEastAsia" w:hAnsiTheme="minorEastAsia"/>
        </w:rPr>
        <w:t>被查封</w:t>
      </w:r>
      <w:r>
        <w:rPr>
          <w:rFonts w:hint="eastAsia" w:asciiTheme="minorEastAsia" w:hAnsiTheme="minorEastAsia"/>
        </w:rPr>
        <w:t>情况对评估结果的影响。提请相关利害人关注此事项。</w:t>
      </w:r>
    </w:p>
    <w:p>
      <w:pPr>
        <w:pStyle w:val="3"/>
        <w:spacing w:before="163" w:after="163"/>
        <w:ind w:firstLine="281"/>
        <w:rPr>
          <w:szCs w:val="28"/>
        </w:rPr>
      </w:pPr>
      <w:bookmarkStart w:id="7" w:name="_Toc451160934"/>
      <w:bookmarkStart w:id="8" w:name="_Toc484528284"/>
      <w:r>
        <w:rPr>
          <w:rFonts w:hint="eastAsia"/>
          <w:szCs w:val="28"/>
        </w:rPr>
        <w:t>未定</w:t>
      </w:r>
      <w:r>
        <w:rPr>
          <w:szCs w:val="28"/>
        </w:rPr>
        <w:t>事项假设</w:t>
      </w:r>
      <w:bookmarkEnd w:id="7"/>
      <w:bookmarkEnd w:id="8"/>
    </w:p>
    <w:p>
      <w:pPr>
        <w:spacing w:before="163" w:after="163"/>
        <w:ind w:firstLine="480"/>
        <w:rPr>
          <w:rFonts w:cs="Times New Roman" w:asciiTheme="minorEastAsia" w:hAnsiTheme="minorEastAsia"/>
          <w:color w:val="000000" w:themeColor="text1"/>
        </w:rPr>
      </w:pPr>
      <w:r>
        <w:rPr>
          <w:rFonts w:cs="Times New Roman" w:asciiTheme="minorEastAsia" w:hAnsiTheme="minorEastAsia"/>
          <w:color w:val="000000" w:themeColor="text1"/>
        </w:rPr>
        <w:t>1</w:t>
      </w:r>
      <w:r>
        <w:rPr>
          <w:rFonts w:hint="eastAsia" w:cs="Times New Roman" w:asciiTheme="minorEastAsia" w:hAnsiTheme="minorEastAsia"/>
          <w:color w:val="000000" w:themeColor="text1"/>
        </w:rPr>
        <w:t>.本估价报告鉴定结果包含了其应分摊的国有出让土地使用权价格。截止价值时点，若原产权人尚有任何有关鉴定对象的应缴而实际未缴税费，则应按照规定缴纳或从评估价值中相应扣减。</w:t>
      </w:r>
    </w:p>
    <w:p>
      <w:pPr>
        <w:spacing w:before="163" w:after="163"/>
        <w:ind w:firstLine="480"/>
        <w:rPr>
          <w:rFonts w:cs="Times New Roman" w:asciiTheme="minorEastAsia" w:hAnsiTheme="minorEastAsia"/>
          <w:color w:val="000000" w:themeColor="text1"/>
        </w:rPr>
      </w:pPr>
      <w:r>
        <w:rPr>
          <w:rFonts w:cs="Times New Roman" w:asciiTheme="minorEastAsia" w:hAnsiTheme="minorEastAsia"/>
          <w:color w:val="000000" w:themeColor="text1"/>
        </w:rPr>
        <w:t>2</w:t>
      </w:r>
      <w:r>
        <w:rPr>
          <w:rFonts w:hint="eastAsia" w:cs="Times New Roman" w:asciiTheme="minorEastAsia" w:hAnsiTheme="minorEastAsia"/>
          <w:color w:val="000000" w:themeColor="text1"/>
        </w:rPr>
        <w:t>.本次估价鉴定采用公开市场价值标准，评估价格为客观公开市场价格，不包含由于产权变更、确认所发生的相关税费，该相关税费主要包括诉讼费及执行费、律师费、评估费、拍卖佣金、交易环节的相关费用（增值税及附加、土地增值税、印花税手续费、登记费等其他费用），估价结果不包含上述相关税费，处置时交易环节的税金应以有关税务部门计算的为准，</w:t>
      </w:r>
      <w:r>
        <w:rPr>
          <w:rFonts w:hint="eastAsia" w:asciiTheme="minorEastAsia" w:hAnsiTheme="minorEastAsia"/>
          <w:color w:val="000000" w:themeColor="text1"/>
        </w:rPr>
        <w:t>请相关利害人</w:t>
      </w:r>
      <w:r>
        <w:rPr>
          <w:rFonts w:hint="eastAsia" w:cs="Times New Roman" w:asciiTheme="minorEastAsia" w:hAnsiTheme="minorEastAsia"/>
          <w:color w:val="000000" w:themeColor="text1"/>
        </w:rPr>
        <w:t>正确使用估价结果。</w:t>
      </w:r>
    </w:p>
    <w:p>
      <w:pPr>
        <w:pStyle w:val="3"/>
        <w:spacing w:before="163" w:after="163"/>
        <w:ind w:firstLine="281"/>
        <w:rPr>
          <w:szCs w:val="28"/>
        </w:rPr>
      </w:pPr>
      <w:bookmarkStart w:id="9" w:name="_Toc484528285"/>
      <w:bookmarkStart w:id="10" w:name="_Toc451160935"/>
      <w:r>
        <w:rPr>
          <w:szCs w:val="28"/>
        </w:rPr>
        <w:t>背离</w:t>
      </w:r>
      <w:r>
        <w:rPr>
          <w:rFonts w:hint="eastAsia"/>
          <w:szCs w:val="28"/>
        </w:rPr>
        <w:t>事实</w:t>
      </w:r>
      <w:r>
        <w:rPr>
          <w:szCs w:val="28"/>
        </w:rPr>
        <w:t>假设</w:t>
      </w:r>
      <w:bookmarkEnd w:id="9"/>
      <w:bookmarkEnd w:id="10"/>
    </w:p>
    <w:p>
      <w:pPr>
        <w:spacing w:before="163" w:after="163"/>
        <w:ind w:firstLine="480"/>
        <w:rPr>
          <w:rFonts w:asciiTheme="minorEastAsia" w:hAnsiTheme="minorEastAsia"/>
        </w:rPr>
      </w:pPr>
      <w:r>
        <w:rPr>
          <w:rFonts w:hint="eastAsia" w:asciiTheme="minorEastAsia" w:hAnsiTheme="minorEastAsia"/>
        </w:rPr>
        <w:t>1.截止价值时点，鉴定对象420房、426房已被海南省文昌市人民法院查封，本次估价假设鉴定对象420房、426房产权清晰，不考虑已存在被查封情况对估价结果的影响。</w:t>
      </w:r>
    </w:p>
    <w:p>
      <w:pPr>
        <w:spacing w:before="163" w:after="163"/>
        <w:ind w:firstLine="480"/>
        <w:rPr>
          <w:rFonts w:asciiTheme="minorEastAsia" w:hAnsiTheme="minorEastAsia"/>
        </w:rPr>
      </w:pPr>
      <w:r>
        <w:rPr>
          <w:rFonts w:hint="eastAsia" w:asciiTheme="minorEastAsia" w:hAnsiTheme="minorEastAsia"/>
        </w:rPr>
        <w:t>2.根据</w:t>
      </w:r>
      <w:r>
        <w:rPr>
          <w:rFonts w:asciiTheme="minorEastAsia" w:hAnsiTheme="minorEastAsia"/>
        </w:rPr>
        <w:t>注册房地产估价师</w:t>
      </w:r>
      <w:r>
        <w:rPr>
          <w:rFonts w:hint="eastAsia" w:asciiTheme="minorEastAsia" w:hAnsiTheme="minorEastAsia"/>
        </w:rPr>
        <w:t>现场查勘时的口头询问，相关当事人陈述</w:t>
      </w:r>
      <w:r>
        <w:rPr>
          <w:rFonts w:asciiTheme="minorEastAsia" w:hAnsiTheme="minorEastAsia"/>
        </w:rPr>
        <w:t>鉴定</w:t>
      </w:r>
      <w:r>
        <w:rPr>
          <w:rFonts w:hint="eastAsia" w:asciiTheme="minorEastAsia" w:hAnsiTheme="minorEastAsia"/>
        </w:rPr>
        <w:t>对房地产已作为抵押物向中国工商</w:t>
      </w:r>
      <w:r>
        <w:rPr>
          <w:rFonts w:asciiTheme="minorEastAsia" w:hAnsiTheme="minorEastAsia"/>
        </w:rPr>
        <w:t>银行文昌支行</w:t>
      </w:r>
      <w:r>
        <w:rPr>
          <w:rFonts w:hint="eastAsia" w:asciiTheme="minorEastAsia" w:hAnsiTheme="minorEastAsia"/>
        </w:rPr>
        <w:t>贷款，截止</w:t>
      </w:r>
      <w:r>
        <w:rPr>
          <w:rFonts w:asciiTheme="minorEastAsia" w:hAnsiTheme="minorEastAsia"/>
        </w:rPr>
        <w:t>价值时点</w:t>
      </w:r>
      <w:r>
        <w:rPr>
          <w:rFonts w:hint="eastAsia" w:asciiTheme="minorEastAsia" w:hAnsiTheme="minorEastAsia"/>
        </w:rPr>
        <w:t>，鉴定对象仍在抵押之中，剩余</w:t>
      </w:r>
      <w:r>
        <w:rPr>
          <w:rFonts w:asciiTheme="minorEastAsia" w:hAnsiTheme="minorEastAsia"/>
        </w:rPr>
        <w:t>欠款</w:t>
      </w:r>
      <w:r>
        <w:rPr>
          <w:rFonts w:hint="eastAsia" w:asciiTheme="minorEastAsia" w:hAnsiTheme="minorEastAsia"/>
        </w:rPr>
        <w:t>9万</w:t>
      </w:r>
      <w:r>
        <w:rPr>
          <w:rFonts w:asciiTheme="minorEastAsia" w:hAnsiTheme="minorEastAsia"/>
        </w:rPr>
        <w:t>元尚未还清</w:t>
      </w:r>
      <w:r>
        <w:rPr>
          <w:rFonts w:hint="eastAsia" w:asciiTheme="minorEastAsia" w:hAnsiTheme="minorEastAsia"/>
        </w:rPr>
        <w:t>，结合本次评估目的，本次评估没有考虑存在抵押情况对评估结果的影响。</w:t>
      </w:r>
    </w:p>
    <w:p>
      <w:pPr>
        <w:spacing w:before="163" w:after="163"/>
        <w:ind w:firstLine="480"/>
        <w:rPr>
          <w:rFonts w:asciiTheme="minorEastAsia" w:hAnsiTheme="minorEastAsia"/>
        </w:rPr>
      </w:pPr>
      <w:r>
        <w:rPr>
          <w:rFonts w:asciiTheme="minorEastAsia" w:hAnsiTheme="minorEastAsia"/>
        </w:rPr>
        <w:t>3</w:t>
      </w:r>
      <w:r>
        <w:rPr>
          <w:rFonts w:hint="eastAsia" w:asciiTheme="minorEastAsia" w:hAnsiTheme="minorEastAsia"/>
        </w:rPr>
        <w:t>.估价结果是为委托法院办理案件提供价格依据，估价时没有考虑国家宏观经济政策发生变化、市场供应关系变化、市场结构转变、遇有自然力和其他不可抗力等因素对房地产价值的影响，也没有考虑鉴定对象在将来特殊交易方式下的特殊交易价格等对估价结果的影响。当上述条件发生变化时，估价结果一般亦会发生变化。</w:t>
      </w:r>
    </w:p>
    <w:p>
      <w:pPr>
        <w:spacing w:before="163" w:after="163"/>
        <w:ind w:firstLine="480"/>
        <w:rPr>
          <w:rFonts w:asciiTheme="minorEastAsia" w:hAnsiTheme="minorEastAsia"/>
        </w:rPr>
      </w:pPr>
      <w:r>
        <w:rPr>
          <w:rFonts w:asciiTheme="minorEastAsia" w:hAnsiTheme="minorEastAsia"/>
        </w:rPr>
        <w:t>4</w:t>
      </w:r>
      <w:r>
        <w:rPr>
          <w:rFonts w:hint="eastAsia" w:asciiTheme="minorEastAsia" w:hAnsiTheme="minorEastAsia"/>
        </w:rPr>
        <w:t>.估价结果未考虑鉴定对象及其所有权人已承担的债务、或有债务对其价值的影响。</w:t>
      </w:r>
    </w:p>
    <w:p>
      <w:pPr>
        <w:spacing w:before="163" w:after="163"/>
        <w:ind w:firstLine="480"/>
        <w:rPr>
          <w:szCs w:val="24"/>
        </w:rPr>
      </w:pPr>
      <w:r>
        <w:rPr>
          <w:rFonts w:asciiTheme="minorEastAsia" w:hAnsiTheme="minorEastAsia"/>
        </w:rPr>
        <w:t>5</w:t>
      </w:r>
      <w:r>
        <w:rPr>
          <w:rFonts w:hint="eastAsia" w:asciiTheme="minorEastAsia" w:hAnsiTheme="minorEastAsia"/>
        </w:rPr>
        <w:t>.</w:t>
      </w:r>
      <w:r>
        <w:rPr>
          <w:rFonts w:hint="eastAsia" w:ascii="宋体" w:hAnsi="宋体"/>
        </w:rPr>
        <w:t>本报告评估结果是假设鉴定对象具有完整、清晰产权条件下的评估结果，因鉴定对象截止价值时点尚未办理《不动产权证书》</w:t>
      </w:r>
      <w:r>
        <w:rPr>
          <w:rFonts w:hint="eastAsia" w:ascii="宋体" w:hAnsi="宋体"/>
          <w:color w:val="000000"/>
        </w:rPr>
        <w:t>，在合法办理产权证过程中所产生费用须由有关政府部门确定，提请估价委托人在依法处置过程中披露鉴定对象存在的瑕疵，明确完善产权过程中有关费用的承担问题，提请买受人在购买之前进一步核实相关的情况再做出慎重的决定。请相关利害人正确使用评估结果。</w:t>
      </w:r>
      <w:r>
        <w:rPr>
          <w:rFonts w:hint="eastAsia" w:ascii="宋体" w:hAnsi="宋体"/>
        </w:rPr>
        <w:t>如拍卖成交，提请相关利害人调查清楚须补交的费用及该由谁承担等问题后再进行分配。</w:t>
      </w:r>
    </w:p>
    <w:p>
      <w:pPr>
        <w:pStyle w:val="3"/>
        <w:spacing w:before="163" w:after="163"/>
        <w:ind w:firstLine="281"/>
        <w:rPr>
          <w:szCs w:val="28"/>
        </w:rPr>
      </w:pPr>
      <w:bookmarkStart w:id="11" w:name="_Toc451160936"/>
      <w:bookmarkStart w:id="12" w:name="_Toc484528286"/>
      <w:r>
        <w:rPr>
          <w:szCs w:val="28"/>
        </w:rPr>
        <w:t>不相一致假设</w:t>
      </w:r>
      <w:bookmarkEnd w:id="11"/>
      <w:bookmarkEnd w:id="12"/>
    </w:p>
    <w:p>
      <w:pPr>
        <w:spacing w:before="163" w:after="163"/>
        <w:ind w:firstLine="480"/>
        <w:rPr>
          <w:rFonts w:asciiTheme="minorEastAsia" w:hAnsiTheme="minorEastAsia"/>
          <w:szCs w:val="24"/>
        </w:rPr>
      </w:pPr>
      <w:r>
        <w:rPr>
          <w:rFonts w:asciiTheme="minorEastAsia" w:hAnsiTheme="minorEastAsia"/>
          <w:szCs w:val="24"/>
        </w:rPr>
        <w:t>1</w:t>
      </w:r>
      <w:r>
        <w:rPr>
          <w:rFonts w:hint="eastAsia" w:asciiTheme="minorEastAsia" w:hAnsiTheme="minorEastAsia"/>
          <w:szCs w:val="24"/>
        </w:rPr>
        <w:t>.</w:t>
      </w:r>
      <w:r>
        <w:rPr>
          <w:rFonts w:hint="eastAsia" w:asciiTheme="minorEastAsia" w:hAnsiTheme="minorEastAsia"/>
        </w:rPr>
        <w:t>根据估价委托人提供的文昌市</w:t>
      </w:r>
      <w:r>
        <w:rPr>
          <w:rFonts w:asciiTheme="minorEastAsia" w:hAnsiTheme="minorEastAsia"/>
        </w:rPr>
        <w:t>房地产测绘中心</w:t>
      </w:r>
      <w:r>
        <w:rPr>
          <w:rFonts w:hint="eastAsia" w:asciiTheme="minorEastAsia" w:hAnsiTheme="minorEastAsia"/>
        </w:rPr>
        <w:t>于2014年9月28日</w:t>
      </w:r>
      <w:r>
        <w:rPr>
          <w:rFonts w:asciiTheme="minorEastAsia" w:hAnsiTheme="minorEastAsia"/>
        </w:rPr>
        <w:t>出具的</w:t>
      </w:r>
      <w:r>
        <w:rPr>
          <w:rFonts w:hint="eastAsia" w:asciiTheme="minorEastAsia" w:hAnsiTheme="minorEastAsia"/>
        </w:rPr>
        <w:t>《房产面积测算报告书》（变更</w:t>
      </w:r>
      <w:r>
        <w:rPr>
          <w:rFonts w:asciiTheme="minorEastAsia" w:hAnsiTheme="minorEastAsia"/>
        </w:rPr>
        <w:t>测绘报告</w:t>
      </w:r>
      <w:r>
        <w:rPr>
          <w:rFonts w:hint="eastAsia" w:asciiTheme="minorEastAsia" w:hAnsiTheme="minorEastAsia"/>
        </w:rPr>
        <w:t>）及文昌市</w:t>
      </w:r>
      <w:r>
        <w:rPr>
          <w:rFonts w:asciiTheme="minorEastAsia" w:hAnsiTheme="minorEastAsia"/>
        </w:rPr>
        <w:t>房屋交易管理中心于</w:t>
      </w:r>
      <w:r>
        <w:rPr>
          <w:rFonts w:hint="eastAsia" w:asciiTheme="minorEastAsia" w:hAnsiTheme="minorEastAsia"/>
        </w:rPr>
        <w:t>2018年12月17日</w:t>
      </w:r>
      <w:r>
        <w:rPr>
          <w:rFonts w:asciiTheme="minorEastAsia" w:hAnsiTheme="minorEastAsia"/>
        </w:rPr>
        <w:t>出具的《</w:t>
      </w:r>
      <w:r>
        <w:rPr>
          <w:rFonts w:hint="eastAsia" w:asciiTheme="minorEastAsia" w:hAnsiTheme="minorEastAsia"/>
        </w:rPr>
        <w:t>房源</w:t>
      </w:r>
      <w:r>
        <w:rPr>
          <w:rFonts w:asciiTheme="minorEastAsia" w:hAnsiTheme="minorEastAsia"/>
        </w:rPr>
        <w:t>核验单》</w:t>
      </w:r>
      <w:r>
        <w:rPr>
          <w:rFonts w:hint="eastAsia" w:asciiTheme="minorEastAsia" w:hAnsiTheme="minorEastAsia"/>
        </w:rPr>
        <w:t>载明</w:t>
      </w:r>
      <w:r>
        <w:rPr>
          <w:rFonts w:asciiTheme="minorEastAsia" w:hAnsiTheme="minorEastAsia"/>
        </w:rPr>
        <w:t>鉴定对象</w:t>
      </w:r>
      <w:r>
        <w:rPr>
          <w:rFonts w:hint="eastAsia" w:asciiTheme="minorEastAsia" w:hAnsiTheme="minorEastAsia"/>
        </w:rPr>
        <w:t>418房、420房、426房建筑</w:t>
      </w:r>
      <w:r>
        <w:rPr>
          <w:rFonts w:asciiTheme="minorEastAsia" w:hAnsiTheme="minorEastAsia"/>
        </w:rPr>
        <w:t>面积</w:t>
      </w:r>
      <w:r>
        <w:rPr>
          <w:rFonts w:hint="eastAsia" w:asciiTheme="minorEastAsia" w:hAnsiTheme="minorEastAsia"/>
        </w:rPr>
        <w:t>均为</w:t>
      </w:r>
      <w:r>
        <w:rPr>
          <w:rFonts w:asciiTheme="minorEastAsia" w:hAnsiTheme="minorEastAsia"/>
        </w:rPr>
        <w:t>41.03</w:t>
      </w:r>
      <w:r>
        <w:rPr>
          <w:rFonts w:hint="eastAsia" w:asciiTheme="minorEastAsia" w:hAnsiTheme="minorEastAsia"/>
        </w:rPr>
        <w:t>平方米</w:t>
      </w:r>
      <w:r>
        <w:rPr>
          <w:rFonts w:asciiTheme="minorEastAsia" w:hAnsiTheme="minorEastAsia"/>
        </w:rPr>
        <w:t>，《</w:t>
      </w:r>
      <w:r>
        <w:rPr>
          <w:rFonts w:hint="eastAsia" w:asciiTheme="minorEastAsia" w:hAnsiTheme="minorEastAsia"/>
        </w:rPr>
        <w:t>文昌市</w:t>
      </w:r>
      <w:r>
        <w:rPr>
          <w:rFonts w:asciiTheme="minorEastAsia" w:hAnsiTheme="minorEastAsia"/>
        </w:rPr>
        <w:t>商品房买卖合同备案表》</w:t>
      </w:r>
      <w:r>
        <w:rPr>
          <w:rFonts w:hint="eastAsia" w:asciiTheme="minorEastAsia" w:hAnsiTheme="minorEastAsia"/>
        </w:rPr>
        <w:t>载鉴定</w:t>
      </w:r>
      <w:r>
        <w:rPr>
          <w:rFonts w:asciiTheme="minorEastAsia" w:hAnsiTheme="minorEastAsia"/>
        </w:rPr>
        <w:t>对象</w:t>
      </w:r>
      <w:r>
        <w:rPr>
          <w:rFonts w:hint="eastAsia" w:asciiTheme="minorEastAsia" w:hAnsiTheme="minorEastAsia"/>
        </w:rPr>
        <w:t>418房、420房、426房建筑</w:t>
      </w:r>
      <w:r>
        <w:rPr>
          <w:rFonts w:asciiTheme="minorEastAsia" w:hAnsiTheme="minorEastAsia"/>
        </w:rPr>
        <w:t>面积</w:t>
      </w:r>
      <w:r>
        <w:rPr>
          <w:rFonts w:hint="eastAsia" w:asciiTheme="minorEastAsia" w:hAnsiTheme="minorEastAsia"/>
        </w:rPr>
        <w:t>均为39.67平方米，备案时间</w:t>
      </w:r>
      <w:r>
        <w:rPr>
          <w:rFonts w:asciiTheme="minorEastAsia" w:hAnsiTheme="minorEastAsia"/>
        </w:rPr>
        <w:t>为</w:t>
      </w:r>
      <w:r>
        <w:rPr>
          <w:rFonts w:hint="eastAsia" w:asciiTheme="minorEastAsia" w:hAnsiTheme="minorEastAsia"/>
        </w:rPr>
        <w:t>2013年02月20日，</w:t>
      </w:r>
      <w:r>
        <w:rPr>
          <w:rFonts w:asciiTheme="minorEastAsia" w:hAnsiTheme="minorEastAsia"/>
        </w:rPr>
        <w:t>商品房买卖合同备案</w:t>
      </w:r>
      <w:r>
        <w:rPr>
          <w:rFonts w:hint="eastAsia" w:asciiTheme="minorEastAsia" w:hAnsiTheme="minorEastAsia"/>
        </w:rPr>
        <w:t>表</w:t>
      </w:r>
      <w:r>
        <w:rPr>
          <w:rFonts w:asciiTheme="minorEastAsia" w:hAnsiTheme="minorEastAsia"/>
        </w:rPr>
        <w:t>中的</w:t>
      </w:r>
      <w:r>
        <w:rPr>
          <w:rFonts w:hint="eastAsia" w:asciiTheme="minorEastAsia" w:hAnsiTheme="minorEastAsia"/>
        </w:rPr>
        <w:t>建筑</w:t>
      </w:r>
      <w:r>
        <w:rPr>
          <w:rFonts w:asciiTheme="minorEastAsia" w:hAnsiTheme="minorEastAsia"/>
        </w:rPr>
        <w:t>面积一般</w:t>
      </w:r>
      <w:r>
        <w:rPr>
          <w:rFonts w:hint="eastAsia" w:asciiTheme="minorEastAsia" w:hAnsiTheme="minorEastAsia"/>
        </w:rPr>
        <w:t>以房屋</w:t>
      </w:r>
      <w:r>
        <w:rPr>
          <w:rFonts w:asciiTheme="minorEastAsia" w:hAnsiTheme="minorEastAsia"/>
        </w:rPr>
        <w:t>预售许可证</w:t>
      </w:r>
      <w:r>
        <w:rPr>
          <w:rFonts w:hint="eastAsia" w:asciiTheme="minorEastAsia" w:hAnsiTheme="minorEastAsia"/>
        </w:rPr>
        <w:t>载明</w:t>
      </w:r>
      <w:r>
        <w:rPr>
          <w:rFonts w:asciiTheme="minorEastAsia" w:hAnsiTheme="minorEastAsia"/>
        </w:rPr>
        <w:t>的建筑面积为依据</w:t>
      </w:r>
      <w:r>
        <w:rPr>
          <w:rFonts w:hint="eastAsia" w:asciiTheme="minorEastAsia" w:hAnsiTheme="minorEastAsia"/>
        </w:rPr>
        <w:t>。考虑到《房产面积测算报告书》（变更</w:t>
      </w:r>
      <w:r>
        <w:rPr>
          <w:rFonts w:asciiTheme="minorEastAsia" w:hAnsiTheme="minorEastAsia"/>
        </w:rPr>
        <w:t>测绘报告</w:t>
      </w:r>
      <w:r>
        <w:rPr>
          <w:rFonts w:hint="eastAsia" w:asciiTheme="minorEastAsia" w:hAnsiTheme="minorEastAsia"/>
        </w:rPr>
        <w:t>）与</w:t>
      </w:r>
      <w:r>
        <w:rPr>
          <w:rFonts w:asciiTheme="minorEastAsia" w:hAnsiTheme="minorEastAsia"/>
        </w:rPr>
        <w:t>《</w:t>
      </w:r>
      <w:r>
        <w:rPr>
          <w:rFonts w:hint="eastAsia" w:asciiTheme="minorEastAsia" w:hAnsiTheme="minorEastAsia"/>
        </w:rPr>
        <w:t>房源</w:t>
      </w:r>
      <w:r>
        <w:rPr>
          <w:rFonts w:asciiTheme="minorEastAsia" w:hAnsiTheme="minorEastAsia"/>
        </w:rPr>
        <w:t>核验单》</w:t>
      </w:r>
      <w:r>
        <w:rPr>
          <w:rFonts w:hint="eastAsia" w:asciiTheme="minorEastAsia" w:hAnsiTheme="minorEastAsia"/>
        </w:rPr>
        <w:t>出具</w:t>
      </w:r>
      <w:r>
        <w:rPr>
          <w:rFonts w:asciiTheme="minorEastAsia" w:hAnsiTheme="minorEastAsia"/>
        </w:rPr>
        <w:t>日期均在《</w:t>
      </w:r>
      <w:r>
        <w:rPr>
          <w:rFonts w:hint="eastAsia" w:asciiTheme="minorEastAsia" w:hAnsiTheme="minorEastAsia"/>
        </w:rPr>
        <w:t>文昌市</w:t>
      </w:r>
      <w:r>
        <w:rPr>
          <w:rFonts w:asciiTheme="minorEastAsia" w:hAnsiTheme="minorEastAsia"/>
        </w:rPr>
        <w:t>商品房买卖合同备案表》</w:t>
      </w:r>
      <w:r>
        <w:rPr>
          <w:rFonts w:hint="eastAsia" w:asciiTheme="minorEastAsia" w:hAnsiTheme="minorEastAsia"/>
        </w:rPr>
        <w:t>之前</w:t>
      </w:r>
      <w:r>
        <w:rPr>
          <w:rFonts w:asciiTheme="minorEastAsia" w:hAnsiTheme="minorEastAsia"/>
        </w:rPr>
        <w:t>，本次评估</w:t>
      </w:r>
      <w:r>
        <w:rPr>
          <w:rFonts w:hint="eastAsia" w:asciiTheme="minorEastAsia" w:hAnsiTheme="minorEastAsia"/>
        </w:rPr>
        <w:t>鉴定</w:t>
      </w:r>
      <w:r>
        <w:rPr>
          <w:rFonts w:asciiTheme="minorEastAsia" w:hAnsiTheme="minorEastAsia"/>
        </w:rPr>
        <w:t>对象建筑面积</w:t>
      </w:r>
      <w:r>
        <w:rPr>
          <w:rFonts w:hint="eastAsia" w:asciiTheme="minorEastAsia" w:hAnsiTheme="minorEastAsia"/>
        </w:rPr>
        <w:t>以41.03平方米为测算依据</w:t>
      </w:r>
      <w:r>
        <w:rPr>
          <w:rFonts w:asciiTheme="minorEastAsia" w:hAnsiTheme="minorEastAsia"/>
        </w:rPr>
        <w:t>，</w:t>
      </w:r>
      <w:r>
        <w:rPr>
          <w:rFonts w:hint="eastAsia" w:asciiTheme="minorEastAsia" w:hAnsiTheme="minorEastAsia"/>
        </w:rPr>
        <w:t>如与最终办理</w:t>
      </w:r>
      <w:r>
        <w:rPr>
          <w:rFonts w:asciiTheme="minorEastAsia" w:hAnsiTheme="minorEastAsia"/>
        </w:rPr>
        <w:t>《</w:t>
      </w:r>
      <w:r>
        <w:rPr>
          <w:rFonts w:hint="eastAsia" w:asciiTheme="minorEastAsia" w:hAnsiTheme="minorEastAsia"/>
        </w:rPr>
        <w:t>不动产权</w:t>
      </w:r>
      <w:r>
        <w:rPr>
          <w:rFonts w:asciiTheme="minorEastAsia" w:hAnsiTheme="minorEastAsia"/>
        </w:rPr>
        <w:t>证书》</w:t>
      </w:r>
      <w:r>
        <w:rPr>
          <w:rFonts w:hint="eastAsia" w:asciiTheme="minorEastAsia" w:hAnsiTheme="minorEastAsia"/>
        </w:rPr>
        <w:t>登记</w:t>
      </w:r>
      <w:r>
        <w:rPr>
          <w:rFonts w:asciiTheme="minorEastAsia" w:hAnsiTheme="minorEastAsia"/>
        </w:rPr>
        <w:t>的建筑面积</w:t>
      </w:r>
      <w:r>
        <w:rPr>
          <w:rFonts w:hint="eastAsia" w:asciiTheme="minorEastAsia" w:hAnsiTheme="minorEastAsia"/>
        </w:rPr>
        <w:t>不符，则应以</w:t>
      </w:r>
      <w:r>
        <w:rPr>
          <w:rFonts w:asciiTheme="minorEastAsia" w:hAnsiTheme="minorEastAsia"/>
        </w:rPr>
        <w:t>《</w:t>
      </w:r>
      <w:r>
        <w:rPr>
          <w:rFonts w:hint="eastAsia" w:asciiTheme="minorEastAsia" w:hAnsiTheme="minorEastAsia"/>
        </w:rPr>
        <w:t>不动产权</w:t>
      </w:r>
      <w:r>
        <w:rPr>
          <w:rFonts w:asciiTheme="minorEastAsia" w:hAnsiTheme="minorEastAsia"/>
        </w:rPr>
        <w:t>证书》</w:t>
      </w:r>
      <w:r>
        <w:rPr>
          <w:rFonts w:hint="eastAsia" w:asciiTheme="minorEastAsia" w:hAnsiTheme="minorEastAsia"/>
        </w:rPr>
        <w:t>登记的为准并对估价报告进行调整甚至重估</w:t>
      </w:r>
      <w:r>
        <w:rPr>
          <w:rFonts w:hint="eastAsia" w:asciiTheme="minorEastAsia" w:hAnsiTheme="minorEastAsia"/>
          <w:szCs w:val="24"/>
        </w:rPr>
        <w:t>。</w:t>
      </w:r>
    </w:p>
    <w:p>
      <w:pPr>
        <w:spacing w:before="163" w:after="163"/>
        <w:ind w:firstLine="480"/>
        <w:rPr>
          <w:rFonts w:asciiTheme="minorEastAsia" w:hAnsiTheme="minorEastAsia"/>
          <w:szCs w:val="24"/>
        </w:rPr>
      </w:pPr>
      <w:r>
        <w:rPr>
          <w:rFonts w:asciiTheme="minorEastAsia" w:hAnsiTheme="minorEastAsia"/>
          <w:szCs w:val="24"/>
        </w:rPr>
        <w:t>2</w:t>
      </w:r>
      <w:r>
        <w:rPr>
          <w:rFonts w:hint="eastAsia" w:asciiTheme="minorEastAsia" w:hAnsiTheme="minorEastAsia"/>
          <w:szCs w:val="24"/>
        </w:rPr>
        <w:t>.</w:t>
      </w:r>
      <w:r>
        <w:rPr>
          <w:rFonts w:hint="eastAsia" w:asciiTheme="minorEastAsia" w:hAnsiTheme="minorEastAsia"/>
        </w:rPr>
        <w:t>根据估价</w:t>
      </w:r>
      <w:r>
        <w:rPr>
          <w:rFonts w:asciiTheme="minorEastAsia" w:hAnsiTheme="minorEastAsia"/>
        </w:rPr>
        <w:t>委托</w:t>
      </w:r>
      <w:r>
        <w:rPr>
          <w:rFonts w:hint="eastAsia" w:asciiTheme="minorEastAsia" w:hAnsiTheme="minorEastAsia"/>
        </w:rPr>
        <w:t>人</w:t>
      </w:r>
      <w:r>
        <w:rPr>
          <w:rFonts w:asciiTheme="minorEastAsia" w:hAnsiTheme="minorEastAsia"/>
        </w:rPr>
        <w:t>提供的</w:t>
      </w:r>
      <w:r>
        <w:rPr>
          <w:rFonts w:hint="eastAsia" w:asciiTheme="minorEastAsia" w:hAnsiTheme="minorEastAsia"/>
        </w:rPr>
        <w:t>现有</w:t>
      </w:r>
      <w:r>
        <w:rPr>
          <w:rFonts w:asciiTheme="minorEastAsia" w:hAnsiTheme="minorEastAsia"/>
        </w:rPr>
        <w:t>估价资料，</w:t>
      </w:r>
      <w:r>
        <w:rPr>
          <w:rFonts w:hint="eastAsia" w:asciiTheme="minorEastAsia" w:hAnsiTheme="minorEastAsia"/>
        </w:rPr>
        <w:t>《国有土地</w:t>
      </w:r>
      <w:r>
        <w:rPr>
          <w:rFonts w:asciiTheme="minorEastAsia" w:hAnsiTheme="minorEastAsia"/>
        </w:rPr>
        <w:t>使用</w:t>
      </w:r>
      <w:r>
        <w:rPr>
          <w:rFonts w:hint="eastAsia" w:asciiTheme="minorEastAsia" w:hAnsiTheme="minorEastAsia"/>
        </w:rPr>
        <w:t>证》（证号</w:t>
      </w:r>
      <w:r>
        <w:rPr>
          <w:rFonts w:asciiTheme="minorEastAsia" w:hAnsiTheme="minorEastAsia"/>
        </w:rPr>
        <w:t>为：文国</w:t>
      </w:r>
      <w:r>
        <w:rPr>
          <w:rFonts w:hint="eastAsia" w:asciiTheme="minorEastAsia" w:hAnsiTheme="minorEastAsia"/>
        </w:rPr>
        <w:t>用</w:t>
      </w:r>
      <w:r>
        <w:rPr>
          <w:rFonts w:asciiTheme="minorEastAsia" w:hAnsiTheme="minorEastAsia"/>
        </w:rPr>
        <w:t>（</w:t>
      </w:r>
      <w:r>
        <w:rPr>
          <w:rFonts w:hint="eastAsia" w:asciiTheme="minorEastAsia" w:hAnsiTheme="minorEastAsia"/>
        </w:rPr>
        <w:t>2016</w:t>
      </w:r>
      <w:r>
        <w:rPr>
          <w:rFonts w:asciiTheme="minorEastAsia" w:hAnsiTheme="minorEastAsia"/>
        </w:rPr>
        <w:t>）</w:t>
      </w:r>
      <w:r>
        <w:rPr>
          <w:rFonts w:hint="eastAsia" w:asciiTheme="minorEastAsia" w:hAnsiTheme="minorEastAsia"/>
        </w:rPr>
        <w:t>第W0300483号）载明</w:t>
      </w:r>
      <w:r>
        <w:rPr>
          <w:rFonts w:asciiTheme="minorEastAsia" w:hAnsiTheme="minorEastAsia"/>
        </w:rPr>
        <w:t>土地用途为商住</w:t>
      </w:r>
      <w:r>
        <w:rPr>
          <w:rFonts w:hint="eastAsia" w:asciiTheme="minorEastAsia" w:hAnsiTheme="minorEastAsia"/>
        </w:rPr>
        <w:t>、《房屋</w:t>
      </w:r>
      <w:r>
        <w:rPr>
          <w:rFonts w:asciiTheme="minorEastAsia" w:hAnsiTheme="minorEastAsia"/>
        </w:rPr>
        <w:t>所有权证</w:t>
      </w:r>
      <w:r>
        <w:rPr>
          <w:rFonts w:hint="eastAsia" w:asciiTheme="minorEastAsia" w:hAnsiTheme="minorEastAsia"/>
        </w:rPr>
        <w:t>》（证号</w:t>
      </w:r>
      <w:r>
        <w:rPr>
          <w:rFonts w:asciiTheme="minorEastAsia" w:hAnsiTheme="minorEastAsia"/>
        </w:rPr>
        <w:t>为</w:t>
      </w:r>
      <w:r>
        <w:rPr>
          <w:rFonts w:hint="eastAsia" w:asciiTheme="minorEastAsia" w:hAnsiTheme="minorEastAsia"/>
        </w:rPr>
        <w:t>：</w:t>
      </w:r>
      <w:r>
        <w:rPr>
          <w:rFonts w:asciiTheme="minorEastAsia" w:hAnsiTheme="minorEastAsia"/>
        </w:rPr>
        <w:t>文昌市</w:t>
      </w:r>
      <w:r>
        <w:rPr>
          <w:rFonts w:hint="eastAsia" w:asciiTheme="minorEastAsia" w:hAnsiTheme="minorEastAsia"/>
        </w:rPr>
        <w:t>房权证</w:t>
      </w:r>
      <w:r>
        <w:rPr>
          <w:rFonts w:asciiTheme="minorEastAsia" w:hAnsiTheme="minorEastAsia"/>
        </w:rPr>
        <w:t>文房证字第</w:t>
      </w:r>
      <w:r>
        <w:rPr>
          <w:rFonts w:hint="eastAsia" w:asciiTheme="minorEastAsia" w:hAnsiTheme="minorEastAsia"/>
        </w:rPr>
        <w:t>50931号）载明</w:t>
      </w:r>
      <w:r>
        <w:rPr>
          <w:rFonts w:asciiTheme="minorEastAsia" w:hAnsiTheme="minorEastAsia"/>
        </w:rPr>
        <w:t>房屋用途</w:t>
      </w:r>
      <w:r>
        <w:rPr>
          <w:rFonts w:hint="eastAsia" w:asciiTheme="minorEastAsia" w:hAnsiTheme="minorEastAsia"/>
        </w:rPr>
        <w:t>为</w:t>
      </w:r>
      <w:r>
        <w:rPr>
          <w:rFonts w:asciiTheme="minorEastAsia" w:hAnsiTheme="minorEastAsia"/>
        </w:rPr>
        <w:t>商业</w:t>
      </w:r>
      <w:r>
        <w:rPr>
          <w:rFonts w:hint="eastAsia" w:asciiTheme="minorEastAsia" w:hAnsiTheme="minorEastAsia"/>
        </w:rPr>
        <w:t>，</w:t>
      </w:r>
      <w:r>
        <w:rPr>
          <w:rFonts w:asciiTheme="minorEastAsia" w:hAnsiTheme="minorEastAsia"/>
        </w:rPr>
        <w:t>《</w:t>
      </w:r>
      <w:r>
        <w:rPr>
          <w:rFonts w:hint="eastAsia" w:asciiTheme="minorEastAsia" w:hAnsiTheme="minorEastAsia"/>
        </w:rPr>
        <w:t>文昌市</w:t>
      </w:r>
      <w:r>
        <w:rPr>
          <w:rFonts w:asciiTheme="minorEastAsia" w:hAnsiTheme="minorEastAsia"/>
        </w:rPr>
        <w:t>商品房买卖合同备案表》</w:t>
      </w:r>
      <w:r>
        <w:rPr>
          <w:rFonts w:hint="eastAsia" w:asciiTheme="minorEastAsia" w:hAnsiTheme="minorEastAsia"/>
        </w:rPr>
        <w:t>（复印件）载明</w:t>
      </w:r>
      <w:r>
        <w:rPr>
          <w:rFonts w:asciiTheme="minorEastAsia" w:hAnsiTheme="minorEastAsia"/>
        </w:rPr>
        <w:t>房屋用途为办公</w:t>
      </w:r>
      <w:r>
        <w:rPr>
          <w:rFonts w:hint="eastAsia" w:asciiTheme="minorEastAsia" w:hAnsiTheme="minorEastAsia"/>
        </w:rPr>
        <w:t>，土地的用途与房屋载明的用途不相一致，本次评估以房屋载明的规划用途为依据进行评估，鉴定对象规划用途以核发后的《不动产权证书》登记的为准</w:t>
      </w:r>
      <w:r>
        <w:rPr>
          <w:rFonts w:hint="eastAsia" w:asciiTheme="minorEastAsia" w:hAnsiTheme="minorEastAsia"/>
          <w:szCs w:val="24"/>
        </w:rPr>
        <w:t>。</w:t>
      </w:r>
    </w:p>
    <w:p>
      <w:pPr>
        <w:pStyle w:val="3"/>
        <w:spacing w:before="163" w:after="163"/>
        <w:ind w:firstLine="281"/>
        <w:rPr>
          <w:szCs w:val="28"/>
        </w:rPr>
      </w:pPr>
      <w:bookmarkStart w:id="13" w:name="_Toc451160937"/>
      <w:bookmarkStart w:id="14" w:name="_Toc484528287"/>
      <w:r>
        <w:rPr>
          <w:szCs w:val="28"/>
        </w:rPr>
        <w:t>依据不足假设</w:t>
      </w:r>
      <w:bookmarkEnd w:id="13"/>
      <w:bookmarkEnd w:id="14"/>
    </w:p>
    <w:p>
      <w:pPr>
        <w:spacing w:before="163" w:after="163"/>
        <w:ind w:firstLine="480"/>
      </w:pPr>
      <w:r>
        <w:rPr>
          <w:rFonts w:hint="eastAsia" w:asciiTheme="minorEastAsia" w:hAnsiTheme="minorEastAsia"/>
        </w:rPr>
        <w:t>估价委托人未提供鉴定对象建筑物相关建成年份资料，经注册房地产估价师实地调查，鉴定对象建成于</w:t>
      </w:r>
      <w:r>
        <w:rPr>
          <w:rFonts w:asciiTheme="minorEastAsia" w:hAnsiTheme="minorEastAsia"/>
        </w:rPr>
        <w:t>2013</w:t>
      </w:r>
      <w:r>
        <w:rPr>
          <w:rFonts w:hint="eastAsia" w:asciiTheme="minorEastAsia" w:hAnsiTheme="minorEastAsia"/>
        </w:rPr>
        <w:t>年，本次估价建筑物的建成年份以实际调查为准，仅在本报告中使用，不作其他任何用途使用</w:t>
      </w:r>
      <w:r>
        <w:rPr>
          <w:rFonts w:hint="eastAsia"/>
        </w:rPr>
        <w:t>。</w:t>
      </w:r>
    </w:p>
    <w:p>
      <w:pPr>
        <w:pStyle w:val="3"/>
        <w:spacing w:before="163" w:after="163"/>
        <w:ind w:firstLine="281"/>
        <w:rPr>
          <w:szCs w:val="28"/>
        </w:rPr>
      </w:pPr>
      <w:bookmarkStart w:id="15" w:name="_Toc451160938"/>
      <w:bookmarkStart w:id="16" w:name="_Toc484528288"/>
      <w:r>
        <w:rPr>
          <w:szCs w:val="28"/>
        </w:rPr>
        <w:t>估价报告使用限制</w:t>
      </w:r>
      <w:bookmarkEnd w:id="15"/>
      <w:bookmarkEnd w:id="16"/>
    </w:p>
    <w:p>
      <w:pPr>
        <w:spacing w:before="163" w:afterLines="0"/>
        <w:ind w:firstLine="480"/>
        <w:rPr>
          <w:rFonts w:asciiTheme="minorEastAsia" w:hAnsiTheme="minorEastAsia"/>
        </w:rPr>
      </w:pPr>
      <w:r>
        <w:rPr>
          <w:rFonts w:hint="eastAsia" w:asciiTheme="minorEastAsia" w:hAnsiTheme="minorEastAsia"/>
        </w:rPr>
        <w:t>1.本估价报告仅用于</w:t>
      </w:r>
      <w:r>
        <w:rPr>
          <w:rFonts w:hint="eastAsia" w:asciiTheme="minorEastAsia" w:hAnsiTheme="minorEastAsia"/>
          <w:snapToGrid w:val="0"/>
          <w:kern w:val="0"/>
        </w:rPr>
        <w:t>为委托方办理案件提供价格依据</w:t>
      </w:r>
      <w:r>
        <w:rPr>
          <w:rFonts w:hint="eastAsia" w:asciiTheme="minorEastAsia" w:hAnsiTheme="minorEastAsia"/>
        </w:rPr>
        <w:t>，不得用于其他用途，他用无效。</w:t>
      </w:r>
    </w:p>
    <w:p>
      <w:pPr>
        <w:spacing w:before="163" w:afterLines="0"/>
        <w:ind w:firstLine="480"/>
        <w:rPr>
          <w:rFonts w:asciiTheme="minorEastAsia" w:hAnsiTheme="minorEastAsia"/>
        </w:rPr>
      </w:pPr>
      <w:r>
        <w:rPr>
          <w:rFonts w:hint="eastAsia" w:asciiTheme="minorEastAsia" w:hAnsiTheme="minorEastAsia"/>
        </w:rPr>
        <w:t>2.</w:t>
      </w:r>
      <w:r>
        <w:rPr>
          <w:rFonts w:asciiTheme="minorEastAsia" w:hAnsiTheme="minorEastAsia"/>
        </w:rPr>
        <w:t>本估价报告专为估价委托人所使用</w:t>
      </w:r>
      <w:r>
        <w:rPr>
          <w:rFonts w:hint="eastAsia" w:asciiTheme="minorEastAsia" w:hAnsiTheme="minorEastAsia"/>
        </w:rPr>
        <w:t>，</w:t>
      </w:r>
      <w:r>
        <w:rPr>
          <w:rFonts w:asciiTheme="minorEastAsia" w:hAnsiTheme="minorEastAsia"/>
        </w:rPr>
        <w:t>未经本估价机构同意</w:t>
      </w:r>
      <w:r>
        <w:rPr>
          <w:rFonts w:hint="eastAsia" w:asciiTheme="minorEastAsia" w:hAnsiTheme="minorEastAsia"/>
        </w:rPr>
        <w:t>，</w:t>
      </w:r>
      <w:r>
        <w:rPr>
          <w:rFonts w:asciiTheme="minorEastAsia" w:hAnsiTheme="minorEastAsia"/>
        </w:rPr>
        <w:t>不得向估价委托人和报告审查部门之外的单位和个人提供</w:t>
      </w:r>
      <w:r>
        <w:rPr>
          <w:rFonts w:hint="eastAsia" w:asciiTheme="minorEastAsia" w:hAnsiTheme="minorEastAsia"/>
        </w:rPr>
        <w:t>；</w:t>
      </w:r>
      <w:r>
        <w:rPr>
          <w:rFonts w:asciiTheme="minorEastAsia" w:hAnsiTheme="minorEastAsia"/>
        </w:rPr>
        <w:t>本报告的全部或部分及任何资料均不允许在任何公开发表的文件</w:t>
      </w:r>
      <w:r>
        <w:rPr>
          <w:rFonts w:hint="eastAsia" w:asciiTheme="minorEastAsia" w:hAnsiTheme="minorEastAsia"/>
        </w:rPr>
        <w:t>、</w:t>
      </w:r>
      <w:r>
        <w:rPr>
          <w:rFonts w:asciiTheme="minorEastAsia" w:hAnsiTheme="minorEastAsia"/>
        </w:rPr>
        <w:t>通告或声明中引用</w:t>
      </w:r>
      <w:r>
        <w:rPr>
          <w:rFonts w:hint="eastAsia" w:asciiTheme="minorEastAsia" w:hAnsiTheme="minorEastAsia"/>
        </w:rPr>
        <w:t>，</w:t>
      </w:r>
      <w:r>
        <w:rPr>
          <w:rFonts w:asciiTheme="minorEastAsia" w:hAnsiTheme="minorEastAsia"/>
        </w:rPr>
        <w:t>亦不得以其他任何方式公开发表</w:t>
      </w:r>
      <w:r>
        <w:rPr>
          <w:rFonts w:hint="eastAsia" w:asciiTheme="minorEastAsia" w:hAnsiTheme="minorEastAsia"/>
        </w:rPr>
        <w:t>。</w:t>
      </w:r>
    </w:p>
    <w:p>
      <w:pPr>
        <w:spacing w:before="163" w:afterLines="0"/>
        <w:ind w:firstLine="480"/>
        <w:rPr>
          <w:rFonts w:asciiTheme="minorEastAsia" w:hAnsiTheme="minorEastAsia"/>
        </w:rPr>
      </w:pPr>
      <w:r>
        <w:rPr>
          <w:rFonts w:hint="eastAsia" w:asciiTheme="minorEastAsia" w:hAnsiTheme="minorEastAsia"/>
        </w:rPr>
        <w:t>3.本估价报告自出具之日起一年内有效，即报告有效期从</w:t>
      </w:r>
      <w:r>
        <w:rPr>
          <w:rFonts w:hint="eastAsia" w:asciiTheme="minorEastAsia" w:hAnsiTheme="minorEastAsia"/>
          <w:lang w:eastAsia="zh-CN"/>
        </w:rPr>
        <w:t>2019年04月12日</w:t>
      </w:r>
      <w:r>
        <w:rPr>
          <w:rFonts w:hint="eastAsia" w:asciiTheme="minorEastAsia" w:hAnsiTheme="minorEastAsia"/>
        </w:rPr>
        <w:t>至</w:t>
      </w:r>
      <w:r>
        <w:rPr>
          <w:rFonts w:hint="eastAsia" w:asciiTheme="minorEastAsia" w:hAnsiTheme="minorEastAsia"/>
          <w:lang w:eastAsia="zh-CN"/>
        </w:rPr>
        <w:t>2020年04月11日</w:t>
      </w:r>
      <w:r>
        <w:rPr>
          <w:rFonts w:hint="eastAsia" w:asciiTheme="minorEastAsia" w:hAnsiTheme="minorEastAsia"/>
        </w:rPr>
        <w:t>止。但价值时点后，在报告有效期内鉴定对象的质量及价格标准发生变化，并对鉴定对象价值产生明显影响时，不能直接使用本估价结果；超过一年，需重新进行估价。</w:t>
      </w:r>
    </w:p>
    <w:p>
      <w:pPr>
        <w:spacing w:before="163" w:afterLines="0"/>
        <w:ind w:firstLine="480"/>
        <w:rPr>
          <w:rFonts w:asciiTheme="minorEastAsia" w:hAnsiTheme="minorEastAsia"/>
        </w:rPr>
      </w:pPr>
      <w:r>
        <w:rPr>
          <w:rFonts w:hint="eastAsia" w:asciiTheme="minorEastAsia" w:hAnsiTheme="minorEastAsia"/>
        </w:rPr>
        <w:t>4.</w:t>
      </w:r>
      <w:r>
        <w:rPr>
          <w:rFonts w:asciiTheme="minorEastAsia" w:hAnsiTheme="minorEastAsia"/>
        </w:rPr>
        <w:t>本估价报告由海南汇德土地房地产评估咨询有限公司负责解释</w:t>
      </w:r>
      <w:r>
        <w:rPr>
          <w:rFonts w:hint="eastAsia" w:asciiTheme="minorEastAsia" w:hAnsiTheme="minorEastAsia"/>
        </w:rPr>
        <w:t>。</w:t>
      </w:r>
    </w:p>
    <w:p>
      <w:pPr>
        <w:spacing w:before="163" w:afterLines="0"/>
        <w:ind w:firstLine="480"/>
        <w:rPr>
          <w:rFonts w:asciiTheme="minorEastAsia" w:hAnsiTheme="minorEastAsia"/>
        </w:rPr>
      </w:pPr>
      <w:r>
        <w:rPr>
          <w:rFonts w:hint="eastAsia" w:asciiTheme="minorEastAsia" w:hAnsiTheme="minorEastAsia"/>
        </w:rPr>
        <w:t>5.</w:t>
      </w:r>
      <w:r>
        <w:rPr>
          <w:rFonts w:asciiTheme="minorEastAsia" w:hAnsiTheme="minorEastAsia"/>
        </w:rPr>
        <w:t>本估价报告必须经估价机构加盖公章</w:t>
      </w:r>
      <w:r>
        <w:rPr>
          <w:rFonts w:hint="eastAsia" w:asciiTheme="minorEastAsia" w:hAnsiTheme="minorEastAsia"/>
        </w:rPr>
        <w:t>、</w:t>
      </w:r>
      <w:r>
        <w:rPr>
          <w:rFonts w:asciiTheme="minorEastAsia" w:hAnsiTheme="minorEastAsia"/>
        </w:rPr>
        <w:t>注册房地产估价师签字后方可使用</w:t>
      </w:r>
      <w:r>
        <w:rPr>
          <w:rFonts w:hint="eastAsia" w:asciiTheme="minorEastAsia" w:hAnsiTheme="minorEastAsia"/>
        </w:rPr>
        <w:t>，估价机构仅对本报告的原件承担责任，对任何形式的复制件概不认可且不承担责任。</w:t>
      </w:r>
    </w:p>
    <w:p>
      <w:pPr>
        <w:pStyle w:val="3"/>
        <w:spacing w:before="163" w:after="163"/>
        <w:ind w:firstLine="281"/>
        <w:rPr>
          <w:szCs w:val="28"/>
        </w:rPr>
      </w:pPr>
      <w:bookmarkStart w:id="17" w:name="_Toc484528289"/>
      <w:r>
        <w:rPr>
          <w:szCs w:val="28"/>
        </w:rPr>
        <w:t>本次估价需要注意的其他事项</w:t>
      </w:r>
      <w:bookmarkEnd w:id="17"/>
    </w:p>
    <w:p>
      <w:pPr>
        <w:spacing w:before="163" w:afterLines="0"/>
        <w:ind w:firstLine="480"/>
        <w:rPr>
          <w:rFonts w:asciiTheme="minorEastAsia" w:hAnsiTheme="minorEastAsia"/>
        </w:rPr>
      </w:pPr>
      <w:r>
        <w:rPr>
          <w:rFonts w:hint="eastAsia" w:asciiTheme="minorEastAsia" w:hAnsiTheme="minorEastAsia"/>
        </w:rPr>
        <w:t>1.报告使用方应结合估价的假设和限制条件正确使用估价结果。</w:t>
      </w:r>
    </w:p>
    <w:p>
      <w:pPr>
        <w:spacing w:before="163" w:afterLines="0"/>
        <w:ind w:firstLine="480"/>
        <w:rPr>
          <w:rFonts w:asciiTheme="minorEastAsia" w:hAnsiTheme="minorEastAsia"/>
        </w:rPr>
      </w:pPr>
      <w:r>
        <w:rPr>
          <w:rFonts w:hint="eastAsia" w:asciiTheme="minorEastAsia" w:hAnsiTheme="minorEastAsia"/>
        </w:rPr>
        <w:t>2.</w:t>
      </w:r>
      <w:r>
        <w:rPr>
          <w:rFonts w:hint="eastAsia" w:asciiTheme="minorEastAsia" w:hAnsiTheme="minorEastAsia"/>
          <w:snapToGrid w:val="0"/>
          <w:kern w:val="0"/>
          <w:szCs w:val="24"/>
        </w:rPr>
        <w:t>估价委托人提供了（2018）文法评字第30号《海南省文昌市人民法院司法鉴定委托书》原件、文国用（2016）第W0300483号《国有土地使用证》、文昌市房权证文房证字第50931号《房屋所有权证》、《房产面积测算报告书》（变更测绘报告）、</w:t>
      </w:r>
      <w:r>
        <w:rPr>
          <w:rFonts w:hint="eastAsia" w:asciiTheme="minorEastAsia" w:hAnsiTheme="minorEastAsia"/>
          <w:szCs w:val="24"/>
        </w:rPr>
        <w:t>《文昌市商品房买卖合同备案表》、</w:t>
      </w:r>
      <w:r>
        <w:rPr>
          <w:rFonts w:hint="eastAsia" w:asciiTheme="minorEastAsia" w:hAnsiTheme="minorEastAsia"/>
          <w:snapToGrid w:val="0"/>
          <w:kern w:val="0"/>
          <w:szCs w:val="24"/>
        </w:rPr>
        <w:t>《房源核验单》</w:t>
      </w:r>
      <w:r>
        <w:rPr>
          <w:rFonts w:hint="eastAsia" w:asciiTheme="minorEastAsia" w:hAnsiTheme="minorEastAsia"/>
          <w:szCs w:val="24"/>
        </w:rPr>
        <w:t>复印件等资料</w:t>
      </w:r>
      <w:r>
        <w:rPr>
          <w:rFonts w:hint="eastAsia" w:asciiTheme="minorEastAsia" w:hAnsiTheme="minorEastAsia"/>
          <w:snapToGrid w:val="0"/>
          <w:kern w:val="0"/>
        </w:rPr>
        <w:t>，截止价值时点，注册房地产估价师对所提供资料所载明的权属、建筑面积、用途等资料进行了审慎检查，无理由怀疑其合法性、真实性、准确性和完整性，假定估价委托人提供的资料合法、真实、准确、完整。</w:t>
      </w:r>
    </w:p>
    <w:p>
      <w:pPr>
        <w:spacing w:before="163" w:afterLines="0"/>
        <w:ind w:firstLine="480"/>
        <w:rPr>
          <w:rFonts w:ascii="宋体" w:hAnsi="宋体"/>
          <w:color w:val="000000"/>
        </w:rPr>
      </w:pPr>
      <w:r>
        <w:rPr>
          <w:rFonts w:asciiTheme="minorEastAsia" w:hAnsiTheme="minorEastAsia"/>
          <w:snapToGrid w:val="0"/>
          <w:kern w:val="0"/>
        </w:rPr>
        <w:t>2</w:t>
      </w:r>
      <w:r>
        <w:rPr>
          <w:rFonts w:hint="eastAsia" w:asciiTheme="minorEastAsia" w:hAnsiTheme="minorEastAsia"/>
          <w:snapToGrid w:val="0"/>
          <w:kern w:val="0"/>
        </w:rPr>
        <w:t>.</w:t>
      </w:r>
      <w:r>
        <w:rPr>
          <w:rFonts w:hint="eastAsia" w:ascii="宋体" w:hAnsi="宋体"/>
        </w:rPr>
        <w:t>本报告评估结果是假设鉴定对象具有完整、清晰产权条件下的评估结果，因鉴定对象截止价值时点尚未办理</w:t>
      </w:r>
      <w:r>
        <w:rPr>
          <w:rFonts w:hint="eastAsia" w:ascii="宋体" w:hAnsi="宋体"/>
          <w:color w:val="000000"/>
        </w:rPr>
        <w:t>产权证，在合法办理产权证过程中所产生费用须由有关政府部门确定，提请估价委托人在依法处置过程中披露鉴定对象存在的瑕疵，明确完善产权过程中有关费用的承担问题，提请买受人在购买之前进一步核实相关的情况再做出慎重的决定。请相关利害人正确使用评估结果。</w:t>
      </w:r>
    </w:p>
    <w:p>
      <w:pPr>
        <w:spacing w:before="163" w:afterLines="0"/>
        <w:ind w:firstLine="480"/>
        <w:rPr>
          <w:rFonts w:asciiTheme="minorEastAsia" w:hAnsiTheme="minorEastAsia"/>
        </w:rPr>
      </w:pPr>
      <w:r>
        <w:rPr>
          <w:rFonts w:ascii="宋体" w:hAnsi="宋体"/>
          <w:color w:val="000000"/>
        </w:rPr>
        <w:t>3</w:t>
      </w:r>
      <w:r>
        <w:rPr>
          <w:rFonts w:hint="eastAsia" w:ascii="宋体" w:hAnsi="宋体"/>
          <w:color w:val="000000"/>
        </w:rPr>
        <w:t>.</w:t>
      </w:r>
      <w:r>
        <w:rPr>
          <w:rFonts w:hint="eastAsia" w:asciiTheme="minorEastAsia" w:hAnsiTheme="minorEastAsia"/>
        </w:rPr>
        <w:t>根据</w:t>
      </w:r>
      <w:r>
        <w:rPr>
          <w:rFonts w:asciiTheme="minorEastAsia" w:hAnsiTheme="minorEastAsia"/>
        </w:rPr>
        <w:t>注册房地产估价师</w:t>
      </w:r>
      <w:r>
        <w:rPr>
          <w:rFonts w:hint="eastAsia" w:asciiTheme="minorEastAsia" w:hAnsiTheme="minorEastAsia"/>
        </w:rPr>
        <w:t>现场查勘时的口头询问，相关当事人陈述</w:t>
      </w:r>
      <w:r>
        <w:rPr>
          <w:rFonts w:asciiTheme="minorEastAsia" w:hAnsiTheme="minorEastAsia"/>
        </w:rPr>
        <w:t>鉴定</w:t>
      </w:r>
      <w:r>
        <w:rPr>
          <w:rFonts w:hint="eastAsia" w:asciiTheme="minorEastAsia" w:hAnsiTheme="minorEastAsia"/>
        </w:rPr>
        <w:t>对房地产已作为抵押物向中国工商</w:t>
      </w:r>
      <w:r>
        <w:rPr>
          <w:rFonts w:asciiTheme="minorEastAsia" w:hAnsiTheme="minorEastAsia"/>
        </w:rPr>
        <w:t>银行文昌支行</w:t>
      </w:r>
      <w:r>
        <w:rPr>
          <w:rFonts w:hint="eastAsia" w:asciiTheme="minorEastAsia" w:hAnsiTheme="minorEastAsia"/>
        </w:rPr>
        <w:t>贷款，截止</w:t>
      </w:r>
      <w:r>
        <w:rPr>
          <w:rFonts w:asciiTheme="minorEastAsia" w:hAnsiTheme="minorEastAsia"/>
        </w:rPr>
        <w:t>价值时点</w:t>
      </w:r>
      <w:r>
        <w:rPr>
          <w:rFonts w:hint="eastAsia" w:asciiTheme="minorEastAsia" w:hAnsiTheme="minorEastAsia"/>
        </w:rPr>
        <w:t>，鉴定对象仍在抵押之中，剩余</w:t>
      </w:r>
      <w:r>
        <w:rPr>
          <w:rFonts w:asciiTheme="minorEastAsia" w:hAnsiTheme="minorEastAsia"/>
        </w:rPr>
        <w:t>欠款</w:t>
      </w:r>
      <w:r>
        <w:rPr>
          <w:rFonts w:hint="eastAsia" w:asciiTheme="minorEastAsia" w:hAnsiTheme="minorEastAsia"/>
        </w:rPr>
        <w:t>9万</w:t>
      </w:r>
      <w:r>
        <w:rPr>
          <w:rFonts w:asciiTheme="minorEastAsia" w:hAnsiTheme="minorEastAsia"/>
        </w:rPr>
        <w:t>元尚未还清</w:t>
      </w:r>
      <w:r>
        <w:rPr>
          <w:rFonts w:hint="eastAsia" w:asciiTheme="minorEastAsia" w:hAnsiTheme="minorEastAsia"/>
        </w:rPr>
        <w:t>，结合本次评估目的，本次评估没有考虑存在抵押情况对评估结果的影响。提请相关利害人关注此事项。</w:t>
      </w:r>
    </w:p>
    <w:p>
      <w:pPr>
        <w:spacing w:before="163" w:after="163"/>
        <w:ind w:firstLine="480"/>
        <w:rPr>
          <w:rFonts w:hint="eastAsia" w:eastAsia="宋体" w:cs="Times New Roman"/>
          <w:szCs w:val="24"/>
        </w:rPr>
      </w:pPr>
      <w:r>
        <w:rPr>
          <w:rFonts w:hint="eastAsia" w:ascii="宋体" w:hAnsi="宋体"/>
        </w:rPr>
        <w:t>4.因鉴定对象截止价值时点尚未办理《不动产权证书》</w:t>
      </w:r>
      <w:r>
        <w:rPr>
          <w:rFonts w:hint="eastAsia" w:ascii="宋体" w:hAnsi="宋体"/>
          <w:color w:val="000000"/>
        </w:rPr>
        <w:t>，</w:t>
      </w:r>
      <w:r>
        <w:rPr>
          <w:rFonts w:hint="eastAsia" w:ascii="宋体" w:hAnsi="宋体"/>
        </w:rPr>
        <w:t>本次报告在</w:t>
      </w:r>
      <w:r>
        <w:rPr>
          <w:rFonts w:ascii="宋体" w:hAnsi="宋体"/>
        </w:rPr>
        <w:t>测算过程</w:t>
      </w:r>
      <w:r>
        <w:rPr>
          <w:rFonts w:hint="eastAsia" w:ascii="宋体" w:hAnsi="宋体"/>
        </w:rPr>
        <w:t>中房屋所使用的分摊土地使用权使用年期是根据估价委托人提供的《国有土地使用证》（证号为：文国用（2016）第W0300483号）（复印件）所载明的为</w:t>
      </w:r>
      <w:r>
        <w:rPr>
          <w:rFonts w:ascii="宋体" w:hAnsi="宋体"/>
        </w:rPr>
        <w:t>测算依据。</w:t>
      </w:r>
    </w:p>
    <w:p>
      <w:pPr>
        <w:spacing w:before="163" w:afterLines="0"/>
        <w:ind w:firstLine="480"/>
        <w:rPr>
          <w:rFonts w:asciiTheme="minorEastAsia" w:hAnsiTheme="minorEastAsia"/>
        </w:rPr>
      </w:pPr>
      <w:r>
        <w:rPr>
          <w:rFonts w:asciiTheme="minorEastAsia" w:hAnsiTheme="minorEastAsia"/>
        </w:rPr>
        <w:t>5</w:t>
      </w:r>
      <w:r>
        <w:rPr>
          <w:rFonts w:hint="eastAsia" w:asciiTheme="minorEastAsia" w:hAnsiTheme="minorEastAsia"/>
        </w:rPr>
        <w:t>.</w:t>
      </w:r>
      <w:r>
        <w:rPr>
          <w:rFonts w:hint="eastAsia" w:asciiTheme="minorEastAsia" w:hAnsiTheme="minorEastAsia"/>
          <w:color w:val="000000" w:themeColor="text1"/>
        </w:rPr>
        <w:t>如拍卖成交，提请相关利害人调查清楚须补交的费用及该由谁承担等问题后再进行分配。</w:t>
      </w:r>
    </w:p>
    <w:p>
      <w:pPr>
        <w:spacing w:before="163" w:afterLines="0"/>
        <w:ind w:firstLine="480"/>
        <w:rPr>
          <w:rFonts w:asciiTheme="minorEastAsia" w:hAnsiTheme="minorEastAsia"/>
        </w:rPr>
      </w:pPr>
      <w:r>
        <w:rPr>
          <w:rFonts w:asciiTheme="minorEastAsia" w:hAnsiTheme="minorEastAsia"/>
        </w:rPr>
        <w:t>6</w:t>
      </w:r>
      <w:r>
        <w:rPr>
          <w:rFonts w:hint="eastAsia" w:asciiTheme="minorEastAsia" w:hAnsiTheme="minorEastAsia"/>
        </w:rPr>
        <w:t>.不排除在价值时点至</w:t>
      </w:r>
      <w:r>
        <w:rPr>
          <w:rFonts w:hint="eastAsia" w:asciiTheme="minorEastAsia" w:hAnsiTheme="minorEastAsia"/>
          <w:snapToGrid w:val="0"/>
          <w:kern w:val="0"/>
        </w:rPr>
        <w:t>办理案件结束前</w:t>
      </w:r>
      <w:r>
        <w:rPr>
          <w:rFonts w:hint="eastAsia" w:asciiTheme="minorEastAsia" w:hAnsiTheme="minorEastAsia"/>
        </w:rPr>
        <w:t>可能出现的房屋安全问题，环境问题而造成的鉴定对象价值减损，</w:t>
      </w:r>
      <w:r>
        <w:rPr>
          <w:rFonts w:asciiTheme="minorEastAsia" w:hAnsiTheme="minorEastAsia"/>
          <w:snapToGrid w:val="0"/>
          <w:kern w:val="0"/>
        </w:rPr>
        <w:t>提请</w:t>
      </w:r>
      <w:r>
        <w:rPr>
          <w:rFonts w:hint="eastAsia" w:asciiTheme="minorEastAsia" w:hAnsiTheme="minorEastAsia"/>
          <w:snapToGrid w:val="0"/>
          <w:kern w:val="0"/>
        </w:rPr>
        <w:t>估价委托人及相关利益方</w:t>
      </w:r>
      <w:r>
        <w:rPr>
          <w:rFonts w:hint="eastAsia" w:asciiTheme="minorEastAsia" w:hAnsiTheme="minorEastAsia"/>
        </w:rPr>
        <w:t>在做出决策之前关注此问题。</w:t>
      </w:r>
    </w:p>
    <w:p>
      <w:pPr>
        <w:spacing w:before="163" w:afterLines="0"/>
        <w:ind w:firstLine="480"/>
        <w:rPr>
          <w:rFonts w:asciiTheme="minorEastAsia" w:hAnsiTheme="minorEastAsia"/>
        </w:rPr>
      </w:pPr>
      <w:r>
        <w:rPr>
          <w:rFonts w:asciiTheme="minorEastAsia" w:hAnsiTheme="minorEastAsia"/>
        </w:rPr>
        <w:t>7</w:t>
      </w:r>
      <w:r>
        <w:rPr>
          <w:rFonts w:hint="eastAsia" w:asciiTheme="minorEastAsia" w:hAnsiTheme="minorEastAsia"/>
        </w:rPr>
        <w:t>.鉴定对象状况和房地产市场状况因时间变化对房地产市场价值可能产生影响。定期或在房地产市场价格变化较快时应对房地产市场价值进行再评估。</w:t>
      </w:r>
    </w:p>
    <w:p>
      <w:pPr>
        <w:spacing w:before="163" w:afterLines="0"/>
        <w:ind w:firstLine="480"/>
        <w:rPr>
          <w:rFonts w:asciiTheme="minorEastAsia" w:hAnsiTheme="minorEastAsia"/>
        </w:rPr>
      </w:pPr>
      <w:r>
        <w:rPr>
          <w:rFonts w:asciiTheme="minorEastAsia" w:hAnsiTheme="minorEastAsia"/>
        </w:rPr>
        <w:t>8</w:t>
      </w:r>
      <w:r>
        <w:rPr>
          <w:rFonts w:hint="eastAsia" w:asciiTheme="minorEastAsia" w:hAnsiTheme="minorEastAsia"/>
        </w:rPr>
        <w:t>.</w:t>
      </w:r>
      <w:r>
        <w:rPr>
          <w:rFonts w:asciiTheme="minorEastAsia" w:hAnsiTheme="minorEastAsia"/>
        </w:rPr>
        <w:t>本报告评估依据</w:t>
      </w:r>
      <w:r>
        <w:rPr>
          <w:rFonts w:hint="eastAsia" w:asciiTheme="minorEastAsia" w:hAnsiTheme="minorEastAsia"/>
        </w:rPr>
        <w:t>是</w:t>
      </w:r>
      <w:r>
        <w:rPr>
          <w:rFonts w:asciiTheme="minorEastAsia" w:hAnsiTheme="minorEastAsia"/>
        </w:rPr>
        <w:t>国家及地方有关房地产评估政策法规；现场实勘</w:t>
      </w:r>
      <w:r>
        <w:rPr>
          <w:rFonts w:hint="eastAsia" w:asciiTheme="minorEastAsia" w:hAnsiTheme="minorEastAsia"/>
        </w:rPr>
        <w:t>情况及</w:t>
      </w:r>
      <w:r>
        <w:rPr>
          <w:rFonts w:asciiTheme="minorEastAsia" w:hAnsiTheme="minorEastAsia"/>
        </w:rPr>
        <w:t>近期区域内相类似物业交易及出租行情</w:t>
      </w:r>
      <w:r>
        <w:rPr>
          <w:rFonts w:hint="eastAsia" w:asciiTheme="minorEastAsia" w:hAnsiTheme="minorEastAsia"/>
        </w:rPr>
        <w:t>、</w:t>
      </w:r>
      <w:r>
        <w:rPr>
          <w:rFonts w:asciiTheme="minorEastAsia" w:hAnsiTheme="minorEastAsia"/>
        </w:rPr>
        <w:t>建筑成本资料等。</w:t>
      </w:r>
    </w:p>
    <w:p>
      <w:pPr>
        <w:spacing w:before="163" w:afterLines="0"/>
        <w:ind w:firstLine="480"/>
        <w:rPr>
          <w:rFonts w:asciiTheme="minorEastAsia" w:hAnsiTheme="minorEastAsia"/>
        </w:rPr>
      </w:pPr>
      <w:r>
        <w:rPr>
          <w:rFonts w:asciiTheme="minorEastAsia" w:hAnsiTheme="minorEastAsia"/>
        </w:rPr>
        <w:t>9</w:t>
      </w:r>
      <w:r>
        <w:rPr>
          <w:rFonts w:hint="eastAsia" w:asciiTheme="minorEastAsia" w:hAnsiTheme="minorEastAsia"/>
        </w:rPr>
        <w:t>.根据估价委托人提供的《房源核验单》（复印件）载明鉴定对象420房、426房已被海南省文昌市人民法院查封，结合本次评估目的，本报告没有考虑鉴定对象存在被查封情况对评估结果的影响，请相关利益方正确使用评估结果。</w:t>
      </w:r>
    </w:p>
    <w:p>
      <w:pPr>
        <w:spacing w:before="163" w:afterLines="0"/>
        <w:ind w:firstLine="480"/>
        <w:rPr>
          <w:rFonts w:asciiTheme="minorEastAsia" w:hAnsiTheme="minorEastAsia"/>
        </w:rPr>
      </w:pPr>
      <w:r>
        <w:rPr>
          <w:rFonts w:asciiTheme="minorEastAsia" w:hAnsiTheme="minorEastAsia"/>
        </w:rPr>
        <w:t>10</w:t>
      </w:r>
      <w:r>
        <w:rPr>
          <w:rFonts w:hint="eastAsia" w:asciiTheme="minorEastAsia" w:hAnsiTheme="minorEastAsia"/>
        </w:rPr>
        <w:t>.报告使用人应合理使用评估价值，估价结论不应当被认为是对鉴定对象可实现价格的保证。</w:t>
      </w:r>
    </w:p>
    <w:p>
      <w:pPr>
        <w:spacing w:before="163" w:afterLines="0"/>
        <w:ind w:firstLine="480"/>
        <w:rPr>
          <w:rFonts w:asciiTheme="minorEastAsia" w:hAnsiTheme="minorEastAsia"/>
        </w:rPr>
      </w:pPr>
      <w:r>
        <w:rPr>
          <w:rFonts w:asciiTheme="minorEastAsia" w:hAnsiTheme="minorEastAsia"/>
        </w:rPr>
        <w:t>11</w:t>
      </w:r>
      <w:r>
        <w:rPr>
          <w:rFonts w:hint="eastAsia" w:asciiTheme="minorEastAsia" w:hAnsiTheme="minorEastAsia"/>
        </w:rPr>
        <w:t>.</w:t>
      </w:r>
      <w:r>
        <w:rPr>
          <w:rFonts w:hint="eastAsia" w:ascii="宋体" w:hAnsi="宋体"/>
          <w:color w:val="000000"/>
        </w:rPr>
        <w:t>本次评估鉴定采用公开市场价值标准，评估价格为客观公开市场价格，不包含由于产权变更、确认所发生的相关税费，该相关税费主要包括诉讼费及执行费、律师费、评估费、拍卖佣金、交易环节的相关费用（增值税及附加、土地增值税、印花税手续费、登记费等其他费用），估价结果不包含上述相关税费，请相关利害人正确使用估价结果。</w:t>
      </w:r>
    </w:p>
    <w:p>
      <w:pPr>
        <w:spacing w:before="163" w:afterLines="0"/>
        <w:ind w:firstLine="480"/>
        <w:rPr>
          <w:rFonts w:asciiTheme="minorEastAsia" w:hAnsiTheme="minorEastAsia"/>
        </w:rPr>
      </w:pPr>
      <w:r>
        <w:rPr>
          <w:rFonts w:asciiTheme="minorEastAsia" w:hAnsiTheme="minorEastAsia"/>
        </w:rPr>
        <w:t>12</w:t>
      </w:r>
      <w:r>
        <w:rPr>
          <w:rFonts w:hint="eastAsia" w:asciiTheme="minorEastAsia" w:hAnsiTheme="minorEastAsia"/>
        </w:rPr>
        <w:t>.本估价报告估价结果是在公开市场前提下求取的房地产市场价值，未考虑快速变现等处分方式带来的影响。鉴定对象在短期内快速变现时，受处置时间、买方心里等因素的影响快速变现可能会对房地产价值产生不利影响。综合考虑上述各项因素，</w:t>
      </w:r>
      <w:r>
        <w:rPr>
          <w:rFonts w:asciiTheme="minorEastAsia" w:hAnsiTheme="minorEastAsia"/>
          <w:snapToGrid w:val="0"/>
          <w:kern w:val="0"/>
        </w:rPr>
        <w:t>提请</w:t>
      </w:r>
      <w:r>
        <w:rPr>
          <w:rFonts w:hint="eastAsia" w:asciiTheme="minorEastAsia" w:hAnsiTheme="minorEastAsia"/>
          <w:snapToGrid w:val="0"/>
          <w:kern w:val="0"/>
        </w:rPr>
        <w:t>委托方及相关利益方</w:t>
      </w:r>
      <w:r>
        <w:rPr>
          <w:rFonts w:hint="eastAsia" w:asciiTheme="minorEastAsia" w:hAnsiTheme="minorEastAsia"/>
        </w:rPr>
        <w:t>在做出决策之前务必</w:t>
      </w:r>
      <w:r>
        <w:rPr>
          <w:rFonts w:hint="eastAsia" w:asciiTheme="minorEastAsia" w:hAnsiTheme="minorEastAsia"/>
          <w:snapToGrid w:val="0"/>
          <w:kern w:val="0"/>
        </w:rPr>
        <w:t>注意此事项</w:t>
      </w:r>
      <w:r>
        <w:rPr>
          <w:rFonts w:hint="eastAsia" w:asciiTheme="minorEastAsia" w:hAnsiTheme="minorEastAsia"/>
        </w:rPr>
        <w:t>。</w:t>
      </w:r>
    </w:p>
    <w:p>
      <w:pPr>
        <w:spacing w:before="163" w:afterLines="0"/>
        <w:ind w:firstLine="480"/>
        <w:rPr>
          <w:rFonts w:asciiTheme="minorEastAsia" w:hAnsiTheme="minorEastAsia"/>
        </w:rPr>
      </w:pPr>
      <w:r>
        <w:rPr>
          <w:rFonts w:asciiTheme="minorEastAsia" w:hAnsiTheme="minorEastAsia"/>
        </w:rPr>
        <w:t>13.</w:t>
      </w:r>
      <w:r>
        <w:rPr>
          <w:rFonts w:hint="eastAsia" w:asciiTheme="minorEastAsia" w:hAnsiTheme="minorEastAsia"/>
        </w:rPr>
        <w:t>在评估结果有效期内，鉴定对象状况或者房地产市场发生明显变化的，评估结果应当进行相应调整；</w:t>
      </w:r>
    </w:p>
    <w:p>
      <w:pPr>
        <w:spacing w:before="163" w:afterLines="0"/>
        <w:ind w:firstLine="480"/>
        <w:rPr>
          <w:rFonts w:asciiTheme="minorEastAsia" w:hAnsiTheme="minorEastAsia"/>
        </w:rPr>
      </w:pPr>
      <w:r>
        <w:rPr>
          <w:rFonts w:asciiTheme="minorEastAsia" w:hAnsiTheme="minorEastAsia"/>
        </w:rPr>
        <w:t>14.</w:t>
      </w:r>
      <w:r>
        <w:rPr>
          <w:rFonts w:hint="eastAsia" w:asciiTheme="minorEastAsia" w:hAnsiTheme="minorEastAsia"/>
        </w:rPr>
        <w:t xml:space="preserve">委托人或者评估报告使用人应当按照法律规定和评估报告载明的使用范围使用评估报告，违反该规定使用评估报告的，房地产估价机构和注册房地产估价师依法不承担责任； </w:t>
      </w:r>
    </w:p>
    <w:p>
      <w:pPr>
        <w:spacing w:before="163" w:afterLines="0"/>
        <w:ind w:firstLine="480"/>
        <w:rPr>
          <w:rFonts w:hint="eastAsia" w:asciiTheme="minorEastAsia" w:hAnsiTheme="minorEastAsia"/>
        </w:rPr>
      </w:pPr>
      <w:r>
        <w:rPr>
          <w:rFonts w:asciiTheme="minorEastAsia" w:hAnsiTheme="minorEastAsia"/>
        </w:rPr>
        <w:t>15.</w:t>
      </w:r>
      <w:r>
        <w:rPr>
          <w:rFonts w:hint="eastAsia" w:asciiTheme="minorEastAsia" w:hAnsiTheme="minorEastAsia"/>
        </w:rPr>
        <w:t>评估结果不等于评估对象处置可实现的成交价，不应被认为是对评估对象处置成交价的保证。</w:t>
      </w:r>
    </w:p>
    <w:p>
      <w:pPr>
        <w:spacing w:before="163" w:afterLines="0"/>
        <w:ind w:firstLine="480"/>
        <w:rPr>
          <w:rFonts w:hint="default" w:asciiTheme="minorEastAsia" w:hAnsiTheme="minorEastAsia" w:eastAsiaTheme="minorEastAsia"/>
          <w:lang w:val="en-US" w:eastAsia="zh-CN"/>
        </w:rPr>
      </w:pPr>
      <w:r>
        <w:rPr>
          <w:rFonts w:hint="eastAsia" w:asciiTheme="minorEastAsia" w:hAnsiTheme="minorEastAsia"/>
          <w:lang w:val="en-US" w:eastAsia="zh-CN"/>
        </w:rPr>
        <w:t>16.我司于2019年3月25日出具了编号为</w:t>
      </w:r>
      <w:r>
        <w:rPr>
          <w:rFonts w:hint="eastAsia" w:asciiTheme="minorEastAsia" w:hAnsiTheme="minorEastAsia"/>
        </w:rPr>
        <w:t>海南汇德[2019]（估）字第0192R05号《房地产司法鉴定估价报告》</w:t>
      </w:r>
      <w:r>
        <w:rPr>
          <w:rFonts w:hint="eastAsia" w:asciiTheme="minorEastAsia" w:hAnsiTheme="minorEastAsia"/>
          <w:lang w:eastAsia="zh-CN"/>
        </w:rPr>
        <w:t>（勘误稿），在特定异议期内，双方当事人均未提出任何异议，于</w:t>
      </w:r>
      <w:r>
        <w:rPr>
          <w:rFonts w:hint="eastAsia" w:asciiTheme="minorEastAsia" w:hAnsiTheme="minorEastAsia"/>
          <w:lang w:val="en-US" w:eastAsia="zh-CN"/>
        </w:rPr>
        <w:t>2019年4月12日出具了编号为</w:t>
      </w:r>
      <w:r>
        <w:rPr>
          <w:rFonts w:hint="eastAsia" w:asciiTheme="minorEastAsia" w:hAnsiTheme="minorEastAsia"/>
        </w:rPr>
        <w:t>海南汇德[2019]（估）字第0192R05号《房地产司法鉴定估价报告》</w:t>
      </w:r>
      <w:r>
        <w:rPr>
          <w:rFonts w:hint="eastAsia" w:asciiTheme="minorEastAsia" w:hAnsiTheme="minorEastAsia"/>
          <w:lang w:eastAsia="zh-CN"/>
        </w:rPr>
        <w:t>（正式报告）。</w:t>
      </w:r>
    </w:p>
    <w:p>
      <w:pPr>
        <w:widowControl/>
        <w:spacing w:before="163" w:afterLines="0"/>
        <w:ind w:firstLine="480"/>
      </w:pPr>
      <w:r>
        <w:rPr>
          <w:rFonts w:asciiTheme="minorEastAsia" w:hAnsiTheme="minorEastAsia"/>
        </w:rPr>
        <w:t>本假设与限制条件仅适用于</w:t>
      </w:r>
      <w:r>
        <w:rPr>
          <w:rFonts w:hint="eastAsia" w:asciiTheme="minorEastAsia" w:hAnsiTheme="minorEastAsia"/>
        </w:rPr>
        <w:t>海南汇德[2019]（估）字第0192R05号《房地产司法鉴定估价报告》。</w:t>
      </w:r>
    </w:p>
    <w:p>
      <w:pPr>
        <w:pStyle w:val="2"/>
        <w:spacing w:before="163" w:after="163"/>
      </w:pPr>
      <w:bookmarkStart w:id="18" w:name="_Toc451160939"/>
      <w:bookmarkStart w:id="19" w:name="_Toc484528290"/>
      <w:r>
        <w:t>估价结果报告</w:t>
      </w:r>
      <w:bookmarkEnd w:id="18"/>
      <w:bookmarkEnd w:id="19"/>
    </w:p>
    <w:p>
      <w:pPr>
        <w:pStyle w:val="3"/>
        <w:numPr>
          <w:ilvl w:val="0"/>
          <w:numId w:val="9"/>
        </w:numPr>
        <w:spacing w:before="163" w:after="163"/>
        <w:ind w:left="0" w:firstLine="281"/>
        <w:rPr>
          <w:szCs w:val="28"/>
        </w:rPr>
      </w:pPr>
      <w:bookmarkStart w:id="20" w:name="_Toc451160940"/>
      <w:bookmarkStart w:id="21" w:name="_Toc484528291"/>
      <w:r>
        <w:rPr>
          <w:szCs w:val="28"/>
        </w:rPr>
        <w:t>估价委托人</w:t>
      </w:r>
      <w:bookmarkEnd w:id="20"/>
      <w:bookmarkEnd w:id="21"/>
    </w:p>
    <w:p>
      <w:pPr>
        <w:spacing w:beforeLines="0" w:afterLines="0"/>
        <w:ind w:firstLine="480"/>
        <w:rPr>
          <w:rFonts w:asciiTheme="minorEastAsia" w:hAnsiTheme="minorEastAsia"/>
        </w:rPr>
      </w:pPr>
      <w:r>
        <w:rPr>
          <w:rFonts w:hint="eastAsia" w:asciiTheme="minorEastAsia" w:hAnsiTheme="minorEastAsia"/>
        </w:rPr>
        <w:t>名  称：海南省文昌市人民法院</w:t>
      </w:r>
    </w:p>
    <w:p>
      <w:pPr>
        <w:spacing w:beforeLines="0" w:afterLines="0"/>
        <w:ind w:firstLine="480"/>
        <w:rPr>
          <w:rFonts w:asciiTheme="minorEastAsia" w:hAnsiTheme="minorEastAsia"/>
        </w:rPr>
      </w:pPr>
      <w:r>
        <w:rPr>
          <w:rFonts w:hint="eastAsia" w:asciiTheme="minorEastAsia" w:hAnsiTheme="minorEastAsia"/>
        </w:rPr>
        <w:t>地  址：海南省文昌市清澜开发</w:t>
      </w:r>
      <w:r>
        <w:rPr>
          <w:rFonts w:asciiTheme="minorEastAsia" w:hAnsiTheme="minorEastAsia"/>
        </w:rPr>
        <w:t>区</w:t>
      </w:r>
      <w:r>
        <w:rPr>
          <w:rFonts w:hint="eastAsia" w:asciiTheme="minorEastAsia" w:hAnsiTheme="minorEastAsia"/>
        </w:rPr>
        <w:t>文清大道305号</w:t>
      </w:r>
    </w:p>
    <w:p>
      <w:pPr>
        <w:pStyle w:val="3"/>
        <w:spacing w:before="163" w:after="163"/>
        <w:ind w:firstLine="281"/>
        <w:rPr>
          <w:szCs w:val="28"/>
        </w:rPr>
      </w:pPr>
      <w:bookmarkStart w:id="22" w:name="_Toc484528292"/>
      <w:bookmarkStart w:id="23" w:name="_Toc451160941"/>
      <w:r>
        <w:rPr>
          <w:szCs w:val="28"/>
        </w:rPr>
        <w:t>房地产估价机构</w:t>
      </w:r>
      <w:bookmarkEnd w:id="22"/>
      <w:bookmarkEnd w:id="23"/>
    </w:p>
    <w:p>
      <w:pPr>
        <w:spacing w:beforeLines="0" w:afterLines="0"/>
        <w:ind w:firstLine="480"/>
        <w:rPr>
          <w:rFonts w:asciiTheme="minorEastAsia" w:hAnsiTheme="minorEastAsia"/>
        </w:rPr>
      </w:pPr>
      <w:r>
        <w:rPr>
          <w:rFonts w:asciiTheme="minorEastAsia" w:hAnsiTheme="minorEastAsia"/>
        </w:rPr>
        <w:t>名称</w:t>
      </w:r>
      <w:r>
        <w:rPr>
          <w:rFonts w:hint="eastAsia" w:asciiTheme="minorEastAsia" w:hAnsiTheme="minorEastAsia"/>
        </w:rPr>
        <w:t>：</w:t>
      </w:r>
      <w:r>
        <w:rPr>
          <w:rFonts w:asciiTheme="minorEastAsia" w:hAnsiTheme="minorEastAsia"/>
        </w:rPr>
        <w:t>海南汇德土地房地产评估咨询有限公司</w:t>
      </w:r>
    </w:p>
    <w:p>
      <w:pPr>
        <w:spacing w:beforeLines="0" w:afterLines="0"/>
        <w:ind w:firstLine="480"/>
        <w:rPr>
          <w:rFonts w:asciiTheme="minorEastAsia" w:hAnsiTheme="minorEastAsia"/>
        </w:rPr>
      </w:pPr>
      <w:r>
        <w:rPr>
          <w:rFonts w:asciiTheme="minorEastAsia" w:hAnsiTheme="minorEastAsia"/>
        </w:rPr>
        <w:t>地址：海南省海口市国贸大道A-8小区申亚大厦</w:t>
      </w:r>
      <w:r>
        <w:rPr>
          <w:rFonts w:hint="eastAsia" w:asciiTheme="minorEastAsia" w:hAnsiTheme="minorEastAsia"/>
        </w:rPr>
        <w:t>18层</w:t>
      </w:r>
    </w:p>
    <w:p>
      <w:pPr>
        <w:spacing w:beforeLines="0" w:afterLines="0"/>
        <w:ind w:firstLine="480"/>
        <w:rPr>
          <w:rFonts w:asciiTheme="minorEastAsia" w:hAnsiTheme="minorEastAsia"/>
        </w:rPr>
      </w:pPr>
      <w:r>
        <w:rPr>
          <w:rFonts w:asciiTheme="minorEastAsia" w:hAnsiTheme="minorEastAsia"/>
        </w:rPr>
        <w:t>电话</w:t>
      </w:r>
      <w:r>
        <w:rPr>
          <w:rFonts w:hint="eastAsia" w:asciiTheme="minorEastAsia" w:hAnsiTheme="minorEastAsia"/>
        </w:rPr>
        <w:t>：0898-66804584    66804684</w:t>
      </w:r>
    </w:p>
    <w:p>
      <w:pPr>
        <w:spacing w:beforeLines="0" w:afterLines="0"/>
        <w:ind w:firstLine="480"/>
        <w:rPr>
          <w:rFonts w:asciiTheme="minorEastAsia" w:hAnsiTheme="minorEastAsia"/>
        </w:rPr>
      </w:pPr>
      <w:r>
        <w:rPr>
          <w:rFonts w:hint="eastAsia" w:asciiTheme="minorEastAsia" w:hAnsiTheme="minorEastAsia"/>
        </w:rPr>
        <w:t>统一社会信用代码：91460000767496654D</w:t>
      </w:r>
    </w:p>
    <w:p>
      <w:pPr>
        <w:spacing w:beforeLines="0" w:afterLines="0"/>
        <w:ind w:firstLine="480"/>
        <w:rPr>
          <w:rFonts w:asciiTheme="minorEastAsia" w:hAnsiTheme="minorEastAsia"/>
        </w:rPr>
      </w:pPr>
      <w:r>
        <w:rPr>
          <w:rFonts w:asciiTheme="minorEastAsia" w:hAnsiTheme="minorEastAsia"/>
        </w:rPr>
        <w:t>资质等级</w:t>
      </w:r>
      <w:r>
        <w:rPr>
          <w:rFonts w:hint="eastAsia" w:asciiTheme="minorEastAsia" w:hAnsiTheme="minorEastAsia"/>
        </w:rPr>
        <w:t>：</w:t>
      </w:r>
      <w:r>
        <w:rPr>
          <w:rFonts w:asciiTheme="minorEastAsia" w:hAnsiTheme="minorEastAsia"/>
        </w:rPr>
        <w:t>房地产估价</w:t>
      </w:r>
      <w:r>
        <w:rPr>
          <w:rFonts w:hint="eastAsia" w:asciiTheme="minorEastAsia" w:hAnsiTheme="minorEastAsia"/>
        </w:rPr>
        <w:t>壹</w:t>
      </w:r>
      <w:r>
        <w:rPr>
          <w:rFonts w:asciiTheme="minorEastAsia" w:hAnsiTheme="minorEastAsia"/>
        </w:rPr>
        <w:t>级</w:t>
      </w:r>
    </w:p>
    <w:p>
      <w:pPr>
        <w:spacing w:beforeLines="0" w:afterLines="0"/>
        <w:ind w:firstLine="480"/>
        <w:rPr>
          <w:rFonts w:asciiTheme="minorEastAsia" w:hAnsiTheme="minorEastAsia"/>
        </w:rPr>
      </w:pPr>
      <w:r>
        <w:rPr>
          <w:rFonts w:asciiTheme="minorEastAsia" w:hAnsiTheme="minorEastAsia"/>
        </w:rPr>
        <w:t>证书编号</w:t>
      </w:r>
      <w:r>
        <w:rPr>
          <w:rFonts w:hint="eastAsia" w:asciiTheme="minorEastAsia" w:hAnsiTheme="minorEastAsia"/>
        </w:rPr>
        <w:t>：【2</w:t>
      </w:r>
      <w:r>
        <w:rPr>
          <w:rFonts w:asciiTheme="minorEastAsia" w:hAnsiTheme="minorEastAsia"/>
        </w:rPr>
        <w:t>016</w:t>
      </w:r>
      <w:r>
        <w:rPr>
          <w:rFonts w:hint="eastAsia" w:asciiTheme="minorEastAsia" w:hAnsiTheme="minorEastAsia"/>
        </w:rPr>
        <w:t>】</w:t>
      </w:r>
      <w:r>
        <w:rPr>
          <w:rFonts w:asciiTheme="minorEastAsia" w:hAnsiTheme="minorEastAsia"/>
        </w:rPr>
        <w:t>琼建审房估证字第</w:t>
      </w:r>
      <w:r>
        <w:rPr>
          <w:rFonts w:hint="eastAsia" w:asciiTheme="minorEastAsia" w:hAnsiTheme="minorEastAsia"/>
        </w:rPr>
        <w:t>1045号</w:t>
      </w:r>
    </w:p>
    <w:p>
      <w:pPr>
        <w:spacing w:beforeLines="0" w:afterLines="0"/>
        <w:ind w:firstLine="480"/>
        <w:rPr>
          <w:rFonts w:asciiTheme="minorEastAsia" w:hAnsiTheme="minorEastAsia"/>
        </w:rPr>
      </w:pPr>
      <w:r>
        <w:rPr>
          <w:rFonts w:asciiTheme="minorEastAsia" w:hAnsiTheme="minorEastAsia"/>
        </w:rPr>
        <w:t>有效期限</w:t>
      </w:r>
      <w:r>
        <w:rPr>
          <w:rFonts w:hint="eastAsia" w:asciiTheme="minorEastAsia" w:hAnsiTheme="minorEastAsia"/>
        </w:rPr>
        <w:t>：2019年4月24日止</w:t>
      </w:r>
    </w:p>
    <w:p>
      <w:pPr>
        <w:spacing w:beforeLines="0" w:afterLines="0"/>
        <w:ind w:firstLine="480"/>
        <w:rPr>
          <w:rFonts w:asciiTheme="minorEastAsia" w:hAnsiTheme="minorEastAsia"/>
        </w:rPr>
      </w:pPr>
      <w:r>
        <w:rPr>
          <w:rFonts w:asciiTheme="minorEastAsia" w:hAnsiTheme="minorEastAsia"/>
        </w:rPr>
        <w:t>土地估价A级</w:t>
      </w:r>
      <w:r>
        <w:rPr>
          <w:rFonts w:hint="eastAsia" w:asciiTheme="minorEastAsia" w:hAnsiTheme="minorEastAsia"/>
        </w:rPr>
        <w:t>：</w:t>
      </w:r>
      <w:r>
        <w:rPr>
          <w:rFonts w:asciiTheme="minorEastAsia" w:hAnsiTheme="minorEastAsia"/>
        </w:rPr>
        <w:t>可在全国范围内从事土地评估业务</w:t>
      </w:r>
    </w:p>
    <w:p>
      <w:pPr>
        <w:spacing w:beforeLines="0" w:afterLines="0"/>
        <w:ind w:firstLine="480"/>
        <w:rPr>
          <w:rFonts w:asciiTheme="minorEastAsia" w:hAnsiTheme="minorEastAsia"/>
        </w:rPr>
      </w:pPr>
      <w:r>
        <w:rPr>
          <w:rFonts w:asciiTheme="minorEastAsia" w:hAnsiTheme="minorEastAsia"/>
        </w:rPr>
        <w:t>资格证书号</w:t>
      </w:r>
      <w:r>
        <w:rPr>
          <w:rFonts w:hint="eastAsia" w:asciiTheme="minorEastAsia" w:hAnsiTheme="minorEastAsia"/>
        </w:rPr>
        <w:t>：</w:t>
      </w:r>
      <w:r>
        <w:rPr>
          <w:rFonts w:asciiTheme="minorEastAsia" w:hAnsiTheme="minorEastAsia"/>
        </w:rPr>
        <w:t>A201146011</w:t>
      </w:r>
    </w:p>
    <w:p>
      <w:pPr>
        <w:spacing w:beforeLines="0" w:afterLines="0"/>
        <w:ind w:firstLine="480"/>
        <w:rPr>
          <w:rFonts w:asciiTheme="minorEastAsia" w:hAnsiTheme="minorEastAsia"/>
        </w:rPr>
      </w:pPr>
      <w:r>
        <w:rPr>
          <w:rFonts w:asciiTheme="minorEastAsia" w:hAnsiTheme="minorEastAsia"/>
        </w:rPr>
        <w:t>法人代表</w:t>
      </w:r>
      <w:r>
        <w:rPr>
          <w:rFonts w:hint="eastAsia" w:asciiTheme="minorEastAsia" w:hAnsiTheme="minorEastAsia"/>
        </w:rPr>
        <w:t>：</w:t>
      </w:r>
      <w:r>
        <w:rPr>
          <w:rFonts w:asciiTheme="minorEastAsia" w:hAnsiTheme="minorEastAsia"/>
        </w:rPr>
        <w:t>郭丽霞</w:t>
      </w:r>
    </w:p>
    <w:p>
      <w:pPr>
        <w:pStyle w:val="3"/>
        <w:spacing w:before="163" w:after="163"/>
        <w:ind w:firstLine="281"/>
        <w:rPr>
          <w:szCs w:val="28"/>
        </w:rPr>
      </w:pPr>
      <w:bookmarkStart w:id="24" w:name="_Toc451160942"/>
      <w:bookmarkStart w:id="25" w:name="_Toc484528293"/>
      <w:r>
        <w:rPr>
          <w:szCs w:val="28"/>
        </w:rPr>
        <w:t>估价目的</w:t>
      </w:r>
      <w:bookmarkEnd w:id="24"/>
      <w:bookmarkEnd w:id="25"/>
    </w:p>
    <w:p>
      <w:pPr>
        <w:spacing w:before="163" w:afterLines="0"/>
        <w:ind w:firstLine="480"/>
      </w:pPr>
      <w:r>
        <w:rPr>
          <w:rFonts w:hint="eastAsia" w:ascii="宋体" w:hAnsi="宋体"/>
          <w:snapToGrid w:val="0"/>
          <w:kern w:val="0"/>
        </w:rPr>
        <w:t>为委托方办理案件提供价格依据</w:t>
      </w:r>
      <w:r>
        <w:rPr>
          <w:rFonts w:hint="eastAsia"/>
        </w:rPr>
        <w:t>。</w:t>
      </w:r>
    </w:p>
    <w:p>
      <w:pPr>
        <w:spacing w:before="163" w:afterLines="0"/>
        <w:ind w:firstLine="480"/>
        <w:rPr>
          <w:rFonts w:asciiTheme="minorEastAsia" w:hAnsiTheme="minorEastAsia"/>
        </w:rPr>
      </w:pPr>
      <w:bookmarkStart w:id="26" w:name="_Toc484528294"/>
      <w:r>
        <w:rPr>
          <w:rFonts w:asciiTheme="minorEastAsia" w:hAnsiTheme="minorEastAsia"/>
        </w:rPr>
        <w:t>根据</w:t>
      </w:r>
      <w:r>
        <w:rPr>
          <w:rFonts w:hint="eastAsia" w:asciiTheme="minorEastAsia" w:hAnsiTheme="minorEastAsia"/>
        </w:rPr>
        <w:t>估价</w:t>
      </w:r>
      <w:r>
        <w:rPr>
          <w:rFonts w:asciiTheme="minorEastAsia" w:hAnsiTheme="minorEastAsia"/>
        </w:rPr>
        <w:t>委托</w:t>
      </w:r>
      <w:r>
        <w:rPr>
          <w:rFonts w:hint="eastAsia" w:asciiTheme="minorEastAsia" w:hAnsiTheme="minorEastAsia"/>
        </w:rPr>
        <w:t>人</w:t>
      </w:r>
      <w:r>
        <w:rPr>
          <w:rFonts w:asciiTheme="minorEastAsia" w:hAnsiTheme="minorEastAsia"/>
        </w:rPr>
        <w:t>提供的（2018）文法评字第30号</w:t>
      </w:r>
      <w:r>
        <w:rPr>
          <w:rFonts w:hint="eastAsia" w:asciiTheme="minorEastAsia" w:hAnsiTheme="minorEastAsia"/>
        </w:rPr>
        <w:t>《海南省文昌市人民法院司法鉴定委托书》</w:t>
      </w:r>
      <w:r>
        <w:rPr>
          <w:rFonts w:asciiTheme="minorEastAsia" w:hAnsiTheme="minorEastAsia"/>
        </w:rPr>
        <w:t>所载明的内容：</w:t>
      </w:r>
      <w:r>
        <w:rPr>
          <w:rFonts w:hint="eastAsia" w:asciiTheme="minorEastAsia" w:hAnsiTheme="minorEastAsia"/>
        </w:rPr>
        <w:t>我院执行局关于申请执行人郭泽安与被执行人谢衡借款合同纠纷一案中，因需对被执行人谢衡名下位于海南省文昌市清澜开发区文清大道田头坡西侧1#楼1单元418房 （房屋所有权证编号：09723号）、420房（房屋所有权证编号：09731号）、426房（房屋所有权证编号：09755号）三套房的房地产价值进行司法评估</w:t>
      </w:r>
      <w:r>
        <w:rPr>
          <w:rFonts w:asciiTheme="minorEastAsia" w:hAnsiTheme="minorEastAsia"/>
        </w:rPr>
        <w:t>…</w:t>
      </w:r>
      <w:r>
        <w:rPr>
          <w:rFonts w:hint="eastAsia" w:asciiTheme="minorEastAsia" w:hAnsiTheme="minorEastAsia"/>
        </w:rPr>
        <w:t>…</w:t>
      </w:r>
      <w:r>
        <w:rPr>
          <w:rFonts w:asciiTheme="minorEastAsia" w:hAnsiTheme="minorEastAsia"/>
        </w:rPr>
        <w:t>。根据以上情况，</w:t>
      </w:r>
      <w:r>
        <w:rPr>
          <w:rFonts w:hint="eastAsia" w:asciiTheme="minorEastAsia" w:hAnsiTheme="minorEastAsia"/>
        </w:rPr>
        <w:t>本次估价目的确定为：为估价委托人办理案件提供价格参考依据。</w:t>
      </w:r>
    </w:p>
    <w:p>
      <w:pPr>
        <w:pStyle w:val="3"/>
        <w:spacing w:before="0" w:beforeLines="0" w:after="0" w:afterLines="0"/>
        <w:ind w:firstLine="281"/>
        <w:rPr>
          <w:szCs w:val="28"/>
        </w:rPr>
      </w:pPr>
      <w:bookmarkStart w:id="47" w:name="_GoBack"/>
      <w:bookmarkEnd w:id="47"/>
      <w:r>
        <w:rPr>
          <w:szCs w:val="28"/>
        </w:rPr>
        <w:t>鉴定对象</w:t>
      </w:r>
      <w:bookmarkEnd w:id="26"/>
    </w:p>
    <w:p>
      <w:pPr>
        <w:spacing w:before="163" w:afterLines="0"/>
        <w:ind w:firstLine="480"/>
      </w:pPr>
      <w:r>
        <w:rPr>
          <w:rFonts w:hint="eastAsia" w:ascii="宋体" w:hAnsi="宋体"/>
          <w:snapToGrid w:val="0"/>
          <w:kern w:val="0"/>
        </w:rPr>
        <w:t>1.</w:t>
      </w:r>
      <w:r>
        <w:rPr>
          <w:rFonts w:hint="eastAsia"/>
        </w:rPr>
        <w:t>鉴定对象基本情况</w:t>
      </w:r>
    </w:p>
    <w:p>
      <w:pPr>
        <w:spacing w:beforeLines="0" w:afterLines="0"/>
        <w:ind w:firstLine="480"/>
        <w:jc w:val="center"/>
        <w:rPr>
          <w:rFonts w:ascii="宋体" w:hAnsi="宋体"/>
          <w:snapToGrid w:val="0"/>
          <w:kern w:val="0"/>
          <w:szCs w:val="24"/>
        </w:rPr>
      </w:pPr>
      <w:r>
        <w:rPr>
          <w:rFonts w:hint="eastAsia" w:ascii="宋体" w:hAnsi="宋体"/>
          <w:snapToGrid w:val="0"/>
          <w:kern w:val="0"/>
          <w:szCs w:val="24"/>
        </w:rPr>
        <w:t>鉴定对象基本情况表</w:t>
      </w:r>
    </w:p>
    <w:tbl>
      <w:tblPr>
        <w:tblStyle w:val="23"/>
        <w:tblW w:w="9474" w:type="dxa"/>
        <w:jc w:val="center"/>
        <w:tblInd w:w="0" w:type="dxa"/>
        <w:tblLayout w:type="fixed"/>
        <w:tblCellMar>
          <w:top w:w="0" w:type="dxa"/>
          <w:left w:w="108" w:type="dxa"/>
          <w:bottom w:w="0" w:type="dxa"/>
          <w:right w:w="108" w:type="dxa"/>
        </w:tblCellMar>
      </w:tblPr>
      <w:tblGrid>
        <w:gridCol w:w="1241"/>
        <w:gridCol w:w="994"/>
        <w:gridCol w:w="1417"/>
        <w:gridCol w:w="1277"/>
        <w:gridCol w:w="1275"/>
        <w:gridCol w:w="3270"/>
      </w:tblGrid>
      <w:tr>
        <w:tblPrEx>
          <w:tblLayout w:type="fixed"/>
          <w:tblCellMar>
            <w:top w:w="0" w:type="dxa"/>
            <w:left w:w="108" w:type="dxa"/>
            <w:bottom w:w="0" w:type="dxa"/>
            <w:right w:w="108" w:type="dxa"/>
          </w:tblCellMar>
        </w:tblPrEx>
        <w:trPr>
          <w:trHeight w:val="132" w:hRule="atLeast"/>
          <w:jc w:val="center"/>
        </w:trPr>
        <w:tc>
          <w:tcPr>
            <w:tcW w:w="1241"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鉴定对象名称及范围</w:t>
            </w:r>
          </w:p>
        </w:tc>
        <w:tc>
          <w:tcPr>
            <w:tcW w:w="8233" w:type="dxa"/>
            <w:gridSpan w:val="5"/>
            <w:tcBorders>
              <w:top w:val="single" w:color="auto" w:sz="4" w:space="0"/>
              <w:left w:val="nil"/>
              <w:bottom w:val="single" w:color="auto" w:sz="4" w:space="0"/>
              <w:right w:val="single" w:color="000000"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谢衡名下位于海南省文昌市清澜开发区文清大道田头坡西侧1#楼1#单元418房（建筑面积为41.03㎡，合同备案号：WHL000004806）、420房（建筑面积为41.03㎡，合同备案号：WHL000004803）、426房（建筑面积为41.03㎡，合同备案号：WHL000004800）三宗房地产</w:t>
            </w:r>
          </w:p>
        </w:tc>
      </w:tr>
      <w:tr>
        <w:tblPrEx>
          <w:tblLayout w:type="fixed"/>
          <w:tblCellMar>
            <w:top w:w="0" w:type="dxa"/>
            <w:left w:w="108" w:type="dxa"/>
            <w:bottom w:w="0" w:type="dxa"/>
            <w:right w:w="108" w:type="dxa"/>
          </w:tblCellMar>
        </w:tblPrEx>
        <w:trPr>
          <w:trHeight w:val="355" w:hRule="atLeast"/>
          <w:jc w:val="center"/>
        </w:trPr>
        <w:tc>
          <w:tcPr>
            <w:tcW w:w="1241" w:type="dxa"/>
            <w:tcBorders>
              <w:top w:val="nil"/>
              <w:left w:val="single" w:color="auto" w:sz="4" w:space="0"/>
              <w:bottom w:val="single" w:color="auto" w:sz="4" w:space="0"/>
              <w:right w:val="single" w:color="auto" w:sz="4" w:space="0"/>
            </w:tcBorders>
            <w:vAlign w:val="center"/>
          </w:tcPr>
          <w:p>
            <w:pPr>
              <w:spacing w:beforeLines="0" w:afterLines="0" w:line="240" w:lineRule="auto"/>
              <w:ind w:firstLine="450" w:firstLineChars="250"/>
              <w:jc w:val="left"/>
              <w:rPr>
                <w:rFonts w:ascii="宋体" w:hAnsi="宋体" w:eastAsia="宋体" w:cs="Times New Roman"/>
                <w:snapToGrid w:val="0"/>
                <w:kern w:val="0"/>
                <w:sz w:val="18"/>
                <w:szCs w:val="18"/>
              </w:rPr>
            </w:pPr>
            <w:r>
              <w:rPr>
                <w:rFonts w:hint="eastAsia" w:ascii="宋体" w:hAnsi="宋体" w:eastAsia="宋体" w:cs="Times New Roman"/>
                <w:snapToGrid w:val="0"/>
                <w:kern w:val="0"/>
                <w:sz w:val="18"/>
                <w:szCs w:val="18"/>
              </w:rPr>
              <w:t>座落</w:t>
            </w:r>
          </w:p>
        </w:tc>
        <w:tc>
          <w:tcPr>
            <w:tcW w:w="8233" w:type="dxa"/>
            <w:gridSpan w:val="5"/>
            <w:tcBorders>
              <w:top w:val="single" w:color="auto" w:sz="4" w:space="0"/>
              <w:left w:val="nil"/>
              <w:bottom w:val="single" w:color="auto" w:sz="4" w:space="0"/>
              <w:right w:val="single" w:color="000000" w:sz="4" w:space="0"/>
            </w:tcBorders>
            <w:vAlign w:val="center"/>
          </w:tcPr>
          <w:p>
            <w:pPr>
              <w:spacing w:beforeLines="0" w:afterLines="0" w:line="240" w:lineRule="auto"/>
              <w:ind w:firstLine="560" w:firstLineChars="0"/>
              <w:jc w:val="center"/>
              <w:rPr>
                <w:rFonts w:ascii="宋体" w:hAnsi="宋体" w:eastAsia="宋体" w:cs="Times New Roman"/>
                <w:snapToGrid w:val="0"/>
                <w:kern w:val="0"/>
                <w:sz w:val="18"/>
                <w:szCs w:val="18"/>
              </w:rPr>
            </w:pPr>
            <w:r>
              <w:rPr>
                <w:rFonts w:hint="eastAsia" w:ascii="宋体" w:hAnsi="宋体" w:eastAsia="宋体" w:cs="宋体"/>
                <w:snapToGrid w:val="0"/>
                <w:kern w:val="0"/>
                <w:sz w:val="18"/>
                <w:szCs w:val="18"/>
              </w:rPr>
              <w:t>海南省文昌市清澜开发区文清大道田头坡西侧</w:t>
            </w:r>
          </w:p>
        </w:tc>
      </w:tr>
      <w:tr>
        <w:tblPrEx>
          <w:tblLayout w:type="fixed"/>
          <w:tblCellMar>
            <w:top w:w="0" w:type="dxa"/>
            <w:left w:w="108" w:type="dxa"/>
            <w:bottom w:w="0" w:type="dxa"/>
            <w:right w:w="108" w:type="dxa"/>
          </w:tblCellMar>
        </w:tblPrEx>
        <w:trPr>
          <w:trHeight w:val="263" w:hRule="atLeast"/>
          <w:jc w:val="center"/>
        </w:trPr>
        <w:tc>
          <w:tcPr>
            <w:tcW w:w="1241" w:type="dxa"/>
            <w:vMerge w:val="restart"/>
            <w:tcBorders>
              <w:top w:val="nil"/>
              <w:left w:val="single" w:color="auto" w:sz="4" w:space="0"/>
              <w:bottom w:val="single" w:color="000000"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四至</w:t>
            </w:r>
          </w:p>
        </w:tc>
        <w:tc>
          <w:tcPr>
            <w:tcW w:w="994"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东至</w:t>
            </w:r>
          </w:p>
        </w:tc>
        <w:tc>
          <w:tcPr>
            <w:tcW w:w="2694" w:type="dxa"/>
            <w:gridSpan w:val="2"/>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清澜别院小区</w:t>
            </w:r>
          </w:p>
        </w:tc>
        <w:tc>
          <w:tcPr>
            <w:tcW w:w="1275"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南至</w:t>
            </w:r>
          </w:p>
        </w:tc>
        <w:tc>
          <w:tcPr>
            <w:tcW w:w="3270" w:type="dxa"/>
            <w:tcBorders>
              <w:top w:val="single" w:color="auto" w:sz="4" w:space="0"/>
              <w:left w:val="nil"/>
              <w:bottom w:val="single" w:color="auto" w:sz="4" w:space="0"/>
              <w:right w:val="single" w:color="000000"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cs="宋体"/>
                <w:bCs/>
                <w:kern w:val="0"/>
                <w:sz w:val="18"/>
                <w:szCs w:val="18"/>
              </w:rPr>
              <w:t>空地</w:t>
            </w:r>
          </w:p>
        </w:tc>
      </w:tr>
      <w:tr>
        <w:tblPrEx>
          <w:tblLayout w:type="fixed"/>
          <w:tblCellMar>
            <w:top w:w="0" w:type="dxa"/>
            <w:left w:w="108" w:type="dxa"/>
            <w:bottom w:w="0" w:type="dxa"/>
            <w:right w:w="108" w:type="dxa"/>
          </w:tblCellMar>
        </w:tblPrEx>
        <w:trPr>
          <w:trHeight w:val="268" w:hRule="atLeast"/>
          <w:jc w:val="center"/>
        </w:trPr>
        <w:tc>
          <w:tcPr>
            <w:tcW w:w="1241" w:type="dxa"/>
            <w:vMerge w:val="continue"/>
            <w:tcBorders>
              <w:top w:val="nil"/>
              <w:left w:val="single" w:color="auto" w:sz="4" w:space="0"/>
              <w:bottom w:val="single" w:color="000000"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p>
        </w:tc>
        <w:tc>
          <w:tcPr>
            <w:tcW w:w="994"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西至</w:t>
            </w:r>
          </w:p>
        </w:tc>
        <w:tc>
          <w:tcPr>
            <w:tcW w:w="2694" w:type="dxa"/>
            <w:gridSpan w:val="2"/>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文府</w:t>
            </w:r>
            <w:r>
              <w:rPr>
                <w:rFonts w:ascii="宋体" w:hAnsi="宋体" w:eastAsia="宋体" w:cs="宋体"/>
                <w:snapToGrid w:val="0"/>
                <w:kern w:val="0"/>
                <w:sz w:val="18"/>
                <w:szCs w:val="18"/>
              </w:rPr>
              <w:t>路</w:t>
            </w:r>
          </w:p>
        </w:tc>
        <w:tc>
          <w:tcPr>
            <w:tcW w:w="1275"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北至</w:t>
            </w:r>
          </w:p>
        </w:tc>
        <w:tc>
          <w:tcPr>
            <w:tcW w:w="3270" w:type="dxa"/>
            <w:tcBorders>
              <w:top w:val="single" w:color="auto" w:sz="4" w:space="0"/>
              <w:left w:val="nil"/>
              <w:bottom w:val="single" w:color="auto" w:sz="4" w:space="0"/>
              <w:right w:val="single" w:color="000000"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cs="宋体"/>
                <w:bCs/>
                <w:kern w:val="0"/>
                <w:sz w:val="18"/>
                <w:szCs w:val="18"/>
              </w:rPr>
              <w:t>海南远华装饰工程</w:t>
            </w:r>
            <w:r>
              <w:rPr>
                <w:rFonts w:ascii="宋体" w:hAnsi="宋体" w:cs="宋体"/>
                <w:bCs/>
                <w:kern w:val="0"/>
                <w:sz w:val="18"/>
                <w:szCs w:val="18"/>
              </w:rPr>
              <w:t>有限公司用地</w:t>
            </w:r>
          </w:p>
        </w:tc>
      </w:tr>
      <w:tr>
        <w:tblPrEx>
          <w:tblLayout w:type="fixed"/>
          <w:tblCellMar>
            <w:top w:w="0" w:type="dxa"/>
            <w:left w:w="108" w:type="dxa"/>
            <w:bottom w:w="0" w:type="dxa"/>
            <w:right w:w="108" w:type="dxa"/>
          </w:tblCellMar>
        </w:tblPrEx>
        <w:trPr>
          <w:trHeight w:val="484" w:hRule="atLeast"/>
          <w:jc w:val="center"/>
        </w:trPr>
        <w:tc>
          <w:tcPr>
            <w:tcW w:w="1241" w:type="dxa"/>
            <w:tcBorders>
              <w:top w:val="nil"/>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面积</w:t>
            </w:r>
          </w:p>
        </w:tc>
        <w:tc>
          <w:tcPr>
            <w:tcW w:w="8233" w:type="dxa"/>
            <w:gridSpan w:val="5"/>
            <w:tcBorders>
              <w:top w:val="single" w:color="auto" w:sz="4" w:space="0"/>
              <w:left w:val="nil"/>
              <w:bottom w:val="single" w:color="auto" w:sz="4" w:space="0"/>
              <w:right w:val="single" w:color="000000" w:sz="4" w:space="0"/>
            </w:tcBorders>
            <w:vAlign w:val="center"/>
          </w:tcPr>
          <w:p>
            <w:pPr>
              <w:widowControl/>
              <w:spacing w:beforeLines="0" w:afterLines="0" w:line="240" w:lineRule="auto"/>
              <w:ind w:firstLine="0" w:firstLineChars="0"/>
              <w:jc w:val="center"/>
              <w:rPr>
                <w:rFonts w:cs="宋体" w:asciiTheme="minorEastAsia" w:hAnsiTheme="minorEastAsia"/>
                <w:snapToGrid w:val="0"/>
                <w:kern w:val="0"/>
                <w:sz w:val="18"/>
                <w:szCs w:val="18"/>
              </w:rPr>
            </w:pPr>
            <w:r>
              <w:rPr>
                <w:rFonts w:hint="eastAsia" w:cs="宋体" w:asciiTheme="minorEastAsia" w:hAnsiTheme="minorEastAsia"/>
                <w:snapToGrid w:val="0"/>
                <w:kern w:val="0"/>
                <w:sz w:val="18"/>
                <w:szCs w:val="18"/>
              </w:rPr>
              <w:t>因鉴定对象截止价值时点尚未办理《不动产权证书》，根据所提供的《文昌市商品房买卖合同备案表》（复印件），鉴定对象418房、420房、426房建筑面积均为</w:t>
            </w:r>
            <w:r>
              <w:rPr>
                <w:rFonts w:cs="宋体" w:asciiTheme="minorEastAsia" w:hAnsiTheme="minorEastAsia"/>
                <w:snapToGrid w:val="0"/>
                <w:kern w:val="0"/>
                <w:sz w:val="18"/>
                <w:szCs w:val="18"/>
              </w:rPr>
              <w:t>41.03</w:t>
            </w:r>
            <w:r>
              <w:rPr>
                <w:rFonts w:hint="eastAsia" w:cs="宋体" w:asciiTheme="minorEastAsia" w:hAnsiTheme="minorEastAsia"/>
                <w:snapToGrid w:val="0"/>
                <w:kern w:val="0"/>
                <w:sz w:val="18"/>
                <w:szCs w:val="18"/>
              </w:rPr>
              <w:t>平方米，所在小区地号为03-</w:t>
            </w:r>
            <w:r>
              <w:rPr>
                <w:rFonts w:cs="宋体" w:asciiTheme="minorEastAsia" w:hAnsiTheme="minorEastAsia"/>
                <w:snapToGrid w:val="0"/>
                <w:kern w:val="0"/>
                <w:sz w:val="18"/>
                <w:szCs w:val="18"/>
              </w:rPr>
              <w:t>02-381</w:t>
            </w:r>
            <w:r>
              <w:rPr>
                <w:rFonts w:hint="eastAsia" w:cs="宋体" w:asciiTheme="minorEastAsia" w:hAnsiTheme="minorEastAsia"/>
                <w:snapToGrid w:val="0"/>
                <w:kern w:val="0"/>
                <w:sz w:val="18"/>
                <w:szCs w:val="18"/>
              </w:rPr>
              <w:t>号地块土地使用权面积为</w:t>
            </w:r>
            <w:r>
              <w:rPr>
                <w:rFonts w:cs="宋体" w:asciiTheme="minorEastAsia" w:hAnsiTheme="minorEastAsia"/>
                <w:snapToGrid w:val="0"/>
                <w:kern w:val="0"/>
                <w:sz w:val="18"/>
                <w:szCs w:val="18"/>
              </w:rPr>
              <w:t>14076.31</w:t>
            </w:r>
            <w:r>
              <w:rPr>
                <w:rFonts w:hint="eastAsia" w:cs="宋体" w:asciiTheme="minorEastAsia" w:hAnsiTheme="minorEastAsia"/>
                <w:snapToGrid w:val="0"/>
                <w:kern w:val="0"/>
                <w:sz w:val="18"/>
                <w:szCs w:val="18"/>
              </w:rPr>
              <w:t>平方米，因鉴定对象尚未办理土地分摊证，估价师亦未调查到相关资料，本次估价无法对鉴定对象应分摊的土地面积进行描述。</w:t>
            </w:r>
          </w:p>
        </w:tc>
      </w:tr>
      <w:tr>
        <w:tblPrEx>
          <w:tblLayout w:type="fixed"/>
          <w:tblCellMar>
            <w:top w:w="0" w:type="dxa"/>
            <w:left w:w="108" w:type="dxa"/>
            <w:bottom w:w="0" w:type="dxa"/>
            <w:right w:w="108" w:type="dxa"/>
          </w:tblCellMar>
        </w:tblPrEx>
        <w:trPr>
          <w:trHeight w:val="197" w:hRule="atLeast"/>
          <w:jc w:val="center"/>
        </w:trPr>
        <w:tc>
          <w:tcPr>
            <w:tcW w:w="1241" w:type="dxa"/>
            <w:vMerge w:val="restart"/>
            <w:tcBorders>
              <w:top w:val="nil"/>
              <w:left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用途</w:t>
            </w:r>
          </w:p>
        </w:tc>
        <w:tc>
          <w:tcPr>
            <w:tcW w:w="994" w:type="dxa"/>
            <w:vMerge w:val="restart"/>
            <w:tcBorders>
              <w:top w:val="nil"/>
              <w:left w:val="nil"/>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证载用途</w:t>
            </w:r>
          </w:p>
        </w:tc>
        <w:tc>
          <w:tcPr>
            <w:tcW w:w="1417"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房产载明用途</w:t>
            </w:r>
          </w:p>
        </w:tc>
        <w:tc>
          <w:tcPr>
            <w:tcW w:w="5822" w:type="dxa"/>
            <w:gridSpan w:val="3"/>
            <w:tcBorders>
              <w:top w:val="single" w:color="auto" w:sz="4" w:space="0"/>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cs="宋体"/>
                <w:snapToGrid w:val="0"/>
                <w:kern w:val="0"/>
                <w:sz w:val="18"/>
                <w:szCs w:val="18"/>
              </w:rPr>
              <w:t>《房屋所有权证》（证号为：文昌市房权证文房证字第50931号）载明房屋用途为商业，《文昌市商品房买卖合同备案表》（复印件）载明房屋用途为办公。</w:t>
            </w:r>
          </w:p>
        </w:tc>
      </w:tr>
      <w:tr>
        <w:tblPrEx>
          <w:tblLayout w:type="fixed"/>
          <w:tblCellMar>
            <w:top w:w="0" w:type="dxa"/>
            <w:left w:w="108" w:type="dxa"/>
            <w:bottom w:w="0" w:type="dxa"/>
            <w:right w:w="108" w:type="dxa"/>
          </w:tblCellMar>
        </w:tblPrEx>
        <w:trPr>
          <w:trHeight w:val="317" w:hRule="atLeast"/>
          <w:jc w:val="center"/>
        </w:trPr>
        <w:tc>
          <w:tcPr>
            <w:tcW w:w="1241" w:type="dxa"/>
            <w:vMerge w:val="continue"/>
            <w:tcBorders>
              <w:left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p>
        </w:tc>
        <w:tc>
          <w:tcPr>
            <w:tcW w:w="994" w:type="dxa"/>
            <w:vMerge w:val="continue"/>
            <w:tcBorders>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p>
        </w:tc>
        <w:tc>
          <w:tcPr>
            <w:tcW w:w="1417"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土地证载用途</w:t>
            </w:r>
          </w:p>
        </w:tc>
        <w:tc>
          <w:tcPr>
            <w:tcW w:w="5822" w:type="dxa"/>
            <w:gridSpan w:val="3"/>
            <w:tcBorders>
              <w:top w:val="single" w:color="auto" w:sz="4" w:space="0"/>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Theme="minorEastAsia" w:hAnsiTheme="minorEastAsia"/>
                <w:sz w:val="18"/>
                <w:szCs w:val="18"/>
              </w:rPr>
              <w:t>根据委托方提供的《国有土地使用证》（证号为：文国用（2016）第W0300483号）（总证），证载</w:t>
            </w:r>
            <w:r>
              <w:rPr>
                <w:rFonts w:asciiTheme="minorEastAsia" w:hAnsiTheme="minorEastAsia"/>
                <w:sz w:val="18"/>
                <w:szCs w:val="18"/>
              </w:rPr>
              <w:t>土地用途为</w:t>
            </w:r>
            <w:r>
              <w:rPr>
                <w:rFonts w:hint="eastAsia" w:asciiTheme="minorEastAsia" w:hAnsiTheme="minorEastAsia"/>
                <w:sz w:val="18"/>
                <w:szCs w:val="18"/>
              </w:rPr>
              <w:t>商住用地</w:t>
            </w:r>
            <w:r>
              <w:rPr>
                <w:rFonts w:hint="eastAsia" w:cs="宋体" w:asciiTheme="minorEastAsia" w:hAnsiTheme="minorEastAsia"/>
                <w:snapToGrid w:val="0"/>
                <w:kern w:val="0"/>
                <w:sz w:val="18"/>
                <w:szCs w:val="18"/>
              </w:rPr>
              <w:t>。</w:t>
            </w:r>
          </w:p>
        </w:tc>
      </w:tr>
      <w:tr>
        <w:tblPrEx>
          <w:tblLayout w:type="fixed"/>
          <w:tblCellMar>
            <w:top w:w="0" w:type="dxa"/>
            <w:left w:w="108" w:type="dxa"/>
            <w:bottom w:w="0" w:type="dxa"/>
            <w:right w:w="108" w:type="dxa"/>
          </w:tblCellMar>
        </w:tblPrEx>
        <w:trPr>
          <w:trHeight w:val="235" w:hRule="atLeast"/>
          <w:jc w:val="center"/>
        </w:trPr>
        <w:tc>
          <w:tcPr>
            <w:tcW w:w="1241" w:type="dxa"/>
            <w:vMerge w:val="continue"/>
            <w:tcBorders>
              <w:left w:val="single" w:color="auto" w:sz="4" w:space="0"/>
              <w:bottom w:val="single" w:color="000000"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p>
        </w:tc>
        <w:tc>
          <w:tcPr>
            <w:tcW w:w="994"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现状用途</w:t>
            </w:r>
          </w:p>
        </w:tc>
        <w:tc>
          <w:tcPr>
            <w:tcW w:w="7239" w:type="dxa"/>
            <w:gridSpan w:val="4"/>
            <w:tcBorders>
              <w:top w:val="single" w:color="auto" w:sz="4" w:space="0"/>
              <w:left w:val="nil"/>
              <w:bottom w:val="single" w:color="auto" w:sz="4" w:space="0"/>
              <w:right w:val="single" w:color="000000" w:sz="4" w:space="0"/>
            </w:tcBorders>
            <w:vAlign w:val="center"/>
          </w:tcPr>
          <w:p>
            <w:pPr>
              <w:widowControl/>
              <w:spacing w:beforeLines="0" w:afterLines="0" w:line="240" w:lineRule="auto"/>
              <w:ind w:firstLine="0" w:firstLineChars="0"/>
              <w:jc w:val="left"/>
              <w:rPr>
                <w:rFonts w:ascii="宋体" w:hAnsi="宋体" w:eastAsia="宋体" w:cs="宋体"/>
                <w:snapToGrid w:val="0"/>
                <w:kern w:val="0"/>
                <w:sz w:val="18"/>
                <w:szCs w:val="18"/>
              </w:rPr>
            </w:pPr>
            <w:r>
              <w:rPr>
                <w:rFonts w:hint="eastAsia" w:ascii="宋体" w:hAnsi="宋体" w:eastAsia="宋体" w:cs="宋体"/>
                <w:snapToGrid w:val="0"/>
                <w:kern w:val="0"/>
                <w:sz w:val="18"/>
                <w:szCs w:val="18"/>
              </w:rPr>
              <w:t>截止价值时点，鉴定对象</w:t>
            </w:r>
            <w:r>
              <w:rPr>
                <w:rFonts w:hint="eastAsia" w:cs="宋体" w:asciiTheme="minorEastAsia" w:hAnsiTheme="minorEastAsia"/>
                <w:snapToGrid w:val="0"/>
                <w:kern w:val="0"/>
                <w:sz w:val="18"/>
                <w:szCs w:val="18"/>
              </w:rPr>
              <w:t>现状均空置</w:t>
            </w:r>
            <w:r>
              <w:rPr>
                <w:rFonts w:hint="eastAsia" w:ascii="宋体" w:hAnsi="宋体" w:eastAsia="宋体" w:cs="宋体"/>
                <w:snapToGrid w:val="0"/>
                <w:kern w:val="0"/>
                <w:sz w:val="18"/>
                <w:szCs w:val="18"/>
              </w:rPr>
              <w:t>。</w:t>
            </w:r>
            <w:r>
              <w:rPr>
                <w:rFonts w:hint="eastAsia" w:cs="宋体" w:asciiTheme="minorEastAsia" w:hAnsiTheme="minorEastAsia"/>
                <w:snapToGrid w:val="0"/>
                <w:kern w:val="0"/>
                <w:sz w:val="18"/>
                <w:szCs w:val="18"/>
              </w:rPr>
              <w:t>420房、426房</w:t>
            </w:r>
            <w:r>
              <w:rPr>
                <w:rFonts w:hint="eastAsia" w:ascii="宋体" w:hAnsi="宋体" w:eastAsia="宋体" w:cs="宋体"/>
                <w:snapToGrid w:val="0"/>
                <w:kern w:val="0"/>
                <w:sz w:val="18"/>
                <w:szCs w:val="18"/>
              </w:rPr>
              <w:t>现已被海南省文昌市人民法院查封。</w:t>
            </w:r>
          </w:p>
        </w:tc>
      </w:tr>
      <w:tr>
        <w:tblPrEx>
          <w:tblLayout w:type="fixed"/>
          <w:tblCellMar>
            <w:top w:w="0" w:type="dxa"/>
            <w:left w:w="108" w:type="dxa"/>
            <w:bottom w:w="0" w:type="dxa"/>
            <w:right w:w="108" w:type="dxa"/>
          </w:tblCellMar>
        </w:tblPrEx>
        <w:trPr>
          <w:trHeight w:val="684" w:hRule="atLeast"/>
          <w:jc w:val="center"/>
        </w:trPr>
        <w:tc>
          <w:tcPr>
            <w:tcW w:w="1241" w:type="dxa"/>
            <w:tcBorders>
              <w:top w:val="nil"/>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权属</w:t>
            </w:r>
          </w:p>
        </w:tc>
        <w:tc>
          <w:tcPr>
            <w:tcW w:w="8233" w:type="dxa"/>
            <w:gridSpan w:val="5"/>
            <w:tcBorders>
              <w:top w:val="single" w:color="auto" w:sz="4" w:space="0"/>
              <w:left w:val="nil"/>
              <w:bottom w:val="single" w:color="auto" w:sz="4" w:space="0"/>
              <w:right w:val="single" w:color="000000" w:sz="4" w:space="0"/>
            </w:tcBorders>
            <w:vAlign w:val="center"/>
          </w:tcPr>
          <w:p>
            <w:pPr>
              <w:widowControl/>
              <w:spacing w:beforeLines="0" w:afterLines="0" w:line="240" w:lineRule="auto"/>
              <w:ind w:firstLine="0" w:firstLineChars="0"/>
              <w:jc w:val="left"/>
              <w:rPr>
                <w:rFonts w:cs="宋体" w:asciiTheme="minorEastAsia" w:hAnsiTheme="minorEastAsia"/>
                <w:snapToGrid w:val="0"/>
                <w:kern w:val="0"/>
                <w:sz w:val="18"/>
                <w:szCs w:val="18"/>
              </w:rPr>
            </w:pPr>
            <w:r>
              <w:rPr>
                <w:rFonts w:hint="eastAsia" w:cs="宋体" w:asciiTheme="minorEastAsia" w:hAnsiTheme="minorEastAsia"/>
                <w:snapToGrid w:val="0"/>
                <w:kern w:val="0"/>
                <w:sz w:val="18"/>
                <w:szCs w:val="18"/>
              </w:rPr>
              <w:t>因鉴定对象截止价值时点尚未办理《不动产权证书》，买卖合同</w:t>
            </w:r>
            <w:r>
              <w:rPr>
                <w:rFonts w:cs="宋体" w:asciiTheme="minorEastAsia" w:hAnsiTheme="minorEastAsia"/>
                <w:snapToGrid w:val="0"/>
                <w:kern w:val="0"/>
                <w:sz w:val="18"/>
                <w:szCs w:val="18"/>
              </w:rPr>
              <w:t>备案表</w:t>
            </w:r>
            <w:r>
              <w:rPr>
                <w:rFonts w:hint="eastAsia" w:cs="宋体" w:asciiTheme="minorEastAsia" w:hAnsiTheme="minorEastAsia"/>
                <w:snapToGrid w:val="0"/>
                <w:kern w:val="0"/>
                <w:sz w:val="18"/>
                <w:szCs w:val="18"/>
              </w:rPr>
              <w:t>，鉴定对象买受人均为谢衡，本报告没有对相应土地权属状况进行描述。</w:t>
            </w:r>
          </w:p>
        </w:tc>
      </w:tr>
      <w:tr>
        <w:tblPrEx>
          <w:tblLayout w:type="fixed"/>
          <w:tblCellMar>
            <w:top w:w="0" w:type="dxa"/>
            <w:left w:w="108" w:type="dxa"/>
            <w:bottom w:w="0" w:type="dxa"/>
            <w:right w:w="108" w:type="dxa"/>
          </w:tblCellMar>
        </w:tblPrEx>
        <w:trPr>
          <w:trHeight w:val="415" w:hRule="atLeast"/>
          <w:jc w:val="center"/>
        </w:trPr>
        <w:tc>
          <w:tcPr>
            <w:tcW w:w="1241" w:type="dxa"/>
            <w:tcBorders>
              <w:top w:val="nil"/>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土地开</w:t>
            </w:r>
          </w:p>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发程度</w:t>
            </w:r>
          </w:p>
        </w:tc>
        <w:tc>
          <w:tcPr>
            <w:tcW w:w="8233" w:type="dxa"/>
            <w:gridSpan w:val="5"/>
            <w:tcBorders>
              <w:top w:val="single" w:color="auto" w:sz="4" w:space="0"/>
              <w:left w:val="nil"/>
              <w:bottom w:val="single" w:color="auto" w:sz="4" w:space="0"/>
              <w:right w:val="single" w:color="auto" w:sz="4" w:space="0"/>
            </w:tcBorders>
            <w:vAlign w:val="center"/>
          </w:tcPr>
          <w:p>
            <w:pPr>
              <w:widowControl/>
              <w:spacing w:beforeLines="0" w:afterLines="0" w:line="240" w:lineRule="auto"/>
              <w:ind w:firstLine="0" w:firstLineChars="0"/>
              <w:jc w:val="left"/>
              <w:rPr>
                <w:rFonts w:ascii="宋体" w:hAnsi="宋体" w:eastAsia="宋体" w:cs="宋体"/>
                <w:snapToGrid w:val="0"/>
                <w:kern w:val="0"/>
                <w:sz w:val="18"/>
                <w:szCs w:val="18"/>
              </w:rPr>
            </w:pPr>
            <w:r>
              <w:rPr>
                <w:rFonts w:hint="eastAsia" w:ascii="宋体" w:hAnsi="宋体" w:eastAsia="宋体" w:cs="宋体"/>
                <w:snapToGrid w:val="0"/>
                <w:kern w:val="0"/>
                <w:sz w:val="18"/>
                <w:szCs w:val="18"/>
              </w:rPr>
              <w:t>据实地查勘，鉴定对象红线外土地已到达“六通”（即红线外通路、通电、供水、通讯、排水、通气），宗地红线内土地已平整。</w:t>
            </w:r>
          </w:p>
        </w:tc>
      </w:tr>
    </w:tbl>
    <w:p>
      <w:pPr>
        <w:spacing w:before="163" w:after="163"/>
        <w:ind w:firstLine="480"/>
        <w:rPr>
          <w:rFonts w:asciiTheme="minorEastAsia" w:hAnsiTheme="minorEastAsia"/>
        </w:rPr>
      </w:pPr>
      <w:r>
        <w:rPr>
          <w:rFonts w:hint="eastAsia" w:asciiTheme="minorEastAsia" w:hAnsiTheme="minorEastAsia"/>
        </w:rPr>
        <w:t>2.</w:t>
      </w:r>
      <w:r>
        <w:rPr>
          <w:rFonts w:asciiTheme="minorEastAsia" w:hAnsiTheme="minorEastAsia"/>
        </w:rPr>
        <w:t>鉴定对象</w:t>
      </w:r>
      <w:r>
        <w:rPr>
          <w:rFonts w:hint="eastAsia" w:asciiTheme="minorEastAsia" w:hAnsiTheme="minorEastAsia"/>
        </w:rPr>
        <w:t>登记及</w:t>
      </w:r>
      <w:r>
        <w:rPr>
          <w:rFonts w:asciiTheme="minorEastAsia" w:hAnsiTheme="minorEastAsia"/>
        </w:rPr>
        <w:t>实物状况</w:t>
      </w:r>
    </w:p>
    <w:p>
      <w:pPr>
        <w:spacing w:before="163" w:after="163"/>
        <w:ind w:firstLine="199" w:firstLineChars="83"/>
        <w:rPr>
          <w:rFonts w:ascii="宋体" w:hAnsi="宋体"/>
          <w:color w:val="000000"/>
          <w:kern w:val="0"/>
          <w:szCs w:val="24"/>
        </w:rPr>
      </w:pPr>
      <w:r>
        <w:rPr>
          <w:rFonts w:hint="eastAsia" w:ascii="宋体" w:hAnsi="宋体"/>
          <w:color w:val="000000"/>
          <w:kern w:val="0"/>
        </w:rPr>
        <w:t>（1）土地登记及实物状况</w:t>
      </w:r>
    </w:p>
    <w:p>
      <w:pPr>
        <w:spacing w:before="163" w:after="163"/>
        <w:ind w:firstLine="480"/>
        <w:rPr>
          <w:rFonts w:ascii="宋体" w:hAnsi="宋体"/>
          <w:color w:val="000000"/>
          <w:kern w:val="0"/>
        </w:rPr>
      </w:pPr>
      <w:r>
        <w:rPr>
          <w:rFonts w:hint="eastAsia" w:ascii="宋体" w:hAnsi="宋体"/>
          <w:color w:val="000000"/>
          <w:kern w:val="0"/>
        </w:rPr>
        <w:t>①土地登记状况</w:t>
      </w:r>
    </w:p>
    <w:p>
      <w:pPr>
        <w:spacing w:beforeLines="0" w:after="163"/>
        <w:ind w:firstLine="480"/>
        <w:rPr>
          <w:rFonts w:ascii="宋体" w:hAnsi="宋体"/>
        </w:rPr>
      </w:pPr>
      <w:r>
        <w:rPr>
          <w:rFonts w:hint="eastAsia" w:ascii="宋体" w:hAnsi="宋体"/>
        </w:rPr>
        <w:t>鉴定对象尚未办理土地分摊证，根据所提供的《国有土地使用证》（证号为：文国用（2016）第W0300483号）（总证）证载内容，土地</w:t>
      </w:r>
      <w:r>
        <w:rPr>
          <w:rFonts w:ascii="宋体" w:hAnsi="宋体"/>
        </w:rPr>
        <w:t>使用权人为文昌瑞锦房地产开发有限公司，</w:t>
      </w:r>
      <w:r>
        <w:rPr>
          <w:rFonts w:hint="eastAsia" w:ascii="宋体" w:hAnsi="宋体"/>
        </w:rPr>
        <w:t>土地使用权面积为</w:t>
      </w:r>
      <w:r>
        <w:rPr>
          <w:rFonts w:ascii="宋体" w:hAnsi="宋体"/>
        </w:rPr>
        <w:t>14076.31</w:t>
      </w:r>
      <w:r>
        <w:rPr>
          <w:rFonts w:hint="eastAsia" w:ascii="宋体" w:hAnsi="宋体"/>
        </w:rPr>
        <w:t>平方米，土地用途为商住用地，土地使用权使用年限为至</w:t>
      </w:r>
      <w:r>
        <w:rPr>
          <w:rFonts w:ascii="宋体" w:hAnsi="宋体"/>
        </w:rPr>
        <w:t>2063</w:t>
      </w:r>
      <w:r>
        <w:rPr>
          <w:rFonts w:hint="eastAsia" w:ascii="宋体" w:hAnsi="宋体"/>
        </w:rPr>
        <w:t>年</w:t>
      </w:r>
      <w:r>
        <w:rPr>
          <w:rFonts w:ascii="宋体" w:hAnsi="宋体"/>
        </w:rPr>
        <w:t>01</w:t>
      </w:r>
      <w:r>
        <w:rPr>
          <w:rFonts w:hint="eastAsia" w:ascii="宋体" w:hAnsi="宋体"/>
        </w:rPr>
        <w:t>月</w:t>
      </w:r>
      <w:r>
        <w:rPr>
          <w:rFonts w:ascii="宋体" w:hAnsi="宋体"/>
        </w:rPr>
        <w:t>27</w:t>
      </w:r>
      <w:r>
        <w:rPr>
          <w:rFonts w:hint="eastAsia" w:ascii="宋体" w:hAnsi="宋体"/>
        </w:rPr>
        <w:t>日止。具体登记状况如下表：</w:t>
      </w:r>
    </w:p>
    <w:p>
      <w:pPr>
        <w:spacing w:beforeLines="0" w:after="163"/>
        <w:ind w:firstLine="480"/>
        <w:rPr>
          <w:rFonts w:ascii="宋体" w:hAnsi="宋体"/>
        </w:rPr>
      </w:pPr>
    </w:p>
    <w:p>
      <w:pPr>
        <w:spacing w:beforeLines="0" w:after="163"/>
        <w:ind w:firstLine="480"/>
        <w:rPr>
          <w:rFonts w:ascii="宋体" w:hAnsi="宋体"/>
        </w:rPr>
      </w:pPr>
    </w:p>
    <w:p>
      <w:pPr>
        <w:spacing w:beforeLines="0" w:after="163"/>
        <w:ind w:firstLine="482"/>
        <w:jc w:val="center"/>
        <w:rPr>
          <w:rFonts w:ascii="宋体" w:hAnsi="宋体"/>
          <w:b/>
          <w:bCs/>
        </w:rPr>
      </w:pPr>
      <w:r>
        <w:rPr>
          <w:rFonts w:hint="eastAsia" w:ascii="宋体" w:hAnsi="宋体"/>
          <w:b/>
          <w:bCs/>
        </w:rPr>
        <w:t>鉴定对象所在小区宗地登记状况表</w:t>
      </w:r>
    </w:p>
    <w:tbl>
      <w:tblPr>
        <w:tblStyle w:val="23"/>
        <w:tblW w:w="94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8"/>
        <w:gridCol w:w="2535"/>
        <w:gridCol w:w="697"/>
        <w:gridCol w:w="1385"/>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88" w:type="dxa"/>
            <w:tcBorders>
              <w:top w:val="single" w:color="auto" w:sz="4" w:space="0"/>
              <w:left w:val="single" w:color="auto" w:sz="4" w:space="0"/>
              <w:bottom w:val="single" w:color="auto" w:sz="4" w:space="0"/>
              <w:right w:val="single" w:color="auto" w:sz="4" w:space="0"/>
            </w:tcBorders>
          </w:tcPr>
          <w:p>
            <w:pPr>
              <w:spacing w:beforeLines="0" w:afterLines="0" w:line="240" w:lineRule="atLeast"/>
              <w:ind w:firstLine="0" w:firstLineChars="0"/>
              <w:jc w:val="center"/>
              <w:rPr>
                <w:rFonts w:ascii="宋体" w:hAnsi="宋体"/>
                <w:sz w:val="18"/>
                <w:szCs w:val="18"/>
              </w:rPr>
            </w:pPr>
            <w:r>
              <w:rPr>
                <w:rFonts w:hint="eastAsia" w:ascii="宋体" w:hAnsi="宋体"/>
                <w:color w:val="000000"/>
                <w:sz w:val="18"/>
                <w:szCs w:val="18"/>
              </w:rPr>
              <w:t>国有土地使用证编号</w:t>
            </w:r>
          </w:p>
        </w:tc>
        <w:tc>
          <w:tcPr>
            <w:tcW w:w="7086" w:type="dxa"/>
            <w:gridSpan w:val="4"/>
            <w:tcBorders>
              <w:top w:val="single" w:color="auto" w:sz="4" w:space="0"/>
              <w:left w:val="nil"/>
              <w:bottom w:val="single" w:color="auto" w:sz="4" w:space="0"/>
              <w:right w:val="single" w:color="auto" w:sz="4" w:space="0"/>
            </w:tcBorders>
            <w:vAlign w:val="center"/>
          </w:tcPr>
          <w:p>
            <w:pPr>
              <w:spacing w:beforeLines="0" w:afterLines="0" w:line="240" w:lineRule="atLeast"/>
              <w:ind w:firstLine="0" w:firstLineChars="0"/>
              <w:rPr>
                <w:rFonts w:ascii="宋体" w:hAnsi="宋体"/>
                <w:sz w:val="18"/>
                <w:szCs w:val="18"/>
              </w:rPr>
            </w:pPr>
            <w:r>
              <w:rPr>
                <w:rFonts w:hint="eastAsia" w:ascii="宋体" w:hAnsi="宋体"/>
                <w:sz w:val="18"/>
                <w:szCs w:val="18"/>
              </w:rPr>
              <w:t>文国用（2016）第W0300483号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88" w:type="dxa"/>
            <w:tcBorders>
              <w:top w:val="single" w:color="auto" w:sz="4" w:space="0"/>
              <w:left w:val="single" w:color="auto" w:sz="4" w:space="0"/>
              <w:bottom w:val="single" w:color="auto" w:sz="4" w:space="0"/>
              <w:right w:val="single" w:color="auto" w:sz="4" w:space="0"/>
            </w:tcBorders>
          </w:tcPr>
          <w:p>
            <w:pPr>
              <w:spacing w:beforeLines="0" w:afterLines="0" w:line="240" w:lineRule="atLeast"/>
              <w:ind w:firstLine="0" w:firstLineChars="0"/>
              <w:jc w:val="center"/>
              <w:rPr>
                <w:rFonts w:ascii="宋体" w:hAnsi="宋体"/>
                <w:sz w:val="18"/>
                <w:szCs w:val="18"/>
              </w:rPr>
            </w:pPr>
            <w:r>
              <w:rPr>
                <w:rFonts w:hint="eastAsia" w:ascii="宋体" w:hAnsi="宋体"/>
                <w:sz w:val="18"/>
                <w:szCs w:val="18"/>
              </w:rPr>
              <w:t>土地使用权人</w:t>
            </w:r>
          </w:p>
        </w:tc>
        <w:tc>
          <w:tcPr>
            <w:tcW w:w="7086" w:type="dxa"/>
            <w:gridSpan w:val="4"/>
            <w:tcBorders>
              <w:top w:val="single" w:color="auto" w:sz="4" w:space="0"/>
              <w:left w:val="nil"/>
              <w:bottom w:val="single" w:color="auto" w:sz="4" w:space="0"/>
              <w:right w:val="single" w:color="auto" w:sz="4" w:space="0"/>
            </w:tcBorders>
          </w:tcPr>
          <w:p>
            <w:pPr>
              <w:spacing w:beforeLines="0" w:afterLines="0" w:line="240" w:lineRule="atLeast"/>
              <w:ind w:firstLine="0" w:firstLineChars="0"/>
              <w:rPr>
                <w:rFonts w:ascii="宋体" w:hAnsi="宋体"/>
                <w:sz w:val="18"/>
                <w:szCs w:val="18"/>
              </w:rPr>
            </w:pPr>
            <w:r>
              <w:rPr>
                <w:rFonts w:hint="eastAsia" w:ascii="宋体" w:hAnsi="宋体"/>
                <w:sz w:val="18"/>
                <w:szCs w:val="18"/>
              </w:rPr>
              <w:t>海南瑞锦房地产开发有限公司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8" w:type="dxa"/>
            <w:tcBorders>
              <w:top w:val="single" w:color="auto" w:sz="4" w:space="0"/>
              <w:left w:val="single" w:color="auto" w:sz="4" w:space="0"/>
              <w:bottom w:val="single" w:color="auto" w:sz="4" w:space="0"/>
              <w:right w:val="single" w:color="auto" w:sz="4" w:space="0"/>
            </w:tcBorders>
          </w:tcPr>
          <w:p>
            <w:pPr>
              <w:spacing w:beforeLines="0" w:afterLines="0" w:line="240" w:lineRule="atLeast"/>
              <w:ind w:firstLine="0" w:firstLineChars="0"/>
              <w:jc w:val="center"/>
              <w:rPr>
                <w:rFonts w:ascii="宋体" w:hAnsi="宋体"/>
                <w:sz w:val="18"/>
                <w:szCs w:val="18"/>
              </w:rPr>
            </w:pPr>
            <w:r>
              <w:rPr>
                <w:rFonts w:hint="eastAsia" w:ascii="宋体" w:hAnsi="宋体"/>
                <w:sz w:val="18"/>
                <w:szCs w:val="18"/>
              </w:rPr>
              <w:t>坐落</w:t>
            </w:r>
          </w:p>
        </w:tc>
        <w:tc>
          <w:tcPr>
            <w:tcW w:w="7086" w:type="dxa"/>
            <w:gridSpan w:val="4"/>
            <w:tcBorders>
              <w:top w:val="single" w:color="auto" w:sz="4" w:space="0"/>
              <w:left w:val="nil"/>
              <w:bottom w:val="single" w:color="auto" w:sz="4" w:space="0"/>
              <w:right w:val="single" w:color="auto" w:sz="4" w:space="0"/>
            </w:tcBorders>
          </w:tcPr>
          <w:p>
            <w:pPr>
              <w:spacing w:beforeLines="0" w:afterLines="0" w:line="240" w:lineRule="atLeast"/>
              <w:ind w:firstLine="0" w:firstLineChars="0"/>
              <w:rPr>
                <w:rFonts w:ascii="宋体" w:hAnsi="宋体"/>
                <w:sz w:val="18"/>
                <w:szCs w:val="18"/>
              </w:rPr>
            </w:pPr>
            <w:r>
              <w:rPr>
                <w:rFonts w:hint="eastAsia" w:ascii="宋体" w:hAnsi="宋体" w:eastAsia="宋体" w:cs="宋体"/>
                <w:snapToGrid w:val="0"/>
                <w:kern w:val="0"/>
                <w:sz w:val="18"/>
                <w:szCs w:val="18"/>
              </w:rPr>
              <w:t>清澜开发区文清大道田头坡西侧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ind w:firstLine="0" w:firstLineChars="0"/>
              <w:jc w:val="center"/>
              <w:rPr>
                <w:rFonts w:ascii="宋体" w:hAnsi="宋体"/>
                <w:sz w:val="18"/>
                <w:szCs w:val="18"/>
              </w:rPr>
            </w:pPr>
            <w:r>
              <w:rPr>
                <w:rFonts w:hint="eastAsia" w:ascii="宋体" w:hAnsi="宋体"/>
                <w:sz w:val="18"/>
                <w:szCs w:val="18"/>
              </w:rPr>
              <w:t>地号</w:t>
            </w:r>
          </w:p>
        </w:tc>
        <w:tc>
          <w:tcPr>
            <w:tcW w:w="2535" w:type="dxa"/>
            <w:tcBorders>
              <w:top w:val="single" w:color="auto" w:sz="4" w:space="0"/>
              <w:left w:val="nil"/>
              <w:bottom w:val="single" w:color="auto" w:sz="4" w:space="0"/>
              <w:right w:val="single" w:color="auto" w:sz="4" w:space="0"/>
            </w:tcBorders>
            <w:vAlign w:val="center"/>
          </w:tcPr>
          <w:p>
            <w:pPr>
              <w:spacing w:beforeLines="0" w:afterLines="0" w:line="240" w:lineRule="atLeast"/>
              <w:ind w:firstLine="0" w:firstLineChars="0"/>
              <w:jc w:val="center"/>
              <w:rPr>
                <w:rFonts w:ascii="宋体" w:hAnsi="宋体"/>
                <w:sz w:val="18"/>
                <w:szCs w:val="18"/>
              </w:rPr>
            </w:pPr>
            <w:r>
              <w:rPr>
                <w:rFonts w:ascii="宋体" w:hAnsi="宋体"/>
                <w:sz w:val="18"/>
                <w:szCs w:val="18"/>
              </w:rPr>
              <w:t>03-02-381</w:t>
            </w:r>
          </w:p>
        </w:tc>
        <w:tc>
          <w:tcPr>
            <w:tcW w:w="2082" w:type="dxa"/>
            <w:gridSpan w:val="2"/>
            <w:tcBorders>
              <w:top w:val="single" w:color="auto" w:sz="4" w:space="0"/>
              <w:left w:val="nil"/>
              <w:bottom w:val="single" w:color="auto" w:sz="4" w:space="0"/>
              <w:right w:val="single" w:color="auto" w:sz="4" w:space="0"/>
            </w:tcBorders>
          </w:tcPr>
          <w:p>
            <w:pPr>
              <w:spacing w:beforeLines="0" w:afterLines="0" w:line="240" w:lineRule="atLeast"/>
              <w:ind w:firstLine="365" w:firstLineChars="203"/>
              <w:jc w:val="center"/>
              <w:rPr>
                <w:rFonts w:ascii="宋体" w:hAnsi="宋体"/>
                <w:sz w:val="18"/>
                <w:szCs w:val="18"/>
              </w:rPr>
            </w:pPr>
            <w:r>
              <w:rPr>
                <w:rFonts w:hint="eastAsia" w:ascii="宋体" w:hAnsi="宋体"/>
                <w:sz w:val="18"/>
                <w:szCs w:val="18"/>
              </w:rPr>
              <w:t>图号</w:t>
            </w:r>
          </w:p>
        </w:tc>
        <w:tc>
          <w:tcPr>
            <w:tcW w:w="2469" w:type="dxa"/>
            <w:tcBorders>
              <w:top w:val="single" w:color="auto" w:sz="4" w:space="0"/>
              <w:left w:val="nil"/>
              <w:bottom w:val="single" w:color="auto" w:sz="4" w:space="0"/>
              <w:right w:val="single" w:color="auto" w:sz="4" w:space="0"/>
            </w:tcBorders>
          </w:tcPr>
          <w:p>
            <w:pPr>
              <w:spacing w:beforeLines="0" w:afterLines="0" w:line="240" w:lineRule="atLeast"/>
              <w:ind w:firstLine="0" w:firstLineChars="0"/>
              <w:jc w:val="center"/>
              <w:rPr>
                <w:rFonts w:ascii="宋体" w:hAnsi="宋体"/>
                <w:sz w:val="18"/>
                <w:szCs w:val="18"/>
              </w:rPr>
            </w:pPr>
            <w:r>
              <w:rPr>
                <w:rFonts w:ascii="宋体" w:hAnsi="宋体"/>
                <w:sz w:val="18"/>
                <w:szCs w:val="18"/>
              </w:rPr>
              <w:t>G042050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8" w:type="dxa"/>
            <w:tcBorders>
              <w:top w:val="single" w:color="auto" w:sz="4" w:space="0"/>
              <w:left w:val="single" w:color="auto" w:sz="4" w:space="0"/>
              <w:bottom w:val="single" w:color="auto" w:sz="4" w:space="0"/>
              <w:right w:val="single" w:color="auto" w:sz="4" w:space="0"/>
            </w:tcBorders>
          </w:tcPr>
          <w:p>
            <w:pPr>
              <w:spacing w:beforeLines="0" w:afterLines="0" w:line="240" w:lineRule="atLeast"/>
              <w:ind w:firstLine="0" w:firstLineChars="0"/>
              <w:jc w:val="center"/>
              <w:rPr>
                <w:rFonts w:ascii="宋体" w:hAnsi="宋体"/>
                <w:sz w:val="18"/>
                <w:szCs w:val="18"/>
              </w:rPr>
            </w:pPr>
            <w:r>
              <w:rPr>
                <w:rFonts w:hint="eastAsia" w:ascii="宋体" w:hAnsi="宋体"/>
                <w:sz w:val="18"/>
                <w:szCs w:val="18"/>
              </w:rPr>
              <w:t>地类（用途）</w:t>
            </w:r>
          </w:p>
        </w:tc>
        <w:tc>
          <w:tcPr>
            <w:tcW w:w="2535" w:type="dxa"/>
            <w:tcBorders>
              <w:top w:val="single" w:color="auto" w:sz="4" w:space="0"/>
              <w:left w:val="nil"/>
              <w:bottom w:val="single" w:color="auto" w:sz="4" w:space="0"/>
              <w:right w:val="single" w:color="auto" w:sz="4" w:space="0"/>
            </w:tcBorders>
          </w:tcPr>
          <w:p>
            <w:pPr>
              <w:spacing w:beforeLines="0" w:afterLines="0" w:line="240" w:lineRule="atLeast"/>
              <w:ind w:firstLine="0" w:firstLineChars="0"/>
              <w:jc w:val="center"/>
              <w:rPr>
                <w:rFonts w:ascii="宋体" w:hAnsi="宋体"/>
                <w:sz w:val="18"/>
                <w:szCs w:val="18"/>
              </w:rPr>
            </w:pPr>
            <w:r>
              <w:rPr>
                <w:rFonts w:hint="eastAsia" w:ascii="宋体" w:hAnsi="宋体"/>
                <w:sz w:val="18"/>
                <w:szCs w:val="18"/>
              </w:rPr>
              <w:t>商住</w:t>
            </w:r>
          </w:p>
        </w:tc>
        <w:tc>
          <w:tcPr>
            <w:tcW w:w="2082" w:type="dxa"/>
            <w:gridSpan w:val="2"/>
            <w:tcBorders>
              <w:top w:val="single" w:color="auto" w:sz="4" w:space="0"/>
              <w:left w:val="nil"/>
              <w:bottom w:val="single" w:color="auto" w:sz="4" w:space="0"/>
              <w:right w:val="single" w:color="auto" w:sz="4" w:space="0"/>
            </w:tcBorders>
          </w:tcPr>
          <w:p>
            <w:pPr>
              <w:spacing w:beforeLines="0" w:afterLines="0" w:line="240" w:lineRule="atLeast"/>
              <w:ind w:firstLine="365" w:firstLineChars="203"/>
              <w:jc w:val="center"/>
              <w:rPr>
                <w:rFonts w:ascii="宋体" w:hAnsi="宋体"/>
                <w:sz w:val="18"/>
                <w:szCs w:val="18"/>
              </w:rPr>
            </w:pPr>
            <w:r>
              <w:rPr>
                <w:rFonts w:hint="eastAsia" w:ascii="宋体" w:hAnsi="宋体"/>
                <w:sz w:val="18"/>
                <w:szCs w:val="18"/>
              </w:rPr>
              <w:t>取得价格</w:t>
            </w:r>
          </w:p>
        </w:tc>
        <w:tc>
          <w:tcPr>
            <w:tcW w:w="2469" w:type="dxa"/>
            <w:tcBorders>
              <w:top w:val="single" w:color="auto" w:sz="4" w:space="0"/>
              <w:left w:val="nil"/>
              <w:bottom w:val="single" w:color="auto" w:sz="4" w:space="0"/>
              <w:right w:val="single" w:color="auto" w:sz="4" w:space="0"/>
            </w:tcBorders>
          </w:tcPr>
          <w:p>
            <w:pPr>
              <w:spacing w:beforeLines="0" w:afterLines="0" w:line="240" w:lineRule="atLeast"/>
              <w:ind w:firstLine="0" w:firstLineChars="0"/>
              <w:jc w:val="center"/>
              <w:rPr>
                <w:rFonts w:ascii="宋体" w:hAnsi="宋体"/>
                <w:sz w:val="18"/>
                <w:szCs w:val="18"/>
              </w:rPr>
            </w:pPr>
            <w:r>
              <w:rPr>
                <w:rFonts w:hint="eastAsia" w:ascii="宋体" w:hAnsi="宋体"/>
                <w:sz w:val="18"/>
                <w:szCs w:val="18"/>
              </w:rPr>
              <w:t>0</w:t>
            </w:r>
            <w:r>
              <w:rPr>
                <w:rFonts w:ascii="宋体" w:hAnsi="宋体"/>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8" w:type="dxa"/>
            <w:tcBorders>
              <w:top w:val="single" w:color="auto" w:sz="4" w:space="0"/>
              <w:left w:val="single" w:color="auto" w:sz="4" w:space="0"/>
              <w:bottom w:val="single" w:color="auto" w:sz="4" w:space="0"/>
              <w:right w:val="single" w:color="auto" w:sz="4" w:space="0"/>
            </w:tcBorders>
          </w:tcPr>
          <w:p>
            <w:pPr>
              <w:spacing w:beforeLines="0" w:afterLines="0" w:line="240" w:lineRule="atLeast"/>
              <w:ind w:firstLine="0" w:firstLineChars="0"/>
              <w:jc w:val="center"/>
              <w:rPr>
                <w:rFonts w:ascii="宋体" w:hAnsi="宋体"/>
                <w:sz w:val="18"/>
                <w:szCs w:val="18"/>
              </w:rPr>
            </w:pPr>
            <w:r>
              <w:rPr>
                <w:rFonts w:hint="eastAsia" w:ascii="宋体" w:hAnsi="宋体"/>
                <w:sz w:val="18"/>
                <w:szCs w:val="18"/>
              </w:rPr>
              <w:t>使用权类型</w:t>
            </w:r>
          </w:p>
        </w:tc>
        <w:tc>
          <w:tcPr>
            <w:tcW w:w="2535" w:type="dxa"/>
            <w:tcBorders>
              <w:top w:val="single" w:color="auto" w:sz="4" w:space="0"/>
              <w:left w:val="nil"/>
              <w:bottom w:val="single" w:color="auto" w:sz="4" w:space="0"/>
              <w:right w:val="single" w:color="auto" w:sz="4" w:space="0"/>
            </w:tcBorders>
          </w:tcPr>
          <w:p>
            <w:pPr>
              <w:spacing w:beforeLines="0" w:afterLines="0" w:line="240" w:lineRule="atLeast"/>
              <w:ind w:firstLine="0" w:firstLineChars="0"/>
              <w:jc w:val="center"/>
              <w:rPr>
                <w:rFonts w:ascii="宋体" w:hAnsi="宋体"/>
                <w:sz w:val="18"/>
                <w:szCs w:val="18"/>
              </w:rPr>
            </w:pPr>
            <w:r>
              <w:rPr>
                <w:rFonts w:hint="eastAsia" w:ascii="宋体" w:hAnsi="宋体"/>
                <w:sz w:val="18"/>
                <w:szCs w:val="18"/>
              </w:rPr>
              <w:t>出让</w:t>
            </w:r>
          </w:p>
        </w:tc>
        <w:tc>
          <w:tcPr>
            <w:tcW w:w="2082" w:type="dxa"/>
            <w:gridSpan w:val="2"/>
            <w:tcBorders>
              <w:top w:val="single" w:color="auto" w:sz="4" w:space="0"/>
              <w:left w:val="nil"/>
              <w:bottom w:val="single" w:color="auto" w:sz="4" w:space="0"/>
              <w:right w:val="single" w:color="auto" w:sz="4" w:space="0"/>
            </w:tcBorders>
          </w:tcPr>
          <w:p>
            <w:pPr>
              <w:spacing w:beforeLines="0" w:afterLines="0" w:line="240" w:lineRule="atLeast"/>
              <w:ind w:firstLine="365" w:firstLineChars="203"/>
              <w:jc w:val="center"/>
              <w:rPr>
                <w:rFonts w:ascii="宋体" w:hAnsi="宋体"/>
                <w:sz w:val="18"/>
                <w:szCs w:val="18"/>
              </w:rPr>
            </w:pPr>
            <w:r>
              <w:rPr>
                <w:rFonts w:hint="eastAsia" w:ascii="宋体" w:hAnsi="宋体"/>
                <w:sz w:val="18"/>
                <w:szCs w:val="18"/>
              </w:rPr>
              <w:t>终止日期</w:t>
            </w:r>
          </w:p>
        </w:tc>
        <w:tc>
          <w:tcPr>
            <w:tcW w:w="2469" w:type="dxa"/>
            <w:tcBorders>
              <w:top w:val="single" w:color="auto" w:sz="4" w:space="0"/>
              <w:left w:val="nil"/>
              <w:bottom w:val="single" w:color="auto" w:sz="4" w:space="0"/>
              <w:right w:val="single" w:color="auto" w:sz="4" w:space="0"/>
            </w:tcBorders>
          </w:tcPr>
          <w:p>
            <w:pPr>
              <w:spacing w:beforeLines="0" w:afterLines="0" w:line="240" w:lineRule="atLeast"/>
              <w:ind w:firstLine="0" w:firstLineChars="0"/>
              <w:jc w:val="center"/>
              <w:rPr>
                <w:rFonts w:ascii="宋体" w:hAnsi="宋体"/>
                <w:sz w:val="18"/>
                <w:szCs w:val="18"/>
              </w:rPr>
            </w:pPr>
            <w:r>
              <w:rPr>
                <w:rFonts w:ascii="宋体" w:hAnsi="宋体"/>
                <w:sz w:val="18"/>
                <w:szCs w:val="18"/>
              </w:rPr>
              <w:t>2063/01/27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88" w:type="dxa"/>
            <w:vMerge w:val="restart"/>
            <w:tcBorders>
              <w:top w:val="nil"/>
              <w:left w:val="single" w:color="auto" w:sz="4" w:space="0"/>
              <w:bottom w:val="single" w:color="auto" w:sz="4" w:space="0"/>
              <w:right w:val="single" w:color="auto" w:sz="4" w:space="0"/>
            </w:tcBorders>
            <w:vAlign w:val="center"/>
          </w:tcPr>
          <w:p>
            <w:pPr>
              <w:spacing w:beforeLines="0" w:afterLines="0" w:line="240" w:lineRule="atLeast"/>
              <w:ind w:firstLine="0" w:firstLineChars="0"/>
              <w:jc w:val="center"/>
              <w:rPr>
                <w:rFonts w:ascii="宋体" w:hAnsi="宋体"/>
                <w:sz w:val="18"/>
                <w:szCs w:val="18"/>
              </w:rPr>
            </w:pPr>
            <w:r>
              <w:rPr>
                <w:rFonts w:hint="eastAsia" w:ascii="宋体" w:hAnsi="宋体"/>
                <w:sz w:val="18"/>
                <w:szCs w:val="18"/>
              </w:rPr>
              <w:t>使用权面积</w:t>
            </w:r>
          </w:p>
        </w:tc>
        <w:tc>
          <w:tcPr>
            <w:tcW w:w="2535" w:type="dxa"/>
            <w:vMerge w:val="restart"/>
            <w:tcBorders>
              <w:top w:val="nil"/>
              <w:left w:val="nil"/>
              <w:bottom w:val="single" w:color="auto" w:sz="4" w:space="0"/>
              <w:right w:val="single" w:color="auto" w:sz="4" w:space="0"/>
            </w:tcBorders>
            <w:vAlign w:val="center"/>
          </w:tcPr>
          <w:p>
            <w:pPr>
              <w:spacing w:beforeLines="0" w:afterLines="0" w:line="240" w:lineRule="atLeast"/>
              <w:ind w:firstLine="0" w:firstLineChars="0"/>
              <w:jc w:val="center"/>
              <w:rPr>
                <w:rFonts w:ascii="宋体" w:hAnsi="宋体"/>
                <w:sz w:val="18"/>
                <w:szCs w:val="18"/>
              </w:rPr>
            </w:pPr>
            <w:r>
              <w:rPr>
                <w:rFonts w:ascii="宋体" w:hAnsi="宋体"/>
                <w:sz w:val="18"/>
                <w:szCs w:val="18"/>
              </w:rPr>
              <w:t>14076.31</w:t>
            </w:r>
            <w:r>
              <w:rPr>
                <w:rFonts w:hint="eastAsia" w:ascii="宋体" w:hAnsi="宋体"/>
                <w:sz w:val="18"/>
                <w:szCs w:val="18"/>
              </w:rPr>
              <w:t>㎡</w:t>
            </w:r>
          </w:p>
        </w:tc>
        <w:tc>
          <w:tcPr>
            <w:tcW w:w="697" w:type="dxa"/>
            <w:vMerge w:val="restart"/>
            <w:tcBorders>
              <w:top w:val="nil"/>
              <w:left w:val="nil"/>
              <w:bottom w:val="single" w:color="auto" w:sz="4" w:space="0"/>
              <w:right w:val="single" w:color="auto" w:sz="4" w:space="0"/>
            </w:tcBorders>
            <w:vAlign w:val="center"/>
          </w:tcPr>
          <w:p>
            <w:pPr>
              <w:spacing w:beforeLines="0" w:afterLines="0" w:line="240" w:lineRule="atLeast"/>
              <w:ind w:firstLine="0" w:firstLineChars="0"/>
              <w:jc w:val="center"/>
              <w:rPr>
                <w:rFonts w:ascii="宋体" w:hAnsi="宋体"/>
                <w:sz w:val="18"/>
                <w:szCs w:val="18"/>
              </w:rPr>
            </w:pPr>
            <w:r>
              <w:rPr>
                <w:rFonts w:hint="eastAsia" w:ascii="宋体" w:hAnsi="宋体"/>
                <w:sz w:val="18"/>
                <w:szCs w:val="18"/>
              </w:rPr>
              <w:t>其中</w:t>
            </w:r>
          </w:p>
        </w:tc>
        <w:tc>
          <w:tcPr>
            <w:tcW w:w="1385" w:type="dxa"/>
            <w:tcBorders>
              <w:top w:val="single" w:color="auto" w:sz="4" w:space="0"/>
              <w:left w:val="nil"/>
              <w:bottom w:val="single" w:color="auto" w:sz="4" w:space="0"/>
              <w:right w:val="single" w:color="auto" w:sz="4" w:space="0"/>
            </w:tcBorders>
          </w:tcPr>
          <w:p>
            <w:pPr>
              <w:spacing w:beforeLines="0" w:afterLines="0" w:line="240" w:lineRule="atLeast"/>
              <w:ind w:firstLine="0" w:firstLineChars="0"/>
              <w:jc w:val="center"/>
              <w:rPr>
                <w:rFonts w:ascii="宋体" w:hAnsi="宋体"/>
                <w:sz w:val="18"/>
                <w:szCs w:val="18"/>
              </w:rPr>
            </w:pPr>
            <w:r>
              <w:rPr>
                <w:rFonts w:hint="eastAsia" w:ascii="宋体" w:hAnsi="宋体"/>
                <w:sz w:val="18"/>
                <w:szCs w:val="18"/>
              </w:rPr>
              <w:t>独用面积</w:t>
            </w:r>
          </w:p>
        </w:tc>
        <w:tc>
          <w:tcPr>
            <w:tcW w:w="2469" w:type="dxa"/>
            <w:tcBorders>
              <w:top w:val="single" w:color="auto" w:sz="4" w:space="0"/>
              <w:left w:val="nil"/>
              <w:bottom w:val="single" w:color="auto" w:sz="4" w:space="0"/>
              <w:right w:val="single" w:color="auto" w:sz="4" w:space="0"/>
            </w:tcBorders>
          </w:tcPr>
          <w:p>
            <w:pPr>
              <w:spacing w:beforeLines="0" w:afterLines="0" w:line="240" w:lineRule="atLeast"/>
              <w:ind w:firstLine="0" w:firstLineChars="0"/>
              <w:jc w:val="center"/>
              <w:rPr>
                <w:rFonts w:ascii="宋体" w:hAnsi="宋体"/>
                <w:sz w:val="18"/>
                <w:szCs w:val="18"/>
              </w:rPr>
            </w:pPr>
            <w:r>
              <w:rPr>
                <w:rFonts w:hint="eastAsia" w:ascii="宋体" w:hAnsi="宋体"/>
                <w:sz w:val="18"/>
                <w:szCs w:val="18"/>
              </w:rPr>
              <w:t>0</w:t>
            </w:r>
            <w:r>
              <w:rPr>
                <w:rFonts w:ascii="宋体" w:hAnsi="宋体"/>
                <w:sz w:val="18"/>
                <w:szCs w:val="18"/>
              </w:rPr>
              <w:t>.00</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88" w:type="dxa"/>
            <w:vMerge w:val="continue"/>
            <w:tcBorders>
              <w:top w:val="nil"/>
              <w:left w:val="single" w:color="auto" w:sz="4" w:space="0"/>
              <w:bottom w:val="single" w:color="auto" w:sz="4" w:space="0"/>
              <w:right w:val="single" w:color="auto" w:sz="4" w:space="0"/>
            </w:tcBorders>
            <w:vAlign w:val="center"/>
          </w:tcPr>
          <w:p>
            <w:pPr>
              <w:widowControl/>
              <w:spacing w:beforeLines="0" w:beforeAutospacing="1" w:afterLines="0" w:afterAutospacing="1" w:line="240" w:lineRule="auto"/>
              <w:ind w:firstLine="0" w:firstLineChars="0"/>
              <w:jc w:val="left"/>
              <w:rPr>
                <w:rFonts w:ascii="宋体" w:hAnsi="宋体" w:eastAsia="宋体"/>
                <w:sz w:val="18"/>
                <w:szCs w:val="18"/>
              </w:rPr>
            </w:pPr>
          </w:p>
        </w:tc>
        <w:tc>
          <w:tcPr>
            <w:tcW w:w="2535" w:type="dxa"/>
            <w:vMerge w:val="continue"/>
            <w:tcBorders>
              <w:top w:val="nil"/>
              <w:left w:val="nil"/>
              <w:bottom w:val="single" w:color="auto" w:sz="4" w:space="0"/>
              <w:right w:val="single" w:color="auto" w:sz="4" w:space="0"/>
            </w:tcBorders>
            <w:vAlign w:val="center"/>
          </w:tcPr>
          <w:p>
            <w:pPr>
              <w:widowControl/>
              <w:spacing w:beforeLines="0" w:beforeAutospacing="1" w:afterLines="0" w:afterAutospacing="1" w:line="240" w:lineRule="auto"/>
              <w:ind w:firstLine="0" w:firstLineChars="0"/>
              <w:jc w:val="left"/>
              <w:rPr>
                <w:rFonts w:ascii="宋体" w:hAnsi="宋体" w:eastAsia="宋体"/>
                <w:sz w:val="18"/>
                <w:szCs w:val="18"/>
              </w:rPr>
            </w:pPr>
          </w:p>
        </w:tc>
        <w:tc>
          <w:tcPr>
            <w:tcW w:w="697" w:type="dxa"/>
            <w:vMerge w:val="continue"/>
            <w:tcBorders>
              <w:top w:val="nil"/>
              <w:left w:val="nil"/>
              <w:bottom w:val="single" w:color="auto" w:sz="4" w:space="0"/>
              <w:right w:val="single" w:color="auto" w:sz="4" w:space="0"/>
            </w:tcBorders>
            <w:vAlign w:val="center"/>
          </w:tcPr>
          <w:p>
            <w:pPr>
              <w:widowControl/>
              <w:spacing w:beforeLines="0" w:beforeAutospacing="1" w:afterLines="0" w:afterAutospacing="1" w:line="240" w:lineRule="auto"/>
              <w:ind w:firstLine="0" w:firstLineChars="0"/>
              <w:jc w:val="left"/>
              <w:rPr>
                <w:rFonts w:ascii="宋体" w:hAnsi="宋体" w:eastAsia="宋体"/>
                <w:sz w:val="18"/>
                <w:szCs w:val="18"/>
              </w:rPr>
            </w:pPr>
          </w:p>
        </w:tc>
        <w:tc>
          <w:tcPr>
            <w:tcW w:w="1385" w:type="dxa"/>
            <w:tcBorders>
              <w:top w:val="single" w:color="auto" w:sz="4" w:space="0"/>
              <w:left w:val="nil"/>
              <w:bottom w:val="single" w:color="auto" w:sz="4" w:space="0"/>
              <w:right w:val="single" w:color="auto" w:sz="4" w:space="0"/>
            </w:tcBorders>
          </w:tcPr>
          <w:p>
            <w:pPr>
              <w:spacing w:beforeLines="0" w:afterLines="0" w:line="240" w:lineRule="atLeast"/>
              <w:ind w:firstLine="0" w:firstLineChars="0"/>
              <w:jc w:val="center"/>
              <w:rPr>
                <w:rFonts w:ascii="宋体" w:hAnsi="宋体"/>
                <w:sz w:val="18"/>
                <w:szCs w:val="18"/>
              </w:rPr>
            </w:pPr>
            <w:r>
              <w:rPr>
                <w:rFonts w:hint="eastAsia" w:ascii="宋体" w:hAnsi="宋体"/>
                <w:sz w:val="18"/>
                <w:szCs w:val="18"/>
              </w:rPr>
              <w:t>分摊面积</w:t>
            </w:r>
          </w:p>
        </w:tc>
        <w:tc>
          <w:tcPr>
            <w:tcW w:w="2469" w:type="dxa"/>
            <w:tcBorders>
              <w:top w:val="single" w:color="auto" w:sz="4" w:space="0"/>
              <w:left w:val="nil"/>
              <w:bottom w:val="single" w:color="auto" w:sz="4" w:space="0"/>
              <w:right w:val="single" w:color="auto" w:sz="4" w:space="0"/>
            </w:tcBorders>
          </w:tcPr>
          <w:p>
            <w:pPr>
              <w:spacing w:beforeLines="0" w:afterLines="0" w:line="240" w:lineRule="atLeast"/>
              <w:ind w:firstLine="0" w:firstLineChars="0"/>
              <w:jc w:val="center"/>
              <w:rPr>
                <w:rFonts w:ascii="宋体" w:hAnsi="宋体"/>
                <w:sz w:val="18"/>
                <w:szCs w:val="18"/>
              </w:rPr>
            </w:pPr>
            <w:r>
              <w:rPr>
                <w:rFonts w:ascii="宋体" w:hAnsi="宋体"/>
                <w:sz w:val="18"/>
                <w:szCs w:val="18"/>
              </w:rPr>
              <w:t>0.00</w:t>
            </w:r>
            <w:r>
              <w:rPr>
                <w:rFonts w:hint="eastAsia" w:ascii="宋体" w:hAnsi="宋体"/>
                <w:sz w:val="18"/>
                <w:szCs w:val="18"/>
              </w:rPr>
              <w:t>㎡</w:t>
            </w:r>
          </w:p>
        </w:tc>
      </w:tr>
    </w:tbl>
    <w:p>
      <w:pPr>
        <w:spacing w:before="163" w:after="163" w:line="440" w:lineRule="exact"/>
        <w:ind w:firstLine="480"/>
        <w:rPr>
          <w:rFonts w:ascii="宋体" w:hAnsi="宋体" w:cs="Times New Roman"/>
          <w:color w:val="000000"/>
          <w:kern w:val="0"/>
          <w:szCs w:val="24"/>
        </w:rPr>
      </w:pPr>
      <w:r>
        <w:rPr>
          <w:rFonts w:hint="eastAsia" w:ascii="宋体" w:hAnsi="宋体"/>
        </w:rPr>
        <w:t>②</w:t>
      </w:r>
      <w:r>
        <w:rPr>
          <w:rFonts w:hint="eastAsia" w:ascii="宋体" w:hAnsi="宋体"/>
          <w:color w:val="000000"/>
          <w:kern w:val="0"/>
        </w:rPr>
        <w:t>土地实物状况</w:t>
      </w:r>
    </w:p>
    <w:p>
      <w:pPr>
        <w:spacing w:before="163" w:afterLines="0" w:line="440" w:lineRule="exact"/>
        <w:ind w:firstLine="480"/>
      </w:pPr>
      <w:r>
        <w:rPr>
          <w:rFonts w:hint="eastAsia" w:ascii="宋体" w:hAnsi="宋体"/>
        </w:rPr>
        <w:t>根据注册房地产估价师现场查勘，鉴定对象土地东至清澜别院小区，西至文府路，南至空地，北至海南远华装饰工程有限公司用地，鉴定对象土地已到达“六通一平”（即红线外通路、通电、供水、通讯、通气、排水，宗地红线内土地已平整），地上已建成了“金山</w:t>
      </w:r>
      <w:r>
        <w:rPr>
          <w:rFonts w:ascii="宋体" w:hAnsi="宋体"/>
        </w:rPr>
        <w:t>国际</w:t>
      </w:r>
      <w:r>
        <w:rPr>
          <w:rFonts w:hint="eastAsia" w:ascii="宋体" w:hAnsi="宋体"/>
        </w:rPr>
        <w:t>”小区正常投入使用，宗地地势平坦，规则度较优</w:t>
      </w:r>
      <w:r>
        <w:rPr>
          <w:rFonts w:hint="eastAsia" w:ascii="宋体" w:hAnsi="宋体" w:cs="仿宋_GB2312"/>
        </w:rPr>
        <w:t>。</w:t>
      </w:r>
    </w:p>
    <w:p>
      <w:pPr>
        <w:spacing w:before="163" w:after="163"/>
        <w:ind w:firstLine="480"/>
      </w:pPr>
      <w:r>
        <w:rPr>
          <w:rFonts w:hint="eastAsia" w:ascii="宋体" w:hAnsi="宋体"/>
        </w:rPr>
        <w:t>（2）房屋登记及实物状况</w:t>
      </w:r>
    </w:p>
    <w:p>
      <w:pPr>
        <w:spacing w:beforeLines="0" w:after="163"/>
        <w:ind w:firstLine="480"/>
        <w:jc w:val="left"/>
        <w:rPr>
          <w:rFonts w:ascii="宋体" w:hAnsi="宋体"/>
        </w:rPr>
      </w:pPr>
      <w:r>
        <w:rPr>
          <w:rFonts w:hint="eastAsia" w:asciiTheme="minorEastAsia" w:hAnsiTheme="minorEastAsia"/>
        </w:rPr>
        <w:t>①</w:t>
      </w:r>
      <w:r>
        <w:rPr>
          <w:rFonts w:hint="eastAsia" w:ascii="宋体" w:hAnsi="宋体"/>
        </w:rPr>
        <w:t>房屋登记状况</w:t>
      </w:r>
    </w:p>
    <w:p>
      <w:pPr>
        <w:spacing w:beforeLines="0" w:after="163"/>
        <w:ind w:firstLine="480"/>
        <w:jc w:val="left"/>
        <w:rPr>
          <w:rFonts w:ascii="宋体" w:hAnsi="宋体"/>
        </w:rPr>
      </w:pPr>
      <w:r>
        <w:rPr>
          <w:rFonts w:hint="eastAsia" w:asciiTheme="minorEastAsia" w:hAnsiTheme="minorEastAsia"/>
        </w:rPr>
        <w:t>因鉴定对象截止价值时点尚未办理《不动产权证书》，</w:t>
      </w:r>
      <w:r>
        <w:rPr>
          <w:rFonts w:hint="eastAsia" w:ascii="宋体" w:hAnsi="宋体"/>
          <w:color w:val="000000"/>
        </w:rPr>
        <w:t>根据估价委托人提供的文昌市房权证文房证字第50931号《房屋所有权证》（总证）</w:t>
      </w:r>
      <w:r>
        <w:rPr>
          <w:rFonts w:hint="eastAsia" w:ascii="宋体" w:hAnsi="宋体"/>
        </w:rPr>
        <w:t>，鉴定对象房屋登记状况如下表：</w:t>
      </w:r>
    </w:p>
    <w:tbl>
      <w:tblPr>
        <w:tblStyle w:val="23"/>
        <w:tblW w:w="9474" w:type="dxa"/>
        <w:jc w:val="center"/>
        <w:tblInd w:w="0" w:type="dxa"/>
        <w:tblLayout w:type="fixed"/>
        <w:tblCellMar>
          <w:top w:w="0" w:type="dxa"/>
          <w:left w:w="108" w:type="dxa"/>
          <w:bottom w:w="0" w:type="dxa"/>
          <w:right w:w="108" w:type="dxa"/>
        </w:tblCellMar>
      </w:tblPr>
      <w:tblGrid>
        <w:gridCol w:w="1317"/>
        <w:gridCol w:w="1548"/>
        <w:gridCol w:w="2482"/>
        <w:gridCol w:w="2482"/>
        <w:gridCol w:w="1645"/>
      </w:tblGrid>
      <w:tr>
        <w:tblPrEx>
          <w:tblLayout w:type="fixed"/>
          <w:tblCellMar>
            <w:top w:w="0" w:type="dxa"/>
            <w:left w:w="108" w:type="dxa"/>
            <w:bottom w:w="0" w:type="dxa"/>
            <w:right w:w="108" w:type="dxa"/>
          </w:tblCellMar>
        </w:tblPrEx>
        <w:trPr>
          <w:trHeight w:val="284" w:hRule="atLeast"/>
          <w:jc w:val="center"/>
        </w:trPr>
        <w:tc>
          <w:tcPr>
            <w:tcW w:w="2865"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证号</w:t>
            </w:r>
          </w:p>
        </w:tc>
        <w:tc>
          <w:tcPr>
            <w:tcW w:w="6609" w:type="dxa"/>
            <w:gridSpan w:val="3"/>
            <w:tcBorders>
              <w:top w:val="single" w:color="auto" w:sz="4" w:space="0"/>
              <w:left w:val="nil"/>
              <w:bottom w:val="single" w:color="auto" w:sz="4" w:space="0"/>
              <w:right w:val="single" w:color="auto" w:sz="4" w:space="0"/>
            </w:tcBorders>
            <w:vAlign w:val="center"/>
          </w:tcPr>
          <w:p>
            <w:pPr>
              <w:widowControl/>
              <w:spacing w:beforeLines="0" w:afterLines="0" w:line="240" w:lineRule="auto"/>
              <w:ind w:firstLine="0" w:firstLineChars="0"/>
              <w:rPr>
                <w:rFonts w:ascii="宋体" w:hAnsi="宋体" w:cs="宋体"/>
                <w:kern w:val="0"/>
                <w:sz w:val="18"/>
                <w:szCs w:val="18"/>
              </w:rPr>
            </w:pPr>
            <w:r>
              <w:rPr>
                <w:rFonts w:hint="eastAsia" w:ascii="宋体" w:hAnsi="宋体" w:cs="宋体"/>
                <w:snapToGrid w:val="0"/>
                <w:kern w:val="0"/>
                <w:sz w:val="18"/>
                <w:szCs w:val="18"/>
              </w:rPr>
              <w:t>文昌市房权证文房证字第50931号</w:t>
            </w:r>
          </w:p>
        </w:tc>
      </w:tr>
      <w:tr>
        <w:tblPrEx>
          <w:tblLayout w:type="fixed"/>
          <w:tblCellMar>
            <w:top w:w="0" w:type="dxa"/>
            <w:left w:w="108" w:type="dxa"/>
            <w:bottom w:w="0" w:type="dxa"/>
            <w:right w:w="108" w:type="dxa"/>
          </w:tblCellMar>
        </w:tblPrEx>
        <w:trPr>
          <w:trHeight w:val="284" w:hRule="atLeast"/>
          <w:jc w:val="center"/>
        </w:trPr>
        <w:tc>
          <w:tcPr>
            <w:tcW w:w="2865"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房屋所有权人</w:t>
            </w:r>
          </w:p>
        </w:tc>
        <w:tc>
          <w:tcPr>
            <w:tcW w:w="6609" w:type="dxa"/>
            <w:gridSpan w:val="3"/>
            <w:tcBorders>
              <w:top w:val="single" w:color="auto" w:sz="4" w:space="0"/>
              <w:left w:val="nil"/>
              <w:bottom w:val="single" w:color="auto" w:sz="4" w:space="0"/>
              <w:right w:val="single" w:color="auto" w:sz="4" w:space="0"/>
            </w:tcBorders>
            <w:vAlign w:val="center"/>
          </w:tcPr>
          <w:p>
            <w:pPr>
              <w:widowControl/>
              <w:spacing w:beforeLines="0" w:afterLines="0" w:line="240" w:lineRule="auto"/>
              <w:ind w:firstLine="0" w:firstLineChars="0"/>
              <w:rPr>
                <w:rFonts w:ascii="宋体" w:hAnsi="宋体" w:cs="宋体"/>
                <w:kern w:val="0"/>
                <w:sz w:val="18"/>
                <w:szCs w:val="18"/>
              </w:rPr>
            </w:pPr>
            <w:r>
              <w:rPr>
                <w:rFonts w:hint="eastAsia" w:ascii="宋体" w:hAnsi="宋体"/>
                <w:sz w:val="18"/>
                <w:szCs w:val="18"/>
              </w:rPr>
              <w:t>海南瑞锦房地产开发有限公司</w:t>
            </w:r>
          </w:p>
        </w:tc>
      </w:tr>
      <w:tr>
        <w:tblPrEx>
          <w:tblLayout w:type="fixed"/>
          <w:tblCellMar>
            <w:top w:w="0" w:type="dxa"/>
            <w:left w:w="108" w:type="dxa"/>
            <w:bottom w:w="0" w:type="dxa"/>
            <w:right w:w="108" w:type="dxa"/>
          </w:tblCellMar>
        </w:tblPrEx>
        <w:trPr>
          <w:trHeight w:val="284" w:hRule="atLeast"/>
          <w:jc w:val="center"/>
        </w:trPr>
        <w:tc>
          <w:tcPr>
            <w:tcW w:w="2865"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共有情况</w:t>
            </w:r>
          </w:p>
        </w:tc>
        <w:tc>
          <w:tcPr>
            <w:tcW w:w="6609" w:type="dxa"/>
            <w:gridSpan w:val="3"/>
            <w:tcBorders>
              <w:top w:val="single" w:color="auto" w:sz="4" w:space="0"/>
              <w:left w:val="nil"/>
              <w:bottom w:val="single" w:color="auto" w:sz="4" w:space="0"/>
              <w:right w:val="single" w:color="auto" w:sz="4" w:space="0"/>
            </w:tcBorders>
            <w:vAlign w:val="center"/>
          </w:tcPr>
          <w:p>
            <w:pPr>
              <w:widowControl/>
              <w:spacing w:beforeLines="0" w:afterLines="0" w:line="240" w:lineRule="auto"/>
              <w:ind w:firstLine="0" w:firstLineChars="0"/>
              <w:rPr>
                <w:rFonts w:ascii="宋体" w:hAnsi="宋体" w:cs="宋体"/>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2865"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房屋坐落</w:t>
            </w:r>
          </w:p>
        </w:tc>
        <w:tc>
          <w:tcPr>
            <w:tcW w:w="6609" w:type="dxa"/>
            <w:gridSpan w:val="3"/>
            <w:tcBorders>
              <w:top w:val="single" w:color="auto" w:sz="4" w:space="0"/>
              <w:left w:val="nil"/>
              <w:bottom w:val="single" w:color="auto" w:sz="4" w:space="0"/>
              <w:right w:val="single" w:color="auto" w:sz="4" w:space="0"/>
            </w:tcBorders>
            <w:vAlign w:val="center"/>
          </w:tcPr>
          <w:p>
            <w:pPr>
              <w:widowControl/>
              <w:spacing w:beforeLines="0" w:afterLines="0" w:line="240" w:lineRule="auto"/>
              <w:ind w:firstLine="0" w:firstLineChars="0"/>
              <w:rPr>
                <w:rFonts w:ascii="宋体" w:hAnsi="宋体" w:cs="宋体"/>
                <w:kern w:val="0"/>
                <w:sz w:val="18"/>
                <w:szCs w:val="18"/>
              </w:rPr>
            </w:pPr>
            <w:r>
              <w:rPr>
                <w:rFonts w:hint="eastAsia" w:ascii="宋体" w:hAnsi="宋体"/>
                <w:sz w:val="18"/>
                <w:szCs w:val="18"/>
              </w:rPr>
              <w:t>文昌市文城镇</w:t>
            </w:r>
            <w:r>
              <w:rPr>
                <w:rFonts w:ascii="宋体" w:hAnsi="宋体"/>
                <w:sz w:val="18"/>
                <w:szCs w:val="18"/>
              </w:rPr>
              <w:t>文府路</w:t>
            </w:r>
            <w:r>
              <w:rPr>
                <w:rFonts w:hint="eastAsia" w:ascii="宋体" w:hAnsi="宋体"/>
                <w:sz w:val="18"/>
                <w:szCs w:val="18"/>
              </w:rPr>
              <w:t>29号</w:t>
            </w:r>
            <w:r>
              <w:rPr>
                <w:rFonts w:ascii="宋体" w:hAnsi="宋体"/>
                <w:sz w:val="18"/>
                <w:szCs w:val="18"/>
              </w:rPr>
              <w:t>（</w:t>
            </w:r>
            <w:r>
              <w:rPr>
                <w:rFonts w:hint="eastAsia" w:ascii="宋体" w:hAnsi="宋体"/>
                <w:sz w:val="18"/>
                <w:szCs w:val="18"/>
              </w:rPr>
              <w:t>金山</w:t>
            </w:r>
            <w:r>
              <w:rPr>
                <w:rFonts w:ascii="宋体" w:hAnsi="宋体"/>
                <w:sz w:val="18"/>
                <w:szCs w:val="18"/>
              </w:rPr>
              <w:t>国际</w:t>
            </w:r>
            <w:r>
              <w:rPr>
                <w:rFonts w:hint="eastAsia" w:ascii="宋体" w:hAnsi="宋体"/>
                <w:sz w:val="18"/>
                <w:szCs w:val="18"/>
              </w:rPr>
              <w:t>1</w:t>
            </w:r>
            <w:r>
              <w:rPr>
                <w:rFonts w:ascii="宋体" w:hAnsi="宋体"/>
                <w:sz w:val="18"/>
                <w:szCs w:val="18"/>
              </w:rPr>
              <w:t>#楼）</w:t>
            </w:r>
          </w:p>
        </w:tc>
      </w:tr>
      <w:tr>
        <w:tblPrEx>
          <w:tblLayout w:type="fixed"/>
          <w:tblCellMar>
            <w:top w:w="0" w:type="dxa"/>
            <w:left w:w="108" w:type="dxa"/>
            <w:bottom w:w="0" w:type="dxa"/>
            <w:right w:w="108" w:type="dxa"/>
          </w:tblCellMar>
        </w:tblPrEx>
        <w:trPr>
          <w:trHeight w:val="284" w:hRule="atLeast"/>
          <w:jc w:val="center"/>
        </w:trPr>
        <w:tc>
          <w:tcPr>
            <w:tcW w:w="2865"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登记时间</w:t>
            </w:r>
          </w:p>
        </w:tc>
        <w:tc>
          <w:tcPr>
            <w:tcW w:w="6609" w:type="dxa"/>
            <w:gridSpan w:val="3"/>
            <w:tcBorders>
              <w:top w:val="single" w:color="auto" w:sz="4" w:space="0"/>
              <w:left w:val="nil"/>
              <w:bottom w:val="single" w:color="auto" w:sz="4" w:space="0"/>
              <w:right w:val="single" w:color="auto" w:sz="4" w:space="0"/>
            </w:tcBorders>
            <w:vAlign w:val="center"/>
          </w:tcPr>
          <w:p>
            <w:pPr>
              <w:widowControl/>
              <w:spacing w:beforeLines="0" w:afterLines="0" w:line="240" w:lineRule="auto"/>
              <w:ind w:firstLine="0" w:firstLineChars="0"/>
              <w:rPr>
                <w:rFonts w:ascii="宋体" w:hAnsi="宋体" w:cs="宋体"/>
                <w:kern w:val="0"/>
                <w:sz w:val="18"/>
                <w:szCs w:val="18"/>
              </w:rPr>
            </w:pPr>
            <w:r>
              <w:rPr>
                <w:rFonts w:ascii="宋体" w:hAnsi="宋体" w:cs="宋体"/>
                <w:kern w:val="0"/>
                <w:sz w:val="18"/>
                <w:szCs w:val="18"/>
              </w:rPr>
              <w:t>2016</w:t>
            </w:r>
            <w:r>
              <w:rPr>
                <w:rFonts w:hint="eastAsia" w:ascii="宋体" w:hAnsi="宋体" w:cs="宋体"/>
                <w:kern w:val="0"/>
                <w:sz w:val="18"/>
                <w:szCs w:val="18"/>
              </w:rPr>
              <w:t>年01月27日</w:t>
            </w:r>
          </w:p>
        </w:tc>
      </w:tr>
      <w:tr>
        <w:tblPrEx>
          <w:tblLayout w:type="fixed"/>
          <w:tblCellMar>
            <w:top w:w="0" w:type="dxa"/>
            <w:left w:w="108" w:type="dxa"/>
            <w:bottom w:w="0" w:type="dxa"/>
            <w:right w:w="108" w:type="dxa"/>
          </w:tblCellMar>
        </w:tblPrEx>
        <w:trPr>
          <w:trHeight w:val="284" w:hRule="atLeast"/>
          <w:jc w:val="center"/>
        </w:trPr>
        <w:tc>
          <w:tcPr>
            <w:tcW w:w="2865"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房屋性质</w:t>
            </w:r>
          </w:p>
        </w:tc>
        <w:tc>
          <w:tcPr>
            <w:tcW w:w="6609" w:type="dxa"/>
            <w:gridSpan w:val="3"/>
            <w:tcBorders>
              <w:top w:val="single" w:color="auto" w:sz="4" w:space="0"/>
              <w:left w:val="nil"/>
              <w:bottom w:val="single" w:color="auto" w:sz="4" w:space="0"/>
              <w:right w:val="single" w:color="auto" w:sz="4" w:space="0"/>
            </w:tcBorders>
            <w:vAlign w:val="center"/>
          </w:tcPr>
          <w:p>
            <w:pPr>
              <w:widowControl/>
              <w:spacing w:beforeLines="0" w:afterLines="0" w:line="240" w:lineRule="auto"/>
              <w:ind w:firstLine="0" w:firstLineChars="0"/>
              <w:jc w:val="left"/>
              <w:rPr>
                <w:rFonts w:ascii="宋体" w:hAnsi="宋体" w:cs="宋体"/>
                <w:kern w:val="0"/>
                <w:sz w:val="18"/>
                <w:szCs w:val="18"/>
              </w:rPr>
            </w:pPr>
            <w:r>
              <w:rPr>
                <w:rFonts w:hint="eastAsia" w:ascii="宋体" w:hAnsi="宋体" w:cs="宋体"/>
                <w:kern w:val="0"/>
                <w:sz w:val="18"/>
                <w:szCs w:val="18"/>
              </w:rPr>
              <w:t>商品房　</w:t>
            </w:r>
          </w:p>
        </w:tc>
      </w:tr>
      <w:tr>
        <w:tblPrEx>
          <w:tblLayout w:type="fixed"/>
          <w:tblCellMar>
            <w:top w:w="0" w:type="dxa"/>
            <w:left w:w="108" w:type="dxa"/>
            <w:bottom w:w="0" w:type="dxa"/>
            <w:right w:w="108" w:type="dxa"/>
          </w:tblCellMar>
        </w:tblPrEx>
        <w:trPr>
          <w:trHeight w:val="284" w:hRule="atLeast"/>
          <w:jc w:val="center"/>
        </w:trPr>
        <w:tc>
          <w:tcPr>
            <w:tcW w:w="2865"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规划用途</w:t>
            </w:r>
          </w:p>
        </w:tc>
        <w:tc>
          <w:tcPr>
            <w:tcW w:w="6609" w:type="dxa"/>
            <w:gridSpan w:val="3"/>
            <w:tcBorders>
              <w:top w:val="single" w:color="auto" w:sz="4" w:space="0"/>
              <w:left w:val="nil"/>
              <w:bottom w:val="single" w:color="auto" w:sz="4" w:space="0"/>
              <w:right w:val="single" w:color="auto" w:sz="4" w:space="0"/>
            </w:tcBorders>
            <w:vAlign w:val="center"/>
          </w:tcPr>
          <w:p>
            <w:pPr>
              <w:widowControl/>
              <w:spacing w:beforeLines="0" w:afterLines="0" w:line="240" w:lineRule="auto"/>
              <w:ind w:firstLine="0" w:firstLineChars="0"/>
              <w:rPr>
                <w:rFonts w:ascii="宋体" w:hAnsi="宋体" w:cs="宋体"/>
                <w:kern w:val="0"/>
                <w:sz w:val="18"/>
                <w:szCs w:val="18"/>
              </w:rPr>
            </w:pPr>
            <w:r>
              <w:rPr>
                <w:rFonts w:hint="eastAsia" w:ascii="宋体" w:hAnsi="宋体" w:cs="宋体"/>
                <w:kern w:val="0"/>
                <w:sz w:val="18"/>
                <w:szCs w:val="18"/>
              </w:rPr>
              <w:t>商业</w:t>
            </w:r>
          </w:p>
        </w:tc>
      </w:tr>
      <w:tr>
        <w:tblPrEx>
          <w:tblLayout w:type="fixed"/>
          <w:tblCellMar>
            <w:top w:w="0" w:type="dxa"/>
            <w:left w:w="108" w:type="dxa"/>
            <w:bottom w:w="0" w:type="dxa"/>
            <w:right w:w="108" w:type="dxa"/>
          </w:tblCellMar>
        </w:tblPrEx>
        <w:trPr>
          <w:trHeight w:val="284" w:hRule="atLeast"/>
          <w:jc w:val="center"/>
        </w:trPr>
        <w:tc>
          <w:tcPr>
            <w:tcW w:w="1317" w:type="dxa"/>
            <w:vMerge w:val="restart"/>
            <w:tcBorders>
              <w:top w:val="nil"/>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房屋状况</w:t>
            </w:r>
          </w:p>
        </w:tc>
        <w:tc>
          <w:tcPr>
            <w:tcW w:w="1548"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总层数</w:t>
            </w:r>
          </w:p>
        </w:tc>
        <w:tc>
          <w:tcPr>
            <w:tcW w:w="2482"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建筑面积（㎡）</w:t>
            </w:r>
          </w:p>
        </w:tc>
        <w:tc>
          <w:tcPr>
            <w:tcW w:w="2482"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套内建筑面积（㎡）</w:t>
            </w:r>
          </w:p>
        </w:tc>
        <w:tc>
          <w:tcPr>
            <w:tcW w:w="1645"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其他</w:t>
            </w:r>
          </w:p>
        </w:tc>
      </w:tr>
      <w:tr>
        <w:tblPrEx>
          <w:tblLayout w:type="fixed"/>
          <w:tblCellMar>
            <w:top w:w="0" w:type="dxa"/>
            <w:left w:w="108" w:type="dxa"/>
            <w:bottom w:w="0" w:type="dxa"/>
            <w:right w:w="108" w:type="dxa"/>
          </w:tblCellMar>
        </w:tblPrEx>
        <w:trPr>
          <w:trHeight w:val="284" w:hRule="atLeast"/>
          <w:jc w:val="center"/>
        </w:trPr>
        <w:tc>
          <w:tcPr>
            <w:tcW w:w="1317"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p>
        </w:tc>
        <w:tc>
          <w:tcPr>
            <w:tcW w:w="1548"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ascii="宋体" w:hAnsi="宋体" w:cs="宋体"/>
                <w:kern w:val="0"/>
                <w:sz w:val="18"/>
                <w:szCs w:val="18"/>
              </w:rPr>
              <w:t>6</w:t>
            </w:r>
          </w:p>
        </w:tc>
        <w:tc>
          <w:tcPr>
            <w:tcW w:w="2482"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ascii="宋体" w:hAnsi="宋体" w:cs="宋体"/>
                <w:kern w:val="0"/>
                <w:sz w:val="18"/>
                <w:szCs w:val="18"/>
              </w:rPr>
              <w:t>7483.18</w:t>
            </w:r>
          </w:p>
        </w:tc>
        <w:tc>
          <w:tcPr>
            <w:tcW w:w="2482"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p>
        </w:tc>
        <w:tc>
          <w:tcPr>
            <w:tcW w:w="1645" w:type="dxa"/>
            <w:tcBorders>
              <w:top w:val="nil"/>
              <w:left w:val="nil"/>
              <w:bottom w:val="single" w:color="auto" w:sz="4" w:space="0"/>
              <w:right w:val="single" w:color="auto" w:sz="4" w:space="0"/>
            </w:tcBorders>
            <w:vAlign w:val="center"/>
          </w:tcPr>
          <w:p>
            <w:pPr>
              <w:widowControl/>
              <w:spacing w:beforeLines="0" w:afterLines="0" w:line="240" w:lineRule="auto"/>
              <w:ind w:firstLine="420" w:firstLineChars="0"/>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317"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p>
        </w:tc>
        <w:tc>
          <w:tcPr>
            <w:tcW w:w="1548"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p>
        </w:tc>
        <w:tc>
          <w:tcPr>
            <w:tcW w:w="2482"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p>
        </w:tc>
        <w:tc>
          <w:tcPr>
            <w:tcW w:w="2482"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p>
        </w:tc>
        <w:tc>
          <w:tcPr>
            <w:tcW w:w="1645"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317"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p>
        </w:tc>
        <w:tc>
          <w:tcPr>
            <w:tcW w:w="1548"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p>
        </w:tc>
        <w:tc>
          <w:tcPr>
            <w:tcW w:w="2482"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p>
        </w:tc>
        <w:tc>
          <w:tcPr>
            <w:tcW w:w="2482"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　</w:t>
            </w:r>
          </w:p>
        </w:tc>
        <w:tc>
          <w:tcPr>
            <w:tcW w:w="1645"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4" w:hRule="atLeast"/>
          <w:jc w:val="center"/>
        </w:trPr>
        <w:tc>
          <w:tcPr>
            <w:tcW w:w="1317" w:type="dxa"/>
            <w:vMerge w:val="restart"/>
            <w:tcBorders>
              <w:top w:val="nil"/>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土地状况</w:t>
            </w:r>
          </w:p>
          <w:p>
            <w:pPr>
              <w:spacing w:beforeLines="0" w:afterLines="0" w:line="240" w:lineRule="auto"/>
              <w:ind w:left="840" w:leftChars="350" w:firstLine="0" w:firstLineChars="0"/>
              <w:jc w:val="center"/>
              <w:rPr>
                <w:rFonts w:ascii="宋体" w:hAnsi="宋体" w:cs="宋体"/>
                <w:kern w:val="0"/>
                <w:sz w:val="18"/>
                <w:szCs w:val="18"/>
              </w:rPr>
            </w:pPr>
          </w:p>
        </w:tc>
        <w:tc>
          <w:tcPr>
            <w:tcW w:w="1548"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地号</w:t>
            </w:r>
          </w:p>
        </w:tc>
        <w:tc>
          <w:tcPr>
            <w:tcW w:w="2482"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土地使用权取得方式</w:t>
            </w:r>
          </w:p>
        </w:tc>
        <w:tc>
          <w:tcPr>
            <w:tcW w:w="4127" w:type="dxa"/>
            <w:gridSpan w:val="2"/>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土地使用年限</w:t>
            </w:r>
          </w:p>
        </w:tc>
      </w:tr>
      <w:tr>
        <w:tblPrEx>
          <w:tblLayout w:type="fixed"/>
          <w:tblCellMar>
            <w:top w:w="0" w:type="dxa"/>
            <w:left w:w="108" w:type="dxa"/>
            <w:bottom w:w="0" w:type="dxa"/>
            <w:right w:w="108" w:type="dxa"/>
          </w:tblCellMar>
        </w:tblPrEx>
        <w:trPr>
          <w:trHeight w:val="284" w:hRule="atLeast"/>
          <w:jc w:val="center"/>
        </w:trPr>
        <w:tc>
          <w:tcPr>
            <w:tcW w:w="1317" w:type="dxa"/>
            <w:vMerge w:val="continue"/>
            <w:tcBorders>
              <w:top w:val="nil"/>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p>
        </w:tc>
        <w:tc>
          <w:tcPr>
            <w:tcW w:w="1548"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0</w:t>
            </w:r>
            <w:r>
              <w:rPr>
                <w:rFonts w:ascii="宋体" w:hAnsi="宋体" w:cs="宋体"/>
                <w:kern w:val="0"/>
                <w:sz w:val="18"/>
                <w:szCs w:val="18"/>
              </w:rPr>
              <w:t>3-02-381</w:t>
            </w:r>
          </w:p>
        </w:tc>
        <w:tc>
          <w:tcPr>
            <w:tcW w:w="2482" w:type="dxa"/>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出让</w:t>
            </w:r>
          </w:p>
        </w:tc>
        <w:tc>
          <w:tcPr>
            <w:tcW w:w="4127" w:type="dxa"/>
            <w:gridSpan w:val="2"/>
            <w:tcBorders>
              <w:top w:val="nil"/>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ascii="宋体" w:hAnsi="宋体" w:cs="宋体"/>
                <w:kern w:val="0"/>
                <w:sz w:val="18"/>
                <w:szCs w:val="18"/>
              </w:rPr>
              <w:t>2063/01/27</w:t>
            </w:r>
          </w:p>
        </w:tc>
      </w:tr>
      <w:tr>
        <w:tblPrEx>
          <w:tblLayout w:type="fixed"/>
          <w:tblCellMar>
            <w:top w:w="0" w:type="dxa"/>
            <w:left w:w="108" w:type="dxa"/>
            <w:bottom w:w="0" w:type="dxa"/>
            <w:right w:w="108" w:type="dxa"/>
          </w:tblCellMar>
        </w:tblPrEx>
        <w:trPr>
          <w:trHeight w:val="284" w:hRule="atLeast"/>
          <w:jc w:val="center"/>
        </w:trPr>
        <w:tc>
          <w:tcPr>
            <w:tcW w:w="1317"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附记</w:t>
            </w:r>
          </w:p>
        </w:tc>
        <w:tc>
          <w:tcPr>
            <w:tcW w:w="8157" w:type="dxa"/>
            <w:gridSpan w:val="4"/>
            <w:tcBorders>
              <w:top w:val="single" w:color="auto" w:sz="4" w:space="0"/>
              <w:left w:val="nil"/>
              <w:bottom w:val="single" w:color="auto" w:sz="4" w:space="0"/>
              <w:right w:val="single" w:color="auto" w:sz="4" w:space="0"/>
            </w:tcBorders>
            <w:vAlign w:val="center"/>
          </w:tcPr>
          <w:p>
            <w:pPr>
              <w:widowControl/>
              <w:spacing w:beforeLines="0" w:afterLines="0" w:line="240" w:lineRule="auto"/>
              <w:ind w:firstLine="0" w:firstLineChars="0"/>
              <w:jc w:val="center"/>
              <w:rPr>
                <w:rFonts w:ascii="宋体" w:hAnsi="宋体" w:cs="宋体"/>
                <w:kern w:val="0"/>
                <w:sz w:val="18"/>
                <w:szCs w:val="18"/>
              </w:rPr>
            </w:pPr>
          </w:p>
        </w:tc>
      </w:tr>
    </w:tbl>
    <w:p>
      <w:pPr>
        <w:spacing w:before="163" w:after="163"/>
        <w:ind w:firstLine="480"/>
        <w:rPr>
          <w:rFonts w:asciiTheme="minorEastAsia" w:hAnsiTheme="minorEastAsia"/>
        </w:rPr>
      </w:pPr>
      <w:r>
        <w:rPr>
          <w:rFonts w:hint="eastAsia" w:asciiTheme="minorEastAsia" w:hAnsiTheme="minorEastAsia"/>
        </w:rPr>
        <w:t>根据委托</w:t>
      </w:r>
      <w:r>
        <w:rPr>
          <w:rFonts w:asciiTheme="minorEastAsia" w:hAnsiTheme="minorEastAsia"/>
        </w:rPr>
        <w:t>人提供的</w:t>
      </w:r>
      <w:r>
        <w:rPr>
          <w:rFonts w:hint="eastAsia" w:asciiTheme="minorEastAsia" w:hAnsiTheme="minorEastAsia"/>
        </w:rPr>
        <w:t>《文昌市买卖</w:t>
      </w:r>
      <w:r>
        <w:rPr>
          <w:rFonts w:asciiTheme="minorEastAsia" w:hAnsiTheme="minorEastAsia"/>
        </w:rPr>
        <w:t>合同备案表</w:t>
      </w:r>
      <w:r>
        <w:rPr>
          <w:rFonts w:hint="eastAsia" w:asciiTheme="minorEastAsia" w:hAnsiTheme="minorEastAsia"/>
        </w:rPr>
        <w:t>》 （合同备案号：WHL000004806、WHL00000480</w:t>
      </w:r>
      <w:r>
        <w:rPr>
          <w:rFonts w:asciiTheme="minorEastAsia" w:hAnsiTheme="minorEastAsia"/>
        </w:rPr>
        <w:t>3</w:t>
      </w:r>
      <w:r>
        <w:rPr>
          <w:rFonts w:hint="eastAsia" w:asciiTheme="minorEastAsia" w:hAnsiTheme="minorEastAsia"/>
        </w:rPr>
        <w:t>、WHL00000480</w:t>
      </w:r>
      <w:r>
        <w:rPr>
          <w:rFonts w:asciiTheme="minorEastAsia" w:hAnsiTheme="minorEastAsia"/>
        </w:rPr>
        <w:t>0</w:t>
      </w:r>
      <w:r>
        <w:rPr>
          <w:rFonts w:hint="eastAsia" w:asciiTheme="minorEastAsia" w:hAnsiTheme="minorEastAsia"/>
        </w:rPr>
        <w:t>）载明，</w:t>
      </w:r>
      <w:r>
        <w:rPr>
          <w:rFonts w:asciiTheme="minorEastAsia" w:hAnsiTheme="minorEastAsia"/>
        </w:rPr>
        <w:t>出卖人</w:t>
      </w:r>
      <w:r>
        <w:rPr>
          <w:rFonts w:hint="eastAsia" w:asciiTheme="minorEastAsia" w:hAnsiTheme="minorEastAsia"/>
        </w:rPr>
        <w:t>均</w:t>
      </w:r>
      <w:r>
        <w:rPr>
          <w:rFonts w:asciiTheme="minorEastAsia" w:hAnsiTheme="minorEastAsia"/>
        </w:rPr>
        <w:t>为文昌</w:t>
      </w:r>
      <w:r>
        <w:rPr>
          <w:rFonts w:hint="eastAsia" w:asciiTheme="minorEastAsia" w:hAnsiTheme="minorEastAsia"/>
        </w:rPr>
        <w:t>瑞</w:t>
      </w:r>
      <w:r>
        <w:rPr>
          <w:rFonts w:asciiTheme="minorEastAsia" w:hAnsiTheme="minorEastAsia"/>
        </w:rPr>
        <w:t>锦房地产开发有限公司，</w:t>
      </w:r>
      <w:r>
        <w:rPr>
          <w:rFonts w:hint="eastAsia" w:asciiTheme="minorEastAsia" w:hAnsiTheme="minorEastAsia"/>
        </w:rPr>
        <w:t>买</w:t>
      </w:r>
      <w:r>
        <w:rPr>
          <w:rFonts w:asciiTheme="minorEastAsia" w:hAnsiTheme="minorEastAsia"/>
        </w:rPr>
        <w:t>受人均为谢衡，</w:t>
      </w:r>
      <w:r>
        <w:rPr>
          <w:rFonts w:hint="eastAsia" w:asciiTheme="minorEastAsia" w:hAnsiTheme="minorEastAsia"/>
        </w:rPr>
        <w:t>登记</w:t>
      </w:r>
      <w:r>
        <w:rPr>
          <w:rFonts w:asciiTheme="minorEastAsia" w:hAnsiTheme="minorEastAsia"/>
        </w:rPr>
        <w:t>信息如下表</w:t>
      </w:r>
      <w:r>
        <w:rPr>
          <w:rFonts w:hint="eastAsia" w:asciiTheme="minorEastAsia" w:hAnsiTheme="minorEastAsia"/>
        </w:rPr>
        <w:t>（祥</w:t>
      </w:r>
      <w:r>
        <w:rPr>
          <w:rFonts w:asciiTheme="minorEastAsia" w:hAnsiTheme="minorEastAsia"/>
        </w:rPr>
        <w:t>见附件</w:t>
      </w:r>
      <w:r>
        <w:rPr>
          <w:rFonts w:hint="eastAsia" w:asciiTheme="minorEastAsia" w:hAnsiTheme="minorEastAsia"/>
        </w:rPr>
        <w:t>）</w:t>
      </w:r>
      <w:r>
        <w:rPr>
          <w:rFonts w:asciiTheme="minorEastAsia" w:hAnsiTheme="minorEastAsia"/>
        </w:rPr>
        <w:t>：</w:t>
      </w:r>
    </w:p>
    <w:p>
      <w:pPr>
        <w:spacing w:before="163" w:after="163"/>
        <w:ind w:firstLine="480"/>
        <w:jc w:val="center"/>
        <w:rPr>
          <w:rFonts w:asciiTheme="minorEastAsia" w:hAnsiTheme="minorEastAsia"/>
        </w:rPr>
      </w:pPr>
      <w:r>
        <w:rPr>
          <w:rFonts w:hint="eastAsia" w:asciiTheme="minorEastAsia" w:hAnsiTheme="minorEastAsia"/>
        </w:rPr>
        <w:t>《文昌市买卖</w:t>
      </w:r>
      <w:r>
        <w:rPr>
          <w:rFonts w:asciiTheme="minorEastAsia" w:hAnsiTheme="minorEastAsia"/>
        </w:rPr>
        <w:t>合同备案表</w:t>
      </w:r>
      <w:r>
        <w:rPr>
          <w:rFonts w:hint="eastAsia" w:asciiTheme="minorEastAsia" w:hAnsiTheme="minorEastAsia"/>
        </w:rPr>
        <w:t xml:space="preserve">》 </w:t>
      </w:r>
    </w:p>
    <w:tbl>
      <w:tblPr>
        <w:tblStyle w:val="24"/>
        <w:tblW w:w="9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655"/>
        <w:gridCol w:w="567"/>
        <w:gridCol w:w="565"/>
        <w:gridCol w:w="567"/>
        <w:gridCol w:w="1135"/>
        <w:gridCol w:w="709"/>
        <w:gridCol w:w="709"/>
        <w:gridCol w:w="993"/>
        <w:gridCol w:w="851"/>
        <w:gridCol w:w="671"/>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Merge w:val="restart"/>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合同备案号</w:t>
            </w:r>
          </w:p>
        </w:tc>
        <w:tc>
          <w:tcPr>
            <w:tcW w:w="655" w:type="dxa"/>
            <w:vMerge w:val="restart"/>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幢</w:t>
            </w:r>
            <w:r>
              <w:rPr>
                <w:rFonts w:ascii="宋体" w:hAnsi="宋体" w:cs="宋体"/>
                <w:kern w:val="0"/>
                <w:sz w:val="18"/>
                <w:szCs w:val="18"/>
              </w:rPr>
              <w:t>号名称</w:t>
            </w:r>
          </w:p>
        </w:tc>
        <w:tc>
          <w:tcPr>
            <w:tcW w:w="567" w:type="dxa"/>
            <w:vMerge w:val="restart"/>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单元</w:t>
            </w:r>
          </w:p>
        </w:tc>
        <w:tc>
          <w:tcPr>
            <w:tcW w:w="565" w:type="dxa"/>
            <w:vMerge w:val="restart"/>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楼层</w:t>
            </w:r>
          </w:p>
        </w:tc>
        <w:tc>
          <w:tcPr>
            <w:tcW w:w="567" w:type="dxa"/>
            <w:vMerge w:val="restart"/>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房号</w:t>
            </w:r>
          </w:p>
        </w:tc>
        <w:tc>
          <w:tcPr>
            <w:tcW w:w="1135" w:type="dxa"/>
            <w:vMerge w:val="restart"/>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建筑</w:t>
            </w:r>
            <w:r>
              <w:rPr>
                <w:rFonts w:ascii="宋体" w:hAnsi="宋体" w:cs="宋体"/>
                <w:kern w:val="0"/>
                <w:sz w:val="18"/>
                <w:szCs w:val="18"/>
              </w:rPr>
              <w:t>结构</w:t>
            </w:r>
          </w:p>
        </w:tc>
        <w:tc>
          <w:tcPr>
            <w:tcW w:w="709" w:type="dxa"/>
            <w:vMerge w:val="restart"/>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用途</w:t>
            </w:r>
          </w:p>
        </w:tc>
        <w:tc>
          <w:tcPr>
            <w:tcW w:w="709" w:type="dxa"/>
            <w:vMerge w:val="restart"/>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户型</w:t>
            </w:r>
          </w:p>
        </w:tc>
        <w:tc>
          <w:tcPr>
            <w:tcW w:w="2515" w:type="dxa"/>
            <w:gridSpan w:val="3"/>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建筑</w:t>
            </w:r>
            <w:r>
              <w:rPr>
                <w:rFonts w:ascii="宋体" w:hAnsi="宋体" w:cs="宋体"/>
                <w:kern w:val="0"/>
                <w:sz w:val="18"/>
                <w:szCs w:val="18"/>
              </w:rPr>
              <w:t>面积（</w:t>
            </w:r>
            <w:r>
              <w:rPr>
                <w:rFonts w:hint="eastAsia" w:cs="宋体" w:asciiTheme="minorEastAsia" w:hAnsiTheme="minorEastAsia"/>
                <w:kern w:val="0"/>
                <w:sz w:val="18"/>
                <w:szCs w:val="18"/>
              </w:rPr>
              <w:t>㎡</w:t>
            </w:r>
            <w:r>
              <w:rPr>
                <w:rFonts w:ascii="宋体" w:hAnsi="宋体" w:cs="宋体"/>
                <w:kern w:val="0"/>
                <w:sz w:val="18"/>
                <w:szCs w:val="18"/>
              </w:rPr>
              <w:t>）</w:t>
            </w:r>
          </w:p>
        </w:tc>
        <w:tc>
          <w:tcPr>
            <w:tcW w:w="756" w:type="dxa"/>
            <w:vMerge w:val="restart"/>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Merge w:val="continue"/>
            <w:vAlign w:val="center"/>
          </w:tcPr>
          <w:p>
            <w:pPr>
              <w:widowControl/>
              <w:spacing w:beforeLines="0" w:afterLines="0" w:line="240" w:lineRule="auto"/>
              <w:ind w:firstLine="0" w:firstLineChars="0"/>
              <w:jc w:val="center"/>
              <w:rPr>
                <w:rFonts w:ascii="宋体" w:hAnsi="宋体" w:cs="宋体"/>
                <w:kern w:val="0"/>
                <w:sz w:val="18"/>
                <w:szCs w:val="18"/>
              </w:rPr>
            </w:pPr>
          </w:p>
        </w:tc>
        <w:tc>
          <w:tcPr>
            <w:tcW w:w="655" w:type="dxa"/>
            <w:vMerge w:val="continue"/>
            <w:vAlign w:val="center"/>
          </w:tcPr>
          <w:p>
            <w:pPr>
              <w:widowControl/>
              <w:spacing w:beforeLines="0" w:afterLines="0" w:line="240" w:lineRule="auto"/>
              <w:ind w:firstLine="0" w:firstLineChars="0"/>
              <w:jc w:val="center"/>
              <w:rPr>
                <w:rFonts w:ascii="宋体" w:hAnsi="宋体" w:cs="宋体"/>
                <w:kern w:val="0"/>
                <w:sz w:val="18"/>
                <w:szCs w:val="18"/>
              </w:rPr>
            </w:pPr>
          </w:p>
        </w:tc>
        <w:tc>
          <w:tcPr>
            <w:tcW w:w="567" w:type="dxa"/>
            <w:vMerge w:val="continue"/>
            <w:vAlign w:val="center"/>
          </w:tcPr>
          <w:p>
            <w:pPr>
              <w:widowControl/>
              <w:spacing w:beforeLines="0" w:afterLines="0" w:line="240" w:lineRule="auto"/>
              <w:ind w:firstLine="0" w:firstLineChars="0"/>
              <w:jc w:val="center"/>
              <w:rPr>
                <w:rFonts w:ascii="宋体" w:hAnsi="宋体" w:cs="宋体"/>
                <w:kern w:val="0"/>
                <w:sz w:val="18"/>
                <w:szCs w:val="18"/>
              </w:rPr>
            </w:pPr>
          </w:p>
        </w:tc>
        <w:tc>
          <w:tcPr>
            <w:tcW w:w="565" w:type="dxa"/>
            <w:vMerge w:val="continue"/>
            <w:vAlign w:val="center"/>
          </w:tcPr>
          <w:p>
            <w:pPr>
              <w:widowControl/>
              <w:spacing w:beforeLines="0" w:afterLines="0" w:line="240" w:lineRule="auto"/>
              <w:ind w:firstLine="0" w:firstLineChars="0"/>
              <w:jc w:val="center"/>
              <w:rPr>
                <w:rFonts w:ascii="宋体" w:hAnsi="宋体" w:cs="宋体"/>
                <w:kern w:val="0"/>
                <w:sz w:val="18"/>
                <w:szCs w:val="18"/>
              </w:rPr>
            </w:pPr>
          </w:p>
        </w:tc>
        <w:tc>
          <w:tcPr>
            <w:tcW w:w="567" w:type="dxa"/>
            <w:vMerge w:val="continue"/>
            <w:vAlign w:val="center"/>
          </w:tcPr>
          <w:p>
            <w:pPr>
              <w:widowControl/>
              <w:spacing w:beforeLines="0" w:afterLines="0" w:line="240" w:lineRule="auto"/>
              <w:ind w:firstLine="0" w:firstLineChars="0"/>
              <w:jc w:val="center"/>
              <w:rPr>
                <w:rFonts w:ascii="宋体" w:hAnsi="宋体" w:cs="宋体"/>
                <w:kern w:val="0"/>
                <w:sz w:val="18"/>
                <w:szCs w:val="18"/>
              </w:rPr>
            </w:pPr>
          </w:p>
        </w:tc>
        <w:tc>
          <w:tcPr>
            <w:tcW w:w="1135" w:type="dxa"/>
            <w:vMerge w:val="continue"/>
            <w:vAlign w:val="center"/>
          </w:tcPr>
          <w:p>
            <w:pPr>
              <w:widowControl/>
              <w:spacing w:beforeLines="0" w:afterLines="0" w:line="240" w:lineRule="auto"/>
              <w:ind w:firstLine="0" w:firstLineChars="0"/>
              <w:jc w:val="center"/>
              <w:rPr>
                <w:rFonts w:ascii="宋体" w:hAnsi="宋体" w:cs="宋体"/>
                <w:kern w:val="0"/>
                <w:sz w:val="18"/>
                <w:szCs w:val="18"/>
              </w:rPr>
            </w:pPr>
          </w:p>
        </w:tc>
        <w:tc>
          <w:tcPr>
            <w:tcW w:w="709" w:type="dxa"/>
            <w:vMerge w:val="continue"/>
            <w:vAlign w:val="center"/>
          </w:tcPr>
          <w:p>
            <w:pPr>
              <w:widowControl/>
              <w:spacing w:beforeLines="0" w:afterLines="0" w:line="240" w:lineRule="auto"/>
              <w:ind w:firstLine="0" w:firstLineChars="0"/>
              <w:jc w:val="center"/>
              <w:rPr>
                <w:rFonts w:ascii="宋体" w:hAnsi="宋体" w:cs="宋体"/>
                <w:kern w:val="0"/>
                <w:sz w:val="18"/>
                <w:szCs w:val="18"/>
              </w:rPr>
            </w:pPr>
          </w:p>
        </w:tc>
        <w:tc>
          <w:tcPr>
            <w:tcW w:w="709" w:type="dxa"/>
            <w:vMerge w:val="continue"/>
            <w:vAlign w:val="center"/>
          </w:tcPr>
          <w:p>
            <w:pPr>
              <w:widowControl/>
              <w:spacing w:beforeLines="0" w:afterLines="0" w:line="240" w:lineRule="auto"/>
              <w:ind w:firstLine="0" w:firstLineChars="0"/>
              <w:jc w:val="center"/>
              <w:rPr>
                <w:rFonts w:ascii="宋体" w:hAnsi="宋体" w:cs="宋体"/>
                <w:kern w:val="0"/>
                <w:sz w:val="18"/>
                <w:szCs w:val="18"/>
              </w:rPr>
            </w:pPr>
          </w:p>
        </w:tc>
        <w:tc>
          <w:tcPr>
            <w:tcW w:w="993"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套内</w:t>
            </w:r>
            <w:r>
              <w:rPr>
                <w:rFonts w:ascii="宋体" w:hAnsi="宋体" w:cs="宋体"/>
                <w:kern w:val="0"/>
                <w:sz w:val="18"/>
                <w:szCs w:val="18"/>
              </w:rPr>
              <w:t>面积</w:t>
            </w:r>
          </w:p>
        </w:tc>
        <w:tc>
          <w:tcPr>
            <w:tcW w:w="851"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公摊</w:t>
            </w:r>
            <w:r>
              <w:rPr>
                <w:rFonts w:ascii="宋体" w:hAnsi="宋体" w:cs="宋体"/>
                <w:kern w:val="0"/>
                <w:sz w:val="18"/>
                <w:szCs w:val="18"/>
              </w:rPr>
              <w:t>面积</w:t>
            </w:r>
          </w:p>
        </w:tc>
        <w:tc>
          <w:tcPr>
            <w:tcW w:w="671"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合计</w:t>
            </w:r>
          </w:p>
        </w:tc>
        <w:tc>
          <w:tcPr>
            <w:tcW w:w="756" w:type="dxa"/>
            <w:vMerge w:val="continue"/>
            <w:vAlign w:val="center"/>
          </w:tcPr>
          <w:p>
            <w:pPr>
              <w:widowControl/>
              <w:spacing w:beforeLines="0" w:afterLines="0" w:line="240" w:lineRule="auto"/>
              <w:ind w:firstLine="0" w:firstLineChars="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Align w:val="center"/>
          </w:tcPr>
          <w:p>
            <w:pPr>
              <w:widowControl/>
              <w:spacing w:beforeLines="0" w:afterLines="0" w:line="240" w:lineRule="auto"/>
              <w:ind w:firstLine="0" w:firstLineChars="0"/>
              <w:jc w:val="center"/>
              <w:rPr>
                <w:rFonts w:ascii="宋体" w:hAnsi="宋体" w:cs="宋体"/>
                <w:kern w:val="0"/>
                <w:sz w:val="18"/>
                <w:szCs w:val="18"/>
              </w:rPr>
            </w:pPr>
            <w:r>
              <w:rPr>
                <w:rFonts w:ascii="宋体" w:hAnsi="宋体" w:cs="宋体"/>
                <w:kern w:val="0"/>
                <w:sz w:val="18"/>
                <w:szCs w:val="18"/>
              </w:rPr>
              <w:t>WHL000004806</w:t>
            </w:r>
          </w:p>
        </w:tc>
        <w:tc>
          <w:tcPr>
            <w:tcW w:w="655"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#楼</w:t>
            </w:r>
          </w:p>
        </w:tc>
        <w:tc>
          <w:tcPr>
            <w:tcW w:w="567" w:type="dxa"/>
            <w:vAlign w:val="center"/>
          </w:tcPr>
          <w:p>
            <w:pPr>
              <w:widowControl/>
              <w:spacing w:beforeLines="0" w:afterLines="0" w:line="240" w:lineRule="auto"/>
              <w:ind w:firstLine="0" w:firstLineChars="0"/>
              <w:jc w:val="center"/>
              <w:rPr>
                <w:rFonts w:ascii="宋体" w:hAnsi="宋体" w:cs="宋体"/>
                <w:kern w:val="0"/>
                <w:sz w:val="18"/>
                <w:szCs w:val="18"/>
              </w:rPr>
            </w:pPr>
          </w:p>
        </w:tc>
        <w:tc>
          <w:tcPr>
            <w:tcW w:w="565"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567"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418</w:t>
            </w:r>
          </w:p>
        </w:tc>
        <w:tc>
          <w:tcPr>
            <w:tcW w:w="1135"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钢筋混泥土</w:t>
            </w:r>
          </w:p>
        </w:tc>
        <w:tc>
          <w:tcPr>
            <w:tcW w:w="709"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办公</w:t>
            </w:r>
          </w:p>
        </w:tc>
        <w:tc>
          <w:tcPr>
            <w:tcW w:w="709"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其他</w:t>
            </w:r>
          </w:p>
        </w:tc>
        <w:tc>
          <w:tcPr>
            <w:tcW w:w="993"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29.75</w:t>
            </w:r>
          </w:p>
        </w:tc>
        <w:tc>
          <w:tcPr>
            <w:tcW w:w="851"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9.92</w:t>
            </w:r>
          </w:p>
        </w:tc>
        <w:tc>
          <w:tcPr>
            <w:tcW w:w="671"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39.67</w:t>
            </w:r>
          </w:p>
        </w:tc>
        <w:tc>
          <w:tcPr>
            <w:tcW w:w="756"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260584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Align w:val="center"/>
          </w:tcPr>
          <w:p>
            <w:pPr>
              <w:widowControl/>
              <w:spacing w:beforeLines="0" w:afterLines="0" w:line="240" w:lineRule="auto"/>
              <w:ind w:firstLine="0" w:firstLineChars="0"/>
              <w:jc w:val="center"/>
              <w:rPr>
                <w:rFonts w:ascii="宋体" w:hAnsi="宋体" w:cs="宋体"/>
                <w:kern w:val="0"/>
                <w:sz w:val="18"/>
                <w:szCs w:val="18"/>
              </w:rPr>
            </w:pPr>
            <w:r>
              <w:rPr>
                <w:rFonts w:ascii="宋体" w:hAnsi="宋体" w:cs="宋体"/>
                <w:kern w:val="0"/>
                <w:sz w:val="18"/>
                <w:szCs w:val="18"/>
              </w:rPr>
              <w:t>WHL000004803</w:t>
            </w:r>
          </w:p>
        </w:tc>
        <w:tc>
          <w:tcPr>
            <w:tcW w:w="655"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#楼</w:t>
            </w:r>
          </w:p>
        </w:tc>
        <w:tc>
          <w:tcPr>
            <w:tcW w:w="567" w:type="dxa"/>
            <w:vAlign w:val="center"/>
          </w:tcPr>
          <w:p>
            <w:pPr>
              <w:widowControl/>
              <w:spacing w:beforeLines="0" w:afterLines="0" w:line="240" w:lineRule="auto"/>
              <w:ind w:firstLine="0" w:firstLineChars="0"/>
              <w:jc w:val="center"/>
              <w:rPr>
                <w:rFonts w:ascii="宋体" w:hAnsi="宋体" w:cs="宋体"/>
                <w:kern w:val="0"/>
                <w:sz w:val="18"/>
                <w:szCs w:val="18"/>
              </w:rPr>
            </w:pPr>
          </w:p>
        </w:tc>
        <w:tc>
          <w:tcPr>
            <w:tcW w:w="565"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567"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420</w:t>
            </w:r>
          </w:p>
        </w:tc>
        <w:tc>
          <w:tcPr>
            <w:tcW w:w="1135"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钢筋混泥土</w:t>
            </w:r>
          </w:p>
        </w:tc>
        <w:tc>
          <w:tcPr>
            <w:tcW w:w="709"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办公</w:t>
            </w:r>
          </w:p>
        </w:tc>
        <w:tc>
          <w:tcPr>
            <w:tcW w:w="709"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其他</w:t>
            </w:r>
          </w:p>
        </w:tc>
        <w:tc>
          <w:tcPr>
            <w:tcW w:w="993"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29.75</w:t>
            </w:r>
          </w:p>
        </w:tc>
        <w:tc>
          <w:tcPr>
            <w:tcW w:w="851"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9.92</w:t>
            </w:r>
          </w:p>
        </w:tc>
        <w:tc>
          <w:tcPr>
            <w:tcW w:w="671"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39.67</w:t>
            </w:r>
          </w:p>
        </w:tc>
        <w:tc>
          <w:tcPr>
            <w:tcW w:w="756"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260584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Align w:val="center"/>
          </w:tcPr>
          <w:p>
            <w:pPr>
              <w:widowControl/>
              <w:spacing w:beforeLines="0" w:afterLines="0" w:line="240" w:lineRule="auto"/>
              <w:ind w:firstLine="0" w:firstLineChars="0"/>
              <w:jc w:val="center"/>
              <w:rPr>
                <w:rFonts w:ascii="宋体" w:hAnsi="宋体" w:cs="宋体"/>
                <w:kern w:val="0"/>
                <w:sz w:val="18"/>
                <w:szCs w:val="18"/>
              </w:rPr>
            </w:pPr>
            <w:r>
              <w:rPr>
                <w:rFonts w:ascii="宋体" w:hAnsi="宋体" w:cs="宋体"/>
                <w:kern w:val="0"/>
                <w:sz w:val="18"/>
                <w:szCs w:val="18"/>
              </w:rPr>
              <w:t>WHL000004800</w:t>
            </w:r>
          </w:p>
        </w:tc>
        <w:tc>
          <w:tcPr>
            <w:tcW w:w="655"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#楼</w:t>
            </w:r>
          </w:p>
        </w:tc>
        <w:tc>
          <w:tcPr>
            <w:tcW w:w="567" w:type="dxa"/>
            <w:vAlign w:val="center"/>
          </w:tcPr>
          <w:p>
            <w:pPr>
              <w:widowControl/>
              <w:spacing w:beforeLines="0" w:afterLines="0" w:line="240" w:lineRule="auto"/>
              <w:ind w:firstLine="0" w:firstLineChars="0"/>
              <w:jc w:val="center"/>
              <w:rPr>
                <w:rFonts w:ascii="宋体" w:hAnsi="宋体" w:cs="宋体"/>
                <w:kern w:val="0"/>
                <w:sz w:val="18"/>
                <w:szCs w:val="18"/>
              </w:rPr>
            </w:pPr>
          </w:p>
        </w:tc>
        <w:tc>
          <w:tcPr>
            <w:tcW w:w="565"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4</w:t>
            </w:r>
          </w:p>
        </w:tc>
        <w:tc>
          <w:tcPr>
            <w:tcW w:w="567"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420</w:t>
            </w:r>
          </w:p>
        </w:tc>
        <w:tc>
          <w:tcPr>
            <w:tcW w:w="1135"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钢筋混泥土</w:t>
            </w:r>
          </w:p>
        </w:tc>
        <w:tc>
          <w:tcPr>
            <w:tcW w:w="709"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办公</w:t>
            </w:r>
          </w:p>
        </w:tc>
        <w:tc>
          <w:tcPr>
            <w:tcW w:w="709"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其他</w:t>
            </w:r>
          </w:p>
        </w:tc>
        <w:tc>
          <w:tcPr>
            <w:tcW w:w="993"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29.75</w:t>
            </w:r>
          </w:p>
        </w:tc>
        <w:tc>
          <w:tcPr>
            <w:tcW w:w="851"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9.92</w:t>
            </w:r>
          </w:p>
        </w:tc>
        <w:tc>
          <w:tcPr>
            <w:tcW w:w="671"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39.67</w:t>
            </w:r>
          </w:p>
        </w:tc>
        <w:tc>
          <w:tcPr>
            <w:tcW w:w="756"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260584</w:t>
            </w:r>
          </w:p>
        </w:tc>
      </w:tr>
    </w:tbl>
    <w:p>
      <w:pPr>
        <w:spacing w:before="163" w:after="163"/>
        <w:ind w:firstLine="480"/>
        <w:rPr>
          <w:rFonts w:asciiTheme="minorEastAsia" w:hAnsiTheme="minorEastAsia"/>
        </w:rPr>
      </w:pPr>
      <w:r>
        <w:rPr>
          <w:rFonts w:hint="eastAsia" w:asciiTheme="minorEastAsia" w:hAnsiTheme="minorEastAsia"/>
        </w:rPr>
        <w:t>根据委托</w:t>
      </w:r>
      <w:r>
        <w:rPr>
          <w:rFonts w:asciiTheme="minorEastAsia" w:hAnsiTheme="minorEastAsia"/>
        </w:rPr>
        <w:t>人提供的</w:t>
      </w:r>
      <w:r>
        <w:rPr>
          <w:rFonts w:hint="eastAsia" w:asciiTheme="minorEastAsia" w:hAnsiTheme="minorEastAsia"/>
        </w:rPr>
        <w:t>《房源</w:t>
      </w:r>
      <w:r>
        <w:rPr>
          <w:rFonts w:asciiTheme="minorEastAsia" w:hAnsiTheme="minorEastAsia"/>
        </w:rPr>
        <w:t>核验单</w:t>
      </w:r>
      <w:r>
        <w:rPr>
          <w:rFonts w:hint="eastAsia" w:asciiTheme="minorEastAsia" w:hAnsiTheme="minorEastAsia"/>
        </w:rPr>
        <w:t>》载明，房屋</w:t>
      </w:r>
      <w:r>
        <w:rPr>
          <w:rFonts w:asciiTheme="minorEastAsia" w:hAnsiTheme="minorEastAsia"/>
        </w:rPr>
        <w:t>坐落为</w:t>
      </w:r>
      <w:r>
        <w:rPr>
          <w:rFonts w:hint="eastAsia" w:asciiTheme="minorEastAsia" w:hAnsiTheme="minorEastAsia"/>
        </w:rPr>
        <w:t>海南省文昌市清澜开发区文清大道田头坡西侧</w:t>
      </w:r>
      <w:r>
        <w:rPr>
          <w:rFonts w:asciiTheme="minorEastAsia" w:hAnsiTheme="minorEastAsia"/>
        </w:rPr>
        <w:t>，</w:t>
      </w:r>
      <w:r>
        <w:rPr>
          <w:rFonts w:hint="eastAsia" w:asciiTheme="minorEastAsia" w:hAnsiTheme="minorEastAsia"/>
        </w:rPr>
        <w:t>登记</w:t>
      </w:r>
      <w:r>
        <w:rPr>
          <w:rFonts w:asciiTheme="minorEastAsia" w:hAnsiTheme="minorEastAsia"/>
        </w:rPr>
        <w:t>信息如下表</w:t>
      </w:r>
      <w:r>
        <w:rPr>
          <w:rFonts w:hint="eastAsia" w:asciiTheme="minorEastAsia" w:hAnsiTheme="minorEastAsia"/>
        </w:rPr>
        <w:t>（祥</w:t>
      </w:r>
      <w:r>
        <w:rPr>
          <w:rFonts w:asciiTheme="minorEastAsia" w:hAnsiTheme="minorEastAsia"/>
        </w:rPr>
        <w:t>见附件</w:t>
      </w:r>
      <w:r>
        <w:rPr>
          <w:rFonts w:hint="eastAsia" w:asciiTheme="minorEastAsia" w:hAnsiTheme="minorEastAsia"/>
        </w:rPr>
        <w:t>）</w:t>
      </w:r>
      <w:r>
        <w:rPr>
          <w:rFonts w:asciiTheme="minorEastAsia" w:hAnsiTheme="minorEastAsia"/>
        </w:rPr>
        <w:t>：</w:t>
      </w:r>
    </w:p>
    <w:tbl>
      <w:tblPr>
        <w:tblStyle w:val="24"/>
        <w:tblW w:w="9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8"/>
        <w:gridCol w:w="2368"/>
        <w:gridCol w:w="2369"/>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房号</w:t>
            </w:r>
          </w:p>
        </w:tc>
        <w:tc>
          <w:tcPr>
            <w:tcW w:w="2368" w:type="dxa"/>
            <w:vAlign w:val="center"/>
          </w:tcPr>
          <w:p>
            <w:pPr>
              <w:widowControl/>
              <w:spacing w:beforeLines="0" w:afterLines="0" w:line="240" w:lineRule="auto"/>
              <w:ind w:firstLine="0" w:firstLineChars="0"/>
              <w:jc w:val="center"/>
              <w:rPr>
                <w:rFonts w:ascii="宋体" w:hAnsi="宋体" w:cs="宋体"/>
                <w:kern w:val="0"/>
                <w:sz w:val="18"/>
                <w:szCs w:val="18"/>
              </w:rPr>
            </w:pPr>
            <w:r>
              <w:rPr>
                <w:rFonts w:ascii="宋体" w:hAnsi="宋体" w:cs="宋体"/>
                <w:kern w:val="0"/>
                <w:sz w:val="18"/>
                <w:szCs w:val="18"/>
              </w:rPr>
              <w:t>418</w:t>
            </w:r>
            <w:r>
              <w:rPr>
                <w:rFonts w:hint="eastAsia" w:ascii="宋体" w:hAnsi="宋体" w:cs="宋体"/>
                <w:kern w:val="0"/>
                <w:sz w:val="18"/>
                <w:szCs w:val="18"/>
              </w:rPr>
              <w:t>房</w:t>
            </w:r>
          </w:p>
        </w:tc>
        <w:tc>
          <w:tcPr>
            <w:tcW w:w="2369"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420房</w:t>
            </w:r>
          </w:p>
        </w:tc>
        <w:tc>
          <w:tcPr>
            <w:tcW w:w="2369"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426房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【房屋</w:t>
            </w:r>
            <w:r>
              <w:rPr>
                <w:rFonts w:ascii="宋体" w:hAnsi="宋体" w:cs="宋体"/>
                <w:kern w:val="0"/>
                <w:sz w:val="18"/>
                <w:szCs w:val="18"/>
              </w:rPr>
              <w:t>所有权证号</w:t>
            </w:r>
            <w:r>
              <w:rPr>
                <w:rFonts w:hint="eastAsia" w:ascii="宋体" w:hAnsi="宋体" w:cs="宋体"/>
                <w:kern w:val="0"/>
                <w:sz w:val="18"/>
                <w:szCs w:val="18"/>
              </w:rPr>
              <w:t>】</w:t>
            </w:r>
          </w:p>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【不动产权</w:t>
            </w:r>
            <w:r>
              <w:rPr>
                <w:rFonts w:ascii="宋体" w:hAnsi="宋体" w:cs="宋体"/>
                <w:kern w:val="0"/>
                <w:sz w:val="18"/>
                <w:szCs w:val="18"/>
              </w:rPr>
              <w:t>证书号</w:t>
            </w:r>
            <w:r>
              <w:rPr>
                <w:rFonts w:hint="eastAsia" w:ascii="宋体" w:hAnsi="宋体" w:cs="宋体"/>
                <w:kern w:val="0"/>
                <w:sz w:val="18"/>
                <w:szCs w:val="18"/>
              </w:rPr>
              <w:t>】</w:t>
            </w:r>
          </w:p>
        </w:tc>
        <w:tc>
          <w:tcPr>
            <w:tcW w:w="2368" w:type="dxa"/>
            <w:vAlign w:val="center"/>
          </w:tcPr>
          <w:p>
            <w:pPr>
              <w:widowControl/>
              <w:spacing w:beforeLines="0" w:afterLines="0" w:line="240" w:lineRule="auto"/>
              <w:ind w:firstLine="0" w:firstLineChars="0"/>
              <w:jc w:val="center"/>
              <w:rPr>
                <w:rFonts w:ascii="宋体" w:hAnsi="宋体" w:cs="宋体"/>
                <w:kern w:val="0"/>
                <w:sz w:val="18"/>
                <w:szCs w:val="18"/>
              </w:rPr>
            </w:pPr>
            <w:r>
              <w:rPr>
                <w:rFonts w:ascii="宋体" w:hAnsi="宋体" w:cs="宋体"/>
                <w:kern w:val="0"/>
                <w:sz w:val="18"/>
                <w:szCs w:val="18"/>
              </w:rPr>
              <w:t>09723</w:t>
            </w:r>
          </w:p>
        </w:tc>
        <w:tc>
          <w:tcPr>
            <w:tcW w:w="2369"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09731</w:t>
            </w:r>
          </w:p>
        </w:tc>
        <w:tc>
          <w:tcPr>
            <w:tcW w:w="2369" w:type="dxa"/>
            <w:vAlign w:val="center"/>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09755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房屋</w:t>
            </w:r>
            <w:r>
              <w:rPr>
                <w:rFonts w:ascii="宋体" w:hAnsi="宋体" w:cs="宋体"/>
                <w:kern w:val="0"/>
                <w:sz w:val="18"/>
                <w:szCs w:val="18"/>
              </w:rPr>
              <w:t>坐落</w:t>
            </w:r>
          </w:p>
        </w:tc>
        <w:tc>
          <w:tcPr>
            <w:tcW w:w="7106" w:type="dxa"/>
            <w:gridSpan w:val="3"/>
          </w:tcPr>
          <w:p>
            <w:pPr>
              <w:widowControl/>
              <w:spacing w:beforeLines="0" w:afterLines="0" w:line="240" w:lineRule="auto"/>
              <w:ind w:firstLine="0" w:firstLineChars="0"/>
              <w:jc w:val="left"/>
              <w:rPr>
                <w:rFonts w:ascii="宋体" w:hAnsi="宋体" w:cs="宋体"/>
                <w:kern w:val="0"/>
                <w:sz w:val="18"/>
                <w:szCs w:val="18"/>
              </w:rPr>
            </w:pPr>
            <w:r>
              <w:rPr>
                <w:rFonts w:hint="eastAsia" w:ascii="宋体" w:hAnsi="宋体" w:cs="宋体"/>
                <w:kern w:val="0"/>
                <w:sz w:val="18"/>
                <w:szCs w:val="18"/>
              </w:rPr>
              <w:t>海南省文昌市清澜开发区文清大道田头坡西侧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建筑面积</w:t>
            </w:r>
          </w:p>
        </w:tc>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41.03</w:t>
            </w:r>
            <w:r>
              <w:rPr>
                <w:rFonts w:hint="eastAsia" w:ascii="宋体" w:hAnsi="宋体" w:eastAsia="宋体" w:cs="宋体"/>
                <w:kern w:val="0"/>
                <w:sz w:val="18"/>
                <w:szCs w:val="18"/>
              </w:rPr>
              <w:t>㎡</w:t>
            </w:r>
          </w:p>
        </w:tc>
        <w:tc>
          <w:tcPr>
            <w:tcW w:w="2369"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41.03</w:t>
            </w:r>
            <w:r>
              <w:rPr>
                <w:rFonts w:hint="eastAsia" w:ascii="宋体" w:hAnsi="宋体" w:eastAsia="宋体" w:cs="宋体"/>
                <w:kern w:val="0"/>
                <w:sz w:val="18"/>
                <w:szCs w:val="18"/>
              </w:rPr>
              <w:t>㎡</w:t>
            </w:r>
          </w:p>
        </w:tc>
        <w:tc>
          <w:tcPr>
            <w:tcW w:w="2369"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41.03</w:t>
            </w: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套内</w:t>
            </w:r>
            <w:r>
              <w:rPr>
                <w:rFonts w:ascii="宋体" w:hAnsi="宋体" w:cs="宋体"/>
                <w:kern w:val="0"/>
                <w:sz w:val="18"/>
                <w:szCs w:val="18"/>
              </w:rPr>
              <w:t>面积</w:t>
            </w:r>
          </w:p>
        </w:tc>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ascii="宋体" w:hAnsi="宋体" w:cs="宋体"/>
                <w:kern w:val="0"/>
                <w:sz w:val="18"/>
                <w:szCs w:val="18"/>
              </w:rPr>
              <w:t>29.34</w:t>
            </w:r>
            <w:r>
              <w:rPr>
                <w:rFonts w:hint="eastAsia" w:ascii="宋体" w:hAnsi="宋体" w:eastAsia="宋体" w:cs="宋体"/>
                <w:kern w:val="0"/>
                <w:sz w:val="18"/>
                <w:szCs w:val="18"/>
              </w:rPr>
              <w:t>㎡</w:t>
            </w:r>
          </w:p>
        </w:tc>
        <w:tc>
          <w:tcPr>
            <w:tcW w:w="2369" w:type="dxa"/>
          </w:tcPr>
          <w:p>
            <w:pPr>
              <w:widowControl/>
              <w:spacing w:beforeLines="0" w:afterLines="0" w:line="240" w:lineRule="auto"/>
              <w:ind w:firstLine="0" w:firstLineChars="0"/>
              <w:jc w:val="center"/>
              <w:rPr>
                <w:rFonts w:ascii="宋体" w:hAnsi="宋体" w:cs="宋体"/>
                <w:kern w:val="0"/>
                <w:sz w:val="18"/>
                <w:szCs w:val="18"/>
              </w:rPr>
            </w:pPr>
            <w:r>
              <w:rPr>
                <w:rFonts w:ascii="宋体" w:hAnsi="宋体" w:cs="宋体"/>
                <w:kern w:val="0"/>
                <w:sz w:val="18"/>
                <w:szCs w:val="18"/>
              </w:rPr>
              <w:t>29.34</w:t>
            </w:r>
            <w:r>
              <w:rPr>
                <w:rFonts w:hint="eastAsia" w:ascii="宋体" w:hAnsi="宋体" w:eastAsia="宋体" w:cs="宋体"/>
                <w:kern w:val="0"/>
                <w:sz w:val="18"/>
                <w:szCs w:val="18"/>
              </w:rPr>
              <w:t>㎡</w:t>
            </w:r>
          </w:p>
        </w:tc>
        <w:tc>
          <w:tcPr>
            <w:tcW w:w="2369" w:type="dxa"/>
          </w:tcPr>
          <w:p>
            <w:pPr>
              <w:widowControl/>
              <w:spacing w:beforeLines="0" w:afterLines="0" w:line="240" w:lineRule="auto"/>
              <w:ind w:firstLine="0" w:firstLineChars="0"/>
              <w:jc w:val="center"/>
              <w:rPr>
                <w:rFonts w:ascii="宋体" w:hAnsi="宋体" w:cs="宋体"/>
                <w:kern w:val="0"/>
                <w:sz w:val="18"/>
                <w:szCs w:val="18"/>
              </w:rPr>
            </w:pPr>
            <w:r>
              <w:rPr>
                <w:rFonts w:ascii="宋体" w:hAnsi="宋体" w:cs="宋体"/>
                <w:kern w:val="0"/>
                <w:sz w:val="18"/>
                <w:szCs w:val="18"/>
              </w:rPr>
              <w:t>29.34</w:t>
            </w:r>
            <w:r>
              <w:rPr>
                <w:rFonts w:hint="eastAsia" w:ascii="宋体" w:hAnsi="宋体" w:eastAsia="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房屋</w:t>
            </w:r>
            <w:r>
              <w:rPr>
                <w:rFonts w:ascii="宋体" w:hAnsi="宋体" w:cs="宋体"/>
                <w:kern w:val="0"/>
                <w:sz w:val="18"/>
                <w:szCs w:val="18"/>
              </w:rPr>
              <w:t>性质</w:t>
            </w:r>
          </w:p>
        </w:tc>
        <w:tc>
          <w:tcPr>
            <w:tcW w:w="2368" w:type="dxa"/>
          </w:tcPr>
          <w:p>
            <w:pPr>
              <w:widowControl/>
              <w:spacing w:beforeLines="0" w:afterLines="0" w:line="240" w:lineRule="auto"/>
              <w:ind w:firstLine="0" w:firstLineChars="0"/>
              <w:jc w:val="center"/>
              <w:rPr>
                <w:rFonts w:ascii="宋体" w:hAnsi="宋体" w:cs="宋体"/>
                <w:kern w:val="0"/>
                <w:sz w:val="18"/>
                <w:szCs w:val="18"/>
              </w:rPr>
            </w:pPr>
          </w:p>
        </w:tc>
        <w:tc>
          <w:tcPr>
            <w:tcW w:w="2369" w:type="dxa"/>
          </w:tcPr>
          <w:p>
            <w:pPr>
              <w:widowControl/>
              <w:spacing w:beforeLines="0" w:afterLines="0" w:line="240" w:lineRule="auto"/>
              <w:ind w:firstLine="0" w:firstLineChars="0"/>
              <w:jc w:val="center"/>
              <w:rPr>
                <w:rFonts w:ascii="宋体" w:hAnsi="宋体" w:cs="宋体"/>
                <w:kern w:val="0"/>
                <w:sz w:val="18"/>
                <w:szCs w:val="18"/>
              </w:rPr>
            </w:pPr>
          </w:p>
        </w:tc>
        <w:tc>
          <w:tcPr>
            <w:tcW w:w="2369" w:type="dxa"/>
          </w:tcPr>
          <w:p>
            <w:pPr>
              <w:widowControl/>
              <w:spacing w:beforeLines="0" w:afterLines="0" w:line="240" w:lineRule="auto"/>
              <w:ind w:firstLine="0" w:firstLineChars="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建筑</w:t>
            </w:r>
            <w:r>
              <w:rPr>
                <w:rFonts w:ascii="宋体" w:hAnsi="宋体" w:cs="宋体"/>
                <w:kern w:val="0"/>
                <w:sz w:val="18"/>
                <w:szCs w:val="18"/>
              </w:rPr>
              <w:t>结构</w:t>
            </w:r>
          </w:p>
        </w:tc>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钢</w:t>
            </w:r>
            <w:r>
              <w:rPr>
                <w:rFonts w:ascii="宋体" w:hAnsi="宋体" w:cs="宋体"/>
                <w:kern w:val="0"/>
                <w:sz w:val="18"/>
                <w:szCs w:val="18"/>
              </w:rPr>
              <w:t>、</w:t>
            </w:r>
            <w:r>
              <w:rPr>
                <w:rFonts w:hint="eastAsia" w:ascii="宋体" w:hAnsi="宋体" w:cs="宋体"/>
                <w:kern w:val="0"/>
                <w:sz w:val="18"/>
                <w:szCs w:val="18"/>
              </w:rPr>
              <w:t>钢筋混凝土</w:t>
            </w:r>
            <w:r>
              <w:rPr>
                <w:rFonts w:ascii="宋体" w:hAnsi="宋体" w:cs="宋体"/>
                <w:kern w:val="0"/>
                <w:sz w:val="18"/>
                <w:szCs w:val="18"/>
              </w:rPr>
              <w:t>结构</w:t>
            </w:r>
          </w:p>
        </w:tc>
        <w:tc>
          <w:tcPr>
            <w:tcW w:w="2369"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钢</w:t>
            </w:r>
            <w:r>
              <w:rPr>
                <w:rFonts w:ascii="宋体" w:hAnsi="宋体" w:cs="宋体"/>
                <w:kern w:val="0"/>
                <w:sz w:val="18"/>
                <w:szCs w:val="18"/>
              </w:rPr>
              <w:t>、</w:t>
            </w:r>
            <w:r>
              <w:rPr>
                <w:rFonts w:hint="eastAsia" w:ascii="宋体" w:hAnsi="宋体" w:cs="宋体"/>
                <w:kern w:val="0"/>
                <w:sz w:val="18"/>
                <w:szCs w:val="18"/>
              </w:rPr>
              <w:t>钢筋混凝土</w:t>
            </w:r>
            <w:r>
              <w:rPr>
                <w:rFonts w:ascii="宋体" w:hAnsi="宋体" w:cs="宋体"/>
                <w:kern w:val="0"/>
                <w:sz w:val="18"/>
                <w:szCs w:val="18"/>
              </w:rPr>
              <w:t>结构</w:t>
            </w:r>
          </w:p>
        </w:tc>
        <w:tc>
          <w:tcPr>
            <w:tcW w:w="2369"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钢</w:t>
            </w:r>
            <w:r>
              <w:rPr>
                <w:rFonts w:ascii="宋体" w:hAnsi="宋体" w:cs="宋体"/>
                <w:kern w:val="0"/>
                <w:sz w:val="18"/>
                <w:szCs w:val="18"/>
              </w:rPr>
              <w:t>、</w:t>
            </w:r>
            <w:r>
              <w:rPr>
                <w:rFonts w:hint="eastAsia" w:ascii="宋体" w:hAnsi="宋体" w:cs="宋体"/>
                <w:kern w:val="0"/>
                <w:sz w:val="18"/>
                <w:szCs w:val="18"/>
              </w:rPr>
              <w:t>钢筋混凝土</w:t>
            </w:r>
            <w:r>
              <w:rPr>
                <w:rFonts w:ascii="宋体" w:hAnsi="宋体" w:cs="宋体"/>
                <w:kern w:val="0"/>
                <w:sz w:val="18"/>
                <w:szCs w:val="18"/>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是否</w:t>
            </w:r>
            <w:r>
              <w:rPr>
                <w:rFonts w:ascii="宋体" w:hAnsi="宋体" w:cs="宋体"/>
                <w:kern w:val="0"/>
                <w:sz w:val="18"/>
                <w:szCs w:val="18"/>
              </w:rPr>
              <w:t>已查封</w:t>
            </w:r>
          </w:p>
        </w:tc>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否</w:t>
            </w:r>
          </w:p>
        </w:tc>
        <w:tc>
          <w:tcPr>
            <w:tcW w:w="2369"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是</w:t>
            </w:r>
          </w:p>
        </w:tc>
        <w:tc>
          <w:tcPr>
            <w:tcW w:w="2369"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是否</w:t>
            </w:r>
            <w:r>
              <w:rPr>
                <w:rFonts w:ascii="宋体" w:hAnsi="宋体" w:cs="宋体"/>
                <w:kern w:val="0"/>
                <w:sz w:val="18"/>
                <w:szCs w:val="18"/>
              </w:rPr>
              <w:t>已抵押</w:t>
            </w:r>
          </w:p>
        </w:tc>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否</w:t>
            </w:r>
          </w:p>
        </w:tc>
        <w:tc>
          <w:tcPr>
            <w:tcW w:w="2369"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否</w:t>
            </w:r>
          </w:p>
        </w:tc>
        <w:tc>
          <w:tcPr>
            <w:tcW w:w="2369"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共有</w:t>
            </w:r>
            <w:r>
              <w:rPr>
                <w:rFonts w:ascii="宋体" w:hAnsi="宋体" w:cs="宋体"/>
                <w:kern w:val="0"/>
                <w:sz w:val="18"/>
                <w:szCs w:val="18"/>
              </w:rPr>
              <w:t>类型</w:t>
            </w:r>
          </w:p>
        </w:tc>
        <w:tc>
          <w:tcPr>
            <w:tcW w:w="2368" w:type="dxa"/>
          </w:tcPr>
          <w:p>
            <w:pPr>
              <w:widowControl/>
              <w:spacing w:beforeLines="0" w:afterLines="0" w:line="240" w:lineRule="auto"/>
              <w:ind w:firstLine="0" w:firstLineChars="0"/>
              <w:jc w:val="center"/>
              <w:rPr>
                <w:rFonts w:ascii="宋体" w:hAnsi="宋体" w:cs="宋体"/>
                <w:kern w:val="0"/>
                <w:sz w:val="18"/>
                <w:szCs w:val="18"/>
              </w:rPr>
            </w:pPr>
          </w:p>
        </w:tc>
        <w:tc>
          <w:tcPr>
            <w:tcW w:w="2369" w:type="dxa"/>
          </w:tcPr>
          <w:p>
            <w:pPr>
              <w:widowControl/>
              <w:spacing w:beforeLines="0" w:afterLines="0" w:line="240" w:lineRule="auto"/>
              <w:ind w:firstLine="0" w:firstLineChars="0"/>
              <w:jc w:val="center"/>
              <w:rPr>
                <w:rFonts w:ascii="宋体" w:hAnsi="宋体" w:cs="宋体"/>
                <w:kern w:val="0"/>
                <w:sz w:val="18"/>
                <w:szCs w:val="18"/>
              </w:rPr>
            </w:pPr>
          </w:p>
        </w:tc>
        <w:tc>
          <w:tcPr>
            <w:tcW w:w="2369" w:type="dxa"/>
          </w:tcPr>
          <w:p>
            <w:pPr>
              <w:widowControl/>
              <w:spacing w:beforeLines="0" w:afterLines="0" w:line="240" w:lineRule="auto"/>
              <w:ind w:firstLine="0" w:firstLineChars="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异议</w:t>
            </w:r>
            <w:r>
              <w:rPr>
                <w:rFonts w:ascii="宋体" w:hAnsi="宋体" w:cs="宋体"/>
                <w:kern w:val="0"/>
                <w:sz w:val="18"/>
                <w:szCs w:val="18"/>
              </w:rPr>
              <w:t>情况</w:t>
            </w:r>
          </w:p>
        </w:tc>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无</w:t>
            </w:r>
          </w:p>
        </w:tc>
        <w:tc>
          <w:tcPr>
            <w:tcW w:w="2369"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无</w:t>
            </w:r>
          </w:p>
        </w:tc>
        <w:tc>
          <w:tcPr>
            <w:tcW w:w="2369"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74" w:type="dxa"/>
            <w:gridSpan w:val="4"/>
          </w:tcPr>
          <w:p>
            <w:pPr>
              <w:widowControl/>
              <w:spacing w:beforeLines="0" w:afterLines="0" w:line="240" w:lineRule="auto"/>
              <w:ind w:firstLine="0" w:firstLineChars="0"/>
              <w:jc w:val="left"/>
              <w:rPr>
                <w:rFonts w:ascii="宋体" w:hAnsi="宋体" w:cs="宋体"/>
                <w:kern w:val="0"/>
                <w:sz w:val="18"/>
                <w:szCs w:val="18"/>
              </w:rPr>
            </w:pPr>
            <w:r>
              <w:rPr>
                <w:rFonts w:hint="eastAsia" w:ascii="宋体" w:hAnsi="宋体" w:cs="宋体"/>
                <w:kern w:val="0"/>
                <w:sz w:val="18"/>
                <w:szCs w:val="18"/>
              </w:rPr>
              <w:t>所有</w:t>
            </w:r>
            <w:r>
              <w:rPr>
                <w:rFonts w:ascii="宋体" w:hAnsi="宋体" w:cs="宋体"/>
                <w:kern w:val="0"/>
                <w:sz w:val="18"/>
                <w:szCs w:val="18"/>
              </w:rPr>
              <w:t>权</w:t>
            </w: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姓名</w:t>
            </w:r>
          </w:p>
        </w:tc>
        <w:tc>
          <w:tcPr>
            <w:tcW w:w="7106" w:type="dxa"/>
            <w:gridSpan w:val="3"/>
          </w:tcPr>
          <w:p>
            <w:pPr>
              <w:widowControl/>
              <w:spacing w:beforeLines="0" w:afterLines="0" w:line="240" w:lineRule="auto"/>
              <w:ind w:firstLine="0" w:firstLineChars="0"/>
              <w:jc w:val="left"/>
              <w:rPr>
                <w:rFonts w:ascii="宋体" w:hAnsi="宋体" w:cs="宋体"/>
                <w:kern w:val="0"/>
                <w:sz w:val="18"/>
                <w:szCs w:val="18"/>
              </w:rPr>
            </w:pPr>
            <w:r>
              <w:rPr>
                <w:rFonts w:hint="eastAsia" w:ascii="宋体" w:hAnsi="宋体" w:cs="宋体"/>
                <w:kern w:val="0"/>
                <w:sz w:val="18"/>
                <w:szCs w:val="18"/>
              </w:rPr>
              <w:t>文昌瑞锦房地产开发有限公司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证件</w:t>
            </w:r>
            <w:r>
              <w:rPr>
                <w:rFonts w:ascii="宋体" w:hAnsi="宋体" w:cs="宋体"/>
                <w:kern w:val="0"/>
                <w:sz w:val="18"/>
                <w:szCs w:val="18"/>
              </w:rPr>
              <w:t>类型</w:t>
            </w:r>
          </w:p>
        </w:tc>
        <w:tc>
          <w:tcPr>
            <w:tcW w:w="7106" w:type="dxa"/>
            <w:gridSpan w:val="3"/>
          </w:tcPr>
          <w:p>
            <w:pPr>
              <w:widowControl/>
              <w:spacing w:beforeLines="0" w:afterLines="0" w:line="240" w:lineRule="auto"/>
              <w:ind w:firstLine="0" w:firstLineChars="0"/>
              <w:jc w:val="left"/>
              <w:rPr>
                <w:rFonts w:ascii="宋体" w:hAnsi="宋体" w:cs="宋体"/>
                <w:kern w:val="0"/>
                <w:sz w:val="18"/>
                <w:szCs w:val="18"/>
              </w:rPr>
            </w:pPr>
            <w:r>
              <w:rPr>
                <w:rFonts w:hint="eastAsia" w:ascii="宋体" w:hAnsi="宋体" w:cs="宋体"/>
                <w:kern w:val="0"/>
                <w:sz w:val="18"/>
                <w:szCs w:val="18"/>
              </w:rPr>
              <w:t>营业</w:t>
            </w:r>
            <w:r>
              <w:rPr>
                <w:rFonts w:ascii="宋体" w:hAnsi="宋体" w:cs="宋体"/>
                <w:kern w:val="0"/>
                <w:sz w:val="18"/>
                <w:szCs w:val="18"/>
              </w:rPr>
              <w:t>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证件</w:t>
            </w:r>
            <w:r>
              <w:rPr>
                <w:rFonts w:ascii="宋体" w:hAnsi="宋体" w:cs="宋体"/>
                <w:kern w:val="0"/>
                <w:sz w:val="18"/>
                <w:szCs w:val="18"/>
              </w:rPr>
              <w:t>号码</w:t>
            </w:r>
          </w:p>
        </w:tc>
        <w:tc>
          <w:tcPr>
            <w:tcW w:w="7106" w:type="dxa"/>
            <w:gridSpan w:val="3"/>
          </w:tcPr>
          <w:p>
            <w:pPr>
              <w:widowControl/>
              <w:spacing w:beforeLines="0" w:afterLines="0" w:line="240" w:lineRule="auto"/>
              <w:ind w:firstLine="0" w:firstLineChars="0"/>
              <w:jc w:val="left"/>
              <w:rPr>
                <w:rFonts w:ascii="宋体" w:hAnsi="宋体" w:cs="宋体"/>
                <w:kern w:val="0"/>
                <w:sz w:val="18"/>
                <w:szCs w:val="18"/>
              </w:rPr>
            </w:pPr>
            <w:r>
              <w:rPr>
                <w:rFonts w:hint="eastAsia" w:ascii="宋体" w:hAnsi="宋体" w:cs="宋体"/>
                <w:kern w:val="0"/>
                <w:sz w:val="18"/>
                <w:szCs w:val="18"/>
              </w:rPr>
              <w:t>469005000007585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8" w:type="dxa"/>
          </w:tcPr>
          <w:p>
            <w:pPr>
              <w:widowControl/>
              <w:spacing w:beforeLines="0" w:afterLines="0" w:line="240" w:lineRule="auto"/>
              <w:ind w:firstLine="0" w:firstLineChars="0"/>
              <w:jc w:val="center"/>
              <w:rPr>
                <w:rFonts w:ascii="宋体" w:hAnsi="宋体" w:cs="宋体"/>
                <w:kern w:val="0"/>
                <w:sz w:val="18"/>
                <w:szCs w:val="18"/>
              </w:rPr>
            </w:pPr>
            <w:r>
              <w:rPr>
                <w:rFonts w:hint="eastAsia" w:ascii="宋体" w:hAnsi="宋体" w:cs="宋体"/>
                <w:kern w:val="0"/>
                <w:sz w:val="18"/>
                <w:szCs w:val="18"/>
              </w:rPr>
              <w:t>共有</w:t>
            </w:r>
            <w:r>
              <w:rPr>
                <w:rFonts w:ascii="宋体" w:hAnsi="宋体" w:cs="宋体"/>
                <w:kern w:val="0"/>
                <w:sz w:val="18"/>
                <w:szCs w:val="18"/>
              </w:rPr>
              <w:t>比例</w:t>
            </w:r>
          </w:p>
        </w:tc>
        <w:tc>
          <w:tcPr>
            <w:tcW w:w="7106" w:type="dxa"/>
            <w:gridSpan w:val="3"/>
          </w:tcPr>
          <w:p>
            <w:pPr>
              <w:widowControl/>
              <w:spacing w:beforeLines="0" w:afterLines="0" w:line="240" w:lineRule="auto"/>
              <w:ind w:firstLine="0" w:firstLineChars="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74" w:type="dxa"/>
            <w:gridSpan w:val="4"/>
          </w:tcPr>
          <w:p>
            <w:pPr>
              <w:widowControl/>
              <w:spacing w:beforeLines="0" w:afterLines="0" w:line="240" w:lineRule="auto"/>
              <w:ind w:firstLine="0" w:firstLineChars="0"/>
              <w:jc w:val="left"/>
              <w:rPr>
                <w:rFonts w:ascii="宋体" w:hAnsi="宋体" w:cs="宋体"/>
                <w:kern w:val="0"/>
                <w:sz w:val="18"/>
                <w:szCs w:val="18"/>
              </w:rPr>
            </w:pPr>
            <w:r>
              <w:rPr>
                <w:rFonts w:hint="eastAsia" w:ascii="宋体" w:hAnsi="宋体" w:cs="宋体"/>
                <w:kern w:val="0"/>
                <w:sz w:val="18"/>
                <w:szCs w:val="18"/>
              </w:rPr>
              <w:t>附记</w:t>
            </w:r>
          </w:p>
        </w:tc>
      </w:tr>
    </w:tbl>
    <w:p>
      <w:pPr>
        <w:spacing w:before="163" w:after="163"/>
        <w:ind w:firstLine="480"/>
        <w:jc w:val="left"/>
        <w:rPr>
          <w:rFonts w:asciiTheme="minorEastAsia" w:hAnsiTheme="minorEastAsia"/>
        </w:rPr>
      </w:pPr>
      <w:r>
        <w:rPr>
          <w:rFonts w:hint="eastAsia" w:asciiTheme="minorEastAsia" w:hAnsiTheme="minorEastAsia"/>
        </w:rPr>
        <w:t>②房屋建筑物实物状况</w:t>
      </w:r>
    </w:p>
    <w:p>
      <w:pPr>
        <w:spacing w:before="163" w:after="163"/>
        <w:ind w:firstLine="480"/>
        <w:jc w:val="left"/>
        <w:rPr>
          <w:rFonts w:ascii="宋体" w:hAnsi="宋体"/>
          <w:snapToGrid w:val="0"/>
          <w:kern w:val="0"/>
        </w:rPr>
      </w:pPr>
      <w:r>
        <w:rPr>
          <w:rFonts w:hint="eastAsia" w:ascii="宋体" w:hAnsi="宋体"/>
          <w:snapToGrid w:val="0"/>
          <w:kern w:val="0"/>
        </w:rPr>
        <w:t>据现场查勘，鉴定对象房屋建筑物状况如下：</w:t>
      </w:r>
    </w:p>
    <w:p>
      <w:pPr>
        <w:spacing w:before="163" w:after="163"/>
        <w:ind w:firstLine="480"/>
        <w:jc w:val="left"/>
        <w:rPr>
          <w:rFonts w:asciiTheme="minorEastAsia" w:hAnsiTheme="minorEastAsia"/>
        </w:rPr>
      </w:pPr>
    </w:p>
    <w:p>
      <w:pPr>
        <w:spacing w:before="163" w:after="163"/>
        <w:ind w:firstLine="480"/>
        <w:jc w:val="left"/>
        <w:rPr>
          <w:rFonts w:asciiTheme="minorEastAsia" w:hAnsiTheme="minorEastAsia"/>
        </w:rPr>
      </w:pPr>
    </w:p>
    <w:p>
      <w:pPr>
        <w:spacing w:before="163" w:afterLines="0"/>
        <w:ind w:firstLine="199" w:firstLineChars="83"/>
        <w:jc w:val="center"/>
        <w:rPr>
          <w:rFonts w:ascii="宋体" w:hAnsi="宋体"/>
          <w:snapToGrid w:val="0"/>
          <w:kern w:val="0"/>
        </w:rPr>
      </w:pPr>
      <w:r>
        <w:rPr>
          <w:rFonts w:hint="eastAsia" w:ascii="宋体" w:hAnsi="宋体"/>
          <w:snapToGrid w:val="0"/>
          <w:kern w:val="0"/>
        </w:rPr>
        <w:t>建筑物实物状况表</w:t>
      </w:r>
    </w:p>
    <w:tbl>
      <w:tblPr>
        <w:tblStyle w:val="23"/>
        <w:tblW w:w="9474" w:type="dxa"/>
        <w:jc w:val="center"/>
        <w:tblInd w:w="0" w:type="dxa"/>
        <w:tblLayout w:type="fixed"/>
        <w:tblCellMar>
          <w:top w:w="0" w:type="dxa"/>
          <w:left w:w="108" w:type="dxa"/>
          <w:bottom w:w="0" w:type="dxa"/>
          <w:right w:w="108" w:type="dxa"/>
        </w:tblCellMar>
      </w:tblPr>
      <w:tblGrid>
        <w:gridCol w:w="1951"/>
        <w:gridCol w:w="709"/>
        <w:gridCol w:w="709"/>
        <w:gridCol w:w="709"/>
        <w:gridCol w:w="568"/>
        <w:gridCol w:w="853"/>
        <w:gridCol w:w="707"/>
        <w:gridCol w:w="707"/>
        <w:gridCol w:w="1991"/>
        <w:gridCol w:w="570"/>
      </w:tblGrid>
      <w:tr>
        <w:tblPrEx>
          <w:tblLayout w:type="fixed"/>
          <w:tblCellMar>
            <w:top w:w="0" w:type="dxa"/>
            <w:left w:w="108" w:type="dxa"/>
            <w:bottom w:w="0" w:type="dxa"/>
            <w:right w:w="108" w:type="dxa"/>
          </w:tblCellMar>
        </w:tblPrEx>
        <w:trPr>
          <w:trHeight w:val="284"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cs="Times New Roman" w:asciiTheme="minorEastAsia" w:hAnsiTheme="minorEastAsia"/>
                <w:bCs/>
                <w:color w:val="000000"/>
                <w:sz w:val="18"/>
                <w:szCs w:val="18"/>
              </w:rPr>
            </w:pPr>
            <w:r>
              <w:rPr>
                <w:rFonts w:hint="eastAsia" w:cs="Times New Roman" w:asciiTheme="minorEastAsia" w:hAnsiTheme="minorEastAsia"/>
                <w:bCs/>
                <w:color w:val="000000"/>
                <w:sz w:val="18"/>
                <w:szCs w:val="18"/>
              </w:rPr>
              <w:t>名称</w:t>
            </w:r>
          </w:p>
        </w:tc>
        <w:tc>
          <w:tcPr>
            <w:tcW w:w="709" w:type="dxa"/>
            <w:tcBorders>
              <w:top w:val="single" w:color="auto" w:sz="4" w:space="0"/>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cs="Times New Roman" w:asciiTheme="minorEastAsia" w:hAnsiTheme="minorEastAsia"/>
                <w:bCs/>
                <w:color w:val="000000"/>
                <w:sz w:val="18"/>
                <w:szCs w:val="18"/>
              </w:rPr>
            </w:pPr>
            <w:r>
              <w:rPr>
                <w:rFonts w:hint="eastAsia" w:cs="Times New Roman" w:asciiTheme="minorEastAsia" w:hAnsiTheme="minorEastAsia"/>
                <w:bCs/>
                <w:color w:val="000000"/>
                <w:sz w:val="18"/>
                <w:szCs w:val="18"/>
              </w:rPr>
              <w:t>结构</w:t>
            </w:r>
          </w:p>
        </w:tc>
        <w:tc>
          <w:tcPr>
            <w:tcW w:w="709" w:type="dxa"/>
            <w:tcBorders>
              <w:top w:val="single" w:color="auto" w:sz="4" w:space="0"/>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cs="Times New Roman" w:asciiTheme="minorEastAsia" w:hAnsiTheme="minorEastAsia"/>
                <w:bCs/>
                <w:color w:val="000000"/>
                <w:sz w:val="18"/>
                <w:szCs w:val="18"/>
              </w:rPr>
            </w:pPr>
            <w:r>
              <w:rPr>
                <w:rFonts w:hint="eastAsia" w:cs="Times New Roman" w:asciiTheme="minorEastAsia" w:hAnsiTheme="minorEastAsia"/>
                <w:bCs/>
                <w:color w:val="000000"/>
                <w:sz w:val="18"/>
                <w:szCs w:val="18"/>
              </w:rPr>
              <w:t>总层数</w:t>
            </w:r>
          </w:p>
        </w:tc>
        <w:tc>
          <w:tcPr>
            <w:tcW w:w="709" w:type="dxa"/>
            <w:tcBorders>
              <w:top w:val="single" w:color="auto" w:sz="4" w:space="0"/>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cs="Times New Roman" w:asciiTheme="minorEastAsia" w:hAnsiTheme="minorEastAsia"/>
                <w:bCs/>
                <w:color w:val="000000"/>
                <w:sz w:val="18"/>
                <w:szCs w:val="18"/>
              </w:rPr>
            </w:pPr>
            <w:r>
              <w:rPr>
                <w:rFonts w:hint="eastAsia" w:cs="Times New Roman" w:asciiTheme="minorEastAsia" w:hAnsiTheme="minorEastAsia"/>
                <w:bCs/>
                <w:color w:val="000000"/>
                <w:sz w:val="18"/>
                <w:szCs w:val="18"/>
              </w:rPr>
              <w:t>所在层数</w:t>
            </w:r>
          </w:p>
        </w:tc>
        <w:tc>
          <w:tcPr>
            <w:tcW w:w="568" w:type="dxa"/>
            <w:tcBorders>
              <w:top w:val="single" w:color="auto" w:sz="4" w:space="0"/>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cs="Times New Roman" w:asciiTheme="minorEastAsia" w:hAnsiTheme="minorEastAsia"/>
                <w:bCs/>
                <w:color w:val="000000"/>
                <w:sz w:val="18"/>
                <w:szCs w:val="18"/>
              </w:rPr>
            </w:pPr>
            <w:r>
              <w:rPr>
                <w:rFonts w:hint="eastAsia" w:cs="Times New Roman" w:asciiTheme="minorEastAsia" w:hAnsiTheme="minorEastAsia"/>
                <w:bCs/>
                <w:color w:val="000000"/>
                <w:sz w:val="18"/>
                <w:szCs w:val="18"/>
              </w:rPr>
              <w:t>朝向</w:t>
            </w:r>
          </w:p>
        </w:tc>
        <w:tc>
          <w:tcPr>
            <w:tcW w:w="853" w:type="dxa"/>
            <w:tcBorders>
              <w:top w:val="single" w:color="auto" w:sz="4" w:space="0"/>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cs="Times New Roman" w:asciiTheme="minorEastAsia" w:hAnsiTheme="minorEastAsia"/>
                <w:bCs/>
                <w:color w:val="000000"/>
                <w:sz w:val="18"/>
                <w:szCs w:val="18"/>
              </w:rPr>
            </w:pPr>
            <w:r>
              <w:rPr>
                <w:rFonts w:hint="eastAsia" w:cs="Times New Roman" w:asciiTheme="minorEastAsia" w:hAnsiTheme="minorEastAsia"/>
                <w:bCs/>
                <w:color w:val="000000"/>
                <w:sz w:val="18"/>
                <w:szCs w:val="18"/>
              </w:rPr>
              <w:t>建成时间</w:t>
            </w:r>
          </w:p>
        </w:tc>
        <w:tc>
          <w:tcPr>
            <w:tcW w:w="707" w:type="dxa"/>
            <w:tcBorders>
              <w:top w:val="single" w:color="auto" w:sz="4" w:space="0"/>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cs="Times New Roman" w:asciiTheme="minorEastAsia" w:hAnsiTheme="minorEastAsia"/>
                <w:bCs/>
                <w:color w:val="000000"/>
                <w:sz w:val="18"/>
                <w:szCs w:val="18"/>
              </w:rPr>
            </w:pPr>
            <w:r>
              <w:rPr>
                <w:rFonts w:hint="eastAsia" w:cs="Times New Roman" w:asciiTheme="minorEastAsia" w:hAnsiTheme="minorEastAsia"/>
                <w:bCs/>
                <w:color w:val="000000"/>
                <w:sz w:val="18"/>
                <w:szCs w:val="18"/>
              </w:rPr>
              <w:t>维护保养</w:t>
            </w:r>
          </w:p>
        </w:tc>
        <w:tc>
          <w:tcPr>
            <w:tcW w:w="707" w:type="dxa"/>
            <w:tcBorders>
              <w:top w:val="single" w:color="auto" w:sz="4" w:space="0"/>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cs="Times New Roman" w:asciiTheme="minorEastAsia" w:hAnsiTheme="minorEastAsia"/>
                <w:bCs/>
                <w:color w:val="000000"/>
                <w:sz w:val="18"/>
                <w:szCs w:val="18"/>
              </w:rPr>
            </w:pPr>
            <w:r>
              <w:rPr>
                <w:rFonts w:hint="eastAsia" w:cs="Times New Roman" w:asciiTheme="minorEastAsia" w:hAnsiTheme="minorEastAsia"/>
                <w:bCs/>
                <w:color w:val="000000"/>
                <w:sz w:val="18"/>
                <w:szCs w:val="18"/>
              </w:rPr>
              <w:t>规划用途</w:t>
            </w:r>
          </w:p>
        </w:tc>
        <w:tc>
          <w:tcPr>
            <w:tcW w:w="1991" w:type="dxa"/>
            <w:tcBorders>
              <w:top w:val="single" w:color="auto" w:sz="4" w:space="0"/>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cs="Times New Roman" w:asciiTheme="minorEastAsia" w:hAnsiTheme="minorEastAsia"/>
                <w:bCs/>
                <w:color w:val="000000"/>
                <w:sz w:val="18"/>
                <w:szCs w:val="18"/>
              </w:rPr>
            </w:pPr>
            <w:r>
              <w:rPr>
                <w:rFonts w:hint="eastAsia" w:cs="Times New Roman" w:asciiTheme="minorEastAsia" w:hAnsiTheme="minorEastAsia"/>
                <w:bCs/>
                <w:color w:val="000000"/>
                <w:sz w:val="18"/>
                <w:szCs w:val="18"/>
              </w:rPr>
              <w:t>工程质量</w:t>
            </w:r>
          </w:p>
        </w:tc>
        <w:tc>
          <w:tcPr>
            <w:tcW w:w="570" w:type="dxa"/>
            <w:tcBorders>
              <w:top w:val="single" w:color="auto" w:sz="4" w:space="0"/>
              <w:left w:val="nil"/>
              <w:bottom w:val="single" w:color="auto" w:sz="4" w:space="0"/>
              <w:right w:val="single" w:color="auto" w:sz="4" w:space="0"/>
            </w:tcBorders>
            <w:vAlign w:val="center"/>
          </w:tcPr>
          <w:p>
            <w:pPr>
              <w:tabs>
                <w:tab w:val="left" w:pos="720"/>
              </w:tabs>
              <w:spacing w:beforeLines="0" w:afterLines="0" w:line="240" w:lineRule="auto"/>
              <w:ind w:firstLine="0" w:firstLineChars="0"/>
              <w:rPr>
                <w:rFonts w:cs="Times New Roman" w:asciiTheme="minorEastAsia" w:hAnsiTheme="minorEastAsia"/>
                <w:bCs/>
                <w:color w:val="000000"/>
                <w:sz w:val="18"/>
                <w:szCs w:val="18"/>
              </w:rPr>
            </w:pPr>
            <w:r>
              <w:rPr>
                <w:rFonts w:hint="eastAsia" w:cs="Times New Roman" w:asciiTheme="minorEastAsia" w:hAnsiTheme="minorEastAsia"/>
                <w:bCs/>
                <w:color w:val="000000"/>
                <w:sz w:val="18"/>
                <w:szCs w:val="18"/>
              </w:rPr>
              <w:t>备注</w:t>
            </w:r>
          </w:p>
        </w:tc>
      </w:tr>
      <w:tr>
        <w:tblPrEx>
          <w:tblLayout w:type="fixed"/>
          <w:tblCellMar>
            <w:top w:w="0" w:type="dxa"/>
            <w:left w:w="108" w:type="dxa"/>
            <w:bottom w:w="0" w:type="dxa"/>
            <w:right w:w="108" w:type="dxa"/>
          </w:tblCellMar>
        </w:tblPrEx>
        <w:trPr>
          <w:trHeight w:val="284" w:hRule="atLeast"/>
          <w:jc w:val="center"/>
        </w:trPr>
        <w:tc>
          <w:tcPr>
            <w:tcW w:w="1951" w:type="dxa"/>
            <w:tcBorders>
              <w:top w:val="nil"/>
              <w:left w:val="single" w:color="auto" w:sz="4" w:space="0"/>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asciiTheme="minorEastAsia" w:hAnsiTheme="minorEastAsia"/>
                <w:sz w:val="18"/>
                <w:szCs w:val="18"/>
              </w:rPr>
            </w:pPr>
            <w:r>
              <w:rPr>
                <w:rFonts w:hint="eastAsia" w:asciiTheme="minorEastAsia" w:hAnsiTheme="minorEastAsia"/>
                <w:sz w:val="18"/>
                <w:szCs w:val="18"/>
              </w:rPr>
              <w:t>海南省文昌市清澜开发区文清大道田头坡西侧1#楼1#单元418房、420房、426房</w:t>
            </w:r>
          </w:p>
        </w:tc>
        <w:tc>
          <w:tcPr>
            <w:tcW w:w="709" w:type="dxa"/>
            <w:tcBorders>
              <w:top w:val="nil"/>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asciiTheme="minorEastAsia" w:hAnsiTheme="minorEastAsia"/>
                <w:sz w:val="18"/>
                <w:szCs w:val="18"/>
              </w:rPr>
            </w:pPr>
            <w:r>
              <w:rPr>
                <w:rFonts w:hint="eastAsia" w:asciiTheme="minorEastAsia" w:hAnsiTheme="minorEastAsia"/>
                <w:sz w:val="18"/>
                <w:szCs w:val="18"/>
              </w:rPr>
              <w:t>钢混</w:t>
            </w:r>
          </w:p>
        </w:tc>
        <w:tc>
          <w:tcPr>
            <w:tcW w:w="709" w:type="dxa"/>
            <w:tcBorders>
              <w:top w:val="nil"/>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asciiTheme="minorEastAsia" w:hAnsiTheme="minorEastAsia"/>
                <w:sz w:val="18"/>
                <w:szCs w:val="18"/>
              </w:rPr>
            </w:pPr>
            <w:r>
              <w:rPr>
                <w:rFonts w:asciiTheme="minorEastAsia" w:hAnsiTheme="minorEastAsia"/>
                <w:sz w:val="18"/>
                <w:szCs w:val="18"/>
              </w:rPr>
              <w:t>6</w:t>
            </w:r>
          </w:p>
        </w:tc>
        <w:tc>
          <w:tcPr>
            <w:tcW w:w="709" w:type="dxa"/>
            <w:tcBorders>
              <w:top w:val="nil"/>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asciiTheme="minorEastAsia" w:hAnsiTheme="minorEastAsia"/>
                <w:sz w:val="18"/>
                <w:szCs w:val="18"/>
              </w:rPr>
            </w:pPr>
            <w:r>
              <w:rPr>
                <w:rFonts w:asciiTheme="minorEastAsia" w:hAnsiTheme="minorEastAsia"/>
                <w:sz w:val="18"/>
                <w:szCs w:val="18"/>
              </w:rPr>
              <w:t>4</w:t>
            </w:r>
          </w:p>
        </w:tc>
        <w:tc>
          <w:tcPr>
            <w:tcW w:w="568" w:type="dxa"/>
            <w:tcBorders>
              <w:top w:val="nil"/>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asciiTheme="minorEastAsia" w:hAnsiTheme="minorEastAsia"/>
                <w:sz w:val="18"/>
                <w:szCs w:val="18"/>
              </w:rPr>
            </w:pPr>
            <w:r>
              <w:rPr>
                <w:rFonts w:hint="eastAsia" w:asciiTheme="minorEastAsia" w:hAnsiTheme="minorEastAsia"/>
                <w:sz w:val="18"/>
                <w:szCs w:val="18"/>
              </w:rPr>
              <w:t>西</w:t>
            </w:r>
          </w:p>
        </w:tc>
        <w:tc>
          <w:tcPr>
            <w:tcW w:w="853" w:type="dxa"/>
            <w:tcBorders>
              <w:top w:val="nil"/>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asciiTheme="minorEastAsia" w:hAnsiTheme="minorEastAsia"/>
                <w:sz w:val="18"/>
                <w:szCs w:val="18"/>
              </w:rPr>
            </w:pPr>
            <w:r>
              <w:rPr>
                <w:rFonts w:asciiTheme="minorEastAsia" w:hAnsiTheme="minorEastAsia"/>
                <w:sz w:val="18"/>
                <w:szCs w:val="18"/>
              </w:rPr>
              <w:t>2013</w:t>
            </w:r>
            <w:r>
              <w:rPr>
                <w:rFonts w:hint="eastAsia" w:asciiTheme="minorEastAsia" w:hAnsiTheme="minorEastAsia"/>
                <w:sz w:val="18"/>
                <w:szCs w:val="18"/>
              </w:rPr>
              <w:t>年</w:t>
            </w:r>
          </w:p>
        </w:tc>
        <w:tc>
          <w:tcPr>
            <w:tcW w:w="707" w:type="dxa"/>
            <w:tcBorders>
              <w:top w:val="nil"/>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cs="Times New Roman" w:asciiTheme="minorEastAsia" w:hAnsiTheme="minorEastAsia"/>
                <w:bCs/>
                <w:color w:val="000000"/>
                <w:sz w:val="18"/>
                <w:szCs w:val="18"/>
              </w:rPr>
            </w:pPr>
            <w:r>
              <w:rPr>
                <w:rFonts w:hint="eastAsia" w:cs="Times New Roman" w:asciiTheme="minorEastAsia" w:hAnsiTheme="minorEastAsia"/>
                <w:bCs/>
                <w:color w:val="000000"/>
                <w:sz w:val="18"/>
                <w:szCs w:val="18"/>
              </w:rPr>
              <w:t>较好</w:t>
            </w:r>
          </w:p>
        </w:tc>
        <w:tc>
          <w:tcPr>
            <w:tcW w:w="707" w:type="dxa"/>
            <w:tcBorders>
              <w:top w:val="nil"/>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cs="Times New Roman" w:asciiTheme="minorEastAsia" w:hAnsiTheme="minorEastAsia"/>
                <w:bCs/>
                <w:color w:val="000000"/>
                <w:sz w:val="18"/>
                <w:szCs w:val="18"/>
              </w:rPr>
            </w:pPr>
            <w:r>
              <w:rPr>
                <w:rFonts w:hint="eastAsia" w:cs="Times New Roman" w:asciiTheme="minorEastAsia" w:hAnsiTheme="minorEastAsia"/>
                <w:bCs/>
                <w:color w:val="000000"/>
                <w:sz w:val="18"/>
                <w:szCs w:val="18"/>
              </w:rPr>
              <w:t>办公</w:t>
            </w:r>
          </w:p>
        </w:tc>
        <w:tc>
          <w:tcPr>
            <w:tcW w:w="1991" w:type="dxa"/>
            <w:tcBorders>
              <w:top w:val="nil"/>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cs="Times New Roman" w:asciiTheme="minorEastAsia" w:hAnsiTheme="minorEastAsia"/>
                <w:bCs/>
                <w:color w:val="000000"/>
                <w:sz w:val="18"/>
                <w:szCs w:val="18"/>
              </w:rPr>
            </w:pPr>
            <w:r>
              <w:rPr>
                <w:rFonts w:hint="eastAsia" w:cs="Times New Roman" w:asciiTheme="minorEastAsia" w:hAnsiTheme="minorEastAsia"/>
                <w:bCs/>
                <w:color w:val="000000"/>
                <w:sz w:val="18"/>
                <w:szCs w:val="18"/>
              </w:rPr>
              <w:t>经现场勘察，鉴定对象建筑物墙体及天棚无明显裂缝、受潮现象，建筑物无明显倾斜。</w:t>
            </w:r>
          </w:p>
        </w:tc>
        <w:tc>
          <w:tcPr>
            <w:tcW w:w="570" w:type="dxa"/>
            <w:tcBorders>
              <w:top w:val="nil"/>
              <w:left w:val="nil"/>
              <w:bottom w:val="single" w:color="auto" w:sz="4" w:space="0"/>
              <w:right w:val="single" w:color="auto" w:sz="4" w:space="0"/>
            </w:tcBorders>
            <w:vAlign w:val="center"/>
          </w:tcPr>
          <w:p>
            <w:pPr>
              <w:tabs>
                <w:tab w:val="left" w:pos="720"/>
              </w:tabs>
              <w:spacing w:beforeLines="0" w:afterLines="0" w:line="240" w:lineRule="auto"/>
              <w:ind w:firstLine="0" w:firstLineChars="0"/>
              <w:jc w:val="center"/>
              <w:rPr>
                <w:rFonts w:cs="Times New Roman" w:asciiTheme="minorEastAsia" w:hAnsiTheme="minorEastAsia"/>
                <w:bCs/>
                <w:color w:val="000000"/>
                <w:sz w:val="18"/>
                <w:szCs w:val="18"/>
              </w:rPr>
            </w:pPr>
            <w:r>
              <w:rPr>
                <w:rFonts w:hint="eastAsia" w:cs="Times New Roman" w:asciiTheme="minorEastAsia" w:hAnsiTheme="minorEastAsia"/>
                <w:bCs/>
                <w:color w:val="000000"/>
                <w:sz w:val="18"/>
                <w:szCs w:val="18"/>
              </w:rPr>
              <w:t>无</w:t>
            </w:r>
          </w:p>
        </w:tc>
      </w:tr>
    </w:tbl>
    <w:p>
      <w:pPr>
        <w:spacing w:before="163" w:afterLines="0"/>
        <w:ind w:firstLine="0" w:firstLineChars="0"/>
        <w:jc w:val="center"/>
        <w:rPr>
          <w:rFonts w:ascii="宋体" w:hAnsi="宋体"/>
          <w:snapToGrid w:val="0"/>
          <w:kern w:val="0"/>
          <w:szCs w:val="24"/>
        </w:rPr>
      </w:pPr>
      <w:r>
        <w:rPr>
          <w:rFonts w:ascii="宋体" w:hAnsi="宋体"/>
          <w:snapToGrid w:val="0"/>
          <w:kern w:val="0"/>
          <w:szCs w:val="24"/>
        </w:rPr>
        <w:t>鉴定对象装修状况表</w:t>
      </w:r>
    </w:p>
    <w:tbl>
      <w:tblPr>
        <w:tblStyle w:val="23"/>
        <w:tblW w:w="94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3121"/>
        <w:gridCol w:w="1700"/>
        <w:gridCol w:w="3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74" w:type="dxa"/>
            <w:gridSpan w:val="4"/>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418房</w:t>
            </w:r>
            <w:r>
              <w:rPr>
                <w:rFonts w:ascii="宋体" w:hAnsi="宋体" w:eastAsia="宋体" w:cs="宋体"/>
                <w:snapToGrid w:val="0"/>
                <w:kern w:val="0"/>
                <w:sz w:val="18"/>
                <w:szCs w:val="18"/>
              </w:rPr>
              <w:t>装修</w:t>
            </w:r>
            <w:r>
              <w:rPr>
                <w:rFonts w:hint="eastAsia" w:ascii="宋体" w:hAnsi="宋体" w:eastAsia="宋体" w:cs="宋体"/>
                <w:snapToGrid w:val="0"/>
                <w:kern w:val="0"/>
                <w:sz w:val="18"/>
                <w:szCs w:val="18"/>
              </w:rPr>
              <w:t>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户型</w:t>
            </w:r>
          </w:p>
        </w:tc>
        <w:tc>
          <w:tcPr>
            <w:tcW w:w="3121" w:type="dxa"/>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1房1卫</w:t>
            </w:r>
          </w:p>
        </w:tc>
        <w:tc>
          <w:tcPr>
            <w:tcW w:w="1700"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装修</w:t>
            </w:r>
          </w:p>
        </w:tc>
        <w:tc>
          <w:tcPr>
            <w:tcW w:w="3416" w:type="dxa"/>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普通装修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门</w:t>
            </w:r>
          </w:p>
        </w:tc>
        <w:tc>
          <w:tcPr>
            <w:tcW w:w="3121" w:type="dxa"/>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入户门为防盗门</w:t>
            </w:r>
          </w:p>
        </w:tc>
        <w:tc>
          <w:tcPr>
            <w:tcW w:w="1700"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窗</w:t>
            </w:r>
          </w:p>
        </w:tc>
        <w:tc>
          <w:tcPr>
            <w:tcW w:w="3416" w:type="dxa"/>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 xml:space="preserve">塑钢玻璃窗，防盗网未封闭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房</w:t>
            </w:r>
          </w:p>
        </w:tc>
        <w:tc>
          <w:tcPr>
            <w:tcW w:w="8237" w:type="dxa"/>
            <w:gridSpan w:val="3"/>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地面为60cm×</w:t>
            </w:r>
            <w:r>
              <w:rPr>
                <w:rFonts w:ascii="宋体" w:hAnsi="宋体" w:eastAsia="宋体" w:cs="宋体"/>
                <w:snapToGrid w:val="0"/>
                <w:kern w:val="0"/>
                <w:sz w:val="18"/>
                <w:szCs w:val="18"/>
              </w:rPr>
              <w:t>60cm</w:t>
            </w:r>
            <w:r>
              <w:rPr>
                <w:rFonts w:hint="eastAsia" w:ascii="宋体" w:hAnsi="宋体" w:eastAsia="宋体" w:cs="宋体"/>
                <w:snapToGrid w:val="0"/>
                <w:kern w:val="0"/>
                <w:sz w:val="18"/>
                <w:szCs w:val="18"/>
              </w:rPr>
              <w:t>瓷砖地板；内墙为白色乳胶漆</w:t>
            </w:r>
            <w:r>
              <w:rPr>
                <w:rFonts w:ascii="宋体" w:hAnsi="宋体" w:eastAsia="宋体" w:cs="宋体"/>
                <w:snapToGrid w:val="0"/>
                <w:kern w:val="0"/>
                <w:sz w:val="18"/>
                <w:szCs w:val="18"/>
              </w:rPr>
              <w:t>涂料</w:t>
            </w:r>
            <w:r>
              <w:rPr>
                <w:rFonts w:hint="eastAsia" w:ascii="宋体" w:hAnsi="宋体" w:eastAsia="宋体" w:cs="宋体"/>
                <w:snapToGrid w:val="0"/>
                <w:kern w:val="0"/>
                <w:sz w:val="18"/>
                <w:szCs w:val="18"/>
              </w:rPr>
              <w:t>；天棚为白色乳胶漆</w:t>
            </w:r>
            <w:r>
              <w:rPr>
                <w:rFonts w:ascii="宋体" w:hAnsi="宋体" w:eastAsia="宋体" w:cs="宋体"/>
                <w:snapToGrid w:val="0"/>
                <w:kern w:val="0"/>
                <w:sz w:val="18"/>
                <w:szCs w:val="18"/>
              </w:rPr>
              <w:t>涂料</w:t>
            </w:r>
            <w:r>
              <w:rPr>
                <w:rFonts w:hint="eastAsia" w:ascii="宋体" w:hAnsi="宋体" w:eastAsia="宋体" w:cs="宋体"/>
                <w:snapToGrid w:val="0"/>
                <w:kern w:val="0"/>
                <w:sz w:val="18"/>
                <w:szCs w:val="18"/>
              </w:rPr>
              <w:t>；安装普通</w:t>
            </w:r>
            <w:r>
              <w:rPr>
                <w:rFonts w:ascii="宋体" w:hAnsi="宋体" w:eastAsia="宋体" w:cs="宋体"/>
                <w:snapToGrid w:val="0"/>
                <w:kern w:val="0"/>
                <w:sz w:val="18"/>
                <w:szCs w:val="18"/>
              </w:rPr>
              <w:t>照明灯具</w:t>
            </w:r>
            <w:r>
              <w:rPr>
                <w:rFonts w:hint="eastAsia" w:ascii="宋体" w:hAnsi="宋体" w:eastAsia="宋体" w:cs="宋体"/>
                <w:snapToGrid w:val="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卫生间</w:t>
            </w:r>
          </w:p>
        </w:tc>
        <w:tc>
          <w:tcPr>
            <w:tcW w:w="8237" w:type="dxa"/>
            <w:gridSpan w:val="3"/>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地面为</w:t>
            </w:r>
            <w:r>
              <w:rPr>
                <w:rFonts w:ascii="宋体" w:hAnsi="宋体" w:eastAsia="宋体" w:cs="宋体"/>
                <w:snapToGrid w:val="0"/>
                <w:kern w:val="0"/>
                <w:sz w:val="18"/>
                <w:szCs w:val="18"/>
              </w:rPr>
              <w:t>3</w:t>
            </w:r>
            <w:r>
              <w:rPr>
                <w:rFonts w:hint="eastAsia" w:ascii="宋体" w:hAnsi="宋体" w:eastAsia="宋体" w:cs="宋体"/>
                <w:snapToGrid w:val="0"/>
                <w:kern w:val="0"/>
                <w:sz w:val="18"/>
                <w:szCs w:val="18"/>
              </w:rPr>
              <w:t>0cm×</w:t>
            </w:r>
            <w:r>
              <w:rPr>
                <w:rFonts w:ascii="宋体" w:hAnsi="宋体" w:eastAsia="宋体" w:cs="宋体"/>
                <w:snapToGrid w:val="0"/>
                <w:kern w:val="0"/>
                <w:sz w:val="18"/>
                <w:szCs w:val="18"/>
              </w:rPr>
              <w:t>30cm</w:t>
            </w:r>
            <w:r>
              <w:rPr>
                <w:rFonts w:hint="eastAsia" w:ascii="宋体" w:hAnsi="宋体" w:eastAsia="宋体" w:cs="宋体"/>
                <w:snapToGrid w:val="0"/>
                <w:kern w:val="0"/>
                <w:sz w:val="18"/>
                <w:szCs w:val="18"/>
              </w:rPr>
              <w:t>瓷砖</w:t>
            </w:r>
            <w:r>
              <w:rPr>
                <w:rFonts w:ascii="宋体" w:hAnsi="宋体" w:eastAsia="宋体" w:cs="宋体"/>
                <w:snapToGrid w:val="0"/>
                <w:kern w:val="0"/>
                <w:sz w:val="18"/>
                <w:szCs w:val="18"/>
              </w:rPr>
              <w:t>地板</w:t>
            </w:r>
            <w:r>
              <w:rPr>
                <w:rFonts w:hint="eastAsia" w:ascii="宋体" w:hAnsi="宋体" w:eastAsia="宋体" w:cs="宋体"/>
                <w:snapToGrid w:val="0"/>
                <w:kern w:val="0"/>
                <w:sz w:val="18"/>
                <w:szCs w:val="18"/>
              </w:rPr>
              <w:t>；内墙为1.米</w:t>
            </w:r>
            <w:r>
              <w:rPr>
                <w:rFonts w:ascii="宋体" w:hAnsi="宋体" w:eastAsia="宋体" w:cs="宋体"/>
                <w:snapToGrid w:val="0"/>
                <w:kern w:val="0"/>
                <w:sz w:val="18"/>
                <w:szCs w:val="18"/>
              </w:rPr>
              <w:t>瓷砖墙裙，以上为涂料</w:t>
            </w:r>
            <w:r>
              <w:rPr>
                <w:rFonts w:hint="eastAsia" w:ascii="宋体" w:hAnsi="宋体" w:eastAsia="宋体" w:cs="宋体"/>
                <w:snapToGrid w:val="0"/>
                <w:kern w:val="0"/>
                <w:sz w:val="18"/>
                <w:szCs w:val="18"/>
              </w:rPr>
              <w:t>；天棚为铝扣板吊顶；安装洗手台、坐便器、淋浴喷头。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74" w:type="dxa"/>
            <w:gridSpan w:val="4"/>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420</w:t>
            </w:r>
            <w:r>
              <w:rPr>
                <w:rFonts w:hint="eastAsia" w:ascii="宋体" w:hAnsi="宋体" w:eastAsia="宋体" w:cs="宋体"/>
                <w:snapToGrid w:val="0"/>
                <w:kern w:val="0"/>
                <w:sz w:val="18"/>
                <w:szCs w:val="18"/>
              </w:rPr>
              <w:t>房</w:t>
            </w:r>
            <w:r>
              <w:rPr>
                <w:rFonts w:ascii="宋体" w:hAnsi="宋体" w:eastAsia="宋体" w:cs="宋体"/>
                <w:snapToGrid w:val="0"/>
                <w:kern w:val="0"/>
                <w:sz w:val="18"/>
                <w:szCs w:val="18"/>
              </w:rPr>
              <w:t>装修</w:t>
            </w:r>
            <w:r>
              <w:rPr>
                <w:rFonts w:hint="eastAsia" w:ascii="宋体" w:hAnsi="宋体" w:eastAsia="宋体" w:cs="宋体"/>
                <w:snapToGrid w:val="0"/>
                <w:kern w:val="0"/>
                <w:sz w:val="18"/>
                <w:szCs w:val="18"/>
              </w:rPr>
              <w:t>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户型</w:t>
            </w:r>
          </w:p>
        </w:tc>
        <w:tc>
          <w:tcPr>
            <w:tcW w:w="3121" w:type="dxa"/>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1房1卫</w:t>
            </w:r>
          </w:p>
        </w:tc>
        <w:tc>
          <w:tcPr>
            <w:tcW w:w="1700"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装修</w:t>
            </w:r>
          </w:p>
        </w:tc>
        <w:tc>
          <w:tcPr>
            <w:tcW w:w="3416" w:type="dxa"/>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普通装修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门</w:t>
            </w:r>
          </w:p>
        </w:tc>
        <w:tc>
          <w:tcPr>
            <w:tcW w:w="3121" w:type="dxa"/>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入户门为防盗门</w:t>
            </w:r>
          </w:p>
        </w:tc>
        <w:tc>
          <w:tcPr>
            <w:tcW w:w="1700"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窗</w:t>
            </w:r>
          </w:p>
        </w:tc>
        <w:tc>
          <w:tcPr>
            <w:tcW w:w="3416" w:type="dxa"/>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 xml:space="preserve">塑钢玻璃窗，防盗网未封闭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房</w:t>
            </w:r>
          </w:p>
        </w:tc>
        <w:tc>
          <w:tcPr>
            <w:tcW w:w="8237" w:type="dxa"/>
            <w:gridSpan w:val="3"/>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地面为60cm×</w:t>
            </w:r>
            <w:r>
              <w:rPr>
                <w:rFonts w:ascii="宋体" w:hAnsi="宋体" w:eastAsia="宋体" w:cs="宋体"/>
                <w:snapToGrid w:val="0"/>
                <w:kern w:val="0"/>
                <w:sz w:val="18"/>
                <w:szCs w:val="18"/>
              </w:rPr>
              <w:t>60cm</w:t>
            </w:r>
            <w:r>
              <w:rPr>
                <w:rFonts w:hint="eastAsia" w:ascii="宋体" w:hAnsi="宋体" w:eastAsia="宋体" w:cs="宋体"/>
                <w:snapToGrid w:val="0"/>
                <w:kern w:val="0"/>
                <w:sz w:val="18"/>
                <w:szCs w:val="18"/>
              </w:rPr>
              <w:t>瓷砖地板；内墙为白色乳胶漆</w:t>
            </w:r>
            <w:r>
              <w:rPr>
                <w:rFonts w:ascii="宋体" w:hAnsi="宋体" w:eastAsia="宋体" w:cs="宋体"/>
                <w:snapToGrid w:val="0"/>
                <w:kern w:val="0"/>
                <w:sz w:val="18"/>
                <w:szCs w:val="18"/>
              </w:rPr>
              <w:t>涂料</w:t>
            </w:r>
            <w:r>
              <w:rPr>
                <w:rFonts w:hint="eastAsia" w:ascii="宋体" w:hAnsi="宋体" w:eastAsia="宋体" w:cs="宋体"/>
                <w:snapToGrid w:val="0"/>
                <w:kern w:val="0"/>
                <w:sz w:val="18"/>
                <w:szCs w:val="18"/>
              </w:rPr>
              <w:t>；天棚为白色乳胶漆</w:t>
            </w:r>
            <w:r>
              <w:rPr>
                <w:rFonts w:ascii="宋体" w:hAnsi="宋体" w:eastAsia="宋体" w:cs="宋体"/>
                <w:snapToGrid w:val="0"/>
                <w:kern w:val="0"/>
                <w:sz w:val="18"/>
                <w:szCs w:val="18"/>
              </w:rPr>
              <w:t>涂料</w:t>
            </w:r>
            <w:r>
              <w:rPr>
                <w:rFonts w:hint="eastAsia" w:ascii="宋体" w:hAnsi="宋体" w:eastAsia="宋体" w:cs="宋体"/>
                <w:snapToGrid w:val="0"/>
                <w:kern w:val="0"/>
                <w:sz w:val="18"/>
                <w:szCs w:val="18"/>
              </w:rPr>
              <w:t>；安装普通</w:t>
            </w:r>
            <w:r>
              <w:rPr>
                <w:rFonts w:ascii="宋体" w:hAnsi="宋体" w:eastAsia="宋体" w:cs="宋体"/>
                <w:snapToGrid w:val="0"/>
                <w:kern w:val="0"/>
                <w:sz w:val="18"/>
                <w:szCs w:val="18"/>
              </w:rPr>
              <w:t>照明灯具</w:t>
            </w:r>
            <w:r>
              <w:rPr>
                <w:rFonts w:hint="eastAsia" w:ascii="宋体" w:hAnsi="宋体" w:eastAsia="宋体" w:cs="宋体"/>
                <w:snapToGrid w:val="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卫生间</w:t>
            </w:r>
          </w:p>
        </w:tc>
        <w:tc>
          <w:tcPr>
            <w:tcW w:w="8237" w:type="dxa"/>
            <w:gridSpan w:val="3"/>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地面为</w:t>
            </w:r>
            <w:r>
              <w:rPr>
                <w:rFonts w:ascii="宋体" w:hAnsi="宋体" w:eastAsia="宋体" w:cs="宋体"/>
                <w:snapToGrid w:val="0"/>
                <w:kern w:val="0"/>
                <w:sz w:val="18"/>
                <w:szCs w:val="18"/>
              </w:rPr>
              <w:t>3</w:t>
            </w:r>
            <w:r>
              <w:rPr>
                <w:rFonts w:hint="eastAsia" w:ascii="宋体" w:hAnsi="宋体" w:eastAsia="宋体" w:cs="宋体"/>
                <w:snapToGrid w:val="0"/>
                <w:kern w:val="0"/>
                <w:sz w:val="18"/>
                <w:szCs w:val="18"/>
              </w:rPr>
              <w:t>0cm×</w:t>
            </w:r>
            <w:r>
              <w:rPr>
                <w:rFonts w:ascii="宋体" w:hAnsi="宋体" w:eastAsia="宋体" w:cs="宋体"/>
                <w:snapToGrid w:val="0"/>
                <w:kern w:val="0"/>
                <w:sz w:val="18"/>
                <w:szCs w:val="18"/>
              </w:rPr>
              <w:t>30cm</w:t>
            </w:r>
            <w:r>
              <w:rPr>
                <w:rFonts w:hint="eastAsia" w:ascii="宋体" w:hAnsi="宋体" w:eastAsia="宋体" w:cs="宋体"/>
                <w:snapToGrid w:val="0"/>
                <w:kern w:val="0"/>
                <w:sz w:val="18"/>
                <w:szCs w:val="18"/>
              </w:rPr>
              <w:t>瓷砖</w:t>
            </w:r>
            <w:r>
              <w:rPr>
                <w:rFonts w:ascii="宋体" w:hAnsi="宋体" w:eastAsia="宋体" w:cs="宋体"/>
                <w:snapToGrid w:val="0"/>
                <w:kern w:val="0"/>
                <w:sz w:val="18"/>
                <w:szCs w:val="18"/>
              </w:rPr>
              <w:t>地板</w:t>
            </w:r>
            <w:r>
              <w:rPr>
                <w:rFonts w:hint="eastAsia" w:ascii="宋体" w:hAnsi="宋体" w:eastAsia="宋体" w:cs="宋体"/>
                <w:snapToGrid w:val="0"/>
                <w:kern w:val="0"/>
                <w:sz w:val="18"/>
                <w:szCs w:val="18"/>
              </w:rPr>
              <w:t>；内墙为1.米</w:t>
            </w:r>
            <w:r>
              <w:rPr>
                <w:rFonts w:ascii="宋体" w:hAnsi="宋体" w:eastAsia="宋体" w:cs="宋体"/>
                <w:snapToGrid w:val="0"/>
                <w:kern w:val="0"/>
                <w:sz w:val="18"/>
                <w:szCs w:val="18"/>
              </w:rPr>
              <w:t>瓷砖墙裙，以上为涂料</w:t>
            </w:r>
            <w:r>
              <w:rPr>
                <w:rFonts w:hint="eastAsia" w:ascii="宋体" w:hAnsi="宋体" w:eastAsia="宋体" w:cs="宋体"/>
                <w:snapToGrid w:val="0"/>
                <w:kern w:val="0"/>
                <w:sz w:val="18"/>
                <w:szCs w:val="18"/>
              </w:rPr>
              <w:t>；天棚为铝扣板吊顶；安装洗手台、坐便器、淋浴喷头。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74" w:type="dxa"/>
            <w:gridSpan w:val="4"/>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426</w:t>
            </w:r>
            <w:r>
              <w:rPr>
                <w:rFonts w:hint="eastAsia" w:ascii="宋体" w:hAnsi="宋体" w:eastAsia="宋体" w:cs="宋体"/>
                <w:snapToGrid w:val="0"/>
                <w:kern w:val="0"/>
                <w:sz w:val="18"/>
                <w:szCs w:val="18"/>
              </w:rPr>
              <w:t>房</w:t>
            </w:r>
            <w:r>
              <w:rPr>
                <w:rFonts w:ascii="宋体" w:hAnsi="宋体" w:eastAsia="宋体" w:cs="宋体"/>
                <w:snapToGrid w:val="0"/>
                <w:kern w:val="0"/>
                <w:sz w:val="18"/>
                <w:szCs w:val="18"/>
              </w:rPr>
              <w:t>装修</w:t>
            </w:r>
            <w:r>
              <w:rPr>
                <w:rFonts w:hint="eastAsia" w:ascii="宋体" w:hAnsi="宋体" w:eastAsia="宋体" w:cs="宋体"/>
                <w:snapToGrid w:val="0"/>
                <w:kern w:val="0"/>
                <w:sz w:val="18"/>
                <w:szCs w:val="18"/>
              </w:rPr>
              <w:t>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户型</w:t>
            </w:r>
          </w:p>
        </w:tc>
        <w:tc>
          <w:tcPr>
            <w:tcW w:w="3121" w:type="dxa"/>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目前与428房打通</w:t>
            </w:r>
            <w:r>
              <w:rPr>
                <w:rFonts w:ascii="宋体" w:hAnsi="宋体" w:eastAsia="宋体" w:cs="宋体"/>
                <w:snapToGrid w:val="0"/>
                <w:kern w:val="0"/>
                <w:sz w:val="18"/>
                <w:szCs w:val="18"/>
              </w:rPr>
              <w:t>连</w:t>
            </w:r>
            <w:r>
              <w:rPr>
                <w:rFonts w:hint="eastAsia" w:ascii="宋体" w:hAnsi="宋体" w:eastAsia="宋体" w:cs="宋体"/>
                <w:snapToGrid w:val="0"/>
                <w:kern w:val="0"/>
                <w:sz w:val="18"/>
                <w:szCs w:val="18"/>
              </w:rPr>
              <w:t>成</w:t>
            </w:r>
            <w:r>
              <w:rPr>
                <w:rFonts w:ascii="宋体" w:hAnsi="宋体" w:eastAsia="宋体" w:cs="宋体"/>
                <w:snapToGrid w:val="0"/>
                <w:kern w:val="0"/>
                <w:sz w:val="18"/>
                <w:szCs w:val="18"/>
              </w:rPr>
              <w:t>一个大开间</w:t>
            </w:r>
            <w:r>
              <w:rPr>
                <w:rFonts w:hint="eastAsia" w:ascii="宋体" w:hAnsi="宋体" w:eastAsia="宋体" w:cs="宋体"/>
                <w:snapToGrid w:val="0"/>
                <w:kern w:val="0"/>
                <w:sz w:val="18"/>
                <w:szCs w:val="18"/>
              </w:rPr>
              <w:t xml:space="preserve"> </w:t>
            </w:r>
          </w:p>
        </w:tc>
        <w:tc>
          <w:tcPr>
            <w:tcW w:w="1700"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装修</w:t>
            </w:r>
          </w:p>
        </w:tc>
        <w:tc>
          <w:tcPr>
            <w:tcW w:w="3416" w:type="dxa"/>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普通装修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门</w:t>
            </w:r>
          </w:p>
        </w:tc>
        <w:tc>
          <w:tcPr>
            <w:tcW w:w="3121" w:type="dxa"/>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入户门为防盗门</w:t>
            </w:r>
          </w:p>
        </w:tc>
        <w:tc>
          <w:tcPr>
            <w:tcW w:w="1700"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窗</w:t>
            </w:r>
          </w:p>
        </w:tc>
        <w:tc>
          <w:tcPr>
            <w:tcW w:w="3416" w:type="dxa"/>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塑钢玻璃窗，加</w:t>
            </w:r>
            <w:r>
              <w:rPr>
                <w:rFonts w:ascii="宋体" w:hAnsi="宋体" w:eastAsia="宋体" w:cs="宋体"/>
                <w:snapToGrid w:val="0"/>
                <w:kern w:val="0"/>
                <w:sz w:val="18"/>
                <w:szCs w:val="18"/>
              </w:rPr>
              <w:t>铁艺护栏，</w:t>
            </w:r>
            <w:r>
              <w:rPr>
                <w:rFonts w:hint="eastAsia" w:ascii="宋体" w:hAnsi="宋体" w:eastAsia="宋体" w:cs="宋体"/>
                <w:snapToGrid w:val="0"/>
                <w:kern w:val="0"/>
                <w:sz w:val="18"/>
                <w:szCs w:val="18"/>
              </w:rPr>
              <w:t xml:space="preserve">防盗网未封闭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开间</w:t>
            </w:r>
          </w:p>
        </w:tc>
        <w:tc>
          <w:tcPr>
            <w:tcW w:w="8237" w:type="dxa"/>
            <w:gridSpan w:val="3"/>
            <w:vAlign w:val="center"/>
          </w:tcPr>
          <w:p>
            <w:pPr>
              <w:widowControl/>
              <w:spacing w:beforeLines="0" w:afterLines="0" w:line="240" w:lineRule="auto"/>
              <w:ind w:firstLine="0" w:firstLineChars="0"/>
              <w:rPr>
                <w:rFonts w:ascii="宋体" w:hAnsi="宋体" w:eastAsia="宋体" w:cs="宋体"/>
                <w:snapToGrid w:val="0"/>
                <w:kern w:val="0"/>
                <w:sz w:val="18"/>
                <w:szCs w:val="18"/>
              </w:rPr>
            </w:pPr>
            <w:r>
              <w:rPr>
                <w:rFonts w:hint="eastAsia" w:ascii="宋体" w:hAnsi="宋体" w:eastAsia="宋体" w:cs="宋体"/>
                <w:snapToGrid w:val="0"/>
                <w:kern w:val="0"/>
                <w:sz w:val="18"/>
                <w:szCs w:val="18"/>
              </w:rPr>
              <w:t>地面为60cm×</w:t>
            </w:r>
            <w:r>
              <w:rPr>
                <w:rFonts w:ascii="宋体" w:hAnsi="宋体" w:eastAsia="宋体" w:cs="宋体"/>
                <w:snapToGrid w:val="0"/>
                <w:kern w:val="0"/>
                <w:sz w:val="18"/>
                <w:szCs w:val="18"/>
              </w:rPr>
              <w:t>60cm</w:t>
            </w:r>
            <w:r>
              <w:rPr>
                <w:rFonts w:hint="eastAsia" w:ascii="宋体" w:hAnsi="宋体" w:eastAsia="宋体" w:cs="宋体"/>
                <w:snapToGrid w:val="0"/>
                <w:kern w:val="0"/>
                <w:sz w:val="18"/>
                <w:szCs w:val="18"/>
              </w:rPr>
              <w:t>瓷砖地板；内墙底部贴10cm高</w:t>
            </w:r>
            <w:r>
              <w:rPr>
                <w:rFonts w:ascii="宋体" w:hAnsi="宋体" w:eastAsia="宋体" w:cs="宋体"/>
                <w:snapToGrid w:val="0"/>
                <w:kern w:val="0"/>
                <w:sz w:val="18"/>
                <w:szCs w:val="18"/>
              </w:rPr>
              <w:t>瓷砖踢脚线，以上为</w:t>
            </w:r>
            <w:r>
              <w:rPr>
                <w:rFonts w:hint="eastAsia" w:ascii="宋体" w:hAnsi="宋体" w:eastAsia="宋体" w:cs="宋体"/>
                <w:snapToGrid w:val="0"/>
                <w:kern w:val="0"/>
                <w:sz w:val="18"/>
                <w:szCs w:val="18"/>
              </w:rPr>
              <w:t>白色乳胶漆</w:t>
            </w:r>
            <w:r>
              <w:rPr>
                <w:rFonts w:ascii="宋体" w:hAnsi="宋体" w:eastAsia="宋体" w:cs="宋体"/>
                <w:snapToGrid w:val="0"/>
                <w:kern w:val="0"/>
                <w:sz w:val="18"/>
                <w:szCs w:val="18"/>
              </w:rPr>
              <w:t>涂料</w:t>
            </w:r>
            <w:r>
              <w:rPr>
                <w:rFonts w:hint="eastAsia" w:ascii="宋体" w:hAnsi="宋体" w:eastAsia="宋体" w:cs="宋体"/>
                <w:snapToGrid w:val="0"/>
                <w:kern w:val="0"/>
                <w:sz w:val="18"/>
                <w:szCs w:val="18"/>
              </w:rPr>
              <w:t>；天棚为白色乳胶漆</w:t>
            </w:r>
            <w:r>
              <w:rPr>
                <w:rFonts w:ascii="宋体" w:hAnsi="宋体" w:eastAsia="宋体" w:cs="宋体"/>
                <w:snapToGrid w:val="0"/>
                <w:kern w:val="0"/>
                <w:sz w:val="18"/>
                <w:szCs w:val="18"/>
              </w:rPr>
              <w:t>涂料</w:t>
            </w:r>
            <w:r>
              <w:rPr>
                <w:rFonts w:hint="eastAsia" w:ascii="宋体" w:hAnsi="宋体" w:eastAsia="宋体" w:cs="宋体"/>
                <w:snapToGrid w:val="0"/>
                <w:kern w:val="0"/>
                <w:sz w:val="18"/>
                <w:szCs w:val="18"/>
              </w:rPr>
              <w:t>，</w:t>
            </w:r>
            <w:r>
              <w:rPr>
                <w:rFonts w:ascii="宋体" w:hAnsi="宋体" w:eastAsia="宋体" w:cs="宋体"/>
                <w:snapToGrid w:val="0"/>
                <w:kern w:val="0"/>
                <w:sz w:val="18"/>
                <w:szCs w:val="18"/>
              </w:rPr>
              <w:t>饰</w:t>
            </w:r>
            <w:r>
              <w:rPr>
                <w:rFonts w:hint="eastAsia" w:ascii="宋体" w:hAnsi="宋体" w:eastAsia="宋体" w:cs="宋体"/>
                <w:snapToGrid w:val="0"/>
                <w:kern w:val="0"/>
                <w:sz w:val="18"/>
                <w:szCs w:val="18"/>
              </w:rPr>
              <w:t>有</w:t>
            </w:r>
            <w:r>
              <w:rPr>
                <w:rFonts w:ascii="宋体" w:hAnsi="宋体" w:eastAsia="宋体" w:cs="宋体"/>
                <w:snapToGrid w:val="0"/>
                <w:kern w:val="0"/>
                <w:sz w:val="18"/>
                <w:szCs w:val="18"/>
              </w:rPr>
              <w:t>灯池，小局部为模板吊顶</w:t>
            </w:r>
            <w:r>
              <w:rPr>
                <w:rFonts w:hint="eastAsia" w:ascii="宋体" w:hAnsi="宋体" w:eastAsia="宋体" w:cs="宋体"/>
                <w:snapToGrid w:val="0"/>
                <w:kern w:val="0"/>
                <w:sz w:val="18"/>
                <w:szCs w:val="18"/>
              </w:rPr>
              <w:t>；安装普通</w:t>
            </w:r>
            <w:r>
              <w:rPr>
                <w:rFonts w:ascii="宋体" w:hAnsi="宋体" w:eastAsia="宋体" w:cs="宋体"/>
                <w:snapToGrid w:val="0"/>
                <w:kern w:val="0"/>
                <w:sz w:val="18"/>
                <w:szCs w:val="18"/>
              </w:rPr>
              <w:t>照明灯具</w:t>
            </w:r>
            <w:r>
              <w:rPr>
                <w:rFonts w:hint="eastAsia" w:ascii="宋体" w:hAnsi="宋体" w:eastAsia="宋体" w:cs="宋体"/>
                <w:snapToGrid w:val="0"/>
                <w:kern w:val="0"/>
                <w:sz w:val="18"/>
                <w:szCs w:val="18"/>
              </w:rPr>
              <w:t>。</w:t>
            </w:r>
          </w:p>
        </w:tc>
      </w:tr>
    </w:tbl>
    <w:p>
      <w:pPr>
        <w:spacing w:before="163" w:after="163"/>
        <w:ind w:firstLine="480"/>
        <w:rPr>
          <w:rFonts w:ascii="宋体" w:hAnsi="宋体"/>
          <w:snapToGrid w:val="0"/>
          <w:kern w:val="0"/>
        </w:rPr>
      </w:pPr>
      <w:bookmarkStart w:id="27" w:name="_Toc451160944"/>
      <w:r>
        <w:rPr>
          <w:rFonts w:hint="eastAsia" w:ascii="宋体" w:hAnsi="宋体"/>
          <w:snapToGrid w:val="0"/>
          <w:kern w:val="0"/>
        </w:rPr>
        <w:t>3.权益状况描述</w:t>
      </w:r>
    </w:p>
    <w:p>
      <w:pPr>
        <w:spacing w:before="163" w:after="163"/>
        <w:ind w:firstLine="480"/>
        <w:rPr>
          <w:rFonts w:ascii="宋体" w:hAnsi="宋体"/>
          <w:snapToGrid w:val="0"/>
          <w:kern w:val="0"/>
        </w:rPr>
      </w:pPr>
      <w:r>
        <w:rPr>
          <w:rFonts w:hint="eastAsia" w:asciiTheme="minorEastAsia" w:hAnsiTheme="minorEastAsia"/>
        </w:rPr>
        <w:t>（1）</w:t>
      </w:r>
      <w:r>
        <w:rPr>
          <w:rFonts w:hint="eastAsia" w:ascii="宋体" w:hAnsi="宋体"/>
          <w:snapToGrid w:val="0"/>
          <w:kern w:val="0"/>
        </w:rPr>
        <w:t>土地权益状况</w:t>
      </w:r>
    </w:p>
    <w:p>
      <w:pPr>
        <w:spacing w:before="163" w:after="163"/>
        <w:ind w:firstLine="480"/>
        <w:rPr>
          <w:rFonts w:ascii="宋体" w:hAnsi="宋体"/>
        </w:rPr>
      </w:pPr>
      <w:r>
        <w:rPr>
          <w:rFonts w:hint="eastAsia" w:ascii="宋体" w:hAnsi="宋体"/>
        </w:rPr>
        <w:t>a土地所有权状况</w:t>
      </w:r>
    </w:p>
    <w:p>
      <w:pPr>
        <w:spacing w:before="163" w:after="163"/>
        <w:ind w:firstLine="480"/>
        <w:rPr>
          <w:rFonts w:ascii="宋体" w:hAnsi="宋体"/>
        </w:rPr>
      </w:pPr>
      <w:r>
        <w:rPr>
          <w:rFonts w:hint="eastAsia" w:ascii="宋体" w:hAnsi="宋体"/>
        </w:rPr>
        <w:t>委估土地所有权性质为国家所有。</w:t>
      </w:r>
    </w:p>
    <w:p>
      <w:pPr>
        <w:spacing w:before="163" w:afterLines="0"/>
        <w:ind w:firstLine="480"/>
        <w:rPr>
          <w:rFonts w:ascii="宋体" w:hAnsi="宋体"/>
        </w:rPr>
      </w:pPr>
      <w:r>
        <w:rPr>
          <w:rFonts w:hint="eastAsia" w:asciiTheme="minorEastAsia" w:hAnsiTheme="minorEastAsia"/>
        </w:rPr>
        <w:t>b</w:t>
      </w:r>
      <w:r>
        <w:rPr>
          <w:rFonts w:hint="eastAsia" w:ascii="宋体" w:hAnsi="宋体"/>
        </w:rPr>
        <w:t>土地使用权状况</w:t>
      </w:r>
    </w:p>
    <w:p>
      <w:pPr>
        <w:spacing w:before="163" w:after="163"/>
        <w:ind w:firstLine="480"/>
        <w:rPr>
          <w:szCs w:val="24"/>
        </w:rPr>
      </w:pPr>
      <w:r>
        <w:rPr>
          <w:rFonts w:hint="eastAsia" w:cs="Times New Roman" w:asciiTheme="minorEastAsia" w:hAnsiTheme="minorEastAsia"/>
        </w:rPr>
        <w:t>根据估价委托人提供的文国用（2016）第W0300483号《国有土地使用证》（总证）（复印件），</w:t>
      </w:r>
      <w:r>
        <w:rPr>
          <w:rFonts w:hint="eastAsia" w:ascii="宋体" w:hAnsi="宋体"/>
        </w:rPr>
        <w:t>土地使用权人为文昌瑞锦房地产开发有限公司，截止价值时点，鉴定对象尚未办理土地分摊证</w:t>
      </w:r>
      <w:r>
        <w:rPr>
          <w:rFonts w:hint="eastAsia"/>
          <w:szCs w:val="24"/>
        </w:rPr>
        <w:t>，</w:t>
      </w:r>
      <w:r>
        <w:rPr>
          <w:rFonts w:hint="eastAsia" w:ascii="宋体" w:hAnsi="宋体"/>
        </w:rPr>
        <w:t>根据估价委托人提供的现有估价资料，无法明确鉴定对象分摊土地使用权权属的基本情况</w:t>
      </w:r>
      <w:r>
        <w:rPr>
          <w:rFonts w:hint="eastAsia" w:cs="Times New Roman" w:asciiTheme="minorEastAsia" w:hAnsiTheme="minorEastAsia"/>
        </w:rPr>
        <w:t>。</w:t>
      </w:r>
    </w:p>
    <w:p>
      <w:pPr>
        <w:spacing w:before="163" w:after="163"/>
        <w:ind w:firstLine="480"/>
        <w:rPr>
          <w:rFonts w:ascii="宋体" w:hAnsi="宋体"/>
        </w:rPr>
      </w:pPr>
      <w:r>
        <w:rPr>
          <w:rFonts w:hint="eastAsia" w:asciiTheme="minorEastAsia" w:hAnsiTheme="minorEastAsia"/>
        </w:rPr>
        <w:t>c</w:t>
      </w:r>
      <w:r>
        <w:rPr>
          <w:rFonts w:hint="eastAsia" w:ascii="宋体" w:hAnsi="宋体"/>
          <w:snapToGrid w:val="0"/>
          <w:kern w:val="0"/>
        </w:rPr>
        <w:t>土地使用年期</w:t>
      </w:r>
    </w:p>
    <w:p>
      <w:pPr>
        <w:spacing w:before="163" w:after="163"/>
        <w:ind w:firstLine="480"/>
        <w:rPr>
          <w:rFonts w:asciiTheme="minorEastAsia" w:hAnsiTheme="minorEastAsia"/>
          <w:snapToGrid w:val="0"/>
          <w:spacing w:val="-4"/>
          <w:kern w:val="0"/>
        </w:rPr>
      </w:pPr>
      <w:r>
        <w:rPr>
          <w:rFonts w:hint="eastAsia" w:cs="Times New Roman" w:asciiTheme="minorEastAsia" w:hAnsiTheme="minorEastAsia"/>
        </w:rPr>
        <w:t>根据估价委托人提供的文国用（2016）第W0300483号《国有土地使用证》（总证）（复印件），证载土地使用权终止日期为至</w:t>
      </w:r>
      <w:r>
        <w:rPr>
          <w:rFonts w:cs="Times New Roman" w:asciiTheme="minorEastAsia" w:hAnsiTheme="minorEastAsia"/>
        </w:rPr>
        <w:t>2063</w:t>
      </w:r>
      <w:r>
        <w:rPr>
          <w:rFonts w:hint="eastAsia" w:cs="Times New Roman" w:asciiTheme="minorEastAsia" w:hAnsiTheme="minorEastAsia"/>
        </w:rPr>
        <w:t>年</w:t>
      </w:r>
      <w:r>
        <w:rPr>
          <w:rFonts w:cs="Times New Roman" w:asciiTheme="minorEastAsia" w:hAnsiTheme="minorEastAsia"/>
        </w:rPr>
        <w:t>01</w:t>
      </w:r>
      <w:r>
        <w:rPr>
          <w:rFonts w:hint="eastAsia" w:cs="Times New Roman" w:asciiTheme="minorEastAsia" w:hAnsiTheme="minorEastAsia"/>
        </w:rPr>
        <w:t>月</w:t>
      </w:r>
      <w:r>
        <w:rPr>
          <w:rFonts w:cs="Times New Roman" w:asciiTheme="minorEastAsia" w:hAnsiTheme="minorEastAsia"/>
        </w:rPr>
        <w:t>27</w:t>
      </w:r>
      <w:r>
        <w:rPr>
          <w:rFonts w:hint="eastAsia" w:cs="Times New Roman" w:asciiTheme="minorEastAsia" w:hAnsiTheme="minorEastAsia"/>
        </w:rPr>
        <w:t>日止，至价值时点土地使用权剩余使用年限为</w:t>
      </w:r>
      <w:r>
        <w:rPr>
          <w:rFonts w:cs="Times New Roman" w:asciiTheme="minorEastAsia" w:hAnsiTheme="minorEastAsia"/>
        </w:rPr>
        <w:t>44.</w:t>
      </w:r>
      <w:r>
        <w:rPr>
          <w:rFonts w:hint="eastAsia" w:cs="Times New Roman" w:asciiTheme="minorEastAsia" w:hAnsiTheme="minorEastAsia"/>
        </w:rPr>
        <w:t>48年</w:t>
      </w:r>
      <w:r>
        <w:rPr>
          <w:rFonts w:hint="eastAsia" w:asciiTheme="minorEastAsia" w:hAnsiTheme="minorEastAsia"/>
          <w:snapToGrid w:val="0"/>
          <w:spacing w:val="-4"/>
          <w:kern w:val="0"/>
        </w:rPr>
        <w:t>。</w:t>
      </w:r>
    </w:p>
    <w:p>
      <w:pPr>
        <w:spacing w:before="163" w:after="163"/>
        <w:ind w:firstLine="480"/>
        <w:rPr>
          <w:rFonts w:asciiTheme="minorEastAsia" w:hAnsiTheme="minorEastAsia"/>
          <w:snapToGrid w:val="0"/>
          <w:kern w:val="0"/>
        </w:rPr>
      </w:pPr>
      <w:r>
        <w:rPr>
          <w:rFonts w:hint="eastAsia" w:asciiTheme="minorEastAsia" w:hAnsiTheme="minorEastAsia"/>
          <w:snapToGrid w:val="0"/>
          <w:kern w:val="0"/>
        </w:rPr>
        <w:t>d土地他项权状况</w:t>
      </w:r>
    </w:p>
    <w:p>
      <w:pPr>
        <w:spacing w:before="163" w:after="163"/>
        <w:ind w:firstLine="480"/>
        <w:rPr>
          <w:rFonts w:asciiTheme="minorEastAsia" w:hAnsiTheme="minorEastAsia"/>
          <w:snapToGrid w:val="0"/>
          <w:spacing w:val="-4"/>
          <w:kern w:val="0"/>
        </w:rPr>
      </w:pPr>
      <w:r>
        <w:rPr>
          <w:rFonts w:hint="eastAsia" w:ascii="宋体" w:hAnsi="宋体"/>
        </w:rPr>
        <w:t>根据估价委托人提供的</w:t>
      </w:r>
      <w:r>
        <w:rPr>
          <w:rFonts w:hint="eastAsia" w:asciiTheme="minorEastAsia" w:hAnsiTheme="minorEastAsia"/>
        </w:rPr>
        <w:t>现有估价</w:t>
      </w:r>
      <w:r>
        <w:rPr>
          <w:rFonts w:asciiTheme="minorEastAsia" w:hAnsiTheme="minorEastAsia"/>
        </w:rPr>
        <w:t>资料</w:t>
      </w:r>
      <w:r>
        <w:rPr>
          <w:rFonts w:hint="eastAsia" w:ascii="宋体" w:hAnsi="宋体"/>
          <w:snapToGrid w:val="0"/>
          <w:color w:val="000000" w:themeColor="text1"/>
          <w:kern w:val="0"/>
        </w:rPr>
        <w:t>，截止价值时点，鉴定对象所属宗地未设立整体抵押权，除此之外</w:t>
      </w:r>
      <w:r>
        <w:rPr>
          <w:rFonts w:hint="eastAsia" w:ascii="宋体" w:hAnsi="宋体"/>
          <w:snapToGrid w:val="0"/>
          <w:kern w:val="0"/>
        </w:rPr>
        <w:t>未发现鉴定对象所使用土地</w:t>
      </w:r>
      <w:r>
        <w:rPr>
          <w:rFonts w:hint="eastAsia" w:ascii="宋体" w:hAnsi="宋体"/>
        </w:rPr>
        <w:t>存在担保权等他项权利</w:t>
      </w:r>
      <w:r>
        <w:rPr>
          <w:rFonts w:hint="eastAsia" w:ascii="宋体" w:hAnsi="宋体"/>
          <w:snapToGrid w:val="0"/>
          <w:kern w:val="0"/>
        </w:rPr>
        <w:t>，但根</w:t>
      </w:r>
      <w:r>
        <w:rPr>
          <w:rFonts w:hint="eastAsia" w:asciiTheme="minorEastAsia" w:hAnsiTheme="minorEastAsia"/>
          <w:snapToGrid w:val="0"/>
          <w:spacing w:val="-4"/>
          <w:kern w:val="0"/>
        </w:rPr>
        <w:t>据所提供的《房源核验单》所载明内容，鉴定对象房屋</w:t>
      </w:r>
      <w:r>
        <w:rPr>
          <w:rFonts w:hint="eastAsia" w:asciiTheme="minorEastAsia" w:hAnsiTheme="minorEastAsia"/>
        </w:rPr>
        <w:t>420房、426房</w:t>
      </w:r>
      <w:r>
        <w:rPr>
          <w:rFonts w:hint="eastAsia" w:asciiTheme="minorEastAsia" w:hAnsiTheme="minorEastAsia"/>
          <w:snapToGrid w:val="0"/>
          <w:spacing w:val="-4"/>
          <w:kern w:val="0"/>
        </w:rPr>
        <w:t>已设定抵押，根据《中华人民共和国物权法》等相关法律规定：以建筑物抵押的，该建筑物占用范围内的建设用地使用权一并抵押。以建设用地使用权抵押的，该土地上的建筑物一并抵押。抵押人未依照前款规定一并抵押的，未抵押的财产视为一并抵押。</w:t>
      </w:r>
    </w:p>
    <w:p>
      <w:pPr>
        <w:spacing w:before="163" w:after="163"/>
        <w:ind w:firstLine="480"/>
        <w:rPr>
          <w:rFonts w:ascii="宋体" w:hAnsi="宋体"/>
          <w:snapToGrid w:val="0"/>
          <w:kern w:val="0"/>
        </w:rPr>
      </w:pPr>
      <w:r>
        <w:rPr>
          <w:rFonts w:hint="eastAsia" w:asciiTheme="minorEastAsia" w:hAnsiTheme="minorEastAsia"/>
          <w:snapToGrid w:val="0"/>
          <w:kern w:val="0"/>
        </w:rPr>
        <w:t>e</w:t>
      </w:r>
      <w:r>
        <w:rPr>
          <w:rFonts w:hint="eastAsia" w:ascii="宋体" w:hAnsi="宋体"/>
          <w:snapToGrid w:val="0"/>
          <w:kern w:val="0"/>
        </w:rPr>
        <w:t>土地使用管制</w:t>
      </w:r>
    </w:p>
    <w:p>
      <w:pPr>
        <w:spacing w:before="163" w:after="163"/>
        <w:ind w:firstLine="480"/>
        <w:rPr>
          <w:rFonts w:asciiTheme="minorEastAsia" w:hAnsiTheme="minorEastAsia"/>
          <w:snapToGrid w:val="0"/>
          <w:kern w:val="0"/>
        </w:rPr>
      </w:pPr>
      <w:r>
        <w:rPr>
          <w:rFonts w:hint="eastAsia" w:ascii="宋体" w:hAnsi="宋体"/>
          <w:snapToGrid w:val="0"/>
          <w:kern w:val="0"/>
        </w:rPr>
        <w:t>本次评估未收集到相关项目的用地规划许可证、建设工程规划许可证、施工许可证等资料，因此本报告对土地使用管制的基本情况无法进行详细描述</w:t>
      </w:r>
      <w:r>
        <w:rPr>
          <w:rFonts w:hint="eastAsia" w:cs="Times New Roman" w:asciiTheme="minorEastAsia" w:hAnsiTheme="minorEastAsia"/>
          <w:snapToGrid w:val="0"/>
          <w:kern w:val="0"/>
        </w:rPr>
        <w:t>。</w:t>
      </w:r>
    </w:p>
    <w:p>
      <w:pPr>
        <w:spacing w:before="163" w:after="163"/>
        <w:ind w:firstLine="480"/>
        <w:rPr>
          <w:rFonts w:ascii="宋体" w:hAnsi="宋体"/>
          <w:snapToGrid w:val="0"/>
          <w:kern w:val="0"/>
        </w:rPr>
      </w:pPr>
      <w:r>
        <w:rPr>
          <w:rFonts w:hint="eastAsia" w:asciiTheme="minorEastAsia" w:hAnsiTheme="minorEastAsia"/>
          <w:snapToGrid w:val="0"/>
          <w:kern w:val="0"/>
        </w:rPr>
        <w:t>f</w:t>
      </w:r>
      <w:r>
        <w:rPr>
          <w:rFonts w:hint="eastAsia" w:ascii="宋体" w:hAnsi="宋体"/>
          <w:snapToGrid w:val="0"/>
          <w:kern w:val="0"/>
        </w:rPr>
        <w:t>其他特殊情况:未调查到。</w:t>
      </w:r>
    </w:p>
    <w:p>
      <w:pPr>
        <w:spacing w:before="163" w:after="163"/>
        <w:ind w:firstLine="480"/>
        <w:rPr>
          <w:rFonts w:ascii="宋体" w:hAnsi="宋体"/>
          <w:snapToGrid w:val="0"/>
          <w:kern w:val="0"/>
        </w:rPr>
      </w:pPr>
      <w:r>
        <w:rPr>
          <w:rFonts w:hint="eastAsia" w:asciiTheme="minorEastAsia" w:hAnsiTheme="minorEastAsia"/>
        </w:rPr>
        <w:t>②</w:t>
      </w:r>
      <w:r>
        <w:rPr>
          <w:rFonts w:hint="eastAsia" w:ascii="宋体" w:hAnsi="宋体"/>
          <w:snapToGrid w:val="0"/>
          <w:kern w:val="0"/>
        </w:rPr>
        <w:t>房屋权益状况分析</w:t>
      </w:r>
    </w:p>
    <w:p>
      <w:pPr>
        <w:spacing w:before="163" w:after="163"/>
        <w:ind w:firstLine="480"/>
        <w:rPr>
          <w:rFonts w:ascii="宋体" w:hAnsi="宋体"/>
        </w:rPr>
      </w:pPr>
      <w:r>
        <w:rPr>
          <w:rFonts w:hint="eastAsia" w:asciiTheme="minorEastAsia" w:hAnsiTheme="minorEastAsia"/>
        </w:rPr>
        <w:t>a</w:t>
      </w:r>
      <w:r>
        <w:rPr>
          <w:rFonts w:hint="eastAsia" w:ascii="宋体" w:hAnsi="宋体"/>
        </w:rPr>
        <w:t>房屋所有权状况</w:t>
      </w:r>
    </w:p>
    <w:p>
      <w:pPr>
        <w:spacing w:before="163" w:after="163"/>
        <w:ind w:firstLine="480"/>
        <w:rPr>
          <w:rFonts w:ascii="宋体" w:hAnsi="宋体"/>
        </w:rPr>
      </w:pPr>
      <w:r>
        <w:rPr>
          <w:rFonts w:hint="eastAsia" w:ascii="宋体" w:hAnsi="宋体"/>
          <w:snapToGrid w:val="0"/>
          <w:kern w:val="0"/>
        </w:rPr>
        <w:t>估价委托人提供</w:t>
      </w:r>
      <w:r>
        <w:rPr>
          <w:rFonts w:ascii="宋体" w:hAnsi="宋体"/>
          <w:snapToGrid w:val="0"/>
          <w:kern w:val="0"/>
        </w:rPr>
        <w:t>的</w:t>
      </w:r>
      <w:r>
        <w:rPr>
          <w:rFonts w:hint="eastAsia" w:ascii="宋体" w:hAnsi="宋体"/>
          <w:snapToGrid w:val="0"/>
          <w:kern w:val="0"/>
        </w:rPr>
        <w:t>《文昌市商品房买卖合同备案表》（</w:t>
      </w:r>
      <w:r>
        <w:rPr>
          <w:rFonts w:hint="eastAsia" w:asciiTheme="minorEastAsia" w:hAnsiTheme="minorEastAsia"/>
          <w:szCs w:val="24"/>
        </w:rPr>
        <w:t>复印件）载明</w:t>
      </w:r>
      <w:r>
        <w:rPr>
          <w:rFonts w:hint="eastAsia" w:ascii="宋体" w:hAnsi="宋体"/>
        </w:rPr>
        <w:t>，房屋买受人均</w:t>
      </w:r>
      <w:r>
        <w:rPr>
          <w:rFonts w:ascii="宋体" w:hAnsi="宋体"/>
        </w:rPr>
        <w:t>为谢衡</w:t>
      </w:r>
      <w:r>
        <w:rPr>
          <w:rFonts w:hint="eastAsia" w:ascii="宋体" w:hAnsi="宋体"/>
        </w:rPr>
        <w:t>。</w:t>
      </w:r>
    </w:p>
    <w:p>
      <w:pPr>
        <w:spacing w:before="163" w:after="163"/>
        <w:ind w:firstLine="480"/>
        <w:rPr>
          <w:rFonts w:ascii="宋体" w:hAnsi="宋体"/>
        </w:rPr>
      </w:pPr>
      <w:r>
        <w:rPr>
          <w:rFonts w:hint="eastAsia" w:ascii="宋体" w:hAnsi="宋体"/>
        </w:rPr>
        <w:t>b使用现状(出租或占用)</w:t>
      </w:r>
    </w:p>
    <w:p>
      <w:pPr>
        <w:spacing w:before="163" w:after="163"/>
        <w:ind w:firstLine="480"/>
      </w:pPr>
      <w:r>
        <w:rPr>
          <w:rFonts w:hint="eastAsia" w:ascii="宋体" w:hAnsi="宋体"/>
        </w:rPr>
        <w:t>截止价值时点，鉴定对象</w:t>
      </w:r>
      <w:r>
        <w:rPr>
          <w:rFonts w:ascii="宋体" w:hAnsi="宋体"/>
        </w:rPr>
        <w:t>房屋</w:t>
      </w:r>
      <w:r>
        <w:rPr>
          <w:rFonts w:hint="eastAsia" w:ascii="宋体" w:hAnsi="宋体"/>
        </w:rPr>
        <w:t>均</w:t>
      </w:r>
      <w:r>
        <w:rPr>
          <w:rFonts w:ascii="宋体" w:hAnsi="宋体"/>
        </w:rPr>
        <w:t>空置</w:t>
      </w:r>
      <w:r>
        <w:rPr>
          <w:rFonts w:hint="eastAsia" w:ascii="宋体" w:hAnsi="宋体"/>
        </w:rPr>
        <w:t>，420房</w:t>
      </w:r>
      <w:r>
        <w:rPr>
          <w:rFonts w:ascii="宋体" w:hAnsi="宋体"/>
        </w:rPr>
        <w:t>、</w:t>
      </w:r>
      <w:r>
        <w:rPr>
          <w:rFonts w:hint="eastAsia" w:ascii="宋体" w:hAnsi="宋体"/>
        </w:rPr>
        <w:t>426房现已被海南省文昌市人民法院查封</w:t>
      </w:r>
      <w:r>
        <w:rPr>
          <w:rFonts w:hint="eastAsia"/>
        </w:rPr>
        <w:t>。</w:t>
      </w:r>
    </w:p>
    <w:p>
      <w:pPr>
        <w:spacing w:before="163" w:after="163"/>
        <w:ind w:firstLine="480"/>
        <w:rPr>
          <w:rFonts w:ascii="宋体" w:hAnsi="宋体"/>
        </w:rPr>
      </w:pPr>
      <w:r>
        <w:rPr>
          <w:rFonts w:hint="eastAsia" w:asciiTheme="minorEastAsia" w:hAnsiTheme="minorEastAsia"/>
        </w:rPr>
        <w:t>c</w:t>
      </w:r>
      <w:r>
        <w:rPr>
          <w:rFonts w:hint="eastAsia" w:ascii="宋体" w:hAnsi="宋体"/>
        </w:rPr>
        <w:t>房屋他项权状况</w:t>
      </w:r>
    </w:p>
    <w:p>
      <w:pPr>
        <w:spacing w:before="163" w:after="163"/>
        <w:ind w:firstLine="480"/>
        <w:rPr>
          <w:rFonts w:ascii="宋体" w:hAnsi="宋体"/>
        </w:rPr>
      </w:pPr>
      <w:r>
        <w:rPr>
          <w:rFonts w:hint="eastAsia" w:ascii="宋体" w:hAnsi="宋体"/>
          <w:snapToGrid w:val="0"/>
          <w:kern w:val="0"/>
        </w:rPr>
        <w:t>根</w:t>
      </w:r>
      <w:r>
        <w:rPr>
          <w:rFonts w:hint="eastAsia" w:ascii="宋体" w:hAnsi="宋体"/>
        </w:rPr>
        <w:t>根据估价委托人提供的</w:t>
      </w:r>
      <w:r>
        <w:rPr>
          <w:rFonts w:hint="eastAsia" w:asciiTheme="minorEastAsia" w:hAnsiTheme="minorEastAsia"/>
        </w:rPr>
        <w:t>现有估价</w:t>
      </w:r>
      <w:r>
        <w:rPr>
          <w:rFonts w:asciiTheme="minorEastAsia" w:hAnsiTheme="minorEastAsia"/>
        </w:rPr>
        <w:t>资料</w:t>
      </w:r>
      <w:r>
        <w:rPr>
          <w:rFonts w:hint="eastAsia" w:asciiTheme="minorEastAsia" w:hAnsiTheme="minorEastAsia"/>
        </w:rPr>
        <w:t>及</w:t>
      </w:r>
      <w:r>
        <w:rPr>
          <w:rFonts w:asciiTheme="minorEastAsia" w:hAnsiTheme="minorEastAsia"/>
        </w:rPr>
        <w:t>注册房地产估价师的调查</w:t>
      </w:r>
      <w:r>
        <w:rPr>
          <w:rFonts w:hint="eastAsia" w:ascii="宋体" w:hAnsi="宋体"/>
          <w:snapToGrid w:val="0"/>
          <w:kern w:val="0"/>
        </w:rPr>
        <w:t>，截止价值时点，鉴定对象设定抵押权，除此之外未发现鉴定对象存在担保权等他项权利，注册房地产估价师亦未调查到相关的情况。截止价值时点，鉴定对象420房、426房已被海南省文昌市人民法院查封。</w:t>
      </w:r>
    </w:p>
    <w:p>
      <w:pPr>
        <w:spacing w:before="163" w:after="163"/>
        <w:ind w:firstLine="480"/>
        <w:rPr>
          <w:rFonts w:ascii="宋体" w:hAnsi="宋体"/>
        </w:rPr>
      </w:pPr>
      <w:r>
        <w:rPr>
          <w:rFonts w:hint="eastAsia" w:asciiTheme="minorEastAsia" w:hAnsiTheme="minorEastAsia"/>
        </w:rPr>
        <w:t>d</w:t>
      </w:r>
      <w:r>
        <w:rPr>
          <w:rFonts w:hint="eastAsia" w:ascii="宋体" w:hAnsi="宋体"/>
        </w:rPr>
        <w:t>其他特殊情况：未调查到。</w:t>
      </w:r>
    </w:p>
    <w:p>
      <w:pPr>
        <w:spacing w:before="163" w:after="163"/>
        <w:ind w:firstLine="480"/>
        <w:rPr>
          <w:rFonts w:asciiTheme="minorEastAsia" w:hAnsiTheme="minorEastAsia"/>
        </w:rPr>
      </w:pPr>
      <w:r>
        <w:rPr>
          <w:rFonts w:hint="eastAsia" w:asciiTheme="minorEastAsia" w:hAnsiTheme="minorEastAsia"/>
          <w:snapToGrid w:val="0"/>
          <w:kern w:val="0"/>
        </w:rPr>
        <w:t>4.小区状况</w:t>
      </w:r>
    </w:p>
    <w:p>
      <w:pPr>
        <w:spacing w:before="163" w:after="163"/>
        <w:ind w:firstLine="480"/>
        <w:rPr>
          <w:rFonts w:asciiTheme="minorEastAsia" w:hAnsiTheme="minorEastAsia"/>
          <w:color w:val="000000"/>
        </w:rPr>
      </w:pPr>
      <w:r>
        <w:rPr>
          <w:rFonts w:hint="eastAsia" w:asciiTheme="minorEastAsia" w:hAnsiTheme="minorEastAsia"/>
          <w:color w:val="000000"/>
        </w:rPr>
        <w:t>鉴定对象所处小区规模较小，由</w:t>
      </w:r>
      <w:r>
        <w:rPr>
          <w:rFonts w:asciiTheme="minorEastAsia" w:hAnsiTheme="minorEastAsia"/>
          <w:color w:val="000000"/>
        </w:rPr>
        <w:t>1</w:t>
      </w:r>
      <w:r>
        <w:rPr>
          <w:rFonts w:hint="eastAsia" w:asciiTheme="minorEastAsia" w:hAnsiTheme="minorEastAsia"/>
          <w:color w:val="000000"/>
        </w:rPr>
        <w:t>栋</w:t>
      </w:r>
      <w:r>
        <w:rPr>
          <w:rFonts w:asciiTheme="minorEastAsia" w:hAnsiTheme="minorEastAsia"/>
          <w:color w:val="000000"/>
        </w:rPr>
        <w:t>6</w:t>
      </w:r>
      <w:r>
        <w:rPr>
          <w:rFonts w:hint="eastAsia" w:asciiTheme="minorEastAsia" w:hAnsiTheme="minorEastAsia"/>
          <w:color w:val="000000"/>
        </w:rPr>
        <w:t>层高办公</w:t>
      </w:r>
      <w:r>
        <w:rPr>
          <w:rFonts w:asciiTheme="minorEastAsia" w:hAnsiTheme="minorEastAsia"/>
          <w:color w:val="000000"/>
        </w:rPr>
        <w:t>楼及</w:t>
      </w:r>
      <w:r>
        <w:rPr>
          <w:rFonts w:hint="eastAsia" w:asciiTheme="minorEastAsia" w:hAnsiTheme="minorEastAsia"/>
          <w:color w:val="000000"/>
        </w:rPr>
        <w:t>2栋</w:t>
      </w:r>
      <w:r>
        <w:rPr>
          <w:rFonts w:asciiTheme="minorEastAsia" w:hAnsiTheme="minorEastAsia"/>
          <w:color w:val="000000"/>
        </w:rPr>
        <w:t>住宅楼组成</w:t>
      </w:r>
      <w:r>
        <w:rPr>
          <w:rFonts w:hint="eastAsia" w:asciiTheme="minorEastAsia" w:hAnsiTheme="minorEastAsia"/>
          <w:color w:val="000000"/>
        </w:rPr>
        <w:t>，规划布局合理，建筑物成新度较高。小区空地已硬化或绿化处理，绿化环境一般，配有专门的地上及地下停车位。小区自来水、生活用电、程控电话、有线电视、管道煤气等配套完善，已接入到户，利用方便，排水系统已连接市政管网，生活便利。小区</w:t>
      </w:r>
      <w:r>
        <w:rPr>
          <w:rFonts w:asciiTheme="minorEastAsia" w:hAnsiTheme="minorEastAsia"/>
          <w:color w:val="000000"/>
        </w:rPr>
        <w:t>由专门</w:t>
      </w:r>
      <w:r>
        <w:rPr>
          <w:rFonts w:hint="eastAsia" w:asciiTheme="minorEastAsia" w:hAnsiTheme="minorEastAsia"/>
          <w:color w:val="000000"/>
        </w:rPr>
        <w:t>的</w:t>
      </w:r>
      <w:r>
        <w:rPr>
          <w:rFonts w:asciiTheme="minorEastAsia" w:hAnsiTheme="minorEastAsia"/>
          <w:color w:val="000000"/>
        </w:rPr>
        <w:t>物业管理公司统一管理，安排有门卫</w:t>
      </w:r>
      <w:r>
        <w:rPr>
          <w:rFonts w:hint="eastAsia" w:asciiTheme="minorEastAsia" w:hAnsiTheme="minorEastAsia"/>
          <w:color w:val="000000"/>
        </w:rPr>
        <w:t>看守</w:t>
      </w:r>
      <w:r>
        <w:rPr>
          <w:rFonts w:asciiTheme="minorEastAsia" w:hAnsiTheme="minorEastAsia"/>
          <w:color w:val="000000"/>
        </w:rPr>
        <w:t>，</w:t>
      </w:r>
      <w:r>
        <w:rPr>
          <w:rFonts w:hint="eastAsia" w:asciiTheme="minorEastAsia" w:hAnsiTheme="minorEastAsia"/>
          <w:color w:val="000000"/>
        </w:rPr>
        <w:t>小区内主要以常住人口为主，人文环境一般。</w:t>
      </w:r>
    </w:p>
    <w:p>
      <w:pPr>
        <w:pStyle w:val="3"/>
        <w:spacing w:before="163" w:after="163"/>
        <w:ind w:firstLine="281"/>
        <w:rPr>
          <w:szCs w:val="28"/>
        </w:rPr>
      </w:pPr>
      <w:bookmarkStart w:id="28" w:name="_Toc484528295"/>
      <w:r>
        <w:rPr>
          <w:rFonts w:hint="eastAsia"/>
          <w:szCs w:val="28"/>
        </w:rPr>
        <w:t>价值</w:t>
      </w:r>
      <w:r>
        <w:rPr>
          <w:szCs w:val="28"/>
        </w:rPr>
        <w:t>时点</w:t>
      </w:r>
      <w:bookmarkEnd w:id="27"/>
      <w:bookmarkEnd w:id="28"/>
    </w:p>
    <w:p>
      <w:pPr>
        <w:spacing w:before="163" w:after="163"/>
        <w:ind w:firstLine="480"/>
        <w:rPr>
          <w:rFonts w:asciiTheme="minorEastAsia" w:hAnsiTheme="minorEastAsia"/>
        </w:rPr>
      </w:pPr>
      <w:r>
        <w:rPr>
          <w:rFonts w:hint="eastAsia" w:asciiTheme="minorEastAsia" w:hAnsiTheme="minorEastAsia"/>
        </w:rPr>
        <w:t>2018年12月25日</w:t>
      </w:r>
    </w:p>
    <w:p>
      <w:pPr>
        <w:spacing w:before="163" w:after="163"/>
        <w:ind w:firstLine="480"/>
        <w:rPr>
          <w:rFonts w:asciiTheme="minorEastAsia" w:hAnsiTheme="minorEastAsia"/>
        </w:rPr>
      </w:pPr>
      <w:r>
        <w:rPr>
          <w:rFonts w:hint="eastAsia" w:asciiTheme="minorEastAsia" w:hAnsiTheme="minorEastAsia"/>
        </w:rPr>
        <w:t>价值时点确定的理由：以现场查勘日期为依据，本次现场查勘日期为2018年12月25日。</w:t>
      </w:r>
    </w:p>
    <w:p>
      <w:pPr>
        <w:pStyle w:val="3"/>
        <w:spacing w:before="163" w:after="163"/>
        <w:ind w:firstLine="281"/>
        <w:rPr>
          <w:szCs w:val="28"/>
        </w:rPr>
      </w:pPr>
      <w:bookmarkStart w:id="29" w:name="_Toc484528296"/>
      <w:bookmarkStart w:id="30" w:name="_Toc451160945"/>
      <w:r>
        <w:rPr>
          <w:szCs w:val="28"/>
        </w:rPr>
        <w:t>价值类型</w:t>
      </w:r>
      <w:bookmarkEnd w:id="29"/>
      <w:bookmarkEnd w:id="30"/>
    </w:p>
    <w:p>
      <w:pPr>
        <w:spacing w:before="163" w:after="163"/>
        <w:ind w:firstLine="480"/>
      </w:pPr>
      <w:r>
        <w:rPr>
          <w:rFonts w:hint="eastAsia"/>
        </w:rPr>
        <w:t>本报告评估价格类型为房地产市场价值。</w:t>
      </w:r>
      <w:r>
        <w:rPr>
          <w:rFonts w:hint="eastAsia" w:ascii="宋体" w:hAnsi="宋体"/>
          <w:snapToGrid w:val="0"/>
          <w:kern w:val="0"/>
        </w:rPr>
        <w:t>市场价值是鉴定对象经过适当营销后，由熟悉情况、谨慎行事且不受强迫的交易双方，以公平交易方式在价值时点自愿进行交易的金额，</w:t>
      </w:r>
      <w:r>
        <w:rPr>
          <w:rFonts w:hint="eastAsia" w:ascii="宋体" w:hAnsi="宋体"/>
        </w:rPr>
        <w:t>是在满足全部假设和限制条件下鉴定对象在价值时点现有状况下的房地产市场价值。</w:t>
      </w:r>
    </w:p>
    <w:p>
      <w:pPr>
        <w:pStyle w:val="3"/>
        <w:spacing w:before="163" w:after="163"/>
        <w:ind w:firstLine="281"/>
        <w:rPr>
          <w:szCs w:val="28"/>
        </w:rPr>
      </w:pPr>
      <w:bookmarkStart w:id="31" w:name="_Toc451160946"/>
      <w:bookmarkStart w:id="32" w:name="_Toc484528297"/>
      <w:r>
        <w:rPr>
          <w:szCs w:val="28"/>
        </w:rPr>
        <w:t>估价原则</w:t>
      </w:r>
      <w:bookmarkEnd w:id="31"/>
      <w:bookmarkEnd w:id="32"/>
    </w:p>
    <w:p>
      <w:pPr>
        <w:spacing w:before="163" w:after="163"/>
        <w:ind w:firstLine="480"/>
        <w:rPr>
          <w:rFonts w:asciiTheme="minorEastAsia" w:hAnsiTheme="minorEastAsia"/>
        </w:rPr>
      </w:pPr>
      <w:r>
        <w:rPr>
          <w:rFonts w:asciiTheme="minorEastAsia" w:hAnsiTheme="minorEastAsia"/>
        </w:rPr>
        <w:t>本估价报告遵循的原则为</w:t>
      </w:r>
      <w:r>
        <w:rPr>
          <w:rFonts w:hint="eastAsia" w:asciiTheme="minorEastAsia" w:hAnsiTheme="minorEastAsia"/>
        </w:rPr>
        <w:t>：</w:t>
      </w:r>
    </w:p>
    <w:p>
      <w:pPr>
        <w:spacing w:before="163" w:after="163"/>
        <w:ind w:firstLine="480"/>
        <w:rPr>
          <w:rFonts w:asciiTheme="minorEastAsia" w:hAnsiTheme="minorEastAsia"/>
        </w:rPr>
      </w:pPr>
      <w:r>
        <w:rPr>
          <w:rFonts w:hint="eastAsia" w:asciiTheme="minorEastAsia" w:hAnsiTheme="minorEastAsia"/>
        </w:rPr>
        <w:t>1.独立、客观、公正原则：要求注册房地产估价师站在中立的立场上，实事求是、公平正直地评估出对各方估价利害关系人均是公平合理的价值或价格的原则。</w:t>
      </w:r>
    </w:p>
    <w:p>
      <w:pPr>
        <w:spacing w:before="163" w:after="163"/>
        <w:ind w:firstLine="480"/>
        <w:rPr>
          <w:rFonts w:asciiTheme="minorEastAsia" w:hAnsiTheme="minorEastAsia"/>
        </w:rPr>
      </w:pPr>
      <w:r>
        <w:rPr>
          <w:rFonts w:hint="eastAsia" w:asciiTheme="minorEastAsia" w:hAnsiTheme="minorEastAsia"/>
        </w:rPr>
        <w:t>2.合法原则：要求估价结果是在依法判定的鉴定对象状况下的价值或价格的原则。</w:t>
      </w:r>
    </w:p>
    <w:p>
      <w:pPr>
        <w:spacing w:before="163" w:after="163"/>
        <w:ind w:firstLine="480"/>
        <w:rPr>
          <w:rFonts w:asciiTheme="minorEastAsia" w:hAnsiTheme="minorEastAsia"/>
        </w:rPr>
      </w:pPr>
      <w:r>
        <w:rPr>
          <w:rFonts w:hint="eastAsia" w:asciiTheme="minorEastAsia" w:hAnsiTheme="minorEastAsia"/>
        </w:rPr>
        <w:t>3.价值时点原则：要求估价结果是根据估价目的确定的某一特定时间的价值或价格的原则。</w:t>
      </w:r>
    </w:p>
    <w:p>
      <w:pPr>
        <w:spacing w:before="163" w:after="163"/>
        <w:ind w:firstLine="480"/>
        <w:rPr>
          <w:rFonts w:asciiTheme="minorEastAsia" w:hAnsiTheme="minorEastAsia"/>
        </w:rPr>
      </w:pPr>
      <w:r>
        <w:rPr>
          <w:rFonts w:hint="eastAsia" w:asciiTheme="minorEastAsia" w:hAnsiTheme="minorEastAsia"/>
        </w:rPr>
        <w:t>4.替代原则：要求估价结果与鉴定对象的类似房地产在同等条件下的价值或价格偏差在合理范围内的原则。</w:t>
      </w:r>
    </w:p>
    <w:p>
      <w:pPr>
        <w:spacing w:before="163" w:after="163"/>
        <w:ind w:firstLine="480"/>
        <w:rPr>
          <w:rFonts w:asciiTheme="minorEastAsia" w:hAnsiTheme="minorEastAsia"/>
        </w:rPr>
      </w:pPr>
      <w:r>
        <w:rPr>
          <w:rFonts w:hint="eastAsia" w:asciiTheme="minorEastAsia" w:hAnsiTheme="minorEastAsia"/>
        </w:rPr>
        <w:t>5.预期收益原则：</w:t>
      </w:r>
      <w:r>
        <w:rPr>
          <w:rFonts w:asciiTheme="minorEastAsia" w:hAnsiTheme="minorEastAsia"/>
        </w:rPr>
        <w:t>是指</w:t>
      </w:r>
      <w:r>
        <w:rPr>
          <w:rFonts w:hint="eastAsia" w:asciiTheme="minorEastAsia" w:hAnsiTheme="minorEastAsia"/>
        </w:rPr>
        <w:t>房地产</w:t>
      </w:r>
      <w:r>
        <w:rPr>
          <w:rFonts w:asciiTheme="minorEastAsia" w:hAnsiTheme="minorEastAsia"/>
        </w:rPr>
        <w:t>估价应以鉴定对象在正常利用条件下的未来客观有效的预期收益为依据。</w:t>
      </w:r>
    </w:p>
    <w:p>
      <w:pPr>
        <w:spacing w:before="163" w:after="163"/>
        <w:ind w:firstLine="480"/>
        <w:rPr>
          <w:rFonts w:asciiTheme="minorEastAsia" w:hAnsiTheme="minorEastAsia"/>
        </w:rPr>
      </w:pPr>
      <w:r>
        <w:rPr>
          <w:rFonts w:hint="eastAsia" w:asciiTheme="minorEastAsia" w:hAnsiTheme="minorEastAsia"/>
        </w:rPr>
        <w:t>6.最高最佳使用原则：要求估价结果是在鉴定对象最高最佳利用状况下的价值或价格的原则。最高最佳利用是指房地产在法律上允许、技术上可能、财务上可行并使价值最大的合理、可能的利用，包括最佳的用途、规模、档次等。</w:t>
      </w:r>
    </w:p>
    <w:p>
      <w:pPr>
        <w:spacing w:before="163" w:after="163"/>
        <w:ind w:firstLine="480"/>
        <w:rPr>
          <w:rFonts w:asciiTheme="minorEastAsia" w:hAnsiTheme="minorEastAsia"/>
        </w:rPr>
      </w:pPr>
      <w:r>
        <w:rPr>
          <w:rFonts w:hint="eastAsia" w:asciiTheme="minorEastAsia" w:hAnsiTheme="minorEastAsia"/>
        </w:rPr>
        <w:t>7.供求原则：进行房地产估价时，必须充分考虑到房地产的供求情况和可能导致供求关系变化的因素。由于房地产具有很强的区域性，这些供求关系主要是指委估物所在区域的房地产供求市场关系。</w:t>
      </w:r>
    </w:p>
    <w:p>
      <w:pPr>
        <w:pStyle w:val="3"/>
        <w:spacing w:before="163" w:after="163"/>
        <w:ind w:firstLine="281"/>
        <w:rPr>
          <w:szCs w:val="28"/>
        </w:rPr>
      </w:pPr>
      <w:bookmarkStart w:id="33" w:name="_Toc484528298"/>
      <w:bookmarkStart w:id="34" w:name="_Toc451160947"/>
      <w:r>
        <w:rPr>
          <w:szCs w:val="28"/>
        </w:rPr>
        <w:t>估价依据</w:t>
      </w:r>
      <w:bookmarkEnd w:id="33"/>
      <w:bookmarkEnd w:id="34"/>
    </w:p>
    <w:p>
      <w:pPr>
        <w:spacing w:before="163" w:after="163"/>
        <w:ind w:firstLine="480"/>
        <w:rPr>
          <w:rFonts w:asciiTheme="minorEastAsia" w:hAnsiTheme="minorEastAsia"/>
        </w:rPr>
      </w:pPr>
      <w:r>
        <w:rPr>
          <w:rFonts w:hint="eastAsia" w:asciiTheme="minorEastAsia" w:hAnsiTheme="minorEastAsia"/>
        </w:rPr>
        <w:t>1.</w:t>
      </w:r>
      <w:r>
        <w:rPr>
          <w:rFonts w:asciiTheme="minorEastAsia" w:hAnsiTheme="minorEastAsia"/>
        </w:rPr>
        <w:t>国家有关法律</w:t>
      </w:r>
      <w:r>
        <w:rPr>
          <w:rFonts w:hint="eastAsia" w:asciiTheme="minorEastAsia" w:hAnsiTheme="minorEastAsia"/>
        </w:rPr>
        <w:t>、</w:t>
      </w:r>
      <w:r>
        <w:rPr>
          <w:rFonts w:asciiTheme="minorEastAsia" w:hAnsiTheme="minorEastAsia"/>
        </w:rPr>
        <w:t>法规和政策文件</w:t>
      </w:r>
    </w:p>
    <w:p>
      <w:pPr>
        <w:spacing w:before="163" w:after="163"/>
        <w:ind w:firstLine="480"/>
        <w:rPr>
          <w:rFonts w:asciiTheme="minorEastAsia" w:hAnsiTheme="minorEastAsia"/>
        </w:rPr>
      </w:pPr>
      <w:r>
        <w:rPr>
          <w:rFonts w:hint="eastAsia" w:asciiTheme="minorEastAsia" w:hAnsiTheme="minorEastAsia"/>
        </w:rPr>
        <w:t>（1）《中华人民共和国土地管理法》（由中华人民共和国第十届全国人民代表大会常务委员会第十一次会议于2004年8月28日通过，自公布之日起施行）；</w:t>
      </w:r>
    </w:p>
    <w:p>
      <w:pPr>
        <w:spacing w:before="163" w:after="163"/>
        <w:ind w:firstLine="480"/>
        <w:rPr>
          <w:rFonts w:asciiTheme="minorEastAsia" w:hAnsiTheme="minorEastAsia"/>
        </w:rPr>
      </w:pPr>
      <w:r>
        <w:rPr>
          <w:rFonts w:hint="eastAsia" w:asciiTheme="minorEastAsia" w:hAnsiTheme="minorEastAsia"/>
        </w:rPr>
        <w:t>（2）《中华人民共和国城市房地产管理法》（中华人民共和国第十届全国人民代表大会常务委员会第二十九次会议通过，自2007年8月30日施行）；</w:t>
      </w:r>
    </w:p>
    <w:p>
      <w:pPr>
        <w:spacing w:before="163" w:after="163"/>
        <w:ind w:firstLine="480"/>
        <w:rPr>
          <w:rFonts w:asciiTheme="minorEastAsia" w:hAnsiTheme="minorEastAsia"/>
        </w:rPr>
      </w:pPr>
      <w:r>
        <w:rPr>
          <w:rFonts w:hint="eastAsia" w:asciiTheme="minorEastAsia" w:hAnsiTheme="minorEastAsia"/>
        </w:rPr>
        <w:t>（3）《中华人民共和国物权法》（由中华人民共和国第十届全国人民代表大会第五次会议于2007年3月16日通过，自2007年10月1日起施行）；</w:t>
      </w:r>
    </w:p>
    <w:p>
      <w:pPr>
        <w:spacing w:before="163" w:after="163"/>
        <w:ind w:firstLine="480"/>
        <w:rPr>
          <w:rFonts w:asciiTheme="minorEastAsia" w:hAnsiTheme="minorEastAsia"/>
        </w:rPr>
      </w:pPr>
      <w:r>
        <w:rPr>
          <w:rFonts w:hint="eastAsia" w:asciiTheme="minorEastAsia" w:hAnsiTheme="minorEastAsia"/>
        </w:rPr>
        <w:t>（4）《中华人民共和国城乡规划法》（中华人民共和国主席令第74号，中华人民共和国第十届全国人民代表大会常务委员会第三十次会议通过，自2008年1月1日起施行，2015年4月24日第十二届全国人民代表大会常务委员会第十四次会议《全国人民代表大会常务委员会关于修改&lt;中华人民共和国港口法&gt;等七部法律的决定》修正）；</w:t>
      </w:r>
    </w:p>
    <w:p>
      <w:pPr>
        <w:spacing w:before="163" w:after="163"/>
        <w:ind w:firstLine="480"/>
        <w:rPr>
          <w:rFonts w:asciiTheme="minorEastAsia" w:hAnsiTheme="minorEastAsia"/>
        </w:rPr>
      </w:pPr>
      <w:r>
        <w:rPr>
          <w:rFonts w:hint="eastAsia" w:asciiTheme="minorEastAsia" w:hAnsiTheme="minorEastAsia"/>
        </w:rPr>
        <w:t>（5）《中华人民共和国资产评估法》（中华人民共和国第十二届全国人民代表大会常务委员会第二十一次会议于2016年7月2日通过，自2017年2月8日起施行）；</w:t>
      </w:r>
    </w:p>
    <w:p>
      <w:pPr>
        <w:spacing w:before="163" w:after="163"/>
        <w:ind w:firstLine="480"/>
        <w:rPr>
          <w:rFonts w:asciiTheme="minorEastAsia" w:hAnsiTheme="minorEastAsia"/>
        </w:rPr>
      </w:pPr>
      <w:r>
        <w:rPr>
          <w:rFonts w:hint="eastAsia" w:asciiTheme="minorEastAsia" w:hAnsiTheme="minorEastAsia"/>
        </w:rPr>
        <w:t>（6）国家税务总局关于发布《纳税人提供不动产经营租赁服务增值税征收管理暂行办法》的公告(国家税务总局公告2016年第16号， 由2016年3月31日国家税务总局公布，自2016年5月1日起执行) ；</w:t>
      </w:r>
    </w:p>
    <w:p>
      <w:pPr>
        <w:spacing w:before="163" w:after="163"/>
        <w:ind w:firstLine="480"/>
        <w:rPr>
          <w:rFonts w:asciiTheme="minorEastAsia" w:hAnsiTheme="minorEastAsia"/>
        </w:rPr>
      </w:pPr>
      <w:r>
        <w:rPr>
          <w:rFonts w:hint="eastAsia" w:asciiTheme="minorEastAsia" w:hAnsiTheme="minorEastAsia"/>
        </w:rPr>
        <w:t>（7）《关于全面推开营改增试点的通知》（财税【2016】36号文）；</w:t>
      </w:r>
    </w:p>
    <w:p>
      <w:pPr>
        <w:spacing w:before="163" w:after="163"/>
        <w:ind w:firstLine="480"/>
        <w:rPr>
          <w:rFonts w:asciiTheme="minorEastAsia" w:hAnsiTheme="minorEastAsia"/>
        </w:rPr>
      </w:pPr>
      <w:r>
        <w:rPr>
          <w:rFonts w:hint="eastAsia" w:asciiTheme="minorEastAsia" w:hAnsiTheme="minorEastAsia"/>
        </w:rPr>
        <w:t>（8）国家税务总局关于发布《纳税人提供不动产经营租赁服务增值税征收管理暂行办法》的公告(国家税务总局公告2016年第16号， 由2016年3月31日国家税务总局公布，自2016年5月1日起执行) ；</w:t>
      </w:r>
    </w:p>
    <w:p>
      <w:pPr>
        <w:spacing w:before="163" w:after="163"/>
        <w:ind w:firstLine="480"/>
        <w:rPr>
          <w:rFonts w:asciiTheme="minorEastAsia" w:hAnsiTheme="minorEastAsia"/>
        </w:rPr>
      </w:pPr>
      <w:r>
        <w:rPr>
          <w:rFonts w:hint="eastAsia" w:asciiTheme="minorEastAsia" w:hAnsiTheme="minorEastAsia"/>
        </w:rPr>
        <w:t>（9）住房城乡建设部关于贯彻落实资产评估法规范房地产估价行业管理有关问题的通知（建房[2016]275号）。</w:t>
      </w:r>
    </w:p>
    <w:p>
      <w:pPr>
        <w:spacing w:before="163" w:after="163"/>
        <w:ind w:firstLine="480"/>
        <w:rPr>
          <w:rFonts w:asciiTheme="minorEastAsia" w:hAnsiTheme="minorEastAsia"/>
        </w:rPr>
      </w:pPr>
      <w:r>
        <w:rPr>
          <w:rFonts w:hint="eastAsia" w:asciiTheme="minorEastAsia" w:hAnsiTheme="minorEastAsia"/>
        </w:rPr>
        <w:t>2.地方有关法规和政策文件</w:t>
      </w:r>
    </w:p>
    <w:p>
      <w:pPr>
        <w:spacing w:before="163" w:after="163"/>
        <w:ind w:firstLine="480"/>
        <w:rPr>
          <w:rFonts w:asciiTheme="minorEastAsia" w:hAnsiTheme="minorEastAsia"/>
        </w:rPr>
      </w:pPr>
      <w:r>
        <w:rPr>
          <w:rFonts w:hint="eastAsia" w:asciiTheme="minorEastAsia" w:hAnsiTheme="minorEastAsia"/>
        </w:rPr>
        <w:t>（1）《海南经济特区土地管理条例》（由海南省第五届人民代表大会常务委员会第十次会议于2014年9月26日通过，于2014年11月1日施行）。</w:t>
      </w:r>
    </w:p>
    <w:p>
      <w:pPr>
        <w:spacing w:before="163" w:after="163"/>
        <w:ind w:firstLine="480"/>
        <w:rPr>
          <w:rFonts w:asciiTheme="minorEastAsia" w:hAnsiTheme="minorEastAsia"/>
        </w:rPr>
      </w:pPr>
      <w:r>
        <w:rPr>
          <w:rFonts w:hint="eastAsia" w:asciiTheme="minorEastAsia" w:hAnsiTheme="minorEastAsia"/>
        </w:rPr>
        <w:t>3.估价技术标准、规程和规范</w:t>
      </w:r>
    </w:p>
    <w:p>
      <w:pPr>
        <w:spacing w:before="163" w:after="163"/>
        <w:ind w:firstLine="480"/>
        <w:rPr>
          <w:rFonts w:asciiTheme="minorEastAsia" w:hAnsiTheme="minorEastAsia"/>
        </w:rPr>
      </w:pPr>
      <w:r>
        <w:rPr>
          <w:rFonts w:hint="eastAsia" w:asciiTheme="minorEastAsia" w:hAnsiTheme="minorEastAsia"/>
        </w:rPr>
        <w:t>（1）《房地产估价规范》（GB/T 50291-2015）；</w:t>
      </w:r>
    </w:p>
    <w:p>
      <w:pPr>
        <w:spacing w:before="163" w:after="163"/>
        <w:ind w:firstLine="480"/>
        <w:rPr>
          <w:rFonts w:asciiTheme="minorEastAsia" w:hAnsiTheme="minorEastAsia"/>
        </w:rPr>
      </w:pPr>
      <w:r>
        <w:rPr>
          <w:rFonts w:hint="eastAsia" w:asciiTheme="minorEastAsia" w:hAnsiTheme="minorEastAsia"/>
        </w:rPr>
        <w:t>（2）《房地产估价基本术语标准》（GB/T50</w:t>
      </w:r>
      <w:r>
        <w:rPr>
          <w:rFonts w:asciiTheme="minorEastAsia" w:hAnsiTheme="minorEastAsia"/>
        </w:rPr>
        <w:t>8</w:t>
      </w:r>
      <w:r>
        <w:rPr>
          <w:rFonts w:hint="eastAsia" w:asciiTheme="minorEastAsia" w:hAnsiTheme="minorEastAsia"/>
        </w:rPr>
        <w:t>99-2013）。</w:t>
      </w:r>
    </w:p>
    <w:p>
      <w:pPr>
        <w:spacing w:before="163" w:after="163"/>
        <w:ind w:firstLine="480"/>
        <w:rPr>
          <w:rFonts w:asciiTheme="minorEastAsia" w:hAnsiTheme="minorEastAsia"/>
        </w:rPr>
      </w:pPr>
      <w:r>
        <w:rPr>
          <w:rFonts w:hint="eastAsia" w:asciiTheme="minorEastAsia" w:hAnsiTheme="minorEastAsia"/>
        </w:rPr>
        <w:t>4.估价委托人提供的资料</w:t>
      </w:r>
    </w:p>
    <w:p>
      <w:pPr>
        <w:spacing w:before="163" w:after="163"/>
        <w:ind w:left="1080" w:leftChars="200" w:hanging="600" w:hangingChars="250"/>
        <w:rPr>
          <w:rFonts w:asciiTheme="minorEastAsia" w:hAnsiTheme="minorEastAsia"/>
          <w:szCs w:val="24"/>
        </w:rPr>
      </w:pPr>
      <w:r>
        <w:rPr>
          <w:rFonts w:hint="eastAsia" w:asciiTheme="minorEastAsia" w:hAnsiTheme="minorEastAsia"/>
          <w:szCs w:val="24"/>
        </w:rPr>
        <w:t>（1）（2018）文法评字第30号《海南省文昌市人民法院司法鉴定委托书》；</w:t>
      </w:r>
    </w:p>
    <w:p>
      <w:pPr>
        <w:spacing w:before="163" w:after="163"/>
        <w:ind w:left="1080" w:leftChars="200" w:hanging="600" w:hangingChars="250"/>
        <w:rPr>
          <w:rFonts w:asciiTheme="minorEastAsia" w:hAnsiTheme="minorEastAsia"/>
          <w:szCs w:val="24"/>
        </w:rPr>
      </w:pPr>
      <w:r>
        <w:rPr>
          <w:rFonts w:hint="eastAsia" w:asciiTheme="minorEastAsia" w:hAnsiTheme="minorEastAsia"/>
          <w:szCs w:val="24"/>
        </w:rPr>
        <w:t>（</w:t>
      </w:r>
      <w:r>
        <w:rPr>
          <w:rFonts w:asciiTheme="minorEastAsia" w:hAnsiTheme="minorEastAsia"/>
          <w:szCs w:val="24"/>
        </w:rPr>
        <w:t>2</w:t>
      </w:r>
      <w:r>
        <w:rPr>
          <w:rFonts w:hint="eastAsia" w:asciiTheme="minorEastAsia" w:hAnsiTheme="minorEastAsia"/>
          <w:szCs w:val="24"/>
        </w:rPr>
        <w:t>）文国用（2016）第W0300483号《国有土地使用证》（复印件）；</w:t>
      </w:r>
    </w:p>
    <w:p>
      <w:pPr>
        <w:spacing w:before="163" w:after="163"/>
        <w:ind w:firstLine="480"/>
        <w:rPr>
          <w:rFonts w:asciiTheme="minorEastAsia" w:hAnsiTheme="minorEastAsia"/>
          <w:szCs w:val="24"/>
        </w:rPr>
      </w:pPr>
      <w:r>
        <w:rPr>
          <w:rFonts w:hint="eastAsia" w:asciiTheme="minorEastAsia" w:hAnsiTheme="minorEastAsia"/>
          <w:szCs w:val="24"/>
        </w:rPr>
        <w:t>（</w:t>
      </w:r>
      <w:r>
        <w:rPr>
          <w:rFonts w:asciiTheme="minorEastAsia" w:hAnsiTheme="minorEastAsia"/>
          <w:szCs w:val="24"/>
        </w:rPr>
        <w:t>3</w:t>
      </w:r>
      <w:r>
        <w:rPr>
          <w:rFonts w:hint="eastAsia" w:asciiTheme="minorEastAsia" w:hAnsiTheme="minorEastAsia"/>
          <w:szCs w:val="24"/>
        </w:rPr>
        <w:t>）文昌市房权证文房证字第50931号《房屋所有权证》</w:t>
      </w:r>
      <w:r>
        <w:rPr>
          <w:rFonts w:hint="eastAsia"/>
          <w:sz w:val="22"/>
        </w:rPr>
        <w:t>复印件</w:t>
      </w:r>
      <w:r>
        <w:rPr>
          <w:sz w:val="22"/>
        </w:rPr>
        <w:t>；</w:t>
      </w:r>
    </w:p>
    <w:p>
      <w:pPr>
        <w:spacing w:before="163" w:after="163"/>
        <w:ind w:left="1162" w:leftChars="184" w:hanging="720" w:hangingChars="300"/>
        <w:rPr>
          <w:rFonts w:asciiTheme="minorEastAsia" w:hAnsiTheme="minorEastAsia"/>
          <w:szCs w:val="24"/>
        </w:rPr>
      </w:pPr>
      <w:r>
        <w:rPr>
          <w:rFonts w:hint="eastAsia" w:asciiTheme="minorEastAsia" w:hAnsiTheme="minorEastAsia"/>
          <w:szCs w:val="24"/>
        </w:rPr>
        <w:t>（</w:t>
      </w:r>
      <w:r>
        <w:rPr>
          <w:rFonts w:asciiTheme="minorEastAsia" w:hAnsiTheme="minorEastAsia"/>
          <w:szCs w:val="24"/>
        </w:rPr>
        <w:t>4</w:t>
      </w:r>
      <w:r>
        <w:rPr>
          <w:rFonts w:hint="eastAsia" w:asciiTheme="minorEastAsia" w:hAnsiTheme="minorEastAsia"/>
          <w:szCs w:val="24"/>
        </w:rPr>
        <w:t>）《房产面积测算报告书》（变更测绘报告）（复印件）；</w:t>
      </w:r>
    </w:p>
    <w:p>
      <w:pPr>
        <w:spacing w:before="163" w:after="163"/>
        <w:ind w:left="1162" w:leftChars="184" w:hanging="720" w:hangingChars="300"/>
        <w:rPr>
          <w:rFonts w:asciiTheme="minorEastAsia" w:hAnsiTheme="minorEastAsia"/>
          <w:szCs w:val="24"/>
        </w:rPr>
      </w:pPr>
      <w:r>
        <w:rPr>
          <w:rFonts w:hint="eastAsia" w:asciiTheme="minorEastAsia" w:hAnsiTheme="minorEastAsia"/>
          <w:szCs w:val="24"/>
        </w:rPr>
        <w:t>（</w:t>
      </w:r>
      <w:r>
        <w:rPr>
          <w:rFonts w:asciiTheme="minorEastAsia" w:hAnsiTheme="minorEastAsia"/>
          <w:szCs w:val="24"/>
        </w:rPr>
        <w:t>5</w:t>
      </w:r>
      <w:r>
        <w:rPr>
          <w:rFonts w:hint="eastAsia" w:asciiTheme="minorEastAsia" w:hAnsiTheme="minorEastAsia"/>
          <w:szCs w:val="24"/>
        </w:rPr>
        <w:t>）《文昌市商品房买卖合同备案表》（复印件）；</w:t>
      </w:r>
    </w:p>
    <w:p>
      <w:pPr>
        <w:spacing w:before="163" w:after="163"/>
        <w:ind w:left="1162" w:leftChars="184" w:hanging="720" w:hangingChars="300"/>
        <w:rPr>
          <w:rFonts w:asciiTheme="minorEastAsia" w:hAnsiTheme="minorEastAsia"/>
          <w:szCs w:val="24"/>
        </w:rPr>
      </w:pPr>
      <w:r>
        <w:rPr>
          <w:rFonts w:hint="eastAsia" w:asciiTheme="minorEastAsia" w:hAnsiTheme="minorEastAsia"/>
          <w:szCs w:val="24"/>
        </w:rPr>
        <w:t>（</w:t>
      </w:r>
      <w:r>
        <w:rPr>
          <w:rFonts w:asciiTheme="minorEastAsia" w:hAnsiTheme="minorEastAsia"/>
          <w:szCs w:val="24"/>
        </w:rPr>
        <w:t>6</w:t>
      </w:r>
      <w:r>
        <w:rPr>
          <w:rFonts w:hint="eastAsia" w:asciiTheme="minorEastAsia" w:hAnsiTheme="minorEastAsia"/>
          <w:szCs w:val="24"/>
        </w:rPr>
        <w:t>）《房源核验单》（复印件）。</w:t>
      </w:r>
    </w:p>
    <w:p>
      <w:pPr>
        <w:spacing w:before="163" w:after="163"/>
        <w:ind w:firstLine="480"/>
        <w:rPr>
          <w:rFonts w:asciiTheme="minorEastAsia" w:hAnsiTheme="minorEastAsia"/>
        </w:rPr>
      </w:pPr>
      <w:r>
        <w:rPr>
          <w:rFonts w:hint="eastAsia" w:asciiTheme="minorEastAsia" w:hAnsiTheme="minorEastAsia"/>
        </w:rPr>
        <w:t>5．由估价人员调查取得的资料</w:t>
      </w:r>
    </w:p>
    <w:p>
      <w:pPr>
        <w:spacing w:before="163" w:after="163"/>
        <w:ind w:firstLine="480"/>
        <w:rPr>
          <w:rFonts w:asciiTheme="minorEastAsia" w:hAnsiTheme="minorEastAsia"/>
        </w:rPr>
      </w:pPr>
      <w:r>
        <w:rPr>
          <w:rFonts w:hint="eastAsia" w:asciiTheme="minorEastAsia" w:hAnsiTheme="minorEastAsia"/>
        </w:rPr>
        <w:t>（1）估价人员现场查勘记录、照片；</w:t>
      </w:r>
    </w:p>
    <w:p>
      <w:pPr>
        <w:spacing w:before="163" w:after="163"/>
        <w:ind w:firstLine="480"/>
        <w:rPr>
          <w:rFonts w:asciiTheme="minorEastAsia" w:hAnsiTheme="minorEastAsia"/>
        </w:rPr>
      </w:pPr>
      <w:r>
        <w:rPr>
          <w:rFonts w:hint="eastAsia" w:asciiTheme="minorEastAsia" w:hAnsiTheme="minorEastAsia"/>
        </w:rPr>
        <w:t>（2）估价人员市场调查取得资料。</w:t>
      </w:r>
    </w:p>
    <w:p>
      <w:pPr>
        <w:pStyle w:val="3"/>
        <w:spacing w:before="163" w:after="163"/>
        <w:ind w:firstLine="281"/>
        <w:rPr>
          <w:szCs w:val="28"/>
        </w:rPr>
      </w:pPr>
      <w:bookmarkStart w:id="35" w:name="_Toc484528299"/>
      <w:bookmarkStart w:id="36" w:name="_Toc451160948"/>
      <w:r>
        <w:rPr>
          <w:szCs w:val="28"/>
        </w:rPr>
        <w:t>估价方法</w:t>
      </w:r>
      <w:bookmarkEnd w:id="35"/>
      <w:bookmarkEnd w:id="36"/>
    </w:p>
    <w:p>
      <w:pPr>
        <w:spacing w:before="163" w:after="163"/>
        <w:ind w:firstLine="480"/>
        <w:rPr>
          <w:rFonts w:asciiTheme="minorEastAsia" w:hAnsiTheme="minorEastAsia"/>
        </w:rPr>
      </w:pPr>
      <w:r>
        <w:rPr>
          <w:rFonts w:hint="eastAsia" w:asciiTheme="minorEastAsia" w:hAnsiTheme="minorEastAsia"/>
        </w:rPr>
        <w:t>1.估价方法选择</w:t>
      </w:r>
    </w:p>
    <w:p>
      <w:pPr>
        <w:spacing w:before="163" w:after="163"/>
        <w:ind w:firstLine="480"/>
        <w:rPr>
          <w:rFonts w:asciiTheme="minorEastAsia" w:hAnsiTheme="minorEastAsia"/>
        </w:rPr>
      </w:pPr>
      <w:r>
        <w:rPr>
          <w:rFonts w:asciiTheme="minorEastAsia" w:hAnsiTheme="minorEastAsia"/>
        </w:rPr>
        <w:t>根据</w:t>
      </w:r>
      <w:r>
        <w:rPr>
          <w:rFonts w:hint="eastAsia" w:asciiTheme="minorEastAsia" w:hAnsiTheme="minorEastAsia"/>
        </w:rPr>
        <w:t>《房地产估价规范》（GB/T 50291-2015），房地产估价通用的方法有比较法、收益法、假设开发法和成本法等。</w:t>
      </w:r>
    </w:p>
    <w:p>
      <w:pPr>
        <w:spacing w:before="163" w:after="163"/>
        <w:ind w:firstLine="480"/>
        <w:rPr>
          <w:rFonts w:asciiTheme="minorEastAsia" w:hAnsiTheme="minorEastAsia"/>
        </w:rPr>
      </w:pPr>
      <w:r>
        <w:rPr>
          <w:rFonts w:hint="eastAsia" w:asciiTheme="minorEastAsia" w:hAnsiTheme="minorEastAsia"/>
        </w:rPr>
        <w:t>（1）</w:t>
      </w:r>
      <w:r>
        <w:rPr>
          <w:rFonts w:asciiTheme="minorEastAsia" w:hAnsiTheme="minorEastAsia"/>
        </w:rPr>
        <w:t>排除的方法</w:t>
      </w:r>
    </w:p>
    <w:p>
      <w:pPr>
        <w:spacing w:before="163" w:after="163"/>
        <w:ind w:firstLine="480"/>
        <w:rPr>
          <w:rFonts w:cs="Times New Roman" w:asciiTheme="minorEastAsia" w:hAnsiTheme="minorEastAsia"/>
        </w:rPr>
      </w:pPr>
      <w:r>
        <w:rPr>
          <w:rFonts w:hint="eastAsia" w:cs="Times New Roman" w:asciiTheme="minorEastAsia" w:hAnsiTheme="minorEastAsia"/>
        </w:rPr>
        <w:t>鉴定对象为已建成并正常投入使用的房地产，因此不宜采用假设开发法；估价委托人未能提供相关的土地分摊情况，估价人员经调查亦未收集到相关的土地分摊情况，因此不宜采用成本法进行评估。</w:t>
      </w:r>
    </w:p>
    <w:p>
      <w:pPr>
        <w:spacing w:before="163" w:after="163"/>
        <w:ind w:firstLine="480"/>
        <w:rPr>
          <w:rFonts w:asciiTheme="minorEastAsia" w:hAnsiTheme="minorEastAsia"/>
        </w:rPr>
      </w:pPr>
      <w:r>
        <w:rPr>
          <w:rFonts w:hint="eastAsia" w:asciiTheme="minorEastAsia" w:hAnsiTheme="minorEastAsia"/>
        </w:rPr>
        <w:t>（2）</w:t>
      </w:r>
      <w:r>
        <w:rPr>
          <w:rFonts w:asciiTheme="minorEastAsia" w:hAnsiTheme="minorEastAsia"/>
        </w:rPr>
        <w:t>选择的方法</w:t>
      </w:r>
    </w:p>
    <w:p>
      <w:pPr>
        <w:spacing w:before="163" w:after="163"/>
        <w:ind w:firstLine="480"/>
        <w:rPr>
          <w:rFonts w:asciiTheme="minorEastAsia" w:hAnsiTheme="minorEastAsia"/>
        </w:rPr>
      </w:pPr>
      <w:r>
        <w:rPr>
          <w:rFonts w:hint="eastAsia" w:asciiTheme="minorEastAsia" w:hAnsiTheme="minorEastAsia"/>
        </w:rPr>
        <w:t>鉴定对象所在区域房地产交易市场及出租市场发育较成熟，据调查，近期内类似房地产有较多交易及出租的实例，鉴定对象具有现实及潜在的收益，故对鉴定对象价格评估宜采用比较法及收益法。之后，将两种估价方法评估出来的结果进行综合技术处理，得出鉴定对象房地产的公开市场价格。</w:t>
      </w:r>
    </w:p>
    <w:p>
      <w:pPr>
        <w:spacing w:before="163" w:after="163"/>
        <w:ind w:firstLine="480"/>
        <w:rPr>
          <w:rFonts w:asciiTheme="minorEastAsia" w:hAnsiTheme="minorEastAsia"/>
        </w:rPr>
      </w:pPr>
      <w:r>
        <w:rPr>
          <w:rFonts w:hint="eastAsia" w:asciiTheme="minorEastAsia" w:hAnsiTheme="minorEastAsia"/>
        </w:rPr>
        <w:t>2.估价方法定义</w:t>
      </w:r>
    </w:p>
    <w:p>
      <w:pPr>
        <w:spacing w:before="163" w:after="163"/>
        <w:ind w:firstLine="480"/>
        <w:rPr>
          <w:rFonts w:asciiTheme="minorEastAsia" w:hAnsiTheme="minorEastAsia"/>
        </w:rPr>
      </w:pPr>
      <w:r>
        <w:rPr>
          <w:rFonts w:hint="eastAsia" w:asciiTheme="minorEastAsia" w:hAnsiTheme="minorEastAsia"/>
        </w:rPr>
        <w:t>（1）比较法</w:t>
      </w:r>
    </w:p>
    <w:p>
      <w:pPr>
        <w:spacing w:before="163" w:after="163"/>
        <w:ind w:firstLine="480"/>
        <w:rPr>
          <w:rFonts w:asciiTheme="minorEastAsia" w:hAnsiTheme="minorEastAsia"/>
          <w:color w:val="5B9BD5" w:themeColor="accent1"/>
        </w:rPr>
      </w:pPr>
      <w:r>
        <w:rPr>
          <w:rFonts w:hint="eastAsia" w:asciiTheme="minorEastAsia" w:hAnsiTheme="minorEastAsia"/>
        </w:rPr>
        <w:t>比较法是选取一定数量的可比实例，将它们与鉴定对象进行比较，根据其间的差异对可比实例成交价格进行处理后得到鉴定对象价值或价格的方法。</w:t>
      </w:r>
    </w:p>
    <w:p>
      <w:pPr>
        <w:spacing w:before="163" w:after="163"/>
        <w:ind w:firstLine="480"/>
        <w:rPr>
          <w:rFonts w:asciiTheme="minorEastAsia" w:hAnsiTheme="minorEastAsia"/>
        </w:rPr>
      </w:pPr>
      <w:r>
        <w:rPr>
          <w:rFonts w:hint="eastAsia" w:asciiTheme="minorEastAsia" w:hAnsiTheme="minorEastAsia"/>
        </w:rPr>
        <w:t>计算公式如下：</w:t>
      </w:r>
    </w:p>
    <w:p>
      <w:pPr>
        <w:spacing w:before="163" w:afterLines="0"/>
        <w:ind w:firstLine="480"/>
        <w:rPr>
          <w:rFonts w:ascii="宋体" w:hAnsi="宋体" w:eastAsia="宋体" w:cs="Times New Roman"/>
        </w:rPr>
      </w:pPr>
      <w:r>
        <w:rPr>
          <w:rFonts w:ascii="宋体" w:hAnsi="宋体" w:eastAsia="宋体" w:cs="Times New Roman"/>
        </w:rPr>
        <w:t>鉴定对象价格=可比实例价格×交易情况修正系数×交易日期修正系数×</w:t>
      </w:r>
      <w:r>
        <w:rPr>
          <w:rFonts w:ascii="宋体" w:hAnsi="宋体" w:eastAsia="宋体" w:cs="Times New Roman"/>
          <w:snapToGrid w:val="0"/>
          <w:kern w:val="0"/>
        </w:rPr>
        <w:t>区</w:t>
      </w:r>
      <w:r>
        <w:rPr>
          <w:rFonts w:hint="eastAsia" w:ascii="宋体" w:hAnsi="宋体" w:eastAsia="宋体" w:cs="Times New Roman"/>
          <w:snapToGrid w:val="0"/>
          <w:kern w:val="0"/>
        </w:rPr>
        <w:t>位状况</w:t>
      </w:r>
      <w:r>
        <w:rPr>
          <w:rFonts w:ascii="宋体" w:hAnsi="宋体" w:eastAsia="宋体" w:cs="Times New Roman"/>
        </w:rPr>
        <w:t>修正系数×</w:t>
      </w:r>
      <w:r>
        <w:rPr>
          <w:rFonts w:hint="eastAsia" w:eastAsia="宋体" w:cs="Times New Roman"/>
        </w:rPr>
        <w:t>实物状况</w:t>
      </w:r>
      <w:r>
        <w:rPr>
          <w:rFonts w:ascii="宋体" w:hAnsi="宋体" w:eastAsia="宋体" w:cs="Times New Roman"/>
        </w:rPr>
        <w:t>修正系数</w:t>
      </w:r>
      <w:r>
        <w:rPr>
          <w:rFonts w:hint="eastAsia" w:ascii="宋体" w:hAnsi="宋体" w:eastAsia="宋体" w:cs="Times New Roman"/>
        </w:rPr>
        <w:t>×权益状况修正系数</w:t>
      </w:r>
      <w:r>
        <w:rPr>
          <w:rFonts w:ascii="宋体" w:hAnsi="宋体" w:eastAsia="宋体" w:cs="Times New Roman"/>
        </w:rPr>
        <w:t>。</w:t>
      </w:r>
    </w:p>
    <w:p>
      <w:pPr>
        <w:spacing w:before="163" w:afterLines="0"/>
        <w:ind w:firstLine="480"/>
        <w:rPr>
          <w:rFonts w:ascii="宋体" w:hAnsi="宋体" w:eastAsia="宋体" w:cs="Times New Roman"/>
        </w:rPr>
      </w:pPr>
      <w:r>
        <w:rPr>
          <w:rFonts w:ascii="宋体" w:hAnsi="宋体" w:eastAsia="宋体" w:cs="Times New Roman"/>
        </w:rPr>
        <w:t>设以100为基准，可简写成为：</w:t>
      </w:r>
    </w:p>
    <w:p>
      <w:pPr>
        <w:spacing w:before="163" w:afterLines="0" w:line="240" w:lineRule="exact"/>
        <w:ind w:firstLine="3720" w:firstLineChars="1550"/>
        <w:rPr>
          <w:rFonts w:ascii="宋体" w:hAnsi="宋体" w:eastAsia="宋体" w:cs="Times New Roman"/>
          <w:snapToGrid w:val="0"/>
          <w:kern w:val="0"/>
        </w:rPr>
      </w:pPr>
      <w:r>
        <w:rPr>
          <w:rFonts w:hint="eastAsia" w:ascii="宋体" w:hAnsi="宋体" w:eastAsia="宋体" w:cs="Times New Roman"/>
          <w:snapToGrid w:val="0"/>
          <w:kern w:val="0"/>
        </w:rPr>
        <w:t>100   （ ）  100   100   100</w:t>
      </w:r>
    </w:p>
    <w:p>
      <w:pPr>
        <w:spacing w:before="163" w:afterLines="0" w:line="240" w:lineRule="exact"/>
        <w:ind w:firstLine="480"/>
        <w:rPr>
          <w:rFonts w:cs="Times New Roman" w:asciiTheme="minorEastAsia" w:hAnsiTheme="minorEastAsia"/>
          <w:snapToGrid w:val="0"/>
          <w:kern w:val="0"/>
        </w:rPr>
      </w:pPr>
      <w:r>
        <w:rPr>
          <w:rFonts w:hint="eastAsia" w:cs="Times New Roman" w:asciiTheme="minorEastAsia" w:hAnsiTheme="minorEastAsia"/>
          <w:snapToGrid w:val="0"/>
          <w:kern w:val="0"/>
        </w:rPr>
        <w:t>鉴定对象价格=可比实例价格×──× ──×──×──×──</w:t>
      </w:r>
    </w:p>
    <w:p>
      <w:pPr>
        <w:spacing w:before="163" w:afterLines="0" w:line="240" w:lineRule="exact"/>
        <w:ind w:firstLine="480"/>
        <w:rPr>
          <w:rFonts w:cs="Times New Roman" w:asciiTheme="minorEastAsia" w:hAnsiTheme="minorEastAsia"/>
          <w:snapToGrid w:val="0"/>
          <w:kern w:val="0"/>
        </w:rPr>
      </w:pPr>
      <w:r>
        <w:rPr>
          <w:rFonts w:hint="eastAsia" w:cs="Times New Roman" w:asciiTheme="minorEastAsia" w:hAnsiTheme="minorEastAsia"/>
          <w:snapToGrid w:val="0"/>
          <w:kern w:val="0"/>
        </w:rPr>
        <w:t xml:space="preserve">                           （ ）   100  （ ） （ ） （ ）</w:t>
      </w:r>
    </w:p>
    <w:p>
      <w:pPr>
        <w:spacing w:before="163" w:after="163"/>
        <w:ind w:firstLine="480"/>
        <w:rPr>
          <w:rFonts w:asciiTheme="minorEastAsia" w:hAnsiTheme="minorEastAsia"/>
        </w:rPr>
      </w:pPr>
      <w:r>
        <w:rPr>
          <w:rFonts w:hint="eastAsia" w:asciiTheme="minorEastAsia" w:hAnsiTheme="minorEastAsia"/>
        </w:rPr>
        <w:t>（2）</w:t>
      </w:r>
      <w:r>
        <w:rPr>
          <w:rFonts w:asciiTheme="minorEastAsia" w:hAnsiTheme="minorEastAsia"/>
        </w:rPr>
        <w:t>收益法</w:t>
      </w:r>
    </w:p>
    <w:p>
      <w:pPr>
        <w:spacing w:before="163" w:after="163"/>
        <w:ind w:firstLine="480"/>
        <w:rPr>
          <w:rFonts w:asciiTheme="minorEastAsia" w:hAnsiTheme="minorEastAsia"/>
        </w:rPr>
      </w:pPr>
      <w:r>
        <w:rPr>
          <w:rFonts w:hint="eastAsia" w:asciiTheme="minorEastAsia" w:hAnsiTheme="minorEastAsia"/>
        </w:rPr>
        <w:t>收益法是预测鉴定对象的未来收益，利用报酬率或报酬率、收益乘数将未来收益转换为价值得到鉴定对象价值或价格的方法。</w:t>
      </w:r>
    </w:p>
    <w:p>
      <w:pPr>
        <w:spacing w:beforeLines="0" w:afterLines="0"/>
        <w:ind w:firstLine="480"/>
        <w:rPr>
          <w:rFonts w:ascii="宋体" w:hAnsi="宋体"/>
        </w:rPr>
      </w:pPr>
      <w:r>
        <w:rPr>
          <w:rFonts w:hint="eastAsia" w:ascii="宋体" w:hAnsi="宋体"/>
        </w:rPr>
        <w:t>根据鉴定对象所处区域类似房地产的租赁市场状况，本次评估采用净收益按一定比率递增的收益法计算公式，其公式为：</w:t>
      </w:r>
    </w:p>
    <w:p>
      <w:pPr>
        <w:spacing w:beforeLines="0" w:afterLines="0"/>
        <w:ind w:firstLine="480"/>
        <w:rPr>
          <w:rFonts w:ascii="宋体" w:hAnsi="宋体"/>
        </w:rPr>
      </w:pPr>
      <w:r>
        <w:rPr>
          <w:rFonts w:hint="eastAsia" w:ascii="宋体" w:hAnsi="宋体"/>
        </w:rPr>
        <w:t>V=[A/（R-S）]×{1-[(1+S)/(1+R)]</w:t>
      </w:r>
      <w:r>
        <w:rPr>
          <w:rFonts w:hint="eastAsia" w:ascii="宋体" w:hAnsi="宋体"/>
          <w:vertAlign w:val="superscript"/>
        </w:rPr>
        <w:t>N</w:t>
      </w:r>
      <w:r>
        <w:rPr>
          <w:rFonts w:hint="eastAsia" w:ascii="宋体" w:hAnsi="宋体"/>
        </w:rPr>
        <w:t>}</w:t>
      </w:r>
    </w:p>
    <w:p>
      <w:pPr>
        <w:spacing w:beforeLines="0" w:afterLines="0"/>
        <w:ind w:firstLine="420"/>
        <w:rPr>
          <w:rFonts w:ascii="宋体" w:hAnsi="宋体"/>
          <w:sz w:val="21"/>
        </w:rPr>
      </w:pPr>
      <w:r>
        <w:rPr>
          <w:rFonts w:hint="eastAsia" w:ascii="宋体" w:hAnsi="宋体"/>
          <w:sz w:val="21"/>
        </w:rPr>
        <w:t>式中：V表示建筑物剩余经济使用年限内房地产价格；A表示房地产第1年的年净收益，此后按比率S逐年递增；R为资本化率；N表示房地产的收益年限。</w:t>
      </w:r>
    </w:p>
    <w:p>
      <w:pPr>
        <w:pStyle w:val="3"/>
        <w:spacing w:before="163" w:after="163"/>
        <w:ind w:firstLine="281"/>
        <w:rPr>
          <w:szCs w:val="28"/>
        </w:rPr>
      </w:pPr>
      <w:bookmarkStart w:id="37" w:name="_Toc451160949"/>
      <w:bookmarkStart w:id="38" w:name="_Toc484528300"/>
      <w:r>
        <w:rPr>
          <w:szCs w:val="28"/>
        </w:rPr>
        <w:t>估价结果</w:t>
      </w:r>
      <w:bookmarkEnd w:id="37"/>
      <w:bookmarkEnd w:id="38"/>
    </w:p>
    <w:p>
      <w:pPr>
        <w:spacing w:before="163" w:after="163"/>
        <w:ind w:firstLine="480"/>
        <w:rPr>
          <w:rFonts w:asciiTheme="minorEastAsia" w:hAnsiTheme="minorEastAsia"/>
        </w:rPr>
      </w:pPr>
      <w:r>
        <w:rPr>
          <w:rFonts w:hint="eastAsia" w:asciiTheme="minorEastAsia" w:hAnsiTheme="minorEastAsia"/>
        </w:rPr>
        <w:t>估价人员经实地勘察，根据估价目的，遵循估价原则，按照估价规范程序，运用科学的估价方法，在综合分析影响房地产价格因素的基础上进行了测算，确定鉴定对象李镇所属的房屋所有权证号为HK076797号位于海南省文昌市清澜开发区文清大道田头坡西侧1#楼1#单元418房（建筑面积为41.03㎡，合同备案号：WHL000004806）、420房（建筑面积为41.03㎡，合同备案号：WHL000004803）、426房（建筑面积为41.03㎡，合同备案号：WHL000004800）三宗房地产在价值时点2018年12月25日的房地产市场价值评估结果如下表：</w:t>
      </w:r>
    </w:p>
    <w:p>
      <w:pPr>
        <w:pStyle w:val="44"/>
        <w:spacing w:before="163" w:after="163"/>
      </w:pPr>
    </w:p>
    <w:p>
      <w:pPr>
        <w:pStyle w:val="44"/>
        <w:spacing w:before="163" w:after="163"/>
      </w:pPr>
    </w:p>
    <w:p>
      <w:pPr>
        <w:pStyle w:val="44"/>
        <w:spacing w:before="163" w:after="163"/>
      </w:pPr>
    </w:p>
    <w:p>
      <w:pPr>
        <w:pStyle w:val="44"/>
        <w:spacing w:before="163" w:after="163"/>
      </w:pPr>
    </w:p>
    <w:p>
      <w:pPr>
        <w:pStyle w:val="44"/>
        <w:spacing w:before="163" w:after="163"/>
      </w:pPr>
      <w:r>
        <w:rPr>
          <w:rFonts w:hint="eastAsia"/>
        </w:rPr>
        <w:t>房地产市场价值评估结果汇总表</w:t>
      </w:r>
    </w:p>
    <w:p>
      <w:pPr>
        <w:pStyle w:val="44"/>
        <w:spacing w:before="163" w:afterLines="0"/>
        <w:rPr>
          <w:b w:val="0"/>
          <w:sz w:val="21"/>
        </w:rPr>
      </w:pPr>
      <w:r>
        <w:rPr>
          <w:rFonts w:hint="eastAsia"/>
          <w:b w:val="0"/>
          <w:sz w:val="21"/>
        </w:rPr>
        <w:t xml:space="preserve">                                                         </w:t>
      </w:r>
      <w:r>
        <w:rPr>
          <w:b w:val="0"/>
          <w:sz w:val="21"/>
        </w:rPr>
        <w:t xml:space="preserve">                    </w:t>
      </w:r>
      <w:r>
        <w:rPr>
          <w:rFonts w:hint="eastAsia"/>
          <w:b w:val="0"/>
          <w:sz w:val="21"/>
        </w:rPr>
        <w:t>币种：人民币</w:t>
      </w:r>
    </w:p>
    <w:tbl>
      <w:tblPr>
        <w:tblStyle w:val="24"/>
        <w:tblW w:w="9474"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504"/>
        <w:gridCol w:w="1203"/>
        <w:gridCol w:w="1052"/>
        <w:gridCol w:w="1052"/>
        <w:gridCol w:w="1124"/>
        <w:gridCol w:w="983"/>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right"/>
        </w:trPr>
        <w:tc>
          <w:tcPr>
            <w:tcW w:w="2857" w:type="dxa"/>
            <w:gridSpan w:val="2"/>
            <w:vMerge w:val="restart"/>
            <w:tcBorders>
              <w:tl2br w:val="single" w:color="auto" w:sz="4" w:space="0"/>
            </w:tcBorders>
            <w:vAlign w:val="center"/>
          </w:tcPr>
          <w:p>
            <w:pPr>
              <w:widowControl/>
              <w:spacing w:before="163" w:after="163"/>
              <w:ind w:firstLine="360"/>
              <w:jc w:val="right"/>
              <w:rPr>
                <w:rFonts w:ascii="宋体" w:hAnsi="宋体"/>
                <w:kern w:val="0"/>
                <w:sz w:val="18"/>
                <w:szCs w:val="18"/>
              </w:rPr>
            </w:pPr>
            <w:bookmarkStart w:id="39" w:name="_Toc451160950"/>
            <w:bookmarkStart w:id="40" w:name="_Toc484528301"/>
            <w:r>
              <w:rPr>
                <w:rFonts w:hint="eastAsia" w:ascii="宋体" w:hAnsi="宋体"/>
                <w:sz w:val="18"/>
                <w:szCs w:val="18"/>
              </w:rPr>
              <w:t>估价对象</w:t>
            </w:r>
          </w:p>
          <w:p>
            <w:pPr>
              <w:spacing w:before="163" w:after="163"/>
              <w:ind w:firstLine="360"/>
              <w:rPr>
                <w:kern w:val="0"/>
                <w:sz w:val="21"/>
              </w:rPr>
            </w:pPr>
            <w:r>
              <w:rPr>
                <w:rFonts w:hint="eastAsia" w:ascii="宋体" w:hAnsi="宋体"/>
                <w:sz w:val="18"/>
                <w:szCs w:val="18"/>
              </w:rPr>
              <w:t>项目及结果</w:t>
            </w:r>
          </w:p>
        </w:tc>
        <w:tc>
          <w:tcPr>
            <w:tcW w:w="2255" w:type="dxa"/>
            <w:gridSpan w:val="2"/>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418房（建筑面积为41.03㎡）</w:t>
            </w:r>
            <w:r>
              <w:rPr>
                <w:rFonts w:ascii="宋体" w:hAnsi="宋体" w:eastAsia="宋体" w:cs="宋体"/>
                <w:snapToGrid w:val="0"/>
                <w:kern w:val="0"/>
                <w:sz w:val="18"/>
                <w:szCs w:val="18"/>
              </w:rPr>
              <w:t>房地产</w:t>
            </w:r>
          </w:p>
        </w:tc>
        <w:tc>
          <w:tcPr>
            <w:tcW w:w="2176" w:type="dxa"/>
            <w:gridSpan w:val="2"/>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420</w:t>
            </w:r>
            <w:r>
              <w:rPr>
                <w:rFonts w:hint="eastAsia" w:ascii="宋体" w:hAnsi="宋体" w:eastAsia="宋体" w:cs="宋体"/>
                <w:snapToGrid w:val="0"/>
                <w:kern w:val="0"/>
                <w:sz w:val="18"/>
                <w:szCs w:val="18"/>
              </w:rPr>
              <w:t>房（建筑面积为41.03㎡）</w:t>
            </w:r>
            <w:r>
              <w:rPr>
                <w:rFonts w:ascii="宋体" w:hAnsi="宋体" w:eastAsia="宋体" w:cs="宋体"/>
                <w:snapToGrid w:val="0"/>
                <w:kern w:val="0"/>
                <w:sz w:val="18"/>
                <w:szCs w:val="18"/>
              </w:rPr>
              <w:t>房地产</w:t>
            </w:r>
          </w:p>
        </w:tc>
        <w:tc>
          <w:tcPr>
            <w:tcW w:w="2186" w:type="dxa"/>
            <w:gridSpan w:val="2"/>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426</w:t>
            </w:r>
            <w:r>
              <w:rPr>
                <w:rFonts w:hint="eastAsia" w:ascii="宋体" w:hAnsi="宋体" w:eastAsia="宋体" w:cs="宋体"/>
                <w:snapToGrid w:val="0"/>
                <w:kern w:val="0"/>
                <w:sz w:val="18"/>
                <w:szCs w:val="18"/>
              </w:rPr>
              <w:t>房（建筑面积为41.03㎡）</w:t>
            </w:r>
            <w:r>
              <w:rPr>
                <w:rFonts w:ascii="宋体" w:hAnsi="宋体" w:eastAsia="宋体" w:cs="宋体"/>
                <w:snapToGrid w:val="0"/>
                <w:kern w:val="0"/>
                <w:sz w:val="18"/>
                <w:szCs w:val="18"/>
              </w:rPr>
              <w:t>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right"/>
        </w:trPr>
        <w:tc>
          <w:tcPr>
            <w:tcW w:w="2857" w:type="dxa"/>
            <w:gridSpan w:val="2"/>
            <w:vMerge w:val="continue"/>
            <w:tcBorders>
              <w:tl2br w:val="single" w:color="auto" w:sz="4" w:space="0"/>
            </w:tcBorders>
            <w:vAlign w:val="center"/>
          </w:tcPr>
          <w:p>
            <w:pPr>
              <w:pStyle w:val="45"/>
              <w:spacing w:before="156" w:after="156"/>
              <w:ind w:firstLine="360"/>
              <w:rPr>
                <w:rFonts w:asciiTheme="minorEastAsia" w:hAnsiTheme="minorEastAsia"/>
                <w:sz w:val="18"/>
                <w:szCs w:val="18"/>
              </w:rPr>
            </w:pPr>
          </w:p>
        </w:tc>
        <w:tc>
          <w:tcPr>
            <w:tcW w:w="1203"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比较法</w:t>
            </w:r>
          </w:p>
        </w:tc>
        <w:tc>
          <w:tcPr>
            <w:tcW w:w="1052"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收益法</w:t>
            </w:r>
          </w:p>
        </w:tc>
        <w:tc>
          <w:tcPr>
            <w:tcW w:w="1052"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比较法</w:t>
            </w:r>
          </w:p>
        </w:tc>
        <w:tc>
          <w:tcPr>
            <w:tcW w:w="1124"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收益法</w:t>
            </w:r>
          </w:p>
        </w:tc>
        <w:tc>
          <w:tcPr>
            <w:tcW w:w="983"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比较法</w:t>
            </w:r>
          </w:p>
        </w:tc>
        <w:tc>
          <w:tcPr>
            <w:tcW w:w="1203"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收益法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1353" w:type="dxa"/>
            <w:vMerge w:val="restart"/>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测算结果</w:t>
            </w:r>
          </w:p>
        </w:tc>
        <w:tc>
          <w:tcPr>
            <w:tcW w:w="1504"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总价</w:t>
            </w:r>
            <w:r>
              <w:rPr>
                <w:rFonts w:hint="eastAsia" w:ascii="宋体" w:hAnsi="宋体" w:eastAsia="宋体" w:cs="宋体"/>
                <w:snapToGrid w:val="0"/>
                <w:kern w:val="0"/>
                <w:sz w:val="18"/>
                <w:szCs w:val="18"/>
              </w:rPr>
              <w:t>（万元）</w:t>
            </w:r>
          </w:p>
        </w:tc>
        <w:tc>
          <w:tcPr>
            <w:tcW w:w="1203"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44.78</w:t>
            </w:r>
          </w:p>
        </w:tc>
        <w:tc>
          <w:tcPr>
            <w:tcW w:w="1052"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11.49</w:t>
            </w:r>
          </w:p>
        </w:tc>
        <w:tc>
          <w:tcPr>
            <w:tcW w:w="1052"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44.78</w:t>
            </w:r>
          </w:p>
        </w:tc>
        <w:tc>
          <w:tcPr>
            <w:tcW w:w="1124"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11.49</w:t>
            </w:r>
          </w:p>
        </w:tc>
        <w:tc>
          <w:tcPr>
            <w:tcW w:w="983"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44.34</w:t>
            </w:r>
          </w:p>
        </w:tc>
        <w:tc>
          <w:tcPr>
            <w:tcW w:w="1203"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1353" w:type="dxa"/>
            <w:vMerge w:val="continue"/>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p>
        </w:tc>
        <w:tc>
          <w:tcPr>
            <w:tcW w:w="1504"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单价</w:t>
            </w:r>
            <w:r>
              <w:rPr>
                <w:rFonts w:hint="eastAsia" w:ascii="宋体" w:hAnsi="宋体" w:eastAsia="宋体" w:cs="宋体"/>
                <w:snapToGrid w:val="0"/>
                <w:kern w:val="0"/>
                <w:sz w:val="18"/>
                <w:szCs w:val="18"/>
              </w:rPr>
              <w:t>（元/㎡）</w:t>
            </w:r>
          </w:p>
        </w:tc>
        <w:tc>
          <w:tcPr>
            <w:tcW w:w="1203"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10915</w:t>
            </w:r>
          </w:p>
        </w:tc>
        <w:tc>
          <w:tcPr>
            <w:tcW w:w="1052"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2801</w:t>
            </w:r>
          </w:p>
        </w:tc>
        <w:tc>
          <w:tcPr>
            <w:tcW w:w="1052"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10915</w:t>
            </w:r>
          </w:p>
        </w:tc>
        <w:tc>
          <w:tcPr>
            <w:tcW w:w="1124"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2801</w:t>
            </w:r>
          </w:p>
        </w:tc>
        <w:tc>
          <w:tcPr>
            <w:tcW w:w="983"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10807</w:t>
            </w:r>
          </w:p>
        </w:tc>
        <w:tc>
          <w:tcPr>
            <w:tcW w:w="1203"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1353" w:type="dxa"/>
            <w:vMerge w:val="restart"/>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hint="eastAsia" w:ascii="宋体" w:hAnsi="宋体" w:eastAsia="宋体" w:cs="宋体"/>
                <w:snapToGrid w:val="0"/>
                <w:kern w:val="0"/>
                <w:sz w:val="18"/>
                <w:szCs w:val="18"/>
              </w:rPr>
              <w:t>评估价值</w:t>
            </w:r>
          </w:p>
        </w:tc>
        <w:tc>
          <w:tcPr>
            <w:tcW w:w="1504"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总价</w:t>
            </w:r>
            <w:r>
              <w:rPr>
                <w:rFonts w:hint="eastAsia" w:ascii="宋体" w:hAnsi="宋体" w:eastAsia="宋体" w:cs="宋体"/>
                <w:snapToGrid w:val="0"/>
                <w:kern w:val="0"/>
                <w:sz w:val="18"/>
                <w:szCs w:val="18"/>
              </w:rPr>
              <w:t>（万元）</w:t>
            </w:r>
          </w:p>
        </w:tc>
        <w:tc>
          <w:tcPr>
            <w:tcW w:w="2255" w:type="dxa"/>
            <w:gridSpan w:val="2"/>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44.78</w:t>
            </w:r>
          </w:p>
        </w:tc>
        <w:tc>
          <w:tcPr>
            <w:tcW w:w="2176" w:type="dxa"/>
            <w:gridSpan w:val="2"/>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44.78</w:t>
            </w:r>
          </w:p>
        </w:tc>
        <w:tc>
          <w:tcPr>
            <w:tcW w:w="2186" w:type="dxa"/>
            <w:gridSpan w:val="2"/>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44.34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1353" w:type="dxa"/>
            <w:vMerge w:val="continue"/>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p>
        </w:tc>
        <w:tc>
          <w:tcPr>
            <w:tcW w:w="1504" w:type="dxa"/>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单价</w:t>
            </w:r>
            <w:r>
              <w:rPr>
                <w:rFonts w:hint="eastAsia" w:ascii="宋体" w:hAnsi="宋体" w:eastAsia="宋体" w:cs="宋体"/>
                <w:snapToGrid w:val="0"/>
                <w:kern w:val="0"/>
                <w:sz w:val="18"/>
                <w:szCs w:val="18"/>
              </w:rPr>
              <w:t>（元/㎡）</w:t>
            </w:r>
          </w:p>
        </w:tc>
        <w:tc>
          <w:tcPr>
            <w:tcW w:w="2255" w:type="dxa"/>
            <w:gridSpan w:val="2"/>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10915</w:t>
            </w:r>
          </w:p>
        </w:tc>
        <w:tc>
          <w:tcPr>
            <w:tcW w:w="2176" w:type="dxa"/>
            <w:gridSpan w:val="2"/>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10915</w:t>
            </w:r>
          </w:p>
        </w:tc>
        <w:tc>
          <w:tcPr>
            <w:tcW w:w="2186" w:type="dxa"/>
            <w:gridSpan w:val="2"/>
            <w:vAlign w:val="center"/>
          </w:tcPr>
          <w:p>
            <w:pPr>
              <w:widowControl/>
              <w:spacing w:beforeLines="0" w:afterLines="0" w:line="240" w:lineRule="auto"/>
              <w:ind w:firstLine="0" w:firstLineChars="0"/>
              <w:jc w:val="center"/>
              <w:rPr>
                <w:rFonts w:ascii="宋体" w:hAnsi="宋体" w:eastAsia="宋体" w:cs="宋体"/>
                <w:snapToGrid w:val="0"/>
                <w:kern w:val="0"/>
                <w:sz w:val="18"/>
                <w:szCs w:val="18"/>
              </w:rPr>
            </w:pPr>
            <w:r>
              <w:rPr>
                <w:rFonts w:ascii="宋体" w:hAnsi="宋体" w:eastAsia="宋体" w:cs="宋体"/>
                <w:snapToGrid w:val="0"/>
                <w:kern w:val="0"/>
                <w:sz w:val="18"/>
                <w:szCs w:val="18"/>
              </w:rPr>
              <w:t>10807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2857" w:type="dxa"/>
            <w:gridSpan w:val="2"/>
            <w:vAlign w:val="center"/>
          </w:tcPr>
          <w:p>
            <w:pPr>
              <w:widowControl/>
              <w:spacing w:beforeLines="0" w:afterLines="0" w:line="240" w:lineRule="auto"/>
              <w:ind w:firstLine="0" w:firstLineChars="0"/>
              <w:jc w:val="left"/>
              <w:rPr>
                <w:rFonts w:ascii="宋体" w:hAnsi="宋体" w:eastAsia="宋体" w:cs="宋体"/>
                <w:b/>
                <w:snapToGrid w:val="0"/>
                <w:kern w:val="0"/>
                <w:sz w:val="18"/>
                <w:szCs w:val="18"/>
              </w:rPr>
            </w:pPr>
            <w:r>
              <w:rPr>
                <w:rFonts w:ascii="宋体" w:hAnsi="宋体" w:eastAsia="宋体" w:cs="宋体"/>
                <w:b/>
                <w:snapToGrid w:val="0"/>
                <w:kern w:val="0"/>
                <w:sz w:val="18"/>
                <w:szCs w:val="18"/>
              </w:rPr>
              <w:t>市场价值评估总价大写人民币</w:t>
            </w:r>
          </w:p>
        </w:tc>
        <w:tc>
          <w:tcPr>
            <w:tcW w:w="2255" w:type="dxa"/>
            <w:gridSpan w:val="2"/>
            <w:vAlign w:val="center"/>
          </w:tcPr>
          <w:p>
            <w:pPr>
              <w:widowControl/>
              <w:spacing w:beforeLines="0" w:afterLines="0" w:line="240" w:lineRule="auto"/>
              <w:ind w:firstLine="0" w:firstLineChars="0"/>
              <w:jc w:val="left"/>
              <w:rPr>
                <w:rFonts w:ascii="宋体" w:hAnsi="宋体" w:eastAsia="宋体" w:cs="宋体"/>
                <w:b/>
                <w:snapToGrid w:val="0"/>
                <w:kern w:val="0"/>
                <w:sz w:val="18"/>
                <w:szCs w:val="18"/>
              </w:rPr>
            </w:pPr>
            <w:r>
              <w:rPr>
                <w:rFonts w:hint="eastAsia" w:ascii="宋体" w:hAnsi="宋体" w:eastAsia="宋体" w:cs="宋体"/>
                <w:b/>
                <w:snapToGrid w:val="0"/>
                <w:kern w:val="0"/>
                <w:sz w:val="18"/>
                <w:szCs w:val="18"/>
              </w:rPr>
              <w:t>肆拾肆万柒仟捌佰元整</w:t>
            </w:r>
          </w:p>
        </w:tc>
        <w:tc>
          <w:tcPr>
            <w:tcW w:w="2176" w:type="dxa"/>
            <w:gridSpan w:val="2"/>
            <w:vAlign w:val="center"/>
          </w:tcPr>
          <w:p>
            <w:pPr>
              <w:widowControl/>
              <w:spacing w:beforeLines="0" w:afterLines="0" w:line="240" w:lineRule="auto"/>
              <w:ind w:firstLine="0" w:firstLineChars="0"/>
              <w:jc w:val="left"/>
              <w:rPr>
                <w:rFonts w:ascii="宋体" w:hAnsi="宋体" w:eastAsia="宋体" w:cs="宋体"/>
                <w:b/>
                <w:snapToGrid w:val="0"/>
                <w:kern w:val="0"/>
                <w:sz w:val="18"/>
                <w:szCs w:val="18"/>
              </w:rPr>
            </w:pPr>
            <w:r>
              <w:rPr>
                <w:rFonts w:hint="eastAsia" w:ascii="宋体" w:hAnsi="宋体" w:eastAsia="宋体" w:cs="宋体"/>
                <w:b/>
                <w:snapToGrid w:val="0"/>
                <w:kern w:val="0"/>
                <w:sz w:val="18"/>
                <w:szCs w:val="18"/>
              </w:rPr>
              <w:t>肆拾肆万柒仟捌佰元整</w:t>
            </w:r>
          </w:p>
        </w:tc>
        <w:tc>
          <w:tcPr>
            <w:tcW w:w="2186" w:type="dxa"/>
            <w:gridSpan w:val="2"/>
            <w:vAlign w:val="center"/>
          </w:tcPr>
          <w:p>
            <w:pPr>
              <w:widowControl/>
              <w:spacing w:beforeLines="0" w:afterLines="0" w:line="240" w:lineRule="auto"/>
              <w:ind w:firstLine="0" w:firstLineChars="0"/>
              <w:jc w:val="left"/>
              <w:rPr>
                <w:rFonts w:ascii="宋体" w:hAnsi="宋体" w:eastAsia="宋体" w:cs="宋体"/>
                <w:b/>
                <w:snapToGrid w:val="0"/>
                <w:kern w:val="0"/>
                <w:sz w:val="18"/>
                <w:szCs w:val="18"/>
              </w:rPr>
            </w:pPr>
            <w:r>
              <w:rPr>
                <w:rFonts w:hint="eastAsia" w:ascii="宋体" w:hAnsi="宋体" w:eastAsia="宋体" w:cs="宋体"/>
                <w:b/>
                <w:snapToGrid w:val="0"/>
                <w:kern w:val="0"/>
                <w:sz w:val="18"/>
                <w:szCs w:val="18"/>
              </w:rPr>
              <w:t>肆拾肆万叁仟肆佰元整</w:t>
            </w:r>
          </w:p>
        </w:tc>
      </w:tr>
    </w:tbl>
    <w:p>
      <w:pPr>
        <w:pStyle w:val="3"/>
        <w:spacing w:before="163" w:after="163"/>
        <w:ind w:firstLine="281"/>
        <w:rPr>
          <w:szCs w:val="28"/>
        </w:rPr>
      </w:pPr>
      <w:r>
        <w:rPr>
          <w:rFonts w:hint="eastAsia"/>
          <w:szCs w:val="28"/>
        </w:rPr>
        <w:t>注册房地产估价师</w:t>
      </w:r>
      <w:bookmarkEnd w:id="39"/>
      <w:bookmarkEnd w:id="40"/>
    </w:p>
    <w:p>
      <w:pPr>
        <w:spacing w:before="163" w:after="163"/>
        <w:ind w:firstLine="480"/>
      </w:pPr>
      <w:r>
        <w:t>参加撰写本报告的注册房地产估价师如下</w:t>
      </w:r>
      <w:r>
        <w:rPr>
          <w:rFonts w:hint="eastAsia"/>
        </w:rPr>
        <w:t>：</w:t>
      </w:r>
    </w:p>
    <w:tbl>
      <w:tblPr>
        <w:tblStyle w:val="23"/>
        <w:tblW w:w="94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925"/>
        <w:gridCol w:w="3198"/>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761"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姓名</w:t>
            </w:r>
          </w:p>
        </w:tc>
        <w:tc>
          <w:tcPr>
            <w:tcW w:w="1925"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注册号</w:t>
            </w:r>
          </w:p>
        </w:tc>
        <w:tc>
          <w:tcPr>
            <w:tcW w:w="3198"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签名</w:t>
            </w:r>
          </w:p>
        </w:tc>
        <w:tc>
          <w:tcPr>
            <w:tcW w:w="2590"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1761"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符玉斌</w:t>
            </w:r>
          </w:p>
        </w:tc>
        <w:tc>
          <w:tcPr>
            <w:tcW w:w="1925"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4620020005</w:t>
            </w:r>
          </w:p>
        </w:tc>
        <w:tc>
          <w:tcPr>
            <w:tcW w:w="3198"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p>
        </w:tc>
        <w:tc>
          <w:tcPr>
            <w:tcW w:w="2590"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jc w:val="center"/>
        </w:trPr>
        <w:tc>
          <w:tcPr>
            <w:tcW w:w="1761"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卫道仁</w:t>
            </w:r>
          </w:p>
        </w:tc>
        <w:tc>
          <w:tcPr>
            <w:tcW w:w="1925"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4420120004</w:t>
            </w:r>
          </w:p>
        </w:tc>
        <w:tc>
          <w:tcPr>
            <w:tcW w:w="3198"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p>
        </w:tc>
        <w:tc>
          <w:tcPr>
            <w:tcW w:w="2590" w:type="dxa"/>
            <w:vAlign w:val="center"/>
          </w:tcPr>
          <w:p>
            <w:pPr>
              <w:widowControl/>
              <w:spacing w:beforeLines="0" w:afterLines="0" w:line="240" w:lineRule="auto"/>
              <w:ind w:firstLine="0" w:firstLineChars="0"/>
              <w:jc w:val="center"/>
              <w:rPr>
                <w:rFonts w:ascii="宋体" w:hAnsi="宋体" w:eastAsia="宋体" w:cs="宋体"/>
                <w:snapToGrid w:val="0"/>
                <w:kern w:val="0"/>
                <w:szCs w:val="24"/>
              </w:rPr>
            </w:pPr>
            <w:r>
              <w:rPr>
                <w:rFonts w:hint="eastAsia" w:ascii="宋体" w:hAnsi="宋体" w:eastAsia="宋体" w:cs="宋体"/>
                <w:snapToGrid w:val="0"/>
                <w:kern w:val="0"/>
                <w:szCs w:val="24"/>
              </w:rPr>
              <w:t xml:space="preserve"> 年   月   日</w:t>
            </w:r>
          </w:p>
        </w:tc>
      </w:tr>
    </w:tbl>
    <w:p>
      <w:pPr>
        <w:pStyle w:val="3"/>
        <w:spacing w:before="163" w:after="163"/>
        <w:ind w:firstLine="281"/>
        <w:rPr>
          <w:szCs w:val="28"/>
        </w:rPr>
      </w:pPr>
      <w:bookmarkStart w:id="41" w:name="_Toc451160951"/>
      <w:bookmarkStart w:id="42" w:name="_Toc484528302"/>
      <w:r>
        <w:rPr>
          <w:rFonts w:hint="eastAsia"/>
          <w:szCs w:val="28"/>
        </w:rPr>
        <w:t>实地查勘期</w:t>
      </w:r>
      <w:bookmarkEnd w:id="41"/>
      <w:bookmarkEnd w:id="42"/>
    </w:p>
    <w:p>
      <w:pPr>
        <w:spacing w:before="163" w:after="163"/>
        <w:ind w:firstLine="480"/>
        <w:rPr>
          <w:rFonts w:asciiTheme="minorEastAsia" w:hAnsiTheme="minorEastAsia"/>
        </w:rPr>
      </w:pPr>
      <w:r>
        <w:rPr>
          <w:rFonts w:hint="eastAsia" w:asciiTheme="minorEastAsia" w:hAnsiTheme="minorEastAsia"/>
        </w:rPr>
        <w:t>2018年12月25日。</w:t>
      </w:r>
    </w:p>
    <w:p>
      <w:pPr>
        <w:pStyle w:val="3"/>
        <w:spacing w:before="163" w:after="163"/>
        <w:ind w:firstLine="396" w:firstLineChars="141"/>
        <w:rPr>
          <w:rFonts w:asciiTheme="minorEastAsia" w:hAnsiTheme="minorEastAsia" w:eastAsiaTheme="minorEastAsia"/>
          <w:szCs w:val="28"/>
        </w:rPr>
      </w:pPr>
      <w:bookmarkStart w:id="43" w:name="_Toc451160952"/>
      <w:bookmarkStart w:id="44" w:name="_Toc484528303"/>
      <w:r>
        <w:rPr>
          <w:rFonts w:asciiTheme="minorEastAsia" w:hAnsiTheme="minorEastAsia" w:eastAsiaTheme="minorEastAsia"/>
          <w:szCs w:val="28"/>
        </w:rPr>
        <w:t>估价作业期</w:t>
      </w:r>
      <w:bookmarkEnd w:id="43"/>
      <w:bookmarkEnd w:id="44"/>
    </w:p>
    <w:p>
      <w:pPr>
        <w:spacing w:before="163" w:after="163"/>
        <w:ind w:firstLine="480"/>
        <w:rPr>
          <w:rFonts w:asciiTheme="minorEastAsia" w:hAnsiTheme="minorEastAsia"/>
        </w:rPr>
      </w:pPr>
      <w:r>
        <w:rPr>
          <w:rFonts w:hint="eastAsia" w:asciiTheme="minorEastAsia" w:hAnsiTheme="minorEastAsia"/>
        </w:rPr>
        <w:t>2018年12月25日至</w:t>
      </w:r>
      <w:r>
        <w:rPr>
          <w:rFonts w:hint="eastAsia" w:asciiTheme="minorEastAsia" w:hAnsiTheme="minorEastAsia"/>
          <w:lang w:eastAsia="zh-CN"/>
        </w:rPr>
        <w:t>2019年04月12日</w:t>
      </w:r>
      <w:r>
        <w:rPr>
          <w:rFonts w:hint="eastAsia" w:asciiTheme="minorEastAsia" w:hAnsiTheme="minorEastAsia"/>
        </w:rPr>
        <w:t>。</w:t>
      </w:r>
    </w:p>
    <w:p>
      <w:pPr>
        <w:spacing w:before="163" w:after="163"/>
        <w:ind w:left="4109" w:leftChars="1712" w:firstLine="0" w:firstLineChars="0"/>
        <w:jc w:val="center"/>
        <w:rPr>
          <w:rFonts w:asciiTheme="minorEastAsia" w:hAnsiTheme="minorEastAsia"/>
        </w:rPr>
      </w:pPr>
    </w:p>
    <w:p>
      <w:pPr>
        <w:spacing w:before="163" w:after="163"/>
        <w:ind w:left="3967" w:leftChars="1653" w:firstLine="0" w:firstLineChars="0"/>
        <w:jc w:val="center"/>
        <w:rPr>
          <w:rFonts w:hint="eastAsia" w:asciiTheme="minorEastAsia" w:hAnsiTheme="minorEastAsia" w:eastAsiaTheme="minorEastAsia"/>
          <w:lang w:eastAsia="zh-CN"/>
        </w:rPr>
        <w:sectPr>
          <w:headerReference r:id="rId12" w:type="default"/>
          <w:footerReference r:id="rId13" w:type="default"/>
          <w:pgSz w:w="11906" w:h="16838"/>
          <w:pgMar w:top="1440" w:right="851" w:bottom="1440" w:left="1797" w:header="851" w:footer="567" w:gutter="0"/>
          <w:cols w:space="425" w:num="1"/>
          <w:docGrid w:type="lines" w:linePitch="326" w:charSpace="0"/>
        </w:sectPr>
      </w:pPr>
    </w:p>
    <w:p>
      <w:pPr>
        <w:pStyle w:val="2"/>
        <w:spacing w:before="156" w:after="156"/>
      </w:pPr>
      <w:bookmarkStart w:id="45" w:name="_Toc451160960"/>
      <w:bookmarkStart w:id="46" w:name="_Toc484528311"/>
      <w:r>
        <w:t>附</w:t>
      </w:r>
      <w:r>
        <w:rPr>
          <w:rFonts w:hint="eastAsia"/>
        </w:rPr>
        <w:t>件</w:t>
      </w:r>
      <w:bookmarkEnd w:id="45"/>
      <w:bookmarkEnd w:id="46"/>
    </w:p>
    <w:p>
      <w:pPr>
        <w:spacing w:before="156" w:after="156"/>
        <w:ind w:firstLine="480"/>
        <w:rPr>
          <w:szCs w:val="24"/>
        </w:rPr>
      </w:pPr>
      <w:r>
        <w:rPr>
          <w:rFonts w:hint="eastAsia"/>
          <w:szCs w:val="24"/>
        </w:rPr>
        <w:t>（一）（2018）文法评字第30号《海南省文昌市人民法院司法鉴定委托书》</w:t>
      </w:r>
    </w:p>
    <w:p>
      <w:pPr>
        <w:spacing w:before="156" w:after="156"/>
        <w:ind w:firstLine="480"/>
        <w:rPr>
          <w:rFonts w:hint="eastAsia"/>
          <w:szCs w:val="24"/>
        </w:rPr>
      </w:pPr>
      <w:r>
        <w:rPr>
          <w:rFonts w:hint="eastAsia"/>
          <w:szCs w:val="24"/>
        </w:rPr>
        <w:t>（复印件）；</w:t>
      </w:r>
    </w:p>
    <w:p>
      <w:pPr>
        <w:spacing w:before="156" w:after="156"/>
        <w:ind w:firstLine="480"/>
        <w:rPr>
          <w:rFonts w:hint="eastAsia"/>
          <w:szCs w:val="24"/>
        </w:rPr>
      </w:pPr>
      <w:r>
        <w:rPr>
          <w:rFonts w:hint="eastAsia"/>
          <w:szCs w:val="24"/>
        </w:rPr>
        <w:t>（二）鉴定对象位置图及现状照片；</w:t>
      </w:r>
    </w:p>
    <w:p>
      <w:pPr>
        <w:spacing w:before="156" w:after="156"/>
        <w:ind w:firstLine="480"/>
        <w:rPr>
          <w:rFonts w:hint="eastAsia"/>
          <w:szCs w:val="24"/>
        </w:rPr>
      </w:pPr>
      <w:r>
        <w:rPr>
          <w:rFonts w:hint="eastAsia"/>
          <w:szCs w:val="24"/>
        </w:rPr>
        <w:t>（三）可比实例位置图和外观照片；</w:t>
      </w:r>
    </w:p>
    <w:p>
      <w:pPr>
        <w:spacing w:before="156" w:after="156"/>
        <w:ind w:firstLine="480"/>
        <w:rPr>
          <w:rFonts w:hint="eastAsia"/>
          <w:szCs w:val="24"/>
        </w:rPr>
      </w:pPr>
      <w:r>
        <w:rPr>
          <w:rFonts w:hint="eastAsia"/>
          <w:szCs w:val="24"/>
        </w:rPr>
        <w:t>（四）文国用（2016）第W0300483号《国有土地使用证》（复印件）。</w:t>
      </w:r>
    </w:p>
    <w:p>
      <w:pPr>
        <w:spacing w:before="156" w:after="156"/>
        <w:ind w:firstLine="480"/>
        <w:rPr>
          <w:rFonts w:hint="eastAsia"/>
          <w:szCs w:val="24"/>
        </w:rPr>
      </w:pPr>
      <w:r>
        <w:rPr>
          <w:rFonts w:hint="eastAsia"/>
          <w:szCs w:val="24"/>
        </w:rPr>
        <w:t>（五）文昌市房权证文房证字第50931号《房屋所有权证》复印件；</w:t>
      </w:r>
    </w:p>
    <w:p>
      <w:pPr>
        <w:spacing w:before="156" w:after="156"/>
        <w:ind w:firstLine="480"/>
        <w:rPr>
          <w:rFonts w:hint="eastAsia"/>
          <w:szCs w:val="24"/>
        </w:rPr>
      </w:pPr>
      <w:r>
        <w:rPr>
          <w:rFonts w:hint="eastAsia"/>
          <w:szCs w:val="24"/>
        </w:rPr>
        <w:t>（六）《房产面积测算报告书》（变更测绘报告）（复印件）；</w:t>
      </w:r>
    </w:p>
    <w:p>
      <w:pPr>
        <w:spacing w:before="156" w:after="156"/>
        <w:ind w:firstLine="480"/>
        <w:rPr>
          <w:rFonts w:hint="eastAsia"/>
          <w:szCs w:val="24"/>
        </w:rPr>
      </w:pPr>
      <w:r>
        <w:rPr>
          <w:rFonts w:hint="eastAsia"/>
          <w:szCs w:val="24"/>
        </w:rPr>
        <w:t>（七）《文昌市商品房买卖合同备案表》（复印件）；</w:t>
      </w:r>
    </w:p>
    <w:p>
      <w:pPr>
        <w:spacing w:before="156" w:after="156"/>
        <w:ind w:firstLine="480"/>
        <w:rPr>
          <w:rFonts w:hint="eastAsia"/>
          <w:szCs w:val="24"/>
        </w:rPr>
      </w:pPr>
      <w:r>
        <w:rPr>
          <w:rFonts w:hint="eastAsia"/>
          <w:szCs w:val="24"/>
        </w:rPr>
        <w:t>（八）《房源核验单》（复印件）；</w:t>
      </w:r>
    </w:p>
    <w:p>
      <w:pPr>
        <w:spacing w:before="156" w:after="156"/>
        <w:ind w:firstLine="480"/>
        <w:rPr>
          <w:rFonts w:hint="eastAsia"/>
          <w:szCs w:val="24"/>
        </w:rPr>
      </w:pPr>
      <w:r>
        <w:rPr>
          <w:rFonts w:hint="eastAsia"/>
          <w:szCs w:val="24"/>
        </w:rPr>
        <w:t>（九）估价委托人营业执照（副本）（复印件）；</w:t>
      </w:r>
    </w:p>
    <w:p>
      <w:pPr>
        <w:spacing w:before="156" w:after="156"/>
        <w:ind w:firstLine="480"/>
        <w:rPr>
          <w:rFonts w:hint="eastAsia"/>
          <w:szCs w:val="24"/>
        </w:rPr>
      </w:pPr>
      <w:r>
        <w:rPr>
          <w:rFonts w:hint="eastAsia"/>
          <w:szCs w:val="24"/>
        </w:rPr>
        <w:t>（十）估价机构营业执照（复印件）；</w:t>
      </w:r>
    </w:p>
    <w:p>
      <w:pPr>
        <w:spacing w:before="156" w:after="156"/>
        <w:ind w:firstLine="480"/>
        <w:rPr>
          <w:rFonts w:hint="eastAsia"/>
          <w:szCs w:val="24"/>
        </w:rPr>
      </w:pPr>
      <w:r>
        <w:rPr>
          <w:rFonts w:hint="eastAsia"/>
          <w:szCs w:val="24"/>
        </w:rPr>
        <w:t>（十一）估价机构房地产评估资格证书（复印件）；</w:t>
      </w:r>
    </w:p>
    <w:p>
      <w:pPr>
        <w:spacing w:before="156" w:after="156"/>
        <w:ind w:firstLine="480"/>
        <w:rPr>
          <w:szCs w:val="24"/>
        </w:rPr>
      </w:pPr>
      <w:r>
        <w:rPr>
          <w:rFonts w:hint="eastAsia"/>
          <w:szCs w:val="24"/>
        </w:rPr>
        <w:t>（十二）汇德机构业务全案档案目录。</w:t>
      </w:r>
    </w:p>
    <w:sectPr>
      <w:headerReference r:id="rId14" w:type="default"/>
      <w:footerReference r:id="rId1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ind w:firstLine="360"/>
      <w:jc w:val="center"/>
    </w:pPr>
    <w:r>
      <w:fldChar w:fldCharType="begin"/>
    </w:r>
    <w:r>
      <w:instrText xml:space="preserve">PAGE   \* MERGEFORMAT</w:instrText>
    </w:r>
    <w:r>
      <w:fldChar w:fldCharType="separate"/>
    </w:r>
    <w:r>
      <w:rPr>
        <w:lang w:val="zh-CN"/>
      </w:rPr>
      <w:t>4</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ind w:firstLine="360"/>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8"/>
                  <w:spacing w:before="120" w:after="120"/>
                  <w:ind w:firstLine="360"/>
                  <w:jc w:val="center"/>
                </w:pPr>
                <w:r>
                  <w:fldChar w:fldCharType="begin"/>
                </w:r>
                <w:r>
                  <w:instrText xml:space="preserve">PAGE   \* MERGEFORMAT</w:instrText>
                </w:r>
                <w:r>
                  <w:fldChar w:fldCharType="separate"/>
                </w:r>
                <w:r>
                  <w:rPr>
                    <w:lang w:val="zh-CN"/>
                  </w:rPr>
                  <w:t>III</w:t>
                </w:r>
                <w:r>
                  <w:rPr>
                    <w:lang w:val="zh-CN"/>
                  </w:rPr>
                  <w:fldChar w:fldCharType="end"/>
                </w:r>
              </w:p>
              <w:p>
                <w:pPr>
                  <w:spacing w:before="120" w:after="120"/>
                  <w:ind w:firstLine="480"/>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ind w:firstLine="360"/>
      <w:jc w:val="center"/>
    </w:pPr>
    <w:r>
      <w:pict>
        <v:shape id="_x0000_s2057" o:spid="_x0000_s205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sdt>
                <w:sdtPr>
                  <w:id w:val="1405420797"/>
                </w:sdtPr>
                <w:sdtContent>
                  <w:p>
                    <w:pPr>
                      <w:pStyle w:val="18"/>
                      <w:spacing w:before="120" w:after="120"/>
                      <w:ind w:firstLine="360"/>
                      <w:jc w:val="center"/>
                    </w:pPr>
                    <w:r>
                      <w:fldChar w:fldCharType="begin"/>
                    </w:r>
                    <w:r>
                      <w:instrText xml:space="preserve">PAGE   \* MERGEFORMAT</w:instrText>
                    </w:r>
                    <w:r>
                      <w:fldChar w:fldCharType="separate"/>
                    </w:r>
                    <w:r>
                      <w:rPr>
                        <w:lang w:val="zh-CN"/>
                      </w:rPr>
                      <w:t>45</w:t>
                    </w:r>
                    <w:r>
                      <w:rPr>
                        <w:lang w:val="zh-CN"/>
                      </w:rPr>
                      <w:fldChar w:fldCharType="end"/>
                    </w:r>
                  </w:p>
                </w:sdtContent>
              </w:sdt>
              <w:p>
                <w:pPr>
                  <w:spacing w:before="120" w:after="120"/>
                  <w:ind w:firstLine="480"/>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120"/>
      <w:ind w:firstLine="360"/>
      <w:jc w:val="center"/>
    </w:pPr>
    <w:r>
      <w:pict>
        <v:shape id="_x0000_s2058" o:spid="_x0000_s205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18"/>
                  <w:spacing w:before="120" w:after="120"/>
                  <w:ind w:firstLine="360"/>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120" w:after="1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120" w:after="120"/>
      <w:ind w:firstLine="0" w:firstLineChars="0"/>
    </w:pPr>
    <w:r>
      <w:rPr>
        <w:rFonts w:hint="eastAsia"/>
        <w:spacing w:val="5"/>
        <w:kern w:val="0"/>
      </w:rPr>
      <w:t>海南</w:t>
    </w:r>
    <w:r>
      <w:rPr>
        <w:spacing w:val="5"/>
        <w:kern w:val="0"/>
      </w:rPr>
      <w:t>汇德土地房地产评估咨询有限公</w:t>
    </w:r>
    <w:r>
      <w:rPr>
        <w:spacing w:val="10"/>
        <w:kern w:val="0"/>
      </w:rPr>
      <w:t>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120" w:after="120"/>
      <w:ind w:firstLine="0" w:firstLineChars="0"/>
    </w:pPr>
    <w:r>
      <w:rPr>
        <w:rFonts w:hint="eastAsia"/>
        <w:spacing w:val="5"/>
        <w:kern w:val="0"/>
      </w:rPr>
      <w:t>海南</w:t>
    </w:r>
    <w:r>
      <w:rPr>
        <w:spacing w:val="5"/>
        <w:kern w:val="0"/>
      </w:rPr>
      <w:t>汇德土地房地产评估咨询有限公</w:t>
    </w:r>
    <w:r>
      <w:rPr>
        <w:spacing w:val="10"/>
        <w:kern w:val="0"/>
      </w:rPr>
      <w:t>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firstLine="480"/>
    </w:pPr>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0C1"/>
    <w:multiLevelType w:val="multilevel"/>
    <w:tmpl w:val="188310C1"/>
    <w:lvl w:ilvl="0" w:tentative="0">
      <w:start w:val="1"/>
      <w:numFmt w:val="decimalEnclosedCircle"/>
      <w:pStyle w:val="7"/>
      <w:lvlText w:val="%1"/>
      <w:lvlJc w:val="left"/>
      <w:pPr>
        <w:ind w:left="900" w:hanging="420"/>
      </w:pPr>
      <w:rPr>
        <w:rFonts w:hint="default" w:ascii="Times New Roman" w:hAnsi="Times New Roman"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D3974B7"/>
    <w:multiLevelType w:val="multilevel"/>
    <w:tmpl w:val="3D3974B7"/>
    <w:lvl w:ilvl="0" w:tentative="0">
      <w:start w:val="1"/>
      <w:numFmt w:val="decimal"/>
      <w:pStyle w:val="5"/>
      <w:lvlText w:val="（%1）"/>
      <w:lvlJc w:val="left"/>
      <w:pPr>
        <w:ind w:left="1140" w:hanging="420"/>
      </w:pPr>
      <w:rPr>
        <w:rFonts w:hint="default"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lang w:val="en-US"/>
      </w:rPr>
    </w:lvl>
    <w:lvl w:ilvl="1" w:tentative="0">
      <w:start w:val="1"/>
      <w:numFmt w:val="lowerLetter"/>
      <w:lvlText w:val="%2)"/>
      <w:lvlJc w:val="left"/>
      <w:pPr>
        <w:ind w:left="1051" w:hanging="420"/>
      </w:pPr>
    </w:lvl>
    <w:lvl w:ilvl="2" w:tentative="0">
      <w:start w:val="1"/>
      <w:numFmt w:val="lowerRoman"/>
      <w:lvlText w:val="%3."/>
      <w:lvlJc w:val="right"/>
      <w:pPr>
        <w:ind w:left="1471" w:hanging="420"/>
      </w:pPr>
    </w:lvl>
    <w:lvl w:ilvl="3" w:tentative="0">
      <w:start w:val="1"/>
      <w:numFmt w:val="decimal"/>
      <w:lvlText w:val="%4."/>
      <w:lvlJc w:val="left"/>
      <w:pPr>
        <w:ind w:left="1891" w:hanging="420"/>
      </w:pPr>
    </w:lvl>
    <w:lvl w:ilvl="4" w:tentative="0">
      <w:start w:val="1"/>
      <w:numFmt w:val="lowerLetter"/>
      <w:lvlText w:val="%5)"/>
      <w:lvlJc w:val="left"/>
      <w:pPr>
        <w:ind w:left="2311" w:hanging="420"/>
      </w:pPr>
    </w:lvl>
    <w:lvl w:ilvl="5" w:tentative="0">
      <w:start w:val="1"/>
      <w:numFmt w:val="lowerRoman"/>
      <w:lvlText w:val="%6."/>
      <w:lvlJc w:val="right"/>
      <w:pPr>
        <w:ind w:left="2731" w:hanging="420"/>
      </w:pPr>
    </w:lvl>
    <w:lvl w:ilvl="6" w:tentative="0">
      <w:start w:val="1"/>
      <w:numFmt w:val="decimal"/>
      <w:lvlText w:val="%7."/>
      <w:lvlJc w:val="left"/>
      <w:pPr>
        <w:ind w:left="3151" w:hanging="420"/>
      </w:pPr>
    </w:lvl>
    <w:lvl w:ilvl="7" w:tentative="0">
      <w:start w:val="1"/>
      <w:numFmt w:val="lowerLetter"/>
      <w:lvlText w:val="%8)"/>
      <w:lvlJc w:val="left"/>
      <w:pPr>
        <w:ind w:left="3571" w:hanging="420"/>
      </w:pPr>
    </w:lvl>
    <w:lvl w:ilvl="8" w:tentative="0">
      <w:start w:val="1"/>
      <w:numFmt w:val="lowerRoman"/>
      <w:lvlText w:val="%9."/>
      <w:lvlJc w:val="right"/>
      <w:pPr>
        <w:ind w:left="3991" w:hanging="420"/>
      </w:pPr>
    </w:lvl>
  </w:abstractNum>
  <w:abstractNum w:abstractNumId="2">
    <w:nsid w:val="3EFF0B9F"/>
    <w:multiLevelType w:val="multilevel"/>
    <w:tmpl w:val="3EFF0B9F"/>
    <w:lvl w:ilvl="0" w:tentative="0">
      <w:start w:val="1"/>
      <w:numFmt w:val="chineseCountingThousand"/>
      <w:pStyle w:val="2"/>
      <w:lvlText w:val="%1、"/>
      <w:lvlJc w:val="left"/>
      <w:pPr>
        <w:ind w:left="680" w:hanging="680"/>
      </w:pPr>
      <w:rPr>
        <w:rFonts w:hint="eastAsia"/>
      </w:rPr>
    </w:lvl>
    <w:lvl w:ilvl="1" w:tentative="0">
      <w:start w:val="1"/>
      <w:numFmt w:val="chineseCountingThousand"/>
      <w:lvlText w:val="（%2）"/>
      <w:lvlJc w:val="left"/>
      <w:pPr>
        <w:tabs>
          <w:tab w:val="left" w:pos="1134"/>
        </w:tabs>
        <w:ind w:left="397" w:hanging="397"/>
      </w:pPr>
      <w:rPr>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suff w:val="space"/>
      <w:lvlText w:val="%3、"/>
      <w:lvlJc w:val="left"/>
      <w:pPr>
        <w:ind w:left="403" w:hanging="3"/>
      </w:pPr>
      <w:rPr>
        <w:rFonts w:hint="default" w:ascii="Times New Roman" w:hAnsi="Times New Roman" w:eastAsia="宋体"/>
        <w:b w:val="0"/>
        <w:i w:val="0"/>
        <w:sz w:val="28"/>
      </w:rPr>
    </w:lvl>
    <w:lvl w:ilvl="3" w:tentative="0">
      <w:start w:val="1"/>
      <w:numFmt w:val="decimal"/>
      <w:suff w:val="space"/>
      <w:lvlText w:val="%3.%4"/>
      <w:lvlJc w:val="left"/>
      <w:pPr>
        <w:ind w:left="1680" w:hanging="1280"/>
      </w:pPr>
      <w:rPr>
        <w:rFonts w:hint="default" w:ascii="Times New Roman" w:hAnsi="Times New Roman" w:eastAsia="宋体"/>
        <w:b w:val="0"/>
        <w:i w:val="0"/>
        <w:sz w:val="24"/>
      </w:rPr>
    </w:lvl>
    <w:lvl w:ilvl="4" w:tentative="0">
      <w:start w:val="1"/>
      <w:numFmt w:val="decimal"/>
      <w:suff w:val="space"/>
      <w:lvlText w:val="%3.%4.%5"/>
      <w:lvlJc w:val="left"/>
      <w:pPr>
        <w:ind w:left="852" w:firstLine="0"/>
      </w:pPr>
      <w:rPr>
        <w:rFonts w:hint="default" w:ascii="Times New Roman" w:hAnsi="Times New Roman" w:eastAsia="宋体"/>
        <w:b w:val="0"/>
        <w:i w:val="0"/>
        <w:sz w:val="24"/>
      </w:rPr>
    </w:lvl>
    <w:lvl w:ilvl="5" w:tentative="0">
      <w:start w:val="1"/>
      <w:numFmt w:val="decimal"/>
      <w:suff w:val="space"/>
      <w:lvlText w:val="%3.%4.%5.%6."/>
      <w:lvlJc w:val="left"/>
      <w:pPr>
        <w:ind w:left="480" w:firstLine="0"/>
      </w:pPr>
      <w:rPr>
        <w:rFonts w:hint="default" w:ascii="Times New Roman" w:hAnsi="Times New Roman" w:eastAsia="宋体"/>
        <w:b w:val="0"/>
        <w:i w:val="0"/>
        <w:sz w:val="24"/>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49A46B5E"/>
    <w:multiLevelType w:val="multilevel"/>
    <w:tmpl w:val="49A46B5E"/>
    <w:lvl w:ilvl="0" w:tentative="0">
      <w:start w:val="1"/>
      <w:numFmt w:val="decimal"/>
      <w:pStyle w:val="6"/>
      <w:lvlText w:val="%1）"/>
      <w:lvlJc w:val="left"/>
      <w:pPr>
        <w:ind w:left="62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4">
    <w:nsid w:val="52FA1874"/>
    <w:multiLevelType w:val="multilevel"/>
    <w:tmpl w:val="52FA187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38849FA"/>
    <w:multiLevelType w:val="multilevel"/>
    <w:tmpl w:val="538849FA"/>
    <w:lvl w:ilvl="0" w:tentative="0">
      <w:start w:val="1"/>
      <w:numFmt w:val="chineseCountingThousand"/>
      <w:pStyle w:val="3"/>
      <w:suff w:val="nothing"/>
      <w:lvlText w:val="（%1）"/>
      <w:lvlJc w:val="left"/>
      <w:pPr>
        <w:ind w:left="562" w:hanging="420"/>
      </w:pPr>
      <w:rPr>
        <w:rFonts w:hint="default" w:ascii="Times New Roman" w:hAnsi="Times New Roman" w:eastAsia="宋体"/>
        <w:b/>
        <w:i w:val="0"/>
        <w:sz w:val="28"/>
        <w:szCs w:val="24"/>
        <w:lang w:val="en-US"/>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6">
    <w:nsid w:val="5D280CCC"/>
    <w:multiLevelType w:val="multilevel"/>
    <w:tmpl w:val="5D280CCC"/>
    <w:lvl w:ilvl="0" w:tentative="0">
      <w:start w:val="1"/>
      <w:numFmt w:val="decimal"/>
      <w:lvlText w:val="%1."/>
      <w:lvlJc w:val="left"/>
      <w:pPr>
        <w:ind w:left="840" w:hanging="360"/>
      </w:pPr>
      <w:rPr>
        <w:rFonts w:hint="default"/>
      </w:rPr>
    </w:lvl>
    <w:lvl w:ilvl="1" w:tentative="0">
      <w:start w:val="1"/>
      <w:numFmt w:val="decimalEnclosedCircle"/>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7BF70348"/>
    <w:multiLevelType w:val="multilevel"/>
    <w:tmpl w:val="7BF70348"/>
    <w:lvl w:ilvl="0" w:tentative="0">
      <w:start w:val="1"/>
      <w:numFmt w:val="decimal"/>
      <w:pStyle w:val="4"/>
      <w:lvlText w:val="%1."/>
      <w:lvlJc w:val="left"/>
      <w:pPr>
        <w:ind w:left="420" w:hanging="420"/>
      </w:pPr>
      <w:rPr>
        <w:rFonts w:hint="default" w:ascii="Times New Roman" w:hAnsi="Times New Roman" w:eastAsia="宋体"/>
        <w:b w:val="0"/>
        <w:i w:val="0"/>
        <w:sz w:val="24"/>
        <w:szCs w:val="24"/>
      </w:rPr>
    </w:lvl>
    <w:lvl w:ilvl="1" w:tentative="0">
      <w:start w:val="1"/>
      <w:numFmt w:val="lowerLetter"/>
      <w:lvlText w:val="%2)"/>
      <w:lvlJc w:val="left"/>
      <w:pPr>
        <w:ind w:left="1243" w:hanging="420"/>
      </w:pPr>
    </w:lvl>
    <w:lvl w:ilvl="2" w:tentative="0">
      <w:start w:val="1"/>
      <w:numFmt w:val="lowerRoman"/>
      <w:lvlText w:val="%3."/>
      <w:lvlJc w:val="right"/>
      <w:pPr>
        <w:ind w:left="1663" w:hanging="420"/>
      </w:pPr>
    </w:lvl>
    <w:lvl w:ilvl="3" w:tentative="0">
      <w:start w:val="1"/>
      <w:numFmt w:val="decimal"/>
      <w:lvlText w:val="%4."/>
      <w:lvlJc w:val="left"/>
      <w:pPr>
        <w:ind w:left="2083" w:hanging="420"/>
      </w:pPr>
    </w:lvl>
    <w:lvl w:ilvl="4" w:tentative="0">
      <w:start w:val="1"/>
      <w:numFmt w:val="lowerLetter"/>
      <w:lvlText w:val="%5)"/>
      <w:lvlJc w:val="left"/>
      <w:pPr>
        <w:ind w:left="2503" w:hanging="420"/>
      </w:pPr>
    </w:lvl>
    <w:lvl w:ilvl="5" w:tentative="0">
      <w:start w:val="1"/>
      <w:numFmt w:val="lowerRoman"/>
      <w:lvlText w:val="%6."/>
      <w:lvlJc w:val="right"/>
      <w:pPr>
        <w:ind w:left="2923" w:hanging="420"/>
      </w:pPr>
    </w:lvl>
    <w:lvl w:ilvl="6" w:tentative="0">
      <w:start w:val="1"/>
      <w:numFmt w:val="decimal"/>
      <w:lvlText w:val="%7."/>
      <w:lvlJc w:val="left"/>
      <w:pPr>
        <w:ind w:left="3343" w:hanging="420"/>
      </w:pPr>
    </w:lvl>
    <w:lvl w:ilvl="7" w:tentative="0">
      <w:start w:val="1"/>
      <w:numFmt w:val="lowerLetter"/>
      <w:lvlText w:val="%8)"/>
      <w:lvlJc w:val="left"/>
      <w:pPr>
        <w:ind w:left="3763" w:hanging="420"/>
      </w:pPr>
    </w:lvl>
    <w:lvl w:ilvl="8" w:tentative="0">
      <w:start w:val="1"/>
      <w:numFmt w:val="lowerRoman"/>
      <w:lvlText w:val="%9."/>
      <w:lvlJc w:val="right"/>
      <w:pPr>
        <w:ind w:left="4183" w:hanging="420"/>
      </w:pPr>
    </w:lvl>
  </w:abstractNum>
  <w:num w:numId="1">
    <w:abstractNumId w:val="2"/>
  </w:num>
  <w:num w:numId="2">
    <w:abstractNumId w:val="5"/>
  </w:num>
  <w:num w:numId="3">
    <w:abstractNumId w:val="7"/>
  </w:num>
  <w:num w:numId="4">
    <w:abstractNumId w:val="1"/>
  </w:num>
  <w:num w:numId="5">
    <w:abstractNumId w:val="3"/>
  </w:num>
  <w:num w:numId="6">
    <w:abstractNumId w:val="0"/>
  </w:num>
  <w:num w:numId="7">
    <w:abstractNumId w:val="6"/>
  </w:num>
  <w:num w:numId="8">
    <w:abstractNumId w:val="4"/>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240"/>
  <w:drawingGridHorizontalSpacing w:val="120"/>
  <w:drawingGridVerticalSpacing w:val="163"/>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27854"/>
    <w:rsid w:val="00002BBF"/>
    <w:rsid w:val="00003EBE"/>
    <w:rsid w:val="00003F87"/>
    <w:rsid w:val="000040EA"/>
    <w:rsid w:val="00004C5A"/>
    <w:rsid w:val="00004F84"/>
    <w:rsid w:val="00006722"/>
    <w:rsid w:val="000067E7"/>
    <w:rsid w:val="00006A54"/>
    <w:rsid w:val="000072E6"/>
    <w:rsid w:val="0001102A"/>
    <w:rsid w:val="00011170"/>
    <w:rsid w:val="00011499"/>
    <w:rsid w:val="00011B26"/>
    <w:rsid w:val="00011E5E"/>
    <w:rsid w:val="000121DF"/>
    <w:rsid w:val="00012719"/>
    <w:rsid w:val="00012DED"/>
    <w:rsid w:val="00012FBF"/>
    <w:rsid w:val="00013133"/>
    <w:rsid w:val="000132DB"/>
    <w:rsid w:val="0001436B"/>
    <w:rsid w:val="0001516F"/>
    <w:rsid w:val="000169C1"/>
    <w:rsid w:val="0001732E"/>
    <w:rsid w:val="00017FF9"/>
    <w:rsid w:val="00020A8B"/>
    <w:rsid w:val="00021706"/>
    <w:rsid w:val="00021C90"/>
    <w:rsid w:val="00021F23"/>
    <w:rsid w:val="000221B2"/>
    <w:rsid w:val="0002270D"/>
    <w:rsid w:val="00022E9F"/>
    <w:rsid w:val="00023348"/>
    <w:rsid w:val="00024158"/>
    <w:rsid w:val="000246A2"/>
    <w:rsid w:val="0002559C"/>
    <w:rsid w:val="000258C3"/>
    <w:rsid w:val="000270A2"/>
    <w:rsid w:val="0002756C"/>
    <w:rsid w:val="00027F07"/>
    <w:rsid w:val="000301F2"/>
    <w:rsid w:val="0003127C"/>
    <w:rsid w:val="00031D50"/>
    <w:rsid w:val="0003241D"/>
    <w:rsid w:val="00032FB4"/>
    <w:rsid w:val="00034B8E"/>
    <w:rsid w:val="00034DA6"/>
    <w:rsid w:val="00034F61"/>
    <w:rsid w:val="00035E11"/>
    <w:rsid w:val="00035FB3"/>
    <w:rsid w:val="00040172"/>
    <w:rsid w:val="0004094A"/>
    <w:rsid w:val="00040C45"/>
    <w:rsid w:val="00040FB4"/>
    <w:rsid w:val="00041D77"/>
    <w:rsid w:val="00042D16"/>
    <w:rsid w:val="000441C8"/>
    <w:rsid w:val="00045386"/>
    <w:rsid w:val="000461BF"/>
    <w:rsid w:val="00046260"/>
    <w:rsid w:val="00046BB4"/>
    <w:rsid w:val="00047739"/>
    <w:rsid w:val="000512B4"/>
    <w:rsid w:val="000531A5"/>
    <w:rsid w:val="0005450F"/>
    <w:rsid w:val="0005504E"/>
    <w:rsid w:val="000557CB"/>
    <w:rsid w:val="00056193"/>
    <w:rsid w:val="000568E5"/>
    <w:rsid w:val="00056BAC"/>
    <w:rsid w:val="00057578"/>
    <w:rsid w:val="00060F34"/>
    <w:rsid w:val="00060FBF"/>
    <w:rsid w:val="00061A2C"/>
    <w:rsid w:val="00062099"/>
    <w:rsid w:val="0006340B"/>
    <w:rsid w:val="00063446"/>
    <w:rsid w:val="000647C3"/>
    <w:rsid w:val="00064CC6"/>
    <w:rsid w:val="000655BE"/>
    <w:rsid w:val="00065B77"/>
    <w:rsid w:val="000677CD"/>
    <w:rsid w:val="0007083D"/>
    <w:rsid w:val="0007089C"/>
    <w:rsid w:val="000709AF"/>
    <w:rsid w:val="0007144F"/>
    <w:rsid w:val="00072B21"/>
    <w:rsid w:val="00074637"/>
    <w:rsid w:val="0007741B"/>
    <w:rsid w:val="00077935"/>
    <w:rsid w:val="00080F2B"/>
    <w:rsid w:val="00081CF4"/>
    <w:rsid w:val="00082801"/>
    <w:rsid w:val="0008380C"/>
    <w:rsid w:val="00083980"/>
    <w:rsid w:val="000844BE"/>
    <w:rsid w:val="000853BA"/>
    <w:rsid w:val="00091324"/>
    <w:rsid w:val="00091B0A"/>
    <w:rsid w:val="0009513C"/>
    <w:rsid w:val="00095B46"/>
    <w:rsid w:val="00096BC9"/>
    <w:rsid w:val="00096FDA"/>
    <w:rsid w:val="000A0601"/>
    <w:rsid w:val="000A0FDB"/>
    <w:rsid w:val="000A1276"/>
    <w:rsid w:val="000A155F"/>
    <w:rsid w:val="000A209E"/>
    <w:rsid w:val="000A2630"/>
    <w:rsid w:val="000A276A"/>
    <w:rsid w:val="000A3B39"/>
    <w:rsid w:val="000A3FC1"/>
    <w:rsid w:val="000A4FBA"/>
    <w:rsid w:val="000A73A3"/>
    <w:rsid w:val="000B075C"/>
    <w:rsid w:val="000B0A5C"/>
    <w:rsid w:val="000B21C5"/>
    <w:rsid w:val="000B2525"/>
    <w:rsid w:val="000B46C3"/>
    <w:rsid w:val="000B4E02"/>
    <w:rsid w:val="000C063B"/>
    <w:rsid w:val="000C06F9"/>
    <w:rsid w:val="000C13ED"/>
    <w:rsid w:val="000C7AE4"/>
    <w:rsid w:val="000D1CE7"/>
    <w:rsid w:val="000D5334"/>
    <w:rsid w:val="000D55BE"/>
    <w:rsid w:val="000D5721"/>
    <w:rsid w:val="000D5CA0"/>
    <w:rsid w:val="000E16FB"/>
    <w:rsid w:val="000E3D72"/>
    <w:rsid w:val="000E66B9"/>
    <w:rsid w:val="000E7961"/>
    <w:rsid w:val="000F2B75"/>
    <w:rsid w:val="000F3106"/>
    <w:rsid w:val="000F4F5B"/>
    <w:rsid w:val="000F6070"/>
    <w:rsid w:val="000F7397"/>
    <w:rsid w:val="000F7496"/>
    <w:rsid w:val="000F7749"/>
    <w:rsid w:val="000F7CE0"/>
    <w:rsid w:val="000F7F44"/>
    <w:rsid w:val="00100BD3"/>
    <w:rsid w:val="001013C5"/>
    <w:rsid w:val="001031BA"/>
    <w:rsid w:val="00105315"/>
    <w:rsid w:val="0010744C"/>
    <w:rsid w:val="00110252"/>
    <w:rsid w:val="00110747"/>
    <w:rsid w:val="00110BC8"/>
    <w:rsid w:val="00112236"/>
    <w:rsid w:val="00112560"/>
    <w:rsid w:val="001167A5"/>
    <w:rsid w:val="00116F5A"/>
    <w:rsid w:val="00117301"/>
    <w:rsid w:val="001200E8"/>
    <w:rsid w:val="00120360"/>
    <w:rsid w:val="00121206"/>
    <w:rsid w:val="00121DA4"/>
    <w:rsid w:val="001221A2"/>
    <w:rsid w:val="00123C0F"/>
    <w:rsid w:val="00126CF9"/>
    <w:rsid w:val="00130151"/>
    <w:rsid w:val="001304A6"/>
    <w:rsid w:val="00130878"/>
    <w:rsid w:val="00131CAE"/>
    <w:rsid w:val="00133419"/>
    <w:rsid w:val="00133C78"/>
    <w:rsid w:val="00134E13"/>
    <w:rsid w:val="00137AAD"/>
    <w:rsid w:val="001475B9"/>
    <w:rsid w:val="00147B4A"/>
    <w:rsid w:val="00152355"/>
    <w:rsid w:val="00153C0F"/>
    <w:rsid w:val="00153E65"/>
    <w:rsid w:val="00154117"/>
    <w:rsid w:val="0015454A"/>
    <w:rsid w:val="00157122"/>
    <w:rsid w:val="00157697"/>
    <w:rsid w:val="00163398"/>
    <w:rsid w:val="00164BE8"/>
    <w:rsid w:val="00165642"/>
    <w:rsid w:val="00166C8F"/>
    <w:rsid w:val="00166D8F"/>
    <w:rsid w:val="00167633"/>
    <w:rsid w:val="00170B1E"/>
    <w:rsid w:val="00173258"/>
    <w:rsid w:val="001733B9"/>
    <w:rsid w:val="00174440"/>
    <w:rsid w:val="00175077"/>
    <w:rsid w:val="0018186B"/>
    <w:rsid w:val="001818CD"/>
    <w:rsid w:val="00181F1E"/>
    <w:rsid w:val="00182349"/>
    <w:rsid w:val="00183168"/>
    <w:rsid w:val="001832B1"/>
    <w:rsid w:val="00183D4C"/>
    <w:rsid w:val="00183FAD"/>
    <w:rsid w:val="00186581"/>
    <w:rsid w:val="00187932"/>
    <w:rsid w:val="00187BC9"/>
    <w:rsid w:val="00190021"/>
    <w:rsid w:val="00190473"/>
    <w:rsid w:val="0019188F"/>
    <w:rsid w:val="00191F1A"/>
    <w:rsid w:val="00192998"/>
    <w:rsid w:val="00192D00"/>
    <w:rsid w:val="0019332D"/>
    <w:rsid w:val="0019374D"/>
    <w:rsid w:val="00194688"/>
    <w:rsid w:val="00195455"/>
    <w:rsid w:val="00197571"/>
    <w:rsid w:val="00197C0B"/>
    <w:rsid w:val="001A0CE2"/>
    <w:rsid w:val="001A0E8A"/>
    <w:rsid w:val="001A24CF"/>
    <w:rsid w:val="001A4E90"/>
    <w:rsid w:val="001A6493"/>
    <w:rsid w:val="001A72D5"/>
    <w:rsid w:val="001B02E5"/>
    <w:rsid w:val="001B0DA7"/>
    <w:rsid w:val="001B363A"/>
    <w:rsid w:val="001B4881"/>
    <w:rsid w:val="001C2BB3"/>
    <w:rsid w:val="001C3AF6"/>
    <w:rsid w:val="001C44A6"/>
    <w:rsid w:val="001C510D"/>
    <w:rsid w:val="001C5114"/>
    <w:rsid w:val="001C5BB2"/>
    <w:rsid w:val="001D0010"/>
    <w:rsid w:val="001D33EF"/>
    <w:rsid w:val="001D343A"/>
    <w:rsid w:val="001D4F50"/>
    <w:rsid w:val="001D52DA"/>
    <w:rsid w:val="001D617B"/>
    <w:rsid w:val="001E02F7"/>
    <w:rsid w:val="001E04A3"/>
    <w:rsid w:val="001E11F1"/>
    <w:rsid w:val="001E27D7"/>
    <w:rsid w:val="001E579D"/>
    <w:rsid w:val="001E6B7D"/>
    <w:rsid w:val="001E6F0E"/>
    <w:rsid w:val="001E6F79"/>
    <w:rsid w:val="001E70DA"/>
    <w:rsid w:val="001F11E7"/>
    <w:rsid w:val="001F12BD"/>
    <w:rsid w:val="001F1512"/>
    <w:rsid w:val="001F1A9B"/>
    <w:rsid w:val="001F201E"/>
    <w:rsid w:val="001F54CA"/>
    <w:rsid w:val="001F5E1A"/>
    <w:rsid w:val="001F7E99"/>
    <w:rsid w:val="0020106D"/>
    <w:rsid w:val="00201A1B"/>
    <w:rsid w:val="0020346C"/>
    <w:rsid w:val="00203ECD"/>
    <w:rsid w:val="00204941"/>
    <w:rsid w:val="002052D4"/>
    <w:rsid w:val="002052F0"/>
    <w:rsid w:val="00206071"/>
    <w:rsid w:val="002066DA"/>
    <w:rsid w:val="00207550"/>
    <w:rsid w:val="00210F75"/>
    <w:rsid w:val="0021101A"/>
    <w:rsid w:val="00211D92"/>
    <w:rsid w:val="00212EA4"/>
    <w:rsid w:val="002133EF"/>
    <w:rsid w:val="00213918"/>
    <w:rsid w:val="002153D2"/>
    <w:rsid w:val="002154EA"/>
    <w:rsid w:val="00215B47"/>
    <w:rsid w:val="00217714"/>
    <w:rsid w:val="00221898"/>
    <w:rsid w:val="00221FD2"/>
    <w:rsid w:val="00222152"/>
    <w:rsid w:val="00222363"/>
    <w:rsid w:val="002239F9"/>
    <w:rsid w:val="00223C86"/>
    <w:rsid w:val="00225562"/>
    <w:rsid w:val="00227255"/>
    <w:rsid w:val="00227625"/>
    <w:rsid w:val="00230CFF"/>
    <w:rsid w:val="00231262"/>
    <w:rsid w:val="00233FDE"/>
    <w:rsid w:val="00234F94"/>
    <w:rsid w:val="00235FE4"/>
    <w:rsid w:val="002407E5"/>
    <w:rsid w:val="0024213C"/>
    <w:rsid w:val="0024381E"/>
    <w:rsid w:val="002446EC"/>
    <w:rsid w:val="00245D04"/>
    <w:rsid w:val="00246DD2"/>
    <w:rsid w:val="00247085"/>
    <w:rsid w:val="00247EA2"/>
    <w:rsid w:val="002516A2"/>
    <w:rsid w:val="00252F45"/>
    <w:rsid w:val="002530BB"/>
    <w:rsid w:val="00253715"/>
    <w:rsid w:val="00254D97"/>
    <w:rsid w:val="00254FDF"/>
    <w:rsid w:val="00255233"/>
    <w:rsid w:val="00255654"/>
    <w:rsid w:val="00261E03"/>
    <w:rsid w:val="002635B5"/>
    <w:rsid w:val="00263602"/>
    <w:rsid w:val="0026425E"/>
    <w:rsid w:val="002657E2"/>
    <w:rsid w:val="00267960"/>
    <w:rsid w:val="0027001A"/>
    <w:rsid w:val="00270245"/>
    <w:rsid w:val="002730BC"/>
    <w:rsid w:val="00273C62"/>
    <w:rsid w:val="00273D79"/>
    <w:rsid w:val="00273E6E"/>
    <w:rsid w:val="00274D92"/>
    <w:rsid w:val="00275E76"/>
    <w:rsid w:val="00276008"/>
    <w:rsid w:val="00276069"/>
    <w:rsid w:val="00276D04"/>
    <w:rsid w:val="00276D21"/>
    <w:rsid w:val="00276F7C"/>
    <w:rsid w:val="002779BD"/>
    <w:rsid w:val="00280AE2"/>
    <w:rsid w:val="00281862"/>
    <w:rsid w:val="002830E3"/>
    <w:rsid w:val="00284772"/>
    <w:rsid w:val="00285EF0"/>
    <w:rsid w:val="00287D5B"/>
    <w:rsid w:val="0029132E"/>
    <w:rsid w:val="00291A27"/>
    <w:rsid w:val="00293B6F"/>
    <w:rsid w:val="00293C72"/>
    <w:rsid w:val="00294DCC"/>
    <w:rsid w:val="002958B9"/>
    <w:rsid w:val="002960B8"/>
    <w:rsid w:val="002976D8"/>
    <w:rsid w:val="00297B9E"/>
    <w:rsid w:val="002A0422"/>
    <w:rsid w:val="002A0610"/>
    <w:rsid w:val="002A150A"/>
    <w:rsid w:val="002A18A3"/>
    <w:rsid w:val="002A1F46"/>
    <w:rsid w:val="002A22C1"/>
    <w:rsid w:val="002A2E46"/>
    <w:rsid w:val="002A3438"/>
    <w:rsid w:val="002A3686"/>
    <w:rsid w:val="002A54EA"/>
    <w:rsid w:val="002A6D32"/>
    <w:rsid w:val="002B00CB"/>
    <w:rsid w:val="002B03EA"/>
    <w:rsid w:val="002B04CA"/>
    <w:rsid w:val="002B07E4"/>
    <w:rsid w:val="002B2E8C"/>
    <w:rsid w:val="002B5C02"/>
    <w:rsid w:val="002B6551"/>
    <w:rsid w:val="002B7823"/>
    <w:rsid w:val="002C1F1D"/>
    <w:rsid w:val="002C2C22"/>
    <w:rsid w:val="002C3ECF"/>
    <w:rsid w:val="002C4376"/>
    <w:rsid w:val="002C79A2"/>
    <w:rsid w:val="002C7B93"/>
    <w:rsid w:val="002D0879"/>
    <w:rsid w:val="002D0E41"/>
    <w:rsid w:val="002D2997"/>
    <w:rsid w:val="002D34FA"/>
    <w:rsid w:val="002D406B"/>
    <w:rsid w:val="002D55EB"/>
    <w:rsid w:val="002D5AE8"/>
    <w:rsid w:val="002D5C27"/>
    <w:rsid w:val="002E15DD"/>
    <w:rsid w:val="002E1768"/>
    <w:rsid w:val="002E3060"/>
    <w:rsid w:val="002E39E5"/>
    <w:rsid w:val="002E3B5A"/>
    <w:rsid w:val="002E3BB5"/>
    <w:rsid w:val="002E7AC3"/>
    <w:rsid w:val="002F052C"/>
    <w:rsid w:val="002F15F8"/>
    <w:rsid w:val="002F1C76"/>
    <w:rsid w:val="002F2024"/>
    <w:rsid w:val="002F2643"/>
    <w:rsid w:val="002F460E"/>
    <w:rsid w:val="002F4F13"/>
    <w:rsid w:val="002F60C8"/>
    <w:rsid w:val="002F61E1"/>
    <w:rsid w:val="002F68B2"/>
    <w:rsid w:val="002F7DF5"/>
    <w:rsid w:val="00302AE0"/>
    <w:rsid w:val="003040BE"/>
    <w:rsid w:val="00305517"/>
    <w:rsid w:val="00306519"/>
    <w:rsid w:val="00306FBE"/>
    <w:rsid w:val="003110B2"/>
    <w:rsid w:val="0031118B"/>
    <w:rsid w:val="003127B7"/>
    <w:rsid w:val="00313441"/>
    <w:rsid w:val="00313806"/>
    <w:rsid w:val="00313B62"/>
    <w:rsid w:val="00313DDE"/>
    <w:rsid w:val="00314285"/>
    <w:rsid w:val="00314998"/>
    <w:rsid w:val="00316DC4"/>
    <w:rsid w:val="00320DB7"/>
    <w:rsid w:val="00321394"/>
    <w:rsid w:val="003213E3"/>
    <w:rsid w:val="0032223C"/>
    <w:rsid w:val="0032267F"/>
    <w:rsid w:val="00324948"/>
    <w:rsid w:val="003277CD"/>
    <w:rsid w:val="003341DF"/>
    <w:rsid w:val="003343A5"/>
    <w:rsid w:val="00334957"/>
    <w:rsid w:val="00334F8D"/>
    <w:rsid w:val="00335FB4"/>
    <w:rsid w:val="0033643E"/>
    <w:rsid w:val="003376A4"/>
    <w:rsid w:val="00337F72"/>
    <w:rsid w:val="003404D0"/>
    <w:rsid w:val="00340FA4"/>
    <w:rsid w:val="00341109"/>
    <w:rsid w:val="003433BB"/>
    <w:rsid w:val="00343B0F"/>
    <w:rsid w:val="003443AC"/>
    <w:rsid w:val="003473E2"/>
    <w:rsid w:val="0035019A"/>
    <w:rsid w:val="00350485"/>
    <w:rsid w:val="00351A6A"/>
    <w:rsid w:val="00352386"/>
    <w:rsid w:val="0035286B"/>
    <w:rsid w:val="00353342"/>
    <w:rsid w:val="003534CC"/>
    <w:rsid w:val="00353D1D"/>
    <w:rsid w:val="00357A5F"/>
    <w:rsid w:val="00360116"/>
    <w:rsid w:val="00361671"/>
    <w:rsid w:val="00362C4D"/>
    <w:rsid w:val="00363931"/>
    <w:rsid w:val="00363ADD"/>
    <w:rsid w:val="00366EE3"/>
    <w:rsid w:val="00367414"/>
    <w:rsid w:val="00370182"/>
    <w:rsid w:val="00370811"/>
    <w:rsid w:val="00370CDE"/>
    <w:rsid w:val="003716A2"/>
    <w:rsid w:val="00373C53"/>
    <w:rsid w:val="003749DF"/>
    <w:rsid w:val="00375AB2"/>
    <w:rsid w:val="00376D59"/>
    <w:rsid w:val="00377717"/>
    <w:rsid w:val="00382092"/>
    <w:rsid w:val="003827F0"/>
    <w:rsid w:val="00383057"/>
    <w:rsid w:val="00383987"/>
    <w:rsid w:val="0038409F"/>
    <w:rsid w:val="00384449"/>
    <w:rsid w:val="00385737"/>
    <w:rsid w:val="003862AB"/>
    <w:rsid w:val="003873C2"/>
    <w:rsid w:val="00390D88"/>
    <w:rsid w:val="00391DCA"/>
    <w:rsid w:val="00392113"/>
    <w:rsid w:val="00392160"/>
    <w:rsid w:val="00392320"/>
    <w:rsid w:val="00394C56"/>
    <w:rsid w:val="00395164"/>
    <w:rsid w:val="00397DFC"/>
    <w:rsid w:val="003A018C"/>
    <w:rsid w:val="003A051C"/>
    <w:rsid w:val="003A08AE"/>
    <w:rsid w:val="003A1275"/>
    <w:rsid w:val="003A12E7"/>
    <w:rsid w:val="003A14C9"/>
    <w:rsid w:val="003A227C"/>
    <w:rsid w:val="003A2824"/>
    <w:rsid w:val="003A36B4"/>
    <w:rsid w:val="003A4A61"/>
    <w:rsid w:val="003A5371"/>
    <w:rsid w:val="003A5B42"/>
    <w:rsid w:val="003A634D"/>
    <w:rsid w:val="003A6ABB"/>
    <w:rsid w:val="003B26DA"/>
    <w:rsid w:val="003B4E56"/>
    <w:rsid w:val="003B5015"/>
    <w:rsid w:val="003C07D3"/>
    <w:rsid w:val="003C2EE2"/>
    <w:rsid w:val="003C3123"/>
    <w:rsid w:val="003C3C9D"/>
    <w:rsid w:val="003C3D45"/>
    <w:rsid w:val="003C4F01"/>
    <w:rsid w:val="003C7A0D"/>
    <w:rsid w:val="003D0012"/>
    <w:rsid w:val="003D06D1"/>
    <w:rsid w:val="003D0DBF"/>
    <w:rsid w:val="003D1FC5"/>
    <w:rsid w:val="003D33C9"/>
    <w:rsid w:val="003D5BC4"/>
    <w:rsid w:val="003D67C9"/>
    <w:rsid w:val="003D7B5B"/>
    <w:rsid w:val="003E1B21"/>
    <w:rsid w:val="003E4E2C"/>
    <w:rsid w:val="003E52B3"/>
    <w:rsid w:val="003E5629"/>
    <w:rsid w:val="003E6F50"/>
    <w:rsid w:val="003E7879"/>
    <w:rsid w:val="003E78CB"/>
    <w:rsid w:val="003F0A4F"/>
    <w:rsid w:val="003F0BF4"/>
    <w:rsid w:val="003F20DC"/>
    <w:rsid w:val="003F48B1"/>
    <w:rsid w:val="003F67E5"/>
    <w:rsid w:val="003F6F4E"/>
    <w:rsid w:val="003F79FD"/>
    <w:rsid w:val="003F7D08"/>
    <w:rsid w:val="00400292"/>
    <w:rsid w:val="00400787"/>
    <w:rsid w:val="00400A58"/>
    <w:rsid w:val="00401CFC"/>
    <w:rsid w:val="00402A2C"/>
    <w:rsid w:val="00402BC2"/>
    <w:rsid w:val="00403B30"/>
    <w:rsid w:val="00404BC0"/>
    <w:rsid w:val="00406510"/>
    <w:rsid w:val="0040669C"/>
    <w:rsid w:val="00406C4B"/>
    <w:rsid w:val="0040733F"/>
    <w:rsid w:val="0041014A"/>
    <w:rsid w:val="00411265"/>
    <w:rsid w:val="00411349"/>
    <w:rsid w:val="0041277A"/>
    <w:rsid w:val="004130E7"/>
    <w:rsid w:val="00417D28"/>
    <w:rsid w:val="004204D6"/>
    <w:rsid w:val="004218C3"/>
    <w:rsid w:val="00421F14"/>
    <w:rsid w:val="004236BE"/>
    <w:rsid w:val="00424AA5"/>
    <w:rsid w:val="00425416"/>
    <w:rsid w:val="004264CF"/>
    <w:rsid w:val="00426C12"/>
    <w:rsid w:val="00427A8B"/>
    <w:rsid w:val="00432D6B"/>
    <w:rsid w:val="00434D74"/>
    <w:rsid w:val="00440D3F"/>
    <w:rsid w:val="00441310"/>
    <w:rsid w:val="00441474"/>
    <w:rsid w:val="004434CA"/>
    <w:rsid w:val="0044417F"/>
    <w:rsid w:val="0044459A"/>
    <w:rsid w:val="00444AAF"/>
    <w:rsid w:val="004459DF"/>
    <w:rsid w:val="004473EA"/>
    <w:rsid w:val="00447F28"/>
    <w:rsid w:val="004509E6"/>
    <w:rsid w:val="00450DBE"/>
    <w:rsid w:val="00451833"/>
    <w:rsid w:val="00453613"/>
    <w:rsid w:val="00457F02"/>
    <w:rsid w:val="00461D1C"/>
    <w:rsid w:val="00462C93"/>
    <w:rsid w:val="004633C6"/>
    <w:rsid w:val="004643E1"/>
    <w:rsid w:val="00466CBE"/>
    <w:rsid w:val="00470091"/>
    <w:rsid w:val="004704A7"/>
    <w:rsid w:val="004716C3"/>
    <w:rsid w:val="00472615"/>
    <w:rsid w:val="00473858"/>
    <w:rsid w:val="0047445B"/>
    <w:rsid w:val="00475003"/>
    <w:rsid w:val="0047574D"/>
    <w:rsid w:val="0047652E"/>
    <w:rsid w:val="00476909"/>
    <w:rsid w:val="0048023D"/>
    <w:rsid w:val="004809B9"/>
    <w:rsid w:val="0048217B"/>
    <w:rsid w:val="00482659"/>
    <w:rsid w:val="004842A6"/>
    <w:rsid w:val="004859FB"/>
    <w:rsid w:val="00487188"/>
    <w:rsid w:val="0049171A"/>
    <w:rsid w:val="00491A99"/>
    <w:rsid w:val="00493D2C"/>
    <w:rsid w:val="00494A12"/>
    <w:rsid w:val="00495CE1"/>
    <w:rsid w:val="004961E4"/>
    <w:rsid w:val="00496722"/>
    <w:rsid w:val="004977C8"/>
    <w:rsid w:val="00497D3F"/>
    <w:rsid w:val="00497F8E"/>
    <w:rsid w:val="004A023B"/>
    <w:rsid w:val="004A0F6D"/>
    <w:rsid w:val="004A1C6D"/>
    <w:rsid w:val="004A2A01"/>
    <w:rsid w:val="004A2DEE"/>
    <w:rsid w:val="004A3B37"/>
    <w:rsid w:val="004A3BA6"/>
    <w:rsid w:val="004A445A"/>
    <w:rsid w:val="004A64DC"/>
    <w:rsid w:val="004A74F0"/>
    <w:rsid w:val="004A7859"/>
    <w:rsid w:val="004A7A1B"/>
    <w:rsid w:val="004B0148"/>
    <w:rsid w:val="004B1298"/>
    <w:rsid w:val="004B3CFA"/>
    <w:rsid w:val="004B4478"/>
    <w:rsid w:val="004B450E"/>
    <w:rsid w:val="004B5121"/>
    <w:rsid w:val="004B60D8"/>
    <w:rsid w:val="004B6FB6"/>
    <w:rsid w:val="004C259E"/>
    <w:rsid w:val="004C38F7"/>
    <w:rsid w:val="004C414A"/>
    <w:rsid w:val="004D0681"/>
    <w:rsid w:val="004D08A8"/>
    <w:rsid w:val="004D2858"/>
    <w:rsid w:val="004D2AAA"/>
    <w:rsid w:val="004D5CAD"/>
    <w:rsid w:val="004D6FEA"/>
    <w:rsid w:val="004E1A89"/>
    <w:rsid w:val="004E1B81"/>
    <w:rsid w:val="004E1C0B"/>
    <w:rsid w:val="004E7D9F"/>
    <w:rsid w:val="004E7FD7"/>
    <w:rsid w:val="004F134A"/>
    <w:rsid w:val="004F1F21"/>
    <w:rsid w:val="004F21A1"/>
    <w:rsid w:val="004F257F"/>
    <w:rsid w:val="004F29B5"/>
    <w:rsid w:val="004F3843"/>
    <w:rsid w:val="004F6100"/>
    <w:rsid w:val="004F632B"/>
    <w:rsid w:val="00501613"/>
    <w:rsid w:val="005017C0"/>
    <w:rsid w:val="005030C1"/>
    <w:rsid w:val="005038E1"/>
    <w:rsid w:val="005059AB"/>
    <w:rsid w:val="00507076"/>
    <w:rsid w:val="0051080C"/>
    <w:rsid w:val="00510DDD"/>
    <w:rsid w:val="005117F2"/>
    <w:rsid w:val="005120F0"/>
    <w:rsid w:val="005128AE"/>
    <w:rsid w:val="00513E88"/>
    <w:rsid w:val="005148E7"/>
    <w:rsid w:val="00514C9C"/>
    <w:rsid w:val="005155D0"/>
    <w:rsid w:val="00516D12"/>
    <w:rsid w:val="00516DD0"/>
    <w:rsid w:val="00520E8D"/>
    <w:rsid w:val="00521DA0"/>
    <w:rsid w:val="00523B6A"/>
    <w:rsid w:val="00525B85"/>
    <w:rsid w:val="00525D8F"/>
    <w:rsid w:val="00525E1F"/>
    <w:rsid w:val="0053040A"/>
    <w:rsid w:val="005328EE"/>
    <w:rsid w:val="005333DD"/>
    <w:rsid w:val="005339C4"/>
    <w:rsid w:val="00533A4C"/>
    <w:rsid w:val="00534D11"/>
    <w:rsid w:val="00535350"/>
    <w:rsid w:val="00536155"/>
    <w:rsid w:val="00536315"/>
    <w:rsid w:val="00536318"/>
    <w:rsid w:val="00536C43"/>
    <w:rsid w:val="00537961"/>
    <w:rsid w:val="00537A18"/>
    <w:rsid w:val="00537DC7"/>
    <w:rsid w:val="005420D9"/>
    <w:rsid w:val="00542F95"/>
    <w:rsid w:val="0054411F"/>
    <w:rsid w:val="00544FA6"/>
    <w:rsid w:val="00545313"/>
    <w:rsid w:val="005475AB"/>
    <w:rsid w:val="005505B6"/>
    <w:rsid w:val="005510C9"/>
    <w:rsid w:val="005538E5"/>
    <w:rsid w:val="00554FA7"/>
    <w:rsid w:val="00555A7F"/>
    <w:rsid w:val="00557916"/>
    <w:rsid w:val="00560313"/>
    <w:rsid w:val="00561A5B"/>
    <w:rsid w:val="00562BB4"/>
    <w:rsid w:val="005632E9"/>
    <w:rsid w:val="00563B77"/>
    <w:rsid w:val="005640A1"/>
    <w:rsid w:val="00564A83"/>
    <w:rsid w:val="00564B2D"/>
    <w:rsid w:val="00564D42"/>
    <w:rsid w:val="00567C25"/>
    <w:rsid w:val="00567CA9"/>
    <w:rsid w:val="005709AC"/>
    <w:rsid w:val="00571982"/>
    <w:rsid w:val="00572930"/>
    <w:rsid w:val="005735F8"/>
    <w:rsid w:val="00573E93"/>
    <w:rsid w:val="00574274"/>
    <w:rsid w:val="00574397"/>
    <w:rsid w:val="00574A4A"/>
    <w:rsid w:val="005778C9"/>
    <w:rsid w:val="005813EA"/>
    <w:rsid w:val="0058233C"/>
    <w:rsid w:val="00582847"/>
    <w:rsid w:val="00584DCD"/>
    <w:rsid w:val="00587276"/>
    <w:rsid w:val="0058780B"/>
    <w:rsid w:val="005905EC"/>
    <w:rsid w:val="00590BA3"/>
    <w:rsid w:val="00591AF8"/>
    <w:rsid w:val="0059257D"/>
    <w:rsid w:val="0059257E"/>
    <w:rsid w:val="00594D96"/>
    <w:rsid w:val="00597A3C"/>
    <w:rsid w:val="005A2440"/>
    <w:rsid w:val="005A2C86"/>
    <w:rsid w:val="005A2F85"/>
    <w:rsid w:val="005A39A3"/>
    <w:rsid w:val="005A4AAC"/>
    <w:rsid w:val="005A799D"/>
    <w:rsid w:val="005B034E"/>
    <w:rsid w:val="005B098E"/>
    <w:rsid w:val="005B1868"/>
    <w:rsid w:val="005B28B4"/>
    <w:rsid w:val="005B2CB0"/>
    <w:rsid w:val="005B2E04"/>
    <w:rsid w:val="005B552E"/>
    <w:rsid w:val="005B5808"/>
    <w:rsid w:val="005B654F"/>
    <w:rsid w:val="005B6BCE"/>
    <w:rsid w:val="005C06B8"/>
    <w:rsid w:val="005C1362"/>
    <w:rsid w:val="005C3BCA"/>
    <w:rsid w:val="005C67B5"/>
    <w:rsid w:val="005C737B"/>
    <w:rsid w:val="005C7954"/>
    <w:rsid w:val="005C7AF3"/>
    <w:rsid w:val="005D24D1"/>
    <w:rsid w:val="005D2DF8"/>
    <w:rsid w:val="005D61C6"/>
    <w:rsid w:val="005D61D8"/>
    <w:rsid w:val="005D7057"/>
    <w:rsid w:val="005D7103"/>
    <w:rsid w:val="005D74F9"/>
    <w:rsid w:val="005E0EAD"/>
    <w:rsid w:val="005E4854"/>
    <w:rsid w:val="005E49A4"/>
    <w:rsid w:val="005E629D"/>
    <w:rsid w:val="005F076A"/>
    <w:rsid w:val="005F22C9"/>
    <w:rsid w:val="005F2AAD"/>
    <w:rsid w:val="005F37CB"/>
    <w:rsid w:val="005F43BA"/>
    <w:rsid w:val="005F48DA"/>
    <w:rsid w:val="005F4DFF"/>
    <w:rsid w:val="005F552A"/>
    <w:rsid w:val="005F7A1F"/>
    <w:rsid w:val="00600A1E"/>
    <w:rsid w:val="00602E50"/>
    <w:rsid w:val="0060317A"/>
    <w:rsid w:val="00603CD1"/>
    <w:rsid w:val="00604334"/>
    <w:rsid w:val="00604EEC"/>
    <w:rsid w:val="00604F60"/>
    <w:rsid w:val="006053AA"/>
    <w:rsid w:val="0060602F"/>
    <w:rsid w:val="00606D8F"/>
    <w:rsid w:val="00610BEE"/>
    <w:rsid w:val="006149AF"/>
    <w:rsid w:val="00617366"/>
    <w:rsid w:val="00617950"/>
    <w:rsid w:val="006200EE"/>
    <w:rsid w:val="00620257"/>
    <w:rsid w:val="00620670"/>
    <w:rsid w:val="00622429"/>
    <w:rsid w:val="0062484A"/>
    <w:rsid w:val="00624AEC"/>
    <w:rsid w:val="0062715C"/>
    <w:rsid w:val="0062750A"/>
    <w:rsid w:val="006301D1"/>
    <w:rsid w:val="00632D24"/>
    <w:rsid w:val="00632F3B"/>
    <w:rsid w:val="006330C0"/>
    <w:rsid w:val="00635742"/>
    <w:rsid w:val="00635864"/>
    <w:rsid w:val="006403F4"/>
    <w:rsid w:val="00640FCE"/>
    <w:rsid w:val="006421C8"/>
    <w:rsid w:val="006421DC"/>
    <w:rsid w:val="00642F0A"/>
    <w:rsid w:val="00645C58"/>
    <w:rsid w:val="0065163A"/>
    <w:rsid w:val="0065178F"/>
    <w:rsid w:val="00653E43"/>
    <w:rsid w:val="00654A1E"/>
    <w:rsid w:val="00654DA6"/>
    <w:rsid w:val="006552E0"/>
    <w:rsid w:val="0065581D"/>
    <w:rsid w:val="006602F5"/>
    <w:rsid w:val="00660D9E"/>
    <w:rsid w:val="00662DB7"/>
    <w:rsid w:val="00663A70"/>
    <w:rsid w:val="0066428F"/>
    <w:rsid w:val="006645DD"/>
    <w:rsid w:val="00664977"/>
    <w:rsid w:val="00664AEA"/>
    <w:rsid w:val="0066595F"/>
    <w:rsid w:val="00665C50"/>
    <w:rsid w:val="00671587"/>
    <w:rsid w:val="006717AF"/>
    <w:rsid w:val="00671DBE"/>
    <w:rsid w:val="00672F1F"/>
    <w:rsid w:val="00675470"/>
    <w:rsid w:val="00676021"/>
    <w:rsid w:val="00676A2D"/>
    <w:rsid w:val="00676CF4"/>
    <w:rsid w:val="006778A8"/>
    <w:rsid w:val="006800DF"/>
    <w:rsid w:val="006808BC"/>
    <w:rsid w:val="00681BB7"/>
    <w:rsid w:val="00681BDD"/>
    <w:rsid w:val="00683693"/>
    <w:rsid w:val="0068408E"/>
    <w:rsid w:val="0068622F"/>
    <w:rsid w:val="00690B2B"/>
    <w:rsid w:val="00694D90"/>
    <w:rsid w:val="00695900"/>
    <w:rsid w:val="006A1146"/>
    <w:rsid w:val="006A1250"/>
    <w:rsid w:val="006A1537"/>
    <w:rsid w:val="006A23F4"/>
    <w:rsid w:val="006A2E40"/>
    <w:rsid w:val="006A3925"/>
    <w:rsid w:val="006A401B"/>
    <w:rsid w:val="006A5301"/>
    <w:rsid w:val="006A6707"/>
    <w:rsid w:val="006A6781"/>
    <w:rsid w:val="006A69F9"/>
    <w:rsid w:val="006A7B28"/>
    <w:rsid w:val="006B0470"/>
    <w:rsid w:val="006B113C"/>
    <w:rsid w:val="006B167A"/>
    <w:rsid w:val="006B1B7F"/>
    <w:rsid w:val="006B28A5"/>
    <w:rsid w:val="006B3FFF"/>
    <w:rsid w:val="006B521E"/>
    <w:rsid w:val="006B5321"/>
    <w:rsid w:val="006B617A"/>
    <w:rsid w:val="006B653E"/>
    <w:rsid w:val="006B7D46"/>
    <w:rsid w:val="006C1A7B"/>
    <w:rsid w:val="006C1BA4"/>
    <w:rsid w:val="006C1FE1"/>
    <w:rsid w:val="006C307F"/>
    <w:rsid w:val="006C420D"/>
    <w:rsid w:val="006C48B4"/>
    <w:rsid w:val="006C52FC"/>
    <w:rsid w:val="006C77DC"/>
    <w:rsid w:val="006C7AA9"/>
    <w:rsid w:val="006C7F68"/>
    <w:rsid w:val="006D0FE1"/>
    <w:rsid w:val="006D1491"/>
    <w:rsid w:val="006D1D0B"/>
    <w:rsid w:val="006D2940"/>
    <w:rsid w:val="006D492E"/>
    <w:rsid w:val="006E0A45"/>
    <w:rsid w:val="006E13DC"/>
    <w:rsid w:val="006E18EB"/>
    <w:rsid w:val="006E4668"/>
    <w:rsid w:val="006E6030"/>
    <w:rsid w:val="006E6CC6"/>
    <w:rsid w:val="006F08B5"/>
    <w:rsid w:val="006F11A5"/>
    <w:rsid w:val="006F178D"/>
    <w:rsid w:val="006F3B6F"/>
    <w:rsid w:val="006F3E6E"/>
    <w:rsid w:val="006F59EE"/>
    <w:rsid w:val="006F7495"/>
    <w:rsid w:val="006F7E7C"/>
    <w:rsid w:val="0070174C"/>
    <w:rsid w:val="007019B3"/>
    <w:rsid w:val="007031BF"/>
    <w:rsid w:val="00704B7A"/>
    <w:rsid w:val="00705C7A"/>
    <w:rsid w:val="00711080"/>
    <w:rsid w:val="007117BF"/>
    <w:rsid w:val="00712065"/>
    <w:rsid w:val="007132DB"/>
    <w:rsid w:val="00713758"/>
    <w:rsid w:val="00714A4D"/>
    <w:rsid w:val="007150C2"/>
    <w:rsid w:val="007151BE"/>
    <w:rsid w:val="00715442"/>
    <w:rsid w:val="00715B39"/>
    <w:rsid w:val="00715E5A"/>
    <w:rsid w:val="00717D56"/>
    <w:rsid w:val="007202E1"/>
    <w:rsid w:val="0072046A"/>
    <w:rsid w:val="0072050E"/>
    <w:rsid w:val="00720C78"/>
    <w:rsid w:val="00720FBD"/>
    <w:rsid w:val="00721801"/>
    <w:rsid w:val="00721F27"/>
    <w:rsid w:val="00722E29"/>
    <w:rsid w:val="0072447F"/>
    <w:rsid w:val="0072577A"/>
    <w:rsid w:val="0072618D"/>
    <w:rsid w:val="00726415"/>
    <w:rsid w:val="00726506"/>
    <w:rsid w:val="0072658E"/>
    <w:rsid w:val="007276B1"/>
    <w:rsid w:val="0072786B"/>
    <w:rsid w:val="00730810"/>
    <w:rsid w:val="0073250E"/>
    <w:rsid w:val="00734245"/>
    <w:rsid w:val="00736DC1"/>
    <w:rsid w:val="00737494"/>
    <w:rsid w:val="00741166"/>
    <w:rsid w:val="00742579"/>
    <w:rsid w:val="00742E77"/>
    <w:rsid w:val="0074392D"/>
    <w:rsid w:val="00743F61"/>
    <w:rsid w:val="0074647A"/>
    <w:rsid w:val="0074668B"/>
    <w:rsid w:val="00746B82"/>
    <w:rsid w:val="007473A8"/>
    <w:rsid w:val="00747564"/>
    <w:rsid w:val="007524E8"/>
    <w:rsid w:val="00753582"/>
    <w:rsid w:val="0075377E"/>
    <w:rsid w:val="00754102"/>
    <w:rsid w:val="0075428B"/>
    <w:rsid w:val="007551F5"/>
    <w:rsid w:val="007566CE"/>
    <w:rsid w:val="00757918"/>
    <w:rsid w:val="00760DA6"/>
    <w:rsid w:val="00761B1C"/>
    <w:rsid w:val="00763751"/>
    <w:rsid w:val="00763CD0"/>
    <w:rsid w:val="007641A8"/>
    <w:rsid w:val="007655D3"/>
    <w:rsid w:val="00765A65"/>
    <w:rsid w:val="00766583"/>
    <w:rsid w:val="007667B2"/>
    <w:rsid w:val="00766EFF"/>
    <w:rsid w:val="00766FB2"/>
    <w:rsid w:val="0076709A"/>
    <w:rsid w:val="00773257"/>
    <w:rsid w:val="00773371"/>
    <w:rsid w:val="0077593E"/>
    <w:rsid w:val="00775A09"/>
    <w:rsid w:val="00781C42"/>
    <w:rsid w:val="0078286A"/>
    <w:rsid w:val="00782D48"/>
    <w:rsid w:val="007831B1"/>
    <w:rsid w:val="0078424B"/>
    <w:rsid w:val="00785635"/>
    <w:rsid w:val="007870B8"/>
    <w:rsid w:val="0078715A"/>
    <w:rsid w:val="00787674"/>
    <w:rsid w:val="00792F1A"/>
    <w:rsid w:val="007931FB"/>
    <w:rsid w:val="00794276"/>
    <w:rsid w:val="007A006A"/>
    <w:rsid w:val="007A18DB"/>
    <w:rsid w:val="007A1E57"/>
    <w:rsid w:val="007A1FC5"/>
    <w:rsid w:val="007A2DD3"/>
    <w:rsid w:val="007A3964"/>
    <w:rsid w:val="007A48CE"/>
    <w:rsid w:val="007B090D"/>
    <w:rsid w:val="007B0DA9"/>
    <w:rsid w:val="007B271C"/>
    <w:rsid w:val="007B2BFD"/>
    <w:rsid w:val="007B44AC"/>
    <w:rsid w:val="007B4792"/>
    <w:rsid w:val="007B49D6"/>
    <w:rsid w:val="007B596F"/>
    <w:rsid w:val="007B5F5E"/>
    <w:rsid w:val="007C0CFB"/>
    <w:rsid w:val="007C25E1"/>
    <w:rsid w:val="007C2ECE"/>
    <w:rsid w:val="007C44AD"/>
    <w:rsid w:val="007C4FDD"/>
    <w:rsid w:val="007C711A"/>
    <w:rsid w:val="007C7BBC"/>
    <w:rsid w:val="007D1056"/>
    <w:rsid w:val="007D1E3D"/>
    <w:rsid w:val="007D1FC1"/>
    <w:rsid w:val="007D2555"/>
    <w:rsid w:val="007D48B4"/>
    <w:rsid w:val="007D4933"/>
    <w:rsid w:val="007D4E83"/>
    <w:rsid w:val="007D55B8"/>
    <w:rsid w:val="007D55D4"/>
    <w:rsid w:val="007D7240"/>
    <w:rsid w:val="007D77D3"/>
    <w:rsid w:val="007E1EF5"/>
    <w:rsid w:val="007E229B"/>
    <w:rsid w:val="007E23D2"/>
    <w:rsid w:val="007E4224"/>
    <w:rsid w:val="007E4384"/>
    <w:rsid w:val="007E4D57"/>
    <w:rsid w:val="007E50AF"/>
    <w:rsid w:val="007E51B3"/>
    <w:rsid w:val="007E632A"/>
    <w:rsid w:val="007E7FA5"/>
    <w:rsid w:val="007F0D73"/>
    <w:rsid w:val="007F0DB4"/>
    <w:rsid w:val="007F0FFB"/>
    <w:rsid w:val="007F1227"/>
    <w:rsid w:val="007F57C1"/>
    <w:rsid w:val="007F5FA8"/>
    <w:rsid w:val="007F6242"/>
    <w:rsid w:val="00802B21"/>
    <w:rsid w:val="00802C25"/>
    <w:rsid w:val="00802D51"/>
    <w:rsid w:val="00802F2F"/>
    <w:rsid w:val="00805057"/>
    <w:rsid w:val="00805C0D"/>
    <w:rsid w:val="00807240"/>
    <w:rsid w:val="008073AE"/>
    <w:rsid w:val="00807E01"/>
    <w:rsid w:val="00811437"/>
    <w:rsid w:val="00813295"/>
    <w:rsid w:val="00814B11"/>
    <w:rsid w:val="00814B52"/>
    <w:rsid w:val="00816244"/>
    <w:rsid w:val="0081705A"/>
    <w:rsid w:val="0082067C"/>
    <w:rsid w:val="008212A1"/>
    <w:rsid w:val="008214B6"/>
    <w:rsid w:val="00823862"/>
    <w:rsid w:val="008239F8"/>
    <w:rsid w:val="00823E1D"/>
    <w:rsid w:val="00824421"/>
    <w:rsid w:val="00824B13"/>
    <w:rsid w:val="00826483"/>
    <w:rsid w:val="00826F98"/>
    <w:rsid w:val="00827308"/>
    <w:rsid w:val="00831D7E"/>
    <w:rsid w:val="00832290"/>
    <w:rsid w:val="00833FAB"/>
    <w:rsid w:val="00834007"/>
    <w:rsid w:val="008343AE"/>
    <w:rsid w:val="00834B73"/>
    <w:rsid w:val="00834FB0"/>
    <w:rsid w:val="0083640D"/>
    <w:rsid w:val="00836F4C"/>
    <w:rsid w:val="00840093"/>
    <w:rsid w:val="008412E0"/>
    <w:rsid w:val="00841711"/>
    <w:rsid w:val="00842362"/>
    <w:rsid w:val="00844812"/>
    <w:rsid w:val="008452EC"/>
    <w:rsid w:val="00845FD7"/>
    <w:rsid w:val="00847FDB"/>
    <w:rsid w:val="00851C34"/>
    <w:rsid w:val="008523B4"/>
    <w:rsid w:val="00852831"/>
    <w:rsid w:val="00852B1C"/>
    <w:rsid w:val="0085391B"/>
    <w:rsid w:val="00853970"/>
    <w:rsid w:val="00853ABD"/>
    <w:rsid w:val="00853F40"/>
    <w:rsid w:val="008540AB"/>
    <w:rsid w:val="0085447B"/>
    <w:rsid w:val="00857B24"/>
    <w:rsid w:val="00862412"/>
    <w:rsid w:val="00862776"/>
    <w:rsid w:val="00862E1C"/>
    <w:rsid w:val="00863075"/>
    <w:rsid w:val="00864313"/>
    <w:rsid w:val="008649C7"/>
    <w:rsid w:val="0086516F"/>
    <w:rsid w:val="00866B3D"/>
    <w:rsid w:val="008677D5"/>
    <w:rsid w:val="0086785E"/>
    <w:rsid w:val="0087248F"/>
    <w:rsid w:val="0087788E"/>
    <w:rsid w:val="00881829"/>
    <w:rsid w:val="00882C26"/>
    <w:rsid w:val="008840AA"/>
    <w:rsid w:val="00884103"/>
    <w:rsid w:val="00884CCF"/>
    <w:rsid w:val="00887969"/>
    <w:rsid w:val="008910CB"/>
    <w:rsid w:val="00892DB1"/>
    <w:rsid w:val="00892F1E"/>
    <w:rsid w:val="00896F4D"/>
    <w:rsid w:val="00897229"/>
    <w:rsid w:val="008A1E42"/>
    <w:rsid w:val="008A20F7"/>
    <w:rsid w:val="008A56C3"/>
    <w:rsid w:val="008A58E1"/>
    <w:rsid w:val="008A5A4E"/>
    <w:rsid w:val="008B0A51"/>
    <w:rsid w:val="008B11F6"/>
    <w:rsid w:val="008B56B9"/>
    <w:rsid w:val="008B7713"/>
    <w:rsid w:val="008B78A3"/>
    <w:rsid w:val="008B7E65"/>
    <w:rsid w:val="008C0281"/>
    <w:rsid w:val="008C06BF"/>
    <w:rsid w:val="008C1C5D"/>
    <w:rsid w:val="008C3D10"/>
    <w:rsid w:val="008C4BFA"/>
    <w:rsid w:val="008C79DC"/>
    <w:rsid w:val="008D101F"/>
    <w:rsid w:val="008D17E8"/>
    <w:rsid w:val="008D1B2E"/>
    <w:rsid w:val="008D1D35"/>
    <w:rsid w:val="008D1FC0"/>
    <w:rsid w:val="008D3710"/>
    <w:rsid w:val="008D3F6F"/>
    <w:rsid w:val="008D4B8A"/>
    <w:rsid w:val="008D4CB0"/>
    <w:rsid w:val="008D4F15"/>
    <w:rsid w:val="008E0150"/>
    <w:rsid w:val="008E11BC"/>
    <w:rsid w:val="008E1CE9"/>
    <w:rsid w:val="008E5A25"/>
    <w:rsid w:val="008E7883"/>
    <w:rsid w:val="008F0888"/>
    <w:rsid w:val="008F25C2"/>
    <w:rsid w:val="008F2A72"/>
    <w:rsid w:val="008F35AB"/>
    <w:rsid w:val="008F3F06"/>
    <w:rsid w:val="008F4519"/>
    <w:rsid w:val="008F4A74"/>
    <w:rsid w:val="008F5A65"/>
    <w:rsid w:val="008F692F"/>
    <w:rsid w:val="008F7679"/>
    <w:rsid w:val="009012F2"/>
    <w:rsid w:val="00903FD3"/>
    <w:rsid w:val="009041C9"/>
    <w:rsid w:val="00905FA2"/>
    <w:rsid w:val="0090720B"/>
    <w:rsid w:val="00907DF7"/>
    <w:rsid w:val="009124B5"/>
    <w:rsid w:val="0091278B"/>
    <w:rsid w:val="009131D1"/>
    <w:rsid w:val="00913B49"/>
    <w:rsid w:val="0091479A"/>
    <w:rsid w:val="0091711D"/>
    <w:rsid w:val="009176EA"/>
    <w:rsid w:val="009208B2"/>
    <w:rsid w:val="00920CD0"/>
    <w:rsid w:val="00922CB8"/>
    <w:rsid w:val="00924D7B"/>
    <w:rsid w:val="00927810"/>
    <w:rsid w:val="009278DF"/>
    <w:rsid w:val="009301EF"/>
    <w:rsid w:val="00931229"/>
    <w:rsid w:val="00931DE5"/>
    <w:rsid w:val="009338E9"/>
    <w:rsid w:val="0093495B"/>
    <w:rsid w:val="00943243"/>
    <w:rsid w:val="00944538"/>
    <w:rsid w:val="00944780"/>
    <w:rsid w:val="0094598F"/>
    <w:rsid w:val="009504F3"/>
    <w:rsid w:val="00950C32"/>
    <w:rsid w:val="00951FE2"/>
    <w:rsid w:val="00952D22"/>
    <w:rsid w:val="00952E5C"/>
    <w:rsid w:val="009532F3"/>
    <w:rsid w:val="009541CB"/>
    <w:rsid w:val="0095524A"/>
    <w:rsid w:val="009573AD"/>
    <w:rsid w:val="00962BC3"/>
    <w:rsid w:val="00962F6D"/>
    <w:rsid w:val="00964C62"/>
    <w:rsid w:val="00964EAB"/>
    <w:rsid w:val="00965D8A"/>
    <w:rsid w:val="00966628"/>
    <w:rsid w:val="009677BD"/>
    <w:rsid w:val="009700AD"/>
    <w:rsid w:val="00971A31"/>
    <w:rsid w:val="00972C58"/>
    <w:rsid w:val="00975271"/>
    <w:rsid w:val="00976388"/>
    <w:rsid w:val="00976A46"/>
    <w:rsid w:val="00976B92"/>
    <w:rsid w:val="00976FEB"/>
    <w:rsid w:val="00977491"/>
    <w:rsid w:val="00980927"/>
    <w:rsid w:val="00980EC1"/>
    <w:rsid w:val="00982577"/>
    <w:rsid w:val="00983268"/>
    <w:rsid w:val="00983858"/>
    <w:rsid w:val="00983D26"/>
    <w:rsid w:val="0098481A"/>
    <w:rsid w:val="00985AF1"/>
    <w:rsid w:val="00987EF0"/>
    <w:rsid w:val="0099089B"/>
    <w:rsid w:val="00990D49"/>
    <w:rsid w:val="009922A6"/>
    <w:rsid w:val="00992E0E"/>
    <w:rsid w:val="00993574"/>
    <w:rsid w:val="00994DBB"/>
    <w:rsid w:val="009953BC"/>
    <w:rsid w:val="00996830"/>
    <w:rsid w:val="009A1670"/>
    <w:rsid w:val="009A264E"/>
    <w:rsid w:val="009A4AFB"/>
    <w:rsid w:val="009A4B30"/>
    <w:rsid w:val="009B06FF"/>
    <w:rsid w:val="009B0BDB"/>
    <w:rsid w:val="009B0D99"/>
    <w:rsid w:val="009B101D"/>
    <w:rsid w:val="009B1703"/>
    <w:rsid w:val="009B1921"/>
    <w:rsid w:val="009B1C51"/>
    <w:rsid w:val="009B47BC"/>
    <w:rsid w:val="009B5D2E"/>
    <w:rsid w:val="009B7A14"/>
    <w:rsid w:val="009B7C6A"/>
    <w:rsid w:val="009B7E3D"/>
    <w:rsid w:val="009C139C"/>
    <w:rsid w:val="009C160E"/>
    <w:rsid w:val="009C2DA6"/>
    <w:rsid w:val="009C33F6"/>
    <w:rsid w:val="009C3C17"/>
    <w:rsid w:val="009C44B4"/>
    <w:rsid w:val="009C452E"/>
    <w:rsid w:val="009C66EF"/>
    <w:rsid w:val="009C7510"/>
    <w:rsid w:val="009C7CB8"/>
    <w:rsid w:val="009D09D7"/>
    <w:rsid w:val="009D2A95"/>
    <w:rsid w:val="009D2F7F"/>
    <w:rsid w:val="009D3A44"/>
    <w:rsid w:val="009D6C34"/>
    <w:rsid w:val="009E4494"/>
    <w:rsid w:val="009E50D9"/>
    <w:rsid w:val="009E5747"/>
    <w:rsid w:val="009F0BC5"/>
    <w:rsid w:val="009F0DCC"/>
    <w:rsid w:val="009F1085"/>
    <w:rsid w:val="009F3812"/>
    <w:rsid w:val="009F4ABD"/>
    <w:rsid w:val="009F6D0D"/>
    <w:rsid w:val="009F7891"/>
    <w:rsid w:val="009F7998"/>
    <w:rsid w:val="009F7D1B"/>
    <w:rsid w:val="00A005D7"/>
    <w:rsid w:val="00A020A4"/>
    <w:rsid w:val="00A049B0"/>
    <w:rsid w:val="00A04CD3"/>
    <w:rsid w:val="00A0587B"/>
    <w:rsid w:val="00A0648C"/>
    <w:rsid w:val="00A065E1"/>
    <w:rsid w:val="00A07755"/>
    <w:rsid w:val="00A10B29"/>
    <w:rsid w:val="00A11F12"/>
    <w:rsid w:val="00A142DE"/>
    <w:rsid w:val="00A14FE3"/>
    <w:rsid w:val="00A15072"/>
    <w:rsid w:val="00A213EF"/>
    <w:rsid w:val="00A21C69"/>
    <w:rsid w:val="00A22673"/>
    <w:rsid w:val="00A259B7"/>
    <w:rsid w:val="00A25DE7"/>
    <w:rsid w:val="00A26DA4"/>
    <w:rsid w:val="00A271B8"/>
    <w:rsid w:val="00A2758B"/>
    <w:rsid w:val="00A32623"/>
    <w:rsid w:val="00A328DE"/>
    <w:rsid w:val="00A32D05"/>
    <w:rsid w:val="00A32ED0"/>
    <w:rsid w:val="00A3329B"/>
    <w:rsid w:val="00A337CB"/>
    <w:rsid w:val="00A3628A"/>
    <w:rsid w:val="00A3768C"/>
    <w:rsid w:val="00A37D06"/>
    <w:rsid w:val="00A37DC6"/>
    <w:rsid w:val="00A37E32"/>
    <w:rsid w:val="00A42800"/>
    <w:rsid w:val="00A42E4B"/>
    <w:rsid w:val="00A44DBF"/>
    <w:rsid w:val="00A45B1D"/>
    <w:rsid w:val="00A4666B"/>
    <w:rsid w:val="00A508D8"/>
    <w:rsid w:val="00A527C3"/>
    <w:rsid w:val="00A53444"/>
    <w:rsid w:val="00A54D56"/>
    <w:rsid w:val="00A54E65"/>
    <w:rsid w:val="00A55181"/>
    <w:rsid w:val="00A608D5"/>
    <w:rsid w:val="00A60C0F"/>
    <w:rsid w:val="00A61759"/>
    <w:rsid w:val="00A62051"/>
    <w:rsid w:val="00A62693"/>
    <w:rsid w:val="00A6293D"/>
    <w:rsid w:val="00A62951"/>
    <w:rsid w:val="00A62D1C"/>
    <w:rsid w:val="00A650B6"/>
    <w:rsid w:val="00A663BD"/>
    <w:rsid w:val="00A66F1B"/>
    <w:rsid w:val="00A70550"/>
    <w:rsid w:val="00A705A2"/>
    <w:rsid w:val="00A72C8A"/>
    <w:rsid w:val="00A75018"/>
    <w:rsid w:val="00A76903"/>
    <w:rsid w:val="00A76A8A"/>
    <w:rsid w:val="00A774C8"/>
    <w:rsid w:val="00A80901"/>
    <w:rsid w:val="00A81D03"/>
    <w:rsid w:val="00A833D9"/>
    <w:rsid w:val="00A8468A"/>
    <w:rsid w:val="00A8488F"/>
    <w:rsid w:val="00A85D4B"/>
    <w:rsid w:val="00A874EA"/>
    <w:rsid w:val="00A87BA4"/>
    <w:rsid w:val="00A90485"/>
    <w:rsid w:val="00A912A4"/>
    <w:rsid w:val="00A91BF5"/>
    <w:rsid w:val="00A91FCE"/>
    <w:rsid w:val="00A925C3"/>
    <w:rsid w:val="00A92A88"/>
    <w:rsid w:val="00A9405D"/>
    <w:rsid w:val="00A94818"/>
    <w:rsid w:val="00A94DCA"/>
    <w:rsid w:val="00A95D09"/>
    <w:rsid w:val="00A962E3"/>
    <w:rsid w:val="00A96D12"/>
    <w:rsid w:val="00A975DF"/>
    <w:rsid w:val="00AA10E7"/>
    <w:rsid w:val="00AA16CC"/>
    <w:rsid w:val="00AA4309"/>
    <w:rsid w:val="00AA63C6"/>
    <w:rsid w:val="00AA7184"/>
    <w:rsid w:val="00AA7828"/>
    <w:rsid w:val="00AB251F"/>
    <w:rsid w:val="00AB42C7"/>
    <w:rsid w:val="00AB47E9"/>
    <w:rsid w:val="00AB49F4"/>
    <w:rsid w:val="00AB4F3E"/>
    <w:rsid w:val="00AB6025"/>
    <w:rsid w:val="00AB6C88"/>
    <w:rsid w:val="00AC24A0"/>
    <w:rsid w:val="00AC394A"/>
    <w:rsid w:val="00AC41A1"/>
    <w:rsid w:val="00AC576C"/>
    <w:rsid w:val="00AC5B34"/>
    <w:rsid w:val="00AC6484"/>
    <w:rsid w:val="00AC700E"/>
    <w:rsid w:val="00AC7061"/>
    <w:rsid w:val="00AD24EF"/>
    <w:rsid w:val="00AD33AD"/>
    <w:rsid w:val="00AD3C23"/>
    <w:rsid w:val="00AD4A96"/>
    <w:rsid w:val="00AD518A"/>
    <w:rsid w:val="00AD75B8"/>
    <w:rsid w:val="00AE008C"/>
    <w:rsid w:val="00AE0225"/>
    <w:rsid w:val="00AE0CB9"/>
    <w:rsid w:val="00AE0F11"/>
    <w:rsid w:val="00AE2506"/>
    <w:rsid w:val="00AE284B"/>
    <w:rsid w:val="00AE2B7F"/>
    <w:rsid w:val="00AE43AD"/>
    <w:rsid w:val="00AE5474"/>
    <w:rsid w:val="00AE5732"/>
    <w:rsid w:val="00AF086C"/>
    <w:rsid w:val="00AF0DCF"/>
    <w:rsid w:val="00AF27FD"/>
    <w:rsid w:val="00AF2FA5"/>
    <w:rsid w:val="00AF544A"/>
    <w:rsid w:val="00AF7613"/>
    <w:rsid w:val="00B04F58"/>
    <w:rsid w:val="00B0571D"/>
    <w:rsid w:val="00B10A49"/>
    <w:rsid w:val="00B110A4"/>
    <w:rsid w:val="00B119A1"/>
    <w:rsid w:val="00B1376D"/>
    <w:rsid w:val="00B17D43"/>
    <w:rsid w:val="00B20E26"/>
    <w:rsid w:val="00B21754"/>
    <w:rsid w:val="00B229C8"/>
    <w:rsid w:val="00B23114"/>
    <w:rsid w:val="00B233C4"/>
    <w:rsid w:val="00B246F3"/>
    <w:rsid w:val="00B25C88"/>
    <w:rsid w:val="00B27091"/>
    <w:rsid w:val="00B27854"/>
    <w:rsid w:val="00B27FBA"/>
    <w:rsid w:val="00B30232"/>
    <w:rsid w:val="00B313E3"/>
    <w:rsid w:val="00B321AD"/>
    <w:rsid w:val="00B3583E"/>
    <w:rsid w:val="00B35EA4"/>
    <w:rsid w:val="00B35EA7"/>
    <w:rsid w:val="00B362EF"/>
    <w:rsid w:val="00B364D3"/>
    <w:rsid w:val="00B36709"/>
    <w:rsid w:val="00B37587"/>
    <w:rsid w:val="00B379B9"/>
    <w:rsid w:val="00B40A4C"/>
    <w:rsid w:val="00B43308"/>
    <w:rsid w:val="00B43E6D"/>
    <w:rsid w:val="00B448EC"/>
    <w:rsid w:val="00B44FD1"/>
    <w:rsid w:val="00B45E93"/>
    <w:rsid w:val="00B46998"/>
    <w:rsid w:val="00B51B03"/>
    <w:rsid w:val="00B533B5"/>
    <w:rsid w:val="00B545E5"/>
    <w:rsid w:val="00B553D6"/>
    <w:rsid w:val="00B56205"/>
    <w:rsid w:val="00B56A47"/>
    <w:rsid w:val="00B56FCB"/>
    <w:rsid w:val="00B57ABA"/>
    <w:rsid w:val="00B61088"/>
    <w:rsid w:val="00B61FFB"/>
    <w:rsid w:val="00B62A3A"/>
    <w:rsid w:val="00B64030"/>
    <w:rsid w:val="00B64342"/>
    <w:rsid w:val="00B651F9"/>
    <w:rsid w:val="00B66A05"/>
    <w:rsid w:val="00B66B7C"/>
    <w:rsid w:val="00B67D58"/>
    <w:rsid w:val="00B67D82"/>
    <w:rsid w:val="00B71546"/>
    <w:rsid w:val="00B71FE2"/>
    <w:rsid w:val="00B736A7"/>
    <w:rsid w:val="00B7376C"/>
    <w:rsid w:val="00B74A50"/>
    <w:rsid w:val="00B75244"/>
    <w:rsid w:val="00B75A30"/>
    <w:rsid w:val="00B75A35"/>
    <w:rsid w:val="00B76BAF"/>
    <w:rsid w:val="00B77E56"/>
    <w:rsid w:val="00B8022C"/>
    <w:rsid w:val="00B80380"/>
    <w:rsid w:val="00B806AA"/>
    <w:rsid w:val="00B822DC"/>
    <w:rsid w:val="00B82AD6"/>
    <w:rsid w:val="00B83164"/>
    <w:rsid w:val="00B83182"/>
    <w:rsid w:val="00B831CB"/>
    <w:rsid w:val="00B833B9"/>
    <w:rsid w:val="00B84A35"/>
    <w:rsid w:val="00B85DC1"/>
    <w:rsid w:val="00B865B2"/>
    <w:rsid w:val="00B8787E"/>
    <w:rsid w:val="00B87990"/>
    <w:rsid w:val="00B87EF5"/>
    <w:rsid w:val="00B9029E"/>
    <w:rsid w:val="00B90BB1"/>
    <w:rsid w:val="00B91E30"/>
    <w:rsid w:val="00B92E1B"/>
    <w:rsid w:val="00B934C4"/>
    <w:rsid w:val="00B969AF"/>
    <w:rsid w:val="00B97C07"/>
    <w:rsid w:val="00BA064A"/>
    <w:rsid w:val="00BA1AAF"/>
    <w:rsid w:val="00BA29F0"/>
    <w:rsid w:val="00BA306F"/>
    <w:rsid w:val="00BA5CDD"/>
    <w:rsid w:val="00BA7618"/>
    <w:rsid w:val="00BB12F7"/>
    <w:rsid w:val="00BB2B5F"/>
    <w:rsid w:val="00BB3071"/>
    <w:rsid w:val="00BC1EE0"/>
    <w:rsid w:val="00BC1F76"/>
    <w:rsid w:val="00BC2941"/>
    <w:rsid w:val="00BC29C0"/>
    <w:rsid w:val="00BC55B9"/>
    <w:rsid w:val="00BC5975"/>
    <w:rsid w:val="00BC624C"/>
    <w:rsid w:val="00BC674B"/>
    <w:rsid w:val="00BC6BAD"/>
    <w:rsid w:val="00BC6C33"/>
    <w:rsid w:val="00BC6DF0"/>
    <w:rsid w:val="00BC72F5"/>
    <w:rsid w:val="00BD0930"/>
    <w:rsid w:val="00BD16EE"/>
    <w:rsid w:val="00BD3274"/>
    <w:rsid w:val="00BD577D"/>
    <w:rsid w:val="00BD78AB"/>
    <w:rsid w:val="00BE067E"/>
    <w:rsid w:val="00BE0B2D"/>
    <w:rsid w:val="00BE5910"/>
    <w:rsid w:val="00BE6A62"/>
    <w:rsid w:val="00BE7FA2"/>
    <w:rsid w:val="00BE7FB8"/>
    <w:rsid w:val="00BF0F10"/>
    <w:rsid w:val="00BF5427"/>
    <w:rsid w:val="00BF554F"/>
    <w:rsid w:val="00BF71A0"/>
    <w:rsid w:val="00C019EE"/>
    <w:rsid w:val="00C0261D"/>
    <w:rsid w:val="00C045D8"/>
    <w:rsid w:val="00C0460B"/>
    <w:rsid w:val="00C051B1"/>
    <w:rsid w:val="00C05397"/>
    <w:rsid w:val="00C05CCF"/>
    <w:rsid w:val="00C06368"/>
    <w:rsid w:val="00C06BE5"/>
    <w:rsid w:val="00C06F90"/>
    <w:rsid w:val="00C10502"/>
    <w:rsid w:val="00C10BD6"/>
    <w:rsid w:val="00C11C59"/>
    <w:rsid w:val="00C11E8C"/>
    <w:rsid w:val="00C12723"/>
    <w:rsid w:val="00C12A6B"/>
    <w:rsid w:val="00C12DAF"/>
    <w:rsid w:val="00C12ECB"/>
    <w:rsid w:val="00C142B4"/>
    <w:rsid w:val="00C15C2F"/>
    <w:rsid w:val="00C16891"/>
    <w:rsid w:val="00C173BF"/>
    <w:rsid w:val="00C17782"/>
    <w:rsid w:val="00C17FBD"/>
    <w:rsid w:val="00C25D9C"/>
    <w:rsid w:val="00C31CEA"/>
    <w:rsid w:val="00C331F6"/>
    <w:rsid w:val="00C338CB"/>
    <w:rsid w:val="00C33BFE"/>
    <w:rsid w:val="00C353C7"/>
    <w:rsid w:val="00C359B3"/>
    <w:rsid w:val="00C37288"/>
    <w:rsid w:val="00C405A1"/>
    <w:rsid w:val="00C41DA2"/>
    <w:rsid w:val="00C425F5"/>
    <w:rsid w:val="00C4419B"/>
    <w:rsid w:val="00C44576"/>
    <w:rsid w:val="00C455FE"/>
    <w:rsid w:val="00C46676"/>
    <w:rsid w:val="00C50F92"/>
    <w:rsid w:val="00C52744"/>
    <w:rsid w:val="00C532D7"/>
    <w:rsid w:val="00C55DD8"/>
    <w:rsid w:val="00C6016D"/>
    <w:rsid w:val="00C60DC8"/>
    <w:rsid w:val="00C6155F"/>
    <w:rsid w:val="00C616E5"/>
    <w:rsid w:val="00C61CC0"/>
    <w:rsid w:val="00C622B1"/>
    <w:rsid w:val="00C622EB"/>
    <w:rsid w:val="00C6359C"/>
    <w:rsid w:val="00C64593"/>
    <w:rsid w:val="00C646A9"/>
    <w:rsid w:val="00C64D2B"/>
    <w:rsid w:val="00C65133"/>
    <w:rsid w:val="00C65F35"/>
    <w:rsid w:val="00C666AD"/>
    <w:rsid w:val="00C66E75"/>
    <w:rsid w:val="00C67853"/>
    <w:rsid w:val="00C712CA"/>
    <w:rsid w:val="00C71CDC"/>
    <w:rsid w:val="00C72D4D"/>
    <w:rsid w:val="00C77202"/>
    <w:rsid w:val="00C777C9"/>
    <w:rsid w:val="00C77CD3"/>
    <w:rsid w:val="00C805D3"/>
    <w:rsid w:val="00C80993"/>
    <w:rsid w:val="00C809E6"/>
    <w:rsid w:val="00C82488"/>
    <w:rsid w:val="00C82CE8"/>
    <w:rsid w:val="00C82E68"/>
    <w:rsid w:val="00C83EE0"/>
    <w:rsid w:val="00C83FDE"/>
    <w:rsid w:val="00C84ACF"/>
    <w:rsid w:val="00C85066"/>
    <w:rsid w:val="00C859CD"/>
    <w:rsid w:val="00C8700B"/>
    <w:rsid w:val="00C87538"/>
    <w:rsid w:val="00C902DC"/>
    <w:rsid w:val="00C90FA8"/>
    <w:rsid w:val="00C910C3"/>
    <w:rsid w:val="00C93450"/>
    <w:rsid w:val="00C93D6B"/>
    <w:rsid w:val="00C93FBF"/>
    <w:rsid w:val="00C947D2"/>
    <w:rsid w:val="00C96A91"/>
    <w:rsid w:val="00CA0489"/>
    <w:rsid w:val="00CA0CC1"/>
    <w:rsid w:val="00CA0DA6"/>
    <w:rsid w:val="00CA2780"/>
    <w:rsid w:val="00CA28FA"/>
    <w:rsid w:val="00CA2FA1"/>
    <w:rsid w:val="00CA4471"/>
    <w:rsid w:val="00CA5A0B"/>
    <w:rsid w:val="00CA7AC4"/>
    <w:rsid w:val="00CB4490"/>
    <w:rsid w:val="00CB4781"/>
    <w:rsid w:val="00CB52B9"/>
    <w:rsid w:val="00CB7241"/>
    <w:rsid w:val="00CB7D8A"/>
    <w:rsid w:val="00CB7EEE"/>
    <w:rsid w:val="00CB7F00"/>
    <w:rsid w:val="00CC0415"/>
    <w:rsid w:val="00CC29C9"/>
    <w:rsid w:val="00CC31C6"/>
    <w:rsid w:val="00CC6518"/>
    <w:rsid w:val="00CD0169"/>
    <w:rsid w:val="00CD05E9"/>
    <w:rsid w:val="00CD162A"/>
    <w:rsid w:val="00CD1F2B"/>
    <w:rsid w:val="00CD1F60"/>
    <w:rsid w:val="00CD2926"/>
    <w:rsid w:val="00CD5446"/>
    <w:rsid w:val="00CD7007"/>
    <w:rsid w:val="00CD70B4"/>
    <w:rsid w:val="00CE0FC9"/>
    <w:rsid w:val="00CE1195"/>
    <w:rsid w:val="00CE1588"/>
    <w:rsid w:val="00CE2295"/>
    <w:rsid w:val="00CE2F57"/>
    <w:rsid w:val="00CE3C0D"/>
    <w:rsid w:val="00CE7213"/>
    <w:rsid w:val="00CF0E82"/>
    <w:rsid w:val="00CF1AF8"/>
    <w:rsid w:val="00CF2268"/>
    <w:rsid w:val="00CF2352"/>
    <w:rsid w:val="00CF2EFB"/>
    <w:rsid w:val="00CF3048"/>
    <w:rsid w:val="00CF313E"/>
    <w:rsid w:val="00CF36C1"/>
    <w:rsid w:val="00CF3B80"/>
    <w:rsid w:val="00CF3E43"/>
    <w:rsid w:val="00CF4B44"/>
    <w:rsid w:val="00CF50C2"/>
    <w:rsid w:val="00CF5999"/>
    <w:rsid w:val="00CF5B41"/>
    <w:rsid w:val="00CF75DB"/>
    <w:rsid w:val="00D0130A"/>
    <w:rsid w:val="00D01D73"/>
    <w:rsid w:val="00D02B63"/>
    <w:rsid w:val="00D04E7C"/>
    <w:rsid w:val="00D05288"/>
    <w:rsid w:val="00D05E23"/>
    <w:rsid w:val="00D063CF"/>
    <w:rsid w:val="00D0659B"/>
    <w:rsid w:val="00D06F46"/>
    <w:rsid w:val="00D108C2"/>
    <w:rsid w:val="00D10955"/>
    <w:rsid w:val="00D112C2"/>
    <w:rsid w:val="00D11BDF"/>
    <w:rsid w:val="00D13386"/>
    <w:rsid w:val="00D13979"/>
    <w:rsid w:val="00D14345"/>
    <w:rsid w:val="00D16F65"/>
    <w:rsid w:val="00D16FD5"/>
    <w:rsid w:val="00D172E3"/>
    <w:rsid w:val="00D173E9"/>
    <w:rsid w:val="00D206CE"/>
    <w:rsid w:val="00D20AC5"/>
    <w:rsid w:val="00D210CD"/>
    <w:rsid w:val="00D219E2"/>
    <w:rsid w:val="00D2404E"/>
    <w:rsid w:val="00D2482D"/>
    <w:rsid w:val="00D25383"/>
    <w:rsid w:val="00D25531"/>
    <w:rsid w:val="00D26BCC"/>
    <w:rsid w:val="00D3037F"/>
    <w:rsid w:val="00D31920"/>
    <w:rsid w:val="00D3228B"/>
    <w:rsid w:val="00D3262F"/>
    <w:rsid w:val="00D3419B"/>
    <w:rsid w:val="00D35042"/>
    <w:rsid w:val="00D360DA"/>
    <w:rsid w:val="00D40D59"/>
    <w:rsid w:val="00D41348"/>
    <w:rsid w:val="00D41636"/>
    <w:rsid w:val="00D44F75"/>
    <w:rsid w:val="00D4512D"/>
    <w:rsid w:val="00D46647"/>
    <w:rsid w:val="00D47FE9"/>
    <w:rsid w:val="00D51473"/>
    <w:rsid w:val="00D51DE2"/>
    <w:rsid w:val="00D542F3"/>
    <w:rsid w:val="00D54940"/>
    <w:rsid w:val="00D5575F"/>
    <w:rsid w:val="00D55977"/>
    <w:rsid w:val="00D575F2"/>
    <w:rsid w:val="00D579CC"/>
    <w:rsid w:val="00D60B90"/>
    <w:rsid w:val="00D610ED"/>
    <w:rsid w:val="00D63CC2"/>
    <w:rsid w:val="00D65392"/>
    <w:rsid w:val="00D65E6F"/>
    <w:rsid w:val="00D6603D"/>
    <w:rsid w:val="00D71584"/>
    <w:rsid w:val="00D72904"/>
    <w:rsid w:val="00D72E3F"/>
    <w:rsid w:val="00D73337"/>
    <w:rsid w:val="00D738D7"/>
    <w:rsid w:val="00D74BE0"/>
    <w:rsid w:val="00D75715"/>
    <w:rsid w:val="00D769BD"/>
    <w:rsid w:val="00D77E6C"/>
    <w:rsid w:val="00D81140"/>
    <w:rsid w:val="00D82585"/>
    <w:rsid w:val="00D82AD3"/>
    <w:rsid w:val="00D82B64"/>
    <w:rsid w:val="00D85EB1"/>
    <w:rsid w:val="00D865F5"/>
    <w:rsid w:val="00D91340"/>
    <w:rsid w:val="00D91B46"/>
    <w:rsid w:val="00D9273B"/>
    <w:rsid w:val="00D93B0C"/>
    <w:rsid w:val="00D93C90"/>
    <w:rsid w:val="00D94548"/>
    <w:rsid w:val="00D95D63"/>
    <w:rsid w:val="00D96A90"/>
    <w:rsid w:val="00DA5992"/>
    <w:rsid w:val="00DA7F0E"/>
    <w:rsid w:val="00DB0DA3"/>
    <w:rsid w:val="00DB1D33"/>
    <w:rsid w:val="00DB20D3"/>
    <w:rsid w:val="00DB3625"/>
    <w:rsid w:val="00DB36A1"/>
    <w:rsid w:val="00DB6257"/>
    <w:rsid w:val="00DB6959"/>
    <w:rsid w:val="00DC256D"/>
    <w:rsid w:val="00DC39B2"/>
    <w:rsid w:val="00DD1316"/>
    <w:rsid w:val="00DD25D0"/>
    <w:rsid w:val="00DD3B5F"/>
    <w:rsid w:val="00DD4600"/>
    <w:rsid w:val="00DD4E35"/>
    <w:rsid w:val="00DD6977"/>
    <w:rsid w:val="00DD7BBE"/>
    <w:rsid w:val="00DE062B"/>
    <w:rsid w:val="00DE1F2F"/>
    <w:rsid w:val="00DE3898"/>
    <w:rsid w:val="00DE5BCF"/>
    <w:rsid w:val="00DE5CD0"/>
    <w:rsid w:val="00DF0188"/>
    <w:rsid w:val="00DF03BF"/>
    <w:rsid w:val="00DF1FFC"/>
    <w:rsid w:val="00DF351B"/>
    <w:rsid w:val="00DF473C"/>
    <w:rsid w:val="00DF631D"/>
    <w:rsid w:val="00DF6930"/>
    <w:rsid w:val="00DF6A31"/>
    <w:rsid w:val="00E00889"/>
    <w:rsid w:val="00E01642"/>
    <w:rsid w:val="00E01D82"/>
    <w:rsid w:val="00E02034"/>
    <w:rsid w:val="00E031A3"/>
    <w:rsid w:val="00E04227"/>
    <w:rsid w:val="00E07044"/>
    <w:rsid w:val="00E10280"/>
    <w:rsid w:val="00E1033F"/>
    <w:rsid w:val="00E11014"/>
    <w:rsid w:val="00E12362"/>
    <w:rsid w:val="00E13BA5"/>
    <w:rsid w:val="00E15394"/>
    <w:rsid w:val="00E23019"/>
    <w:rsid w:val="00E23562"/>
    <w:rsid w:val="00E2398A"/>
    <w:rsid w:val="00E24763"/>
    <w:rsid w:val="00E24A57"/>
    <w:rsid w:val="00E2621C"/>
    <w:rsid w:val="00E26486"/>
    <w:rsid w:val="00E268C0"/>
    <w:rsid w:val="00E2735F"/>
    <w:rsid w:val="00E3052A"/>
    <w:rsid w:val="00E30EFD"/>
    <w:rsid w:val="00E34599"/>
    <w:rsid w:val="00E353E8"/>
    <w:rsid w:val="00E35A29"/>
    <w:rsid w:val="00E36BF4"/>
    <w:rsid w:val="00E37581"/>
    <w:rsid w:val="00E41140"/>
    <w:rsid w:val="00E45CBD"/>
    <w:rsid w:val="00E476E2"/>
    <w:rsid w:val="00E47A66"/>
    <w:rsid w:val="00E5351F"/>
    <w:rsid w:val="00E5393D"/>
    <w:rsid w:val="00E53E27"/>
    <w:rsid w:val="00E54C6E"/>
    <w:rsid w:val="00E556A5"/>
    <w:rsid w:val="00E56BA0"/>
    <w:rsid w:val="00E63F6E"/>
    <w:rsid w:val="00E67B14"/>
    <w:rsid w:val="00E73C85"/>
    <w:rsid w:val="00E7414C"/>
    <w:rsid w:val="00E75CD9"/>
    <w:rsid w:val="00E761C8"/>
    <w:rsid w:val="00E76313"/>
    <w:rsid w:val="00E76E6B"/>
    <w:rsid w:val="00E7763E"/>
    <w:rsid w:val="00E8233F"/>
    <w:rsid w:val="00E8299B"/>
    <w:rsid w:val="00E82E6C"/>
    <w:rsid w:val="00E8503A"/>
    <w:rsid w:val="00E87320"/>
    <w:rsid w:val="00E87567"/>
    <w:rsid w:val="00E87602"/>
    <w:rsid w:val="00E8770C"/>
    <w:rsid w:val="00E90775"/>
    <w:rsid w:val="00E90F5D"/>
    <w:rsid w:val="00E93173"/>
    <w:rsid w:val="00E93EC1"/>
    <w:rsid w:val="00E95465"/>
    <w:rsid w:val="00E963BC"/>
    <w:rsid w:val="00E97008"/>
    <w:rsid w:val="00E9705F"/>
    <w:rsid w:val="00E9764C"/>
    <w:rsid w:val="00EA046F"/>
    <w:rsid w:val="00EA1EE9"/>
    <w:rsid w:val="00EA2378"/>
    <w:rsid w:val="00EA2DB3"/>
    <w:rsid w:val="00EA36D5"/>
    <w:rsid w:val="00EA36FC"/>
    <w:rsid w:val="00EA3AB4"/>
    <w:rsid w:val="00EA5FA9"/>
    <w:rsid w:val="00EA7D92"/>
    <w:rsid w:val="00EB058C"/>
    <w:rsid w:val="00EB12A6"/>
    <w:rsid w:val="00EB2953"/>
    <w:rsid w:val="00EB303E"/>
    <w:rsid w:val="00EB598F"/>
    <w:rsid w:val="00EB5EA2"/>
    <w:rsid w:val="00EB697B"/>
    <w:rsid w:val="00EB6B1A"/>
    <w:rsid w:val="00EC0580"/>
    <w:rsid w:val="00EC2B0F"/>
    <w:rsid w:val="00EC2C32"/>
    <w:rsid w:val="00EC321C"/>
    <w:rsid w:val="00EC4EF6"/>
    <w:rsid w:val="00EC738A"/>
    <w:rsid w:val="00ED0299"/>
    <w:rsid w:val="00ED21D6"/>
    <w:rsid w:val="00ED3508"/>
    <w:rsid w:val="00ED38CC"/>
    <w:rsid w:val="00ED4E4C"/>
    <w:rsid w:val="00ED5881"/>
    <w:rsid w:val="00ED5C34"/>
    <w:rsid w:val="00ED6B7E"/>
    <w:rsid w:val="00EE024D"/>
    <w:rsid w:val="00EE0B43"/>
    <w:rsid w:val="00EE0E07"/>
    <w:rsid w:val="00EE2292"/>
    <w:rsid w:val="00EE2D12"/>
    <w:rsid w:val="00EE70D6"/>
    <w:rsid w:val="00EE7FBA"/>
    <w:rsid w:val="00EF01E5"/>
    <w:rsid w:val="00EF031F"/>
    <w:rsid w:val="00EF1AF4"/>
    <w:rsid w:val="00EF1E81"/>
    <w:rsid w:val="00EF5378"/>
    <w:rsid w:val="00EF616B"/>
    <w:rsid w:val="00F01AF3"/>
    <w:rsid w:val="00F01C37"/>
    <w:rsid w:val="00F03B46"/>
    <w:rsid w:val="00F06BF3"/>
    <w:rsid w:val="00F06C17"/>
    <w:rsid w:val="00F06E19"/>
    <w:rsid w:val="00F1100E"/>
    <w:rsid w:val="00F117A6"/>
    <w:rsid w:val="00F130A3"/>
    <w:rsid w:val="00F14689"/>
    <w:rsid w:val="00F1472E"/>
    <w:rsid w:val="00F14A2B"/>
    <w:rsid w:val="00F164AC"/>
    <w:rsid w:val="00F174A1"/>
    <w:rsid w:val="00F17893"/>
    <w:rsid w:val="00F22571"/>
    <w:rsid w:val="00F23456"/>
    <w:rsid w:val="00F2394F"/>
    <w:rsid w:val="00F24498"/>
    <w:rsid w:val="00F25254"/>
    <w:rsid w:val="00F2638E"/>
    <w:rsid w:val="00F265DE"/>
    <w:rsid w:val="00F267FA"/>
    <w:rsid w:val="00F27D09"/>
    <w:rsid w:val="00F30CF8"/>
    <w:rsid w:val="00F31329"/>
    <w:rsid w:val="00F31748"/>
    <w:rsid w:val="00F329AD"/>
    <w:rsid w:val="00F32B94"/>
    <w:rsid w:val="00F34509"/>
    <w:rsid w:val="00F34912"/>
    <w:rsid w:val="00F35A07"/>
    <w:rsid w:val="00F36842"/>
    <w:rsid w:val="00F36932"/>
    <w:rsid w:val="00F40FAE"/>
    <w:rsid w:val="00F42521"/>
    <w:rsid w:val="00F426C1"/>
    <w:rsid w:val="00F42E96"/>
    <w:rsid w:val="00F43D76"/>
    <w:rsid w:val="00F44352"/>
    <w:rsid w:val="00F4600C"/>
    <w:rsid w:val="00F46C9D"/>
    <w:rsid w:val="00F47170"/>
    <w:rsid w:val="00F50AA9"/>
    <w:rsid w:val="00F52A9B"/>
    <w:rsid w:val="00F550FC"/>
    <w:rsid w:val="00F55839"/>
    <w:rsid w:val="00F6145D"/>
    <w:rsid w:val="00F618E5"/>
    <w:rsid w:val="00F6369C"/>
    <w:rsid w:val="00F636EF"/>
    <w:rsid w:val="00F65400"/>
    <w:rsid w:val="00F67803"/>
    <w:rsid w:val="00F67E37"/>
    <w:rsid w:val="00F701E5"/>
    <w:rsid w:val="00F7301F"/>
    <w:rsid w:val="00F74777"/>
    <w:rsid w:val="00F759F9"/>
    <w:rsid w:val="00F75D9C"/>
    <w:rsid w:val="00F76F9B"/>
    <w:rsid w:val="00F77792"/>
    <w:rsid w:val="00F810AE"/>
    <w:rsid w:val="00F831D6"/>
    <w:rsid w:val="00F8433D"/>
    <w:rsid w:val="00F84552"/>
    <w:rsid w:val="00F84EA9"/>
    <w:rsid w:val="00F85C25"/>
    <w:rsid w:val="00F85C89"/>
    <w:rsid w:val="00F87266"/>
    <w:rsid w:val="00F87EAC"/>
    <w:rsid w:val="00F9136A"/>
    <w:rsid w:val="00F9144E"/>
    <w:rsid w:val="00F9252B"/>
    <w:rsid w:val="00F927AC"/>
    <w:rsid w:val="00F927CF"/>
    <w:rsid w:val="00F92961"/>
    <w:rsid w:val="00F92EAB"/>
    <w:rsid w:val="00F93C2C"/>
    <w:rsid w:val="00F93D59"/>
    <w:rsid w:val="00F940A5"/>
    <w:rsid w:val="00F942B8"/>
    <w:rsid w:val="00F947D5"/>
    <w:rsid w:val="00F954DA"/>
    <w:rsid w:val="00F9769D"/>
    <w:rsid w:val="00FA0338"/>
    <w:rsid w:val="00FA15B8"/>
    <w:rsid w:val="00FA1B3F"/>
    <w:rsid w:val="00FA23EA"/>
    <w:rsid w:val="00FA3EBF"/>
    <w:rsid w:val="00FA48EA"/>
    <w:rsid w:val="00FA6E22"/>
    <w:rsid w:val="00FA71E9"/>
    <w:rsid w:val="00FA74C8"/>
    <w:rsid w:val="00FB0A87"/>
    <w:rsid w:val="00FB1E95"/>
    <w:rsid w:val="00FB44C3"/>
    <w:rsid w:val="00FB5DDC"/>
    <w:rsid w:val="00FB6164"/>
    <w:rsid w:val="00FC053D"/>
    <w:rsid w:val="00FC17E0"/>
    <w:rsid w:val="00FC49BD"/>
    <w:rsid w:val="00FC4C98"/>
    <w:rsid w:val="00FC5101"/>
    <w:rsid w:val="00FC5572"/>
    <w:rsid w:val="00FC788F"/>
    <w:rsid w:val="00FD00A1"/>
    <w:rsid w:val="00FD2F5B"/>
    <w:rsid w:val="00FD3CC5"/>
    <w:rsid w:val="00FD7739"/>
    <w:rsid w:val="00FD7A89"/>
    <w:rsid w:val="00FD7CEE"/>
    <w:rsid w:val="00FE0487"/>
    <w:rsid w:val="00FE2D0E"/>
    <w:rsid w:val="00FE33AE"/>
    <w:rsid w:val="00FE34A8"/>
    <w:rsid w:val="00FE4E8C"/>
    <w:rsid w:val="00FE53CE"/>
    <w:rsid w:val="00FE5716"/>
    <w:rsid w:val="00FE5ACF"/>
    <w:rsid w:val="00FE60CA"/>
    <w:rsid w:val="00FE681E"/>
    <w:rsid w:val="00FE6BA0"/>
    <w:rsid w:val="00FE7A43"/>
    <w:rsid w:val="00FE7F59"/>
    <w:rsid w:val="00FF0662"/>
    <w:rsid w:val="00FF10D0"/>
    <w:rsid w:val="00FF111A"/>
    <w:rsid w:val="00FF2278"/>
    <w:rsid w:val="00FF2C65"/>
    <w:rsid w:val="00FF5C3C"/>
    <w:rsid w:val="00FF5DEC"/>
    <w:rsid w:val="00FF7694"/>
    <w:rsid w:val="0CE374BD"/>
    <w:rsid w:val="10EB7CBA"/>
    <w:rsid w:val="2A51096A"/>
    <w:rsid w:val="42A6444D"/>
    <w:rsid w:val="57CE1C8B"/>
    <w:rsid w:val="5B243916"/>
    <w:rsid w:val="61434A9B"/>
    <w:rsid w:val="64BB7B5E"/>
    <w:rsid w:val="6A195622"/>
    <w:rsid w:val="7F6413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7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line="360" w:lineRule="auto"/>
      <w:ind w:firstLine="200" w:firstLineChars="200"/>
      <w:jc w:val="both"/>
    </w:pPr>
    <w:rPr>
      <w:rFonts w:ascii="Times New Roman" w:hAnsi="Times New Roman" w:eastAsiaTheme="minorEastAsia" w:cstheme="minorBidi"/>
      <w:kern w:val="2"/>
      <w:sz w:val="24"/>
      <w:szCs w:val="21"/>
      <w:lang w:val="en-US" w:eastAsia="zh-CN" w:bidi="ar-SA"/>
    </w:rPr>
  </w:style>
  <w:style w:type="paragraph" w:styleId="2">
    <w:name w:val="heading 1"/>
    <w:basedOn w:val="1"/>
    <w:next w:val="1"/>
    <w:link w:val="29"/>
    <w:qFormat/>
    <w:uiPriority w:val="9"/>
    <w:pPr>
      <w:keepNext/>
      <w:keepLines/>
      <w:pageBreakBefore/>
      <w:numPr>
        <w:ilvl w:val="0"/>
        <w:numId w:val="1"/>
      </w:numPr>
      <w:ind w:left="0" w:firstLine="0" w:firstLineChars="0"/>
      <w:jc w:val="center"/>
      <w:outlineLvl w:val="0"/>
    </w:pPr>
    <w:rPr>
      <w:rFonts w:eastAsia="黑体"/>
      <w:bCs/>
      <w:kern w:val="44"/>
      <w:sz w:val="36"/>
      <w:szCs w:val="44"/>
    </w:rPr>
  </w:style>
  <w:style w:type="paragraph" w:styleId="3">
    <w:name w:val="heading 2"/>
    <w:basedOn w:val="1"/>
    <w:next w:val="1"/>
    <w:link w:val="30"/>
    <w:unhideWhenUsed/>
    <w:qFormat/>
    <w:uiPriority w:val="9"/>
    <w:pPr>
      <w:keepNext/>
      <w:keepLines/>
      <w:numPr>
        <w:ilvl w:val="0"/>
        <w:numId w:val="2"/>
      </w:numPr>
      <w:spacing w:before="50" w:after="50"/>
      <w:ind w:left="0" w:firstLine="100" w:firstLineChars="100"/>
      <w:outlineLvl w:val="1"/>
    </w:pPr>
    <w:rPr>
      <w:rFonts w:eastAsia="宋体" w:cstheme="majorBidi"/>
      <w:b/>
      <w:bCs/>
      <w:sz w:val="28"/>
      <w:szCs w:val="32"/>
    </w:rPr>
  </w:style>
  <w:style w:type="paragraph" w:styleId="4">
    <w:name w:val="heading 3"/>
    <w:basedOn w:val="1"/>
    <w:next w:val="1"/>
    <w:link w:val="31"/>
    <w:unhideWhenUsed/>
    <w:qFormat/>
    <w:uiPriority w:val="9"/>
    <w:pPr>
      <w:keepNext/>
      <w:keepLines/>
      <w:numPr>
        <w:ilvl w:val="0"/>
        <w:numId w:val="3"/>
      </w:numPr>
      <w:ind w:left="0" w:firstLine="200"/>
      <w:outlineLvl w:val="2"/>
    </w:pPr>
    <w:rPr>
      <w:bCs/>
      <w:szCs w:val="32"/>
    </w:rPr>
  </w:style>
  <w:style w:type="paragraph" w:styleId="5">
    <w:name w:val="heading 4"/>
    <w:basedOn w:val="1"/>
    <w:next w:val="1"/>
    <w:link w:val="32"/>
    <w:unhideWhenUsed/>
    <w:qFormat/>
    <w:uiPriority w:val="9"/>
    <w:pPr>
      <w:keepNext/>
      <w:keepLines/>
      <w:numPr>
        <w:ilvl w:val="0"/>
        <w:numId w:val="4"/>
      </w:numPr>
      <w:ind w:firstLine="0" w:firstLineChars="0"/>
      <w:outlineLvl w:val="3"/>
    </w:pPr>
    <w:rPr>
      <w:rFonts w:eastAsiaTheme="majorEastAsia" w:cstheme="majorBidi"/>
      <w:bCs/>
      <w:szCs w:val="28"/>
    </w:rPr>
  </w:style>
  <w:style w:type="paragraph" w:styleId="6">
    <w:name w:val="heading 5"/>
    <w:basedOn w:val="1"/>
    <w:next w:val="1"/>
    <w:link w:val="33"/>
    <w:unhideWhenUsed/>
    <w:qFormat/>
    <w:uiPriority w:val="9"/>
    <w:pPr>
      <w:keepNext/>
      <w:keepLines/>
      <w:numPr>
        <w:ilvl w:val="0"/>
        <w:numId w:val="5"/>
      </w:numPr>
      <w:ind w:firstLine="0" w:firstLineChars="0"/>
      <w:outlineLvl w:val="4"/>
    </w:pPr>
    <w:rPr>
      <w:bCs/>
      <w:szCs w:val="28"/>
    </w:rPr>
  </w:style>
  <w:style w:type="paragraph" w:styleId="7">
    <w:name w:val="heading 6"/>
    <w:basedOn w:val="1"/>
    <w:next w:val="1"/>
    <w:link w:val="34"/>
    <w:unhideWhenUsed/>
    <w:qFormat/>
    <w:uiPriority w:val="9"/>
    <w:pPr>
      <w:keepNext/>
      <w:keepLines/>
      <w:numPr>
        <w:ilvl w:val="0"/>
        <w:numId w:val="6"/>
      </w:numPr>
      <w:ind w:left="0" w:firstLine="200"/>
      <w:outlineLvl w:val="5"/>
    </w:pPr>
    <w:rPr>
      <w:rFonts w:asciiTheme="majorHAnsi" w:hAnsiTheme="majorHAnsi" w:eastAsiaTheme="majorEastAsia" w:cstheme="majorBidi"/>
      <w:bCs/>
      <w:szCs w:val="24"/>
    </w:rPr>
  </w:style>
  <w:style w:type="character" w:default="1" w:styleId="25">
    <w:name w:val="Default Paragraph Font"/>
    <w:semiHidden/>
    <w:unhideWhenUsed/>
    <w:uiPriority w:val="1"/>
  </w:style>
  <w:style w:type="table" w:default="1" w:styleId="23">
    <w:name w:val="Normal Table"/>
    <w:semiHidden/>
    <w:unhideWhenUsed/>
    <w:uiPriority w:val="99"/>
    <w:tblPr>
      <w:tblLayout w:type="fixed"/>
      <w:tblCellMar>
        <w:top w:w="0" w:type="dxa"/>
        <w:left w:w="108" w:type="dxa"/>
        <w:bottom w:w="0" w:type="dxa"/>
        <w:right w:w="108" w:type="dxa"/>
      </w:tblCellMar>
    </w:tblPr>
  </w:style>
  <w:style w:type="paragraph" w:styleId="8">
    <w:name w:val="caption"/>
    <w:basedOn w:val="1"/>
    <w:next w:val="1"/>
    <w:unhideWhenUsed/>
    <w:qFormat/>
    <w:uiPriority w:val="35"/>
    <w:rPr>
      <w:rFonts w:eastAsia="黑体" w:asciiTheme="majorHAnsi" w:hAnsiTheme="majorHAnsi" w:cstheme="majorBidi"/>
      <w:sz w:val="20"/>
      <w:szCs w:val="20"/>
    </w:rPr>
  </w:style>
  <w:style w:type="paragraph" w:styleId="9">
    <w:name w:val="Document Map"/>
    <w:basedOn w:val="1"/>
    <w:link w:val="51"/>
    <w:unhideWhenUsed/>
    <w:qFormat/>
    <w:uiPriority w:val="99"/>
    <w:pPr>
      <w:spacing w:beforeLines="0" w:line="440" w:lineRule="exact"/>
      <w:ind w:left="350" w:leftChars="350" w:firstLine="0" w:firstLineChars="0"/>
      <w:jc w:val="left"/>
    </w:pPr>
    <w:rPr>
      <w:rFonts w:ascii="宋体" w:hAnsi="Calibri" w:eastAsia="宋体" w:cs="Times New Roman"/>
      <w:sz w:val="18"/>
      <w:szCs w:val="18"/>
    </w:rPr>
  </w:style>
  <w:style w:type="paragraph" w:styleId="10">
    <w:name w:val="annotation text"/>
    <w:basedOn w:val="1"/>
    <w:link w:val="35"/>
    <w:unhideWhenUsed/>
    <w:qFormat/>
    <w:uiPriority w:val="99"/>
    <w:pPr>
      <w:jc w:val="left"/>
    </w:pPr>
  </w:style>
  <w:style w:type="paragraph" w:styleId="11">
    <w:name w:val="Salutation"/>
    <w:basedOn w:val="1"/>
    <w:next w:val="1"/>
    <w:link w:val="56"/>
    <w:unhideWhenUsed/>
    <w:qFormat/>
    <w:uiPriority w:val="99"/>
    <w:pPr>
      <w:spacing w:beforeLines="0" w:line="440" w:lineRule="exact"/>
      <w:ind w:left="350" w:leftChars="350" w:firstLine="0" w:firstLineChars="0"/>
      <w:jc w:val="left"/>
    </w:pPr>
    <w:rPr>
      <w:rFonts w:ascii="宋体" w:hAnsi="宋体" w:eastAsia="宋体" w:cs="Times New Roman"/>
      <w:snapToGrid w:val="0"/>
      <w:kern w:val="0"/>
      <w:szCs w:val="22"/>
    </w:rPr>
  </w:style>
  <w:style w:type="paragraph" w:styleId="12">
    <w:name w:val="Closing"/>
    <w:basedOn w:val="1"/>
    <w:link w:val="57"/>
    <w:unhideWhenUsed/>
    <w:qFormat/>
    <w:uiPriority w:val="99"/>
    <w:pPr>
      <w:spacing w:beforeLines="0" w:line="440" w:lineRule="exact"/>
      <w:ind w:left="100" w:leftChars="2100" w:firstLine="0" w:firstLineChars="0"/>
      <w:jc w:val="left"/>
    </w:pPr>
    <w:rPr>
      <w:rFonts w:ascii="宋体" w:hAnsi="宋体" w:eastAsia="宋体" w:cs="Times New Roman"/>
      <w:snapToGrid w:val="0"/>
      <w:kern w:val="0"/>
      <w:szCs w:val="22"/>
    </w:rPr>
  </w:style>
  <w:style w:type="paragraph" w:styleId="13">
    <w:name w:val="Body Text Indent"/>
    <w:basedOn w:val="1"/>
    <w:link w:val="37"/>
    <w:qFormat/>
    <w:uiPriority w:val="0"/>
    <w:pPr>
      <w:spacing w:line="240" w:lineRule="auto"/>
      <w:ind w:left="1799" w:leftChars="727" w:hanging="272" w:hangingChars="97"/>
    </w:pPr>
    <w:rPr>
      <w:rFonts w:eastAsia="宋体" w:cs="Times New Roman"/>
      <w:sz w:val="28"/>
      <w:szCs w:val="24"/>
    </w:rPr>
  </w:style>
  <w:style w:type="paragraph" w:styleId="14">
    <w:name w:val="toc 3"/>
    <w:basedOn w:val="1"/>
    <w:next w:val="1"/>
    <w:unhideWhenUsed/>
    <w:qFormat/>
    <w:uiPriority w:val="39"/>
    <w:pPr>
      <w:ind w:left="840" w:leftChars="400"/>
    </w:pPr>
  </w:style>
  <w:style w:type="paragraph" w:styleId="15">
    <w:name w:val="Plain Text"/>
    <w:basedOn w:val="1"/>
    <w:link w:val="53"/>
    <w:qFormat/>
    <w:uiPriority w:val="99"/>
    <w:pPr>
      <w:spacing w:beforeLines="0" w:afterLines="0" w:line="240" w:lineRule="auto"/>
      <w:ind w:firstLine="0" w:firstLineChars="0"/>
    </w:pPr>
    <w:rPr>
      <w:rFonts w:ascii="宋体" w:hAnsi="Courier New" w:cs="Courier New"/>
      <w:kern w:val="0"/>
      <w:sz w:val="20"/>
    </w:rPr>
  </w:style>
  <w:style w:type="paragraph" w:styleId="16">
    <w:name w:val="Date"/>
    <w:basedOn w:val="1"/>
    <w:next w:val="1"/>
    <w:link w:val="38"/>
    <w:unhideWhenUsed/>
    <w:qFormat/>
    <w:uiPriority w:val="99"/>
    <w:pPr>
      <w:ind w:left="100" w:leftChars="2500"/>
    </w:pPr>
  </w:style>
  <w:style w:type="paragraph" w:styleId="17">
    <w:name w:val="Balloon Text"/>
    <w:basedOn w:val="1"/>
    <w:link w:val="39"/>
    <w:unhideWhenUsed/>
    <w:qFormat/>
    <w:uiPriority w:val="99"/>
    <w:pPr>
      <w:spacing w:line="240" w:lineRule="auto"/>
    </w:pPr>
    <w:rPr>
      <w:sz w:val="18"/>
      <w:szCs w:val="18"/>
    </w:rPr>
  </w:style>
  <w:style w:type="paragraph" w:styleId="18">
    <w:name w:val="footer"/>
    <w:basedOn w:val="1"/>
    <w:link w:val="40"/>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4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tabs>
        <w:tab w:val="left" w:pos="709"/>
        <w:tab w:val="right" w:leader="dot" w:pos="8296"/>
      </w:tabs>
      <w:spacing w:before="156" w:after="156" w:line="240" w:lineRule="auto"/>
      <w:ind w:firstLine="480" w:firstLineChars="0"/>
    </w:pPr>
    <w:rPr>
      <w:b/>
    </w:rPr>
  </w:style>
  <w:style w:type="paragraph" w:styleId="21">
    <w:name w:val="toc 2"/>
    <w:basedOn w:val="1"/>
    <w:next w:val="1"/>
    <w:unhideWhenUsed/>
    <w:qFormat/>
    <w:uiPriority w:val="39"/>
    <w:pPr>
      <w:tabs>
        <w:tab w:val="right" w:leader="dot" w:pos="8296"/>
      </w:tabs>
      <w:spacing w:before="156" w:after="156"/>
      <w:ind w:left="142" w:leftChars="59" w:firstLine="228" w:firstLineChars="95"/>
    </w:pPr>
  </w:style>
  <w:style w:type="paragraph" w:styleId="22">
    <w:name w:val="annotation subject"/>
    <w:basedOn w:val="10"/>
    <w:next w:val="10"/>
    <w:link w:val="36"/>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page number"/>
    <w:basedOn w:val="25"/>
    <w:semiHidden/>
    <w:qFormat/>
    <w:uiPriority w:val="0"/>
  </w:style>
  <w:style w:type="character" w:styleId="27">
    <w:name w:val="Hyperlink"/>
    <w:basedOn w:val="25"/>
    <w:unhideWhenUsed/>
    <w:qFormat/>
    <w:uiPriority w:val="99"/>
    <w:rPr>
      <w:color w:val="0563C1" w:themeColor="hyperlink"/>
      <w:u w:val="single"/>
    </w:rPr>
  </w:style>
  <w:style w:type="character" w:styleId="28">
    <w:name w:val="annotation reference"/>
    <w:basedOn w:val="25"/>
    <w:unhideWhenUsed/>
    <w:qFormat/>
    <w:uiPriority w:val="99"/>
    <w:rPr>
      <w:sz w:val="21"/>
      <w:szCs w:val="21"/>
    </w:rPr>
  </w:style>
  <w:style w:type="character" w:customStyle="1" w:styleId="29">
    <w:name w:val="标题 1 Char"/>
    <w:basedOn w:val="25"/>
    <w:link w:val="2"/>
    <w:qFormat/>
    <w:uiPriority w:val="9"/>
    <w:rPr>
      <w:rFonts w:ascii="Times New Roman" w:hAnsi="Times New Roman" w:eastAsia="黑体"/>
      <w:bCs/>
      <w:kern w:val="44"/>
      <w:sz w:val="36"/>
      <w:szCs w:val="44"/>
    </w:rPr>
  </w:style>
  <w:style w:type="character" w:customStyle="1" w:styleId="30">
    <w:name w:val="标题 2 Char"/>
    <w:basedOn w:val="25"/>
    <w:link w:val="3"/>
    <w:qFormat/>
    <w:uiPriority w:val="9"/>
    <w:rPr>
      <w:rFonts w:ascii="Times New Roman" w:hAnsi="Times New Roman" w:eastAsia="宋体" w:cstheme="majorBidi"/>
      <w:b/>
      <w:bCs/>
      <w:sz w:val="28"/>
      <w:szCs w:val="32"/>
    </w:rPr>
  </w:style>
  <w:style w:type="character" w:customStyle="1" w:styleId="31">
    <w:name w:val="标题 3 Char"/>
    <w:basedOn w:val="25"/>
    <w:link w:val="4"/>
    <w:qFormat/>
    <w:uiPriority w:val="9"/>
    <w:rPr>
      <w:rFonts w:ascii="Times New Roman" w:hAnsi="Times New Roman"/>
      <w:bCs/>
      <w:sz w:val="24"/>
      <w:szCs w:val="32"/>
    </w:rPr>
  </w:style>
  <w:style w:type="character" w:customStyle="1" w:styleId="32">
    <w:name w:val="标题 4 Char"/>
    <w:basedOn w:val="25"/>
    <w:link w:val="5"/>
    <w:qFormat/>
    <w:uiPriority w:val="9"/>
    <w:rPr>
      <w:rFonts w:ascii="Times New Roman" w:hAnsi="Times New Roman" w:eastAsiaTheme="majorEastAsia" w:cstheme="majorBidi"/>
      <w:bCs/>
      <w:sz w:val="24"/>
      <w:szCs w:val="28"/>
    </w:rPr>
  </w:style>
  <w:style w:type="character" w:customStyle="1" w:styleId="33">
    <w:name w:val="标题 5 Char"/>
    <w:basedOn w:val="25"/>
    <w:link w:val="6"/>
    <w:qFormat/>
    <w:uiPriority w:val="9"/>
    <w:rPr>
      <w:rFonts w:ascii="Times New Roman" w:hAnsi="Times New Roman"/>
      <w:bCs/>
      <w:sz w:val="24"/>
      <w:szCs w:val="28"/>
    </w:rPr>
  </w:style>
  <w:style w:type="character" w:customStyle="1" w:styleId="34">
    <w:name w:val="标题 6 Char"/>
    <w:basedOn w:val="25"/>
    <w:link w:val="7"/>
    <w:qFormat/>
    <w:uiPriority w:val="9"/>
    <w:rPr>
      <w:rFonts w:asciiTheme="majorHAnsi" w:hAnsiTheme="majorHAnsi" w:eastAsiaTheme="majorEastAsia" w:cstheme="majorBidi"/>
      <w:bCs/>
      <w:sz w:val="24"/>
      <w:szCs w:val="24"/>
    </w:rPr>
  </w:style>
  <w:style w:type="character" w:customStyle="1" w:styleId="35">
    <w:name w:val="批注文字 Char"/>
    <w:basedOn w:val="25"/>
    <w:link w:val="10"/>
    <w:semiHidden/>
    <w:qFormat/>
    <w:uiPriority w:val="99"/>
    <w:rPr>
      <w:rFonts w:ascii="Times New Roman" w:hAnsi="Times New Roman"/>
      <w:sz w:val="24"/>
    </w:rPr>
  </w:style>
  <w:style w:type="character" w:customStyle="1" w:styleId="36">
    <w:name w:val="批注主题 Char"/>
    <w:basedOn w:val="35"/>
    <w:link w:val="22"/>
    <w:semiHidden/>
    <w:qFormat/>
    <w:uiPriority w:val="99"/>
    <w:rPr>
      <w:rFonts w:ascii="Times New Roman" w:hAnsi="Times New Roman"/>
      <w:b/>
      <w:bCs/>
      <w:sz w:val="24"/>
    </w:rPr>
  </w:style>
  <w:style w:type="character" w:customStyle="1" w:styleId="37">
    <w:name w:val="正文文本缩进 Char"/>
    <w:basedOn w:val="25"/>
    <w:link w:val="13"/>
    <w:qFormat/>
    <w:uiPriority w:val="0"/>
    <w:rPr>
      <w:rFonts w:ascii="Times New Roman" w:hAnsi="Times New Roman" w:eastAsia="宋体" w:cs="Times New Roman"/>
      <w:sz w:val="28"/>
      <w:szCs w:val="24"/>
    </w:rPr>
  </w:style>
  <w:style w:type="character" w:customStyle="1" w:styleId="38">
    <w:name w:val="日期 Char"/>
    <w:basedOn w:val="25"/>
    <w:link w:val="16"/>
    <w:semiHidden/>
    <w:qFormat/>
    <w:uiPriority w:val="99"/>
    <w:rPr>
      <w:rFonts w:ascii="Times New Roman" w:hAnsi="Times New Roman"/>
      <w:sz w:val="24"/>
    </w:rPr>
  </w:style>
  <w:style w:type="character" w:customStyle="1" w:styleId="39">
    <w:name w:val="批注框文本 Char"/>
    <w:basedOn w:val="25"/>
    <w:link w:val="17"/>
    <w:semiHidden/>
    <w:qFormat/>
    <w:uiPriority w:val="99"/>
    <w:rPr>
      <w:rFonts w:ascii="Times New Roman" w:hAnsi="Times New Roman"/>
      <w:sz w:val="18"/>
      <w:szCs w:val="18"/>
    </w:rPr>
  </w:style>
  <w:style w:type="character" w:customStyle="1" w:styleId="40">
    <w:name w:val="页脚 Char"/>
    <w:basedOn w:val="25"/>
    <w:link w:val="18"/>
    <w:qFormat/>
    <w:uiPriority w:val="99"/>
    <w:rPr>
      <w:rFonts w:ascii="Times New Roman" w:hAnsi="Times New Roman"/>
      <w:sz w:val="18"/>
      <w:szCs w:val="18"/>
    </w:rPr>
  </w:style>
  <w:style w:type="character" w:customStyle="1" w:styleId="41">
    <w:name w:val="页眉 Char"/>
    <w:basedOn w:val="25"/>
    <w:link w:val="19"/>
    <w:qFormat/>
    <w:uiPriority w:val="99"/>
    <w:rPr>
      <w:rFonts w:ascii="Times New Roman" w:hAnsi="Times New Roman"/>
      <w:sz w:val="18"/>
      <w:szCs w:val="18"/>
    </w:rPr>
  </w:style>
  <w:style w:type="paragraph" w:customStyle="1" w:styleId="42">
    <w:name w:val="列出段落1"/>
    <w:basedOn w:val="1"/>
    <w:qFormat/>
    <w:uiPriority w:val="34"/>
    <w:pPr>
      <w:ind w:firstLine="420"/>
    </w:pPr>
  </w:style>
  <w:style w:type="character" w:customStyle="1" w:styleId="43">
    <w:name w:val="占位符文本1"/>
    <w:basedOn w:val="25"/>
    <w:semiHidden/>
    <w:qFormat/>
    <w:uiPriority w:val="99"/>
    <w:rPr>
      <w:color w:val="808080"/>
    </w:rPr>
  </w:style>
  <w:style w:type="paragraph" w:customStyle="1" w:styleId="44">
    <w:name w:val="表格名称"/>
    <w:basedOn w:val="45"/>
    <w:qFormat/>
    <w:uiPriority w:val="0"/>
    <w:pPr>
      <w:spacing w:beforeLines="50" w:afterLines="50"/>
    </w:pPr>
    <w:rPr>
      <w:b/>
      <w:sz w:val="24"/>
    </w:rPr>
  </w:style>
  <w:style w:type="paragraph" w:customStyle="1" w:styleId="45">
    <w:name w:val="表格字体"/>
    <w:basedOn w:val="1"/>
    <w:next w:val="1"/>
    <w:qFormat/>
    <w:uiPriority w:val="0"/>
    <w:pPr>
      <w:spacing w:beforeLines="0" w:afterLines="0" w:line="240" w:lineRule="auto"/>
      <w:ind w:firstLine="0" w:firstLineChars="0"/>
      <w:jc w:val="center"/>
    </w:pPr>
    <w:rPr>
      <w:sz w:val="21"/>
    </w:rPr>
  </w:style>
  <w:style w:type="paragraph" w:customStyle="1" w:styleId="46">
    <w:name w:val="无间隔1"/>
    <w:qFormat/>
    <w:uiPriority w:val="1"/>
    <w:pPr>
      <w:widowControl w:val="0"/>
      <w:spacing w:beforeLines="50" w:afterLines="50"/>
      <w:ind w:firstLine="200" w:firstLineChars="200"/>
      <w:jc w:val="both"/>
    </w:pPr>
    <w:rPr>
      <w:rFonts w:ascii="Times New Roman" w:hAnsi="Times New Roman" w:eastAsiaTheme="minorEastAsia" w:cstheme="minorBidi"/>
      <w:kern w:val="2"/>
      <w:sz w:val="24"/>
      <w:szCs w:val="21"/>
      <w:lang w:val="en-US" w:eastAsia="zh-CN" w:bidi="ar-SA"/>
    </w:rPr>
  </w:style>
  <w:style w:type="paragraph" w:customStyle="1" w:styleId="47">
    <w:name w:val="TOC 标题1"/>
    <w:basedOn w:val="2"/>
    <w:next w:val="1"/>
    <w:unhideWhenUsed/>
    <w:qFormat/>
    <w:uiPriority w:val="39"/>
    <w:pPr>
      <w:pageBreakBefore w:val="0"/>
      <w:widowControl/>
      <w:numPr>
        <w:numId w:val="0"/>
      </w:numPr>
      <w:spacing w:before="240" w:line="259" w:lineRule="auto"/>
      <w:jc w:val="left"/>
      <w:outlineLvl w:val="9"/>
    </w:pPr>
    <w:rPr>
      <w:rFonts w:asciiTheme="majorHAnsi" w:hAnsiTheme="majorHAnsi" w:eastAsiaTheme="majorEastAsia" w:cstheme="majorBidi"/>
      <w:b/>
      <w:bCs w:val="0"/>
      <w:color w:val="2E75B5" w:themeColor="accent1" w:themeShade="BF"/>
      <w:kern w:val="0"/>
      <w:sz w:val="32"/>
      <w:szCs w:val="32"/>
    </w:rPr>
  </w:style>
  <w:style w:type="paragraph" w:customStyle="1" w:styleId="48">
    <w:name w:val="封面标题"/>
    <w:basedOn w:val="1"/>
    <w:next w:val="1"/>
    <w:link w:val="49"/>
    <w:qFormat/>
    <w:uiPriority w:val="0"/>
    <w:pPr>
      <w:ind w:left="480" w:firstLine="0" w:firstLineChars="0"/>
      <w:jc w:val="center"/>
    </w:pPr>
    <w:rPr>
      <w:rFonts w:eastAsia="黑体"/>
      <w:sz w:val="84"/>
    </w:rPr>
  </w:style>
  <w:style w:type="character" w:customStyle="1" w:styleId="49">
    <w:name w:val="封面标题 Char"/>
    <w:basedOn w:val="25"/>
    <w:link w:val="48"/>
    <w:qFormat/>
    <w:uiPriority w:val="0"/>
    <w:rPr>
      <w:rFonts w:ascii="Times New Roman" w:hAnsi="Times New Roman" w:eastAsia="黑体"/>
      <w:sz w:val="84"/>
    </w:rPr>
  </w:style>
  <w:style w:type="paragraph" w:customStyle="1" w:styleId="50">
    <w:name w:val="列出段落2"/>
    <w:basedOn w:val="1"/>
    <w:qFormat/>
    <w:uiPriority w:val="34"/>
    <w:pPr>
      <w:ind w:firstLine="420"/>
    </w:pPr>
  </w:style>
  <w:style w:type="character" w:customStyle="1" w:styleId="51">
    <w:name w:val="文档结构图 Char"/>
    <w:basedOn w:val="25"/>
    <w:link w:val="9"/>
    <w:semiHidden/>
    <w:qFormat/>
    <w:uiPriority w:val="99"/>
    <w:rPr>
      <w:rFonts w:ascii="宋体" w:hAnsi="Calibri" w:eastAsia="宋体" w:cs="Times New Roman"/>
      <w:kern w:val="2"/>
      <w:sz w:val="18"/>
      <w:szCs w:val="18"/>
    </w:rPr>
  </w:style>
  <w:style w:type="character" w:customStyle="1" w:styleId="52">
    <w:name w:val="纯文本 Char1"/>
    <w:basedOn w:val="25"/>
    <w:qFormat/>
    <w:uiPriority w:val="99"/>
    <w:rPr>
      <w:rFonts w:ascii="宋体" w:hAnsi="Courier New" w:cs="Courier New"/>
      <w:szCs w:val="21"/>
    </w:rPr>
  </w:style>
  <w:style w:type="character" w:customStyle="1" w:styleId="53">
    <w:name w:val="纯文本 Char"/>
    <w:basedOn w:val="25"/>
    <w:link w:val="15"/>
    <w:semiHidden/>
    <w:qFormat/>
    <w:uiPriority w:val="99"/>
    <w:rPr>
      <w:rFonts w:ascii="宋体" w:hAnsi="Courier New" w:eastAsia="宋体" w:cs="Courier New"/>
      <w:kern w:val="2"/>
      <w:sz w:val="21"/>
      <w:szCs w:val="21"/>
    </w:rPr>
  </w:style>
  <w:style w:type="paragraph" w:customStyle="1" w:styleId="54">
    <w:name w:val="无间隔2"/>
    <w:link w:val="55"/>
    <w:qFormat/>
    <w:uiPriority w:val="1"/>
    <w:pPr>
      <w:widowControl w:val="0"/>
      <w:spacing w:afterLines="50"/>
      <w:ind w:left="350" w:leftChars="350"/>
    </w:pPr>
    <w:rPr>
      <w:rFonts w:ascii="Calibri" w:hAnsi="Calibri" w:eastAsia="宋体" w:cs="Times New Roman"/>
      <w:kern w:val="2"/>
      <w:sz w:val="24"/>
      <w:szCs w:val="22"/>
      <w:lang w:val="en-US" w:eastAsia="zh-CN" w:bidi="ar-SA"/>
    </w:rPr>
  </w:style>
  <w:style w:type="character" w:customStyle="1" w:styleId="55">
    <w:name w:val="无间隔 Char"/>
    <w:basedOn w:val="25"/>
    <w:link w:val="54"/>
    <w:qFormat/>
    <w:uiPriority w:val="1"/>
    <w:rPr>
      <w:rFonts w:ascii="Calibri" w:hAnsi="Calibri" w:eastAsia="宋体" w:cs="Times New Roman"/>
      <w:kern w:val="2"/>
      <w:sz w:val="24"/>
      <w:szCs w:val="22"/>
    </w:rPr>
  </w:style>
  <w:style w:type="character" w:customStyle="1" w:styleId="56">
    <w:name w:val="称呼 Char"/>
    <w:basedOn w:val="25"/>
    <w:link w:val="11"/>
    <w:qFormat/>
    <w:uiPriority w:val="99"/>
    <w:rPr>
      <w:rFonts w:ascii="宋体" w:hAnsi="宋体" w:eastAsia="宋体" w:cs="Times New Roman"/>
      <w:snapToGrid w:val="0"/>
      <w:sz w:val="24"/>
      <w:szCs w:val="22"/>
    </w:rPr>
  </w:style>
  <w:style w:type="character" w:customStyle="1" w:styleId="57">
    <w:name w:val="结束语 Char"/>
    <w:basedOn w:val="25"/>
    <w:link w:val="12"/>
    <w:qFormat/>
    <w:uiPriority w:val="99"/>
    <w:rPr>
      <w:rFonts w:ascii="宋体" w:hAnsi="宋体" w:eastAsia="宋体" w:cs="Times New Roman"/>
      <w:snapToGrid w:val="0"/>
      <w:sz w:val="24"/>
      <w:szCs w:val="22"/>
    </w:rPr>
  </w:style>
  <w:style w:type="table" w:customStyle="1" w:styleId="58">
    <w:name w:val="网格型1"/>
    <w:basedOn w:val="23"/>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59">
    <w:name w:val="List Paragraph"/>
    <w:basedOn w:val="1"/>
    <w:qFormat/>
    <w:uiPriority w:val="99"/>
    <w:pPr>
      <w:ind w:firstLine="420"/>
    </w:pPr>
  </w:style>
  <w:style w:type="character" w:customStyle="1" w:styleId="60">
    <w:name w:val="font01"/>
    <w:basedOn w:val="25"/>
    <w:uiPriority w:val="0"/>
    <w:rPr>
      <w:rFonts w:hint="eastAsia" w:ascii="宋体" w:hAnsi="宋体" w:eastAsia="宋体"/>
      <w:color w:val="000000"/>
      <w:sz w:val="20"/>
      <w:szCs w:val="20"/>
      <w:u w:val="none"/>
      <w:vertAlign w:val="superscript"/>
    </w:rPr>
  </w:style>
  <w:style w:type="character" w:customStyle="1" w:styleId="61">
    <w:name w:val="font21"/>
    <w:basedOn w:val="25"/>
    <w:uiPriority w:val="0"/>
    <w:rPr>
      <w:rFonts w:hint="eastAsia" w:ascii="宋体" w:hAnsi="宋体" w:eastAsia="宋体"/>
      <w:color w:val="000000"/>
      <w:sz w:val="20"/>
      <w:szCs w:val="20"/>
      <w:u w:val="none"/>
    </w:rPr>
  </w:style>
  <w:style w:type="character" w:customStyle="1" w:styleId="62">
    <w:name w:val="font11"/>
    <w:basedOn w:val="25"/>
    <w:uiPriority w:val="0"/>
    <w:rPr>
      <w:rFonts w:hint="default" w:ascii="Times New Roman" w:hAnsi="Times New Roman" w:cs="Times New Roman"/>
      <w:color w:val="000000"/>
      <w:sz w:val="20"/>
      <w:szCs w:val="20"/>
      <w:u w:val="none"/>
    </w:rPr>
  </w:style>
  <w:style w:type="character" w:customStyle="1" w:styleId="63">
    <w:name w:val="font31"/>
    <w:basedOn w:val="25"/>
    <w:uiPriority w:val="0"/>
    <w:rPr>
      <w:rFonts w:hint="eastAsia" w:ascii="宋体" w:hAnsi="宋体" w:eastAsia="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7"/>
    <customShpInfo spid="_x0000_s2058"/>
    <customShpInfo spid="_x0000_s1041"/>
    <customShpInfo spid="_x0000_s1077"/>
    <customShpInfo spid="_x0000_s104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55451-5FFE-4256-AF66-F63829DCCFD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5676</Words>
  <Characters>32357</Characters>
  <Lines>269</Lines>
  <Paragraphs>75</Paragraphs>
  <TotalTime>4</TotalTime>
  <ScaleCrop>false</ScaleCrop>
  <LinksUpToDate>false</LinksUpToDate>
  <CharactersWithSpaces>37958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2016-07-01T02:34:00Z</dcterms:created>
  <dc:creator>Mark</dc:creator>
  <cp:lastModifiedBy>卢胖子</cp:lastModifiedBy>
  <cp:lastPrinted>2019-04-12T09:47:00Z</cp:lastPrinted>
  <dcterms:modified xsi:type="dcterms:W3CDTF">2019-04-25T02:02:56Z</dcterms:modified>
  <cp:revision>1351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