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42" w:leftChars="418" w:hanging="964" w:hangingChars="200"/>
        <w:rPr>
          <w:rFonts w:hint="eastAsia" w:ascii="楷体_GB2312" w:hAnsi="楷体_GB2312" w:eastAsia="楷体_GB2312" w:cs="楷体_GB2312"/>
          <w:b/>
          <w:bCs/>
          <w:sz w:val="48"/>
          <w:szCs w:val="4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48"/>
          <w:szCs w:val="48"/>
        </w:rPr>
        <w:t>关于</w:t>
      </w:r>
      <w:r>
        <w:rPr>
          <w:rFonts w:hint="eastAsia" w:ascii="楷体_GB2312" w:hAnsi="楷体_GB2312" w:eastAsia="楷体_GB2312" w:cs="楷体_GB2312"/>
          <w:b/>
          <w:bCs/>
          <w:sz w:val="48"/>
          <w:szCs w:val="48"/>
          <w:lang w:eastAsia="zh-CN"/>
        </w:rPr>
        <w:t>被申请人对新名大房估字</w:t>
      </w:r>
    </w:p>
    <w:p>
      <w:pPr>
        <w:ind w:left="3373" w:hanging="3373" w:hangingChars="700"/>
        <w:rPr>
          <w:rFonts w:hint="eastAsia" w:ascii="楷体_GB2312" w:hAnsi="楷体_GB2312" w:eastAsia="楷体_GB2312" w:cs="楷体_GB2312"/>
          <w:b/>
          <w:bCs/>
          <w:sz w:val="48"/>
          <w:szCs w:val="4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48"/>
          <w:szCs w:val="48"/>
          <w:lang w:eastAsia="zh-CN"/>
        </w:rPr>
        <w:t>（201</w:t>
      </w:r>
      <w:r>
        <w:rPr>
          <w:rFonts w:hint="eastAsia" w:ascii="楷体_GB2312" w:hAnsi="楷体_GB2312" w:eastAsia="楷体_GB2312" w:cs="楷体_GB2312"/>
          <w:b/>
          <w:bCs/>
          <w:sz w:val="48"/>
          <w:szCs w:val="4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b/>
          <w:bCs/>
          <w:sz w:val="48"/>
          <w:szCs w:val="48"/>
          <w:lang w:eastAsia="zh-CN"/>
        </w:rPr>
        <w:t>）第</w:t>
      </w:r>
      <w:r>
        <w:rPr>
          <w:rFonts w:hint="eastAsia" w:ascii="楷体_GB2312" w:hAnsi="楷体_GB2312" w:eastAsia="楷体_GB2312" w:cs="楷体_GB2312"/>
          <w:b/>
          <w:bCs/>
          <w:sz w:val="48"/>
          <w:szCs w:val="48"/>
          <w:lang w:val="en-US" w:eastAsia="zh-CN"/>
        </w:rPr>
        <w:t>745</w:t>
      </w:r>
      <w:r>
        <w:rPr>
          <w:rFonts w:hint="eastAsia" w:ascii="楷体_GB2312" w:hAnsi="楷体_GB2312" w:eastAsia="楷体_GB2312" w:cs="楷体_GB2312"/>
          <w:b/>
          <w:bCs/>
          <w:sz w:val="48"/>
          <w:szCs w:val="48"/>
          <w:lang w:eastAsia="zh-CN"/>
        </w:rPr>
        <w:t>号估价报告提出异议的回</w:t>
      </w:r>
      <w:r>
        <w:rPr>
          <w:rFonts w:hint="eastAsia" w:ascii="楷体_GB2312" w:hAnsi="楷体_GB2312" w:eastAsia="楷体_GB2312" w:cs="楷体_GB2312"/>
          <w:b/>
          <w:bCs/>
          <w:sz w:val="48"/>
          <w:szCs w:val="4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b/>
          <w:bCs/>
          <w:sz w:val="48"/>
          <w:szCs w:val="48"/>
          <w:lang w:eastAsia="zh-CN"/>
        </w:rPr>
        <w:t>复</w:t>
      </w:r>
    </w:p>
    <w:p>
      <w:pPr>
        <w:spacing w:line="520" w:lineRule="exact"/>
        <w:ind w:firstLine="562" w:firstLineChars="200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根据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被申请人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提出的异议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</w:rPr>
        <w:t>，</w:t>
      </w:r>
      <w:r>
        <w:rPr>
          <w:rFonts w:hint="eastAsia" w:ascii="楷体_GB2312" w:hAnsi="华文中宋" w:eastAsia="楷体_GB2312" w:cs="Arial"/>
          <w:b/>
          <w:bCs/>
          <w:sz w:val="28"/>
          <w:szCs w:val="28"/>
        </w:rPr>
        <w:t>现对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新名大房估字（201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8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）第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745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号估价报告作出如下调整说明：</w:t>
      </w:r>
    </w:p>
    <w:p>
      <w:pPr>
        <w:spacing w:line="520" w:lineRule="exact"/>
        <w:ind w:firstLine="562" w:firstLineChars="200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1、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估价对象一：</w:t>
      </w:r>
    </w:p>
    <w:p>
      <w:pPr>
        <w:spacing w:line="520" w:lineRule="exact"/>
        <w:ind w:firstLine="562" w:firstLineChars="200"/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梧桐丽景小区二期地下车库，现为在建工程，经估价人员现场勘查及走访，该地下车库为封闭式小区的内部地下车库，共计车位约338个，只租不售，租金1000元/年，在如此低糜的市场情况下，车库依旧空空如也，利用率在5％-10％之间，在该状态无法实现资金投入成本。综合上述原因，调整后评估价值为15481868元。</w:t>
      </w:r>
    </w:p>
    <w:p>
      <w:pPr>
        <w:spacing w:line="520" w:lineRule="exact"/>
        <w:ind w:firstLine="562" w:firstLineChars="200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2、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估价对象二：</w:t>
      </w:r>
    </w:p>
    <w:p>
      <w:pPr>
        <w:spacing w:line="520" w:lineRule="exact"/>
        <w:ind w:firstLine="562" w:firstLineChars="200"/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梧桐丽景小区18栋11套住宅调整至2628083元。</w:t>
      </w:r>
    </w:p>
    <w:p>
      <w:pPr>
        <w:numPr>
          <w:ilvl w:val="0"/>
          <w:numId w:val="1"/>
        </w:numPr>
        <w:spacing w:line="520" w:lineRule="exact"/>
        <w:ind w:firstLine="562" w:firstLineChars="200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估价对象三：</w:t>
      </w:r>
    </w:p>
    <w:p>
      <w:pPr>
        <w:numPr>
          <w:ilvl w:val="0"/>
          <w:numId w:val="0"/>
        </w:numPr>
        <w:spacing w:line="520" w:lineRule="exact"/>
        <w:ind w:firstLine="562" w:firstLineChars="200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评估结果因技术要求，需要从万元调整为整数（精确到个位），调整后评估价值为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8541871元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。</w:t>
      </w:r>
    </w:p>
    <w:p>
      <w:pPr>
        <w:spacing w:line="520" w:lineRule="exact"/>
        <w:ind w:firstLine="562" w:firstLineChars="200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4、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估价对象四：</w:t>
      </w:r>
    </w:p>
    <w:p>
      <w:pPr>
        <w:spacing w:line="520" w:lineRule="exact"/>
        <w:ind w:left="559" w:leftChars="266" w:firstLine="0" w:firstLineChars="0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估价对象四为办公场所，该办公场所位于长廊拐角后，钢结构。</w:t>
      </w:r>
    </w:p>
    <w:p>
      <w:pPr>
        <w:spacing w:line="520" w:lineRule="exact"/>
        <w:rPr>
          <w:rFonts w:hint="default" w:ascii="楷体_GB2312" w:hAnsi="华文中宋" w:eastAsia="楷体_GB2312" w:cs="Arial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所在位置不佳，调整后评估价值为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733200元。</w:t>
      </w:r>
    </w:p>
    <w:p>
      <w:pPr>
        <w:spacing w:line="520" w:lineRule="exact"/>
        <w:ind w:firstLine="562" w:firstLineChars="200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5、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估价对象五：</w:t>
      </w:r>
    </w:p>
    <w:p>
      <w:pPr>
        <w:spacing w:line="520" w:lineRule="exact"/>
        <w:ind w:firstLine="562" w:firstLineChars="200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估价对象五为商业用房，周边商业氛围较一般，房屋面积较小，难以出租及出售，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我公司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估价人员严格遵循周边市场价格进行调查，根据区域内与估价对象类似房地产出售的案例进行测算，调整后评估价值为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322368元。</w:t>
      </w:r>
    </w:p>
    <w:p>
      <w:pPr>
        <w:spacing w:line="520" w:lineRule="exact"/>
        <w:ind w:firstLine="562" w:firstLineChars="200"/>
        <w:rPr>
          <w:rFonts w:hint="default" w:ascii="楷体_GB2312" w:hAnsi="华文中宋" w:eastAsia="楷体_GB2312" w:cs="Arial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6、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估价对象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六位于乌鲁木齐市新市区安宁渠路，位置较为偏僻，经对比调查，该片区域内的别墅（面积相同）在公开二手房市场平台中挂牌价格330万（毛坯房）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，该估价对象整体精装修，调整后评估价值为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5022670元。</w:t>
      </w:r>
    </w:p>
    <w:p>
      <w:pPr>
        <w:spacing w:line="520" w:lineRule="exact"/>
        <w:ind w:firstLine="560" w:firstLineChars="200"/>
        <w:rPr>
          <w:rFonts w:hint="eastAsia" w:ascii="楷体_GB2312" w:hAnsi="华文中宋" w:eastAsia="楷体_GB2312" w:cs="Arial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华文中宋" w:eastAsia="楷体_GB2312" w:cs="Arial"/>
          <w:b w:val="0"/>
          <w:bCs w:val="0"/>
          <w:sz w:val="28"/>
          <w:szCs w:val="28"/>
          <w:lang w:val="en-US" w:eastAsia="zh-CN"/>
        </w:rPr>
        <w:t>7、</w:t>
      </w:r>
      <w:r>
        <w:rPr>
          <w:rFonts w:hint="eastAsia" w:ascii="楷体_GB2312" w:hAnsi="华文中宋" w:eastAsia="楷体_GB2312" w:cs="Arial"/>
          <w:b w:val="0"/>
          <w:bCs w:val="0"/>
          <w:sz w:val="28"/>
          <w:szCs w:val="28"/>
          <w:lang w:eastAsia="zh-CN"/>
        </w:rPr>
        <w:t>在评估报告第二页项目名称中，将</w:t>
      </w:r>
      <w:r>
        <w:rPr>
          <w:rFonts w:hint="eastAsia" w:ascii="楷体_GB2312" w:hAnsi="华文中宋" w:eastAsia="楷体_GB2312" w:cs="Arial"/>
          <w:b/>
          <w:bCs/>
          <w:sz w:val="28"/>
          <w:szCs w:val="28"/>
        </w:rPr>
        <w:t>沙湾县梧桐丽景16栋8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3</w:t>
      </w:r>
      <w:r>
        <w:rPr>
          <w:rFonts w:hint="eastAsia" w:ascii="楷体_GB2312" w:hAnsi="华文中宋" w:eastAsia="楷体_GB2312" w:cs="Arial"/>
          <w:b/>
          <w:bCs/>
          <w:sz w:val="28"/>
          <w:szCs w:val="28"/>
        </w:rPr>
        <w:t>套住宅</w:t>
      </w:r>
      <w:r>
        <w:rPr>
          <w:rFonts w:hint="eastAsia" w:ascii="楷体_GB2312" w:hAnsi="华文中宋" w:eastAsia="楷体_GB2312" w:cs="Arial"/>
          <w:b w:val="0"/>
          <w:bCs w:val="0"/>
          <w:sz w:val="28"/>
          <w:szCs w:val="28"/>
          <w:lang w:eastAsia="zh-CN"/>
        </w:rPr>
        <w:t>更正为</w:t>
      </w:r>
      <w:r>
        <w:rPr>
          <w:rFonts w:hint="eastAsia" w:ascii="楷体_GB2312" w:hAnsi="华文中宋" w:eastAsia="楷体_GB2312" w:cs="Arial"/>
          <w:b/>
          <w:bCs/>
          <w:sz w:val="28"/>
          <w:szCs w:val="28"/>
        </w:rPr>
        <w:t>沙湾县梧桐丽景16栋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val="en-US" w:eastAsia="zh-CN"/>
        </w:rPr>
        <w:t>81</w:t>
      </w:r>
      <w:r>
        <w:rPr>
          <w:rFonts w:hint="eastAsia" w:ascii="楷体_GB2312" w:hAnsi="华文中宋" w:eastAsia="楷体_GB2312" w:cs="Arial"/>
          <w:b/>
          <w:bCs/>
          <w:sz w:val="28"/>
          <w:szCs w:val="28"/>
        </w:rPr>
        <w:t>套住宅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。</w:t>
      </w:r>
    </w:p>
    <w:p>
      <w:pPr>
        <w:spacing w:line="520" w:lineRule="exact"/>
        <w:rPr>
          <w:rFonts w:hint="eastAsia" w:ascii="楷体_GB2312" w:hAnsi="华文中宋" w:eastAsia="楷体_GB2312" w:cs="Arial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楷体_GB2312" w:hAnsi="华文中宋" w:eastAsia="楷体_GB2312" w:cs="Arial"/>
          <w:b w:val="0"/>
          <w:bCs w:val="0"/>
          <w:sz w:val="28"/>
          <w:szCs w:val="28"/>
          <w:lang w:val="en-US" w:eastAsia="zh-CN"/>
        </w:rPr>
        <w:t xml:space="preserve">    第九页中更正情况同上，更正后应为</w:t>
      </w:r>
      <w:r>
        <w:rPr>
          <w:rFonts w:hint="eastAsia" w:ascii="楷体" w:hAnsi="楷体" w:eastAsia="楷体" w:cs="Arial"/>
          <w:b/>
          <w:bCs/>
          <w:color w:val="000000"/>
          <w:kern w:val="13"/>
          <w:sz w:val="28"/>
          <w:szCs w:val="28"/>
        </w:rPr>
        <w:t>坐落于沙湾县梧桐丽景16#楼8</w:t>
      </w:r>
      <w:r>
        <w:rPr>
          <w:rFonts w:hint="eastAsia" w:ascii="楷体" w:hAnsi="楷体" w:eastAsia="楷体" w:cs="Arial"/>
          <w:b/>
          <w:bCs/>
          <w:color w:val="000000"/>
          <w:kern w:val="13"/>
          <w:sz w:val="28"/>
          <w:szCs w:val="28"/>
          <w:lang w:val="en-US" w:eastAsia="zh-CN"/>
        </w:rPr>
        <w:t>1</w:t>
      </w:r>
      <w:r>
        <w:rPr>
          <w:rFonts w:hint="eastAsia" w:ascii="楷体" w:hAnsi="楷体" w:eastAsia="楷体" w:cs="Arial"/>
          <w:b/>
          <w:bCs/>
          <w:color w:val="000000"/>
          <w:kern w:val="13"/>
          <w:sz w:val="28"/>
          <w:szCs w:val="28"/>
        </w:rPr>
        <w:t>套住宅</w:t>
      </w:r>
      <w:r>
        <w:rPr>
          <w:rFonts w:hint="eastAsia" w:ascii="楷体" w:hAnsi="楷体" w:eastAsia="楷体" w:cs="Arial"/>
          <w:b w:val="0"/>
          <w:bCs w:val="0"/>
          <w:color w:val="000000"/>
          <w:kern w:val="13"/>
          <w:sz w:val="28"/>
          <w:szCs w:val="28"/>
        </w:rPr>
        <w:t>；</w:t>
      </w:r>
    </w:p>
    <w:p>
      <w:pPr>
        <w:spacing w:line="520" w:lineRule="exact"/>
        <w:ind w:firstLine="562" w:firstLineChars="200"/>
        <w:rPr>
          <w:rFonts w:ascii="楷体_GB2312" w:hAnsi="华文中宋" w:eastAsia="楷体_GB2312" w:cs="Arial"/>
          <w:b/>
          <w:bCs/>
          <w:sz w:val="28"/>
          <w:szCs w:val="28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</w:rPr>
        <w:t>特此说明！</w:t>
      </w:r>
    </w:p>
    <w:p>
      <w:pPr>
        <w:adjustRightInd w:val="0"/>
        <w:snapToGrid w:val="0"/>
        <w:spacing w:line="480" w:lineRule="auto"/>
        <w:ind w:firstLine="2168" w:firstLineChars="900"/>
        <w:rPr>
          <w:rFonts w:hint="eastAsia" w:ascii="楷体_GB2312" w:hAnsi="华文中宋" w:eastAsia="楷体_GB2312" w:cs="Arial"/>
          <w:b/>
          <w:kern w:val="13"/>
          <w:sz w:val="24"/>
          <w:lang w:eastAsia="zh-CN"/>
        </w:rPr>
      </w:pPr>
      <w:r>
        <w:rPr>
          <w:rFonts w:hint="eastAsia" w:ascii="楷体_GB2312" w:hAnsi="华文中宋" w:eastAsia="楷体_GB2312" w:cs="Arial"/>
          <w:b/>
          <w:kern w:val="13"/>
          <w:sz w:val="24"/>
          <w:lang w:eastAsia="zh-CN"/>
        </w:rPr>
        <w:t>调整后</w:t>
      </w:r>
      <w:r>
        <w:rPr>
          <w:rFonts w:hint="eastAsia" w:ascii="楷体_GB2312" w:hAnsi="华文中宋" w:eastAsia="楷体_GB2312" w:cs="Arial"/>
          <w:b/>
          <w:kern w:val="13"/>
          <w:sz w:val="24"/>
        </w:rPr>
        <w:t>估价对象房地产价值评估结果</w:t>
      </w:r>
    </w:p>
    <w:tbl>
      <w:tblPr>
        <w:tblStyle w:val="3"/>
        <w:tblW w:w="8731" w:type="dxa"/>
        <w:tblInd w:w="0" w:type="dxa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6213"/>
        <w:gridCol w:w="1800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8" w:hRule="atLeast"/>
        </w:trPr>
        <w:tc>
          <w:tcPr>
            <w:tcW w:w="718" w:type="dxa"/>
            <w:tcBorders>
              <w:top w:val="double" w:color="000000" w:sz="6" w:space="0"/>
              <w:left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序号</w:t>
            </w:r>
          </w:p>
        </w:tc>
        <w:tc>
          <w:tcPr>
            <w:tcW w:w="6213" w:type="dxa"/>
            <w:tcBorders>
              <w:top w:val="double" w:color="000000" w:sz="6" w:space="0"/>
              <w:left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项目名称</w:t>
            </w:r>
          </w:p>
        </w:tc>
        <w:tc>
          <w:tcPr>
            <w:tcW w:w="1800" w:type="dxa"/>
            <w:tcBorders>
              <w:top w:val="doub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 xml:space="preserve">  评估价值</w:t>
            </w:r>
          </w:p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 xml:space="preserve">（元）     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8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1</w:t>
            </w:r>
          </w:p>
        </w:tc>
        <w:tc>
          <w:tcPr>
            <w:tcW w:w="6213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沙湾县梧桐丽景二期地下车库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  <w:t>15481868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8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2</w:t>
            </w:r>
          </w:p>
        </w:tc>
        <w:tc>
          <w:tcPr>
            <w:tcW w:w="6213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沙湾县梧桐丽景18栋11套住宅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  <w:t>2628083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8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3</w:t>
            </w:r>
          </w:p>
        </w:tc>
        <w:tc>
          <w:tcPr>
            <w:tcW w:w="6213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沙湾县梧桐丽景16栋8</w:t>
            </w: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  <w:t>1</w:t>
            </w: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套住宅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  <w:t>8541871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8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4</w:t>
            </w:r>
          </w:p>
        </w:tc>
        <w:tc>
          <w:tcPr>
            <w:tcW w:w="6213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tabs>
                <w:tab w:val="left" w:pos="1392"/>
              </w:tabs>
              <w:spacing w:line="480" w:lineRule="auto"/>
              <w:jc w:val="left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沙湾县三道河子镇43区沙城南路14栋3层302室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  <w:t>733200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8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5</w:t>
            </w:r>
          </w:p>
        </w:tc>
        <w:tc>
          <w:tcPr>
            <w:tcW w:w="6213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tabs>
                <w:tab w:val="left" w:pos="1242"/>
              </w:tabs>
              <w:spacing w:line="480" w:lineRule="auto"/>
              <w:jc w:val="left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沙湾县三道河子镇51区河滩路125栋1层120、121号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  <w:t>322368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8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6</w:t>
            </w:r>
          </w:p>
        </w:tc>
        <w:tc>
          <w:tcPr>
            <w:tcW w:w="6213" w:type="dxa"/>
            <w:tcBorders>
              <w:top w:val="single" w:color="000000" w:sz="6" w:space="0"/>
              <w:left w:val="doub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tabs>
                <w:tab w:val="left" w:pos="1392"/>
              </w:tabs>
              <w:spacing w:line="480" w:lineRule="auto"/>
              <w:jc w:val="left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>乌鲁木齐市新市区安宁渠路999号中航翡翠城B-13栋</w:t>
            </w: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eastAsia="zh-CN"/>
              </w:rPr>
              <w:t>（含地下室）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default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  <w:t>5022670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6931" w:type="dxa"/>
            <w:gridSpan w:val="2"/>
            <w:tcBorders>
              <w:top w:val="single" w:color="000000" w:sz="6" w:space="0"/>
              <w:left w:val="doub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widowControl/>
              <w:spacing w:line="480" w:lineRule="auto"/>
              <w:jc w:val="both"/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</w:rPr>
              <w:t xml:space="preserve"> 合 计：</w:t>
            </w:r>
          </w:p>
        </w:tc>
        <w:tc>
          <w:tcPr>
            <w:tcW w:w="1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double" w:color="000000" w:sz="6" w:space="0"/>
            </w:tcBorders>
            <w:noWrap w:val="0"/>
            <w:vAlign w:val="center"/>
          </w:tcPr>
          <w:p>
            <w:pPr>
              <w:spacing w:line="720" w:lineRule="auto"/>
              <w:ind w:firstLine="422" w:firstLineChars="200"/>
              <w:rPr>
                <w:rFonts w:hint="default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</w:pPr>
            <w:r>
              <w:rPr>
                <w:rFonts w:hint="eastAsia" w:ascii="楷体_GB2312" w:hAnsi="华文中宋" w:eastAsia="楷体_GB2312" w:cs="宋体"/>
                <w:b/>
                <w:bCs/>
                <w:caps/>
                <w:kern w:val="0"/>
                <w:szCs w:val="21"/>
                <w:lang w:val="en-US" w:eastAsia="zh-CN"/>
              </w:rPr>
              <w:t>32730060</w:t>
            </w:r>
          </w:p>
        </w:tc>
      </w:tr>
    </w:tbl>
    <w:p>
      <w:pPr>
        <w:spacing w:line="520" w:lineRule="exact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华文中宋" w:eastAsia="楷体_GB2312" w:cs="宋体"/>
          <w:b/>
          <w:bCs/>
          <w:caps/>
          <w:kern w:val="0"/>
          <w:szCs w:val="21"/>
        </w:rPr>
        <w:t>（明细表见下方）</w:t>
      </w:r>
    </w:p>
    <w:p>
      <w:pPr>
        <w:spacing w:line="520" w:lineRule="exact"/>
        <w:ind w:firstLine="2811" w:firstLineChars="1000"/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新疆名大房地产土地评估测绘有限责任公司</w:t>
      </w:r>
    </w:p>
    <w:p>
      <w:pPr>
        <w:ind w:firstLine="4216" w:firstLineChars="1500"/>
        <w:rPr>
          <w:rFonts w:hint="eastAsia" w:ascii="楷体_GB2312" w:hAnsi="华文中宋" w:eastAsia="楷体_GB2312" w:cs="Arial"/>
          <w:b/>
          <w:bCs/>
          <w:sz w:val="28"/>
          <w:szCs w:val="28"/>
        </w:rPr>
      </w:pPr>
      <w:r>
        <w:rPr>
          <w:rFonts w:hint="eastAsia" w:ascii="楷体_GB2312" w:hAnsi="华文中宋" w:eastAsia="楷体_GB2312" w:cs="Arial"/>
          <w:b/>
          <w:bCs/>
          <w:sz w:val="28"/>
          <w:szCs w:val="28"/>
        </w:rPr>
        <w:t>二零一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九</w:t>
      </w:r>
      <w:r>
        <w:rPr>
          <w:rFonts w:hint="eastAsia" w:ascii="楷体_GB2312" w:hAnsi="华文中宋" w:eastAsia="楷体_GB2312" w:cs="Arial"/>
          <w:b/>
          <w:bCs/>
          <w:sz w:val="28"/>
          <w:szCs w:val="28"/>
        </w:rPr>
        <w:t>年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四</w:t>
      </w:r>
      <w:r>
        <w:rPr>
          <w:rFonts w:hint="eastAsia" w:ascii="楷体_GB2312" w:hAnsi="华文中宋" w:eastAsia="楷体_GB2312" w:cs="Arial"/>
          <w:b/>
          <w:bCs/>
          <w:sz w:val="28"/>
          <w:szCs w:val="28"/>
        </w:rPr>
        <w:t>月</w:t>
      </w:r>
      <w:r>
        <w:rPr>
          <w:rFonts w:hint="eastAsia" w:ascii="楷体_GB2312" w:hAnsi="华文中宋" w:eastAsia="楷体_GB2312" w:cs="Arial"/>
          <w:b/>
          <w:bCs/>
          <w:sz w:val="28"/>
          <w:szCs w:val="28"/>
          <w:lang w:eastAsia="zh-CN"/>
        </w:rPr>
        <w:t>十二</w:t>
      </w:r>
      <w:bookmarkStart w:id="0" w:name="_GoBack"/>
      <w:bookmarkEnd w:id="0"/>
      <w:r>
        <w:rPr>
          <w:rFonts w:hint="eastAsia" w:ascii="楷体_GB2312" w:hAnsi="华文中宋" w:eastAsia="楷体_GB2312" w:cs="Arial"/>
          <w:b/>
          <w:bCs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043B55"/>
    <w:multiLevelType w:val="singleLevel"/>
    <w:tmpl w:val="B9043B55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7B0"/>
    <w:rsid w:val="000248E1"/>
    <w:rsid w:val="001F054C"/>
    <w:rsid w:val="00B667B0"/>
    <w:rsid w:val="00BE56F8"/>
    <w:rsid w:val="00C35558"/>
    <w:rsid w:val="00D21577"/>
    <w:rsid w:val="00DF197C"/>
    <w:rsid w:val="02F90310"/>
    <w:rsid w:val="0369549C"/>
    <w:rsid w:val="041B3BF4"/>
    <w:rsid w:val="04F5492F"/>
    <w:rsid w:val="05762F05"/>
    <w:rsid w:val="06924A05"/>
    <w:rsid w:val="077C2B8E"/>
    <w:rsid w:val="09BC2595"/>
    <w:rsid w:val="0E62099F"/>
    <w:rsid w:val="0E9729FA"/>
    <w:rsid w:val="0F2F095F"/>
    <w:rsid w:val="0F665E24"/>
    <w:rsid w:val="12073FEE"/>
    <w:rsid w:val="12663006"/>
    <w:rsid w:val="126A79EF"/>
    <w:rsid w:val="13136283"/>
    <w:rsid w:val="1336573C"/>
    <w:rsid w:val="13906497"/>
    <w:rsid w:val="14593280"/>
    <w:rsid w:val="15107925"/>
    <w:rsid w:val="157C06D3"/>
    <w:rsid w:val="17310A62"/>
    <w:rsid w:val="186E7C4A"/>
    <w:rsid w:val="1A2E3577"/>
    <w:rsid w:val="1A482FFF"/>
    <w:rsid w:val="1AAA4B3A"/>
    <w:rsid w:val="1B307603"/>
    <w:rsid w:val="1C412AD1"/>
    <w:rsid w:val="1C9326BE"/>
    <w:rsid w:val="1CEB64F2"/>
    <w:rsid w:val="1D810B60"/>
    <w:rsid w:val="1E102F21"/>
    <w:rsid w:val="1E1B6499"/>
    <w:rsid w:val="1E2E60EC"/>
    <w:rsid w:val="1E424F89"/>
    <w:rsid w:val="1F155041"/>
    <w:rsid w:val="1FBE10A6"/>
    <w:rsid w:val="22160B98"/>
    <w:rsid w:val="22AD5CE4"/>
    <w:rsid w:val="231233DD"/>
    <w:rsid w:val="23CD3714"/>
    <w:rsid w:val="24DE611D"/>
    <w:rsid w:val="25127F65"/>
    <w:rsid w:val="260D1257"/>
    <w:rsid w:val="26513982"/>
    <w:rsid w:val="270654E6"/>
    <w:rsid w:val="281078EF"/>
    <w:rsid w:val="281D18CA"/>
    <w:rsid w:val="28893396"/>
    <w:rsid w:val="2A190C2C"/>
    <w:rsid w:val="2A366926"/>
    <w:rsid w:val="2A8D7F63"/>
    <w:rsid w:val="2AE20654"/>
    <w:rsid w:val="2BA03BFA"/>
    <w:rsid w:val="2C085404"/>
    <w:rsid w:val="2C772AAD"/>
    <w:rsid w:val="2E9B2784"/>
    <w:rsid w:val="2EC30492"/>
    <w:rsid w:val="2ED76D31"/>
    <w:rsid w:val="2F07513A"/>
    <w:rsid w:val="308C2FC0"/>
    <w:rsid w:val="31B37895"/>
    <w:rsid w:val="31C1488D"/>
    <w:rsid w:val="31D4218B"/>
    <w:rsid w:val="343E4C5B"/>
    <w:rsid w:val="34A832ED"/>
    <w:rsid w:val="354713A3"/>
    <w:rsid w:val="36705884"/>
    <w:rsid w:val="368531C4"/>
    <w:rsid w:val="36D75146"/>
    <w:rsid w:val="373825EF"/>
    <w:rsid w:val="3751258D"/>
    <w:rsid w:val="38674F1C"/>
    <w:rsid w:val="38A06F5E"/>
    <w:rsid w:val="39795FCA"/>
    <w:rsid w:val="3BDD2B7E"/>
    <w:rsid w:val="3C28090A"/>
    <w:rsid w:val="3CA21120"/>
    <w:rsid w:val="3D716CB7"/>
    <w:rsid w:val="3EC70F6E"/>
    <w:rsid w:val="3FBB2673"/>
    <w:rsid w:val="41B455BE"/>
    <w:rsid w:val="41CF1528"/>
    <w:rsid w:val="42750D83"/>
    <w:rsid w:val="446E0981"/>
    <w:rsid w:val="44EE1556"/>
    <w:rsid w:val="45AF76AB"/>
    <w:rsid w:val="46C97D7D"/>
    <w:rsid w:val="46FA537E"/>
    <w:rsid w:val="4706662A"/>
    <w:rsid w:val="47212281"/>
    <w:rsid w:val="478E2407"/>
    <w:rsid w:val="48E73975"/>
    <w:rsid w:val="49437FCE"/>
    <w:rsid w:val="49DD308F"/>
    <w:rsid w:val="4B0F56C7"/>
    <w:rsid w:val="4BC10EF4"/>
    <w:rsid w:val="4C2361CF"/>
    <w:rsid w:val="4DA81914"/>
    <w:rsid w:val="4E193680"/>
    <w:rsid w:val="4E403B25"/>
    <w:rsid w:val="4F057DF7"/>
    <w:rsid w:val="50F76951"/>
    <w:rsid w:val="51FF1E36"/>
    <w:rsid w:val="523C503E"/>
    <w:rsid w:val="52654F6A"/>
    <w:rsid w:val="52BA0076"/>
    <w:rsid w:val="53C35DA4"/>
    <w:rsid w:val="549A1FF0"/>
    <w:rsid w:val="55A02209"/>
    <w:rsid w:val="55BB321B"/>
    <w:rsid w:val="55DA2431"/>
    <w:rsid w:val="562A5FF8"/>
    <w:rsid w:val="567203F0"/>
    <w:rsid w:val="568B2BB2"/>
    <w:rsid w:val="56B82D13"/>
    <w:rsid w:val="577E1A97"/>
    <w:rsid w:val="578F6CC0"/>
    <w:rsid w:val="57AF1738"/>
    <w:rsid w:val="582807B0"/>
    <w:rsid w:val="5835047C"/>
    <w:rsid w:val="5915184F"/>
    <w:rsid w:val="59807D4F"/>
    <w:rsid w:val="599604C2"/>
    <w:rsid w:val="59A325D7"/>
    <w:rsid w:val="5B3B146B"/>
    <w:rsid w:val="5B4B4E7D"/>
    <w:rsid w:val="5BE932EC"/>
    <w:rsid w:val="5CAE3D0E"/>
    <w:rsid w:val="5D055035"/>
    <w:rsid w:val="60F4081C"/>
    <w:rsid w:val="61BE0AAB"/>
    <w:rsid w:val="61C34B55"/>
    <w:rsid w:val="61F448B2"/>
    <w:rsid w:val="63AE1B47"/>
    <w:rsid w:val="65113F73"/>
    <w:rsid w:val="6524312F"/>
    <w:rsid w:val="6554318B"/>
    <w:rsid w:val="665E28EA"/>
    <w:rsid w:val="67040E07"/>
    <w:rsid w:val="6704478F"/>
    <w:rsid w:val="67202D67"/>
    <w:rsid w:val="67C305DC"/>
    <w:rsid w:val="68431D3F"/>
    <w:rsid w:val="68B95E49"/>
    <w:rsid w:val="690F571C"/>
    <w:rsid w:val="6A460FC6"/>
    <w:rsid w:val="6B430848"/>
    <w:rsid w:val="6BDC7CEB"/>
    <w:rsid w:val="6C772330"/>
    <w:rsid w:val="6CB65D66"/>
    <w:rsid w:val="705A1F5D"/>
    <w:rsid w:val="711C7A5F"/>
    <w:rsid w:val="71332047"/>
    <w:rsid w:val="725D4C71"/>
    <w:rsid w:val="72992783"/>
    <w:rsid w:val="737C3D7F"/>
    <w:rsid w:val="74770F91"/>
    <w:rsid w:val="74F76F8D"/>
    <w:rsid w:val="75BF01BA"/>
    <w:rsid w:val="76016C75"/>
    <w:rsid w:val="767C405E"/>
    <w:rsid w:val="77532563"/>
    <w:rsid w:val="78093969"/>
    <w:rsid w:val="798E08CA"/>
    <w:rsid w:val="7998186C"/>
    <w:rsid w:val="7ACD3ED2"/>
    <w:rsid w:val="7B552D51"/>
    <w:rsid w:val="7BAB3C1E"/>
    <w:rsid w:val="7C973E32"/>
    <w:rsid w:val="7C9F3151"/>
    <w:rsid w:val="7E626B73"/>
    <w:rsid w:val="7F4B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68</Words>
  <Characters>393</Characters>
  <Lines>3</Lines>
  <Paragraphs>1</Paragraphs>
  <TotalTime>16</TotalTime>
  <ScaleCrop>false</ScaleCrop>
  <LinksUpToDate>false</LinksUpToDate>
  <CharactersWithSpaces>460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小奶油</cp:lastModifiedBy>
  <cp:lastPrinted>2019-03-18T10:17:00Z</cp:lastPrinted>
  <dcterms:modified xsi:type="dcterms:W3CDTF">2019-04-12T04:02:16Z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