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530" w:firstLineChars="700"/>
        <w:rPr>
          <w:rFonts w:hint="eastAsia" w:eastAsia="黑体"/>
          <w:b/>
          <w:bCs/>
          <w:color w:val="FF0000"/>
          <w:sz w:val="36"/>
        </w:rPr>
      </w:pPr>
    </w:p>
    <w:p>
      <w:pPr>
        <w:spacing w:line="600" w:lineRule="exact"/>
        <w:jc w:val="center"/>
        <w:rPr>
          <w:rFonts w:hint="eastAsia" w:eastAsia="黑体"/>
          <w:b/>
          <w:bCs/>
          <w:sz w:val="36"/>
        </w:rPr>
      </w:pPr>
      <w:r>
        <w:rPr>
          <w:rFonts w:hint="eastAsia" w:eastAsia="黑体"/>
          <w:b/>
          <w:bCs/>
          <w:sz w:val="36"/>
        </w:rPr>
        <w:t>房地产司法鉴定估价报告</w:t>
      </w:r>
    </w:p>
    <w:p>
      <w:pPr>
        <w:spacing w:line="600" w:lineRule="exact"/>
        <w:rPr>
          <w:rFonts w:hint="eastAsia"/>
          <w:sz w:val="32"/>
        </w:rPr>
      </w:pPr>
    </w:p>
    <w:p>
      <w:pPr>
        <w:spacing w:line="600" w:lineRule="exact"/>
        <w:rPr>
          <w:rFonts w:hint="eastAsia"/>
          <w:sz w:val="30"/>
          <w:szCs w:val="30"/>
        </w:rPr>
      </w:pPr>
    </w:p>
    <w:p>
      <w:pPr>
        <w:spacing w:line="600" w:lineRule="exact"/>
        <w:ind w:left="2121" w:hanging="2121" w:hangingChars="707"/>
        <w:rPr>
          <w:rFonts w:hint="eastAsia"/>
          <w:sz w:val="30"/>
          <w:szCs w:val="30"/>
        </w:rPr>
      </w:pPr>
      <w:r>
        <w:rPr>
          <w:rFonts w:hint="eastAsia"/>
          <w:sz w:val="30"/>
          <w:szCs w:val="30"/>
        </w:rPr>
        <w:t>估价项目名称：绵阳市涪城区人民法院</w:t>
      </w:r>
      <w:r>
        <w:rPr>
          <w:sz w:val="30"/>
          <w:szCs w:val="30"/>
        </w:rPr>
        <w:t>委托估价的位于</w:t>
      </w:r>
      <w:r>
        <w:rPr>
          <w:rFonts w:hint="eastAsia"/>
          <w:sz w:val="30"/>
          <w:szCs w:val="30"/>
        </w:rPr>
        <w:t>绵阳市</w:t>
      </w:r>
    </w:p>
    <w:p>
      <w:pPr>
        <w:spacing w:line="600" w:lineRule="exact"/>
        <w:ind w:firstLine="1800" w:firstLineChars="600"/>
        <w:rPr>
          <w:rFonts w:hint="eastAsia"/>
          <w:sz w:val="30"/>
          <w:szCs w:val="30"/>
        </w:rPr>
      </w:pPr>
      <w:r>
        <w:rPr>
          <w:rFonts w:hint="eastAsia"/>
          <w:sz w:val="30"/>
          <w:szCs w:val="30"/>
        </w:rPr>
        <w:t>游仙区东津路37号电力小区8栋1单元4楼1号</w:t>
      </w:r>
    </w:p>
    <w:p>
      <w:pPr>
        <w:spacing w:line="600" w:lineRule="exact"/>
        <w:ind w:firstLine="1800" w:firstLineChars="600"/>
        <w:rPr>
          <w:rFonts w:hint="eastAsia"/>
          <w:sz w:val="30"/>
          <w:szCs w:val="30"/>
        </w:rPr>
      </w:pPr>
      <w:r>
        <w:rPr>
          <w:rFonts w:hint="eastAsia"/>
          <w:sz w:val="30"/>
          <w:szCs w:val="30"/>
        </w:rPr>
        <w:t>的住宅房地产市场价值评估</w:t>
      </w:r>
    </w:p>
    <w:p>
      <w:pPr>
        <w:spacing w:line="600" w:lineRule="exact"/>
        <w:ind w:left="2121" w:hanging="2121" w:hangingChars="707"/>
        <w:rPr>
          <w:rFonts w:hint="eastAsia"/>
          <w:sz w:val="30"/>
          <w:szCs w:val="30"/>
        </w:rPr>
      </w:pPr>
    </w:p>
    <w:p>
      <w:pPr>
        <w:spacing w:line="600" w:lineRule="exact"/>
        <w:ind w:left="2121" w:hanging="2121" w:hangingChars="707"/>
        <w:rPr>
          <w:sz w:val="30"/>
          <w:szCs w:val="30"/>
        </w:rPr>
      </w:pPr>
    </w:p>
    <w:p>
      <w:pPr>
        <w:spacing w:line="600" w:lineRule="exact"/>
        <w:ind w:left="2121" w:hanging="2121" w:hangingChars="707"/>
        <w:rPr>
          <w:sz w:val="30"/>
          <w:szCs w:val="30"/>
        </w:rPr>
      </w:pPr>
    </w:p>
    <w:p>
      <w:pPr>
        <w:spacing w:line="600" w:lineRule="exact"/>
        <w:ind w:left="2121" w:hanging="2121" w:hangingChars="707"/>
        <w:rPr>
          <w:rFonts w:hint="eastAsia"/>
          <w:sz w:val="30"/>
          <w:szCs w:val="30"/>
        </w:rPr>
      </w:pPr>
      <w:r>
        <w:rPr>
          <w:rFonts w:hint="eastAsia"/>
          <w:sz w:val="30"/>
          <w:szCs w:val="30"/>
        </w:rPr>
        <w:t>估价委托人：绵阳市涪城区人民法院</w:t>
      </w:r>
    </w:p>
    <w:p>
      <w:pPr>
        <w:spacing w:line="600" w:lineRule="exact"/>
        <w:ind w:left="2121" w:hanging="2121" w:hangingChars="707"/>
        <w:rPr>
          <w:sz w:val="30"/>
          <w:szCs w:val="30"/>
        </w:rPr>
      </w:pPr>
      <w:r>
        <w:rPr>
          <w:rFonts w:hint="eastAsia"/>
          <w:sz w:val="30"/>
          <w:szCs w:val="30"/>
        </w:rPr>
        <w:t>房地产估价机构： 绵阳市公量房地产评估咨询有限公司</w:t>
      </w:r>
    </w:p>
    <w:p>
      <w:pPr>
        <w:spacing w:line="600" w:lineRule="exact"/>
        <w:ind w:left="2121" w:hanging="2121" w:hangingChars="707"/>
        <w:rPr>
          <w:sz w:val="30"/>
          <w:szCs w:val="30"/>
        </w:rPr>
      </w:pPr>
    </w:p>
    <w:p>
      <w:pPr>
        <w:spacing w:line="600" w:lineRule="exact"/>
        <w:rPr>
          <w:rFonts w:hint="eastAsia"/>
          <w:sz w:val="30"/>
          <w:szCs w:val="30"/>
        </w:rPr>
      </w:pPr>
    </w:p>
    <w:p>
      <w:pPr>
        <w:pStyle w:val="3"/>
        <w:spacing w:line="600" w:lineRule="exact"/>
        <w:ind w:firstLine="0"/>
        <w:rPr>
          <w:rFonts w:hint="eastAsia" w:eastAsia="宋体"/>
          <w:sz w:val="30"/>
          <w:szCs w:val="30"/>
        </w:rPr>
      </w:pPr>
      <w:r>
        <w:rPr>
          <w:rFonts w:eastAsia="宋体"/>
          <w:sz w:val="30"/>
          <w:szCs w:val="30"/>
        </w:rPr>
        <w:t>注册房地产估价师：</w:t>
      </w:r>
      <w:r>
        <w:rPr>
          <w:rFonts w:hint="eastAsia" w:eastAsia="宋体"/>
          <w:sz w:val="30"/>
          <w:szCs w:val="30"/>
        </w:rPr>
        <w:t xml:space="preserve">   李国祥          李志会</w:t>
      </w:r>
    </w:p>
    <w:p>
      <w:pPr>
        <w:pStyle w:val="3"/>
        <w:spacing w:line="600" w:lineRule="exact"/>
        <w:ind w:firstLine="1170" w:firstLineChars="390"/>
        <w:rPr>
          <w:rFonts w:hint="eastAsia" w:eastAsia="宋体"/>
        </w:rPr>
      </w:pPr>
      <w:r>
        <w:rPr>
          <w:rFonts w:hint="eastAsia" w:eastAsia="宋体"/>
          <w:sz w:val="30"/>
          <w:szCs w:val="30"/>
        </w:rPr>
        <w:t xml:space="preserve">注册证号： 5120040581      </w:t>
      </w:r>
      <w:r>
        <w:rPr>
          <w:rFonts w:hint="eastAsia" w:eastAsia="宋体"/>
        </w:rPr>
        <w:t>5120130030</w:t>
      </w:r>
    </w:p>
    <w:p>
      <w:pPr>
        <w:pStyle w:val="3"/>
        <w:spacing w:line="600" w:lineRule="exact"/>
        <w:ind w:firstLine="1170" w:firstLineChars="390"/>
        <w:rPr>
          <w:rFonts w:hint="eastAsia"/>
          <w:sz w:val="30"/>
          <w:szCs w:val="30"/>
        </w:rPr>
      </w:pPr>
    </w:p>
    <w:p>
      <w:pPr>
        <w:spacing w:line="600" w:lineRule="exact"/>
        <w:rPr>
          <w:rFonts w:hint="eastAsia"/>
          <w:sz w:val="30"/>
          <w:szCs w:val="30"/>
        </w:rPr>
      </w:pPr>
    </w:p>
    <w:p>
      <w:pPr>
        <w:spacing w:line="600" w:lineRule="exact"/>
        <w:rPr>
          <w:rFonts w:hint="eastAsia"/>
          <w:sz w:val="30"/>
          <w:szCs w:val="30"/>
        </w:rPr>
      </w:pPr>
      <w:r>
        <w:rPr>
          <w:rFonts w:hint="eastAsia"/>
          <w:sz w:val="30"/>
          <w:szCs w:val="30"/>
        </w:rPr>
        <w:t>估价报告出具日期：二零一九年一月</w:t>
      </w:r>
      <w:r>
        <w:rPr>
          <w:rFonts w:hint="eastAsia"/>
          <w:sz w:val="30"/>
          <w:szCs w:val="30"/>
          <w:lang w:eastAsia="zh-CN"/>
        </w:rPr>
        <w:t>十</w:t>
      </w:r>
      <w:r>
        <w:rPr>
          <w:rFonts w:hint="eastAsia"/>
          <w:sz w:val="30"/>
          <w:szCs w:val="30"/>
        </w:rPr>
        <w:t>日</w:t>
      </w:r>
    </w:p>
    <w:p>
      <w:pPr>
        <w:spacing w:line="600" w:lineRule="exact"/>
        <w:rPr>
          <w:rFonts w:hint="eastAsia"/>
          <w:sz w:val="30"/>
          <w:szCs w:val="30"/>
        </w:rPr>
      </w:pPr>
    </w:p>
    <w:p>
      <w:pPr>
        <w:spacing w:line="600" w:lineRule="exact"/>
        <w:rPr>
          <w:rFonts w:hint="eastAsia"/>
          <w:sz w:val="30"/>
          <w:szCs w:val="30"/>
        </w:rPr>
      </w:pPr>
    </w:p>
    <w:p>
      <w:pPr>
        <w:spacing w:line="600" w:lineRule="exact"/>
        <w:ind w:left="2121" w:hanging="2121" w:hangingChars="707"/>
        <w:rPr>
          <w:rFonts w:hint="eastAsia"/>
          <w:sz w:val="30"/>
          <w:szCs w:val="30"/>
        </w:rPr>
      </w:pPr>
      <w:r>
        <w:rPr>
          <w:rFonts w:hint="eastAsia"/>
          <w:sz w:val="30"/>
          <w:szCs w:val="30"/>
        </w:rPr>
        <w:t>估价报告编号：绵公评（2019）字第011号</w:t>
      </w:r>
    </w:p>
    <w:p>
      <w:pPr>
        <w:spacing w:line="500" w:lineRule="exact"/>
        <w:rPr>
          <w:rFonts w:hint="eastAsia"/>
          <w:lang w:val="zh-CN"/>
        </w:rPr>
      </w:pPr>
    </w:p>
    <w:p>
      <w:pPr>
        <w:spacing w:line="500" w:lineRule="exact"/>
        <w:jc w:val="center"/>
        <w:rPr>
          <w:sz w:val="28"/>
          <w:szCs w:val="28"/>
        </w:rPr>
      </w:pPr>
      <w:r>
        <w:rPr>
          <w:sz w:val="28"/>
          <w:szCs w:val="28"/>
          <w:lang w:val="zh-CN"/>
        </w:rPr>
        <w:t>目</w:t>
      </w:r>
      <w:r>
        <w:rPr>
          <w:rFonts w:hint="eastAsia"/>
          <w:sz w:val="28"/>
          <w:szCs w:val="28"/>
        </w:rPr>
        <w:t xml:space="preserve">  </w:t>
      </w:r>
      <w:r>
        <w:rPr>
          <w:sz w:val="28"/>
          <w:szCs w:val="28"/>
          <w:lang w:val="zh-CN"/>
        </w:rPr>
        <w:t>录</w:t>
      </w:r>
    </w:p>
    <w:p>
      <w:pPr>
        <w:pStyle w:val="9"/>
        <w:keepNext w:val="0"/>
        <w:keepLines w:val="0"/>
        <w:pageBreakBefore w:val="0"/>
        <w:widowControl w:val="0"/>
        <w:tabs>
          <w:tab w:val="right" w:leader="dot" w:pos="8278"/>
        </w:tabs>
        <w:kinsoku/>
        <w:wordWrap/>
        <w:overflowPunct/>
        <w:topLinePunct w:val="0"/>
        <w:autoSpaceDE/>
        <w:autoSpaceDN/>
        <w:bidi w:val="0"/>
        <w:adjustRightInd/>
        <w:snapToGrid/>
        <w:spacing w:line="460" w:lineRule="exact"/>
        <w:textAlignment w:val="auto"/>
      </w:pPr>
      <w:r>
        <w:fldChar w:fldCharType="begin"/>
      </w:r>
      <w:r>
        <w:instrText xml:space="preserve"> TOC \o "1-3" \h \z \u </w:instrText>
      </w:r>
      <w:r>
        <w:fldChar w:fldCharType="separate"/>
      </w:r>
      <w:r>
        <w:fldChar w:fldCharType="begin"/>
      </w:r>
      <w:r>
        <w:instrText xml:space="preserve"> HYPERLINK \l _Toc18541 </w:instrText>
      </w:r>
      <w:r>
        <w:fldChar w:fldCharType="separate"/>
      </w:r>
      <w:r>
        <w:rPr>
          <w:rFonts w:eastAsia="黑体"/>
        </w:rPr>
        <w:t xml:space="preserve">第一部分  </w:t>
      </w:r>
      <w:r>
        <w:rPr>
          <w:rFonts w:hint="eastAsia" w:eastAsia="黑体"/>
        </w:rPr>
        <w:t xml:space="preserve"> </w:t>
      </w:r>
      <w:r>
        <w:rPr>
          <w:rFonts w:eastAsia="黑体"/>
        </w:rPr>
        <w:t>致</w:t>
      </w:r>
      <w:r>
        <w:rPr>
          <w:rFonts w:hint="eastAsia" w:eastAsia="黑体"/>
        </w:rPr>
        <w:t>估价</w:t>
      </w:r>
      <w:r>
        <w:rPr>
          <w:rFonts w:eastAsia="黑体"/>
        </w:rPr>
        <w:t>委托</w:t>
      </w:r>
      <w:r>
        <w:rPr>
          <w:rFonts w:hint="eastAsia" w:eastAsia="黑体"/>
        </w:rPr>
        <w:t>人</w:t>
      </w:r>
      <w:r>
        <w:rPr>
          <w:rFonts w:eastAsia="黑体"/>
        </w:rPr>
        <w:t>函</w:t>
      </w:r>
      <w:r>
        <w:tab/>
      </w:r>
      <w:r>
        <w:fldChar w:fldCharType="begin"/>
      </w:r>
      <w:r>
        <w:instrText xml:space="preserve"> PAGEREF _Toc18541 </w:instrText>
      </w:r>
      <w:r>
        <w:fldChar w:fldCharType="separate"/>
      </w:r>
      <w:r>
        <w:t>１</w:t>
      </w:r>
      <w:r>
        <w:fldChar w:fldCharType="end"/>
      </w:r>
      <w:r>
        <w:fldChar w:fldCharType="end"/>
      </w:r>
    </w:p>
    <w:p>
      <w:pPr>
        <w:pStyle w:val="11"/>
        <w:keepNext w:val="0"/>
        <w:keepLines w:val="0"/>
        <w:pageBreakBefore w:val="0"/>
        <w:widowControl w:val="0"/>
        <w:tabs>
          <w:tab w:val="right" w:leader="dot" w:pos="8278"/>
        </w:tabs>
        <w:kinsoku/>
        <w:wordWrap/>
        <w:overflowPunct/>
        <w:topLinePunct w:val="0"/>
        <w:autoSpaceDE/>
        <w:autoSpaceDN/>
        <w:bidi w:val="0"/>
        <w:adjustRightInd/>
        <w:snapToGrid/>
        <w:spacing w:line="460" w:lineRule="exact"/>
        <w:textAlignment w:val="auto"/>
      </w:pPr>
      <w:r>
        <w:fldChar w:fldCharType="begin"/>
      </w:r>
      <w:r>
        <w:instrText xml:space="preserve"> HYPERLINK \l _Toc30585 </w:instrText>
      </w:r>
      <w:r>
        <w:fldChar w:fldCharType="separate"/>
      </w:r>
      <w:r>
        <w:rPr>
          <w:rFonts w:hint="eastAsia" w:eastAsia="黑体"/>
        </w:rPr>
        <w:t>一、</w:t>
      </w:r>
      <w:r>
        <w:rPr>
          <w:rFonts w:eastAsia="黑体"/>
        </w:rPr>
        <w:t>估价对象及范围</w:t>
      </w:r>
      <w:r>
        <w:tab/>
      </w:r>
      <w:r>
        <w:fldChar w:fldCharType="begin"/>
      </w:r>
      <w:r>
        <w:instrText xml:space="preserve"> PAGEREF _Toc30585 </w:instrText>
      </w:r>
      <w:r>
        <w:fldChar w:fldCharType="separate"/>
      </w:r>
      <w:r>
        <w:t>１</w:t>
      </w:r>
      <w:r>
        <w:fldChar w:fldCharType="end"/>
      </w:r>
      <w:r>
        <w:fldChar w:fldCharType="end"/>
      </w:r>
    </w:p>
    <w:p>
      <w:pPr>
        <w:pStyle w:val="11"/>
        <w:keepNext w:val="0"/>
        <w:keepLines w:val="0"/>
        <w:pageBreakBefore w:val="0"/>
        <w:widowControl w:val="0"/>
        <w:tabs>
          <w:tab w:val="right" w:leader="dot" w:pos="8278"/>
        </w:tabs>
        <w:kinsoku/>
        <w:wordWrap/>
        <w:overflowPunct/>
        <w:topLinePunct w:val="0"/>
        <w:autoSpaceDE/>
        <w:autoSpaceDN/>
        <w:bidi w:val="0"/>
        <w:adjustRightInd/>
        <w:snapToGrid/>
        <w:spacing w:line="460" w:lineRule="exact"/>
        <w:textAlignment w:val="auto"/>
      </w:pPr>
      <w:r>
        <w:fldChar w:fldCharType="begin"/>
      </w:r>
      <w:r>
        <w:instrText xml:space="preserve"> HYPERLINK \l _Toc4555 </w:instrText>
      </w:r>
      <w:r>
        <w:fldChar w:fldCharType="separate"/>
      </w:r>
      <w:r>
        <w:rPr>
          <w:rFonts w:eastAsia="黑体"/>
        </w:rPr>
        <w:t>二、估价目的</w:t>
      </w:r>
      <w:r>
        <w:tab/>
      </w:r>
      <w:r>
        <w:fldChar w:fldCharType="begin"/>
      </w:r>
      <w:r>
        <w:instrText xml:space="preserve"> PAGEREF _Toc4555 </w:instrText>
      </w:r>
      <w:r>
        <w:fldChar w:fldCharType="separate"/>
      </w:r>
      <w:r>
        <w:t>１</w:t>
      </w:r>
      <w:r>
        <w:fldChar w:fldCharType="end"/>
      </w:r>
      <w:r>
        <w:fldChar w:fldCharType="end"/>
      </w:r>
    </w:p>
    <w:p>
      <w:pPr>
        <w:pStyle w:val="11"/>
        <w:keepNext w:val="0"/>
        <w:keepLines w:val="0"/>
        <w:pageBreakBefore w:val="0"/>
        <w:widowControl w:val="0"/>
        <w:tabs>
          <w:tab w:val="right" w:leader="dot" w:pos="8278"/>
        </w:tabs>
        <w:kinsoku/>
        <w:wordWrap/>
        <w:overflowPunct/>
        <w:topLinePunct w:val="0"/>
        <w:autoSpaceDE/>
        <w:autoSpaceDN/>
        <w:bidi w:val="0"/>
        <w:adjustRightInd/>
        <w:snapToGrid/>
        <w:spacing w:line="460" w:lineRule="exact"/>
        <w:textAlignment w:val="auto"/>
      </w:pPr>
      <w:r>
        <w:fldChar w:fldCharType="begin"/>
      </w:r>
      <w:r>
        <w:instrText xml:space="preserve"> HYPERLINK \l _Toc18662 </w:instrText>
      </w:r>
      <w:r>
        <w:fldChar w:fldCharType="separate"/>
      </w:r>
      <w:r>
        <w:rPr>
          <w:rFonts w:eastAsia="黑体"/>
        </w:rPr>
        <w:t>三、估价方法</w:t>
      </w:r>
      <w:r>
        <w:tab/>
      </w:r>
      <w:r>
        <w:fldChar w:fldCharType="begin"/>
      </w:r>
      <w:r>
        <w:instrText xml:space="preserve"> PAGEREF _Toc18662 </w:instrText>
      </w:r>
      <w:r>
        <w:fldChar w:fldCharType="separate"/>
      </w:r>
      <w:r>
        <w:t>１</w:t>
      </w:r>
      <w:r>
        <w:fldChar w:fldCharType="end"/>
      </w:r>
      <w:r>
        <w:fldChar w:fldCharType="end"/>
      </w:r>
    </w:p>
    <w:p>
      <w:pPr>
        <w:pStyle w:val="11"/>
        <w:keepNext w:val="0"/>
        <w:keepLines w:val="0"/>
        <w:pageBreakBefore w:val="0"/>
        <w:widowControl w:val="0"/>
        <w:tabs>
          <w:tab w:val="right" w:leader="dot" w:pos="8278"/>
        </w:tabs>
        <w:kinsoku/>
        <w:wordWrap/>
        <w:overflowPunct/>
        <w:topLinePunct w:val="0"/>
        <w:autoSpaceDE/>
        <w:autoSpaceDN/>
        <w:bidi w:val="0"/>
        <w:adjustRightInd/>
        <w:snapToGrid/>
        <w:spacing w:line="460" w:lineRule="exact"/>
        <w:textAlignment w:val="auto"/>
      </w:pPr>
      <w:r>
        <w:fldChar w:fldCharType="begin"/>
      </w:r>
      <w:r>
        <w:instrText xml:space="preserve"> HYPERLINK \l _Toc23565 </w:instrText>
      </w:r>
      <w:r>
        <w:fldChar w:fldCharType="separate"/>
      </w:r>
      <w:r>
        <w:rPr>
          <w:rFonts w:eastAsia="黑体"/>
        </w:rPr>
        <w:t>四、</w:t>
      </w:r>
      <w:r>
        <w:rPr>
          <w:rFonts w:hint="eastAsia" w:eastAsia="黑体"/>
        </w:rPr>
        <w:t>价值时点</w:t>
      </w:r>
      <w:r>
        <w:tab/>
      </w:r>
      <w:r>
        <w:fldChar w:fldCharType="begin"/>
      </w:r>
      <w:r>
        <w:instrText xml:space="preserve"> PAGEREF _Toc23565 </w:instrText>
      </w:r>
      <w:r>
        <w:fldChar w:fldCharType="separate"/>
      </w:r>
      <w:r>
        <w:t>２</w:t>
      </w:r>
      <w:r>
        <w:fldChar w:fldCharType="end"/>
      </w:r>
      <w:r>
        <w:fldChar w:fldCharType="end"/>
      </w:r>
    </w:p>
    <w:p>
      <w:pPr>
        <w:pStyle w:val="11"/>
        <w:keepNext w:val="0"/>
        <w:keepLines w:val="0"/>
        <w:pageBreakBefore w:val="0"/>
        <w:widowControl w:val="0"/>
        <w:tabs>
          <w:tab w:val="right" w:leader="dot" w:pos="8278"/>
        </w:tabs>
        <w:kinsoku/>
        <w:wordWrap/>
        <w:overflowPunct/>
        <w:topLinePunct w:val="0"/>
        <w:autoSpaceDE/>
        <w:autoSpaceDN/>
        <w:bidi w:val="0"/>
        <w:adjustRightInd/>
        <w:snapToGrid/>
        <w:spacing w:line="460" w:lineRule="exact"/>
        <w:textAlignment w:val="auto"/>
      </w:pPr>
      <w:r>
        <w:fldChar w:fldCharType="begin"/>
      </w:r>
      <w:r>
        <w:instrText xml:space="preserve"> HYPERLINK \l _Toc22819 </w:instrText>
      </w:r>
      <w:r>
        <w:fldChar w:fldCharType="separate"/>
      </w:r>
      <w:r>
        <w:rPr>
          <w:rFonts w:eastAsia="黑体"/>
        </w:rPr>
        <w:t>五、</w:t>
      </w:r>
      <w:r>
        <w:rPr>
          <w:rFonts w:hint="eastAsia" w:eastAsia="黑体"/>
        </w:rPr>
        <w:t>价值类型</w:t>
      </w:r>
      <w:r>
        <w:tab/>
      </w:r>
      <w:r>
        <w:fldChar w:fldCharType="begin"/>
      </w:r>
      <w:r>
        <w:instrText xml:space="preserve"> PAGEREF _Toc22819 </w:instrText>
      </w:r>
      <w:r>
        <w:fldChar w:fldCharType="separate"/>
      </w:r>
      <w:r>
        <w:t>２</w:t>
      </w:r>
      <w:r>
        <w:fldChar w:fldCharType="end"/>
      </w:r>
      <w:r>
        <w:fldChar w:fldCharType="end"/>
      </w:r>
    </w:p>
    <w:p>
      <w:pPr>
        <w:pStyle w:val="11"/>
        <w:keepNext w:val="0"/>
        <w:keepLines w:val="0"/>
        <w:pageBreakBefore w:val="0"/>
        <w:widowControl w:val="0"/>
        <w:tabs>
          <w:tab w:val="right" w:leader="dot" w:pos="8278"/>
        </w:tabs>
        <w:kinsoku/>
        <w:wordWrap/>
        <w:overflowPunct/>
        <w:topLinePunct w:val="0"/>
        <w:autoSpaceDE/>
        <w:autoSpaceDN/>
        <w:bidi w:val="0"/>
        <w:adjustRightInd/>
        <w:snapToGrid/>
        <w:spacing w:line="460" w:lineRule="exact"/>
        <w:textAlignment w:val="auto"/>
      </w:pPr>
      <w:r>
        <w:fldChar w:fldCharType="begin"/>
      </w:r>
      <w:r>
        <w:instrText xml:space="preserve"> HYPERLINK \l _Toc24177 </w:instrText>
      </w:r>
      <w:r>
        <w:fldChar w:fldCharType="separate"/>
      </w:r>
      <w:r>
        <w:rPr>
          <w:rFonts w:hint="eastAsia" w:eastAsia="黑体"/>
        </w:rPr>
        <w:t>六</w:t>
      </w:r>
      <w:r>
        <w:rPr>
          <w:rFonts w:eastAsia="黑体"/>
        </w:rPr>
        <w:t>、估价结果</w:t>
      </w:r>
      <w:r>
        <w:tab/>
      </w:r>
      <w:r>
        <w:fldChar w:fldCharType="begin"/>
      </w:r>
      <w:r>
        <w:instrText xml:space="preserve"> PAGEREF _Toc24177 </w:instrText>
      </w:r>
      <w:r>
        <w:fldChar w:fldCharType="separate"/>
      </w:r>
      <w:r>
        <w:t>２</w:t>
      </w:r>
      <w:r>
        <w:fldChar w:fldCharType="end"/>
      </w:r>
      <w:r>
        <w:fldChar w:fldCharType="end"/>
      </w:r>
    </w:p>
    <w:p>
      <w:pPr>
        <w:pStyle w:val="11"/>
        <w:keepNext w:val="0"/>
        <w:keepLines w:val="0"/>
        <w:pageBreakBefore w:val="0"/>
        <w:widowControl w:val="0"/>
        <w:tabs>
          <w:tab w:val="right" w:leader="dot" w:pos="8278"/>
        </w:tabs>
        <w:kinsoku/>
        <w:wordWrap/>
        <w:overflowPunct/>
        <w:topLinePunct w:val="0"/>
        <w:autoSpaceDE/>
        <w:autoSpaceDN/>
        <w:bidi w:val="0"/>
        <w:adjustRightInd/>
        <w:snapToGrid/>
        <w:spacing w:line="460" w:lineRule="exact"/>
        <w:textAlignment w:val="auto"/>
      </w:pPr>
      <w:r>
        <w:fldChar w:fldCharType="begin"/>
      </w:r>
      <w:r>
        <w:instrText xml:space="preserve"> HYPERLINK \l _Toc14404 </w:instrText>
      </w:r>
      <w:r>
        <w:fldChar w:fldCharType="separate"/>
      </w:r>
      <w:r>
        <w:rPr>
          <w:rFonts w:hint="eastAsia" w:ascii="黑体" w:eastAsia="黑体"/>
        </w:rPr>
        <w:t>七、估价报告使用说明</w:t>
      </w:r>
      <w:r>
        <w:tab/>
      </w:r>
      <w:r>
        <w:fldChar w:fldCharType="begin"/>
      </w:r>
      <w:r>
        <w:instrText xml:space="preserve"> PAGEREF _Toc14404 </w:instrText>
      </w:r>
      <w:r>
        <w:fldChar w:fldCharType="separate"/>
      </w:r>
      <w:r>
        <w:t>２</w:t>
      </w:r>
      <w:r>
        <w:fldChar w:fldCharType="end"/>
      </w:r>
      <w:r>
        <w:fldChar w:fldCharType="end"/>
      </w:r>
    </w:p>
    <w:p>
      <w:pPr>
        <w:pStyle w:val="9"/>
        <w:keepNext w:val="0"/>
        <w:keepLines w:val="0"/>
        <w:pageBreakBefore w:val="0"/>
        <w:widowControl w:val="0"/>
        <w:tabs>
          <w:tab w:val="right" w:leader="dot" w:pos="8278"/>
        </w:tabs>
        <w:kinsoku/>
        <w:wordWrap/>
        <w:overflowPunct/>
        <w:topLinePunct w:val="0"/>
        <w:autoSpaceDE/>
        <w:autoSpaceDN/>
        <w:bidi w:val="0"/>
        <w:adjustRightInd/>
        <w:snapToGrid/>
        <w:spacing w:line="460" w:lineRule="exact"/>
        <w:textAlignment w:val="auto"/>
      </w:pPr>
      <w:r>
        <w:fldChar w:fldCharType="begin"/>
      </w:r>
      <w:r>
        <w:instrText xml:space="preserve"> HYPERLINK \l _Toc3910 </w:instrText>
      </w:r>
      <w:r>
        <w:fldChar w:fldCharType="separate"/>
      </w:r>
      <w:r>
        <w:rPr>
          <w:rFonts w:eastAsia="黑体"/>
        </w:rPr>
        <w:t>第二部分   估价师声明</w:t>
      </w:r>
      <w:r>
        <w:tab/>
      </w:r>
      <w:r>
        <w:fldChar w:fldCharType="begin"/>
      </w:r>
      <w:r>
        <w:instrText xml:space="preserve"> PAGEREF _Toc3910 </w:instrText>
      </w:r>
      <w:r>
        <w:fldChar w:fldCharType="separate"/>
      </w:r>
      <w:r>
        <w:t>３</w:t>
      </w:r>
      <w:r>
        <w:fldChar w:fldCharType="end"/>
      </w:r>
      <w:r>
        <w:fldChar w:fldCharType="end"/>
      </w:r>
    </w:p>
    <w:p>
      <w:pPr>
        <w:pStyle w:val="9"/>
        <w:keepNext w:val="0"/>
        <w:keepLines w:val="0"/>
        <w:pageBreakBefore w:val="0"/>
        <w:widowControl w:val="0"/>
        <w:tabs>
          <w:tab w:val="right" w:leader="dot" w:pos="8278"/>
        </w:tabs>
        <w:kinsoku/>
        <w:wordWrap/>
        <w:overflowPunct/>
        <w:topLinePunct w:val="0"/>
        <w:autoSpaceDE/>
        <w:autoSpaceDN/>
        <w:bidi w:val="0"/>
        <w:adjustRightInd/>
        <w:snapToGrid/>
        <w:spacing w:line="460" w:lineRule="exact"/>
        <w:textAlignment w:val="auto"/>
      </w:pPr>
      <w:r>
        <w:fldChar w:fldCharType="begin"/>
      </w:r>
      <w:r>
        <w:instrText xml:space="preserve"> HYPERLINK \l _Toc14273 </w:instrText>
      </w:r>
      <w:r>
        <w:fldChar w:fldCharType="separate"/>
      </w:r>
      <w:r>
        <w:rPr>
          <w:rFonts w:eastAsia="黑体"/>
        </w:rPr>
        <w:t xml:space="preserve">第三部分 </w:t>
      </w:r>
      <w:r>
        <w:rPr>
          <w:rFonts w:hint="eastAsia" w:eastAsia="黑体"/>
        </w:rPr>
        <w:t xml:space="preserve"> </w:t>
      </w:r>
      <w:r>
        <w:rPr>
          <w:rFonts w:eastAsia="黑体"/>
        </w:rPr>
        <w:t xml:space="preserve"> 估价的假设与限制条件及使用报告说明</w:t>
      </w:r>
      <w:r>
        <w:tab/>
      </w:r>
      <w:r>
        <w:fldChar w:fldCharType="begin"/>
      </w:r>
      <w:r>
        <w:instrText xml:space="preserve"> PAGEREF _Toc14273 </w:instrText>
      </w:r>
      <w:r>
        <w:fldChar w:fldCharType="separate"/>
      </w:r>
      <w:r>
        <w:t>４</w:t>
      </w:r>
      <w:r>
        <w:fldChar w:fldCharType="end"/>
      </w:r>
      <w:r>
        <w:fldChar w:fldCharType="end"/>
      </w:r>
    </w:p>
    <w:p>
      <w:pPr>
        <w:pStyle w:val="9"/>
        <w:keepNext w:val="0"/>
        <w:keepLines w:val="0"/>
        <w:pageBreakBefore w:val="0"/>
        <w:widowControl w:val="0"/>
        <w:tabs>
          <w:tab w:val="right" w:leader="dot" w:pos="8278"/>
        </w:tabs>
        <w:kinsoku/>
        <w:wordWrap/>
        <w:overflowPunct/>
        <w:topLinePunct w:val="0"/>
        <w:autoSpaceDE/>
        <w:autoSpaceDN/>
        <w:bidi w:val="0"/>
        <w:adjustRightInd/>
        <w:snapToGrid/>
        <w:spacing w:line="460" w:lineRule="exact"/>
        <w:textAlignment w:val="auto"/>
      </w:pPr>
      <w:r>
        <w:fldChar w:fldCharType="begin"/>
      </w:r>
      <w:r>
        <w:instrText xml:space="preserve"> HYPERLINK \l _Toc25851 </w:instrText>
      </w:r>
      <w:r>
        <w:fldChar w:fldCharType="separate"/>
      </w:r>
      <w:r>
        <w:rPr>
          <w:rFonts w:eastAsia="黑体"/>
        </w:rPr>
        <w:t>第四部分   估价结果报告</w:t>
      </w:r>
      <w:r>
        <w:tab/>
      </w:r>
      <w:r>
        <w:fldChar w:fldCharType="begin"/>
      </w:r>
      <w:r>
        <w:instrText xml:space="preserve"> PAGEREF _Toc25851 </w:instrText>
      </w:r>
      <w:r>
        <w:fldChar w:fldCharType="separate"/>
      </w:r>
      <w:r>
        <w:t>７</w:t>
      </w:r>
      <w:r>
        <w:fldChar w:fldCharType="end"/>
      </w:r>
      <w:r>
        <w:fldChar w:fldCharType="end"/>
      </w:r>
    </w:p>
    <w:p>
      <w:pPr>
        <w:pStyle w:val="11"/>
        <w:keepNext w:val="0"/>
        <w:keepLines w:val="0"/>
        <w:pageBreakBefore w:val="0"/>
        <w:widowControl w:val="0"/>
        <w:tabs>
          <w:tab w:val="right" w:leader="dot" w:pos="8278"/>
        </w:tabs>
        <w:kinsoku/>
        <w:wordWrap/>
        <w:overflowPunct/>
        <w:topLinePunct w:val="0"/>
        <w:autoSpaceDE/>
        <w:autoSpaceDN/>
        <w:bidi w:val="0"/>
        <w:adjustRightInd/>
        <w:snapToGrid/>
        <w:spacing w:line="460" w:lineRule="exact"/>
        <w:textAlignment w:val="auto"/>
      </w:pPr>
      <w:r>
        <w:fldChar w:fldCharType="begin"/>
      </w:r>
      <w:r>
        <w:instrText xml:space="preserve"> HYPERLINK \l _Toc7103 </w:instrText>
      </w:r>
      <w:r>
        <w:fldChar w:fldCharType="separate"/>
      </w:r>
      <w:r>
        <w:rPr>
          <w:rFonts w:eastAsia="黑体"/>
        </w:rPr>
        <w:t>一、</w:t>
      </w:r>
      <w:r>
        <w:rPr>
          <w:rFonts w:hint="eastAsia" w:eastAsia="黑体"/>
        </w:rPr>
        <w:t>估价委托人</w:t>
      </w:r>
      <w:r>
        <w:tab/>
      </w:r>
      <w:r>
        <w:fldChar w:fldCharType="begin"/>
      </w:r>
      <w:r>
        <w:instrText xml:space="preserve"> PAGEREF _Toc7103 </w:instrText>
      </w:r>
      <w:r>
        <w:fldChar w:fldCharType="separate"/>
      </w:r>
      <w:r>
        <w:t>７</w:t>
      </w:r>
      <w:r>
        <w:fldChar w:fldCharType="end"/>
      </w:r>
      <w:r>
        <w:fldChar w:fldCharType="end"/>
      </w:r>
    </w:p>
    <w:p>
      <w:pPr>
        <w:pStyle w:val="11"/>
        <w:keepNext w:val="0"/>
        <w:keepLines w:val="0"/>
        <w:pageBreakBefore w:val="0"/>
        <w:widowControl w:val="0"/>
        <w:tabs>
          <w:tab w:val="right" w:leader="dot" w:pos="8278"/>
        </w:tabs>
        <w:kinsoku/>
        <w:wordWrap/>
        <w:overflowPunct/>
        <w:topLinePunct w:val="0"/>
        <w:autoSpaceDE/>
        <w:autoSpaceDN/>
        <w:bidi w:val="0"/>
        <w:adjustRightInd/>
        <w:snapToGrid/>
        <w:spacing w:line="460" w:lineRule="exact"/>
        <w:textAlignment w:val="auto"/>
      </w:pPr>
      <w:r>
        <w:fldChar w:fldCharType="begin"/>
      </w:r>
      <w:r>
        <w:instrText xml:space="preserve"> HYPERLINK \l _Toc25804 </w:instrText>
      </w:r>
      <w:r>
        <w:fldChar w:fldCharType="separate"/>
      </w:r>
      <w:r>
        <w:rPr>
          <w:rFonts w:eastAsia="黑体"/>
        </w:rPr>
        <w:t>二、</w:t>
      </w:r>
      <w:r>
        <w:rPr>
          <w:rFonts w:hint="eastAsia" w:eastAsia="黑体"/>
        </w:rPr>
        <w:t>房地产估价机构</w:t>
      </w:r>
      <w:r>
        <w:tab/>
      </w:r>
      <w:r>
        <w:fldChar w:fldCharType="begin"/>
      </w:r>
      <w:r>
        <w:instrText xml:space="preserve"> PAGEREF _Toc25804 </w:instrText>
      </w:r>
      <w:r>
        <w:fldChar w:fldCharType="separate"/>
      </w:r>
      <w:r>
        <w:t>７</w:t>
      </w:r>
      <w:r>
        <w:fldChar w:fldCharType="end"/>
      </w:r>
      <w:r>
        <w:fldChar w:fldCharType="end"/>
      </w:r>
    </w:p>
    <w:p>
      <w:pPr>
        <w:pStyle w:val="11"/>
        <w:keepNext w:val="0"/>
        <w:keepLines w:val="0"/>
        <w:pageBreakBefore w:val="0"/>
        <w:widowControl w:val="0"/>
        <w:tabs>
          <w:tab w:val="right" w:leader="dot" w:pos="8278"/>
        </w:tabs>
        <w:kinsoku/>
        <w:wordWrap/>
        <w:overflowPunct/>
        <w:topLinePunct w:val="0"/>
        <w:autoSpaceDE/>
        <w:autoSpaceDN/>
        <w:bidi w:val="0"/>
        <w:adjustRightInd/>
        <w:snapToGrid/>
        <w:spacing w:line="460" w:lineRule="exact"/>
        <w:textAlignment w:val="auto"/>
      </w:pPr>
      <w:r>
        <w:fldChar w:fldCharType="begin"/>
      </w:r>
      <w:r>
        <w:instrText xml:space="preserve"> HYPERLINK \l _Toc1929 </w:instrText>
      </w:r>
      <w:r>
        <w:fldChar w:fldCharType="separate"/>
      </w:r>
      <w:r>
        <w:rPr>
          <w:rFonts w:eastAsia="黑体"/>
        </w:rPr>
        <w:t>三、估价对象状况</w:t>
      </w:r>
      <w:r>
        <w:tab/>
      </w:r>
      <w:r>
        <w:fldChar w:fldCharType="begin"/>
      </w:r>
      <w:r>
        <w:instrText xml:space="preserve"> PAGEREF _Toc1929 </w:instrText>
      </w:r>
      <w:r>
        <w:fldChar w:fldCharType="separate"/>
      </w:r>
      <w:r>
        <w:t>７</w:t>
      </w:r>
      <w:r>
        <w:fldChar w:fldCharType="end"/>
      </w:r>
      <w:r>
        <w:fldChar w:fldCharType="end"/>
      </w:r>
    </w:p>
    <w:p>
      <w:pPr>
        <w:pStyle w:val="11"/>
        <w:keepNext w:val="0"/>
        <w:keepLines w:val="0"/>
        <w:pageBreakBefore w:val="0"/>
        <w:widowControl w:val="0"/>
        <w:tabs>
          <w:tab w:val="right" w:leader="dot" w:pos="8278"/>
        </w:tabs>
        <w:kinsoku/>
        <w:wordWrap/>
        <w:overflowPunct/>
        <w:topLinePunct w:val="0"/>
        <w:autoSpaceDE/>
        <w:autoSpaceDN/>
        <w:bidi w:val="0"/>
        <w:adjustRightInd/>
        <w:snapToGrid/>
        <w:spacing w:line="460" w:lineRule="exact"/>
        <w:textAlignment w:val="auto"/>
      </w:pPr>
      <w:r>
        <w:fldChar w:fldCharType="begin"/>
      </w:r>
      <w:r>
        <w:instrText xml:space="preserve"> HYPERLINK \l _Toc5074 </w:instrText>
      </w:r>
      <w:r>
        <w:fldChar w:fldCharType="separate"/>
      </w:r>
      <w:r>
        <w:rPr>
          <w:rFonts w:eastAsia="黑体"/>
        </w:rPr>
        <w:t>四、估价目的</w:t>
      </w:r>
      <w:r>
        <w:tab/>
      </w:r>
      <w:r>
        <w:fldChar w:fldCharType="begin"/>
      </w:r>
      <w:r>
        <w:instrText xml:space="preserve"> PAGEREF _Toc5074 </w:instrText>
      </w:r>
      <w:r>
        <w:fldChar w:fldCharType="separate"/>
      </w:r>
      <w:r>
        <w:t>９</w:t>
      </w:r>
      <w:r>
        <w:fldChar w:fldCharType="end"/>
      </w:r>
      <w:r>
        <w:fldChar w:fldCharType="end"/>
      </w:r>
    </w:p>
    <w:p>
      <w:pPr>
        <w:pStyle w:val="11"/>
        <w:keepNext w:val="0"/>
        <w:keepLines w:val="0"/>
        <w:pageBreakBefore w:val="0"/>
        <w:widowControl w:val="0"/>
        <w:tabs>
          <w:tab w:val="right" w:leader="dot" w:pos="8278"/>
        </w:tabs>
        <w:kinsoku/>
        <w:wordWrap/>
        <w:overflowPunct/>
        <w:topLinePunct w:val="0"/>
        <w:autoSpaceDE/>
        <w:autoSpaceDN/>
        <w:bidi w:val="0"/>
        <w:adjustRightInd/>
        <w:snapToGrid/>
        <w:spacing w:line="460" w:lineRule="exact"/>
        <w:textAlignment w:val="auto"/>
      </w:pPr>
      <w:r>
        <w:fldChar w:fldCharType="begin"/>
      </w:r>
      <w:r>
        <w:instrText xml:space="preserve"> HYPERLINK \l _Toc1771 </w:instrText>
      </w:r>
      <w:r>
        <w:fldChar w:fldCharType="separate"/>
      </w:r>
      <w:r>
        <w:rPr>
          <w:rFonts w:eastAsia="黑体"/>
        </w:rPr>
        <w:t>五、</w:t>
      </w:r>
      <w:r>
        <w:rPr>
          <w:rFonts w:hint="eastAsia" w:eastAsia="黑体"/>
        </w:rPr>
        <w:t>价值</w:t>
      </w:r>
      <w:r>
        <w:rPr>
          <w:rFonts w:eastAsia="黑体"/>
        </w:rPr>
        <w:t>时点</w:t>
      </w:r>
      <w:r>
        <w:tab/>
      </w:r>
      <w:r>
        <w:fldChar w:fldCharType="begin"/>
      </w:r>
      <w:r>
        <w:instrText xml:space="preserve"> PAGEREF _Toc1771 </w:instrText>
      </w:r>
      <w:r>
        <w:fldChar w:fldCharType="separate"/>
      </w:r>
      <w:r>
        <w:t>９</w:t>
      </w:r>
      <w:r>
        <w:fldChar w:fldCharType="end"/>
      </w:r>
      <w:r>
        <w:fldChar w:fldCharType="end"/>
      </w:r>
    </w:p>
    <w:p>
      <w:pPr>
        <w:pStyle w:val="11"/>
        <w:keepNext w:val="0"/>
        <w:keepLines w:val="0"/>
        <w:pageBreakBefore w:val="0"/>
        <w:widowControl w:val="0"/>
        <w:tabs>
          <w:tab w:val="right" w:leader="dot" w:pos="8278"/>
        </w:tabs>
        <w:kinsoku/>
        <w:wordWrap/>
        <w:overflowPunct/>
        <w:topLinePunct w:val="0"/>
        <w:autoSpaceDE/>
        <w:autoSpaceDN/>
        <w:bidi w:val="0"/>
        <w:adjustRightInd/>
        <w:snapToGrid/>
        <w:spacing w:line="460" w:lineRule="exact"/>
        <w:textAlignment w:val="auto"/>
      </w:pPr>
      <w:r>
        <w:fldChar w:fldCharType="begin"/>
      </w:r>
      <w:r>
        <w:instrText xml:space="preserve"> HYPERLINK \l _Toc17781 </w:instrText>
      </w:r>
      <w:r>
        <w:fldChar w:fldCharType="separate"/>
      </w:r>
      <w:r>
        <w:rPr>
          <w:rFonts w:eastAsia="黑体"/>
        </w:rPr>
        <w:t>六、</w:t>
      </w:r>
      <w:r>
        <w:rPr>
          <w:rFonts w:hint="eastAsia" w:eastAsia="黑体"/>
        </w:rPr>
        <w:t>价值类型</w:t>
      </w:r>
      <w:r>
        <w:tab/>
      </w:r>
      <w:r>
        <w:fldChar w:fldCharType="begin"/>
      </w:r>
      <w:r>
        <w:instrText xml:space="preserve"> PAGEREF _Toc17781 </w:instrText>
      </w:r>
      <w:r>
        <w:fldChar w:fldCharType="separate"/>
      </w:r>
      <w:r>
        <w:t>９</w:t>
      </w:r>
      <w:r>
        <w:fldChar w:fldCharType="end"/>
      </w:r>
      <w:r>
        <w:fldChar w:fldCharType="end"/>
      </w:r>
    </w:p>
    <w:p>
      <w:pPr>
        <w:pStyle w:val="11"/>
        <w:keepNext w:val="0"/>
        <w:keepLines w:val="0"/>
        <w:pageBreakBefore w:val="0"/>
        <w:widowControl w:val="0"/>
        <w:tabs>
          <w:tab w:val="right" w:leader="dot" w:pos="8278"/>
        </w:tabs>
        <w:kinsoku/>
        <w:wordWrap/>
        <w:overflowPunct/>
        <w:topLinePunct w:val="0"/>
        <w:autoSpaceDE/>
        <w:autoSpaceDN/>
        <w:bidi w:val="0"/>
        <w:adjustRightInd/>
        <w:snapToGrid/>
        <w:spacing w:line="460" w:lineRule="exact"/>
        <w:textAlignment w:val="auto"/>
      </w:pPr>
      <w:r>
        <w:fldChar w:fldCharType="begin"/>
      </w:r>
      <w:r>
        <w:instrText xml:space="preserve"> HYPERLINK \l _Toc25420 </w:instrText>
      </w:r>
      <w:r>
        <w:fldChar w:fldCharType="separate"/>
      </w:r>
      <w:r>
        <w:rPr>
          <w:rFonts w:hint="eastAsia" w:eastAsia="黑体"/>
        </w:rPr>
        <w:t>七</w:t>
      </w:r>
      <w:r>
        <w:rPr>
          <w:rFonts w:eastAsia="黑体"/>
        </w:rPr>
        <w:t>、估价依据</w:t>
      </w:r>
      <w:r>
        <w:tab/>
      </w:r>
      <w:r>
        <w:fldChar w:fldCharType="begin"/>
      </w:r>
      <w:r>
        <w:instrText xml:space="preserve"> PAGEREF _Toc25420 </w:instrText>
      </w:r>
      <w:r>
        <w:fldChar w:fldCharType="separate"/>
      </w:r>
      <w:r>
        <w:t>１０</w:t>
      </w:r>
      <w:r>
        <w:fldChar w:fldCharType="end"/>
      </w:r>
      <w:r>
        <w:fldChar w:fldCharType="end"/>
      </w:r>
    </w:p>
    <w:p>
      <w:pPr>
        <w:pStyle w:val="11"/>
        <w:keepNext w:val="0"/>
        <w:keepLines w:val="0"/>
        <w:pageBreakBefore w:val="0"/>
        <w:widowControl w:val="0"/>
        <w:tabs>
          <w:tab w:val="right" w:leader="dot" w:pos="8278"/>
        </w:tabs>
        <w:kinsoku/>
        <w:wordWrap/>
        <w:overflowPunct/>
        <w:topLinePunct w:val="0"/>
        <w:autoSpaceDE/>
        <w:autoSpaceDN/>
        <w:bidi w:val="0"/>
        <w:adjustRightInd/>
        <w:snapToGrid/>
        <w:spacing w:line="460" w:lineRule="exact"/>
        <w:textAlignment w:val="auto"/>
      </w:pPr>
      <w:r>
        <w:fldChar w:fldCharType="begin"/>
      </w:r>
      <w:r>
        <w:instrText xml:space="preserve"> HYPERLINK \l _Toc23188 </w:instrText>
      </w:r>
      <w:r>
        <w:fldChar w:fldCharType="separate"/>
      </w:r>
      <w:r>
        <w:rPr>
          <w:rFonts w:hint="eastAsia" w:eastAsia="黑体"/>
        </w:rPr>
        <w:t>八</w:t>
      </w:r>
      <w:r>
        <w:rPr>
          <w:rFonts w:eastAsia="黑体"/>
        </w:rPr>
        <w:t>、估价原则</w:t>
      </w:r>
      <w:r>
        <w:tab/>
      </w:r>
      <w:r>
        <w:fldChar w:fldCharType="begin"/>
      </w:r>
      <w:r>
        <w:instrText xml:space="preserve"> PAGEREF _Toc23188 </w:instrText>
      </w:r>
      <w:r>
        <w:fldChar w:fldCharType="separate"/>
      </w:r>
      <w:r>
        <w:t>１０</w:t>
      </w:r>
      <w:r>
        <w:fldChar w:fldCharType="end"/>
      </w:r>
      <w:r>
        <w:fldChar w:fldCharType="end"/>
      </w:r>
    </w:p>
    <w:p>
      <w:pPr>
        <w:pStyle w:val="11"/>
        <w:keepNext w:val="0"/>
        <w:keepLines w:val="0"/>
        <w:pageBreakBefore w:val="0"/>
        <w:widowControl w:val="0"/>
        <w:tabs>
          <w:tab w:val="right" w:leader="dot" w:pos="8278"/>
        </w:tabs>
        <w:kinsoku/>
        <w:wordWrap/>
        <w:overflowPunct/>
        <w:topLinePunct w:val="0"/>
        <w:autoSpaceDE/>
        <w:autoSpaceDN/>
        <w:bidi w:val="0"/>
        <w:adjustRightInd/>
        <w:snapToGrid/>
        <w:spacing w:line="460" w:lineRule="exact"/>
        <w:textAlignment w:val="auto"/>
      </w:pPr>
      <w:r>
        <w:fldChar w:fldCharType="begin"/>
      </w:r>
      <w:r>
        <w:instrText xml:space="preserve"> HYPERLINK \l _Toc10943 </w:instrText>
      </w:r>
      <w:r>
        <w:fldChar w:fldCharType="separate"/>
      </w:r>
      <w:r>
        <w:rPr>
          <w:rFonts w:eastAsia="黑体"/>
        </w:rPr>
        <w:t>九、</w:t>
      </w:r>
      <w:r>
        <w:rPr>
          <w:rFonts w:hint="eastAsia" w:eastAsia="黑体"/>
        </w:rPr>
        <w:t>估价方法实用性分析</w:t>
      </w:r>
      <w:r>
        <w:tab/>
      </w:r>
      <w:r>
        <w:fldChar w:fldCharType="begin"/>
      </w:r>
      <w:r>
        <w:instrText xml:space="preserve"> PAGEREF _Toc10943 </w:instrText>
      </w:r>
      <w:r>
        <w:fldChar w:fldCharType="separate"/>
      </w:r>
      <w:r>
        <w:t>１１</w:t>
      </w:r>
      <w:r>
        <w:fldChar w:fldCharType="end"/>
      </w:r>
      <w:r>
        <w:fldChar w:fldCharType="end"/>
      </w:r>
    </w:p>
    <w:p>
      <w:pPr>
        <w:pStyle w:val="11"/>
        <w:keepNext w:val="0"/>
        <w:keepLines w:val="0"/>
        <w:pageBreakBefore w:val="0"/>
        <w:widowControl w:val="0"/>
        <w:tabs>
          <w:tab w:val="right" w:leader="dot" w:pos="8278"/>
        </w:tabs>
        <w:kinsoku/>
        <w:wordWrap/>
        <w:overflowPunct/>
        <w:topLinePunct w:val="0"/>
        <w:autoSpaceDE/>
        <w:autoSpaceDN/>
        <w:bidi w:val="0"/>
        <w:adjustRightInd/>
        <w:snapToGrid/>
        <w:spacing w:line="460" w:lineRule="exact"/>
        <w:textAlignment w:val="auto"/>
      </w:pPr>
      <w:r>
        <w:fldChar w:fldCharType="begin"/>
      </w:r>
      <w:r>
        <w:instrText xml:space="preserve"> HYPERLINK \l _Toc24298 </w:instrText>
      </w:r>
      <w:r>
        <w:fldChar w:fldCharType="separate"/>
      </w:r>
      <w:r>
        <w:rPr>
          <w:rFonts w:eastAsia="黑体"/>
        </w:rPr>
        <w:t>十、估价结果</w:t>
      </w:r>
      <w:r>
        <w:tab/>
      </w:r>
      <w:r>
        <w:fldChar w:fldCharType="begin"/>
      </w:r>
      <w:r>
        <w:instrText xml:space="preserve"> PAGEREF _Toc24298 </w:instrText>
      </w:r>
      <w:r>
        <w:fldChar w:fldCharType="separate"/>
      </w:r>
      <w:r>
        <w:t>１３</w:t>
      </w:r>
      <w:r>
        <w:fldChar w:fldCharType="end"/>
      </w:r>
      <w:r>
        <w:fldChar w:fldCharType="end"/>
      </w:r>
    </w:p>
    <w:p>
      <w:pPr>
        <w:pStyle w:val="11"/>
        <w:keepNext w:val="0"/>
        <w:keepLines w:val="0"/>
        <w:pageBreakBefore w:val="0"/>
        <w:widowControl w:val="0"/>
        <w:tabs>
          <w:tab w:val="right" w:leader="dot" w:pos="8278"/>
        </w:tabs>
        <w:kinsoku/>
        <w:wordWrap/>
        <w:overflowPunct/>
        <w:topLinePunct w:val="0"/>
        <w:autoSpaceDE/>
        <w:autoSpaceDN/>
        <w:bidi w:val="0"/>
        <w:adjustRightInd/>
        <w:snapToGrid/>
        <w:spacing w:line="460" w:lineRule="exact"/>
        <w:textAlignment w:val="auto"/>
      </w:pPr>
      <w:r>
        <w:fldChar w:fldCharType="begin"/>
      </w:r>
      <w:r>
        <w:instrText xml:space="preserve"> HYPERLINK \l _Toc16473 </w:instrText>
      </w:r>
      <w:r>
        <w:fldChar w:fldCharType="separate"/>
      </w:r>
      <w:r>
        <w:rPr>
          <w:rFonts w:eastAsia="黑体"/>
        </w:rPr>
        <w:t>十</w:t>
      </w:r>
      <w:r>
        <w:rPr>
          <w:rFonts w:hint="eastAsia" w:eastAsia="黑体"/>
        </w:rPr>
        <w:t>一</w:t>
      </w:r>
      <w:r>
        <w:rPr>
          <w:rFonts w:eastAsia="黑体"/>
        </w:rPr>
        <w:t>、估价人员</w:t>
      </w:r>
      <w:r>
        <w:tab/>
      </w:r>
      <w:r>
        <w:fldChar w:fldCharType="begin"/>
      </w:r>
      <w:r>
        <w:instrText xml:space="preserve"> PAGEREF _Toc16473 </w:instrText>
      </w:r>
      <w:r>
        <w:fldChar w:fldCharType="separate"/>
      </w:r>
      <w:r>
        <w:t>１３</w:t>
      </w:r>
      <w:r>
        <w:fldChar w:fldCharType="end"/>
      </w:r>
      <w:r>
        <w:fldChar w:fldCharType="end"/>
      </w:r>
    </w:p>
    <w:p>
      <w:pPr>
        <w:pStyle w:val="11"/>
        <w:keepNext w:val="0"/>
        <w:keepLines w:val="0"/>
        <w:pageBreakBefore w:val="0"/>
        <w:widowControl w:val="0"/>
        <w:tabs>
          <w:tab w:val="right" w:leader="dot" w:pos="8278"/>
        </w:tabs>
        <w:kinsoku/>
        <w:wordWrap/>
        <w:overflowPunct/>
        <w:topLinePunct w:val="0"/>
        <w:autoSpaceDE/>
        <w:autoSpaceDN/>
        <w:bidi w:val="0"/>
        <w:adjustRightInd/>
        <w:snapToGrid/>
        <w:spacing w:line="460" w:lineRule="exact"/>
        <w:textAlignment w:val="auto"/>
      </w:pPr>
      <w:r>
        <w:fldChar w:fldCharType="begin"/>
      </w:r>
      <w:r>
        <w:instrText xml:space="preserve"> HYPERLINK \l _Toc7783 </w:instrText>
      </w:r>
      <w:r>
        <w:fldChar w:fldCharType="separate"/>
      </w:r>
      <w:r>
        <w:rPr>
          <w:rFonts w:eastAsia="黑体"/>
        </w:rPr>
        <w:t>十</w:t>
      </w:r>
      <w:r>
        <w:rPr>
          <w:rFonts w:hint="eastAsia" w:eastAsia="黑体"/>
        </w:rPr>
        <w:t>二</w:t>
      </w:r>
      <w:r>
        <w:rPr>
          <w:rFonts w:eastAsia="黑体"/>
        </w:rPr>
        <w:t>、</w:t>
      </w:r>
      <w:r>
        <w:rPr>
          <w:rFonts w:hint="eastAsia" w:eastAsia="黑体"/>
        </w:rPr>
        <w:t>实地查勘期</w:t>
      </w:r>
      <w:r>
        <w:tab/>
      </w:r>
      <w:r>
        <w:fldChar w:fldCharType="begin"/>
      </w:r>
      <w:r>
        <w:instrText xml:space="preserve"> PAGEREF _Toc7783 </w:instrText>
      </w:r>
      <w:r>
        <w:fldChar w:fldCharType="separate"/>
      </w:r>
      <w:r>
        <w:t>１３</w:t>
      </w:r>
      <w:r>
        <w:fldChar w:fldCharType="end"/>
      </w:r>
      <w:r>
        <w:fldChar w:fldCharType="end"/>
      </w:r>
    </w:p>
    <w:p>
      <w:pPr>
        <w:pStyle w:val="11"/>
        <w:keepNext w:val="0"/>
        <w:keepLines w:val="0"/>
        <w:pageBreakBefore w:val="0"/>
        <w:widowControl w:val="0"/>
        <w:tabs>
          <w:tab w:val="right" w:leader="dot" w:pos="8278"/>
        </w:tabs>
        <w:kinsoku/>
        <w:wordWrap/>
        <w:overflowPunct/>
        <w:topLinePunct w:val="0"/>
        <w:autoSpaceDE/>
        <w:autoSpaceDN/>
        <w:bidi w:val="0"/>
        <w:adjustRightInd/>
        <w:snapToGrid/>
        <w:spacing w:line="460" w:lineRule="exact"/>
        <w:textAlignment w:val="auto"/>
      </w:pPr>
      <w:r>
        <w:fldChar w:fldCharType="begin"/>
      </w:r>
      <w:r>
        <w:instrText xml:space="preserve"> HYPERLINK \l _Toc18585 </w:instrText>
      </w:r>
      <w:r>
        <w:fldChar w:fldCharType="separate"/>
      </w:r>
      <w:r>
        <w:rPr>
          <w:rFonts w:eastAsia="黑体"/>
        </w:rPr>
        <w:t>十</w:t>
      </w:r>
      <w:r>
        <w:rPr>
          <w:rFonts w:hint="eastAsia" w:eastAsia="黑体"/>
        </w:rPr>
        <w:t>三</w:t>
      </w:r>
      <w:r>
        <w:rPr>
          <w:rFonts w:eastAsia="黑体"/>
        </w:rPr>
        <w:t>、估价作业期</w:t>
      </w:r>
      <w:r>
        <w:tab/>
      </w:r>
      <w:r>
        <w:fldChar w:fldCharType="begin"/>
      </w:r>
      <w:r>
        <w:instrText xml:space="preserve"> PAGEREF _Toc18585 </w:instrText>
      </w:r>
      <w:r>
        <w:fldChar w:fldCharType="separate"/>
      </w:r>
      <w:r>
        <w:t>１３</w:t>
      </w:r>
      <w:r>
        <w:fldChar w:fldCharType="end"/>
      </w:r>
      <w:r>
        <w:fldChar w:fldCharType="end"/>
      </w:r>
    </w:p>
    <w:p>
      <w:pPr>
        <w:pStyle w:val="11"/>
        <w:keepNext w:val="0"/>
        <w:keepLines w:val="0"/>
        <w:pageBreakBefore w:val="0"/>
        <w:widowControl w:val="0"/>
        <w:tabs>
          <w:tab w:val="right" w:leader="dot" w:pos="8278"/>
        </w:tabs>
        <w:kinsoku/>
        <w:wordWrap/>
        <w:overflowPunct/>
        <w:topLinePunct w:val="0"/>
        <w:autoSpaceDE/>
        <w:autoSpaceDN/>
        <w:bidi w:val="0"/>
        <w:adjustRightInd/>
        <w:snapToGrid/>
        <w:spacing w:line="460" w:lineRule="exact"/>
        <w:textAlignment w:val="auto"/>
      </w:pPr>
      <w:r>
        <w:fldChar w:fldCharType="begin"/>
      </w:r>
      <w:r>
        <w:instrText xml:space="preserve"> HYPERLINK \l _Toc23202 </w:instrText>
      </w:r>
      <w:r>
        <w:fldChar w:fldCharType="separate"/>
      </w:r>
      <w:r>
        <w:rPr>
          <w:rFonts w:eastAsia="黑体"/>
        </w:rPr>
        <w:t>十</w:t>
      </w:r>
      <w:r>
        <w:rPr>
          <w:rFonts w:hint="eastAsia" w:eastAsia="黑体"/>
        </w:rPr>
        <w:t>四</w:t>
      </w:r>
      <w:r>
        <w:rPr>
          <w:rFonts w:eastAsia="黑体"/>
        </w:rPr>
        <w:t>、估价报告使用期限</w:t>
      </w:r>
      <w:r>
        <w:tab/>
      </w:r>
      <w:r>
        <w:fldChar w:fldCharType="begin"/>
      </w:r>
      <w:r>
        <w:instrText xml:space="preserve"> PAGEREF _Toc23202 </w:instrText>
      </w:r>
      <w:r>
        <w:fldChar w:fldCharType="separate"/>
      </w:r>
      <w:r>
        <w:t>１３</w:t>
      </w:r>
      <w:r>
        <w:fldChar w:fldCharType="end"/>
      </w:r>
      <w:r>
        <w:fldChar w:fldCharType="end"/>
      </w:r>
    </w:p>
    <w:p>
      <w:pPr>
        <w:pStyle w:val="11"/>
        <w:keepNext w:val="0"/>
        <w:keepLines w:val="0"/>
        <w:pageBreakBefore w:val="0"/>
        <w:widowControl w:val="0"/>
        <w:tabs>
          <w:tab w:val="right" w:leader="dot" w:pos="8278"/>
        </w:tabs>
        <w:kinsoku/>
        <w:wordWrap/>
        <w:overflowPunct/>
        <w:topLinePunct w:val="0"/>
        <w:autoSpaceDE/>
        <w:autoSpaceDN/>
        <w:bidi w:val="0"/>
        <w:adjustRightInd/>
        <w:snapToGrid/>
        <w:spacing w:line="460" w:lineRule="exact"/>
        <w:textAlignment w:val="auto"/>
      </w:pPr>
      <w:r>
        <w:fldChar w:fldCharType="begin"/>
      </w:r>
      <w:r>
        <w:instrText xml:space="preserve"> HYPERLINK \l _Toc6559 </w:instrText>
      </w:r>
      <w:r>
        <w:fldChar w:fldCharType="separate"/>
      </w:r>
      <w:r>
        <w:rPr>
          <w:rFonts w:hint="eastAsia" w:eastAsia="黑体"/>
        </w:rPr>
        <w:t>十五、</w:t>
      </w:r>
      <w:r>
        <w:rPr>
          <w:rFonts w:eastAsia="黑体"/>
        </w:rPr>
        <w:t>审 核</w:t>
      </w:r>
      <w:r>
        <w:tab/>
      </w:r>
      <w:r>
        <w:fldChar w:fldCharType="begin"/>
      </w:r>
      <w:r>
        <w:instrText xml:space="preserve"> PAGEREF _Toc6559 </w:instrText>
      </w:r>
      <w:r>
        <w:fldChar w:fldCharType="separate"/>
      </w:r>
      <w:r>
        <w:t>１３</w:t>
      </w:r>
      <w:r>
        <w:fldChar w:fldCharType="end"/>
      </w:r>
      <w:r>
        <w:fldChar w:fldCharType="end"/>
      </w:r>
    </w:p>
    <w:p>
      <w:pPr>
        <w:pStyle w:val="9"/>
        <w:keepNext w:val="0"/>
        <w:keepLines w:val="0"/>
        <w:pageBreakBefore w:val="0"/>
        <w:widowControl w:val="0"/>
        <w:tabs>
          <w:tab w:val="right" w:leader="dot" w:pos="8278"/>
        </w:tabs>
        <w:kinsoku/>
        <w:wordWrap/>
        <w:overflowPunct/>
        <w:topLinePunct w:val="0"/>
        <w:autoSpaceDE/>
        <w:autoSpaceDN/>
        <w:bidi w:val="0"/>
        <w:adjustRightInd/>
        <w:snapToGrid/>
        <w:spacing w:line="460" w:lineRule="exact"/>
        <w:textAlignment w:val="auto"/>
      </w:pPr>
      <w:r>
        <w:fldChar w:fldCharType="begin"/>
      </w:r>
      <w:r>
        <w:instrText xml:space="preserve"> HYPERLINK \l _Toc13401 </w:instrText>
      </w:r>
      <w:r>
        <w:fldChar w:fldCharType="separate"/>
      </w:r>
      <w:r>
        <w:rPr>
          <w:rFonts w:hint="eastAsia" w:eastAsia="黑体"/>
        </w:rPr>
        <w:t>第</w:t>
      </w:r>
      <w:r>
        <w:rPr>
          <w:rFonts w:hint="eastAsia" w:eastAsia="黑体"/>
          <w:lang w:eastAsia="zh-CN"/>
        </w:rPr>
        <w:t>五</w:t>
      </w:r>
      <w:r>
        <w:rPr>
          <w:rFonts w:hint="eastAsia" w:eastAsia="黑体"/>
        </w:rPr>
        <w:t xml:space="preserve">部分   </w:t>
      </w:r>
      <w:r>
        <w:rPr>
          <w:rFonts w:eastAsia="黑体"/>
        </w:rPr>
        <w:t>附  件</w:t>
      </w:r>
      <w:r>
        <w:tab/>
      </w:r>
      <w:r>
        <w:fldChar w:fldCharType="begin"/>
      </w:r>
      <w:r>
        <w:instrText xml:space="preserve"> PAGEREF _Toc13401 </w:instrText>
      </w:r>
      <w:r>
        <w:fldChar w:fldCharType="separate"/>
      </w:r>
      <w:r>
        <w:t>１４</w:t>
      </w:r>
      <w:r>
        <w:fldChar w:fldCharType="end"/>
      </w:r>
      <w:r>
        <w:fldChar w:fldCharType="end"/>
      </w:r>
    </w:p>
    <w:p>
      <w:pPr>
        <w:keepNext w:val="0"/>
        <w:keepLines w:val="0"/>
        <w:pageBreakBefore w:val="0"/>
        <w:widowControl w:val="0"/>
        <w:kinsoku/>
        <w:wordWrap/>
        <w:overflowPunct/>
        <w:topLinePunct w:val="0"/>
        <w:autoSpaceDE/>
        <w:autoSpaceDN/>
        <w:bidi w:val="0"/>
        <w:adjustRightInd/>
        <w:snapToGrid/>
        <w:spacing w:line="460" w:lineRule="exact"/>
        <w:textAlignment w:val="auto"/>
        <w:sectPr>
          <w:headerReference r:id="rId4" w:type="first"/>
          <w:footerReference r:id="rId7" w:type="first"/>
          <w:headerReference r:id="rId3" w:type="default"/>
          <w:footerReference r:id="rId5" w:type="default"/>
          <w:footerReference r:id="rId6" w:type="even"/>
          <w:pgSz w:w="11907" w:h="16840"/>
          <w:pgMar w:top="1418" w:right="1469" w:bottom="1418" w:left="2160" w:header="1134" w:footer="1134" w:gutter="0"/>
          <w:pgNumType w:fmt="decimalFullWidth" w:start="1"/>
          <w:cols w:space="720" w:num="1"/>
          <w:docGrid w:linePitch="447" w:charSpace="17094"/>
        </w:sectPr>
      </w:pPr>
      <w:r>
        <w:fldChar w:fldCharType="end"/>
      </w:r>
    </w:p>
    <w:p>
      <w:pPr>
        <w:spacing w:line="500" w:lineRule="exact"/>
      </w:pPr>
      <w:r>
        <w:drawing>
          <wp:anchor distT="0" distB="0" distL="114300" distR="114300" simplePos="0" relativeHeight="251659264" behindDoc="0" locked="0" layoutInCell="1" allowOverlap="1">
            <wp:simplePos x="0" y="0"/>
            <wp:positionH relativeFrom="column">
              <wp:posOffset>4079240</wp:posOffset>
            </wp:positionH>
            <wp:positionV relativeFrom="paragraph">
              <wp:posOffset>-9525</wp:posOffset>
            </wp:positionV>
            <wp:extent cx="1188085" cy="1188085"/>
            <wp:effectExtent l="0" t="0" r="12065" b="12065"/>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1"/>
                    <a:stretch>
                      <a:fillRect/>
                    </a:stretch>
                  </pic:blipFill>
                  <pic:spPr>
                    <a:xfrm>
                      <a:off x="0" y="0"/>
                      <a:ext cx="1188085" cy="1188085"/>
                    </a:xfrm>
                    <a:prstGeom prst="rect">
                      <a:avLst/>
                    </a:prstGeom>
                    <a:noFill/>
                    <a:ln w="9525">
                      <a:noFill/>
                    </a:ln>
                  </pic:spPr>
                </pic:pic>
              </a:graphicData>
            </a:graphic>
          </wp:anchor>
        </w:drawing>
      </w:r>
    </w:p>
    <w:p>
      <w:pPr>
        <w:pStyle w:val="3"/>
        <w:ind w:firstLine="4464" w:firstLineChars="1395"/>
        <w:rPr>
          <w:rFonts w:hint="eastAsia" w:ascii="宋体" w:hAnsi="宋体" w:eastAsia="宋体"/>
          <w:bCs/>
          <w:sz w:val="32"/>
          <w:szCs w:val="36"/>
        </w:rPr>
      </w:pPr>
    </w:p>
    <w:p>
      <w:pPr>
        <w:pStyle w:val="3"/>
        <w:ind w:firstLine="4464" w:firstLineChars="1395"/>
        <w:rPr>
          <w:rFonts w:hint="eastAsia" w:ascii="宋体" w:hAnsi="宋体" w:eastAsia="宋体"/>
          <w:bCs/>
          <w:sz w:val="32"/>
          <w:szCs w:val="36"/>
        </w:rPr>
      </w:pPr>
    </w:p>
    <w:p>
      <w:pPr>
        <w:pStyle w:val="3"/>
        <w:ind w:firstLine="4464" w:firstLineChars="1395"/>
        <w:rPr>
          <w:rFonts w:hint="eastAsia" w:ascii="宋体" w:hAnsi="宋体" w:eastAsia="宋体"/>
          <w:bCs/>
          <w:sz w:val="32"/>
          <w:szCs w:val="36"/>
        </w:rPr>
      </w:pPr>
    </w:p>
    <w:p>
      <w:pPr>
        <w:pStyle w:val="3"/>
        <w:ind w:firstLine="4464" w:firstLineChars="1395"/>
        <w:rPr>
          <w:rFonts w:hint="eastAsia" w:ascii="宋体" w:hAnsi="宋体" w:eastAsia="宋体"/>
          <w:bCs/>
          <w:sz w:val="32"/>
          <w:szCs w:val="36"/>
        </w:rPr>
      </w:pPr>
    </w:p>
    <w:p>
      <w:pPr>
        <w:pStyle w:val="3"/>
        <w:ind w:firstLine="0"/>
        <w:rPr>
          <w:rFonts w:hint="eastAsia" w:ascii="宋体" w:hAnsi="宋体" w:eastAsia="宋体"/>
          <w:bCs/>
          <w:sz w:val="32"/>
          <w:szCs w:val="36"/>
        </w:rPr>
      </w:pPr>
    </w:p>
    <w:p>
      <w:pPr>
        <w:pStyle w:val="3"/>
        <w:ind w:firstLine="4464" w:firstLineChars="1395"/>
        <w:rPr>
          <w:rFonts w:hint="eastAsia" w:ascii="宋体" w:hAnsi="宋体" w:eastAsia="宋体"/>
          <w:bCs/>
          <w:sz w:val="32"/>
          <w:szCs w:val="36"/>
        </w:rPr>
      </w:pPr>
    </w:p>
    <w:p>
      <w:pPr>
        <w:pStyle w:val="3"/>
        <w:ind w:firstLine="4464" w:firstLineChars="1395"/>
        <w:jc w:val="right"/>
        <w:rPr>
          <w:rFonts w:hAnsi="宋体" w:eastAsia="宋体"/>
          <w:bCs/>
          <w:sz w:val="32"/>
          <w:szCs w:val="36"/>
        </w:rPr>
      </w:pPr>
    </w:p>
    <w:p>
      <w:pPr>
        <w:pStyle w:val="3"/>
        <w:ind w:firstLine="4464" w:firstLineChars="1395"/>
        <w:jc w:val="right"/>
        <w:rPr>
          <w:rFonts w:eastAsia="黑体"/>
          <w:b/>
          <w:sz w:val="36"/>
          <w:szCs w:val="36"/>
        </w:rPr>
      </w:pPr>
      <w:r>
        <w:rPr>
          <w:rFonts w:hAnsi="宋体" w:eastAsia="宋体"/>
          <w:bCs/>
          <w:sz w:val="32"/>
          <w:szCs w:val="36"/>
        </w:rPr>
        <w:t>绵公评</w:t>
      </w:r>
      <w:r>
        <w:rPr>
          <w:rFonts w:eastAsia="宋体"/>
          <w:bCs/>
          <w:sz w:val="32"/>
          <w:szCs w:val="36"/>
        </w:rPr>
        <w:t>[201</w:t>
      </w:r>
      <w:r>
        <w:rPr>
          <w:rFonts w:hint="eastAsia" w:eastAsia="宋体"/>
          <w:bCs/>
          <w:sz w:val="32"/>
          <w:szCs w:val="36"/>
        </w:rPr>
        <w:t>9</w:t>
      </w:r>
      <w:r>
        <w:rPr>
          <w:rFonts w:eastAsia="宋体"/>
          <w:bCs/>
          <w:sz w:val="32"/>
          <w:szCs w:val="36"/>
        </w:rPr>
        <w:t>]</w:t>
      </w:r>
      <w:r>
        <w:rPr>
          <w:rFonts w:hAnsi="宋体" w:eastAsia="宋体"/>
          <w:bCs/>
          <w:sz w:val="32"/>
          <w:szCs w:val="36"/>
        </w:rPr>
        <w:t>字第</w:t>
      </w:r>
      <w:r>
        <w:rPr>
          <w:rFonts w:hint="eastAsia" w:hAnsi="宋体" w:eastAsia="宋体"/>
          <w:bCs/>
          <w:sz w:val="32"/>
          <w:szCs w:val="36"/>
        </w:rPr>
        <w:t>011</w:t>
      </w:r>
      <w:r>
        <w:rPr>
          <w:rFonts w:hint="eastAsia" w:eastAsia="宋体"/>
          <w:bCs/>
          <w:sz w:val="32"/>
          <w:szCs w:val="36"/>
        </w:rPr>
        <w:t>号</w:t>
      </w:r>
    </w:p>
    <w:p>
      <w:pPr>
        <w:pStyle w:val="3"/>
        <w:ind w:firstLine="0"/>
        <w:jc w:val="center"/>
        <w:rPr>
          <w:rFonts w:hint="eastAsia" w:eastAsia="黑体"/>
          <w:b/>
          <w:sz w:val="36"/>
          <w:szCs w:val="36"/>
        </w:rPr>
      </w:pPr>
    </w:p>
    <w:p>
      <w:pPr>
        <w:pStyle w:val="3"/>
        <w:ind w:firstLine="0"/>
        <w:jc w:val="center"/>
        <w:rPr>
          <w:rFonts w:hint="eastAsia" w:eastAsia="黑体"/>
          <w:b/>
          <w:sz w:val="36"/>
          <w:szCs w:val="36"/>
        </w:rPr>
      </w:pPr>
      <w:bookmarkStart w:id="87" w:name="_GoBack"/>
      <w:bookmarkEnd w:id="87"/>
    </w:p>
    <w:p>
      <w:pPr>
        <w:pStyle w:val="3"/>
        <w:ind w:firstLine="0"/>
        <w:jc w:val="center"/>
        <w:rPr>
          <w:rFonts w:hint="eastAsia" w:eastAsia="黑体"/>
          <w:b/>
          <w:sz w:val="36"/>
          <w:szCs w:val="36"/>
        </w:rPr>
      </w:pPr>
      <w:r>
        <w:rPr>
          <w:rFonts w:hint="eastAsia" w:eastAsia="黑体"/>
          <w:b/>
          <w:sz w:val="36"/>
          <w:szCs w:val="36"/>
        </w:rPr>
        <w:t>绵阳市涪城区人民法院</w:t>
      </w:r>
    </w:p>
    <w:p>
      <w:pPr>
        <w:pStyle w:val="3"/>
        <w:ind w:firstLine="0"/>
        <w:jc w:val="center"/>
        <w:rPr>
          <w:rFonts w:eastAsia="黑体"/>
          <w:b/>
          <w:sz w:val="36"/>
        </w:rPr>
      </w:pPr>
      <w:r>
        <w:rPr>
          <w:rFonts w:hint="eastAsia" w:eastAsia="黑体"/>
          <w:b/>
          <w:sz w:val="36"/>
          <w:szCs w:val="36"/>
        </w:rPr>
        <w:t>委托估价的房地产</w:t>
      </w:r>
      <w:r>
        <w:rPr>
          <w:rFonts w:eastAsia="黑体"/>
          <w:b/>
          <w:sz w:val="36"/>
        </w:rPr>
        <w:t>价值评估</w:t>
      </w:r>
      <w:r>
        <w:rPr>
          <w:rFonts w:hint="eastAsia" w:eastAsia="黑体"/>
          <w:b/>
          <w:sz w:val="36"/>
        </w:rPr>
        <w:t>报告</w:t>
      </w:r>
      <w:bookmarkStart w:id="0" w:name="_Toc418519333"/>
    </w:p>
    <w:p>
      <w:pPr>
        <w:pStyle w:val="3"/>
        <w:ind w:firstLine="1984" w:firstLineChars="549"/>
        <w:outlineLvl w:val="0"/>
        <w:rPr>
          <w:rFonts w:eastAsia="宋体"/>
          <w:b/>
        </w:rPr>
      </w:pPr>
      <w:bookmarkStart w:id="1" w:name="_Toc18541"/>
      <w:r>
        <w:rPr>
          <w:rFonts w:eastAsia="黑体"/>
          <w:b/>
          <w:sz w:val="36"/>
        </w:rPr>
        <w:t>第一部分  致</w:t>
      </w:r>
      <w:r>
        <w:rPr>
          <w:rFonts w:hint="eastAsia" w:eastAsia="黑体"/>
          <w:b/>
          <w:sz w:val="36"/>
        </w:rPr>
        <w:t>估价</w:t>
      </w:r>
      <w:r>
        <w:rPr>
          <w:rFonts w:eastAsia="黑体"/>
          <w:b/>
          <w:sz w:val="36"/>
        </w:rPr>
        <w:t>委托</w:t>
      </w:r>
      <w:r>
        <w:rPr>
          <w:rFonts w:hint="eastAsia" w:eastAsia="黑体"/>
          <w:b/>
          <w:sz w:val="36"/>
        </w:rPr>
        <w:t>人</w:t>
      </w:r>
      <w:r>
        <w:rPr>
          <w:rFonts w:eastAsia="黑体"/>
          <w:b/>
          <w:sz w:val="36"/>
        </w:rPr>
        <w:t>函</w:t>
      </w:r>
      <w:bookmarkEnd w:id="0"/>
      <w:bookmarkEnd w:id="1"/>
    </w:p>
    <w:p>
      <w:pPr>
        <w:pStyle w:val="3"/>
        <w:ind w:firstLine="0"/>
        <w:rPr>
          <w:rFonts w:eastAsia="宋体"/>
          <w:b/>
        </w:rPr>
      </w:pPr>
    </w:p>
    <w:p>
      <w:pPr>
        <w:pStyle w:val="3"/>
        <w:ind w:firstLine="0"/>
        <w:rPr>
          <w:rFonts w:hint="eastAsia" w:eastAsia="黑体"/>
          <w:b/>
          <w:sz w:val="36"/>
          <w:szCs w:val="36"/>
        </w:rPr>
      </w:pPr>
      <w:r>
        <w:rPr>
          <w:rFonts w:eastAsia="宋体"/>
          <w:b/>
        </w:rPr>
        <w:t>致</w:t>
      </w:r>
      <w:r>
        <w:rPr>
          <w:rFonts w:hint="eastAsia" w:ascii="宋体" w:hAnsi="宋体" w:eastAsia="宋体"/>
          <w:b/>
          <w:szCs w:val="28"/>
        </w:rPr>
        <w:t>绵阳市涪城区人民法院</w:t>
      </w:r>
      <w:r>
        <w:rPr>
          <w:rFonts w:eastAsia="宋体"/>
        </w:rPr>
        <w:t>：</w:t>
      </w:r>
    </w:p>
    <w:p>
      <w:pPr>
        <w:spacing w:line="500" w:lineRule="exact"/>
        <w:ind w:firstLine="555"/>
        <w:rPr>
          <w:rFonts w:hint="eastAsia"/>
          <w:sz w:val="28"/>
          <w:szCs w:val="20"/>
        </w:rPr>
      </w:pPr>
      <w:r>
        <w:rPr>
          <w:sz w:val="28"/>
          <w:szCs w:val="20"/>
        </w:rPr>
        <w:t>我公司接受</w:t>
      </w:r>
      <w:r>
        <w:rPr>
          <w:rFonts w:hint="eastAsia"/>
          <w:sz w:val="28"/>
          <w:szCs w:val="20"/>
        </w:rPr>
        <w:t>贵院</w:t>
      </w:r>
      <w:r>
        <w:rPr>
          <w:sz w:val="28"/>
          <w:szCs w:val="20"/>
        </w:rPr>
        <w:t>委</w:t>
      </w:r>
      <w:r>
        <w:rPr>
          <w:color w:val="000000"/>
          <w:sz w:val="28"/>
          <w:szCs w:val="20"/>
        </w:rPr>
        <w:t>托，对位于</w:t>
      </w:r>
      <w:r>
        <w:rPr>
          <w:rFonts w:hint="eastAsia"/>
          <w:color w:val="000000"/>
          <w:sz w:val="28"/>
          <w:szCs w:val="20"/>
        </w:rPr>
        <w:t>绵阳市游仙区东津路37号电力小区8栋1单元4楼1号的住宅房地产，</w:t>
      </w:r>
      <w:r>
        <w:rPr>
          <w:color w:val="000000"/>
          <w:sz w:val="28"/>
          <w:szCs w:val="20"/>
        </w:rPr>
        <w:t>按规范的</w:t>
      </w:r>
      <w:r>
        <w:rPr>
          <w:rFonts w:hint="eastAsia"/>
          <w:color w:val="000000"/>
          <w:sz w:val="28"/>
          <w:szCs w:val="20"/>
        </w:rPr>
        <w:t>估价</w:t>
      </w:r>
      <w:r>
        <w:rPr>
          <w:color w:val="000000"/>
          <w:sz w:val="28"/>
          <w:szCs w:val="20"/>
        </w:rPr>
        <w:t>程序，采用适当的</w:t>
      </w:r>
      <w:r>
        <w:rPr>
          <w:rFonts w:hint="eastAsia"/>
          <w:color w:val="000000"/>
          <w:sz w:val="28"/>
          <w:szCs w:val="20"/>
        </w:rPr>
        <w:t>估价</w:t>
      </w:r>
      <w:r>
        <w:rPr>
          <w:color w:val="000000"/>
          <w:sz w:val="28"/>
          <w:szCs w:val="20"/>
        </w:rPr>
        <w:t>方法，遵循公允的</w:t>
      </w:r>
      <w:r>
        <w:rPr>
          <w:rFonts w:hint="eastAsia"/>
          <w:color w:val="000000"/>
          <w:sz w:val="28"/>
          <w:szCs w:val="20"/>
        </w:rPr>
        <w:t>估价</w:t>
      </w:r>
      <w:r>
        <w:rPr>
          <w:color w:val="000000"/>
          <w:sz w:val="28"/>
          <w:szCs w:val="20"/>
        </w:rPr>
        <w:t>原则进行</w:t>
      </w:r>
      <w:r>
        <w:rPr>
          <w:sz w:val="28"/>
          <w:szCs w:val="20"/>
        </w:rPr>
        <w:t>了估价，现将结果报告如下：</w:t>
      </w:r>
    </w:p>
    <w:p>
      <w:pPr>
        <w:spacing w:line="500" w:lineRule="exact"/>
        <w:ind w:firstLine="643" w:firstLineChars="200"/>
        <w:outlineLvl w:val="1"/>
        <w:rPr>
          <w:sz w:val="32"/>
        </w:rPr>
      </w:pPr>
      <w:bookmarkStart w:id="2" w:name="_Toc418519334"/>
      <w:bookmarkStart w:id="3" w:name="_Toc30585"/>
      <w:r>
        <w:rPr>
          <w:rFonts w:hint="eastAsia" w:eastAsia="黑体"/>
          <w:b/>
          <w:sz w:val="32"/>
        </w:rPr>
        <w:t>一、</w:t>
      </w:r>
      <w:r>
        <w:rPr>
          <w:rFonts w:eastAsia="黑体"/>
          <w:b/>
          <w:sz w:val="32"/>
        </w:rPr>
        <w:t>估价对象及范围</w:t>
      </w:r>
      <w:bookmarkEnd w:id="2"/>
      <w:bookmarkEnd w:id="3"/>
    </w:p>
    <w:p>
      <w:pPr>
        <w:spacing w:line="500" w:lineRule="exact"/>
        <w:ind w:firstLine="570"/>
        <w:rPr>
          <w:rFonts w:hint="eastAsia"/>
          <w:sz w:val="28"/>
          <w:szCs w:val="20"/>
        </w:rPr>
      </w:pPr>
      <w:r>
        <w:rPr>
          <w:sz w:val="28"/>
          <w:szCs w:val="20"/>
        </w:rPr>
        <w:t>位于</w:t>
      </w:r>
      <w:r>
        <w:rPr>
          <w:rFonts w:hint="eastAsia"/>
          <w:sz w:val="28"/>
          <w:szCs w:val="20"/>
        </w:rPr>
        <w:t>绵阳市游仙区东津路37号电力小区8栋1单元4楼1号的住宅房地产</w:t>
      </w:r>
      <w:r>
        <w:rPr>
          <w:sz w:val="28"/>
          <w:szCs w:val="20"/>
        </w:rPr>
        <w:t>：</w:t>
      </w:r>
      <w:r>
        <w:rPr>
          <w:rFonts w:hint="eastAsia"/>
          <w:sz w:val="28"/>
          <w:szCs w:val="20"/>
        </w:rPr>
        <w:t>建筑面积为121.21</w:t>
      </w:r>
      <w:r>
        <w:rPr>
          <w:sz w:val="28"/>
          <w:szCs w:val="20"/>
        </w:rPr>
        <w:t>平方米</w:t>
      </w:r>
      <w:r>
        <w:rPr>
          <w:rFonts w:hint="eastAsia"/>
          <w:sz w:val="28"/>
          <w:szCs w:val="20"/>
        </w:rPr>
        <w:t>及相应分摊的国有出让土地使用权</w:t>
      </w:r>
      <w:r>
        <w:rPr>
          <w:sz w:val="28"/>
          <w:szCs w:val="20"/>
        </w:rPr>
        <w:t>。</w:t>
      </w:r>
    </w:p>
    <w:p>
      <w:pPr>
        <w:spacing w:line="500" w:lineRule="exact"/>
        <w:outlineLvl w:val="1"/>
        <w:rPr>
          <w:rFonts w:eastAsia="黑体"/>
          <w:b/>
          <w:sz w:val="32"/>
        </w:rPr>
      </w:pPr>
      <w:r>
        <w:rPr>
          <w:rFonts w:eastAsia="黑体"/>
          <w:b/>
          <w:sz w:val="30"/>
        </w:rPr>
        <w:t xml:space="preserve">   </w:t>
      </w:r>
      <w:r>
        <w:rPr>
          <w:rFonts w:eastAsia="黑体"/>
          <w:b/>
          <w:sz w:val="32"/>
        </w:rPr>
        <w:t xml:space="preserve"> </w:t>
      </w:r>
      <w:bookmarkStart w:id="4" w:name="_Toc418519335"/>
      <w:bookmarkStart w:id="5" w:name="_Toc4555"/>
      <w:r>
        <w:rPr>
          <w:rFonts w:eastAsia="黑体"/>
          <w:b/>
          <w:sz w:val="32"/>
        </w:rPr>
        <w:t>二、估价目的</w:t>
      </w:r>
      <w:bookmarkEnd w:id="4"/>
      <w:bookmarkEnd w:id="5"/>
    </w:p>
    <w:p>
      <w:pPr>
        <w:spacing w:line="500" w:lineRule="exact"/>
        <w:ind w:firstLine="536" w:firstLineChars="200"/>
        <w:rPr>
          <w:rFonts w:hint="eastAsia"/>
          <w:spacing w:val="-6"/>
          <w:sz w:val="28"/>
          <w:szCs w:val="20"/>
        </w:rPr>
      </w:pPr>
      <w:r>
        <w:rPr>
          <w:spacing w:val="-6"/>
          <w:sz w:val="28"/>
          <w:szCs w:val="20"/>
        </w:rPr>
        <w:t>为司法拍卖（变卖）提供房地产市场价值参考依据。</w:t>
      </w:r>
    </w:p>
    <w:p>
      <w:pPr>
        <w:spacing w:line="500" w:lineRule="exact"/>
        <w:outlineLvl w:val="1"/>
        <w:rPr>
          <w:rFonts w:eastAsia="黑体"/>
          <w:b/>
          <w:sz w:val="32"/>
        </w:rPr>
      </w:pPr>
      <w:r>
        <w:rPr>
          <w:rFonts w:eastAsia="黑体"/>
          <w:b/>
        </w:rPr>
        <w:t xml:space="preserve">  </w:t>
      </w:r>
      <w:r>
        <w:rPr>
          <w:rFonts w:hint="eastAsia" w:eastAsia="黑体"/>
          <w:b/>
        </w:rPr>
        <w:t xml:space="preserve"> </w:t>
      </w:r>
      <w:r>
        <w:rPr>
          <w:rFonts w:eastAsia="黑体"/>
          <w:b/>
        </w:rPr>
        <w:t xml:space="preserve"> </w:t>
      </w:r>
      <w:r>
        <w:rPr>
          <w:rFonts w:eastAsia="黑体"/>
          <w:b/>
          <w:sz w:val="32"/>
        </w:rPr>
        <w:t xml:space="preserve"> </w:t>
      </w:r>
      <w:bookmarkStart w:id="6" w:name="_Toc18662"/>
      <w:bookmarkStart w:id="7" w:name="_Toc418519336"/>
      <w:r>
        <w:rPr>
          <w:rFonts w:eastAsia="黑体"/>
          <w:b/>
          <w:sz w:val="32"/>
        </w:rPr>
        <w:t>三、估价方法</w:t>
      </w:r>
      <w:bookmarkEnd w:id="6"/>
      <w:bookmarkEnd w:id="7"/>
    </w:p>
    <w:p>
      <w:pPr>
        <w:spacing w:line="500" w:lineRule="exact"/>
        <w:ind w:firstLine="555"/>
        <w:rPr>
          <w:sz w:val="28"/>
          <w:szCs w:val="20"/>
        </w:rPr>
      </w:pPr>
      <w:r>
        <w:rPr>
          <w:rFonts w:hint="eastAsia"/>
          <w:sz w:val="28"/>
          <w:szCs w:val="28"/>
        </w:rPr>
        <w:t>采用比较法对估价对象进行估价。</w:t>
      </w:r>
    </w:p>
    <w:p>
      <w:pPr>
        <w:spacing w:line="500" w:lineRule="exact"/>
        <w:ind w:firstLine="630" w:firstLineChars="196"/>
        <w:outlineLvl w:val="1"/>
        <w:rPr>
          <w:sz w:val="32"/>
        </w:rPr>
      </w:pPr>
      <w:bookmarkStart w:id="8" w:name="_Toc23565"/>
      <w:r>
        <w:rPr>
          <w:rFonts w:eastAsia="黑体"/>
          <w:b/>
          <w:sz w:val="32"/>
        </w:rPr>
        <w:t>四、</w:t>
      </w:r>
      <w:r>
        <w:rPr>
          <w:rFonts w:hint="eastAsia" w:eastAsia="黑体"/>
          <w:b/>
          <w:sz w:val="32"/>
        </w:rPr>
        <w:t>价值时点</w:t>
      </w:r>
      <w:bookmarkEnd w:id="8"/>
    </w:p>
    <w:p>
      <w:pPr>
        <w:pStyle w:val="5"/>
        <w:spacing w:line="500" w:lineRule="exact"/>
        <w:ind w:firstLine="560" w:firstLineChars="200"/>
        <w:rPr>
          <w:rFonts w:hint="eastAsia"/>
        </w:rPr>
      </w:pPr>
      <w:r>
        <w:rPr>
          <w:rFonts w:hint="eastAsia"/>
        </w:rPr>
        <w:t>二零一八年十二月二十七日（应估价委托人要求</w:t>
      </w:r>
      <w:r>
        <w:rPr>
          <w:szCs w:val="28"/>
        </w:rPr>
        <w:t>与估价人员现场查看时点一致</w:t>
      </w:r>
      <w:r>
        <w:rPr>
          <w:rFonts w:hint="eastAsia"/>
          <w:szCs w:val="28"/>
        </w:rPr>
        <w:t>）。</w:t>
      </w:r>
    </w:p>
    <w:p>
      <w:pPr>
        <w:spacing w:line="500" w:lineRule="exact"/>
        <w:ind w:firstLine="643" w:firstLineChars="200"/>
        <w:outlineLvl w:val="1"/>
        <w:rPr>
          <w:rFonts w:hint="eastAsia" w:eastAsia="黑体"/>
          <w:b/>
          <w:sz w:val="32"/>
        </w:rPr>
      </w:pPr>
      <w:bookmarkStart w:id="9" w:name="_Toc386549628"/>
      <w:bookmarkStart w:id="10" w:name="_Toc418519337"/>
      <w:bookmarkStart w:id="11" w:name="_Toc22819"/>
      <w:r>
        <w:rPr>
          <w:rFonts w:eastAsia="黑体"/>
          <w:b/>
          <w:sz w:val="32"/>
        </w:rPr>
        <w:t>五、</w:t>
      </w:r>
      <w:r>
        <w:rPr>
          <w:rFonts w:hint="eastAsia" w:eastAsia="黑体"/>
          <w:b/>
          <w:sz w:val="32"/>
        </w:rPr>
        <w:t>价值类型</w:t>
      </w:r>
      <w:bookmarkEnd w:id="9"/>
      <w:bookmarkEnd w:id="10"/>
      <w:bookmarkEnd w:id="11"/>
    </w:p>
    <w:p>
      <w:pPr>
        <w:pStyle w:val="3"/>
        <w:ind w:firstLine="548" w:firstLineChars="196"/>
        <w:rPr>
          <w:rFonts w:eastAsia="宋体"/>
          <w:snapToGrid w:val="0"/>
          <w:kern w:val="0"/>
          <w:szCs w:val="28"/>
        </w:rPr>
      </w:pPr>
      <w:r>
        <w:rPr>
          <w:rFonts w:hint="eastAsia" w:eastAsia="宋体"/>
        </w:rPr>
        <w:t>估价中采用公开市场价值标准，即所评估出的客观合理价格应是估价对象于价值时点在公开市场上最可能形成或成立的价格（不评估变现价值，不考虑房地产拍卖（变卖）成交后交易税费及税费的转移分担）。</w:t>
      </w:r>
    </w:p>
    <w:p>
      <w:pPr>
        <w:spacing w:line="500" w:lineRule="exact"/>
        <w:ind w:firstLine="630" w:firstLineChars="196"/>
        <w:outlineLvl w:val="1"/>
        <w:rPr>
          <w:rFonts w:eastAsia="黑体"/>
          <w:b/>
          <w:sz w:val="32"/>
        </w:rPr>
      </w:pPr>
      <w:bookmarkStart w:id="12" w:name="_Toc24177"/>
      <w:r>
        <w:rPr>
          <w:rFonts w:hint="eastAsia" w:eastAsia="黑体"/>
          <w:b/>
          <w:sz w:val="32"/>
        </w:rPr>
        <w:t>六</w:t>
      </w:r>
      <w:r>
        <w:rPr>
          <w:rFonts w:eastAsia="黑体"/>
          <w:b/>
          <w:sz w:val="32"/>
        </w:rPr>
        <w:t>、估价结果</w:t>
      </w:r>
      <w:bookmarkEnd w:id="12"/>
    </w:p>
    <w:p>
      <w:pPr>
        <w:spacing w:line="500" w:lineRule="exact"/>
        <w:ind w:firstLine="540" w:firstLineChars="196"/>
        <w:rPr>
          <w:rFonts w:hint="eastAsia"/>
          <w:sz w:val="28"/>
          <w:szCs w:val="20"/>
        </w:rPr>
      </w:pPr>
      <w:r>
        <w:rPr>
          <w:rFonts w:hint="eastAsia"/>
          <w:spacing w:val="-2"/>
          <w:sz w:val="28"/>
          <w:szCs w:val="20"/>
        </w:rPr>
        <w:t>绵阳市涪城区人民法院本次委托估价的位于绵阳市游仙区东津路37号电力小区8栋1单元4楼1号的住宅房地产于价值时点估价结果列表说明如下：</w:t>
      </w:r>
    </w:p>
    <w:p>
      <w:pPr>
        <w:spacing w:line="500" w:lineRule="exact"/>
        <w:jc w:val="center"/>
        <w:rPr>
          <w:rFonts w:hint="eastAsia"/>
          <w:b/>
          <w:sz w:val="28"/>
          <w:szCs w:val="20"/>
        </w:rPr>
      </w:pPr>
      <w:r>
        <w:rPr>
          <w:b/>
          <w:sz w:val="28"/>
          <w:szCs w:val="20"/>
        </w:rPr>
        <w:t>估价结果说明表</w:t>
      </w:r>
      <w:r>
        <w:rPr>
          <w:rFonts w:hint="eastAsia"/>
          <w:b/>
          <w:sz w:val="28"/>
          <w:szCs w:val="20"/>
        </w:rPr>
        <w:t>：</w:t>
      </w:r>
    </w:p>
    <w:tbl>
      <w:tblPr>
        <w:tblStyle w:val="16"/>
        <w:tblW w:w="779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09"/>
        <w:gridCol w:w="1084"/>
        <w:gridCol w:w="1854"/>
        <w:gridCol w:w="1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jc w:val="center"/>
        </w:trPr>
        <w:tc>
          <w:tcPr>
            <w:tcW w:w="3409" w:type="dxa"/>
            <w:noWrap w:val="0"/>
            <w:vAlign w:val="center"/>
          </w:tcPr>
          <w:p>
            <w:pPr>
              <w:pStyle w:val="12"/>
              <w:spacing w:after="0" w:line="360" w:lineRule="exact"/>
              <w:ind w:left="0"/>
              <w:jc w:val="center"/>
              <w:rPr>
                <w:sz w:val="21"/>
                <w:szCs w:val="21"/>
              </w:rPr>
            </w:pPr>
            <w:r>
              <w:rPr>
                <w:sz w:val="21"/>
                <w:szCs w:val="21"/>
              </w:rPr>
              <w:t>项</w:t>
            </w:r>
            <w:r>
              <w:rPr>
                <w:rFonts w:hint="eastAsia"/>
                <w:sz w:val="21"/>
                <w:szCs w:val="21"/>
              </w:rPr>
              <w:t xml:space="preserve">  </w:t>
            </w:r>
            <w:r>
              <w:rPr>
                <w:sz w:val="21"/>
                <w:szCs w:val="21"/>
              </w:rPr>
              <w:t>目</w:t>
            </w:r>
          </w:p>
        </w:tc>
        <w:tc>
          <w:tcPr>
            <w:tcW w:w="1084" w:type="dxa"/>
            <w:noWrap w:val="0"/>
            <w:vAlign w:val="center"/>
          </w:tcPr>
          <w:p>
            <w:pPr>
              <w:pStyle w:val="12"/>
              <w:spacing w:after="0" w:line="360" w:lineRule="exact"/>
              <w:ind w:left="0"/>
              <w:jc w:val="center"/>
              <w:rPr>
                <w:sz w:val="21"/>
                <w:szCs w:val="21"/>
              </w:rPr>
            </w:pPr>
            <w:r>
              <w:rPr>
                <w:sz w:val="21"/>
                <w:szCs w:val="21"/>
              </w:rPr>
              <w:t>面积(m</w:t>
            </w:r>
            <w:r>
              <w:rPr>
                <w:sz w:val="21"/>
                <w:szCs w:val="21"/>
                <w:vertAlign w:val="superscript"/>
              </w:rPr>
              <w:t>2</w:t>
            </w:r>
            <w:r>
              <w:rPr>
                <w:sz w:val="21"/>
                <w:szCs w:val="21"/>
              </w:rPr>
              <w:t>)</w:t>
            </w:r>
          </w:p>
        </w:tc>
        <w:tc>
          <w:tcPr>
            <w:tcW w:w="1854" w:type="dxa"/>
            <w:noWrap w:val="0"/>
            <w:vAlign w:val="center"/>
          </w:tcPr>
          <w:p>
            <w:pPr>
              <w:spacing w:line="360" w:lineRule="exact"/>
              <w:jc w:val="center"/>
              <w:rPr>
                <w:kern w:val="0"/>
                <w:szCs w:val="21"/>
              </w:rPr>
            </w:pPr>
            <w:r>
              <w:rPr>
                <w:kern w:val="0"/>
                <w:szCs w:val="21"/>
              </w:rPr>
              <w:t>评估</w:t>
            </w:r>
            <w:r>
              <w:rPr>
                <w:rFonts w:hint="eastAsia"/>
                <w:kern w:val="0"/>
                <w:szCs w:val="21"/>
              </w:rPr>
              <w:t>单价</w:t>
            </w:r>
            <w:r>
              <w:rPr>
                <w:szCs w:val="21"/>
              </w:rPr>
              <w:t>(元/m</w:t>
            </w:r>
            <w:r>
              <w:rPr>
                <w:szCs w:val="21"/>
                <w:vertAlign w:val="superscript"/>
              </w:rPr>
              <w:t>2</w:t>
            </w:r>
            <w:r>
              <w:rPr>
                <w:szCs w:val="21"/>
              </w:rPr>
              <w:t>)</w:t>
            </w:r>
          </w:p>
        </w:tc>
        <w:tc>
          <w:tcPr>
            <w:tcW w:w="1452" w:type="dxa"/>
            <w:noWrap w:val="0"/>
            <w:vAlign w:val="center"/>
          </w:tcPr>
          <w:p>
            <w:pPr>
              <w:spacing w:line="360" w:lineRule="exact"/>
              <w:jc w:val="center"/>
              <w:rPr>
                <w:kern w:val="0"/>
                <w:szCs w:val="21"/>
              </w:rPr>
            </w:pPr>
            <w:r>
              <w:rPr>
                <w:kern w:val="0"/>
                <w:szCs w:val="21"/>
              </w:rPr>
              <w:t>评估价值</w:t>
            </w:r>
            <w:r>
              <w:rPr>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3409" w:type="dxa"/>
            <w:noWrap w:val="0"/>
            <w:vAlign w:val="center"/>
          </w:tcPr>
          <w:p>
            <w:pPr>
              <w:pStyle w:val="12"/>
              <w:spacing w:after="0" w:line="360" w:lineRule="exact"/>
              <w:ind w:left="0"/>
              <w:jc w:val="center"/>
              <w:rPr>
                <w:rFonts w:hint="eastAsia"/>
                <w:sz w:val="21"/>
                <w:szCs w:val="21"/>
              </w:rPr>
            </w:pPr>
            <w:r>
              <w:rPr>
                <w:rFonts w:hint="eastAsia"/>
                <w:sz w:val="21"/>
                <w:szCs w:val="21"/>
              </w:rPr>
              <w:t>电力小区8栋1单元4楼1号住宅</w:t>
            </w:r>
          </w:p>
        </w:tc>
        <w:tc>
          <w:tcPr>
            <w:tcW w:w="1084" w:type="dxa"/>
            <w:noWrap w:val="0"/>
            <w:vAlign w:val="center"/>
          </w:tcPr>
          <w:p>
            <w:pPr>
              <w:pStyle w:val="12"/>
              <w:spacing w:after="0" w:line="360" w:lineRule="exact"/>
              <w:ind w:left="0"/>
              <w:jc w:val="center"/>
              <w:rPr>
                <w:rFonts w:hint="eastAsia"/>
                <w:kern w:val="0"/>
                <w:sz w:val="21"/>
                <w:szCs w:val="21"/>
              </w:rPr>
            </w:pPr>
            <w:r>
              <w:rPr>
                <w:rFonts w:hint="eastAsia"/>
                <w:kern w:val="0"/>
                <w:sz w:val="21"/>
                <w:szCs w:val="21"/>
              </w:rPr>
              <w:t>121.21</w:t>
            </w:r>
          </w:p>
        </w:tc>
        <w:tc>
          <w:tcPr>
            <w:tcW w:w="1854" w:type="dxa"/>
            <w:noWrap w:val="0"/>
            <w:vAlign w:val="center"/>
          </w:tcPr>
          <w:p>
            <w:pPr>
              <w:pStyle w:val="12"/>
              <w:spacing w:after="0" w:line="360" w:lineRule="exact"/>
              <w:ind w:left="0"/>
              <w:jc w:val="center"/>
              <w:rPr>
                <w:rFonts w:hint="eastAsia"/>
                <w:kern w:val="0"/>
                <w:sz w:val="21"/>
                <w:szCs w:val="21"/>
              </w:rPr>
            </w:pPr>
            <w:r>
              <w:rPr>
                <w:rFonts w:hint="eastAsia"/>
                <w:kern w:val="0"/>
                <w:sz w:val="21"/>
                <w:szCs w:val="21"/>
              </w:rPr>
              <w:t>6,256.00</w:t>
            </w:r>
          </w:p>
        </w:tc>
        <w:tc>
          <w:tcPr>
            <w:tcW w:w="1452" w:type="dxa"/>
            <w:noWrap w:val="0"/>
            <w:vAlign w:val="center"/>
          </w:tcPr>
          <w:p>
            <w:pPr>
              <w:pStyle w:val="12"/>
              <w:spacing w:after="0" w:line="360" w:lineRule="exact"/>
              <w:ind w:left="0"/>
              <w:jc w:val="center"/>
              <w:rPr>
                <w:rFonts w:hint="eastAsia"/>
                <w:kern w:val="0"/>
                <w:sz w:val="21"/>
                <w:szCs w:val="21"/>
              </w:rPr>
            </w:pPr>
            <w:r>
              <w:rPr>
                <w:rFonts w:hint="eastAsia"/>
                <w:kern w:val="0"/>
                <w:sz w:val="21"/>
                <w:szCs w:val="21"/>
              </w:rPr>
              <w:t>758,290.00</w:t>
            </w:r>
          </w:p>
        </w:tc>
      </w:tr>
    </w:tbl>
    <w:p>
      <w:pPr>
        <w:pStyle w:val="10"/>
        <w:spacing w:line="500" w:lineRule="exact"/>
        <w:ind w:left="0" w:firstLine="560" w:firstLineChars="200"/>
        <w:rPr>
          <w:rFonts w:hint="eastAsia" w:eastAsia="黑体"/>
          <w:b/>
          <w:szCs w:val="28"/>
        </w:rPr>
      </w:pPr>
      <w:r>
        <w:t>即：本次估价的</w:t>
      </w:r>
      <w:r>
        <w:rPr>
          <w:rFonts w:hint="eastAsia"/>
        </w:rPr>
        <w:t>绵阳市游仙区东津路37号电力小区8栋1单元4楼1号的住宅房地产在价值时点2018年12月27日</w:t>
      </w:r>
      <w:r>
        <w:t>的</w:t>
      </w:r>
      <w:r>
        <w:rPr>
          <w:rFonts w:hint="eastAsia" w:eastAsia="黑体"/>
          <w:b/>
          <w:szCs w:val="28"/>
        </w:rPr>
        <w:t>公开市场</w:t>
      </w:r>
      <w:r>
        <w:rPr>
          <w:rFonts w:eastAsia="黑体"/>
          <w:b/>
          <w:szCs w:val="28"/>
        </w:rPr>
        <w:t>价值为</w:t>
      </w:r>
      <w:r>
        <w:rPr>
          <w:rFonts w:hint="eastAsia" w:eastAsia="黑体"/>
          <w:b/>
          <w:szCs w:val="32"/>
        </w:rPr>
        <w:t>758,290.00</w:t>
      </w:r>
      <w:r>
        <w:rPr>
          <w:rFonts w:eastAsia="黑体"/>
          <w:b/>
          <w:szCs w:val="28"/>
        </w:rPr>
        <w:t>元</w:t>
      </w:r>
      <w:r>
        <w:rPr>
          <w:rFonts w:hint="eastAsia" w:eastAsia="黑体"/>
          <w:b/>
          <w:szCs w:val="28"/>
        </w:rPr>
        <w:t>。</w:t>
      </w:r>
      <w:r>
        <w:rPr>
          <w:rFonts w:eastAsia="黑体"/>
          <w:b/>
          <w:szCs w:val="28"/>
        </w:rPr>
        <w:t>人民币（大写</w:t>
      </w:r>
      <w:r>
        <w:rPr>
          <w:rFonts w:hint="eastAsia" w:eastAsia="黑体"/>
          <w:b/>
          <w:szCs w:val="28"/>
        </w:rPr>
        <w:t>）柒拾伍万捌仟贰佰玖拾元整。</w:t>
      </w:r>
    </w:p>
    <w:p>
      <w:pPr>
        <w:pStyle w:val="10"/>
        <w:spacing w:line="500" w:lineRule="exact"/>
        <w:ind w:left="250" w:leftChars="119" w:firstLine="331" w:firstLineChars="103"/>
        <w:outlineLvl w:val="1"/>
        <w:rPr>
          <w:rFonts w:hint="eastAsia" w:ascii="黑体" w:eastAsia="黑体"/>
          <w:b/>
          <w:sz w:val="32"/>
        </w:rPr>
      </w:pPr>
      <w:bookmarkStart w:id="13" w:name="_Toc14404"/>
      <w:r>
        <w:rPr>
          <w:rFonts w:hint="eastAsia" w:ascii="黑体" w:eastAsia="黑体"/>
          <w:b/>
          <w:sz w:val="32"/>
        </w:rPr>
        <w:t>七、估价报告使用说明</w:t>
      </w:r>
      <w:bookmarkEnd w:id="13"/>
    </w:p>
    <w:p>
      <w:pPr>
        <w:spacing w:line="500" w:lineRule="exact"/>
        <w:ind w:firstLine="555"/>
        <w:rPr>
          <w:sz w:val="28"/>
          <w:szCs w:val="20"/>
        </w:rPr>
      </w:pPr>
      <w:r>
        <w:rPr>
          <w:rFonts w:hint="eastAsia"/>
          <w:sz w:val="28"/>
          <w:szCs w:val="20"/>
        </w:rPr>
        <w:t>以上内容均摘自估价报告。欲了解本项目估价的全面情况，请详细阅读本报告书的全部内容。当事人对鉴定估价报告有异议的，可以至收到鉴定估价报告起5日内提出异议，超过该期限即丧失对鉴定估价报告提出异议的权利</w:t>
      </w:r>
      <w:r>
        <w:rPr>
          <w:sz w:val="28"/>
          <w:szCs w:val="20"/>
        </w:rPr>
        <w:t>。</w:t>
      </w:r>
    </w:p>
    <w:p>
      <w:pPr>
        <w:spacing w:line="500" w:lineRule="exact"/>
        <w:ind w:firstLine="555"/>
        <w:rPr>
          <w:rFonts w:hint="eastAsia"/>
          <w:b/>
          <w:spacing w:val="10"/>
        </w:rPr>
      </w:pPr>
      <w:r>
        <w:rPr>
          <w:b/>
          <w:sz w:val="28"/>
          <w:szCs w:val="20"/>
        </w:rPr>
        <w:t>法定代表人：</w:t>
      </w:r>
    </w:p>
    <w:p>
      <w:pPr>
        <w:pStyle w:val="3"/>
        <w:ind w:firstLine="570"/>
        <w:jc w:val="right"/>
        <w:rPr>
          <w:rFonts w:hint="eastAsia" w:eastAsia="宋体"/>
          <w:b/>
          <w:spacing w:val="10"/>
        </w:rPr>
      </w:pPr>
      <w:r>
        <w:rPr>
          <w:rFonts w:hint="eastAsia" w:eastAsia="宋体"/>
          <w:b/>
          <w:spacing w:val="10"/>
        </w:rPr>
        <w:t>绵阳市公量房地产评估咨询有限公司</w:t>
      </w:r>
    </w:p>
    <w:p>
      <w:pPr>
        <w:pStyle w:val="3"/>
        <w:ind w:right="900" w:firstLine="570"/>
        <w:jc w:val="right"/>
        <w:rPr>
          <w:rFonts w:eastAsia="宋体"/>
          <w:b/>
          <w:spacing w:val="10"/>
        </w:rPr>
      </w:pPr>
      <w:r>
        <w:rPr>
          <w:rFonts w:eastAsia="宋体"/>
          <w:b/>
          <w:spacing w:val="10"/>
        </w:rPr>
        <w:t>二零一</w:t>
      </w:r>
      <w:r>
        <w:rPr>
          <w:rFonts w:hint="eastAsia" w:eastAsia="宋体"/>
          <w:b/>
          <w:spacing w:val="10"/>
        </w:rPr>
        <w:t>九</w:t>
      </w:r>
      <w:r>
        <w:rPr>
          <w:rFonts w:eastAsia="宋体"/>
          <w:b/>
          <w:spacing w:val="10"/>
        </w:rPr>
        <w:t>年</w:t>
      </w:r>
      <w:r>
        <w:rPr>
          <w:rFonts w:hint="eastAsia" w:eastAsia="宋体"/>
          <w:b/>
          <w:spacing w:val="10"/>
        </w:rPr>
        <w:t>一</w:t>
      </w:r>
      <w:r>
        <w:rPr>
          <w:rFonts w:eastAsia="宋体"/>
          <w:b/>
          <w:spacing w:val="10"/>
        </w:rPr>
        <w:t>月</w:t>
      </w:r>
      <w:r>
        <w:rPr>
          <w:rFonts w:hint="eastAsia" w:eastAsia="宋体"/>
          <w:b/>
          <w:spacing w:val="10"/>
          <w:lang w:eastAsia="zh-CN"/>
        </w:rPr>
        <w:t>十</w:t>
      </w:r>
      <w:r>
        <w:rPr>
          <w:rFonts w:eastAsia="宋体"/>
          <w:b/>
          <w:spacing w:val="10"/>
        </w:rPr>
        <w:t>日</w:t>
      </w:r>
    </w:p>
    <w:p>
      <w:pPr>
        <w:pStyle w:val="3"/>
        <w:spacing w:line="520" w:lineRule="exact"/>
        <w:jc w:val="center"/>
        <w:outlineLvl w:val="0"/>
        <w:rPr>
          <w:rFonts w:eastAsia="黑体"/>
          <w:b/>
          <w:sz w:val="36"/>
        </w:rPr>
      </w:pPr>
    </w:p>
    <w:p>
      <w:pPr>
        <w:pStyle w:val="3"/>
        <w:spacing w:line="520" w:lineRule="exact"/>
        <w:jc w:val="center"/>
        <w:outlineLvl w:val="0"/>
        <w:rPr>
          <w:rFonts w:eastAsia="黑体"/>
          <w:b/>
          <w:sz w:val="36"/>
        </w:rPr>
      </w:pPr>
      <w:bookmarkStart w:id="14" w:name="_Toc3910"/>
    </w:p>
    <w:p>
      <w:pPr>
        <w:pStyle w:val="3"/>
        <w:spacing w:line="520" w:lineRule="exact"/>
        <w:jc w:val="center"/>
        <w:outlineLvl w:val="0"/>
        <w:rPr>
          <w:rFonts w:hint="eastAsia" w:eastAsia="黑体"/>
          <w:b/>
          <w:sz w:val="36"/>
        </w:rPr>
      </w:pPr>
      <w:r>
        <w:rPr>
          <w:rFonts w:eastAsia="黑体"/>
          <w:b/>
          <w:sz w:val="36"/>
        </w:rPr>
        <w:t>第二部分   估价师声明</w:t>
      </w:r>
      <w:bookmarkEnd w:id="14"/>
    </w:p>
    <w:p>
      <w:pPr>
        <w:pStyle w:val="3"/>
        <w:spacing w:line="520" w:lineRule="exact"/>
        <w:jc w:val="center"/>
        <w:rPr>
          <w:rFonts w:hint="eastAsia" w:eastAsia="黑体"/>
          <w:b/>
          <w:sz w:val="15"/>
          <w:szCs w:val="15"/>
        </w:rPr>
      </w:pPr>
    </w:p>
    <w:p>
      <w:pPr>
        <w:pStyle w:val="3"/>
        <w:tabs>
          <w:tab w:val="left" w:pos="759"/>
        </w:tabs>
        <w:spacing w:line="520" w:lineRule="exact"/>
        <w:ind w:firstLine="0"/>
        <w:rPr>
          <w:rFonts w:eastAsia="宋体"/>
          <w:b/>
        </w:rPr>
      </w:pPr>
      <w:r>
        <w:rPr>
          <w:rFonts w:eastAsia="宋体"/>
          <w:b/>
        </w:rPr>
        <w:t xml:space="preserve">    我们</w:t>
      </w:r>
      <w:r>
        <w:rPr>
          <w:rFonts w:hint="eastAsia" w:eastAsia="宋体"/>
          <w:b/>
        </w:rPr>
        <w:t>郑重声明</w:t>
      </w:r>
      <w:r>
        <w:rPr>
          <w:rFonts w:eastAsia="宋体"/>
          <w:b/>
        </w:rPr>
        <w:t>：</w:t>
      </w:r>
    </w:p>
    <w:p>
      <w:pPr>
        <w:spacing w:line="520" w:lineRule="exact"/>
        <w:ind w:firstLine="425"/>
        <w:rPr>
          <w:sz w:val="28"/>
          <w:szCs w:val="20"/>
        </w:rPr>
      </w:pPr>
      <w:r>
        <w:t xml:space="preserve">   </w:t>
      </w:r>
      <w:r>
        <w:rPr>
          <w:sz w:val="28"/>
          <w:szCs w:val="20"/>
        </w:rPr>
        <w:t>一、我们在本估价报告中陈述的事实是真实和准确的。</w:t>
      </w:r>
    </w:p>
    <w:p>
      <w:pPr>
        <w:spacing w:line="520" w:lineRule="exact"/>
        <w:ind w:firstLine="425"/>
        <w:rPr>
          <w:rFonts w:hint="eastAsia"/>
          <w:sz w:val="28"/>
          <w:szCs w:val="20"/>
        </w:rPr>
      </w:pPr>
      <w:r>
        <w:rPr>
          <w:sz w:val="28"/>
          <w:szCs w:val="20"/>
        </w:rPr>
        <w:t xml:space="preserve">  二、本估价报告中的分析、意见和结论是我们自己公</w:t>
      </w:r>
      <w:r>
        <w:rPr>
          <w:rFonts w:hint="eastAsia"/>
          <w:sz w:val="28"/>
          <w:szCs w:val="20"/>
        </w:rPr>
        <w:t>正</w:t>
      </w:r>
      <w:r>
        <w:rPr>
          <w:sz w:val="28"/>
          <w:szCs w:val="20"/>
        </w:rPr>
        <w:t>的专业分析、意见和结论，但受到本估价报告中已说明的假设和限制条件及使用报告说明的限制。</w:t>
      </w:r>
    </w:p>
    <w:p>
      <w:pPr>
        <w:spacing w:line="520" w:lineRule="exact"/>
        <w:ind w:firstLine="702" w:firstLineChars="251"/>
        <w:rPr>
          <w:sz w:val="28"/>
          <w:szCs w:val="20"/>
        </w:rPr>
      </w:pPr>
      <w:r>
        <w:rPr>
          <w:sz w:val="28"/>
          <w:szCs w:val="20"/>
        </w:rPr>
        <w:t>三、</w:t>
      </w:r>
      <w:r>
        <w:rPr>
          <w:rFonts w:hint="eastAsia"/>
          <w:sz w:val="28"/>
          <w:szCs w:val="20"/>
        </w:rPr>
        <w:t>本估价机构和估价师</w:t>
      </w:r>
      <w:r>
        <w:rPr>
          <w:sz w:val="28"/>
          <w:szCs w:val="20"/>
        </w:rPr>
        <w:t>与本估价报告中的</w:t>
      </w:r>
      <w:r>
        <w:rPr>
          <w:rFonts w:hint="eastAsia"/>
          <w:sz w:val="28"/>
          <w:szCs w:val="20"/>
        </w:rPr>
        <w:t>估价委托人无任何</w:t>
      </w:r>
      <w:r>
        <w:rPr>
          <w:sz w:val="28"/>
          <w:szCs w:val="20"/>
        </w:rPr>
        <w:t>利害关系</w:t>
      </w:r>
      <w:r>
        <w:rPr>
          <w:rFonts w:hint="eastAsia"/>
          <w:sz w:val="28"/>
          <w:szCs w:val="20"/>
        </w:rPr>
        <w:t>或偏见</w:t>
      </w:r>
      <w:r>
        <w:rPr>
          <w:sz w:val="28"/>
          <w:szCs w:val="20"/>
        </w:rPr>
        <w:t>，也与有关当事人</w:t>
      </w:r>
      <w:r>
        <w:rPr>
          <w:rFonts w:hint="eastAsia"/>
          <w:sz w:val="28"/>
          <w:szCs w:val="20"/>
        </w:rPr>
        <w:t>无任何</w:t>
      </w:r>
      <w:r>
        <w:rPr>
          <w:sz w:val="28"/>
          <w:szCs w:val="20"/>
        </w:rPr>
        <w:t>利害关系或偏见。</w:t>
      </w:r>
    </w:p>
    <w:p>
      <w:pPr>
        <w:tabs>
          <w:tab w:val="left" w:pos="506"/>
        </w:tabs>
        <w:spacing w:line="520" w:lineRule="exact"/>
        <w:ind w:firstLine="425"/>
        <w:rPr>
          <w:sz w:val="28"/>
          <w:szCs w:val="20"/>
        </w:rPr>
      </w:pPr>
      <w:r>
        <w:rPr>
          <w:sz w:val="28"/>
          <w:szCs w:val="20"/>
        </w:rPr>
        <w:t xml:space="preserve"> </w:t>
      </w:r>
      <w:r>
        <w:rPr>
          <w:rFonts w:hint="eastAsia"/>
          <w:sz w:val="28"/>
          <w:szCs w:val="20"/>
        </w:rPr>
        <w:t xml:space="preserve"> </w:t>
      </w:r>
      <w:r>
        <w:rPr>
          <w:sz w:val="28"/>
          <w:szCs w:val="20"/>
        </w:rPr>
        <w:t>四、我们根据中华人民共和国国家标准</w:t>
      </w:r>
      <w:r>
        <w:rPr>
          <w:rFonts w:hint="eastAsia"/>
          <w:sz w:val="28"/>
          <w:szCs w:val="20"/>
        </w:rPr>
        <w:t>GB/T50291—2015</w:t>
      </w:r>
      <w:r>
        <w:rPr>
          <w:sz w:val="28"/>
          <w:szCs w:val="20"/>
        </w:rPr>
        <w:t>《房地产估价规范》</w:t>
      </w:r>
      <w:r>
        <w:rPr>
          <w:rFonts w:hint="eastAsia"/>
          <w:sz w:val="28"/>
          <w:szCs w:val="20"/>
        </w:rPr>
        <w:t>、四川省住房和城乡建设厅关于印发《房地产司法鉴定评估指导意见》（试行）、四川省高级人民法院、四川省住房和城乡建设厅《关于规范房地产司法鉴定评估工作的通知》</w:t>
      </w:r>
      <w:r>
        <w:rPr>
          <w:sz w:val="28"/>
          <w:szCs w:val="20"/>
        </w:rPr>
        <w:t>进行</w:t>
      </w:r>
      <w:r>
        <w:rPr>
          <w:rFonts w:hint="eastAsia"/>
          <w:sz w:val="28"/>
          <w:szCs w:val="20"/>
        </w:rPr>
        <w:t>估价工作</w:t>
      </w:r>
      <w:r>
        <w:rPr>
          <w:sz w:val="28"/>
          <w:szCs w:val="20"/>
        </w:rPr>
        <w:t>，形成意见和结论，撰写本估价报告。</w:t>
      </w:r>
    </w:p>
    <w:p>
      <w:pPr>
        <w:tabs>
          <w:tab w:val="left" w:pos="506"/>
        </w:tabs>
        <w:spacing w:line="520" w:lineRule="exact"/>
        <w:ind w:firstLine="425"/>
        <w:rPr>
          <w:sz w:val="28"/>
          <w:szCs w:val="20"/>
        </w:rPr>
      </w:pPr>
      <w:r>
        <w:rPr>
          <w:sz w:val="28"/>
          <w:szCs w:val="20"/>
        </w:rPr>
        <w:t xml:space="preserve"> </w:t>
      </w:r>
      <w:r>
        <w:rPr>
          <w:rFonts w:hint="eastAsia"/>
          <w:sz w:val="28"/>
          <w:szCs w:val="20"/>
        </w:rPr>
        <w:t xml:space="preserve"> </w:t>
      </w:r>
      <w:r>
        <w:rPr>
          <w:sz w:val="28"/>
          <w:szCs w:val="20"/>
        </w:rPr>
        <w:t>五、没有人对本估价报告提供重要专业帮助。</w:t>
      </w:r>
    </w:p>
    <w:p>
      <w:pPr>
        <w:spacing w:line="520" w:lineRule="exact"/>
        <w:ind w:firstLine="425"/>
        <w:rPr>
          <w:rFonts w:hint="eastAsia"/>
          <w:color w:val="FF0000"/>
          <w:sz w:val="28"/>
          <w:szCs w:val="20"/>
        </w:rPr>
      </w:pPr>
      <w:r>
        <w:rPr>
          <w:color w:val="FF0000"/>
          <w:sz w:val="28"/>
          <w:szCs w:val="20"/>
        </w:rPr>
        <w:t xml:space="preserve"> </w:t>
      </w:r>
      <w:r>
        <w:rPr>
          <w:rFonts w:hint="eastAsia"/>
          <w:color w:val="FF0000"/>
          <w:sz w:val="28"/>
          <w:szCs w:val="20"/>
        </w:rPr>
        <w:t xml:space="preserve"> </w:t>
      </w:r>
      <w:r>
        <w:rPr>
          <w:sz w:val="28"/>
          <w:szCs w:val="20"/>
        </w:rPr>
        <w:t>六</w:t>
      </w:r>
      <w:r>
        <w:rPr>
          <w:rFonts w:hint="eastAsia"/>
          <w:sz w:val="28"/>
          <w:szCs w:val="20"/>
        </w:rPr>
        <w:t>、参与本次估价项目的估价师对本报告中的估价对象于二零一八年十二月二十七日进行了详细的实地查勘，</w:t>
      </w:r>
      <w:r>
        <w:rPr>
          <w:sz w:val="28"/>
          <w:szCs w:val="20"/>
        </w:rPr>
        <w:t>查看人员为</w:t>
      </w:r>
      <w:r>
        <w:rPr>
          <w:rFonts w:hint="eastAsia"/>
          <w:sz w:val="28"/>
          <w:szCs w:val="20"/>
        </w:rPr>
        <w:t>国家注册房地</w:t>
      </w:r>
      <w:r>
        <w:rPr>
          <w:rFonts w:hint="eastAsia"/>
          <w:color w:val="auto"/>
          <w:sz w:val="28"/>
          <w:szCs w:val="20"/>
        </w:rPr>
        <w:t>产估价师李国祥</w:t>
      </w:r>
      <w:r>
        <w:rPr>
          <w:rFonts w:hint="eastAsia"/>
          <w:color w:val="auto"/>
          <w:sz w:val="28"/>
          <w:szCs w:val="20"/>
          <w:lang w:eastAsia="zh-CN"/>
        </w:rPr>
        <w:t>、</w:t>
      </w:r>
      <w:r>
        <w:rPr>
          <w:rFonts w:hint="eastAsia"/>
          <w:color w:val="auto"/>
          <w:sz w:val="28"/>
          <w:szCs w:val="20"/>
        </w:rPr>
        <w:t>何金梅，评估助理人员梁亚明</w:t>
      </w:r>
      <w:r>
        <w:rPr>
          <w:color w:val="auto"/>
          <w:sz w:val="28"/>
          <w:szCs w:val="20"/>
        </w:rPr>
        <w:t>。</w:t>
      </w:r>
    </w:p>
    <w:p>
      <w:pPr>
        <w:spacing w:line="520" w:lineRule="exact"/>
        <w:ind w:firstLine="425"/>
        <w:rPr>
          <w:rFonts w:hint="eastAsia"/>
          <w:sz w:val="28"/>
          <w:szCs w:val="20"/>
        </w:rPr>
      </w:pPr>
      <w:r>
        <w:rPr>
          <w:rFonts w:hint="eastAsia"/>
          <w:sz w:val="28"/>
          <w:szCs w:val="20"/>
        </w:rPr>
        <w:t xml:space="preserve">  七、本报告中所依据的估价对象建筑面积和权益资料由估价委托人提供，估价委托人应对资料的真实、可靠性负责。</w:t>
      </w:r>
    </w:p>
    <w:p>
      <w:pPr>
        <w:numPr>
          <w:ilvl w:val="0"/>
          <w:numId w:val="1"/>
        </w:numPr>
        <w:spacing w:line="520" w:lineRule="exact"/>
        <w:ind w:firstLine="700" w:firstLineChars="250"/>
        <w:rPr>
          <w:sz w:val="28"/>
          <w:szCs w:val="20"/>
        </w:rPr>
      </w:pPr>
      <w:r>
        <w:rPr>
          <w:sz w:val="28"/>
          <w:szCs w:val="20"/>
        </w:rPr>
        <w:t>本房地产估价报告的专职注册房地产估价师具备相关金融专业知识和相应的房地产市场分析能力。</w:t>
      </w:r>
    </w:p>
    <w:p>
      <w:pPr>
        <w:spacing w:line="520" w:lineRule="exact"/>
        <w:rPr>
          <w:rFonts w:hint="eastAsia"/>
          <w:sz w:val="28"/>
          <w:szCs w:val="20"/>
        </w:rPr>
      </w:pPr>
    </w:p>
    <w:p>
      <w:pPr>
        <w:pStyle w:val="3"/>
        <w:spacing w:line="520" w:lineRule="exact"/>
        <w:ind w:firstLine="0"/>
        <w:rPr>
          <w:rFonts w:hint="eastAsia" w:eastAsia="宋体"/>
        </w:rPr>
      </w:pPr>
      <w:r>
        <w:rPr>
          <w:rFonts w:hint="eastAsia" w:eastAsia="宋体"/>
        </w:rPr>
        <w:t>中</w:t>
      </w:r>
      <w:r>
        <w:rPr>
          <w:rFonts w:eastAsia="宋体"/>
        </w:rPr>
        <w:t>国注册房地产估价师</w:t>
      </w:r>
      <w:r>
        <w:rPr>
          <w:rFonts w:hint="eastAsia" w:eastAsia="宋体"/>
        </w:rPr>
        <w:t>(签章)</w:t>
      </w:r>
      <w:r>
        <w:rPr>
          <w:rFonts w:eastAsia="宋体"/>
        </w:rPr>
        <w:t>：</w:t>
      </w:r>
      <w:r>
        <w:rPr>
          <w:rFonts w:hint="eastAsia" w:eastAsia="宋体"/>
        </w:rPr>
        <w:t xml:space="preserve">  李国祥           李志会</w:t>
      </w:r>
    </w:p>
    <w:p>
      <w:pPr>
        <w:pStyle w:val="3"/>
        <w:spacing w:line="520" w:lineRule="exact"/>
        <w:rPr>
          <w:rFonts w:hint="eastAsia" w:eastAsia="宋体"/>
        </w:rPr>
      </w:pPr>
      <w:r>
        <w:rPr>
          <w:rFonts w:hint="eastAsia" w:eastAsia="宋体"/>
        </w:rPr>
        <w:t xml:space="preserve">           注册证号： 5120040581       5120130030</w:t>
      </w:r>
    </w:p>
    <w:p>
      <w:pPr>
        <w:pStyle w:val="3"/>
        <w:spacing w:line="520" w:lineRule="exact"/>
        <w:ind w:firstLine="0"/>
        <w:rPr>
          <w:rFonts w:hint="eastAsia" w:eastAsia="黑体"/>
          <w:b/>
          <w:sz w:val="36"/>
        </w:rPr>
      </w:pPr>
    </w:p>
    <w:p>
      <w:pPr>
        <w:pStyle w:val="3"/>
        <w:spacing w:line="520" w:lineRule="exact"/>
        <w:ind w:firstLine="0"/>
        <w:jc w:val="center"/>
        <w:outlineLvl w:val="0"/>
        <w:rPr>
          <w:rFonts w:eastAsia="黑体"/>
          <w:b/>
          <w:sz w:val="36"/>
        </w:rPr>
      </w:pPr>
      <w:bookmarkStart w:id="15" w:name="_Toc14273"/>
      <w:r>
        <w:rPr>
          <w:rFonts w:eastAsia="黑体"/>
          <w:b/>
          <w:sz w:val="36"/>
        </w:rPr>
        <w:t>第三部分  估价的假设与限制条件及使用报告说明</w:t>
      </w:r>
      <w:bookmarkEnd w:id="15"/>
    </w:p>
    <w:p>
      <w:pPr>
        <w:pStyle w:val="3"/>
        <w:spacing w:line="520" w:lineRule="exact"/>
        <w:ind w:firstLine="0"/>
        <w:rPr>
          <w:rFonts w:eastAsia="宋体"/>
          <w:b/>
        </w:rPr>
      </w:pPr>
      <w:r>
        <w:rPr>
          <w:rFonts w:eastAsia="宋体"/>
          <w:b/>
        </w:rPr>
        <w:t xml:space="preserve">    </w:t>
      </w:r>
    </w:p>
    <w:p>
      <w:pPr>
        <w:pStyle w:val="3"/>
        <w:spacing w:line="520" w:lineRule="exact"/>
        <w:ind w:firstLine="0"/>
        <w:rPr>
          <w:rFonts w:eastAsia="宋体"/>
          <w:b/>
        </w:rPr>
      </w:pPr>
      <w:r>
        <w:rPr>
          <w:rFonts w:eastAsia="宋体"/>
          <w:b/>
        </w:rPr>
        <w:t xml:space="preserve">    一、本估价报告基于以下的假设条件得出结论</w:t>
      </w:r>
    </w:p>
    <w:p>
      <w:pPr>
        <w:pStyle w:val="3"/>
        <w:spacing w:line="520" w:lineRule="exact"/>
        <w:ind w:firstLine="560" w:firstLineChars="200"/>
        <w:rPr>
          <w:rFonts w:eastAsia="宋体"/>
          <w:snapToGrid w:val="0"/>
          <w:kern w:val="0"/>
          <w:szCs w:val="28"/>
        </w:rPr>
      </w:pPr>
      <w:r>
        <w:rPr>
          <w:rFonts w:eastAsia="宋体"/>
          <w:snapToGrid w:val="0"/>
          <w:kern w:val="0"/>
          <w:szCs w:val="28"/>
        </w:rPr>
        <w:t>1、</w:t>
      </w:r>
      <w:r>
        <w:rPr>
          <w:rFonts w:hint="eastAsia" w:eastAsia="宋体"/>
          <w:snapToGrid w:val="0"/>
          <w:kern w:val="0"/>
          <w:szCs w:val="28"/>
        </w:rPr>
        <w:t>估价对象产权明晰，手续齐全，可在公开市场上自由转让。</w:t>
      </w:r>
    </w:p>
    <w:p>
      <w:pPr>
        <w:spacing w:line="520" w:lineRule="exact"/>
        <w:ind w:firstLine="560" w:firstLineChars="200"/>
        <w:rPr>
          <w:snapToGrid w:val="0"/>
          <w:kern w:val="0"/>
          <w:sz w:val="28"/>
          <w:szCs w:val="28"/>
        </w:rPr>
      </w:pPr>
      <w:r>
        <w:rPr>
          <w:snapToGrid w:val="0"/>
          <w:kern w:val="0"/>
          <w:sz w:val="28"/>
          <w:szCs w:val="28"/>
        </w:rPr>
        <w:t>2、本报告假设估价对象保持价值时点时的</w:t>
      </w:r>
      <w:r>
        <w:rPr>
          <w:rFonts w:hint="eastAsia"/>
          <w:snapToGrid w:val="0"/>
          <w:kern w:val="0"/>
          <w:sz w:val="28"/>
          <w:szCs w:val="28"/>
        </w:rPr>
        <w:t>使用</w:t>
      </w:r>
      <w:r>
        <w:rPr>
          <w:snapToGrid w:val="0"/>
          <w:kern w:val="0"/>
          <w:sz w:val="28"/>
          <w:szCs w:val="28"/>
        </w:rPr>
        <w:t>用途</w:t>
      </w:r>
      <w:r>
        <w:rPr>
          <w:rFonts w:hint="eastAsia"/>
          <w:snapToGrid w:val="0"/>
          <w:kern w:val="0"/>
          <w:sz w:val="28"/>
          <w:szCs w:val="28"/>
        </w:rPr>
        <w:t>持续</w:t>
      </w:r>
      <w:r>
        <w:rPr>
          <w:snapToGrid w:val="0"/>
          <w:kern w:val="0"/>
          <w:sz w:val="28"/>
          <w:szCs w:val="28"/>
        </w:rPr>
        <w:t xml:space="preserve">使用，且为估价对象合法的最高最佳使用用途；若转换使用用途，本估价结果无效。 </w:t>
      </w:r>
    </w:p>
    <w:p>
      <w:pPr>
        <w:pStyle w:val="3"/>
        <w:spacing w:line="520" w:lineRule="exact"/>
        <w:ind w:firstLine="548" w:firstLineChars="196"/>
        <w:rPr>
          <w:rFonts w:eastAsia="宋体"/>
          <w:snapToGrid w:val="0"/>
          <w:kern w:val="0"/>
          <w:szCs w:val="28"/>
        </w:rPr>
      </w:pPr>
      <w:r>
        <w:rPr>
          <w:rFonts w:eastAsia="宋体"/>
          <w:snapToGrid w:val="0"/>
          <w:kern w:val="0"/>
          <w:szCs w:val="28"/>
        </w:rPr>
        <w:t>3、本报告假定估价对象的处置不受可能影响其价值的权限限制和负有法律义务性质的开支约束。</w:t>
      </w:r>
    </w:p>
    <w:p>
      <w:pPr>
        <w:pStyle w:val="3"/>
        <w:spacing w:line="520" w:lineRule="exact"/>
        <w:ind w:firstLine="570"/>
        <w:rPr>
          <w:rFonts w:hint="eastAsia" w:eastAsia="宋体"/>
          <w:snapToGrid w:val="0"/>
          <w:kern w:val="0"/>
          <w:szCs w:val="28"/>
        </w:rPr>
      </w:pPr>
      <w:bookmarkStart w:id="16" w:name="_Toc420873215"/>
      <w:bookmarkStart w:id="17" w:name="_Toc420873304"/>
      <w:bookmarkStart w:id="18" w:name="_Toc420872935"/>
      <w:bookmarkStart w:id="19" w:name="_Toc420873151"/>
      <w:bookmarkStart w:id="20" w:name="_Toc418520138"/>
      <w:bookmarkStart w:id="21" w:name="_Toc418520305"/>
      <w:bookmarkStart w:id="22" w:name="_Toc418519338"/>
      <w:bookmarkStart w:id="23" w:name="_Toc418519995"/>
      <w:r>
        <w:rPr>
          <w:rFonts w:eastAsia="宋体"/>
          <w:snapToGrid w:val="0"/>
          <w:kern w:val="0"/>
          <w:szCs w:val="28"/>
        </w:rPr>
        <w:t>4、估价对象的过去、现在和未来均处于公开的市场环境中，未受特殊因素的影响</w:t>
      </w:r>
      <w:r>
        <w:rPr>
          <w:rFonts w:hint="eastAsia" w:eastAsia="宋体"/>
          <w:snapToGrid w:val="0"/>
          <w:kern w:val="0"/>
          <w:szCs w:val="28"/>
        </w:rPr>
        <w:t>，能够自由地在市场上进行交易活动。</w:t>
      </w:r>
      <w:bookmarkEnd w:id="16"/>
      <w:bookmarkEnd w:id="17"/>
      <w:bookmarkEnd w:id="18"/>
      <w:bookmarkEnd w:id="19"/>
      <w:bookmarkEnd w:id="20"/>
      <w:bookmarkEnd w:id="21"/>
      <w:bookmarkEnd w:id="22"/>
      <w:bookmarkEnd w:id="23"/>
    </w:p>
    <w:p>
      <w:pPr>
        <w:pStyle w:val="3"/>
        <w:spacing w:line="520" w:lineRule="exact"/>
        <w:ind w:firstLine="560" w:firstLineChars="200"/>
        <w:rPr>
          <w:rFonts w:eastAsia="宋体"/>
          <w:snapToGrid w:val="0"/>
          <w:kern w:val="0"/>
          <w:szCs w:val="28"/>
        </w:rPr>
      </w:pPr>
      <w:r>
        <w:rPr>
          <w:rFonts w:eastAsia="宋体"/>
          <w:snapToGrid w:val="0"/>
          <w:kern w:val="0"/>
          <w:szCs w:val="28"/>
        </w:rPr>
        <w:t>5、房地产市场为公开、</w:t>
      </w:r>
      <w:r>
        <w:rPr>
          <w:rFonts w:hint="eastAsia" w:eastAsia="宋体"/>
          <w:snapToGrid w:val="0"/>
          <w:kern w:val="0"/>
          <w:szCs w:val="28"/>
        </w:rPr>
        <w:t>比较活跃的</w:t>
      </w:r>
      <w:r>
        <w:rPr>
          <w:rFonts w:eastAsia="宋体"/>
          <w:snapToGrid w:val="0"/>
          <w:kern w:val="0"/>
          <w:szCs w:val="28"/>
        </w:rPr>
        <w:t>市场。</w:t>
      </w:r>
    </w:p>
    <w:p>
      <w:pPr>
        <w:spacing w:line="520" w:lineRule="exact"/>
        <w:ind w:firstLine="560" w:firstLineChars="200"/>
        <w:rPr>
          <w:snapToGrid w:val="0"/>
          <w:kern w:val="0"/>
          <w:sz w:val="28"/>
          <w:szCs w:val="28"/>
        </w:rPr>
      </w:pPr>
      <w:r>
        <w:rPr>
          <w:snapToGrid w:val="0"/>
          <w:kern w:val="0"/>
          <w:sz w:val="28"/>
          <w:szCs w:val="28"/>
        </w:rPr>
        <w:t>6、在预期内，国家政治、经济形势平稳发展，未考虑不可抗拒的经济及自然因素的影响。估价对象所处</w:t>
      </w:r>
      <w:r>
        <w:rPr>
          <w:rFonts w:hint="eastAsia"/>
          <w:snapToGrid w:val="0"/>
          <w:kern w:val="0"/>
          <w:sz w:val="28"/>
          <w:szCs w:val="28"/>
        </w:rPr>
        <w:t>周边</w:t>
      </w:r>
      <w:r>
        <w:rPr>
          <w:snapToGrid w:val="0"/>
          <w:kern w:val="0"/>
          <w:sz w:val="28"/>
          <w:szCs w:val="28"/>
        </w:rPr>
        <w:t>环境在未来城市规划中趋于优化。</w:t>
      </w:r>
    </w:p>
    <w:p>
      <w:pPr>
        <w:pStyle w:val="3"/>
        <w:spacing w:line="520" w:lineRule="exact"/>
        <w:ind w:firstLine="548" w:firstLineChars="196"/>
        <w:rPr>
          <w:rFonts w:eastAsia="宋体"/>
          <w:snapToGrid w:val="0"/>
          <w:kern w:val="0"/>
          <w:szCs w:val="28"/>
        </w:rPr>
      </w:pPr>
      <w:r>
        <w:rPr>
          <w:rFonts w:eastAsia="宋体"/>
          <w:snapToGrid w:val="0"/>
          <w:kern w:val="0"/>
          <w:szCs w:val="28"/>
        </w:rPr>
        <w:t>7、估价人员已按规范的估价程序对估价对象进行了现场查看。但仅限于其外观和使用状况，估价人员不承担对估价对象建筑物结构及被遮盖、未暴露及难以接触到的部分进行检视和调查的责任，本报告假设该部分符合国家有关技术、质量、验收规范。</w:t>
      </w:r>
    </w:p>
    <w:p>
      <w:pPr>
        <w:pStyle w:val="3"/>
        <w:spacing w:line="520" w:lineRule="exact"/>
        <w:ind w:firstLine="548" w:firstLineChars="196"/>
        <w:rPr>
          <w:rFonts w:hint="eastAsia" w:eastAsia="宋体"/>
          <w:snapToGrid w:val="0"/>
          <w:kern w:val="0"/>
          <w:szCs w:val="28"/>
        </w:rPr>
      </w:pPr>
      <w:r>
        <w:rPr>
          <w:rFonts w:eastAsia="宋体"/>
          <w:snapToGrid w:val="0"/>
          <w:kern w:val="0"/>
          <w:szCs w:val="28"/>
        </w:rPr>
        <w:t>8、估价委托人提供的有关资料和陈述的情况真实、合法、完整。因资料失实造成估价结果有误的，估价机构及估价人员不承担相应的责任。</w:t>
      </w:r>
    </w:p>
    <w:p>
      <w:pPr>
        <w:pStyle w:val="3"/>
        <w:spacing w:line="520" w:lineRule="exact"/>
        <w:ind w:firstLine="548" w:firstLineChars="196"/>
        <w:rPr>
          <w:rFonts w:hint="eastAsia" w:eastAsia="宋体"/>
        </w:rPr>
      </w:pPr>
      <w:r>
        <w:rPr>
          <w:rFonts w:hint="eastAsia" w:eastAsia="宋体"/>
          <w:snapToGrid w:val="0"/>
          <w:kern w:val="0"/>
          <w:szCs w:val="28"/>
        </w:rPr>
        <w:t>9、根据估价委托人提供的《房屋信息摘要</w:t>
      </w:r>
      <w:r>
        <w:rPr>
          <w:rFonts w:eastAsia="宋体"/>
        </w:rPr>
        <w:t>》</w:t>
      </w:r>
      <w:r>
        <w:rPr>
          <w:rFonts w:hint="eastAsia" w:eastAsia="宋体"/>
          <w:snapToGrid w:val="0"/>
          <w:kern w:val="0"/>
          <w:szCs w:val="28"/>
        </w:rPr>
        <w:t>（复印件）</w:t>
      </w:r>
      <w:r>
        <w:rPr>
          <w:rFonts w:hint="eastAsia" w:eastAsia="宋体"/>
        </w:rPr>
        <w:t>估价对象位于游仙区东津路37号电力小区8栋1单元4楼1号，建筑面积为121.21平方米；</w:t>
      </w:r>
      <w:r>
        <w:rPr>
          <w:rFonts w:hint="eastAsia" w:eastAsia="宋体"/>
          <w:snapToGrid w:val="0"/>
          <w:kern w:val="0"/>
          <w:szCs w:val="28"/>
        </w:rPr>
        <w:t>根据估价委托人</w:t>
      </w:r>
      <w:r>
        <w:rPr>
          <w:rFonts w:hint="eastAsia" w:eastAsia="宋体"/>
          <w:snapToGrid w:val="0"/>
          <w:kern w:val="0"/>
          <w:szCs w:val="28"/>
          <w:lang w:eastAsia="zh-CN"/>
        </w:rPr>
        <w:t>未提供估价对象分户的土地信息，均</w:t>
      </w:r>
      <w:r>
        <w:rPr>
          <w:rFonts w:hint="eastAsia" w:eastAsia="宋体"/>
          <w:snapToGrid w:val="0"/>
          <w:kern w:val="0"/>
          <w:szCs w:val="28"/>
        </w:rPr>
        <w:t>提供的估价对象所在宗地的</w:t>
      </w:r>
      <w:r>
        <w:rPr>
          <w:rFonts w:hint="eastAsia" w:eastAsia="宋体"/>
        </w:rPr>
        <w:t>《土地</w:t>
      </w:r>
      <w:r>
        <w:rPr>
          <w:rFonts w:hint="eastAsia" w:eastAsia="宋体"/>
          <w:lang w:eastAsia="zh-CN"/>
        </w:rPr>
        <w:t>查询信息表</w:t>
      </w:r>
      <w:r>
        <w:rPr>
          <w:rFonts w:hint="eastAsia" w:eastAsia="宋体"/>
        </w:rPr>
        <w:t>》（复印件）登记的有关信息：土地面积为14469.25平方米，土地用途为住宅，使用权类型为出让，终止日期为2051年12月3日，未载明估价对象相应分摊的土地使用权面积；</w:t>
      </w:r>
      <w:r>
        <w:rPr>
          <w:rFonts w:hint="eastAsia" w:eastAsia="宋体"/>
          <w:snapToGrid w:val="0"/>
          <w:kern w:val="0"/>
          <w:szCs w:val="28"/>
        </w:rPr>
        <w:t>本次评估以上述数据</w:t>
      </w:r>
      <w:r>
        <w:rPr>
          <w:rFonts w:hint="eastAsia" w:eastAsia="宋体"/>
        </w:rPr>
        <w:t>作为假使前提进行估价。</w:t>
      </w:r>
    </w:p>
    <w:p>
      <w:pPr>
        <w:pStyle w:val="3"/>
        <w:spacing w:line="520" w:lineRule="exact"/>
        <w:ind w:firstLine="548" w:firstLineChars="196"/>
        <w:rPr>
          <w:rFonts w:hint="eastAsia" w:eastAsia="宋体"/>
          <w:snapToGrid w:val="0"/>
          <w:kern w:val="0"/>
          <w:szCs w:val="28"/>
        </w:rPr>
      </w:pPr>
      <w:bookmarkStart w:id="24" w:name="_Toc420873305"/>
      <w:bookmarkStart w:id="25" w:name="_Toc420873152"/>
      <w:bookmarkStart w:id="26" w:name="_Toc420873216"/>
      <w:bookmarkStart w:id="27" w:name="_Toc418520306"/>
      <w:bookmarkStart w:id="28" w:name="_Toc420872936"/>
      <w:bookmarkStart w:id="29" w:name="_Toc418520139"/>
      <w:bookmarkStart w:id="30" w:name="_Toc418519996"/>
      <w:r>
        <w:rPr>
          <w:rFonts w:hint="eastAsia" w:eastAsia="宋体"/>
          <w:snapToGrid w:val="0"/>
          <w:kern w:val="0"/>
          <w:szCs w:val="28"/>
        </w:rPr>
        <w:t>10、估价委托人绵阳市涪城区人民法院法官牟玉峰组织被执行人以及我公司估价人员对本次估价对象进行了现场查看，并对现场状况进行了确认。</w:t>
      </w:r>
    </w:p>
    <w:p>
      <w:pPr>
        <w:pStyle w:val="3"/>
        <w:spacing w:line="520" w:lineRule="exact"/>
        <w:ind w:firstLine="573"/>
        <w:rPr>
          <w:rFonts w:eastAsia="宋体"/>
          <w:b/>
          <w:color w:val="000000"/>
        </w:rPr>
      </w:pPr>
      <w:r>
        <w:rPr>
          <w:rFonts w:eastAsia="宋体"/>
          <w:b/>
          <w:color w:val="000000"/>
        </w:rPr>
        <w:t>二、说明和限制条件</w:t>
      </w:r>
      <w:bookmarkEnd w:id="24"/>
      <w:bookmarkEnd w:id="25"/>
      <w:bookmarkEnd w:id="26"/>
      <w:bookmarkEnd w:id="27"/>
      <w:bookmarkEnd w:id="28"/>
      <w:bookmarkEnd w:id="29"/>
      <w:bookmarkEnd w:id="30"/>
    </w:p>
    <w:p>
      <w:pPr>
        <w:pStyle w:val="3"/>
        <w:spacing w:line="520" w:lineRule="exact"/>
        <w:ind w:firstLine="570"/>
        <w:rPr>
          <w:rFonts w:eastAsia="宋体"/>
          <w:szCs w:val="28"/>
        </w:rPr>
      </w:pPr>
      <w:r>
        <w:rPr>
          <w:rFonts w:eastAsia="宋体"/>
          <w:snapToGrid w:val="0"/>
          <w:color w:val="000000"/>
          <w:kern w:val="0"/>
          <w:szCs w:val="28"/>
        </w:rPr>
        <w:t>1、</w:t>
      </w:r>
      <w:r>
        <w:rPr>
          <w:rFonts w:eastAsia="宋体"/>
          <w:color w:val="000000"/>
          <w:szCs w:val="28"/>
        </w:rPr>
        <w:t>本报告估价结果根据本次估价目的，对估价对象在保持现有</w:t>
      </w:r>
      <w:r>
        <w:rPr>
          <w:rFonts w:eastAsia="宋体"/>
          <w:szCs w:val="28"/>
        </w:rPr>
        <w:t>使用状态</w:t>
      </w:r>
      <w:r>
        <w:rPr>
          <w:rFonts w:hint="eastAsia" w:eastAsia="宋体"/>
          <w:szCs w:val="28"/>
        </w:rPr>
        <w:t>及装饰装修</w:t>
      </w:r>
      <w:r>
        <w:rPr>
          <w:rFonts w:eastAsia="宋体"/>
          <w:szCs w:val="28"/>
        </w:rPr>
        <w:t>下作出的，仅供司法拍卖（变卖）提供房地产市场价值参考依据，不得作其他用途。</w:t>
      </w:r>
    </w:p>
    <w:p>
      <w:pPr>
        <w:pStyle w:val="3"/>
        <w:spacing w:line="520" w:lineRule="exact"/>
        <w:ind w:firstLine="570"/>
        <w:rPr>
          <w:rFonts w:eastAsia="宋体"/>
          <w:szCs w:val="28"/>
        </w:rPr>
      </w:pPr>
      <w:r>
        <w:rPr>
          <w:rFonts w:eastAsia="宋体"/>
          <w:szCs w:val="28"/>
        </w:rPr>
        <w:t>2、本报告价值时点为</w:t>
      </w:r>
      <w:r>
        <w:rPr>
          <w:rFonts w:hint="eastAsia" w:eastAsia="宋体"/>
          <w:szCs w:val="28"/>
        </w:rPr>
        <w:t>二零一八年十二月二十七日</w:t>
      </w:r>
      <w:r>
        <w:rPr>
          <w:rFonts w:eastAsia="宋体"/>
          <w:szCs w:val="28"/>
        </w:rPr>
        <w:t>，</w:t>
      </w:r>
      <w:r>
        <w:rPr>
          <w:rFonts w:hint="eastAsia" w:eastAsia="宋体"/>
          <w:szCs w:val="28"/>
        </w:rPr>
        <w:t>应估价委托人要求</w:t>
      </w:r>
      <w:r>
        <w:rPr>
          <w:rFonts w:eastAsia="宋体"/>
          <w:szCs w:val="28"/>
        </w:rPr>
        <w:t>与估价人员现场查看时点一致。</w:t>
      </w:r>
    </w:p>
    <w:p>
      <w:pPr>
        <w:pStyle w:val="3"/>
        <w:spacing w:line="520" w:lineRule="exact"/>
        <w:ind w:firstLine="548" w:firstLineChars="196"/>
        <w:rPr>
          <w:rFonts w:hint="eastAsia" w:hAnsi="宋体" w:eastAsia="宋体"/>
          <w:snapToGrid w:val="0"/>
          <w:kern w:val="0"/>
          <w:szCs w:val="28"/>
        </w:rPr>
      </w:pPr>
      <w:bookmarkStart w:id="31" w:name="_Toc418519997"/>
      <w:bookmarkStart w:id="32" w:name="_Toc418520140"/>
      <w:bookmarkStart w:id="33" w:name="_Toc418520307"/>
      <w:r>
        <w:rPr>
          <w:rFonts w:hint="eastAsia" w:eastAsia="宋体"/>
          <w:szCs w:val="28"/>
        </w:rPr>
        <w:t>3</w:t>
      </w:r>
      <w:r>
        <w:rPr>
          <w:rFonts w:eastAsia="宋体"/>
          <w:szCs w:val="28"/>
        </w:rPr>
        <w:t>、本估价报告及估价结论的价值定义为：估价对象在价值时点</w:t>
      </w:r>
      <w:r>
        <w:rPr>
          <w:rFonts w:hAnsi="宋体" w:eastAsia="宋体"/>
          <w:snapToGrid w:val="0"/>
          <w:kern w:val="0"/>
          <w:szCs w:val="28"/>
        </w:rPr>
        <w:t>状态下的</w:t>
      </w:r>
      <w:r>
        <w:rPr>
          <w:rFonts w:hint="eastAsia" w:hAnsi="宋体" w:eastAsia="宋体"/>
          <w:snapToGrid w:val="0"/>
          <w:kern w:val="0"/>
          <w:szCs w:val="28"/>
        </w:rPr>
        <w:t>公开市场价格</w:t>
      </w:r>
      <w:r>
        <w:rPr>
          <w:rFonts w:hAnsi="宋体" w:eastAsia="宋体"/>
          <w:snapToGrid w:val="0"/>
          <w:kern w:val="0"/>
          <w:szCs w:val="28"/>
        </w:rPr>
        <w:t>。</w:t>
      </w:r>
      <w:r>
        <w:rPr>
          <w:rFonts w:hint="eastAsia" w:eastAsia="宋体"/>
        </w:rPr>
        <w:t>所评估出的客观合理价格应是估价对象于价值时点在公开市场上最可能形成或成立的价格（不评估变现价值，不考虑房地产拍卖（变卖）成交后交易税费及税费的转移分担）。</w:t>
      </w:r>
    </w:p>
    <w:p>
      <w:pPr>
        <w:widowControl/>
        <w:tabs>
          <w:tab w:val="left" w:pos="8460"/>
        </w:tabs>
        <w:spacing w:line="520" w:lineRule="exact"/>
        <w:ind w:right="44" w:firstLine="560" w:firstLineChars="200"/>
        <w:rPr>
          <w:rFonts w:hAnsi="宋体"/>
          <w:snapToGrid w:val="0"/>
          <w:kern w:val="0"/>
          <w:sz w:val="28"/>
          <w:szCs w:val="28"/>
        </w:rPr>
      </w:pPr>
      <w:r>
        <w:rPr>
          <w:rFonts w:hint="eastAsia" w:hAnsi="宋体"/>
          <w:snapToGrid w:val="0"/>
          <w:kern w:val="0"/>
          <w:sz w:val="28"/>
          <w:szCs w:val="28"/>
        </w:rPr>
        <w:t>4</w:t>
      </w:r>
      <w:r>
        <w:rPr>
          <w:rFonts w:hAnsi="宋体"/>
          <w:snapToGrid w:val="0"/>
          <w:kern w:val="0"/>
          <w:sz w:val="28"/>
          <w:szCs w:val="28"/>
        </w:rPr>
        <w:t>、</w:t>
      </w:r>
      <w:r>
        <w:rPr>
          <w:snapToGrid w:val="0"/>
          <w:kern w:val="0"/>
          <w:sz w:val="28"/>
          <w:szCs w:val="28"/>
        </w:rPr>
        <w:t>估价对象状况和房地产市场状况因时间变化对房地产价值可能产生影响，估价对象可能会因为宏观市场、不可抗拒力、相邻物业及其他因素的影响，价值会</w:t>
      </w:r>
      <w:r>
        <w:rPr>
          <w:rFonts w:hint="eastAsia"/>
          <w:snapToGrid w:val="0"/>
          <w:kern w:val="0"/>
          <w:sz w:val="28"/>
          <w:szCs w:val="28"/>
        </w:rPr>
        <w:t>也</w:t>
      </w:r>
      <w:r>
        <w:rPr>
          <w:snapToGrid w:val="0"/>
          <w:kern w:val="0"/>
          <w:sz w:val="28"/>
          <w:szCs w:val="28"/>
        </w:rPr>
        <w:t>有一定的变化</w:t>
      </w:r>
      <w:r>
        <w:rPr>
          <w:rFonts w:hint="eastAsia"/>
          <w:snapToGrid w:val="0"/>
          <w:kern w:val="0"/>
          <w:sz w:val="28"/>
          <w:szCs w:val="28"/>
        </w:rPr>
        <w:t>。</w:t>
      </w:r>
      <w:r>
        <w:rPr>
          <w:snapToGrid w:val="0"/>
          <w:kern w:val="0"/>
          <w:sz w:val="28"/>
          <w:szCs w:val="28"/>
        </w:rPr>
        <w:t>在估价对象实物及区域因素不受意外损害，能正常维护使用，房地产市场没有大的波动的情况下，预计估价报告使用有效期内，房地产</w:t>
      </w:r>
      <w:r>
        <w:rPr>
          <w:rFonts w:hint="eastAsia"/>
          <w:snapToGrid w:val="0"/>
          <w:kern w:val="0"/>
          <w:sz w:val="28"/>
          <w:szCs w:val="28"/>
        </w:rPr>
        <w:t>市场</w:t>
      </w:r>
      <w:r>
        <w:rPr>
          <w:snapToGrid w:val="0"/>
          <w:kern w:val="0"/>
          <w:sz w:val="28"/>
          <w:szCs w:val="28"/>
        </w:rPr>
        <w:t>价值基本保持稳定。</w:t>
      </w:r>
      <w:r>
        <w:rPr>
          <w:rFonts w:hAnsi="宋体"/>
          <w:snapToGrid w:val="0"/>
          <w:kern w:val="0"/>
          <w:sz w:val="28"/>
          <w:szCs w:val="28"/>
        </w:rPr>
        <w:t>本估价结果自估价报告完成之日起</w:t>
      </w:r>
      <w:r>
        <w:rPr>
          <w:rFonts w:hint="eastAsia" w:hAnsi="宋体"/>
          <w:snapToGrid w:val="0"/>
          <w:kern w:val="0"/>
          <w:sz w:val="28"/>
          <w:szCs w:val="28"/>
        </w:rPr>
        <w:t>壹</w:t>
      </w:r>
      <w:r>
        <w:rPr>
          <w:rFonts w:hAnsi="宋体"/>
          <w:snapToGrid w:val="0"/>
          <w:kern w:val="0"/>
          <w:sz w:val="28"/>
          <w:szCs w:val="28"/>
        </w:rPr>
        <w:t>年内有效</w:t>
      </w:r>
      <w:r>
        <w:rPr>
          <w:rFonts w:hint="eastAsia" w:hAnsi="宋体"/>
          <w:snapToGrid w:val="0"/>
          <w:kern w:val="0"/>
          <w:sz w:val="28"/>
          <w:szCs w:val="28"/>
        </w:rPr>
        <w:t>。</w:t>
      </w:r>
      <w:r>
        <w:rPr>
          <w:rFonts w:hAnsi="宋体"/>
          <w:snapToGrid w:val="0"/>
          <w:kern w:val="0"/>
          <w:sz w:val="28"/>
          <w:szCs w:val="28"/>
        </w:rPr>
        <w:t>若在此期间内由于国家政策、经济环境、</w:t>
      </w:r>
      <w:r>
        <w:rPr>
          <w:rFonts w:hint="eastAsia" w:hAnsi="宋体"/>
          <w:snapToGrid w:val="0"/>
          <w:kern w:val="0"/>
          <w:sz w:val="28"/>
          <w:szCs w:val="28"/>
        </w:rPr>
        <w:t>市场变动</w:t>
      </w:r>
      <w:r>
        <w:rPr>
          <w:rFonts w:hAnsi="宋体"/>
          <w:snapToGrid w:val="0"/>
          <w:kern w:val="0"/>
          <w:sz w:val="28"/>
          <w:szCs w:val="28"/>
        </w:rPr>
        <w:t>及估价对象本身的物理状况等因素和本报告假设条件发生重大变动，且这些变动会对估价结果产生重大影响时，本估价结果无效，而需委托评估机构再估价。</w:t>
      </w:r>
    </w:p>
    <w:p>
      <w:pPr>
        <w:pStyle w:val="3"/>
        <w:spacing w:line="520" w:lineRule="exact"/>
        <w:ind w:firstLine="570"/>
        <w:rPr>
          <w:rFonts w:hint="eastAsia" w:hAnsi="宋体" w:eastAsia="宋体"/>
          <w:szCs w:val="28"/>
        </w:rPr>
      </w:pPr>
      <w:r>
        <w:rPr>
          <w:rFonts w:hint="eastAsia" w:eastAsia="宋体"/>
          <w:szCs w:val="28"/>
        </w:rPr>
        <w:t>5</w:t>
      </w:r>
      <w:r>
        <w:rPr>
          <w:rFonts w:hAnsi="宋体" w:eastAsia="宋体"/>
          <w:szCs w:val="28"/>
        </w:rPr>
        <w:t>、本报告须在有效期内，按</w:t>
      </w:r>
      <w:r>
        <w:rPr>
          <w:rFonts w:eastAsia="宋体"/>
          <w:szCs w:val="28"/>
        </w:rPr>
        <w:t>“</w:t>
      </w:r>
      <w:r>
        <w:rPr>
          <w:rFonts w:hAnsi="宋体" w:eastAsia="宋体"/>
          <w:szCs w:val="28"/>
        </w:rPr>
        <w:t>估价的假设和限制条件及报告使用说明</w:t>
      </w:r>
      <w:r>
        <w:rPr>
          <w:rFonts w:eastAsia="宋体"/>
          <w:szCs w:val="28"/>
        </w:rPr>
        <w:t>”</w:t>
      </w:r>
      <w:r>
        <w:rPr>
          <w:rFonts w:hAnsi="宋体" w:eastAsia="宋体"/>
          <w:szCs w:val="28"/>
        </w:rPr>
        <w:t>正确合理地运用，若由于使用者使用不当相关责任由使用者承担。</w:t>
      </w:r>
    </w:p>
    <w:p>
      <w:pPr>
        <w:pStyle w:val="3"/>
        <w:tabs>
          <w:tab w:val="left" w:pos="570"/>
        </w:tabs>
        <w:spacing w:line="520" w:lineRule="exact"/>
        <w:ind w:firstLine="560" w:firstLineChars="200"/>
        <w:rPr>
          <w:rFonts w:eastAsia="宋体"/>
          <w:szCs w:val="28"/>
        </w:rPr>
      </w:pPr>
      <w:r>
        <w:rPr>
          <w:rFonts w:eastAsia="宋体"/>
          <w:szCs w:val="28"/>
        </w:rPr>
        <w:t>6、根据本报告估价目的，在运用本报告时应充分考虑产权性质、未来市场波动风险、房地产</w:t>
      </w:r>
      <w:r>
        <w:rPr>
          <w:rFonts w:hint="eastAsia" w:eastAsia="宋体"/>
          <w:szCs w:val="28"/>
        </w:rPr>
        <w:t>拍卖变卖</w:t>
      </w:r>
      <w:r>
        <w:rPr>
          <w:rFonts w:eastAsia="宋体"/>
          <w:szCs w:val="28"/>
        </w:rPr>
        <w:t>的不确定性和变现费用、房地产</w:t>
      </w:r>
      <w:r>
        <w:rPr>
          <w:rFonts w:hint="eastAsia" w:eastAsia="宋体"/>
          <w:szCs w:val="28"/>
        </w:rPr>
        <w:t>成交后</w:t>
      </w:r>
      <w:r>
        <w:rPr>
          <w:rFonts w:eastAsia="宋体"/>
          <w:szCs w:val="28"/>
        </w:rPr>
        <w:t>应缴纳的有关税费等因素对估价对象价值的影响</w:t>
      </w:r>
      <w:r>
        <w:rPr>
          <w:rFonts w:eastAsia="宋体"/>
          <w:snapToGrid w:val="0"/>
          <w:kern w:val="0"/>
          <w:szCs w:val="28"/>
        </w:rPr>
        <w:t>。</w:t>
      </w:r>
    </w:p>
    <w:p>
      <w:pPr>
        <w:pStyle w:val="3"/>
        <w:spacing w:line="520" w:lineRule="exact"/>
        <w:ind w:firstLine="560" w:firstLineChars="200"/>
        <w:rPr>
          <w:rFonts w:eastAsia="宋体"/>
          <w:szCs w:val="28"/>
        </w:rPr>
      </w:pPr>
      <w:r>
        <w:rPr>
          <w:rFonts w:hint="eastAsia" w:eastAsia="宋体"/>
          <w:szCs w:val="28"/>
        </w:rPr>
        <w:t>7</w:t>
      </w:r>
      <w:r>
        <w:rPr>
          <w:rFonts w:hAnsi="宋体" w:eastAsia="宋体"/>
          <w:szCs w:val="28"/>
        </w:rPr>
        <w:t>、本报告未经我公司书面同意，估价委托人不得向报告使用方以外的人员或单位提供、且报告的全部或部分内容不得发表于任何公开媒体</w:t>
      </w:r>
      <w:r>
        <w:rPr>
          <w:rFonts w:hint="eastAsia" w:hAnsi="宋体" w:eastAsia="宋体"/>
          <w:szCs w:val="28"/>
        </w:rPr>
        <w:t>、</w:t>
      </w:r>
      <w:r>
        <w:rPr>
          <w:rFonts w:hAnsi="宋体" w:eastAsia="宋体"/>
          <w:szCs w:val="28"/>
        </w:rPr>
        <w:t>宣传资料</w:t>
      </w:r>
      <w:r>
        <w:rPr>
          <w:rFonts w:hint="eastAsia" w:hAnsi="宋体" w:eastAsia="宋体"/>
          <w:szCs w:val="28"/>
        </w:rPr>
        <w:t>以及其他商业用途</w:t>
      </w:r>
      <w:r>
        <w:rPr>
          <w:rFonts w:hAnsi="宋体" w:eastAsia="宋体"/>
          <w:szCs w:val="28"/>
        </w:rPr>
        <w:t>中</w:t>
      </w:r>
      <w:r>
        <w:rPr>
          <w:rFonts w:hint="eastAsia" w:hAnsi="宋体" w:eastAsia="宋体"/>
          <w:szCs w:val="28"/>
        </w:rPr>
        <w:t>，</w:t>
      </w:r>
      <w:r>
        <w:rPr>
          <w:rFonts w:hint="eastAsia" w:eastAsia="宋体"/>
          <w:snapToGrid w:val="0"/>
          <w:kern w:val="0"/>
          <w:szCs w:val="28"/>
        </w:rPr>
        <w:t>国家法律有规定的除外</w:t>
      </w:r>
      <w:r>
        <w:rPr>
          <w:rFonts w:hAnsi="宋体" w:eastAsia="宋体"/>
          <w:szCs w:val="28"/>
        </w:rPr>
        <w:t>。</w:t>
      </w:r>
    </w:p>
    <w:p>
      <w:pPr>
        <w:pStyle w:val="3"/>
        <w:spacing w:line="520" w:lineRule="exact"/>
        <w:ind w:firstLine="560" w:firstLineChars="200"/>
        <w:rPr>
          <w:rFonts w:hAnsi="宋体" w:eastAsia="宋体"/>
          <w:szCs w:val="28"/>
        </w:rPr>
      </w:pPr>
      <w:r>
        <w:rPr>
          <w:rFonts w:hint="eastAsia" w:hAnsi="宋体" w:eastAsia="宋体"/>
          <w:szCs w:val="28"/>
        </w:rPr>
        <w:t>8、</w:t>
      </w:r>
      <w:r>
        <w:rPr>
          <w:rFonts w:hAnsi="宋体" w:eastAsia="宋体"/>
          <w:szCs w:val="28"/>
        </w:rPr>
        <w:t>本估价报告在估价人员专业知识范围内，力求客观、公正、科学，若因打印、校对及其他原因出现数字或文字误差时，请估价委托人及时通知我公司更正，否则，误差部分无效。</w:t>
      </w:r>
    </w:p>
    <w:p>
      <w:pPr>
        <w:pStyle w:val="3"/>
        <w:spacing w:line="520" w:lineRule="exact"/>
        <w:ind w:firstLine="560" w:firstLineChars="200"/>
        <w:rPr>
          <w:rFonts w:hint="eastAsia" w:hAnsi="宋体" w:eastAsia="宋体"/>
          <w:szCs w:val="28"/>
        </w:rPr>
      </w:pPr>
      <w:r>
        <w:rPr>
          <w:rFonts w:hint="eastAsia" w:hAnsi="宋体" w:eastAsia="宋体"/>
          <w:szCs w:val="28"/>
        </w:rPr>
        <w:t>9、本报告分为“估价结果报告”和“估价技术报告”，估价结果报告提交估价委托人，估价技术报告由评估机构存档。</w:t>
      </w:r>
    </w:p>
    <w:p>
      <w:pPr>
        <w:pStyle w:val="3"/>
        <w:spacing w:line="520" w:lineRule="exact"/>
        <w:ind w:firstLine="560" w:firstLineChars="200"/>
        <w:rPr>
          <w:rFonts w:eastAsia="宋体"/>
          <w:szCs w:val="28"/>
        </w:rPr>
      </w:pPr>
      <w:r>
        <w:rPr>
          <w:rFonts w:hint="eastAsia" w:hAnsi="宋体" w:eastAsia="宋体"/>
          <w:szCs w:val="28"/>
        </w:rPr>
        <w:t>10、</w:t>
      </w:r>
      <w:r>
        <w:rPr>
          <w:rFonts w:hAnsi="宋体" w:eastAsia="宋体"/>
          <w:szCs w:val="28"/>
        </w:rPr>
        <w:t>本报告经两名专职注册房地产估价师及公司签章，并作为一个整体使用时有效。</w:t>
      </w:r>
    </w:p>
    <w:p>
      <w:pPr>
        <w:pStyle w:val="3"/>
        <w:spacing w:line="520" w:lineRule="exact"/>
        <w:ind w:firstLine="560" w:firstLineChars="200"/>
        <w:rPr>
          <w:rFonts w:eastAsia="宋体"/>
          <w:szCs w:val="28"/>
        </w:rPr>
      </w:pPr>
      <w:r>
        <w:rPr>
          <w:rFonts w:hint="eastAsia" w:eastAsia="宋体"/>
          <w:szCs w:val="28"/>
        </w:rPr>
        <w:t>11</w:t>
      </w:r>
      <w:r>
        <w:rPr>
          <w:rFonts w:eastAsia="宋体"/>
          <w:szCs w:val="28"/>
        </w:rPr>
        <w:t>、计价币种为人民币，计算过程进行了取整。</w:t>
      </w:r>
    </w:p>
    <w:bookmarkEnd w:id="31"/>
    <w:bookmarkEnd w:id="32"/>
    <w:bookmarkEnd w:id="33"/>
    <w:p>
      <w:pPr>
        <w:pStyle w:val="3"/>
        <w:spacing w:line="520" w:lineRule="exact"/>
        <w:ind w:firstLine="2331" w:firstLineChars="645"/>
        <w:rPr>
          <w:rFonts w:hint="eastAsia" w:eastAsia="黑体"/>
          <w:b/>
          <w:sz w:val="36"/>
        </w:rPr>
      </w:pPr>
    </w:p>
    <w:p>
      <w:pPr>
        <w:pStyle w:val="3"/>
        <w:spacing w:line="520" w:lineRule="exact"/>
        <w:ind w:firstLine="2331" w:firstLineChars="645"/>
        <w:rPr>
          <w:rFonts w:hint="eastAsia" w:eastAsia="黑体"/>
          <w:b/>
          <w:sz w:val="36"/>
        </w:rPr>
      </w:pPr>
    </w:p>
    <w:p>
      <w:pPr>
        <w:pStyle w:val="3"/>
        <w:spacing w:line="520" w:lineRule="exact"/>
        <w:ind w:firstLine="2331" w:firstLineChars="645"/>
        <w:rPr>
          <w:rFonts w:hint="eastAsia" w:eastAsia="黑体"/>
          <w:b/>
          <w:sz w:val="36"/>
        </w:rPr>
      </w:pPr>
    </w:p>
    <w:p>
      <w:pPr>
        <w:pStyle w:val="3"/>
        <w:spacing w:line="520" w:lineRule="exact"/>
        <w:ind w:firstLine="2331" w:firstLineChars="645"/>
        <w:rPr>
          <w:rFonts w:hint="eastAsia" w:eastAsia="黑体"/>
          <w:b/>
          <w:sz w:val="36"/>
        </w:rPr>
      </w:pPr>
    </w:p>
    <w:p>
      <w:pPr>
        <w:pStyle w:val="3"/>
        <w:spacing w:line="520" w:lineRule="exact"/>
        <w:ind w:firstLine="2331" w:firstLineChars="645"/>
        <w:rPr>
          <w:rFonts w:hint="eastAsia" w:eastAsia="黑体"/>
          <w:b/>
          <w:sz w:val="36"/>
        </w:rPr>
      </w:pPr>
    </w:p>
    <w:p>
      <w:pPr>
        <w:pStyle w:val="3"/>
        <w:spacing w:line="520" w:lineRule="exact"/>
        <w:ind w:firstLine="2331" w:firstLineChars="645"/>
        <w:rPr>
          <w:rFonts w:hint="eastAsia" w:eastAsia="黑体"/>
          <w:b/>
          <w:sz w:val="36"/>
        </w:rPr>
      </w:pPr>
    </w:p>
    <w:p>
      <w:pPr>
        <w:pStyle w:val="3"/>
        <w:spacing w:line="520" w:lineRule="exact"/>
        <w:ind w:firstLine="2331" w:firstLineChars="645"/>
        <w:rPr>
          <w:rFonts w:hint="eastAsia" w:eastAsia="黑体"/>
          <w:b/>
          <w:sz w:val="36"/>
        </w:rPr>
      </w:pPr>
    </w:p>
    <w:p>
      <w:pPr>
        <w:pStyle w:val="3"/>
        <w:spacing w:line="520" w:lineRule="exact"/>
        <w:ind w:firstLine="2331" w:firstLineChars="645"/>
        <w:rPr>
          <w:rFonts w:hint="eastAsia" w:eastAsia="黑体"/>
          <w:b/>
          <w:sz w:val="36"/>
        </w:rPr>
      </w:pPr>
    </w:p>
    <w:p>
      <w:pPr>
        <w:pStyle w:val="3"/>
        <w:ind w:firstLine="2331" w:firstLineChars="645"/>
        <w:outlineLvl w:val="0"/>
        <w:rPr>
          <w:rFonts w:hint="eastAsia" w:eastAsia="黑体"/>
          <w:b/>
          <w:sz w:val="36"/>
        </w:rPr>
      </w:pPr>
      <w:bookmarkStart w:id="34" w:name="_Toc25851"/>
    </w:p>
    <w:p>
      <w:pPr>
        <w:pStyle w:val="3"/>
        <w:spacing w:line="520" w:lineRule="exact"/>
        <w:ind w:firstLine="2331" w:firstLineChars="645"/>
        <w:outlineLvl w:val="0"/>
        <w:rPr>
          <w:rFonts w:hint="eastAsia" w:eastAsia="黑体"/>
          <w:b/>
          <w:sz w:val="36"/>
        </w:rPr>
      </w:pPr>
    </w:p>
    <w:p>
      <w:pPr>
        <w:pStyle w:val="3"/>
        <w:spacing w:line="520" w:lineRule="exact"/>
        <w:ind w:firstLine="2331" w:firstLineChars="645"/>
        <w:outlineLvl w:val="0"/>
        <w:rPr>
          <w:rFonts w:hint="eastAsia" w:eastAsia="黑体"/>
          <w:b/>
          <w:sz w:val="36"/>
        </w:rPr>
      </w:pPr>
      <w:r>
        <w:rPr>
          <w:rFonts w:eastAsia="黑体"/>
          <w:b/>
          <w:sz w:val="36"/>
        </w:rPr>
        <w:t>第四部分   估价结果报告</w:t>
      </w:r>
      <w:bookmarkEnd w:id="34"/>
    </w:p>
    <w:p>
      <w:pPr>
        <w:pStyle w:val="3"/>
        <w:spacing w:line="520" w:lineRule="exact"/>
        <w:ind w:firstLine="2331" w:firstLineChars="645"/>
        <w:rPr>
          <w:rFonts w:hint="eastAsia" w:eastAsia="黑体"/>
          <w:b/>
          <w:sz w:val="36"/>
        </w:rPr>
      </w:pPr>
    </w:p>
    <w:p>
      <w:pPr>
        <w:pStyle w:val="3"/>
        <w:spacing w:line="520" w:lineRule="exact"/>
        <w:outlineLvl w:val="1"/>
        <w:rPr>
          <w:rFonts w:hint="eastAsia" w:eastAsia="黑体"/>
          <w:b/>
          <w:sz w:val="32"/>
        </w:rPr>
      </w:pPr>
      <w:bookmarkStart w:id="35" w:name="_Toc7103"/>
      <w:r>
        <w:rPr>
          <w:rFonts w:eastAsia="黑体"/>
          <w:b/>
          <w:sz w:val="32"/>
        </w:rPr>
        <w:t>一、</w:t>
      </w:r>
      <w:r>
        <w:rPr>
          <w:rFonts w:hint="eastAsia" w:eastAsia="黑体"/>
          <w:b/>
          <w:sz w:val="32"/>
        </w:rPr>
        <w:t>估价委托人</w:t>
      </w:r>
      <w:bookmarkEnd w:id="35"/>
    </w:p>
    <w:p>
      <w:pPr>
        <w:pStyle w:val="3"/>
        <w:spacing w:line="520" w:lineRule="exact"/>
        <w:rPr>
          <w:rFonts w:hint="eastAsia" w:eastAsia="宋体"/>
        </w:rPr>
      </w:pPr>
      <w:r>
        <w:rPr>
          <w:rFonts w:hint="eastAsia" w:eastAsia="宋体"/>
          <w:b/>
        </w:rPr>
        <w:t>委托法院：</w:t>
      </w:r>
      <w:r>
        <w:rPr>
          <w:rFonts w:hint="eastAsia" w:eastAsia="宋体"/>
        </w:rPr>
        <w:t>绵阳市涪城区人民法院</w:t>
      </w:r>
    </w:p>
    <w:p>
      <w:pPr>
        <w:pStyle w:val="3"/>
        <w:spacing w:line="520" w:lineRule="exact"/>
        <w:rPr>
          <w:rFonts w:hint="eastAsia" w:eastAsia="宋体"/>
        </w:rPr>
      </w:pPr>
      <w:r>
        <w:rPr>
          <w:rFonts w:hint="eastAsia" w:eastAsia="宋体"/>
          <w:b/>
          <w:spacing w:val="-4"/>
        </w:rPr>
        <w:t>联系人：</w:t>
      </w:r>
      <w:r>
        <w:rPr>
          <w:rFonts w:hint="eastAsia" w:eastAsia="宋体"/>
        </w:rPr>
        <w:t>张兴国</w:t>
      </w:r>
    </w:p>
    <w:p>
      <w:pPr>
        <w:pStyle w:val="3"/>
        <w:spacing w:line="520" w:lineRule="exact"/>
        <w:outlineLvl w:val="1"/>
        <w:rPr>
          <w:rFonts w:hint="eastAsia" w:eastAsia="黑体"/>
          <w:b/>
          <w:sz w:val="32"/>
        </w:rPr>
      </w:pPr>
      <w:bookmarkStart w:id="36" w:name="_Toc25804"/>
      <w:r>
        <w:rPr>
          <w:rFonts w:eastAsia="黑体"/>
          <w:b/>
          <w:sz w:val="32"/>
        </w:rPr>
        <w:t>二、</w:t>
      </w:r>
      <w:r>
        <w:rPr>
          <w:rFonts w:hint="eastAsia" w:eastAsia="黑体"/>
          <w:b/>
          <w:sz w:val="32"/>
        </w:rPr>
        <w:t>房地产估价机构</w:t>
      </w:r>
      <w:bookmarkEnd w:id="36"/>
    </w:p>
    <w:p>
      <w:pPr>
        <w:pStyle w:val="3"/>
        <w:spacing w:line="520" w:lineRule="exact"/>
        <w:rPr>
          <w:rFonts w:hint="eastAsia" w:eastAsia="宋体"/>
        </w:rPr>
      </w:pPr>
      <w:r>
        <w:rPr>
          <w:rFonts w:eastAsia="宋体"/>
          <w:b/>
        </w:rPr>
        <w:t>受托单位</w:t>
      </w:r>
      <w:r>
        <w:rPr>
          <w:rFonts w:eastAsia="宋体"/>
        </w:rPr>
        <w:t>：</w:t>
      </w:r>
      <w:r>
        <w:rPr>
          <w:rFonts w:hint="eastAsia" w:eastAsia="宋体"/>
        </w:rPr>
        <w:t>绵阳市公量房地产评估咨询有限公司</w:t>
      </w:r>
    </w:p>
    <w:p>
      <w:pPr>
        <w:pStyle w:val="3"/>
        <w:spacing w:line="520" w:lineRule="exact"/>
        <w:rPr>
          <w:rFonts w:hint="eastAsia" w:eastAsia="宋体"/>
        </w:rPr>
      </w:pPr>
      <w:r>
        <w:rPr>
          <w:rFonts w:eastAsia="宋体"/>
          <w:b/>
        </w:rPr>
        <w:t>办公地址：</w:t>
      </w:r>
      <w:r>
        <w:rPr>
          <w:rFonts w:eastAsia="宋体"/>
          <w:w w:val="96"/>
        </w:rPr>
        <w:t>绵阳</w:t>
      </w:r>
      <w:r>
        <w:rPr>
          <w:rFonts w:hint="eastAsia" w:eastAsia="宋体"/>
          <w:w w:val="96"/>
        </w:rPr>
        <w:t>临园路东段68号富临.大都会4幢1单元2501号</w:t>
      </w:r>
    </w:p>
    <w:p>
      <w:pPr>
        <w:pStyle w:val="3"/>
        <w:spacing w:line="520" w:lineRule="exact"/>
        <w:rPr>
          <w:rFonts w:hint="eastAsia" w:eastAsia="宋体"/>
          <w:spacing w:val="-8"/>
        </w:rPr>
      </w:pPr>
      <w:r>
        <w:rPr>
          <w:rFonts w:hint="eastAsia" w:eastAsia="宋体"/>
          <w:b/>
        </w:rPr>
        <w:t>统一社会信用代码：</w:t>
      </w:r>
      <w:r>
        <w:rPr>
          <w:rFonts w:hint="eastAsia" w:eastAsia="宋体"/>
          <w:spacing w:val="-8"/>
        </w:rPr>
        <w:t>91510703786686306A</w:t>
      </w:r>
    </w:p>
    <w:p>
      <w:pPr>
        <w:pStyle w:val="3"/>
        <w:spacing w:line="520" w:lineRule="exact"/>
        <w:rPr>
          <w:rFonts w:hint="eastAsia" w:eastAsia="宋体"/>
        </w:rPr>
      </w:pPr>
      <w:r>
        <w:rPr>
          <w:rFonts w:eastAsia="宋体"/>
          <w:b/>
        </w:rPr>
        <w:t>法人代表</w:t>
      </w:r>
      <w:r>
        <w:rPr>
          <w:rFonts w:eastAsia="宋体"/>
        </w:rPr>
        <w:t>：</w:t>
      </w:r>
      <w:r>
        <w:rPr>
          <w:rFonts w:hint="eastAsia" w:eastAsia="宋体"/>
        </w:rPr>
        <w:t>李国祥</w:t>
      </w:r>
    </w:p>
    <w:p>
      <w:pPr>
        <w:pStyle w:val="3"/>
        <w:spacing w:line="520" w:lineRule="exact"/>
        <w:rPr>
          <w:rFonts w:hint="eastAsia" w:eastAsia="宋体"/>
        </w:rPr>
      </w:pPr>
      <w:r>
        <w:rPr>
          <w:rFonts w:hint="eastAsia" w:eastAsia="宋体"/>
          <w:b/>
        </w:rPr>
        <w:t>资质</w:t>
      </w:r>
      <w:r>
        <w:rPr>
          <w:rFonts w:eastAsia="宋体"/>
          <w:b/>
        </w:rPr>
        <w:t>等级</w:t>
      </w:r>
      <w:r>
        <w:rPr>
          <w:rFonts w:eastAsia="宋体"/>
        </w:rPr>
        <w:t>：</w:t>
      </w:r>
      <w:r>
        <w:rPr>
          <w:rFonts w:hint="eastAsia" w:eastAsia="宋体"/>
        </w:rPr>
        <w:t>国家贰</w:t>
      </w:r>
      <w:r>
        <w:rPr>
          <w:rFonts w:eastAsia="宋体"/>
        </w:rPr>
        <w:t>级</w:t>
      </w:r>
    </w:p>
    <w:p>
      <w:pPr>
        <w:pStyle w:val="3"/>
        <w:spacing w:line="520" w:lineRule="exact"/>
        <w:rPr>
          <w:rFonts w:eastAsia="宋体"/>
        </w:rPr>
      </w:pPr>
      <w:r>
        <w:rPr>
          <w:rFonts w:hint="eastAsia" w:eastAsia="宋体"/>
          <w:b/>
          <w:bCs/>
        </w:rPr>
        <w:t>证书编号：</w:t>
      </w:r>
      <w:r>
        <w:rPr>
          <w:rFonts w:hint="eastAsia" w:eastAsia="宋体"/>
        </w:rPr>
        <w:t>510700</w:t>
      </w:r>
      <w:r>
        <w:rPr>
          <w:rFonts w:eastAsia="宋体"/>
        </w:rPr>
        <w:t>G23</w:t>
      </w:r>
    </w:p>
    <w:p>
      <w:pPr>
        <w:pStyle w:val="3"/>
        <w:spacing w:line="520" w:lineRule="exact"/>
        <w:rPr>
          <w:rFonts w:hint="eastAsia" w:eastAsia="宋体"/>
        </w:rPr>
      </w:pPr>
      <w:r>
        <w:rPr>
          <w:rFonts w:eastAsia="宋体"/>
          <w:b/>
        </w:rPr>
        <w:t>联系电话</w:t>
      </w:r>
      <w:r>
        <w:rPr>
          <w:rFonts w:eastAsia="宋体"/>
        </w:rPr>
        <w:t>：（0816）</w:t>
      </w:r>
      <w:r>
        <w:rPr>
          <w:rFonts w:hint="eastAsia" w:eastAsia="宋体"/>
        </w:rPr>
        <w:t>2220681</w:t>
      </w:r>
    </w:p>
    <w:p>
      <w:pPr>
        <w:pStyle w:val="3"/>
        <w:spacing w:line="520" w:lineRule="exact"/>
        <w:ind w:firstLine="641"/>
        <w:outlineLvl w:val="1"/>
        <w:rPr>
          <w:rFonts w:hint="eastAsia" w:eastAsia="黑体"/>
          <w:b/>
          <w:sz w:val="32"/>
        </w:rPr>
      </w:pPr>
      <w:bookmarkStart w:id="37" w:name="_Toc1929"/>
      <w:r>
        <w:rPr>
          <w:rFonts w:eastAsia="黑体"/>
          <w:b/>
          <w:sz w:val="32"/>
        </w:rPr>
        <w:t>三、估价对象状况</w:t>
      </w:r>
      <w:bookmarkEnd w:id="37"/>
    </w:p>
    <w:p>
      <w:pPr>
        <w:pStyle w:val="3"/>
        <w:spacing w:line="520" w:lineRule="exact"/>
        <w:ind w:firstLine="570"/>
        <w:rPr>
          <w:rFonts w:hint="eastAsia" w:eastAsia="宋体"/>
          <w:b/>
        </w:rPr>
      </w:pPr>
      <w:bookmarkStart w:id="38" w:name="_Toc418520002"/>
      <w:bookmarkStart w:id="39" w:name="_Toc418520145"/>
      <w:bookmarkStart w:id="40" w:name="_Toc418520312"/>
      <w:bookmarkStart w:id="41" w:name="_Toc420872941"/>
      <w:bookmarkStart w:id="42" w:name="_Toc420873157"/>
      <w:bookmarkStart w:id="43" w:name="_Toc420873221"/>
      <w:bookmarkStart w:id="44" w:name="_Toc420873310"/>
      <w:r>
        <w:rPr>
          <w:rFonts w:hint="eastAsia" w:eastAsia="宋体"/>
          <w:b/>
        </w:rPr>
        <w:t>1、估价对象区域简介</w:t>
      </w:r>
      <w:bookmarkEnd w:id="38"/>
      <w:bookmarkEnd w:id="39"/>
      <w:bookmarkEnd w:id="40"/>
      <w:bookmarkEnd w:id="41"/>
      <w:bookmarkEnd w:id="42"/>
      <w:bookmarkEnd w:id="43"/>
      <w:bookmarkEnd w:id="44"/>
    </w:p>
    <w:p>
      <w:pPr>
        <w:pStyle w:val="6"/>
        <w:spacing w:line="520" w:lineRule="exact"/>
        <w:ind w:left="0" w:firstLine="560" w:firstLineChars="200"/>
      </w:pPr>
      <w:r>
        <w:rPr>
          <w:rFonts w:hAnsi="宋体"/>
        </w:rPr>
        <w:t>估价对象位于</w:t>
      </w:r>
      <w:r>
        <w:rPr>
          <w:rFonts w:hint="eastAsia" w:hAnsi="宋体"/>
        </w:rPr>
        <w:t>绵阳市游仙区东津路37号电力小区8栋1单元4楼1号，</w:t>
      </w:r>
      <w:bookmarkStart w:id="45" w:name="_Toc418520003"/>
      <w:bookmarkStart w:id="46" w:name="_Toc418520146"/>
      <w:bookmarkStart w:id="47" w:name="_Toc418520313"/>
      <w:r>
        <w:rPr>
          <w:rFonts w:hint="eastAsia"/>
        </w:rPr>
        <w:t>周</w:t>
      </w:r>
      <w:r>
        <w:t>围有</w:t>
      </w:r>
      <w:r>
        <w:rPr>
          <w:rFonts w:hint="eastAsia" w:hAnsi="宋体"/>
        </w:rPr>
        <w:t>富乐山水、海英公寓、红月亮小区、富乐小区、峻峰花园、锦洲花园</w:t>
      </w:r>
      <w:r>
        <w:rPr>
          <w:rFonts w:hint="eastAsia"/>
        </w:rPr>
        <w:t>等小区，以及富乐中学、富乐小学、东津酒店、杨肥肠火锅、绵阳市商业银行、中国银行等生活配套设施，区域内有25、32、35等公交车通过，出租车及其他交通工具均可到达，无交通管制限制。区域范围内道路以东津路为主，道路体系完善，</w:t>
      </w:r>
      <w:r>
        <w:t>交通便利，</w:t>
      </w:r>
      <w:r>
        <w:rPr>
          <w:rFonts w:hint="eastAsia"/>
        </w:rPr>
        <w:t>生活配套设施完善。</w:t>
      </w:r>
    </w:p>
    <w:bookmarkEnd w:id="45"/>
    <w:bookmarkEnd w:id="46"/>
    <w:bookmarkEnd w:id="47"/>
    <w:p>
      <w:pPr>
        <w:pStyle w:val="3"/>
        <w:spacing w:line="520" w:lineRule="exact"/>
        <w:ind w:firstLine="570"/>
        <w:rPr>
          <w:rFonts w:eastAsia="宋体"/>
          <w:b/>
        </w:rPr>
      </w:pPr>
      <w:bookmarkStart w:id="48" w:name="_Toc418520004"/>
      <w:bookmarkStart w:id="49" w:name="_Toc418520147"/>
      <w:bookmarkStart w:id="50" w:name="_Toc418520314"/>
      <w:bookmarkStart w:id="51" w:name="_Toc420872942"/>
      <w:bookmarkStart w:id="52" w:name="_Toc420873158"/>
      <w:bookmarkStart w:id="53" w:name="_Toc420873222"/>
      <w:bookmarkStart w:id="54" w:name="_Toc420873311"/>
      <w:bookmarkStart w:id="55" w:name="_Toc418520005"/>
      <w:bookmarkStart w:id="56" w:name="_Toc418520148"/>
      <w:bookmarkStart w:id="57" w:name="_Toc418520315"/>
      <w:r>
        <w:rPr>
          <w:rFonts w:hint="eastAsia"/>
          <w:b/>
        </w:rPr>
        <w:t>2</w:t>
      </w:r>
      <w:r>
        <w:rPr>
          <w:b/>
        </w:rPr>
        <w:t>、</w:t>
      </w:r>
      <w:r>
        <w:rPr>
          <w:rFonts w:hint="eastAsia" w:eastAsia="宋体"/>
          <w:b/>
        </w:rPr>
        <w:t>产权</w:t>
      </w:r>
      <w:r>
        <w:rPr>
          <w:rFonts w:eastAsia="宋体"/>
          <w:b/>
        </w:rPr>
        <w:t>状况</w:t>
      </w:r>
      <w:bookmarkEnd w:id="48"/>
      <w:bookmarkEnd w:id="49"/>
      <w:bookmarkEnd w:id="50"/>
      <w:bookmarkEnd w:id="51"/>
      <w:bookmarkEnd w:id="52"/>
      <w:bookmarkEnd w:id="53"/>
      <w:bookmarkEnd w:id="54"/>
    </w:p>
    <w:p>
      <w:pPr>
        <w:pStyle w:val="3"/>
        <w:spacing w:line="520" w:lineRule="exact"/>
        <w:ind w:firstLine="573"/>
        <w:rPr>
          <w:rFonts w:eastAsia="宋体"/>
          <w:color w:val="auto"/>
        </w:rPr>
      </w:pPr>
      <w:r>
        <w:rPr>
          <w:rFonts w:eastAsia="宋体"/>
          <w:color w:val="auto"/>
        </w:rPr>
        <w:t>估价委托人</w:t>
      </w:r>
      <w:r>
        <w:rPr>
          <w:rFonts w:hint="eastAsia" w:eastAsia="宋体"/>
          <w:color w:val="auto"/>
          <w:lang w:eastAsia="zh-CN"/>
        </w:rPr>
        <w:t>未提供本户的土地分户信息，均</w:t>
      </w:r>
      <w:r>
        <w:rPr>
          <w:rFonts w:eastAsia="宋体"/>
          <w:color w:val="auto"/>
        </w:rPr>
        <w:t>提供</w:t>
      </w:r>
      <w:r>
        <w:rPr>
          <w:rFonts w:hint="eastAsia" w:eastAsia="宋体"/>
          <w:color w:val="auto"/>
          <w:lang w:eastAsia="zh-CN"/>
        </w:rPr>
        <w:t>所在宗地</w:t>
      </w:r>
      <w:r>
        <w:rPr>
          <w:rFonts w:eastAsia="宋体"/>
          <w:color w:val="auto"/>
        </w:rPr>
        <w:t>的《</w:t>
      </w:r>
      <w:r>
        <w:rPr>
          <w:rFonts w:hint="eastAsia" w:eastAsia="宋体"/>
          <w:color w:val="auto"/>
          <w:lang w:eastAsia="zh-CN"/>
        </w:rPr>
        <w:t>土地查询信息表</w:t>
      </w:r>
      <w:r>
        <w:rPr>
          <w:rFonts w:eastAsia="宋体"/>
          <w:color w:val="auto"/>
        </w:rPr>
        <w:t>》（复印件）</w:t>
      </w:r>
      <w:r>
        <w:rPr>
          <w:rFonts w:hint="eastAsia" w:eastAsia="宋体"/>
          <w:color w:val="auto"/>
          <w:lang w:eastAsia="zh-CN"/>
        </w:rPr>
        <w:t>载明</w:t>
      </w:r>
      <w:r>
        <w:rPr>
          <w:rFonts w:hint="eastAsia" w:eastAsia="宋体"/>
          <w:color w:val="auto"/>
        </w:rPr>
        <w:t>的</w:t>
      </w:r>
      <w:r>
        <w:rPr>
          <w:rFonts w:eastAsia="宋体"/>
          <w:color w:val="auto"/>
        </w:rPr>
        <w:t>有关情况如下：</w:t>
      </w:r>
    </w:p>
    <w:tbl>
      <w:tblPr>
        <w:tblStyle w:val="16"/>
        <w:tblW w:w="65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1"/>
        <w:gridCol w:w="43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51" w:type="dxa"/>
            <w:noWrap w:val="0"/>
            <w:vAlign w:val="top"/>
          </w:tcPr>
          <w:p>
            <w:pPr>
              <w:pStyle w:val="10"/>
              <w:spacing w:line="380" w:lineRule="exact"/>
              <w:jc w:val="center"/>
              <w:rPr>
                <w:rFonts w:hint="eastAsia"/>
                <w:color w:val="auto"/>
                <w:sz w:val="21"/>
                <w:szCs w:val="21"/>
              </w:rPr>
            </w:pPr>
            <w:r>
              <w:rPr>
                <w:rFonts w:hint="eastAsia"/>
                <w:color w:val="auto"/>
                <w:sz w:val="21"/>
                <w:szCs w:val="21"/>
              </w:rPr>
              <w:t>土地座落</w:t>
            </w:r>
          </w:p>
        </w:tc>
        <w:tc>
          <w:tcPr>
            <w:tcW w:w="4319" w:type="dxa"/>
            <w:noWrap w:val="0"/>
            <w:vAlign w:val="top"/>
          </w:tcPr>
          <w:p>
            <w:pPr>
              <w:pStyle w:val="10"/>
              <w:spacing w:line="380" w:lineRule="exact"/>
              <w:jc w:val="center"/>
              <w:rPr>
                <w:rFonts w:hint="eastAsia"/>
                <w:color w:val="auto"/>
                <w:sz w:val="21"/>
                <w:szCs w:val="21"/>
              </w:rPr>
            </w:pPr>
            <w:r>
              <w:rPr>
                <w:rFonts w:hint="eastAsia"/>
                <w:color w:val="auto"/>
                <w:sz w:val="21"/>
                <w:szCs w:val="21"/>
              </w:rPr>
              <w:t>绵阳市游仙区沈家坝东津路37号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51" w:type="dxa"/>
            <w:noWrap w:val="0"/>
            <w:vAlign w:val="top"/>
          </w:tcPr>
          <w:p>
            <w:pPr>
              <w:pStyle w:val="10"/>
              <w:spacing w:line="380" w:lineRule="exact"/>
              <w:jc w:val="center"/>
              <w:rPr>
                <w:rFonts w:hint="eastAsia"/>
                <w:color w:val="auto"/>
                <w:sz w:val="21"/>
                <w:szCs w:val="21"/>
              </w:rPr>
            </w:pPr>
            <w:r>
              <w:rPr>
                <w:rFonts w:hint="eastAsia"/>
                <w:color w:val="auto"/>
                <w:sz w:val="21"/>
                <w:szCs w:val="21"/>
              </w:rPr>
              <w:t>土地面积</w:t>
            </w:r>
          </w:p>
        </w:tc>
        <w:tc>
          <w:tcPr>
            <w:tcW w:w="4319" w:type="dxa"/>
            <w:noWrap w:val="0"/>
            <w:vAlign w:val="top"/>
          </w:tcPr>
          <w:p>
            <w:pPr>
              <w:pStyle w:val="10"/>
              <w:spacing w:line="380" w:lineRule="exact"/>
              <w:jc w:val="center"/>
              <w:rPr>
                <w:rFonts w:hint="eastAsia"/>
                <w:color w:val="auto"/>
                <w:sz w:val="21"/>
                <w:szCs w:val="21"/>
              </w:rPr>
            </w:pPr>
            <w:r>
              <w:rPr>
                <w:rFonts w:hint="eastAsia"/>
                <w:color w:val="auto"/>
                <w:sz w:val="21"/>
                <w:szCs w:val="21"/>
              </w:rPr>
              <w:t>14469.</w:t>
            </w:r>
            <w:r>
              <w:rPr>
                <w:rFonts w:hint="eastAsia"/>
                <w:color w:val="auto"/>
                <w:sz w:val="21"/>
                <w:szCs w:val="21"/>
                <w:lang w:val="en-US" w:eastAsia="zh-CN"/>
              </w:rPr>
              <w:t>3</w:t>
            </w:r>
            <w:r>
              <w:rPr>
                <w:rFonts w:hint="eastAsia"/>
                <w:color w:val="auto"/>
                <w:sz w:val="21"/>
                <w:szCs w:val="21"/>
              </w:rPr>
              <w:t>5平方米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51" w:type="dxa"/>
            <w:noWrap w:val="0"/>
            <w:vAlign w:val="top"/>
          </w:tcPr>
          <w:p>
            <w:pPr>
              <w:pStyle w:val="10"/>
              <w:spacing w:line="380" w:lineRule="exact"/>
              <w:jc w:val="center"/>
              <w:rPr>
                <w:rFonts w:hint="eastAsia"/>
                <w:color w:val="auto"/>
                <w:sz w:val="21"/>
                <w:szCs w:val="21"/>
              </w:rPr>
            </w:pPr>
            <w:r>
              <w:rPr>
                <w:rFonts w:hint="eastAsia"/>
                <w:color w:val="auto"/>
                <w:sz w:val="21"/>
                <w:szCs w:val="21"/>
              </w:rPr>
              <w:t>土地用途</w:t>
            </w:r>
          </w:p>
        </w:tc>
        <w:tc>
          <w:tcPr>
            <w:tcW w:w="4319" w:type="dxa"/>
            <w:noWrap w:val="0"/>
            <w:vAlign w:val="top"/>
          </w:tcPr>
          <w:p>
            <w:pPr>
              <w:pStyle w:val="10"/>
              <w:spacing w:line="380" w:lineRule="exact"/>
              <w:jc w:val="center"/>
              <w:rPr>
                <w:rFonts w:hint="eastAsia"/>
                <w:color w:val="auto"/>
                <w:sz w:val="21"/>
                <w:szCs w:val="21"/>
              </w:rPr>
            </w:pPr>
            <w:r>
              <w:rPr>
                <w:rFonts w:hint="eastAsia"/>
                <w:color w:val="auto"/>
                <w:sz w:val="21"/>
                <w:szCs w:val="21"/>
              </w:rPr>
              <w:t>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51" w:type="dxa"/>
            <w:noWrap w:val="0"/>
            <w:vAlign w:val="top"/>
          </w:tcPr>
          <w:p>
            <w:pPr>
              <w:pStyle w:val="10"/>
              <w:spacing w:line="380" w:lineRule="exact"/>
              <w:jc w:val="center"/>
              <w:rPr>
                <w:rFonts w:hint="eastAsia"/>
                <w:color w:val="auto"/>
                <w:sz w:val="21"/>
                <w:szCs w:val="21"/>
              </w:rPr>
            </w:pPr>
            <w:r>
              <w:rPr>
                <w:rFonts w:hint="eastAsia"/>
                <w:color w:val="auto"/>
                <w:sz w:val="21"/>
                <w:szCs w:val="21"/>
              </w:rPr>
              <w:t>权属性质</w:t>
            </w:r>
          </w:p>
        </w:tc>
        <w:tc>
          <w:tcPr>
            <w:tcW w:w="4319" w:type="dxa"/>
            <w:noWrap w:val="0"/>
            <w:vAlign w:val="top"/>
          </w:tcPr>
          <w:p>
            <w:pPr>
              <w:pStyle w:val="10"/>
              <w:spacing w:line="380" w:lineRule="exact"/>
              <w:jc w:val="center"/>
              <w:rPr>
                <w:rFonts w:hint="eastAsia"/>
                <w:color w:val="auto"/>
                <w:sz w:val="21"/>
                <w:szCs w:val="21"/>
              </w:rPr>
            </w:pPr>
            <w:r>
              <w:rPr>
                <w:rFonts w:hint="eastAsia"/>
                <w:color w:val="auto"/>
                <w:sz w:val="21"/>
                <w:szCs w:val="21"/>
              </w:rPr>
              <w:t>国有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51" w:type="dxa"/>
            <w:noWrap w:val="0"/>
            <w:vAlign w:val="top"/>
          </w:tcPr>
          <w:p>
            <w:pPr>
              <w:pStyle w:val="10"/>
              <w:spacing w:line="380" w:lineRule="exact"/>
              <w:jc w:val="center"/>
              <w:rPr>
                <w:rFonts w:hint="eastAsia"/>
                <w:color w:val="auto"/>
                <w:sz w:val="21"/>
                <w:szCs w:val="21"/>
              </w:rPr>
            </w:pPr>
            <w:r>
              <w:rPr>
                <w:rFonts w:hint="eastAsia"/>
                <w:color w:val="auto"/>
                <w:sz w:val="21"/>
                <w:szCs w:val="21"/>
              </w:rPr>
              <w:t>使用权类型</w:t>
            </w:r>
          </w:p>
        </w:tc>
        <w:tc>
          <w:tcPr>
            <w:tcW w:w="4319" w:type="dxa"/>
            <w:noWrap w:val="0"/>
            <w:vAlign w:val="top"/>
          </w:tcPr>
          <w:p>
            <w:pPr>
              <w:pStyle w:val="10"/>
              <w:spacing w:line="380" w:lineRule="exact"/>
              <w:jc w:val="center"/>
              <w:rPr>
                <w:rFonts w:hint="eastAsia"/>
                <w:color w:val="auto"/>
                <w:sz w:val="21"/>
                <w:szCs w:val="21"/>
              </w:rPr>
            </w:pPr>
            <w:r>
              <w:rPr>
                <w:rFonts w:hint="eastAsia"/>
                <w:color w:val="auto"/>
                <w:sz w:val="21"/>
                <w:szCs w:val="21"/>
              </w:rPr>
              <w:t>出让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51" w:type="dxa"/>
            <w:noWrap w:val="0"/>
            <w:vAlign w:val="top"/>
          </w:tcPr>
          <w:p>
            <w:pPr>
              <w:pStyle w:val="10"/>
              <w:spacing w:line="380" w:lineRule="exact"/>
              <w:jc w:val="center"/>
              <w:rPr>
                <w:rFonts w:hint="eastAsia" w:eastAsia="宋体"/>
                <w:color w:val="auto"/>
                <w:sz w:val="21"/>
                <w:szCs w:val="21"/>
                <w:lang w:eastAsia="zh-CN"/>
              </w:rPr>
            </w:pPr>
            <w:r>
              <w:rPr>
                <w:rFonts w:hint="eastAsia"/>
                <w:color w:val="auto"/>
                <w:sz w:val="21"/>
                <w:szCs w:val="21"/>
                <w:lang w:eastAsia="zh-CN"/>
              </w:rPr>
              <w:t>使用期限</w:t>
            </w:r>
          </w:p>
        </w:tc>
        <w:tc>
          <w:tcPr>
            <w:tcW w:w="4319" w:type="dxa"/>
            <w:noWrap w:val="0"/>
            <w:vAlign w:val="top"/>
          </w:tcPr>
          <w:p>
            <w:pPr>
              <w:pStyle w:val="10"/>
              <w:spacing w:line="380" w:lineRule="exact"/>
              <w:jc w:val="center"/>
              <w:rPr>
                <w:rFonts w:hint="eastAsia" w:eastAsia="宋体"/>
                <w:color w:val="auto"/>
                <w:sz w:val="21"/>
                <w:szCs w:val="21"/>
                <w:lang w:eastAsia="zh-CN"/>
              </w:rPr>
            </w:pPr>
            <w:r>
              <w:rPr>
                <w:rFonts w:hint="eastAsia"/>
                <w:color w:val="auto"/>
                <w:sz w:val="21"/>
                <w:szCs w:val="21"/>
                <w:lang w:eastAsia="zh-CN"/>
              </w:rPr>
              <w:t>伍拾年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51" w:type="dxa"/>
            <w:noWrap w:val="0"/>
            <w:vAlign w:val="top"/>
          </w:tcPr>
          <w:p>
            <w:pPr>
              <w:pStyle w:val="10"/>
              <w:spacing w:line="380" w:lineRule="exact"/>
              <w:jc w:val="center"/>
              <w:rPr>
                <w:rFonts w:hint="eastAsia"/>
                <w:color w:val="auto"/>
                <w:sz w:val="21"/>
                <w:szCs w:val="21"/>
              </w:rPr>
            </w:pPr>
            <w:r>
              <w:rPr>
                <w:rFonts w:hint="eastAsia"/>
                <w:color w:val="auto"/>
                <w:sz w:val="21"/>
                <w:szCs w:val="21"/>
              </w:rPr>
              <w:t>终止日期</w:t>
            </w:r>
          </w:p>
        </w:tc>
        <w:tc>
          <w:tcPr>
            <w:tcW w:w="4319" w:type="dxa"/>
            <w:noWrap w:val="0"/>
            <w:vAlign w:val="top"/>
          </w:tcPr>
          <w:p>
            <w:pPr>
              <w:pStyle w:val="10"/>
              <w:spacing w:line="380" w:lineRule="exact"/>
              <w:jc w:val="center"/>
              <w:rPr>
                <w:rFonts w:hint="eastAsia"/>
                <w:color w:val="auto"/>
                <w:sz w:val="21"/>
                <w:szCs w:val="21"/>
              </w:rPr>
            </w:pPr>
            <w:r>
              <w:rPr>
                <w:rFonts w:hint="eastAsia"/>
                <w:color w:val="auto"/>
                <w:sz w:val="21"/>
                <w:szCs w:val="21"/>
              </w:rPr>
              <w:t>2051年12月3日</w:t>
            </w:r>
          </w:p>
        </w:tc>
      </w:tr>
    </w:tbl>
    <w:p>
      <w:pPr>
        <w:pStyle w:val="3"/>
        <w:ind w:firstLine="573"/>
        <w:rPr>
          <w:rFonts w:hint="eastAsia" w:eastAsia="宋体"/>
        </w:rPr>
      </w:pPr>
      <w:r>
        <w:rPr>
          <w:rFonts w:hint="eastAsia" w:eastAsia="宋体"/>
        </w:rPr>
        <w:t>在价值时点估价对象宗地外“六通”（通供水、通排水、通路、通电、通讯、通气），宗地内“六通一平”（通供水、通排水、通路、通电、通讯、通气，场地平整）。</w:t>
      </w:r>
    </w:p>
    <w:p>
      <w:pPr>
        <w:pStyle w:val="3"/>
        <w:ind w:firstLine="573"/>
        <w:rPr>
          <w:rFonts w:eastAsia="宋体"/>
        </w:rPr>
      </w:pPr>
      <w:r>
        <w:rPr>
          <w:rFonts w:eastAsia="宋体"/>
        </w:rPr>
        <w:t>估价委托人本次提供的《</w:t>
      </w:r>
      <w:r>
        <w:rPr>
          <w:rFonts w:hint="eastAsia" w:eastAsia="宋体"/>
        </w:rPr>
        <w:t>房屋信息摘要</w:t>
      </w:r>
      <w:r>
        <w:rPr>
          <w:rFonts w:eastAsia="宋体"/>
        </w:rPr>
        <w:t>》（复印件）登记的有关情况如下：</w:t>
      </w:r>
    </w:p>
    <w:tbl>
      <w:tblPr>
        <w:tblStyle w:val="16"/>
        <w:tblW w:w="70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1"/>
        <w:gridCol w:w="1021"/>
        <w:gridCol w:w="2285"/>
        <w:gridCol w:w="1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jc w:val="center"/>
        </w:trPr>
        <w:tc>
          <w:tcPr>
            <w:tcW w:w="2121" w:type="dxa"/>
            <w:noWrap w:val="0"/>
            <w:vAlign w:val="top"/>
          </w:tcPr>
          <w:p>
            <w:pPr>
              <w:pStyle w:val="10"/>
              <w:spacing w:line="320" w:lineRule="exact"/>
              <w:jc w:val="center"/>
              <w:rPr>
                <w:rFonts w:hint="eastAsia"/>
                <w:sz w:val="21"/>
                <w:szCs w:val="21"/>
              </w:rPr>
            </w:pPr>
            <w:r>
              <w:rPr>
                <w:rFonts w:hint="eastAsia"/>
                <w:sz w:val="21"/>
                <w:szCs w:val="21"/>
              </w:rPr>
              <w:t>业务件号</w:t>
            </w:r>
          </w:p>
        </w:tc>
        <w:tc>
          <w:tcPr>
            <w:tcW w:w="4899" w:type="dxa"/>
            <w:gridSpan w:val="3"/>
            <w:noWrap w:val="0"/>
            <w:vAlign w:val="top"/>
          </w:tcPr>
          <w:p>
            <w:pPr>
              <w:pStyle w:val="10"/>
              <w:spacing w:line="320" w:lineRule="exact"/>
              <w:jc w:val="center"/>
              <w:rPr>
                <w:rFonts w:hint="eastAsia"/>
                <w:sz w:val="21"/>
                <w:szCs w:val="21"/>
              </w:rPr>
            </w:pPr>
            <w:r>
              <w:rPr>
                <w:rFonts w:hint="eastAsia"/>
                <w:sz w:val="21"/>
                <w:szCs w:val="21"/>
              </w:rPr>
              <w:t>权0091148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jc w:val="center"/>
        </w:trPr>
        <w:tc>
          <w:tcPr>
            <w:tcW w:w="2121" w:type="dxa"/>
            <w:noWrap w:val="0"/>
            <w:vAlign w:val="top"/>
          </w:tcPr>
          <w:p>
            <w:pPr>
              <w:pStyle w:val="10"/>
              <w:spacing w:line="320" w:lineRule="exact"/>
              <w:jc w:val="center"/>
              <w:rPr>
                <w:rFonts w:hint="eastAsia"/>
                <w:sz w:val="21"/>
                <w:szCs w:val="21"/>
              </w:rPr>
            </w:pPr>
            <w:r>
              <w:rPr>
                <w:rFonts w:hint="eastAsia"/>
                <w:sz w:val="21"/>
                <w:szCs w:val="21"/>
              </w:rPr>
              <w:t>产别</w:t>
            </w:r>
          </w:p>
        </w:tc>
        <w:tc>
          <w:tcPr>
            <w:tcW w:w="4899" w:type="dxa"/>
            <w:gridSpan w:val="3"/>
            <w:noWrap w:val="0"/>
            <w:vAlign w:val="top"/>
          </w:tcPr>
          <w:p>
            <w:pPr>
              <w:pStyle w:val="10"/>
              <w:spacing w:line="320" w:lineRule="exact"/>
              <w:jc w:val="center"/>
              <w:rPr>
                <w:rFonts w:hint="eastAsia"/>
                <w:sz w:val="21"/>
                <w:szCs w:val="21"/>
              </w:rPr>
            </w:pPr>
            <w:r>
              <w:rPr>
                <w:rFonts w:hint="eastAsia"/>
                <w:sz w:val="21"/>
                <w:szCs w:val="21"/>
              </w:rPr>
              <w:t>私产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jc w:val="center"/>
        </w:trPr>
        <w:tc>
          <w:tcPr>
            <w:tcW w:w="2121" w:type="dxa"/>
            <w:noWrap w:val="0"/>
            <w:vAlign w:val="top"/>
          </w:tcPr>
          <w:p>
            <w:pPr>
              <w:pStyle w:val="10"/>
              <w:spacing w:line="320" w:lineRule="exact"/>
              <w:jc w:val="center"/>
              <w:rPr>
                <w:rFonts w:hint="eastAsia"/>
                <w:sz w:val="21"/>
                <w:szCs w:val="21"/>
              </w:rPr>
            </w:pPr>
            <w:r>
              <w:rPr>
                <w:rFonts w:hint="eastAsia"/>
                <w:sz w:val="21"/>
                <w:szCs w:val="21"/>
              </w:rPr>
              <w:t>共有方式</w:t>
            </w:r>
          </w:p>
        </w:tc>
        <w:tc>
          <w:tcPr>
            <w:tcW w:w="4899" w:type="dxa"/>
            <w:gridSpan w:val="3"/>
            <w:noWrap w:val="0"/>
            <w:vAlign w:val="top"/>
          </w:tcPr>
          <w:p>
            <w:pPr>
              <w:pStyle w:val="10"/>
              <w:spacing w:line="320" w:lineRule="exact"/>
              <w:jc w:val="center"/>
              <w:rPr>
                <w:rFonts w:hint="eastAsia"/>
                <w:sz w:val="21"/>
                <w:szCs w:val="21"/>
              </w:rPr>
            </w:pPr>
            <w:r>
              <w:rPr>
                <w:rFonts w:hint="eastAsia"/>
                <w:sz w:val="21"/>
                <w:szCs w:val="21"/>
              </w:rPr>
              <w:t>共同共有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jc w:val="center"/>
        </w:trPr>
        <w:tc>
          <w:tcPr>
            <w:tcW w:w="2121" w:type="dxa"/>
            <w:noWrap w:val="0"/>
            <w:vAlign w:val="top"/>
          </w:tcPr>
          <w:p>
            <w:pPr>
              <w:pStyle w:val="10"/>
              <w:spacing w:line="320" w:lineRule="exact"/>
              <w:jc w:val="center"/>
              <w:rPr>
                <w:rFonts w:hint="eastAsia"/>
                <w:sz w:val="21"/>
                <w:szCs w:val="21"/>
              </w:rPr>
            </w:pPr>
            <w:r>
              <w:rPr>
                <w:rFonts w:hint="eastAsia"/>
                <w:sz w:val="21"/>
                <w:szCs w:val="21"/>
              </w:rPr>
              <w:t>所在区</w:t>
            </w:r>
          </w:p>
        </w:tc>
        <w:tc>
          <w:tcPr>
            <w:tcW w:w="4899" w:type="dxa"/>
            <w:gridSpan w:val="3"/>
            <w:noWrap w:val="0"/>
            <w:vAlign w:val="top"/>
          </w:tcPr>
          <w:p>
            <w:pPr>
              <w:pStyle w:val="10"/>
              <w:spacing w:line="320" w:lineRule="exact"/>
              <w:jc w:val="center"/>
              <w:rPr>
                <w:rFonts w:hint="eastAsia"/>
                <w:sz w:val="21"/>
                <w:szCs w:val="21"/>
              </w:rPr>
            </w:pPr>
            <w:r>
              <w:rPr>
                <w:rFonts w:hint="eastAsia"/>
                <w:sz w:val="21"/>
                <w:szCs w:val="21"/>
              </w:rPr>
              <w:t>游仙区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jc w:val="center"/>
        </w:trPr>
        <w:tc>
          <w:tcPr>
            <w:tcW w:w="2121" w:type="dxa"/>
            <w:noWrap w:val="0"/>
            <w:vAlign w:val="top"/>
          </w:tcPr>
          <w:p>
            <w:pPr>
              <w:pStyle w:val="10"/>
              <w:spacing w:line="320" w:lineRule="exact"/>
              <w:jc w:val="center"/>
              <w:rPr>
                <w:rFonts w:hint="eastAsia"/>
                <w:sz w:val="21"/>
                <w:szCs w:val="21"/>
              </w:rPr>
            </w:pPr>
            <w:r>
              <w:rPr>
                <w:rFonts w:hint="eastAsia"/>
                <w:sz w:val="21"/>
                <w:szCs w:val="21"/>
              </w:rPr>
              <w:t>房屋地址</w:t>
            </w:r>
          </w:p>
        </w:tc>
        <w:tc>
          <w:tcPr>
            <w:tcW w:w="4899" w:type="dxa"/>
            <w:gridSpan w:val="3"/>
            <w:noWrap w:val="0"/>
            <w:vAlign w:val="top"/>
          </w:tcPr>
          <w:p>
            <w:pPr>
              <w:pStyle w:val="10"/>
              <w:spacing w:line="320" w:lineRule="exact"/>
              <w:jc w:val="center"/>
              <w:rPr>
                <w:rFonts w:hint="eastAsia"/>
                <w:sz w:val="21"/>
                <w:szCs w:val="21"/>
              </w:rPr>
            </w:pPr>
            <w:r>
              <w:rPr>
                <w:rFonts w:hint="eastAsia"/>
                <w:sz w:val="21"/>
                <w:szCs w:val="21"/>
              </w:rPr>
              <w:t>游仙区东津路37号电力小区8栋1单元4楼1号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jc w:val="center"/>
        </w:trPr>
        <w:tc>
          <w:tcPr>
            <w:tcW w:w="2121" w:type="dxa"/>
            <w:noWrap w:val="0"/>
            <w:vAlign w:val="top"/>
          </w:tcPr>
          <w:p>
            <w:pPr>
              <w:pStyle w:val="10"/>
              <w:spacing w:line="320" w:lineRule="exact"/>
              <w:jc w:val="center"/>
              <w:rPr>
                <w:rFonts w:hint="eastAsia"/>
                <w:sz w:val="21"/>
                <w:szCs w:val="21"/>
              </w:rPr>
            </w:pPr>
            <w:r>
              <w:rPr>
                <w:rFonts w:hint="eastAsia"/>
                <w:sz w:val="21"/>
                <w:szCs w:val="21"/>
              </w:rPr>
              <w:t>规划用途</w:t>
            </w:r>
          </w:p>
        </w:tc>
        <w:tc>
          <w:tcPr>
            <w:tcW w:w="4899" w:type="dxa"/>
            <w:gridSpan w:val="3"/>
            <w:noWrap w:val="0"/>
            <w:vAlign w:val="top"/>
          </w:tcPr>
          <w:p>
            <w:pPr>
              <w:pStyle w:val="10"/>
              <w:spacing w:line="320" w:lineRule="exact"/>
              <w:jc w:val="center"/>
              <w:rPr>
                <w:rFonts w:hint="eastAsia"/>
                <w:sz w:val="21"/>
                <w:szCs w:val="21"/>
              </w:rPr>
            </w:pPr>
            <w:r>
              <w:rPr>
                <w:rFonts w:hint="eastAsia"/>
                <w:sz w:val="21"/>
                <w:szCs w:val="21"/>
              </w:rPr>
              <w:t>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jc w:val="center"/>
        </w:trPr>
        <w:tc>
          <w:tcPr>
            <w:tcW w:w="2121" w:type="dxa"/>
            <w:noWrap w:val="0"/>
            <w:vAlign w:val="top"/>
          </w:tcPr>
          <w:p>
            <w:pPr>
              <w:pStyle w:val="10"/>
              <w:spacing w:line="320" w:lineRule="exact"/>
              <w:jc w:val="center"/>
              <w:rPr>
                <w:rFonts w:hint="eastAsia"/>
                <w:sz w:val="21"/>
                <w:szCs w:val="21"/>
              </w:rPr>
            </w:pPr>
            <w:r>
              <w:rPr>
                <w:rFonts w:hint="eastAsia"/>
                <w:sz w:val="21"/>
                <w:szCs w:val="21"/>
              </w:rPr>
              <w:t>结构</w:t>
            </w:r>
          </w:p>
        </w:tc>
        <w:tc>
          <w:tcPr>
            <w:tcW w:w="4899" w:type="dxa"/>
            <w:gridSpan w:val="3"/>
            <w:noWrap w:val="0"/>
            <w:vAlign w:val="top"/>
          </w:tcPr>
          <w:p>
            <w:pPr>
              <w:pStyle w:val="10"/>
              <w:spacing w:line="320" w:lineRule="exact"/>
              <w:jc w:val="center"/>
              <w:rPr>
                <w:rFonts w:hint="eastAsia"/>
                <w:sz w:val="21"/>
                <w:szCs w:val="21"/>
              </w:rPr>
            </w:pPr>
            <w:r>
              <w:rPr>
                <w:rFonts w:hint="eastAsia"/>
                <w:sz w:val="21"/>
                <w:szCs w:val="21"/>
              </w:rPr>
              <w:t>混合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jc w:val="center"/>
        </w:trPr>
        <w:tc>
          <w:tcPr>
            <w:tcW w:w="2121" w:type="dxa"/>
            <w:noWrap w:val="0"/>
            <w:vAlign w:val="top"/>
          </w:tcPr>
          <w:p>
            <w:pPr>
              <w:pStyle w:val="10"/>
              <w:spacing w:line="320" w:lineRule="exact"/>
              <w:jc w:val="center"/>
              <w:rPr>
                <w:rFonts w:hint="eastAsia"/>
                <w:sz w:val="21"/>
                <w:szCs w:val="21"/>
              </w:rPr>
            </w:pPr>
            <w:r>
              <w:rPr>
                <w:rFonts w:hint="eastAsia"/>
                <w:sz w:val="21"/>
                <w:szCs w:val="21"/>
              </w:rPr>
              <w:t>房屋唯一号</w:t>
            </w:r>
          </w:p>
        </w:tc>
        <w:tc>
          <w:tcPr>
            <w:tcW w:w="4899" w:type="dxa"/>
            <w:gridSpan w:val="3"/>
            <w:noWrap w:val="0"/>
            <w:vAlign w:val="top"/>
          </w:tcPr>
          <w:p>
            <w:pPr>
              <w:pStyle w:val="10"/>
              <w:spacing w:line="320" w:lineRule="exact"/>
              <w:jc w:val="center"/>
              <w:rPr>
                <w:rFonts w:hint="eastAsia"/>
                <w:sz w:val="21"/>
                <w:szCs w:val="21"/>
              </w:rPr>
            </w:pPr>
            <w:r>
              <w:rPr>
                <w:rFonts w:hint="eastAsia"/>
                <w:sz w:val="21"/>
                <w:szCs w:val="21"/>
              </w:rPr>
              <w:t>239861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jc w:val="center"/>
        </w:trPr>
        <w:tc>
          <w:tcPr>
            <w:tcW w:w="2121" w:type="dxa"/>
            <w:noWrap w:val="0"/>
            <w:vAlign w:val="top"/>
          </w:tcPr>
          <w:p>
            <w:pPr>
              <w:pStyle w:val="10"/>
              <w:spacing w:line="320" w:lineRule="exact"/>
              <w:jc w:val="center"/>
              <w:rPr>
                <w:rFonts w:hint="eastAsia"/>
                <w:sz w:val="21"/>
                <w:szCs w:val="21"/>
              </w:rPr>
            </w:pPr>
            <w:r>
              <w:rPr>
                <w:rFonts w:hint="eastAsia"/>
                <w:sz w:val="21"/>
                <w:szCs w:val="21"/>
              </w:rPr>
              <w:t>建筑面积（平方米）</w:t>
            </w:r>
          </w:p>
        </w:tc>
        <w:tc>
          <w:tcPr>
            <w:tcW w:w="4899" w:type="dxa"/>
            <w:gridSpan w:val="3"/>
            <w:noWrap w:val="0"/>
            <w:vAlign w:val="top"/>
          </w:tcPr>
          <w:p>
            <w:pPr>
              <w:pStyle w:val="10"/>
              <w:spacing w:line="320" w:lineRule="exact"/>
              <w:jc w:val="center"/>
              <w:rPr>
                <w:rFonts w:hint="eastAsia"/>
                <w:sz w:val="21"/>
                <w:szCs w:val="21"/>
              </w:rPr>
            </w:pPr>
            <w:r>
              <w:rPr>
                <w:rFonts w:hint="eastAsia"/>
                <w:sz w:val="21"/>
                <w:szCs w:val="21"/>
              </w:rPr>
              <w:t>121.21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jc w:val="center"/>
        </w:trPr>
        <w:tc>
          <w:tcPr>
            <w:tcW w:w="2121" w:type="dxa"/>
            <w:vMerge w:val="restart"/>
            <w:noWrap w:val="0"/>
            <w:vAlign w:val="center"/>
          </w:tcPr>
          <w:p>
            <w:pPr>
              <w:pStyle w:val="10"/>
              <w:spacing w:line="320" w:lineRule="exact"/>
              <w:jc w:val="center"/>
              <w:rPr>
                <w:rFonts w:hint="eastAsia"/>
                <w:sz w:val="21"/>
                <w:szCs w:val="21"/>
              </w:rPr>
            </w:pPr>
            <w:r>
              <w:rPr>
                <w:rFonts w:hint="eastAsia"/>
                <w:sz w:val="21"/>
                <w:szCs w:val="21"/>
              </w:rPr>
              <w:t>权利人信息</w:t>
            </w:r>
          </w:p>
        </w:tc>
        <w:tc>
          <w:tcPr>
            <w:tcW w:w="1021" w:type="dxa"/>
            <w:noWrap w:val="0"/>
            <w:vAlign w:val="top"/>
          </w:tcPr>
          <w:p>
            <w:pPr>
              <w:pStyle w:val="10"/>
              <w:spacing w:line="320" w:lineRule="exact"/>
              <w:jc w:val="center"/>
              <w:rPr>
                <w:rFonts w:hint="eastAsia"/>
                <w:sz w:val="21"/>
                <w:szCs w:val="21"/>
              </w:rPr>
            </w:pPr>
            <w:r>
              <w:rPr>
                <w:rFonts w:hint="eastAsia"/>
                <w:sz w:val="21"/>
                <w:szCs w:val="21"/>
              </w:rPr>
              <w:t>姓名</w:t>
            </w:r>
          </w:p>
        </w:tc>
        <w:tc>
          <w:tcPr>
            <w:tcW w:w="2285" w:type="dxa"/>
            <w:noWrap w:val="0"/>
            <w:vAlign w:val="top"/>
          </w:tcPr>
          <w:p>
            <w:pPr>
              <w:pStyle w:val="10"/>
              <w:spacing w:line="320" w:lineRule="exact"/>
              <w:jc w:val="center"/>
              <w:rPr>
                <w:rFonts w:hint="eastAsia"/>
                <w:sz w:val="21"/>
                <w:szCs w:val="21"/>
              </w:rPr>
            </w:pPr>
            <w:r>
              <w:rPr>
                <w:rFonts w:hint="eastAsia"/>
                <w:sz w:val="21"/>
                <w:szCs w:val="21"/>
              </w:rPr>
              <w:t>证件号码</w:t>
            </w:r>
          </w:p>
        </w:tc>
        <w:tc>
          <w:tcPr>
            <w:tcW w:w="1593" w:type="dxa"/>
            <w:noWrap w:val="0"/>
            <w:vAlign w:val="top"/>
          </w:tcPr>
          <w:p>
            <w:pPr>
              <w:pStyle w:val="10"/>
              <w:spacing w:line="320" w:lineRule="exact"/>
              <w:jc w:val="center"/>
              <w:rPr>
                <w:rFonts w:hint="eastAsia"/>
                <w:sz w:val="21"/>
                <w:szCs w:val="21"/>
              </w:rPr>
            </w:pPr>
            <w:r>
              <w:rPr>
                <w:rFonts w:hint="eastAsia"/>
                <w:sz w:val="21"/>
                <w:szCs w:val="21"/>
              </w:rPr>
              <w:t>权证号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jc w:val="center"/>
        </w:trPr>
        <w:tc>
          <w:tcPr>
            <w:tcW w:w="2121" w:type="dxa"/>
            <w:vMerge w:val="continue"/>
            <w:noWrap w:val="0"/>
            <w:vAlign w:val="center"/>
          </w:tcPr>
          <w:p>
            <w:pPr>
              <w:pStyle w:val="10"/>
              <w:spacing w:line="320" w:lineRule="exact"/>
              <w:jc w:val="center"/>
              <w:rPr>
                <w:rFonts w:hint="eastAsia"/>
                <w:sz w:val="21"/>
                <w:szCs w:val="21"/>
              </w:rPr>
            </w:pPr>
          </w:p>
        </w:tc>
        <w:tc>
          <w:tcPr>
            <w:tcW w:w="1021" w:type="dxa"/>
            <w:noWrap w:val="0"/>
            <w:vAlign w:val="top"/>
          </w:tcPr>
          <w:p>
            <w:pPr>
              <w:pStyle w:val="10"/>
              <w:spacing w:line="320" w:lineRule="exact"/>
              <w:jc w:val="center"/>
              <w:rPr>
                <w:rFonts w:hint="eastAsia"/>
                <w:sz w:val="21"/>
                <w:szCs w:val="21"/>
              </w:rPr>
            </w:pPr>
            <w:r>
              <w:rPr>
                <w:rFonts w:hint="eastAsia"/>
                <w:sz w:val="21"/>
                <w:szCs w:val="21"/>
              </w:rPr>
              <w:t>万强</w:t>
            </w:r>
          </w:p>
        </w:tc>
        <w:tc>
          <w:tcPr>
            <w:tcW w:w="2285" w:type="dxa"/>
            <w:noWrap w:val="0"/>
            <w:vAlign w:val="top"/>
          </w:tcPr>
          <w:p>
            <w:pPr>
              <w:pStyle w:val="10"/>
              <w:spacing w:line="320" w:lineRule="exact"/>
              <w:jc w:val="center"/>
              <w:rPr>
                <w:rFonts w:hint="eastAsia"/>
                <w:sz w:val="21"/>
                <w:szCs w:val="21"/>
              </w:rPr>
            </w:pPr>
            <w:r>
              <w:rPr>
                <w:rFonts w:hint="eastAsia"/>
                <w:sz w:val="21"/>
                <w:szCs w:val="21"/>
              </w:rPr>
              <w:t>510702195610280032</w:t>
            </w:r>
          </w:p>
        </w:tc>
        <w:tc>
          <w:tcPr>
            <w:tcW w:w="1593" w:type="dxa"/>
            <w:noWrap w:val="0"/>
            <w:vAlign w:val="top"/>
          </w:tcPr>
          <w:p>
            <w:pPr>
              <w:pStyle w:val="10"/>
              <w:spacing w:line="320" w:lineRule="exact"/>
              <w:jc w:val="center"/>
              <w:rPr>
                <w:rFonts w:hint="eastAsia"/>
                <w:sz w:val="21"/>
                <w:szCs w:val="21"/>
              </w:rPr>
            </w:pPr>
            <w:r>
              <w:rPr>
                <w:rFonts w:hint="eastAsia"/>
                <w:sz w:val="21"/>
                <w:szCs w:val="21"/>
              </w:rPr>
              <w:t>监证0415855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jc w:val="center"/>
        </w:trPr>
        <w:tc>
          <w:tcPr>
            <w:tcW w:w="2121" w:type="dxa"/>
            <w:vMerge w:val="continue"/>
            <w:noWrap w:val="0"/>
            <w:vAlign w:val="top"/>
          </w:tcPr>
          <w:p>
            <w:pPr>
              <w:pStyle w:val="10"/>
              <w:spacing w:line="320" w:lineRule="exact"/>
              <w:jc w:val="center"/>
              <w:rPr>
                <w:rFonts w:hint="eastAsia"/>
                <w:sz w:val="21"/>
                <w:szCs w:val="21"/>
              </w:rPr>
            </w:pPr>
          </w:p>
        </w:tc>
        <w:tc>
          <w:tcPr>
            <w:tcW w:w="1021" w:type="dxa"/>
            <w:noWrap w:val="0"/>
            <w:vAlign w:val="top"/>
          </w:tcPr>
          <w:p>
            <w:pPr>
              <w:pStyle w:val="10"/>
              <w:spacing w:line="320" w:lineRule="exact"/>
              <w:jc w:val="center"/>
              <w:rPr>
                <w:rFonts w:hint="eastAsia"/>
                <w:sz w:val="21"/>
                <w:szCs w:val="21"/>
              </w:rPr>
            </w:pPr>
            <w:r>
              <w:rPr>
                <w:rFonts w:hint="eastAsia"/>
                <w:sz w:val="21"/>
                <w:szCs w:val="21"/>
              </w:rPr>
              <w:t>周礼爱</w:t>
            </w:r>
          </w:p>
        </w:tc>
        <w:tc>
          <w:tcPr>
            <w:tcW w:w="2285" w:type="dxa"/>
            <w:noWrap w:val="0"/>
            <w:vAlign w:val="top"/>
          </w:tcPr>
          <w:p>
            <w:pPr>
              <w:pStyle w:val="10"/>
              <w:spacing w:line="320" w:lineRule="exact"/>
              <w:jc w:val="center"/>
              <w:rPr>
                <w:rFonts w:hint="eastAsia"/>
                <w:sz w:val="21"/>
                <w:szCs w:val="21"/>
              </w:rPr>
            </w:pPr>
            <w:r>
              <w:rPr>
                <w:rFonts w:hint="eastAsia"/>
                <w:sz w:val="21"/>
                <w:szCs w:val="21"/>
              </w:rPr>
              <w:t>510702581127002</w:t>
            </w:r>
          </w:p>
        </w:tc>
        <w:tc>
          <w:tcPr>
            <w:tcW w:w="1593" w:type="dxa"/>
            <w:noWrap w:val="0"/>
            <w:vAlign w:val="top"/>
          </w:tcPr>
          <w:p>
            <w:pPr>
              <w:pStyle w:val="10"/>
              <w:spacing w:line="320" w:lineRule="exact"/>
              <w:jc w:val="center"/>
              <w:rPr>
                <w:rFonts w:hint="eastAsia"/>
                <w:sz w:val="21"/>
                <w:szCs w:val="21"/>
              </w:rPr>
            </w:pPr>
            <w:r>
              <w:rPr>
                <w:rFonts w:hint="eastAsia"/>
                <w:sz w:val="21"/>
                <w:szCs w:val="21"/>
              </w:rPr>
              <w:t>监证0415855-1</w:t>
            </w:r>
          </w:p>
        </w:tc>
      </w:tr>
    </w:tbl>
    <w:p>
      <w:pPr>
        <w:pStyle w:val="10"/>
        <w:spacing w:line="520" w:lineRule="exact"/>
        <w:ind w:left="0" w:firstLine="560" w:firstLineChars="200"/>
        <w:rPr>
          <w:rFonts w:hint="eastAsia"/>
        </w:rPr>
      </w:pPr>
      <w:r>
        <w:rPr>
          <w:rFonts w:hint="eastAsia"/>
        </w:rPr>
        <w:t>根据估价委托人、被执行人及估价人员现场查看并确认估价对象状况如下：</w:t>
      </w:r>
    </w:p>
    <w:p>
      <w:pPr>
        <w:pStyle w:val="10"/>
        <w:spacing w:line="520" w:lineRule="exact"/>
        <w:ind w:left="0" w:firstLine="560" w:firstLineChars="200"/>
        <w:rPr>
          <w:rFonts w:hint="eastAsia" w:hAnsi="宋体"/>
          <w:color w:val="FF0000"/>
          <w:highlight w:val="yellow"/>
        </w:rPr>
      </w:pPr>
      <w:bookmarkStart w:id="58" w:name="_Toc420873312"/>
      <w:bookmarkStart w:id="59" w:name="_Toc420873223"/>
      <w:bookmarkStart w:id="60" w:name="_Toc420873159"/>
      <w:bookmarkStart w:id="61" w:name="_Toc420872943"/>
      <w:r>
        <w:rPr>
          <w:rFonts w:hAnsi="宋体"/>
        </w:rPr>
        <w:t>估价对象</w:t>
      </w:r>
      <w:r>
        <w:rPr>
          <w:rFonts w:hint="eastAsia" w:hAnsi="宋体"/>
        </w:rPr>
        <w:t>为绵阳市游仙区东津路37号电力小区8栋1单元4楼1号的住宅房地产；</w:t>
      </w:r>
      <w:r>
        <w:rPr>
          <w:rFonts w:hint="eastAsia"/>
        </w:rPr>
        <w:t>建筑面积为121.21平方米。</w:t>
      </w:r>
      <w:r>
        <w:rPr>
          <w:rFonts w:hint="eastAsia" w:hAnsi="宋体"/>
        </w:rPr>
        <w:t>估价对象所在楼宇朝向为南北朝向；建成时间为2000年左右；房屋结构为混合结构；估价对象所在楼宇总层数为7层，房屋所在层数为4层；估价对象室内净高2.6米，层高状况与普遍住宅保持一致，估价对象户型设计为三室一厅一厨两卫（主卧带卫生间）；估价对象所在楼宇直接临路；估价对象室内进行了装饰装修：入户门为防盗门；室内客厅地面为木地板饰面，墙面乳胶漆（客厅电视背景墙），顶部吊边顶，装饰灯照明；厨房进出门为木质门，地面为防滑地板砖，墙面墙砖至顶，顶部吊顶，装饰灯照明；客卫进出门为木质门，地面为防滑地板砖，墙面墙砖至顶，顶部吊顶，装饰灯照明；次卧（一）进出门为木质门带门套，室内地面为木地板，墙面为乳胶漆，顶部无吊顶，装饰灯照明；次卧（二）进出门为木质门带门套，室内地面为木地板，墙面为乳胶漆，顶部无吊顶，装饰灯照明；主卧进出门为木质门带门套，室内地面为木地板，墙面为乳胶漆，顶部无吊顶，装饰灯照明；主卫进出门为木质门，地面为防滑地砖，墙面墙砖至顶，顶部吊顶，安装有盆浴及坐便器等；房屋室内窗户均安装塑钢拖拉窗及防护栏；估价对象室内水、电、气、视、电话通讯设施齐备。</w:t>
      </w:r>
    </w:p>
    <w:p>
      <w:pPr>
        <w:pStyle w:val="3"/>
        <w:keepNext w:val="0"/>
        <w:keepLines w:val="0"/>
        <w:pageBreakBefore w:val="0"/>
        <w:widowControl w:val="0"/>
        <w:kinsoku/>
        <w:wordWrap/>
        <w:overflowPunct/>
        <w:topLinePunct w:val="0"/>
        <w:autoSpaceDE/>
        <w:autoSpaceDN/>
        <w:bidi w:val="0"/>
        <w:adjustRightInd/>
        <w:snapToGrid/>
        <w:spacing w:line="480" w:lineRule="exact"/>
        <w:ind w:firstLine="573"/>
        <w:textAlignment w:val="auto"/>
        <w:rPr>
          <w:rFonts w:eastAsia="宋体"/>
          <w:b/>
        </w:rPr>
      </w:pPr>
      <w:r>
        <w:rPr>
          <w:rFonts w:hint="eastAsia" w:eastAsia="宋体"/>
          <w:b/>
        </w:rPr>
        <w:t>3</w:t>
      </w:r>
      <w:r>
        <w:rPr>
          <w:rFonts w:eastAsia="宋体"/>
          <w:b/>
        </w:rPr>
        <w:t>、权属状况</w:t>
      </w:r>
      <w:bookmarkEnd w:id="55"/>
      <w:bookmarkEnd w:id="56"/>
      <w:bookmarkEnd w:id="57"/>
      <w:bookmarkEnd w:id="58"/>
      <w:bookmarkEnd w:id="59"/>
      <w:bookmarkEnd w:id="60"/>
      <w:bookmarkEnd w:id="61"/>
    </w:p>
    <w:p>
      <w:pPr>
        <w:pStyle w:val="3"/>
        <w:keepNext w:val="0"/>
        <w:keepLines w:val="0"/>
        <w:pageBreakBefore w:val="0"/>
        <w:widowControl w:val="0"/>
        <w:kinsoku/>
        <w:wordWrap/>
        <w:overflowPunct/>
        <w:topLinePunct w:val="0"/>
        <w:autoSpaceDE/>
        <w:autoSpaceDN/>
        <w:bidi w:val="0"/>
        <w:adjustRightInd/>
        <w:snapToGrid/>
        <w:spacing w:line="480" w:lineRule="exact"/>
        <w:ind w:firstLine="573"/>
        <w:textAlignment w:val="auto"/>
        <w:rPr>
          <w:rFonts w:hint="eastAsia" w:eastAsia="宋体"/>
          <w:color w:val="auto"/>
        </w:rPr>
      </w:pPr>
      <w:r>
        <w:rPr>
          <w:rFonts w:eastAsia="宋体"/>
          <w:color w:val="auto"/>
          <w:spacing w:val="-2"/>
          <w:szCs w:val="28"/>
        </w:rPr>
        <w:t>估价委托人提供的</w:t>
      </w:r>
      <w:r>
        <w:rPr>
          <w:rFonts w:eastAsia="宋体"/>
          <w:color w:val="auto"/>
        </w:rPr>
        <w:t>《</w:t>
      </w:r>
      <w:r>
        <w:rPr>
          <w:rFonts w:hint="eastAsia" w:eastAsia="宋体"/>
          <w:color w:val="auto"/>
        </w:rPr>
        <w:t>房屋信息摘要</w:t>
      </w:r>
      <w:r>
        <w:rPr>
          <w:rFonts w:eastAsia="宋体"/>
          <w:color w:val="auto"/>
        </w:rPr>
        <w:t>》（复印件）登记</w:t>
      </w:r>
      <w:r>
        <w:rPr>
          <w:rFonts w:hint="eastAsia" w:eastAsia="宋体"/>
          <w:color w:val="auto"/>
        </w:rPr>
        <w:t>的权利人为万强、周礼爱。</w:t>
      </w:r>
    </w:p>
    <w:p>
      <w:pPr>
        <w:pStyle w:val="3"/>
        <w:keepNext w:val="0"/>
        <w:keepLines w:val="0"/>
        <w:pageBreakBefore w:val="0"/>
        <w:widowControl w:val="0"/>
        <w:kinsoku/>
        <w:wordWrap/>
        <w:overflowPunct/>
        <w:topLinePunct w:val="0"/>
        <w:autoSpaceDE/>
        <w:autoSpaceDN/>
        <w:bidi w:val="0"/>
        <w:adjustRightInd/>
        <w:snapToGrid/>
        <w:spacing w:line="480" w:lineRule="exact"/>
        <w:ind w:firstLine="0"/>
        <w:textAlignment w:val="auto"/>
        <w:rPr>
          <w:rFonts w:eastAsia="宋体"/>
        </w:rPr>
      </w:pPr>
      <w:r>
        <w:rPr>
          <w:rFonts w:hint="eastAsia" w:eastAsia="宋体"/>
        </w:rPr>
        <w:t xml:space="preserve">    以上权属状况均由估价委托人提供，我公司及估价师不对估价对象的法律权属状况发表意见。</w:t>
      </w:r>
    </w:p>
    <w:p>
      <w:pPr>
        <w:pStyle w:val="3"/>
        <w:keepNext w:val="0"/>
        <w:keepLines w:val="0"/>
        <w:pageBreakBefore w:val="0"/>
        <w:widowControl w:val="0"/>
        <w:kinsoku/>
        <w:wordWrap/>
        <w:overflowPunct/>
        <w:topLinePunct w:val="0"/>
        <w:autoSpaceDE/>
        <w:autoSpaceDN/>
        <w:bidi w:val="0"/>
        <w:adjustRightInd/>
        <w:snapToGrid/>
        <w:spacing w:line="480" w:lineRule="exact"/>
        <w:ind w:firstLine="641"/>
        <w:textAlignment w:val="auto"/>
        <w:outlineLvl w:val="1"/>
        <w:rPr>
          <w:rFonts w:eastAsia="黑体"/>
          <w:b/>
          <w:sz w:val="32"/>
        </w:rPr>
      </w:pPr>
      <w:bookmarkStart w:id="62" w:name="_Toc5074"/>
      <w:r>
        <w:rPr>
          <w:rFonts w:eastAsia="黑体"/>
          <w:b/>
          <w:sz w:val="32"/>
        </w:rPr>
        <w:t>四、估价目的</w:t>
      </w:r>
      <w:bookmarkEnd w:id="62"/>
    </w:p>
    <w:p>
      <w:pPr>
        <w:pStyle w:val="3"/>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eastAsia="宋体"/>
          <w:color w:val="000000"/>
        </w:rPr>
      </w:pPr>
      <w:r>
        <w:rPr>
          <w:rFonts w:eastAsia="宋体"/>
          <w:color w:val="000000"/>
        </w:rPr>
        <w:t>为司法拍卖（变卖）提供房地产市场价值参考依据。</w:t>
      </w:r>
    </w:p>
    <w:p>
      <w:pPr>
        <w:pStyle w:val="3"/>
        <w:keepNext w:val="0"/>
        <w:keepLines w:val="0"/>
        <w:pageBreakBefore w:val="0"/>
        <w:widowControl w:val="0"/>
        <w:kinsoku/>
        <w:wordWrap/>
        <w:overflowPunct/>
        <w:topLinePunct w:val="0"/>
        <w:autoSpaceDE/>
        <w:autoSpaceDN/>
        <w:bidi w:val="0"/>
        <w:adjustRightInd/>
        <w:snapToGrid/>
        <w:spacing w:line="480" w:lineRule="exact"/>
        <w:ind w:firstLine="643" w:firstLineChars="200"/>
        <w:textAlignment w:val="auto"/>
        <w:outlineLvl w:val="1"/>
        <w:rPr>
          <w:rFonts w:eastAsia="黑体"/>
          <w:b/>
          <w:sz w:val="32"/>
        </w:rPr>
      </w:pPr>
      <w:bookmarkStart w:id="63" w:name="_Toc1771"/>
      <w:r>
        <w:rPr>
          <w:rFonts w:eastAsia="黑体"/>
          <w:b/>
          <w:sz w:val="32"/>
        </w:rPr>
        <w:t>五、</w:t>
      </w:r>
      <w:r>
        <w:rPr>
          <w:rFonts w:hint="eastAsia" w:eastAsia="黑体"/>
          <w:b/>
          <w:sz w:val="32"/>
        </w:rPr>
        <w:t>价值</w:t>
      </w:r>
      <w:r>
        <w:rPr>
          <w:rFonts w:eastAsia="黑体"/>
          <w:b/>
          <w:sz w:val="32"/>
        </w:rPr>
        <w:t>时点</w:t>
      </w:r>
      <w:bookmarkEnd w:id="63"/>
    </w:p>
    <w:p>
      <w:pPr>
        <w:pStyle w:val="3"/>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szCs w:val="28"/>
        </w:rPr>
      </w:pPr>
      <w:r>
        <w:rPr>
          <w:rFonts w:hint="eastAsia" w:eastAsia="宋体"/>
        </w:rPr>
        <w:t>二零一八年十二月二十七日。</w:t>
      </w:r>
    </w:p>
    <w:p>
      <w:pPr>
        <w:pStyle w:val="3"/>
        <w:keepNext w:val="0"/>
        <w:keepLines w:val="0"/>
        <w:pageBreakBefore w:val="0"/>
        <w:widowControl w:val="0"/>
        <w:kinsoku/>
        <w:wordWrap/>
        <w:overflowPunct/>
        <w:topLinePunct w:val="0"/>
        <w:autoSpaceDE/>
        <w:autoSpaceDN/>
        <w:bidi w:val="0"/>
        <w:adjustRightInd/>
        <w:snapToGrid/>
        <w:spacing w:line="480" w:lineRule="exact"/>
        <w:ind w:firstLine="643" w:firstLineChars="200"/>
        <w:textAlignment w:val="auto"/>
        <w:outlineLvl w:val="1"/>
        <w:rPr>
          <w:rFonts w:eastAsia="黑体"/>
          <w:b/>
          <w:sz w:val="32"/>
        </w:rPr>
      </w:pPr>
      <w:bookmarkStart w:id="64" w:name="_Toc17781"/>
      <w:r>
        <w:rPr>
          <w:rFonts w:eastAsia="黑体"/>
          <w:b/>
          <w:sz w:val="32"/>
        </w:rPr>
        <w:t>六、</w:t>
      </w:r>
      <w:r>
        <w:rPr>
          <w:rFonts w:hint="eastAsia" w:eastAsia="黑体"/>
          <w:b/>
          <w:sz w:val="32"/>
        </w:rPr>
        <w:t>价值类型</w:t>
      </w:r>
      <w:bookmarkEnd w:id="64"/>
    </w:p>
    <w:p>
      <w:pPr>
        <w:pStyle w:val="3"/>
        <w:keepNext w:val="0"/>
        <w:keepLines w:val="0"/>
        <w:pageBreakBefore w:val="0"/>
        <w:widowControl w:val="0"/>
        <w:kinsoku/>
        <w:wordWrap/>
        <w:overflowPunct/>
        <w:topLinePunct w:val="0"/>
        <w:autoSpaceDE/>
        <w:autoSpaceDN/>
        <w:bidi w:val="0"/>
        <w:adjustRightInd/>
        <w:snapToGrid/>
        <w:spacing w:line="480" w:lineRule="exact"/>
        <w:ind w:firstLine="548" w:firstLineChars="196"/>
        <w:textAlignment w:val="auto"/>
        <w:rPr>
          <w:rFonts w:eastAsia="宋体"/>
          <w:snapToGrid w:val="0"/>
          <w:kern w:val="0"/>
          <w:szCs w:val="28"/>
        </w:rPr>
      </w:pPr>
      <w:r>
        <w:rPr>
          <w:rFonts w:hint="eastAsia" w:eastAsia="宋体"/>
        </w:rPr>
        <w:t>估价中采用公开市场价值标准，即所评估出的客观合理价格应是估价对象于价值时点在公开市场上最可能形成或成立的价格（不评估变现价值，不考虑房地产拍卖（变卖）成交后交易税费及税费的转移分担）。</w:t>
      </w:r>
    </w:p>
    <w:p>
      <w:pPr>
        <w:pStyle w:val="3"/>
        <w:spacing w:line="520" w:lineRule="exact"/>
        <w:ind w:firstLine="641"/>
        <w:outlineLvl w:val="1"/>
        <w:rPr>
          <w:rFonts w:eastAsia="黑体"/>
          <w:b/>
          <w:sz w:val="32"/>
        </w:rPr>
      </w:pPr>
      <w:bookmarkStart w:id="65" w:name="_Toc25420"/>
      <w:r>
        <w:rPr>
          <w:rFonts w:hint="eastAsia" w:eastAsia="黑体"/>
          <w:b/>
          <w:sz w:val="32"/>
        </w:rPr>
        <w:t>七</w:t>
      </w:r>
      <w:r>
        <w:rPr>
          <w:rFonts w:eastAsia="黑体"/>
          <w:b/>
          <w:sz w:val="32"/>
        </w:rPr>
        <w:t>、估价依据</w:t>
      </w:r>
      <w:bookmarkEnd w:id="65"/>
    </w:p>
    <w:p>
      <w:pPr>
        <w:pStyle w:val="4"/>
        <w:tabs>
          <w:tab w:val="left" w:pos="540"/>
        </w:tabs>
        <w:spacing w:line="520" w:lineRule="exact"/>
        <w:ind w:left="0" w:firstLine="560" w:firstLineChars="200"/>
        <w:rPr>
          <w:rFonts w:hint="eastAsia"/>
          <w:szCs w:val="28"/>
        </w:rPr>
      </w:pPr>
      <w:r>
        <w:rPr>
          <w:rFonts w:hint="eastAsia"/>
        </w:rPr>
        <w:t>1</w:t>
      </w:r>
      <w:r>
        <w:t>、</w:t>
      </w:r>
      <w:r>
        <w:rPr>
          <w:rFonts w:hint="eastAsia"/>
          <w:szCs w:val="28"/>
        </w:rPr>
        <w:t>绵阳市涪城区人民法院司法评估委托书。</w:t>
      </w:r>
    </w:p>
    <w:p>
      <w:pPr>
        <w:pStyle w:val="4"/>
        <w:tabs>
          <w:tab w:val="left" w:pos="540"/>
        </w:tabs>
        <w:spacing w:line="520" w:lineRule="exact"/>
        <w:ind w:left="0" w:firstLine="0"/>
        <w:rPr>
          <w:rFonts w:hint="eastAsia"/>
          <w:szCs w:val="28"/>
        </w:rPr>
      </w:pPr>
      <w:r>
        <w:rPr>
          <w:rFonts w:hint="eastAsia"/>
          <w:szCs w:val="28"/>
        </w:rPr>
        <w:t xml:space="preserve">       （2018）涪城法技委字第716号</w:t>
      </w:r>
    </w:p>
    <w:p>
      <w:pPr>
        <w:pStyle w:val="4"/>
        <w:tabs>
          <w:tab w:val="left" w:pos="540"/>
        </w:tabs>
        <w:spacing w:line="520" w:lineRule="exact"/>
        <w:ind w:left="0" w:firstLine="560" w:firstLineChars="200"/>
        <w:rPr>
          <w:rFonts w:hint="eastAsia"/>
          <w:szCs w:val="28"/>
        </w:rPr>
      </w:pPr>
      <w:bookmarkStart w:id="66" w:name="_Toc23188"/>
      <w:r>
        <w:rPr>
          <w:rFonts w:hint="eastAsia"/>
          <w:szCs w:val="28"/>
        </w:rPr>
        <w:t>2、</w:t>
      </w:r>
      <w:r>
        <w:rPr>
          <w:szCs w:val="28"/>
        </w:rPr>
        <w:t>估价委托人提供的</w:t>
      </w:r>
      <w:r>
        <w:rPr>
          <w:rFonts w:hint="eastAsia"/>
          <w:szCs w:val="28"/>
        </w:rPr>
        <w:t>《</w:t>
      </w:r>
      <w:r>
        <w:rPr>
          <w:rFonts w:hint="eastAsia"/>
          <w:szCs w:val="28"/>
          <w:lang w:eastAsia="zh-CN"/>
        </w:rPr>
        <w:t>土地查询信息表</w:t>
      </w:r>
      <w:r>
        <w:rPr>
          <w:rFonts w:hint="eastAsia"/>
          <w:szCs w:val="28"/>
        </w:rPr>
        <w:t>》（复印件）</w:t>
      </w:r>
    </w:p>
    <w:p>
      <w:pPr>
        <w:pStyle w:val="4"/>
        <w:tabs>
          <w:tab w:val="left" w:pos="540"/>
        </w:tabs>
        <w:spacing w:line="520" w:lineRule="exact"/>
        <w:ind w:left="0" w:firstLine="560" w:firstLineChars="200"/>
        <w:rPr>
          <w:rFonts w:hint="eastAsia"/>
          <w:szCs w:val="28"/>
        </w:rPr>
      </w:pPr>
      <w:r>
        <w:rPr>
          <w:rFonts w:hint="eastAsia"/>
          <w:szCs w:val="28"/>
        </w:rPr>
        <w:t>3、</w:t>
      </w:r>
      <w:r>
        <w:rPr>
          <w:szCs w:val="28"/>
        </w:rPr>
        <w:t>估价委托人提供的</w:t>
      </w:r>
      <w:r>
        <w:rPr>
          <w:rFonts w:hint="eastAsia"/>
          <w:szCs w:val="28"/>
        </w:rPr>
        <w:t>《房屋信息摘要》（复印件）</w:t>
      </w:r>
    </w:p>
    <w:p>
      <w:pPr>
        <w:pStyle w:val="3"/>
        <w:spacing w:line="520" w:lineRule="exact"/>
        <w:ind w:firstLine="560" w:firstLineChars="200"/>
        <w:rPr>
          <w:rFonts w:hint="eastAsia" w:eastAsia="宋体"/>
          <w:szCs w:val="28"/>
        </w:rPr>
      </w:pPr>
      <w:r>
        <w:rPr>
          <w:rFonts w:hint="eastAsia" w:eastAsia="宋体"/>
          <w:szCs w:val="28"/>
        </w:rPr>
        <w:t>4</w:t>
      </w:r>
      <w:r>
        <w:rPr>
          <w:rFonts w:eastAsia="宋体"/>
          <w:szCs w:val="28"/>
        </w:rPr>
        <w:t>、估价人员现场查看的结果以及搜集的相关资料</w:t>
      </w:r>
    </w:p>
    <w:p>
      <w:pPr>
        <w:pStyle w:val="3"/>
        <w:spacing w:line="520" w:lineRule="exact"/>
        <w:ind w:firstLine="560" w:firstLineChars="200"/>
        <w:rPr>
          <w:rFonts w:hint="eastAsia" w:eastAsia="宋体"/>
          <w:szCs w:val="28"/>
        </w:rPr>
      </w:pPr>
      <w:r>
        <w:rPr>
          <w:rFonts w:hint="eastAsia" w:eastAsia="宋体"/>
          <w:szCs w:val="28"/>
        </w:rPr>
        <w:t>5</w:t>
      </w:r>
      <w:r>
        <w:rPr>
          <w:rFonts w:eastAsia="宋体"/>
          <w:szCs w:val="28"/>
        </w:rPr>
        <w:t>、中华人民共和国国家标准</w:t>
      </w:r>
      <w:r>
        <w:rPr>
          <w:rFonts w:hint="eastAsia" w:eastAsia="宋体"/>
          <w:szCs w:val="28"/>
        </w:rPr>
        <w:t>GB/T50291-2015</w:t>
      </w:r>
      <w:r>
        <w:rPr>
          <w:rFonts w:eastAsia="宋体"/>
          <w:szCs w:val="28"/>
        </w:rPr>
        <w:t>《房地产估价规范》</w:t>
      </w:r>
    </w:p>
    <w:p>
      <w:pPr>
        <w:pStyle w:val="3"/>
        <w:spacing w:line="520" w:lineRule="exact"/>
        <w:ind w:firstLine="560" w:firstLineChars="200"/>
        <w:rPr>
          <w:rFonts w:hint="eastAsia" w:eastAsia="宋体"/>
          <w:szCs w:val="28"/>
        </w:rPr>
      </w:pPr>
      <w:r>
        <w:rPr>
          <w:rFonts w:hint="eastAsia" w:eastAsia="宋体"/>
          <w:szCs w:val="28"/>
        </w:rPr>
        <w:t>6</w:t>
      </w:r>
      <w:r>
        <w:rPr>
          <w:rFonts w:eastAsia="宋体"/>
          <w:szCs w:val="28"/>
        </w:rPr>
        <w:t>、《中华人民共和国城市房地产管理法》</w:t>
      </w:r>
    </w:p>
    <w:p>
      <w:pPr>
        <w:pStyle w:val="3"/>
        <w:spacing w:line="520" w:lineRule="exact"/>
        <w:ind w:firstLine="560" w:firstLineChars="200"/>
        <w:rPr>
          <w:rFonts w:hint="eastAsia" w:eastAsia="宋体"/>
          <w:szCs w:val="28"/>
        </w:rPr>
      </w:pPr>
      <w:r>
        <w:rPr>
          <w:rFonts w:hint="eastAsia" w:eastAsia="宋体"/>
          <w:szCs w:val="28"/>
        </w:rPr>
        <w:t>7</w:t>
      </w:r>
      <w:r>
        <w:rPr>
          <w:rFonts w:eastAsia="宋体"/>
          <w:szCs w:val="28"/>
        </w:rPr>
        <w:t>、《中华人民共和国担保法》</w:t>
      </w:r>
    </w:p>
    <w:p>
      <w:pPr>
        <w:pStyle w:val="3"/>
        <w:spacing w:line="520" w:lineRule="exact"/>
        <w:ind w:firstLine="560" w:firstLineChars="200"/>
        <w:rPr>
          <w:rFonts w:hint="eastAsia" w:eastAsia="宋体"/>
          <w:szCs w:val="28"/>
        </w:rPr>
      </w:pPr>
      <w:r>
        <w:rPr>
          <w:rFonts w:hint="eastAsia" w:eastAsia="宋体"/>
          <w:szCs w:val="28"/>
        </w:rPr>
        <w:t>8、《最高人民法院关于人民法院委托评估、拍卖和变卖工作的若干规定》</w:t>
      </w:r>
    </w:p>
    <w:p>
      <w:pPr>
        <w:pStyle w:val="3"/>
        <w:spacing w:line="520" w:lineRule="exact"/>
        <w:ind w:firstLine="560" w:firstLineChars="200"/>
        <w:rPr>
          <w:rFonts w:hint="eastAsia" w:eastAsia="宋体"/>
          <w:szCs w:val="28"/>
        </w:rPr>
      </w:pPr>
      <w:r>
        <w:rPr>
          <w:rFonts w:hint="eastAsia" w:eastAsia="宋体"/>
          <w:szCs w:val="28"/>
        </w:rPr>
        <w:t>9、四川省住房和城乡建设厅关于印发《房地产司法鉴定评估指导意见》（试行）</w:t>
      </w:r>
    </w:p>
    <w:p>
      <w:pPr>
        <w:pStyle w:val="3"/>
        <w:spacing w:line="520" w:lineRule="exact"/>
        <w:ind w:firstLine="560" w:firstLineChars="200"/>
        <w:rPr>
          <w:rFonts w:hint="eastAsia" w:eastAsia="宋体"/>
          <w:szCs w:val="28"/>
        </w:rPr>
      </w:pPr>
      <w:r>
        <w:rPr>
          <w:rFonts w:hint="eastAsia" w:eastAsia="宋体"/>
          <w:szCs w:val="28"/>
        </w:rPr>
        <w:t>10</w:t>
      </w:r>
      <w:r>
        <w:rPr>
          <w:rFonts w:eastAsia="宋体"/>
          <w:szCs w:val="28"/>
        </w:rPr>
        <w:t>、其他相关的法律、法规</w:t>
      </w:r>
    </w:p>
    <w:p>
      <w:pPr>
        <w:pStyle w:val="3"/>
        <w:spacing w:line="520" w:lineRule="exact"/>
        <w:ind w:firstLine="560" w:firstLineChars="200"/>
        <w:rPr>
          <w:rFonts w:hint="eastAsia" w:eastAsia="宋体"/>
          <w:szCs w:val="28"/>
        </w:rPr>
      </w:pPr>
      <w:r>
        <w:rPr>
          <w:rFonts w:eastAsia="宋体"/>
          <w:szCs w:val="28"/>
        </w:rPr>
        <w:t>1</w:t>
      </w:r>
      <w:r>
        <w:rPr>
          <w:rFonts w:hint="eastAsia" w:eastAsia="宋体"/>
          <w:szCs w:val="28"/>
        </w:rPr>
        <w:t>1</w:t>
      </w:r>
      <w:r>
        <w:rPr>
          <w:rFonts w:eastAsia="宋体"/>
          <w:szCs w:val="28"/>
        </w:rPr>
        <w:t>、</w:t>
      </w:r>
      <w:r>
        <w:rPr>
          <w:rFonts w:hint="eastAsia" w:eastAsia="宋体"/>
          <w:szCs w:val="28"/>
        </w:rPr>
        <w:t>绵阳市</w:t>
      </w:r>
      <w:r>
        <w:rPr>
          <w:rFonts w:eastAsia="宋体"/>
          <w:szCs w:val="28"/>
        </w:rPr>
        <w:t>有关房地产业市场信息，变动趋势等相关资料</w:t>
      </w:r>
    </w:p>
    <w:p>
      <w:pPr>
        <w:pStyle w:val="3"/>
        <w:spacing w:line="520" w:lineRule="exact"/>
        <w:ind w:firstLine="643" w:firstLineChars="200"/>
        <w:outlineLvl w:val="1"/>
        <w:rPr>
          <w:rFonts w:eastAsia="黑体"/>
          <w:b/>
          <w:sz w:val="32"/>
        </w:rPr>
      </w:pPr>
      <w:r>
        <w:rPr>
          <w:rFonts w:hint="eastAsia" w:eastAsia="黑体"/>
          <w:b/>
          <w:sz w:val="32"/>
        </w:rPr>
        <w:t>八</w:t>
      </w:r>
      <w:r>
        <w:rPr>
          <w:rFonts w:eastAsia="黑体"/>
          <w:b/>
          <w:sz w:val="32"/>
        </w:rPr>
        <w:t>、估价原则</w:t>
      </w:r>
      <w:bookmarkEnd w:id="66"/>
    </w:p>
    <w:p>
      <w:pPr>
        <w:widowControl/>
        <w:tabs>
          <w:tab w:val="left" w:pos="8460"/>
        </w:tabs>
        <w:spacing w:line="520" w:lineRule="exact"/>
        <w:ind w:right="45" w:firstLine="560" w:firstLineChars="200"/>
        <w:rPr>
          <w:sz w:val="28"/>
          <w:szCs w:val="28"/>
        </w:rPr>
      </w:pPr>
      <w:r>
        <w:rPr>
          <w:sz w:val="28"/>
          <w:szCs w:val="28"/>
        </w:rPr>
        <w:t>本次估价遵守独立、客观、公</w:t>
      </w:r>
      <w:r>
        <w:rPr>
          <w:rFonts w:hint="eastAsia"/>
          <w:sz w:val="28"/>
          <w:szCs w:val="28"/>
        </w:rPr>
        <w:t>正</w:t>
      </w:r>
      <w:r>
        <w:rPr>
          <w:sz w:val="28"/>
          <w:szCs w:val="28"/>
        </w:rPr>
        <w:t>、合法及最高最佳使用原则、价值时点原则、替代原则等技术性原则。</w:t>
      </w:r>
    </w:p>
    <w:p>
      <w:pPr>
        <w:widowControl/>
        <w:tabs>
          <w:tab w:val="left" w:pos="8460"/>
        </w:tabs>
        <w:spacing w:line="520" w:lineRule="exact"/>
        <w:ind w:right="45" w:firstLine="560" w:firstLineChars="200"/>
        <w:rPr>
          <w:sz w:val="28"/>
          <w:szCs w:val="28"/>
        </w:rPr>
      </w:pPr>
      <w:r>
        <w:rPr>
          <w:sz w:val="28"/>
          <w:szCs w:val="28"/>
        </w:rPr>
        <w:t>（</w:t>
      </w:r>
      <w:r>
        <w:rPr>
          <w:rFonts w:hint="eastAsia"/>
          <w:sz w:val="28"/>
          <w:szCs w:val="28"/>
        </w:rPr>
        <w:t>一</w:t>
      </w:r>
      <w:r>
        <w:rPr>
          <w:sz w:val="28"/>
          <w:szCs w:val="28"/>
        </w:rPr>
        <w:t>）独立、客观、</w:t>
      </w:r>
      <w:r>
        <w:rPr>
          <w:rFonts w:hint="eastAsia"/>
          <w:sz w:val="28"/>
          <w:szCs w:val="28"/>
        </w:rPr>
        <w:t>公正</w:t>
      </w:r>
      <w:r>
        <w:rPr>
          <w:sz w:val="28"/>
          <w:szCs w:val="28"/>
        </w:rPr>
        <w:t>原则</w:t>
      </w:r>
    </w:p>
    <w:p>
      <w:pPr>
        <w:widowControl/>
        <w:tabs>
          <w:tab w:val="left" w:pos="8460"/>
        </w:tabs>
        <w:spacing w:line="520" w:lineRule="exact"/>
        <w:ind w:right="45" w:firstLine="560" w:firstLineChars="200"/>
        <w:rPr>
          <w:sz w:val="28"/>
          <w:szCs w:val="28"/>
        </w:rPr>
      </w:pPr>
      <w:r>
        <w:rPr>
          <w:sz w:val="28"/>
          <w:szCs w:val="28"/>
        </w:rPr>
        <w:t>要求估价机构有完全独立性，估价机构和估价人员与估价对象及相关当事人没有利害关系，不受外部干扰因素影响，从实际出发，公平合理地进行估价。</w:t>
      </w:r>
    </w:p>
    <w:p>
      <w:pPr>
        <w:tabs>
          <w:tab w:val="left" w:pos="690"/>
        </w:tabs>
        <w:spacing w:line="520" w:lineRule="exact"/>
        <w:ind w:firstLine="560" w:firstLineChars="200"/>
        <w:rPr>
          <w:rFonts w:hint="eastAsia"/>
          <w:sz w:val="28"/>
          <w:szCs w:val="28"/>
        </w:rPr>
      </w:pPr>
      <w:r>
        <w:rPr>
          <w:sz w:val="28"/>
          <w:szCs w:val="28"/>
        </w:rPr>
        <w:t>（</w:t>
      </w:r>
      <w:r>
        <w:rPr>
          <w:rFonts w:hint="eastAsia"/>
          <w:sz w:val="28"/>
          <w:szCs w:val="28"/>
        </w:rPr>
        <w:t>二</w:t>
      </w:r>
      <w:r>
        <w:rPr>
          <w:sz w:val="28"/>
          <w:szCs w:val="28"/>
        </w:rPr>
        <w:t>）合法原则</w:t>
      </w:r>
    </w:p>
    <w:p>
      <w:pPr>
        <w:tabs>
          <w:tab w:val="left" w:pos="690"/>
        </w:tabs>
        <w:spacing w:line="520" w:lineRule="exact"/>
        <w:ind w:firstLine="420" w:firstLineChars="150"/>
        <w:rPr>
          <w:rFonts w:hint="eastAsia"/>
          <w:sz w:val="28"/>
          <w:szCs w:val="28"/>
        </w:rPr>
      </w:pPr>
      <w:r>
        <w:rPr>
          <w:rFonts w:hint="eastAsia"/>
          <w:sz w:val="28"/>
          <w:szCs w:val="28"/>
        </w:rPr>
        <w:t xml:space="preserve"> </w:t>
      </w:r>
      <w:r>
        <w:rPr>
          <w:sz w:val="28"/>
          <w:szCs w:val="28"/>
        </w:rPr>
        <w:t>应以估价对象的合法使用、合法处分为前提进行。所谓合法，是指符合国家的法律、法规和当地政府的有关规定，其权益才能受法律保护，并体现其权益价值。</w:t>
      </w:r>
    </w:p>
    <w:p>
      <w:pPr>
        <w:widowControl/>
        <w:tabs>
          <w:tab w:val="left" w:pos="8460"/>
        </w:tabs>
        <w:spacing w:line="500" w:lineRule="exact"/>
        <w:ind w:right="45" w:firstLine="560" w:firstLineChars="200"/>
        <w:rPr>
          <w:sz w:val="28"/>
          <w:szCs w:val="28"/>
        </w:rPr>
      </w:pPr>
      <w:r>
        <w:rPr>
          <w:sz w:val="28"/>
          <w:szCs w:val="28"/>
        </w:rPr>
        <w:t>（</w:t>
      </w:r>
      <w:r>
        <w:rPr>
          <w:rFonts w:hint="eastAsia"/>
          <w:sz w:val="28"/>
          <w:szCs w:val="28"/>
        </w:rPr>
        <w:t>三</w:t>
      </w:r>
      <w:r>
        <w:rPr>
          <w:sz w:val="28"/>
          <w:szCs w:val="28"/>
        </w:rPr>
        <w:t>）最高最佳使用原则</w:t>
      </w:r>
    </w:p>
    <w:p>
      <w:pPr>
        <w:widowControl/>
        <w:tabs>
          <w:tab w:val="left" w:pos="8460"/>
        </w:tabs>
        <w:spacing w:line="500" w:lineRule="exact"/>
        <w:ind w:right="45" w:firstLine="560" w:firstLineChars="200"/>
        <w:rPr>
          <w:sz w:val="28"/>
          <w:szCs w:val="28"/>
        </w:rPr>
      </w:pPr>
      <w:r>
        <w:rPr>
          <w:sz w:val="28"/>
          <w:szCs w:val="28"/>
        </w:rPr>
        <w:t>应以估价对象的最高最佳使用为前提进行。在合法使用前提下，房地产只有在最高最佳使用状态下才能发挥最大效用。最高最佳使用应是法律上允许、技术上可能、经济上可行，经过充分合理的论证，能使估价对象产生最高价值的使用方式。</w:t>
      </w:r>
    </w:p>
    <w:p>
      <w:pPr>
        <w:widowControl/>
        <w:tabs>
          <w:tab w:val="left" w:pos="8460"/>
        </w:tabs>
        <w:spacing w:line="500" w:lineRule="exact"/>
        <w:ind w:right="45" w:firstLine="560" w:firstLineChars="200"/>
        <w:rPr>
          <w:sz w:val="28"/>
          <w:szCs w:val="28"/>
        </w:rPr>
      </w:pPr>
      <w:r>
        <w:rPr>
          <w:sz w:val="28"/>
          <w:szCs w:val="28"/>
        </w:rPr>
        <w:t>（</w:t>
      </w:r>
      <w:r>
        <w:rPr>
          <w:rFonts w:hint="eastAsia"/>
          <w:sz w:val="28"/>
          <w:szCs w:val="28"/>
        </w:rPr>
        <w:t>四</w:t>
      </w:r>
      <w:r>
        <w:rPr>
          <w:sz w:val="28"/>
          <w:szCs w:val="28"/>
        </w:rPr>
        <w:t>）价值时点原则</w:t>
      </w:r>
    </w:p>
    <w:p>
      <w:pPr>
        <w:widowControl/>
        <w:tabs>
          <w:tab w:val="left" w:pos="8460"/>
        </w:tabs>
        <w:spacing w:line="500" w:lineRule="exact"/>
        <w:ind w:right="45" w:firstLine="560" w:firstLineChars="200"/>
        <w:rPr>
          <w:sz w:val="28"/>
          <w:szCs w:val="28"/>
        </w:rPr>
      </w:pPr>
      <w:r>
        <w:rPr>
          <w:sz w:val="28"/>
          <w:szCs w:val="28"/>
        </w:rPr>
        <w:t>估价结果应是估价对象在价值时点的客观合理价格或价值。</w:t>
      </w:r>
    </w:p>
    <w:p>
      <w:pPr>
        <w:widowControl/>
        <w:tabs>
          <w:tab w:val="left" w:pos="8460"/>
        </w:tabs>
        <w:spacing w:line="500" w:lineRule="exact"/>
        <w:ind w:right="45" w:firstLine="560" w:firstLineChars="200"/>
        <w:rPr>
          <w:rFonts w:hint="eastAsia"/>
          <w:sz w:val="28"/>
          <w:szCs w:val="28"/>
        </w:rPr>
      </w:pPr>
      <w:r>
        <w:rPr>
          <w:sz w:val="28"/>
          <w:szCs w:val="28"/>
        </w:rPr>
        <w:t>（</w:t>
      </w:r>
      <w:r>
        <w:rPr>
          <w:rFonts w:hint="eastAsia"/>
          <w:sz w:val="28"/>
          <w:szCs w:val="28"/>
        </w:rPr>
        <w:t>五</w:t>
      </w:r>
      <w:r>
        <w:rPr>
          <w:sz w:val="28"/>
          <w:szCs w:val="28"/>
        </w:rPr>
        <w:t>）替代原则</w:t>
      </w:r>
    </w:p>
    <w:p>
      <w:pPr>
        <w:widowControl/>
        <w:tabs>
          <w:tab w:val="left" w:pos="8460"/>
        </w:tabs>
        <w:spacing w:line="500" w:lineRule="exact"/>
        <w:ind w:right="45" w:firstLine="560" w:firstLineChars="200"/>
        <w:rPr>
          <w:rFonts w:hint="eastAsia"/>
          <w:sz w:val="28"/>
          <w:szCs w:val="28"/>
        </w:rPr>
      </w:pPr>
      <w:r>
        <w:rPr>
          <w:sz w:val="28"/>
          <w:szCs w:val="28"/>
        </w:rPr>
        <w:t>估价结果不得明显偏离类似房地产在同等条件下的</w:t>
      </w:r>
      <w:r>
        <w:rPr>
          <w:rFonts w:hint="eastAsia"/>
          <w:sz w:val="28"/>
          <w:szCs w:val="28"/>
        </w:rPr>
        <w:t>正常</w:t>
      </w:r>
      <w:r>
        <w:rPr>
          <w:sz w:val="28"/>
          <w:szCs w:val="28"/>
        </w:rPr>
        <w:t>价格。同一供求范围内，在用途、规模、档次、建筑结构等方面类似的房地产之间具有相互影响作用，其价格会相互牵掣而趋于一致。</w:t>
      </w:r>
    </w:p>
    <w:p>
      <w:pPr>
        <w:pStyle w:val="3"/>
        <w:ind w:firstLine="643" w:firstLineChars="200"/>
        <w:outlineLvl w:val="1"/>
        <w:rPr>
          <w:rFonts w:eastAsia="黑体"/>
          <w:b/>
          <w:sz w:val="32"/>
        </w:rPr>
      </w:pPr>
      <w:bookmarkStart w:id="67" w:name="_Toc10943"/>
      <w:r>
        <w:rPr>
          <w:rFonts w:eastAsia="黑体"/>
          <w:b/>
          <w:sz w:val="32"/>
        </w:rPr>
        <w:t>九、</w:t>
      </w:r>
      <w:r>
        <w:rPr>
          <w:rFonts w:hint="eastAsia" w:eastAsia="黑体"/>
          <w:b/>
          <w:sz w:val="32"/>
        </w:rPr>
        <w:t>估价方法实用性分析</w:t>
      </w:r>
      <w:bookmarkEnd w:id="67"/>
    </w:p>
    <w:p>
      <w:pPr>
        <w:pStyle w:val="2"/>
        <w:spacing w:after="0" w:line="500" w:lineRule="exact"/>
        <w:ind w:firstLine="570" w:firstLineChars="200"/>
        <w:rPr>
          <w:b/>
          <w:spacing w:val="2"/>
        </w:rPr>
      </w:pPr>
      <w:bookmarkStart w:id="68" w:name="_Toc418520322"/>
      <w:bookmarkStart w:id="69" w:name="_Toc420872950"/>
      <w:bookmarkStart w:id="70" w:name="_Toc420873166"/>
      <w:bookmarkStart w:id="71" w:name="_Toc420873230"/>
      <w:bookmarkStart w:id="72" w:name="_Toc420873319"/>
      <w:bookmarkStart w:id="73" w:name="_Toc418520014"/>
      <w:bookmarkStart w:id="74" w:name="_Toc418520156"/>
      <w:r>
        <w:rPr>
          <w:rFonts w:hint="eastAsia"/>
          <w:b/>
          <w:spacing w:val="2"/>
        </w:rPr>
        <w:t>（</w:t>
      </w:r>
      <w:r>
        <w:rPr>
          <w:b/>
          <w:spacing w:val="2"/>
        </w:rPr>
        <w:t>一）、估价方法的选用</w:t>
      </w:r>
      <w:bookmarkEnd w:id="68"/>
      <w:bookmarkEnd w:id="69"/>
      <w:bookmarkEnd w:id="70"/>
      <w:bookmarkEnd w:id="71"/>
      <w:bookmarkEnd w:id="72"/>
    </w:p>
    <w:p>
      <w:pPr>
        <w:spacing w:line="500" w:lineRule="exact"/>
        <w:ind w:firstLine="560" w:firstLineChars="200"/>
        <w:rPr>
          <w:rFonts w:hint="eastAsia"/>
          <w:sz w:val="28"/>
          <w:szCs w:val="28"/>
        </w:rPr>
      </w:pPr>
      <w:r>
        <w:rPr>
          <w:rFonts w:hint="eastAsia"/>
          <w:sz w:val="28"/>
          <w:szCs w:val="20"/>
        </w:rPr>
        <w:t>目前估价房地产的估价方法通常有比较法、收益法、假设开发法、成本法等。</w:t>
      </w:r>
    </w:p>
    <w:p>
      <w:pPr>
        <w:pStyle w:val="17"/>
        <w:widowControl w:val="0"/>
        <w:spacing w:before="0" w:beforeAutospacing="0" w:after="0" w:afterAutospacing="0" w:line="500" w:lineRule="exact"/>
        <w:ind w:firstLine="560" w:firstLineChars="200"/>
        <w:rPr>
          <w:rFonts w:hint="eastAsia"/>
          <w:sz w:val="28"/>
          <w:szCs w:val="28"/>
        </w:rPr>
      </w:pPr>
      <w:bookmarkStart w:id="75" w:name="_Toc420873320"/>
      <w:bookmarkStart w:id="76" w:name="_Toc418520323"/>
      <w:bookmarkStart w:id="77" w:name="_Toc420872951"/>
      <w:bookmarkStart w:id="78" w:name="_Toc420873167"/>
      <w:bookmarkStart w:id="79" w:name="_Toc420873231"/>
      <w:r>
        <w:rPr>
          <w:rFonts w:hint="eastAsia"/>
          <w:sz w:val="28"/>
          <w:szCs w:val="28"/>
        </w:rPr>
        <w:t>1、</w:t>
      </w:r>
      <w:r>
        <w:rPr>
          <w:sz w:val="28"/>
          <w:szCs w:val="28"/>
        </w:rPr>
        <w:t>比较法，是指将估价对象与</w:t>
      </w:r>
      <w:r>
        <w:rPr>
          <w:sz w:val="28"/>
          <w:szCs w:val="28"/>
        </w:rPr>
        <w:fldChar w:fldCharType="begin"/>
      </w:r>
      <w:r>
        <w:rPr>
          <w:sz w:val="28"/>
          <w:szCs w:val="28"/>
        </w:rPr>
        <w:instrText xml:space="preserve"> HYPERLINK "http://baike.baidu.com/view/404706.htm" \t "_blank" </w:instrText>
      </w:r>
      <w:r>
        <w:rPr>
          <w:sz w:val="28"/>
          <w:szCs w:val="28"/>
        </w:rPr>
        <w:fldChar w:fldCharType="separate"/>
      </w:r>
      <w:r>
        <w:rPr>
          <w:sz w:val="28"/>
          <w:szCs w:val="28"/>
        </w:rPr>
        <w:t>价值时点</w:t>
      </w:r>
      <w:r>
        <w:rPr>
          <w:sz w:val="28"/>
          <w:szCs w:val="28"/>
        </w:rPr>
        <w:fldChar w:fldCharType="end"/>
      </w:r>
      <w:r>
        <w:rPr>
          <w:sz w:val="28"/>
          <w:szCs w:val="28"/>
        </w:rPr>
        <w:t>近期有过交易的</w:t>
      </w:r>
      <w:r>
        <w:rPr>
          <w:sz w:val="28"/>
          <w:szCs w:val="28"/>
        </w:rPr>
        <w:fldChar w:fldCharType="begin"/>
      </w:r>
      <w:r>
        <w:rPr>
          <w:sz w:val="28"/>
          <w:szCs w:val="28"/>
        </w:rPr>
        <w:instrText xml:space="preserve"> HYPERLINK "http://baike.baidu.com/view/1095449.htm" \t "_blank" </w:instrText>
      </w:r>
      <w:r>
        <w:rPr>
          <w:sz w:val="28"/>
          <w:szCs w:val="28"/>
        </w:rPr>
        <w:fldChar w:fldCharType="separate"/>
      </w:r>
      <w:r>
        <w:rPr>
          <w:sz w:val="28"/>
          <w:szCs w:val="28"/>
        </w:rPr>
        <w:t>类似房地产</w:t>
      </w:r>
      <w:r>
        <w:rPr>
          <w:sz w:val="28"/>
          <w:szCs w:val="28"/>
        </w:rPr>
        <w:fldChar w:fldCharType="end"/>
      </w:r>
      <w:r>
        <w:rPr>
          <w:sz w:val="28"/>
          <w:szCs w:val="28"/>
        </w:rPr>
        <w:t>进行比较，对这些类似房地产的已知价格作适当的修正，以此估算</w:t>
      </w:r>
      <w:r>
        <w:rPr>
          <w:sz w:val="28"/>
          <w:szCs w:val="28"/>
        </w:rPr>
        <w:fldChar w:fldCharType="begin"/>
      </w:r>
      <w:r>
        <w:rPr>
          <w:sz w:val="28"/>
          <w:szCs w:val="28"/>
        </w:rPr>
        <w:instrText xml:space="preserve"> HYPERLINK "http://baike.baidu.com/view/404695.htm" \t "_blank" </w:instrText>
      </w:r>
      <w:r>
        <w:rPr>
          <w:sz w:val="28"/>
          <w:szCs w:val="28"/>
        </w:rPr>
        <w:fldChar w:fldCharType="separate"/>
      </w:r>
      <w:r>
        <w:rPr>
          <w:sz w:val="28"/>
          <w:szCs w:val="28"/>
        </w:rPr>
        <w:t>估价对象</w:t>
      </w:r>
      <w:r>
        <w:rPr>
          <w:sz w:val="28"/>
          <w:szCs w:val="28"/>
        </w:rPr>
        <w:fldChar w:fldCharType="end"/>
      </w:r>
      <w:r>
        <w:rPr>
          <w:sz w:val="28"/>
          <w:szCs w:val="28"/>
        </w:rPr>
        <w:t>的客观合理价格或价值的方法</w:t>
      </w:r>
      <w:r>
        <w:rPr>
          <w:rFonts w:hint="eastAsia"/>
          <w:sz w:val="28"/>
          <w:szCs w:val="28"/>
        </w:rPr>
        <w:t>，适用于同种类型的数量较多且经常发生交易的房地产。估价对象所在区域范围内与估价对象类似的住宅房地产交易市场比较活跃，有一定比例的成交案例，故本次估价适用于比较法。</w:t>
      </w:r>
    </w:p>
    <w:p>
      <w:pPr>
        <w:pStyle w:val="17"/>
        <w:widowControl w:val="0"/>
        <w:spacing w:before="0" w:beforeAutospacing="0" w:after="0" w:afterAutospacing="0" w:line="500" w:lineRule="exact"/>
        <w:ind w:firstLine="560" w:firstLineChars="200"/>
        <w:rPr>
          <w:rFonts w:hint="eastAsia"/>
          <w:sz w:val="28"/>
          <w:szCs w:val="28"/>
        </w:rPr>
      </w:pPr>
      <w:r>
        <w:rPr>
          <w:rFonts w:ascii="Times New Roman" w:hAnsi="Times New Roman" w:cs="Times New Roman"/>
          <w:sz w:val="28"/>
          <w:szCs w:val="28"/>
        </w:rPr>
        <w:t>2</w:t>
      </w:r>
      <w:r>
        <w:rPr>
          <w:rFonts w:ascii="Times New Roman" w:cs="Times New Roman"/>
          <w:sz w:val="28"/>
          <w:szCs w:val="28"/>
        </w:rPr>
        <w:t>、收益现值法又称收益还原法、收益资本化法，是预测估价对</w:t>
      </w:r>
      <w:r>
        <w:rPr>
          <w:rFonts w:hint="eastAsia"/>
          <w:sz w:val="28"/>
          <w:szCs w:val="28"/>
        </w:rPr>
        <w:t>象未来收益，然后将其转换为价值来求取估价对象价值的方法</w:t>
      </w:r>
      <w:r>
        <w:rPr>
          <w:sz w:val="28"/>
          <w:szCs w:val="28"/>
        </w:rPr>
        <w:t>。</w:t>
      </w:r>
      <w:r>
        <w:rPr>
          <w:rFonts w:hint="eastAsia"/>
          <w:sz w:val="28"/>
          <w:szCs w:val="28"/>
        </w:rPr>
        <w:t>适用于有经济收益或有潜在经济收益的房地产。估价对象设计及实际用途均为住宅，不属于收益性物业，故本次估价不适用于收益法。</w:t>
      </w:r>
    </w:p>
    <w:p>
      <w:pPr>
        <w:spacing w:line="500" w:lineRule="exact"/>
        <w:ind w:firstLine="560" w:firstLineChars="200"/>
        <w:rPr>
          <w:rFonts w:hint="eastAsia"/>
          <w:sz w:val="28"/>
          <w:szCs w:val="28"/>
        </w:rPr>
      </w:pPr>
      <w:r>
        <w:rPr>
          <w:rFonts w:hint="eastAsia"/>
          <w:sz w:val="28"/>
          <w:szCs w:val="28"/>
        </w:rPr>
        <w:t>3、成本法:是求取估价对象在价值时点重新购建价格和折旧，然后将重新购建价格减去折旧来求取估价对象价值的方法。适用于新开发的房地产、可以假设重新开发建设的现有房地产、正在开发建设的房地产（在建工程）、计划开发建设的房地产以及很少发生交易而限制了市场法运用又没有经济收益或没有潜在经济收益而限制了收益法运用的房地产。成本法是</w:t>
      </w:r>
      <w:r>
        <w:rPr>
          <w:sz w:val="28"/>
          <w:szCs w:val="28"/>
        </w:rPr>
        <w:t>以开发或建造估价对象房地产的各项必要费用之和为基础，再加上正常的利润和税金</w:t>
      </w:r>
      <w:r>
        <w:rPr>
          <w:rFonts w:hint="eastAsia"/>
          <w:sz w:val="28"/>
          <w:szCs w:val="28"/>
        </w:rPr>
        <w:t>计算得出，成本法难以真实反应估价对象的真实价值，因此不宜采用此方法。</w:t>
      </w:r>
    </w:p>
    <w:p>
      <w:pPr>
        <w:spacing w:line="500" w:lineRule="exact"/>
        <w:ind w:firstLine="560" w:firstLineChars="200"/>
        <w:rPr>
          <w:rFonts w:hint="eastAsia"/>
          <w:sz w:val="28"/>
          <w:szCs w:val="28"/>
        </w:rPr>
      </w:pPr>
      <w:r>
        <w:rPr>
          <w:rFonts w:hint="eastAsia"/>
          <w:sz w:val="28"/>
          <w:szCs w:val="28"/>
        </w:rPr>
        <w:t>4、假设开发法：也称剩余法、预期开发法、开发法，是预测估价对象开发完成后的价值和后续开发建设的必要支出及应得利润，然后将估价对象开发完成后的价值减去后续开发建设的必要支出及应得利润来求取估价对象价值的方法。适用于具有开发或再开发潜力并且其开发完成后的价值可采用比较法、收益法等方法求取的房地产。目前估价对象正常使用，已达到最高最佳使用状态，不宜采用假设开发法进行评估。</w:t>
      </w:r>
    </w:p>
    <w:p>
      <w:pPr>
        <w:widowControl/>
        <w:tabs>
          <w:tab w:val="left" w:pos="8460"/>
        </w:tabs>
        <w:spacing w:line="500" w:lineRule="exact"/>
        <w:ind w:right="45" w:firstLine="560" w:firstLineChars="200"/>
        <w:rPr>
          <w:rFonts w:hint="eastAsia"/>
          <w:sz w:val="28"/>
          <w:szCs w:val="28"/>
        </w:rPr>
      </w:pPr>
      <w:r>
        <w:rPr>
          <w:rFonts w:hint="eastAsia"/>
          <w:sz w:val="28"/>
          <w:szCs w:val="28"/>
        </w:rPr>
        <w:t>综上因素：本次采用比较法进行估价。</w:t>
      </w:r>
    </w:p>
    <w:p>
      <w:pPr>
        <w:widowControl/>
        <w:tabs>
          <w:tab w:val="left" w:pos="8460"/>
        </w:tabs>
        <w:spacing w:line="500" w:lineRule="exact"/>
        <w:ind w:right="45"/>
        <w:rPr>
          <w:rFonts w:hint="eastAsia"/>
          <w:b/>
          <w:spacing w:val="2"/>
          <w:sz w:val="28"/>
          <w:szCs w:val="20"/>
        </w:rPr>
      </w:pPr>
      <w:r>
        <w:rPr>
          <w:rFonts w:hint="eastAsia"/>
          <w:b/>
          <w:spacing w:val="2"/>
          <w:sz w:val="28"/>
          <w:szCs w:val="20"/>
        </w:rPr>
        <w:t xml:space="preserve">   </w:t>
      </w:r>
      <w:r>
        <w:rPr>
          <w:b/>
          <w:spacing w:val="2"/>
          <w:sz w:val="28"/>
          <w:szCs w:val="20"/>
        </w:rPr>
        <w:t>（二）、估价思路及技术路线</w:t>
      </w:r>
      <w:bookmarkEnd w:id="75"/>
      <w:bookmarkEnd w:id="76"/>
      <w:bookmarkEnd w:id="77"/>
      <w:bookmarkEnd w:id="78"/>
      <w:bookmarkEnd w:id="79"/>
    </w:p>
    <w:bookmarkEnd w:id="73"/>
    <w:bookmarkEnd w:id="74"/>
    <w:p>
      <w:pPr>
        <w:spacing w:line="500" w:lineRule="exact"/>
        <w:ind w:firstLine="567"/>
        <w:rPr>
          <w:sz w:val="28"/>
          <w:szCs w:val="28"/>
        </w:rPr>
      </w:pPr>
      <w:r>
        <w:rPr>
          <w:rFonts w:hAnsi="宋体"/>
          <w:sz w:val="28"/>
          <w:szCs w:val="28"/>
        </w:rPr>
        <w:t>比较法：是将估价对象与估价时点近期有过交易的类似房地产进行比较，对这些类似房地产的已知价格作适当的修正，以此估算估价对象的客观合理价格或价值的方法。</w:t>
      </w:r>
    </w:p>
    <w:p>
      <w:pPr>
        <w:spacing w:line="500" w:lineRule="exact"/>
        <w:ind w:firstLine="560" w:firstLineChars="200"/>
        <w:rPr>
          <w:sz w:val="28"/>
          <w:szCs w:val="28"/>
        </w:rPr>
      </w:pPr>
      <w:r>
        <w:rPr>
          <w:rFonts w:hAnsi="宋体"/>
          <w:sz w:val="28"/>
          <w:szCs w:val="28"/>
        </w:rPr>
        <w:t>根据市场比较法估价原理及运用，其估价技术路线为：目前与估价对象类似的房地产交易市场比较活跃，选择类似区域、用途相似、结构相近等类似房地产交易实例，通过对交易实例与估价对象的分析、比较，在对交易实例进行交易情况、交易日期、房地产状况因素的修正后，确定估价对象的价值。具体步骤如下：</w:t>
      </w:r>
    </w:p>
    <w:p>
      <w:pPr>
        <w:spacing w:line="500" w:lineRule="exact"/>
        <w:ind w:firstLine="567"/>
        <w:rPr>
          <w:sz w:val="28"/>
          <w:szCs w:val="28"/>
        </w:rPr>
      </w:pPr>
      <w:r>
        <w:rPr>
          <w:rFonts w:hAnsi="宋体"/>
          <w:sz w:val="28"/>
          <w:szCs w:val="28"/>
        </w:rPr>
        <w:t>第一步：收集交易实例；</w:t>
      </w:r>
    </w:p>
    <w:p>
      <w:pPr>
        <w:spacing w:line="500" w:lineRule="exact"/>
        <w:ind w:firstLine="567"/>
        <w:rPr>
          <w:sz w:val="28"/>
          <w:szCs w:val="28"/>
        </w:rPr>
      </w:pPr>
      <w:r>
        <w:rPr>
          <w:rFonts w:hAnsi="宋体"/>
          <w:sz w:val="28"/>
          <w:szCs w:val="28"/>
        </w:rPr>
        <w:t>第二步：选取可比实例；</w:t>
      </w:r>
    </w:p>
    <w:p>
      <w:pPr>
        <w:spacing w:line="500" w:lineRule="exact"/>
        <w:ind w:firstLine="567"/>
        <w:rPr>
          <w:sz w:val="28"/>
          <w:szCs w:val="28"/>
        </w:rPr>
      </w:pPr>
      <w:r>
        <w:rPr>
          <w:rFonts w:hAnsi="宋体"/>
          <w:sz w:val="28"/>
          <w:szCs w:val="28"/>
        </w:rPr>
        <w:t>第三步：建立价格可比基础；</w:t>
      </w:r>
    </w:p>
    <w:p>
      <w:pPr>
        <w:pStyle w:val="3"/>
        <w:ind w:firstLine="573"/>
        <w:rPr>
          <w:rFonts w:ascii="宋体" w:hAnsi="宋体" w:eastAsia="宋体"/>
          <w:szCs w:val="28"/>
        </w:rPr>
      </w:pPr>
      <w:r>
        <w:rPr>
          <w:rFonts w:ascii="宋体" w:hAnsi="宋体" w:eastAsia="宋体"/>
          <w:szCs w:val="28"/>
        </w:rPr>
        <w:t>第四步：</w:t>
      </w:r>
      <w:r>
        <w:rPr>
          <w:rFonts w:hint="eastAsia" w:ascii="宋体" w:hAnsi="宋体" w:eastAsia="宋体"/>
          <w:szCs w:val="28"/>
        </w:rPr>
        <w:t>交易情况修正</w:t>
      </w:r>
      <w:r>
        <w:rPr>
          <w:rFonts w:ascii="宋体" w:hAnsi="宋体" w:eastAsia="宋体"/>
          <w:szCs w:val="28"/>
        </w:rPr>
        <w:t xml:space="preserve"> </w:t>
      </w:r>
    </w:p>
    <w:p>
      <w:pPr>
        <w:pStyle w:val="3"/>
        <w:ind w:firstLine="573"/>
        <w:rPr>
          <w:rFonts w:hint="eastAsia" w:ascii="宋体" w:hAnsi="宋体" w:eastAsia="宋体"/>
          <w:szCs w:val="28"/>
        </w:rPr>
      </w:pPr>
      <w:r>
        <w:rPr>
          <w:rFonts w:ascii="宋体" w:hAnsi="宋体" w:eastAsia="宋体"/>
          <w:szCs w:val="28"/>
        </w:rPr>
        <w:t>第</w:t>
      </w:r>
      <w:r>
        <w:rPr>
          <w:rFonts w:hint="eastAsia" w:ascii="宋体" w:hAnsi="宋体" w:eastAsia="宋体"/>
          <w:szCs w:val="28"/>
        </w:rPr>
        <w:t>五</w:t>
      </w:r>
      <w:r>
        <w:rPr>
          <w:rFonts w:ascii="宋体" w:hAnsi="宋体" w:eastAsia="宋体"/>
          <w:szCs w:val="28"/>
        </w:rPr>
        <w:t>步：</w:t>
      </w:r>
      <w:r>
        <w:rPr>
          <w:rFonts w:hint="eastAsia" w:ascii="宋体" w:hAnsi="宋体" w:eastAsia="宋体"/>
          <w:szCs w:val="28"/>
        </w:rPr>
        <w:t>交易日期修正</w:t>
      </w:r>
    </w:p>
    <w:p>
      <w:pPr>
        <w:pStyle w:val="3"/>
        <w:ind w:firstLine="573"/>
        <w:rPr>
          <w:rFonts w:hint="eastAsia" w:ascii="宋体" w:hAnsi="宋体" w:eastAsia="宋体"/>
          <w:szCs w:val="28"/>
        </w:rPr>
      </w:pPr>
      <w:r>
        <w:rPr>
          <w:rFonts w:ascii="宋体" w:hAnsi="宋体" w:eastAsia="宋体"/>
          <w:szCs w:val="28"/>
        </w:rPr>
        <w:t>第</w:t>
      </w:r>
      <w:r>
        <w:rPr>
          <w:rFonts w:hint="eastAsia" w:ascii="宋体" w:hAnsi="宋体" w:eastAsia="宋体"/>
          <w:szCs w:val="28"/>
        </w:rPr>
        <w:t>六</w:t>
      </w:r>
      <w:r>
        <w:rPr>
          <w:rFonts w:ascii="宋体" w:hAnsi="宋体" w:eastAsia="宋体"/>
          <w:szCs w:val="28"/>
        </w:rPr>
        <w:t>步：</w:t>
      </w:r>
      <w:r>
        <w:rPr>
          <w:rFonts w:hint="eastAsia" w:ascii="宋体" w:hAnsi="宋体" w:eastAsia="宋体"/>
          <w:szCs w:val="28"/>
        </w:rPr>
        <w:t>房地产状况修正</w:t>
      </w:r>
    </w:p>
    <w:p>
      <w:pPr>
        <w:pStyle w:val="3"/>
        <w:ind w:firstLine="573"/>
        <w:rPr>
          <w:rFonts w:hint="eastAsia" w:ascii="宋体" w:hAnsi="宋体" w:eastAsia="宋体"/>
          <w:szCs w:val="28"/>
        </w:rPr>
      </w:pPr>
      <w:r>
        <w:rPr>
          <w:rFonts w:ascii="宋体" w:hAnsi="宋体" w:eastAsia="宋体"/>
          <w:szCs w:val="28"/>
        </w:rPr>
        <w:t>第</w:t>
      </w:r>
      <w:r>
        <w:rPr>
          <w:rFonts w:hint="eastAsia" w:ascii="宋体" w:hAnsi="宋体" w:eastAsia="宋体"/>
          <w:szCs w:val="28"/>
        </w:rPr>
        <w:t>七</w:t>
      </w:r>
      <w:r>
        <w:rPr>
          <w:rFonts w:ascii="宋体" w:hAnsi="宋体" w:eastAsia="宋体"/>
          <w:szCs w:val="28"/>
        </w:rPr>
        <w:t>步：</w:t>
      </w:r>
      <w:r>
        <w:rPr>
          <w:rFonts w:hint="eastAsia" w:ascii="宋体" w:hAnsi="宋体" w:eastAsia="宋体"/>
          <w:szCs w:val="28"/>
        </w:rPr>
        <w:t>综合评定价值</w:t>
      </w:r>
    </w:p>
    <w:p>
      <w:pPr>
        <w:pStyle w:val="3"/>
        <w:ind w:firstLine="643" w:firstLineChars="200"/>
        <w:outlineLvl w:val="1"/>
        <w:rPr>
          <w:rFonts w:eastAsia="宋体"/>
          <w:sz w:val="32"/>
        </w:rPr>
      </w:pPr>
      <w:bookmarkStart w:id="80" w:name="_Toc24298"/>
      <w:r>
        <w:rPr>
          <w:rFonts w:eastAsia="黑体"/>
          <w:b/>
          <w:sz w:val="32"/>
        </w:rPr>
        <w:t>十、估价结果</w:t>
      </w:r>
      <w:bookmarkEnd w:id="80"/>
    </w:p>
    <w:p>
      <w:pPr>
        <w:spacing w:line="500" w:lineRule="exact"/>
        <w:ind w:firstLine="548" w:firstLineChars="196"/>
        <w:rPr>
          <w:sz w:val="28"/>
          <w:szCs w:val="20"/>
        </w:rPr>
      </w:pPr>
      <w:r>
        <w:rPr>
          <w:rFonts w:hint="eastAsia"/>
          <w:sz w:val="28"/>
          <w:szCs w:val="20"/>
        </w:rPr>
        <w:t>绵阳市涪城区人民法院</w:t>
      </w:r>
      <w:r>
        <w:rPr>
          <w:sz w:val="28"/>
          <w:szCs w:val="20"/>
        </w:rPr>
        <w:t>本次委托估价的位于</w:t>
      </w:r>
      <w:r>
        <w:rPr>
          <w:rFonts w:hint="eastAsia"/>
          <w:sz w:val="28"/>
          <w:szCs w:val="20"/>
        </w:rPr>
        <w:t>绵阳市游仙区东津路37号电力小区8栋1单元4楼1号的住宅房地产</w:t>
      </w:r>
      <w:r>
        <w:rPr>
          <w:sz w:val="28"/>
          <w:szCs w:val="20"/>
        </w:rPr>
        <w:t>于价值时点估价结果列表说明如下：</w:t>
      </w:r>
    </w:p>
    <w:p>
      <w:pPr>
        <w:spacing w:line="500" w:lineRule="exact"/>
        <w:jc w:val="center"/>
        <w:rPr>
          <w:rFonts w:hint="eastAsia"/>
          <w:b/>
          <w:sz w:val="28"/>
          <w:szCs w:val="20"/>
        </w:rPr>
      </w:pPr>
      <w:r>
        <w:rPr>
          <w:b/>
          <w:sz w:val="28"/>
          <w:szCs w:val="20"/>
        </w:rPr>
        <w:t>估价结果说明表</w:t>
      </w:r>
      <w:r>
        <w:rPr>
          <w:rFonts w:hint="eastAsia"/>
          <w:b/>
          <w:sz w:val="28"/>
          <w:szCs w:val="20"/>
        </w:rPr>
        <w:t>：</w:t>
      </w:r>
    </w:p>
    <w:tbl>
      <w:tblPr>
        <w:tblStyle w:val="16"/>
        <w:tblW w:w="779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09"/>
        <w:gridCol w:w="1084"/>
        <w:gridCol w:w="1854"/>
        <w:gridCol w:w="1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3409" w:type="dxa"/>
            <w:noWrap w:val="0"/>
            <w:vAlign w:val="center"/>
          </w:tcPr>
          <w:p>
            <w:pPr>
              <w:pStyle w:val="12"/>
              <w:spacing w:after="0" w:line="360" w:lineRule="exact"/>
              <w:ind w:left="0"/>
              <w:jc w:val="center"/>
              <w:rPr>
                <w:sz w:val="21"/>
                <w:szCs w:val="21"/>
              </w:rPr>
            </w:pPr>
            <w:r>
              <w:rPr>
                <w:sz w:val="21"/>
                <w:szCs w:val="21"/>
              </w:rPr>
              <w:t>项</w:t>
            </w:r>
            <w:r>
              <w:rPr>
                <w:rFonts w:hint="eastAsia"/>
                <w:sz w:val="21"/>
                <w:szCs w:val="21"/>
              </w:rPr>
              <w:t xml:space="preserve">  </w:t>
            </w:r>
            <w:r>
              <w:rPr>
                <w:sz w:val="21"/>
                <w:szCs w:val="21"/>
              </w:rPr>
              <w:t>目</w:t>
            </w:r>
          </w:p>
        </w:tc>
        <w:tc>
          <w:tcPr>
            <w:tcW w:w="1084" w:type="dxa"/>
            <w:noWrap w:val="0"/>
            <w:vAlign w:val="center"/>
          </w:tcPr>
          <w:p>
            <w:pPr>
              <w:pStyle w:val="12"/>
              <w:spacing w:after="0" w:line="360" w:lineRule="exact"/>
              <w:ind w:left="0"/>
              <w:jc w:val="center"/>
              <w:rPr>
                <w:sz w:val="21"/>
                <w:szCs w:val="21"/>
              </w:rPr>
            </w:pPr>
            <w:r>
              <w:rPr>
                <w:sz w:val="21"/>
                <w:szCs w:val="21"/>
              </w:rPr>
              <w:t>面积(m</w:t>
            </w:r>
            <w:r>
              <w:rPr>
                <w:sz w:val="21"/>
                <w:szCs w:val="21"/>
                <w:vertAlign w:val="superscript"/>
              </w:rPr>
              <w:t>2</w:t>
            </w:r>
            <w:r>
              <w:rPr>
                <w:sz w:val="21"/>
                <w:szCs w:val="21"/>
              </w:rPr>
              <w:t>)</w:t>
            </w:r>
          </w:p>
        </w:tc>
        <w:tc>
          <w:tcPr>
            <w:tcW w:w="1854" w:type="dxa"/>
            <w:noWrap w:val="0"/>
            <w:vAlign w:val="center"/>
          </w:tcPr>
          <w:p>
            <w:pPr>
              <w:spacing w:line="360" w:lineRule="exact"/>
              <w:jc w:val="center"/>
              <w:rPr>
                <w:kern w:val="0"/>
                <w:szCs w:val="21"/>
              </w:rPr>
            </w:pPr>
            <w:r>
              <w:rPr>
                <w:kern w:val="0"/>
                <w:szCs w:val="21"/>
              </w:rPr>
              <w:t>评估</w:t>
            </w:r>
            <w:r>
              <w:rPr>
                <w:rFonts w:hint="eastAsia"/>
                <w:kern w:val="0"/>
                <w:szCs w:val="21"/>
              </w:rPr>
              <w:t>单价</w:t>
            </w:r>
            <w:r>
              <w:rPr>
                <w:szCs w:val="21"/>
              </w:rPr>
              <w:t>(元/m</w:t>
            </w:r>
            <w:r>
              <w:rPr>
                <w:szCs w:val="21"/>
                <w:vertAlign w:val="superscript"/>
              </w:rPr>
              <w:t>2</w:t>
            </w:r>
            <w:r>
              <w:rPr>
                <w:szCs w:val="21"/>
              </w:rPr>
              <w:t>)</w:t>
            </w:r>
          </w:p>
        </w:tc>
        <w:tc>
          <w:tcPr>
            <w:tcW w:w="1452" w:type="dxa"/>
            <w:noWrap w:val="0"/>
            <w:vAlign w:val="center"/>
          </w:tcPr>
          <w:p>
            <w:pPr>
              <w:spacing w:line="360" w:lineRule="exact"/>
              <w:jc w:val="center"/>
              <w:rPr>
                <w:kern w:val="0"/>
                <w:szCs w:val="21"/>
              </w:rPr>
            </w:pPr>
            <w:r>
              <w:rPr>
                <w:kern w:val="0"/>
                <w:szCs w:val="21"/>
              </w:rPr>
              <w:t>评估价值</w:t>
            </w:r>
            <w:r>
              <w:rPr>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3409" w:type="dxa"/>
            <w:noWrap w:val="0"/>
            <w:vAlign w:val="center"/>
          </w:tcPr>
          <w:p>
            <w:pPr>
              <w:pStyle w:val="12"/>
              <w:spacing w:after="0" w:line="360" w:lineRule="exact"/>
              <w:ind w:left="0"/>
              <w:jc w:val="center"/>
              <w:rPr>
                <w:rFonts w:hint="eastAsia"/>
                <w:sz w:val="21"/>
                <w:szCs w:val="21"/>
              </w:rPr>
            </w:pPr>
            <w:r>
              <w:rPr>
                <w:rFonts w:hint="eastAsia"/>
                <w:sz w:val="21"/>
                <w:szCs w:val="21"/>
              </w:rPr>
              <w:t>电力小区8栋1单元4楼1号住宅</w:t>
            </w:r>
          </w:p>
        </w:tc>
        <w:tc>
          <w:tcPr>
            <w:tcW w:w="1084" w:type="dxa"/>
            <w:noWrap w:val="0"/>
            <w:vAlign w:val="center"/>
          </w:tcPr>
          <w:p>
            <w:pPr>
              <w:pStyle w:val="12"/>
              <w:spacing w:after="0" w:line="360" w:lineRule="exact"/>
              <w:ind w:left="0"/>
              <w:jc w:val="center"/>
              <w:rPr>
                <w:rFonts w:hint="eastAsia"/>
                <w:kern w:val="0"/>
                <w:sz w:val="21"/>
                <w:szCs w:val="21"/>
              </w:rPr>
            </w:pPr>
            <w:r>
              <w:rPr>
                <w:rFonts w:hint="eastAsia"/>
                <w:kern w:val="0"/>
                <w:sz w:val="21"/>
                <w:szCs w:val="21"/>
              </w:rPr>
              <w:t>121.21</w:t>
            </w:r>
          </w:p>
        </w:tc>
        <w:tc>
          <w:tcPr>
            <w:tcW w:w="1854" w:type="dxa"/>
            <w:noWrap w:val="0"/>
            <w:vAlign w:val="center"/>
          </w:tcPr>
          <w:p>
            <w:pPr>
              <w:pStyle w:val="12"/>
              <w:spacing w:after="0" w:line="360" w:lineRule="exact"/>
              <w:ind w:left="0"/>
              <w:jc w:val="center"/>
              <w:rPr>
                <w:rFonts w:hint="eastAsia"/>
                <w:kern w:val="0"/>
                <w:sz w:val="21"/>
                <w:szCs w:val="21"/>
              </w:rPr>
            </w:pPr>
            <w:r>
              <w:rPr>
                <w:rFonts w:hint="eastAsia"/>
                <w:kern w:val="0"/>
                <w:sz w:val="21"/>
                <w:szCs w:val="21"/>
              </w:rPr>
              <w:t>6,256.00</w:t>
            </w:r>
          </w:p>
        </w:tc>
        <w:tc>
          <w:tcPr>
            <w:tcW w:w="1452" w:type="dxa"/>
            <w:noWrap w:val="0"/>
            <w:vAlign w:val="center"/>
          </w:tcPr>
          <w:p>
            <w:pPr>
              <w:pStyle w:val="12"/>
              <w:spacing w:after="0" w:line="360" w:lineRule="exact"/>
              <w:ind w:left="0"/>
              <w:jc w:val="center"/>
              <w:rPr>
                <w:rFonts w:hint="eastAsia"/>
                <w:kern w:val="0"/>
                <w:sz w:val="21"/>
                <w:szCs w:val="21"/>
              </w:rPr>
            </w:pPr>
            <w:r>
              <w:rPr>
                <w:rFonts w:hint="eastAsia"/>
                <w:kern w:val="0"/>
                <w:sz w:val="21"/>
                <w:szCs w:val="21"/>
              </w:rPr>
              <w:t>758,290.00</w:t>
            </w:r>
          </w:p>
        </w:tc>
      </w:tr>
    </w:tbl>
    <w:p>
      <w:pPr>
        <w:pStyle w:val="10"/>
        <w:spacing w:line="500" w:lineRule="exact"/>
        <w:ind w:left="0" w:firstLine="280" w:firstLineChars="100"/>
        <w:rPr>
          <w:rFonts w:hint="eastAsia" w:eastAsia="黑体"/>
          <w:b/>
          <w:szCs w:val="28"/>
        </w:rPr>
      </w:pPr>
      <w:r>
        <w:rPr>
          <w:rFonts w:hint="eastAsia"/>
        </w:rPr>
        <w:t xml:space="preserve">  </w:t>
      </w:r>
      <w:r>
        <w:t>即：本次估价的</w:t>
      </w:r>
      <w:r>
        <w:rPr>
          <w:rFonts w:hint="eastAsia"/>
        </w:rPr>
        <w:t>绵阳市游仙区东津路37号电力小区8栋1单元4楼1号的住宅房地产在价值时点2018年12月27日</w:t>
      </w:r>
      <w:r>
        <w:t>的</w:t>
      </w:r>
      <w:r>
        <w:rPr>
          <w:rFonts w:hint="eastAsia" w:eastAsia="黑体"/>
          <w:b/>
          <w:szCs w:val="28"/>
        </w:rPr>
        <w:t>公开市场</w:t>
      </w:r>
      <w:r>
        <w:rPr>
          <w:rFonts w:eastAsia="黑体"/>
          <w:b/>
          <w:szCs w:val="28"/>
        </w:rPr>
        <w:t>价值为</w:t>
      </w:r>
      <w:r>
        <w:rPr>
          <w:rFonts w:hint="eastAsia" w:eastAsia="黑体"/>
          <w:b/>
          <w:szCs w:val="32"/>
        </w:rPr>
        <w:t>758,290.00</w:t>
      </w:r>
      <w:r>
        <w:rPr>
          <w:rFonts w:eastAsia="黑体"/>
          <w:b/>
          <w:szCs w:val="28"/>
        </w:rPr>
        <w:t>元</w:t>
      </w:r>
      <w:r>
        <w:rPr>
          <w:rFonts w:hint="eastAsia" w:eastAsia="黑体"/>
          <w:b/>
          <w:szCs w:val="28"/>
        </w:rPr>
        <w:t>。</w:t>
      </w:r>
      <w:r>
        <w:rPr>
          <w:rFonts w:eastAsia="黑体"/>
          <w:b/>
          <w:szCs w:val="28"/>
        </w:rPr>
        <w:t>人民币（大写</w:t>
      </w:r>
      <w:r>
        <w:rPr>
          <w:rFonts w:hint="eastAsia" w:eastAsia="黑体"/>
          <w:b/>
          <w:szCs w:val="28"/>
        </w:rPr>
        <w:t>）柒拾伍万捌仟贰佰玖拾元整。</w:t>
      </w:r>
    </w:p>
    <w:p>
      <w:pPr>
        <w:pStyle w:val="3"/>
        <w:ind w:firstLine="561"/>
        <w:outlineLvl w:val="1"/>
        <w:rPr>
          <w:rFonts w:eastAsia="宋体"/>
        </w:rPr>
      </w:pPr>
      <w:bookmarkStart w:id="81" w:name="_Toc16473"/>
      <w:r>
        <w:rPr>
          <w:rFonts w:eastAsia="黑体"/>
          <w:b/>
          <w:sz w:val="32"/>
        </w:rPr>
        <w:t>十</w:t>
      </w:r>
      <w:r>
        <w:rPr>
          <w:rFonts w:hint="eastAsia" w:eastAsia="黑体"/>
          <w:b/>
          <w:sz w:val="32"/>
        </w:rPr>
        <w:t>一</w:t>
      </w:r>
      <w:r>
        <w:rPr>
          <w:rFonts w:eastAsia="黑体"/>
          <w:b/>
          <w:sz w:val="32"/>
        </w:rPr>
        <w:t>、估价人员</w:t>
      </w:r>
      <w:bookmarkEnd w:id="81"/>
    </w:p>
    <w:p>
      <w:pPr>
        <w:pStyle w:val="3"/>
        <w:ind w:firstLine="560" w:firstLineChars="200"/>
        <w:rPr>
          <w:rFonts w:hint="eastAsia" w:eastAsia="宋体"/>
        </w:rPr>
      </w:pPr>
      <w:r>
        <w:rPr>
          <w:rFonts w:hint="eastAsia" w:eastAsia="宋体"/>
        </w:rPr>
        <w:t>中</w:t>
      </w:r>
      <w:r>
        <w:rPr>
          <w:rFonts w:eastAsia="宋体"/>
        </w:rPr>
        <w:t>国注册房地产估价师</w:t>
      </w:r>
      <w:r>
        <w:rPr>
          <w:rFonts w:hint="eastAsia" w:eastAsia="宋体"/>
        </w:rPr>
        <w:t>(签章)</w:t>
      </w:r>
      <w:r>
        <w:rPr>
          <w:rFonts w:eastAsia="宋体"/>
        </w:rPr>
        <w:t>：</w:t>
      </w:r>
      <w:r>
        <w:rPr>
          <w:rFonts w:hint="eastAsia" w:eastAsia="宋体"/>
        </w:rPr>
        <w:t xml:space="preserve">   李国祥         李志会</w:t>
      </w:r>
    </w:p>
    <w:p>
      <w:pPr>
        <w:pStyle w:val="3"/>
        <w:ind w:firstLine="2959" w:firstLineChars="1057"/>
        <w:rPr>
          <w:rFonts w:hint="eastAsia" w:eastAsia="宋体"/>
        </w:rPr>
      </w:pPr>
      <w:r>
        <w:rPr>
          <w:rFonts w:hint="eastAsia" w:eastAsia="宋体"/>
        </w:rPr>
        <w:t>注册证号： 5120040581     5120130030</w:t>
      </w:r>
    </w:p>
    <w:p>
      <w:pPr>
        <w:pStyle w:val="3"/>
        <w:ind w:firstLine="561"/>
        <w:outlineLvl w:val="1"/>
        <w:rPr>
          <w:rFonts w:eastAsia="黑体"/>
          <w:b/>
          <w:sz w:val="32"/>
        </w:rPr>
      </w:pPr>
      <w:bookmarkStart w:id="82" w:name="_Toc7783"/>
      <w:r>
        <w:rPr>
          <w:rFonts w:eastAsia="黑体"/>
          <w:b/>
          <w:sz w:val="32"/>
        </w:rPr>
        <w:t>十</w:t>
      </w:r>
      <w:r>
        <w:rPr>
          <w:rFonts w:hint="eastAsia" w:eastAsia="黑体"/>
          <w:b/>
          <w:sz w:val="32"/>
        </w:rPr>
        <w:t>二</w:t>
      </w:r>
      <w:r>
        <w:rPr>
          <w:rFonts w:eastAsia="黑体"/>
          <w:b/>
          <w:sz w:val="32"/>
        </w:rPr>
        <w:t>、</w:t>
      </w:r>
      <w:r>
        <w:rPr>
          <w:rFonts w:hint="eastAsia" w:eastAsia="黑体"/>
          <w:b/>
          <w:sz w:val="32"/>
        </w:rPr>
        <w:t>实地查勘期</w:t>
      </w:r>
      <w:bookmarkEnd w:id="82"/>
    </w:p>
    <w:p>
      <w:pPr>
        <w:pStyle w:val="3"/>
        <w:ind w:firstLine="560" w:firstLineChars="200"/>
        <w:rPr>
          <w:rFonts w:hint="eastAsia" w:eastAsia="宋体"/>
        </w:rPr>
      </w:pPr>
      <w:r>
        <w:rPr>
          <w:rFonts w:hint="eastAsia" w:eastAsia="宋体"/>
        </w:rPr>
        <w:t>二零一八年十二月二十七日</w:t>
      </w:r>
    </w:p>
    <w:p>
      <w:pPr>
        <w:pStyle w:val="3"/>
        <w:ind w:firstLine="561"/>
        <w:outlineLvl w:val="1"/>
        <w:rPr>
          <w:rFonts w:eastAsia="黑体"/>
          <w:b/>
          <w:sz w:val="32"/>
        </w:rPr>
      </w:pPr>
      <w:bookmarkStart w:id="83" w:name="_Toc18585"/>
      <w:r>
        <w:rPr>
          <w:rFonts w:eastAsia="黑体"/>
          <w:b/>
          <w:sz w:val="32"/>
        </w:rPr>
        <w:t>十</w:t>
      </w:r>
      <w:r>
        <w:rPr>
          <w:rFonts w:hint="eastAsia" w:eastAsia="黑体"/>
          <w:b/>
          <w:sz w:val="32"/>
        </w:rPr>
        <w:t>三</w:t>
      </w:r>
      <w:r>
        <w:rPr>
          <w:rFonts w:eastAsia="黑体"/>
          <w:b/>
          <w:sz w:val="32"/>
        </w:rPr>
        <w:t>、估价作业期</w:t>
      </w:r>
      <w:bookmarkEnd w:id="83"/>
    </w:p>
    <w:p>
      <w:pPr>
        <w:pStyle w:val="3"/>
        <w:ind w:firstLine="570"/>
        <w:rPr>
          <w:rFonts w:hint="eastAsia" w:eastAsia="宋体"/>
        </w:rPr>
      </w:pPr>
      <w:r>
        <w:rPr>
          <w:rFonts w:hint="eastAsia" w:eastAsia="宋体"/>
        </w:rPr>
        <w:t>二零一八年十二月二十七日至二零一九年一月</w:t>
      </w:r>
      <w:r>
        <w:rPr>
          <w:rFonts w:hint="eastAsia" w:eastAsia="宋体"/>
          <w:lang w:eastAsia="zh-CN"/>
        </w:rPr>
        <w:t>十</w:t>
      </w:r>
      <w:r>
        <w:rPr>
          <w:rFonts w:hint="eastAsia" w:eastAsia="宋体"/>
        </w:rPr>
        <w:t>日</w:t>
      </w:r>
    </w:p>
    <w:p>
      <w:pPr>
        <w:pStyle w:val="3"/>
        <w:ind w:firstLine="540" w:firstLineChars="168"/>
        <w:outlineLvl w:val="1"/>
        <w:rPr>
          <w:rFonts w:eastAsia="黑体"/>
          <w:b/>
          <w:sz w:val="32"/>
        </w:rPr>
      </w:pPr>
      <w:bookmarkStart w:id="84" w:name="_Toc23202"/>
      <w:r>
        <w:rPr>
          <w:rFonts w:eastAsia="黑体"/>
          <w:b/>
          <w:sz w:val="32"/>
        </w:rPr>
        <w:t>十</w:t>
      </w:r>
      <w:r>
        <w:rPr>
          <w:rFonts w:hint="eastAsia" w:eastAsia="黑体"/>
          <w:b/>
          <w:sz w:val="32"/>
        </w:rPr>
        <w:t>四</w:t>
      </w:r>
      <w:r>
        <w:rPr>
          <w:rFonts w:eastAsia="黑体"/>
          <w:b/>
          <w:sz w:val="32"/>
        </w:rPr>
        <w:t>、估价报告使用期限</w:t>
      </w:r>
      <w:bookmarkEnd w:id="84"/>
    </w:p>
    <w:p>
      <w:pPr>
        <w:pStyle w:val="3"/>
        <w:ind w:firstLine="570"/>
        <w:rPr>
          <w:rFonts w:eastAsia="宋体"/>
        </w:rPr>
      </w:pPr>
      <w:r>
        <w:rPr>
          <w:rFonts w:eastAsia="宋体"/>
        </w:rPr>
        <w:t>本报告自报告出具之日起，有效期</w:t>
      </w:r>
      <w:r>
        <w:rPr>
          <w:rFonts w:hint="eastAsia" w:eastAsia="宋体"/>
        </w:rPr>
        <w:t>壹</w:t>
      </w:r>
      <w:r>
        <w:rPr>
          <w:rFonts w:eastAsia="宋体"/>
        </w:rPr>
        <w:t>年[201</w:t>
      </w:r>
      <w:r>
        <w:rPr>
          <w:rFonts w:hint="eastAsia" w:eastAsia="宋体"/>
        </w:rPr>
        <w:t>9</w:t>
      </w:r>
      <w:r>
        <w:rPr>
          <w:rFonts w:eastAsia="宋体"/>
        </w:rPr>
        <w:t>年</w:t>
      </w:r>
      <w:r>
        <w:rPr>
          <w:rFonts w:hint="eastAsia" w:eastAsia="宋体"/>
        </w:rPr>
        <w:t>1月</w:t>
      </w:r>
      <w:r>
        <w:rPr>
          <w:rFonts w:hint="eastAsia" w:eastAsia="宋体"/>
          <w:lang w:val="en-US" w:eastAsia="zh-CN"/>
        </w:rPr>
        <w:t>10</w:t>
      </w:r>
      <w:r>
        <w:rPr>
          <w:rFonts w:hint="eastAsia" w:eastAsia="宋体"/>
        </w:rPr>
        <w:t>日至2020年1月</w:t>
      </w:r>
      <w:r>
        <w:rPr>
          <w:rFonts w:hint="eastAsia" w:eastAsia="宋体"/>
          <w:lang w:val="en-US" w:eastAsia="zh-CN"/>
        </w:rPr>
        <w:t>9</w:t>
      </w:r>
      <w:r>
        <w:rPr>
          <w:rFonts w:hint="eastAsia" w:eastAsia="宋体"/>
        </w:rPr>
        <w:t>日</w:t>
      </w:r>
      <w:r>
        <w:rPr>
          <w:rFonts w:eastAsia="宋体"/>
        </w:rPr>
        <w:t>]。当房地产市场状况或房地产政策法规发生重大变化和调整时，该有效期应相应调整。</w:t>
      </w:r>
    </w:p>
    <w:p>
      <w:pPr>
        <w:pStyle w:val="10"/>
        <w:numPr>
          <w:ilvl w:val="0"/>
          <w:numId w:val="2"/>
        </w:numPr>
        <w:tabs>
          <w:tab w:val="left" w:pos="720"/>
        </w:tabs>
        <w:spacing w:line="500" w:lineRule="exact"/>
        <w:ind w:left="0" w:firstLine="630"/>
        <w:outlineLvl w:val="1"/>
        <w:rPr>
          <w:rFonts w:hint="eastAsia" w:eastAsia="黑体"/>
          <w:b/>
          <w:sz w:val="32"/>
        </w:rPr>
      </w:pPr>
      <w:bookmarkStart w:id="85" w:name="_Toc6559"/>
      <w:r>
        <w:rPr>
          <w:rFonts w:eastAsia="黑体"/>
          <w:b/>
          <w:sz w:val="32"/>
        </w:rPr>
        <w:t>审 核</w:t>
      </w:r>
      <w:bookmarkEnd w:id="85"/>
      <w:r>
        <w:rPr>
          <w:rFonts w:hint="eastAsia" w:eastAsia="黑体"/>
          <w:b/>
          <w:sz w:val="32"/>
        </w:rPr>
        <w:t xml:space="preserve">       </w:t>
      </w:r>
    </w:p>
    <w:p>
      <w:pPr>
        <w:pStyle w:val="10"/>
        <w:spacing w:line="500" w:lineRule="exact"/>
        <w:ind w:left="199" w:leftChars="95" w:firstLine="2249" w:firstLineChars="700"/>
        <w:jc w:val="right"/>
      </w:pPr>
      <w:r>
        <w:rPr>
          <w:rFonts w:hint="eastAsia" w:eastAsia="黑体"/>
          <w:b/>
          <w:sz w:val="32"/>
        </w:rPr>
        <w:t>绵阳市公量房地产评估咨询</w:t>
      </w:r>
      <w:r>
        <w:rPr>
          <w:rFonts w:eastAsia="黑体"/>
          <w:b/>
          <w:sz w:val="32"/>
        </w:rPr>
        <w:t>有限公司</w:t>
      </w:r>
    </w:p>
    <w:p>
      <w:pPr>
        <w:pStyle w:val="4"/>
        <w:spacing w:line="500" w:lineRule="exact"/>
        <w:ind w:left="0" w:right="880" w:firstLine="0"/>
        <w:jc w:val="right"/>
        <w:rPr>
          <w:rFonts w:hint="eastAsia" w:eastAsia="黑体"/>
          <w:b/>
          <w:sz w:val="32"/>
          <w:highlight w:val="yellow"/>
        </w:rPr>
      </w:pPr>
      <w:r>
        <w:rPr>
          <w:rFonts w:eastAsia="黑体"/>
          <w:b/>
          <w:sz w:val="32"/>
        </w:rPr>
        <w:t>二零一</w:t>
      </w:r>
      <w:r>
        <w:rPr>
          <w:rFonts w:hint="eastAsia" w:eastAsia="黑体"/>
          <w:b/>
          <w:sz w:val="32"/>
        </w:rPr>
        <w:t>九</w:t>
      </w:r>
      <w:r>
        <w:rPr>
          <w:rFonts w:eastAsia="黑体"/>
          <w:b/>
          <w:sz w:val="32"/>
        </w:rPr>
        <w:t>年</w:t>
      </w:r>
      <w:r>
        <w:rPr>
          <w:rFonts w:hint="eastAsia" w:eastAsia="黑体"/>
          <w:b/>
          <w:sz w:val="32"/>
        </w:rPr>
        <w:t>一</w:t>
      </w:r>
      <w:r>
        <w:rPr>
          <w:rFonts w:eastAsia="黑体"/>
          <w:b/>
          <w:sz w:val="32"/>
        </w:rPr>
        <w:t>月</w:t>
      </w:r>
      <w:r>
        <w:rPr>
          <w:rFonts w:hint="eastAsia" w:eastAsia="黑体"/>
          <w:b/>
          <w:sz w:val="32"/>
          <w:lang w:eastAsia="zh-CN"/>
        </w:rPr>
        <w:t>十</w:t>
      </w:r>
      <w:r>
        <w:rPr>
          <w:rFonts w:eastAsia="黑体"/>
          <w:b/>
          <w:sz w:val="32"/>
        </w:rPr>
        <w:t>日</w:t>
      </w:r>
    </w:p>
    <w:p>
      <w:pPr>
        <w:pStyle w:val="10"/>
        <w:spacing w:line="520" w:lineRule="exact"/>
        <w:ind w:left="397" w:leftChars="189" w:firstLine="1970" w:firstLineChars="545"/>
        <w:jc w:val="center"/>
        <w:outlineLvl w:val="0"/>
        <w:rPr>
          <w:rFonts w:hint="eastAsia" w:eastAsia="黑体"/>
          <w:b/>
          <w:sz w:val="36"/>
        </w:rPr>
      </w:pPr>
      <w:bookmarkStart w:id="86" w:name="_Toc13401"/>
    </w:p>
    <w:p>
      <w:pPr>
        <w:pStyle w:val="10"/>
        <w:spacing w:line="520" w:lineRule="exact"/>
        <w:ind w:left="397" w:leftChars="189" w:firstLine="1970" w:firstLineChars="545"/>
        <w:outlineLvl w:val="0"/>
        <w:rPr>
          <w:rFonts w:eastAsia="黑体"/>
          <w:b/>
          <w:sz w:val="36"/>
        </w:rPr>
      </w:pPr>
      <w:r>
        <w:rPr>
          <w:rFonts w:hint="eastAsia" w:eastAsia="黑体"/>
          <w:b/>
          <w:sz w:val="36"/>
        </w:rPr>
        <w:t>第</w:t>
      </w:r>
      <w:r>
        <w:rPr>
          <w:rFonts w:hint="eastAsia" w:eastAsia="黑体"/>
          <w:b/>
          <w:sz w:val="36"/>
          <w:lang w:eastAsia="zh-CN"/>
        </w:rPr>
        <w:t>五</w:t>
      </w:r>
      <w:r>
        <w:rPr>
          <w:rFonts w:hint="eastAsia" w:eastAsia="黑体"/>
          <w:b/>
          <w:sz w:val="36"/>
        </w:rPr>
        <w:t xml:space="preserve">部分   </w:t>
      </w:r>
      <w:r>
        <w:rPr>
          <w:rFonts w:eastAsia="黑体"/>
          <w:b/>
          <w:sz w:val="36"/>
        </w:rPr>
        <w:t>附  件</w:t>
      </w:r>
      <w:bookmarkEnd w:id="86"/>
    </w:p>
    <w:p>
      <w:pPr>
        <w:pStyle w:val="10"/>
        <w:spacing w:line="520" w:lineRule="exact"/>
        <w:ind w:left="0" w:firstLine="0"/>
        <w:jc w:val="center"/>
        <w:rPr>
          <w:b/>
        </w:rPr>
      </w:pPr>
    </w:p>
    <w:p>
      <w:pPr>
        <w:pStyle w:val="4"/>
        <w:tabs>
          <w:tab w:val="left" w:pos="540"/>
        </w:tabs>
        <w:spacing w:line="520" w:lineRule="exact"/>
        <w:ind w:left="0" w:firstLine="560" w:firstLineChars="200"/>
        <w:rPr>
          <w:rFonts w:hint="eastAsia"/>
          <w:szCs w:val="28"/>
        </w:rPr>
      </w:pPr>
      <w:r>
        <w:t>一、</w:t>
      </w:r>
      <w:r>
        <w:rPr>
          <w:rFonts w:hint="eastAsia"/>
          <w:szCs w:val="28"/>
        </w:rPr>
        <w:t>绵阳市涪城区人民法院司法鉴定（评估）委托书</w:t>
      </w:r>
    </w:p>
    <w:p>
      <w:pPr>
        <w:pStyle w:val="4"/>
        <w:tabs>
          <w:tab w:val="left" w:pos="540"/>
        </w:tabs>
        <w:spacing w:line="520" w:lineRule="exact"/>
        <w:ind w:left="0" w:firstLine="560" w:firstLineChars="200"/>
        <w:rPr>
          <w:rFonts w:hint="eastAsia"/>
          <w:szCs w:val="28"/>
        </w:rPr>
      </w:pPr>
      <w:r>
        <w:rPr>
          <w:rFonts w:hint="eastAsia"/>
          <w:szCs w:val="28"/>
        </w:rPr>
        <w:t xml:space="preserve">    （2018）涪城法技委字第716号</w:t>
      </w:r>
    </w:p>
    <w:p>
      <w:pPr>
        <w:pStyle w:val="4"/>
        <w:tabs>
          <w:tab w:val="left" w:pos="540"/>
        </w:tabs>
        <w:spacing w:line="520" w:lineRule="exact"/>
        <w:ind w:left="0" w:firstLine="560" w:firstLineChars="200"/>
        <w:rPr>
          <w:rFonts w:hint="eastAsia"/>
          <w:color w:val="auto"/>
          <w:szCs w:val="28"/>
        </w:rPr>
      </w:pPr>
      <w:r>
        <w:rPr>
          <w:rFonts w:hint="eastAsia"/>
          <w:color w:val="auto"/>
          <w:szCs w:val="28"/>
        </w:rPr>
        <w:t>二、</w:t>
      </w:r>
      <w:r>
        <w:rPr>
          <w:color w:val="auto"/>
          <w:szCs w:val="28"/>
        </w:rPr>
        <w:t>估价委托人提供的</w:t>
      </w:r>
      <w:r>
        <w:rPr>
          <w:rFonts w:hint="eastAsia"/>
          <w:color w:val="auto"/>
          <w:szCs w:val="28"/>
        </w:rPr>
        <w:t>《</w:t>
      </w:r>
      <w:r>
        <w:rPr>
          <w:rFonts w:hint="eastAsia"/>
          <w:color w:val="auto"/>
          <w:szCs w:val="28"/>
          <w:lang w:eastAsia="zh-CN"/>
        </w:rPr>
        <w:t>土地查询信息表</w:t>
      </w:r>
      <w:r>
        <w:rPr>
          <w:rFonts w:hint="eastAsia"/>
          <w:color w:val="auto"/>
          <w:szCs w:val="28"/>
        </w:rPr>
        <w:t>》（复印件）</w:t>
      </w:r>
    </w:p>
    <w:p>
      <w:pPr>
        <w:pStyle w:val="4"/>
        <w:tabs>
          <w:tab w:val="left" w:pos="540"/>
        </w:tabs>
        <w:spacing w:line="520" w:lineRule="exact"/>
        <w:ind w:left="0" w:firstLine="560" w:firstLineChars="200"/>
        <w:rPr>
          <w:rFonts w:hint="eastAsia"/>
          <w:color w:val="auto"/>
          <w:szCs w:val="28"/>
        </w:rPr>
      </w:pPr>
      <w:r>
        <w:rPr>
          <w:rFonts w:hint="eastAsia"/>
          <w:color w:val="auto"/>
          <w:szCs w:val="28"/>
        </w:rPr>
        <w:t>三、</w:t>
      </w:r>
      <w:r>
        <w:rPr>
          <w:color w:val="auto"/>
          <w:szCs w:val="28"/>
        </w:rPr>
        <w:t>估价委托人提供的</w:t>
      </w:r>
      <w:r>
        <w:rPr>
          <w:rFonts w:hint="eastAsia"/>
          <w:color w:val="auto"/>
          <w:szCs w:val="28"/>
        </w:rPr>
        <w:t>《房屋信息摘要》（复印件）</w:t>
      </w:r>
    </w:p>
    <w:p>
      <w:pPr>
        <w:pStyle w:val="3"/>
        <w:spacing w:line="520" w:lineRule="exact"/>
        <w:ind w:left="570" w:firstLine="0"/>
        <w:rPr>
          <w:rFonts w:hint="eastAsia" w:eastAsia="宋体"/>
          <w:color w:val="auto"/>
        </w:rPr>
      </w:pPr>
      <w:r>
        <w:rPr>
          <w:rFonts w:hint="eastAsia" w:eastAsia="宋体"/>
          <w:color w:val="auto"/>
        </w:rPr>
        <w:t>四、</w:t>
      </w:r>
      <w:r>
        <w:rPr>
          <w:rFonts w:eastAsia="宋体"/>
          <w:color w:val="auto"/>
        </w:rPr>
        <w:t>评估机构营业执照（复印件）</w:t>
      </w:r>
    </w:p>
    <w:p>
      <w:pPr>
        <w:pStyle w:val="3"/>
        <w:spacing w:line="520" w:lineRule="exact"/>
        <w:ind w:left="570" w:firstLine="0"/>
        <w:rPr>
          <w:rFonts w:hint="eastAsia" w:eastAsia="宋体"/>
        </w:rPr>
      </w:pPr>
      <w:r>
        <w:rPr>
          <w:rFonts w:hint="eastAsia" w:eastAsia="宋体"/>
        </w:rPr>
        <w:t>五、</w:t>
      </w:r>
      <w:r>
        <w:rPr>
          <w:rFonts w:eastAsia="宋体"/>
        </w:rPr>
        <w:t>房地产价格评估机构</w:t>
      </w:r>
      <w:r>
        <w:rPr>
          <w:rFonts w:hint="eastAsia" w:eastAsia="宋体"/>
        </w:rPr>
        <w:t>资质</w:t>
      </w:r>
      <w:r>
        <w:rPr>
          <w:rFonts w:eastAsia="宋体"/>
        </w:rPr>
        <w:t>证书（复印件）</w:t>
      </w:r>
    </w:p>
    <w:p>
      <w:pPr>
        <w:pStyle w:val="4"/>
        <w:spacing w:line="520" w:lineRule="exact"/>
        <w:ind w:left="570" w:firstLine="0"/>
        <w:rPr>
          <w:rFonts w:hint="eastAsia"/>
        </w:rPr>
      </w:pPr>
      <w:r>
        <w:rPr>
          <w:rFonts w:hint="eastAsia"/>
        </w:rPr>
        <w:t>六、</w:t>
      </w:r>
      <w:r>
        <w:t>房地产估价师资格证书（复印件）</w:t>
      </w:r>
    </w:p>
    <w:p>
      <w:pPr>
        <w:pStyle w:val="10"/>
        <w:spacing w:line="520" w:lineRule="exact"/>
        <w:ind w:left="0" w:firstLine="555"/>
        <w:rPr>
          <w:rFonts w:hint="eastAsia"/>
        </w:rPr>
      </w:pPr>
      <w:r>
        <w:rPr>
          <w:rFonts w:hint="eastAsia"/>
        </w:rPr>
        <w:t>七、估价对象实景拍摄及位置示意图</w:t>
      </w:r>
    </w:p>
    <w:p>
      <w:pPr>
        <w:pStyle w:val="10"/>
        <w:spacing w:line="520" w:lineRule="exact"/>
        <w:ind w:left="0" w:firstLine="0"/>
        <w:rPr>
          <w:rFonts w:hint="eastAsia"/>
        </w:rPr>
      </w:pPr>
    </w:p>
    <w:p>
      <w:pPr>
        <w:pStyle w:val="10"/>
        <w:spacing w:line="520" w:lineRule="exact"/>
        <w:ind w:left="199" w:leftChars="95" w:firstLine="1968" w:firstLineChars="700"/>
        <w:jc w:val="right"/>
        <w:rPr>
          <w:rFonts w:hint="eastAsia" w:ascii="宋体" w:hAnsi="宋体" w:cs="宋体"/>
          <w:szCs w:val="28"/>
        </w:rPr>
      </w:pPr>
      <w:r>
        <w:rPr>
          <w:rFonts w:hint="eastAsia" w:ascii="宋体" w:hAnsi="宋体" w:cs="宋体"/>
          <w:b/>
          <w:szCs w:val="28"/>
        </w:rPr>
        <w:t>绵阳市公量房地产评估咨询有限公司</w:t>
      </w:r>
    </w:p>
    <w:p>
      <w:pPr>
        <w:pStyle w:val="4"/>
        <w:spacing w:line="520" w:lineRule="exact"/>
        <w:ind w:left="0" w:right="880" w:firstLine="0"/>
        <w:jc w:val="right"/>
        <w:rPr>
          <w:rFonts w:hint="eastAsia" w:ascii="宋体" w:hAnsi="宋体" w:cs="宋体"/>
          <w:b/>
          <w:szCs w:val="28"/>
        </w:rPr>
      </w:pPr>
      <w:r>
        <w:rPr>
          <w:rFonts w:hint="eastAsia" w:ascii="宋体" w:hAnsi="宋体" w:cs="宋体"/>
          <w:b/>
          <w:szCs w:val="28"/>
        </w:rPr>
        <w:t>二零一九年一月</w:t>
      </w:r>
      <w:r>
        <w:rPr>
          <w:rFonts w:hint="eastAsia" w:ascii="宋体" w:hAnsi="宋体" w:cs="宋体"/>
          <w:b/>
          <w:szCs w:val="28"/>
          <w:lang w:eastAsia="zh-CN"/>
        </w:rPr>
        <w:t>十</w:t>
      </w:r>
      <w:r>
        <w:rPr>
          <w:rFonts w:hint="eastAsia" w:ascii="宋体" w:hAnsi="宋体" w:cs="宋体"/>
          <w:b/>
          <w:szCs w:val="28"/>
        </w:rPr>
        <w:t>日</w:t>
      </w:r>
    </w:p>
    <w:p/>
    <w:sectPr>
      <w:headerReference r:id="rId8" w:type="default"/>
      <w:footerReference r:id="rId9" w:type="default"/>
      <w:pgSz w:w="11907" w:h="16840"/>
      <w:pgMar w:top="1418" w:right="1467" w:bottom="1418" w:left="2160" w:header="1134" w:footer="1134" w:gutter="0"/>
      <w:pgNumType w:fmt="decimalFullWidth" w:start="1"/>
      <w:cols w:space="720" w:num="1"/>
      <w:docGrid w:linePitch="447" w:charSpace="170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楷体">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Helvetica">
    <w:panose1 w:val="020B0504020202030204"/>
    <w:charset w:val="00"/>
    <w:family w:val="swiss"/>
    <w:pitch w:val="default"/>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240" w:lineRule="exact"/>
      <w:rPr>
        <w:rFonts w:ascii="Times New Roman"/>
        <w:i/>
        <w:vertAlign w:val="baseli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5"/>
      </w:rPr>
    </w:pPr>
    <w:r>
      <w:fldChar w:fldCharType="begin"/>
    </w:r>
    <w:r>
      <w:rPr>
        <w:rStyle w:val="15"/>
      </w:rPr>
      <w:instrText xml:space="preserve">PAGE  </w:instrText>
    </w:r>
    <w:r>
      <w:fldChar w:fldCharType="separate"/>
    </w:r>
    <w:r>
      <w:rPr>
        <w:rStyle w:val="15"/>
        <w:rFonts w:hint="eastAsia"/>
      </w:rPr>
      <w:t>１０</w:t>
    </w:r>
    <w:r>
      <w:fldChar w:fldCharType="end"/>
    </w:r>
  </w:p>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left" w:pos="3625"/>
      </w:tabs>
      <w:spacing w:line="360" w:lineRule="exact"/>
      <w:rPr>
        <w:rFonts w:hint="eastAsia"/>
        <w:i/>
        <w:sz w:val="15"/>
        <w:u w:val="single"/>
        <w:vertAlign w:val="baseline"/>
      </w:rPr>
    </w:pPr>
    <w:r>
      <w:rPr>
        <w:rFonts w:hint="eastAsia"/>
        <w:i/>
        <w:sz w:val="15"/>
        <w:u w:val="single"/>
        <w:vertAlign w:val="baseline"/>
      </w:rPr>
      <w:t xml:space="preserve">                                                                                                                   </w:t>
    </w:r>
  </w:p>
  <w:p>
    <w:pPr>
      <w:pStyle w:val="7"/>
      <w:tabs>
        <w:tab w:val="left" w:pos="3625"/>
      </w:tabs>
      <w:spacing w:line="220" w:lineRule="exact"/>
      <w:jc w:val="center"/>
      <w:rPr>
        <w:rFonts w:hint="eastAsia" w:ascii="Times New Roman"/>
        <w:i/>
        <w:sz w:val="15"/>
        <w:vertAlign w:val="baseline"/>
      </w:rPr>
    </w:pPr>
    <w:r>
      <w:rPr>
        <w:rFonts w:hint="eastAsia"/>
        <w:i/>
        <w:sz w:val="15"/>
        <w:vertAlign w:val="baseline"/>
      </w:rPr>
      <w:t>四川利君房地产评估事务所有限公司                                             电话</w:t>
    </w:r>
    <w:r>
      <w:rPr>
        <w:rFonts w:hint="eastAsia" w:ascii="Times New Roman"/>
        <w:i/>
        <w:sz w:val="15"/>
        <w:vertAlign w:val="baseline"/>
      </w:rPr>
      <w:t>：（0816）2236989   传真：(0816)2231636</w:t>
    </w:r>
    <w:r>
      <w:rPr>
        <w:rFonts w:hint="eastAsia" w:ascii="Times New Roman"/>
        <w:i/>
        <w:vanish/>
        <w:sz w:val="15"/>
        <w:vertAlign w:val="baseline"/>
      </w:rPr>
      <w:pgNum/>
    </w:r>
    <w:r>
      <w:rPr>
        <w:rFonts w:hint="eastAsia" w:ascii="Times New Roman"/>
        <w:i/>
        <w:vanish/>
        <w:sz w:val="15"/>
        <w:vertAlign w:val="baseline"/>
      </w:rPr>
      <w:t>0223163622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320" w:lineRule="exact"/>
      <w:ind w:firstLine="105" w:firstLineChars="50"/>
      <w:rPr>
        <w:rFonts w:ascii="黑体" w:eastAsia="黑体"/>
        <w:sz w:val="21"/>
        <w:szCs w:val="21"/>
        <w:u w:val="single"/>
        <w:vertAlign w:val="baseline"/>
      </w:rPr>
    </w:pPr>
    <w:r>
      <w:rPr>
        <w:rFonts w:ascii="黑体" w:eastAsia="黑体"/>
        <w:sz w:val="21"/>
        <w:szCs w:val="21"/>
        <w:u w:val="single"/>
        <w:vertAlign w:val="baseline"/>
      </w:rPr>
      <w:t>_____________________________________________________________________</w:t>
    </w:r>
    <w:r>
      <w:rPr>
        <w:rFonts w:hint="eastAsia" w:ascii="黑体" w:eastAsia="黑体"/>
        <w:sz w:val="21"/>
        <w:szCs w:val="21"/>
        <w:u w:val="single"/>
        <w:vertAlign w:val="baseline"/>
      </w:rPr>
      <w:t xml:space="preserve">＿  ＿＿  </w:t>
    </w:r>
  </w:p>
  <w:p>
    <w:pPr>
      <w:pStyle w:val="7"/>
      <w:spacing w:line="240" w:lineRule="exact"/>
      <w:rPr>
        <w:rFonts w:ascii="Times New Roman"/>
        <w:i/>
        <w:vertAlign w:val="baseline"/>
      </w:rPr>
    </w:pPr>
    <w:r>
      <w:rPr>
        <w:rFonts w:ascii="Times New Roman"/>
        <w:i/>
        <w:vertAlign w:val="baseline"/>
      </w:rPr>
      <w:t>地址: 绵阳</w:t>
    </w:r>
    <w:r>
      <w:rPr>
        <w:rFonts w:hint="eastAsia" w:ascii="Times New Roman"/>
        <w:i/>
        <w:vertAlign w:val="baseline"/>
      </w:rPr>
      <w:t>临园路东段富临.大都会4幢1单元2501号</w:t>
    </w:r>
    <w:r>
      <w:rPr>
        <w:rFonts w:ascii="Times New Roman"/>
        <w:i/>
        <w:vertAlign w:val="baseline"/>
      </w:rPr>
      <w:t xml:space="preserve">     电话：（0816 ）2220681        第</w:t>
    </w:r>
    <w:r>
      <w:rPr>
        <w:i/>
        <w:vertAlign w:val="baseline"/>
      </w:rPr>
      <w:fldChar w:fldCharType="begin"/>
    </w:r>
    <w:r>
      <w:rPr>
        <w:i/>
        <w:vertAlign w:val="baseline"/>
      </w:rPr>
      <w:instrText xml:space="preserve"> PAGE </w:instrText>
    </w:r>
    <w:r>
      <w:rPr>
        <w:i/>
        <w:vertAlign w:val="baseline"/>
      </w:rPr>
      <w:fldChar w:fldCharType="separate"/>
    </w:r>
    <w:r>
      <w:rPr>
        <w:rFonts w:hint="eastAsia"/>
        <w:i/>
        <w:vertAlign w:val="baseline"/>
      </w:rPr>
      <w:t>３３</w:t>
    </w:r>
    <w:r>
      <w:rPr>
        <w:i/>
        <w:vertAlign w:val="baseline"/>
      </w:rPr>
      <w:fldChar w:fldCharType="end"/>
    </w:r>
    <w:r>
      <w:rPr>
        <w:rFonts w:ascii="Times New Roman"/>
        <w:i/>
        <w:vertAlign w:val="baseline"/>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auto" w:sz="6" w:space="0"/>
      </w:pBdr>
      <w:spacing w:line="320" w:lineRule="exact"/>
      <w:rPr>
        <w:vertAlign w:val="baseline"/>
      </w:rPr>
    </w:pPr>
    <w:r>
      <w:rPr>
        <w:rFonts w:hint="eastAsia"/>
        <w:i/>
        <w:vertAlign w:val="baseline"/>
      </w:rPr>
      <w:t>房地产估价报告</w:t>
    </w:r>
    <w:r>
      <w:rPr>
        <w:i/>
        <w:vertAlign w:val="baseline"/>
      </w:rPr>
      <w:t xml:space="preserve"> </w:t>
    </w:r>
    <w:r>
      <w:rPr>
        <w:rFonts w:hint="eastAsia"/>
        <w:i/>
        <w:vertAlign w:val="baseline"/>
      </w:rPr>
      <w:t xml:space="preserve">                                                             </w:t>
    </w:r>
    <w:r>
      <w:rPr>
        <w:rFonts w:hint="eastAsia"/>
        <w:vanish/>
        <w:vertAlign w:val="baseline"/>
      </w:rPr>
      <w:pgNum/>
    </w:r>
    <w:r>
      <w:rPr>
        <w:rFonts w:hint="eastAsia"/>
        <w:i/>
        <w:vertAlign w:val="baseline"/>
      </w:rPr>
      <w:t xml:space="preserve">         </w:t>
    </w:r>
    <w:r>
      <w:rPr>
        <w:rFonts w:hint="eastAsia"/>
        <w:vertAlign w:val="baseline"/>
      </w:rPr>
      <w:t xml:space="preserve"> </w:t>
    </w:r>
    <w:r>
      <w:rPr>
        <w:rFonts w:hint="eastAsia"/>
        <w:kern w:val="0"/>
        <w:vertAlign w:val="baseline"/>
      </w:rPr>
      <w:t>第</w:t>
    </w:r>
    <w:r>
      <w:rPr>
        <w:kern w:val="0"/>
        <w:vertAlign w:val="baseline"/>
      </w:rPr>
      <w:t xml:space="preserve"> </w:t>
    </w:r>
    <w:r>
      <w:rPr>
        <w:kern w:val="0"/>
        <w:vertAlign w:val="baseline"/>
      </w:rPr>
      <w:fldChar w:fldCharType="begin"/>
    </w:r>
    <w:r>
      <w:rPr>
        <w:kern w:val="0"/>
        <w:vertAlign w:val="baseline"/>
      </w:rPr>
      <w:instrText xml:space="preserve"> PAGE </w:instrText>
    </w:r>
    <w:r>
      <w:rPr>
        <w:kern w:val="0"/>
        <w:vertAlign w:val="baseline"/>
      </w:rPr>
      <w:fldChar w:fldCharType="separate"/>
    </w:r>
    <w:r>
      <w:rPr>
        <w:rFonts w:hint="eastAsia"/>
        <w:kern w:val="0"/>
        <w:vertAlign w:val="baseline"/>
      </w:rPr>
      <w:t>１</w:t>
    </w:r>
    <w:r>
      <w:rPr>
        <w:kern w:val="0"/>
        <w:vertAlign w:val="baseline"/>
      </w:rPr>
      <w:fldChar w:fldCharType="end"/>
    </w:r>
    <w:r>
      <w:rPr>
        <w:kern w:val="0"/>
        <w:vertAlign w:val="baseline"/>
      </w:rPr>
      <w:t xml:space="preserve"> </w:t>
    </w:r>
    <w:r>
      <w:rPr>
        <w:rFonts w:hint="eastAsia"/>
        <w:kern w:val="0"/>
        <w:vertAlign w:val="baseline"/>
      </w:rPr>
      <w:t>页</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auto" w:sz="6" w:space="3"/>
      </w:pBdr>
      <w:spacing w:line="400" w:lineRule="exact"/>
      <w:jc w:val="both"/>
      <w:rPr>
        <w:rFonts w:hint="eastAsia" w:ascii="Times New Roman"/>
        <w:i/>
        <w:vertAlign w:val="baseline"/>
      </w:rPr>
    </w:pPr>
    <w:r>
      <w:rPr>
        <w:rFonts w:hint="eastAsia" w:ascii="Times New Roman"/>
        <w:i/>
        <w:vertAlign w:val="baseline"/>
      </w:rPr>
      <w:t>绵阳市公量房地产评估咨询有限公司                                         房地产估价报告</w:t>
    </w:r>
    <w:r>
      <w:rPr>
        <w:rFonts w:ascii="Times New Roman"/>
        <w:i/>
        <w:vertAlign w:val="baseline"/>
      </w:rPr>
      <w:t xml:space="preserve">  </w:t>
    </w:r>
    <w:r>
      <w:rPr>
        <w:rFonts w:hint="eastAsia" w:ascii="Times New Roman"/>
        <w:i/>
        <w:vertAlign w:val="baseline"/>
      </w:rPr>
      <w:t xml:space="preserve">          </w:t>
    </w:r>
    <w:r>
      <w:rPr>
        <w:rFonts w:ascii="Times New Roman"/>
        <w:i/>
        <w:vertAlign w:val="baseline"/>
      </w:rPr>
      <w:t xml:space="preserve"> </w:t>
    </w:r>
    <w:r>
      <w:rPr>
        <w:rFonts w:hint="eastAsia" w:ascii="Times New Roman"/>
        <w:i/>
        <w:vertAlign w:val="baseline"/>
      </w:rPr>
      <w:t xml:space="preserve"> </w:t>
    </w:r>
    <w:r>
      <w:rPr>
        <w:rFonts w:ascii="Times New Roman"/>
        <w:i/>
        <w:vertAlign w:val="baseline"/>
      </w:rPr>
      <w:t xml:space="preserve">      </w:t>
    </w:r>
    <w:r>
      <w:rPr>
        <w:rFonts w:hint="eastAsia" w:ascii="Times New Roman"/>
        <w:i/>
        <w:vertAlign w:val="baselin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09CC03"/>
    <w:multiLevelType w:val="singleLevel"/>
    <w:tmpl w:val="5909CC03"/>
    <w:lvl w:ilvl="0" w:tentative="0">
      <w:start w:val="8"/>
      <w:numFmt w:val="chineseCounting"/>
      <w:suff w:val="nothing"/>
      <w:lvlText w:val="%1、"/>
      <w:lvlJc w:val="left"/>
    </w:lvl>
  </w:abstractNum>
  <w:abstractNum w:abstractNumId="1">
    <w:nsid w:val="590ADD7B"/>
    <w:multiLevelType w:val="singleLevel"/>
    <w:tmpl w:val="590ADD7B"/>
    <w:lvl w:ilvl="0" w:tentative="0">
      <w:start w:val="15"/>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F626CA"/>
    <w:rsid w:val="76F626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4">
    <w:name w:val="Default Paragraph Font"/>
    <w:semiHidden/>
    <w:uiPriority w:val="0"/>
  </w:style>
  <w:style w:type="table" w:default="1" w:styleId="16">
    <w:name w:val="Normal Table"/>
    <w:semiHidden/>
    <w:uiPriority w:val="0"/>
    <w:tblPr>
      <w:tblLayout w:type="fixed"/>
      <w:tblCellMar>
        <w:top w:w="0" w:type="dxa"/>
        <w:left w:w="108" w:type="dxa"/>
        <w:bottom w:w="0" w:type="dxa"/>
        <w:right w:w="108" w:type="dxa"/>
      </w:tblCellMar>
    </w:tblPr>
  </w:style>
  <w:style w:type="paragraph" w:styleId="2">
    <w:name w:val="Body Text"/>
    <w:basedOn w:val="1"/>
    <w:uiPriority w:val="0"/>
    <w:pPr>
      <w:spacing w:after="120"/>
    </w:pPr>
    <w:rPr>
      <w:sz w:val="28"/>
      <w:szCs w:val="20"/>
    </w:rPr>
  </w:style>
  <w:style w:type="paragraph" w:styleId="3">
    <w:name w:val="Body Text Indent"/>
    <w:basedOn w:val="1"/>
    <w:uiPriority w:val="0"/>
    <w:pPr>
      <w:spacing w:line="500" w:lineRule="exact"/>
      <w:ind w:firstLine="720"/>
    </w:pPr>
    <w:rPr>
      <w:rFonts w:eastAsia="华文楷体"/>
      <w:sz w:val="28"/>
      <w:szCs w:val="20"/>
    </w:rPr>
  </w:style>
  <w:style w:type="paragraph" w:styleId="4">
    <w:name w:val="List 2"/>
    <w:basedOn w:val="1"/>
    <w:uiPriority w:val="0"/>
    <w:pPr>
      <w:ind w:left="100" w:hanging="200"/>
    </w:pPr>
    <w:rPr>
      <w:sz w:val="28"/>
      <w:szCs w:val="20"/>
    </w:rPr>
  </w:style>
  <w:style w:type="paragraph" w:styleId="5">
    <w:name w:val="Date"/>
    <w:basedOn w:val="1"/>
    <w:next w:val="1"/>
    <w:uiPriority w:val="0"/>
    <w:rPr>
      <w:sz w:val="28"/>
      <w:szCs w:val="20"/>
    </w:rPr>
  </w:style>
  <w:style w:type="paragraph" w:styleId="6">
    <w:name w:val="Body Text Indent 2"/>
    <w:basedOn w:val="1"/>
    <w:uiPriority w:val="0"/>
    <w:pPr>
      <w:ind w:left="845"/>
      <w:jc w:val="left"/>
    </w:pPr>
    <w:rPr>
      <w:sz w:val="28"/>
      <w:szCs w:val="20"/>
    </w:rPr>
  </w:style>
  <w:style w:type="paragraph" w:styleId="7">
    <w:name w:val="footer"/>
    <w:basedOn w:val="1"/>
    <w:uiPriority w:val="0"/>
    <w:pPr>
      <w:tabs>
        <w:tab w:val="center" w:pos="4153"/>
        <w:tab w:val="right" w:pos="8306"/>
      </w:tabs>
      <w:snapToGrid w:val="0"/>
      <w:jc w:val="left"/>
    </w:pPr>
    <w:rPr>
      <w:rFonts w:ascii="仿宋_GB2312"/>
      <w:sz w:val="18"/>
      <w:szCs w:val="20"/>
      <w:vertAlign w:val="subscript"/>
    </w:rPr>
  </w:style>
  <w:style w:type="paragraph" w:styleId="8">
    <w:name w:val="header"/>
    <w:basedOn w:val="1"/>
    <w:uiPriority w:val="0"/>
    <w:pPr>
      <w:pBdr>
        <w:bottom w:val="single" w:color="auto" w:sz="6" w:space="1"/>
      </w:pBdr>
      <w:tabs>
        <w:tab w:val="center" w:pos="4153"/>
        <w:tab w:val="right" w:pos="8306"/>
      </w:tabs>
      <w:snapToGrid w:val="0"/>
      <w:jc w:val="center"/>
    </w:pPr>
    <w:rPr>
      <w:rFonts w:ascii="仿宋_GB2312"/>
      <w:sz w:val="18"/>
      <w:szCs w:val="20"/>
      <w:vertAlign w:val="subscript"/>
    </w:rPr>
  </w:style>
  <w:style w:type="paragraph" w:styleId="9">
    <w:name w:val="toc 1"/>
    <w:basedOn w:val="1"/>
    <w:next w:val="1"/>
    <w:uiPriority w:val="39"/>
  </w:style>
  <w:style w:type="paragraph" w:styleId="10">
    <w:name w:val="List"/>
    <w:basedOn w:val="1"/>
    <w:uiPriority w:val="0"/>
    <w:pPr>
      <w:ind w:left="200" w:hanging="200"/>
    </w:pPr>
    <w:rPr>
      <w:sz w:val="28"/>
      <w:szCs w:val="20"/>
    </w:rPr>
  </w:style>
  <w:style w:type="paragraph" w:styleId="11">
    <w:name w:val="toc 2"/>
    <w:basedOn w:val="1"/>
    <w:next w:val="1"/>
    <w:uiPriority w:val="39"/>
    <w:pPr>
      <w:ind w:left="420" w:leftChars="200"/>
    </w:pPr>
  </w:style>
  <w:style w:type="paragraph" w:styleId="12">
    <w:name w:val="List Continue 2"/>
    <w:basedOn w:val="1"/>
    <w:uiPriority w:val="0"/>
    <w:pPr>
      <w:spacing w:after="120"/>
      <w:ind w:left="840"/>
    </w:pPr>
    <w:rPr>
      <w:sz w:val="28"/>
      <w:szCs w:val="20"/>
    </w:rPr>
  </w:style>
  <w:style w:type="paragraph" w:styleId="13">
    <w:name w:val="Normal (Web)"/>
    <w:basedOn w:val="1"/>
    <w:unhideWhenUsed/>
    <w:uiPriority w:val="99"/>
    <w:pPr>
      <w:widowControl/>
      <w:spacing w:before="100" w:beforeAutospacing="1" w:after="100" w:afterAutospacing="1"/>
      <w:jc w:val="left"/>
    </w:pPr>
    <w:rPr>
      <w:rFonts w:ascii="宋体" w:hAnsi="宋体" w:cs="宋体"/>
      <w:kern w:val="0"/>
      <w:sz w:val="24"/>
    </w:rPr>
  </w:style>
  <w:style w:type="character" w:styleId="15">
    <w:name w:val="page number"/>
    <w:basedOn w:val="14"/>
    <w:uiPriority w:val="0"/>
  </w:style>
  <w:style w:type="paragraph" w:customStyle="1" w:styleId="17">
    <w:name w:val="2"/>
    <w:basedOn w:val="1"/>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2019-01-10T01:00:00Z</dcterms:created>
  <dc:creator>admin</dc:creator>
  <cp:lastModifiedBy>admin</cp:lastModifiedBy>
  <cp:lastPrinted>2019-01-10T01:03:58Z</cp:lastPrinted>
  <dcterms:modified xsi:type="dcterms:W3CDTF">2019-01-10T01:05:49Z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