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b w:val="0"/>
          <w:sz w:val="20"/>
        </w:rPr>
      </w:pPr>
    </w:p>
    <w:p>
      <w:pPr>
        <w:pStyle w:val="3"/>
        <w:rPr>
          <w:rFonts w:ascii="Times New Roman"/>
          <w:b w:val="0"/>
          <w:sz w:val="20"/>
        </w:rPr>
      </w:pPr>
    </w:p>
    <w:p>
      <w:pPr>
        <w:pStyle w:val="3"/>
        <w:rPr>
          <w:rFonts w:ascii="Times New Roman"/>
          <w:b w:val="0"/>
          <w:sz w:val="20"/>
        </w:rPr>
      </w:pPr>
    </w:p>
    <w:p>
      <w:pPr>
        <w:pStyle w:val="3"/>
        <w:rPr>
          <w:rFonts w:ascii="Times New Roman"/>
          <w:b w:val="0"/>
          <w:sz w:val="20"/>
        </w:rPr>
      </w:pPr>
    </w:p>
    <w:p>
      <w:pPr>
        <w:pStyle w:val="3"/>
        <w:rPr>
          <w:rFonts w:ascii="Times New Roman"/>
          <w:b w:val="0"/>
          <w:sz w:val="20"/>
        </w:rPr>
      </w:pPr>
    </w:p>
    <w:p>
      <w:pPr>
        <w:pStyle w:val="3"/>
        <w:rPr>
          <w:rFonts w:ascii="Times New Roman"/>
          <w:b w:val="0"/>
          <w:sz w:val="20"/>
        </w:rPr>
      </w:pPr>
    </w:p>
    <w:p>
      <w:pPr>
        <w:pStyle w:val="3"/>
        <w:spacing w:before="6"/>
        <w:rPr>
          <w:rFonts w:ascii="Times New Roman"/>
          <w:b w:val="0"/>
          <w:sz w:val="24"/>
        </w:rPr>
      </w:pPr>
    </w:p>
    <w:p>
      <w:pPr>
        <w:pStyle w:val="3"/>
        <w:spacing w:before="33"/>
        <w:ind w:left="118"/>
      </w:pPr>
      <w:r>
        <w:rPr>
          <w:spacing w:val="-10"/>
        </w:rPr>
        <w:t xml:space="preserve">关于科左后旗金宝屯镇恒泰家园小区 </w:t>
      </w:r>
      <w:r>
        <w:t>1</w:t>
      </w:r>
      <w:r>
        <w:rPr>
          <w:spacing w:val="-56"/>
        </w:rPr>
        <w:t xml:space="preserve"> 号楼</w:t>
      </w:r>
    </w:p>
    <w:p>
      <w:pPr>
        <w:pStyle w:val="3"/>
        <w:spacing w:before="9"/>
        <w:ind w:left="855"/>
      </w:pPr>
      <w:r>
        <w:t>3</w:t>
      </w:r>
      <w:r>
        <w:rPr>
          <w:spacing w:val="-61"/>
        </w:rPr>
        <w:t xml:space="preserve"> 单元 </w:t>
      </w:r>
      <w:r>
        <w:t>601</w:t>
      </w:r>
      <w:r>
        <w:rPr>
          <w:spacing w:val="-13"/>
        </w:rPr>
        <w:t xml:space="preserve"> 室及车库价格评估报告书</w:t>
      </w:r>
    </w:p>
    <w:p>
      <w:pPr>
        <w:spacing w:before="407"/>
        <w:ind w:left="2413" w:right="0" w:firstLine="0"/>
        <w:jc w:val="left"/>
        <w:rPr>
          <w:sz w:val="32"/>
        </w:rPr>
      </w:pPr>
      <w:r>
        <w:rPr>
          <w:sz w:val="32"/>
        </w:rPr>
        <w:t>通辽正通评估字[2018]第 082 号</w:t>
      </w: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rPr>
          <w:b w:val="0"/>
          <w:sz w:val="32"/>
        </w:rPr>
      </w:pPr>
    </w:p>
    <w:p>
      <w:pPr>
        <w:pStyle w:val="3"/>
        <w:spacing w:before="7"/>
        <w:rPr>
          <w:b w:val="0"/>
          <w:sz w:val="37"/>
        </w:rPr>
      </w:pPr>
    </w:p>
    <w:p>
      <w:pPr>
        <w:spacing w:before="0" w:line="350" w:lineRule="auto"/>
        <w:ind w:left="1921" w:right="1925" w:firstLine="0"/>
        <w:jc w:val="center"/>
        <w:rPr>
          <w:b/>
          <w:sz w:val="32"/>
        </w:rPr>
      </w:pPr>
      <w:r>
        <w:rPr>
          <w:b/>
          <w:sz w:val="32"/>
        </w:rPr>
        <w:t>通辽市正通价格评估咨询有限责任公司二 0 一九年二月十五日</w:t>
      </w:r>
    </w:p>
    <w:p>
      <w:pPr>
        <w:spacing w:after="0" w:line="350" w:lineRule="auto"/>
        <w:jc w:val="center"/>
        <w:rPr>
          <w:sz w:val="32"/>
        </w:rPr>
        <w:sectPr>
          <w:type w:val="continuous"/>
          <w:pgSz w:w="11910" w:h="16840"/>
          <w:pgMar w:top="1580" w:right="1300" w:bottom="280" w:left="1300" w:header="720" w:footer="720" w:gutter="0"/>
        </w:sectPr>
      </w:pPr>
    </w:p>
    <w:p>
      <w:pPr>
        <w:tabs>
          <w:tab w:val="left" w:pos="5975"/>
        </w:tabs>
        <w:spacing w:before="11"/>
        <w:ind w:left="2893" w:right="0" w:firstLine="0"/>
        <w:jc w:val="left"/>
        <w:rPr>
          <w:sz w:val="44"/>
        </w:rPr>
      </w:pPr>
      <w:r>
        <w:rPr>
          <w:sz w:val="44"/>
        </w:rPr>
        <w:t>目</w:t>
      </w:r>
      <w:r>
        <w:rPr>
          <w:sz w:val="44"/>
        </w:rPr>
        <w:tab/>
      </w:r>
      <w:r>
        <w:rPr>
          <w:sz w:val="44"/>
        </w:rPr>
        <w:t>录</w:t>
      </w:r>
    </w:p>
    <w:p>
      <w:pPr>
        <w:tabs>
          <w:tab w:val="left" w:leader="dot" w:pos="7843"/>
        </w:tabs>
        <w:spacing w:before="733"/>
        <w:ind w:left="118" w:right="0" w:firstLine="0"/>
        <w:jc w:val="left"/>
        <w:rPr>
          <w:rFonts w:hint="eastAsia" w:ascii="微软雅黑" w:eastAsia="微软雅黑"/>
          <w:sz w:val="32"/>
        </w:rPr>
      </w:pPr>
      <w:r>
        <w:rPr>
          <w:rFonts w:hint="eastAsia" w:ascii="微软雅黑" w:eastAsia="微软雅黑"/>
          <w:sz w:val="32"/>
        </w:rPr>
        <w:t>注册价格鉴证师声明</w:t>
      </w:r>
      <w:r>
        <w:rPr>
          <w:rFonts w:hint="eastAsia" w:ascii="微软雅黑" w:eastAsia="微软雅黑"/>
          <w:sz w:val="32"/>
        </w:rPr>
        <w:tab/>
      </w:r>
      <w:r>
        <w:rPr>
          <w:rFonts w:hint="eastAsia" w:ascii="微软雅黑" w:eastAsia="微软雅黑"/>
          <w:sz w:val="32"/>
        </w:rPr>
        <w:t>1</w:t>
      </w:r>
    </w:p>
    <w:p>
      <w:pPr>
        <w:tabs>
          <w:tab w:val="left" w:leader="dot" w:pos="7723"/>
        </w:tabs>
        <w:spacing w:before="51"/>
        <w:ind w:left="118" w:right="0" w:firstLine="0"/>
        <w:jc w:val="left"/>
        <w:rPr>
          <w:rFonts w:hint="eastAsia" w:ascii="微软雅黑" w:eastAsia="微软雅黑"/>
          <w:sz w:val="32"/>
        </w:rPr>
      </w:pPr>
      <w:r>
        <w:rPr>
          <w:rFonts w:hint="eastAsia" w:ascii="微软雅黑" w:eastAsia="微软雅黑"/>
          <w:sz w:val="32"/>
        </w:rPr>
        <w:t>价格评估报告书</w:t>
      </w:r>
      <w:r>
        <w:rPr>
          <w:rFonts w:hint="eastAsia" w:ascii="微软雅黑" w:eastAsia="微软雅黑"/>
          <w:sz w:val="32"/>
        </w:rPr>
        <w:tab/>
      </w:r>
      <w:r>
        <w:rPr>
          <w:rFonts w:hint="eastAsia" w:ascii="微软雅黑" w:eastAsia="微软雅黑"/>
          <w:sz w:val="32"/>
        </w:rPr>
        <w:t>2</w:t>
      </w:r>
    </w:p>
    <w:p>
      <w:pPr>
        <w:tabs>
          <w:tab w:val="left" w:leader="dot" w:pos="7783"/>
        </w:tabs>
        <w:spacing w:before="49"/>
        <w:ind w:left="118" w:right="0" w:firstLine="0"/>
        <w:jc w:val="left"/>
        <w:rPr>
          <w:rFonts w:hint="eastAsia" w:ascii="微软雅黑" w:eastAsia="微软雅黑"/>
          <w:sz w:val="32"/>
        </w:rPr>
      </w:pPr>
      <w:r>
        <w:rPr>
          <w:rFonts w:hint="eastAsia" w:ascii="微软雅黑" w:eastAsia="微软雅黑"/>
          <w:sz w:val="32"/>
        </w:rPr>
        <w:t>一、价格评估标的</w:t>
      </w:r>
      <w:r>
        <w:rPr>
          <w:rFonts w:hint="eastAsia" w:ascii="微软雅黑" w:eastAsia="微软雅黑"/>
          <w:sz w:val="32"/>
        </w:rPr>
        <w:tab/>
      </w:r>
      <w:r>
        <w:rPr>
          <w:rFonts w:hint="eastAsia" w:ascii="微软雅黑" w:eastAsia="微软雅黑"/>
          <w:sz w:val="32"/>
        </w:rPr>
        <w:t>2</w:t>
      </w:r>
    </w:p>
    <w:p>
      <w:pPr>
        <w:tabs>
          <w:tab w:val="left" w:leader="dot" w:pos="7783"/>
        </w:tabs>
        <w:spacing w:before="51"/>
        <w:ind w:left="118" w:right="0" w:firstLine="0"/>
        <w:jc w:val="left"/>
        <w:rPr>
          <w:rFonts w:hint="eastAsia" w:ascii="微软雅黑" w:eastAsia="微软雅黑"/>
          <w:sz w:val="32"/>
        </w:rPr>
      </w:pPr>
      <w:r>
        <w:rPr>
          <w:rFonts w:hint="eastAsia" w:ascii="微软雅黑" w:eastAsia="微软雅黑"/>
          <w:sz w:val="32"/>
        </w:rPr>
        <w:t>二、价格评估目的</w:t>
      </w:r>
      <w:r>
        <w:rPr>
          <w:rFonts w:hint="eastAsia" w:ascii="微软雅黑" w:eastAsia="微软雅黑"/>
          <w:sz w:val="32"/>
        </w:rPr>
        <w:tab/>
      </w:r>
      <w:r>
        <w:rPr>
          <w:rFonts w:hint="eastAsia" w:ascii="微软雅黑" w:eastAsia="微软雅黑"/>
          <w:sz w:val="32"/>
        </w:rPr>
        <w:t>2</w:t>
      </w:r>
    </w:p>
    <w:p>
      <w:pPr>
        <w:tabs>
          <w:tab w:val="left" w:leader="dot" w:pos="7843"/>
        </w:tabs>
        <w:spacing w:before="51"/>
        <w:ind w:left="118" w:right="0" w:firstLine="0"/>
        <w:jc w:val="left"/>
        <w:rPr>
          <w:rFonts w:hint="eastAsia" w:ascii="微软雅黑" w:eastAsia="微软雅黑"/>
          <w:sz w:val="32"/>
        </w:rPr>
      </w:pPr>
      <w:r>
        <w:rPr>
          <w:rFonts w:hint="eastAsia" w:ascii="微软雅黑" w:eastAsia="微软雅黑"/>
          <w:sz w:val="32"/>
        </w:rPr>
        <w:t>三、价格评估基准日</w:t>
      </w:r>
      <w:r>
        <w:rPr>
          <w:rFonts w:hint="eastAsia" w:ascii="微软雅黑" w:eastAsia="微软雅黑"/>
          <w:sz w:val="32"/>
        </w:rPr>
        <w:tab/>
      </w:r>
      <w:r>
        <w:rPr>
          <w:rFonts w:hint="eastAsia" w:ascii="微软雅黑" w:eastAsia="微软雅黑"/>
          <w:sz w:val="32"/>
        </w:rPr>
        <w:t>2</w:t>
      </w:r>
    </w:p>
    <w:p>
      <w:pPr>
        <w:tabs>
          <w:tab w:val="left" w:leader="dot" w:pos="7663"/>
        </w:tabs>
        <w:spacing w:before="49"/>
        <w:ind w:left="118" w:right="0" w:firstLine="0"/>
        <w:jc w:val="left"/>
        <w:rPr>
          <w:rFonts w:hint="eastAsia" w:ascii="微软雅黑" w:eastAsia="微软雅黑"/>
          <w:sz w:val="32"/>
        </w:rPr>
      </w:pPr>
      <w:r>
        <w:rPr>
          <w:rFonts w:hint="eastAsia" w:ascii="微软雅黑" w:eastAsia="微软雅黑"/>
          <w:sz w:val="32"/>
        </w:rPr>
        <w:t>四、价格定义</w:t>
      </w:r>
      <w:r>
        <w:rPr>
          <w:rFonts w:hint="eastAsia" w:ascii="微软雅黑" w:eastAsia="微软雅黑"/>
          <w:sz w:val="32"/>
        </w:rPr>
        <w:tab/>
      </w:r>
      <w:r>
        <w:rPr>
          <w:rFonts w:hint="eastAsia" w:ascii="微软雅黑" w:eastAsia="微软雅黑"/>
          <w:sz w:val="32"/>
        </w:rPr>
        <w:t>2</w:t>
      </w:r>
    </w:p>
    <w:p>
      <w:pPr>
        <w:tabs>
          <w:tab w:val="left" w:leader="dot" w:pos="7783"/>
        </w:tabs>
        <w:spacing w:before="51"/>
        <w:ind w:left="118" w:right="0" w:firstLine="0"/>
        <w:jc w:val="left"/>
        <w:rPr>
          <w:rFonts w:hint="eastAsia" w:ascii="微软雅黑" w:eastAsia="微软雅黑"/>
          <w:sz w:val="32"/>
        </w:rPr>
      </w:pPr>
      <w:r>
        <w:rPr>
          <w:rFonts w:hint="eastAsia" w:ascii="微软雅黑" w:eastAsia="微软雅黑"/>
          <w:sz w:val="32"/>
        </w:rPr>
        <w:t>五、价格评估依据</w:t>
      </w:r>
      <w:r>
        <w:rPr>
          <w:rFonts w:hint="eastAsia" w:ascii="微软雅黑" w:eastAsia="微软雅黑"/>
          <w:sz w:val="32"/>
        </w:rPr>
        <w:tab/>
      </w:r>
      <w:r>
        <w:rPr>
          <w:rFonts w:hint="eastAsia" w:ascii="微软雅黑" w:eastAsia="微软雅黑"/>
          <w:sz w:val="32"/>
        </w:rPr>
        <w:t>3</w:t>
      </w:r>
    </w:p>
    <w:p>
      <w:pPr>
        <w:tabs>
          <w:tab w:val="left" w:leader="dot" w:pos="7783"/>
        </w:tabs>
        <w:spacing w:before="51"/>
        <w:ind w:left="118" w:right="0" w:firstLine="0"/>
        <w:jc w:val="left"/>
        <w:rPr>
          <w:rFonts w:hint="eastAsia" w:ascii="微软雅黑" w:eastAsia="微软雅黑"/>
          <w:sz w:val="32"/>
        </w:rPr>
      </w:pPr>
      <w:r>
        <w:rPr>
          <w:rFonts w:hint="eastAsia" w:ascii="微软雅黑" w:eastAsia="微软雅黑"/>
          <w:sz w:val="32"/>
        </w:rPr>
        <w:t>六、价格评估方法</w:t>
      </w:r>
      <w:r>
        <w:rPr>
          <w:rFonts w:hint="eastAsia" w:ascii="微软雅黑" w:eastAsia="微软雅黑"/>
          <w:sz w:val="32"/>
        </w:rPr>
        <w:tab/>
      </w:r>
      <w:r>
        <w:rPr>
          <w:rFonts w:hint="eastAsia" w:ascii="微软雅黑" w:eastAsia="微软雅黑"/>
          <w:sz w:val="32"/>
        </w:rPr>
        <w:t>3</w:t>
      </w:r>
    </w:p>
    <w:p>
      <w:pPr>
        <w:tabs>
          <w:tab w:val="left" w:leader="dot" w:pos="7783"/>
        </w:tabs>
        <w:spacing w:before="48"/>
        <w:ind w:left="118" w:right="0" w:firstLine="0"/>
        <w:jc w:val="left"/>
        <w:rPr>
          <w:rFonts w:hint="eastAsia" w:ascii="微软雅黑" w:eastAsia="微软雅黑"/>
          <w:sz w:val="32"/>
        </w:rPr>
      </w:pPr>
      <w:r>
        <w:rPr>
          <w:rFonts w:hint="eastAsia" w:ascii="微软雅黑" w:eastAsia="微软雅黑"/>
          <w:sz w:val="32"/>
        </w:rPr>
        <w:t>七、价格评估过程</w:t>
      </w:r>
      <w:r>
        <w:rPr>
          <w:rFonts w:hint="eastAsia" w:ascii="微软雅黑" w:eastAsia="微软雅黑"/>
          <w:sz w:val="32"/>
        </w:rPr>
        <w:tab/>
      </w:r>
      <w:r>
        <w:rPr>
          <w:rFonts w:hint="eastAsia" w:ascii="微软雅黑" w:eastAsia="微软雅黑"/>
          <w:sz w:val="32"/>
        </w:rPr>
        <w:t>3</w:t>
      </w:r>
    </w:p>
    <w:p>
      <w:pPr>
        <w:tabs>
          <w:tab w:val="left" w:leader="dot" w:pos="7783"/>
        </w:tabs>
        <w:spacing w:before="52"/>
        <w:ind w:left="118" w:right="0" w:firstLine="0"/>
        <w:jc w:val="left"/>
        <w:rPr>
          <w:rFonts w:hint="eastAsia" w:ascii="微软雅黑" w:eastAsia="微软雅黑"/>
          <w:sz w:val="32"/>
        </w:rPr>
      </w:pPr>
      <w:r>
        <w:rPr>
          <w:rFonts w:hint="eastAsia" w:ascii="微软雅黑" w:eastAsia="微软雅黑"/>
          <w:sz w:val="32"/>
        </w:rPr>
        <w:t>八、价格评估结论</w:t>
      </w:r>
      <w:r>
        <w:rPr>
          <w:rFonts w:hint="eastAsia" w:ascii="微软雅黑" w:eastAsia="微软雅黑"/>
          <w:sz w:val="32"/>
        </w:rPr>
        <w:tab/>
      </w:r>
      <w:r>
        <w:rPr>
          <w:rFonts w:hint="eastAsia" w:ascii="微软雅黑" w:eastAsia="微软雅黑"/>
          <w:sz w:val="32"/>
        </w:rPr>
        <w:t>4</w:t>
      </w:r>
    </w:p>
    <w:p>
      <w:pPr>
        <w:tabs>
          <w:tab w:val="left" w:leader="dot" w:pos="7903"/>
        </w:tabs>
        <w:spacing w:before="51"/>
        <w:ind w:left="118" w:right="0" w:firstLine="0"/>
        <w:jc w:val="left"/>
        <w:rPr>
          <w:rFonts w:hint="eastAsia" w:ascii="微软雅黑" w:eastAsia="微软雅黑"/>
          <w:sz w:val="32"/>
        </w:rPr>
      </w:pPr>
      <w:r>
        <w:rPr>
          <w:rFonts w:hint="eastAsia" w:ascii="微软雅黑" w:eastAsia="微软雅黑"/>
          <w:sz w:val="32"/>
        </w:rPr>
        <w:t>九、价格评估限定条件</w:t>
      </w:r>
      <w:r>
        <w:rPr>
          <w:rFonts w:hint="eastAsia" w:ascii="微软雅黑" w:eastAsia="微软雅黑"/>
          <w:sz w:val="32"/>
        </w:rPr>
        <w:tab/>
      </w:r>
      <w:r>
        <w:rPr>
          <w:rFonts w:hint="eastAsia" w:ascii="微软雅黑" w:eastAsia="微软雅黑"/>
          <w:sz w:val="32"/>
        </w:rPr>
        <w:t>4</w:t>
      </w:r>
    </w:p>
    <w:p>
      <w:pPr>
        <w:tabs>
          <w:tab w:val="left" w:leader="dot" w:pos="7543"/>
        </w:tabs>
        <w:spacing w:before="48"/>
        <w:ind w:left="118" w:right="0" w:firstLine="0"/>
        <w:jc w:val="left"/>
        <w:rPr>
          <w:rFonts w:hint="eastAsia" w:ascii="微软雅黑" w:eastAsia="微软雅黑"/>
          <w:sz w:val="32"/>
        </w:rPr>
      </w:pPr>
      <w:r>
        <w:rPr>
          <w:rFonts w:hint="eastAsia" w:ascii="微软雅黑" w:eastAsia="微软雅黑"/>
          <w:sz w:val="32"/>
        </w:rPr>
        <w:t>十、声明</w:t>
      </w:r>
      <w:r>
        <w:rPr>
          <w:rFonts w:hint="eastAsia" w:ascii="微软雅黑" w:eastAsia="微软雅黑"/>
          <w:sz w:val="32"/>
        </w:rPr>
        <w:tab/>
      </w:r>
      <w:r>
        <w:rPr>
          <w:rFonts w:hint="eastAsia" w:ascii="微软雅黑" w:eastAsia="微软雅黑"/>
          <w:sz w:val="32"/>
        </w:rPr>
        <w:t>6</w:t>
      </w:r>
    </w:p>
    <w:p>
      <w:pPr>
        <w:tabs>
          <w:tab w:val="left" w:leader="dot" w:pos="6883"/>
        </w:tabs>
        <w:spacing w:before="51" w:line="261" w:lineRule="auto"/>
        <w:ind w:left="118" w:right="116" w:firstLine="0"/>
        <w:jc w:val="left"/>
        <w:rPr>
          <w:rFonts w:hint="eastAsia" w:ascii="微软雅黑" w:hAnsi="微软雅黑" w:eastAsia="微软雅黑"/>
          <w:sz w:val="32"/>
        </w:rPr>
      </w:pPr>
      <w:r>
        <w:rPr>
          <w:rFonts w:hint="eastAsia" w:ascii="微软雅黑" w:hAnsi="微软雅黑" w:eastAsia="微软雅黑"/>
          <w:sz w:val="32"/>
        </w:rPr>
        <w:t>十一、价格评估作业日期</w:t>
      </w:r>
      <w:r>
        <w:rPr>
          <w:rFonts w:hint="eastAsia" w:ascii="微软雅黑" w:hAnsi="微软雅黑" w:eastAsia="微软雅黑"/>
          <w:spacing w:val="56"/>
          <w:sz w:val="32"/>
        </w:rPr>
        <w:t xml:space="preserve"> </w:t>
      </w:r>
      <w:r>
        <w:rPr>
          <w:rFonts w:hint="eastAsia" w:ascii="微软雅黑" w:hAnsi="微软雅黑" w:eastAsia="微软雅黑"/>
          <w:sz w:val="32"/>
        </w:rPr>
        <w:t>…………………………………………6</w:t>
      </w:r>
      <w:r>
        <w:rPr>
          <w:rFonts w:hint="eastAsia" w:ascii="微软雅黑" w:hAnsi="微软雅黑" w:eastAsia="微软雅黑"/>
          <w:spacing w:val="-20"/>
          <w:sz w:val="32"/>
        </w:rPr>
        <w:t xml:space="preserve"> </w:t>
      </w:r>
      <w:r>
        <w:rPr>
          <w:rFonts w:hint="eastAsia" w:ascii="微软雅黑" w:hAnsi="微软雅黑" w:eastAsia="微软雅黑"/>
          <w:sz w:val="32"/>
        </w:rPr>
        <w:t>十二、价格评估机构</w:t>
      </w:r>
      <w:r>
        <w:rPr>
          <w:rFonts w:hint="eastAsia" w:ascii="微软雅黑" w:hAnsi="微软雅黑" w:eastAsia="微软雅黑"/>
          <w:sz w:val="32"/>
        </w:rPr>
        <w:tab/>
      </w:r>
      <w:r>
        <w:rPr>
          <w:rFonts w:hint="eastAsia" w:ascii="微软雅黑" w:hAnsi="微软雅黑" w:eastAsia="微软雅黑"/>
          <w:sz w:val="32"/>
        </w:rPr>
        <w:t>6</w:t>
      </w:r>
    </w:p>
    <w:p>
      <w:pPr>
        <w:tabs>
          <w:tab w:val="left" w:leader="dot" w:pos="8141"/>
        </w:tabs>
        <w:spacing w:before="0" w:line="583" w:lineRule="exact"/>
        <w:ind w:left="118" w:right="0" w:firstLine="0"/>
        <w:jc w:val="left"/>
        <w:rPr>
          <w:rFonts w:hint="eastAsia" w:ascii="微软雅黑" w:eastAsia="微软雅黑"/>
          <w:sz w:val="32"/>
        </w:rPr>
      </w:pPr>
      <w:r>
        <w:rPr>
          <w:rFonts w:hint="eastAsia" w:ascii="微软雅黑" w:eastAsia="微软雅黑"/>
          <w:sz w:val="32"/>
        </w:rPr>
        <w:t>十三、价格评估人员签字或盖章</w:t>
      </w:r>
      <w:r>
        <w:rPr>
          <w:rFonts w:hint="eastAsia" w:ascii="微软雅黑" w:eastAsia="微软雅黑"/>
          <w:sz w:val="32"/>
        </w:rPr>
        <w:tab/>
      </w:r>
      <w:r>
        <w:rPr>
          <w:rFonts w:hint="eastAsia" w:ascii="微软雅黑" w:eastAsia="微软雅黑"/>
          <w:sz w:val="32"/>
        </w:rPr>
        <w:t>6</w:t>
      </w:r>
    </w:p>
    <w:p>
      <w:pPr>
        <w:tabs>
          <w:tab w:val="left" w:leader="dot" w:pos="7603"/>
        </w:tabs>
        <w:spacing w:before="52"/>
        <w:ind w:left="118" w:right="0" w:firstLine="0"/>
        <w:jc w:val="left"/>
        <w:rPr>
          <w:rFonts w:hint="eastAsia" w:ascii="微软雅黑" w:eastAsia="微软雅黑"/>
          <w:sz w:val="32"/>
        </w:rPr>
      </w:pPr>
      <w:r>
        <w:rPr>
          <w:rFonts w:hint="eastAsia" w:ascii="微软雅黑" w:eastAsia="微软雅黑"/>
          <w:sz w:val="32"/>
        </w:rPr>
        <w:t>十四、附件</w:t>
      </w:r>
      <w:r>
        <w:rPr>
          <w:rFonts w:hint="eastAsia" w:ascii="微软雅黑" w:eastAsia="微软雅黑"/>
          <w:sz w:val="32"/>
        </w:rPr>
        <w:tab/>
      </w:r>
      <w:r>
        <w:rPr>
          <w:rFonts w:hint="eastAsia" w:ascii="微软雅黑" w:eastAsia="微软雅黑"/>
          <w:sz w:val="32"/>
        </w:rPr>
        <w:t>7</w:t>
      </w:r>
    </w:p>
    <w:p>
      <w:pPr>
        <w:tabs>
          <w:tab w:val="left" w:leader="dot" w:pos="7603"/>
        </w:tabs>
        <w:spacing w:before="52"/>
        <w:ind w:left="118" w:right="0" w:firstLine="0"/>
        <w:jc w:val="left"/>
        <w:rPr>
          <w:rFonts w:hint="eastAsia" w:ascii="微软雅黑" w:eastAsia="微软雅黑"/>
          <w:sz w:val="32"/>
        </w:rPr>
      </w:pPr>
      <w:r>
        <w:rPr>
          <w:rFonts w:hint="eastAsia" w:ascii="微软雅黑" w:eastAsia="微软雅黑"/>
          <w:sz w:val="32"/>
        </w:rPr>
        <w:br w:type="page"/>
      </w:r>
    </w:p>
    <w:p>
      <w:pPr>
        <w:keepNext w:val="0"/>
        <w:keepLines w:val="0"/>
        <w:widowControl w:val="0"/>
        <w:suppressLineNumbers w:val="0"/>
        <w:autoSpaceDE w:val="0"/>
        <w:autoSpaceDN w:val="0"/>
        <w:spacing w:before="0" w:beforeAutospacing="0" w:after="0" w:afterAutospacing="0" w:line="649" w:lineRule="exact"/>
        <w:ind w:left="118" w:right="0" w:firstLine="0"/>
        <w:jc w:val="left"/>
        <w:rPr>
          <w:rFonts w:hint="eastAsia" w:ascii="微软雅黑" w:hAnsi="微软雅黑" w:eastAsia="微软雅黑" w:cs="微软雅黑"/>
          <w:sz w:val="36"/>
          <w:szCs w:val="36"/>
        </w:rPr>
      </w:pPr>
      <w:r>
        <w:rPr>
          <w:rFonts w:hint="eastAsia" w:ascii="微软雅黑" w:hAnsi="微软雅黑" w:eastAsia="微软雅黑" w:cs="微软雅黑"/>
          <w:b/>
          <w:kern w:val="0"/>
          <w:sz w:val="36"/>
          <w:szCs w:val="36"/>
          <w:lang w:val="en-US" w:eastAsia="zh-CN" w:bidi="ar"/>
        </w:rPr>
        <w:t>注册价格鉴证师声明</w:t>
      </w:r>
      <w:r>
        <w:rPr>
          <w:rFonts w:hint="eastAsia" w:ascii="微软雅黑" w:hAnsi="微软雅黑" w:eastAsia="微软雅黑" w:cs="微软雅黑"/>
          <w:kern w:val="0"/>
          <w:sz w:val="36"/>
          <w:szCs w:val="36"/>
          <w:lang w:val="en-US" w:eastAsia="zh-CN" w:bidi="ar"/>
        </w:rPr>
        <w:t>：</w:t>
      </w:r>
    </w:p>
    <w:p>
      <w:pPr>
        <w:keepNext w:val="0"/>
        <w:keepLines w:val="0"/>
        <w:widowControl w:val="0"/>
        <w:suppressLineNumbers w:val="0"/>
        <w:autoSpaceDE w:val="0"/>
        <w:autoSpaceDN w:val="0"/>
        <w:spacing w:before="207" w:beforeAutospacing="0" w:after="0" w:afterAutospacing="0"/>
        <w:ind w:left="118" w:right="272" w:firstLine="599"/>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一、我们在执行本价格评估业务中，遵循相关法律法规和价格评估准则，恪守独立、客观和公正的原则，根据我们在执业过程中收集的资料，评估报告书陈述的内容是客观的，并对评估结论的合理性承担相应的责任。</w:t>
      </w:r>
    </w:p>
    <w:p>
      <w:pPr>
        <w:keepNext w:val="0"/>
        <w:keepLines w:val="0"/>
        <w:widowControl w:val="0"/>
        <w:suppressLineNumbers w:val="0"/>
        <w:autoSpaceDE w:val="0"/>
        <w:autoSpaceDN w:val="0"/>
        <w:spacing w:before="0" w:beforeAutospacing="0" w:after="0" w:afterAutospacing="0"/>
        <w:ind w:left="118" w:right="127" w:firstLine="599"/>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二、评估标的涉及的财产物品范围、司法鉴定委托书等相关资料由委托方及相关当事人提供并确认，提供必要资料并保证所提供资料</w:t>
      </w:r>
      <w:r>
        <w:rPr>
          <w:rFonts w:hint="eastAsia" w:ascii="微软雅黑" w:hAnsi="微软雅黑" w:eastAsia="微软雅黑" w:cs="微软雅黑"/>
          <w:spacing w:val="-11"/>
          <w:kern w:val="0"/>
          <w:sz w:val="30"/>
          <w:szCs w:val="30"/>
          <w:lang w:val="en-US" w:eastAsia="zh-CN" w:bidi="ar"/>
        </w:rPr>
        <w:t>的真实性、合法性、完整性以及恰当使用评估报告书是委托方的责任。</w:t>
      </w:r>
    </w:p>
    <w:p>
      <w:pPr>
        <w:keepNext w:val="0"/>
        <w:keepLines w:val="0"/>
        <w:widowControl w:val="0"/>
        <w:suppressLineNumbers w:val="0"/>
        <w:autoSpaceDE w:val="0"/>
        <w:autoSpaceDN w:val="0"/>
        <w:spacing w:before="0" w:beforeAutospacing="0" w:after="0" w:afterAutospacing="0"/>
        <w:ind w:left="118" w:right="272" w:firstLine="631"/>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三、我们与评估报告书中的评估标的没有现存或者预期的利益关系，与相关当事人没有现存或者预期的利益关系，对相关当事人不存在偏见。</w:t>
      </w:r>
    </w:p>
    <w:p>
      <w:pPr>
        <w:keepNext w:val="0"/>
        <w:keepLines w:val="0"/>
        <w:widowControl w:val="0"/>
        <w:suppressLineNumbers w:val="0"/>
        <w:autoSpaceDE w:val="0"/>
        <w:autoSpaceDN w:val="0"/>
        <w:spacing w:before="0" w:beforeAutospacing="0" w:after="0" w:afterAutospacing="0"/>
        <w:ind w:left="118" w:right="278" w:firstLine="628"/>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四、我们已对评估报告书中的评估标的进行了现场勘察，并提请委托方完善法律权属资料以满足出具评估报告书的要求。</w:t>
      </w:r>
    </w:p>
    <w:p>
      <w:pPr>
        <w:keepNext w:val="0"/>
        <w:keepLines w:val="0"/>
        <w:widowControl w:val="0"/>
        <w:suppressLineNumbers w:val="0"/>
        <w:autoSpaceDE w:val="0"/>
        <w:autoSpaceDN w:val="0"/>
        <w:spacing w:before="0" w:beforeAutospacing="0" w:after="0" w:afterAutospacing="0"/>
        <w:ind w:left="118" w:right="273" w:firstLine="628"/>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五、我们出具的评估报告书中的分析、判断和结论受评估报告书中假设和限定条件等的限制，评估报告使用者应当充分考虑评估报告书中载明的假设、限定条件、特别事项说明等及其对评估报告书的影响。</w:t>
      </w:r>
    </w:p>
    <w:p>
      <w:pPr>
        <w:keepNext w:val="0"/>
        <w:keepLines w:val="0"/>
        <w:widowControl w:val="0"/>
        <w:suppressLineNumbers w:val="0"/>
        <w:autoSpaceDE w:val="0"/>
        <w:autoSpaceDN w:val="0"/>
        <w:spacing w:before="0" w:beforeAutospacing="0" w:after="0" w:afterAutospacing="0" w:line="391" w:lineRule="exact"/>
        <w:ind w:left="750" w:right="0" w:firstLine="0"/>
        <w:jc w:val="left"/>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六、注册价格鉴证师仅是对评估标的价值进行估算并发表专业意</w:t>
      </w:r>
    </w:p>
    <w:p>
      <w:pPr>
        <w:keepNext w:val="0"/>
        <w:keepLines w:val="0"/>
        <w:widowControl w:val="0"/>
        <w:suppressLineNumbers w:val="0"/>
        <w:autoSpaceDE w:val="0"/>
        <w:autoSpaceDN w:val="0"/>
        <w:spacing w:before="22" w:beforeAutospacing="0" w:after="0" w:afterAutospacing="0"/>
        <w:ind w:left="118" w:right="272" w:firstLine="0"/>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见，并不承担相关当事人决策的责任。评估结论系指评估标的在评估基准日及预期的经济环境与市场状况以及价格鉴证师所依据的评估前提和假设条件等没有重大变化的情况下，为满足评估目的而提出的价值估算结果，不等同于实际交易价格。</w:t>
      </w:r>
    </w:p>
    <w:p>
      <w:pPr>
        <w:keepNext w:val="0"/>
        <w:keepLines w:val="0"/>
        <w:widowControl w:val="0"/>
        <w:suppressLineNumbers w:val="0"/>
        <w:autoSpaceDE w:val="0"/>
        <w:autoSpaceDN w:val="0"/>
        <w:spacing w:before="0" w:beforeAutospacing="0" w:after="0" w:afterAutospacing="0"/>
        <w:ind w:left="118" w:right="273" w:firstLine="631"/>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七、本评估报告书中的价值是指评估标的在评估报告书载明的评估基准日价值。</w:t>
      </w:r>
    </w:p>
    <w:p>
      <w:pPr>
        <w:keepNext w:val="0"/>
        <w:keepLines w:val="0"/>
        <w:widowControl w:val="0"/>
        <w:suppressLineNumbers w:val="0"/>
        <w:autoSpaceDE w:val="0"/>
        <w:autoSpaceDN w:val="0"/>
        <w:spacing w:before="0" w:beforeAutospacing="0" w:after="0" w:afterAutospacing="0"/>
        <w:ind w:left="118" w:right="273" w:firstLine="631"/>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八、本报告书必须完整使用，评估报告书仅供委托方为本报告书所列明的评估目的使用，不作他用。对不当使用评估结论用于其他经济行为而形成的后果，评估人员及评估机构不承担相应责任。</w:t>
      </w:r>
    </w:p>
    <w:p>
      <w:pPr>
        <w:keepNext w:val="0"/>
        <w:keepLines w:val="0"/>
        <w:widowControl w:val="0"/>
        <w:suppressLineNumbers w:val="0"/>
        <w:autoSpaceDE w:val="0"/>
        <w:autoSpaceDN w:val="0"/>
        <w:spacing w:before="0" w:beforeAutospacing="0" w:after="0" w:afterAutospacing="0"/>
        <w:ind w:left="118" w:right="277" w:firstLine="631"/>
        <w:jc w:val="both"/>
        <w:rPr>
          <w:rFonts w:hint="eastAsia" w:ascii="微软雅黑" w:hAnsi="微软雅黑" w:eastAsia="微软雅黑" w:cs="微软雅黑"/>
          <w:sz w:val="30"/>
          <w:szCs w:val="30"/>
        </w:rPr>
      </w:pPr>
      <w:r>
        <w:rPr>
          <w:rFonts w:hint="eastAsia" w:ascii="微软雅黑" w:hAnsi="微软雅黑" w:eastAsia="微软雅黑" w:cs="微软雅黑"/>
          <w:kern w:val="0"/>
          <w:sz w:val="30"/>
          <w:szCs w:val="30"/>
          <w:lang w:val="en-US" w:eastAsia="zh-CN" w:bidi="ar"/>
        </w:rPr>
        <w:t>九、未经评估机构书面同意，委托方及评估报告使用者不得将评估报告书的全部或部分内容摘抄、引用或发表于任何公开媒体上。</w:t>
      </w:r>
    </w:p>
    <w:p>
      <w:pPr>
        <w:rPr>
          <w:rFonts w:hint="eastAsia" w:ascii="宋体" w:hAnsi="宋体" w:eastAsia="宋体" w:cs="宋体"/>
          <w:b/>
          <w:sz w:val="48"/>
          <w:szCs w:val="48"/>
        </w:rPr>
        <w:sectPr>
          <w:pgSz w:w="11910" w:h="16840"/>
          <w:pgMar w:top="1420" w:right="1140" w:bottom="1180" w:left="1300" w:header="720" w:footer="720" w:gutter="0"/>
        </w:sectPr>
      </w:pPr>
    </w:p>
    <w:p>
      <w:pPr>
        <w:pStyle w:val="2"/>
        <w:widowControl/>
        <w:rPr>
          <w:rFonts w:hint="eastAsia" w:ascii="宋体" w:hAnsi="宋体" w:eastAsia="宋体" w:cs="宋体"/>
          <w:b/>
          <w:sz w:val="48"/>
          <w:szCs w:val="48"/>
        </w:rPr>
      </w:pPr>
      <w:r>
        <w:rPr>
          <w:rFonts w:hint="eastAsia" w:ascii="宋体" w:hAnsi="宋体" w:eastAsia="宋体" w:cs="宋体"/>
          <w:b/>
          <w:sz w:val="48"/>
          <w:szCs w:val="48"/>
        </w:rPr>
        <w:t>关于科左后旗金宝屯镇恒泰家园小区</w:t>
      </w:r>
    </w:p>
    <w:p>
      <w:pPr>
        <w:keepNext w:val="0"/>
        <w:keepLines w:val="0"/>
        <w:widowControl w:val="0"/>
        <w:suppressLineNumbers w:val="0"/>
        <w:autoSpaceDE w:val="0"/>
        <w:autoSpaceDN w:val="0"/>
        <w:spacing w:before="9" w:beforeAutospacing="0" w:after="0" w:afterAutospacing="0"/>
        <w:ind w:left="1817" w:right="1979" w:firstLine="0"/>
        <w:jc w:val="center"/>
        <w:rPr>
          <w:rFonts w:hint="eastAsia" w:ascii="宋体" w:hAnsi="微软雅黑" w:eastAsia="宋体" w:cs="微软雅黑"/>
          <w:b/>
          <w:sz w:val="48"/>
          <w:szCs w:val="48"/>
        </w:rPr>
      </w:pPr>
      <w:r>
        <w:rPr>
          <w:rFonts w:hint="eastAsia" w:ascii="宋体" w:hAnsi="微软雅黑" w:eastAsia="宋体" w:cs="微软雅黑"/>
          <w:b/>
          <w:kern w:val="0"/>
          <w:sz w:val="48"/>
          <w:szCs w:val="48"/>
          <w:lang w:val="en-US" w:eastAsia="zh-CN" w:bidi="ar"/>
        </w:rPr>
        <w:t>1</w:t>
      </w:r>
      <w:r>
        <w:rPr>
          <w:rFonts w:hint="eastAsia" w:ascii="宋体" w:hAnsi="微软雅黑" w:eastAsia="宋体" w:cs="微软雅黑"/>
          <w:b/>
          <w:spacing w:val="-62"/>
          <w:kern w:val="0"/>
          <w:sz w:val="48"/>
          <w:szCs w:val="48"/>
          <w:lang w:val="en-US" w:eastAsia="zh-CN" w:bidi="ar"/>
        </w:rPr>
        <w:t xml:space="preserve"> </w:t>
      </w:r>
      <w:r>
        <w:rPr>
          <w:rFonts w:hint="eastAsia" w:ascii="宋体" w:hAnsi="宋体" w:eastAsia="宋体" w:cs="宋体"/>
          <w:b/>
          <w:spacing w:val="-62"/>
          <w:kern w:val="0"/>
          <w:sz w:val="48"/>
          <w:szCs w:val="48"/>
          <w:lang w:val="en-US" w:eastAsia="zh-CN" w:bidi="ar"/>
        </w:rPr>
        <w:t>号楼</w:t>
      </w:r>
      <w:r>
        <w:rPr>
          <w:rFonts w:hint="eastAsia" w:ascii="宋体" w:hAnsi="微软雅黑" w:eastAsia="宋体" w:cs="微软雅黑"/>
          <w:b/>
          <w:spacing w:val="-62"/>
          <w:kern w:val="0"/>
          <w:sz w:val="48"/>
          <w:szCs w:val="48"/>
          <w:lang w:val="en-US" w:eastAsia="zh-CN" w:bidi="ar"/>
        </w:rPr>
        <w:t xml:space="preserve"> </w:t>
      </w:r>
      <w:r>
        <w:rPr>
          <w:rFonts w:hint="eastAsia" w:ascii="宋体" w:hAnsi="微软雅黑" w:eastAsia="宋体" w:cs="微软雅黑"/>
          <w:b/>
          <w:kern w:val="0"/>
          <w:sz w:val="48"/>
          <w:szCs w:val="48"/>
          <w:lang w:val="en-US" w:eastAsia="zh-CN" w:bidi="ar"/>
        </w:rPr>
        <w:t>3</w:t>
      </w:r>
      <w:r>
        <w:rPr>
          <w:rFonts w:hint="eastAsia" w:ascii="宋体" w:hAnsi="微软雅黑" w:eastAsia="宋体" w:cs="微软雅黑"/>
          <w:b/>
          <w:spacing w:val="-63"/>
          <w:kern w:val="0"/>
          <w:sz w:val="48"/>
          <w:szCs w:val="48"/>
          <w:lang w:val="en-US" w:eastAsia="zh-CN" w:bidi="ar"/>
        </w:rPr>
        <w:t xml:space="preserve"> </w:t>
      </w:r>
      <w:r>
        <w:rPr>
          <w:rFonts w:hint="eastAsia" w:ascii="宋体" w:hAnsi="宋体" w:eastAsia="宋体" w:cs="宋体"/>
          <w:b/>
          <w:spacing w:val="-63"/>
          <w:kern w:val="0"/>
          <w:sz w:val="48"/>
          <w:szCs w:val="48"/>
          <w:lang w:val="en-US" w:eastAsia="zh-CN" w:bidi="ar"/>
        </w:rPr>
        <w:t>单元</w:t>
      </w:r>
      <w:r>
        <w:rPr>
          <w:rFonts w:hint="eastAsia" w:ascii="宋体" w:hAnsi="微软雅黑" w:eastAsia="宋体" w:cs="微软雅黑"/>
          <w:b/>
          <w:spacing w:val="-63"/>
          <w:kern w:val="0"/>
          <w:sz w:val="48"/>
          <w:szCs w:val="48"/>
          <w:lang w:val="en-US" w:eastAsia="zh-CN" w:bidi="ar"/>
        </w:rPr>
        <w:t xml:space="preserve"> </w:t>
      </w:r>
      <w:r>
        <w:rPr>
          <w:rFonts w:hint="eastAsia" w:ascii="宋体" w:hAnsi="微软雅黑" w:eastAsia="宋体" w:cs="微软雅黑"/>
          <w:b/>
          <w:kern w:val="0"/>
          <w:sz w:val="48"/>
          <w:szCs w:val="48"/>
          <w:lang w:val="en-US" w:eastAsia="zh-CN" w:bidi="ar"/>
        </w:rPr>
        <w:t>601</w:t>
      </w:r>
      <w:r>
        <w:rPr>
          <w:rFonts w:hint="eastAsia" w:ascii="宋体" w:hAnsi="微软雅黑" w:eastAsia="宋体" w:cs="微软雅黑"/>
          <w:b/>
          <w:spacing w:val="-26"/>
          <w:kern w:val="0"/>
          <w:sz w:val="48"/>
          <w:szCs w:val="48"/>
          <w:lang w:val="en-US" w:eastAsia="zh-CN" w:bidi="ar"/>
        </w:rPr>
        <w:t xml:space="preserve"> </w:t>
      </w:r>
      <w:r>
        <w:rPr>
          <w:rFonts w:hint="eastAsia" w:ascii="宋体" w:hAnsi="宋体" w:eastAsia="宋体" w:cs="宋体"/>
          <w:b/>
          <w:spacing w:val="-26"/>
          <w:kern w:val="0"/>
          <w:sz w:val="48"/>
          <w:szCs w:val="48"/>
          <w:lang w:val="en-US" w:eastAsia="zh-CN" w:bidi="ar"/>
        </w:rPr>
        <w:t>室及车库价格评估报告书</w:t>
      </w:r>
    </w:p>
    <w:p>
      <w:pPr>
        <w:pStyle w:val="4"/>
        <w:keepNext w:val="0"/>
        <w:keepLines w:val="0"/>
        <w:widowControl w:val="0"/>
        <w:suppressLineNumbers w:val="0"/>
        <w:autoSpaceDE w:val="0"/>
        <w:autoSpaceDN w:val="0"/>
        <w:spacing w:before="380" w:beforeAutospacing="0" w:after="0" w:afterAutospacing="0"/>
        <w:ind w:left="2370"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通辽正通评估字[2018]第 082 号</w:t>
      </w:r>
    </w:p>
    <w:p>
      <w:pPr>
        <w:pStyle w:val="4"/>
        <w:keepNext w:val="0"/>
        <w:keepLines w:val="0"/>
        <w:widowControl w:val="0"/>
        <w:suppressLineNumbers w:val="0"/>
        <w:autoSpaceDE w:val="0"/>
        <w:autoSpaceDN w:val="0"/>
        <w:spacing w:before="9" w:beforeAutospacing="0" w:after="0" w:afterAutospacing="0"/>
        <w:ind w:left="0" w:right="0"/>
        <w:jc w:val="left"/>
        <w:rPr>
          <w:rFonts w:hint="eastAsia" w:ascii="微软雅黑" w:hAnsi="微软雅黑" w:eastAsia="微软雅黑" w:cs="微软雅黑"/>
          <w:sz w:val="36"/>
          <w:szCs w:val="36"/>
        </w:rPr>
      </w:pPr>
      <w:r>
        <w:rPr>
          <w:rFonts w:hint="eastAsia" w:ascii="微软雅黑" w:hAnsi="微软雅黑" w:eastAsia="微软雅黑" w:cs="微软雅黑"/>
          <w:kern w:val="0"/>
          <w:sz w:val="36"/>
          <w:szCs w:val="36"/>
          <w:lang w:val="en-US" w:eastAsia="zh-CN" w:bidi="ar"/>
        </w:rPr>
        <w:t xml:space="preserve"> </w:t>
      </w:r>
    </w:p>
    <w:p>
      <w:pPr>
        <w:pStyle w:val="4"/>
        <w:keepNext w:val="0"/>
        <w:keepLines w:val="0"/>
        <w:widowControl w:val="0"/>
        <w:suppressLineNumbers w:val="0"/>
        <w:autoSpaceDE w:val="0"/>
        <w:autoSpaceDN w:val="0"/>
        <w:spacing w:before="0" w:beforeAutospacing="0" w:after="0" w:afterAutospacing="0" w:line="585" w:lineRule="exact"/>
        <w:ind w:left="118"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科尔沁左翼后旗人民法院：</w:t>
      </w:r>
    </w:p>
    <w:p>
      <w:pPr>
        <w:pStyle w:val="4"/>
        <w:keepNext w:val="0"/>
        <w:keepLines w:val="0"/>
        <w:widowControl w:val="0"/>
        <w:suppressLineNumbers w:val="0"/>
        <w:autoSpaceDE w:val="0"/>
        <w:autoSpaceDN w:val="0"/>
        <w:spacing w:before="4" w:beforeAutospacing="0" w:after="0" w:afterAutospacing="0"/>
        <w:ind w:left="118" w:right="274" w:firstLine="645"/>
        <w:jc w:val="both"/>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根据你院（2018）</w:t>
      </w:r>
      <w:r>
        <w:rPr>
          <w:rFonts w:hint="eastAsia" w:ascii="微软雅黑" w:hAnsi="微软雅黑" w:eastAsia="微软雅黑" w:cs="微软雅黑"/>
          <w:spacing w:val="2"/>
          <w:kern w:val="0"/>
          <w:sz w:val="32"/>
          <w:szCs w:val="32"/>
          <w:lang w:val="en-US" w:eastAsia="zh-CN" w:bidi="ar"/>
        </w:rPr>
        <w:t xml:space="preserve">内 </w:t>
      </w:r>
      <w:r>
        <w:rPr>
          <w:rFonts w:hint="eastAsia" w:ascii="微软雅黑" w:hAnsi="微软雅黑" w:eastAsia="微软雅黑" w:cs="微软雅黑"/>
          <w:kern w:val="0"/>
          <w:sz w:val="32"/>
          <w:szCs w:val="32"/>
          <w:lang w:val="en-US" w:eastAsia="zh-CN" w:bidi="ar"/>
        </w:rPr>
        <w:t>0522</w:t>
      </w:r>
      <w:r>
        <w:rPr>
          <w:rFonts w:hint="eastAsia" w:ascii="微软雅黑" w:hAnsi="微软雅黑" w:eastAsia="微软雅黑" w:cs="微软雅黑"/>
          <w:spacing w:val="3"/>
          <w:kern w:val="0"/>
          <w:sz w:val="32"/>
          <w:szCs w:val="32"/>
          <w:lang w:val="en-US" w:eastAsia="zh-CN" w:bidi="ar"/>
        </w:rPr>
        <w:t xml:space="preserve"> 执 </w:t>
      </w:r>
      <w:r>
        <w:rPr>
          <w:rFonts w:hint="eastAsia" w:ascii="微软雅黑" w:hAnsi="微软雅黑" w:eastAsia="微软雅黑" w:cs="微软雅黑"/>
          <w:kern w:val="0"/>
          <w:sz w:val="32"/>
          <w:szCs w:val="32"/>
          <w:lang w:val="en-US" w:eastAsia="zh-CN" w:bidi="ar"/>
        </w:rPr>
        <w:t>2656 号执行案件对外委托工</w:t>
      </w:r>
      <w:r>
        <w:rPr>
          <w:rFonts w:hint="eastAsia" w:ascii="微软雅黑" w:hAnsi="微软雅黑" w:eastAsia="微软雅黑" w:cs="微软雅黑"/>
          <w:spacing w:val="4"/>
          <w:kern w:val="0"/>
          <w:sz w:val="32"/>
          <w:szCs w:val="32"/>
          <w:lang w:val="en-US" w:eastAsia="zh-CN" w:bidi="ar"/>
        </w:rPr>
        <w:t xml:space="preserve">作交接表的委托，遵循独立、客观、公正的原则，按照规定的标  准、程序和方法，依法对价格评估标的进行了价格评估。现将价  </w:t>
      </w:r>
      <w:r>
        <w:rPr>
          <w:rFonts w:hint="eastAsia" w:ascii="微软雅黑" w:hAnsi="微软雅黑" w:eastAsia="微软雅黑" w:cs="微软雅黑"/>
          <w:kern w:val="0"/>
          <w:sz w:val="32"/>
          <w:szCs w:val="32"/>
          <w:lang w:val="en-US" w:eastAsia="zh-CN" w:bidi="ar"/>
        </w:rPr>
        <w:t>格评估情况综述如下：</w:t>
      </w:r>
    </w:p>
    <w:p>
      <w:pPr>
        <w:pStyle w:val="4"/>
        <w:keepNext w:val="0"/>
        <w:keepLines w:val="0"/>
        <w:widowControl w:val="0"/>
        <w:suppressLineNumbers w:val="0"/>
        <w:autoSpaceDE w:val="0"/>
        <w:autoSpaceDN w:val="0"/>
        <w:spacing w:before="0" w:beforeAutospacing="0" w:after="0" w:afterAutospacing="0" w:line="584"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一、价格评估标的</w:t>
      </w:r>
    </w:p>
    <w:p>
      <w:pPr>
        <w:pStyle w:val="4"/>
        <w:keepNext w:val="0"/>
        <w:keepLines w:val="0"/>
        <w:widowControl w:val="0"/>
        <w:suppressLineNumbers w:val="0"/>
        <w:autoSpaceDE w:val="0"/>
        <w:autoSpaceDN w:val="0"/>
        <w:spacing w:before="0" w:beforeAutospacing="0" w:after="0" w:afterAutospacing="0" w:line="580"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价格评估标的为位于科左后旗金宝屯镇恒泰家园小区 1 号楼</w:t>
      </w:r>
    </w:p>
    <w:p>
      <w:pPr>
        <w:pStyle w:val="4"/>
        <w:keepNext w:val="0"/>
        <w:keepLines w:val="0"/>
        <w:widowControl w:val="0"/>
        <w:suppressLineNumbers w:val="0"/>
        <w:autoSpaceDE w:val="0"/>
        <w:autoSpaceDN w:val="0"/>
        <w:spacing w:before="4" w:beforeAutospacing="0" w:after="0" w:afterAutospacing="0"/>
        <w:ind w:left="118" w:right="277"/>
        <w:jc w:val="center"/>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3</w:t>
      </w:r>
      <w:r>
        <w:rPr>
          <w:rFonts w:hint="eastAsia" w:ascii="微软雅黑" w:hAnsi="微软雅黑" w:eastAsia="微软雅黑" w:cs="微软雅黑"/>
          <w:spacing w:val="-7"/>
          <w:kern w:val="0"/>
          <w:sz w:val="32"/>
          <w:szCs w:val="32"/>
          <w:lang w:val="en-US" w:eastAsia="zh-CN" w:bidi="ar"/>
        </w:rPr>
        <w:t xml:space="preserve"> 单元 </w:t>
      </w:r>
      <w:r>
        <w:rPr>
          <w:rFonts w:hint="eastAsia" w:ascii="微软雅黑" w:hAnsi="微软雅黑" w:eastAsia="微软雅黑" w:cs="微软雅黑"/>
          <w:kern w:val="0"/>
          <w:sz w:val="32"/>
          <w:szCs w:val="32"/>
          <w:lang w:val="en-US" w:eastAsia="zh-CN" w:bidi="ar"/>
        </w:rPr>
        <w:t>601</w:t>
      </w:r>
      <w:r>
        <w:rPr>
          <w:rFonts w:hint="eastAsia" w:ascii="微软雅黑" w:hAnsi="微软雅黑" w:eastAsia="微软雅黑" w:cs="微软雅黑"/>
          <w:spacing w:val="-6"/>
          <w:kern w:val="0"/>
          <w:sz w:val="32"/>
          <w:szCs w:val="32"/>
          <w:lang w:val="en-US" w:eastAsia="zh-CN" w:bidi="ar"/>
        </w:rPr>
        <w:t xml:space="preserve"> 室及 </w:t>
      </w:r>
      <w:r>
        <w:rPr>
          <w:rFonts w:hint="eastAsia" w:ascii="微软雅黑" w:hAnsi="微软雅黑" w:eastAsia="微软雅黑" w:cs="微软雅黑"/>
          <w:kern w:val="0"/>
          <w:sz w:val="32"/>
          <w:szCs w:val="32"/>
          <w:lang w:val="en-US" w:eastAsia="zh-CN" w:bidi="ar"/>
        </w:rPr>
        <w:t>1</w:t>
      </w:r>
      <w:r>
        <w:rPr>
          <w:rFonts w:hint="eastAsia" w:ascii="微软雅黑" w:hAnsi="微软雅黑" w:eastAsia="微软雅黑" w:cs="微软雅黑"/>
          <w:spacing w:val="-5"/>
          <w:kern w:val="0"/>
          <w:sz w:val="32"/>
          <w:szCs w:val="32"/>
          <w:lang w:val="en-US" w:eastAsia="zh-CN" w:bidi="ar"/>
        </w:rPr>
        <w:t xml:space="preserve"> 号楼北侧东数 </w:t>
      </w:r>
      <w:r>
        <w:rPr>
          <w:rFonts w:hint="eastAsia" w:ascii="微软雅黑" w:hAnsi="微软雅黑" w:eastAsia="微软雅黑" w:cs="微软雅黑"/>
          <w:kern w:val="0"/>
          <w:sz w:val="32"/>
          <w:szCs w:val="32"/>
          <w:lang w:val="en-US" w:eastAsia="zh-CN" w:bidi="ar"/>
        </w:rPr>
        <w:t>4</w:t>
      </w:r>
      <w:r>
        <w:rPr>
          <w:rFonts w:hint="eastAsia" w:ascii="微软雅黑" w:hAnsi="微软雅黑" w:eastAsia="微软雅黑" w:cs="微软雅黑"/>
          <w:spacing w:val="-4"/>
          <w:kern w:val="0"/>
          <w:sz w:val="32"/>
          <w:szCs w:val="32"/>
          <w:lang w:val="en-US" w:eastAsia="zh-CN" w:bidi="ar"/>
        </w:rPr>
        <w:t xml:space="preserve"> 号车库</w:t>
      </w:r>
      <w:r>
        <w:rPr>
          <w:rFonts w:hint="eastAsia" w:ascii="微软雅黑" w:hAnsi="微软雅黑" w:eastAsia="微软雅黑" w:cs="微软雅黑"/>
          <w:kern w:val="0"/>
          <w:sz w:val="32"/>
          <w:szCs w:val="32"/>
          <w:lang w:val="en-US" w:eastAsia="zh-CN" w:bidi="ar"/>
        </w:rPr>
        <w:t>（</w:t>
      </w:r>
      <w:r>
        <w:rPr>
          <w:rFonts w:hint="eastAsia" w:ascii="微软雅黑" w:hAnsi="微软雅黑" w:eastAsia="微软雅黑" w:cs="微软雅黑"/>
          <w:spacing w:val="-2"/>
          <w:kern w:val="0"/>
          <w:sz w:val="32"/>
          <w:szCs w:val="32"/>
          <w:lang w:val="en-US" w:eastAsia="zh-CN" w:bidi="ar"/>
        </w:rPr>
        <w:t>详见委托价格评估财</w:t>
      </w:r>
      <w:r>
        <w:rPr>
          <w:rFonts w:hint="eastAsia" w:ascii="微软雅黑" w:hAnsi="微软雅黑" w:eastAsia="微软雅黑" w:cs="微软雅黑"/>
          <w:kern w:val="0"/>
          <w:sz w:val="32"/>
          <w:szCs w:val="32"/>
          <w:lang w:val="en-US" w:eastAsia="zh-CN" w:bidi="ar"/>
        </w:rPr>
        <w:t>产、物品明细表</w:t>
      </w:r>
      <w:r>
        <w:rPr>
          <w:rFonts w:hint="eastAsia" w:ascii="微软雅黑" w:hAnsi="微软雅黑" w:eastAsia="微软雅黑" w:cs="微软雅黑"/>
          <w:spacing w:val="-158"/>
          <w:kern w:val="0"/>
          <w:sz w:val="32"/>
          <w:szCs w:val="32"/>
          <w:lang w:val="en-US" w:eastAsia="zh-CN" w:bidi="ar"/>
        </w:rPr>
        <w:t>）</w:t>
      </w:r>
      <w:r>
        <w:rPr>
          <w:rFonts w:hint="eastAsia" w:ascii="微软雅黑" w:hAnsi="微软雅黑" w:eastAsia="微软雅黑" w:cs="微软雅黑"/>
          <w:kern w:val="0"/>
          <w:sz w:val="32"/>
          <w:szCs w:val="32"/>
          <w:lang w:val="en-US" w:eastAsia="zh-CN" w:bidi="ar"/>
        </w:rPr>
        <w:t>。上述价格评估标的相关信息为委托方提供。</w:t>
      </w:r>
    </w:p>
    <w:p>
      <w:pPr>
        <w:pStyle w:val="4"/>
        <w:keepNext w:val="0"/>
        <w:keepLines w:val="0"/>
        <w:widowControl w:val="0"/>
        <w:suppressLineNumbers w:val="0"/>
        <w:autoSpaceDE w:val="0"/>
        <w:autoSpaceDN w:val="0"/>
        <w:spacing w:before="0" w:beforeAutospacing="0" w:after="0" w:afterAutospacing="0" w:line="580"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二、价格评估目的</w:t>
      </w:r>
    </w:p>
    <w:p>
      <w:pPr>
        <w:pStyle w:val="4"/>
        <w:keepNext w:val="0"/>
        <w:keepLines w:val="0"/>
        <w:widowControl w:val="0"/>
        <w:suppressLineNumbers w:val="0"/>
        <w:autoSpaceDE w:val="0"/>
        <w:autoSpaceDN w:val="0"/>
        <w:spacing w:before="4" w:beforeAutospacing="0" w:after="0" w:afterAutospacing="0"/>
        <w:ind w:left="118" w:right="272" w:firstLine="640"/>
        <w:jc w:val="left"/>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 xml:space="preserve">确定价格评估标的在价格评估基准日的价格，为科尔沁左翼  </w:t>
      </w:r>
      <w:r>
        <w:rPr>
          <w:rFonts w:hint="eastAsia" w:ascii="微软雅黑" w:hAnsi="微软雅黑" w:eastAsia="微软雅黑" w:cs="微软雅黑"/>
          <w:kern w:val="0"/>
          <w:sz w:val="32"/>
          <w:szCs w:val="32"/>
          <w:lang w:val="en-US" w:eastAsia="zh-CN" w:bidi="ar"/>
        </w:rPr>
        <w:t>后旗人民法院办理相关案件提供评估标的价格参考依据。</w:t>
      </w:r>
    </w:p>
    <w:p>
      <w:pPr>
        <w:pStyle w:val="4"/>
        <w:keepNext w:val="0"/>
        <w:keepLines w:val="0"/>
        <w:widowControl w:val="0"/>
        <w:suppressLineNumbers w:val="0"/>
        <w:autoSpaceDE w:val="0"/>
        <w:autoSpaceDN w:val="0"/>
        <w:spacing w:before="0" w:beforeAutospacing="0" w:after="0" w:afterAutospacing="0" w:line="581"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三、价格评估基准日</w:t>
      </w:r>
    </w:p>
    <w:p>
      <w:pPr>
        <w:pStyle w:val="4"/>
        <w:keepNext w:val="0"/>
        <w:keepLines w:val="0"/>
        <w:widowControl w:val="0"/>
        <w:suppressLineNumbers w:val="0"/>
        <w:autoSpaceDE w:val="0"/>
        <w:autoSpaceDN w:val="0"/>
        <w:spacing w:before="4" w:beforeAutospacing="0" w:after="0" w:afterAutospacing="0"/>
        <w:ind w:left="759" w:right="5637"/>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2018 年 9 月 14 日。四、价格定义</w:t>
      </w:r>
    </w:p>
    <w:p>
      <w:pPr>
        <w:pStyle w:val="4"/>
        <w:keepNext w:val="0"/>
        <w:keepLines w:val="0"/>
        <w:widowControl w:val="0"/>
        <w:suppressLineNumbers w:val="0"/>
        <w:autoSpaceDE w:val="0"/>
        <w:autoSpaceDN w:val="0"/>
        <w:spacing w:before="3" w:beforeAutospacing="0" w:after="0" w:afterAutospacing="0"/>
        <w:ind w:left="118" w:right="282"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2"/>
          <w:kern w:val="0"/>
          <w:sz w:val="32"/>
          <w:szCs w:val="32"/>
          <w:lang w:val="en-US" w:eastAsia="zh-CN" w:bidi="ar"/>
        </w:rPr>
        <w:t>本报告书所指价格是：价格评估标的在价格评估基准日，采  用公开市场价值标准确定的客观合理价格。</w:t>
      </w:r>
    </w:p>
    <w:p>
      <w:pPr>
        <w:pStyle w:val="4"/>
        <w:keepNext w:val="0"/>
        <w:keepLines w:val="0"/>
        <w:widowControl w:val="0"/>
        <w:suppressLineNumbers w:val="0"/>
        <w:autoSpaceDE w:val="0"/>
        <w:autoSpaceDN w:val="0"/>
        <w:spacing w:before="0" w:beforeAutospacing="0" w:after="0" w:afterAutospacing="0" w:line="587"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五、价格评估依据</w:t>
      </w:r>
    </w:p>
    <w:p>
      <w:pPr>
        <w:rPr>
          <w:rFonts w:hint="eastAsia" w:ascii="微软雅黑" w:hAnsi="微软雅黑" w:eastAsia="微软雅黑" w:cs="微软雅黑"/>
          <w:sz w:val="32"/>
          <w:szCs w:val="32"/>
        </w:rPr>
        <w:sectPr>
          <w:pgSz w:w="11910" w:h="16840"/>
          <w:pgMar w:top="1400" w:right="1140" w:bottom="1180" w:left="1300" w:header="720" w:footer="720" w:gutter="0"/>
        </w:sectPr>
      </w:pPr>
    </w:p>
    <w:p>
      <w:pPr>
        <w:pStyle w:val="4"/>
        <w:keepNext w:val="0"/>
        <w:keepLines w:val="0"/>
        <w:widowControl w:val="0"/>
        <w:suppressLineNumbers w:val="0"/>
        <w:autoSpaceDE w:val="0"/>
        <w:autoSpaceDN w:val="0"/>
        <w:spacing w:before="1" w:beforeAutospacing="0" w:after="0" w:afterAutospacing="0" w:line="584"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（一）法律法规及相关文件</w:t>
      </w:r>
    </w:p>
    <w:p>
      <w:pPr>
        <w:pStyle w:val="4"/>
        <w:keepNext w:val="0"/>
        <w:keepLines w:val="0"/>
        <w:widowControl w:val="0"/>
        <w:suppressLineNumbers w:val="0"/>
        <w:autoSpaceDE w:val="0"/>
        <w:autoSpaceDN w:val="0"/>
        <w:spacing w:before="0" w:beforeAutospacing="0" w:after="0" w:afterAutospacing="0" w:line="580"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1、《中华人民共和国价格法》；</w:t>
      </w:r>
    </w:p>
    <w:p>
      <w:pPr>
        <w:pStyle w:val="4"/>
        <w:keepNext w:val="0"/>
        <w:keepLines w:val="0"/>
        <w:widowControl w:val="0"/>
        <w:suppressLineNumbers w:val="0"/>
        <w:autoSpaceDE w:val="0"/>
        <w:autoSpaceDN w:val="0"/>
        <w:spacing w:before="4" w:beforeAutospacing="0" w:after="0" w:afterAutospacing="0"/>
        <w:ind w:left="118" w:right="203" w:firstLine="64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2、《内蒙古自治区罚没物、抵押物、纠纷物、拍卖物、过期无主物、赔偿物等财产物品价值认定管理办法》；</w:t>
      </w:r>
    </w:p>
    <w:p>
      <w:pPr>
        <w:pStyle w:val="4"/>
        <w:keepNext w:val="0"/>
        <w:keepLines w:val="0"/>
        <w:widowControl w:val="0"/>
        <w:suppressLineNumbers w:val="0"/>
        <w:autoSpaceDE w:val="0"/>
        <w:autoSpaceDN w:val="0"/>
        <w:spacing w:before="0" w:beforeAutospacing="0" w:after="0" w:afterAutospacing="0" w:line="580"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3、《内蒙古自治区价格鉴证操作规程》；</w:t>
      </w:r>
    </w:p>
    <w:p>
      <w:pPr>
        <w:pStyle w:val="4"/>
        <w:keepNext w:val="0"/>
        <w:keepLines w:val="0"/>
        <w:widowControl w:val="0"/>
        <w:suppressLineNumbers w:val="0"/>
        <w:autoSpaceDE w:val="0"/>
        <w:autoSpaceDN w:val="0"/>
        <w:spacing w:before="0" w:beforeAutospacing="0" w:after="0" w:afterAutospacing="0" w:line="581"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4、其他法律法规和规范性文件。</w:t>
      </w:r>
    </w:p>
    <w:p>
      <w:pPr>
        <w:pStyle w:val="4"/>
        <w:keepNext w:val="0"/>
        <w:keepLines w:val="0"/>
        <w:widowControl w:val="0"/>
        <w:suppressLineNumbers w:val="0"/>
        <w:autoSpaceDE w:val="0"/>
        <w:autoSpaceDN w:val="0"/>
        <w:spacing w:before="0" w:beforeAutospacing="0" w:after="0" w:afterAutospacing="0" w:line="580"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（二）委托方提供的有关资料</w:t>
      </w:r>
    </w:p>
    <w:p>
      <w:pPr>
        <w:pStyle w:val="4"/>
        <w:keepNext w:val="0"/>
        <w:keepLines w:val="0"/>
        <w:widowControl w:val="0"/>
        <w:suppressLineNumbers w:val="0"/>
        <w:autoSpaceDE w:val="0"/>
        <w:autoSpaceDN w:val="0"/>
        <w:spacing w:before="3" w:beforeAutospacing="0" w:after="0" w:afterAutospacing="0"/>
        <w:ind w:left="118" w:right="274" w:firstLine="645"/>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1</w:t>
      </w:r>
      <w:r>
        <w:rPr>
          <w:rFonts w:hint="eastAsia" w:ascii="微软雅黑" w:hAnsi="微软雅黑" w:eastAsia="微软雅黑" w:cs="微软雅黑"/>
          <w:spacing w:val="-9"/>
          <w:kern w:val="0"/>
          <w:sz w:val="32"/>
          <w:szCs w:val="32"/>
          <w:lang w:val="en-US" w:eastAsia="zh-CN" w:bidi="ar"/>
        </w:rPr>
        <w:t>、科尔沁左翼后旗人民法院</w:t>
      </w:r>
      <w:r>
        <w:rPr>
          <w:rFonts w:hint="eastAsia" w:ascii="微软雅黑" w:hAnsi="微软雅黑" w:eastAsia="微软雅黑" w:cs="微软雅黑"/>
          <w:spacing w:val="-5"/>
          <w:kern w:val="0"/>
          <w:sz w:val="32"/>
          <w:szCs w:val="32"/>
          <w:lang w:val="en-US" w:eastAsia="zh-CN" w:bidi="ar"/>
        </w:rPr>
        <w:t>（2018）</w:t>
      </w:r>
      <w:r>
        <w:rPr>
          <w:rFonts w:hint="eastAsia" w:ascii="微软雅黑" w:hAnsi="微软雅黑" w:eastAsia="微软雅黑" w:cs="微软雅黑"/>
          <w:spacing w:val="-9"/>
          <w:kern w:val="0"/>
          <w:sz w:val="32"/>
          <w:szCs w:val="32"/>
          <w:lang w:val="en-US" w:eastAsia="zh-CN" w:bidi="ar"/>
        </w:rPr>
        <w:t xml:space="preserve">内 </w:t>
      </w:r>
      <w:r>
        <w:rPr>
          <w:rFonts w:hint="eastAsia" w:ascii="微软雅黑" w:hAnsi="微软雅黑" w:eastAsia="微软雅黑" w:cs="微软雅黑"/>
          <w:kern w:val="0"/>
          <w:sz w:val="32"/>
          <w:szCs w:val="32"/>
          <w:lang w:val="en-US" w:eastAsia="zh-CN" w:bidi="ar"/>
        </w:rPr>
        <w:t>0522</w:t>
      </w:r>
      <w:r>
        <w:rPr>
          <w:rFonts w:hint="eastAsia" w:ascii="微软雅黑" w:hAnsi="微软雅黑" w:eastAsia="微软雅黑" w:cs="微软雅黑"/>
          <w:spacing w:val="-12"/>
          <w:kern w:val="0"/>
          <w:sz w:val="32"/>
          <w:szCs w:val="32"/>
          <w:lang w:val="en-US" w:eastAsia="zh-CN" w:bidi="ar"/>
        </w:rPr>
        <w:t xml:space="preserve"> 执 </w:t>
      </w:r>
      <w:r>
        <w:rPr>
          <w:rFonts w:hint="eastAsia" w:ascii="微软雅黑" w:hAnsi="微软雅黑" w:eastAsia="微软雅黑" w:cs="微软雅黑"/>
          <w:kern w:val="0"/>
          <w:sz w:val="32"/>
          <w:szCs w:val="32"/>
          <w:lang w:val="en-US" w:eastAsia="zh-CN" w:bidi="ar"/>
        </w:rPr>
        <w:t>2656</w:t>
      </w:r>
      <w:r>
        <w:rPr>
          <w:rFonts w:hint="eastAsia" w:ascii="微软雅黑" w:hAnsi="微软雅黑" w:eastAsia="微软雅黑" w:cs="微软雅黑"/>
          <w:spacing w:val="-6"/>
          <w:kern w:val="0"/>
          <w:sz w:val="32"/>
          <w:szCs w:val="32"/>
          <w:lang w:val="en-US" w:eastAsia="zh-CN" w:bidi="ar"/>
        </w:rPr>
        <w:t xml:space="preserve"> 号执行案件对外委托工作交接表；</w:t>
      </w:r>
    </w:p>
    <w:p>
      <w:pPr>
        <w:pStyle w:val="4"/>
        <w:keepNext w:val="0"/>
        <w:keepLines w:val="0"/>
        <w:widowControl w:val="0"/>
        <w:suppressLineNumbers w:val="0"/>
        <w:autoSpaceDE w:val="0"/>
        <w:autoSpaceDN w:val="0"/>
        <w:spacing w:before="0" w:beforeAutospacing="0" w:after="0" w:afterAutospacing="0" w:line="587"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2、内蒙古科尔沁左翼后旗人民法院民事判决书复印件壹份伍</w:t>
      </w:r>
    </w:p>
    <w:p>
      <w:pPr>
        <w:pStyle w:val="4"/>
        <w:keepNext w:val="0"/>
        <w:keepLines w:val="0"/>
        <w:widowControl w:val="0"/>
        <w:suppressLineNumbers w:val="0"/>
        <w:autoSpaceDE w:val="0"/>
        <w:autoSpaceDN w:val="0"/>
        <w:spacing w:before="0" w:beforeAutospacing="0" w:after="0" w:afterAutospacing="0" w:line="574" w:lineRule="exact"/>
        <w:ind w:left="118"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页；</w:t>
      </w:r>
    </w:p>
    <w:p>
      <w:pPr>
        <w:pStyle w:val="4"/>
        <w:keepNext w:val="0"/>
        <w:keepLines w:val="0"/>
        <w:widowControl w:val="0"/>
        <w:suppressLineNumbers w:val="0"/>
        <w:autoSpaceDE w:val="0"/>
        <w:autoSpaceDN w:val="0"/>
        <w:spacing w:before="0" w:beforeAutospacing="0" w:after="0" w:afterAutospacing="0" w:line="581"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3、执行裁定书复印件壹份壹页。</w:t>
      </w:r>
    </w:p>
    <w:p>
      <w:pPr>
        <w:pStyle w:val="4"/>
        <w:keepNext w:val="0"/>
        <w:keepLines w:val="0"/>
        <w:widowControl w:val="0"/>
        <w:suppressLineNumbers w:val="0"/>
        <w:autoSpaceDE w:val="0"/>
        <w:autoSpaceDN w:val="0"/>
        <w:spacing w:before="0" w:beforeAutospacing="0" w:after="0" w:afterAutospacing="0" w:line="580"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（三）评估方收集的有关资料</w:t>
      </w:r>
    </w:p>
    <w:p>
      <w:pPr>
        <w:pStyle w:val="4"/>
        <w:keepNext w:val="0"/>
        <w:keepLines w:val="0"/>
        <w:widowControl w:val="0"/>
        <w:suppressLineNumbers w:val="0"/>
        <w:autoSpaceDE w:val="0"/>
        <w:autoSpaceDN w:val="0"/>
        <w:spacing w:before="0" w:beforeAutospacing="0" w:after="0" w:afterAutospacing="0" w:line="580"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1、现场实物（实地）勘验记录；</w:t>
      </w:r>
    </w:p>
    <w:p>
      <w:pPr>
        <w:pStyle w:val="4"/>
        <w:keepNext w:val="0"/>
        <w:keepLines w:val="0"/>
        <w:widowControl w:val="0"/>
        <w:suppressLineNumbers w:val="0"/>
        <w:autoSpaceDE w:val="0"/>
        <w:autoSpaceDN w:val="0"/>
        <w:spacing w:before="4" w:beforeAutospacing="0" w:after="0" w:afterAutospacing="0"/>
        <w:ind w:left="759" w:right="5957"/>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2</w:t>
      </w:r>
      <w:r>
        <w:rPr>
          <w:rFonts w:hint="eastAsia" w:ascii="微软雅黑" w:hAnsi="微软雅黑" w:eastAsia="微软雅黑" w:cs="微软雅黑"/>
          <w:spacing w:val="-3"/>
          <w:kern w:val="0"/>
          <w:sz w:val="32"/>
          <w:szCs w:val="32"/>
          <w:lang w:val="en-US" w:eastAsia="zh-CN" w:bidi="ar"/>
        </w:rPr>
        <w:t>、市场调查资料。</w:t>
      </w:r>
      <w:r>
        <w:rPr>
          <w:rFonts w:hint="eastAsia" w:ascii="微软雅黑" w:hAnsi="微软雅黑" w:eastAsia="微软雅黑" w:cs="微软雅黑"/>
          <w:kern w:val="0"/>
          <w:sz w:val="32"/>
          <w:szCs w:val="32"/>
          <w:lang w:val="en-US" w:eastAsia="zh-CN" w:bidi="ar"/>
        </w:rPr>
        <w:t>六、价格评估方法</w:t>
      </w:r>
    </w:p>
    <w:p>
      <w:pPr>
        <w:pStyle w:val="4"/>
        <w:keepNext w:val="0"/>
        <w:keepLines w:val="0"/>
        <w:widowControl w:val="0"/>
        <w:suppressLineNumbers w:val="0"/>
        <w:autoSpaceDE w:val="0"/>
        <w:autoSpaceDN w:val="0"/>
        <w:spacing w:before="3" w:beforeAutospacing="0" w:after="0" w:afterAutospacing="0"/>
        <w:ind w:left="759" w:right="118" w:firstLine="4"/>
        <w:jc w:val="left"/>
        <w:rPr>
          <w:rFonts w:hint="eastAsia" w:ascii="微软雅黑" w:hAnsi="微软雅黑" w:eastAsia="微软雅黑" w:cs="微软雅黑"/>
          <w:sz w:val="32"/>
          <w:szCs w:val="32"/>
        </w:rPr>
      </w:pPr>
      <w:r>
        <w:rPr>
          <w:rFonts w:hint="eastAsia" w:ascii="微软雅黑" w:hAnsi="微软雅黑" w:eastAsia="微软雅黑" w:cs="微软雅黑"/>
          <w:spacing w:val="-6"/>
          <w:kern w:val="0"/>
          <w:sz w:val="32"/>
          <w:szCs w:val="32"/>
          <w:lang w:val="en-US" w:eastAsia="zh-CN" w:bidi="ar"/>
        </w:rPr>
        <w:t>根据价格评估标的实际情况，确定本次价格评估采用市场法。</w:t>
      </w:r>
      <w:r>
        <w:rPr>
          <w:rFonts w:hint="eastAsia" w:ascii="微软雅黑" w:hAnsi="微软雅黑" w:eastAsia="微软雅黑" w:cs="微软雅黑"/>
          <w:kern w:val="0"/>
          <w:sz w:val="32"/>
          <w:szCs w:val="32"/>
          <w:lang w:val="en-US" w:eastAsia="zh-CN" w:bidi="ar"/>
        </w:rPr>
        <w:t>七、价格评估过程</w:t>
      </w:r>
    </w:p>
    <w:p>
      <w:pPr>
        <w:pStyle w:val="4"/>
        <w:keepNext w:val="0"/>
        <w:keepLines w:val="0"/>
        <w:widowControl w:val="0"/>
        <w:suppressLineNumbers w:val="0"/>
        <w:autoSpaceDE w:val="0"/>
        <w:autoSpaceDN w:val="0"/>
        <w:spacing w:before="0" w:beforeAutospacing="0" w:after="0" w:afterAutospacing="0" w:line="588"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接受委托后，我公司价格评估人员和双方当事人及法院相关</w:t>
      </w:r>
    </w:p>
    <w:p>
      <w:pPr>
        <w:pStyle w:val="4"/>
        <w:keepNext w:val="0"/>
        <w:keepLines w:val="0"/>
        <w:widowControl w:val="0"/>
        <w:suppressLineNumbers w:val="0"/>
        <w:autoSpaceDE w:val="0"/>
        <w:autoSpaceDN w:val="0"/>
        <w:spacing w:before="0" w:beforeAutospacing="0" w:after="0" w:afterAutospacing="0"/>
        <w:ind w:left="118" w:right="272"/>
        <w:jc w:val="both"/>
        <w:rPr>
          <w:rFonts w:hint="eastAsia" w:ascii="微软雅黑" w:hAnsi="微软雅黑" w:eastAsia="微软雅黑" w:cs="微软雅黑"/>
          <w:sz w:val="32"/>
          <w:szCs w:val="32"/>
        </w:rPr>
      </w:pPr>
      <w:r>
        <w:rPr>
          <w:rFonts w:hint="eastAsia" w:ascii="微软雅黑" w:hAnsi="微软雅黑" w:eastAsia="微软雅黑" w:cs="微软雅黑"/>
          <w:spacing w:val="3"/>
          <w:kern w:val="0"/>
          <w:sz w:val="32"/>
          <w:szCs w:val="32"/>
          <w:lang w:val="en-US" w:eastAsia="zh-CN" w:bidi="ar"/>
        </w:rPr>
        <w:t xml:space="preserve">工作人员共同到评估标的现场对标的进行勘察、记录并拍摄了照  </w:t>
      </w:r>
      <w:r>
        <w:rPr>
          <w:rFonts w:hint="eastAsia" w:ascii="微软雅黑" w:hAnsi="微软雅黑" w:eastAsia="微软雅黑" w:cs="微软雅黑"/>
          <w:spacing w:val="4"/>
          <w:kern w:val="0"/>
          <w:sz w:val="32"/>
          <w:szCs w:val="32"/>
          <w:lang w:val="en-US" w:eastAsia="zh-CN" w:bidi="ar"/>
        </w:rPr>
        <w:t xml:space="preserve">片。按照委托要求，结合评估标的现状，经过详细的市场价格调  查，依据有关法律法规及相关规定，采用市场法评定估算出评估  </w:t>
      </w:r>
      <w:r>
        <w:rPr>
          <w:rFonts w:hint="eastAsia" w:ascii="微软雅黑" w:hAnsi="微软雅黑" w:eastAsia="微软雅黑" w:cs="微软雅黑"/>
          <w:kern w:val="0"/>
          <w:sz w:val="32"/>
          <w:szCs w:val="32"/>
          <w:lang w:val="en-US" w:eastAsia="zh-CN" w:bidi="ar"/>
        </w:rPr>
        <w:t>标的客观合理价格。</w:t>
      </w:r>
    </w:p>
    <w:p>
      <w:pPr>
        <w:pStyle w:val="4"/>
        <w:keepNext w:val="0"/>
        <w:keepLines w:val="0"/>
        <w:widowControl w:val="0"/>
        <w:suppressLineNumbers w:val="0"/>
        <w:autoSpaceDE w:val="0"/>
        <w:autoSpaceDN w:val="0"/>
        <w:spacing w:before="0" w:beforeAutospacing="0" w:after="0" w:afterAutospacing="0"/>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（一） 评估前准备阶段</w:t>
      </w:r>
    </w:p>
    <w:p>
      <w:pPr>
        <w:rPr>
          <w:rFonts w:hint="eastAsia" w:ascii="微软雅黑" w:hAnsi="微软雅黑" w:eastAsia="微软雅黑" w:cs="微软雅黑"/>
          <w:spacing w:val="2"/>
          <w:sz w:val="32"/>
          <w:szCs w:val="32"/>
        </w:rPr>
        <w:sectPr>
          <w:pgSz w:w="11910" w:h="16840"/>
          <w:pgMar w:top="1440" w:right="1140" w:bottom="1180" w:left="1300" w:header="720" w:footer="720" w:gutter="0"/>
        </w:sectPr>
      </w:pPr>
    </w:p>
    <w:p>
      <w:pPr>
        <w:pStyle w:val="4"/>
        <w:keepNext w:val="0"/>
        <w:keepLines w:val="0"/>
        <w:widowControl w:val="0"/>
        <w:suppressLineNumbers w:val="0"/>
        <w:autoSpaceDE w:val="0"/>
        <w:autoSpaceDN w:val="0"/>
        <w:spacing w:before="9" w:beforeAutospacing="0" w:after="0" w:afterAutospacing="0"/>
        <w:ind w:left="118" w:right="272" w:firstLine="645"/>
        <w:jc w:val="both"/>
        <w:rPr>
          <w:rFonts w:hint="eastAsia" w:ascii="微软雅黑" w:hAnsi="微软雅黑" w:eastAsia="微软雅黑" w:cs="微软雅黑"/>
          <w:sz w:val="32"/>
          <w:szCs w:val="32"/>
        </w:rPr>
      </w:pPr>
      <w:r>
        <w:rPr>
          <w:rFonts w:hint="eastAsia" w:ascii="微软雅黑" w:hAnsi="微软雅黑" w:eastAsia="微软雅黑" w:cs="微软雅黑"/>
          <w:spacing w:val="2"/>
          <w:kern w:val="0"/>
          <w:sz w:val="32"/>
          <w:szCs w:val="32"/>
          <w:lang w:val="en-US" w:eastAsia="zh-CN" w:bidi="ar"/>
        </w:rPr>
        <w:t>本阶段的主要工作是：根据评估工作需要，布置评估准备工</w:t>
      </w:r>
      <w:r>
        <w:rPr>
          <w:rFonts w:hint="eastAsia" w:ascii="微软雅黑" w:hAnsi="微软雅黑" w:eastAsia="微软雅黑" w:cs="微软雅黑"/>
          <w:spacing w:val="4"/>
          <w:kern w:val="0"/>
          <w:sz w:val="32"/>
          <w:szCs w:val="32"/>
          <w:lang w:val="en-US" w:eastAsia="zh-CN" w:bidi="ar"/>
        </w:rPr>
        <w:t xml:space="preserve">作，根据委托方及相关当事人提供的资料，同时收集评估所需的  </w:t>
      </w:r>
      <w:r>
        <w:rPr>
          <w:rFonts w:hint="eastAsia" w:ascii="微软雅黑" w:hAnsi="微软雅黑" w:eastAsia="微软雅黑" w:cs="微软雅黑"/>
          <w:kern w:val="0"/>
          <w:sz w:val="32"/>
          <w:szCs w:val="32"/>
          <w:lang w:val="en-US" w:eastAsia="zh-CN" w:bidi="ar"/>
        </w:rPr>
        <w:t>各种文件资料，制定评估工作计划。</w:t>
      </w:r>
    </w:p>
    <w:p>
      <w:pPr>
        <w:pStyle w:val="4"/>
        <w:keepNext w:val="0"/>
        <w:keepLines w:val="0"/>
        <w:widowControl w:val="0"/>
        <w:suppressLineNumbers w:val="0"/>
        <w:autoSpaceDE w:val="0"/>
        <w:autoSpaceDN w:val="0"/>
        <w:spacing w:before="0" w:beforeAutospacing="0" w:after="0" w:afterAutospacing="0" w:line="582"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（二） 现场勘察和评定估算阶段</w:t>
      </w:r>
    </w:p>
    <w:p>
      <w:pPr>
        <w:pStyle w:val="4"/>
        <w:keepNext w:val="0"/>
        <w:keepLines w:val="0"/>
        <w:widowControl w:val="0"/>
        <w:suppressLineNumbers w:val="0"/>
        <w:autoSpaceDE w:val="0"/>
        <w:autoSpaceDN w:val="0"/>
        <w:spacing w:before="3" w:beforeAutospacing="0" w:after="0" w:afterAutospacing="0"/>
        <w:ind w:left="118" w:right="201" w:firstLine="64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1、根据委托方提供的资料，评估人员到现场实地勘察并询问有关情况；</w:t>
      </w:r>
    </w:p>
    <w:p>
      <w:pPr>
        <w:pStyle w:val="4"/>
        <w:keepNext w:val="0"/>
        <w:keepLines w:val="0"/>
        <w:widowControl w:val="0"/>
        <w:suppressLineNumbers w:val="0"/>
        <w:autoSpaceDE w:val="0"/>
        <w:autoSpaceDN w:val="0"/>
        <w:spacing w:before="0" w:beforeAutospacing="0" w:after="0" w:afterAutospacing="0" w:line="582"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2、根据价格评估标的的实际状况和特点，确定评估方法；</w:t>
      </w:r>
    </w:p>
    <w:p>
      <w:pPr>
        <w:pStyle w:val="4"/>
        <w:keepNext w:val="0"/>
        <w:keepLines w:val="0"/>
        <w:widowControl w:val="0"/>
        <w:suppressLineNumbers w:val="0"/>
        <w:autoSpaceDE w:val="0"/>
        <w:autoSpaceDN w:val="0"/>
        <w:spacing w:before="0" w:beforeAutospacing="0" w:after="0" w:afterAutospacing="0" w:line="580"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3、开展市场调研、询价工作；</w:t>
      </w:r>
    </w:p>
    <w:p>
      <w:pPr>
        <w:pStyle w:val="4"/>
        <w:keepNext w:val="0"/>
        <w:keepLines w:val="0"/>
        <w:widowControl w:val="0"/>
        <w:suppressLineNumbers w:val="0"/>
        <w:autoSpaceDE w:val="0"/>
        <w:autoSpaceDN w:val="0"/>
        <w:spacing w:before="0" w:beforeAutospacing="0" w:after="0" w:afterAutospacing="0" w:line="581"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4、对价格评估标的进行价值测算。</w:t>
      </w:r>
    </w:p>
    <w:p>
      <w:pPr>
        <w:pStyle w:val="4"/>
        <w:keepNext w:val="0"/>
        <w:keepLines w:val="0"/>
        <w:widowControl w:val="0"/>
        <w:suppressLineNumbers w:val="0"/>
        <w:autoSpaceDE w:val="0"/>
        <w:autoSpaceDN w:val="0"/>
        <w:spacing w:before="0" w:beforeAutospacing="0" w:after="0" w:afterAutospacing="0" w:line="580"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（三）评估汇总分析阶段</w:t>
      </w:r>
    </w:p>
    <w:p>
      <w:pPr>
        <w:pStyle w:val="4"/>
        <w:keepNext w:val="0"/>
        <w:keepLines w:val="0"/>
        <w:widowControl w:val="0"/>
        <w:suppressLineNumbers w:val="0"/>
        <w:autoSpaceDE w:val="0"/>
        <w:autoSpaceDN w:val="0"/>
        <w:spacing w:before="3" w:beforeAutospacing="0" w:after="0" w:afterAutospacing="0"/>
        <w:ind w:left="118" w:right="273" w:firstLine="645"/>
        <w:jc w:val="both"/>
        <w:rPr>
          <w:rFonts w:hint="eastAsia" w:ascii="微软雅黑" w:hAnsi="微软雅黑" w:eastAsia="微软雅黑" w:cs="微软雅黑"/>
          <w:sz w:val="32"/>
          <w:szCs w:val="32"/>
        </w:rPr>
      </w:pPr>
      <w:r>
        <w:rPr>
          <w:rFonts w:hint="eastAsia" w:ascii="微软雅黑" w:hAnsi="微软雅黑" w:eastAsia="微软雅黑" w:cs="微软雅黑"/>
          <w:spacing w:val="2"/>
          <w:kern w:val="0"/>
          <w:sz w:val="32"/>
          <w:szCs w:val="32"/>
          <w:lang w:val="en-US" w:eastAsia="zh-CN" w:bidi="ar"/>
        </w:rPr>
        <w:t xml:space="preserve">根据价格评估标的的初步评估结论，进行汇总分析，在确认  </w:t>
      </w:r>
      <w:r>
        <w:rPr>
          <w:rFonts w:hint="eastAsia" w:ascii="微软雅黑" w:hAnsi="微软雅黑" w:eastAsia="微软雅黑" w:cs="微软雅黑"/>
          <w:spacing w:val="4"/>
          <w:kern w:val="0"/>
          <w:sz w:val="32"/>
          <w:szCs w:val="32"/>
          <w:lang w:val="en-US" w:eastAsia="zh-CN" w:bidi="ar"/>
        </w:rPr>
        <w:t xml:space="preserve">评估工作中没有发生重复和遗漏的情况下，根据汇总分析情况对  评估结果进行修改、校对和必要的调整和完善，经审核后形成正  </w:t>
      </w:r>
      <w:r>
        <w:rPr>
          <w:rFonts w:hint="eastAsia" w:ascii="微软雅黑" w:hAnsi="微软雅黑" w:eastAsia="微软雅黑" w:cs="微软雅黑"/>
          <w:kern w:val="0"/>
          <w:sz w:val="32"/>
          <w:szCs w:val="32"/>
          <w:lang w:val="en-US" w:eastAsia="zh-CN" w:bidi="ar"/>
        </w:rPr>
        <w:t>式评估报告书。</w:t>
      </w:r>
    </w:p>
    <w:p>
      <w:pPr>
        <w:pStyle w:val="4"/>
        <w:keepNext w:val="0"/>
        <w:keepLines w:val="0"/>
        <w:widowControl w:val="0"/>
        <w:suppressLineNumbers w:val="0"/>
        <w:autoSpaceDE w:val="0"/>
        <w:autoSpaceDN w:val="0"/>
        <w:spacing w:before="9" w:beforeAutospacing="0" w:after="0" w:afterAutospacing="0"/>
        <w:ind w:left="759" w:right="5183" w:firstLine="4"/>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（四）提交评估报告书。八、价格评估结论</w:t>
      </w:r>
    </w:p>
    <w:p>
      <w:pPr>
        <w:pStyle w:val="4"/>
        <w:keepNext w:val="0"/>
        <w:keepLines w:val="0"/>
        <w:widowControl w:val="0"/>
        <w:suppressLineNumbers w:val="0"/>
        <w:autoSpaceDE w:val="0"/>
        <w:autoSpaceDN w:val="0"/>
        <w:spacing w:before="3" w:beforeAutospacing="0" w:after="0" w:afterAutospacing="0"/>
        <w:ind w:left="118" w:right="274"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2"/>
          <w:kern w:val="0"/>
          <w:sz w:val="32"/>
          <w:szCs w:val="32"/>
          <w:lang w:val="en-US" w:eastAsia="zh-CN" w:bidi="ar"/>
        </w:rPr>
        <w:t>本次价格评估标的在评估基准日的价格为：人民币贰拾肆万  零壹佰玖拾捌元整（</w:t>
      </w:r>
      <w:r>
        <w:rPr>
          <w:rFonts w:hint="eastAsia" w:ascii="宋体" w:hAnsi="宋体" w:eastAsia="宋体" w:cs="微软雅黑"/>
          <w:spacing w:val="2"/>
          <w:kern w:val="0"/>
          <w:sz w:val="32"/>
          <w:szCs w:val="32"/>
          <w:lang w:val="en-US" w:eastAsia="zh-CN" w:bidi="ar"/>
        </w:rPr>
        <w:t>¥</w:t>
      </w:r>
      <w:r>
        <w:rPr>
          <w:rFonts w:hint="eastAsia" w:ascii="微软雅黑" w:hAnsi="微软雅黑" w:eastAsia="微软雅黑" w:cs="微软雅黑"/>
          <w:spacing w:val="2"/>
          <w:kern w:val="0"/>
          <w:sz w:val="32"/>
          <w:szCs w:val="32"/>
          <w:lang w:val="en-US" w:eastAsia="zh-CN" w:bidi="ar"/>
        </w:rPr>
        <w:t>240,198.00</w:t>
      </w:r>
      <w:r>
        <w:rPr>
          <w:rFonts w:hint="eastAsia" w:ascii="微软雅黑" w:hAnsi="微软雅黑" w:eastAsia="微软雅黑" w:cs="微软雅黑"/>
          <w:spacing w:val="-9"/>
          <w:kern w:val="0"/>
          <w:sz w:val="32"/>
          <w:szCs w:val="32"/>
          <w:lang w:val="en-US" w:eastAsia="zh-CN" w:bidi="ar"/>
        </w:rPr>
        <w:t xml:space="preserve"> 元</w:t>
      </w:r>
      <w:r>
        <w:rPr>
          <w:rFonts w:hint="eastAsia" w:ascii="微软雅黑" w:hAnsi="微软雅黑" w:eastAsia="微软雅黑" w:cs="微软雅黑"/>
          <w:spacing w:val="-161"/>
          <w:kern w:val="0"/>
          <w:sz w:val="32"/>
          <w:szCs w:val="32"/>
          <w:lang w:val="en-US" w:eastAsia="zh-CN" w:bidi="ar"/>
        </w:rPr>
        <w:t>）</w:t>
      </w:r>
      <w:r>
        <w:rPr>
          <w:rFonts w:hint="eastAsia" w:ascii="微软雅黑" w:hAnsi="微软雅黑" w:eastAsia="微软雅黑" w:cs="微软雅黑"/>
          <w:kern w:val="0"/>
          <w:sz w:val="32"/>
          <w:szCs w:val="32"/>
          <w:lang w:val="en-US" w:eastAsia="zh-CN" w:bidi="ar"/>
        </w:rPr>
        <w:t>。</w:t>
      </w:r>
    </w:p>
    <w:p>
      <w:pPr>
        <w:pStyle w:val="4"/>
        <w:keepNext w:val="0"/>
        <w:keepLines w:val="0"/>
        <w:widowControl w:val="0"/>
        <w:suppressLineNumbers w:val="0"/>
        <w:autoSpaceDE w:val="0"/>
        <w:autoSpaceDN w:val="0"/>
        <w:spacing w:before="0" w:beforeAutospacing="0" w:after="0" w:afterAutospacing="0" w:line="582"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九、价格评估限定条件</w:t>
      </w:r>
    </w:p>
    <w:p>
      <w:pPr>
        <w:pStyle w:val="4"/>
        <w:keepNext w:val="0"/>
        <w:keepLines w:val="0"/>
        <w:widowControl w:val="0"/>
        <w:suppressLineNumbers w:val="0"/>
        <w:autoSpaceDE w:val="0"/>
        <w:autoSpaceDN w:val="0"/>
        <w:spacing w:before="0" w:beforeAutospacing="0" w:after="0" w:afterAutospacing="0" w:line="580"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（一）委托方及相关当事人提供的资料客观、真实；</w:t>
      </w:r>
    </w:p>
    <w:p>
      <w:pPr>
        <w:pStyle w:val="4"/>
        <w:keepNext w:val="0"/>
        <w:keepLines w:val="0"/>
        <w:widowControl w:val="0"/>
        <w:suppressLineNumbers w:val="0"/>
        <w:autoSpaceDE w:val="0"/>
        <w:autoSpaceDN w:val="0"/>
        <w:spacing w:before="0" w:beforeAutospacing="0" w:after="0" w:afterAutospacing="0" w:line="581"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（二）房地产市场均衡稳定；</w:t>
      </w:r>
    </w:p>
    <w:p>
      <w:pPr>
        <w:pStyle w:val="4"/>
        <w:keepNext w:val="0"/>
        <w:keepLines w:val="0"/>
        <w:widowControl w:val="0"/>
        <w:suppressLineNumbers w:val="0"/>
        <w:autoSpaceDE w:val="0"/>
        <w:autoSpaceDN w:val="0"/>
        <w:spacing w:before="4" w:beforeAutospacing="0" w:after="0" w:afterAutospacing="0"/>
        <w:ind w:left="118" w:right="272" w:firstLine="645"/>
        <w:jc w:val="both"/>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（三）</w:t>
      </w:r>
      <w:r>
        <w:rPr>
          <w:rFonts w:hint="eastAsia" w:ascii="微软雅黑" w:hAnsi="微软雅黑" w:eastAsia="微软雅黑" w:cs="微软雅黑"/>
          <w:spacing w:val="2"/>
          <w:kern w:val="0"/>
          <w:sz w:val="32"/>
          <w:szCs w:val="32"/>
          <w:lang w:val="en-US" w:eastAsia="zh-CN" w:bidi="ar"/>
        </w:rPr>
        <w:t xml:space="preserve">本评估报告书仅用于为科尔沁左翼后旗人民法院办案  </w:t>
      </w:r>
      <w:r>
        <w:rPr>
          <w:rFonts w:hint="eastAsia" w:ascii="微软雅黑" w:hAnsi="微软雅黑" w:eastAsia="微软雅黑" w:cs="微软雅黑"/>
          <w:spacing w:val="4"/>
          <w:kern w:val="0"/>
          <w:sz w:val="32"/>
          <w:szCs w:val="32"/>
          <w:lang w:val="en-US" w:eastAsia="zh-CN" w:bidi="ar"/>
        </w:rPr>
        <w:t>提供价格参考依据，不得用于其他用途，未经评估机构和委托方  书面确认的单位和个人，不能由于得到评估报告书而成为评估报</w:t>
      </w:r>
    </w:p>
    <w:p>
      <w:pPr>
        <w:rPr>
          <w:rFonts w:hint="eastAsia" w:ascii="微软雅黑" w:hAnsi="微软雅黑" w:eastAsia="微软雅黑" w:cs="微软雅黑"/>
          <w:sz w:val="32"/>
          <w:szCs w:val="32"/>
        </w:rPr>
        <w:sectPr>
          <w:pgSz w:w="11910" w:h="16840"/>
          <w:pgMar w:top="1440" w:right="1140" w:bottom="1180" w:left="1300" w:header="720" w:footer="720" w:gutter="0"/>
        </w:sectPr>
      </w:pPr>
    </w:p>
    <w:p>
      <w:pPr>
        <w:pStyle w:val="4"/>
        <w:keepNext w:val="0"/>
        <w:keepLines w:val="0"/>
        <w:widowControl w:val="0"/>
        <w:suppressLineNumbers w:val="0"/>
        <w:autoSpaceDE w:val="0"/>
        <w:autoSpaceDN w:val="0"/>
        <w:spacing w:before="1" w:beforeAutospacing="0" w:after="0" w:afterAutospacing="0" w:line="584" w:lineRule="exact"/>
        <w:ind w:left="118"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告书使用者；</w:t>
      </w:r>
    </w:p>
    <w:p>
      <w:pPr>
        <w:keepNext w:val="0"/>
        <w:keepLines w:val="0"/>
        <w:widowControl w:val="0"/>
        <w:suppressLineNumbers w:val="0"/>
        <w:autoSpaceDE w:val="0"/>
        <w:autoSpaceDN w:val="0"/>
        <w:spacing w:before="0" w:beforeAutospacing="0" w:after="0" w:afterAutospacing="0"/>
        <w:ind w:left="118" w:right="273" w:firstLine="645"/>
        <w:jc w:val="both"/>
        <w:rPr>
          <w:rFonts w:hint="eastAsia" w:ascii="微软雅黑" w:hAnsi="微软雅黑" w:eastAsia="微软雅黑" w:cs="微软雅黑"/>
          <w:sz w:val="30"/>
          <w:szCs w:val="30"/>
        </w:rPr>
      </w:pPr>
      <w:r>
        <w:rPr>
          <w:rFonts w:hint="eastAsia" w:ascii="微软雅黑" w:hAnsi="微软雅黑" w:eastAsia="微软雅黑" w:cs="微软雅黑"/>
          <w:spacing w:val="4"/>
          <w:kern w:val="0"/>
          <w:sz w:val="32"/>
          <w:szCs w:val="32"/>
          <w:lang w:val="en-US" w:eastAsia="zh-CN" w:bidi="ar"/>
        </w:rPr>
        <w:t>（四）</w:t>
      </w:r>
      <w:r>
        <w:rPr>
          <w:rFonts w:hint="eastAsia" w:ascii="微软雅黑" w:hAnsi="微软雅黑" w:eastAsia="微软雅黑" w:cs="微软雅黑"/>
          <w:spacing w:val="2"/>
          <w:kern w:val="0"/>
          <w:sz w:val="32"/>
          <w:szCs w:val="32"/>
          <w:lang w:val="en-US" w:eastAsia="zh-CN" w:bidi="ar"/>
        </w:rPr>
        <w:t xml:space="preserve">注册价格鉴证师仅是对评估标的的市场价值进行估算  </w:t>
      </w:r>
      <w:r>
        <w:rPr>
          <w:rFonts w:hint="eastAsia" w:ascii="微软雅黑" w:hAnsi="微软雅黑" w:eastAsia="微软雅黑" w:cs="微软雅黑"/>
          <w:spacing w:val="3"/>
          <w:kern w:val="0"/>
          <w:sz w:val="32"/>
          <w:szCs w:val="32"/>
          <w:lang w:val="en-US" w:eastAsia="zh-CN" w:bidi="ar"/>
        </w:rPr>
        <w:t xml:space="preserve">并发表专业意见，并不承担相关当事人决策的责任。评估结论系  </w:t>
      </w:r>
      <w:r>
        <w:rPr>
          <w:rFonts w:hint="eastAsia" w:ascii="微软雅黑" w:hAnsi="微软雅黑" w:eastAsia="微软雅黑" w:cs="微软雅黑"/>
          <w:spacing w:val="4"/>
          <w:kern w:val="0"/>
          <w:sz w:val="32"/>
          <w:szCs w:val="32"/>
          <w:lang w:val="en-US" w:eastAsia="zh-CN" w:bidi="ar"/>
        </w:rPr>
        <w:t xml:space="preserve">指评估标的在评估基准日及预期的经济环境与市场状况以及价格  鉴证师所依据的评估前提和假设条件等没有重大变化的情况下，  </w:t>
      </w:r>
      <w:r>
        <w:rPr>
          <w:rFonts w:hint="eastAsia" w:ascii="微软雅黑" w:hAnsi="微软雅黑" w:eastAsia="微软雅黑" w:cs="微软雅黑"/>
          <w:kern w:val="0"/>
          <w:sz w:val="32"/>
          <w:szCs w:val="32"/>
          <w:lang w:val="en-US" w:eastAsia="zh-CN" w:bidi="ar"/>
        </w:rPr>
        <w:t>为满足评估目的而提出的价值估算结果，</w:t>
      </w:r>
      <w:r>
        <w:rPr>
          <w:rFonts w:hint="eastAsia" w:ascii="微软雅黑" w:hAnsi="微软雅黑" w:eastAsia="微软雅黑" w:cs="微软雅黑"/>
          <w:kern w:val="0"/>
          <w:sz w:val="30"/>
          <w:szCs w:val="30"/>
          <w:lang w:val="en-US" w:eastAsia="zh-CN" w:bidi="ar"/>
        </w:rPr>
        <w:t>不等同于实际交易价格， 不应当被认为是评估标的可实现价格的保证或承诺；</w:t>
      </w:r>
    </w:p>
    <w:p>
      <w:pPr>
        <w:pStyle w:val="4"/>
        <w:keepNext w:val="0"/>
        <w:keepLines w:val="0"/>
        <w:widowControl w:val="0"/>
        <w:suppressLineNumbers w:val="0"/>
        <w:autoSpaceDE w:val="0"/>
        <w:autoSpaceDN w:val="0"/>
        <w:spacing w:before="16" w:beforeAutospacing="0" w:after="0" w:afterAutospacing="0"/>
        <w:ind w:left="118" w:right="273" w:firstLine="645"/>
        <w:jc w:val="both"/>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（五）</w:t>
      </w:r>
      <w:r>
        <w:rPr>
          <w:rFonts w:hint="eastAsia" w:ascii="微软雅黑" w:hAnsi="微软雅黑" w:eastAsia="微软雅黑" w:cs="微软雅黑"/>
          <w:spacing w:val="2"/>
          <w:kern w:val="0"/>
          <w:sz w:val="32"/>
          <w:szCs w:val="32"/>
          <w:lang w:val="en-US" w:eastAsia="zh-CN" w:bidi="ar"/>
        </w:rPr>
        <w:t xml:space="preserve">未经评估机构书面同意，委托方及评估报告使用者不  </w:t>
      </w:r>
      <w:r>
        <w:rPr>
          <w:rFonts w:hint="eastAsia" w:ascii="微软雅黑" w:hAnsi="微软雅黑" w:eastAsia="微软雅黑" w:cs="微软雅黑"/>
          <w:spacing w:val="4"/>
          <w:kern w:val="0"/>
          <w:sz w:val="32"/>
          <w:szCs w:val="32"/>
          <w:lang w:val="en-US" w:eastAsia="zh-CN" w:bidi="ar"/>
        </w:rPr>
        <w:t xml:space="preserve">得将评估报告书的全部或部分内容摘抄、引用或发表于任何公开  </w:t>
      </w:r>
      <w:r>
        <w:rPr>
          <w:rFonts w:hint="eastAsia" w:ascii="微软雅黑" w:hAnsi="微软雅黑" w:eastAsia="微软雅黑" w:cs="微软雅黑"/>
          <w:kern w:val="0"/>
          <w:sz w:val="32"/>
          <w:szCs w:val="32"/>
          <w:lang w:val="en-US" w:eastAsia="zh-CN" w:bidi="ar"/>
        </w:rPr>
        <w:t>媒体上；</w:t>
      </w:r>
    </w:p>
    <w:p>
      <w:pPr>
        <w:pStyle w:val="4"/>
        <w:keepNext w:val="0"/>
        <w:keepLines w:val="0"/>
        <w:widowControl w:val="0"/>
        <w:suppressLineNumbers w:val="0"/>
        <w:autoSpaceDE w:val="0"/>
        <w:autoSpaceDN w:val="0"/>
        <w:spacing w:before="6" w:beforeAutospacing="0" w:after="0" w:afterAutospacing="0"/>
        <w:ind w:left="118" w:right="273" w:firstLine="640"/>
        <w:jc w:val="both"/>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（六）</w:t>
      </w:r>
      <w:r>
        <w:rPr>
          <w:rFonts w:hint="eastAsia" w:ascii="微软雅黑" w:hAnsi="微软雅黑" w:eastAsia="微软雅黑" w:cs="微软雅黑"/>
          <w:spacing w:val="3"/>
          <w:kern w:val="0"/>
          <w:sz w:val="32"/>
          <w:szCs w:val="32"/>
          <w:lang w:val="en-US" w:eastAsia="zh-CN" w:bidi="ar"/>
        </w:rPr>
        <w:t xml:space="preserve">委托方提供的评估标的资料中存在复印件、影印件，  </w:t>
      </w:r>
      <w:r>
        <w:rPr>
          <w:rFonts w:hint="eastAsia" w:ascii="微软雅黑" w:hAnsi="微软雅黑" w:eastAsia="微软雅黑" w:cs="微软雅黑"/>
          <w:spacing w:val="4"/>
          <w:kern w:val="0"/>
          <w:sz w:val="32"/>
          <w:szCs w:val="32"/>
          <w:lang w:val="en-US" w:eastAsia="zh-CN" w:bidi="ar"/>
        </w:rPr>
        <w:t xml:space="preserve">评估人员不保证复印件、影印件与原件的一致性。本次评估是以  委托方提供的与评估标的有关的权属证明及相关资料真实有效为  </w:t>
      </w:r>
      <w:r>
        <w:rPr>
          <w:rFonts w:hint="eastAsia" w:ascii="微软雅黑" w:hAnsi="微软雅黑" w:eastAsia="微软雅黑" w:cs="微软雅黑"/>
          <w:kern w:val="0"/>
          <w:sz w:val="32"/>
          <w:szCs w:val="32"/>
          <w:lang w:val="en-US" w:eastAsia="zh-CN" w:bidi="ar"/>
        </w:rPr>
        <w:t>前提，其合法性和真实性应由委托方负责；</w:t>
      </w:r>
    </w:p>
    <w:p>
      <w:pPr>
        <w:pStyle w:val="4"/>
        <w:keepNext w:val="0"/>
        <w:keepLines w:val="0"/>
        <w:widowControl w:val="0"/>
        <w:suppressLineNumbers w:val="0"/>
        <w:autoSpaceDE w:val="0"/>
        <w:autoSpaceDN w:val="0"/>
        <w:spacing w:before="9" w:beforeAutospacing="0" w:after="0" w:afterAutospacing="0"/>
        <w:ind w:left="118" w:right="280" w:firstLine="640"/>
        <w:jc w:val="both"/>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（七）</w:t>
      </w:r>
      <w:r>
        <w:rPr>
          <w:rFonts w:hint="eastAsia" w:ascii="微软雅黑" w:hAnsi="微软雅黑" w:eastAsia="微软雅黑" w:cs="微软雅黑"/>
          <w:spacing w:val="3"/>
          <w:kern w:val="0"/>
          <w:sz w:val="32"/>
          <w:szCs w:val="32"/>
          <w:lang w:val="en-US" w:eastAsia="zh-CN" w:bidi="ar"/>
        </w:rPr>
        <w:t>价格评估标的实际面积请以具有测绘资质的专业机构  实际测量面积为准；</w:t>
      </w:r>
    </w:p>
    <w:p>
      <w:pPr>
        <w:pStyle w:val="4"/>
        <w:keepNext w:val="0"/>
        <w:keepLines w:val="0"/>
        <w:widowControl w:val="0"/>
        <w:suppressLineNumbers w:val="0"/>
        <w:autoSpaceDE w:val="0"/>
        <w:autoSpaceDN w:val="0"/>
        <w:spacing w:before="11" w:beforeAutospacing="0" w:after="0" w:afterAutospacing="0" w:line="242" w:lineRule="auto"/>
        <w:ind w:left="118" w:right="273" w:firstLine="645"/>
        <w:jc w:val="both"/>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（八）</w:t>
      </w:r>
      <w:r>
        <w:rPr>
          <w:rFonts w:hint="eastAsia" w:ascii="微软雅黑" w:hAnsi="微软雅黑" w:eastAsia="微软雅黑" w:cs="微软雅黑"/>
          <w:spacing w:val="2"/>
          <w:kern w:val="0"/>
          <w:sz w:val="32"/>
          <w:szCs w:val="32"/>
          <w:lang w:val="en-US" w:eastAsia="zh-CN" w:bidi="ar"/>
        </w:rPr>
        <w:t xml:space="preserve">评估人员已对评估标的从其可见实体外部进行勘察，  </w:t>
      </w:r>
      <w:r>
        <w:rPr>
          <w:rFonts w:hint="eastAsia" w:ascii="微软雅黑" w:hAnsi="微软雅黑" w:eastAsia="微软雅黑" w:cs="微软雅黑"/>
          <w:spacing w:val="4"/>
          <w:kern w:val="0"/>
          <w:sz w:val="32"/>
          <w:szCs w:val="32"/>
          <w:lang w:val="en-US" w:eastAsia="zh-CN" w:bidi="ar"/>
        </w:rPr>
        <w:t xml:space="preserve">并尽职对其进行了解，但未对相关建筑的技术数据、技术状况、  结构、附属物等组织专项技术检测，本次评估假设评估标的无基  </w:t>
      </w:r>
      <w:r>
        <w:rPr>
          <w:rFonts w:hint="eastAsia" w:ascii="微软雅黑" w:hAnsi="微软雅黑" w:eastAsia="微软雅黑" w:cs="微软雅黑"/>
          <w:kern w:val="0"/>
          <w:sz w:val="32"/>
          <w:szCs w:val="32"/>
          <w:lang w:val="en-US" w:eastAsia="zh-CN" w:bidi="ar"/>
        </w:rPr>
        <w:t>础、结构等方面的重大质量问题；</w:t>
      </w:r>
    </w:p>
    <w:p>
      <w:pPr>
        <w:pStyle w:val="4"/>
        <w:keepNext w:val="0"/>
        <w:keepLines w:val="0"/>
        <w:widowControl w:val="0"/>
        <w:suppressLineNumbers w:val="0"/>
        <w:autoSpaceDE w:val="0"/>
        <w:autoSpaceDN w:val="0"/>
        <w:spacing w:before="0" w:beforeAutospacing="0" w:after="0" w:afterAutospacing="0" w:line="242" w:lineRule="auto"/>
        <w:ind w:left="118" w:right="274" w:firstLine="645"/>
        <w:jc w:val="both"/>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（九）</w:t>
      </w:r>
      <w:r>
        <w:rPr>
          <w:rFonts w:hint="eastAsia" w:ascii="微软雅黑" w:hAnsi="微软雅黑" w:eastAsia="微软雅黑" w:cs="微软雅黑"/>
          <w:spacing w:val="2"/>
          <w:kern w:val="0"/>
          <w:sz w:val="32"/>
          <w:szCs w:val="32"/>
          <w:lang w:val="en-US" w:eastAsia="zh-CN" w:bidi="ar"/>
        </w:rPr>
        <w:t xml:space="preserve">依据委托方的要求，本次价格评估仅为评估标的在评  </w:t>
      </w:r>
      <w:r>
        <w:rPr>
          <w:rFonts w:hint="eastAsia" w:ascii="微软雅黑" w:hAnsi="微软雅黑" w:eastAsia="微软雅黑" w:cs="微软雅黑"/>
          <w:spacing w:val="4"/>
          <w:kern w:val="0"/>
          <w:sz w:val="32"/>
          <w:szCs w:val="32"/>
          <w:lang w:val="en-US" w:eastAsia="zh-CN" w:bidi="ar"/>
        </w:rPr>
        <w:t xml:space="preserve">估基准日状态下的市场价值，若委托要求或提供的资料发生改变  </w:t>
      </w:r>
      <w:r>
        <w:rPr>
          <w:rFonts w:hint="eastAsia" w:ascii="微软雅黑" w:hAnsi="微软雅黑" w:eastAsia="微软雅黑" w:cs="微软雅黑"/>
          <w:kern w:val="0"/>
          <w:sz w:val="32"/>
          <w:szCs w:val="32"/>
          <w:lang w:val="en-US" w:eastAsia="zh-CN" w:bidi="ar"/>
        </w:rPr>
        <w:t>需重新进行价格评估；</w:t>
      </w:r>
    </w:p>
    <w:p>
      <w:pPr>
        <w:pStyle w:val="4"/>
        <w:keepNext w:val="0"/>
        <w:keepLines w:val="0"/>
        <w:widowControl w:val="0"/>
        <w:suppressLineNumbers w:val="0"/>
        <w:autoSpaceDE w:val="0"/>
        <w:autoSpaceDN w:val="0"/>
        <w:spacing w:before="0" w:beforeAutospacing="0" w:after="0" w:afterAutospacing="0" w:line="585"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（十）假设评估标的权属无异议，且能按其评估基准日的用</w:t>
      </w:r>
    </w:p>
    <w:p>
      <w:pPr>
        <w:rPr>
          <w:rFonts w:hint="eastAsia" w:ascii="微软雅黑" w:hAnsi="微软雅黑" w:eastAsia="微软雅黑" w:cs="微软雅黑"/>
          <w:sz w:val="32"/>
          <w:szCs w:val="32"/>
        </w:rPr>
        <w:sectPr>
          <w:pgSz w:w="11910" w:h="16840"/>
          <w:pgMar w:top="1440" w:right="1140" w:bottom="1180" w:left="1300" w:header="720" w:footer="720" w:gutter="0"/>
        </w:sectPr>
      </w:pPr>
    </w:p>
    <w:p>
      <w:pPr>
        <w:pStyle w:val="4"/>
        <w:keepNext w:val="0"/>
        <w:keepLines w:val="0"/>
        <w:widowControl w:val="0"/>
        <w:suppressLineNumbers w:val="0"/>
        <w:autoSpaceDE w:val="0"/>
        <w:autoSpaceDN w:val="0"/>
        <w:spacing w:before="0" w:beforeAutospacing="0" w:after="0" w:afterAutospacing="0" w:line="588" w:lineRule="exact"/>
        <w:ind w:left="118"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途在原址持续使用；</w:t>
      </w:r>
    </w:p>
    <w:p>
      <w:pPr>
        <w:pStyle w:val="4"/>
        <w:keepNext w:val="0"/>
        <w:keepLines w:val="0"/>
        <w:widowControl w:val="0"/>
        <w:suppressLineNumbers w:val="0"/>
        <w:autoSpaceDE w:val="0"/>
        <w:autoSpaceDN w:val="0"/>
        <w:spacing w:before="10" w:beforeAutospacing="0" w:after="0" w:afterAutospacing="0" w:line="242" w:lineRule="auto"/>
        <w:ind w:left="118" w:right="282"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（十一）</w:t>
      </w:r>
      <w:r>
        <w:rPr>
          <w:rFonts w:hint="eastAsia" w:ascii="微软雅黑" w:hAnsi="微软雅黑" w:eastAsia="微软雅黑" w:cs="微软雅黑"/>
          <w:spacing w:val="2"/>
          <w:kern w:val="0"/>
          <w:sz w:val="32"/>
          <w:szCs w:val="32"/>
          <w:lang w:val="en-US" w:eastAsia="zh-CN" w:bidi="ar"/>
        </w:rPr>
        <w:t>国家和地方的现行法律、法规、制度及政策与现时  无重大变化；</w:t>
      </w:r>
    </w:p>
    <w:p>
      <w:pPr>
        <w:pStyle w:val="4"/>
        <w:keepNext w:val="0"/>
        <w:keepLines w:val="0"/>
        <w:widowControl w:val="0"/>
        <w:suppressLineNumbers w:val="0"/>
        <w:autoSpaceDE w:val="0"/>
        <w:autoSpaceDN w:val="0"/>
        <w:spacing w:before="0" w:beforeAutospacing="0" w:after="0" w:afterAutospacing="0" w:line="242" w:lineRule="auto"/>
        <w:ind w:left="118" w:right="282"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（十二）</w:t>
      </w:r>
      <w:r>
        <w:rPr>
          <w:rFonts w:hint="eastAsia" w:ascii="微软雅黑" w:hAnsi="微软雅黑" w:eastAsia="微软雅黑" w:cs="微软雅黑"/>
          <w:spacing w:val="2"/>
          <w:kern w:val="0"/>
          <w:sz w:val="32"/>
          <w:szCs w:val="32"/>
          <w:lang w:val="en-US" w:eastAsia="zh-CN" w:bidi="ar"/>
        </w:rPr>
        <w:t>国家的税赋基准及税率税收政策、银行信贷利率以  及其他政策及取费不发生重大变化；</w:t>
      </w:r>
    </w:p>
    <w:p>
      <w:pPr>
        <w:pStyle w:val="4"/>
        <w:keepNext w:val="0"/>
        <w:keepLines w:val="0"/>
        <w:widowControl w:val="0"/>
        <w:suppressLineNumbers w:val="0"/>
        <w:autoSpaceDE w:val="0"/>
        <w:autoSpaceDN w:val="0"/>
        <w:spacing w:before="0" w:beforeAutospacing="0" w:after="0" w:afterAutospacing="0" w:line="242" w:lineRule="auto"/>
        <w:ind w:left="118" w:right="120" w:firstLine="645"/>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（十三</w:t>
      </w:r>
      <w:r>
        <w:rPr>
          <w:rFonts w:hint="eastAsia" w:ascii="微软雅黑" w:hAnsi="微软雅黑" w:eastAsia="微软雅黑" w:cs="微软雅黑"/>
          <w:spacing w:val="-53"/>
          <w:kern w:val="0"/>
          <w:sz w:val="32"/>
          <w:szCs w:val="32"/>
          <w:lang w:val="en-US" w:eastAsia="zh-CN" w:bidi="ar"/>
        </w:rPr>
        <w:t>）</w:t>
      </w:r>
      <w:r>
        <w:rPr>
          <w:rFonts w:hint="eastAsia" w:ascii="微软雅黑" w:hAnsi="微软雅黑" w:eastAsia="微软雅黑" w:cs="微软雅黑"/>
          <w:spacing w:val="-1"/>
          <w:kern w:val="0"/>
          <w:sz w:val="32"/>
          <w:szCs w:val="32"/>
          <w:lang w:val="en-US" w:eastAsia="zh-CN" w:bidi="ar"/>
        </w:rPr>
        <w:t>未考虑国家宏观经济政策发生重大变化及遇到洪水、</w:t>
      </w:r>
      <w:r>
        <w:rPr>
          <w:rFonts w:hint="eastAsia" w:ascii="微软雅黑" w:hAnsi="微软雅黑" w:eastAsia="微软雅黑" w:cs="微软雅黑"/>
          <w:kern w:val="0"/>
          <w:sz w:val="32"/>
          <w:szCs w:val="32"/>
          <w:lang w:val="en-US" w:eastAsia="zh-CN" w:bidi="ar"/>
        </w:rPr>
        <w:t>干旱、地震、战争等不可抗力因素对评估标的价值的影响；</w:t>
      </w:r>
    </w:p>
    <w:p>
      <w:pPr>
        <w:pStyle w:val="4"/>
        <w:keepNext w:val="0"/>
        <w:keepLines w:val="0"/>
        <w:widowControl w:val="0"/>
        <w:suppressLineNumbers w:val="0"/>
        <w:autoSpaceDE w:val="0"/>
        <w:autoSpaceDN w:val="0"/>
        <w:spacing w:before="0" w:beforeAutospacing="0" w:after="0" w:afterAutospacing="0" w:line="587"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（十四）未考虑通货膨胀对评估标的价值的影响；</w:t>
      </w:r>
    </w:p>
    <w:p>
      <w:pPr>
        <w:pStyle w:val="4"/>
        <w:keepNext w:val="0"/>
        <w:keepLines w:val="0"/>
        <w:widowControl w:val="0"/>
        <w:suppressLineNumbers w:val="0"/>
        <w:autoSpaceDE w:val="0"/>
        <w:autoSpaceDN w:val="0"/>
        <w:spacing w:before="3" w:beforeAutospacing="0" w:after="0" w:afterAutospacing="0" w:line="242" w:lineRule="auto"/>
        <w:ind w:left="118" w:right="282"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（十五）</w:t>
      </w:r>
      <w:r>
        <w:rPr>
          <w:rFonts w:hint="eastAsia" w:ascii="微软雅黑" w:hAnsi="微软雅黑" w:eastAsia="微软雅黑" w:cs="微软雅黑"/>
          <w:spacing w:val="2"/>
          <w:kern w:val="0"/>
          <w:sz w:val="32"/>
          <w:szCs w:val="32"/>
          <w:lang w:val="en-US" w:eastAsia="zh-CN" w:bidi="ar"/>
        </w:rPr>
        <w:t>假设评估标的所涉及的资产的购置、取得、改良、  建设开发过程均符合国家有关法律法规规定；</w:t>
      </w:r>
    </w:p>
    <w:p>
      <w:pPr>
        <w:pStyle w:val="4"/>
        <w:keepNext w:val="0"/>
        <w:keepLines w:val="0"/>
        <w:widowControl w:val="0"/>
        <w:suppressLineNumbers w:val="0"/>
        <w:autoSpaceDE w:val="0"/>
        <w:autoSpaceDN w:val="0"/>
        <w:spacing w:before="0" w:beforeAutospacing="0" w:after="0" w:afterAutospacing="0" w:line="242" w:lineRule="auto"/>
        <w:ind w:left="118" w:right="282"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（十六）</w:t>
      </w:r>
      <w:r>
        <w:rPr>
          <w:rFonts w:hint="eastAsia" w:ascii="微软雅黑" w:hAnsi="微软雅黑" w:eastAsia="微软雅黑" w:cs="微软雅黑"/>
          <w:spacing w:val="2"/>
          <w:kern w:val="0"/>
          <w:sz w:val="32"/>
          <w:szCs w:val="32"/>
          <w:lang w:val="en-US" w:eastAsia="zh-CN" w:bidi="ar"/>
        </w:rPr>
        <w:t>假设评估标的于评估时点无抵押情况或原有的抵押  情况已注销；</w:t>
      </w:r>
    </w:p>
    <w:p>
      <w:pPr>
        <w:pStyle w:val="4"/>
        <w:keepNext w:val="0"/>
        <w:keepLines w:val="0"/>
        <w:widowControl w:val="0"/>
        <w:suppressLineNumbers w:val="0"/>
        <w:autoSpaceDE w:val="0"/>
        <w:autoSpaceDN w:val="0"/>
        <w:spacing w:before="191" w:beforeAutospacing="0" w:after="0" w:afterAutospacing="0" w:line="288" w:lineRule="auto"/>
        <w:ind w:left="764" w:right="656" w:hanging="272"/>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（十七）</w:t>
      </w:r>
      <w:r>
        <w:rPr>
          <w:rFonts w:hint="eastAsia" w:ascii="微软雅黑" w:hAnsi="微软雅黑" w:eastAsia="微软雅黑" w:cs="微软雅黑"/>
          <w:spacing w:val="-1"/>
          <w:kern w:val="0"/>
          <w:sz w:val="32"/>
          <w:szCs w:val="32"/>
          <w:lang w:val="en-US" w:eastAsia="zh-CN" w:bidi="ar"/>
        </w:rPr>
        <w:t>价格评估结论书及附件伪造、复印、涂改均无效。</w:t>
      </w:r>
      <w:r>
        <w:rPr>
          <w:rFonts w:hint="eastAsia" w:ascii="微软雅黑" w:hAnsi="微软雅黑" w:eastAsia="微软雅黑" w:cs="微软雅黑"/>
          <w:kern w:val="0"/>
          <w:sz w:val="32"/>
          <w:szCs w:val="32"/>
          <w:lang w:val="en-US" w:eastAsia="zh-CN" w:bidi="ar"/>
        </w:rPr>
        <w:t>十、声明</w:t>
      </w:r>
    </w:p>
    <w:p>
      <w:pPr>
        <w:pStyle w:val="4"/>
        <w:keepNext w:val="0"/>
        <w:keepLines w:val="0"/>
        <w:widowControl w:val="0"/>
        <w:suppressLineNumbers w:val="0"/>
        <w:autoSpaceDE w:val="0"/>
        <w:autoSpaceDN w:val="0"/>
        <w:spacing w:before="0" w:beforeAutospacing="0" w:after="0" w:afterAutospacing="0" w:line="458"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（一）价格评估结论受价格评估报告书中已说明的限定条件</w:t>
      </w:r>
    </w:p>
    <w:p>
      <w:pPr>
        <w:pStyle w:val="4"/>
        <w:keepNext w:val="0"/>
        <w:keepLines w:val="0"/>
        <w:widowControl w:val="0"/>
        <w:suppressLineNumbers w:val="0"/>
        <w:autoSpaceDE w:val="0"/>
        <w:autoSpaceDN w:val="0"/>
        <w:spacing w:before="0" w:beforeAutospacing="0" w:after="0" w:afterAutospacing="0" w:line="581" w:lineRule="exact"/>
        <w:ind w:left="118"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限制；</w:t>
      </w:r>
    </w:p>
    <w:p>
      <w:pPr>
        <w:pStyle w:val="4"/>
        <w:keepNext w:val="0"/>
        <w:keepLines w:val="0"/>
        <w:widowControl w:val="0"/>
        <w:suppressLineNumbers w:val="0"/>
        <w:autoSpaceDE w:val="0"/>
        <w:autoSpaceDN w:val="0"/>
        <w:spacing w:before="4" w:beforeAutospacing="0" w:after="0" w:afterAutospacing="0"/>
        <w:ind w:left="118" w:right="272"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（二）</w:t>
      </w:r>
      <w:r>
        <w:rPr>
          <w:rFonts w:hint="eastAsia" w:ascii="微软雅黑" w:hAnsi="微软雅黑" w:eastAsia="微软雅黑" w:cs="微软雅黑"/>
          <w:spacing w:val="2"/>
          <w:kern w:val="0"/>
          <w:sz w:val="32"/>
          <w:szCs w:val="32"/>
          <w:lang w:val="en-US" w:eastAsia="zh-CN" w:bidi="ar"/>
        </w:rPr>
        <w:t>委托方及相关当事人提供资料的真实性由委托方及相  关当事人负责；</w:t>
      </w:r>
    </w:p>
    <w:p>
      <w:pPr>
        <w:pStyle w:val="4"/>
        <w:keepNext w:val="0"/>
        <w:keepLines w:val="0"/>
        <w:widowControl w:val="0"/>
        <w:suppressLineNumbers w:val="0"/>
        <w:autoSpaceDE w:val="0"/>
        <w:autoSpaceDN w:val="0"/>
        <w:spacing w:before="4" w:beforeAutospacing="0" w:after="0" w:afterAutospacing="0"/>
        <w:ind w:left="118" w:right="272" w:firstLine="645"/>
        <w:jc w:val="both"/>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（三）</w:t>
      </w:r>
      <w:r>
        <w:rPr>
          <w:rFonts w:hint="eastAsia" w:ascii="微软雅黑" w:hAnsi="微软雅黑" w:eastAsia="微软雅黑" w:cs="微软雅黑"/>
          <w:spacing w:val="2"/>
          <w:kern w:val="0"/>
          <w:sz w:val="32"/>
          <w:szCs w:val="32"/>
          <w:lang w:val="en-US" w:eastAsia="zh-CN" w:bidi="ar"/>
        </w:rPr>
        <w:t xml:space="preserve">价格评估报告书仅限于本次委托，不作他用。未经我  </w:t>
      </w:r>
      <w:r>
        <w:rPr>
          <w:rFonts w:hint="eastAsia" w:ascii="微软雅黑" w:hAnsi="微软雅黑" w:eastAsia="微软雅黑" w:cs="微软雅黑"/>
          <w:spacing w:val="4"/>
          <w:kern w:val="0"/>
          <w:sz w:val="32"/>
          <w:szCs w:val="32"/>
          <w:lang w:val="en-US" w:eastAsia="zh-CN" w:bidi="ar"/>
        </w:rPr>
        <w:t xml:space="preserve">公司同意，不得向委托方及相关当事人之外的任何单位和个人提  </w:t>
      </w:r>
      <w:r>
        <w:rPr>
          <w:rFonts w:hint="eastAsia" w:ascii="微软雅黑" w:hAnsi="微软雅黑" w:eastAsia="微软雅黑" w:cs="微软雅黑"/>
          <w:kern w:val="0"/>
          <w:sz w:val="32"/>
          <w:szCs w:val="32"/>
          <w:lang w:val="en-US" w:eastAsia="zh-CN" w:bidi="ar"/>
        </w:rPr>
        <w:t>供，报告书的全部或部分内容，不得发表于任何公开媒体上；</w:t>
      </w:r>
    </w:p>
    <w:p>
      <w:pPr>
        <w:pStyle w:val="4"/>
        <w:keepNext w:val="0"/>
        <w:keepLines w:val="0"/>
        <w:widowControl w:val="0"/>
        <w:suppressLineNumbers w:val="0"/>
        <w:autoSpaceDE w:val="0"/>
        <w:autoSpaceDN w:val="0"/>
        <w:spacing w:before="6" w:beforeAutospacing="0" w:after="0" w:afterAutospacing="0"/>
        <w:ind w:left="118" w:right="279"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（四）</w:t>
      </w:r>
      <w:r>
        <w:rPr>
          <w:rFonts w:hint="eastAsia" w:ascii="微软雅黑" w:hAnsi="微软雅黑" w:eastAsia="微软雅黑" w:cs="微软雅黑"/>
          <w:spacing w:val="2"/>
          <w:kern w:val="0"/>
          <w:sz w:val="32"/>
          <w:szCs w:val="32"/>
          <w:lang w:val="en-US" w:eastAsia="zh-CN" w:bidi="ar"/>
        </w:rPr>
        <w:t>价格评估机构和评估人员与价格评估标的没有利害关  系，也与相关当事人没有利害关系；</w:t>
      </w:r>
    </w:p>
    <w:p>
      <w:pPr>
        <w:rPr>
          <w:rFonts w:hint="eastAsia" w:ascii="微软雅黑" w:hAnsi="微软雅黑" w:eastAsia="微软雅黑" w:cs="微软雅黑"/>
          <w:sz w:val="32"/>
          <w:szCs w:val="32"/>
        </w:rPr>
        <w:sectPr>
          <w:pgSz w:w="11910" w:h="16840"/>
          <w:pgMar w:top="1460" w:right="1140" w:bottom="1180" w:left="1300" w:header="720" w:footer="720" w:gutter="0"/>
        </w:sectPr>
      </w:pPr>
    </w:p>
    <w:p>
      <w:pPr>
        <w:pStyle w:val="4"/>
        <w:keepNext w:val="0"/>
        <w:keepLines w:val="0"/>
        <w:widowControl w:val="0"/>
        <w:suppressLineNumbers w:val="0"/>
        <w:autoSpaceDE w:val="0"/>
        <w:autoSpaceDN w:val="0"/>
        <w:spacing w:before="9" w:beforeAutospacing="0" w:after="0" w:afterAutospacing="0"/>
        <w:ind w:left="118" w:right="278" w:firstLine="645"/>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（五）委托方如对本结论有异议，可在报告书送达之日起 7 日内向我公司提出，我公司予以解释说明;</w:t>
      </w:r>
    </w:p>
    <w:p>
      <w:pPr>
        <w:pStyle w:val="4"/>
        <w:keepNext w:val="0"/>
        <w:keepLines w:val="0"/>
        <w:widowControl w:val="0"/>
        <w:suppressLineNumbers w:val="0"/>
        <w:autoSpaceDE w:val="0"/>
        <w:autoSpaceDN w:val="0"/>
        <w:spacing w:before="0" w:beforeAutospacing="0" w:after="0" w:afterAutospacing="0" w:line="580"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（六）本报告书一式五份，一份用于存档，四份送达委托方；</w:t>
      </w:r>
    </w:p>
    <w:p>
      <w:pPr>
        <w:pStyle w:val="4"/>
        <w:keepNext w:val="0"/>
        <w:keepLines w:val="0"/>
        <w:widowControl w:val="0"/>
        <w:suppressLineNumbers w:val="0"/>
        <w:autoSpaceDE w:val="0"/>
        <w:autoSpaceDN w:val="0"/>
        <w:spacing w:before="4" w:beforeAutospacing="0" w:after="0" w:afterAutospacing="0"/>
        <w:ind w:left="118" w:right="272" w:firstLine="645"/>
        <w:jc w:val="left"/>
        <w:rPr>
          <w:rFonts w:hint="eastAsia" w:ascii="微软雅黑" w:hAnsi="微软雅黑" w:eastAsia="微软雅黑" w:cs="微软雅黑"/>
          <w:sz w:val="32"/>
          <w:szCs w:val="32"/>
        </w:rPr>
      </w:pPr>
      <w:r>
        <w:rPr>
          <w:rFonts w:hint="eastAsia" w:ascii="微软雅黑" w:hAnsi="微软雅黑" w:eastAsia="微软雅黑" w:cs="微软雅黑"/>
          <w:spacing w:val="4"/>
          <w:kern w:val="0"/>
          <w:sz w:val="32"/>
          <w:szCs w:val="32"/>
          <w:lang w:val="en-US" w:eastAsia="zh-CN" w:bidi="ar"/>
        </w:rPr>
        <w:t>（七）</w:t>
      </w:r>
      <w:r>
        <w:rPr>
          <w:rFonts w:hint="eastAsia" w:ascii="微软雅黑" w:hAnsi="微软雅黑" w:eastAsia="微软雅黑" w:cs="微软雅黑"/>
          <w:spacing w:val="2"/>
          <w:kern w:val="0"/>
          <w:sz w:val="32"/>
          <w:szCs w:val="32"/>
          <w:lang w:val="en-US" w:eastAsia="zh-CN" w:bidi="ar"/>
        </w:rPr>
        <w:t>本报告书使用期限自评估报告提出日期起一年，即至  二〇二</w:t>
      </w:r>
      <w:r>
        <w:rPr>
          <w:rFonts w:hint="eastAsia" w:ascii="宋体" w:hAnsi="宋体" w:eastAsia="宋体" w:cs="宋体"/>
          <w:spacing w:val="2"/>
          <w:kern w:val="0"/>
          <w:sz w:val="32"/>
          <w:szCs w:val="32"/>
          <w:lang w:val="en-US" w:eastAsia="zh-CN" w:bidi="ar"/>
        </w:rPr>
        <w:t>〇</w:t>
      </w:r>
      <w:r>
        <w:rPr>
          <w:rFonts w:hint="eastAsia" w:ascii="微软雅黑" w:hAnsi="微软雅黑" w:eastAsia="微软雅黑" w:cs="微软雅黑"/>
          <w:spacing w:val="2"/>
          <w:kern w:val="0"/>
          <w:sz w:val="32"/>
          <w:szCs w:val="32"/>
          <w:lang w:val="en-US" w:eastAsia="zh-CN" w:bidi="ar"/>
        </w:rPr>
        <w:t>年二月十四日前有效；</w:t>
      </w:r>
    </w:p>
    <w:p>
      <w:pPr>
        <w:pStyle w:val="4"/>
        <w:keepNext w:val="0"/>
        <w:keepLines w:val="0"/>
        <w:widowControl w:val="0"/>
        <w:suppressLineNumbers w:val="0"/>
        <w:autoSpaceDE w:val="0"/>
        <w:autoSpaceDN w:val="0"/>
        <w:spacing w:before="0" w:beforeAutospacing="0" w:after="0" w:afterAutospacing="0"/>
        <w:ind w:left="764" w:right="119"/>
        <w:jc w:val="left"/>
        <w:rPr>
          <w:rFonts w:hint="eastAsia" w:ascii="微软雅黑" w:hAnsi="微软雅黑" w:eastAsia="微软雅黑" w:cs="微软雅黑"/>
          <w:spacing w:val="-1"/>
          <w:kern w:val="0"/>
          <w:sz w:val="32"/>
          <w:szCs w:val="32"/>
          <w:lang w:val="en-US" w:eastAsia="zh-CN" w:bidi="ar"/>
        </w:rPr>
      </w:pPr>
      <w:r>
        <w:rPr>
          <w:rFonts w:hint="eastAsia" w:ascii="微软雅黑" w:hAnsi="微软雅黑" w:eastAsia="微软雅黑" w:cs="微软雅黑"/>
          <w:kern w:val="0"/>
          <w:sz w:val="32"/>
          <w:szCs w:val="32"/>
          <w:lang w:val="en-US" w:eastAsia="zh-CN" w:bidi="ar"/>
        </w:rPr>
        <w:t>（八</w:t>
      </w:r>
      <w:r>
        <w:rPr>
          <w:rFonts w:hint="eastAsia" w:ascii="微软雅黑" w:hAnsi="微软雅黑" w:eastAsia="微软雅黑" w:cs="微软雅黑"/>
          <w:spacing w:val="-56"/>
          <w:kern w:val="0"/>
          <w:sz w:val="32"/>
          <w:szCs w:val="32"/>
          <w:lang w:val="en-US" w:eastAsia="zh-CN" w:bidi="ar"/>
        </w:rPr>
        <w:t>）</w:t>
      </w:r>
      <w:r>
        <w:rPr>
          <w:rFonts w:hint="eastAsia" w:ascii="微软雅黑" w:hAnsi="微软雅黑" w:eastAsia="微软雅黑" w:cs="微软雅黑"/>
          <w:spacing w:val="-1"/>
          <w:kern w:val="0"/>
          <w:sz w:val="32"/>
          <w:szCs w:val="32"/>
          <w:lang w:val="en-US" w:eastAsia="zh-CN" w:bidi="ar"/>
        </w:rPr>
        <w:t>本报告需加盖本单位公章并由评估人员盖章方为有效。</w:t>
      </w:r>
    </w:p>
    <w:p>
      <w:pPr>
        <w:pStyle w:val="4"/>
        <w:keepNext w:val="0"/>
        <w:keepLines w:val="0"/>
        <w:widowControl w:val="0"/>
        <w:suppressLineNumbers w:val="0"/>
        <w:autoSpaceDE w:val="0"/>
        <w:autoSpaceDN w:val="0"/>
        <w:spacing w:before="0" w:beforeAutospacing="0" w:after="0" w:afterAutospacing="0"/>
        <w:ind w:left="764" w:right="119"/>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十一、价格评估作业日期</w:t>
      </w:r>
    </w:p>
    <w:p>
      <w:pPr>
        <w:pStyle w:val="4"/>
        <w:keepNext w:val="0"/>
        <w:keepLines w:val="0"/>
        <w:widowControl w:val="0"/>
        <w:suppressLineNumbers w:val="0"/>
        <w:autoSpaceDE w:val="0"/>
        <w:autoSpaceDN w:val="0"/>
        <w:spacing w:before="0" w:beforeAutospacing="0" w:after="0" w:afterAutospacing="0"/>
        <w:ind w:left="764" w:right="5822"/>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2019 年 2 月 15日十二、价格评估构</w:t>
      </w:r>
      <w:bookmarkStart w:id="0" w:name="_GoBack"/>
      <w:bookmarkEnd w:id="0"/>
    </w:p>
    <w:p>
      <w:pPr>
        <w:pStyle w:val="4"/>
        <w:keepNext w:val="0"/>
        <w:keepLines w:val="0"/>
        <w:widowControl w:val="0"/>
        <w:suppressLineNumbers w:val="0"/>
        <w:autoSpaceDE w:val="0"/>
        <w:autoSpaceDN w:val="0"/>
        <w:spacing w:before="1" w:beforeAutospacing="0" w:after="0" w:afterAutospacing="0"/>
        <w:ind w:left="764" w:right="1664"/>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机构名称：通辽市正通价格评估咨询有限责任公司机构资质证书号：蒙JG400W070</w:t>
      </w:r>
    </w:p>
    <w:p>
      <w:pPr>
        <w:pStyle w:val="4"/>
        <w:keepNext w:val="0"/>
        <w:keepLines w:val="0"/>
        <w:widowControl w:val="0"/>
        <w:suppressLineNumbers w:val="0"/>
        <w:autoSpaceDE w:val="0"/>
        <w:autoSpaceDN w:val="0"/>
        <w:spacing w:before="0" w:beforeAutospacing="0" w:after="0" w:afterAutospacing="0"/>
        <w:ind w:left="759" w:right="5821" w:firstLine="4"/>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法人代表盖章：候亮十三、价格评估人员</w:t>
      </w:r>
    </w:p>
    <w:p>
      <w:pPr>
        <w:pStyle w:val="4"/>
        <w:keepNext w:val="0"/>
        <w:keepLines w:val="0"/>
        <w:widowControl w:val="0"/>
        <w:suppressLineNumbers w:val="0"/>
        <w:autoSpaceDE w:val="0"/>
        <w:autoSpaceDN w:val="0"/>
        <w:spacing w:before="0" w:beforeAutospacing="0" w:after="0" w:afterAutospacing="0"/>
        <w:ind w:left="764" w:right="382"/>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姓</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名</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执业资格名称</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资格证号</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签字或盖</w:t>
      </w:r>
      <w:r>
        <w:rPr>
          <w:rFonts w:hint="eastAsia" w:ascii="微软雅黑" w:hAnsi="微软雅黑" w:eastAsia="微软雅黑" w:cs="微软雅黑"/>
          <w:spacing w:val="-17"/>
          <w:kern w:val="0"/>
          <w:sz w:val="32"/>
          <w:szCs w:val="32"/>
          <w:lang w:val="en-US" w:eastAsia="zh-CN" w:bidi="ar"/>
        </w:rPr>
        <w:t>章</w:t>
      </w:r>
      <w:r>
        <w:rPr>
          <w:rFonts w:hint="eastAsia" w:ascii="微软雅黑" w:hAnsi="微软雅黑" w:eastAsia="微软雅黑" w:cs="微软雅黑"/>
          <w:kern w:val="0"/>
          <w:sz w:val="32"/>
          <w:szCs w:val="32"/>
          <w:lang w:val="en-US" w:eastAsia="zh-CN" w:bidi="ar"/>
        </w:rPr>
        <w:t>刘鸿鸽</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中国注册价格鉴证师</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0012621</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鉴证师</w:t>
      </w:r>
    </w:p>
    <w:p>
      <w:pPr>
        <w:pStyle w:val="4"/>
        <w:keepNext w:val="0"/>
        <w:keepLines w:val="0"/>
        <w:widowControl w:val="0"/>
        <w:suppressLineNumbers w:val="0"/>
        <w:autoSpaceDE w:val="0"/>
        <w:autoSpaceDN w:val="0"/>
        <w:spacing w:before="0" w:beforeAutospacing="0" w:after="0" w:afterAutospacing="0"/>
        <w:ind w:left="764" w:right="687" w:firstLine="7206"/>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签章李艳红</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中国注册价格鉴证师</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0011888</w:t>
      </w:r>
      <w:r>
        <w:rPr>
          <w:rFonts w:hint="eastAsia" w:ascii="微软雅黑" w:hAnsi="微软雅黑" w:eastAsia="微软雅黑" w:cs="微软雅黑"/>
          <w:kern w:val="0"/>
          <w:sz w:val="32"/>
          <w:szCs w:val="32"/>
          <w:lang w:val="en-US" w:eastAsia="zh-CN" w:bidi="ar"/>
        </w:rPr>
        <w:tab/>
      </w:r>
      <w:r>
        <w:rPr>
          <w:rFonts w:hint="eastAsia" w:ascii="微软雅黑" w:hAnsi="微软雅黑" w:eastAsia="微软雅黑" w:cs="微软雅黑"/>
          <w:kern w:val="0"/>
          <w:sz w:val="32"/>
          <w:szCs w:val="32"/>
          <w:lang w:val="en-US" w:eastAsia="zh-CN" w:bidi="ar"/>
        </w:rPr>
        <w:t>鉴证</w:t>
      </w:r>
      <w:r>
        <w:rPr>
          <w:rFonts w:hint="eastAsia" w:ascii="微软雅黑" w:hAnsi="微软雅黑" w:eastAsia="微软雅黑" w:cs="微软雅黑"/>
          <w:spacing w:val="-18"/>
          <w:kern w:val="0"/>
          <w:sz w:val="32"/>
          <w:szCs w:val="32"/>
          <w:lang w:val="en-US" w:eastAsia="zh-CN" w:bidi="ar"/>
        </w:rPr>
        <w:t>师</w:t>
      </w:r>
    </w:p>
    <w:p>
      <w:pPr>
        <w:pStyle w:val="4"/>
        <w:keepNext w:val="0"/>
        <w:keepLines w:val="0"/>
        <w:widowControl w:val="0"/>
        <w:suppressLineNumbers w:val="0"/>
        <w:autoSpaceDE w:val="0"/>
        <w:autoSpaceDN w:val="0"/>
        <w:spacing w:before="0" w:beforeAutospacing="0" w:after="0" w:afterAutospacing="0" w:line="585" w:lineRule="exact"/>
        <w:ind w:left="0" w:right="855"/>
        <w:jc w:val="righ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签章</w:t>
      </w:r>
    </w:p>
    <w:p>
      <w:pPr>
        <w:pStyle w:val="4"/>
        <w:keepNext w:val="0"/>
        <w:keepLines w:val="0"/>
        <w:widowControl w:val="0"/>
        <w:suppressLineNumbers w:val="0"/>
        <w:autoSpaceDE w:val="0"/>
        <w:autoSpaceDN w:val="0"/>
        <w:spacing w:before="0" w:beforeAutospacing="0" w:after="0" w:afterAutospacing="0" w:line="576"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十四、附件</w:t>
      </w:r>
    </w:p>
    <w:p>
      <w:pPr>
        <w:pStyle w:val="4"/>
        <w:keepNext w:val="0"/>
        <w:keepLines w:val="0"/>
        <w:widowControl w:val="0"/>
        <w:suppressLineNumbers w:val="0"/>
        <w:autoSpaceDE w:val="0"/>
        <w:autoSpaceDN w:val="0"/>
        <w:spacing w:before="0" w:beforeAutospacing="0" w:after="0" w:afterAutospacing="0" w:line="580" w:lineRule="exact"/>
        <w:ind w:left="759"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（一）委托价格评估财产、物品明细表；</w:t>
      </w:r>
    </w:p>
    <w:p>
      <w:pPr>
        <w:pStyle w:val="4"/>
        <w:keepNext w:val="0"/>
        <w:keepLines w:val="0"/>
        <w:widowControl w:val="0"/>
        <w:suppressLineNumbers w:val="0"/>
        <w:autoSpaceDE w:val="0"/>
        <w:autoSpaceDN w:val="0"/>
        <w:spacing w:before="0" w:beforeAutospacing="0" w:after="0" w:afterAutospacing="0" w:line="581"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（二）价格评估标的现场照片；</w:t>
      </w:r>
    </w:p>
    <w:p>
      <w:pPr>
        <w:pStyle w:val="4"/>
        <w:keepNext w:val="0"/>
        <w:keepLines w:val="0"/>
        <w:widowControl w:val="0"/>
        <w:suppressLineNumbers w:val="0"/>
        <w:autoSpaceDE w:val="0"/>
        <w:autoSpaceDN w:val="0"/>
        <w:spacing w:before="0" w:beforeAutospacing="0" w:after="0" w:afterAutospacing="0" w:line="580"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（三）价格评估机构资质登记证书复印件；</w:t>
      </w:r>
    </w:p>
    <w:p>
      <w:pPr>
        <w:pStyle w:val="4"/>
        <w:keepNext w:val="0"/>
        <w:keepLines w:val="0"/>
        <w:widowControl w:val="0"/>
        <w:suppressLineNumbers w:val="0"/>
        <w:autoSpaceDE w:val="0"/>
        <w:autoSpaceDN w:val="0"/>
        <w:spacing w:before="0" w:beforeAutospacing="0" w:after="0" w:afterAutospacing="0" w:line="580" w:lineRule="exact"/>
        <w:ind w:left="764" w:right="0"/>
        <w:jc w:val="left"/>
        <w:rPr>
          <w:rFonts w:hint="eastAsia" w:ascii="微软雅黑" w:hAnsi="微软雅黑" w:eastAsia="微软雅黑" w:cs="微软雅黑"/>
          <w:sz w:val="32"/>
          <w:szCs w:val="32"/>
        </w:rPr>
      </w:pPr>
      <w:r>
        <w:rPr>
          <w:rFonts w:hint="eastAsia" w:ascii="微软雅黑" w:hAnsi="微软雅黑" w:eastAsia="微软雅黑" w:cs="微软雅黑"/>
          <w:kern w:val="0"/>
          <w:sz w:val="32"/>
          <w:szCs w:val="32"/>
          <w:lang w:val="en-US" w:eastAsia="zh-CN" w:bidi="ar"/>
        </w:rPr>
        <w:t>（四）价格评估人员资格证书复印件。</w:t>
      </w:r>
    </w:p>
    <w:p>
      <w:pPr>
        <w:pStyle w:val="4"/>
        <w:keepNext w:val="0"/>
        <w:keepLines w:val="0"/>
        <w:widowControl w:val="0"/>
        <w:suppressLineNumbers w:val="0"/>
        <w:autoSpaceDE w:val="0"/>
        <w:autoSpaceDN w:val="0"/>
        <w:spacing w:before="0" w:beforeAutospacing="0" w:after="0" w:afterAutospacing="0" w:line="585" w:lineRule="exact"/>
        <w:ind w:left="6040" w:right="0"/>
        <w:jc w:val="left"/>
        <w:rPr>
          <w:rFonts w:hint="eastAsia" w:ascii="微软雅黑" w:hAnsi="微软雅黑" w:eastAsia="微软雅黑" w:cs="微软雅黑"/>
          <w:kern w:val="0"/>
          <w:sz w:val="32"/>
          <w:szCs w:val="32"/>
          <w:lang w:val="en-US" w:eastAsia="zh-CN" w:bidi="ar"/>
        </w:rPr>
      </w:pPr>
      <w:r>
        <w:rPr>
          <w:rFonts w:hint="eastAsia" w:ascii="微软雅黑" w:hAnsi="微软雅黑" w:eastAsia="微软雅黑" w:cs="微软雅黑"/>
          <w:kern w:val="0"/>
          <w:sz w:val="32"/>
          <w:szCs w:val="32"/>
          <w:lang w:val="en-US" w:eastAsia="zh-CN" w:bidi="ar"/>
        </w:rPr>
        <w:t>二0 一九年二月十五日</w:t>
      </w:r>
    </w:p>
    <w:p>
      <w:pPr>
        <w:pStyle w:val="4"/>
        <w:keepNext w:val="0"/>
        <w:keepLines w:val="0"/>
        <w:widowControl w:val="0"/>
        <w:suppressLineNumbers w:val="0"/>
        <w:autoSpaceDE w:val="0"/>
        <w:autoSpaceDN w:val="0"/>
        <w:spacing w:before="0" w:beforeAutospacing="0" w:after="0" w:afterAutospacing="0" w:line="585" w:lineRule="exact"/>
        <w:ind w:left="6040" w:right="0"/>
        <w:jc w:val="left"/>
        <w:rPr>
          <w:rFonts w:hint="eastAsia" w:ascii="微软雅黑" w:hAnsi="微软雅黑" w:eastAsia="微软雅黑" w:cs="微软雅黑"/>
          <w:kern w:val="0"/>
          <w:sz w:val="32"/>
          <w:szCs w:val="32"/>
          <w:lang w:val="en-US" w:eastAsia="zh-CN" w:bidi="ar"/>
        </w:rPr>
      </w:pPr>
      <w:r>
        <w:rPr>
          <w:rFonts w:hint="eastAsia" w:ascii="微软雅黑" w:hAnsi="微软雅黑" w:eastAsia="微软雅黑" w:cs="微软雅黑"/>
          <w:kern w:val="0"/>
          <w:sz w:val="32"/>
          <w:szCs w:val="32"/>
          <w:lang w:val="en-US" w:eastAsia="zh-CN" w:bidi="ar"/>
        </w:rPr>
        <w:br w:type="page"/>
      </w:r>
    </w:p>
    <w:p>
      <w:pPr>
        <w:pStyle w:val="4"/>
        <w:keepNext w:val="0"/>
        <w:keepLines w:val="0"/>
        <w:widowControl w:val="0"/>
        <w:suppressLineNumbers w:val="0"/>
        <w:autoSpaceDE w:val="0"/>
        <w:autoSpaceDN w:val="0"/>
        <w:spacing w:before="0" w:beforeAutospacing="0" w:after="0" w:afterAutospacing="0" w:line="585" w:lineRule="exact"/>
        <w:ind w:left="6040" w:right="0"/>
        <w:jc w:val="left"/>
        <w:rPr>
          <w:rFonts w:hint="eastAsia" w:ascii="微软雅黑" w:hAnsi="微软雅黑" w:eastAsia="微软雅黑" w:cs="微软雅黑"/>
          <w:kern w:val="0"/>
          <w:sz w:val="32"/>
          <w:szCs w:val="32"/>
          <w:lang w:val="en-US" w:eastAsia="zh-CN" w:bidi="ar"/>
        </w:rPr>
      </w:pPr>
    </w:p>
    <w:p>
      <w:pPr>
        <w:pStyle w:val="4"/>
        <w:keepNext w:val="0"/>
        <w:keepLines w:val="0"/>
        <w:widowControl w:val="0"/>
        <w:suppressLineNumbers w:val="0"/>
        <w:autoSpaceDE w:val="0"/>
        <w:autoSpaceDN w:val="0"/>
        <w:spacing w:before="9" w:beforeAutospacing="0" w:after="0" w:afterAutospacing="0"/>
        <w:ind w:left="0" w:right="0"/>
        <w:jc w:val="left"/>
        <w:rPr>
          <w:rFonts w:hint="default" w:ascii="Times New Roman" w:hAnsi="宋体" w:eastAsia="宋体" w:cs="宋体"/>
          <w:sz w:val="8"/>
          <w:szCs w:val="8"/>
        </w:rPr>
      </w:pPr>
      <w:r>
        <w:rPr>
          <w:rFonts w:hint="default" w:ascii="Times New Roman" w:hAnsi="宋体" w:eastAsia="宋体" w:cs="宋体"/>
          <w:kern w:val="0"/>
          <w:sz w:val="8"/>
          <w:szCs w:val="8"/>
          <w:lang w:val="en-US" w:eastAsia="zh-CN" w:bidi="ar"/>
        </w:rPr>
        <w:t xml:space="preserve"> </w:t>
      </w:r>
    </w:p>
    <w:p>
      <w:pPr>
        <w:keepNext w:val="0"/>
        <w:keepLines w:val="0"/>
        <w:widowControl w:val="0"/>
        <w:suppressLineNumbers w:val="0"/>
        <w:autoSpaceDE w:val="0"/>
        <w:autoSpaceDN w:val="0"/>
        <w:spacing w:before="54" w:beforeAutospacing="0" w:after="0" w:afterAutospacing="0"/>
        <w:ind w:left="215" w:right="211" w:firstLine="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委托价格评估财产、物品明细表</w:t>
      </w:r>
    </w:p>
    <w:p>
      <w:pPr>
        <w:pStyle w:val="4"/>
        <w:keepNext w:val="0"/>
        <w:keepLines w:val="0"/>
        <w:widowControl w:val="0"/>
        <w:suppressLineNumbers w:val="0"/>
        <w:autoSpaceDE w:val="0"/>
        <w:autoSpaceDN w:val="0"/>
        <w:spacing w:before="114" w:beforeAutospacing="0" w:after="6" w:afterAutospacing="0"/>
        <w:ind w:left="16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委托方:科尔沁左翼后旗人民法院</w:t>
      </w:r>
      <w:r>
        <w:rPr>
          <w:rFonts w:hint="eastAsia" w:ascii="宋体" w:hAnsi="宋体" w:eastAsia="宋体" w:cs="宋体"/>
          <w:kern w:val="0"/>
          <w:sz w:val="20"/>
          <w:szCs w:val="20"/>
          <w:lang w:val="en-US" w:eastAsia="zh-CN" w:bidi="ar"/>
        </w:rPr>
        <w:tab/>
      </w:r>
      <w:r>
        <w:rPr>
          <w:rFonts w:hint="eastAsia" w:ascii="宋体" w:hAnsi="宋体" w:eastAsia="宋体" w:cs="宋体"/>
          <w:kern w:val="0"/>
          <w:sz w:val="20"/>
          <w:szCs w:val="20"/>
          <w:lang w:val="en-US" w:eastAsia="zh-CN" w:bidi="ar"/>
        </w:rPr>
        <w:t>单位:元</w:t>
      </w:r>
    </w:p>
    <w:tbl>
      <w:tblPr>
        <w:tblStyle w:val="6"/>
        <w:tblW w:w="14599" w:type="dxa"/>
        <w:tblInd w:w="24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675"/>
        <w:gridCol w:w="1154"/>
        <w:gridCol w:w="2955"/>
        <w:gridCol w:w="2612"/>
        <w:gridCol w:w="795"/>
        <w:gridCol w:w="795"/>
        <w:gridCol w:w="795"/>
        <w:gridCol w:w="1036"/>
        <w:gridCol w:w="1035"/>
        <w:gridCol w:w="1515"/>
        <w:gridCol w:w="12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572"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125" w:right="9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序号</w:t>
            </w: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165" w:right="129"/>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项目名称</w:t>
            </w: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65" w:right="27"/>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房屋所有人</w:t>
            </w: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88" w:right="5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坐落位置</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55" w:beforeAutospacing="0" w:after="0" w:afterAutospacing="0"/>
              <w:ind w:left="100" w:right="37" w:firstLine="10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房屋总层数</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55" w:beforeAutospacing="0" w:after="0" w:afterAutospacing="0"/>
              <w:ind w:left="198" w:right="176"/>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所在层数</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176" w:right="158"/>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单位</w:t>
            </w: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317"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数量</w:t>
            </w: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52" w:right="23"/>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单价</w:t>
            </w: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0" w:right="332"/>
              <w:jc w:val="right"/>
              <w:rPr>
                <w:rFonts w:hint="eastAsia" w:ascii="宋体" w:hAnsi="宋体" w:eastAsia="宋体" w:cs="宋体"/>
                <w:sz w:val="20"/>
                <w:szCs w:val="20"/>
              </w:rPr>
            </w:pPr>
            <w:r>
              <w:rPr>
                <w:rFonts w:hint="eastAsia" w:ascii="宋体" w:hAnsi="宋体" w:eastAsia="宋体" w:cs="宋体"/>
                <w:kern w:val="0"/>
                <w:sz w:val="20"/>
                <w:szCs w:val="20"/>
                <w:lang w:val="en-US" w:eastAsia="zh-CN" w:bidi="ar"/>
              </w:rPr>
              <w:t>评估价值</w:t>
            </w: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71" w:beforeAutospacing="0" w:after="0" w:afterAutospacing="0"/>
              <w:ind w:left="420"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3"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35"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165" w:right="129"/>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房屋</w:t>
            </w: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65" w:right="29"/>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通辽市恒泰房地产开发有限公司</w:t>
            </w: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8" w:beforeAutospacing="0" w:after="0" w:afterAutospacing="0" w:line="244" w:lineRule="exact"/>
              <w:ind w:left="1108" w:right="43" w:hanging="996"/>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科左后旗金宝屯镇恒泰家园小区</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19"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6</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18"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6</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21"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w:t>
            </w: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264"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95.45</w:t>
            </w: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52" w:right="122"/>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2,040.00</w:t>
            </w: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6" w:beforeAutospacing="0" w:after="0" w:afterAutospacing="0"/>
              <w:ind w:left="0" w:right="277"/>
              <w:jc w:val="right"/>
              <w:rPr>
                <w:rFonts w:hint="eastAsia" w:ascii="宋体" w:hAnsi="宋体" w:eastAsia="宋体" w:cs="宋体"/>
                <w:sz w:val="20"/>
                <w:szCs w:val="20"/>
              </w:rPr>
            </w:pPr>
            <w:r>
              <w:rPr>
                <w:rFonts w:hint="eastAsia" w:ascii="宋体" w:hAnsi="宋体" w:eastAsia="宋体" w:cs="宋体"/>
                <w:kern w:val="0"/>
                <w:sz w:val="20"/>
                <w:szCs w:val="20"/>
                <w:lang w:val="en-US" w:eastAsia="zh-CN" w:bidi="ar"/>
              </w:rPr>
              <w:t>194,718.00</w:t>
            </w: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2"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35"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2</w:t>
            </w: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165" w:right="129"/>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车库</w:t>
            </w: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65" w:right="29"/>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通辽市恒泰房地产开发有限公司</w:t>
            </w: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line="243" w:lineRule="exact"/>
              <w:ind w:left="88" w:right="64"/>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科左后旗金宝屯镇恒泰家园</w:t>
            </w:r>
          </w:p>
          <w:p>
            <w:pPr>
              <w:pStyle w:val="4"/>
              <w:keepNext w:val="0"/>
              <w:keepLines w:val="0"/>
              <w:widowControl w:val="0"/>
              <w:suppressLineNumbers w:val="0"/>
              <w:autoSpaceDE w:val="0"/>
              <w:autoSpaceDN w:val="0"/>
              <w:spacing w:before="0" w:beforeAutospacing="0" w:after="0" w:afterAutospacing="0" w:line="210" w:lineRule="exact"/>
              <w:ind w:left="88" w:right="64"/>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小区</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34"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6</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33"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1</w:t>
            </w: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21" w:right="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w:t>
            </w: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264" w:right="0"/>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18.95</w:t>
            </w: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52" w:right="122"/>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2,400.00</w:t>
            </w: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14" w:beforeAutospacing="0" w:after="0" w:afterAutospacing="0"/>
              <w:ind w:left="0" w:right="329"/>
              <w:jc w:val="right"/>
              <w:rPr>
                <w:rFonts w:hint="eastAsia" w:ascii="宋体" w:hAnsi="宋体" w:eastAsia="宋体" w:cs="宋体"/>
                <w:sz w:val="20"/>
                <w:szCs w:val="20"/>
              </w:rPr>
            </w:pPr>
            <w:r>
              <w:rPr>
                <w:rFonts w:hint="eastAsia" w:ascii="宋体" w:hAnsi="宋体" w:eastAsia="宋体" w:cs="宋体"/>
                <w:kern w:val="0"/>
                <w:sz w:val="20"/>
                <w:szCs w:val="20"/>
                <w:lang w:val="en-US" w:eastAsia="zh-CN" w:bidi="ar"/>
              </w:rPr>
              <w:t>45,480.00</w:t>
            </w: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3"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3"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4"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4"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3"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4"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3"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4"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3"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4"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4"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1" w:hRule="atLeast"/>
        </w:trPr>
        <w:tc>
          <w:tcPr>
            <w:tcW w:w="67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1" w:beforeAutospacing="0" w:after="0" w:afterAutospacing="0"/>
              <w:ind w:left="125" w:right="9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合计</w:t>
            </w:r>
          </w:p>
        </w:tc>
        <w:tc>
          <w:tcPr>
            <w:tcW w:w="1154"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95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261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79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6"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03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c>
          <w:tcPr>
            <w:tcW w:w="1515"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121" w:beforeAutospacing="0" w:after="0" w:afterAutospacing="0"/>
              <w:ind w:left="0" w:right="277"/>
              <w:jc w:val="right"/>
              <w:rPr>
                <w:rFonts w:hint="eastAsia" w:ascii="宋体" w:hAnsi="宋体" w:eastAsia="宋体" w:cs="宋体"/>
                <w:sz w:val="20"/>
                <w:szCs w:val="20"/>
              </w:rPr>
            </w:pPr>
            <w:r>
              <w:rPr>
                <w:rFonts w:hint="eastAsia" w:ascii="宋体" w:hAnsi="宋体" w:eastAsia="宋体" w:cs="宋体"/>
                <w:kern w:val="0"/>
                <w:sz w:val="20"/>
                <w:szCs w:val="20"/>
                <w:lang w:val="en-US" w:eastAsia="zh-CN" w:bidi="ar"/>
              </w:rPr>
              <w:t>240,198.00</w:t>
            </w:r>
          </w:p>
        </w:tc>
        <w:tc>
          <w:tcPr>
            <w:tcW w:w="1232" w:type="dxa"/>
            <w:tcBorders>
              <w:top w:val="single" w:color="000000" w:sz="8" w:space="0"/>
              <w:left w:val="nil"/>
              <w:bottom w:val="single" w:color="000000" w:sz="8" w:space="0"/>
              <w:right w:val="single" w:color="000000" w:sz="8" w:space="0"/>
            </w:tcBorders>
            <w:shd w:val="clear" w:color="auto" w:fill="auto"/>
            <w:vAlign w:val="top"/>
          </w:tcPr>
          <w:p>
            <w:pPr>
              <w:pStyle w:val="4"/>
              <w:keepNext w:val="0"/>
              <w:keepLines w:val="0"/>
              <w:widowControl w:val="0"/>
              <w:suppressLineNumbers w:val="0"/>
              <w:autoSpaceDE w:val="0"/>
              <w:autoSpaceDN w:val="0"/>
              <w:spacing w:before="0" w:beforeAutospacing="0" w:after="0" w:afterAutospacing="0"/>
              <w:ind w:left="0" w:right="0"/>
              <w:jc w:val="left"/>
              <w:rPr>
                <w:rFonts w:hint="default" w:ascii="Times New Roman" w:hAnsi="宋体" w:eastAsia="宋体" w:cs="宋体"/>
                <w:sz w:val="20"/>
                <w:szCs w:val="20"/>
              </w:rPr>
            </w:pPr>
          </w:p>
        </w:tc>
      </w:tr>
    </w:tbl>
    <w:p>
      <w:pPr>
        <w:pStyle w:val="4"/>
        <w:keepNext w:val="0"/>
        <w:keepLines w:val="0"/>
        <w:widowControl w:val="0"/>
        <w:suppressLineNumbers w:val="0"/>
        <w:autoSpaceDE w:val="0"/>
        <w:autoSpaceDN w:val="0"/>
        <w:spacing w:before="35" w:beforeAutospacing="0" w:after="0" w:afterAutospacing="0" w:line="288" w:lineRule="auto"/>
        <w:ind w:left="215" w:right="212"/>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价格评估人员：刘鸿鸽</w:t>
      </w:r>
      <w:r>
        <w:rPr>
          <w:rFonts w:hint="eastAsia" w:ascii="宋体" w:hAnsi="宋体" w:eastAsia="宋体" w:cs="宋体"/>
          <w:kern w:val="0"/>
          <w:sz w:val="20"/>
          <w:szCs w:val="20"/>
          <w:lang w:val="en-US" w:eastAsia="zh-CN" w:bidi="ar"/>
        </w:rPr>
        <w:tab/>
      </w:r>
      <w:r>
        <w:rPr>
          <w:rFonts w:hint="eastAsia" w:ascii="宋体" w:hAnsi="宋体" w:eastAsia="宋体" w:cs="宋体"/>
          <w:kern w:val="0"/>
          <w:sz w:val="20"/>
          <w:szCs w:val="20"/>
          <w:lang w:val="en-US" w:eastAsia="zh-CN" w:bidi="ar"/>
        </w:rPr>
        <w:t>李艳红</w:t>
      </w:r>
      <w:r>
        <w:rPr>
          <w:rFonts w:hint="eastAsia" w:ascii="宋体" w:hAnsi="宋体" w:eastAsia="宋体" w:cs="宋体"/>
          <w:kern w:val="0"/>
          <w:sz w:val="20"/>
          <w:szCs w:val="20"/>
          <w:lang w:val="en-US" w:eastAsia="zh-CN" w:bidi="ar"/>
        </w:rPr>
        <w:tab/>
      </w:r>
      <w:r>
        <w:rPr>
          <w:rFonts w:hint="eastAsia" w:ascii="宋体" w:hAnsi="宋体" w:eastAsia="宋体" w:cs="宋体"/>
          <w:kern w:val="0"/>
          <w:sz w:val="20"/>
          <w:szCs w:val="20"/>
          <w:lang w:val="en-US" w:eastAsia="zh-CN" w:bidi="ar"/>
        </w:rPr>
        <w:t>价格评估单位：通辽市正通价格评估咨询有限责任公</w:t>
      </w:r>
      <w:r>
        <w:rPr>
          <w:rFonts w:hint="eastAsia" w:ascii="宋体" w:hAnsi="宋体" w:eastAsia="宋体" w:cs="宋体"/>
          <w:spacing w:val="-17"/>
          <w:kern w:val="0"/>
          <w:sz w:val="20"/>
          <w:szCs w:val="20"/>
          <w:lang w:val="en-US" w:eastAsia="zh-CN" w:bidi="ar"/>
        </w:rPr>
        <w:t xml:space="preserve">司  </w:t>
      </w:r>
      <w:r>
        <w:rPr>
          <w:rFonts w:hint="eastAsia" w:ascii="宋体" w:hAnsi="宋体" w:eastAsia="宋体" w:cs="宋体"/>
          <w:kern w:val="0"/>
          <w:sz w:val="20"/>
          <w:szCs w:val="20"/>
          <w:lang w:val="en-US" w:eastAsia="zh-CN" w:bidi="ar"/>
        </w:rPr>
        <w:t>8</w:t>
      </w:r>
    </w:p>
    <w:p>
      <w:pPr>
        <w:tabs>
          <w:tab w:val="left" w:leader="dot" w:pos="7603"/>
        </w:tabs>
        <w:spacing w:before="52"/>
        <w:ind w:left="118" w:right="0" w:firstLine="0"/>
        <w:jc w:val="left"/>
        <w:rPr>
          <w:rFonts w:hint="eastAsia" w:ascii="微软雅黑" w:eastAsia="微软雅黑"/>
          <w:sz w:val="32"/>
        </w:rPr>
      </w:pPr>
    </w:p>
    <w:sectPr>
      <w:pgSz w:w="11910" w:h="16840"/>
      <w:pgMar w:top="1460" w:right="1300" w:bottom="280" w:left="13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drawingGridHorizontalSpacing w:val="110"/>
  <w:displayHorizontalDrawingGridEvery w:val="0"/>
  <w:displayVerticalDrawingGridEvery w:val="2"/>
  <w:characterSpacingControl w:val="doNotCompress"/>
  <w:compat>
    <w:balanceSingleByteDoubleByteWidth/>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A6A0C"/>
    <w:rsid w:val="223E6666"/>
    <w:rsid w:val="34CD299A"/>
    <w:rsid w:val="4FD82D2A"/>
    <w:rsid w:val="54E60E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keepNext w:val="0"/>
      <w:keepLines w:val="0"/>
      <w:widowControl w:val="0"/>
      <w:suppressLineNumbers w:val="0"/>
      <w:autoSpaceDE w:val="0"/>
      <w:autoSpaceDN w:val="0"/>
      <w:spacing w:before="3" w:beforeAutospacing="0" w:after="0" w:afterAutospacing="0"/>
      <w:ind w:left="798" w:right="0"/>
      <w:jc w:val="left"/>
      <w:outlineLvl w:val="1"/>
    </w:pPr>
    <w:rPr>
      <w:rFonts w:hint="eastAsia" w:ascii="宋体" w:hAnsi="宋体" w:eastAsia="宋体" w:cs="宋体"/>
      <w:b/>
      <w:kern w:val="0"/>
      <w:sz w:val="48"/>
      <w:szCs w:val="48"/>
      <w:lang w:val="en-US" w:eastAsia="zh-CN" w:bidi="ar"/>
    </w:rPr>
  </w:style>
  <w:style w:type="character" w:default="1" w:styleId="5">
    <w:name w:val="Default Paragraph Font"/>
    <w:semiHidden/>
    <w:unhideWhenUsed/>
    <w:uiPriority w:val="1"/>
  </w:style>
  <w:style w:type="table" w:default="1" w:styleId="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48"/>
      <w:szCs w:val="48"/>
      <w:lang w:val="zh-CN" w:eastAsia="zh-CN" w:bidi="zh-CN"/>
    </w:rPr>
  </w:style>
  <w:style w:type="paragraph" w:styleId="4">
    <w:name w:val="Normal (Web)"/>
    <w:basedOn w:val="1"/>
    <w:qFormat/>
    <w:uiPriority w:val="0"/>
    <w:rPr>
      <w:sz w:val="24"/>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Lines>1</Lines>
  <Paragraphs>1</Paragraphs>
  <TotalTime>9</TotalTime>
  <ScaleCrop>false</ScaleCrop>
  <LinksUpToDate>false</LinksUpToDate>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2019-03-26T10:22:00Z</dcterms:created>
  <dc:creator>微软用户</dc:creator>
  <cp:lastModifiedBy>我很好</cp:lastModifiedBy>
  <dcterms:modified xsi:type="dcterms:W3CDTF">2019-03-26T10:38:42Z</dcterms:modified>
  <dc:title>关于FJ酷路泽小型越野客车（蒙GD9799）</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Office Word 2007</vt:lpwstr>
  </property>
  <property fmtid="{D5CDD505-2E9C-101B-9397-08002B2CF9AE}" pid="4" name="LastSaved">
    <vt:filetime>2019-03-26T00:00:00Z</vt:filetime>
  </property>
  <property fmtid="{D5CDD505-2E9C-101B-9397-08002B2CF9AE}" pid="5" name="KSOProductBuildVer">
    <vt:lpwstr>2052-11.1.0.8013</vt:lpwstr>
  </property>
</Properties>
</file>