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480" w:lineRule="exact"/>
        <w:ind w:left="24" w:leftChars="10" w:right="-48" w:rightChars="-20" w:firstLine="0"/>
        <w:jc w:val="left"/>
        <w:rPr>
          <w:rFonts w:eastAsia="楷体_GB2312"/>
          <w:b/>
          <w:sz w:val="24"/>
          <w:szCs w:val="24"/>
        </w:rPr>
      </w:pPr>
      <w:r>
        <w:rPr>
          <w:rFonts w:hint="eastAsia" w:eastAsia="楷体_GB2312"/>
          <w:b/>
          <w:sz w:val="24"/>
          <w:szCs w:val="24"/>
          <w:lang w:eastAsia="zh-CN"/>
        </w:rPr>
        <w:t>四川省攀枝花市西区人民法院</w:t>
      </w:r>
      <w:r>
        <w:rPr>
          <w:rFonts w:eastAsia="楷体_GB2312"/>
          <w:b/>
          <w:sz w:val="24"/>
          <w:szCs w:val="24"/>
        </w:rPr>
        <w:t>委托的位于</w:t>
      </w:r>
      <w:r>
        <w:rPr>
          <w:rFonts w:hint="eastAsia" w:eastAsia="楷体_GB2312"/>
          <w:b/>
          <w:sz w:val="24"/>
          <w:szCs w:val="24"/>
          <w:lang w:eastAsia="zh-CN"/>
        </w:rPr>
        <w:t>攀枝花市西区春兰巷7号3幢1单元16-3号</w:t>
      </w:r>
      <w:r>
        <w:rPr>
          <w:rFonts w:eastAsia="楷体_GB2312"/>
          <w:b/>
          <w:sz w:val="24"/>
          <w:szCs w:val="24"/>
        </w:rPr>
        <w:t>住宅房地产市场价值估价</w:t>
      </w:r>
    </w:p>
    <w:p>
      <w:pPr>
        <w:pStyle w:val="5"/>
        <w:spacing w:line="480" w:lineRule="exact"/>
        <w:ind w:left="24" w:leftChars="10" w:right="-48" w:rightChars="-20" w:firstLine="0"/>
        <w:rPr>
          <w:rFonts w:hint="eastAsia" w:eastAsia="楷体_GB2312"/>
          <w:b/>
          <w:sz w:val="24"/>
          <w:szCs w:val="24"/>
          <w:lang w:val="en-US" w:eastAsia="zh-CN"/>
        </w:rPr>
      </w:pPr>
      <w:r>
        <w:rPr>
          <w:rFonts w:hint="eastAsia" w:eastAsia="楷体_GB2312"/>
          <w:b/>
          <w:sz w:val="24"/>
          <w:szCs w:val="24"/>
          <w:lang w:val="en-US" w:eastAsia="zh-CN"/>
        </w:rPr>
        <w:t>博文房估字（2018）第32145号</w:t>
      </w:r>
    </w:p>
    <w:p>
      <w:pPr>
        <w:pStyle w:val="5"/>
        <w:spacing w:line="480" w:lineRule="exact"/>
        <w:ind w:left="24" w:leftChars="10" w:right="-48" w:rightChars="-20" w:firstLine="0"/>
        <w:rPr>
          <w:rFonts w:hint="eastAsia" w:eastAsia="楷体_GB2312"/>
          <w:b/>
          <w:sz w:val="24"/>
          <w:szCs w:val="24"/>
          <w:lang w:eastAsia="zh-CN"/>
        </w:rPr>
      </w:pPr>
      <w:r>
        <w:rPr>
          <w:rFonts w:eastAsia="楷体_GB2312"/>
          <w:b/>
          <w:sz w:val="24"/>
          <w:szCs w:val="24"/>
        </w:rPr>
        <w:t>司法鉴定（评估）委托书号：</w:t>
      </w:r>
      <w:r>
        <w:rPr>
          <w:rFonts w:hint="eastAsia" w:eastAsia="楷体_GB2312"/>
          <w:b/>
          <w:sz w:val="24"/>
          <w:szCs w:val="24"/>
          <w:lang w:eastAsia="zh-CN"/>
        </w:rPr>
        <w:t>（2018）西区法技委字第44号</w:t>
      </w:r>
    </w:p>
    <w:p>
      <w:pPr>
        <w:tabs>
          <w:tab w:val="left" w:pos="540"/>
        </w:tabs>
        <w:snapToGrid w:val="0"/>
        <w:spacing w:line="800" w:lineRule="exact"/>
        <w:rPr>
          <w:rFonts w:eastAsia="宋体"/>
          <w:b/>
          <w:snapToGrid w:val="0"/>
          <w:kern w:val="0"/>
          <w:sz w:val="44"/>
          <w:szCs w:val="44"/>
        </w:rPr>
      </w:pPr>
    </w:p>
    <w:p>
      <w:pPr>
        <w:tabs>
          <w:tab w:val="left" w:pos="540"/>
        </w:tabs>
        <w:snapToGrid w:val="0"/>
        <w:spacing w:line="800" w:lineRule="exact"/>
        <w:ind w:firstLine="741" w:firstLineChars="142"/>
        <w:jc w:val="center"/>
        <w:rPr>
          <w:rFonts w:eastAsia="楷体_GB2312"/>
          <w:b/>
          <w:bCs/>
          <w:sz w:val="52"/>
          <w:szCs w:val="52"/>
        </w:rPr>
      </w:pPr>
    </w:p>
    <w:p>
      <w:pPr>
        <w:tabs>
          <w:tab w:val="left" w:pos="540"/>
        </w:tabs>
        <w:snapToGrid w:val="0"/>
        <w:spacing w:line="800" w:lineRule="exact"/>
        <w:ind w:firstLine="1044" w:firstLineChars="200"/>
        <w:rPr>
          <w:rFonts w:eastAsia="楷体_GB2312"/>
          <w:b/>
          <w:bCs/>
          <w:sz w:val="52"/>
          <w:szCs w:val="52"/>
        </w:rPr>
      </w:pPr>
    </w:p>
    <w:p>
      <w:pPr>
        <w:tabs>
          <w:tab w:val="left" w:pos="540"/>
        </w:tabs>
        <w:snapToGrid w:val="0"/>
        <w:spacing w:line="800" w:lineRule="exact"/>
        <w:ind w:firstLine="1044" w:firstLineChars="200"/>
        <w:rPr>
          <w:rFonts w:eastAsia="楷体_GB2312"/>
          <w:b/>
          <w:bCs/>
          <w:sz w:val="52"/>
          <w:szCs w:val="52"/>
        </w:rPr>
      </w:pPr>
    </w:p>
    <w:p>
      <w:pPr>
        <w:tabs>
          <w:tab w:val="left" w:pos="540"/>
        </w:tabs>
        <w:snapToGrid w:val="0"/>
        <w:spacing w:line="800" w:lineRule="exact"/>
        <w:ind w:firstLine="1044" w:firstLineChars="200"/>
        <w:rPr>
          <w:rFonts w:eastAsia="宋体"/>
          <w:b/>
          <w:snapToGrid w:val="0"/>
          <w:kern w:val="0"/>
          <w:sz w:val="44"/>
          <w:szCs w:val="44"/>
        </w:rPr>
      </w:pPr>
      <w:r>
        <w:rPr>
          <w:rFonts w:eastAsia="楷体_GB2312"/>
          <w:b/>
          <w:bCs/>
          <w:sz w:val="52"/>
          <w:szCs w:val="52"/>
        </w:rPr>
        <w:t>房地产司法鉴定估价报告</w:t>
      </w:r>
    </w:p>
    <w:p>
      <w:pPr>
        <w:adjustRightInd w:val="0"/>
        <w:snapToGrid w:val="0"/>
        <w:spacing w:line="420" w:lineRule="exact"/>
        <w:ind w:left="1234" w:leftChars="514" w:right="439" w:rightChars="183"/>
        <w:rPr>
          <w:rFonts w:eastAsia="宋体"/>
          <w:snapToGrid w:val="0"/>
          <w:kern w:val="0"/>
          <w:szCs w:val="24"/>
        </w:rPr>
      </w:pPr>
    </w:p>
    <w:p>
      <w:pPr>
        <w:adjustRightInd w:val="0"/>
        <w:snapToGrid w:val="0"/>
        <w:spacing w:line="420" w:lineRule="exact"/>
        <w:ind w:left="1234" w:leftChars="514" w:right="439" w:rightChars="183"/>
        <w:rPr>
          <w:rFonts w:eastAsia="宋体"/>
          <w:snapToGrid w:val="0"/>
          <w:kern w:val="0"/>
          <w:szCs w:val="24"/>
        </w:rPr>
      </w:pPr>
    </w:p>
    <w:p>
      <w:pPr>
        <w:adjustRightInd w:val="0"/>
        <w:snapToGrid w:val="0"/>
        <w:spacing w:line="420" w:lineRule="exact"/>
        <w:ind w:left="1234" w:leftChars="514" w:right="439" w:rightChars="183"/>
        <w:rPr>
          <w:rFonts w:eastAsia="宋体"/>
          <w:snapToGrid w:val="0"/>
          <w:kern w:val="0"/>
          <w:szCs w:val="24"/>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pacing w:line="480" w:lineRule="exact"/>
        <w:ind w:firstLine="1120" w:firstLineChars="400"/>
        <w:rPr>
          <w:sz w:val="28"/>
          <w:szCs w:val="28"/>
        </w:rPr>
      </w:pPr>
    </w:p>
    <w:p>
      <w:pPr>
        <w:adjustRightInd w:val="0"/>
        <w:snapToGrid w:val="0"/>
        <w:spacing w:line="480" w:lineRule="exact"/>
        <w:ind w:left="-240" w:leftChars="-100"/>
        <w:jc w:val="left"/>
        <w:rPr>
          <w:rFonts w:eastAsia="楷体_GB2312"/>
          <w:b/>
          <w:szCs w:val="24"/>
        </w:rPr>
      </w:pPr>
      <w:r>
        <w:rPr>
          <w:rFonts w:eastAsia="楷体_GB2312"/>
          <w:b/>
          <w:szCs w:val="24"/>
        </w:rPr>
        <w:t>博文房地产评估造价集团有限公司</w:t>
      </w:r>
    </w:p>
    <w:p>
      <w:pPr>
        <w:adjustRightInd w:val="0"/>
        <w:snapToGrid w:val="0"/>
        <w:spacing w:line="480" w:lineRule="exact"/>
        <w:ind w:left="-240" w:leftChars="-100"/>
        <w:jc w:val="left"/>
        <w:rPr>
          <w:rFonts w:eastAsia="楷体_GB2312"/>
          <w:b/>
          <w:szCs w:val="24"/>
        </w:rPr>
      </w:pPr>
      <w:r>
        <w:rPr>
          <w:rFonts w:eastAsia="楷体_GB2312"/>
          <w:b/>
          <w:szCs w:val="24"/>
        </w:rPr>
        <w:t xml:space="preserve">何  曼 注册号：5120060117   </w:t>
      </w:r>
    </w:p>
    <w:p>
      <w:pPr>
        <w:adjustRightInd w:val="0"/>
        <w:snapToGrid w:val="0"/>
        <w:spacing w:line="480" w:lineRule="exact"/>
        <w:ind w:left="-240" w:leftChars="-100"/>
        <w:jc w:val="left"/>
        <w:rPr>
          <w:sz w:val="28"/>
          <w:szCs w:val="28"/>
        </w:rPr>
      </w:pPr>
      <w:r>
        <w:rPr>
          <w:rFonts w:eastAsia="楷体_GB2312"/>
          <w:b/>
          <w:szCs w:val="24"/>
        </w:rPr>
        <w:t xml:space="preserve">蒲先秋 注册号：5120160080 </w:t>
      </w:r>
      <w:r>
        <w:rPr>
          <w:sz w:val="28"/>
          <w:szCs w:val="28"/>
        </w:rPr>
        <w:t xml:space="preserve">  </w:t>
      </w:r>
      <w:r>
        <w:rPr>
          <w:rFonts w:eastAsia="楷体"/>
          <w:b/>
          <w:sz w:val="32"/>
        </w:rPr>
        <w:drawing>
          <wp:anchor distT="0" distB="0" distL="114300" distR="114300" simplePos="0" relativeHeight="251661312" behindDoc="0" locked="0" layoutInCell="1" allowOverlap="1">
            <wp:simplePos x="0" y="0"/>
            <wp:positionH relativeFrom="column">
              <wp:posOffset>4610735</wp:posOffset>
            </wp:positionH>
            <wp:positionV relativeFrom="paragraph">
              <wp:posOffset>-248920</wp:posOffset>
            </wp:positionV>
            <wp:extent cx="762000" cy="762000"/>
            <wp:effectExtent l="0" t="0" r="0" b="0"/>
            <wp:wrapNone/>
            <wp:docPr id="13" name="Picture 1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二维码"/>
                    <pic:cNvPicPr>
                      <a:picLocks noChangeAspect="1"/>
                    </pic:cNvPicPr>
                  </pic:nvPicPr>
                  <pic:blipFill>
                    <a:blip r:embed="rId15"/>
                    <a:stretch>
                      <a:fillRect/>
                    </a:stretch>
                  </pic:blipFill>
                  <pic:spPr>
                    <a:xfrm>
                      <a:off x="0" y="0"/>
                      <a:ext cx="762000" cy="762000"/>
                    </a:xfrm>
                    <a:prstGeom prst="rect">
                      <a:avLst/>
                    </a:prstGeom>
                    <a:noFill/>
                    <a:ln w="9525">
                      <a:noFill/>
                      <a:miter/>
                    </a:ln>
                  </pic:spPr>
                </pic:pic>
              </a:graphicData>
            </a:graphic>
          </wp:anchor>
        </w:drawing>
      </w:r>
    </w:p>
    <w:p>
      <w:pPr>
        <w:adjustRightInd w:val="0"/>
        <w:snapToGrid w:val="0"/>
        <w:spacing w:line="480" w:lineRule="exact"/>
        <w:ind w:left="-240" w:leftChars="-100"/>
        <w:jc w:val="left"/>
        <w:rPr>
          <w:rFonts w:hint="eastAsia" w:eastAsia="仿宋_GB2312"/>
          <w:sz w:val="28"/>
          <w:szCs w:val="28"/>
          <w:lang w:eastAsia="zh-CN"/>
        </w:rPr>
      </w:pPr>
      <w:r>
        <w:rPr>
          <w:rFonts w:hint="eastAsia" w:eastAsia="楷体"/>
          <w:b/>
          <w:szCs w:val="24"/>
          <w:lang w:eastAsia="zh-CN"/>
        </w:rPr>
        <w:t>2018年12月</w:t>
      </w:r>
      <w:r>
        <w:rPr>
          <w:rFonts w:hint="eastAsia" w:eastAsia="楷体"/>
          <w:b/>
          <w:szCs w:val="24"/>
          <w:lang w:val="en-US" w:eastAsia="zh-CN"/>
        </w:rPr>
        <w:t>24</w:t>
      </w:r>
      <w:r>
        <w:rPr>
          <w:rFonts w:hint="eastAsia" w:eastAsia="楷体"/>
          <w:b/>
          <w:szCs w:val="24"/>
          <w:lang w:eastAsia="zh-CN"/>
        </w:rPr>
        <w:t>日</w:t>
      </w:r>
    </w:p>
    <w:p>
      <w:pPr>
        <w:spacing w:line="720" w:lineRule="auto"/>
        <w:jc w:val="center"/>
        <w:rPr>
          <w:rFonts w:eastAsia="楷体"/>
          <w:b/>
          <w:szCs w:val="24"/>
        </w:rPr>
      </w:pPr>
    </w:p>
    <w:p>
      <w:pPr>
        <w:spacing w:line="720" w:lineRule="auto"/>
        <w:jc w:val="center"/>
        <w:rPr>
          <w:rFonts w:eastAsia="楷体_GB2312"/>
          <w:b/>
          <w:sz w:val="44"/>
          <w:szCs w:val="44"/>
        </w:rPr>
      </w:pPr>
      <w:r>
        <w:rPr>
          <w:rFonts w:eastAsia="楷体_GB2312"/>
          <w:b/>
          <w:sz w:val="44"/>
          <w:szCs w:val="44"/>
        </w:rPr>
        <w:t>致估价委托人函</w:t>
      </w:r>
    </w:p>
    <w:p>
      <w:pPr>
        <w:pStyle w:val="18"/>
        <w:spacing w:line="440" w:lineRule="exact"/>
        <w:rPr>
          <w:rFonts w:ascii="Times New Roman" w:hAnsi="Times New Roman" w:eastAsia="楷体_GB2312"/>
          <w:b/>
          <w:sz w:val="28"/>
          <w:szCs w:val="28"/>
        </w:rPr>
      </w:pPr>
      <w:r>
        <w:rPr>
          <w:rFonts w:hint="eastAsia" w:ascii="Times New Roman" w:hAnsi="Times New Roman" w:eastAsia="楷体_GB2312"/>
          <w:b/>
          <w:sz w:val="28"/>
          <w:szCs w:val="28"/>
          <w:lang w:eastAsia="zh-CN"/>
        </w:rPr>
        <w:t>四川省攀枝花市西区人民法院</w:t>
      </w:r>
      <w:r>
        <w:rPr>
          <w:rFonts w:ascii="Times New Roman" w:hAnsi="Times New Roman" w:eastAsia="楷体_GB2312"/>
          <w:b/>
          <w:sz w:val="28"/>
          <w:szCs w:val="28"/>
        </w:rPr>
        <w:t>：</w:t>
      </w:r>
    </w:p>
    <w:p>
      <w:pPr>
        <w:adjustRightInd w:val="0"/>
        <w:spacing w:line="480" w:lineRule="exact"/>
        <w:ind w:firstLine="560" w:firstLineChars="200"/>
        <w:rPr>
          <w:sz w:val="28"/>
          <w:szCs w:val="28"/>
        </w:rPr>
      </w:pPr>
      <w:r>
        <w:rPr>
          <w:sz w:val="28"/>
          <w:szCs w:val="28"/>
        </w:rPr>
        <w:t>受贵院委托，我公司成立以注册房地产估价师</w:t>
      </w:r>
      <w:r>
        <w:rPr>
          <w:rFonts w:hint="eastAsia"/>
          <w:sz w:val="28"/>
          <w:szCs w:val="28"/>
        </w:rPr>
        <w:t>何曼</w:t>
      </w:r>
      <w:r>
        <w:rPr>
          <w:sz w:val="28"/>
          <w:szCs w:val="28"/>
        </w:rPr>
        <w:t>为项目负责人的估价小组，依据现行法律、法规、政策、技术标准、估价委托人提供的资料和陈述的有关情况，经过实地查勘和市场调查，根据估价目的，遵循估价原则，按照估价程序，在充分考虑影响住宅房地产价值的各项因素的基础上，对位于</w:t>
      </w:r>
      <w:r>
        <w:rPr>
          <w:rFonts w:hint="eastAsia"/>
          <w:sz w:val="28"/>
          <w:szCs w:val="28"/>
          <w:lang w:eastAsia="zh-CN"/>
        </w:rPr>
        <w:t>攀枝花市西区春兰巷7号3幢1单元16-3号</w:t>
      </w:r>
      <w:r>
        <w:rPr>
          <w:sz w:val="28"/>
          <w:szCs w:val="28"/>
        </w:rPr>
        <w:t>住宅房地产于现状利用条件下的市场价值进行鉴定估价。</w:t>
      </w:r>
    </w:p>
    <w:p>
      <w:pPr>
        <w:pStyle w:val="8"/>
        <w:spacing w:line="480" w:lineRule="exact"/>
        <w:ind w:firstLine="560" w:firstLineChars="200"/>
        <w:rPr>
          <w:sz w:val="28"/>
          <w:szCs w:val="28"/>
        </w:rPr>
      </w:pPr>
      <w:r>
        <w:rPr>
          <w:sz w:val="28"/>
          <w:szCs w:val="28"/>
        </w:rPr>
        <w:t>1、估价目的：</w:t>
      </w:r>
      <w:r>
        <w:rPr>
          <w:rFonts w:hint="eastAsia"/>
          <w:sz w:val="28"/>
          <w:szCs w:val="28"/>
        </w:rPr>
        <w:t>为司法拍卖（变卖）提供房地产市场价值参考依据。</w:t>
      </w:r>
    </w:p>
    <w:p>
      <w:pPr>
        <w:adjustRightInd w:val="0"/>
        <w:spacing w:line="480" w:lineRule="exact"/>
        <w:ind w:firstLine="560" w:firstLineChars="200"/>
        <w:rPr>
          <w:sz w:val="28"/>
          <w:szCs w:val="28"/>
        </w:rPr>
      </w:pPr>
      <w:r>
        <w:rPr>
          <w:sz w:val="28"/>
          <w:szCs w:val="28"/>
        </w:rPr>
        <w:t>2、本次估价对</w:t>
      </w:r>
      <w:r>
        <w:rPr>
          <w:rFonts w:hint="eastAsia"/>
          <w:sz w:val="28"/>
          <w:szCs w:val="28"/>
        </w:rPr>
        <w:t>象</w:t>
      </w:r>
      <w:r>
        <w:rPr>
          <w:sz w:val="28"/>
          <w:szCs w:val="28"/>
        </w:rPr>
        <w:t>位于</w:t>
      </w:r>
      <w:r>
        <w:rPr>
          <w:rFonts w:hint="eastAsia"/>
          <w:sz w:val="28"/>
          <w:szCs w:val="28"/>
          <w:lang w:eastAsia="zh-CN"/>
        </w:rPr>
        <w:t>攀枝花市西区春兰巷7号3幢1单元16-3号</w:t>
      </w:r>
      <w:r>
        <w:rPr>
          <w:sz w:val="28"/>
          <w:szCs w:val="28"/>
        </w:rPr>
        <w:t>住宅房地产</w:t>
      </w:r>
      <w:r>
        <w:rPr>
          <w:rFonts w:hint="eastAsia"/>
          <w:sz w:val="28"/>
          <w:szCs w:val="28"/>
          <w:lang w:eastAsia="zh-CN"/>
        </w:rPr>
        <w:t>。</w:t>
      </w:r>
      <w:r>
        <w:rPr>
          <w:sz w:val="28"/>
          <w:szCs w:val="28"/>
        </w:rPr>
        <w:t>房屋所有权人为</w:t>
      </w:r>
      <w:r>
        <w:rPr>
          <w:rFonts w:hint="eastAsia"/>
          <w:sz w:val="28"/>
          <w:szCs w:val="28"/>
          <w:lang w:eastAsia="zh-CN"/>
        </w:rPr>
        <w:t>李昱，</w:t>
      </w:r>
      <w:r>
        <w:rPr>
          <w:rFonts w:hint="eastAsia"/>
          <w:sz w:val="28"/>
          <w:szCs w:val="28"/>
          <w:lang w:val="en-US" w:eastAsia="zh-CN"/>
        </w:rPr>
        <w:t>钢混</w:t>
      </w:r>
      <w:r>
        <w:rPr>
          <w:rFonts w:hint="eastAsia"/>
          <w:sz w:val="28"/>
          <w:szCs w:val="28"/>
        </w:rPr>
        <w:t>结构</w:t>
      </w:r>
      <w:r>
        <w:rPr>
          <w:sz w:val="28"/>
          <w:szCs w:val="28"/>
        </w:rPr>
        <w:t>，建成于20</w:t>
      </w:r>
      <w:r>
        <w:rPr>
          <w:rFonts w:hint="eastAsia"/>
          <w:sz w:val="28"/>
          <w:szCs w:val="28"/>
          <w:lang w:val="en-US" w:eastAsia="zh-CN"/>
        </w:rPr>
        <w:t>12</w:t>
      </w:r>
      <w:r>
        <w:rPr>
          <w:sz w:val="28"/>
          <w:szCs w:val="28"/>
        </w:rPr>
        <w:t>年</w:t>
      </w:r>
      <w:r>
        <w:rPr>
          <w:rFonts w:hint="eastAsia"/>
          <w:sz w:val="28"/>
          <w:szCs w:val="28"/>
          <w:lang w:eastAsia="zh-CN"/>
        </w:rPr>
        <w:t>，</w:t>
      </w:r>
      <w:r>
        <w:rPr>
          <w:rFonts w:hint="eastAsia"/>
          <w:sz w:val="28"/>
          <w:szCs w:val="28"/>
        </w:rPr>
        <w:t>《</w:t>
      </w:r>
      <w:r>
        <w:rPr>
          <w:rFonts w:hint="eastAsia"/>
          <w:sz w:val="28"/>
          <w:szCs w:val="28"/>
          <w:lang w:eastAsia="zh-CN"/>
        </w:rPr>
        <w:t>不动产权证书</w:t>
      </w:r>
      <w:r>
        <w:rPr>
          <w:rFonts w:hint="eastAsia"/>
          <w:sz w:val="28"/>
          <w:szCs w:val="28"/>
        </w:rPr>
        <w:t>》证号</w:t>
      </w:r>
      <w:r>
        <w:rPr>
          <w:rFonts w:hint="eastAsia"/>
          <w:sz w:val="28"/>
          <w:szCs w:val="28"/>
          <w:lang w:val="en-US" w:eastAsia="zh-CN"/>
        </w:rPr>
        <w:t>川（2017）攀枝花市不动产权第0014333</w:t>
      </w:r>
      <w:r>
        <w:rPr>
          <w:rFonts w:hint="eastAsia"/>
          <w:color w:val="0000FF"/>
          <w:sz w:val="28"/>
          <w:szCs w:val="28"/>
          <w:lang w:val="en-US" w:eastAsia="zh-CN"/>
        </w:rPr>
        <w:t>号</w:t>
      </w:r>
      <w:r>
        <w:rPr>
          <w:rFonts w:hint="eastAsia"/>
          <w:sz w:val="28"/>
          <w:szCs w:val="28"/>
        </w:rPr>
        <w:t>，</w:t>
      </w:r>
      <w:r>
        <w:rPr>
          <w:sz w:val="28"/>
          <w:szCs w:val="28"/>
        </w:rPr>
        <w:t>建筑面积</w:t>
      </w:r>
      <w:r>
        <w:rPr>
          <w:rFonts w:hint="eastAsia"/>
          <w:sz w:val="28"/>
          <w:szCs w:val="28"/>
          <w:lang w:val="en-US" w:eastAsia="zh-CN"/>
        </w:rPr>
        <w:t>99.75</w:t>
      </w:r>
      <w:r>
        <w:rPr>
          <w:rFonts w:hint="eastAsia"/>
          <w:sz w:val="28"/>
          <w:szCs w:val="28"/>
          <w:lang w:eastAsia="zh-CN"/>
        </w:rPr>
        <w:t>㎡</w:t>
      </w:r>
      <w:r>
        <w:rPr>
          <w:rFonts w:hint="eastAsia"/>
          <w:sz w:val="28"/>
          <w:szCs w:val="28"/>
        </w:rPr>
        <w:t>，土地面积</w:t>
      </w:r>
      <w:r>
        <w:rPr>
          <w:rFonts w:hint="eastAsia"/>
          <w:sz w:val="28"/>
          <w:szCs w:val="28"/>
          <w:lang w:val="en-US" w:eastAsia="zh-CN"/>
        </w:rPr>
        <w:t>11.07</w:t>
      </w:r>
      <w:r>
        <w:rPr>
          <w:rFonts w:hint="eastAsia"/>
          <w:sz w:val="28"/>
          <w:szCs w:val="28"/>
        </w:rPr>
        <w:t>㎡</w:t>
      </w:r>
      <w:r>
        <w:rPr>
          <w:rFonts w:hint="eastAsia"/>
          <w:sz w:val="28"/>
          <w:szCs w:val="28"/>
          <w:lang w:eastAsia="zh-CN"/>
        </w:rPr>
        <w:t>，</w:t>
      </w:r>
      <w:r>
        <w:rPr>
          <w:sz w:val="28"/>
          <w:szCs w:val="28"/>
        </w:rPr>
        <w:t>列入本次估价范围的是房屋、分摊相应土地使用权和必要的设备设施、以及按二手房交易市场通常应当包含的装饰装修价值，不包括</w:t>
      </w:r>
      <w:r>
        <w:rPr>
          <w:rFonts w:hint="eastAsia"/>
          <w:sz w:val="28"/>
          <w:szCs w:val="28"/>
        </w:rPr>
        <w:t>动产、构筑物、树木等，以及</w:t>
      </w:r>
      <w:r>
        <w:rPr>
          <w:sz w:val="28"/>
          <w:szCs w:val="28"/>
        </w:rPr>
        <w:t>债权债务、特许经营权等其他财产或权益。</w:t>
      </w:r>
    </w:p>
    <w:p>
      <w:pPr>
        <w:adjustRightInd w:val="0"/>
        <w:spacing w:line="460" w:lineRule="exact"/>
        <w:ind w:firstLine="560" w:firstLineChars="200"/>
        <w:rPr>
          <w:sz w:val="28"/>
          <w:szCs w:val="28"/>
        </w:rPr>
      </w:pPr>
      <w:r>
        <w:rPr>
          <w:sz w:val="28"/>
          <w:szCs w:val="28"/>
        </w:rPr>
        <w:t>3、价值时点：</w:t>
      </w:r>
      <w:r>
        <w:rPr>
          <w:rFonts w:hint="eastAsia"/>
          <w:sz w:val="28"/>
          <w:szCs w:val="28"/>
          <w:lang w:eastAsia="zh-CN"/>
        </w:rPr>
        <w:t>2018年12月5日</w:t>
      </w:r>
      <w:r>
        <w:rPr>
          <w:sz w:val="28"/>
          <w:szCs w:val="28"/>
        </w:rPr>
        <w:t>。</w:t>
      </w:r>
    </w:p>
    <w:p>
      <w:pPr>
        <w:adjustRightInd w:val="0"/>
        <w:spacing w:line="460" w:lineRule="exact"/>
        <w:ind w:firstLine="560" w:firstLineChars="200"/>
        <w:rPr>
          <w:sz w:val="28"/>
          <w:szCs w:val="28"/>
        </w:rPr>
      </w:pPr>
      <w:r>
        <w:rPr>
          <w:sz w:val="28"/>
          <w:szCs w:val="28"/>
        </w:rPr>
        <w:t>4、价值类型：市场价值，</w:t>
      </w:r>
      <w:r>
        <w:rPr>
          <w:rFonts w:hint="eastAsia"/>
          <w:sz w:val="28"/>
          <w:szCs w:val="28"/>
        </w:rPr>
        <w:t>不考虑房地产交易税费及税费的转移负担</w:t>
      </w:r>
      <w:r>
        <w:rPr>
          <w:sz w:val="28"/>
          <w:szCs w:val="28"/>
        </w:rPr>
        <w:t>。</w:t>
      </w:r>
    </w:p>
    <w:p>
      <w:pPr>
        <w:adjustRightInd w:val="0"/>
        <w:spacing w:line="460" w:lineRule="exact"/>
        <w:ind w:firstLine="560" w:firstLineChars="200"/>
        <w:rPr>
          <w:sz w:val="28"/>
          <w:szCs w:val="28"/>
        </w:rPr>
      </w:pPr>
      <w:r>
        <w:rPr>
          <w:sz w:val="28"/>
          <w:szCs w:val="28"/>
        </w:rPr>
        <w:t>5、估价方法：比较法</w:t>
      </w:r>
    </w:p>
    <w:p>
      <w:pPr>
        <w:adjustRightInd w:val="0"/>
        <w:spacing w:line="460" w:lineRule="exact"/>
        <w:ind w:firstLine="560" w:firstLineChars="200"/>
        <w:rPr>
          <w:sz w:val="28"/>
          <w:szCs w:val="28"/>
        </w:rPr>
      </w:pPr>
      <w:r>
        <w:rPr>
          <w:sz w:val="28"/>
          <w:szCs w:val="28"/>
        </w:rPr>
        <w:t>6、估价结果：估价人员进行周密的计算、分析、测算和判断，确定估价对象在价值时点满足本报告“估价假设和限制条件”下的估价结果为：</w:t>
      </w:r>
    </w:p>
    <w:p>
      <w:pPr>
        <w:adjustRightInd w:val="0"/>
        <w:spacing w:line="480" w:lineRule="exact"/>
        <w:ind w:firstLine="562" w:firstLineChars="200"/>
        <w:rPr>
          <w:b/>
          <w:bCs/>
          <w:sz w:val="28"/>
          <w:szCs w:val="28"/>
        </w:rPr>
      </w:pPr>
      <w:r>
        <w:rPr>
          <w:b/>
          <w:bCs/>
          <w:sz w:val="28"/>
          <w:szCs w:val="28"/>
        </w:rPr>
        <w:t>单价：</w:t>
      </w:r>
      <w:r>
        <w:rPr>
          <w:rFonts w:hint="eastAsia"/>
          <w:b/>
          <w:bCs/>
          <w:sz w:val="28"/>
          <w:szCs w:val="28"/>
          <w:lang w:val="en-US" w:eastAsia="zh-CN"/>
        </w:rPr>
        <w:t>3508</w:t>
      </w:r>
      <w:r>
        <w:rPr>
          <w:b/>
          <w:bCs/>
          <w:sz w:val="28"/>
          <w:szCs w:val="28"/>
        </w:rPr>
        <w:t>元</w:t>
      </w:r>
      <w:r>
        <w:rPr>
          <w:b/>
          <w:bCs/>
        </w:rPr>
        <w:t>/</w:t>
      </w:r>
      <w:r>
        <w:rPr>
          <w:rFonts w:eastAsia="宋体"/>
          <w:b/>
          <w:bCs/>
        </w:rPr>
        <w:t>㎡</w:t>
      </w:r>
    </w:p>
    <w:p>
      <w:pPr>
        <w:adjustRightInd w:val="0"/>
        <w:spacing w:line="480" w:lineRule="exact"/>
        <w:ind w:firstLine="562" w:firstLineChars="200"/>
        <w:rPr>
          <w:b/>
          <w:bCs/>
          <w:sz w:val="28"/>
          <w:szCs w:val="28"/>
        </w:rPr>
      </w:pPr>
      <w:r>
        <w:rPr>
          <w:b/>
          <w:bCs/>
          <w:sz w:val="28"/>
          <w:szCs w:val="28"/>
        </w:rPr>
        <w:t>总价：</w:t>
      </w:r>
      <w:r>
        <w:rPr>
          <w:rFonts w:hint="eastAsia"/>
          <w:b/>
          <w:bCs/>
          <w:sz w:val="28"/>
          <w:szCs w:val="28"/>
        </w:rPr>
        <w:t>RMB</w:t>
      </w:r>
      <w:r>
        <w:rPr>
          <w:rFonts w:hint="eastAsia"/>
          <w:b/>
          <w:bCs/>
          <w:sz w:val="28"/>
          <w:szCs w:val="28"/>
          <w:lang w:val="en-US" w:eastAsia="zh-CN"/>
        </w:rPr>
        <w:t>34.99</w:t>
      </w:r>
      <w:r>
        <w:rPr>
          <w:rFonts w:hint="eastAsia"/>
          <w:b/>
          <w:bCs/>
          <w:sz w:val="28"/>
          <w:szCs w:val="28"/>
        </w:rPr>
        <w:t>万元</w:t>
      </w:r>
    </w:p>
    <w:p>
      <w:pPr>
        <w:adjustRightInd w:val="0"/>
        <w:spacing w:line="480" w:lineRule="exact"/>
        <w:ind w:firstLine="562" w:firstLineChars="200"/>
        <w:rPr>
          <w:rFonts w:hint="eastAsia" w:eastAsia="仿宋_GB2312"/>
          <w:b/>
          <w:bCs/>
          <w:sz w:val="28"/>
          <w:szCs w:val="28"/>
          <w:lang w:eastAsia="zh-CN"/>
        </w:rPr>
      </w:pPr>
      <w:r>
        <w:rPr>
          <w:b/>
          <w:bCs/>
          <w:sz w:val="28"/>
          <w:szCs w:val="28"/>
        </w:rPr>
        <w:t>大写：</w:t>
      </w:r>
      <w:r>
        <w:rPr>
          <w:rFonts w:hint="eastAsia"/>
          <w:b/>
          <w:bCs/>
          <w:sz w:val="28"/>
          <w:szCs w:val="28"/>
          <w:lang w:eastAsia="zh-CN"/>
        </w:rPr>
        <w:t>人民币叁拾肆万玖仟玖佰元整</w:t>
      </w:r>
    </w:p>
    <w:p>
      <w:pPr>
        <w:adjustRightInd w:val="0"/>
        <w:spacing w:line="480" w:lineRule="exact"/>
        <w:ind w:firstLine="560" w:firstLineChars="200"/>
        <w:rPr>
          <w:sz w:val="28"/>
          <w:szCs w:val="28"/>
        </w:rPr>
      </w:pPr>
      <w:r>
        <w:rPr>
          <w:sz w:val="28"/>
          <w:szCs w:val="28"/>
        </w:rPr>
        <w:t>7、特别提示：（1）报告使用人在使用本估价报告之前须对报告全文，特别是“估价假设和限制条件”认真阅读，以免使用不当，造成损失。</w:t>
      </w:r>
    </w:p>
    <w:p>
      <w:pPr>
        <w:adjustRightInd w:val="0"/>
        <w:spacing w:line="480" w:lineRule="exact"/>
        <w:rPr>
          <w:sz w:val="28"/>
          <w:szCs w:val="28"/>
        </w:rPr>
      </w:pPr>
      <w:r>
        <w:rPr>
          <w:sz w:val="28"/>
          <w:szCs w:val="28"/>
        </w:rPr>
        <w:t xml:space="preserve">   （2）本估价报告使用期限为壹年，自估价报告出具之日</w:t>
      </w:r>
      <w:r>
        <w:rPr>
          <w:rFonts w:hint="eastAsia"/>
          <w:sz w:val="28"/>
          <w:szCs w:val="28"/>
          <w:lang w:eastAsia="zh-CN"/>
        </w:rPr>
        <w:t>2018年12月</w:t>
      </w:r>
      <w:r>
        <w:rPr>
          <w:rFonts w:hint="eastAsia"/>
          <w:sz w:val="28"/>
          <w:szCs w:val="28"/>
          <w:lang w:val="en-US" w:eastAsia="zh-CN"/>
        </w:rPr>
        <w:t>24</w:t>
      </w:r>
      <w:r>
        <w:rPr>
          <w:rFonts w:hint="eastAsia"/>
          <w:sz w:val="28"/>
          <w:szCs w:val="28"/>
          <w:lang w:eastAsia="zh-CN"/>
        </w:rPr>
        <w:t>日</w:t>
      </w:r>
      <w:r>
        <w:rPr>
          <w:sz w:val="28"/>
          <w:szCs w:val="28"/>
        </w:rPr>
        <w:t>至2019年</w:t>
      </w:r>
      <w:r>
        <w:rPr>
          <w:rFonts w:hint="eastAsia"/>
          <w:sz w:val="28"/>
          <w:szCs w:val="28"/>
        </w:rPr>
        <w:t>1</w:t>
      </w:r>
      <w:r>
        <w:rPr>
          <w:rFonts w:hint="eastAsia"/>
          <w:sz w:val="28"/>
          <w:szCs w:val="28"/>
          <w:lang w:val="en-US" w:eastAsia="zh-CN"/>
        </w:rPr>
        <w:t>2</w:t>
      </w:r>
      <w:r>
        <w:rPr>
          <w:rFonts w:hint="eastAsia"/>
          <w:sz w:val="28"/>
          <w:szCs w:val="28"/>
        </w:rPr>
        <w:t>月</w:t>
      </w:r>
      <w:r>
        <w:rPr>
          <w:rFonts w:hint="eastAsia"/>
          <w:sz w:val="28"/>
          <w:szCs w:val="28"/>
          <w:lang w:val="en-US" w:eastAsia="zh-CN"/>
        </w:rPr>
        <w:t>23</w:t>
      </w:r>
      <w:r>
        <w:rPr>
          <w:rFonts w:hint="eastAsia"/>
          <w:sz w:val="28"/>
          <w:szCs w:val="28"/>
        </w:rPr>
        <w:t>日</w:t>
      </w:r>
      <w:r>
        <w:rPr>
          <w:sz w:val="28"/>
          <w:szCs w:val="28"/>
        </w:rPr>
        <w:t>止。</w:t>
      </w:r>
    </w:p>
    <w:p>
      <w:pPr>
        <w:adjustRightInd w:val="0"/>
        <w:spacing w:line="480" w:lineRule="exact"/>
        <w:rPr>
          <w:szCs w:val="28"/>
        </w:rPr>
      </w:pPr>
      <w:r>
        <w:rPr>
          <w:sz w:val="28"/>
          <w:szCs w:val="28"/>
        </w:rPr>
        <w:t xml:space="preserve">    此函</w:t>
      </w:r>
    </w:p>
    <w:p>
      <w:pPr>
        <w:pStyle w:val="5"/>
        <w:spacing w:line="440" w:lineRule="exact"/>
        <w:rPr>
          <w:rFonts w:eastAsia="仿宋_GB2312"/>
          <w:szCs w:val="28"/>
        </w:rPr>
      </w:pPr>
    </w:p>
    <w:p>
      <w:pPr>
        <w:pStyle w:val="5"/>
        <w:spacing w:line="440" w:lineRule="exact"/>
        <w:ind w:firstLine="2945" w:firstLineChars="1052"/>
        <w:rPr>
          <w:rFonts w:eastAsia="仿宋_GB2312"/>
          <w:szCs w:val="28"/>
        </w:rPr>
      </w:pPr>
    </w:p>
    <w:p>
      <w:pPr>
        <w:pStyle w:val="5"/>
        <w:spacing w:line="440" w:lineRule="exact"/>
        <w:ind w:firstLine="2520" w:firstLineChars="900"/>
        <w:rPr>
          <w:rFonts w:eastAsia="仿宋_GB2312"/>
        </w:rPr>
      </w:pPr>
      <w:r>
        <w:rPr>
          <w:rFonts w:eastAsia="仿宋_GB2312"/>
          <w:szCs w:val="28"/>
        </w:rPr>
        <w:t>法定代表人：</w:t>
      </w:r>
    </w:p>
    <w:p>
      <w:pPr>
        <w:pStyle w:val="5"/>
        <w:spacing w:line="440" w:lineRule="exact"/>
        <w:ind w:firstLine="5040" w:firstLineChars="1800"/>
        <w:rPr>
          <w:rFonts w:eastAsia="仿宋_GB2312"/>
        </w:rPr>
      </w:pPr>
    </w:p>
    <w:p>
      <w:pPr>
        <w:spacing w:before="163" w:beforeLines="50" w:line="440" w:lineRule="exact"/>
        <w:ind w:left="1430" w:leftChars="596" w:right="-29" w:rightChars="-12" w:firstLine="2987" w:firstLineChars="1067"/>
        <w:jc w:val="right"/>
        <w:rPr>
          <w:sz w:val="28"/>
          <w:szCs w:val="28"/>
        </w:rPr>
      </w:pPr>
      <w:bookmarkStart w:id="0" w:name="_Toc218927563"/>
      <w:bookmarkStart w:id="1" w:name="_Toc375038492"/>
      <w:bookmarkStart w:id="2" w:name="_Toc218927466"/>
      <w:r>
        <w:rPr>
          <w:sz w:val="28"/>
          <w:szCs w:val="28"/>
        </w:rPr>
        <w:t>二〇一八年</w:t>
      </w:r>
      <w:r>
        <w:rPr>
          <w:rFonts w:hint="eastAsia"/>
          <w:sz w:val="28"/>
          <w:szCs w:val="28"/>
        </w:rPr>
        <w:t>十</w:t>
      </w:r>
      <w:r>
        <w:rPr>
          <w:rFonts w:hint="eastAsia"/>
          <w:sz w:val="28"/>
          <w:szCs w:val="28"/>
          <w:lang w:eastAsia="zh-CN"/>
        </w:rPr>
        <w:t>二</w:t>
      </w:r>
      <w:r>
        <w:rPr>
          <w:sz w:val="28"/>
          <w:szCs w:val="28"/>
        </w:rPr>
        <w:t>月</w:t>
      </w:r>
      <w:r>
        <w:rPr>
          <w:rFonts w:hint="eastAsia"/>
          <w:sz w:val="28"/>
          <w:szCs w:val="28"/>
          <w:lang w:val="en-US" w:eastAsia="zh-CN"/>
        </w:rPr>
        <w:t>二</w:t>
      </w:r>
      <w:r>
        <w:rPr>
          <w:rFonts w:hint="eastAsia"/>
          <w:sz w:val="28"/>
          <w:szCs w:val="28"/>
          <w:lang w:eastAsia="zh-CN"/>
        </w:rPr>
        <w:t>十</w:t>
      </w:r>
      <w:r>
        <w:rPr>
          <w:rFonts w:hint="eastAsia"/>
          <w:sz w:val="28"/>
          <w:szCs w:val="28"/>
          <w:lang w:val="en-US" w:eastAsia="zh-CN"/>
        </w:rPr>
        <w:t>四</w:t>
      </w:r>
      <w:r>
        <w:rPr>
          <w:sz w:val="28"/>
          <w:szCs w:val="28"/>
        </w:rPr>
        <w:t>日</w:t>
      </w:r>
    </w:p>
    <w:p>
      <w:pPr>
        <w:spacing w:line="480" w:lineRule="exact"/>
        <w:rPr>
          <w:sz w:val="28"/>
          <w:szCs w:val="28"/>
        </w:rPr>
      </w:pPr>
    </w:p>
    <w:p>
      <w:pPr>
        <w:tabs>
          <w:tab w:val="left" w:pos="4140"/>
        </w:tabs>
        <w:spacing w:line="240" w:lineRule="auto"/>
        <w:rPr>
          <w:rFonts w:eastAsia="宋体"/>
          <w:sz w:val="21"/>
          <w:szCs w:val="21"/>
        </w:rPr>
      </w:pPr>
      <w:r>
        <w:rPr>
          <w:rFonts w:eastAsia="宋体"/>
          <w:sz w:val="21"/>
          <w:szCs w:val="21"/>
        </w:rPr>
        <w:t>公司地址：成都市金牛区蜀西路46号盛大国际4栋902</w:t>
      </w:r>
    </w:p>
    <w:p>
      <w:pPr>
        <w:tabs>
          <w:tab w:val="left" w:pos="4140"/>
        </w:tabs>
        <w:rPr>
          <w:rFonts w:eastAsia="宋体"/>
          <w:sz w:val="21"/>
          <w:szCs w:val="21"/>
        </w:rPr>
      </w:pPr>
      <w:r>
        <w:rPr>
          <w:rFonts w:eastAsia="宋体"/>
          <w:sz w:val="21"/>
          <w:szCs w:val="21"/>
        </w:rPr>
        <w:t>电    话： 028-87777616       Tel： 028-87777616</w:t>
      </w:r>
    </w:p>
    <w:p>
      <w:pPr>
        <w:tabs>
          <w:tab w:val="left" w:pos="4140"/>
        </w:tabs>
        <w:rPr>
          <w:rFonts w:eastAsia="宋体"/>
          <w:sz w:val="21"/>
          <w:szCs w:val="21"/>
        </w:rPr>
      </w:pPr>
      <w:r>
        <w:rPr>
          <w:rFonts w:eastAsia="宋体"/>
          <w:sz w:val="21"/>
          <w:szCs w:val="21"/>
        </w:rPr>
        <w:t>传    真：  028-87777616       Fax:：028-87777616</w:t>
      </w:r>
    </w:p>
    <w:p>
      <w:pPr>
        <w:tabs>
          <w:tab w:val="left" w:pos="4140"/>
        </w:tabs>
        <w:jc w:val="left"/>
        <w:rPr>
          <w:rFonts w:eastAsia="宋体"/>
          <w:sz w:val="21"/>
          <w:szCs w:val="21"/>
        </w:rPr>
      </w:pPr>
      <w:r>
        <w:rPr>
          <w:rFonts w:eastAsia="宋体"/>
          <w:sz w:val="21"/>
          <w:szCs w:val="21"/>
        </w:rPr>
        <w:t>公司网址：</w:t>
      </w:r>
      <w:r>
        <w:fldChar w:fldCharType="begin"/>
      </w:r>
      <w:r>
        <w:instrText xml:space="preserve"> HYPERLINK "http://www.bwjt-cn.com" </w:instrText>
      </w:r>
      <w:r>
        <w:fldChar w:fldCharType="separate"/>
      </w:r>
      <w:r>
        <w:rPr>
          <w:rFonts w:eastAsia="宋体"/>
          <w:sz w:val="21"/>
          <w:szCs w:val="21"/>
        </w:rPr>
        <w:t>http://www.bwjt-cn.cn</w:t>
      </w:r>
      <w:r>
        <w:rPr>
          <w:rFonts w:eastAsia="宋体"/>
          <w:sz w:val="21"/>
          <w:szCs w:val="21"/>
        </w:rPr>
        <w:fldChar w:fldCharType="end"/>
      </w:r>
      <w:r>
        <w:rPr>
          <w:rFonts w:eastAsia="宋体"/>
          <w:sz w:val="21"/>
          <w:szCs w:val="21"/>
        </w:rPr>
        <w:t xml:space="preserve">    Website:：</w:t>
      </w:r>
      <w:r>
        <w:fldChar w:fldCharType="begin"/>
      </w:r>
      <w:r>
        <w:instrText xml:space="preserve"> HYPERLINK "http://www.bwjt-cn.com" </w:instrText>
      </w:r>
      <w:r>
        <w:fldChar w:fldCharType="separate"/>
      </w:r>
      <w:r>
        <w:rPr>
          <w:rFonts w:eastAsia="宋体"/>
          <w:sz w:val="21"/>
          <w:szCs w:val="21"/>
        </w:rPr>
        <w:t>http://www.bwjt-cn.cn</w:t>
      </w:r>
      <w:r>
        <w:rPr>
          <w:rFonts w:eastAsia="宋体"/>
          <w:sz w:val="21"/>
          <w:szCs w:val="21"/>
        </w:rPr>
        <w:fldChar w:fldCharType="end"/>
      </w:r>
    </w:p>
    <w:p>
      <w:pPr>
        <w:tabs>
          <w:tab w:val="left" w:pos="4140"/>
        </w:tabs>
        <w:rPr>
          <w:rFonts w:eastAsia="宋体"/>
          <w:sz w:val="21"/>
          <w:szCs w:val="21"/>
        </w:rPr>
      </w:pPr>
      <w:r>
        <w:rPr>
          <w:rFonts w:eastAsia="宋体"/>
          <w:sz w:val="21"/>
          <w:szCs w:val="21"/>
        </w:rPr>
        <w:t>电子邮箱：</w:t>
      </w:r>
      <w:r>
        <w:fldChar w:fldCharType="begin"/>
      </w:r>
      <w:r>
        <w:instrText xml:space="preserve"> HYPERLINK "mailto:2110361437@qq.com" </w:instrText>
      </w:r>
      <w:r>
        <w:fldChar w:fldCharType="separate"/>
      </w:r>
      <w:r>
        <w:rPr>
          <w:rFonts w:hint="eastAsia" w:eastAsia="宋体"/>
          <w:sz w:val="21"/>
          <w:szCs w:val="21"/>
        </w:rPr>
        <w:t>1954343740</w:t>
      </w:r>
      <w:r>
        <w:rPr>
          <w:rFonts w:eastAsia="宋体"/>
          <w:sz w:val="21"/>
          <w:szCs w:val="21"/>
        </w:rPr>
        <w:t>@qq.com</w:t>
      </w:r>
      <w:r>
        <w:rPr>
          <w:rFonts w:eastAsia="宋体"/>
          <w:sz w:val="21"/>
          <w:szCs w:val="21"/>
        </w:rPr>
        <w:fldChar w:fldCharType="end"/>
      </w:r>
      <w:r>
        <w:rPr>
          <w:rFonts w:eastAsia="宋体"/>
          <w:sz w:val="21"/>
          <w:szCs w:val="21"/>
        </w:rPr>
        <w:t>E-mail：</w:t>
      </w:r>
      <w:r>
        <w:fldChar w:fldCharType="begin"/>
      </w:r>
      <w:r>
        <w:instrText xml:space="preserve"> HYPERLINK "mailto:2110361437@qq.com" </w:instrText>
      </w:r>
      <w:r>
        <w:fldChar w:fldCharType="separate"/>
      </w:r>
      <w:r>
        <w:rPr>
          <w:rFonts w:hint="eastAsia" w:eastAsia="宋体"/>
          <w:sz w:val="21"/>
          <w:szCs w:val="21"/>
        </w:rPr>
        <w:t>1954343740</w:t>
      </w:r>
      <w:r>
        <w:rPr>
          <w:rFonts w:eastAsia="宋体"/>
          <w:sz w:val="21"/>
          <w:szCs w:val="21"/>
        </w:rPr>
        <w:t>@qq.com</w:t>
      </w:r>
      <w:r>
        <w:rPr>
          <w:rFonts w:eastAsia="宋体"/>
          <w:sz w:val="21"/>
          <w:szCs w:val="21"/>
        </w:rPr>
        <w:fldChar w:fldCharType="end"/>
      </w:r>
    </w:p>
    <w:p>
      <w:pPr>
        <w:tabs>
          <w:tab w:val="left" w:pos="4140"/>
        </w:tabs>
        <w:rPr>
          <w:bCs/>
          <w:sz w:val="28"/>
          <w:szCs w:val="28"/>
        </w:rPr>
      </w:pPr>
      <w:r>
        <w:rPr>
          <w:rFonts w:eastAsia="宋体"/>
          <w:sz w:val="21"/>
          <w:szCs w:val="21"/>
        </w:rPr>
        <w:t>邮    编：610036                           Postalcode：610036</w:t>
      </w:r>
      <w:bookmarkEnd w:id="0"/>
      <w:bookmarkEnd w:id="1"/>
      <w:bookmarkEnd w:id="2"/>
    </w:p>
    <w:p>
      <w:pPr>
        <w:pStyle w:val="17"/>
        <w:sectPr>
          <w:headerReference r:id="rId3" w:type="default"/>
          <w:pgSz w:w="11850" w:h="16783"/>
          <w:pgMar w:top="1440" w:right="1644" w:bottom="1440" w:left="1871" w:header="851" w:footer="992" w:gutter="0"/>
          <w:pgBorders>
            <w:top w:val="none" w:sz="0" w:space="0"/>
            <w:left w:val="none" w:sz="0" w:space="0"/>
            <w:bottom w:val="none" w:sz="0" w:space="0"/>
            <w:right w:val="none" w:sz="0" w:space="0"/>
          </w:pgBorders>
          <w:pgNumType w:start="1"/>
          <w:cols w:space="720" w:num="1"/>
          <w:docGrid w:type="lines" w:linePitch="326" w:charSpace="0"/>
        </w:sectPr>
      </w:pPr>
    </w:p>
    <w:p>
      <w:pPr>
        <w:pStyle w:val="17"/>
        <w:tabs>
          <w:tab w:val="right" w:leader="dot" w:pos="8409"/>
        </w:tabs>
        <w:jc w:val="center"/>
        <w:rPr>
          <w:b/>
          <w:szCs w:val="21"/>
        </w:rPr>
      </w:pPr>
      <w:r>
        <w:rPr>
          <w:b/>
          <w:sz w:val="28"/>
          <w:szCs w:val="28"/>
        </w:rPr>
        <w:t>目  录</w:t>
      </w:r>
    </w:p>
    <w:p>
      <w:pPr>
        <w:pStyle w:val="30"/>
        <w:tabs>
          <w:tab w:val="right" w:leader="dot" w:pos="8392"/>
        </w:tabs>
      </w:pPr>
      <w:bookmarkStart w:id="3" w:name="_Toc213473258"/>
      <w:bookmarkStart w:id="4" w:name="_Toc166894319"/>
      <w:r>
        <w:rPr>
          <w:rStyle w:val="43"/>
          <w:color w:val="auto"/>
          <w:u w:val="none"/>
        </w:rPr>
        <w:fldChar w:fldCharType="begin"/>
      </w:r>
      <w:r>
        <w:rPr>
          <w:rStyle w:val="43"/>
          <w:color w:val="auto"/>
          <w:szCs w:val="24"/>
          <w:u w:val="none"/>
        </w:rPr>
        <w:instrText xml:space="preserve"> TOC \o "2-3" \h \z \u </w:instrText>
      </w:r>
      <w:r>
        <w:rPr>
          <w:rStyle w:val="43"/>
          <w:color w:val="auto"/>
          <w:u w:val="none"/>
        </w:rPr>
        <w:fldChar w:fldCharType="separate"/>
      </w:r>
      <w:r>
        <w:rPr>
          <w:color w:val="auto"/>
          <w:u w:val="none"/>
        </w:rPr>
        <w:fldChar w:fldCharType="begin"/>
      </w:r>
      <w:r>
        <w:instrText xml:space="preserve"> HYPERLINK \l _Toc29037 </w:instrText>
      </w:r>
      <w:r>
        <w:fldChar w:fldCharType="separate"/>
      </w:r>
      <w:r>
        <w:rPr>
          <w:rFonts w:ascii="Times New Roman" w:hAnsi="Times New Roman" w:eastAsia="楷体_GB2312" w:cs="Times New Roman"/>
          <w:bCs/>
          <w:spacing w:val="20"/>
          <w:kern w:val="2"/>
          <w:szCs w:val="22"/>
          <w:lang w:val="en-US" w:eastAsia="zh-CN" w:bidi="ar-SA"/>
        </w:rPr>
        <w:t>估价师声明</w:t>
      </w:r>
      <w:r>
        <w:tab/>
      </w:r>
      <w:r>
        <w:fldChar w:fldCharType="begin"/>
      </w:r>
      <w:r>
        <w:instrText xml:space="preserve"> PAGEREF _Toc29037 </w:instrText>
      </w:r>
      <w:r>
        <w:fldChar w:fldCharType="separate"/>
      </w:r>
      <w:r>
        <w:t>1</w:t>
      </w:r>
      <w:r>
        <w:fldChar w:fldCharType="end"/>
      </w:r>
      <w:r>
        <w:rPr>
          <w:color w:val="auto"/>
          <w:u w:val="none"/>
        </w:rPr>
        <w:fldChar w:fldCharType="end"/>
      </w:r>
    </w:p>
    <w:p>
      <w:pPr>
        <w:pStyle w:val="30"/>
        <w:tabs>
          <w:tab w:val="right" w:leader="dot" w:pos="8392"/>
        </w:tabs>
      </w:pPr>
      <w:r>
        <w:rPr>
          <w:szCs w:val="24"/>
        </w:rPr>
        <w:fldChar w:fldCharType="begin"/>
      </w:r>
      <w:r>
        <w:rPr>
          <w:szCs w:val="24"/>
        </w:rPr>
        <w:instrText xml:space="preserve"> HYPERLINK \l _Toc23653 </w:instrText>
      </w:r>
      <w:r>
        <w:rPr>
          <w:szCs w:val="24"/>
        </w:rPr>
        <w:fldChar w:fldCharType="separate"/>
      </w:r>
      <w:r>
        <w:rPr>
          <w:rFonts w:ascii="Times New Roman" w:hAnsi="Times New Roman" w:eastAsia="楷体_GB2312"/>
          <w:bCs/>
        </w:rPr>
        <w:t>估价假设和限制条件</w:t>
      </w:r>
      <w:r>
        <w:tab/>
      </w:r>
      <w:r>
        <w:fldChar w:fldCharType="begin"/>
      </w:r>
      <w:r>
        <w:instrText xml:space="preserve"> PAGEREF _Toc23653 </w:instrText>
      </w:r>
      <w:r>
        <w:fldChar w:fldCharType="separate"/>
      </w:r>
      <w:r>
        <w:t>2</w:t>
      </w:r>
      <w:r>
        <w:fldChar w:fldCharType="end"/>
      </w:r>
      <w:r>
        <w:rPr>
          <w:szCs w:val="24"/>
        </w:rPr>
        <w:fldChar w:fldCharType="end"/>
      </w:r>
    </w:p>
    <w:p>
      <w:pPr>
        <w:pStyle w:val="30"/>
        <w:tabs>
          <w:tab w:val="right" w:leader="dot" w:pos="8392"/>
        </w:tabs>
      </w:pPr>
      <w:r>
        <w:rPr>
          <w:szCs w:val="24"/>
        </w:rPr>
        <w:fldChar w:fldCharType="begin"/>
      </w:r>
      <w:r>
        <w:rPr>
          <w:szCs w:val="24"/>
        </w:rPr>
        <w:instrText xml:space="preserve"> HYPERLINK \l _Toc24820 </w:instrText>
      </w:r>
      <w:r>
        <w:rPr>
          <w:szCs w:val="24"/>
        </w:rPr>
        <w:fldChar w:fldCharType="separate"/>
      </w:r>
      <w:r>
        <w:rPr>
          <w:rFonts w:eastAsia="楷体_GB2312"/>
          <w:szCs w:val="36"/>
        </w:rPr>
        <w:t>估价结果报告</w:t>
      </w:r>
      <w:r>
        <w:tab/>
      </w:r>
      <w:r>
        <w:fldChar w:fldCharType="begin"/>
      </w:r>
      <w:r>
        <w:instrText xml:space="preserve"> PAGEREF _Toc24820 </w:instrText>
      </w:r>
      <w:r>
        <w:fldChar w:fldCharType="separate"/>
      </w:r>
      <w:r>
        <w:t>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_Toc18582 </w:instrText>
      </w:r>
      <w:r>
        <w:rPr>
          <w:szCs w:val="24"/>
        </w:rPr>
        <w:fldChar w:fldCharType="separate"/>
      </w:r>
      <w:r>
        <w:rPr>
          <w:rFonts w:eastAsia="仿宋_GB2312"/>
          <w:bCs/>
        </w:rPr>
        <w:t>一、估价委托人</w:t>
      </w:r>
      <w:r>
        <w:tab/>
      </w:r>
      <w:r>
        <w:fldChar w:fldCharType="begin"/>
      </w:r>
      <w:r>
        <w:instrText xml:space="preserve"> PAGEREF _Toc18582 </w:instrText>
      </w:r>
      <w:r>
        <w:fldChar w:fldCharType="separate"/>
      </w:r>
      <w:r>
        <w:t>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_Toc8369 </w:instrText>
      </w:r>
      <w:r>
        <w:rPr>
          <w:szCs w:val="24"/>
        </w:rPr>
        <w:fldChar w:fldCharType="separate"/>
      </w:r>
      <w:r>
        <w:rPr>
          <w:rFonts w:eastAsia="仿宋_GB2312"/>
          <w:bCs/>
        </w:rPr>
        <w:t>二、房地产估价机构</w:t>
      </w:r>
      <w:r>
        <w:tab/>
      </w:r>
      <w:r>
        <w:fldChar w:fldCharType="begin"/>
      </w:r>
      <w:r>
        <w:instrText xml:space="preserve"> PAGEREF _Toc8369 </w:instrText>
      </w:r>
      <w:r>
        <w:fldChar w:fldCharType="separate"/>
      </w:r>
      <w:r>
        <w:t>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_Toc24201 </w:instrText>
      </w:r>
      <w:r>
        <w:rPr>
          <w:szCs w:val="24"/>
        </w:rPr>
        <w:fldChar w:fldCharType="separate"/>
      </w:r>
      <w:r>
        <w:rPr>
          <w:rFonts w:eastAsia="仿宋_GB2312" w:cs="Times New Roman"/>
          <w:bCs/>
        </w:rPr>
        <w:t xml:space="preserve">三、 </w:t>
      </w:r>
      <w:r>
        <w:rPr>
          <w:rFonts w:eastAsia="仿宋_GB2312"/>
          <w:bCs/>
        </w:rPr>
        <w:t>估价目的</w:t>
      </w:r>
      <w:r>
        <w:tab/>
      </w:r>
      <w:r>
        <w:fldChar w:fldCharType="begin"/>
      </w:r>
      <w:r>
        <w:instrText xml:space="preserve"> PAGEREF _Toc24201 </w:instrText>
      </w:r>
      <w:r>
        <w:fldChar w:fldCharType="separate"/>
      </w:r>
      <w:r>
        <w:t>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_Toc14588 </w:instrText>
      </w:r>
      <w:r>
        <w:rPr>
          <w:szCs w:val="24"/>
        </w:rPr>
        <w:fldChar w:fldCharType="separate"/>
      </w:r>
      <w:r>
        <w:rPr>
          <w:rFonts w:eastAsia="仿宋_GB2312"/>
          <w:bCs/>
        </w:rPr>
        <w:t>四、估价对象</w:t>
      </w:r>
      <w:r>
        <w:tab/>
      </w:r>
      <w:r>
        <w:fldChar w:fldCharType="begin"/>
      </w:r>
      <w:r>
        <w:instrText xml:space="preserve"> PAGEREF _Toc14588 </w:instrText>
      </w:r>
      <w:r>
        <w:fldChar w:fldCharType="separate"/>
      </w:r>
      <w:r>
        <w:t>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_Toc31328 </w:instrText>
      </w:r>
      <w:r>
        <w:rPr>
          <w:szCs w:val="24"/>
        </w:rPr>
        <w:fldChar w:fldCharType="separate"/>
      </w:r>
      <w:r>
        <w:rPr>
          <w:rFonts w:eastAsia="仿宋_GB2312"/>
          <w:bCs/>
        </w:rPr>
        <w:t>五、价值时点</w:t>
      </w:r>
      <w:r>
        <w:tab/>
      </w:r>
      <w:r>
        <w:fldChar w:fldCharType="begin"/>
      </w:r>
      <w:r>
        <w:instrText xml:space="preserve"> PAGEREF _Toc31328 </w:instrText>
      </w:r>
      <w:r>
        <w:fldChar w:fldCharType="separate"/>
      </w:r>
      <w:r>
        <w:t>10</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_Toc24043 </w:instrText>
      </w:r>
      <w:r>
        <w:rPr>
          <w:szCs w:val="24"/>
        </w:rPr>
        <w:fldChar w:fldCharType="separate"/>
      </w:r>
      <w:r>
        <w:rPr>
          <w:rFonts w:eastAsia="仿宋_GB2312"/>
          <w:bCs/>
        </w:rPr>
        <w:t>六、价值类型</w:t>
      </w:r>
      <w:r>
        <w:tab/>
      </w:r>
      <w:r>
        <w:fldChar w:fldCharType="begin"/>
      </w:r>
      <w:r>
        <w:instrText xml:space="preserve"> PAGEREF _Toc24043 </w:instrText>
      </w:r>
      <w:r>
        <w:fldChar w:fldCharType="separate"/>
      </w:r>
      <w:r>
        <w:t>10</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_Toc11862 </w:instrText>
      </w:r>
      <w:r>
        <w:rPr>
          <w:szCs w:val="24"/>
        </w:rPr>
        <w:fldChar w:fldCharType="separate"/>
      </w:r>
      <w:r>
        <w:rPr>
          <w:rFonts w:eastAsia="仿宋_GB2312"/>
          <w:bCs/>
        </w:rPr>
        <w:t>七、估价原则</w:t>
      </w:r>
      <w:r>
        <w:tab/>
      </w:r>
      <w:r>
        <w:fldChar w:fldCharType="begin"/>
      </w:r>
      <w:r>
        <w:instrText xml:space="preserve"> PAGEREF _Toc11862 </w:instrText>
      </w:r>
      <w:r>
        <w:fldChar w:fldCharType="separate"/>
      </w:r>
      <w:r>
        <w:t>10</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_Toc13665 </w:instrText>
      </w:r>
      <w:r>
        <w:rPr>
          <w:szCs w:val="24"/>
        </w:rPr>
        <w:fldChar w:fldCharType="separate"/>
      </w:r>
      <w:r>
        <w:rPr>
          <w:rFonts w:eastAsia="仿宋_GB2312"/>
          <w:bCs/>
        </w:rPr>
        <w:t>八、估价依据</w:t>
      </w:r>
      <w:r>
        <w:tab/>
      </w:r>
      <w:r>
        <w:fldChar w:fldCharType="begin"/>
      </w:r>
      <w:r>
        <w:instrText xml:space="preserve"> PAGEREF _Toc13665 </w:instrText>
      </w:r>
      <w:r>
        <w:fldChar w:fldCharType="separate"/>
      </w:r>
      <w:r>
        <w:t>12</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_Toc15113 </w:instrText>
      </w:r>
      <w:r>
        <w:rPr>
          <w:szCs w:val="24"/>
        </w:rPr>
        <w:fldChar w:fldCharType="separate"/>
      </w:r>
      <w:r>
        <w:rPr>
          <w:rFonts w:eastAsia="仿宋_GB2312"/>
          <w:bCs/>
        </w:rPr>
        <w:t>九、估价方法</w:t>
      </w:r>
      <w:r>
        <w:tab/>
      </w:r>
      <w:r>
        <w:fldChar w:fldCharType="begin"/>
      </w:r>
      <w:r>
        <w:instrText xml:space="preserve"> PAGEREF _Toc15113 </w:instrText>
      </w:r>
      <w:r>
        <w:fldChar w:fldCharType="separate"/>
      </w:r>
      <w:r>
        <w:t>13</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_Toc3751 </w:instrText>
      </w:r>
      <w:r>
        <w:rPr>
          <w:szCs w:val="24"/>
        </w:rPr>
        <w:fldChar w:fldCharType="separate"/>
      </w:r>
      <w:r>
        <w:rPr>
          <w:rFonts w:eastAsia="仿宋_GB2312"/>
          <w:bCs/>
        </w:rPr>
        <w:t>十、估价结果</w:t>
      </w:r>
      <w:r>
        <w:tab/>
      </w:r>
      <w:r>
        <w:fldChar w:fldCharType="begin"/>
      </w:r>
      <w:r>
        <w:instrText xml:space="preserve"> PAGEREF _Toc3751 </w:instrText>
      </w:r>
      <w:r>
        <w:fldChar w:fldCharType="separate"/>
      </w:r>
      <w:r>
        <w:t>15</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_Toc1850 </w:instrText>
      </w:r>
      <w:r>
        <w:rPr>
          <w:szCs w:val="24"/>
        </w:rPr>
        <w:fldChar w:fldCharType="separate"/>
      </w:r>
      <w:r>
        <w:rPr>
          <w:rFonts w:eastAsia="仿宋_GB2312"/>
          <w:bCs/>
        </w:rPr>
        <w:t>十一、注册房地产估价师</w:t>
      </w:r>
      <w:r>
        <w:tab/>
      </w:r>
      <w:r>
        <w:fldChar w:fldCharType="begin"/>
      </w:r>
      <w:r>
        <w:instrText xml:space="preserve"> PAGEREF _Toc1850 </w:instrText>
      </w:r>
      <w:r>
        <w:fldChar w:fldCharType="separate"/>
      </w:r>
      <w:r>
        <w:t>15</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_Toc8108 </w:instrText>
      </w:r>
      <w:r>
        <w:rPr>
          <w:szCs w:val="24"/>
        </w:rPr>
        <w:fldChar w:fldCharType="separate"/>
      </w:r>
      <w:r>
        <w:rPr>
          <w:rFonts w:eastAsia="仿宋_GB2312"/>
          <w:bCs/>
        </w:rPr>
        <w:t>十二、实地查勘期</w:t>
      </w:r>
      <w:r>
        <w:tab/>
      </w:r>
      <w:r>
        <w:fldChar w:fldCharType="begin"/>
      </w:r>
      <w:r>
        <w:instrText xml:space="preserve"> PAGEREF _Toc8108 </w:instrText>
      </w:r>
      <w:r>
        <w:fldChar w:fldCharType="separate"/>
      </w:r>
      <w:r>
        <w:t>15</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_Toc31364 </w:instrText>
      </w:r>
      <w:r>
        <w:rPr>
          <w:szCs w:val="24"/>
        </w:rPr>
        <w:fldChar w:fldCharType="separate"/>
      </w:r>
      <w:r>
        <w:rPr>
          <w:rFonts w:eastAsia="仿宋_GB2312"/>
          <w:bCs/>
        </w:rPr>
        <w:t>十三、估价作业期</w:t>
      </w:r>
      <w:r>
        <w:tab/>
      </w:r>
      <w:r>
        <w:fldChar w:fldCharType="begin"/>
      </w:r>
      <w:r>
        <w:instrText xml:space="preserve"> PAGEREF _Toc31364 </w:instrText>
      </w:r>
      <w:r>
        <w:fldChar w:fldCharType="separate"/>
      </w:r>
      <w:r>
        <w:t>15</w:t>
      </w:r>
      <w:r>
        <w:fldChar w:fldCharType="end"/>
      </w:r>
      <w:r>
        <w:rPr>
          <w:szCs w:val="24"/>
        </w:rPr>
        <w:fldChar w:fldCharType="end"/>
      </w:r>
    </w:p>
    <w:p>
      <w:pPr>
        <w:pStyle w:val="30"/>
        <w:tabs>
          <w:tab w:val="right" w:leader="dot" w:pos="8392"/>
        </w:tabs>
      </w:pPr>
      <w:r>
        <w:rPr>
          <w:szCs w:val="24"/>
        </w:rPr>
        <w:fldChar w:fldCharType="begin"/>
      </w:r>
      <w:r>
        <w:rPr>
          <w:szCs w:val="24"/>
        </w:rPr>
        <w:instrText xml:space="preserve"> HYPERLINK \l _Toc15711 </w:instrText>
      </w:r>
      <w:r>
        <w:rPr>
          <w:szCs w:val="24"/>
        </w:rPr>
        <w:fldChar w:fldCharType="separate"/>
      </w:r>
      <w:r>
        <w:rPr>
          <w:rFonts w:eastAsia="楷体_GB2312"/>
          <w:szCs w:val="36"/>
        </w:rPr>
        <w:t>附    件</w:t>
      </w:r>
      <w:r>
        <w:tab/>
      </w:r>
      <w:r>
        <w:fldChar w:fldCharType="begin"/>
      </w:r>
      <w:r>
        <w:instrText xml:space="preserve"> PAGEREF _Toc15711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_Toc31449 </w:instrText>
      </w:r>
      <w:r>
        <w:rPr>
          <w:szCs w:val="24"/>
        </w:rPr>
        <w:fldChar w:fldCharType="separate"/>
      </w:r>
      <w:r>
        <w:rPr>
          <w:rFonts w:eastAsia="仿宋"/>
          <w:spacing w:val="0"/>
          <w:szCs w:val="28"/>
        </w:rPr>
        <w:t>一、《</w:t>
      </w:r>
      <w:r>
        <w:rPr>
          <w:rFonts w:hint="eastAsia" w:eastAsia="仿宋"/>
          <w:spacing w:val="0"/>
          <w:szCs w:val="28"/>
          <w:lang w:eastAsia="zh-CN"/>
        </w:rPr>
        <w:t>四川省攀枝花市西区人民法院</w:t>
      </w:r>
      <w:r>
        <w:rPr>
          <w:rFonts w:hint="eastAsia" w:eastAsia="仿宋"/>
          <w:spacing w:val="0"/>
          <w:szCs w:val="28"/>
        </w:rPr>
        <w:t>司法评估委托书</w:t>
      </w:r>
      <w:r>
        <w:rPr>
          <w:rFonts w:eastAsia="仿宋"/>
          <w:spacing w:val="0"/>
          <w:szCs w:val="28"/>
        </w:rPr>
        <w:t>》</w:t>
      </w:r>
      <w:r>
        <w:rPr>
          <w:rFonts w:hint="eastAsia" w:eastAsia="仿宋"/>
          <w:spacing w:val="0"/>
          <w:szCs w:val="28"/>
          <w:lang w:val="en-US" w:eastAsia="zh-CN"/>
        </w:rPr>
        <w:t>及附表</w:t>
      </w:r>
      <w:r>
        <w:tab/>
      </w:r>
      <w:r>
        <w:fldChar w:fldCharType="begin"/>
      </w:r>
      <w:r>
        <w:instrText xml:space="preserve"> PAGEREF _Toc31449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_Toc28607 </w:instrText>
      </w:r>
      <w:r>
        <w:rPr>
          <w:szCs w:val="24"/>
        </w:rPr>
        <w:fldChar w:fldCharType="separate"/>
      </w:r>
      <w:r>
        <w:rPr>
          <w:rFonts w:eastAsia="仿宋_GB2312"/>
          <w:szCs w:val="22"/>
        </w:rPr>
        <w:t>二、</w:t>
      </w:r>
      <w:r>
        <w:rPr>
          <w:rFonts w:eastAsia="仿宋"/>
          <w:szCs w:val="28"/>
        </w:rPr>
        <w:t>估价对象位置图</w:t>
      </w:r>
      <w:r>
        <w:tab/>
      </w:r>
      <w:r>
        <w:fldChar w:fldCharType="begin"/>
      </w:r>
      <w:r>
        <w:instrText xml:space="preserve"> PAGEREF _Toc28607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_Toc2750 </w:instrText>
      </w:r>
      <w:r>
        <w:rPr>
          <w:szCs w:val="24"/>
        </w:rPr>
        <w:fldChar w:fldCharType="separate"/>
      </w:r>
      <w:r>
        <w:rPr>
          <w:rFonts w:eastAsia="仿宋_GB2312"/>
          <w:szCs w:val="22"/>
        </w:rPr>
        <w:t>三、</w:t>
      </w:r>
      <w:r>
        <w:rPr>
          <w:rFonts w:eastAsia="仿宋"/>
          <w:szCs w:val="28"/>
        </w:rPr>
        <w:t>估价对象实地查勘情况和相关照片</w:t>
      </w:r>
      <w:r>
        <w:tab/>
      </w:r>
      <w:r>
        <w:fldChar w:fldCharType="begin"/>
      </w:r>
      <w:r>
        <w:instrText xml:space="preserve"> PAGEREF _Toc2750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_Toc1948 </w:instrText>
      </w:r>
      <w:r>
        <w:rPr>
          <w:szCs w:val="24"/>
        </w:rPr>
        <w:fldChar w:fldCharType="separate"/>
      </w:r>
      <w:r>
        <w:rPr>
          <w:rFonts w:eastAsia="仿宋_GB2312"/>
        </w:rPr>
        <w:t>四、</w:t>
      </w:r>
      <w:bookmarkStart w:id="5" w:name="OLE_LINK8"/>
      <w:r>
        <w:rPr>
          <w:rFonts w:hint="eastAsia" w:eastAsia="仿宋_GB2312"/>
          <w:lang w:eastAsia="zh-CN"/>
        </w:rPr>
        <w:t>《</w:t>
      </w:r>
      <w:r>
        <w:rPr>
          <w:rFonts w:hint="eastAsia"/>
          <w:lang w:eastAsia="zh-CN"/>
        </w:rPr>
        <w:t>不动产权证书</w:t>
      </w:r>
      <w:r>
        <w:rPr>
          <w:rFonts w:hint="eastAsia" w:eastAsia="仿宋_GB2312"/>
          <w:lang w:eastAsia="zh-CN"/>
        </w:rPr>
        <w:t>》</w:t>
      </w:r>
      <w:bookmarkEnd w:id="5"/>
      <w:r>
        <w:rPr>
          <w:rFonts w:eastAsia="仿宋_GB2312"/>
        </w:rPr>
        <w:t>复印件</w:t>
      </w:r>
      <w:r>
        <w:tab/>
      </w:r>
      <w:r>
        <w:fldChar w:fldCharType="begin"/>
      </w:r>
      <w:r>
        <w:instrText xml:space="preserve"> PAGEREF _Toc1948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_Toc19222 </w:instrText>
      </w:r>
      <w:r>
        <w:rPr>
          <w:szCs w:val="24"/>
        </w:rPr>
        <w:fldChar w:fldCharType="separate"/>
      </w:r>
      <w:r>
        <w:rPr>
          <w:rFonts w:hint="eastAsia"/>
          <w:szCs w:val="22"/>
          <w:lang w:val="en-US" w:eastAsia="zh-CN"/>
        </w:rPr>
        <w:t>五</w:t>
      </w:r>
      <w:r>
        <w:rPr>
          <w:rFonts w:eastAsia="仿宋_GB2312"/>
          <w:szCs w:val="22"/>
        </w:rPr>
        <w:t>、专业帮助情况和相关专业意见说明</w:t>
      </w:r>
      <w:r>
        <w:tab/>
      </w:r>
      <w:r>
        <w:fldChar w:fldCharType="begin"/>
      </w:r>
      <w:r>
        <w:instrText xml:space="preserve"> PAGEREF _Toc19222 </w:instrText>
      </w:r>
      <w:r>
        <w:fldChar w:fldCharType="separate"/>
      </w:r>
      <w:r>
        <w:t>16</w:t>
      </w:r>
      <w:r>
        <w:fldChar w:fldCharType="end"/>
      </w:r>
      <w:r>
        <w:rPr>
          <w:szCs w:val="24"/>
        </w:rPr>
        <w:fldChar w:fldCharType="end"/>
      </w:r>
    </w:p>
    <w:p>
      <w:pPr>
        <w:pStyle w:val="17"/>
        <w:tabs>
          <w:tab w:val="right" w:leader="dot" w:pos="8392"/>
        </w:tabs>
      </w:pPr>
      <w:r>
        <w:rPr>
          <w:szCs w:val="24"/>
        </w:rPr>
        <w:fldChar w:fldCharType="begin"/>
      </w:r>
      <w:r>
        <w:rPr>
          <w:szCs w:val="24"/>
        </w:rPr>
        <w:instrText xml:space="preserve"> HYPERLINK \l _Toc14174 </w:instrText>
      </w:r>
      <w:r>
        <w:rPr>
          <w:szCs w:val="24"/>
        </w:rPr>
        <w:fldChar w:fldCharType="separate"/>
      </w:r>
      <w:r>
        <w:rPr>
          <w:rFonts w:hint="eastAsia"/>
          <w:szCs w:val="22"/>
          <w:lang w:val="en-US" w:eastAsia="zh-CN"/>
        </w:rPr>
        <w:t>六</w:t>
      </w:r>
      <w:r>
        <w:rPr>
          <w:rFonts w:eastAsia="仿宋_GB2312"/>
          <w:szCs w:val="22"/>
        </w:rPr>
        <w:t>、注册房地产估价师注册证书复印件</w:t>
      </w:r>
      <w:r>
        <w:tab/>
      </w:r>
      <w:r>
        <w:fldChar w:fldCharType="begin"/>
      </w:r>
      <w:r>
        <w:instrText xml:space="preserve"> PAGEREF _Toc14174 </w:instrText>
      </w:r>
      <w:r>
        <w:fldChar w:fldCharType="separate"/>
      </w:r>
      <w:r>
        <w:t>16</w:t>
      </w:r>
      <w:r>
        <w:fldChar w:fldCharType="end"/>
      </w:r>
      <w:r>
        <w:rPr>
          <w:szCs w:val="24"/>
        </w:rPr>
        <w:fldChar w:fldCharType="end"/>
      </w:r>
    </w:p>
    <w:p>
      <w:pPr>
        <w:pStyle w:val="5"/>
        <w:spacing w:line="340" w:lineRule="exact"/>
        <w:ind w:firstLine="0"/>
        <w:jc w:val="left"/>
        <w:outlineLvl w:val="1"/>
        <w:rPr>
          <w:rFonts w:hint="eastAsia" w:ascii="Times New Roman" w:hAnsi="Times New Roman" w:eastAsia="楷体_GB2312" w:cs="Times New Roman"/>
          <w:b/>
          <w:bCs/>
          <w:spacing w:val="20"/>
          <w:kern w:val="2"/>
          <w:sz w:val="36"/>
          <w:szCs w:val="22"/>
          <w:lang w:val="en-US" w:eastAsia="zh-CN" w:bidi="ar-SA"/>
        </w:rPr>
      </w:pPr>
      <w:r>
        <w:rPr>
          <w:szCs w:val="24"/>
        </w:rPr>
        <w:fldChar w:fldCharType="end"/>
      </w:r>
      <w:r>
        <w:rPr>
          <w:rFonts w:hint="eastAsia"/>
          <w:szCs w:val="24"/>
          <w:lang w:val="en-US" w:eastAsia="zh-CN"/>
        </w:rPr>
        <w:t xml:space="preserve">                    </w:t>
      </w:r>
      <w:r>
        <w:rPr>
          <w:rFonts w:hint="eastAsia" w:ascii="Times New Roman" w:hAnsi="Times New Roman" w:eastAsia="楷体_GB2312" w:cs="Times New Roman"/>
          <w:b/>
          <w:bCs/>
          <w:spacing w:val="20"/>
          <w:kern w:val="2"/>
          <w:sz w:val="36"/>
          <w:szCs w:val="22"/>
          <w:lang w:val="en-US" w:eastAsia="zh-CN" w:bidi="ar-SA"/>
        </w:rPr>
        <w:t xml:space="preserve"> </w:t>
      </w:r>
    </w:p>
    <w:p>
      <w:pPr>
        <w:pStyle w:val="5"/>
        <w:spacing w:line="340" w:lineRule="exact"/>
        <w:ind w:firstLine="3200" w:firstLineChars="800"/>
        <w:jc w:val="left"/>
        <w:outlineLvl w:val="1"/>
        <w:rPr>
          <w:rFonts w:ascii="Times New Roman" w:hAnsi="Times New Roman" w:eastAsia="楷体_GB2312" w:cs="Times New Roman"/>
          <w:b/>
          <w:bCs/>
          <w:spacing w:val="20"/>
          <w:kern w:val="2"/>
          <w:sz w:val="36"/>
          <w:szCs w:val="22"/>
          <w:lang w:val="en-US" w:eastAsia="zh-CN" w:bidi="ar-SA"/>
        </w:rPr>
        <w:sectPr>
          <w:headerReference r:id="rId6" w:type="first"/>
          <w:footerReference r:id="rId9" w:type="first"/>
          <w:headerReference r:id="rId4" w:type="default"/>
          <w:footerReference r:id="rId7" w:type="default"/>
          <w:headerReference r:id="rId5" w:type="even"/>
          <w:footerReference r:id="rId8" w:type="even"/>
          <w:pgSz w:w="11907" w:h="16840"/>
          <w:pgMar w:top="1440" w:right="1644" w:bottom="1440" w:left="1871" w:header="851" w:footer="992" w:gutter="0"/>
          <w:pgBorders>
            <w:top w:val="none" w:sz="0" w:space="0"/>
            <w:left w:val="none" w:sz="0" w:space="0"/>
            <w:bottom w:val="none" w:sz="0" w:space="0"/>
            <w:right w:val="none" w:sz="0" w:space="0"/>
          </w:pgBorders>
          <w:pgNumType w:start="1"/>
          <w:cols w:space="720" w:num="1"/>
          <w:titlePg/>
          <w:docGrid w:type="linesAndChars" w:linePitch="326" w:charSpace="0"/>
        </w:sectPr>
      </w:pPr>
    </w:p>
    <w:p>
      <w:pPr>
        <w:pStyle w:val="5"/>
        <w:spacing w:line="340" w:lineRule="exact"/>
        <w:ind w:firstLine="3200" w:firstLineChars="800"/>
        <w:jc w:val="left"/>
        <w:outlineLvl w:val="1"/>
        <w:rPr>
          <w:rFonts w:ascii="Times New Roman" w:hAnsi="Times New Roman" w:eastAsia="楷体_GB2312" w:cs="Times New Roman"/>
          <w:b/>
          <w:bCs/>
          <w:spacing w:val="20"/>
          <w:kern w:val="2"/>
          <w:sz w:val="36"/>
          <w:szCs w:val="22"/>
          <w:lang w:val="en-US" w:eastAsia="zh-CN" w:bidi="ar-SA"/>
        </w:rPr>
      </w:pPr>
    </w:p>
    <w:p>
      <w:pPr>
        <w:pStyle w:val="5"/>
        <w:spacing w:line="340" w:lineRule="exact"/>
        <w:ind w:firstLine="3200" w:firstLineChars="800"/>
        <w:jc w:val="left"/>
        <w:outlineLvl w:val="1"/>
        <w:rPr>
          <w:rFonts w:ascii="Times New Roman" w:hAnsi="Times New Roman" w:eastAsia="楷体_GB2312" w:cs="Times New Roman"/>
          <w:b/>
          <w:bCs/>
          <w:spacing w:val="20"/>
          <w:kern w:val="2"/>
          <w:sz w:val="36"/>
          <w:szCs w:val="22"/>
          <w:lang w:val="en-US" w:eastAsia="zh-CN" w:bidi="ar-SA"/>
        </w:rPr>
      </w:pPr>
      <w:bookmarkStart w:id="6" w:name="_Toc29037"/>
      <w:r>
        <w:rPr>
          <w:rFonts w:ascii="Times New Roman" w:hAnsi="Times New Roman" w:eastAsia="楷体_GB2312" w:cs="Times New Roman"/>
          <w:b/>
          <w:bCs/>
          <w:spacing w:val="20"/>
          <w:kern w:val="2"/>
          <w:sz w:val="36"/>
          <w:szCs w:val="22"/>
          <w:lang w:val="en-US" w:eastAsia="zh-CN" w:bidi="ar-SA"/>
        </w:rPr>
        <w:t>估价师声明</w:t>
      </w:r>
      <w:bookmarkEnd w:id="3"/>
      <w:bookmarkEnd w:id="4"/>
      <w:bookmarkEnd w:id="6"/>
    </w:p>
    <w:p>
      <w:pPr>
        <w:adjustRightInd w:val="0"/>
        <w:snapToGrid w:val="0"/>
        <w:spacing w:line="480" w:lineRule="exact"/>
        <w:ind w:firstLine="560" w:firstLineChars="200"/>
        <w:rPr>
          <w:sz w:val="28"/>
          <w:szCs w:val="28"/>
        </w:rPr>
      </w:pPr>
      <w:bookmarkStart w:id="7" w:name="_Toc119160797"/>
      <w:bookmarkStart w:id="8" w:name="_Toc469641709"/>
      <w:bookmarkStart w:id="9" w:name="_Toc213473259"/>
      <w:r>
        <w:rPr>
          <w:sz w:val="28"/>
          <w:szCs w:val="28"/>
        </w:rPr>
        <w:t>我们根据自己的专业知识和职业道德，在此郑重声明：</w:t>
      </w:r>
    </w:p>
    <w:p>
      <w:pPr>
        <w:adjustRightInd w:val="0"/>
        <w:spacing w:line="480" w:lineRule="exact"/>
        <w:ind w:firstLine="560" w:firstLineChars="200"/>
        <w:rPr>
          <w:sz w:val="28"/>
          <w:szCs w:val="28"/>
        </w:rPr>
      </w:pPr>
      <w:r>
        <w:rPr>
          <w:sz w:val="28"/>
          <w:szCs w:val="28"/>
        </w:rPr>
        <w:t>（一）我们在本估价报告中对事实的说明是真实和准确的，没有虚假记载、误导性陈述和重大遗漏。</w:t>
      </w:r>
    </w:p>
    <w:p>
      <w:pPr>
        <w:adjustRightInd w:val="0"/>
        <w:spacing w:line="480" w:lineRule="exact"/>
        <w:ind w:firstLine="560" w:firstLineChars="200"/>
        <w:rPr>
          <w:sz w:val="28"/>
          <w:szCs w:val="28"/>
        </w:rPr>
      </w:pPr>
      <w:r>
        <w:rPr>
          <w:sz w:val="28"/>
          <w:szCs w:val="28"/>
        </w:rPr>
        <w:t>（二）本估价报告中的分析、意见和结论是我们独立、客观、公正的专业分析、意见和结论，但受估价报告中已说明的估价的假设和限制条件的限制。</w:t>
      </w:r>
    </w:p>
    <w:p>
      <w:pPr>
        <w:adjustRightInd w:val="0"/>
        <w:spacing w:line="480" w:lineRule="exact"/>
        <w:ind w:firstLine="560" w:firstLineChars="200"/>
        <w:rPr>
          <w:sz w:val="28"/>
          <w:szCs w:val="28"/>
        </w:rPr>
      </w:pPr>
      <w:r>
        <w:rPr>
          <w:sz w:val="28"/>
          <w:szCs w:val="28"/>
        </w:rPr>
        <w:t>（三）我们与本估价报告中的估价对象没有现实或潜在的利益，与估价委托人和估价利害关系人没有利害关系，也对估价对象、估价委托人及估价利害关系人没有偏见。</w:t>
      </w:r>
    </w:p>
    <w:p>
      <w:pPr>
        <w:adjustRightInd w:val="0"/>
        <w:spacing w:line="480" w:lineRule="exact"/>
        <w:ind w:firstLine="560" w:firstLineChars="200"/>
        <w:rPr>
          <w:sz w:val="28"/>
          <w:szCs w:val="28"/>
        </w:rPr>
      </w:pPr>
      <w:r>
        <w:rPr>
          <w:sz w:val="28"/>
          <w:szCs w:val="28"/>
        </w:rPr>
        <w:t>（四）我们是按照国家标准《房地产估价规范》GB/T50291-2015、《房地产估价基本术语标准》GB/T50899-2013以及四川省《房地产司法鉴定评估指导意见》试行（川建房发〔2011〕89号）进行估价工作，撰写本估价报告。</w:t>
      </w:r>
    </w:p>
    <w:p>
      <w:pPr>
        <w:adjustRightInd w:val="0"/>
        <w:spacing w:line="480" w:lineRule="exact"/>
        <w:ind w:firstLine="560" w:firstLineChars="200"/>
        <w:rPr>
          <w:sz w:val="28"/>
          <w:szCs w:val="28"/>
        </w:rPr>
      </w:pPr>
      <w:r>
        <w:rPr>
          <w:sz w:val="28"/>
          <w:szCs w:val="28"/>
        </w:rPr>
        <w:t>（五）参加本次估价的注册房地产估价师承诺对其估价职业道德、专业胜任能力和勤勉尽职尽责。</w:t>
      </w:r>
    </w:p>
    <w:p>
      <w:pPr>
        <w:tabs>
          <w:tab w:val="left" w:pos="2044"/>
        </w:tabs>
        <w:adjustRightInd w:val="0"/>
        <w:spacing w:line="500" w:lineRule="exact"/>
        <w:jc w:val="center"/>
        <w:rPr>
          <w:kern w:val="0"/>
          <w:szCs w:val="24"/>
        </w:rPr>
      </w:pPr>
      <w:r>
        <w:rPr>
          <w:snapToGrid w:val="0"/>
          <w:kern w:val="0"/>
          <w:sz w:val="28"/>
          <w:szCs w:val="28"/>
        </w:rPr>
        <w:t>注册房地产估价师</w:t>
      </w:r>
    </w:p>
    <w:tbl>
      <w:tblPr>
        <w:tblStyle w:val="50"/>
        <w:tblW w:w="860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60"/>
        <w:gridCol w:w="2133"/>
        <w:gridCol w:w="2132"/>
        <w:gridCol w:w="21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79" w:hRule="atLeast"/>
        </w:trPr>
        <w:tc>
          <w:tcPr>
            <w:tcW w:w="2160" w:type="dxa"/>
            <w:tcBorders>
              <w:top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 xml:space="preserve"> 姓名</w:t>
            </w:r>
          </w:p>
        </w:tc>
        <w:tc>
          <w:tcPr>
            <w:tcW w:w="2133" w:type="dxa"/>
            <w:tcBorders>
              <w:top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注册号</w:t>
            </w:r>
          </w:p>
        </w:tc>
        <w:tc>
          <w:tcPr>
            <w:tcW w:w="2132" w:type="dxa"/>
            <w:tcBorders>
              <w:top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签</w:t>
            </w:r>
            <w:r>
              <w:rPr>
                <w:rFonts w:eastAsia="宋体"/>
                <w:sz w:val="18"/>
                <w:szCs w:val="18"/>
              </w:rPr>
              <w:t>名</w:t>
            </w:r>
          </w:p>
        </w:tc>
        <w:tc>
          <w:tcPr>
            <w:tcW w:w="2175" w:type="dxa"/>
            <w:tcBorders>
              <w:top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签</w:t>
            </w:r>
            <w:r>
              <w:rPr>
                <w:rFonts w:eastAsia="宋体"/>
                <w:sz w:val="18"/>
                <w:szCs w:val="18"/>
              </w:rPr>
              <w:t>名</w:t>
            </w:r>
            <w:r>
              <w:rPr>
                <w:rFonts w:eastAsia="宋体"/>
                <w:sz w:val="18"/>
                <w:szCs w:val="18"/>
                <w:lang w:val="zh-CN"/>
              </w:rPr>
              <w:t>日期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79" w:hRule="atLeast"/>
        </w:trPr>
        <w:tc>
          <w:tcPr>
            <w:tcW w:w="2160" w:type="dxa"/>
          </w:tcPr>
          <w:p>
            <w:pPr>
              <w:adjustRightInd w:val="0"/>
              <w:spacing w:line="460" w:lineRule="exact"/>
              <w:jc w:val="center"/>
              <w:rPr>
                <w:rFonts w:eastAsia="宋体"/>
                <w:sz w:val="18"/>
                <w:szCs w:val="18"/>
                <w:lang w:val="zh-CN"/>
              </w:rPr>
            </w:pPr>
            <w:r>
              <w:rPr>
                <w:rFonts w:eastAsia="宋体"/>
                <w:sz w:val="18"/>
                <w:szCs w:val="18"/>
                <w:lang w:val="zh-CN"/>
              </w:rPr>
              <w:t>何  曼</w:t>
            </w:r>
          </w:p>
        </w:tc>
        <w:tc>
          <w:tcPr>
            <w:tcW w:w="2133" w:type="dxa"/>
          </w:tcPr>
          <w:p>
            <w:pPr>
              <w:adjustRightInd w:val="0"/>
              <w:spacing w:line="460" w:lineRule="exact"/>
              <w:jc w:val="center"/>
              <w:rPr>
                <w:rFonts w:eastAsia="宋体"/>
                <w:sz w:val="18"/>
                <w:szCs w:val="18"/>
                <w:lang w:val="zh-CN"/>
              </w:rPr>
            </w:pPr>
            <w:r>
              <w:rPr>
                <w:rFonts w:eastAsia="宋体"/>
                <w:sz w:val="18"/>
                <w:szCs w:val="18"/>
                <w:lang w:val="zh-CN"/>
              </w:rPr>
              <w:t>5120060117</w:t>
            </w:r>
          </w:p>
        </w:tc>
        <w:tc>
          <w:tcPr>
            <w:tcW w:w="2132" w:type="dxa"/>
          </w:tcPr>
          <w:p>
            <w:pPr>
              <w:adjustRightInd w:val="0"/>
              <w:spacing w:line="460" w:lineRule="exact"/>
              <w:jc w:val="center"/>
              <w:rPr>
                <w:rFonts w:eastAsia="宋体"/>
                <w:sz w:val="18"/>
                <w:szCs w:val="18"/>
                <w:lang w:val="zh-CN"/>
              </w:rPr>
            </w:pPr>
          </w:p>
        </w:tc>
        <w:tc>
          <w:tcPr>
            <w:tcW w:w="2175" w:type="dxa"/>
          </w:tcPr>
          <w:p>
            <w:pPr>
              <w:adjustRightInd w:val="0"/>
              <w:spacing w:line="460" w:lineRule="exact"/>
              <w:jc w:val="center"/>
              <w:rPr>
                <w:rFonts w:eastAsia="宋体"/>
                <w:sz w:val="18"/>
                <w:szCs w:val="18"/>
                <w:lang w:val="zh-CN"/>
              </w:rPr>
            </w:pPr>
            <w:r>
              <w:rPr>
                <w:rFonts w:hint="eastAsia" w:eastAsia="宋体"/>
                <w:sz w:val="18"/>
                <w:szCs w:val="18"/>
                <w:lang w:val="zh-CN"/>
              </w:rPr>
              <w:t>2018年12月</w:t>
            </w:r>
            <w:r>
              <w:rPr>
                <w:rFonts w:hint="eastAsia" w:eastAsia="宋体"/>
                <w:sz w:val="18"/>
                <w:szCs w:val="18"/>
                <w:lang w:val="en-US" w:eastAsia="zh-CN"/>
              </w:rPr>
              <w:t>24</w:t>
            </w:r>
            <w:r>
              <w:rPr>
                <w:rFonts w:hint="eastAsia" w:eastAsia="宋体"/>
                <w:sz w:val="18"/>
                <w:szCs w:val="18"/>
                <w:lang w:val="zh-CN"/>
              </w:rPr>
              <w:t>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90" w:hRule="atLeast"/>
        </w:trPr>
        <w:tc>
          <w:tcPr>
            <w:tcW w:w="2160" w:type="dxa"/>
            <w:tcBorders>
              <w:bottom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蒲先秋</w:t>
            </w:r>
          </w:p>
        </w:tc>
        <w:tc>
          <w:tcPr>
            <w:tcW w:w="2133" w:type="dxa"/>
            <w:tcBorders>
              <w:bottom w:val="single" w:color="auto" w:sz="12" w:space="0"/>
            </w:tcBorders>
          </w:tcPr>
          <w:p>
            <w:pPr>
              <w:adjustRightInd w:val="0"/>
              <w:spacing w:line="460" w:lineRule="exact"/>
              <w:jc w:val="center"/>
              <w:rPr>
                <w:rFonts w:eastAsia="宋体"/>
                <w:sz w:val="18"/>
                <w:szCs w:val="18"/>
                <w:lang w:val="zh-CN"/>
              </w:rPr>
            </w:pPr>
            <w:r>
              <w:rPr>
                <w:rFonts w:eastAsia="宋体"/>
                <w:sz w:val="18"/>
                <w:szCs w:val="18"/>
                <w:lang w:val="zh-CN"/>
              </w:rPr>
              <w:t>5120160080</w:t>
            </w:r>
          </w:p>
        </w:tc>
        <w:tc>
          <w:tcPr>
            <w:tcW w:w="2132" w:type="dxa"/>
            <w:tcBorders>
              <w:bottom w:val="single" w:color="auto" w:sz="12" w:space="0"/>
            </w:tcBorders>
          </w:tcPr>
          <w:p>
            <w:pPr>
              <w:adjustRightInd w:val="0"/>
              <w:spacing w:line="460" w:lineRule="exact"/>
              <w:jc w:val="center"/>
              <w:rPr>
                <w:rFonts w:eastAsia="宋体"/>
                <w:sz w:val="18"/>
                <w:szCs w:val="18"/>
                <w:lang w:val="zh-CN"/>
              </w:rPr>
            </w:pPr>
          </w:p>
        </w:tc>
        <w:tc>
          <w:tcPr>
            <w:tcW w:w="2175" w:type="dxa"/>
            <w:tcBorders>
              <w:bottom w:val="single" w:color="auto" w:sz="12" w:space="0"/>
            </w:tcBorders>
          </w:tcPr>
          <w:p>
            <w:pPr>
              <w:adjustRightInd w:val="0"/>
              <w:spacing w:line="460" w:lineRule="exact"/>
              <w:jc w:val="center"/>
              <w:rPr>
                <w:rFonts w:eastAsia="宋体"/>
                <w:sz w:val="18"/>
                <w:szCs w:val="18"/>
                <w:lang w:val="zh-CN"/>
              </w:rPr>
            </w:pPr>
            <w:r>
              <w:rPr>
                <w:rFonts w:hint="eastAsia" w:eastAsia="宋体"/>
                <w:sz w:val="18"/>
                <w:szCs w:val="18"/>
                <w:lang w:val="zh-CN"/>
              </w:rPr>
              <w:t>2018年12月</w:t>
            </w:r>
            <w:r>
              <w:rPr>
                <w:rFonts w:hint="eastAsia" w:eastAsia="宋体"/>
                <w:sz w:val="18"/>
                <w:szCs w:val="18"/>
                <w:lang w:val="en-US" w:eastAsia="zh-CN"/>
              </w:rPr>
              <w:t>24</w:t>
            </w:r>
            <w:r>
              <w:rPr>
                <w:rFonts w:hint="eastAsia" w:eastAsia="宋体"/>
                <w:sz w:val="18"/>
                <w:szCs w:val="18"/>
                <w:lang w:val="zh-CN"/>
              </w:rPr>
              <w:t>日</w:t>
            </w:r>
          </w:p>
        </w:tc>
      </w:tr>
    </w:tbl>
    <w:p>
      <w:pPr>
        <w:pStyle w:val="5"/>
        <w:rPr>
          <w:rFonts w:eastAsia="楷体_GB2312"/>
          <w:bCs/>
        </w:rPr>
      </w:pPr>
    </w:p>
    <w:p>
      <w:pPr>
        <w:pStyle w:val="5"/>
        <w:rPr>
          <w:rFonts w:eastAsia="楷体_GB2312"/>
          <w:bCs/>
        </w:rPr>
      </w:pPr>
    </w:p>
    <w:p>
      <w:pPr>
        <w:pStyle w:val="5"/>
        <w:rPr>
          <w:rFonts w:eastAsia="楷体_GB2312"/>
          <w:bCs/>
        </w:rPr>
      </w:pPr>
    </w:p>
    <w:p>
      <w:pPr>
        <w:pStyle w:val="5"/>
        <w:rPr>
          <w:rFonts w:eastAsia="楷体_GB2312"/>
          <w:bCs/>
        </w:rPr>
      </w:pPr>
    </w:p>
    <w:p>
      <w:pPr>
        <w:pStyle w:val="5"/>
        <w:ind w:firstLine="0"/>
        <w:rPr>
          <w:rFonts w:eastAsia="楷体_GB2312"/>
          <w:bCs/>
        </w:rPr>
      </w:pPr>
    </w:p>
    <w:bookmarkEnd w:id="7"/>
    <w:bookmarkEnd w:id="8"/>
    <w:bookmarkEnd w:id="9"/>
    <w:p>
      <w:pPr>
        <w:pStyle w:val="3"/>
        <w:spacing w:before="0" w:after="0" w:line="720" w:lineRule="auto"/>
        <w:rPr>
          <w:rFonts w:ascii="Times New Roman" w:hAnsi="Times New Roman" w:eastAsia="楷体_GB2312"/>
          <w:bCs/>
        </w:rPr>
      </w:pPr>
      <w:bookmarkStart w:id="10" w:name="_Toc4695"/>
      <w:bookmarkStart w:id="11" w:name="_Toc119160798"/>
      <w:bookmarkStart w:id="12" w:name="_Toc213473260"/>
      <w:bookmarkStart w:id="13" w:name="_Toc469641710"/>
      <w:r>
        <w:rPr>
          <w:rFonts w:ascii="Times New Roman" w:hAnsi="Times New Roman" w:eastAsia="楷体_GB2312"/>
          <w:bCs/>
        </w:rPr>
        <w:br w:type="page"/>
      </w:r>
    </w:p>
    <w:p>
      <w:pPr>
        <w:pStyle w:val="3"/>
        <w:spacing w:before="0" w:after="0" w:line="720" w:lineRule="auto"/>
        <w:rPr>
          <w:rFonts w:ascii="Times New Roman" w:hAnsi="Times New Roman" w:eastAsia="楷体_GB2312"/>
          <w:bCs/>
        </w:rPr>
      </w:pPr>
      <w:bookmarkStart w:id="14" w:name="_Toc23653"/>
      <w:r>
        <w:rPr>
          <w:rFonts w:ascii="Times New Roman" w:hAnsi="Times New Roman" w:eastAsia="楷体_GB2312"/>
          <w:bCs/>
        </w:rPr>
        <w:t>估价假设和限制条件</w:t>
      </w:r>
      <w:bookmarkEnd w:id="10"/>
      <w:bookmarkEnd w:id="14"/>
    </w:p>
    <w:p>
      <w:pPr>
        <w:numPr>
          <w:ilvl w:val="0"/>
          <w:numId w:val="1"/>
        </w:numPr>
        <w:tabs>
          <w:tab w:val="left" w:pos="0"/>
        </w:tabs>
        <w:spacing w:line="460" w:lineRule="exact"/>
        <w:rPr>
          <w:b/>
          <w:kern w:val="0"/>
          <w:sz w:val="28"/>
          <w:szCs w:val="28"/>
        </w:rPr>
      </w:pPr>
      <w:r>
        <w:rPr>
          <w:b/>
          <w:snapToGrid w:val="0"/>
          <w:kern w:val="0"/>
          <w:sz w:val="28"/>
          <w:szCs w:val="28"/>
        </w:rPr>
        <w:t>本次估价的一般假设</w:t>
      </w:r>
    </w:p>
    <w:p>
      <w:pPr>
        <w:adjustRightInd w:val="0"/>
        <w:snapToGrid w:val="0"/>
        <w:spacing w:line="480" w:lineRule="exact"/>
        <w:ind w:firstLine="560" w:firstLineChars="200"/>
        <w:rPr>
          <w:kern w:val="0"/>
          <w:sz w:val="28"/>
          <w:szCs w:val="28"/>
        </w:rPr>
      </w:pPr>
      <w:r>
        <w:rPr>
          <w:snapToGrid w:val="0"/>
          <w:kern w:val="0"/>
          <w:sz w:val="28"/>
          <w:szCs w:val="28"/>
        </w:rPr>
        <w:t>1、估价委托人未提供估价对象的</w:t>
      </w:r>
      <w:r>
        <w:rPr>
          <w:rFonts w:hint="eastAsia"/>
          <w:snapToGrid w:val="0"/>
          <w:kern w:val="0"/>
          <w:sz w:val="28"/>
          <w:szCs w:val="28"/>
          <w:lang w:eastAsia="zh-CN"/>
        </w:rPr>
        <w:t>《不动产权证书》</w:t>
      </w:r>
      <w:r>
        <w:rPr>
          <w:snapToGrid w:val="0"/>
          <w:kern w:val="0"/>
          <w:sz w:val="28"/>
          <w:szCs w:val="28"/>
        </w:rPr>
        <w:t>原件，我们未向政府有关部门进行核实，在无理由怀疑其合法性、真实性、准确性、完整性的情况下，假定估价委托人提供的资料合法、真实、准确、完整。</w:t>
      </w:r>
    </w:p>
    <w:p>
      <w:pPr>
        <w:adjustRightInd w:val="0"/>
        <w:snapToGrid w:val="0"/>
        <w:spacing w:line="480" w:lineRule="exact"/>
        <w:ind w:firstLine="560" w:firstLineChars="200"/>
        <w:rPr>
          <w:kern w:val="0"/>
          <w:sz w:val="28"/>
          <w:szCs w:val="28"/>
        </w:rPr>
      </w:pPr>
      <w:r>
        <w:rPr>
          <w:snapToGrid w:val="0"/>
          <w:kern w:val="0"/>
          <w:sz w:val="28"/>
          <w:szCs w:val="28"/>
        </w:rPr>
        <w:t>2、注册房地产估价师已对房屋安全环境污染噪音等影响估价对象价值的重大因素给予了关注，在无理由怀疑估价对象存在安全隐患且无相应的专业机构进行鉴定检测的情况，假定估价对象能正常安全使用。</w:t>
      </w:r>
    </w:p>
    <w:p>
      <w:pPr>
        <w:adjustRightInd w:val="0"/>
        <w:snapToGrid w:val="0"/>
        <w:spacing w:line="480" w:lineRule="exact"/>
        <w:ind w:firstLine="560" w:firstLineChars="200"/>
        <w:rPr>
          <w:kern w:val="0"/>
          <w:sz w:val="28"/>
          <w:szCs w:val="28"/>
        </w:rPr>
      </w:pPr>
      <w:r>
        <w:rPr>
          <w:snapToGrid w:val="0"/>
          <w:kern w:val="0"/>
          <w:sz w:val="28"/>
          <w:szCs w:val="28"/>
        </w:rPr>
        <w:t>3、注册房地产估价师未对房屋建筑面积进行专业测量，经实地查勘观察，估价对象房屋建筑面积与</w:t>
      </w:r>
      <w:r>
        <w:rPr>
          <w:rFonts w:hint="eastAsia"/>
          <w:snapToGrid w:val="0"/>
          <w:kern w:val="0"/>
          <w:sz w:val="28"/>
          <w:szCs w:val="28"/>
          <w:lang w:eastAsia="zh-CN"/>
        </w:rPr>
        <w:t>《不动产权证书》</w:t>
      </w:r>
      <w:r>
        <w:rPr>
          <w:snapToGrid w:val="0"/>
          <w:kern w:val="0"/>
          <w:sz w:val="28"/>
          <w:szCs w:val="28"/>
        </w:rPr>
        <w:t>记载建筑面积大体相当。</w:t>
      </w:r>
    </w:p>
    <w:p>
      <w:pPr>
        <w:adjustRightInd w:val="0"/>
        <w:snapToGrid w:val="0"/>
        <w:spacing w:line="480" w:lineRule="exact"/>
        <w:ind w:firstLine="560" w:firstLineChars="200"/>
        <w:rPr>
          <w:kern w:val="0"/>
          <w:sz w:val="28"/>
          <w:szCs w:val="28"/>
        </w:rPr>
      </w:pPr>
      <w:r>
        <w:rPr>
          <w:snapToGrid w:val="0"/>
          <w:kern w:val="0"/>
          <w:sz w:val="28"/>
          <w:szCs w:val="28"/>
        </w:rPr>
        <w:t>4、估价对象在价值时点的房地产市场为公开、平等、自愿的交易市场，即满足以下条件：</w:t>
      </w:r>
    </w:p>
    <w:p>
      <w:pPr>
        <w:adjustRightInd w:val="0"/>
        <w:snapToGrid w:val="0"/>
        <w:spacing w:line="480" w:lineRule="exact"/>
        <w:ind w:firstLine="280" w:firstLineChars="100"/>
        <w:rPr>
          <w:kern w:val="0"/>
          <w:sz w:val="28"/>
          <w:szCs w:val="28"/>
        </w:rPr>
      </w:pPr>
      <w:r>
        <w:rPr>
          <w:snapToGrid w:val="0"/>
          <w:kern w:val="0"/>
          <w:sz w:val="28"/>
          <w:szCs w:val="28"/>
        </w:rPr>
        <w:t>（</w:t>
      </w:r>
      <w:r>
        <w:rPr>
          <w:kern w:val="0"/>
          <w:sz w:val="28"/>
          <w:szCs w:val="28"/>
        </w:rPr>
        <w:t>1</w:t>
      </w:r>
      <w:r>
        <w:rPr>
          <w:snapToGrid w:val="0"/>
          <w:kern w:val="0"/>
          <w:sz w:val="28"/>
          <w:szCs w:val="28"/>
        </w:rPr>
        <w:t>）交易双方自愿地进行交易；</w:t>
      </w:r>
    </w:p>
    <w:p>
      <w:pPr>
        <w:adjustRightInd w:val="0"/>
        <w:snapToGrid w:val="0"/>
        <w:spacing w:line="480" w:lineRule="exact"/>
        <w:ind w:firstLine="280" w:firstLineChars="100"/>
        <w:rPr>
          <w:kern w:val="0"/>
          <w:sz w:val="28"/>
          <w:szCs w:val="28"/>
        </w:rPr>
      </w:pPr>
      <w:r>
        <w:rPr>
          <w:snapToGrid w:val="0"/>
          <w:kern w:val="0"/>
          <w:sz w:val="28"/>
          <w:szCs w:val="28"/>
        </w:rPr>
        <w:t>（</w:t>
      </w:r>
      <w:r>
        <w:rPr>
          <w:kern w:val="0"/>
          <w:sz w:val="28"/>
          <w:szCs w:val="28"/>
        </w:rPr>
        <w:t>2</w:t>
      </w:r>
      <w:r>
        <w:rPr>
          <w:snapToGrid w:val="0"/>
          <w:kern w:val="0"/>
          <w:sz w:val="28"/>
          <w:szCs w:val="28"/>
        </w:rPr>
        <w:t>）交易双方处于利已动机进行交易，</w:t>
      </w:r>
      <w:r>
        <w:rPr>
          <w:rFonts w:eastAsia="仿宋"/>
          <w:snapToGrid w:val="0"/>
          <w:kern w:val="0"/>
          <w:sz w:val="28"/>
          <w:szCs w:val="28"/>
        </w:rPr>
        <w:t>交易目的都是追求自身最大经济利益；</w:t>
      </w:r>
    </w:p>
    <w:p>
      <w:pPr>
        <w:adjustRightInd w:val="0"/>
        <w:snapToGrid w:val="0"/>
        <w:spacing w:line="480" w:lineRule="exact"/>
        <w:ind w:firstLine="280" w:firstLineChars="100"/>
        <w:rPr>
          <w:kern w:val="0"/>
          <w:sz w:val="28"/>
          <w:szCs w:val="28"/>
        </w:rPr>
      </w:pPr>
      <w:r>
        <w:rPr>
          <w:snapToGrid w:val="0"/>
          <w:kern w:val="0"/>
          <w:sz w:val="28"/>
          <w:szCs w:val="28"/>
        </w:rPr>
        <w:t>（</w:t>
      </w:r>
      <w:r>
        <w:rPr>
          <w:kern w:val="0"/>
          <w:sz w:val="28"/>
          <w:szCs w:val="28"/>
        </w:rPr>
        <w:t>3</w:t>
      </w:r>
      <w:r>
        <w:rPr>
          <w:snapToGrid w:val="0"/>
          <w:kern w:val="0"/>
          <w:sz w:val="28"/>
          <w:szCs w:val="28"/>
        </w:rPr>
        <w:t>）交易双方都具有完全市场信息、知晓市场行情，以及对交易对象具有必要的专业知识、不存在买者因特殊兴趣而给予附加出价;</w:t>
      </w:r>
    </w:p>
    <w:p>
      <w:pPr>
        <w:adjustRightInd w:val="0"/>
        <w:snapToGrid w:val="0"/>
        <w:spacing w:line="480" w:lineRule="exact"/>
        <w:ind w:firstLine="280" w:firstLineChars="100"/>
        <w:rPr>
          <w:kern w:val="0"/>
          <w:sz w:val="28"/>
          <w:szCs w:val="28"/>
        </w:rPr>
      </w:pPr>
      <w:r>
        <w:rPr>
          <w:snapToGrid w:val="0"/>
          <w:kern w:val="0"/>
          <w:sz w:val="28"/>
          <w:szCs w:val="28"/>
        </w:rPr>
        <w:t>（</w:t>
      </w:r>
      <w:r>
        <w:rPr>
          <w:kern w:val="0"/>
          <w:sz w:val="28"/>
          <w:szCs w:val="28"/>
        </w:rPr>
        <w:t>4</w:t>
      </w:r>
      <w:r>
        <w:rPr>
          <w:snapToGrid w:val="0"/>
          <w:kern w:val="0"/>
          <w:sz w:val="28"/>
          <w:szCs w:val="28"/>
        </w:rPr>
        <w:t>）交易双方在适当的期间完成谈判和交易，以及在谈判期间物业价值保持稳定；</w:t>
      </w:r>
    </w:p>
    <w:p>
      <w:pPr>
        <w:adjustRightInd w:val="0"/>
        <w:snapToGrid w:val="0"/>
        <w:spacing w:line="480" w:lineRule="exact"/>
        <w:ind w:firstLine="280" w:firstLineChars="100"/>
        <w:rPr>
          <w:kern w:val="0"/>
          <w:sz w:val="28"/>
          <w:szCs w:val="28"/>
        </w:rPr>
      </w:pPr>
      <w:r>
        <w:rPr>
          <w:snapToGrid w:val="0"/>
          <w:kern w:val="0"/>
          <w:sz w:val="28"/>
          <w:szCs w:val="28"/>
        </w:rPr>
        <w:t>（</w:t>
      </w:r>
      <w:r>
        <w:rPr>
          <w:kern w:val="0"/>
          <w:sz w:val="28"/>
          <w:szCs w:val="28"/>
        </w:rPr>
        <w:t>5</w:t>
      </w:r>
      <w:r>
        <w:rPr>
          <w:snapToGrid w:val="0"/>
          <w:kern w:val="0"/>
          <w:sz w:val="28"/>
          <w:szCs w:val="28"/>
        </w:rPr>
        <w:t>）</w:t>
      </w:r>
      <w:r>
        <w:rPr>
          <w:rFonts w:eastAsia="仿宋"/>
          <w:snapToGrid w:val="0"/>
          <w:kern w:val="0"/>
          <w:sz w:val="28"/>
          <w:szCs w:val="28"/>
        </w:rPr>
        <w:t>市场供求关系、市场结构保持稳定、未发生重大变化或实质性改变。</w:t>
      </w:r>
    </w:p>
    <w:p>
      <w:pPr>
        <w:tabs>
          <w:tab w:val="left" w:pos="0"/>
        </w:tabs>
        <w:spacing w:line="480" w:lineRule="exact"/>
        <w:ind w:firstLine="560" w:firstLineChars="200"/>
        <w:rPr>
          <w:kern w:val="0"/>
          <w:sz w:val="28"/>
          <w:szCs w:val="28"/>
        </w:rPr>
      </w:pPr>
      <w:r>
        <w:rPr>
          <w:snapToGrid w:val="0"/>
          <w:kern w:val="0"/>
          <w:sz w:val="28"/>
          <w:szCs w:val="28"/>
        </w:rPr>
        <w:t>5、估价对象权属完整合法，能够自由地在市场交易，没有司法行政机关禁止交易的情形，出售时不附带任何他项权租赁权优先购买权售后回租以及其他类似的可能影响其正常交易价值的权利约束和特殊条款，即产权明晰，手续齐全，可在公开市场上自由转让。</w:t>
      </w:r>
    </w:p>
    <w:p>
      <w:pPr>
        <w:tabs>
          <w:tab w:val="left" w:pos="0"/>
        </w:tabs>
        <w:spacing w:line="480" w:lineRule="exact"/>
        <w:ind w:firstLine="560" w:firstLineChars="200"/>
        <w:rPr>
          <w:kern w:val="0"/>
          <w:sz w:val="28"/>
          <w:szCs w:val="28"/>
        </w:rPr>
      </w:pPr>
      <w:r>
        <w:rPr>
          <w:snapToGrid w:val="0"/>
          <w:kern w:val="0"/>
          <w:sz w:val="28"/>
          <w:szCs w:val="28"/>
        </w:rPr>
        <w:t>6、估价对象应享有公共部位的通行权、水电等共用设施及小区景观、绿化、配套设施的使用权。</w:t>
      </w:r>
    </w:p>
    <w:p>
      <w:pPr>
        <w:tabs>
          <w:tab w:val="left" w:pos="0"/>
        </w:tabs>
        <w:spacing w:line="480" w:lineRule="exact"/>
        <w:ind w:firstLine="560" w:firstLineChars="200"/>
        <w:rPr>
          <w:sz w:val="28"/>
          <w:szCs w:val="28"/>
        </w:rPr>
      </w:pPr>
      <w:r>
        <w:rPr>
          <w:snapToGrid w:val="0"/>
          <w:kern w:val="0"/>
          <w:sz w:val="28"/>
          <w:szCs w:val="28"/>
        </w:rPr>
        <w:t>7、</w:t>
      </w:r>
      <w:r>
        <w:rPr>
          <w:sz w:val="28"/>
          <w:szCs w:val="28"/>
        </w:rPr>
        <w:t>估价对象作为住宅用途持续有效利用，是合法条件下的最佳用途，得到最有效运用，并与其他要素相结合，能满足设定使用年限内产生正常的、持续的收益。</w:t>
      </w:r>
    </w:p>
    <w:p>
      <w:pPr>
        <w:tabs>
          <w:tab w:val="left" w:pos="0"/>
        </w:tabs>
        <w:spacing w:line="480" w:lineRule="exact"/>
        <w:ind w:firstLine="560" w:firstLineChars="200"/>
        <w:rPr>
          <w:sz w:val="28"/>
          <w:szCs w:val="28"/>
        </w:rPr>
      </w:pPr>
      <w:r>
        <w:rPr>
          <w:rFonts w:hint="eastAsia"/>
          <w:sz w:val="28"/>
          <w:szCs w:val="28"/>
        </w:rPr>
        <w:t>8、由于估价委托人和案件当事人没有提供租赁权和用益物权信息，且注册房地产估价师无法知晓其真实性，故本次估价以估价对象没有租赁权和用益物权限制为假设前提。</w:t>
      </w:r>
    </w:p>
    <w:p>
      <w:pPr>
        <w:tabs>
          <w:tab w:val="left" w:pos="735"/>
        </w:tabs>
        <w:adjustRightInd w:val="0"/>
        <w:snapToGrid w:val="0"/>
        <w:spacing w:line="440" w:lineRule="exact"/>
        <w:rPr>
          <w:b/>
          <w:snapToGrid w:val="0"/>
          <w:kern w:val="0"/>
          <w:sz w:val="28"/>
          <w:szCs w:val="28"/>
        </w:rPr>
      </w:pPr>
      <w:r>
        <w:rPr>
          <w:b/>
          <w:snapToGrid w:val="0"/>
          <w:kern w:val="0"/>
          <w:sz w:val="28"/>
          <w:szCs w:val="28"/>
        </w:rPr>
        <w:t>二、本次估价未定事项假设</w:t>
      </w:r>
    </w:p>
    <w:p>
      <w:pPr>
        <w:tabs>
          <w:tab w:val="left" w:pos="735"/>
        </w:tabs>
        <w:adjustRightInd w:val="0"/>
        <w:snapToGrid w:val="0"/>
        <w:spacing w:line="440" w:lineRule="exact"/>
        <w:ind w:firstLine="560" w:firstLineChars="200"/>
        <w:rPr>
          <w:rFonts w:hint="eastAsia"/>
          <w:sz w:val="28"/>
          <w:szCs w:val="28"/>
        </w:rPr>
      </w:pPr>
      <w:r>
        <w:rPr>
          <w:rFonts w:hint="eastAsia"/>
          <w:sz w:val="28"/>
          <w:szCs w:val="28"/>
          <w:lang w:val="en-US" w:eastAsia="zh-CN"/>
        </w:rPr>
        <w:t>1</w:t>
      </w:r>
      <w:r>
        <w:rPr>
          <w:rFonts w:hint="eastAsia"/>
          <w:sz w:val="28"/>
          <w:szCs w:val="28"/>
        </w:rPr>
        <w:t>、本次估价对象由估价委托人现场指认，假定与产权登记房屋一致，若与实际不符应重新估价。</w:t>
      </w:r>
    </w:p>
    <w:p>
      <w:pPr>
        <w:tabs>
          <w:tab w:val="left" w:pos="735"/>
        </w:tabs>
        <w:adjustRightInd w:val="0"/>
        <w:snapToGrid w:val="0"/>
        <w:spacing w:line="440" w:lineRule="exact"/>
        <w:rPr>
          <w:snapToGrid w:val="0"/>
          <w:kern w:val="0"/>
          <w:sz w:val="28"/>
          <w:szCs w:val="28"/>
        </w:rPr>
      </w:pPr>
      <w:r>
        <w:rPr>
          <w:b/>
          <w:snapToGrid w:val="0"/>
          <w:kern w:val="0"/>
          <w:sz w:val="28"/>
          <w:szCs w:val="28"/>
        </w:rPr>
        <w:t>三、本次估价的背离事实假设</w:t>
      </w:r>
    </w:p>
    <w:p>
      <w:pPr>
        <w:tabs>
          <w:tab w:val="left" w:pos="735"/>
        </w:tabs>
        <w:adjustRightInd w:val="0"/>
        <w:snapToGrid w:val="0"/>
        <w:spacing w:line="480" w:lineRule="exact"/>
        <w:ind w:firstLine="532" w:firstLineChars="190"/>
        <w:rPr>
          <w:rFonts w:hint="eastAsia"/>
          <w:sz w:val="28"/>
          <w:szCs w:val="28"/>
        </w:rPr>
      </w:pPr>
      <w:r>
        <w:rPr>
          <w:rFonts w:hint="eastAsia"/>
          <w:sz w:val="28"/>
          <w:szCs w:val="28"/>
          <w:lang w:val="en-US" w:eastAsia="zh-CN"/>
        </w:rPr>
        <w:t>1、</w:t>
      </w:r>
      <w:r>
        <w:rPr>
          <w:rFonts w:hint="eastAsia"/>
          <w:sz w:val="28"/>
          <w:szCs w:val="28"/>
        </w:rPr>
        <w:t>在价值时点，估价对象存在抵押权，本次估价不考虑估价对象抵押权因素的影响。</w:t>
      </w:r>
    </w:p>
    <w:p>
      <w:pPr>
        <w:tabs>
          <w:tab w:val="left" w:pos="735"/>
        </w:tabs>
        <w:adjustRightInd w:val="0"/>
        <w:snapToGrid w:val="0"/>
        <w:spacing w:line="480" w:lineRule="exact"/>
        <w:ind w:firstLine="532" w:firstLineChars="190"/>
        <w:rPr>
          <w:sz w:val="28"/>
          <w:szCs w:val="28"/>
        </w:rPr>
      </w:pPr>
      <w:r>
        <w:rPr>
          <w:rFonts w:hint="eastAsia"/>
          <w:sz w:val="28"/>
          <w:szCs w:val="28"/>
          <w:lang w:val="en-US" w:eastAsia="zh-CN"/>
        </w:rPr>
        <w:t>2</w:t>
      </w:r>
      <w:r>
        <w:rPr>
          <w:rFonts w:hint="eastAsia"/>
          <w:sz w:val="28"/>
          <w:szCs w:val="28"/>
        </w:rPr>
        <w:t>、在价值时点，估价对象已被人民法院查封，本次估价不考虑估价对象已被查封因素的影响</w:t>
      </w:r>
    </w:p>
    <w:p>
      <w:pPr>
        <w:tabs>
          <w:tab w:val="left" w:pos="735"/>
        </w:tabs>
        <w:adjustRightInd w:val="0"/>
        <w:snapToGrid w:val="0"/>
        <w:spacing w:line="480" w:lineRule="exact"/>
        <w:ind w:firstLine="532" w:firstLineChars="190"/>
        <w:rPr>
          <w:sz w:val="28"/>
          <w:szCs w:val="28"/>
        </w:rPr>
      </w:pPr>
      <w:r>
        <w:rPr>
          <w:rFonts w:hint="eastAsia"/>
          <w:sz w:val="28"/>
          <w:szCs w:val="28"/>
          <w:lang w:val="en-US" w:eastAsia="zh-CN"/>
        </w:rPr>
        <w:t>3</w:t>
      </w:r>
      <w:r>
        <w:rPr>
          <w:rFonts w:hint="eastAsia"/>
          <w:sz w:val="28"/>
          <w:szCs w:val="28"/>
        </w:rPr>
        <w:t>、</w:t>
      </w:r>
      <w:r>
        <w:rPr>
          <w:sz w:val="28"/>
          <w:szCs w:val="28"/>
        </w:rPr>
        <w:t>本次估价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结果的影响。当上述条件发生变化时，估价结果一般会发生变化。</w:t>
      </w:r>
    </w:p>
    <w:p>
      <w:pPr>
        <w:tabs>
          <w:tab w:val="left" w:pos="735"/>
        </w:tabs>
        <w:adjustRightInd w:val="0"/>
        <w:snapToGrid w:val="0"/>
        <w:spacing w:line="440" w:lineRule="exact"/>
        <w:rPr>
          <w:rFonts w:eastAsia="仿宋"/>
          <w:bCs/>
          <w:kern w:val="0"/>
          <w:sz w:val="28"/>
          <w:szCs w:val="28"/>
        </w:rPr>
      </w:pPr>
      <w:r>
        <w:rPr>
          <w:b/>
          <w:snapToGrid w:val="0"/>
          <w:kern w:val="0"/>
          <w:sz w:val="28"/>
          <w:szCs w:val="28"/>
        </w:rPr>
        <w:t>四、本次估价不相一致假设</w:t>
      </w:r>
    </w:p>
    <w:p>
      <w:pPr>
        <w:tabs>
          <w:tab w:val="left" w:pos="735"/>
        </w:tabs>
        <w:adjustRightInd w:val="0"/>
        <w:snapToGrid w:val="0"/>
        <w:spacing w:line="440" w:lineRule="exact"/>
        <w:ind w:firstLine="560" w:firstLineChars="200"/>
        <w:rPr>
          <w:sz w:val="28"/>
          <w:szCs w:val="28"/>
        </w:rPr>
      </w:pPr>
      <w:r>
        <w:rPr>
          <w:rFonts w:hint="eastAsia"/>
          <w:sz w:val="28"/>
          <w:szCs w:val="28"/>
        </w:rPr>
        <w:t>本次估价的估价对象不存在不相一致事项，故本次估价无不相一致假设。</w:t>
      </w:r>
    </w:p>
    <w:p>
      <w:pPr>
        <w:tabs>
          <w:tab w:val="left" w:pos="735"/>
        </w:tabs>
        <w:adjustRightInd w:val="0"/>
        <w:snapToGrid w:val="0"/>
        <w:spacing w:line="440" w:lineRule="exact"/>
        <w:rPr>
          <w:b/>
          <w:snapToGrid w:val="0"/>
          <w:kern w:val="0"/>
          <w:sz w:val="28"/>
          <w:szCs w:val="28"/>
        </w:rPr>
      </w:pPr>
      <w:r>
        <w:rPr>
          <w:b/>
          <w:snapToGrid w:val="0"/>
          <w:kern w:val="0"/>
          <w:sz w:val="28"/>
          <w:szCs w:val="28"/>
        </w:rPr>
        <w:t>五、本次估价的依据不足假设</w:t>
      </w:r>
    </w:p>
    <w:p>
      <w:pPr>
        <w:tabs>
          <w:tab w:val="left" w:pos="735"/>
        </w:tabs>
        <w:adjustRightInd w:val="0"/>
        <w:snapToGrid w:val="0"/>
        <w:spacing w:line="440" w:lineRule="exact"/>
        <w:ind w:firstLine="560" w:firstLineChars="200"/>
        <w:rPr>
          <w:sz w:val="28"/>
          <w:szCs w:val="28"/>
        </w:rPr>
      </w:pPr>
      <w:r>
        <w:rPr>
          <w:rFonts w:hint="eastAsia"/>
          <w:sz w:val="28"/>
          <w:szCs w:val="28"/>
        </w:rPr>
        <w:t>本次估价的估价对象不存在依据不足事项，故本次估价无依据不足假设。</w:t>
      </w:r>
    </w:p>
    <w:p>
      <w:pPr>
        <w:numPr>
          <w:ilvl w:val="0"/>
          <w:numId w:val="2"/>
        </w:numPr>
        <w:spacing w:line="480" w:lineRule="exact"/>
        <w:rPr>
          <w:b/>
          <w:snapToGrid w:val="0"/>
          <w:kern w:val="0"/>
          <w:sz w:val="28"/>
          <w:szCs w:val="28"/>
        </w:rPr>
      </w:pPr>
      <w:r>
        <w:rPr>
          <w:b/>
          <w:snapToGrid w:val="0"/>
          <w:kern w:val="0"/>
          <w:sz w:val="28"/>
          <w:szCs w:val="28"/>
        </w:rPr>
        <w:t>估价报告使用限制</w:t>
      </w:r>
    </w:p>
    <w:p>
      <w:pPr>
        <w:spacing w:line="480" w:lineRule="exact"/>
        <w:ind w:firstLine="560" w:firstLineChars="200"/>
        <w:rPr>
          <w:kern w:val="0"/>
          <w:sz w:val="28"/>
          <w:szCs w:val="28"/>
        </w:rPr>
      </w:pPr>
      <w:r>
        <w:rPr>
          <w:sz w:val="28"/>
          <w:szCs w:val="28"/>
        </w:rPr>
        <w:t>1、本估价报告使用期限自估价报告出具之日起壹年，即</w:t>
      </w:r>
      <w:r>
        <w:rPr>
          <w:rFonts w:hint="eastAsia"/>
          <w:sz w:val="28"/>
          <w:szCs w:val="28"/>
          <w:lang w:eastAsia="zh-CN"/>
        </w:rPr>
        <w:t>2018年12月</w:t>
      </w:r>
      <w:r>
        <w:rPr>
          <w:rFonts w:hint="eastAsia"/>
          <w:sz w:val="28"/>
          <w:szCs w:val="28"/>
          <w:lang w:val="en-US" w:eastAsia="zh-CN"/>
        </w:rPr>
        <w:t>24</w:t>
      </w:r>
      <w:r>
        <w:rPr>
          <w:rFonts w:hint="eastAsia"/>
          <w:sz w:val="28"/>
          <w:szCs w:val="28"/>
          <w:lang w:eastAsia="zh-CN"/>
        </w:rPr>
        <w:t>日</w:t>
      </w:r>
      <w:r>
        <w:rPr>
          <w:sz w:val="28"/>
          <w:szCs w:val="28"/>
        </w:rPr>
        <w:t>至2019年</w:t>
      </w:r>
      <w:r>
        <w:rPr>
          <w:rFonts w:hint="eastAsia"/>
          <w:sz w:val="28"/>
          <w:szCs w:val="28"/>
        </w:rPr>
        <w:t>1</w:t>
      </w:r>
      <w:r>
        <w:rPr>
          <w:rFonts w:hint="eastAsia"/>
          <w:sz w:val="28"/>
          <w:szCs w:val="28"/>
          <w:lang w:val="en-US" w:eastAsia="zh-CN"/>
        </w:rPr>
        <w:t>2</w:t>
      </w:r>
      <w:r>
        <w:rPr>
          <w:rFonts w:hint="eastAsia"/>
          <w:sz w:val="28"/>
          <w:szCs w:val="28"/>
        </w:rPr>
        <w:t>月</w:t>
      </w:r>
      <w:r>
        <w:rPr>
          <w:rFonts w:hint="eastAsia"/>
          <w:sz w:val="28"/>
          <w:szCs w:val="28"/>
          <w:lang w:val="en-US" w:eastAsia="zh-CN"/>
        </w:rPr>
        <w:t>23</w:t>
      </w:r>
      <w:r>
        <w:rPr>
          <w:rFonts w:hint="eastAsia"/>
          <w:sz w:val="28"/>
          <w:szCs w:val="28"/>
        </w:rPr>
        <w:t>日</w:t>
      </w:r>
      <w:r>
        <w:rPr>
          <w:sz w:val="28"/>
          <w:szCs w:val="28"/>
        </w:rPr>
        <w:t>。若报告使用期限内，房地产市场</w:t>
      </w:r>
      <w:r>
        <w:rPr>
          <w:snapToGrid w:val="0"/>
          <w:kern w:val="0"/>
          <w:sz w:val="28"/>
          <w:szCs w:val="28"/>
        </w:rPr>
        <w:t>或估价对象状况发</w:t>
      </w:r>
      <w:r>
        <w:rPr>
          <w:kern w:val="0"/>
          <w:sz w:val="28"/>
          <w:szCs w:val="28"/>
        </w:rPr>
        <w:t>生重大变化，估价结果需做相应调整或委托估价机构重新估价。</w:t>
      </w:r>
    </w:p>
    <w:p>
      <w:pPr>
        <w:spacing w:line="480" w:lineRule="exact"/>
        <w:ind w:firstLine="560" w:firstLineChars="200"/>
        <w:rPr>
          <w:sz w:val="28"/>
          <w:szCs w:val="28"/>
        </w:rPr>
      </w:pPr>
      <w:r>
        <w:rPr>
          <w:sz w:val="28"/>
          <w:szCs w:val="28"/>
        </w:rPr>
        <w:t>2</w:t>
      </w:r>
      <w:r>
        <w:rPr>
          <w:snapToGrid w:val="0"/>
          <w:kern w:val="0"/>
          <w:sz w:val="28"/>
          <w:szCs w:val="28"/>
        </w:rPr>
        <w:t>、</w:t>
      </w:r>
      <w:r>
        <w:rPr>
          <w:sz w:val="28"/>
          <w:szCs w:val="28"/>
        </w:rPr>
        <w:t>估价结果为房地产市场价值，未考虑快速变现等处分方式带来的影响。</w:t>
      </w:r>
    </w:p>
    <w:p>
      <w:pPr>
        <w:spacing w:line="480" w:lineRule="exact"/>
        <w:ind w:firstLine="560" w:firstLineChars="200"/>
        <w:rPr>
          <w:snapToGrid w:val="0"/>
          <w:kern w:val="0"/>
          <w:sz w:val="28"/>
          <w:szCs w:val="28"/>
        </w:rPr>
      </w:pPr>
      <w:r>
        <w:rPr>
          <w:snapToGrid w:val="0"/>
          <w:kern w:val="0"/>
          <w:sz w:val="28"/>
          <w:szCs w:val="28"/>
        </w:rPr>
        <w:t>3、本估价报告估价结果</w:t>
      </w:r>
      <w:r>
        <w:rPr>
          <w:rFonts w:hint="eastAsia"/>
          <w:snapToGrid w:val="0"/>
          <w:kern w:val="0"/>
          <w:sz w:val="28"/>
          <w:szCs w:val="28"/>
        </w:rPr>
        <w:t>为司法拍卖（变卖）提供房地产市场价值参考依据</w:t>
      </w:r>
      <w:r>
        <w:rPr>
          <w:snapToGrid w:val="0"/>
          <w:kern w:val="0"/>
          <w:sz w:val="28"/>
          <w:szCs w:val="28"/>
        </w:rPr>
        <w:t>，按照既定目的提供给估价委托人使用，若改变估价目的及使用条件，需向本公司咨询后作必要调整甚至重新估价。</w:t>
      </w:r>
    </w:p>
    <w:p>
      <w:pPr>
        <w:spacing w:line="480" w:lineRule="exact"/>
        <w:ind w:firstLine="560" w:firstLineChars="200"/>
        <w:rPr>
          <w:sz w:val="28"/>
          <w:szCs w:val="28"/>
        </w:rPr>
      </w:pPr>
      <w:r>
        <w:rPr>
          <w:sz w:val="28"/>
          <w:szCs w:val="28"/>
        </w:rPr>
        <w:t>4</w:t>
      </w:r>
      <w:r>
        <w:rPr>
          <w:snapToGrid w:val="0"/>
          <w:kern w:val="0"/>
          <w:sz w:val="28"/>
          <w:szCs w:val="28"/>
        </w:rPr>
        <w:t>、</w:t>
      </w:r>
      <w:r>
        <w:rPr>
          <w:sz w:val="28"/>
          <w:szCs w:val="28"/>
        </w:rPr>
        <w:t>本估价报告分为估价结果报告和估价技术报告两部分，估价结果报告提供给估价委托人，估价技术报告根据有关规定由估价机构存档并在必要时提供给相关主管部门审查使用。</w:t>
      </w:r>
    </w:p>
    <w:p>
      <w:pPr>
        <w:spacing w:line="480" w:lineRule="exact"/>
        <w:ind w:firstLine="560" w:firstLineChars="200"/>
        <w:rPr>
          <w:sz w:val="28"/>
          <w:szCs w:val="28"/>
        </w:rPr>
      </w:pPr>
      <w:r>
        <w:rPr>
          <w:sz w:val="28"/>
          <w:szCs w:val="28"/>
        </w:rPr>
        <w:t>5</w:t>
      </w:r>
      <w:r>
        <w:rPr>
          <w:snapToGrid w:val="0"/>
          <w:kern w:val="0"/>
          <w:sz w:val="28"/>
          <w:szCs w:val="28"/>
        </w:rPr>
        <w:t>、</w:t>
      </w:r>
      <w:r>
        <w:rPr>
          <w:sz w:val="28"/>
          <w:szCs w:val="28"/>
        </w:rPr>
        <w:t>未经估价机构书面同意，本估价报告的全部和部分及任何参考资料均不允许在任何公开发表的文件、通知或声明中引用，亦不得以其他任何方式公开发表。</w:t>
      </w:r>
    </w:p>
    <w:p>
      <w:pPr>
        <w:pStyle w:val="3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snapToGrid w:val="0"/>
          <w:sz w:val="28"/>
          <w:szCs w:val="28"/>
        </w:rPr>
        <w:t>6、</w:t>
      </w:r>
      <w:r>
        <w:rPr>
          <w:rFonts w:ascii="Times New Roman" w:hAnsi="Times New Roman" w:eastAsia="仿宋" w:cs="Times New Roman"/>
          <w:sz w:val="28"/>
          <w:szCs w:val="28"/>
        </w:rPr>
        <w:t>本报告必须完整使用方为有效，对仅使用报告中的部分内容或者违规使用本估价报告和估价结果，所导致的有关损失或者法律后果由有关责任方自行承担，本估价机构及本估价报告签字估价师不承担任何责任。本公司保留对违规使用本估价报告和估价结果的有关责任方追究相关法律责任的权利。</w:t>
      </w:r>
      <w:r>
        <w:rPr>
          <w:rFonts w:ascii="Times New Roman" w:hAnsi="Times New Roman" w:eastAsia="仿宋" w:cs="Times New Roman"/>
          <w:snapToGrid w:val="0"/>
          <w:sz w:val="28"/>
          <w:szCs w:val="28"/>
        </w:rPr>
        <w:t>如发现本报告内的文字或数字因校印或其它原因出现误差时，请通知本公司进行更正。否则，报告误差部分无效。</w:t>
      </w:r>
    </w:p>
    <w:p>
      <w:pPr>
        <w:spacing w:line="480" w:lineRule="exact"/>
        <w:ind w:firstLine="560" w:firstLineChars="200"/>
        <w:rPr>
          <w:snapToGrid w:val="0"/>
          <w:kern w:val="0"/>
          <w:sz w:val="28"/>
          <w:szCs w:val="28"/>
        </w:rPr>
      </w:pPr>
      <w:r>
        <w:rPr>
          <w:snapToGrid w:val="0"/>
          <w:kern w:val="0"/>
          <w:sz w:val="28"/>
          <w:szCs w:val="28"/>
        </w:rPr>
        <w:t>7、估价过程中遇到非估价人员执业水平和能力所能评定估算的不确定性因素、或有事项等，估价人员和估价机构对此类事项不承担任何责任。本估价报告仅是在报告中说明的假设条件下对估价对象正常市场价值进行的合理估算，报告中对估价对象权属情况的披露不能作为对其权属确认的依据，估价对象权属界定以有权管理部门认定为准。</w:t>
      </w:r>
    </w:p>
    <w:p>
      <w:pPr>
        <w:spacing w:line="480" w:lineRule="exact"/>
        <w:ind w:firstLine="560" w:firstLineChars="200"/>
        <w:rPr>
          <w:snapToGrid w:val="0"/>
          <w:kern w:val="0"/>
          <w:sz w:val="28"/>
          <w:szCs w:val="28"/>
        </w:rPr>
      </w:pPr>
      <w:r>
        <w:rPr>
          <w:rFonts w:eastAsia="仿宋"/>
          <w:sz w:val="28"/>
          <w:szCs w:val="28"/>
        </w:rPr>
        <w:t>8、司法鉴定估价的基本事项通过当事人的《房地产司法鉴定评估风险告知书》确定，当事人明确知悉自己应履行的配合义务及不履行该义务可能承担的不利后果。本次估价所涉权属资料</w:t>
      </w:r>
      <w:r>
        <w:rPr>
          <w:rFonts w:hint="eastAsia" w:eastAsia="仿宋"/>
          <w:sz w:val="28"/>
          <w:szCs w:val="28"/>
          <w:lang w:eastAsia="zh-CN"/>
        </w:rPr>
        <w:t>《不动产权证书》、《国有土地使用证》</w:t>
      </w:r>
      <w:r>
        <w:rPr>
          <w:rFonts w:eastAsia="仿宋"/>
          <w:sz w:val="28"/>
          <w:szCs w:val="28"/>
        </w:rPr>
        <w:t>为经</w:t>
      </w:r>
      <w:r>
        <w:rPr>
          <w:snapToGrid w:val="0"/>
          <w:kern w:val="0"/>
          <w:sz w:val="28"/>
          <w:szCs w:val="28"/>
        </w:rPr>
        <w:t>当事人质证人民法院认定的鉴定评估资料，估价依据及相关参数资料为注册房地产估价师调查核实的资料。</w:t>
      </w:r>
    </w:p>
    <w:p>
      <w:pPr>
        <w:spacing w:line="480" w:lineRule="exact"/>
        <w:ind w:firstLine="560" w:firstLineChars="200"/>
        <w:rPr>
          <w:snapToGrid w:val="0"/>
          <w:kern w:val="0"/>
          <w:sz w:val="28"/>
          <w:szCs w:val="28"/>
        </w:rPr>
      </w:pPr>
      <w:r>
        <w:rPr>
          <w:snapToGrid w:val="0"/>
          <w:kern w:val="0"/>
          <w:sz w:val="28"/>
          <w:szCs w:val="28"/>
        </w:rPr>
        <w:t>9、其他事项说明：</w:t>
      </w:r>
    </w:p>
    <w:p>
      <w:pPr>
        <w:spacing w:line="480" w:lineRule="exact"/>
        <w:ind w:firstLine="560" w:firstLineChars="200"/>
      </w:pPr>
      <w:r>
        <w:rPr>
          <w:snapToGrid w:val="0"/>
          <w:kern w:val="0"/>
          <w:sz w:val="28"/>
          <w:szCs w:val="28"/>
        </w:rPr>
        <w:t>（1）本次估价委托人和案件当事人没有提供估价对象的租赁情况，若存在租赁，依据《合同法》第229条和《民通意见》119条有关规定，遵循“买卖不破租赁”，买受人应当对租约，以及履约情况进行判断和予以关注。</w:t>
      </w:r>
    </w:p>
    <w:p>
      <w:pPr>
        <w:spacing w:line="480" w:lineRule="exact"/>
        <w:ind w:firstLine="560" w:firstLineChars="200"/>
        <w:rPr>
          <w:snapToGrid w:val="0"/>
          <w:kern w:val="0"/>
          <w:sz w:val="28"/>
          <w:szCs w:val="28"/>
        </w:rPr>
      </w:pPr>
      <w:r>
        <w:rPr>
          <w:snapToGrid w:val="0"/>
          <w:kern w:val="0"/>
          <w:sz w:val="28"/>
          <w:szCs w:val="28"/>
        </w:rPr>
        <w:t>（2）案件当事人对鉴定估价报告有异议的，可以自收到鉴定估价报告起</w:t>
      </w:r>
      <w:r>
        <w:rPr>
          <w:rFonts w:hint="eastAsia"/>
          <w:snapToGrid w:val="0"/>
          <w:kern w:val="0"/>
          <w:sz w:val="28"/>
          <w:szCs w:val="28"/>
          <w:lang w:val="en-US" w:eastAsia="zh-CN"/>
        </w:rPr>
        <w:t>5</w:t>
      </w:r>
      <w:r>
        <w:rPr>
          <w:snapToGrid w:val="0"/>
          <w:kern w:val="0"/>
          <w:sz w:val="28"/>
          <w:szCs w:val="28"/>
        </w:rPr>
        <w:t>日内提出异议，超过该期间即丧失对鉴定估价报告提出异议的权利。</w:t>
      </w:r>
    </w:p>
    <w:p>
      <w:pPr>
        <w:spacing w:line="440" w:lineRule="exact"/>
        <w:ind w:firstLine="560" w:firstLineChars="200"/>
        <w:rPr>
          <w:snapToGrid w:val="0"/>
          <w:kern w:val="0"/>
          <w:sz w:val="28"/>
          <w:szCs w:val="28"/>
        </w:rPr>
      </w:pPr>
    </w:p>
    <w:p>
      <w:pPr>
        <w:spacing w:line="440" w:lineRule="exact"/>
        <w:ind w:firstLine="560" w:firstLineChars="200"/>
        <w:rPr>
          <w:snapToGrid w:val="0"/>
          <w:kern w:val="0"/>
          <w:sz w:val="28"/>
          <w:szCs w:val="28"/>
        </w:rPr>
      </w:pPr>
    </w:p>
    <w:p>
      <w:pPr>
        <w:pStyle w:val="11"/>
        <w:pageBreakBefore/>
        <w:spacing w:after="0" w:line="720" w:lineRule="auto"/>
        <w:ind w:firstLine="525"/>
        <w:jc w:val="center"/>
        <w:outlineLvl w:val="1"/>
        <w:rPr>
          <w:rFonts w:eastAsia="仿宋_GB2312"/>
          <w:sz w:val="24"/>
          <w:szCs w:val="24"/>
        </w:rPr>
      </w:pPr>
      <w:bookmarkStart w:id="15" w:name="_Toc24820"/>
      <w:r>
        <w:rPr>
          <w:rFonts w:eastAsia="楷体_GB2312"/>
          <w:b/>
          <w:sz w:val="36"/>
          <w:szCs w:val="36"/>
        </w:rPr>
        <w:t>估价结果报告</w:t>
      </w:r>
      <w:bookmarkEnd w:id="11"/>
      <w:bookmarkEnd w:id="12"/>
      <w:bookmarkEnd w:id="13"/>
      <w:bookmarkEnd w:id="15"/>
    </w:p>
    <w:p>
      <w:pPr>
        <w:pStyle w:val="5"/>
        <w:spacing w:line="480" w:lineRule="exact"/>
        <w:ind w:firstLine="0"/>
        <w:outlineLvl w:val="2"/>
        <w:rPr>
          <w:rFonts w:eastAsia="仿宋_GB2312"/>
          <w:b/>
          <w:bCs/>
        </w:rPr>
      </w:pPr>
      <w:bookmarkStart w:id="16" w:name="_Toc18582"/>
      <w:r>
        <w:rPr>
          <w:rFonts w:eastAsia="仿宋_GB2312"/>
          <w:b/>
          <w:bCs/>
        </w:rPr>
        <w:t>一、估价委托人</w:t>
      </w:r>
      <w:bookmarkEnd w:id="16"/>
    </w:p>
    <w:p>
      <w:pPr>
        <w:pStyle w:val="18"/>
        <w:spacing w:line="480" w:lineRule="exact"/>
        <w:ind w:firstLine="560" w:firstLineChars="200"/>
        <w:rPr>
          <w:rFonts w:hint="eastAsia" w:ascii="Times New Roman" w:hAnsi="Times New Roman" w:eastAsia="仿宋_GB2312"/>
          <w:sz w:val="28"/>
          <w:lang w:eastAsia="zh-CN"/>
        </w:rPr>
      </w:pPr>
      <w:r>
        <w:rPr>
          <w:rFonts w:ascii="Times New Roman" w:hAnsi="Times New Roman"/>
          <w:sz w:val="28"/>
        </w:rPr>
        <w:t>单位名称：</w:t>
      </w:r>
      <w:r>
        <w:rPr>
          <w:rFonts w:hint="eastAsia" w:ascii="Times New Roman" w:hAnsi="Times New Roman"/>
          <w:sz w:val="28"/>
          <w:lang w:eastAsia="zh-CN"/>
        </w:rPr>
        <w:t>四川省攀枝花市西区人民法院</w:t>
      </w:r>
    </w:p>
    <w:p>
      <w:pPr>
        <w:pStyle w:val="5"/>
        <w:spacing w:line="480" w:lineRule="exact"/>
        <w:ind w:firstLine="0"/>
        <w:outlineLvl w:val="2"/>
        <w:rPr>
          <w:rFonts w:eastAsia="仿宋_GB2312"/>
          <w:b/>
          <w:bCs/>
        </w:rPr>
      </w:pPr>
      <w:bookmarkStart w:id="17" w:name="_Toc8369"/>
      <w:r>
        <w:rPr>
          <w:rFonts w:eastAsia="仿宋_GB2312"/>
          <w:b/>
          <w:bCs/>
        </w:rPr>
        <w:t>二、房地产估价机构</w:t>
      </w:r>
      <w:bookmarkEnd w:id="17"/>
    </w:p>
    <w:p>
      <w:pPr>
        <w:spacing w:line="480" w:lineRule="exact"/>
        <w:ind w:firstLine="560" w:firstLineChars="200"/>
        <w:rPr>
          <w:sz w:val="28"/>
        </w:rPr>
      </w:pPr>
      <w:bookmarkStart w:id="18" w:name="OLE_LINK5"/>
      <w:bookmarkStart w:id="19" w:name="OLE_LINK4"/>
      <w:r>
        <w:rPr>
          <w:rFonts w:hint="eastAsia"/>
          <w:sz w:val="28"/>
        </w:rPr>
        <w:t>机构名称：博文房地产评估造价集团有限公司</w:t>
      </w:r>
    </w:p>
    <w:p>
      <w:pPr>
        <w:adjustRightInd w:val="0"/>
        <w:spacing w:line="480" w:lineRule="exact"/>
        <w:ind w:firstLine="560" w:firstLineChars="200"/>
        <w:rPr>
          <w:sz w:val="28"/>
        </w:rPr>
      </w:pPr>
      <w:r>
        <w:rPr>
          <w:rFonts w:hint="eastAsia"/>
          <w:sz w:val="28"/>
        </w:rPr>
        <w:t>法定代表人：徐文井</w:t>
      </w:r>
    </w:p>
    <w:p>
      <w:pPr>
        <w:adjustRightInd w:val="0"/>
        <w:spacing w:line="480" w:lineRule="exact"/>
        <w:ind w:firstLine="560" w:firstLineChars="200"/>
        <w:rPr>
          <w:kern w:val="0"/>
          <w:sz w:val="28"/>
          <w:szCs w:val="28"/>
        </w:rPr>
      </w:pPr>
      <w:r>
        <w:rPr>
          <w:rFonts w:hint="eastAsia"/>
          <w:sz w:val="28"/>
        </w:rPr>
        <w:t>住所：</w:t>
      </w:r>
      <w:r>
        <w:rPr>
          <w:rFonts w:hint="eastAsia"/>
          <w:kern w:val="0"/>
          <w:sz w:val="28"/>
          <w:szCs w:val="28"/>
        </w:rPr>
        <w:t>北京市西城区宣武门外大街</w:t>
      </w:r>
      <w:r>
        <w:rPr>
          <w:kern w:val="0"/>
          <w:sz w:val="28"/>
          <w:szCs w:val="28"/>
        </w:rPr>
        <w:t>6</w:t>
      </w:r>
      <w:r>
        <w:rPr>
          <w:rFonts w:hint="eastAsia"/>
          <w:kern w:val="0"/>
          <w:sz w:val="28"/>
          <w:szCs w:val="28"/>
        </w:rPr>
        <w:t>、</w:t>
      </w:r>
      <w:r>
        <w:rPr>
          <w:kern w:val="0"/>
          <w:sz w:val="28"/>
          <w:szCs w:val="28"/>
        </w:rPr>
        <w:t>8</w:t>
      </w:r>
      <w:r>
        <w:rPr>
          <w:rFonts w:hint="eastAsia"/>
          <w:kern w:val="0"/>
          <w:sz w:val="28"/>
          <w:szCs w:val="28"/>
        </w:rPr>
        <w:t>、</w:t>
      </w:r>
      <w:r>
        <w:rPr>
          <w:kern w:val="0"/>
          <w:sz w:val="28"/>
          <w:szCs w:val="28"/>
        </w:rPr>
        <w:t>10</w:t>
      </w:r>
      <w:r>
        <w:rPr>
          <w:rFonts w:hint="eastAsia"/>
          <w:kern w:val="0"/>
          <w:sz w:val="28"/>
          <w:szCs w:val="28"/>
        </w:rPr>
        <w:t>、</w:t>
      </w:r>
      <w:r>
        <w:rPr>
          <w:kern w:val="0"/>
          <w:sz w:val="28"/>
          <w:szCs w:val="28"/>
        </w:rPr>
        <w:t>12</w:t>
      </w:r>
      <w:r>
        <w:rPr>
          <w:rFonts w:hint="eastAsia"/>
          <w:kern w:val="0"/>
          <w:sz w:val="28"/>
          <w:szCs w:val="28"/>
        </w:rPr>
        <w:t>、</w:t>
      </w:r>
      <w:r>
        <w:rPr>
          <w:kern w:val="0"/>
          <w:sz w:val="28"/>
          <w:szCs w:val="28"/>
        </w:rPr>
        <w:t>16</w:t>
      </w:r>
      <w:r>
        <w:rPr>
          <w:rFonts w:hint="eastAsia"/>
          <w:kern w:val="0"/>
          <w:sz w:val="28"/>
          <w:szCs w:val="28"/>
        </w:rPr>
        <w:t>、</w:t>
      </w:r>
      <w:r>
        <w:rPr>
          <w:kern w:val="0"/>
          <w:sz w:val="28"/>
          <w:szCs w:val="28"/>
        </w:rPr>
        <w:t>18</w:t>
      </w:r>
      <w:r>
        <w:rPr>
          <w:rFonts w:hint="eastAsia"/>
          <w:kern w:val="0"/>
          <w:sz w:val="28"/>
          <w:szCs w:val="28"/>
        </w:rPr>
        <w:t>号</w:t>
      </w:r>
      <w:r>
        <w:rPr>
          <w:kern w:val="0"/>
          <w:sz w:val="28"/>
          <w:szCs w:val="28"/>
        </w:rPr>
        <w:t>6</w:t>
      </w:r>
      <w:r>
        <w:rPr>
          <w:rFonts w:hint="eastAsia"/>
          <w:kern w:val="0"/>
          <w:sz w:val="28"/>
          <w:szCs w:val="28"/>
        </w:rPr>
        <w:t>号楼</w:t>
      </w:r>
      <w:r>
        <w:rPr>
          <w:kern w:val="0"/>
          <w:sz w:val="28"/>
          <w:szCs w:val="28"/>
        </w:rPr>
        <w:t>8</w:t>
      </w:r>
      <w:r>
        <w:rPr>
          <w:rFonts w:hint="eastAsia"/>
          <w:kern w:val="0"/>
          <w:sz w:val="28"/>
          <w:szCs w:val="28"/>
        </w:rPr>
        <w:t>层</w:t>
      </w:r>
      <w:r>
        <w:rPr>
          <w:kern w:val="0"/>
          <w:sz w:val="28"/>
          <w:szCs w:val="28"/>
        </w:rPr>
        <w:t>804</w:t>
      </w:r>
    </w:p>
    <w:p>
      <w:pPr>
        <w:spacing w:line="480" w:lineRule="exact"/>
        <w:ind w:firstLine="560" w:firstLineChars="200"/>
        <w:rPr>
          <w:sz w:val="28"/>
        </w:rPr>
      </w:pPr>
      <w:r>
        <w:rPr>
          <w:rFonts w:hint="eastAsia"/>
          <w:sz w:val="28"/>
        </w:rPr>
        <w:t>联系电话：</w:t>
      </w:r>
      <w:r>
        <w:rPr>
          <w:sz w:val="28"/>
        </w:rPr>
        <w:t>025-846990</w:t>
      </w:r>
      <w:r>
        <w:rPr>
          <w:rFonts w:hint="eastAsia"/>
          <w:sz w:val="28"/>
          <w:lang w:val="en-US" w:eastAsia="zh-CN"/>
        </w:rPr>
        <w:t>95</w:t>
      </w:r>
      <w:r>
        <w:rPr>
          <w:sz w:val="28"/>
        </w:rPr>
        <w:t xml:space="preserve"> </w:t>
      </w:r>
      <w:r>
        <w:rPr>
          <w:rFonts w:hint="eastAsia"/>
          <w:sz w:val="28"/>
        </w:rPr>
        <w:t xml:space="preserve">    </w:t>
      </w:r>
    </w:p>
    <w:p>
      <w:pPr>
        <w:spacing w:line="480" w:lineRule="exact"/>
        <w:ind w:firstLine="560" w:firstLineChars="200"/>
        <w:rPr>
          <w:rFonts w:hint="eastAsia"/>
          <w:sz w:val="28"/>
          <w:szCs w:val="22"/>
        </w:rPr>
      </w:pPr>
      <w:r>
        <w:rPr>
          <w:rFonts w:hint="eastAsia"/>
          <w:sz w:val="28"/>
        </w:rPr>
        <w:t>网址：</w:t>
      </w:r>
      <w:r>
        <w:rPr>
          <w:rFonts w:hint="eastAsia"/>
          <w:sz w:val="28"/>
          <w:szCs w:val="22"/>
        </w:rPr>
        <w:fldChar w:fldCharType="begin"/>
      </w:r>
      <w:r>
        <w:rPr>
          <w:rFonts w:hint="eastAsia"/>
          <w:sz w:val="28"/>
          <w:szCs w:val="22"/>
        </w:rPr>
        <w:instrText xml:space="preserve"> HYPERLINK "http://www.bwjt-cn.cn" </w:instrText>
      </w:r>
      <w:r>
        <w:rPr>
          <w:rFonts w:hint="eastAsia"/>
          <w:sz w:val="28"/>
          <w:szCs w:val="22"/>
        </w:rPr>
        <w:fldChar w:fldCharType="separate"/>
      </w:r>
      <w:r>
        <w:rPr>
          <w:rFonts w:hint="eastAsia"/>
          <w:sz w:val="28"/>
          <w:szCs w:val="22"/>
        </w:rPr>
        <w:t>http://www.bwjt-cn.cn</w:t>
      </w:r>
      <w:r>
        <w:rPr>
          <w:rFonts w:hint="eastAsia"/>
          <w:sz w:val="28"/>
          <w:szCs w:val="22"/>
        </w:rPr>
        <w:fldChar w:fldCharType="end"/>
      </w:r>
    </w:p>
    <w:p>
      <w:pPr>
        <w:spacing w:line="480" w:lineRule="exact"/>
        <w:ind w:firstLine="560" w:firstLineChars="200"/>
        <w:rPr>
          <w:sz w:val="28"/>
        </w:rPr>
      </w:pPr>
      <w:r>
        <w:rPr>
          <w:rFonts w:hint="eastAsia"/>
          <w:sz w:val="28"/>
        </w:rPr>
        <w:t>资质等级：一级         证书编号：建房估证字</w:t>
      </w:r>
      <w:r>
        <w:rPr>
          <w:sz w:val="28"/>
        </w:rPr>
        <w:t>[2015]025</w:t>
      </w:r>
      <w:r>
        <w:rPr>
          <w:rFonts w:hint="eastAsia"/>
          <w:sz w:val="28"/>
        </w:rPr>
        <w:t>号</w:t>
      </w:r>
    </w:p>
    <w:p>
      <w:pPr>
        <w:spacing w:line="480" w:lineRule="exact"/>
        <w:ind w:firstLine="560" w:firstLineChars="200"/>
        <w:rPr>
          <w:sz w:val="28"/>
        </w:rPr>
      </w:pPr>
      <w:r>
        <w:rPr>
          <w:rFonts w:hint="eastAsia"/>
          <w:sz w:val="28"/>
        </w:rPr>
        <w:t>有效期限：2018年9月26日至2021年9月25日</w:t>
      </w:r>
    </w:p>
    <w:p>
      <w:pPr>
        <w:spacing w:line="480" w:lineRule="exact"/>
        <w:ind w:firstLine="560" w:firstLineChars="200"/>
        <w:rPr>
          <w:sz w:val="28"/>
        </w:rPr>
      </w:pPr>
      <w:r>
        <w:rPr>
          <w:rFonts w:hint="eastAsia"/>
          <w:sz w:val="28"/>
        </w:rPr>
        <w:t>统一社会信用代码：</w:t>
      </w:r>
      <w:r>
        <w:rPr>
          <w:sz w:val="28"/>
        </w:rPr>
        <w:t>911100007394033502</w:t>
      </w:r>
    </w:p>
    <w:p>
      <w:pPr>
        <w:snapToGrid w:val="0"/>
        <w:spacing w:line="480" w:lineRule="exact"/>
        <w:ind w:firstLine="560" w:firstLineChars="200"/>
        <w:outlineLvl w:val="9"/>
      </w:pPr>
      <w:r>
        <w:rPr>
          <w:rFonts w:hint="eastAsia" w:ascii="仿宋" w:hAnsi="仿宋" w:eastAsia="仿宋"/>
          <w:kern w:val="0"/>
          <w:sz w:val="28"/>
          <w:szCs w:val="28"/>
        </w:rPr>
        <w:t>经营范围：房地产评估、土地评估、房地产咨询、工程监理、工程造价咨询、工程招标代理、地理信息系统工程设计、工程测量、不动产测绘、不动产权属登记代理。</w:t>
      </w:r>
    </w:p>
    <w:p>
      <w:pPr>
        <w:snapToGrid w:val="0"/>
        <w:spacing w:line="480" w:lineRule="exact"/>
        <w:ind w:firstLine="560" w:firstLineChars="200"/>
        <w:outlineLvl w:val="9"/>
        <w:rPr>
          <w:rFonts w:hint="eastAsia" w:ascii="仿宋" w:hAnsi="仿宋" w:eastAsia="仿宋"/>
          <w:kern w:val="0"/>
          <w:sz w:val="28"/>
          <w:szCs w:val="28"/>
        </w:rPr>
      </w:pPr>
      <w:r>
        <w:rPr>
          <w:rFonts w:hint="eastAsia" w:ascii="仿宋" w:hAnsi="仿宋" w:eastAsia="仿宋"/>
          <w:kern w:val="0"/>
          <w:sz w:val="28"/>
          <w:szCs w:val="28"/>
        </w:rPr>
        <w:t>分公司名称：博文房地产评估造价集团有限公司成都分公司</w:t>
      </w:r>
    </w:p>
    <w:p>
      <w:pPr>
        <w:snapToGrid w:val="0"/>
        <w:spacing w:line="480" w:lineRule="exact"/>
        <w:ind w:firstLine="560" w:firstLineChars="200"/>
        <w:outlineLvl w:val="9"/>
        <w:rPr>
          <w:rFonts w:hint="eastAsia" w:ascii="仿宋" w:hAnsi="仿宋" w:eastAsia="仿宋"/>
          <w:kern w:val="0"/>
          <w:sz w:val="28"/>
          <w:szCs w:val="28"/>
        </w:rPr>
      </w:pPr>
      <w:r>
        <w:rPr>
          <w:rFonts w:hint="eastAsia" w:ascii="仿宋" w:hAnsi="仿宋" w:eastAsia="仿宋"/>
          <w:kern w:val="0"/>
          <w:sz w:val="28"/>
          <w:szCs w:val="28"/>
        </w:rPr>
        <w:t xml:space="preserve">住所：成都市金牛区蜀西路46号4栋902 </w:t>
      </w:r>
    </w:p>
    <w:p>
      <w:pPr>
        <w:snapToGrid w:val="0"/>
        <w:spacing w:line="480" w:lineRule="exact"/>
        <w:ind w:firstLine="560" w:firstLineChars="200"/>
        <w:outlineLvl w:val="9"/>
      </w:pPr>
      <w:r>
        <w:rPr>
          <w:rFonts w:hint="eastAsia" w:ascii="仿宋" w:hAnsi="仿宋" w:eastAsia="仿宋"/>
          <w:kern w:val="0"/>
          <w:sz w:val="28"/>
          <w:szCs w:val="28"/>
        </w:rPr>
        <w:t xml:space="preserve">联系电话：028-87777616 </w:t>
      </w:r>
    </w:p>
    <w:p>
      <w:pPr>
        <w:pStyle w:val="5"/>
        <w:numPr>
          <w:ilvl w:val="0"/>
          <w:numId w:val="3"/>
        </w:numPr>
        <w:spacing w:line="480" w:lineRule="exact"/>
        <w:ind w:firstLine="0"/>
        <w:outlineLvl w:val="2"/>
        <w:rPr>
          <w:rFonts w:eastAsia="仿宋_GB2312"/>
          <w:b/>
          <w:bCs/>
        </w:rPr>
      </w:pPr>
      <w:bookmarkStart w:id="20" w:name="_Toc24201"/>
      <w:r>
        <w:rPr>
          <w:rFonts w:eastAsia="仿宋_GB2312"/>
          <w:b/>
          <w:bCs/>
        </w:rPr>
        <w:t>估价目的</w:t>
      </w:r>
      <w:bookmarkEnd w:id="18"/>
      <w:bookmarkEnd w:id="19"/>
      <w:bookmarkEnd w:id="20"/>
    </w:p>
    <w:p>
      <w:pPr>
        <w:pStyle w:val="8"/>
        <w:rPr>
          <w:sz w:val="28"/>
          <w:szCs w:val="22"/>
        </w:rPr>
      </w:pPr>
      <w:r>
        <w:rPr>
          <w:sz w:val="28"/>
          <w:szCs w:val="22"/>
        </w:rPr>
        <w:t xml:space="preserve">  </w:t>
      </w:r>
      <w:r>
        <w:rPr>
          <w:rFonts w:hint="eastAsia"/>
          <w:sz w:val="28"/>
          <w:szCs w:val="22"/>
        </w:rPr>
        <w:t xml:space="preserve">  为司法拍卖（变卖）提供房地产市场价值参考依据。</w:t>
      </w:r>
    </w:p>
    <w:p>
      <w:pPr>
        <w:pStyle w:val="5"/>
        <w:spacing w:line="480" w:lineRule="exact"/>
        <w:ind w:firstLine="0"/>
        <w:outlineLvl w:val="2"/>
        <w:rPr>
          <w:rFonts w:eastAsia="仿宋_GB2312"/>
          <w:b/>
          <w:bCs/>
        </w:rPr>
      </w:pPr>
      <w:bookmarkStart w:id="21" w:name="_Toc14588"/>
      <w:r>
        <w:rPr>
          <w:rFonts w:eastAsia="仿宋_GB2312"/>
          <w:b/>
          <w:bCs/>
        </w:rPr>
        <w:t>四、估价对象</w:t>
      </w:r>
      <w:bookmarkEnd w:id="21"/>
    </w:p>
    <w:p>
      <w:pPr>
        <w:pStyle w:val="18"/>
        <w:spacing w:line="480" w:lineRule="exact"/>
        <w:ind w:firstLine="560" w:firstLineChars="200"/>
        <w:rPr>
          <w:rFonts w:ascii="Times New Roman" w:hAnsi="Times New Roman"/>
          <w:b/>
          <w:bCs/>
          <w:sz w:val="28"/>
        </w:rPr>
      </w:pPr>
      <w:r>
        <w:rPr>
          <w:rFonts w:ascii="Times New Roman" w:hAnsi="Times New Roman"/>
          <w:b/>
          <w:bCs/>
          <w:sz w:val="28"/>
        </w:rPr>
        <w:t>（一）估价对象界定</w:t>
      </w:r>
    </w:p>
    <w:p>
      <w:pPr>
        <w:adjustRightInd w:val="0"/>
        <w:spacing w:line="480" w:lineRule="exact"/>
        <w:ind w:firstLine="560" w:firstLineChars="200"/>
        <w:rPr>
          <w:rFonts w:eastAsia="仿宋"/>
          <w:snapToGrid w:val="0"/>
          <w:kern w:val="0"/>
          <w:sz w:val="28"/>
          <w:szCs w:val="28"/>
        </w:rPr>
      </w:pPr>
      <w:r>
        <w:rPr>
          <w:sz w:val="28"/>
          <w:szCs w:val="22"/>
        </w:rPr>
        <w:t>受</w:t>
      </w:r>
      <w:r>
        <w:rPr>
          <w:rFonts w:hint="eastAsia"/>
          <w:sz w:val="28"/>
          <w:lang w:eastAsia="zh-CN"/>
        </w:rPr>
        <w:t>四川省攀枝花市西区人民法院</w:t>
      </w:r>
      <w:r>
        <w:rPr>
          <w:rFonts w:hint="eastAsia"/>
          <w:sz w:val="28"/>
          <w:szCs w:val="22"/>
          <w:lang w:eastAsia="zh-CN"/>
        </w:rPr>
        <w:t>（2018）西区法技委字第44号</w:t>
      </w:r>
      <w:r>
        <w:rPr>
          <w:sz w:val="28"/>
          <w:szCs w:val="22"/>
        </w:rPr>
        <w:t>《</w:t>
      </w:r>
      <w:r>
        <w:rPr>
          <w:rFonts w:hint="eastAsia"/>
          <w:sz w:val="28"/>
          <w:szCs w:val="22"/>
          <w:lang w:eastAsia="zh-CN"/>
        </w:rPr>
        <w:t>四川省攀枝花市西区人民法院</w:t>
      </w:r>
      <w:r>
        <w:rPr>
          <w:sz w:val="28"/>
          <w:szCs w:val="22"/>
        </w:rPr>
        <w:t>司法</w:t>
      </w:r>
      <w:r>
        <w:rPr>
          <w:rFonts w:hint="eastAsia"/>
          <w:sz w:val="28"/>
          <w:szCs w:val="22"/>
        </w:rPr>
        <w:t>评估委托书</w:t>
      </w:r>
      <w:r>
        <w:rPr>
          <w:sz w:val="28"/>
          <w:szCs w:val="22"/>
        </w:rPr>
        <w:t>》的委托，</w:t>
      </w:r>
      <w:r>
        <w:rPr>
          <w:rFonts w:hint="eastAsia"/>
          <w:sz w:val="28"/>
          <w:szCs w:val="22"/>
        </w:rPr>
        <w:t>因</w:t>
      </w:r>
      <w:r>
        <w:rPr>
          <w:rFonts w:hint="eastAsia" w:eastAsia="仿宋"/>
          <w:sz w:val="28"/>
          <w:szCs w:val="28"/>
        </w:rPr>
        <w:t>司法拍卖（变卖）需要所</w:t>
      </w:r>
      <w:r>
        <w:rPr>
          <w:rFonts w:eastAsia="仿宋"/>
          <w:sz w:val="28"/>
          <w:szCs w:val="28"/>
        </w:rPr>
        <w:t>涉及</w:t>
      </w:r>
      <w:r>
        <w:rPr>
          <w:rFonts w:hint="eastAsia" w:eastAsia="仿宋"/>
          <w:sz w:val="28"/>
          <w:szCs w:val="28"/>
        </w:rPr>
        <w:t>的</w:t>
      </w:r>
      <w:r>
        <w:rPr>
          <w:rFonts w:eastAsia="仿宋"/>
          <w:sz w:val="28"/>
          <w:szCs w:val="28"/>
        </w:rPr>
        <w:t>位于</w:t>
      </w:r>
      <w:r>
        <w:rPr>
          <w:rFonts w:hint="eastAsia" w:eastAsia="仿宋"/>
          <w:sz w:val="28"/>
          <w:szCs w:val="28"/>
          <w:lang w:eastAsia="zh-CN"/>
        </w:rPr>
        <w:t>攀枝花市西区春兰巷7号3幢1单元16-3号</w:t>
      </w:r>
      <w:r>
        <w:rPr>
          <w:rFonts w:eastAsia="仿宋"/>
          <w:sz w:val="28"/>
          <w:szCs w:val="28"/>
        </w:rPr>
        <w:t>住宅</w:t>
      </w:r>
      <w:r>
        <w:rPr>
          <w:rFonts w:hint="eastAsia" w:eastAsia="仿宋"/>
          <w:sz w:val="28"/>
          <w:szCs w:val="28"/>
        </w:rPr>
        <w:t>房地产</w:t>
      </w:r>
      <w:r>
        <w:rPr>
          <w:rFonts w:eastAsia="仿宋"/>
          <w:sz w:val="28"/>
          <w:szCs w:val="28"/>
        </w:rPr>
        <w:t>，</w:t>
      </w:r>
      <w:r>
        <w:rPr>
          <w:sz w:val="28"/>
          <w:szCs w:val="28"/>
        </w:rPr>
        <w:t>房屋所有权人为</w:t>
      </w:r>
      <w:r>
        <w:rPr>
          <w:rFonts w:hint="eastAsia"/>
          <w:sz w:val="28"/>
          <w:szCs w:val="28"/>
          <w:lang w:eastAsia="zh-CN"/>
        </w:rPr>
        <w:t>李昱</w:t>
      </w:r>
      <w:r>
        <w:rPr>
          <w:sz w:val="28"/>
          <w:szCs w:val="28"/>
        </w:rPr>
        <w:t>，建筑面积为</w:t>
      </w:r>
      <w:r>
        <w:rPr>
          <w:rFonts w:hint="eastAsia"/>
          <w:sz w:val="28"/>
          <w:szCs w:val="28"/>
          <w:lang w:val="en-US" w:eastAsia="zh-CN"/>
        </w:rPr>
        <w:t>99.75</w:t>
      </w:r>
      <w:r>
        <w:rPr>
          <w:rFonts w:hint="eastAsia"/>
          <w:sz w:val="28"/>
          <w:szCs w:val="28"/>
          <w:lang w:eastAsia="zh-CN"/>
        </w:rPr>
        <w:t>㎡</w:t>
      </w:r>
      <w:r>
        <w:rPr>
          <w:sz w:val="28"/>
          <w:szCs w:val="28"/>
        </w:rPr>
        <w:t>及其应分摊国有建设用地使用权面积</w:t>
      </w:r>
      <w:r>
        <w:rPr>
          <w:rFonts w:hint="eastAsia"/>
          <w:sz w:val="28"/>
          <w:szCs w:val="28"/>
          <w:lang w:val="en-US" w:eastAsia="zh-CN"/>
        </w:rPr>
        <w:t>11.07</w:t>
      </w:r>
      <w:r>
        <w:rPr>
          <w:rFonts w:hint="eastAsia"/>
          <w:sz w:val="28"/>
          <w:szCs w:val="28"/>
          <w:lang w:eastAsia="zh-CN"/>
        </w:rPr>
        <w:t>㎡</w:t>
      </w:r>
      <w:r>
        <w:rPr>
          <w:sz w:val="28"/>
          <w:szCs w:val="28"/>
        </w:rPr>
        <w:t>，列入本次估价范围的是房屋、分摊相应土地使用权和必要的设备设施价值，以及按二手房交易市场通常应当包含的装饰装修价值，不包括</w:t>
      </w:r>
      <w:r>
        <w:rPr>
          <w:rFonts w:hint="eastAsia"/>
          <w:sz w:val="28"/>
          <w:szCs w:val="28"/>
        </w:rPr>
        <w:t>动产、构筑物、树木等，以及</w:t>
      </w:r>
      <w:r>
        <w:rPr>
          <w:sz w:val="28"/>
          <w:szCs w:val="28"/>
        </w:rPr>
        <w:t>债权债务、特许经营权等其他财产或权益</w:t>
      </w:r>
      <w:r>
        <w:rPr>
          <w:sz w:val="28"/>
        </w:rPr>
        <w:t>。</w:t>
      </w:r>
    </w:p>
    <w:p>
      <w:pPr>
        <w:pStyle w:val="18"/>
        <w:spacing w:line="480" w:lineRule="exact"/>
        <w:ind w:firstLine="560" w:firstLineChars="200"/>
        <w:rPr>
          <w:rFonts w:ascii="Times New Roman" w:hAnsi="Times New Roman"/>
          <w:b/>
          <w:bCs/>
          <w:sz w:val="28"/>
        </w:rPr>
      </w:pPr>
      <w:r>
        <w:rPr>
          <w:rFonts w:ascii="Times New Roman" w:hAnsi="Times New Roman"/>
          <w:b/>
          <w:bCs/>
          <w:sz w:val="28"/>
        </w:rPr>
        <w:t>（二）估价对象权属权益状况</w:t>
      </w:r>
    </w:p>
    <w:p>
      <w:pPr>
        <w:pStyle w:val="18"/>
        <w:numPr>
          <w:ilvl w:val="0"/>
          <w:numId w:val="4"/>
        </w:numPr>
        <w:spacing w:line="480" w:lineRule="exact"/>
        <w:ind w:firstLine="560" w:firstLineChars="200"/>
        <w:rPr>
          <w:rFonts w:ascii="Times New Roman" w:hAnsi="Times New Roman"/>
          <w:sz w:val="28"/>
        </w:rPr>
      </w:pPr>
      <w:r>
        <w:rPr>
          <w:rFonts w:ascii="Times New Roman" w:hAnsi="Times New Roman"/>
          <w:sz w:val="28"/>
        </w:rPr>
        <w:t>估价对象产权状况</w:t>
      </w:r>
    </w:p>
    <w:p>
      <w:pPr>
        <w:pStyle w:val="18"/>
        <w:spacing w:line="480" w:lineRule="exact"/>
        <w:rPr>
          <w:rFonts w:ascii="Times New Roman" w:hAnsi="Times New Roman"/>
          <w:sz w:val="28"/>
        </w:rPr>
      </w:pPr>
      <w:r>
        <w:rPr>
          <w:rFonts w:ascii="Times New Roman" w:hAnsi="Times New Roman" w:eastAsia="仿宋"/>
          <w:snapToGrid w:val="0"/>
          <w:kern w:val="0"/>
          <w:sz w:val="28"/>
          <w:szCs w:val="28"/>
        </w:rPr>
        <w:t xml:space="preserve">    根据估价委托人提供的</w:t>
      </w:r>
      <w:r>
        <w:rPr>
          <w:rFonts w:hint="eastAsia" w:ascii="Times New Roman" w:hAnsi="Times New Roman" w:eastAsia="仿宋"/>
          <w:snapToGrid w:val="0"/>
          <w:kern w:val="0"/>
          <w:sz w:val="28"/>
          <w:szCs w:val="28"/>
          <w:lang w:eastAsia="zh-CN"/>
        </w:rPr>
        <w:t>《不动产权证书》复印件</w:t>
      </w:r>
      <w:r>
        <w:rPr>
          <w:rFonts w:ascii="Times New Roman" w:hAnsi="Times New Roman" w:eastAsia="仿宋"/>
          <w:snapToGrid w:val="0"/>
          <w:kern w:val="0"/>
          <w:sz w:val="28"/>
          <w:szCs w:val="28"/>
        </w:rPr>
        <w:t>及其权属、用途等基本情况详见下表：</w:t>
      </w:r>
    </w:p>
    <w:p>
      <w:pPr>
        <w:autoSpaceDE w:val="0"/>
        <w:autoSpaceDN w:val="0"/>
        <w:adjustRightInd w:val="0"/>
        <w:spacing w:line="460" w:lineRule="exact"/>
        <w:ind w:firstLine="560" w:firstLineChars="200"/>
        <w:jc w:val="center"/>
        <w:textAlignment w:val="center"/>
        <w:rPr>
          <w:rFonts w:hint="eastAsia" w:ascii="Times New Roman" w:hAnsi="Times New Roman" w:eastAsia="仿宋" w:cs="Times New Roman"/>
          <w:snapToGrid w:val="0"/>
          <w:kern w:val="0"/>
          <w:sz w:val="28"/>
          <w:szCs w:val="28"/>
          <w:lang w:val="en-US" w:eastAsia="zh-CN" w:bidi="ar-SA"/>
        </w:rPr>
      </w:pPr>
      <w:bookmarkStart w:id="22" w:name="OLE_LINK10"/>
      <w:r>
        <w:rPr>
          <w:rFonts w:hint="eastAsia" w:ascii="Times New Roman" w:hAnsi="Times New Roman" w:eastAsia="仿宋" w:cs="Times New Roman"/>
          <w:snapToGrid w:val="0"/>
          <w:kern w:val="0"/>
          <w:sz w:val="28"/>
          <w:szCs w:val="28"/>
          <w:lang w:val="en-US" w:eastAsia="zh-CN" w:bidi="ar-SA"/>
        </w:rPr>
        <w:t>估价对象不动产权登记情况一览表</w:t>
      </w:r>
    </w:p>
    <w:tbl>
      <w:tblPr>
        <w:tblStyle w:val="50"/>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名称</w:t>
            </w:r>
          </w:p>
        </w:tc>
        <w:tc>
          <w:tcPr>
            <w:tcW w:w="6513" w:type="dxa"/>
            <w:vAlign w:val="center"/>
          </w:tcPr>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不动产权证书号</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川（2017）攀枝花市不动产权第0014333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权 利 人</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李昱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共有情况</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单独所有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坐   落</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攀枝花市西区春兰巷7号3幢1单元16-3号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不动产单元号</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510403 002004 GB00094 F00030039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权利类型</w:t>
            </w:r>
          </w:p>
        </w:tc>
        <w:tc>
          <w:tcPr>
            <w:tcW w:w="6513" w:type="dxa"/>
            <w:vAlign w:val="center"/>
          </w:tcPr>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国有建设用地使用权/房屋（构筑物）所有权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权利性质</w:t>
            </w:r>
          </w:p>
        </w:tc>
        <w:tc>
          <w:tcPr>
            <w:tcW w:w="6513" w:type="dxa"/>
            <w:vAlign w:val="center"/>
          </w:tcPr>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出让/</w:t>
            </w:r>
            <w:r>
              <w:rPr>
                <w:rFonts w:hint="eastAsia" w:ascii="宋体" w:hAnsi="宋体" w:eastAsia="宋体" w:cs="宋体"/>
                <w:color w:val="000000"/>
                <w:kern w:val="0"/>
                <w:sz w:val="18"/>
                <w:szCs w:val="18"/>
                <w:lang w:val="en-US" w:eastAsia="zh-CN" w:bidi="ar"/>
              </w:rPr>
              <w:t>市场化</w:t>
            </w:r>
            <w:r>
              <w:rPr>
                <w:rFonts w:hint="eastAsia" w:ascii="宋体" w:hAnsi="宋体" w:eastAsia="宋体" w:cs="宋体"/>
                <w:color w:val="000000"/>
                <w:kern w:val="0"/>
                <w:sz w:val="18"/>
                <w:szCs w:val="18"/>
                <w:lang w:bidi="ar"/>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用   途</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城镇住宅用地</w:t>
            </w:r>
            <w:r>
              <w:rPr>
                <w:rFonts w:hint="eastAsia" w:ascii="宋体" w:hAnsi="宋体" w:eastAsia="宋体" w:cs="宋体"/>
                <w:color w:val="000000"/>
                <w:kern w:val="0"/>
                <w:sz w:val="18"/>
                <w:szCs w:val="18"/>
                <w:lang w:bidi="ar"/>
              </w:rPr>
              <w:t>/</w:t>
            </w:r>
            <w:r>
              <w:rPr>
                <w:rFonts w:hint="eastAsia" w:ascii="宋体" w:hAnsi="宋体" w:eastAsia="宋体" w:cs="宋体"/>
                <w:color w:val="000000"/>
                <w:kern w:val="0"/>
                <w:sz w:val="18"/>
                <w:szCs w:val="18"/>
                <w:lang w:val="en-US" w:eastAsia="zh-CN" w:bidi="ar"/>
              </w:rPr>
              <w:t>成套住宅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面   积</w:t>
            </w:r>
          </w:p>
        </w:tc>
        <w:tc>
          <w:tcPr>
            <w:tcW w:w="6513" w:type="dxa"/>
            <w:vAlign w:val="center"/>
          </w:tcPr>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共用宗地面积</w:t>
            </w:r>
            <w:r>
              <w:rPr>
                <w:rFonts w:hint="eastAsia" w:ascii="宋体" w:hAnsi="宋体" w:eastAsia="宋体" w:cs="宋体"/>
                <w:color w:val="000000"/>
                <w:kern w:val="0"/>
                <w:sz w:val="18"/>
                <w:szCs w:val="18"/>
                <w:lang w:val="en-US" w:eastAsia="zh-CN" w:bidi="ar"/>
              </w:rPr>
              <w:t>35020.09</w:t>
            </w:r>
            <w:r>
              <w:rPr>
                <w:rFonts w:hint="eastAsia" w:ascii="宋体" w:hAnsi="宋体" w:eastAsia="宋体" w:cs="宋体"/>
                <w:color w:val="000000"/>
                <w:kern w:val="0"/>
                <w:sz w:val="18"/>
                <w:szCs w:val="18"/>
                <w:lang w:bidi="ar"/>
              </w:rPr>
              <w:t>平方米/房屋建筑面积</w:t>
            </w:r>
            <w:r>
              <w:rPr>
                <w:rFonts w:hint="eastAsia" w:ascii="宋体" w:hAnsi="宋体" w:eastAsia="宋体" w:cs="宋体"/>
                <w:color w:val="000000"/>
                <w:kern w:val="0"/>
                <w:sz w:val="18"/>
                <w:szCs w:val="18"/>
                <w:lang w:val="en-US" w:eastAsia="zh-CN" w:bidi="ar"/>
              </w:rPr>
              <w:t>99.75</w:t>
            </w:r>
            <w:r>
              <w:rPr>
                <w:rFonts w:hint="eastAsia" w:ascii="宋体" w:hAnsi="宋体" w:eastAsia="宋体" w:cs="宋体"/>
                <w:color w:val="000000"/>
                <w:kern w:val="0"/>
                <w:sz w:val="18"/>
                <w:szCs w:val="18"/>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使用期限</w:t>
            </w:r>
          </w:p>
        </w:tc>
        <w:tc>
          <w:tcPr>
            <w:tcW w:w="6513" w:type="dxa"/>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bidi="ar"/>
              </w:rPr>
              <w:t>20</w:t>
            </w:r>
            <w:r>
              <w:rPr>
                <w:rFonts w:hint="eastAsia" w:ascii="宋体" w:hAnsi="宋体" w:eastAsia="宋体" w:cs="宋体"/>
                <w:color w:val="000000"/>
                <w:kern w:val="0"/>
                <w:sz w:val="18"/>
                <w:szCs w:val="18"/>
                <w:lang w:val="en-US" w:eastAsia="zh-CN" w:bidi="ar"/>
              </w:rPr>
              <w:t>10</w:t>
            </w:r>
            <w:r>
              <w:rPr>
                <w:rFonts w:hint="eastAsia" w:ascii="宋体" w:hAnsi="宋体" w:eastAsia="宋体" w:cs="宋体"/>
                <w:color w:val="000000"/>
                <w:kern w:val="0"/>
                <w:sz w:val="18"/>
                <w:szCs w:val="18"/>
                <w:lang w:bidi="ar"/>
              </w:rPr>
              <w:t>年</w:t>
            </w:r>
            <w:r>
              <w:rPr>
                <w:rFonts w:hint="eastAsia" w:ascii="宋体" w:hAnsi="宋体" w:eastAsia="宋体" w:cs="宋体"/>
                <w:color w:val="000000"/>
                <w:kern w:val="0"/>
                <w:sz w:val="18"/>
                <w:szCs w:val="18"/>
                <w:lang w:val="en-US" w:eastAsia="zh-CN" w:bidi="ar"/>
              </w:rPr>
              <w:t>08</w:t>
            </w:r>
            <w:r>
              <w:rPr>
                <w:rFonts w:hint="eastAsia" w:ascii="宋体" w:hAnsi="宋体" w:eastAsia="宋体" w:cs="宋体"/>
                <w:color w:val="000000"/>
                <w:kern w:val="0"/>
                <w:sz w:val="18"/>
                <w:szCs w:val="18"/>
                <w:lang w:bidi="ar"/>
              </w:rPr>
              <w:t>月</w:t>
            </w:r>
            <w:r>
              <w:rPr>
                <w:rFonts w:hint="eastAsia" w:ascii="宋体" w:hAnsi="宋体" w:eastAsia="宋体" w:cs="宋体"/>
                <w:color w:val="000000"/>
                <w:kern w:val="0"/>
                <w:sz w:val="18"/>
                <w:szCs w:val="18"/>
                <w:lang w:val="en-US" w:eastAsia="zh-CN" w:bidi="ar"/>
              </w:rPr>
              <w:t>09</w:t>
            </w:r>
            <w:r>
              <w:rPr>
                <w:rFonts w:hint="eastAsia" w:ascii="宋体" w:hAnsi="宋体" w:eastAsia="宋体" w:cs="宋体"/>
                <w:color w:val="000000"/>
                <w:kern w:val="0"/>
                <w:sz w:val="18"/>
                <w:szCs w:val="18"/>
                <w:lang w:bidi="ar"/>
              </w:rPr>
              <w:t>日</w:t>
            </w:r>
            <w:r>
              <w:rPr>
                <w:rFonts w:hint="eastAsia" w:ascii="宋体" w:hAnsi="宋体" w:eastAsia="宋体" w:cs="宋体"/>
                <w:color w:val="000000"/>
                <w:kern w:val="0"/>
                <w:sz w:val="18"/>
                <w:szCs w:val="18"/>
                <w:lang w:val="en-US" w:eastAsia="zh-CN" w:bidi="ar"/>
              </w:rPr>
              <w:t>起2080年08月08日止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943" w:type="dxa"/>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权利其他状况</w:t>
            </w:r>
          </w:p>
        </w:tc>
        <w:tc>
          <w:tcPr>
            <w:tcW w:w="6513" w:type="dxa"/>
            <w:vAlign w:val="center"/>
          </w:tcPr>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分摊土地使用权面积：</w:t>
            </w:r>
            <w:r>
              <w:rPr>
                <w:rFonts w:hint="eastAsia" w:ascii="宋体" w:hAnsi="宋体" w:eastAsia="宋体" w:cs="宋体"/>
                <w:color w:val="000000"/>
                <w:kern w:val="0"/>
                <w:sz w:val="18"/>
                <w:szCs w:val="18"/>
                <w:lang w:val="en-US" w:eastAsia="zh-CN" w:bidi="ar"/>
              </w:rPr>
              <w:t>11.07㎡</w:t>
            </w:r>
          </w:p>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专有建筑面积：76.318㎡，分摊建筑面积：23.428㎡</w:t>
            </w:r>
          </w:p>
          <w:p>
            <w:pPr>
              <w:widowControl/>
              <w:jc w:val="both"/>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房屋结构：</w:t>
            </w:r>
            <w:r>
              <w:rPr>
                <w:rFonts w:hint="eastAsia" w:ascii="宋体" w:hAnsi="宋体" w:eastAsia="宋体" w:cs="宋体"/>
                <w:color w:val="000000"/>
                <w:kern w:val="0"/>
                <w:sz w:val="18"/>
                <w:szCs w:val="18"/>
                <w:lang w:val="en-US" w:eastAsia="zh-CN" w:bidi="ar"/>
              </w:rPr>
              <w:t>钢筋混泥土结构</w:t>
            </w:r>
          </w:p>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bidi="ar"/>
              </w:rPr>
              <w:t>房屋总层数：</w:t>
            </w:r>
            <w:r>
              <w:rPr>
                <w:rFonts w:hint="eastAsia" w:ascii="宋体" w:hAnsi="宋体" w:eastAsia="宋体" w:cs="宋体"/>
                <w:color w:val="000000"/>
                <w:kern w:val="0"/>
                <w:sz w:val="18"/>
                <w:szCs w:val="18"/>
                <w:lang w:val="en-US" w:eastAsia="zh-CN" w:bidi="ar"/>
              </w:rPr>
              <w:t>19，房屋所在层：16</w:t>
            </w:r>
          </w:p>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房屋竣工时间：2012年07月15日</w:t>
            </w:r>
          </w:p>
        </w:tc>
      </w:tr>
    </w:tbl>
    <w:p>
      <w:pPr>
        <w:adjustRightInd w:val="0"/>
        <w:spacing w:line="480" w:lineRule="exact"/>
        <w:ind w:firstLine="560" w:firstLineChars="200"/>
        <w:rPr>
          <w:sz w:val="28"/>
          <w:szCs w:val="28"/>
        </w:rPr>
      </w:pPr>
      <w:r>
        <w:rPr>
          <w:sz w:val="28"/>
          <w:szCs w:val="28"/>
        </w:rPr>
        <w:t>2、估价对象权益状况</w:t>
      </w:r>
    </w:p>
    <w:p>
      <w:pPr>
        <w:adjustRightInd w:val="0"/>
        <w:spacing w:line="460" w:lineRule="exact"/>
        <w:ind w:firstLine="560" w:firstLineChars="200"/>
        <w:rPr>
          <w:rFonts w:hint="eastAsia"/>
          <w:sz w:val="28"/>
          <w:szCs w:val="28"/>
        </w:rPr>
      </w:pPr>
      <w:r>
        <w:rPr>
          <w:rFonts w:hint="eastAsia"/>
          <w:sz w:val="28"/>
          <w:szCs w:val="28"/>
        </w:rPr>
        <w:t>估价对象房屋所有权人为</w:t>
      </w:r>
      <w:r>
        <w:rPr>
          <w:rFonts w:hint="eastAsia"/>
          <w:sz w:val="28"/>
          <w:szCs w:val="28"/>
          <w:lang w:eastAsia="zh-CN"/>
        </w:rPr>
        <w:t>李昱</w:t>
      </w:r>
      <w:r>
        <w:rPr>
          <w:rFonts w:hint="eastAsia"/>
          <w:sz w:val="28"/>
          <w:szCs w:val="28"/>
        </w:rPr>
        <w:t>，共有情况为单独所有，估价对象占用宗地属国家所有，土地使用权类型为出让，土地用途为住宅用地，土地使用权终止日期为20</w:t>
      </w:r>
      <w:r>
        <w:rPr>
          <w:rFonts w:hint="eastAsia"/>
          <w:sz w:val="28"/>
          <w:szCs w:val="28"/>
          <w:lang w:val="en-US" w:eastAsia="zh-CN"/>
        </w:rPr>
        <w:t>80</w:t>
      </w:r>
      <w:r>
        <w:rPr>
          <w:rFonts w:hint="eastAsia"/>
          <w:sz w:val="28"/>
          <w:szCs w:val="28"/>
        </w:rPr>
        <w:t>年</w:t>
      </w:r>
      <w:r>
        <w:rPr>
          <w:rFonts w:hint="eastAsia"/>
          <w:sz w:val="28"/>
          <w:szCs w:val="28"/>
          <w:lang w:val="en-US" w:eastAsia="zh-CN"/>
        </w:rPr>
        <w:t>08</w:t>
      </w:r>
      <w:r>
        <w:rPr>
          <w:rFonts w:hint="eastAsia"/>
          <w:sz w:val="28"/>
          <w:szCs w:val="28"/>
        </w:rPr>
        <w:t>月</w:t>
      </w:r>
      <w:r>
        <w:rPr>
          <w:rFonts w:hint="eastAsia"/>
          <w:sz w:val="28"/>
          <w:szCs w:val="28"/>
          <w:lang w:val="en-US" w:eastAsia="zh-CN"/>
        </w:rPr>
        <w:t>08</w:t>
      </w:r>
      <w:r>
        <w:rPr>
          <w:rFonts w:hint="eastAsia"/>
          <w:sz w:val="28"/>
          <w:szCs w:val="28"/>
        </w:rPr>
        <w:t>日，截至价值时点土地使用权剩余使用年限</w:t>
      </w:r>
      <w:r>
        <w:rPr>
          <w:rFonts w:hint="eastAsia"/>
          <w:sz w:val="28"/>
          <w:szCs w:val="28"/>
          <w:lang w:val="en-US" w:eastAsia="zh-CN"/>
        </w:rPr>
        <w:t>62</w:t>
      </w:r>
      <w:r>
        <w:rPr>
          <w:rFonts w:hint="eastAsia"/>
          <w:sz w:val="28"/>
          <w:szCs w:val="28"/>
        </w:rPr>
        <w:t>年。</w:t>
      </w:r>
    </w:p>
    <w:p>
      <w:pPr>
        <w:adjustRightInd w:val="0"/>
        <w:spacing w:line="460" w:lineRule="exact"/>
        <w:ind w:firstLine="560" w:firstLineChars="200"/>
        <w:rPr>
          <w:sz w:val="28"/>
          <w:szCs w:val="28"/>
        </w:rPr>
      </w:pPr>
      <w:r>
        <w:rPr>
          <w:rFonts w:hint="eastAsia"/>
          <w:sz w:val="28"/>
          <w:szCs w:val="28"/>
          <w:lang w:eastAsia="zh-CN"/>
        </w:rPr>
        <w:t>抵押状况：</w:t>
      </w:r>
    </w:p>
    <w:tbl>
      <w:tblPr>
        <w:tblStyle w:val="50"/>
        <w:tblW w:w="8422"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32"/>
        <w:gridCol w:w="1198"/>
        <w:gridCol w:w="615"/>
        <w:gridCol w:w="1020"/>
        <w:gridCol w:w="1149"/>
        <w:gridCol w:w="1386"/>
        <w:gridCol w:w="975"/>
        <w:gridCol w:w="10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810" w:hRule="atLeast"/>
          <w:jc w:val="center"/>
        </w:trPr>
        <w:tc>
          <w:tcPr>
            <w:tcW w:w="1032"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权利设定时间</w:t>
            </w:r>
          </w:p>
        </w:tc>
        <w:tc>
          <w:tcPr>
            <w:tcW w:w="1198"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抵押权人</w:t>
            </w:r>
          </w:p>
        </w:tc>
        <w:tc>
          <w:tcPr>
            <w:tcW w:w="615"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债务人</w:t>
            </w:r>
          </w:p>
        </w:tc>
        <w:tc>
          <w:tcPr>
            <w:tcW w:w="1020"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抵押面积（平方米)</w:t>
            </w:r>
          </w:p>
        </w:tc>
        <w:tc>
          <w:tcPr>
            <w:tcW w:w="1149"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被担保债权数额（元）</w:t>
            </w:r>
          </w:p>
        </w:tc>
        <w:tc>
          <w:tcPr>
            <w:tcW w:w="1386" w:type="dxa"/>
            <w:tcBorders>
              <w:tl2br w:val="nil"/>
              <w:tr2bl w:val="nil"/>
            </w:tcBorders>
            <w:shd w:val="clear" w:color="auto" w:fill="auto"/>
            <w:vAlign w:val="center"/>
          </w:tcPr>
          <w:p>
            <w:pPr>
              <w:jc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登记时间</w:t>
            </w:r>
          </w:p>
        </w:tc>
        <w:tc>
          <w:tcPr>
            <w:tcW w:w="975"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状态</w:t>
            </w:r>
          </w:p>
        </w:tc>
        <w:tc>
          <w:tcPr>
            <w:tcW w:w="1047"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抵押件号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1020" w:hRule="atLeast"/>
          <w:jc w:val="center"/>
        </w:trPr>
        <w:tc>
          <w:tcPr>
            <w:tcW w:w="1032"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w:t>
            </w:r>
          </w:p>
        </w:tc>
        <w:tc>
          <w:tcPr>
            <w:tcW w:w="1198"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中国</w:t>
            </w:r>
            <w:r>
              <w:rPr>
                <w:rFonts w:hint="eastAsia" w:ascii="宋体" w:hAnsi="宋体" w:eastAsia="宋体" w:cs="宋体"/>
                <w:color w:val="000000"/>
                <w:sz w:val="18"/>
                <w:szCs w:val="18"/>
                <w:lang w:val="en-US" w:eastAsia="zh-CN"/>
              </w:rPr>
              <w:t>工商</w:t>
            </w:r>
            <w:r>
              <w:rPr>
                <w:rFonts w:hint="eastAsia" w:ascii="宋体" w:hAnsi="宋体" w:eastAsia="宋体" w:cs="宋体"/>
                <w:color w:val="000000"/>
                <w:sz w:val="18"/>
                <w:szCs w:val="18"/>
                <w:lang w:eastAsia="zh-CN"/>
              </w:rPr>
              <w:t>银行股份有限公司攀枝花</w:t>
            </w:r>
            <w:r>
              <w:rPr>
                <w:rFonts w:hint="eastAsia" w:ascii="宋体" w:hAnsi="宋体" w:eastAsia="宋体" w:cs="宋体"/>
                <w:color w:val="000000"/>
                <w:sz w:val="18"/>
                <w:szCs w:val="18"/>
                <w:lang w:val="en-US" w:eastAsia="zh-CN"/>
              </w:rPr>
              <w:t>分</w:t>
            </w:r>
            <w:r>
              <w:rPr>
                <w:rFonts w:hint="eastAsia" w:ascii="宋体" w:hAnsi="宋体" w:eastAsia="宋体" w:cs="宋体"/>
                <w:color w:val="000000"/>
                <w:sz w:val="18"/>
                <w:szCs w:val="18"/>
                <w:lang w:eastAsia="zh-CN"/>
              </w:rPr>
              <w:t>行</w:t>
            </w:r>
          </w:p>
        </w:tc>
        <w:tc>
          <w:tcPr>
            <w:tcW w:w="61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李昱</w:t>
            </w:r>
          </w:p>
        </w:tc>
        <w:tc>
          <w:tcPr>
            <w:tcW w:w="1020"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w:t>
            </w:r>
          </w:p>
        </w:tc>
        <w:tc>
          <w:tcPr>
            <w:tcW w:w="1149"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lang w:val="en-US"/>
              </w:rPr>
            </w:pPr>
            <w:r>
              <w:rPr>
                <w:rFonts w:hint="eastAsia" w:ascii="宋体" w:hAnsi="宋体" w:eastAsia="宋体" w:cs="宋体"/>
                <w:color w:val="000000"/>
                <w:kern w:val="0"/>
                <w:sz w:val="18"/>
                <w:szCs w:val="18"/>
                <w:lang w:val="en-US" w:eastAsia="zh-CN" w:bidi="ar"/>
              </w:rPr>
              <w:t>230000</w:t>
            </w:r>
          </w:p>
        </w:tc>
        <w:tc>
          <w:tcPr>
            <w:tcW w:w="1386"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2012年6月21日</w:t>
            </w:r>
          </w:p>
        </w:tc>
        <w:tc>
          <w:tcPr>
            <w:tcW w:w="975" w:type="dxa"/>
            <w:tcBorders>
              <w:tl2br w:val="nil"/>
              <w:tr2bl w:val="nil"/>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有效</w:t>
            </w:r>
          </w:p>
        </w:tc>
        <w:tc>
          <w:tcPr>
            <w:tcW w:w="1047" w:type="dxa"/>
            <w:tcBorders>
              <w:tl2br w:val="nil"/>
              <w:tr2bl w:val="nil"/>
            </w:tcBorders>
            <w:shd w:val="clear" w:color="auto" w:fill="auto"/>
            <w:vAlign w:val="center"/>
          </w:tcPr>
          <w:p>
            <w:pPr>
              <w:jc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val="en-US" w:eastAsia="zh-CN" w:bidi="ar"/>
              </w:rPr>
              <w:t>/</w:t>
            </w:r>
          </w:p>
        </w:tc>
      </w:tr>
    </w:tbl>
    <w:p>
      <w:pPr>
        <w:adjustRightInd w:val="0"/>
        <w:spacing w:line="460" w:lineRule="exact"/>
        <w:ind w:firstLine="560" w:firstLineChars="200"/>
        <w:rPr>
          <w:sz w:val="28"/>
          <w:szCs w:val="28"/>
        </w:rPr>
      </w:pPr>
      <w:r>
        <w:rPr>
          <w:rFonts w:hint="eastAsia"/>
          <w:sz w:val="28"/>
          <w:szCs w:val="28"/>
        </w:rPr>
        <w:t>估价对象房屋和土地未单独设置抵押，估价对象房屋和土地共同设定抵押权。</w:t>
      </w:r>
    </w:p>
    <w:p>
      <w:pPr>
        <w:adjustRightInd w:val="0"/>
        <w:spacing w:line="460" w:lineRule="exact"/>
        <w:ind w:firstLine="560" w:firstLineChars="200"/>
        <w:rPr>
          <w:rFonts w:hint="eastAsia"/>
          <w:sz w:val="28"/>
          <w:szCs w:val="28"/>
        </w:rPr>
      </w:pPr>
      <w:r>
        <w:rPr>
          <w:rFonts w:hint="eastAsia"/>
          <w:sz w:val="28"/>
          <w:szCs w:val="28"/>
        </w:rPr>
        <w:t>根据估价委托人提供的</w:t>
      </w:r>
      <w:r>
        <w:rPr>
          <w:rFonts w:hint="eastAsia"/>
          <w:sz w:val="28"/>
          <w:szCs w:val="28"/>
          <w:lang w:val="en-US" w:eastAsia="zh-CN"/>
        </w:rPr>
        <w:t>四川省攀枝花市西区人民法院民事判决书</w:t>
      </w:r>
      <w:r>
        <w:rPr>
          <w:rFonts w:hint="eastAsia"/>
          <w:sz w:val="28"/>
          <w:szCs w:val="28"/>
        </w:rPr>
        <w:t>，估价对象存在抵押权，抵押面积：</w:t>
      </w:r>
      <w:r>
        <w:rPr>
          <w:rFonts w:hint="eastAsia"/>
          <w:sz w:val="28"/>
          <w:szCs w:val="28"/>
          <w:lang w:val="en-US" w:eastAsia="zh-CN"/>
        </w:rPr>
        <w:t>99.75</w:t>
      </w:r>
      <w:r>
        <w:rPr>
          <w:rFonts w:hint="eastAsia"/>
          <w:sz w:val="28"/>
          <w:szCs w:val="28"/>
        </w:rPr>
        <w:t>平方米、权利价值：</w:t>
      </w:r>
      <w:r>
        <w:rPr>
          <w:rFonts w:hint="eastAsia"/>
          <w:sz w:val="28"/>
          <w:szCs w:val="28"/>
          <w:lang w:val="en-US" w:eastAsia="zh-CN"/>
        </w:rPr>
        <w:t>230000</w:t>
      </w:r>
      <w:r>
        <w:rPr>
          <w:rFonts w:hint="eastAsia"/>
          <w:sz w:val="28"/>
          <w:szCs w:val="28"/>
        </w:rPr>
        <w:t>元。抵押权人：</w:t>
      </w:r>
      <w:r>
        <w:rPr>
          <w:rFonts w:hint="eastAsia"/>
          <w:sz w:val="28"/>
          <w:szCs w:val="28"/>
          <w:lang w:eastAsia="zh-CN"/>
        </w:rPr>
        <w:t>中国</w:t>
      </w:r>
      <w:r>
        <w:rPr>
          <w:rFonts w:hint="eastAsia"/>
          <w:sz w:val="28"/>
          <w:szCs w:val="28"/>
          <w:lang w:val="en-US" w:eastAsia="zh-CN"/>
        </w:rPr>
        <w:t>工商</w:t>
      </w:r>
      <w:r>
        <w:rPr>
          <w:rFonts w:hint="eastAsia"/>
          <w:sz w:val="28"/>
          <w:szCs w:val="28"/>
          <w:lang w:eastAsia="zh-CN"/>
        </w:rPr>
        <w:t>银行股份有限公司攀枝花</w:t>
      </w:r>
      <w:r>
        <w:rPr>
          <w:rFonts w:hint="eastAsia"/>
          <w:sz w:val="28"/>
          <w:szCs w:val="28"/>
          <w:lang w:val="en-US" w:eastAsia="zh-CN"/>
        </w:rPr>
        <w:t>分</w:t>
      </w:r>
      <w:r>
        <w:rPr>
          <w:rFonts w:hint="eastAsia"/>
          <w:sz w:val="28"/>
          <w:szCs w:val="28"/>
          <w:lang w:eastAsia="zh-CN"/>
        </w:rPr>
        <w:t>行</w:t>
      </w:r>
    </w:p>
    <w:p>
      <w:pPr>
        <w:tabs>
          <w:tab w:val="left" w:pos="735"/>
        </w:tabs>
        <w:adjustRightInd w:val="0"/>
        <w:snapToGrid w:val="0"/>
        <w:spacing w:line="480" w:lineRule="exact"/>
        <w:ind w:firstLine="560" w:firstLineChars="200"/>
        <w:rPr>
          <w:color w:val="auto"/>
          <w:sz w:val="28"/>
          <w:szCs w:val="28"/>
          <w:highlight w:val="none"/>
        </w:rPr>
      </w:pPr>
      <w:r>
        <w:rPr>
          <w:rFonts w:hint="eastAsia"/>
          <w:sz w:val="28"/>
          <w:szCs w:val="28"/>
          <w:highlight w:val="none"/>
        </w:rPr>
        <w:t>在价值时点，估价对象已被</w:t>
      </w:r>
      <w:r>
        <w:rPr>
          <w:rFonts w:hint="eastAsia"/>
          <w:sz w:val="28"/>
          <w:szCs w:val="28"/>
          <w:highlight w:val="none"/>
          <w:lang w:eastAsia="zh-CN"/>
        </w:rPr>
        <w:t>四川省攀枝花市西区人民法院</w:t>
      </w:r>
      <w:r>
        <w:rPr>
          <w:rFonts w:hint="eastAsia"/>
          <w:color w:val="auto"/>
          <w:sz w:val="28"/>
          <w:szCs w:val="28"/>
          <w:highlight w:val="none"/>
        </w:rPr>
        <w:t>查封。</w:t>
      </w:r>
    </w:p>
    <w:p>
      <w:pPr>
        <w:spacing w:line="480" w:lineRule="exact"/>
        <w:ind w:firstLine="560" w:firstLineChars="200"/>
        <w:rPr>
          <w:color w:val="auto"/>
          <w:sz w:val="28"/>
          <w:szCs w:val="28"/>
        </w:rPr>
      </w:pPr>
      <w:r>
        <w:rPr>
          <w:color w:val="auto"/>
          <w:sz w:val="28"/>
          <w:szCs w:val="28"/>
        </w:rPr>
        <w:t>总体说来，估价对象房屋所有权与土地使用权均为</w:t>
      </w:r>
      <w:r>
        <w:rPr>
          <w:rFonts w:hint="eastAsia"/>
          <w:color w:val="auto"/>
          <w:sz w:val="28"/>
          <w:szCs w:val="28"/>
          <w:lang w:eastAsia="zh-CN"/>
        </w:rPr>
        <w:t>李昱</w:t>
      </w:r>
      <w:r>
        <w:rPr>
          <w:color w:val="auto"/>
          <w:sz w:val="28"/>
          <w:szCs w:val="28"/>
        </w:rPr>
        <w:t>，权利主体一致，</w:t>
      </w:r>
      <w:r>
        <w:rPr>
          <w:rFonts w:hint="eastAsia"/>
          <w:color w:val="auto"/>
          <w:sz w:val="28"/>
          <w:szCs w:val="28"/>
        </w:rPr>
        <w:t>除</w:t>
      </w:r>
      <w:r>
        <w:rPr>
          <w:rFonts w:hint="eastAsia"/>
          <w:color w:val="auto"/>
          <w:sz w:val="28"/>
          <w:szCs w:val="28"/>
          <w:lang w:eastAsia="zh-CN"/>
        </w:rPr>
        <w:t>抵押、</w:t>
      </w:r>
      <w:r>
        <w:rPr>
          <w:rFonts w:hint="eastAsia"/>
          <w:color w:val="auto"/>
          <w:sz w:val="28"/>
          <w:szCs w:val="28"/>
        </w:rPr>
        <w:t>查封外，</w:t>
      </w:r>
      <w:r>
        <w:rPr>
          <w:color w:val="auto"/>
          <w:sz w:val="28"/>
          <w:szCs w:val="28"/>
        </w:rPr>
        <w:t>权属无争议</w:t>
      </w:r>
      <w:r>
        <w:rPr>
          <w:rFonts w:hint="eastAsia"/>
          <w:color w:val="auto"/>
          <w:sz w:val="28"/>
          <w:szCs w:val="28"/>
        </w:rPr>
        <w:t>，本次评估不考虑</w:t>
      </w:r>
      <w:r>
        <w:rPr>
          <w:rFonts w:hint="eastAsia"/>
          <w:color w:val="auto"/>
          <w:sz w:val="28"/>
          <w:szCs w:val="28"/>
          <w:lang w:eastAsia="zh-CN"/>
        </w:rPr>
        <w:t>抵押、</w:t>
      </w:r>
      <w:r>
        <w:rPr>
          <w:rFonts w:hint="eastAsia"/>
          <w:color w:val="auto"/>
          <w:sz w:val="28"/>
          <w:szCs w:val="28"/>
        </w:rPr>
        <w:t>查封因素的影响</w:t>
      </w:r>
      <w:r>
        <w:rPr>
          <w:color w:val="auto"/>
          <w:sz w:val="28"/>
          <w:szCs w:val="28"/>
        </w:rPr>
        <w:t>。</w:t>
      </w:r>
    </w:p>
    <w:bookmarkEnd w:id="22"/>
    <w:p>
      <w:pPr>
        <w:spacing w:line="480" w:lineRule="exact"/>
        <w:ind w:firstLine="548" w:firstLineChars="196"/>
        <w:rPr>
          <w:b/>
          <w:bCs/>
          <w:sz w:val="28"/>
          <w:szCs w:val="28"/>
        </w:rPr>
      </w:pPr>
      <w:r>
        <w:rPr>
          <w:b/>
          <w:bCs/>
          <w:sz w:val="28"/>
          <w:szCs w:val="28"/>
        </w:rPr>
        <w:t>(三)估价对象实物状况</w:t>
      </w:r>
    </w:p>
    <w:p>
      <w:pPr>
        <w:spacing w:line="480" w:lineRule="exact"/>
        <w:ind w:firstLine="560" w:firstLineChars="200"/>
        <w:rPr>
          <w:b/>
          <w:bCs/>
          <w:szCs w:val="24"/>
        </w:rPr>
      </w:pPr>
      <w:r>
        <w:rPr>
          <w:sz w:val="28"/>
          <w:szCs w:val="28"/>
        </w:rPr>
        <w:t>估价委托人提供的</w:t>
      </w:r>
      <w:r>
        <w:rPr>
          <w:rFonts w:hint="eastAsia"/>
          <w:sz w:val="28"/>
          <w:szCs w:val="28"/>
          <w:lang w:eastAsia="zh-CN"/>
        </w:rPr>
        <w:t>《不动产权证书》</w:t>
      </w:r>
      <w:r>
        <w:rPr>
          <w:rFonts w:hint="eastAsia"/>
          <w:sz w:val="28"/>
          <w:szCs w:val="28"/>
        </w:rPr>
        <w:t>复印件</w:t>
      </w:r>
      <w:r>
        <w:rPr>
          <w:sz w:val="28"/>
          <w:szCs w:val="28"/>
        </w:rPr>
        <w:t>及估价人员实地查勘，估价对象实物状况如下表：</w:t>
      </w:r>
      <w:r>
        <w:rPr>
          <w:rFonts w:hint="eastAsia"/>
          <w:b/>
          <w:bCs/>
          <w:sz w:val="28"/>
          <w:szCs w:val="28"/>
        </w:rPr>
        <w:t xml:space="preserve"> </w:t>
      </w:r>
    </w:p>
    <w:p>
      <w:pPr>
        <w:spacing w:line="480" w:lineRule="exact"/>
        <w:ind w:firstLine="480" w:firstLineChars="200"/>
        <w:jc w:val="center"/>
        <w:rPr>
          <w:b/>
          <w:bCs/>
          <w:sz w:val="28"/>
          <w:szCs w:val="28"/>
        </w:rPr>
      </w:pPr>
      <w:r>
        <w:rPr>
          <w:b/>
          <w:bCs/>
          <w:szCs w:val="24"/>
        </w:rPr>
        <w:t>表</w:t>
      </w:r>
      <w:r>
        <w:rPr>
          <w:rFonts w:hint="eastAsia"/>
          <w:b/>
          <w:bCs/>
          <w:szCs w:val="24"/>
          <w:lang w:val="en-US" w:eastAsia="zh-CN"/>
        </w:rPr>
        <w:t>2</w:t>
      </w:r>
      <w:r>
        <w:rPr>
          <w:b/>
          <w:bCs/>
          <w:szCs w:val="24"/>
        </w:rPr>
        <w:t xml:space="preserve"> 估价对象实物状况一览表</w:t>
      </w:r>
    </w:p>
    <w:tbl>
      <w:tblPr>
        <w:tblStyle w:val="50"/>
        <w:tblW w:w="85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509"/>
        <w:gridCol w:w="596"/>
        <w:gridCol w:w="919"/>
        <w:gridCol w:w="240"/>
        <w:gridCol w:w="441"/>
        <w:gridCol w:w="594"/>
        <w:gridCol w:w="360"/>
        <w:gridCol w:w="1215"/>
        <w:gridCol w:w="1110"/>
        <w:gridCol w:w="1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529" w:type="dxa"/>
            <w:gridSpan w:val="11"/>
            <w:tcBorders>
              <w:top w:val="single" w:color="auto" w:sz="12" w:space="0"/>
            </w:tcBorders>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土地实物状况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土地使用者</w:t>
            </w:r>
          </w:p>
        </w:tc>
        <w:tc>
          <w:tcPr>
            <w:tcW w:w="1515" w:type="dxa"/>
            <w:gridSpan w:val="2"/>
            <w:vAlign w:val="center"/>
          </w:tcPr>
          <w:p>
            <w:pPr>
              <w:spacing w:line="240" w:lineRule="exact"/>
              <w:jc w:val="center"/>
              <w:rPr>
                <w:rFonts w:hint="eastAsia" w:ascii="宋体" w:hAnsi="宋体" w:eastAsia="宋体" w:cs="宋体"/>
                <w:bCs/>
                <w:sz w:val="18"/>
                <w:szCs w:val="18"/>
                <w:highlight w:val="yellow"/>
                <w:lang w:eastAsia="zh-CN"/>
              </w:rPr>
            </w:pPr>
            <w:r>
              <w:rPr>
                <w:rFonts w:hint="eastAsia" w:ascii="宋体" w:hAnsi="宋体" w:eastAsia="宋体" w:cs="宋体"/>
                <w:bCs/>
                <w:sz w:val="18"/>
                <w:szCs w:val="18"/>
                <w:lang w:eastAsia="zh-CN"/>
              </w:rPr>
              <w:t>李昱</w:t>
            </w:r>
          </w:p>
        </w:tc>
        <w:tc>
          <w:tcPr>
            <w:tcW w:w="127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座    落</w:t>
            </w:r>
          </w:p>
        </w:tc>
        <w:tc>
          <w:tcPr>
            <w:tcW w:w="4527" w:type="dxa"/>
            <w:gridSpan w:val="4"/>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color w:val="000000"/>
                <w:kern w:val="0"/>
                <w:sz w:val="18"/>
                <w:szCs w:val="18"/>
                <w:lang w:val="en-US" w:eastAsia="zh-CN" w:bidi="ar"/>
              </w:rPr>
              <w:t>攀枝花市西区春兰巷7号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面积（㎡）</w:t>
            </w:r>
          </w:p>
        </w:tc>
        <w:tc>
          <w:tcPr>
            <w:tcW w:w="1515" w:type="dxa"/>
            <w:gridSpan w:val="2"/>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11.07</w:t>
            </w:r>
          </w:p>
        </w:tc>
        <w:tc>
          <w:tcPr>
            <w:tcW w:w="127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用    途</w:t>
            </w:r>
          </w:p>
        </w:tc>
        <w:tc>
          <w:tcPr>
            <w:tcW w:w="4527" w:type="dxa"/>
            <w:gridSpan w:val="4"/>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住宅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四     至</w:t>
            </w:r>
          </w:p>
        </w:tc>
        <w:tc>
          <w:tcPr>
            <w:tcW w:w="7317" w:type="dxa"/>
            <w:gridSpan w:val="9"/>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color w:val="000000"/>
                <w:kern w:val="0"/>
                <w:sz w:val="18"/>
                <w:szCs w:val="18"/>
                <w:lang w:eastAsia="zh-CN"/>
              </w:rPr>
              <w:t>东</w:t>
            </w:r>
            <w:r>
              <w:rPr>
                <w:rFonts w:hint="eastAsia" w:ascii="宋体" w:hAnsi="宋体" w:eastAsia="宋体" w:cs="宋体"/>
                <w:color w:val="000000"/>
                <w:kern w:val="0"/>
                <w:sz w:val="18"/>
                <w:szCs w:val="18"/>
                <w:lang w:val="en-US" w:eastAsia="zh-CN"/>
              </w:rPr>
              <w:t>临房屋</w:t>
            </w:r>
            <w:r>
              <w:rPr>
                <w:rFonts w:hint="eastAsia" w:ascii="宋体" w:hAnsi="宋体" w:eastAsia="宋体" w:cs="宋体"/>
                <w:color w:val="000000"/>
                <w:kern w:val="0"/>
                <w:sz w:val="18"/>
                <w:szCs w:val="18"/>
                <w:lang w:eastAsia="zh-CN"/>
              </w:rPr>
              <w:t>，西</w:t>
            </w:r>
            <w:r>
              <w:rPr>
                <w:rFonts w:hint="eastAsia" w:ascii="宋体" w:hAnsi="宋体" w:eastAsia="宋体" w:cs="宋体"/>
                <w:color w:val="000000"/>
                <w:kern w:val="0"/>
                <w:sz w:val="18"/>
                <w:szCs w:val="18"/>
                <w:lang w:val="en-US" w:eastAsia="zh-CN"/>
              </w:rPr>
              <w:t>临房屋</w:t>
            </w:r>
            <w:r>
              <w:rPr>
                <w:rFonts w:hint="eastAsia" w:ascii="宋体" w:hAnsi="宋体" w:eastAsia="宋体" w:cs="宋体"/>
                <w:color w:val="000000"/>
                <w:kern w:val="0"/>
                <w:sz w:val="18"/>
                <w:szCs w:val="18"/>
                <w:lang w:eastAsia="zh-CN"/>
              </w:rPr>
              <w:t>，北至</w:t>
            </w:r>
            <w:r>
              <w:rPr>
                <w:rFonts w:hint="eastAsia" w:ascii="宋体" w:hAnsi="宋体" w:eastAsia="宋体" w:cs="宋体"/>
                <w:color w:val="000000"/>
                <w:kern w:val="0"/>
                <w:sz w:val="18"/>
                <w:szCs w:val="18"/>
                <w:lang w:val="en-US" w:eastAsia="zh-CN"/>
              </w:rPr>
              <w:t>春兰巷</w:t>
            </w:r>
            <w:r>
              <w:rPr>
                <w:rFonts w:hint="eastAsia" w:ascii="宋体" w:hAnsi="宋体" w:eastAsia="宋体" w:cs="宋体"/>
                <w:color w:val="000000"/>
                <w:kern w:val="0"/>
                <w:sz w:val="18"/>
                <w:szCs w:val="18"/>
                <w:lang w:eastAsia="zh-CN"/>
              </w:rPr>
              <w:t>，南临房屋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形     状</w:t>
            </w:r>
          </w:p>
        </w:tc>
        <w:tc>
          <w:tcPr>
            <w:tcW w:w="2196" w:type="dxa"/>
            <w:gridSpan w:val="4"/>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较规则</w:t>
            </w:r>
          </w:p>
        </w:tc>
        <w:tc>
          <w:tcPr>
            <w:tcW w:w="954"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地形地势</w:t>
            </w:r>
          </w:p>
        </w:tc>
        <w:tc>
          <w:tcPr>
            <w:tcW w:w="4167" w:type="dxa"/>
            <w:gridSpan w:val="3"/>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有一定坡度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土     壤</w:t>
            </w:r>
          </w:p>
        </w:tc>
        <w:tc>
          <w:tcPr>
            <w:tcW w:w="2196" w:type="dxa"/>
            <w:gridSpan w:val="4"/>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未受过污染</w:t>
            </w:r>
          </w:p>
        </w:tc>
        <w:tc>
          <w:tcPr>
            <w:tcW w:w="954"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开发程度</w:t>
            </w:r>
          </w:p>
        </w:tc>
        <w:tc>
          <w:tcPr>
            <w:tcW w:w="4167"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宗地内已建成住宅小区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 xml:space="preserve"> 地质条件</w:t>
            </w:r>
          </w:p>
        </w:tc>
        <w:tc>
          <w:tcPr>
            <w:tcW w:w="7317" w:type="dxa"/>
            <w:gridSpan w:val="9"/>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地下水对钢筋无侵蚀作用，无不良地质现象，地基承载力和稳定性好，适合建筑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8529" w:type="dxa"/>
            <w:gridSpan w:val="11"/>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建筑物实物状况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楼盘名称</w:t>
            </w:r>
          </w:p>
        </w:tc>
        <w:tc>
          <w:tcPr>
            <w:tcW w:w="1755" w:type="dxa"/>
            <w:gridSpan w:val="3"/>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西贵金沙</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坐   落</w:t>
            </w:r>
          </w:p>
        </w:tc>
        <w:tc>
          <w:tcPr>
            <w:tcW w:w="4527" w:type="dxa"/>
            <w:gridSpan w:val="4"/>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color w:val="000000"/>
                <w:kern w:val="0"/>
                <w:sz w:val="18"/>
                <w:szCs w:val="18"/>
                <w:lang w:val="en-US" w:eastAsia="zh-CN" w:bidi="ar"/>
              </w:rPr>
              <w:t>攀枝花市西区春兰巷7号3幢1单元16-3号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建筑结构</w:t>
            </w:r>
          </w:p>
        </w:tc>
        <w:tc>
          <w:tcPr>
            <w:tcW w:w="1755" w:type="dxa"/>
            <w:gridSpan w:val="3"/>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钢混</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建成年代</w:t>
            </w:r>
          </w:p>
        </w:tc>
        <w:tc>
          <w:tcPr>
            <w:tcW w:w="157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2012</w:t>
            </w:r>
            <w:r>
              <w:rPr>
                <w:rFonts w:hint="eastAsia" w:ascii="宋体" w:hAnsi="宋体" w:eastAsia="宋体" w:cs="宋体"/>
                <w:bCs/>
                <w:sz w:val="18"/>
                <w:szCs w:val="18"/>
              </w:rPr>
              <w:t>年</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面积（㎡）</w:t>
            </w:r>
          </w:p>
        </w:tc>
        <w:tc>
          <w:tcPr>
            <w:tcW w:w="1842" w:type="dxa"/>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99.75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临街状况</w:t>
            </w:r>
          </w:p>
        </w:tc>
        <w:tc>
          <w:tcPr>
            <w:tcW w:w="175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临街</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朝    向</w:t>
            </w:r>
          </w:p>
        </w:tc>
        <w:tc>
          <w:tcPr>
            <w:tcW w:w="157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南</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基   础</w:t>
            </w:r>
          </w:p>
        </w:tc>
        <w:tc>
          <w:tcPr>
            <w:tcW w:w="1842" w:type="dxa"/>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桩基础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所在单元</w:t>
            </w:r>
          </w:p>
        </w:tc>
        <w:tc>
          <w:tcPr>
            <w:tcW w:w="175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highlight w:val="none"/>
                <w:lang w:val="en-US" w:eastAsia="zh-CN"/>
              </w:rPr>
              <w:t>3幢1</w:t>
            </w:r>
            <w:r>
              <w:rPr>
                <w:rFonts w:hint="eastAsia" w:ascii="宋体" w:hAnsi="宋体" w:eastAsia="宋体" w:cs="宋体"/>
                <w:bCs/>
                <w:sz w:val="18"/>
                <w:szCs w:val="18"/>
                <w:highlight w:val="none"/>
              </w:rPr>
              <w:t>单元</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总 楼 层</w:t>
            </w:r>
          </w:p>
        </w:tc>
        <w:tc>
          <w:tcPr>
            <w:tcW w:w="1575" w:type="dxa"/>
            <w:gridSpan w:val="2"/>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19F</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所在楼层</w:t>
            </w:r>
          </w:p>
        </w:tc>
        <w:tc>
          <w:tcPr>
            <w:tcW w:w="1842" w:type="dxa"/>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户    型</w:t>
            </w:r>
          </w:p>
        </w:tc>
        <w:tc>
          <w:tcPr>
            <w:tcW w:w="175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2</w:t>
            </w:r>
            <w:r>
              <w:rPr>
                <w:rFonts w:hint="eastAsia" w:ascii="宋体" w:hAnsi="宋体" w:eastAsia="宋体" w:cs="宋体"/>
                <w:bCs/>
                <w:sz w:val="18"/>
                <w:szCs w:val="18"/>
              </w:rPr>
              <w:t>房</w:t>
            </w:r>
            <w:r>
              <w:rPr>
                <w:rFonts w:hint="eastAsia" w:ascii="宋体" w:hAnsi="宋体" w:eastAsia="宋体" w:cs="宋体"/>
                <w:bCs/>
                <w:sz w:val="18"/>
                <w:szCs w:val="18"/>
                <w:lang w:val="en-US" w:eastAsia="zh-CN"/>
              </w:rPr>
              <w:t>2</w:t>
            </w:r>
            <w:r>
              <w:rPr>
                <w:rFonts w:hint="eastAsia" w:ascii="宋体" w:hAnsi="宋体" w:eastAsia="宋体" w:cs="宋体"/>
                <w:bCs/>
                <w:sz w:val="18"/>
                <w:szCs w:val="18"/>
              </w:rPr>
              <w:t>厅1厨</w:t>
            </w:r>
            <w:r>
              <w:rPr>
                <w:rFonts w:hint="eastAsia" w:ascii="宋体" w:hAnsi="宋体" w:eastAsia="宋体" w:cs="宋体"/>
                <w:bCs/>
                <w:sz w:val="18"/>
                <w:szCs w:val="18"/>
                <w:lang w:val="en-US" w:eastAsia="zh-CN"/>
              </w:rPr>
              <w:t>2</w:t>
            </w:r>
            <w:r>
              <w:rPr>
                <w:rFonts w:hint="eastAsia" w:ascii="宋体" w:hAnsi="宋体" w:eastAsia="宋体" w:cs="宋体"/>
                <w:bCs/>
                <w:sz w:val="18"/>
                <w:szCs w:val="18"/>
              </w:rPr>
              <w:t>卫</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层    高</w:t>
            </w:r>
          </w:p>
        </w:tc>
        <w:tc>
          <w:tcPr>
            <w:tcW w:w="157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3米</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利用现状</w:t>
            </w:r>
          </w:p>
        </w:tc>
        <w:tc>
          <w:tcPr>
            <w:tcW w:w="1842" w:type="dxa"/>
            <w:vAlign w:val="center"/>
          </w:tcPr>
          <w:p>
            <w:pPr>
              <w:spacing w:line="24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自用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平面布置</w:t>
            </w:r>
          </w:p>
        </w:tc>
        <w:tc>
          <w:tcPr>
            <w:tcW w:w="175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功能明确，布置合理</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装修档次</w:t>
            </w:r>
          </w:p>
        </w:tc>
        <w:tc>
          <w:tcPr>
            <w:tcW w:w="1575" w:type="dxa"/>
            <w:gridSpan w:val="2"/>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中装</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物业类别</w:t>
            </w:r>
          </w:p>
        </w:tc>
        <w:tc>
          <w:tcPr>
            <w:tcW w:w="1842"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高层住宅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1212"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套    型</w:t>
            </w:r>
          </w:p>
        </w:tc>
        <w:tc>
          <w:tcPr>
            <w:tcW w:w="1755" w:type="dxa"/>
            <w:gridSpan w:val="3"/>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成套</w:t>
            </w:r>
          </w:p>
        </w:tc>
        <w:tc>
          <w:tcPr>
            <w:tcW w:w="103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通风采光</w:t>
            </w:r>
          </w:p>
        </w:tc>
        <w:tc>
          <w:tcPr>
            <w:tcW w:w="157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良好</w:t>
            </w:r>
          </w:p>
        </w:tc>
        <w:tc>
          <w:tcPr>
            <w:tcW w:w="1110"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梯户比</w:t>
            </w:r>
          </w:p>
        </w:tc>
        <w:tc>
          <w:tcPr>
            <w:tcW w:w="1842" w:type="dxa"/>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lang w:val="en-US" w:eastAsia="zh-CN"/>
              </w:rPr>
              <w:t>2</w:t>
            </w:r>
            <w:r>
              <w:rPr>
                <w:rFonts w:hint="eastAsia" w:ascii="宋体" w:hAnsi="宋体" w:eastAsia="宋体" w:cs="宋体"/>
                <w:bCs/>
                <w:sz w:val="18"/>
                <w:szCs w:val="18"/>
              </w:rPr>
              <w:t>梯</w:t>
            </w:r>
            <w:r>
              <w:rPr>
                <w:rFonts w:hint="eastAsia" w:ascii="宋体" w:hAnsi="宋体" w:eastAsia="宋体" w:cs="宋体"/>
                <w:bCs/>
                <w:sz w:val="18"/>
                <w:szCs w:val="18"/>
                <w:lang w:val="en-US" w:eastAsia="zh-CN"/>
              </w:rPr>
              <w:t>3</w:t>
            </w:r>
            <w:r>
              <w:rPr>
                <w:rFonts w:hint="eastAsia" w:ascii="宋体" w:hAnsi="宋体" w:eastAsia="宋体" w:cs="宋体"/>
                <w:bCs/>
                <w:sz w:val="18"/>
                <w:szCs w:val="18"/>
              </w:rPr>
              <w:t>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703" w:type="dxa"/>
            <w:vMerge w:val="restart"/>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设备设施</w:t>
            </w: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垂直交通</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lang w:eastAsia="zh-CN"/>
              </w:rPr>
              <w:t>电梯、</w:t>
            </w:r>
            <w:r>
              <w:rPr>
                <w:rFonts w:hint="eastAsia" w:ascii="宋体" w:hAnsi="宋体" w:eastAsia="宋体" w:cs="宋体"/>
                <w:bCs/>
                <w:sz w:val="18"/>
                <w:szCs w:val="18"/>
              </w:rPr>
              <w:t>步行梯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安防系统</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消防栓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管    线</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室外水电气光纤通讯管线室外明敷；室内水电光纤通讯管线暗敷，气管明设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基础设施</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小区道路、供水、排水、电、气、光纤、讯、网络通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703" w:type="dxa"/>
            <w:vMerge w:val="restart"/>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装修</w:t>
            </w:r>
          </w:p>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状况</w:t>
            </w: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外    墙</w:t>
            </w:r>
          </w:p>
        </w:tc>
        <w:tc>
          <w:tcPr>
            <w:tcW w:w="6721" w:type="dxa"/>
            <w:gridSpan w:val="8"/>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外墙砖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公共通道</w:t>
            </w:r>
          </w:p>
        </w:tc>
        <w:tc>
          <w:tcPr>
            <w:tcW w:w="6721" w:type="dxa"/>
            <w:gridSpan w:val="8"/>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水泥</w:t>
            </w:r>
            <w:r>
              <w:rPr>
                <w:rFonts w:hint="eastAsia" w:ascii="宋体" w:hAnsi="宋体" w:eastAsia="宋体" w:cs="宋体"/>
                <w:bCs/>
                <w:sz w:val="18"/>
                <w:szCs w:val="18"/>
              </w:rPr>
              <w:t>，墙面</w:t>
            </w:r>
            <w:r>
              <w:rPr>
                <w:rFonts w:hint="eastAsia" w:ascii="宋体" w:hAnsi="宋体" w:eastAsia="宋体" w:cs="宋体"/>
                <w:bCs/>
                <w:sz w:val="18"/>
                <w:szCs w:val="18"/>
                <w:lang w:eastAsia="zh-CN"/>
              </w:rPr>
              <w:t>刷白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内    墙</w:t>
            </w:r>
          </w:p>
        </w:tc>
        <w:tc>
          <w:tcPr>
            <w:tcW w:w="6721" w:type="dxa"/>
            <w:gridSpan w:val="8"/>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墙纸，墙砖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屋    顶</w:t>
            </w:r>
          </w:p>
        </w:tc>
        <w:tc>
          <w:tcPr>
            <w:tcW w:w="6721" w:type="dxa"/>
            <w:gridSpan w:val="8"/>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石膏板，乳胶漆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地    面</w:t>
            </w:r>
          </w:p>
        </w:tc>
        <w:tc>
          <w:tcPr>
            <w:tcW w:w="6721" w:type="dxa"/>
            <w:gridSpan w:val="8"/>
            <w:vAlign w:val="center"/>
          </w:tcPr>
          <w:p>
            <w:pPr>
              <w:spacing w:line="24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地砖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门    窗</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入户防盗门、</w:t>
            </w:r>
            <w:r>
              <w:rPr>
                <w:rFonts w:hint="eastAsia" w:ascii="宋体" w:hAnsi="宋体" w:eastAsia="宋体" w:cs="宋体"/>
                <w:bCs/>
                <w:sz w:val="18"/>
                <w:szCs w:val="18"/>
                <w:lang w:eastAsia="zh-CN"/>
              </w:rPr>
              <w:t>实木门、</w:t>
            </w:r>
            <w:r>
              <w:rPr>
                <w:rFonts w:hint="eastAsia" w:ascii="宋体" w:hAnsi="宋体" w:eastAsia="宋体" w:cs="宋体"/>
                <w:bCs/>
                <w:sz w:val="18"/>
                <w:szCs w:val="18"/>
              </w:rPr>
              <w:t>铝合金窗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jc w:val="center"/>
        </w:trPr>
        <w:tc>
          <w:tcPr>
            <w:tcW w:w="703" w:type="dxa"/>
            <w:vMerge w:val="restart"/>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建筑完损情况</w:t>
            </w: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结   构</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地基无不均匀沉降，墙面无裂缝现象，尚未发现主体结构受损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装饰装修</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装饰装修维护保养情况</w:t>
            </w:r>
            <w:r>
              <w:rPr>
                <w:rFonts w:hint="eastAsia" w:ascii="宋体" w:hAnsi="宋体" w:eastAsia="宋体" w:cs="宋体"/>
                <w:bCs/>
                <w:sz w:val="18"/>
                <w:szCs w:val="18"/>
                <w:lang w:eastAsia="zh-CN"/>
              </w:rPr>
              <w:t>一般</w:t>
            </w:r>
            <w:r>
              <w:rPr>
                <w:rFonts w:hint="eastAsia" w:ascii="宋体" w:hAnsi="宋体" w:eastAsia="宋体" w:cs="宋体"/>
                <w:bCs/>
                <w:sz w:val="18"/>
                <w:szCs w:val="18"/>
              </w:rPr>
              <w:t>，可继续使用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设   备</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正常利用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703" w:type="dxa"/>
            <w:vMerge w:val="continue"/>
            <w:vAlign w:val="center"/>
          </w:tcPr>
          <w:p>
            <w:pPr>
              <w:spacing w:line="240" w:lineRule="exact"/>
              <w:jc w:val="center"/>
              <w:rPr>
                <w:rFonts w:hint="eastAsia" w:ascii="宋体" w:hAnsi="宋体" w:eastAsia="宋体" w:cs="宋体"/>
                <w:bCs/>
                <w:sz w:val="18"/>
                <w:szCs w:val="18"/>
              </w:rPr>
            </w:pPr>
          </w:p>
        </w:tc>
        <w:tc>
          <w:tcPr>
            <w:tcW w:w="1105" w:type="dxa"/>
            <w:gridSpan w:val="2"/>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建筑综合成新率</w:t>
            </w:r>
          </w:p>
        </w:tc>
        <w:tc>
          <w:tcPr>
            <w:tcW w:w="6721" w:type="dxa"/>
            <w:gridSpan w:val="8"/>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综合建筑物的设计使用年限、地基与墙面、主体结构、配套设施设备、维护保养状况等因素，判断建筑物的综合成新率为</w:t>
            </w:r>
            <w:r>
              <w:rPr>
                <w:rFonts w:hint="eastAsia" w:ascii="宋体" w:hAnsi="宋体" w:eastAsia="宋体" w:cs="宋体"/>
                <w:bCs/>
                <w:sz w:val="18"/>
                <w:szCs w:val="18"/>
                <w:lang w:val="en-US" w:eastAsia="zh-CN"/>
              </w:rPr>
              <w:t>9</w:t>
            </w:r>
            <w:r>
              <w:rPr>
                <w:rFonts w:hint="eastAsia" w:ascii="宋体" w:hAnsi="宋体" w:eastAsia="宋体" w:cs="宋体"/>
                <w:bCs/>
                <w:sz w:val="18"/>
                <w:szCs w:val="18"/>
              </w:rPr>
              <w:t>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jc w:val="center"/>
        </w:trPr>
        <w:tc>
          <w:tcPr>
            <w:tcW w:w="1808" w:type="dxa"/>
            <w:gridSpan w:val="3"/>
            <w:tcBorders>
              <w:bottom w:val="single" w:color="auto" w:sz="12" w:space="0"/>
            </w:tcBorders>
            <w:vAlign w:val="center"/>
          </w:tcPr>
          <w:p>
            <w:pPr>
              <w:spacing w:line="240" w:lineRule="exact"/>
              <w:jc w:val="center"/>
              <w:rPr>
                <w:rFonts w:hint="eastAsia" w:ascii="宋体" w:hAnsi="宋体" w:eastAsia="宋体" w:cs="宋体"/>
                <w:bCs/>
                <w:sz w:val="18"/>
                <w:szCs w:val="18"/>
              </w:rPr>
            </w:pPr>
            <w:r>
              <w:rPr>
                <w:rFonts w:hint="eastAsia" w:ascii="宋体" w:hAnsi="宋体" w:eastAsia="宋体" w:cs="宋体"/>
                <w:bCs/>
                <w:sz w:val="18"/>
                <w:szCs w:val="18"/>
              </w:rPr>
              <w:t>物业管理</w:t>
            </w:r>
          </w:p>
        </w:tc>
        <w:tc>
          <w:tcPr>
            <w:tcW w:w="6721" w:type="dxa"/>
            <w:gridSpan w:val="8"/>
            <w:tcBorders>
              <w:bottom w:val="single" w:color="auto" w:sz="12" w:space="0"/>
            </w:tcBorders>
            <w:vAlign w:val="center"/>
          </w:tcPr>
          <w:p>
            <w:pPr>
              <w:widowControl/>
              <w:jc w:val="center"/>
              <w:textAlignment w:val="center"/>
              <w:rPr>
                <w:rFonts w:hint="eastAsia" w:ascii="宋体" w:hAnsi="宋体" w:eastAsia="宋体" w:cs="宋体"/>
                <w:bCs/>
                <w:sz w:val="18"/>
                <w:szCs w:val="18"/>
              </w:rPr>
            </w:pPr>
            <w:r>
              <w:rPr>
                <w:rFonts w:hint="eastAsia" w:ascii="宋体" w:hAnsi="宋体" w:eastAsia="宋体" w:cs="宋体"/>
                <w:color w:val="000000"/>
                <w:kern w:val="0"/>
                <w:sz w:val="18"/>
                <w:szCs w:val="18"/>
                <w:lang w:bidi="ar"/>
              </w:rPr>
              <w:t>四川省金钟物业服务有限公司</w:t>
            </w:r>
          </w:p>
        </w:tc>
      </w:tr>
    </w:tbl>
    <w:p>
      <w:pPr>
        <w:spacing w:line="480" w:lineRule="exact"/>
        <w:ind w:firstLine="280" w:firstLineChars="100"/>
        <w:rPr>
          <w:sz w:val="28"/>
        </w:rPr>
      </w:pPr>
      <w:r>
        <w:rPr>
          <w:b/>
          <w:bCs/>
          <w:sz w:val="28"/>
          <w:szCs w:val="28"/>
        </w:rPr>
        <w:t xml:space="preserve"> (四) 估价对象区位状况</w:t>
      </w:r>
    </w:p>
    <w:p>
      <w:pPr>
        <w:pStyle w:val="5"/>
        <w:wordWrap w:val="0"/>
        <w:spacing w:line="480" w:lineRule="exact"/>
        <w:ind w:firstLine="560" w:firstLineChars="200"/>
        <w:rPr>
          <w:rFonts w:eastAsia="仿宋_GB2312"/>
        </w:rPr>
      </w:pPr>
      <w:r>
        <w:rPr>
          <w:rFonts w:eastAsia="仿宋_GB2312"/>
        </w:rPr>
        <w:t>估价对象位于</w:t>
      </w:r>
      <w:r>
        <w:rPr>
          <w:rFonts w:hint="eastAsia" w:eastAsia="仿宋_GB2312"/>
          <w:szCs w:val="22"/>
          <w:lang w:val="en-US" w:eastAsia="zh-CN"/>
        </w:rPr>
        <w:t>攀枝花市西区春兰巷7号</w:t>
      </w:r>
      <w:r>
        <w:rPr>
          <w:rFonts w:eastAsia="仿宋_GB2312"/>
          <w:szCs w:val="22"/>
        </w:rPr>
        <w:t>，根据</w:t>
      </w:r>
      <w:r>
        <w:rPr>
          <w:rFonts w:eastAsia="仿宋_GB2312"/>
        </w:rPr>
        <w:t>估价人员实地查勘，估价对象的主要区位状况详见下表：</w:t>
      </w:r>
    </w:p>
    <w:p>
      <w:pPr>
        <w:pStyle w:val="5"/>
        <w:overflowPunct w:val="0"/>
        <w:autoSpaceDE w:val="0"/>
        <w:autoSpaceDN w:val="0"/>
        <w:adjustRightInd w:val="0"/>
        <w:spacing w:line="480" w:lineRule="exact"/>
        <w:ind w:firstLine="0"/>
        <w:contextualSpacing/>
        <w:jc w:val="center"/>
        <w:textAlignment w:val="baseline"/>
        <w:rPr>
          <w:rFonts w:eastAsia="仿宋_GB2312"/>
          <w:b/>
          <w:bCs/>
          <w:sz w:val="24"/>
          <w:szCs w:val="24"/>
        </w:rPr>
      </w:pPr>
      <w:r>
        <w:rPr>
          <w:rFonts w:eastAsia="仿宋_GB2312"/>
          <w:b/>
          <w:bCs/>
          <w:sz w:val="24"/>
          <w:szCs w:val="24"/>
        </w:rPr>
        <w:t>表</w:t>
      </w:r>
      <w:r>
        <w:rPr>
          <w:rFonts w:hint="eastAsia" w:eastAsia="仿宋_GB2312"/>
          <w:b/>
          <w:bCs/>
          <w:sz w:val="24"/>
          <w:szCs w:val="24"/>
          <w:lang w:val="en-US" w:eastAsia="zh-CN"/>
        </w:rPr>
        <w:t>3</w:t>
      </w:r>
      <w:r>
        <w:rPr>
          <w:rFonts w:hint="eastAsia" w:eastAsia="仿宋_GB2312"/>
          <w:b/>
          <w:bCs/>
          <w:sz w:val="24"/>
          <w:szCs w:val="24"/>
        </w:rPr>
        <w:t xml:space="preserve">   </w:t>
      </w:r>
      <w:r>
        <w:rPr>
          <w:rFonts w:eastAsia="仿宋_GB2312"/>
          <w:b/>
          <w:bCs/>
          <w:sz w:val="24"/>
          <w:szCs w:val="24"/>
        </w:rPr>
        <w:t>估价对象区位状况一览表</w:t>
      </w:r>
    </w:p>
    <w:tbl>
      <w:tblPr>
        <w:tblStyle w:val="50"/>
        <w:tblW w:w="85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75"/>
        <w:gridCol w:w="6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600" w:type="dxa"/>
            <w:vMerge w:val="restart"/>
            <w:tcBorders>
              <w:top w:val="single" w:color="auto" w:sz="12" w:space="0"/>
            </w:tcBorders>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位置</w:t>
            </w:r>
          </w:p>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状况</w:t>
            </w:r>
          </w:p>
        </w:tc>
        <w:tc>
          <w:tcPr>
            <w:tcW w:w="1175" w:type="dxa"/>
            <w:tcBorders>
              <w:top w:val="single" w:color="auto" w:sz="12" w:space="0"/>
            </w:tcBorders>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坐   落</w:t>
            </w:r>
          </w:p>
        </w:tc>
        <w:tc>
          <w:tcPr>
            <w:tcW w:w="6754" w:type="dxa"/>
            <w:tcBorders>
              <w:top w:val="single" w:color="auto" w:sz="12" w:space="0"/>
            </w:tcBorders>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val="en-US" w:eastAsia="zh-CN" w:bidi="ar"/>
              </w:rPr>
              <w:t>攀枝花市西区春兰巷7号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方   位</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位于苏铁中路以北，格萨拉大道以南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距市中心</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距离市中心文化广场约9.5km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距政务中心</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距离攀枝花市西区人民政府政务服务中心约1.2公里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临街状况</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临街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城市规划</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住宅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楼幢、楼层</w:t>
            </w:r>
          </w:p>
        </w:tc>
        <w:tc>
          <w:tcPr>
            <w:tcW w:w="6754" w:type="dxa"/>
            <w:vAlign w:val="center"/>
          </w:tcPr>
          <w:p>
            <w:pPr>
              <w:widowControl/>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3幢1</w:t>
            </w:r>
            <w:r>
              <w:rPr>
                <w:rFonts w:hint="eastAsia" w:ascii="宋体" w:hAnsi="宋体" w:eastAsia="宋体" w:cs="宋体"/>
                <w:color w:val="000000"/>
                <w:kern w:val="0"/>
                <w:sz w:val="18"/>
                <w:szCs w:val="18"/>
                <w:lang w:bidi="ar"/>
              </w:rPr>
              <w:t>单元</w:t>
            </w:r>
            <w:r>
              <w:rPr>
                <w:rFonts w:hint="eastAsia" w:ascii="宋体" w:hAnsi="宋体" w:eastAsia="宋体" w:cs="宋体"/>
                <w:color w:val="000000"/>
                <w:kern w:val="0"/>
                <w:sz w:val="18"/>
                <w:szCs w:val="18"/>
                <w:lang w:val="en-US" w:eastAsia="zh-CN" w:bidi="ar"/>
              </w:rPr>
              <w:t>16</w:t>
            </w:r>
            <w:r>
              <w:rPr>
                <w:rFonts w:hint="eastAsia" w:ascii="宋体" w:hAnsi="宋体" w:eastAsia="宋体" w:cs="宋体"/>
                <w:color w:val="000000"/>
                <w:kern w:val="0"/>
                <w:sz w:val="18"/>
                <w:szCs w:val="18"/>
                <w:lang w:bidi="ar"/>
              </w:rPr>
              <w:t>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朝    向</w:t>
            </w:r>
          </w:p>
        </w:tc>
        <w:tc>
          <w:tcPr>
            <w:tcW w:w="6754" w:type="dxa"/>
            <w:vAlign w:val="center"/>
          </w:tcPr>
          <w:p>
            <w:pPr>
              <w:widowControl/>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600" w:type="dxa"/>
            <w:vMerge w:val="restart"/>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交通</w:t>
            </w:r>
          </w:p>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状况</w:t>
            </w: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道路状况</w:t>
            </w:r>
          </w:p>
        </w:tc>
        <w:tc>
          <w:tcPr>
            <w:tcW w:w="6754" w:type="dxa"/>
            <w:vAlign w:val="center"/>
          </w:tcPr>
          <w:p>
            <w:pPr>
              <w:spacing w:line="240" w:lineRule="atLeast"/>
              <w:jc w:val="left"/>
              <w:rPr>
                <w:rFonts w:hint="eastAsia" w:ascii="宋体" w:hAnsi="宋体" w:eastAsia="宋体" w:cs="宋体"/>
                <w:kern w:val="0"/>
                <w:sz w:val="18"/>
                <w:szCs w:val="18"/>
              </w:rPr>
            </w:pPr>
            <w:r>
              <w:rPr>
                <w:rFonts w:hint="eastAsia" w:ascii="宋体" w:hAnsi="宋体" w:eastAsia="宋体" w:cs="宋体"/>
                <w:kern w:val="0"/>
                <w:sz w:val="18"/>
                <w:szCs w:val="18"/>
              </w:rPr>
              <w:t>由苏铁中路，格萨拉大道，春兰巷，春风巷等组成路网，路网密集，道路通达度较优由苏铁中路，格萨拉大道，春兰巷，春风巷等组成路网，路网密集，道路通达度较优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b/>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公共交通</w:t>
            </w:r>
          </w:p>
        </w:tc>
        <w:tc>
          <w:tcPr>
            <w:tcW w:w="6754" w:type="dxa"/>
            <w:vAlign w:val="center"/>
          </w:tcPr>
          <w:p>
            <w:pPr>
              <w:spacing w:line="240" w:lineRule="atLeast"/>
              <w:jc w:val="left"/>
              <w:rPr>
                <w:rFonts w:hint="eastAsia" w:ascii="宋体" w:hAnsi="宋体" w:eastAsia="宋体" w:cs="宋体"/>
                <w:kern w:val="0"/>
                <w:sz w:val="18"/>
                <w:szCs w:val="18"/>
              </w:rPr>
            </w:pPr>
            <w:r>
              <w:rPr>
                <w:rFonts w:hint="eastAsia" w:ascii="宋体" w:hAnsi="宋体" w:eastAsia="宋体" w:cs="宋体"/>
                <w:kern w:val="0"/>
                <w:sz w:val="18"/>
                <w:szCs w:val="18"/>
              </w:rPr>
              <w:t>附近有2路、32路、35路公交车从附近通过公交地铁便捷度优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00" w:type="dxa"/>
            <w:vMerge w:val="continue"/>
            <w:vAlign w:val="center"/>
          </w:tcPr>
          <w:p>
            <w:pPr>
              <w:spacing w:line="240" w:lineRule="atLeast"/>
              <w:jc w:val="center"/>
              <w:rPr>
                <w:rFonts w:hint="eastAsia" w:ascii="宋体" w:hAnsi="宋体" w:eastAsia="宋体" w:cs="宋体"/>
                <w:b/>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距客运站</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距离攀枝花市汽车客运中心约9km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00" w:type="dxa"/>
            <w:vMerge w:val="continue"/>
            <w:vAlign w:val="center"/>
          </w:tcPr>
          <w:p>
            <w:pPr>
              <w:spacing w:line="240" w:lineRule="atLeast"/>
              <w:jc w:val="center"/>
              <w:rPr>
                <w:rFonts w:hint="eastAsia" w:ascii="宋体" w:hAnsi="宋体" w:eastAsia="宋体" w:cs="宋体"/>
                <w:b/>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距机场</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距攀枝花保安营机场约19.3公里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00" w:type="dxa"/>
            <w:vMerge w:val="continue"/>
            <w:vAlign w:val="center"/>
          </w:tcPr>
          <w:p>
            <w:pPr>
              <w:spacing w:line="240" w:lineRule="atLeast"/>
              <w:jc w:val="center"/>
              <w:rPr>
                <w:rFonts w:hint="eastAsia" w:ascii="宋体" w:hAnsi="宋体" w:eastAsia="宋体" w:cs="宋体"/>
                <w:b/>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交通管制</w:t>
            </w:r>
          </w:p>
        </w:tc>
        <w:tc>
          <w:tcPr>
            <w:tcW w:w="6754" w:type="dxa"/>
            <w:vAlign w:val="center"/>
          </w:tcPr>
          <w:p>
            <w:pPr>
              <w:widowControl/>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无交通管制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b/>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停车便利度</w:t>
            </w:r>
          </w:p>
        </w:tc>
        <w:tc>
          <w:tcPr>
            <w:tcW w:w="6754" w:type="dxa"/>
            <w:vAlign w:val="center"/>
          </w:tcPr>
          <w:p>
            <w:pPr>
              <w:widowControl/>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bidi="ar"/>
              </w:rPr>
              <w:t>小区设有地</w:t>
            </w:r>
            <w:r>
              <w:rPr>
                <w:rFonts w:hint="eastAsia" w:ascii="宋体" w:hAnsi="宋体" w:eastAsia="宋体" w:cs="宋体"/>
                <w:color w:val="000000"/>
                <w:kern w:val="0"/>
                <w:sz w:val="18"/>
                <w:szCs w:val="18"/>
                <w:lang w:eastAsia="zh-CN" w:bidi="ar"/>
              </w:rPr>
              <w:t>面</w:t>
            </w:r>
            <w:r>
              <w:rPr>
                <w:rFonts w:hint="eastAsia" w:ascii="宋体" w:hAnsi="宋体" w:eastAsia="宋体" w:cs="宋体"/>
                <w:color w:val="000000"/>
                <w:kern w:val="0"/>
                <w:sz w:val="18"/>
                <w:szCs w:val="18"/>
                <w:lang w:bidi="ar"/>
              </w:rPr>
              <w:t>停车场，停车便利度</w:t>
            </w:r>
            <w:r>
              <w:rPr>
                <w:rFonts w:hint="eastAsia" w:ascii="宋体" w:hAnsi="宋体" w:eastAsia="宋体" w:cs="宋体"/>
                <w:color w:val="000000"/>
                <w:kern w:val="0"/>
                <w:sz w:val="18"/>
                <w:szCs w:val="18"/>
                <w:lang w:eastAsia="zh-CN" w:bidi="ar"/>
              </w:rPr>
              <w:t>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restart"/>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环境状况</w:t>
            </w: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自然环境</w:t>
            </w:r>
          </w:p>
        </w:tc>
        <w:tc>
          <w:tcPr>
            <w:tcW w:w="6754" w:type="dxa"/>
            <w:vAlign w:val="center"/>
          </w:tcPr>
          <w:p>
            <w:pPr>
              <w:widowControl/>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自然环境良好，环境卫生状况良好，小区景观一般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人文环境</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区域居民素质较高，治安状况良好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噪音治安</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汽车噪音和生活噪音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0" w:type="dxa"/>
            <w:vMerge w:val="continue"/>
            <w:vAlign w:val="center"/>
          </w:tcPr>
          <w:p>
            <w:pPr>
              <w:spacing w:line="240" w:lineRule="atLeast"/>
              <w:jc w:val="center"/>
              <w:rPr>
                <w:rFonts w:hint="eastAsia" w:ascii="宋体" w:hAnsi="宋体" w:eastAsia="宋体" w:cs="宋体"/>
                <w:kern w:val="0"/>
                <w:sz w:val="18"/>
                <w:szCs w:val="18"/>
              </w:rPr>
            </w:pPr>
          </w:p>
        </w:tc>
        <w:tc>
          <w:tcPr>
            <w:tcW w:w="1175" w:type="dxa"/>
            <w:vAlign w:val="center"/>
          </w:tcPr>
          <w:p>
            <w:pPr>
              <w:spacing w:line="240" w:lineRule="atLeast"/>
              <w:jc w:val="center"/>
              <w:rPr>
                <w:rFonts w:hint="eastAsia" w:ascii="宋体" w:hAnsi="宋体" w:eastAsia="宋体" w:cs="宋体"/>
                <w:kern w:val="0"/>
                <w:sz w:val="18"/>
                <w:szCs w:val="18"/>
              </w:rPr>
            </w:pPr>
            <w:r>
              <w:rPr>
                <w:rFonts w:hint="eastAsia" w:ascii="宋体" w:hAnsi="宋体" w:eastAsia="宋体" w:cs="宋体"/>
                <w:kern w:val="0"/>
                <w:sz w:val="18"/>
                <w:szCs w:val="18"/>
              </w:rPr>
              <w:t>空气质量</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估价对象常年空气质量良好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00" w:type="dxa"/>
            <w:vMerge w:val="restart"/>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外部配套设施</w:t>
            </w:r>
          </w:p>
        </w:tc>
        <w:tc>
          <w:tcPr>
            <w:tcW w:w="1175"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基础设施</w:t>
            </w:r>
          </w:p>
        </w:tc>
        <w:tc>
          <w:tcPr>
            <w:tcW w:w="6754" w:type="dxa"/>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区域通水、电、气、视、路、讯等，基础设施配套完善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600" w:type="dxa"/>
            <w:vMerge w:val="continue"/>
            <w:tcBorders>
              <w:bottom w:val="single" w:color="auto" w:sz="12" w:space="0"/>
            </w:tcBorders>
            <w:vAlign w:val="center"/>
          </w:tcPr>
          <w:p>
            <w:pPr>
              <w:spacing w:line="240" w:lineRule="atLeast"/>
              <w:jc w:val="center"/>
              <w:rPr>
                <w:rFonts w:hint="eastAsia" w:ascii="宋体" w:hAnsi="宋体" w:eastAsia="宋体" w:cs="宋体"/>
                <w:b/>
                <w:kern w:val="0"/>
                <w:sz w:val="18"/>
                <w:szCs w:val="18"/>
              </w:rPr>
            </w:pPr>
          </w:p>
        </w:tc>
        <w:tc>
          <w:tcPr>
            <w:tcW w:w="1175" w:type="dxa"/>
            <w:tcBorders>
              <w:bottom w:val="single" w:color="auto" w:sz="12" w:space="0"/>
            </w:tcBorders>
            <w:vAlign w:val="center"/>
          </w:tcPr>
          <w:p>
            <w:pPr>
              <w:spacing w:line="240" w:lineRule="atLeast"/>
              <w:rPr>
                <w:rFonts w:hint="eastAsia" w:ascii="宋体" w:hAnsi="宋体" w:eastAsia="宋体" w:cs="宋体"/>
                <w:kern w:val="0"/>
                <w:sz w:val="18"/>
                <w:szCs w:val="18"/>
              </w:rPr>
            </w:pPr>
            <w:r>
              <w:rPr>
                <w:rFonts w:hint="eastAsia" w:ascii="宋体" w:hAnsi="宋体" w:eastAsia="宋体" w:cs="宋体"/>
                <w:kern w:val="0"/>
                <w:sz w:val="18"/>
                <w:szCs w:val="18"/>
              </w:rPr>
              <w:t>公共服务设施</w:t>
            </w:r>
          </w:p>
        </w:tc>
        <w:tc>
          <w:tcPr>
            <w:tcW w:w="6754" w:type="dxa"/>
            <w:tcBorders>
              <w:bottom w:val="single" w:color="auto" w:sz="12" w:space="0"/>
            </w:tcBorders>
            <w:vAlign w:val="center"/>
          </w:tcPr>
          <w:p>
            <w:pPr>
              <w:widowControl/>
              <w:jc w:val="left"/>
              <w:textAlignment w:val="center"/>
              <w:rPr>
                <w:rFonts w:hint="eastAsia" w:ascii="宋体" w:hAnsi="宋体" w:eastAsia="宋体" w:cs="宋体"/>
                <w:kern w:val="0"/>
                <w:sz w:val="18"/>
                <w:szCs w:val="18"/>
              </w:rPr>
            </w:pPr>
            <w:r>
              <w:rPr>
                <w:rFonts w:hint="eastAsia" w:ascii="宋体" w:hAnsi="宋体" w:eastAsia="宋体" w:cs="宋体"/>
                <w:kern w:val="0"/>
                <w:sz w:val="18"/>
                <w:szCs w:val="18"/>
              </w:rPr>
              <w:t>区域内有攀枝花市第十九小学校，攀枝花市第十中学，吉祥商店，红瑞超市，嘉和商店，中国银行，中国农业银行，河石坝社区卫生服务站，攀枝花市第二人民医院等学校、超市、银行、医院公服设施，公服设施完善</w:t>
            </w:r>
          </w:p>
        </w:tc>
      </w:tr>
    </w:tbl>
    <w:p>
      <w:pPr>
        <w:pStyle w:val="5"/>
        <w:wordWrap w:val="0"/>
        <w:spacing w:line="480" w:lineRule="exact"/>
        <w:ind w:firstLine="0"/>
        <w:outlineLvl w:val="2"/>
        <w:rPr>
          <w:rFonts w:eastAsia="仿宋_GB2312"/>
          <w:b/>
          <w:bCs/>
        </w:rPr>
      </w:pPr>
      <w:bookmarkStart w:id="23" w:name="_Toc31328"/>
      <w:r>
        <w:rPr>
          <w:rFonts w:eastAsia="仿宋_GB2312"/>
          <w:b/>
          <w:bCs/>
        </w:rPr>
        <w:t>五、价值时点</w:t>
      </w:r>
      <w:bookmarkEnd w:id="23"/>
    </w:p>
    <w:p>
      <w:pPr>
        <w:pStyle w:val="5"/>
        <w:wordWrap w:val="0"/>
        <w:spacing w:line="480" w:lineRule="exact"/>
        <w:ind w:firstLine="560" w:firstLineChars="200"/>
        <w:outlineLvl w:val="9"/>
        <w:rPr>
          <w:rFonts w:eastAsia="仿宋_GB2312"/>
          <w:szCs w:val="22"/>
        </w:rPr>
      </w:pPr>
      <w:r>
        <w:rPr>
          <w:rFonts w:hint="eastAsia" w:eastAsia="仿宋_GB2312"/>
          <w:szCs w:val="22"/>
        </w:rPr>
        <w:t>根据《房地产司法鉴定评估指导意见》试行（川建房发〔2011〕89号）第七十八条“房地产拍卖鉴定评估的价值时点，原则上为评估委托之日或完成估价对象现场查勘之日，但司法鉴定（评估）委托书另有约定的除外。”本次以估价对象实地查勘之日作为价值时点，即本次估价价值时点确定为</w:t>
      </w:r>
      <w:r>
        <w:rPr>
          <w:rFonts w:hint="eastAsia" w:eastAsia="仿宋_GB2312"/>
          <w:szCs w:val="22"/>
          <w:lang w:eastAsia="zh-CN"/>
        </w:rPr>
        <w:t>2018年12月5日</w:t>
      </w:r>
      <w:r>
        <w:rPr>
          <w:rFonts w:hint="eastAsia" w:eastAsia="仿宋_GB2312"/>
          <w:szCs w:val="22"/>
        </w:rPr>
        <w:t xml:space="preserve">。 </w:t>
      </w:r>
    </w:p>
    <w:p>
      <w:pPr>
        <w:pStyle w:val="5"/>
        <w:wordWrap w:val="0"/>
        <w:spacing w:line="480" w:lineRule="exact"/>
        <w:ind w:firstLine="0"/>
        <w:outlineLvl w:val="2"/>
        <w:rPr>
          <w:rFonts w:eastAsia="仿宋_GB2312"/>
          <w:b/>
          <w:bCs/>
        </w:rPr>
      </w:pPr>
      <w:bookmarkStart w:id="24" w:name="_Toc24043"/>
      <w:r>
        <w:rPr>
          <w:rFonts w:eastAsia="仿宋_GB2312"/>
          <w:b/>
          <w:bCs/>
        </w:rPr>
        <w:t>六、价值类型</w:t>
      </w:r>
      <w:bookmarkEnd w:id="24"/>
    </w:p>
    <w:p>
      <w:pPr>
        <w:wordWrap w:val="0"/>
        <w:adjustRightInd w:val="0"/>
        <w:snapToGrid w:val="0"/>
        <w:spacing w:line="480" w:lineRule="exact"/>
        <w:ind w:firstLine="560" w:firstLineChars="200"/>
        <w:rPr>
          <w:sz w:val="28"/>
        </w:rPr>
      </w:pPr>
      <w:bookmarkStart w:id="25" w:name="_Toc299003097"/>
      <w:r>
        <w:rPr>
          <w:sz w:val="28"/>
        </w:rPr>
        <w:t>（一）市场价值，不考虑房地产</w:t>
      </w:r>
      <w:r>
        <w:rPr>
          <w:rFonts w:hint="eastAsia"/>
          <w:sz w:val="28"/>
        </w:rPr>
        <w:t>交易</w:t>
      </w:r>
      <w:r>
        <w:rPr>
          <w:sz w:val="28"/>
        </w:rPr>
        <w:t>税费及税费的转移负担。</w:t>
      </w:r>
    </w:p>
    <w:p>
      <w:pPr>
        <w:wordWrap w:val="0"/>
        <w:adjustRightInd w:val="0"/>
        <w:snapToGrid w:val="0"/>
        <w:spacing w:line="480" w:lineRule="exact"/>
        <w:ind w:firstLine="560" w:firstLineChars="200"/>
        <w:rPr>
          <w:sz w:val="28"/>
        </w:rPr>
      </w:pPr>
      <w:r>
        <w:rPr>
          <w:sz w:val="28"/>
        </w:rPr>
        <w:t>（二）价值内涵：本报告价值内涵为满足本估价报告“估价假设与限制条件”，遵循客观、独立、公开、合法原则，以证载住宅用途，在价值时点</w:t>
      </w:r>
      <w:r>
        <w:rPr>
          <w:rFonts w:hint="eastAsia"/>
          <w:sz w:val="28"/>
          <w:lang w:eastAsia="zh-CN"/>
        </w:rPr>
        <w:t>2018年12月5日</w:t>
      </w:r>
      <w:r>
        <w:rPr>
          <w:sz w:val="28"/>
        </w:rPr>
        <w:t>于现状条件下的市场价值，该价值内涵还包括：</w:t>
      </w:r>
    </w:p>
    <w:p>
      <w:pPr>
        <w:wordWrap w:val="0"/>
        <w:adjustRightInd w:val="0"/>
        <w:snapToGrid w:val="0"/>
        <w:spacing w:line="480" w:lineRule="exact"/>
        <w:ind w:firstLine="560" w:firstLineChars="200"/>
        <w:rPr>
          <w:sz w:val="28"/>
        </w:rPr>
      </w:pPr>
      <w:r>
        <w:rPr>
          <w:sz w:val="28"/>
        </w:rPr>
        <w:t xml:space="preserve"> 1、本次估价财产范围为估价对象的房屋、分摊相应土地使用权和必要的设备设施、以及按二手房交易市场通常应包含的装饰装修价值，不包括债权债务、特许经营权等其他财产或权益。</w:t>
      </w:r>
    </w:p>
    <w:p>
      <w:pPr>
        <w:wordWrap w:val="0"/>
        <w:adjustRightInd w:val="0"/>
        <w:snapToGrid w:val="0"/>
        <w:spacing w:line="480" w:lineRule="exact"/>
        <w:ind w:firstLine="560" w:firstLineChars="200"/>
        <w:rPr>
          <w:sz w:val="28"/>
        </w:rPr>
      </w:pPr>
      <w:r>
        <w:rPr>
          <w:sz w:val="28"/>
        </w:rPr>
        <w:t xml:space="preserve"> 2、本次估价未考虑</w:t>
      </w:r>
      <w:r>
        <w:rPr>
          <w:rFonts w:hint="eastAsia"/>
          <w:sz w:val="28"/>
        </w:rPr>
        <w:t>查封、</w:t>
      </w:r>
      <w:r>
        <w:rPr>
          <w:sz w:val="28"/>
        </w:rPr>
        <w:t>抵押、担保、典权、地役权等他项权利限制、未来市场价值变化风险、特殊交易方式、不可抗力、短期强制处分等因素影响。</w:t>
      </w:r>
    </w:p>
    <w:p>
      <w:pPr>
        <w:wordWrap w:val="0"/>
        <w:adjustRightInd w:val="0"/>
        <w:snapToGrid w:val="0"/>
        <w:spacing w:line="480" w:lineRule="exact"/>
        <w:ind w:firstLine="560" w:firstLineChars="200"/>
        <w:rPr>
          <w:sz w:val="28"/>
        </w:rPr>
      </w:pPr>
      <w:r>
        <w:rPr>
          <w:sz w:val="28"/>
        </w:rPr>
        <w:t xml:space="preserve"> 3、币种：人民币</w:t>
      </w:r>
    </w:p>
    <w:bookmarkEnd w:id="25"/>
    <w:p>
      <w:pPr>
        <w:pStyle w:val="5"/>
        <w:wordWrap w:val="0"/>
        <w:spacing w:line="480" w:lineRule="exact"/>
        <w:ind w:firstLine="0"/>
        <w:outlineLvl w:val="2"/>
        <w:rPr>
          <w:rFonts w:eastAsia="仿宋_GB2312"/>
          <w:b/>
          <w:bCs/>
        </w:rPr>
      </w:pPr>
      <w:bookmarkStart w:id="26" w:name="_Toc11862"/>
      <w:bookmarkStart w:id="27" w:name="_Toc17647"/>
      <w:bookmarkStart w:id="28" w:name="_Toc240707870"/>
      <w:bookmarkStart w:id="29" w:name="_Toc213473261"/>
      <w:bookmarkStart w:id="30" w:name="_Toc119160799"/>
      <w:bookmarkStart w:id="31" w:name="_Toc469826793"/>
      <w:bookmarkStart w:id="32" w:name="_Toc469641711"/>
      <w:bookmarkStart w:id="33" w:name="_Toc7343633"/>
      <w:r>
        <w:rPr>
          <w:rFonts w:eastAsia="仿宋_GB2312"/>
          <w:b/>
          <w:bCs/>
        </w:rPr>
        <w:t>七、估价原则</w:t>
      </w:r>
      <w:bookmarkEnd w:id="26"/>
    </w:p>
    <w:p>
      <w:pPr>
        <w:wordWrap w:val="0"/>
        <w:adjustRightInd w:val="0"/>
        <w:snapToGrid w:val="0"/>
        <w:spacing w:line="480" w:lineRule="exact"/>
        <w:ind w:firstLine="560" w:firstLineChars="200"/>
        <w:rPr>
          <w:sz w:val="28"/>
        </w:rPr>
      </w:pPr>
      <w:r>
        <w:rPr>
          <w:sz w:val="28"/>
        </w:rPr>
        <w:t>1、独立、客观、公正原则</w:t>
      </w:r>
    </w:p>
    <w:p>
      <w:pPr>
        <w:wordWrap w:val="0"/>
        <w:adjustRightInd w:val="0"/>
        <w:snapToGrid w:val="0"/>
        <w:spacing w:line="480" w:lineRule="exact"/>
        <w:ind w:firstLine="560" w:firstLineChars="200"/>
        <w:rPr>
          <w:sz w:val="28"/>
        </w:rPr>
      </w:pPr>
      <w:r>
        <w:rPr>
          <w:sz w:val="28"/>
        </w:rPr>
        <w:t>独立、客观、公正原则要求注册房地产估价师站在中立的立场上评估出对各方当事人来说均是公平合理的价值。“独立”就是要求注册房地产估价师和房地产估价机构与估价委托人及估价利害关系人没有利害关系，在估价中不受包括估价委托人在内的任何单位和个人的影响，应凭自己的专业知识、实践经验和职业道德进行估价；客观就是要求注册房地产估价师和房地产估价机构在估价中不带着自己的情感、好恶和偏见，应按照事物的本来面目、实事求是地进行估价；公正就是要求注册房地产估价师和房地产估价机构在估价中不偏袒估价利害关系人中的任何一方，应坚持原则、公平正直的估价。本次估价注册房地产估价师和房地产估价机构与估价委托人及估价利害关系人没有利害关系，估价中没有受到任何单位任何人的影响，没有带着自己的情感、好恶和偏见，没有偏袒，实事求是，客观公正。</w:t>
      </w:r>
    </w:p>
    <w:p>
      <w:pPr>
        <w:wordWrap w:val="0"/>
        <w:adjustRightInd w:val="0"/>
        <w:snapToGrid w:val="0"/>
        <w:spacing w:line="480" w:lineRule="exact"/>
        <w:ind w:firstLine="560" w:firstLineChars="200"/>
        <w:rPr>
          <w:sz w:val="28"/>
        </w:rPr>
      </w:pPr>
      <w:r>
        <w:rPr>
          <w:sz w:val="28"/>
        </w:rPr>
        <w:t>2、合法原则</w:t>
      </w:r>
    </w:p>
    <w:p>
      <w:pPr>
        <w:wordWrap w:val="0"/>
        <w:adjustRightInd w:val="0"/>
        <w:snapToGrid w:val="0"/>
        <w:spacing w:line="480" w:lineRule="exact"/>
        <w:ind w:firstLine="560" w:firstLineChars="200"/>
        <w:rPr>
          <w:sz w:val="28"/>
        </w:rPr>
      </w:pPr>
      <w:r>
        <w:rPr>
          <w:sz w:val="28"/>
        </w:rPr>
        <w:t>估价结果应是依法判定的估价对象状况下的价值或价格。依据是依据有关法律、行政法规、最高人民法院和最高人民检察院发布的有关司法解释、估价对象所在地的有关地方法规（民族自治地方有关自治条例和单行条例），国务院所属部门颁发的有关部门规章和政策，估价对象所在地人民政府颁发的有关地方政策和规章，以及不动产登记簿（房屋登记薄、土地登记薄）、权属证书、有关批文和合同等（如规划意见书、国有建设用地使用出让招标文件、国有建设用地使用权出让合同、房地产转让合同、房屋租赁合同等）；本次估价按估价对象</w:t>
      </w:r>
      <w:r>
        <w:rPr>
          <w:rFonts w:hint="eastAsia"/>
          <w:sz w:val="28"/>
          <w:lang w:eastAsia="zh-CN"/>
        </w:rPr>
        <w:t>《不动产权证书》</w:t>
      </w:r>
      <w:r>
        <w:rPr>
          <w:sz w:val="28"/>
          <w:szCs w:val="28"/>
        </w:rPr>
        <w:t>记载</w:t>
      </w:r>
      <w:r>
        <w:rPr>
          <w:sz w:val="28"/>
        </w:rPr>
        <w:t>用途进行估价就是其合法性的体现。</w:t>
      </w:r>
    </w:p>
    <w:p>
      <w:pPr>
        <w:wordWrap w:val="0"/>
        <w:adjustRightInd w:val="0"/>
        <w:snapToGrid w:val="0"/>
        <w:spacing w:line="480" w:lineRule="exact"/>
        <w:ind w:firstLine="560" w:firstLineChars="200"/>
        <w:rPr>
          <w:sz w:val="28"/>
        </w:rPr>
      </w:pPr>
      <w:r>
        <w:rPr>
          <w:sz w:val="28"/>
        </w:rPr>
        <w:t>3、价值时点原则</w:t>
      </w:r>
    </w:p>
    <w:p>
      <w:pPr>
        <w:wordWrap w:val="0"/>
        <w:adjustRightInd w:val="0"/>
        <w:snapToGrid w:val="0"/>
        <w:spacing w:line="480" w:lineRule="exact"/>
        <w:ind w:firstLine="560" w:firstLineChars="200"/>
        <w:rPr>
          <w:sz w:val="28"/>
        </w:rPr>
      </w:pPr>
      <w:r>
        <w:rPr>
          <w:sz w:val="28"/>
        </w:rPr>
        <w:t>估价结果应当是在根据估价目的的确定的某一特定时间的价值或价格。房地产市场是不断变化的，房地产价值具有很强的时间性，它是某一时点上的价值。在不同时点，同一宗房地产往往会有不同的价值。价值时点原则是指求取某一时点上的价值，所以在评估一宗房地产的价值时，必须假定市场停止在价值时点上，同时估价对象房地产的状况通常也是以其在该时点时的状况为准。</w:t>
      </w:r>
    </w:p>
    <w:p>
      <w:pPr>
        <w:wordWrap w:val="0"/>
        <w:adjustRightInd w:val="0"/>
        <w:snapToGrid w:val="0"/>
        <w:spacing w:line="480" w:lineRule="exact"/>
        <w:ind w:firstLine="560" w:firstLineChars="200"/>
        <w:rPr>
          <w:sz w:val="28"/>
        </w:rPr>
      </w:pPr>
      <w:r>
        <w:rPr>
          <w:sz w:val="28"/>
        </w:rPr>
        <w:t>4、替代原则</w:t>
      </w:r>
    </w:p>
    <w:p>
      <w:pPr>
        <w:wordWrap w:val="0"/>
        <w:adjustRightInd w:val="0"/>
        <w:snapToGrid w:val="0"/>
        <w:spacing w:line="480" w:lineRule="exact"/>
        <w:ind w:firstLine="560" w:firstLineChars="200"/>
        <w:rPr>
          <w:sz w:val="28"/>
        </w:rPr>
      </w:pPr>
      <w:r>
        <w:rPr>
          <w:sz w:val="28"/>
        </w:rPr>
        <w:t>估价结果应与估价对象的类似房地产在同等条件下的价值或价格偏差应在合理范围内。根据经济学原理，在同一市场上相同的商品有相同的价格。如果两个以上价格不同的商品同时存在，理性的买者会购买其中价格最低的；反之，价格相同的相似商品同时存大，理性的买者会购买其中效用最大的。在房地产估价中当存在一定数量与估价对象相似的房地产并已知它们的价格时，可以通过这此相似房地产价格通过与估价对象进行比较，根据与估价对象的差异进行适当的修正和调整推算出估价对象的价格。在估价时不能孤立地思考估价对象的价值或价格，而要考虑相似房地产之间的价格比较。特别是同一估价机构，在同一城市同一时期同一估价目的，对不同区位、不同档次的房地产的评估价值应有合理的差价。本次估价中比较法就是替代原则的体现。</w:t>
      </w:r>
    </w:p>
    <w:p>
      <w:pPr>
        <w:wordWrap w:val="0"/>
        <w:adjustRightInd w:val="0"/>
        <w:snapToGrid w:val="0"/>
        <w:spacing w:line="480" w:lineRule="exact"/>
        <w:ind w:firstLine="560" w:firstLineChars="200"/>
        <w:rPr>
          <w:sz w:val="28"/>
        </w:rPr>
      </w:pPr>
      <w:r>
        <w:rPr>
          <w:sz w:val="28"/>
        </w:rPr>
        <w:t>5、最高最佳利用原则</w:t>
      </w:r>
    </w:p>
    <w:p>
      <w:pPr>
        <w:wordWrap w:val="0"/>
        <w:adjustRightInd w:val="0"/>
        <w:snapToGrid w:val="0"/>
        <w:spacing w:line="480" w:lineRule="exact"/>
        <w:ind w:firstLine="560" w:firstLineChars="200"/>
        <w:rPr>
          <w:sz w:val="28"/>
        </w:rPr>
      </w:pPr>
      <w:r>
        <w:rPr>
          <w:sz w:val="28"/>
        </w:rPr>
        <w:t>最高最佳利用原则要求估价结果是在估价对象最高最佳利用状况下的价值或价格。最高最佳利用是指法律上允许、技术上可能、财务上可行并使价值最大的合理、可能的利用。估价对象最高最佳利用状况的确定，应了解、分析估价对象的权利人或意向取得者对估价对象依法享有的开发利用权利。当两者的开发利用权利不相同时，应根据估价目的判定从权利人角度或意向取得者角度进行估价，并相应确定估价对象的最高最佳利用状况。最高最佳利用是在法律法规、政策和出让合同等允许范围内，估价对象达到最佳集约度、最佳规模、最佳用途、最佳档次，在所有具有经济可行性的利用中，能够使估价对象的价值达到最大的利用。本次估价依据合法原则确定证载用途为最高最佳利用。</w:t>
      </w:r>
    </w:p>
    <w:p>
      <w:pPr>
        <w:pStyle w:val="5"/>
        <w:wordWrap w:val="0"/>
        <w:spacing w:line="480" w:lineRule="exact"/>
        <w:ind w:firstLine="0"/>
        <w:outlineLvl w:val="2"/>
        <w:rPr>
          <w:rFonts w:eastAsia="仿宋_GB2312"/>
          <w:b/>
          <w:bCs/>
        </w:rPr>
      </w:pPr>
      <w:bookmarkStart w:id="34" w:name="_Toc13665"/>
      <w:r>
        <w:rPr>
          <w:rFonts w:eastAsia="仿宋_GB2312"/>
          <w:b/>
          <w:bCs/>
        </w:rPr>
        <w:t>八、估价依据</w:t>
      </w:r>
      <w:bookmarkEnd w:id="27"/>
      <w:bookmarkEnd w:id="34"/>
    </w:p>
    <w:p>
      <w:pPr>
        <w:wordWrap w:val="0"/>
        <w:adjustRightInd w:val="0"/>
        <w:snapToGrid w:val="0"/>
        <w:spacing w:line="480" w:lineRule="exact"/>
        <w:ind w:firstLine="560" w:firstLineChars="200"/>
        <w:rPr>
          <w:sz w:val="28"/>
        </w:rPr>
      </w:pPr>
      <w:r>
        <w:rPr>
          <w:sz w:val="28"/>
        </w:rPr>
        <w:t>1、本次估价主要依据的法律、法规和政策性文件</w:t>
      </w:r>
    </w:p>
    <w:p>
      <w:pPr>
        <w:wordWrap w:val="0"/>
        <w:adjustRightInd w:val="0"/>
        <w:snapToGrid w:val="0"/>
        <w:spacing w:line="480" w:lineRule="exact"/>
        <w:ind w:firstLine="560" w:firstLineChars="200"/>
        <w:rPr>
          <w:sz w:val="28"/>
        </w:rPr>
      </w:pPr>
      <w:r>
        <w:rPr>
          <w:sz w:val="28"/>
        </w:rPr>
        <w:t>（1）《中华人民共和国物权法》；</w:t>
      </w:r>
    </w:p>
    <w:p>
      <w:pPr>
        <w:wordWrap w:val="0"/>
        <w:adjustRightInd w:val="0"/>
        <w:snapToGrid w:val="0"/>
        <w:spacing w:line="480" w:lineRule="exact"/>
        <w:ind w:firstLine="560" w:firstLineChars="200"/>
        <w:rPr>
          <w:sz w:val="28"/>
        </w:rPr>
      </w:pPr>
      <w:r>
        <w:rPr>
          <w:sz w:val="28"/>
        </w:rPr>
        <w:t>（2）《中华人民共和国城市房地产管理法》；</w:t>
      </w:r>
    </w:p>
    <w:p>
      <w:pPr>
        <w:wordWrap w:val="0"/>
        <w:adjustRightInd w:val="0"/>
        <w:snapToGrid w:val="0"/>
        <w:spacing w:line="480" w:lineRule="exact"/>
        <w:ind w:firstLine="560" w:firstLineChars="200"/>
        <w:rPr>
          <w:sz w:val="28"/>
        </w:rPr>
      </w:pPr>
      <w:r>
        <w:rPr>
          <w:sz w:val="28"/>
        </w:rPr>
        <w:t>（3）《中华人民共和国土地管理法》及其实施条例；</w:t>
      </w:r>
    </w:p>
    <w:p>
      <w:pPr>
        <w:wordWrap w:val="0"/>
        <w:adjustRightInd w:val="0"/>
        <w:snapToGrid w:val="0"/>
        <w:spacing w:line="480" w:lineRule="exact"/>
        <w:ind w:firstLine="560" w:firstLineChars="200"/>
        <w:rPr>
          <w:sz w:val="28"/>
        </w:rPr>
      </w:pPr>
      <w:r>
        <w:rPr>
          <w:sz w:val="28"/>
        </w:rPr>
        <w:t>（4）《中华人民共和国拍卖法》；</w:t>
      </w:r>
    </w:p>
    <w:p>
      <w:pPr>
        <w:wordWrap w:val="0"/>
        <w:adjustRightInd w:val="0"/>
        <w:snapToGrid w:val="0"/>
        <w:spacing w:line="480" w:lineRule="exact"/>
        <w:ind w:firstLine="560" w:firstLineChars="200"/>
        <w:rPr>
          <w:sz w:val="28"/>
        </w:rPr>
      </w:pPr>
      <w:r>
        <w:rPr>
          <w:sz w:val="28"/>
        </w:rPr>
        <w:t>（5）《中华人民共和国资产评估法》；</w:t>
      </w:r>
    </w:p>
    <w:p>
      <w:pPr>
        <w:wordWrap w:val="0"/>
        <w:adjustRightInd w:val="0"/>
        <w:snapToGrid w:val="0"/>
        <w:spacing w:line="480" w:lineRule="exact"/>
        <w:ind w:firstLine="560" w:firstLineChars="200"/>
        <w:rPr>
          <w:sz w:val="28"/>
        </w:rPr>
      </w:pPr>
      <w:r>
        <w:rPr>
          <w:sz w:val="28"/>
        </w:rPr>
        <w:t>（6）《城市房地产转让管理规定》（建设部令第96号）等相关法律法规；</w:t>
      </w:r>
    </w:p>
    <w:p>
      <w:pPr>
        <w:wordWrap w:val="0"/>
        <w:adjustRightInd w:val="0"/>
        <w:snapToGrid w:val="0"/>
        <w:spacing w:line="480" w:lineRule="exact"/>
        <w:ind w:firstLine="560" w:firstLineChars="200"/>
        <w:rPr>
          <w:sz w:val="28"/>
        </w:rPr>
      </w:pPr>
      <w:r>
        <w:rPr>
          <w:sz w:val="28"/>
        </w:rPr>
        <w:t>（7）《司法鉴定程序通则》(司法部令第132号）；</w:t>
      </w:r>
    </w:p>
    <w:p>
      <w:pPr>
        <w:wordWrap w:val="0"/>
        <w:adjustRightInd w:val="0"/>
        <w:snapToGrid w:val="0"/>
        <w:spacing w:line="480" w:lineRule="exact"/>
        <w:ind w:firstLine="560" w:firstLineChars="200"/>
        <w:rPr>
          <w:sz w:val="28"/>
        </w:rPr>
      </w:pPr>
      <w:r>
        <w:rPr>
          <w:sz w:val="28"/>
        </w:rPr>
        <w:t>（8）《最高人民法院关于人民法院委托评估拍卖工作的若干规定》（法释〔2011〕21号）；</w:t>
      </w:r>
    </w:p>
    <w:p>
      <w:pPr>
        <w:wordWrap w:val="0"/>
        <w:adjustRightInd w:val="0"/>
        <w:snapToGrid w:val="0"/>
        <w:spacing w:line="480" w:lineRule="exact"/>
        <w:ind w:firstLine="560" w:firstLineChars="200"/>
        <w:rPr>
          <w:sz w:val="28"/>
        </w:rPr>
      </w:pPr>
      <w:r>
        <w:rPr>
          <w:sz w:val="28"/>
        </w:rPr>
        <w:t>（9）《最高人民法院关于人民法院网络司法拍卖若干问题的规定》（法释〔2016〕18号）；</w:t>
      </w:r>
    </w:p>
    <w:p>
      <w:pPr>
        <w:wordWrap w:val="0"/>
        <w:adjustRightInd w:val="0"/>
        <w:snapToGrid w:val="0"/>
        <w:spacing w:line="480" w:lineRule="exact"/>
        <w:ind w:firstLine="560" w:firstLineChars="200"/>
        <w:rPr>
          <w:sz w:val="28"/>
        </w:rPr>
      </w:pPr>
      <w:r>
        <w:rPr>
          <w:sz w:val="28"/>
        </w:rPr>
        <w:t>（10）《最高人民法院关于人民法院民事执行中拍卖变卖财产的规定》（法释〔2004〕16号）；</w:t>
      </w:r>
    </w:p>
    <w:p>
      <w:pPr>
        <w:wordWrap w:val="0"/>
        <w:adjustRightInd w:val="0"/>
        <w:snapToGrid w:val="0"/>
        <w:spacing w:line="480" w:lineRule="exact"/>
        <w:ind w:firstLine="560" w:firstLineChars="200"/>
        <w:rPr>
          <w:sz w:val="28"/>
        </w:rPr>
      </w:pPr>
      <w:r>
        <w:rPr>
          <w:sz w:val="28"/>
        </w:rPr>
        <w:t>（11）《最高人民法院关于人民法院委托评估、拍卖和变卖工作的若干规定》（法释〔2009〕16号） 。</w:t>
      </w:r>
    </w:p>
    <w:p>
      <w:pPr>
        <w:wordWrap w:val="0"/>
        <w:adjustRightInd w:val="0"/>
        <w:snapToGrid w:val="0"/>
        <w:spacing w:line="480" w:lineRule="exact"/>
        <w:ind w:firstLine="560" w:firstLineChars="200"/>
        <w:rPr>
          <w:sz w:val="28"/>
        </w:rPr>
      </w:pPr>
      <w:r>
        <w:rPr>
          <w:sz w:val="28"/>
        </w:rPr>
        <w:t>2、本次估价主要依据的估价技术标准</w:t>
      </w:r>
    </w:p>
    <w:p>
      <w:pPr>
        <w:wordWrap w:val="0"/>
        <w:adjustRightInd w:val="0"/>
        <w:snapToGrid w:val="0"/>
        <w:spacing w:line="480" w:lineRule="exact"/>
        <w:ind w:firstLine="560" w:firstLineChars="200"/>
        <w:rPr>
          <w:sz w:val="28"/>
        </w:rPr>
      </w:pPr>
      <w:r>
        <w:rPr>
          <w:sz w:val="28"/>
        </w:rPr>
        <w:t>（1）《房地产估价规范》（GB/T 50291-2015）；</w:t>
      </w:r>
    </w:p>
    <w:p>
      <w:pPr>
        <w:wordWrap w:val="0"/>
        <w:adjustRightInd w:val="0"/>
        <w:snapToGrid w:val="0"/>
        <w:spacing w:line="480" w:lineRule="exact"/>
        <w:ind w:firstLine="560" w:firstLineChars="200"/>
        <w:rPr>
          <w:sz w:val="28"/>
        </w:rPr>
      </w:pPr>
      <w:r>
        <w:rPr>
          <w:sz w:val="28"/>
        </w:rPr>
        <w:t>（2）《房地产估价基本术语标准》（GB/T 50899-2013）；</w:t>
      </w:r>
    </w:p>
    <w:p>
      <w:pPr>
        <w:wordWrap w:val="0"/>
        <w:adjustRightInd w:val="0"/>
        <w:snapToGrid w:val="0"/>
        <w:spacing w:line="480" w:lineRule="exact"/>
        <w:ind w:firstLine="560" w:firstLineChars="200"/>
        <w:rPr>
          <w:sz w:val="28"/>
        </w:rPr>
      </w:pPr>
      <w:r>
        <w:rPr>
          <w:sz w:val="28"/>
        </w:rPr>
        <w:t>（3）《城镇土地估价规程》（GB/T 18508-2014）；</w:t>
      </w:r>
    </w:p>
    <w:p>
      <w:pPr>
        <w:wordWrap w:val="0"/>
        <w:adjustRightInd w:val="0"/>
        <w:snapToGrid w:val="0"/>
        <w:spacing w:line="480" w:lineRule="exact"/>
        <w:ind w:firstLine="560" w:firstLineChars="200"/>
        <w:rPr>
          <w:sz w:val="28"/>
        </w:rPr>
      </w:pPr>
      <w:r>
        <w:rPr>
          <w:sz w:val="28"/>
        </w:rPr>
        <w:t>（4）《房地产司法鉴定评估指导意见》试行（川建房发〔2011〕89号）。</w:t>
      </w:r>
    </w:p>
    <w:p>
      <w:pPr>
        <w:wordWrap w:val="0"/>
        <w:adjustRightInd w:val="0"/>
        <w:snapToGrid w:val="0"/>
        <w:spacing w:line="480" w:lineRule="exact"/>
        <w:ind w:firstLine="560" w:firstLineChars="200"/>
        <w:rPr>
          <w:sz w:val="28"/>
        </w:rPr>
      </w:pPr>
      <w:r>
        <w:rPr>
          <w:sz w:val="28"/>
        </w:rPr>
        <w:t>3、估价委托人提供的估价所需资料</w:t>
      </w:r>
    </w:p>
    <w:p>
      <w:pPr>
        <w:wordWrap w:val="0"/>
        <w:adjustRightInd w:val="0"/>
        <w:snapToGrid w:val="0"/>
        <w:spacing w:line="480" w:lineRule="exact"/>
        <w:ind w:firstLine="560" w:firstLineChars="200"/>
        <w:rPr>
          <w:sz w:val="28"/>
        </w:rPr>
      </w:pPr>
      <w:r>
        <w:rPr>
          <w:sz w:val="28"/>
        </w:rPr>
        <w:t>（1）《</w:t>
      </w:r>
      <w:r>
        <w:rPr>
          <w:rFonts w:hint="eastAsia"/>
          <w:sz w:val="28"/>
          <w:lang w:eastAsia="zh-CN"/>
        </w:rPr>
        <w:t>四川省攀枝花市西区人民法院</w:t>
      </w:r>
      <w:r>
        <w:rPr>
          <w:sz w:val="28"/>
        </w:rPr>
        <w:t>司法</w:t>
      </w:r>
      <w:r>
        <w:rPr>
          <w:rFonts w:hint="eastAsia"/>
          <w:sz w:val="28"/>
        </w:rPr>
        <w:t>评估委托书</w:t>
      </w:r>
      <w:r>
        <w:rPr>
          <w:sz w:val="28"/>
        </w:rPr>
        <w:t>》</w:t>
      </w:r>
      <w:r>
        <w:rPr>
          <w:rFonts w:hint="eastAsia"/>
          <w:sz w:val="28"/>
        </w:rPr>
        <w:t>及附表；</w:t>
      </w:r>
    </w:p>
    <w:p>
      <w:pPr>
        <w:wordWrap w:val="0"/>
        <w:adjustRightInd w:val="0"/>
        <w:snapToGrid w:val="0"/>
        <w:spacing w:line="480" w:lineRule="exact"/>
        <w:ind w:firstLine="560" w:firstLineChars="200"/>
        <w:rPr>
          <w:sz w:val="28"/>
        </w:rPr>
      </w:pPr>
      <w:r>
        <w:rPr>
          <w:sz w:val="28"/>
        </w:rPr>
        <w:t>（2）</w:t>
      </w:r>
      <w:r>
        <w:rPr>
          <w:rFonts w:hint="eastAsia"/>
          <w:sz w:val="28"/>
          <w:lang w:eastAsia="zh-CN"/>
        </w:rPr>
        <w:t>《不动产权证书》</w:t>
      </w:r>
      <w:r>
        <w:rPr>
          <w:sz w:val="28"/>
        </w:rPr>
        <w:t>复印件</w:t>
      </w:r>
      <w:r>
        <w:rPr>
          <w:rFonts w:hint="eastAsia"/>
          <w:sz w:val="28"/>
        </w:rPr>
        <w:t>。</w:t>
      </w:r>
    </w:p>
    <w:p>
      <w:pPr>
        <w:wordWrap w:val="0"/>
        <w:adjustRightInd w:val="0"/>
        <w:snapToGrid w:val="0"/>
        <w:spacing w:line="480" w:lineRule="exact"/>
        <w:ind w:firstLine="560" w:firstLineChars="200"/>
        <w:rPr>
          <w:sz w:val="28"/>
        </w:rPr>
      </w:pPr>
      <w:r>
        <w:rPr>
          <w:sz w:val="28"/>
        </w:rPr>
        <w:t>4、估价机构和注册房地产估价师掌握和搜集的估价所需资料</w:t>
      </w:r>
    </w:p>
    <w:p>
      <w:pPr>
        <w:wordWrap w:val="0"/>
        <w:adjustRightInd w:val="0"/>
        <w:snapToGrid w:val="0"/>
        <w:spacing w:line="480" w:lineRule="exact"/>
        <w:ind w:firstLine="560" w:firstLineChars="200"/>
        <w:rPr>
          <w:sz w:val="28"/>
        </w:rPr>
      </w:pPr>
      <w:r>
        <w:rPr>
          <w:sz w:val="28"/>
        </w:rPr>
        <w:t>（1）估价人员实地查勘及估价机构和估价人员掌握的相关信息资料；</w:t>
      </w:r>
    </w:p>
    <w:p>
      <w:pPr>
        <w:wordWrap w:val="0"/>
        <w:adjustRightInd w:val="0"/>
        <w:snapToGrid w:val="0"/>
        <w:spacing w:line="480" w:lineRule="exact"/>
        <w:ind w:firstLine="560" w:firstLineChars="200"/>
        <w:rPr>
          <w:sz w:val="28"/>
        </w:rPr>
      </w:pPr>
      <w:r>
        <w:rPr>
          <w:sz w:val="28"/>
        </w:rPr>
        <w:t>（2）估价对象所在区域的房地产市场状况、同类房地产市场交易等数据资料。</w:t>
      </w:r>
    </w:p>
    <w:p>
      <w:pPr>
        <w:pStyle w:val="5"/>
        <w:wordWrap w:val="0"/>
        <w:spacing w:line="480" w:lineRule="exact"/>
        <w:ind w:firstLine="0"/>
        <w:outlineLvl w:val="2"/>
        <w:rPr>
          <w:rFonts w:eastAsia="仿宋_GB2312"/>
          <w:b/>
          <w:bCs/>
        </w:rPr>
      </w:pPr>
      <w:bookmarkStart w:id="35" w:name="_Toc320276201"/>
      <w:bookmarkStart w:id="36" w:name="_Toc11544"/>
      <w:bookmarkStart w:id="37" w:name="_Toc320184512"/>
      <w:bookmarkStart w:id="38" w:name="_Toc320173782"/>
      <w:bookmarkStart w:id="39" w:name="_Toc15113"/>
      <w:r>
        <w:rPr>
          <w:rFonts w:eastAsia="仿宋_GB2312"/>
          <w:b/>
          <w:bCs/>
        </w:rPr>
        <w:t>九、估价方法</w:t>
      </w:r>
      <w:bookmarkEnd w:id="35"/>
      <w:bookmarkEnd w:id="36"/>
      <w:bookmarkEnd w:id="37"/>
      <w:bookmarkEnd w:id="38"/>
      <w:bookmarkEnd w:id="39"/>
    </w:p>
    <w:p>
      <w:pPr>
        <w:pStyle w:val="5"/>
        <w:wordWrap w:val="0"/>
        <w:spacing w:line="480" w:lineRule="exact"/>
        <w:ind w:firstLine="560" w:firstLineChars="200"/>
        <w:rPr>
          <w:rFonts w:eastAsia="仿宋_GB2312"/>
          <w:szCs w:val="22"/>
          <w:lang w:val="zh-CN"/>
        </w:rPr>
      </w:pPr>
      <w:bookmarkStart w:id="40" w:name="_Toc23236"/>
      <w:r>
        <w:rPr>
          <w:rFonts w:eastAsia="仿宋_GB2312"/>
          <w:szCs w:val="22"/>
          <w:lang w:val="zh-CN"/>
        </w:rPr>
        <w:t>1、估价方法选择</w:t>
      </w:r>
    </w:p>
    <w:p>
      <w:pPr>
        <w:pStyle w:val="5"/>
        <w:wordWrap w:val="0"/>
        <w:spacing w:line="480" w:lineRule="exact"/>
        <w:ind w:firstLine="560" w:firstLineChars="200"/>
        <w:rPr>
          <w:rFonts w:eastAsia="仿宋_GB2312"/>
          <w:szCs w:val="22"/>
          <w:lang w:val="zh-CN"/>
        </w:rPr>
      </w:pPr>
      <w:r>
        <w:rPr>
          <w:rFonts w:eastAsia="仿宋_GB2312"/>
          <w:szCs w:val="22"/>
          <w:lang w:val="zh-CN"/>
        </w:rPr>
        <w:t>根据GB/T50291-2015《房地产估价规范》，估价方法通常有比较法、成本法、收益法、假设开发法、以及基准地价修正法等其他估价方法。根据估价委托人提供的资料、估价目的和估价对象特点，估价人员在认真分析所掌握的资料并进行了实地查勘，针对本次估价对象为住宅用途房地产，结合对房地产估价的方法进行适应性分析后，确定采用比较法作为本次估价方法，其理由为：</w:t>
      </w:r>
    </w:p>
    <w:p>
      <w:pPr>
        <w:pStyle w:val="5"/>
        <w:wordWrap w:val="0"/>
        <w:spacing w:line="480" w:lineRule="exact"/>
        <w:ind w:firstLine="560" w:firstLineChars="200"/>
        <w:rPr>
          <w:rFonts w:eastAsia="仿宋_GB2312"/>
          <w:szCs w:val="22"/>
          <w:lang w:val="zh-CN"/>
        </w:rPr>
      </w:pPr>
      <w:r>
        <w:rPr>
          <w:rFonts w:hint="eastAsia" w:eastAsia="仿宋_GB2312"/>
          <w:szCs w:val="22"/>
          <w:lang w:val="zh-CN"/>
        </w:rPr>
        <w:t>估价对象位于城市中心区域，房地产市场信息相对丰富齐全，市场发展相对成熟，同一供需圈的同类型房地产成交记录和楼盘个案较多，运用比较法能充分体现其客观市场价值，故本次估价选用比较法为最优最佳方法。</w:t>
      </w:r>
    </w:p>
    <w:p>
      <w:pPr>
        <w:pStyle w:val="5"/>
        <w:wordWrap w:val="0"/>
        <w:spacing w:line="480" w:lineRule="exact"/>
        <w:ind w:firstLine="560" w:firstLineChars="200"/>
        <w:rPr>
          <w:rFonts w:eastAsia="仿宋_GB2312"/>
          <w:szCs w:val="22"/>
          <w:lang w:val="zh-CN"/>
        </w:rPr>
      </w:pPr>
      <w:r>
        <w:rPr>
          <w:rFonts w:eastAsia="仿宋_GB2312"/>
          <w:szCs w:val="22"/>
        </w:rPr>
        <w:t>成本法一般适用于评估那些可独立开发建设的整体房地产的价值，而估价对象仅为所在项目单套住宅用房，项目建成并投入使用已</w:t>
      </w:r>
      <w:r>
        <w:rPr>
          <w:rFonts w:hint="eastAsia" w:eastAsia="仿宋_GB2312"/>
          <w:szCs w:val="22"/>
          <w:lang w:val="en-US" w:eastAsia="zh-CN"/>
        </w:rPr>
        <w:t>8</w:t>
      </w:r>
      <w:r>
        <w:rPr>
          <w:rFonts w:eastAsia="仿宋_GB2312"/>
          <w:szCs w:val="22"/>
        </w:rPr>
        <w:t>年，所在项目建设相关资料难以查询搜集，无法估算该项目单位面积平均价值，进而无法在此基础上进行楼幢、楼层、朝向、装饰装修、面积等因素调整后得到该套住宅用房的价值，故不宜采用成本法</w:t>
      </w:r>
      <w:r>
        <w:rPr>
          <w:rFonts w:eastAsia="仿宋_GB2312"/>
          <w:szCs w:val="22"/>
          <w:lang w:val="zh-CN"/>
        </w:rPr>
        <w:t>。</w:t>
      </w:r>
    </w:p>
    <w:p>
      <w:pPr>
        <w:autoSpaceDE w:val="0"/>
        <w:autoSpaceDN w:val="0"/>
        <w:spacing w:line="500" w:lineRule="exact"/>
        <w:ind w:firstLine="560" w:firstLineChars="200"/>
        <w:rPr>
          <w:sz w:val="28"/>
        </w:rPr>
      </w:pPr>
      <w:r>
        <w:rPr>
          <w:sz w:val="28"/>
        </w:rPr>
        <w:t>估价对象属于建成并投入使用的物业，非待开发建设物业，不产生后续开发成本，故不适宜采用假设开发法进行估价。</w:t>
      </w:r>
    </w:p>
    <w:p>
      <w:pPr>
        <w:autoSpaceDE w:val="0"/>
        <w:autoSpaceDN w:val="0"/>
        <w:spacing w:line="500" w:lineRule="exact"/>
        <w:ind w:firstLine="560" w:firstLineChars="200"/>
        <w:rPr>
          <w:sz w:val="28"/>
        </w:rPr>
      </w:pPr>
      <w:r>
        <w:rPr>
          <w:sz w:val="28"/>
        </w:rPr>
        <w:t>估价对象为已建成房地产而非宗地地价估价，故不宜采用基准地价修正法进行估价。</w:t>
      </w:r>
    </w:p>
    <w:p>
      <w:pPr>
        <w:pStyle w:val="5"/>
        <w:wordWrap w:val="0"/>
        <w:spacing w:line="480" w:lineRule="exact"/>
        <w:ind w:firstLine="560" w:firstLineChars="200"/>
        <w:rPr>
          <w:rFonts w:eastAsia="仿宋_GB2312"/>
          <w:szCs w:val="22"/>
          <w:lang w:val="zh-CN"/>
        </w:rPr>
      </w:pPr>
      <w:r>
        <w:rPr>
          <w:rFonts w:hint="eastAsia" w:eastAsia="仿宋_GB2312"/>
          <w:szCs w:val="22"/>
          <w:lang w:val="zh-CN"/>
        </w:rPr>
        <w:t>估价对象虽为收益性房地产，但于估价对象所处区域租赁信息较少，主要以自用为主，租赁市场不发达，采用收益法未能充分体现其现状下的土地使用权价值，不符合收益法的适用条件，故不宜选择收益法作为本次估价方法。</w:t>
      </w:r>
    </w:p>
    <w:p>
      <w:pPr>
        <w:pStyle w:val="5"/>
        <w:wordWrap w:val="0"/>
        <w:spacing w:line="480" w:lineRule="exact"/>
        <w:ind w:firstLine="560" w:firstLineChars="200"/>
        <w:rPr>
          <w:rFonts w:eastAsia="仿宋_GB2312"/>
          <w:szCs w:val="22"/>
          <w:lang w:val="zh-CN"/>
        </w:rPr>
      </w:pPr>
      <w:r>
        <w:rPr>
          <w:rFonts w:eastAsia="仿宋_GB2312"/>
          <w:szCs w:val="22"/>
          <w:lang w:val="zh-CN"/>
        </w:rPr>
        <w:t>2、估价方法定义</w:t>
      </w:r>
    </w:p>
    <w:p>
      <w:pPr>
        <w:pStyle w:val="5"/>
        <w:wordWrap w:val="0"/>
        <w:spacing w:line="480" w:lineRule="exact"/>
        <w:ind w:firstLine="560" w:firstLineChars="200"/>
        <w:rPr>
          <w:rFonts w:eastAsia="仿宋_GB2312"/>
          <w:szCs w:val="22"/>
          <w:lang w:val="zh-CN"/>
        </w:rPr>
      </w:pPr>
      <w:r>
        <w:rPr>
          <w:rFonts w:eastAsia="仿宋_GB2312"/>
          <w:szCs w:val="22"/>
          <w:lang w:val="zh-CN"/>
        </w:rPr>
        <w:t>比较法是选取一定数量的可比实例，将它们与估价对象进行比较，根据其间的差异对可比实例成交价格进行处理后得到估价对象价值或价格的方法。该方法适用于同类房地产数量较多，经常发生交易且具有一定可比性的房地产。</w:t>
      </w:r>
    </w:p>
    <w:p>
      <w:pPr>
        <w:pStyle w:val="5"/>
        <w:wordWrap w:val="0"/>
        <w:spacing w:line="500" w:lineRule="exact"/>
        <w:ind w:firstLine="0"/>
        <w:outlineLvl w:val="2"/>
        <w:rPr>
          <w:rFonts w:eastAsia="仿宋_GB2312"/>
          <w:b/>
          <w:bCs/>
        </w:rPr>
      </w:pPr>
      <w:bookmarkStart w:id="41" w:name="_Toc3751"/>
    </w:p>
    <w:p>
      <w:pPr>
        <w:pStyle w:val="5"/>
        <w:wordWrap w:val="0"/>
        <w:spacing w:line="500" w:lineRule="exact"/>
        <w:ind w:firstLine="0"/>
        <w:outlineLvl w:val="2"/>
        <w:rPr>
          <w:rFonts w:eastAsia="仿宋_GB2312"/>
          <w:b/>
          <w:bCs/>
        </w:rPr>
      </w:pPr>
      <w:r>
        <w:rPr>
          <w:rFonts w:eastAsia="仿宋_GB2312"/>
          <w:b/>
          <w:bCs/>
        </w:rPr>
        <w:t>十、估价结果</w:t>
      </w:r>
      <w:bookmarkEnd w:id="40"/>
      <w:bookmarkEnd w:id="41"/>
      <w:bookmarkStart w:id="42" w:name="_Toc320276204"/>
      <w:bookmarkStart w:id="43" w:name="_Toc320173785"/>
      <w:bookmarkStart w:id="44" w:name="_Toc320184515"/>
    </w:p>
    <w:p>
      <w:pPr>
        <w:adjustRightInd w:val="0"/>
        <w:snapToGrid w:val="0"/>
        <w:spacing w:line="480" w:lineRule="exact"/>
        <w:ind w:firstLine="560" w:firstLineChars="200"/>
        <w:rPr>
          <w:sz w:val="28"/>
        </w:rPr>
      </w:pPr>
      <w:bookmarkStart w:id="45" w:name="_Toc853"/>
      <w:r>
        <w:rPr>
          <w:sz w:val="28"/>
        </w:rPr>
        <w:t>估价人员在认真分析估价委托人提供的资料，以及注册房地产估价师实地查勘和市场调查取得资料的基础上，对影响估价对象房地产价值的因素进行了综合分析，采用比较法测算，确定估价对象在价值时点的市场价值为</w:t>
      </w:r>
      <w:r>
        <w:rPr>
          <w:rFonts w:hint="eastAsia"/>
          <w:sz w:val="28"/>
        </w:rPr>
        <w:t>：</w:t>
      </w:r>
    </w:p>
    <w:p>
      <w:pPr>
        <w:adjustRightInd w:val="0"/>
        <w:spacing w:line="480" w:lineRule="exact"/>
        <w:ind w:firstLine="560" w:firstLineChars="200"/>
        <w:rPr>
          <w:b/>
          <w:bCs/>
          <w:sz w:val="28"/>
          <w:szCs w:val="28"/>
        </w:rPr>
      </w:pPr>
      <w:r>
        <w:rPr>
          <w:b/>
          <w:bCs/>
          <w:sz w:val="28"/>
          <w:szCs w:val="28"/>
        </w:rPr>
        <w:t>单价：</w:t>
      </w:r>
      <w:r>
        <w:rPr>
          <w:rFonts w:hint="eastAsia"/>
          <w:b/>
          <w:bCs/>
          <w:sz w:val="28"/>
          <w:szCs w:val="28"/>
          <w:lang w:val="en-US" w:eastAsia="zh-CN"/>
        </w:rPr>
        <w:t>3508</w:t>
      </w:r>
      <w:r>
        <w:rPr>
          <w:b/>
          <w:bCs/>
          <w:sz w:val="28"/>
          <w:szCs w:val="28"/>
        </w:rPr>
        <w:t>元</w:t>
      </w:r>
      <w:r>
        <w:rPr>
          <w:b/>
          <w:bCs/>
        </w:rPr>
        <w:t>/</w:t>
      </w:r>
      <w:r>
        <w:rPr>
          <w:rFonts w:eastAsia="宋体"/>
          <w:b/>
          <w:bCs/>
        </w:rPr>
        <w:t>㎡</w:t>
      </w:r>
    </w:p>
    <w:p>
      <w:pPr>
        <w:adjustRightInd w:val="0"/>
        <w:spacing w:line="480" w:lineRule="exact"/>
        <w:ind w:firstLine="560" w:firstLineChars="200"/>
        <w:rPr>
          <w:b/>
          <w:bCs/>
          <w:sz w:val="28"/>
          <w:szCs w:val="28"/>
        </w:rPr>
      </w:pPr>
      <w:r>
        <w:rPr>
          <w:b/>
          <w:bCs/>
          <w:sz w:val="28"/>
          <w:szCs w:val="28"/>
        </w:rPr>
        <w:t>总价：</w:t>
      </w:r>
      <w:r>
        <w:rPr>
          <w:rFonts w:hint="eastAsia"/>
          <w:b/>
          <w:bCs/>
          <w:sz w:val="28"/>
          <w:szCs w:val="28"/>
        </w:rPr>
        <w:t>RMB</w:t>
      </w:r>
      <w:r>
        <w:rPr>
          <w:rFonts w:hint="eastAsia"/>
          <w:b/>
          <w:bCs/>
          <w:sz w:val="28"/>
          <w:szCs w:val="28"/>
          <w:lang w:val="en-US" w:eastAsia="zh-CN"/>
        </w:rPr>
        <w:t>34.99</w:t>
      </w:r>
      <w:r>
        <w:rPr>
          <w:rFonts w:hint="eastAsia"/>
          <w:b/>
          <w:bCs/>
          <w:sz w:val="28"/>
          <w:szCs w:val="28"/>
        </w:rPr>
        <w:t>万元</w:t>
      </w:r>
    </w:p>
    <w:p>
      <w:pPr>
        <w:adjustRightInd w:val="0"/>
        <w:spacing w:line="480" w:lineRule="exact"/>
        <w:ind w:firstLine="560" w:firstLineChars="200"/>
        <w:rPr>
          <w:rFonts w:hint="eastAsia" w:eastAsia="仿宋_GB2312"/>
          <w:b/>
          <w:bCs/>
          <w:sz w:val="28"/>
          <w:szCs w:val="28"/>
          <w:lang w:eastAsia="zh-CN"/>
        </w:rPr>
      </w:pPr>
      <w:r>
        <w:rPr>
          <w:b/>
          <w:bCs/>
          <w:sz w:val="28"/>
          <w:szCs w:val="28"/>
        </w:rPr>
        <w:t>大写：</w:t>
      </w:r>
      <w:r>
        <w:rPr>
          <w:rFonts w:hint="eastAsia"/>
          <w:b/>
          <w:bCs/>
          <w:sz w:val="28"/>
          <w:szCs w:val="28"/>
          <w:lang w:eastAsia="zh-CN"/>
        </w:rPr>
        <w:t>人民币叁拾肆万玖仟玖佰元整</w:t>
      </w:r>
    </w:p>
    <w:p>
      <w:pPr>
        <w:pStyle w:val="5"/>
        <w:wordWrap w:val="0"/>
        <w:spacing w:line="480" w:lineRule="exact"/>
        <w:ind w:firstLine="0"/>
        <w:outlineLvl w:val="2"/>
        <w:rPr>
          <w:rFonts w:eastAsia="仿宋_GB2312"/>
          <w:b/>
          <w:bCs/>
        </w:rPr>
      </w:pPr>
      <w:r>
        <w:rPr>
          <w:b/>
          <w:bCs/>
          <w:szCs w:val="24"/>
          <w:lang w:val="zh-CN"/>
        </w:rPr>
        <w:t xml:space="preserve"> </w:t>
      </w:r>
      <w:bookmarkStart w:id="46" w:name="_Toc1850"/>
      <w:r>
        <w:rPr>
          <w:rFonts w:eastAsia="仿宋_GB2312"/>
          <w:b/>
          <w:bCs/>
        </w:rPr>
        <w:t>十一、</w:t>
      </w:r>
      <w:bookmarkEnd w:id="45"/>
      <w:r>
        <w:rPr>
          <w:rFonts w:eastAsia="仿宋_GB2312"/>
          <w:b/>
          <w:bCs/>
        </w:rPr>
        <w:t>注册房地产估价师</w:t>
      </w:r>
      <w:bookmarkEnd w:id="46"/>
    </w:p>
    <w:p>
      <w:pPr>
        <w:wordWrap w:val="0"/>
        <w:spacing w:line="460" w:lineRule="exact"/>
        <w:rPr>
          <w:rFonts w:eastAsia="仿宋"/>
          <w:spacing w:val="4"/>
          <w:szCs w:val="24"/>
        </w:rPr>
      </w:pPr>
      <w:r>
        <w:rPr>
          <w:spacing w:val="4"/>
          <w:sz w:val="28"/>
          <w:szCs w:val="28"/>
        </w:rPr>
        <w:t xml:space="preserve"> 参加本次估价的注册房地产估价师见下表：</w:t>
      </w:r>
    </w:p>
    <w:bookmarkEnd w:id="42"/>
    <w:bookmarkEnd w:id="43"/>
    <w:bookmarkEnd w:id="44"/>
    <w:tbl>
      <w:tblPr>
        <w:tblStyle w:val="50"/>
        <w:tblW w:w="860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634"/>
        <w:gridCol w:w="1789"/>
        <w:gridCol w:w="2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837" w:type="dxa"/>
            <w:tcBorders>
              <w:top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姓   名</w:t>
            </w:r>
          </w:p>
        </w:tc>
        <w:tc>
          <w:tcPr>
            <w:tcW w:w="2634" w:type="dxa"/>
            <w:tcBorders>
              <w:top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注  册  号</w:t>
            </w:r>
          </w:p>
        </w:tc>
        <w:tc>
          <w:tcPr>
            <w:tcW w:w="1789" w:type="dxa"/>
            <w:tcBorders>
              <w:top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签</w:t>
            </w:r>
            <w:r>
              <w:rPr>
                <w:rFonts w:eastAsia="宋体"/>
                <w:sz w:val="18"/>
                <w:szCs w:val="18"/>
              </w:rPr>
              <w:t xml:space="preserve">  名</w:t>
            </w:r>
          </w:p>
        </w:tc>
        <w:tc>
          <w:tcPr>
            <w:tcW w:w="2348" w:type="dxa"/>
            <w:tcBorders>
              <w:top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签</w:t>
            </w:r>
            <w:r>
              <w:rPr>
                <w:rFonts w:eastAsia="宋体"/>
                <w:sz w:val="18"/>
                <w:szCs w:val="18"/>
              </w:rPr>
              <w:t>名</w:t>
            </w:r>
            <w:r>
              <w:rPr>
                <w:rFonts w:eastAsia="宋体"/>
                <w:sz w:val="18"/>
                <w:szCs w:val="18"/>
                <w:lang w:val="zh-CN"/>
              </w:rPr>
              <w:t>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837" w:type="dxa"/>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何  曼</w:t>
            </w:r>
          </w:p>
        </w:tc>
        <w:tc>
          <w:tcPr>
            <w:tcW w:w="2634" w:type="dxa"/>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5120060117</w:t>
            </w:r>
          </w:p>
        </w:tc>
        <w:tc>
          <w:tcPr>
            <w:tcW w:w="1789" w:type="dxa"/>
          </w:tcPr>
          <w:p>
            <w:pPr>
              <w:wordWrap w:val="0"/>
              <w:autoSpaceDE w:val="0"/>
              <w:autoSpaceDN w:val="0"/>
              <w:adjustRightInd w:val="0"/>
              <w:spacing w:line="440" w:lineRule="exact"/>
              <w:jc w:val="center"/>
              <w:rPr>
                <w:rFonts w:eastAsia="宋体"/>
                <w:sz w:val="18"/>
                <w:szCs w:val="18"/>
                <w:lang w:val="zh-CN"/>
              </w:rPr>
            </w:pPr>
          </w:p>
        </w:tc>
        <w:tc>
          <w:tcPr>
            <w:tcW w:w="2348" w:type="dxa"/>
          </w:tcPr>
          <w:p>
            <w:pPr>
              <w:autoSpaceDE w:val="0"/>
              <w:autoSpaceDN w:val="0"/>
              <w:adjustRightInd w:val="0"/>
              <w:spacing w:line="440" w:lineRule="exact"/>
              <w:jc w:val="center"/>
              <w:rPr>
                <w:rFonts w:hint="eastAsia" w:eastAsia="宋体"/>
                <w:sz w:val="18"/>
                <w:szCs w:val="18"/>
                <w:lang w:val="zh-CN" w:eastAsia="zh-CN"/>
              </w:rPr>
            </w:pPr>
            <w:r>
              <w:rPr>
                <w:rFonts w:hint="eastAsia" w:eastAsia="宋体"/>
                <w:sz w:val="18"/>
                <w:szCs w:val="18"/>
                <w:highlight w:val="none"/>
                <w:lang w:eastAsia="zh-CN"/>
              </w:rPr>
              <w:t>2018年12月</w:t>
            </w:r>
            <w:r>
              <w:rPr>
                <w:rFonts w:hint="eastAsia" w:eastAsia="宋体"/>
                <w:sz w:val="18"/>
                <w:szCs w:val="18"/>
                <w:highlight w:val="none"/>
                <w:lang w:val="en-US" w:eastAsia="zh-CN"/>
              </w:rPr>
              <w:t>24</w:t>
            </w:r>
            <w:r>
              <w:rPr>
                <w:rFonts w:hint="eastAsia" w:eastAsia="宋体"/>
                <w:sz w:val="18"/>
                <w:szCs w:val="18"/>
                <w:highlight w:val="none"/>
                <w:lang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837" w:type="dxa"/>
            <w:tcBorders>
              <w:bottom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蒲先秋</w:t>
            </w:r>
          </w:p>
        </w:tc>
        <w:tc>
          <w:tcPr>
            <w:tcW w:w="2634" w:type="dxa"/>
            <w:tcBorders>
              <w:bottom w:val="single" w:color="auto" w:sz="12" w:space="0"/>
            </w:tcBorders>
          </w:tcPr>
          <w:p>
            <w:pPr>
              <w:wordWrap w:val="0"/>
              <w:autoSpaceDE w:val="0"/>
              <w:autoSpaceDN w:val="0"/>
              <w:adjustRightInd w:val="0"/>
              <w:spacing w:line="440" w:lineRule="exact"/>
              <w:jc w:val="center"/>
              <w:rPr>
                <w:rFonts w:eastAsia="宋体"/>
                <w:sz w:val="18"/>
                <w:szCs w:val="18"/>
                <w:lang w:val="zh-CN"/>
              </w:rPr>
            </w:pPr>
            <w:r>
              <w:rPr>
                <w:rFonts w:eastAsia="宋体"/>
                <w:sz w:val="18"/>
                <w:szCs w:val="18"/>
                <w:lang w:val="zh-CN"/>
              </w:rPr>
              <w:t>5120160080</w:t>
            </w:r>
          </w:p>
        </w:tc>
        <w:tc>
          <w:tcPr>
            <w:tcW w:w="1789" w:type="dxa"/>
            <w:tcBorders>
              <w:bottom w:val="single" w:color="auto" w:sz="12" w:space="0"/>
            </w:tcBorders>
          </w:tcPr>
          <w:p>
            <w:pPr>
              <w:wordWrap w:val="0"/>
              <w:autoSpaceDE w:val="0"/>
              <w:autoSpaceDN w:val="0"/>
              <w:adjustRightInd w:val="0"/>
              <w:spacing w:line="440" w:lineRule="exact"/>
              <w:jc w:val="center"/>
              <w:rPr>
                <w:rFonts w:eastAsia="宋体"/>
                <w:sz w:val="18"/>
                <w:szCs w:val="18"/>
                <w:lang w:val="zh-CN"/>
              </w:rPr>
            </w:pPr>
          </w:p>
        </w:tc>
        <w:tc>
          <w:tcPr>
            <w:tcW w:w="2348" w:type="dxa"/>
            <w:tcBorders>
              <w:bottom w:val="single" w:color="auto" w:sz="12" w:space="0"/>
            </w:tcBorders>
          </w:tcPr>
          <w:p>
            <w:pPr>
              <w:autoSpaceDE w:val="0"/>
              <w:autoSpaceDN w:val="0"/>
              <w:adjustRightInd w:val="0"/>
              <w:spacing w:line="440" w:lineRule="exact"/>
              <w:jc w:val="center"/>
              <w:rPr>
                <w:rFonts w:hint="eastAsia" w:eastAsia="宋体"/>
                <w:sz w:val="18"/>
                <w:szCs w:val="18"/>
                <w:lang w:val="zh-CN" w:eastAsia="zh-CN"/>
              </w:rPr>
            </w:pPr>
            <w:r>
              <w:rPr>
                <w:rFonts w:hint="eastAsia" w:eastAsia="宋体"/>
                <w:sz w:val="18"/>
                <w:szCs w:val="18"/>
                <w:lang w:eastAsia="zh-CN"/>
              </w:rPr>
              <w:t>2018年12月</w:t>
            </w:r>
            <w:r>
              <w:rPr>
                <w:rFonts w:hint="eastAsia" w:eastAsia="宋体"/>
                <w:sz w:val="18"/>
                <w:szCs w:val="18"/>
                <w:lang w:val="en-US" w:eastAsia="zh-CN"/>
              </w:rPr>
              <w:t>24</w:t>
            </w:r>
            <w:r>
              <w:rPr>
                <w:rFonts w:hint="eastAsia" w:eastAsia="宋体"/>
                <w:sz w:val="18"/>
                <w:szCs w:val="18"/>
                <w:lang w:eastAsia="zh-CN"/>
              </w:rPr>
              <w:t>日</w:t>
            </w:r>
          </w:p>
        </w:tc>
      </w:tr>
    </w:tbl>
    <w:p>
      <w:pPr>
        <w:pStyle w:val="5"/>
        <w:wordWrap w:val="0"/>
        <w:spacing w:line="480" w:lineRule="exact"/>
        <w:ind w:firstLine="0"/>
        <w:outlineLvl w:val="2"/>
        <w:rPr>
          <w:rFonts w:eastAsia="仿宋_GB2312"/>
          <w:b/>
          <w:bCs/>
        </w:rPr>
      </w:pPr>
      <w:bookmarkStart w:id="47" w:name="_Toc29713"/>
      <w:bookmarkStart w:id="48" w:name="_Toc8108"/>
      <w:r>
        <w:rPr>
          <w:rFonts w:eastAsia="仿宋_GB2312"/>
          <w:b/>
          <w:bCs/>
        </w:rPr>
        <w:t>十二、</w:t>
      </w:r>
      <w:bookmarkEnd w:id="47"/>
      <w:bookmarkStart w:id="49" w:name="_Toc9476"/>
      <w:r>
        <w:rPr>
          <w:rFonts w:eastAsia="仿宋_GB2312"/>
          <w:b/>
          <w:bCs/>
        </w:rPr>
        <w:t>实地查勘期</w:t>
      </w:r>
      <w:bookmarkEnd w:id="48"/>
      <w:bookmarkEnd w:id="49"/>
    </w:p>
    <w:p>
      <w:pPr>
        <w:spacing w:line="460" w:lineRule="exact"/>
        <w:rPr>
          <w:spacing w:val="4"/>
          <w:sz w:val="28"/>
          <w:szCs w:val="28"/>
        </w:rPr>
      </w:pPr>
      <w:bookmarkStart w:id="50" w:name="_Toc360"/>
      <w:r>
        <w:rPr>
          <w:spacing w:val="4"/>
          <w:sz w:val="28"/>
          <w:szCs w:val="28"/>
        </w:rPr>
        <w:t xml:space="preserve">    本次估价对估价对象的实地查勘期为</w:t>
      </w:r>
      <w:r>
        <w:rPr>
          <w:rFonts w:hint="eastAsia"/>
          <w:spacing w:val="4"/>
          <w:sz w:val="28"/>
          <w:szCs w:val="28"/>
          <w:lang w:eastAsia="zh-CN"/>
        </w:rPr>
        <w:t>2018年12月5日</w:t>
      </w:r>
      <w:r>
        <w:rPr>
          <w:spacing w:val="4"/>
          <w:sz w:val="28"/>
          <w:szCs w:val="28"/>
        </w:rPr>
        <w:t>。</w:t>
      </w:r>
    </w:p>
    <w:p>
      <w:pPr>
        <w:pStyle w:val="5"/>
        <w:wordWrap w:val="0"/>
        <w:spacing w:line="480" w:lineRule="exact"/>
        <w:ind w:firstLine="0"/>
        <w:outlineLvl w:val="2"/>
        <w:rPr>
          <w:rFonts w:eastAsia="仿宋_GB2312"/>
          <w:b/>
          <w:bCs/>
        </w:rPr>
      </w:pPr>
      <w:bookmarkStart w:id="51" w:name="_Toc31364"/>
      <w:r>
        <w:rPr>
          <w:rFonts w:eastAsia="仿宋_GB2312"/>
          <w:b/>
          <w:bCs/>
        </w:rPr>
        <w:t>十三、估价作业期</w:t>
      </w:r>
      <w:bookmarkEnd w:id="50"/>
      <w:bookmarkEnd w:id="51"/>
    </w:p>
    <w:p>
      <w:pPr>
        <w:spacing w:line="460" w:lineRule="exact"/>
        <w:rPr>
          <w:sz w:val="28"/>
        </w:rPr>
      </w:pPr>
      <w:bookmarkStart w:id="52" w:name="_Toc16593"/>
      <w:r>
        <w:rPr>
          <w:sz w:val="28"/>
        </w:rPr>
        <w:t xml:space="preserve">    2018年</w:t>
      </w:r>
      <w:r>
        <w:rPr>
          <w:rFonts w:hint="eastAsia"/>
          <w:sz w:val="28"/>
          <w:lang w:val="en-US" w:eastAsia="zh-CN"/>
        </w:rPr>
        <w:t>11</w:t>
      </w:r>
      <w:r>
        <w:rPr>
          <w:sz w:val="28"/>
        </w:rPr>
        <w:t>月</w:t>
      </w:r>
      <w:r>
        <w:rPr>
          <w:rFonts w:hint="eastAsia"/>
          <w:sz w:val="28"/>
          <w:lang w:val="en-US" w:eastAsia="zh-CN"/>
        </w:rPr>
        <w:t>4</w:t>
      </w:r>
      <w:r>
        <w:rPr>
          <w:sz w:val="28"/>
        </w:rPr>
        <w:t>日至</w:t>
      </w:r>
      <w:r>
        <w:rPr>
          <w:rFonts w:hint="eastAsia"/>
          <w:sz w:val="28"/>
          <w:lang w:eastAsia="zh-CN"/>
        </w:rPr>
        <w:t>2018年12月</w:t>
      </w:r>
      <w:r>
        <w:rPr>
          <w:rFonts w:hint="eastAsia"/>
          <w:sz w:val="28"/>
          <w:lang w:val="en-US" w:eastAsia="zh-CN"/>
        </w:rPr>
        <w:t>24</w:t>
      </w:r>
      <w:r>
        <w:rPr>
          <w:rFonts w:hint="eastAsia"/>
          <w:sz w:val="28"/>
          <w:lang w:eastAsia="zh-CN"/>
        </w:rPr>
        <w:t>日</w:t>
      </w:r>
      <w:r>
        <w:rPr>
          <w:sz w:val="28"/>
        </w:rPr>
        <w:t>。</w:t>
      </w:r>
    </w:p>
    <w:p>
      <w:pPr>
        <w:pStyle w:val="11"/>
        <w:pageBreakBefore/>
        <w:spacing w:after="0" w:line="720" w:lineRule="auto"/>
        <w:ind w:firstLine="525"/>
        <w:jc w:val="center"/>
        <w:outlineLvl w:val="1"/>
        <w:rPr>
          <w:rFonts w:eastAsia="楷体_GB2312"/>
          <w:b/>
          <w:sz w:val="36"/>
          <w:szCs w:val="36"/>
        </w:rPr>
      </w:pPr>
      <w:bookmarkStart w:id="53" w:name="_Toc15711"/>
      <w:r>
        <w:rPr>
          <w:rFonts w:eastAsia="楷体_GB2312"/>
          <w:b/>
          <w:sz w:val="36"/>
          <w:szCs w:val="36"/>
        </w:rPr>
        <w:t>附    件</w:t>
      </w:r>
      <w:bookmarkEnd w:id="52"/>
      <w:bookmarkEnd w:id="53"/>
    </w:p>
    <w:p>
      <w:pPr>
        <w:pStyle w:val="4"/>
        <w:widowControl/>
        <w:spacing w:before="0" w:after="0" w:line="460" w:lineRule="exact"/>
        <w:ind w:left="1524" w:hanging="1520" w:hangingChars="400"/>
        <w:jc w:val="both"/>
        <w:rPr>
          <w:rFonts w:eastAsia="仿宋"/>
          <w:b w:val="0"/>
          <w:spacing w:val="0"/>
          <w:sz w:val="28"/>
          <w:szCs w:val="28"/>
          <w:lang w:val="en-US"/>
        </w:rPr>
      </w:pPr>
      <w:bookmarkStart w:id="54" w:name="_Toc24220"/>
      <w:bookmarkStart w:id="55" w:name="_Toc21023"/>
      <w:r>
        <w:rPr>
          <w:rFonts w:eastAsia="仿宋_GB2312"/>
          <w:sz w:val="28"/>
        </w:rPr>
        <w:t xml:space="preserve"> 　</w:t>
      </w:r>
      <w:bookmarkEnd w:id="54"/>
      <w:bookmarkStart w:id="56" w:name="_Toc31449"/>
      <w:r>
        <w:rPr>
          <w:rFonts w:eastAsia="仿宋"/>
          <w:b w:val="0"/>
          <w:spacing w:val="0"/>
          <w:sz w:val="28"/>
          <w:szCs w:val="28"/>
        </w:rPr>
        <w:t>一、《</w:t>
      </w:r>
      <w:r>
        <w:rPr>
          <w:rFonts w:hint="eastAsia" w:eastAsia="仿宋"/>
          <w:b w:val="0"/>
          <w:spacing w:val="0"/>
          <w:sz w:val="28"/>
          <w:szCs w:val="28"/>
          <w:lang w:eastAsia="zh-CN"/>
        </w:rPr>
        <w:t>四川省攀枝花市西区人民法院</w:t>
      </w:r>
      <w:r>
        <w:rPr>
          <w:rFonts w:hint="eastAsia" w:eastAsia="仿宋"/>
          <w:b w:val="0"/>
          <w:spacing w:val="0"/>
          <w:sz w:val="28"/>
          <w:szCs w:val="28"/>
        </w:rPr>
        <w:t>司法评估委托书</w:t>
      </w:r>
      <w:r>
        <w:rPr>
          <w:rFonts w:eastAsia="仿宋"/>
          <w:b w:val="0"/>
          <w:spacing w:val="0"/>
          <w:sz w:val="28"/>
          <w:szCs w:val="28"/>
        </w:rPr>
        <w:t>》</w:t>
      </w:r>
      <w:r>
        <w:rPr>
          <w:rFonts w:hint="eastAsia" w:eastAsia="仿宋"/>
          <w:b w:val="0"/>
          <w:spacing w:val="0"/>
          <w:sz w:val="28"/>
          <w:szCs w:val="28"/>
          <w:lang w:val="en-US" w:eastAsia="zh-CN"/>
        </w:rPr>
        <w:t>及附表</w:t>
      </w:r>
      <w:bookmarkEnd w:id="56"/>
    </w:p>
    <w:p>
      <w:pPr>
        <w:pStyle w:val="5"/>
        <w:wordWrap w:val="0"/>
        <w:spacing w:line="480" w:lineRule="exact"/>
        <w:outlineLvl w:val="2"/>
        <w:rPr>
          <w:rFonts w:eastAsia="仿宋_GB2312"/>
        </w:rPr>
      </w:pPr>
      <w:bookmarkStart w:id="57" w:name="_Toc28607"/>
      <w:r>
        <w:rPr>
          <w:rFonts w:eastAsia="仿宋_GB2312"/>
          <w:szCs w:val="22"/>
        </w:rPr>
        <w:t>二、</w:t>
      </w:r>
      <w:r>
        <w:rPr>
          <w:rFonts w:eastAsia="仿宋"/>
          <w:szCs w:val="28"/>
        </w:rPr>
        <w:t>估价对象位置图</w:t>
      </w:r>
      <w:bookmarkEnd w:id="57"/>
    </w:p>
    <w:p>
      <w:pPr>
        <w:pStyle w:val="5"/>
        <w:wordWrap w:val="0"/>
        <w:spacing w:line="480" w:lineRule="exact"/>
        <w:ind w:firstLine="560" w:firstLineChars="200"/>
        <w:outlineLvl w:val="2"/>
        <w:rPr>
          <w:rFonts w:eastAsia="仿宋_GB2312"/>
          <w:szCs w:val="22"/>
        </w:rPr>
      </w:pPr>
      <w:bookmarkStart w:id="58" w:name="_Toc2750"/>
      <w:r>
        <w:rPr>
          <w:rFonts w:eastAsia="仿宋_GB2312"/>
          <w:szCs w:val="22"/>
        </w:rPr>
        <w:t>三、</w:t>
      </w:r>
      <w:r>
        <w:rPr>
          <w:rFonts w:eastAsia="仿宋"/>
          <w:szCs w:val="28"/>
        </w:rPr>
        <w:t>估价对象实地查勘情况和相关照片</w:t>
      </w:r>
      <w:bookmarkEnd w:id="58"/>
    </w:p>
    <w:p>
      <w:pPr>
        <w:pStyle w:val="5"/>
        <w:wordWrap w:val="0"/>
        <w:spacing w:line="480" w:lineRule="exact"/>
        <w:outlineLvl w:val="2"/>
        <w:rPr>
          <w:rFonts w:eastAsia="仿宋_GB2312"/>
          <w:szCs w:val="22"/>
        </w:rPr>
      </w:pPr>
      <w:bookmarkStart w:id="59" w:name="_Toc1948"/>
      <w:r>
        <w:rPr>
          <w:rFonts w:eastAsia="仿宋_GB2312"/>
        </w:rPr>
        <w:t>四、</w:t>
      </w:r>
      <w:bookmarkEnd w:id="55"/>
      <w:bookmarkStart w:id="60" w:name="_Toc3003"/>
      <w:bookmarkStart w:id="61" w:name="_Toc12736"/>
      <w:r>
        <w:rPr>
          <w:rFonts w:hint="eastAsia" w:eastAsia="仿宋_GB2312"/>
          <w:lang w:eastAsia="zh-CN"/>
        </w:rPr>
        <w:t>《不动产权证书》</w:t>
      </w:r>
      <w:r>
        <w:rPr>
          <w:rFonts w:eastAsia="仿宋_GB2312"/>
        </w:rPr>
        <w:t>复印件</w:t>
      </w:r>
      <w:bookmarkEnd w:id="59"/>
      <w:bookmarkEnd w:id="60"/>
      <w:bookmarkEnd w:id="61"/>
      <w:bookmarkStart w:id="62" w:name="_Toc29218"/>
    </w:p>
    <w:p>
      <w:pPr>
        <w:pStyle w:val="5"/>
        <w:wordWrap w:val="0"/>
        <w:spacing w:line="480" w:lineRule="exact"/>
        <w:ind w:firstLine="560" w:firstLineChars="200"/>
        <w:outlineLvl w:val="2"/>
        <w:rPr>
          <w:rFonts w:eastAsia="仿宋_GB2312"/>
          <w:szCs w:val="22"/>
        </w:rPr>
      </w:pPr>
      <w:bookmarkStart w:id="63" w:name="_Toc19222"/>
      <w:r>
        <w:rPr>
          <w:rFonts w:hint="eastAsia" w:eastAsia="仿宋_GB2312"/>
          <w:szCs w:val="22"/>
          <w:lang w:val="en-US" w:eastAsia="zh-CN"/>
        </w:rPr>
        <w:t>五</w:t>
      </w:r>
      <w:r>
        <w:rPr>
          <w:rFonts w:eastAsia="仿宋_GB2312"/>
          <w:szCs w:val="22"/>
        </w:rPr>
        <w:t>、专业帮助情况和相关专业意见说明</w:t>
      </w:r>
      <w:bookmarkEnd w:id="63"/>
    </w:p>
    <w:p>
      <w:pPr>
        <w:pStyle w:val="5"/>
        <w:wordWrap w:val="0"/>
        <w:spacing w:line="480" w:lineRule="exact"/>
        <w:ind w:firstLine="560" w:firstLineChars="200"/>
        <w:outlineLvl w:val="2"/>
        <w:rPr>
          <w:rFonts w:eastAsia="仿宋_GB2312"/>
          <w:szCs w:val="22"/>
        </w:rPr>
      </w:pPr>
      <w:bookmarkStart w:id="64" w:name="_Toc12753"/>
      <w:r>
        <w:rPr>
          <w:rFonts w:hint="eastAsia" w:eastAsia="仿宋_GB2312"/>
          <w:szCs w:val="22"/>
          <w:lang w:val="en-US" w:eastAsia="zh-CN"/>
        </w:rPr>
        <w:t>六</w:t>
      </w:r>
      <w:r>
        <w:rPr>
          <w:rFonts w:eastAsia="仿宋_GB2312"/>
          <w:szCs w:val="22"/>
        </w:rPr>
        <w:t>、评估机构营业执照和评估机构资格证书复印件</w:t>
      </w:r>
      <w:bookmarkEnd w:id="64"/>
    </w:p>
    <w:p>
      <w:pPr>
        <w:pStyle w:val="5"/>
        <w:wordWrap w:val="0"/>
        <w:spacing w:line="480" w:lineRule="exact"/>
        <w:ind w:firstLine="560" w:firstLineChars="200"/>
        <w:outlineLvl w:val="2"/>
        <w:rPr>
          <w:rFonts w:eastAsia="仿宋_GB2312"/>
          <w:szCs w:val="22"/>
        </w:rPr>
      </w:pPr>
      <w:bookmarkStart w:id="65" w:name="_Toc14174"/>
      <w:r>
        <w:rPr>
          <w:rFonts w:hint="eastAsia" w:eastAsia="仿宋_GB2312"/>
          <w:szCs w:val="22"/>
          <w:lang w:val="en-US" w:eastAsia="zh-CN"/>
        </w:rPr>
        <w:t>七</w:t>
      </w:r>
      <w:r>
        <w:rPr>
          <w:rFonts w:eastAsia="仿宋_GB2312"/>
          <w:szCs w:val="22"/>
        </w:rPr>
        <w:t>、注册房地产估价师注册证书复印件</w:t>
      </w:r>
      <w:bookmarkEnd w:id="65"/>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p>
      <w:pPr>
        <w:spacing w:line="460" w:lineRule="exact"/>
        <w:rPr>
          <w:spacing w:val="4"/>
          <w:sz w:val="28"/>
          <w:szCs w:val="28"/>
        </w:rPr>
      </w:pPr>
    </w:p>
    <w:bookmarkEnd w:id="28"/>
    <w:bookmarkEnd w:id="29"/>
    <w:bookmarkEnd w:id="30"/>
    <w:bookmarkEnd w:id="31"/>
    <w:bookmarkEnd w:id="32"/>
    <w:bookmarkEnd w:id="33"/>
    <w:bookmarkEnd w:id="62"/>
    <w:p>
      <w:pPr>
        <w:spacing w:line="460" w:lineRule="exact"/>
        <w:rPr>
          <w:spacing w:val="4"/>
          <w:sz w:val="28"/>
          <w:szCs w:val="28"/>
        </w:rPr>
      </w:pPr>
    </w:p>
    <w:p/>
    <w:p/>
    <w:p/>
    <w:p/>
    <w:p/>
    <w:p/>
    <w:p/>
    <w:p/>
    <w:p/>
    <w:p>
      <w:pPr>
        <w:sectPr>
          <w:footerReference r:id="rId11" w:type="first"/>
          <w:footerReference r:id="rId10" w:type="default"/>
          <w:pgSz w:w="11907" w:h="16840"/>
          <w:pgMar w:top="1440" w:right="1644" w:bottom="1440" w:left="1871" w:header="851" w:footer="992" w:gutter="0"/>
          <w:pgBorders>
            <w:top w:val="none" w:sz="0" w:space="0"/>
            <w:left w:val="none" w:sz="0" w:space="0"/>
            <w:bottom w:val="none" w:sz="0" w:space="0"/>
            <w:right w:val="none" w:sz="0" w:space="0"/>
          </w:pgBorders>
          <w:pgNumType w:fmt="decimal" w:start="1"/>
          <w:cols w:space="720" w:num="1"/>
          <w:titlePg/>
          <w:docGrid w:type="linesAndChars" w:linePitch="326" w:charSpace="0"/>
        </w:sectPr>
      </w:pPr>
    </w:p>
    <w:p>
      <w:pPr>
        <w:rPr>
          <w:rFonts w:eastAsia="黑体"/>
          <w:b/>
          <w:sz w:val="36"/>
          <w:szCs w:val="36"/>
        </w:rPr>
      </w:pPr>
    </w:p>
    <w:p>
      <w:pPr>
        <w:rPr>
          <w:rFonts w:hint="eastAsia" w:eastAsia="黑体"/>
          <w:b/>
          <w:sz w:val="36"/>
          <w:szCs w:val="36"/>
          <w:lang w:eastAsia="zh-CN"/>
        </w:rPr>
      </w:pPr>
      <w:r>
        <w:rPr>
          <w:rFonts w:hint="eastAsia" w:eastAsia="黑体"/>
          <w:b/>
          <w:sz w:val="36"/>
          <w:szCs w:val="36"/>
          <w:lang w:eastAsia="zh-CN"/>
        </w:rPr>
        <w:drawing>
          <wp:inline distT="0" distB="0" distL="114300" distR="114300">
            <wp:extent cx="5271770" cy="7739380"/>
            <wp:effectExtent l="0" t="0" r="5080" b="13970"/>
            <wp:docPr id="5" name="图片 5" descr="IMG_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866"/>
                    <pic:cNvPicPr>
                      <a:picLocks noChangeAspect="1"/>
                    </pic:cNvPicPr>
                  </pic:nvPicPr>
                  <pic:blipFill>
                    <a:blip r:embed="rId16"/>
                    <a:stretch>
                      <a:fillRect/>
                    </a:stretch>
                  </pic:blipFill>
                  <pic:spPr>
                    <a:xfrm>
                      <a:off x="0" y="0"/>
                      <a:ext cx="5271770" cy="7739380"/>
                    </a:xfrm>
                    <a:prstGeom prst="rect">
                      <a:avLst/>
                    </a:prstGeom>
                  </pic:spPr>
                </pic:pic>
              </a:graphicData>
            </a:graphic>
          </wp:inline>
        </w:drawing>
      </w:r>
    </w:p>
    <w:p>
      <w:pPr>
        <w:rPr>
          <w:rFonts w:hint="eastAsia" w:eastAsia="黑体"/>
          <w:b/>
          <w:sz w:val="36"/>
          <w:szCs w:val="36"/>
          <w:lang w:eastAsia="zh-CN"/>
        </w:rPr>
      </w:pPr>
      <w:r>
        <w:rPr>
          <w:rFonts w:hint="eastAsia" w:eastAsia="黑体"/>
          <w:b/>
          <w:sz w:val="36"/>
          <w:szCs w:val="36"/>
          <w:lang w:eastAsia="zh-CN"/>
        </w:rPr>
        <w:drawing>
          <wp:inline distT="0" distB="0" distL="114300" distR="114300">
            <wp:extent cx="5273040" cy="7698740"/>
            <wp:effectExtent l="0" t="0" r="3810" b="16510"/>
            <wp:docPr id="30" name="图片 30" descr="IMG_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867"/>
                    <pic:cNvPicPr>
                      <a:picLocks noChangeAspect="1"/>
                    </pic:cNvPicPr>
                  </pic:nvPicPr>
                  <pic:blipFill>
                    <a:blip r:embed="rId17"/>
                    <a:stretch>
                      <a:fillRect/>
                    </a:stretch>
                  </pic:blipFill>
                  <pic:spPr>
                    <a:xfrm>
                      <a:off x="0" y="0"/>
                      <a:ext cx="5273040" cy="7698740"/>
                    </a:xfrm>
                    <a:prstGeom prst="rect">
                      <a:avLst/>
                    </a:prstGeom>
                  </pic:spPr>
                </pic:pic>
              </a:graphicData>
            </a:graphic>
          </wp:inline>
        </w:drawing>
      </w:r>
    </w:p>
    <w:p>
      <w:pPr>
        <w:rPr>
          <w:rFonts w:eastAsia="黑体"/>
          <w:b/>
          <w:sz w:val="36"/>
          <w:szCs w:val="36"/>
        </w:rPr>
      </w:pPr>
    </w:p>
    <w:p>
      <w:pPr>
        <w:ind w:firstLine="2891" w:firstLineChars="800"/>
        <w:rPr>
          <w:rFonts w:eastAsia="黑体"/>
          <w:b/>
          <w:sz w:val="36"/>
          <w:szCs w:val="36"/>
        </w:rPr>
      </w:pPr>
    </w:p>
    <w:p>
      <w:pPr>
        <w:ind w:firstLine="2891" w:firstLineChars="800"/>
        <w:rPr>
          <w:rFonts w:eastAsia="黑体"/>
          <w:b/>
          <w:sz w:val="36"/>
          <w:szCs w:val="36"/>
        </w:rPr>
      </w:pPr>
      <w:r>
        <w:rPr>
          <w:rFonts w:eastAsia="黑体"/>
          <w:b/>
          <w:sz w:val="36"/>
          <w:szCs w:val="36"/>
        </w:rPr>
        <w:t>估价对象位置图</w:t>
      </w:r>
    </w:p>
    <w:p>
      <w:pPr>
        <w:rPr>
          <w:rFonts w:hint="eastAsia" w:eastAsia="仿宋"/>
          <w:b/>
          <w:bCs/>
          <w:sz w:val="28"/>
          <w:szCs w:val="28"/>
          <w:lang w:val="en-US" w:eastAsia="zh-CN"/>
        </w:rPr>
      </w:pPr>
      <w:r>
        <w:rPr>
          <w:rFonts w:eastAsia="仿宋"/>
          <w:b/>
          <w:bCs/>
          <w:sz w:val="28"/>
          <w:szCs w:val="28"/>
        </w:rPr>
        <w:t>坐   落：</w:t>
      </w:r>
      <w:r>
        <w:rPr>
          <w:rFonts w:hint="eastAsia" w:eastAsia="仿宋"/>
          <w:b/>
          <w:bCs/>
          <w:sz w:val="28"/>
          <w:szCs w:val="28"/>
          <w:lang w:eastAsia="zh-CN"/>
        </w:rPr>
        <w:t>攀枝花市西区春兰巷7号</w:t>
      </w:r>
    </w:p>
    <w:tbl>
      <w:tblPr>
        <w:tblStyle w:val="5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4" w:hRule="atLeast"/>
        </w:trPr>
        <w:tc>
          <w:tcPr>
            <w:tcW w:w="8529" w:type="dxa"/>
          </w:tcPr>
          <w:p>
            <w:pPr>
              <w:widowControl/>
              <w:spacing w:line="240" w:lineRule="auto"/>
              <w:jc w:val="left"/>
              <w:rPr>
                <w:rFonts w:hint="eastAsia" w:eastAsia="宋体"/>
                <w:kern w:val="0"/>
                <w:szCs w:val="24"/>
                <w:lang w:eastAsia="zh-CN"/>
              </w:rPr>
            </w:pPr>
            <w:r>
              <w:drawing>
                <wp:inline distT="0" distB="0" distL="114300" distR="114300">
                  <wp:extent cx="5302885" cy="3265805"/>
                  <wp:effectExtent l="0" t="0" r="12065" b="10795"/>
                  <wp:docPr id="1" name="图片 2" descr="C:\Users\pc-1\Desktop\161.pn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pc-1\Desktop\161.png161"/>
                          <pic:cNvPicPr>
                            <a:picLocks noChangeAspect="1"/>
                          </pic:cNvPicPr>
                        </pic:nvPicPr>
                        <pic:blipFill>
                          <a:blip r:embed="rId18"/>
                          <a:srcRect/>
                          <a:stretch>
                            <a:fillRect/>
                          </a:stretch>
                        </pic:blipFill>
                        <pic:spPr>
                          <a:xfrm>
                            <a:off x="0" y="0"/>
                            <a:ext cx="5302885" cy="32658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8529" w:type="dxa"/>
          </w:tcPr>
          <w:p>
            <w:pPr>
              <w:jc w:val="center"/>
              <w:rPr>
                <w:rFonts w:eastAsia="仿宋"/>
                <w:szCs w:val="24"/>
              </w:rPr>
            </w:pPr>
            <w:r>
              <w:rPr>
                <w:rFonts w:hint="eastAsia" w:ascii="宋体" w:hAnsi="宋体" w:eastAsia="宋体" w:cs="宋体"/>
                <w:sz w:val="21"/>
                <w:szCs w:val="21"/>
              </w:rPr>
              <w:t>◆</w:t>
            </w:r>
            <w:r>
              <w:rPr>
                <w:rFonts w:eastAsia="仿宋"/>
                <w:szCs w:val="24"/>
              </w:rPr>
              <w:t xml:space="preserve"> 估价对象所在市（县）方位图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0" w:hRule="atLeast"/>
        </w:trPr>
        <w:tc>
          <w:tcPr>
            <w:tcW w:w="8529" w:type="dxa"/>
          </w:tcPr>
          <w:p>
            <w:pPr>
              <w:widowControl/>
              <w:spacing w:line="240" w:lineRule="auto"/>
              <w:jc w:val="left"/>
              <w:rPr>
                <w:rFonts w:hint="eastAsia" w:eastAsia="宋体"/>
                <w:kern w:val="0"/>
                <w:szCs w:val="24"/>
                <w:lang w:eastAsia="zh-CN"/>
              </w:rPr>
            </w:pPr>
            <w:r>
              <w:drawing>
                <wp:inline distT="0" distB="0" distL="114300" distR="114300">
                  <wp:extent cx="5340985" cy="2878455"/>
                  <wp:effectExtent l="0" t="0" r="12065" b="17145"/>
                  <wp:docPr id="2" name="图片 3" descr="C:\Users\pc-1\Desktop\171.png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pc-1\Desktop\171.png171"/>
                          <pic:cNvPicPr>
                            <a:picLocks noChangeAspect="1"/>
                          </pic:cNvPicPr>
                        </pic:nvPicPr>
                        <pic:blipFill>
                          <a:blip r:embed="rId19"/>
                          <a:srcRect/>
                          <a:stretch>
                            <a:fillRect/>
                          </a:stretch>
                        </pic:blipFill>
                        <pic:spPr>
                          <a:xfrm>
                            <a:off x="0" y="0"/>
                            <a:ext cx="5340985" cy="28784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529" w:type="dxa"/>
          </w:tcPr>
          <w:p>
            <w:pPr>
              <w:ind w:firstLine="2730" w:firstLineChars="1300"/>
              <w:rPr>
                <w:rFonts w:eastAsia="仿宋"/>
                <w:szCs w:val="24"/>
              </w:rPr>
            </w:pPr>
            <w:r>
              <w:rPr>
                <w:rFonts w:hint="eastAsia" w:ascii="宋体" w:hAnsi="宋体" w:eastAsia="宋体" w:cs="宋体"/>
                <w:sz w:val="21"/>
                <w:szCs w:val="21"/>
              </w:rPr>
              <w:t>◆</w:t>
            </w:r>
            <w:r>
              <w:rPr>
                <w:rFonts w:eastAsia="仿宋"/>
                <w:szCs w:val="24"/>
              </w:rPr>
              <w:t xml:space="preserve"> 估价对象位置图</w:t>
            </w:r>
          </w:p>
        </w:tc>
      </w:tr>
    </w:tbl>
    <w:p>
      <w:pPr>
        <w:jc w:val="center"/>
        <w:rPr>
          <w:rFonts w:eastAsia="黑体"/>
          <w:b/>
          <w:sz w:val="36"/>
          <w:szCs w:val="36"/>
        </w:rPr>
      </w:pPr>
    </w:p>
    <w:p>
      <w:pPr>
        <w:jc w:val="center"/>
        <w:rPr>
          <w:rFonts w:eastAsia="黑体"/>
          <w:b/>
          <w:sz w:val="36"/>
          <w:szCs w:val="36"/>
        </w:rPr>
      </w:pPr>
    </w:p>
    <w:p>
      <w:pPr>
        <w:jc w:val="center"/>
        <w:rPr>
          <w:b/>
          <w:sz w:val="30"/>
          <w:szCs w:val="30"/>
        </w:rPr>
      </w:pPr>
      <w:r>
        <w:rPr>
          <w:rFonts w:eastAsia="黑体"/>
          <w:b/>
          <w:sz w:val="36"/>
          <w:szCs w:val="36"/>
        </w:rPr>
        <w:t>估价对象实地查勘情况和相关照片</w:t>
      </w:r>
    </w:p>
    <w:p>
      <w:pPr>
        <w:spacing w:line="560" w:lineRule="exact"/>
        <w:ind w:firstLine="480" w:firstLineChars="200"/>
        <w:rPr>
          <w:rFonts w:eastAsia="仿宋"/>
          <w:snapToGrid w:val="0"/>
          <w:kern w:val="0"/>
          <w:szCs w:val="24"/>
        </w:rPr>
      </w:pPr>
    </w:p>
    <w:p>
      <w:pPr>
        <w:adjustRightInd w:val="0"/>
        <w:spacing w:line="460" w:lineRule="exact"/>
        <w:rPr>
          <w:sz w:val="28"/>
          <w:szCs w:val="28"/>
        </w:rPr>
      </w:pPr>
      <w:r>
        <w:rPr>
          <w:sz w:val="28"/>
          <w:szCs w:val="28"/>
        </w:rPr>
        <w:t xml:space="preserve">   受委托，估价委托人</w:t>
      </w:r>
      <w:r>
        <w:rPr>
          <w:rFonts w:hint="eastAsia"/>
          <w:sz w:val="28"/>
          <w:szCs w:val="22"/>
        </w:rPr>
        <w:t>因司法拍卖（变卖）需要</w:t>
      </w:r>
      <w:r>
        <w:rPr>
          <w:sz w:val="28"/>
          <w:szCs w:val="28"/>
        </w:rPr>
        <w:t>，委托我司对该项经济行为所涉及的位于</w:t>
      </w:r>
      <w:r>
        <w:rPr>
          <w:rFonts w:hint="eastAsia"/>
          <w:sz w:val="28"/>
          <w:szCs w:val="28"/>
          <w:lang w:eastAsia="zh-CN"/>
        </w:rPr>
        <w:t>攀枝花市西区春兰巷7号3幢1单元16-3号</w:t>
      </w:r>
      <w:r>
        <w:rPr>
          <w:sz w:val="28"/>
          <w:szCs w:val="28"/>
        </w:rPr>
        <w:t>住宅房地产市场价值进行估价，注册房地产估价师</w:t>
      </w:r>
      <w:r>
        <w:rPr>
          <w:rFonts w:hint="eastAsia"/>
          <w:sz w:val="28"/>
          <w:szCs w:val="28"/>
        </w:rPr>
        <w:t>何曼</w:t>
      </w:r>
      <w:r>
        <w:rPr>
          <w:sz w:val="28"/>
          <w:szCs w:val="28"/>
        </w:rPr>
        <w:t>和估价助理人员</w:t>
      </w:r>
      <w:r>
        <w:rPr>
          <w:rFonts w:hint="eastAsia"/>
          <w:sz w:val="28"/>
          <w:szCs w:val="28"/>
          <w:lang w:val="en-US" w:eastAsia="zh-CN"/>
        </w:rPr>
        <w:t>张卓越</w:t>
      </w:r>
      <w:r>
        <w:rPr>
          <w:sz w:val="28"/>
          <w:szCs w:val="28"/>
        </w:rPr>
        <w:t>于</w:t>
      </w:r>
      <w:r>
        <w:rPr>
          <w:rFonts w:hint="eastAsia"/>
          <w:sz w:val="28"/>
          <w:szCs w:val="28"/>
          <w:lang w:eastAsia="zh-CN"/>
        </w:rPr>
        <w:t>2018年12月5日</w:t>
      </w:r>
      <w:r>
        <w:rPr>
          <w:sz w:val="28"/>
          <w:szCs w:val="28"/>
        </w:rPr>
        <w:t>对进行实地查勘，对区位状况、实物状况和权益状况进行了观察、询问、检查和核对，并拍摄了反映估价对象内部状况、外部状况和周围环境状况的照片，形成了实地查勘记录。</w:t>
      </w:r>
    </w:p>
    <w:p>
      <w:pPr>
        <w:adjustRightInd w:val="0"/>
        <w:spacing w:line="460" w:lineRule="exact"/>
        <w:rPr>
          <w:sz w:val="28"/>
          <w:szCs w:val="28"/>
        </w:rPr>
      </w:pPr>
    </w:p>
    <w:p>
      <w:pPr>
        <w:adjustRightInd w:val="0"/>
        <w:spacing w:line="460" w:lineRule="exact"/>
        <w:rPr>
          <w:sz w:val="28"/>
          <w:szCs w:val="28"/>
        </w:rPr>
      </w:pPr>
    </w:p>
    <w:p>
      <w:pPr>
        <w:adjustRightInd w:val="0"/>
        <w:spacing w:line="460" w:lineRule="exact"/>
        <w:rPr>
          <w:sz w:val="28"/>
          <w:szCs w:val="28"/>
        </w:rPr>
      </w:pPr>
      <w:r>
        <w:rPr>
          <w:sz w:val="28"/>
          <w:szCs w:val="28"/>
        </w:rPr>
        <w:t xml:space="preserve">                    注册房地产估价师：</w:t>
      </w:r>
    </w:p>
    <w:p>
      <w:pPr>
        <w:adjustRightInd w:val="0"/>
        <w:spacing w:line="460" w:lineRule="exact"/>
        <w:rPr>
          <w:sz w:val="28"/>
          <w:szCs w:val="28"/>
        </w:rPr>
      </w:pPr>
    </w:p>
    <w:p>
      <w:pPr>
        <w:adjustRightInd w:val="0"/>
        <w:spacing w:line="460" w:lineRule="exact"/>
        <w:rPr>
          <w:sz w:val="28"/>
          <w:szCs w:val="28"/>
        </w:rPr>
      </w:pPr>
      <w:r>
        <w:rPr>
          <w:sz w:val="28"/>
          <w:szCs w:val="28"/>
        </w:rPr>
        <w:t xml:space="preserve">                    估价助理人员：</w:t>
      </w:r>
    </w:p>
    <w:p>
      <w:pPr>
        <w:adjustRightInd w:val="0"/>
        <w:spacing w:line="460" w:lineRule="exact"/>
        <w:rPr>
          <w:sz w:val="28"/>
          <w:szCs w:val="28"/>
        </w:rPr>
      </w:pPr>
    </w:p>
    <w:p>
      <w:pPr>
        <w:adjustRightInd w:val="0"/>
        <w:spacing w:line="460" w:lineRule="exact"/>
        <w:ind w:firstLine="3920" w:firstLineChars="1400"/>
        <w:rPr>
          <w:rFonts w:hint="eastAsia" w:eastAsia="仿宋_GB2312"/>
          <w:sz w:val="28"/>
          <w:szCs w:val="28"/>
          <w:lang w:eastAsia="zh-CN"/>
        </w:rPr>
      </w:pPr>
      <w:r>
        <w:rPr>
          <w:rFonts w:hint="eastAsia"/>
          <w:sz w:val="28"/>
          <w:szCs w:val="28"/>
          <w:lang w:eastAsia="zh-CN"/>
        </w:rPr>
        <w:t>2018年12月</w:t>
      </w:r>
      <w:r>
        <w:rPr>
          <w:rFonts w:hint="eastAsia"/>
          <w:sz w:val="28"/>
          <w:szCs w:val="28"/>
          <w:lang w:val="en-US" w:eastAsia="zh-CN"/>
        </w:rPr>
        <w:t>24</w:t>
      </w:r>
      <w:r>
        <w:rPr>
          <w:rFonts w:hint="eastAsia"/>
          <w:sz w:val="28"/>
          <w:szCs w:val="28"/>
          <w:lang w:eastAsia="zh-CN"/>
        </w:rPr>
        <w:t>日</w:t>
      </w:r>
    </w:p>
    <w:p>
      <w:pPr>
        <w:spacing w:line="560" w:lineRule="exact"/>
        <w:rPr>
          <w:rFonts w:eastAsia="黑体"/>
          <w:b/>
          <w:sz w:val="36"/>
          <w:szCs w:val="36"/>
        </w:rPr>
      </w:pPr>
    </w:p>
    <w:p>
      <w:pPr>
        <w:rPr>
          <w:rFonts w:eastAsia="黑体"/>
          <w:b/>
          <w:sz w:val="36"/>
          <w:szCs w:val="36"/>
        </w:rPr>
      </w:pPr>
    </w:p>
    <w:p>
      <w:pPr>
        <w:rPr>
          <w:rFonts w:eastAsia="黑体"/>
          <w:b/>
          <w:sz w:val="36"/>
          <w:szCs w:val="36"/>
        </w:rPr>
      </w:pPr>
    </w:p>
    <w:p>
      <w:pPr>
        <w:rPr>
          <w:rFonts w:eastAsia="黑体"/>
          <w:b/>
          <w:sz w:val="36"/>
          <w:szCs w:val="36"/>
        </w:rPr>
      </w:pPr>
    </w:p>
    <w:p>
      <w:pPr>
        <w:rPr>
          <w:rFonts w:eastAsia="黑体"/>
          <w:b/>
          <w:sz w:val="36"/>
          <w:szCs w:val="36"/>
        </w:rPr>
      </w:pPr>
    </w:p>
    <w:p>
      <w:pPr>
        <w:rPr>
          <w:rFonts w:eastAsia="黑体"/>
          <w:b/>
          <w:sz w:val="36"/>
          <w:szCs w:val="36"/>
        </w:rPr>
      </w:pPr>
    </w:p>
    <w:p>
      <w:pPr>
        <w:jc w:val="both"/>
        <w:rPr>
          <w:rFonts w:eastAsia="黑体"/>
          <w:b/>
          <w:sz w:val="36"/>
          <w:szCs w:val="36"/>
        </w:rPr>
      </w:pPr>
    </w:p>
    <w:p>
      <w:pPr>
        <w:jc w:val="center"/>
        <w:rPr>
          <w:rFonts w:eastAsia="黑体"/>
          <w:b/>
          <w:sz w:val="36"/>
          <w:szCs w:val="36"/>
        </w:rPr>
      </w:pPr>
    </w:p>
    <w:p>
      <w:pPr>
        <w:jc w:val="center"/>
        <w:rPr>
          <w:rFonts w:eastAsia="黑体"/>
          <w:b/>
          <w:sz w:val="36"/>
          <w:szCs w:val="36"/>
        </w:rPr>
      </w:pPr>
      <w:r>
        <w:rPr>
          <w:rFonts w:eastAsia="黑体"/>
          <w:b/>
          <w:sz w:val="36"/>
          <w:szCs w:val="36"/>
        </w:rPr>
        <w:br w:type="page"/>
      </w:r>
    </w:p>
    <w:p>
      <w:pPr>
        <w:jc w:val="center"/>
        <w:rPr>
          <w:rFonts w:eastAsia="黑体"/>
          <w:b/>
          <w:sz w:val="36"/>
          <w:szCs w:val="36"/>
        </w:rPr>
      </w:pPr>
      <w:r>
        <w:rPr>
          <w:rFonts w:eastAsia="黑体"/>
          <w:b/>
          <w:sz w:val="36"/>
          <w:szCs w:val="36"/>
        </w:rPr>
        <w:t>估价对象状况照片</w:t>
      </w:r>
    </w:p>
    <w:p>
      <w:pPr>
        <w:rPr>
          <w:rFonts w:hint="eastAsia" w:eastAsia="仿宋"/>
          <w:szCs w:val="24"/>
          <w:lang w:eastAsia="zh-CN"/>
        </w:rPr>
      </w:pPr>
      <w:r>
        <w:rPr>
          <w:rFonts w:eastAsia="仿宋"/>
          <w:b/>
          <w:bCs/>
          <w:szCs w:val="24"/>
        </w:rPr>
        <w:t>项目名称：</w:t>
      </w:r>
      <w:r>
        <w:rPr>
          <w:rFonts w:hint="eastAsia" w:eastAsia="仿宋"/>
          <w:sz w:val="28"/>
          <w:szCs w:val="28"/>
          <w:lang w:eastAsia="zh-CN"/>
        </w:rPr>
        <w:t>攀枝花市西区春兰巷7号3幢1单元16-3号</w:t>
      </w:r>
      <w:r>
        <w:rPr>
          <w:rFonts w:hint="eastAsia" w:eastAsia="仿宋"/>
          <w:color w:val="0000FF"/>
          <w:sz w:val="28"/>
          <w:szCs w:val="28"/>
          <w:lang w:eastAsia="zh-CN"/>
        </w:rPr>
        <w:t>住宅</w:t>
      </w:r>
    </w:p>
    <w:tbl>
      <w:tblPr>
        <w:tblStyle w:val="5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18"/>
        <w:gridCol w:w="2678"/>
        <w:gridCol w:w="218"/>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5" w:hRule="exact"/>
        </w:trPr>
        <w:tc>
          <w:tcPr>
            <w:tcW w:w="2668" w:type="dxa"/>
            <w:vAlign w:val="center"/>
          </w:tcPr>
          <w:p>
            <w:pPr>
              <w:jc w:val="center"/>
              <w:rPr>
                <w:rFonts w:hint="eastAsia" w:eastAsia="仿宋_GB2312"/>
                <w:lang w:eastAsia="zh-CN"/>
              </w:rPr>
            </w:pPr>
            <w:r>
              <w:rPr>
                <w:rFonts w:hint="eastAsia" w:eastAsia="仿宋_GB2312"/>
                <w:lang w:eastAsia="zh-CN"/>
              </w:rPr>
              <w:drawing>
                <wp:inline distT="0" distB="0" distL="114300" distR="114300">
                  <wp:extent cx="1611630" cy="1343660"/>
                  <wp:effectExtent l="0" t="0" r="7620" b="8890"/>
                  <wp:docPr id="3" name="图片 3" descr="C:\Users\pc-1\Desktop\攀枝花西贵金沙\现场照片\IMG_3560.JPGIMG_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c-1\Desktop\攀枝花西贵金沙\现场照片\IMG_3560.JPGIMG_3560"/>
                          <pic:cNvPicPr>
                            <a:picLocks noChangeAspect="1"/>
                          </pic:cNvPicPr>
                        </pic:nvPicPr>
                        <pic:blipFill>
                          <a:blip r:embed="rId20"/>
                          <a:srcRect/>
                          <a:stretch>
                            <a:fillRect/>
                          </a:stretch>
                        </pic:blipFill>
                        <pic:spPr>
                          <a:xfrm>
                            <a:off x="0" y="0"/>
                            <a:ext cx="1611630" cy="1343660"/>
                          </a:xfrm>
                          <a:prstGeom prst="rect">
                            <a:avLst/>
                          </a:prstGeom>
                        </pic:spPr>
                      </pic:pic>
                    </a:graphicData>
                  </a:graphic>
                </wp:inline>
              </w:drawing>
            </w:r>
          </w:p>
        </w:tc>
        <w:tc>
          <w:tcPr>
            <w:tcW w:w="218" w:type="dxa"/>
            <w:vAlign w:val="center"/>
          </w:tcPr>
          <w:p>
            <w:pPr>
              <w:jc w:val="center"/>
              <w:rPr>
                <w:sz w:val="10"/>
                <w:szCs w:val="10"/>
              </w:rPr>
            </w:pPr>
          </w:p>
        </w:tc>
        <w:tc>
          <w:tcPr>
            <w:tcW w:w="2678" w:type="dxa"/>
            <w:vAlign w:val="center"/>
          </w:tcPr>
          <w:p>
            <w:pPr>
              <w:jc w:val="center"/>
              <w:rPr>
                <w:rFonts w:hint="eastAsia" w:eastAsia="仿宋_GB2312"/>
                <w:sz w:val="10"/>
                <w:szCs w:val="10"/>
                <w:lang w:eastAsia="zh-CN"/>
              </w:rPr>
            </w:pPr>
            <w:r>
              <w:rPr>
                <w:rFonts w:hint="eastAsia" w:eastAsia="仿宋_GB2312"/>
                <w:sz w:val="10"/>
                <w:szCs w:val="10"/>
                <w:lang w:eastAsia="zh-CN"/>
              </w:rPr>
              <w:drawing>
                <wp:inline distT="0" distB="0" distL="114300" distR="114300">
                  <wp:extent cx="1640840" cy="1316355"/>
                  <wp:effectExtent l="0" t="0" r="16510" b="17145"/>
                  <wp:docPr id="4" name="图片 4" descr="C:\Users\pc-1\Desktop\攀枝花西贵金沙\现场照片\IMG_3561.JPGIMG_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1\Desktop\攀枝花西贵金沙\现场照片\IMG_3561.JPGIMG_3561"/>
                          <pic:cNvPicPr>
                            <a:picLocks noChangeAspect="1"/>
                          </pic:cNvPicPr>
                        </pic:nvPicPr>
                        <pic:blipFill>
                          <a:blip r:embed="rId21"/>
                          <a:srcRect/>
                          <a:stretch>
                            <a:fillRect/>
                          </a:stretch>
                        </pic:blipFill>
                        <pic:spPr>
                          <a:xfrm>
                            <a:off x="0" y="0"/>
                            <a:ext cx="1640840" cy="1316355"/>
                          </a:xfrm>
                          <a:prstGeom prst="rect">
                            <a:avLst/>
                          </a:prstGeom>
                        </pic:spPr>
                      </pic:pic>
                    </a:graphicData>
                  </a:graphic>
                </wp:inline>
              </w:drawing>
            </w:r>
          </w:p>
        </w:tc>
        <w:tc>
          <w:tcPr>
            <w:tcW w:w="218" w:type="dxa"/>
            <w:vAlign w:val="center"/>
          </w:tcPr>
          <w:p>
            <w:pPr>
              <w:jc w:val="center"/>
              <w:rPr>
                <w:sz w:val="10"/>
                <w:szCs w:val="10"/>
              </w:rPr>
            </w:pPr>
          </w:p>
        </w:tc>
        <w:tc>
          <w:tcPr>
            <w:tcW w:w="2747" w:type="dxa"/>
            <w:vAlign w:val="center"/>
          </w:tcPr>
          <w:p>
            <w:pPr>
              <w:jc w:val="center"/>
              <w:rPr>
                <w:rFonts w:hint="eastAsia" w:eastAsia="仿宋_GB2312"/>
                <w:lang w:eastAsia="zh-CN"/>
              </w:rPr>
            </w:pPr>
            <w:r>
              <w:rPr>
                <w:rFonts w:hint="eastAsia" w:eastAsia="仿宋_GB2312"/>
                <w:lang w:eastAsia="zh-CN"/>
              </w:rPr>
              <w:drawing>
                <wp:inline distT="0" distB="0" distL="114300" distR="114300">
                  <wp:extent cx="1419860" cy="1418590"/>
                  <wp:effectExtent l="0" t="0" r="8890" b="10160"/>
                  <wp:docPr id="23" name="图片 23" descr="C:\Users\pc-1\Desktop\攀枝花西贵金沙\现场照片\IMG_3567.JPGIMG_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pc-1\Desktop\攀枝花西贵金沙\现场照片\IMG_3567.JPGIMG_3567"/>
                          <pic:cNvPicPr>
                            <a:picLocks noChangeAspect="1"/>
                          </pic:cNvPicPr>
                        </pic:nvPicPr>
                        <pic:blipFill>
                          <a:blip r:embed="rId22"/>
                          <a:srcRect/>
                          <a:stretch>
                            <a:fillRect/>
                          </a:stretch>
                        </pic:blipFill>
                        <pic:spPr>
                          <a:xfrm>
                            <a:off x="0" y="0"/>
                            <a:ext cx="1419860" cy="1418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6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小区大门</w:t>
            </w:r>
            <w:r>
              <w:rPr>
                <w:sz w:val="21"/>
                <w:szCs w:val="21"/>
              </w:rPr>
              <w:t>状况</w:t>
            </w:r>
          </w:p>
        </w:tc>
        <w:tc>
          <w:tcPr>
            <w:tcW w:w="218" w:type="dxa"/>
            <w:vAlign w:val="center"/>
          </w:tcPr>
          <w:p>
            <w:pPr>
              <w:jc w:val="center"/>
              <w:rPr>
                <w:sz w:val="21"/>
                <w:szCs w:val="21"/>
              </w:rPr>
            </w:pPr>
          </w:p>
        </w:tc>
        <w:tc>
          <w:tcPr>
            <w:tcW w:w="267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周边</w:t>
            </w:r>
            <w:r>
              <w:rPr>
                <w:sz w:val="21"/>
                <w:szCs w:val="21"/>
              </w:rPr>
              <w:t>状况</w:t>
            </w:r>
          </w:p>
        </w:tc>
        <w:tc>
          <w:tcPr>
            <w:tcW w:w="218" w:type="dxa"/>
            <w:vAlign w:val="center"/>
          </w:tcPr>
          <w:p>
            <w:pPr>
              <w:jc w:val="center"/>
              <w:rPr>
                <w:sz w:val="21"/>
                <w:szCs w:val="21"/>
              </w:rPr>
            </w:pPr>
          </w:p>
        </w:tc>
        <w:tc>
          <w:tcPr>
            <w:tcW w:w="2747" w:type="dxa"/>
            <w:vAlign w:val="center"/>
          </w:tcPr>
          <w:p>
            <w:pPr>
              <w:jc w:val="center"/>
              <w:rPr>
                <w:rFonts w:hint="eastAsia" w:eastAsia="仿宋_GB2312"/>
                <w:sz w:val="21"/>
                <w:szCs w:val="21"/>
                <w:lang w:eastAsia="zh-CN"/>
              </w:rPr>
            </w:pPr>
            <w:r>
              <w:rPr>
                <w:rFonts w:hint="eastAsia" w:ascii="宋体" w:hAnsi="宋体" w:eastAsia="宋体" w:cs="宋体"/>
                <w:sz w:val="21"/>
                <w:szCs w:val="21"/>
              </w:rPr>
              <w:t>◆</w:t>
            </w:r>
            <w:r>
              <w:rPr>
                <w:sz w:val="21"/>
                <w:szCs w:val="21"/>
              </w:rPr>
              <w:t>估价对象</w:t>
            </w:r>
            <w:r>
              <w:rPr>
                <w:rFonts w:hint="eastAsia"/>
                <w:sz w:val="21"/>
                <w:szCs w:val="21"/>
                <w:lang w:eastAsia="zh-CN"/>
              </w:rPr>
              <w:t>建筑外观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6" w:hRule="exact"/>
        </w:trPr>
        <w:tc>
          <w:tcPr>
            <w:tcW w:w="2668" w:type="dxa"/>
            <w:vAlign w:val="center"/>
          </w:tcPr>
          <w:p>
            <w:pPr>
              <w:jc w:val="center"/>
              <w:rPr>
                <w:rFonts w:hint="eastAsia" w:eastAsia="仿宋_GB2312"/>
                <w:lang w:eastAsia="zh-CN"/>
              </w:rPr>
            </w:pPr>
            <w:r>
              <w:rPr>
                <w:rFonts w:hint="eastAsia" w:eastAsia="仿宋_GB2312"/>
                <w:lang w:eastAsia="zh-CN"/>
              </w:rPr>
              <w:drawing>
                <wp:inline distT="0" distB="0" distL="114300" distR="114300">
                  <wp:extent cx="1545590" cy="1158875"/>
                  <wp:effectExtent l="0" t="0" r="16510" b="3175"/>
                  <wp:docPr id="6" name="图片 6" descr="C:\Users\pc-1\Desktop\攀枝花西贵金沙\现场照片\IMG_3572.JPGIMG_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c-1\Desktop\攀枝花西贵金沙\现场照片\IMG_3572.JPGIMG_3572"/>
                          <pic:cNvPicPr>
                            <a:picLocks noChangeAspect="1"/>
                          </pic:cNvPicPr>
                        </pic:nvPicPr>
                        <pic:blipFill>
                          <a:blip r:embed="rId23"/>
                          <a:srcRect/>
                          <a:stretch>
                            <a:fillRect/>
                          </a:stretch>
                        </pic:blipFill>
                        <pic:spPr>
                          <a:xfrm>
                            <a:off x="0" y="0"/>
                            <a:ext cx="1545590" cy="1158875"/>
                          </a:xfrm>
                          <a:prstGeom prst="rect">
                            <a:avLst/>
                          </a:prstGeom>
                        </pic:spPr>
                      </pic:pic>
                    </a:graphicData>
                  </a:graphic>
                </wp:inline>
              </w:drawing>
            </w:r>
          </w:p>
        </w:tc>
        <w:tc>
          <w:tcPr>
            <w:tcW w:w="218" w:type="dxa"/>
            <w:vAlign w:val="center"/>
          </w:tcPr>
          <w:p>
            <w:pPr>
              <w:jc w:val="center"/>
              <w:rPr>
                <w:sz w:val="10"/>
                <w:szCs w:val="10"/>
              </w:rPr>
            </w:pPr>
          </w:p>
        </w:tc>
        <w:tc>
          <w:tcPr>
            <w:tcW w:w="2678" w:type="dxa"/>
          </w:tcPr>
          <w:p>
            <w:pPr>
              <w:rPr>
                <w:rFonts w:hint="eastAsia" w:eastAsia="仿宋_GB2312"/>
                <w:sz w:val="10"/>
                <w:szCs w:val="10"/>
                <w:lang w:eastAsia="zh-CN"/>
              </w:rPr>
            </w:pPr>
            <w:r>
              <w:rPr>
                <w:rFonts w:hint="eastAsia" w:eastAsia="仿宋_GB2312"/>
                <w:lang w:eastAsia="zh-CN"/>
              </w:rPr>
              <w:drawing>
                <wp:inline distT="0" distB="0" distL="114300" distR="114300">
                  <wp:extent cx="1469390" cy="1601470"/>
                  <wp:effectExtent l="0" t="0" r="17780" b="16510"/>
                  <wp:docPr id="12" name="图片 12" descr="C:\Users\pc-1\Desktop\攀枝花西贵金沙\现场照片\IMG_3565.JPGIMG_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c-1\Desktop\攀枝花西贵金沙\现场照片\IMG_3565.JPGIMG_3565"/>
                          <pic:cNvPicPr>
                            <a:picLocks noChangeAspect="1"/>
                          </pic:cNvPicPr>
                        </pic:nvPicPr>
                        <pic:blipFill>
                          <a:blip r:embed="rId24"/>
                          <a:srcRect/>
                          <a:stretch>
                            <a:fillRect/>
                          </a:stretch>
                        </pic:blipFill>
                        <pic:spPr>
                          <a:xfrm rot="5400000">
                            <a:off x="0" y="0"/>
                            <a:ext cx="1469390" cy="1601470"/>
                          </a:xfrm>
                          <a:prstGeom prst="rect">
                            <a:avLst/>
                          </a:prstGeom>
                        </pic:spPr>
                      </pic:pic>
                    </a:graphicData>
                  </a:graphic>
                </wp:inline>
              </w:drawing>
            </w:r>
          </w:p>
        </w:tc>
        <w:tc>
          <w:tcPr>
            <w:tcW w:w="218" w:type="dxa"/>
            <w:vAlign w:val="center"/>
          </w:tcPr>
          <w:p>
            <w:pPr>
              <w:jc w:val="center"/>
              <w:rPr>
                <w:sz w:val="10"/>
                <w:szCs w:val="10"/>
              </w:rPr>
            </w:pPr>
          </w:p>
        </w:tc>
        <w:tc>
          <w:tcPr>
            <w:tcW w:w="2747" w:type="dxa"/>
            <w:vAlign w:val="center"/>
          </w:tcPr>
          <w:p>
            <w:pPr>
              <w:jc w:val="center"/>
              <w:rPr>
                <w:rFonts w:hint="eastAsia" w:eastAsia="仿宋_GB2312"/>
                <w:sz w:val="10"/>
                <w:szCs w:val="10"/>
                <w:lang w:eastAsia="zh-CN"/>
              </w:rPr>
            </w:pPr>
            <w:r>
              <w:rPr>
                <w:rFonts w:hint="eastAsia" w:eastAsia="仿宋_GB2312"/>
                <w:sz w:val="10"/>
                <w:szCs w:val="10"/>
                <w:lang w:eastAsia="zh-CN"/>
              </w:rPr>
              <w:drawing>
                <wp:inline distT="0" distB="0" distL="114300" distR="114300">
                  <wp:extent cx="1584960" cy="1188720"/>
                  <wp:effectExtent l="0" t="0" r="15240" b="11430"/>
                  <wp:docPr id="8" name="图片 8" descr="C:\Users\pc-1\Desktop\攀枝花西贵金沙\现场照片\IMG_3564.JPGIMG_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pc-1\Desktop\攀枝花西贵金沙\现场照片\IMG_3564.JPGIMG_3564"/>
                          <pic:cNvPicPr>
                            <a:picLocks noChangeAspect="1"/>
                          </pic:cNvPicPr>
                        </pic:nvPicPr>
                        <pic:blipFill>
                          <a:blip r:embed="rId25"/>
                          <a:srcRect/>
                          <a:stretch>
                            <a:fillRect/>
                          </a:stretch>
                        </pic:blipFill>
                        <pic:spPr>
                          <a:xfrm>
                            <a:off x="0" y="0"/>
                            <a:ext cx="1584960" cy="1188720"/>
                          </a:xfrm>
                          <a:prstGeom prst="rect">
                            <a:avLst/>
                          </a:prstGeom>
                        </pic:spPr>
                      </pic:pic>
                    </a:graphicData>
                  </a:graphic>
                </wp:inline>
              </w:drawing>
            </w:r>
          </w:p>
          <w:p>
            <w:pPr>
              <w:jc w:val="center"/>
              <w:rPr>
                <w:sz w:val="10"/>
                <w:szCs w:val="10"/>
              </w:rP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66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小区状况</w:t>
            </w:r>
          </w:p>
        </w:tc>
        <w:tc>
          <w:tcPr>
            <w:tcW w:w="218" w:type="dxa"/>
            <w:vAlign w:val="center"/>
          </w:tcPr>
          <w:p>
            <w:pPr>
              <w:jc w:val="center"/>
              <w:rPr>
                <w:sz w:val="21"/>
                <w:szCs w:val="21"/>
              </w:rPr>
            </w:pPr>
          </w:p>
        </w:tc>
        <w:tc>
          <w:tcPr>
            <w:tcW w:w="2678" w:type="dxa"/>
            <w:vAlign w:val="center"/>
          </w:tcPr>
          <w:p>
            <w:pPr>
              <w:jc w:val="center"/>
              <w:rPr>
                <w:rFonts w:hint="eastAsia" w:eastAsia="仿宋_GB2312"/>
                <w:sz w:val="21"/>
                <w:szCs w:val="21"/>
                <w:lang w:eastAsia="zh-CN"/>
              </w:rPr>
            </w:pPr>
            <w:r>
              <w:rPr>
                <w:rFonts w:hint="eastAsia" w:ascii="宋体" w:hAnsi="宋体" w:eastAsia="宋体" w:cs="宋体"/>
                <w:sz w:val="21"/>
                <w:szCs w:val="21"/>
              </w:rPr>
              <w:t>◆</w:t>
            </w:r>
            <w:r>
              <w:rPr>
                <w:sz w:val="21"/>
                <w:szCs w:val="21"/>
              </w:rPr>
              <w:t>估价对象</w:t>
            </w:r>
            <w:r>
              <w:rPr>
                <w:rFonts w:hint="eastAsia"/>
                <w:sz w:val="21"/>
                <w:szCs w:val="21"/>
                <w:lang w:eastAsia="zh-CN"/>
              </w:rPr>
              <w:t>入户门状况</w:t>
            </w:r>
          </w:p>
        </w:tc>
        <w:tc>
          <w:tcPr>
            <w:tcW w:w="218" w:type="dxa"/>
            <w:vAlign w:val="center"/>
          </w:tcPr>
          <w:p>
            <w:pPr>
              <w:jc w:val="center"/>
              <w:rPr>
                <w:sz w:val="21"/>
                <w:szCs w:val="21"/>
              </w:rPr>
            </w:pPr>
          </w:p>
        </w:tc>
        <w:tc>
          <w:tcPr>
            <w:tcW w:w="2747"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lang w:val="en-US" w:eastAsia="zh-CN"/>
              </w:rPr>
              <w:t>幢</w:t>
            </w:r>
            <w:r>
              <w:rPr>
                <w:rFonts w:hint="eastAsia"/>
                <w:sz w:val="21"/>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9" w:hRule="exact"/>
        </w:trPr>
        <w:tc>
          <w:tcPr>
            <w:tcW w:w="2668" w:type="dxa"/>
            <w:vAlign w:val="center"/>
          </w:tcPr>
          <w:p>
            <w:pPr>
              <w:jc w:val="center"/>
              <w:rPr>
                <w:rFonts w:hint="eastAsia" w:eastAsia="仿宋_GB2312"/>
                <w:lang w:eastAsia="zh-CN"/>
              </w:rPr>
            </w:pPr>
            <w:r>
              <w:rPr>
                <w:rFonts w:hint="eastAsia" w:eastAsia="仿宋_GB2312"/>
                <w:lang w:eastAsia="zh-CN"/>
              </w:rPr>
              <w:drawing>
                <wp:inline distT="0" distB="0" distL="114300" distR="114300">
                  <wp:extent cx="1536065" cy="1151890"/>
                  <wp:effectExtent l="0" t="0" r="6985" b="10160"/>
                  <wp:docPr id="31" name="图片 31" descr="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577"/>
                          <pic:cNvPicPr>
                            <a:picLocks noChangeAspect="1"/>
                          </pic:cNvPicPr>
                        </pic:nvPicPr>
                        <pic:blipFill>
                          <a:blip r:embed="rId26"/>
                          <a:stretch>
                            <a:fillRect/>
                          </a:stretch>
                        </pic:blipFill>
                        <pic:spPr>
                          <a:xfrm>
                            <a:off x="0" y="0"/>
                            <a:ext cx="1536065" cy="1151890"/>
                          </a:xfrm>
                          <a:prstGeom prst="rect">
                            <a:avLst/>
                          </a:prstGeom>
                        </pic:spPr>
                      </pic:pic>
                    </a:graphicData>
                  </a:graphic>
                </wp:inline>
              </w:drawing>
            </w:r>
          </w:p>
        </w:tc>
        <w:tc>
          <w:tcPr>
            <w:tcW w:w="218" w:type="dxa"/>
            <w:vAlign w:val="center"/>
          </w:tcPr>
          <w:p>
            <w:pPr>
              <w:jc w:val="center"/>
              <w:rPr>
                <w:sz w:val="10"/>
                <w:szCs w:val="10"/>
              </w:rPr>
            </w:pPr>
          </w:p>
        </w:tc>
        <w:tc>
          <w:tcPr>
            <w:tcW w:w="2678" w:type="dxa"/>
            <w:vAlign w:val="center"/>
          </w:tcPr>
          <w:p>
            <w:pPr>
              <w:jc w:val="center"/>
              <w:rPr>
                <w:rFonts w:hint="eastAsia" w:eastAsia="仿宋_GB2312"/>
                <w:sz w:val="10"/>
                <w:szCs w:val="10"/>
                <w:lang w:eastAsia="zh-CN"/>
              </w:rPr>
            </w:pPr>
            <w:r>
              <w:rPr>
                <w:rFonts w:hint="eastAsia" w:eastAsia="仿宋_GB2312"/>
                <w:sz w:val="10"/>
                <w:szCs w:val="10"/>
                <w:lang w:eastAsia="zh-CN"/>
              </w:rPr>
              <w:drawing>
                <wp:inline distT="0" distB="0" distL="114300" distR="114300">
                  <wp:extent cx="1536065" cy="1151890"/>
                  <wp:effectExtent l="0" t="0" r="6985" b="10160"/>
                  <wp:docPr id="43" name="图片 43" descr="IMG_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3578"/>
                          <pic:cNvPicPr>
                            <a:picLocks noChangeAspect="1"/>
                          </pic:cNvPicPr>
                        </pic:nvPicPr>
                        <pic:blipFill>
                          <a:blip r:embed="rId27"/>
                          <a:stretch>
                            <a:fillRect/>
                          </a:stretch>
                        </pic:blipFill>
                        <pic:spPr>
                          <a:xfrm>
                            <a:off x="0" y="0"/>
                            <a:ext cx="1536065" cy="1151890"/>
                          </a:xfrm>
                          <a:prstGeom prst="rect">
                            <a:avLst/>
                          </a:prstGeom>
                        </pic:spPr>
                      </pic:pic>
                    </a:graphicData>
                  </a:graphic>
                </wp:inline>
              </w:drawing>
            </w:r>
          </w:p>
        </w:tc>
        <w:tc>
          <w:tcPr>
            <w:tcW w:w="218" w:type="dxa"/>
            <w:vAlign w:val="center"/>
          </w:tcPr>
          <w:p>
            <w:pPr>
              <w:jc w:val="center"/>
              <w:rPr>
                <w:sz w:val="10"/>
                <w:szCs w:val="10"/>
              </w:rPr>
            </w:pPr>
          </w:p>
        </w:tc>
        <w:tc>
          <w:tcPr>
            <w:tcW w:w="2747" w:type="dxa"/>
            <w:vAlign w:val="center"/>
          </w:tcPr>
          <w:p>
            <w:pPr>
              <w:jc w:val="center"/>
              <w:rPr>
                <w:rFonts w:hint="eastAsia" w:eastAsia="仿宋_GB2312"/>
                <w:lang w:eastAsia="zh-CN"/>
              </w:rPr>
            </w:pPr>
            <w:r>
              <w:rPr>
                <w:rFonts w:hint="eastAsia" w:eastAsia="仿宋_GB2312"/>
                <w:lang w:eastAsia="zh-CN"/>
              </w:rPr>
              <w:drawing>
                <wp:inline distT="0" distB="0" distL="114300" distR="114300">
                  <wp:extent cx="1587500" cy="1190625"/>
                  <wp:effectExtent l="0" t="0" r="12700" b="9525"/>
                  <wp:docPr id="44" name="图片 44" descr="IMG_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3579"/>
                          <pic:cNvPicPr>
                            <a:picLocks noChangeAspect="1"/>
                          </pic:cNvPicPr>
                        </pic:nvPicPr>
                        <pic:blipFill>
                          <a:blip r:embed="rId28"/>
                          <a:stretch>
                            <a:fillRect/>
                          </a:stretch>
                        </pic:blipFill>
                        <pic:spPr>
                          <a:xfrm>
                            <a:off x="0" y="0"/>
                            <a:ext cx="1587500" cy="1190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exact"/>
        </w:trPr>
        <w:tc>
          <w:tcPr>
            <w:tcW w:w="266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lang w:eastAsia="zh-CN"/>
              </w:rPr>
              <w:t>内部</w:t>
            </w:r>
            <w:r>
              <w:rPr>
                <w:rFonts w:hint="eastAsia"/>
                <w:sz w:val="21"/>
                <w:szCs w:val="21"/>
              </w:rPr>
              <w:t>状况</w:t>
            </w:r>
          </w:p>
        </w:tc>
        <w:tc>
          <w:tcPr>
            <w:tcW w:w="218" w:type="dxa"/>
            <w:vAlign w:val="center"/>
          </w:tcPr>
          <w:p>
            <w:pPr>
              <w:jc w:val="center"/>
              <w:rPr>
                <w:sz w:val="21"/>
                <w:szCs w:val="21"/>
              </w:rPr>
            </w:pPr>
          </w:p>
        </w:tc>
        <w:tc>
          <w:tcPr>
            <w:tcW w:w="267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内部</w:t>
            </w:r>
            <w:r>
              <w:rPr>
                <w:sz w:val="21"/>
                <w:szCs w:val="21"/>
              </w:rPr>
              <w:t>状况</w:t>
            </w:r>
          </w:p>
        </w:tc>
        <w:tc>
          <w:tcPr>
            <w:tcW w:w="218" w:type="dxa"/>
            <w:vAlign w:val="center"/>
          </w:tcPr>
          <w:p>
            <w:pPr>
              <w:jc w:val="center"/>
              <w:rPr>
                <w:sz w:val="21"/>
                <w:szCs w:val="21"/>
              </w:rPr>
            </w:pPr>
          </w:p>
        </w:tc>
        <w:tc>
          <w:tcPr>
            <w:tcW w:w="2747"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内部</w:t>
            </w:r>
            <w:r>
              <w:rPr>
                <w:sz w:val="21"/>
                <w:szCs w:val="21"/>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3" w:hRule="exact"/>
        </w:trPr>
        <w:tc>
          <w:tcPr>
            <w:tcW w:w="2668"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536065" cy="1151890"/>
                  <wp:effectExtent l="0" t="0" r="6985" b="10160"/>
                  <wp:docPr id="46" name="图片 46" descr="IMG_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582"/>
                          <pic:cNvPicPr>
                            <a:picLocks noChangeAspect="1"/>
                          </pic:cNvPicPr>
                        </pic:nvPicPr>
                        <pic:blipFill>
                          <a:blip r:embed="rId29"/>
                          <a:stretch>
                            <a:fillRect/>
                          </a:stretch>
                        </pic:blipFill>
                        <pic:spPr>
                          <a:xfrm>
                            <a:off x="0" y="0"/>
                            <a:ext cx="1536065" cy="1151890"/>
                          </a:xfrm>
                          <a:prstGeom prst="rect">
                            <a:avLst/>
                          </a:prstGeom>
                        </pic:spPr>
                      </pic:pic>
                    </a:graphicData>
                  </a:graphic>
                </wp:inline>
              </w:drawing>
            </w:r>
          </w:p>
        </w:tc>
        <w:tc>
          <w:tcPr>
            <w:tcW w:w="218" w:type="dxa"/>
            <w:vAlign w:val="center"/>
          </w:tcPr>
          <w:p>
            <w:pPr>
              <w:jc w:val="center"/>
              <w:rPr>
                <w:sz w:val="21"/>
                <w:szCs w:val="21"/>
              </w:rPr>
            </w:pPr>
          </w:p>
        </w:tc>
        <w:tc>
          <w:tcPr>
            <w:tcW w:w="2678"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536065" cy="1151890"/>
                  <wp:effectExtent l="0" t="0" r="6985" b="10160"/>
                  <wp:docPr id="47" name="图片 47" descr="IMG_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586"/>
                          <pic:cNvPicPr>
                            <a:picLocks noChangeAspect="1"/>
                          </pic:cNvPicPr>
                        </pic:nvPicPr>
                        <pic:blipFill>
                          <a:blip r:embed="rId30"/>
                          <a:stretch>
                            <a:fillRect/>
                          </a:stretch>
                        </pic:blipFill>
                        <pic:spPr>
                          <a:xfrm>
                            <a:off x="0" y="0"/>
                            <a:ext cx="1536065" cy="1151890"/>
                          </a:xfrm>
                          <a:prstGeom prst="rect">
                            <a:avLst/>
                          </a:prstGeom>
                        </pic:spPr>
                      </pic:pic>
                    </a:graphicData>
                  </a:graphic>
                </wp:inline>
              </w:drawing>
            </w:r>
          </w:p>
        </w:tc>
        <w:tc>
          <w:tcPr>
            <w:tcW w:w="218" w:type="dxa"/>
            <w:vAlign w:val="center"/>
          </w:tcPr>
          <w:p>
            <w:pPr>
              <w:jc w:val="center"/>
              <w:rPr>
                <w:sz w:val="21"/>
                <w:szCs w:val="21"/>
              </w:rPr>
            </w:pPr>
          </w:p>
        </w:tc>
        <w:tc>
          <w:tcPr>
            <w:tcW w:w="2747"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587500" cy="1190625"/>
                  <wp:effectExtent l="0" t="0" r="12700" b="9525"/>
                  <wp:docPr id="48" name="图片 48" descr="IMG_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585"/>
                          <pic:cNvPicPr>
                            <a:picLocks noChangeAspect="1"/>
                          </pic:cNvPicPr>
                        </pic:nvPicPr>
                        <pic:blipFill>
                          <a:blip r:embed="rId31"/>
                          <a:stretch>
                            <a:fillRect/>
                          </a:stretch>
                        </pic:blipFill>
                        <pic:spPr>
                          <a:xfrm>
                            <a:off x="0" y="0"/>
                            <a:ext cx="1587500" cy="1190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trPr>
        <w:tc>
          <w:tcPr>
            <w:tcW w:w="266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内部</w:t>
            </w:r>
            <w:r>
              <w:rPr>
                <w:sz w:val="21"/>
                <w:szCs w:val="21"/>
              </w:rPr>
              <w:t>状况</w:t>
            </w:r>
          </w:p>
        </w:tc>
        <w:tc>
          <w:tcPr>
            <w:tcW w:w="218" w:type="dxa"/>
            <w:vAlign w:val="center"/>
          </w:tcPr>
          <w:p>
            <w:pPr>
              <w:jc w:val="center"/>
              <w:rPr>
                <w:sz w:val="21"/>
                <w:szCs w:val="21"/>
              </w:rPr>
            </w:pPr>
          </w:p>
        </w:tc>
        <w:tc>
          <w:tcPr>
            <w:tcW w:w="2678" w:type="dxa"/>
            <w:vAlign w:val="center"/>
          </w:tcPr>
          <w:p>
            <w:pPr>
              <w:jc w:val="center"/>
              <w:rPr>
                <w:sz w:val="21"/>
                <w:szCs w:val="21"/>
              </w:rPr>
            </w:pPr>
            <w:r>
              <w:rPr>
                <w:rFonts w:hint="eastAsia" w:ascii="宋体" w:hAnsi="宋体" w:eastAsia="宋体" w:cs="宋体"/>
                <w:sz w:val="21"/>
                <w:szCs w:val="21"/>
              </w:rPr>
              <w:t>◆</w:t>
            </w:r>
            <w:r>
              <w:rPr>
                <w:sz w:val="21"/>
                <w:szCs w:val="21"/>
              </w:rPr>
              <w:t>估价对象</w:t>
            </w:r>
            <w:r>
              <w:rPr>
                <w:rFonts w:hint="eastAsia"/>
                <w:sz w:val="21"/>
                <w:szCs w:val="21"/>
              </w:rPr>
              <w:t>内部</w:t>
            </w:r>
            <w:r>
              <w:rPr>
                <w:sz w:val="21"/>
                <w:szCs w:val="21"/>
              </w:rPr>
              <w:t>状况</w:t>
            </w:r>
          </w:p>
        </w:tc>
        <w:tc>
          <w:tcPr>
            <w:tcW w:w="218" w:type="dxa"/>
            <w:vAlign w:val="center"/>
          </w:tcPr>
          <w:p>
            <w:pPr>
              <w:jc w:val="center"/>
              <w:rPr>
                <w:sz w:val="21"/>
                <w:szCs w:val="21"/>
              </w:rPr>
            </w:pPr>
          </w:p>
        </w:tc>
        <w:tc>
          <w:tcPr>
            <w:tcW w:w="2747" w:type="dxa"/>
            <w:vAlign w:val="center"/>
          </w:tcPr>
          <w:p>
            <w:pPr>
              <w:jc w:val="center"/>
              <w:rPr>
                <w:sz w:val="21"/>
                <w:szCs w:val="21"/>
              </w:rPr>
            </w:pPr>
            <w:r>
              <w:rPr>
                <w:rFonts w:hint="eastAsia" w:ascii="宋体" w:hAnsi="宋体" w:eastAsia="宋体" w:cs="宋体"/>
                <w:sz w:val="21"/>
                <w:szCs w:val="21"/>
              </w:rPr>
              <w:t>◆</w:t>
            </w:r>
            <w:r>
              <w:rPr>
                <w:rFonts w:hint="eastAsia"/>
                <w:sz w:val="21"/>
                <w:szCs w:val="21"/>
              </w:rPr>
              <w:t>估价对象内部照片</w:t>
            </w:r>
          </w:p>
        </w:tc>
      </w:tr>
    </w:tbl>
    <w:p>
      <w:pPr>
        <w:ind w:firstLine="240" w:firstLineChars="100"/>
        <w:rPr>
          <w:rFonts w:hint="eastAsia" w:eastAsia="仿宋"/>
          <w:szCs w:val="24"/>
          <w:lang w:eastAsia="zh-CN"/>
        </w:rPr>
      </w:pPr>
      <w:r>
        <w:rPr>
          <w:rFonts w:eastAsia="仿宋"/>
          <w:szCs w:val="24"/>
        </w:rPr>
        <w:t xml:space="preserve">  拍摄人员：</w:t>
      </w:r>
      <w:r>
        <w:rPr>
          <w:rFonts w:hint="eastAsia" w:eastAsia="仿宋"/>
          <w:szCs w:val="24"/>
          <w:lang w:val="en-US" w:eastAsia="zh-CN"/>
        </w:rPr>
        <w:t xml:space="preserve">张卓越 </w:t>
      </w:r>
      <w:r>
        <w:rPr>
          <w:rFonts w:eastAsia="仿宋"/>
          <w:szCs w:val="24"/>
        </w:rPr>
        <w:t xml:space="preserve">                   拍摄日期: </w:t>
      </w:r>
      <w:r>
        <w:rPr>
          <w:rFonts w:hint="eastAsia" w:eastAsia="仿宋"/>
          <w:szCs w:val="24"/>
          <w:lang w:eastAsia="zh-CN"/>
        </w:rPr>
        <w:t>2018年12月5日</w:t>
      </w:r>
    </w:p>
    <w:p>
      <w:pPr>
        <w:ind w:firstLine="240" w:firstLineChars="100"/>
        <w:rPr>
          <w:rFonts w:hint="eastAsia" w:eastAsia="仿宋"/>
          <w:szCs w:val="24"/>
          <w:lang w:eastAsia="zh-CN"/>
        </w:rPr>
      </w:pPr>
    </w:p>
    <w:p>
      <w:pPr>
        <w:ind w:firstLine="361" w:firstLineChars="100"/>
        <w:rPr>
          <w:rFonts w:hint="eastAsia" w:eastAsia="黑体"/>
          <w:b/>
          <w:sz w:val="36"/>
          <w:szCs w:val="36"/>
          <w:lang w:eastAsia="zh-CN"/>
        </w:rPr>
      </w:pPr>
    </w:p>
    <w:p>
      <w:pPr>
        <w:ind w:firstLine="240" w:firstLineChars="100"/>
        <w:rPr>
          <w:rFonts w:hint="eastAsia" w:eastAsia="黑体"/>
          <w:b/>
          <w:sz w:val="36"/>
          <w:szCs w:val="36"/>
          <w:lang w:eastAsia="zh-CN"/>
        </w:rPr>
      </w:pPr>
      <w:r>
        <w:rPr>
          <w:rFonts w:hint="eastAsia" w:eastAsiaTheme="minorEastAsia"/>
          <w:lang w:eastAsia="zh-CN"/>
        </w:rPr>
        <w:drawing>
          <wp:inline distT="0" distB="0" distL="114300" distR="114300">
            <wp:extent cx="5266690" cy="7022465"/>
            <wp:effectExtent l="0" t="0" r="10160" b="6985"/>
            <wp:docPr id="52" name="图片 52" descr="IMG_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704(1)"/>
                    <pic:cNvPicPr>
                      <a:picLocks noChangeAspect="1"/>
                    </pic:cNvPicPr>
                  </pic:nvPicPr>
                  <pic:blipFill>
                    <a:blip r:embed="rId32"/>
                    <a:stretch>
                      <a:fillRect/>
                    </a:stretch>
                  </pic:blipFill>
                  <pic:spPr>
                    <a:xfrm>
                      <a:off x="0" y="0"/>
                      <a:ext cx="5266690" cy="7022465"/>
                    </a:xfrm>
                    <a:prstGeom prst="rect">
                      <a:avLst/>
                    </a:prstGeom>
                  </pic:spPr>
                </pic:pic>
              </a:graphicData>
            </a:graphic>
          </wp:inline>
        </w:drawing>
      </w:r>
      <w:r>
        <w:rPr>
          <w:rFonts w:hint="eastAsia" w:eastAsiaTheme="minorEastAsia"/>
          <w:lang w:eastAsia="zh-CN"/>
        </w:rPr>
        <w:drawing>
          <wp:inline distT="0" distB="0" distL="114300" distR="114300">
            <wp:extent cx="5266690" cy="7022465"/>
            <wp:effectExtent l="0" t="0" r="10160" b="6985"/>
            <wp:docPr id="53" name="图片 53" descr="IMG_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705"/>
                    <pic:cNvPicPr>
                      <a:picLocks noChangeAspect="1"/>
                    </pic:cNvPicPr>
                  </pic:nvPicPr>
                  <pic:blipFill>
                    <a:blip r:embed="rId33"/>
                    <a:stretch>
                      <a:fillRect/>
                    </a:stretch>
                  </pic:blipFill>
                  <pic:spPr>
                    <a:xfrm>
                      <a:off x="0" y="0"/>
                      <a:ext cx="5266690" cy="7022465"/>
                    </a:xfrm>
                    <a:prstGeom prst="rect">
                      <a:avLst/>
                    </a:prstGeom>
                  </pic:spPr>
                </pic:pic>
              </a:graphicData>
            </a:graphic>
          </wp:inline>
        </w:drawing>
      </w:r>
      <w:r>
        <w:rPr>
          <w:rFonts w:hint="eastAsia" w:eastAsiaTheme="minorEastAsia"/>
          <w:lang w:eastAsia="zh-CN"/>
        </w:rPr>
        <w:drawing>
          <wp:inline distT="0" distB="0" distL="114300" distR="114300">
            <wp:extent cx="5266690" cy="7022465"/>
            <wp:effectExtent l="0" t="0" r="10160" b="6985"/>
            <wp:docPr id="54" name="图片 54" descr="IMG_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706"/>
                    <pic:cNvPicPr>
                      <a:picLocks noChangeAspect="1"/>
                    </pic:cNvPicPr>
                  </pic:nvPicPr>
                  <pic:blipFill>
                    <a:blip r:embed="rId34"/>
                    <a:stretch>
                      <a:fillRect/>
                    </a:stretch>
                  </pic:blipFill>
                  <pic:spPr>
                    <a:xfrm>
                      <a:off x="0" y="0"/>
                      <a:ext cx="5266690" cy="7022465"/>
                    </a:xfrm>
                    <a:prstGeom prst="rect">
                      <a:avLst/>
                    </a:prstGeom>
                  </pic:spPr>
                </pic:pic>
              </a:graphicData>
            </a:graphic>
          </wp:inline>
        </w:drawing>
      </w:r>
    </w:p>
    <w:p>
      <w:pPr>
        <w:ind w:firstLine="361" w:firstLineChars="100"/>
        <w:rPr>
          <w:rFonts w:hint="eastAsia" w:eastAsia="黑体"/>
          <w:b/>
          <w:sz w:val="36"/>
          <w:szCs w:val="36"/>
          <w:lang w:eastAsia="zh-CN"/>
        </w:rPr>
      </w:pPr>
    </w:p>
    <w:p>
      <w:pPr>
        <w:jc w:val="both"/>
        <w:rPr>
          <w:rFonts w:hint="eastAsia" w:eastAsia="黑体"/>
          <w:b/>
          <w:sz w:val="36"/>
          <w:szCs w:val="36"/>
          <w:lang w:eastAsia="zh-CN"/>
        </w:rPr>
      </w:pPr>
    </w:p>
    <w:p>
      <w:pPr>
        <w:jc w:val="both"/>
        <w:rPr>
          <w:rFonts w:hint="eastAsia" w:eastAsia="黑体"/>
          <w:b/>
          <w:sz w:val="36"/>
          <w:szCs w:val="36"/>
          <w:lang w:eastAsia="zh-CN"/>
        </w:rPr>
      </w:pPr>
    </w:p>
    <w:p>
      <w:pPr>
        <w:jc w:val="both"/>
        <w:rPr>
          <w:rFonts w:hint="eastAsia" w:eastAsia="黑体"/>
          <w:b/>
          <w:sz w:val="36"/>
          <w:szCs w:val="36"/>
          <w:lang w:eastAsia="zh-CN"/>
        </w:rPr>
      </w:pPr>
      <w:bookmarkStart w:id="66" w:name="_GoBack"/>
      <w:bookmarkEnd w:id="66"/>
      <w:r>
        <w:rPr>
          <w:rFonts w:hint="eastAsia" w:eastAsia="黑体"/>
          <w:b/>
          <w:sz w:val="36"/>
          <w:szCs w:val="36"/>
          <w:lang w:eastAsia="zh-CN"/>
        </w:rPr>
        <w:drawing>
          <wp:inline distT="0" distB="0" distL="114300" distR="114300">
            <wp:extent cx="5273040" cy="7593330"/>
            <wp:effectExtent l="0" t="0" r="3810" b="7620"/>
            <wp:docPr id="55" name="图片 55" descr="IMG_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868"/>
                    <pic:cNvPicPr>
                      <a:picLocks noChangeAspect="1"/>
                    </pic:cNvPicPr>
                  </pic:nvPicPr>
                  <pic:blipFill>
                    <a:blip r:embed="rId35"/>
                    <a:stretch>
                      <a:fillRect/>
                    </a:stretch>
                  </pic:blipFill>
                  <pic:spPr>
                    <a:xfrm>
                      <a:off x="0" y="0"/>
                      <a:ext cx="5273040" cy="7593330"/>
                    </a:xfrm>
                    <a:prstGeom prst="rect">
                      <a:avLst/>
                    </a:prstGeom>
                  </pic:spPr>
                </pic:pic>
              </a:graphicData>
            </a:graphic>
          </wp:inline>
        </w:drawing>
      </w:r>
    </w:p>
    <w:p>
      <w:pPr>
        <w:jc w:val="center"/>
        <w:rPr>
          <w:rFonts w:eastAsia="黑体"/>
          <w:b/>
          <w:sz w:val="36"/>
          <w:szCs w:val="36"/>
        </w:rPr>
      </w:pPr>
    </w:p>
    <w:p>
      <w:pPr>
        <w:jc w:val="center"/>
        <w:rPr>
          <w:rFonts w:eastAsia="黑体"/>
          <w:b/>
          <w:sz w:val="36"/>
          <w:szCs w:val="36"/>
        </w:rPr>
      </w:pPr>
    </w:p>
    <w:p>
      <w:pPr>
        <w:jc w:val="center"/>
        <w:rPr>
          <w:rFonts w:eastAsia="黑体"/>
          <w:b/>
          <w:sz w:val="36"/>
          <w:szCs w:val="36"/>
        </w:rPr>
      </w:pPr>
      <w:r>
        <w:rPr>
          <w:rFonts w:eastAsia="黑体"/>
          <w:b/>
          <w:sz w:val="36"/>
          <w:szCs w:val="36"/>
        </w:rPr>
        <w:t>估价专业帮助和相关专业意见说明</w:t>
      </w:r>
    </w:p>
    <w:p>
      <w:pPr>
        <w:spacing w:line="480" w:lineRule="exact"/>
        <w:ind w:firstLine="360" w:firstLineChars="150"/>
        <w:rPr>
          <w:rFonts w:eastAsia="仿宋"/>
          <w:snapToGrid w:val="0"/>
          <w:kern w:val="0"/>
          <w:szCs w:val="24"/>
        </w:rPr>
      </w:pPr>
    </w:p>
    <w:p>
      <w:pPr>
        <w:spacing w:line="480" w:lineRule="exact"/>
        <w:ind w:firstLine="560" w:firstLineChars="200"/>
        <w:rPr>
          <w:rFonts w:eastAsia="仿宋"/>
          <w:snapToGrid w:val="0"/>
          <w:kern w:val="0"/>
          <w:sz w:val="28"/>
          <w:szCs w:val="28"/>
        </w:rPr>
      </w:pPr>
      <w:r>
        <w:rPr>
          <w:rFonts w:eastAsia="仿宋"/>
          <w:snapToGrid w:val="0"/>
          <w:kern w:val="0"/>
          <w:sz w:val="28"/>
          <w:szCs w:val="28"/>
        </w:rPr>
        <w:t>受委托，</w:t>
      </w:r>
      <w:r>
        <w:rPr>
          <w:sz w:val="28"/>
          <w:szCs w:val="28"/>
        </w:rPr>
        <w:t>估价委托人</w:t>
      </w:r>
      <w:r>
        <w:rPr>
          <w:rFonts w:hint="eastAsia"/>
          <w:sz w:val="28"/>
          <w:szCs w:val="22"/>
        </w:rPr>
        <w:t>因司法拍卖（变卖）需要</w:t>
      </w:r>
      <w:r>
        <w:rPr>
          <w:sz w:val="28"/>
          <w:szCs w:val="28"/>
        </w:rPr>
        <w:t>，委托我司对该项经济行为所涉及的位于</w:t>
      </w:r>
      <w:r>
        <w:rPr>
          <w:rFonts w:hint="eastAsia"/>
          <w:sz w:val="28"/>
          <w:szCs w:val="28"/>
          <w:lang w:eastAsia="zh-CN"/>
        </w:rPr>
        <w:t>攀枝花市西区春兰巷7号3幢1单元16-3号</w:t>
      </w:r>
      <w:r>
        <w:rPr>
          <w:sz w:val="28"/>
          <w:szCs w:val="28"/>
        </w:rPr>
        <w:t>住宅房地产市场价值进行估价</w:t>
      </w:r>
      <w:r>
        <w:rPr>
          <w:rFonts w:eastAsia="仿宋"/>
          <w:snapToGrid w:val="0"/>
          <w:kern w:val="0"/>
          <w:sz w:val="28"/>
          <w:szCs w:val="28"/>
        </w:rPr>
        <w:t>，在估价中，有关估价的专业帮助和相关专业意见说明如下：</w:t>
      </w:r>
    </w:p>
    <w:p>
      <w:pPr>
        <w:spacing w:line="480" w:lineRule="exact"/>
        <w:ind w:firstLine="560" w:firstLineChars="200"/>
        <w:rPr>
          <w:rFonts w:eastAsia="仿宋"/>
          <w:snapToGrid w:val="0"/>
          <w:kern w:val="0"/>
          <w:sz w:val="28"/>
          <w:szCs w:val="28"/>
        </w:rPr>
      </w:pPr>
      <w:r>
        <w:rPr>
          <w:rFonts w:eastAsia="仿宋"/>
          <w:snapToGrid w:val="0"/>
          <w:kern w:val="0"/>
          <w:sz w:val="28"/>
          <w:szCs w:val="28"/>
        </w:rPr>
        <w:t>1、估价人员对估价对象实地查勘仅限于估价对象的外观和使用状况，鉴于技术手段和专业限制，估价人员未对估价对象的建筑质量、被遮盖未暴露及难以接触的部分、水、电或者其他设施设备等进行测试，未对估价对象房屋安全、环境污染、建筑面积、财务状况等情况进行检测测量与审计，在无理由怀疑估价对象存在安全隐患及内部质量缺陷情况下，假定估价对象能正常利用，且与估价对象权属证明资料、估价委托人提供的资料和陈述情况基本一致。若对该部分内容存在疑问，建议估价委托人聘请具有相应资质资格的专业机构或专家对房屋安全、质量缺陷、环境污染、建筑面积先行鉴定或检测测量，对财务状况先行审计。</w:t>
      </w:r>
    </w:p>
    <w:p>
      <w:pPr>
        <w:spacing w:line="480" w:lineRule="exact"/>
        <w:ind w:firstLine="560" w:firstLineChars="200"/>
        <w:rPr>
          <w:rFonts w:eastAsia="仿宋"/>
          <w:snapToGrid w:val="0"/>
          <w:kern w:val="0"/>
          <w:sz w:val="28"/>
          <w:szCs w:val="28"/>
        </w:rPr>
      </w:pPr>
      <w:r>
        <w:rPr>
          <w:rFonts w:eastAsia="仿宋"/>
          <w:snapToGrid w:val="0"/>
          <w:kern w:val="0"/>
          <w:sz w:val="28"/>
          <w:szCs w:val="28"/>
        </w:rPr>
        <w:t>2、估价人员具有司法鉴定估价方面的基本专业技术能力，本次估价不存难以解决的复杂、疑难、特殊的估价技术等问题，故未寻求相关估价专家或单位提供专业帮助。</w:t>
      </w:r>
    </w:p>
    <w:p>
      <w:pPr>
        <w:spacing w:line="480" w:lineRule="exact"/>
        <w:ind w:firstLine="560" w:firstLineChars="200"/>
        <w:rPr>
          <w:rFonts w:eastAsia="仿宋"/>
          <w:snapToGrid w:val="0"/>
          <w:kern w:val="0"/>
          <w:sz w:val="28"/>
          <w:szCs w:val="28"/>
        </w:rPr>
      </w:pPr>
      <w:r>
        <w:rPr>
          <w:rFonts w:eastAsia="仿宋"/>
          <w:snapToGrid w:val="0"/>
          <w:kern w:val="0"/>
          <w:sz w:val="28"/>
          <w:szCs w:val="28"/>
        </w:rPr>
        <w:t>综上述，本次估价没有专业帮助和未依据相关专业意见。</w:t>
      </w:r>
    </w:p>
    <w:p>
      <w:pPr>
        <w:spacing w:line="480" w:lineRule="exact"/>
        <w:ind w:firstLine="560" w:firstLineChars="200"/>
        <w:rPr>
          <w:rFonts w:eastAsia="仿宋"/>
          <w:snapToGrid w:val="0"/>
          <w:kern w:val="0"/>
          <w:sz w:val="28"/>
          <w:szCs w:val="28"/>
        </w:rPr>
      </w:pPr>
    </w:p>
    <w:p>
      <w:pPr>
        <w:spacing w:line="480" w:lineRule="exact"/>
        <w:ind w:firstLine="560" w:firstLineChars="200"/>
        <w:rPr>
          <w:rFonts w:eastAsia="仿宋"/>
          <w:snapToGrid w:val="0"/>
          <w:kern w:val="0"/>
          <w:sz w:val="28"/>
          <w:szCs w:val="28"/>
        </w:rPr>
      </w:pPr>
      <w:r>
        <w:rPr>
          <w:rFonts w:eastAsia="仿宋"/>
          <w:snapToGrid w:val="0"/>
          <w:kern w:val="0"/>
          <w:sz w:val="28"/>
          <w:szCs w:val="28"/>
        </w:rPr>
        <w:t xml:space="preserve">                       博文房地产评估造价集团有限公司</w:t>
      </w:r>
    </w:p>
    <w:p>
      <w:pPr>
        <w:spacing w:line="480" w:lineRule="exact"/>
        <w:ind w:firstLine="560" w:firstLineChars="200"/>
        <w:rPr>
          <w:rFonts w:eastAsia="仿宋"/>
          <w:snapToGrid w:val="0"/>
          <w:kern w:val="0"/>
          <w:sz w:val="28"/>
          <w:szCs w:val="28"/>
        </w:rPr>
      </w:pPr>
    </w:p>
    <w:p>
      <w:pPr>
        <w:spacing w:line="480" w:lineRule="exact"/>
        <w:ind w:firstLine="4760" w:firstLineChars="1700"/>
        <w:rPr>
          <w:rFonts w:hint="eastAsia" w:eastAsia="仿宋"/>
          <w:snapToGrid w:val="0"/>
          <w:kern w:val="0"/>
          <w:sz w:val="28"/>
          <w:szCs w:val="28"/>
          <w:lang w:eastAsia="zh-CN"/>
        </w:rPr>
      </w:pPr>
      <w:r>
        <w:rPr>
          <w:rFonts w:hint="eastAsia" w:eastAsia="仿宋"/>
          <w:snapToGrid w:val="0"/>
          <w:kern w:val="0"/>
          <w:sz w:val="28"/>
          <w:szCs w:val="28"/>
          <w:lang w:eastAsia="zh-CN"/>
        </w:rPr>
        <w:t>2018年12月</w:t>
      </w:r>
      <w:r>
        <w:rPr>
          <w:rFonts w:hint="eastAsia" w:eastAsia="仿宋"/>
          <w:snapToGrid w:val="0"/>
          <w:kern w:val="0"/>
          <w:sz w:val="28"/>
          <w:szCs w:val="28"/>
          <w:lang w:val="en-US" w:eastAsia="zh-CN"/>
        </w:rPr>
        <w:t>24</w:t>
      </w:r>
      <w:r>
        <w:rPr>
          <w:rFonts w:hint="eastAsia" w:eastAsia="仿宋"/>
          <w:snapToGrid w:val="0"/>
          <w:kern w:val="0"/>
          <w:sz w:val="28"/>
          <w:szCs w:val="28"/>
          <w:lang w:eastAsia="zh-CN"/>
        </w:rPr>
        <w:t>日</w:t>
      </w:r>
    </w:p>
    <w:p/>
    <w:p>
      <w:pPr>
        <w:tabs>
          <w:tab w:val="left" w:pos="4665"/>
        </w:tabs>
        <w:rPr>
          <w:sz w:val="32"/>
          <w:szCs w:val="32"/>
        </w:rPr>
        <w:sectPr>
          <w:headerReference r:id="rId12" w:type="default"/>
          <w:footerReference r:id="rId13"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jc w:val="both"/>
      </w:pPr>
    </w:p>
    <w:p>
      <w:pPr>
        <w:jc w:val="center"/>
      </w:pPr>
    </w:p>
    <w:p>
      <w:pPr>
        <w:jc w:val="center"/>
      </w:pPr>
    </w:p>
    <w:p>
      <w:pPr>
        <w:jc w:val="center"/>
      </w:pPr>
    </w:p>
    <w:p>
      <w:pPr>
        <w:tabs>
          <w:tab w:val="left" w:pos="2400"/>
        </w:tabs>
        <w:jc w:val="both"/>
      </w:pPr>
      <w:r>
        <w:rPr>
          <w:rFonts w:hint="eastAsia"/>
        </w:rPr>
        <w:drawing>
          <wp:inline distT="0" distB="0" distL="114300" distR="114300">
            <wp:extent cx="5269230" cy="7461250"/>
            <wp:effectExtent l="0" t="0" r="7620" b="6350"/>
            <wp:docPr id="17" name="图片 17"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88"/>
                    <pic:cNvPicPr>
                      <a:picLocks noChangeAspect="1"/>
                    </pic:cNvPicPr>
                  </pic:nvPicPr>
                  <pic:blipFill>
                    <a:blip r:embed="rId36"/>
                    <a:stretch>
                      <a:fillRect/>
                    </a:stretch>
                  </pic:blipFill>
                  <pic:spPr>
                    <a:xfrm>
                      <a:off x="0" y="0"/>
                      <a:ext cx="5269230" cy="7461250"/>
                    </a:xfrm>
                    <a:prstGeom prst="rect">
                      <a:avLst/>
                    </a:prstGeom>
                  </pic:spPr>
                </pic:pic>
              </a:graphicData>
            </a:graphic>
          </wp:inline>
        </w:drawing>
      </w:r>
    </w:p>
    <w:p>
      <w:pPr>
        <w:jc w:val="center"/>
      </w:pPr>
    </w:p>
    <w:p>
      <w:pPr>
        <w:jc w:val="center"/>
      </w:pPr>
    </w:p>
    <w:p>
      <w:r>
        <w:rPr>
          <w:rFonts w:hint="eastAsia"/>
        </w:rPr>
        <w:drawing>
          <wp:inline distT="0" distB="0" distL="114300" distR="114300">
            <wp:extent cx="8251190" cy="5735320"/>
            <wp:effectExtent l="0" t="0" r="17780" b="16510"/>
            <wp:docPr id="28" name="图片 28" descr="7576101B92A8D0B49E6F0EFC1A67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576101B92A8D0B49E6F0EFC1A670737"/>
                    <pic:cNvPicPr>
                      <a:picLocks noChangeAspect="1"/>
                    </pic:cNvPicPr>
                  </pic:nvPicPr>
                  <pic:blipFill>
                    <a:blip r:embed="rId37"/>
                    <a:stretch>
                      <a:fillRect/>
                    </a:stretch>
                  </pic:blipFill>
                  <pic:spPr>
                    <a:xfrm rot="16200000">
                      <a:off x="0" y="0"/>
                      <a:ext cx="8251190" cy="5735320"/>
                    </a:xfrm>
                    <a:prstGeom prst="rect">
                      <a:avLst/>
                    </a:prstGeom>
                  </pic:spPr>
                </pic:pic>
              </a:graphicData>
            </a:graphic>
          </wp:inline>
        </w:drawing>
      </w:r>
    </w:p>
    <w:p>
      <w:pPr>
        <w:rPr>
          <w:sz w:val="32"/>
          <w:szCs w:val="32"/>
        </w:rPr>
      </w:pPr>
      <w:r>
        <w:rPr>
          <w:sz w:val="32"/>
          <w:szCs w:val="32"/>
        </w:rPr>
        <w:drawing>
          <wp:inline distT="0" distB="0" distL="114300" distR="114300">
            <wp:extent cx="5219700" cy="3695700"/>
            <wp:effectExtent l="0" t="0" r="0" b="0"/>
            <wp:docPr id="38" name="图片 35" descr="何曼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何曼注册证"/>
                    <pic:cNvPicPr>
                      <a:picLocks noChangeAspect="1"/>
                    </pic:cNvPicPr>
                  </pic:nvPicPr>
                  <pic:blipFill>
                    <a:blip r:embed="rId38"/>
                    <a:stretch>
                      <a:fillRect/>
                    </a:stretch>
                  </pic:blipFill>
                  <pic:spPr>
                    <a:xfrm>
                      <a:off x="0" y="0"/>
                      <a:ext cx="5219700" cy="3695700"/>
                    </a:xfrm>
                    <a:prstGeom prst="rect">
                      <a:avLst/>
                    </a:prstGeom>
                    <a:noFill/>
                    <a:ln w="9525">
                      <a:noFill/>
                    </a:ln>
                  </pic:spPr>
                </pic:pic>
              </a:graphicData>
            </a:graphic>
          </wp:inline>
        </w:drawing>
      </w:r>
    </w:p>
    <w:p/>
    <w:p>
      <w:r>
        <w:drawing>
          <wp:inline distT="0" distB="0" distL="114300" distR="114300">
            <wp:extent cx="5238750" cy="3676650"/>
            <wp:effectExtent l="0" t="0" r="0" b="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39"/>
                    <a:stretch>
                      <a:fillRect/>
                    </a:stretch>
                  </pic:blipFill>
                  <pic:spPr>
                    <a:xfrm>
                      <a:off x="0" y="0"/>
                      <a:ext cx="5238750" cy="3676650"/>
                    </a:xfrm>
                    <a:prstGeom prst="rect">
                      <a:avLst/>
                    </a:prstGeom>
                    <a:noFill/>
                    <a:ln w="9525">
                      <a:noFill/>
                    </a:ln>
                  </pic:spPr>
                </pic:pic>
              </a:graphicData>
            </a:graphic>
          </wp:inline>
        </w:drawing>
      </w:r>
    </w:p>
    <w:p/>
    <w:p>
      <w:pPr>
        <w:rPr>
          <w:rStyle w:val="45"/>
          <w:rFonts w:hint="eastAsia" w:eastAsia="仿宋_GB2312"/>
          <w:lang w:eastAsia="zh-CN"/>
        </w:rPr>
      </w:pPr>
    </w:p>
    <w:p>
      <w:pPr>
        <w:rPr>
          <w:rStyle w:val="45"/>
          <w:rFonts w:hint="eastAsia" w:eastAsia="仿宋_GB2312"/>
          <w:lang w:eastAsia="zh-CN"/>
        </w:rPr>
      </w:pPr>
    </w:p>
    <w:p>
      <w:pPr>
        <w:rPr>
          <w:rFonts w:hint="eastAsia" w:eastAsia="仿宋_GB2312"/>
          <w:lang w:eastAsia="zh-CN"/>
        </w:rPr>
      </w:pPr>
    </w:p>
    <w:p/>
    <w:p>
      <w:pPr>
        <w:rPr>
          <w:rFonts w:hint="eastAsia" w:eastAsia="仿宋_GB2312"/>
          <w:lang w:eastAsia="zh-CN"/>
        </w:rPr>
      </w:pPr>
    </w:p>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Arail">
    <w:altName w:val="Segoe Print"/>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2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sz w:val="21"/>
      </w:rPr>
    </w:pPr>
    <w:r>
      <w:rPr>
        <w:sz w:val="21"/>
        <w:szCs w:val="21"/>
      </w:rPr>
      <w:drawing>
        <wp:inline distT="0" distB="0" distL="114300" distR="114300">
          <wp:extent cx="381000" cy="36195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
                  <a:stretch>
                    <a:fillRect/>
                  </a:stretch>
                </pic:blipFill>
                <pic:spPr>
                  <a:xfrm>
                    <a:off x="0" y="0"/>
                    <a:ext cx="381000" cy="361950"/>
                  </a:xfrm>
                  <a:prstGeom prst="rect">
                    <a:avLst/>
                  </a:prstGeom>
                  <a:noFill/>
                  <a:ln w="9525">
                    <a:noFill/>
                  </a:ln>
                </pic:spPr>
              </pic:pic>
            </a:graphicData>
          </a:graphic>
        </wp:inline>
      </w:drawing>
    </w:r>
    <w:r>
      <w:rPr>
        <w:rFonts w:hint="eastAsia"/>
        <w:szCs w:val="18"/>
      </w:rPr>
      <w:t>博文房地产评估造价集团有限公司房地产估价报告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sz w:val="21"/>
      </w:rPr>
    </w:pPr>
    <w:r>
      <w:rPr>
        <w:sz w:val="21"/>
        <w:szCs w:val="21"/>
      </w:rPr>
      <w:drawing>
        <wp:inline distT="0" distB="0" distL="114300" distR="114300">
          <wp:extent cx="381000" cy="36195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
                  <a:stretch>
                    <a:fillRect/>
                  </a:stretch>
                </pic:blipFill>
                <pic:spPr>
                  <a:xfrm>
                    <a:off x="0" y="0"/>
                    <a:ext cx="381000" cy="361950"/>
                  </a:xfrm>
                  <a:prstGeom prst="rect">
                    <a:avLst/>
                  </a:prstGeom>
                  <a:noFill/>
                  <a:ln w="9525">
                    <a:noFill/>
                  </a:ln>
                </pic:spPr>
              </pic:pic>
            </a:graphicData>
          </a:graphic>
        </wp:inline>
      </w:drawing>
    </w:r>
    <w:r>
      <w:rPr>
        <w:rFonts w:hint="eastAsia"/>
        <w:szCs w:val="18"/>
      </w:rPr>
      <w:t>博文房地产评估造价集团有限公司房地产估价报告</w:t>
    </w:r>
    <w:r>
      <w:rPr>
        <w:rFonts w:eastAsia="楷体_GB2312"/>
        <w:szCs w:val="18"/>
      </w:rPr>
      <w:t xml:space="preserve">                     028-87777616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pPr>
    <w:r>
      <w:rPr>
        <w:sz w:val="21"/>
        <w:szCs w:val="21"/>
      </w:rPr>
      <w:drawing>
        <wp:inline distT="0" distB="0" distL="114300" distR="114300">
          <wp:extent cx="381000" cy="361950"/>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
                  <a:stretch>
                    <a:fillRect/>
                  </a:stretch>
                </pic:blipFill>
                <pic:spPr>
                  <a:xfrm>
                    <a:off x="0" y="0"/>
                    <a:ext cx="381000" cy="361950"/>
                  </a:xfrm>
                  <a:prstGeom prst="rect">
                    <a:avLst/>
                  </a:prstGeom>
                  <a:noFill/>
                  <a:ln w="9525">
                    <a:noFill/>
                  </a:ln>
                </pic:spPr>
              </pic:pic>
            </a:graphicData>
          </a:graphic>
        </wp:inline>
      </w:drawing>
    </w:r>
    <w:r>
      <w:rPr>
        <w:rFonts w:hint="eastAsia"/>
        <w:szCs w:val="18"/>
      </w:rPr>
      <w:t>博文房地产评估造价集团有限公司房地产估价报告</w:t>
    </w:r>
    <w:r>
      <w:rPr>
        <w:rFonts w:eastAsia="楷体_GB2312"/>
        <w:szCs w:val="18"/>
      </w:rPr>
      <w:t xml:space="preserve">                     028-87777616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sz w:val="21"/>
      </w:rPr>
    </w:pPr>
    <w:r>
      <w:rPr>
        <w:sz w:val="21"/>
        <w:szCs w:val="21"/>
      </w:rPr>
      <w:drawing>
        <wp:inline distT="0" distB="0" distL="114300" distR="114300">
          <wp:extent cx="381000" cy="361950"/>
          <wp:effectExtent l="0" t="0" r="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1"/>
                  <a:stretch>
                    <a:fillRect/>
                  </a:stretch>
                </pic:blipFill>
                <pic:spPr>
                  <a:xfrm>
                    <a:off x="0" y="0"/>
                    <a:ext cx="381000" cy="361950"/>
                  </a:xfrm>
                  <a:prstGeom prst="rect">
                    <a:avLst/>
                  </a:prstGeom>
                  <a:noFill/>
                  <a:ln w="9525">
                    <a:noFill/>
                  </a:ln>
                </pic:spPr>
              </pic:pic>
            </a:graphicData>
          </a:graphic>
        </wp:inline>
      </w:drawing>
    </w:r>
    <w:r>
      <w:rPr>
        <w:rFonts w:hint="eastAsia"/>
        <w:szCs w:val="18"/>
      </w:rPr>
      <w:t>博文房地产评估造价集团有限公司房地产估价报告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54385"/>
    <w:multiLevelType w:val="singleLevel"/>
    <w:tmpl w:val="56654385"/>
    <w:lvl w:ilvl="0" w:tentative="0">
      <w:start w:val="3"/>
      <w:numFmt w:val="chineseCounting"/>
      <w:suff w:val="nothing"/>
      <w:lvlText w:val="%1、"/>
      <w:lvlJc w:val="left"/>
      <w:rPr>
        <w:rFonts w:cs="Times New Roman"/>
      </w:rPr>
    </w:lvl>
  </w:abstractNum>
  <w:abstractNum w:abstractNumId="1">
    <w:nsid w:val="57427D1D"/>
    <w:multiLevelType w:val="multilevel"/>
    <w:tmpl w:val="57427D1D"/>
    <w:lvl w:ilvl="0" w:tentative="0">
      <w:start w:val="1"/>
      <w:numFmt w:val="chineseCounting"/>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427D28"/>
    <w:multiLevelType w:val="multilevel"/>
    <w:tmpl w:val="57427D28"/>
    <w:lvl w:ilvl="0" w:tentative="0">
      <w:start w:val="6"/>
      <w:numFmt w:val="chineseCounting"/>
      <w:suff w:val="nothing"/>
      <w:lvlText w:val="%1、"/>
      <w:lvlJc w:val="left"/>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3">
    <w:nsid w:val="5A2FDC90"/>
    <w:multiLevelType w:val="singleLevel"/>
    <w:tmpl w:val="5A2FDC90"/>
    <w:lvl w:ilvl="0" w:tentative="0">
      <w:start w:val="1"/>
      <w:numFmt w:val="decimal"/>
      <w:suff w:val="nothing"/>
      <w:lvlText w:val="%1、"/>
      <w:lvlJc w:val="left"/>
      <w:rPr>
        <w:rFonts w:cs="Times New Roman"/>
      </w:rPr>
    </w:lvl>
  </w:abstractNum>
  <w:num w:numId="1">
    <w:abstractNumId w:val="1"/>
    <w:lvlOverride w:ilvl="0">
      <w:startOverride w:val="1"/>
    </w:lvlOverride>
  </w:num>
  <w:num w:numId="2">
    <w:abstractNumId w:val="2"/>
    <w:lvlOverride w:ilvl="0">
      <w:startOverride w:val="6"/>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NotTrackMoves/>
  <w:documentProtection w:enforcement="0"/>
  <w:defaultTabStop w:val="425"/>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B7F"/>
    <w:rsid w:val="00024236"/>
    <w:rsid w:val="000356FB"/>
    <w:rsid w:val="00037392"/>
    <w:rsid w:val="00050D2B"/>
    <w:rsid w:val="00055401"/>
    <w:rsid w:val="000726DC"/>
    <w:rsid w:val="00073A42"/>
    <w:rsid w:val="000815C7"/>
    <w:rsid w:val="000A16CC"/>
    <w:rsid w:val="000B562B"/>
    <w:rsid w:val="000C1E5D"/>
    <w:rsid w:val="000C7936"/>
    <w:rsid w:val="00105E6C"/>
    <w:rsid w:val="001228D5"/>
    <w:rsid w:val="00131A38"/>
    <w:rsid w:val="00135B2B"/>
    <w:rsid w:val="00141A86"/>
    <w:rsid w:val="00185C94"/>
    <w:rsid w:val="00186595"/>
    <w:rsid w:val="001A33D0"/>
    <w:rsid w:val="001A676D"/>
    <w:rsid w:val="001B1CBF"/>
    <w:rsid w:val="001C0C8C"/>
    <w:rsid w:val="001C102E"/>
    <w:rsid w:val="001C4A8D"/>
    <w:rsid w:val="001D2A19"/>
    <w:rsid w:val="001D2BF4"/>
    <w:rsid w:val="001D3FBF"/>
    <w:rsid w:val="0020438F"/>
    <w:rsid w:val="00224BCC"/>
    <w:rsid w:val="00227313"/>
    <w:rsid w:val="00247BDE"/>
    <w:rsid w:val="0025287C"/>
    <w:rsid w:val="0026780B"/>
    <w:rsid w:val="0028628D"/>
    <w:rsid w:val="00290131"/>
    <w:rsid w:val="002A20C5"/>
    <w:rsid w:val="002A5921"/>
    <w:rsid w:val="002A7BEA"/>
    <w:rsid w:val="002B57EF"/>
    <w:rsid w:val="002D1BC4"/>
    <w:rsid w:val="002D419E"/>
    <w:rsid w:val="002D684C"/>
    <w:rsid w:val="002D6BED"/>
    <w:rsid w:val="002E0B34"/>
    <w:rsid w:val="002F09DD"/>
    <w:rsid w:val="0030283E"/>
    <w:rsid w:val="00303183"/>
    <w:rsid w:val="00303924"/>
    <w:rsid w:val="0034237B"/>
    <w:rsid w:val="00367ACF"/>
    <w:rsid w:val="0039491D"/>
    <w:rsid w:val="003A4EE5"/>
    <w:rsid w:val="003A5995"/>
    <w:rsid w:val="003C33E1"/>
    <w:rsid w:val="003C4B7C"/>
    <w:rsid w:val="003D6FA5"/>
    <w:rsid w:val="003F38DC"/>
    <w:rsid w:val="003F5A0C"/>
    <w:rsid w:val="004145D7"/>
    <w:rsid w:val="0041492B"/>
    <w:rsid w:val="00426BB4"/>
    <w:rsid w:val="00430E6C"/>
    <w:rsid w:val="004415DC"/>
    <w:rsid w:val="0045219A"/>
    <w:rsid w:val="0045227B"/>
    <w:rsid w:val="00467D22"/>
    <w:rsid w:val="00474ED2"/>
    <w:rsid w:val="004A0A02"/>
    <w:rsid w:val="004C5612"/>
    <w:rsid w:val="004E65C2"/>
    <w:rsid w:val="00504C70"/>
    <w:rsid w:val="0050652E"/>
    <w:rsid w:val="005111BC"/>
    <w:rsid w:val="00517882"/>
    <w:rsid w:val="005416BA"/>
    <w:rsid w:val="005533C4"/>
    <w:rsid w:val="00566DE6"/>
    <w:rsid w:val="00573D62"/>
    <w:rsid w:val="00582441"/>
    <w:rsid w:val="00583CB6"/>
    <w:rsid w:val="00591A6B"/>
    <w:rsid w:val="00593B8A"/>
    <w:rsid w:val="00594D8F"/>
    <w:rsid w:val="005B3FA2"/>
    <w:rsid w:val="005E455B"/>
    <w:rsid w:val="005E4D2E"/>
    <w:rsid w:val="005F685F"/>
    <w:rsid w:val="006230B6"/>
    <w:rsid w:val="006457C9"/>
    <w:rsid w:val="00646D06"/>
    <w:rsid w:val="00657F30"/>
    <w:rsid w:val="006758DA"/>
    <w:rsid w:val="0068634D"/>
    <w:rsid w:val="00692ED1"/>
    <w:rsid w:val="006A106E"/>
    <w:rsid w:val="006E01E4"/>
    <w:rsid w:val="006F2948"/>
    <w:rsid w:val="006F51FC"/>
    <w:rsid w:val="006F7154"/>
    <w:rsid w:val="00703B01"/>
    <w:rsid w:val="00710AA0"/>
    <w:rsid w:val="007140F4"/>
    <w:rsid w:val="00724A7E"/>
    <w:rsid w:val="0073066C"/>
    <w:rsid w:val="00731341"/>
    <w:rsid w:val="00740066"/>
    <w:rsid w:val="00743F5A"/>
    <w:rsid w:val="00771F9E"/>
    <w:rsid w:val="007B293B"/>
    <w:rsid w:val="007C2131"/>
    <w:rsid w:val="007C7F49"/>
    <w:rsid w:val="007E0C83"/>
    <w:rsid w:val="007E3286"/>
    <w:rsid w:val="007F0E92"/>
    <w:rsid w:val="007F1292"/>
    <w:rsid w:val="007F451D"/>
    <w:rsid w:val="00803CC9"/>
    <w:rsid w:val="008420FB"/>
    <w:rsid w:val="00842267"/>
    <w:rsid w:val="0084340C"/>
    <w:rsid w:val="00845758"/>
    <w:rsid w:val="0085543F"/>
    <w:rsid w:val="008641D6"/>
    <w:rsid w:val="00865550"/>
    <w:rsid w:val="00867D63"/>
    <w:rsid w:val="008A01ED"/>
    <w:rsid w:val="008B6262"/>
    <w:rsid w:val="008D0161"/>
    <w:rsid w:val="008D405C"/>
    <w:rsid w:val="008F05BD"/>
    <w:rsid w:val="008F72A4"/>
    <w:rsid w:val="00904B7F"/>
    <w:rsid w:val="00912897"/>
    <w:rsid w:val="00936EA9"/>
    <w:rsid w:val="00937772"/>
    <w:rsid w:val="00980380"/>
    <w:rsid w:val="00990A0E"/>
    <w:rsid w:val="00992BA7"/>
    <w:rsid w:val="009A586A"/>
    <w:rsid w:val="009B4945"/>
    <w:rsid w:val="009D723E"/>
    <w:rsid w:val="009E1B83"/>
    <w:rsid w:val="009E2A97"/>
    <w:rsid w:val="009E530E"/>
    <w:rsid w:val="00A105EC"/>
    <w:rsid w:val="00A230C2"/>
    <w:rsid w:val="00A35E8A"/>
    <w:rsid w:val="00A52777"/>
    <w:rsid w:val="00A54414"/>
    <w:rsid w:val="00A5649C"/>
    <w:rsid w:val="00A6198A"/>
    <w:rsid w:val="00A63E9D"/>
    <w:rsid w:val="00AB2C79"/>
    <w:rsid w:val="00AC00BE"/>
    <w:rsid w:val="00AC0A46"/>
    <w:rsid w:val="00AC3795"/>
    <w:rsid w:val="00AD45D0"/>
    <w:rsid w:val="00B178F9"/>
    <w:rsid w:val="00B31A0C"/>
    <w:rsid w:val="00B36848"/>
    <w:rsid w:val="00B41124"/>
    <w:rsid w:val="00B63296"/>
    <w:rsid w:val="00B770BF"/>
    <w:rsid w:val="00B879B2"/>
    <w:rsid w:val="00BB21AD"/>
    <w:rsid w:val="00BB6F94"/>
    <w:rsid w:val="00BC6A5E"/>
    <w:rsid w:val="00BD1ED8"/>
    <w:rsid w:val="00BD646A"/>
    <w:rsid w:val="00BF0FA4"/>
    <w:rsid w:val="00BF1ED2"/>
    <w:rsid w:val="00C058BC"/>
    <w:rsid w:val="00C176CF"/>
    <w:rsid w:val="00C22362"/>
    <w:rsid w:val="00C35C2A"/>
    <w:rsid w:val="00C3727A"/>
    <w:rsid w:val="00C376FE"/>
    <w:rsid w:val="00C4491C"/>
    <w:rsid w:val="00C63668"/>
    <w:rsid w:val="00C63D5F"/>
    <w:rsid w:val="00C64773"/>
    <w:rsid w:val="00C827D0"/>
    <w:rsid w:val="00C84799"/>
    <w:rsid w:val="00C95CD0"/>
    <w:rsid w:val="00CA0A31"/>
    <w:rsid w:val="00CA172C"/>
    <w:rsid w:val="00CA5347"/>
    <w:rsid w:val="00CB4501"/>
    <w:rsid w:val="00CB4566"/>
    <w:rsid w:val="00CB5C6E"/>
    <w:rsid w:val="00CB6966"/>
    <w:rsid w:val="00CB726E"/>
    <w:rsid w:val="00CD4D03"/>
    <w:rsid w:val="00CE3067"/>
    <w:rsid w:val="00CE63A2"/>
    <w:rsid w:val="00CF4DE3"/>
    <w:rsid w:val="00D16B8C"/>
    <w:rsid w:val="00D4209F"/>
    <w:rsid w:val="00D71453"/>
    <w:rsid w:val="00D71860"/>
    <w:rsid w:val="00D74B8F"/>
    <w:rsid w:val="00D775C1"/>
    <w:rsid w:val="00D83298"/>
    <w:rsid w:val="00D9353B"/>
    <w:rsid w:val="00DA75AA"/>
    <w:rsid w:val="00DB1F34"/>
    <w:rsid w:val="00DC41CC"/>
    <w:rsid w:val="00DC4717"/>
    <w:rsid w:val="00DC639C"/>
    <w:rsid w:val="00DE542B"/>
    <w:rsid w:val="00DF40B1"/>
    <w:rsid w:val="00DF5C67"/>
    <w:rsid w:val="00E12694"/>
    <w:rsid w:val="00E14492"/>
    <w:rsid w:val="00E31AA4"/>
    <w:rsid w:val="00E53B90"/>
    <w:rsid w:val="00E616FB"/>
    <w:rsid w:val="00E61C25"/>
    <w:rsid w:val="00E6322D"/>
    <w:rsid w:val="00E65784"/>
    <w:rsid w:val="00E9264E"/>
    <w:rsid w:val="00EC0DB9"/>
    <w:rsid w:val="00ED156B"/>
    <w:rsid w:val="00EE1E6B"/>
    <w:rsid w:val="00EE218A"/>
    <w:rsid w:val="00EF64F4"/>
    <w:rsid w:val="00EF7697"/>
    <w:rsid w:val="00F31B98"/>
    <w:rsid w:val="00F31F05"/>
    <w:rsid w:val="00F36ED4"/>
    <w:rsid w:val="00F5440E"/>
    <w:rsid w:val="00F95705"/>
    <w:rsid w:val="00FA7E1D"/>
    <w:rsid w:val="00FB405E"/>
    <w:rsid w:val="00FD0F9A"/>
    <w:rsid w:val="00FD3EC1"/>
    <w:rsid w:val="00FF1FB7"/>
    <w:rsid w:val="00FF42A5"/>
    <w:rsid w:val="00FF77A6"/>
    <w:rsid w:val="01752EC6"/>
    <w:rsid w:val="01C01AA3"/>
    <w:rsid w:val="03E30C45"/>
    <w:rsid w:val="041E60D9"/>
    <w:rsid w:val="04267518"/>
    <w:rsid w:val="04D454F1"/>
    <w:rsid w:val="053D23F3"/>
    <w:rsid w:val="05EF498F"/>
    <w:rsid w:val="062B1CAF"/>
    <w:rsid w:val="06BA63E6"/>
    <w:rsid w:val="079729DA"/>
    <w:rsid w:val="07F77734"/>
    <w:rsid w:val="0830257C"/>
    <w:rsid w:val="088A24D7"/>
    <w:rsid w:val="08B3021F"/>
    <w:rsid w:val="08C06902"/>
    <w:rsid w:val="0A072529"/>
    <w:rsid w:val="0A150A49"/>
    <w:rsid w:val="0A1876E0"/>
    <w:rsid w:val="0A4A62C2"/>
    <w:rsid w:val="0B0F1175"/>
    <w:rsid w:val="0BBD07E2"/>
    <w:rsid w:val="0BD7232E"/>
    <w:rsid w:val="0D672B48"/>
    <w:rsid w:val="0D8232B1"/>
    <w:rsid w:val="0D84566B"/>
    <w:rsid w:val="0DB87252"/>
    <w:rsid w:val="0DCF19F9"/>
    <w:rsid w:val="0DD5040D"/>
    <w:rsid w:val="0E9E0537"/>
    <w:rsid w:val="0F5C174D"/>
    <w:rsid w:val="0F676779"/>
    <w:rsid w:val="0F786925"/>
    <w:rsid w:val="0FC1066A"/>
    <w:rsid w:val="10AA4029"/>
    <w:rsid w:val="111F312D"/>
    <w:rsid w:val="115B55B9"/>
    <w:rsid w:val="117B7AD7"/>
    <w:rsid w:val="12183816"/>
    <w:rsid w:val="125F7E8E"/>
    <w:rsid w:val="132C37D7"/>
    <w:rsid w:val="160601E4"/>
    <w:rsid w:val="1650598A"/>
    <w:rsid w:val="16BD0D6F"/>
    <w:rsid w:val="17C06D60"/>
    <w:rsid w:val="180800C9"/>
    <w:rsid w:val="181D7541"/>
    <w:rsid w:val="18300611"/>
    <w:rsid w:val="183A4D80"/>
    <w:rsid w:val="18EE4E35"/>
    <w:rsid w:val="198245C5"/>
    <w:rsid w:val="19922BAD"/>
    <w:rsid w:val="1A726CF5"/>
    <w:rsid w:val="1A78264F"/>
    <w:rsid w:val="1A902DB7"/>
    <w:rsid w:val="1B01662F"/>
    <w:rsid w:val="1BC513D1"/>
    <w:rsid w:val="1CA558CF"/>
    <w:rsid w:val="1D430DA8"/>
    <w:rsid w:val="1DFF5B55"/>
    <w:rsid w:val="1FDD6478"/>
    <w:rsid w:val="201E5D54"/>
    <w:rsid w:val="21B026C3"/>
    <w:rsid w:val="227A0040"/>
    <w:rsid w:val="232D4216"/>
    <w:rsid w:val="23AF2C32"/>
    <w:rsid w:val="241A3ADA"/>
    <w:rsid w:val="241F71F5"/>
    <w:rsid w:val="26190A2D"/>
    <w:rsid w:val="262F0D69"/>
    <w:rsid w:val="26890782"/>
    <w:rsid w:val="26AC7D1C"/>
    <w:rsid w:val="27155D02"/>
    <w:rsid w:val="272B2CEA"/>
    <w:rsid w:val="280E6B39"/>
    <w:rsid w:val="28875904"/>
    <w:rsid w:val="289D4C35"/>
    <w:rsid w:val="28AB7BD4"/>
    <w:rsid w:val="2927630A"/>
    <w:rsid w:val="29B95DE5"/>
    <w:rsid w:val="2A4B00D7"/>
    <w:rsid w:val="2A75190E"/>
    <w:rsid w:val="2A7D4376"/>
    <w:rsid w:val="2B5D09C4"/>
    <w:rsid w:val="2B8E0ADF"/>
    <w:rsid w:val="2BAA2CF4"/>
    <w:rsid w:val="2BC95351"/>
    <w:rsid w:val="2C014ADD"/>
    <w:rsid w:val="2C6E0295"/>
    <w:rsid w:val="2CB4751B"/>
    <w:rsid w:val="2D6E40EE"/>
    <w:rsid w:val="2E5847E7"/>
    <w:rsid w:val="2E7C3E89"/>
    <w:rsid w:val="2FB540A0"/>
    <w:rsid w:val="2FD60723"/>
    <w:rsid w:val="311B1373"/>
    <w:rsid w:val="31B51C3A"/>
    <w:rsid w:val="321B62CA"/>
    <w:rsid w:val="325B0A6A"/>
    <w:rsid w:val="32D547EC"/>
    <w:rsid w:val="34C3584B"/>
    <w:rsid w:val="36E51774"/>
    <w:rsid w:val="39095734"/>
    <w:rsid w:val="391212DE"/>
    <w:rsid w:val="396A4078"/>
    <w:rsid w:val="3AC6744C"/>
    <w:rsid w:val="3B7E55DC"/>
    <w:rsid w:val="3C011DA0"/>
    <w:rsid w:val="3C8940D7"/>
    <w:rsid w:val="3D7C4458"/>
    <w:rsid w:val="3DCA4508"/>
    <w:rsid w:val="3E0D4588"/>
    <w:rsid w:val="3E685AA0"/>
    <w:rsid w:val="3F7F4005"/>
    <w:rsid w:val="40B549A8"/>
    <w:rsid w:val="41221D22"/>
    <w:rsid w:val="417944DD"/>
    <w:rsid w:val="41D106E7"/>
    <w:rsid w:val="422527EC"/>
    <w:rsid w:val="42CA4648"/>
    <w:rsid w:val="444F789B"/>
    <w:rsid w:val="453B752E"/>
    <w:rsid w:val="46010E12"/>
    <w:rsid w:val="46297C92"/>
    <w:rsid w:val="46880EF8"/>
    <w:rsid w:val="46A0236F"/>
    <w:rsid w:val="479D7822"/>
    <w:rsid w:val="47F66C1B"/>
    <w:rsid w:val="49753873"/>
    <w:rsid w:val="499A64EF"/>
    <w:rsid w:val="49B358C8"/>
    <w:rsid w:val="4A8C1896"/>
    <w:rsid w:val="4A916226"/>
    <w:rsid w:val="4AAE3733"/>
    <w:rsid w:val="4D813064"/>
    <w:rsid w:val="4F53272D"/>
    <w:rsid w:val="4FFB7CA2"/>
    <w:rsid w:val="5026074C"/>
    <w:rsid w:val="50B42F54"/>
    <w:rsid w:val="50CE4A3C"/>
    <w:rsid w:val="50F97CE9"/>
    <w:rsid w:val="53CB33AA"/>
    <w:rsid w:val="53EC0CA4"/>
    <w:rsid w:val="54C60342"/>
    <w:rsid w:val="55250BCC"/>
    <w:rsid w:val="55C23C6A"/>
    <w:rsid w:val="56F208BB"/>
    <w:rsid w:val="56F46D97"/>
    <w:rsid w:val="581773AB"/>
    <w:rsid w:val="599C6480"/>
    <w:rsid w:val="59A66883"/>
    <w:rsid w:val="5A271A74"/>
    <w:rsid w:val="5A457CBB"/>
    <w:rsid w:val="5A740E2C"/>
    <w:rsid w:val="5C8008E7"/>
    <w:rsid w:val="5D7679B8"/>
    <w:rsid w:val="5F080758"/>
    <w:rsid w:val="5F7269EB"/>
    <w:rsid w:val="5FC132B5"/>
    <w:rsid w:val="605C53D6"/>
    <w:rsid w:val="60F55285"/>
    <w:rsid w:val="614F6263"/>
    <w:rsid w:val="615E02B4"/>
    <w:rsid w:val="61794B40"/>
    <w:rsid w:val="61837BD5"/>
    <w:rsid w:val="61883A0D"/>
    <w:rsid w:val="62684671"/>
    <w:rsid w:val="635730AE"/>
    <w:rsid w:val="63BB2A2B"/>
    <w:rsid w:val="64744EE8"/>
    <w:rsid w:val="65C73114"/>
    <w:rsid w:val="6632530B"/>
    <w:rsid w:val="67096C6D"/>
    <w:rsid w:val="6828376C"/>
    <w:rsid w:val="687D7DC7"/>
    <w:rsid w:val="68B360F8"/>
    <w:rsid w:val="69742544"/>
    <w:rsid w:val="69BC547B"/>
    <w:rsid w:val="69EE2512"/>
    <w:rsid w:val="6A7E41E1"/>
    <w:rsid w:val="6B125771"/>
    <w:rsid w:val="6C993D35"/>
    <w:rsid w:val="6CD102E4"/>
    <w:rsid w:val="6CE7426D"/>
    <w:rsid w:val="6D7A713C"/>
    <w:rsid w:val="6DE9094B"/>
    <w:rsid w:val="6F8A44DC"/>
    <w:rsid w:val="709269BC"/>
    <w:rsid w:val="72B41014"/>
    <w:rsid w:val="73B51C77"/>
    <w:rsid w:val="73F1459A"/>
    <w:rsid w:val="744F1719"/>
    <w:rsid w:val="75417731"/>
    <w:rsid w:val="758D40E6"/>
    <w:rsid w:val="76CD4861"/>
    <w:rsid w:val="76D41F79"/>
    <w:rsid w:val="778A7411"/>
    <w:rsid w:val="77B80206"/>
    <w:rsid w:val="785D7EDD"/>
    <w:rsid w:val="78A0547C"/>
    <w:rsid w:val="79044135"/>
    <w:rsid w:val="793F7E0A"/>
    <w:rsid w:val="7ABB74E1"/>
    <w:rsid w:val="7B7139E3"/>
    <w:rsid w:val="7D863336"/>
    <w:rsid w:val="7D892C7C"/>
    <w:rsid w:val="7D9A1CA2"/>
    <w:rsid w:val="7DD91FD1"/>
    <w:rsid w:val="7DE44575"/>
    <w:rsid w:val="7EB7337A"/>
    <w:rsid w:val="7FDB7809"/>
    <w:rsid w:val="7FEA6B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99" w:semiHidden="0" w:name="toc 5"/>
    <w:lsdException w:qFormat="1" w:unhideWhenUsed="0" w:uiPriority="99" w:semiHidden="0"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qFormat="1" w:unhideWhenUsed="0" w:uiPriority="99" w:semiHidden="0" w:name="Salutation"/>
    <w:lsdException w:qFormat="1" w:unhideWhenUsed="0" w:uiPriority="99"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99" w:semiHidden="0" w:name="HTML Sample"/>
    <w:lsdException w:unhideWhenUsed="0" w:uiPriority="0"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52"/>
    <w:qFormat/>
    <w:uiPriority w:val="99"/>
    <w:pPr>
      <w:keepNext/>
      <w:keepLines/>
      <w:spacing w:before="340" w:after="330" w:line="578" w:lineRule="auto"/>
      <w:jc w:val="center"/>
      <w:outlineLvl w:val="0"/>
    </w:pPr>
    <w:rPr>
      <w:rFonts w:eastAsia="宋体"/>
      <w:b/>
      <w:spacing w:val="40"/>
      <w:kern w:val="44"/>
      <w:sz w:val="44"/>
    </w:rPr>
  </w:style>
  <w:style w:type="paragraph" w:styleId="3">
    <w:name w:val="heading 2"/>
    <w:basedOn w:val="1"/>
    <w:next w:val="1"/>
    <w:link w:val="53"/>
    <w:qFormat/>
    <w:uiPriority w:val="99"/>
    <w:pPr>
      <w:keepNext/>
      <w:keepLines/>
      <w:spacing w:before="260" w:after="260" w:line="415" w:lineRule="auto"/>
      <w:jc w:val="center"/>
      <w:outlineLvl w:val="1"/>
    </w:pPr>
    <w:rPr>
      <w:rFonts w:ascii="Arial" w:hAnsi="Arial" w:eastAsia="宋体"/>
      <w:b/>
      <w:spacing w:val="20"/>
      <w:sz w:val="36"/>
    </w:rPr>
  </w:style>
  <w:style w:type="paragraph" w:styleId="4">
    <w:name w:val="heading 3"/>
    <w:basedOn w:val="1"/>
    <w:next w:val="5"/>
    <w:link w:val="54"/>
    <w:qFormat/>
    <w:uiPriority w:val="99"/>
    <w:pPr>
      <w:keepNext/>
      <w:keepLines/>
      <w:spacing w:before="260" w:after="260" w:line="415" w:lineRule="auto"/>
      <w:jc w:val="center"/>
      <w:outlineLvl w:val="2"/>
    </w:pPr>
    <w:rPr>
      <w:rFonts w:eastAsia="宋体"/>
      <w:b/>
      <w:spacing w:val="50"/>
      <w:sz w:val="32"/>
    </w:rPr>
  </w:style>
  <w:style w:type="paragraph" w:styleId="6">
    <w:name w:val="heading 4"/>
    <w:basedOn w:val="1"/>
    <w:next w:val="1"/>
    <w:link w:val="55"/>
    <w:qFormat/>
    <w:uiPriority w:val="99"/>
    <w:pPr>
      <w:keepNext/>
      <w:keepLines/>
      <w:spacing w:before="280" w:after="290" w:line="376" w:lineRule="auto"/>
      <w:outlineLvl w:val="3"/>
    </w:pPr>
    <w:rPr>
      <w:rFonts w:ascii="Cambria" w:hAnsi="Cambria" w:eastAsia="宋体" w:cs="黑体"/>
      <w:b/>
      <w:bCs/>
      <w:sz w:val="28"/>
      <w:szCs w:val="28"/>
    </w:rPr>
  </w:style>
  <w:style w:type="character" w:default="1" w:styleId="35">
    <w:name w:val="Default Paragraph Font"/>
    <w:semiHidden/>
    <w:unhideWhenUsed/>
    <w:qFormat/>
    <w:uiPriority w:val="1"/>
  </w:style>
  <w:style w:type="table" w:default="1" w:styleId="5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link w:val="96"/>
    <w:qFormat/>
    <w:uiPriority w:val="99"/>
    <w:pPr>
      <w:snapToGrid w:val="0"/>
      <w:spacing w:line="360" w:lineRule="auto"/>
      <w:ind w:firstLine="567"/>
    </w:pPr>
    <w:rPr>
      <w:rFonts w:eastAsia="宋体"/>
      <w:sz w:val="28"/>
    </w:rPr>
  </w:style>
  <w:style w:type="paragraph" w:styleId="7">
    <w:name w:val="annotation subject"/>
    <w:basedOn w:val="8"/>
    <w:next w:val="8"/>
    <w:link w:val="57"/>
    <w:semiHidden/>
    <w:qFormat/>
    <w:uiPriority w:val="99"/>
    <w:rPr>
      <w:b/>
      <w:bCs/>
    </w:rPr>
  </w:style>
  <w:style w:type="paragraph" w:styleId="8">
    <w:name w:val="annotation text"/>
    <w:basedOn w:val="1"/>
    <w:link w:val="56"/>
    <w:qFormat/>
    <w:uiPriority w:val="0"/>
    <w:pPr>
      <w:jc w:val="left"/>
    </w:pPr>
  </w:style>
  <w:style w:type="paragraph" w:styleId="9">
    <w:name w:val="toc 7"/>
    <w:basedOn w:val="1"/>
    <w:next w:val="1"/>
    <w:semiHidden/>
    <w:qFormat/>
    <w:uiPriority w:val="99"/>
    <w:pPr>
      <w:ind w:left="2520"/>
    </w:pPr>
  </w:style>
  <w:style w:type="paragraph" w:styleId="10">
    <w:name w:val="Body Text First Indent"/>
    <w:basedOn w:val="11"/>
    <w:link w:val="59"/>
    <w:qFormat/>
    <w:uiPriority w:val="99"/>
    <w:pPr>
      <w:spacing w:line="288" w:lineRule="auto"/>
      <w:ind w:firstLine="420" w:firstLineChars="100"/>
    </w:pPr>
    <w:rPr>
      <w:rFonts w:eastAsia="仿宋_GB2312"/>
      <w:sz w:val="24"/>
    </w:rPr>
  </w:style>
  <w:style w:type="paragraph" w:styleId="11">
    <w:name w:val="Body Text"/>
    <w:basedOn w:val="1"/>
    <w:link w:val="58"/>
    <w:qFormat/>
    <w:uiPriority w:val="99"/>
    <w:pPr>
      <w:spacing w:after="120" w:line="240" w:lineRule="auto"/>
    </w:pPr>
    <w:rPr>
      <w:rFonts w:eastAsia="宋体"/>
      <w:sz w:val="21"/>
    </w:rPr>
  </w:style>
  <w:style w:type="paragraph" w:styleId="12">
    <w:name w:val="caption"/>
    <w:basedOn w:val="1"/>
    <w:next w:val="1"/>
    <w:qFormat/>
    <w:uiPriority w:val="99"/>
    <w:pPr>
      <w:spacing w:before="152" w:after="160"/>
    </w:pPr>
    <w:rPr>
      <w:rFonts w:ascii="Arial" w:hAnsi="Arial" w:eastAsia="黑体" w:cs="Arial"/>
      <w:sz w:val="20"/>
    </w:rPr>
  </w:style>
  <w:style w:type="paragraph" w:styleId="13">
    <w:name w:val="Document Map"/>
    <w:basedOn w:val="1"/>
    <w:link w:val="60"/>
    <w:semiHidden/>
    <w:qFormat/>
    <w:uiPriority w:val="99"/>
    <w:pPr>
      <w:shd w:val="clear" w:color="auto" w:fill="000080"/>
    </w:pPr>
  </w:style>
  <w:style w:type="paragraph" w:styleId="14">
    <w:name w:val="Salutation"/>
    <w:basedOn w:val="1"/>
    <w:next w:val="1"/>
    <w:link w:val="61"/>
    <w:qFormat/>
    <w:uiPriority w:val="99"/>
    <w:pPr>
      <w:widowControl/>
      <w:spacing w:line="240" w:lineRule="auto"/>
      <w:jc w:val="left"/>
    </w:pPr>
    <w:rPr>
      <w:rFonts w:eastAsia="宋体"/>
      <w:kern w:val="0"/>
      <w:sz w:val="28"/>
    </w:rPr>
  </w:style>
  <w:style w:type="paragraph" w:styleId="15">
    <w:name w:val="Body Text Indent"/>
    <w:basedOn w:val="1"/>
    <w:link w:val="62"/>
    <w:qFormat/>
    <w:uiPriority w:val="99"/>
    <w:pPr>
      <w:ind w:left="360" w:firstLine="540"/>
    </w:pPr>
    <w:rPr>
      <w:rFonts w:ascii="楷体_GB2312" w:eastAsia="楷体_GB2312"/>
      <w:sz w:val="44"/>
    </w:rPr>
  </w:style>
  <w:style w:type="paragraph" w:styleId="16">
    <w:name w:val="toc 5"/>
    <w:basedOn w:val="1"/>
    <w:next w:val="1"/>
    <w:qFormat/>
    <w:uiPriority w:val="99"/>
    <w:pPr>
      <w:ind w:left="1680"/>
    </w:pPr>
  </w:style>
  <w:style w:type="paragraph" w:styleId="17">
    <w:name w:val="toc 3"/>
    <w:basedOn w:val="1"/>
    <w:next w:val="1"/>
    <w:qFormat/>
    <w:uiPriority w:val="39"/>
    <w:pPr>
      <w:ind w:left="840"/>
    </w:pPr>
  </w:style>
  <w:style w:type="paragraph" w:styleId="18">
    <w:name w:val="Plain Text"/>
    <w:basedOn w:val="1"/>
    <w:link w:val="63"/>
    <w:qFormat/>
    <w:uiPriority w:val="99"/>
    <w:rPr>
      <w:rFonts w:ascii="宋体" w:hAnsi="Courier New"/>
    </w:rPr>
  </w:style>
  <w:style w:type="paragraph" w:styleId="19">
    <w:name w:val="toc 8"/>
    <w:basedOn w:val="1"/>
    <w:next w:val="1"/>
    <w:semiHidden/>
    <w:qFormat/>
    <w:uiPriority w:val="99"/>
    <w:pPr>
      <w:ind w:left="2940"/>
    </w:pPr>
  </w:style>
  <w:style w:type="paragraph" w:styleId="20">
    <w:name w:val="Date"/>
    <w:basedOn w:val="1"/>
    <w:next w:val="1"/>
    <w:link w:val="64"/>
    <w:qFormat/>
    <w:uiPriority w:val="99"/>
    <w:pPr>
      <w:spacing w:line="240" w:lineRule="auto"/>
    </w:pPr>
    <w:rPr>
      <w:rFonts w:eastAsia="宋体"/>
    </w:rPr>
  </w:style>
  <w:style w:type="paragraph" w:styleId="21">
    <w:name w:val="Body Text Indent 2"/>
    <w:basedOn w:val="1"/>
    <w:link w:val="65"/>
    <w:qFormat/>
    <w:uiPriority w:val="99"/>
    <w:pPr>
      <w:ind w:firstLine="570"/>
    </w:pPr>
    <w:rPr>
      <w:rFonts w:ascii="楷体_GB2312" w:eastAsia="楷体_GB2312"/>
      <w:sz w:val="28"/>
    </w:rPr>
  </w:style>
  <w:style w:type="paragraph" w:styleId="22">
    <w:name w:val="Balloon Text"/>
    <w:basedOn w:val="1"/>
    <w:link w:val="66"/>
    <w:semiHidden/>
    <w:qFormat/>
    <w:uiPriority w:val="99"/>
    <w:rPr>
      <w:sz w:val="18"/>
      <w:szCs w:val="18"/>
    </w:rPr>
  </w:style>
  <w:style w:type="paragraph" w:styleId="23">
    <w:name w:val="footer"/>
    <w:basedOn w:val="1"/>
    <w:link w:val="67"/>
    <w:qFormat/>
    <w:uiPriority w:val="99"/>
    <w:pPr>
      <w:tabs>
        <w:tab w:val="center" w:pos="4153"/>
        <w:tab w:val="right" w:pos="8306"/>
      </w:tabs>
      <w:snapToGrid w:val="0"/>
      <w:jc w:val="left"/>
    </w:pPr>
    <w:rPr>
      <w:sz w:val="18"/>
    </w:rPr>
  </w:style>
  <w:style w:type="paragraph" w:styleId="24">
    <w:name w:val="header"/>
    <w:basedOn w:val="1"/>
    <w:link w:val="68"/>
    <w:qFormat/>
    <w:uiPriority w:val="99"/>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99"/>
    <w:rPr>
      <w:rFonts w:eastAsia="宋体"/>
      <w:spacing w:val="10"/>
      <w:sz w:val="28"/>
    </w:rPr>
  </w:style>
  <w:style w:type="paragraph" w:styleId="26">
    <w:name w:val="toc 4"/>
    <w:basedOn w:val="1"/>
    <w:next w:val="1"/>
    <w:qFormat/>
    <w:uiPriority w:val="39"/>
    <w:pPr>
      <w:ind w:left="1260"/>
    </w:pPr>
  </w:style>
  <w:style w:type="paragraph" w:styleId="27">
    <w:name w:val="footnote text"/>
    <w:basedOn w:val="1"/>
    <w:link w:val="69"/>
    <w:semiHidden/>
    <w:qFormat/>
    <w:uiPriority w:val="99"/>
    <w:pPr>
      <w:snapToGrid w:val="0"/>
      <w:jc w:val="left"/>
    </w:pPr>
    <w:rPr>
      <w:sz w:val="18"/>
    </w:rPr>
  </w:style>
  <w:style w:type="paragraph" w:styleId="28">
    <w:name w:val="toc 6"/>
    <w:basedOn w:val="1"/>
    <w:next w:val="1"/>
    <w:qFormat/>
    <w:uiPriority w:val="99"/>
    <w:pPr>
      <w:ind w:left="2100"/>
    </w:pPr>
  </w:style>
  <w:style w:type="paragraph" w:styleId="29">
    <w:name w:val="Body Text Indent 3"/>
    <w:basedOn w:val="1"/>
    <w:link w:val="70"/>
    <w:qFormat/>
    <w:uiPriority w:val="99"/>
    <w:pPr>
      <w:spacing w:line="480" w:lineRule="exact"/>
      <w:ind w:firstLine="560" w:firstLineChars="200"/>
    </w:pPr>
    <w:rPr>
      <w:rFonts w:ascii="宋体" w:hAnsi="宋体" w:eastAsia="宋体"/>
      <w:sz w:val="28"/>
    </w:rPr>
  </w:style>
  <w:style w:type="paragraph" w:styleId="30">
    <w:name w:val="toc 2"/>
    <w:basedOn w:val="1"/>
    <w:next w:val="1"/>
    <w:qFormat/>
    <w:uiPriority w:val="39"/>
    <w:pPr>
      <w:ind w:left="420"/>
    </w:pPr>
  </w:style>
  <w:style w:type="paragraph" w:styleId="31">
    <w:name w:val="toc 9"/>
    <w:basedOn w:val="1"/>
    <w:next w:val="1"/>
    <w:semiHidden/>
    <w:qFormat/>
    <w:uiPriority w:val="99"/>
    <w:pPr>
      <w:ind w:left="3360"/>
    </w:pPr>
  </w:style>
  <w:style w:type="paragraph" w:styleId="32">
    <w:name w:val="Body Text 2"/>
    <w:basedOn w:val="1"/>
    <w:link w:val="71"/>
    <w:qFormat/>
    <w:uiPriority w:val="99"/>
    <w:pPr>
      <w:adjustRightInd w:val="0"/>
      <w:snapToGrid w:val="0"/>
      <w:spacing w:line="240" w:lineRule="auto"/>
      <w:jc w:val="center"/>
    </w:pPr>
    <w:rPr>
      <w:spacing w:val="-8"/>
      <w:sz w:val="21"/>
    </w:rPr>
  </w:style>
  <w:style w:type="paragraph" w:styleId="3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Cs w:val="24"/>
    </w:rPr>
  </w:style>
  <w:style w:type="paragraph" w:styleId="34">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character" w:styleId="36">
    <w:name w:val="Strong"/>
    <w:qFormat/>
    <w:uiPriority w:val="99"/>
    <w:rPr>
      <w:rFonts w:cs="Times New Roman"/>
      <w:b/>
      <w:bCs/>
    </w:rPr>
  </w:style>
  <w:style w:type="character" w:styleId="37">
    <w:name w:val="page number"/>
    <w:qFormat/>
    <w:uiPriority w:val="99"/>
    <w:rPr>
      <w:rFonts w:cs="Times New Roman"/>
    </w:rPr>
  </w:style>
  <w:style w:type="character" w:styleId="38">
    <w:name w:val="FollowedHyperlink"/>
    <w:qFormat/>
    <w:uiPriority w:val="99"/>
    <w:rPr>
      <w:rFonts w:cs="Times New Roman"/>
      <w:color w:val="136EC2"/>
      <w:u w:val="single"/>
    </w:rPr>
  </w:style>
  <w:style w:type="character" w:styleId="39">
    <w:name w:val="Emphasis"/>
    <w:qFormat/>
    <w:uiPriority w:val="99"/>
    <w:rPr>
      <w:rFonts w:cs="Times New Roman"/>
      <w:color w:val="CC0000"/>
    </w:rPr>
  </w:style>
  <w:style w:type="character" w:styleId="40">
    <w:name w:val="line number"/>
    <w:qFormat/>
    <w:uiPriority w:val="99"/>
    <w:rPr>
      <w:rFonts w:cs="Times New Roman"/>
    </w:rPr>
  </w:style>
  <w:style w:type="character" w:styleId="41">
    <w:name w:val="HTML Definition"/>
    <w:qFormat/>
    <w:uiPriority w:val="99"/>
    <w:rPr>
      <w:rFonts w:cs="Times New Roman"/>
    </w:rPr>
  </w:style>
  <w:style w:type="character" w:styleId="42">
    <w:name w:val="HTML Variable"/>
    <w:qFormat/>
    <w:uiPriority w:val="99"/>
    <w:rPr>
      <w:rFonts w:cs="Times New Roman"/>
    </w:rPr>
  </w:style>
  <w:style w:type="character" w:styleId="43">
    <w:name w:val="Hyperlink"/>
    <w:basedOn w:val="35"/>
    <w:qFormat/>
    <w:uiPriority w:val="99"/>
    <w:rPr>
      <w:rFonts w:cs="Times New Roman"/>
      <w:color w:val="136EC2"/>
      <w:u w:val="single"/>
    </w:rPr>
  </w:style>
  <w:style w:type="character" w:styleId="44">
    <w:name w:val="HTML Code"/>
    <w:qFormat/>
    <w:uiPriority w:val="99"/>
    <w:rPr>
      <w:rFonts w:ascii="Courier New" w:hAnsi="Courier New" w:eastAsia="Times New Roman" w:cs="Times New Roman"/>
      <w:sz w:val="20"/>
    </w:rPr>
  </w:style>
  <w:style w:type="character" w:styleId="45">
    <w:name w:val="annotation reference"/>
    <w:semiHidden/>
    <w:qFormat/>
    <w:uiPriority w:val="99"/>
    <w:rPr>
      <w:rFonts w:cs="Times New Roman"/>
      <w:sz w:val="21"/>
    </w:rPr>
  </w:style>
  <w:style w:type="character" w:styleId="46">
    <w:name w:val="HTML Cite"/>
    <w:qFormat/>
    <w:uiPriority w:val="99"/>
    <w:rPr>
      <w:rFonts w:cs="Times New Roman"/>
    </w:rPr>
  </w:style>
  <w:style w:type="character" w:styleId="47">
    <w:name w:val="footnote reference"/>
    <w:semiHidden/>
    <w:qFormat/>
    <w:uiPriority w:val="99"/>
    <w:rPr>
      <w:rFonts w:cs="Times New Roman"/>
      <w:vertAlign w:val="superscript"/>
    </w:rPr>
  </w:style>
  <w:style w:type="character" w:styleId="48">
    <w:name w:val="HTML Keyboard"/>
    <w:qFormat/>
    <w:uiPriority w:val="99"/>
    <w:rPr>
      <w:rFonts w:ascii="Courier New" w:hAnsi="Courier New" w:eastAsia="Times New Roman" w:cs="Times New Roman"/>
      <w:sz w:val="20"/>
    </w:rPr>
  </w:style>
  <w:style w:type="character" w:styleId="49">
    <w:name w:val="HTML Sample"/>
    <w:qFormat/>
    <w:uiPriority w:val="99"/>
    <w:rPr>
      <w:rFonts w:ascii="Courier New" w:hAnsi="Courier New" w:eastAsia="Times New Roman" w:cs="Times New Roman"/>
    </w:rPr>
  </w:style>
  <w:style w:type="table" w:styleId="51">
    <w:name w:val="Table Grid"/>
    <w:basedOn w:val="50"/>
    <w:qFormat/>
    <w:uiPriority w:val="99"/>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2">
    <w:name w:val="标题 1 Char"/>
    <w:link w:val="2"/>
    <w:qFormat/>
    <w:locked/>
    <w:uiPriority w:val="99"/>
    <w:rPr>
      <w:rFonts w:ascii="宋体" w:hAnsi="宋体" w:eastAsia="宋体" w:cs="宋体"/>
      <w:b/>
      <w:kern w:val="44"/>
      <w:sz w:val="44"/>
      <w:szCs w:val="44"/>
      <w:lang w:val="en-US" w:eastAsia="zh-CN"/>
    </w:rPr>
  </w:style>
  <w:style w:type="character" w:customStyle="1" w:styleId="53">
    <w:name w:val="标题 2 Char"/>
    <w:link w:val="3"/>
    <w:semiHidden/>
    <w:qFormat/>
    <w:uiPriority w:val="9"/>
    <w:rPr>
      <w:rFonts w:ascii="Cambria" w:hAnsi="Cambria" w:eastAsia="宋体" w:cs="Times New Roman"/>
      <w:b/>
      <w:bCs/>
      <w:sz w:val="32"/>
      <w:szCs w:val="32"/>
    </w:rPr>
  </w:style>
  <w:style w:type="character" w:customStyle="1" w:styleId="54">
    <w:name w:val="标题 3 Char1"/>
    <w:link w:val="4"/>
    <w:semiHidden/>
    <w:qFormat/>
    <w:uiPriority w:val="9"/>
    <w:rPr>
      <w:rFonts w:eastAsia="仿宋_GB2312"/>
      <w:b/>
      <w:bCs/>
      <w:sz w:val="32"/>
      <w:szCs w:val="32"/>
    </w:rPr>
  </w:style>
  <w:style w:type="character" w:customStyle="1" w:styleId="55">
    <w:name w:val="标题 4 Char"/>
    <w:link w:val="6"/>
    <w:semiHidden/>
    <w:qFormat/>
    <w:locked/>
    <w:uiPriority w:val="99"/>
    <w:rPr>
      <w:rFonts w:ascii="Cambria" w:hAnsi="Cambria" w:eastAsia="宋体" w:cs="黑体"/>
      <w:b/>
      <w:bCs/>
      <w:kern w:val="2"/>
      <w:sz w:val="28"/>
      <w:szCs w:val="28"/>
    </w:rPr>
  </w:style>
  <w:style w:type="character" w:customStyle="1" w:styleId="56">
    <w:name w:val="批注文字 Char"/>
    <w:link w:val="8"/>
    <w:semiHidden/>
    <w:qFormat/>
    <w:locked/>
    <w:uiPriority w:val="99"/>
    <w:rPr>
      <w:rFonts w:eastAsia="仿宋_GB2312"/>
      <w:kern w:val="2"/>
      <w:sz w:val="24"/>
    </w:rPr>
  </w:style>
  <w:style w:type="character" w:customStyle="1" w:styleId="57">
    <w:name w:val="批注主题 Char"/>
    <w:link w:val="7"/>
    <w:semiHidden/>
    <w:qFormat/>
    <w:uiPriority w:val="99"/>
    <w:rPr>
      <w:rFonts w:eastAsia="仿宋_GB2312"/>
      <w:b/>
      <w:bCs/>
      <w:kern w:val="2"/>
      <w:sz w:val="24"/>
      <w:szCs w:val="20"/>
    </w:rPr>
  </w:style>
  <w:style w:type="character" w:customStyle="1" w:styleId="58">
    <w:name w:val="正文文本 Char"/>
    <w:link w:val="11"/>
    <w:qFormat/>
    <w:locked/>
    <w:uiPriority w:val="99"/>
    <w:rPr>
      <w:rFonts w:eastAsia="宋体"/>
      <w:kern w:val="2"/>
      <w:sz w:val="21"/>
      <w:lang w:val="en-US" w:eastAsia="zh-CN"/>
    </w:rPr>
  </w:style>
  <w:style w:type="character" w:customStyle="1" w:styleId="59">
    <w:name w:val="正文首行缩进 Char"/>
    <w:link w:val="10"/>
    <w:semiHidden/>
    <w:qFormat/>
    <w:uiPriority w:val="99"/>
    <w:rPr>
      <w:rFonts w:eastAsia="仿宋_GB2312"/>
      <w:kern w:val="2"/>
      <w:sz w:val="24"/>
      <w:szCs w:val="20"/>
      <w:lang w:val="en-US" w:eastAsia="zh-CN"/>
    </w:rPr>
  </w:style>
  <w:style w:type="character" w:customStyle="1" w:styleId="60">
    <w:name w:val="文档结构图 Char"/>
    <w:link w:val="13"/>
    <w:semiHidden/>
    <w:qFormat/>
    <w:uiPriority w:val="99"/>
    <w:rPr>
      <w:rFonts w:eastAsia="仿宋_GB2312"/>
      <w:sz w:val="0"/>
      <w:szCs w:val="0"/>
    </w:rPr>
  </w:style>
  <w:style w:type="character" w:customStyle="1" w:styleId="61">
    <w:name w:val="称呼 Char"/>
    <w:link w:val="14"/>
    <w:semiHidden/>
    <w:qFormat/>
    <w:uiPriority w:val="99"/>
    <w:rPr>
      <w:rFonts w:eastAsia="仿宋_GB2312"/>
      <w:sz w:val="24"/>
      <w:szCs w:val="20"/>
    </w:rPr>
  </w:style>
  <w:style w:type="character" w:customStyle="1" w:styleId="62">
    <w:name w:val="正文文本缩进 Char"/>
    <w:link w:val="15"/>
    <w:semiHidden/>
    <w:qFormat/>
    <w:uiPriority w:val="99"/>
    <w:rPr>
      <w:rFonts w:eastAsia="仿宋_GB2312"/>
      <w:sz w:val="24"/>
      <w:szCs w:val="20"/>
    </w:rPr>
  </w:style>
  <w:style w:type="character" w:customStyle="1" w:styleId="63">
    <w:name w:val="纯文本 Char"/>
    <w:link w:val="18"/>
    <w:qFormat/>
    <w:locked/>
    <w:uiPriority w:val="99"/>
    <w:rPr>
      <w:rFonts w:ascii="宋体" w:hAnsi="Courier New" w:eastAsia="仿宋_GB2312"/>
      <w:kern w:val="2"/>
      <w:sz w:val="24"/>
      <w:lang w:val="en-US" w:eastAsia="zh-CN"/>
    </w:rPr>
  </w:style>
  <w:style w:type="character" w:customStyle="1" w:styleId="64">
    <w:name w:val="日期 Char"/>
    <w:link w:val="20"/>
    <w:semiHidden/>
    <w:qFormat/>
    <w:uiPriority w:val="99"/>
    <w:rPr>
      <w:rFonts w:eastAsia="仿宋_GB2312"/>
      <w:sz w:val="24"/>
      <w:szCs w:val="20"/>
    </w:rPr>
  </w:style>
  <w:style w:type="character" w:customStyle="1" w:styleId="65">
    <w:name w:val="正文文本缩进 2 Char"/>
    <w:link w:val="21"/>
    <w:semiHidden/>
    <w:qFormat/>
    <w:uiPriority w:val="99"/>
    <w:rPr>
      <w:rFonts w:eastAsia="仿宋_GB2312"/>
      <w:sz w:val="24"/>
      <w:szCs w:val="20"/>
    </w:rPr>
  </w:style>
  <w:style w:type="character" w:customStyle="1" w:styleId="66">
    <w:name w:val="批注框文本 Char"/>
    <w:link w:val="22"/>
    <w:semiHidden/>
    <w:qFormat/>
    <w:uiPriority w:val="99"/>
    <w:rPr>
      <w:rFonts w:eastAsia="仿宋_GB2312"/>
      <w:sz w:val="0"/>
      <w:szCs w:val="0"/>
    </w:rPr>
  </w:style>
  <w:style w:type="character" w:customStyle="1" w:styleId="67">
    <w:name w:val="页脚 Char"/>
    <w:link w:val="23"/>
    <w:semiHidden/>
    <w:qFormat/>
    <w:uiPriority w:val="99"/>
    <w:rPr>
      <w:rFonts w:eastAsia="仿宋_GB2312"/>
      <w:sz w:val="18"/>
      <w:szCs w:val="18"/>
    </w:rPr>
  </w:style>
  <w:style w:type="character" w:customStyle="1" w:styleId="68">
    <w:name w:val="页眉 Char"/>
    <w:link w:val="24"/>
    <w:semiHidden/>
    <w:qFormat/>
    <w:uiPriority w:val="99"/>
    <w:rPr>
      <w:rFonts w:eastAsia="仿宋_GB2312"/>
      <w:sz w:val="18"/>
      <w:szCs w:val="18"/>
    </w:rPr>
  </w:style>
  <w:style w:type="character" w:customStyle="1" w:styleId="69">
    <w:name w:val="脚注文本 Char"/>
    <w:link w:val="27"/>
    <w:semiHidden/>
    <w:qFormat/>
    <w:uiPriority w:val="99"/>
    <w:rPr>
      <w:rFonts w:eastAsia="仿宋_GB2312"/>
      <w:sz w:val="18"/>
      <w:szCs w:val="18"/>
    </w:rPr>
  </w:style>
  <w:style w:type="character" w:customStyle="1" w:styleId="70">
    <w:name w:val="正文文本缩进 3 Char"/>
    <w:link w:val="29"/>
    <w:semiHidden/>
    <w:qFormat/>
    <w:uiPriority w:val="99"/>
    <w:rPr>
      <w:rFonts w:eastAsia="仿宋_GB2312"/>
      <w:sz w:val="16"/>
      <w:szCs w:val="16"/>
    </w:rPr>
  </w:style>
  <w:style w:type="character" w:customStyle="1" w:styleId="71">
    <w:name w:val="正文文本 2 Char"/>
    <w:link w:val="32"/>
    <w:semiHidden/>
    <w:qFormat/>
    <w:uiPriority w:val="99"/>
    <w:rPr>
      <w:rFonts w:eastAsia="仿宋_GB2312"/>
      <w:sz w:val="24"/>
      <w:szCs w:val="20"/>
    </w:rPr>
  </w:style>
  <w:style w:type="paragraph" w:customStyle="1" w:styleId="72">
    <w:name w:val="Char"/>
    <w:basedOn w:val="1"/>
    <w:qFormat/>
    <w:uiPriority w:val="99"/>
    <w:pPr>
      <w:spacing w:line="240" w:lineRule="auto"/>
    </w:pPr>
    <w:rPr>
      <w:rFonts w:ascii="Tahoma" w:hAnsi="Tahoma" w:eastAsia="宋体"/>
    </w:rPr>
  </w:style>
  <w:style w:type="paragraph" w:customStyle="1" w:styleId="73">
    <w:name w:val="xl30"/>
    <w:basedOn w:val="1"/>
    <w:qFormat/>
    <w:uiPriority w:val="99"/>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74">
    <w:name w:val="Char Char Char"/>
    <w:basedOn w:val="1"/>
    <w:qFormat/>
    <w:uiPriority w:val="99"/>
    <w:pPr>
      <w:widowControl/>
      <w:spacing w:after="160" w:line="240" w:lineRule="exact"/>
      <w:jc w:val="left"/>
    </w:pPr>
    <w:rPr>
      <w:rFonts w:ascii="Verdana" w:hAnsi="Verdana" w:eastAsia="宋体"/>
      <w:kern w:val="0"/>
      <w:sz w:val="20"/>
      <w:lang w:eastAsia="en-US"/>
    </w:rPr>
  </w:style>
  <w:style w:type="paragraph" w:customStyle="1" w:styleId="75">
    <w:name w:val="_Style 30"/>
    <w:basedOn w:val="1"/>
    <w:qFormat/>
    <w:uiPriority w:val="99"/>
    <w:pPr>
      <w:spacing w:line="240" w:lineRule="auto"/>
    </w:pPr>
    <w:rPr>
      <w:rFonts w:ascii="Tahoma" w:hAnsi="Tahoma" w:eastAsia="宋体"/>
    </w:rPr>
  </w:style>
  <w:style w:type="paragraph" w:customStyle="1" w:styleId="76">
    <w:name w:val="1"/>
    <w:basedOn w:val="1"/>
    <w:next w:val="5"/>
    <w:qFormat/>
    <w:uiPriority w:val="99"/>
    <w:pPr>
      <w:snapToGrid w:val="0"/>
      <w:spacing w:line="360" w:lineRule="auto"/>
      <w:ind w:firstLine="567"/>
    </w:pPr>
    <w:rPr>
      <w:rFonts w:eastAsia="宋体"/>
      <w:sz w:val="28"/>
    </w:rPr>
  </w:style>
  <w:style w:type="paragraph" w:customStyle="1" w:styleId="77">
    <w:name w:val="reader-word-layer"/>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customStyle="1" w:styleId="78">
    <w:name w:val="z-窗体顶端1"/>
    <w:basedOn w:val="1"/>
    <w:qFormat/>
    <w:uiPriority w:val="99"/>
    <w:pPr>
      <w:spacing w:line="360" w:lineRule="auto"/>
      <w:ind w:firstLine="420" w:firstLineChars="200"/>
    </w:pPr>
    <w:rPr>
      <w:rFonts w:ascii="Calibri" w:hAnsi="Calibri" w:eastAsia="宋体" w:cs="Calibri"/>
      <w:sz w:val="21"/>
      <w:szCs w:val="21"/>
    </w:rPr>
  </w:style>
  <w:style w:type="paragraph" w:customStyle="1" w:styleId="79">
    <w:name w:val="Default"/>
    <w:qFormat/>
    <w:uiPriority w:val="99"/>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80">
    <w:name w:val="Char Char Char1"/>
    <w:basedOn w:val="1"/>
    <w:qFormat/>
    <w:uiPriority w:val="99"/>
    <w:pPr>
      <w:widowControl/>
      <w:spacing w:after="160" w:line="240" w:lineRule="exact"/>
      <w:jc w:val="left"/>
    </w:pPr>
    <w:rPr>
      <w:rFonts w:eastAsia="宋体"/>
      <w:sz w:val="21"/>
    </w:rPr>
  </w:style>
  <w:style w:type="paragraph" w:customStyle="1" w:styleId="81">
    <w:name w:val="TOC 标题1"/>
    <w:basedOn w:val="2"/>
    <w:next w:val="1"/>
    <w:qFormat/>
    <w:uiPriority w:val="99"/>
    <w:pPr>
      <w:widowControl/>
      <w:spacing w:before="240" w:after="0" w:line="259" w:lineRule="auto"/>
      <w:jc w:val="left"/>
      <w:outlineLvl w:val="9"/>
    </w:pPr>
    <w:rPr>
      <w:rFonts w:ascii="Cambria" w:hAnsi="Cambria" w:cs="黑体"/>
      <w:b w:val="0"/>
      <w:color w:val="365F90"/>
      <w:spacing w:val="0"/>
      <w:kern w:val="0"/>
      <w:sz w:val="32"/>
      <w:szCs w:val="32"/>
    </w:rPr>
  </w:style>
  <w:style w:type="paragraph" w:customStyle="1" w:styleId="82">
    <w:name w:val="列出段落1"/>
    <w:basedOn w:val="1"/>
    <w:qFormat/>
    <w:uiPriority w:val="99"/>
    <w:pPr>
      <w:spacing w:line="240" w:lineRule="auto"/>
      <w:ind w:firstLine="420" w:firstLineChars="200"/>
    </w:pPr>
    <w:rPr>
      <w:rFonts w:ascii="Calibri" w:hAnsi="Calibri" w:eastAsia="宋体" w:cs="黑体"/>
      <w:sz w:val="21"/>
      <w:szCs w:val="22"/>
    </w:rPr>
  </w:style>
  <w:style w:type="character" w:customStyle="1" w:styleId="83">
    <w:name w:val="bds_more2"/>
    <w:qFormat/>
    <w:uiPriority w:val="99"/>
    <w:rPr>
      <w:rFonts w:ascii="宋体" w:hAnsi="宋体" w:eastAsia="宋体"/>
    </w:rPr>
  </w:style>
  <w:style w:type="character" w:customStyle="1" w:styleId="84">
    <w:name w:val="bds_more1"/>
    <w:qFormat/>
    <w:uiPriority w:val="99"/>
    <w:rPr>
      <w:rFonts w:cs="Times New Roman"/>
    </w:rPr>
  </w:style>
  <w:style w:type="character" w:customStyle="1" w:styleId="85">
    <w:name w:val="font31"/>
    <w:qFormat/>
    <w:uiPriority w:val="99"/>
    <w:rPr>
      <w:rFonts w:ascii="仿宋_GB2312" w:eastAsia="仿宋_GB2312"/>
      <w:color w:val="000000"/>
      <w:sz w:val="20"/>
      <w:u w:val="none"/>
      <w:vertAlign w:val="superscript"/>
    </w:rPr>
  </w:style>
  <w:style w:type="character" w:customStyle="1" w:styleId="86">
    <w:name w:val="desc"/>
    <w:qFormat/>
    <w:uiPriority w:val="99"/>
    <w:rPr>
      <w:color w:val="000000"/>
      <w:sz w:val="18"/>
    </w:rPr>
  </w:style>
  <w:style w:type="character" w:customStyle="1" w:styleId="87">
    <w:name w:val="sort"/>
    <w:qFormat/>
    <w:uiPriority w:val="99"/>
  </w:style>
  <w:style w:type="character" w:customStyle="1" w:styleId="88">
    <w:name w:val="bds_more7"/>
    <w:qFormat/>
    <w:uiPriority w:val="99"/>
    <w:rPr>
      <w:rFonts w:cs="Times New Roman"/>
    </w:rPr>
  </w:style>
  <w:style w:type="character" w:customStyle="1" w:styleId="89">
    <w:name w:val="bds_more"/>
    <w:qFormat/>
    <w:uiPriority w:val="99"/>
  </w:style>
  <w:style w:type="character" w:customStyle="1" w:styleId="90">
    <w:name w:val="morelink-item"/>
    <w:qFormat/>
    <w:uiPriority w:val="99"/>
  </w:style>
  <w:style w:type="character" w:customStyle="1" w:styleId="91">
    <w:name w:val="font01"/>
    <w:qFormat/>
    <w:uiPriority w:val="0"/>
    <w:rPr>
      <w:rFonts w:ascii="仿宋_GB2312" w:eastAsia="仿宋_GB2312"/>
      <w:color w:val="000000"/>
      <w:sz w:val="20"/>
      <w:vertAlign w:val="superscript"/>
    </w:rPr>
  </w:style>
  <w:style w:type="character" w:customStyle="1" w:styleId="92">
    <w:name w:val="ninetext1"/>
    <w:qFormat/>
    <w:uiPriority w:val="99"/>
    <w:rPr>
      <w:sz w:val="18"/>
    </w:rPr>
  </w:style>
  <w:style w:type="character" w:customStyle="1" w:styleId="93">
    <w:name w:val="Char Char1"/>
    <w:qFormat/>
    <w:uiPriority w:val="99"/>
    <w:rPr>
      <w:rFonts w:ascii="宋体" w:eastAsia="宋体"/>
      <w:sz w:val="21"/>
      <w:lang w:val="en-US" w:eastAsia="zh-CN"/>
    </w:rPr>
  </w:style>
  <w:style w:type="character" w:customStyle="1" w:styleId="94">
    <w:name w:val="sidecatalog-index1"/>
    <w:qFormat/>
    <w:uiPriority w:val="99"/>
    <w:rPr>
      <w:rFonts w:ascii="Arial" w:hAnsi="Arial"/>
      <w:b/>
      <w:color w:val="999999"/>
      <w:sz w:val="21"/>
    </w:rPr>
  </w:style>
  <w:style w:type="character" w:customStyle="1" w:styleId="95">
    <w:name w:val="bds_nopic2"/>
    <w:qFormat/>
    <w:uiPriority w:val="99"/>
    <w:rPr>
      <w:rFonts w:cs="Times New Roman"/>
    </w:rPr>
  </w:style>
  <w:style w:type="character" w:customStyle="1" w:styleId="96">
    <w:name w:val="正文缩进 Char"/>
    <w:link w:val="5"/>
    <w:qFormat/>
    <w:locked/>
    <w:uiPriority w:val="99"/>
    <w:rPr>
      <w:rFonts w:eastAsia="宋体"/>
      <w:kern w:val="2"/>
      <w:sz w:val="28"/>
      <w:lang w:val="en-US" w:eastAsia="zh-CN"/>
    </w:rPr>
  </w:style>
  <w:style w:type="character" w:customStyle="1" w:styleId="97">
    <w:name w:val="sort1"/>
    <w:qFormat/>
    <w:uiPriority w:val="99"/>
    <w:rPr>
      <w:color w:val="FFFFFF"/>
      <w:bdr w:val="single" w:color="auto" w:sz="24" w:space="0"/>
    </w:rPr>
  </w:style>
  <w:style w:type="character" w:customStyle="1" w:styleId="98">
    <w:name w:val="bds_more6"/>
    <w:qFormat/>
    <w:uiPriority w:val="99"/>
    <w:rPr>
      <w:rFonts w:cs="Times New Roman"/>
    </w:rPr>
  </w:style>
  <w:style w:type="character" w:customStyle="1" w:styleId="99">
    <w:name w:val="bds_nopic1"/>
    <w:qFormat/>
    <w:uiPriority w:val="99"/>
    <w:rPr>
      <w:rFonts w:cs="Times New Roman"/>
    </w:rPr>
  </w:style>
  <w:style w:type="character" w:customStyle="1" w:styleId="100">
    <w:name w:val="标题 3 Char"/>
    <w:qFormat/>
    <w:uiPriority w:val="99"/>
    <w:rPr>
      <w:rFonts w:eastAsia="宋体"/>
      <w:b/>
      <w:kern w:val="2"/>
      <w:sz w:val="32"/>
      <w:lang w:val="en-US" w:eastAsia="zh-CN"/>
    </w:rPr>
  </w:style>
  <w:style w:type="character" w:customStyle="1" w:styleId="101">
    <w:name w:val="desc11"/>
    <w:qFormat/>
    <w:uiPriority w:val="99"/>
    <w:rPr>
      <w:rFonts w:cs="Times New Roman"/>
      <w:color w:val="000000"/>
      <w:sz w:val="18"/>
      <w:szCs w:val="18"/>
    </w:rPr>
  </w:style>
  <w:style w:type="character" w:customStyle="1" w:styleId="102">
    <w:name w:val="正文（首行缩进两字） Char"/>
    <w:qFormat/>
    <w:uiPriority w:val="99"/>
    <w:rPr>
      <w:rFonts w:eastAsia="宋体"/>
      <w:kern w:val="2"/>
      <w:sz w:val="28"/>
      <w:lang w:val="en-US" w:eastAsia="zh-CN"/>
    </w:rPr>
  </w:style>
  <w:style w:type="character" w:customStyle="1" w:styleId="103">
    <w:name w:val="polysemyred"/>
    <w:qFormat/>
    <w:uiPriority w:val="99"/>
    <w:rPr>
      <w:color w:val="FF6666"/>
      <w:sz w:val="18"/>
    </w:rPr>
  </w:style>
  <w:style w:type="character" w:customStyle="1" w:styleId="104">
    <w:name w:val="sidecatalog-dot"/>
    <w:qFormat/>
    <w:uiPriority w:val="99"/>
    <w:rPr>
      <w:rFonts w:cs="Times New Roman"/>
    </w:rPr>
  </w:style>
  <w:style w:type="character" w:customStyle="1" w:styleId="105">
    <w:name w:val="正文（首行缩进两字） Char3"/>
    <w:qFormat/>
    <w:uiPriority w:val="99"/>
    <w:rPr>
      <w:rFonts w:eastAsia="宋体"/>
      <w:kern w:val="2"/>
      <w:sz w:val="28"/>
      <w:lang w:val="en-US" w:eastAsia="zh-CN"/>
    </w:rPr>
  </w:style>
  <w:style w:type="character" w:customStyle="1" w:styleId="106">
    <w:name w:val="Char Char3"/>
    <w:qFormat/>
    <w:uiPriority w:val="99"/>
    <w:rPr>
      <w:rFonts w:ascii="宋体" w:hAnsi="Courier New" w:eastAsia="宋体"/>
      <w:kern w:val="2"/>
      <w:sz w:val="21"/>
      <w:lang w:val="en-US" w:eastAsia="zh-CN"/>
    </w:rPr>
  </w:style>
  <w:style w:type="character" w:customStyle="1" w:styleId="107">
    <w:name w:val="普通文字 Char Char"/>
    <w:qFormat/>
    <w:uiPriority w:val="99"/>
    <w:rPr>
      <w:rFonts w:ascii="宋体" w:hAnsi="Courier New" w:eastAsia="仿宋_GB2312"/>
      <w:kern w:val="2"/>
      <w:sz w:val="24"/>
      <w:lang w:val="en-US" w:eastAsia="zh-CN"/>
    </w:rPr>
  </w:style>
  <w:style w:type="character" w:customStyle="1" w:styleId="108">
    <w:name w:val="lemmatitleh1"/>
    <w:qFormat/>
    <w:uiPriority w:val="99"/>
    <w:rPr>
      <w:rFonts w:cs="Times New Roman"/>
    </w:rPr>
  </w:style>
  <w:style w:type="character" w:customStyle="1" w:styleId="109">
    <w:name w:val="lemmatitleh12"/>
    <w:qFormat/>
    <w:uiPriority w:val="99"/>
    <w:rPr>
      <w:rFonts w:cs="Times New Roman"/>
    </w:rPr>
  </w:style>
  <w:style w:type="character" w:customStyle="1" w:styleId="110">
    <w:name w:val="sidecatalog-dot1"/>
    <w:qFormat/>
    <w:uiPriority w:val="99"/>
    <w:rPr>
      <w:rFonts w:cs="Times New Roman"/>
    </w:rPr>
  </w:style>
  <w:style w:type="character" w:customStyle="1" w:styleId="111">
    <w:name w:val="bds_nopic"/>
    <w:qFormat/>
    <w:uiPriority w:val="99"/>
    <w:rPr>
      <w:rFonts w:cs="Times New Roman"/>
    </w:rPr>
  </w:style>
  <w:style w:type="character" w:customStyle="1" w:styleId="112">
    <w:name w:val="bds_more3"/>
    <w:qFormat/>
    <w:uiPriority w:val="99"/>
  </w:style>
  <w:style w:type="character" w:customStyle="1" w:styleId="113">
    <w:name w:val="polysemyexp"/>
    <w:qFormat/>
    <w:uiPriority w:val="99"/>
    <w:rPr>
      <w:color w:val="AAAAAA"/>
      <w:sz w:val="18"/>
    </w:rPr>
  </w:style>
  <w:style w:type="character" w:customStyle="1" w:styleId="114">
    <w:name w:val="sidecatalog-index2"/>
    <w:qFormat/>
    <w:uiPriority w:val="99"/>
    <w:rPr>
      <w:rFonts w:ascii="Arail" w:hAnsi="Arail" w:eastAsia="Times New Roman"/>
      <w:color w:val="999999"/>
      <w:sz w:val="21"/>
    </w:rPr>
  </w:style>
  <w:style w:type="character" w:customStyle="1" w:styleId="115">
    <w:name w:val="font51"/>
    <w:qFormat/>
    <w:uiPriority w:val="0"/>
    <w:rPr>
      <w:rFonts w:ascii="仿宋_GB2312" w:eastAsia="仿宋_GB2312" w:cs="仿宋_GB2312"/>
      <w:color w:val="000000"/>
      <w:sz w:val="20"/>
      <w:szCs w:val="20"/>
      <w:u w:val="none"/>
      <w:vertAlign w:val="superscript"/>
    </w:rPr>
  </w:style>
  <w:style w:type="character" w:customStyle="1" w:styleId="116">
    <w:name w:val="apple-style-span"/>
    <w:qFormat/>
    <w:uiPriority w:val="99"/>
    <w:rPr>
      <w:rFonts w:cs="Times New Roman"/>
    </w:rPr>
  </w:style>
  <w:style w:type="character" w:customStyle="1" w:styleId="117">
    <w:name w:val="bds_more4"/>
    <w:qFormat/>
    <w:uiPriority w:val="99"/>
  </w:style>
  <w:style w:type="character" w:customStyle="1" w:styleId="118">
    <w:name w:val="plus"/>
    <w:qFormat/>
    <w:uiPriority w:val="99"/>
    <w:rPr>
      <w:b/>
      <w:vanish/>
      <w:color w:val="1F8DEF"/>
      <w:sz w:val="24"/>
    </w:rPr>
  </w:style>
  <w:style w:type="character" w:customStyle="1" w:styleId="119">
    <w:name w:val="font21"/>
    <w:qFormat/>
    <w:uiPriority w:val="99"/>
    <w:rPr>
      <w:rFonts w:ascii="仿宋_GB2312" w:eastAsia="仿宋_GB2312" w:cs="仿宋_GB2312"/>
      <w:color w:val="000000"/>
      <w:sz w:val="20"/>
      <w:szCs w:val="20"/>
      <w:u w:val="none"/>
    </w:rPr>
  </w:style>
  <w:style w:type="character" w:customStyle="1" w:styleId="120">
    <w:name w:val="font11"/>
    <w:qFormat/>
    <w:uiPriority w:val="99"/>
    <w:rPr>
      <w:rFonts w:ascii="仿宋_GB2312" w:eastAsia="仿宋_GB2312" w:cs="仿宋_GB2312"/>
      <w:color w:val="000000"/>
      <w:sz w:val="20"/>
      <w:szCs w:val="20"/>
      <w:u w:val="none"/>
      <w:vertAlign w:val="superscript"/>
    </w:rPr>
  </w:style>
  <w:style w:type="character" w:customStyle="1" w:styleId="121">
    <w:name w:val="font41"/>
    <w:qFormat/>
    <w:uiPriority w:val="0"/>
    <w:rPr>
      <w:rFonts w:ascii="宋体" w:hAnsi="宋体" w:eastAsia="宋体" w:cs="宋体"/>
      <w:color w:val="000000"/>
      <w:sz w:val="20"/>
      <w:szCs w:val="20"/>
      <w:u w:val="none"/>
    </w:rPr>
  </w:style>
  <w:style w:type="character" w:customStyle="1" w:styleId="122">
    <w:name w:val="apple-converted-space"/>
    <w:qFormat/>
    <w:uiPriority w:val="99"/>
    <w:rPr>
      <w:rFonts w:cs="Times New Roman"/>
    </w:rPr>
  </w:style>
  <w:style w:type="character" w:customStyle="1" w:styleId="123">
    <w:name w:val="font71"/>
    <w:qFormat/>
    <w:uiPriority w:val="99"/>
    <w:rPr>
      <w:rFonts w:ascii="宋体" w:hAnsi="宋体" w:eastAsia="宋体" w:cs="宋体"/>
      <w:b/>
      <w:color w:val="auto"/>
      <w:sz w:val="28"/>
      <w:szCs w:val="28"/>
      <w:u w:val="none"/>
    </w:rPr>
  </w:style>
  <w:style w:type="character" w:customStyle="1" w:styleId="124">
    <w:name w:val="font81"/>
    <w:qFormat/>
    <w:uiPriority w:val="99"/>
    <w:rPr>
      <w:rFonts w:ascii="宋体" w:hAnsi="宋体" w:eastAsia="宋体" w:cs="宋体"/>
      <w:b/>
      <w:color w:val="auto"/>
      <w:sz w:val="18"/>
      <w:szCs w:val="18"/>
      <w:u w:val="none"/>
    </w:rPr>
  </w:style>
  <w:style w:type="character" w:customStyle="1" w:styleId="125">
    <w:name w:val="font61"/>
    <w:qFormat/>
    <w:uiPriority w:val="99"/>
    <w:rPr>
      <w:rFonts w:ascii="宋体" w:hAnsi="宋体" w:eastAsia="宋体" w:cs="宋体"/>
      <w:color w:val="auto"/>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F156C7-A4D6-4373-B41E-5280BB11E6E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69</Pages>
  <Words>6229</Words>
  <Characters>35507</Characters>
  <Lines>295</Lines>
  <Paragraphs>83</Paragraphs>
  <TotalTime>119</TotalTime>
  <ScaleCrop>false</ScaleCrop>
  <LinksUpToDate>false</LinksUpToDate>
  <CharactersWithSpaces>41653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2015-09-23T03:38:00Z</dcterms:created>
  <dc:creator>省城估价</dc:creator>
  <cp:lastModifiedBy>pc-1</cp:lastModifiedBy>
  <cp:lastPrinted>2019-01-03T02:52:10Z</cp:lastPrinted>
  <dcterms:modified xsi:type="dcterms:W3CDTF">2019-01-03T07:36:27Z</dcterms:modified>
  <dc:title>江苏港宁东林厂区仓库房产评估报告</dc:title>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