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spacing w:beforeLines="400" w:line="360" w:lineRule="auto"/>
        <w:jc w:val="center"/>
        <w:rPr>
          <w:rFonts w:eastAsia="仿宋_GB2312"/>
          <w:b/>
          <w:bCs/>
          <w:spacing w:val="24"/>
          <w:sz w:val="72"/>
          <w:szCs w:val="72"/>
        </w:rPr>
      </w:pPr>
      <w:r>
        <w:rPr>
          <w:rFonts w:hint="eastAsia" w:ascii="楷体_GB2312" w:eastAsia="楷体_GB2312"/>
          <w:b/>
          <w:spacing w:val="24"/>
          <w:sz w:val="72"/>
          <w:szCs w:val="72"/>
        </w:rPr>
        <w:t>房地产估价报告</w:t>
      </w:r>
    </w:p>
    <w:p>
      <w:pPr>
        <w:spacing w:line="360" w:lineRule="auto"/>
        <w:jc w:val="center"/>
        <w:rPr>
          <w:rFonts w:eastAsia="仿宋_GB2312"/>
          <w:sz w:val="28"/>
        </w:rPr>
      </w:pPr>
    </w:p>
    <w:p>
      <w:pPr>
        <w:spacing w:line="360" w:lineRule="auto"/>
        <w:jc w:val="center"/>
        <w:rPr>
          <w:rFonts w:eastAsia="仿宋_GB2312"/>
          <w:sz w:val="28"/>
        </w:rPr>
      </w:pPr>
    </w:p>
    <w:tbl>
      <w:tblPr>
        <w:tblStyle w:val="23"/>
        <w:tblW w:w="9508" w:type="dxa"/>
        <w:jc w:val="center"/>
        <w:tblInd w:w="0" w:type="dxa"/>
        <w:tblLayout w:type="fixed"/>
        <w:tblCellMar>
          <w:top w:w="0" w:type="dxa"/>
          <w:left w:w="108" w:type="dxa"/>
          <w:bottom w:w="0" w:type="dxa"/>
          <w:right w:w="108" w:type="dxa"/>
        </w:tblCellMar>
      </w:tblPr>
      <w:tblGrid>
        <w:gridCol w:w="2924"/>
        <w:gridCol w:w="6584"/>
      </w:tblGrid>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210" w:rightChars="100"/>
              <w:jc w:val="left"/>
              <w:rPr>
                <w:rFonts w:eastAsia="仿宋_GB2312"/>
                <w:b/>
                <w:sz w:val="28"/>
              </w:rPr>
            </w:pPr>
            <w:r>
              <w:rPr>
                <w:rFonts w:hint="eastAsia" w:eastAsia="楷体_GB2312"/>
                <w:b/>
                <w:sz w:val="32"/>
              </w:rPr>
              <w:t>估价项目名称：</w:t>
            </w:r>
          </w:p>
        </w:tc>
        <w:tc>
          <w:tcPr>
            <w:tcW w:w="6584" w:type="dxa"/>
            <w:vAlign w:val="center"/>
          </w:tcPr>
          <w:p>
            <w:pPr>
              <w:spacing w:line="540" w:lineRule="exact"/>
              <w:rPr>
                <w:rFonts w:ascii="Calibri" w:hAnsi="Calibri" w:eastAsia="楷体_GB2312"/>
                <w:color w:val="000000"/>
                <w:sz w:val="32"/>
                <w:szCs w:val="32"/>
              </w:rPr>
            </w:pPr>
            <w:r>
              <w:rPr>
                <w:rFonts w:hint="eastAsia" w:ascii="楷体_GB2312" w:hAnsi="楷体_GB2312" w:eastAsia="楷体_GB2312" w:cs="楷体_GB2312"/>
                <w:color w:val="000000"/>
                <w:w w:val="95"/>
                <w:sz w:val="32"/>
                <w:szCs w:val="32"/>
                <w:lang w:eastAsia="zh-CN"/>
              </w:rPr>
              <w:t>项云发所有的</w:t>
            </w:r>
            <w:r>
              <w:rPr>
                <w:rFonts w:hint="eastAsia" w:ascii="楷体_GB2312" w:hAnsi="楷体_GB2312" w:eastAsia="楷体_GB2312" w:cs="楷体_GB2312"/>
                <w:color w:val="000000"/>
                <w:w w:val="95"/>
                <w:sz w:val="32"/>
                <w:szCs w:val="32"/>
              </w:rPr>
              <w:t>位于</w:t>
            </w:r>
            <w:r>
              <w:rPr>
                <w:rFonts w:hint="eastAsia" w:ascii="楷体_GB2312" w:eastAsia="楷体_GB2312"/>
                <w:color w:val="000000"/>
                <w:w w:val="95"/>
                <w:sz w:val="32"/>
                <w:szCs w:val="32"/>
                <w:lang w:eastAsia="zh-CN"/>
              </w:rPr>
              <w:t>江西省德兴市香屯镇五星村</w:t>
            </w:r>
            <w:r>
              <w:rPr>
                <w:rFonts w:hint="eastAsia" w:ascii="楷体_GB2312" w:eastAsia="楷体_GB2312"/>
                <w:color w:val="000000"/>
                <w:w w:val="95"/>
                <w:sz w:val="32"/>
                <w:szCs w:val="32"/>
              </w:rPr>
              <w:t>的房地产市场价值评估</w:t>
            </w:r>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210" w:rightChars="100"/>
              <w:jc w:val="left"/>
              <w:rPr>
                <w:rFonts w:eastAsia="仿宋_GB2312"/>
                <w:b/>
                <w:sz w:val="28"/>
              </w:rPr>
            </w:pPr>
            <w:r>
              <w:rPr>
                <w:rFonts w:hint="eastAsia" w:eastAsia="楷体_GB2312"/>
                <w:b/>
                <w:sz w:val="32"/>
              </w:rPr>
              <w:t>估价委托人：</w:t>
            </w:r>
          </w:p>
        </w:tc>
        <w:tc>
          <w:tcPr>
            <w:tcW w:w="6584" w:type="dxa"/>
            <w:vAlign w:val="center"/>
          </w:tcPr>
          <w:p>
            <w:pPr>
              <w:spacing w:line="540" w:lineRule="exact"/>
              <w:ind w:right="100"/>
              <w:rPr>
                <w:rFonts w:hint="eastAsia" w:ascii="楷体_GB2312" w:eastAsia="楷体_GB2312"/>
                <w:color w:val="000000"/>
                <w:sz w:val="28"/>
                <w:lang w:eastAsia="zh-CN"/>
              </w:rPr>
            </w:pPr>
            <w:r>
              <w:rPr>
                <w:rFonts w:hint="eastAsia" w:ascii="楷体_GB2312" w:hAnsi="宋体" w:eastAsia="楷体_GB2312" w:cs="宋体"/>
                <w:color w:val="000000"/>
                <w:sz w:val="32"/>
                <w:lang w:eastAsia="zh-CN"/>
              </w:rPr>
              <w:t>浙江省金华市婺城区人民法院</w:t>
            </w:r>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143" w:rightChars="-68"/>
              <w:jc w:val="left"/>
              <w:rPr>
                <w:rFonts w:eastAsia="仿宋_GB2312"/>
                <w:b/>
                <w:sz w:val="28"/>
              </w:rPr>
            </w:pPr>
            <w:r>
              <w:rPr>
                <w:rFonts w:hint="eastAsia" w:eastAsia="楷体_GB2312"/>
                <w:b/>
                <w:sz w:val="32"/>
              </w:rPr>
              <w:t>房地产估价机构：</w:t>
            </w:r>
          </w:p>
        </w:tc>
        <w:tc>
          <w:tcPr>
            <w:tcW w:w="6584" w:type="dxa"/>
            <w:vAlign w:val="center"/>
          </w:tcPr>
          <w:p>
            <w:pPr>
              <w:spacing w:line="540" w:lineRule="exact"/>
              <w:ind w:right="100"/>
              <w:rPr>
                <w:rFonts w:eastAsia="仿宋_GB2312"/>
                <w:sz w:val="28"/>
              </w:rPr>
            </w:pPr>
            <w:r>
              <w:rPr>
                <w:rFonts w:hint="eastAsia" w:eastAsia="楷体_GB2312"/>
                <w:sz w:val="32"/>
              </w:rPr>
              <w:t>金华市华诚房地产土地评估有限责任公司</w:t>
            </w:r>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145" w:rightChars="-69"/>
              <w:jc w:val="left"/>
              <w:rPr>
                <w:rFonts w:eastAsia="仿宋_GB2312"/>
                <w:b/>
                <w:sz w:val="28"/>
              </w:rPr>
            </w:pPr>
            <w:r>
              <w:rPr>
                <w:rFonts w:hint="eastAsia" w:ascii="楷体_GB2312" w:eastAsia="楷体_GB2312"/>
                <w:b/>
                <w:sz w:val="32"/>
                <w:szCs w:val="32"/>
              </w:rPr>
              <w:t>注册房地产估价师</w:t>
            </w:r>
            <w:r>
              <w:rPr>
                <w:rFonts w:hint="eastAsia" w:eastAsia="楷体_GB2312"/>
                <w:b/>
                <w:sz w:val="32"/>
              </w:rPr>
              <w:t>：</w:t>
            </w:r>
          </w:p>
        </w:tc>
        <w:tc>
          <w:tcPr>
            <w:tcW w:w="6584" w:type="dxa"/>
            <w:vAlign w:val="center"/>
          </w:tcPr>
          <w:p>
            <w:pPr>
              <w:ind w:right="100"/>
              <w:rPr>
                <w:rFonts w:hint="eastAsia" w:ascii="楷体" w:hAnsi="楷体" w:eastAsia="楷体"/>
                <w:sz w:val="32"/>
                <w:szCs w:val="32"/>
                <w:lang w:eastAsia="zh-CN"/>
              </w:rPr>
            </w:pPr>
            <w:r>
              <w:rPr>
                <w:rFonts w:hint="eastAsia" w:ascii="楷体" w:hAnsi="楷体" w:eastAsia="楷体"/>
                <w:sz w:val="32"/>
                <w:szCs w:val="32"/>
                <w:lang w:eastAsia="zh-CN"/>
              </w:rPr>
              <w:t>俞小群(</w:t>
            </w:r>
            <w:r>
              <w:rPr>
                <w:rFonts w:hint="eastAsia" w:ascii="楷体" w:hAnsi="楷体" w:eastAsia="楷体"/>
                <w:sz w:val="32"/>
                <w:szCs w:val="32"/>
              </w:rPr>
              <w:t>注册号：</w:t>
            </w:r>
            <w:r>
              <w:rPr>
                <w:rFonts w:hint="eastAsia" w:ascii="楷体" w:hAnsi="楷体" w:eastAsia="楷体"/>
                <w:sz w:val="32"/>
                <w:szCs w:val="32"/>
                <w:lang w:eastAsia="zh-CN"/>
              </w:rPr>
              <w:t>3320100028)</w:t>
            </w:r>
          </w:p>
          <w:p>
            <w:pPr>
              <w:spacing w:line="540" w:lineRule="exact"/>
              <w:ind w:right="100"/>
              <w:rPr>
                <w:rFonts w:hint="eastAsia" w:ascii="楷体_GB2312" w:eastAsia="楷体"/>
                <w:sz w:val="32"/>
                <w:szCs w:val="32"/>
                <w:lang w:eastAsia="zh-CN"/>
              </w:rPr>
            </w:pPr>
            <w:r>
              <w:rPr>
                <w:rFonts w:hint="eastAsia" w:ascii="楷体" w:hAnsi="楷体" w:eastAsia="楷体"/>
                <w:sz w:val="32"/>
                <w:szCs w:val="32"/>
                <w:lang w:eastAsia="zh-CN"/>
              </w:rPr>
              <w:t>商芳军(</w:t>
            </w:r>
            <w:r>
              <w:rPr>
                <w:rFonts w:hint="eastAsia" w:ascii="楷体" w:hAnsi="楷体" w:eastAsia="楷体"/>
                <w:sz w:val="32"/>
                <w:szCs w:val="32"/>
              </w:rPr>
              <w:t>注册号：3320</w:t>
            </w:r>
            <w:r>
              <w:rPr>
                <w:rFonts w:hint="eastAsia" w:ascii="楷体" w:hAnsi="楷体" w:eastAsia="楷体"/>
                <w:sz w:val="32"/>
                <w:szCs w:val="32"/>
                <w:lang w:val="en-US" w:eastAsia="zh-CN"/>
              </w:rPr>
              <w:t>08</w:t>
            </w:r>
            <w:r>
              <w:rPr>
                <w:rFonts w:hint="eastAsia" w:ascii="楷体" w:hAnsi="楷体" w:eastAsia="楷体"/>
                <w:sz w:val="32"/>
                <w:szCs w:val="32"/>
              </w:rPr>
              <w:t>00</w:t>
            </w:r>
            <w:r>
              <w:rPr>
                <w:rFonts w:hint="eastAsia" w:ascii="楷体" w:hAnsi="楷体" w:eastAsia="楷体"/>
                <w:sz w:val="32"/>
                <w:szCs w:val="32"/>
                <w:lang w:val="en-US" w:eastAsia="zh-CN"/>
              </w:rPr>
              <w:t>36</w:t>
            </w:r>
            <w:r>
              <w:rPr>
                <w:rFonts w:hint="eastAsia" w:ascii="楷体" w:hAnsi="楷体" w:eastAsia="楷体"/>
                <w:sz w:val="32"/>
                <w:szCs w:val="32"/>
                <w:lang w:eastAsia="zh-CN"/>
              </w:rPr>
              <w:t>)</w:t>
            </w:r>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288" w:rightChars="-137"/>
              <w:jc w:val="left"/>
              <w:rPr>
                <w:rFonts w:eastAsia="仿宋_GB2312"/>
                <w:b/>
                <w:sz w:val="28"/>
              </w:rPr>
            </w:pPr>
            <w:r>
              <w:rPr>
                <w:rFonts w:hint="eastAsia" w:ascii="楷体_GB2312" w:eastAsia="楷体_GB2312"/>
                <w:b/>
                <w:sz w:val="32"/>
                <w:szCs w:val="32"/>
              </w:rPr>
              <w:t>估价报告出具日期</w:t>
            </w:r>
            <w:r>
              <w:rPr>
                <w:rFonts w:hint="eastAsia" w:eastAsia="楷体_GB2312"/>
                <w:b/>
                <w:sz w:val="32"/>
              </w:rPr>
              <w:t>：</w:t>
            </w:r>
          </w:p>
        </w:tc>
        <w:tc>
          <w:tcPr>
            <w:tcW w:w="6584" w:type="dxa"/>
            <w:vAlign w:val="center"/>
          </w:tcPr>
          <w:p>
            <w:pPr>
              <w:spacing w:line="540" w:lineRule="exact"/>
              <w:ind w:right="100"/>
              <w:rPr>
                <w:rFonts w:hint="eastAsia" w:eastAsia="仿宋_GB2312"/>
                <w:color w:val="000000"/>
                <w:sz w:val="28"/>
                <w:lang w:eastAsia="zh-CN"/>
              </w:rPr>
            </w:pPr>
            <w:r>
              <w:rPr>
                <w:rFonts w:hint="eastAsia" w:eastAsia="楷体_GB2312"/>
                <w:color w:val="000000"/>
                <w:sz w:val="32"/>
                <w:lang w:eastAsia="zh-CN"/>
              </w:rPr>
              <w:t>2019年</w:t>
            </w:r>
            <w:r>
              <w:rPr>
                <w:rFonts w:hint="eastAsia" w:eastAsia="楷体_GB2312"/>
                <w:color w:val="000000"/>
                <w:sz w:val="32"/>
                <w:lang w:val="en-US" w:eastAsia="zh-CN"/>
              </w:rPr>
              <w:t>03</w:t>
            </w:r>
            <w:r>
              <w:rPr>
                <w:rFonts w:hint="eastAsia" w:eastAsia="楷体_GB2312"/>
                <w:color w:val="000000"/>
                <w:sz w:val="32"/>
                <w:lang w:eastAsia="zh-CN"/>
              </w:rPr>
              <w:t>月</w:t>
            </w:r>
            <w:r>
              <w:rPr>
                <w:rFonts w:hint="eastAsia" w:eastAsia="楷体_GB2312"/>
                <w:color w:val="000000"/>
                <w:sz w:val="32"/>
                <w:lang w:val="en-US" w:eastAsia="zh-CN"/>
              </w:rPr>
              <w:t>18</w:t>
            </w:r>
            <w:r>
              <w:rPr>
                <w:rFonts w:hint="eastAsia" w:eastAsia="楷体_GB2312"/>
                <w:color w:val="000000"/>
                <w:sz w:val="32"/>
                <w:lang w:eastAsia="zh-CN"/>
              </w:rPr>
              <w:t>日</w:t>
            </w:r>
            <w:bookmarkStart w:id="26" w:name="_GoBack"/>
            <w:bookmarkEnd w:id="26"/>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210" w:rightChars="100"/>
              <w:jc w:val="left"/>
              <w:rPr>
                <w:rFonts w:eastAsia="仿宋_GB2312"/>
                <w:b/>
                <w:sz w:val="28"/>
              </w:rPr>
            </w:pPr>
            <w:r>
              <w:rPr>
                <w:rFonts w:hint="eastAsia" w:eastAsia="楷体_GB2312"/>
                <w:b/>
                <w:sz w:val="32"/>
              </w:rPr>
              <w:t>估价报告编号：</w:t>
            </w:r>
          </w:p>
        </w:tc>
        <w:tc>
          <w:tcPr>
            <w:tcW w:w="6584" w:type="dxa"/>
            <w:vAlign w:val="center"/>
          </w:tcPr>
          <w:p>
            <w:pPr>
              <w:spacing w:line="540" w:lineRule="exact"/>
              <w:ind w:right="100"/>
              <w:rPr>
                <w:rFonts w:eastAsia="仿宋_GB2312"/>
                <w:color w:val="FF0000"/>
                <w:sz w:val="32"/>
                <w:szCs w:val="32"/>
              </w:rPr>
            </w:pPr>
            <w:r>
              <w:rPr>
                <w:rFonts w:hint="eastAsia" w:eastAsia="楷体_GB2312"/>
                <w:sz w:val="32"/>
              </w:rPr>
              <w:t>金华诚房</w:t>
            </w:r>
            <w:r>
              <w:rPr>
                <w:rFonts w:eastAsia="楷体_GB2312"/>
                <w:sz w:val="32"/>
              </w:rPr>
              <w:t>(</w:t>
            </w:r>
            <w:r>
              <w:rPr>
                <w:rFonts w:hint="eastAsia" w:eastAsia="楷体_GB2312"/>
                <w:sz w:val="32"/>
              </w:rPr>
              <w:t>估</w:t>
            </w:r>
            <w:r>
              <w:rPr>
                <w:rFonts w:eastAsia="楷体_GB2312"/>
                <w:sz w:val="32"/>
              </w:rPr>
              <w:t>)</w:t>
            </w:r>
            <w:r>
              <w:rPr>
                <w:rFonts w:hint="eastAsia" w:eastAsia="楷体_GB2312"/>
                <w:sz w:val="32"/>
              </w:rPr>
              <w:t>字</w:t>
            </w:r>
            <w:r>
              <w:rPr>
                <w:rFonts w:eastAsia="楷体_GB2312"/>
                <w:sz w:val="32"/>
              </w:rPr>
              <w:t>(201</w:t>
            </w:r>
            <w:r>
              <w:rPr>
                <w:rFonts w:hint="eastAsia" w:eastAsia="楷体_GB2312"/>
                <w:sz w:val="32"/>
                <w:lang w:val="en-US" w:eastAsia="zh-CN"/>
              </w:rPr>
              <w:t>9</w:t>
            </w:r>
            <w:r>
              <w:rPr>
                <w:rFonts w:eastAsia="楷体_GB2312"/>
                <w:color w:val="000000"/>
                <w:sz w:val="32"/>
              </w:rPr>
              <w:t>)</w:t>
            </w:r>
            <w:r>
              <w:rPr>
                <w:rFonts w:hint="eastAsia" w:eastAsia="楷体_GB2312"/>
                <w:color w:val="000000"/>
                <w:sz w:val="32"/>
              </w:rPr>
              <w:t>第</w:t>
            </w:r>
            <w:r>
              <w:rPr>
                <w:rFonts w:hint="eastAsia" w:eastAsia="楷体_GB2312"/>
                <w:sz w:val="32"/>
                <w:lang w:val="en-US" w:eastAsia="zh-CN"/>
              </w:rPr>
              <w:t>3-0387</w:t>
            </w:r>
            <w:r>
              <w:rPr>
                <w:rFonts w:hint="eastAsia" w:eastAsia="楷体_GB2312"/>
                <w:color w:val="000000"/>
                <w:sz w:val="32"/>
              </w:rPr>
              <w:t>号</w:t>
            </w:r>
          </w:p>
        </w:tc>
      </w:tr>
      <w:tr>
        <w:tblPrEx>
          <w:tblLayout w:type="fixed"/>
          <w:tblCellMar>
            <w:top w:w="0" w:type="dxa"/>
            <w:left w:w="108" w:type="dxa"/>
            <w:bottom w:w="0" w:type="dxa"/>
            <w:right w:w="108" w:type="dxa"/>
          </w:tblCellMar>
        </w:tblPrEx>
        <w:trPr>
          <w:trHeight w:val="1141" w:hRule="atLeast"/>
          <w:jc w:val="center"/>
        </w:trPr>
        <w:tc>
          <w:tcPr>
            <w:tcW w:w="2924" w:type="dxa"/>
            <w:vAlign w:val="center"/>
          </w:tcPr>
          <w:p>
            <w:pPr>
              <w:spacing w:line="540" w:lineRule="exact"/>
              <w:ind w:right="-53" w:rightChars="-25"/>
              <w:jc w:val="left"/>
              <w:rPr>
                <w:rFonts w:eastAsia="楷体_GB2312"/>
                <w:b/>
                <w:sz w:val="32"/>
              </w:rPr>
            </w:pPr>
            <w:r>
              <w:rPr>
                <w:rFonts w:hint="eastAsia" w:eastAsia="楷体_GB2312"/>
                <w:b/>
                <w:sz w:val="32"/>
              </w:rPr>
              <w:t>司法评估委托书号：</w:t>
            </w:r>
          </w:p>
        </w:tc>
        <w:tc>
          <w:tcPr>
            <w:tcW w:w="6584" w:type="dxa"/>
            <w:vAlign w:val="center"/>
          </w:tcPr>
          <w:p>
            <w:pPr>
              <w:spacing w:line="540" w:lineRule="exact"/>
              <w:ind w:right="100"/>
              <w:rPr>
                <w:rFonts w:hint="eastAsia" w:eastAsia="楷体_GB2312"/>
                <w:sz w:val="32"/>
                <w:lang w:eastAsia="zh-CN"/>
              </w:rPr>
            </w:pPr>
            <w:r>
              <w:rPr>
                <w:rFonts w:hint="eastAsia" w:eastAsia="楷体_GB2312"/>
                <w:sz w:val="32"/>
                <w:lang w:eastAsia="zh-CN"/>
              </w:rPr>
              <w:t>（2019）浙婺法委评</w:t>
            </w:r>
            <w:r>
              <w:rPr>
                <w:rFonts w:hint="eastAsia" w:eastAsia="楷体_GB2312"/>
                <w:sz w:val="32"/>
                <w:lang w:val="en-US" w:eastAsia="zh-CN"/>
              </w:rPr>
              <w:t>21</w:t>
            </w:r>
            <w:r>
              <w:rPr>
                <w:rFonts w:hint="eastAsia" w:eastAsia="楷体_GB2312"/>
                <w:sz w:val="32"/>
                <w:lang w:eastAsia="zh-CN"/>
              </w:rPr>
              <w:t>号</w:t>
            </w:r>
          </w:p>
        </w:tc>
      </w:tr>
    </w:tbl>
    <w:p>
      <w:pPr>
        <w:spacing w:line="360" w:lineRule="auto"/>
        <w:rPr>
          <w:rFonts w:eastAsia="楷体_GB2312"/>
          <w:sz w:val="32"/>
        </w:rPr>
      </w:pPr>
    </w:p>
    <w:p>
      <w:pPr>
        <w:spacing w:line="360" w:lineRule="auto"/>
        <w:jc w:val="center"/>
        <w:rPr>
          <w:rFonts w:eastAsia="仿宋_GB2312"/>
          <w:sz w:val="28"/>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pPr>
    </w:p>
    <w:p>
      <w:pPr>
        <w:jc w:val="center"/>
        <w:rPr>
          <w:rFonts w:eastAsia="仿宋_GB2312"/>
          <w:b/>
          <w:bCs/>
          <w:kern w:val="44"/>
          <w:sz w:val="44"/>
          <w:szCs w:val="44"/>
        </w:rPr>
      </w:pPr>
      <w:bookmarkStart w:id="0" w:name="_Toc476334907"/>
      <w:r>
        <w:rPr>
          <w:rFonts w:hint="eastAsia" w:eastAsia="仿宋_GB2312"/>
          <w:b/>
          <w:bCs/>
          <w:kern w:val="44"/>
          <w:sz w:val="44"/>
          <w:szCs w:val="44"/>
        </w:rPr>
        <w:t>致估价委托人函</w:t>
      </w:r>
    </w:p>
    <w:p>
      <w:pPr>
        <w:spacing w:line="500" w:lineRule="exact"/>
        <w:rPr>
          <w:rFonts w:ascii="仿宋_GB2312" w:hAnsi="宋体" w:eastAsia="仿宋_GB2312" w:cs="宋体"/>
          <w:b/>
          <w:sz w:val="28"/>
          <w:szCs w:val="28"/>
        </w:rPr>
      </w:pPr>
    </w:p>
    <w:p>
      <w:pPr>
        <w:spacing w:line="500" w:lineRule="exact"/>
        <w:rPr>
          <w:rFonts w:ascii="仿宋_GB2312" w:hAnsi="Calibri" w:eastAsia="仿宋_GB2312"/>
          <w:b/>
          <w:sz w:val="28"/>
          <w:szCs w:val="28"/>
        </w:rPr>
      </w:pPr>
      <w:r>
        <w:rPr>
          <w:rFonts w:hint="eastAsia" w:ascii="仿宋_GB2312" w:hAnsi="宋体" w:eastAsia="仿宋_GB2312" w:cs="宋体"/>
          <w:b/>
          <w:sz w:val="28"/>
          <w:szCs w:val="28"/>
          <w:lang w:eastAsia="zh-CN"/>
        </w:rPr>
        <w:t>浙江省金华市婺城区人民法院</w:t>
      </w:r>
      <w:r>
        <w:rPr>
          <w:rFonts w:hint="eastAsia" w:ascii="仿宋_GB2312" w:hAnsi="宋体" w:eastAsia="仿宋_GB2312"/>
          <w:b/>
          <w:sz w:val="28"/>
          <w:szCs w:val="28"/>
        </w:rPr>
        <w:t>：</w:t>
      </w:r>
    </w:p>
    <w:p>
      <w:pPr>
        <w:spacing w:line="500" w:lineRule="exact"/>
        <w:ind w:firstLine="560" w:firstLineChars="200"/>
        <w:rPr>
          <w:rFonts w:ascii="仿宋_GB2312" w:eastAsia="仿宋_GB2312"/>
          <w:bCs/>
          <w:color w:val="000000"/>
          <w:sz w:val="28"/>
          <w:szCs w:val="28"/>
        </w:rPr>
      </w:pPr>
      <w:r>
        <w:rPr>
          <w:rFonts w:hint="eastAsia" w:ascii="仿宋_GB2312" w:eastAsia="仿宋_GB2312"/>
          <w:sz w:val="28"/>
          <w:szCs w:val="28"/>
        </w:rPr>
        <w:t>受贵院的委托</w:t>
      </w:r>
      <w:r>
        <w:rPr>
          <w:rFonts w:hint="eastAsia" w:ascii="仿宋_GB2312" w:eastAsia="仿宋_GB2312"/>
          <w:sz w:val="28"/>
          <w:szCs w:val="28"/>
          <w:lang w:val="en-US" w:eastAsia="zh-CN"/>
        </w:rPr>
        <w:t>【</w:t>
      </w:r>
      <w:r>
        <w:rPr>
          <w:rFonts w:hint="eastAsia" w:ascii="仿宋_GB2312" w:hAnsi="Plotter" w:eastAsia="仿宋_GB2312"/>
          <w:sz w:val="28"/>
          <w:lang w:eastAsia="zh-CN"/>
        </w:rPr>
        <w:t>（2019）浙婺法委评</w:t>
      </w:r>
      <w:r>
        <w:rPr>
          <w:rFonts w:hint="eastAsia" w:ascii="仿宋_GB2312" w:hAnsi="Plotter" w:eastAsia="仿宋_GB2312"/>
          <w:sz w:val="28"/>
          <w:lang w:val="en-US" w:eastAsia="zh-CN"/>
        </w:rPr>
        <w:t>21</w:t>
      </w:r>
      <w:r>
        <w:rPr>
          <w:rFonts w:hint="eastAsia" w:ascii="仿宋_GB2312" w:hAnsi="Plotter" w:eastAsia="仿宋_GB2312"/>
          <w:sz w:val="28"/>
          <w:lang w:eastAsia="zh-CN"/>
        </w:rPr>
        <w:t>号</w:t>
      </w:r>
      <w:r>
        <w:rPr>
          <w:rFonts w:hint="eastAsia" w:ascii="仿宋_GB2312" w:hAnsi="Plotter" w:eastAsia="仿宋_GB2312"/>
          <w:sz w:val="28"/>
        </w:rPr>
        <w:t>《司法评估委托书》</w:t>
      </w:r>
      <w:r>
        <w:rPr>
          <w:rFonts w:hint="eastAsia" w:ascii="仿宋_GB2312" w:hAnsi="Plotter" w:eastAsia="仿宋_GB2312"/>
          <w:sz w:val="28"/>
          <w:lang w:eastAsia="zh-CN"/>
        </w:rPr>
        <w:t>】，我公司对项云发名下</w:t>
      </w:r>
      <w:r>
        <w:rPr>
          <w:rFonts w:hint="eastAsia" w:ascii="仿宋_GB2312" w:eastAsia="仿宋_GB2312"/>
          <w:bCs/>
          <w:color w:val="000000"/>
          <w:sz w:val="28"/>
          <w:szCs w:val="28"/>
        </w:rPr>
        <w:t>位于</w:t>
      </w:r>
      <w:r>
        <w:rPr>
          <w:rFonts w:hint="eastAsia" w:ascii="仿宋_GB2312" w:eastAsia="仿宋_GB2312"/>
          <w:w w:val="95"/>
          <w:sz w:val="28"/>
          <w:szCs w:val="28"/>
          <w:lang w:eastAsia="zh-CN"/>
        </w:rPr>
        <w:t>江西省德兴市香屯镇五星村</w:t>
      </w:r>
      <w:r>
        <w:rPr>
          <w:rFonts w:hint="eastAsia" w:ascii="仿宋_GB2312" w:eastAsia="仿宋_GB2312"/>
          <w:bCs/>
          <w:color w:val="000000"/>
          <w:sz w:val="28"/>
          <w:szCs w:val="28"/>
        </w:rPr>
        <w:t>的房地产市场价值进行了</w:t>
      </w:r>
      <w:r>
        <w:rPr>
          <w:rFonts w:hint="eastAsia" w:ascii="仿宋_GB2312" w:eastAsia="仿宋_GB2312"/>
          <w:bCs/>
          <w:color w:val="000000"/>
          <w:sz w:val="28"/>
          <w:szCs w:val="28"/>
          <w:lang w:eastAsia="zh-CN"/>
        </w:rPr>
        <w:t>评估</w:t>
      </w:r>
      <w:r>
        <w:rPr>
          <w:rFonts w:hint="eastAsia" w:ascii="仿宋_GB2312" w:eastAsia="仿宋_GB2312"/>
          <w:bCs/>
          <w:color w:val="000000"/>
          <w:sz w:val="28"/>
          <w:szCs w:val="28"/>
        </w:rPr>
        <w:t>。</w:t>
      </w:r>
    </w:p>
    <w:p>
      <w:pPr>
        <w:spacing w:line="500" w:lineRule="exact"/>
        <w:ind w:firstLine="560" w:firstLineChars="200"/>
        <w:rPr>
          <w:rFonts w:ascii="仿宋_GB2312" w:hAnsi="Plotter" w:eastAsia="仿宋_GB2312"/>
          <w:color w:val="000000"/>
          <w:sz w:val="28"/>
        </w:rPr>
      </w:pPr>
      <w:r>
        <w:rPr>
          <w:rFonts w:hint="eastAsia" w:ascii="仿宋_GB2312" w:eastAsia="仿宋_GB2312"/>
          <w:bCs/>
          <w:color w:val="000000"/>
          <w:sz w:val="28"/>
          <w:szCs w:val="28"/>
        </w:rPr>
        <w:t>根据委托方提供的相关资料，估价对象所属的《房屋所有权证》号为</w:t>
      </w:r>
      <w:r>
        <w:rPr>
          <w:rFonts w:hint="eastAsia" w:ascii="仿宋_GB2312" w:eastAsia="仿宋_GB2312"/>
          <w:bCs/>
          <w:color w:val="000000"/>
          <w:sz w:val="28"/>
          <w:szCs w:val="28"/>
          <w:lang w:eastAsia="zh-CN"/>
        </w:rPr>
        <w:t>房权证德房发办字第000018579号</w:t>
      </w:r>
      <w:r>
        <w:rPr>
          <w:rFonts w:hint="eastAsia" w:ascii="仿宋_GB2312" w:eastAsia="仿宋_GB2312"/>
          <w:bCs/>
          <w:color w:val="000000"/>
          <w:sz w:val="28"/>
          <w:szCs w:val="28"/>
        </w:rPr>
        <w:t>，房屋建筑面积</w:t>
      </w:r>
      <w:r>
        <w:rPr>
          <w:rFonts w:hint="eastAsia" w:ascii="仿宋_GB2312" w:eastAsia="仿宋_GB2312"/>
          <w:bCs/>
          <w:color w:val="000000"/>
          <w:sz w:val="28"/>
          <w:szCs w:val="28"/>
          <w:lang w:eastAsia="zh-CN"/>
        </w:rPr>
        <w:t>330.14</w:t>
      </w:r>
      <w:r>
        <w:rPr>
          <w:rFonts w:hint="eastAsia" w:ascii="仿宋_GB2312" w:hAnsi="宋体" w:eastAsia="仿宋_GB2312" w:cs="宋体"/>
          <w:color w:val="000000"/>
          <w:kern w:val="0"/>
          <w:sz w:val="28"/>
          <w:szCs w:val="28"/>
        </w:rPr>
        <w:t>平方米</w:t>
      </w:r>
      <w:r>
        <w:rPr>
          <w:rFonts w:hint="eastAsia" w:ascii="仿宋_GB2312" w:hAnsi="宋体" w:eastAsia="仿宋_GB2312" w:cs="宋体"/>
          <w:color w:val="000000"/>
          <w:kern w:val="0"/>
          <w:sz w:val="28"/>
          <w:szCs w:val="28"/>
          <w:lang w:eastAsia="zh-CN"/>
        </w:rPr>
        <w:t>，设计用途为住宅</w:t>
      </w:r>
      <w:r>
        <w:rPr>
          <w:rFonts w:hint="eastAsia" w:ascii="仿宋_GB2312" w:eastAsia="仿宋_GB2312"/>
          <w:color w:val="000000"/>
          <w:w w:val="95"/>
          <w:sz w:val="28"/>
          <w:szCs w:val="28"/>
        </w:rPr>
        <w:t>；</w:t>
      </w:r>
      <w:r>
        <w:rPr>
          <w:rFonts w:hint="eastAsia" w:ascii="仿宋_GB2312" w:eastAsia="仿宋_GB2312"/>
          <w:bCs/>
          <w:color w:val="000000"/>
          <w:sz w:val="28"/>
          <w:szCs w:val="28"/>
        </w:rPr>
        <w:t>《国有土地使用权证》</w:t>
      </w:r>
      <w:r>
        <w:rPr>
          <w:rFonts w:hint="eastAsia" w:ascii="仿宋_GB2312" w:eastAsia="仿宋_GB2312"/>
          <w:bCs/>
          <w:color w:val="000000"/>
          <w:sz w:val="28"/>
          <w:szCs w:val="28"/>
          <w:lang w:eastAsia="zh-CN"/>
        </w:rPr>
        <w:t>证</w:t>
      </w:r>
      <w:r>
        <w:rPr>
          <w:rFonts w:hint="eastAsia" w:ascii="仿宋_GB2312" w:eastAsia="仿宋_GB2312"/>
          <w:bCs/>
          <w:color w:val="000000"/>
          <w:sz w:val="28"/>
          <w:szCs w:val="28"/>
        </w:rPr>
        <w:t>号为</w:t>
      </w:r>
      <w:r>
        <w:rPr>
          <w:rFonts w:hint="eastAsia" w:ascii="仿宋_GB2312" w:eastAsia="仿宋_GB2312"/>
          <w:bCs/>
          <w:color w:val="000000"/>
          <w:sz w:val="28"/>
          <w:szCs w:val="28"/>
          <w:lang w:eastAsia="zh-CN"/>
        </w:rPr>
        <w:t>德国用（2014）第43号</w:t>
      </w:r>
      <w:r>
        <w:rPr>
          <w:rFonts w:hint="eastAsia" w:ascii="仿宋_GB2312" w:eastAsia="仿宋_GB2312"/>
          <w:bCs/>
          <w:color w:val="000000"/>
          <w:sz w:val="28"/>
          <w:szCs w:val="28"/>
        </w:rPr>
        <w:t>，国有</w:t>
      </w:r>
      <w:r>
        <w:rPr>
          <w:rFonts w:hint="eastAsia" w:ascii="仿宋_GB2312" w:eastAsia="仿宋_GB2312"/>
          <w:color w:val="000000"/>
          <w:w w:val="95"/>
          <w:sz w:val="28"/>
          <w:szCs w:val="28"/>
          <w:lang w:eastAsia="zh-CN"/>
        </w:rPr>
        <w:t>划拨</w:t>
      </w:r>
      <w:r>
        <w:rPr>
          <w:rFonts w:hint="eastAsia" w:ascii="仿宋_GB2312" w:eastAsia="仿宋_GB2312"/>
          <w:color w:val="000000"/>
          <w:w w:val="95"/>
          <w:sz w:val="28"/>
          <w:szCs w:val="28"/>
        </w:rPr>
        <w:t>的住宅用地土地</w:t>
      </w:r>
      <w:r>
        <w:rPr>
          <w:rFonts w:hint="eastAsia" w:ascii="仿宋_GB2312" w:eastAsia="仿宋_GB2312"/>
          <w:bCs/>
          <w:color w:val="000000"/>
          <w:sz w:val="28"/>
          <w:szCs w:val="28"/>
        </w:rPr>
        <w:t>使用权</w:t>
      </w:r>
      <w:r>
        <w:rPr>
          <w:rFonts w:hint="eastAsia" w:ascii="仿宋_GB2312" w:eastAsia="仿宋_GB2312"/>
          <w:bCs/>
          <w:color w:val="000000"/>
          <w:sz w:val="28"/>
          <w:szCs w:val="28"/>
          <w:lang w:eastAsia="zh-CN"/>
        </w:rPr>
        <w:t>独用</w:t>
      </w:r>
      <w:r>
        <w:rPr>
          <w:rFonts w:hint="eastAsia" w:ascii="仿宋_GB2312" w:eastAsia="仿宋_GB2312"/>
          <w:bCs/>
          <w:color w:val="000000"/>
          <w:sz w:val="28"/>
          <w:szCs w:val="28"/>
        </w:rPr>
        <w:t>面积为</w:t>
      </w:r>
      <w:r>
        <w:rPr>
          <w:rFonts w:hint="eastAsia" w:ascii="仿宋_GB2312" w:hAnsi="Plotter" w:eastAsia="仿宋_GB2312"/>
          <w:color w:val="000000"/>
          <w:sz w:val="28"/>
          <w:szCs w:val="28"/>
          <w:lang w:val="en-US" w:eastAsia="zh-CN"/>
        </w:rPr>
        <w:t>98</w:t>
      </w:r>
      <w:r>
        <w:rPr>
          <w:rFonts w:hint="eastAsia" w:ascii="仿宋_GB2312" w:eastAsia="仿宋_GB2312"/>
          <w:bCs/>
          <w:color w:val="000000"/>
          <w:sz w:val="28"/>
          <w:szCs w:val="28"/>
        </w:rPr>
        <w:t>平方米。价值时点为</w:t>
      </w:r>
      <w:r>
        <w:rPr>
          <w:rFonts w:hint="eastAsia" w:ascii="仿宋_GB2312" w:hAnsi="宋体" w:eastAsia="仿宋_GB2312"/>
          <w:color w:val="000000"/>
          <w:sz w:val="28"/>
          <w:szCs w:val="28"/>
          <w:lang w:eastAsia="zh-CN"/>
        </w:rPr>
        <w:t>2019年01月</w:t>
      </w:r>
      <w:r>
        <w:rPr>
          <w:rFonts w:hint="eastAsia" w:ascii="仿宋_GB2312" w:hAnsi="宋体" w:eastAsia="仿宋_GB2312"/>
          <w:color w:val="000000"/>
          <w:sz w:val="28"/>
          <w:szCs w:val="28"/>
          <w:lang w:val="en-US" w:eastAsia="zh-CN"/>
        </w:rPr>
        <w:t>30</w:t>
      </w:r>
      <w:r>
        <w:rPr>
          <w:rFonts w:hint="eastAsia" w:ascii="仿宋_GB2312" w:hAnsi="宋体" w:eastAsia="仿宋_GB2312"/>
          <w:color w:val="000000"/>
          <w:sz w:val="28"/>
          <w:szCs w:val="28"/>
          <w:lang w:eastAsia="zh-CN"/>
        </w:rPr>
        <w:t>日</w:t>
      </w:r>
      <w:r>
        <w:rPr>
          <w:rFonts w:hint="eastAsia" w:ascii="仿宋_GB2312" w:eastAsia="仿宋_GB2312"/>
          <w:bCs/>
          <w:color w:val="000000"/>
          <w:sz w:val="28"/>
          <w:szCs w:val="28"/>
        </w:rPr>
        <w:t>，估价目的是</w:t>
      </w:r>
      <w:r>
        <w:rPr>
          <w:rFonts w:hint="eastAsia" w:ascii="仿宋_GB2312" w:hAnsi="宋体" w:eastAsia="仿宋_GB2312" w:cs="宋体"/>
          <w:color w:val="000000"/>
          <w:kern w:val="0"/>
          <w:sz w:val="28"/>
          <w:szCs w:val="28"/>
        </w:rPr>
        <w:t>为</w:t>
      </w:r>
      <w:r>
        <w:rPr>
          <w:rFonts w:hint="eastAsia" w:ascii="仿宋_GB2312" w:hAnsi="宋体" w:eastAsia="仿宋_GB2312" w:cs="宋体"/>
          <w:color w:val="000000"/>
          <w:kern w:val="0"/>
          <w:sz w:val="28"/>
          <w:szCs w:val="28"/>
          <w:lang w:eastAsia="zh-CN"/>
        </w:rPr>
        <w:t>估价</w:t>
      </w:r>
      <w:r>
        <w:rPr>
          <w:rFonts w:hint="eastAsia" w:ascii="仿宋_GB2312" w:hAnsi="宋体" w:eastAsia="仿宋_GB2312" w:cs="宋体"/>
          <w:color w:val="000000"/>
          <w:kern w:val="0"/>
          <w:sz w:val="28"/>
          <w:szCs w:val="28"/>
        </w:rPr>
        <w:t>委托人执行司法处置提供参考依据而评估房地产市场价值</w:t>
      </w:r>
      <w:r>
        <w:rPr>
          <w:rFonts w:hint="eastAsia" w:ascii="仿宋_GB2312" w:hAnsi="Plotter" w:eastAsia="仿宋_GB2312"/>
          <w:color w:val="000000"/>
          <w:sz w:val="28"/>
        </w:rPr>
        <w:t>。</w:t>
      </w:r>
    </w:p>
    <w:p>
      <w:pPr>
        <w:spacing w:line="500" w:lineRule="exact"/>
        <w:ind w:firstLine="560" w:firstLineChars="200"/>
        <w:rPr>
          <w:rFonts w:ascii="仿宋_GB2312" w:eastAsia="仿宋_GB2312"/>
          <w:b/>
          <w:sz w:val="28"/>
          <w:szCs w:val="28"/>
        </w:rPr>
      </w:pPr>
      <w:r>
        <w:rPr>
          <w:rFonts w:hint="eastAsia" w:ascii="仿宋_GB2312" w:eastAsia="仿宋_GB2312"/>
          <w:sz w:val="28"/>
          <w:szCs w:val="28"/>
        </w:rPr>
        <w:t>本公司根据估价目的，</w:t>
      </w:r>
      <w:r>
        <w:rPr>
          <w:rFonts w:hint="eastAsia" w:ascii="仿宋_GB2312" w:hAnsi="宋体" w:eastAsia="仿宋_GB2312" w:cs="宋体"/>
          <w:color w:val="333333"/>
          <w:sz w:val="28"/>
          <w:szCs w:val="28"/>
        </w:rPr>
        <w:t>依据</w:t>
      </w:r>
      <w:r>
        <w:rPr>
          <w:rFonts w:hint="eastAsia" w:ascii="仿宋_GB2312" w:hAnsi="Plotter" w:eastAsia="仿宋_GB2312"/>
          <w:sz w:val="28"/>
          <w:szCs w:val="28"/>
        </w:rPr>
        <w:t>《房地产估价规范》以及有关法律、法规和政策的规定，</w:t>
      </w:r>
      <w:r>
        <w:rPr>
          <w:rFonts w:hint="eastAsia" w:ascii="仿宋_GB2312" w:eastAsia="仿宋_GB2312"/>
          <w:sz w:val="28"/>
          <w:szCs w:val="28"/>
        </w:rPr>
        <w:t>遵循独立、客观、公正、科学的估价原则，</w:t>
      </w:r>
      <w:r>
        <w:rPr>
          <w:rFonts w:hint="eastAsia" w:ascii="仿宋_GB2312" w:hAnsi="Plotter" w:eastAsia="仿宋_GB2312"/>
          <w:sz w:val="28"/>
          <w:szCs w:val="28"/>
        </w:rPr>
        <w:t>按照严谨的估价程序</w:t>
      </w:r>
      <w:r>
        <w:rPr>
          <w:rFonts w:hint="eastAsia" w:ascii="仿宋_GB2312" w:eastAsia="仿宋_GB2312"/>
          <w:sz w:val="28"/>
          <w:szCs w:val="28"/>
        </w:rPr>
        <w:t>，选用比较法和</w:t>
      </w:r>
      <w:r>
        <w:rPr>
          <w:rFonts w:hint="eastAsia" w:ascii="仿宋_GB2312" w:eastAsia="仿宋_GB2312"/>
          <w:sz w:val="28"/>
          <w:szCs w:val="28"/>
          <w:lang w:eastAsia="zh-CN"/>
        </w:rPr>
        <w:t>成本</w:t>
      </w:r>
      <w:r>
        <w:rPr>
          <w:rFonts w:hint="eastAsia" w:ascii="仿宋_GB2312" w:eastAsia="仿宋_GB2312"/>
          <w:sz w:val="28"/>
          <w:szCs w:val="28"/>
        </w:rPr>
        <w:t>法作为本次估价的基本方法，</w:t>
      </w:r>
      <w:r>
        <w:rPr>
          <w:rFonts w:hint="eastAsia" w:ascii="仿宋_GB2312" w:hAnsi="Tahoma" w:eastAsia="仿宋_GB2312" w:cs="Tahoma"/>
          <w:color w:val="000000"/>
          <w:kern w:val="0"/>
          <w:sz w:val="28"/>
          <w:szCs w:val="28"/>
        </w:rPr>
        <w:t>并在综合分析各种影响</w:t>
      </w:r>
      <w:r>
        <w:rPr>
          <w:rFonts w:hint="eastAsia" w:ascii="仿宋_GB2312" w:eastAsia="仿宋_GB2312"/>
          <w:sz w:val="28"/>
          <w:szCs w:val="28"/>
        </w:rPr>
        <w:t>价格因素的基础上，经认真测算评定，确定估价对象在满足本报告估价假设和限制条件下，于价值时点</w:t>
      </w:r>
      <w:r>
        <w:rPr>
          <w:rFonts w:hint="eastAsia" w:ascii="仿宋_GB2312" w:eastAsia="仿宋_GB2312"/>
          <w:sz w:val="28"/>
          <w:szCs w:val="28"/>
          <w:lang w:eastAsia="zh-CN"/>
        </w:rPr>
        <w:t>2019年01月</w:t>
      </w:r>
      <w:r>
        <w:rPr>
          <w:rFonts w:hint="eastAsia" w:ascii="仿宋_GB2312" w:eastAsia="仿宋_GB2312"/>
          <w:sz w:val="28"/>
          <w:szCs w:val="28"/>
          <w:lang w:val="en-US" w:eastAsia="zh-CN"/>
        </w:rPr>
        <w:t>30</w:t>
      </w:r>
      <w:r>
        <w:rPr>
          <w:rFonts w:hint="eastAsia" w:ascii="仿宋_GB2312" w:eastAsia="仿宋_GB2312"/>
          <w:sz w:val="28"/>
          <w:szCs w:val="28"/>
          <w:lang w:eastAsia="zh-CN"/>
        </w:rPr>
        <w:t>日</w:t>
      </w:r>
      <w:r>
        <w:rPr>
          <w:rFonts w:hint="eastAsia" w:ascii="仿宋_GB2312" w:eastAsia="仿宋_GB2312"/>
          <w:sz w:val="28"/>
          <w:szCs w:val="28"/>
        </w:rPr>
        <w:t>的</w:t>
      </w:r>
      <w:r>
        <w:rPr>
          <w:rFonts w:hint="eastAsia" w:ascii="仿宋_GB2312" w:eastAsia="仿宋_GB2312"/>
          <w:b/>
          <w:sz w:val="28"/>
          <w:szCs w:val="28"/>
        </w:rPr>
        <w:t>市场价值为人民币</w:t>
      </w:r>
      <w:r>
        <w:rPr>
          <w:rFonts w:hint="eastAsia" w:ascii="仿宋_GB2312" w:eastAsia="仿宋_GB2312"/>
          <w:b/>
          <w:sz w:val="28"/>
          <w:szCs w:val="28"/>
          <w:lang w:val="en-US" w:eastAsia="zh-CN"/>
        </w:rPr>
        <w:t>148500</w:t>
      </w:r>
      <w:r>
        <w:rPr>
          <w:rFonts w:hint="eastAsia" w:ascii="仿宋_GB2312" w:eastAsia="仿宋_GB2312"/>
          <w:b/>
          <w:sz w:val="28"/>
          <w:szCs w:val="28"/>
          <w:lang w:eastAsia="zh-CN"/>
        </w:rPr>
        <w:t>元</w:t>
      </w:r>
      <w:r>
        <w:rPr>
          <w:rFonts w:hint="eastAsia" w:ascii="仿宋_GB2312" w:eastAsia="仿宋_GB2312"/>
          <w:b/>
          <w:sz w:val="28"/>
          <w:szCs w:val="28"/>
        </w:rPr>
        <w:t>，大写人民币</w:t>
      </w:r>
      <w:r>
        <w:rPr>
          <w:rFonts w:hint="eastAsia" w:ascii="仿宋_GB2312" w:eastAsia="仿宋_GB2312"/>
          <w:b/>
          <w:sz w:val="28"/>
          <w:szCs w:val="28"/>
          <w:lang w:eastAsia="zh-CN"/>
        </w:rPr>
        <w:t>壹拾肆万捌仟伍佰元整</w:t>
      </w:r>
      <w:r>
        <w:rPr>
          <w:rFonts w:hint="eastAsia" w:ascii="仿宋_GB2312" w:eastAsia="仿宋_GB2312"/>
          <w:b/>
          <w:sz w:val="28"/>
          <w:szCs w:val="28"/>
        </w:rPr>
        <w:t>。</w:t>
      </w:r>
    </w:p>
    <w:p>
      <w:pPr>
        <w:pStyle w:val="12"/>
        <w:spacing w:line="500" w:lineRule="exact"/>
        <w:ind w:firstLine="560" w:firstLineChars="200"/>
        <w:rPr>
          <w:rFonts w:hint="eastAsia" w:ascii="仿宋_GB2312" w:hAnsi="Plotter" w:eastAsia="仿宋_GB2312"/>
          <w:sz w:val="28"/>
        </w:rPr>
      </w:pPr>
      <w:r>
        <w:rPr>
          <w:rFonts w:hint="eastAsia" w:ascii="仿宋_GB2312" w:hAnsi="Plotter" w:eastAsia="仿宋_GB2312"/>
          <w:sz w:val="28"/>
        </w:rPr>
        <w:t>要充分了解估价结果的内在涵义，请认真阅读报告书全文，并提请报告使用者注意本报告的估价假设前提和限制条件。</w:t>
      </w:r>
    </w:p>
    <w:p>
      <w:pPr>
        <w:keepNext w:val="0"/>
        <w:keepLines w:val="0"/>
        <w:pageBreakBefore w:val="0"/>
        <w:widowControl w:val="0"/>
        <w:kinsoku/>
        <w:wordWrap/>
        <w:overflowPunct/>
        <w:topLinePunct w:val="0"/>
        <w:autoSpaceDE/>
        <w:autoSpaceDN/>
        <w:bidi w:val="0"/>
        <w:adjustRightInd/>
        <w:spacing w:line="44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特别提示：该标的物转让时应补交土地出让金，具体缴纳金额以相关政府部门核定为准。</w:t>
      </w:r>
    </w:p>
    <w:p>
      <w:pPr>
        <w:keepNext w:val="0"/>
        <w:keepLines w:val="0"/>
        <w:pageBreakBefore w:val="0"/>
        <w:widowControl w:val="0"/>
        <w:kinsoku/>
        <w:wordWrap/>
        <w:overflowPunct/>
        <w:topLinePunct w:val="0"/>
        <w:autoSpaceDE/>
        <w:autoSpaceDN/>
        <w:bidi w:val="0"/>
        <w:adjustRightInd/>
        <w:spacing w:line="440" w:lineRule="exact"/>
        <w:ind w:firstLine="562" w:firstLineChars="200"/>
        <w:textAlignment w:val="auto"/>
        <w:rPr>
          <w:rFonts w:hint="eastAsia" w:ascii="仿宋" w:hAnsi="仿宋" w:eastAsia="仿宋"/>
          <w:b/>
          <w:bCs/>
          <w:sz w:val="28"/>
          <w:szCs w:val="28"/>
        </w:rPr>
      </w:pPr>
    </w:p>
    <w:p>
      <w:pPr>
        <w:pStyle w:val="12"/>
        <w:spacing w:line="500" w:lineRule="exact"/>
        <w:ind w:firstLine="4200" w:firstLineChars="1500"/>
        <w:rPr>
          <w:rFonts w:hint="eastAsia" w:hAnsi="宋体"/>
          <w:sz w:val="28"/>
          <w:szCs w:val="28"/>
        </w:rPr>
      </w:pPr>
      <w:r>
        <w:rPr>
          <w:rFonts w:hint="eastAsia" w:hAnsi="宋体"/>
          <w:sz w:val="28"/>
          <w:szCs w:val="28"/>
        </w:rPr>
        <w:t>金华市华诚房地产土地评估有限责任公司</w:t>
      </w:r>
    </w:p>
    <w:p>
      <w:pPr>
        <w:spacing w:line="500" w:lineRule="exact"/>
        <w:ind w:firstLine="5460" w:firstLineChars="1950"/>
        <w:rPr>
          <w:rFonts w:hint="eastAsia" w:ascii="仿宋_GB2312" w:hAnsi="宋体" w:eastAsia="仿宋_GB2312"/>
          <w:sz w:val="28"/>
        </w:rPr>
      </w:pPr>
      <w:r>
        <w:rPr>
          <w:rFonts w:hint="eastAsia" w:ascii="仿宋_GB2312" w:hAnsi="宋体" w:eastAsia="仿宋_GB2312"/>
          <w:sz w:val="28"/>
        </w:rPr>
        <w:t>法定代表人：</w:t>
      </w:r>
    </w:p>
    <w:p>
      <w:pPr>
        <w:spacing w:line="500" w:lineRule="exact"/>
        <w:ind w:firstLine="2800" w:firstLineChars="1000"/>
        <w:rPr>
          <w:rFonts w:hint="eastAsia" w:ascii="仿宋_GB2312" w:hAnsi="宋体" w:eastAsia="仿宋_GB2312"/>
          <w:sz w:val="28"/>
          <w:lang w:val="en-US" w:eastAsia="zh-CN"/>
        </w:rPr>
      </w:pPr>
      <w:r>
        <w:rPr>
          <w:rFonts w:hint="eastAsia" w:ascii="仿宋_GB2312" w:hAnsi="宋体" w:eastAsia="仿宋_GB2312"/>
          <w:sz w:val="28"/>
        </w:rPr>
        <w:t xml:space="preserve">                     </w:t>
      </w:r>
      <w:r>
        <w:rPr>
          <w:rFonts w:hint="eastAsia" w:ascii="仿宋_GB2312" w:hAnsi="宋体" w:eastAsia="仿宋_GB2312"/>
          <w:sz w:val="28"/>
          <w:lang w:val="en-US" w:eastAsia="zh-CN"/>
        </w:rPr>
        <w:t>2019年03月18日</w:t>
      </w:r>
    </w:p>
    <w:p>
      <w:pPr>
        <w:spacing w:line="500" w:lineRule="exact"/>
        <w:ind w:firstLine="2800" w:firstLineChars="1000"/>
        <w:rPr>
          <w:rFonts w:hint="eastAsia" w:ascii="仿宋_GB2312" w:eastAsia="仿宋_GB2312"/>
          <w:sz w:val="28"/>
          <w:szCs w:val="28"/>
          <w:lang w:eastAsia="zh-CN"/>
        </w:rPr>
      </w:pPr>
    </w:p>
    <w:p>
      <w:pPr>
        <w:spacing w:line="500" w:lineRule="exact"/>
        <w:ind w:firstLine="2800" w:firstLineChars="1000"/>
        <w:rPr>
          <w:rFonts w:hint="eastAsia" w:ascii="仿宋_GB2312" w:eastAsia="仿宋_GB2312"/>
          <w:sz w:val="28"/>
          <w:szCs w:val="28"/>
          <w:lang w:eastAsia="zh-CN"/>
        </w:rPr>
      </w:pPr>
    </w:p>
    <w:p>
      <w:pPr>
        <w:spacing w:line="360" w:lineRule="auto"/>
        <w:jc w:val="center"/>
        <w:rPr>
          <w:rFonts w:eastAsia="仿宋_GB2312"/>
          <w:b/>
          <w:bCs/>
          <w:sz w:val="44"/>
        </w:rPr>
      </w:pPr>
      <w:r>
        <w:rPr>
          <w:rFonts w:hint="eastAsia" w:eastAsia="仿宋_GB2312"/>
          <w:b/>
          <w:bCs/>
          <w:sz w:val="44"/>
        </w:rPr>
        <w:t>目录</w:t>
      </w:r>
    </w:p>
    <w:p>
      <w:pPr>
        <w:pStyle w:val="16"/>
        <w:tabs>
          <w:tab w:val="right" w:leader="dot" w:pos="9344"/>
        </w:tabs>
        <w:spacing w:line="440" w:lineRule="exact"/>
        <w:rPr>
          <w:rFonts w:ascii="Calibri" w:hAnsi="Calibri"/>
          <w:szCs w:val="22"/>
        </w:rPr>
      </w:pPr>
      <w:r>
        <w:rPr>
          <w:rFonts w:ascii="仿宋_GB2312" w:hAnsi="宋体" w:eastAsia="仿宋_GB2312"/>
          <w:bCs/>
          <w:sz w:val="24"/>
          <w:szCs w:val="24"/>
        </w:rPr>
        <w:fldChar w:fldCharType="begin"/>
      </w:r>
      <w:r>
        <w:rPr>
          <w:rFonts w:ascii="仿宋_GB2312" w:hAnsi="宋体" w:eastAsia="仿宋_GB2312"/>
          <w:bCs/>
          <w:sz w:val="24"/>
          <w:szCs w:val="24"/>
        </w:rPr>
        <w:instrText xml:space="preserve"> TOC \o "1-3" \h \z \u </w:instrText>
      </w:r>
      <w:r>
        <w:rPr>
          <w:rFonts w:ascii="仿宋_GB2312" w:hAnsi="宋体" w:eastAsia="仿宋_GB2312"/>
          <w:bCs/>
          <w:sz w:val="24"/>
          <w:szCs w:val="24"/>
        </w:rPr>
        <w:fldChar w:fldCharType="separate"/>
      </w:r>
      <w:r>
        <w:fldChar w:fldCharType="begin"/>
      </w:r>
      <w:r>
        <w:instrText xml:space="preserve"> HYPERLINK \l "_Toc476334907" </w:instrText>
      </w:r>
      <w:r>
        <w:fldChar w:fldCharType="separate"/>
      </w:r>
      <w:r>
        <w:rPr>
          <w:rStyle w:val="29"/>
          <w:rFonts w:hint="eastAsia" w:eastAsia="仿宋_GB2312"/>
        </w:rPr>
        <w:t>估价师</w:t>
      </w:r>
      <w:r>
        <w:rPr>
          <w:rStyle w:val="29"/>
          <w:rFonts w:hint="eastAsia" w:ascii="仿宋_GB2312" w:hAnsi="宋体" w:eastAsia="仿宋_GB2312"/>
        </w:rPr>
        <w:t>声明</w:t>
      </w:r>
      <w:r>
        <w:tab/>
      </w:r>
      <w:r>
        <w:fldChar w:fldCharType="begin"/>
      </w:r>
      <w:r>
        <w:instrText xml:space="preserve"> PAGEREF _Toc476334907 \h </w:instrText>
      </w:r>
      <w:r>
        <w:fldChar w:fldCharType="separate"/>
      </w:r>
      <w:r>
        <w:t>1</w:t>
      </w:r>
      <w:r>
        <w:fldChar w:fldCharType="end"/>
      </w:r>
      <w:r>
        <w:fldChar w:fldCharType="end"/>
      </w:r>
    </w:p>
    <w:p>
      <w:pPr>
        <w:pStyle w:val="16"/>
        <w:tabs>
          <w:tab w:val="right" w:leader="dot" w:pos="9344"/>
        </w:tabs>
        <w:spacing w:line="440" w:lineRule="exact"/>
        <w:rPr>
          <w:rFonts w:ascii="Calibri" w:hAnsi="Calibri"/>
          <w:szCs w:val="22"/>
        </w:rPr>
      </w:pPr>
      <w:r>
        <w:fldChar w:fldCharType="begin"/>
      </w:r>
      <w:r>
        <w:instrText xml:space="preserve"> HYPERLINK \l "_Toc476334908" </w:instrText>
      </w:r>
      <w:r>
        <w:fldChar w:fldCharType="separate"/>
      </w:r>
      <w:r>
        <w:rPr>
          <w:rStyle w:val="29"/>
          <w:rFonts w:hint="eastAsia" w:ascii="仿宋_GB2312" w:hAnsi="宋体" w:eastAsia="仿宋_GB2312"/>
        </w:rPr>
        <w:t>估价的假设和限制条件</w:t>
      </w:r>
      <w:r>
        <w:tab/>
      </w:r>
      <w:r>
        <w:fldChar w:fldCharType="begin"/>
      </w:r>
      <w:r>
        <w:instrText xml:space="preserve"> PAGEREF _Toc476334908 \h </w:instrText>
      </w:r>
      <w:r>
        <w:fldChar w:fldCharType="separate"/>
      </w:r>
      <w:r>
        <w:t>2</w:t>
      </w:r>
      <w:r>
        <w:fldChar w:fldCharType="end"/>
      </w:r>
      <w:r>
        <w:fldChar w:fldCharType="end"/>
      </w:r>
    </w:p>
    <w:p>
      <w:pPr>
        <w:pStyle w:val="16"/>
        <w:tabs>
          <w:tab w:val="right" w:leader="dot" w:pos="9344"/>
        </w:tabs>
        <w:spacing w:line="440" w:lineRule="exact"/>
        <w:rPr>
          <w:rFonts w:ascii="Calibri" w:hAnsi="Calibri"/>
          <w:szCs w:val="22"/>
        </w:rPr>
      </w:pPr>
      <w:r>
        <w:fldChar w:fldCharType="begin"/>
      </w:r>
      <w:r>
        <w:instrText xml:space="preserve"> HYPERLINK \l "_Toc476334909" </w:instrText>
      </w:r>
      <w:r>
        <w:fldChar w:fldCharType="separate"/>
      </w:r>
      <w:r>
        <w:rPr>
          <w:rStyle w:val="29"/>
          <w:rFonts w:hint="eastAsia" w:ascii="仿宋_GB2312" w:hAnsi="宋体" w:eastAsia="仿宋_GB2312"/>
        </w:rPr>
        <w:t>房地产估价结果报告</w:t>
      </w:r>
      <w:r>
        <w:tab/>
      </w:r>
      <w:r>
        <w:fldChar w:fldCharType="begin"/>
      </w:r>
      <w:r>
        <w:instrText xml:space="preserve"> PAGEREF _Toc476334909 \h </w:instrText>
      </w:r>
      <w:r>
        <w:fldChar w:fldCharType="separate"/>
      </w:r>
      <w:r>
        <w:t>5</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"_Toc476334910" </w:instrText>
      </w:r>
      <w:r>
        <w:fldChar w:fldCharType="separate"/>
      </w:r>
      <w:r>
        <w:rPr>
          <w:rStyle w:val="29"/>
          <w:rFonts w:hint="eastAsia" w:ascii="仿宋_GB2312" w:hAnsi="宋体" w:eastAsia="仿宋_GB2312"/>
        </w:rPr>
        <w:t>一、</w:t>
      </w:r>
      <w:r>
        <w:rPr>
          <w:rStyle w:val="29"/>
          <w:rFonts w:hint="eastAsia" w:ascii="仿宋_GB2312" w:eastAsia="仿宋_GB2312"/>
        </w:rPr>
        <w:t>估价委托人</w:t>
      </w:r>
      <w:r>
        <w:tab/>
      </w:r>
      <w:r>
        <w:fldChar w:fldCharType="begin"/>
      </w:r>
      <w:r>
        <w:instrText xml:space="preserve"> PAGEREF _Toc476334910 \h </w:instrText>
      </w:r>
      <w:r>
        <w:fldChar w:fldCharType="separate"/>
      </w:r>
      <w:r>
        <w:t>5</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"_Toc476334911" </w:instrText>
      </w:r>
      <w:r>
        <w:fldChar w:fldCharType="separate"/>
      </w:r>
      <w:r>
        <w:rPr>
          <w:rStyle w:val="29"/>
          <w:rFonts w:hint="eastAsia" w:ascii="仿宋_GB2312" w:hAnsi="宋体" w:eastAsia="仿宋_GB2312"/>
        </w:rPr>
        <w:t>二、房地产估价机构</w:t>
      </w:r>
      <w:r>
        <w:tab/>
      </w:r>
      <w:r>
        <w:fldChar w:fldCharType="begin"/>
      </w:r>
      <w:r>
        <w:instrText xml:space="preserve"> PAGEREF _Toc476334911 \h </w:instrText>
      </w:r>
      <w:r>
        <w:fldChar w:fldCharType="separate"/>
      </w:r>
      <w:r>
        <w:t>5</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"_Toc476334912" </w:instrText>
      </w:r>
      <w:r>
        <w:fldChar w:fldCharType="separate"/>
      </w:r>
      <w:r>
        <w:rPr>
          <w:rStyle w:val="29"/>
          <w:rFonts w:hint="eastAsia" w:ascii="仿宋_GB2312" w:hAnsi="宋体" w:eastAsia="仿宋_GB2312"/>
        </w:rPr>
        <w:t>三、估价对象</w:t>
      </w:r>
      <w:r>
        <w:tab/>
      </w:r>
      <w:r>
        <w:fldChar w:fldCharType="begin"/>
      </w:r>
      <w:r>
        <w:instrText xml:space="preserve"> PAGEREF _Toc476334912 \h </w:instrText>
      </w:r>
      <w:r>
        <w:fldChar w:fldCharType="separate"/>
      </w:r>
      <w:r>
        <w:t>5</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"_Toc476334913" </w:instrText>
      </w:r>
      <w:r>
        <w:fldChar w:fldCharType="separate"/>
      </w:r>
      <w:r>
        <w:rPr>
          <w:rStyle w:val="29"/>
          <w:rFonts w:hint="eastAsia" w:ascii="仿宋_GB2312" w:hAnsi="宋体" w:eastAsia="仿宋_GB2312"/>
        </w:rPr>
        <w:t>四、估价目的</w:t>
      </w:r>
      <w:r>
        <w:tab/>
      </w:r>
      <w:r>
        <w:fldChar w:fldCharType="begin"/>
      </w:r>
      <w:r>
        <w:instrText xml:space="preserve"> PAGEREF _Toc476334913 \h </w:instrText>
      </w:r>
      <w:r>
        <w:fldChar w:fldCharType="separate"/>
      </w:r>
      <w:r>
        <w:t>7</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"_Toc476334914" </w:instrText>
      </w:r>
      <w:r>
        <w:fldChar w:fldCharType="separate"/>
      </w:r>
      <w:r>
        <w:rPr>
          <w:rStyle w:val="29"/>
          <w:rFonts w:hint="eastAsia" w:ascii="仿宋_GB2312" w:hAnsi="宋体" w:eastAsia="仿宋_GB2312"/>
        </w:rPr>
        <w:t>五、价值时点</w:t>
      </w:r>
      <w:r>
        <w:tab/>
      </w:r>
      <w:r>
        <w:fldChar w:fldCharType="begin"/>
      </w:r>
      <w:r>
        <w:instrText xml:space="preserve"> PAGEREF _Toc476334914 \h </w:instrText>
      </w:r>
      <w:r>
        <w:fldChar w:fldCharType="separate"/>
      </w:r>
      <w:r>
        <w:t>7</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"_Toc476334915" </w:instrText>
      </w:r>
      <w:r>
        <w:fldChar w:fldCharType="separate"/>
      </w:r>
      <w:r>
        <w:rPr>
          <w:rStyle w:val="29"/>
          <w:rFonts w:hint="eastAsia" w:ascii="仿宋_GB2312" w:hAnsi="宋体" w:eastAsia="仿宋_GB2312"/>
        </w:rPr>
        <w:t>六、价值定义</w:t>
      </w:r>
      <w:r>
        <w:tab/>
      </w:r>
      <w:r>
        <w:fldChar w:fldCharType="begin"/>
      </w:r>
      <w:r>
        <w:instrText xml:space="preserve"> PAGEREF _Toc476334915 \h </w:instrText>
      </w:r>
      <w:r>
        <w:fldChar w:fldCharType="separate"/>
      </w:r>
      <w:r>
        <w:t>7</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"_Toc476334916" </w:instrText>
      </w:r>
      <w:r>
        <w:fldChar w:fldCharType="separate"/>
      </w:r>
      <w:r>
        <w:rPr>
          <w:rStyle w:val="29"/>
          <w:rFonts w:hint="eastAsia" w:ascii="仿宋_GB2312" w:hAnsi="宋体" w:eastAsia="仿宋_GB2312"/>
        </w:rPr>
        <w:t>七、估价依据</w:t>
      </w:r>
      <w:r>
        <w:tab/>
      </w:r>
      <w:r>
        <w:fldChar w:fldCharType="begin"/>
      </w:r>
      <w:r>
        <w:instrText xml:space="preserve"> PAGEREF _Toc476334916 \h </w:instrText>
      </w:r>
      <w:r>
        <w:fldChar w:fldCharType="separate"/>
      </w:r>
      <w:r>
        <w:t>7</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"_Toc476334917" </w:instrText>
      </w:r>
      <w:r>
        <w:fldChar w:fldCharType="separate"/>
      </w:r>
      <w:r>
        <w:rPr>
          <w:rStyle w:val="29"/>
          <w:rFonts w:hint="eastAsia" w:ascii="仿宋_GB2312" w:hAnsi="宋体" w:eastAsia="仿宋_GB2312"/>
        </w:rPr>
        <w:t>八、估价原则</w:t>
      </w:r>
      <w:r>
        <w:tab/>
      </w:r>
      <w:r>
        <w:fldChar w:fldCharType="begin"/>
      </w:r>
      <w:r>
        <w:instrText xml:space="preserve"> PAGEREF _Toc476334917 \h </w:instrText>
      </w:r>
      <w:r>
        <w:fldChar w:fldCharType="separate"/>
      </w:r>
      <w:r>
        <w:t>8</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"_Toc476334918" </w:instrText>
      </w:r>
      <w:r>
        <w:fldChar w:fldCharType="separate"/>
      </w:r>
      <w:r>
        <w:rPr>
          <w:rStyle w:val="29"/>
          <w:rFonts w:hint="eastAsia" w:ascii="仿宋_GB2312" w:hAnsi="宋体" w:eastAsia="仿宋_GB2312"/>
        </w:rPr>
        <w:t>九、估价方法</w:t>
      </w:r>
      <w:r>
        <w:tab/>
      </w:r>
      <w:r>
        <w:fldChar w:fldCharType="begin"/>
      </w:r>
      <w:r>
        <w:instrText xml:space="preserve"> PAGEREF _Toc476334918 \h </w:instrText>
      </w:r>
      <w:r>
        <w:fldChar w:fldCharType="separate"/>
      </w:r>
      <w:r>
        <w:t>9</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"_Toc476334919" </w:instrText>
      </w:r>
      <w:r>
        <w:fldChar w:fldCharType="separate"/>
      </w:r>
      <w:r>
        <w:rPr>
          <w:rStyle w:val="29"/>
          <w:rFonts w:hint="eastAsia" w:ascii="仿宋_GB2312" w:hAnsi="宋体" w:eastAsia="仿宋_GB2312"/>
        </w:rPr>
        <w:t>十、估价结果</w:t>
      </w:r>
      <w:r>
        <w:tab/>
      </w:r>
      <w:r>
        <w:fldChar w:fldCharType="begin"/>
      </w:r>
      <w:r>
        <w:instrText xml:space="preserve"> PAGEREF _Toc476334919 \h </w:instrText>
      </w:r>
      <w:r>
        <w:fldChar w:fldCharType="separate"/>
      </w:r>
      <w:r>
        <w:t>9</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"_Toc476334920" </w:instrText>
      </w:r>
      <w:r>
        <w:fldChar w:fldCharType="separate"/>
      </w:r>
      <w:r>
        <w:rPr>
          <w:rStyle w:val="29"/>
          <w:rFonts w:hint="eastAsia" w:ascii="仿宋_GB2312" w:hAnsi="宋体" w:eastAsia="仿宋_GB2312"/>
        </w:rPr>
        <w:t>十一、</w:t>
      </w:r>
      <w:r>
        <w:rPr>
          <w:rStyle w:val="29"/>
          <w:rFonts w:hint="eastAsia" w:ascii="仿宋_GB2312" w:eastAsia="仿宋_GB2312"/>
        </w:rPr>
        <w:t>注册房地产估价师</w:t>
      </w:r>
      <w:r>
        <w:tab/>
      </w:r>
      <w:r>
        <w:fldChar w:fldCharType="begin"/>
      </w:r>
      <w:r>
        <w:instrText xml:space="preserve"> PAGEREF _Toc476334920 \h </w:instrText>
      </w:r>
      <w:r>
        <w:fldChar w:fldCharType="separate"/>
      </w:r>
      <w:r>
        <w:t>10</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"_Toc476334921" </w:instrText>
      </w:r>
      <w:r>
        <w:fldChar w:fldCharType="separate"/>
      </w:r>
      <w:r>
        <w:rPr>
          <w:rStyle w:val="29"/>
          <w:rFonts w:hint="eastAsia" w:ascii="仿宋_GB2312" w:hAnsi="宋体" w:eastAsia="仿宋_GB2312"/>
        </w:rPr>
        <w:t>十二、估价作业期</w:t>
      </w:r>
      <w:r>
        <w:tab/>
      </w:r>
      <w:r>
        <w:fldChar w:fldCharType="begin"/>
      </w:r>
      <w:r>
        <w:instrText xml:space="preserve"> PAGEREF _Toc476334921 \h </w:instrText>
      </w:r>
      <w:r>
        <w:fldChar w:fldCharType="separate"/>
      </w:r>
      <w:r>
        <w:t>10</w:t>
      </w:r>
      <w:r>
        <w:fldChar w:fldCharType="end"/>
      </w:r>
      <w:r>
        <w:fldChar w:fldCharType="end"/>
      </w:r>
    </w:p>
    <w:p>
      <w:pPr>
        <w:pStyle w:val="20"/>
        <w:tabs>
          <w:tab w:val="right" w:leader="dot" w:pos="9356"/>
          <w:tab w:val="clear" w:pos="8494"/>
        </w:tabs>
        <w:spacing w:line="440" w:lineRule="exact"/>
        <w:rPr>
          <w:rFonts w:ascii="Calibri" w:hAnsi="Calibri"/>
          <w:szCs w:val="22"/>
        </w:rPr>
      </w:pPr>
      <w:r>
        <w:fldChar w:fldCharType="begin"/>
      </w:r>
      <w:r>
        <w:instrText xml:space="preserve"> HYPERLINK \l "_Toc476334922" </w:instrText>
      </w:r>
      <w:r>
        <w:fldChar w:fldCharType="separate"/>
      </w:r>
      <w:r>
        <w:rPr>
          <w:rStyle w:val="29"/>
          <w:rFonts w:hint="eastAsia" w:ascii="仿宋_GB2312" w:hAnsi="宋体" w:eastAsia="仿宋_GB2312"/>
        </w:rPr>
        <w:t>十三、估价报告应用的有效期</w:t>
      </w:r>
      <w:r>
        <w:tab/>
      </w:r>
      <w:r>
        <w:fldChar w:fldCharType="begin"/>
      </w:r>
      <w:r>
        <w:instrText xml:space="preserve"> PAGEREF _Toc476334922 \h </w:instrText>
      </w:r>
      <w:r>
        <w:fldChar w:fldCharType="separate"/>
      </w:r>
      <w:r>
        <w:t>10</w:t>
      </w:r>
      <w:r>
        <w:fldChar w:fldCharType="end"/>
      </w:r>
      <w:r>
        <w:fldChar w:fldCharType="end"/>
      </w:r>
    </w:p>
    <w:p>
      <w:pPr>
        <w:pStyle w:val="16"/>
        <w:tabs>
          <w:tab w:val="right" w:leader="dot" w:pos="9344"/>
        </w:tabs>
        <w:spacing w:line="440" w:lineRule="exact"/>
        <w:rPr>
          <w:rFonts w:ascii="Calibri" w:hAnsi="Calibri"/>
          <w:szCs w:val="22"/>
        </w:rPr>
      </w:pPr>
      <w:r>
        <w:fldChar w:fldCharType="begin"/>
      </w:r>
      <w:r>
        <w:instrText xml:space="preserve"> HYPERLINK \l "_Toc476334923" </w:instrText>
      </w:r>
      <w:r>
        <w:fldChar w:fldCharType="separate"/>
      </w:r>
      <w:r>
        <w:rPr>
          <w:rStyle w:val="29"/>
          <w:rFonts w:hint="eastAsia" w:ascii="仿宋_GB2312" w:hAnsi="宋体" w:eastAsia="仿宋_GB2312"/>
        </w:rPr>
        <w:t>附件</w:t>
      </w:r>
      <w:r>
        <w:tab/>
      </w:r>
      <w:r>
        <w:fldChar w:fldCharType="begin"/>
      </w:r>
      <w:r>
        <w:instrText xml:space="preserve"> PAGEREF _Toc476334923 \h </w:instrText>
      </w:r>
      <w:r>
        <w:fldChar w:fldCharType="separate"/>
      </w:r>
      <w:r>
        <w:t>11</w:t>
      </w:r>
      <w:r>
        <w:fldChar w:fldCharType="end"/>
      </w:r>
      <w:r>
        <w:fldChar w:fldCharType="end"/>
      </w:r>
    </w:p>
    <w:p>
      <w:pPr>
        <w:spacing w:line="500" w:lineRule="exact"/>
        <w:ind w:firstLine="480" w:firstLineChars="200"/>
        <w:rPr>
          <w:rFonts w:ascii="仿宋_GB2312" w:hAnsi="宋体" w:eastAsia="仿宋_GB2312"/>
          <w:szCs w:val="21"/>
        </w:rPr>
      </w:pPr>
      <w:r>
        <w:rPr>
          <w:rFonts w:ascii="仿宋_GB2312" w:hAnsi="宋体" w:eastAsia="仿宋_GB2312"/>
          <w:bCs/>
          <w:sz w:val="24"/>
          <w:szCs w:val="24"/>
        </w:rPr>
        <w:fldChar w:fldCharType="end"/>
      </w:r>
      <w:bookmarkStart w:id="1" w:name="_Toc470968165"/>
      <w:r>
        <w:rPr>
          <w:rFonts w:hint="eastAsia" w:ascii="仿宋_GB2312" w:hAnsi="宋体" w:eastAsia="仿宋_GB2312"/>
          <w:szCs w:val="21"/>
        </w:rPr>
        <w:t>一、《司法评估委托书》复印件</w:t>
      </w:r>
      <w:bookmarkEnd w:id="1"/>
    </w:p>
    <w:p>
      <w:pPr>
        <w:spacing w:line="500" w:lineRule="exact"/>
        <w:ind w:firstLine="420" w:firstLineChars="200"/>
        <w:rPr>
          <w:rFonts w:ascii="仿宋_GB2312" w:hAnsi="宋体" w:eastAsia="仿宋_GB2312"/>
          <w:szCs w:val="21"/>
        </w:rPr>
      </w:pPr>
      <w:bookmarkStart w:id="2" w:name="_Toc470968166"/>
      <w:r>
        <w:rPr>
          <w:rFonts w:hint="eastAsia" w:ascii="仿宋_GB2312" w:hAnsi="宋体" w:eastAsia="仿宋_GB2312"/>
          <w:szCs w:val="21"/>
        </w:rPr>
        <w:t>二、《国有土地使用证》、《房屋所有权证》复印件</w:t>
      </w:r>
      <w:bookmarkEnd w:id="2"/>
    </w:p>
    <w:p>
      <w:pPr>
        <w:spacing w:line="500" w:lineRule="exact"/>
        <w:ind w:firstLine="420" w:firstLineChars="200"/>
        <w:rPr>
          <w:rFonts w:ascii="仿宋_GB2312" w:hAnsi="宋体" w:eastAsia="仿宋_GB2312"/>
          <w:szCs w:val="21"/>
        </w:rPr>
      </w:pPr>
      <w:bookmarkStart w:id="3" w:name="_Toc470968167"/>
      <w:r>
        <w:rPr>
          <w:rFonts w:hint="eastAsia" w:ascii="仿宋_GB2312" w:hAnsi="宋体" w:eastAsia="仿宋_GB2312"/>
          <w:szCs w:val="21"/>
        </w:rPr>
        <w:t>三、</w:t>
      </w:r>
      <w:bookmarkEnd w:id="3"/>
      <w:bookmarkStart w:id="4" w:name="_Toc470968168"/>
      <w:r>
        <w:rPr>
          <w:rFonts w:hint="eastAsia" w:ascii="仿宋_GB2312" w:hAnsi="宋体" w:eastAsia="仿宋_GB2312"/>
          <w:szCs w:val="21"/>
        </w:rPr>
        <w:t>估价对象实景图</w:t>
      </w:r>
      <w:bookmarkEnd w:id="4"/>
    </w:p>
    <w:p>
      <w:pPr>
        <w:spacing w:line="500" w:lineRule="exact"/>
        <w:ind w:firstLine="420" w:firstLineChars="200"/>
        <w:rPr>
          <w:rFonts w:ascii="仿宋_GB2312" w:hAnsi="宋体" w:eastAsia="仿宋_GB2312"/>
          <w:szCs w:val="21"/>
        </w:rPr>
      </w:pPr>
      <w:bookmarkStart w:id="5" w:name="_Toc470968169"/>
      <w:r>
        <w:rPr>
          <w:rFonts w:hint="eastAsia" w:ascii="仿宋_GB2312" w:hAnsi="宋体" w:eastAsia="仿宋_GB2312"/>
          <w:szCs w:val="21"/>
          <w:lang w:eastAsia="zh-CN"/>
        </w:rPr>
        <w:t>四</w:t>
      </w:r>
      <w:r>
        <w:rPr>
          <w:rFonts w:hint="eastAsia" w:ascii="仿宋_GB2312" w:hAnsi="宋体" w:eastAsia="仿宋_GB2312"/>
          <w:szCs w:val="21"/>
        </w:rPr>
        <w:t>、估价对象位置示意图</w:t>
      </w:r>
      <w:bookmarkEnd w:id="5"/>
    </w:p>
    <w:p>
      <w:pPr>
        <w:spacing w:line="500" w:lineRule="exact"/>
        <w:ind w:firstLine="420" w:firstLineChars="200"/>
        <w:rPr>
          <w:rFonts w:ascii="仿宋_GB2312" w:hAnsi="宋体" w:eastAsia="仿宋_GB2312"/>
          <w:szCs w:val="21"/>
        </w:rPr>
      </w:pPr>
      <w:bookmarkStart w:id="6" w:name="_Toc470968170"/>
      <w:r>
        <w:rPr>
          <w:rFonts w:hint="eastAsia" w:ascii="仿宋_GB2312" w:hAnsi="宋体" w:eastAsia="仿宋_GB2312"/>
          <w:szCs w:val="21"/>
          <w:lang w:eastAsia="zh-CN"/>
        </w:rPr>
        <w:t>五</w:t>
      </w:r>
      <w:r>
        <w:rPr>
          <w:rFonts w:hint="eastAsia" w:ascii="仿宋_GB2312" w:hAnsi="宋体" w:eastAsia="仿宋_GB2312"/>
          <w:szCs w:val="21"/>
        </w:rPr>
        <w:t>、估价机构营业执照复印件</w:t>
      </w:r>
      <w:bookmarkEnd w:id="6"/>
    </w:p>
    <w:p>
      <w:pPr>
        <w:spacing w:line="500" w:lineRule="exact"/>
        <w:ind w:firstLine="420" w:firstLineChars="200"/>
        <w:rPr>
          <w:rFonts w:ascii="仿宋_GB2312" w:hAnsi="宋体" w:eastAsia="仿宋_GB2312"/>
          <w:szCs w:val="21"/>
        </w:rPr>
      </w:pPr>
      <w:bookmarkStart w:id="7" w:name="_Toc470968171"/>
      <w:r>
        <w:rPr>
          <w:rFonts w:hint="eastAsia" w:ascii="仿宋_GB2312" w:hAnsi="宋体" w:eastAsia="仿宋_GB2312"/>
          <w:szCs w:val="21"/>
          <w:lang w:eastAsia="zh-CN"/>
        </w:rPr>
        <w:t>六</w:t>
      </w:r>
      <w:r>
        <w:rPr>
          <w:rFonts w:hint="eastAsia" w:ascii="仿宋_GB2312" w:hAnsi="宋体" w:eastAsia="仿宋_GB2312"/>
          <w:szCs w:val="21"/>
        </w:rPr>
        <w:t>、估价机构资格证书复印件</w:t>
      </w:r>
      <w:bookmarkEnd w:id="7"/>
    </w:p>
    <w:p>
      <w:pPr>
        <w:spacing w:line="500" w:lineRule="exact"/>
        <w:ind w:firstLine="420" w:firstLineChars="200"/>
        <w:rPr>
          <w:rFonts w:ascii="仿宋_GB2312" w:hAnsi="宋体" w:eastAsia="仿宋_GB2312"/>
          <w:szCs w:val="21"/>
        </w:rPr>
        <w:sectPr>
          <w:headerReference r:id="rId8" w:type="default"/>
          <w:footerReference r:id="rId9" w:type="default"/>
          <w:pgSz w:w="11906" w:h="16838"/>
          <w:pgMar w:top="1418" w:right="1134" w:bottom="1247" w:left="1418" w:header="851" w:footer="992" w:gutter="0"/>
          <w:pgNumType w:fmt="upperRoman" w:start="1"/>
          <w:cols w:space="425" w:num="1"/>
          <w:docGrid w:type="lines" w:linePitch="380" w:charSpace="0"/>
        </w:sectPr>
      </w:pPr>
      <w:bookmarkStart w:id="8" w:name="_Toc470968172"/>
      <w:r>
        <w:rPr>
          <w:rFonts w:hint="eastAsia" w:ascii="仿宋_GB2312" w:hAnsi="宋体" w:eastAsia="仿宋_GB2312"/>
          <w:szCs w:val="21"/>
          <w:lang w:eastAsia="zh-CN"/>
        </w:rPr>
        <w:t>七</w:t>
      </w:r>
      <w:r>
        <w:rPr>
          <w:rFonts w:hint="eastAsia" w:ascii="仿宋_GB2312" w:hAnsi="宋体" w:eastAsia="仿宋_GB2312"/>
          <w:szCs w:val="21"/>
        </w:rPr>
        <w:t>、估价师资格证书复印件</w:t>
      </w:r>
      <w:bookmarkEnd w:id="8"/>
    </w:p>
    <w:p>
      <w:pPr>
        <w:pStyle w:val="2"/>
        <w:spacing w:beforeLines="50" w:after="0" w:line="480" w:lineRule="exact"/>
        <w:jc w:val="center"/>
        <w:rPr>
          <w:rFonts w:ascii="仿宋_GB2312" w:hAnsi="宋体" w:eastAsia="仿宋_GB2312"/>
        </w:rPr>
      </w:pPr>
      <w:r>
        <w:rPr>
          <w:rFonts w:hint="eastAsia" w:eastAsia="仿宋_GB2312"/>
        </w:rPr>
        <w:t>估价师</w:t>
      </w:r>
      <w:r>
        <w:rPr>
          <w:rFonts w:hint="eastAsia" w:ascii="仿宋_GB2312" w:hAnsi="宋体" w:eastAsia="仿宋_GB2312"/>
        </w:rPr>
        <w:t>声明</w:t>
      </w:r>
      <w:bookmarkEnd w:id="0"/>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我们郑重声明：</w:t>
      </w:r>
    </w:p>
    <w:p>
      <w:pPr>
        <w:spacing w:line="50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1</w:t>
      </w:r>
      <w:r>
        <w:rPr>
          <w:rFonts w:hint="eastAsia" w:ascii="仿宋_GB2312" w:hAnsi="仿宋_GB2312" w:eastAsia="仿宋_GB2312" w:cs="仿宋_GB2312"/>
          <w:sz w:val="28"/>
          <w:szCs w:val="28"/>
        </w:rPr>
        <w:t>、我们在本估价报告中陈述的事实是真实的和准确的。</w:t>
      </w:r>
    </w:p>
    <w:p>
      <w:pPr>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、本估价报告中的分析、意见和结论是我们自己公正的专业分析、意见和结论，但受本估价报告中已说明的假设和限制条件的限制。</w:t>
      </w:r>
    </w:p>
    <w:p>
      <w:pPr>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r>
        <w:rPr>
          <w:rFonts w:hint="eastAsia" w:ascii="仿宋_GB2312" w:hAnsi="宋体" w:eastAsia="仿宋_GB2312"/>
          <w:sz w:val="28"/>
          <w:szCs w:val="28"/>
        </w:rPr>
        <w:t>本估价报告所依据的有关资料均由估价委托人提供，其真实性、合法性和完整性由估价委托人负责。估价人员与估价报告中的估价对象没有利害关系；对与估价对象相关的各方当事人没有偏见，也没有个人利害关系</w:t>
      </w:r>
      <w:r>
        <w:rPr>
          <w:rFonts w:hint="eastAsia" w:ascii="仿宋_GB2312" w:hAnsi="仿宋_GB2312" w:eastAsia="仿宋_GB2312" w:cs="仿宋_GB2312"/>
          <w:sz w:val="28"/>
          <w:szCs w:val="28"/>
        </w:rPr>
        <w:t>。</w:t>
      </w:r>
    </w:p>
    <w:p>
      <w:pPr>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、我们依据中华人民共和国国家标准《房地产估价规范》、</w:t>
      </w:r>
      <w:r>
        <w:rPr>
          <w:rFonts w:hint="eastAsia" w:ascii="仿宋_GB2312" w:eastAsia="仿宋_GB2312"/>
          <w:sz w:val="28"/>
          <w:szCs w:val="28"/>
        </w:rPr>
        <w:t>《房地产估价基本术语规范》以及相关房地产估价专项标准进行分析，</w:t>
      </w:r>
      <w:r>
        <w:rPr>
          <w:rFonts w:hint="eastAsia" w:ascii="仿宋_GB2312" w:hAnsi="仿宋_GB2312" w:eastAsia="仿宋_GB2312" w:cs="仿宋_GB2312"/>
          <w:sz w:val="28"/>
          <w:szCs w:val="28"/>
        </w:rPr>
        <w:t>形成意见和结论，撰写本估价报告。</w:t>
      </w:r>
    </w:p>
    <w:p>
      <w:pPr>
        <w:spacing w:line="500" w:lineRule="exact"/>
        <w:ind w:firstLine="560" w:firstLineChars="200"/>
        <w:rPr>
          <w:rFonts w:ascii="仿宋_GB2312" w:eastAsia="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w:t>
      </w:r>
      <w:r>
        <w:rPr>
          <w:rFonts w:hint="eastAsia" w:ascii="仿宋_GB2312" w:eastAsia="仿宋_GB2312"/>
          <w:sz w:val="28"/>
          <w:szCs w:val="28"/>
        </w:rPr>
        <w:t>注册房地产估价师</w:t>
      </w:r>
      <w:r>
        <w:rPr>
          <w:rFonts w:hint="eastAsia" w:ascii="仿宋_GB2312" w:eastAsia="仿宋_GB2312"/>
          <w:color w:val="FF0000"/>
          <w:sz w:val="28"/>
          <w:szCs w:val="28"/>
          <w:lang w:eastAsia="zh-CN"/>
        </w:rPr>
        <w:t>已</w:t>
      </w:r>
      <w:r>
        <w:rPr>
          <w:rFonts w:hint="eastAsia" w:ascii="仿宋_GB2312" w:eastAsia="仿宋_GB2312"/>
          <w:kern w:val="0"/>
          <w:sz w:val="28"/>
          <w:szCs w:val="28"/>
        </w:rPr>
        <w:t>于</w:t>
      </w:r>
      <w:r>
        <w:rPr>
          <w:rFonts w:hint="eastAsia" w:ascii="仿宋_GB2312" w:eastAsia="仿宋_GB2312"/>
          <w:sz w:val="28"/>
          <w:szCs w:val="28"/>
          <w:lang w:eastAsia="zh-CN"/>
        </w:rPr>
        <w:t>2019年0</w:t>
      </w:r>
      <w:r>
        <w:rPr>
          <w:rFonts w:hint="eastAsia" w:ascii="仿宋_GB2312" w:eastAsia="仿宋_GB2312"/>
          <w:sz w:val="28"/>
          <w:szCs w:val="28"/>
          <w:lang w:val="en-US" w:eastAsia="zh-CN"/>
        </w:rPr>
        <w:t>3</w:t>
      </w:r>
      <w:r>
        <w:rPr>
          <w:rFonts w:hint="eastAsia" w:ascii="仿宋_GB2312" w:eastAsia="仿宋_GB2312"/>
          <w:sz w:val="28"/>
          <w:szCs w:val="28"/>
          <w:lang w:eastAsia="zh-CN"/>
        </w:rPr>
        <w:t>月</w:t>
      </w:r>
      <w:r>
        <w:rPr>
          <w:rFonts w:hint="eastAsia" w:ascii="仿宋_GB2312" w:eastAsia="仿宋_GB2312"/>
          <w:sz w:val="28"/>
          <w:szCs w:val="28"/>
          <w:lang w:val="en-US" w:eastAsia="zh-CN"/>
        </w:rPr>
        <w:t>05</w:t>
      </w:r>
      <w:r>
        <w:rPr>
          <w:rFonts w:hint="eastAsia" w:ascii="仿宋_GB2312" w:eastAsia="仿宋_GB2312"/>
          <w:sz w:val="28"/>
          <w:szCs w:val="28"/>
          <w:lang w:eastAsia="zh-CN"/>
        </w:rPr>
        <w:t>日</w:t>
      </w:r>
      <w:r>
        <w:rPr>
          <w:rFonts w:hint="eastAsia" w:ascii="仿宋_GB2312" w:eastAsia="仿宋_GB2312"/>
          <w:sz w:val="28"/>
          <w:szCs w:val="28"/>
        </w:rPr>
        <w:t>对估价报告中的估价对象进行了实地查勘，</w:t>
      </w:r>
      <w:r>
        <w:rPr>
          <w:rFonts w:hint="eastAsia" w:ascii="仿宋" w:hAnsi="仿宋" w:eastAsia="仿宋" w:cs="仿宋_GB2312"/>
          <w:sz w:val="28"/>
          <w:szCs w:val="28"/>
        </w:rPr>
        <w:t>但仅限于其外观和使用状况。</w:t>
      </w:r>
      <w:r>
        <w:rPr>
          <w:rFonts w:hint="eastAsia" w:ascii="仿宋" w:hAnsi="仿宋" w:eastAsia="仿宋" w:cs="仿宋_GB2312"/>
          <w:sz w:val="28"/>
          <w:szCs w:val="28"/>
          <w:lang w:eastAsia="zh-CN"/>
        </w:rPr>
        <w:t>我们</w:t>
      </w:r>
      <w:r>
        <w:rPr>
          <w:rFonts w:hint="eastAsia" w:ascii="仿宋" w:hAnsi="仿宋" w:eastAsia="仿宋" w:cs="仿宋_GB2312"/>
          <w:sz w:val="28"/>
          <w:szCs w:val="28"/>
        </w:rPr>
        <w:t>不承担对估价对象的建筑结构、质量进行调查的责任</w:t>
      </w:r>
      <w:r>
        <w:rPr>
          <w:rFonts w:hint="eastAsia" w:ascii="仿宋" w:hAnsi="仿宋" w:eastAsia="仿宋" w:cs="仿宋_GB2312"/>
          <w:sz w:val="28"/>
          <w:szCs w:val="28"/>
          <w:lang w:eastAsia="zh-CN"/>
        </w:rPr>
        <w:t>，也不承担</w:t>
      </w:r>
      <w:r>
        <w:rPr>
          <w:rFonts w:hint="eastAsia" w:ascii="仿宋" w:hAnsi="仿宋" w:eastAsia="仿宋" w:cs="仿宋_GB2312"/>
          <w:sz w:val="28"/>
          <w:szCs w:val="28"/>
        </w:rPr>
        <w:t>其他被遮盖、未暴露及难于触及的部分进行</w:t>
      </w:r>
      <w:r>
        <w:rPr>
          <w:rFonts w:hint="eastAsia" w:ascii="仿宋_GB2312" w:eastAsia="仿宋_GB2312"/>
          <w:sz w:val="28"/>
          <w:szCs w:val="28"/>
        </w:rPr>
        <w:t>勘查</w:t>
      </w:r>
      <w:r>
        <w:rPr>
          <w:rFonts w:hint="eastAsia" w:ascii="仿宋" w:hAnsi="仿宋" w:eastAsia="仿宋" w:cs="仿宋_GB2312"/>
          <w:sz w:val="28"/>
          <w:szCs w:val="28"/>
        </w:rPr>
        <w:t>的责任。</w:t>
      </w:r>
    </w:p>
    <w:p>
      <w:pPr>
        <w:spacing w:line="500" w:lineRule="exact"/>
        <w:ind w:firstLine="560" w:firstLineChars="200"/>
        <w:rPr>
          <w:rFonts w:ascii="仿宋_GB2312" w:hAnsi="仿宋"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w:t>
      </w:r>
      <w:r>
        <w:rPr>
          <w:rFonts w:hint="eastAsia" w:ascii="仿宋_GB2312" w:eastAsia="仿宋_GB2312"/>
          <w:sz w:val="28"/>
          <w:szCs w:val="28"/>
        </w:rPr>
        <w:t>本估价报告仅是在报告中说明的假设条件下对估价对象正常市场价</w:t>
      </w:r>
      <w:r>
        <w:rPr>
          <w:rFonts w:hint="eastAsia" w:ascii="仿宋_GB2312" w:hAnsi="宋体" w:eastAsia="仿宋_GB2312" w:cs="宋体"/>
          <w:sz w:val="28"/>
          <w:szCs w:val="28"/>
        </w:rPr>
        <w:t>值</w:t>
      </w:r>
      <w:r>
        <w:rPr>
          <w:rFonts w:hint="eastAsia" w:ascii="仿宋_GB2312" w:hAnsi="仿宋" w:eastAsia="仿宋_GB2312" w:cs="宋体"/>
          <w:sz w:val="28"/>
          <w:szCs w:val="28"/>
        </w:rPr>
        <w:t>进行</w:t>
      </w:r>
      <w:r>
        <w:rPr>
          <w:rFonts w:hint="eastAsia" w:ascii="仿宋_GB2312" w:hAnsi="仿宋" w:eastAsia="仿宋_GB2312" w:cs="仿宋_GB2312"/>
          <w:sz w:val="28"/>
          <w:szCs w:val="28"/>
        </w:rPr>
        <w:t>合理估算，报告中对估价对象权属和面积情况的披露不作为其权属和面积方面确认的依据，有关权属和面积界定以有关部门认定的为准。</w:t>
      </w:r>
    </w:p>
    <w:p>
      <w:pPr>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、没有</w:t>
      </w:r>
      <w:r>
        <w:rPr>
          <w:rFonts w:hint="eastAsia" w:ascii="仿宋_GB2312" w:hAnsi="仿宋_GB2312" w:eastAsia="仿宋_GB2312" w:cs="仿宋_GB2312"/>
          <w:sz w:val="28"/>
          <w:szCs w:val="28"/>
          <w:lang w:eastAsia="zh-CN"/>
        </w:rPr>
        <w:t>外部专家及单位</w:t>
      </w:r>
      <w:r>
        <w:rPr>
          <w:rFonts w:hint="eastAsia" w:ascii="仿宋_GB2312" w:hAnsi="仿宋_GB2312" w:eastAsia="仿宋_GB2312" w:cs="仿宋_GB2312"/>
          <w:sz w:val="28"/>
          <w:szCs w:val="28"/>
        </w:rPr>
        <w:t>对本估价报告提供专业帮助。</w:t>
      </w:r>
    </w:p>
    <w:p>
      <w:pPr>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、参加本次估价的注册房地产估价师签名：</w:t>
      </w:r>
    </w:p>
    <w:p>
      <w:pPr>
        <w:spacing w:line="500" w:lineRule="exact"/>
        <w:ind w:firstLine="560" w:firstLineChars="200"/>
        <w:rPr>
          <w:rFonts w:ascii="仿宋_GB2312" w:hAnsi="宋体" w:eastAsia="仿宋_GB2312"/>
          <w:sz w:val="28"/>
          <w:szCs w:val="28"/>
        </w:rPr>
      </w:pPr>
      <w:r>
        <w:rPr>
          <w:rFonts w:hint="eastAsia" w:ascii="仿宋_GB2312" w:hAnsi="仿宋_GB2312" w:eastAsia="仿宋_GB2312" w:cs="仿宋_GB2312"/>
          <w:sz w:val="28"/>
          <w:szCs w:val="28"/>
        </w:rPr>
        <w:t>注册房地产估价师姓名       注册证书编号     签字盖章</w:t>
      </w:r>
    </w:p>
    <w:p>
      <w:pPr>
        <w:spacing w:line="500" w:lineRule="exact"/>
        <w:ind w:firstLine="840" w:firstLineChars="300"/>
        <w:rPr>
          <w:rFonts w:ascii="仿宋_GB2312" w:eastAsia="仿宋_GB2312"/>
          <w:sz w:val="28"/>
          <w:szCs w:val="28"/>
        </w:rPr>
      </w:pPr>
    </w:p>
    <w:p>
      <w:pPr>
        <w:spacing w:line="500" w:lineRule="exact"/>
        <w:ind w:firstLine="840" w:firstLineChars="300"/>
        <w:rPr>
          <w:rFonts w:ascii="仿宋_GB2312" w:eastAsia="仿宋_GB2312"/>
          <w:sz w:val="28"/>
          <w:szCs w:val="28"/>
        </w:rPr>
      </w:pPr>
      <w:r>
        <w:rPr>
          <w:rFonts w:hint="eastAsia" w:ascii="仿宋_GB2312" w:eastAsia="仿宋_GB2312"/>
          <w:sz w:val="28"/>
          <w:szCs w:val="28"/>
        </w:rPr>
        <w:t xml:space="preserve">商芳军                  </w:t>
      </w:r>
      <w:r>
        <w:rPr>
          <w:rFonts w:ascii="仿宋_GB2312" w:eastAsia="仿宋_GB2312"/>
          <w:sz w:val="28"/>
          <w:szCs w:val="28"/>
        </w:rPr>
        <w:t>3320080036</w:t>
      </w:r>
    </w:p>
    <w:p>
      <w:pPr>
        <w:spacing w:line="500" w:lineRule="exact"/>
        <w:ind w:firstLine="560" w:firstLineChars="200"/>
        <w:rPr>
          <w:rFonts w:ascii="仿宋_GB2312" w:eastAsia="仿宋_GB2312"/>
          <w:sz w:val="28"/>
          <w:szCs w:val="28"/>
        </w:rPr>
      </w:pPr>
    </w:p>
    <w:p>
      <w:pPr>
        <w:spacing w:line="500" w:lineRule="exact"/>
        <w:ind w:firstLine="840" w:firstLineChars="300"/>
        <w:rPr>
          <w:rFonts w:ascii="仿宋_GB2312" w:eastAsia="仿宋_GB2312"/>
          <w:sz w:val="28"/>
          <w:szCs w:val="28"/>
        </w:rPr>
      </w:pPr>
      <w:r>
        <w:rPr>
          <w:rFonts w:hint="eastAsia" w:ascii="仿宋_GB2312" w:eastAsia="仿宋_GB2312"/>
          <w:sz w:val="28"/>
          <w:szCs w:val="28"/>
          <w:lang w:eastAsia="zh-CN"/>
        </w:rPr>
        <w:t>俞小群</w:t>
      </w:r>
      <w:r>
        <w:rPr>
          <w:rFonts w:hint="eastAsia" w:ascii="仿宋_GB2312" w:eastAsia="仿宋_GB2312"/>
          <w:sz w:val="28"/>
          <w:szCs w:val="28"/>
        </w:rPr>
        <w:t xml:space="preserve">                  </w:t>
      </w:r>
      <w:r>
        <w:rPr>
          <w:rFonts w:hint="eastAsia" w:ascii="仿宋_GB2312" w:eastAsia="仿宋_GB2312"/>
          <w:sz w:val="28"/>
          <w:szCs w:val="28"/>
          <w:lang w:eastAsia="zh-CN"/>
        </w:rPr>
        <w:t>3320100028</w:t>
      </w:r>
      <w:r>
        <w:rPr>
          <w:rFonts w:ascii="仿宋_GB2312" w:eastAsia="仿宋_GB2312"/>
          <w:sz w:val="28"/>
          <w:szCs w:val="28"/>
        </w:rPr>
        <w:t xml:space="preserve"> </w:t>
      </w:r>
    </w:p>
    <w:p>
      <w:pPr>
        <w:pStyle w:val="2"/>
        <w:spacing w:beforeLines="50" w:afterLines="50" w:line="500" w:lineRule="exact"/>
        <w:jc w:val="center"/>
        <w:rPr>
          <w:rFonts w:ascii="仿宋_GB2312" w:hAnsi="宋体" w:eastAsia="仿宋_GB2312"/>
        </w:rPr>
      </w:pPr>
      <w:bookmarkStart w:id="9" w:name="_Toc476334908"/>
      <w:r>
        <w:rPr>
          <w:rFonts w:hint="eastAsia" w:ascii="仿宋_GB2312" w:hAnsi="宋体" w:eastAsia="仿宋_GB2312"/>
        </w:rPr>
        <w:t>估价的假设和限制条件</w:t>
      </w:r>
      <w:bookmarkEnd w:id="9"/>
    </w:p>
    <w:p>
      <w:pPr>
        <w:keepNext w:val="0"/>
        <w:keepLines w:val="0"/>
        <w:pageBreakBefore w:val="0"/>
        <w:kinsoku/>
        <w:wordWrap/>
        <w:overflowPunct/>
        <w:topLinePunct w:val="0"/>
        <w:autoSpaceDE/>
        <w:autoSpaceDN/>
        <w:bidi w:val="0"/>
        <w:adjustRightInd/>
        <w:snapToGrid w:val="0"/>
        <w:spacing w:line="480" w:lineRule="exact"/>
        <w:ind w:firstLine="540" w:firstLineChars="192"/>
        <w:textAlignment w:val="auto"/>
        <w:outlineLvl w:val="9"/>
        <w:rPr>
          <w:rFonts w:hint="eastAsia" w:ascii="仿宋_GB2312" w:eastAsia="仿宋_GB2312"/>
          <w:color w:val="000000"/>
          <w:sz w:val="28"/>
          <w:szCs w:val="28"/>
        </w:rPr>
      </w:pPr>
      <w:r>
        <w:rPr>
          <w:rFonts w:hint="eastAsia" w:ascii="仿宋_GB2312" w:eastAsia="仿宋_GB2312"/>
          <w:b/>
          <w:bCs/>
          <w:color w:val="000000"/>
          <w:sz w:val="28"/>
          <w:szCs w:val="28"/>
        </w:rPr>
        <w:t>一、估价假设条件</w:t>
      </w:r>
      <w:r>
        <w:rPr>
          <w:rFonts w:hint="eastAsia" w:ascii="仿宋_GB2312" w:eastAsia="仿宋_GB2312"/>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color w:val="000000"/>
          <w:sz w:val="28"/>
          <w:szCs w:val="28"/>
        </w:rPr>
      </w:pP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一</w:t>
      </w: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一般</w:t>
      </w:r>
      <w:r>
        <w:rPr>
          <w:rFonts w:hint="eastAsia" w:ascii="仿宋_GB2312" w:eastAsia="仿宋_GB2312"/>
          <w:b/>
          <w:bCs/>
          <w:color w:val="000000"/>
          <w:sz w:val="28"/>
          <w:szCs w:val="28"/>
          <w:lang w:eastAsia="zh-CN"/>
        </w:rPr>
        <w:t>性</w:t>
      </w:r>
      <w:r>
        <w:rPr>
          <w:rFonts w:hint="eastAsia" w:ascii="仿宋_GB2312" w:eastAsia="仿宋_GB2312"/>
          <w:b/>
          <w:bCs/>
          <w:color w:val="000000"/>
          <w:sz w:val="28"/>
          <w:szCs w:val="28"/>
        </w:rPr>
        <w:t>假设</w:t>
      </w:r>
      <w:r>
        <w:rPr>
          <w:rFonts w:hint="eastAsia" w:ascii="仿宋_GB2312" w:eastAsia="仿宋_GB2312"/>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00" w:lineRule="exact"/>
        <w:ind w:firstLine="537" w:firstLineChars="192"/>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1</w:t>
      </w:r>
      <w:r>
        <w:rPr>
          <w:rFonts w:hint="eastAsia" w:ascii="仿宋_GB2312" w:eastAsia="仿宋_GB2312"/>
          <w:color w:val="000000"/>
          <w:sz w:val="28"/>
          <w:szCs w:val="28"/>
          <w:lang w:eastAsia="zh-CN"/>
        </w:rPr>
        <w:t>、</w:t>
      </w:r>
      <w:r>
        <w:rPr>
          <w:rFonts w:hint="eastAsia" w:ascii="仿宋_GB2312" w:eastAsia="仿宋_GB2312"/>
          <w:color w:val="000000"/>
          <w:sz w:val="28"/>
          <w:szCs w:val="28"/>
        </w:rPr>
        <w:t xml:space="preserve">估价对象产权明晰，手续齐全，可在公开市场上自由转让。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rPr>
      </w:pPr>
      <w:r>
        <w:rPr>
          <w:rFonts w:hint="eastAsia" w:ascii="仿宋_GB2312" w:eastAsia="仿宋_GB2312"/>
          <w:color w:val="000000"/>
          <w:sz w:val="28"/>
          <w:szCs w:val="28"/>
        </w:rPr>
        <w:t>2</w:t>
      </w:r>
      <w:r>
        <w:rPr>
          <w:rFonts w:hint="eastAsia" w:ascii="仿宋_GB2312" w:eastAsia="仿宋_GB2312"/>
          <w:color w:val="000000"/>
          <w:sz w:val="28"/>
          <w:szCs w:val="28"/>
          <w:lang w:eastAsia="zh-CN"/>
        </w:rPr>
        <w:t>、</w:t>
      </w:r>
      <w:r>
        <w:rPr>
          <w:rFonts w:hint="eastAsia" w:ascii="仿宋_GB2312" w:eastAsia="仿宋_GB2312"/>
          <w:color w:val="000000"/>
          <w:sz w:val="28"/>
          <w:szCs w:val="28"/>
        </w:rPr>
        <w:t>价值时点的房地产市场为公开、平等、自愿的交易市场。</w:t>
      </w:r>
      <w:r>
        <w:rPr>
          <w:rFonts w:hint="eastAsia" w:ascii="仿宋_GB2312" w:eastAsia="仿宋_GB2312"/>
          <w:sz w:val="28"/>
          <w:szCs w:val="28"/>
        </w:rPr>
        <w:t>即能满足以下条件：</w:t>
      </w:r>
      <w:r>
        <w:rPr>
          <w:rFonts w:hint="eastAsia" w:ascii="仿宋_GB2312" w:eastAsia="仿宋_GB2312"/>
          <w:sz w:val="28"/>
          <w:szCs w:val="28"/>
          <w:lang w:val="en-US" w:eastAsia="zh-CN"/>
        </w:rPr>
        <w:t>(</w:t>
      </w:r>
      <w:r>
        <w:rPr>
          <w:rFonts w:hint="eastAsia" w:ascii="仿宋_GB2312" w:eastAsia="仿宋_GB2312"/>
          <w:sz w:val="28"/>
          <w:szCs w:val="28"/>
        </w:rPr>
        <w:t>1</w:t>
      </w:r>
      <w:r>
        <w:rPr>
          <w:rFonts w:hint="eastAsia" w:ascii="仿宋_GB2312" w:eastAsia="仿宋_GB2312"/>
          <w:sz w:val="28"/>
          <w:szCs w:val="28"/>
          <w:lang w:val="en-US" w:eastAsia="zh-CN"/>
        </w:rPr>
        <w:t>)</w:t>
      </w:r>
      <w:r>
        <w:rPr>
          <w:rFonts w:hint="eastAsia" w:ascii="仿宋_GB2312" w:eastAsia="仿宋_GB2312"/>
          <w:sz w:val="28"/>
          <w:szCs w:val="28"/>
        </w:rPr>
        <w:t>自愿销售的卖方及自愿购买的买方；</w:t>
      </w:r>
      <w:r>
        <w:rPr>
          <w:rFonts w:hint="eastAsia" w:ascii="仿宋_GB2312" w:eastAsia="仿宋_GB2312"/>
          <w:sz w:val="28"/>
          <w:szCs w:val="28"/>
          <w:lang w:val="en-US" w:eastAsia="zh-CN"/>
        </w:rPr>
        <w:t>(</w:t>
      </w:r>
      <w:r>
        <w:rPr>
          <w:rFonts w:hint="eastAsia" w:ascii="仿宋_GB2312" w:eastAsia="仿宋_GB2312"/>
          <w:sz w:val="28"/>
          <w:szCs w:val="28"/>
        </w:rPr>
        <w:t>2</w:t>
      </w:r>
      <w:r>
        <w:rPr>
          <w:rFonts w:hint="eastAsia" w:ascii="仿宋_GB2312" w:eastAsia="仿宋_GB2312"/>
          <w:sz w:val="28"/>
          <w:szCs w:val="28"/>
          <w:lang w:val="en-US" w:eastAsia="zh-CN"/>
        </w:rPr>
        <w:t>)</w:t>
      </w:r>
      <w:r>
        <w:rPr>
          <w:rFonts w:hint="eastAsia" w:ascii="仿宋_GB2312" w:eastAsia="仿宋_GB2312"/>
          <w:sz w:val="28"/>
          <w:szCs w:val="28"/>
        </w:rPr>
        <w:t>交易双方无任何利害关系，交易的目的是追求各自利益的最大化；</w:t>
      </w:r>
      <w:r>
        <w:rPr>
          <w:rFonts w:hint="eastAsia" w:ascii="仿宋_GB2312" w:eastAsia="仿宋_GB2312"/>
          <w:sz w:val="28"/>
          <w:szCs w:val="28"/>
          <w:lang w:val="en-US" w:eastAsia="zh-CN"/>
        </w:rPr>
        <w:t>(</w:t>
      </w:r>
      <w:r>
        <w:rPr>
          <w:rFonts w:hint="eastAsia" w:ascii="仿宋_GB2312" w:eastAsia="仿宋_GB2312"/>
          <w:sz w:val="28"/>
          <w:szCs w:val="28"/>
        </w:rPr>
        <w:t>3</w:t>
      </w:r>
      <w:r>
        <w:rPr>
          <w:rFonts w:hint="eastAsia" w:ascii="仿宋_GB2312" w:eastAsia="仿宋_GB2312"/>
          <w:sz w:val="28"/>
          <w:szCs w:val="28"/>
          <w:lang w:val="en-US" w:eastAsia="zh-CN"/>
        </w:rPr>
        <w:t>)</w:t>
      </w:r>
      <w:r>
        <w:rPr>
          <w:rFonts w:hint="eastAsia" w:ascii="仿宋_GB2312" w:eastAsia="仿宋_GB2312"/>
          <w:sz w:val="28"/>
          <w:szCs w:val="28"/>
        </w:rPr>
        <w:t>交易双方了解交易对象、知晓市场行情；</w:t>
      </w:r>
      <w:r>
        <w:rPr>
          <w:rFonts w:hint="eastAsia" w:ascii="仿宋_GB2312" w:eastAsia="仿宋_GB2312"/>
          <w:sz w:val="28"/>
          <w:szCs w:val="28"/>
          <w:lang w:val="en-US" w:eastAsia="zh-CN"/>
        </w:rPr>
        <w:t>(</w:t>
      </w:r>
      <w:r>
        <w:rPr>
          <w:rFonts w:hint="eastAsia" w:ascii="仿宋_GB2312" w:eastAsia="仿宋_GB2312"/>
          <w:sz w:val="28"/>
          <w:szCs w:val="28"/>
        </w:rPr>
        <w:t>4</w:t>
      </w:r>
      <w:r>
        <w:rPr>
          <w:rFonts w:hint="eastAsia" w:ascii="仿宋_GB2312" w:eastAsia="仿宋_GB2312"/>
          <w:sz w:val="28"/>
          <w:szCs w:val="28"/>
          <w:lang w:val="en-US" w:eastAsia="zh-CN"/>
        </w:rPr>
        <w:t>)</w:t>
      </w:r>
      <w:r>
        <w:rPr>
          <w:rFonts w:hint="eastAsia" w:ascii="仿宋_GB2312" w:eastAsia="仿宋_GB2312"/>
          <w:sz w:val="28"/>
          <w:szCs w:val="28"/>
        </w:rPr>
        <w:t>交易双方有较充裕的时间进行交易；</w:t>
      </w:r>
      <w:r>
        <w:rPr>
          <w:rFonts w:hint="eastAsia" w:ascii="仿宋_GB2312" w:eastAsia="仿宋_GB2312"/>
          <w:sz w:val="28"/>
          <w:szCs w:val="28"/>
          <w:lang w:val="en-US" w:eastAsia="zh-CN"/>
        </w:rPr>
        <w:t>(</w:t>
      </w:r>
      <w:r>
        <w:rPr>
          <w:rFonts w:hint="eastAsia" w:ascii="仿宋_GB2312" w:eastAsia="仿宋_GB2312"/>
          <w:sz w:val="28"/>
          <w:szCs w:val="28"/>
        </w:rPr>
        <w:t>5</w:t>
      </w:r>
      <w:r>
        <w:rPr>
          <w:rFonts w:hint="eastAsia" w:ascii="仿宋_GB2312" w:eastAsia="仿宋_GB2312"/>
          <w:sz w:val="28"/>
          <w:szCs w:val="28"/>
          <w:lang w:val="en-US" w:eastAsia="zh-CN"/>
        </w:rPr>
        <w:t>)</w:t>
      </w:r>
      <w:r>
        <w:rPr>
          <w:rFonts w:hint="eastAsia" w:ascii="仿宋_GB2312" w:eastAsia="仿宋_GB2312"/>
          <w:sz w:val="28"/>
          <w:szCs w:val="28"/>
        </w:rPr>
        <w:t>不存在特殊买者的附加出价。</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sz w:val="28"/>
          <w:szCs w:val="28"/>
        </w:rPr>
      </w:pPr>
      <w:r>
        <w:rPr>
          <w:rFonts w:hint="eastAsia" w:ascii="仿宋_GB2312" w:eastAsia="仿宋_GB2312"/>
          <w:color w:val="000000"/>
          <w:sz w:val="28"/>
          <w:szCs w:val="28"/>
        </w:rPr>
        <w:t>3</w:t>
      </w:r>
      <w:r>
        <w:rPr>
          <w:rFonts w:hint="eastAsia" w:ascii="仿宋_GB2312" w:eastAsia="仿宋_GB2312"/>
          <w:color w:val="000000"/>
          <w:sz w:val="28"/>
          <w:szCs w:val="28"/>
          <w:lang w:eastAsia="zh-CN"/>
        </w:rPr>
        <w:t>、</w:t>
      </w:r>
      <w:r>
        <w:rPr>
          <w:rFonts w:hint="eastAsia" w:ascii="仿宋_GB2312" w:eastAsia="仿宋_GB2312"/>
          <w:sz w:val="28"/>
          <w:szCs w:val="28"/>
        </w:rPr>
        <w:t>假设该估价对象在价值时点达到最佳利用状态，且权属关系不存在纠纷，不受任何权利限制</w:t>
      </w:r>
      <w:r>
        <w:rPr>
          <w:rFonts w:hint="eastAsia" w:ascii="仿宋_GB2312" w:eastAsia="仿宋_GB2312"/>
          <w:sz w:val="28"/>
          <w:szCs w:val="28"/>
          <w:lang w:eastAsia="zh-CN"/>
        </w:rPr>
        <w:t>。</w:t>
      </w:r>
      <w:r>
        <w:rPr>
          <w:rFonts w:hint="eastAsia" w:ascii="仿宋_GB2312" w:eastAsia="仿宋_GB2312"/>
          <w:sz w:val="28"/>
          <w:szCs w:val="28"/>
        </w:rPr>
        <w:t>假设估价对象在价值时点和未来合理存续期间，按目前使用方式、规模、环境和用途等情况下可以继续使用。房地产市场供应关系、市场结构保持稳定、未发生重大变化或实质性改变。</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估价委托人提供了估价对象的《房屋所有权证》</w:t>
      </w:r>
      <w:r>
        <w:rPr>
          <w:rFonts w:hint="eastAsia" w:ascii="仿宋_GB2312" w:eastAsia="仿宋_GB2312"/>
          <w:sz w:val="28"/>
          <w:szCs w:val="28"/>
          <w:lang w:eastAsia="zh-CN"/>
        </w:rPr>
        <w:t>、</w:t>
      </w:r>
      <w:r>
        <w:rPr>
          <w:rFonts w:hint="eastAsia" w:ascii="仿宋_GB2312" w:eastAsia="仿宋_GB2312"/>
          <w:sz w:val="28"/>
          <w:szCs w:val="28"/>
        </w:rPr>
        <w:t>《</w:t>
      </w:r>
      <w:r>
        <w:rPr>
          <w:rFonts w:hint="eastAsia" w:ascii="仿宋_GB2312" w:eastAsia="仿宋_GB2312"/>
          <w:sz w:val="28"/>
          <w:szCs w:val="28"/>
          <w:lang w:eastAsia="zh-CN"/>
        </w:rPr>
        <w:t>土地使用权证</w:t>
      </w:r>
      <w:r>
        <w:rPr>
          <w:rFonts w:hint="eastAsia" w:ascii="仿宋_GB2312" w:eastAsia="仿宋_GB2312"/>
          <w:sz w:val="28"/>
          <w:szCs w:val="28"/>
        </w:rPr>
        <w:t>》</w:t>
      </w:r>
      <w:r>
        <w:rPr>
          <w:rFonts w:hint="eastAsia" w:ascii="仿宋_GB2312" w:eastAsia="仿宋_GB2312"/>
          <w:sz w:val="28"/>
          <w:szCs w:val="28"/>
          <w:lang w:eastAsia="zh-CN"/>
        </w:rPr>
        <w:t>复印件</w:t>
      </w:r>
      <w:r>
        <w:rPr>
          <w:rFonts w:hint="eastAsia" w:ascii="仿宋_GB2312" w:eastAsia="仿宋_GB2312"/>
          <w:sz w:val="28"/>
          <w:szCs w:val="28"/>
        </w:rPr>
        <w:t>，我们对权属证书上记载的权属、面积、用途等资料进行了审慎检查，但未予以核实，在无理由怀疑其合法性、真实性、准确性和完整性的情况下，假定估价委托人提供的资料合法、真实、准确、完整。</w:t>
      </w:r>
      <w:r>
        <w:rPr>
          <w:rFonts w:hint="eastAsia" w:ascii="仿宋_GB2312" w:hAnsi="宋体" w:eastAsia="仿宋_GB2312"/>
          <w:color w:val="000000"/>
          <w:sz w:val="28"/>
          <w:szCs w:val="28"/>
        </w:rPr>
        <w:t>因</w:t>
      </w:r>
      <w:r>
        <w:rPr>
          <w:rFonts w:hint="eastAsia" w:ascii="仿宋_GB2312" w:hAnsi="Tahoma" w:eastAsia="仿宋_GB2312" w:cs="Tahoma"/>
          <w:color w:val="000000"/>
          <w:kern w:val="0"/>
          <w:sz w:val="28"/>
          <w:szCs w:val="28"/>
        </w:rPr>
        <w:t>估价委托人</w:t>
      </w:r>
      <w:r>
        <w:rPr>
          <w:rFonts w:hint="eastAsia" w:ascii="仿宋_GB2312" w:hAnsi="宋体" w:eastAsia="仿宋_GB2312"/>
          <w:color w:val="000000"/>
          <w:sz w:val="28"/>
          <w:szCs w:val="28"/>
        </w:rPr>
        <w:t>提供的资料失实造成估价结果有误，估价机构不承担相应责任。</w:t>
      </w:r>
    </w:p>
    <w:p>
      <w:pPr>
        <w:keepNext w:val="0"/>
        <w:keepLines w:val="0"/>
        <w:pageBreakBefore w:val="0"/>
        <w:kinsoku/>
        <w:wordWrap/>
        <w:overflowPunct/>
        <w:topLinePunct w:val="0"/>
        <w:autoSpaceDE/>
        <w:autoSpaceDN/>
        <w:bidi w:val="0"/>
        <w:adjustRightInd/>
        <w:snapToGrid w:val="0"/>
        <w:spacing w:line="500" w:lineRule="exact"/>
        <w:ind w:firstLine="537" w:firstLineChars="192"/>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5、</w:t>
      </w:r>
      <w:r>
        <w:rPr>
          <w:rFonts w:hint="eastAsia" w:ascii="仿宋_GB2312" w:eastAsia="仿宋_GB2312"/>
          <w:sz w:val="28"/>
          <w:szCs w:val="28"/>
        </w:rPr>
        <w:t>注册房地产估价师未对估价对象房屋建筑面积和</w:t>
      </w:r>
      <w:r>
        <w:rPr>
          <w:rFonts w:hint="eastAsia" w:ascii="仿宋_GB2312" w:eastAsia="仿宋_GB2312"/>
          <w:sz w:val="28"/>
          <w:szCs w:val="28"/>
          <w:lang w:eastAsia="zh-CN"/>
        </w:rPr>
        <w:t>土地使用面积</w:t>
      </w:r>
      <w:r>
        <w:rPr>
          <w:rFonts w:hint="eastAsia" w:ascii="仿宋_GB2312" w:eastAsia="仿宋_GB2312"/>
          <w:sz w:val="28"/>
          <w:szCs w:val="28"/>
        </w:rPr>
        <w:t>进行专业测量，本次估价过程中估价对象的建筑面积和</w:t>
      </w:r>
      <w:r>
        <w:rPr>
          <w:rFonts w:hint="eastAsia" w:ascii="仿宋_GB2312" w:eastAsia="仿宋_GB2312"/>
          <w:sz w:val="28"/>
          <w:szCs w:val="28"/>
          <w:lang w:eastAsia="zh-CN"/>
        </w:rPr>
        <w:t>土地使用面积</w:t>
      </w:r>
      <w:r>
        <w:rPr>
          <w:rFonts w:hint="eastAsia" w:ascii="仿宋_GB2312" w:eastAsia="仿宋_GB2312"/>
          <w:sz w:val="28"/>
          <w:szCs w:val="28"/>
        </w:rPr>
        <w:t>以估价委托人提供的《房屋所有权证》</w:t>
      </w:r>
      <w:r>
        <w:rPr>
          <w:rFonts w:hint="eastAsia" w:ascii="仿宋_GB2312" w:eastAsia="仿宋_GB2312"/>
          <w:sz w:val="28"/>
          <w:szCs w:val="28"/>
          <w:lang w:eastAsia="zh-CN"/>
        </w:rPr>
        <w:t>、</w:t>
      </w:r>
      <w:r>
        <w:rPr>
          <w:rFonts w:hint="eastAsia" w:ascii="仿宋_GB2312" w:eastAsia="仿宋_GB2312"/>
          <w:sz w:val="28"/>
          <w:szCs w:val="28"/>
        </w:rPr>
        <w:t>《</w:t>
      </w:r>
      <w:r>
        <w:rPr>
          <w:rFonts w:hint="eastAsia" w:ascii="仿宋_GB2312" w:eastAsia="仿宋_GB2312"/>
          <w:sz w:val="28"/>
          <w:szCs w:val="28"/>
          <w:lang w:eastAsia="zh-CN"/>
        </w:rPr>
        <w:t>土地使用权证</w:t>
      </w:r>
      <w:r>
        <w:rPr>
          <w:rFonts w:hint="eastAsia" w:ascii="仿宋_GB2312" w:eastAsia="仿宋_GB2312"/>
          <w:sz w:val="28"/>
          <w:szCs w:val="28"/>
        </w:rPr>
        <w:t>》所载明面积为准</w:t>
      </w:r>
      <w:r>
        <w:rPr>
          <w:rFonts w:hint="eastAsia" w:ascii="仿宋_GB2312" w:eastAsia="仿宋_GB2312"/>
          <w:sz w:val="28"/>
          <w:szCs w:val="28"/>
          <w:lang w:eastAsia="zh-CN"/>
        </w:rPr>
        <w:t>。</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xml:space="preserve">注册房地产估价师对估价对象仅进行了外观和利用状况的现场查勘，对被遮盖、未暴露及隐蔽工程未能进行测量、实验，本次估价假设其无基础、结构等方面的重大质量问题，且符合国家有关技术、质量、验收规范，符合国家有关安全使用标准。 </w:t>
      </w:r>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b/>
          <w:bCs/>
          <w:color w:val="000000"/>
          <w:sz w:val="28"/>
          <w:szCs w:val="28"/>
        </w:rPr>
      </w:pP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二</w:t>
      </w: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 xml:space="preserve">未定事项假设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1、在2019年</w:t>
      </w:r>
      <w:r>
        <w:rPr>
          <w:rFonts w:hint="eastAsia" w:ascii="仿宋_GB2312" w:eastAsia="仿宋_GB2312"/>
          <w:sz w:val="28"/>
          <w:szCs w:val="28"/>
          <w:lang w:val="en-US" w:eastAsia="zh-CN"/>
        </w:rPr>
        <w:t>3</w:t>
      </w:r>
      <w:r>
        <w:rPr>
          <w:rFonts w:hint="eastAsia" w:ascii="仿宋_GB2312" w:eastAsia="仿宋_GB2312"/>
          <w:sz w:val="28"/>
          <w:szCs w:val="28"/>
          <w:lang w:eastAsia="zh-CN"/>
        </w:rPr>
        <w:t>月</w:t>
      </w:r>
      <w:r>
        <w:rPr>
          <w:rFonts w:hint="eastAsia" w:ascii="仿宋_GB2312" w:eastAsia="仿宋_GB2312"/>
          <w:sz w:val="28"/>
          <w:szCs w:val="28"/>
          <w:lang w:val="en-US" w:eastAsia="zh-CN"/>
        </w:rPr>
        <w:t>5</w:t>
      </w:r>
      <w:r>
        <w:rPr>
          <w:rFonts w:hint="eastAsia" w:ascii="仿宋_GB2312" w:eastAsia="仿宋_GB2312"/>
          <w:sz w:val="28"/>
          <w:szCs w:val="28"/>
          <w:lang w:eastAsia="zh-CN"/>
        </w:rPr>
        <w:t>日，我们对估价对象进行了现场查勘。在价值时点，估价对象房地产已腾空，租赁情况应以法院拍卖公告为准，本报告未考虑租赁限制对估价结果的影响。</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2、估价结果未扣除法定优先受偿款，也未计入估价对象处置时应交纳的土地出让金、拍卖费、契税、土地增值税、交易手续费、评估费、发证费以及水电费等法律、法规规定应交纳的有关税费及费用。</w:t>
      </w:r>
    </w:p>
    <w:p>
      <w:pPr>
        <w:keepNext w:val="0"/>
        <w:keepLines w:val="0"/>
        <w:pageBreakBefore w:val="0"/>
        <w:tabs>
          <w:tab w:val="left" w:pos="3023"/>
        </w:tabs>
        <w:kinsoku/>
        <w:wordWrap/>
        <w:overflowPunct/>
        <w:topLinePunct w:val="0"/>
        <w:autoSpaceDE/>
        <w:autoSpaceDN/>
        <w:bidi w:val="0"/>
        <w:adjustRightInd/>
        <w:spacing w:line="500" w:lineRule="exact"/>
        <w:ind w:firstLine="562" w:firstLineChars="200"/>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val="en-US" w:eastAsia="zh-CN"/>
        </w:rPr>
        <w:t>(</w:t>
      </w:r>
      <w:r>
        <w:rPr>
          <w:rFonts w:hint="eastAsia" w:ascii="仿宋_GB2312" w:eastAsia="仿宋_GB2312"/>
          <w:b/>
          <w:bCs/>
          <w:sz w:val="28"/>
          <w:szCs w:val="28"/>
          <w:lang w:eastAsia="zh-CN"/>
        </w:rPr>
        <w:t>三</w:t>
      </w:r>
      <w:r>
        <w:rPr>
          <w:rFonts w:hint="eastAsia" w:ascii="仿宋_GB2312" w:eastAsia="仿宋_GB2312"/>
          <w:b/>
          <w:bCs/>
          <w:sz w:val="28"/>
          <w:szCs w:val="28"/>
          <w:lang w:val="en-US" w:eastAsia="zh-CN"/>
        </w:rPr>
        <w:t>)</w:t>
      </w:r>
      <w:r>
        <w:rPr>
          <w:rFonts w:hint="eastAsia" w:ascii="仿宋_GB2312" w:eastAsia="仿宋_GB2312"/>
          <w:b/>
          <w:bCs/>
          <w:sz w:val="28"/>
          <w:szCs w:val="28"/>
          <w:lang w:eastAsia="zh-CN"/>
        </w:rPr>
        <w:t xml:space="preserve">背离事实假设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根据《房地产估价规范》对司法拍卖估价的有关规定，本次估价不考虑估价对象被查封、原有的担保物权及其他优先受偿权对估价结果的影响。</w:t>
      </w:r>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color w:val="000000"/>
          <w:sz w:val="28"/>
          <w:szCs w:val="28"/>
        </w:rPr>
      </w:pP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四</w:t>
      </w: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不相一致假设</w:t>
      </w:r>
      <w:r>
        <w:rPr>
          <w:rFonts w:hint="eastAsia" w:ascii="仿宋_GB2312" w:eastAsia="仿宋_GB2312"/>
          <w:color w:val="000000"/>
          <w:sz w:val="28"/>
          <w:szCs w:val="28"/>
        </w:rPr>
        <w:t xml:space="preserve">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本次估价的价值时点为201</w:t>
      </w:r>
      <w:r>
        <w:rPr>
          <w:rFonts w:hint="eastAsia" w:ascii="仿宋_GB2312" w:eastAsia="仿宋_GB2312"/>
          <w:sz w:val="28"/>
          <w:szCs w:val="28"/>
          <w:lang w:val="en-US" w:eastAsia="zh-CN"/>
        </w:rPr>
        <w:t>9</w:t>
      </w:r>
      <w:r>
        <w:rPr>
          <w:rFonts w:hint="eastAsia" w:ascii="仿宋_GB2312" w:eastAsia="仿宋_GB2312"/>
          <w:sz w:val="28"/>
          <w:szCs w:val="28"/>
          <w:lang w:eastAsia="zh-CN"/>
        </w:rPr>
        <w:t>年0</w:t>
      </w:r>
      <w:r>
        <w:rPr>
          <w:rFonts w:hint="eastAsia" w:ascii="仿宋_GB2312" w:eastAsia="仿宋_GB2312"/>
          <w:sz w:val="28"/>
          <w:szCs w:val="28"/>
          <w:lang w:val="en-US" w:eastAsia="zh-CN"/>
        </w:rPr>
        <w:t>1</w:t>
      </w:r>
      <w:r>
        <w:rPr>
          <w:rFonts w:hint="eastAsia" w:ascii="仿宋_GB2312" w:eastAsia="仿宋_GB2312"/>
          <w:sz w:val="28"/>
          <w:szCs w:val="28"/>
          <w:lang w:eastAsia="zh-CN"/>
        </w:rPr>
        <w:t>月</w:t>
      </w:r>
      <w:r>
        <w:rPr>
          <w:rFonts w:hint="eastAsia" w:ascii="仿宋_GB2312" w:eastAsia="仿宋_GB2312"/>
          <w:sz w:val="28"/>
          <w:szCs w:val="28"/>
          <w:lang w:val="en-US" w:eastAsia="zh-CN"/>
        </w:rPr>
        <w:t>30</w:t>
      </w:r>
      <w:r>
        <w:rPr>
          <w:rFonts w:hint="eastAsia" w:ascii="仿宋_GB2312" w:eastAsia="仿宋_GB2312"/>
          <w:sz w:val="28"/>
          <w:szCs w:val="28"/>
          <w:lang w:eastAsia="zh-CN"/>
        </w:rPr>
        <w:t>日，即司法评估委托书签发之日。估价师实地查勘日期为201</w:t>
      </w:r>
      <w:r>
        <w:rPr>
          <w:rFonts w:hint="eastAsia" w:ascii="仿宋_GB2312" w:eastAsia="仿宋_GB2312"/>
          <w:sz w:val="28"/>
          <w:szCs w:val="28"/>
          <w:lang w:val="en-US" w:eastAsia="zh-CN"/>
        </w:rPr>
        <w:t>9</w:t>
      </w:r>
      <w:r>
        <w:rPr>
          <w:rFonts w:hint="eastAsia" w:ascii="仿宋_GB2312" w:eastAsia="仿宋_GB2312"/>
          <w:sz w:val="28"/>
          <w:szCs w:val="28"/>
          <w:lang w:eastAsia="zh-CN"/>
        </w:rPr>
        <w:t>年</w:t>
      </w:r>
      <w:r>
        <w:rPr>
          <w:rFonts w:hint="eastAsia" w:ascii="仿宋_GB2312" w:eastAsia="仿宋_GB2312"/>
          <w:sz w:val="28"/>
          <w:szCs w:val="28"/>
          <w:lang w:val="en-US" w:eastAsia="zh-CN"/>
        </w:rPr>
        <w:t>3</w:t>
      </w:r>
      <w:r>
        <w:rPr>
          <w:rFonts w:hint="eastAsia" w:ascii="仿宋_GB2312" w:eastAsia="仿宋_GB2312"/>
          <w:sz w:val="28"/>
          <w:szCs w:val="28"/>
          <w:lang w:eastAsia="zh-CN"/>
        </w:rPr>
        <w:t>月</w:t>
      </w:r>
      <w:r>
        <w:rPr>
          <w:rFonts w:hint="eastAsia" w:ascii="仿宋_GB2312" w:eastAsia="仿宋_GB2312"/>
          <w:sz w:val="28"/>
          <w:szCs w:val="28"/>
          <w:lang w:val="en-US" w:eastAsia="zh-CN"/>
        </w:rPr>
        <w:t>5</w:t>
      </w:r>
      <w:r>
        <w:rPr>
          <w:rFonts w:hint="eastAsia" w:ascii="仿宋_GB2312" w:eastAsia="仿宋_GB2312"/>
          <w:sz w:val="28"/>
          <w:szCs w:val="28"/>
          <w:lang w:eastAsia="zh-CN"/>
        </w:rPr>
        <w:t>日，本次估价假定估价对象状况在实地查勘日与价值时点相一致。</w:t>
      </w:r>
    </w:p>
    <w:p>
      <w:pPr>
        <w:keepNext w:val="0"/>
        <w:keepLines w:val="0"/>
        <w:pageBreakBefore w:val="0"/>
        <w:kinsoku/>
        <w:wordWrap/>
        <w:overflowPunct/>
        <w:topLinePunct w:val="0"/>
        <w:autoSpaceDE/>
        <w:autoSpaceDN/>
        <w:bidi w:val="0"/>
        <w:adjustRightInd/>
        <w:snapToGrid w:val="0"/>
        <w:spacing w:line="500" w:lineRule="exact"/>
        <w:ind w:firstLine="540" w:firstLineChars="192"/>
        <w:textAlignment w:val="auto"/>
        <w:outlineLvl w:val="9"/>
        <w:rPr>
          <w:rFonts w:hint="eastAsia" w:ascii="仿宋_GB2312" w:eastAsia="仿宋_GB2312"/>
          <w:b/>
          <w:bCs/>
          <w:color w:val="000000"/>
          <w:sz w:val="28"/>
          <w:szCs w:val="28"/>
        </w:rPr>
      </w:pP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五</w:t>
      </w:r>
      <w:r>
        <w:rPr>
          <w:rFonts w:hint="eastAsia" w:ascii="仿宋_GB2312" w:eastAsia="仿宋_GB2312"/>
          <w:b/>
          <w:bCs/>
          <w:color w:val="000000"/>
          <w:sz w:val="28"/>
          <w:szCs w:val="28"/>
          <w:lang w:val="en-US" w:eastAsia="zh-CN"/>
        </w:rPr>
        <w:t>)</w:t>
      </w:r>
      <w:r>
        <w:rPr>
          <w:rFonts w:hint="eastAsia" w:ascii="仿宋_GB2312" w:eastAsia="仿宋_GB2312"/>
          <w:b/>
          <w:bCs/>
          <w:color w:val="000000"/>
          <w:sz w:val="28"/>
          <w:szCs w:val="28"/>
        </w:rPr>
        <w:t xml:space="preserve">依据不足假设 </w:t>
      </w:r>
    </w:p>
    <w:p>
      <w:pPr>
        <w:keepNext w:val="0"/>
        <w:keepLines w:val="0"/>
        <w:pageBreakBefore w:val="0"/>
        <w:tabs>
          <w:tab w:val="left" w:pos="3023"/>
        </w:tabs>
        <w:kinsoku/>
        <w:wordWrap/>
        <w:overflowPunct/>
        <w:topLinePunct w:val="0"/>
        <w:autoSpaceDE/>
        <w:autoSpaceDN/>
        <w:bidi w:val="0"/>
        <w:adjustRightInd/>
        <w:spacing w:line="5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eastAsia="zh-CN"/>
        </w:rPr>
        <w:t>无</w:t>
      </w:r>
      <w:r>
        <w:rPr>
          <w:rFonts w:hint="eastAsia" w:ascii="仿宋_GB2312" w:eastAsia="仿宋_GB2312"/>
          <w:sz w:val="28"/>
          <w:szCs w:val="28"/>
        </w:rPr>
        <w:t>依据不足假设。</w:t>
      </w:r>
    </w:p>
    <w:p>
      <w:pPr>
        <w:keepNext w:val="0"/>
        <w:keepLines w:val="0"/>
        <w:pageBreakBefore w:val="0"/>
        <w:kinsoku/>
        <w:wordWrap/>
        <w:overflowPunct/>
        <w:topLinePunct w:val="0"/>
        <w:autoSpaceDE/>
        <w:autoSpaceDN/>
        <w:bidi w:val="0"/>
        <w:adjustRightInd/>
        <w:spacing w:line="500" w:lineRule="exact"/>
        <w:ind w:firstLine="562" w:firstLineChars="200"/>
        <w:textAlignment w:val="auto"/>
        <w:outlineLvl w:val="9"/>
        <w:rPr>
          <w:rFonts w:ascii="仿宋_GB2312" w:eastAsia="仿宋_GB2312"/>
          <w:b/>
          <w:bCs/>
          <w:color w:val="000000"/>
          <w:sz w:val="28"/>
          <w:szCs w:val="28"/>
        </w:rPr>
      </w:pPr>
      <w:r>
        <w:rPr>
          <w:rFonts w:hint="eastAsia" w:ascii="仿宋_GB2312" w:eastAsia="仿宋_GB2312"/>
          <w:b/>
          <w:bCs/>
          <w:color w:val="000000"/>
          <w:sz w:val="28"/>
          <w:szCs w:val="28"/>
        </w:rPr>
        <w:t>二、估价报告使用的限制条件</w:t>
      </w:r>
    </w:p>
    <w:p>
      <w:pPr>
        <w:keepNext w:val="0"/>
        <w:keepLines w:val="0"/>
        <w:pageBreakBefore w:val="0"/>
        <w:widowControl/>
        <w:kinsoku/>
        <w:wordWrap/>
        <w:overflowPunct/>
        <w:topLinePunct w:val="0"/>
        <w:autoSpaceDE/>
        <w:autoSpaceDN/>
        <w:bidi w:val="0"/>
        <w:adjustRightInd/>
        <w:spacing w:line="500" w:lineRule="exact"/>
        <w:ind w:firstLine="560" w:firstLineChars="200"/>
        <w:jc w:val="left"/>
        <w:textAlignment w:val="auto"/>
        <w:outlineLvl w:val="9"/>
        <w:rPr>
          <w:rFonts w:hint="eastAsia" w:ascii="仿宋_GB2312" w:hAnsi="Tahoma" w:eastAsia="仿宋_GB2312" w:cs="Tahoma"/>
          <w:color w:val="000000"/>
          <w:kern w:val="0"/>
          <w:sz w:val="28"/>
          <w:szCs w:val="28"/>
        </w:rPr>
      </w:pPr>
      <w:r>
        <w:rPr>
          <w:rFonts w:ascii="仿宋_GB2312" w:hAnsi="Tahoma" w:eastAsia="仿宋_GB2312" w:cs="Tahoma"/>
          <w:color w:val="000000"/>
          <w:kern w:val="0"/>
          <w:sz w:val="28"/>
          <w:szCs w:val="28"/>
        </w:rPr>
        <w:t>1</w:t>
      </w:r>
      <w:r>
        <w:rPr>
          <w:rFonts w:hint="eastAsia" w:ascii="仿宋_GB2312" w:hAnsi="Tahoma" w:eastAsia="仿宋_GB2312" w:cs="Tahoma"/>
          <w:color w:val="000000"/>
          <w:kern w:val="0"/>
          <w:sz w:val="28"/>
          <w:szCs w:val="28"/>
        </w:rPr>
        <w:t>、本次估价结果是反映估价对象在本次估价目的下，根据公开市场原则确定的价值时点的公允价格，仅作为估价委托人进行房地产司法处置的参考依据，不得用于其他目的和用途。若改变估价目的及使用条件</w:t>
      </w:r>
      <w:r>
        <w:rPr>
          <w:rFonts w:hint="eastAsia" w:eastAsia="仿宋_GB2312"/>
          <w:sz w:val="28"/>
          <w:szCs w:val="28"/>
        </w:rPr>
        <w:t>，则估价结果应</w:t>
      </w:r>
      <w:r>
        <w:rPr>
          <w:rFonts w:hint="eastAsia" w:ascii="仿宋_GB2312" w:hAnsi="Tahoma" w:eastAsia="仿宋_GB2312" w:cs="Tahoma"/>
          <w:color w:val="000000"/>
          <w:kern w:val="0"/>
          <w:sz w:val="28"/>
          <w:szCs w:val="28"/>
        </w:rPr>
        <w:t>重新评估。</w:t>
      </w:r>
    </w:p>
    <w:p>
      <w:pPr>
        <w:keepNext w:val="0"/>
        <w:keepLines w:val="0"/>
        <w:pageBreakBefore w:val="0"/>
        <w:widowControl/>
        <w:kinsoku/>
        <w:wordWrap/>
        <w:overflowPunct/>
        <w:topLinePunct w:val="0"/>
        <w:autoSpaceDE/>
        <w:autoSpaceDN/>
        <w:bidi w:val="0"/>
        <w:adjustRightInd/>
        <w:spacing w:line="500" w:lineRule="exact"/>
        <w:ind w:firstLine="560" w:firstLineChars="200"/>
        <w:jc w:val="left"/>
        <w:textAlignment w:val="auto"/>
        <w:outlineLvl w:val="9"/>
        <w:rPr>
          <w:rFonts w:hint="eastAsia"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2、本估价结果已包含与房地产不可分割的满足其使用功能的水、电</w:t>
      </w:r>
      <w:r>
        <w:rPr>
          <w:rFonts w:hint="eastAsia" w:ascii="仿宋_GB2312" w:hAnsi="Tahoma" w:eastAsia="仿宋_GB2312" w:cs="Tahoma"/>
          <w:color w:val="000000"/>
          <w:kern w:val="0"/>
          <w:sz w:val="28"/>
          <w:szCs w:val="28"/>
          <w:lang w:eastAsia="zh-CN"/>
        </w:rPr>
        <w:t>、</w:t>
      </w:r>
      <w:r>
        <w:rPr>
          <w:rFonts w:hint="eastAsia" w:ascii="仿宋_GB2312" w:hAnsi="Tahoma" w:eastAsia="仿宋_GB2312" w:cs="Tahoma"/>
          <w:color w:val="000000"/>
          <w:kern w:val="0"/>
          <w:sz w:val="28"/>
          <w:szCs w:val="28"/>
        </w:rPr>
        <w:t>室内固定装修等配套的附属设施。不包括室内可移动设施设备、债权债务及其它特许经营权等。</w:t>
      </w:r>
    </w:p>
    <w:p>
      <w:pPr>
        <w:keepNext w:val="0"/>
        <w:keepLines w:val="0"/>
        <w:pageBreakBefore w:val="0"/>
        <w:widowControl/>
        <w:kinsoku/>
        <w:wordWrap/>
        <w:overflowPunct/>
        <w:topLinePunct w:val="0"/>
        <w:autoSpaceDE/>
        <w:autoSpaceDN/>
        <w:bidi w:val="0"/>
        <w:adjustRightInd/>
        <w:spacing w:line="500" w:lineRule="exact"/>
        <w:ind w:firstLine="560" w:firstLineChars="200"/>
        <w:jc w:val="left"/>
        <w:textAlignment w:val="auto"/>
        <w:outlineLvl w:val="9"/>
        <w:rPr>
          <w:rFonts w:ascii="仿宋_GB2312" w:hAnsi="仿宋_GB2312" w:eastAsia="仿宋_GB2312" w:cs="仿宋_GB2312"/>
          <w:color w:val="000000"/>
          <w:sz w:val="28"/>
          <w:szCs w:val="28"/>
        </w:rPr>
      </w:pPr>
      <w:r>
        <w:rPr>
          <w:rFonts w:hint="eastAsia" w:ascii="仿宋_GB2312" w:hAnsi="Tahoma" w:eastAsia="仿宋_GB2312" w:cs="Tahoma"/>
          <w:color w:val="000000"/>
          <w:kern w:val="0"/>
          <w:sz w:val="28"/>
          <w:szCs w:val="28"/>
          <w:lang w:val="en-US" w:eastAsia="zh-CN"/>
        </w:rPr>
        <w:t>3、</w:t>
      </w:r>
      <w:r>
        <w:rPr>
          <w:rFonts w:hint="eastAsia" w:ascii="仿宋_GB2312" w:hAnsi="Tahoma" w:eastAsia="仿宋_GB2312" w:cs="Tahoma"/>
          <w:color w:val="000000"/>
          <w:kern w:val="0"/>
          <w:sz w:val="28"/>
          <w:szCs w:val="28"/>
        </w:rPr>
        <w:t>本次估价未考虑未来国家宏观经济</w:t>
      </w:r>
      <w:r>
        <w:rPr>
          <w:rFonts w:hint="eastAsia" w:ascii="仿宋_GB2312" w:eastAsia="仿宋_GB2312"/>
          <w:color w:val="333333"/>
          <w:sz w:val="28"/>
          <w:szCs w:val="28"/>
        </w:rPr>
        <w:t>政策</w:t>
      </w:r>
      <w:r>
        <w:rPr>
          <w:rFonts w:hint="eastAsia" w:ascii="仿宋_GB2312" w:hAnsi="Tahoma" w:eastAsia="仿宋_GB2312" w:cs="Tahoma"/>
          <w:color w:val="000000"/>
          <w:kern w:val="0"/>
          <w:sz w:val="28"/>
          <w:szCs w:val="28"/>
        </w:rPr>
        <w:t>、市场供应关系、市场结构发生重大改变，遇有自然力和其他不可抗力等因素对房地产价值的影响，以及特殊交易方式下的特殊交易价格等对估价结果的影响。</w:t>
      </w:r>
    </w:p>
    <w:p>
      <w:pPr>
        <w:keepNext w:val="0"/>
        <w:keepLines w:val="0"/>
        <w:pageBreakBefore w:val="0"/>
        <w:kinsoku/>
        <w:wordWrap/>
        <w:overflowPunct/>
        <w:topLinePunct w:val="0"/>
        <w:autoSpaceDE/>
        <w:autoSpaceDN/>
        <w:bidi w:val="0"/>
        <w:adjustRightInd/>
        <w:snapToGrid w:val="0"/>
        <w:spacing w:line="500" w:lineRule="exact"/>
        <w:ind w:firstLine="571" w:firstLineChars="204"/>
        <w:textAlignment w:val="auto"/>
        <w:outlineLvl w:val="9"/>
        <w:rPr>
          <w:rFonts w:ascii="仿宋_GB2312" w:hAnsi="Tahoma" w:eastAsia="仿宋_GB2312" w:cs="Tahoma"/>
          <w:color w:val="000000"/>
          <w:kern w:val="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、报告中数据全部采用电算化连续计算</w:t>
      </w:r>
      <w:r>
        <w:rPr>
          <w:rFonts w:hint="eastAsia" w:ascii="仿宋_GB2312" w:hAnsi="Tahoma" w:eastAsia="仿宋_GB2312" w:cs="Tahoma"/>
          <w:color w:val="000000"/>
          <w:kern w:val="0"/>
          <w:sz w:val="28"/>
          <w:szCs w:val="28"/>
        </w:rPr>
        <w:t>得出，由于在报告中计算的数据均按四舍五入保留两位小数或取整，因此可能出现个别等式左右不完全相等的情况，但不影响计算结果及最终估价结果的准确性。</w:t>
      </w:r>
    </w:p>
    <w:p>
      <w:pPr>
        <w:keepNext w:val="0"/>
        <w:keepLines w:val="0"/>
        <w:pageBreakBefore w:val="0"/>
        <w:kinsoku/>
        <w:wordWrap/>
        <w:overflowPunct/>
        <w:topLinePunct w:val="0"/>
        <w:autoSpaceDE/>
        <w:autoSpaceDN/>
        <w:bidi w:val="0"/>
        <w:adjustRightInd/>
        <w:spacing w:line="500" w:lineRule="exact"/>
        <w:ind w:right="-107" w:rightChars="-51" w:firstLine="560" w:firstLineChars="200"/>
        <w:textAlignment w:val="auto"/>
        <w:outlineLvl w:val="9"/>
        <w:rPr>
          <w:rFonts w:ascii="仿宋_GB2312" w:hAnsi="Plotter" w:eastAsia="仿宋_GB2312"/>
          <w:color w:val="000000"/>
          <w:sz w:val="28"/>
          <w:szCs w:val="28"/>
        </w:rPr>
      </w:pPr>
      <w:r>
        <w:rPr>
          <w:rFonts w:hint="eastAsia" w:ascii="仿宋_GB2312" w:hAnsi="Plotter" w:eastAsia="仿宋_GB2312"/>
          <w:color w:val="000000"/>
          <w:sz w:val="28"/>
          <w:szCs w:val="28"/>
          <w:lang w:val="en-US" w:eastAsia="zh-CN"/>
        </w:rPr>
        <w:t>5</w:t>
      </w:r>
      <w:r>
        <w:rPr>
          <w:rFonts w:hint="eastAsia" w:ascii="仿宋_GB2312" w:hAnsi="Plotter" w:eastAsia="仿宋_GB2312"/>
          <w:color w:val="000000"/>
          <w:sz w:val="28"/>
          <w:szCs w:val="28"/>
        </w:rPr>
        <w:t>、</w:t>
      </w:r>
      <w:r>
        <w:rPr>
          <w:rFonts w:hint="eastAsia" w:ascii="仿宋_GB2312" w:hAnsi="仿宋_GB2312" w:eastAsia="仿宋_GB2312" w:cs="仿宋_GB2312"/>
          <w:color w:val="000000"/>
          <w:sz w:val="28"/>
          <w:szCs w:val="28"/>
        </w:rPr>
        <w:t>本估价报告经估价机构加盖公章并由注册房地产估价师签章后整体原件使用方为有效。</w:t>
      </w:r>
      <w:r>
        <w:rPr>
          <w:rFonts w:hint="eastAsia" w:eastAsia="仿宋_GB2312"/>
          <w:sz w:val="28"/>
        </w:rPr>
        <w:t>部分使用或复印件使用无效。未经本公司书面同意，本报告任何一部分或全部均不得发表于任何媒体或作未经授权的使用。</w:t>
      </w:r>
    </w:p>
    <w:p>
      <w:pPr>
        <w:keepNext w:val="0"/>
        <w:keepLines w:val="0"/>
        <w:pageBreakBefore w:val="0"/>
        <w:kinsoku/>
        <w:wordWrap/>
        <w:overflowPunct/>
        <w:topLinePunct w:val="0"/>
        <w:autoSpaceDE/>
        <w:autoSpaceDN/>
        <w:bidi w:val="0"/>
        <w:adjustRightInd/>
        <w:snapToGrid w:val="0"/>
        <w:spacing w:line="500" w:lineRule="exact"/>
        <w:ind w:firstLine="560" w:firstLineChars="200"/>
        <w:textAlignment w:val="auto"/>
        <w:outlineLvl w:val="9"/>
        <w:rPr>
          <w:rFonts w:hint="eastAsia" w:ascii="仿宋_GB2312" w:hAnsi="Plotter" w:eastAsia="仿宋_GB2312"/>
          <w:color w:val="000000"/>
          <w:sz w:val="28"/>
          <w:szCs w:val="28"/>
        </w:rPr>
      </w:pPr>
      <w:r>
        <w:rPr>
          <w:rFonts w:hint="eastAsia" w:ascii="仿宋_GB2312" w:eastAsia="仿宋_GB2312"/>
          <w:color w:val="000000"/>
          <w:sz w:val="28"/>
          <w:szCs w:val="28"/>
          <w:lang w:val="en-US" w:eastAsia="zh-CN"/>
        </w:rPr>
        <w:t>6</w:t>
      </w:r>
      <w:r>
        <w:rPr>
          <w:rFonts w:hint="eastAsia" w:ascii="仿宋_GB2312" w:eastAsia="仿宋_GB2312"/>
          <w:color w:val="000000"/>
          <w:sz w:val="28"/>
          <w:szCs w:val="28"/>
        </w:rPr>
        <w:t>、</w:t>
      </w:r>
      <w:r>
        <w:rPr>
          <w:rFonts w:hint="eastAsia" w:ascii="仿宋_GB2312" w:hAnsi="Plotter" w:eastAsia="仿宋_GB2312"/>
          <w:color w:val="000000"/>
          <w:sz w:val="28"/>
          <w:szCs w:val="28"/>
        </w:rPr>
        <w:t>本估价报告使用期限为壹年，即本报告提交日起壹年内使用有效。在报告使用期限内</w:t>
      </w:r>
      <w:r>
        <w:rPr>
          <w:rFonts w:hint="eastAsia" w:eastAsia="仿宋_GB2312"/>
          <w:sz w:val="28"/>
        </w:rPr>
        <w:t>，如果房地产市场状况变化较大或估价对象的法律权属、实体状况发生变化</w:t>
      </w:r>
      <w:r>
        <w:rPr>
          <w:rFonts w:hint="eastAsia" w:ascii="仿宋_GB2312" w:hAnsi="Plotter" w:eastAsia="仿宋_GB2312"/>
          <w:color w:val="000000"/>
          <w:sz w:val="28"/>
          <w:szCs w:val="28"/>
        </w:rPr>
        <w:t>，并对房地产价值产生明显影响时，应重新进行估价。</w:t>
      </w:r>
    </w:p>
    <w:p>
      <w:pPr>
        <w:keepNext w:val="0"/>
        <w:keepLines w:val="0"/>
        <w:pageBreakBefore w:val="0"/>
        <w:kinsoku/>
        <w:wordWrap/>
        <w:overflowPunct/>
        <w:topLinePunct w:val="0"/>
        <w:autoSpaceDE/>
        <w:autoSpaceDN/>
        <w:bidi w:val="0"/>
        <w:adjustRightInd/>
        <w:snapToGrid w:val="0"/>
        <w:spacing w:line="500" w:lineRule="exact"/>
        <w:ind w:firstLine="560" w:firstLineChars="200"/>
        <w:textAlignment w:val="auto"/>
        <w:outlineLvl w:val="9"/>
        <w:rPr>
          <w:rFonts w:hint="eastAsia" w:ascii="仿宋_GB2312" w:hAnsi="Plotter" w:eastAsia="仿宋_GB2312"/>
          <w:color w:val="000000"/>
          <w:sz w:val="28"/>
          <w:szCs w:val="28"/>
        </w:rPr>
      </w:pP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w:t>
      </w:r>
      <w:r>
        <w:rPr>
          <w:rFonts w:hint="eastAsia" w:ascii="仿宋_GB2312" w:hAnsi="Plotter" w:eastAsia="仿宋_GB2312"/>
          <w:color w:val="000000"/>
          <w:sz w:val="28"/>
          <w:szCs w:val="28"/>
        </w:rPr>
        <w:t>根据《最高人民法院关于人民法院民事执行中拍卖、变卖财产的规定》，当事人或者其他利害关系人对评估报告有异议的，可以在收到</w:t>
      </w:r>
      <w:r>
        <w:rPr>
          <w:rFonts w:hint="eastAsia" w:ascii="仿宋_GB2312" w:hAnsi="Plotter" w:eastAsia="仿宋_GB2312"/>
          <w:color w:val="000000"/>
          <w:sz w:val="28"/>
          <w:szCs w:val="28"/>
          <w:lang w:eastAsia="zh-CN"/>
        </w:rPr>
        <w:t>估价</w:t>
      </w:r>
      <w:r>
        <w:rPr>
          <w:rFonts w:hint="eastAsia" w:ascii="仿宋_GB2312" w:hAnsi="Plotter" w:eastAsia="仿宋_GB2312"/>
          <w:color w:val="000000"/>
          <w:sz w:val="28"/>
          <w:szCs w:val="28"/>
        </w:rPr>
        <w:t>报告后十日内以书面形式向此次</w:t>
      </w:r>
      <w:r>
        <w:rPr>
          <w:rFonts w:hint="eastAsia" w:ascii="仿宋_GB2312" w:hAnsi="Plotter" w:eastAsia="仿宋_GB2312"/>
          <w:color w:val="000000"/>
          <w:sz w:val="28"/>
          <w:szCs w:val="28"/>
          <w:lang w:eastAsia="zh-CN"/>
        </w:rPr>
        <w:t>估价</w:t>
      </w:r>
      <w:r>
        <w:rPr>
          <w:rFonts w:hint="eastAsia" w:ascii="仿宋_GB2312" w:hAnsi="Plotter" w:eastAsia="仿宋_GB2312"/>
          <w:color w:val="000000"/>
          <w:sz w:val="28"/>
          <w:szCs w:val="28"/>
        </w:rPr>
        <w:t xml:space="preserve">的委托方提出，逾期视为认同。 </w:t>
      </w:r>
    </w:p>
    <w:p>
      <w:pPr>
        <w:keepNext w:val="0"/>
        <w:keepLines w:val="0"/>
        <w:pageBreakBefore w:val="0"/>
        <w:kinsoku/>
        <w:wordWrap/>
        <w:overflowPunct/>
        <w:topLinePunct w:val="0"/>
        <w:autoSpaceDE/>
        <w:autoSpaceDN/>
        <w:bidi w:val="0"/>
        <w:adjustRightInd/>
        <w:snapToGrid w:val="0"/>
        <w:spacing w:line="500" w:lineRule="exact"/>
        <w:ind w:firstLine="537" w:firstLineChars="192"/>
        <w:textAlignment w:val="auto"/>
        <w:outlineLvl w:val="9"/>
        <w:rPr>
          <w:rFonts w:ascii="仿宋_GB2312" w:hAnsi="Plotter" w:eastAsia="仿宋_GB2312"/>
          <w:color w:val="000000"/>
          <w:sz w:val="28"/>
          <w:szCs w:val="28"/>
        </w:rPr>
      </w:pPr>
      <w:r>
        <w:rPr>
          <w:rFonts w:hint="eastAsia" w:ascii="仿宋_GB2312" w:eastAsia="仿宋_GB2312"/>
          <w:sz w:val="28"/>
          <w:szCs w:val="28"/>
        </w:rPr>
        <w:t>本报告由金华市华诚房地产土地评估有限责任公司负责解释。</w:t>
      </w:r>
    </w:p>
    <w:p>
      <w:pPr>
        <w:pStyle w:val="2"/>
        <w:spacing w:beforeLines="50" w:afterLines="50" w:line="560" w:lineRule="exact"/>
        <w:jc w:val="center"/>
        <w:rPr>
          <w:rFonts w:ascii="仿宋_GB2312" w:hAnsi="宋体" w:eastAsia="仿宋_GB2312"/>
        </w:rPr>
      </w:pPr>
      <w:bookmarkStart w:id="10" w:name="_Toc476334909"/>
      <w:r>
        <w:rPr>
          <w:rFonts w:hint="eastAsia" w:ascii="仿宋_GB2312" w:hAnsi="宋体" w:eastAsia="仿宋_GB2312"/>
        </w:rPr>
        <w:br w:type="page"/>
      </w:r>
      <w:r>
        <w:rPr>
          <w:rFonts w:hint="eastAsia" w:ascii="仿宋_GB2312" w:hAnsi="宋体" w:eastAsia="仿宋_GB2312"/>
        </w:rPr>
        <w:t>房地产估价结果报告</w:t>
      </w:r>
      <w:bookmarkEnd w:id="10"/>
    </w:p>
    <w:p>
      <w:pPr>
        <w:pStyle w:val="3"/>
        <w:spacing w:before="0" w:after="0" w:line="500" w:lineRule="exact"/>
        <w:ind w:firstLine="562" w:firstLineChars="200"/>
        <w:rPr>
          <w:rFonts w:ascii="仿宋_GB2312" w:hAnsi="宋体" w:eastAsia="仿宋_GB2312"/>
          <w:sz w:val="28"/>
          <w:szCs w:val="28"/>
        </w:rPr>
      </w:pPr>
      <w:bookmarkStart w:id="11" w:name="_Toc476334910"/>
      <w:r>
        <w:rPr>
          <w:rFonts w:hint="eastAsia" w:ascii="仿宋_GB2312" w:hAnsi="宋体" w:eastAsia="仿宋_GB2312"/>
          <w:sz w:val="28"/>
          <w:szCs w:val="28"/>
        </w:rPr>
        <w:t>一、</w:t>
      </w:r>
      <w:r>
        <w:rPr>
          <w:rFonts w:hint="eastAsia" w:ascii="仿宋_GB2312" w:eastAsia="仿宋_GB2312"/>
          <w:sz w:val="28"/>
          <w:szCs w:val="28"/>
        </w:rPr>
        <w:t>估价委托人</w:t>
      </w:r>
      <w:bookmarkEnd w:id="11"/>
    </w:p>
    <w:p>
      <w:pPr>
        <w:spacing w:line="500" w:lineRule="exact"/>
        <w:ind w:firstLine="560" w:firstLineChars="200"/>
        <w:rPr>
          <w:rFonts w:hint="eastAsia" w:ascii="仿宋_GB2312" w:hAnsi="宋体" w:eastAsia="仿宋_GB2312" w:cs="宋体"/>
          <w:sz w:val="28"/>
          <w:szCs w:val="28"/>
          <w:lang w:eastAsia="zh-CN"/>
        </w:rPr>
      </w:pPr>
      <w:r>
        <w:rPr>
          <w:rFonts w:hint="eastAsia" w:ascii="仿宋_GB2312" w:hAnsi="宋体" w:eastAsia="仿宋_GB2312"/>
          <w:sz w:val="28"/>
          <w:szCs w:val="28"/>
        </w:rPr>
        <w:t>名称：</w:t>
      </w:r>
      <w:r>
        <w:rPr>
          <w:rFonts w:hint="eastAsia" w:ascii="仿宋_GB2312" w:hAnsi="宋体" w:eastAsia="仿宋_GB2312" w:cs="宋体"/>
          <w:sz w:val="28"/>
          <w:szCs w:val="28"/>
          <w:lang w:eastAsia="zh-CN"/>
        </w:rPr>
        <w:t>浙江省金华市婺城区人民法院</w:t>
      </w:r>
    </w:p>
    <w:p>
      <w:pPr>
        <w:spacing w:line="500" w:lineRule="exact"/>
        <w:ind w:firstLine="560" w:firstLineChars="200"/>
        <w:rPr>
          <w:rFonts w:hint="eastAsia" w:ascii="仿宋_GB2312" w:hAnsi="宋体" w:eastAsia="仿宋_GB2312" w:cs="宋体"/>
          <w:sz w:val="28"/>
          <w:szCs w:val="28"/>
          <w:lang w:eastAsia="zh-CN"/>
        </w:rPr>
      </w:pPr>
      <w:r>
        <w:rPr>
          <w:rFonts w:hint="eastAsia" w:ascii="仿宋_GB2312" w:hAnsi="宋体" w:eastAsia="仿宋_GB2312"/>
          <w:sz w:val="28"/>
          <w:szCs w:val="28"/>
        </w:rPr>
        <w:t>地址：</w:t>
      </w:r>
      <w:r>
        <w:rPr>
          <w:rFonts w:ascii="仿宋" w:hAnsi="仿宋" w:eastAsia="仿宋"/>
          <w:w w:val="95"/>
          <w:sz w:val="28"/>
          <w:szCs w:val="28"/>
        </w:rPr>
        <w:t>浙江省</w:t>
      </w:r>
      <w:r>
        <w:rPr>
          <w:rFonts w:hint="eastAsia" w:ascii="仿宋" w:hAnsi="仿宋" w:eastAsia="仿宋"/>
          <w:w w:val="95"/>
          <w:sz w:val="28"/>
          <w:szCs w:val="28"/>
        </w:rPr>
        <w:t>金华市兰溪街210号</w:t>
      </w:r>
    </w:p>
    <w:p>
      <w:pPr>
        <w:pStyle w:val="3"/>
        <w:spacing w:before="0" w:after="0" w:line="500" w:lineRule="exact"/>
        <w:ind w:firstLine="562" w:firstLineChars="200"/>
        <w:rPr>
          <w:rFonts w:ascii="仿宋_GB2312" w:hAnsi="宋体" w:eastAsia="仿宋_GB2312"/>
          <w:sz w:val="28"/>
          <w:szCs w:val="28"/>
        </w:rPr>
      </w:pPr>
      <w:bookmarkStart w:id="12" w:name="_Toc476334911"/>
      <w:r>
        <w:rPr>
          <w:rFonts w:hint="eastAsia" w:ascii="仿宋_GB2312" w:hAnsi="宋体" w:eastAsia="仿宋_GB2312"/>
          <w:sz w:val="28"/>
          <w:szCs w:val="28"/>
        </w:rPr>
        <w:t>二、房地产估价机构</w:t>
      </w:r>
      <w:bookmarkEnd w:id="12"/>
    </w:p>
    <w:p>
      <w:pPr>
        <w:spacing w:line="500" w:lineRule="exact"/>
        <w:ind w:firstLine="571" w:firstLineChars="204"/>
        <w:rPr>
          <w:rFonts w:ascii="仿宋" w:hAnsi="仿宋" w:eastAsia="仿宋"/>
          <w:sz w:val="28"/>
        </w:rPr>
      </w:pPr>
      <w:r>
        <w:rPr>
          <w:rFonts w:hint="eastAsia" w:ascii="仿宋" w:hAnsi="仿宋" w:eastAsia="仿宋"/>
          <w:sz w:val="28"/>
        </w:rPr>
        <w:t>机构名称：金华市华诚房地产土地评估有限责任公司</w:t>
      </w:r>
    </w:p>
    <w:p>
      <w:pPr>
        <w:spacing w:line="500" w:lineRule="exact"/>
        <w:ind w:firstLine="571" w:firstLineChars="204"/>
        <w:rPr>
          <w:rFonts w:ascii="仿宋" w:hAnsi="仿宋" w:eastAsia="仿宋"/>
          <w:sz w:val="28"/>
        </w:rPr>
      </w:pPr>
      <w:r>
        <w:rPr>
          <w:rFonts w:hint="eastAsia" w:ascii="仿宋" w:hAnsi="仿宋" w:eastAsia="仿宋"/>
          <w:sz w:val="28"/>
        </w:rPr>
        <w:t>机构地址：金华市双龙南街828号市农科教大楼西附楼壹楼</w:t>
      </w:r>
    </w:p>
    <w:p>
      <w:pPr>
        <w:tabs>
          <w:tab w:val="center" w:pos="5056"/>
        </w:tabs>
        <w:spacing w:line="500" w:lineRule="exact"/>
        <w:ind w:firstLine="571" w:firstLineChars="204"/>
        <w:rPr>
          <w:rFonts w:ascii="仿宋" w:hAnsi="仿宋" w:eastAsia="仿宋"/>
          <w:sz w:val="28"/>
        </w:rPr>
      </w:pPr>
      <w:r>
        <w:rPr>
          <w:rFonts w:hint="eastAsia" w:ascii="仿宋" w:hAnsi="仿宋" w:eastAsia="仿宋"/>
          <w:sz w:val="28"/>
        </w:rPr>
        <w:t>法定代表人：王勇明</w:t>
      </w:r>
    </w:p>
    <w:p>
      <w:pPr>
        <w:tabs>
          <w:tab w:val="center" w:pos="5056"/>
        </w:tabs>
        <w:spacing w:line="500" w:lineRule="exact"/>
        <w:ind w:firstLine="571" w:firstLineChars="204"/>
        <w:rPr>
          <w:rFonts w:ascii="仿宋" w:hAnsi="仿宋" w:eastAsia="仿宋"/>
          <w:sz w:val="28"/>
        </w:rPr>
      </w:pPr>
      <w:r>
        <w:rPr>
          <w:rFonts w:hint="eastAsia" w:ascii="仿宋" w:hAnsi="仿宋" w:eastAsia="仿宋"/>
          <w:sz w:val="28"/>
        </w:rPr>
        <w:t>机构类别：房地产评估机构、土地估价机构</w:t>
      </w:r>
    </w:p>
    <w:p>
      <w:pPr>
        <w:tabs>
          <w:tab w:val="center" w:pos="5056"/>
        </w:tabs>
        <w:spacing w:line="500" w:lineRule="exact"/>
        <w:ind w:firstLine="571" w:firstLineChars="204"/>
        <w:rPr>
          <w:rFonts w:ascii="仿宋" w:hAnsi="仿宋" w:eastAsia="仿宋"/>
          <w:sz w:val="28"/>
        </w:rPr>
      </w:pPr>
      <w:r>
        <w:rPr>
          <w:rFonts w:hint="eastAsia" w:ascii="仿宋" w:hAnsi="仿宋" w:eastAsia="仿宋"/>
          <w:sz w:val="28"/>
        </w:rPr>
        <w:t xml:space="preserve">房地产评估资质等级：贰级 </w:t>
      </w:r>
    </w:p>
    <w:p>
      <w:pPr>
        <w:tabs>
          <w:tab w:val="center" w:pos="5056"/>
        </w:tabs>
        <w:spacing w:line="500" w:lineRule="exact"/>
        <w:ind w:firstLine="571" w:firstLineChars="204"/>
        <w:rPr>
          <w:rFonts w:hint="eastAsia" w:ascii="仿宋" w:hAnsi="仿宋" w:eastAsia="仿宋"/>
          <w:sz w:val="28"/>
          <w:szCs w:val="22"/>
        </w:rPr>
      </w:pPr>
      <w:r>
        <w:rPr>
          <w:rFonts w:hint="eastAsia" w:ascii="仿宋" w:hAnsi="仿宋" w:eastAsia="仿宋"/>
          <w:sz w:val="28"/>
          <w:szCs w:val="22"/>
        </w:rPr>
        <w:t>证书编号：浙建房估证字【2011】006号</w:t>
      </w:r>
    </w:p>
    <w:p>
      <w:pPr>
        <w:tabs>
          <w:tab w:val="center" w:pos="5056"/>
        </w:tabs>
        <w:spacing w:line="500" w:lineRule="exact"/>
        <w:ind w:firstLine="571" w:firstLineChars="204"/>
        <w:rPr>
          <w:rFonts w:hint="eastAsia" w:ascii="仿宋" w:hAnsi="仿宋" w:eastAsia="仿宋"/>
          <w:sz w:val="28"/>
          <w:szCs w:val="22"/>
        </w:rPr>
      </w:pPr>
      <w:r>
        <w:rPr>
          <w:rFonts w:hint="eastAsia" w:ascii="仿宋" w:hAnsi="仿宋" w:eastAsia="仿宋"/>
          <w:sz w:val="28"/>
          <w:szCs w:val="22"/>
        </w:rPr>
        <w:t xml:space="preserve">土地估价资信等级：一级 </w:t>
      </w:r>
    </w:p>
    <w:p>
      <w:pPr>
        <w:snapToGrid w:val="0"/>
        <w:spacing w:line="500" w:lineRule="exact"/>
        <w:ind w:firstLine="571" w:firstLineChars="204"/>
        <w:rPr>
          <w:rFonts w:hint="eastAsia" w:ascii="仿宋" w:hAnsi="仿宋" w:eastAsia="仿宋"/>
          <w:sz w:val="28"/>
          <w:szCs w:val="22"/>
        </w:rPr>
      </w:pPr>
      <w:r>
        <w:rPr>
          <w:rFonts w:hint="eastAsia" w:ascii="仿宋" w:hAnsi="仿宋" w:eastAsia="仿宋"/>
          <w:sz w:val="28"/>
          <w:szCs w:val="22"/>
        </w:rPr>
        <w:t>土地估价机构备案号：浙土估备字【201</w:t>
      </w:r>
      <w:r>
        <w:rPr>
          <w:rFonts w:hint="eastAsia" w:ascii="仿宋" w:hAnsi="仿宋" w:eastAsia="仿宋"/>
          <w:sz w:val="28"/>
          <w:szCs w:val="22"/>
          <w:lang w:val="en-US" w:eastAsia="zh-CN"/>
        </w:rPr>
        <w:t>8</w:t>
      </w:r>
      <w:r>
        <w:rPr>
          <w:rFonts w:hint="eastAsia" w:ascii="仿宋" w:hAnsi="仿宋" w:eastAsia="仿宋"/>
          <w:sz w:val="28"/>
          <w:szCs w:val="22"/>
        </w:rPr>
        <w:t>】00</w:t>
      </w:r>
      <w:r>
        <w:rPr>
          <w:rFonts w:hint="eastAsia" w:ascii="仿宋" w:hAnsi="仿宋" w:eastAsia="仿宋"/>
          <w:sz w:val="28"/>
          <w:szCs w:val="22"/>
          <w:lang w:val="en-US" w:eastAsia="zh-CN"/>
        </w:rPr>
        <w:t>8</w:t>
      </w:r>
      <w:r>
        <w:rPr>
          <w:rFonts w:hint="eastAsia" w:ascii="仿宋" w:hAnsi="仿宋" w:eastAsia="仿宋"/>
          <w:sz w:val="28"/>
          <w:szCs w:val="22"/>
        </w:rPr>
        <w:t>8号</w:t>
      </w:r>
    </w:p>
    <w:p>
      <w:pPr>
        <w:snapToGrid w:val="0"/>
        <w:spacing w:line="500" w:lineRule="exact"/>
        <w:ind w:firstLine="571" w:firstLineChars="204"/>
        <w:rPr>
          <w:rFonts w:ascii="仿宋_GB2312" w:hAnsi="宋体" w:eastAsia="仿宋_GB2312"/>
          <w:sz w:val="28"/>
          <w:szCs w:val="28"/>
        </w:rPr>
      </w:pPr>
      <w:r>
        <w:rPr>
          <w:rFonts w:hint="eastAsia" w:ascii="仿宋_GB2312" w:hAnsi="宋体" w:eastAsia="仿宋_GB2312"/>
          <w:sz w:val="28"/>
          <w:szCs w:val="28"/>
        </w:rPr>
        <w:t>联系电话：</w:t>
      </w:r>
      <w:r>
        <w:rPr>
          <w:rFonts w:ascii="仿宋_GB2312" w:hAnsi="宋体" w:eastAsia="仿宋_GB2312"/>
          <w:sz w:val="28"/>
          <w:szCs w:val="28"/>
        </w:rPr>
        <w:t>0579-82335185</w:t>
      </w:r>
      <w:r>
        <w:rPr>
          <w:rFonts w:hint="eastAsia" w:ascii="仿宋_GB2312" w:hAnsi="宋体" w:eastAsia="仿宋_GB2312"/>
          <w:sz w:val="28"/>
          <w:szCs w:val="28"/>
        </w:rPr>
        <w:t>、</w:t>
      </w:r>
      <w:r>
        <w:rPr>
          <w:rFonts w:ascii="仿宋_GB2312" w:hAnsi="宋体" w:eastAsia="仿宋_GB2312"/>
          <w:sz w:val="28"/>
          <w:szCs w:val="28"/>
        </w:rPr>
        <w:t>82336909</w:t>
      </w:r>
    </w:p>
    <w:p>
      <w:pPr>
        <w:pStyle w:val="3"/>
        <w:spacing w:before="0" w:after="0" w:line="500" w:lineRule="exact"/>
        <w:ind w:firstLine="562" w:firstLineChars="200"/>
        <w:rPr>
          <w:rFonts w:ascii="仿宋_GB2312" w:hAnsi="宋体" w:eastAsia="仿宋_GB2312"/>
          <w:sz w:val="28"/>
          <w:szCs w:val="28"/>
        </w:rPr>
      </w:pPr>
      <w:bookmarkStart w:id="13" w:name="_Toc476334912"/>
      <w:r>
        <w:rPr>
          <w:rFonts w:hint="eastAsia" w:ascii="仿宋_GB2312" w:hAnsi="宋体" w:eastAsia="仿宋_GB2312"/>
          <w:sz w:val="28"/>
          <w:szCs w:val="28"/>
        </w:rPr>
        <w:t>三、估价对象</w:t>
      </w:r>
      <w:bookmarkEnd w:id="13"/>
    </w:p>
    <w:p>
      <w:pPr>
        <w:spacing w:line="500" w:lineRule="exact"/>
        <w:ind w:firstLine="562" w:firstLineChars="200"/>
        <w:rPr>
          <w:rFonts w:ascii="仿宋_GB2312" w:hAnsi="宋体" w:eastAsia="仿宋_GB2312"/>
          <w:b/>
          <w:sz w:val="28"/>
          <w:szCs w:val="28"/>
        </w:rPr>
      </w:pPr>
      <w:r>
        <w:rPr>
          <w:rFonts w:ascii="仿宋_GB2312" w:hAnsi="宋体" w:eastAsia="仿宋_GB2312"/>
          <w:b/>
          <w:sz w:val="28"/>
          <w:szCs w:val="28"/>
        </w:rPr>
        <w:t>(</w:t>
      </w:r>
      <w:r>
        <w:rPr>
          <w:rFonts w:hint="eastAsia" w:ascii="仿宋_GB2312" w:hAnsi="宋体" w:eastAsia="仿宋_GB2312"/>
          <w:b/>
          <w:sz w:val="28"/>
          <w:szCs w:val="28"/>
        </w:rPr>
        <w:t>一</w:t>
      </w:r>
      <w:r>
        <w:rPr>
          <w:rFonts w:ascii="仿宋_GB2312" w:hAnsi="宋体" w:eastAsia="仿宋_GB2312"/>
          <w:b/>
          <w:sz w:val="28"/>
          <w:szCs w:val="28"/>
        </w:rPr>
        <w:t>)</w:t>
      </w:r>
      <w:r>
        <w:rPr>
          <w:rFonts w:hint="eastAsia" w:ascii="仿宋_GB2312" w:hAnsi="宋体" w:eastAsia="仿宋_GB2312"/>
          <w:b/>
          <w:sz w:val="28"/>
          <w:szCs w:val="28"/>
        </w:rPr>
        <w:t>估价对象范围</w:t>
      </w:r>
    </w:p>
    <w:p>
      <w:pPr>
        <w:spacing w:line="500" w:lineRule="exact"/>
        <w:ind w:firstLine="560" w:firstLineChars="200"/>
        <w:rPr>
          <w:rFonts w:hint="eastAsia" w:ascii="仿宋_GB2312" w:hAnsi="宋体" w:eastAsia="仿宋_GB2312" w:cs="宋体"/>
          <w:bCs/>
          <w:kern w:val="0"/>
          <w:sz w:val="28"/>
          <w:szCs w:val="28"/>
          <w:lang w:eastAsia="zh-CN"/>
        </w:rPr>
      </w:pPr>
      <w:r>
        <w:rPr>
          <w:rFonts w:hint="eastAsia" w:ascii="仿宋_GB2312" w:hAnsi="宋体" w:eastAsia="仿宋_GB2312"/>
          <w:sz w:val="28"/>
          <w:szCs w:val="28"/>
        </w:rPr>
        <w:t>本次估价对象系</w:t>
      </w:r>
      <w:r>
        <w:rPr>
          <w:rFonts w:hint="eastAsia" w:ascii="仿宋_GB2312" w:hAnsi="Plotter" w:eastAsia="仿宋_GB2312"/>
          <w:sz w:val="28"/>
          <w:szCs w:val="28"/>
          <w:lang w:eastAsia="zh-CN"/>
        </w:rPr>
        <w:t>（2019）浙婺法委评2</w:t>
      </w:r>
      <w:r>
        <w:rPr>
          <w:rFonts w:hint="eastAsia" w:ascii="仿宋_GB2312" w:hAnsi="Plotter" w:eastAsia="仿宋_GB2312"/>
          <w:sz w:val="28"/>
          <w:szCs w:val="28"/>
          <w:lang w:val="en-US" w:eastAsia="zh-CN"/>
        </w:rPr>
        <w:t>1</w:t>
      </w:r>
      <w:r>
        <w:rPr>
          <w:rFonts w:hint="eastAsia" w:ascii="仿宋_GB2312" w:hAnsi="Plotter" w:eastAsia="仿宋_GB2312"/>
          <w:sz w:val="28"/>
          <w:szCs w:val="28"/>
          <w:lang w:eastAsia="zh-CN"/>
        </w:rPr>
        <w:t>号</w:t>
      </w:r>
      <w:r>
        <w:rPr>
          <w:rFonts w:ascii="仿宋_GB2312" w:eastAsia="仿宋_GB2312"/>
          <w:sz w:val="28"/>
          <w:szCs w:val="28"/>
        </w:rPr>
        <w:t>(</w:t>
      </w:r>
      <w:r>
        <w:rPr>
          <w:rFonts w:hint="eastAsia" w:ascii="仿宋_GB2312" w:hAnsi="Plotter" w:eastAsia="仿宋_GB2312"/>
          <w:sz w:val="28"/>
        </w:rPr>
        <w:t>合同纠纷</w:t>
      </w:r>
      <w:r>
        <w:rPr>
          <w:rFonts w:ascii="仿宋_GB2312" w:eastAsia="仿宋_GB2312"/>
          <w:sz w:val="28"/>
          <w:szCs w:val="28"/>
        </w:rPr>
        <w:t>)</w:t>
      </w:r>
      <w:r>
        <w:rPr>
          <w:rFonts w:hint="eastAsia" w:ascii="仿宋_GB2312" w:eastAsia="仿宋_GB2312"/>
          <w:w w:val="95"/>
          <w:sz w:val="28"/>
          <w:szCs w:val="28"/>
        </w:rPr>
        <w:t>一案所涉及的</w:t>
      </w:r>
      <w:r>
        <w:rPr>
          <w:rFonts w:hint="eastAsia" w:ascii="仿宋_GB2312" w:hAnsi="楷体_GB2312" w:eastAsia="仿宋_GB2312" w:cs="楷体_GB2312"/>
          <w:w w:val="95"/>
          <w:sz w:val="28"/>
          <w:szCs w:val="28"/>
          <w:lang w:eastAsia="zh-CN"/>
        </w:rPr>
        <w:t>项云发名下</w:t>
      </w:r>
      <w:r>
        <w:rPr>
          <w:rFonts w:hint="eastAsia" w:ascii="仿宋_GB2312" w:hAnsi="楷体_GB2312" w:eastAsia="仿宋_GB2312" w:cs="楷体_GB2312"/>
          <w:w w:val="95"/>
          <w:sz w:val="28"/>
          <w:szCs w:val="28"/>
        </w:rPr>
        <w:t>位于</w:t>
      </w:r>
      <w:r>
        <w:rPr>
          <w:rFonts w:hint="eastAsia" w:ascii="仿宋_GB2312" w:eastAsia="仿宋_GB2312"/>
          <w:w w:val="95"/>
          <w:sz w:val="28"/>
          <w:szCs w:val="28"/>
          <w:lang w:eastAsia="zh-CN"/>
        </w:rPr>
        <w:t>江西省德兴市香屯镇五星村</w:t>
      </w:r>
      <w:r>
        <w:rPr>
          <w:rFonts w:hint="eastAsia" w:ascii="仿宋_GB2312" w:eastAsia="仿宋_GB2312"/>
          <w:w w:val="95"/>
          <w:sz w:val="28"/>
          <w:szCs w:val="28"/>
        </w:rPr>
        <w:t>的房地产，</w:t>
      </w:r>
      <w:r>
        <w:rPr>
          <w:rFonts w:hint="eastAsia" w:ascii="仿宋_GB2312" w:eastAsia="仿宋_GB2312"/>
          <w:w w:val="95"/>
          <w:sz w:val="28"/>
          <w:szCs w:val="28"/>
          <w:lang w:eastAsia="zh-CN"/>
        </w:rPr>
        <w:t>证载</w:t>
      </w:r>
      <w:r>
        <w:rPr>
          <w:rFonts w:hint="eastAsia" w:ascii="仿宋_GB2312" w:hAnsi="宋体" w:eastAsia="仿宋_GB2312"/>
          <w:sz w:val="28"/>
          <w:szCs w:val="28"/>
        </w:rPr>
        <w:t>房屋建筑面积</w:t>
      </w:r>
      <w:r>
        <w:rPr>
          <w:rFonts w:hint="eastAsia" w:ascii="仿宋_GB2312" w:hAnsi="宋体" w:eastAsia="仿宋_GB2312"/>
          <w:sz w:val="28"/>
          <w:szCs w:val="28"/>
          <w:lang w:eastAsia="zh-CN"/>
        </w:rPr>
        <w:t>330.14</w:t>
      </w:r>
      <w:r>
        <w:rPr>
          <w:rFonts w:hint="eastAsia" w:ascii="仿宋_GB2312" w:hAnsi="宋体" w:eastAsia="仿宋_GB2312" w:cs="宋体"/>
          <w:bCs/>
          <w:kern w:val="0"/>
          <w:sz w:val="28"/>
          <w:szCs w:val="28"/>
        </w:rPr>
        <w:t>平方米，</w:t>
      </w:r>
      <w:r>
        <w:rPr>
          <w:rFonts w:hint="eastAsia" w:ascii="仿宋_GB2312" w:hAnsi="宋体" w:eastAsia="仿宋_GB2312" w:cs="宋体"/>
          <w:bCs/>
          <w:kern w:val="0"/>
          <w:sz w:val="28"/>
          <w:szCs w:val="28"/>
          <w:lang w:eastAsia="zh-CN"/>
        </w:rPr>
        <w:t>国有</w:t>
      </w:r>
      <w:r>
        <w:rPr>
          <w:rFonts w:hint="eastAsia" w:ascii="仿宋_GB2312" w:hAnsi="宋体" w:eastAsia="仿宋_GB2312"/>
          <w:sz w:val="28"/>
          <w:szCs w:val="28"/>
          <w:lang w:eastAsia="zh-CN"/>
        </w:rPr>
        <w:t>划拨</w:t>
      </w:r>
      <w:r>
        <w:rPr>
          <w:rFonts w:hint="eastAsia" w:ascii="仿宋_GB2312" w:hAnsi="宋体" w:eastAsia="仿宋_GB2312"/>
          <w:sz w:val="28"/>
          <w:szCs w:val="28"/>
        </w:rPr>
        <w:t>的住宅用地土地使用权</w:t>
      </w:r>
      <w:r>
        <w:rPr>
          <w:rFonts w:hint="eastAsia" w:ascii="仿宋_GB2312" w:hAnsi="宋体" w:eastAsia="仿宋_GB2312"/>
          <w:sz w:val="28"/>
          <w:szCs w:val="28"/>
          <w:lang w:eastAsia="zh-CN"/>
        </w:rPr>
        <w:t>独用</w:t>
      </w:r>
      <w:r>
        <w:rPr>
          <w:rFonts w:hint="eastAsia" w:ascii="仿宋_GB2312" w:hAnsi="宋体" w:eastAsia="仿宋_GB2312"/>
          <w:sz w:val="28"/>
          <w:szCs w:val="28"/>
        </w:rPr>
        <w:t>面积为</w:t>
      </w:r>
      <w:r>
        <w:rPr>
          <w:rFonts w:hint="eastAsia" w:ascii="仿宋_GB2312" w:hAnsi="宋体" w:eastAsia="仿宋_GB2312"/>
          <w:sz w:val="28"/>
          <w:szCs w:val="28"/>
          <w:lang w:val="en-US" w:eastAsia="zh-CN"/>
        </w:rPr>
        <w:t>98.00</w:t>
      </w:r>
      <w:r>
        <w:rPr>
          <w:rFonts w:hint="eastAsia" w:ascii="仿宋_GB2312" w:hAnsi="宋体" w:eastAsia="仿宋_GB2312"/>
          <w:sz w:val="28"/>
          <w:szCs w:val="28"/>
        </w:rPr>
        <w:t>平方</w:t>
      </w:r>
      <w:r>
        <w:rPr>
          <w:rFonts w:hint="eastAsia" w:ascii="仿宋_GB2312" w:hAnsi="宋体" w:eastAsia="仿宋_GB2312" w:cs="宋体"/>
          <w:bCs/>
          <w:kern w:val="0"/>
          <w:sz w:val="28"/>
          <w:szCs w:val="28"/>
          <w:lang w:eastAsia="zh-CN"/>
        </w:rPr>
        <w:t>米，包括房屋室内固定装修，不含室内家具家电等可移动电器、不含债权债务、特许经营权等其他财产。</w:t>
      </w:r>
    </w:p>
    <w:p>
      <w:pPr>
        <w:spacing w:line="500" w:lineRule="exact"/>
        <w:ind w:firstLine="562" w:firstLineChars="200"/>
        <w:rPr>
          <w:rFonts w:ascii="仿宋_GB2312" w:eastAsia="仿宋_GB2312"/>
          <w:b/>
          <w:sz w:val="28"/>
          <w:szCs w:val="28"/>
        </w:rPr>
      </w:pPr>
      <w:r>
        <w:rPr>
          <w:rFonts w:ascii="仿宋_GB2312" w:hAnsi="宋体" w:eastAsia="仿宋_GB2312"/>
          <w:b/>
          <w:sz w:val="28"/>
          <w:szCs w:val="28"/>
        </w:rPr>
        <w:t>(</w:t>
      </w:r>
      <w:r>
        <w:rPr>
          <w:rFonts w:hint="eastAsia" w:ascii="仿宋_GB2312" w:hAnsi="宋体" w:eastAsia="仿宋_GB2312"/>
          <w:b/>
          <w:sz w:val="28"/>
          <w:szCs w:val="28"/>
        </w:rPr>
        <w:t>二</w:t>
      </w:r>
      <w:r>
        <w:rPr>
          <w:rFonts w:ascii="仿宋_GB2312" w:hAnsi="宋体" w:eastAsia="仿宋_GB2312"/>
          <w:b/>
          <w:sz w:val="28"/>
          <w:szCs w:val="28"/>
        </w:rPr>
        <w:t>)</w:t>
      </w:r>
      <w:r>
        <w:rPr>
          <w:rFonts w:hint="eastAsia" w:ascii="仿宋_GB2312" w:hAnsi="宋体" w:eastAsia="仿宋_GB2312"/>
          <w:b/>
          <w:sz w:val="28"/>
          <w:szCs w:val="28"/>
        </w:rPr>
        <w:t>估价对象</w:t>
      </w:r>
      <w:r>
        <w:rPr>
          <w:rFonts w:hint="eastAsia" w:ascii="仿宋_GB2312" w:eastAsia="仿宋_GB2312"/>
          <w:b/>
          <w:sz w:val="28"/>
          <w:szCs w:val="28"/>
        </w:rPr>
        <w:t>区位状况</w:t>
      </w:r>
    </w:p>
    <w:p>
      <w:pPr>
        <w:spacing w:line="500" w:lineRule="exact"/>
        <w:ind w:firstLine="560" w:firstLineChars="200"/>
        <w:rPr>
          <w:rFonts w:hint="eastAsia" w:ascii="仿宋_GB2312" w:hAnsi="宋体" w:eastAsia="仿宋_GB2312" w:cs="宋体"/>
          <w:bCs/>
          <w:kern w:val="0"/>
          <w:sz w:val="28"/>
          <w:szCs w:val="28"/>
        </w:rPr>
      </w:pPr>
      <w:r>
        <w:rPr>
          <w:rFonts w:hint="eastAsia" w:ascii="仿宋_GB2312" w:hAnsi="宋体" w:eastAsia="仿宋_GB2312" w:cs="宋体"/>
          <w:bCs/>
          <w:kern w:val="0"/>
          <w:sz w:val="28"/>
          <w:szCs w:val="28"/>
        </w:rPr>
        <w:t>估价对象</w:t>
      </w:r>
      <w:r>
        <w:rPr>
          <w:rFonts w:hint="eastAsia" w:ascii="仿宋_GB2312" w:hAnsi="宋体" w:eastAsia="仿宋_GB2312" w:cs="宋体"/>
          <w:bCs/>
          <w:kern w:val="0"/>
          <w:sz w:val="28"/>
          <w:szCs w:val="28"/>
          <w:lang w:eastAsia="zh-CN"/>
        </w:rPr>
        <w:t>位于江西省德兴市香屯镇五星村</w:t>
      </w:r>
      <w:r>
        <w:rPr>
          <w:rFonts w:hint="eastAsia" w:ascii="仿宋_GB2312" w:hAnsi="宋体" w:eastAsia="仿宋_GB2312" w:cs="宋体"/>
          <w:bCs/>
          <w:kern w:val="0"/>
          <w:sz w:val="28"/>
          <w:szCs w:val="28"/>
        </w:rPr>
        <w:t>，宗地平面形状规则</w:t>
      </w:r>
      <w:r>
        <w:rPr>
          <w:rFonts w:hint="eastAsia" w:ascii="仿宋_GB2312" w:hAnsi="宋体" w:eastAsia="仿宋_GB2312" w:cs="宋体"/>
          <w:bCs/>
          <w:kern w:val="0"/>
          <w:sz w:val="28"/>
          <w:szCs w:val="28"/>
          <w:lang w:eastAsia="zh-CN"/>
        </w:rPr>
        <w:t>近似长方形，</w:t>
      </w:r>
      <w:r>
        <w:rPr>
          <w:rFonts w:hint="eastAsia" w:ascii="仿宋_GB2312" w:hAnsi="宋体" w:eastAsia="仿宋_GB2312" w:cs="宋体"/>
          <w:bCs/>
          <w:kern w:val="0"/>
          <w:sz w:val="28"/>
          <w:szCs w:val="28"/>
        </w:rPr>
        <w:t>附近有</w:t>
      </w:r>
      <w:r>
        <w:rPr>
          <w:rFonts w:hint="eastAsia" w:ascii="仿宋_GB2312" w:hAnsi="宋体" w:eastAsia="仿宋_GB2312" w:cs="宋体"/>
          <w:bCs/>
          <w:kern w:val="0"/>
          <w:sz w:val="28"/>
          <w:szCs w:val="28"/>
          <w:lang w:eastAsia="zh-CN"/>
        </w:rPr>
        <w:t>五星加油站</w:t>
      </w:r>
      <w:r>
        <w:rPr>
          <w:rFonts w:hint="eastAsia" w:ascii="仿宋_GB2312" w:hAnsi="宋体" w:eastAsia="仿宋_GB2312" w:cs="宋体"/>
          <w:bCs/>
          <w:kern w:val="0"/>
          <w:sz w:val="28"/>
          <w:szCs w:val="28"/>
        </w:rPr>
        <w:t>，</w:t>
      </w:r>
      <w:r>
        <w:rPr>
          <w:rFonts w:hint="eastAsia" w:ascii="仿宋_GB2312" w:hAnsi="宋体" w:eastAsia="仿宋_GB2312" w:cs="宋体"/>
          <w:bCs/>
          <w:kern w:val="0"/>
          <w:sz w:val="28"/>
          <w:szCs w:val="28"/>
          <w:lang w:eastAsia="zh-CN"/>
        </w:rPr>
        <w:t>五星大桥等，</w:t>
      </w:r>
      <w:r>
        <w:rPr>
          <w:rFonts w:hint="eastAsia" w:ascii="仿宋_GB2312" w:hAnsi="宋体" w:eastAsia="仿宋_GB2312" w:cs="宋体"/>
          <w:bCs/>
          <w:kern w:val="0"/>
          <w:sz w:val="28"/>
          <w:szCs w:val="28"/>
        </w:rPr>
        <w:t>交通</w:t>
      </w:r>
      <w:r>
        <w:rPr>
          <w:rFonts w:hint="eastAsia" w:ascii="仿宋_GB2312" w:hAnsi="宋体" w:eastAsia="仿宋_GB2312" w:cs="宋体"/>
          <w:bCs/>
          <w:kern w:val="0"/>
          <w:sz w:val="28"/>
          <w:szCs w:val="28"/>
          <w:lang w:eastAsia="zh-CN"/>
        </w:rPr>
        <w:t>较方便</w:t>
      </w:r>
      <w:r>
        <w:rPr>
          <w:rFonts w:hint="eastAsia" w:ascii="仿宋_GB2312" w:hAnsi="宋体" w:eastAsia="仿宋_GB2312" w:cs="宋体"/>
          <w:bCs/>
          <w:kern w:val="0"/>
          <w:sz w:val="28"/>
          <w:szCs w:val="28"/>
        </w:rPr>
        <w:t>，基础配套设施和公共服务设施</w:t>
      </w:r>
      <w:r>
        <w:rPr>
          <w:rFonts w:hint="eastAsia" w:ascii="仿宋_GB2312" w:hAnsi="宋体" w:eastAsia="仿宋_GB2312" w:cs="宋体"/>
          <w:bCs/>
          <w:kern w:val="0"/>
          <w:sz w:val="28"/>
          <w:szCs w:val="28"/>
          <w:lang w:eastAsia="zh-CN"/>
        </w:rPr>
        <w:t>一般</w:t>
      </w:r>
      <w:r>
        <w:rPr>
          <w:rFonts w:hint="eastAsia" w:ascii="仿宋_GB2312" w:hAnsi="宋体" w:eastAsia="仿宋_GB2312" w:cs="宋体"/>
          <w:bCs/>
          <w:kern w:val="0"/>
          <w:sz w:val="28"/>
          <w:szCs w:val="28"/>
        </w:rPr>
        <w:t>。</w:t>
      </w:r>
    </w:p>
    <w:p>
      <w:pPr>
        <w:spacing w:line="500" w:lineRule="exact"/>
        <w:ind w:firstLine="562" w:firstLineChars="200"/>
        <w:rPr>
          <w:rFonts w:ascii="仿宋_GB2312" w:hAnsi="宋体" w:eastAsia="仿宋_GB2312"/>
          <w:b/>
          <w:sz w:val="28"/>
          <w:szCs w:val="28"/>
        </w:rPr>
      </w:pPr>
      <w:r>
        <w:rPr>
          <w:rFonts w:ascii="仿宋_GB2312" w:hAnsi="宋体" w:eastAsia="仿宋_GB2312"/>
          <w:b/>
          <w:sz w:val="28"/>
          <w:szCs w:val="28"/>
        </w:rPr>
        <w:t>(</w:t>
      </w:r>
      <w:r>
        <w:rPr>
          <w:rFonts w:hint="eastAsia" w:ascii="仿宋_GB2312" w:hAnsi="宋体" w:eastAsia="仿宋_GB2312"/>
          <w:b/>
          <w:sz w:val="28"/>
          <w:szCs w:val="28"/>
          <w:lang w:eastAsia="zh-CN"/>
        </w:rPr>
        <w:t>三</w:t>
      </w:r>
      <w:r>
        <w:rPr>
          <w:rFonts w:ascii="仿宋_GB2312" w:hAnsi="宋体" w:eastAsia="仿宋_GB2312"/>
          <w:b/>
          <w:sz w:val="28"/>
          <w:szCs w:val="28"/>
        </w:rPr>
        <w:t>)</w:t>
      </w:r>
      <w:r>
        <w:rPr>
          <w:rFonts w:hint="eastAsia" w:ascii="仿宋_GB2312" w:hAnsi="宋体" w:eastAsia="仿宋_GB2312"/>
          <w:b/>
          <w:sz w:val="28"/>
          <w:szCs w:val="28"/>
        </w:rPr>
        <w:t>估价对象实物状况</w:t>
      </w:r>
    </w:p>
    <w:p>
      <w:pPr>
        <w:spacing w:line="500" w:lineRule="exact"/>
        <w:ind w:firstLine="562" w:firstLineChars="200"/>
        <w:rPr>
          <w:rFonts w:ascii="仿宋_GB2312" w:hAnsi="宋体" w:eastAsia="仿宋_GB2312"/>
          <w:b/>
          <w:sz w:val="28"/>
          <w:szCs w:val="28"/>
        </w:rPr>
      </w:pPr>
      <w:r>
        <w:rPr>
          <w:rFonts w:ascii="仿宋_GB2312" w:hAnsi="宋体" w:eastAsia="仿宋_GB2312"/>
          <w:b/>
          <w:sz w:val="28"/>
          <w:szCs w:val="28"/>
        </w:rPr>
        <w:t>1</w:t>
      </w:r>
      <w:r>
        <w:rPr>
          <w:rFonts w:hint="eastAsia" w:ascii="仿宋_GB2312" w:hAnsi="宋体" w:eastAsia="仿宋_GB2312"/>
          <w:b/>
          <w:sz w:val="28"/>
          <w:szCs w:val="28"/>
        </w:rPr>
        <w:t>、土地实物状况</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估价对象所属宗地位于</w:t>
      </w:r>
      <w:r>
        <w:rPr>
          <w:rFonts w:hint="eastAsia" w:ascii="仿宋_GB2312" w:hAnsi="宋体" w:eastAsia="仿宋_GB2312"/>
          <w:sz w:val="28"/>
          <w:szCs w:val="28"/>
          <w:lang w:eastAsia="zh-CN"/>
        </w:rPr>
        <w:t>江西省德兴市香屯镇五星村</w:t>
      </w:r>
      <w:r>
        <w:rPr>
          <w:rFonts w:hint="eastAsia" w:ascii="仿宋_GB2312" w:hAnsi="宋体" w:eastAsia="仿宋_GB2312"/>
          <w:sz w:val="28"/>
          <w:szCs w:val="28"/>
        </w:rPr>
        <w:t>，国有</w:t>
      </w:r>
      <w:r>
        <w:rPr>
          <w:rFonts w:hint="eastAsia" w:ascii="仿宋_GB2312" w:hAnsi="宋体" w:eastAsia="仿宋_GB2312"/>
          <w:sz w:val="28"/>
          <w:szCs w:val="28"/>
          <w:lang w:eastAsia="zh-CN"/>
        </w:rPr>
        <w:t>划拨</w:t>
      </w:r>
      <w:r>
        <w:rPr>
          <w:rFonts w:hint="eastAsia" w:ascii="仿宋_GB2312" w:hAnsi="宋体" w:eastAsia="仿宋_GB2312"/>
          <w:sz w:val="28"/>
          <w:szCs w:val="28"/>
        </w:rPr>
        <w:t>的土地使用权</w:t>
      </w:r>
      <w:r>
        <w:rPr>
          <w:rFonts w:hint="eastAsia" w:ascii="仿宋_GB2312" w:hAnsi="宋体" w:eastAsia="仿宋_GB2312"/>
          <w:sz w:val="28"/>
          <w:szCs w:val="28"/>
          <w:lang w:eastAsia="zh-CN"/>
        </w:rPr>
        <w:t>独用</w:t>
      </w:r>
      <w:r>
        <w:rPr>
          <w:rFonts w:hint="eastAsia" w:ascii="仿宋_GB2312" w:hAnsi="宋体" w:eastAsia="仿宋_GB2312"/>
          <w:sz w:val="28"/>
          <w:szCs w:val="28"/>
        </w:rPr>
        <w:t>面积为</w:t>
      </w:r>
      <w:r>
        <w:rPr>
          <w:rFonts w:hint="eastAsia" w:ascii="仿宋_GB2312" w:hAnsi="宋体" w:eastAsia="仿宋_GB2312"/>
          <w:sz w:val="28"/>
          <w:szCs w:val="28"/>
          <w:lang w:val="en-US" w:eastAsia="zh-CN"/>
        </w:rPr>
        <w:t>98</w:t>
      </w:r>
      <w:r>
        <w:rPr>
          <w:rFonts w:hint="eastAsia" w:ascii="仿宋_GB2312" w:hAnsi="宋体" w:eastAsia="仿宋_GB2312"/>
          <w:sz w:val="28"/>
          <w:szCs w:val="28"/>
        </w:rPr>
        <w:t>平方米，土地用途为住宅用地，宗地平面形状规则，</w:t>
      </w:r>
      <w:r>
        <w:rPr>
          <w:rFonts w:hint="eastAsia" w:ascii="仿宋_GB2312" w:hAnsi="宋体" w:eastAsia="仿宋_GB2312"/>
          <w:sz w:val="28"/>
          <w:szCs w:val="28"/>
          <w:lang w:eastAsia="zh-CN"/>
        </w:rPr>
        <w:t>东靠五星加油站，南面为空地至</w:t>
      </w:r>
      <w:r>
        <w:rPr>
          <w:rFonts w:hint="eastAsia" w:ascii="仿宋_GB2312" w:hAnsi="宋体" w:eastAsia="仿宋_GB2312"/>
          <w:sz w:val="28"/>
          <w:szCs w:val="28"/>
          <w:lang w:val="en-US" w:eastAsia="zh-CN"/>
        </w:rPr>
        <w:t>S307省道，北侧靠山坡，西面为空地</w:t>
      </w:r>
      <w:r>
        <w:rPr>
          <w:rFonts w:hint="eastAsia" w:ascii="仿宋_GB2312" w:hAnsi="宋体" w:eastAsia="仿宋_GB2312"/>
          <w:sz w:val="28"/>
          <w:szCs w:val="28"/>
        </w:rPr>
        <w:t>。地形便于建筑布置，地势平坦，与相邻宗地、道路齐平。宗地红线外基础设施达五通</w:t>
      </w:r>
      <w:r>
        <w:rPr>
          <w:rFonts w:ascii="仿宋_GB2312" w:hAnsi="宋体" w:eastAsia="仿宋_GB2312"/>
          <w:sz w:val="28"/>
          <w:szCs w:val="28"/>
        </w:rPr>
        <w:t>(</w:t>
      </w:r>
      <w:r>
        <w:rPr>
          <w:rFonts w:hint="eastAsia" w:ascii="仿宋_GB2312" w:hAnsi="宋体" w:eastAsia="仿宋_GB2312"/>
          <w:sz w:val="28"/>
          <w:szCs w:val="28"/>
        </w:rPr>
        <w:t>通路、通上水、通下水、通电、通讯</w:t>
      </w:r>
      <w:r>
        <w:rPr>
          <w:rFonts w:ascii="仿宋_GB2312" w:hAnsi="宋体" w:eastAsia="仿宋_GB2312"/>
          <w:sz w:val="28"/>
          <w:szCs w:val="28"/>
        </w:rPr>
        <w:t>)</w:t>
      </w:r>
      <w:r>
        <w:rPr>
          <w:rFonts w:hint="eastAsia" w:ascii="仿宋_GB2312" w:hAnsi="宋体" w:eastAsia="仿宋_GB2312"/>
          <w:sz w:val="28"/>
          <w:szCs w:val="28"/>
        </w:rPr>
        <w:t>，场地内已完成开发。</w:t>
      </w:r>
    </w:p>
    <w:p>
      <w:pPr>
        <w:spacing w:line="500" w:lineRule="exact"/>
        <w:ind w:firstLine="562" w:firstLineChars="200"/>
        <w:rPr>
          <w:rFonts w:ascii="仿宋_GB2312" w:hAnsi="宋体" w:eastAsia="仿宋_GB2312"/>
          <w:b/>
          <w:sz w:val="28"/>
          <w:szCs w:val="28"/>
        </w:rPr>
      </w:pPr>
      <w:r>
        <w:rPr>
          <w:rFonts w:ascii="仿宋_GB2312" w:hAnsi="宋体" w:eastAsia="仿宋_GB2312"/>
          <w:b/>
          <w:sz w:val="28"/>
          <w:szCs w:val="28"/>
        </w:rPr>
        <w:t>2</w:t>
      </w:r>
      <w:r>
        <w:rPr>
          <w:rFonts w:hint="eastAsia" w:ascii="仿宋_GB2312" w:hAnsi="宋体" w:eastAsia="仿宋_GB2312"/>
          <w:b/>
          <w:sz w:val="28"/>
          <w:szCs w:val="28"/>
        </w:rPr>
        <w:t>、建筑物</w:t>
      </w:r>
      <w:r>
        <w:rPr>
          <w:rFonts w:hint="eastAsia" w:ascii="仿宋_GB2312" w:hAnsi="宋体" w:eastAsia="仿宋_GB2312"/>
          <w:b/>
          <w:color w:val="000000"/>
          <w:sz w:val="28"/>
          <w:szCs w:val="28"/>
        </w:rPr>
        <w:t>实物状况</w:t>
      </w:r>
    </w:p>
    <w:p>
      <w:pPr>
        <w:snapToGrid w:val="0"/>
        <w:spacing w:line="50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估价对象位于江西省德兴市香屯镇五星村，所在建筑物为混合结构，共</w:t>
      </w:r>
      <w:r>
        <w:rPr>
          <w:rFonts w:hint="eastAsia" w:ascii="仿宋_GB2312" w:hAnsi="宋体" w:eastAsia="仿宋_GB2312"/>
          <w:sz w:val="28"/>
          <w:szCs w:val="28"/>
          <w:lang w:val="en-US" w:eastAsia="zh-CN"/>
        </w:rPr>
        <w:t>4间3层垂直幢房，</w:t>
      </w:r>
      <w:r>
        <w:rPr>
          <w:rFonts w:hint="eastAsia" w:ascii="仿宋_GB2312" w:hAnsi="宋体" w:eastAsia="仿宋_GB2312"/>
          <w:sz w:val="28"/>
          <w:szCs w:val="28"/>
          <w:lang w:eastAsia="zh-CN"/>
        </w:rPr>
        <w:t>约</w:t>
      </w:r>
      <w:r>
        <w:rPr>
          <w:rFonts w:hint="eastAsia" w:ascii="仿宋_GB2312" w:hAnsi="宋体" w:eastAsia="仿宋_GB2312"/>
          <w:sz w:val="28"/>
          <w:szCs w:val="28"/>
        </w:rPr>
        <w:t>建成</w:t>
      </w:r>
      <w:r>
        <w:rPr>
          <w:rFonts w:hint="eastAsia" w:ascii="仿宋_GB2312" w:hAnsi="宋体" w:eastAsia="仿宋_GB2312"/>
          <w:sz w:val="28"/>
          <w:szCs w:val="28"/>
          <w:lang w:eastAsia="zh-CN"/>
        </w:rPr>
        <w:t>于</w:t>
      </w:r>
      <w:r>
        <w:rPr>
          <w:rFonts w:hint="eastAsia" w:ascii="仿宋_GB2312" w:hAnsi="宋体" w:eastAsia="仿宋_GB2312"/>
          <w:sz w:val="28"/>
          <w:szCs w:val="28"/>
          <w:lang w:val="en-US" w:eastAsia="zh-CN"/>
        </w:rPr>
        <w:t>2001</w:t>
      </w:r>
      <w:r>
        <w:rPr>
          <w:rFonts w:hint="eastAsia" w:ascii="仿宋_GB2312" w:hAnsi="宋体" w:eastAsia="仿宋_GB2312"/>
          <w:sz w:val="28"/>
          <w:szCs w:val="28"/>
        </w:rPr>
        <w:t>年</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南</w:t>
      </w:r>
      <w:r>
        <w:rPr>
          <w:rFonts w:hint="eastAsia" w:ascii="仿宋_GB2312" w:hAnsi="宋体" w:eastAsia="仿宋_GB2312"/>
          <w:sz w:val="28"/>
          <w:szCs w:val="28"/>
        </w:rPr>
        <w:t>外墙</w:t>
      </w:r>
      <w:r>
        <w:rPr>
          <w:rFonts w:hint="eastAsia" w:ascii="仿宋_GB2312" w:hAnsi="宋体" w:eastAsia="仿宋_GB2312"/>
          <w:sz w:val="28"/>
          <w:szCs w:val="28"/>
          <w:lang w:eastAsia="zh-CN"/>
        </w:rPr>
        <w:t>立</w:t>
      </w:r>
      <w:r>
        <w:rPr>
          <w:rFonts w:hint="eastAsia" w:ascii="仿宋_GB2312" w:hAnsi="宋体" w:eastAsia="仿宋_GB2312"/>
          <w:sz w:val="28"/>
          <w:szCs w:val="28"/>
        </w:rPr>
        <w:t>面为</w:t>
      </w:r>
      <w:r>
        <w:rPr>
          <w:rFonts w:hint="eastAsia" w:ascii="仿宋_GB2312" w:hAnsi="宋体" w:eastAsia="仿宋_GB2312"/>
          <w:sz w:val="28"/>
          <w:szCs w:val="28"/>
          <w:lang w:eastAsia="zh-CN"/>
        </w:rPr>
        <w:t>白色涂料</w:t>
      </w:r>
      <w:r>
        <w:rPr>
          <w:rFonts w:hint="eastAsia" w:ascii="仿宋_GB2312" w:hAnsi="宋体" w:eastAsia="仿宋_GB2312"/>
          <w:sz w:val="28"/>
          <w:szCs w:val="28"/>
        </w:rPr>
        <w:t>，</w:t>
      </w:r>
      <w:r>
        <w:rPr>
          <w:rFonts w:hint="eastAsia" w:ascii="仿宋_GB2312" w:hAnsi="宋体" w:eastAsia="仿宋_GB2312"/>
          <w:sz w:val="28"/>
          <w:szCs w:val="28"/>
          <w:lang w:eastAsia="zh-CN"/>
        </w:rPr>
        <w:t>其余三面水泥砂浆外墙面，现浇平屋面。估价对象入户铝合金门，第</w:t>
      </w:r>
      <w:r>
        <w:rPr>
          <w:rFonts w:hint="eastAsia" w:ascii="仿宋_GB2312" w:hAnsi="宋体" w:eastAsia="仿宋_GB2312"/>
          <w:sz w:val="28"/>
          <w:szCs w:val="28"/>
          <w:lang w:val="en-US" w:eastAsia="zh-CN"/>
        </w:rPr>
        <w:t>1层装有</w:t>
      </w:r>
      <w:r>
        <w:rPr>
          <w:rFonts w:hint="eastAsia" w:ascii="仿宋_GB2312" w:hAnsi="宋体" w:eastAsia="仿宋_GB2312"/>
          <w:sz w:val="28"/>
          <w:szCs w:val="28"/>
        </w:rPr>
        <w:t>铝合金窗</w:t>
      </w:r>
      <w:r>
        <w:rPr>
          <w:rFonts w:hint="eastAsia" w:ascii="仿宋_GB2312" w:hAnsi="宋体" w:eastAsia="仿宋_GB2312"/>
          <w:sz w:val="28"/>
          <w:szCs w:val="28"/>
          <w:lang w:eastAsia="zh-CN"/>
        </w:rPr>
        <w:t>，水泥地面，内墙面普通刷白，层高</w:t>
      </w:r>
      <w:r>
        <w:rPr>
          <w:rFonts w:hint="eastAsia" w:ascii="仿宋_GB2312" w:hAnsi="宋体" w:eastAsia="仿宋_GB2312"/>
          <w:sz w:val="28"/>
          <w:szCs w:val="28"/>
          <w:lang w:val="en-US" w:eastAsia="zh-CN"/>
        </w:rPr>
        <w:t>3.2米</w:t>
      </w:r>
      <w:r>
        <w:rPr>
          <w:rFonts w:hint="eastAsia" w:ascii="仿宋_GB2312" w:hAnsi="宋体" w:eastAsia="仿宋_GB2312"/>
          <w:sz w:val="28"/>
          <w:szCs w:val="28"/>
          <w:lang w:eastAsia="zh-CN"/>
        </w:rPr>
        <w:t>。第</w:t>
      </w:r>
      <w:r>
        <w:rPr>
          <w:rFonts w:hint="eastAsia" w:ascii="仿宋_GB2312" w:hAnsi="宋体" w:eastAsia="仿宋_GB2312"/>
          <w:sz w:val="28"/>
          <w:szCs w:val="28"/>
          <w:lang w:val="en-US" w:eastAsia="zh-CN"/>
        </w:rPr>
        <w:t>2层预制楼板，水泥地面局部地砖。</w:t>
      </w:r>
      <w:r>
        <w:rPr>
          <w:rFonts w:hint="eastAsia" w:ascii="仿宋_GB2312" w:hAnsi="宋体" w:eastAsia="仿宋_GB2312"/>
          <w:sz w:val="28"/>
          <w:szCs w:val="28"/>
          <w:lang w:eastAsia="zh-CN"/>
        </w:rPr>
        <w:t>第</w:t>
      </w:r>
      <w:r>
        <w:rPr>
          <w:rFonts w:hint="eastAsia" w:ascii="仿宋_GB2312" w:hAnsi="宋体" w:eastAsia="仿宋_GB2312"/>
          <w:sz w:val="28"/>
          <w:szCs w:val="28"/>
          <w:lang w:val="en-US" w:eastAsia="zh-CN"/>
        </w:rPr>
        <w:t>3层水泥地面，第2-3层门窗均未安装，墙体局部渗水，水电未安装，层高均为3米</w:t>
      </w:r>
      <w:r>
        <w:rPr>
          <w:rFonts w:hint="eastAsia" w:ascii="仿宋_GB2312" w:hAnsi="宋体" w:eastAsia="仿宋_GB2312"/>
          <w:sz w:val="28"/>
          <w:szCs w:val="28"/>
          <w:lang w:eastAsia="zh-CN"/>
        </w:rPr>
        <w:t>。</w:t>
      </w:r>
    </w:p>
    <w:p>
      <w:pPr>
        <w:snapToGrid w:val="0"/>
        <w:spacing w:line="500" w:lineRule="exact"/>
        <w:ind w:firstLine="565" w:firstLineChars="202"/>
        <w:rPr>
          <w:rFonts w:ascii="仿宋_GB2312" w:hAnsi="宋体" w:eastAsia="仿宋_GB2312" w:cs="宋体"/>
          <w:kern w:val="0"/>
          <w:sz w:val="28"/>
          <w:szCs w:val="28"/>
        </w:rPr>
      </w:pPr>
      <w:r>
        <w:rPr>
          <w:rFonts w:hint="eastAsia" w:ascii="仿宋_GB2312" w:hAnsi="宋体" w:eastAsia="仿宋_GB2312"/>
          <w:sz w:val="28"/>
          <w:szCs w:val="28"/>
          <w:lang w:eastAsia="zh-CN"/>
        </w:rPr>
        <w:t>在价值时点，估价对象</w:t>
      </w:r>
      <w:r>
        <w:rPr>
          <w:rFonts w:hint="eastAsia" w:ascii="仿宋_GB2312" w:hAnsi="宋体" w:eastAsia="仿宋_GB2312"/>
          <w:color w:val="000000"/>
          <w:sz w:val="28"/>
          <w:szCs w:val="28"/>
          <w:lang w:eastAsia="zh-CN"/>
        </w:rPr>
        <w:t>空置</w:t>
      </w:r>
      <w:r>
        <w:rPr>
          <w:rFonts w:hint="eastAsia" w:ascii="仿宋_GB2312" w:hAnsi="宋体" w:eastAsia="仿宋_GB2312" w:cs="宋体"/>
          <w:bCs/>
          <w:kern w:val="0"/>
          <w:sz w:val="28"/>
          <w:szCs w:val="28"/>
        </w:rPr>
        <w:t>，整体维护情况</w:t>
      </w:r>
      <w:r>
        <w:rPr>
          <w:rFonts w:hint="eastAsia" w:ascii="仿宋_GB2312" w:hAnsi="宋体" w:eastAsia="仿宋_GB2312" w:cs="宋体"/>
          <w:bCs/>
          <w:kern w:val="0"/>
          <w:sz w:val="28"/>
          <w:szCs w:val="28"/>
          <w:lang w:eastAsia="zh-CN"/>
        </w:rPr>
        <w:t>较差</w:t>
      </w:r>
      <w:r>
        <w:rPr>
          <w:rFonts w:hint="eastAsia" w:ascii="仿宋_GB2312" w:hAnsi="宋体" w:eastAsia="仿宋_GB2312" w:cs="宋体"/>
          <w:bCs/>
          <w:kern w:val="0"/>
          <w:sz w:val="28"/>
          <w:szCs w:val="28"/>
        </w:rPr>
        <w:t>，属</w:t>
      </w:r>
      <w:r>
        <w:rPr>
          <w:rFonts w:hint="eastAsia" w:ascii="仿宋_GB2312" w:hAnsi="宋体" w:eastAsia="仿宋_GB2312" w:cs="宋体"/>
          <w:bCs/>
          <w:kern w:val="0"/>
          <w:sz w:val="28"/>
          <w:szCs w:val="28"/>
          <w:lang w:eastAsia="zh-CN"/>
        </w:rPr>
        <w:t>一般损坏房</w:t>
      </w:r>
      <w:r>
        <w:rPr>
          <w:rFonts w:hint="eastAsia" w:ascii="仿宋_GB2312" w:hAnsi="宋体" w:eastAsia="仿宋_GB2312" w:cs="宋体"/>
          <w:bCs/>
          <w:kern w:val="0"/>
          <w:sz w:val="28"/>
          <w:szCs w:val="28"/>
        </w:rPr>
        <w:t>。</w:t>
      </w:r>
    </w:p>
    <w:p>
      <w:pPr>
        <w:spacing w:line="500" w:lineRule="exact"/>
        <w:ind w:firstLine="562" w:firstLineChars="200"/>
        <w:rPr>
          <w:rFonts w:ascii="仿宋_GB2312" w:hAnsi="宋体" w:eastAsia="仿宋_GB2312"/>
          <w:b/>
          <w:color w:val="000000"/>
          <w:sz w:val="28"/>
          <w:szCs w:val="28"/>
        </w:rPr>
      </w:pPr>
      <w:r>
        <w:rPr>
          <w:rFonts w:ascii="仿宋_GB2312" w:hAnsi="宋体" w:eastAsia="仿宋_GB2312"/>
          <w:b/>
          <w:color w:val="000000"/>
          <w:sz w:val="28"/>
          <w:szCs w:val="28"/>
        </w:rPr>
        <w:t>(</w:t>
      </w:r>
      <w:r>
        <w:rPr>
          <w:rFonts w:hint="eastAsia" w:ascii="仿宋_GB2312" w:hAnsi="宋体" w:eastAsia="仿宋_GB2312"/>
          <w:b/>
          <w:color w:val="000000"/>
          <w:sz w:val="28"/>
          <w:szCs w:val="28"/>
          <w:lang w:eastAsia="zh-CN"/>
        </w:rPr>
        <w:t>四</w:t>
      </w:r>
      <w:r>
        <w:rPr>
          <w:rFonts w:ascii="仿宋_GB2312" w:hAnsi="宋体" w:eastAsia="仿宋_GB2312"/>
          <w:b/>
          <w:color w:val="000000"/>
          <w:sz w:val="28"/>
          <w:szCs w:val="28"/>
        </w:rPr>
        <w:t>)</w:t>
      </w:r>
      <w:r>
        <w:rPr>
          <w:rFonts w:hint="eastAsia" w:ascii="仿宋_GB2312" w:hAnsi="宋体" w:eastAsia="仿宋_GB2312"/>
          <w:b/>
          <w:color w:val="000000"/>
          <w:sz w:val="28"/>
          <w:szCs w:val="28"/>
        </w:rPr>
        <w:t>估价对象权益状况</w:t>
      </w:r>
    </w:p>
    <w:p>
      <w:pPr>
        <w:spacing w:line="500" w:lineRule="exact"/>
        <w:ind w:firstLine="562" w:firstLineChars="200"/>
        <w:rPr>
          <w:rFonts w:ascii="仿宋_GB2312" w:hAnsi="Tahoma" w:eastAsia="仿宋_GB2312" w:cs="Tahoma"/>
          <w:b/>
          <w:color w:val="000000"/>
          <w:kern w:val="0"/>
          <w:sz w:val="28"/>
          <w:szCs w:val="28"/>
        </w:rPr>
      </w:pPr>
      <w:r>
        <w:rPr>
          <w:rFonts w:ascii="仿宋_GB2312" w:hAnsi="宋体" w:eastAsia="仿宋_GB2312"/>
          <w:b/>
          <w:color w:val="000000"/>
          <w:sz w:val="28"/>
          <w:szCs w:val="28"/>
        </w:rPr>
        <w:t>1</w:t>
      </w:r>
      <w:r>
        <w:rPr>
          <w:rFonts w:hint="eastAsia" w:ascii="仿宋_GB2312" w:hAnsi="宋体" w:eastAsia="仿宋_GB2312"/>
          <w:b/>
          <w:color w:val="000000"/>
          <w:sz w:val="28"/>
          <w:szCs w:val="28"/>
        </w:rPr>
        <w:t>、土地权利状况</w:t>
      </w: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根据委托方提供的相关资料，估价对象土地权利状况如下：</w:t>
      </w:r>
    </w:p>
    <w:tbl>
      <w:tblPr>
        <w:tblStyle w:val="23"/>
        <w:tblW w:w="93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18"/>
        <w:gridCol w:w="1155"/>
        <w:gridCol w:w="1494"/>
        <w:gridCol w:w="650"/>
        <w:gridCol w:w="661"/>
        <w:gridCol w:w="795"/>
        <w:gridCol w:w="765"/>
        <w:gridCol w:w="795"/>
        <w:gridCol w:w="975"/>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5" w:hRule="atLeast"/>
        </w:trPr>
        <w:tc>
          <w:tcPr>
            <w:tcW w:w="9384" w:type="dxa"/>
            <w:gridSpan w:val="10"/>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表</w:t>
            </w:r>
            <w:r>
              <w:rPr>
                <w:rFonts w:hint="eastAsia" w:ascii="宋体" w:hAnsi="宋体" w:cs="宋体"/>
                <w:b/>
                <w:i w:val="0"/>
                <w:color w:val="000000"/>
                <w:kern w:val="0"/>
                <w:sz w:val="24"/>
                <w:szCs w:val="24"/>
                <w:u w:val="none"/>
                <w:lang w:val="en-US" w:eastAsia="zh-CN" w:bidi="ar"/>
              </w:rPr>
              <w:t>1</w:t>
            </w:r>
            <w:r>
              <w:rPr>
                <w:rFonts w:hint="eastAsia" w:ascii="宋体" w:hAnsi="宋体" w:eastAsia="宋体" w:cs="宋体"/>
                <w:b/>
                <w:i w:val="0"/>
                <w:color w:val="000000"/>
                <w:kern w:val="0"/>
                <w:sz w:val="24"/>
                <w:szCs w:val="24"/>
                <w:u w:val="none"/>
                <w:lang w:val="en-US" w:eastAsia="zh-CN" w:bidi="ar"/>
              </w:rPr>
              <w:t xml:space="preserve">  估价对象－土地权属状况表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《土地使用权证》证号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土地使用权人</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座落</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地号</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图号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地类(用途)</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使用权类型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终止日期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使用权面积(㎡)</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cs="宋体"/>
                <w:b/>
                <w:i w:val="0"/>
                <w:color w:val="000000" w:themeColor="text1"/>
                <w:kern w:val="0"/>
                <w:sz w:val="18"/>
                <w:szCs w:val="18"/>
                <w:u w:val="none"/>
                <w:lang w:val="en-US" w:eastAsia="zh-CN" w:bidi="ar"/>
              </w:rPr>
              <w:t>独用</w:t>
            </w:r>
            <w:r>
              <w:rPr>
                <w:rFonts w:hint="eastAsia" w:ascii="宋体" w:hAnsi="宋体" w:eastAsia="宋体" w:cs="宋体"/>
                <w:b/>
                <w:i w:val="0"/>
                <w:color w:val="000000" w:themeColor="text1"/>
                <w:kern w:val="0"/>
                <w:sz w:val="18"/>
                <w:szCs w:val="18"/>
                <w:u w:val="none"/>
                <w:lang w:val="en-US" w:eastAsia="zh-CN" w:bidi="ar"/>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18"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rPr>
            </w:pPr>
            <w:r>
              <w:rPr>
                <w:rFonts w:hint="eastAsia" w:ascii="宋体" w:hAnsi="宋体" w:cs="宋体"/>
                <w:i w:val="0"/>
                <w:color w:val="000000" w:themeColor="text1"/>
                <w:kern w:val="0"/>
                <w:sz w:val="18"/>
                <w:szCs w:val="18"/>
                <w:u w:val="none"/>
                <w:lang w:val="en-US" w:eastAsia="zh-CN" w:bidi="ar"/>
              </w:rPr>
              <w:t>德国用（2014）第43号</w:t>
            </w:r>
          </w:p>
        </w:tc>
        <w:tc>
          <w:tcPr>
            <w:tcW w:w="11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rPr>
            </w:pPr>
            <w:r>
              <w:rPr>
                <w:rFonts w:hint="eastAsia" w:ascii="宋体" w:hAnsi="宋体" w:cs="宋体"/>
                <w:i w:val="0"/>
                <w:color w:val="000000" w:themeColor="text1"/>
                <w:kern w:val="0"/>
                <w:sz w:val="18"/>
                <w:szCs w:val="18"/>
                <w:u w:val="none"/>
                <w:lang w:val="en-US" w:eastAsia="zh-CN" w:bidi="ar"/>
              </w:rPr>
              <w:t>项云发</w:t>
            </w:r>
          </w:p>
        </w:tc>
        <w:tc>
          <w:tcPr>
            <w:tcW w:w="14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themeColor="text1"/>
                <w:kern w:val="0"/>
                <w:sz w:val="18"/>
                <w:szCs w:val="18"/>
                <w:u w:val="none"/>
                <w:lang w:val="en-US" w:eastAsia="zh-CN" w:bidi="ar"/>
              </w:rPr>
            </w:pPr>
            <w:r>
              <w:rPr>
                <w:rFonts w:hint="eastAsia" w:ascii="宋体" w:hAnsi="宋体" w:cs="宋体"/>
                <w:i w:val="0"/>
                <w:color w:val="000000" w:themeColor="text1"/>
                <w:kern w:val="0"/>
                <w:sz w:val="18"/>
                <w:szCs w:val="18"/>
                <w:u w:val="none"/>
                <w:lang w:val="en-US" w:eastAsia="zh-CN" w:bidi="ar"/>
              </w:rPr>
              <w:t>德兴市香屯镇五星村</w:t>
            </w:r>
          </w:p>
        </w:tc>
        <w:tc>
          <w:tcPr>
            <w:tcW w:w="6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themeColor="text1"/>
                <w:kern w:val="0"/>
                <w:sz w:val="18"/>
                <w:szCs w:val="18"/>
                <w:u w:val="none"/>
                <w:lang w:val="en-US" w:eastAsia="zh-CN" w:bidi="ar"/>
              </w:rPr>
            </w:pPr>
            <w:r>
              <w:rPr>
                <w:rFonts w:hint="eastAsia" w:ascii="宋体" w:hAnsi="宋体" w:cs="宋体"/>
                <w:i w:val="0"/>
                <w:color w:val="000000" w:themeColor="text1"/>
                <w:kern w:val="0"/>
                <w:sz w:val="18"/>
                <w:szCs w:val="18"/>
                <w:u w:val="none"/>
                <w:lang w:val="en-US" w:eastAsia="zh-CN" w:bidi="ar"/>
              </w:rPr>
              <w:t>--</w:t>
            </w:r>
          </w:p>
        </w:tc>
        <w:tc>
          <w:tcPr>
            <w:tcW w:w="66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themeColor="text1"/>
                <w:sz w:val="18"/>
                <w:szCs w:val="18"/>
                <w:u w:val="none"/>
                <w:lang w:val="en-US" w:eastAsia="zh-CN"/>
              </w:rPr>
            </w:pPr>
            <w:r>
              <w:rPr>
                <w:rFonts w:hint="eastAsia" w:ascii="宋体" w:hAnsi="宋体" w:cs="宋体"/>
                <w:i w:val="0"/>
                <w:color w:val="000000" w:themeColor="text1"/>
                <w:sz w:val="18"/>
                <w:szCs w:val="18"/>
                <w:u w:val="none"/>
                <w:lang w:val="en-US" w:eastAsia="zh-CN"/>
              </w:rPr>
              <w:t>--</w:t>
            </w:r>
          </w:p>
        </w:tc>
        <w:tc>
          <w:tcPr>
            <w:tcW w:w="7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rPr>
            </w:pPr>
            <w:r>
              <w:rPr>
                <w:rFonts w:hint="eastAsia" w:ascii="宋体" w:hAnsi="宋体" w:eastAsia="宋体" w:cs="宋体"/>
                <w:i w:val="0"/>
                <w:color w:val="000000" w:themeColor="text1"/>
                <w:kern w:val="0"/>
                <w:sz w:val="18"/>
                <w:szCs w:val="18"/>
                <w:u w:val="none"/>
                <w:lang w:val="en-US" w:eastAsia="zh-CN" w:bidi="ar"/>
              </w:rPr>
              <w:t>住宅用地</w:t>
            </w:r>
          </w:p>
        </w:tc>
        <w:tc>
          <w:tcPr>
            <w:tcW w:w="76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rPr>
            </w:pPr>
            <w:r>
              <w:rPr>
                <w:rFonts w:hint="eastAsia" w:ascii="宋体" w:hAnsi="宋体" w:cs="宋体"/>
                <w:i w:val="0"/>
                <w:color w:val="000000" w:themeColor="text1"/>
                <w:kern w:val="0"/>
                <w:sz w:val="18"/>
                <w:szCs w:val="18"/>
                <w:u w:val="none"/>
                <w:lang w:val="en-US" w:eastAsia="zh-CN" w:bidi="ar"/>
              </w:rPr>
              <w:t>划拨</w:t>
            </w:r>
          </w:p>
        </w:tc>
        <w:tc>
          <w:tcPr>
            <w:tcW w:w="7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themeColor="text1"/>
                <w:sz w:val="18"/>
                <w:szCs w:val="18"/>
                <w:u w:val="none"/>
                <w:lang w:val="en-US"/>
              </w:rPr>
            </w:pPr>
            <w:r>
              <w:rPr>
                <w:rFonts w:hint="eastAsia" w:ascii="宋体" w:hAnsi="宋体" w:cs="宋体"/>
                <w:i w:val="0"/>
                <w:color w:val="000000" w:themeColor="text1"/>
                <w:kern w:val="0"/>
                <w:sz w:val="18"/>
                <w:szCs w:val="18"/>
                <w:u w:val="none"/>
                <w:lang w:val="en-US" w:eastAsia="zh-CN" w:bidi="ar"/>
              </w:rPr>
              <w:t>--</w:t>
            </w:r>
          </w:p>
        </w:tc>
        <w:tc>
          <w:tcPr>
            <w:tcW w:w="9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themeColor="text1"/>
                <w:sz w:val="18"/>
                <w:szCs w:val="18"/>
                <w:u w:val="none"/>
                <w:lang w:val="en-US"/>
              </w:rPr>
            </w:pPr>
            <w:r>
              <w:rPr>
                <w:rFonts w:hint="eastAsia" w:ascii="宋体" w:hAnsi="宋体" w:cs="宋体"/>
                <w:i w:val="0"/>
                <w:color w:val="000000" w:themeColor="text1"/>
                <w:kern w:val="0"/>
                <w:sz w:val="18"/>
                <w:szCs w:val="18"/>
                <w:u w:val="none"/>
                <w:lang w:val="en-US" w:eastAsia="zh-CN" w:bidi="ar"/>
              </w:rPr>
              <w:t>98.00</w:t>
            </w:r>
          </w:p>
        </w:tc>
        <w:tc>
          <w:tcPr>
            <w:tcW w:w="77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themeColor="text1"/>
                <w:sz w:val="18"/>
                <w:szCs w:val="18"/>
                <w:u w:val="none"/>
                <w:lang w:val="en-US"/>
              </w:rPr>
            </w:pPr>
            <w:r>
              <w:rPr>
                <w:rFonts w:hint="eastAsia" w:ascii="宋体" w:hAnsi="宋体" w:cs="宋体"/>
                <w:i w:val="0"/>
                <w:color w:val="000000" w:themeColor="text1"/>
                <w:kern w:val="0"/>
                <w:sz w:val="18"/>
                <w:szCs w:val="18"/>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u w:val="none"/>
              </w:rPr>
            </w:pPr>
            <w:r>
              <w:rPr>
                <w:rFonts w:hint="eastAsia" w:ascii="宋体" w:hAnsi="宋体" w:eastAsia="宋体" w:cs="宋体"/>
                <w:b/>
                <w:i w:val="0"/>
                <w:color w:val="000000" w:themeColor="text1"/>
                <w:kern w:val="0"/>
                <w:sz w:val="18"/>
                <w:szCs w:val="18"/>
                <w:u w:val="none"/>
                <w:lang w:val="en-US" w:eastAsia="zh-CN" w:bidi="ar"/>
              </w:rPr>
              <w:t>记事</w:t>
            </w:r>
          </w:p>
        </w:tc>
        <w:tc>
          <w:tcPr>
            <w:tcW w:w="806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rPr>
            </w:pPr>
            <w:r>
              <w:rPr>
                <w:rFonts w:hint="eastAsia" w:ascii="宋体" w:hAnsi="宋体" w:cs="宋体"/>
                <w:i w:val="0"/>
                <w:color w:val="000000" w:themeColor="text1"/>
                <w:kern w:val="0"/>
                <w:sz w:val="18"/>
                <w:szCs w:val="18"/>
                <w:u w:val="none"/>
                <w:lang w:val="en-US" w:eastAsia="zh-CN" w:bidi="ar"/>
              </w:rPr>
              <w:t>遗失补证</w:t>
            </w:r>
          </w:p>
        </w:tc>
      </w:tr>
    </w:tbl>
    <w:p>
      <w:pPr>
        <w:spacing w:line="500" w:lineRule="exact"/>
        <w:ind w:firstLine="562" w:firstLineChars="200"/>
        <w:rPr>
          <w:rFonts w:ascii="仿宋_GB2312" w:hAnsi="Tahoma" w:eastAsia="仿宋_GB2312" w:cs="Tahoma"/>
          <w:b/>
          <w:color w:val="000000"/>
          <w:kern w:val="0"/>
          <w:sz w:val="28"/>
          <w:szCs w:val="28"/>
        </w:rPr>
      </w:pPr>
      <w:r>
        <w:rPr>
          <w:rFonts w:ascii="仿宋_GB2312" w:hAnsi="宋体" w:eastAsia="仿宋_GB2312"/>
          <w:b/>
          <w:color w:val="000000"/>
          <w:sz w:val="28"/>
          <w:szCs w:val="28"/>
        </w:rPr>
        <w:t>2</w:t>
      </w:r>
      <w:r>
        <w:rPr>
          <w:rFonts w:hint="eastAsia" w:ascii="仿宋_GB2312" w:hAnsi="宋体" w:eastAsia="仿宋_GB2312"/>
          <w:b/>
          <w:color w:val="000000"/>
          <w:sz w:val="28"/>
          <w:szCs w:val="28"/>
        </w:rPr>
        <w:t>、房屋权益状况</w:t>
      </w:r>
    </w:p>
    <w:p>
      <w:pPr>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根据委托方提供的相关资料，估价对象房屋权属状况如下：</w:t>
      </w:r>
    </w:p>
    <w:tbl>
      <w:tblPr>
        <w:tblStyle w:val="23"/>
        <w:tblW w:w="9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93"/>
        <w:gridCol w:w="1515"/>
        <w:gridCol w:w="1455"/>
        <w:gridCol w:w="870"/>
        <w:gridCol w:w="705"/>
        <w:gridCol w:w="615"/>
        <w:gridCol w:w="585"/>
        <w:gridCol w:w="810"/>
        <w:gridCol w:w="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9333" w:type="dxa"/>
            <w:gridSpan w:val="9"/>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表</w:t>
            </w:r>
            <w:r>
              <w:rPr>
                <w:rFonts w:hint="eastAsia" w:ascii="宋体" w:hAnsi="宋体" w:cs="宋体"/>
                <w:b/>
                <w:i w:val="0"/>
                <w:color w:val="000000"/>
                <w:kern w:val="0"/>
                <w:sz w:val="24"/>
                <w:szCs w:val="24"/>
                <w:u w:val="none"/>
                <w:lang w:val="en-US" w:eastAsia="zh-CN" w:bidi="ar"/>
              </w:rPr>
              <w:t>2</w:t>
            </w:r>
            <w:r>
              <w:rPr>
                <w:rFonts w:hint="eastAsia" w:ascii="宋体" w:hAnsi="宋体" w:eastAsia="宋体" w:cs="宋体"/>
                <w:b/>
                <w:i w:val="0"/>
                <w:color w:val="000000"/>
                <w:kern w:val="0"/>
                <w:sz w:val="24"/>
                <w:szCs w:val="24"/>
                <w:u w:val="none"/>
                <w:lang w:val="en-US" w:eastAsia="zh-CN" w:bidi="ar"/>
              </w:rPr>
              <w:t xml:space="preserve">  估价对象－房屋权属状况表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《房屋所有权证》证号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房屋所有权人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房屋座落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产别</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结构</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房屋总层数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所在层数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建筑面积(</w:t>
            </w:r>
            <w:r>
              <w:rPr>
                <w:rStyle w:val="65"/>
                <w:lang w:val="en-US" w:eastAsia="zh-CN" w:bidi="ar"/>
              </w:rPr>
              <w:t>㎡</w:t>
            </w:r>
            <w:r>
              <w:rPr>
                <w:rStyle w:val="66"/>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设计用途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房权证德房发办字第000018579号</w:t>
            </w:r>
          </w:p>
        </w:tc>
        <w:tc>
          <w:tcPr>
            <w:tcW w:w="15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项云发</w:t>
            </w:r>
          </w:p>
        </w:tc>
        <w:tc>
          <w:tcPr>
            <w:tcW w:w="14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cs="宋体"/>
                <w:i w:val="0"/>
                <w:color w:val="000000" w:themeColor="text1"/>
                <w:kern w:val="0"/>
                <w:sz w:val="18"/>
                <w:szCs w:val="18"/>
                <w:u w:val="none"/>
                <w:lang w:val="en-US" w:eastAsia="zh-CN" w:bidi="ar"/>
              </w:rPr>
              <w:t>德兴市香屯镇五星村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私有房产</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砖混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330.14</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住宅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附记</w:t>
            </w:r>
          </w:p>
        </w:tc>
        <w:tc>
          <w:tcPr>
            <w:tcW w:w="70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pPr>
        <w:widowControl/>
        <w:spacing w:line="280" w:lineRule="exact"/>
        <w:ind w:firstLine="562" w:firstLineChars="200"/>
        <w:jc w:val="left"/>
        <w:rPr>
          <w:rFonts w:ascii="仿宋_GB2312" w:hAnsi="Tahoma" w:eastAsia="仿宋_GB2312" w:cs="Tahoma"/>
          <w:b/>
          <w:color w:val="000000"/>
          <w:kern w:val="0"/>
          <w:sz w:val="28"/>
          <w:szCs w:val="28"/>
          <w:shd w:val="clear" w:color="auto" w:fill="FFFFFF"/>
        </w:rPr>
      </w:pPr>
    </w:p>
    <w:p>
      <w:pPr>
        <w:widowControl/>
        <w:spacing w:line="500" w:lineRule="exact"/>
        <w:ind w:firstLine="562" w:firstLineChars="200"/>
        <w:jc w:val="left"/>
        <w:rPr>
          <w:rFonts w:ascii="仿宋_GB2312" w:hAnsi="Tahoma" w:eastAsia="仿宋_GB2312" w:cs="Tahoma"/>
          <w:b/>
          <w:color w:val="000000" w:themeColor="text1"/>
          <w:kern w:val="0"/>
          <w:sz w:val="28"/>
          <w:szCs w:val="28"/>
          <w:shd w:val="clear" w:color="auto" w:fill="FFFFFF"/>
        </w:rPr>
      </w:pPr>
      <w:r>
        <w:rPr>
          <w:rFonts w:ascii="仿宋_GB2312" w:hAnsi="Tahoma" w:eastAsia="仿宋_GB2312" w:cs="Tahoma"/>
          <w:b/>
          <w:color w:val="000000" w:themeColor="text1"/>
          <w:kern w:val="0"/>
          <w:sz w:val="28"/>
          <w:szCs w:val="28"/>
          <w:shd w:val="clear" w:color="auto" w:fill="FFFFFF"/>
        </w:rPr>
        <w:t>3</w:t>
      </w:r>
      <w:r>
        <w:rPr>
          <w:rFonts w:hint="eastAsia" w:ascii="仿宋_GB2312" w:hAnsi="Tahoma" w:eastAsia="仿宋_GB2312" w:cs="Tahoma"/>
          <w:b/>
          <w:color w:val="000000" w:themeColor="text1"/>
          <w:kern w:val="0"/>
          <w:sz w:val="28"/>
          <w:szCs w:val="28"/>
          <w:shd w:val="clear" w:color="auto" w:fill="FFFFFF"/>
        </w:rPr>
        <w:t>、他项权利状况</w:t>
      </w:r>
    </w:p>
    <w:p>
      <w:pPr>
        <w:spacing w:line="500" w:lineRule="exact"/>
        <w:ind w:firstLine="560" w:firstLineChars="200"/>
        <w:rPr>
          <w:rFonts w:hint="eastAsia" w:ascii="仿宋_GB2312" w:hAnsi="Tahoma" w:eastAsia="仿宋_GB2312" w:cs="Tahoma"/>
          <w:color w:val="000000" w:themeColor="text1"/>
          <w:kern w:val="0"/>
          <w:sz w:val="28"/>
          <w:szCs w:val="28"/>
          <w:shd w:val="clear" w:color="auto" w:fill="FFFFFF"/>
          <w:lang w:eastAsia="zh-CN"/>
        </w:rPr>
      </w:pPr>
      <w:r>
        <w:rPr>
          <w:rFonts w:hint="eastAsia" w:ascii="仿宋_GB2312" w:hAnsi="Tahoma" w:eastAsia="仿宋_GB2312" w:cs="Tahoma"/>
          <w:color w:val="000000" w:themeColor="text1"/>
          <w:kern w:val="0"/>
          <w:sz w:val="28"/>
          <w:szCs w:val="28"/>
          <w:shd w:val="clear" w:color="auto" w:fill="FFFFFF"/>
          <w:lang w:eastAsia="zh-CN"/>
        </w:rPr>
        <w:t>估价对象未抵押。</w:t>
      </w:r>
    </w:p>
    <w:p>
      <w:pPr>
        <w:numPr>
          <w:ilvl w:val="0"/>
          <w:numId w:val="1"/>
        </w:numPr>
        <w:spacing w:line="500" w:lineRule="exact"/>
        <w:ind w:firstLine="562" w:firstLineChars="200"/>
        <w:rPr>
          <w:rFonts w:hint="eastAsia" w:ascii="仿宋_GB2312" w:hAnsi="Tahoma" w:eastAsia="仿宋_GB2312" w:cs="Tahoma"/>
          <w:b/>
          <w:bCs/>
          <w:color w:val="000000" w:themeColor="text1"/>
          <w:kern w:val="0"/>
          <w:sz w:val="28"/>
          <w:szCs w:val="28"/>
          <w:shd w:val="clear" w:color="auto" w:fill="FFFFFF"/>
          <w:lang w:eastAsia="zh-CN"/>
        </w:rPr>
      </w:pPr>
      <w:r>
        <w:rPr>
          <w:rFonts w:hint="eastAsia" w:ascii="仿宋_GB2312" w:hAnsi="Tahoma" w:eastAsia="仿宋_GB2312" w:cs="Tahoma"/>
          <w:b/>
          <w:bCs/>
          <w:color w:val="000000" w:themeColor="text1"/>
          <w:kern w:val="0"/>
          <w:sz w:val="28"/>
          <w:szCs w:val="28"/>
          <w:shd w:val="clear" w:color="auto" w:fill="FFFFFF"/>
          <w:lang w:eastAsia="zh-CN"/>
        </w:rPr>
        <w:t>查封情况</w:t>
      </w:r>
    </w:p>
    <w:p>
      <w:pPr>
        <w:spacing w:line="500" w:lineRule="exact"/>
        <w:ind w:firstLine="560" w:firstLineChars="200"/>
        <w:rPr>
          <w:rFonts w:hint="eastAsia" w:ascii="仿宋_GB2312" w:hAnsi="Tahoma" w:eastAsia="仿宋_GB2312" w:cs="Tahoma"/>
          <w:color w:val="000000" w:themeColor="text1"/>
          <w:kern w:val="0"/>
          <w:sz w:val="28"/>
          <w:szCs w:val="28"/>
          <w:shd w:val="clear" w:color="auto" w:fill="FFFFFF"/>
          <w:lang w:val="en-US" w:eastAsia="zh-CN"/>
        </w:rPr>
      </w:pPr>
      <w:r>
        <w:rPr>
          <w:rFonts w:hint="eastAsia" w:ascii="仿宋_GB2312" w:hAnsi="Tahoma" w:eastAsia="仿宋_GB2312" w:cs="Tahoma"/>
          <w:color w:val="000000" w:themeColor="text1"/>
          <w:kern w:val="0"/>
          <w:sz w:val="28"/>
          <w:szCs w:val="28"/>
          <w:shd w:val="clear" w:color="auto" w:fill="FFFFFF"/>
          <w:lang w:eastAsia="zh-CN"/>
        </w:rPr>
        <w:t>估价对象已被金华市婺城区人民法院查封，查封文号为（</w:t>
      </w:r>
      <w:r>
        <w:rPr>
          <w:rFonts w:hint="eastAsia" w:ascii="仿宋_GB2312" w:hAnsi="Tahoma" w:eastAsia="仿宋_GB2312" w:cs="Tahoma"/>
          <w:color w:val="000000" w:themeColor="text1"/>
          <w:kern w:val="0"/>
          <w:sz w:val="28"/>
          <w:szCs w:val="28"/>
          <w:shd w:val="clear" w:color="auto" w:fill="FFFFFF"/>
          <w:lang w:val="en-US" w:eastAsia="zh-CN"/>
        </w:rPr>
        <w:t>2017</w:t>
      </w:r>
      <w:r>
        <w:rPr>
          <w:rFonts w:hint="eastAsia" w:ascii="仿宋_GB2312" w:hAnsi="Tahoma" w:eastAsia="仿宋_GB2312" w:cs="Tahoma"/>
          <w:color w:val="000000" w:themeColor="text1"/>
          <w:kern w:val="0"/>
          <w:sz w:val="28"/>
          <w:szCs w:val="28"/>
          <w:shd w:val="clear" w:color="auto" w:fill="FFFFFF"/>
          <w:lang w:eastAsia="zh-CN"/>
        </w:rPr>
        <w:t>）浙</w:t>
      </w:r>
      <w:r>
        <w:rPr>
          <w:rFonts w:hint="eastAsia" w:ascii="仿宋_GB2312" w:hAnsi="Tahoma" w:eastAsia="仿宋_GB2312" w:cs="Tahoma"/>
          <w:color w:val="000000" w:themeColor="text1"/>
          <w:kern w:val="0"/>
          <w:sz w:val="28"/>
          <w:szCs w:val="28"/>
          <w:shd w:val="clear" w:color="auto" w:fill="FFFFFF"/>
          <w:lang w:val="en-US" w:eastAsia="zh-CN"/>
        </w:rPr>
        <w:t>0702执4669号。</w:t>
      </w:r>
    </w:p>
    <w:p>
      <w:pPr>
        <w:spacing w:line="500" w:lineRule="exact"/>
        <w:ind w:firstLine="560" w:firstLineChars="200"/>
        <w:rPr>
          <w:rFonts w:ascii="仿宋_GB2312" w:eastAsia="仿宋_GB2312"/>
          <w:sz w:val="28"/>
          <w:szCs w:val="28"/>
        </w:rPr>
      </w:pPr>
      <w:r>
        <w:rPr>
          <w:rFonts w:hint="eastAsia" w:ascii="仿宋_GB2312" w:hAnsi="Tahoma" w:eastAsia="仿宋_GB2312" w:cs="Tahoma"/>
          <w:color w:val="000000"/>
          <w:kern w:val="0"/>
          <w:sz w:val="28"/>
          <w:szCs w:val="28"/>
          <w:shd w:val="clear" w:color="auto" w:fill="FFFFFF"/>
        </w:rPr>
        <w:t>本次估价假设在价值时点估价</w:t>
      </w:r>
      <w:r>
        <w:rPr>
          <w:rFonts w:hint="eastAsia" w:eastAsia="仿宋_GB2312"/>
          <w:sz w:val="28"/>
        </w:rPr>
        <w:t>对象处于完整权利状态，即不存在产权纠纷、抵押、担保、抵债、租赁以及法定优先受偿权利等他项权利。</w:t>
      </w:r>
    </w:p>
    <w:p>
      <w:pPr>
        <w:pStyle w:val="3"/>
        <w:spacing w:before="0" w:after="0" w:line="500" w:lineRule="exact"/>
        <w:ind w:firstLine="562" w:firstLineChars="200"/>
        <w:rPr>
          <w:rFonts w:ascii="仿宋_GB2312" w:hAnsi="宋体" w:eastAsia="仿宋_GB2312"/>
          <w:sz w:val="28"/>
          <w:szCs w:val="28"/>
        </w:rPr>
      </w:pPr>
      <w:bookmarkStart w:id="14" w:name="_Toc476334913"/>
      <w:r>
        <w:rPr>
          <w:rFonts w:hint="eastAsia" w:ascii="仿宋_GB2312" w:hAnsi="宋体" w:eastAsia="仿宋_GB2312"/>
          <w:sz w:val="28"/>
          <w:szCs w:val="28"/>
        </w:rPr>
        <w:t>四、估价目的</w:t>
      </w:r>
      <w:bookmarkEnd w:id="14"/>
    </w:p>
    <w:p>
      <w:pPr>
        <w:widowControl/>
        <w:spacing w:line="500" w:lineRule="exact"/>
        <w:ind w:firstLine="560" w:firstLineChars="200"/>
        <w:jc w:val="left"/>
        <w:rPr>
          <w:rFonts w:ascii="仿宋_GB2312" w:hAnsi="宋体" w:eastAsia="仿宋_GB2312"/>
          <w:color w:val="000000"/>
          <w:sz w:val="28"/>
          <w:szCs w:val="28"/>
        </w:rPr>
      </w:pPr>
      <w:r>
        <w:rPr>
          <w:rFonts w:hint="eastAsia" w:ascii="仿宋_GB2312" w:hAnsi="宋体" w:eastAsia="仿宋_GB2312" w:cs="宋体"/>
          <w:kern w:val="0"/>
          <w:sz w:val="28"/>
          <w:szCs w:val="28"/>
        </w:rPr>
        <w:t>为委托人执行司法处置提供参考依据而评估房地产市场价值</w:t>
      </w:r>
      <w:r>
        <w:rPr>
          <w:rFonts w:hint="eastAsia" w:ascii="仿宋_GB2312" w:hAnsi="Tahoma" w:eastAsia="仿宋_GB2312" w:cs="Tahoma"/>
          <w:color w:val="000000"/>
          <w:kern w:val="0"/>
          <w:sz w:val="28"/>
          <w:szCs w:val="28"/>
        </w:rPr>
        <w:t>。</w:t>
      </w:r>
    </w:p>
    <w:p>
      <w:pPr>
        <w:pStyle w:val="3"/>
        <w:spacing w:before="0" w:after="0" w:line="500" w:lineRule="exact"/>
        <w:ind w:firstLine="562" w:firstLineChars="200"/>
        <w:rPr>
          <w:rFonts w:ascii="仿宋_GB2312" w:hAnsi="宋体" w:eastAsia="仿宋_GB2312"/>
          <w:sz w:val="28"/>
          <w:szCs w:val="28"/>
        </w:rPr>
      </w:pPr>
      <w:bookmarkStart w:id="15" w:name="_Toc476334914"/>
      <w:r>
        <w:rPr>
          <w:rFonts w:hint="eastAsia" w:ascii="仿宋_GB2312" w:hAnsi="宋体" w:eastAsia="仿宋_GB2312"/>
          <w:sz w:val="28"/>
          <w:szCs w:val="28"/>
        </w:rPr>
        <w:t>五、价值时点</w:t>
      </w:r>
      <w:bookmarkEnd w:id="15"/>
    </w:p>
    <w:p>
      <w:pPr>
        <w:widowControl/>
        <w:spacing w:line="50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价值时点设定为</w:t>
      </w:r>
      <w:r>
        <w:rPr>
          <w:rFonts w:hint="eastAsia" w:ascii="仿宋_GB2312" w:hAnsi="宋体" w:eastAsia="仿宋_GB2312" w:cs="宋体"/>
          <w:kern w:val="0"/>
          <w:sz w:val="28"/>
          <w:szCs w:val="28"/>
          <w:lang w:eastAsia="zh-CN"/>
        </w:rPr>
        <w:t>2019年01月</w:t>
      </w:r>
      <w:r>
        <w:rPr>
          <w:rFonts w:hint="eastAsia" w:ascii="仿宋_GB2312" w:hAnsi="宋体" w:eastAsia="仿宋_GB2312" w:cs="宋体"/>
          <w:kern w:val="0"/>
          <w:sz w:val="28"/>
          <w:szCs w:val="28"/>
          <w:lang w:val="en-US" w:eastAsia="zh-CN"/>
        </w:rPr>
        <w:t>30</w:t>
      </w:r>
      <w:r>
        <w:rPr>
          <w:rFonts w:hint="eastAsia" w:ascii="仿宋_GB2312" w:hAnsi="宋体" w:eastAsia="仿宋_GB2312" w:cs="宋体"/>
          <w:kern w:val="0"/>
          <w:sz w:val="28"/>
          <w:szCs w:val="28"/>
          <w:lang w:eastAsia="zh-CN"/>
        </w:rPr>
        <w:t>日，</w:t>
      </w:r>
      <w:r>
        <w:rPr>
          <w:rFonts w:hint="eastAsia" w:ascii="仿宋_GB2312" w:hAnsi="宋体" w:eastAsia="仿宋_GB2312" w:cs="宋体"/>
          <w:kern w:val="0"/>
          <w:sz w:val="28"/>
          <w:szCs w:val="28"/>
        </w:rPr>
        <w:t>即司法评估委托书签发之日。</w:t>
      </w:r>
    </w:p>
    <w:p>
      <w:pPr>
        <w:pStyle w:val="3"/>
        <w:spacing w:before="0" w:after="0" w:line="500" w:lineRule="exact"/>
        <w:ind w:firstLine="562" w:firstLineChars="200"/>
        <w:rPr>
          <w:rFonts w:ascii="仿宋_GB2312" w:hAnsi="宋体" w:eastAsia="仿宋_GB2312"/>
          <w:sz w:val="28"/>
          <w:szCs w:val="28"/>
        </w:rPr>
      </w:pPr>
      <w:bookmarkStart w:id="16" w:name="_Toc476334915"/>
      <w:r>
        <w:rPr>
          <w:rFonts w:hint="eastAsia" w:ascii="仿宋_GB2312" w:hAnsi="宋体" w:eastAsia="仿宋_GB2312"/>
          <w:sz w:val="28"/>
          <w:szCs w:val="28"/>
        </w:rPr>
        <w:t>六、价值定义</w:t>
      </w:r>
      <w:bookmarkEnd w:id="16"/>
    </w:p>
    <w:p>
      <w:pPr>
        <w:tabs>
          <w:tab w:val="left" w:pos="525"/>
        </w:tabs>
        <w:spacing w:line="360" w:lineRule="auto"/>
        <w:ind w:firstLine="624" w:firstLineChars="223"/>
        <w:rPr>
          <w:rFonts w:ascii="仿宋_GB2312" w:hAnsi="宋体" w:eastAsia="仿宋_GB2312"/>
          <w:sz w:val="28"/>
          <w:szCs w:val="28"/>
        </w:rPr>
      </w:pPr>
      <w:r>
        <w:rPr>
          <w:rFonts w:hint="eastAsia" w:ascii="仿宋_GB2312" w:eastAsia="仿宋_GB2312"/>
          <w:sz w:val="28"/>
          <w:szCs w:val="28"/>
        </w:rPr>
        <w:t>本次估价采用市场价值标准。市场价值是指估价对象房地产经适当营销后，由熟悉情况、谨慎行事且不受强迫的交易双方，以公平交易方式在价值时点自愿进行交易的金额。</w:t>
      </w:r>
    </w:p>
    <w:p>
      <w:pPr>
        <w:pStyle w:val="3"/>
        <w:spacing w:before="0" w:after="0" w:line="500" w:lineRule="exact"/>
        <w:ind w:firstLine="562" w:firstLineChars="200"/>
        <w:rPr>
          <w:rFonts w:ascii="仿宋_GB2312" w:hAnsi="宋体" w:eastAsia="仿宋_GB2312"/>
          <w:sz w:val="28"/>
          <w:szCs w:val="28"/>
        </w:rPr>
      </w:pPr>
      <w:bookmarkStart w:id="17" w:name="_Toc476334916"/>
      <w:r>
        <w:rPr>
          <w:rFonts w:hint="eastAsia" w:ascii="仿宋_GB2312" w:hAnsi="宋体" w:eastAsia="仿宋_GB2312"/>
          <w:sz w:val="28"/>
          <w:szCs w:val="28"/>
        </w:rPr>
        <w:t>七、估价依据</w:t>
      </w:r>
      <w:bookmarkEnd w:id="17"/>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w:t>
      </w:r>
      <w:r>
        <w:rPr>
          <w:rFonts w:hint="eastAsia" w:ascii="仿宋_GB2312" w:eastAsia="仿宋_GB2312"/>
          <w:color w:val="000000"/>
          <w:sz w:val="28"/>
          <w:szCs w:val="28"/>
        </w:rPr>
        <w:t>一</w:t>
      </w:r>
      <w:r>
        <w:rPr>
          <w:rFonts w:ascii="仿宋_GB2312" w:eastAsia="仿宋_GB2312"/>
          <w:color w:val="000000"/>
          <w:sz w:val="28"/>
          <w:szCs w:val="28"/>
        </w:rPr>
        <w:t>)</w:t>
      </w:r>
      <w:r>
        <w:rPr>
          <w:rFonts w:hint="eastAsia" w:ascii="仿宋_GB2312" w:eastAsia="仿宋_GB2312"/>
          <w:color w:val="000000"/>
          <w:sz w:val="28"/>
          <w:szCs w:val="28"/>
        </w:rPr>
        <w:t>本次估价所依据的有关法律、法规和部门规章</w:t>
      </w:r>
    </w:p>
    <w:p>
      <w:pPr>
        <w:spacing w:line="500" w:lineRule="exact"/>
        <w:ind w:firstLine="560" w:firstLineChars="200"/>
        <w:rPr>
          <w:rFonts w:ascii="仿宋_GB2312" w:hAnsi="Tahoma" w:eastAsia="仿宋_GB2312" w:cs="Tahoma"/>
          <w:color w:val="000000"/>
          <w:kern w:val="0"/>
          <w:sz w:val="28"/>
          <w:szCs w:val="28"/>
        </w:rPr>
      </w:pPr>
      <w:r>
        <w:rPr>
          <w:rFonts w:ascii="仿宋_GB2312" w:hAnsi="Tahoma" w:eastAsia="仿宋_GB2312" w:cs="Tahoma"/>
          <w:color w:val="000000"/>
          <w:kern w:val="0"/>
          <w:sz w:val="28"/>
          <w:szCs w:val="28"/>
        </w:rPr>
        <w:t>1</w:t>
      </w:r>
      <w:r>
        <w:rPr>
          <w:rFonts w:hint="eastAsia" w:ascii="仿宋_GB2312" w:hAnsi="Tahoma" w:eastAsia="仿宋_GB2312" w:cs="Tahoma"/>
          <w:color w:val="000000"/>
          <w:kern w:val="0"/>
          <w:sz w:val="28"/>
          <w:szCs w:val="28"/>
        </w:rPr>
        <w:t>、《中华人民共和国物权法》；</w:t>
      </w:r>
    </w:p>
    <w:p>
      <w:pPr>
        <w:spacing w:line="500" w:lineRule="exact"/>
        <w:ind w:firstLine="560" w:firstLineChars="200"/>
        <w:rPr>
          <w:rFonts w:ascii="仿宋_GB2312" w:hAnsi="Tahoma" w:eastAsia="仿宋_GB2312" w:cs="Tahoma"/>
          <w:color w:val="000000"/>
          <w:kern w:val="0"/>
          <w:sz w:val="28"/>
          <w:szCs w:val="28"/>
        </w:rPr>
      </w:pPr>
      <w:r>
        <w:rPr>
          <w:rFonts w:ascii="仿宋_GB2312" w:hAnsi="Tahoma" w:eastAsia="仿宋_GB2312" w:cs="Tahoma"/>
          <w:color w:val="000000"/>
          <w:kern w:val="0"/>
          <w:sz w:val="28"/>
          <w:szCs w:val="28"/>
        </w:rPr>
        <w:t>2</w:t>
      </w:r>
      <w:r>
        <w:rPr>
          <w:rFonts w:hint="eastAsia" w:ascii="仿宋_GB2312" w:hAnsi="Tahoma" w:eastAsia="仿宋_GB2312" w:cs="Tahoma"/>
          <w:color w:val="000000"/>
          <w:kern w:val="0"/>
          <w:sz w:val="28"/>
          <w:szCs w:val="28"/>
        </w:rPr>
        <w:t>、《中华人民共和国城市房地产管理法》；</w:t>
      </w:r>
    </w:p>
    <w:p>
      <w:pPr>
        <w:spacing w:line="500" w:lineRule="exact"/>
        <w:ind w:firstLine="560" w:firstLineChars="200"/>
        <w:rPr>
          <w:rFonts w:ascii="仿宋_GB2312" w:hAnsi="Tahoma" w:eastAsia="仿宋_GB2312" w:cs="Tahoma"/>
          <w:color w:val="000000"/>
          <w:kern w:val="0"/>
          <w:sz w:val="28"/>
          <w:szCs w:val="28"/>
        </w:rPr>
      </w:pPr>
      <w:r>
        <w:rPr>
          <w:rFonts w:ascii="仿宋_GB2312" w:hAnsi="Tahoma" w:eastAsia="仿宋_GB2312" w:cs="Tahoma"/>
          <w:color w:val="000000"/>
          <w:kern w:val="0"/>
          <w:sz w:val="28"/>
          <w:szCs w:val="28"/>
        </w:rPr>
        <w:t>3</w:t>
      </w:r>
      <w:r>
        <w:rPr>
          <w:rFonts w:hint="eastAsia" w:ascii="仿宋_GB2312" w:hAnsi="Tahoma" w:eastAsia="仿宋_GB2312" w:cs="Tahoma"/>
          <w:color w:val="000000"/>
          <w:kern w:val="0"/>
          <w:sz w:val="28"/>
          <w:szCs w:val="28"/>
        </w:rPr>
        <w:t>、《中华人民共和国土地管理法》及实施细则；</w:t>
      </w:r>
    </w:p>
    <w:p>
      <w:pPr>
        <w:spacing w:line="500" w:lineRule="exact"/>
        <w:ind w:firstLine="560" w:firstLineChars="200"/>
        <w:rPr>
          <w:rFonts w:hint="eastAsia" w:ascii="仿宋_GB2312" w:hAnsi="Tahoma" w:eastAsia="仿宋_GB2312" w:cs="Tahoma"/>
          <w:color w:val="000000"/>
          <w:kern w:val="0"/>
          <w:sz w:val="28"/>
          <w:szCs w:val="28"/>
        </w:rPr>
      </w:pPr>
      <w:r>
        <w:rPr>
          <w:rFonts w:ascii="仿宋_GB2312" w:hAnsi="Tahoma" w:eastAsia="仿宋_GB2312" w:cs="Tahoma"/>
          <w:color w:val="000000"/>
          <w:kern w:val="0"/>
          <w:sz w:val="28"/>
          <w:szCs w:val="28"/>
        </w:rPr>
        <w:t>4</w:t>
      </w:r>
      <w:r>
        <w:rPr>
          <w:rFonts w:hint="eastAsia" w:ascii="仿宋_GB2312" w:hAnsi="Tahoma" w:eastAsia="仿宋_GB2312" w:cs="Tahoma"/>
          <w:color w:val="000000"/>
          <w:kern w:val="0"/>
          <w:sz w:val="28"/>
          <w:szCs w:val="28"/>
        </w:rPr>
        <w:t>、《中华人民共和国城镇国有土地使用权</w:t>
      </w:r>
      <w:r>
        <w:rPr>
          <w:rFonts w:hint="eastAsia" w:ascii="仿宋_GB2312" w:hAnsi="Tahoma" w:eastAsia="仿宋_GB2312" w:cs="Tahoma"/>
          <w:color w:val="000000"/>
          <w:kern w:val="0"/>
          <w:sz w:val="28"/>
          <w:szCs w:val="28"/>
          <w:lang w:eastAsia="zh-CN"/>
        </w:rPr>
        <w:t>划拨</w:t>
      </w:r>
      <w:r>
        <w:rPr>
          <w:rFonts w:hint="eastAsia" w:ascii="仿宋_GB2312" w:hAnsi="Tahoma" w:eastAsia="仿宋_GB2312" w:cs="Tahoma"/>
          <w:color w:val="000000"/>
          <w:kern w:val="0"/>
          <w:sz w:val="28"/>
          <w:szCs w:val="28"/>
        </w:rPr>
        <w:t>和转让暂行条例》；</w:t>
      </w:r>
    </w:p>
    <w:p>
      <w:pPr>
        <w:spacing w:line="500" w:lineRule="exact"/>
        <w:ind w:firstLine="560" w:firstLineChars="200"/>
        <w:rPr>
          <w:rFonts w:hint="eastAsia"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5、《中华人民共和国资产评估法》；</w:t>
      </w:r>
    </w:p>
    <w:p>
      <w:pPr>
        <w:spacing w:line="500" w:lineRule="exact"/>
        <w:ind w:firstLine="560" w:firstLineChars="200"/>
        <w:rPr>
          <w:rFonts w:hint="eastAsia"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rPr>
        <w:t>6、《司法鉴定程序通则》；</w:t>
      </w:r>
    </w:p>
    <w:p>
      <w:pPr>
        <w:spacing w:line="500" w:lineRule="exact"/>
        <w:ind w:firstLine="560" w:firstLineChars="200"/>
        <w:rPr>
          <w:rFonts w:ascii="仿宋_GB2312" w:hAnsi="Tahoma" w:eastAsia="仿宋_GB2312" w:cs="Tahoma"/>
          <w:color w:val="000000"/>
          <w:kern w:val="0"/>
          <w:sz w:val="28"/>
          <w:szCs w:val="28"/>
        </w:rPr>
      </w:pPr>
      <w:r>
        <w:rPr>
          <w:rFonts w:hint="eastAsia" w:ascii="仿宋_GB2312" w:hAnsi="Tahoma" w:eastAsia="仿宋_GB2312" w:cs="Tahoma"/>
          <w:color w:val="000000"/>
          <w:kern w:val="0"/>
          <w:sz w:val="28"/>
          <w:szCs w:val="28"/>
          <w:lang w:val="en-US" w:eastAsia="zh-CN"/>
        </w:rPr>
        <w:t>7</w:t>
      </w:r>
      <w:r>
        <w:rPr>
          <w:rFonts w:hint="eastAsia" w:ascii="仿宋_GB2312" w:hAnsi="Tahoma" w:eastAsia="仿宋_GB2312" w:cs="Tahoma"/>
          <w:color w:val="000000"/>
          <w:kern w:val="0"/>
          <w:sz w:val="28"/>
          <w:szCs w:val="28"/>
        </w:rPr>
        <w:t>、《全国人民代表大会常委会关于司法鉴定管理问题的决定》；</w:t>
      </w:r>
    </w:p>
    <w:p>
      <w:pPr>
        <w:spacing w:line="500" w:lineRule="exact"/>
        <w:ind w:firstLine="560" w:firstLineChars="200"/>
        <w:rPr>
          <w:rFonts w:ascii="仿宋_GB2312" w:eastAsia="仿宋_GB2312"/>
          <w:color w:val="000000"/>
          <w:sz w:val="28"/>
          <w:szCs w:val="28"/>
        </w:rPr>
      </w:pPr>
      <w:r>
        <w:rPr>
          <w:rFonts w:hint="eastAsia" w:ascii="仿宋_GB2312" w:hAnsi="Tahoma" w:eastAsia="仿宋_GB2312" w:cs="Tahoma"/>
          <w:color w:val="000000"/>
          <w:kern w:val="0"/>
          <w:sz w:val="28"/>
          <w:szCs w:val="28"/>
          <w:lang w:val="en-US" w:eastAsia="zh-CN"/>
        </w:rPr>
        <w:t>8</w:t>
      </w:r>
      <w:r>
        <w:rPr>
          <w:rFonts w:hint="eastAsia" w:ascii="仿宋_GB2312" w:hAnsi="Tahoma" w:eastAsia="仿宋_GB2312" w:cs="Tahoma"/>
          <w:color w:val="000000"/>
          <w:kern w:val="0"/>
          <w:sz w:val="28"/>
          <w:szCs w:val="28"/>
        </w:rPr>
        <w:t>、其他有关司法鉴定的法律文件。</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w:t>
      </w:r>
      <w:r>
        <w:rPr>
          <w:rFonts w:hint="eastAsia" w:ascii="仿宋_GB2312" w:eastAsia="仿宋_GB2312"/>
          <w:color w:val="000000"/>
          <w:sz w:val="28"/>
          <w:szCs w:val="28"/>
        </w:rPr>
        <w:t>二</w:t>
      </w:r>
      <w:r>
        <w:rPr>
          <w:rFonts w:ascii="仿宋_GB2312" w:eastAsia="仿宋_GB2312"/>
          <w:color w:val="000000"/>
          <w:sz w:val="28"/>
          <w:szCs w:val="28"/>
        </w:rPr>
        <w:t>)</w:t>
      </w:r>
      <w:r>
        <w:rPr>
          <w:rFonts w:hint="eastAsia" w:ascii="仿宋_GB2312" w:eastAsia="仿宋_GB2312"/>
          <w:color w:val="000000"/>
          <w:sz w:val="28"/>
          <w:szCs w:val="28"/>
        </w:rPr>
        <w:t>本次估价采用的技术规程</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、中华人民共和国国家标准</w:t>
      </w:r>
      <w:r>
        <w:rPr>
          <w:rFonts w:ascii="仿宋_GB2312" w:eastAsia="仿宋_GB2312"/>
          <w:color w:val="000000"/>
          <w:sz w:val="28"/>
          <w:szCs w:val="28"/>
        </w:rPr>
        <w:t>GB/T50291-2015</w:t>
      </w:r>
      <w:r>
        <w:rPr>
          <w:rFonts w:hint="eastAsia" w:ascii="仿宋_GB2312" w:eastAsia="仿宋_GB2312"/>
          <w:color w:val="000000"/>
          <w:sz w:val="28"/>
          <w:szCs w:val="28"/>
        </w:rPr>
        <w:t>《房地产估价规范》；</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、中华人民共和国国家标准</w:t>
      </w:r>
      <w:r>
        <w:rPr>
          <w:rFonts w:ascii="仿宋_GB2312" w:eastAsia="仿宋_GB2312"/>
          <w:color w:val="000000"/>
          <w:sz w:val="28"/>
          <w:szCs w:val="28"/>
        </w:rPr>
        <w:t>GB/T-18508-2014</w:t>
      </w:r>
      <w:r>
        <w:rPr>
          <w:rFonts w:hint="eastAsia" w:ascii="仿宋_GB2312" w:eastAsia="仿宋_GB2312"/>
          <w:color w:val="000000"/>
          <w:sz w:val="28"/>
          <w:szCs w:val="28"/>
        </w:rPr>
        <w:t>《城镇土地估价规程》；</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、中华人民共和国国家标准</w:t>
      </w:r>
      <w:r>
        <w:rPr>
          <w:rFonts w:ascii="仿宋_GB2312" w:eastAsia="仿宋_GB2312"/>
          <w:color w:val="000000"/>
          <w:sz w:val="28"/>
          <w:szCs w:val="28"/>
        </w:rPr>
        <w:t>GB/T50899-2013</w:t>
      </w:r>
      <w:r>
        <w:rPr>
          <w:rFonts w:hint="eastAsia" w:ascii="仿宋_GB2312" w:eastAsia="仿宋_GB2312"/>
          <w:color w:val="000000"/>
          <w:sz w:val="28"/>
          <w:szCs w:val="28"/>
        </w:rPr>
        <w:t>《房地产估价基本术语标准》；</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、《最高人民法院关于人民法院委托评估、拍卖和变卖工作的若干规定》。</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w:t>
      </w:r>
      <w:r>
        <w:rPr>
          <w:rFonts w:hint="eastAsia" w:ascii="仿宋_GB2312" w:eastAsia="仿宋_GB2312"/>
          <w:color w:val="000000"/>
          <w:sz w:val="28"/>
          <w:szCs w:val="28"/>
        </w:rPr>
        <w:t>三</w:t>
      </w:r>
      <w:r>
        <w:rPr>
          <w:rFonts w:ascii="仿宋_GB2312" w:eastAsia="仿宋_GB2312"/>
          <w:color w:val="000000"/>
          <w:sz w:val="28"/>
          <w:szCs w:val="28"/>
        </w:rPr>
        <w:t>)</w:t>
      </w:r>
      <w:r>
        <w:rPr>
          <w:rFonts w:hint="eastAsia" w:ascii="仿宋_GB2312" w:eastAsia="仿宋_GB2312"/>
          <w:color w:val="000000"/>
          <w:sz w:val="28"/>
          <w:szCs w:val="28"/>
        </w:rPr>
        <w:t>估价委托人提供的有关资料</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w:t>
      </w:r>
      <w:r>
        <w:rPr>
          <w:rFonts w:hint="eastAsia" w:ascii="仿宋_GB2312" w:hAnsi="Plotter" w:eastAsia="仿宋_GB2312"/>
          <w:color w:val="000000"/>
          <w:sz w:val="28"/>
          <w:szCs w:val="28"/>
        </w:rPr>
        <w:t>《司法评估委托书》</w:t>
      </w:r>
      <w:r>
        <w:rPr>
          <w:rFonts w:hint="eastAsia" w:ascii="仿宋_GB2312" w:eastAsia="仿宋_GB2312"/>
          <w:color w:val="000000"/>
          <w:sz w:val="28"/>
          <w:szCs w:val="28"/>
        </w:rPr>
        <w:t>；</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、《国有土地使用证》复印件；</w:t>
      </w:r>
    </w:p>
    <w:p>
      <w:pPr>
        <w:spacing w:line="500" w:lineRule="exact"/>
        <w:ind w:firstLine="560" w:firstLineChars="200"/>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、《房屋所有权证》复印件。</w:t>
      </w:r>
    </w:p>
    <w:p>
      <w:pPr>
        <w:spacing w:line="500" w:lineRule="exact"/>
        <w:ind w:firstLine="560" w:firstLineChars="200"/>
        <w:rPr>
          <w:rFonts w:ascii="仿宋_GB2312" w:hAnsi="Tahoma" w:eastAsia="仿宋_GB2312" w:cs="Tahoma"/>
          <w:color w:val="666666"/>
          <w:kern w:val="0"/>
          <w:sz w:val="28"/>
          <w:szCs w:val="28"/>
        </w:rPr>
      </w:pPr>
      <w:r>
        <w:rPr>
          <w:rFonts w:ascii="仿宋_GB2312" w:eastAsia="仿宋_GB2312"/>
          <w:color w:val="000000"/>
          <w:sz w:val="28"/>
          <w:szCs w:val="28"/>
        </w:rPr>
        <w:t>(</w:t>
      </w:r>
      <w:r>
        <w:rPr>
          <w:rFonts w:hint="eastAsia" w:ascii="仿宋_GB2312" w:eastAsia="仿宋_GB2312"/>
          <w:color w:val="000000"/>
          <w:sz w:val="28"/>
          <w:szCs w:val="28"/>
        </w:rPr>
        <w:t>四</w:t>
      </w:r>
      <w:r>
        <w:rPr>
          <w:rFonts w:ascii="仿宋_GB2312" w:eastAsia="仿宋_GB2312"/>
          <w:color w:val="000000"/>
          <w:sz w:val="28"/>
          <w:szCs w:val="28"/>
        </w:rPr>
        <w:t>)</w:t>
      </w:r>
      <w:r>
        <w:rPr>
          <w:rFonts w:hint="eastAsia" w:ascii="仿宋_GB2312" w:eastAsia="仿宋_GB2312"/>
          <w:color w:val="000000"/>
          <w:sz w:val="28"/>
          <w:szCs w:val="28"/>
        </w:rPr>
        <w:t>房地产估价机构和估价人员所搜集掌握的有关资料</w:t>
      </w:r>
    </w:p>
    <w:p>
      <w:pPr>
        <w:widowControl/>
        <w:spacing w:line="500" w:lineRule="exact"/>
        <w:ind w:firstLine="560" w:firstLineChars="200"/>
        <w:jc w:val="left"/>
        <w:rPr>
          <w:rFonts w:hint="eastAsia" w:ascii="仿宋_GB2312" w:hAnsi="Tahoma" w:eastAsia="仿宋_GB2312" w:cs="Tahoma"/>
          <w:color w:val="000000"/>
          <w:kern w:val="0"/>
          <w:sz w:val="28"/>
          <w:szCs w:val="28"/>
        </w:rPr>
      </w:pPr>
      <w:r>
        <w:rPr>
          <w:rFonts w:ascii="仿宋_GB2312" w:hAnsi="Tahoma" w:eastAsia="仿宋_GB2312" w:cs="Tahoma"/>
          <w:color w:val="000000"/>
          <w:kern w:val="0"/>
          <w:sz w:val="28"/>
          <w:szCs w:val="28"/>
        </w:rPr>
        <w:t>1</w:t>
      </w:r>
      <w:r>
        <w:rPr>
          <w:rFonts w:hint="eastAsia" w:ascii="仿宋_GB2312" w:hAnsi="Tahoma" w:eastAsia="仿宋_GB2312" w:cs="Tahoma"/>
          <w:color w:val="000000"/>
          <w:kern w:val="0"/>
          <w:sz w:val="28"/>
          <w:szCs w:val="28"/>
        </w:rPr>
        <w:t>、估价人员现场实地勘查、搜集和记录、整理的相关资料；</w:t>
      </w:r>
    </w:p>
    <w:p>
      <w:pPr>
        <w:widowControl/>
        <w:spacing w:line="500" w:lineRule="exact"/>
        <w:ind w:firstLine="560" w:firstLineChars="200"/>
        <w:jc w:val="left"/>
        <w:rPr>
          <w:rFonts w:ascii="仿宋_GB2312" w:hAnsi="Tahoma" w:eastAsia="仿宋_GB2312" w:cs="Tahoma"/>
          <w:color w:val="666666"/>
          <w:kern w:val="0"/>
          <w:sz w:val="28"/>
          <w:szCs w:val="28"/>
        </w:rPr>
      </w:pPr>
      <w:r>
        <w:rPr>
          <w:rFonts w:hint="eastAsia" w:ascii="仿宋_GB2312" w:hAnsi="Tahoma" w:eastAsia="仿宋_GB2312" w:cs="Tahoma"/>
          <w:color w:val="000000"/>
          <w:kern w:val="0"/>
          <w:sz w:val="28"/>
          <w:szCs w:val="28"/>
          <w:lang w:val="en-US" w:eastAsia="zh-CN"/>
        </w:rPr>
        <w:t>2</w:t>
      </w:r>
      <w:r>
        <w:rPr>
          <w:rFonts w:hint="eastAsia" w:ascii="仿宋_GB2312" w:hAnsi="Tahoma" w:eastAsia="仿宋_GB2312" w:cs="Tahoma"/>
          <w:color w:val="000000"/>
          <w:kern w:val="0"/>
          <w:sz w:val="28"/>
          <w:szCs w:val="28"/>
        </w:rPr>
        <w:t>、估价人员收集的</w:t>
      </w:r>
      <w:r>
        <w:rPr>
          <w:rFonts w:hint="eastAsia" w:ascii="仿宋_GB2312" w:hAnsi="宋体" w:eastAsia="仿宋_GB2312"/>
          <w:sz w:val="28"/>
          <w:szCs w:val="28"/>
        </w:rPr>
        <w:t>各类建筑的造价</w:t>
      </w:r>
      <w:r>
        <w:rPr>
          <w:rFonts w:hint="eastAsia" w:ascii="仿宋_GB2312" w:hAnsi="Tahoma" w:eastAsia="仿宋_GB2312" w:cs="Tahoma"/>
          <w:color w:val="000000"/>
          <w:kern w:val="0"/>
          <w:sz w:val="28"/>
          <w:szCs w:val="28"/>
        </w:rPr>
        <w:t>等方面资料；</w:t>
      </w:r>
    </w:p>
    <w:p>
      <w:pPr>
        <w:widowControl/>
        <w:spacing w:line="500" w:lineRule="exact"/>
        <w:ind w:firstLine="560" w:firstLineChars="200"/>
        <w:jc w:val="left"/>
        <w:rPr>
          <w:rFonts w:ascii="仿宋_GB2312" w:hAnsi="宋体" w:eastAsia="仿宋_GB2312"/>
          <w:sz w:val="28"/>
          <w:szCs w:val="28"/>
        </w:rPr>
      </w:pPr>
      <w:r>
        <w:rPr>
          <w:rFonts w:hint="eastAsia" w:ascii="仿宋_GB2312" w:hAnsi="Tahoma" w:eastAsia="仿宋_GB2312" w:cs="Tahoma"/>
          <w:color w:val="000000"/>
          <w:kern w:val="0"/>
          <w:sz w:val="28"/>
          <w:szCs w:val="28"/>
          <w:lang w:val="en-US" w:eastAsia="zh-CN"/>
        </w:rPr>
        <w:t>3</w:t>
      </w:r>
      <w:r>
        <w:rPr>
          <w:rFonts w:hint="eastAsia" w:ascii="仿宋_GB2312" w:hAnsi="Tahoma" w:eastAsia="仿宋_GB2312" w:cs="Tahoma"/>
          <w:color w:val="000000"/>
          <w:kern w:val="0"/>
          <w:sz w:val="28"/>
          <w:szCs w:val="28"/>
        </w:rPr>
        <w:t>、本估价机构掌握的房地产市场资料。</w:t>
      </w:r>
    </w:p>
    <w:p>
      <w:pPr>
        <w:pStyle w:val="3"/>
        <w:spacing w:before="0" w:after="0" w:line="500" w:lineRule="exact"/>
        <w:ind w:firstLine="562" w:firstLineChars="200"/>
        <w:rPr>
          <w:rFonts w:ascii="仿宋_GB2312" w:hAnsi="宋体" w:eastAsia="仿宋_GB2312"/>
          <w:sz w:val="28"/>
          <w:szCs w:val="28"/>
        </w:rPr>
      </w:pPr>
      <w:bookmarkStart w:id="18" w:name="_Toc476334917"/>
      <w:r>
        <w:rPr>
          <w:rFonts w:hint="eastAsia" w:ascii="仿宋_GB2312" w:hAnsi="宋体" w:eastAsia="仿宋_GB2312"/>
          <w:sz w:val="28"/>
          <w:szCs w:val="28"/>
        </w:rPr>
        <w:t>八、估价原则</w:t>
      </w:r>
      <w:bookmarkEnd w:id="18"/>
    </w:p>
    <w:p>
      <w:pPr>
        <w:spacing w:line="500" w:lineRule="exact"/>
        <w:ind w:firstLine="560" w:firstLineChars="200"/>
        <w:rPr>
          <w:rFonts w:ascii="仿宋_GB2312" w:eastAsia="仿宋_GB2312"/>
          <w:sz w:val="28"/>
          <w:szCs w:val="28"/>
        </w:rPr>
      </w:pPr>
      <w:r>
        <w:rPr>
          <w:rFonts w:hint="eastAsia" w:ascii="仿宋_GB2312" w:hAnsi="Tahoma" w:eastAsia="仿宋_GB2312" w:cs="Tahoma"/>
          <w:color w:val="000000"/>
          <w:kern w:val="0"/>
          <w:sz w:val="28"/>
          <w:szCs w:val="28"/>
        </w:rPr>
        <w:t>本估价报告在遵循</w:t>
      </w:r>
      <w:r>
        <w:rPr>
          <w:rFonts w:hint="eastAsia" w:ascii="仿宋_GB2312" w:eastAsia="仿宋_GB2312"/>
          <w:sz w:val="28"/>
          <w:szCs w:val="28"/>
        </w:rPr>
        <w:t>客观、独立、公正</w:t>
      </w:r>
      <w:r>
        <w:rPr>
          <w:rFonts w:hint="eastAsia" w:ascii="仿宋_GB2312" w:hAnsi="Tahoma" w:eastAsia="仿宋_GB2312" w:cs="Tahoma"/>
          <w:color w:val="000000"/>
          <w:kern w:val="0"/>
          <w:sz w:val="28"/>
          <w:szCs w:val="28"/>
        </w:rPr>
        <w:t>、科学、合理的基本原则下，结合估价目的对估价对象进行估价。具体依据如下估价原则：</w:t>
      </w:r>
    </w:p>
    <w:p>
      <w:pPr>
        <w:spacing w:line="500" w:lineRule="exact"/>
        <w:ind w:firstLine="536" w:firstLineChars="200"/>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一</w:t>
      </w:r>
      <w:r>
        <w:rPr>
          <w:rFonts w:ascii="仿宋_GB2312" w:hAnsi="仿宋_GB2312" w:eastAsia="仿宋_GB2312" w:cs="仿宋_GB2312"/>
          <w:spacing w:val="-6"/>
          <w:sz w:val="28"/>
          <w:szCs w:val="28"/>
        </w:rPr>
        <w:t>)</w:t>
      </w:r>
      <w:r>
        <w:rPr>
          <w:rFonts w:hint="eastAsia" w:ascii="仿宋_GB2312" w:eastAsia="仿宋_GB2312"/>
          <w:sz w:val="28"/>
          <w:szCs w:val="28"/>
        </w:rPr>
        <w:t>客观、独立、公正原则</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要求站在中立的立场上，实事求是、公平正直地评估出对各方估价利害关系人均是公平合理的价值或价格的原则。</w:t>
      </w:r>
    </w:p>
    <w:p>
      <w:pPr>
        <w:spacing w:line="500" w:lineRule="exact"/>
        <w:ind w:firstLine="536" w:firstLineChars="200"/>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二</w:t>
      </w:r>
      <w:r>
        <w:rPr>
          <w:rFonts w:ascii="仿宋_GB2312" w:hAnsi="仿宋_GB2312" w:eastAsia="仿宋_GB2312" w:cs="仿宋_GB2312"/>
          <w:spacing w:val="-6"/>
          <w:sz w:val="28"/>
          <w:szCs w:val="28"/>
        </w:rPr>
        <w:t>)</w:t>
      </w:r>
      <w:r>
        <w:rPr>
          <w:rFonts w:hint="eastAsia" w:ascii="仿宋_GB2312" w:eastAsia="仿宋_GB2312"/>
          <w:sz w:val="28"/>
          <w:szCs w:val="28"/>
        </w:rPr>
        <w:t>合法原则</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要求估价结果是在依法判定的估价对象状况下的价值或价格的原则。</w:t>
      </w:r>
    </w:p>
    <w:p>
      <w:pPr>
        <w:spacing w:line="500" w:lineRule="exact"/>
        <w:ind w:firstLine="536" w:firstLineChars="200"/>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三</w:t>
      </w:r>
      <w:r>
        <w:rPr>
          <w:rFonts w:ascii="仿宋_GB2312" w:hAnsi="仿宋_GB2312" w:eastAsia="仿宋_GB2312" w:cs="仿宋_GB2312"/>
          <w:spacing w:val="-6"/>
          <w:sz w:val="28"/>
          <w:szCs w:val="28"/>
        </w:rPr>
        <w:t>)</w:t>
      </w:r>
      <w:r>
        <w:rPr>
          <w:rFonts w:hint="eastAsia" w:ascii="仿宋_GB2312" w:eastAsia="仿宋_GB2312"/>
          <w:sz w:val="28"/>
          <w:szCs w:val="28"/>
        </w:rPr>
        <w:t>价值时点原则</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要求估价结果是在根据估价目的确定的某一特定时间的价值或价格的原则。</w:t>
      </w:r>
    </w:p>
    <w:p>
      <w:pPr>
        <w:spacing w:line="500" w:lineRule="exact"/>
        <w:ind w:firstLine="536" w:firstLineChars="200"/>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四</w:t>
      </w:r>
      <w:r>
        <w:rPr>
          <w:rFonts w:ascii="仿宋_GB2312" w:hAnsi="仿宋_GB2312" w:eastAsia="仿宋_GB2312" w:cs="仿宋_GB2312"/>
          <w:spacing w:val="-6"/>
          <w:sz w:val="28"/>
          <w:szCs w:val="28"/>
        </w:rPr>
        <w:t>)</w:t>
      </w:r>
      <w:r>
        <w:rPr>
          <w:rFonts w:hint="eastAsia" w:ascii="仿宋_GB2312" w:eastAsia="仿宋_GB2312"/>
          <w:sz w:val="28"/>
          <w:szCs w:val="28"/>
        </w:rPr>
        <w:t>替代原则</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要求估价结果与估价对象的类似房地产在同等条件下的价值或价格偏差在合理范围内的原则。</w:t>
      </w:r>
    </w:p>
    <w:p>
      <w:pPr>
        <w:spacing w:line="500" w:lineRule="exact"/>
        <w:ind w:firstLine="536" w:firstLineChars="200"/>
        <w:rPr>
          <w:rFonts w:ascii="仿宋_GB2312" w:eastAsia="仿宋_GB2312"/>
          <w:sz w:val="28"/>
          <w:szCs w:val="28"/>
        </w:rPr>
      </w:pPr>
      <w:r>
        <w:rPr>
          <w:rFonts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rPr>
        <w:t>五</w:t>
      </w:r>
      <w:r>
        <w:rPr>
          <w:rFonts w:ascii="仿宋_GB2312" w:hAnsi="仿宋_GB2312" w:eastAsia="仿宋_GB2312" w:cs="仿宋_GB2312"/>
          <w:spacing w:val="-6"/>
          <w:sz w:val="28"/>
          <w:szCs w:val="28"/>
        </w:rPr>
        <w:t>)</w:t>
      </w:r>
      <w:r>
        <w:rPr>
          <w:rFonts w:hint="eastAsia" w:ascii="仿宋_GB2312" w:eastAsia="仿宋_GB2312"/>
          <w:sz w:val="28"/>
          <w:szCs w:val="28"/>
        </w:rPr>
        <w:t>最高最佳利用原则</w:t>
      </w:r>
    </w:p>
    <w:p>
      <w:pPr>
        <w:spacing w:line="500" w:lineRule="exact"/>
        <w:ind w:firstLine="560" w:firstLineChars="200"/>
        <w:rPr>
          <w:rFonts w:ascii="仿宋_GB2312" w:hAnsi="宋体" w:eastAsia="仿宋_GB2312"/>
          <w:sz w:val="28"/>
          <w:szCs w:val="28"/>
        </w:rPr>
      </w:pPr>
      <w:r>
        <w:rPr>
          <w:rFonts w:hint="eastAsia" w:ascii="仿宋_GB2312" w:eastAsia="仿宋_GB2312"/>
          <w:sz w:val="28"/>
          <w:szCs w:val="28"/>
        </w:rPr>
        <w:t>要求估价结果是在估价对象最高最佳利用状况下的价值或价格的原则。最高最佳利用是指房地产在法律上允许、技术上可能、财务上可行并使价值最大的合理、可能的利用，包括最佳的用途、规模、档次等。</w:t>
      </w:r>
    </w:p>
    <w:p>
      <w:pPr>
        <w:pStyle w:val="3"/>
        <w:spacing w:before="0" w:after="0" w:line="500" w:lineRule="exact"/>
        <w:ind w:firstLine="562" w:firstLineChars="200"/>
        <w:rPr>
          <w:rFonts w:ascii="仿宋_GB2312" w:hAnsi="宋体" w:eastAsia="仿宋_GB2312"/>
          <w:sz w:val="28"/>
          <w:szCs w:val="28"/>
        </w:rPr>
      </w:pPr>
      <w:bookmarkStart w:id="19" w:name="_Toc476334918"/>
      <w:r>
        <w:rPr>
          <w:rFonts w:hint="eastAsia" w:ascii="仿宋_GB2312" w:hAnsi="宋体" w:eastAsia="仿宋_GB2312"/>
          <w:sz w:val="28"/>
          <w:szCs w:val="28"/>
        </w:rPr>
        <w:t>九、估价方法</w:t>
      </w:r>
      <w:bookmarkEnd w:id="19"/>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eastAsia="仿宋_GB2312"/>
          <w:sz w:val="28"/>
          <w:szCs w:val="28"/>
        </w:rPr>
        <w:t>根据中华人民共和国国家标准《房地产估价规范》</w:t>
      </w:r>
      <w:r>
        <w:rPr>
          <w:rFonts w:ascii="仿宋_GB2312" w:eastAsia="仿宋_GB2312"/>
          <w:sz w:val="28"/>
          <w:szCs w:val="28"/>
        </w:rPr>
        <w:t>(GB/T50291-2015)</w:t>
      </w:r>
      <w:r>
        <w:rPr>
          <w:rFonts w:hint="eastAsia" w:ascii="仿宋_GB2312" w:eastAsia="仿宋_GB2312"/>
          <w:sz w:val="28"/>
          <w:szCs w:val="28"/>
        </w:rPr>
        <w:t>，</w:t>
      </w:r>
      <w:r>
        <w:rPr>
          <w:rFonts w:hint="eastAsia" w:ascii="仿宋_GB2312" w:hAnsi="宋体" w:eastAsia="仿宋_GB2312"/>
          <w:sz w:val="28"/>
          <w:szCs w:val="28"/>
        </w:rPr>
        <w:t>房地产估价基本方法有比较法、成本法、收益法、假设开发法等，估价人员在认真分析所掌握的资料并对估价对象进行实地查看后，根据估价对象的特点及实际情况，</w:t>
      </w:r>
      <w:r>
        <w:rPr>
          <w:rFonts w:hint="eastAsia" w:ascii="仿宋_GB2312" w:eastAsia="仿宋_GB2312"/>
          <w:sz w:val="28"/>
        </w:rPr>
        <w:t>可对估价对象进行房地分离，对建筑物运用成本法，对土地使用权价格运用比较法进行估价，最后两者加总得到房地产总价值</w:t>
      </w:r>
      <w:r>
        <w:rPr>
          <w:rFonts w:hint="eastAsia" w:ascii="仿宋_GB2312" w:hAnsi="宋体" w:eastAsia="仿宋_GB2312"/>
          <w:sz w:val="28"/>
          <w:szCs w:val="28"/>
        </w:rPr>
        <w:t>。</w:t>
      </w:r>
    </w:p>
    <w:p>
      <w:pPr>
        <w:pageBreakBefore w:val="0"/>
        <w:widowControl w:val="0"/>
        <w:kinsoku/>
        <w:wordWrap/>
        <w:overflowPunct/>
        <w:topLinePunct w:val="0"/>
        <w:autoSpaceDE/>
        <w:autoSpaceDN/>
        <w:bidi w:val="0"/>
        <w:adjustRightInd/>
        <w:snapToGrid/>
        <w:spacing w:line="540" w:lineRule="exact"/>
        <w:ind w:firstLine="571" w:firstLineChars="204"/>
        <w:textAlignment w:val="auto"/>
        <w:rPr>
          <w:rFonts w:ascii="仿宋_GB2312" w:hAnsi="宋体" w:eastAsia="仿宋_GB2312" w:cs="宋体"/>
          <w:kern w:val="0"/>
          <w:sz w:val="28"/>
          <w:szCs w:val="28"/>
        </w:rPr>
      </w:pPr>
      <w:bookmarkStart w:id="20" w:name="_Toc476334919"/>
      <w:r>
        <w:rPr>
          <w:rFonts w:ascii="仿宋_GB2312" w:hAnsi="宋体" w:eastAsia="仿宋_GB2312"/>
          <w:sz w:val="28"/>
          <w:szCs w:val="28"/>
        </w:rPr>
        <w:t>1</w:t>
      </w:r>
      <w:r>
        <w:rPr>
          <w:rFonts w:hint="eastAsia" w:ascii="仿宋_GB2312" w:hAnsi="宋体" w:eastAsia="仿宋_GB2312"/>
          <w:sz w:val="28"/>
          <w:szCs w:val="28"/>
        </w:rPr>
        <w:t>、</w:t>
      </w:r>
      <w:r>
        <w:rPr>
          <w:rFonts w:hint="eastAsia" w:ascii="仿宋_GB2312" w:hAnsi="宋体" w:eastAsia="仿宋_GB2312" w:cs="宋体"/>
          <w:kern w:val="0"/>
          <w:sz w:val="28"/>
          <w:szCs w:val="28"/>
        </w:rPr>
        <w:t>比较法：是指估价对象与在价值时点近期发生过交易的可比实例进行比较，并以这些可比实例的成交价格进行适当处理来求取估价对象价值的方法。</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ascii="仿宋_GB2312" w:hAnsi="宋体" w:eastAsia="仿宋_GB2312" w:cs="宋体"/>
          <w:sz w:val="28"/>
          <w:szCs w:val="28"/>
        </w:rPr>
        <w:t>其计算公式</w:t>
      </w:r>
      <w:r>
        <w:rPr>
          <w:rFonts w:hint="eastAsia" w:ascii="仿宋_GB2312" w:eastAsia="仿宋_GB2312"/>
          <w:sz w:val="28"/>
          <w:szCs w:val="28"/>
        </w:rPr>
        <w:t>：</w:t>
      </w:r>
      <w:r>
        <w:rPr>
          <w:rFonts w:hint="eastAsia" w:ascii="仿宋_GB2312" w:hAnsi="宋体" w:eastAsia="仿宋_GB2312" w:cs="宋体"/>
          <w:sz w:val="28"/>
          <w:szCs w:val="28"/>
        </w:rPr>
        <w:t>估价对象价格</w:t>
      </w:r>
      <w:r>
        <w:rPr>
          <w:rFonts w:ascii="仿宋_GB2312" w:hAnsi="宋体" w:eastAsia="仿宋_GB2312" w:cs="宋体"/>
          <w:sz w:val="28"/>
          <w:szCs w:val="28"/>
        </w:rPr>
        <w:t>=</w:t>
      </w:r>
      <w:r>
        <w:rPr>
          <w:rFonts w:hint="eastAsia" w:ascii="仿宋_GB2312" w:hAnsi="宋体" w:eastAsia="仿宋_GB2312" w:cs="宋体"/>
          <w:sz w:val="28"/>
          <w:szCs w:val="28"/>
        </w:rPr>
        <w:t>可比实例成交价格</w:t>
      </w:r>
      <w:r>
        <w:rPr>
          <w:rFonts w:hint="eastAsia" w:ascii="仿宋_GB2312" w:eastAsia="仿宋_GB2312"/>
          <w:sz w:val="28"/>
          <w:szCs w:val="28"/>
        </w:rPr>
        <w:t>×交易情况修正系数×市场状况调整系数×区域因素修正系数×个别因素修正系数</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eastAsia="仿宋_GB2312"/>
          <w:sz w:val="28"/>
        </w:rPr>
      </w:pPr>
      <w:r>
        <w:rPr>
          <w:rFonts w:ascii="仿宋_GB2312" w:hAnsi="宋体" w:eastAsia="仿宋_GB2312"/>
          <w:sz w:val="28"/>
          <w:szCs w:val="28"/>
        </w:rPr>
        <w:t>2</w:t>
      </w:r>
      <w:r>
        <w:rPr>
          <w:rFonts w:hint="eastAsia" w:ascii="仿宋_GB2312" w:hAnsi="宋体" w:eastAsia="仿宋_GB2312"/>
          <w:sz w:val="28"/>
          <w:szCs w:val="28"/>
        </w:rPr>
        <w:t>、成本法：即以开发或建造估价对象房地产或类似房地产所需要的各项必要成本费用为基础，得出估价对象房地产价格的一种估价方法</w:t>
      </w:r>
      <w:r>
        <w:rPr>
          <w:rFonts w:hint="eastAsia" w:ascii="仿宋_GB2312" w:hAnsi="宋体" w:eastAsia="仿宋_GB2312"/>
          <w:sz w:val="28"/>
        </w:rPr>
        <w:t>。</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sz w:val="28"/>
          <w:szCs w:val="28"/>
        </w:rPr>
      </w:pPr>
      <w:r>
        <w:rPr>
          <w:rFonts w:hint="eastAsia" w:eastAsia="仿宋_GB2312"/>
          <w:sz w:val="28"/>
        </w:rPr>
        <w:t>其计算公式：</w:t>
      </w:r>
      <w:r>
        <w:rPr>
          <w:rFonts w:hint="eastAsia" w:eastAsia="仿宋_GB2312"/>
          <w:sz w:val="28"/>
          <w:lang w:eastAsia="zh-CN"/>
        </w:rPr>
        <w:t>建筑物</w:t>
      </w:r>
      <w:r>
        <w:rPr>
          <w:rFonts w:hint="eastAsia" w:eastAsia="仿宋_GB2312"/>
          <w:sz w:val="28"/>
        </w:rPr>
        <w:t>价格=建筑物重置价×成新率</w:t>
      </w:r>
    </w:p>
    <w:p>
      <w:pPr>
        <w:pStyle w:val="3"/>
        <w:spacing w:before="0" w:after="0" w:line="500" w:lineRule="exact"/>
        <w:ind w:firstLine="562" w:firstLineChars="200"/>
        <w:rPr>
          <w:rFonts w:ascii="仿宋_GB2312" w:hAnsi="宋体" w:eastAsia="仿宋_GB2312"/>
          <w:sz w:val="28"/>
          <w:szCs w:val="28"/>
        </w:rPr>
      </w:pPr>
      <w:r>
        <w:rPr>
          <w:rFonts w:hint="eastAsia" w:ascii="仿宋_GB2312" w:hAnsi="宋体" w:eastAsia="仿宋_GB2312"/>
          <w:sz w:val="28"/>
          <w:szCs w:val="28"/>
        </w:rPr>
        <w:t>十、估价结果</w:t>
      </w:r>
      <w:bookmarkEnd w:id="20"/>
    </w:p>
    <w:p>
      <w:pPr>
        <w:spacing w:line="500" w:lineRule="exact"/>
        <w:ind w:firstLine="560" w:firstLineChars="200"/>
        <w:rPr>
          <w:rFonts w:ascii="仿宋_GB2312" w:hAnsi="宋体" w:eastAsia="仿宋_GB2312" w:cs="宋体"/>
          <w:b/>
          <w:color w:val="000000"/>
          <w:sz w:val="28"/>
          <w:szCs w:val="28"/>
        </w:rPr>
      </w:pPr>
      <w:r>
        <w:rPr>
          <w:rFonts w:hint="eastAsia" w:ascii="仿宋_GB2312" w:eastAsia="仿宋_GB2312"/>
          <w:sz w:val="28"/>
          <w:szCs w:val="28"/>
        </w:rPr>
        <w:t>根据估价目的，</w:t>
      </w:r>
      <w:r>
        <w:rPr>
          <w:rFonts w:hint="eastAsia" w:ascii="仿宋_GB2312" w:hAnsi="宋体" w:eastAsia="仿宋_GB2312" w:cs="宋体"/>
          <w:color w:val="333333"/>
          <w:sz w:val="28"/>
          <w:szCs w:val="28"/>
        </w:rPr>
        <w:t>依据</w:t>
      </w:r>
      <w:r>
        <w:rPr>
          <w:rFonts w:hint="eastAsia" w:ascii="仿宋_GB2312" w:hAnsi="Plotter" w:eastAsia="仿宋_GB2312"/>
          <w:sz w:val="28"/>
          <w:szCs w:val="28"/>
        </w:rPr>
        <w:t>《房地产估价规范》以及有关法律、法规和政策的规定，</w:t>
      </w:r>
      <w:r>
        <w:rPr>
          <w:rFonts w:hint="eastAsia" w:ascii="仿宋_GB2312" w:eastAsia="仿宋_GB2312"/>
          <w:color w:val="000000"/>
          <w:sz w:val="28"/>
          <w:szCs w:val="28"/>
        </w:rPr>
        <w:t>遵循独立、客观、公正、科学的估价原则，</w:t>
      </w:r>
      <w:r>
        <w:rPr>
          <w:rFonts w:hint="eastAsia" w:ascii="仿宋_GB2312" w:hAnsi="Plotter" w:eastAsia="仿宋_GB2312"/>
          <w:color w:val="000000"/>
          <w:sz w:val="28"/>
          <w:szCs w:val="28"/>
        </w:rPr>
        <w:t>按照严谨的估价程序</w:t>
      </w:r>
      <w:r>
        <w:rPr>
          <w:rFonts w:hint="eastAsia" w:ascii="仿宋_GB2312" w:eastAsia="仿宋_GB2312"/>
          <w:color w:val="000000"/>
          <w:sz w:val="28"/>
          <w:szCs w:val="28"/>
        </w:rPr>
        <w:t>，选用适宜的估价方法，</w:t>
      </w:r>
      <w:r>
        <w:rPr>
          <w:rFonts w:hint="eastAsia" w:ascii="仿宋_GB2312" w:hAnsi="Tahoma" w:eastAsia="仿宋_GB2312" w:cs="Tahoma"/>
          <w:color w:val="000000"/>
          <w:kern w:val="0"/>
          <w:sz w:val="28"/>
          <w:szCs w:val="28"/>
        </w:rPr>
        <w:t>并在综合分析各种影响价格因素的基础上，</w:t>
      </w:r>
      <w:r>
        <w:rPr>
          <w:rFonts w:hint="eastAsia" w:ascii="仿宋_GB2312" w:eastAsia="仿宋_GB2312"/>
          <w:color w:val="000000"/>
          <w:sz w:val="28"/>
          <w:szCs w:val="28"/>
        </w:rPr>
        <w:t>经认真测算评定</w:t>
      </w:r>
      <w:r>
        <w:rPr>
          <w:rFonts w:hint="eastAsia" w:ascii="仿宋_GB2312" w:hAnsi="Plotter" w:eastAsia="仿宋_GB2312"/>
          <w:color w:val="000000"/>
          <w:sz w:val="28"/>
          <w:szCs w:val="28"/>
        </w:rPr>
        <w:t>，</w:t>
      </w:r>
      <w:r>
        <w:rPr>
          <w:rFonts w:hint="eastAsia" w:ascii="仿宋_GB2312" w:eastAsia="仿宋_GB2312"/>
          <w:color w:val="000000"/>
          <w:sz w:val="28"/>
          <w:szCs w:val="28"/>
        </w:rPr>
        <w:t>确定</w:t>
      </w:r>
      <w:r>
        <w:rPr>
          <w:rFonts w:hint="eastAsia" w:ascii="仿宋_GB2312" w:hAnsi="Plotter" w:eastAsia="仿宋_GB2312"/>
          <w:color w:val="000000"/>
          <w:sz w:val="28"/>
          <w:szCs w:val="28"/>
        </w:rPr>
        <w:t>估价对象在满足</w:t>
      </w:r>
      <w:r>
        <w:rPr>
          <w:rFonts w:hint="eastAsia" w:ascii="仿宋_GB2312" w:eastAsia="仿宋_GB2312"/>
          <w:color w:val="000000"/>
          <w:sz w:val="28"/>
          <w:szCs w:val="28"/>
        </w:rPr>
        <w:t>本报告估价假设和限制条件下，</w:t>
      </w:r>
      <w:r>
        <w:rPr>
          <w:rFonts w:hint="eastAsia" w:ascii="仿宋_GB2312" w:eastAsia="仿宋_GB2312"/>
          <w:b/>
          <w:color w:val="000000"/>
          <w:sz w:val="28"/>
          <w:szCs w:val="28"/>
        </w:rPr>
        <w:t>于价值时点</w:t>
      </w:r>
      <w:r>
        <w:rPr>
          <w:rFonts w:hint="eastAsia" w:ascii="仿宋_GB2312" w:eastAsia="仿宋_GB2312"/>
          <w:b/>
          <w:color w:val="000000"/>
          <w:sz w:val="28"/>
          <w:szCs w:val="28"/>
          <w:lang w:eastAsia="zh-CN"/>
        </w:rPr>
        <w:t>2019年01月</w:t>
      </w:r>
      <w:r>
        <w:rPr>
          <w:rFonts w:hint="eastAsia" w:ascii="仿宋_GB2312" w:eastAsia="仿宋_GB2312"/>
          <w:b/>
          <w:color w:val="000000"/>
          <w:sz w:val="28"/>
          <w:szCs w:val="28"/>
          <w:lang w:val="en-US" w:eastAsia="zh-CN"/>
        </w:rPr>
        <w:t>30</w:t>
      </w:r>
      <w:r>
        <w:rPr>
          <w:rFonts w:hint="eastAsia" w:ascii="仿宋_GB2312" w:eastAsia="仿宋_GB2312"/>
          <w:b/>
          <w:color w:val="000000"/>
          <w:sz w:val="28"/>
          <w:szCs w:val="28"/>
          <w:lang w:eastAsia="zh-CN"/>
        </w:rPr>
        <w:t>日</w:t>
      </w:r>
      <w:r>
        <w:rPr>
          <w:rFonts w:hint="eastAsia" w:ascii="仿宋_GB2312" w:eastAsia="仿宋_GB2312"/>
          <w:b/>
          <w:color w:val="000000"/>
          <w:sz w:val="28"/>
          <w:szCs w:val="28"/>
        </w:rPr>
        <w:t>的</w:t>
      </w:r>
      <w:r>
        <w:rPr>
          <w:rFonts w:hint="eastAsia" w:ascii="仿宋_GB2312" w:eastAsia="仿宋_GB2312"/>
          <w:b/>
          <w:sz w:val="28"/>
          <w:szCs w:val="28"/>
        </w:rPr>
        <w:t>市场价值为人民币</w:t>
      </w:r>
      <w:r>
        <w:rPr>
          <w:rFonts w:hint="eastAsia" w:ascii="仿宋_GB2312" w:eastAsia="仿宋_GB2312"/>
          <w:b/>
          <w:sz w:val="28"/>
          <w:szCs w:val="28"/>
          <w:lang w:val="en-US" w:eastAsia="zh-CN"/>
        </w:rPr>
        <w:t>148500</w:t>
      </w:r>
      <w:r>
        <w:rPr>
          <w:rFonts w:hint="eastAsia" w:ascii="仿宋_GB2312" w:eastAsia="仿宋_GB2312"/>
          <w:b/>
          <w:sz w:val="28"/>
          <w:szCs w:val="28"/>
          <w:lang w:eastAsia="zh-CN"/>
        </w:rPr>
        <w:t>元</w:t>
      </w:r>
      <w:r>
        <w:rPr>
          <w:rFonts w:hint="eastAsia" w:ascii="仿宋_GB2312" w:eastAsia="仿宋_GB2312"/>
          <w:b/>
          <w:sz w:val="28"/>
          <w:szCs w:val="28"/>
        </w:rPr>
        <w:t>，大写人民币</w:t>
      </w:r>
      <w:r>
        <w:rPr>
          <w:rFonts w:hint="eastAsia" w:ascii="仿宋_GB2312" w:eastAsia="仿宋_GB2312"/>
          <w:b/>
          <w:sz w:val="28"/>
          <w:szCs w:val="28"/>
          <w:lang w:eastAsia="zh-CN"/>
        </w:rPr>
        <w:t>壹拾肆万捌仟伍佰元整</w:t>
      </w:r>
      <w:r>
        <w:rPr>
          <w:rFonts w:hint="eastAsia" w:ascii="仿宋_GB2312" w:hAnsi="Tahoma" w:eastAsia="仿宋_GB2312" w:cs="Tahoma"/>
          <w:b/>
          <w:bCs/>
          <w:color w:val="000000"/>
          <w:kern w:val="0"/>
          <w:sz w:val="28"/>
          <w:szCs w:val="28"/>
        </w:rPr>
        <w:t>。</w:t>
      </w:r>
      <w:r>
        <w:rPr>
          <w:rFonts w:ascii="仿宋_GB2312" w:hAnsi="Tahoma" w:eastAsia="仿宋_GB2312" w:cs="Tahoma"/>
          <w:b/>
          <w:bCs/>
          <w:color w:val="000000"/>
          <w:kern w:val="0"/>
          <w:sz w:val="28"/>
          <w:szCs w:val="28"/>
        </w:rPr>
        <w:t>(</w:t>
      </w:r>
      <w:r>
        <w:rPr>
          <w:rFonts w:hint="eastAsia" w:ascii="仿宋_GB2312" w:hAnsi="Tahoma" w:eastAsia="仿宋_GB2312" w:cs="Tahoma"/>
          <w:b/>
          <w:bCs/>
          <w:color w:val="000000"/>
          <w:kern w:val="0"/>
          <w:sz w:val="28"/>
          <w:szCs w:val="28"/>
        </w:rPr>
        <w:t>转让过程中各种税、费需另行支付</w:t>
      </w:r>
      <w:r>
        <w:rPr>
          <w:rFonts w:ascii="仿宋_GB2312" w:hAnsi="Tahoma" w:eastAsia="仿宋_GB2312" w:cs="Tahoma"/>
          <w:b/>
          <w:bCs/>
          <w:color w:val="000000"/>
          <w:kern w:val="0"/>
          <w:sz w:val="28"/>
          <w:szCs w:val="28"/>
        </w:rPr>
        <w:t>)</w:t>
      </w:r>
      <w:r>
        <w:rPr>
          <w:rFonts w:hint="eastAsia" w:ascii="仿宋_GB2312" w:hAnsi="宋体" w:eastAsia="仿宋_GB2312" w:cs="宋体"/>
          <w:b/>
          <w:color w:val="000000"/>
          <w:sz w:val="28"/>
          <w:szCs w:val="28"/>
        </w:rPr>
        <w:t>。</w:t>
      </w:r>
    </w:p>
    <w:p>
      <w:pPr>
        <w:pStyle w:val="3"/>
        <w:spacing w:before="0" w:after="0" w:line="500" w:lineRule="exact"/>
        <w:ind w:firstLine="562" w:firstLineChars="200"/>
        <w:rPr>
          <w:sz w:val="28"/>
          <w:szCs w:val="28"/>
        </w:rPr>
      </w:pPr>
      <w:bookmarkStart w:id="21" w:name="_Toc157450099"/>
      <w:bookmarkStart w:id="22" w:name="_Toc476334920"/>
      <w:r>
        <w:rPr>
          <w:rFonts w:hint="eastAsia" w:ascii="仿宋_GB2312" w:hAnsi="宋体" w:eastAsia="仿宋_GB2312"/>
          <w:sz w:val="28"/>
          <w:szCs w:val="28"/>
        </w:rPr>
        <w:t>十一、</w:t>
      </w:r>
      <w:bookmarkEnd w:id="21"/>
      <w:r>
        <w:rPr>
          <w:rFonts w:hint="eastAsia" w:ascii="仿宋_GB2312" w:eastAsia="仿宋_GB2312"/>
          <w:sz w:val="28"/>
          <w:szCs w:val="28"/>
        </w:rPr>
        <w:t>注册房地产估价师</w:t>
      </w:r>
      <w:bookmarkEnd w:id="22"/>
    </w:p>
    <w:p>
      <w:pPr>
        <w:spacing w:line="500" w:lineRule="exact"/>
        <w:ind w:firstLine="560" w:firstLineChars="200"/>
        <w:rPr>
          <w:rFonts w:ascii="仿宋_GB2312" w:hAnsi="宋体" w:eastAsia="仿宋_GB2312"/>
          <w:sz w:val="28"/>
          <w:szCs w:val="28"/>
        </w:rPr>
      </w:pPr>
      <w:r>
        <w:rPr>
          <w:rFonts w:hint="eastAsia" w:ascii="仿宋_GB2312" w:hAnsi="仿宋_GB2312" w:eastAsia="仿宋_GB2312" w:cs="仿宋_GB2312"/>
          <w:sz w:val="28"/>
          <w:szCs w:val="28"/>
        </w:rPr>
        <w:t>估价师姓名        注册证书号        签字盖章</w:t>
      </w:r>
    </w:p>
    <w:p>
      <w:pPr>
        <w:spacing w:line="500" w:lineRule="exact"/>
        <w:ind w:firstLine="840" w:firstLineChars="300"/>
        <w:rPr>
          <w:rFonts w:ascii="仿宋_GB2312" w:eastAsia="仿宋_GB2312"/>
          <w:sz w:val="28"/>
          <w:szCs w:val="28"/>
        </w:rPr>
      </w:pPr>
      <w:r>
        <w:rPr>
          <w:rFonts w:hint="eastAsia" w:ascii="仿宋_GB2312" w:eastAsia="仿宋_GB2312"/>
          <w:sz w:val="28"/>
          <w:szCs w:val="28"/>
        </w:rPr>
        <w:t>商芳军</w:t>
      </w:r>
      <w:r>
        <w:rPr>
          <w:rFonts w:ascii="仿宋_GB2312" w:eastAsia="仿宋_GB2312"/>
          <w:sz w:val="28"/>
          <w:szCs w:val="28"/>
        </w:rPr>
        <w:t xml:space="preserve">          3320080036</w:t>
      </w:r>
    </w:p>
    <w:p>
      <w:pPr>
        <w:spacing w:line="500" w:lineRule="exact"/>
        <w:ind w:firstLine="840" w:firstLineChars="300"/>
        <w:rPr>
          <w:rFonts w:ascii="仿宋_GB2312" w:eastAsia="仿宋_GB2312"/>
          <w:sz w:val="28"/>
          <w:szCs w:val="28"/>
        </w:rPr>
      </w:pPr>
    </w:p>
    <w:p>
      <w:pPr>
        <w:spacing w:line="500" w:lineRule="exact"/>
        <w:ind w:firstLine="840" w:firstLineChars="300"/>
        <w:rPr>
          <w:rFonts w:ascii="仿宋_GB2312" w:eastAsia="仿宋_GB2312"/>
          <w:sz w:val="28"/>
          <w:szCs w:val="28"/>
        </w:rPr>
      </w:pPr>
      <w:r>
        <w:rPr>
          <w:rFonts w:hint="eastAsia" w:ascii="仿宋_GB2312" w:eastAsia="仿宋_GB2312"/>
          <w:sz w:val="28"/>
          <w:szCs w:val="28"/>
          <w:lang w:eastAsia="zh-CN"/>
        </w:rPr>
        <w:t>俞小群</w:t>
      </w:r>
      <w:r>
        <w:rPr>
          <w:rFonts w:ascii="仿宋_GB2312" w:eastAsia="仿宋_GB2312"/>
          <w:sz w:val="28"/>
          <w:szCs w:val="28"/>
        </w:rPr>
        <w:t xml:space="preserve">          </w:t>
      </w:r>
      <w:r>
        <w:rPr>
          <w:rFonts w:hint="eastAsia" w:ascii="仿宋_GB2312" w:eastAsia="仿宋_GB2312"/>
          <w:sz w:val="28"/>
          <w:szCs w:val="28"/>
          <w:lang w:eastAsia="zh-CN"/>
        </w:rPr>
        <w:t>3320100028</w:t>
      </w:r>
      <w:r>
        <w:rPr>
          <w:rFonts w:ascii="仿宋_GB2312" w:eastAsia="仿宋_GB2312"/>
          <w:sz w:val="28"/>
          <w:szCs w:val="28"/>
        </w:rPr>
        <w:t xml:space="preserve"> </w:t>
      </w:r>
    </w:p>
    <w:p>
      <w:pPr>
        <w:spacing w:line="500" w:lineRule="exact"/>
        <w:ind w:firstLine="840" w:firstLineChars="300"/>
        <w:rPr>
          <w:rFonts w:ascii="仿宋_GB2312" w:eastAsia="仿宋_GB2312"/>
          <w:sz w:val="28"/>
          <w:szCs w:val="28"/>
        </w:rPr>
      </w:pPr>
    </w:p>
    <w:p>
      <w:pPr>
        <w:pStyle w:val="3"/>
        <w:spacing w:before="0" w:after="0" w:line="500" w:lineRule="exact"/>
        <w:ind w:firstLine="562" w:firstLineChars="200"/>
        <w:rPr>
          <w:rFonts w:ascii="仿宋_GB2312" w:hAnsi="宋体" w:eastAsia="仿宋_GB2312"/>
          <w:sz w:val="28"/>
          <w:szCs w:val="28"/>
        </w:rPr>
      </w:pPr>
      <w:bookmarkStart w:id="23" w:name="_Toc476334921"/>
      <w:r>
        <w:rPr>
          <w:rFonts w:hint="eastAsia" w:ascii="仿宋_GB2312" w:hAnsi="宋体" w:eastAsia="仿宋_GB2312"/>
          <w:sz w:val="28"/>
          <w:szCs w:val="28"/>
        </w:rPr>
        <w:t>十二、估价作业期</w:t>
      </w:r>
      <w:bookmarkEnd w:id="23"/>
    </w:p>
    <w:p>
      <w:pPr>
        <w:spacing w:line="500" w:lineRule="exact"/>
        <w:ind w:firstLine="560" w:firstLineChars="200"/>
        <w:rPr>
          <w:rFonts w:hint="eastAsia" w:ascii="仿宋_GB2312" w:eastAsia="仿宋_GB2312"/>
          <w:sz w:val="28"/>
          <w:szCs w:val="28"/>
          <w:lang w:eastAsia="zh-CN"/>
        </w:rPr>
      </w:pPr>
      <w:r>
        <w:rPr>
          <w:rFonts w:hint="eastAsia" w:ascii="仿宋_GB2312" w:hAnsi="宋体" w:eastAsia="仿宋_GB2312"/>
          <w:sz w:val="28"/>
          <w:szCs w:val="28"/>
          <w:lang w:eastAsia="zh-CN"/>
        </w:rPr>
        <w:t>2019年01月</w:t>
      </w:r>
      <w:r>
        <w:rPr>
          <w:rFonts w:hint="eastAsia" w:ascii="仿宋_GB2312" w:hAnsi="宋体" w:eastAsia="仿宋_GB2312"/>
          <w:sz w:val="28"/>
          <w:szCs w:val="28"/>
          <w:lang w:val="en-US" w:eastAsia="zh-CN"/>
        </w:rPr>
        <w:t>30</w:t>
      </w:r>
      <w:r>
        <w:rPr>
          <w:rFonts w:hint="eastAsia" w:ascii="仿宋_GB2312" w:hAnsi="宋体" w:eastAsia="仿宋_GB2312"/>
          <w:sz w:val="28"/>
          <w:szCs w:val="28"/>
          <w:lang w:eastAsia="zh-CN"/>
        </w:rPr>
        <w:t>日</w:t>
      </w:r>
      <w:r>
        <w:rPr>
          <w:rFonts w:hint="eastAsia" w:ascii="仿宋_GB2312" w:hAnsi="宋体" w:eastAsia="仿宋_GB2312"/>
          <w:sz w:val="28"/>
          <w:szCs w:val="28"/>
        </w:rPr>
        <w:t>至</w:t>
      </w:r>
      <w:r>
        <w:rPr>
          <w:rFonts w:hint="eastAsia" w:ascii="仿宋_GB2312" w:eastAsia="仿宋_GB2312"/>
          <w:sz w:val="28"/>
          <w:szCs w:val="28"/>
          <w:lang w:eastAsia="zh-CN"/>
        </w:rPr>
        <w:t>2019年0</w:t>
      </w:r>
      <w:r>
        <w:rPr>
          <w:rFonts w:hint="eastAsia" w:ascii="仿宋_GB2312" w:eastAsia="仿宋_GB2312"/>
          <w:sz w:val="28"/>
          <w:szCs w:val="28"/>
          <w:lang w:val="en-US" w:eastAsia="zh-CN"/>
        </w:rPr>
        <w:t>3</w:t>
      </w:r>
      <w:r>
        <w:rPr>
          <w:rFonts w:hint="eastAsia" w:ascii="仿宋_GB2312" w:eastAsia="仿宋_GB2312"/>
          <w:sz w:val="28"/>
          <w:szCs w:val="28"/>
          <w:lang w:eastAsia="zh-CN"/>
        </w:rPr>
        <w:t>月</w:t>
      </w:r>
      <w:r>
        <w:rPr>
          <w:rFonts w:hint="eastAsia" w:ascii="仿宋_GB2312" w:eastAsia="仿宋_GB2312"/>
          <w:sz w:val="28"/>
          <w:szCs w:val="28"/>
          <w:lang w:val="en-US" w:eastAsia="zh-CN"/>
        </w:rPr>
        <w:t>18</w:t>
      </w:r>
      <w:r>
        <w:rPr>
          <w:rFonts w:hint="eastAsia" w:ascii="仿宋_GB2312" w:eastAsia="仿宋_GB2312"/>
          <w:sz w:val="28"/>
          <w:szCs w:val="28"/>
          <w:lang w:eastAsia="zh-CN"/>
        </w:rPr>
        <w:t>日</w:t>
      </w:r>
    </w:p>
    <w:p>
      <w:pPr>
        <w:pStyle w:val="3"/>
        <w:spacing w:before="0" w:after="0" w:line="500" w:lineRule="exact"/>
        <w:ind w:firstLine="562" w:firstLineChars="200"/>
        <w:rPr>
          <w:rFonts w:ascii="仿宋_GB2312" w:hAnsi="宋体" w:eastAsia="仿宋_GB2312"/>
          <w:sz w:val="28"/>
          <w:szCs w:val="28"/>
        </w:rPr>
      </w:pPr>
      <w:bookmarkStart w:id="24" w:name="_Toc476334922"/>
      <w:r>
        <w:rPr>
          <w:rFonts w:hint="eastAsia" w:ascii="仿宋_GB2312" w:hAnsi="宋体" w:eastAsia="仿宋_GB2312"/>
          <w:sz w:val="28"/>
          <w:szCs w:val="28"/>
        </w:rPr>
        <w:t>十三、估价报告应用的有效期</w:t>
      </w:r>
      <w:bookmarkEnd w:id="24"/>
    </w:p>
    <w:p>
      <w:pPr>
        <w:pStyle w:val="12"/>
        <w:tabs>
          <w:tab w:val="left" w:pos="180"/>
          <w:tab w:val="left" w:pos="1080"/>
        </w:tabs>
        <w:spacing w:line="500" w:lineRule="exact"/>
        <w:ind w:right="28" w:firstLine="560" w:firstLineChars="200"/>
        <w:rPr>
          <w:rFonts w:hint="eastAsia" w:hAnsi="宋体"/>
          <w:sz w:val="28"/>
          <w:szCs w:val="28"/>
        </w:rPr>
      </w:pPr>
      <w:r>
        <w:rPr>
          <w:rFonts w:hint="eastAsia" w:hAnsi="宋体"/>
          <w:sz w:val="28"/>
          <w:szCs w:val="28"/>
        </w:rPr>
        <w:t>估价结果自本估价报告提交之日起壹年内有效，即从</w:t>
      </w:r>
      <w:r>
        <w:rPr>
          <w:rFonts w:hint="eastAsia" w:hAnsi="宋体"/>
          <w:sz w:val="28"/>
          <w:szCs w:val="28"/>
          <w:lang w:eastAsia="zh-CN"/>
        </w:rPr>
        <w:t>2019年0</w:t>
      </w:r>
      <w:r>
        <w:rPr>
          <w:rFonts w:hint="eastAsia" w:hAnsi="宋体"/>
          <w:sz w:val="28"/>
          <w:szCs w:val="28"/>
          <w:lang w:val="en-US" w:eastAsia="zh-CN"/>
        </w:rPr>
        <w:t>3</w:t>
      </w:r>
      <w:r>
        <w:rPr>
          <w:rFonts w:hint="eastAsia" w:hAnsi="宋体"/>
          <w:sz w:val="28"/>
          <w:szCs w:val="28"/>
          <w:lang w:eastAsia="zh-CN"/>
        </w:rPr>
        <w:t>月</w:t>
      </w:r>
      <w:r>
        <w:rPr>
          <w:rFonts w:hint="eastAsia" w:hAnsi="宋体"/>
          <w:sz w:val="28"/>
          <w:szCs w:val="28"/>
          <w:lang w:val="en-US" w:eastAsia="zh-CN"/>
        </w:rPr>
        <w:t>18</w:t>
      </w:r>
      <w:r>
        <w:rPr>
          <w:rFonts w:hint="eastAsia" w:hAnsi="宋体"/>
          <w:sz w:val="28"/>
          <w:szCs w:val="28"/>
          <w:lang w:eastAsia="zh-CN"/>
        </w:rPr>
        <w:t>日</w:t>
      </w:r>
      <w:r>
        <w:rPr>
          <w:rFonts w:hint="eastAsia" w:hAnsi="宋体"/>
          <w:sz w:val="28"/>
          <w:szCs w:val="28"/>
        </w:rPr>
        <w:t>至</w:t>
      </w:r>
      <w:r>
        <w:rPr>
          <w:rFonts w:hAnsi="宋体"/>
          <w:sz w:val="28"/>
          <w:szCs w:val="28"/>
        </w:rPr>
        <w:t>20</w:t>
      </w:r>
      <w:r>
        <w:rPr>
          <w:rFonts w:hint="eastAsia" w:hAnsi="宋体"/>
          <w:sz w:val="28"/>
          <w:szCs w:val="28"/>
          <w:lang w:val="en-US" w:eastAsia="zh-CN"/>
        </w:rPr>
        <w:t>20</w:t>
      </w:r>
      <w:r>
        <w:rPr>
          <w:rFonts w:hint="eastAsia" w:hAnsi="宋体"/>
          <w:sz w:val="28"/>
          <w:szCs w:val="28"/>
        </w:rPr>
        <w:t>年</w:t>
      </w:r>
      <w:r>
        <w:rPr>
          <w:rFonts w:hint="eastAsia" w:hAnsi="宋体"/>
          <w:sz w:val="28"/>
          <w:szCs w:val="28"/>
          <w:lang w:val="en-US" w:eastAsia="zh-CN"/>
        </w:rPr>
        <w:t>03</w:t>
      </w:r>
      <w:r>
        <w:rPr>
          <w:rFonts w:hint="eastAsia" w:hAnsi="宋体"/>
          <w:sz w:val="28"/>
          <w:szCs w:val="28"/>
        </w:rPr>
        <w:t>月</w:t>
      </w:r>
      <w:r>
        <w:rPr>
          <w:rFonts w:hint="eastAsia" w:hAnsi="宋体"/>
          <w:sz w:val="28"/>
          <w:szCs w:val="28"/>
          <w:lang w:val="en-US" w:eastAsia="zh-CN"/>
        </w:rPr>
        <w:t>17</w:t>
      </w:r>
      <w:r>
        <w:rPr>
          <w:rFonts w:hint="eastAsia" w:hAnsi="宋体"/>
          <w:sz w:val="28"/>
          <w:szCs w:val="28"/>
        </w:rPr>
        <w:t>日。</w:t>
      </w:r>
    </w:p>
    <w:p>
      <w:pPr>
        <w:pStyle w:val="12"/>
        <w:tabs>
          <w:tab w:val="left" w:pos="180"/>
          <w:tab w:val="left" w:pos="1080"/>
        </w:tabs>
        <w:spacing w:line="500" w:lineRule="exact"/>
        <w:ind w:right="28" w:firstLine="560" w:firstLineChars="200"/>
        <w:rPr>
          <w:rFonts w:hint="eastAsia" w:hAnsi="宋体"/>
          <w:sz w:val="28"/>
          <w:szCs w:val="28"/>
        </w:rPr>
      </w:pPr>
    </w:p>
    <w:p>
      <w:pPr>
        <w:pStyle w:val="12"/>
        <w:tabs>
          <w:tab w:val="left" w:pos="180"/>
          <w:tab w:val="left" w:pos="1080"/>
        </w:tabs>
        <w:spacing w:line="500" w:lineRule="exact"/>
        <w:ind w:left="0" w:leftChars="0" w:right="28" w:firstLine="0" w:firstLineChars="0"/>
        <w:rPr>
          <w:rFonts w:hint="eastAsia" w:hAnsi="宋体"/>
          <w:sz w:val="28"/>
          <w:szCs w:val="28"/>
        </w:rPr>
      </w:pPr>
    </w:p>
    <w:p>
      <w:pPr>
        <w:pStyle w:val="12"/>
        <w:tabs>
          <w:tab w:val="left" w:pos="180"/>
          <w:tab w:val="left" w:pos="1080"/>
        </w:tabs>
        <w:spacing w:line="500" w:lineRule="exact"/>
        <w:ind w:left="0" w:leftChars="0" w:right="28" w:firstLine="0" w:firstLineChars="0"/>
        <w:rPr>
          <w:rFonts w:hint="eastAsia" w:hAnsi="宋体"/>
          <w:sz w:val="28"/>
          <w:szCs w:val="28"/>
        </w:rPr>
      </w:pPr>
    </w:p>
    <w:p>
      <w:pPr>
        <w:pStyle w:val="12"/>
        <w:tabs>
          <w:tab w:val="left" w:pos="180"/>
          <w:tab w:val="left" w:pos="1080"/>
        </w:tabs>
        <w:spacing w:line="500" w:lineRule="exact"/>
        <w:ind w:left="0" w:leftChars="0" w:right="28" w:firstLine="0" w:firstLineChars="0"/>
        <w:rPr>
          <w:rFonts w:hint="eastAsia" w:hAnsi="宋体"/>
          <w:sz w:val="28"/>
          <w:szCs w:val="28"/>
        </w:rPr>
      </w:pPr>
    </w:p>
    <w:p>
      <w:pPr>
        <w:pStyle w:val="12"/>
        <w:tabs>
          <w:tab w:val="left" w:pos="180"/>
          <w:tab w:val="left" w:pos="1080"/>
        </w:tabs>
        <w:spacing w:line="500" w:lineRule="exact"/>
        <w:ind w:left="0" w:leftChars="0" w:right="28" w:firstLine="0" w:firstLineChars="0"/>
        <w:rPr>
          <w:rFonts w:hint="eastAsia" w:hAnsi="宋体"/>
          <w:sz w:val="28"/>
          <w:szCs w:val="28"/>
        </w:rPr>
      </w:pPr>
    </w:p>
    <w:p>
      <w:pPr>
        <w:pStyle w:val="12"/>
        <w:tabs>
          <w:tab w:val="left" w:pos="180"/>
          <w:tab w:val="left" w:pos="1080"/>
        </w:tabs>
        <w:spacing w:line="500" w:lineRule="exact"/>
        <w:ind w:left="0" w:leftChars="0" w:right="28" w:firstLine="0" w:firstLineChars="0"/>
        <w:rPr>
          <w:rFonts w:hint="eastAsia" w:hAnsi="宋体"/>
          <w:sz w:val="28"/>
          <w:szCs w:val="28"/>
        </w:rPr>
      </w:pPr>
    </w:p>
    <w:p>
      <w:pPr>
        <w:pStyle w:val="12"/>
        <w:tabs>
          <w:tab w:val="left" w:pos="180"/>
          <w:tab w:val="left" w:pos="1080"/>
        </w:tabs>
        <w:spacing w:line="500" w:lineRule="exact"/>
        <w:ind w:left="0" w:leftChars="0" w:right="28" w:firstLine="0" w:firstLineChars="0"/>
        <w:rPr>
          <w:rFonts w:hint="eastAsia" w:hAnsi="宋体"/>
          <w:sz w:val="28"/>
          <w:szCs w:val="28"/>
        </w:rPr>
      </w:pPr>
    </w:p>
    <w:p>
      <w:pPr>
        <w:pStyle w:val="2"/>
        <w:spacing w:before="0" w:after="0" w:line="480" w:lineRule="auto"/>
        <w:jc w:val="center"/>
        <w:rPr>
          <w:rFonts w:ascii="仿宋_GB2312" w:hAnsi="宋体" w:eastAsia="仿宋_GB2312"/>
        </w:rPr>
      </w:pPr>
      <w:bookmarkStart w:id="25" w:name="_Toc476334923"/>
      <w:r>
        <w:rPr>
          <w:rFonts w:hint="eastAsia" w:ascii="仿宋_GB2312" w:hAnsi="宋体" w:eastAsia="仿宋_GB2312"/>
        </w:rPr>
        <w:t>附件</w:t>
      </w:r>
      <w:bookmarkEnd w:id="25"/>
    </w:p>
    <w:p>
      <w:pPr>
        <w:spacing w:line="500" w:lineRule="exact"/>
        <w:rPr>
          <w:rFonts w:ascii="仿宋_GB2312" w:hAnsi="宋体" w:eastAsia="仿宋_GB2312"/>
          <w:sz w:val="28"/>
          <w:szCs w:val="28"/>
        </w:rPr>
      </w:pP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一、《司法评估委托书》复印件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二、《国有土地使用证》、《房屋所有权证》复印件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三、估价对象实景图</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lang w:eastAsia="zh-CN"/>
        </w:rPr>
        <w:t>四</w:t>
      </w:r>
      <w:r>
        <w:rPr>
          <w:rFonts w:hint="eastAsia" w:ascii="仿宋_GB2312" w:hAnsi="宋体" w:eastAsia="仿宋_GB2312"/>
          <w:sz w:val="28"/>
          <w:szCs w:val="28"/>
        </w:rPr>
        <w:t>、估价对象位置示意图</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lang w:eastAsia="zh-CN"/>
        </w:rPr>
        <w:t>五</w:t>
      </w:r>
      <w:r>
        <w:rPr>
          <w:rFonts w:hint="eastAsia" w:ascii="仿宋_GB2312" w:hAnsi="宋体" w:eastAsia="仿宋_GB2312"/>
          <w:sz w:val="28"/>
          <w:szCs w:val="28"/>
        </w:rPr>
        <w:t>、估价机构营业执照复印件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lang w:eastAsia="zh-CN"/>
        </w:rPr>
        <w:t>六</w:t>
      </w:r>
      <w:r>
        <w:rPr>
          <w:rFonts w:hint="eastAsia" w:ascii="仿宋_GB2312" w:hAnsi="宋体" w:eastAsia="仿宋_GB2312"/>
          <w:sz w:val="28"/>
          <w:szCs w:val="28"/>
        </w:rPr>
        <w:t>、估价机构资格证书复印件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lang w:eastAsia="zh-CN"/>
        </w:rPr>
        <w:t>七</w:t>
      </w:r>
      <w:r>
        <w:rPr>
          <w:rFonts w:hint="eastAsia" w:ascii="仿宋_GB2312" w:hAnsi="宋体" w:eastAsia="仿宋_GB2312"/>
          <w:sz w:val="28"/>
          <w:szCs w:val="28"/>
        </w:rPr>
        <w:t>、估价师资格证书复印件</w:t>
      </w:r>
    </w:p>
    <w:sectPr>
      <w:headerReference r:id="rId10" w:type="default"/>
      <w:footerReference r:id="rId11" w:type="default"/>
      <w:pgSz w:w="11906" w:h="16838"/>
      <w:pgMar w:top="1418" w:right="1134" w:bottom="1247" w:left="1418" w:header="851" w:footer="992" w:gutter="0"/>
      <w:pgNumType w:start="1"/>
      <w:cols w:space="425"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Plotter">
    <w:altName w:val="Tahoma"/>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jc w:val="center"/>
      <w:rPr>
        <w:rStyle w:val="26"/>
      </w:rPr>
    </w:pPr>
  </w:p>
  <w:p>
    <w:pPr>
      <w:pStyle w:val="14"/>
      <w:framePr w:wrap="around" w:vAnchor="text" w:hAnchor="margin" w:xAlign="center" w:y="1"/>
      <w:rPr>
        <w:rStyle w:val="26"/>
      </w:rPr>
    </w:pP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6"/>
      </w:rPr>
    </w:pPr>
    <w:r>
      <w:rPr>
        <w:rStyle w:val="26"/>
      </w:rPr>
      <w:fldChar w:fldCharType="begin"/>
    </w:r>
    <w:r>
      <w:rPr>
        <w:rStyle w:val="26"/>
      </w:rPr>
      <w:instrText xml:space="preserve">PAGE  </w:instrText>
    </w:r>
    <w:r>
      <w:rPr>
        <w:rStyle w:val="26"/>
      </w:rPr>
      <w:fldChar w:fldCharType="separate"/>
    </w:r>
    <w:r>
      <w:rPr>
        <w:rStyle w:val="26"/>
      </w:rPr>
      <w:t>10</w:t>
    </w:r>
    <w:r>
      <w:rPr>
        <w:rStyle w:val="26"/>
      </w:rP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pict>
        <v:line id="_x0000_s4098" o:spid="_x0000_s4098" o:spt="20" style="position:absolute;left:0pt;margin-left:0pt;margin-top:4.75pt;height:0pt;width:426.7pt;z-index:251660288;mso-width-relative:page;mso-height-relative:page;" coordsize="21600,21600">
          <v:path arrowok="t"/>
          <v:fill focussize="0,0"/>
          <v:stroke weight="4.5pt" linestyle="thinThick"/>
          <v:imagedata o:title=""/>
          <o:lock v:ext="edit"/>
        </v:line>
      </w:pict>
    </w:r>
  </w:p>
  <w:p>
    <w:pPr>
      <w:pStyle w:val="14"/>
      <w:framePr w:wrap="around" w:vAnchor="text" w:hAnchor="page" w:x="10236" w:y="118"/>
      <w:rPr>
        <w:rStyle w:val="26"/>
        <w:rFonts w:ascii="Arial Black" w:hAnsi="Arial Black"/>
        <w:sz w:val="28"/>
      </w:rPr>
    </w:pPr>
    <w:r>
      <w:rPr>
        <w:rStyle w:val="26"/>
        <w:rFonts w:ascii="Arial Black" w:hAnsi="Arial Black"/>
        <w:sz w:val="28"/>
      </w:rPr>
      <w:fldChar w:fldCharType="begin"/>
    </w:r>
    <w:r>
      <w:rPr>
        <w:rStyle w:val="26"/>
        <w:rFonts w:ascii="Arial Black" w:hAnsi="Arial Black"/>
        <w:sz w:val="28"/>
      </w:rPr>
      <w:instrText xml:space="preserve">PAGE  </w:instrText>
    </w:r>
    <w:r>
      <w:rPr>
        <w:rStyle w:val="26"/>
        <w:rFonts w:ascii="Arial Black" w:hAnsi="Arial Black"/>
        <w:sz w:val="28"/>
      </w:rPr>
      <w:fldChar w:fldCharType="separate"/>
    </w:r>
    <w:r>
      <w:rPr>
        <w:rStyle w:val="26"/>
        <w:rFonts w:ascii="Arial Black" w:hAnsi="Arial Black"/>
        <w:sz w:val="28"/>
      </w:rPr>
      <w:t>11</w:t>
    </w:r>
    <w:r>
      <w:rPr>
        <w:rStyle w:val="26"/>
        <w:rFonts w:ascii="Arial Black" w:hAnsi="Arial Black"/>
        <w:sz w:val="28"/>
      </w:rPr>
      <w:fldChar w:fldCharType="end"/>
    </w:r>
  </w:p>
  <w:p>
    <w:pPr>
      <w:pStyle w:val="14"/>
      <w:ind w:right="360"/>
      <w:rPr>
        <w:rFonts w:eastAsia="仿宋_GB2312"/>
        <w:sz w:val="21"/>
      </w:rPr>
    </w:pPr>
    <w:r>
      <w:rPr>
        <w:rFonts w:hint="eastAsia" w:eastAsia="仿宋_GB2312"/>
        <w:sz w:val="21"/>
      </w:rPr>
      <w:t>金华市华诚房地产土地评估有限责任公司邮编：</w:t>
    </w:r>
    <w:r>
      <w:rPr>
        <w:rFonts w:eastAsia="仿宋_GB2312"/>
        <w:sz w:val="21"/>
      </w:rPr>
      <w:t>321000</w:t>
    </w:r>
  </w:p>
  <w:p>
    <w:pPr>
      <w:pStyle w:val="14"/>
      <w:ind w:right="360"/>
      <w:rPr>
        <w:rFonts w:hint="eastAsia" w:eastAsia="仿宋_GB2312"/>
        <w:sz w:val="21"/>
        <w:lang w:eastAsia="zh-CN"/>
      </w:rPr>
    </w:pPr>
    <w:r>
      <w:rPr>
        <w:rFonts w:hint="eastAsia" w:eastAsia="仿宋_GB2312"/>
        <w:sz w:val="21"/>
      </w:rPr>
      <w:t>电话号码：</w:t>
    </w:r>
    <w:r>
      <w:rPr>
        <w:rFonts w:eastAsia="仿宋_GB2312"/>
        <w:sz w:val="21"/>
      </w:rPr>
      <w:t>0579-82335185</w:t>
    </w:r>
    <w:r>
      <w:rPr>
        <w:rFonts w:hint="eastAsia" w:eastAsia="仿宋_GB2312"/>
        <w:sz w:val="21"/>
      </w:rPr>
      <w:t>、</w:t>
    </w:r>
    <w:r>
      <w:rPr>
        <w:rFonts w:eastAsia="仿宋_GB2312"/>
        <w:sz w:val="21"/>
      </w:rPr>
      <w:t xml:space="preserve">82336909        </w:t>
    </w:r>
    <w:r>
      <w:rPr>
        <w:rFonts w:hint="eastAsia" w:eastAsia="仿宋_GB2312"/>
        <w:sz w:val="21"/>
      </w:rPr>
      <w:t>地址：金华市中山路</w:t>
    </w:r>
    <w:r>
      <w:rPr>
        <w:rFonts w:eastAsia="仿宋_GB2312"/>
        <w:sz w:val="21"/>
      </w:rPr>
      <w:t>36</w:t>
    </w:r>
    <w:r>
      <w:rPr>
        <w:rFonts w:hint="eastAsia" w:eastAsia="仿宋_GB2312"/>
        <w:sz w:val="21"/>
      </w:rPr>
      <w:t>号</w:t>
    </w:r>
    <w:r>
      <w:rPr>
        <w:rFonts w:hint="eastAsia" w:eastAsia="仿宋_GB2312"/>
        <w:sz w:val="21"/>
        <w:lang w:eastAsia="zh-CN"/>
      </w:rPr>
      <w:t>(</w:t>
    </w:r>
    <w:r>
      <w:rPr>
        <w:rFonts w:hint="eastAsia" w:eastAsia="仿宋_GB2312"/>
        <w:sz w:val="21"/>
      </w:rPr>
      <w:t>金师附小隔壁</w:t>
    </w:r>
    <w:r>
      <w:rPr>
        <w:rFonts w:hint="eastAsia" w:eastAsia="仿宋_GB2312"/>
        <w:sz w:val="21"/>
        <w:lang w:eastAsia="zh-CN"/>
      </w:rPr>
      <w:t>)</w:t>
    </w:r>
  </w:p>
  <w:p>
    <w:pPr>
      <w:pStyle w:val="14"/>
      <w:ind w:right="360"/>
      <w:rPr>
        <w:rFonts w:eastAsia="仿宋_GB2312"/>
        <w:sz w:val="21"/>
      </w:rPr>
    </w:pPr>
    <w:r>
      <w:rPr>
        <w:rFonts w:hint="eastAsia" w:eastAsia="仿宋_GB2312"/>
        <w:sz w:val="21"/>
      </w:rPr>
      <w:t>传真号码：</w:t>
    </w:r>
    <w:r>
      <w:rPr>
        <w:rFonts w:eastAsia="仿宋_GB2312"/>
        <w:sz w:val="21"/>
      </w:rPr>
      <w:t>0579-82336908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w:pict>
        <v:line id="_x0000_s4097" o:spid="_x0000_s4097" o:spt="20" style="position:absolute;left:0pt;margin-left:0pt;margin-top:4.75pt;height:0pt;width:426.7pt;z-index:251660288;mso-width-relative:page;mso-height-relative:page;" coordsize="21600,21600">
          <v:path arrowok="t"/>
          <v:fill focussize="0,0"/>
          <v:stroke weight="4.5pt" linestyle="thinThick"/>
          <v:imagedata o:title=""/>
          <o:lock v:ext="edit"/>
        </v:line>
      </w:pict>
    </w:r>
  </w:p>
  <w:p>
    <w:pPr>
      <w:pStyle w:val="14"/>
      <w:framePr w:wrap="around" w:vAnchor="text" w:hAnchor="page" w:x="10236" w:y="118"/>
      <w:rPr>
        <w:rStyle w:val="26"/>
        <w:rFonts w:ascii="Arial Black" w:hAnsi="Arial Black"/>
        <w:sz w:val="28"/>
      </w:rPr>
    </w:pPr>
    <w:r>
      <w:rPr>
        <w:rStyle w:val="26"/>
        <w:rFonts w:ascii="Arial Black" w:hAnsi="Arial Black"/>
        <w:sz w:val="28"/>
      </w:rPr>
      <w:fldChar w:fldCharType="begin"/>
    </w:r>
    <w:r>
      <w:rPr>
        <w:rStyle w:val="26"/>
        <w:rFonts w:ascii="Arial Black" w:hAnsi="Arial Black"/>
        <w:sz w:val="28"/>
      </w:rPr>
      <w:instrText xml:space="preserve">PAGE  </w:instrText>
    </w:r>
    <w:r>
      <w:rPr>
        <w:rStyle w:val="26"/>
        <w:rFonts w:ascii="Arial Black" w:hAnsi="Arial Black"/>
        <w:sz w:val="28"/>
      </w:rPr>
      <w:fldChar w:fldCharType="separate"/>
    </w:r>
    <w:r>
      <w:rPr>
        <w:rStyle w:val="26"/>
        <w:rFonts w:ascii="Arial Black" w:hAnsi="Arial Black"/>
        <w:sz w:val="28"/>
      </w:rPr>
      <w:t>11</w:t>
    </w:r>
    <w:r>
      <w:rPr>
        <w:rStyle w:val="26"/>
        <w:rFonts w:ascii="Arial Black" w:hAnsi="Arial Black"/>
        <w:sz w:val="28"/>
      </w:rPr>
      <w:fldChar w:fldCharType="end"/>
    </w:r>
  </w:p>
  <w:p>
    <w:pPr>
      <w:pStyle w:val="14"/>
      <w:ind w:right="360"/>
      <w:rPr>
        <w:rFonts w:eastAsia="仿宋_GB2312"/>
        <w:sz w:val="21"/>
      </w:rPr>
    </w:pPr>
    <w:r>
      <w:rPr>
        <w:rFonts w:hint="eastAsia" w:eastAsia="仿宋_GB2312"/>
        <w:sz w:val="21"/>
      </w:rPr>
      <w:t>金华市华诚房地产土地评估有限责任公司邮编：</w:t>
    </w:r>
    <w:r>
      <w:rPr>
        <w:rFonts w:eastAsia="仿宋_GB2312"/>
        <w:sz w:val="21"/>
      </w:rPr>
      <w:t>321000</w:t>
    </w:r>
  </w:p>
  <w:p>
    <w:pPr>
      <w:pStyle w:val="14"/>
      <w:ind w:right="360"/>
      <w:rPr>
        <w:rFonts w:hint="eastAsia" w:eastAsia="仿宋_GB2312"/>
        <w:sz w:val="21"/>
        <w:lang w:eastAsia="zh-CN"/>
      </w:rPr>
    </w:pPr>
    <w:r>
      <w:rPr>
        <w:rFonts w:hint="eastAsia" w:eastAsia="仿宋_GB2312"/>
        <w:sz w:val="21"/>
      </w:rPr>
      <w:t>电话号码：</w:t>
    </w:r>
    <w:r>
      <w:rPr>
        <w:rFonts w:eastAsia="仿宋_GB2312"/>
        <w:sz w:val="21"/>
      </w:rPr>
      <w:t>0579-82335185</w:t>
    </w:r>
    <w:r>
      <w:rPr>
        <w:rFonts w:hint="eastAsia" w:eastAsia="仿宋_GB2312"/>
        <w:sz w:val="21"/>
      </w:rPr>
      <w:t>、</w:t>
    </w:r>
    <w:r>
      <w:rPr>
        <w:rFonts w:eastAsia="仿宋_GB2312"/>
        <w:sz w:val="21"/>
      </w:rPr>
      <w:t xml:space="preserve">82336909        </w:t>
    </w:r>
    <w:r>
      <w:rPr>
        <w:rFonts w:hint="eastAsia" w:eastAsia="仿宋_GB2312"/>
        <w:sz w:val="21"/>
      </w:rPr>
      <w:t>地址：金华市中山路</w:t>
    </w:r>
    <w:r>
      <w:rPr>
        <w:rFonts w:eastAsia="仿宋_GB2312"/>
        <w:sz w:val="21"/>
      </w:rPr>
      <w:t>36</w:t>
    </w:r>
    <w:r>
      <w:rPr>
        <w:rFonts w:hint="eastAsia" w:eastAsia="仿宋_GB2312"/>
        <w:sz w:val="21"/>
      </w:rPr>
      <w:t>号</w:t>
    </w:r>
    <w:r>
      <w:rPr>
        <w:rFonts w:hint="eastAsia" w:eastAsia="仿宋_GB2312"/>
        <w:sz w:val="21"/>
        <w:lang w:eastAsia="zh-CN"/>
      </w:rPr>
      <w:t>(</w:t>
    </w:r>
    <w:r>
      <w:rPr>
        <w:rFonts w:hint="eastAsia" w:eastAsia="仿宋_GB2312"/>
        <w:sz w:val="21"/>
      </w:rPr>
      <w:t>金师附小隔壁</w:t>
    </w:r>
    <w:r>
      <w:rPr>
        <w:rFonts w:hint="eastAsia" w:eastAsia="仿宋_GB2312"/>
        <w:sz w:val="21"/>
        <w:lang w:eastAsia="zh-CN"/>
      </w:rPr>
      <w:t>)</w:t>
    </w:r>
  </w:p>
  <w:p>
    <w:pPr>
      <w:pStyle w:val="14"/>
      <w:ind w:right="360"/>
      <w:rPr>
        <w:rFonts w:eastAsia="仿宋_GB2312"/>
        <w:sz w:val="21"/>
      </w:rPr>
    </w:pPr>
    <w:r>
      <w:rPr>
        <w:rFonts w:hint="eastAsia" w:eastAsia="仿宋_GB2312"/>
        <w:sz w:val="21"/>
      </w:rPr>
      <w:t>传真号码：</w:t>
    </w:r>
    <w:r>
      <w:rPr>
        <w:rFonts w:eastAsia="仿宋_GB2312"/>
        <w:sz w:val="21"/>
      </w:rPr>
      <w:t>0579-82336908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632" w:leftChars="301" w:firstLine="7110" w:firstLineChars="3950"/>
      <w:jc w:val="both"/>
      <w:rPr>
        <w:rFonts w:ascii="仿宋_GB2312" w:hAnsi="宋体" w:eastAsia="仿宋_GB2312"/>
        <w:iCs/>
      </w:rPr>
    </w:pPr>
    <w:r>
      <w:rPr>
        <w:rFonts w:hint="eastAsia" w:ascii="仿宋_GB2312" w:hAnsi="宋体" w:eastAsia="仿宋_GB2312"/>
        <w:iCs/>
      </w:rPr>
      <w:t>华诚·估价报告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632" w:leftChars="301" w:firstLine="7110" w:firstLineChars="3950"/>
      <w:jc w:val="both"/>
      <w:rPr>
        <w:rFonts w:ascii="仿宋_GB2312" w:hAnsi="宋体" w:eastAsia="仿宋_GB2312"/>
        <w:iCs/>
      </w:rPr>
    </w:pPr>
    <w:r>
      <w:rPr>
        <w:rFonts w:hint="eastAsia" w:ascii="仿宋_GB2312" w:hAnsi="宋体" w:eastAsia="仿宋_GB2312"/>
        <w:iCs/>
      </w:rPr>
      <w:t>华诚·估价报告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EAEA"/>
    <w:multiLevelType w:val="singleLevel"/>
    <w:tmpl w:val="2980EAEA"/>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6137B"/>
    <w:rsid w:val="00002155"/>
    <w:rsid w:val="00002F8F"/>
    <w:rsid w:val="00005473"/>
    <w:rsid w:val="000056D8"/>
    <w:rsid w:val="00010D7C"/>
    <w:rsid w:val="0001218C"/>
    <w:rsid w:val="00014A6A"/>
    <w:rsid w:val="00015241"/>
    <w:rsid w:val="00020FAA"/>
    <w:rsid w:val="0002366B"/>
    <w:rsid w:val="00024417"/>
    <w:rsid w:val="0002615F"/>
    <w:rsid w:val="00032944"/>
    <w:rsid w:val="00032C25"/>
    <w:rsid w:val="000333AF"/>
    <w:rsid w:val="00033C68"/>
    <w:rsid w:val="00034666"/>
    <w:rsid w:val="00035762"/>
    <w:rsid w:val="00044214"/>
    <w:rsid w:val="00052BD4"/>
    <w:rsid w:val="0005410D"/>
    <w:rsid w:val="000548B6"/>
    <w:rsid w:val="00055573"/>
    <w:rsid w:val="00056F49"/>
    <w:rsid w:val="0006137B"/>
    <w:rsid w:val="00061473"/>
    <w:rsid w:val="0006536D"/>
    <w:rsid w:val="00065875"/>
    <w:rsid w:val="00065B8A"/>
    <w:rsid w:val="000717E1"/>
    <w:rsid w:val="00071CF9"/>
    <w:rsid w:val="000728D4"/>
    <w:rsid w:val="000729F3"/>
    <w:rsid w:val="00075670"/>
    <w:rsid w:val="00077302"/>
    <w:rsid w:val="00083787"/>
    <w:rsid w:val="0008438A"/>
    <w:rsid w:val="00085F78"/>
    <w:rsid w:val="00087103"/>
    <w:rsid w:val="00090E7D"/>
    <w:rsid w:val="000968AA"/>
    <w:rsid w:val="00097E55"/>
    <w:rsid w:val="000A2F7A"/>
    <w:rsid w:val="000A431D"/>
    <w:rsid w:val="000B022A"/>
    <w:rsid w:val="000B2958"/>
    <w:rsid w:val="000B5040"/>
    <w:rsid w:val="000B61BE"/>
    <w:rsid w:val="000C0421"/>
    <w:rsid w:val="000C3304"/>
    <w:rsid w:val="000D2AF8"/>
    <w:rsid w:val="000D30A8"/>
    <w:rsid w:val="000D4038"/>
    <w:rsid w:val="000D4DC4"/>
    <w:rsid w:val="000E1560"/>
    <w:rsid w:val="000E1A3D"/>
    <w:rsid w:val="000E20E3"/>
    <w:rsid w:val="000E5BBB"/>
    <w:rsid w:val="000F2068"/>
    <w:rsid w:val="000F3B80"/>
    <w:rsid w:val="000F49B7"/>
    <w:rsid w:val="000F6BAE"/>
    <w:rsid w:val="000F71B3"/>
    <w:rsid w:val="000F796B"/>
    <w:rsid w:val="001008AE"/>
    <w:rsid w:val="0010128F"/>
    <w:rsid w:val="001061CB"/>
    <w:rsid w:val="00106B14"/>
    <w:rsid w:val="0011038C"/>
    <w:rsid w:val="001137A4"/>
    <w:rsid w:val="001142C1"/>
    <w:rsid w:val="00115DFD"/>
    <w:rsid w:val="00116E0E"/>
    <w:rsid w:val="00116F38"/>
    <w:rsid w:val="00121D64"/>
    <w:rsid w:val="001250EA"/>
    <w:rsid w:val="00125756"/>
    <w:rsid w:val="00126CDB"/>
    <w:rsid w:val="00127B12"/>
    <w:rsid w:val="001308A7"/>
    <w:rsid w:val="00130B24"/>
    <w:rsid w:val="001333E0"/>
    <w:rsid w:val="001339BD"/>
    <w:rsid w:val="0013475E"/>
    <w:rsid w:val="00134786"/>
    <w:rsid w:val="0013575C"/>
    <w:rsid w:val="00141987"/>
    <w:rsid w:val="00142040"/>
    <w:rsid w:val="00142D45"/>
    <w:rsid w:val="001502C2"/>
    <w:rsid w:val="00150C4C"/>
    <w:rsid w:val="00151D9D"/>
    <w:rsid w:val="00152047"/>
    <w:rsid w:val="00154DD8"/>
    <w:rsid w:val="001562B2"/>
    <w:rsid w:val="00156892"/>
    <w:rsid w:val="001576E2"/>
    <w:rsid w:val="00157B02"/>
    <w:rsid w:val="00161DA3"/>
    <w:rsid w:val="001630A0"/>
    <w:rsid w:val="001728FC"/>
    <w:rsid w:val="0017362F"/>
    <w:rsid w:val="00175A9C"/>
    <w:rsid w:val="00175E1A"/>
    <w:rsid w:val="00177FB1"/>
    <w:rsid w:val="00180450"/>
    <w:rsid w:val="00184FA4"/>
    <w:rsid w:val="00185AAF"/>
    <w:rsid w:val="00186CA3"/>
    <w:rsid w:val="0018777E"/>
    <w:rsid w:val="00192B68"/>
    <w:rsid w:val="001962AB"/>
    <w:rsid w:val="001A2310"/>
    <w:rsid w:val="001A4482"/>
    <w:rsid w:val="001A6D9A"/>
    <w:rsid w:val="001B41E5"/>
    <w:rsid w:val="001B4286"/>
    <w:rsid w:val="001B4C01"/>
    <w:rsid w:val="001B6585"/>
    <w:rsid w:val="001B79DC"/>
    <w:rsid w:val="001B7F04"/>
    <w:rsid w:val="001D0531"/>
    <w:rsid w:val="001D2444"/>
    <w:rsid w:val="001D2478"/>
    <w:rsid w:val="001D24FA"/>
    <w:rsid w:val="001D42EE"/>
    <w:rsid w:val="001E0692"/>
    <w:rsid w:val="001E0994"/>
    <w:rsid w:val="001E1230"/>
    <w:rsid w:val="001E12E6"/>
    <w:rsid w:val="001E160F"/>
    <w:rsid w:val="001E18AB"/>
    <w:rsid w:val="001E1D06"/>
    <w:rsid w:val="001E1E55"/>
    <w:rsid w:val="001E2BBD"/>
    <w:rsid w:val="001E6635"/>
    <w:rsid w:val="001E6EA2"/>
    <w:rsid w:val="001F5CFE"/>
    <w:rsid w:val="001F7445"/>
    <w:rsid w:val="001F7CEA"/>
    <w:rsid w:val="00201447"/>
    <w:rsid w:val="0020210E"/>
    <w:rsid w:val="002042EB"/>
    <w:rsid w:val="00204C25"/>
    <w:rsid w:val="00212706"/>
    <w:rsid w:val="00212C1F"/>
    <w:rsid w:val="002141AA"/>
    <w:rsid w:val="0021441C"/>
    <w:rsid w:val="00217D2E"/>
    <w:rsid w:val="0022399D"/>
    <w:rsid w:val="0023006C"/>
    <w:rsid w:val="00231EEC"/>
    <w:rsid w:val="00234A77"/>
    <w:rsid w:val="00235FB4"/>
    <w:rsid w:val="0023762E"/>
    <w:rsid w:val="002377EC"/>
    <w:rsid w:val="00242522"/>
    <w:rsid w:val="002438AB"/>
    <w:rsid w:val="00246B0F"/>
    <w:rsid w:val="00247585"/>
    <w:rsid w:val="0025054A"/>
    <w:rsid w:val="00252DF7"/>
    <w:rsid w:val="002550CC"/>
    <w:rsid w:val="002574DE"/>
    <w:rsid w:val="002577EC"/>
    <w:rsid w:val="00257DCB"/>
    <w:rsid w:val="00260956"/>
    <w:rsid w:val="002636CC"/>
    <w:rsid w:val="00270F09"/>
    <w:rsid w:val="002753C6"/>
    <w:rsid w:val="00277CEE"/>
    <w:rsid w:val="00282E9D"/>
    <w:rsid w:val="00283435"/>
    <w:rsid w:val="002843B4"/>
    <w:rsid w:val="00286270"/>
    <w:rsid w:val="00287A23"/>
    <w:rsid w:val="00293B65"/>
    <w:rsid w:val="00293D87"/>
    <w:rsid w:val="00294B67"/>
    <w:rsid w:val="002A22D5"/>
    <w:rsid w:val="002A2686"/>
    <w:rsid w:val="002B05AF"/>
    <w:rsid w:val="002B18F4"/>
    <w:rsid w:val="002B777C"/>
    <w:rsid w:val="002C2749"/>
    <w:rsid w:val="002D0FCA"/>
    <w:rsid w:val="002D1BAB"/>
    <w:rsid w:val="002D1DA8"/>
    <w:rsid w:val="002D39E8"/>
    <w:rsid w:val="002D785A"/>
    <w:rsid w:val="002E2093"/>
    <w:rsid w:val="002E688B"/>
    <w:rsid w:val="002F0FA0"/>
    <w:rsid w:val="002F48D4"/>
    <w:rsid w:val="002F4DCC"/>
    <w:rsid w:val="002F6768"/>
    <w:rsid w:val="002F780D"/>
    <w:rsid w:val="002F7931"/>
    <w:rsid w:val="00301B97"/>
    <w:rsid w:val="00324EDA"/>
    <w:rsid w:val="003301D3"/>
    <w:rsid w:val="00331AE9"/>
    <w:rsid w:val="00336B44"/>
    <w:rsid w:val="00341251"/>
    <w:rsid w:val="003420AD"/>
    <w:rsid w:val="003425D7"/>
    <w:rsid w:val="0034776B"/>
    <w:rsid w:val="0035285C"/>
    <w:rsid w:val="003555F6"/>
    <w:rsid w:val="00356664"/>
    <w:rsid w:val="0035760C"/>
    <w:rsid w:val="00360ECF"/>
    <w:rsid w:val="003626CB"/>
    <w:rsid w:val="0036279F"/>
    <w:rsid w:val="00364091"/>
    <w:rsid w:val="00372364"/>
    <w:rsid w:val="003726ED"/>
    <w:rsid w:val="00372B21"/>
    <w:rsid w:val="00372C31"/>
    <w:rsid w:val="00375359"/>
    <w:rsid w:val="0037742C"/>
    <w:rsid w:val="00377704"/>
    <w:rsid w:val="00377D7E"/>
    <w:rsid w:val="003831A2"/>
    <w:rsid w:val="0038320E"/>
    <w:rsid w:val="00383E7F"/>
    <w:rsid w:val="00385687"/>
    <w:rsid w:val="003864D5"/>
    <w:rsid w:val="00387525"/>
    <w:rsid w:val="00391EBA"/>
    <w:rsid w:val="003939B4"/>
    <w:rsid w:val="00396420"/>
    <w:rsid w:val="003A3E9C"/>
    <w:rsid w:val="003A4651"/>
    <w:rsid w:val="003A4DAC"/>
    <w:rsid w:val="003A6C4C"/>
    <w:rsid w:val="003B01CA"/>
    <w:rsid w:val="003B122B"/>
    <w:rsid w:val="003B1767"/>
    <w:rsid w:val="003B1D1B"/>
    <w:rsid w:val="003B6581"/>
    <w:rsid w:val="003C03F9"/>
    <w:rsid w:val="003C0CAF"/>
    <w:rsid w:val="003C105E"/>
    <w:rsid w:val="003C2AAF"/>
    <w:rsid w:val="003C3443"/>
    <w:rsid w:val="003C4BC6"/>
    <w:rsid w:val="003C7986"/>
    <w:rsid w:val="003D190A"/>
    <w:rsid w:val="003D6C2F"/>
    <w:rsid w:val="003D7872"/>
    <w:rsid w:val="003E58B6"/>
    <w:rsid w:val="003F1F94"/>
    <w:rsid w:val="003F4950"/>
    <w:rsid w:val="003F5D3C"/>
    <w:rsid w:val="00401E14"/>
    <w:rsid w:val="004028A0"/>
    <w:rsid w:val="004033B6"/>
    <w:rsid w:val="0040759A"/>
    <w:rsid w:val="00412861"/>
    <w:rsid w:val="0041624B"/>
    <w:rsid w:val="00420042"/>
    <w:rsid w:val="00420826"/>
    <w:rsid w:val="004209F6"/>
    <w:rsid w:val="00424CB9"/>
    <w:rsid w:val="0042719A"/>
    <w:rsid w:val="0042755F"/>
    <w:rsid w:val="00427756"/>
    <w:rsid w:val="00427996"/>
    <w:rsid w:val="00427B4B"/>
    <w:rsid w:val="00433EC5"/>
    <w:rsid w:val="004342B5"/>
    <w:rsid w:val="004351C4"/>
    <w:rsid w:val="00440BF4"/>
    <w:rsid w:val="0044647D"/>
    <w:rsid w:val="004469A4"/>
    <w:rsid w:val="00446D0D"/>
    <w:rsid w:val="004515C3"/>
    <w:rsid w:val="00452354"/>
    <w:rsid w:val="00454803"/>
    <w:rsid w:val="00455A60"/>
    <w:rsid w:val="00464846"/>
    <w:rsid w:val="00464E45"/>
    <w:rsid w:val="00467665"/>
    <w:rsid w:val="00470A32"/>
    <w:rsid w:val="00471C43"/>
    <w:rsid w:val="004741D6"/>
    <w:rsid w:val="00477C18"/>
    <w:rsid w:val="00477E56"/>
    <w:rsid w:val="00480841"/>
    <w:rsid w:val="00486C25"/>
    <w:rsid w:val="00487F4F"/>
    <w:rsid w:val="00490132"/>
    <w:rsid w:val="00490461"/>
    <w:rsid w:val="00491C6B"/>
    <w:rsid w:val="00492068"/>
    <w:rsid w:val="004930CF"/>
    <w:rsid w:val="004A08D3"/>
    <w:rsid w:val="004A1510"/>
    <w:rsid w:val="004A30BF"/>
    <w:rsid w:val="004A4CE3"/>
    <w:rsid w:val="004A5E67"/>
    <w:rsid w:val="004B2877"/>
    <w:rsid w:val="004B3482"/>
    <w:rsid w:val="004B4B7E"/>
    <w:rsid w:val="004B5B8F"/>
    <w:rsid w:val="004C0113"/>
    <w:rsid w:val="004C5ACE"/>
    <w:rsid w:val="004C722E"/>
    <w:rsid w:val="004C7328"/>
    <w:rsid w:val="004D1077"/>
    <w:rsid w:val="004D12DA"/>
    <w:rsid w:val="004D1DDD"/>
    <w:rsid w:val="004D1F55"/>
    <w:rsid w:val="004D3537"/>
    <w:rsid w:val="004D45D7"/>
    <w:rsid w:val="004D6332"/>
    <w:rsid w:val="004D6F75"/>
    <w:rsid w:val="004E4712"/>
    <w:rsid w:val="004E634E"/>
    <w:rsid w:val="004E7A80"/>
    <w:rsid w:val="004F1759"/>
    <w:rsid w:val="004F1B00"/>
    <w:rsid w:val="004F270D"/>
    <w:rsid w:val="00500FE0"/>
    <w:rsid w:val="0050573A"/>
    <w:rsid w:val="00506102"/>
    <w:rsid w:val="00515689"/>
    <w:rsid w:val="005160F0"/>
    <w:rsid w:val="00523C4B"/>
    <w:rsid w:val="00526503"/>
    <w:rsid w:val="005317F6"/>
    <w:rsid w:val="00532BA8"/>
    <w:rsid w:val="00534EBE"/>
    <w:rsid w:val="0053755A"/>
    <w:rsid w:val="005376B9"/>
    <w:rsid w:val="00537EF4"/>
    <w:rsid w:val="00542D46"/>
    <w:rsid w:val="00546BB1"/>
    <w:rsid w:val="00546DBA"/>
    <w:rsid w:val="00547D46"/>
    <w:rsid w:val="005550A4"/>
    <w:rsid w:val="005552D3"/>
    <w:rsid w:val="00561ABA"/>
    <w:rsid w:val="00562F9F"/>
    <w:rsid w:val="00565B87"/>
    <w:rsid w:val="00567595"/>
    <w:rsid w:val="00567BAF"/>
    <w:rsid w:val="00570FB7"/>
    <w:rsid w:val="00575DA0"/>
    <w:rsid w:val="005768B9"/>
    <w:rsid w:val="00576AE6"/>
    <w:rsid w:val="00576D61"/>
    <w:rsid w:val="00577477"/>
    <w:rsid w:val="00586E1E"/>
    <w:rsid w:val="0059031A"/>
    <w:rsid w:val="00592BE9"/>
    <w:rsid w:val="0059393B"/>
    <w:rsid w:val="00593987"/>
    <w:rsid w:val="00595C61"/>
    <w:rsid w:val="00596531"/>
    <w:rsid w:val="005A4896"/>
    <w:rsid w:val="005A4CC4"/>
    <w:rsid w:val="005A60FA"/>
    <w:rsid w:val="005B1B20"/>
    <w:rsid w:val="005B1BE2"/>
    <w:rsid w:val="005B2792"/>
    <w:rsid w:val="005B58B2"/>
    <w:rsid w:val="005B6F39"/>
    <w:rsid w:val="005B7188"/>
    <w:rsid w:val="005C03C8"/>
    <w:rsid w:val="005C22E0"/>
    <w:rsid w:val="005C3772"/>
    <w:rsid w:val="005C4EC4"/>
    <w:rsid w:val="005C743F"/>
    <w:rsid w:val="005C759A"/>
    <w:rsid w:val="005D3E62"/>
    <w:rsid w:val="005D552B"/>
    <w:rsid w:val="005D6027"/>
    <w:rsid w:val="005E0D5C"/>
    <w:rsid w:val="005E22C5"/>
    <w:rsid w:val="005E36A8"/>
    <w:rsid w:val="005E372A"/>
    <w:rsid w:val="005E6DDD"/>
    <w:rsid w:val="005E706A"/>
    <w:rsid w:val="005F14B3"/>
    <w:rsid w:val="005F24D4"/>
    <w:rsid w:val="005F2999"/>
    <w:rsid w:val="005F2DDE"/>
    <w:rsid w:val="005F3177"/>
    <w:rsid w:val="005F4B04"/>
    <w:rsid w:val="005F583C"/>
    <w:rsid w:val="005F60E8"/>
    <w:rsid w:val="00605D74"/>
    <w:rsid w:val="006078B9"/>
    <w:rsid w:val="00611576"/>
    <w:rsid w:val="0061220F"/>
    <w:rsid w:val="006123A0"/>
    <w:rsid w:val="00612599"/>
    <w:rsid w:val="00615CA7"/>
    <w:rsid w:val="00617DD6"/>
    <w:rsid w:val="00621D0E"/>
    <w:rsid w:val="00625611"/>
    <w:rsid w:val="0062676D"/>
    <w:rsid w:val="006271F4"/>
    <w:rsid w:val="00627956"/>
    <w:rsid w:val="00627C74"/>
    <w:rsid w:val="00630A78"/>
    <w:rsid w:val="006339F8"/>
    <w:rsid w:val="0063551A"/>
    <w:rsid w:val="00635C92"/>
    <w:rsid w:val="00637E75"/>
    <w:rsid w:val="006401DF"/>
    <w:rsid w:val="00643226"/>
    <w:rsid w:val="00646044"/>
    <w:rsid w:val="00655205"/>
    <w:rsid w:val="00655CD8"/>
    <w:rsid w:val="00660DFD"/>
    <w:rsid w:val="0066133F"/>
    <w:rsid w:val="0066249E"/>
    <w:rsid w:val="00665F8D"/>
    <w:rsid w:val="0067123D"/>
    <w:rsid w:val="00671AB2"/>
    <w:rsid w:val="00675137"/>
    <w:rsid w:val="0067628B"/>
    <w:rsid w:val="006808AF"/>
    <w:rsid w:val="00683519"/>
    <w:rsid w:val="00686B06"/>
    <w:rsid w:val="0069152B"/>
    <w:rsid w:val="00692219"/>
    <w:rsid w:val="00692CF4"/>
    <w:rsid w:val="00693C7F"/>
    <w:rsid w:val="00697653"/>
    <w:rsid w:val="00697B86"/>
    <w:rsid w:val="006A2C89"/>
    <w:rsid w:val="006A5C5F"/>
    <w:rsid w:val="006A6DA1"/>
    <w:rsid w:val="006A6E70"/>
    <w:rsid w:val="006A7BF5"/>
    <w:rsid w:val="006B03C8"/>
    <w:rsid w:val="006B0C24"/>
    <w:rsid w:val="006B0D9D"/>
    <w:rsid w:val="006B13CA"/>
    <w:rsid w:val="006B3A49"/>
    <w:rsid w:val="006B3A67"/>
    <w:rsid w:val="006B46C1"/>
    <w:rsid w:val="006B55C7"/>
    <w:rsid w:val="006B68A7"/>
    <w:rsid w:val="006B74FE"/>
    <w:rsid w:val="006B7879"/>
    <w:rsid w:val="006C5772"/>
    <w:rsid w:val="006D1E1C"/>
    <w:rsid w:val="006D4F01"/>
    <w:rsid w:val="006D78C1"/>
    <w:rsid w:val="006E5A46"/>
    <w:rsid w:val="006E6E4D"/>
    <w:rsid w:val="006E77C0"/>
    <w:rsid w:val="006F6934"/>
    <w:rsid w:val="00707237"/>
    <w:rsid w:val="007177A0"/>
    <w:rsid w:val="00722B0B"/>
    <w:rsid w:val="007324AC"/>
    <w:rsid w:val="0073281E"/>
    <w:rsid w:val="007378E9"/>
    <w:rsid w:val="007401E5"/>
    <w:rsid w:val="00741B4B"/>
    <w:rsid w:val="00743F81"/>
    <w:rsid w:val="0074512F"/>
    <w:rsid w:val="00747F48"/>
    <w:rsid w:val="0075065C"/>
    <w:rsid w:val="007526D4"/>
    <w:rsid w:val="007547A9"/>
    <w:rsid w:val="00754F3A"/>
    <w:rsid w:val="00761161"/>
    <w:rsid w:val="0076204C"/>
    <w:rsid w:val="00764E37"/>
    <w:rsid w:val="007732D4"/>
    <w:rsid w:val="007735A8"/>
    <w:rsid w:val="007756C8"/>
    <w:rsid w:val="00777C97"/>
    <w:rsid w:val="007814E0"/>
    <w:rsid w:val="007835EF"/>
    <w:rsid w:val="007835F7"/>
    <w:rsid w:val="00783F5B"/>
    <w:rsid w:val="00792456"/>
    <w:rsid w:val="007A0173"/>
    <w:rsid w:val="007A142F"/>
    <w:rsid w:val="007A1ACB"/>
    <w:rsid w:val="007A3D4F"/>
    <w:rsid w:val="007A4494"/>
    <w:rsid w:val="007A79CC"/>
    <w:rsid w:val="007B10A5"/>
    <w:rsid w:val="007B2712"/>
    <w:rsid w:val="007B6149"/>
    <w:rsid w:val="007B6328"/>
    <w:rsid w:val="007C171D"/>
    <w:rsid w:val="007C2661"/>
    <w:rsid w:val="007C4621"/>
    <w:rsid w:val="007C6881"/>
    <w:rsid w:val="007C7BC1"/>
    <w:rsid w:val="007D315E"/>
    <w:rsid w:val="007D37F6"/>
    <w:rsid w:val="007D4425"/>
    <w:rsid w:val="007D4BE6"/>
    <w:rsid w:val="007D7083"/>
    <w:rsid w:val="007D74F1"/>
    <w:rsid w:val="007E28DE"/>
    <w:rsid w:val="007E3BF1"/>
    <w:rsid w:val="007E647F"/>
    <w:rsid w:val="007F1447"/>
    <w:rsid w:val="007F1798"/>
    <w:rsid w:val="007F45AF"/>
    <w:rsid w:val="007F45E4"/>
    <w:rsid w:val="007F481A"/>
    <w:rsid w:val="007F53B6"/>
    <w:rsid w:val="007F5F89"/>
    <w:rsid w:val="007F653F"/>
    <w:rsid w:val="008010E1"/>
    <w:rsid w:val="0080436B"/>
    <w:rsid w:val="008047F5"/>
    <w:rsid w:val="0080667B"/>
    <w:rsid w:val="008071EA"/>
    <w:rsid w:val="0080727A"/>
    <w:rsid w:val="008201D0"/>
    <w:rsid w:val="00822C85"/>
    <w:rsid w:val="00824E89"/>
    <w:rsid w:val="008252C6"/>
    <w:rsid w:val="00832F36"/>
    <w:rsid w:val="00835839"/>
    <w:rsid w:val="00836940"/>
    <w:rsid w:val="00840688"/>
    <w:rsid w:val="0084082D"/>
    <w:rsid w:val="008423CD"/>
    <w:rsid w:val="00844C4A"/>
    <w:rsid w:val="0084568E"/>
    <w:rsid w:val="00846E08"/>
    <w:rsid w:val="00847AB5"/>
    <w:rsid w:val="00850AB7"/>
    <w:rsid w:val="00853D87"/>
    <w:rsid w:val="0085513E"/>
    <w:rsid w:val="00855620"/>
    <w:rsid w:val="00855F60"/>
    <w:rsid w:val="00855FB2"/>
    <w:rsid w:val="00855FB9"/>
    <w:rsid w:val="00856553"/>
    <w:rsid w:val="00856963"/>
    <w:rsid w:val="00856A5A"/>
    <w:rsid w:val="00856B9B"/>
    <w:rsid w:val="0086059A"/>
    <w:rsid w:val="008658D8"/>
    <w:rsid w:val="00865A5F"/>
    <w:rsid w:val="00866EC5"/>
    <w:rsid w:val="00871666"/>
    <w:rsid w:val="00872FA1"/>
    <w:rsid w:val="00876596"/>
    <w:rsid w:val="0087707E"/>
    <w:rsid w:val="008801A5"/>
    <w:rsid w:val="00883090"/>
    <w:rsid w:val="00884367"/>
    <w:rsid w:val="00887D03"/>
    <w:rsid w:val="008924E3"/>
    <w:rsid w:val="00893DAF"/>
    <w:rsid w:val="008948D5"/>
    <w:rsid w:val="00895854"/>
    <w:rsid w:val="008A2C87"/>
    <w:rsid w:val="008A4B8C"/>
    <w:rsid w:val="008A5783"/>
    <w:rsid w:val="008A5F8F"/>
    <w:rsid w:val="008A72BC"/>
    <w:rsid w:val="008A731B"/>
    <w:rsid w:val="008B1B69"/>
    <w:rsid w:val="008B2722"/>
    <w:rsid w:val="008B6D94"/>
    <w:rsid w:val="008C12EB"/>
    <w:rsid w:val="008C232E"/>
    <w:rsid w:val="008C3424"/>
    <w:rsid w:val="008C3A1D"/>
    <w:rsid w:val="008C3AF4"/>
    <w:rsid w:val="008D09DF"/>
    <w:rsid w:val="008D0A25"/>
    <w:rsid w:val="008D4A47"/>
    <w:rsid w:val="008D5245"/>
    <w:rsid w:val="008D5DA2"/>
    <w:rsid w:val="008D67FE"/>
    <w:rsid w:val="008E050D"/>
    <w:rsid w:val="008E31CF"/>
    <w:rsid w:val="008E3517"/>
    <w:rsid w:val="008E4DA0"/>
    <w:rsid w:val="008E6423"/>
    <w:rsid w:val="008E6C38"/>
    <w:rsid w:val="008F659C"/>
    <w:rsid w:val="00903C15"/>
    <w:rsid w:val="009100C1"/>
    <w:rsid w:val="009106D8"/>
    <w:rsid w:val="009130E0"/>
    <w:rsid w:val="00914316"/>
    <w:rsid w:val="00914F1F"/>
    <w:rsid w:val="0092232C"/>
    <w:rsid w:val="0092303F"/>
    <w:rsid w:val="00926133"/>
    <w:rsid w:val="00936488"/>
    <w:rsid w:val="00936AD3"/>
    <w:rsid w:val="00940684"/>
    <w:rsid w:val="009417C5"/>
    <w:rsid w:val="00941E44"/>
    <w:rsid w:val="00941FFE"/>
    <w:rsid w:val="00943643"/>
    <w:rsid w:val="00944431"/>
    <w:rsid w:val="0094502E"/>
    <w:rsid w:val="009472FB"/>
    <w:rsid w:val="0094788C"/>
    <w:rsid w:val="00951D43"/>
    <w:rsid w:val="009523D7"/>
    <w:rsid w:val="00952909"/>
    <w:rsid w:val="009536A9"/>
    <w:rsid w:val="00955D82"/>
    <w:rsid w:val="0095685B"/>
    <w:rsid w:val="0096040F"/>
    <w:rsid w:val="00960955"/>
    <w:rsid w:val="00962A48"/>
    <w:rsid w:val="00962D3D"/>
    <w:rsid w:val="009633F2"/>
    <w:rsid w:val="009642D7"/>
    <w:rsid w:val="00964934"/>
    <w:rsid w:val="009655A3"/>
    <w:rsid w:val="00965BA5"/>
    <w:rsid w:val="00971B7E"/>
    <w:rsid w:val="00971FB8"/>
    <w:rsid w:val="009769A2"/>
    <w:rsid w:val="00977F7E"/>
    <w:rsid w:val="00982296"/>
    <w:rsid w:val="009824FA"/>
    <w:rsid w:val="00984C1F"/>
    <w:rsid w:val="0098513B"/>
    <w:rsid w:val="0099316D"/>
    <w:rsid w:val="00994349"/>
    <w:rsid w:val="0099537D"/>
    <w:rsid w:val="00995A7B"/>
    <w:rsid w:val="009965D6"/>
    <w:rsid w:val="009B341C"/>
    <w:rsid w:val="009B4176"/>
    <w:rsid w:val="009B46C2"/>
    <w:rsid w:val="009B5141"/>
    <w:rsid w:val="009B6C9D"/>
    <w:rsid w:val="009C0818"/>
    <w:rsid w:val="009C4987"/>
    <w:rsid w:val="009C5011"/>
    <w:rsid w:val="009C6724"/>
    <w:rsid w:val="009C74ED"/>
    <w:rsid w:val="009D0039"/>
    <w:rsid w:val="009D291A"/>
    <w:rsid w:val="009D31DD"/>
    <w:rsid w:val="009D4710"/>
    <w:rsid w:val="009D50F8"/>
    <w:rsid w:val="009D607B"/>
    <w:rsid w:val="009D6ADC"/>
    <w:rsid w:val="009D7FB3"/>
    <w:rsid w:val="009E1172"/>
    <w:rsid w:val="009E1FD6"/>
    <w:rsid w:val="009E496C"/>
    <w:rsid w:val="009E4D24"/>
    <w:rsid w:val="009E52E9"/>
    <w:rsid w:val="009F261F"/>
    <w:rsid w:val="009F50F3"/>
    <w:rsid w:val="009F6007"/>
    <w:rsid w:val="009F6899"/>
    <w:rsid w:val="00A01325"/>
    <w:rsid w:val="00A05E1E"/>
    <w:rsid w:val="00A13DE9"/>
    <w:rsid w:val="00A155E3"/>
    <w:rsid w:val="00A157DF"/>
    <w:rsid w:val="00A164FD"/>
    <w:rsid w:val="00A21CE4"/>
    <w:rsid w:val="00A21E0C"/>
    <w:rsid w:val="00A22CD0"/>
    <w:rsid w:val="00A22EF2"/>
    <w:rsid w:val="00A258A6"/>
    <w:rsid w:val="00A25E7B"/>
    <w:rsid w:val="00A302C3"/>
    <w:rsid w:val="00A32C52"/>
    <w:rsid w:val="00A347DF"/>
    <w:rsid w:val="00A34F8F"/>
    <w:rsid w:val="00A36D7D"/>
    <w:rsid w:val="00A37EFC"/>
    <w:rsid w:val="00A37FBA"/>
    <w:rsid w:val="00A50DDA"/>
    <w:rsid w:val="00A535AB"/>
    <w:rsid w:val="00A5686F"/>
    <w:rsid w:val="00A57CE8"/>
    <w:rsid w:val="00A632D9"/>
    <w:rsid w:val="00A64860"/>
    <w:rsid w:val="00A7103C"/>
    <w:rsid w:val="00A74446"/>
    <w:rsid w:val="00A82FD5"/>
    <w:rsid w:val="00A84D21"/>
    <w:rsid w:val="00A876C4"/>
    <w:rsid w:val="00A87C8C"/>
    <w:rsid w:val="00A87D18"/>
    <w:rsid w:val="00A901DE"/>
    <w:rsid w:val="00A90E08"/>
    <w:rsid w:val="00A91F2C"/>
    <w:rsid w:val="00A94197"/>
    <w:rsid w:val="00A94DE7"/>
    <w:rsid w:val="00A94DFE"/>
    <w:rsid w:val="00A95620"/>
    <w:rsid w:val="00A9688B"/>
    <w:rsid w:val="00AA1734"/>
    <w:rsid w:val="00AA326B"/>
    <w:rsid w:val="00AA4965"/>
    <w:rsid w:val="00AA5CB1"/>
    <w:rsid w:val="00AA6290"/>
    <w:rsid w:val="00AB1852"/>
    <w:rsid w:val="00AB2835"/>
    <w:rsid w:val="00AC0E94"/>
    <w:rsid w:val="00AC30D5"/>
    <w:rsid w:val="00AC3A91"/>
    <w:rsid w:val="00AC7C04"/>
    <w:rsid w:val="00AC7F20"/>
    <w:rsid w:val="00AD2A02"/>
    <w:rsid w:val="00AD4BED"/>
    <w:rsid w:val="00AE22BA"/>
    <w:rsid w:val="00AE28A4"/>
    <w:rsid w:val="00AE3704"/>
    <w:rsid w:val="00AE3DC0"/>
    <w:rsid w:val="00AF2AA3"/>
    <w:rsid w:val="00AF3043"/>
    <w:rsid w:val="00AF3289"/>
    <w:rsid w:val="00AF41A3"/>
    <w:rsid w:val="00AF5145"/>
    <w:rsid w:val="00AF71FA"/>
    <w:rsid w:val="00AF7B40"/>
    <w:rsid w:val="00B0014F"/>
    <w:rsid w:val="00B018D6"/>
    <w:rsid w:val="00B0313F"/>
    <w:rsid w:val="00B07E8F"/>
    <w:rsid w:val="00B11F9D"/>
    <w:rsid w:val="00B12C1A"/>
    <w:rsid w:val="00B15322"/>
    <w:rsid w:val="00B15352"/>
    <w:rsid w:val="00B167D6"/>
    <w:rsid w:val="00B202D7"/>
    <w:rsid w:val="00B362A9"/>
    <w:rsid w:val="00B417B0"/>
    <w:rsid w:val="00B45D3A"/>
    <w:rsid w:val="00B46464"/>
    <w:rsid w:val="00B46B7F"/>
    <w:rsid w:val="00B5574E"/>
    <w:rsid w:val="00B626A0"/>
    <w:rsid w:val="00B62D8B"/>
    <w:rsid w:val="00B7093C"/>
    <w:rsid w:val="00B72625"/>
    <w:rsid w:val="00B72997"/>
    <w:rsid w:val="00B745C7"/>
    <w:rsid w:val="00B761E6"/>
    <w:rsid w:val="00B76B55"/>
    <w:rsid w:val="00B77ACB"/>
    <w:rsid w:val="00B81A16"/>
    <w:rsid w:val="00B829EB"/>
    <w:rsid w:val="00B87AAE"/>
    <w:rsid w:val="00B87CEB"/>
    <w:rsid w:val="00B90C45"/>
    <w:rsid w:val="00B91A9B"/>
    <w:rsid w:val="00B931F6"/>
    <w:rsid w:val="00B94296"/>
    <w:rsid w:val="00B94C01"/>
    <w:rsid w:val="00BA71C8"/>
    <w:rsid w:val="00BB469A"/>
    <w:rsid w:val="00BC0FF2"/>
    <w:rsid w:val="00BC42E1"/>
    <w:rsid w:val="00BC7A44"/>
    <w:rsid w:val="00BD2149"/>
    <w:rsid w:val="00BD3E5B"/>
    <w:rsid w:val="00BD6396"/>
    <w:rsid w:val="00BD6C40"/>
    <w:rsid w:val="00BD76EA"/>
    <w:rsid w:val="00BD77B9"/>
    <w:rsid w:val="00BD78A0"/>
    <w:rsid w:val="00BD7F5B"/>
    <w:rsid w:val="00BE1099"/>
    <w:rsid w:val="00BE41F4"/>
    <w:rsid w:val="00C01EF7"/>
    <w:rsid w:val="00C06C0A"/>
    <w:rsid w:val="00C111F5"/>
    <w:rsid w:val="00C114F3"/>
    <w:rsid w:val="00C1246D"/>
    <w:rsid w:val="00C1441B"/>
    <w:rsid w:val="00C20839"/>
    <w:rsid w:val="00C21744"/>
    <w:rsid w:val="00C2208D"/>
    <w:rsid w:val="00C23C0E"/>
    <w:rsid w:val="00C25ADF"/>
    <w:rsid w:val="00C31D86"/>
    <w:rsid w:val="00C32CC0"/>
    <w:rsid w:val="00C34931"/>
    <w:rsid w:val="00C36CDA"/>
    <w:rsid w:val="00C40052"/>
    <w:rsid w:val="00C42A9D"/>
    <w:rsid w:val="00C44911"/>
    <w:rsid w:val="00C44F36"/>
    <w:rsid w:val="00C45098"/>
    <w:rsid w:val="00C45BD9"/>
    <w:rsid w:val="00C5136C"/>
    <w:rsid w:val="00C51C3A"/>
    <w:rsid w:val="00C53BF3"/>
    <w:rsid w:val="00C55E56"/>
    <w:rsid w:val="00C57CB6"/>
    <w:rsid w:val="00C6177A"/>
    <w:rsid w:val="00C633F1"/>
    <w:rsid w:val="00C64AF1"/>
    <w:rsid w:val="00C66917"/>
    <w:rsid w:val="00C67CE0"/>
    <w:rsid w:val="00C72AB9"/>
    <w:rsid w:val="00C73519"/>
    <w:rsid w:val="00C76299"/>
    <w:rsid w:val="00C76E65"/>
    <w:rsid w:val="00C770B1"/>
    <w:rsid w:val="00C802FF"/>
    <w:rsid w:val="00C803F2"/>
    <w:rsid w:val="00C813BA"/>
    <w:rsid w:val="00C8164B"/>
    <w:rsid w:val="00C85E94"/>
    <w:rsid w:val="00C91649"/>
    <w:rsid w:val="00C91D52"/>
    <w:rsid w:val="00C951AD"/>
    <w:rsid w:val="00C96EE7"/>
    <w:rsid w:val="00CA2E34"/>
    <w:rsid w:val="00CB052B"/>
    <w:rsid w:val="00CB3C21"/>
    <w:rsid w:val="00CB6F0F"/>
    <w:rsid w:val="00CC290C"/>
    <w:rsid w:val="00CC4076"/>
    <w:rsid w:val="00CC498C"/>
    <w:rsid w:val="00CC4D40"/>
    <w:rsid w:val="00CD02AA"/>
    <w:rsid w:val="00CD2A35"/>
    <w:rsid w:val="00CD5341"/>
    <w:rsid w:val="00CE2286"/>
    <w:rsid w:val="00CE4161"/>
    <w:rsid w:val="00CE7455"/>
    <w:rsid w:val="00CF2008"/>
    <w:rsid w:val="00CF20DA"/>
    <w:rsid w:val="00CF347E"/>
    <w:rsid w:val="00CF3813"/>
    <w:rsid w:val="00D016EF"/>
    <w:rsid w:val="00D02D88"/>
    <w:rsid w:val="00D0387D"/>
    <w:rsid w:val="00D0653D"/>
    <w:rsid w:val="00D10C74"/>
    <w:rsid w:val="00D13C8E"/>
    <w:rsid w:val="00D14AD2"/>
    <w:rsid w:val="00D155EF"/>
    <w:rsid w:val="00D155F3"/>
    <w:rsid w:val="00D26719"/>
    <w:rsid w:val="00D30867"/>
    <w:rsid w:val="00D363D2"/>
    <w:rsid w:val="00D4024D"/>
    <w:rsid w:val="00D43C1C"/>
    <w:rsid w:val="00D501BC"/>
    <w:rsid w:val="00D502FC"/>
    <w:rsid w:val="00D50F96"/>
    <w:rsid w:val="00D510EA"/>
    <w:rsid w:val="00D566B0"/>
    <w:rsid w:val="00D57E25"/>
    <w:rsid w:val="00D71B6F"/>
    <w:rsid w:val="00D71DDC"/>
    <w:rsid w:val="00D734DC"/>
    <w:rsid w:val="00D8134D"/>
    <w:rsid w:val="00D82111"/>
    <w:rsid w:val="00D8730A"/>
    <w:rsid w:val="00D875BE"/>
    <w:rsid w:val="00D972E8"/>
    <w:rsid w:val="00DA47AA"/>
    <w:rsid w:val="00DA505D"/>
    <w:rsid w:val="00DB14DE"/>
    <w:rsid w:val="00DB1D20"/>
    <w:rsid w:val="00DB2578"/>
    <w:rsid w:val="00DB4382"/>
    <w:rsid w:val="00DB6314"/>
    <w:rsid w:val="00DB71D7"/>
    <w:rsid w:val="00DB7468"/>
    <w:rsid w:val="00DC1EF6"/>
    <w:rsid w:val="00DC71A2"/>
    <w:rsid w:val="00DD2359"/>
    <w:rsid w:val="00DD47EC"/>
    <w:rsid w:val="00DD57A7"/>
    <w:rsid w:val="00DD68F8"/>
    <w:rsid w:val="00DD7F44"/>
    <w:rsid w:val="00DE0C45"/>
    <w:rsid w:val="00DE2EEB"/>
    <w:rsid w:val="00DE6452"/>
    <w:rsid w:val="00DF036E"/>
    <w:rsid w:val="00DF2655"/>
    <w:rsid w:val="00DF29E0"/>
    <w:rsid w:val="00E00D2C"/>
    <w:rsid w:val="00E0567B"/>
    <w:rsid w:val="00E068DE"/>
    <w:rsid w:val="00E139B1"/>
    <w:rsid w:val="00E14B1C"/>
    <w:rsid w:val="00E1539A"/>
    <w:rsid w:val="00E236AE"/>
    <w:rsid w:val="00E23CD6"/>
    <w:rsid w:val="00E26243"/>
    <w:rsid w:val="00E27EFD"/>
    <w:rsid w:val="00E34D5C"/>
    <w:rsid w:val="00E360FE"/>
    <w:rsid w:val="00E40C81"/>
    <w:rsid w:val="00E42871"/>
    <w:rsid w:val="00E429B0"/>
    <w:rsid w:val="00E42E32"/>
    <w:rsid w:val="00E45444"/>
    <w:rsid w:val="00E45F05"/>
    <w:rsid w:val="00E46FE6"/>
    <w:rsid w:val="00E47060"/>
    <w:rsid w:val="00E53C79"/>
    <w:rsid w:val="00E5460F"/>
    <w:rsid w:val="00E54872"/>
    <w:rsid w:val="00E54CFF"/>
    <w:rsid w:val="00E552F8"/>
    <w:rsid w:val="00E57825"/>
    <w:rsid w:val="00E621C9"/>
    <w:rsid w:val="00E639D1"/>
    <w:rsid w:val="00E63AEE"/>
    <w:rsid w:val="00E64BD3"/>
    <w:rsid w:val="00E66EA9"/>
    <w:rsid w:val="00E67C8A"/>
    <w:rsid w:val="00E67DAA"/>
    <w:rsid w:val="00E7249E"/>
    <w:rsid w:val="00E72EC3"/>
    <w:rsid w:val="00E80020"/>
    <w:rsid w:val="00E801C2"/>
    <w:rsid w:val="00E92D98"/>
    <w:rsid w:val="00E972B8"/>
    <w:rsid w:val="00E97A67"/>
    <w:rsid w:val="00EA0297"/>
    <w:rsid w:val="00EA1698"/>
    <w:rsid w:val="00EA2351"/>
    <w:rsid w:val="00EA312A"/>
    <w:rsid w:val="00EA3D8C"/>
    <w:rsid w:val="00EA571E"/>
    <w:rsid w:val="00EA7AAB"/>
    <w:rsid w:val="00EB0CD1"/>
    <w:rsid w:val="00EB0ED1"/>
    <w:rsid w:val="00EB308D"/>
    <w:rsid w:val="00EB3930"/>
    <w:rsid w:val="00EB55AC"/>
    <w:rsid w:val="00EC1803"/>
    <w:rsid w:val="00EC4BBA"/>
    <w:rsid w:val="00EC5712"/>
    <w:rsid w:val="00EC7875"/>
    <w:rsid w:val="00ED2EA1"/>
    <w:rsid w:val="00ED3B99"/>
    <w:rsid w:val="00ED3ED8"/>
    <w:rsid w:val="00EE331F"/>
    <w:rsid w:val="00EE34C1"/>
    <w:rsid w:val="00EE4E56"/>
    <w:rsid w:val="00EE5288"/>
    <w:rsid w:val="00EF046B"/>
    <w:rsid w:val="00EF091E"/>
    <w:rsid w:val="00EF182B"/>
    <w:rsid w:val="00EF202F"/>
    <w:rsid w:val="00EF2F26"/>
    <w:rsid w:val="00EF2F6F"/>
    <w:rsid w:val="00EF4FFD"/>
    <w:rsid w:val="00EF5006"/>
    <w:rsid w:val="00EF5132"/>
    <w:rsid w:val="00EF525B"/>
    <w:rsid w:val="00EF5B14"/>
    <w:rsid w:val="00F03381"/>
    <w:rsid w:val="00F1036A"/>
    <w:rsid w:val="00F10D54"/>
    <w:rsid w:val="00F110A0"/>
    <w:rsid w:val="00F12E71"/>
    <w:rsid w:val="00F13CCC"/>
    <w:rsid w:val="00F143C1"/>
    <w:rsid w:val="00F17370"/>
    <w:rsid w:val="00F174A8"/>
    <w:rsid w:val="00F17AF1"/>
    <w:rsid w:val="00F2046E"/>
    <w:rsid w:val="00F25DD6"/>
    <w:rsid w:val="00F268DE"/>
    <w:rsid w:val="00F31860"/>
    <w:rsid w:val="00F34BD5"/>
    <w:rsid w:val="00F3504C"/>
    <w:rsid w:val="00F35379"/>
    <w:rsid w:val="00F4138B"/>
    <w:rsid w:val="00F43FCC"/>
    <w:rsid w:val="00F4521F"/>
    <w:rsid w:val="00F46B59"/>
    <w:rsid w:val="00F4707A"/>
    <w:rsid w:val="00F50197"/>
    <w:rsid w:val="00F5042E"/>
    <w:rsid w:val="00F51547"/>
    <w:rsid w:val="00F5175A"/>
    <w:rsid w:val="00F51C67"/>
    <w:rsid w:val="00F52263"/>
    <w:rsid w:val="00F52F03"/>
    <w:rsid w:val="00F5369C"/>
    <w:rsid w:val="00F56854"/>
    <w:rsid w:val="00F56AAF"/>
    <w:rsid w:val="00F65AF3"/>
    <w:rsid w:val="00F72697"/>
    <w:rsid w:val="00F743DA"/>
    <w:rsid w:val="00F74710"/>
    <w:rsid w:val="00F81A9C"/>
    <w:rsid w:val="00F82610"/>
    <w:rsid w:val="00F83A3E"/>
    <w:rsid w:val="00F84A90"/>
    <w:rsid w:val="00F85001"/>
    <w:rsid w:val="00F85989"/>
    <w:rsid w:val="00F86D78"/>
    <w:rsid w:val="00F87D72"/>
    <w:rsid w:val="00F90A3A"/>
    <w:rsid w:val="00F93999"/>
    <w:rsid w:val="00FA04B7"/>
    <w:rsid w:val="00FA04C6"/>
    <w:rsid w:val="00FA0668"/>
    <w:rsid w:val="00FA3165"/>
    <w:rsid w:val="00FA4163"/>
    <w:rsid w:val="00FA53E7"/>
    <w:rsid w:val="00FA6954"/>
    <w:rsid w:val="00FB0998"/>
    <w:rsid w:val="00FB1E6B"/>
    <w:rsid w:val="00FB2033"/>
    <w:rsid w:val="00FB5F5F"/>
    <w:rsid w:val="00FB7383"/>
    <w:rsid w:val="00FB7B9E"/>
    <w:rsid w:val="00FC1013"/>
    <w:rsid w:val="00FC1933"/>
    <w:rsid w:val="00FC6A2A"/>
    <w:rsid w:val="00FD2672"/>
    <w:rsid w:val="00FD3247"/>
    <w:rsid w:val="00FD7CB0"/>
    <w:rsid w:val="00FE2B48"/>
    <w:rsid w:val="00FE2C00"/>
    <w:rsid w:val="00FF0287"/>
    <w:rsid w:val="00FF1EE6"/>
    <w:rsid w:val="00FF37E3"/>
    <w:rsid w:val="00FF6ACF"/>
    <w:rsid w:val="00FF7DAE"/>
    <w:rsid w:val="028D7DD3"/>
    <w:rsid w:val="048009FC"/>
    <w:rsid w:val="05063FBA"/>
    <w:rsid w:val="08423E0F"/>
    <w:rsid w:val="0B213EAC"/>
    <w:rsid w:val="0ED95B81"/>
    <w:rsid w:val="166C0DD0"/>
    <w:rsid w:val="188F24CF"/>
    <w:rsid w:val="1C616AB2"/>
    <w:rsid w:val="1CBA5EAA"/>
    <w:rsid w:val="2D1461F5"/>
    <w:rsid w:val="37950404"/>
    <w:rsid w:val="382F0635"/>
    <w:rsid w:val="3A674341"/>
    <w:rsid w:val="3BEC226C"/>
    <w:rsid w:val="448762CC"/>
    <w:rsid w:val="4630334B"/>
    <w:rsid w:val="54606FC1"/>
    <w:rsid w:val="57CB116F"/>
    <w:rsid w:val="59CA3411"/>
    <w:rsid w:val="5B1C1CD0"/>
    <w:rsid w:val="68C60A80"/>
    <w:rsid w:val="6D05447A"/>
    <w:rsid w:val="6E6071EC"/>
    <w:rsid w:val="71E01533"/>
    <w:rsid w:val="76FF7CA8"/>
    <w:rsid w:val="78982FB3"/>
    <w:rsid w:val="7AAA5D8D"/>
    <w:rsid w:val="7ABC0AE4"/>
    <w:rsid w:val="7ACD6E8D"/>
    <w:rsid w:val="7B0A522B"/>
    <w:rsid w:val="7B2E24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semiHidden/>
    <w:qFormat/>
    <w:uiPriority w:val="99"/>
    <w:pPr>
      <w:ind w:left="2520" w:leftChars="1200"/>
    </w:pPr>
  </w:style>
  <w:style w:type="paragraph" w:styleId="5">
    <w:name w:val="Normal Indent"/>
    <w:basedOn w:val="1"/>
    <w:link w:val="43"/>
    <w:qFormat/>
    <w:uiPriority w:val="99"/>
    <w:pPr>
      <w:snapToGrid w:val="0"/>
      <w:spacing w:line="360" w:lineRule="auto"/>
      <w:ind w:firstLine="567"/>
    </w:pPr>
    <w:rPr>
      <w:kern w:val="0"/>
      <w:sz w:val="20"/>
    </w:rPr>
  </w:style>
  <w:style w:type="paragraph" w:styleId="6">
    <w:name w:val="Body Text Indent"/>
    <w:basedOn w:val="1"/>
    <w:link w:val="32"/>
    <w:qFormat/>
    <w:uiPriority w:val="99"/>
    <w:pPr>
      <w:ind w:firstLine="555"/>
      <w:jc w:val="center"/>
    </w:pPr>
    <w:rPr>
      <w:rFonts w:ascii="仿宋_GB2312" w:eastAsia="仿宋_GB2312"/>
      <w:kern w:val="0"/>
      <w:sz w:val="20"/>
    </w:rPr>
  </w:style>
  <w:style w:type="paragraph" w:styleId="7">
    <w:name w:val="toc 5"/>
    <w:basedOn w:val="1"/>
    <w:next w:val="1"/>
    <w:semiHidden/>
    <w:qFormat/>
    <w:uiPriority w:val="99"/>
    <w:pPr>
      <w:ind w:left="1680" w:leftChars="800"/>
    </w:pPr>
  </w:style>
  <w:style w:type="paragraph" w:styleId="8">
    <w:name w:val="toc 3"/>
    <w:basedOn w:val="1"/>
    <w:next w:val="1"/>
    <w:semiHidden/>
    <w:qFormat/>
    <w:uiPriority w:val="99"/>
    <w:pPr>
      <w:ind w:left="840" w:leftChars="400"/>
    </w:pPr>
  </w:style>
  <w:style w:type="paragraph" w:styleId="9">
    <w:name w:val="Plain Text"/>
    <w:basedOn w:val="1"/>
    <w:link w:val="33"/>
    <w:qFormat/>
    <w:uiPriority w:val="99"/>
    <w:rPr>
      <w:rFonts w:ascii="宋体" w:hAnsi="Courier New"/>
      <w:kern w:val="0"/>
      <w:sz w:val="20"/>
    </w:rPr>
  </w:style>
  <w:style w:type="paragraph" w:styleId="10">
    <w:name w:val="toc 8"/>
    <w:basedOn w:val="1"/>
    <w:next w:val="1"/>
    <w:semiHidden/>
    <w:qFormat/>
    <w:uiPriority w:val="99"/>
    <w:pPr>
      <w:ind w:left="2940" w:leftChars="1400"/>
    </w:pPr>
  </w:style>
  <w:style w:type="paragraph" w:styleId="11">
    <w:name w:val="Date"/>
    <w:basedOn w:val="1"/>
    <w:next w:val="1"/>
    <w:link w:val="34"/>
    <w:qFormat/>
    <w:uiPriority w:val="99"/>
    <w:rPr>
      <w:rFonts w:eastAsia="楷体_GB2312"/>
      <w:kern w:val="0"/>
      <w:sz w:val="20"/>
    </w:rPr>
  </w:style>
  <w:style w:type="paragraph" w:styleId="12">
    <w:name w:val="Body Text Indent 2"/>
    <w:basedOn w:val="1"/>
    <w:link w:val="35"/>
    <w:qFormat/>
    <w:uiPriority w:val="99"/>
    <w:pPr>
      <w:spacing w:line="360" w:lineRule="auto"/>
      <w:ind w:firstLine="556"/>
    </w:pPr>
    <w:rPr>
      <w:rFonts w:ascii="仿宋_GB2312" w:eastAsia="仿宋_GB2312"/>
      <w:kern w:val="0"/>
      <w:sz w:val="20"/>
    </w:rPr>
  </w:style>
  <w:style w:type="paragraph" w:styleId="13">
    <w:name w:val="Balloon Text"/>
    <w:basedOn w:val="1"/>
    <w:link w:val="36"/>
    <w:semiHidden/>
    <w:qFormat/>
    <w:uiPriority w:val="99"/>
    <w:rPr>
      <w:kern w:val="0"/>
      <w:sz w:val="18"/>
      <w:szCs w:val="18"/>
    </w:rPr>
  </w:style>
  <w:style w:type="paragraph" w:styleId="14">
    <w:name w:val="footer"/>
    <w:basedOn w:val="1"/>
    <w:link w:val="37"/>
    <w:qFormat/>
    <w:uiPriority w:val="99"/>
    <w:pPr>
      <w:tabs>
        <w:tab w:val="center" w:pos="4153"/>
        <w:tab w:val="right" w:pos="8306"/>
      </w:tabs>
      <w:snapToGrid w:val="0"/>
      <w:jc w:val="left"/>
    </w:pPr>
    <w:rPr>
      <w:kern w:val="0"/>
      <w:sz w:val="18"/>
      <w:szCs w:val="18"/>
    </w:rPr>
  </w:style>
  <w:style w:type="paragraph" w:styleId="15">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qFormat/>
    <w:uiPriority w:val="99"/>
  </w:style>
  <w:style w:type="paragraph" w:styleId="17">
    <w:name w:val="toc 4"/>
    <w:basedOn w:val="1"/>
    <w:next w:val="1"/>
    <w:semiHidden/>
    <w:qFormat/>
    <w:uiPriority w:val="99"/>
    <w:pPr>
      <w:ind w:left="1260" w:leftChars="600"/>
    </w:pPr>
  </w:style>
  <w:style w:type="paragraph" w:styleId="18">
    <w:name w:val="toc 6"/>
    <w:basedOn w:val="1"/>
    <w:next w:val="1"/>
    <w:semiHidden/>
    <w:qFormat/>
    <w:uiPriority w:val="99"/>
    <w:pPr>
      <w:ind w:left="2100" w:leftChars="1000"/>
    </w:pPr>
  </w:style>
  <w:style w:type="paragraph" w:styleId="19">
    <w:name w:val="Body Text Indent 3"/>
    <w:basedOn w:val="1"/>
    <w:link w:val="39"/>
    <w:qFormat/>
    <w:uiPriority w:val="99"/>
    <w:pPr>
      <w:spacing w:line="360" w:lineRule="auto"/>
      <w:ind w:firstLine="555"/>
    </w:pPr>
    <w:rPr>
      <w:rFonts w:ascii="仿宋_GB2312" w:eastAsia="仿宋_GB2312"/>
      <w:kern w:val="0"/>
      <w:sz w:val="20"/>
    </w:rPr>
  </w:style>
  <w:style w:type="paragraph" w:styleId="20">
    <w:name w:val="toc 2"/>
    <w:basedOn w:val="1"/>
    <w:next w:val="1"/>
    <w:qFormat/>
    <w:uiPriority w:val="99"/>
    <w:pPr>
      <w:tabs>
        <w:tab w:val="right" w:leader="dot" w:pos="8494"/>
      </w:tabs>
      <w:spacing w:line="480" w:lineRule="auto"/>
      <w:ind w:left="420" w:leftChars="200"/>
    </w:pPr>
  </w:style>
  <w:style w:type="paragraph" w:styleId="21">
    <w:name w:val="toc 9"/>
    <w:basedOn w:val="1"/>
    <w:next w:val="1"/>
    <w:semiHidden/>
    <w:qFormat/>
    <w:uiPriority w:val="99"/>
    <w:pPr>
      <w:ind w:left="3360" w:leftChars="1600"/>
    </w:p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4">
    <w:name w:val="Table Grid"/>
    <w:basedOn w:val="2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page number"/>
    <w:basedOn w:val="25"/>
    <w:qFormat/>
    <w:uiPriority w:val="99"/>
    <w:rPr>
      <w:rFonts w:cs="Times New Roman"/>
    </w:rPr>
  </w:style>
  <w:style w:type="character" w:styleId="27">
    <w:name w:val="FollowedHyperlink"/>
    <w:basedOn w:val="25"/>
    <w:qFormat/>
    <w:uiPriority w:val="99"/>
    <w:rPr>
      <w:rFonts w:cs="Times New Roman"/>
      <w:color w:val="800080"/>
      <w:u w:val="single"/>
    </w:rPr>
  </w:style>
  <w:style w:type="character" w:styleId="28">
    <w:name w:val="Emphasis"/>
    <w:basedOn w:val="25"/>
    <w:qFormat/>
    <w:uiPriority w:val="99"/>
    <w:rPr>
      <w:rFonts w:cs="Times New Roman"/>
      <w:i/>
    </w:rPr>
  </w:style>
  <w:style w:type="character" w:styleId="29">
    <w:name w:val="Hyperlink"/>
    <w:basedOn w:val="25"/>
    <w:qFormat/>
    <w:uiPriority w:val="99"/>
    <w:rPr>
      <w:rFonts w:cs="Times New Roman"/>
      <w:color w:val="0000FF"/>
      <w:u w:val="single"/>
    </w:rPr>
  </w:style>
  <w:style w:type="character" w:customStyle="1" w:styleId="30">
    <w:name w:val="标题 1 Char"/>
    <w:basedOn w:val="25"/>
    <w:link w:val="2"/>
    <w:qFormat/>
    <w:locked/>
    <w:uiPriority w:val="99"/>
    <w:rPr>
      <w:rFonts w:ascii="Times New Roman" w:hAnsi="Times New Roman" w:eastAsia="宋体" w:cs="Times New Roman"/>
      <w:b/>
      <w:kern w:val="44"/>
      <w:sz w:val="44"/>
    </w:rPr>
  </w:style>
  <w:style w:type="character" w:customStyle="1" w:styleId="31">
    <w:name w:val="标题 2 Char"/>
    <w:basedOn w:val="25"/>
    <w:link w:val="3"/>
    <w:qFormat/>
    <w:locked/>
    <w:uiPriority w:val="99"/>
    <w:rPr>
      <w:rFonts w:ascii="Arial" w:hAnsi="Arial" w:eastAsia="黑体" w:cs="Times New Roman"/>
      <w:b/>
      <w:sz w:val="32"/>
    </w:rPr>
  </w:style>
  <w:style w:type="character" w:customStyle="1" w:styleId="32">
    <w:name w:val="正文文本缩进 Char"/>
    <w:basedOn w:val="25"/>
    <w:link w:val="6"/>
    <w:qFormat/>
    <w:locked/>
    <w:uiPriority w:val="99"/>
    <w:rPr>
      <w:rFonts w:ascii="仿宋_GB2312" w:hAnsi="Times New Roman" w:eastAsia="仿宋_GB2312" w:cs="Times New Roman"/>
      <w:sz w:val="20"/>
    </w:rPr>
  </w:style>
  <w:style w:type="character" w:customStyle="1" w:styleId="33">
    <w:name w:val="纯文本 Char"/>
    <w:basedOn w:val="25"/>
    <w:link w:val="9"/>
    <w:qFormat/>
    <w:locked/>
    <w:uiPriority w:val="99"/>
    <w:rPr>
      <w:rFonts w:ascii="宋体" w:hAnsi="Courier New" w:eastAsia="宋体" w:cs="Times New Roman"/>
      <w:sz w:val="20"/>
    </w:rPr>
  </w:style>
  <w:style w:type="character" w:customStyle="1" w:styleId="34">
    <w:name w:val="日期 Char"/>
    <w:basedOn w:val="25"/>
    <w:link w:val="11"/>
    <w:qFormat/>
    <w:locked/>
    <w:uiPriority w:val="99"/>
    <w:rPr>
      <w:rFonts w:ascii="Times New Roman" w:hAnsi="Times New Roman" w:eastAsia="楷体_GB2312" w:cs="Times New Roman"/>
      <w:sz w:val="20"/>
    </w:rPr>
  </w:style>
  <w:style w:type="character" w:customStyle="1" w:styleId="35">
    <w:name w:val="正文文本缩进 2 Char"/>
    <w:basedOn w:val="25"/>
    <w:link w:val="12"/>
    <w:qFormat/>
    <w:locked/>
    <w:uiPriority w:val="99"/>
    <w:rPr>
      <w:rFonts w:ascii="仿宋_GB2312" w:hAnsi="Times New Roman" w:eastAsia="仿宋_GB2312" w:cs="Times New Roman"/>
      <w:sz w:val="20"/>
    </w:rPr>
  </w:style>
  <w:style w:type="character" w:customStyle="1" w:styleId="36">
    <w:name w:val="批注框文本 Char"/>
    <w:basedOn w:val="25"/>
    <w:link w:val="13"/>
    <w:semiHidden/>
    <w:qFormat/>
    <w:locked/>
    <w:uiPriority w:val="99"/>
    <w:rPr>
      <w:rFonts w:ascii="Times New Roman" w:hAnsi="Times New Roman" w:eastAsia="宋体" w:cs="Times New Roman"/>
      <w:sz w:val="18"/>
    </w:rPr>
  </w:style>
  <w:style w:type="character" w:customStyle="1" w:styleId="37">
    <w:name w:val="页脚 Char"/>
    <w:basedOn w:val="25"/>
    <w:link w:val="14"/>
    <w:qFormat/>
    <w:locked/>
    <w:uiPriority w:val="99"/>
    <w:rPr>
      <w:rFonts w:cs="Times New Roman"/>
      <w:sz w:val="18"/>
    </w:rPr>
  </w:style>
  <w:style w:type="character" w:customStyle="1" w:styleId="38">
    <w:name w:val="页眉 Char"/>
    <w:basedOn w:val="25"/>
    <w:link w:val="15"/>
    <w:qFormat/>
    <w:locked/>
    <w:uiPriority w:val="99"/>
    <w:rPr>
      <w:rFonts w:cs="Times New Roman"/>
      <w:sz w:val="18"/>
    </w:rPr>
  </w:style>
  <w:style w:type="character" w:customStyle="1" w:styleId="39">
    <w:name w:val="正文文本缩进 3 Char"/>
    <w:basedOn w:val="25"/>
    <w:link w:val="19"/>
    <w:qFormat/>
    <w:locked/>
    <w:uiPriority w:val="99"/>
    <w:rPr>
      <w:rFonts w:ascii="仿宋_GB2312" w:hAnsi="Times New Roman" w:eastAsia="仿宋_GB2312" w:cs="Times New Roman"/>
      <w:sz w:val="20"/>
    </w:rPr>
  </w:style>
  <w:style w:type="paragraph" w:customStyle="1" w:styleId="40">
    <w:name w:val="封面标题"/>
    <w:basedOn w:val="9"/>
    <w:qFormat/>
    <w:uiPriority w:val="99"/>
    <w:pPr>
      <w:spacing w:line="240" w:lineRule="atLeast"/>
      <w:jc w:val="center"/>
    </w:pPr>
    <w:rPr>
      <w:sz w:val="44"/>
    </w:rPr>
  </w:style>
  <w:style w:type="paragraph" w:customStyle="1" w:styleId="41">
    <w:name w:val="封面正文"/>
    <w:basedOn w:val="9"/>
    <w:qFormat/>
    <w:uiPriority w:val="99"/>
    <w:rPr>
      <w:rFonts w:ascii="楷体_GB2312" w:eastAsia="楷体_GB2312"/>
      <w:sz w:val="32"/>
    </w:rPr>
  </w:style>
  <w:style w:type="paragraph" w:customStyle="1" w:styleId="42">
    <w:name w:val="xl2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eastAsia="Arial Unicode MS" w:cs="Arial Unicode MS"/>
      <w:b/>
      <w:bCs/>
      <w:kern w:val="0"/>
      <w:szCs w:val="21"/>
    </w:rPr>
  </w:style>
  <w:style w:type="character" w:customStyle="1" w:styleId="43">
    <w:name w:val="正文缩进 Char"/>
    <w:link w:val="5"/>
    <w:qFormat/>
    <w:locked/>
    <w:uiPriority w:val="99"/>
    <w:rPr>
      <w:rFonts w:ascii="Times New Roman" w:hAnsi="Times New Roman" w:eastAsia="宋体"/>
      <w:sz w:val="20"/>
    </w:rPr>
  </w:style>
  <w:style w:type="character" w:customStyle="1" w:styleId="44">
    <w:name w:val="纯文本 Char Char"/>
    <w:link w:val="45"/>
    <w:qFormat/>
    <w:locked/>
    <w:uiPriority w:val="99"/>
    <w:rPr>
      <w:rFonts w:ascii="宋体" w:hAnsi="Courier New"/>
    </w:rPr>
  </w:style>
  <w:style w:type="paragraph" w:customStyle="1" w:styleId="45">
    <w:name w:val="纯文本1"/>
    <w:basedOn w:val="1"/>
    <w:link w:val="44"/>
    <w:qFormat/>
    <w:uiPriority w:val="99"/>
    <w:rPr>
      <w:rFonts w:ascii="宋体" w:hAnsi="Courier New"/>
      <w:kern w:val="0"/>
      <w:sz w:val="20"/>
    </w:rPr>
  </w:style>
  <w:style w:type="character" w:customStyle="1" w:styleId="46">
    <w:name w:val="正文缩进 Char1"/>
    <w:link w:val="47"/>
    <w:qFormat/>
    <w:locked/>
    <w:uiPriority w:val="99"/>
    <w:rPr>
      <w:rFonts w:eastAsia="宋体"/>
      <w:sz w:val="28"/>
    </w:rPr>
  </w:style>
  <w:style w:type="paragraph" w:customStyle="1" w:styleId="47">
    <w:name w:val="正文缩进1"/>
    <w:basedOn w:val="1"/>
    <w:link w:val="46"/>
    <w:qFormat/>
    <w:uiPriority w:val="99"/>
    <w:pPr>
      <w:snapToGrid w:val="0"/>
      <w:spacing w:line="360" w:lineRule="auto"/>
      <w:ind w:firstLine="567"/>
    </w:pPr>
    <w:rPr>
      <w:kern w:val="0"/>
      <w:sz w:val="28"/>
    </w:rPr>
  </w:style>
  <w:style w:type="character" w:customStyle="1" w:styleId="48">
    <w:name w:val="纯文本 Char1"/>
    <w:qFormat/>
    <w:uiPriority w:val="99"/>
    <w:rPr>
      <w:rFonts w:ascii="宋体" w:hAnsi="Courier New"/>
      <w:kern w:val="2"/>
      <w:sz w:val="21"/>
    </w:rPr>
  </w:style>
  <w:style w:type="paragraph" w:customStyle="1" w:styleId="49">
    <w:name w:val="纯文本11"/>
    <w:basedOn w:val="1"/>
    <w:qFormat/>
    <w:uiPriority w:val="99"/>
    <w:rPr>
      <w:rFonts w:ascii="宋体" w:hAnsi="Courier New"/>
    </w:rPr>
  </w:style>
  <w:style w:type="character" w:customStyle="1" w:styleId="50">
    <w:name w:val="cp"/>
    <w:qFormat/>
    <w:uiPriority w:val="99"/>
  </w:style>
  <w:style w:type="character" w:customStyle="1" w:styleId="51">
    <w:name w:val="d12"/>
    <w:qFormat/>
    <w:uiPriority w:val="99"/>
  </w:style>
  <w:style w:type="character" w:customStyle="1" w:styleId="52">
    <w:name w:val="d4"/>
    <w:qFormat/>
    <w:uiPriority w:val="99"/>
  </w:style>
  <w:style w:type="character" w:customStyle="1" w:styleId="53">
    <w:name w:val="s_地址"/>
    <w:qFormat/>
    <w:uiPriority w:val="99"/>
  </w:style>
  <w:style w:type="character" w:customStyle="1" w:styleId="54">
    <w:name w:val="client1"/>
    <w:qFormat/>
    <w:uiPriority w:val="99"/>
  </w:style>
  <w:style w:type="paragraph" w:customStyle="1" w:styleId="55">
    <w:name w:val="无间隔1"/>
    <w:link w:val="56"/>
    <w:qFormat/>
    <w:uiPriority w:val="99"/>
    <w:rPr>
      <w:rFonts w:ascii="Calibri" w:hAnsi="Calibri" w:eastAsia="宋体" w:cs="Times New Roman"/>
      <w:kern w:val="0"/>
      <w:sz w:val="22"/>
      <w:szCs w:val="22"/>
      <w:lang w:val="en-US" w:eastAsia="zh-CN" w:bidi="ar-SA"/>
    </w:rPr>
  </w:style>
  <w:style w:type="character" w:customStyle="1" w:styleId="56">
    <w:name w:val="无间隔 Char"/>
    <w:link w:val="55"/>
    <w:qFormat/>
    <w:locked/>
    <w:uiPriority w:val="99"/>
    <w:rPr>
      <w:rFonts w:ascii="Calibri" w:hAnsi="Calibri"/>
      <w:sz w:val="22"/>
      <w:lang w:val="en-US" w:eastAsia="zh-CN"/>
    </w:rPr>
  </w:style>
  <w:style w:type="paragraph" w:customStyle="1" w:styleId="57">
    <w:name w:val="列出段落1"/>
    <w:basedOn w:val="1"/>
    <w:qFormat/>
    <w:uiPriority w:val="99"/>
    <w:pPr>
      <w:ind w:firstLine="420" w:firstLineChars="200"/>
    </w:pPr>
  </w:style>
  <w:style w:type="character" w:customStyle="1" w:styleId="58">
    <w:name w:val="font101"/>
    <w:qFormat/>
    <w:uiPriority w:val="99"/>
    <w:rPr>
      <w:rFonts w:ascii="Times New Roman" w:hAnsi="Times New Roman"/>
      <w:b/>
      <w:color w:val="auto"/>
      <w:sz w:val="24"/>
      <w:u w:val="none"/>
    </w:rPr>
  </w:style>
  <w:style w:type="character" w:customStyle="1" w:styleId="59">
    <w:name w:val="font91"/>
    <w:qFormat/>
    <w:uiPriority w:val="99"/>
    <w:rPr>
      <w:rFonts w:ascii="宋体" w:hAnsi="宋体" w:eastAsia="宋体"/>
      <w:b/>
      <w:color w:val="auto"/>
      <w:sz w:val="22"/>
      <w:u w:val="none"/>
    </w:rPr>
  </w:style>
  <w:style w:type="character" w:customStyle="1" w:styleId="60">
    <w:name w:val="font121"/>
    <w:qFormat/>
    <w:uiPriority w:val="99"/>
    <w:rPr>
      <w:rFonts w:ascii="Times New Roman" w:hAnsi="Times New Roman"/>
      <w:b/>
      <w:color w:val="auto"/>
      <w:sz w:val="21"/>
      <w:u w:val="none"/>
    </w:rPr>
  </w:style>
  <w:style w:type="character" w:customStyle="1" w:styleId="61">
    <w:name w:val="font61"/>
    <w:qFormat/>
    <w:uiPriority w:val="99"/>
    <w:rPr>
      <w:rFonts w:ascii="Arial Narrow" w:hAnsi="Arial Narrow"/>
      <w:b/>
      <w:color w:val="auto"/>
      <w:sz w:val="22"/>
      <w:u w:val="none"/>
    </w:rPr>
  </w:style>
  <w:style w:type="character" w:customStyle="1" w:styleId="62">
    <w:name w:val="font21"/>
    <w:qFormat/>
    <w:uiPriority w:val="99"/>
    <w:rPr>
      <w:rFonts w:ascii="宋体" w:hAnsi="宋体" w:eastAsia="宋体"/>
      <w:color w:val="000000"/>
      <w:sz w:val="18"/>
      <w:u w:val="none"/>
    </w:rPr>
  </w:style>
  <w:style w:type="character" w:customStyle="1" w:styleId="63">
    <w:name w:val="font11"/>
    <w:qFormat/>
    <w:uiPriority w:val="99"/>
    <w:rPr>
      <w:rFonts w:ascii="宋体" w:hAnsi="宋体" w:eastAsia="宋体"/>
      <w:b/>
      <w:color w:val="000000"/>
      <w:sz w:val="18"/>
      <w:u w:val="none"/>
    </w:rPr>
  </w:style>
  <w:style w:type="character" w:customStyle="1" w:styleId="64">
    <w:name w:val="font01"/>
    <w:qFormat/>
    <w:uiPriority w:val="99"/>
    <w:rPr>
      <w:rFonts w:ascii="宋体" w:hAnsi="宋体" w:eastAsia="宋体"/>
      <w:color w:val="000000"/>
      <w:sz w:val="18"/>
      <w:u w:val="none"/>
    </w:rPr>
  </w:style>
  <w:style w:type="character" w:customStyle="1" w:styleId="65">
    <w:name w:val="font31"/>
    <w:basedOn w:val="25"/>
    <w:qFormat/>
    <w:uiPriority w:val="0"/>
    <w:rPr>
      <w:rFonts w:ascii="宋体" w:hAnsi="宋体" w:eastAsia="宋体" w:cs="宋体"/>
      <w:b/>
      <w:color w:val="000000"/>
      <w:sz w:val="18"/>
      <w:szCs w:val="18"/>
      <w:u w:val="none"/>
    </w:rPr>
  </w:style>
  <w:style w:type="character" w:customStyle="1" w:styleId="66">
    <w:name w:val="font41"/>
    <w:basedOn w:val="25"/>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6155A-1F44-4388-920F-D98F97FA181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6261</Words>
  <Characters>1987</Characters>
  <Lines>16</Lines>
  <Paragraphs>16</Paragraphs>
  <TotalTime>16</TotalTime>
  <ScaleCrop>false</ScaleCrop>
  <LinksUpToDate>false</LinksUpToDate>
  <CharactersWithSpaces>8232</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2015-05-10T03:23:00Z</dcterms:created>
  <dc:creator>Microsoft</dc:creator>
  <cp:lastModifiedBy>Administrator</cp:lastModifiedBy>
  <cp:lastPrinted>2019-03-18T11:15:00Z</cp:lastPrinted>
  <dcterms:modified xsi:type="dcterms:W3CDTF">2019-03-20T02:35:35Z</dcterms:modified>
  <cp:revision>403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