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rPr>
          <w:rFonts w:hint="eastAsia" w:eastAsia="黑体"/>
          <w:b/>
          <w:bCs/>
          <w:sz w:val="36"/>
        </w:rPr>
      </w:pPr>
      <w:bookmarkStart w:id="0" w:name="_Toc27832"/>
    </w:p>
    <w:p>
      <w:pPr>
        <w:ind w:firstLine="2530" w:firstLineChars="700"/>
        <w:rPr>
          <w:rFonts w:hint="eastAsia" w:eastAsia="黑体"/>
          <w:b/>
          <w:bCs/>
          <w:sz w:val="36"/>
        </w:rPr>
      </w:pPr>
      <w:r>
        <w:rPr>
          <w:rFonts w:hint="eastAsia" w:eastAsia="黑体"/>
          <w:b/>
          <w:bCs/>
          <w:sz w:val="36"/>
        </w:rPr>
        <w:t>房地产司法鉴定估价报告</w:t>
      </w:r>
    </w:p>
    <w:p>
      <w:pPr>
        <w:rPr>
          <w:rFonts w:hint="eastAsia"/>
          <w:sz w:val="32"/>
        </w:rPr>
      </w:pPr>
    </w:p>
    <w:p>
      <w:pPr>
        <w:rPr>
          <w:rFonts w:hint="eastAsia"/>
          <w:sz w:val="30"/>
          <w:szCs w:val="30"/>
        </w:rPr>
      </w:pPr>
      <w:bookmarkStart w:id="83" w:name="_GoBack"/>
      <w:bookmarkEnd w:id="83"/>
    </w:p>
    <w:p>
      <w:pPr>
        <w:spacing w:line="680" w:lineRule="exact"/>
        <w:ind w:left="2121" w:hanging="2121" w:hangingChars="707"/>
        <w:rPr>
          <w:rFonts w:hint="eastAsia"/>
          <w:color w:val="auto"/>
          <w:sz w:val="30"/>
          <w:szCs w:val="30"/>
        </w:rPr>
      </w:pPr>
      <w:r>
        <w:rPr>
          <w:rFonts w:hint="eastAsia"/>
          <w:sz w:val="30"/>
          <w:szCs w:val="30"/>
        </w:rPr>
        <w:t>估价项目名称：德阳市罗江区人民法院委托估价的位</w:t>
      </w:r>
      <w:r>
        <w:rPr>
          <w:rFonts w:hint="eastAsia"/>
          <w:color w:val="auto"/>
          <w:sz w:val="30"/>
          <w:szCs w:val="30"/>
        </w:rPr>
        <w:t>于德阳市</w:t>
      </w:r>
    </w:p>
    <w:p>
      <w:pPr>
        <w:spacing w:line="680" w:lineRule="exact"/>
        <w:ind w:left="2099" w:leftChars="994" w:hanging="12" w:hangingChars="4"/>
        <w:rPr>
          <w:rFonts w:hint="eastAsia"/>
          <w:color w:val="auto"/>
          <w:spacing w:val="-6"/>
          <w:sz w:val="30"/>
          <w:szCs w:val="30"/>
        </w:rPr>
      </w:pPr>
      <w:r>
        <w:rPr>
          <w:rFonts w:hint="eastAsia"/>
          <w:color w:val="auto"/>
          <w:sz w:val="30"/>
          <w:szCs w:val="30"/>
        </w:rPr>
        <w:t>罗江</w:t>
      </w:r>
      <w:r>
        <w:rPr>
          <w:rFonts w:hint="eastAsia"/>
          <w:color w:val="auto"/>
          <w:sz w:val="30"/>
          <w:szCs w:val="30"/>
          <w:lang w:eastAsia="zh-CN"/>
        </w:rPr>
        <w:t>镇</w:t>
      </w:r>
      <w:r>
        <w:rPr>
          <w:rFonts w:hint="eastAsia"/>
          <w:color w:val="auto"/>
          <w:sz w:val="30"/>
          <w:szCs w:val="30"/>
        </w:rPr>
        <w:t>黎明社区十六米干道以北（罗江中学用地拆迁）1-4层</w:t>
      </w:r>
      <w:r>
        <w:rPr>
          <w:rFonts w:hint="eastAsia"/>
          <w:color w:val="auto"/>
          <w:spacing w:val="-6"/>
          <w:sz w:val="30"/>
          <w:szCs w:val="30"/>
        </w:rPr>
        <w:t>的住宅房地产市场价值评估</w:t>
      </w:r>
    </w:p>
    <w:p>
      <w:pPr>
        <w:spacing w:line="680" w:lineRule="exact"/>
        <w:ind w:left="2121" w:hanging="2121" w:hangingChars="707"/>
        <w:rPr>
          <w:rFonts w:hint="eastAsia"/>
          <w:sz w:val="30"/>
          <w:szCs w:val="30"/>
        </w:rPr>
      </w:pPr>
    </w:p>
    <w:p>
      <w:pPr>
        <w:spacing w:line="680" w:lineRule="exact"/>
        <w:ind w:left="2121" w:hanging="2121" w:hangingChars="707"/>
        <w:rPr>
          <w:sz w:val="30"/>
          <w:szCs w:val="30"/>
        </w:rPr>
      </w:pPr>
    </w:p>
    <w:p>
      <w:pPr>
        <w:spacing w:line="680" w:lineRule="exact"/>
        <w:ind w:left="2121" w:hanging="2121" w:hangingChars="707"/>
        <w:rPr>
          <w:rFonts w:hint="eastAsia"/>
          <w:sz w:val="30"/>
          <w:szCs w:val="30"/>
        </w:rPr>
      </w:pPr>
      <w:r>
        <w:rPr>
          <w:rFonts w:hint="eastAsia"/>
          <w:sz w:val="30"/>
          <w:szCs w:val="30"/>
        </w:rPr>
        <w:t>估价委托人：德阳市罗江区人民法院</w:t>
      </w:r>
    </w:p>
    <w:p>
      <w:pPr>
        <w:spacing w:line="680" w:lineRule="exact"/>
        <w:ind w:left="2121" w:hanging="2121" w:hangingChars="707"/>
        <w:rPr>
          <w:rFonts w:hint="eastAsia"/>
          <w:sz w:val="30"/>
          <w:szCs w:val="30"/>
        </w:rPr>
      </w:pPr>
      <w:r>
        <w:rPr>
          <w:rFonts w:hint="eastAsia"/>
          <w:sz w:val="30"/>
          <w:szCs w:val="30"/>
        </w:rPr>
        <w:t>房地产估价机构： 绵阳市公量房地产评估咨询有限公司</w:t>
      </w:r>
    </w:p>
    <w:p>
      <w:pPr>
        <w:spacing w:line="680" w:lineRule="exact"/>
        <w:ind w:left="2121" w:hanging="2121" w:hangingChars="707"/>
        <w:rPr>
          <w:sz w:val="30"/>
          <w:szCs w:val="30"/>
        </w:rPr>
      </w:pPr>
    </w:p>
    <w:p>
      <w:pPr>
        <w:spacing w:line="680" w:lineRule="exact"/>
        <w:rPr>
          <w:rFonts w:hint="eastAsia"/>
          <w:sz w:val="30"/>
          <w:szCs w:val="30"/>
        </w:rPr>
      </w:pPr>
    </w:p>
    <w:p>
      <w:pPr>
        <w:pStyle w:val="4"/>
        <w:spacing w:line="680" w:lineRule="exact"/>
        <w:ind w:firstLine="0"/>
        <w:rPr>
          <w:rFonts w:hint="eastAsia" w:eastAsia="宋体"/>
          <w:sz w:val="30"/>
          <w:szCs w:val="30"/>
        </w:rPr>
      </w:pPr>
      <w:r>
        <w:rPr>
          <w:rFonts w:eastAsia="宋体"/>
          <w:sz w:val="30"/>
          <w:szCs w:val="30"/>
        </w:rPr>
        <w:t>注册房地产估价师：</w:t>
      </w:r>
      <w:r>
        <w:rPr>
          <w:rFonts w:hint="eastAsia" w:eastAsia="宋体"/>
          <w:sz w:val="30"/>
          <w:szCs w:val="30"/>
        </w:rPr>
        <w:t xml:space="preserve">  李国祥          李志会</w:t>
      </w:r>
    </w:p>
    <w:p>
      <w:pPr>
        <w:pStyle w:val="4"/>
        <w:spacing w:line="680" w:lineRule="exact"/>
        <w:ind w:firstLine="0"/>
        <w:rPr>
          <w:rFonts w:hint="eastAsia" w:eastAsia="宋体"/>
          <w:sz w:val="30"/>
          <w:szCs w:val="30"/>
        </w:rPr>
      </w:pPr>
      <w:r>
        <w:rPr>
          <w:rFonts w:hint="eastAsia" w:eastAsia="宋体"/>
          <w:sz w:val="30"/>
          <w:szCs w:val="30"/>
        </w:rPr>
        <w:t xml:space="preserve">        注册证号：5120040581      </w:t>
      </w:r>
      <w:r>
        <w:rPr>
          <w:rFonts w:hint="eastAsia" w:eastAsia="宋体"/>
        </w:rPr>
        <w:t>5120130030</w:t>
      </w:r>
    </w:p>
    <w:p>
      <w:pPr>
        <w:spacing w:line="680" w:lineRule="exact"/>
        <w:rPr>
          <w:rFonts w:hint="eastAsia"/>
          <w:sz w:val="30"/>
          <w:szCs w:val="30"/>
        </w:rPr>
      </w:pPr>
    </w:p>
    <w:p>
      <w:pPr>
        <w:spacing w:line="680" w:lineRule="exact"/>
        <w:rPr>
          <w:rFonts w:hint="eastAsia"/>
          <w:sz w:val="30"/>
          <w:szCs w:val="30"/>
        </w:rPr>
      </w:pPr>
    </w:p>
    <w:p>
      <w:pPr>
        <w:spacing w:line="680" w:lineRule="exact"/>
        <w:rPr>
          <w:rFonts w:hint="eastAsia"/>
          <w:color w:val="0000FF"/>
          <w:sz w:val="30"/>
          <w:szCs w:val="30"/>
        </w:rPr>
      </w:pPr>
      <w:r>
        <w:rPr>
          <w:rFonts w:hint="eastAsia"/>
          <w:sz w:val="30"/>
          <w:szCs w:val="30"/>
        </w:rPr>
        <w:t>估价报告出具日期：二零一八年五月二十</w:t>
      </w:r>
      <w:r>
        <w:rPr>
          <w:rFonts w:hint="eastAsia"/>
          <w:sz w:val="30"/>
          <w:szCs w:val="30"/>
          <w:lang w:eastAsia="zh-CN"/>
        </w:rPr>
        <w:t>八</w:t>
      </w:r>
      <w:r>
        <w:rPr>
          <w:rFonts w:hint="eastAsia"/>
          <w:sz w:val="30"/>
          <w:szCs w:val="30"/>
        </w:rPr>
        <w:t>日</w:t>
      </w:r>
    </w:p>
    <w:p>
      <w:pPr>
        <w:spacing w:line="680" w:lineRule="exact"/>
        <w:rPr>
          <w:rFonts w:hint="eastAsia"/>
          <w:color w:val="0000FF"/>
          <w:sz w:val="30"/>
          <w:szCs w:val="30"/>
        </w:rPr>
      </w:pPr>
    </w:p>
    <w:p>
      <w:pPr>
        <w:spacing w:line="680" w:lineRule="exact"/>
        <w:rPr>
          <w:rFonts w:hint="eastAsia"/>
          <w:color w:val="0000FF"/>
          <w:sz w:val="30"/>
          <w:szCs w:val="30"/>
        </w:rPr>
      </w:pPr>
    </w:p>
    <w:p>
      <w:pPr>
        <w:spacing w:line="680" w:lineRule="exact"/>
        <w:ind w:left="2121" w:hanging="2121" w:hangingChars="707"/>
        <w:rPr>
          <w:b/>
          <w:lang w:val="zh-CN"/>
        </w:rPr>
      </w:pPr>
      <w:r>
        <w:rPr>
          <w:rFonts w:hint="eastAsia"/>
          <w:sz w:val="30"/>
          <w:szCs w:val="30"/>
        </w:rPr>
        <w:t>估价报告编号：绵公评（2018）字第457号</w:t>
      </w:r>
    </w:p>
    <w:p>
      <w:pPr>
        <w:pStyle w:val="17"/>
        <w:pageBreakBefore w:val="0"/>
        <w:kinsoku/>
        <w:wordWrap/>
        <w:overflowPunct/>
        <w:topLinePunct w:val="0"/>
        <w:autoSpaceDE/>
        <w:autoSpaceDN/>
        <w:bidi w:val="0"/>
        <w:adjustRightInd/>
        <w:snapToGrid/>
        <w:spacing w:before="0" w:after="0" w:line="460" w:lineRule="exact"/>
        <w:ind w:right="0" w:rightChars="0" w:firstLine="0" w:firstLineChars="0"/>
        <w:jc w:val="center"/>
        <w:textAlignment w:val="auto"/>
      </w:pPr>
      <w:r>
        <w:rPr>
          <w:b w:val="0"/>
          <w:color w:val="auto"/>
          <w:lang w:val="zh-CN"/>
        </w:rPr>
        <w:t>目</w:t>
      </w:r>
      <w:r>
        <w:rPr>
          <w:rFonts w:hint="eastAsia"/>
          <w:b w:val="0"/>
          <w:color w:val="auto"/>
          <w:lang w:val="zh-CN"/>
        </w:rPr>
        <w:t xml:space="preserve">   </w:t>
      </w:r>
      <w:r>
        <w:rPr>
          <w:b w:val="0"/>
          <w:color w:val="auto"/>
          <w:lang w:val="zh-CN"/>
        </w:rPr>
        <w:t>录</w:t>
      </w:r>
      <w:bookmarkEnd w:id="0"/>
      <w:r>
        <w:fldChar w:fldCharType="begin"/>
      </w:r>
      <w:r>
        <w:instrText xml:space="preserve"> TOC \o "1-3" \h \z \u </w:instrText>
      </w:r>
      <w:r>
        <w:fldChar w:fldCharType="separate"/>
      </w:r>
    </w:p>
    <w:p>
      <w:pPr>
        <w:pStyle w:val="10"/>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_Toc28919 </w:instrText>
      </w:r>
      <w:r>
        <w:fldChar w:fldCharType="separate"/>
      </w:r>
      <w:r>
        <w:rPr>
          <w:rFonts w:eastAsia="黑体"/>
        </w:rPr>
        <w:t xml:space="preserve">第一部分  </w:t>
      </w:r>
      <w:r>
        <w:rPr>
          <w:rFonts w:hint="eastAsia" w:eastAsia="黑体"/>
        </w:rPr>
        <w:t xml:space="preserve"> </w:t>
      </w:r>
      <w:r>
        <w:rPr>
          <w:rFonts w:eastAsia="黑体"/>
        </w:rPr>
        <w:t>致</w:t>
      </w:r>
      <w:r>
        <w:rPr>
          <w:rFonts w:hint="eastAsia" w:eastAsia="黑体"/>
        </w:rPr>
        <w:t>估价</w:t>
      </w:r>
      <w:r>
        <w:rPr>
          <w:rFonts w:eastAsia="黑体"/>
        </w:rPr>
        <w:t>委托</w:t>
      </w:r>
      <w:r>
        <w:rPr>
          <w:rFonts w:hint="eastAsia" w:eastAsia="黑体"/>
        </w:rPr>
        <w:t>人</w:t>
      </w:r>
      <w:r>
        <w:rPr>
          <w:rFonts w:eastAsia="黑体"/>
        </w:rPr>
        <w:t>函</w:t>
      </w:r>
      <w:r>
        <w:tab/>
      </w:r>
      <w:r>
        <w:fldChar w:fldCharType="begin"/>
      </w:r>
      <w:r>
        <w:instrText xml:space="preserve"> PAGEREF _Toc28919 </w:instrText>
      </w:r>
      <w:r>
        <w:fldChar w:fldCharType="separate"/>
      </w:r>
      <w:r>
        <w:t>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_Toc25834 </w:instrText>
      </w:r>
      <w:r>
        <w:fldChar w:fldCharType="separate"/>
      </w:r>
      <w:r>
        <w:rPr>
          <w:rFonts w:hint="eastAsia" w:eastAsia="黑体"/>
        </w:rPr>
        <w:t>一、</w:t>
      </w:r>
      <w:r>
        <w:rPr>
          <w:rFonts w:eastAsia="黑体"/>
        </w:rPr>
        <w:t>估价对象及范围</w:t>
      </w:r>
      <w:r>
        <w:tab/>
      </w:r>
      <w:r>
        <w:fldChar w:fldCharType="begin"/>
      </w:r>
      <w:r>
        <w:instrText xml:space="preserve"> PAGEREF _Toc25834 </w:instrText>
      </w:r>
      <w:r>
        <w:fldChar w:fldCharType="separate"/>
      </w:r>
      <w:r>
        <w:t>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_Toc30895 </w:instrText>
      </w:r>
      <w:r>
        <w:fldChar w:fldCharType="separate"/>
      </w:r>
      <w:r>
        <w:rPr>
          <w:rFonts w:eastAsia="黑体"/>
        </w:rPr>
        <w:t>二、估价目的</w:t>
      </w:r>
      <w:r>
        <w:tab/>
      </w:r>
      <w:r>
        <w:fldChar w:fldCharType="begin"/>
      </w:r>
      <w:r>
        <w:instrText xml:space="preserve"> PAGEREF _Toc30895 </w:instrText>
      </w:r>
      <w:r>
        <w:fldChar w:fldCharType="separate"/>
      </w:r>
      <w:r>
        <w:t>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_Toc22902 </w:instrText>
      </w:r>
      <w:r>
        <w:fldChar w:fldCharType="separate"/>
      </w:r>
      <w:r>
        <w:rPr>
          <w:rFonts w:eastAsia="黑体"/>
        </w:rPr>
        <w:t>三、估价方法</w:t>
      </w:r>
      <w:r>
        <w:tab/>
      </w:r>
      <w:r>
        <w:fldChar w:fldCharType="begin"/>
      </w:r>
      <w:r>
        <w:instrText xml:space="preserve"> PAGEREF _Toc22902 </w:instrText>
      </w:r>
      <w:r>
        <w:fldChar w:fldCharType="separate"/>
      </w:r>
      <w:r>
        <w:t>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_Toc25103 </w:instrText>
      </w:r>
      <w:r>
        <w:fldChar w:fldCharType="separate"/>
      </w:r>
      <w:r>
        <w:rPr>
          <w:rFonts w:eastAsia="黑体"/>
        </w:rPr>
        <w:t>四、</w:t>
      </w:r>
      <w:r>
        <w:rPr>
          <w:rFonts w:hint="eastAsia" w:eastAsia="黑体"/>
        </w:rPr>
        <w:t>价值时点</w:t>
      </w:r>
      <w:r>
        <w:tab/>
      </w:r>
      <w:r>
        <w:fldChar w:fldCharType="begin"/>
      </w:r>
      <w:r>
        <w:instrText xml:space="preserve"> PAGEREF _Toc25103 </w:instrText>
      </w:r>
      <w:r>
        <w:fldChar w:fldCharType="separate"/>
      </w:r>
      <w:r>
        <w:t>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_Toc2537 </w:instrText>
      </w:r>
      <w:r>
        <w:fldChar w:fldCharType="separate"/>
      </w:r>
      <w:r>
        <w:rPr>
          <w:rFonts w:eastAsia="黑体"/>
        </w:rPr>
        <w:t>五、</w:t>
      </w:r>
      <w:r>
        <w:rPr>
          <w:rFonts w:hint="eastAsia" w:eastAsia="黑体"/>
        </w:rPr>
        <w:t>价值类型</w:t>
      </w:r>
      <w:r>
        <w:tab/>
      </w:r>
      <w:r>
        <w:fldChar w:fldCharType="begin"/>
      </w:r>
      <w:r>
        <w:instrText xml:space="preserve"> PAGEREF _Toc2537 </w:instrText>
      </w:r>
      <w:r>
        <w:fldChar w:fldCharType="separate"/>
      </w:r>
      <w:r>
        <w:t>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_Toc17944 </w:instrText>
      </w:r>
      <w:r>
        <w:fldChar w:fldCharType="separate"/>
      </w:r>
      <w:r>
        <w:rPr>
          <w:rFonts w:hint="eastAsia" w:eastAsia="黑体"/>
        </w:rPr>
        <w:t>六</w:t>
      </w:r>
      <w:r>
        <w:rPr>
          <w:rFonts w:eastAsia="黑体"/>
        </w:rPr>
        <w:t>、估价结果</w:t>
      </w:r>
      <w:r>
        <w:tab/>
      </w:r>
      <w:r>
        <w:fldChar w:fldCharType="begin"/>
      </w:r>
      <w:r>
        <w:instrText xml:space="preserve"> PAGEREF _Toc17944 </w:instrText>
      </w:r>
      <w:r>
        <w:fldChar w:fldCharType="separate"/>
      </w:r>
      <w:r>
        <w:t>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_Toc19525 </w:instrText>
      </w:r>
      <w:r>
        <w:fldChar w:fldCharType="separate"/>
      </w:r>
      <w:r>
        <w:rPr>
          <w:rFonts w:hint="eastAsia" w:ascii="黑体" w:eastAsia="黑体"/>
        </w:rPr>
        <w:t>七、估价报告使用说明</w:t>
      </w:r>
      <w:r>
        <w:tab/>
      </w:r>
      <w:r>
        <w:fldChar w:fldCharType="begin"/>
      </w:r>
      <w:r>
        <w:instrText xml:space="preserve"> PAGEREF _Toc19525 </w:instrText>
      </w:r>
      <w:r>
        <w:fldChar w:fldCharType="separate"/>
      </w:r>
      <w:r>
        <w:t>３</w:t>
      </w:r>
      <w:r>
        <w:fldChar w:fldCharType="end"/>
      </w:r>
      <w:r>
        <w:fldChar w:fldCharType="end"/>
      </w:r>
    </w:p>
    <w:p>
      <w:pPr>
        <w:pStyle w:val="10"/>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_Toc18369 </w:instrText>
      </w:r>
      <w:r>
        <w:fldChar w:fldCharType="separate"/>
      </w:r>
      <w:r>
        <w:rPr>
          <w:rFonts w:eastAsia="黑体"/>
        </w:rPr>
        <w:t>第二部分   估价师声明</w:t>
      </w:r>
      <w:r>
        <w:tab/>
      </w:r>
      <w:r>
        <w:fldChar w:fldCharType="begin"/>
      </w:r>
      <w:r>
        <w:instrText xml:space="preserve"> PAGEREF _Toc18369 </w:instrText>
      </w:r>
      <w:r>
        <w:fldChar w:fldCharType="separate"/>
      </w:r>
      <w:r>
        <w:t>４</w:t>
      </w:r>
      <w:r>
        <w:fldChar w:fldCharType="end"/>
      </w:r>
      <w:r>
        <w:fldChar w:fldCharType="end"/>
      </w:r>
    </w:p>
    <w:p>
      <w:pPr>
        <w:pStyle w:val="10"/>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_Toc12470 </w:instrText>
      </w:r>
      <w:r>
        <w:fldChar w:fldCharType="separate"/>
      </w:r>
      <w:r>
        <w:rPr>
          <w:rFonts w:eastAsia="黑体"/>
        </w:rPr>
        <w:t>第三部分   估价的假设与限制条件及使用报告说明</w:t>
      </w:r>
      <w:r>
        <w:tab/>
      </w:r>
      <w:r>
        <w:fldChar w:fldCharType="begin"/>
      </w:r>
      <w:r>
        <w:instrText xml:space="preserve"> PAGEREF _Toc12470 </w:instrText>
      </w:r>
      <w:r>
        <w:fldChar w:fldCharType="separate"/>
      </w:r>
      <w:r>
        <w:t>５</w:t>
      </w:r>
      <w:r>
        <w:fldChar w:fldCharType="end"/>
      </w:r>
      <w:r>
        <w:fldChar w:fldCharType="end"/>
      </w:r>
    </w:p>
    <w:p>
      <w:pPr>
        <w:pStyle w:val="10"/>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_Toc4941 </w:instrText>
      </w:r>
      <w:r>
        <w:fldChar w:fldCharType="separate"/>
      </w:r>
      <w:r>
        <w:rPr>
          <w:rFonts w:eastAsia="黑体"/>
        </w:rPr>
        <w:t>第四部分   估价结果报告</w:t>
      </w:r>
      <w:r>
        <w:tab/>
      </w:r>
      <w:r>
        <w:fldChar w:fldCharType="begin"/>
      </w:r>
      <w:r>
        <w:instrText xml:space="preserve"> PAGEREF _Toc4941 </w:instrText>
      </w:r>
      <w:r>
        <w:fldChar w:fldCharType="separate"/>
      </w:r>
      <w:r>
        <w:t>８</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_Toc17427 </w:instrText>
      </w:r>
      <w:r>
        <w:fldChar w:fldCharType="separate"/>
      </w:r>
      <w:r>
        <w:rPr>
          <w:rFonts w:eastAsia="黑体"/>
        </w:rPr>
        <w:t>一、</w:t>
      </w:r>
      <w:r>
        <w:rPr>
          <w:rFonts w:hint="eastAsia" w:eastAsia="黑体"/>
        </w:rPr>
        <w:t>估价委托人</w:t>
      </w:r>
      <w:r>
        <w:tab/>
      </w:r>
      <w:r>
        <w:fldChar w:fldCharType="begin"/>
      </w:r>
      <w:r>
        <w:instrText xml:space="preserve"> PAGEREF _Toc17427 </w:instrText>
      </w:r>
      <w:r>
        <w:fldChar w:fldCharType="separate"/>
      </w:r>
      <w:r>
        <w:t>８</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_Toc21845 </w:instrText>
      </w:r>
      <w:r>
        <w:fldChar w:fldCharType="separate"/>
      </w:r>
      <w:r>
        <w:rPr>
          <w:rFonts w:eastAsia="黑体"/>
        </w:rPr>
        <w:t>二、</w:t>
      </w:r>
      <w:r>
        <w:rPr>
          <w:rFonts w:hint="eastAsia" w:eastAsia="黑体"/>
        </w:rPr>
        <w:t>房地产估价机构</w:t>
      </w:r>
      <w:r>
        <w:tab/>
      </w:r>
      <w:r>
        <w:fldChar w:fldCharType="begin"/>
      </w:r>
      <w:r>
        <w:instrText xml:space="preserve"> PAGEREF _Toc21845 </w:instrText>
      </w:r>
      <w:r>
        <w:fldChar w:fldCharType="separate"/>
      </w:r>
      <w:r>
        <w:t>８</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_Toc28484 </w:instrText>
      </w:r>
      <w:r>
        <w:fldChar w:fldCharType="separate"/>
      </w:r>
      <w:r>
        <w:rPr>
          <w:rFonts w:eastAsia="黑体"/>
        </w:rPr>
        <w:t>三、估价对象状况</w:t>
      </w:r>
      <w:r>
        <w:tab/>
      </w:r>
      <w:r>
        <w:fldChar w:fldCharType="begin"/>
      </w:r>
      <w:r>
        <w:instrText xml:space="preserve"> PAGEREF _Toc28484 </w:instrText>
      </w:r>
      <w:r>
        <w:fldChar w:fldCharType="separate"/>
      </w:r>
      <w:r>
        <w:t>８</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_Toc20229 </w:instrText>
      </w:r>
      <w:r>
        <w:fldChar w:fldCharType="separate"/>
      </w:r>
      <w:r>
        <w:rPr>
          <w:rFonts w:eastAsia="黑体"/>
        </w:rPr>
        <w:t>四、估价目的</w:t>
      </w:r>
      <w:r>
        <w:tab/>
      </w:r>
      <w:r>
        <w:fldChar w:fldCharType="begin"/>
      </w:r>
      <w:r>
        <w:instrText xml:space="preserve"> PAGEREF _Toc20229 </w:instrText>
      </w:r>
      <w:r>
        <w:fldChar w:fldCharType="separate"/>
      </w:r>
      <w:r>
        <w:t>１１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_Toc8968 </w:instrText>
      </w:r>
      <w:r>
        <w:fldChar w:fldCharType="separate"/>
      </w:r>
      <w:r>
        <w:rPr>
          <w:rFonts w:eastAsia="黑体"/>
        </w:rPr>
        <w:t>五、</w:t>
      </w:r>
      <w:r>
        <w:rPr>
          <w:rFonts w:hint="eastAsia" w:eastAsia="黑体"/>
        </w:rPr>
        <w:t>价值</w:t>
      </w:r>
      <w:r>
        <w:rPr>
          <w:rFonts w:eastAsia="黑体"/>
        </w:rPr>
        <w:t>时点</w:t>
      </w:r>
      <w:r>
        <w:tab/>
      </w:r>
      <w:r>
        <w:fldChar w:fldCharType="begin"/>
      </w:r>
      <w:r>
        <w:instrText xml:space="preserve"> PAGEREF _Toc8968 </w:instrText>
      </w:r>
      <w:r>
        <w:fldChar w:fldCharType="separate"/>
      </w:r>
      <w:r>
        <w:t>１１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_Toc6494 </w:instrText>
      </w:r>
      <w:r>
        <w:fldChar w:fldCharType="separate"/>
      </w:r>
      <w:r>
        <w:rPr>
          <w:rFonts w:eastAsia="黑体"/>
        </w:rPr>
        <w:t>六、</w:t>
      </w:r>
      <w:r>
        <w:rPr>
          <w:rFonts w:hint="eastAsia" w:eastAsia="黑体"/>
        </w:rPr>
        <w:t>价值类型</w:t>
      </w:r>
      <w:r>
        <w:tab/>
      </w:r>
      <w:r>
        <w:fldChar w:fldCharType="begin"/>
      </w:r>
      <w:r>
        <w:instrText xml:space="preserve"> PAGEREF _Toc6494 </w:instrText>
      </w:r>
      <w:r>
        <w:fldChar w:fldCharType="separate"/>
      </w:r>
      <w:r>
        <w:t>１１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_Toc15021 </w:instrText>
      </w:r>
      <w:r>
        <w:fldChar w:fldCharType="separate"/>
      </w:r>
      <w:r>
        <w:rPr>
          <w:rFonts w:hint="eastAsia" w:eastAsia="黑体"/>
        </w:rPr>
        <w:t>七</w:t>
      </w:r>
      <w:r>
        <w:rPr>
          <w:rFonts w:eastAsia="黑体"/>
        </w:rPr>
        <w:t>、估价依据</w:t>
      </w:r>
      <w:r>
        <w:tab/>
      </w:r>
      <w:r>
        <w:fldChar w:fldCharType="begin"/>
      </w:r>
      <w:r>
        <w:instrText xml:space="preserve"> PAGEREF _Toc15021 </w:instrText>
      </w:r>
      <w:r>
        <w:fldChar w:fldCharType="separate"/>
      </w:r>
      <w:r>
        <w:t>１１</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_Toc30593 </w:instrText>
      </w:r>
      <w:r>
        <w:fldChar w:fldCharType="separate"/>
      </w:r>
      <w:r>
        <w:rPr>
          <w:rFonts w:hint="eastAsia" w:eastAsia="黑体"/>
        </w:rPr>
        <w:t>八</w:t>
      </w:r>
      <w:r>
        <w:rPr>
          <w:rFonts w:eastAsia="黑体"/>
        </w:rPr>
        <w:t>、估价原则</w:t>
      </w:r>
      <w:r>
        <w:tab/>
      </w:r>
      <w:r>
        <w:fldChar w:fldCharType="begin"/>
      </w:r>
      <w:r>
        <w:instrText xml:space="preserve"> PAGEREF _Toc30593 </w:instrText>
      </w:r>
      <w:r>
        <w:fldChar w:fldCharType="separate"/>
      </w:r>
      <w:r>
        <w:t>１２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_Toc5553 </w:instrText>
      </w:r>
      <w:r>
        <w:fldChar w:fldCharType="separate"/>
      </w:r>
      <w:r>
        <w:rPr>
          <w:rFonts w:eastAsia="黑体"/>
        </w:rPr>
        <w:t>九、</w:t>
      </w:r>
      <w:r>
        <w:rPr>
          <w:rFonts w:hint="eastAsia" w:eastAsia="黑体"/>
        </w:rPr>
        <w:t>估价方法实用性分析</w:t>
      </w:r>
      <w:r>
        <w:tab/>
      </w:r>
      <w:r>
        <w:fldChar w:fldCharType="begin"/>
      </w:r>
      <w:r>
        <w:instrText xml:space="preserve"> PAGEREF _Toc5553 </w:instrText>
      </w:r>
      <w:r>
        <w:fldChar w:fldCharType="separate"/>
      </w:r>
      <w:r>
        <w:t>１２</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_Toc22602 </w:instrText>
      </w:r>
      <w:r>
        <w:fldChar w:fldCharType="separate"/>
      </w:r>
      <w:r>
        <w:rPr>
          <w:rFonts w:eastAsia="黑体"/>
        </w:rPr>
        <w:t>十、估价结果</w:t>
      </w:r>
      <w:r>
        <w:tab/>
      </w:r>
      <w:r>
        <w:fldChar w:fldCharType="begin"/>
      </w:r>
      <w:r>
        <w:instrText xml:space="preserve"> PAGEREF _Toc22602 </w:instrText>
      </w:r>
      <w:r>
        <w:fldChar w:fldCharType="separate"/>
      </w:r>
      <w:r>
        <w:t>１４</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_Toc10101 </w:instrText>
      </w:r>
      <w:r>
        <w:fldChar w:fldCharType="separate"/>
      </w:r>
      <w:r>
        <w:rPr>
          <w:rFonts w:eastAsia="黑体"/>
        </w:rPr>
        <w:t>十</w:t>
      </w:r>
      <w:r>
        <w:rPr>
          <w:rFonts w:hint="eastAsia" w:eastAsia="黑体"/>
        </w:rPr>
        <w:t>一</w:t>
      </w:r>
      <w:r>
        <w:rPr>
          <w:rFonts w:eastAsia="黑体"/>
        </w:rPr>
        <w:t>、估价人员</w:t>
      </w:r>
      <w:r>
        <w:tab/>
      </w:r>
      <w:r>
        <w:fldChar w:fldCharType="begin"/>
      </w:r>
      <w:r>
        <w:instrText xml:space="preserve"> PAGEREF _Toc10101 </w:instrText>
      </w:r>
      <w:r>
        <w:fldChar w:fldCharType="separate"/>
      </w:r>
      <w:r>
        <w:t>１５</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_Toc27074 </w:instrText>
      </w:r>
      <w:r>
        <w:fldChar w:fldCharType="separate"/>
      </w:r>
      <w:r>
        <w:rPr>
          <w:rFonts w:eastAsia="黑体"/>
        </w:rPr>
        <w:t>十</w:t>
      </w:r>
      <w:r>
        <w:rPr>
          <w:rFonts w:hint="eastAsia" w:eastAsia="黑体"/>
        </w:rPr>
        <w:t>二</w:t>
      </w:r>
      <w:r>
        <w:rPr>
          <w:rFonts w:eastAsia="黑体"/>
        </w:rPr>
        <w:t>、</w:t>
      </w:r>
      <w:r>
        <w:rPr>
          <w:rFonts w:hint="eastAsia" w:eastAsia="黑体"/>
        </w:rPr>
        <w:t>实地查勘期</w:t>
      </w:r>
      <w:r>
        <w:tab/>
      </w:r>
      <w:r>
        <w:fldChar w:fldCharType="begin"/>
      </w:r>
      <w:r>
        <w:instrText xml:space="preserve"> PAGEREF _Toc27074 </w:instrText>
      </w:r>
      <w:r>
        <w:fldChar w:fldCharType="separate"/>
      </w:r>
      <w:r>
        <w:t>１５</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_Toc30046 </w:instrText>
      </w:r>
      <w:r>
        <w:fldChar w:fldCharType="separate"/>
      </w:r>
      <w:r>
        <w:rPr>
          <w:rFonts w:eastAsia="黑体"/>
        </w:rPr>
        <w:t>十</w:t>
      </w:r>
      <w:r>
        <w:rPr>
          <w:rFonts w:hint="eastAsia" w:eastAsia="黑体"/>
        </w:rPr>
        <w:t>三</w:t>
      </w:r>
      <w:r>
        <w:rPr>
          <w:rFonts w:eastAsia="黑体"/>
        </w:rPr>
        <w:t>、估价作业期</w:t>
      </w:r>
      <w:r>
        <w:tab/>
      </w:r>
      <w:r>
        <w:fldChar w:fldCharType="begin"/>
      </w:r>
      <w:r>
        <w:instrText xml:space="preserve"> PAGEREF _Toc30046 </w:instrText>
      </w:r>
      <w:r>
        <w:fldChar w:fldCharType="separate"/>
      </w:r>
      <w:r>
        <w:t>１５</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_Toc30007 </w:instrText>
      </w:r>
      <w:r>
        <w:fldChar w:fldCharType="separate"/>
      </w:r>
      <w:r>
        <w:rPr>
          <w:rFonts w:eastAsia="黑体"/>
        </w:rPr>
        <w:t>十</w:t>
      </w:r>
      <w:r>
        <w:rPr>
          <w:rFonts w:hint="eastAsia" w:eastAsia="黑体"/>
        </w:rPr>
        <w:t>四</w:t>
      </w:r>
      <w:r>
        <w:rPr>
          <w:rFonts w:eastAsia="黑体"/>
        </w:rPr>
        <w:t>、估价报告使用期限</w:t>
      </w:r>
      <w:r>
        <w:tab/>
      </w:r>
      <w:r>
        <w:fldChar w:fldCharType="begin"/>
      </w:r>
      <w:r>
        <w:instrText xml:space="preserve"> PAGEREF _Toc30007 </w:instrText>
      </w:r>
      <w:r>
        <w:fldChar w:fldCharType="separate"/>
      </w:r>
      <w:r>
        <w:t>１５</w:t>
      </w:r>
      <w:r>
        <w:fldChar w:fldCharType="end"/>
      </w:r>
      <w:r>
        <w:fldChar w:fldCharType="end"/>
      </w:r>
    </w:p>
    <w:p>
      <w:pPr>
        <w:pStyle w:val="12"/>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_Toc32531 </w:instrText>
      </w:r>
      <w:r>
        <w:fldChar w:fldCharType="separate"/>
      </w:r>
      <w:r>
        <w:rPr>
          <w:rFonts w:eastAsia="黑体"/>
        </w:rPr>
        <w:t>十</w:t>
      </w:r>
      <w:r>
        <w:rPr>
          <w:rFonts w:hint="eastAsia" w:eastAsia="黑体"/>
        </w:rPr>
        <w:t>五</w:t>
      </w:r>
      <w:r>
        <w:rPr>
          <w:rFonts w:eastAsia="黑体"/>
        </w:rPr>
        <w:t>、审 核</w:t>
      </w:r>
      <w:r>
        <w:tab/>
      </w:r>
      <w:r>
        <w:fldChar w:fldCharType="begin"/>
      </w:r>
      <w:r>
        <w:instrText xml:space="preserve"> PAGEREF _Toc32531 </w:instrText>
      </w:r>
      <w:r>
        <w:fldChar w:fldCharType="separate"/>
      </w:r>
      <w:r>
        <w:t>１５</w:t>
      </w:r>
      <w:r>
        <w:fldChar w:fldCharType="end"/>
      </w:r>
      <w:r>
        <w:fldChar w:fldCharType="end"/>
      </w:r>
    </w:p>
    <w:p>
      <w:pPr>
        <w:pStyle w:val="10"/>
        <w:pageBreakBefore w:val="0"/>
        <w:tabs>
          <w:tab w:val="right" w:leader="dot" w:pos="8278"/>
        </w:tabs>
        <w:kinsoku/>
        <w:wordWrap/>
        <w:overflowPunct/>
        <w:topLinePunct w:val="0"/>
        <w:autoSpaceDE/>
        <w:autoSpaceDN/>
        <w:bidi w:val="0"/>
        <w:adjustRightInd/>
        <w:snapToGrid/>
        <w:spacing w:line="460" w:lineRule="exact"/>
        <w:ind w:right="0" w:rightChars="0" w:firstLine="0" w:firstLineChars="0"/>
        <w:textAlignment w:val="auto"/>
      </w:pPr>
      <w:r>
        <w:fldChar w:fldCharType="begin"/>
      </w:r>
      <w:r>
        <w:instrText xml:space="preserve"> HYPERLINK \l _Toc7267 </w:instrText>
      </w:r>
      <w:r>
        <w:fldChar w:fldCharType="separate"/>
      </w:r>
      <w:r>
        <w:rPr>
          <w:rFonts w:hint="eastAsia" w:eastAsia="黑体"/>
        </w:rPr>
        <w:t>第</w:t>
      </w:r>
      <w:r>
        <w:rPr>
          <w:rFonts w:hint="eastAsia" w:eastAsia="黑体"/>
          <w:lang w:eastAsia="zh-CN"/>
        </w:rPr>
        <w:t>五</w:t>
      </w:r>
      <w:r>
        <w:rPr>
          <w:rFonts w:hint="eastAsia" w:eastAsia="黑体"/>
        </w:rPr>
        <w:t xml:space="preserve">部分   </w:t>
      </w:r>
      <w:r>
        <w:rPr>
          <w:rFonts w:eastAsia="黑体"/>
        </w:rPr>
        <w:t>附  件</w:t>
      </w:r>
      <w:r>
        <w:tab/>
      </w:r>
      <w:r>
        <w:fldChar w:fldCharType="begin"/>
      </w:r>
      <w:r>
        <w:instrText xml:space="preserve"> PAGEREF _Toc7267 </w:instrText>
      </w:r>
      <w:r>
        <w:fldChar w:fldCharType="separate"/>
      </w:r>
      <w:r>
        <w:t>１６</w:t>
      </w:r>
      <w:r>
        <w:fldChar w:fldCharType="end"/>
      </w:r>
      <w:r>
        <w:fldChar w:fldCharType="end"/>
      </w:r>
    </w:p>
    <w:p>
      <w:pPr>
        <w:pageBreakBefore w:val="0"/>
        <w:kinsoku/>
        <w:wordWrap/>
        <w:overflowPunct/>
        <w:topLinePunct w:val="0"/>
        <w:autoSpaceDE/>
        <w:autoSpaceDN/>
        <w:bidi w:val="0"/>
        <w:adjustRightInd/>
        <w:snapToGrid/>
        <w:spacing w:line="460" w:lineRule="exact"/>
        <w:ind w:right="0" w:rightChars="0" w:firstLine="0" w:firstLineChars="0"/>
        <w:textAlignment w:val="auto"/>
        <w:sectPr>
          <w:headerReference r:id="rId3" w:type="default"/>
          <w:footerReference r:id="rId4" w:type="default"/>
          <w:pgSz w:w="11907" w:h="16840"/>
          <w:pgMar w:top="1418" w:right="1469" w:bottom="1418" w:left="2160" w:header="1134" w:footer="1134" w:gutter="0"/>
          <w:pgNumType w:fmt="decimalFullWidth" w:start="1"/>
          <w:cols w:space="720" w:num="1"/>
          <w:docGrid w:linePitch="447" w:charSpace="17094"/>
        </w:sectPr>
      </w:pPr>
      <w:r>
        <w:fldChar w:fldCharType="end"/>
      </w:r>
    </w:p>
    <w:p>
      <w:pPr>
        <w:spacing w:line="500" w:lineRule="exact"/>
      </w:pPr>
      <w:r>
        <w:drawing>
          <wp:anchor distT="0" distB="0" distL="114300" distR="114300" simplePos="0" relativeHeight="251659264" behindDoc="0" locked="0" layoutInCell="1" allowOverlap="1">
            <wp:simplePos x="0" y="0"/>
            <wp:positionH relativeFrom="column">
              <wp:posOffset>4064000</wp:posOffset>
            </wp:positionH>
            <wp:positionV relativeFrom="paragraph">
              <wp:posOffset>-12700</wp:posOffset>
            </wp:positionV>
            <wp:extent cx="1188085" cy="1188085"/>
            <wp:effectExtent l="0" t="0" r="12065" b="1206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188085" cy="1188085"/>
                    </a:xfrm>
                    <a:prstGeom prst="rect">
                      <a:avLst/>
                    </a:prstGeom>
                    <a:noFill/>
                    <a:ln w="9525">
                      <a:noFill/>
                    </a:ln>
                  </pic:spPr>
                </pic:pic>
              </a:graphicData>
            </a:graphic>
          </wp:anchor>
        </w:drawing>
      </w: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ind w:firstLine="4464" w:firstLineChars="1395"/>
        <w:rPr>
          <w:rFonts w:hint="eastAsia" w:ascii="宋体" w:hAnsi="宋体" w:eastAsia="宋体"/>
          <w:bCs/>
          <w:sz w:val="32"/>
          <w:szCs w:val="36"/>
        </w:rPr>
      </w:pPr>
    </w:p>
    <w:p>
      <w:pPr>
        <w:pStyle w:val="4"/>
        <w:spacing w:line="560" w:lineRule="exact"/>
        <w:ind w:firstLine="4464" w:firstLineChars="1395"/>
        <w:jc w:val="right"/>
        <w:rPr>
          <w:rFonts w:eastAsia="黑体"/>
          <w:b/>
          <w:sz w:val="36"/>
          <w:szCs w:val="36"/>
        </w:rPr>
      </w:pPr>
      <w:r>
        <w:rPr>
          <w:rFonts w:hAnsi="宋体" w:eastAsia="宋体"/>
          <w:bCs/>
          <w:sz w:val="32"/>
          <w:szCs w:val="36"/>
        </w:rPr>
        <w:t>绵公评</w:t>
      </w:r>
      <w:r>
        <w:rPr>
          <w:rFonts w:eastAsia="宋体"/>
          <w:bCs/>
          <w:sz w:val="32"/>
          <w:szCs w:val="36"/>
        </w:rPr>
        <w:t>[201</w:t>
      </w:r>
      <w:r>
        <w:rPr>
          <w:rFonts w:hint="eastAsia" w:eastAsia="宋体"/>
          <w:bCs/>
          <w:sz w:val="32"/>
          <w:szCs w:val="36"/>
        </w:rPr>
        <w:t>8</w:t>
      </w:r>
      <w:r>
        <w:rPr>
          <w:rFonts w:eastAsia="宋体"/>
          <w:bCs/>
          <w:sz w:val="32"/>
          <w:szCs w:val="36"/>
        </w:rPr>
        <w:t>]</w:t>
      </w:r>
      <w:r>
        <w:rPr>
          <w:rFonts w:hAnsi="宋体" w:eastAsia="宋体"/>
          <w:bCs/>
          <w:sz w:val="32"/>
          <w:szCs w:val="36"/>
        </w:rPr>
        <w:t>字第</w:t>
      </w:r>
      <w:r>
        <w:rPr>
          <w:rFonts w:hint="eastAsia" w:hAnsi="宋体" w:eastAsia="宋体"/>
          <w:bCs/>
          <w:sz w:val="32"/>
          <w:szCs w:val="36"/>
        </w:rPr>
        <w:t>457</w:t>
      </w:r>
      <w:r>
        <w:rPr>
          <w:rFonts w:hint="eastAsia" w:eastAsia="宋体"/>
          <w:bCs/>
          <w:sz w:val="32"/>
          <w:szCs w:val="36"/>
        </w:rPr>
        <w:t>号</w:t>
      </w:r>
    </w:p>
    <w:p>
      <w:pPr>
        <w:pStyle w:val="4"/>
        <w:spacing w:line="560" w:lineRule="exact"/>
        <w:ind w:firstLine="0"/>
        <w:jc w:val="center"/>
        <w:rPr>
          <w:rFonts w:hint="eastAsia" w:eastAsia="黑体"/>
          <w:b/>
          <w:sz w:val="36"/>
          <w:szCs w:val="36"/>
        </w:rPr>
      </w:pPr>
    </w:p>
    <w:p>
      <w:pPr>
        <w:pStyle w:val="4"/>
        <w:spacing w:line="560" w:lineRule="exact"/>
        <w:ind w:firstLine="0"/>
        <w:jc w:val="center"/>
        <w:rPr>
          <w:rFonts w:hint="eastAsia" w:eastAsia="黑体"/>
          <w:b/>
          <w:sz w:val="36"/>
          <w:szCs w:val="36"/>
        </w:rPr>
      </w:pPr>
    </w:p>
    <w:p>
      <w:pPr>
        <w:pStyle w:val="4"/>
        <w:spacing w:line="560" w:lineRule="exact"/>
        <w:ind w:firstLine="0"/>
        <w:jc w:val="center"/>
        <w:rPr>
          <w:rFonts w:hint="eastAsia" w:eastAsia="黑体"/>
          <w:b/>
          <w:sz w:val="36"/>
          <w:szCs w:val="36"/>
        </w:rPr>
      </w:pPr>
      <w:r>
        <w:rPr>
          <w:rFonts w:hint="eastAsia" w:eastAsia="黑体"/>
          <w:b/>
          <w:sz w:val="36"/>
          <w:szCs w:val="36"/>
        </w:rPr>
        <w:t>德阳市罗江区人民法院</w:t>
      </w:r>
    </w:p>
    <w:p>
      <w:pPr>
        <w:pStyle w:val="4"/>
        <w:spacing w:line="560" w:lineRule="exact"/>
        <w:ind w:firstLine="0"/>
        <w:jc w:val="center"/>
        <w:rPr>
          <w:rFonts w:hint="eastAsia" w:eastAsia="黑体"/>
          <w:b/>
          <w:sz w:val="36"/>
        </w:rPr>
      </w:pPr>
      <w:r>
        <w:rPr>
          <w:rFonts w:hint="eastAsia" w:eastAsia="黑体"/>
          <w:b/>
          <w:sz w:val="36"/>
          <w:szCs w:val="36"/>
        </w:rPr>
        <w:t>委托估价的房地产</w:t>
      </w:r>
      <w:r>
        <w:rPr>
          <w:rFonts w:eastAsia="黑体"/>
          <w:b/>
          <w:sz w:val="36"/>
        </w:rPr>
        <w:t>价值评估</w:t>
      </w:r>
      <w:r>
        <w:rPr>
          <w:rFonts w:hint="eastAsia" w:eastAsia="黑体"/>
          <w:b/>
          <w:sz w:val="36"/>
        </w:rPr>
        <w:t>报告</w:t>
      </w:r>
    </w:p>
    <w:p>
      <w:pPr>
        <w:pStyle w:val="4"/>
        <w:spacing w:line="560" w:lineRule="exact"/>
        <w:ind w:firstLine="1984" w:firstLineChars="549"/>
        <w:outlineLvl w:val="0"/>
        <w:rPr>
          <w:rFonts w:eastAsia="黑体"/>
          <w:b/>
          <w:sz w:val="36"/>
        </w:rPr>
      </w:pPr>
      <w:bookmarkStart w:id="1" w:name="_Toc418519333"/>
      <w:bookmarkStart w:id="2" w:name="_Toc28919"/>
    </w:p>
    <w:p>
      <w:pPr>
        <w:pStyle w:val="4"/>
        <w:spacing w:line="560" w:lineRule="exact"/>
        <w:ind w:firstLine="1984" w:firstLineChars="549"/>
        <w:outlineLvl w:val="0"/>
        <w:rPr>
          <w:rFonts w:hint="eastAsia" w:eastAsia="黑体"/>
          <w:b/>
          <w:sz w:val="36"/>
        </w:rPr>
      </w:pPr>
      <w:r>
        <w:rPr>
          <w:rFonts w:eastAsia="黑体"/>
          <w:b/>
          <w:sz w:val="36"/>
        </w:rPr>
        <w:t>第一部分  致</w:t>
      </w:r>
      <w:r>
        <w:rPr>
          <w:rFonts w:hint="eastAsia" w:eastAsia="黑体"/>
          <w:b/>
          <w:sz w:val="36"/>
        </w:rPr>
        <w:t>估价</w:t>
      </w:r>
      <w:r>
        <w:rPr>
          <w:rFonts w:eastAsia="黑体"/>
          <w:b/>
          <w:sz w:val="36"/>
        </w:rPr>
        <w:t>委托</w:t>
      </w:r>
      <w:r>
        <w:rPr>
          <w:rFonts w:hint="eastAsia" w:eastAsia="黑体"/>
          <w:b/>
          <w:sz w:val="36"/>
        </w:rPr>
        <w:t>人</w:t>
      </w:r>
      <w:r>
        <w:rPr>
          <w:rFonts w:eastAsia="黑体"/>
          <w:b/>
          <w:sz w:val="36"/>
        </w:rPr>
        <w:t>函</w:t>
      </w:r>
      <w:bookmarkEnd w:id="1"/>
      <w:bookmarkEnd w:id="2"/>
    </w:p>
    <w:p>
      <w:pPr>
        <w:pStyle w:val="4"/>
        <w:spacing w:line="560" w:lineRule="exact"/>
        <w:ind w:firstLine="0"/>
        <w:rPr>
          <w:rFonts w:hint="eastAsia" w:eastAsia="黑体"/>
          <w:b/>
          <w:sz w:val="36"/>
          <w:szCs w:val="36"/>
        </w:rPr>
      </w:pPr>
      <w:r>
        <w:rPr>
          <w:rFonts w:eastAsia="宋体"/>
          <w:b/>
        </w:rPr>
        <w:t>致</w:t>
      </w:r>
      <w:r>
        <w:rPr>
          <w:rFonts w:hint="eastAsia" w:ascii="宋体" w:hAnsi="宋体" w:eastAsia="宋体"/>
          <w:b/>
          <w:szCs w:val="28"/>
        </w:rPr>
        <w:t>德阳市罗江区人民法院</w:t>
      </w:r>
      <w:r>
        <w:rPr>
          <w:rFonts w:eastAsia="宋体"/>
        </w:rPr>
        <w:t>：</w:t>
      </w:r>
    </w:p>
    <w:p>
      <w:pPr>
        <w:spacing w:line="560" w:lineRule="exact"/>
        <w:ind w:firstLine="555"/>
        <w:rPr>
          <w:rFonts w:hint="eastAsia"/>
          <w:sz w:val="28"/>
          <w:szCs w:val="20"/>
        </w:rPr>
      </w:pPr>
      <w:r>
        <w:rPr>
          <w:sz w:val="28"/>
          <w:szCs w:val="20"/>
        </w:rPr>
        <w:t>我公司接受</w:t>
      </w:r>
      <w:r>
        <w:rPr>
          <w:rFonts w:hint="eastAsia"/>
          <w:sz w:val="28"/>
          <w:szCs w:val="20"/>
        </w:rPr>
        <w:t>贵院</w:t>
      </w:r>
      <w:r>
        <w:rPr>
          <w:sz w:val="28"/>
          <w:szCs w:val="20"/>
        </w:rPr>
        <w:t>委托，对位于</w:t>
      </w:r>
      <w:r>
        <w:rPr>
          <w:rFonts w:hint="eastAsia"/>
          <w:sz w:val="28"/>
          <w:szCs w:val="20"/>
          <w:lang w:eastAsia="zh-CN"/>
        </w:rPr>
        <w:t>德阳市罗江镇黎明社区</w:t>
      </w:r>
      <w:r>
        <w:rPr>
          <w:rFonts w:hint="eastAsia"/>
          <w:color w:val="auto"/>
          <w:sz w:val="28"/>
          <w:szCs w:val="20"/>
        </w:rPr>
        <w:t>十六米干道</w:t>
      </w:r>
      <w:r>
        <w:rPr>
          <w:rFonts w:hint="eastAsia"/>
          <w:sz w:val="28"/>
          <w:szCs w:val="20"/>
        </w:rPr>
        <w:t>以北（罗江中学用地拆迁）1-4层的住宅房地产，</w:t>
      </w:r>
      <w:r>
        <w:rPr>
          <w:sz w:val="28"/>
          <w:szCs w:val="20"/>
        </w:rPr>
        <w:t>按规范的</w:t>
      </w:r>
      <w:r>
        <w:rPr>
          <w:rFonts w:hint="eastAsia"/>
          <w:sz w:val="28"/>
          <w:szCs w:val="20"/>
        </w:rPr>
        <w:t>估价</w:t>
      </w:r>
      <w:r>
        <w:rPr>
          <w:sz w:val="28"/>
          <w:szCs w:val="20"/>
        </w:rPr>
        <w:t>程序，采用适当的</w:t>
      </w:r>
      <w:r>
        <w:rPr>
          <w:rFonts w:hint="eastAsia"/>
          <w:sz w:val="28"/>
          <w:szCs w:val="20"/>
        </w:rPr>
        <w:t>估价</w:t>
      </w:r>
      <w:r>
        <w:rPr>
          <w:sz w:val="28"/>
          <w:szCs w:val="20"/>
        </w:rPr>
        <w:t>方法，遵循公允的</w:t>
      </w:r>
      <w:r>
        <w:rPr>
          <w:rFonts w:hint="eastAsia"/>
          <w:sz w:val="28"/>
          <w:szCs w:val="20"/>
        </w:rPr>
        <w:t>估价</w:t>
      </w:r>
      <w:r>
        <w:rPr>
          <w:sz w:val="28"/>
          <w:szCs w:val="20"/>
        </w:rPr>
        <w:t>原则进行了估价，现将结果报告如下：</w:t>
      </w:r>
    </w:p>
    <w:p>
      <w:pPr>
        <w:spacing w:line="560" w:lineRule="exact"/>
        <w:ind w:left="540"/>
        <w:outlineLvl w:val="1"/>
        <w:rPr>
          <w:sz w:val="32"/>
        </w:rPr>
      </w:pPr>
      <w:bookmarkStart w:id="3" w:name="_Toc418519334"/>
      <w:bookmarkStart w:id="4" w:name="_Toc25834"/>
      <w:r>
        <w:rPr>
          <w:rFonts w:hint="eastAsia" w:eastAsia="黑体"/>
          <w:b/>
          <w:sz w:val="32"/>
        </w:rPr>
        <w:t>一、</w:t>
      </w:r>
      <w:r>
        <w:rPr>
          <w:rFonts w:eastAsia="黑体"/>
          <w:b/>
          <w:sz w:val="32"/>
        </w:rPr>
        <w:t>估价对象及范围</w:t>
      </w:r>
      <w:bookmarkEnd w:id="3"/>
      <w:bookmarkEnd w:id="4"/>
    </w:p>
    <w:p>
      <w:pPr>
        <w:spacing w:line="560" w:lineRule="exact"/>
        <w:ind w:firstLine="570"/>
        <w:rPr>
          <w:rFonts w:hint="eastAsia"/>
          <w:sz w:val="28"/>
          <w:szCs w:val="20"/>
        </w:rPr>
      </w:pPr>
      <w:r>
        <w:rPr>
          <w:sz w:val="28"/>
          <w:szCs w:val="20"/>
        </w:rPr>
        <w:t>位于</w:t>
      </w:r>
      <w:r>
        <w:rPr>
          <w:rFonts w:hint="eastAsia"/>
          <w:sz w:val="28"/>
          <w:szCs w:val="20"/>
          <w:lang w:eastAsia="zh-CN"/>
        </w:rPr>
        <w:t>德阳市罗江镇黎明社区</w:t>
      </w:r>
      <w:r>
        <w:rPr>
          <w:rFonts w:hint="eastAsia"/>
          <w:sz w:val="28"/>
          <w:szCs w:val="20"/>
        </w:rPr>
        <w:t>十六米干道以北（罗江中学用地拆迁）1-4层的住宅房地产</w:t>
      </w:r>
      <w:r>
        <w:rPr>
          <w:sz w:val="28"/>
          <w:szCs w:val="20"/>
        </w:rPr>
        <w:t>：</w:t>
      </w:r>
      <w:bookmarkStart w:id="5" w:name="OLE_LINK1"/>
      <w:r>
        <w:rPr>
          <w:rFonts w:hint="eastAsia"/>
          <w:sz w:val="28"/>
          <w:szCs w:val="20"/>
        </w:rPr>
        <w:t>建筑面积为279.73</w:t>
      </w:r>
      <w:r>
        <w:rPr>
          <w:sz w:val="28"/>
          <w:szCs w:val="20"/>
        </w:rPr>
        <w:t>平方米</w:t>
      </w:r>
      <w:bookmarkEnd w:id="5"/>
      <w:r>
        <w:rPr>
          <w:rFonts w:hint="eastAsia"/>
          <w:sz w:val="28"/>
          <w:szCs w:val="20"/>
        </w:rPr>
        <w:t>及</w:t>
      </w:r>
      <w:r>
        <w:rPr>
          <w:sz w:val="28"/>
          <w:szCs w:val="20"/>
        </w:rPr>
        <w:t>相应</w:t>
      </w:r>
      <w:r>
        <w:rPr>
          <w:rFonts w:hint="eastAsia"/>
          <w:sz w:val="28"/>
          <w:szCs w:val="20"/>
        </w:rPr>
        <w:t>分摊的</w:t>
      </w:r>
      <w:r>
        <w:rPr>
          <w:sz w:val="28"/>
          <w:szCs w:val="20"/>
        </w:rPr>
        <w:t>国有</w:t>
      </w:r>
      <w:r>
        <w:rPr>
          <w:rFonts w:hint="eastAsia"/>
          <w:sz w:val="28"/>
          <w:szCs w:val="20"/>
        </w:rPr>
        <w:t>出让</w:t>
      </w:r>
      <w:r>
        <w:rPr>
          <w:sz w:val="28"/>
          <w:szCs w:val="20"/>
        </w:rPr>
        <w:t>土地使用权</w:t>
      </w:r>
      <w:r>
        <w:rPr>
          <w:rFonts w:hint="eastAsia"/>
          <w:sz w:val="28"/>
          <w:szCs w:val="20"/>
        </w:rPr>
        <w:t>面积为75.0平方米</w:t>
      </w:r>
      <w:r>
        <w:rPr>
          <w:sz w:val="28"/>
          <w:szCs w:val="20"/>
        </w:rPr>
        <w:t>。</w:t>
      </w:r>
    </w:p>
    <w:p>
      <w:pPr>
        <w:spacing w:line="560" w:lineRule="exact"/>
        <w:outlineLvl w:val="1"/>
        <w:rPr>
          <w:rFonts w:eastAsia="黑体"/>
          <w:b/>
          <w:sz w:val="30"/>
        </w:rPr>
      </w:pPr>
      <w:r>
        <w:rPr>
          <w:rFonts w:eastAsia="黑体"/>
          <w:b/>
          <w:sz w:val="30"/>
        </w:rPr>
        <w:t xml:space="preserve">   </w:t>
      </w:r>
    </w:p>
    <w:p>
      <w:pPr>
        <w:spacing w:line="580" w:lineRule="exact"/>
        <w:ind w:firstLine="643" w:firstLineChars="200"/>
        <w:outlineLvl w:val="1"/>
        <w:rPr>
          <w:rFonts w:eastAsia="黑体"/>
          <w:b/>
          <w:sz w:val="32"/>
        </w:rPr>
      </w:pPr>
      <w:bookmarkStart w:id="6" w:name="_Toc418519335"/>
      <w:bookmarkStart w:id="7" w:name="_Toc30895"/>
      <w:r>
        <w:rPr>
          <w:rFonts w:eastAsia="黑体"/>
          <w:b/>
          <w:sz w:val="32"/>
        </w:rPr>
        <w:t>二、估价目的</w:t>
      </w:r>
      <w:bookmarkEnd w:id="6"/>
      <w:bookmarkEnd w:id="7"/>
    </w:p>
    <w:p>
      <w:pPr>
        <w:spacing w:line="580" w:lineRule="exact"/>
        <w:ind w:firstLine="536" w:firstLineChars="200"/>
        <w:rPr>
          <w:rFonts w:hint="eastAsia"/>
          <w:spacing w:val="-6"/>
          <w:sz w:val="28"/>
          <w:szCs w:val="20"/>
        </w:rPr>
      </w:pPr>
      <w:r>
        <w:rPr>
          <w:spacing w:val="-6"/>
          <w:sz w:val="28"/>
          <w:szCs w:val="20"/>
        </w:rPr>
        <w:t>为司法拍卖（变卖）提供房地产市场价值参考依据。</w:t>
      </w:r>
    </w:p>
    <w:p>
      <w:pPr>
        <w:spacing w:line="580" w:lineRule="exact"/>
        <w:outlineLvl w:val="1"/>
        <w:rPr>
          <w:rFonts w:eastAsia="黑体"/>
          <w:b/>
          <w:sz w:val="32"/>
        </w:rPr>
      </w:pPr>
      <w:r>
        <w:rPr>
          <w:rFonts w:eastAsia="黑体"/>
          <w:b/>
        </w:rPr>
        <w:t xml:space="preserve">  </w:t>
      </w:r>
      <w:r>
        <w:rPr>
          <w:rFonts w:hint="eastAsia" w:eastAsia="黑体"/>
          <w:b/>
        </w:rPr>
        <w:t xml:space="preserve"> </w:t>
      </w:r>
      <w:r>
        <w:rPr>
          <w:rFonts w:eastAsia="黑体"/>
          <w:b/>
        </w:rPr>
        <w:t xml:space="preserve"> </w:t>
      </w:r>
      <w:r>
        <w:rPr>
          <w:rFonts w:eastAsia="黑体"/>
          <w:b/>
          <w:sz w:val="32"/>
        </w:rPr>
        <w:t xml:space="preserve"> </w:t>
      </w:r>
      <w:bookmarkStart w:id="8" w:name="_Toc418519336"/>
      <w:bookmarkStart w:id="9" w:name="_Toc22902"/>
      <w:r>
        <w:rPr>
          <w:rFonts w:eastAsia="黑体"/>
          <w:b/>
          <w:sz w:val="32"/>
        </w:rPr>
        <w:t>三、估价方法</w:t>
      </w:r>
      <w:bookmarkEnd w:id="8"/>
      <w:bookmarkEnd w:id="9"/>
    </w:p>
    <w:p>
      <w:pPr>
        <w:spacing w:line="580" w:lineRule="exact"/>
        <w:ind w:firstLine="555"/>
        <w:rPr>
          <w:sz w:val="28"/>
          <w:szCs w:val="20"/>
        </w:rPr>
      </w:pPr>
      <w:r>
        <w:rPr>
          <w:rFonts w:hint="eastAsia"/>
          <w:sz w:val="28"/>
          <w:szCs w:val="28"/>
        </w:rPr>
        <w:t>采用</w:t>
      </w:r>
      <w:r>
        <w:rPr>
          <w:rFonts w:hint="eastAsia"/>
          <w:sz w:val="28"/>
          <w:szCs w:val="20"/>
        </w:rPr>
        <w:t>比较法</w:t>
      </w:r>
      <w:r>
        <w:rPr>
          <w:sz w:val="28"/>
          <w:szCs w:val="20"/>
        </w:rPr>
        <w:t>进行估价确定</w:t>
      </w:r>
      <w:r>
        <w:rPr>
          <w:rFonts w:hint="eastAsia"/>
          <w:sz w:val="28"/>
          <w:szCs w:val="20"/>
        </w:rPr>
        <w:t>房地产价值</w:t>
      </w:r>
      <w:r>
        <w:rPr>
          <w:sz w:val="28"/>
          <w:szCs w:val="20"/>
        </w:rPr>
        <w:t>。</w:t>
      </w:r>
    </w:p>
    <w:p>
      <w:pPr>
        <w:spacing w:line="580" w:lineRule="exact"/>
        <w:ind w:firstLine="630" w:firstLineChars="196"/>
        <w:outlineLvl w:val="1"/>
        <w:rPr>
          <w:sz w:val="32"/>
        </w:rPr>
      </w:pPr>
      <w:bookmarkStart w:id="10" w:name="_Toc25103"/>
      <w:r>
        <w:rPr>
          <w:rFonts w:eastAsia="黑体"/>
          <w:b/>
          <w:sz w:val="32"/>
        </w:rPr>
        <w:t>四、</w:t>
      </w:r>
      <w:r>
        <w:rPr>
          <w:rFonts w:hint="eastAsia" w:eastAsia="黑体"/>
          <w:b/>
          <w:sz w:val="32"/>
        </w:rPr>
        <w:t>价值时点</w:t>
      </w:r>
      <w:bookmarkEnd w:id="10"/>
    </w:p>
    <w:p>
      <w:pPr>
        <w:pStyle w:val="6"/>
        <w:spacing w:line="580" w:lineRule="exact"/>
        <w:ind w:firstLine="560" w:firstLineChars="200"/>
        <w:rPr>
          <w:rFonts w:hint="eastAsia"/>
        </w:rPr>
      </w:pPr>
      <w:r>
        <w:rPr>
          <w:rFonts w:hint="eastAsia"/>
        </w:rPr>
        <w:t>二零一八年五月十八日（应估价委托人要求</w:t>
      </w:r>
      <w:r>
        <w:rPr>
          <w:szCs w:val="28"/>
        </w:rPr>
        <w:t>与估价人员现场查看时点一致</w:t>
      </w:r>
      <w:r>
        <w:rPr>
          <w:rFonts w:hint="eastAsia"/>
          <w:szCs w:val="28"/>
        </w:rPr>
        <w:t>）</w:t>
      </w:r>
    </w:p>
    <w:p>
      <w:pPr>
        <w:spacing w:line="580" w:lineRule="exact"/>
        <w:ind w:firstLine="643" w:firstLineChars="200"/>
        <w:outlineLvl w:val="1"/>
        <w:rPr>
          <w:rFonts w:hint="eastAsia" w:eastAsia="黑体"/>
          <w:b/>
          <w:sz w:val="32"/>
        </w:rPr>
      </w:pPr>
      <w:bookmarkStart w:id="11" w:name="_Toc386549628"/>
      <w:bookmarkStart w:id="12" w:name="_Toc418519337"/>
      <w:bookmarkStart w:id="13" w:name="_Toc2537"/>
      <w:r>
        <w:rPr>
          <w:rFonts w:eastAsia="黑体"/>
          <w:b/>
          <w:sz w:val="32"/>
        </w:rPr>
        <w:t>五、</w:t>
      </w:r>
      <w:r>
        <w:rPr>
          <w:rFonts w:hint="eastAsia" w:eastAsia="黑体"/>
          <w:b/>
          <w:sz w:val="32"/>
        </w:rPr>
        <w:t>价值类型</w:t>
      </w:r>
      <w:bookmarkEnd w:id="11"/>
      <w:bookmarkEnd w:id="12"/>
      <w:bookmarkEnd w:id="13"/>
    </w:p>
    <w:p>
      <w:pPr>
        <w:pStyle w:val="4"/>
        <w:spacing w:line="580" w:lineRule="exact"/>
        <w:ind w:firstLine="548" w:firstLineChars="196"/>
        <w:rPr>
          <w:rFonts w:eastAsia="宋体"/>
          <w:snapToGrid w:val="0"/>
          <w:kern w:val="0"/>
          <w:szCs w:val="28"/>
        </w:rPr>
      </w:pPr>
      <w:r>
        <w:rPr>
          <w:rFonts w:hint="eastAsia" w:eastAsia="宋体"/>
        </w:rPr>
        <w:t>估价中采用公开市场价值标准，即所评估出的客观合理价格应是估价对象于价值时点在公开市场上最可能形成或成立的价格（不评估变现价值，不考虑房地产拍卖（变卖）成交后交易税费及税费的转移分担）。</w:t>
      </w:r>
    </w:p>
    <w:p>
      <w:pPr>
        <w:spacing w:line="580" w:lineRule="exact"/>
        <w:ind w:firstLine="630" w:firstLineChars="196"/>
        <w:outlineLvl w:val="1"/>
        <w:rPr>
          <w:rFonts w:eastAsia="黑体"/>
          <w:b/>
          <w:sz w:val="32"/>
        </w:rPr>
      </w:pPr>
      <w:bookmarkStart w:id="14" w:name="_Toc17944"/>
      <w:r>
        <w:rPr>
          <w:rFonts w:hint="eastAsia" w:eastAsia="黑体"/>
          <w:b/>
          <w:sz w:val="32"/>
        </w:rPr>
        <w:t>六</w:t>
      </w:r>
      <w:r>
        <w:rPr>
          <w:rFonts w:eastAsia="黑体"/>
          <w:b/>
          <w:sz w:val="32"/>
        </w:rPr>
        <w:t>、估价结果</w:t>
      </w:r>
      <w:bookmarkEnd w:id="14"/>
      <w:r>
        <w:rPr>
          <w:rFonts w:hint="eastAsia" w:eastAsia="黑体"/>
          <w:b/>
          <w:sz w:val="32"/>
        </w:rPr>
        <w:t xml:space="preserve">  </w:t>
      </w:r>
    </w:p>
    <w:p>
      <w:pPr>
        <w:spacing w:line="580" w:lineRule="exact"/>
        <w:ind w:firstLine="548" w:firstLineChars="196"/>
        <w:rPr>
          <w:sz w:val="28"/>
          <w:szCs w:val="20"/>
        </w:rPr>
      </w:pPr>
      <w:r>
        <w:rPr>
          <w:rFonts w:hint="eastAsia"/>
          <w:sz w:val="28"/>
          <w:szCs w:val="20"/>
        </w:rPr>
        <w:t>德阳市罗江区人民法院</w:t>
      </w:r>
      <w:r>
        <w:rPr>
          <w:sz w:val="28"/>
          <w:szCs w:val="20"/>
        </w:rPr>
        <w:t>本次</w:t>
      </w:r>
      <w:r>
        <w:rPr>
          <w:color w:val="auto"/>
          <w:sz w:val="28"/>
          <w:szCs w:val="20"/>
        </w:rPr>
        <w:t>委托估价的位于</w:t>
      </w:r>
      <w:r>
        <w:rPr>
          <w:rFonts w:hint="eastAsia"/>
          <w:color w:val="auto"/>
          <w:sz w:val="28"/>
          <w:szCs w:val="20"/>
          <w:lang w:eastAsia="zh-CN"/>
        </w:rPr>
        <w:t>德阳市罗江镇黎明社区</w:t>
      </w:r>
      <w:r>
        <w:rPr>
          <w:rFonts w:hint="eastAsia"/>
          <w:color w:val="auto"/>
          <w:sz w:val="28"/>
          <w:szCs w:val="20"/>
        </w:rPr>
        <w:t>十六米干道以北（罗江中学用地拆迁）1-4层的住宅房地产</w:t>
      </w:r>
      <w:r>
        <w:rPr>
          <w:color w:val="auto"/>
          <w:sz w:val="28"/>
          <w:szCs w:val="20"/>
        </w:rPr>
        <w:t>于价值时点估价结果列表说明如下：</w:t>
      </w:r>
    </w:p>
    <w:p>
      <w:pPr>
        <w:spacing w:line="580" w:lineRule="exact"/>
        <w:jc w:val="center"/>
        <w:rPr>
          <w:rFonts w:hint="eastAsia"/>
          <w:b/>
          <w:sz w:val="28"/>
          <w:szCs w:val="20"/>
        </w:rPr>
      </w:pPr>
      <w:r>
        <w:rPr>
          <w:b/>
          <w:sz w:val="28"/>
          <w:szCs w:val="20"/>
        </w:rPr>
        <w:t>估价结果说明表</w:t>
      </w:r>
    </w:p>
    <w:tbl>
      <w:tblPr>
        <w:tblStyle w:val="16"/>
        <w:tblW w:w="7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1068"/>
        <w:gridCol w:w="1763"/>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3257" w:type="dxa"/>
            <w:vAlign w:val="center"/>
          </w:tcPr>
          <w:p>
            <w:pPr>
              <w:pStyle w:val="13"/>
              <w:spacing w:after="0" w:line="360" w:lineRule="exact"/>
              <w:ind w:left="0"/>
              <w:jc w:val="center"/>
              <w:rPr>
                <w:sz w:val="21"/>
                <w:szCs w:val="21"/>
              </w:rPr>
            </w:pPr>
            <w:r>
              <w:rPr>
                <w:sz w:val="21"/>
                <w:szCs w:val="21"/>
              </w:rPr>
              <w:t>项</w:t>
            </w:r>
            <w:r>
              <w:rPr>
                <w:rFonts w:hint="eastAsia"/>
                <w:sz w:val="21"/>
                <w:szCs w:val="21"/>
              </w:rPr>
              <w:t xml:space="preserve">  </w:t>
            </w:r>
            <w:r>
              <w:rPr>
                <w:sz w:val="21"/>
                <w:szCs w:val="21"/>
              </w:rPr>
              <w:t>目</w:t>
            </w:r>
          </w:p>
        </w:tc>
        <w:tc>
          <w:tcPr>
            <w:tcW w:w="1068" w:type="dxa"/>
            <w:vAlign w:val="center"/>
          </w:tcPr>
          <w:p>
            <w:pPr>
              <w:pStyle w:val="13"/>
              <w:spacing w:after="0" w:line="360" w:lineRule="exact"/>
              <w:ind w:left="0"/>
              <w:jc w:val="center"/>
              <w:rPr>
                <w:sz w:val="21"/>
                <w:szCs w:val="21"/>
              </w:rPr>
            </w:pPr>
            <w:r>
              <w:rPr>
                <w:sz w:val="21"/>
                <w:szCs w:val="21"/>
              </w:rPr>
              <w:t>面积(m</w:t>
            </w:r>
            <w:r>
              <w:rPr>
                <w:sz w:val="21"/>
                <w:szCs w:val="21"/>
                <w:vertAlign w:val="superscript"/>
              </w:rPr>
              <w:t>2</w:t>
            </w:r>
            <w:r>
              <w:rPr>
                <w:sz w:val="21"/>
                <w:szCs w:val="21"/>
              </w:rPr>
              <w:t>)</w:t>
            </w:r>
          </w:p>
        </w:tc>
        <w:tc>
          <w:tcPr>
            <w:tcW w:w="1763" w:type="dxa"/>
            <w:vAlign w:val="center"/>
          </w:tcPr>
          <w:p>
            <w:pPr>
              <w:spacing w:line="360" w:lineRule="exact"/>
              <w:jc w:val="center"/>
              <w:rPr>
                <w:kern w:val="0"/>
                <w:szCs w:val="21"/>
              </w:rPr>
            </w:pPr>
            <w:r>
              <w:rPr>
                <w:kern w:val="0"/>
                <w:szCs w:val="21"/>
              </w:rPr>
              <w:t>评估</w:t>
            </w:r>
            <w:r>
              <w:rPr>
                <w:rFonts w:hint="eastAsia"/>
                <w:kern w:val="0"/>
                <w:szCs w:val="21"/>
              </w:rPr>
              <w:t>单价</w:t>
            </w:r>
            <w:r>
              <w:rPr>
                <w:szCs w:val="21"/>
              </w:rPr>
              <w:t>(元/m</w:t>
            </w:r>
            <w:r>
              <w:rPr>
                <w:szCs w:val="21"/>
                <w:vertAlign w:val="superscript"/>
              </w:rPr>
              <w:t>2</w:t>
            </w:r>
            <w:r>
              <w:rPr>
                <w:szCs w:val="21"/>
              </w:rPr>
              <w:t>)</w:t>
            </w:r>
          </w:p>
        </w:tc>
        <w:tc>
          <w:tcPr>
            <w:tcW w:w="1520" w:type="dxa"/>
            <w:vAlign w:val="center"/>
          </w:tcPr>
          <w:p>
            <w:pPr>
              <w:spacing w:line="360" w:lineRule="exact"/>
              <w:jc w:val="center"/>
              <w:rPr>
                <w:kern w:val="0"/>
                <w:szCs w:val="21"/>
              </w:rPr>
            </w:pPr>
            <w:r>
              <w:rPr>
                <w:kern w:val="0"/>
                <w:szCs w:val="21"/>
              </w:rPr>
              <w:t>评估价值</w:t>
            </w:r>
            <w:r>
              <w:rPr>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3257" w:type="dxa"/>
            <w:vAlign w:val="center"/>
          </w:tcPr>
          <w:p>
            <w:pPr>
              <w:pStyle w:val="13"/>
              <w:spacing w:after="0" w:line="360" w:lineRule="exact"/>
              <w:ind w:left="0"/>
              <w:jc w:val="center"/>
              <w:rPr>
                <w:rFonts w:hint="eastAsia"/>
                <w:color w:val="auto"/>
                <w:sz w:val="21"/>
                <w:szCs w:val="21"/>
              </w:rPr>
            </w:pPr>
            <w:r>
              <w:rPr>
                <w:rFonts w:hint="eastAsia"/>
                <w:sz w:val="21"/>
                <w:szCs w:val="21"/>
                <w:lang w:eastAsia="zh-CN"/>
              </w:rPr>
              <w:t>罗江镇黎明社</w:t>
            </w:r>
            <w:r>
              <w:rPr>
                <w:rFonts w:hint="eastAsia"/>
                <w:color w:val="auto"/>
                <w:sz w:val="21"/>
                <w:szCs w:val="21"/>
                <w:lang w:eastAsia="zh-CN"/>
              </w:rPr>
              <w:t>区</w:t>
            </w:r>
            <w:r>
              <w:rPr>
                <w:rFonts w:hint="eastAsia"/>
                <w:color w:val="auto"/>
                <w:sz w:val="21"/>
                <w:szCs w:val="21"/>
              </w:rPr>
              <w:t>十六米干道以北</w:t>
            </w:r>
          </w:p>
          <w:p>
            <w:pPr>
              <w:pStyle w:val="13"/>
              <w:spacing w:after="0" w:line="360" w:lineRule="exact"/>
              <w:ind w:left="0"/>
              <w:jc w:val="center"/>
              <w:rPr>
                <w:rFonts w:hint="eastAsia"/>
                <w:sz w:val="21"/>
                <w:szCs w:val="21"/>
              </w:rPr>
            </w:pPr>
            <w:r>
              <w:rPr>
                <w:rFonts w:hint="eastAsia"/>
                <w:color w:val="auto"/>
                <w:sz w:val="21"/>
                <w:szCs w:val="21"/>
              </w:rPr>
              <w:t>（罗江中学用地拆迁）1-4层住宅</w:t>
            </w:r>
          </w:p>
        </w:tc>
        <w:tc>
          <w:tcPr>
            <w:tcW w:w="1068" w:type="dxa"/>
            <w:vAlign w:val="center"/>
          </w:tcPr>
          <w:p>
            <w:pPr>
              <w:pStyle w:val="13"/>
              <w:spacing w:after="0" w:line="360" w:lineRule="exact"/>
              <w:ind w:left="0"/>
              <w:jc w:val="center"/>
              <w:rPr>
                <w:rFonts w:hint="eastAsia"/>
                <w:kern w:val="0"/>
                <w:sz w:val="21"/>
                <w:szCs w:val="21"/>
              </w:rPr>
            </w:pPr>
            <w:r>
              <w:rPr>
                <w:rFonts w:hint="eastAsia"/>
                <w:kern w:val="0"/>
                <w:sz w:val="21"/>
                <w:szCs w:val="21"/>
              </w:rPr>
              <w:t>279.73</w:t>
            </w:r>
          </w:p>
        </w:tc>
        <w:tc>
          <w:tcPr>
            <w:tcW w:w="1763" w:type="dxa"/>
            <w:vAlign w:val="center"/>
          </w:tcPr>
          <w:p>
            <w:pPr>
              <w:pStyle w:val="13"/>
              <w:spacing w:after="0" w:line="360" w:lineRule="exact"/>
              <w:ind w:left="0"/>
              <w:jc w:val="center"/>
              <w:rPr>
                <w:rFonts w:hint="eastAsia"/>
                <w:kern w:val="0"/>
                <w:sz w:val="21"/>
                <w:szCs w:val="21"/>
              </w:rPr>
            </w:pPr>
            <w:r>
              <w:rPr>
                <w:rFonts w:hint="eastAsia"/>
                <w:kern w:val="0"/>
                <w:sz w:val="21"/>
                <w:szCs w:val="21"/>
              </w:rPr>
              <w:t>2,465.00</w:t>
            </w:r>
          </w:p>
        </w:tc>
        <w:tc>
          <w:tcPr>
            <w:tcW w:w="1520" w:type="dxa"/>
            <w:vAlign w:val="center"/>
          </w:tcPr>
          <w:p>
            <w:pPr>
              <w:pStyle w:val="13"/>
              <w:spacing w:after="0" w:line="360" w:lineRule="exact"/>
              <w:ind w:left="0"/>
              <w:jc w:val="center"/>
              <w:rPr>
                <w:rFonts w:hint="eastAsia"/>
                <w:kern w:val="0"/>
                <w:sz w:val="21"/>
                <w:szCs w:val="21"/>
              </w:rPr>
            </w:pPr>
            <w:r>
              <w:rPr>
                <w:rFonts w:hint="eastAsia"/>
                <w:kern w:val="0"/>
                <w:sz w:val="21"/>
                <w:szCs w:val="21"/>
              </w:rPr>
              <w:t>689,534.00</w:t>
            </w:r>
          </w:p>
        </w:tc>
      </w:tr>
    </w:tbl>
    <w:p>
      <w:pPr>
        <w:pStyle w:val="11"/>
        <w:spacing w:line="580" w:lineRule="exact"/>
        <w:ind w:left="0" w:firstLine="560" w:firstLineChars="200"/>
        <w:rPr>
          <w:rFonts w:hint="eastAsia" w:eastAsia="黑体"/>
          <w:b/>
          <w:szCs w:val="28"/>
        </w:rPr>
      </w:pPr>
      <w:r>
        <w:t>即：本次估价的</w:t>
      </w:r>
      <w:r>
        <w:rPr>
          <w:rFonts w:hint="eastAsia"/>
          <w:lang w:eastAsia="zh-CN"/>
        </w:rPr>
        <w:t>德阳市罗江镇黎明社区</w:t>
      </w:r>
      <w:r>
        <w:rPr>
          <w:rFonts w:hint="eastAsia"/>
        </w:rPr>
        <w:t>十六米干道以北（罗江中学用地拆迁）1-4层的住宅房地产在价值时点2018年5月18日</w:t>
      </w:r>
      <w:r>
        <w:t>的</w:t>
      </w:r>
      <w:r>
        <w:rPr>
          <w:rFonts w:hint="eastAsia" w:eastAsia="黑体"/>
          <w:b/>
          <w:szCs w:val="28"/>
        </w:rPr>
        <w:t>公开市场</w:t>
      </w:r>
      <w:r>
        <w:rPr>
          <w:rFonts w:eastAsia="黑体"/>
          <w:b/>
          <w:szCs w:val="28"/>
        </w:rPr>
        <w:t>价值为</w:t>
      </w:r>
      <w:r>
        <w:rPr>
          <w:rFonts w:hint="eastAsia" w:eastAsia="黑体"/>
          <w:b/>
          <w:szCs w:val="32"/>
        </w:rPr>
        <w:t>689,534.00</w:t>
      </w:r>
      <w:r>
        <w:rPr>
          <w:rFonts w:eastAsia="黑体"/>
          <w:b/>
          <w:szCs w:val="28"/>
        </w:rPr>
        <w:t>元</w:t>
      </w:r>
      <w:r>
        <w:rPr>
          <w:rFonts w:hint="eastAsia" w:eastAsia="黑体"/>
          <w:b/>
          <w:szCs w:val="28"/>
        </w:rPr>
        <w:t>。</w:t>
      </w:r>
      <w:r>
        <w:rPr>
          <w:rFonts w:eastAsia="黑体"/>
          <w:b/>
          <w:szCs w:val="28"/>
        </w:rPr>
        <w:t>人民币（大写</w:t>
      </w:r>
      <w:r>
        <w:rPr>
          <w:rFonts w:hint="eastAsia" w:eastAsia="黑体"/>
          <w:b/>
          <w:szCs w:val="28"/>
        </w:rPr>
        <w:t>）陆拾捌万玖仟伍佰叁拾肆元整。</w:t>
      </w:r>
    </w:p>
    <w:p>
      <w:pPr>
        <w:pStyle w:val="11"/>
        <w:spacing w:line="580" w:lineRule="exact"/>
        <w:ind w:left="0" w:firstLine="643" w:firstLineChars="200"/>
        <w:outlineLvl w:val="1"/>
        <w:rPr>
          <w:rFonts w:hint="eastAsia" w:ascii="黑体" w:eastAsia="黑体"/>
          <w:b/>
          <w:sz w:val="32"/>
        </w:rPr>
      </w:pPr>
      <w:bookmarkStart w:id="15" w:name="_Toc19525"/>
      <w:r>
        <w:rPr>
          <w:rFonts w:hint="eastAsia" w:ascii="黑体" w:eastAsia="黑体"/>
          <w:b/>
          <w:sz w:val="32"/>
        </w:rPr>
        <w:t>七、估价报告使用说明</w:t>
      </w:r>
      <w:bookmarkEnd w:id="15"/>
    </w:p>
    <w:p>
      <w:pPr>
        <w:spacing w:line="560" w:lineRule="exact"/>
        <w:ind w:firstLine="555"/>
        <w:rPr>
          <w:b/>
          <w:sz w:val="28"/>
          <w:szCs w:val="20"/>
        </w:rPr>
      </w:pPr>
      <w:r>
        <w:rPr>
          <w:sz w:val="28"/>
          <w:szCs w:val="20"/>
        </w:rPr>
        <w:t>以上内容均摘自估价报告。欲了解本项目估价的全面情况，请详细阅读本报告书的全部内容。当事人对鉴定估价报告有异议的，可以至收到鉴定估价报告起10日内提出异议，超过该期限即丧失对鉴定估价报告提出异议的权利。</w:t>
      </w:r>
    </w:p>
    <w:p>
      <w:pPr>
        <w:spacing w:line="560" w:lineRule="exact"/>
        <w:ind w:firstLine="562" w:firstLineChars="200"/>
        <w:rPr>
          <w:b/>
          <w:sz w:val="28"/>
          <w:szCs w:val="20"/>
        </w:rPr>
      </w:pPr>
      <w:r>
        <w:rPr>
          <w:b/>
          <w:sz w:val="28"/>
          <w:szCs w:val="20"/>
        </w:rPr>
        <w:t>法定代表人：</w:t>
      </w:r>
    </w:p>
    <w:p>
      <w:pPr>
        <w:pStyle w:val="4"/>
        <w:spacing w:line="560" w:lineRule="exact"/>
        <w:ind w:firstLine="570"/>
        <w:jc w:val="right"/>
        <w:rPr>
          <w:rFonts w:eastAsia="宋体"/>
          <w:b/>
          <w:spacing w:val="10"/>
        </w:rPr>
      </w:pPr>
    </w:p>
    <w:p>
      <w:pPr>
        <w:pStyle w:val="4"/>
        <w:spacing w:line="560" w:lineRule="exact"/>
        <w:ind w:firstLine="570"/>
        <w:jc w:val="right"/>
        <w:rPr>
          <w:rFonts w:eastAsia="宋体"/>
          <w:b/>
          <w:spacing w:val="10"/>
        </w:rPr>
      </w:pPr>
      <w:r>
        <w:rPr>
          <w:rFonts w:eastAsia="宋体"/>
          <w:b/>
          <w:spacing w:val="10"/>
        </w:rPr>
        <w:t>绵阳市公量房地产评估咨询有限公司</w:t>
      </w:r>
    </w:p>
    <w:p>
      <w:pPr>
        <w:pStyle w:val="4"/>
        <w:spacing w:line="560" w:lineRule="exact"/>
        <w:ind w:right="900" w:firstLine="570"/>
        <w:jc w:val="right"/>
        <w:rPr>
          <w:rFonts w:hint="eastAsia" w:eastAsia="宋体"/>
          <w:b/>
          <w:spacing w:val="10"/>
        </w:rPr>
      </w:pPr>
      <w:r>
        <w:rPr>
          <w:rFonts w:hint="eastAsia" w:eastAsia="宋体"/>
          <w:b/>
          <w:spacing w:val="10"/>
        </w:rPr>
        <w:t>二零一八年五月二十</w:t>
      </w:r>
      <w:r>
        <w:rPr>
          <w:rFonts w:hint="eastAsia" w:eastAsia="宋体"/>
          <w:b/>
          <w:spacing w:val="10"/>
          <w:lang w:eastAsia="zh-CN"/>
        </w:rPr>
        <w:t>八</w:t>
      </w:r>
      <w:r>
        <w:rPr>
          <w:rFonts w:hint="eastAsia" w:eastAsia="宋体"/>
          <w:b/>
          <w:spacing w:val="10"/>
        </w:rPr>
        <w:t>日</w:t>
      </w:r>
    </w:p>
    <w:p>
      <w:pPr>
        <w:pStyle w:val="4"/>
        <w:spacing w:line="520" w:lineRule="exact"/>
        <w:jc w:val="center"/>
        <w:rPr>
          <w:rFonts w:eastAsia="黑体"/>
          <w:b/>
          <w:sz w:val="36"/>
        </w:rPr>
      </w:pPr>
    </w:p>
    <w:p>
      <w:pPr>
        <w:pStyle w:val="4"/>
        <w:spacing w:line="520" w:lineRule="exact"/>
        <w:jc w:val="center"/>
        <w:outlineLvl w:val="0"/>
        <w:rPr>
          <w:rFonts w:eastAsia="黑体"/>
          <w:b/>
          <w:sz w:val="36"/>
        </w:rPr>
      </w:pPr>
      <w:bookmarkStart w:id="16" w:name="_Toc18369"/>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eastAsia="黑体"/>
          <w:b/>
          <w:sz w:val="36"/>
        </w:rPr>
      </w:pPr>
    </w:p>
    <w:p>
      <w:pPr>
        <w:pStyle w:val="4"/>
        <w:spacing w:line="520" w:lineRule="exact"/>
        <w:jc w:val="center"/>
        <w:outlineLvl w:val="0"/>
        <w:rPr>
          <w:rFonts w:hint="eastAsia" w:eastAsia="黑体"/>
          <w:b/>
          <w:sz w:val="36"/>
        </w:rPr>
      </w:pPr>
      <w:r>
        <w:rPr>
          <w:rFonts w:eastAsia="黑体"/>
          <w:b/>
          <w:sz w:val="36"/>
        </w:rPr>
        <w:t>第二部分   估价师声明</w:t>
      </w:r>
      <w:bookmarkEnd w:id="16"/>
    </w:p>
    <w:p>
      <w:pPr>
        <w:pStyle w:val="4"/>
        <w:spacing w:line="200" w:lineRule="exact"/>
        <w:jc w:val="center"/>
        <w:rPr>
          <w:rFonts w:hint="eastAsia" w:eastAsia="黑体"/>
          <w:b/>
          <w:sz w:val="15"/>
          <w:szCs w:val="15"/>
        </w:rPr>
      </w:pPr>
    </w:p>
    <w:p>
      <w:pPr>
        <w:pStyle w:val="4"/>
        <w:tabs>
          <w:tab w:val="left" w:pos="759"/>
        </w:tabs>
        <w:spacing w:line="520" w:lineRule="exact"/>
        <w:ind w:firstLine="0"/>
        <w:rPr>
          <w:rFonts w:eastAsia="宋体"/>
          <w:b/>
        </w:rPr>
      </w:pPr>
      <w:r>
        <w:rPr>
          <w:rFonts w:eastAsia="宋体"/>
          <w:b/>
        </w:rPr>
        <w:t xml:space="preserve">    我们</w:t>
      </w:r>
      <w:r>
        <w:rPr>
          <w:rFonts w:hint="eastAsia" w:eastAsia="宋体"/>
          <w:b/>
        </w:rPr>
        <w:t>郑重声明</w:t>
      </w:r>
      <w:r>
        <w:rPr>
          <w:rFonts w:eastAsia="宋体"/>
          <w:b/>
        </w:rPr>
        <w:t>：</w:t>
      </w:r>
    </w:p>
    <w:p>
      <w:pPr>
        <w:spacing w:line="520" w:lineRule="exact"/>
        <w:ind w:firstLine="425"/>
        <w:rPr>
          <w:sz w:val="28"/>
          <w:szCs w:val="20"/>
        </w:rPr>
      </w:pPr>
      <w:r>
        <w:t xml:space="preserve">   </w:t>
      </w:r>
      <w:r>
        <w:rPr>
          <w:sz w:val="28"/>
          <w:szCs w:val="20"/>
        </w:rPr>
        <w:t>一、我们在本估价报告中陈述的事实是真实和准确的。</w:t>
      </w:r>
    </w:p>
    <w:p>
      <w:pPr>
        <w:spacing w:line="520" w:lineRule="exact"/>
        <w:ind w:firstLine="425"/>
        <w:rPr>
          <w:rFonts w:hint="eastAsia"/>
          <w:sz w:val="28"/>
          <w:szCs w:val="20"/>
        </w:rPr>
      </w:pPr>
      <w:r>
        <w:rPr>
          <w:sz w:val="28"/>
          <w:szCs w:val="20"/>
        </w:rPr>
        <w:t xml:space="preserve">  二、本估价报告中的分析、意见和结论是我们自己公</w:t>
      </w:r>
      <w:r>
        <w:rPr>
          <w:rFonts w:hint="eastAsia"/>
          <w:sz w:val="28"/>
          <w:szCs w:val="20"/>
        </w:rPr>
        <w:t>正</w:t>
      </w:r>
      <w:r>
        <w:rPr>
          <w:sz w:val="28"/>
          <w:szCs w:val="20"/>
        </w:rPr>
        <w:t>的专业分析、意见和结论，但受到本估价报告中已说明的假设和限制条件及使用报告说明的限制。</w:t>
      </w:r>
    </w:p>
    <w:p>
      <w:pPr>
        <w:spacing w:line="520" w:lineRule="exact"/>
        <w:ind w:firstLine="702" w:firstLineChars="251"/>
        <w:rPr>
          <w:sz w:val="28"/>
          <w:szCs w:val="20"/>
        </w:rPr>
      </w:pPr>
      <w:r>
        <w:rPr>
          <w:sz w:val="28"/>
          <w:szCs w:val="20"/>
        </w:rPr>
        <w:t>三、</w:t>
      </w:r>
      <w:r>
        <w:rPr>
          <w:rFonts w:hint="eastAsia"/>
          <w:sz w:val="28"/>
          <w:szCs w:val="20"/>
        </w:rPr>
        <w:t>本估价机构和估价师</w:t>
      </w:r>
      <w:r>
        <w:rPr>
          <w:sz w:val="28"/>
          <w:szCs w:val="20"/>
        </w:rPr>
        <w:t>与本估价报告中的</w:t>
      </w:r>
      <w:r>
        <w:rPr>
          <w:rFonts w:hint="eastAsia"/>
          <w:sz w:val="28"/>
          <w:szCs w:val="20"/>
        </w:rPr>
        <w:t>估价委托人无任何</w:t>
      </w:r>
      <w:r>
        <w:rPr>
          <w:sz w:val="28"/>
          <w:szCs w:val="20"/>
        </w:rPr>
        <w:t>利害关系</w:t>
      </w:r>
      <w:r>
        <w:rPr>
          <w:rFonts w:hint="eastAsia"/>
          <w:sz w:val="28"/>
          <w:szCs w:val="20"/>
        </w:rPr>
        <w:t>或偏见</w:t>
      </w:r>
      <w:r>
        <w:rPr>
          <w:sz w:val="28"/>
          <w:szCs w:val="20"/>
        </w:rPr>
        <w:t>，也与有关当事人</w:t>
      </w:r>
      <w:r>
        <w:rPr>
          <w:rFonts w:hint="eastAsia"/>
          <w:sz w:val="28"/>
          <w:szCs w:val="20"/>
        </w:rPr>
        <w:t>无任何</w:t>
      </w:r>
      <w:r>
        <w:rPr>
          <w:sz w:val="28"/>
          <w:szCs w:val="20"/>
        </w:rPr>
        <w:t>利害关系或偏见。</w:t>
      </w:r>
    </w:p>
    <w:p>
      <w:pPr>
        <w:tabs>
          <w:tab w:val="left" w:pos="506"/>
        </w:tabs>
        <w:spacing w:line="520" w:lineRule="exact"/>
        <w:ind w:firstLine="425"/>
        <w:rPr>
          <w:sz w:val="28"/>
          <w:szCs w:val="20"/>
        </w:rPr>
      </w:pPr>
      <w:r>
        <w:rPr>
          <w:sz w:val="28"/>
          <w:szCs w:val="20"/>
        </w:rPr>
        <w:t xml:space="preserve"> </w:t>
      </w:r>
      <w:r>
        <w:rPr>
          <w:rFonts w:hint="eastAsia"/>
          <w:sz w:val="28"/>
          <w:szCs w:val="20"/>
        </w:rPr>
        <w:t xml:space="preserve"> </w:t>
      </w:r>
      <w:r>
        <w:rPr>
          <w:sz w:val="28"/>
          <w:szCs w:val="20"/>
        </w:rPr>
        <w:t>四、我们根据中华人民共和国国家标准</w:t>
      </w:r>
      <w:r>
        <w:rPr>
          <w:rFonts w:hint="eastAsia"/>
          <w:sz w:val="28"/>
          <w:szCs w:val="20"/>
        </w:rPr>
        <w:t>GB/T50291—2015</w:t>
      </w:r>
      <w:r>
        <w:rPr>
          <w:sz w:val="28"/>
          <w:szCs w:val="20"/>
        </w:rPr>
        <w:t>《房地产估价规范》进行分析，形成意见和结论，撰写本估价报告。</w:t>
      </w:r>
    </w:p>
    <w:p>
      <w:pPr>
        <w:tabs>
          <w:tab w:val="left" w:pos="506"/>
        </w:tabs>
        <w:spacing w:line="520" w:lineRule="exact"/>
        <w:ind w:firstLine="425"/>
        <w:rPr>
          <w:sz w:val="28"/>
          <w:szCs w:val="20"/>
        </w:rPr>
      </w:pPr>
      <w:r>
        <w:rPr>
          <w:sz w:val="28"/>
          <w:szCs w:val="20"/>
        </w:rPr>
        <w:t xml:space="preserve"> </w:t>
      </w:r>
      <w:r>
        <w:rPr>
          <w:rFonts w:hint="eastAsia"/>
          <w:sz w:val="28"/>
          <w:szCs w:val="20"/>
        </w:rPr>
        <w:t xml:space="preserve"> </w:t>
      </w:r>
      <w:r>
        <w:rPr>
          <w:sz w:val="28"/>
          <w:szCs w:val="20"/>
        </w:rPr>
        <w:t>五、没有人对本估价报告提供重要专业帮助。</w:t>
      </w:r>
    </w:p>
    <w:p>
      <w:pPr>
        <w:spacing w:line="520" w:lineRule="exact"/>
        <w:ind w:firstLine="425"/>
        <w:rPr>
          <w:rFonts w:hint="eastAsia"/>
          <w:sz w:val="28"/>
          <w:szCs w:val="20"/>
        </w:rPr>
      </w:pPr>
      <w:r>
        <w:rPr>
          <w:color w:val="FF0000"/>
          <w:sz w:val="28"/>
          <w:szCs w:val="20"/>
        </w:rPr>
        <w:t xml:space="preserve"> </w:t>
      </w:r>
      <w:r>
        <w:rPr>
          <w:rFonts w:hint="eastAsia"/>
          <w:color w:val="FF0000"/>
          <w:sz w:val="28"/>
          <w:szCs w:val="20"/>
        </w:rPr>
        <w:t xml:space="preserve"> </w:t>
      </w:r>
      <w:r>
        <w:rPr>
          <w:sz w:val="28"/>
          <w:szCs w:val="20"/>
        </w:rPr>
        <w:t>六</w:t>
      </w:r>
      <w:r>
        <w:rPr>
          <w:rFonts w:hint="eastAsia"/>
          <w:sz w:val="28"/>
          <w:szCs w:val="20"/>
        </w:rPr>
        <w:t>、参与本次估价项目的估价师对本报告中的估价对象于二零一八年五月十八日进行了详细的实地查勘，</w:t>
      </w:r>
      <w:r>
        <w:rPr>
          <w:sz w:val="28"/>
          <w:szCs w:val="20"/>
        </w:rPr>
        <w:t>查看人员为</w:t>
      </w:r>
      <w:r>
        <w:rPr>
          <w:rFonts w:hint="eastAsia"/>
          <w:sz w:val="28"/>
          <w:szCs w:val="20"/>
        </w:rPr>
        <w:t>国家注册房地产估价师李国祥，评估助理人员梁亚明、张丰臆</w:t>
      </w:r>
      <w:r>
        <w:rPr>
          <w:sz w:val="28"/>
          <w:szCs w:val="20"/>
        </w:rPr>
        <w:t>。</w:t>
      </w:r>
    </w:p>
    <w:p>
      <w:pPr>
        <w:spacing w:line="520" w:lineRule="exact"/>
        <w:ind w:firstLine="425"/>
        <w:rPr>
          <w:rFonts w:hint="eastAsia"/>
          <w:sz w:val="28"/>
          <w:szCs w:val="20"/>
        </w:rPr>
      </w:pPr>
      <w:r>
        <w:rPr>
          <w:rFonts w:hint="eastAsia"/>
          <w:sz w:val="28"/>
          <w:szCs w:val="20"/>
        </w:rPr>
        <w:t xml:space="preserve">  七、本报告中所依据的估价对象建筑面积和权益资料由估价委托人提供，估价委托人应对资料的真实、可靠性负责。</w:t>
      </w:r>
    </w:p>
    <w:p>
      <w:pPr>
        <w:spacing w:line="520" w:lineRule="exact"/>
        <w:ind w:firstLine="700" w:firstLineChars="250"/>
        <w:rPr>
          <w:rFonts w:hint="eastAsia"/>
          <w:sz w:val="28"/>
          <w:szCs w:val="20"/>
        </w:rPr>
      </w:pPr>
      <w:r>
        <w:rPr>
          <w:rFonts w:hint="eastAsia"/>
          <w:sz w:val="28"/>
          <w:szCs w:val="20"/>
        </w:rPr>
        <w:t>八</w:t>
      </w:r>
      <w:r>
        <w:rPr>
          <w:sz w:val="28"/>
          <w:szCs w:val="20"/>
        </w:rPr>
        <w:t>、本房地产估价报告的专职注册房地产估价师具备相关金融专业知识和相应的房地产市场分析能力。</w:t>
      </w:r>
    </w:p>
    <w:p>
      <w:pPr>
        <w:spacing w:line="520" w:lineRule="exact"/>
        <w:ind w:firstLine="700" w:firstLineChars="250"/>
        <w:rPr>
          <w:rFonts w:hint="eastAsia"/>
          <w:sz w:val="28"/>
          <w:szCs w:val="20"/>
        </w:rPr>
      </w:pPr>
    </w:p>
    <w:p>
      <w:pPr>
        <w:pStyle w:val="4"/>
        <w:spacing w:line="520" w:lineRule="exact"/>
        <w:ind w:firstLine="0"/>
        <w:rPr>
          <w:rFonts w:hint="eastAsia" w:eastAsia="宋体"/>
        </w:rPr>
      </w:pPr>
      <w:r>
        <w:rPr>
          <w:rFonts w:hint="eastAsia" w:eastAsia="宋体"/>
        </w:rPr>
        <w:t>中</w:t>
      </w:r>
      <w:r>
        <w:rPr>
          <w:rFonts w:eastAsia="宋体"/>
        </w:rPr>
        <w:t>国注册房地产估价师</w:t>
      </w:r>
      <w:r>
        <w:rPr>
          <w:rFonts w:hint="eastAsia" w:eastAsia="宋体"/>
        </w:rPr>
        <w:t>(签章)</w:t>
      </w:r>
      <w:r>
        <w:rPr>
          <w:rFonts w:eastAsia="宋体"/>
        </w:rPr>
        <w:t>：</w:t>
      </w:r>
      <w:r>
        <w:rPr>
          <w:rFonts w:hint="eastAsia" w:eastAsia="宋体"/>
        </w:rPr>
        <w:t xml:space="preserve">  李国祥         </w:t>
      </w:r>
      <w:r>
        <w:rPr>
          <w:rFonts w:hint="eastAsia" w:eastAsia="宋体"/>
          <w:sz w:val="30"/>
          <w:szCs w:val="30"/>
        </w:rPr>
        <w:t>李志会</w:t>
      </w:r>
    </w:p>
    <w:p>
      <w:pPr>
        <w:pStyle w:val="4"/>
        <w:spacing w:line="520" w:lineRule="exact"/>
        <w:ind w:firstLine="2380" w:firstLineChars="850"/>
        <w:rPr>
          <w:rFonts w:hint="eastAsia" w:eastAsia="宋体"/>
        </w:rPr>
      </w:pPr>
      <w:r>
        <w:rPr>
          <w:rFonts w:hint="eastAsia" w:eastAsia="宋体"/>
        </w:rPr>
        <w:t>注册证号： 5120040581     5120130030</w:t>
      </w:r>
    </w:p>
    <w:p>
      <w:pPr>
        <w:pStyle w:val="4"/>
        <w:spacing w:line="400" w:lineRule="exact"/>
        <w:ind w:firstLine="0"/>
        <w:rPr>
          <w:rFonts w:hint="eastAsia" w:eastAsia="黑体"/>
          <w:b/>
          <w:sz w:val="36"/>
        </w:rPr>
      </w:pPr>
    </w:p>
    <w:p>
      <w:pPr>
        <w:pStyle w:val="4"/>
        <w:spacing w:line="400" w:lineRule="exact"/>
        <w:ind w:firstLine="0"/>
        <w:rPr>
          <w:rFonts w:hint="eastAsia" w:eastAsia="黑体"/>
          <w:b/>
          <w:sz w:val="36"/>
        </w:rPr>
      </w:pPr>
    </w:p>
    <w:p>
      <w:pPr>
        <w:pStyle w:val="4"/>
        <w:spacing w:line="400" w:lineRule="exact"/>
        <w:ind w:firstLine="0"/>
        <w:rPr>
          <w:rFonts w:hint="eastAsia" w:eastAsia="黑体"/>
          <w:b/>
          <w:sz w:val="36"/>
        </w:rPr>
      </w:pPr>
    </w:p>
    <w:p>
      <w:pPr>
        <w:pStyle w:val="4"/>
        <w:spacing w:line="400" w:lineRule="exact"/>
        <w:ind w:firstLine="0"/>
        <w:rPr>
          <w:rFonts w:hint="eastAsia" w:eastAsia="黑体"/>
          <w:b/>
          <w:sz w:val="36"/>
        </w:rPr>
      </w:pPr>
    </w:p>
    <w:p>
      <w:pPr>
        <w:pStyle w:val="4"/>
        <w:spacing w:line="520" w:lineRule="exact"/>
        <w:ind w:firstLine="0"/>
        <w:rPr>
          <w:rFonts w:hint="eastAsia" w:eastAsia="黑体"/>
          <w:b/>
          <w:sz w:val="36"/>
        </w:rPr>
      </w:pPr>
    </w:p>
    <w:p>
      <w:pPr>
        <w:pStyle w:val="4"/>
        <w:spacing w:line="520" w:lineRule="exact"/>
        <w:ind w:firstLine="0"/>
        <w:jc w:val="center"/>
        <w:outlineLvl w:val="0"/>
        <w:rPr>
          <w:rFonts w:eastAsia="黑体"/>
          <w:b/>
          <w:sz w:val="36"/>
        </w:rPr>
      </w:pPr>
      <w:bookmarkStart w:id="17" w:name="_Toc12470"/>
      <w:r>
        <w:rPr>
          <w:rFonts w:eastAsia="黑体"/>
          <w:b/>
          <w:sz w:val="36"/>
        </w:rPr>
        <w:t>第三部分   估价的假设与限制条件及使用报告说明</w:t>
      </w:r>
      <w:bookmarkEnd w:id="17"/>
    </w:p>
    <w:p>
      <w:pPr>
        <w:pStyle w:val="4"/>
        <w:spacing w:line="300" w:lineRule="exact"/>
        <w:ind w:firstLine="0"/>
        <w:rPr>
          <w:rFonts w:eastAsia="宋体"/>
          <w:b/>
        </w:rPr>
      </w:pPr>
      <w:r>
        <w:rPr>
          <w:rFonts w:eastAsia="宋体"/>
          <w:b/>
        </w:rPr>
        <w:t xml:space="preserve">    </w:t>
      </w:r>
    </w:p>
    <w:p>
      <w:pPr>
        <w:pStyle w:val="4"/>
        <w:spacing w:line="520" w:lineRule="exact"/>
        <w:ind w:firstLine="0"/>
        <w:rPr>
          <w:rFonts w:eastAsia="宋体"/>
          <w:b/>
        </w:rPr>
      </w:pPr>
      <w:r>
        <w:rPr>
          <w:rFonts w:eastAsia="宋体"/>
          <w:b/>
        </w:rPr>
        <w:t xml:space="preserve">    一、本估价报告基于以下的假设条件得出结论</w:t>
      </w:r>
    </w:p>
    <w:p>
      <w:pPr>
        <w:pStyle w:val="4"/>
        <w:spacing w:line="520" w:lineRule="exact"/>
        <w:ind w:firstLine="560" w:firstLineChars="200"/>
        <w:rPr>
          <w:rFonts w:eastAsia="宋体"/>
          <w:snapToGrid w:val="0"/>
          <w:kern w:val="0"/>
          <w:szCs w:val="28"/>
        </w:rPr>
      </w:pPr>
      <w:r>
        <w:rPr>
          <w:rFonts w:eastAsia="宋体"/>
          <w:snapToGrid w:val="0"/>
          <w:kern w:val="0"/>
          <w:szCs w:val="28"/>
        </w:rPr>
        <w:t>1、</w:t>
      </w:r>
      <w:r>
        <w:rPr>
          <w:rFonts w:hint="eastAsia" w:eastAsia="宋体"/>
          <w:snapToGrid w:val="0"/>
          <w:kern w:val="0"/>
          <w:szCs w:val="28"/>
        </w:rPr>
        <w:t>估价对象产权明晰，手续齐全，可在公开市场上自由转让。</w:t>
      </w:r>
    </w:p>
    <w:p>
      <w:pPr>
        <w:spacing w:line="520" w:lineRule="exact"/>
        <w:ind w:firstLine="560" w:firstLineChars="200"/>
        <w:rPr>
          <w:snapToGrid w:val="0"/>
          <w:kern w:val="0"/>
          <w:sz w:val="28"/>
          <w:szCs w:val="28"/>
        </w:rPr>
      </w:pPr>
      <w:r>
        <w:rPr>
          <w:snapToGrid w:val="0"/>
          <w:kern w:val="0"/>
          <w:sz w:val="28"/>
          <w:szCs w:val="28"/>
        </w:rPr>
        <w:t>2、本报告假设估价对象保持价值时点时的</w:t>
      </w:r>
      <w:r>
        <w:rPr>
          <w:rFonts w:hint="eastAsia"/>
          <w:snapToGrid w:val="0"/>
          <w:kern w:val="0"/>
          <w:sz w:val="28"/>
          <w:szCs w:val="28"/>
        </w:rPr>
        <w:t>使用</w:t>
      </w:r>
      <w:r>
        <w:rPr>
          <w:snapToGrid w:val="0"/>
          <w:kern w:val="0"/>
          <w:sz w:val="28"/>
          <w:szCs w:val="28"/>
        </w:rPr>
        <w:t>用途</w:t>
      </w:r>
      <w:r>
        <w:rPr>
          <w:rFonts w:hint="eastAsia"/>
          <w:snapToGrid w:val="0"/>
          <w:kern w:val="0"/>
          <w:sz w:val="28"/>
          <w:szCs w:val="28"/>
        </w:rPr>
        <w:t>持续</w:t>
      </w:r>
      <w:r>
        <w:rPr>
          <w:snapToGrid w:val="0"/>
          <w:kern w:val="0"/>
          <w:sz w:val="28"/>
          <w:szCs w:val="28"/>
        </w:rPr>
        <w:t xml:space="preserve">使用，且为估价对象合法的最高最佳使用用途；若转换使用用途，本估价结果无效。 </w:t>
      </w:r>
    </w:p>
    <w:p>
      <w:pPr>
        <w:pStyle w:val="4"/>
        <w:spacing w:line="520" w:lineRule="exact"/>
        <w:ind w:firstLine="548" w:firstLineChars="196"/>
        <w:rPr>
          <w:rFonts w:eastAsia="宋体"/>
          <w:snapToGrid w:val="0"/>
          <w:kern w:val="0"/>
          <w:szCs w:val="28"/>
        </w:rPr>
      </w:pPr>
      <w:r>
        <w:rPr>
          <w:rFonts w:eastAsia="宋体"/>
          <w:snapToGrid w:val="0"/>
          <w:kern w:val="0"/>
          <w:szCs w:val="28"/>
        </w:rPr>
        <w:t>3、本报告假定估价对象的处置不受可能影响其价值的权限限制和负有法律义务性质的开支约束。</w:t>
      </w:r>
    </w:p>
    <w:p>
      <w:pPr>
        <w:pStyle w:val="4"/>
        <w:spacing w:line="520" w:lineRule="exact"/>
        <w:ind w:firstLine="570"/>
        <w:rPr>
          <w:rFonts w:hint="eastAsia" w:eastAsia="宋体"/>
          <w:snapToGrid w:val="0"/>
          <w:kern w:val="0"/>
          <w:szCs w:val="28"/>
        </w:rPr>
      </w:pPr>
      <w:bookmarkStart w:id="18" w:name="_Toc418519338"/>
      <w:bookmarkStart w:id="19" w:name="_Toc418519995"/>
      <w:bookmarkStart w:id="20" w:name="_Toc418520138"/>
      <w:bookmarkStart w:id="21" w:name="_Toc418520305"/>
      <w:bookmarkStart w:id="22" w:name="_Toc420872935"/>
      <w:bookmarkStart w:id="23" w:name="_Toc420873151"/>
      <w:bookmarkStart w:id="24" w:name="_Toc420873215"/>
      <w:bookmarkStart w:id="25" w:name="_Toc420873304"/>
      <w:r>
        <w:rPr>
          <w:rFonts w:eastAsia="宋体"/>
          <w:snapToGrid w:val="0"/>
          <w:kern w:val="0"/>
          <w:szCs w:val="28"/>
        </w:rPr>
        <w:t>4、估价对象的过去、现在和未来均处于公开的市场环境中，未受特殊因素的影响</w:t>
      </w:r>
      <w:r>
        <w:rPr>
          <w:rFonts w:hint="eastAsia" w:eastAsia="宋体"/>
          <w:snapToGrid w:val="0"/>
          <w:kern w:val="0"/>
          <w:szCs w:val="28"/>
        </w:rPr>
        <w:t>，能够自由地在市场上进行交易活动。</w:t>
      </w:r>
      <w:bookmarkEnd w:id="18"/>
      <w:bookmarkEnd w:id="19"/>
      <w:bookmarkEnd w:id="20"/>
      <w:bookmarkEnd w:id="21"/>
      <w:bookmarkEnd w:id="22"/>
      <w:bookmarkEnd w:id="23"/>
      <w:bookmarkEnd w:id="24"/>
      <w:bookmarkEnd w:id="25"/>
    </w:p>
    <w:p>
      <w:pPr>
        <w:pStyle w:val="4"/>
        <w:spacing w:line="520" w:lineRule="exact"/>
        <w:ind w:firstLine="560" w:firstLineChars="200"/>
        <w:rPr>
          <w:rFonts w:eastAsia="宋体"/>
          <w:snapToGrid w:val="0"/>
          <w:kern w:val="0"/>
          <w:szCs w:val="28"/>
        </w:rPr>
      </w:pPr>
      <w:r>
        <w:rPr>
          <w:rFonts w:eastAsia="宋体"/>
          <w:snapToGrid w:val="0"/>
          <w:kern w:val="0"/>
          <w:szCs w:val="28"/>
        </w:rPr>
        <w:t>5、房地产市场为公开、</w:t>
      </w:r>
      <w:r>
        <w:rPr>
          <w:rFonts w:hint="eastAsia" w:eastAsia="宋体"/>
          <w:snapToGrid w:val="0"/>
          <w:kern w:val="0"/>
          <w:szCs w:val="28"/>
        </w:rPr>
        <w:t>比较活跃的</w:t>
      </w:r>
      <w:r>
        <w:rPr>
          <w:rFonts w:eastAsia="宋体"/>
          <w:snapToGrid w:val="0"/>
          <w:kern w:val="0"/>
          <w:szCs w:val="28"/>
        </w:rPr>
        <w:t>市场。</w:t>
      </w:r>
    </w:p>
    <w:p>
      <w:pPr>
        <w:spacing w:line="520" w:lineRule="exact"/>
        <w:ind w:firstLine="560" w:firstLineChars="200"/>
        <w:rPr>
          <w:snapToGrid w:val="0"/>
          <w:kern w:val="0"/>
          <w:sz w:val="28"/>
          <w:szCs w:val="28"/>
        </w:rPr>
      </w:pPr>
      <w:r>
        <w:rPr>
          <w:snapToGrid w:val="0"/>
          <w:kern w:val="0"/>
          <w:sz w:val="28"/>
          <w:szCs w:val="28"/>
        </w:rPr>
        <w:t>6、在预期内，国家政治、经济形势平稳发展，未考虑不可抗拒的经济及自然因素的影响。估价对象所处</w:t>
      </w:r>
      <w:r>
        <w:rPr>
          <w:rFonts w:hint="eastAsia"/>
          <w:snapToGrid w:val="0"/>
          <w:kern w:val="0"/>
          <w:sz w:val="28"/>
          <w:szCs w:val="28"/>
        </w:rPr>
        <w:t>周边</w:t>
      </w:r>
      <w:r>
        <w:rPr>
          <w:snapToGrid w:val="0"/>
          <w:kern w:val="0"/>
          <w:sz w:val="28"/>
          <w:szCs w:val="28"/>
        </w:rPr>
        <w:t>环境在未来城市规划中趋于优化。</w:t>
      </w:r>
    </w:p>
    <w:p>
      <w:pPr>
        <w:pStyle w:val="4"/>
        <w:spacing w:line="520" w:lineRule="exact"/>
        <w:ind w:firstLine="548" w:firstLineChars="196"/>
        <w:rPr>
          <w:rFonts w:eastAsia="宋体"/>
          <w:snapToGrid w:val="0"/>
          <w:kern w:val="0"/>
          <w:szCs w:val="28"/>
        </w:rPr>
      </w:pPr>
      <w:r>
        <w:rPr>
          <w:rFonts w:eastAsia="宋体"/>
          <w:snapToGrid w:val="0"/>
          <w:kern w:val="0"/>
          <w:szCs w:val="28"/>
        </w:rPr>
        <w:t>7、估价人员已按规范的估价程序对估价对象进行了现场查看。但仅限于其外观和使用状况，估价人员不承担对估价对象建筑物结构及被遮盖、未暴露及难以接触到的部分进行检视和调查的责任，本报告假设该部分符合国家有关技术、质量、验收规范。</w:t>
      </w:r>
    </w:p>
    <w:p>
      <w:pPr>
        <w:pStyle w:val="4"/>
        <w:spacing w:line="520" w:lineRule="exact"/>
        <w:ind w:firstLine="516" w:firstLineChars="200"/>
        <w:rPr>
          <w:rFonts w:hint="eastAsia" w:eastAsia="宋体"/>
          <w:snapToGrid w:val="0"/>
          <w:kern w:val="0"/>
          <w:szCs w:val="28"/>
        </w:rPr>
      </w:pPr>
      <w:r>
        <w:rPr>
          <w:rFonts w:eastAsia="宋体"/>
          <w:snapToGrid w:val="0"/>
          <w:spacing w:val="-11"/>
          <w:kern w:val="0"/>
          <w:szCs w:val="28"/>
        </w:rPr>
        <w:t>8、估价委托人提供的有关资料和陈述的情况真实、合法、完整。因资料失实造成估价结果有误的，估价机构及估价人员不承担相应的责任。</w:t>
      </w:r>
    </w:p>
    <w:p>
      <w:pPr>
        <w:spacing w:line="540" w:lineRule="exact"/>
        <w:ind w:firstLine="564"/>
        <w:rPr>
          <w:snapToGrid w:val="0"/>
          <w:kern w:val="0"/>
          <w:sz w:val="28"/>
          <w:szCs w:val="28"/>
        </w:rPr>
      </w:pPr>
      <w:r>
        <w:rPr>
          <w:rFonts w:hint="eastAsia"/>
          <w:snapToGrid w:val="0"/>
          <w:kern w:val="0"/>
          <w:sz w:val="28"/>
          <w:szCs w:val="28"/>
        </w:rPr>
        <w:t>9、</w:t>
      </w:r>
      <w:r>
        <w:rPr>
          <w:snapToGrid w:val="0"/>
          <w:kern w:val="0"/>
          <w:sz w:val="28"/>
          <w:szCs w:val="28"/>
        </w:rPr>
        <w:t>估价委托人提供的</w:t>
      </w:r>
      <w:r>
        <w:rPr>
          <w:rFonts w:hint="eastAsia"/>
          <w:snapToGrid w:val="0"/>
          <w:kern w:val="0"/>
          <w:sz w:val="28"/>
          <w:szCs w:val="28"/>
        </w:rPr>
        <w:t>《房屋所有权证》及《国有土地使用权证》，</w:t>
      </w:r>
      <w:r>
        <w:rPr>
          <w:snapToGrid w:val="0"/>
          <w:kern w:val="0"/>
          <w:sz w:val="28"/>
          <w:szCs w:val="28"/>
        </w:rPr>
        <w:t>估价对象</w:t>
      </w:r>
      <w:r>
        <w:rPr>
          <w:rFonts w:hint="eastAsia"/>
          <w:snapToGrid w:val="0"/>
          <w:kern w:val="0"/>
          <w:sz w:val="28"/>
          <w:szCs w:val="28"/>
        </w:rPr>
        <w:t>位于</w:t>
      </w:r>
      <w:r>
        <w:rPr>
          <w:rFonts w:hint="eastAsia"/>
          <w:sz w:val="28"/>
          <w:szCs w:val="20"/>
          <w:lang w:eastAsia="zh-CN"/>
        </w:rPr>
        <w:t>德阳市罗江镇黎明社区</w:t>
      </w:r>
      <w:r>
        <w:rPr>
          <w:rFonts w:hint="eastAsia"/>
          <w:color w:val="auto"/>
          <w:sz w:val="28"/>
          <w:szCs w:val="20"/>
        </w:rPr>
        <w:t>十六米干道以北</w:t>
      </w:r>
      <w:r>
        <w:rPr>
          <w:rFonts w:hint="eastAsia"/>
          <w:sz w:val="28"/>
          <w:szCs w:val="20"/>
        </w:rPr>
        <w:t>（罗江中学用地拆迁）</w:t>
      </w:r>
      <w:r>
        <w:rPr>
          <w:rFonts w:hint="eastAsia"/>
          <w:snapToGrid w:val="0"/>
          <w:kern w:val="0"/>
          <w:sz w:val="28"/>
          <w:szCs w:val="28"/>
        </w:rPr>
        <w:t>，建筑面积为279.73</w:t>
      </w:r>
      <w:r>
        <w:rPr>
          <w:snapToGrid w:val="0"/>
          <w:kern w:val="0"/>
          <w:sz w:val="28"/>
          <w:szCs w:val="28"/>
        </w:rPr>
        <w:t>平方米</w:t>
      </w:r>
      <w:r>
        <w:rPr>
          <w:rFonts w:hint="eastAsia"/>
          <w:snapToGrid w:val="0"/>
          <w:kern w:val="0"/>
          <w:sz w:val="28"/>
          <w:szCs w:val="28"/>
        </w:rPr>
        <w:t>及相应分摊的国有土地使用权面积75.0平方米</w:t>
      </w:r>
      <w:r>
        <w:rPr>
          <w:rFonts w:hint="eastAsia" w:hAnsi="宋体"/>
          <w:snapToGrid w:val="0"/>
          <w:kern w:val="0"/>
          <w:sz w:val="28"/>
          <w:szCs w:val="28"/>
        </w:rPr>
        <w:t>，房屋用途为住宅，</w:t>
      </w:r>
      <w:r>
        <w:rPr>
          <w:rFonts w:hint="eastAsia"/>
          <w:snapToGrid w:val="0"/>
          <w:kern w:val="0"/>
          <w:sz w:val="28"/>
          <w:szCs w:val="28"/>
        </w:rPr>
        <w:t>土地使用权类型为出让，</w:t>
      </w:r>
      <w:r>
        <w:rPr>
          <w:snapToGrid w:val="0"/>
          <w:kern w:val="0"/>
          <w:sz w:val="28"/>
          <w:szCs w:val="28"/>
        </w:rPr>
        <w:t>本次估价是以此数据</w:t>
      </w:r>
      <w:r>
        <w:rPr>
          <w:rFonts w:hint="eastAsia"/>
          <w:snapToGrid w:val="0"/>
          <w:kern w:val="0"/>
          <w:sz w:val="28"/>
          <w:szCs w:val="28"/>
        </w:rPr>
        <w:t>及用途</w:t>
      </w:r>
      <w:r>
        <w:rPr>
          <w:snapToGrid w:val="0"/>
          <w:kern w:val="0"/>
          <w:sz w:val="28"/>
          <w:szCs w:val="28"/>
        </w:rPr>
        <w:t>作为假使前提进行估价。</w:t>
      </w:r>
    </w:p>
    <w:p>
      <w:pPr>
        <w:pStyle w:val="4"/>
        <w:spacing w:line="540" w:lineRule="exact"/>
        <w:ind w:firstLine="548" w:firstLineChars="196"/>
        <w:rPr>
          <w:rFonts w:hint="eastAsia" w:eastAsia="宋体"/>
          <w:snapToGrid w:val="0"/>
          <w:kern w:val="0"/>
          <w:szCs w:val="28"/>
        </w:rPr>
      </w:pPr>
      <w:r>
        <w:rPr>
          <w:rFonts w:hint="eastAsia" w:eastAsia="宋体"/>
          <w:snapToGrid w:val="0"/>
          <w:kern w:val="0"/>
          <w:szCs w:val="28"/>
        </w:rPr>
        <w:t>10、估价对象进行现场查勘过程中，德阳市罗江区人民法院法官彭涛组织申请人及我公司估价人员对估价对象房屋进行了实地查勘，并对现场状况进行确认。</w:t>
      </w:r>
    </w:p>
    <w:p>
      <w:pPr>
        <w:pStyle w:val="4"/>
        <w:spacing w:line="540" w:lineRule="exact"/>
        <w:ind w:firstLine="573"/>
        <w:rPr>
          <w:rFonts w:eastAsia="宋体"/>
          <w:b/>
          <w:color w:val="000000"/>
        </w:rPr>
      </w:pPr>
      <w:bookmarkStart w:id="26" w:name="_Toc418519996"/>
      <w:bookmarkStart w:id="27" w:name="_Toc418520139"/>
      <w:bookmarkStart w:id="28" w:name="_Toc418520306"/>
      <w:bookmarkStart w:id="29" w:name="_Toc420872936"/>
      <w:bookmarkStart w:id="30" w:name="_Toc420873152"/>
      <w:bookmarkStart w:id="31" w:name="_Toc420873216"/>
      <w:bookmarkStart w:id="32" w:name="_Toc420873305"/>
      <w:r>
        <w:rPr>
          <w:rFonts w:eastAsia="宋体"/>
          <w:b/>
          <w:color w:val="000000"/>
        </w:rPr>
        <w:t>二、说明和限制条件</w:t>
      </w:r>
      <w:bookmarkEnd w:id="26"/>
      <w:bookmarkEnd w:id="27"/>
      <w:bookmarkEnd w:id="28"/>
      <w:bookmarkEnd w:id="29"/>
      <w:bookmarkEnd w:id="30"/>
      <w:bookmarkEnd w:id="31"/>
      <w:bookmarkEnd w:id="32"/>
    </w:p>
    <w:p>
      <w:pPr>
        <w:pStyle w:val="4"/>
        <w:spacing w:line="540" w:lineRule="exact"/>
        <w:ind w:firstLine="570"/>
        <w:rPr>
          <w:rFonts w:eastAsia="宋体"/>
          <w:szCs w:val="28"/>
        </w:rPr>
      </w:pPr>
      <w:r>
        <w:rPr>
          <w:rFonts w:eastAsia="宋体"/>
          <w:snapToGrid w:val="0"/>
          <w:color w:val="000000"/>
          <w:kern w:val="0"/>
          <w:szCs w:val="28"/>
        </w:rPr>
        <w:t>1、</w:t>
      </w:r>
      <w:r>
        <w:rPr>
          <w:rFonts w:eastAsia="宋体"/>
          <w:color w:val="000000"/>
          <w:szCs w:val="28"/>
        </w:rPr>
        <w:t>本报告估价结果根据本次估价目的，对估价对象在保持现有</w:t>
      </w:r>
      <w:r>
        <w:rPr>
          <w:rFonts w:eastAsia="宋体"/>
          <w:szCs w:val="28"/>
        </w:rPr>
        <w:t>使用状态下作出的，仅供司法拍卖（变卖）提供房地产市场价值参考依据，不得作其他用途。</w:t>
      </w:r>
    </w:p>
    <w:p>
      <w:pPr>
        <w:pStyle w:val="4"/>
        <w:spacing w:line="540" w:lineRule="exact"/>
        <w:ind w:firstLine="570"/>
        <w:rPr>
          <w:rFonts w:eastAsia="宋体"/>
          <w:szCs w:val="28"/>
        </w:rPr>
      </w:pPr>
      <w:r>
        <w:rPr>
          <w:rFonts w:eastAsia="宋体"/>
          <w:szCs w:val="28"/>
        </w:rPr>
        <w:t>2、本报告价值时点为</w:t>
      </w:r>
      <w:r>
        <w:rPr>
          <w:rFonts w:hint="eastAsia" w:eastAsia="宋体"/>
          <w:szCs w:val="28"/>
        </w:rPr>
        <w:t>二零一八年五月十八日</w:t>
      </w:r>
      <w:r>
        <w:rPr>
          <w:rFonts w:eastAsia="宋体"/>
          <w:szCs w:val="28"/>
        </w:rPr>
        <w:t>，</w:t>
      </w:r>
      <w:r>
        <w:rPr>
          <w:rFonts w:hint="eastAsia" w:eastAsia="宋体"/>
          <w:szCs w:val="28"/>
        </w:rPr>
        <w:t>应估价委托人要求</w:t>
      </w:r>
      <w:r>
        <w:rPr>
          <w:rFonts w:eastAsia="宋体"/>
          <w:szCs w:val="28"/>
        </w:rPr>
        <w:t>与估价人员现场查看时点一致。</w:t>
      </w:r>
    </w:p>
    <w:p>
      <w:pPr>
        <w:pStyle w:val="4"/>
        <w:spacing w:line="540" w:lineRule="exact"/>
        <w:ind w:firstLine="548" w:firstLineChars="196"/>
        <w:rPr>
          <w:rFonts w:hint="eastAsia" w:hAnsi="宋体" w:eastAsia="宋体"/>
          <w:snapToGrid w:val="0"/>
          <w:kern w:val="0"/>
          <w:szCs w:val="28"/>
        </w:rPr>
      </w:pPr>
      <w:bookmarkStart w:id="33" w:name="_Toc418519997"/>
      <w:bookmarkStart w:id="34" w:name="_Toc418520140"/>
      <w:bookmarkStart w:id="35" w:name="_Toc418520307"/>
      <w:r>
        <w:rPr>
          <w:rFonts w:hint="eastAsia" w:eastAsia="宋体"/>
          <w:szCs w:val="28"/>
        </w:rPr>
        <w:t>3</w:t>
      </w:r>
      <w:r>
        <w:rPr>
          <w:rFonts w:eastAsia="宋体"/>
          <w:szCs w:val="28"/>
        </w:rPr>
        <w:t>、本估价报告及估价结论的价值定义为：估价对象在价值时点</w:t>
      </w:r>
      <w:r>
        <w:rPr>
          <w:rFonts w:hAnsi="宋体" w:eastAsia="宋体"/>
          <w:snapToGrid w:val="0"/>
          <w:kern w:val="0"/>
          <w:szCs w:val="28"/>
        </w:rPr>
        <w:t>状态下的</w:t>
      </w:r>
      <w:r>
        <w:rPr>
          <w:rFonts w:hint="eastAsia" w:hAnsi="宋体" w:eastAsia="宋体"/>
          <w:snapToGrid w:val="0"/>
          <w:kern w:val="0"/>
          <w:szCs w:val="28"/>
        </w:rPr>
        <w:t>公开市场价格</w:t>
      </w:r>
      <w:r>
        <w:rPr>
          <w:rFonts w:hAnsi="宋体" w:eastAsia="宋体"/>
          <w:snapToGrid w:val="0"/>
          <w:kern w:val="0"/>
          <w:szCs w:val="28"/>
        </w:rPr>
        <w:t>。</w:t>
      </w:r>
      <w:r>
        <w:rPr>
          <w:rFonts w:hint="eastAsia" w:eastAsia="宋体"/>
        </w:rPr>
        <w:t>所评估出的客观合理价格应是估价对象于价值时点在公开市场上最可能形成或成立的价格（不评估变现价值，不考虑房地产拍卖（变卖）成交后交易税费及税费的转移分担）。</w:t>
      </w:r>
    </w:p>
    <w:p>
      <w:pPr>
        <w:widowControl/>
        <w:tabs>
          <w:tab w:val="left" w:pos="8460"/>
        </w:tabs>
        <w:spacing w:line="540" w:lineRule="exact"/>
        <w:ind w:right="44" w:firstLine="560" w:firstLineChars="200"/>
        <w:rPr>
          <w:rFonts w:hAnsi="宋体"/>
          <w:snapToGrid w:val="0"/>
          <w:kern w:val="0"/>
          <w:sz w:val="28"/>
          <w:szCs w:val="28"/>
        </w:rPr>
      </w:pPr>
      <w:r>
        <w:rPr>
          <w:rFonts w:hint="eastAsia" w:hAnsi="宋体"/>
          <w:snapToGrid w:val="0"/>
          <w:kern w:val="0"/>
          <w:sz w:val="28"/>
          <w:szCs w:val="28"/>
        </w:rPr>
        <w:t>4</w:t>
      </w:r>
      <w:r>
        <w:rPr>
          <w:rFonts w:hAnsi="宋体"/>
          <w:snapToGrid w:val="0"/>
          <w:kern w:val="0"/>
          <w:sz w:val="28"/>
          <w:szCs w:val="28"/>
        </w:rPr>
        <w:t>、</w:t>
      </w:r>
      <w:r>
        <w:rPr>
          <w:snapToGrid w:val="0"/>
          <w:kern w:val="0"/>
          <w:sz w:val="28"/>
          <w:szCs w:val="28"/>
        </w:rPr>
        <w:t>估价对象状况和房地产市场状况因时间变化对房地产价值可能产生影响，估价对象可能会因为宏观市场、不可抗拒力、相邻物业及其他因素的影响，价值会</w:t>
      </w:r>
      <w:r>
        <w:rPr>
          <w:rFonts w:hint="eastAsia"/>
          <w:snapToGrid w:val="0"/>
          <w:kern w:val="0"/>
          <w:sz w:val="28"/>
          <w:szCs w:val="28"/>
        </w:rPr>
        <w:t>也</w:t>
      </w:r>
      <w:r>
        <w:rPr>
          <w:snapToGrid w:val="0"/>
          <w:kern w:val="0"/>
          <w:sz w:val="28"/>
          <w:szCs w:val="28"/>
        </w:rPr>
        <w:t>有一定的变化</w:t>
      </w:r>
      <w:r>
        <w:rPr>
          <w:rFonts w:hint="eastAsia"/>
          <w:snapToGrid w:val="0"/>
          <w:kern w:val="0"/>
          <w:sz w:val="28"/>
          <w:szCs w:val="28"/>
        </w:rPr>
        <w:t>。</w:t>
      </w:r>
      <w:r>
        <w:rPr>
          <w:snapToGrid w:val="0"/>
          <w:kern w:val="0"/>
          <w:sz w:val="28"/>
          <w:szCs w:val="28"/>
        </w:rPr>
        <w:t>在估价对象实物及区域因素不受意外损害，能正常维护使用，房地产市场没有大的波动的情况下，预计估价报告使用有效期内，房地产</w:t>
      </w:r>
      <w:r>
        <w:rPr>
          <w:rFonts w:hint="eastAsia"/>
          <w:snapToGrid w:val="0"/>
          <w:kern w:val="0"/>
          <w:sz w:val="28"/>
          <w:szCs w:val="28"/>
        </w:rPr>
        <w:t>市场</w:t>
      </w:r>
      <w:r>
        <w:rPr>
          <w:snapToGrid w:val="0"/>
          <w:kern w:val="0"/>
          <w:sz w:val="28"/>
          <w:szCs w:val="28"/>
        </w:rPr>
        <w:t>价值基本保持稳定。</w:t>
      </w:r>
      <w:r>
        <w:rPr>
          <w:rFonts w:hAnsi="宋体"/>
          <w:snapToGrid w:val="0"/>
          <w:kern w:val="0"/>
          <w:sz w:val="28"/>
          <w:szCs w:val="28"/>
        </w:rPr>
        <w:t>本估价结果自估价报告完成之日起</w:t>
      </w:r>
      <w:r>
        <w:rPr>
          <w:rFonts w:hint="eastAsia" w:hAnsi="宋体"/>
          <w:snapToGrid w:val="0"/>
          <w:kern w:val="0"/>
          <w:sz w:val="28"/>
          <w:szCs w:val="28"/>
        </w:rPr>
        <w:t>壹</w:t>
      </w:r>
      <w:r>
        <w:rPr>
          <w:rFonts w:hAnsi="宋体"/>
          <w:snapToGrid w:val="0"/>
          <w:kern w:val="0"/>
          <w:sz w:val="28"/>
          <w:szCs w:val="28"/>
        </w:rPr>
        <w:t>年内有效</w:t>
      </w:r>
      <w:r>
        <w:rPr>
          <w:rFonts w:hint="eastAsia" w:hAnsi="宋体"/>
          <w:snapToGrid w:val="0"/>
          <w:kern w:val="0"/>
          <w:sz w:val="28"/>
          <w:szCs w:val="28"/>
        </w:rPr>
        <w:t>。</w:t>
      </w:r>
      <w:r>
        <w:rPr>
          <w:rFonts w:hAnsi="宋体"/>
          <w:snapToGrid w:val="0"/>
          <w:kern w:val="0"/>
          <w:sz w:val="28"/>
          <w:szCs w:val="28"/>
        </w:rPr>
        <w:t>若在此期间内由于国家政策、经济环境、</w:t>
      </w:r>
      <w:r>
        <w:rPr>
          <w:rFonts w:hint="eastAsia" w:hAnsi="宋体"/>
          <w:snapToGrid w:val="0"/>
          <w:kern w:val="0"/>
          <w:sz w:val="28"/>
          <w:szCs w:val="28"/>
        </w:rPr>
        <w:t>市场变动</w:t>
      </w:r>
      <w:r>
        <w:rPr>
          <w:rFonts w:hAnsi="宋体"/>
          <w:snapToGrid w:val="0"/>
          <w:kern w:val="0"/>
          <w:sz w:val="28"/>
          <w:szCs w:val="28"/>
        </w:rPr>
        <w:t>及估价对象本身的物理状况等因素和本报告假设条件发生重大变动，且这些变动会对估价结果产生重大影响时，本估价结果无效，而需委托评估机构再估价。</w:t>
      </w:r>
    </w:p>
    <w:p>
      <w:pPr>
        <w:pStyle w:val="4"/>
        <w:ind w:firstLine="570"/>
        <w:rPr>
          <w:rFonts w:hint="eastAsia" w:hAnsi="宋体" w:eastAsia="宋体"/>
          <w:szCs w:val="28"/>
        </w:rPr>
      </w:pPr>
      <w:r>
        <w:rPr>
          <w:rFonts w:hint="eastAsia" w:eastAsia="宋体"/>
          <w:szCs w:val="28"/>
        </w:rPr>
        <w:t>5</w:t>
      </w:r>
      <w:r>
        <w:rPr>
          <w:rFonts w:hAnsi="宋体" w:eastAsia="宋体"/>
          <w:szCs w:val="28"/>
        </w:rPr>
        <w:t>、本报告须在有效期内，按</w:t>
      </w:r>
      <w:r>
        <w:rPr>
          <w:rFonts w:eastAsia="宋体"/>
          <w:szCs w:val="28"/>
        </w:rPr>
        <w:t>“</w:t>
      </w:r>
      <w:r>
        <w:rPr>
          <w:rFonts w:hAnsi="宋体" w:eastAsia="宋体"/>
          <w:szCs w:val="28"/>
        </w:rPr>
        <w:t>估价的假设和限制条件及报告使用</w:t>
      </w:r>
      <w:r>
        <w:rPr>
          <w:rFonts w:hAnsi="宋体" w:eastAsia="宋体"/>
          <w:spacing w:val="-6"/>
          <w:szCs w:val="28"/>
        </w:rPr>
        <w:t>说明</w:t>
      </w:r>
      <w:r>
        <w:rPr>
          <w:rFonts w:eastAsia="宋体"/>
          <w:spacing w:val="-6"/>
          <w:szCs w:val="28"/>
        </w:rPr>
        <w:t>”</w:t>
      </w:r>
      <w:r>
        <w:rPr>
          <w:rFonts w:hAnsi="宋体" w:eastAsia="宋体"/>
          <w:spacing w:val="-6"/>
          <w:szCs w:val="28"/>
        </w:rPr>
        <w:t>正确合理地运用，若由于使用者使用不当相关责任由使用者承担。</w:t>
      </w:r>
    </w:p>
    <w:p>
      <w:pPr>
        <w:pStyle w:val="4"/>
        <w:tabs>
          <w:tab w:val="left" w:pos="570"/>
        </w:tabs>
        <w:spacing w:line="540" w:lineRule="exact"/>
        <w:ind w:firstLine="560" w:firstLineChars="200"/>
        <w:rPr>
          <w:rFonts w:eastAsia="宋体"/>
          <w:szCs w:val="28"/>
        </w:rPr>
      </w:pPr>
      <w:r>
        <w:rPr>
          <w:rFonts w:eastAsia="宋体"/>
          <w:szCs w:val="28"/>
        </w:rPr>
        <w:t>6、根据本报告估价目的，在运用本报告时应充分考虑产权性质、未来市场波动风险、房地产</w:t>
      </w:r>
      <w:r>
        <w:rPr>
          <w:rFonts w:hint="eastAsia" w:eastAsia="宋体"/>
          <w:szCs w:val="28"/>
        </w:rPr>
        <w:t>拍卖变卖</w:t>
      </w:r>
      <w:r>
        <w:rPr>
          <w:rFonts w:eastAsia="宋体"/>
          <w:szCs w:val="28"/>
        </w:rPr>
        <w:t>的不确定性和变现费用、房地产</w:t>
      </w:r>
      <w:r>
        <w:rPr>
          <w:rFonts w:hint="eastAsia" w:eastAsia="宋体"/>
          <w:szCs w:val="28"/>
        </w:rPr>
        <w:t>成交后</w:t>
      </w:r>
      <w:r>
        <w:rPr>
          <w:rFonts w:eastAsia="宋体"/>
          <w:szCs w:val="28"/>
        </w:rPr>
        <w:t>应缴纳的有关税费等因素对估价对象价值的影响</w:t>
      </w:r>
      <w:r>
        <w:rPr>
          <w:rFonts w:eastAsia="宋体"/>
          <w:snapToGrid w:val="0"/>
          <w:kern w:val="0"/>
          <w:szCs w:val="28"/>
        </w:rPr>
        <w:t>。</w:t>
      </w:r>
    </w:p>
    <w:bookmarkEnd w:id="33"/>
    <w:bookmarkEnd w:id="34"/>
    <w:bookmarkEnd w:id="35"/>
    <w:p>
      <w:pPr>
        <w:pStyle w:val="4"/>
        <w:spacing w:line="540" w:lineRule="exact"/>
        <w:ind w:firstLine="420" w:firstLineChars="150"/>
        <w:rPr>
          <w:rFonts w:eastAsia="宋体"/>
          <w:szCs w:val="28"/>
        </w:rPr>
      </w:pPr>
      <w:r>
        <w:rPr>
          <w:rFonts w:hint="eastAsia" w:eastAsia="宋体"/>
          <w:szCs w:val="28"/>
        </w:rPr>
        <w:t>7</w:t>
      </w:r>
      <w:r>
        <w:rPr>
          <w:rFonts w:hAnsi="宋体" w:eastAsia="宋体"/>
          <w:szCs w:val="28"/>
        </w:rPr>
        <w:t>、本报告未经我公司书面同意，估价委托人不得向报告使用方以外的人员或单位提供、且报告的全部或部分内容不得发表于任何公开媒体</w:t>
      </w:r>
      <w:r>
        <w:rPr>
          <w:rFonts w:hint="eastAsia" w:hAnsi="宋体" w:eastAsia="宋体"/>
          <w:szCs w:val="28"/>
        </w:rPr>
        <w:t>、</w:t>
      </w:r>
      <w:r>
        <w:rPr>
          <w:rFonts w:hAnsi="宋体" w:eastAsia="宋体"/>
          <w:szCs w:val="28"/>
        </w:rPr>
        <w:t>宣传资料</w:t>
      </w:r>
      <w:r>
        <w:rPr>
          <w:rFonts w:hint="eastAsia" w:hAnsi="宋体" w:eastAsia="宋体"/>
          <w:szCs w:val="28"/>
        </w:rPr>
        <w:t>以及其他商业用途</w:t>
      </w:r>
      <w:r>
        <w:rPr>
          <w:rFonts w:hAnsi="宋体" w:eastAsia="宋体"/>
          <w:szCs w:val="28"/>
        </w:rPr>
        <w:t>中</w:t>
      </w:r>
      <w:r>
        <w:rPr>
          <w:rFonts w:hint="eastAsia" w:hAnsi="宋体" w:eastAsia="宋体"/>
          <w:szCs w:val="28"/>
        </w:rPr>
        <w:t>，</w:t>
      </w:r>
      <w:r>
        <w:rPr>
          <w:rFonts w:hint="eastAsia" w:eastAsia="宋体"/>
          <w:snapToGrid w:val="0"/>
          <w:kern w:val="0"/>
          <w:szCs w:val="28"/>
        </w:rPr>
        <w:t>国家法律有规定的除外</w:t>
      </w:r>
      <w:r>
        <w:rPr>
          <w:rFonts w:hAnsi="宋体" w:eastAsia="宋体"/>
          <w:szCs w:val="28"/>
        </w:rPr>
        <w:t>。</w:t>
      </w:r>
    </w:p>
    <w:p>
      <w:pPr>
        <w:pStyle w:val="4"/>
        <w:spacing w:line="540" w:lineRule="exact"/>
        <w:ind w:firstLine="573"/>
        <w:rPr>
          <w:rFonts w:hint="eastAsia" w:hAnsi="宋体" w:eastAsia="宋体"/>
          <w:szCs w:val="28"/>
        </w:rPr>
      </w:pPr>
      <w:r>
        <w:rPr>
          <w:rFonts w:hint="eastAsia" w:hAnsi="宋体" w:eastAsia="宋体"/>
          <w:szCs w:val="28"/>
        </w:rPr>
        <w:t>8、</w:t>
      </w:r>
      <w:r>
        <w:rPr>
          <w:rFonts w:hAnsi="宋体" w:eastAsia="宋体"/>
          <w:szCs w:val="28"/>
        </w:rPr>
        <w:t>本估价报告在估价人员专业知识范围内，力求客观、公正、科学，若因打印、校对及其他原因出现数字或文字误差时，请估价委托人及时通知我公司更正，否则，误差部分无效。</w:t>
      </w:r>
    </w:p>
    <w:p>
      <w:pPr>
        <w:pStyle w:val="4"/>
        <w:ind w:firstLine="570"/>
        <w:rPr>
          <w:rFonts w:hint="eastAsia" w:eastAsia="宋体"/>
          <w:szCs w:val="28"/>
        </w:rPr>
      </w:pPr>
      <w:r>
        <w:rPr>
          <w:rFonts w:hint="eastAsia" w:eastAsia="宋体"/>
          <w:szCs w:val="28"/>
        </w:rPr>
        <w:t>9</w:t>
      </w:r>
      <w:r>
        <w:rPr>
          <w:rFonts w:eastAsia="宋体"/>
          <w:szCs w:val="28"/>
        </w:rPr>
        <w:t>、本估价报告分为“估价结果报告”和“估价技术报告”两部分。</w:t>
      </w:r>
      <w:r>
        <w:rPr>
          <w:rFonts w:hint="eastAsia" w:eastAsia="宋体"/>
          <w:szCs w:val="28"/>
        </w:rPr>
        <w:t>估价结果报告提交委托方，估价技术报告由评估机构存档。</w:t>
      </w:r>
    </w:p>
    <w:p>
      <w:pPr>
        <w:pStyle w:val="4"/>
        <w:spacing w:line="540" w:lineRule="exact"/>
        <w:ind w:firstLine="570"/>
        <w:rPr>
          <w:rFonts w:eastAsia="宋体"/>
          <w:szCs w:val="28"/>
        </w:rPr>
      </w:pPr>
      <w:r>
        <w:rPr>
          <w:rFonts w:hint="eastAsia" w:hAnsi="宋体" w:eastAsia="宋体"/>
          <w:szCs w:val="28"/>
        </w:rPr>
        <w:t>10、</w:t>
      </w:r>
      <w:r>
        <w:rPr>
          <w:rFonts w:hAnsi="宋体" w:eastAsia="宋体"/>
          <w:szCs w:val="28"/>
        </w:rPr>
        <w:t>本报告经两名专职注册房地产估价师及公司签章，并作为一个整体使用时有效。</w:t>
      </w:r>
    </w:p>
    <w:p>
      <w:pPr>
        <w:pStyle w:val="4"/>
        <w:spacing w:line="540" w:lineRule="exact"/>
        <w:ind w:firstLine="570"/>
        <w:rPr>
          <w:rFonts w:eastAsia="宋体"/>
          <w:szCs w:val="28"/>
        </w:rPr>
      </w:pPr>
      <w:r>
        <w:rPr>
          <w:rFonts w:hint="eastAsia" w:eastAsia="宋体"/>
          <w:szCs w:val="28"/>
        </w:rPr>
        <w:t>11</w:t>
      </w:r>
      <w:r>
        <w:rPr>
          <w:rFonts w:eastAsia="宋体"/>
          <w:szCs w:val="28"/>
        </w:rPr>
        <w:t>、计价币种为人民币，计算过程进行了取整。</w:t>
      </w:r>
    </w:p>
    <w:p>
      <w:pPr>
        <w:pStyle w:val="4"/>
        <w:spacing w:line="520" w:lineRule="exact"/>
        <w:ind w:firstLine="2331" w:firstLineChars="645"/>
        <w:rPr>
          <w:rFonts w:hint="eastAsia" w:eastAsia="黑体"/>
          <w:b/>
          <w:sz w:val="36"/>
        </w:rPr>
      </w:pPr>
    </w:p>
    <w:p>
      <w:pPr>
        <w:pStyle w:val="4"/>
        <w:spacing w:line="520" w:lineRule="exact"/>
        <w:ind w:firstLine="2331" w:firstLineChars="645"/>
        <w:rPr>
          <w:rFonts w:hint="eastAsia" w:eastAsia="黑体"/>
          <w:b/>
          <w:sz w:val="36"/>
        </w:rPr>
      </w:pPr>
    </w:p>
    <w:p>
      <w:pPr>
        <w:pStyle w:val="4"/>
        <w:spacing w:line="520" w:lineRule="exact"/>
        <w:ind w:firstLine="2331" w:firstLineChars="645"/>
        <w:rPr>
          <w:rFonts w:hint="eastAsia" w:eastAsia="黑体"/>
          <w:b/>
          <w:sz w:val="36"/>
        </w:rPr>
      </w:pPr>
    </w:p>
    <w:p>
      <w:pPr>
        <w:pStyle w:val="4"/>
        <w:spacing w:line="520" w:lineRule="exact"/>
        <w:ind w:firstLine="2331" w:firstLineChars="645"/>
        <w:rPr>
          <w:rFonts w:hint="eastAsia" w:eastAsia="黑体"/>
          <w:b/>
          <w:sz w:val="36"/>
        </w:rPr>
      </w:pPr>
    </w:p>
    <w:p>
      <w:pPr>
        <w:pStyle w:val="4"/>
        <w:spacing w:line="520" w:lineRule="exact"/>
        <w:ind w:firstLine="2331" w:firstLineChars="645"/>
        <w:rPr>
          <w:rFonts w:hint="eastAsia" w:eastAsia="黑体"/>
          <w:b/>
          <w:sz w:val="36"/>
        </w:rPr>
      </w:pPr>
    </w:p>
    <w:p>
      <w:pPr>
        <w:pStyle w:val="4"/>
        <w:spacing w:line="520" w:lineRule="exact"/>
        <w:ind w:firstLine="2331" w:firstLineChars="645"/>
        <w:outlineLvl w:val="0"/>
        <w:rPr>
          <w:rFonts w:hint="eastAsia" w:eastAsia="黑体"/>
          <w:b/>
          <w:sz w:val="36"/>
        </w:rPr>
      </w:pPr>
    </w:p>
    <w:p>
      <w:pPr>
        <w:pStyle w:val="4"/>
        <w:ind w:firstLine="2331" w:firstLineChars="645"/>
        <w:outlineLvl w:val="0"/>
        <w:rPr>
          <w:rFonts w:hint="eastAsia" w:eastAsia="黑体"/>
          <w:b/>
          <w:sz w:val="36"/>
        </w:rPr>
      </w:pPr>
      <w:bookmarkStart w:id="36" w:name="_Toc4941"/>
    </w:p>
    <w:p>
      <w:pPr>
        <w:pStyle w:val="4"/>
        <w:ind w:firstLine="2331" w:firstLineChars="645"/>
        <w:outlineLvl w:val="0"/>
        <w:rPr>
          <w:rFonts w:eastAsia="黑体"/>
          <w:b/>
          <w:sz w:val="36"/>
        </w:rPr>
      </w:pPr>
    </w:p>
    <w:p>
      <w:pPr>
        <w:pStyle w:val="4"/>
        <w:ind w:firstLine="2331" w:firstLineChars="645"/>
        <w:outlineLvl w:val="0"/>
        <w:rPr>
          <w:rFonts w:eastAsia="黑体"/>
          <w:b/>
          <w:sz w:val="36"/>
        </w:rPr>
      </w:pPr>
    </w:p>
    <w:p>
      <w:pPr>
        <w:pStyle w:val="4"/>
        <w:ind w:firstLine="2331" w:firstLineChars="645"/>
        <w:outlineLvl w:val="0"/>
        <w:rPr>
          <w:rFonts w:eastAsia="黑体"/>
          <w:b/>
          <w:sz w:val="36"/>
        </w:rPr>
      </w:pPr>
    </w:p>
    <w:p>
      <w:pPr>
        <w:pStyle w:val="4"/>
        <w:ind w:firstLine="2331" w:firstLineChars="645"/>
        <w:outlineLvl w:val="0"/>
        <w:rPr>
          <w:rFonts w:eastAsia="黑体"/>
          <w:b/>
          <w:sz w:val="36"/>
        </w:rPr>
      </w:pPr>
    </w:p>
    <w:p>
      <w:pPr>
        <w:pStyle w:val="4"/>
        <w:ind w:firstLine="2331" w:firstLineChars="645"/>
        <w:outlineLvl w:val="0"/>
        <w:rPr>
          <w:rFonts w:eastAsia="黑体"/>
          <w:b/>
          <w:sz w:val="36"/>
        </w:rPr>
      </w:pPr>
    </w:p>
    <w:p>
      <w:pPr>
        <w:pStyle w:val="4"/>
        <w:ind w:firstLine="2331" w:firstLineChars="645"/>
        <w:outlineLvl w:val="0"/>
        <w:rPr>
          <w:rFonts w:hint="eastAsia" w:eastAsia="黑体"/>
          <w:b/>
          <w:sz w:val="36"/>
        </w:rPr>
      </w:pPr>
      <w:r>
        <w:rPr>
          <w:rFonts w:eastAsia="黑体"/>
          <w:b/>
          <w:sz w:val="36"/>
        </w:rPr>
        <w:t>第四部分   估价结果报告</w:t>
      </w:r>
      <w:bookmarkEnd w:id="36"/>
    </w:p>
    <w:p>
      <w:pPr>
        <w:pStyle w:val="4"/>
        <w:ind w:firstLine="2331" w:firstLineChars="645"/>
        <w:rPr>
          <w:rFonts w:hint="eastAsia" w:eastAsia="黑体"/>
          <w:b/>
          <w:sz w:val="36"/>
        </w:rPr>
      </w:pPr>
    </w:p>
    <w:p>
      <w:pPr>
        <w:pStyle w:val="4"/>
        <w:spacing w:line="540" w:lineRule="exact"/>
        <w:ind w:firstLine="643" w:firstLineChars="200"/>
        <w:outlineLvl w:val="1"/>
        <w:rPr>
          <w:rFonts w:hint="eastAsia" w:eastAsia="黑体"/>
          <w:b/>
          <w:sz w:val="32"/>
        </w:rPr>
      </w:pPr>
      <w:bookmarkStart w:id="37" w:name="_Toc17427"/>
      <w:r>
        <w:rPr>
          <w:rFonts w:eastAsia="黑体"/>
          <w:b/>
          <w:sz w:val="32"/>
        </w:rPr>
        <w:t>一、</w:t>
      </w:r>
      <w:r>
        <w:rPr>
          <w:rFonts w:hint="eastAsia" w:eastAsia="黑体"/>
          <w:b/>
          <w:sz w:val="32"/>
        </w:rPr>
        <w:t>估价委托人</w:t>
      </w:r>
      <w:bookmarkEnd w:id="37"/>
    </w:p>
    <w:p>
      <w:pPr>
        <w:pStyle w:val="4"/>
        <w:spacing w:line="540" w:lineRule="exact"/>
        <w:ind w:firstLine="562" w:firstLineChars="200"/>
        <w:rPr>
          <w:rFonts w:hint="eastAsia" w:eastAsia="宋体"/>
        </w:rPr>
      </w:pPr>
      <w:r>
        <w:rPr>
          <w:rFonts w:hint="eastAsia" w:eastAsia="宋体"/>
          <w:b/>
        </w:rPr>
        <w:t>委托法院：</w:t>
      </w:r>
      <w:r>
        <w:rPr>
          <w:rFonts w:hint="eastAsia" w:eastAsia="宋体"/>
        </w:rPr>
        <w:t>德阳市罗江区人民法院</w:t>
      </w:r>
    </w:p>
    <w:p>
      <w:pPr>
        <w:pStyle w:val="4"/>
        <w:spacing w:line="540" w:lineRule="exact"/>
        <w:ind w:firstLine="562" w:firstLineChars="200"/>
        <w:rPr>
          <w:rFonts w:hint="eastAsia" w:eastAsia="黑体"/>
          <w:b/>
          <w:sz w:val="32"/>
        </w:rPr>
      </w:pPr>
      <w:r>
        <w:rPr>
          <w:rFonts w:hint="eastAsia" w:eastAsia="宋体"/>
          <w:b/>
        </w:rPr>
        <w:t>联系人：</w:t>
      </w:r>
      <w:r>
        <w:rPr>
          <w:rFonts w:hint="eastAsia" w:eastAsia="宋体"/>
        </w:rPr>
        <w:t>彭涛</w:t>
      </w:r>
    </w:p>
    <w:p>
      <w:pPr>
        <w:pStyle w:val="4"/>
        <w:spacing w:line="540" w:lineRule="exact"/>
        <w:ind w:firstLine="643" w:firstLineChars="200"/>
        <w:outlineLvl w:val="1"/>
        <w:rPr>
          <w:rFonts w:hint="eastAsia" w:eastAsia="黑体"/>
          <w:b/>
          <w:sz w:val="32"/>
        </w:rPr>
      </w:pPr>
      <w:bookmarkStart w:id="38" w:name="_Toc21845"/>
      <w:r>
        <w:rPr>
          <w:rFonts w:eastAsia="黑体"/>
          <w:b/>
          <w:sz w:val="32"/>
        </w:rPr>
        <w:t>二、</w:t>
      </w:r>
      <w:r>
        <w:rPr>
          <w:rFonts w:hint="eastAsia" w:eastAsia="黑体"/>
          <w:b/>
          <w:sz w:val="32"/>
        </w:rPr>
        <w:t>房地产估价机构</w:t>
      </w:r>
      <w:bookmarkEnd w:id="38"/>
    </w:p>
    <w:p>
      <w:pPr>
        <w:pStyle w:val="4"/>
        <w:spacing w:line="540" w:lineRule="exact"/>
        <w:ind w:firstLine="562" w:firstLineChars="200"/>
        <w:rPr>
          <w:rFonts w:hint="eastAsia" w:eastAsia="宋体"/>
        </w:rPr>
      </w:pPr>
      <w:r>
        <w:rPr>
          <w:rFonts w:eastAsia="宋体"/>
          <w:b/>
        </w:rPr>
        <w:t>受托单位</w:t>
      </w:r>
      <w:r>
        <w:rPr>
          <w:rFonts w:eastAsia="宋体"/>
        </w:rPr>
        <w:t>：</w:t>
      </w:r>
      <w:r>
        <w:rPr>
          <w:rFonts w:hint="eastAsia" w:eastAsia="宋体"/>
        </w:rPr>
        <w:t>绵阳市公量房地产评估咨询有限公司</w:t>
      </w:r>
    </w:p>
    <w:p>
      <w:pPr>
        <w:pStyle w:val="4"/>
        <w:spacing w:line="540" w:lineRule="exact"/>
        <w:ind w:firstLine="562" w:firstLineChars="200"/>
        <w:rPr>
          <w:rFonts w:hint="eastAsia" w:eastAsia="宋体"/>
        </w:rPr>
      </w:pPr>
      <w:r>
        <w:rPr>
          <w:rFonts w:eastAsia="宋体"/>
          <w:b/>
        </w:rPr>
        <w:t>办公地址：</w:t>
      </w:r>
      <w:r>
        <w:rPr>
          <w:rFonts w:eastAsia="宋体"/>
        </w:rPr>
        <w:t>绵阳</w:t>
      </w:r>
      <w:r>
        <w:rPr>
          <w:rFonts w:hint="eastAsia" w:eastAsia="宋体"/>
        </w:rPr>
        <w:t>临园路东段富临大都会4幢1单元2501号</w:t>
      </w:r>
    </w:p>
    <w:p>
      <w:pPr>
        <w:pStyle w:val="4"/>
        <w:spacing w:line="540" w:lineRule="exact"/>
        <w:ind w:firstLine="562" w:firstLineChars="200"/>
        <w:rPr>
          <w:rFonts w:hint="eastAsia" w:eastAsia="宋体"/>
        </w:rPr>
      </w:pPr>
      <w:r>
        <w:rPr>
          <w:rFonts w:hint="eastAsia" w:eastAsia="宋体"/>
          <w:b/>
        </w:rPr>
        <w:t>统一社会信用代码：</w:t>
      </w:r>
      <w:r>
        <w:rPr>
          <w:rFonts w:hint="eastAsia" w:eastAsia="宋体"/>
        </w:rPr>
        <w:t>91510703786686306A</w:t>
      </w:r>
    </w:p>
    <w:p>
      <w:pPr>
        <w:pStyle w:val="4"/>
        <w:spacing w:line="540" w:lineRule="exact"/>
        <w:ind w:firstLine="562" w:firstLineChars="200"/>
        <w:rPr>
          <w:rFonts w:hint="eastAsia" w:eastAsia="宋体"/>
        </w:rPr>
      </w:pPr>
      <w:r>
        <w:rPr>
          <w:rFonts w:eastAsia="宋体"/>
          <w:b/>
        </w:rPr>
        <w:t>法人代表</w:t>
      </w:r>
      <w:r>
        <w:rPr>
          <w:rFonts w:eastAsia="宋体"/>
        </w:rPr>
        <w:t>：</w:t>
      </w:r>
      <w:r>
        <w:rPr>
          <w:rFonts w:hint="eastAsia" w:eastAsia="宋体"/>
        </w:rPr>
        <w:t>李国祥</w:t>
      </w:r>
    </w:p>
    <w:p>
      <w:pPr>
        <w:pStyle w:val="4"/>
        <w:spacing w:line="540" w:lineRule="exact"/>
        <w:ind w:firstLine="562" w:firstLineChars="200"/>
        <w:rPr>
          <w:rFonts w:hint="eastAsia" w:eastAsia="宋体"/>
        </w:rPr>
      </w:pPr>
      <w:r>
        <w:rPr>
          <w:rFonts w:eastAsia="宋体"/>
          <w:b/>
        </w:rPr>
        <w:t>资</w:t>
      </w:r>
      <w:r>
        <w:rPr>
          <w:rFonts w:hint="eastAsia" w:eastAsia="宋体"/>
          <w:b/>
        </w:rPr>
        <w:t>质</w:t>
      </w:r>
      <w:r>
        <w:rPr>
          <w:rFonts w:eastAsia="宋体"/>
          <w:b/>
        </w:rPr>
        <w:t>等级</w:t>
      </w:r>
      <w:r>
        <w:rPr>
          <w:rFonts w:eastAsia="宋体"/>
        </w:rPr>
        <w:t>：</w:t>
      </w:r>
      <w:r>
        <w:rPr>
          <w:rFonts w:hint="eastAsia" w:eastAsia="宋体"/>
        </w:rPr>
        <w:t>国家贰</w:t>
      </w:r>
      <w:r>
        <w:rPr>
          <w:rFonts w:eastAsia="宋体"/>
        </w:rPr>
        <w:t>级</w:t>
      </w:r>
    </w:p>
    <w:p>
      <w:pPr>
        <w:pStyle w:val="4"/>
        <w:spacing w:line="540" w:lineRule="exact"/>
        <w:ind w:firstLine="562" w:firstLineChars="200"/>
        <w:rPr>
          <w:rFonts w:eastAsia="宋体"/>
        </w:rPr>
      </w:pPr>
      <w:r>
        <w:rPr>
          <w:rFonts w:hint="eastAsia" w:eastAsia="宋体"/>
          <w:b/>
          <w:bCs/>
        </w:rPr>
        <w:t>证书编号：</w:t>
      </w:r>
      <w:r>
        <w:rPr>
          <w:rFonts w:hint="eastAsia" w:eastAsia="宋体"/>
        </w:rPr>
        <w:t>510700</w:t>
      </w:r>
      <w:r>
        <w:rPr>
          <w:rFonts w:eastAsia="宋体"/>
        </w:rPr>
        <w:t>G23</w:t>
      </w:r>
    </w:p>
    <w:p>
      <w:pPr>
        <w:pStyle w:val="4"/>
        <w:spacing w:line="540" w:lineRule="exact"/>
        <w:ind w:firstLine="562" w:firstLineChars="200"/>
        <w:rPr>
          <w:rFonts w:hint="eastAsia" w:eastAsia="宋体"/>
        </w:rPr>
      </w:pPr>
      <w:r>
        <w:rPr>
          <w:rFonts w:eastAsia="宋体"/>
          <w:b/>
        </w:rPr>
        <w:t>联系电话</w:t>
      </w:r>
      <w:r>
        <w:rPr>
          <w:rFonts w:eastAsia="宋体"/>
        </w:rPr>
        <w:t>：（0816）</w:t>
      </w:r>
      <w:r>
        <w:rPr>
          <w:rFonts w:hint="eastAsia" w:eastAsia="宋体"/>
        </w:rPr>
        <w:t>2220681</w:t>
      </w:r>
    </w:p>
    <w:p>
      <w:pPr>
        <w:pStyle w:val="4"/>
        <w:spacing w:line="540" w:lineRule="exact"/>
        <w:ind w:firstLine="643" w:firstLineChars="200"/>
        <w:outlineLvl w:val="1"/>
        <w:rPr>
          <w:rFonts w:hint="eastAsia" w:eastAsia="黑体"/>
          <w:b/>
          <w:sz w:val="32"/>
        </w:rPr>
      </w:pPr>
      <w:bookmarkStart w:id="39" w:name="_Toc28484"/>
      <w:r>
        <w:rPr>
          <w:rFonts w:eastAsia="黑体"/>
          <w:b/>
          <w:sz w:val="32"/>
        </w:rPr>
        <w:t>三、估价对象状况</w:t>
      </w:r>
      <w:bookmarkEnd w:id="39"/>
    </w:p>
    <w:p>
      <w:pPr>
        <w:pStyle w:val="4"/>
        <w:spacing w:line="540" w:lineRule="exact"/>
        <w:ind w:firstLine="562" w:firstLineChars="200"/>
        <w:rPr>
          <w:rFonts w:hint="eastAsia" w:eastAsia="宋体"/>
          <w:b/>
        </w:rPr>
      </w:pPr>
      <w:bookmarkStart w:id="40" w:name="_Toc418520002"/>
      <w:bookmarkStart w:id="41" w:name="_Toc418520145"/>
      <w:bookmarkStart w:id="42" w:name="_Toc418520312"/>
      <w:bookmarkStart w:id="43" w:name="_Toc420872941"/>
      <w:bookmarkStart w:id="44" w:name="_Toc420873157"/>
      <w:bookmarkStart w:id="45" w:name="_Toc420873221"/>
      <w:bookmarkStart w:id="46" w:name="_Toc420873310"/>
      <w:r>
        <w:rPr>
          <w:rFonts w:hint="eastAsia" w:eastAsia="宋体"/>
          <w:b/>
        </w:rPr>
        <w:t>1、估价对象区域简介</w:t>
      </w:r>
      <w:bookmarkEnd w:id="40"/>
      <w:bookmarkEnd w:id="41"/>
      <w:bookmarkEnd w:id="42"/>
      <w:bookmarkEnd w:id="43"/>
      <w:bookmarkEnd w:id="44"/>
      <w:bookmarkEnd w:id="45"/>
      <w:bookmarkEnd w:id="46"/>
    </w:p>
    <w:p>
      <w:pPr>
        <w:widowControl/>
        <w:spacing w:line="540" w:lineRule="exact"/>
        <w:ind w:firstLine="560" w:firstLineChars="200"/>
        <w:jc w:val="left"/>
        <w:rPr>
          <w:rFonts w:hint="eastAsia"/>
          <w:sz w:val="28"/>
          <w:szCs w:val="20"/>
        </w:rPr>
      </w:pPr>
      <w:r>
        <w:rPr>
          <w:rFonts w:hint="eastAsia"/>
          <w:sz w:val="28"/>
          <w:szCs w:val="20"/>
        </w:rPr>
        <w:t>估价对象位于</w:t>
      </w:r>
      <w:r>
        <w:rPr>
          <w:rFonts w:hint="eastAsia"/>
          <w:sz w:val="28"/>
          <w:szCs w:val="20"/>
          <w:lang w:eastAsia="zh-CN"/>
        </w:rPr>
        <w:t>德阳市罗江镇黎明社区</w:t>
      </w:r>
      <w:r>
        <w:rPr>
          <w:rFonts w:hint="eastAsia"/>
          <w:sz w:val="28"/>
          <w:szCs w:val="20"/>
        </w:rPr>
        <w:t>十六米干道以北（罗江中学用地拆迁）1-4层，</w:t>
      </w:r>
      <w:bookmarkStart w:id="47" w:name="_Toc418520003"/>
      <w:bookmarkStart w:id="48" w:name="_Toc418520146"/>
      <w:bookmarkStart w:id="49" w:name="_Toc418520313"/>
      <w:r>
        <w:rPr>
          <w:rFonts w:hint="eastAsia"/>
          <w:sz w:val="28"/>
          <w:szCs w:val="20"/>
        </w:rPr>
        <w:t>周围有小城阳光、祥和馨园、江岸春晓、豪庭、紫祥花园等小区，以及罗江县中医院、罗江县医院、罗江中学、凯悦广场、盛玛特购物中心等生活配套设施，有2路公交车通过，出租车及其他交通工具均可到达，无交通管制限制。区域范围内道路主要为黎明北路，道路体系完善，交通便利，生活配套实施完善。</w:t>
      </w:r>
    </w:p>
    <w:bookmarkEnd w:id="47"/>
    <w:bookmarkEnd w:id="48"/>
    <w:bookmarkEnd w:id="49"/>
    <w:p>
      <w:pPr>
        <w:pStyle w:val="7"/>
        <w:spacing w:line="540" w:lineRule="exact"/>
        <w:ind w:left="0" w:firstLine="562" w:firstLineChars="200"/>
        <w:rPr>
          <w:b/>
        </w:rPr>
      </w:pPr>
      <w:r>
        <w:rPr>
          <w:b/>
        </w:rPr>
        <w:t>2、估价对象相关资料登记状况</w:t>
      </w:r>
    </w:p>
    <w:p>
      <w:pPr>
        <w:pStyle w:val="7"/>
        <w:spacing w:line="600" w:lineRule="exact"/>
        <w:ind w:left="0" w:firstLine="560" w:firstLineChars="200"/>
      </w:pPr>
      <w:bookmarkStart w:id="50" w:name="_Toc418520005"/>
      <w:bookmarkStart w:id="51" w:name="_Toc418520148"/>
      <w:bookmarkStart w:id="52" w:name="_Toc418520315"/>
      <w:r>
        <w:t>估价委托人提供的《</w:t>
      </w:r>
      <w:r>
        <w:rPr>
          <w:rFonts w:hint="eastAsia"/>
        </w:rPr>
        <w:t>房屋所有权证</w:t>
      </w:r>
      <w:r>
        <w:t>》</w:t>
      </w:r>
      <w:r>
        <w:rPr>
          <w:rFonts w:hint="eastAsia"/>
        </w:rPr>
        <w:t>（复印件）</w:t>
      </w:r>
      <w:r>
        <w:t>登记的有关状况说明如下：</w:t>
      </w:r>
    </w:p>
    <w:tbl>
      <w:tblPr>
        <w:tblStyle w:val="16"/>
        <w:tblW w:w="6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kern w:val="0"/>
                <w:sz w:val="18"/>
                <w:szCs w:val="18"/>
              </w:rPr>
            </w:pPr>
            <w:r>
              <w:rPr>
                <w:kern w:val="0"/>
                <w:sz w:val="18"/>
                <w:szCs w:val="18"/>
              </w:rPr>
              <w:t>证</w:t>
            </w:r>
            <w:r>
              <w:rPr>
                <w:rFonts w:hint="eastAsia"/>
                <w:kern w:val="0"/>
                <w:sz w:val="18"/>
                <w:szCs w:val="18"/>
              </w:rPr>
              <w:t xml:space="preserve"> </w:t>
            </w:r>
            <w:r>
              <w:rPr>
                <w:kern w:val="0"/>
                <w:sz w:val="18"/>
                <w:szCs w:val="18"/>
              </w:rPr>
              <w:t>号</w:t>
            </w:r>
          </w:p>
        </w:tc>
        <w:tc>
          <w:tcPr>
            <w:tcW w:w="5223" w:type="dxa"/>
            <w:vAlign w:val="center"/>
          </w:tcPr>
          <w:p>
            <w:pPr>
              <w:widowControl/>
              <w:spacing w:line="300" w:lineRule="exact"/>
              <w:jc w:val="center"/>
              <w:rPr>
                <w:rFonts w:hint="eastAsia"/>
                <w:kern w:val="0"/>
                <w:sz w:val="18"/>
                <w:szCs w:val="18"/>
              </w:rPr>
            </w:pPr>
            <w:r>
              <w:rPr>
                <w:rFonts w:hint="eastAsia"/>
                <w:kern w:val="0"/>
                <w:sz w:val="18"/>
                <w:szCs w:val="18"/>
              </w:rPr>
              <w:t>罗江县房权证（县城）字第02291号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kern w:val="0"/>
                <w:sz w:val="18"/>
                <w:szCs w:val="18"/>
              </w:rPr>
            </w:pPr>
            <w:r>
              <w:rPr>
                <w:rFonts w:hint="eastAsia"/>
                <w:kern w:val="0"/>
                <w:sz w:val="18"/>
                <w:szCs w:val="18"/>
              </w:rPr>
              <w:t>房屋所有权人</w:t>
            </w:r>
          </w:p>
        </w:tc>
        <w:tc>
          <w:tcPr>
            <w:tcW w:w="5223" w:type="dxa"/>
            <w:vAlign w:val="center"/>
          </w:tcPr>
          <w:p>
            <w:pPr>
              <w:widowControl/>
              <w:spacing w:line="300" w:lineRule="exact"/>
              <w:jc w:val="center"/>
              <w:rPr>
                <w:rFonts w:hint="eastAsia"/>
                <w:spacing w:val="-6"/>
                <w:kern w:val="0"/>
                <w:sz w:val="18"/>
                <w:szCs w:val="18"/>
              </w:rPr>
            </w:pPr>
            <w:r>
              <w:rPr>
                <w:rFonts w:hint="eastAsia"/>
                <w:spacing w:val="-6"/>
                <w:kern w:val="0"/>
                <w:sz w:val="18"/>
                <w:szCs w:val="18"/>
              </w:rPr>
              <w:t>谭世富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color w:val="auto"/>
                <w:kern w:val="0"/>
                <w:sz w:val="18"/>
                <w:szCs w:val="18"/>
              </w:rPr>
            </w:pPr>
            <w:r>
              <w:rPr>
                <w:rFonts w:hint="eastAsia"/>
                <w:color w:val="auto"/>
                <w:kern w:val="0"/>
                <w:sz w:val="18"/>
                <w:szCs w:val="18"/>
              </w:rPr>
              <w:t>房屋坐落</w:t>
            </w:r>
          </w:p>
        </w:tc>
        <w:tc>
          <w:tcPr>
            <w:tcW w:w="5223" w:type="dxa"/>
            <w:vAlign w:val="center"/>
          </w:tcPr>
          <w:p>
            <w:pPr>
              <w:widowControl/>
              <w:spacing w:line="300" w:lineRule="exact"/>
              <w:jc w:val="center"/>
              <w:rPr>
                <w:rFonts w:hint="eastAsia"/>
                <w:color w:val="auto"/>
                <w:kern w:val="0"/>
                <w:sz w:val="18"/>
                <w:szCs w:val="18"/>
              </w:rPr>
            </w:pPr>
            <w:r>
              <w:rPr>
                <w:rFonts w:hint="eastAsia" w:hAnsi="宋体"/>
                <w:color w:val="auto"/>
              </w:rPr>
              <w:t>罗江镇黎明社区十六米干道以北（罗江中学用地拆迁）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eastAsia="宋体"/>
                <w:color w:val="auto"/>
                <w:kern w:val="0"/>
                <w:sz w:val="18"/>
                <w:szCs w:val="18"/>
                <w:lang w:eastAsia="zh-CN"/>
              </w:rPr>
            </w:pPr>
            <w:r>
              <w:rPr>
                <w:rFonts w:hint="eastAsia"/>
                <w:color w:val="auto"/>
                <w:kern w:val="0"/>
                <w:sz w:val="18"/>
                <w:szCs w:val="18"/>
                <w:lang w:eastAsia="zh-CN"/>
              </w:rPr>
              <w:t>丘（地）号</w:t>
            </w:r>
          </w:p>
        </w:tc>
        <w:tc>
          <w:tcPr>
            <w:tcW w:w="5223" w:type="dxa"/>
            <w:vAlign w:val="center"/>
          </w:tcPr>
          <w:p>
            <w:pPr>
              <w:widowControl/>
              <w:spacing w:line="300" w:lineRule="exact"/>
              <w:jc w:val="center"/>
              <w:rPr>
                <w:rFonts w:hint="eastAsia" w:hAnsi="宋体" w:eastAsia="宋体"/>
                <w:color w:val="auto"/>
                <w:lang w:eastAsia="zh-CN"/>
              </w:rPr>
            </w:pPr>
            <w:r>
              <w:rPr>
                <w:rFonts w:hint="eastAsia" w:hAnsi="宋体"/>
                <w:color w:val="auto"/>
                <w:lang w:eastAsia="zh-CN"/>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eastAsia="宋体"/>
                <w:color w:val="auto"/>
                <w:kern w:val="0"/>
                <w:sz w:val="18"/>
                <w:szCs w:val="18"/>
                <w:lang w:eastAsia="zh-CN"/>
              </w:rPr>
            </w:pPr>
            <w:r>
              <w:rPr>
                <w:rFonts w:hint="eastAsia"/>
                <w:color w:val="auto"/>
                <w:kern w:val="0"/>
                <w:sz w:val="18"/>
                <w:szCs w:val="18"/>
                <w:lang w:eastAsia="zh-CN"/>
              </w:rPr>
              <w:t>产别</w:t>
            </w:r>
          </w:p>
        </w:tc>
        <w:tc>
          <w:tcPr>
            <w:tcW w:w="5223" w:type="dxa"/>
            <w:vAlign w:val="center"/>
          </w:tcPr>
          <w:p>
            <w:pPr>
              <w:widowControl/>
              <w:spacing w:line="300" w:lineRule="exact"/>
              <w:jc w:val="center"/>
              <w:rPr>
                <w:rFonts w:hint="eastAsia" w:hAnsi="宋体" w:eastAsia="宋体"/>
                <w:color w:val="auto"/>
                <w:lang w:eastAsia="zh-CN"/>
              </w:rPr>
            </w:pPr>
            <w:r>
              <w:rPr>
                <w:rFonts w:hint="eastAsia" w:hAnsi="宋体"/>
                <w:color w:val="auto"/>
                <w:lang w:eastAsia="zh-CN"/>
              </w:rPr>
              <w:t>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结 构</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房屋总层数</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所在层数</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建筑面积（平方米）</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279.73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设计用途</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76"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附 记</w:t>
            </w:r>
          </w:p>
        </w:tc>
        <w:tc>
          <w:tcPr>
            <w:tcW w:w="5223" w:type="dxa"/>
            <w:vAlign w:val="center"/>
          </w:tcPr>
          <w:p>
            <w:pPr>
              <w:widowControl/>
              <w:spacing w:line="300" w:lineRule="exact"/>
              <w:jc w:val="center"/>
              <w:rPr>
                <w:rFonts w:hint="eastAsia"/>
                <w:color w:val="auto"/>
                <w:kern w:val="0"/>
                <w:sz w:val="18"/>
                <w:szCs w:val="18"/>
              </w:rPr>
            </w:pPr>
            <w:r>
              <w:rPr>
                <w:rFonts w:hint="eastAsia"/>
                <w:color w:val="auto"/>
                <w:kern w:val="0"/>
                <w:sz w:val="18"/>
                <w:szCs w:val="18"/>
              </w:rPr>
              <w:t>拆迁自建房</w:t>
            </w:r>
          </w:p>
        </w:tc>
      </w:tr>
    </w:tbl>
    <w:p>
      <w:pPr>
        <w:pStyle w:val="7"/>
        <w:spacing w:line="520" w:lineRule="exact"/>
        <w:ind w:left="0" w:firstLine="560" w:firstLineChars="200"/>
      </w:pPr>
      <w:r>
        <w:t>估价委托人提供</w:t>
      </w:r>
      <w:r>
        <w:rPr>
          <w:color w:val="auto"/>
        </w:rPr>
        <w:t>的</w:t>
      </w:r>
      <w:r>
        <w:rPr>
          <w:rFonts w:hint="eastAsia"/>
          <w:color w:val="auto"/>
        </w:rPr>
        <w:t>《国有土地使用证》（复印件）</w:t>
      </w:r>
      <w:r>
        <w:rPr>
          <w:color w:val="auto"/>
        </w:rPr>
        <w:t>登记的有关状况如下：</w:t>
      </w:r>
    </w:p>
    <w:tbl>
      <w:tblPr>
        <w:tblStyle w:val="16"/>
        <w:tblW w:w="6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证</w:t>
            </w:r>
            <w:r>
              <w:rPr>
                <w:rFonts w:hint="eastAsia"/>
                <w:kern w:val="0"/>
                <w:sz w:val="18"/>
                <w:szCs w:val="18"/>
              </w:rPr>
              <w:t xml:space="preserve"> </w:t>
            </w:r>
            <w:r>
              <w:rPr>
                <w:kern w:val="0"/>
                <w:sz w:val="18"/>
                <w:szCs w:val="18"/>
              </w:rPr>
              <w:t>号</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罗江县（2006）第126号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8" w:type="dxa"/>
            <w:vAlign w:val="center"/>
          </w:tcPr>
          <w:p>
            <w:pPr>
              <w:widowControl/>
              <w:spacing w:line="300" w:lineRule="exact"/>
              <w:jc w:val="center"/>
              <w:rPr>
                <w:kern w:val="0"/>
                <w:sz w:val="18"/>
                <w:szCs w:val="18"/>
              </w:rPr>
            </w:pPr>
            <w:r>
              <w:rPr>
                <w:rFonts w:hint="eastAsia"/>
                <w:kern w:val="0"/>
                <w:sz w:val="18"/>
                <w:szCs w:val="18"/>
              </w:rPr>
              <w:t>土地使用权人</w:t>
            </w:r>
          </w:p>
        </w:tc>
        <w:tc>
          <w:tcPr>
            <w:tcW w:w="5312" w:type="dxa"/>
            <w:vAlign w:val="center"/>
          </w:tcPr>
          <w:p>
            <w:pPr>
              <w:widowControl/>
              <w:spacing w:line="300" w:lineRule="exact"/>
              <w:jc w:val="center"/>
              <w:rPr>
                <w:rFonts w:hint="eastAsia"/>
                <w:spacing w:val="-6"/>
                <w:kern w:val="0"/>
                <w:sz w:val="18"/>
                <w:szCs w:val="18"/>
              </w:rPr>
            </w:pPr>
            <w:r>
              <w:rPr>
                <w:rFonts w:hint="eastAsia"/>
                <w:spacing w:val="-6"/>
                <w:kern w:val="0"/>
                <w:sz w:val="18"/>
                <w:szCs w:val="18"/>
              </w:rPr>
              <w:t>谭世富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座</w:t>
            </w:r>
            <w:r>
              <w:rPr>
                <w:rFonts w:hint="eastAsia"/>
                <w:kern w:val="0"/>
                <w:sz w:val="18"/>
                <w:szCs w:val="18"/>
              </w:rPr>
              <w:t xml:space="preserve"> </w:t>
            </w:r>
            <w:r>
              <w:rPr>
                <w:kern w:val="0"/>
                <w:sz w:val="18"/>
                <w:szCs w:val="18"/>
              </w:rPr>
              <w:t>落</w:t>
            </w:r>
          </w:p>
        </w:tc>
        <w:tc>
          <w:tcPr>
            <w:tcW w:w="5312" w:type="dxa"/>
            <w:vAlign w:val="center"/>
          </w:tcPr>
          <w:p>
            <w:pPr>
              <w:widowControl/>
              <w:spacing w:line="300" w:lineRule="exact"/>
              <w:jc w:val="center"/>
              <w:rPr>
                <w:rFonts w:hint="eastAsia"/>
                <w:kern w:val="0"/>
                <w:sz w:val="18"/>
                <w:szCs w:val="18"/>
              </w:rPr>
            </w:pPr>
            <w:r>
              <w:rPr>
                <w:rFonts w:hint="eastAsia" w:hAnsi="宋体"/>
              </w:rPr>
              <w:t>罗江镇黎明社区十六米干道以北（罗江中学用地拆迁户）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地</w:t>
            </w:r>
            <w:r>
              <w:rPr>
                <w:rFonts w:hint="eastAsia"/>
                <w:kern w:val="0"/>
                <w:sz w:val="18"/>
                <w:szCs w:val="18"/>
              </w:rPr>
              <w:t xml:space="preserve"> </w:t>
            </w:r>
            <w:r>
              <w:rPr>
                <w:kern w:val="0"/>
                <w:sz w:val="18"/>
                <w:szCs w:val="18"/>
              </w:rPr>
              <w:t>号</w:t>
            </w:r>
          </w:p>
        </w:tc>
        <w:tc>
          <w:tcPr>
            <w:tcW w:w="5312" w:type="dxa"/>
            <w:vAlign w:val="center"/>
          </w:tcPr>
          <w:p>
            <w:pPr>
              <w:widowControl/>
              <w:spacing w:line="300" w:lineRule="exact"/>
              <w:jc w:val="center"/>
              <w:rPr>
                <w:rFonts w:hint="eastAsia"/>
                <w:color w:val="FF0000"/>
                <w:kern w:val="0"/>
                <w:sz w:val="18"/>
                <w:szCs w:val="18"/>
              </w:rPr>
            </w:pPr>
            <w:r>
              <w:rPr>
                <w:rFonts w:hint="eastAsia"/>
                <w:kern w:val="0"/>
                <w:sz w:val="18"/>
                <w:szCs w:val="18"/>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图</w:t>
            </w:r>
            <w:r>
              <w:rPr>
                <w:rFonts w:hint="eastAsia"/>
                <w:kern w:val="0"/>
                <w:sz w:val="18"/>
                <w:szCs w:val="18"/>
              </w:rPr>
              <w:t xml:space="preserve"> </w:t>
            </w:r>
            <w:r>
              <w:rPr>
                <w:kern w:val="0"/>
                <w:sz w:val="18"/>
                <w:szCs w:val="18"/>
              </w:rPr>
              <w:t>号</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458" w:type="dxa"/>
            <w:vAlign w:val="center"/>
          </w:tcPr>
          <w:p>
            <w:pPr>
              <w:widowControl/>
              <w:spacing w:line="300" w:lineRule="exact"/>
              <w:jc w:val="center"/>
              <w:rPr>
                <w:kern w:val="0"/>
                <w:sz w:val="18"/>
                <w:szCs w:val="18"/>
              </w:rPr>
            </w:pPr>
            <w:r>
              <w:rPr>
                <w:kern w:val="0"/>
                <w:sz w:val="18"/>
                <w:szCs w:val="18"/>
              </w:rPr>
              <w:t>地类（用途）</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rFonts w:hint="eastAsia"/>
                <w:kern w:val="0"/>
                <w:sz w:val="18"/>
                <w:szCs w:val="18"/>
              </w:rPr>
            </w:pPr>
            <w:r>
              <w:rPr>
                <w:rFonts w:hint="eastAsia"/>
                <w:kern w:val="0"/>
                <w:sz w:val="18"/>
                <w:szCs w:val="18"/>
              </w:rPr>
              <w:t>取得价格</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使用权类型</w:t>
            </w:r>
          </w:p>
        </w:tc>
        <w:tc>
          <w:tcPr>
            <w:tcW w:w="5312" w:type="dxa"/>
            <w:vAlign w:val="center"/>
          </w:tcPr>
          <w:p>
            <w:pPr>
              <w:widowControl/>
              <w:spacing w:line="300" w:lineRule="exact"/>
              <w:jc w:val="center"/>
              <w:rPr>
                <w:kern w:val="0"/>
                <w:sz w:val="18"/>
                <w:szCs w:val="18"/>
              </w:rPr>
            </w:pPr>
            <w:r>
              <w:rPr>
                <w:kern w:val="0"/>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rFonts w:hint="eastAsia"/>
                <w:kern w:val="0"/>
                <w:sz w:val="18"/>
                <w:szCs w:val="18"/>
              </w:rPr>
            </w:pPr>
            <w:r>
              <w:rPr>
                <w:rFonts w:hint="eastAsia"/>
                <w:kern w:val="0"/>
                <w:sz w:val="18"/>
                <w:szCs w:val="18"/>
              </w:rPr>
              <w:t>终止日期</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全2073年12月2日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458" w:type="dxa"/>
            <w:vAlign w:val="center"/>
          </w:tcPr>
          <w:p>
            <w:pPr>
              <w:widowControl/>
              <w:spacing w:line="300" w:lineRule="exact"/>
              <w:jc w:val="center"/>
              <w:rPr>
                <w:kern w:val="0"/>
                <w:sz w:val="18"/>
                <w:szCs w:val="18"/>
              </w:rPr>
            </w:pPr>
            <w:r>
              <w:rPr>
                <w:kern w:val="0"/>
                <w:sz w:val="18"/>
                <w:szCs w:val="18"/>
              </w:rPr>
              <w:t>使用权面积</w:t>
            </w:r>
          </w:p>
        </w:tc>
        <w:tc>
          <w:tcPr>
            <w:tcW w:w="5312" w:type="dxa"/>
            <w:vAlign w:val="center"/>
          </w:tcPr>
          <w:p>
            <w:pPr>
              <w:widowControl/>
              <w:spacing w:line="300" w:lineRule="exact"/>
              <w:jc w:val="center"/>
              <w:rPr>
                <w:rFonts w:hint="eastAsia"/>
                <w:kern w:val="0"/>
                <w:sz w:val="18"/>
                <w:szCs w:val="18"/>
              </w:rPr>
            </w:pPr>
            <w:r>
              <w:rPr>
                <w:rFonts w:hint="eastAsia"/>
                <w:kern w:val="0"/>
                <w:sz w:val="18"/>
                <w:szCs w:val="18"/>
              </w:rPr>
              <w:t>75.0</w:t>
            </w:r>
            <w:r>
              <w:rPr>
                <w:rFonts w:hint="eastAsia" w:ascii="宋体" w:hAnsi="宋体" w:cs="宋体"/>
                <w:kern w:val="0"/>
                <w:sz w:val="18"/>
                <w:szCs w:val="18"/>
              </w:rPr>
              <w:t>㎡</w:t>
            </w:r>
          </w:p>
        </w:tc>
      </w:tr>
    </w:tbl>
    <w:p>
      <w:pPr>
        <w:pStyle w:val="11"/>
        <w:keepNext w:val="0"/>
        <w:keepLines w:val="0"/>
        <w:pageBreakBefore w:val="0"/>
        <w:kinsoku/>
        <w:wordWrap/>
        <w:overflowPunct/>
        <w:topLinePunct w:val="0"/>
        <w:autoSpaceDE/>
        <w:autoSpaceDN/>
        <w:bidi w:val="0"/>
        <w:adjustRightInd/>
        <w:snapToGrid/>
        <w:spacing w:line="520" w:lineRule="exact"/>
        <w:ind w:left="229" w:leftChars="109" w:firstLine="290" w:firstLineChars="103"/>
        <w:textAlignment w:val="auto"/>
        <w:rPr>
          <w:rFonts w:hint="eastAsia" w:hAnsi="宋体"/>
        </w:rPr>
      </w:pPr>
      <w:r>
        <w:rPr>
          <w:rFonts w:hint="eastAsia" w:ascii="宋体" w:hAnsi="宋体"/>
          <w:b/>
        </w:rPr>
        <w:t>3</w:t>
      </w:r>
      <w:r>
        <w:rPr>
          <w:rFonts w:ascii="宋体" w:hAnsi="宋体"/>
          <w:b/>
        </w:rPr>
        <w:t>、</w:t>
      </w:r>
      <w:r>
        <w:rPr>
          <w:rFonts w:hint="eastAsia" w:ascii="宋体" w:hAnsi="宋体"/>
          <w:b/>
        </w:rPr>
        <w:t>估价对象实物</w:t>
      </w:r>
      <w:r>
        <w:rPr>
          <w:rFonts w:ascii="宋体" w:hAnsi="宋体"/>
          <w:b/>
        </w:rPr>
        <w:t>状况</w:t>
      </w:r>
    </w:p>
    <w:p>
      <w:pPr>
        <w:pStyle w:val="11"/>
        <w:keepNext w:val="0"/>
        <w:keepLines w:val="0"/>
        <w:pageBreakBefore w:val="0"/>
        <w:kinsoku/>
        <w:wordWrap/>
        <w:overflowPunct/>
        <w:topLinePunct w:val="0"/>
        <w:autoSpaceDE/>
        <w:autoSpaceDN/>
        <w:bidi w:val="0"/>
        <w:adjustRightInd/>
        <w:snapToGrid/>
        <w:spacing w:line="520" w:lineRule="exact"/>
        <w:ind w:left="0" w:firstLine="560" w:firstLineChars="200"/>
        <w:textAlignment w:val="auto"/>
        <w:rPr>
          <w:rFonts w:hint="eastAsia" w:hAnsi="宋体"/>
        </w:rPr>
      </w:pPr>
      <w:r>
        <w:rPr>
          <w:rFonts w:hAnsi="宋体"/>
        </w:rPr>
        <w:t>估价对象</w:t>
      </w:r>
      <w:r>
        <w:rPr>
          <w:rFonts w:hint="eastAsia" w:hAnsi="宋体"/>
        </w:rPr>
        <w:t>位于</w:t>
      </w:r>
      <w:r>
        <w:rPr>
          <w:rFonts w:hint="eastAsia" w:hAnsi="宋体"/>
          <w:lang w:eastAsia="zh-CN"/>
        </w:rPr>
        <w:t>德阳市罗江镇黎明社区</w:t>
      </w:r>
      <w:r>
        <w:rPr>
          <w:rFonts w:hint="eastAsia" w:hAnsi="宋体"/>
        </w:rPr>
        <w:t>十六米干道以北（罗江中学用地拆迁）1-4层住宅房地产</w:t>
      </w:r>
      <w:r>
        <w:rPr>
          <w:rFonts w:hint="eastAsia"/>
        </w:rPr>
        <w:t>，建筑面积为279.73平方米。</w:t>
      </w:r>
      <w:r>
        <w:rPr>
          <w:rFonts w:hint="eastAsia" w:hAnsi="宋体"/>
        </w:rPr>
        <w:t>估价对象朝向为南北朝向（主朝北）。建成时间为2005年左右。房屋总层数4层，估价对象所在层数为1-4层。估价对象1层层高为3.3米,2-4层层高均为3.0米；估价对象所在楼宇外墙墙面为瓷砖，</w:t>
      </w:r>
      <w:r>
        <w:rPr>
          <w:rFonts w:hint="eastAsia" w:hAnsi="宋体"/>
          <w:b/>
          <w:bCs/>
        </w:rPr>
        <w:t>1层：</w:t>
      </w:r>
      <w:r>
        <w:rPr>
          <w:rFonts w:hint="eastAsia" w:hAnsi="宋体"/>
        </w:rPr>
        <w:t>入户防盗门，室内户型为两室两厅一厨一卫，室内客厅、饭厅地面为水泥地坪，墙面及顶部为乳胶漆，日光灯照明；卧室进出门为木门，室内地面为地板砖，内墙墙面及顶部为乳胶漆，日光灯照明；厨房进出门为木门，室内地面为地板砖，墙面墙砖至顶，顶部为涂料，日光灯照明；卫生间进出门为木门，地面为地板砖，墙面1.5米墙砖墙裙，部分为乳胶漆，顶部为涂料，日光灯照明；</w:t>
      </w:r>
      <w:r>
        <w:rPr>
          <w:rFonts w:hint="eastAsia" w:hAnsi="宋体"/>
          <w:b/>
          <w:bCs/>
        </w:rPr>
        <w:t>2层：</w:t>
      </w:r>
      <w:r>
        <w:rPr>
          <w:rFonts w:hint="eastAsia" w:hAnsi="宋体"/>
        </w:rPr>
        <w:t>入户防盗门，室内户型为两室两厅一厨一卫，室内客厅、饭厅地面为地板砖，墙面及顶部为乳胶漆，日光灯照明；卧室进出门为木门，室内地面为地板砖，内墙墙面及顶部为乳胶漆，日光灯照明；厨房进出门为木门，室内地面为地板砖，墙面墙砖至顶，顶部为涂料，日光灯照明；卫生间进出门为木门，地面为地板砖，墙面1.5米墙砖墙裙，部分为乳胶漆，顶部为涂料，日光灯照明；</w:t>
      </w:r>
      <w:r>
        <w:rPr>
          <w:rFonts w:hint="eastAsia" w:hAnsi="宋体"/>
          <w:b/>
          <w:bCs/>
        </w:rPr>
        <w:t>3层：</w:t>
      </w:r>
      <w:r>
        <w:rPr>
          <w:rFonts w:hint="eastAsia" w:hAnsi="宋体"/>
        </w:rPr>
        <w:t>入户防盗门，室内户型为两室两厅一厨一卫，室内客厅、饭厅地面为地板砖，墙面为乳胶漆，顶部吊顶，装饰灯照明；卧室进出门为木门，室内地面为地板砖，内墙墙面及顶部为乳胶漆，日光灯照明；厨房进出门为木门，室内地面为地板砖，墙面墙砖至顶，顶部为涂料，日光灯照明；卫生间进出门为木门，地面为地板砖，墙面1.5米墙砖墙裙，部分为乳胶漆，顶部为涂料，日光灯照明；</w:t>
      </w:r>
      <w:r>
        <w:rPr>
          <w:rFonts w:hint="eastAsia" w:hAnsi="宋体"/>
          <w:b/>
          <w:bCs/>
        </w:rPr>
        <w:t>4层：</w:t>
      </w:r>
      <w:r>
        <w:rPr>
          <w:rFonts w:hint="eastAsia" w:hAnsi="宋体"/>
        </w:rPr>
        <w:t>三室一厨一卫（带屋顶花园），卧室室内地面为地板砖，内墙墙面及顶部为乳胶漆，日光灯照明；厨房进出门为木门，室内地面为地板砖，墙面墙砖至顶，顶部为涂料，日光灯照明；卫生间进出门为木门，地面为地板砖，墙面1.5米墙砖墙裙，部分为乳胶漆，顶部为涂料，日光灯照明；室内水、电、气、视、讯均通。</w:t>
      </w:r>
    </w:p>
    <w:p>
      <w:pPr>
        <w:pStyle w:val="4"/>
        <w:keepNext w:val="0"/>
        <w:keepLines w:val="0"/>
        <w:pageBreakBefore w:val="0"/>
        <w:kinsoku/>
        <w:wordWrap/>
        <w:overflowPunct/>
        <w:topLinePunct w:val="0"/>
        <w:autoSpaceDE/>
        <w:autoSpaceDN/>
        <w:bidi w:val="0"/>
        <w:adjustRightInd/>
        <w:snapToGrid/>
        <w:spacing w:line="520" w:lineRule="exact"/>
        <w:ind w:firstLine="570"/>
        <w:textAlignment w:val="auto"/>
        <w:rPr>
          <w:rFonts w:hint="eastAsia" w:eastAsia="宋体"/>
        </w:rPr>
      </w:pPr>
      <w:r>
        <w:rPr>
          <w:rFonts w:hint="eastAsia" w:eastAsia="宋体"/>
        </w:rPr>
        <w:t>在价值时点估价对象所在宗地外“六通”（通供水、通排水、通路、通电、通讯、通气），宗地内“六通一平”（通供水、通排水、通路、通电、通讯、通气，场地平整）。</w:t>
      </w:r>
    </w:p>
    <w:p>
      <w:pPr>
        <w:pStyle w:val="4"/>
        <w:keepNext w:val="0"/>
        <w:keepLines w:val="0"/>
        <w:pageBreakBefore w:val="0"/>
        <w:kinsoku/>
        <w:wordWrap/>
        <w:overflowPunct/>
        <w:topLinePunct w:val="0"/>
        <w:autoSpaceDE/>
        <w:autoSpaceDN/>
        <w:bidi w:val="0"/>
        <w:adjustRightInd/>
        <w:snapToGrid/>
        <w:spacing w:line="520" w:lineRule="exact"/>
        <w:ind w:firstLine="641"/>
        <w:textAlignment w:val="auto"/>
        <w:outlineLvl w:val="1"/>
        <w:rPr>
          <w:rFonts w:hint="eastAsia" w:ascii="宋体" w:hAnsi="宋体" w:eastAsia="宋体"/>
          <w:b/>
        </w:rPr>
      </w:pPr>
      <w:bookmarkStart w:id="53" w:name="_Toc420872943"/>
      <w:bookmarkStart w:id="54" w:name="_Toc420873159"/>
      <w:bookmarkStart w:id="55" w:name="_Toc420873223"/>
      <w:bookmarkStart w:id="56" w:name="_Toc420873312"/>
      <w:r>
        <w:rPr>
          <w:rFonts w:hint="eastAsia" w:ascii="宋体" w:hAnsi="宋体" w:eastAsia="宋体"/>
          <w:b/>
        </w:rPr>
        <w:t>4、估价对象权属状况</w:t>
      </w:r>
      <w:bookmarkEnd w:id="50"/>
      <w:bookmarkEnd w:id="51"/>
      <w:bookmarkEnd w:id="52"/>
      <w:bookmarkEnd w:id="53"/>
      <w:bookmarkEnd w:id="54"/>
      <w:bookmarkEnd w:id="55"/>
      <w:bookmarkEnd w:id="56"/>
    </w:p>
    <w:p>
      <w:pPr>
        <w:pStyle w:val="4"/>
        <w:keepNext w:val="0"/>
        <w:keepLines w:val="0"/>
        <w:pageBreakBefore w:val="0"/>
        <w:kinsoku/>
        <w:wordWrap/>
        <w:overflowPunct/>
        <w:topLinePunct w:val="0"/>
        <w:autoSpaceDE/>
        <w:autoSpaceDN/>
        <w:bidi w:val="0"/>
        <w:adjustRightInd/>
        <w:snapToGrid/>
        <w:spacing w:line="520" w:lineRule="exact"/>
        <w:ind w:firstLine="570"/>
        <w:textAlignment w:val="auto"/>
        <w:rPr>
          <w:rFonts w:hint="eastAsia" w:eastAsia="宋体"/>
        </w:rPr>
      </w:pPr>
      <w:r>
        <w:rPr>
          <w:rFonts w:hint="eastAsia" w:eastAsia="宋体"/>
        </w:rPr>
        <w:t>估价委托人提供的《房屋所有权证》（复印件）登记的房屋所有权人及《国有土地使用证》（复印件）登记的</w:t>
      </w:r>
      <w:r>
        <w:rPr>
          <w:rFonts w:hint="eastAsia" w:eastAsia="宋体"/>
          <w:spacing w:val="-20"/>
        </w:rPr>
        <w:t>土地使用权人为谭世富</w:t>
      </w:r>
      <w:r>
        <w:rPr>
          <w:rFonts w:hint="eastAsia" w:eastAsia="宋体"/>
        </w:rPr>
        <w:t>。</w:t>
      </w:r>
    </w:p>
    <w:p>
      <w:pPr>
        <w:pStyle w:val="4"/>
        <w:keepNext w:val="0"/>
        <w:keepLines w:val="0"/>
        <w:pageBreakBefore w:val="0"/>
        <w:kinsoku/>
        <w:wordWrap/>
        <w:overflowPunct/>
        <w:topLinePunct w:val="0"/>
        <w:autoSpaceDE/>
        <w:autoSpaceDN/>
        <w:bidi w:val="0"/>
        <w:adjustRightInd/>
        <w:snapToGrid/>
        <w:spacing w:line="520" w:lineRule="exact"/>
        <w:ind w:firstLine="570"/>
        <w:textAlignment w:val="auto"/>
        <w:rPr>
          <w:rFonts w:hint="eastAsia" w:eastAsia="宋体"/>
        </w:rPr>
      </w:pPr>
      <w:r>
        <w:rPr>
          <w:rFonts w:hint="eastAsia" w:eastAsia="宋体"/>
        </w:rPr>
        <w:t>以上权属状况均由估价委托人提供，我公司及估价师不对估价对象的法律权属状况发表意见。</w:t>
      </w:r>
    </w:p>
    <w:p>
      <w:pPr>
        <w:pStyle w:val="4"/>
        <w:keepNext w:val="0"/>
        <w:keepLines w:val="0"/>
        <w:pageBreakBefore w:val="0"/>
        <w:kinsoku/>
        <w:wordWrap/>
        <w:overflowPunct/>
        <w:topLinePunct w:val="0"/>
        <w:autoSpaceDE/>
        <w:autoSpaceDN/>
        <w:bidi w:val="0"/>
        <w:adjustRightInd/>
        <w:snapToGrid/>
        <w:spacing w:line="520" w:lineRule="exact"/>
        <w:ind w:firstLine="641"/>
        <w:textAlignment w:val="auto"/>
        <w:outlineLvl w:val="1"/>
        <w:rPr>
          <w:rFonts w:eastAsia="黑体"/>
          <w:b/>
          <w:sz w:val="32"/>
        </w:rPr>
      </w:pPr>
      <w:bookmarkStart w:id="57" w:name="_Toc20229"/>
      <w:r>
        <w:rPr>
          <w:rFonts w:eastAsia="黑体"/>
          <w:b/>
          <w:sz w:val="32"/>
        </w:rPr>
        <w:t>四、估价目的</w:t>
      </w:r>
      <w:bookmarkEnd w:id="57"/>
    </w:p>
    <w:p>
      <w:pPr>
        <w:keepNext w:val="0"/>
        <w:keepLines w:val="0"/>
        <w:pageBreakBefore w:val="0"/>
        <w:kinsoku/>
        <w:wordWrap/>
        <w:overflowPunct/>
        <w:topLinePunct w:val="0"/>
        <w:autoSpaceDE/>
        <w:autoSpaceDN/>
        <w:bidi w:val="0"/>
        <w:adjustRightInd/>
        <w:snapToGrid/>
        <w:spacing w:line="520" w:lineRule="exact"/>
        <w:ind w:firstLine="536" w:firstLineChars="200"/>
        <w:textAlignment w:val="auto"/>
        <w:rPr>
          <w:rFonts w:hint="eastAsia"/>
          <w:spacing w:val="-6"/>
          <w:sz w:val="28"/>
          <w:szCs w:val="20"/>
        </w:rPr>
      </w:pPr>
      <w:bookmarkStart w:id="58" w:name="_Toc8968"/>
      <w:r>
        <w:rPr>
          <w:spacing w:val="-6"/>
          <w:sz w:val="28"/>
          <w:szCs w:val="20"/>
        </w:rPr>
        <w:t>为司法拍卖（变卖）提供房地产市场价值参考依据。</w:t>
      </w:r>
    </w:p>
    <w:p>
      <w:pPr>
        <w:pStyle w:val="4"/>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1"/>
        <w:rPr>
          <w:rFonts w:eastAsia="黑体"/>
          <w:b/>
          <w:sz w:val="32"/>
        </w:rPr>
      </w:pPr>
      <w:r>
        <w:rPr>
          <w:rFonts w:eastAsia="黑体"/>
          <w:b/>
          <w:sz w:val="32"/>
        </w:rPr>
        <w:t>五、</w:t>
      </w:r>
      <w:r>
        <w:rPr>
          <w:rFonts w:hint="eastAsia" w:eastAsia="黑体"/>
          <w:b/>
          <w:sz w:val="32"/>
        </w:rPr>
        <w:t>价值</w:t>
      </w:r>
      <w:r>
        <w:rPr>
          <w:rFonts w:eastAsia="黑体"/>
          <w:b/>
          <w:sz w:val="32"/>
        </w:rPr>
        <w:t>时点</w:t>
      </w:r>
      <w:bookmarkEnd w:id="58"/>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color w:val="000000"/>
        </w:rPr>
      </w:pPr>
      <w:r>
        <w:rPr>
          <w:rFonts w:hint="eastAsia" w:eastAsia="宋体"/>
          <w:color w:val="000000"/>
        </w:rPr>
        <w:t>二零一八年五月十八日（应估价委托人要求</w:t>
      </w:r>
      <w:r>
        <w:rPr>
          <w:rFonts w:eastAsia="宋体"/>
          <w:color w:val="000000"/>
        </w:rPr>
        <w:t>与估价人员现场查看时点一致</w:t>
      </w:r>
      <w:r>
        <w:rPr>
          <w:rFonts w:hint="eastAsia" w:eastAsia="宋体"/>
          <w:color w:val="000000"/>
        </w:rPr>
        <w:t>）。</w:t>
      </w:r>
    </w:p>
    <w:p>
      <w:pPr>
        <w:pStyle w:val="4"/>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1"/>
        <w:rPr>
          <w:rFonts w:eastAsia="黑体"/>
          <w:b/>
          <w:sz w:val="32"/>
        </w:rPr>
      </w:pPr>
      <w:bookmarkStart w:id="59" w:name="_Toc6494"/>
      <w:r>
        <w:rPr>
          <w:rFonts w:eastAsia="黑体"/>
          <w:b/>
          <w:sz w:val="32"/>
        </w:rPr>
        <w:t>六、</w:t>
      </w:r>
      <w:r>
        <w:rPr>
          <w:rFonts w:hint="eastAsia" w:eastAsia="黑体"/>
          <w:b/>
          <w:sz w:val="32"/>
        </w:rPr>
        <w:t>价值类型</w:t>
      </w:r>
      <w:bookmarkEnd w:id="59"/>
    </w:p>
    <w:p>
      <w:pPr>
        <w:pStyle w:val="4"/>
        <w:keepNext w:val="0"/>
        <w:keepLines w:val="0"/>
        <w:pageBreakBefore w:val="0"/>
        <w:kinsoku/>
        <w:wordWrap/>
        <w:overflowPunct/>
        <w:topLinePunct w:val="0"/>
        <w:autoSpaceDE/>
        <w:autoSpaceDN/>
        <w:bidi w:val="0"/>
        <w:adjustRightInd/>
        <w:snapToGrid/>
        <w:spacing w:line="520" w:lineRule="exact"/>
        <w:ind w:firstLine="548" w:firstLineChars="196"/>
        <w:textAlignment w:val="auto"/>
        <w:rPr>
          <w:rFonts w:eastAsia="宋体"/>
          <w:snapToGrid w:val="0"/>
          <w:kern w:val="0"/>
          <w:szCs w:val="28"/>
        </w:rPr>
      </w:pPr>
      <w:r>
        <w:rPr>
          <w:rFonts w:hint="eastAsia" w:eastAsia="宋体"/>
        </w:rPr>
        <w:t>估价中采用公开市场价值标准，即所评估出的客观合理价格应是估价对象于价值时点在公开市场上最可能形成或成立的价格（不评估变现价值，不考虑房地产拍卖（变卖）成交后交易税费及税费的转移分担）。</w:t>
      </w:r>
    </w:p>
    <w:p>
      <w:pPr>
        <w:pStyle w:val="4"/>
        <w:keepNext w:val="0"/>
        <w:keepLines w:val="0"/>
        <w:pageBreakBefore w:val="0"/>
        <w:kinsoku/>
        <w:wordWrap/>
        <w:overflowPunct/>
        <w:topLinePunct w:val="0"/>
        <w:autoSpaceDE/>
        <w:autoSpaceDN/>
        <w:bidi w:val="0"/>
        <w:adjustRightInd/>
        <w:snapToGrid/>
        <w:spacing w:line="520" w:lineRule="exact"/>
        <w:ind w:firstLine="641"/>
        <w:textAlignment w:val="auto"/>
        <w:outlineLvl w:val="1"/>
        <w:rPr>
          <w:rFonts w:eastAsia="黑体"/>
          <w:b/>
          <w:sz w:val="32"/>
        </w:rPr>
      </w:pPr>
      <w:bookmarkStart w:id="60" w:name="_Toc15021"/>
      <w:r>
        <w:rPr>
          <w:rFonts w:hint="eastAsia" w:eastAsia="黑体"/>
          <w:b/>
          <w:sz w:val="32"/>
        </w:rPr>
        <w:t>七</w:t>
      </w:r>
      <w:r>
        <w:rPr>
          <w:rFonts w:eastAsia="黑体"/>
          <w:b/>
          <w:sz w:val="32"/>
        </w:rPr>
        <w:t>、估价依据</w:t>
      </w:r>
      <w:bookmarkEnd w:id="60"/>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eastAsia="宋体"/>
          <w:szCs w:val="28"/>
        </w:rPr>
        <w:t>1、</w:t>
      </w:r>
      <w:r>
        <w:rPr>
          <w:rFonts w:hint="eastAsia" w:eastAsia="宋体"/>
          <w:szCs w:val="28"/>
        </w:rPr>
        <w:t>德阳市罗江区人民法院司法评估委托书。</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 xml:space="preserve">    [(2018)罗江法技委字第9号]</w:t>
      </w:r>
    </w:p>
    <w:p>
      <w:pPr>
        <w:pStyle w:val="4"/>
        <w:keepNext w:val="0"/>
        <w:keepLines w:val="0"/>
        <w:pageBreakBefore w:val="0"/>
        <w:kinsoku/>
        <w:wordWrap/>
        <w:overflowPunct/>
        <w:topLinePunct w:val="0"/>
        <w:autoSpaceDE/>
        <w:autoSpaceDN/>
        <w:bidi w:val="0"/>
        <w:adjustRightInd/>
        <w:snapToGrid/>
        <w:spacing w:line="520" w:lineRule="exact"/>
        <w:ind w:firstLine="536" w:firstLineChars="200"/>
        <w:textAlignment w:val="auto"/>
        <w:rPr>
          <w:rFonts w:eastAsia="宋体"/>
          <w:spacing w:val="-6"/>
          <w:szCs w:val="28"/>
        </w:rPr>
      </w:pPr>
      <w:r>
        <w:rPr>
          <w:rFonts w:hint="eastAsia" w:eastAsia="宋体"/>
          <w:spacing w:val="-6"/>
          <w:szCs w:val="28"/>
        </w:rPr>
        <w:t>2、</w:t>
      </w:r>
      <w:r>
        <w:rPr>
          <w:rFonts w:eastAsia="宋体"/>
          <w:spacing w:val="-6"/>
          <w:szCs w:val="28"/>
        </w:rPr>
        <w:t>估价委托人提供的</w:t>
      </w:r>
      <w:r>
        <w:rPr>
          <w:rFonts w:hint="eastAsia" w:eastAsia="宋体"/>
          <w:spacing w:val="-6"/>
          <w:szCs w:val="28"/>
        </w:rPr>
        <w:t>《房屋所有权证》</w:t>
      </w:r>
      <w:r>
        <w:rPr>
          <w:rFonts w:eastAsia="宋体"/>
          <w:spacing w:val="-6"/>
          <w:szCs w:val="28"/>
        </w:rPr>
        <w:t>（复印件）</w:t>
      </w:r>
    </w:p>
    <w:p>
      <w:pPr>
        <w:pStyle w:val="4"/>
        <w:keepNext w:val="0"/>
        <w:keepLines w:val="0"/>
        <w:pageBreakBefore w:val="0"/>
        <w:kinsoku/>
        <w:wordWrap/>
        <w:overflowPunct/>
        <w:topLinePunct w:val="0"/>
        <w:autoSpaceDE/>
        <w:autoSpaceDN/>
        <w:bidi w:val="0"/>
        <w:adjustRightInd/>
        <w:snapToGrid/>
        <w:spacing w:line="520" w:lineRule="exact"/>
        <w:ind w:firstLine="1072" w:firstLineChars="400"/>
        <w:textAlignment w:val="auto"/>
        <w:rPr>
          <w:rFonts w:hint="eastAsia" w:eastAsia="宋体"/>
          <w:spacing w:val="-6"/>
          <w:szCs w:val="28"/>
        </w:rPr>
      </w:pPr>
      <w:r>
        <w:rPr>
          <w:rFonts w:hint="eastAsia" w:eastAsia="宋体"/>
          <w:spacing w:val="-6"/>
          <w:szCs w:val="28"/>
        </w:rPr>
        <w:t>[罗江县房权证（县城）字第02291号]</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eastAsia="宋体"/>
          <w:szCs w:val="28"/>
        </w:rPr>
      </w:pPr>
      <w:r>
        <w:rPr>
          <w:rFonts w:hint="eastAsia" w:eastAsia="宋体"/>
          <w:szCs w:val="28"/>
        </w:rPr>
        <w:t>3、</w:t>
      </w:r>
      <w:r>
        <w:rPr>
          <w:rFonts w:eastAsia="宋体"/>
          <w:szCs w:val="28"/>
        </w:rPr>
        <w:t>估价委托人提供的</w:t>
      </w:r>
      <w:r>
        <w:rPr>
          <w:rFonts w:hint="eastAsia" w:eastAsia="宋体"/>
          <w:szCs w:val="28"/>
        </w:rPr>
        <w:t>《国有土地使用证》</w:t>
      </w:r>
      <w:r>
        <w:rPr>
          <w:rFonts w:eastAsia="宋体"/>
          <w:szCs w:val="28"/>
        </w:rPr>
        <w:t>（复印件）</w:t>
      </w:r>
    </w:p>
    <w:p>
      <w:pPr>
        <w:pStyle w:val="4"/>
        <w:keepNext w:val="0"/>
        <w:keepLines w:val="0"/>
        <w:pageBreakBefore w:val="0"/>
        <w:kinsoku/>
        <w:wordWrap/>
        <w:overflowPunct/>
        <w:topLinePunct w:val="0"/>
        <w:autoSpaceDE/>
        <w:autoSpaceDN/>
        <w:bidi w:val="0"/>
        <w:adjustRightInd/>
        <w:snapToGrid/>
        <w:spacing w:line="520" w:lineRule="exact"/>
        <w:ind w:firstLine="1120" w:firstLineChars="400"/>
        <w:textAlignment w:val="auto"/>
        <w:rPr>
          <w:rFonts w:eastAsia="宋体"/>
          <w:szCs w:val="28"/>
        </w:rPr>
      </w:pPr>
      <w:r>
        <w:rPr>
          <w:rFonts w:hint="eastAsia" w:eastAsia="宋体"/>
          <w:szCs w:val="28"/>
        </w:rPr>
        <w:t>[罗江县国用（2006）第126号]</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4</w:t>
      </w:r>
      <w:r>
        <w:rPr>
          <w:rFonts w:eastAsia="宋体"/>
          <w:szCs w:val="28"/>
        </w:rPr>
        <w:t>、估价人员现场查看的结果以及搜集的相关资料</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5</w:t>
      </w:r>
      <w:r>
        <w:rPr>
          <w:rFonts w:eastAsia="宋体"/>
          <w:szCs w:val="28"/>
        </w:rPr>
        <w:t>、中华人民共和国国家标准</w:t>
      </w:r>
      <w:r>
        <w:rPr>
          <w:rFonts w:hint="eastAsia" w:eastAsia="宋体"/>
          <w:szCs w:val="28"/>
        </w:rPr>
        <w:t>GB/T50291-2015</w:t>
      </w:r>
      <w:r>
        <w:rPr>
          <w:rFonts w:eastAsia="宋体"/>
          <w:szCs w:val="28"/>
        </w:rPr>
        <w:t>《房地产估价规范》</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6</w:t>
      </w:r>
      <w:r>
        <w:rPr>
          <w:rFonts w:eastAsia="宋体"/>
          <w:szCs w:val="28"/>
        </w:rPr>
        <w:t>、《中华人民共和国城市房地产管理法》</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7</w:t>
      </w:r>
      <w:r>
        <w:rPr>
          <w:rFonts w:eastAsia="宋体"/>
          <w:szCs w:val="28"/>
        </w:rPr>
        <w:t>、《中华人民共和国担保法》</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8、《最高人民法院关于人民法院委托评估、拍卖和变卖工作的若干规定》</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9、四川省住房和城乡建设厅关于印发《房地产司法鉴定评估指导意见》（试行）</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10</w:t>
      </w:r>
      <w:r>
        <w:rPr>
          <w:rFonts w:eastAsia="宋体"/>
          <w:szCs w:val="28"/>
        </w:rPr>
        <w:t>、其他相关的法律、法规</w:t>
      </w:r>
    </w:p>
    <w:p>
      <w:pPr>
        <w:pStyle w:val="4"/>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eastAsia="宋体"/>
          <w:szCs w:val="28"/>
        </w:rPr>
      </w:pPr>
      <w:r>
        <w:rPr>
          <w:rFonts w:hint="eastAsia" w:eastAsia="宋体"/>
          <w:szCs w:val="28"/>
        </w:rPr>
        <w:t>11</w:t>
      </w:r>
      <w:r>
        <w:rPr>
          <w:rFonts w:eastAsia="宋体"/>
          <w:szCs w:val="28"/>
        </w:rPr>
        <w:t>、</w:t>
      </w:r>
      <w:r>
        <w:rPr>
          <w:rFonts w:hint="eastAsia" w:eastAsia="宋体"/>
          <w:szCs w:val="28"/>
        </w:rPr>
        <w:t>德阳市罗江区</w:t>
      </w:r>
      <w:r>
        <w:rPr>
          <w:rFonts w:eastAsia="宋体"/>
          <w:szCs w:val="28"/>
        </w:rPr>
        <w:t>有关房地产业市场信息，变动趋势等相关资料</w:t>
      </w:r>
    </w:p>
    <w:p>
      <w:pPr>
        <w:pStyle w:val="4"/>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1"/>
        <w:rPr>
          <w:rFonts w:eastAsia="黑体"/>
          <w:b/>
          <w:sz w:val="32"/>
        </w:rPr>
      </w:pPr>
      <w:bookmarkStart w:id="61" w:name="_Toc30593"/>
      <w:r>
        <w:rPr>
          <w:rFonts w:hint="eastAsia" w:eastAsia="黑体"/>
          <w:b/>
          <w:sz w:val="32"/>
        </w:rPr>
        <w:t>八</w:t>
      </w:r>
      <w:r>
        <w:rPr>
          <w:rFonts w:eastAsia="黑体"/>
          <w:b/>
          <w:sz w:val="32"/>
        </w:rPr>
        <w:t>、估价原则</w:t>
      </w:r>
      <w:bookmarkEnd w:id="61"/>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本次估价遵守独立、客观、公</w:t>
      </w:r>
      <w:r>
        <w:rPr>
          <w:rFonts w:hint="eastAsia"/>
          <w:sz w:val="28"/>
          <w:szCs w:val="28"/>
        </w:rPr>
        <w:t>正</w:t>
      </w:r>
      <w:r>
        <w:rPr>
          <w:sz w:val="28"/>
          <w:szCs w:val="28"/>
        </w:rPr>
        <w:t>、合法及最高最佳使用原则、价值时点原则、替代原则等技术性原则。</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left="560" w:right="45"/>
        <w:textAlignment w:val="auto"/>
        <w:rPr>
          <w:sz w:val="28"/>
          <w:szCs w:val="28"/>
        </w:rPr>
      </w:pPr>
      <w:r>
        <w:rPr>
          <w:sz w:val="28"/>
          <w:szCs w:val="28"/>
        </w:rPr>
        <w:t>（</w:t>
      </w:r>
      <w:r>
        <w:rPr>
          <w:rFonts w:hint="eastAsia"/>
          <w:sz w:val="28"/>
          <w:szCs w:val="28"/>
        </w:rPr>
        <w:t>一</w:t>
      </w:r>
      <w:r>
        <w:rPr>
          <w:sz w:val="28"/>
          <w:szCs w:val="28"/>
        </w:rPr>
        <w:t>）独立、客观、</w:t>
      </w:r>
      <w:r>
        <w:rPr>
          <w:rFonts w:hint="eastAsia"/>
          <w:sz w:val="28"/>
          <w:szCs w:val="28"/>
        </w:rPr>
        <w:t>公正</w:t>
      </w:r>
      <w:r>
        <w:rPr>
          <w:sz w:val="28"/>
          <w:szCs w:val="28"/>
        </w:rPr>
        <w:t>原则</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要求估价机构有完全独立性，估价机构和估价人员与估价对象及相关当事人没有利害关系，不受外部干扰因素影响，从实际出发，公平合理地进行估价。</w:t>
      </w:r>
    </w:p>
    <w:p>
      <w:pPr>
        <w:keepNext w:val="0"/>
        <w:keepLines w:val="0"/>
        <w:pageBreakBefore w:val="0"/>
        <w:tabs>
          <w:tab w:val="left" w:pos="690"/>
        </w:tabs>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sz w:val="28"/>
          <w:szCs w:val="28"/>
        </w:rPr>
        <w:t>（</w:t>
      </w:r>
      <w:r>
        <w:rPr>
          <w:rFonts w:hint="eastAsia"/>
          <w:sz w:val="28"/>
          <w:szCs w:val="28"/>
        </w:rPr>
        <w:t>二</w:t>
      </w:r>
      <w:r>
        <w:rPr>
          <w:sz w:val="28"/>
          <w:szCs w:val="28"/>
        </w:rPr>
        <w:t>）合法原则</w:t>
      </w:r>
    </w:p>
    <w:p>
      <w:pPr>
        <w:keepNext w:val="0"/>
        <w:keepLines w:val="0"/>
        <w:pageBreakBefore w:val="0"/>
        <w:tabs>
          <w:tab w:val="left" w:pos="690"/>
        </w:tabs>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sz w:val="28"/>
          <w:szCs w:val="28"/>
        </w:rPr>
        <w:t>应以估价对象的合法使用、合法处分为前提进行。所谓合法，是指符合国家的法律、法规和当地政府的有关规定，其权益才能受法律保护，并体现其权益价值。</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w:t>
      </w:r>
      <w:r>
        <w:rPr>
          <w:rFonts w:hint="eastAsia"/>
          <w:sz w:val="28"/>
          <w:szCs w:val="28"/>
        </w:rPr>
        <w:t>三</w:t>
      </w:r>
      <w:r>
        <w:rPr>
          <w:sz w:val="28"/>
          <w:szCs w:val="28"/>
        </w:rPr>
        <w:t>）最高最佳使用原则</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w:t>
      </w:r>
      <w:r>
        <w:rPr>
          <w:rFonts w:hint="eastAsia"/>
          <w:sz w:val="28"/>
          <w:szCs w:val="28"/>
        </w:rPr>
        <w:t>四</w:t>
      </w:r>
      <w:r>
        <w:rPr>
          <w:sz w:val="28"/>
          <w:szCs w:val="28"/>
        </w:rPr>
        <w:t>）价值时点原则</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估价结果应是估价对象在价值时点的客观合理价格或价值。</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rFonts w:hint="eastAsia"/>
          <w:sz w:val="28"/>
          <w:szCs w:val="28"/>
        </w:rPr>
      </w:pPr>
      <w:r>
        <w:rPr>
          <w:sz w:val="28"/>
          <w:szCs w:val="28"/>
        </w:rPr>
        <w:t>（</w:t>
      </w:r>
      <w:r>
        <w:rPr>
          <w:rFonts w:hint="eastAsia"/>
          <w:sz w:val="28"/>
          <w:szCs w:val="28"/>
        </w:rPr>
        <w:t>五</w:t>
      </w:r>
      <w:r>
        <w:rPr>
          <w:sz w:val="28"/>
          <w:szCs w:val="28"/>
        </w:rPr>
        <w:t>）替代原则</w:t>
      </w:r>
    </w:p>
    <w:p>
      <w:pPr>
        <w:keepNext w:val="0"/>
        <w:keepLines w:val="0"/>
        <w:pageBreakBefore w:val="0"/>
        <w:widowControl/>
        <w:tabs>
          <w:tab w:val="left" w:pos="8460"/>
        </w:tabs>
        <w:kinsoku/>
        <w:wordWrap/>
        <w:overflowPunct/>
        <w:topLinePunct w:val="0"/>
        <w:autoSpaceDE/>
        <w:autoSpaceDN/>
        <w:bidi w:val="0"/>
        <w:adjustRightInd/>
        <w:snapToGrid/>
        <w:spacing w:line="520" w:lineRule="exact"/>
        <w:ind w:right="45" w:firstLine="560" w:firstLineChars="200"/>
        <w:textAlignment w:val="auto"/>
        <w:rPr>
          <w:sz w:val="28"/>
          <w:szCs w:val="28"/>
        </w:rPr>
      </w:pPr>
      <w:r>
        <w:rPr>
          <w:sz w:val="28"/>
          <w:szCs w:val="28"/>
        </w:rPr>
        <w:t>估价结果不得明显偏离类似房地产在同等条件下的</w:t>
      </w:r>
      <w:r>
        <w:rPr>
          <w:rFonts w:hint="eastAsia"/>
          <w:sz w:val="28"/>
          <w:szCs w:val="28"/>
        </w:rPr>
        <w:t>正常</w:t>
      </w:r>
      <w:r>
        <w:rPr>
          <w:sz w:val="28"/>
          <w:szCs w:val="28"/>
        </w:rPr>
        <w:t>价格。同一供求范围内，在用途、规模、档次、建筑结构等方面类似的房地产之间具有相互影响作用，其价格会相互牵掣而趋于一致。</w:t>
      </w:r>
    </w:p>
    <w:p>
      <w:pPr>
        <w:pStyle w:val="4"/>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1"/>
        <w:rPr>
          <w:rFonts w:eastAsia="黑体"/>
          <w:b/>
          <w:sz w:val="32"/>
        </w:rPr>
      </w:pPr>
      <w:bookmarkStart w:id="62" w:name="_Toc5553"/>
      <w:r>
        <w:rPr>
          <w:rFonts w:eastAsia="黑体"/>
          <w:b/>
          <w:sz w:val="32"/>
        </w:rPr>
        <w:t>九、</w:t>
      </w:r>
      <w:r>
        <w:rPr>
          <w:rFonts w:hint="eastAsia" w:eastAsia="黑体"/>
          <w:b/>
          <w:sz w:val="32"/>
        </w:rPr>
        <w:t>估价方法实用性分析</w:t>
      </w:r>
      <w:bookmarkEnd w:id="62"/>
    </w:p>
    <w:p>
      <w:pPr>
        <w:pStyle w:val="3"/>
        <w:keepNext w:val="0"/>
        <w:keepLines w:val="0"/>
        <w:pageBreakBefore w:val="0"/>
        <w:kinsoku/>
        <w:wordWrap/>
        <w:overflowPunct/>
        <w:topLinePunct w:val="0"/>
        <w:autoSpaceDE/>
        <w:autoSpaceDN/>
        <w:bidi w:val="0"/>
        <w:adjustRightInd/>
        <w:snapToGrid/>
        <w:spacing w:after="0" w:line="540" w:lineRule="exact"/>
        <w:ind w:left="0" w:leftChars="0" w:firstLine="570" w:firstLineChars="200"/>
        <w:textAlignment w:val="auto"/>
        <w:rPr>
          <w:b/>
          <w:spacing w:val="2"/>
        </w:rPr>
      </w:pPr>
      <w:bookmarkStart w:id="63" w:name="_Toc418520322"/>
      <w:bookmarkStart w:id="64" w:name="_Toc420872950"/>
      <w:bookmarkStart w:id="65" w:name="_Toc420873166"/>
      <w:bookmarkStart w:id="66" w:name="_Toc420873230"/>
      <w:bookmarkStart w:id="67" w:name="_Toc420873319"/>
      <w:bookmarkStart w:id="68" w:name="_Toc418520014"/>
      <w:bookmarkStart w:id="69" w:name="_Toc418520156"/>
      <w:r>
        <w:rPr>
          <w:rFonts w:hint="eastAsia"/>
          <w:b/>
          <w:spacing w:val="2"/>
        </w:rPr>
        <w:t>（</w:t>
      </w:r>
      <w:r>
        <w:rPr>
          <w:b/>
          <w:spacing w:val="2"/>
        </w:rPr>
        <w:t>一）、估价方法的选用</w:t>
      </w:r>
      <w:bookmarkEnd w:id="63"/>
      <w:bookmarkEnd w:id="64"/>
      <w:bookmarkEnd w:id="65"/>
      <w:bookmarkEnd w:id="66"/>
      <w:bookmarkEnd w:id="67"/>
    </w:p>
    <w:p>
      <w:pPr>
        <w:keepNext w:val="0"/>
        <w:keepLines w:val="0"/>
        <w:pageBreakBefore w:val="0"/>
        <w:kinsoku/>
        <w:wordWrap/>
        <w:overflowPunct/>
        <w:topLinePunct w:val="0"/>
        <w:autoSpaceDE/>
        <w:autoSpaceDN/>
        <w:bidi w:val="0"/>
        <w:adjustRightInd/>
        <w:snapToGrid/>
        <w:spacing w:line="540" w:lineRule="exact"/>
        <w:ind w:left="0" w:leftChars="0" w:firstLine="560" w:firstLineChars="200"/>
        <w:textAlignment w:val="auto"/>
        <w:rPr>
          <w:rFonts w:hint="eastAsia"/>
          <w:sz w:val="28"/>
          <w:szCs w:val="28"/>
        </w:rPr>
      </w:pPr>
      <w:r>
        <w:rPr>
          <w:rFonts w:hint="eastAsia"/>
          <w:sz w:val="28"/>
          <w:szCs w:val="20"/>
        </w:rPr>
        <w:t>目前估价房地产的估价方法通常有比较法、收益法、假设开发法、成本法等。</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560" w:firstLineChars="200"/>
        <w:textAlignment w:val="auto"/>
        <w:rPr>
          <w:rFonts w:hint="eastAsia"/>
          <w:sz w:val="28"/>
          <w:szCs w:val="28"/>
        </w:rPr>
      </w:pPr>
      <w:r>
        <w:rPr>
          <w:rFonts w:hint="eastAsia"/>
          <w:sz w:val="28"/>
          <w:szCs w:val="28"/>
        </w:rPr>
        <w:t>1、</w:t>
      </w:r>
      <w:r>
        <w:rPr>
          <w:sz w:val="28"/>
          <w:szCs w:val="28"/>
        </w:rPr>
        <w:t>比较法，是指将估价对象与</w:t>
      </w:r>
      <w:r>
        <w:rPr>
          <w:sz w:val="28"/>
          <w:szCs w:val="28"/>
        </w:rPr>
        <w:fldChar w:fldCharType="begin"/>
      </w:r>
      <w:r>
        <w:rPr>
          <w:sz w:val="28"/>
          <w:szCs w:val="28"/>
        </w:rPr>
        <w:instrText xml:space="preserve"> HYPERLINK "http://baike.baidu.com/view/404706.htm" \t "_blank" </w:instrText>
      </w:r>
      <w:r>
        <w:rPr>
          <w:sz w:val="28"/>
          <w:szCs w:val="28"/>
        </w:rPr>
        <w:fldChar w:fldCharType="separate"/>
      </w:r>
      <w:r>
        <w:rPr>
          <w:sz w:val="28"/>
          <w:szCs w:val="28"/>
        </w:rPr>
        <w:t>价值时点</w:t>
      </w:r>
      <w:r>
        <w:rPr>
          <w:sz w:val="28"/>
          <w:szCs w:val="28"/>
        </w:rPr>
        <w:fldChar w:fldCharType="end"/>
      </w:r>
      <w:r>
        <w:rPr>
          <w:sz w:val="28"/>
          <w:szCs w:val="28"/>
        </w:rPr>
        <w:t>近期有过交易的</w:t>
      </w:r>
      <w:r>
        <w:rPr>
          <w:sz w:val="28"/>
          <w:szCs w:val="28"/>
        </w:rPr>
        <w:fldChar w:fldCharType="begin"/>
      </w:r>
      <w:r>
        <w:rPr>
          <w:sz w:val="28"/>
          <w:szCs w:val="28"/>
        </w:rPr>
        <w:instrText xml:space="preserve"> HYPERLINK "http://baike.baidu.com/view/1095449.htm" \t "_blank" </w:instrText>
      </w:r>
      <w:r>
        <w:rPr>
          <w:sz w:val="28"/>
          <w:szCs w:val="28"/>
        </w:rPr>
        <w:fldChar w:fldCharType="separate"/>
      </w:r>
      <w:r>
        <w:rPr>
          <w:sz w:val="28"/>
          <w:szCs w:val="28"/>
        </w:rPr>
        <w:t>类似房地产</w:t>
      </w:r>
      <w:r>
        <w:rPr>
          <w:sz w:val="28"/>
          <w:szCs w:val="28"/>
        </w:rPr>
        <w:fldChar w:fldCharType="end"/>
      </w:r>
      <w:r>
        <w:rPr>
          <w:sz w:val="28"/>
          <w:szCs w:val="28"/>
        </w:rPr>
        <w:t>进行比较，对这些类似房地产的已知价格作适当的修正，以此估算</w:t>
      </w:r>
      <w:r>
        <w:rPr>
          <w:sz w:val="28"/>
          <w:szCs w:val="28"/>
        </w:rPr>
        <w:fldChar w:fldCharType="begin"/>
      </w:r>
      <w:r>
        <w:rPr>
          <w:sz w:val="28"/>
          <w:szCs w:val="28"/>
        </w:rPr>
        <w:instrText xml:space="preserve"> HYPERLINK "http://baike.baidu.com/view/404695.htm" \t "_blank" </w:instrText>
      </w:r>
      <w:r>
        <w:rPr>
          <w:sz w:val="28"/>
          <w:szCs w:val="28"/>
        </w:rPr>
        <w:fldChar w:fldCharType="separate"/>
      </w:r>
      <w:r>
        <w:rPr>
          <w:sz w:val="28"/>
          <w:szCs w:val="28"/>
        </w:rPr>
        <w:t>估价对象</w:t>
      </w:r>
      <w:r>
        <w:rPr>
          <w:sz w:val="28"/>
          <w:szCs w:val="28"/>
        </w:rPr>
        <w:fldChar w:fldCharType="end"/>
      </w:r>
      <w:r>
        <w:rPr>
          <w:sz w:val="28"/>
          <w:szCs w:val="28"/>
        </w:rPr>
        <w:t>的客观合理价格或价值的方法</w:t>
      </w:r>
      <w:r>
        <w:rPr>
          <w:rFonts w:hint="eastAsia"/>
          <w:sz w:val="28"/>
          <w:szCs w:val="28"/>
        </w:rPr>
        <w:t>，适用于同种类型的数量较多且经常发生交易的房地产。估价对象所在区域范围内与估价对象类似的住宅房地产交易市场比较活跃，有一定比例的成交案例，故本次估价适用于比较法。</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560" w:firstLineChars="200"/>
        <w:textAlignment w:val="auto"/>
        <w:rPr>
          <w:rFonts w:hint="eastAsia"/>
          <w:sz w:val="28"/>
          <w:szCs w:val="28"/>
        </w:rPr>
      </w:pPr>
      <w:r>
        <w:rPr>
          <w:rFonts w:ascii="Times New Roman" w:hAnsi="Times New Roman" w:cs="Times New Roman"/>
          <w:sz w:val="28"/>
          <w:szCs w:val="28"/>
        </w:rPr>
        <w:t>2</w:t>
      </w:r>
      <w:r>
        <w:rPr>
          <w:rFonts w:ascii="Times New Roman" w:cs="Times New Roman"/>
          <w:sz w:val="28"/>
          <w:szCs w:val="28"/>
        </w:rPr>
        <w:t>、收益现值法又称收益还原法、收益资本化法，是预测估价对</w:t>
      </w:r>
      <w:r>
        <w:rPr>
          <w:rFonts w:hint="eastAsia"/>
          <w:sz w:val="28"/>
          <w:szCs w:val="28"/>
        </w:rPr>
        <w:t>象未来收益，然后将其转换为价值来求取估价对象价值的方法</w:t>
      </w:r>
      <w:r>
        <w:rPr>
          <w:sz w:val="28"/>
          <w:szCs w:val="28"/>
        </w:rPr>
        <w:t>。</w:t>
      </w:r>
      <w:r>
        <w:rPr>
          <w:rFonts w:hint="eastAsia"/>
          <w:sz w:val="28"/>
          <w:szCs w:val="28"/>
        </w:rPr>
        <w:t>适用于有经济收益或有潜在经济收益的房地产。估价对象设计及实际用途均为住宅，不属于收益性物业，故本次估价不适用于收益法。</w:t>
      </w:r>
    </w:p>
    <w:p>
      <w:pPr>
        <w:keepNext w:val="0"/>
        <w:keepLines w:val="0"/>
        <w:pageBreakBefore w:val="0"/>
        <w:kinsoku/>
        <w:wordWrap/>
        <w:overflowPunct/>
        <w:topLinePunct w:val="0"/>
        <w:autoSpaceDE/>
        <w:autoSpaceDN/>
        <w:bidi w:val="0"/>
        <w:adjustRightInd/>
        <w:snapToGrid/>
        <w:spacing w:line="540" w:lineRule="exact"/>
        <w:ind w:left="0" w:leftChars="0" w:firstLine="560" w:firstLineChars="200"/>
        <w:textAlignment w:val="auto"/>
        <w:rPr>
          <w:rFonts w:hint="eastAsia"/>
          <w:sz w:val="28"/>
          <w:szCs w:val="28"/>
        </w:rPr>
      </w:pPr>
      <w:r>
        <w:rPr>
          <w:rFonts w:hint="eastAsia"/>
          <w:sz w:val="28"/>
          <w:szCs w:val="28"/>
        </w:rPr>
        <w:t>3、成本法:是求取估价对象在价值时点重新购建价格和折旧，然后将重新购建价格减去折旧来求取估价对象价值的方法。适用于新开发的房地产、可以假设重新开发建设的现有房地产、正在开发建设的房地产（在建工程）、计划开发建设的房地产以及很少发生交易而限制了市场法运用又没有经济收益或没有潜在经济收益而限制了收益法运用的房地产。成本法是</w:t>
      </w:r>
      <w:r>
        <w:rPr>
          <w:sz w:val="28"/>
          <w:szCs w:val="28"/>
        </w:rPr>
        <w:t>以开发或建造估价对象房地产的各项必要费用之和为基础，再加上正常的利润和税金</w:t>
      </w:r>
      <w:r>
        <w:rPr>
          <w:rFonts w:hint="eastAsia"/>
          <w:sz w:val="28"/>
          <w:szCs w:val="28"/>
        </w:rPr>
        <w:t>计算得出，成本法难以真实反应估价对象的真实价值，因此不宜采用此方法。</w:t>
      </w:r>
    </w:p>
    <w:p>
      <w:pPr>
        <w:keepNext w:val="0"/>
        <w:keepLines w:val="0"/>
        <w:pageBreakBefore w:val="0"/>
        <w:kinsoku/>
        <w:wordWrap/>
        <w:overflowPunct/>
        <w:topLinePunct w:val="0"/>
        <w:autoSpaceDE/>
        <w:autoSpaceDN/>
        <w:bidi w:val="0"/>
        <w:adjustRightInd/>
        <w:snapToGrid/>
        <w:spacing w:line="540" w:lineRule="exact"/>
        <w:ind w:left="0" w:leftChars="0" w:firstLine="560" w:firstLineChars="200"/>
        <w:textAlignment w:val="auto"/>
        <w:rPr>
          <w:rFonts w:hint="eastAsia"/>
          <w:sz w:val="28"/>
          <w:szCs w:val="28"/>
        </w:rPr>
      </w:pPr>
      <w:r>
        <w:rPr>
          <w:rFonts w:hint="eastAsia"/>
          <w:sz w:val="28"/>
          <w:szCs w:val="28"/>
        </w:rPr>
        <w:t>4、假设开发法：也称剩余法、预期开发法、开发法，是预测估价对象开发完成后的价值和后续开发建设的必要支出及应得利润，然后将估价对象开发完成后的价值减去后续开发建设的必要支出及应得利润来求取估价对象价值的方法。适用于具有开发或再开发潜力并且其开发完成后的价值可采用比较法、收益法等方法求取的房地产。目前估价对象正常使用，目前已达到最高最佳使用状态，再开发潜力不大，不宜采用假设开发法进行评估。</w:t>
      </w:r>
    </w:p>
    <w:p>
      <w:pPr>
        <w:keepNext w:val="0"/>
        <w:keepLines w:val="0"/>
        <w:pageBreakBefore w:val="0"/>
        <w:kinsoku/>
        <w:wordWrap/>
        <w:overflowPunct/>
        <w:topLinePunct w:val="0"/>
        <w:autoSpaceDE/>
        <w:autoSpaceDN/>
        <w:bidi w:val="0"/>
        <w:adjustRightInd/>
        <w:snapToGrid/>
        <w:spacing w:line="540" w:lineRule="exact"/>
        <w:ind w:left="0" w:leftChars="0" w:firstLine="560" w:firstLineChars="200"/>
        <w:textAlignment w:val="auto"/>
        <w:rPr>
          <w:rFonts w:hint="eastAsia"/>
          <w:sz w:val="28"/>
          <w:szCs w:val="28"/>
        </w:rPr>
      </w:pPr>
      <w:r>
        <w:rPr>
          <w:rFonts w:hint="eastAsia"/>
          <w:sz w:val="28"/>
          <w:szCs w:val="28"/>
        </w:rPr>
        <w:t>综上因素：本次采用比较法进行估价。</w:t>
      </w:r>
    </w:p>
    <w:p>
      <w:pPr>
        <w:keepNext w:val="0"/>
        <w:keepLines w:val="0"/>
        <w:pageBreakBefore w:val="0"/>
        <w:widowControl/>
        <w:tabs>
          <w:tab w:val="left" w:pos="8460"/>
        </w:tabs>
        <w:kinsoku/>
        <w:wordWrap/>
        <w:overflowPunct/>
        <w:topLinePunct w:val="0"/>
        <w:autoSpaceDE/>
        <w:autoSpaceDN/>
        <w:bidi w:val="0"/>
        <w:adjustRightInd/>
        <w:snapToGrid/>
        <w:spacing w:line="540" w:lineRule="exact"/>
        <w:ind w:left="0" w:leftChars="0" w:right="45" w:firstLine="559" w:firstLineChars="196"/>
        <w:textAlignment w:val="auto"/>
        <w:rPr>
          <w:rFonts w:hint="eastAsia"/>
          <w:b/>
          <w:spacing w:val="2"/>
          <w:sz w:val="28"/>
          <w:szCs w:val="20"/>
        </w:rPr>
      </w:pPr>
      <w:bookmarkStart w:id="70" w:name="_Toc418520323"/>
      <w:bookmarkStart w:id="71" w:name="_Toc420872951"/>
      <w:bookmarkStart w:id="72" w:name="_Toc420873167"/>
      <w:bookmarkStart w:id="73" w:name="_Toc420873231"/>
      <w:bookmarkStart w:id="74" w:name="_Toc420873320"/>
      <w:r>
        <w:rPr>
          <w:b/>
          <w:spacing w:val="2"/>
          <w:sz w:val="28"/>
          <w:szCs w:val="20"/>
        </w:rPr>
        <w:t>（二）、估价思路及技术路线</w:t>
      </w:r>
      <w:bookmarkEnd w:id="70"/>
      <w:bookmarkEnd w:id="71"/>
      <w:bookmarkEnd w:id="72"/>
      <w:bookmarkEnd w:id="73"/>
      <w:bookmarkEnd w:id="74"/>
    </w:p>
    <w:p>
      <w:pPr>
        <w:keepNext w:val="0"/>
        <w:keepLines w:val="0"/>
        <w:pageBreakBefore w:val="0"/>
        <w:kinsoku/>
        <w:wordWrap/>
        <w:overflowPunct/>
        <w:topLinePunct w:val="0"/>
        <w:autoSpaceDE/>
        <w:autoSpaceDN/>
        <w:bidi w:val="0"/>
        <w:adjustRightInd/>
        <w:snapToGrid/>
        <w:spacing w:line="540" w:lineRule="exact"/>
        <w:ind w:left="0" w:leftChars="0" w:firstLine="567"/>
        <w:textAlignment w:val="auto"/>
        <w:rPr>
          <w:rFonts w:hint="eastAsia" w:ascii="宋体" w:hAnsi="宋体"/>
          <w:sz w:val="28"/>
          <w:szCs w:val="28"/>
        </w:rPr>
      </w:pPr>
      <w:r>
        <w:rPr>
          <w:rFonts w:hint="eastAsia" w:ascii="宋体" w:hAnsi="宋体"/>
          <w:sz w:val="28"/>
          <w:szCs w:val="28"/>
        </w:rPr>
        <w:t>比较法：是将估价对象与价值时点近期有过交易的类似房地产进行比较，对这些类似房地产的已知价格作适当的修正，以此估算估价对象的客观合理价格或价值的方法。</w:t>
      </w:r>
    </w:p>
    <w:p>
      <w:pPr>
        <w:keepNext w:val="0"/>
        <w:keepLines w:val="0"/>
        <w:pageBreakBefore w:val="0"/>
        <w:kinsoku/>
        <w:wordWrap/>
        <w:overflowPunct/>
        <w:topLinePunct w:val="0"/>
        <w:autoSpaceDE/>
        <w:autoSpaceDN/>
        <w:bidi w:val="0"/>
        <w:adjustRightInd/>
        <w:snapToGrid/>
        <w:spacing w:line="540" w:lineRule="exact"/>
        <w:ind w:left="0" w:leftChars="0" w:firstLine="560" w:firstLineChars="200"/>
        <w:textAlignment w:val="auto"/>
        <w:rPr>
          <w:rFonts w:ascii="宋体" w:hAnsi="宋体"/>
          <w:sz w:val="28"/>
          <w:szCs w:val="28"/>
        </w:rPr>
      </w:pPr>
      <w:r>
        <w:rPr>
          <w:rFonts w:ascii="宋体" w:hAnsi="宋体"/>
          <w:sz w:val="28"/>
          <w:szCs w:val="28"/>
        </w:rPr>
        <w:t>根据</w:t>
      </w:r>
      <w:r>
        <w:rPr>
          <w:rFonts w:hint="eastAsia" w:ascii="宋体" w:hAnsi="宋体"/>
          <w:sz w:val="28"/>
          <w:szCs w:val="28"/>
        </w:rPr>
        <w:t>比较法</w:t>
      </w:r>
      <w:r>
        <w:rPr>
          <w:rFonts w:ascii="宋体" w:hAnsi="宋体"/>
          <w:sz w:val="28"/>
          <w:szCs w:val="28"/>
        </w:rPr>
        <w:t>估价原理及运用，其估价</w:t>
      </w:r>
      <w:r>
        <w:rPr>
          <w:rFonts w:hint="eastAsia" w:ascii="宋体" w:hAnsi="宋体"/>
          <w:sz w:val="28"/>
          <w:szCs w:val="28"/>
        </w:rPr>
        <w:t>技术路线为：目前与估价对象类似的房地产交易市场比较活跃，选择类似区域、用途相似、结构相近等类似房地产交易实例，通过对交易实例与估价对象的分析、比较，在对交易实例进行交易情况、交易日期、房地产状况因素的修正后，确定估价对象的价值。具体</w:t>
      </w:r>
      <w:r>
        <w:rPr>
          <w:rFonts w:ascii="宋体" w:hAnsi="宋体"/>
          <w:sz w:val="28"/>
          <w:szCs w:val="28"/>
        </w:rPr>
        <w:t>步骤如下：</w:t>
      </w:r>
    </w:p>
    <w:p>
      <w:pPr>
        <w:keepNext w:val="0"/>
        <w:keepLines w:val="0"/>
        <w:pageBreakBefore w:val="0"/>
        <w:kinsoku/>
        <w:wordWrap/>
        <w:overflowPunct/>
        <w:topLinePunct w:val="0"/>
        <w:autoSpaceDE/>
        <w:autoSpaceDN/>
        <w:bidi w:val="0"/>
        <w:adjustRightInd/>
        <w:snapToGrid/>
        <w:spacing w:line="540" w:lineRule="exact"/>
        <w:ind w:left="0" w:leftChars="0" w:firstLine="567"/>
        <w:textAlignment w:val="auto"/>
        <w:rPr>
          <w:rFonts w:hint="eastAsia" w:ascii="宋体" w:hAnsi="宋体"/>
          <w:sz w:val="28"/>
          <w:szCs w:val="28"/>
        </w:rPr>
      </w:pPr>
      <w:r>
        <w:rPr>
          <w:rFonts w:ascii="宋体" w:hAnsi="宋体"/>
          <w:sz w:val="28"/>
          <w:szCs w:val="28"/>
        </w:rPr>
        <w:t>第一步：收集</w:t>
      </w:r>
      <w:r>
        <w:rPr>
          <w:rFonts w:hint="eastAsia" w:ascii="宋体" w:hAnsi="宋体"/>
          <w:sz w:val="28"/>
          <w:szCs w:val="28"/>
        </w:rPr>
        <w:t>交易实例；</w:t>
      </w:r>
    </w:p>
    <w:p>
      <w:pPr>
        <w:keepNext w:val="0"/>
        <w:keepLines w:val="0"/>
        <w:pageBreakBefore w:val="0"/>
        <w:kinsoku/>
        <w:wordWrap/>
        <w:overflowPunct/>
        <w:topLinePunct w:val="0"/>
        <w:autoSpaceDE/>
        <w:autoSpaceDN/>
        <w:bidi w:val="0"/>
        <w:adjustRightInd/>
        <w:snapToGrid/>
        <w:spacing w:line="540" w:lineRule="exact"/>
        <w:ind w:left="0" w:leftChars="0" w:firstLine="567"/>
        <w:textAlignment w:val="auto"/>
        <w:rPr>
          <w:rFonts w:ascii="宋体" w:hAnsi="宋体"/>
          <w:sz w:val="28"/>
          <w:szCs w:val="28"/>
        </w:rPr>
      </w:pPr>
      <w:r>
        <w:rPr>
          <w:rFonts w:ascii="宋体" w:hAnsi="宋体"/>
          <w:sz w:val="28"/>
          <w:szCs w:val="28"/>
        </w:rPr>
        <w:t>第二步：</w:t>
      </w:r>
      <w:r>
        <w:rPr>
          <w:rFonts w:hint="eastAsia" w:ascii="宋体" w:hAnsi="宋体"/>
          <w:sz w:val="28"/>
          <w:szCs w:val="28"/>
        </w:rPr>
        <w:t>选取可比实例</w:t>
      </w:r>
      <w:r>
        <w:rPr>
          <w:rFonts w:ascii="宋体" w:hAnsi="宋体"/>
          <w:sz w:val="28"/>
          <w:szCs w:val="28"/>
        </w:rPr>
        <w:t>；</w:t>
      </w:r>
    </w:p>
    <w:p>
      <w:pPr>
        <w:keepNext w:val="0"/>
        <w:keepLines w:val="0"/>
        <w:pageBreakBefore w:val="0"/>
        <w:kinsoku/>
        <w:wordWrap/>
        <w:overflowPunct/>
        <w:topLinePunct w:val="0"/>
        <w:autoSpaceDE/>
        <w:autoSpaceDN/>
        <w:bidi w:val="0"/>
        <w:adjustRightInd/>
        <w:snapToGrid/>
        <w:spacing w:line="540" w:lineRule="exact"/>
        <w:ind w:left="0" w:leftChars="0" w:firstLine="567"/>
        <w:textAlignment w:val="auto"/>
        <w:rPr>
          <w:rFonts w:ascii="宋体" w:hAnsi="宋体"/>
          <w:sz w:val="28"/>
          <w:szCs w:val="28"/>
        </w:rPr>
      </w:pPr>
      <w:r>
        <w:rPr>
          <w:rFonts w:ascii="宋体" w:hAnsi="宋体"/>
          <w:sz w:val="28"/>
          <w:szCs w:val="28"/>
        </w:rPr>
        <w:t>第三步：</w:t>
      </w:r>
      <w:r>
        <w:rPr>
          <w:rFonts w:hint="eastAsia" w:ascii="宋体" w:hAnsi="宋体"/>
          <w:sz w:val="28"/>
          <w:szCs w:val="28"/>
        </w:rPr>
        <w:t>建立价格可比基础</w:t>
      </w:r>
      <w:r>
        <w:rPr>
          <w:rFonts w:ascii="宋体" w:hAnsi="宋体"/>
          <w:sz w:val="28"/>
          <w:szCs w:val="28"/>
        </w:rPr>
        <w:t>；</w:t>
      </w:r>
    </w:p>
    <w:p>
      <w:pPr>
        <w:pStyle w:val="4"/>
        <w:keepNext w:val="0"/>
        <w:keepLines w:val="0"/>
        <w:pageBreakBefore w:val="0"/>
        <w:kinsoku/>
        <w:wordWrap/>
        <w:overflowPunct/>
        <w:topLinePunct w:val="0"/>
        <w:autoSpaceDE/>
        <w:autoSpaceDN/>
        <w:bidi w:val="0"/>
        <w:adjustRightInd/>
        <w:snapToGrid/>
        <w:spacing w:line="540" w:lineRule="exact"/>
        <w:ind w:left="0" w:leftChars="0" w:firstLine="573"/>
        <w:textAlignment w:val="auto"/>
        <w:rPr>
          <w:rFonts w:hint="eastAsia" w:ascii="宋体" w:hAnsi="宋体" w:eastAsia="宋体"/>
          <w:szCs w:val="28"/>
        </w:rPr>
      </w:pPr>
      <w:r>
        <w:rPr>
          <w:rFonts w:ascii="宋体" w:hAnsi="宋体" w:eastAsia="宋体"/>
          <w:szCs w:val="28"/>
        </w:rPr>
        <w:t>第四步：</w:t>
      </w:r>
      <w:r>
        <w:rPr>
          <w:rFonts w:hint="eastAsia" w:ascii="宋体" w:hAnsi="宋体" w:eastAsia="宋体"/>
          <w:szCs w:val="28"/>
        </w:rPr>
        <w:t>交易情况修正；</w:t>
      </w:r>
    </w:p>
    <w:p>
      <w:pPr>
        <w:pStyle w:val="4"/>
        <w:keepNext w:val="0"/>
        <w:keepLines w:val="0"/>
        <w:pageBreakBefore w:val="0"/>
        <w:kinsoku/>
        <w:wordWrap/>
        <w:overflowPunct/>
        <w:topLinePunct w:val="0"/>
        <w:autoSpaceDE/>
        <w:autoSpaceDN/>
        <w:bidi w:val="0"/>
        <w:adjustRightInd/>
        <w:snapToGrid/>
        <w:spacing w:line="540" w:lineRule="exact"/>
        <w:ind w:left="0" w:leftChars="0" w:firstLine="573"/>
        <w:textAlignment w:val="auto"/>
        <w:rPr>
          <w:rFonts w:hint="eastAsia" w:ascii="宋体" w:hAnsi="宋体" w:eastAsia="宋体"/>
          <w:szCs w:val="28"/>
        </w:rPr>
      </w:pPr>
      <w:r>
        <w:rPr>
          <w:rFonts w:ascii="宋体" w:hAnsi="宋体" w:eastAsia="宋体"/>
          <w:szCs w:val="28"/>
        </w:rPr>
        <w:t>第</w:t>
      </w:r>
      <w:r>
        <w:rPr>
          <w:rFonts w:hint="eastAsia" w:ascii="宋体" w:hAnsi="宋体" w:eastAsia="宋体"/>
          <w:szCs w:val="28"/>
        </w:rPr>
        <w:t>五</w:t>
      </w:r>
      <w:r>
        <w:rPr>
          <w:rFonts w:ascii="宋体" w:hAnsi="宋体" w:eastAsia="宋体"/>
          <w:szCs w:val="28"/>
        </w:rPr>
        <w:t>步：</w:t>
      </w:r>
      <w:r>
        <w:rPr>
          <w:rFonts w:hint="eastAsia" w:ascii="宋体" w:hAnsi="宋体" w:eastAsia="宋体"/>
          <w:szCs w:val="28"/>
        </w:rPr>
        <w:t>交易日期修正；</w:t>
      </w:r>
    </w:p>
    <w:p>
      <w:pPr>
        <w:pStyle w:val="4"/>
        <w:keepNext w:val="0"/>
        <w:keepLines w:val="0"/>
        <w:pageBreakBefore w:val="0"/>
        <w:kinsoku/>
        <w:wordWrap/>
        <w:overflowPunct/>
        <w:topLinePunct w:val="0"/>
        <w:autoSpaceDE/>
        <w:autoSpaceDN/>
        <w:bidi w:val="0"/>
        <w:adjustRightInd/>
        <w:snapToGrid/>
        <w:spacing w:line="540" w:lineRule="exact"/>
        <w:ind w:left="0" w:leftChars="0" w:firstLine="573"/>
        <w:textAlignment w:val="auto"/>
        <w:rPr>
          <w:rFonts w:hint="eastAsia" w:ascii="宋体" w:hAnsi="宋体" w:eastAsia="宋体"/>
          <w:szCs w:val="28"/>
        </w:rPr>
      </w:pPr>
      <w:r>
        <w:rPr>
          <w:rFonts w:ascii="宋体" w:hAnsi="宋体" w:eastAsia="宋体"/>
          <w:szCs w:val="28"/>
        </w:rPr>
        <w:t>第</w:t>
      </w:r>
      <w:r>
        <w:rPr>
          <w:rFonts w:hint="eastAsia" w:ascii="宋体" w:hAnsi="宋体" w:eastAsia="宋体"/>
          <w:szCs w:val="28"/>
        </w:rPr>
        <w:t>六</w:t>
      </w:r>
      <w:r>
        <w:rPr>
          <w:rFonts w:ascii="宋体" w:hAnsi="宋体" w:eastAsia="宋体"/>
          <w:szCs w:val="28"/>
        </w:rPr>
        <w:t>步：</w:t>
      </w:r>
      <w:r>
        <w:rPr>
          <w:rFonts w:hint="eastAsia" w:ascii="宋体" w:hAnsi="宋体" w:eastAsia="宋体"/>
          <w:szCs w:val="28"/>
        </w:rPr>
        <w:t>房地产状况修正；</w:t>
      </w:r>
    </w:p>
    <w:p>
      <w:pPr>
        <w:pStyle w:val="4"/>
        <w:keepNext w:val="0"/>
        <w:keepLines w:val="0"/>
        <w:pageBreakBefore w:val="0"/>
        <w:kinsoku/>
        <w:wordWrap/>
        <w:overflowPunct/>
        <w:topLinePunct w:val="0"/>
        <w:autoSpaceDE/>
        <w:autoSpaceDN/>
        <w:bidi w:val="0"/>
        <w:adjustRightInd/>
        <w:snapToGrid/>
        <w:spacing w:line="540" w:lineRule="exact"/>
        <w:ind w:left="0" w:leftChars="0" w:firstLine="573"/>
        <w:textAlignment w:val="auto"/>
        <w:rPr>
          <w:rFonts w:hint="eastAsia" w:ascii="宋体" w:hAnsi="宋体" w:eastAsia="宋体"/>
          <w:szCs w:val="28"/>
        </w:rPr>
      </w:pPr>
      <w:r>
        <w:rPr>
          <w:rFonts w:ascii="宋体" w:hAnsi="宋体" w:eastAsia="宋体"/>
          <w:szCs w:val="28"/>
        </w:rPr>
        <w:t>第</w:t>
      </w:r>
      <w:r>
        <w:rPr>
          <w:rFonts w:hint="eastAsia" w:ascii="宋体" w:hAnsi="宋体" w:eastAsia="宋体"/>
          <w:szCs w:val="28"/>
        </w:rPr>
        <w:t>七</w:t>
      </w:r>
      <w:r>
        <w:rPr>
          <w:rFonts w:ascii="宋体" w:hAnsi="宋体" w:eastAsia="宋体"/>
          <w:szCs w:val="28"/>
        </w:rPr>
        <w:t>步：</w:t>
      </w:r>
      <w:r>
        <w:rPr>
          <w:rFonts w:hint="eastAsia" w:ascii="宋体" w:hAnsi="宋体" w:eastAsia="宋体"/>
          <w:szCs w:val="28"/>
        </w:rPr>
        <w:t>综合评定价值。</w:t>
      </w:r>
    </w:p>
    <w:bookmarkEnd w:id="68"/>
    <w:bookmarkEnd w:id="69"/>
    <w:p>
      <w:pPr>
        <w:pStyle w:val="4"/>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outlineLvl w:val="1"/>
        <w:rPr>
          <w:rFonts w:eastAsia="宋体"/>
          <w:sz w:val="32"/>
        </w:rPr>
      </w:pPr>
      <w:bookmarkStart w:id="75" w:name="_Toc22602"/>
      <w:r>
        <w:rPr>
          <w:rFonts w:eastAsia="黑体"/>
          <w:b/>
          <w:sz w:val="32"/>
        </w:rPr>
        <w:t>十、估价结果</w:t>
      </w:r>
      <w:bookmarkEnd w:id="75"/>
    </w:p>
    <w:p>
      <w:pPr>
        <w:keepNext w:val="0"/>
        <w:keepLines w:val="0"/>
        <w:pageBreakBefore w:val="0"/>
        <w:kinsoku/>
        <w:wordWrap/>
        <w:overflowPunct/>
        <w:topLinePunct w:val="0"/>
        <w:autoSpaceDE/>
        <w:autoSpaceDN/>
        <w:bidi w:val="0"/>
        <w:adjustRightInd/>
        <w:snapToGrid/>
        <w:spacing w:line="540" w:lineRule="exact"/>
        <w:ind w:left="0" w:leftChars="0" w:firstLine="548" w:firstLineChars="196"/>
        <w:textAlignment w:val="auto"/>
        <w:rPr>
          <w:b/>
          <w:sz w:val="28"/>
          <w:szCs w:val="20"/>
        </w:rPr>
      </w:pPr>
      <w:r>
        <w:rPr>
          <w:rFonts w:hint="eastAsia"/>
          <w:sz w:val="28"/>
          <w:szCs w:val="20"/>
        </w:rPr>
        <w:t>德阳市罗江区人民法院</w:t>
      </w:r>
      <w:r>
        <w:rPr>
          <w:sz w:val="28"/>
          <w:szCs w:val="20"/>
        </w:rPr>
        <w:t>本次委托估价的位于</w:t>
      </w:r>
      <w:r>
        <w:rPr>
          <w:rFonts w:hint="eastAsia"/>
          <w:sz w:val="28"/>
          <w:szCs w:val="20"/>
          <w:lang w:eastAsia="zh-CN"/>
        </w:rPr>
        <w:t>德阳市罗江镇黎明社区</w:t>
      </w:r>
      <w:r>
        <w:rPr>
          <w:rFonts w:hint="eastAsia"/>
          <w:sz w:val="28"/>
          <w:szCs w:val="20"/>
        </w:rPr>
        <w:t>十六米干道以北（罗江中学用地拆迁）1-4层的住宅房地产</w:t>
      </w:r>
      <w:r>
        <w:rPr>
          <w:sz w:val="28"/>
          <w:szCs w:val="20"/>
        </w:rPr>
        <w:t>于价值时点估价结果列表说明如下：</w:t>
      </w:r>
    </w:p>
    <w:p>
      <w:pPr>
        <w:keepNext w:val="0"/>
        <w:keepLines w:val="0"/>
        <w:pageBreakBefore w:val="0"/>
        <w:kinsoku/>
        <w:wordWrap/>
        <w:overflowPunct/>
        <w:topLinePunct w:val="0"/>
        <w:autoSpaceDE/>
        <w:autoSpaceDN/>
        <w:bidi w:val="0"/>
        <w:adjustRightInd/>
        <w:snapToGrid/>
        <w:spacing w:line="540" w:lineRule="exact"/>
        <w:ind w:left="0" w:leftChars="0"/>
        <w:jc w:val="center"/>
        <w:textAlignment w:val="auto"/>
        <w:rPr>
          <w:b/>
          <w:sz w:val="28"/>
          <w:szCs w:val="20"/>
        </w:rPr>
      </w:pPr>
    </w:p>
    <w:p>
      <w:pPr>
        <w:keepNext w:val="0"/>
        <w:keepLines w:val="0"/>
        <w:pageBreakBefore w:val="0"/>
        <w:kinsoku/>
        <w:wordWrap/>
        <w:overflowPunct/>
        <w:topLinePunct w:val="0"/>
        <w:autoSpaceDE/>
        <w:autoSpaceDN/>
        <w:bidi w:val="0"/>
        <w:adjustRightInd/>
        <w:snapToGrid/>
        <w:spacing w:line="540" w:lineRule="exact"/>
        <w:ind w:left="0" w:leftChars="0"/>
        <w:jc w:val="center"/>
        <w:textAlignment w:val="auto"/>
        <w:rPr>
          <w:rFonts w:hint="eastAsia"/>
          <w:b/>
          <w:sz w:val="28"/>
          <w:szCs w:val="20"/>
        </w:rPr>
      </w:pPr>
      <w:r>
        <w:rPr>
          <w:b/>
          <w:sz w:val="28"/>
          <w:szCs w:val="20"/>
        </w:rPr>
        <w:t>估价结果说明表</w:t>
      </w:r>
    </w:p>
    <w:tbl>
      <w:tblPr>
        <w:tblStyle w:val="16"/>
        <w:tblW w:w="7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9"/>
        <w:gridCol w:w="1052"/>
        <w:gridCol w:w="178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3279" w:type="dxa"/>
            <w:vAlign w:val="center"/>
          </w:tcPr>
          <w:p>
            <w:pPr>
              <w:pStyle w:val="13"/>
              <w:spacing w:after="0" w:line="360" w:lineRule="exact"/>
              <w:ind w:left="0"/>
              <w:jc w:val="center"/>
              <w:rPr>
                <w:sz w:val="21"/>
                <w:szCs w:val="21"/>
              </w:rPr>
            </w:pPr>
            <w:r>
              <w:rPr>
                <w:sz w:val="21"/>
                <w:szCs w:val="21"/>
              </w:rPr>
              <w:t>项</w:t>
            </w:r>
            <w:r>
              <w:rPr>
                <w:rFonts w:hint="eastAsia"/>
                <w:sz w:val="21"/>
                <w:szCs w:val="21"/>
              </w:rPr>
              <w:t xml:space="preserve">  </w:t>
            </w:r>
            <w:r>
              <w:rPr>
                <w:sz w:val="21"/>
                <w:szCs w:val="21"/>
              </w:rPr>
              <w:t>目</w:t>
            </w:r>
          </w:p>
        </w:tc>
        <w:tc>
          <w:tcPr>
            <w:tcW w:w="1052" w:type="dxa"/>
            <w:vAlign w:val="center"/>
          </w:tcPr>
          <w:p>
            <w:pPr>
              <w:pStyle w:val="13"/>
              <w:spacing w:after="0" w:line="360" w:lineRule="exact"/>
              <w:ind w:left="0"/>
              <w:jc w:val="center"/>
              <w:rPr>
                <w:sz w:val="21"/>
                <w:szCs w:val="21"/>
              </w:rPr>
            </w:pPr>
            <w:r>
              <w:rPr>
                <w:sz w:val="21"/>
                <w:szCs w:val="21"/>
              </w:rPr>
              <w:t>面积(m</w:t>
            </w:r>
            <w:r>
              <w:rPr>
                <w:sz w:val="21"/>
                <w:szCs w:val="21"/>
                <w:vertAlign w:val="superscript"/>
              </w:rPr>
              <w:t>2</w:t>
            </w:r>
            <w:r>
              <w:rPr>
                <w:sz w:val="21"/>
                <w:szCs w:val="21"/>
              </w:rPr>
              <w:t>)</w:t>
            </w:r>
          </w:p>
        </w:tc>
        <w:tc>
          <w:tcPr>
            <w:tcW w:w="1783" w:type="dxa"/>
            <w:vAlign w:val="center"/>
          </w:tcPr>
          <w:p>
            <w:pPr>
              <w:spacing w:line="360" w:lineRule="exact"/>
              <w:jc w:val="center"/>
              <w:rPr>
                <w:kern w:val="0"/>
                <w:szCs w:val="21"/>
              </w:rPr>
            </w:pPr>
            <w:r>
              <w:rPr>
                <w:kern w:val="0"/>
                <w:szCs w:val="21"/>
              </w:rPr>
              <w:t>评估</w:t>
            </w:r>
            <w:r>
              <w:rPr>
                <w:rFonts w:hint="eastAsia"/>
                <w:kern w:val="0"/>
                <w:szCs w:val="21"/>
              </w:rPr>
              <w:t>单价</w:t>
            </w:r>
            <w:r>
              <w:rPr>
                <w:szCs w:val="21"/>
              </w:rPr>
              <w:t>(元/m</w:t>
            </w:r>
            <w:r>
              <w:rPr>
                <w:szCs w:val="21"/>
                <w:vertAlign w:val="superscript"/>
              </w:rPr>
              <w:t>2</w:t>
            </w:r>
            <w:r>
              <w:rPr>
                <w:szCs w:val="21"/>
              </w:rPr>
              <w:t>)</w:t>
            </w:r>
          </w:p>
        </w:tc>
        <w:tc>
          <w:tcPr>
            <w:tcW w:w="1462" w:type="dxa"/>
            <w:vAlign w:val="center"/>
          </w:tcPr>
          <w:p>
            <w:pPr>
              <w:spacing w:line="360" w:lineRule="exact"/>
              <w:jc w:val="center"/>
              <w:rPr>
                <w:kern w:val="0"/>
                <w:szCs w:val="21"/>
              </w:rPr>
            </w:pPr>
            <w:r>
              <w:rPr>
                <w:kern w:val="0"/>
                <w:szCs w:val="21"/>
              </w:rPr>
              <w:t>评估价值</w:t>
            </w:r>
            <w:r>
              <w:rPr>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279" w:type="dxa"/>
            <w:vAlign w:val="center"/>
          </w:tcPr>
          <w:p>
            <w:pPr>
              <w:pStyle w:val="13"/>
              <w:spacing w:after="0" w:line="360" w:lineRule="exact"/>
              <w:ind w:left="0"/>
              <w:jc w:val="center"/>
              <w:rPr>
                <w:rFonts w:hint="eastAsia"/>
                <w:sz w:val="21"/>
                <w:szCs w:val="21"/>
              </w:rPr>
            </w:pPr>
            <w:r>
              <w:rPr>
                <w:rFonts w:hint="eastAsia"/>
                <w:sz w:val="21"/>
                <w:szCs w:val="21"/>
                <w:lang w:eastAsia="zh-CN"/>
              </w:rPr>
              <w:t>罗江镇黎明社区</w:t>
            </w:r>
            <w:r>
              <w:rPr>
                <w:rFonts w:hint="eastAsia"/>
                <w:sz w:val="21"/>
                <w:szCs w:val="21"/>
              </w:rPr>
              <w:t>十六米干道以北</w:t>
            </w:r>
          </w:p>
          <w:p>
            <w:pPr>
              <w:pStyle w:val="13"/>
              <w:spacing w:after="0" w:line="360" w:lineRule="exact"/>
              <w:ind w:left="0"/>
              <w:jc w:val="center"/>
              <w:rPr>
                <w:rFonts w:hint="eastAsia"/>
                <w:sz w:val="21"/>
                <w:szCs w:val="21"/>
              </w:rPr>
            </w:pPr>
            <w:r>
              <w:rPr>
                <w:rFonts w:hint="eastAsia"/>
                <w:sz w:val="21"/>
                <w:szCs w:val="21"/>
              </w:rPr>
              <w:t>（罗江中学用地拆迁）1-4层住宅</w:t>
            </w:r>
          </w:p>
        </w:tc>
        <w:tc>
          <w:tcPr>
            <w:tcW w:w="1052" w:type="dxa"/>
            <w:vAlign w:val="center"/>
          </w:tcPr>
          <w:p>
            <w:pPr>
              <w:pStyle w:val="13"/>
              <w:spacing w:after="0" w:line="360" w:lineRule="exact"/>
              <w:ind w:left="0"/>
              <w:jc w:val="center"/>
              <w:rPr>
                <w:rFonts w:hint="eastAsia"/>
                <w:kern w:val="0"/>
                <w:sz w:val="21"/>
                <w:szCs w:val="21"/>
              </w:rPr>
            </w:pPr>
            <w:r>
              <w:rPr>
                <w:rFonts w:hint="eastAsia"/>
                <w:kern w:val="0"/>
                <w:sz w:val="21"/>
                <w:szCs w:val="21"/>
              </w:rPr>
              <w:t>279.73</w:t>
            </w:r>
          </w:p>
        </w:tc>
        <w:tc>
          <w:tcPr>
            <w:tcW w:w="1783" w:type="dxa"/>
            <w:vAlign w:val="center"/>
          </w:tcPr>
          <w:p>
            <w:pPr>
              <w:pStyle w:val="13"/>
              <w:spacing w:after="0" w:line="360" w:lineRule="exact"/>
              <w:ind w:left="0"/>
              <w:jc w:val="center"/>
              <w:rPr>
                <w:rFonts w:hint="eastAsia"/>
                <w:kern w:val="0"/>
                <w:sz w:val="21"/>
                <w:szCs w:val="21"/>
              </w:rPr>
            </w:pPr>
            <w:r>
              <w:rPr>
                <w:rFonts w:hint="eastAsia"/>
                <w:kern w:val="0"/>
                <w:sz w:val="21"/>
                <w:szCs w:val="21"/>
              </w:rPr>
              <w:t>2,465.00</w:t>
            </w:r>
          </w:p>
        </w:tc>
        <w:tc>
          <w:tcPr>
            <w:tcW w:w="1462" w:type="dxa"/>
            <w:vAlign w:val="center"/>
          </w:tcPr>
          <w:p>
            <w:pPr>
              <w:pStyle w:val="13"/>
              <w:spacing w:after="0" w:line="360" w:lineRule="exact"/>
              <w:ind w:left="0"/>
              <w:jc w:val="center"/>
              <w:rPr>
                <w:rFonts w:hint="eastAsia"/>
                <w:kern w:val="0"/>
                <w:sz w:val="21"/>
                <w:szCs w:val="21"/>
              </w:rPr>
            </w:pPr>
            <w:r>
              <w:rPr>
                <w:rFonts w:hint="eastAsia"/>
                <w:kern w:val="0"/>
                <w:sz w:val="21"/>
                <w:szCs w:val="21"/>
              </w:rPr>
              <w:t>689,534.00</w:t>
            </w:r>
          </w:p>
        </w:tc>
      </w:tr>
    </w:tbl>
    <w:p>
      <w:pPr>
        <w:pStyle w:val="11"/>
        <w:spacing w:line="500" w:lineRule="exact"/>
        <w:ind w:left="0" w:firstLine="560" w:firstLineChars="200"/>
        <w:rPr>
          <w:rFonts w:hint="eastAsia" w:eastAsia="黑体"/>
          <w:b/>
          <w:szCs w:val="28"/>
        </w:rPr>
      </w:pPr>
      <w:r>
        <w:t>即：本次估价的</w:t>
      </w:r>
      <w:r>
        <w:rPr>
          <w:rFonts w:hint="eastAsia"/>
          <w:lang w:eastAsia="zh-CN"/>
        </w:rPr>
        <w:t>德阳市罗江镇黎明社区</w:t>
      </w:r>
      <w:r>
        <w:rPr>
          <w:rFonts w:hint="eastAsia"/>
        </w:rPr>
        <w:t>十六米干道以北（罗江中学用地拆迁）1-4层的住宅房地产在价值时点2018年5月18日</w:t>
      </w:r>
      <w:r>
        <w:t>的</w:t>
      </w:r>
      <w:r>
        <w:rPr>
          <w:rFonts w:hint="eastAsia" w:eastAsia="黑体"/>
          <w:b/>
          <w:szCs w:val="28"/>
        </w:rPr>
        <w:t>公开市场</w:t>
      </w:r>
      <w:r>
        <w:rPr>
          <w:rFonts w:eastAsia="黑体"/>
          <w:b/>
          <w:szCs w:val="28"/>
        </w:rPr>
        <w:t>价值为</w:t>
      </w:r>
      <w:r>
        <w:rPr>
          <w:rFonts w:hint="eastAsia" w:eastAsia="黑体"/>
          <w:b/>
          <w:szCs w:val="32"/>
        </w:rPr>
        <w:t>689,534.00</w:t>
      </w:r>
      <w:r>
        <w:rPr>
          <w:rFonts w:eastAsia="黑体"/>
          <w:b/>
          <w:szCs w:val="28"/>
        </w:rPr>
        <w:t>元</w:t>
      </w:r>
      <w:r>
        <w:rPr>
          <w:rFonts w:hint="eastAsia" w:eastAsia="黑体"/>
          <w:b/>
          <w:szCs w:val="28"/>
        </w:rPr>
        <w:t>。</w:t>
      </w:r>
      <w:r>
        <w:rPr>
          <w:rFonts w:eastAsia="黑体"/>
          <w:b/>
          <w:szCs w:val="28"/>
        </w:rPr>
        <w:t>人民币（大写</w:t>
      </w:r>
      <w:r>
        <w:rPr>
          <w:rFonts w:hint="eastAsia" w:eastAsia="黑体"/>
          <w:b/>
          <w:szCs w:val="28"/>
        </w:rPr>
        <w:t>）陆拾捌万玖仟伍佰叁拾肆元整。</w:t>
      </w:r>
    </w:p>
    <w:p>
      <w:pPr>
        <w:pStyle w:val="4"/>
        <w:ind w:firstLine="561"/>
        <w:outlineLvl w:val="1"/>
        <w:rPr>
          <w:rFonts w:eastAsia="宋体"/>
        </w:rPr>
      </w:pPr>
      <w:bookmarkStart w:id="76" w:name="_Toc10101"/>
      <w:r>
        <w:rPr>
          <w:rFonts w:eastAsia="黑体"/>
          <w:b/>
          <w:sz w:val="32"/>
        </w:rPr>
        <w:t>十</w:t>
      </w:r>
      <w:r>
        <w:rPr>
          <w:rFonts w:hint="eastAsia" w:eastAsia="黑体"/>
          <w:b/>
          <w:sz w:val="32"/>
        </w:rPr>
        <w:t>一</w:t>
      </w:r>
      <w:r>
        <w:rPr>
          <w:rFonts w:eastAsia="黑体"/>
          <w:b/>
          <w:sz w:val="32"/>
        </w:rPr>
        <w:t>、估价人员</w:t>
      </w:r>
      <w:bookmarkEnd w:id="76"/>
    </w:p>
    <w:p>
      <w:pPr>
        <w:pStyle w:val="4"/>
        <w:ind w:firstLine="560" w:firstLineChars="200"/>
        <w:rPr>
          <w:rFonts w:hint="eastAsia" w:eastAsia="宋体"/>
        </w:rPr>
      </w:pPr>
      <w:r>
        <w:rPr>
          <w:rFonts w:hint="eastAsia" w:eastAsia="宋体"/>
        </w:rPr>
        <w:t>中</w:t>
      </w:r>
      <w:r>
        <w:rPr>
          <w:rFonts w:eastAsia="宋体"/>
        </w:rPr>
        <w:t>国注册房地产估价师</w:t>
      </w:r>
      <w:r>
        <w:rPr>
          <w:rFonts w:hint="eastAsia" w:eastAsia="宋体"/>
        </w:rPr>
        <w:t>(签章)</w:t>
      </w:r>
      <w:r>
        <w:rPr>
          <w:rFonts w:eastAsia="宋体"/>
        </w:rPr>
        <w:t>：</w:t>
      </w:r>
      <w:r>
        <w:rPr>
          <w:rFonts w:hint="eastAsia" w:eastAsia="宋体"/>
        </w:rPr>
        <w:t xml:space="preserve">  李国祥          李志会</w:t>
      </w:r>
    </w:p>
    <w:p>
      <w:pPr>
        <w:pStyle w:val="4"/>
        <w:ind w:firstLine="2917" w:firstLineChars="1042"/>
        <w:rPr>
          <w:rFonts w:hint="eastAsia" w:eastAsia="宋体"/>
        </w:rPr>
      </w:pPr>
      <w:r>
        <w:rPr>
          <w:rFonts w:hint="eastAsia" w:eastAsia="宋体"/>
        </w:rPr>
        <w:t>注册证号： 5120040581     5120130030</w:t>
      </w:r>
    </w:p>
    <w:p>
      <w:pPr>
        <w:pStyle w:val="4"/>
        <w:ind w:firstLine="561"/>
        <w:outlineLvl w:val="1"/>
        <w:rPr>
          <w:rFonts w:eastAsia="黑体"/>
          <w:b/>
          <w:sz w:val="32"/>
        </w:rPr>
      </w:pPr>
      <w:bookmarkStart w:id="77" w:name="_Toc27074"/>
      <w:r>
        <w:rPr>
          <w:rFonts w:eastAsia="黑体"/>
          <w:b/>
          <w:sz w:val="32"/>
        </w:rPr>
        <w:t>十</w:t>
      </w:r>
      <w:r>
        <w:rPr>
          <w:rFonts w:hint="eastAsia" w:eastAsia="黑体"/>
          <w:b/>
          <w:sz w:val="32"/>
        </w:rPr>
        <w:t>二</w:t>
      </w:r>
      <w:r>
        <w:rPr>
          <w:rFonts w:eastAsia="黑体"/>
          <w:b/>
          <w:sz w:val="32"/>
        </w:rPr>
        <w:t>、</w:t>
      </w:r>
      <w:r>
        <w:rPr>
          <w:rFonts w:hint="eastAsia" w:eastAsia="黑体"/>
          <w:b/>
          <w:sz w:val="32"/>
        </w:rPr>
        <w:t>实地查勘期</w:t>
      </w:r>
      <w:bookmarkEnd w:id="77"/>
    </w:p>
    <w:p>
      <w:pPr>
        <w:pStyle w:val="4"/>
        <w:ind w:firstLine="560" w:firstLineChars="200"/>
        <w:rPr>
          <w:rFonts w:hint="eastAsia" w:eastAsia="宋体"/>
        </w:rPr>
      </w:pPr>
      <w:r>
        <w:rPr>
          <w:rFonts w:hint="eastAsia" w:eastAsia="宋体"/>
        </w:rPr>
        <w:t>二零一八年五月十八日</w:t>
      </w:r>
    </w:p>
    <w:p>
      <w:pPr>
        <w:pStyle w:val="4"/>
        <w:ind w:firstLine="561"/>
        <w:outlineLvl w:val="1"/>
        <w:rPr>
          <w:rFonts w:eastAsia="黑体"/>
          <w:b/>
          <w:sz w:val="32"/>
        </w:rPr>
      </w:pPr>
      <w:bookmarkStart w:id="78" w:name="_Toc30046"/>
      <w:r>
        <w:rPr>
          <w:rFonts w:eastAsia="黑体"/>
          <w:b/>
          <w:sz w:val="32"/>
        </w:rPr>
        <w:t>十</w:t>
      </w:r>
      <w:r>
        <w:rPr>
          <w:rFonts w:hint="eastAsia" w:eastAsia="黑体"/>
          <w:b/>
          <w:sz w:val="32"/>
        </w:rPr>
        <w:t>三</w:t>
      </w:r>
      <w:r>
        <w:rPr>
          <w:rFonts w:eastAsia="黑体"/>
          <w:b/>
          <w:sz w:val="32"/>
        </w:rPr>
        <w:t>、估价作业期</w:t>
      </w:r>
      <w:bookmarkEnd w:id="78"/>
    </w:p>
    <w:p>
      <w:pPr>
        <w:pStyle w:val="4"/>
        <w:ind w:firstLine="570"/>
        <w:rPr>
          <w:rFonts w:hint="eastAsia" w:eastAsia="宋体"/>
        </w:rPr>
      </w:pPr>
      <w:r>
        <w:rPr>
          <w:rFonts w:hint="eastAsia" w:eastAsia="宋体"/>
        </w:rPr>
        <w:t>二零一八年五月十八日至五月二十</w:t>
      </w:r>
      <w:r>
        <w:rPr>
          <w:rFonts w:hint="eastAsia" w:eastAsia="宋体"/>
          <w:lang w:eastAsia="zh-CN"/>
        </w:rPr>
        <w:t>八</w:t>
      </w:r>
      <w:r>
        <w:rPr>
          <w:rFonts w:hint="eastAsia" w:eastAsia="宋体"/>
        </w:rPr>
        <w:t>日</w:t>
      </w:r>
    </w:p>
    <w:p>
      <w:pPr>
        <w:pStyle w:val="4"/>
        <w:ind w:firstLine="540" w:firstLineChars="168"/>
        <w:outlineLvl w:val="1"/>
        <w:rPr>
          <w:rFonts w:eastAsia="黑体"/>
          <w:b/>
          <w:sz w:val="32"/>
        </w:rPr>
      </w:pPr>
      <w:bookmarkStart w:id="79" w:name="_Toc30007"/>
      <w:r>
        <w:rPr>
          <w:rFonts w:eastAsia="黑体"/>
          <w:b/>
          <w:sz w:val="32"/>
        </w:rPr>
        <w:t>十</w:t>
      </w:r>
      <w:r>
        <w:rPr>
          <w:rFonts w:hint="eastAsia" w:eastAsia="黑体"/>
          <w:b/>
          <w:sz w:val="32"/>
        </w:rPr>
        <w:t>四</w:t>
      </w:r>
      <w:r>
        <w:rPr>
          <w:rFonts w:eastAsia="黑体"/>
          <w:b/>
          <w:sz w:val="32"/>
        </w:rPr>
        <w:t>、估价报告使用期限</w:t>
      </w:r>
      <w:bookmarkEnd w:id="79"/>
    </w:p>
    <w:p>
      <w:pPr>
        <w:pStyle w:val="4"/>
        <w:ind w:firstLine="570"/>
        <w:rPr>
          <w:rFonts w:eastAsia="宋体"/>
          <w:color w:val="0000FF"/>
        </w:rPr>
      </w:pPr>
      <w:r>
        <w:rPr>
          <w:rFonts w:eastAsia="宋体"/>
        </w:rPr>
        <w:t>本报告自报告出具之日起，有效期</w:t>
      </w:r>
      <w:r>
        <w:rPr>
          <w:rFonts w:hint="eastAsia" w:eastAsia="宋体"/>
        </w:rPr>
        <w:t>壹</w:t>
      </w:r>
      <w:r>
        <w:rPr>
          <w:rFonts w:eastAsia="宋体"/>
        </w:rPr>
        <w:t>年[201</w:t>
      </w:r>
      <w:r>
        <w:rPr>
          <w:rFonts w:hint="eastAsia" w:eastAsia="宋体"/>
        </w:rPr>
        <w:t>8</w:t>
      </w:r>
      <w:r>
        <w:rPr>
          <w:rFonts w:eastAsia="宋体"/>
        </w:rPr>
        <w:t>年</w:t>
      </w:r>
      <w:r>
        <w:rPr>
          <w:rFonts w:hint="eastAsia" w:eastAsia="宋体"/>
        </w:rPr>
        <w:t>5月</w:t>
      </w:r>
      <w:r>
        <w:rPr>
          <w:rFonts w:hint="eastAsia" w:eastAsia="宋体"/>
          <w:lang w:val="en-US" w:eastAsia="zh-CN"/>
        </w:rPr>
        <w:t>28</w:t>
      </w:r>
      <w:r>
        <w:rPr>
          <w:rFonts w:hint="eastAsia" w:eastAsia="宋体"/>
        </w:rPr>
        <w:t>日至2019年5月</w:t>
      </w:r>
      <w:r>
        <w:rPr>
          <w:rFonts w:hint="eastAsia" w:eastAsia="宋体"/>
          <w:lang w:val="en-US" w:eastAsia="zh-CN"/>
        </w:rPr>
        <w:t>27</w:t>
      </w:r>
      <w:r>
        <w:rPr>
          <w:rFonts w:hint="eastAsia" w:eastAsia="宋体"/>
        </w:rPr>
        <w:t>日</w:t>
      </w:r>
      <w:r>
        <w:rPr>
          <w:rFonts w:eastAsia="宋体"/>
        </w:rPr>
        <w:t>]。当房地产市场状况或房地产政策法规发生重大变化和调整时，该有效期应相应调整。</w:t>
      </w:r>
    </w:p>
    <w:p>
      <w:pPr>
        <w:pStyle w:val="11"/>
        <w:tabs>
          <w:tab w:val="left" w:pos="720"/>
        </w:tabs>
        <w:spacing w:line="500" w:lineRule="exact"/>
        <w:ind w:left="0" w:firstLine="630"/>
        <w:outlineLvl w:val="1"/>
        <w:rPr>
          <w:rFonts w:hint="eastAsia" w:eastAsia="黑体"/>
          <w:b/>
          <w:sz w:val="32"/>
        </w:rPr>
      </w:pPr>
      <w:bookmarkStart w:id="80" w:name="_Toc32531"/>
      <w:r>
        <w:rPr>
          <w:rFonts w:eastAsia="黑体"/>
          <w:b/>
          <w:sz w:val="32"/>
        </w:rPr>
        <w:t>十</w:t>
      </w:r>
      <w:r>
        <w:rPr>
          <w:rFonts w:hint="eastAsia" w:eastAsia="黑体"/>
          <w:b/>
          <w:sz w:val="32"/>
        </w:rPr>
        <w:t>五</w:t>
      </w:r>
      <w:r>
        <w:rPr>
          <w:rFonts w:eastAsia="黑体"/>
          <w:b/>
          <w:sz w:val="32"/>
        </w:rPr>
        <w:t>、审 核</w:t>
      </w:r>
      <w:bookmarkEnd w:id="80"/>
      <w:r>
        <w:rPr>
          <w:rFonts w:hint="eastAsia" w:eastAsia="黑体"/>
          <w:b/>
          <w:sz w:val="32"/>
        </w:rPr>
        <w:t xml:space="preserve">       </w:t>
      </w:r>
    </w:p>
    <w:p>
      <w:pPr>
        <w:pStyle w:val="11"/>
        <w:spacing w:line="540" w:lineRule="exact"/>
        <w:ind w:left="199" w:leftChars="95" w:firstLine="1785" w:firstLineChars="494"/>
        <w:outlineLvl w:val="0"/>
        <w:rPr>
          <w:rFonts w:eastAsia="黑体"/>
          <w:b/>
          <w:color w:val="000000"/>
          <w:sz w:val="36"/>
        </w:rPr>
      </w:pPr>
      <w:bookmarkStart w:id="81" w:name="_Toc12537"/>
    </w:p>
    <w:p>
      <w:pPr>
        <w:pStyle w:val="11"/>
        <w:spacing w:line="540" w:lineRule="exact"/>
        <w:ind w:left="199" w:leftChars="95" w:firstLine="1785" w:firstLineChars="494"/>
        <w:outlineLvl w:val="0"/>
        <w:rPr>
          <w:rFonts w:eastAsia="黑体"/>
          <w:b/>
          <w:color w:val="000000"/>
          <w:sz w:val="36"/>
        </w:rPr>
      </w:pPr>
    </w:p>
    <w:p>
      <w:pPr>
        <w:pStyle w:val="11"/>
        <w:spacing w:line="540" w:lineRule="exact"/>
        <w:ind w:left="199" w:leftChars="95" w:firstLine="1785" w:firstLineChars="494"/>
        <w:outlineLvl w:val="0"/>
        <w:rPr>
          <w:rFonts w:eastAsia="黑体"/>
          <w:b/>
          <w:color w:val="000000"/>
          <w:sz w:val="36"/>
        </w:rPr>
      </w:pPr>
    </w:p>
    <w:p>
      <w:pPr>
        <w:pStyle w:val="11"/>
        <w:spacing w:line="540" w:lineRule="exact"/>
        <w:ind w:left="199" w:leftChars="95" w:firstLine="1785" w:firstLineChars="494"/>
        <w:outlineLvl w:val="0"/>
        <w:rPr>
          <w:rFonts w:eastAsia="黑体"/>
          <w:b/>
          <w:color w:val="000000"/>
          <w:sz w:val="36"/>
        </w:rPr>
      </w:pPr>
    </w:p>
    <w:p>
      <w:pPr>
        <w:pStyle w:val="11"/>
        <w:spacing w:line="540" w:lineRule="exact"/>
        <w:ind w:left="199" w:leftChars="95" w:firstLine="1785" w:firstLineChars="494"/>
        <w:outlineLvl w:val="0"/>
        <w:rPr>
          <w:rFonts w:eastAsia="黑体"/>
          <w:b/>
          <w:color w:val="000000"/>
          <w:sz w:val="36"/>
        </w:rPr>
      </w:pPr>
    </w:p>
    <w:p>
      <w:pPr>
        <w:pStyle w:val="11"/>
        <w:spacing w:line="540" w:lineRule="exact"/>
        <w:ind w:left="199" w:leftChars="95" w:firstLine="1785" w:firstLineChars="494"/>
        <w:outlineLvl w:val="0"/>
        <w:rPr>
          <w:rFonts w:eastAsia="黑体"/>
          <w:b/>
          <w:color w:val="000000"/>
          <w:sz w:val="36"/>
        </w:rPr>
      </w:pPr>
    </w:p>
    <w:p>
      <w:pPr>
        <w:pStyle w:val="11"/>
        <w:spacing w:line="540" w:lineRule="exact"/>
        <w:ind w:left="199" w:leftChars="95" w:firstLine="1785" w:firstLineChars="494"/>
        <w:outlineLvl w:val="0"/>
        <w:rPr>
          <w:rFonts w:eastAsia="黑体"/>
          <w:b/>
          <w:color w:val="000000"/>
          <w:sz w:val="36"/>
        </w:rPr>
      </w:pPr>
    </w:p>
    <w:bookmarkEnd w:id="81"/>
    <w:p>
      <w:pPr>
        <w:pStyle w:val="11"/>
        <w:spacing w:line="500" w:lineRule="exact"/>
        <w:ind w:left="397" w:leftChars="189" w:firstLine="1970" w:firstLineChars="545"/>
        <w:outlineLvl w:val="0"/>
        <w:rPr>
          <w:rFonts w:hint="eastAsia" w:eastAsia="黑体"/>
          <w:b/>
          <w:sz w:val="36"/>
        </w:rPr>
      </w:pPr>
      <w:bookmarkStart w:id="82" w:name="_Toc7267"/>
    </w:p>
    <w:p>
      <w:pPr>
        <w:pStyle w:val="11"/>
        <w:spacing w:line="500" w:lineRule="exact"/>
        <w:ind w:left="397" w:leftChars="189" w:firstLine="1970" w:firstLineChars="545"/>
        <w:outlineLvl w:val="0"/>
        <w:rPr>
          <w:rFonts w:eastAsia="黑体"/>
          <w:b/>
          <w:sz w:val="36"/>
        </w:rPr>
      </w:pPr>
      <w:r>
        <w:rPr>
          <w:rFonts w:hint="eastAsia" w:eastAsia="黑体"/>
          <w:b/>
          <w:sz w:val="36"/>
        </w:rPr>
        <w:t>第</w:t>
      </w:r>
      <w:r>
        <w:rPr>
          <w:rFonts w:hint="eastAsia" w:eastAsia="黑体"/>
          <w:b/>
          <w:sz w:val="36"/>
          <w:lang w:eastAsia="zh-CN"/>
        </w:rPr>
        <w:t>五</w:t>
      </w:r>
      <w:r>
        <w:rPr>
          <w:rFonts w:hint="eastAsia" w:eastAsia="黑体"/>
          <w:b/>
          <w:sz w:val="36"/>
        </w:rPr>
        <w:t xml:space="preserve">部分   </w:t>
      </w:r>
      <w:r>
        <w:rPr>
          <w:rFonts w:eastAsia="黑体"/>
          <w:b/>
          <w:sz w:val="36"/>
        </w:rPr>
        <w:t>附  件</w:t>
      </w:r>
      <w:bookmarkEnd w:id="82"/>
    </w:p>
    <w:p>
      <w:pPr>
        <w:pStyle w:val="11"/>
        <w:spacing w:line="500" w:lineRule="exact"/>
        <w:ind w:left="0" w:firstLine="0"/>
        <w:jc w:val="center"/>
        <w:rPr>
          <w:b/>
        </w:rPr>
      </w:pPr>
    </w:p>
    <w:p>
      <w:pPr>
        <w:pStyle w:val="5"/>
        <w:tabs>
          <w:tab w:val="left" w:pos="540"/>
        </w:tabs>
        <w:spacing w:line="500" w:lineRule="exact"/>
        <w:ind w:left="0" w:firstLine="560" w:firstLineChars="200"/>
        <w:rPr>
          <w:rFonts w:hint="eastAsia"/>
          <w:szCs w:val="28"/>
        </w:rPr>
      </w:pPr>
      <w:r>
        <w:t>一、</w:t>
      </w:r>
      <w:r>
        <w:rPr>
          <w:rFonts w:hint="eastAsia"/>
          <w:szCs w:val="28"/>
        </w:rPr>
        <w:t>德阳市罗江区人民法院司法评估委托书。</w:t>
      </w:r>
    </w:p>
    <w:p>
      <w:pPr>
        <w:pStyle w:val="4"/>
        <w:spacing w:line="520" w:lineRule="exact"/>
        <w:ind w:firstLine="1120" w:firstLineChars="400"/>
        <w:rPr>
          <w:rFonts w:hint="eastAsia" w:eastAsia="宋体"/>
          <w:szCs w:val="28"/>
        </w:rPr>
      </w:pPr>
      <w:r>
        <w:rPr>
          <w:rFonts w:hint="eastAsia" w:eastAsia="宋体"/>
          <w:szCs w:val="28"/>
        </w:rPr>
        <w:t>[(2018）罗江法技委字第9号]</w:t>
      </w:r>
    </w:p>
    <w:p>
      <w:pPr>
        <w:pStyle w:val="4"/>
        <w:numPr>
          <w:ilvl w:val="0"/>
          <w:numId w:val="1"/>
        </w:numPr>
        <w:spacing w:line="520" w:lineRule="exact"/>
        <w:ind w:firstLine="536" w:firstLineChars="200"/>
        <w:rPr>
          <w:rFonts w:eastAsia="宋体"/>
          <w:spacing w:val="-6"/>
          <w:szCs w:val="28"/>
        </w:rPr>
      </w:pPr>
      <w:r>
        <w:rPr>
          <w:rFonts w:eastAsia="宋体"/>
          <w:spacing w:val="-6"/>
          <w:szCs w:val="28"/>
        </w:rPr>
        <w:t>估价委托人提供的</w:t>
      </w:r>
      <w:r>
        <w:rPr>
          <w:rFonts w:hint="eastAsia" w:eastAsia="宋体"/>
          <w:spacing w:val="-6"/>
          <w:szCs w:val="28"/>
        </w:rPr>
        <w:t>《房屋所有权证》</w:t>
      </w:r>
      <w:r>
        <w:rPr>
          <w:rFonts w:eastAsia="宋体"/>
          <w:spacing w:val="-6"/>
          <w:szCs w:val="28"/>
        </w:rPr>
        <w:t>（复印件）</w:t>
      </w:r>
    </w:p>
    <w:p>
      <w:pPr>
        <w:pStyle w:val="4"/>
        <w:spacing w:line="520" w:lineRule="exact"/>
        <w:ind w:firstLine="1072" w:firstLineChars="400"/>
        <w:rPr>
          <w:rFonts w:hint="eastAsia" w:eastAsia="宋体"/>
          <w:spacing w:val="-6"/>
          <w:szCs w:val="28"/>
        </w:rPr>
      </w:pPr>
      <w:r>
        <w:rPr>
          <w:rFonts w:hint="eastAsia" w:eastAsia="宋体"/>
          <w:spacing w:val="-6"/>
          <w:szCs w:val="28"/>
        </w:rPr>
        <w:t>[罗江县房权证（县城）字第02291号]</w:t>
      </w:r>
    </w:p>
    <w:p>
      <w:pPr>
        <w:pStyle w:val="4"/>
        <w:numPr>
          <w:ilvl w:val="0"/>
          <w:numId w:val="1"/>
        </w:numPr>
        <w:spacing w:line="520" w:lineRule="exact"/>
        <w:ind w:firstLine="560" w:firstLineChars="200"/>
        <w:rPr>
          <w:rFonts w:eastAsia="宋体"/>
          <w:szCs w:val="28"/>
        </w:rPr>
      </w:pPr>
      <w:r>
        <w:rPr>
          <w:rFonts w:eastAsia="宋体"/>
          <w:szCs w:val="28"/>
        </w:rPr>
        <w:t>估价委托人提供的</w:t>
      </w:r>
      <w:r>
        <w:rPr>
          <w:rFonts w:hint="eastAsia" w:eastAsia="宋体"/>
          <w:szCs w:val="28"/>
        </w:rPr>
        <w:t>《国有土地使用证》</w:t>
      </w:r>
      <w:r>
        <w:rPr>
          <w:rFonts w:eastAsia="宋体"/>
          <w:szCs w:val="28"/>
        </w:rPr>
        <w:t>（复印件）</w:t>
      </w:r>
    </w:p>
    <w:p>
      <w:pPr>
        <w:pStyle w:val="4"/>
        <w:spacing w:line="520" w:lineRule="exact"/>
        <w:ind w:firstLine="1120" w:firstLineChars="400"/>
        <w:rPr>
          <w:rFonts w:hint="eastAsia" w:eastAsia="宋体"/>
          <w:szCs w:val="28"/>
        </w:rPr>
      </w:pPr>
      <w:r>
        <w:rPr>
          <w:rFonts w:hint="eastAsia" w:eastAsia="宋体"/>
          <w:szCs w:val="28"/>
        </w:rPr>
        <w:t>[罗江县国用（2006）第126号]</w:t>
      </w:r>
    </w:p>
    <w:p>
      <w:pPr>
        <w:pStyle w:val="4"/>
        <w:ind w:left="570" w:firstLine="0"/>
        <w:rPr>
          <w:rFonts w:hint="eastAsia" w:eastAsia="宋体"/>
        </w:rPr>
      </w:pPr>
      <w:r>
        <w:rPr>
          <w:rFonts w:hint="eastAsia" w:eastAsia="宋体"/>
        </w:rPr>
        <w:t>四、</w:t>
      </w:r>
      <w:r>
        <w:rPr>
          <w:rFonts w:eastAsia="宋体"/>
        </w:rPr>
        <w:t>评估机构营业执照（复印件）</w:t>
      </w:r>
    </w:p>
    <w:p>
      <w:pPr>
        <w:pStyle w:val="4"/>
        <w:ind w:left="570" w:firstLine="0"/>
        <w:rPr>
          <w:rFonts w:hint="eastAsia" w:eastAsia="宋体"/>
        </w:rPr>
      </w:pPr>
      <w:r>
        <w:rPr>
          <w:rFonts w:hint="eastAsia" w:eastAsia="宋体"/>
        </w:rPr>
        <w:t>五、</w:t>
      </w:r>
      <w:r>
        <w:rPr>
          <w:rFonts w:eastAsia="宋体"/>
        </w:rPr>
        <w:t>房地产价格评估机构资</w:t>
      </w:r>
      <w:r>
        <w:rPr>
          <w:rFonts w:hint="eastAsia" w:eastAsia="宋体"/>
        </w:rPr>
        <w:t>质</w:t>
      </w:r>
      <w:r>
        <w:rPr>
          <w:rFonts w:eastAsia="宋体"/>
        </w:rPr>
        <w:t>证书（复印件）</w:t>
      </w:r>
    </w:p>
    <w:p>
      <w:pPr>
        <w:pStyle w:val="5"/>
        <w:spacing w:line="500" w:lineRule="exact"/>
        <w:ind w:left="570" w:firstLine="0"/>
        <w:rPr>
          <w:rFonts w:hint="eastAsia"/>
        </w:rPr>
      </w:pPr>
      <w:r>
        <w:rPr>
          <w:rFonts w:hint="eastAsia"/>
        </w:rPr>
        <w:t>六、</w:t>
      </w:r>
      <w:r>
        <w:t>房地产估价师资格证书（复印件）</w:t>
      </w:r>
    </w:p>
    <w:p>
      <w:pPr>
        <w:pStyle w:val="11"/>
        <w:spacing w:line="500" w:lineRule="exact"/>
        <w:ind w:left="0" w:firstLine="555"/>
        <w:rPr>
          <w:rFonts w:hint="eastAsia"/>
        </w:rPr>
      </w:pPr>
      <w:r>
        <w:rPr>
          <w:rFonts w:hint="eastAsia"/>
        </w:rPr>
        <w:t>七、估价对象实景拍摄及位置示意图</w:t>
      </w:r>
    </w:p>
    <w:p>
      <w:pPr>
        <w:pStyle w:val="11"/>
        <w:spacing w:line="500" w:lineRule="exact"/>
        <w:ind w:left="0" w:firstLine="555"/>
        <w:rPr>
          <w:rFonts w:hint="eastAsia"/>
        </w:rPr>
      </w:pPr>
    </w:p>
    <w:p>
      <w:pPr>
        <w:pStyle w:val="11"/>
        <w:spacing w:line="500" w:lineRule="exact"/>
        <w:ind w:left="0" w:firstLine="0"/>
        <w:rPr>
          <w:rFonts w:hint="eastAsia"/>
        </w:rPr>
      </w:pPr>
    </w:p>
    <w:p>
      <w:pPr>
        <w:pStyle w:val="11"/>
        <w:spacing w:line="500" w:lineRule="exact"/>
        <w:ind w:left="199" w:leftChars="95" w:firstLine="2249" w:firstLineChars="700"/>
        <w:jc w:val="right"/>
      </w:pPr>
      <w:r>
        <w:rPr>
          <w:rFonts w:hint="eastAsia" w:eastAsia="黑体"/>
          <w:b/>
          <w:sz w:val="32"/>
        </w:rPr>
        <w:t>绵阳市公量房地产评估咨询</w:t>
      </w:r>
      <w:r>
        <w:rPr>
          <w:rFonts w:eastAsia="黑体"/>
          <w:b/>
          <w:sz w:val="32"/>
        </w:rPr>
        <w:t>有限公司</w:t>
      </w:r>
    </w:p>
    <w:p>
      <w:pPr>
        <w:pStyle w:val="5"/>
        <w:spacing w:line="500" w:lineRule="exact"/>
        <w:ind w:left="0" w:right="880" w:firstLine="0"/>
        <w:jc w:val="right"/>
        <w:rPr>
          <w:rFonts w:hint="eastAsia" w:eastAsia="黑体"/>
          <w:b/>
          <w:sz w:val="32"/>
        </w:rPr>
      </w:pPr>
      <w:r>
        <w:rPr>
          <w:rFonts w:hint="eastAsia" w:eastAsia="黑体"/>
          <w:b/>
          <w:sz w:val="32"/>
        </w:rPr>
        <w:t>二零一八年五月二十</w:t>
      </w:r>
      <w:r>
        <w:rPr>
          <w:rFonts w:hint="eastAsia" w:eastAsia="黑体"/>
          <w:b/>
          <w:sz w:val="32"/>
          <w:lang w:eastAsia="zh-CN"/>
        </w:rPr>
        <w:t>八</w:t>
      </w:r>
      <w:r>
        <w:rPr>
          <w:rFonts w:hint="eastAsia" w:eastAsia="黑体"/>
          <w:b/>
          <w:sz w:val="32"/>
        </w:rPr>
        <w:t>日</w:t>
      </w:r>
    </w:p>
    <w:p/>
    <w:sectPr>
      <w:headerReference r:id="rId5" w:type="default"/>
      <w:footerReference r:id="rId6" w:type="default"/>
      <w:pgSz w:w="11907" w:h="16840"/>
      <w:pgMar w:top="1418" w:right="1467" w:bottom="1418" w:left="2160" w:header="1134" w:footer="1134" w:gutter="0"/>
      <w:pgNumType w:fmt="decimalFullWidth" w:start="1"/>
      <w:cols w:space="720" w:num="1"/>
      <w:docGrid w:linePitch="447" w:charSpace="17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exact"/>
      <w:rPr>
        <w:rFonts w:ascii="Times New Roman"/>
        <w:i/>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20" w:lineRule="exact"/>
      <w:ind w:firstLine="105" w:firstLineChars="50"/>
      <w:rPr>
        <w:rFonts w:ascii="黑体" w:eastAsia="黑体"/>
        <w:sz w:val="21"/>
        <w:szCs w:val="21"/>
        <w:u w:val="single"/>
        <w:vertAlign w:val="baseline"/>
      </w:rPr>
    </w:pPr>
    <w:r>
      <w:rPr>
        <w:rFonts w:ascii="黑体" w:eastAsia="黑体"/>
        <w:sz w:val="21"/>
        <w:szCs w:val="21"/>
        <w:u w:val="single"/>
        <w:vertAlign w:val="baseline"/>
      </w:rPr>
      <w:t>_____________________________________________________________________</w:t>
    </w:r>
    <w:r>
      <w:rPr>
        <w:rFonts w:hint="eastAsia" w:ascii="黑体" w:eastAsia="黑体"/>
        <w:sz w:val="21"/>
        <w:szCs w:val="21"/>
        <w:u w:val="single"/>
        <w:vertAlign w:val="baseline"/>
      </w:rPr>
      <w:t xml:space="preserve">＿  ＿＿  </w:t>
    </w:r>
  </w:p>
  <w:p>
    <w:pPr>
      <w:pStyle w:val="8"/>
      <w:spacing w:line="240" w:lineRule="exact"/>
      <w:rPr>
        <w:rFonts w:ascii="Times New Roman"/>
        <w:i/>
        <w:vertAlign w:val="baseline"/>
      </w:rPr>
    </w:pPr>
    <w:r>
      <w:rPr>
        <w:rFonts w:ascii="Times New Roman"/>
        <w:i/>
        <w:vertAlign w:val="baseline"/>
      </w:rPr>
      <w:t>地址: 绵阳</w:t>
    </w:r>
    <w:r>
      <w:rPr>
        <w:rFonts w:hint="eastAsia" w:ascii="Times New Roman"/>
        <w:i/>
        <w:vertAlign w:val="baseline"/>
      </w:rPr>
      <w:t>市临园路东段富临大都会4幢1单元2501号</w:t>
    </w:r>
    <w:r>
      <w:rPr>
        <w:rFonts w:ascii="Times New Roman"/>
        <w:i/>
        <w:vertAlign w:val="baseline"/>
      </w:rPr>
      <w:t xml:space="preserve">     电话：（0816 ）2220681        第</w:t>
    </w:r>
    <w:r>
      <w:rPr>
        <w:i/>
        <w:vertAlign w:val="baseline"/>
      </w:rPr>
      <w:fldChar w:fldCharType="begin"/>
    </w:r>
    <w:r>
      <w:rPr>
        <w:i/>
        <w:vertAlign w:val="baseline"/>
      </w:rPr>
      <w:instrText xml:space="preserve"> PAGE </w:instrText>
    </w:r>
    <w:r>
      <w:rPr>
        <w:i/>
        <w:vertAlign w:val="baseline"/>
      </w:rPr>
      <w:fldChar w:fldCharType="separate"/>
    </w:r>
    <w:r>
      <w:rPr>
        <w:rFonts w:hint="eastAsia"/>
        <w:i/>
        <w:vertAlign w:val="baseline"/>
      </w:rPr>
      <w:t>３５</w:t>
    </w:r>
    <w:r>
      <w:rPr>
        <w:i/>
        <w:vertAlign w:val="baseline"/>
      </w:rPr>
      <w:fldChar w:fldCharType="end"/>
    </w:r>
    <w:r>
      <w:rPr>
        <w:rFonts w:ascii="Times New Roman"/>
        <w:i/>
        <w:vertAlign w:val="baseline"/>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3"/>
      </w:pBdr>
      <w:spacing w:line="400" w:lineRule="exact"/>
      <w:jc w:val="both"/>
      <w:rPr>
        <w:rFonts w:hint="eastAsia" w:ascii="Times New Roman"/>
        <w:i/>
        <w:vertAlign w:val="baseline"/>
      </w:rPr>
    </w:pPr>
    <w:r>
      <w:rPr>
        <w:rFonts w:hint="eastAsia" w:ascii="Times New Roman"/>
        <w:i/>
        <w:vertAlign w:val="baseline"/>
      </w:rPr>
      <w:t>绵阳市公量房地产评估咨询有限公司                                         房地产估价报告</w:t>
    </w:r>
    <w:r>
      <w:rPr>
        <w:rFonts w:ascii="Times New Roman"/>
        <w:i/>
        <w:vertAlign w:val="baseline"/>
      </w:rPr>
      <w:t xml:space="preserve">  </w:t>
    </w:r>
    <w:r>
      <w:rPr>
        <w:rFonts w:hint="eastAsia" w:ascii="Times New Roman"/>
        <w:i/>
        <w:vertAlign w:val="baseline"/>
      </w:rPr>
      <w:t xml:space="preserve">          </w:t>
    </w:r>
    <w:r>
      <w:rPr>
        <w:rFonts w:ascii="Times New Roman"/>
        <w:i/>
        <w:vertAlign w:val="baseline"/>
      </w:rPr>
      <w:t xml:space="preserve"> </w:t>
    </w:r>
    <w:r>
      <w:rPr>
        <w:rFonts w:hint="eastAsia" w:ascii="Times New Roman"/>
        <w:i/>
        <w:vertAlign w:val="baseline"/>
      </w:rPr>
      <w:t xml:space="preserve"> </w:t>
    </w:r>
    <w:r>
      <w:rPr>
        <w:rFonts w:ascii="Times New Roman"/>
        <w:i/>
        <w:vertAlign w:val="baseline"/>
      </w:rPr>
      <w:t xml:space="preserve">      </w:t>
    </w:r>
    <w:r>
      <w:rPr>
        <w:rFonts w:hint="eastAsia" w:ascii="Times New Roman"/>
        <w:i/>
        <w:vertAlign w:val="base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E0D0"/>
    <w:multiLevelType w:val="singleLevel"/>
    <w:tmpl w:val="09CBE0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000AC"/>
    <w:rsid w:val="3C500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rPr>
      <w:sz w:val="28"/>
      <w:szCs w:val="20"/>
    </w:rPr>
  </w:style>
  <w:style w:type="paragraph" w:styleId="4">
    <w:name w:val="Body Text Indent"/>
    <w:basedOn w:val="1"/>
    <w:uiPriority w:val="0"/>
    <w:pPr>
      <w:spacing w:line="500" w:lineRule="exact"/>
      <w:ind w:firstLine="720"/>
    </w:pPr>
    <w:rPr>
      <w:rFonts w:eastAsia="华文楷体"/>
      <w:sz w:val="28"/>
      <w:szCs w:val="20"/>
    </w:rPr>
  </w:style>
  <w:style w:type="paragraph" w:styleId="5">
    <w:name w:val="List 2"/>
    <w:basedOn w:val="1"/>
    <w:uiPriority w:val="0"/>
    <w:pPr>
      <w:ind w:left="100" w:hanging="200"/>
    </w:pPr>
    <w:rPr>
      <w:sz w:val="28"/>
      <w:szCs w:val="20"/>
    </w:rPr>
  </w:style>
  <w:style w:type="paragraph" w:styleId="6">
    <w:name w:val="Date"/>
    <w:basedOn w:val="1"/>
    <w:next w:val="1"/>
    <w:uiPriority w:val="0"/>
    <w:rPr>
      <w:sz w:val="28"/>
      <w:szCs w:val="20"/>
    </w:rPr>
  </w:style>
  <w:style w:type="paragraph" w:styleId="7">
    <w:name w:val="Body Text Indent 2"/>
    <w:basedOn w:val="1"/>
    <w:uiPriority w:val="0"/>
    <w:pPr>
      <w:ind w:left="845"/>
      <w:jc w:val="left"/>
    </w:pPr>
    <w:rPr>
      <w:sz w:val="28"/>
      <w:szCs w:val="20"/>
    </w:rPr>
  </w:style>
  <w:style w:type="paragraph" w:styleId="8">
    <w:name w:val="footer"/>
    <w:basedOn w:val="1"/>
    <w:uiPriority w:val="0"/>
    <w:pPr>
      <w:tabs>
        <w:tab w:val="center" w:pos="4153"/>
        <w:tab w:val="right" w:pos="8306"/>
      </w:tabs>
      <w:snapToGrid w:val="0"/>
      <w:jc w:val="left"/>
    </w:pPr>
    <w:rPr>
      <w:rFonts w:ascii="仿宋_GB2312"/>
      <w:sz w:val="18"/>
      <w:szCs w:val="20"/>
      <w:vertAlign w:val="subscript"/>
    </w:rPr>
  </w:style>
  <w:style w:type="paragraph" w:styleId="9">
    <w:name w:val="header"/>
    <w:basedOn w:val="1"/>
    <w:uiPriority w:val="0"/>
    <w:pPr>
      <w:pBdr>
        <w:bottom w:val="single" w:color="auto" w:sz="6" w:space="1"/>
      </w:pBdr>
      <w:tabs>
        <w:tab w:val="center" w:pos="4153"/>
        <w:tab w:val="right" w:pos="8306"/>
      </w:tabs>
      <w:snapToGrid w:val="0"/>
      <w:jc w:val="center"/>
    </w:pPr>
    <w:rPr>
      <w:rFonts w:ascii="仿宋_GB2312"/>
      <w:sz w:val="18"/>
      <w:szCs w:val="20"/>
      <w:vertAlign w:val="subscript"/>
    </w:rPr>
  </w:style>
  <w:style w:type="paragraph" w:styleId="10">
    <w:name w:val="toc 1"/>
    <w:basedOn w:val="1"/>
    <w:next w:val="1"/>
    <w:uiPriority w:val="0"/>
  </w:style>
  <w:style w:type="paragraph" w:styleId="11">
    <w:name w:val="List"/>
    <w:basedOn w:val="1"/>
    <w:uiPriority w:val="0"/>
    <w:pPr>
      <w:ind w:left="200" w:hanging="200"/>
    </w:pPr>
    <w:rPr>
      <w:sz w:val="28"/>
      <w:szCs w:val="20"/>
    </w:rPr>
  </w:style>
  <w:style w:type="paragraph" w:styleId="12">
    <w:name w:val="toc 2"/>
    <w:basedOn w:val="1"/>
    <w:next w:val="1"/>
    <w:uiPriority w:val="0"/>
    <w:pPr>
      <w:ind w:left="420" w:leftChars="200"/>
    </w:pPr>
  </w:style>
  <w:style w:type="paragraph" w:styleId="13">
    <w:name w:val="List Continue 2"/>
    <w:basedOn w:val="1"/>
    <w:uiPriority w:val="0"/>
    <w:pPr>
      <w:spacing w:after="120"/>
      <w:ind w:left="840"/>
    </w:pPr>
    <w:rPr>
      <w:sz w:val="28"/>
      <w:szCs w:val="20"/>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_Style 4"/>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8">
    <w:name w:val="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2018-05-29T06:23:00Z</dcterms:created>
  <dc:creator>admin</dc:creator>
  <cp:lastModifiedBy>admin</cp:lastModifiedBy>
  <cp:lastPrinted>2018-05-29T06:24:49Z</cp:lastPrinted>
  <dcterms:modified xsi:type="dcterms:W3CDTF">2018-05-29T06:45:06Z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