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eastAsia="仿宋_GB2312"/>
          <w:b/>
          <w:color w:val="00B050"/>
          <w:sz w:val="28"/>
          <w:szCs w:val="28"/>
        </w:rPr>
      </w:pPr>
      <w:r>
        <w:rPr>
          <w:rFonts w:hint="eastAsia" w:eastAsia="仿宋_GB2312"/>
          <w:b/>
          <w:color w:val="00B050"/>
          <w:sz w:val="28"/>
          <w:szCs w:val="28"/>
        </w:rPr>
        <w:t xml:space="preserve">  </w:t>
      </w:r>
    </w:p>
    <w:p>
      <w:pPr>
        <w:jc w:val="center"/>
        <w:rPr>
          <w:rFonts w:eastAsia="楷体_GB2312"/>
          <w:b/>
          <w:sz w:val="44"/>
          <w:szCs w:val="44"/>
        </w:rPr>
      </w:pPr>
    </w:p>
    <w:p>
      <w:pPr>
        <w:jc w:val="center"/>
        <w:rPr>
          <w:rFonts w:eastAsia="楷体_GB2312"/>
          <w:b/>
          <w:sz w:val="44"/>
          <w:szCs w:val="44"/>
        </w:rPr>
      </w:pPr>
    </w:p>
    <w:p>
      <w:pPr>
        <w:jc w:val="center"/>
        <w:rPr>
          <w:rFonts w:eastAsia="楷体_GB2312"/>
          <w:b/>
          <w:sz w:val="44"/>
          <w:szCs w:val="44"/>
        </w:rPr>
      </w:pPr>
    </w:p>
    <w:p>
      <w:pPr>
        <w:jc w:val="center"/>
        <w:rPr>
          <w:rFonts w:eastAsia="楷体_GB2312"/>
          <w:b/>
          <w:sz w:val="44"/>
          <w:szCs w:val="44"/>
        </w:rPr>
      </w:pPr>
      <w:r>
        <w:rPr>
          <w:rFonts w:eastAsia="楷体_GB2312"/>
          <w:b/>
          <w:sz w:val="44"/>
          <w:szCs w:val="44"/>
        </w:rPr>
        <w:t>房地产司法鉴定估价报告</w:t>
      </w:r>
    </w:p>
    <w:p>
      <w:pPr>
        <w:tabs>
          <w:tab w:val="left" w:pos="709"/>
        </w:tabs>
        <w:adjustRightInd w:val="0"/>
        <w:snapToGrid w:val="0"/>
        <w:spacing w:line="432" w:lineRule="auto"/>
        <w:rPr>
          <w:rFonts w:eastAsia="楷体_GB2312"/>
          <w:b/>
          <w:sz w:val="32"/>
          <w:szCs w:val="32"/>
        </w:rPr>
      </w:pPr>
    </w:p>
    <w:p>
      <w:pPr>
        <w:tabs>
          <w:tab w:val="left" w:pos="709"/>
        </w:tabs>
        <w:adjustRightInd w:val="0"/>
        <w:snapToGrid w:val="0"/>
        <w:spacing w:line="432" w:lineRule="auto"/>
        <w:rPr>
          <w:rFonts w:eastAsia="楷体_GB2312"/>
          <w:sz w:val="32"/>
          <w:szCs w:val="32"/>
        </w:rPr>
      </w:pPr>
      <w:r>
        <w:rPr>
          <w:rFonts w:eastAsia="楷体_GB2312"/>
          <w:b/>
          <w:sz w:val="32"/>
          <w:szCs w:val="32"/>
        </w:rPr>
        <w:t>估价项目名称</w:t>
      </w:r>
      <w:r>
        <w:rPr>
          <w:rFonts w:eastAsia="楷体_GB2312"/>
          <w:sz w:val="32"/>
          <w:szCs w:val="32"/>
        </w:rPr>
        <w:t>：</w:t>
      </w:r>
    </w:p>
    <w:p>
      <w:pPr>
        <w:tabs>
          <w:tab w:val="left" w:pos="709"/>
        </w:tabs>
        <w:adjustRightInd w:val="0"/>
        <w:snapToGrid w:val="0"/>
        <w:spacing w:line="432" w:lineRule="auto"/>
        <w:ind w:firstLine="643" w:firstLineChars="200"/>
        <w:rPr>
          <w:rFonts w:eastAsia="楷体_GB2312"/>
          <w:b/>
          <w:sz w:val="32"/>
          <w:szCs w:val="32"/>
        </w:rPr>
      </w:pPr>
      <w:bookmarkStart w:id="0" w:name="OLE_LINK3"/>
      <w:bookmarkStart w:id="1" w:name="OLE_LINK4"/>
      <w:r>
        <w:rPr>
          <w:rFonts w:hint="eastAsia" w:eastAsia="楷体_GB2312"/>
          <w:b/>
          <w:sz w:val="32"/>
          <w:szCs w:val="32"/>
        </w:rPr>
        <w:t>顾来胜位于内蒙古自治区</w:t>
      </w:r>
      <w:r>
        <w:rPr>
          <w:rFonts w:hint="eastAsia" w:eastAsia="楷体_GB2312"/>
          <w:b/>
          <w:sz w:val="32"/>
          <w:szCs w:val="32"/>
          <w:lang w:eastAsia="zh-CN"/>
        </w:rPr>
        <w:t>乌拉特后旗巴音镇九居委五小区百亿佳苑4#-4-201</w:t>
      </w:r>
      <w:r>
        <w:rPr>
          <w:rFonts w:eastAsia="楷体_GB2312"/>
          <w:b/>
          <w:sz w:val="32"/>
          <w:szCs w:val="32"/>
        </w:rPr>
        <w:t>住宅房地产司法鉴定价值评估（</w:t>
      </w:r>
      <w:r>
        <w:rPr>
          <w:rFonts w:hint="eastAsia" w:eastAsia="楷体_GB2312"/>
          <w:b/>
          <w:sz w:val="32"/>
          <w:szCs w:val="32"/>
          <w:lang w:eastAsia="zh-CN"/>
        </w:rPr>
        <w:t>乌拉特后旗巴音宝力格镇</w:t>
      </w:r>
      <w:r>
        <w:rPr>
          <w:rFonts w:eastAsia="楷体_GB2312"/>
          <w:b/>
          <w:sz w:val="32"/>
          <w:szCs w:val="32"/>
        </w:rPr>
        <w:t>）</w:t>
      </w:r>
    </w:p>
    <w:bookmarkEnd w:id="0"/>
    <w:bookmarkEnd w:id="1"/>
    <w:p>
      <w:pPr>
        <w:tabs>
          <w:tab w:val="left" w:pos="709"/>
          <w:tab w:val="left" w:pos="851"/>
          <w:tab w:val="left" w:pos="993"/>
          <w:tab w:val="left" w:pos="1560"/>
        </w:tabs>
        <w:adjustRightInd w:val="0"/>
        <w:snapToGrid w:val="0"/>
        <w:spacing w:line="432" w:lineRule="auto"/>
        <w:rPr>
          <w:rFonts w:eastAsia="楷体_GB2312"/>
          <w:b/>
          <w:sz w:val="32"/>
          <w:szCs w:val="32"/>
        </w:rPr>
      </w:pPr>
      <w:r>
        <w:rPr>
          <w:rFonts w:eastAsia="楷体_GB2312"/>
          <w:b/>
          <w:sz w:val="32"/>
          <w:szCs w:val="32"/>
        </w:rPr>
        <w:t>估价委托方</w:t>
      </w:r>
      <w:r>
        <w:rPr>
          <w:rFonts w:eastAsia="楷体_GB2312"/>
          <w:sz w:val="32"/>
          <w:szCs w:val="32"/>
        </w:rPr>
        <w:t>：</w:t>
      </w:r>
      <w:r>
        <w:rPr>
          <w:rFonts w:eastAsia="楷体_GB2312"/>
          <w:b/>
          <w:sz w:val="32"/>
          <w:szCs w:val="32"/>
        </w:rPr>
        <w:t>内蒙古自治区乌拉特后旗人民法院</w:t>
      </w:r>
    </w:p>
    <w:p>
      <w:pPr>
        <w:tabs>
          <w:tab w:val="left" w:pos="709"/>
        </w:tabs>
        <w:adjustRightInd w:val="0"/>
        <w:snapToGrid w:val="0"/>
        <w:spacing w:line="432" w:lineRule="auto"/>
        <w:rPr>
          <w:rFonts w:eastAsia="楷体_GB2312"/>
          <w:b/>
          <w:sz w:val="32"/>
          <w:szCs w:val="32"/>
        </w:rPr>
      </w:pPr>
      <w:r>
        <w:rPr>
          <w:rFonts w:eastAsia="楷体_GB2312"/>
          <w:b/>
          <w:sz w:val="32"/>
          <w:szCs w:val="32"/>
        </w:rPr>
        <w:t>房地产估价机构</w:t>
      </w:r>
      <w:r>
        <w:rPr>
          <w:rFonts w:eastAsia="楷体_GB2312"/>
          <w:sz w:val="32"/>
          <w:szCs w:val="32"/>
        </w:rPr>
        <w:t>：</w:t>
      </w:r>
      <w:r>
        <w:rPr>
          <w:rFonts w:eastAsia="楷体_GB2312"/>
          <w:b/>
          <w:sz w:val="32"/>
          <w:szCs w:val="32"/>
        </w:rPr>
        <w:t>内蒙古科瑞房地产土地资产评估有限公司</w:t>
      </w:r>
    </w:p>
    <w:p>
      <w:pPr>
        <w:tabs>
          <w:tab w:val="left" w:pos="2520"/>
        </w:tabs>
        <w:adjustRightInd w:val="0"/>
        <w:snapToGrid w:val="0"/>
        <w:spacing w:line="432" w:lineRule="auto"/>
        <w:rPr>
          <w:rFonts w:eastAsia="楷体_GB2312"/>
          <w:b/>
          <w:sz w:val="32"/>
          <w:szCs w:val="32"/>
        </w:rPr>
      </w:pPr>
      <w:r>
        <w:rPr>
          <w:rFonts w:eastAsia="楷体_GB2312"/>
          <w:b/>
          <w:sz w:val="32"/>
          <w:szCs w:val="32"/>
        </w:rPr>
        <w:t>注册房地产估价师</w:t>
      </w:r>
      <w:r>
        <w:rPr>
          <w:rFonts w:eastAsia="楷体_GB2312"/>
          <w:sz w:val="32"/>
          <w:szCs w:val="32"/>
        </w:rPr>
        <w:t>：</w:t>
      </w:r>
      <w:r>
        <w:rPr>
          <w:rFonts w:eastAsia="楷体_GB2312"/>
          <w:b/>
          <w:sz w:val="32"/>
          <w:szCs w:val="32"/>
        </w:rPr>
        <w:t xml:space="preserve">历福友   </w:t>
      </w:r>
      <w:r>
        <w:rPr>
          <w:rFonts w:hint="eastAsia" w:eastAsia="楷体_GB2312"/>
          <w:b/>
          <w:sz w:val="32"/>
          <w:szCs w:val="32"/>
        </w:rPr>
        <w:t xml:space="preserve"> </w:t>
      </w:r>
      <w:r>
        <w:rPr>
          <w:rFonts w:eastAsia="楷体_GB2312"/>
          <w:b/>
          <w:sz w:val="32"/>
          <w:szCs w:val="32"/>
        </w:rPr>
        <w:t>1520050003</w:t>
      </w:r>
    </w:p>
    <w:p>
      <w:pPr>
        <w:tabs>
          <w:tab w:val="left" w:pos="2520"/>
        </w:tabs>
        <w:adjustRightInd w:val="0"/>
        <w:snapToGrid w:val="0"/>
        <w:spacing w:line="432" w:lineRule="auto"/>
        <w:ind w:firstLine="2875" w:firstLineChars="895"/>
        <w:rPr>
          <w:rFonts w:hint="eastAsia" w:eastAsia="楷体_GB2312"/>
          <w:sz w:val="32"/>
          <w:szCs w:val="32"/>
          <w:lang w:eastAsia="zh-CN"/>
        </w:rPr>
      </w:pPr>
      <w:r>
        <w:rPr>
          <w:rFonts w:hint="eastAsia" w:eastAsia="楷体_GB2312"/>
          <w:b/>
          <w:sz w:val="32"/>
          <w:szCs w:val="32"/>
          <w:lang w:eastAsia="zh-CN"/>
        </w:rPr>
        <w:t>崔雪梅</w:t>
      </w:r>
      <w:r>
        <w:rPr>
          <w:rFonts w:eastAsia="楷体_GB2312"/>
          <w:b/>
          <w:sz w:val="32"/>
          <w:szCs w:val="32"/>
        </w:rPr>
        <w:t xml:space="preserve">    </w:t>
      </w:r>
      <w:r>
        <w:rPr>
          <w:rFonts w:hint="eastAsia" w:eastAsia="楷体_GB2312"/>
          <w:b/>
          <w:sz w:val="32"/>
          <w:szCs w:val="32"/>
          <w:lang w:eastAsia="zh-CN"/>
        </w:rPr>
        <w:t>1520160011</w:t>
      </w:r>
    </w:p>
    <w:p>
      <w:pPr>
        <w:tabs>
          <w:tab w:val="left" w:pos="540"/>
        </w:tabs>
        <w:snapToGrid w:val="0"/>
        <w:spacing w:line="432" w:lineRule="auto"/>
        <w:rPr>
          <w:rFonts w:hint="eastAsia" w:eastAsia="楷体_GB2312"/>
          <w:b/>
          <w:sz w:val="32"/>
          <w:szCs w:val="32"/>
          <w:highlight w:val="none"/>
          <w:lang w:eastAsia="zh-CN"/>
        </w:rPr>
      </w:pPr>
      <w:r>
        <w:rPr>
          <w:rFonts w:hint="eastAsia" w:eastAsia="楷体_GB2312"/>
          <w:b/>
          <w:sz w:val="32"/>
          <w:szCs w:val="32"/>
          <w:highlight w:val="none"/>
          <w:lang w:eastAsia="zh-CN"/>
        </w:rPr>
        <w:t>估价报告出具日期：二〇一八年十一月二十六日</w:t>
      </w:r>
    </w:p>
    <w:p>
      <w:pPr>
        <w:rPr>
          <w:rFonts w:eastAsia="楷体_GB2312"/>
          <w:b/>
          <w:sz w:val="32"/>
          <w:szCs w:val="32"/>
        </w:rPr>
      </w:pPr>
      <w:r>
        <w:rPr>
          <w:rFonts w:eastAsia="楷体_GB2312"/>
          <w:b/>
          <w:sz w:val="32"/>
          <w:szCs w:val="32"/>
          <w:highlight w:val="none"/>
        </w:rPr>
        <w:t>估价报告编号：</w:t>
      </w:r>
      <w:r>
        <w:rPr>
          <w:rFonts w:hint="eastAsia" w:eastAsia="楷体_GB2312"/>
          <w:b/>
          <w:sz w:val="32"/>
          <w:szCs w:val="32"/>
          <w:highlight w:val="none"/>
        </w:rPr>
        <w:t>（</w:t>
      </w:r>
      <w:r>
        <w:rPr>
          <w:rFonts w:hint="eastAsia" w:eastAsia="楷体_GB2312"/>
          <w:b/>
          <w:sz w:val="32"/>
          <w:szCs w:val="32"/>
          <w:highlight w:val="none"/>
          <w:lang w:eastAsia="zh-CN"/>
        </w:rPr>
        <w:t>巴彦淖尔市</w:t>
      </w:r>
      <w:r>
        <w:rPr>
          <w:rFonts w:hint="eastAsia" w:eastAsia="楷体_GB2312"/>
          <w:b/>
          <w:sz w:val="32"/>
          <w:szCs w:val="32"/>
          <w:highlight w:val="none"/>
        </w:rPr>
        <w:t>）内科瑞估字[2018]第</w:t>
      </w:r>
      <w:r>
        <w:rPr>
          <w:rFonts w:hint="eastAsia" w:eastAsia="楷体_GB2312"/>
          <w:b/>
          <w:sz w:val="32"/>
          <w:szCs w:val="32"/>
          <w:highlight w:val="none"/>
          <w:lang w:eastAsia="zh-CN"/>
        </w:rPr>
        <w:t>0029</w:t>
      </w:r>
      <w:r>
        <w:rPr>
          <w:rFonts w:hint="eastAsia" w:eastAsia="楷体_GB2312"/>
          <w:b/>
          <w:sz w:val="32"/>
          <w:szCs w:val="32"/>
          <w:highlight w:val="none"/>
        </w:rPr>
        <w:t>号</w:t>
      </w:r>
    </w:p>
    <w:p>
      <w:pPr>
        <w:tabs>
          <w:tab w:val="left" w:pos="540"/>
        </w:tabs>
        <w:snapToGrid w:val="0"/>
        <w:spacing w:line="432" w:lineRule="auto"/>
        <w:rPr>
          <w:rFonts w:eastAsia="楷体_GB2312"/>
          <w:b/>
          <w:sz w:val="32"/>
          <w:szCs w:val="32"/>
        </w:rPr>
      </w:pPr>
    </w:p>
    <w:p>
      <w:pPr>
        <w:tabs>
          <w:tab w:val="left" w:pos="540"/>
        </w:tabs>
        <w:snapToGrid w:val="0"/>
        <w:spacing w:line="432" w:lineRule="auto"/>
        <w:rPr>
          <w:rFonts w:eastAsia="楷体_GB2312"/>
          <w:b/>
          <w:sz w:val="32"/>
          <w:szCs w:val="32"/>
        </w:rPr>
        <w:sectPr>
          <w:headerReference r:id="rId3" w:type="default"/>
          <w:footerReference r:id="rId5" w:type="default"/>
          <w:headerReference r:id="rId4" w:type="even"/>
          <w:footerReference r:id="rId6" w:type="even"/>
          <w:pgSz w:w="11906" w:h="16838"/>
          <w:pgMar w:top="1814" w:right="1133" w:bottom="1418" w:left="1701" w:header="1417" w:footer="737" w:gutter="0"/>
          <w:pgNumType w:start="1"/>
          <w:cols w:space="720" w:num="1"/>
          <w:titlePg/>
          <w:docGrid w:linePitch="286" w:charSpace="0"/>
        </w:sectPr>
      </w:pPr>
    </w:p>
    <w:p>
      <w:pPr>
        <w:pStyle w:val="2"/>
        <w:spacing w:line="600" w:lineRule="exact"/>
        <w:rPr>
          <w:szCs w:val="28"/>
        </w:rPr>
      </w:pPr>
      <w:bookmarkStart w:id="2" w:name="_Toc521268497"/>
      <w:r>
        <w:rPr>
          <w:szCs w:val="28"/>
        </w:rPr>
        <w:t>致估价委托方函</w:t>
      </w:r>
      <w:bookmarkEnd w:id="2"/>
    </w:p>
    <w:p>
      <w:pPr>
        <w:adjustRightInd w:val="0"/>
        <w:snapToGrid w:val="0"/>
        <w:spacing w:line="600" w:lineRule="exact"/>
        <w:jc w:val="left"/>
        <w:rPr>
          <w:rFonts w:eastAsia="仿宋_GB2312"/>
          <w:sz w:val="28"/>
          <w:szCs w:val="28"/>
        </w:rPr>
      </w:pPr>
      <w:r>
        <w:rPr>
          <w:rFonts w:eastAsia="仿宋_GB2312"/>
          <w:sz w:val="28"/>
          <w:szCs w:val="28"/>
        </w:rPr>
        <w:t>内蒙古自治区乌拉特后旗人民法院：</w:t>
      </w:r>
    </w:p>
    <w:p>
      <w:pPr>
        <w:adjustRightInd w:val="0"/>
        <w:snapToGrid w:val="0"/>
        <w:spacing w:beforeLines="50" w:line="600" w:lineRule="exact"/>
        <w:ind w:firstLine="560" w:firstLineChars="200"/>
        <w:rPr>
          <w:rFonts w:eastAsia="仿宋_GB2312"/>
          <w:sz w:val="28"/>
          <w:szCs w:val="28"/>
        </w:rPr>
      </w:pPr>
      <w:r>
        <w:rPr>
          <w:rFonts w:eastAsia="仿宋_GB2312"/>
          <w:sz w:val="28"/>
          <w:szCs w:val="28"/>
        </w:rPr>
        <w:t>承蒙委托，我公司对</w:t>
      </w:r>
      <w:r>
        <w:rPr>
          <w:rFonts w:hint="eastAsia" w:eastAsia="仿宋_GB2312"/>
          <w:sz w:val="28"/>
          <w:szCs w:val="28"/>
        </w:rPr>
        <w:t>顾来胜位于内蒙古自治区</w:t>
      </w:r>
      <w:r>
        <w:rPr>
          <w:rFonts w:hint="eastAsia" w:eastAsia="仿宋_GB2312"/>
          <w:sz w:val="28"/>
          <w:szCs w:val="28"/>
          <w:lang w:eastAsia="zh-CN"/>
        </w:rPr>
        <w:t>乌拉特后旗巴音镇九居委五小区百亿佳苑4#-4-201</w:t>
      </w:r>
      <w:r>
        <w:rPr>
          <w:rFonts w:eastAsia="仿宋_GB2312"/>
          <w:sz w:val="28"/>
          <w:szCs w:val="28"/>
        </w:rPr>
        <w:t>住宅房地产（</w:t>
      </w:r>
      <w:r>
        <w:rPr>
          <w:rFonts w:hint="eastAsia" w:eastAsia="仿宋_GB2312"/>
          <w:sz w:val="28"/>
          <w:szCs w:val="28"/>
        </w:rPr>
        <w:t>房屋所有权人</w:t>
      </w:r>
      <w:r>
        <w:rPr>
          <w:rFonts w:eastAsia="仿宋_GB2312"/>
          <w:sz w:val="28"/>
          <w:szCs w:val="28"/>
        </w:rPr>
        <w:t>为</w:t>
      </w:r>
      <w:r>
        <w:rPr>
          <w:rFonts w:hint="eastAsia" w:eastAsia="仿宋_GB2312"/>
          <w:sz w:val="28"/>
          <w:szCs w:val="28"/>
        </w:rPr>
        <w:t>顾来胜</w:t>
      </w:r>
      <w:r>
        <w:rPr>
          <w:rFonts w:eastAsia="仿宋_GB2312"/>
          <w:sz w:val="28"/>
          <w:szCs w:val="28"/>
        </w:rPr>
        <w:t>，</w:t>
      </w:r>
      <w:r>
        <w:rPr>
          <w:rFonts w:hint="eastAsia" w:eastAsia="仿宋_GB2312"/>
          <w:sz w:val="28"/>
          <w:szCs w:val="28"/>
        </w:rPr>
        <w:t>规划用途为住宅，</w:t>
      </w:r>
      <w:r>
        <w:rPr>
          <w:rFonts w:eastAsia="仿宋_GB2312"/>
          <w:sz w:val="28"/>
          <w:szCs w:val="28"/>
        </w:rPr>
        <w:t>建筑面积为</w:t>
      </w:r>
      <w:r>
        <w:rPr>
          <w:rFonts w:hint="eastAsia" w:eastAsia="仿宋_GB2312"/>
          <w:sz w:val="28"/>
          <w:szCs w:val="28"/>
        </w:rPr>
        <w:t>119.34</w:t>
      </w:r>
      <w:r>
        <w:rPr>
          <w:rFonts w:eastAsia="仿宋_GB2312"/>
          <w:sz w:val="28"/>
          <w:szCs w:val="28"/>
        </w:rPr>
        <w:t>平方米）的市场价值进行了评估。估价对象状况见下表：</w:t>
      </w:r>
    </w:p>
    <w:p>
      <w:pPr>
        <w:adjustRightInd w:val="0"/>
        <w:snapToGrid w:val="0"/>
        <w:spacing w:beforeLines="50" w:line="360" w:lineRule="auto"/>
        <w:ind w:firstLine="562" w:firstLineChars="200"/>
        <w:jc w:val="center"/>
        <w:rPr>
          <w:rFonts w:eastAsia="仿宋_GB2312"/>
          <w:b/>
          <w:sz w:val="28"/>
          <w:szCs w:val="28"/>
        </w:rPr>
      </w:pPr>
      <w:r>
        <w:rPr>
          <w:rFonts w:eastAsia="仿宋_GB2312"/>
          <w:b/>
          <w:sz w:val="28"/>
          <w:szCs w:val="28"/>
        </w:rPr>
        <w:t>估价对象状况表</w:t>
      </w:r>
    </w:p>
    <w:tbl>
      <w:tblPr>
        <w:tblStyle w:val="47"/>
        <w:tblW w:w="9180" w:type="dxa"/>
        <w:jc w:val="center"/>
        <w:tblInd w:w="0" w:type="dxa"/>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51"/>
        <w:gridCol w:w="1501"/>
        <w:gridCol w:w="1515"/>
        <w:gridCol w:w="1825"/>
        <w:gridCol w:w="2388"/>
      </w:tblGrid>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spacing w:beforeLines="50"/>
              <w:jc w:val="center"/>
              <w:rPr>
                <w:rFonts w:ascii="仿宋" w:hAnsi="仿宋" w:eastAsia="仿宋"/>
                <w:b/>
                <w:szCs w:val="21"/>
              </w:rPr>
            </w:pPr>
            <w:r>
              <w:rPr>
                <w:rFonts w:hint="eastAsia" w:ascii="仿宋" w:hAnsi="仿宋" w:eastAsia="仿宋"/>
                <w:b/>
                <w:szCs w:val="21"/>
              </w:rPr>
              <w:t>房屋所有权人</w:t>
            </w:r>
          </w:p>
        </w:tc>
        <w:tc>
          <w:tcPr>
            <w:tcW w:w="7229" w:type="dxa"/>
            <w:gridSpan w:val="4"/>
            <w:vAlign w:val="center"/>
          </w:tcPr>
          <w:p>
            <w:pPr>
              <w:spacing w:beforeLines="50"/>
              <w:ind w:firstLine="2940" w:firstLineChars="1400"/>
              <w:rPr>
                <w:rFonts w:ascii="仿宋" w:hAnsi="仿宋" w:eastAsia="仿宋"/>
                <w:szCs w:val="21"/>
              </w:rPr>
            </w:pPr>
            <w:r>
              <w:rPr>
                <w:rFonts w:hint="eastAsia" w:ascii="仿宋" w:hAnsi="仿宋" w:eastAsia="仿宋"/>
                <w:szCs w:val="21"/>
              </w:rPr>
              <w:t>顾来胜</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spacing w:before="50"/>
              <w:jc w:val="center"/>
              <w:rPr>
                <w:rFonts w:ascii="仿宋" w:hAnsi="仿宋" w:eastAsia="仿宋"/>
                <w:b/>
                <w:szCs w:val="21"/>
              </w:rPr>
            </w:pPr>
            <w:r>
              <w:rPr>
                <w:rFonts w:hint="eastAsia" w:ascii="仿宋" w:hAnsi="仿宋" w:eastAsia="仿宋"/>
                <w:b/>
                <w:szCs w:val="21"/>
              </w:rPr>
              <w:t>产权证号</w:t>
            </w:r>
          </w:p>
        </w:tc>
        <w:tc>
          <w:tcPr>
            <w:tcW w:w="7229" w:type="dxa"/>
            <w:gridSpan w:val="4"/>
            <w:vAlign w:val="center"/>
          </w:tcPr>
          <w:p>
            <w:pPr>
              <w:spacing w:before="50"/>
              <w:jc w:val="center"/>
              <w:rPr>
                <w:rFonts w:hint="eastAsia" w:ascii="仿宋" w:hAnsi="仿宋" w:eastAsia="仿宋"/>
                <w:szCs w:val="21"/>
                <w:lang w:eastAsia="zh-CN"/>
              </w:rPr>
            </w:pPr>
            <w:r>
              <w:rPr>
                <w:rFonts w:hint="eastAsia" w:ascii="仿宋" w:hAnsi="仿宋" w:eastAsia="仿宋"/>
                <w:szCs w:val="21"/>
                <w:lang w:eastAsia="zh-CN"/>
              </w:rPr>
              <w:t>107021300616</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spacing w:before="50"/>
              <w:jc w:val="center"/>
              <w:rPr>
                <w:rFonts w:ascii="仿宋" w:hAnsi="仿宋" w:eastAsia="仿宋"/>
                <w:b/>
                <w:szCs w:val="21"/>
              </w:rPr>
            </w:pPr>
            <w:r>
              <w:rPr>
                <w:rFonts w:hint="eastAsia" w:ascii="仿宋" w:hAnsi="仿宋" w:eastAsia="仿宋"/>
                <w:b/>
                <w:szCs w:val="21"/>
              </w:rPr>
              <w:t>房屋坐落</w:t>
            </w:r>
          </w:p>
        </w:tc>
        <w:tc>
          <w:tcPr>
            <w:tcW w:w="7229" w:type="dxa"/>
            <w:gridSpan w:val="4"/>
            <w:vAlign w:val="center"/>
          </w:tcPr>
          <w:p>
            <w:pPr>
              <w:spacing w:before="50"/>
              <w:jc w:val="center"/>
              <w:rPr>
                <w:rFonts w:hint="eastAsia" w:ascii="仿宋" w:hAnsi="仿宋" w:eastAsia="仿宋"/>
                <w:szCs w:val="21"/>
                <w:lang w:eastAsia="zh-CN"/>
              </w:rPr>
            </w:pPr>
            <w:r>
              <w:rPr>
                <w:rFonts w:hint="eastAsia" w:ascii="仿宋" w:hAnsi="仿宋" w:eastAsia="仿宋"/>
                <w:szCs w:val="21"/>
              </w:rPr>
              <w:t>内蒙古自治区</w:t>
            </w:r>
            <w:r>
              <w:rPr>
                <w:rFonts w:hint="eastAsia" w:ascii="仿宋" w:hAnsi="仿宋" w:eastAsia="仿宋"/>
                <w:szCs w:val="21"/>
                <w:lang w:eastAsia="zh-CN"/>
              </w:rPr>
              <w:t>乌拉特后旗巴音镇九居委五小区百亿佳苑4#-4-201</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jc w:val="center"/>
              <w:rPr>
                <w:rFonts w:ascii="仿宋" w:hAnsi="仿宋" w:eastAsia="仿宋"/>
                <w:b/>
                <w:szCs w:val="21"/>
              </w:rPr>
            </w:pPr>
            <w:r>
              <w:rPr>
                <w:rFonts w:hint="eastAsia" w:ascii="仿宋" w:hAnsi="仿宋" w:eastAsia="仿宋"/>
                <w:b/>
                <w:szCs w:val="21"/>
              </w:rPr>
              <w:t>幢号</w:t>
            </w:r>
          </w:p>
        </w:tc>
        <w:tc>
          <w:tcPr>
            <w:tcW w:w="1501" w:type="dxa"/>
            <w:vAlign w:val="center"/>
          </w:tcPr>
          <w:p>
            <w:pPr>
              <w:jc w:val="center"/>
              <w:rPr>
                <w:rFonts w:ascii="仿宋" w:hAnsi="仿宋" w:eastAsia="仿宋"/>
                <w:b/>
                <w:szCs w:val="21"/>
              </w:rPr>
            </w:pPr>
            <w:r>
              <w:rPr>
                <w:rFonts w:hint="eastAsia" w:ascii="仿宋" w:hAnsi="仿宋" w:eastAsia="仿宋"/>
                <w:b/>
                <w:szCs w:val="21"/>
              </w:rPr>
              <w:t>单元</w:t>
            </w:r>
          </w:p>
        </w:tc>
        <w:tc>
          <w:tcPr>
            <w:tcW w:w="1515" w:type="dxa"/>
            <w:vAlign w:val="center"/>
          </w:tcPr>
          <w:p>
            <w:pPr>
              <w:jc w:val="center"/>
              <w:rPr>
                <w:rFonts w:ascii="仿宋" w:hAnsi="仿宋" w:eastAsia="仿宋"/>
                <w:b/>
                <w:szCs w:val="21"/>
              </w:rPr>
            </w:pPr>
            <w:r>
              <w:rPr>
                <w:rFonts w:hint="eastAsia" w:ascii="仿宋" w:hAnsi="仿宋" w:eastAsia="仿宋"/>
                <w:b/>
                <w:szCs w:val="21"/>
              </w:rPr>
              <w:t>所在层次</w:t>
            </w:r>
          </w:p>
        </w:tc>
        <w:tc>
          <w:tcPr>
            <w:tcW w:w="1825" w:type="dxa"/>
            <w:vAlign w:val="center"/>
          </w:tcPr>
          <w:p>
            <w:pPr>
              <w:jc w:val="center"/>
              <w:rPr>
                <w:rFonts w:ascii="仿宋" w:hAnsi="仿宋" w:eastAsia="仿宋"/>
                <w:b/>
                <w:szCs w:val="21"/>
              </w:rPr>
            </w:pPr>
            <w:r>
              <w:rPr>
                <w:rFonts w:hint="eastAsia" w:ascii="仿宋" w:hAnsi="仿宋" w:eastAsia="仿宋"/>
                <w:b/>
                <w:szCs w:val="21"/>
              </w:rPr>
              <w:t>户号</w:t>
            </w:r>
          </w:p>
        </w:tc>
        <w:tc>
          <w:tcPr>
            <w:tcW w:w="2388" w:type="dxa"/>
            <w:vAlign w:val="center"/>
          </w:tcPr>
          <w:p>
            <w:pPr>
              <w:jc w:val="center"/>
              <w:rPr>
                <w:rFonts w:ascii="仿宋" w:hAnsi="仿宋" w:eastAsia="仿宋"/>
                <w:b/>
                <w:szCs w:val="21"/>
              </w:rPr>
            </w:pPr>
            <w:r>
              <w:rPr>
                <w:rFonts w:hint="eastAsia" w:ascii="仿宋" w:hAnsi="仿宋" w:eastAsia="仿宋"/>
                <w:b/>
                <w:szCs w:val="21"/>
              </w:rPr>
              <w:t>总层数</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jc w:val="center"/>
              <w:rPr>
                <w:rFonts w:ascii="仿宋" w:hAnsi="仿宋" w:eastAsia="仿宋"/>
                <w:szCs w:val="21"/>
              </w:rPr>
            </w:pPr>
            <w:r>
              <w:rPr>
                <w:rFonts w:hint="eastAsia" w:ascii="仿宋" w:hAnsi="仿宋" w:eastAsia="仿宋"/>
                <w:szCs w:val="21"/>
              </w:rPr>
              <w:t>4#</w:t>
            </w:r>
          </w:p>
        </w:tc>
        <w:tc>
          <w:tcPr>
            <w:tcW w:w="1501" w:type="dxa"/>
            <w:vAlign w:val="center"/>
          </w:tcPr>
          <w:p>
            <w:pPr>
              <w:jc w:val="center"/>
              <w:rPr>
                <w:rFonts w:ascii="仿宋" w:hAnsi="仿宋" w:eastAsia="仿宋"/>
                <w:szCs w:val="21"/>
              </w:rPr>
            </w:pPr>
            <w:r>
              <w:rPr>
                <w:rFonts w:hint="eastAsia" w:ascii="仿宋" w:hAnsi="仿宋" w:eastAsia="仿宋"/>
                <w:szCs w:val="21"/>
              </w:rPr>
              <w:t>4</w:t>
            </w:r>
          </w:p>
        </w:tc>
        <w:tc>
          <w:tcPr>
            <w:tcW w:w="1515" w:type="dxa"/>
            <w:vAlign w:val="center"/>
          </w:tcPr>
          <w:p>
            <w:pPr>
              <w:jc w:val="center"/>
              <w:rPr>
                <w:rFonts w:ascii="仿宋" w:hAnsi="仿宋" w:eastAsia="仿宋"/>
                <w:szCs w:val="21"/>
              </w:rPr>
            </w:pPr>
            <w:r>
              <w:rPr>
                <w:rFonts w:hint="eastAsia" w:ascii="仿宋" w:hAnsi="仿宋" w:eastAsia="仿宋"/>
                <w:szCs w:val="21"/>
              </w:rPr>
              <w:t>2</w:t>
            </w:r>
          </w:p>
        </w:tc>
        <w:tc>
          <w:tcPr>
            <w:tcW w:w="1825" w:type="dxa"/>
            <w:vAlign w:val="center"/>
          </w:tcPr>
          <w:p>
            <w:pPr>
              <w:jc w:val="center"/>
              <w:rPr>
                <w:rFonts w:ascii="仿宋" w:hAnsi="仿宋" w:eastAsia="仿宋"/>
                <w:szCs w:val="21"/>
              </w:rPr>
            </w:pPr>
            <w:r>
              <w:rPr>
                <w:rFonts w:hint="eastAsia" w:ascii="仿宋" w:hAnsi="仿宋" w:eastAsia="仿宋"/>
                <w:szCs w:val="21"/>
              </w:rPr>
              <w:t>201</w:t>
            </w:r>
          </w:p>
        </w:tc>
        <w:tc>
          <w:tcPr>
            <w:tcW w:w="2388" w:type="dxa"/>
            <w:vAlign w:val="center"/>
          </w:tcPr>
          <w:p>
            <w:pPr>
              <w:jc w:val="center"/>
              <w:rPr>
                <w:rFonts w:ascii="仿宋" w:hAnsi="仿宋" w:eastAsia="仿宋"/>
                <w:szCs w:val="21"/>
              </w:rPr>
            </w:pPr>
            <w:r>
              <w:rPr>
                <w:rFonts w:hint="eastAsia" w:ascii="仿宋" w:hAnsi="仿宋" w:eastAsia="仿宋"/>
                <w:szCs w:val="21"/>
              </w:rPr>
              <w:t>6</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jc w:val="center"/>
              <w:rPr>
                <w:rFonts w:ascii="仿宋" w:hAnsi="仿宋" w:eastAsia="仿宋"/>
                <w:b/>
                <w:szCs w:val="21"/>
              </w:rPr>
            </w:pPr>
            <w:r>
              <w:rPr>
                <w:rFonts w:hint="eastAsia" w:ascii="仿宋" w:hAnsi="仿宋" w:eastAsia="仿宋"/>
                <w:b/>
                <w:szCs w:val="21"/>
              </w:rPr>
              <w:t>建筑结构</w:t>
            </w:r>
          </w:p>
        </w:tc>
        <w:tc>
          <w:tcPr>
            <w:tcW w:w="1501" w:type="dxa"/>
            <w:vAlign w:val="center"/>
          </w:tcPr>
          <w:p>
            <w:pPr>
              <w:jc w:val="center"/>
              <w:rPr>
                <w:rFonts w:ascii="仿宋" w:hAnsi="仿宋" w:eastAsia="仿宋"/>
                <w:b/>
                <w:szCs w:val="21"/>
              </w:rPr>
            </w:pPr>
            <w:r>
              <w:rPr>
                <w:rFonts w:hint="eastAsia" w:ascii="仿宋" w:hAnsi="仿宋" w:eastAsia="仿宋"/>
                <w:b/>
                <w:szCs w:val="21"/>
              </w:rPr>
              <w:t>建成年份</w:t>
            </w:r>
          </w:p>
        </w:tc>
        <w:tc>
          <w:tcPr>
            <w:tcW w:w="1515" w:type="dxa"/>
            <w:vAlign w:val="center"/>
          </w:tcPr>
          <w:p>
            <w:pPr>
              <w:jc w:val="center"/>
              <w:rPr>
                <w:rFonts w:ascii="仿宋" w:hAnsi="仿宋" w:eastAsia="仿宋"/>
                <w:b/>
                <w:szCs w:val="21"/>
              </w:rPr>
            </w:pPr>
            <w:r>
              <w:rPr>
                <w:rFonts w:hint="eastAsia" w:ascii="仿宋" w:hAnsi="仿宋" w:eastAsia="仿宋"/>
                <w:b/>
                <w:szCs w:val="21"/>
              </w:rPr>
              <w:t>用途</w:t>
            </w:r>
          </w:p>
        </w:tc>
        <w:tc>
          <w:tcPr>
            <w:tcW w:w="1825" w:type="dxa"/>
            <w:vAlign w:val="center"/>
          </w:tcPr>
          <w:p>
            <w:pPr>
              <w:jc w:val="center"/>
              <w:rPr>
                <w:rFonts w:ascii="仿宋" w:hAnsi="仿宋" w:eastAsia="仿宋"/>
                <w:b/>
                <w:szCs w:val="21"/>
              </w:rPr>
            </w:pPr>
            <w:r>
              <w:rPr>
                <w:rFonts w:hint="eastAsia" w:ascii="仿宋" w:hAnsi="仿宋" w:eastAsia="仿宋"/>
                <w:b/>
                <w:szCs w:val="21"/>
              </w:rPr>
              <w:t>建筑面积（㎡）</w:t>
            </w:r>
          </w:p>
        </w:tc>
        <w:tc>
          <w:tcPr>
            <w:tcW w:w="2388" w:type="dxa"/>
            <w:vAlign w:val="center"/>
          </w:tcPr>
          <w:p>
            <w:pPr>
              <w:jc w:val="center"/>
              <w:rPr>
                <w:rFonts w:ascii="仿宋" w:hAnsi="仿宋" w:eastAsia="仿宋"/>
                <w:b/>
                <w:szCs w:val="21"/>
              </w:rPr>
            </w:pPr>
            <w:r>
              <w:rPr>
                <w:rFonts w:hint="eastAsia" w:ascii="仿宋" w:hAnsi="仿宋" w:eastAsia="仿宋"/>
                <w:b/>
                <w:szCs w:val="21"/>
              </w:rPr>
              <w:t>共有分摊面积（㎡）</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89" w:hRule="atLeast"/>
          <w:jc w:val="center"/>
        </w:trPr>
        <w:tc>
          <w:tcPr>
            <w:tcW w:w="1951" w:type="dxa"/>
            <w:vAlign w:val="center"/>
          </w:tcPr>
          <w:p>
            <w:pPr>
              <w:jc w:val="center"/>
              <w:rPr>
                <w:rFonts w:ascii="仿宋" w:hAnsi="仿宋" w:eastAsia="仿宋"/>
                <w:szCs w:val="21"/>
              </w:rPr>
            </w:pPr>
            <w:r>
              <w:rPr>
                <w:rFonts w:hint="eastAsia" w:ascii="仿宋" w:hAnsi="仿宋" w:eastAsia="仿宋"/>
                <w:szCs w:val="21"/>
              </w:rPr>
              <w:t>混合</w:t>
            </w:r>
          </w:p>
        </w:tc>
        <w:tc>
          <w:tcPr>
            <w:tcW w:w="1501" w:type="dxa"/>
            <w:vAlign w:val="center"/>
          </w:tcPr>
          <w:p>
            <w:pPr>
              <w:jc w:val="center"/>
              <w:rPr>
                <w:rFonts w:ascii="仿宋" w:hAnsi="仿宋" w:eastAsia="仿宋"/>
                <w:szCs w:val="21"/>
              </w:rPr>
            </w:pPr>
            <w:r>
              <w:rPr>
                <w:rFonts w:hint="eastAsia" w:ascii="仿宋" w:hAnsi="仿宋" w:eastAsia="仿宋"/>
                <w:szCs w:val="21"/>
              </w:rPr>
              <w:t>2009</w:t>
            </w:r>
          </w:p>
        </w:tc>
        <w:tc>
          <w:tcPr>
            <w:tcW w:w="1515" w:type="dxa"/>
            <w:vAlign w:val="center"/>
          </w:tcPr>
          <w:p>
            <w:pPr>
              <w:jc w:val="center"/>
              <w:rPr>
                <w:rFonts w:ascii="仿宋" w:hAnsi="仿宋" w:eastAsia="仿宋"/>
                <w:szCs w:val="21"/>
              </w:rPr>
            </w:pPr>
            <w:r>
              <w:rPr>
                <w:rFonts w:hint="eastAsia" w:ascii="仿宋" w:hAnsi="仿宋" w:eastAsia="仿宋"/>
                <w:szCs w:val="21"/>
              </w:rPr>
              <w:t>住宅</w:t>
            </w:r>
          </w:p>
        </w:tc>
        <w:tc>
          <w:tcPr>
            <w:tcW w:w="1825" w:type="dxa"/>
            <w:vAlign w:val="center"/>
          </w:tcPr>
          <w:p>
            <w:pPr>
              <w:jc w:val="center"/>
              <w:rPr>
                <w:rFonts w:ascii="仿宋" w:hAnsi="仿宋" w:eastAsia="仿宋"/>
                <w:szCs w:val="21"/>
              </w:rPr>
            </w:pPr>
            <w:r>
              <w:rPr>
                <w:rFonts w:hint="eastAsia" w:ascii="仿宋" w:hAnsi="仿宋" w:eastAsia="仿宋"/>
                <w:szCs w:val="21"/>
              </w:rPr>
              <w:t>119.34</w:t>
            </w:r>
          </w:p>
        </w:tc>
        <w:tc>
          <w:tcPr>
            <w:tcW w:w="2388" w:type="dxa"/>
            <w:vAlign w:val="center"/>
          </w:tcPr>
          <w:p>
            <w:pPr>
              <w:jc w:val="center"/>
              <w:rPr>
                <w:rFonts w:hint="eastAsia" w:ascii="仿宋" w:hAnsi="仿宋" w:eastAsia="仿宋"/>
                <w:szCs w:val="21"/>
                <w:lang w:val="en-US" w:eastAsia="zh-CN"/>
              </w:rPr>
            </w:pPr>
            <w:r>
              <w:rPr>
                <w:rFonts w:hint="eastAsia" w:ascii="仿宋" w:hAnsi="仿宋" w:eastAsia="仿宋"/>
                <w:szCs w:val="21"/>
                <w:highlight w:val="none"/>
                <w:lang w:val="en-US" w:eastAsia="zh-CN"/>
              </w:rPr>
              <w:t>--</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jc w:val="center"/>
              <w:rPr>
                <w:rFonts w:ascii="仿宋" w:hAnsi="仿宋" w:eastAsia="仿宋"/>
                <w:b/>
                <w:szCs w:val="21"/>
              </w:rPr>
            </w:pPr>
            <w:r>
              <w:rPr>
                <w:rFonts w:hint="eastAsia" w:ascii="仿宋" w:hAnsi="仿宋" w:eastAsia="仿宋"/>
                <w:b/>
                <w:szCs w:val="21"/>
              </w:rPr>
              <w:t>共有情况</w:t>
            </w:r>
          </w:p>
        </w:tc>
        <w:tc>
          <w:tcPr>
            <w:tcW w:w="1501" w:type="dxa"/>
            <w:vAlign w:val="center"/>
          </w:tcPr>
          <w:p>
            <w:pPr>
              <w:jc w:val="center"/>
              <w:rPr>
                <w:rFonts w:ascii="仿宋" w:hAnsi="仿宋" w:eastAsia="仿宋"/>
                <w:b/>
                <w:szCs w:val="21"/>
              </w:rPr>
            </w:pPr>
            <w:r>
              <w:rPr>
                <w:rFonts w:hint="eastAsia" w:ascii="仿宋" w:hAnsi="仿宋" w:eastAsia="仿宋"/>
                <w:b/>
                <w:szCs w:val="21"/>
              </w:rPr>
              <w:t>产别</w:t>
            </w:r>
          </w:p>
        </w:tc>
        <w:tc>
          <w:tcPr>
            <w:tcW w:w="1515" w:type="dxa"/>
            <w:vAlign w:val="center"/>
          </w:tcPr>
          <w:p>
            <w:pPr>
              <w:jc w:val="center"/>
              <w:rPr>
                <w:rFonts w:ascii="仿宋" w:hAnsi="仿宋" w:eastAsia="仿宋"/>
                <w:b/>
                <w:szCs w:val="21"/>
              </w:rPr>
            </w:pPr>
            <w:r>
              <w:rPr>
                <w:rFonts w:hint="eastAsia" w:ascii="仿宋" w:hAnsi="仿宋" w:eastAsia="仿宋"/>
                <w:b/>
                <w:szCs w:val="21"/>
              </w:rPr>
              <w:t>土地用途</w:t>
            </w:r>
          </w:p>
        </w:tc>
        <w:tc>
          <w:tcPr>
            <w:tcW w:w="1825" w:type="dxa"/>
            <w:vAlign w:val="center"/>
          </w:tcPr>
          <w:p>
            <w:pPr>
              <w:jc w:val="center"/>
              <w:rPr>
                <w:rFonts w:ascii="仿宋" w:hAnsi="仿宋" w:eastAsia="仿宋"/>
                <w:b/>
                <w:szCs w:val="21"/>
              </w:rPr>
            </w:pPr>
            <w:r>
              <w:rPr>
                <w:rFonts w:hint="eastAsia" w:ascii="仿宋" w:hAnsi="仿宋" w:eastAsia="仿宋"/>
                <w:b/>
                <w:szCs w:val="21"/>
              </w:rPr>
              <w:t>土地使用权类型</w:t>
            </w:r>
          </w:p>
        </w:tc>
        <w:tc>
          <w:tcPr>
            <w:tcW w:w="2388" w:type="dxa"/>
            <w:vAlign w:val="center"/>
          </w:tcPr>
          <w:p>
            <w:pPr>
              <w:jc w:val="center"/>
              <w:rPr>
                <w:rFonts w:ascii="仿宋" w:hAnsi="仿宋" w:eastAsia="仿宋"/>
                <w:b/>
                <w:szCs w:val="21"/>
              </w:rPr>
            </w:pPr>
            <w:r>
              <w:rPr>
                <w:rFonts w:hint="eastAsia" w:ascii="仿宋" w:hAnsi="仿宋" w:eastAsia="仿宋"/>
                <w:b/>
                <w:szCs w:val="21"/>
              </w:rPr>
              <w:t>登记时间</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vAlign w:val="center"/>
          </w:tcPr>
          <w:p>
            <w:pPr>
              <w:jc w:val="center"/>
              <w:rPr>
                <w:rFonts w:ascii="仿宋" w:hAnsi="仿宋" w:eastAsia="仿宋"/>
                <w:szCs w:val="21"/>
              </w:rPr>
            </w:pPr>
            <w:r>
              <w:rPr>
                <w:rFonts w:hint="eastAsia" w:ascii="仿宋" w:hAnsi="仿宋" w:eastAsia="仿宋"/>
                <w:szCs w:val="21"/>
              </w:rPr>
              <w:t>单独所有</w:t>
            </w:r>
          </w:p>
        </w:tc>
        <w:tc>
          <w:tcPr>
            <w:tcW w:w="1501" w:type="dxa"/>
            <w:vAlign w:val="center"/>
          </w:tcPr>
          <w:p>
            <w:pPr>
              <w:jc w:val="center"/>
              <w:rPr>
                <w:rFonts w:ascii="仿宋" w:hAnsi="仿宋" w:eastAsia="仿宋"/>
                <w:szCs w:val="21"/>
              </w:rPr>
            </w:pPr>
            <w:r>
              <w:rPr>
                <w:rFonts w:hint="eastAsia" w:ascii="仿宋" w:hAnsi="仿宋" w:eastAsia="仿宋"/>
                <w:szCs w:val="21"/>
              </w:rPr>
              <w:t>——</w:t>
            </w:r>
          </w:p>
        </w:tc>
        <w:tc>
          <w:tcPr>
            <w:tcW w:w="1515" w:type="dxa"/>
            <w:vAlign w:val="center"/>
          </w:tcPr>
          <w:p>
            <w:pPr>
              <w:jc w:val="center"/>
              <w:rPr>
                <w:rFonts w:ascii="仿宋" w:hAnsi="仿宋" w:eastAsia="仿宋"/>
                <w:szCs w:val="21"/>
              </w:rPr>
            </w:pPr>
            <w:r>
              <w:rPr>
                <w:rFonts w:hint="eastAsia" w:ascii="仿宋" w:hAnsi="仿宋" w:eastAsia="仿宋"/>
                <w:szCs w:val="21"/>
              </w:rPr>
              <w:t>--</w:t>
            </w:r>
          </w:p>
        </w:tc>
        <w:tc>
          <w:tcPr>
            <w:tcW w:w="1825" w:type="dxa"/>
            <w:vAlign w:val="center"/>
          </w:tcPr>
          <w:p>
            <w:pPr>
              <w:jc w:val="center"/>
              <w:rPr>
                <w:rFonts w:ascii="仿宋" w:hAnsi="仿宋" w:eastAsia="仿宋"/>
                <w:szCs w:val="21"/>
              </w:rPr>
            </w:pPr>
            <w:r>
              <w:rPr>
                <w:rFonts w:hint="eastAsia" w:ascii="仿宋" w:hAnsi="仿宋" w:eastAsia="仿宋"/>
                <w:szCs w:val="21"/>
              </w:rPr>
              <w:t>--</w:t>
            </w:r>
          </w:p>
        </w:tc>
        <w:tc>
          <w:tcPr>
            <w:tcW w:w="2388" w:type="dxa"/>
            <w:vAlign w:val="center"/>
          </w:tcPr>
          <w:p>
            <w:pPr>
              <w:jc w:val="center"/>
              <w:rPr>
                <w:rFonts w:ascii="仿宋" w:hAnsi="仿宋" w:eastAsia="仿宋"/>
                <w:szCs w:val="21"/>
              </w:rPr>
            </w:pPr>
            <w:r>
              <w:rPr>
                <w:rFonts w:hint="eastAsia" w:ascii="仿宋" w:hAnsi="仿宋" w:eastAsia="仿宋"/>
                <w:szCs w:val="21"/>
              </w:rPr>
              <w:t>2013年6月5日</w:t>
            </w:r>
          </w:p>
        </w:tc>
      </w:tr>
    </w:tbl>
    <w:p>
      <w:pPr>
        <w:adjustRightInd w:val="0"/>
        <w:snapToGrid w:val="0"/>
        <w:spacing w:line="600" w:lineRule="exact"/>
        <w:ind w:firstLine="562" w:firstLineChars="200"/>
        <w:rPr>
          <w:rFonts w:eastAsia="仿宋_GB2312"/>
          <w:sz w:val="28"/>
          <w:szCs w:val="28"/>
        </w:rPr>
      </w:pPr>
      <w:r>
        <w:rPr>
          <w:rFonts w:eastAsia="仿宋_GB2312"/>
          <w:b/>
          <w:sz w:val="28"/>
          <w:szCs w:val="28"/>
        </w:rPr>
        <w:t>估价目的</w:t>
      </w:r>
      <w:r>
        <w:rPr>
          <w:rFonts w:eastAsia="仿宋_GB2312"/>
          <w:sz w:val="28"/>
          <w:szCs w:val="28"/>
        </w:rPr>
        <w:t>：</w:t>
      </w:r>
    </w:p>
    <w:p>
      <w:pPr>
        <w:adjustRightInd w:val="0"/>
        <w:snapToGrid w:val="0"/>
        <w:spacing w:line="600" w:lineRule="exact"/>
        <w:ind w:firstLine="560" w:firstLineChars="200"/>
        <w:rPr>
          <w:rFonts w:eastAsia="仿宋_GB2312"/>
          <w:sz w:val="28"/>
          <w:szCs w:val="28"/>
        </w:rPr>
      </w:pPr>
      <w:r>
        <w:rPr>
          <w:rFonts w:eastAsia="仿宋_GB2312"/>
          <w:sz w:val="28"/>
          <w:szCs w:val="28"/>
        </w:rPr>
        <w:t>委托方欲</w:t>
      </w:r>
      <w:r>
        <w:rPr>
          <w:rFonts w:eastAsia="仿宋_GB2312"/>
          <w:color w:val="FF0000"/>
          <w:sz w:val="28"/>
          <w:szCs w:val="28"/>
        </w:rPr>
        <w:t>核实被申请人</w:t>
      </w:r>
      <w:r>
        <w:rPr>
          <w:rFonts w:hint="eastAsia" w:eastAsia="仿宋_GB2312"/>
          <w:sz w:val="28"/>
          <w:szCs w:val="28"/>
        </w:rPr>
        <w:t>顾来胜位于内蒙古自治区</w:t>
      </w:r>
      <w:r>
        <w:rPr>
          <w:rFonts w:hint="eastAsia" w:eastAsia="仿宋_GB2312"/>
          <w:sz w:val="28"/>
          <w:szCs w:val="28"/>
          <w:lang w:eastAsia="zh-CN"/>
        </w:rPr>
        <w:t>乌拉特后旗巴音镇九居委五小区百亿佳苑4#-4-201</w:t>
      </w:r>
      <w:r>
        <w:rPr>
          <w:rFonts w:eastAsia="仿宋_GB2312"/>
          <w:sz w:val="28"/>
          <w:szCs w:val="28"/>
        </w:rPr>
        <w:t>住宅房地产的价值，</w:t>
      </w:r>
      <w:r>
        <w:rPr>
          <w:rFonts w:eastAsia="仿宋_GB2312"/>
          <w:color w:val="FF0000"/>
          <w:sz w:val="28"/>
          <w:szCs w:val="28"/>
        </w:rPr>
        <w:t>为委托方</w:t>
      </w:r>
      <w:r>
        <w:rPr>
          <w:rFonts w:eastAsia="仿宋_GB2312"/>
          <w:sz w:val="28"/>
          <w:szCs w:val="28"/>
        </w:rPr>
        <w:t>进行司法鉴定</w:t>
      </w:r>
      <w:r>
        <w:rPr>
          <w:rFonts w:eastAsia="仿宋_GB2312"/>
          <w:color w:val="FF0000"/>
          <w:sz w:val="28"/>
          <w:szCs w:val="28"/>
        </w:rPr>
        <w:t>提供市场价格参考依据。</w:t>
      </w:r>
    </w:p>
    <w:p>
      <w:pPr>
        <w:adjustRightInd w:val="0"/>
        <w:snapToGrid w:val="0"/>
        <w:spacing w:line="600" w:lineRule="exact"/>
        <w:ind w:firstLine="562" w:firstLineChars="200"/>
        <w:rPr>
          <w:rFonts w:eastAsia="仿宋_GB2312"/>
          <w:sz w:val="28"/>
          <w:szCs w:val="28"/>
        </w:rPr>
      </w:pPr>
      <w:r>
        <w:rPr>
          <w:rFonts w:eastAsia="仿宋_GB2312"/>
          <w:b/>
          <w:sz w:val="28"/>
          <w:szCs w:val="28"/>
        </w:rPr>
        <w:t>价值时点：</w:t>
      </w:r>
      <w:r>
        <w:rPr>
          <w:rFonts w:eastAsia="仿宋_GB2312"/>
          <w:sz w:val="28"/>
          <w:szCs w:val="28"/>
        </w:rPr>
        <w:t>2018年1</w:t>
      </w:r>
      <w:r>
        <w:rPr>
          <w:rFonts w:hint="eastAsia" w:eastAsia="仿宋_GB2312"/>
          <w:sz w:val="28"/>
          <w:szCs w:val="28"/>
        </w:rPr>
        <w:t>1</w:t>
      </w:r>
      <w:r>
        <w:rPr>
          <w:rFonts w:eastAsia="仿宋_GB2312"/>
          <w:sz w:val="28"/>
          <w:szCs w:val="28"/>
        </w:rPr>
        <w:t>月</w:t>
      </w:r>
      <w:r>
        <w:rPr>
          <w:rFonts w:hint="eastAsia" w:eastAsia="仿宋_GB2312"/>
          <w:sz w:val="28"/>
          <w:szCs w:val="28"/>
        </w:rPr>
        <w:t>19</w:t>
      </w:r>
      <w:r>
        <w:rPr>
          <w:rFonts w:eastAsia="仿宋_GB2312"/>
          <w:sz w:val="28"/>
          <w:szCs w:val="28"/>
        </w:rPr>
        <w:t>日</w:t>
      </w:r>
    </w:p>
    <w:p>
      <w:pPr>
        <w:adjustRightInd w:val="0"/>
        <w:snapToGrid w:val="0"/>
        <w:spacing w:line="600" w:lineRule="exact"/>
        <w:ind w:firstLine="562" w:firstLineChars="200"/>
        <w:rPr>
          <w:rFonts w:eastAsia="仿宋_GB2312"/>
          <w:sz w:val="28"/>
          <w:szCs w:val="28"/>
        </w:rPr>
      </w:pPr>
      <w:r>
        <w:rPr>
          <w:rFonts w:eastAsia="仿宋_GB2312"/>
          <w:b/>
          <w:sz w:val="28"/>
          <w:szCs w:val="28"/>
        </w:rPr>
        <w:t>价值类型：</w:t>
      </w:r>
      <w:r>
        <w:rPr>
          <w:rFonts w:eastAsia="仿宋_GB2312"/>
          <w:color w:val="FF0000"/>
          <w:sz w:val="28"/>
          <w:szCs w:val="28"/>
        </w:rPr>
        <w:t>待估对象在</w:t>
      </w:r>
      <w:r>
        <w:rPr>
          <w:rFonts w:hint="eastAsia" w:eastAsia="仿宋_GB2312"/>
          <w:color w:val="FF0000"/>
          <w:sz w:val="28"/>
          <w:szCs w:val="28"/>
        </w:rPr>
        <w:t>二</w:t>
      </w:r>
      <w:r>
        <w:rPr>
          <w:rFonts w:eastAsia="仿宋_GB2312"/>
          <w:color w:val="FF0000"/>
          <w:sz w:val="28"/>
          <w:szCs w:val="28"/>
        </w:rPr>
        <w:t>级房地产市场的公开市场价格。市场价值是指某种房地产在市场上的一般、平均水平价格。</w:t>
      </w:r>
    </w:p>
    <w:p>
      <w:pPr>
        <w:adjustRightInd w:val="0"/>
        <w:snapToGrid w:val="0"/>
        <w:spacing w:line="600" w:lineRule="exact"/>
        <w:ind w:firstLine="562" w:firstLineChars="200"/>
        <w:rPr>
          <w:rFonts w:eastAsia="仿宋_GB2312"/>
          <w:sz w:val="28"/>
          <w:szCs w:val="28"/>
        </w:rPr>
      </w:pPr>
      <w:r>
        <w:rPr>
          <w:rFonts w:eastAsia="仿宋_GB2312"/>
          <w:b/>
          <w:sz w:val="28"/>
          <w:szCs w:val="28"/>
        </w:rPr>
        <w:t>估价方法：</w:t>
      </w:r>
      <w:r>
        <w:rPr>
          <w:rFonts w:eastAsia="仿宋_GB2312"/>
          <w:sz w:val="28"/>
          <w:szCs w:val="28"/>
        </w:rPr>
        <w:t>本次评估选用比较法、收益法进行评估。</w:t>
      </w:r>
    </w:p>
    <w:p>
      <w:pPr>
        <w:tabs>
          <w:tab w:val="left" w:pos="993"/>
        </w:tabs>
        <w:adjustRightInd w:val="0"/>
        <w:snapToGrid w:val="0"/>
        <w:spacing w:line="600" w:lineRule="exact"/>
        <w:ind w:firstLine="562" w:firstLineChars="200"/>
        <w:rPr>
          <w:rFonts w:eastAsia="仿宋_GB2312"/>
          <w:sz w:val="28"/>
          <w:szCs w:val="28"/>
        </w:rPr>
      </w:pPr>
      <w:r>
        <w:rPr>
          <w:rFonts w:hint="eastAsia" w:eastAsia="仿宋_GB2312"/>
          <w:b/>
          <w:sz w:val="28"/>
          <w:szCs w:val="28"/>
        </w:rPr>
        <w:t>估价结果：</w:t>
      </w:r>
      <w:r>
        <w:rPr>
          <w:rFonts w:eastAsia="仿宋_GB2312"/>
          <w:sz w:val="28"/>
          <w:szCs w:val="28"/>
        </w:rPr>
        <w:t>估价人员遵循各项估价原则，根据估价目的和国家有关房地产估价的规范、规定，按照估价程序，经过实地查勘与市场调查，并进行了分析、测算和判断，确定估价对象（内蒙古自治区</w:t>
      </w:r>
      <w:r>
        <w:rPr>
          <w:rFonts w:hint="eastAsia" w:eastAsia="仿宋_GB2312"/>
          <w:sz w:val="28"/>
          <w:szCs w:val="28"/>
          <w:lang w:eastAsia="zh-CN"/>
        </w:rPr>
        <w:t>乌拉特后旗巴音镇九居委五小区百亿佳苑4#-4-201</w:t>
      </w:r>
      <w:r>
        <w:rPr>
          <w:rFonts w:eastAsia="仿宋_GB2312"/>
          <w:sz w:val="28"/>
          <w:szCs w:val="28"/>
        </w:rPr>
        <w:t>住宅房地产）在满足全部假设和限制条件下于价值时点</w:t>
      </w:r>
      <w:r>
        <w:rPr>
          <w:rFonts w:hint="eastAsia" w:eastAsia="仿宋_GB2312"/>
          <w:sz w:val="28"/>
          <w:szCs w:val="28"/>
        </w:rPr>
        <w:t>2018年11月19日</w:t>
      </w:r>
      <w:r>
        <w:rPr>
          <w:rFonts w:eastAsia="仿宋_GB2312"/>
          <w:sz w:val="28"/>
          <w:szCs w:val="28"/>
        </w:rPr>
        <w:t>的估价结果如下：（币种：人民币）</w:t>
      </w:r>
    </w:p>
    <w:p>
      <w:pPr>
        <w:spacing w:beforeLines="50"/>
        <w:ind w:firstLine="2937" w:firstLineChars="1045"/>
        <w:rPr>
          <w:rFonts w:eastAsia="楷体_GB2312"/>
          <w:b/>
          <w:bCs/>
          <w:sz w:val="28"/>
          <w:szCs w:val="28"/>
        </w:rPr>
      </w:pPr>
      <w:r>
        <w:rPr>
          <w:rFonts w:eastAsia="楷体_GB2312"/>
          <w:b/>
          <w:bCs/>
          <w:sz w:val="28"/>
          <w:szCs w:val="28"/>
        </w:rPr>
        <w:t>估价结果一览表</w:t>
      </w:r>
    </w:p>
    <w:tbl>
      <w:tblPr>
        <w:tblStyle w:val="47"/>
        <w:tblpPr w:leftFromText="180" w:rightFromText="180" w:vertAnchor="text" w:horzAnchor="margin" w:tblpXSpec="center" w:tblpY="313"/>
        <w:tblW w:w="9174"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15"/>
        <w:gridCol w:w="1114"/>
        <w:gridCol w:w="1327"/>
        <w:gridCol w:w="1435"/>
        <w:gridCol w:w="1378"/>
        <w:gridCol w:w="2805"/>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tcBorders>
              <w:top w:val="double" w:color="auto" w:sz="4" w:space="0"/>
              <w:bottom w:val="single" w:color="auto" w:sz="4" w:space="0"/>
            </w:tcBorders>
            <w:vAlign w:val="center"/>
          </w:tcPr>
          <w:p>
            <w:pPr>
              <w:jc w:val="center"/>
              <w:rPr>
                <w:rFonts w:ascii="仿宋_GB2312" w:eastAsia="仿宋_GB2312"/>
                <w:b/>
                <w:szCs w:val="21"/>
                <w:highlight w:val="none"/>
              </w:rPr>
            </w:pPr>
            <w:r>
              <w:rPr>
                <w:rFonts w:hint="eastAsia" w:ascii="仿宋_GB2312" w:eastAsia="仿宋_GB2312"/>
                <w:b/>
                <w:szCs w:val="21"/>
                <w:highlight w:val="none"/>
              </w:rPr>
              <w:t>序号</w:t>
            </w:r>
          </w:p>
        </w:tc>
        <w:tc>
          <w:tcPr>
            <w:tcW w:w="1114" w:type="dxa"/>
            <w:tcBorders>
              <w:top w:val="double" w:color="auto" w:sz="4" w:space="0"/>
              <w:bottom w:val="single" w:color="auto" w:sz="4" w:space="0"/>
            </w:tcBorders>
            <w:vAlign w:val="center"/>
          </w:tcPr>
          <w:p>
            <w:pPr>
              <w:jc w:val="center"/>
              <w:rPr>
                <w:rFonts w:ascii="仿宋_GB2312" w:eastAsia="仿宋_GB2312"/>
                <w:b/>
                <w:szCs w:val="21"/>
                <w:highlight w:val="none"/>
              </w:rPr>
            </w:pPr>
            <w:r>
              <w:rPr>
                <w:rFonts w:hint="eastAsia" w:ascii="仿宋_GB2312" w:eastAsia="仿宋_GB2312"/>
                <w:b/>
                <w:szCs w:val="21"/>
                <w:highlight w:val="none"/>
              </w:rPr>
              <w:t>房号</w:t>
            </w:r>
          </w:p>
        </w:tc>
        <w:tc>
          <w:tcPr>
            <w:tcW w:w="1327" w:type="dxa"/>
            <w:tcBorders>
              <w:top w:val="double" w:color="auto" w:sz="4" w:space="0"/>
              <w:bottom w:val="single" w:color="auto" w:sz="4" w:space="0"/>
            </w:tcBorders>
            <w:vAlign w:val="center"/>
          </w:tcPr>
          <w:p>
            <w:pPr>
              <w:jc w:val="center"/>
              <w:rPr>
                <w:rFonts w:ascii="仿宋_GB2312" w:eastAsia="仿宋_GB2312"/>
                <w:b/>
                <w:szCs w:val="21"/>
                <w:highlight w:val="none"/>
              </w:rPr>
            </w:pPr>
            <w:r>
              <w:rPr>
                <w:rFonts w:hint="eastAsia" w:ascii="仿宋_GB2312" w:eastAsia="仿宋_GB2312"/>
                <w:b/>
                <w:szCs w:val="21"/>
                <w:highlight w:val="none"/>
              </w:rPr>
              <w:t>建筑面积（</w:t>
            </w:r>
            <w:r>
              <w:rPr>
                <w:rFonts w:hint="eastAsia" w:ascii="仿宋_GB2312" w:eastAsia="仿宋"/>
                <w:b/>
                <w:szCs w:val="21"/>
                <w:highlight w:val="none"/>
              </w:rPr>
              <w:t>㎡</w:t>
            </w:r>
            <w:r>
              <w:rPr>
                <w:rFonts w:hint="eastAsia" w:ascii="仿宋_GB2312" w:eastAsia="仿宋_GB2312"/>
                <w:b/>
                <w:szCs w:val="21"/>
                <w:highlight w:val="none"/>
              </w:rPr>
              <w:t>）</w:t>
            </w:r>
          </w:p>
        </w:tc>
        <w:tc>
          <w:tcPr>
            <w:tcW w:w="1435" w:type="dxa"/>
            <w:tcBorders>
              <w:top w:val="double" w:color="auto" w:sz="4" w:space="0"/>
              <w:bottom w:val="single" w:color="auto" w:sz="4" w:space="0"/>
            </w:tcBorders>
            <w:vAlign w:val="center"/>
          </w:tcPr>
          <w:p>
            <w:pPr>
              <w:jc w:val="center"/>
              <w:rPr>
                <w:rFonts w:ascii="仿宋_GB2312" w:eastAsia="仿宋_GB2312"/>
                <w:b/>
                <w:szCs w:val="21"/>
                <w:highlight w:val="none"/>
              </w:rPr>
            </w:pPr>
            <w:r>
              <w:rPr>
                <w:rFonts w:hint="eastAsia" w:ascii="仿宋_GB2312" w:eastAsia="仿宋_GB2312"/>
                <w:b/>
                <w:szCs w:val="21"/>
                <w:highlight w:val="none"/>
              </w:rPr>
              <w:t>单价（元/</w:t>
            </w:r>
            <w:r>
              <w:rPr>
                <w:rFonts w:hint="eastAsia" w:ascii="仿宋_GB2312" w:eastAsia="仿宋"/>
                <w:b/>
                <w:szCs w:val="21"/>
                <w:highlight w:val="none"/>
              </w:rPr>
              <w:t>㎡</w:t>
            </w:r>
            <w:r>
              <w:rPr>
                <w:rFonts w:hint="eastAsia" w:ascii="仿宋_GB2312" w:eastAsia="仿宋_GB2312"/>
                <w:b/>
                <w:szCs w:val="21"/>
                <w:highlight w:val="none"/>
              </w:rPr>
              <w:t>）</w:t>
            </w:r>
          </w:p>
        </w:tc>
        <w:tc>
          <w:tcPr>
            <w:tcW w:w="1378" w:type="dxa"/>
            <w:tcBorders>
              <w:top w:val="double" w:color="auto" w:sz="4" w:space="0"/>
              <w:bottom w:val="single" w:color="auto" w:sz="4" w:space="0"/>
            </w:tcBorders>
            <w:vAlign w:val="center"/>
          </w:tcPr>
          <w:p>
            <w:pPr>
              <w:jc w:val="center"/>
              <w:rPr>
                <w:rFonts w:ascii="仿宋_GB2312" w:eastAsia="仿宋_GB2312"/>
                <w:b/>
                <w:szCs w:val="21"/>
                <w:highlight w:val="none"/>
              </w:rPr>
            </w:pPr>
            <w:r>
              <w:rPr>
                <w:rFonts w:hint="eastAsia" w:ascii="仿宋_GB2312" w:eastAsia="仿宋_GB2312"/>
                <w:b/>
                <w:szCs w:val="21"/>
                <w:highlight w:val="none"/>
              </w:rPr>
              <w:t>总价（万元）</w:t>
            </w:r>
          </w:p>
        </w:tc>
        <w:tc>
          <w:tcPr>
            <w:tcW w:w="2805" w:type="dxa"/>
            <w:tcBorders>
              <w:top w:val="double" w:color="auto" w:sz="4" w:space="0"/>
              <w:bottom w:val="single" w:color="auto" w:sz="4" w:space="0"/>
            </w:tcBorders>
            <w:vAlign w:val="center"/>
          </w:tcPr>
          <w:p>
            <w:pPr>
              <w:jc w:val="center"/>
              <w:rPr>
                <w:rFonts w:ascii="仿宋_GB2312" w:eastAsia="仿宋_GB2312"/>
                <w:b/>
                <w:szCs w:val="21"/>
                <w:highlight w:val="none"/>
              </w:rPr>
            </w:pPr>
            <w:r>
              <w:rPr>
                <w:rFonts w:hint="eastAsia" w:ascii="仿宋_GB2312" w:eastAsia="仿宋_GB2312"/>
                <w:b/>
                <w:szCs w:val="21"/>
                <w:highlight w:val="none"/>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tcBorders>
              <w:top w:val="single" w:color="auto" w:sz="4" w:space="0"/>
            </w:tcBorders>
            <w:vAlign w:val="center"/>
          </w:tcPr>
          <w:p>
            <w:pPr>
              <w:jc w:val="center"/>
              <w:rPr>
                <w:rFonts w:ascii="仿宋_GB2312" w:eastAsia="仿宋_GB2312"/>
                <w:color w:val="000000"/>
                <w:szCs w:val="21"/>
                <w:highlight w:val="none"/>
              </w:rPr>
            </w:pPr>
            <w:r>
              <w:rPr>
                <w:rFonts w:hint="eastAsia" w:ascii="仿宋_GB2312" w:eastAsia="仿宋_GB2312"/>
                <w:color w:val="000000"/>
                <w:szCs w:val="21"/>
                <w:highlight w:val="none"/>
              </w:rPr>
              <w:t>1</w:t>
            </w:r>
          </w:p>
        </w:tc>
        <w:tc>
          <w:tcPr>
            <w:tcW w:w="1114" w:type="dxa"/>
            <w:tcBorders>
              <w:top w:val="single" w:color="auto" w:sz="4" w:space="0"/>
            </w:tcBorders>
            <w:vAlign w:val="center"/>
          </w:tcPr>
          <w:p>
            <w:pPr>
              <w:jc w:val="both"/>
              <w:rPr>
                <w:rFonts w:hint="eastAsia" w:ascii="仿宋_GB2312" w:eastAsia="仿宋_GB2312"/>
                <w:color w:val="000000"/>
                <w:szCs w:val="21"/>
                <w:highlight w:val="none"/>
                <w:lang w:val="en-US" w:eastAsia="zh-CN"/>
              </w:rPr>
            </w:pPr>
            <w:r>
              <w:rPr>
                <w:rFonts w:hint="eastAsia" w:ascii="仿宋_GB2312" w:eastAsia="仿宋_GB2312"/>
                <w:color w:val="000000"/>
                <w:szCs w:val="21"/>
                <w:highlight w:val="none"/>
                <w:lang w:val="en-US" w:eastAsia="zh-CN"/>
              </w:rPr>
              <w:t>4#-4-201</w:t>
            </w:r>
          </w:p>
        </w:tc>
        <w:tc>
          <w:tcPr>
            <w:tcW w:w="1327" w:type="dxa"/>
            <w:tcBorders>
              <w:top w:val="single" w:color="auto" w:sz="4" w:space="0"/>
            </w:tcBorders>
            <w:vAlign w:val="center"/>
          </w:tcPr>
          <w:p>
            <w:pPr>
              <w:jc w:val="center"/>
              <w:rPr>
                <w:rFonts w:hint="eastAsia" w:ascii="仿宋_GB2312" w:eastAsia="仿宋_GB2312"/>
                <w:color w:val="000000"/>
                <w:szCs w:val="21"/>
                <w:highlight w:val="none"/>
                <w:lang w:eastAsia="zh-CN"/>
              </w:rPr>
            </w:pPr>
            <w:r>
              <w:rPr>
                <w:rFonts w:hint="eastAsia" w:ascii="仿宋_GB2312" w:eastAsia="仿宋_GB2312"/>
                <w:color w:val="000000"/>
                <w:szCs w:val="21"/>
                <w:highlight w:val="none"/>
                <w:lang w:eastAsia="zh-CN"/>
              </w:rPr>
              <w:t>119.34</w:t>
            </w:r>
          </w:p>
        </w:tc>
        <w:tc>
          <w:tcPr>
            <w:tcW w:w="1435" w:type="dxa"/>
            <w:tcBorders>
              <w:top w:val="single" w:color="auto" w:sz="4" w:space="0"/>
            </w:tcBorders>
            <w:vAlign w:val="center"/>
          </w:tcPr>
          <w:p>
            <w:pPr>
              <w:jc w:val="center"/>
              <w:rPr>
                <w:rFonts w:hint="eastAsia" w:ascii="仿宋_GB2312" w:eastAsia="仿宋_GB2312"/>
                <w:szCs w:val="21"/>
                <w:highlight w:val="none"/>
                <w:lang w:eastAsia="zh-CN"/>
              </w:rPr>
            </w:pPr>
            <w:r>
              <w:rPr>
                <w:rFonts w:hint="eastAsia" w:ascii="仿宋_GB2312" w:eastAsia="仿宋_GB2312"/>
                <w:szCs w:val="21"/>
                <w:highlight w:val="none"/>
                <w:lang w:eastAsia="zh-CN"/>
              </w:rPr>
              <w:t>1993</w:t>
            </w:r>
          </w:p>
        </w:tc>
        <w:tc>
          <w:tcPr>
            <w:tcW w:w="1378" w:type="dxa"/>
            <w:tcBorders>
              <w:top w:val="single" w:color="auto" w:sz="4" w:space="0"/>
            </w:tcBorders>
            <w:vAlign w:val="center"/>
          </w:tcPr>
          <w:p>
            <w:pPr>
              <w:jc w:val="center"/>
              <w:rPr>
                <w:rFonts w:hint="eastAsia" w:ascii="仿宋_GB2312" w:eastAsia="仿宋_GB2312"/>
                <w:szCs w:val="21"/>
                <w:highlight w:val="none"/>
                <w:lang w:eastAsia="zh-CN"/>
              </w:rPr>
            </w:pPr>
            <w:r>
              <w:rPr>
                <w:rFonts w:hint="eastAsia" w:ascii="仿宋_GB2312" w:eastAsia="仿宋_GB2312"/>
                <w:szCs w:val="21"/>
                <w:highlight w:val="none"/>
                <w:lang w:eastAsia="zh-CN"/>
              </w:rPr>
              <w:t>23.7845</w:t>
            </w:r>
          </w:p>
        </w:tc>
        <w:tc>
          <w:tcPr>
            <w:tcW w:w="2805" w:type="dxa"/>
            <w:tcBorders>
              <w:top w:val="single" w:color="auto" w:sz="4" w:space="0"/>
            </w:tcBorders>
            <w:vAlign w:val="center"/>
          </w:tcPr>
          <w:p>
            <w:pPr>
              <w:jc w:val="center"/>
              <w:rPr>
                <w:rFonts w:ascii="仿宋_GB2312" w:eastAsia="仿宋_GB2312"/>
                <w:szCs w:val="21"/>
                <w:highlight w:val="none"/>
              </w:rPr>
            </w:pPr>
            <w:r>
              <w:rPr>
                <w:rFonts w:hint="eastAsia" w:ascii="仿宋_GB2312" w:eastAsia="仿宋_GB2312"/>
                <w:szCs w:val="21"/>
                <w:highlight w:val="none"/>
                <w:lang w:eastAsia="zh-CN"/>
              </w:rPr>
              <w:t>贰拾叁万柒仟捌佰肆拾伍</w:t>
            </w:r>
            <w:r>
              <w:rPr>
                <w:rFonts w:hint="eastAsia" w:ascii="仿宋_GB2312" w:eastAsia="仿宋_GB2312"/>
                <w:szCs w:val="21"/>
                <w:highlight w:val="none"/>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vAlign w:val="center"/>
          </w:tcPr>
          <w:p>
            <w:pPr>
              <w:jc w:val="center"/>
              <w:rPr>
                <w:rFonts w:ascii="仿宋_GB2312" w:eastAsia="仿宋_GB2312"/>
                <w:color w:val="000000"/>
                <w:kern w:val="0"/>
                <w:szCs w:val="21"/>
                <w:highlight w:val="none"/>
              </w:rPr>
            </w:pPr>
            <w:r>
              <w:rPr>
                <w:rFonts w:hint="eastAsia" w:ascii="仿宋_GB2312" w:eastAsia="仿宋_GB2312"/>
                <w:color w:val="000000"/>
                <w:kern w:val="0"/>
                <w:szCs w:val="21"/>
                <w:highlight w:val="none"/>
              </w:rPr>
              <w:t>合计</w:t>
            </w:r>
          </w:p>
        </w:tc>
        <w:tc>
          <w:tcPr>
            <w:tcW w:w="1114" w:type="dxa"/>
            <w:vAlign w:val="center"/>
          </w:tcPr>
          <w:p>
            <w:pPr>
              <w:rPr>
                <w:rFonts w:ascii="仿宋_GB2312" w:eastAsia="仿宋_GB2312"/>
                <w:color w:val="000000"/>
                <w:szCs w:val="21"/>
                <w:highlight w:val="none"/>
              </w:rPr>
            </w:pPr>
            <w:r>
              <w:rPr>
                <w:rFonts w:hint="eastAsia" w:ascii="仿宋_GB2312" w:eastAsia="仿宋_GB2312"/>
                <w:color w:val="000000"/>
                <w:szCs w:val="21"/>
                <w:highlight w:val="none"/>
              </w:rPr>
              <w:t>　</w:t>
            </w:r>
          </w:p>
        </w:tc>
        <w:tc>
          <w:tcPr>
            <w:tcW w:w="1327" w:type="dxa"/>
            <w:vAlign w:val="center"/>
          </w:tcPr>
          <w:p>
            <w:pPr>
              <w:jc w:val="center"/>
              <w:rPr>
                <w:rFonts w:hint="eastAsia" w:ascii="仿宋_GB2312" w:eastAsia="仿宋_GB2312"/>
                <w:color w:val="000000"/>
                <w:szCs w:val="21"/>
                <w:highlight w:val="none"/>
                <w:lang w:eastAsia="zh-CN"/>
              </w:rPr>
            </w:pPr>
            <w:r>
              <w:rPr>
                <w:rFonts w:hint="eastAsia" w:ascii="仿宋_GB2312" w:eastAsia="仿宋_GB2312"/>
                <w:color w:val="000000"/>
                <w:szCs w:val="21"/>
                <w:highlight w:val="none"/>
                <w:lang w:eastAsia="zh-CN"/>
              </w:rPr>
              <w:t>119.34</w:t>
            </w:r>
          </w:p>
        </w:tc>
        <w:tc>
          <w:tcPr>
            <w:tcW w:w="1435" w:type="dxa"/>
            <w:vAlign w:val="center"/>
          </w:tcPr>
          <w:p>
            <w:pPr>
              <w:rPr>
                <w:rFonts w:ascii="仿宋_GB2312" w:eastAsia="仿宋_GB2312"/>
                <w:szCs w:val="21"/>
                <w:highlight w:val="none"/>
              </w:rPr>
            </w:pPr>
          </w:p>
        </w:tc>
        <w:tc>
          <w:tcPr>
            <w:tcW w:w="1378" w:type="dxa"/>
            <w:vAlign w:val="center"/>
          </w:tcPr>
          <w:p>
            <w:pPr>
              <w:jc w:val="center"/>
              <w:rPr>
                <w:rFonts w:hint="eastAsia" w:ascii="仿宋_GB2312" w:eastAsia="仿宋_GB2312"/>
                <w:szCs w:val="21"/>
                <w:highlight w:val="none"/>
                <w:lang w:eastAsia="zh-CN"/>
              </w:rPr>
            </w:pPr>
            <w:r>
              <w:rPr>
                <w:rFonts w:hint="eastAsia" w:ascii="仿宋_GB2312" w:eastAsia="仿宋_GB2312"/>
                <w:szCs w:val="21"/>
                <w:highlight w:val="none"/>
                <w:lang w:eastAsia="zh-CN"/>
              </w:rPr>
              <w:t>23.7845</w:t>
            </w:r>
          </w:p>
        </w:tc>
        <w:tc>
          <w:tcPr>
            <w:tcW w:w="2805" w:type="dxa"/>
            <w:vAlign w:val="center"/>
          </w:tcPr>
          <w:p>
            <w:pPr>
              <w:jc w:val="center"/>
              <w:rPr>
                <w:rFonts w:ascii="仿宋_GB2312" w:eastAsia="仿宋_GB2312"/>
                <w:szCs w:val="21"/>
                <w:highlight w:val="none"/>
              </w:rPr>
            </w:pPr>
            <w:r>
              <w:rPr>
                <w:rFonts w:hint="eastAsia" w:ascii="仿宋_GB2312" w:eastAsia="仿宋_GB2312"/>
                <w:szCs w:val="21"/>
                <w:highlight w:val="none"/>
                <w:lang w:eastAsia="zh-CN"/>
              </w:rPr>
              <w:t>贰拾叁万柒仟捌佰肆拾伍</w:t>
            </w:r>
            <w:r>
              <w:rPr>
                <w:rFonts w:hint="eastAsia" w:ascii="仿宋_GB2312" w:eastAsia="仿宋_GB2312"/>
                <w:szCs w:val="21"/>
                <w:highlight w:val="none"/>
              </w:rPr>
              <w:t>元整</w:t>
            </w:r>
          </w:p>
        </w:tc>
      </w:tr>
    </w:tbl>
    <w:p>
      <w:pPr>
        <w:spacing w:line="600" w:lineRule="exact"/>
        <w:ind w:firstLine="562" w:firstLineChars="200"/>
        <w:rPr>
          <w:rFonts w:eastAsia="楷体_GB2312"/>
          <w:b/>
          <w:bCs/>
          <w:sz w:val="28"/>
          <w:szCs w:val="28"/>
        </w:rPr>
      </w:pPr>
      <w:r>
        <w:rPr>
          <w:rFonts w:hint="eastAsia" w:eastAsia="楷体_GB2312"/>
          <w:b/>
          <w:bCs/>
          <w:sz w:val="28"/>
          <w:szCs w:val="28"/>
        </w:rPr>
        <w:t>特别提示：</w:t>
      </w:r>
    </w:p>
    <w:p>
      <w:pPr>
        <w:numPr>
          <w:ilvl w:val="0"/>
          <w:numId w:val="2"/>
        </w:numPr>
        <w:spacing w:line="600" w:lineRule="exact"/>
        <w:ind w:left="0" w:firstLine="562" w:firstLineChars="200"/>
        <w:rPr>
          <w:rFonts w:eastAsia="仿宋_GB2312"/>
          <w:b/>
          <w:sz w:val="28"/>
          <w:szCs w:val="28"/>
        </w:rPr>
      </w:pPr>
      <w:r>
        <w:rPr>
          <w:rFonts w:hint="eastAsia" w:eastAsia="仿宋_GB2312"/>
          <w:b/>
          <w:sz w:val="28"/>
          <w:szCs w:val="28"/>
        </w:rPr>
        <w:t>本次评估委托方提供了估价对象的《</w:t>
      </w:r>
      <w:r>
        <w:rPr>
          <w:rFonts w:hint="eastAsia" w:eastAsia="仿宋_GB2312"/>
          <w:b/>
          <w:sz w:val="28"/>
          <w:szCs w:val="28"/>
          <w:lang w:eastAsia="zh-CN"/>
        </w:rPr>
        <w:t>内蒙古自治区房地产权属登记簿</w:t>
      </w:r>
      <w:r>
        <w:rPr>
          <w:rFonts w:hint="eastAsia" w:eastAsia="仿宋_GB2312"/>
          <w:b/>
          <w:sz w:val="28"/>
          <w:szCs w:val="28"/>
        </w:rPr>
        <w:t>》，评估结果是在现有收集到的资料信息基础上评估测算的结果。</w:t>
      </w:r>
    </w:p>
    <w:p>
      <w:pPr>
        <w:numPr>
          <w:ilvl w:val="0"/>
          <w:numId w:val="2"/>
        </w:numPr>
        <w:spacing w:line="600" w:lineRule="exact"/>
        <w:ind w:left="0" w:firstLine="562" w:firstLineChars="200"/>
        <w:rPr>
          <w:rFonts w:eastAsia="仿宋_GB2312"/>
          <w:b/>
          <w:sz w:val="28"/>
          <w:szCs w:val="28"/>
        </w:rPr>
      </w:pPr>
      <w:r>
        <w:rPr>
          <w:rFonts w:eastAsia="仿宋_GB2312"/>
          <w:b/>
          <w:sz w:val="28"/>
          <w:szCs w:val="28"/>
        </w:rPr>
        <w:t>根据</w:t>
      </w:r>
      <w:r>
        <w:rPr>
          <w:rFonts w:hint="eastAsia" w:eastAsia="仿宋_GB2312"/>
          <w:b/>
          <w:sz w:val="28"/>
          <w:szCs w:val="28"/>
        </w:rPr>
        <w:t>委托方提供的</w:t>
      </w:r>
      <w:r>
        <w:rPr>
          <w:rFonts w:eastAsia="仿宋_GB2312"/>
          <w:b/>
          <w:sz w:val="28"/>
          <w:szCs w:val="28"/>
        </w:rPr>
        <w:t>《</w:t>
      </w:r>
      <w:r>
        <w:rPr>
          <w:rFonts w:hint="eastAsia" w:eastAsia="仿宋_GB2312"/>
          <w:b/>
          <w:sz w:val="28"/>
          <w:szCs w:val="28"/>
        </w:rPr>
        <w:t>内蒙古自治区乌拉特后旗人民法院执行裁定书</w:t>
      </w:r>
      <w:r>
        <w:rPr>
          <w:rFonts w:eastAsia="仿宋_GB2312"/>
          <w:b/>
          <w:sz w:val="28"/>
          <w:szCs w:val="28"/>
        </w:rPr>
        <w:t>》</w:t>
      </w:r>
      <w:r>
        <w:rPr>
          <w:rFonts w:hint="eastAsia" w:eastAsia="仿宋_GB2312"/>
          <w:b/>
          <w:sz w:val="28"/>
          <w:szCs w:val="28"/>
        </w:rPr>
        <w:t>和</w:t>
      </w:r>
      <w:r>
        <w:rPr>
          <w:rFonts w:eastAsia="仿宋_GB2312"/>
          <w:b/>
          <w:sz w:val="28"/>
          <w:szCs w:val="28"/>
        </w:rPr>
        <w:t>《</w:t>
      </w:r>
      <w:r>
        <w:rPr>
          <w:rFonts w:hint="eastAsia" w:eastAsia="仿宋_GB2312"/>
          <w:b/>
          <w:sz w:val="28"/>
          <w:szCs w:val="28"/>
          <w:lang w:eastAsia="zh-CN"/>
        </w:rPr>
        <w:t>内蒙古自治区房地产权属登记簿</w:t>
      </w:r>
      <w:r>
        <w:rPr>
          <w:rFonts w:eastAsia="仿宋_GB2312"/>
          <w:b/>
          <w:sz w:val="28"/>
          <w:szCs w:val="28"/>
        </w:rPr>
        <w:t>》</w:t>
      </w:r>
      <w:r>
        <w:rPr>
          <w:rFonts w:hint="eastAsia" w:eastAsia="仿宋_GB2312"/>
          <w:b/>
          <w:sz w:val="28"/>
          <w:szCs w:val="28"/>
        </w:rPr>
        <w:t>可知</w:t>
      </w:r>
      <w:r>
        <w:rPr>
          <w:rFonts w:eastAsia="仿宋_GB2312"/>
          <w:b/>
          <w:sz w:val="28"/>
          <w:szCs w:val="28"/>
        </w:rPr>
        <w:t>，待估对象存在查封</w:t>
      </w:r>
      <w:r>
        <w:rPr>
          <w:rFonts w:hint="eastAsia" w:eastAsia="仿宋_GB2312"/>
          <w:b/>
          <w:sz w:val="28"/>
          <w:szCs w:val="28"/>
        </w:rPr>
        <w:t>及抵押</w:t>
      </w:r>
      <w:r>
        <w:rPr>
          <w:rFonts w:eastAsia="仿宋_GB2312"/>
          <w:b/>
          <w:sz w:val="28"/>
          <w:szCs w:val="28"/>
        </w:rPr>
        <w:t>情况。根据《房地产估价规范》（GB/T50291-2015）第5.4条：“房地产司法拍卖估价时，评估价值的影响因素应包括拍卖房地产的瑕疵，但不应包括拍卖房地产被查封及拍卖房地产上原有的担保物权和其他优先受偿权。”故本次评估未考虑其查封</w:t>
      </w:r>
      <w:r>
        <w:rPr>
          <w:rFonts w:hint="eastAsia" w:eastAsia="仿宋_GB2312"/>
          <w:b/>
          <w:sz w:val="28"/>
          <w:szCs w:val="28"/>
        </w:rPr>
        <w:t>及抵押</w:t>
      </w:r>
      <w:r>
        <w:rPr>
          <w:rFonts w:eastAsia="仿宋_GB2312"/>
          <w:b/>
          <w:sz w:val="28"/>
          <w:szCs w:val="28"/>
        </w:rPr>
        <w:t>情况。</w:t>
      </w:r>
    </w:p>
    <w:p>
      <w:pPr>
        <w:numPr>
          <w:ilvl w:val="0"/>
          <w:numId w:val="2"/>
        </w:numPr>
        <w:spacing w:line="540" w:lineRule="exact"/>
        <w:ind w:left="0" w:firstLine="562" w:firstLineChars="200"/>
        <w:rPr>
          <w:rFonts w:ascii="仿宋_GB2312" w:hAnsi="仿宋" w:eastAsia="仿宋_GB2312"/>
          <w:b/>
          <w:sz w:val="28"/>
          <w:szCs w:val="28"/>
        </w:rPr>
      </w:pPr>
      <w:r>
        <w:rPr>
          <w:rFonts w:hint="eastAsia" w:ascii="仿宋_GB2312" w:hAnsi="仿宋" w:eastAsia="仿宋_GB2312"/>
          <w:b/>
          <w:sz w:val="28"/>
          <w:szCs w:val="28"/>
        </w:rPr>
        <w:t>根据委托方要求，本次估价价值时点为2018年11月19日，实地查勘日期为2018年11月19日，价值时点与完成实地查勘日期一致，本次估价假定价值时点的状况与完成实地查勘之日的状况一致。</w:t>
      </w:r>
    </w:p>
    <w:p>
      <w:pPr>
        <w:numPr>
          <w:ilvl w:val="0"/>
          <w:numId w:val="2"/>
        </w:numPr>
        <w:spacing w:line="600" w:lineRule="exact"/>
        <w:ind w:left="0" w:firstLine="562" w:firstLineChars="200"/>
        <w:rPr>
          <w:rFonts w:eastAsia="仿宋_GB2312"/>
          <w:b/>
          <w:sz w:val="28"/>
          <w:szCs w:val="28"/>
        </w:rPr>
      </w:pPr>
      <w:r>
        <w:rPr>
          <w:rFonts w:hint="eastAsia" w:eastAsia="仿宋_GB2312"/>
          <w:b/>
          <w:sz w:val="28"/>
          <w:szCs w:val="28"/>
        </w:rPr>
        <w:t>本次估价结果受价值时点的限制，且本估价报告使用期限自估价报告出具之日</w:t>
      </w:r>
      <w:r>
        <w:rPr>
          <w:rFonts w:hint="eastAsia" w:eastAsia="仿宋_GB2312"/>
          <w:b/>
          <w:sz w:val="28"/>
          <w:szCs w:val="28"/>
          <w:highlight w:val="none"/>
          <w:lang w:eastAsia="zh-CN"/>
        </w:rPr>
        <w:t>二〇一八年十一月二十六日</w:t>
      </w:r>
      <w:r>
        <w:rPr>
          <w:rFonts w:hint="eastAsia" w:eastAsia="仿宋_GB2312"/>
          <w:b/>
          <w:sz w:val="28"/>
          <w:szCs w:val="28"/>
        </w:rPr>
        <w:t>起为壹年。提醒委托人在使用报告时关注此点。</w:t>
      </w:r>
    </w:p>
    <w:p>
      <w:pPr>
        <w:adjustRightInd w:val="0"/>
        <w:snapToGrid w:val="0"/>
        <w:spacing w:line="480" w:lineRule="auto"/>
        <w:ind w:firstLine="3626" w:firstLineChars="1290"/>
        <w:rPr>
          <w:rFonts w:eastAsia="仿宋_GB2312"/>
          <w:b/>
          <w:sz w:val="28"/>
          <w:szCs w:val="28"/>
        </w:rPr>
      </w:pPr>
      <w:r>
        <w:rPr>
          <w:rFonts w:hint="eastAsia" w:eastAsia="仿宋_GB2312"/>
          <w:b/>
          <w:sz w:val="28"/>
          <w:szCs w:val="28"/>
        </w:rPr>
        <w:t xml:space="preserve"> </w:t>
      </w:r>
    </w:p>
    <w:p>
      <w:pPr>
        <w:adjustRightInd w:val="0"/>
        <w:snapToGrid w:val="0"/>
        <w:spacing w:line="480" w:lineRule="auto"/>
        <w:ind w:firstLine="3612" w:firstLineChars="1290"/>
        <w:rPr>
          <w:rFonts w:eastAsia="仿宋_GB2312"/>
          <w:sz w:val="28"/>
          <w:szCs w:val="28"/>
        </w:rPr>
      </w:pPr>
    </w:p>
    <w:p>
      <w:pPr>
        <w:adjustRightInd w:val="0"/>
        <w:snapToGrid w:val="0"/>
        <w:spacing w:line="480" w:lineRule="auto"/>
        <w:ind w:firstLine="3612" w:firstLineChars="1290"/>
        <w:rPr>
          <w:rFonts w:eastAsia="仿宋_GB2312"/>
          <w:sz w:val="28"/>
          <w:szCs w:val="28"/>
        </w:rPr>
      </w:pPr>
    </w:p>
    <w:p>
      <w:pPr>
        <w:adjustRightInd w:val="0"/>
        <w:snapToGrid w:val="0"/>
        <w:spacing w:line="480" w:lineRule="auto"/>
        <w:ind w:firstLine="3612" w:firstLineChars="1290"/>
        <w:rPr>
          <w:rFonts w:eastAsia="仿宋_GB2312"/>
          <w:sz w:val="28"/>
          <w:szCs w:val="28"/>
        </w:rPr>
      </w:pPr>
    </w:p>
    <w:p>
      <w:pPr>
        <w:adjustRightInd w:val="0"/>
        <w:snapToGrid w:val="0"/>
        <w:spacing w:line="480" w:lineRule="auto"/>
        <w:ind w:firstLine="3612" w:firstLineChars="1290"/>
        <w:rPr>
          <w:rFonts w:eastAsia="仿宋_GB2312"/>
          <w:sz w:val="28"/>
          <w:szCs w:val="28"/>
        </w:rPr>
      </w:pPr>
    </w:p>
    <w:p>
      <w:pPr>
        <w:adjustRightInd w:val="0"/>
        <w:snapToGrid w:val="0"/>
        <w:spacing w:line="480" w:lineRule="auto"/>
        <w:ind w:firstLine="3612" w:firstLineChars="1290"/>
        <w:rPr>
          <w:rFonts w:eastAsia="仿宋_GB2312"/>
          <w:sz w:val="28"/>
          <w:szCs w:val="28"/>
        </w:rPr>
      </w:pPr>
      <w:r>
        <w:rPr>
          <w:rFonts w:eastAsia="仿宋_GB2312"/>
          <w:sz w:val="28"/>
          <w:szCs w:val="28"/>
        </w:rPr>
        <w:t>内蒙古科瑞房地产土地资产评估有限公司</w:t>
      </w:r>
    </w:p>
    <w:p>
      <w:pPr>
        <w:adjustRightInd w:val="0"/>
        <w:snapToGrid w:val="0"/>
        <w:spacing w:line="480" w:lineRule="auto"/>
        <w:ind w:firstLine="5040" w:firstLineChars="1800"/>
        <w:rPr>
          <w:rFonts w:eastAsia="仿宋_GB2312"/>
          <w:sz w:val="28"/>
          <w:szCs w:val="28"/>
        </w:rPr>
      </w:pPr>
    </w:p>
    <w:p>
      <w:pPr>
        <w:adjustRightInd w:val="0"/>
        <w:snapToGrid w:val="0"/>
        <w:spacing w:line="480" w:lineRule="auto"/>
        <w:ind w:firstLine="5040" w:firstLineChars="1800"/>
        <w:rPr>
          <w:rFonts w:eastAsia="仿宋_GB2312"/>
          <w:sz w:val="28"/>
          <w:szCs w:val="28"/>
        </w:rPr>
      </w:pPr>
      <w:r>
        <w:rPr>
          <w:rFonts w:eastAsia="仿宋_GB2312"/>
          <w:sz w:val="28"/>
          <w:szCs w:val="28"/>
        </w:rPr>
        <w:t>法定代表人：</w:t>
      </w:r>
    </w:p>
    <w:p>
      <w:pPr>
        <w:adjustRightInd w:val="0"/>
        <w:snapToGrid w:val="0"/>
        <w:spacing w:line="480" w:lineRule="auto"/>
        <w:ind w:firstLine="5040" w:firstLineChars="1800"/>
        <w:rPr>
          <w:rFonts w:eastAsia="仿宋_GB2312"/>
          <w:sz w:val="28"/>
          <w:szCs w:val="28"/>
        </w:rPr>
      </w:pPr>
    </w:p>
    <w:p>
      <w:pPr>
        <w:adjustRightInd w:val="0"/>
        <w:snapToGrid w:val="0"/>
        <w:spacing w:line="480" w:lineRule="auto"/>
        <w:ind w:firstLine="5040" w:firstLineChars="1800"/>
        <w:rPr>
          <w:rFonts w:hint="eastAsia" w:eastAsia="仿宋_GB2312"/>
          <w:sz w:val="28"/>
          <w:szCs w:val="28"/>
          <w:lang w:eastAsia="zh-CN"/>
        </w:rPr>
        <w:sectPr>
          <w:pgSz w:w="11906" w:h="16838"/>
          <w:pgMar w:top="1814" w:right="1133" w:bottom="1418" w:left="1701" w:header="1417" w:footer="737" w:gutter="0"/>
          <w:pgNumType w:start="1"/>
          <w:cols w:space="720" w:num="1"/>
          <w:docGrid w:linePitch="286" w:charSpace="0"/>
        </w:sectPr>
      </w:pPr>
      <w:r>
        <w:rPr>
          <w:rFonts w:eastAsia="仿宋_GB2312"/>
          <w:sz w:val="28"/>
          <w:szCs w:val="28"/>
        </w:rPr>
        <w:t xml:space="preserve"> </w:t>
      </w:r>
      <w:r>
        <w:rPr>
          <w:rFonts w:hint="eastAsia" w:eastAsia="仿宋_GB2312"/>
          <w:sz w:val="28"/>
          <w:szCs w:val="28"/>
          <w:highlight w:val="none"/>
          <w:lang w:eastAsia="zh-CN"/>
        </w:rPr>
        <w:t>二〇一八年十一月二十六日</w:t>
      </w:r>
    </w:p>
    <w:p>
      <w:pPr>
        <w:adjustRightInd w:val="0"/>
        <w:snapToGrid w:val="0"/>
        <w:spacing w:line="360" w:lineRule="auto"/>
        <w:ind w:firstLine="374" w:firstLineChars="133"/>
        <w:jc w:val="center"/>
        <w:rPr>
          <w:rFonts w:eastAsia="仿宋_GB2312"/>
          <w:b/>
          <w:snapToGrid w:val="0"/>
          <w:color w:val="000000"/>
          <w:kern w:val="0"/>
          <w:sz w:val="28"/>
          <w:szCs w:val="28"/>
        </w:rPr>
      </w:pPr>
      <w:r>
        <w:rPr>
          <w:rFonts w:eastAsia="仿宋_GB2312"/>
          <w:b/>
          <w:snapToGrid w:val="0"/>
          <w:color w:val="000000"/>
          <w:kern w:val="0"/>
          <w:sz w:val="28"/>
          <w:szCs w:val="28"/>
        </w:rPr>
        <w:t>目  录</w:t>
      </w:r>
    </w:p>
    <w:p>
      <w:pPr>
        <w:pStyle w:val="28"/>
        <w:tabs>
          <w:tab w:val="right" w:leader="dot" w:pos="8948"/>
        </w:tabs>
        <w:rPr>
          <w:rFonts w:ascii="仿宋_GB2312" w:eastAsia="仿宋_GB2312" w:cs="Times New Roman"/>
          <w:b w:val="0"/>
          <w:bCs w:val="0"/>
          <w:caps w:val="0"/>
          <w:sz w:val="28"/>
          <w:szCs w:val="28"/>
        </w:rPr>
      </w:pPr>
      <w:r>
        <w:rPr>
          <w:rFonts w:hint="eastAsia" w:ascii="仿宋_GB2312" w:hAnsi="Times New Roman" w:eastAsia="仿宋_GB2312" w:cs="Times New Roman"/>
          <w:snapToGrid w:val="0"/>
          <w:color w:val="000000"/>
          <w:kern w:val="0"/>
          <w:sz w:val="28"/>
          <w:szCs w:val="28"/>
        </w:rPr>
        <w:fldChar w:fldCharType="begin"/>
      </w:r>
      <w:r>
        <w:rPr>
          <w:rFonts w:hint="eastAsia" w:ascii="仿宋_GB2312" w:hAnsi="Times New Roman" w:eastAsia="仿宋_GB2312" w:cs="Times New Roman"/>
          <w:snapToGrid w:val="0"/>
          <w:color w:val="000000"/>
          <w:kern w:val="0"/>
          <w:sz w:val="28"/>
          <w:szCs w:val="28"/>
        </w:rPr>
        <w:instrText xml:space="preserve"> TOC \o "1-3" \h \z \u </w:instrText>
      </w:r>
      <w:r>
        <w:rPr>
          <w:rFonts w:hint="eastAsia" w:ascii="仿宋_GB2312" w:hAnsi="Times New Roman" w:eastAsia="仿宋_GB2312" w:cs="Times New Roman"/>
          <w:snapToGrid w:val="0"/>
          <w:color w:val="000000"/>
          <w:kern w:val="0"/>
          <w:sz w:val="28"/>
          <w:szCs w:val="28"/>
        </w:rPr>
        <w:fldChar w:fldCharType="separate"/>
      </w:r>
      <w:r>
        <w:fldChar w:fldCharType="begin"/>
      </w:r>
      <w:r>
        <w:instrText xml:space="preserve"> HYPERLINK \l "_Toc521268497" </w:instrText>
      </w:r>
      <w:r>
        <w:fldChar w:fldCharType="separate"/>
      </w:r>
      <w:r>
        <w:rPr>
          <w:rStyle w:val="45"/>
          <w:rFonts w:hint="eastAsia" w:ascii="仿宋_GB2312" w:eastAsia="仿宋_GB2312"/>
          <w:sz w:val="28"/>
          <w:szCs w:val="28"/>
        </w:rPr>
        <w:t>致估价委托方函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_Toc521268497 \h </w:instrText>
      </w:r>
      <w:r>
        <w:rPr>
          <w:rFonts w:hint="eastAsia" w:ascii="仿宋_GB2312" w:eastAsia="仿宋_GB2312"/>
          <w:sz w:val="28"/>
          <w:szCs w:val="28"/>
        </w:rPr>
        <w:fldChar w:fldCharType="separate"/>
      </w:r>
      <w:r>
        <w:rPr>
          <w:rFonts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8"/>
        <w:tabs>
          <w:tab w:val="right" w:leader="dot" w:pos="8948"/>
        </w:tabs>
        <w:rPr>
          <w:rFonts w:ascii="仿宋_GB2312" w:eastAsia="仿宋_GB2312" w:cs="Times New Roman"/>
          <w:b w:val="0"/>
          <w:bCs w:val="0"/>
          <w:caps w:val="0"/>
          <w:sz w:val="28"/>
          <w:szCs w:val="28"/>
        </w:rPr>
      </w:pPr>
      <w:r>
        <w:fldChar w:fldCharType="begin"/>
      </w:r>
      <w:r>
        <w:instrText xml:space="preserve"> HYPERLINK \l "_Toc521268498" </w:instrText>
      </w:r>
      <w:r>
        <w:fldChar w:fldCharType="separate"/>
      </w:r>
      <w:r>
        <w:rPr>
          <w:rStyle w:val="45"/>
          <w:rFonts w:hint="eastAsia" w:ascii="仿宋_GB2312" w:eastAsia="仿宋_GB2312"/>
          <w:sz w:val="28"/>
          <w:szCs w:val="28"/>
        </w:rPr>
        <w:t>一、估价师声明</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_Toc521268498 \h </w:instrText>
      </w:r>
      <w:r>
        <w:rPr>
          <w:rFonts w:hint="eastAsia" w:ascii="仿宋_GB2312" w:eastAsia="仿宋_GB2312"/>
          <w:sz w:val="28"/>
          <w:szCs w:val="28"/>
        </w:rPr>
        <w:fldChar w:fldCharType="separate"/>
      </w:r>
      <w:r>
        <w:rPr>
          <w:rFonts w:ascii="仿宋_GB2312" w:eastAsia="仿宋_GB2312"/>
          <w:sz w:val="28"/>
          <w:szCs w:val="28"/>
        </w:rPr>
        <w:t>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8"/>
        <w:tabs>
          <w:tab w:val="right" w:leader="dot" w:pos="8948"/>
        </w:tabs>
        <w:rPr>
          <w:rFonts w:ascii="仿宋_GB2312" w:eastAsia="仿宋_GB2312" w:cs="Times New Roman"/>
          <w:b w:val="0"/>
          <w:bCs w:val="0"/>
          <w:caps w:val="0"/>
          <w:sz w:val="28"/>
          <w:szCs w:val="28"/>
        </w:rPr>
      </w:pPr>
      <w:r>
        <w:fldChar w:fldCharType="begin"/>
      </w:r>
      <w:r>
        <w:instrText xml:space="preserve"> HYPERLINK \l "_Toc521268499" </w:instrText>
      </w:r>
      <w:r>
        <w:fldChar w:fldCharType="separate"/>
      </w:r>
      <w:r>
        <w:rPr>
          <w:rStyle w:val="45"/>
          <w:rFonts w:hint="eastAsia" w:ascii="仿宋_GB2312" w:eastAsia="仿宋_GB2312"/>
          <w:sz w:val="28"/>
          <w:szCs w:val="28"/>
        </w:rPr>
        <w:t>二、估价假设和限制条件</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_Toc521268499 \h </w:instrText>
      </w:r>
      <w:r>
        <w:rPr>
          <w:rFonts w:hint="eastAsia" w:ascii="仿宋_GB2312" w:eastAsia="仿宋_GB2312"/>
          <w:sz w:val="28"/>
          <w:szCs w:val="28"/>
        </w:rPr>
        <w:fldChar w:fldCharType="separate"/>
      </w:r>
      <w:r>
        <w:rPr>
          <w:rFonts w:ascii="仿宋_GB2312" w:eastAsia="仿宋_GB2312"/>
          <w:sz w:val="28"/>
          <w:szCs w:val="28"/>
        </w:rPr>
        <w:t>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8"/>
        <w:tabs>
          <w:tab w:val="right" w:leader="dot" w:pos="8948"/>
        </w:tabs>
        <w:rPr>
          <w:rFonts w:ascii="仿宋_GB2312" w:eastAsia="仿宋_GB2312" w:cs="Times New Roman"/>
          <w:b w:val="0"/>
          <w:bCs w:val="0"/>
          <w:caps w:val="0"/>
          <w:sz w:val="28"/>
          <w:szCs w:val="28"/>
        </w:rPr>
      </w:pPr>
      <w:r>
        <w:fldChar w:fldCharType="begin"/>
      </w:r>
      <w:r>
        <w:instrText xml:space="preserve"> HYPERLINK \l "_Toc521268500" </w:instrText>
      </w:r>
      <w:r>
        <w:fldChar w:fldCharType="separate"/>
      </w:r>
      <w:r>
        <w:rPr>
          <w:rStyle w:val="45"/>
          <w:rFonts w:hint="eastAsia" w:ascii="仿宋_GB2312" w:eastAsia="仿宋_GB2312"/>
          <w:sz w:val="28"/>
          <w:szCs w:val="28"/>
        </w:rPr>
        <w:t>三、估价结果报告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_Toc521268500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"_Toc521268501" </w:instrText>
      </w:r>
      <w:r>
        <w:fldChar w:fldCharType="separate"/>
      </w:r>
      <w:r>
        <w:rPr>
          <w:rStyle w:val="45"/>
          <w:rFonts w:hint="eastAsia" w:ascii="仿宋_GB2312" w:hAnsi="Times New Roman" w:eastAsia="仿宋_GB2312"/>
          <w:sz w:val="28"/>
          <w:szCs w:val="28"/>
        </w:rPr>
        <w:t>（一）估价委托人</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_Toc521268501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"_Toc521268502" </w:instrText>
      </w:r>
      <w:r>
        <w:fldChar w:fldCharType="separate"/>
      </w:r>
      <w:r>
        <w:rPr>
          <w:rStyle w:val="45"/>
          <w:rFonts w:hint="eastAsia" w:ascii="仿宋_GB2312" w:hAnsi="Times New Roman" w:eastAsia="仿宋_GB2312"/>
          <w:sz w:val="28"/>
          <w:szCs w:val="28"/>
        </w:rPr>
        <w:t>（二）房地产估价机构</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_Toc521268502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"_Toc521268503" </w:instrText>
      </w:r>
      <w:r>
        <w:fldChar w:fldCharType="separate"/>
      </w:r>
      <w:r>
        <w:rPr>
          <w:rStyle w:val="45"/>
          <w:rFonts w:hint="eastAsia" w:ascii="仿宋_GB2312" w:hAnsi="Times New Roman" w:eastAsia="仿宋_GB2312"/>
          <w:sz w:val="28"/>
          <w:szCs w:val="28"/>
        </w:rPr>
        <w:t>（三）估价目的</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_Toc521268503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"_Toc521268504" </w:instrText>
      </w:r>
      <w:r>
        <w:fldChar w:fldCharType="separate"/>
      </w:r>
      <w:r>
        <w:rPr>
          <w:rStyle w:val="45"/>
          <w:rFonts w:hint="eastAsia" w:ascii="仿宋_GB2312" w:hAnsi="Times New Roman" w:eastAsia="仿宋_GB2312"/>
          <w:sz w:val="28"/>
          <w:szCs w:val="28"/>
        </w:rPr>
        <w:t>（四）估价对象</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_Toc521268504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"_Toc521268505" </w:instrText>
      </w:r>
      <w:r>
        <w:fldChar w:fldCharType="separate"/>
      </w:r>
      <w:r>
        <w:rPr>
          <w:rStyle w:val="45"/>
          <w:rFonts w:hint="eastAsia" w:ascii="仿宋_GB2312" w:hAnsi="Times New Roman" w:eastAsia="仿宋_GB2312"/>
          <w:sz w:val="28"/>
          <w:szCs w:val="28"/>
        </w:rPr>
        <w:t>（五）价值时点</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_Toc521268505 \h </w:instrText>
      </w:r>
      <w:r>
        <w:rPr>
          <w:rFonts w:hint="eastAsia" w:ascii="仿宋_GB2312" w:eastAsia="仿宋_GB2312"/>
          <w:sz w:val="28"/>
          <w:szCs w:val="28"/>
        </w:rPr>
        <w:fldChar w:fldCharType="separate"/>
      </w:r>
      <w:r>
        <w:rPr>
          <w:rFonts w:ascii="仿宋_GB2312" w:eastAsia="仿宋_GB2312"/>
          <w:sz w:val="28"/>
          <w:szCs w:val="28"/>
        </w:rPr>
        <w:t>12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"_Toc521268506" </w:instrText>
      </w:r>
      <w:r>
        <w:fldChar w:fldCharType="separate"/>
      </w:r>
      <w:r>
        <w:rPr>
          <w:rStyle w:val="45"/>
          <w:rFonts w:hint="eastAsia" w:ascii="仿宋_GB2312" w:hAnsi="Times New Roman" w:eastAsia="仿宋_GB2312"/>
          <w:sz w:val="28"/>
          <w:szCs w:val="28"/>
        </w:rPr>
        <w:t>（六）价值类型</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_Toc521268506 \h </w:instrText>
      </w:r>
      <w:r>
        <w:rPr>
          <w:rFonts w:hint="eastAsia" w:ascii="仿宋_GB2312" w:eastAsia="仿宋_GB2312"/>
          <w:sz w:val="28"/>
          <w:szCs w:val="28"/>
        </w:rPr>
        <w:fldChar w:fldCharType="separate"/>
      </w:r>
      <w:r>
        <w:rPr>
          <w:rFonts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"_Toc521268507" </w:instrText>
      </w:r>
      <w:r>
        <w:fldChar w:fldCharType="separate"/>
      </w:r>
      <w:r>
        <w:rPr>
          <w:rStyle w:val="45"/>
          <w:rFonts w:hint="eastAsia" w:ascii="仿宋_GB2312" w:hAnsi="Times New Roman" w:eastAsia="仿宋_GB2312"/>
          <w:sz w:val="28"/>
          <w:szCs w:val="28"/>
        </w:rPr>
        <w:t>（七）估价原则</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_Toc521268507 \h </w:instrText>
      </w:r>
      <w:r>
        <w:rPr>
          <w:rFonts w:hint="eastAsia" w:ascii="仿宋_GB2312" w:eastAsia="仿宋_GB2312"/>
          <w:sz w:val="28"/>
          <w:szCs w:val="28"/>
        </w:rPr>
        <w:fldChar w:fldCharType="separate"/>
      </w:r>
      <w:r>
        <w:rPr>
          <w:rFonts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"_Toc521268508" </w:instrText>
      </w:r>
      <w:r>
        <w:fldChar w:fldCharType="separate"/>
      </w:r>
      <w:r>
        <w:rPr>
          <w:rStyle w:val="45"/>
          <w:rFonts w:hint="eastAsia" w:ascii="仿宋_GB2312" w:hAnsi="Times New Roman" w:eastAsia="仿宋_GB2312"/>
          <w:sz w:val="28"/>
          <w:szCs w:val="28"/>
        </w:rPr>
        <w:t>（八）估价依据</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_Toc521268508 \h </w:instrText>
      </w:r>
      <w:r>
        <w:rPr>
          <w:rFonts w:hint="eastAsia" w:ascii="仿宋_GB2312" w:eastAsia="仿宋_GB2312"/>
          <w:sz w:val="28"/>
          <w:szCs w:val="28"/>
        </w:rPr>
        <w:fldChar w:fldCharType="separate"/>
      </w:r>
      <w:r>
        <w:rPr>
          <w:rFonts w:ascii="仿宋_GB2312" w:eastAsia="仿宋_GB2312"/>
          <w:sz w:val="28"/>
          <w:szCs w:val="28"/>
        </w:rPr>
        <w:t>14</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"_Toc521268509" </w:instrText>
      </w:r>
      <w:r>
        <w:fldChar w:fldCharType="separate"/>
      </w:r>
      <w:r>
        <w:rPr>
          <w:rStyle w:val="45"/>
          <w:rFonts w:hint="eastAsia" w:ascii="仿宋_GB2312" w:hAnsi="Times New Roman" w:eastAsia="仿宋_GB2312"/>
          <w:sz w:val="28"/>
          <w:szCs w:val="28"/>
        </w:rPr>
        <w:t>（九）估价方法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_Toc521268509 \h </w:instrText>
      </w:r>
      <w:r>
        <w:rPr>
          <w:rFonts w:hint="eastAsia" w:ascii="仿宋_GB2312" w:eastAsia="仿宋_GB2312"/>
          <w:sz w:val="28"/>
          <w:szCs w:val="28"/>
        </w:rPr>
        <w:fldChar w:fldCharType="separate"/>
      </w:r>
      <w:r>
        <w:rPr>
          <w:rFonts w:ascii="仿宋_GB2312" w:eastAsia="仿宋_GB2312"/>
          <w:sz w:val="28"/>
          <w:szCs w:val="28"/>
        </w:rPr>
        <w:t>15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"_Toc521268510" </w:instrText>
      </w:r>
      <w:r>
        <w:fldChar w:fldCharType="separate"/>
      </w:r>
      <w:r>
        <w:rPr>
          <w:rStyle w:val="45"/>
          <w:rFonts w:hint="eastAsia" w:ascii="仿宋_GB2312" w:hAnsi="Times New Roman" w:eastAsia="仿宋_GB2312"/>
          <w:sz w:val="28"/>
          <w:szCs w:val="28"/>
        </w:rPr>
        <w:t>（十）估价结果</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_Toc521268510 \h </w:instrText>
      </w:r>
      <w:r>
        <w:rPr>
          <w:rFonts w:hint="eastAsia" w:ascii="仿宋_GB2312" w:eastAsia="仿宋_GB2312"/>
          <w:sz w:val="28"/>
          <w:szCs w:val="28"/>
        </w:rPr>
        <w:fldChar w:fldCharType="separate"/>
      </w:r>
      <w:r>
        <w:rPr>
          <w:rFonts w:ascii="仿宋_GB2312" w:eastAsia="仿宋_GB2312"/>
          <w:sz w:val="28"/>
          <w:szCs w:val="28"/>
        </w:rPr>
        <w:t>15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"_Toc521268511" </w:instrText>
      </w:r>
      <w:r>
        <w:fldChar w:fldCharType="separate"/>
      </w:r>
      <w:r>
        <w:rPr>
          <w:rStyle w:val="45"/>
          <w:rFonts w:hint="eastAsia" w:ascii="仿宋_GB2312" w:hAnsi="Times New Roman" w:eastAsia="仿宋_GB2312"/>
          <w:sz w:val="28"/>
          <w:szCs w:val="28"/>
        </w:rPr>
        <w:t>（十一）注册房地产估价师</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_Toc521268511 \h </w:instrText>
      </w:r>
      <w:r>
        <w:rPr>
          <w:rFonts w:hint="eastAsia" w:ascii="仿宋_GB2312" w:eastAsia="仿宋_GB2312"/>
          <w:sz w:val="28"/>
          <w:szCs w:val="28"/>
        </w:rPr>
        <w:fldChar w:fldCharType="separate"/>
      </w:r>
      <w:r>
        <w:rPr>
          <w:rFonts w:ascii="仿宋_GB2312" w:eastAsia="仿宋_GB2312"/>
          <w:sz w:val="28"/>
          <w:szCs w:val="28"/>
        </w:rPr>
        <w:t>16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"_Toc521268512" </w:instrText>
      </w:r>
      <w:r>
        <w:fldChar w:fldCharType="separate"/>
      </w:r>
      <w:r>
        <w:rPr>
          <w:rStyle w:val="45"/>
          <w:rFonts w:hint="eastAsia" w:ascii="仿宋_GB2312" w:hAnsi="Times New Roman" w:eastAsia="仿宋_GB2312"/>
          <w:sz w:val="28"/>
          <w:szCs w:val="28"/>
        </w:rPr>
        <w:t>（十二）实地查勘期</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_Toc521268512 \h </w:instrText>
      </w:r>
      <w:r>
        <w:rPr>
          <w:rFonts w:hint="eastAsia" w:ascii="仿宋_GB2312" w:eastAsia="仿宋_GB2312"/>
          <w:sz w:val="28"/>
          <w:szCs w:val="28"/>
        </w:rPr>
        <w:fldChar w:fldCharType="separate"/>
      </w:r>
      <w:r>
        <w:rPr>
          <w:rFonts w:ascii="仿宋_GB2312" w:eastAsia="仿宋_GB2312"/>
          <w:sz w:val="28"/>
          <w:szCs w:val="28"/>
        </w:rPr>
        <w:t>16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"_Toc521268513" </w:instrText>
      </w:r>
      <w:r>
        <w:fldChar w:fldCharType="separate"/>
      </w:r>
      <w:r>
        <w:rPr>
          <w:rStyle w:val="45"/>
          <w:rFonts w:hint="eastAsia" w:ascii="仿宋_GB2312" w:hAnsi="Times New Roman" w:eastAsia="仿宋_GB2312"/>
          <w:sz w:val="28"/>
          <w:szCs w:val="28"/>
        </w:rPr>
        <w:t>（十三）估价作业期</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_Toc521268513 \h </w:instrText>
      </w:r>
      <w:r>
        <w:rPr>
          <w:rFonts w:hint="eastAsia" w:ascii="仿宋_GB2312" w:eastAsia="仿宋_GB2312"/>
          <w:sz w:val="28"/>
          <w:szCs w:val="28"/>
        </w:rPr>
        <w:fldChar w:fldCharType="separate"/>
      </w:r>
      <w:r>
        <w:rPr>
          <w:rFonts w:ascii="仿宋_GB2312" w:eastAsia="仿宋_GB2312"/>
          <w:sz w:val="28"/>
          <w:szCs w:val="28"/>
        </w:rPr>
        <w:t>16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8"/>
        <w:tabs>
          <w:tab w:val="right" w:leader="dot" w:pos="8948"/>
        </w:tabs>
        <w:rPr>
          <w:rFonts w:ascii="仿宋_GB2312" w:eastAsia="仿宋_GB2312" w:cs="Times New Roman"/>
          <w:b w:val="0"/>
          <w:bCs w:val="0"/>
          <w:caps w:val="0"/>
          <w:sz w:val="28"/>
          <w:szCs w:val="28"/>
        </w:rPr>
      </w:pPr>
      <w:r>
        <w:fldChar w:fldCharType="begin"/>
      </w:r>
      <w:r>
        <w:instrText xml:space="preserve"> HYPERLINK \l "_Toc521268514" </w:instrText>
      </w:r>
      <w:r>
        <w:fldChar w:fldCharType="separate"/>
      </w:r>
      <w:r>
        <w:rPr>
          <w:rStyle w:val="45"/>
          <w:rFonts w:hint="eastAsia" w:ascii="仿宋_GB2312" w:eastAsia="仿宋_GB2312"/>
          <w:sz w:val="28"/>
          <w:szCs w:val="28"/>
        </w:rPr>
        <w:t>四、估价技术报告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_Toc521268514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"_Toc521268515" </w:instrText>
      </w:r>
      <w:r>
        <w:fldChar w:fldCharType="separate"/>
      </w:r>
      <w:r>
        <w:rPr>
          <w:rStyle w:val="45"/>
          <w:rFonts w:hint="eastAsia" w:ascii="仿宋_GB2312" w:hAnsi="Times New Roman" w:eastAsia="仿宋_GB2312"/>
          <w:sz w:val="28"/>
          <w:szCs w:val="28"/>
        </w:rPr>
        <w:t>（一）实物状况描述与分析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_Toc521268515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"_Toc521268516" </w:instrText>
      </w:r>
      <w:r>
        <w:fldChar w:fldCharType="separate"/>
      </w:r>
      <w:r>
        <w:rPr>
          <w:rStyle w:val="45"/>
          <w:rFonts w:hint="eastAsia" w:ascii="仿宋_GB2312" w:hAnsi="Times New Roman" w:eastAsia="仿宋_GB2312"/>
          <w:sz w:val="28"/>
          <w:szCs w:val="28"/>
        </w:rPr>
        <w:t>（二）权益状况描述与分析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_Toc521268516 \h </w:instrText>
      </w:r>
      <w:r>
        <w:rPr>
          <w:rFonts w:hint="eastAsia" w:ascii="仿宋_GB2312" w:eastAsia="仿宋_GB2312"/>
          <w:sz w:val="28"/>
          <w:szCs w:val="28"/>
        </w:rPr>
        <w:fldChar w:fldCharType="separate"/>
      </w:r>
      <w:r>
        <w:rPr>
          <w:rFonts w:ascii="仿宋_GB2312" w:eastAsia="仿宋_GB2312"/>
          <w:sz w:val="28"/>
          <w:szCs w:val="28"/>
        </w:rPr>
        <w:t>19</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"_Toc521268517" </w:instrText>
      </w:r>
      <w:r>
        <w:fldChar w:fldCharType="separate"/>
      </w:r>
      <w:r>
        <w:rPr>
          <w:rStyle w:val="45"/>
          <w:rFonts w:hint="eastAsia" w:ascii="仿宋_GB2312" w:hAnsi="Times New Roman" w:eastAsia="仿宋_GB2312"/>
          <w:sz w:val="28"/>
          <w:szCs w:val="28"/>
        </w:rPr>
        <w:t>（三）区位状况描述与分析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_Toc521268517 \h </w:instrText>
      </w:r>
      <w:r>
        <w:rPr>
          <w:rFonts w:hint="eastAsia" w:ascii="仿宋_GB2312" w:eastAsia="仿宋_GB2312"/>
          <w:sz w:val="28"/>
          <w:szCs w:val="28"/>
        </w:rPr>
        <w:fldChar w:fldCharType="separate"/>
      </w:r>
      <w:r>
        <w:rPr>
          <w:rFonts w:ascii="仿宋_GB2312" w:eastAsia="仿宋_GB2312"/>
          <w:sz w:val="28"/>
          <w:szCs w:val="28"/>
        </w:rPr>
        <w:t>20</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"_Toc521268518" </w:instrText>
      </w:r>
      <w:r>
        <w:fldChar w:fldCharType="separate"/>
      </w:r>
      <w:r>
        <w:rPr>
          <w:rStyle w:val="45"/>
          <w:rFonts w:hint="eastAsia" w:ascii="仿宋_GB2312" w:hAnsi="Times New Roman" w:eastAsia="仿宋_GB2312"/>
          <w:sz w:val="28"/>
          <w:szCs w:val="28"/>
        </w:rPr>
        <w:t>（四）市场背景描述与分析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_Toc521268518 \h </w:instrText>
      </w:r>
      <w:r>
        <w:rPr>
          <w:rFonts w:hint="eastAsia" w:ascii="仿宋_GB2312" w:eastAsia="仿宋_GB2312"/>
          <w:sz w:val="28"/>
          <w:szCs w:val="28"/>
        </w:rPr>
        <w:fldChar w:fldCharType="separate"/>
      </w:r>
      <w:r>
        <w:rPr>
          <w:rFonts w:ascii="仿宋_GB2312" w:eastAsia="仿宋_GB2312"/>
          <w:sz w:val="28"/>
          <w:szCs w:val="28"/>
        </w:rPr>
        <w:t>20</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"_Toc521268519" </w:instrText>
      </w:r>
      <w:r>
        <w:fldChar w:fldCharType="separate"/>
      </w:r>
      <w:r>
        <w:rPr>
          <w:rStyle w:val="45"/>
          <w:rFonts w:hint="eastAsia" w:ascii="仿宋_GB2312" w:hAnsi="Times New Roman" w:eastAsia="仿宋_GB2312"/>
          <w:sz w:val="28"/>
          <w:szCs w:val="28"/>
        </w:rPr>
        <w:t>（五）最高最佳利用分析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_Toc521268519 \h </w:instrText>
      </w:r>
      <w:r>
        <w:rPr>
          <w:rFonts w:hint="eastAsia" w:ascii="仿宋_GB2312" w:eastAsia="仿宋_GB2312"/>
          <w:sz w:val="28"/>
          <w:szCs w:val="28"/>
        </w:rPr>
        <w:fldChar w:fldCharType="separate"/>
      </w:r>
      <w:r>
        <w:rPr>
          <w:rFonts w:ascii="仿宋_GB2312" w:eastAsia="仿宋_GB2312"/>
          <w:sz w:val="28"/>
          <w:szCs w:val="28"/>
        </w:rPr>
        <w:t>21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"_Toc521268520" </w:instrText>
      </w:r>
      <w:r>
        <w:fldChar w:fldCharType="separate"/>
      </w:r>
      <w:r>
        <w:rPr>
          <w:rStyle w:val="45"/>
          <w:rFonts w:hint="eastAsia" w:ascii="仿宋_GB2312" w:hAnsi="Times New Roman" w:eastAsia="仿宋_GB2312"/>
          <w:sz w:val="28"/>
          <w:szCs w:val="28"/>
        </w:rPr>
        <w:t>（六）估价方法选用</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_Toc521268520 \h </w:instrText>
      </w:r>
      <w:r>
        <w:rPr>
          <w:rFonts w:hint="eastAsia" w:ascii="仿宋_GB2312" w:eastAsia="仿宋_GB2312"/>
          <w:sz w:val="28"/>
          <w:szCs w:val="28"/>
        </w:rPr>
        <w:fldChar w:fldCharType="separate"/>
      </w:r>
      <w:r>
        <w:rPr>
          <w:rFonts w:ascii="仿宋_GB2312" w:eastAsia="仿宋_GB2312"/>
          <w:sz w:val="28"/>
          <w:szCs w:val="28"/>
        </w:rPr>
        <w:t>22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"_Toc521268521" </w:instrText>
      </w:r>
      <w:r>
        <w:fldChar w:fldCharType="separate"/>
      </w:r>
      <w:r>
        <w:rPr>
          <w:rStyle w:val="45"/>
          <w:rFonts w:hint="eastAsia" w:ascii="仿宋_GB2312" w:hAnsi="Times New Roman" w:eastAsia="仿宋_GB2312"/>
          <w:sz w:val="28"/>
          <w:szCs w:val="28"/>
        </w:rPr>
        <w:t>（七） 估价测算过程</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_Toc521268521 \h </w:instrText>
      </w:r>
      <w:r>
        <w:rPr>
          <w:rFonts w:hint="eastAsia" w:ascii="仿宋_GB2312" w:eastAsia="仿宋_GB2312"/>
          <w:sz w:val="28"/>
          <w:szCs w:val="28"/>
        </w:rPr>
        <w:fldChar w:fldCharType="separate"/>
      </w:r>
      <w:r>
        <w:rPr>
          <w:rFonts w:ascii="仿宋_GB2312" w:eastAsia="仿宋_GB2312"/>
          <w:sz w:val="28"/>
          <w:szCs w:val="28"/>
        </w:rPr>
        <w:t>23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7"/>
        <w:tabs>
          <w:tab w:val="right" w:leader="dot" w:pos="8948"/>
        </w:tabs>
        <w:rPr>
          <w:rFonts w:ascii="仿宋_GB2312" w:eastAsia="仿宋_GB2312" w:cs="Times New Roman"/>
          <w:smallCaps w:val="0"/>
          <w:sz w:val="28"/>
          <w:szCs w:val="28"/>
        </w:rPr>
      </w:pPr>
      <w:r>
        <w:fldChar w:fldCharType="begin"/>
      </w:r>
      <w:r>
        <w:instrText xml:space="preserve"> HYPERLINK \l "_Toc521268522" </w:instrText>
      </w:r>
      <w:r>
        <w:fldChar w:fldCharType="separate"/>
      </w:r>
      <w:r>
        <w:rPr>
          <w:rStyle w:val="45"/>
          <w:rFonts w:hint="eastAsia" w:ascii="仿宋_GB2312" w:hAnsi="Times New Roman" w:eastAsia="仿宋_GB2312"/>
          <w:sz w:val="28"/>
          <w:szCs w:val="28"/>
        </w:rPr>
        <w:t>（八）估价结果</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_Toc521268522 \h </w:instrText>
      </w:r>
      <w:r>
        <w:rPr>
          <w:rFonts w:hint="eastAsia" w:ascii="仿宋_GB2312" w:eastAsia="仿宋_GB2312"/>
          <w:sz w:val="28"/>
          <w:szCs w:val="28"/>
        </w:rPr>
        <w:fldChar w:fldCharType="separate"/>
      </w:r>
      <w:r>
        <w:rPr>
          <w:rFonts w:ascii="仿宋_GB2312" w:eastAsia="仿宋_GB2312"/>
          <w:sz w:val="28"/>
          <w:szCs w:val="28"/>
        </w:rPr>
        <w:t>46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8"/>
        <w:tabs>
          <w:tab w:val="right" w:leader="dot" w:pos="8948"/>
        </w:tabs>
        <w:rPr>
          <w:rFonts w:ascii="仿宋_GB2312" w:eastAsia="仿宋_GB2312" w:cs="Times New Roman"/>
          <w:b w:val="0"/>
          <w:bCs w:val="0"/>
          <w:caps w:val="0"/>
          <w:sz w:val="28"/>
          <w:szCs w:val="28"/>
        </w:rPr>
      </w:pPr>
      <w:r>
        <w:fldChar w:fldCharType="begin"/>
      </w:r>
      <w:r>
        <w:instrText xml:space="preserve"> HYPERLINK \l "_Toc521268523" </w:instrText>
      </w:r>
      <w:r>
        <w:fldChar w:fldCharType="separate"/>
      </w:r>
      <w:r>
        <w:rPr>
          <w:rStyle w:val="45"/>
          <w:rFonts w:hint="eastAsia" w:ascii="仿宋_GB2312" w:eastAsia="仿宋_GB2312"/>
          <w:sz w:val="28"/>
          <w:szCs w:val="28"/>
        </w:rPr>
        <w:t>五、附件</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_Toc521268523 \h </w:instrText>
      </w:r>
      <w:r>
        <w:rPr>
          <w:rFonts w:hint="eastAsia" w:ascii="仿宋_GB2312" w:eastAsia="仿宋_GB2312"/>
          <w:sz w:val="28"/>
          <w:szCs w:val="28"/>
        </w:rPr>
        <w:fldChar w:fldCharType="separate"/>
      </w:r>
      <w:r>
        <w:rPr>
          <w:rFonts w:ascii="仿宋_GB2312" w:eastAsia="仿宋_GB2312"/>
          <w:sz w:val="28"/>
          <w:szCs w:val="28"/>
        </w:rPr>
        <w:t>48</w:t>
      </w:r>
      <w:r>
        <w:rPr>
          <w:rFonts w:hint="eastAsia" w:ascii="仿宋_GB2312" w:eastAsia="仿宋_GB2312"/>
          <w:sz w:val="28"/>
          <w:szCs w:val="28"/>
        </w:rPr>
        <w:fldChar w:fldCharType="end"/>
      </w:r>
      <w:r>
        <w:rPr>
          <w:rFonts w:hint="eastAsia" w:ascii="仿宋_GB2312" w:eastAsia="仿宋_GB2312"/>
          <w:sz w:val="28"/>
          <w:szCs w:val="28"/>
        </w:rPr>
        <w:fldChar w:fldCharType="end"/>
      </w:r>
      <w:r>
        <w:rPr>
          <w:rStyle w:val="45"/>
          <w:rFonts w:hint="eastAsia" w:ascii="仿宋_GB2312" w:eastAsia="仿宋_GB2312"/>
          <w:sz w:val="28"/>
          <w:szCs w:val="28"/>
          <w:u w:val="none"/>
        </w:rPr>
        <w:t>-63</w:t>
      </w:r>
    </w:p>
    <w:p>
      <w:pPr>
        <w:tabs>
          <w:tab w:val="left" w:pos="8222"/>
        </w:tabs>
        <w:adjustRightInd w:val="0"/>
        <w:snapToGrid w:val="0"/>
        <w:spacing w:line="360" w:lineRule="auto"/>
        <w:ind w:firstLine="372" w:firstLineChars="133"/>
        <w:rPr>
          <w:rFonts w:eastAsia="仿宋_GB2312"/>
          <w:snapToGrid w:val="0"/>
          <w:color w:val="000000"/>
          <w:kern w:val="0"/>
          <w:sz w:val="28"/>
          <w:szCs w:val="28"/>
        </w:rPr>
      </w:pPr>
      <w:r>
        <w:rPr>
          <w:rFonts w:hint="eastAsia" w:ascii="仿宋_GB2312" w:eastAsia="仿宋_GB2312"/>
          <w:snapToGrid w:val="0"/>
          <w:color w:val="000000"/>
          <w:kern w:val="0"/>
          <w:sz w:val="28"/>
          <w:szCs w:val="28"/>
        </w:rPr>
        <w:fldChar w:fldCharType="end"/>
      </w:r>
    </w:p>
    <w:p>
      <w:pPr>
        <w:pStyle w:val="2"/>
        <w:spacing w:line="600" w:lineRule="exact"/>
        <w:rPr>
          <w:szCs w:val="28"/>
        </w:rPr>
      </w:pPr>
      <w:bookmarkStart w:id="3" w:name="_Toc301369710"/>
      <w:bookmarkStart w:id="4" w:name="_Toc521268498"/>
      <w:bookmarkStart w:id="5" w:name="_Toc367869492"/>
      <w:bookmarkStart w:id="6" w:name="_Toc297122050"/>
      <w:bookmarkStart w:id="7" w:name="_Toc297196345"/>
      <w:r>
        <w:rPr>
          <w:szCs w:val="28"/>
        </w:rPr>
        <w:t>一、估价师声明</w:t>
      </w:r>
      <w:bookmarkEnd w:id="3"/>
      <w:bookmarkEnd w:id="4"/>
      <w:bookmarkEnd w:id="5"/>
      <w:bookmarkEnd w:id="6"/>
      <w:bookmarkEnd w:id="7"/>
    </w:p>
    <w:p>
      <w:pPr>
        <w:spacing w:line="600" w:lineRule="exact"/>
        <w:ind w:firstLine="551" w:firstLineChars="196"/>
        <w:rPr>
          <w:rFonts w:eastAsia="仿宋_GB2312"/>
          <w:b/>
          <w:sz w:val="28"/>
          <w:szCs w:val="28"/>
        </w:rPr>
      </w:pPr>
      <w:bookmarkStart w:id="8" w:name="_Toc362509711"/>
      <w:r>
        <w:rPr>
          <w:rFonts w:eastAsia="仿宋_GB2312"/>
          <w:b/>
          <w:sz w:val="28"/>
          <w:szCs w:val="28"/>
        </w:rPr>
        <w:t>我们郑重声明：</w:t>
      </w:r>
      <w:bookmarkEnd w:id="8"/>
    </w:p>
    <w:p>
      <w:pPr>
        <w:spacing w:line="600" w:lineRule="exact"/>
        <w:ind w:firstLine="548" w:firstLineChars="196"/>
        <w:rPr>
          <w:rFonts w:eastAsia="仿宋_GB2312"/>
          <w:b/>
          <w:sz w:val="28"/>
          <w:szCs w:val="28"/>
        </w:rPr>
      </w:pPr>
      <w:r>
        <w:rPr>
          <w:rFonts w:eastAsia="仿宋_GB2312"/>
          <w:sz w:val="28"/>
          <w:szCs w:val="28"/>
        </w:rPr>
        <w:t xml:space="preserve">1、我们在本估价报告中陈述的事实是真实的和准确的，没有虚假记载、误导性陈述和重大遗漏。 </w:t>
      </w:r>
    </w:p>
    <w:p>
      <w:pPr>
        <w:spacing w:line="600" w:lineRule="exact"/>
        <w:ind w:firstLine="548" w:firstLineChars="196"/>
        <w:rPr>
          <w:rFonts w:eastAsia="仿宋_GB2312"/>
          <w:b/>
          <w:sz w:val="28"/>
          <w:szCs w:val="28"/>
        </w:rPr>
      </w:pPr>
      <w:r>
        <w:rPr>
          <w:rFonts w:eastAsia="仿宋_GB2312"/>
          <w:sz w:val="28"/>
          <w:szCs w:val="28"/>
        </w:rPr>
        <w:t>2、本估价报告中的分析、意见和结论是我们自己独立、客观、公正的专业分析、意见和结论，但受到本估价报告中已说明的假设和限制条件的限制。</w:t>
      </w:r>
    </w:p>
    <w:p>
      <w:pPr>
        <w:spacing w:line="600" w:lineRule="exact"/>
        <w:ind w:firstLine="548" w:firstLineChars="196"/>
        <w:rPr>
          <w:rFonts w:eastAsia="仿宋_GB2312"/>
          <w:sz w:val="28"/>
          <w:szCs w:val="28"/>
        </w:rPr>
      </w:pPr>
      <w:r>
        <w:rPr>
          <w:rFonts w:eastAsia="仿宋_GB2312"/>
          <w:sz w:val="28"/>
          <w:szCs w:val="28"/>
        </w:rPr>
        <w:t>3</w:t>
      </w:r>
      <w:r>
        <w:rPr>
          <w:rFonts w:eastAsia="仿宋_GB2312"/>
          <w:b/>
          <w:sz w:val="28"/>
          <w:szCs w:val="28"/>
        </w:rPr>
        <w:t>、</w:t>
      </w:r>
      <w:r>
        <w:rPr>
          <w:rFonts w:eastAsia="仿宋_GB2312"/>
          <w:sz w:val="28"/>
          <w:szCs w:val="28"/>
        </w:rPr>
        <w:t>我们与本估价报告中的估价对象没有现实或潜在的利益，也与估价委托人及估价利害关系人没有利害关系。</w:t>
      </w:r>
    </w:p>
    <w:p>
      <w:pPr>
        <w:spacing w:line="600" w:lineRule="exact"/>
        <w:ind w:firstLine="548" w:firstLineChars="196"/>
        <w:rPr>
          <w:rFonts w:eastAsia="仿宋_GB2312"/>
          <w:sz w:val="28"/>
          <w:szCs w:val="28"/>
        </w:rPr>
      </w:pPr>
      <w:r>
        <w:rPr>
          <w:rFonts w:eastAsia="仿宋_GB2312"/>
          <w:sz w:val="28"/>
          <w:szCs w:val="28"/>
        </w:rPr>
        <w:t>4</w:t>
      </w:r>
      <w:r>
        <w:rPr>
          <w:rFonts w:eastAsia="仿宋_GB2312"/>
          <w:b/>
          <w:sz w:val="28"/>
          <w:szCs w:val="28"/>
        </w:rPr>
        <w:t>、</w:t>
      </w:r>
      <w:r>
        <w:rPr>
          <w:rFonts w:eastAsia="仿宋_GB2312"/>
          <w:sz w:val="28"/>
          <w:szCs w:val="28"/>
        </w:rPr>
        <w:t>我们对估价报告中的估价对象、估价委托人及估价利害关系人没有偏见。</w:t>
      </w:r>
    </w:p>
    <w:p>
      <w:pPr>
        <w:spacing w:line="600" w:lineRule="exact"/>
        <w:ind w:firstLine="548" w:firstLineChars="196"/>
        <w:rPr>
          <w:rFonts w:eastAsia="仿宋_GB2312"/>
          <w:sz w:val="28"/>
          <w:szCs w:val="28"/>
        </w:rPr>
      </w:pPr>
      <w:r>
        <w:rPr>
          <w:rFonts w:eastAsia="仿宋_GB2312"/>
          <w:sz w:val="28"/>
          <w:szCs w:val="28"/>
        </w:rPr>
        <w:t>5</w:t>
      </w:r>
      <w:r>
        <w:rPr>
          <w:rFonts w:eastAsia="仿宋_GB2312"/>
          <w:b/>
          <w:sz w:val="28"/>
          <w:szCs w:val="28"/>
        </w:rPr>
        <w:t>、</w:t>
      </w:r>
      <w:r>
        <w:rPr>
          <w:rFonts w:eastAsia="仿宋_GB2312"/>
          <w:sz w:val="28"/>
          <w:szCs w:val="28"/>
        </w:rPr>
        <w:t>我们依照中华人民共和国国家标准《房地产估价规范》【GB/T 50291-2015】、《房地产估价基本术语标准》【GB/T 50899-2013】进行分析，形成意见和结论，撰写本估价报告。</w:t>
      </w:r>
    </w:p>
    <w:p>
      <w:pPr>
        <w:spacing w:line="600" w:lineRule="exact"/>
        <w:ind w:firstLine="548" w:firstLineChars="196"/>
        <w:rPr>
          <w:rFonts w:eastAsia="仿宋_GB2312"/>
          <w:b/>
          <w:sz w:val="28"/>
          <w:szCs w:val="28"/>
        </w:rPr>
      </w:pPr>
      <w:r>
        <w:rPr>
          <w:rFonts w:eastAsia="仿宋_GB2312"/>
          <w:sz w:val="28"/>
          <w:szCs w:val="28"/>
        </w:rPr>
        <w:t>6</w:t>
      </w:r>
      <w:r>
        <w:rPr>
          <w:rFonts w:eastAsia="仿宋_GB2312"/>
          <w:b/>
          <w:sz w:val="28"/>
          <w:szCs w:val="28"/>
        </w:rPr>
        <w:t>、</w:t>
      </w:r>
      <w:r>
        <w:rPr>
          <w:rFonts w:eastAsia="仿宋_GB2312"/>
          <w:sz w:val="28"/>
          <w:szCs w:val="28"/>
        </w:rPr>
        <w:t>本次估价中所依据估价委托人提供的有关资料和证件，估价委托人对其真实性负责，因其失实造成的后果，估价机构和估价人员不承担相应责任。</w:t>
      </w:r>
    </w:p>
    <w:p>
      <w:pPr>
        <w:spacing w:line="600" w:lineRule="exact"/>
        <w:ind w:firstLine="561"/>
        <w:rPr>
          <w:rFonts w:eastAsia="仿宋_GB2312"/>
          <w:sz w:val="28"/>
          <w:szCs w:val="28"/>
        </w:rPr>
      </w:pPr>
      <w:r>
        <w:rPr>
          <w:rFonts w:eastAsia="仿宋_GB2312"/>
          <w:sz w:val="28"/>
          <w:szCs w:val="28"/>
        </w:rPr>
        <w:t>7、注册房地产估价师历福友、</w:t>
      </w:r>
      <w:r>
        <w:rPr>
          <w:rFonts w:hint="eastAsia" w:eastAsia="仿宋_GB2312"/>
          <w:sz w:val="28"/>
          <w:szCs w:val="28"/>
          <w:lang w:eastAsia="zh-CN"/>
        </w:rPr>
        <w:t>崔雪梅</w:t>
      </w:r>
      <w:r>
        <w:rPr>
          <w:rFonts w:eastAsia="仿宋_GB2312"/>
          <w:sz w:val="28"/>
          <w:szCs w:val="28"/>
        </w:rPr>
        <w:t>已于2018年1</w:t>
      </w:r>
      <w:r>
        <w:rPr>
          <w:rFonts w:hint="eastAsia" w:eastAsia="仿宋_GB2312"/>
          <w:sz w:val="28"/>
          <w:szCs w:val="28"/>
        </w:rPr>
        <w:t>1</w:t>
      </w:r>
      <w:r>
        <w:rPr>
          <w:rFonts w:eastAsia="仿宋_GB2312"/>
          <w:sz w:val="28"/>
          <w:szCs w:val="28"/>
        </w:rPr>
        <w:t>月</w:t>
      </w:r>
      <w:r>
        <w:rPr>
          <w:rFonts w:hint="eastAsia" w:eastAsia="仿宋_GB2312"/>
          <w:sz w:val="28"/>
          <w:szCs w:val="28"/>
        </w:rPr>
        <w:t>19</w:t>
      </w:r>
      <w:r>
        <w:rPr>
          <w:rFonts w:eastAsia="仿宋_GB2312"/>
          <w:sz w:val="28"/>
          <w:szCs w:val="28"/>
        </w:rPr>
        <w:t>日对估价报告中的估价对象进行了实地查勘，但估价人员对估价对象的勘察，只限于其外观和使用状况。估价人员不承担对估价对象建筑结构质量进行调查的责任，也不承担其被遮盖、未暴露及难于接触到的部分进行检视的责任。</w:t>
      </w:r>
    </w:p>
    <w:p>
      <w:pPr>
        <w:spacing w:line="600" w:lineRule="exact"/>
        <w:ind w:firstLine="561"/>
        <w:rPr>
          <w:rFonts w:eastAsia="仿宋_GB2312"/>
          <w:sz w:val="28"/>
          <w:szCs w:val="28"/>
        </w:rPr>
      </w:pPr>
      <w:r>
        <w:rPr>
          <w:rFonts w:eastAsia="仿宋_GB2312"/>
          <w:sz w:val="28"/>
          <w:szCs w:val="28"/>
        </w:rPr>
        <w:t>8、没有外部专家和单位对本估价报告提供重要专业帮助。</w:t>
      </w:r>
    </w:p>
    <w:p>
      <w:pPr>
        <w:pStyle w:val="137"/>
        <w:adjustRightInd w:val="0"/>
        <w:snapToGrid w:val="0"/>
        <w:spacing w:line="600" w:lineRule="exact"/>
        <w:ind w:firstLineChars="0"/>
        <w:rPr>
          <w:rFonts w:eastAsia="仿宋_GB2312"/>
          <w:sz w:val="28"/>
          <w:szCs w:val="28"/>
        </w:rPr>
      </w:pPr>
      <w:r>
        <w:rPr>
          <w:rFonts w:eastAsia="仿宋_GB2312"/>
          <w:sz w:val="28"/>
          <w:szCs w:val="28"/>
        </w:rPr>
        <w:t xml:space="preserve">参加本次估价的注册房地产估价师为： </w:t>
      </w:r>
    </w:p>
    <w:tbl>
      <w:tblPr>
        <w:tblStyle w:val="47"/>
        <w:tblW w:w="8701"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94"/>
        <w:gridCol w:w="2280"/>
        <w:gridCol w:w="2397"/>
        <w:gridCol w:w="2330"/>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32" w:hRule="atLeast"/>
          <w:jc w:val="center"/>
        </w:trPr>
        <w:tc>
          <w:tcPr>
            <w:tcW w:w="1694" w:type="dxa"/>
            <w:tcBorders>
              <w:top w:val="thinThickSmallGap" w:color="auto" w:sz="12" w:space="0"/>
              <w:bottom w:val="single" w:color="auto" w:sz="4" w:space="0"/>
            </w:tcBorders>
            <w:vAlign w:val="center"/>
          </w:tcPr>
          <w:p>
            <w:pPr>
              <w:pStyle w:val="20"/>
              <w:adjustRightInd w:val="0"/>
              <w:snapToGrid w:val="0"/>
              <w:spacing w:line="360" w:lineRule="auto"/>
              <w:jc w:val="center"/>
              <w:rPr>
                <w:rFonts w:ascii="Times New Roman" w:hAnsi="Times New Roman" w:eastAsia="仿宋_GB2312"/>
                <w:b/>
                <w:sz w:val="28"/>
                <w:szCs w:val="28"/>
              </w:rPr>
            </w:pPr>
            <w:r>
              <w:rPr>
                <w:rFonts w:ascii="Times New Roman" w:hAnsi="Times New Roman" w:eastAsia="仿宋_GB2312"/>
                <w:b/>
                <w:sz w:val="28"/>
                <w:szCs w:val="28"/>
              </w:rPr>
              <w:t>姓名</w:t>
            </w:r>
          </w:p>
        </w:tc>
        <w:tc>
          <w:tcPr>
            <w:tcW w:w="2280" w:type="dxa"/>
            <w:tcBorders>
              <w:top w:val="thinThickSmallGap" w:color="auto" w:sz="12" w:space="0"/>
              <w:bottom w:val="single" w:color="auto" w:sz="4" w:space="0"/>
            </w:tcBorders>
            <w:vAlign w:val="center"/>
          </w:tcPr>
          <w:p>
            <w:pPr>
              <w:pStyle w:val="20"/>
              <w:adjustRightInd w:val="0"/>
              <w:snapToGrid w:val="0"/>
              <w:spacing w:line="360" w:lineRule="auto"/>
              <w:ind w:hanging="10"/>
              <w:jc w:val="center"/>
              <w:rPr>
                <w:rFonts w:ascii="Times New Roman" w:hAnsi="Times New Roman" w:eastAsia="仿宋_GB2312"/>
                <w:b/>
                <w:sz w:val="28"/>
                <w:szCs w:val="28"/>
              </w:rPr>
            </w:pPr>
            <w:r>
              <w:rPr>
                <w:rFonts w:ascii="Times New Roman" w:hAnsi="Times New Roman" w:eastAsia="仿宋_GB2312"/>
                <w:b/>
                <w:sz w:val="28"/>
                <w:szCs w:val="28"/>
              </w:rPr>
              <w:t>注册号</w:t>
            </w:r>
          </w:p>
        </w:tc>
        <w:tc>
          <w:tcPr>
            <w:tcW w:w="2397" w:type="dxa"/>
            <w:tcBorders>
              <w:top w:val="thinThickSmallGap" w:color="auto" w:sz="12" w:space="0"/>
              <w:bottom w:val="single" w:color="auto" w:sz="4" w:space="0"/>
            </w:tcBorders>
            <w:vAlign w:val="center"/>
          </w:tcPr>
          <w:p>
            <w:pPr>
              <w:pStyle w:val="20"/>
              <w:adjustRightInd w:val="0"/>
              <w:snapToGrid w:val="0"/>
              <w:spacing w:line="360" w:lineRule="auto"/>
              <w:ind w:hanging="10"/>
              <w:jc w:val="center"/>
              <w:rPr>
                <w:rFonts w:ascii="Times New Roman" w:hAnsi="Times New Roman" w:eastAsia="仿宋_GB2312"/>
                <w:b/>
                <w:sz w:val="28"/>
                <w:szCs w:val="28"/>
              </w:rPr>
            </w:pPr>
            <w:r>
              <w:rPr>
                <w:rFonts w:ascii="Times New Roman" w:hAnsi="Times New Roman" w:eastAsia="仿宋_GB2312"/>
                <w:b/>
                <w:sz w:val="28"/>
                <w:szCs w:val="28"/>
              </w:rPr>
              <w:t>签    名</w:t>
            </w:r>
          </w:p>
        </w:tc>
        <w:tc>
          <w:tcPr>
            <w:tcW w:w="2330" w:type="dxa"/>
            <w:tcBorders>
              <w:top w:val="thinThickSmallGap" w:color="auto" w:sz="12" w:space="0"/>
              <w:bottom w:val="single" w:color="auto" w:sz="4" w:space="0"/>
            </w:tcBorders>
            <w:vAlign w:val="center"/>
          </w:tcPr>
          <w:p>
            <w:pPr>
              <w:pStyle w:val="20"/>
              <w:adjustRightInd w:val="0"/>
              <w:snapToGrid w:val="0"/>
              <w:spacing w:line="360" w:lineRule="auto"/>
              <w:ind w:hanging="10"/>
              <w:jc w:val="center"/>
              <w:rPr>
                <w:rFonts w:ascii="Times New Roman" w:hAnsi="Times New Roman" w:eastAsia="仿宋_GB2312"/>
                <w:b/>
                <w:sz w:val="28"/>
                <w:szCs w:val="28"/>
              </w:rPr>
            </w:pPr>
            <w:r>
              <w:rPr>
                <w:rFonts w:ascii="Times New Roman" w:hAnsi="Times New Roman" w:eastAsia="仿宋_GB2312"/>
                <w:b/>
                <w:sz w:val="28"/>
                <w:szCs w:val="28"/>
              </w:rPr>
              <w:t>签名日期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694" w:hRule="atLeast"/>
          <w:jc w:val="center"/>
        </w:trPr>
        <w:tc>
          <w:tcPr>
            <w:tcW w:w="1694" w:type="dxa"/>
            <w:tcBorders>
              <w:top w:val="single" w:color="auto" w:sz="4" w:space="0"/>
            </w:tcBorders>
            <w:vAlign w:val="center"/>
          </w:tcPr>
          <w:p>
            <w:pPr>
              <w:pStyle w:val="20"/>
              <w:adjustRightInd w:val="0"/>
              <w:snapToGrid w:val="0"/>
              <w:spacing w:line="360" w:lineRule="auto"/>
              <w:jc w:val="center"/>
              <w:rPr>
                <w:rFonts w:ascii="Times New Roman" w:hAnsi="Times New Roman" w:eastAsia="仿宋_GB2312"/>
                <w:color w:val="00B050"/>
                <w:sz w:val="28"/>
                <w:szCs w:val="28"/>
              </w:rPr>
            </w:pPr>
            <w:r>
              <w:rPr>
                <w:rFonts w:ascii="Times New Roman" w:hAnsi="Times New Roman" w:eastAsia="仿宋_GB2312"/>
                <w:bCs/>
                <w:color w:val="00B050"/>
                <w:sz w:val="28"/>
                <w:szCs w:val="28"/>
              </w:rPr>
              <w:t>历福友</w:t>
            </w:r>
          </w:p>
        </w:tc>
        <w:tc>
          <w:tcPr>
            <w:tcW w:w="2280" w:type="dxa"/>
            <w:tcBorders>
              <w:top w:val="single" w:color="auto" w:sz="4" w:space="0"/>
            </w:tcBorders>
            <w:vAlign w:val="center"/>
          </w:tcPr>
          <w:p>
            <w:pPr>
              <w:pStyle w:val="20"/>
              <w:adjustRightInd w:val="0"/>
              <w:snapToGrid w:val="0"/>
              <w:spacing w:line="360" w:lineRule="auto"/>
              <w:jc w:val="center"/>
              <w:rPr>
                <w:rFonts w:ascii="Times New Roman" w:hAnsi="Times New Roman" w:eastAsia="仿宋_GB2312"/>
                <w:bCs/>
                <w:color w:val="00B050"/>
                <w:sz w:val="28"/>
                <w:szCs w:val="28"/>
              </w:rPr>
            </w:pPr>
            <w:r>
              <w:rPr>
                <w:rFonts w:ascii="Times New Roman" w:hAnsi="Times New Roman" w:eastAsia="仿宋_GB2312"/>
                <w:bCs/>
                <w:color w:val="00B050"/>
                <w:sz w:val="28"/>
                <w:szCs w:val="28"/>
              </w:rPr>
              <w:t>1520050003</w:t>
            </w:r>
          </w:p>
        </w:tc>
        <w:tc>
          <w:tcPr>
            <w:tcW w:w="2397" w:type="dxa"/>
            <w:tcBorders>
              <w:top w:val="single" w:color="auto" w:sz="4" w:space="0"/>
            </w:tcBorders>
            <w:vAlign w:val="center"/>
          </w:tcPr>
          <w:p>
            <w:pPr>
              <w:pStyle w:val="20"/>
              <w:adjustRightInd w:val="0"/>
              <w:snapToGrid w:val="0"/>
              <w:spacing w:line="360" w:lineRule="auto"/>
              <w:ind w:firstLine="562"/>
              <w:jc w:val="center"/>
              <w:rPr>
                <w:rFonts w:ascii="Times New Roman" w:hAnsi="Times New Roman" w:eastAsia="仿宋_GB2312"/>
                <w:sz w:val="28"/>
                <w:szCs w:val="28"/>
              </w:rPr>
            </w:pPr>
          </w:p>
        </w:tc>
        <w:tc>
          <w:tcPr>
            <w:tcW w:w="2330" w:type="dxa"/>
            <w:tcBorders>
              <w:top w:val="single" w:color="auto" w:sz="4" w:space="0"/>
            </w:tcBorders>
            <w:vAlign w:val="center"/>
          </w:tcPr>
          <w:p>
            <w:pPr>
              <w:pStyle w:val="20"/>
              <w:adjustRightInd w:val="0"/>
              <w:snapToGrid w:val="0"/>
              <w:spacing w:line="360" w:lineRule="auto"/>
              <w:ind w:firstLine="562"/>
              <w:jc w:val="center"/>
              <w:rPr>
                <w:rFonts w:ascii="Times New Roman" w:hAnsi="Times New Roman" w:eastAsia="仿宋_GB2312"/>
                <w:sz w:val="28"/>
                <w:szCs w:val="28"/>
              </w:rPr>
            </w:pP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832" w:hRule="atLeast"/>
          <w:jc w:val="center"/>
        </w:trPr>
        <w:tc>
          <w:tcPr>
            <w:tcW w:w="1694" w:type="dxa"/>
            <w:tcBorders>
              <w:bottom w:val="thickThinSmallGap" w:color="auto" w:sz="12" w:space="0"/>
            </w:tcBorders>
            <w:vAlign w:val="center"/>
          </w:tcPr>
          <w:p>
            <w:pPr>
              <w:pStyle w:val="20"/>
              <w:adjustRightInd w:val="0"/>
              <w:snapToGrid w:val="0"/>
              <w:spacing w:line="360" w:lineRule="auto"/>
              <w:jc w:val="center"/>
              <w:rPr>
                <w:rFonts w:hint="eastAsia" w:ascii="Times New Roman" w:hAnsi="Times New Roman" w:eastAsia="仿宋_GB2312"/>
                <w:color w:val="00B050"/>
                <w:sz w:val="28"/>
                <w:szCs w:val="28"/>
                <w:lang w:eastAsia="zh-CN"/>
              </w:rPr>
            </w:pPr>
            <w:r>
              <w:rPr>
                <w:rFonts w:hint="eastAsia" w:ascii="Times New Roman" w:hAnsi="Times New Roman" w:eastAsia="仿宋_GB2312"/>
                <w:bCs/>
                <w:color w:val="00B050"/>
                <w:sz w:val="28"/>
                <w:szCs w:val="28"/>
                <w:lang w:eastAsia="zh-CN"/>
              </w:rPr>
              <w:t>崔雪梅</w:t>
            </w:r>
          </w:p>
        </w:tc>
        <w:tc>
          <w:tcPr>
            <w:tcW w:w="2280" w:type="dxa"/>
            <w:tcBorders>
              <w:bottom w:val="thickThinSmallGap" w:color="auto" w:sz="12" w:space="0"/>
            </w:tcBorders>
            <w:vAlign w:val="center"/>
          </w:tcPr>
          <w:p>
            <w:pPr>
              <w:pStyle w:val="20"/>
              <w:adjustRightInd w:val="0"/>
              <w:snapToGrid w:val="0"/>
              <w:spacing w:line="360" w:lineRule="auto"/>
              <w:jc w:val="center"/>
              <w:rPr>
                <w:rFonts w:hint="eastAsia" w:ascii="Times New Roman" w:hAnsi="Times New Roman" w:eastAsia="仿宋_GB2312"/>
                <w:bCs/>
                <w:color w:val="00B050"/>
                <w:sz w:val="28"/>
                <w:szCs w:val="28"/>
                <w:lang w:eastAsia="zh-CN"/>
              </w:rPr>
            </w:pPr>
            <w:r>
              <w:rPr>
                <w:rFonts w:hint="eastAsia" w:ascii="Times New Roman" w:hAnsi="Times New Roman" w:eastAsia="仿宋_GB2312"/>
                <w:bCs/>
                <w:color w:val="00B050"/>
                <w:sz w:val="28"/>
                <w:szCs w:val="28"/>
                <w:lang w:eastAsia="zh-CN"/>
              </w:rPr>
              <w:t>1520160011</w:t>
            </w:r>
          </w:p>
        </w:tc>
        <w:tc>
          <w:tcPr>
            <w:tcW w:w="2397" w:type="dxa"/>
            <w:tcBorders>
              <w:bottom w:val="thickThinSmallGap" w:color="auto" w:sz="12" w:space="0"/>
            </w:tcBorders>
            <w:vAlign w:val="center"/>
          </w:tcPr>
          <w:p>
            <w:pPr>
              <w:pStyle w:val="20"/>
              <w:adjustRightInd w:val="0"/>
              <w:snapToGrid w:val="0"/>
              <w:spacing w:line="360" w:lineRule="auto"/>
              <w:ind w:firstLine="562"/>
              <w:jc w:val="center"/>
              <w:rPr>
                <w:rFonts w:ascii="Times New Roman" w:hAnsi="Times New Roman" w:eastAsia="仿宋_GB2312"/>
                <w:sz w:val="28"/>
                <w:szCs w:val="28"/>
              </w:rPr>
            </w:pPr>
          </w:p>
        </w:tc>
        <w:tc>
          <w:tcPr>
            <w:tcW w:w="2330" w:type="dxa"/>
            <w:tcBorders>
              <w:bottom w:val="thickThinSmallGap" w:color="auto" w:sz="12" w:space="0"/>
            </w:tcBorders>
            <w:vAlign w:val="center"/>
          </w:tcPr>
          <w:p>
            <w:pPr>
              <w:pStyle w:val="20"/>
              <w:adjustRightInd w:val="0"/>
              <w:snapToGrid w:val="0"/>
              <w:spacing w:line="360" w:lineRule="auto"/>
              <w:ind w:firstLine="562"/>
              <w:jc w:val="center"/>
              <w:rPr>
                <w:rFonts w:ascii="Times New Roman" w:hAnsi="Times New Roman" w:eastAsia="仿宋_GB2312"/>
                <w:sz w:val="28"/>
                <w:szCs w:val="28"/>
              </w:rPr>
            </w:pPr>
          </w:p>
        </w:tc>
      </w:tr>
    </w:tbl>
    <w:p>
      <w:pPr>
        <w:adjustRightInd w:val="0"/>
        <w:snapToGrid w:val="0"/>
        <w:spacing w:beforeLines="100" w:line="288" w:lineRule="auto"/>
        <w:rPr>
          <w:rFonts w:eastAsia="仿宋_GB2312"/>
          <w:snapToGrid w:val="0"/>
          <w:color w:val="000000"/>
          <w:kern w:val="0"/>
          <w:sz w:val="28"/>
          <w:szCs w:val="28"/>
        </w:rPr>
      </w:pPr>
    </w:p>
    <w:p>
      <w:pPr>
        <w:adjustRightInd w:val="0"/>
        <w:snapToGrid w:val="0"/>
        <w:spacing w:beforeLines="100" w:line="288" w:lineRule="auto"/>
        <w:rPr>
          <w:rFonts w:eastAsia="仿宋_GB2312"/>
          <w:snapToGrid w:val="0"/>
          <w:color w:val="000000"/>
          <w:kern w:val="0"/>
          <w:sz w:val="28"/>
          <w:szCs w:val="28"/>
        </w:rPr>
      </w:pPr>
    </w:p>
    <w:p>
      <w:pPr>
        <w:adjustRightInd w:val="0"/>
        <w:snapToGrid w:val="0"/>
        <w:spacing w:beforeLines="100" w:line="288" w:lineRule="auto"/>
        <w:rPr>
          <w:rFonts w:eastAsia="仿宋_GB2312"/>
          <w:snapToGrid w:val="0"/>
          <w:color w:val="000000"/>
          <w:kern w:val="0"/>
          <w:sz w:val="28"/>
          <w:szCs w:val="28"/>
        </w:rPr>
      </w:pPr>
    </w:p>
    <w:p>
      <w:pPr>
        <w:adjustRightInd w:val="0"/>
        <w:snapToGrid w:val="0"/>
        <w:spacing w:beforeLines="100" w:line="288" w:lineRule="auto"/>
        <w:rPr>
          <w:rFonts w:eastAsia="仿宋_GB2312"/>
          <w:snapToGrid w:val="0"/>
          <w:color w:val="000000"/>
          <w:kern w:val="0"/>
          <w:sz w:val="28"/>
          <w:szCs w:val="28"/>
        </w:rPr>
      </w:pPr>
    </w:p>
    <w:p>
      <w:pPr>
        <w:adjustRightInd w:val="0"/>
        <w:snapToGrid w:val="0"/>
        <w:spacing w:beforeLines="100" w:line="288" w:lineRule="auto"/>
        <w:rPr>
          <w:rFonts w:eastAsia="仿宋_GB2312"/>
          <w:snapToGrid w:val="0"/>
          <w:color w:val="000000"/>
          <w:kern w:val="0"/>
          <w:sz w:val="28"/>
          <w:szCs w:val="28"/>
        </w:rPr>
      </w:pPr>
    </w:p>
    <w:p>
      <w:pPr>
        <w:adjustRightInd w:val="0"/>
        <w:snapToGrid w:val="0"/>
        <w:spacing w:beforeLines="100" w:line="288" w:lineRule="auto"/>
        <w:rPr>
          <w:rFonts w:eastAsia="仿宋_GB2312"/>
          <w:snapToGrid w:val="0"/>
          <w:color w:val="000000"/>
          <w:kern w:val="0"/>
          <w:sz w:val="28"/>
          <w:szCs w:val="28"/>
        </w:rPr>
      </w:pPr>
    </w:p>
    <w:p>
      <w:pPr>
        <w:adjustRightInd w:val="0"/>
        <w:snapToGrid w:val="0"/>
        <w:spacing w:beforeLines="100" w:line="288" w:lineRule="auto"/>
        <w:rPr>
          <w:rFonts w:eastAsia="仿宋_GB2312"/>
          <w:snapToGrid w:val="0"/>
          <w:color w:val="000000"/>
          <w:kern w:val="0"/>
          <w:sz w:val="28"/>
          <w:szCs w:val="28"/>
        </w:rPr>
      </w:pPr>
    </w:p>
    <w:p>
      <w:pPr>
        <w:adjustRightInd w:val="0"/>
        <w:snapToGrid w:val="0"/>
        <w:spacing w:beforeLines="100" w:line="288" w:lineRule="auto"/>
        <w:rPr>
          <w:rFonts w:eastAsia="仿宋_GB2312"/>
          <w:snapToGrid w:val="0"/>
          <w:color w:val="000000"/>
          <w:kern w:val="0"/>
          <w:sz w:val="28"/>
          <w:szCs w:val="28"/>
        </w:rPr>
      </w:pPr>
    </w:p>
    <w:p>
      <w:pPr>
        <w:adjustRightInd w:val="0"/>
        <w:snapToGrid w:val="0"/>
        <w:spacing w:beforeLines="100" w:line="288" w:lineRule="auto"/>
        <w:rPr>
          <w:rFonts w:eastAsia="仿宋_GB2312"/>
          <w:snapToGrid w:val="0"/>
          <w:color w:val="000000"/>
          <w:kern w:val="0"/>
          <w:sz w:val="28"/>
          <w:szCs w:val="28"/>
        </w:rPr>
      </w:pPr>
    </w:p>
    <w:p>
      <w:pPr>
        <w:adjustRightInd w:val="0"/>
        <w:snapToGrid w:val="0"/>
        <w:spacing w:beforeLines="100" w:line="288" w:lineRule="auto"/>
        <w:rPr>
          <w:rFonts w:eastAsia="仿宋_GB2312"/>
          <w:snapToGrid w:val="0"/>
          <w:color w:val="000000"/>
          <w:kern w:val="0"/>
          <w:sz w:val="28"/>
          <w:szCs w:val="28"/>
        </w:rPr>
      </w:pPr>
    </w:p>
    <w:p>
      <w:pPr>
        <w:adjustRightInd w:val="0"/>
        <w:snapToGrid w:val="0"/>
        <w:spacing w:beforeLines="100" w:line="288" w:lineRule="auto"/>
        <w:rPr>
          <w:rFonts w:eastAsia="仿宋_GB2312"/>
          <w:snapToGrid w:val="0"/>
          <w:color w:val="000000"/>
          <w:kern w:val="0"/>
          <w:sz w:val="28"/>
          <w:szCs w:val="28"/>
        </w:rPr>
      </w:pPr>
    </w:p>
    <w:p>
      <w:pPr>
        <w:adjustRightInd w:val="0"/>
        <w:snapToGrid w:val="0"/>
        <w:spacing w:beforeLines="100" w:line="288" w:lineRule="auto"/>
        <w:rPr>
          <w:rFonts w:eastAsia="仿宋_GB2312"/>
          <w:snapToGrid w:val="0"/>
          <w:color w:val="000000"/>
          <w:kern w:val="0"/>
          <w:sz w:val="28"/>
          <w:szCs w:val="28"/>
        </w:rPr>
      </w:pPr>
    </w:p>
    <w:p>
      <w:pPr>
        <w:pStyle w:val="2"/>
        <w:spacing w:line="600" w:lineRule="exact"/>
        <w:rPr>
          <w:szCs w:val="28"/>
        </w:rPr>
      </w:pPr>
      <w:bookmarkStart w:id="9" w:name="_Toc521268499"/>
      <w:r>
        <w:rPr>
          <w:szCs w:val="28"/>
        </w:rPr>
        <w:t>二、估价假设和限制条件</w:t>
      </w:r>
      <w:bookmarkEnd w:id="9"/>
    </w:p>
    <w:p>
      <w:pPr>
        <w:spacing w:line="600" w:lineRule="exact"/>
        <w:ind w:firstLine="562" w:firstLineChars="200"/>
        <w:rPr>
          <w:rFonts w:eastAsia="仿宋_GB2312"/>
          <w:b/>
          <w:sz w:val="28"/>
          <w:szCs w:val="28"/>
        </w:rPr>
      </w:pPr>
      <w:r>
        <w:rPr>
          <w:rFonts w:eastAsia="仿宋_GB2312"/>
          <w:b/>
          <w:sz w:val="28"/>
          <w:szCs w:val="28"/>
        </w:rPr>
        <w:t>1.一般假设</w:t>
      </w:r>
    </w:p>
    <w:p>
      <w:pPr>
        <w:spacing w:line="600" w:lineRule="exact"/>
        <w:ind w:firstLine="560" w:firstLineChars="200"/>
        <w:rPr>
          <w:rFonts w:eastAsia="仿宋_GB2312"/>
          <w:sz w:val="28"/>
          <w:szCs w:val="28"/>
        </w:rPr>
      </w:pPr>
      <w:r>
        <w:rPr>
          <w:rFonts w:eastAsia="仿宋_GB2312"/>
          <w:sz w:val="28"/>
          <w:szCs w:val="28"/>
        </w:rPr>
        <w:t>（1）在价值时点的房地产市场为公开、平等、自愿的交易市场。</w:t>
      </w:r>
    </w:p>
    <w:p>
      <w:pPr>
        <w:spacing w:line="600" w:lineRule="exact"/>
        <w:ind w:firstLine="560" w:firstLineChars="200"/>
        <w:rPr>
          <w:rFonts w:eastAsia="仿宋_GB2312"/>
          <w:sz w:val="28"/>
          <w:szCs w:val="28"/>
        </w:rPr>
      </w:pPr>
      <w:r>
        <w:rPr>
          <w:rFonts w:eastAsia="仿宋_GB2312"/>
          <w:sz w:val="28"/>
          <w:szCs w:val="28"/>
        </w:rPr>
        <w:t>（2）估价对象产权明晰，手续齐全，可在公开市场上自由转让。</w:t>
      </w:r>
    </w:p>
    <w:p>
      <w:pPr>
        <w:spacing w:line="600" w:lineRule="exact"/>
        <w:ind w:firstLine="560" w:firstLineChars="200"/>
        <w:rPr>
          <w:rFonts w:eastAsia="仿宋_GB2312"/>
          <w:sz w:val="28"/>
          <w:szCs w:val="28"/>
        </w:rPr>
      </w:pPr>
      <w:r>
        <w:rPr>
          <w:rFonts w:eastAsia="仿宋_GB2312"/>
          <w:sz w:val="28"/>
          <w:szCs w:val="28"/>
        </w:rPr>
        <w:t>（3）任何有关估价对象的运作方式、程序均符合国家、地方的有关法律、法规。</w:t>
      </w:r>
    </w:p>
    <w:p>
      <w:pPr>
        <w:spacing w:line="600" w:lineRule="exact"/>
        <w:ind w:firstLine="560" w:firstLineChars="200"/>
        <w:rPr>
          <w:rFonts w:eastAsia="仿宋_GB2312"/>
          <w:sz w:val="28"/>
          <w:szCs w:val="28"/>
        </w:rPr>
      </w:pPr>
      <w:r>
        <w:rPr>
          <w:rFonts w:eastAsia="仿宋_GB2312"/>
          <w:sz w:val="28"/>
          <w:szCs w:val="28"/>
        </w:rPr>
        <w:t>（4）本次估价结果未考虑国家宏观经济政策发生重大变化以及遇有自然力和其他不可抗力对估价结论的影响。</w:t>
      </w:r>
    </w:p>
    <w:p>
      <w:pPr>
        <w:spacing w:line="600" w:lineRule="exact"/>
        <w:ind w:firstLine="560" w:firstLineChars="200"/>
        <w:rPr>
          <w:rFonts w:eastAsia="仿宋_GB2312"/>
          <w:sz w:val="28"/>
          <w:szCs w:val="28"/>
        </w:rPr>
      </w:pPr>
      <w:r>
        <w:rPr>
          <w:rFonts w:eastAsia="仿宋_GB2312"/>
          <w:sz w:val="28"/>
          <w:szCs w:val="28"/>
        </w:rPr>
        <w:t>（5）本报告以估价对象在价值时点时的状况为依据进行的，且以该状况在估价报告使用期限内无重大变化为前提。</w:t>
      </w:r>
    </w:p>
    <w:p>
      <w:pPr>
        <w:spacing w:line="600" w:lineRule="exact"/>
        <w:ind w:firstLine="560" w:firstLineChars="200"/>
        <w:rPr>
          <w:rFonts w:eastAsia="仿宋_GB2312"/>
          <w:sz w:val="28"/>
          <w:szCs w:val="28"/>
        </w:rPr>
      </w:pPr>
      <w:r>
        <w:rPr>
          <w:rFonts w:eastAsia="仿宋_GB2312"/>
          <w:sz w:val="28"/>
          <w:szCs w:val="28"/>
        </w:rPr>
        <w:t>（6）本次估价未考虑除已披露事项外可能与估价对象产权人有关的债权及债务情况对估价结果的影响。</w:t>
      </w:r>
    </w:p>
    <w:p>
      <w:pPr>
        <w:spacing w:line="600" w:lineRule="exact"/>
        <w:ind w:firstLine="560" w:firstLineChars="200"/>
        <w:rPr>
          <w:rFonts w:eastAsia="仿宋_GB2312"/>
          <w:sz w:val="28"/>
          <w:szCs w:val="28"/>
        </w:rPr>
      </w:pPr>
      <w:r>
        <w:rPr>
          <w:rFonts w:hint="eastAsia" w:eastAsia="仿宋_GB2312"/>
          <w:sz w:val="28"/>
          <w:szCs w:val="28"/>
        </w:rPr>
        <w:t>（7）根据委托方要求，本次估价价值时点为2018年11月19日，实地查勘日期为2018年11月19日，价值时点与完成实地查勘日期一致，本次估价假定价值时点的状况与完成实地查勘之日的状况一致。</w:t>
      </w:r>
    </w:p>
    <w:p>
      <w:pPr>
        <w:spacing w:line="600" w:lineRule="exact"/>
        <w:ind w:firstLine="560" w:firstLineChars="200"/>
        <w:rPr>
          <w:rFonts w:eastAsia="仿宋_GB2312"/>
          <w:sz w:val="28"/>
          <w:szCs w:val="28"/>
        </w:rPr>
      </w:pPr>
      <w:r>
        <w:rPr>
          <w:rFonts w:eastAsia="仿宋_GB2312"/>
          <w:sz w:val="28"/>
          <w:szCs w:val="28"/>
        </w:rPr>
        <w:t>（8）本次估价对象的房屋权属情况均以《内蒙古自治区乌拉特后旗人民法院评估委托书》（（2018）内0825委评</w:t>
      </w:r>
      <w:r>
        <w:rPr>
          <w:rFonts w:hint="eastAsia" w:eastAsia="仿宋_GB2312"/>
          <w:sz w:val="28"/>
          <w:szCs w:val="28"/>
        </w:rPr>
        <w:t>6</w:t>
      </w:r>
      <w:r>
        <w:rPr>
          <w:rFonts w:eastAsia="仿宋_GB2312"/>
          <w:sz w:val="28"/>
          <w:szCs w:val="28"/>
        </w:rPr>
        <w:t>6号）</w:t>
      </w:r>
      <w:r>
        <w:rPr>
          <w:rFonts w:hint="eastAsia" w:eastAsia="仿宋_GB2312"/>
          <w:sz w:val="28"/>
          <w:szCs w:val="28"/>
        </w:rPr>
        <w:t>、</w:t>
      </w:r>
      <w:r>
        <w:rPr>
          <w:rFonts w:hint="eastAsia" w:eastAsia="仿宋_GB2312"/>
          <w:color w:val="FF0000"/>
          <w:sz w:val="28"/>
          <w:szCs w:val="28"/>
          <w:lang w:eastAsia="zh-CN"/>
        </w:rPr>
        <w:t>《内蒙古自治区内蒙古自治区房地产权属登记簿》</w:t>
      </w:r>
      <w:r>
        <w:rPr>
          <w:rFonts w:hint="eastAsia" w:eastAsia="仿宋_GB2312"/>
          <w:color w:val="FF0000"/>
          <w:sz w:val="28"/>
          <w:szCs w:val="28"/>
        </w:rPr>
        <w:t>复印件</w:t>
      </w:r>
      <w:r>
        <w:rPr>
          <w:rFonts w:eastAsia="仿宋_GB2312"/>
          <w:sz w:val="28"/>
          <w:szCs w:val="28"/>
        </w:rPr>
        <w:t>为依据。如上述情况发生变化，估价结果需做相应调整。</w:t>
      </w:r>
    </w:p>
    <w:p>
      <w:pPr>
        <w:spacing w:line="600" w:lineRule="exact"/>
        <w:ind w:firstLine="560" w:firstLineChars="200"/>
        <w:rPr>
          <w:rFonts w:eastAsia="仿宋_GB2312"/>
          <w:sz w:val="28"/>
          <w:szCs w:val="28"/>
        </w:rPr>
      </w:pPr>
      <w:r>
        <w:rPr>
          <w:rFonts w:eastAsia="仿宋_GB2312"/>
          <w:sz w:val="28"/>
          <w:szCs w:val="28"/>
        </w:rPr>
        <w:t>（9）本次估价是以估价委托人提供的与估价对象有关的法律文件、权属证明及相关资料真实、合法、准确、完整为前提。如因委托人提供资料有误而造成评估值失实，估价机构和估价人员不承担相应责任。</w:t>
      </w:r>
    </w:p>
    <w:p>
      <w:pPr>
        <w:spacing w:line="600" w:lineRule="exact"/>
        <w:ind w:firstLine="560" w:firstLineChars="200"/>
        <w:rPr>
          <w:rFonts w:eastAsia="仿宋_GB2312"/>
          <w:color w:val="FF0000"/>
          <w:sz w:val="28"/>
          <w:szCs w:val="28"/>
        </w:rPr>
      </w:pPr>
      <w:r>
        <w:rPr>
          <w:rFonts w:eastAsia="仿宋_GB2312"/>
          <w:sz w:val="28"/>
          <w:szCs w:val="28"/>
        </w:rPr>
        <w:t>（10）</w:t>
      </w:r>
      <w:r>
        <w:rPr>
          <w:rFonts w:eastAsia="仿宋_GB2312"/>
          <w:color w:val="FF0000"/>
          <w:sz w:val="28"/>
          <w:szCs w:val="28"/>
        </w:rPr>
        <w:t>根据委托方提供的《</w:t>
      </w:r>
      <w:r>
        <w:rPr>
          <w:rFonts w:hint="eastAsia" w:eastAsia="仿宋_GB2312"/>
          <w:color w:val="FF0000"/>
          <w:sz w:val="28"/>
          <w:szCs w:val="28"/>
          <w:lang w:eastAsia="zh-CN"/>
        </w:rPr>
        <w:t>内蒙古自治区房地产权属登记簿</w:t>
      </w:r>
      <w:r>
        <w:rPr>
          <w:rFonts w:eastAsia="仿宋_GB2312"/>
          <w:color w:val="FF0000"/>
          <w:sz w:val="28"/>
          <w:szCs w:val="28"/>
        </w:rPr>
        <w:t>》可知，</w:t>
      </w:r>
      <w:r>
        <w:rPr>
          <w:rFonts w:hint="eastAsia" w:eastAsia="仿宋_GB2312"/>
          <w:color w:val="FF0000"/>
          <w:sz w:val="28"/>
          <w:szCs w:val="28"/>
        </w:rPr>
        <w:t>房屋所有权人为顾来胜，</w:t>
      </w:r>
      <w:r>
        <w:rPr>
          <w:rFonts w:eastAsia="仿宋_GB2312"/>
          <w:color w:val="FF0000"/>
          <w:sz w:val="28"/>
          <w:szCs w:val="28"/>
        </w:rPr>
        <w:t>建筑面积为</w:t>
      </w:r>
      <w:r>
        <w:rPr>
          <w:rFonts w:hint="eastAsia" w:eastAsia="仿宋_GB2312"/>
          <w:color w:val="FF0000"/>
          <w:sz w:val="28"/>
          <w:szCs w:val="28"/>
        </w:rPr>
        <w:t>119.34</w:t>
      </w:r>
      <w:r>
        <w:rPr>
          <w:rFonts w:eastAsia="仿宋_GB2312"/>
          <w:color w:val="FF0000"/>
          <w:sz w:val="28"/>
          <w:szCs w:val="28"/>
        </w:rPr>
        <w:t>平方米</w:t>
      </w:r>
      <w:r>
        <w:rPr>
          <w:rFonts w:hint="eastAsia" w:eastAsia="仿宋_GB2312"/>
          <w:color w:val="FF0000"/>
          <w:sz w:val="28"/>
          <w:szCs w:val="28"/>
        </w:rPr>
        <w:t>，建筑结构为混合结构，用途为住宅。如与实际不符对估价结果造成影响，估价机构不承担任何责任。</w:t>
      </w:r>
    </w:p>
    <w:p>
      <w:pPr>
        <w:spacing w:line="600" w:lineRule="exact"/>
        <w:ind w:firstLine="560" w:firstLineChars="200"/>
        <w:rPr>
          <w:rFonts w:eastAsia="仿宋_GB2312"/>
          <w:color w:val="FF0000"/>
          <w:sz w:val="28"/>
          <w:szCs w:val="28"/>
        </w:rPr>
      </w:pPr>
      <w:r>
        <w:rPr>
          <w:rFonts w:eastAsia="仿宋_GB2312"/>
          <w:color w:val="FF0000"/>
          <w:sz w:val="28"/>
          <w:szCs w:val="28"/>
        </w:rPr>
        <w:t>（1</w:t>
      </w:r>
      <w:r>
        <w:rPr>
          <w:rFonts w:hint="eastAsia" w:eastAsia="仿宋_GB2312"/>
          <w:color w:val="FF0000"/>
          <w:sz w:val="28"/>
          <w:szCs w:val="28"/>
        </w:rPr>
        <w:t>1</w:t>
      </w:r>
      <w:r>
        <w:rPr>
          <w:rFonts w:eastAsia="仿宋_GB2312"/>
          <w:color w:val="FF0000"/>
          <w:sz w:val="28"/>
          <w:szCs w:val="28"/>
        </w:rPr>
        <w:t>）</w:t>
      </w:r>
      <w:r>
        <w:rPr>
          <w:rFonts w:eastAsia="仿宋_GB2312"/>
          <w:color w:val="000000"/>
          <w:sz w:val="28"/>
          <w:szCs w:val="28"/>
        </w:rPr>
        <w:t>估价人员于</w:t>
      </w:r>
      <w:r>
        <w:rPr>
          <w:rFonts w:eastAsia="仿宋_GB2312"/>
          <w:sz w:val="28"/>
          <w:szCs w:val="28"/>
        </w:rPr>
        <w:t>2018年1</w:t>
      </w:r>
      <w:r>
        <w:rPr>
          <w:rFonts w:hint="eastAsia" w:eastAsia="仿宋_GB2312"/>
          <w:sz w:val="28"/>
          <w:szCs w:val="28"/>
        </w:rPr>
        <w:t>1</w:t>
      </w:r>
      <w:r>
        <w:rPr>
          <w:rFonts w:eastAsia="仿宋_GB2312"/>
          <w:sz w:val="28"/>
          <w:szCs w:val="28"/>
        </w:rPr>
        <w:t>月</w:t>
      </w:r>
      <w:r>
        <w:rPr>
          <w:rFonts w:hint="eastAsia" w:eastAsia="仿宋_GB2312"/>
          <w:sz w:val="28"/>
          <w:szCs w:val="28"/>
        </w:rPr>
        <w:t>19</w:t>
      </w:r>
      <w:r>
        <w:rPr>
          <w:rFonts w:eastAsia="仿宋_GB2312"/>
          <w:sz w:val="28"/>
          <w:szCs w:val="28"/>
        </w:rPr>
        <w:t>日</w:t>
      </w:r>
      <w:r>
        <w:rPr>
          <w:rFonts w:eastAsia="仿宋_GB2312"/>
          <w:color w:val="000000"/>
          <w:sz w:val="28"/>
          <w:szCs w:val="28"/>
        </w:rPr>
        <w:t>对估价对象进行了实地查勘，</w:t>
      </w:r>
      <w:r>
        <w:rPr>
          <w:rFonts w:eastAsia="仿宋_GB2312"/>
          <w:sz w:val="28"/>
          <w:szCs w:val="28"/>
        </w:rPr>
        <w:t>但估价人员对估价对象的现场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pPr>
        <w:spacing w:line="600" w:lineRule="exact"/>
        <w:ind w:firstLine="562" w:firstLineChars="200"/>
        <w:rPr>
          <w:rFonts w:eastAsia="仿宋_GB2312"/>
          <w:b/>
          <w:sz w:val="28"/>
          <w:szCs w:val="28"/>
        </w:rPr>
      </w:pPr>
      <w:r>
        <w:rPr>
          <w:rFonts w:eastAsia="仿宋_GB2312"/>
          <w:b/>
          <w:sz w:val="28"/>
          <w:szCs w:val="28"/>
        </w:rPr>
        <w:t>2.未定事项假设</w:t>
      </w:r>
    </w:p>
    <w:p>
      <w:pPr>
        <w:spacing w:line="600" w:lineRule="exact"/>
        <w:ind w:firstLine="560" w:firstLineChars="200"/>
        <w:rPr>
          <w:rFonts w:eastAsia="仿宋_GB2312"/>
          <w:bCs/>
          <w:sz w:val="28"/>
          <w:szCs w:val="28"/>
        </w:rPr>
      </w:pPr>
      <w:r>
        <w:rPr>
          <w:rFonts w:hint="eastAsia" w:eastAsia="仿宋_GB2312"/>
          <w:sz w:val="28"/>
          <w:szCs w:val="28"/>
        </w:rPr>
        <w:t>无未定事项假设</w:t>
      </w:r>
      <w:r>
        <w:rPr>
          <w:rFonts w:hint="eastAsia" w:eastAsia="仿宋_GB2312"/>
          <w:bCs/>
          <w:sz w:val="28"/>
          <w:szCs w:val="28"/>
        </w:rPr>
        <w:t>。</w:t>
      </w:r>
    </w:p>
    <w:p>
      <w:pPr>
        <w:spacing w:line="600" w:lineRule="exact"/>
        <w:ind w:firstLine="562" w:firstLineChars="200"/>
        <w:rPr>
          <w:rFonts w:eastAsia="仿宋_GB2312"/>
          <w:b/>
          <w:sz w:val="28"/>
          <w:szCs w:val="28"/>
        </w:rPr>
      </w:pPr>
      <w:r>
        <w:rPr>
          <w:rFonts w:eastAsia="仿宋_GB2312"/>
          <w:b/>
          <w:sz w:val="28"/>
          <w:szCs w:val="28"/>
        </w:rPr>
        <w:t>3.背离事实假设</w:t>
      </w:r>
    </w:p>
    <w:p>
      <w:pPr>
        <w:spacing w:line="600" w:lineRule="exact"/>
        <w:ind w:firstLine="560" w:firstLineChars="200"/>
        <w:rPr>
          <w:rFonts w:eastAsia="仿宋_GB2312"/>
          <w:sz w:val="28"/>
          <w:szCs w:val="28"/>
        </w:rPr>
      </w:pPr>
      <w:r>
        <w:rPr>
          <w:rFonts w:hint="eastAsia" w:eastAsia="仿宋_GB2312"/>
          <w:sz w:val="28"/>
          <w:szCs w:val="28"/>
        </w:rPr>
        <w:t xml:space="preserve">(1) </w:t>
      </w:r>
      <w:r>
        <w:rPr>
          <w:rFonts w:eastAsia="仿宋_GB2312"/>
          <w:sz w:val="28"/>
          <w:szCs w:val="28"/>
        </w:rPr>
        <w:t>根据</w:t>
      </w:r>
      <w:r>
        <w:rPr>
          <w:rFonts w:hint="eastAsia" w:eastAsia="仿宋_GB2312"/>
          <w:sz w:val="28"/>
          <w:szCs w:val="28"/>
        </w:rPr>
        <w:t>委托方提供的</w:t>
      </w:r>
      <w:r>
        <w:rPr>
          <w:rFonts w:eastAsia="仿宋_GB2312"/>
          <w:sz w:val="28"/>
          <w:szCs w:val="28"/>
        </w:rPr>
        <w:t>《</w:t>
      </w:r>
      <w:r>
        <w:rPr>
          <w:rFonts w:hint="eastAsia" w:eastAsia="仿宋_GB2312"/>
          <w:sz w:val="28"/>
          <w:szCs w:val="28"/>
        </w:rPr>
        <w:t>内蒙古自治区乌拉特后旗人民法院执行裁定书</w:t>
      </w:r>
      <w:r>
        <w:rPr>
          <w:rFonts w:eastAsia="仿宋_GB2312"/>
          <w:sz w:val="28"/>
          <w:szCs w:val="28"/>
        </w:rPr>
        <w:t>》</w:t>
      </w:r>
      <w:r>
        <w:rPr>
          <w:rFonts w:hint="eastAsia" w:eastAsia="仿宋_GB2312"/>
          <w:sz w:val="28"/>
          <w:szCs w:val="28"/>
        </w:rPr>
        <w:t>和</w:t>
      </w:r>
      <w:r>
        <w:rPr>
          <w:rFonts w:eastAsia="仿宋_GB2312"/>
          <w:sz w:val="28"/>
          <w:szCs w:val="28"/>
        </w:rPr>
        <w:t>《</w:t>
      </w:r>
      <w:r>
        <w:rPr>
          <w:rFonts w:hint="eastAsia" w:eastAsia="仿宋_GB2312"/>
          <w:sz w:val="28"/>
          <w:szCs w:val="28"/>
          <w:lang w:eastAsia="zh-CN"/>
        </w:rPr>
        <w:t>内蒙古自治区房地产权属登记簿</w:t>
      </w:r>
      <w:r>
        <w:rPr>
          <w:rFonts w:eastAsia="仿宋_GB2312"/>
          <w:sz w:val="28"/>
          <w:szCs w:val="28"/>
        </w:rPr>
        <w:t>》</w:t>
      </w:r>
      <w:r>
        <w:rPr>
          <w:rFonts w:hint="eastAsia" w:eastAsia="仿宋_GB2312"/>
          <w:sz w:val="28"/>
          <w:szCs w:val="28"/>
        </w:rPr>
        <w:t>可知</w:t>
      </w:r>
      <w:r>
        <w:rPr>
          <w:rFonts w:eastAsia="仿宋_GB2312"/>
          <w:sz w:val="28"/>
          <w:szCs w:val="28"/>
        </w:rPr>
        <w:t>，待估对象存在查封</w:t>
      </w:r>
      <w:r>
        <w:rPr>
          <w:rFonts w:hint="eastAsia" w:eastAsia="仿宋_GB2312"/>
          <w:sz w:val="28"/>
          <w:szCs w:val="28"/>
        </w:rPr>
        <w:t>及抵押</w:t>
      </w:r>
      <w:r>
        <w:rPr>
          <w:rFonts w:eastAsia="仿宋_GB2312"/>
          <w:sz w:val="28"/>
          <w:szCs w:val="28"/>
        </w:rPr>
        <w:t>情况。根据《房地产估价规范》（GB/T50291-2015）第5.4条：“房地产司法拍卖估价时，评估价值的影响因素应包括拍卖房地产的瑕疵，但不应包括拍卖房地产被查封及拍卖房地产上原有的担保物权和其他优先受偿权。”故本次评估未考虑其查封</w:t>
      </w:r>
      <w:r>
        <w:rPr>
          <w:rFonts w:hint="eastAsia" w:eastAsia="仿宋_GB2312"/>
          <w:sz w:val="28"/>
          <w:szCs w:val="28"/>
        </w:rPr>
        <w:t>及抵押</w:t>
      </w:r>
      <w:r>
        <w:rPr>
          <w:rFonts w:eastAsia="仿宋_GB2312"/>
          <w:sz w:val="28"/>
          <w:szCs w:val="28"/>
        </w:rPr>
        <w:t>情况。</w:t>
      </w:r>
    </w:p>
    <w:p>
      <w:pPr>
        <w:spacing w:line="600" w:lineRule="exact"/>
        <w:ind w:firstLine="560" w:firstLineChars="200"/>
        <w:rPr>
          <w:rFonts w:eastAsia="仿宋_GB2312"/>
          <w:sz w:val="28"/>
          <w:szCs w:val="28"/>
        </w:rPr>
      </w:pPr>
      <w:r>
        <w:rPr>
          <w:rFonts w:hint="eastAsia" w:eastAsia="仿宋_GB2312"/>
          <w:sz w:val="28"/>
          <w:szCs w:val="28"/>
        </w:rPr>
        <w:t>(2)</w:t>
      </w:r>
      <w:r>
        <w:rPr>
          <w:rFonts w:hint="eastAsia" w:ascii="仿宋_GB2312" w:hAnsi="仿宋" w:eastAsia="仿宋_GB2312"/>
          <w:sz w:val="28"/>
          <w:szCs w:val="28"/>
        </w:rPr>
        <w:t xml:space="preserve"> 委托方未能提供待估房产的《房屋租赁协议》，故此处假设本次评估结果不考虑实际租金的影响，如上述情况发生变化，估价结果须做相应调整。</w:t>
      </w:r>
    </w:p>
    <w:p>
      <w:pPr>
        <w:spacing w:line="600" w:lineRule="exact"/>
        <w:ind w:firstLine="562" w:firstLineChars="200"/>
        <w:rPr>
          <w:rFonts w:eastAsia="仿宋_GB2312"/>
          <w:b/>
          <w:sz w:val="28"/>
          <w:szCs w:val="28"/>
        </w:rPr>
      </w:pPr>
      <w:r>
        <w:rPr>
          <w:rFonts w:eastAsia="仿宋_GB2312"/>
          <w:b/>
          <w:sz w:val="28"/>
          <w:szCs w:val="28"/>
        </w:rPr>
        <w:t>4.不相一致假设</w:t>
      </w:r>
    </w:p>
    <w:p>
      <w:pPr>
        <w:spacing w:line="600" w:lineRule="exact"/>
        <w:ind w:firstLine="560" w:firstLineChars="200"/>
        <w:rPr>
          <w:rFonts w:eastAsia="仿宋_GB2312"/>
          <w:sz w:val="28"/>
          <w:szCs w:val="28"/>
        </w:rPr>
      </w:pPr>
      <w:r>
        <w:rPr>
          <w:rFonts w:hint="eastAsia" w:eastAsia="仿宋_GB2312"/>
          <w:sz w:val="28"/>
          <w:szCs w:val="28"/>
        </w:rPr>
        <w:t>无不相一致假设。</w:t>
      </w:r>
    </w:p>
    <w:p>
      <w:pPr>
        <w:spacing w:line="600" w:lineRule="exact"/>
        <w:ind w:firstLine="562" w:firstLineChars="200"/>
        <w:rPr>
          <w:rFonts w:eastAsia="仿宋_GB2312"/>
          <w:b/>
          <w:sz w:val="28"/>
          <w:szCs w:val="28"/>
        </w:rPr>
      </w:pPr>
      <w:r>
        <w:rPr>
          <w:rFonts w:eastAsia="仿宋_GB2312"/>
          <w:b/>
          <w:sz w:val="28"/>
          <w:szCs w:val="28"/>
        </w:rPr>
        <w:t>5.依据不足假设</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（1）委托方未能提供待估房产所占用土地的权属证明，故此处假设本次评估结果成立前提条件之一为待估对象的土地权属无争议，并且委托方享有按其建筑面积所应分摊土地资产的使用权所带来的收益。</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（2）委托方未能提供该房地产建成时间的证明文件，经估价师现场踏勘、多方询问，该房地产建成于200</w:t>
      </w:r>
      <w:r>
        <w:rPr>
          <w:rFonts w:hint="eastAsia" w:ascii="仿宋_GB2312" w:hAnsi="仿宋" w:eastAsia="仿宋_GB2312"/>
          <w:sz w:val="28"/>
          <w:szCs w:val="28"/>
          <w:lang w:val="en-US" w:eastAsia="zh-CN"/>
        </w:rPr>
        <w:t>6</w:t>
      </w:r>
      <w:r>
        <w:rPr>
          <w:rFonts w:hint="eastAsia" w:ascii="仿宋_GB2312" w:hAnsi="仿宋" w:eastAsia="仿宋_GB2312"/>
          <w:sz w:val="28"/>
          <w:szCs w:val="28"/>
        </w:rPr>
        <w:t>年，故此处假设该房地产建成于200</w:t>
      </w:r>
      <w:r>
        <w:rPr>
          <w:rFonts w:hint="eastAsia" w:ascii="仿宋_GB2312" w:hAnsi="仿宋" w:eastAsia="仿宋_GB2312"/>
          <w:sz w:val="28"/>
          <w:szCs w:val="28"/>
          <w:lang w:val="en-US" w:eastAsia="zh-CN"/>
        </w:rPr>
        <w:t>6</w:t>
      </w:r>
      <w:r>
        <w:rPr>
          <w:rFonts w:hint="eastAsia" w:ascii="仿宋_GB2312" w:hAnsi="仿宋" w:eastAsia="仿宋_GB2312"/>
          <w:sz w:val="28"/>
          <w:szCs w:val="28"/>
        </w:rPr>
        <w:t>年，如上述情况发生变化，估价结果须做相应调整。</w:t>
      </w:r>
    </w:p>
    <w:p>
      <w:pPr>
        <w:spacing w:line="600" w:lineRule="exact"/>
        <w:ind w:firstLine="562" w:firstLineChars="200"/>
        <w:rPr>
          <w:rFonts w:eastAsia="仿宋_GB2312"/>
          <w:b/>
          <w:sz w:val="28"/>
          <w:szCs w:val="28"/>
        </w:rPr>
      </w:pPr>
      <w:r>
        <w:rPr>
          <w:rFonts w:eastAsia="仿宋_GB2312"/>
          <w:b/>
          <w:sz w:val="28"/>
          <w:szCs w:val="28"/>
        </w:rPr>
        <w:t>6.估价报告使用限制</w:t>
      </w:r>
    </w:p>
    <w:p>
      <w:pPr>
        <w:spacing w:line="600" w:lineRule="exact"/>
        <w:ind w:firstLine="560" w:firstLineChars="200"/>
        <w:rPr>
          <w:rFonts w:eastAsia="仿宋_GB2312"/>
          <w:sz w:val="28"/>
          <w:szCs w:val="28"/>
        </w:rPr>
      </w:pPr>
      <w:r>
        <w:rPr>
          <w:rFonts w:eastAsia="仿宋_GB2312"/>
          <w:sz w:val="28"/>
          <w:szCs w:val="28"/>
        </w:rPr>
        <w:t>（1）</w:t>
      </w:r>
      <w:r>
        <w:rPr>
          <w:rFonts w:eastAsia="仿宋_GB2312"/>
          <w:bCs/>
          <w:sz w:val="28"/>
          <w:szCs w:val="28"/>
        </w:rPr>
        <w:t>本估价报告书仅为</w:t>
      </w:r>
      <w:r>
        <w:rPr>
          <w:rFonts w:eastAsia="仿宋_GB2312"/>
          <w:sz w:val="28"/>
          <w:szCs w:val="28"/>
        </w:rPr>
        <w:t>房地产司法鉴定</w:t>
      </w:r>
      <w:r>
        <w:rPr>
          <w:rFonts w:eastAsia="仿宋_GB2312"/>
          <w:bCs/>
          <w:sz w:val="28"/>
          <w:szCs w:val="28"/>
        </w:rPr>
        <w:t>提供参考依据，</w:t>
      </w:r>
      <w:r>
        <w:rPr>
          <w:rFonts w:eastAsia="仿宋_GB2312"/>
          <w:sz w:val="28"/>
          <w:szCs w:val="28"/>
        </w:rPr>
        <w:t>不作其他估价目的之用。如果估价条件或目的发生变化，估价报告需做相应调整。</w:t>
      </w:r>
    </w:p>
    <w:p>
      <w:pPr>
        <w:spacing w:line="600" w:lineRule="exact"/>
        <w:ind w:firstLine="560" w:firstLineChars="200"/>
        <w:rPr>
          <w:rFonts w:eastAsia="仿宋_GB2312"/>
          <w:sz w:val="28"/>
          <w:szCs w:val="28"/>
        </w:rPr>
      </w:pPr>
      <w:r>
        <w:rPr>
          <w:rFonts w:eastAsia="仿宋_GB2312"/>
          <w:sz w:val="28"/>
          <w:szCs w:val="28"/>
        </w:rPr>
        <w:t>（2）未经本估价机构书面同意，本报告的全部或任何一部分均不得向估价委托人、报告使用者、报告审查部门之外的单位和个人提供，也不得以任何形式公开发表。</w:t>
      </w:r>
    </w:p>
    <w:p>
      <w:pPr>
        <w:spacing w:line="600" w:lineRule="exact"/>
        <w:ind w:firstLine="560" w:firstLineChars="200"/>
        <w:rPr>
          <w:rFonts w:eastAsia="仿宋_GB2312"/>
          <w:sz w:val="28"/>
          <w:szCs w:val="28"/>
        </w:rPr>
      </w:pPr>
      <w:r>
        <w:rPr>
          <w:rFonts w:eastAsia="仿宋_GB2312"/>
          <w:sz w:val="28"/>
          <w:szCs w:val="28"/>
        </w:rPr>
        <w:t>（3）本报告必须完整使用方为有效，对仅使用本报告中部分内容而导致可能的损失，本估价机构不承担责任。</w:t>
      </w:r>
    </w:p>
    <w:p>
      <w:pPr>
        <w:spacing w:line="600" w:lineRule="exact"/>
        <w:ind w:firstLine="560" w:firstLineChars="200"/>
        <w:rPr>
          <w:rFonts w:eastAsia="仿宋_GB2312"/>
          <w:sz w:val="28"/>
          <w:szCs w:val="28"/>
        </w:rPr>
      </w:pPr>
      <w:r>
        <w:rPr>
          <w:rFonts w:eastAsia="仿宋_GB2312"/>
          <w:sz w:val="28"/>
          <w:szCs w:val="28"/>
        </w:rPr>
        <w:t>（4）本次估价结果受价值时点的限制，且本估价报告使用期限自估价报告出具之日</w:t>
      </w:r>
      <w:r>
        <w:rPr>
          <w:rFonts w:hint="eastAsia" w:eastAsia="仿宋_GB2312"/>
          <w:color w:val="000000"/>
          <w:sz w:val="28"/>
          <w:szCs w:val="28"/>
          <w:highlight w:val="none"/>
          <w:lang w:eastAsia="zh-CN"/>
        </w:rPr>
        <w:t>二〇一八年十一月二十六日</w:t>
      </w:r>
      <w:r>
        <w:rPr>
          <w:rFonts w:eastAsia="仿宋_GB2312"/>
          <w:sz w:val="28"/>
          <w:szCs w:val="28"/>
        </w:rPr>
        <w:t>起为壹年。若报告使用期限内，房地产市场、建筑市场或估价对象自身状况发生重大变化，估价结果也需做相应调整或委托估价机构重新估价。</w:t>
      </w:r>
    </w:p>
    <w:p>
      <w:pPr>
        <w:spacing w:line="600" w:lineRule="exact"/>
        <w:ind w:firstLine="560" w:firstLineChars="200"/>
        <w:rPr>
          <w:rFonts w:eastAsia="仿宋_GB2312"/>
          <w:sz w:val="28"/>
          <w:szCs w:val="28"/>
        </w:rPr>
      </w:pPr>
      <w:r>
        <w:rPr>
          <w:rFonts w:eastAsia="仿宋_GB2312"/>
          <w:sz w:val="28"/>
          <w:szCs w:val="28"/>
        </w:rPr>
        <w:t>（5）本次估价结果是指在目前房地产市场状况下、估价对象在现状利用条件下的房地产市场价值，包括国有土地使用权价值和与房屋有关的土建、安装、装饰装修及室外附属工程价值，不包括可移动的家具、电器等物品价值。</w:t>
      </w:r>
    </w:p>
    <w:p>
      <w:pPr>
        <w:spacing w:line="480" w:lineRule="exact"/>
        <w:ind w:firstLine="560" w:firstLineChars="200"/>
        <w:rPr>
          <w:rFonts w:eastAsia="仿宋_GB2312"/>
          <w:sz w:val="28"/>
          <w:szCs w:val="28"/>
        </w:rPr>
        <w:sectPr>
          <w:headerReference r:id="rId9" w:type="first"/>
          <w:headerReference r:id="rId7" w:type="default"/>
          <w:footerReference r:id="rId10" w:type="default"/>
          <w:headerReference r:id="rId8" w:type="even"/>
          <w:footerReference r:id="rId11" w:type="even"/>
          <w:pgSz w:w="11906" w:h="16838"/>
          <w:pgMar w:top="1814" w:right="1247" w:bottom="1418" w:left="1701" w:header="1417" w:footer="737" w:gutter="0"/>
          <w:cols w:space="720" w:num="1"/>
          <w:docGrid w:linePitch="286" w:charSpace="0"/>
        </w:sectPr>
      </w:pPr>
    </w:p>
    <w:p>
      <w:pPr>
        <w:pStyle w:val="2"/>
        <w:spacing w:line="600" w:lineRule="exact"/>
        <w:rPr>
          <w:szCs w:val="28"/>
        </w:rPr>
      </w:pPr>
      <w:bookmarkStart w:id="10" w:name="_Toc367869494"/>
      <w:bookmarkStart w:id="11" w:name="_Toc257051888"/>
      <w:bookmarkStart w:id="12" w:name="_Toc521268500"/>
      <w:bookmarkStart w:id="13" w:name="_Toc297122054"/>
      <w:bookmarkStart w:id="14" w:name="_Toc301369712"/>
      <w:bookmarkStart w:id="15" w:name="_Toc297196349"/>
      <w:bookmarkStart w:id="16" w:name="_Toc254875137"/>
      <w:bookmarkStart w:id="17" w:name="_Toc243111683"/>
      <w:bookmarkStart w:id="18" w:name="_Toc269132866"/>
      <w:bookmarkStart w:id="19" w:name="_Toc270691065"/>
      <w:bookmarkStart w:id="20" w:name="_Toc135016170"/>
      <w:bookmarkStart w:id="21" w:name="_Toc254860123"/>
      <w:bookmarkStart w:id="22" w:name="_Toc130033720"/>
      <w:bookmarkStart w:id="23" w:name="_Toc243111712"/>
      <w:r>
        <w:rPr>
          <w:szCs w:val="28"/>
        </w:rPr>
        <w:t>三、估价结果报告</w:t>
      </w:r>
      <w:bookmarkEnd w:id="10"/>
      <w:bookmarkEnd w:id="11"/>
      <w:bookmarkEnd w:id="12"/>
      <w:bookmarkEnd w:id="13"/>
      <w:bookmarkEnd w:id="14"/>
      <w:bookmarkEnd w:id="15"/>
    </w:p>
    <w:bookmarkEnd w:id="16"/>
    <w:bookmarkEnd w:id="17"/>
    <w:bookmarkEnd w:id="18"/>
    <w:bookmarkEnd w:id="19"/>
    <w:bookmarkEnd w:id="20"/>
    <w:bookmarkEnd w:id="21"/>
    <w:bookmarkEnd w:id="22"/>
    <w:bookmarkEnd w:id="23"/>
    <w:p>
      <w:pPr>
        <w:pStyle w:val="3"/>
        <w:spacing w:before="0" w:after="0" w:line="560" w:lineRule="exact"/>
        <w:ind w:right="420" w:firstLine="562"/>
        <w:rPr>
          <w:rFonts w:ascii="Times New Roman" w:hAnsi="Times New Roman"/>
        </w:rPr>
      </w:pPr>
      <w:bookmarkStart w:id="24" w:name="_Toc301369713"/>
      <w:bookmarkStart w:id="25" w:name="_Toc367869495"/>
      <w:bookmarkStart w:id="26" w:name="_Toc521268501"/>
      <w:bookmarkStart w:id="27" w:name="_Toc298936729"/>
      <w:bookmarkStart w:id="28" w:name="_Toc299006852"/>
      <w:bookmarkStart w:id="29" w:name="_Toc298936786"/>
      <w:bookmarkStart w:id="30" w:name="_Toc299005654"/>
      <w:bookmarkStart w:id="31" w:name="_Toc94587045"/>
      <w:bookmarkStart w:id="32" w:name="_Toc299004833"/>
      <w:bookmarkStart w:id="33" w:name="_Toc94587103"/>
      <w:bookmarkStart w:id="34" w:name="_Toc254875153"/>
      <w:bookmarkStart w:id="35" w:name="_Toc299007139"/>
      <w:bookmarkStart w:id="36" w:name="_Toc254860169"/>
      <w:bookmarkStart w:id="37" w:name="_Toc135016185"/>
      <w:bookmarkStart w:id="38" w:name="_Toc243111728"/>
      <w:bookmarkStart w:id="39" w:name="_Toc367869511"/>
      <w:bookmarkStart w:id="40" w:name="_Toc301369729"/>
      <w:bookmarkStart w:id="41" w:name="_Toc269132882"/>
      <w:bookmarkStart w:id="42" w:name="_Toc301369583"/>
      <w:bookmarkStart w:id="43" w:name="_Toc270691081"/>
      <w:bookmarkStart w:id="44" w:name="_Toc254860139"/>
      <w:bookmarkStart w:id="45" w:name="_Toc243111699"/>
      <w:r>
        <w:rPr>
          <w:rFonts w:ascii="Times New Roman" w:hAnsi="Times New Roman"/>
        </w:rPr>
        <w:t>（一）估价委托人</w:t>
      </w:r>
      <w:bookmarkEnd w:id="24"/>
      <w:bookmarkEnd w:id="25"/>
      <w:bookmarkEnd w:id="26"/>
    </w:p>
    <w:p>
      <w:pPr>
        <w:spacing w:line="540" w:lineRule="exact"/>
        <w:ind w:firstLine="560" w:firstLineChars="200"/>
        <w:rPr>
          <w:rFonts w:ascii="仿宋_GB2312" w:hAnsi="仿宋" w:eastAsia="仿宋_GB2312"/>
          <w:sz w:val="28"/>
          <w:szCs w:val="28"/>
        </w:rPr>
      </w:pPr>
      <w:bookmarkStart w:id="46" w:name="_Toc301369714"/>
      <w:bookmarkStart w:id="47" w:name="_Toc243111684"/>
      <w:bookmarkStart w:id="48" w:name="_Toc269132867"/>
      <w:bookmarkStart w:id="49" w:name="_Toc367869496"/>
      <w:bookmarkStart w:id="50" w:name="_Toc243111713"/>
      <w:bookmarkStart w:id="51" w:name="_Toc270691066"/>
      <w:bookmarkStart w:id="52" w:name="_Toc130033721"/>
      <w:bookmarkStart w:id="53" w:name="_Toc254860124"/>
      <w:bookmarkStart w:id="54" w:name="_Toc254875138"/>
      <w:bookmarkStart w:id="55" w:name="_Toc135016171"/>
      <w:bookmarkStart w:id="56" w:name="_Toc521268502"/>
      <w:r>
        <w:rPr>
          <w:rFonts w:hint="eastAsia" w:ascii="仿宋_GB2312" w:hAnsi="仿宋" w:eastAsia="仿宋_GB2312"/>
          <w:sz w:val="28"/>
          <w:szCs w:val="28"/>
        </w:rPr>
        <w:t>委托人：内蒙古自治区乌拉特后旗人民法院</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联系人： 邬春河、吕铮</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联系电话：0478-4666286</w:t>
      </w:r>
    </w:p>
    <w:p>
      <w:pPr>
        <w:pStyle w:val="3"/>
        <w:spacing w:before="0" w:after="0" w:line="560" w:lineRule="exact"/>
        <w:ind w:firstLine="562"/>
        <w:rPr>
          <w:rFonts w:ascii="Times New Roman" w:hAnsi="Times New Roman"/>
        </w:rPr>
      </w:pPr>
      <w:r>
        <w:rPr>
          <w:rFonts w:ascii="Times New Roman" w:hAnsi="Times New Roman"/>
        </w:rPr>
        <w:t>（二）房地产估价</w:t>
      </w:r>
      <w:bookmarkEnd w:id="46"/>
      <w:bookmarkEnd w:id="47"/>
      <w:bookmarkEnd w:id="48"/>
      <w:bookmarkEnd w:id="49"/>
      <w:bookmarkEnd w:id="50"/>
      <w:bookmarkEnd w:id="51"/>
      <w:bookmarkEnd w:id="52"/>
      <w:bookmarkEnd w:id="53"/>
      <w:bookmarkEnd w:id="54"/>
      <w:bookmarkEnd w:id="55"/>
      <w:r>
        <w:rPr>
          <w:rFonts w:ascii="Times New Roman" w:hAnsi="Times New Roman"/>
        </w:rPr>
        <w:t>机构</w:t>
      </w:r>
      <w:bookmarkEnd w:id="56"/>
    </w:p>
    <w:p>
      <w:pPr>
        <w:spacing w:line="560" w:lineRule="exact"/>
        <w:ind w:firstLine="560" w:firstLineChars="200"/>
        <w:rPr>
          <w:rFonts w:eastAsia="仿宋_GB2312"/>
          <w:sz w:val="28"/>
          <w:szCs w:val="28"/>
        </w:rPr>
      </w:pPr>
      <w:bookmarkStart w:id="57" w:name="_Toc269132868"/>
      <w:bookmarkStart w:id="58" w:name="_Toc243111685"/>
      <w:bookmarkStart w:id="59" w:name="_Toc254860125"/>
      <w:bookmarkStart w:id="60" w:name="_Toc254875139"/>
      <w:bookmarkStart w:id="61" w:name="_Toc130033722"/>
      <w:bookmarkStart w:id="62" w:name="_Toc270691067"/>
      <w:bookmarkStart w:id="63" w:name="_Toc135016172"/>
      <w:bookmarkStart w:id="64" w:name="_Toc243111714"/>
      <w:r>
        <w:rPr>
          <w:rFonts w:eastAsia="仿宋_GB2312"/>
          <w:sz w:val="28"/>
          <w:szCs w:val="28"/>
        </w:rPr>
        <w:t>房地产估价机构：内蒙古科瑞房地产土地资产评估有限公司</w:t>
      </w:r>
    </w:p>
    <w:p>
      <w:pPr>
        <w:adjustRightInd w:val="0"/>
        <w:snapToGrid w:val="0"/>
        <w:spacing w:line="560" w:lineRule="exact"/>
        <w:ind w:firstLine="560" w:firstLineChars="200"/>
        <w:rPr>
          <w:rFonts w:eastAsia="仿宋_GB2312"/>
          <w:sz w:val="28"/>
          <w:szCs w:val="28"/>
        </w:rPr>
      </w:pPr>
      <w:r>
        <w:rPr>
          <w:rFonts w:eastAsia="仿宋_GB2312"/>
          <w:sz w:val="28"/>
          <w:szCs w:val="28"/>
        </w:rPr>
        <w:t>法定代表人：赵闻科</w:t>
      </w:r>
    </w:p>
    <w:p>
      <w:pPr>
        <w:adjustRightInd w:val="0"/>
        <w:snapToGrid w:val="0"/>
        <w:spacing w:line="560" w:lineRule="exact"/>
        <w:ind w:firstLine="560" w:firstLineChars="200"/>
        <w:rPr>
          <w:rFonts w:eastAsia="仿宋_GB2312"/>
          <w:sz w:val="28"/>
          <w:szCs w:val="28"/>
        </w:rPr>
      </w:pPr>
      <w:r>
        <w:rPr>
          <w:rFonts w:eastAsia="仿宋_GB2312"/>
          <w:sz w:val="28"/>
          <w:szCs w:val="28"/>
        </w:rPr>
        <w:t>住所：呼市新城区丁香路10号兴诚花园东区办公园区</w:t>
      </w:r>
    </w:p>
    <w:p>
      <w:pPr>
        <w:adjustRightInd w:val="0"/>
        <w:snapToGrid w:val="0"/>
        <w:spacing w:line="560" w:lineRule="exact"/>
        <w:ind w:firstLine="560" w:firstLineChars="200"/>
        <w:rPr>
          <w:rFonts w:eastAsia="仿宋_GB2312"/>
          <w:sz w:val="28"/>
          <w:szCs w:val="28"/>
        </w:rPr>
      </w:pPr>
      <w:r>
        <w:rPr>
          <w:rFonts w:eastAsia="仿宋_GB2312"/>
          <w:sz w:val="28"/>
          <w:szCs w:val="28"/>
        </w:rPr>
        <w:t>资质等级：一级</w:t>
      </w:r>
    </w:p>
    <w:p>
      <w:pPr>
        <w:adjustRightInd w:val="0"/>
        <w:snapToGrid w:val="0"/>
        <w:spacing w:line="560" w:lineRule="exact"/>
        <w:ind w:firstLine="560" w:firstLineChars="200"/>
        <w:rPr>
          <w:rFonts w:eastAsia="仿宋_GB2312"/>
          <w:sz w:val="28"/>
          <w:szCs w:val="28"/>
        </w:rPr>
      </w:pPr>
      <w:r>
        <w:rPr>
          <w:rFonts w:eastAsia="仿宋_GB2312"/>
          <w:sz w:val="28"/>
          <w:szCs w:val="28"/>
        </w:rPr>
        <w:t>证书编号：内建房估证字[2016]第076号</w:t>
      </w:r>
    </w:p>
    <w:p>
      <w:pPr>
        <w:adjustRightInd w:val="0"/>
        <w:snapToGrid w:val="0"/>
        <w:spacing w:line="560" w:lineRule="exact"/>
        <w:ind w:firstLine="560" w:firstLineChars="200"/>
        <w:rPr>
          <w:rFonts w:eastAsia="仿宋_GB2312"/>
          <w:sz w:val="28"/>
          <w:szCs w:val="28"/>
        </w:rPr>
      </w:pPr>
      <w:r>
        <w:rPr>
          <w:rFonts w:eastAsia="仿宋_GB2312"/>
          <w:sz w:val="28"/>
          <w:szCs w:val="28"/>
        </w:rPr>
        <w:t>联系人：</w:t>
      </w:r>
      <w:r>
        <w:rPr>
          <w:rFonts w:hint="eastAsia" w:eastAsia="仿宋_GB2312"/>
          <w:sz w:val="28"/>
          <w:szCs w:val="28"/>
        </w:rPr>
        <w:t>史敏</w:t>
      </w:r>
    </w:p>
    <w:p>
      <w:pPr>
        <w:spacing w:line="560" w:lineRule="exact"/>
        <w:ind w:firstLine="560"/>
        <w:rPr>
          <w:rFonts w:eastAsia="仿宋_GB2312"/>
          <w:sz w:val="28"/>
          <w:szCs w:val="28"/>
        </w:rPr>
      </w:pPr>
      <w:r>
        <w:rPr>
          <w:rFonts w:eastAsia="仿宋_GB2312"/>
          <w:sz w:val="28"/>
          <w:szCs w:val="28"/>
        </w:rPr>
        <w:t xml:space="preserve">联系电话： </w:t>
      </w:r>
      <w:r>
        <w:rPr>
          <w:rFonts w:hint="eastAsia" w:eastAsia="仿宋_GB2312"/>
          <w:sz w:val="28"/>
          <w:szCs w:val="28"/>
        </w:rPr>
        <w:t>0478-8772659</w:t>
      </w:r>
    </w:p>
    <w:p>
      <w:pPr>
        <w:pStyle w:val="3"/>
        <w:spacing w:before="0" w:after="0" w:line="560" w:lineRule="exact"/>
        <w:ind w:firstLine="562"/>
        <w:rPr>
          <w:rFonts w:ascii="Times New Roman" w:hAnsi="Times New Roman"/>
        </w:rPr>
      </w:pPr>
      <w:bookmarkStart w:id="65" w:name="_Toc521268503"/>
      <w:bookmarkStart w:id="66" w:name="_Toc367869497"/>
      <w:bookmarkStart w:id="67" w:name="_Toc301369715"/>
      <w:r>
        <w:rPr>
          <w:rFonts w:ascii="Times New Roman" w:hAnsi="Times New Roman"/>
        </w:rPr>
        <w:t>（三）估价目的</w:t>
      </w:r>
      <w:bookmarkEnd w:id="65"/>
    </w:p>
    <w:p>
      <w:pPr>
        <w:adjustRightInd w:val="0"/>
        <w:snapToGrid w:val="0"/>
        <w:spacing w:line="560" w:lineRule="exact"/>
        <w:ind w:firstLine="560" w:firstLineChars="200"/>
        <w:rPr>
          <w:rFonts w:eastAsia="仿宋_GB2312"/>
          <w:sz w:val="28"/>
          <w:szCs w:val="28"/>
        </w:rPr>
      </w:pPr>
      <w:r>
        <w:rPr>
          <w:rFonts w:eastAsia="仿宋_GB2312"/>
          <w:sz w:val="28"/>
          <w:szCs w:val="28"/>
        </w:rPr>
        <w:t>委托方欲核实</w:t>
      </w:r>
      <w:r>
        <w:rPr>
          <w:rFonts w:hint="eastAsia" w:eastAsia="仿宋_GB2312"/>
          <w:sz w:val="28"/>
          <w:szCs w:val="28"/>
        </w:rPr>
        <w:t>被申请人顾来胜位于内蒙古自治区</w:t>
      </w:r>
      <w:r>
        <w:rPr>
          <w:rFonts w:hint="eastAsia" w:eastAsia="仿宋_GB2312"/>
          <w:sz w:val="28"/>
          <w:szCs w:val="28"/>
          <w:lang w:eastAsia="zh-CN"/>
        </w:rPr>
        <w:t>乌拉特后旗巴音镇九居委五小区百亿佳苑4#-4-201</w:t>
      </w:r>
      <w:r>
        <w:rPr>
          <w:rFonts w:eastAsia="仿宋_GB2312"/>
          <w:sz w:val="28"/>
          <w:szCs w:val="28"/>
        </w:rPr>
        <w:t>住宅房地产市场价值，</w:t>
      </w:r>
      <w:r>
        <w:rPr>
          <w:rFonts w:eastAsia="仿宋_GB2312"/>
          <w:color w:val="FF0000"/>
          <w:sz w:val="28"/>
          <w:szCs w:val="28"/>
        </w:rPr>
        <w:t>为委托方</w:t>
      </w:r>
      <w:r>
        <w:rPr>
          <w:rFonts w:eastAsia="仿宋_GB2312"/>
          <w:sz w:val="28"/>
          <w:szCs w:val="28"/>
        </w:rPr>
        <w:t>进行司法鉴定</w:t>
      </w:r>
      <w:r>
        <w:rPr>
          <w:rFonts w:eastAsia="仿宋_GB2312"/>
          <w:color w:val="FF0000"/>
          <w:sz w:val="28"/>
          <w:szCs w:val="28"/>
        </w:rPr>
        <w:t>提供市场价格参考依据。</w:t>
      </w:r>
    </w:p>
    <w:p>
      <w:pPr>
        <w:pStyle w:val="3"/>
        <w:spacing w:before="0" w:after="0" w:line="600" w:lineRule="exact"/>
        <w:ind w:firstLine="562"/>
        <w:rPr>
          <w:rFonts w:ascii="Times New Roman" w:hAnsi="Times New Roman"/>
        </w:rPr>
      </w:pPr>
      <w:bookmarkStart w:id="68" w:name="_Toc521268504"/>
      <w:r>
        <w:rPr>
          <w:rFonts w:ascii="Times New Roman" w:hAnsi="Times New Roman"/>
        </w:rPr>
        <w:t>（四）估价对象</w:t>
      </w:r>
      <w:bookmarkEnd w:id="57"/>
      <w:bookmarkEnd w:id="58"/>
      <w:bookmarkEnd w:id="59"/>
      <w:bookmarkEnd w:id="60"/>
      <w:bookmarkEnd w:id="61"/>
      <w:bookmarkEnd w:id="62"/>
      <w:bookmarkEnd w:id="63"/>
      <w:bookmarkEnd w:id="64"/>
      <w:bookmarkEnd w:id="66"/>
      <w:bookmarkEnd w:id="67"/>
      <w:bookmarkEnd w:id="68"/>
    </w:p>
    <w:p/>
    <w:p/>
    <w:p/>
    <w:p/>
    <w:p/>
    <w:p/>
    <w:p/>
    <w:p/>
    <w:p/>
    <w:p/>
    <w:p>
      <w:pPr>
        <w:adjustRightInd w:val="0"/>
        <w:snapToGrid w:val="0"/>
        <w:spacing w:line="600" w:lineRule="exact"/>
        <w:ind w:firstLine="562" w:firstLineChars="200"/>
        <w:rPr>
          <w:rFonts w:eastAsia="仿宋_GB2312"/>
          <w:b/>
          <w:sz w:val="28"/>
          <w:szCs w:val="28"/>
        </w:rPr>
      </w:pPr>
      <w:r>
        <w:rPr>
          <w:rFonts w:eastAsia="仿宋_GB2312"/>
          <w:b/>
          <w:sz w:val="28"/>
          <w:szCs w:val="28"/>
        </w:rPr>
        <w:t>1.估价对象权利登记状况</w:t>
      </w:r>
    </w:p>
    <w:tbl>
      <w:tblPr>
        <w:tblStyle w:val="47"/>
        <w:tblW w:w="9460"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360"/>
        <w:gridCol w:w="1239"/>
        <w:gridCol w:w="2028"/>
        <w:gridCol w:w="1347"/>
        <w:gridCol w:w="814"/>
        <w:gridCol w:w="267"/>
        <w:gridCol w:w="810"/>
        <w:gridCol w:w="1595"/>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房屋坐落</w:t>
            </w:r>
          </w:p>
        </w:tc>
        <w:tc>
          <w:tcPr>
            <w:tcW w:w="8100" w:type="dxa"/>
            <w:gridSpan w:val="7"/>
            <w:shd w:val="clear" w:color="auto" w:fill="auto"/>
            <w:vAlign w:val="center"/>
          </w:tcPr>
          <w:p>
            <w:pPr>
              <w:widowControl/>
              <w:jc w:val="center"/>
              <w:rPr>
                <w:rFonts w:hint="eastAsia" w:ascii="仿宋_GB2312" w:hAnsi="仿宋" w:eastAsia="仿宋_GB2312" w:cs="宋体"/>
                <w:color w:val="000000"/>
                <w:kern w:val="0"/>
                <w:sz w:val="18"/>
                <w:szCs w:val="18"/>
                <w:lang w:eastAsia="zh-CN"/>
              </w:rPr>
            </w:pPr>
            <w:r>
              <w:rPr>
                <w:rFonts w:hint="eastAsia" w:ascii="仿宋_GB2312" w:hAnsi="仿宋" w:eastAsia="仿宋_GB2312" w:cs="宋体"/>
                <w:kern w:val="0"/>
                <w:sz w:val="18"/>
                <w:szCs w:val="18"/>
              </w:rPr>
              <w:t>内蒙古自治区</w:t>
            </w:r>
            <w:r>
              <w:rPr>
                <w:rFonts w:hint="eastAsia" w:ascii="仿宋_GB2312" w:hAnsi="仿宋" w:eastAsia="仿宋_GB2312" w:cs="宋体"/>
                <w:kern w:val="0"/>
                <w:sz w:val="18"/>
                <w:szCs w:val="18"/>
                <w:lang w:eastAsia="zh-CN"/>
              </w:rPr>
              <w:t>乌拉特后旗巴音镇九居委五小区百亿佳苑4#-4-201</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四至</w:t>
            </w:r>
          </w:p>
        </w:tc>
        <w:tc>
          <w:tcPr>
            <w:tcW w:w="8100" w:type="dxa"/>
            <w:gridSpan w:val="7"/>
            <w:shd w:val="clear" w:color="auto" w:fill="auto"/>
            <w:vAlign w:val="center"/>
          </w:tcPr>
          <w:p>
            <w:pPr>
              <w:jc w:val="center"/>
              <w:rPr>
                <w:rFonts w:ascii="仿宋_GB2312" w:hAnsi="仿宋" w:eastAsia="仿宋_GB2312" w:cs="宋体"/>
                <w:color w:val="000000"/>
                <w:kern w:val="0"/>
                <w:sz w:val="18"/>
                <w:szCs w:val="18"/>
              </w:rPr>
            </w:pPr>
            <w:r>
              <w:rPr>
                <w:rFonts w:hint="eastAsia" w:ascii="仿宋_GB2312" w:hAnsi="仿宋" w:eastAsia="仿宋_GB2312" w:cs="宋体"/>
                <w:kern w:val="0"/>
                <w:sz w:val="18"/>
                <w:szCs w:val="18"/>
              </w:rPr>
              <w:t>东至：东环路   南至：东升街   西至：裕民小区  北至：那仁宝力格街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产权证件（名称及证号）</w:t>
            </w:r>
          </w:p>
        </w:tc>
        <w:tc>
          <w:tcPr>
            <w:tcW w:w="8100" w:type="dxa"/>
            <w:gridSpan w:val="7"/>
            <w:shd w:val="clear" w:color="auto" w:fill="auto"/>
            <w:vAlign w:val="center"/>
          </w:tcPr>
          <w:p>
            <w:pPr>
              <w:widowControl/>
              <w:jc w:val="center"/>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w:t>
            </w:r>
            <w:r>
              <w:rPr>
                <w:rFonts w:hint="eastAsia" w:ascii="仿宋_GB2312" w:hAnsi="仿宋" w:eastAsia="仿宋_GB2312" w:cs="宋体"/>
                <w:color w:val="000000"/>
                <w:kern w:val="0"/>
                <w:sz w:val="18"/>
                <w:szCs w:val="18"/>
                <w:lang w:eastAsia="zh-CN"/>
              </w:rPr>
              <w:t>内蒙古自治区房地产权属登记簿</w:t>
            </w:r>
            <w:r>
              <w:rPr>
                <w:rFonts w:hint="eastAsia" w:ascii="仿宋_GB2312" w:hAnsi="仿宋" w:eastAsia="仿宋_GB2312" w:cs="宋体"/>
                <w:color w:val="000000"/>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产权证书填发日期</w:t>
            </w:r>
          </w:p>
        </w:tc>
        <w:tc>
          <w:tcPr>
            <w:tcW w:w="3267" w:type="dxa"/>
            <w:gridSpan w:val="2"/>
            <w:shd w:val="clear" w:color="auto" w:fill="auto"/>
            <w:vAlign w:val="center"/>
          </w:tcPr>
          <w:p>
            <w:pPr>
              <w:widowControl/>
              <w:jc w:val="center"/>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2013-06-05</w:t>
            </w:r>
          </w:p>
        </w:tc>
        <w:tc>
          <w:tcPr>
            <w:tcW w:w="2161" w:type="dxa"/>
            <w:gridSpan w:val="2"/>
            <w:shd w:val="clear" w:color="auto" w:fill="auto"/>
            <w:vAlign w:val="center"/>
          </w:tcPr>
          <w:p>
            <w:pPr>
              <w:widowControl/>
              <w:jc w:val="center"/>
              <w:rPr>
                <w:rFonts w:ascii="仿宋_GB2312" w:hAnsi="仿宋" w:eastAsia="仿宋_GB2312" w:cs="宋体"/>
                <w:color w:val="000000"/>
                <w:kern w:val="0"/>
                <w:sz w:val="18"/>
                <w:szCs w:val="18"/>
              </w:rPr>
            </w:pPr>
            <w:r>
              <w:rPr>
                <w:rFonts w:hint="eastAsia" w:ascii="仿宋_GB2312" w:hAnsi="仿宋" w:eastAsia="仿宋_GB2312" w:cs="宋体"/>
                <w:b/>
                <w:color w:val="000000"/>
                <w:kern w:val="0"/>
                <w:sz w:val="18"/>
                <w:szCs w:val="18"/>
              </w:rPr>
              <w:t>房屋所有权人</w:t>
            </w:r>
          </w:p>
        </w:tc>
        <w:tc>
          <w:tcPr>
            <w:tcW w:w="2672" w:type="dxa"/>
            <w:gridSpan w:val="3"/>
            <w:shd w:val="clear" w:color="auto" w:fill="auto"/>
            <w:vAlign w:val="center"/>
          </w:tcPr>
          <w:p>
            <w:pPr>
              <w:widowControl/>
              <w:jc w:val="center"/>
              <w:rPr>
                <w:rFonts w:ascii="仿宋_GB2312" w:hAnsi="仿宋" w:eastAsia="仿宋_GB2312" w:cs="宋体"/>
                <w:color w:val="000000"/>
                <w:kern w:val="0"/>
                <w:sz w:val="18"/>
                <w:szCs w:val="18"/>
              </w:rPr>
            </w:pPr>
            <w:r>
              <w:rPr>
                <w:rFonts w:hint="eastAsia" w:ascii="仿宋_GB2312" w:eastAsia="仿宋_GB2312"/>
                <w:color w:val="000000"/>
                <w:sz w:val="18"/>
                <w:szCs w:val="18"/>
              </w:rPr>
              <w:t>顾来胜</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共有情况</w:t>
            </w:r>
          </w:p>
        </w:tc>
        <w:tc>
          <w:tcPr>
            <w:tcW w:w="1239" w:type="dxa"/>
            <w:shd w:val="clear" w:color="auto" w:fill="auto"/>
            <w:vAlign w:val="center"/>
          </w:tcPr>
          <w:p>
            <w:pPr>
              <w:widowControl/>
              <w:jc w:val="center"/>
              <w:rPr>
                <w:rFonts w:hint="eastAsia" w:ascii="仿宋_GB2312" w:hAnsi="仿宋" w:eastAsia="仿宋_GB2312" w:cs="宋体"/>
                <w:color w:val="000000"/>
                <w:kern w:val="0"/>
                <w:sz w:val="18"/>
                <w:szCs w:val="18"/>
                <w:lang w:eastAsia="zh-CN"/>
              </w:rPr>
            </w:pPr>
            <w:r>
              <w:rPr>
                <w:rFonts w:hint="eastAsia" w:ascii="仿宋_GB2312" w:hAnsi="仿宋" w:eastAsia="仿宋_GB2312" w:cs="宋体"/>
                <w:color w:val="000000"/>
                <w:kern w:val="0"/>
                <w:sz w:val="18"/>
                <w:szCs w:val="18"/>
                <w:lang w:eastAsia="zh-CN"/>
              </w:rPr>
              <w:t>共同共有</w:t>
            </w:r>
          </w:p>
        </w:tc>
        <w:tc>
          <w:tcPr>
            <w:tcW w:w="2028" w:type="dxa"/>
            <w:shd w:val="clear" w:color="auto" w:fill="auto"/>
            <w:vAlign w:val="center"/>
          </w:tcPr>
          <w:p>
            <w:pPr>
              <w:widowControl/>
              <w:jc w:val="center"/>
              <w:rPr>
                <w:rFonts w:ascii="仿宋_GB2312" w:hAnsi="仿宋" w:eastAsia="仿宋_GB2312" w:cs="宋体"/>
                <w:b/>
                <w:color w:val="000000"/>
                <w:kern w:val="0"/>
                <w:sz w:val="18"/>
                <w:szCs w:val="18"/>
              </w:rPr>
            </w:pPr>
            <w:r>
              <w:rPr>
                <w:rFonts w:hint="eastAsia" w:ascii="仿宋_GB2312" w:hAnsi="仿宋" w:eastAsia="仿宋_GB2312" w:cs="宋体"/>
                <w:b/>
                <w:color w:val="000000"/>
                <w:kern w:val="0"/>
                <w:sz w:val="18"/>
                <w:szCs w:val="18"/>
              </w:rPr>
              <w:t>不动产单元号</w:t>
            </w:r>
          </w:p>
        </w:tc>
        <w:tc>
          <w:tcPr>
            <w:tcW w:w="2161" w:type="dxa"/>
            <w:gridSpan w:val="2"/>
            <w:shd w:val="clear" w:color="auto" w:fill="auto"/>
            <w:vAlign w:val="center"/>
          </w:tcPr>
          <w:p>
            <w:pPr>
              <w:widowControl/>
              <w:jc w:val="center"/>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w:t>
            </w:r>
          </w:p>
        </w:tc>
        <w:tc>
          <w:tcPr>
            <w:tcW w:w="1077" w:type="dxa"/>
            <w:gridSpan w:val="2"/>
            <w:shd w:val="clear" w:color="auto" w:fill="auto"/>
            <w:vAlign w:val="center"/>
          </w:tcPr>
          <w:p>
            <w:pPr>
              <w:widowControl/>
              <w:jc w:val="center"/>
              <w:rPr>
                <w:rFonts w:ascii="仿宋_GB2312" w:hAnsi="仿宋" w:eastAsia="仿宋_GB2312" w:cs="宋体"/>
                <w:b/>
                <w:color w:val="000000"/>
                <w:kern w:val="0"/>
                <w:sz w:val="18"/>
                <w:szCs w:val="18"/>
              </w:rPr>
            </w:pPr>
            <w:r>
              <w:rPr>
                <w:rFonts w:hint="eastAsia" w:ascii="仿宋_GB2312" w:hAnsi="仿宋" w:eastAsia="仿宋_GB2312" w:cs="宋体"/>
                <w:b/>
                <w:color w:val="000000"/>
                <w:kern w:val="0"/>
                <w:sz w:val="18"/>
                <w:szCs w:val="18"/>
              </w:rPr>
              <w:t>房屋结构</w:t>
            </w:r>
          </w:p>
        </w:tc>
        <w:tc>
          <w:tcPr>
            <w:tcW w:w="1595" w:type="dxa"/>
            <w:shd w:val="clear" w:color="auto" w:fill="auto"/>
            <w:vAlign w:val="center"/>
          </w:tcPr>
          <w:p>
            <w:pPr>
              <w:widowControl/>
              <w:jc w:val="center"/>
              <w:rPr>
                <w:rFonts w:hint="eastAsia" w:ascii="仿宋_GB2312" w:hAnsi="仿宋" w:eastAsia="仿宋_GB2312" w:cs="宋体"/>
                <w:color w:val="000000"/>
                <w:kern w:val="0"/>
                <w:sz w:val="18"/>
                <w:szCs w:val="18"/>
                <w:lang w:eastAsia="zh-CN"/>
              </w:rPr>
            </w:pPr>
            <w:r>
              <w:rPr>
                <w:rFonts w:hint="eastAsia" w:ascii="仿宋_GB2312" w:hAnsi="仿宋" w:eastAsia="仿宋_GB2312" w:cs="宋体"/>
                <w:color w:val="000000"/>
                <w:kern w:val="0"/>
                <w:sz w:val="18"/>
                <w:szCs w:val="18"/>
              </w:rPr>
              <w:t>混合</w:t>
            </w:r>
            <w:r>
              <w:rPr>
                <w:rFonts w:hint="eastAsia" w:ascii="仿宋_GB2312" w:hAnsi="仿宋" w:eastAsia="仿宋_GB2312" w:cs="宋体"/>
                <w:color w:val="000000"/>
                <w:kern w:val="0"/>
                <w:sz w:val="18"/>
                <w:szCs w:val="18"/>
                <w:lang w:eastAsia="zh-CN"/>
              </w:rPr>
              <w:t>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房屋总层数</w:t>
            </w:r>
          </w:p>
        </w:tc>
        <w:tc>
          <w:tcPr>
            <w:tcW w:w="1239" w:type="dxa"/>
            <w:shd w:val="clear" w:color="auto" w:fill="auto"/>
            <w:vAlign w:val="center"/>
          </w:tcPr>
          <w:p>
            <w:pPr>
              <w:widowControl/>
              <w:jc w:val="center"/>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6层</w:t>
            </w:r>
          </w:p>
        </w:tc>
        <w:tc>
          <w:tcPr>
            <w:tcW w:w="2028" w:type="dxa"/>
            <w:shd w:val="clear" w:color="auto" w:fill="auto"/>
            <w:vAlign w:val="center"/>
          </w:tcPr>
          <w:p>
            <w:pPr>
              <w:widowControl/>
              <w:jc w:val="center"/>
              <w:rPr>
                <w:rFonts w:ascii="仿宋_GB2312" w:hAnsi="仿宋" w:eastAsia="仿宋_GB2312" w:cs="宋体"/>
                <w:b/>
                <w:color w:val="000000"/>
                <w:kern w:val="0"/>
                <w:sz w:val="18"/>
                <w:szCs w:val="18"/>
              </w:rPr>
            </w:pPr>
            <w:r>
              <w:rPr>
                <w:rFonts w:hint="eastAsia" w:ascii="仿宋_GB2312" w:hAnsi="仿宋" w:eastAsia="仿宋_GB2312" w:cs="宋体"/>
                <w:b/>
                <w:color w:val="000000"/>
                <w:kern w:val="0"/>
                <w:sz w:val="18"/>
                <w:szCs w:val="18"/>
              </w:rPr>
              <w:t>所在层数</w:t>
            </w:r>
          </w:p>
        </w:tc>
        <w:tc>
          <w:tcPr>
            <w:tcW w:w="1347" w:type="dxa"/>
            <w:shd w:val="clear" w:color="auto" w:fill="auto"/>
            <w:vAlign w:val="center"/>
          </w:tcPr>
          <w:p>
            <w:pPr>
              <w:widowControl/>
              <w:jc w:val="center"/>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2层</w:t>
            </w:r>
          </w:p>
        </w:tc>
        <w:tc>
          <w:tcPr>
            <w:tcW w:w="1081" w:type="dxa"/>
            <w:gridSpan w:val="2"/>
            <w:shd w:val="clear" w:color="auto" w:fill="auto"/>
            <w:vAlign w:val="center"/>
          </w:tcPr>
          <w:p>
            <w:pPr>
              <w:widowControl/>
              <w:jc w:val="center"/>
              <w:rPr>
                <w:rFonts w:ascii="仿宋_GB2312" w:hAnsi="仿宋" w:eastAsia="仿宋_GB2312" w:cs="宋体"/>
                <w:color w:val="000000"/>
                <w:kern w:val="0"/>
                <w:sz w:val="18"/>
                <w:szCs w:val="18"/>
              </w:rPr>
            </w:pPr>
            <w:r>
              <w:rPr>
                <w:rFonts w:hint="eastAsia" w:ascii="仿宋_GB2312" w:hAnsi="仿宋" w:eastAsia="仿宋_GB2312" w:cs="宋体"/>
                <w:b/>
                <w:color w:val="000000"/>
                <w:kern w:val="0"/>
                <w:sz w:val="18"/>
                <w:szCs w:val="18"/>
              </w:rPr>
              <w:t>建筑面积</w:t>
            </w:r>
            <w:r>
              <w:rPr>
                <w:rFonts w:hint="eastAsia" w:ascii="仿宋_GB2312" w:hAnsi="仿宋" w:eastAsia="仿宋_GB2312" w:cs="宋体"/>
                <w:color w:val="000000"/>
                <w:kern w:val="0"/>
                <w:sz w:val="18"/>
                <w:szCs w:val="18"/>
              </w:rPr>
              <w:t>(平方米)</w:t>
            </w:r>
          </w:p>
        </w:tc>
        <w:tc>
          <w:tcPr>
            <w:tcW w:w="2405" w:type="dxa"/>
            <w:gridSpan w:val="2"/>
            <w:shd w:val="clear" w:color="auto" w:fill="auto"/>
            <w:vAlign w:val="center"/>
          </w:tcPr>
          <w:p>
            <w:pPr>
              <w:widowControl/>
              <w:jc w:val="center"/>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119.34</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建成年份</w:t>
            </w:r>
          </w:p>
        </w:tc>
        <w:tc>
          <w:tcPr>
            <w:tcW w:w="1239" w:type="dxa"/>
            <w:shd w:val="clear" w:color="auto" w:fill="auto"/>
            <w:vAlign w:val="center"/>
          </w:tcPr>
          <w:p>
            <w:pPr>
              <w:widowControl/>
              <w:jc w:val="center"/>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200</w:t>
            </w:r>
            <w:r>
              <w:rPr>
                <w:rFonts w:hint="eastAsia" w:ascii="仿宋_GB2312" w:hAnsi="仿宋" w:eastAsia="仿宋_GB2312" w:cs="宋体"/>
                <w:color w:val="000000"/>
                <w:kern w:val="0"/>
                <w:sz w:val="18"/>
                <w:szCs w:val="18"/>
                <w:lang w:val="en-US" w:eastAsia="zh-CN"/>
              </w:rPr>
              <w:t>6</w:t>
            </w:r>
            <w:r>
              <w:rPr>
                <w:rFonts w:hint="eastAsia" w:ascii="仿宋_GB2312" w:hAnsi="仿宋" w:eastAsia="仿宋_GB2312" w:cs="宋体"/>
                <w:color w:val="000000"/>
                <w:kern w:val="0"/>
                <w:sz w:val="18"/>
                <w:szCs w:val="18"/>
              </w:rPr>
              <w:t>年</w:t>
            </w:r>
          </w:p>
        </w:tc>
        <w:tc>
          <w:tcPr>
            <w:tcW w:w="2028" w:type="dxa"/>
            <w:shd w:val="clear" w:color="auto" w:fill="auto"/>
            <w:vAlign w:val="center"/>
          </w:tcPr>
          <w:p>
            <w:pPr>
              <w:widowControl/>
              <w:jc w:val="center"/>
              <w:rPr>
                <w:rFonts w:ascii="仿宋_GB2312" w:hAnsi="仿宋" w:eastAsia="仿宋_GB2312" w:cs="宋体"/>
                <w:b/>
                <w:color w:val="000000"/>
                <w:kern w:val="0"/>
                <w:sz w:val="18"/>
                <w:szCs w:val="18"/>
              </w:rPr>
            </w:pPr>
            <w:r>
              <w:rPr>
                <w:rFonts w:hint="eastAsia" w:ascii="仿宋_GB2312" w:hAnsi="仿宋" w:eastAsia="仿宋_GB2312" w:cs="宋体"/>
                <w:b/>
                <w:color w:val="000000"/>
                <w:kern w:val="0"/>
                <w:sz w:val="18"/>
                <w:szCs w:val="18"/>
              </w:rPr>
              <w:t>房屋规划用途</w:t>
            </w:r>
          </w:p>
        </w:tc>
        <w:tc>
          <w:tcPr>
            <w:tcW w:w="1347" w:type="dxa"/>
            <w:shd w:val="clear" w:color="auto" w:fill="auto"/>
            <w:vAlign w:val="center"/>
          </w:tcPr>
          <w:p>
            <w:pPr>
              <w:widowControl/>
              <w:jc w:val="center"/>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住宅</w:t>
            </w:r>
          </w:p>
        </w:tc>
        <w:tc>
          <w:tcPr>
            <w:tcW w:w="1081" w:type="dxa"/>
            <w:gridSpan w:val="2"/>
            <w:shd w:val="clear" w:color="auto" w:fill="auto"/>
            <w:vAlign w:val="center"/>
          </w:tcPr>
          <w:p>
            <w:pPr>
              <w:widowControl/>
              <w:jc w:val="center"/>
              <w:rPr>
                <w:rFonts w:ascii="仿宋_GB2312" w:hAnsi="仿宋" w:eastAsia="仿宋_GB2312" w:cs="宋体"/>
                <w:b/>
                <w:color w:val="000000"/>
                <w:kern w:val="0"/>
                <w:sz w:val="18"/>
                <w:szCs w:val="18"/>
              </w:rPr>
            </w:pPr>
            <w:r>
              <w:rPr>
                <w:rFonts w:hint="eastAsia" w:ascii="仿宋_GB2312" w:hAnsi="仿宋" w:eastAsia="仿宋_GB2312" w:cs="宋体"/>
                <w:b/>
                <w:color w:val="000000"/>
                <w:kern w:val="0"/>
                <w:sz w:val="18"/>
                <w:szCs w:val="18"/>
              </w:rPr>
              <w:t>房屋实际用途</w:t>
            </w:r>
          </w:p>
        </w:tc>
        <w:tc>
          <w:tcPr>
            <w:tcW w:w="2405" w:type="dxa"/>
            <w:gridSpan w:val="2"/>
            <w:shd w:val="clear" w:color="auto" w:fill="auto"/>
            <w:vAlign w:val="center"/>
          </w:tcPr>
          <w:p>
            <w:pPr>
              <w:widowControl/>
              <w:jc w:val="center"/>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住宅</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土地使用权类型</w:t>
            </w:r>
          </w:p>
        </w:tc>
        <w:tc>
          <w:tcPr>
            <w:tcW w:w="3267" w:type="dxa"/>
            <w:gridSpan w:val="2"/>
            <w:shd w:val="clear" w:color="auto" w:fill="auto"/>
            <w:vAlign w:val="center"/>
          </w:tcPr>
          <w:p>
            <w:pPr>
              <w:widowControl/>
              <w:jc w:val="center"/>
              <w:rPr>
                <w:rFonts w:ascii="仿宋_GB2312" w:hAnsi="仿宋" w:eastAsia="仿宋_GB2312" w:cs="宋体"/>
                <w:b/>
                <w:color w:val="000000"/>
                <w:kern w:val="0"/>
                <w:sz w:val="18"/>
                <w:szCs w:val="18"/>
              </w:rPr>
            </w:pPr>
            <w:r>
              <w:rPr>
                <w:rFonts w:hint="eastAsia" w:ascii="仿宋_GB2312" w:hAnsi="仿宋" w:eastAsia="仿宋_GB2312" w:cs="宋体"/>
                <w:color w:val="000000"/>
                <w:kern w:val="0"/>
                <w:sz w:val="18"/>
                <w:szCs w:val="18"/>
              </w:rPr>
              <w:t>--</w:t>
            </w:r>
          </w:p>
        </w:tc>
        <w:tc>
          <w:tcPr>
            <w:tcW w:w="1347" w:type="dxa"/>
            <w:shd w:val="clear" w:color="auto" w:fill="auto"/>
            <w:vAlign w:val="center"/>
          </w:tcPr>
          <w:p>
            <w:pPr>
              <w:widowControl/>
              <w:jc w:val="center"/>
              <w:rPr>
                <w:rFonts w:ascii="仿宋_GB2312" w:hAnsi="仿宋" w:eastAsia="仿宋_GB2312" w:cs="宋体"/>
                <w:b/>
                <w:color w:val="000000"/>
                <w:kern w:val="0"/>
                <w:sz w:val="18"/>
                <w:szCs w:val="18"/>
              </w:rPr>
            </w:pPr>
            <w:r>
              <w:rPr>
                <w:rFonts w:hint="eastAsia" w:ascii="仿宋_GB2312" w:hAnsi="仿宋" w:eastAsia="仿宋_GB2312" w:cs="宋体"/>
                <w:b/>
                <w:color w:val="000000"/>
                <w:kern w:val="0"/>
                <w:sz w:val="18"/>
                <w:szCs w:val="18"/>
              </w:rPr>
              <w:t>土地使用期限</w:t>
            </w:r>
          </w:p>
        </w:tc>
        <w:tc>
          <w:tcPr>
            <w:tcW w:w="3486" w:type="dxa"/>
            <w:gridSpan w:val="4"/>
            <w:shd w:val="clear" w:color="auto" w:fill="auto"/>
            <w:vAlign w:val="center"/>
          </w:tcPr>
          <w:p>
            <w:pPr>
              <w:widowControl/>
              <w:jc w:val="center"/>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土地开发程度</w:t>
            </w:r>
          </w:p>
        </w:tc>
        <w:tc>
          <w:tcPr>
            <w:tcW w:w="3267" w:type="dxa"/>
            <w:gridSpan w:val="2"/>
            <w:shd w:val="clear" w:color="auto" w:fill="auto"/>
            <w:vAlign w:val="center"/>
          </w:tcPr>
          <w:p>
            <w:pPr>
              <w:widowControl/>
              <w:jc w:val="center"/>
              <w:rPr>
                <w:rFonts w:hint="eastAsia" w:ascii="仿宋_GB2312" w:hAnsi="仿宋" w:eastAsia="仿宋_GB2312" w:cs="宋体"/>
                <w:color w:val="000000"/>
                <w:kern w:val="0"/>
                <w:sz w:val="18"/>
                <w:szCs w:val="18"/>
                <w:lang w:eastAsia="zh-CN"/>
              </w:rPr>
            </w:pPr>
            <w:r>
              <w:rPr>
                <w:rFonts w:hint="eastAsia" w:ascii="仿宋_GB2312" w:hAnsi="仿宋" w:eastAsia="仿宋_GB2312" w:cs="宋体"/>
                <w:color w:val="000000"/>
                <w:kern w:val="0"/>
                <w:sz w:val="18"/>
                <w:szCs w:val="18"/>
                <w:lang w:eastAsia="zh-CN"/>
              </w:rPr>
              <w:t>四通</w:t>
            </w:r>
          </w:p>
        </w:tc>
        <w:tc>
          <w:tcPr>
            <w:tcW w:w="2428" w:type="dxa"/>
            <w:gridSpan w:val="3"/>
            <w:shd w:val="clear" w:color="auto" w:fill="auto"/>
            <w:vAlign w:val="center"/>
          </w:tcPr>
          <w:p>
            <w:pPr>
              <w:widowControl/>
              <w:jc w:val="center"/>
              <w:rPr>
                <w:rFonts w:ascii="仿宋_GB2312" w:hAnsi="仿宋" w:eastAsia="仿宋_GB2312" w:cs="宋体"/>
                <w:b/>
                <w:color w:val="000000"/>
                <w:kern w:val="0"/>
                <w:sz w:val="18"/>
                <w:szCs w:val="18"/>
              </w:rPr>
            </w:pPr>
            <w:r>
              <w:rPr>
                <w:rFonts w:hint="eastAsia" w:ascii="仿宋_GB2312" w:hAnsi="仿宋" w:eastAsia="仿宋_GB2312" w:cs="宋体"/>
                <w:b/>
                <w:color w:val="000000"/>
                <w:kern w:val="0"/>
                <w:sz w:val="18"/>
                <w:szCs w:val="18"/>
              </w:rPr>
              <w:t>他项权利状况</w:t>
            </w:r>
          </w:p>
        </w:tc>
        <w:tc>
          <w:tcPr>
            <w:tcW w:w="2405" w:type="dxa"/>
            <w:gridSpan w:val="2"/>
            <w:shd w:val="clear" w:color="auto" w:fill="auto"/>
            <w:vAlign w:val="center"/>
          </w:tcPr>
          <w:p>
            <w:pPr>
              <w:pStyle w:val="135"/>
              <w:widowControl/>
              <w:ind w:left="718" w:right="-17" w:rightChars="-8" w:firstLine="0" w:firstLineChars="0"/>
              <w:jc w:val="center"/>
              <w:rPr>
                <w:rFonts w:ascii="仿宋_GB2312" w:hAnsi="仿宋" w:eastAsia="仿宋_GB2312" w:cs="宋体"/>
                <w:color w:val="000000"/>
                <w:kern w:val="0"/>
                <w:sz w:val="18"/>
                <w:szCs w:val="18"/>
              </w:rPr>
            </w:pPr>
            <w:r>
              <w:rPr>
                <w:rFonts w:hint="eastAsia" w:ascii="仿宋_GB2312" w:hAnsi="仿宋" w:eastAsia="仿宋_GB2312" w:cs="宋体"/>
                <w:b/>
                <w:color w:val="000000"/>
                <w:kern w:val="0"/>
                <w:sz w:val="18"/>
                <w:szCs w:val="18"/>
              </w:rPr>
              <w:sym w:font="Wingdings 2" w:char="F052"/>
            </w:r>
            <w:r>
              <w:rPr>
                <w:rFonts w:hint="eastAsia" w:ascii="仿宋_GB2312" w:hAnsi="仿宋" w:eastAsia="仿宋_GB2312" w:cs="宋体"/>
                <w:color w:val="000000"/>
                <w:kern w:val="0"/>
                <w:sz w:val="18"/>
                <w:szCs w:val="18"/>
              </w:rPr>
              <w:t>抵押 □租赁</w:t>
            </w:r>
          </w:p>
          <w:p>
            <w:pPr>
              <w:pStyle w:val="135"/>
              <w:widowControl/>
              <w:ind w:left="718" w:right="-17" w:rightChars="-8" w:firstLine="0" w:firstLineChars="0"/>
              <w:jc w:val="center"/>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□其它</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shd w:val="clear" w:color="auto" w:fill="auto"/>
            <w:vAlign w:val="center"/>
          </w:tcPr>
          <w:p>
            <w:pPr>
              <w:widowControl/>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备    注</w:t>
            </w:r>
          </w:p>
        </w:tc>
        <w:tc>
          <w:tcPr>
            <w:tcW w:w="8100" w:type="dxa"/>
            <w:gridSpan w:val="7"/>
            <w:shd w:val="clear" w:color="auto" w:fill="auto"/>
            <w:vAlign w:val="center"/>
          </w:tcPr>
          <w:p>
            <w:pPr>
              <w:widowControl/>
              <w:jc w:val="center"/>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w:t>
            </w:r>
          </w:p>
        </w:tc>
      </w:tr>
    </w:tbl>
    <w:p>
      <w:pPr>
        <w:adjustRightInd w:val="0"/>
        <w:snapToGrid w:val="0"/>
        <w:spacing w:beforeLines="50" w:line="360" w:lineRule="auto"/>
        <w:ind w:firstLine="562" w:firstLineChars="200"/>
        <w:rPr>
          <w:rFonts w:eastAsia="仿宋_GB2312"/>
          <w:b/>
          <w:sz w:val="28"/>
          <w:szCs w:val="28"/>
        </w:rPr>
      </w:pPr>
      <w:r>
        <w:rPr>
          <w:rFonts w:eastAsia="仿宋_GB2312"/>
          <w:b/>
          <w:sz w:val="28"/>
          <w:szCs w:val="28"/>
        </w:rPr>
        <w:t>2.估价对象基本情况</w:t>
      </w:r>
    </w:p>
    <w:tbl>
      <w:tblPr>
        <w:tblStyle w:val="47"/>
        <w:tblW w:w="9704"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30"/>
        <w:gridCol w:w="1296"/>
        <w:gridCol w:w="1498"/>
        <w:gridCol w:w="1186"/>
        <w:gridCol w:w="1091"/>
        <w:gridCol w:w="1186"/>
        <w:gridCol w:w="1817"/>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tcBorders>
              <w:top w:val="thinThickSmallGap" w:color="auto" w:sz="12"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名称</w:t>
            </w:r>
          </w:p>
        </w:tc>
        <w:tc>
          <w:tcPr>
            <w:tcW w:w="2794" w:type="dxa"/>
            <w:gridSpan w:val="2"/>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顾来胜</w:t>
            </w:r>
          </w:p>
        </w:tc>
        <w:tc>
          <w:tcPr>
            <w:tcW w:w="1186"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规模</w:t>
            </w:r>
          </w:p>
        </w:tc>
        <w:tc>
          <w:tcPr>
            <w:tcW w:w="1091"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一般</w:t>
            </w:r>
          </w:p>
        </w:tc>
        <w:tc>
          <w:tcPr>
            <w:tcW w:w="1186"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社区成熟度</w:t>
            </w:r>
          </w:p>
        </w:tc>
        <w:tc>
          <w:tcPr>
            <w:tcW w:w="1817" w:type="dxa"/>
            <w:tcBorders>
              <w:top w:val="thinThickSmallGap" w:color="auto" w:sz="12" w:space="0"/>
              <w:left w:val="dotted" w:color="auto" w:sz="4" w:space="0"/>
              <w:bottom w:val="dotted" w:color="auto" w:sz="4" w:space="0"/>
            </w:tcBorders>
            <w:shd w:val="clear" w:color="auto" w:fill="auto"/>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tcBorders>
              <w:top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环境</w:t>
            </w:r>
          </w:p>
        </w:tc>
        <w:tc>
          <w:tcPr>
            <w:tcW w:w="2794"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一般</w:t>
            </w:r>
          </w:p>
        </w:tc>
        <w:tc>
          <w:tcPr>
            <w:tcW w:w="118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绿地率</w:t>
            </w:r>
          </w:p>
        </w:tc>
        <w:tc>
          <w:tcPr>
            <w:tcW w:w="109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无</w:t>
            </w:r>
          </w:p>
        </w:tc>
        <w:tc>
          <w:tcPr>
            <w:tcW w:w="118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停车状况</w:t>
            </w:r>
          </w:p>
        </w:tc>
        <w:tc>
          <w:tcPr>
            <w:tcW w:w="1817" w:type="dxa"/>
            <w:tcBorders>
              <w:top w:val="dotted" w:color="auto" w:sz="4" w:space="0"/>
              <w:left w:val="dotted" w:color="auto" w:sz="4" w:space="0"/>
              <w:bottom w:val="dotted" w:color="auto" w:sz="4" w:space="0"/>
            </w:tcBorders>
            <w:shd w:val="clear" w:color="auto" w:fill="auto"/>
            <w:vAlign w:val="center"/>
          </w:tcPr>
          <w:p>
            <w:pPr>
              <w:widowControl/>
              <w:jc w:val="center"/>
              <w:rPr>
                <w:rFonts w:ascii="仿宋_GB2312" w:hAnsi="宋体" w:eastAsia="仿宋_GB2312"/>
                <w:sz w:val="18"/>
                <w:szCs w:val="18"/>
              </w:rPr>
            </w:pPr>
            <w:r>
              <w:rPr>
                <w:rFonts w:eastAsia="仿宋_GB2312"/>
                <w:sz w:val="18"/>
                <w:szCs w:val="18"/>
              </w:rPr>
              <w:t>地上停车位</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tcBorders>
              <w:top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物业管理公司</w:t>
            </w:r>
          </w:p>
        </w:tc>
        <w:tc>
          <w:tcPr>
            <w:tcW w:w="2794"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eastAsia="仿宋_GB2312"/>
                <w:sz w:val="18"/>
                <w:szCs w:val="18"/>
              </w:rPr>
              <w:t>均豪物业</w:t>
            </w:r>
          </w:p>
        </w:tc>
        <w:tc>
          <w:tcPr>
            <w:tcW w:w="118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管理形式</w:t>
            </w:r>
          </w:p>
        </w:tc>
        <w:tc>
          <w:tcPr>
            <w:tcW w:w="109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开放</w:t>
            </w:r>
          </w:p>
        </w:tc>
        <w:tc>
          <w:tcPr>
            <w:tcW w:w="118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物业费</w:t>
            </w:r>
          </w:p>
        </w:tc>
        <w:tc>
          <w:tcPr>
            <w:tcW w:w="1817" w:type="dxa"/>
            <w:tcBorders>
              <w:top w:val="dotted" w:color="auto" w:sz="4" w:space="0"/>
              <w:left w:val="dotted" w:color="auto" w:sz="4" w:space="0"/>
              <w:bottom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仿宋" w:eastAsia="仿宋_GB2312" w:cs="宋体"/>
                <w:kern w:val="0"/>
                <w:sz w:val="18"/>
                <w:szCs w:val="18"/>
              </w:rPr>
              <w:t>6元/年/平方米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tcBorders>
              <w:top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建筑形式</w:t>
            </w:r>
          </w:p>
        </w:tc>
        <w:tc>
          <w:tcPr>
            <w:tcW w:w="2794"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板式</w:t>
            </w:r>
          </w:p>
        </w:tc>
        <w:tc>
          <w:tcPr>
            <w:tcW w:w="118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屋面形式</w:t>
            </w:r>
          </w:p>
        </w:tc>
        <w:tc>
          <w:tcPr>
            <w:tcW w:w="109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平层</w:t>
            </w:r>
          </w:p>
        </w:tc>
        <w:tc>
          <w:tcPr>
            <w:tcW w:w="118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景观</w:t>
            </w:r>
          </w:p>
        </w:tc>
        <w:tc>
          <w:tcPr>
            <w:tcW w:w="1817" w:type="dxa"/>
            <w:tcBorders>
              <w:top w:val="dotted" w:color="auto" w:sz="4" w:space="0"/>
              <w:left w:val="dotted" w:color="auto" w:sz="4" w:space="0"/>
              <w:bottom w:val="dotted" w:color="auto" w:sz="4" w:space="0"/>
            </w:tcBorders>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tcBorders>
              <w:top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 w:val="18"/>
                <w:szCs w:val="18"/>
              </w:rPr>
            </w:pPr>
            <w:r>
              <w:rPr>
                <w:rFonts w:ascii="仿宋_GB2312" w:hAnsi="宋体" w:eastAsia="仿宋_GB2312"/>
                <w:b/>
                <w:sz w:val="18"/>
                <w:szCs w:val="18"/>
              </w:rPr>
              <w:t>户型</w:t>
            </w:r>
          </w:p>
        </w:tc>
        <w:tc>
          <w:tcPr>
            <w:tcW w:w="2794"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Calibri" w:hAnsi="Calibri" w:eastAsia="仿宋_GB2312"/>
                <w:sz w:val="18"/>
                <w:szCs w:val="18"/>
              </w:rPr>
            </w:pPr>
            <w:r>
              <w:rPr>
                <w:rFonts w:hint="eastAsia" w:ascii="Calibri" w:hAnsi="Calibri" w:eastAsia="仿宋_GB2312"/>
                <w:sz w:val="18"/>
                <w:szCs w:val="18"/>
              </w:rPr>
              <w:t>一</w:t>
            </w:r>
            <w:r>
              <w:rPr>
                <w:rFonts w:ascii="Calibri" w:hAnsi="Calibri" w:eastAsia="仿宋_GB2312"/>
                <w:sz w:val="18"/>
                <w:szCs w:val="18"/>
              </w:rPr>
              <w:t>梯</w:t>
            </w:r>
            <w:r>
              <w:rPr>
                <w:rFonts w:hint="eastAsia" w:ascii="Calibri" w:hAnsi="Calibri" w:eastAsia="仿宋_GB2312"/>
                <w:sz w:val="18"/>
                <w:szCs w:val="18"/>
              </w:rPr>
              <w:t>两</w:t>
            </w:r>
            <w:r>
              <w:rPr>
                <w:rFonts w:ascii="Calibri" w:hAnsi="Calibri" w:eastAsia="仿宋_GB2312"/>
                <w:sz w:val="18"/>
                <w:szCs w:val="18"/>
              </w:rPr>
              <w:t>户</w:t>
            </w:r>
          </w:p>
        </w:tc>
        <w:tc>
          <w:tcPr>
            <w:tcW w:w="118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Calibri" w:hAnsi="Calibri" w:eastAsia="仿宋_GB2312"/>
                <w:b/>
                <w:sz w:val="18"/>
                <w:szCs w:val="18"/>
              </w:rPr>
            </w:pPr>
            <w:r>
              <w:rPr>
                <w:rFonts w:ascii="Calibri" w:hAnsi="Calibri" w:eastAsia="仿宋_GB2312"/>
                <w:b/>
                <w:sz w:val="18"/>
                <w:szCs w:val="18"/>
              </w:rPr>
              <w:t>平面布局</w:t>
            </w:r>
          </w:p>
        </w:tc>
        <w:tc>
          <w:tcPr>
            <w:tcW w:w="109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Calibri" w:hAnsi="Calibri" w:eastAsia="仿宋_GB2312"/>
                <w:sz w:val="18"/>
                <w:szCs w:val="18"/>
              </w:rPr>
            </w:pPr>
            <w:r>
              <w:rPr>
                <w:rFonts w:ascii="Calibri" w:hAnsi="Calibri" w:eastAsia="仿宋_GB2312"/>
                <w:sz w:val="18"/>
                <w:szCs w:val="18"/>
              </w:rPr>
              <w:t>合理</w:t>
            </w:r>
          </w:p>
        </w:tc>
        <w:tc>
          <w:tcPr>
            <w:tcW w:w="118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Calibri" w:hAnsi="Calibri" w:eastAsia="仿宋_GB2312"/>
                <w:b/>
                <w:sz w:val="18"/>
                <w:szCs w:val="18"/>
              </w:rPr>
            </w:pPr>
            <w:r>
              <w:rPr>
                <w:rFonts w:ascii="Calibri" w:hAnsi="Calibri" w:eastAsia="仿宋_GB2312"/>
                <w:b/>
                <w:sz w:val="18"/>
                <w:szCs w:val="18"/>
              </w:rPr>
              <w:t>户型结构</w:t>
            </w:r>
          </w:p>
        </w:tc>
        <w:tc>
          <w:tcPr>
            <w:tcW w:w="1817" w:type="dxa"/>
            <w:tcBorders>
              <w:top w:val="dotted" w:color="auto" w:sz="4" w:space="0"/>
              <w:left w:val="dotted" w:color="auto" w:sz="4" w:space="0"/>
              <w:bottom w:val="dotted" w:color="auto" w:sz="4" w:space="0"/>
            </w:tcBorders>
            <w:shd w:val="clear" w:color="auto" w:fill="auto"/>
            <w:vAlign w:val="center"/>
          </w:tcPr>
          <w:p>
            <w:pPr>
              <w:widowControl/>
              <w:jc w:val="center"/>
              <w:rPr>
                <w:rFonts w:ascii="Calibri" w:hAnsi="Calibri" w:eastAsia="仿宋_GB2312"/>
                <w:sz w:val="18"/>
                <w:szCs w:val="18"/>
              </w:rPr>
            </w:pPr>
            <w:r>
              <w:rPr>
                <w:rFonts w:hint="eastAsia" w:eastAsia="仿宋_GB2312"/>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Calibri" w:hAnsi="Calibri" w:eastAsia="仿宋_GB2312"/>
                <w:b/>
                <w:sz w:val="18"/>
                <w:szCs w:val="18"/>
              </w:rPr>
            </w:pPr>
            <w:r>
              <w:rPr>
                <w:rFonts w:ascii="Calibri" w:hAnsi="Calibri" w:eastAsia="仿宋_GB2312"/>
                <w:b/>
                <w:sz w:val="18"/>
                <w:szCs w:val="18"/>
              </w:rPr>
              <w:t>门禁系统</w:t>
            </w:r>
          </w:p>
        </w:tc>
        <w:tc>
          <w:tcPr>
            <w:tcW w:w="2794" w:type="dxa"/>
            <w:gridSpan w:val="2"/>
            <w:shd w:val="clear" w:color="auto" w:fill="auto"/>
            <w:vAlign w:val="center"/>
          </w:tcPr>
          <w:p>
            <w:pPr>
              <w:widowControl/>
              <w:jc w:val="center"/>
              <w:rPr>
                <w:rFonts w:ascii="Calibri" w:hAnsi="Calibri" w:eastAsia="仿宋_GB2312"/>
                <w:sz w:val="18"/>
                <w:szCs w:val="18"/>
              </w:rPr>
            </w:pPr>
            <w:r>
              <w:rPr>
                <w:rFonts w:hint="eastAsia" w:ascii="Calibri" w:hAnsi="Calibri" w:eastAsia="仿宋_GB2312"/>
                <w:sz w:val="18"/>
                <w:szCs w:val="18"/>
              </w:rPr>
              <w:t>有</w:t>
            </w:r>
          </w:p>
        </w:tc>
        <w:tc>
          <w:tcPr>
            <w:tcW w:w="1186" w:type="dxa"/>
            <w:shd w:val="clear" w:color="auto" w:fill="auto"/>
            <w:vAlign w:val="center"/>
          </w:tcPr>
          <w:p>
            <w:pPr>
              <w:widowControl/>
              <w:jc w:val="center"/>
              <w:rPr>
                <w:rFonts w:ascii="Calibri" w:hAnsi="Calibri" w:eastAsia="仿宋_GB2312"/>
                <w:b/>
                <w:sz w:val="18"/>
                <w:szCs w:val="18"/>
              </w:rPr>
            </w:pPr>
            <w:r>
              <w:rPr>
                <w:rFonts w:ascii="Calibri" w:hAnsi="Calibri" w:eastAsia="仿宋_GB2312"/>
                <w:b/>
                <w:sz w:val="18"/>
                <w:szCs w:val="18"/>
              </w:rPr>
              <w:t>电梯情况</w:t>
            </w:r>
          </w:p>
        </w:tc>
        <w:tc>
          <w:tcPr>
            <w:tcW w:w="4094" w:type="dxa"/>
            <w:gridSpan w:val="3"/>
            <w:shd w:val="clear" w:color="auto" w:fill="auto"/>
            <w:vAlign w:val="center"/>
          </w:tcPr>
          <w:p>
            <w:pPr>
              <w:widowControl/>
              <w:jc w:val="center"/>
              <w:rPr>
                <w:rFonts w:ascii="仿宋_GB2312" w:hAnsi="宋体" w:eastAsia="仿宋_GB2312"/>
                <w:sz w:val="18"/>
                <w:szCs w:val="18"/>
              </w:rPr>
            </w:pPr>
            <w:r>
              <w:rPr>
                <w:rFonts w:hint="eastAsia" w:ascii="Calibri" w:hAnsi="Calibri" w:eastAsia="仿宋_GB2312"/>
                <w:kern w:val="0"/>
                <w:sz w:val="18"/>
                <w:szCs w:val="18"/>
              </w:rPr>
              <w:t>无电梯</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设施、设备</w:t>
            </w:r>
          </w:p>
        </w:tc>
        <w:tc>
          <w:tcPr>
            <w:tcW w:w="8074" w:type="dxa"/>
            <w:gridSpan w:val="6"/>
            <w:shd w:val="clear" w:color="auto" w:fill="auto"/>
            <w:vAlign w:val="center"/>
          </w:tcPr>
          <w:p>
            <w:pPr>
              <w:widowControl/>
              <w:jc w:val="center"/>
              <w:rPr>
                <w:rFonts w:ascii="仿宋_GB2312" w:hAnsi="宋体" w:eastAsia="仿宋_GB2312"/>
                <w:color w:val="FF0000"/>
                <w:sz w:val="18"/>
                <w:szCs w:val="18"/>
              </w:rPr>
            </w:pPr>
            <w:r>
              <w:rPr>
                <w:rFonts w:hint="eastAsia" w:eastAsia="仿宋_GB2312"/>
                <w:color w:val="FF0000"/>
                <w:sz w:val="18"/>
                <w:szCs w:val="18"/>
              </w:rPr>
              <w:t>较</w:t>
            </w:r>
            <w:r>
              <w:rPr>
                <w:rFonts w:hint="eastAsia" w:eastAsia="仿宋_GB2312"/>
                <w:color w:val="FF0000"/>
                <w:sz w:val="18"/>
                <w:szCs w:val="18"/>
                <w:lang w:eastAsia="zh-CN"/>
              </w:rPr>
              <w:t>不</w:t>
            </w:r>
            <w:r>
              <w:rPr>
                <w:rFonts w:hint="eastAsia" w:eastAsia="仿宋_GB2312"/>
                <w:color w:val="FF0000"/>
                <w:sz w:val="18"/>
                <w:szCs w:val="18"/>
              </w:rPr>
              <w:t>完备（消防系统、</w:t>
            </w:r>
            <w:r>
              <w:rPr>
                <w:rFonts w:hint="eastAsia" w:eastAsia="仿宋_GB2312"/>
                <w:color w:val="FF0000"/>
                <w:sz w:val="18"/>
                <w:szCs w:val="18"/>
                <w:lang w:eastAsia="zh-CN"/>
              </w:rPr>
              <w:t>普通门禁对讲系统</w:t>
            </w:r>
            <w:r>
              <w:rPr>
                <w:rFonts w:hint="eastAsia" w:eastAsia="仿宋_GB2312"/>
                <w:color w:val="FF000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地形状况</w:t>
            </w:r>
          </w:p>
        </w:tc>
        <w:tc>
          <w:tcPr>
            <w:tcW w:w="1296"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平整</w:t>
            </w:r>
          </w:p>
        </w:tc>
        <w:tc>
          <w:tcPr>
            <w:tcW w:w="1498"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区域内主要物业类型</w:t>
            </w:r>
          </w:p>
        </w:tc>
        <w:tc>
          <w:tcPr>
            <w:tcW w:w="2277" w:type="dxa"/>
            <w:gridSpan w:val="2"/>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住宅</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容积率</w:t>
            </w:r>
          </w:p>
        </w:tc>
        <w:tc>
          <w:tcPr>
            <w:tcW w:w="1817"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外立面装修</w:t>
            </w:r>
          </w:p>
        </w:tc>
        <w:tc>
          <w:tcPr>
            <w:tcW w:w="1296"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涂料</w:t>
            </w:r>
          </w:p>
        </w:tc>
        <w:tc>
          <w:tcPr>
            <w:tcW w:w="1498"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入户门</w:t>
            </w:r>
          </w:p>
        </w:tc>
        <w:tc>
          <w:tcPr>
            <w:tcW w:w="1186"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防盗门</w:t>
            </w:r>
          </w:p>
        </w:tc>
        <w:tc>
          <w:tcPr>
            <w:tcW w:w="1091"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内门</w:t>
            </w:r>
          </w:p>
        </w:tc>
        <w:tc>
          <w:tcPr>
            <w:tcW w:w="3003" w:type="dxa"/>
            <w:gridSpan w:val="2"/>
            <w:shd w:val="clear" w:color="auto" w:fill="auto"/>
            <w:vAlign w:val="center"/>
          </w:tcPr>
          <w:p>
            <w:pPr>
              <w:widowControl/>
              <w:jc w:val="center"/>
              <w:rPr>
                <w:rFonts w:hint="eastAsia" w:ascii="仿宋_GB2312" w:hAnsi="宋体" w:eastAsia="仿宋_GB2312"/>
                <w:sz w:val="18"/>
                <w:szCs w:val="18"/>
                <w:lang w:eastAsia="zh-CN"/>
              </w:rPr>
            </w:pPr>
            <w:r>
              <w:rPr>
                <w:rFonts w:hint="eastAsia" w:ascii="仿宋_GB2312" w:hAnsi="宋体" w:eastAsia="仿宋_GB2312"/>
                <w:sz w:val="18"/>
                <w:szCs w:val="18"/>
                <w:lang w:eastAsia="zh-CN"/>
              </w:rPr>
              <w:t>木门</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窗</w:t>
            </w:r>
          </w:p>
        </w:tc>
        <w:tc>
          <w:tcPr>
            <w:tcW w:w="1296"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塑钢窗</w:t>
            </w:r>
          </w:p>
        </w:tc>
        <w:tc>
          <w:tcPr>
            <w:tcW w:w="1498" w:type="dxa"/>
            <w:shd w:val="clear" w:color="auto" w:fill="auto"/>
            <w:vAlign w:val="center"/>
          </w:tcPr>
          <w:p>
            <w:pPr>
              <w:widowControl/>
              <w:ind w:firstLine="89" w:firstLineChars="49"/>
              <w:jc w:val="center"/>
              <w:rPr>
                <w:rFonts w:ascii="仿宋_GB2312" w:hAnsi="仿宋" w:eastAsia="仿宋_GB2312" w:cs="宋体"/>
                <w:b/>
                <w:kern w:val="0"/>
                <w:sz w:val="18"/>
                <w:szCs w:val="18"/>
              </w:rPr>
            </w:pPr>
            <w:r>
              <w:rPr>
                <w:rFonts w:hint="eastAsia" w:ascii="仿宋_GB2312" w:hAnsi="仿宋" w:eastAsia="仿宋_GB2312" w:cs="宋体"/>
                <w:b/>
                <w:kern w:val="0"/>
                <w:sz w:val="18"/>
                <w:szCs w:val="18"/>
              </w:rPr>
              <w:t>装修档次</w:t>
            </w:r>
          </w:p>
        </w:tc>
        <w:tc>
          <w:tcPr>
            <w:tcW w:w="1186" w:type="dxa"/>
            <w:shd w:val="clear" w:color="auto" w:fill="auto"/>
            <w:vAlign w:val="center"/>
          </w:tcPr>
          <w:p>
            <w:pPr>
              <w:widowControl/>
              <w:jc w:val="center"/>
              <w:rPr>
                <w:rFonts w:ascii="仿宋_GB2312" w:hAnsi="仿宋" w:eastAsia="仿宋_GB2312" w:cs="宋体"/>
                <w:kern w:val="0"/>
                <w:sz w:val="18"/>
                <w:szCs w:val="18"/>
              </w:rPr>
            </w:pPr>
            <w:r>
              <w:rPr>
                <w:rFonts w:hint="eastAsia" w:ascii="仿宋_GB2312" w:hAnsi="仿宋" w:eastAsia="仿宋_GB2312" w:cs="宋体"/>
                <w:kern w:val="0"/>
                <w:sz w:val="18"/>
                <w:szCs w:val="18"/>
              </w:rPr>
              <w:t>中档装修</w:t>
            </w:r>
          </w:p>
        </w:tc>
        <w:tc>
          <w:tcPr>
            <w:tcW w:w="1091"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朝向</w:t>
            </w:r>
          </w:p>
        </w:tc>
        <w:tc>
          <w:tcPr>
            <w:tcW w:w="3003" w:type="dxa"/>
            <w:gridSpan w:val="2"/>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实际用途</w:t>
            </w:r>
          </w:p>
        </w:tc>
        <w:tc>
          <w:tcPr>
            <w:tcW w:w="1296"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住宅</w:t>
            </w:r>
          </w:p>
        </w:tc>
        <w:tc>
          <w:tcPr>
            <w:tcW w:w="1498"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使用现状</w:t>
            </w:r>
          </w:p>
        </w:tc>
        <w:tc>
          <w:tcPr>
            <w:tcW w:w="1186"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良好</w:t>
            </w:r>
          </w:p>
        </w:tc>
        <w:tc>
          <w:tcPr>
            <w:tcW w:w="1091"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单元户数</w:t>
            </w:r>
          </w:p>
        </w:tc>
        <w:tc>
          <w:tcPr>
            <w:tcW w:w="3003" w:type="dxa"/>
            <w:gridSpan w:val="2"/>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4个单元48户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73"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客厅</w:t>
            </w:r>
          </w:p>
        </w:tc>
        <w:tc>
          <w:tcPr>
            <w:tcW w:w="129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地面</w:t>
            </w:r>
          </w:p>
        </w:tc>
        <w:tc>
          <w:tcPr>
            <w:tcW w:w="1498"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1米地砖</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墙面</w:t>
            </w:r>
          </w:p>
        </w:tc>
        <w:tc>
          <w:tcPr>
            <w:tcW w:w="1091"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刮白</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顶棚</w:t>
            </w:r>
          </w:p>
        </w:tc>
        <w:tc>
          <w:tcPr>
            <w:tcW w:w="1817"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石膏吊顶（贴壁纸）</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卧室</w:t>
            </w:r>
          </w:p>
        </w:tc>
        <w:tc>
          <w:tcPr>
            <w:tcW w:w="129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地面</w:t>
            </w:r>
          </w:p>
        </w:tc>
        <w:tc>
          <w:tcPr>
            <w:tcW w:w="1498"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1米地砖</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墙面</w:t>
            </w:r>
          </w:p>
        </w:tc>
        <w:tc>
          <w:tcPr>
            <w:tcW w:w="1091"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刮白</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顶棚</w:t>
            </w:r>
          </w:p>
        </w:tc>
        <w:tc>
          <w:tcPr>
            <w:tcW w:w="1817"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刮白</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卫生间</w:t>
            </w:r>
          </w:p>
        </w:tc>
        <w:tc>
          <w:tcPr>
            <w:tcW w:w="129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地面</w:t>
            </w:r>
          </w:p>
        </w:tc>
        <w:tc>
          <w:tcPr>
            <w:tcW w:w="1498"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30防滑砖</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墙面</w:t>
            </w:r>
          </w:p>
        </w:tc>
        <w:tc>
          <w:tcPr>
            <w:tcW w:w="1091"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瓷砖墙</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顶棚</w:t>
            </w:r>
          </w:p>
        </w:tc>
        <w:tc>
          <w:tcPr>
            <w:tcW w:w="1817"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钙塑板顶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厨房</w:t>
            </w:r>
          </w:p>
        </w:tc>
        <w:tc>
          <w:tcPr>
            <w:tcW w:w="129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地面</w:t>
            </w:r>
          </w:p>
        </w:tc>
        <w:tc>
          <w:tcPr>
            <w:tcW w:w="1498" w:type="dxa"/>
            <w:shd w:val="clear" w:color="auto" w:fill="auto"/>
            <w:vAlign w:val="center"/>
          </w:tcPr>
          <w:p>
            <w:pPr>
              <w:jc w:val="center"/>
            </w:pPr>
            <w:r>
              <w:rPr>
                <w:rFonts w:hint="eastAsia" w:ascii="仿宋_GB2312" w:hAnsi="宋体" w:eastAsia="仿宋_GB2312"/>
                <w:sz w:val="18"/>
                <w:szCs w:val="18"/>
              </w:rPr>
              <w:t>1米地砖</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墙面</w:t>
            </w:r>
          </w:p>
        </w:tc>
        <w:tc>
          <w:tcPr>
            <w:tcW w:w="1091"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瓷砖墙</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顶棚</w:t>
            </w:r>
          </w:p>
        </w:tc>
        <w:tc>
          <w:tcPr>
            <w:tcW w:w="1817"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钙塑板顶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餐厅</w:t>
            </w:r>
          </w:p>
        </w:tc>
        <w:tc>
          <w:tcPr>
            <w:tcW w:w="129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地面</w:t>
            </w:r>
          </w:p>
        </w:tc>
        <w:tc>
          <w:tcPr>
            <w:tcW w:w="1498" w:type="dxa"/>
            <w:shd w:val="clear" w:color="auto" w:fill="auto"/>
            <w:vAlign w:val="center"/>
          </w:tcPr>
          <w:p>
            <w:pPr>
              <w:jc w:val="center"/>
            </w:pPr>
            <w:r>
              <w:rPr>
                <w:rFonts w:hint="eastAsia" w:ascii="仿宋_GB2312" w:hAnsi="宋体" w:eastAsia="仿宋_GB2312"/>
                <w:sz w:val="18"/>
                <w:szCs w:val="18"/>
              </w:rPr>
              <w:t>1米地砖</w:t>
            </w:r>
          </w:p>
        </w:tc>
        <w:tc>
          <w:tcPr>
            <w:tcW w:w="1186"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b/>
                <w:sz w:val="18"/>
                <w:szCs w:val="18"/>
              </w:rPr>
              <w:t>墙面</w:t>
            </w:r>
          </w:p>
        </w:tc>
        <w:tc>
          <w:tcPr>
            <w:tcW w:w="1091"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瓷砖墙</w:t>
            </w:r>
          </w:p>
        </w:tc>
        <w:tc>
          <w:tcPr>
            <w:tcW w:w="1186"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顶棚</w:t>
            </w:r>
          </w:p>
        </w:tc>
        <w:tc>
          <w:tcPr>
            <w:tcW w:w="1817" w:type="dxa"/>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石膏吊顶（贴壁纸）</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630" w:type="dxa"/>
            <w:shd w:val="clear" w:color="auto" w:fill="auto"/>
            <w:vAlign w:val="center"/>
          </w:tcPr>
          <w:p>
            <w:pPr>
              <w:widowControl/>
              <w:jc w:val="center"/>
              <w:rPr>
                <w:rFonts w:ascii="仿宋_GB2312" w:hAnsi="宋体" w:eastAsia="仿宋_GB2312"/>
                <w:b/>
                <w:sz w:val="18"/>
                <w:szCs w:val="18"/>
              </w:rPr>
            </w:pPr>
            <w:r>
              <w:rPr>
                <w:rFonts w:hint="eastAsia" w:ascii="仿宋_GB2312" w:hAnsi="宋体" w:eastAsia="仿宋_GB2312"/>
                <w:b/>
                <w:sz w:val="18"/>
                <w:szCs w:val="18"/>
              </w:rPr>
              <w:t>特殊情况说明</w:t>
            </w:r>
          </w:p>
        </w:tc>
        <w:tc>
          <w:tcPr>
            <w:tcW w:w="8074" w:type="dxa"/>
            <w:gridSpan w:val="6"/>
            <w:shd w:val="clear" w:color="auto" w:fill="auto"/>
            <w:vAlign w:val="center"/>
          </w:tcPr>
          <w:p>
            <w:pPr>
              <w:widowControl/>
              <w:jc w:val="center"/>
              <w:rPr>
                <w:rFonts w:ascii="仿宋_GB2312" w:hAnsi="宋体" w:eastAsia="仿宋_GB2312"/>
                <w:sz w:val="18"/>
                <w:szCs w:val="18"/>
              </w:rPr>
            </w:pPr>
            <w:r>
              <w:rPr>
                <w:rFonts w:hint="eastAsia" w:ascii="仿宋_GB2312" w:hAnsi="宋体" w:eastAsia="仿宋_GB2312"/>
                <w:sz w:val="18"/>
                <w:szCs w:val="18"/>
              </w:rPr>
              <w:t>——</w:t>
            </w:r>
          </w:p>
        </w:tc>
      </w:tr>
    </w:tbl>
    <w:p>
      <w:pPr>
        <w:adjustRightInd w:val="0"/>
        <w:snapToGrid w:val="0"/>
        <w:spacing w:beforeLines="100" w:line="360" w:lineRule="auto"/>
        <w:ind w:firstLine="562" w:firstLineChars="200"/>
        <w:rPr>
          <w:rFonts w:eastAsia="仿宋_GB2312"/>
          <w:snapToGrid w:val="0"/>
          <w:color w:val="000000"/>
          <w:kern w:val="0"/>
          <w:sz w:val="28"/>
          <w:szCs w:val="28"/>
        </w:rPr>
      </w:pPr>
      <w:r>
        <w:rPr>
          <w:rFonts w:eastAsia="仿宋_GB2312"/>
          <w:b/>
          <w:snapToGrid w:val="0"/>
          <w:color w:val="000000"/>
          <w:kern w:val="0"/>
          <w:sz w:val="28"/>
          <w:szCs w:val="28"/>
        </w:rPr>
        <w:t>3.区位状况描述与分析</w:t>
      </w:r>
    </w:p>
    <w:tbl>
      <w:tblPr>
        <w:tblStyle w:val="47"/>
        <w:tblW w:w="9613" w:type="dxa"/>
        <w:jc w:val="center"/>
        <w:tblInd w:w="-176"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23"/>
        <w:gridCol w:w="7690"/>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20" w:hRule="atLeast"/>
          <w:jc w:val="center"/>
        </w:trPr>
        <w:tc>
          <w:tcPr>
            <w:tcW w:w="1923" w:type="dxa"/>
            <w:tcBorders>
              <w:top w:val="thinThickSmallGap" w:color="auto" w:sz="12" w:space="0"/>
            </w:tcBorders>
            <w:vAlign w:val="center"/>
          </w:tcPr>
          <w:p>
            <w:pPr>
              <w:widowControl/>
              <w:jc w:val="center"/>
              <w:rPr>
                <w:rFonts w:eastAsia="仿宋_GB2312"/>
                <w:b/>
                <w:kern w:val="0"/>
                <w:sz w:val="18"/>
                <w:szCs w:val="18"/>
              </w:rPr>
            </w:pPr>
            <w:r>
              <w:rPr>
                <w:rFonts w:hint="eastAsia" w:eastAsia="仿宋_GB2312"/>
                <w:b/>
                <w:kern w:val="0"/>
                <w:sz w:val="18"/>
                <w:szCs w:val="18"/>
              </w:rPr>
              <w:t>集聚效应</w:t>
            </w:r>
          </w:p>
        </w:tc>
        <w:tc>
          <w:tcPr>
            <w:tcW w:w="7690" w:type="dxa"/>
            <w:tcBorders>
              <w:top w:val="thinThickSmallGap" w:color="auto" w:sz="12" w:space="0"/>
            </w:tcBorders>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较优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12" w:hRule="atLeast"/>
          <w:jc w:val="center"/>
        </w:trPr>
        <w:tc>
          <w:tcPr>
            <w:tcW w:w="1923" w:type="dxa"/>
            <w:vAlign w:val="center"/>
          </w:tcPr>
          <w:p>
            <w:pPr>
              <w:widowControl/>
              <w:jc w:val="center"/>
              <w:rPr>
                <w:rFonts w:eastAsia="仿宋_GB2312"/>
                <w:b/>
                <w:kern w:val="0"/>
                <w:sz w:val="18"/>
                <w:szCs w:val="18"/>
              </w:rPr>
            </w:pPr>
            <w:r>
              <w:rPr>
                <w:rFonts w:eastAsia="仿宋_GB2312"/>
                <w:b/>
                <w:kern w:val="0"/>
                <w:sz w:val="18"/>
                <w:szCs w:val="18"/>
              </w:rPr>
              <w:t>基础设施配套</w:t>
            </w:r>
          </w:p>
        </w:tc>
        <w:tc>
          <w:tcPr>
            <w:tcW w:w="7690" w:type="dxa"/>
            <w:vAlign w:val="center"/>
          </w:tcPr>
          <w:p>
            <w:pPr>
              <w:widowControl/>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eastAsia="zh-CN"/>
              </w:rPr>
              <w:t>四通</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60" w:hRule="atLeast"/>
          <w:jc w:val="center"/>
        </w:trPr>
        <w:tc>
          <w:tcPr>
            <w:tcW w:w="1923" w:type="dxa"/>
            <w:vAlign w:val="center"/>
          </w:tcPr>
          <w:p>
            <w:pPr>
              <w:widowControl/>
              <w:jc w:val="center"/>
              <w:rPr>
                <w:rFonts w:eastAsia="仿宋_GB2312"/>
                <w:b/>
                <w:kern w:val="0"/>
                <w:sz w:val="18"/>
                <w:szCs w:val="18"/>
              </w:rPr>
            </w:pPr>
            <w:r>
              <w:rPr>
                <w:rFonts w:eastAsia="仿宋_GB2312"/>
                <w:b/>
                <w:kern w:val="0"/>
                <w:sz w:val="18"/>
                <w:szCs w:val="18"/>
              </w:rPr>
              <w:t>公共服务设施</w:t>
            </w:r>
          </w:p>
        </w:tc>
        <w:tc>
          <w:tcPr>
            <w:tcW w:w="7690" w:type="dxa"/>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08" w:hRule="atLeast"/>
          <w:jc w:val="center"/>
        </w:trPr>
        <w:tc>
          <w:tcPr>
            <w:tcW w:w="1923" w:type="dxa"/>
            <w:vAlign w:val="center"/>
          </w:tcPr>
          <w:p>
            <w:pPr>
              <w:widowControl/>
              <w:jc w:val="center"/>
              <w:rPr>
                <w:rFonts w:eastAsia="仿宋_GB2312"/>
                <w:b/>
                <w:kern w:val="0"/>
                <w:sz w:val="18"/>
                <w:szCs w:val="18"/>
              </w:rPr>
            </w:pPr>
            <w:r>
              <w:rPr>
                <w:rFonts w:eastAsia="仿宋_GB2312"/>
                <w:b/>
                <w:kern w:val="0"/>
                <w:sz w:val="18"/>
                <w:szCs w:val="18"/>
              </w:rPr>
              <w:t>交通便捷度</w:t>
            </w:r>
          </w:p>
        </w:tc>
        <w:tc>
          <w:tcPr>
            <w:tcW w:w="7690" w:type="dxa"/>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不便捷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12" w:hRule="atLeast"/>
          <w:jc w:val="center"/>
        </w:trPr>
        <w:tc>
          <w:tcPr>
            <w:tcW w:w="1923" w:type="dxa"/>
            <w:vAlign w:val="center"/>
          </w:tcPr>
          <w:p>
            <w:pPr>
              <w:widowControl/>
              <w:jc w:val="center"/>
              <w:rPr>
                <w:rFonts w:eastAsia="仿宋_GB2312"/>
                <w:b/>
                <w:kern w:val="0"/>
                <w:sz w:val="18"/>
                <w:szCs w:val="18"/>
              </w:rPr>
            </w:pPr>
            <w:r>
              <w:rPr>
                <w:rFonts w:eastAsia="仿宋_GB2312"/>
                <w:b/>
                <w:kern w:val="0"/>
                <w:sz w:val="18"/>
                <w:szCs w:val="18"/>
              </w:rPr>
              <w:t>周边典型物业</w:t>
            </w:r>
          </w:p>
        </w:tc>
        <w:tc>
          <w:tcPr>
            <w:tcW w:w="7690" w:type="dxa"/>
            <w:vAlign w:val="center"/>
          </w:tcPr>
          <w:p>
            <w:pPr>
              <w:widowControl/>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highlight w:val="none"/>
                <w:lang w:eastAsia="zh-CN"/>
              </w:rPr>
              <w:t>裕民小区、盘龙园小区</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20" w:hRule="atLeast"/>
          <w:jc w:val="center"/>
        </w:trPr>
        <w:tc>
          <w:tcPr>
            <w:tcW w:w="1923" w:type="dxa"/>
            <w:tcBorders>
              <w:bottom w:val="thickThinSmallGap" w:color="auto" w:sz="12" w:space="0"/>
            </w:tcBorders>
            <w:vAlign w:val="center"/>
          </w:tcPr>
          <w:p>
            <w:pPr>
              <w:widowControl/>
              <w:jc w:val="center"/>
              <w:rPr>
                <w:rFonts w:eastAsia="仿宋_GB2312"/>
                <w:b/>
                <w:kern w:val="0"/>
                <w:sz w:val="18"/>
                <w:szCs w:val="18"/>
              </w:rPr>
            </w:pPr>
            <w:r>
              <w:rPr>
                <w:rFonts w:eastAsia="仿宋_GB2312"/>
                <w:b/>
                <w:kern w:val="0"/>
                <w:sz w:val="18"/>
                <w:szCs w:val="18"/>
              </w:rPr>
              <w:t>环境景观</w:t>
            </w:r>
          </w:p>
        </w:tc>
        <w:tc>
          <w:tcPr>
            <w:tcW w:w="7690" w:type="dxa"/>
            <w:tcBorders>
              <w:bottom w:val="thickThinSmallGap" w:color="auto" w:sz="12" w:space="0"/>
            </w:tcBorders>
            <w:vAlign w:val="center"/>
          </w:tcPr>
          <w:p>
            <w:pPr>
              <w:widowControl/>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eastAsia="zh-CN"/>
              </w:rPr>
              <w:t>一般</w:t>
            </w:r>
          </w:p>
        </w:tc>
      </w:tr>
    </w:tbl>
    <w:p>
      <w:pPr>
        <w:pStyle w:val="3"/>
        <w:ind w:firstLine="562"/>
        <w:rPr>
          <w:rFonts w:ascii="Times New Roman" w:hAnsi="Times New Roman"/>
        </w:rPr>
      </w:pPr>
      <w:bookmarkStart w:id="69" w:name="_Toc367869501"/>
      <w:bookmarkStart w:id="70" w:name="_Toc270691071"/>
      <w:bookmarkStart w:id="71" w:name="_Toc301369719"/>
      <w:bookmarkStart w:id="72" w:name="_Toc269132872"/>
      <w:bookmarkStart w:id="73" w:name="_Toc254860129"/>
      <w:bookmarkStart w:id="74" w:name="_Toc243111689"/>
      <w:bookmarkStart w:id="75" w:name="_Toc254875143"/>
      <w:bookmarkStart w:id="76" w:name="_Toc243111718"/>
      <w:bookmarkStart w:id="77" w:name="_Toc130033725"/>
      <w:bookmarkStart w:id="78" w:name="_Toc135016175"/>
      <w:bookmarkStart w:id="79" w:name="_Toc521268505"/>
      <w:r>
        <w:rPr>
          <w:rFonts w:ascii="Times New Roman" w:hAnsi="Times New Roman"/>
        </w:rPr>
        <w:t>（</w:t>
      </w:r>
      <w:r>
        <w:rPr>
          <w:rFonts w:hint="eastAsia" w:ascii="Times New Roman" w:hAnsi="Times New Roman"/>
        </w:rPr>
        <w:t>五</w:t>
      </w:r>
      <w:r>
        <w:rPr>
          <w:rFonts w:ascii="Times New Roman" w:hAnsi="Times New Roman"/>
        </w:rPr>
        <w:t>）</w:t>
      </w:r>
      <w:bookmarkEnd w:id="69"/>
      <w:bookmarkEnd w:id="70"/>
      <w:bookmarkEnd w:id="71"/>
      <w:bookmarkEnd w:id="72"/>
      <w:bookmarkEnd w:id="73"/>
      <w:bookmarkEnd w:id="74"/>
      <w:bookmarkEnd w:id="75"/>
      <w:bookmarkEnd w:id="76"/>
      <w:bookmarkEnd w:id="77"/>
      <w:bookmarkEnd w:id="78"/>
      <w:r>
        <w:rPr>
          <w:rFonts w:ascii="Times New Roman" w:hAnsi="Times New Roman"/>
        </w:rPr>
        <w:t>价值时点</w:t>
      </w:r>
      <w:bookmarkEnd w:id="79"/>
    </w:p>
    <w:p>
      <w:pPr>
        <w:adjustRightInd w:val="0"/>
        <w:snapToGrid w:val="0"/>
        <w:spacing w:line="360" w:lineRule="auto"/>
        <w:ind w:firstLine="560" w:firstLineChars="200"/>
        <w:rPr>
          <w:rFonts w:eastAsia="仿宋_GB2312"/>
          <w:snapToGrid w:val="0"/>
          <w:color w:val="000000"/>
          <w:kern w:val="0"/>
          <w:sz w:val="28"/>
          <w:szCs w:val="28"/>
        </w:rPr>
      </w:pPr>
      <w:bookmarkStart w:id="80" w:name="_Toc384323577"/>
      <w:bookmarkStart w:id="81" w:name="_Toc384364487"/>
      <w:r>
        <w:rPr>
          <w:rFonts w:hint="eastAsia" w:eastAsia="仿宋_GB2312"/>
          <w:snapToGrid w:val="0"/>
          <w:color w:val="000000"/>
          <w:kern w:val="0"/>
          <w:sz w:val="28"/>
          <w:szCs w:val="28"/>
        </w:rPr>
        <w:t>根据委托方要求，</w:t>
      </w:r>
      <w:r>
        <w:rPr>
          <w:rFonts w:eastAsia="仿宋_GB2312"/>
          <w:snapToGrid w:val="0"/>
          <w:color w:val="000000"/>
          <w:kern w:val="0"/>
          <w:sz w:val="28"/>
          <w:szCs w:val="28"/>
        </w:rPr>
        <w:t>本次估价价值时点确定为2018年1</w:t>
      </w:r>
      <w:r>
        <w:rPr>
          <w:rFonts w:hint="eastAsia" w:eastAsia="仿宋_GB2312"/>
          <w:snapToGrid w:val="0"/>
          <w:color w:val="000000"/>
          <w:kern w:val="0"/>
          <w:sz w:val="28"/>
          <w:szCs w:val="28"/>
        </w:rPr>
        <w:t>1</w:t>
      </w:r>
      <w:r>
        <w:rPr>
          <w:rFonts w:eastAsia="仿宋_GB2312"/>
          <w:snapToGrid w:val="0"/>
          <w:color w:val="000000"/>
          <w:kern w:val="0"/>
          <w:sz w:val="28"/>
          <w:szCs w:val="28"/>
        </w:rPr>
        <w:t>月</w:t>
      </w:r>
      <w:r>
        <w:rPr>
          <w:rFonts w:hint="eastAsia" w:eastAsia="仿宋_GB2312"/>
          <w:snapToGrid w:val="0"/>
          <w:color w:val="000000"/>
          <w:kern w:val="0"/>
          <w:sz w:val="28"/>
          <w:szCs w:val="28"/>
        </w:rPr>
        <w:t>19</w:t>
      </w:r>
      <w:r>
        <w:rPr>
          <w:rFonts w:eastAsia="仿宋_GB2312"/>
          <w:snapToGrid w:val="0"/>
          <w:color w:val="000000"/>
          <w:kern w:val="0"/>
          <w:sz w:val="28"/>
          <w:szCs w:val="28"/>
        </w:rPr>
        <w:t>日。</w:t>
      </w:r>
    </w:p>
    <w:bookmarkEnd w:id="80"/>
    <w:bookmarkEnd w:id="81"/>
    <w:p>
      <w:pPr>
        <w:pStyle w:val="3"/>
        <w:ind w:firstLine="562"/>
        <w:rPr>
          <w:rFonts w:ascii="Times New Roman" w:hAnsi="Times New Roman"/>
        </w:rPr>
      </w:pPr>
      <w:bookmarkStart w:id="82" w:name="_Toc367869502"/>
      <w:bookmarkStart w:id="83" w:name="_Toc254875144"/>
      <w:bookmarkStart w:id="84" w:name="_Toc301369720"/>
      <w:bookmarkStart w:id="85" w:name="_Toc270691072"/>
      <w:bookmarkStart w:id="86" w:name="_Toc269132873"/>
      <w:bookmarkStart w:id="87" w:name="_Toc254860130"/>
      <w:bookmarkStart w:id="88" w:name="_Toc243111719"/>
      <w:bookmarkStart w:id="89" w:name="_Toc130033726"/>
      <w:bookmarkStart w:id="90" w:name="_Toc243111690"/>
      <w:bookmarkStart w:id="91" w:name="_Toc135016176"/>
      <w:bookmarkStart w:id="92" w:name="_Toc521268506"/>
      <w:r>
        <w:rPr>
          <w:rFonts w:ascii="Times New Roman" w:hAnsi="Times New Roman"/>
        </w:rPr>
        <w:t>（</w:t>
      </w:r>
      <w:r>
        <w:rPr>
          <w:rFonts w:hint="eastAsia" w:ascii="Times New Roman" w:hAnsi="Times New Roman"/>
        </w:rPr>
        <w:t>六</w:t>
      </w:r>
      <w:r>
        <w:rPr>
          <w:rFonts w:ascii="Times New Roman" w:hAnsi="Times New Roman"/>
        </w:rPr>
        <w:t>）价值</w:t>
      </w:r>
      <w:bookmarkEnd w:id="82"/>
      <w:bookmarkEnd w:id="83"/>
      <w:bookmarkEnd w:id="84"/>
      <w:bookmarkEnd w:id="85"/>
      <w:bookmarkEnd w:id="86"/>
      <w:bookmarkEnd w:id="87"/>
      <w:bookmarkEnd w:id="88"/>
      <w:bookmarkEnd w:id="89"/>
      <w:bookmarkEnd w:id="90"/>
      <w:bookmarkEnd w:id="91"/>
      <w:r>
        <w:rPr>
          <w:rFonts w:ascii="Times New Roman" w:hAnsi="Times New Roman"/>
        </w:rPr>
        <w:t>类型</w:t>
      </w:r>
      <w:bookmarkEnd w:id="92"/>
    </w:p>
    <w:p>
      <w:pPr>
        <w:adjustRightInd w:val="0"/>
        <w:snapToGrid w:val="0"/>
        <w:spacing w:line="360" w:lineRule="auto"/>
        <w:ind w:firstLine="560" w:firstLineChars="200"/>
        <w:rPr>
          <w:rFonts w:eastAsia="仿宋_GB2312"/>
          <w:snapToGrid w:val="0"/>
          <w:color w:val="000000"/>
          <w:kern w:val="0"/>
          <w:sz w:val="28"/>
          <w:szCs w:val="28"/>
        </w:rPr>
      </w:pPr>
      <w:bookmarkStart w:id="93" w:name="_Toc367869504"/>
      <w:bookmarkStart w:id="94" w:name="_Toc301369722"/>
      <w:bookmarkStart w:id="95" w:name="_Toc135016178"/>
      <w:bookmarkStart w:id="96" w:name="_Toc130033728"/>
      <w:bookmarkStart w:id="97" w:name="_Toc269132875"/>
      <w:bookmarkStart w:id="98" w:name="_Toc243111721"/>
      <w:bookmarkStart w:id="99" w:name="_Toc270691074"/>
      <w:bookmarkStart w:id="100" w:name="_Toc254875146"/>
      <w:bookmarkStart w:id="101" w:name="_Toc254860132"/>
      <w:bookmarkStart w:id="102" w:name="_Toc243111692"/>
      <w:r>
        <w:rPr>
          <w:rFonts w:eastAsia="仿宋_GB2312"/>
          <w:sz w:val="28"/>
          <w:szCs w:val="28"/>
        </w:rPr>
        <w:t>市场价值，是指某种房地产在市场上的一般、平均水平价格。</w:t>
      </w:r>
    </w:p>
    <w:p>
      <w:pPr>
        <w:adjustRightInd w:val="0"/>
        <w:snapToGrid w:val="0"/>
        <w:spacing w:line="360" w:lineRule="auto"/>
        <w:ind w:firstLine="560" w:firstLineChars="200"/>
        <w:rPr>
          <w:rFonts w:eastAsia="仿宋_GB2312"/>
          <w:snapToGrid w:val="0"/>
          <w:color w:val="000000"/>
          <w:kern w:val="0"/>
          <w:sz w:val="28"/>
          <w:szCs w:val="28"/>
        </w:rPr>
      </w:pPr>
      <w:r>
        <w:rPr>
          <w:rFonts w:eastAsia="仿宋_GB2312"/>
          <w:snapToGrid w:val="0"/>
          <w:color w:val="000000"/>
          <w:kern w:val="0"/>
          <w:sz w:val="28"/>
          <w:szCs w:val="28"/>
        </w:rPr>
        <w:t>本次评估待估对象在估价时点2018年1</w:t>
      </w:r>
      <w:r>
        <w:rPr>
          <w:rFonts w:hint="eastAsia" w:eastAsia="仿宋_GB2312"/>
          <w:snapToGrid w:val="0"/>
          <w:color w:val="000000"/>
          <w:kern w:val="0"/>
          <w:sz w:val="28"/>
          <w:szCs w:val="28"/>
        </w:rPr>
        <w:t>1</w:t>
      </w:r>
      <w:r>
        <w:rPr>
          <w:rFonts w:eastAsia="仿宋_GB2312"/>
          <w:snapToGrid w:val="0"/>
          <w:color w:val="000000"/>
          <w:kern w:val="0"/>
          <w:sz w:val="28"/>
          <w:szCs w:val="28"/>
        </w:rPr>
        <w:t>月</w:t>
      </w:r>
      <w:r>
        <w:rPr>
          <w:rFonts w:hint="eastAsia" w:eastAsia="仿宋_GB2312"/>
          <w:snapToGrid w:val="0"/>
          <w:color w:val="000000"/>
          <w:kern w:val="0"/>
          <w:sz w:val="28"/>
          <w:szCs w:val="28"/>
        </w:rPr>
        <w:t>19</w:t>
      </w:r>
      <w:r>
        <w:rPr>
          <w:rFonts w:eastAsia="仿宋_GB2312"/>
          <w:snapToGrid w:val="0"/>
          <w:color w:val="000000"/>
          <w:kern w:val="0"/>
          <w:sz w:val="28"/>
          <w:szCs w:val="28"/>
        </w:rPr>
        <w:t>日，截止至估价基准日止房产剩余耐用年限为</w:t>
      </w:r>
      <w:r>
        <w:rPr>
          <w:rFonts w:hint="eastAsia" w:eastAsia="仿宋_GB2312"/>
          <w:snapToGrid w:val="0"/>
          <w:color w:val="000000"/>
          <w:kern w:val="0"/>
          <w:sz w:val="28"/>
          <w:szCs w:val="28"/>
          <w:highlight w:val="none"/>
          <w:lang w:val="en-US" w:eastAsia="zh-CN"/>
        </w:rPr>
        <w:t>38</w:t>
      </w:r>
      <w:r>
        <w:rPr>
          <w:rFonts w:eastAsia="仿宋_GB2312"/>
          <w:snapToGrid w:val="0"/>
          <w:color w:val="000000"/>
          <w:kern w:val="0"/>
          <w:sz w:val="28"/>
          <w:szCs w:val="28"/>
        </w:rPr>
        <w:t>年，用途为住宅条件下的房产公开市场价值。根据本次评估目的，估价结果应为待估对象在</w:t>
      </w:r>
      <w:r>
        <w:rPr>
          <w:rFonts w:hint="eastAsia" w:eastAsia="仿宋_GB2312"/>
          <w:snapToGrid w:val="0"/>
          <w:color w:val="000000"/>
          <w:kern w:val="0"/>
          <w:sz w:val="28"/>
          <w:szCs w:val="28"/>
        </w:rPr>
        <w:t>二</w:t>
      </w:r>
      <w:r>
        <w:rPr>
          <w:rFonts w:eastAsia="仿宋_GB2312"/>
          <w:snapToGrid w:val="0"/>
          <w:color w:val="000000"/>
          <w:kern w:val="0"/>
          <w:sz w:val="28"/>
          <w:szCs w:val="28"/>
        </w:rPr>
        <w:t>级房地产市场的公开市场价格。</w:t>
      </w:r>
    </w:p>
    <w:p>
      <w:pPr>
        <w:pStyle w:val="3"/>
        <w:ind w:firstLine="562"/>
        <w:rPr>
          <w:rFonts w:ascii="Times New Roman" w:hAnsi="Times New Roman"/>
        </w:rPr>
      </w:pPr>
      <w:bookmarkStart w:id="103" w:name="_Toc521268507"/>
      <w:r>
        <w:rPr>
          <w:rFonts w:ascii="Times New Roman" w:hAnsi="Times New Roman"/>
        </w:rPr>
        <w:t>（</w:t>
      </w:r>
      <w:r>
        <w:rPr>
          <w:rFonts w:hint="eastAsia" w:ascii="Times New Roman" w:hAnsi="Times New Roman"/>
        </w:rPr>
        <w:t>七</w:t>
      </w:r>
      <w:r>
        <w:rPr>
          <w:rFonts w:ascii="Times New Roman" w:hAnsi="Times New Roman"/>
        </w:rPr>
        <w:t>）估价原则</w:t>
      </w:r>
      <w:bookmarkEnd w:id="93"/>
      <w:bookmarkEnd w:id="94"/>
      <w:bookmarkEnd w:id="95"/>
      <w:bookmarkEnd w:id="96"/>
      <w:bookmarkEnd w:id="97"/>
      <w:bookmarkEnd w:id="98"/>
      <w:bookmarkEnd w:id="99"/>
      <w:bookmarkEnd w:id="100"/>
      <w:bookmarkEnd w:id="101"/>
      <w:bookmarkEnd w:id="102"/>
      <w:bookmarkEnd w:id="103"/>
    </w:p>
    <w:p>
      <w:pPr>
        <w:adjustRightInd w:val="0"/>
        <w:snapToGrid w:val="0"/>
        <w:spacing w:line="560" w:lineRule="exact"/>
        <w:ind w:firstLine="560" w:firstLineChars="200"/>
        <w:rPr>
          <w:rFonts w:eastAsia="仿宋_GB2312"/>
          <w:sz w:val="28"/>
          <w:szCs w:val="28"/>
        </w:rPr>
      </w:pPr>
      <w:r>
        <w:rPr>
          <w:rFonts w:eastAsia="仿宋_GB2312"/>
          <w:sz w:val="28"/>
          <w:szCs w:val="28"/>
        </w:rPr>
        <w:t>本次估价遵循的房地产估价原则有：独立、客观、公正原则、合法原则、价值时点原则、替代原则、最高最佳利用原则。</w:t>
      </w:r>
    </w:p>
    <w:p>
      <w:pPr>
        <w:adjustRightInd w:val="0"/>
        <w:snapToGrid w:val="0"/>
        <w:spacing w:line="560" w:lineRule="exact"/>
        <w:ind w:firstLine="560" w:firstLineChars="200"/>
        <w:rPr>
          <w:rFonts w:eastAsia="仿宋_GB2312"/>
          <w:sz w:val="28"/>
          <w:szCs w:val="28"/>
        </w:rPr>
      </w:pPr>
      <w:r>
        <w:rPr>
          <w:rFonts w:eastAsia="仿宋_GB2312"/>
          <w:sz w:val="28"/>
          <w:szCs w:val="28"/>
        </w:rPr>
        <w:t>1.独立、客观、公正原则</w:t>
      </w:r>
    </w:p>
    <w:p>
      <w:pPr>
        <w:adjustRightInd w:val="0"/>
        <w:snapToGrid w:val="0"/>
        <w:spacing w:line="560" w:lineRule="exact"/>
        <w:ind w:firstLine="560" w:firstLineChars="200"/>
        <w:rPr>
          <w:rFonts w:eastAsia="仿宋_GB2312"/>
          <w:sz w:val="28"/>
          <w:szCs w:val="28"/>
        </w:rPr>
      </w:pPr>
      <w:r>
        <w:rPr>
          <w:rFonts w:eastAsia="仿宋_GB2312"/>
          <w:sz w:val="28"/>
          <w:szCs w:val="28"/>
        </w:rPr>
        <w:t>要求站在中立的立场上，实事求是、公平正直地评估出对各方估价利害关系人均是公平合理的价值或价格的原则。</w:t>
      </w:r>
    </w:p>
    <w:p>
      <w:pPr>
        <w:adjustRightInd w:val="0"/>
        <w:snapToGrid w:val="0"/>
        <w:spacing w:line="560" w:lineRule="exact"/>
        <w:ind w:firstLine="560" w:firstLineChars="200"/>
        <w:rPr>
          <w:rFonts w:eastAsia="仿宋_GB2312"/>
          <w:sz w:val="28"/>
          <w:szCs w:val="28"/>
        </w:rPr>
      </w:pPr>
      <w:r>
        <w:rPr>
          <w:rFonts w:eastAsia="仿宋_GB2312"/>
          <w:sz w:val="28"/>
          <w:szCs w:val="28"/>
        </w:rPr>
        <w:t>2.合法原则</w:t>
      </w:r>
    </w:p>
    <w:p>
      <w:pPr>
        <w:adjustRightInd w:val="0"/>
        <w:snapToGrid w:val="0"/>
        <w:spacing w:line="560" w:lineRule="exact"/>
        <w:ind w:firstLine="560" w:firstLineChars="200"/>
        <w:rPr>
          <w:rFonts w:eastAsia="仿宋_GB2312"/>
          <w:sz w:val="28"/>
          <w:szCs w:val="28"/>
        </w:rPr>
      </w:pPr>
      <w:r>
        <w:rPr>
          <w:rFonts w:eastAsia="仿宋_GB2312"/>
          <w:sz w:val="28"/>
          <w:szCs w:val="28"/>
        </w:rPr>
        <w:t>要求估价结果是依法判定的估价对象状况下的价值或价格的原则。</w:t>
      </w:r>
    </w:p>
    <w:p>
      <w:pPr>
        <w:adjustRightInd w:val="0"/>
        <w:snapToGrid w:val="0"/>
        <w:spacing w:line="560" w:lineRule="exact"/>
        <w:ind w:firstLine="560" w:firstLineChars="200"/>
        <w:rPr>
          <w:rFonts w:eastAsia="仿宋_GB2312"/>
          <w:sz w:val="28"/>
          <w:szCs w:val="28"/>
        </w:rPr>
      </w:pPr>
      <w:r>
        <w:rPr>
          <w:rFonts w:eastAsia="仿宋_GB2312"/>
          <w:sz w:val="28"/>
          <w:szCs w:val="28"/>
        </w:rPr>
        <w:t xml:space="preserve">3.价值时点原则   </w:t>
      </w:r>
    </w:p>
    <w:p>
      <w:pPr>
        <w:adjustRightInd w:val="0"/>
        <w:snapToGrid w:val="0"/>
        <w:spacing w:line="560" w:lineRule="exact"/>
        <w:ind w:firstLine="560" w:firstLineChars="200"/>
        <w:rPr>
          <w:rFonts w:eastAsia="仿宋_GB2312"/>
          <w:sz w:val="28"/>
          <w:szCs w:val="28"/>
        </w:rPr>
      </w:pPr>
      <w:r>
        <w:rPr>
          <w:rFonts w:eastAsia="仿宋_GB2312"/>
          <w:sz w:val="28"/>
          <w:szCs w:val="28"/>
        </w:rPr>
        <w:t>要求估价结果是在根据估价目的确定的某一特定时间的价值或价格的原则。</w:t>
      </w:r>
    </w:p>
    <w:p>
      <w:pPr>
        <w:adjustRightInd w:val="0"/>
        <w:snapToGrid w:val="0"/>
        <w:spacing w:line="560" w:lineRule="exact"/>
        <w:ind w:firstLine="560" w:firstLineChars="200"/>
        <w:rPr>
          <w:rFonts w:eastAsia="仿宋_GB2312"/>
          <w:sz w:val="28"/>
          <w:szCs w:val="28"/>
        </w:rPr>
      </w:pPr>
      <w:r>
        <w:rPr>
          <w:rFonts w:eastAsia="仿宋_GB2312"/>
          <w:sz w:val="28"/>
          <w:szCs w:val="28"/>
        </w:rPr>
        <w:t>4.替代原则</w:t>
      </w:r>
    </w:p>
    <w:p>
      <w:pPr>
        <w:adjustRightInd w:val="0"/>
        <w:snapToGrid w:val="0"/>
        <w:spacing w:line="560" w:lineRule="exact"/>
        <w:ind w:firstLine="560" w:firstLineChars="200"/>
        <w:rPr>
          <w:rFonts w:eastAsia="仿宋_GB2312"/>
          <w:sz w:val="28"/>
          <w:szCs w:val="28"/>
        </w:rPr>
      </w:pPr>
      <w:r>
        <w:rPr>
          <w:rFonts w:eastAsia="仿宋_GB2312"/>
          <w:sz w:val="28"/>
          <w:szCs w:val="28"/>
        </w:rPr>
        <w:t>要求估价结果与估价对象的类似房地产在同等条件下的价值或价格偏差应在合理范围内的原则。</w:t>
      </w:r>
    </w:p>
    <w:p>
      <w:pPr>
        <w:adjustRightInd w:val="0"/>
        <w:snapToGrid w:val="0"/>
        <w:spacing w:line="560" w:lineRule="exact"/>
        <w:ind w:firstLine="560" w:firstLineChars="200"/>
        <w:rPr>
          <w:rFonts w:eastAsia="仿宋_GB2312"/>
          <w:sz w:val="28"/>
          <w:szCs w:val="28"/>
        </w:rPr>
      </w:pPr>
      <w:r>
        <w:rPr>
          <w:rFonts w:eastAsia="仿宋_GB2312"/>
          <w:sz w:val="28"/>
          <w:szCs w:val="28"/>
        </w:rPr>
        <w:t>5.最高最佳利用原则</w:t>
      </w:r>
    </w:p>
    <w:p>
      <w:pPr>
        <w:adjustRightInd w:val="0"/>
        <w:snapToGrid w:val="0"/>
        <w:spacing w:line="560" w:lineRule="exact"/>
        <w:ind w:firstLine="560" w:firstLineChars="200"/>
        <w:rPr>
          <w:rFonts w:eastAsia="仿宋_GB2312"/>
          <w:sz w:val="28"/>
          <w:szCs w:val="28"/>
        </w:rPr>
      </w:pPr>
      <w:r>
        <w:rPr>
          <w:rFonts w:eastAsia="仿宋_GB2312"/>
          <w:sz w:val="28"/>
          <w:szCs w:val="28"/>
        </w:rPr>
        <w:t>要求估价结果是在估价对象最高最佳利用状况下的价值或价格。</w:t>
      </w:r>
    </w:p>
    <w:p>
      <w:pPr>
        <w:pStyle w:val="3"/>
        <w:spacing w:line="560" w:lineRule="exact"/>
        <w:ind w:firstLine="562"/>
        <w:rPr>
          <w:rFonts w:ascii="Times New Roman" w:hAnsi="Times New Roman"/>
        </w:rPr>
      </w:pPr>
      <w:bookmarkStart w:id="104" w:name="_Toc254875145"/>
      <w:bookmarkStart w:id="105" w:name="_Toc270691073"/>
      <w:bookmarkStart w:id="106" w:name="_Toc243111691"/>
      <w:bookmarkStart w:id="107" w:name="_Toc130033727"/>
      <w:bookmarkStart w:id="108" w:name="_Toc135016177"/>
      <w:bookmarkStart w:id="109" w:name="_Toc254860131"/>
      <w:bookmarkStart w:id="110" w:name="_Toc269132874"/>
      <w:bookmarkStart w:id="111" w:name="_Toc367869503"/>
      <w:bookmarkStart w:id="112" w:name="_Toc301369721"/>
      <w:bookmarkStart w:id="113" w:name="_Toc243111720"/>
      <w:bookmarkStart w:id="114" w:name="_Toc521268508"/>
      <w:r>
        <w:rPr>
          <w:rFonts w:ascii="Times New Roman" w:hAnsi="Times New Roman"/>
        </w:rPr>
        <w:t>（</w:t>
      </w:r>
      <w:r>
        <w:rPr>
          <w:rFonts w:hint="eastAsia" w:ascii="Times New Roman" w:hAnsi="Times New Roman"/>
        </w:rPr>
        <w:t>八</w:t>
      </w:r>
      <w:r>
        <w:rPr>
          <w:rFonts w:ascii="Times New Roman" w:hAnsi="Times New Roman"/>
        </w:rPr>
        <w:t>）估价依据</w:t>
      </w:r>
      <w:bookmarkEnd w:id="104"/>
      <w:bookmarkEnd w:id="105"/>
      <w:bookmarkEnd w:id="106"/>
      <w:bookmarkEnd w:id="107"/>
      <w:bookmarkEnd w:id="108"/>
      <w:bookmarkEnd w:id="109"/>
      <w:bookmarkEnd w:id="110"/>
      <w:bookmarkEnd w:id="111"/>
      <w:bookmarkEnd w:id="112"/>
      <w:bookmarkEnd w:id="113"/>
      <w:bookmarkEnd w:id="114"/>
    </w:p>
    <w:p>
      <w:pPr>
        <w:pStyle w:val="137"/>
        <w:numPr>
          <w:ilvl w:val="1"/>
          <w:numId w:val="3"/>
        </w:numPr>
        <w:tabs>
          <w:tab w:val="left" w:pos="993"/>
        </w:tabs>
        <w:adjustRightInd w:val="0"/>
        <w:snapToGrid w:val="0"/>
        <w:spacing w:line="560" w:lineRule="exact"/>
        <w:ind w:left="0" w:firstLine="633" w:firstLineChars="0"/>
        <w:rPr>
          <w:rFonts w:eastAsia="仿宋_GB2312"/>
          <w:sz w:val="28"/>
          <w:szCs w:val="28"/>
        </w:rPr>
      </w:pPr>
      <w:r>
        <w:rPr>
          <w:rFonts w:eastAsia="仿宋_GB2312"/>
          <w:color w:val="000000"/>
          <w:sz w:val="28"/>
          <w:szCs w:val="28"/>
        </w:rPr>
        <w:t>国家有关法律、行政法规、规章和政策、技术标准文件</w:t>
      </w:r>
      <w:r>
        <w:rPr>
          <w:rFonts w:eastAsia="仿宋_GB2312"/>
          <w:sz w:val="28"/>
          <w:szCs w:val="28"/>
        </w:rPr>
        <w:t>：</w:t>
      </w:r>
    </w:p>
    <w:p>
      <w:pPr>
        <w:pStyle w:val="20"/>
        <w:numPr>
          <w:ilvl w:val="2"/>
          <w:numId w:val="4"/>
        </w:numPr>
        <w:tabs>
          <w:tab w:val="left" w:pos="-360"/>
          <w:tab w:val="left" w:pos="993"/>
        </w:tabs>
        <w:snapToGrid w:val="0"/>
        <w:spacing w:line="560" w:lineRule="exact"/>
        <w:ind w:left="0"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《中华人民共和国物权法》（中华人民共和国主席令第62号、2007年10月1日起施行）；</w:t>
      </w:r>
    </w:p>
    <w:p>
      <w:pPr>
        <w:pStyle w:val="20"/>
        <w:numPr>
          <w:ilvl w:val="2"/>
          <w:numId w:val="4"/>
        </w:numPr>
        <w:tabs>
          <w:tab w:val="left" w:pos="-360"/>
          <w:tab w:val="left" w:pos="993"/>
        </w:tabs>
        <w:snapToGrid w:val="0"/>
        <w:spacing w:line="560" w:lineRule="exact"/>
        <w:ind w:left="0" w:firstLine="560" w:firstLineChars="200"/>
        <w:rPr>
          <w:rFonts w:ascii="Times New Roman" w:hAnsi="Times New Roman" w:eastAsia="仿宋_GB2312"/>
          <w:color w:val="000000"/>
          <w:sz w:val="28"/>
          <w:szCs w:val="28"/>
        </w:rPr>
      </w:pPr>
      <w:r>
        <w:rPr>
          <w:rFonts w:hint="eastAsia" w:ascii="仿宋_GB2312" w:hAnsi="仿宋" w:eastAsia="仿宋_GB2312"/>
          <w:bCs/>
          <w:iCs/>
          <w:color w:val="000000"/>
          <w:sz w:val="28"/>
          <w:szCs w:val="28"/>
        </w:rPr>
        <w:t>《中华人民共和国资产评估法》（中华人民共和国主席令第四十六号，2016年12月1日起施行）；</w:t>
      </w:r>
    </w:p>
    <w:p>
      <w:pPr>
        <w:pStyle w:val="20"/>
        <w:numPr>
          <w:ilvl w:val="2"/>
          <w:numId w:val="4"/>
        </w:numPr>
        <w:tabs>
          <w:tab w:val="left" w:pos="-360"/>
          <w:tab w:val="left" w:pos="993"/>
        </w:tabs>
        <w:snapToGrid w:val="0"/>
        <w:spacing w:line="560" w:lineRule="exact"/>
        <w:ind w:left="0"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《中华人民共和国城市房地产管理法》（1994年7月5日中华人民共和国主席令第29号、1999年1月1日起施行）；</w:t>
      </w:r>
    </w:p>
    <w:p>
      <w:pPr>
        <w:pStyle w:val="20"/>
        <w:numPr>
          <w:ilvl w:val="2"/>
          <w:numId w:val="4"/>
        </w:numPr>
        <w:tabs>
          <w:tab w:val="left" w:pos="-360"/>
          <w:tab w:val="left" w:pos="993"/>
        </w:tabs>
        <w:snapToGrid w:val="0"/>
        <w:spacing w:line="560" w:lineRule="exact"/>
        <w:ind w:left="0"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《中华人民共和国土地管理法》（2004年8月28日中华人民共和国主席令第28号（第二次修正）、1999年1月1日起施行）；</w:t>
      </w:r>
    </w:p>
    <w:p>
      <w:pPr>
        <w:pStyle w:val="20"/>
        <w:numPr>
          <w:ilvl w:val="2"/>
          <w:numId w:val="4"/>
        </w:numPr>
        <w:tabs>
          <w:tab w:val="left" w:pos="-360"/>
          <w:tab w:val="left" w:pos="993"/>
        </w:tabs>
        <w:snapToGrid w:val="0"/>
        <w:spacing w:line="560" w:lineRule="exact"/>
        <w:ind w:left="0" w:firstLine="560" w:firstLineChars="200"/>
        <w:rPr>
          <w:rFonts w:ascii="Times New Roman" w:hAnsi="Times New Roman" w:eastAsia="仿宋_GB2312"/>
          <w:color w:val="FF0000"/>
          <w:sz w:val="28"/>
          <w:szCs w:val="28"/>
        </w:rPr>
      </w:pPr>
      <w:r>
        <w:rPr>
          <w:rFonts w:hint="eastAsia" w:ascii="Times New Roman" w:hAnsi="Times New Roman" w:eastAsia="仿宋_GB2312"/>
          <w:color w:val="FF0000"/>
          <w:sz w:val="28"/>
          <w:szCs w:val="28"/>
        </w:rPr>
        <w:t>《中华人民共和国民事诉讼法》（2017年6月27日修订）；</w:t>
      </w:r>
    </w:p>
    <w:p>
      <w:pPr>
        <w:pStyle w:val="20"/>
        <w:numPr>
          <w:ilvl w:val="2"/>
          <w:numId w:val="4"/>
        </w:numPr>
        <w:tabs>
          <w:tab w:val="left" w:pos="-360"/>
          <w:tab w:val="left" w:pos="993"/>
        </w:tabs>
        <w:snapToGrid w:val="0"/>
        <w:spacing w:line="560" w:lineRule="exact"/>
        <w:ind w:left="0" w:firstLine="560" w:firstLineChars="200"/>
        <w:rPr>
          <w:rFonts w:ascii="Times New Roman" w:hAnsi="Times New Roman" w:eastAsia="仿宋_GB2312"/>
          <w:color w:val="FF0000"/>
          <w:sz w:val="28"/>
          <w:szCs w:val="28"/>
        </w:rPr>
      </w:pPr>
      <w:r>
        <w:rPr>
          <w:rFonts w:hint="eastAsia" w:ascii="Times New Roman" w:hAnsi="Times New Roman" w:eastAsia="仿宋_GB2312"/>
          <w:color w:val="FF0000"/>
          <w:sz w:val="28"/>
          <w:szCs w:val="28"/>
        </w:rPr>
        <w:t>《最高人民法院关于人民法院民事执行中拍卖、变卖财产的规定》（法释[2004]16号）；</w:t>
      </w:r>
    </w:p>
    <w:p>
      <w:pPr>
        <w:pStyle w:val="20"/>
        <w:numPr>
          <w:ilvl w:val="2"/>
          <w:numId w:val="4"/>
        </w:numPr>
        <w:tabs>
          <w:tab w:val="left" w:pos="-360"/>
          <w:tab w:val="left" w:pos="993"/>
        </w:tabs>
        <w:snapToGrid w:val="0"/>
        <w:spacing w:line="560" w:lineRule="exact"/>
        <w:ind w:left="0"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《房地产估价规范》（GB/T 50291-2015）；</w:t>
      </w:r>
    </w:p>
    <w:p>
      <w:pPr>
        <w:pStyle w:val="20"/>
        <w:numPr>
          <w:ilvl w:val="2"/>
          <w:numId w:val="4"/>
        </w:numPr>
        <w:tabs>
          <w:tab w:val="left" w:pos="-360"/>
          <w:tab w:val="left" w:pos="993"/>
        </w:tabs>
        <w:snapToGrid w:val="0"/>
        <w:spacing w:line="560" w:lineRule="exact"/>
        <w:ind w:left="0"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《房地产估价基本术语标准》（GB/T50899-2013、中华人民共和国住房和城乡建设部、国家质量监督检验检疫总局联合发布、2013年6月26日发布、2013年2月1日实施）；</w:t>
      </w:r>
    </w:p>
    <w:p>
      <w:pPr>
        <w:widowControl/>
        <w:snapToGrid w:val="0"/>
        <w:spacing w:line="560" w:lineRule="exact"/>
        <w:ind w:firstLine="560" w:firstLineChars="200"/>
        <w:jc w:val="left"/>
        <w:rPr>
          <w:rFonts w:eastAsia="仿宋_GB2312"/>
          <w:color w:val="000000"/>
          <w:sz w:val="28"/>
          <w:szCs w:val="28"/>
        </w:rPr>
      </w:pPr>
      <w:r>
        <w:rPr>
          <w:rFonts w:eastAsia="仿宋_GB2312"/>
          <w:color w:val="000000"/>
          <w:sz w:val="28"/>
          <w:szCs w:val="28"/>
        </w:rPr>
        <w:t>2.估价委托人提供的资料</w:t>
      </w:r>
    </w:p>
    <w:p>
      <w:pPr>
        <w:pStyle w:val="20"/>
        <w:numPr>
          <w:ilvl w:val="2"/>
          <w:numId w:val="5"/>
        </w:numPr>
        <w:tabs>
          <w:tab w:val="left" w:pos="-360"/>
        </w:tabs>
        <w:snapToGrid w:val="0"/>
        <w:spacing w:line="540" w:lineRule="exact"/>
        <w:ind w:left="1123" w:leftChars="284" w:right="-6" w:hanging="527"/>
        <w:rPr>
          <w:rFonts w:ascii="仿宋_GB2312" w:hAnsi="仿宋" w:eastAsia="仿宋_GB2312"/>
          <w:sz w:val="28"/>
          <w:szCs w:val="28"/>
        </w:rPr>
      </w:pPr>
      <w:r>
        <w:rPr>
          <w:rFonts w:hint="eastAsia" w:ascii="仿宋_GB2312" w:hAnsi="仿宋" w:eastAsia="仿宋_GB2312"/>
          <w:sz w:val="28"/>
          <w:szCs w:val="28"/>
        </w:rPr>
        <w:t>《内蒙古自治区乌拉特后旗人民法院评估委托书》（2018）内0825委评66号；</w:t>
      </w:r>
    </w:p>
    <w:p>
      <w:pPr>
        <w:pStyle w:val="20"/>
        <w:numPr>
          <w:ilvl w:val="2"/>
          <w:numId w:val="5"/>
        </w:numPr>
        <w:tabs>
          <w:tab w:val="left" w:pos="-360"/>
        </w:tabs>
        <w:snapToGrid w:val="0"/>
        <w:spacing w:line="540" w:lineRule="exact"/>
        <w:ind w:left="1123" w:leftChars="284" w:right="-6" w:hanging="527"/>
        <w:rPr>
          <w:rFonts w:ascii="仿宋_GB2312" w:hAnsi="仿宋" w:eastAsia="仿宋_GB2312"/>
          <w:sz w:val="28"/>
          <w:szCs w:val="28"/>
        </w:rPr>
      </w:pPr>
      <w:r>
        <w:rPr>
          <w:rFonts w:hint="eastAsia" w:ascii="仿宋_GB2312" w:hAnsi="仿宋" w:eastAsia="仿宋_GB2312"/>
          <w:sz w:val="28"/>
          <w:szCs w:val="28"/>
          <w:lang w:eastAsia="zh-CN"/>
        </w:rPr>
        <w:t>《内蒙古自治区内蒙古自治区房地产权属登记簿》</w:t>
      </w:r>
      <w:r>
        <w:rPr>
          <w:rFonts w:hint="eastAsia" w:ascii="仿宋_GB2312" w:hAnsi="仿宋" w:eastAsia="仿宋_GB2312"/>
          <w:sz w:val="28"/>
          <w:szCs w:val="28"/>
        </w:rPr>
        <w:t>复印件；</w:t>
      </w:r>
    </w:p>
    <w:p>
      <w:pPr>
        <w:pStyle w:val="20"/>
        <w:numPr>
          <w:ilvl w:val="2"/>
          <w:numId w:val="5"/>
        </w:numPr>
        <w:tabs>
          <w:tab w:val="left" w:pos="-360"/>
        </w:tabs>
        <w:snapToGrid w:val="0"/>
        <w:spacing w:line="540" w:lineRule="exact"/>
        <w:ind w:left="1123" w:leftChars="284" w:right="-6" w:hanging="527"/>
        <w:rPr>
          <w:rFonts w:ascii="仿宋_GB2312" w:hAnsi="仿宋" w:eastAsia="仿宋_GB2312"/>
          <w:sz w:val="28"/>
          <w:szCs w:val="28"/>
        </w:rPr>
      </w:pPr>
      <w:r>
        <w:rPr>
          <w:rFonts w:hint="eastAsia" w:ascii="仿宋_GB2312" w:hAnsi="仿宋" w:eastAsia="仿宋_GB2312"/>
          <w:sz w:val="28"/>
          <w:szCs w:val="28"/>
        </w:rPr>
        <w:t>估价委托人提供的其他有关资料。</w:t>
      </w:r>
    </w:p>
    <w:p>
      <w:pPr>
        <w:widowControl/>
        <w:snapToGrid w:val="0"/>
        <w:spacing w:line="560" w:lineRule="exact"/>
        <w:ind w:firstLine="560" w:firstLineChars="200"/>
        <w:jc w:val="left"/>
        <w:rPr>
          <w:rFonts w:eastAsia="仿宋_GB2312"/>
          <w:color w:val="000000"/>
          <w:sz w:val="28"/>
          <w:szCs w:val="28"/>
        </w:rPr>
      </w:pPr>
      <w:r>
        <w:rPr>
          <w:rFonts w:eastAsia="仿宋_GB2312"/>
          <w:color w:val="000000"/>
          <w:sz w:val="28"/>
          <w:szCs w:val="28"/>
        </w:rPr>
        <w:t>3.房地产估价机构掌握的有关资料以及估价人员实地查勘所获取的资料</w:t>
      </w:r>
      <w:r>
        <w:rPr>
          <w:rFonts w:hint="eastAsia" w:eastAsia="仿宋_GB2312"/>
          <w:color w:val="000000"/>
          <w:sz w:val="28"/>
          <w:szCs w:val="28"/>
        </w:rPr>
        <w:t>;</w:t>
      </w:r>
      <w:r>
        <w:rPr>
          <w:rFonts w:eastAsia="仿宋_GB2312"/>
          <w:color w:val="000000"/>
          <w:sz w:val="28"/>
          <w:szCs w:val="28"/>
        </w:rPr>
        <w:t xml:space="preserve"> </w:t>
      </w:r>
    </w:p>
    <w:p>
      <w:pPr>
        <w:pStyle w:val="20"/>
        <w:numPr>
          <w:ilvl w:val="2"/>
          <w:numId w:val="5"/>
        </w:numPr>
        <w:tabs>
          <w:tab w:val="left" w:pos="-360"/>
        </w:tabs>
        <w:snapToGrid w:val="0"/>
        <w:spacing w:line="560" w:lineRule="exact"/>
        <w:ind w:left="0"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注册房地产估价师实地查勘资料和估价机构掌握的房地产相关资料；</w:t>
      </w:r>
    </w:p>
    <w:p>
      <w:pPr>
        <w:pStyle w:val="20"/>
        <w:numPr>
          <w:ilvl w:val="2"/>
          <w:numId w:val="5"/>
        </w:numPr>
        <w:tabs>
          <w:tab w:val="left" w:pos="-360"/>
        </w:tabs>
        <w:snapToGrid w:val="0"/>
        <w:spacing w:line="560" w:lineRule="exact"/>
        <w:ind w:left="0"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lang w:eastAsia="zh-CN"/>
        </w:rPr>
        <w:t>乌拉特后旗巴音宝力格镇</w:t>
      </w:r>
      <w:r>
        <w:rPr>
          <w:rFonts w:ascii="Times New Roman" w:hAnsi="Times New Roman" w:eastAsia="仿宋_GB2312"/>
          <w:color w:val="000000"/>
          <w:sz w:val="28"/>
          <w:szCs w:val="28"/>
        </w:rPr>
        <w:t>住宅房地产市场信息及估价对象所在区域的房地产市场状况、同类房地产市场交易等数据资料；</w:t>
      </w:r>
    </w:p>
    <w:p>
      <w:pPr>
        <w:pStyle w:val="20"/>
        <w:numPr>
          <w:ilvl w:val="2"/>
          <w:numId w:val="5"/>
        </w:numPr>
        <w:tabs>
          <w:tab w:val="left" w:pos="-360"/>
        </w:tabs>
        <w:snapToGrid w:val="0"/>
        <w:spacing w:line="560" w:lineRule="exact"/>
        <w:ind w:left="0"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lang w:eastAsia="zh-CN"/>
        </w:rPr>
        <w:t>乌拉特后旗巴音宝力格镇</w:t>
      </w:r>
      <w:r>
        <w:rPr>
          <w:rFonts w:ascii="Times New Roman" w:hAnsi="Times New Roman" w:eastAsia="仿宋_GB2312"/>
          <w:color w:val="000000"/>
          <w:sz w:val="28"/>
          <w:szCs w:val="28"/>
        </w:rPr>
        <w:t>城市概况、规划、经济发展及自然、人文环境资料；</w:t>
      </w:r>
    </w:p>
    <w:p>
      <w:pPr>
        <w:pStyle w:val="3"/>
        <w:spacing w:line="560" w:lineRule="exact"/>
        <w:ind w:firstLine="562"/>
        <w:rPr>
          <w:rFonts w:ascii="Times New Roman" w:hAnsi="Times New Roman"/>
        </w:rPr>
      </w:pPr>
      <w:bookmarkStart w:id="115" w:name="_Toc521268509"/>
      <w:r>
        <w:rPr>
          <w:rFonts w:ascii="Times New Roman" w:hAnsi="Times New Roman"/>
        </w:rPr>
        <w:t>（</w:t>
      </w:r>
      <w:r>
        <w:rPr>
          <w:rFonts w:hint="eastAsia" w:ascii="Times New Roman" w:hAnsi="Times New Roman"/>
        </w:rPr>
        <w:t>九</w:t>
      </w:r>
      <w:r>
        <w:rPr>
          <w:rFonts w:ascii="Times New Roman" w:hAnsi="Times New Roman"/>
        </w:rPr>
        <w:t>）</w:t>
      </w:r>
      <w:bookmarkStart w:id="116" w:name="_Toc243111693"/>
      <w:bookmarkStart w:id="117" w:name="_Toc130033729"/>
      <w:bookmarkStart w:id="118" w:name="_Toc367869505"/>
      <w:bookmarkStart w:id="119" w:name="_Toc269132876"/>
      <w:bookmarkStart w:id="120" w:name="_Toc254860133"/>
      <w:bookmarkStart w:id="121" w:name="_Toc135016179"/>
      <w:bookmarkStart w:id="122" w:name="_Toc301369723"/>
      <w:bookmarkStart w:id="123" w:name="_Toc270691075"/>
      <w:bookmarkStart w:id="124" w:name="_Toc254875147"/>
      <w:bookmarkStart w:id="125" w:name="_Toc243111722"/>
      <w:r>
        <w:rPr>
          <w:rFonts w:ascii="Times New Roman" w:hAnsi="Times New Roman"/>
        </w:rPr>
        <w:t>估价方法</w:t>
      </w:r>
      <w:bookmarkEnd w:id="115"/>
      <w:bookmarkEnd w:id="116"/>
      <w:bookmarkEnd w:id="117"/>
      <w:bookmarkEnd w:id="118"/>
      <w:bookmarkEnd w:id="119"/>
      <w:bookmarkEnd w:id="120"/>
      <w:bookmarkEnd w:id="121"/>
      <w:bookmarkEnd w:id="122"/>
      <w:bookmarkEnd w:id="123"/>
      <w:bookmarkEnd w:id="124"/>
      <w:bookmarkEnd w:id="125"/>
    </w:p>
    <w:p>
      <w:pPr>
        <w:adjustRightInd w:val="0"/>
        <w:snapToGrid w:val="0"/>
        <w:spacing w:line="360" w:lineRule="auto"/>
        <w:ind w:firstLine="560" w:firstLineChars="200"/>
        <w:rPr>
          <w:rFonts w:eastAsia="仿宋_GB2312"/>
          <w:color w:val="000000"/>
          <w:sz w:val="28"/>
          <w:szCs w:val="28"/>
        </w:rPr>
      </w:pPr>
      <w:bookmarkStart w:id="126" w:name="_Toc135016180"/>
      <w:bookmarkStart w:id="127" w:name="_Toc130033730"/>
      <w:r>
        <w:rPr>
          <w:rFonts w:eastAsia="仿宋_GB2312"/>
          <w:color w:val="000000"/>
          <w:sz w:val="28"/>
          <w:szCs w:val="28"/>
        </w:rPr>
        <w:t>根据《房地产估价规范》，主要的估价方法有比较法、收益法、成本法、假设开发法等。比较法适用于同类房地产交易案例较多的房地产估价；收益法适用于有收益或潜在收益性的房地产估价；可作为独立的开发建设项目进行重新开发建设的，应选用成本法；假设开发法适用于具有开发或再开发潜力的房地产估价。</w:t>
      </w:r>
    </w:p>
    <w:p>
      <w:pPr>
        <w:adjustRightInd w:val="0"/>
        <w:snapToGrid w:val="0"/>
        <w:spacing w:line="360" w:lineRule="auto"/>
        <w:ind w:firstLine="560" w:firstLineChars="200"/>
        <w:rPr>
          <w:rFonts w:eastAsia="仿宋_GB2312"/>
          <w:color w:val="000000"/>
          <w:sz w:val="28"/>
          <w:szCs w:val="28"/>
        </w:rPr>
      </w:pPr>
      <w:r>
        <w:rPr>
          <w:rFonts w:eastAsia="仿宋_GB2312"/>
          <w:color w:val="000000"/>
          <w:sz w:val="28"/>
          <w:szCs w:val="28"/>
        </w:rPr>
        <w:t>本次估价采用了比较法和收益法。</w:t>
      </w:r>
    </w:p>
    <w:p>
      <w:pPr>
        <w:adjustRightInd w:val="0"/>
        <w:snapToGrid w:val="0"/>
        <w:spacing w:line="360" w:lineRule="auto"/>
        <w:ind w:firstLine="560" w:firstLineChars="200"/>
        <w:rPr>
          <w:rFonts w:eastAsia="仿宋_GB2312"/>
          <w:color w:val="000000"/>
          <w:sz w:val="28"/>
          <w:szCs w:val="28"/>
        </w:rPr>
      </w:pPr>
      <w:r>
        <w:rPr>
          <w:rFonts w:eastAsia="仿宋_GB2312"/>
          <w:color w:val="000000"/>
          <w:sz w:val="28"/>
          <w:szCs w:val="28"/>
        </w:rPr>
        <w:t>比较法是指选取一定数量的可比实例，将它们与估价对象进行比较，根据其间的差异对可比实例成交价格进行处理后得到估价对象价值或价格的方法。</w:t>
      </w:r>
    </w:p>
    <w:p>
      <w:pPr>
        <w:adjustRightInd w:val="0"/>
        <w:snapToGrid w:val="0"/>
        <w:spacing w:line="360" w:lineRule="auto"/>
        <w:ind w:firstLine="560" w:firstLineChars="200"/>
        <w:rPr>
          <w:rFonts w:eastAsia="仿宋_GB2312"/>
          <w:color w:val="000000"/>
          <w:sz w:val="28"/>
          <w:szCs w:val="28"/>
        </w:rPr>
      </w:pPr>
      <w:r>
        <w:rPr>
          <w:rFonts w:eastAsia="仿宋_GB2312"/>
          <w:color w:val="000000"/>
          <w:sz w:val="28"/>
          <w:szCs w:val="28"/>
        </w:rPr>
        <w:t>收益法是预测估价对象的未来收益，利用报酬率或资本化率、收益乘数将未来收益转换为价值得到估价对象价值或价格的方法。</w:t>
      </w:r>
    </w:p>
    <w:p>
      <w:pPr>
        <w:pStyle w:val="3"/>
        <w:spacing w:line="360" w:lineRule="auto"/>
        <w:ind w:firstLine="562"/>
        <w:rPr>
          <w:rFonts w:ascii="Times New Roman" w:hAnsi="Times New Roman"/>
        </w:rPr>
      </w:pPr>
      <w:bookmarkStart w:id="128" w:name="_Toc254860134"/>
      <w:bookmarkStart w:id="129" w:name="_Toc301369724"/>
      <w:bookmarkStart w:id="130" w:name="_Toc367869506"/>
      <w:bookmarkStart w:id="131" w:name="_Toc243111694"/>
      <w:bookmarkStart w:id="132" w:name="_Toc254875148"/>
      <w:bookmarkStart w:id="133" w:name="_Toc243111723"/>
      <w:bookmarkStart w:id="134" w:name="_Toc269132877"/>
      <w:bookmarkStart w:id="135" w:name="_Toc270691076"/>
      <w:bookmarkStart w:id="136" w:name="_Toc521268510"/>
      <w:r>
        <w:rPr>
          <w:rFonts w:ascii="Times New Roman" w:hAnsi="Times New Roman"/>
        </w:rPr>
        <w:t>（十）估价结果</w:t>
      </w:r>
      <w:bookmarkEnd w:id="126"/>
      <w:bookmarkEnd w:id="127"/>
      <w:bookmarkEnd w:id="128"/>
      <w:bookmarkEnd w:id="129"/>
      <w:bookmarkEnd w:id="130"/>
      <w:bookmarkEnd w:id="131"/>
      <w:bookmarkEnd w:id="132"/>
      <w:bookmarkEnd w:id="133"/>
      <w:bookmarkEnd w:id="134"/>
      <w:bookmarkEnd w:id="135"/>
      <w:bookmarkEnd w:id="136"/>
    </w:p>
    <w:p>
      <w:pPr>
        <w:tabs>
          <w:tab w:val="left" w:pos="993"/>
        </w:tabs>
        <w:adjustRightInd w:val="0"/>
        <w:snapToGrid w:val="0"/>
        <w:spacing w:line="360" w:lineRule="auto"/>
        <w:ind w:firstLine="506" w:firstLineChars="181"/>
        <w:rPr>
          <w:rFonts w:eastAsia="仿宋_GB2312"/>
          <w:sz w:val="28"/>
          <w:szCs w:val="28"/>
        </w:rPr>
      </w:pPr>
      <w:bookmarkStart w:id="137" w:name="_Toc269132878"/>
      <w:bookmarkStart w:id="138" w:name="_Toc270691077"/>
      <w:bookmarkStart w:id="139" w:name="_Toc301369725"/>
      <w:bookmarkStart w:id="140" w:name="_Toc367869507"/>
      <w:bookmarkStart w:id="141" w:name="_Toc135016181"/>
      <w:bookmarkStart w:id="142" w:name="_Toc130033731"/>
      <w:bookmarkStart w:id="143" w:name="_Toc243111724"/>
      <w:bookmarkStart w:id="144" w:name="_Toc243111695"/>
      <w:bookmarkStart w:id="145" w:name="_Toc254860135"/>
      <w:bookmarkStart w:id="146" w:name="_Toc254875149"/>
      <w:r>
        <w:rPr>
          <w:rFonts w:eastAsia="仿宋_GB2312"/>
          <w:sz w:val="28"/>
          <w:szCs w:val="28"/>
        </w:rPr>
        <w:t>估价人员遵循各项估价原则，根据估价目的和国家有关房地产估价的规范、规定，按照估价程序，经过实地查勘与市场调查，并进行了测算，确定估价对象在满足全部假设和限制条件下于价值时点</w:t>
      </w:r>
      <w:r>
        <w:rPr>
          <w:rFonts w:hint="eastAsia" w:eastAsia="仿宋_GB2312"/>
          <w:sz w:val="28"/>
          <w:szCs w:val="28"/>
        </w:rPr>
        <w:t>2018年11月19日</w:t>
      </w:r>
      <w:r>
        <w:rPr>
          <w:rFonts w:eastAsia="仿宋_GB2312"/>
          <w:sz w:val="28"/>
          <w:szCs w:val="28"/>
        </w:rPr>
        <w:t>的估价结果如下：（币种：人民币）</w:t>
      </w:r>
    </w:p>
    <w:p>
      <w:pPr>
        <w:ind w:firstLine="2937" w:firstLineChars="1045"/>
        <w:jc w:val="left"/>
        <w:rPr>
          <w:rFonts w:eastAsia="楷体_GB2312"/>
          <w:b/>
          <w:bCs/>
          <w:sz w:val="28"/>
          <w:szCs w:val="28"/>
        </w:rPr>
      </w:pPr>
      <w:r>
        <w:rPr>
          <w:rFonts w:eastAsia="楷体_GB2312"/>
          <w:b/>
          <w:bCs/>
          <w:sz w:val="28"/>
          <w:szCs w:val="28"/>
        </w:rPr>
        <w:t>估价结果一览表</w:t>
      </w:r>
    </w:p>
    <w:tbl>
      <w:tblPr>
        <w:tblStyle w:val="47"/>
        <w:tblpPr w:leftFromText="180" w:rightFromText="180" w:vertAnchor="text" w:horzAnchor="margin" w:tblpXSpec="center" w:tblpY="313"/>
        <w:tblW w:w="9174"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15"/>
        <w:gridCol w:w="1114"/>
        <w:gridCol w:w="1327"/>
        <w:gridCol w:w="1435"/>
        <w:gridCol w:w="1378"/>
        <w:gridCol w:w="2805"/>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tcBorders>
              <w:top w:val="double" w:color="auto" w:sz="4" w:space="0"/>
              <w:bottom w:val="single" w:color="auto" w:sz="4" w:space="0"/>
            </w:tcBorders>
            <w:vAlign w:val="center"/>
          </w:tcPr>
          <w:p>
            <w:pPr>
              <w:jc w:val="center"/>
              <w:rPr>
                <w:rFonts w:ascii="仿宋_GB2312" w:eastAsia="仿宋_GB2312"/>
                <w:b/>
                <w:szCs w:val="21"/>
                <w:highlight w:val="none"/>
              </w:rPr>
            </w:pPr>
            <w:bookmarkStart w:id="147" w:name="_Toc521268511"/>
            <w:r>
              <w:rPr>
                <w:rFonts w:hint="eastAsia" w:ascii="仿宋_GB2312" w:eastAsia="仿宋_GB2312"/>
                <w:b/>
                <w:szCs w:val="21"/>
                <w:highlight w:val="none"/>
              </w:rPr>
              <w:t>序号</w:t>
            </w:r>
          </w:p>
        </w:tc>
        <w:tc>
          <w:tcPr>
            <w:tcW w:w="1114" w:type="dxa"/>
            <w:tcBorders>
              <w:top w:val="double" w:color="auto" w:sz="4" w:space="0"/>
              <w:bottom w:val="single" w:color="auto" w:sz="4" w:space="0"/>
            </w:tcBorders>
            <w:vAlign w:val="center"/>
          </w:tcPr>
          <w:p>
            <w:pPr>
              <w:jc w:val="center"/>
              <w:rPr>
                <w:rFonts w:ascii="仿宋_GB2312" w:eastAsia="仿宋_GB2312"/>
                <w:b/>
                <w:szCs w:val="21"/>
                <w:highlight w:val="none"/>
              </w:rPr>
            </w:pPr>
            <w:r>
              <w:rPr>
                <w:rFonts w:hint="eastAsia" w:ascii="仿宋_GB2312" w:eastAsia="仿宋_GB2312"/>
                <w:b/>
                <w:szCs w:val="21"/>
                <w:highlight w:val="none"/>
              </w:rPr>
              <w:t>房号</w:t>
            </w:r>
          </w:p>
        </w:tc>
        <w:tc>
          <w:tcPr>
            <w:tcW w:w="1327" w:type="dxa"/>
            <w:tcBorders>
              <w:top w:val="double" w:color="auto" w:sz="4" w:space="0"/>
              <w:bottom w:val="single" w:color="auto" w:sz="4" w:space="0"/>
            </w:tcBorders>
            <w:vAlign w:val="center"/>
          </w:tcPr>
          <w:p>
            <w:pPr>
              <w:jc w:val="center"/>
              <w:rPr>
                <w:rFonts w:ascii="仿宋_GB2312" w:eastAsia="仿宋_GB2312"/>
                <w:b/>
                <w:szCs w:val="21"/>
                <w:highlight w:val="none"/>
              </w:rPr>
            </w:pPr>
            <w:r>
              <w:rPr>
                <w:rFonts w:hint="eastAsia" w:ascii="仿宋_GB2312" w:eastAsia="仿宋_GB2312"/>
                <w:b/>
                <w:szCs w:val="21"/>
                <w:highlight w:val="none"/>
              </w:rPr>
              <w:t>建筑面积（</w:t>
            </w:r>
            <w:r>
              <w:rPr>
                <w:rFonts w:hint="eastAsia" w:ascii="仿宋_GB2312" w:eastAsia="仿宋"/>
                <w:b/>
                <w:szCs w:val="21"/>
                <w:highlight w:val="none"/>
              </w:rPr>
              <w:t>㎡</w:t>
            </w:r>
            <w:r>
              <w:rPr>
                <w:rFonts w:hint="eastAsia" w:ascii="仿宋_GB2312" w:eastAsia="仿宋_GB2312"/>
                <w:b/>
                <w:szCs w:val="21"/>
                <w:highlight w:val="none"/>
              </w:rPr>
              <w:t>）</w:t>
            </w:r>
          </w:p>
        </w:tc>
        <w:tc>
          <w:tcPr>
            <w:tcW w:w="1435" w:type="dxa"/>
            <w:tcBorders>
              <w:top w:val="double" w:color="auto" w:sz="4" w:space="0"/>
              <w:bottom w:val="single" w:color="auto" w:sz="4" w:space="0"/>
            </w:tcBorders>
            <w:vAlign w:val="center"/>
          </w:tcPr>
          <w:p>
            <w:pPr>
              <w:jc w:val="center"/>
              <w:rPr>
                <w:rFonts w:ascii="仿宋_GB2312" w:eastAsia="仿宋_GB2312"/>
                <w:b/>
                <w:szCs w:val="21"/>
                <w:highlight w:val="none"/>
              </w:rPr>
            </w:pPr>
            <w:r>
              <w:rPr>
                <w:rFonts w:hint="eastAsia" w:ascii="仿宋_GB2312" w:eastAsia="仿宋_GB2312"/>
                <w:b/>
                <w:szCs w:val="21"/>
                <w:highlight w:val="none"/>
              </w:rPr>
              <w:t>单价（元/</w:t>
            </w:r>
            <w:r>
              <w:rPr>
                <w:rFonts w:hint="eastAsia" w:ascii="仿宋_GB2312" w:eastAsia="仿宋"/>
                <w:b/>
                <w:szCs w:val="21"/>
                <w:highlight w:val="none"/>
              </w:rPr>
              <w:t>㎡</w:t>
            </w:r>
            <w:r>
              <w:rPr>
                <w:rFonts w:hint="eastAsia" w:ascii="仿宋_GB2312" w:eastAsia="仿宋_GB2312"/>
                <w:b/>
                <w:szCs w:val="21"/>
                <w:highlight w:val="none"/>
              </w:rPr>
              <w:t>）</w:t>
            </w:r>
          </w:p>
        </w:tc>
        <w:tc>
          <w:tcPr>
            <w:tcW w:w="1378" w:type="dxa"/>
            <w:tcBorders>
              <w:top w:val="double" w:color="auto" w:sz="4" w:space="0"/>
              <w:bottom w:val="single" w:color="auto" w:sz="4" w:space="0"/>
            </w:tcBorders>
            <w:vAlign w:val="center"/>
          </w:tcPr>
          <w:p>
            <w:pPr>
              <w:jc w:val="center"/>
              <w:rPr>
                <w:rFonts w:ascii="仿宋_GB2312" w:eastAsia="仿宋_GB2312"/>
                <w:b/>
                <w:szCs w:val="21"/>
                <w:highlight w:val="none"/>
              </w:rPr>
            </w:pPr>
            <w:r>
              <w:rPr>
                <w:rFonts w:hint="eastAsia" w:ascii="仿宋_GB2312" w:eastAsia="仿宋_GB2312"/>
                <w:b/>
                <w:szCs w:val="21"/>
                <w:highlight w:val="none"/>
              </w:rPr>
              <w:t>总价（万元）</w:t>
            </w:r>
          </w:p>
        </w:tc>
        <w:tc>
          <w:tcPr>
            <w:tcW w:w="2805" w:type="dxa"/>
            <w:tcBorders>
              <w:top w:val="double" w:color="auto" w:sz="4" w:space="0"/>
              <w:bottom w:val="single" w:color="auto" w:sz="4" w:space="0"/>
            </w:tcBorders>
            <w:vAlign w:val="center"/>
          </w:tcPr>
          <w:p>
            <w:pPr>
              <w:jc w:val="center"/>
              <w:rPr>
                <w:rFonts w:ascii="仿宋_GB2312" w:eastAsia="仿宋_GB2312"/>
                <w:b/>
                <w:szCs w:val="21"/>
                <w:highlight w:val="none"/>
              </w:rPr>
            </w:pPr>
            <w:r>
              <w:rPr>
                <w:rFonts w:hint="eastAsia" w:ascii="仿宋_GB2312" w:eastAsia="仿宋_GB2312"/>
                <w:b/>
                <w:szCs w:val="21"/>
                <w:highlight w:val="none"/>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tcBorders>
              <w:top w:val="single" w:color="auto" w:sz="4" w:space="0"/>
            </w:tcBorders>
            <w:vAlign w:val="center"/>
          </w:tcPr>
          <w:p>
            <w:pPr>
              <w:jc w:val="center"/>
              <w:rPr>
                <w:rFonts w:ascii="仿宋_GB2312" w:eastAsia="仿宋_GB2312"/>
                <w:color w:val="000000"/>
                <w:szCs w:val="21"/>
                <w:highlight w:val="none"/>
              </w:rPr>
            </w:pPr>
            <w:r>
              <w:rPr>
                <w:rFonts w:hint="eastAsia" w:ascii="仿宋_GB2312" w:eastAsia="仿宋_GB2312"/>
                <w:color w:val="000000"/>
                <w:szCs w:val="21"/>
                <w:highlight w:val="none"/>
              </w:rPr>
              <w:t>1</w:t>
            </w:r>
          </w:p>
        </w:tc>
        <w:tc>
          <w:tcPr>
            <w:tcW w:w="1114" w:type="dxa"/>
            <w:tcBorders>
              <w:top w:val="single" w:color="auto" w:sz="4" w:space="0"/>
            </w:tcBorders>
            <w:vAlign w:val="center"/>
          </w:tcPr>
          <w:p>
            <w:pPr>
              <w:jc w:val="center"/>
              <w:rPr>
                <w:rFonts w:hint="eastAsia" w:ascii="仿宋_GB2312" w:eastAsia="仿宋_GB2312"/>
                <w:color w:val="000000"/>
                <w:szCs w:val="21"/>
                <w:highlight w:val="none"/>
                <w:lang w:val="en-US" w:eastAsia="zh-CN"/>
              </w:rPr>
            </w:pPr>
            <w:r>
              <w:rPr>
                <w:rFonts w:hint="eastAsia" w:ascii="仿宋_GB2312" w:eastAsia="仿宋_GB2312"/>
                <w:color w:val="000000"/>
                <w:szCs w:val="21"/>
                <w:highlight w:val="none"/>
                <w:lang w:val="en-US" w:eastAsia="zh-CN"/>
              </w:rPr>
              <w:t>4#-4-201</w:t>
            </w:r>
          </w:p>
        </w:tc>
        <w:tc>
          <w:tcPr>
            <w:tcW w:w="1327" w:type="dxa"/>
            <w:tcBorders>
              <w:top w:val="single" w:color="auto" w:sz="4" w:space="0"/>
            </w:tcBorders>
            <w:vAlign w:val="center"/>
          </w:tcPr>
          <w:p>
            <w:pPr>
              <w:jc w:val="center"/>
              <w:rPr>
                <w:rFonts w:hint="eastAsia" w:ascii="仿宋_GB2312" w:eastAsia="仿宋_GB2312"/>
                <w:color w:val="000000"/>
                <w:szCs w:val="21"/>
                <w:highlight w:val="none"/>
                <w:lang w:eastAsia="zh-CN"/>
              </w:rPr>
            </w:pPr>
            <w:r>
              <w:rPr>
                <w:rFonts w:hint="eastAsia" w:ascii="仿宋_GB2312" w:eastAsia="仿宋_GB2312"/>
                <w:color w:val="000000"/>
                <w:szCs w:val="21"/>
                <w:highlight w:val="none"/>
                <w:lang w:eastAsia="zh-CN"/>
              </w:rPr>
              <w:t>119.34</w:t>
            </w:r>
          </w:p>
        </w:tc>
        <w:tc>
          <w:tcPr>
            <w:tcW w:w="1435" w:type="dxa"/>
            <w:tcBorders>
              <w:top w:val="single" w:color="auto" w:sz="4" w:space="0"/>
            </w:tcBorders>
            <w:vAlign w:val="center"/>
          </w:tcPr>
          <w:p>
            <w:pPr>
              <w:jc w:val="center"/>
              <w:rPr>
                <w:rFonts w:hint="eastAsia" w:ascii="仿宋_GB2312" w:eastAsia="仿宋_GB2312"/>
                <w:szCs w:val="21"/>
                <w:highlight w:val="none"/>
                <w:lang w:eastAsia="zh-CN"/>
              </w:rPr>
            </w:pPr>
            <w:r>
              <w:rPr>
                <w:rFonts w:hint="eastAsia" w:ascii="仿宋_GB2312" w:eastAsia="仿宋_GB2312"/>
                <w:szCs w:val="21"/>
                <w:highlight w:val="none"/>
                <w:lang w:eastAsia="zh-CN"/>
              </w:rPr>
              <w:t>1993</w:t>
            </w:r>
          </w:p>
        </w:tc>
        <w:tc>
          <w:tcPr>
            <w:tcW w:w="1378" w:type="dxa"/>
            <w:tcBorders>
              <w:top w:val="single" w:color="auto" w:sz="4" w:space="0"/>
            </w:tcBorders>
            <w:vAlign w:val="center"/>
          </w:tcPr>
          <w:p>
            <w:pPr>
              <w:jc w:val="center"/>
              <w:rPr>
                <w:rFonts w:hint="eastAsia" w:ascii="仿宋_GB2312" w:eastAsia="仿宋_GB2312"/>
                <w:szCs w:val="21"/>
                <w:highlight w:val="none"/>
                <w:lang w:eastAsia="zh-CN"/>
              </w:rPr>
            </w:pPr>
            <w:r>
              <w:rPr>
                <w:rFonts w:hint="eastAsia" w:ascii="仿宋_GB2312" w:eastAsia="仿宋_GB2312"/>
                <w:szCs w:val="21"/>
                <w:highlight w:val="none"/>
                <w:lang w:eastAsia="zh-CN"/>
              </w:rPr>
              <w:t>23.7845</w:t>
            </w:r>
          </w:p>
        </w:tc>
        <w:tc>
          <w:tcPr>
            <w:tcW w:w="2805" w:type="dxa"/>
            <w:tcBorders>
              <w:top w:val="single" w:color="auto" w:sz="4" w:space="0"/>
            </w:tcBorders>
            <w:vAlign w:val="center"/>
          </w:tcPr>
          <w:p>
            <w:pPr>
              <w:jc w:val="center"/>
              <w:rPr>
                <w:rFonts w:ascii="仿宋_GB2312" w:eastAsia="仿宋_GB2312"/>
                <w:szCs w:val="21"/>
                <w:highlight w:val="none"/>
              </w:rPr>
            </w:pPr>
            <w:r>
              <w:rPr>
                <w:rFonts w:hint="eastAsia" w:ascii="仿宋_GB2312" w:eastAsia="仿宋_GB2312"/>
                <w:szCs w:val="21"/>
                <w:highlight w:val="none"/>
                <w:lang w:eastAsia="zh-CN"/>
              </w:rPr>
              <w:t>贰拾叁万柒仟捌佰肆拾伍</w:t>
            </w:r>
            <w:r>
              <w:rPr>
                <w:rFonts w:hint="eastAsia" w:ascii="仿宋_GB2312" w:eastAsia="仿宋_GB2312"/>
                <w:szCs w:val="21"/>
                <w:highlight w:val="none"/>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vAlign w:val="center"/>
          </w:tcPr>
          <w:p>
            <w:pPr>
              <w:jc w:val="center"/>
              <w:rPr>
                <w:rFonts w:ascii="仿宋_GB2312" w:eastAsia="仿宋_GB2312"/>
                <w:color w:val="000000"/>
                <w:kern w:val="0"/>
                <w:szCs w:val="21"/>
                <w:highlight w:val="none"/>
              </w:rPr>
            </w:pPr>
            <w:r>
              <w:rPr>
                <w:rFonts w:hint="eastAsia" w:ascii="仿宋_GB2312" w:eastAsia="仿宋_GB2312"/>
                <w:color w:val="000000"/>
                <w:kern w:val="0"/>
                <w:szCs w:val="21"/>
                <w:highlight w:val="none"/>
              </w:rPr>
              <w:t>合计</w:t>
            </w:r>
          </w:p>
        </w:tc>
        <w:tc>
          <w:tcPr>
            <w:tcW w:w="1114" w:type="dxa"/>
            <w:vAlign w:val="center"/>
          </w:tcPr>
          <w:p>
            <w:pPr>
              <w:rPr>
                <w:rFonts w:ascii="仿宋_GB2312" w:eastAsia="仿宋_GB2312"/>
                <w:color w:val="000000"/>
                <w:szCs w:val="21"/>
                <w:highlight w:val="none"/>
              </w:rPr>
            </w:pPr>
            <w:r>
              <w:rPr>
                <w:rFonts w:hint="eastAsia" w:ascii="仿宋_GB2312" w:eastAsia="仿宋_GB2312"/>
                <w:color w:val="000000"/>
                <w:szCs w:val="21"/>
                <w:highlight w:val="none"/>
              </w:rPr>
              <w:t>　</w:t>
            </w:r>
          </w:p>
        </w:tc>
        <w:tc>
          <w:tcPr>
            <w:tcW w:w="1327" w:type="dxa"/>
            <w:vAlign w:val="center"/>
          </w:tcPr>
          <w:p>
            <w:pPr>
              <w:jc w:val="center"/>
              <w:rPr>
                <w:rFonts w:hint="eastAsia" w:ascii="仿宋_GB2312" w:eastAsia="仿宋_GB2312"/>
                <w:color w:val="000000"/>
                <w:szCs w:val="21"/>
                <w:highlight w:val="none"/>
                <w:lang w:eastAsia="zh-CN"/>
              </w:rPr>
            </w:pPr>
            <w:r>
              <w:rPr>
                <w:rFonts w:hint="eastAsia" w:ascii="仿宋_GB2312" w:eastAsia="仿宋_GB2312"/>
                <w:color w:val="000000"/>
                <w:szCs w:val="21"/>
                <w:highlight w:val="none"/>
                <w:lang w:eastAsia="zh-CN"/>
              </w:rPr>
              <w:t>119.34</w:t>
            </w:r>
          </w:p>
        </w:tc>
        <w:tc>
          <w:tcPr>
            <w:tcW w:w="1435" w:type="dxa"/>
            <w:vAlign w:val="center"/>
          </w:tcPr>
          <w:p>
            <w:pPr>
              <w:rPr>
                <w:rFonts w:ascii="仿宋_GB2312" w:eastAsia="仿宋_GB2312"/>
                <w:szCs w:val="21"/>
                <w:highlight w:val="none"/>
              </w:rPr>
            </w:pPr>
          </w:p>
        </w:tc>
        <w:tc>
          <w:tcPr>
            <w:tcW w:w="1378" w:type="dxa"/>
            <w:vAlign w:val="center"/>
          </w:tcPr>
          <w:p>
            <w:pPr>
              <w:jc w:val="center"/>
              <w:rPr>
                <w:rFonts w:hint="eastAsia" w:ascii="仿宋_GB2312" w:eastAsia="仿宋_GB2312"/>
                <w:szCs w:val="21"/>
                <w:highlight w:val="none"/>
                <w:lang w:eastAsia="zh-CN"/>
              </w:rPr>
            </w:pPr>
            <w:r>
              <w:rPr>
                <w:rFonts w:hint="eastAsia" w:ascii="仿宋_GB2312" w:eastAsia="仿宋_GB2312"/>
                <w:szCs w:val="21"/>
                <w:highlight w:val="none"/>
                <w:lang w:eastAsia="zh-CN"/>
              </w:rPr>
              <w:t>23.7845</w:t>
            </w:r>
          </w:p>
        </w:tc>
        <w:tc>
          <w:tcPr>
            <w:tcW w:w="2805" w:type="dxa"/>
            <w:vAlign w:val="center"/>
          </w:tcPr>
          <w:p>
            <w:pPr>
              <w:jc w:val="center"/>
              <w:rPr>
                <w:rFonts w:ascii="仿宋_GB2312" w:eastAsia="仿宋_GB2312"/>
                <w:szCs w:val="21"/>
                <w:highlight w:val="none"/>
              </w:rPr>
            </w:pPr>
            <w:r>
              <w:rPr>
                <w:rFonts w:hint="eastAsia" w:ascii="仿宋_GB2312" w:eastAsia="仿宋_GB2312"/>
                <w:szCs w:val="21"/>
                <w:highlight w:val="none"/>
                <w:lang w:eastAsia="zh-CN"/>
              </w:rPr>
              <w:t>贰拾叁万柒仟捌佰肆拾伍</w:t>
            </w:r>
            <w:r>
              <w:rPr>
                <w:rFonts w:hint="eastAsia" w:ascii="仿宋_GB2312" w:eastAsia="仿宋_GB2312"/>
                <w:szCs w:val="21"/>
                <w:highlight w:val="none"/>
              </w:rPr>
              <w:t>元整</w:t>
            </w:r>
          </w:p>
        </w:tc>
      </w:tr>
    </w:tbl>
    <w:p>
      <w:pPr>
        <w:pStyle w:val="3"/>
        <w:ind w:firstLine="562"/>
        <w:rPr>
          <w:rFonts w:ascii="Times New Roman" w:hAnsi="Times New Roman"/>
        </w:rPr>
      </w:pPr>
      <w:r>
        <w:rPr>
          <w:rFonts w:ascii="Times New Roman" w:hAnsi="Times New Roman"/>
        </w:rPr>
        <w:t>（十</w:t>
      </w:r>
      <w:r>
        <w:rPr>
          <w:rFonts w:hint="eastAsia" w:ascii="Times New Roman" w:hAnsi="Times New Roman"/>
        </w:rPr>
        <w:t>一</w:t>
      </w:r>
      <w:r>
        <w:rPr>
          <w:rFonts w:ascii="Times New Roman" w:hAnsi="Times New Roman"/>
        </w:rPr>
        <w:t>）</w:t>
      </w:r>
      <w:bookmarkEnd w:id="137"/>
      <w:bookmarkEnd w:id="138"/>
      <w:bookmarkEnd w:id="139"/>
      <w:bookmarkEnd w:id="140"/>
      <w:bookmarkEnd w:id="141"/>
      <w:bookmarkEnd w:id="142"/>
      <w:bookmarkEnd w:id="143"/>
      <w:bookmarkEnd w:id="144"/>
      <w:bookmarkEnd w:id="145"/>
      <w:bookmarkEnd w:id="146"/>
      <w:bookmarkStart w:id="148" w:name="_Toc387827702"/>
      <w:r>
        <w:rPr>
          <w:rFonts w:ascii="Times New Roman" w:hAnsi="Times New Roman"/>
        </w:rPr>
        <w:t>注册房地产估价师</w:t>
      </w:r>
      <w:bookmarkEnd w:id="147"/>
      <w:bookmarkEnd w:id="148"/>
    </w:p>
    <w:p>
      <w:pPr>
        <w:adjustRightInd w:val="0"/>
        <w:snapToGrid w:val="0"/>
        <w:spacing w:afterLines="50" w:line="480" w:lineRule="exact"/>
        <w:ind w:firstLine="560" w:firstLineChars="200"/>
        <w:rPr>
          <w:rFonts w:eastAsia="仿宋_GB2312"/>
          <w:sz w:val="28"/>
          <w:szCs w:val="28"/>
        </w:rPr>
      </w:pPr>
      <w:bookmarkStart w:id="149" w:name="_Toc301369726"/>
      <w:bookmarkStart w:id="150" w:name="_Toc243111725"/>
      <w:bookmarkStart w:id="151" w:name="_Toc254875150"/>
      <w:bookmarkStart w:id="152" w:name="_Toc130033732"/>
      <w:bookmarkStart w:id="153" w:name="_Toc254860136"/>
      <w:bookmarkStart w:id="154" w:name="_Toc270691078"/>
      <w:bookmarkStart w:id="155" w:name="_Toc269132879"/>
      <w:bookmarkStart w:id="156" w:name="_Toc243111696"/>
      <w:bookmarkStart w:id="157" w:name="_Toc367869508"/>
      <w:bookmarkStart w:id="158" w:name="_Toc135016182"/>
      <w:r>
        <w:rPr>
          <w:rFonts w:eastAsia="仿宋_GB2312"/>
          <w:sz w:val="28"/>
          <w:szCs w:val="28"/>
        </w:rPr>
        <w:t>参加本次估价的注册房地产估价师为：</w:t>
      </w:r>
    </w:p>
    <w:tbl>
      <w:tblPr>
        <w:tblStyle w:val="47"/>
        <w:tblW w:w="9174"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407"/>
        <w:gridCol w:w="3249"/>
        <w:gridCol w:w="2736"/>
        <w:gridCol w:w="1782"/>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701" w:hRule="atLeast"/>
          <w:jc w:val="center"/>
        </w:trPr>
        <w:tc>
          <w:tcPr>
            <w:tcW w:w="1407" w:type="dxa"/>
            <w:tcBorders>
              <w:top w:val="thinThickSmallGap" w:color="auto" w:sz="12" w:space="0"/>
              <w:bottom w:val="single" w:color="auto" w:sz="4" w:space="0"/>
            </w:tcBorders>
            <w:vAlign w:val="center"/>
          </w:tcPr>
          <w:p>
            <w:pPr>
              <w:pStyle w:val="20"/>
              <w:adjustRightInd w:val="0"/>
              <w:snapToGrid w:val="0"/>
              <w:spacing w:line="480" w:lineRule="exact"/>
              <w:jc w:val="center"/>
              <w:rPr>
                <w:rFonts w:ascii="Times New Roman" w:hAnsi="Times New Roman" w:eastAsia="仿宋_GB2312"/>
                <w:b/>
                <w:bCs/>
                <w:color w:val="00B050"/>
                <w:sz w:val="28"/>
                <w:szCs w:val="28"/>
              </w:rPr>
            </w:pPr>
            <w:r>
              <w:rPr>
                <w:rFonts w:ascii="Times New Roman" w:hAnsi="Times New Roman" w:eastAsia="仿宋_GB2312"/>
                <w:b/>
                <w:bCs/>
                <w:color w:val="00B050"/>
                <w:sz w:val="28"/>
                <w:szCs w:val="28"/>
              </w:rPr>
              <w:t>姓名</w:t>
            </w:r>
          </w:p>
        </w:tc>
        <w:tc>
          <w:tcPr>
            <w:tcW w:w="3249" w:type="dxa"/>
            <w:tcBorders>
              <w:top w:val="thinThickSmallGap" w:color="auto" w:sz="12" w:space="0"/>
              <w:bottom w:val="single" w:color="auto" w:sz="4" w:space="0"/>
            </w:tcBorders>
            <w:vAlign w:val="center"/>
          </w:tcPr>
          <w:p>
            <w:pPr>
              <w:pStyle w:val="20"/>
              <w:adjustRightInd w:val="0"/>
              <w:snapToGrid w:val="0"/>
              <w:spacing w:line="480" w:lineRule="exact"/>
              <w:ind w:hanging="10"/>
              <w:jc w:val="center"/>
              <w:rPr>
                <w:rFonts w:ascii="Times New Roman" w:hAnsi="Times New Roman" w:eastAsia="仿宋_GB2312"/>
                <w:b/>
                <w:bCs/>
                <w:color w:val="00B050"/>
                <w:sz w:val="28"/>
                <w:szCs w:val="28"/>
              </w:rPr>
            </w:pPr>
            <w:r>
              <w:rPr>
                <w:rFonts w:ascii="Times New Roman" w:hAnsi="Times New Roman" w:eastAsia="仿宋_GB2312"/>
                <w:b/>
                <w:bCs/>
                <w:color w:val="00B050"/>
                <w:sz w:val="28"/>
                <w:szCs w:val="28"/>
              </w:rPr>
              <w:t>注册号</w:t>
            </w:r>
          </w:p>
        </w:tc>
        <w:tc>
          <w:tcPr>
            <w:tcW w:w="2736" w:type="dxa"/>
            <w:tcBorders>
              <w:top w:val="thinThickSmallGap" w:color="auto" w:sz="12" w:space="0"/>
              <w:bottom w:val="single" w:color="auto" w:sz="4" w:space="0"/>
            </w:tcBorders>
            <w:vAlign w:val="center"/>
          </w:tcPr>
          <w:p>
            <w:pPr>
              <w:pStyle w:val="20"/>
              <w:adjustRightInd w:val="0"/>
              <w:snapToGrid w:val="0"/>
              <w:spacing w:line="480" w:lineRule="exact"/>
              <w:ind w:hanging="10"/>
              <w:jc w:val="center"/>
              <w:rPr>
                <w:rFonts w:ascii="Times New Roman" w:hAnsi="Times New Roman" w:eastAsia="仿宋_GB2312"/>
                <w:b/>
                <w:bCs/>
                <w:color w:val="00B050"/>
                <w:sz w:val="28"/>
                <w:szCs w:val="28"/>
              </w:rPr>
            </w:pPr>
            <w:r>
              <w:rPr>
                <w:rFonts w:ascii="Times New Roman" w:hAnsi="Times New Roman" w:eastAsia="仿宋_GB2312"/>
                <w:b/>
                <w:bCs/>
                <w:color w:val="00B050"/>
                <w:sz w:val="28"/>
                <w:szCs w:val="28"/>
              </w:rPr>
              <w:t>签    名</w:t>
            </w:r>
          </w:p>
        </w:tc>
        <w:tc>
          <w:tcPr>
            <w:tcW w:w="1782" w:type="dxa"/>
            <w:tcBorders>
              <w:top w:val="thinThickSmallGap" w:color="auto" w:sz="12" w:space="0"/>
              <w:bottom w:val="single" w:color="auto" w:sz="4" w:space="0"/>
            </w:tcBorders>
            <w:vAlign w:val="center"/>
          </w:tcPr>
          <w:p>
            <w:pPr>
              <w:pStyle w:val="20"/>
              <w:adjustRightInd w:val="0"/>
              <w:snapToGrid w:val="0"/>
              <w:spacing w:line="480" w:lineRule="exact"/>
              <w:jc w:val="center"/>
              <w:rPr>
                <w:rFonts w:ascii="Times New Roman" w:hAnsi="Times New Roman" w:eastAsia="仿宋_GB2312"/>
                <w:b/>
                <w:bCs/>
                <w:color w:val="00B050"/>
                <w:sz w:val="28"/>
                <w:szCs w:val="28"/>
              </w:rPr>
            </w:pPr>
            <w:r>
              <w:rPr>
                <w:rFonts w:ascii="Times New Roman" w:hAnsi="Times New Roman" w:eastAsia="仿宋_GB2312"/>
                <w:b/>
                <w:bCs/>
                <w:color w:val="00B050"/>
                <w:sz w:val="28"/>
                <w:szCs w:val="28"/>
              </w:rPr>
              <w:t>签名日期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554" w:hRule="atLeast"/>
          <w:jc w:val="center"/>
        </w:trPr>
        <w:tc>
          <w:tcPr>
            <w:tcW w:w="1407" w:type="dxa"/>
            <w:tcBorders>
              <w:top w:val="single" w:color="auto" w:sz="4" w:space="0"/>
            </w:tcBorders>
            <w:vAlign w:val="center"/>
          </w:tcPr>
          <w:p>
            <w:pPr>
              <w:pStyle w:val="20"/>
              <w:adjustRightInd w:val="0"/>
              <w:snapToGrid w:val="0"/>
              <w:spacing w:line="480" w:lineRule="exact"/>
              <w:jc w:val="center"/>
              <w:rPr>
                <w:rFonts w:ascii="Times New Roman" w:hAnsi="Times New Roman" w:eastAsia="仿宋_GB2312"/>
                <w:color w:val="00B050"/>
                <w:sz w:val="28"/>
                <w:szCs w:val="28"/>
              </w:rPr>
            </w:pPr>
            <w:r>
              <w:rPr>
                <w:rFonts w:ascii="Times New Roman" w:hAnsi="Times New Roman" w:eastAsia="仿宋_GB2312"/>
                <w:bCs/>
                <w:color w:val="00B050"/>
                <w:sz w:val="28"/>
                <w:szCs w:val="28"/>
              </w:rPr>
              <w:t>历福友</w:t>
            </w:r>
          </w:p>
        </w:tc>
        <w:tc>
          <w:tcPr>
            <w:tcW w:w="3249" w:type="dxa"/>
            <w:tcBorders>
              <w:top w:val="single" w:color="auto" w:sz="4" w:space="0"/>
            </w:tcBorders>
            <w:vAlign w:val="center"/>
          </w:tcPr>
          <w:p>
            <w:pPr>
              <w:pStyle w:val="20"/>
              <w:adjustRightInd w:val="0"/>
              <w:snapToGrid w:val="0"/>
              <w:spacing w:line="480" w:lineRule="exact"/>
              <w:jc w:val="center"/>
              <w:rPr>
                <w:rFonts w:ascii="Times New Roman" w:hAnsi="Times New Roman" w:eastAsia="仿宋_GB2312"/>
                <w:bCs/>
                <w:color w:val="00B050"/>
                <w:sz w:val="28"/>
                <w:szCs w:val="28"/>
              </w:rPr>
            </w:pPr>
            <w:r>
              <w:rPr>
                <w:rFonts w:ascii="Times New Roman" w:hAnsi="Times New Roman" w:eastAsia="仿宋_GB2312"/>
                <w:bCs/>
                <w:color w:val="00B050"/>
                <w:sz w:val="28"/>
                <w:szCs w:val="28"/>
              </w:rPr>
              <w:t>1520050003</w:t>
            </w:r>
          </w:p>
        </w:tc>
        <w:tc>
          <w:tcPr>
            <w:tcW w:w="2736" w:type="dxa"/>
            <w:tcBorders>
              <w:top w:val="single" w:color="auto" w:sz="4" w:space="0"/>
            </w:tcBorders>
            <w:vAlign w:val="center"/>
          </w:tcPr>
          <w:p>
            <w:pPr>
              <w:pStyle w:val="20"/>
              <w:adjustRightInd w:val="0"/>
              <w:snapToGrid w:val="0"/>
              <w:spacing w:line="480" w:lineRule="exact"/>
              <w:ind w:firstLine="562"/>
              <w:jc w:val="center"/>
              <w:rPr>
                <w:rFonts w:ascii="Times New Roman" w:hAnsi="Times New Roman" w:eastAsia="仿宋_GB2312"/>
                <w:color w:val="00B050"/>
                <w:sz w:val="28"/>
                <w:szCs w:val="28"/>
              </w:rPr>
            </w:pPr>
          </w:p>
        </w:tc>
        <w:tc>
          <w:tcPr>
            <w:tcW w:w="1782" w:type="dxa"/>
            <w:tcBorders>
              <w:top w:val="single" w:color="auto" w:sz="4" w:space="0"/>
            </w:tcBorders>
            <w:vAlign w:val="center"/>
          </w:tcPr>
          <w:p>
            <w:pPr>
              <w:pStyle w:val="20"/>
              <w:adjustRightInd w:val="0"/>
              <w:snapToGrid w:val="0"/>
              <w:spacing w:line="480" w:lineRule="exact"/>
              <w:ind w:firstLine="562"/>
              <w:jc w:val="center"/>
              <w:rPr>
                <w:rFonts w:ascii="Times New Roman" w:hAnsi="Times New Roman" w:eastAsia="仿宋_GB2312"/>
                <w:color w:val="00B050"/>
                <w:sz w:val="28"/>
                <w:szCs w:val="28"/>
              </w:rPr>
            </w:pP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690" w:hRule="atLeast"/>
          <w:jc w:val="center"/>
        </w:trPr>
        <w:tc>
          <w:tcPr>
            <w:tcW w:w="1407" w:type="dxa"/>
            <w:tcBorders>
              <w:bottom w:val="thickThinSmallGap" w:color="auto" w:sz="12" w:space="0"/>
            </w:tcBorders>
            <w:vAlign w:val="center"/>
          </w:tcPr>
          <w:p>
            <w:pPr>
              <w:pStyle w:val="20"/>
              <w:adjustRightInd w:val="0"/>
              <w:snapToGrid w:val="0"/>
              <w:spacing w:line="480" w:lineRule="exact"/>
              <w:jc w:val="center"/>
              <w:rPr>
                <w:rFonts w:hint="eastAsia" w:ascii="Times New Roman" w:hAnsi="Times New Roman" w:eastAsia="仿宋_GB2312"/>
                <w:color w:val="00B050"/>
                <w:sz w:val="28"/>
                <w:szCs w:val="28"/>
                <w:lang w:eastAsia="zh-CN"/>
              </w:rPr>
            </w:pPr>
            <w:r>
              <w:rPr>
                <w:rFonts w:hint="eastAsia" w:ascii="Times New Roman" w:hAnsi="Times New Roman" w:eastAsia="仿宋_GB2312"/>
                <w:bCs/>
                <w:color w:val="00B050"/>
                <w:sz w:val="28"/>
                <w:szCs w:val="28"/>
                <w:lang w:eastAsia="zh-CN"/>
              </w:rPr>
              <w:t>崔雪梅</w:t>
            </w:r>
          </w:p>
        </w:tc>
        <w:tc>
          <w:tcPr>
            <w:tcW w:w="3249" w:type="dxa"/>
            <w:tcBorders>
              <w:bottom w:val="thickThinSmallGap" w:color="auto" w:sz="12" w:space="0"/>
            </w:tcBorders>
            <w:vAlign w:val="center"/>
          </w:tcPr>
          <w:p>
            <w:pPr>
              <w:pStyle w:val="20"/>
              <w:adjustRightInd w:val="0"/>
              <w:snapToGrid w:val="0"/>
              <w:spacing w:line="480" w:lineRule="exact"/>
              <w:jc w:val="center"/>
              <w:rPr>
                <w:rFonts w:hint="eastAsia" w:ascii="Times New Roman" w:hAnsi="Times New Roman" w:eastAsia="仿宋_GB2312"/>
                <w:bCs/>
                <w:color w:val="00B050"/>
                <w:sz w:val="28"/>
                <w:szCs w:val="28"/>
                <w:lang w:eastAsia="zh-CN"/>
              </w:rPr>
            </w:pPr>
            <w:r>
              <w:rPr>
                <w:rFonts w:hint="eastAsia" w:ascii="Times New Roman" w:hAnsi="Times New Roman" w:eastAsia="仿宋_GB2312"/>
                <w:bCs/>
                <w:color w:val="00B050"/>
                <w:sz w:val="28"/>
                <w:szCs w:val="28"/>
                <w:lang w:eastAsia="zh-CN"/>
              </w:rPr>
              <w:t>1520160011</w:t>
            </w:r>
          </w:p>
        </w:tc>
        <w:tc>
          <w:tcPr>
            <w:tcW w:w="2736" w:type="dxa"/>
            <w:tcBorders>
              <w:bottom w:val="thickThinSmallGap" w:color="auto" w:sz="12" w:space="0"/>
            </w:tcBorders>
            <w:vAlign w:val="center"/>
          </w:tcPr>
          <w:p>
            <w:pPr>
              <w:pStyle w:val="20"/>
              <w:adjustRightInd w:val="0"/>
              <w:snapToGrid w:val="0"/>
              <w:spacing w:line="480" w:lineRule="exact"/>
              <w:ind w:firstLine="562"/>
              <w:jc w:val="center"/>
              <w:rPr>
                <w:rFonts w:ascii="Times New Roman" w:hAnsi="Times New Roman" w:eastAsia="仿宋_GB2312"/>
                <w:color w:val="00B050"/>
                <w:sz w:val="28"/>
                <w:szCs w:val="28"/>
              </w:rPr>
            </w:pPr>
          </w:p>
        </w:tc>
        <w:tc>
          <w:tcPr>
            <w:tcW w:w="1782" w:type="dxa"/>
            <w:tcBorders>
              <w:bottom w:val="thickThinSmallGap" w:color="auto" w:sz="12" w:space="0"/>
            </w:tcBorders>
            <w:vAlign w:val="center"/>
          </w:tcPr>
          <w:p>
            <w:pPr>
              <w:pStyle w:val="20"/>
              <w:adjustRightInd w:val="0"/>
              <w:snapToGrid w:val="0"/>
              <w:spacing w:line="480" w:lineRule="exact"/>
              <w:ind w:firstLine="562"/>
              <w:jc w:val="center"/>
              <w:rPr>
                <w:rFonts w:ascii="Times New Roman" w:hAnsi="Times New Roman" w:eastAsia="仿宋_GB2312"/>
                <w:color w:val="00B050"/>
                <w:sz w:val="28"/>
                <w:szCs w:val="28"/>
              </w:rPr>
            </w:pPr>
          </w:p>
        </w:tc>
      </w:tr>
    </w:tbl>
    <w:p>
      <w:pPr>
        <w:pStyle w:val="3"/>
        <w:ind w:firstLine="562"/>
        <w:rPr>
          <w:rFonts w:ascii="Times New Roman" w:hAnsi="Times New Roman"/>
        </w:rPr>
      </w:pPr>
      <w:bookmarkStart w:id="159" w:name="_Toc521268512"/>
      <w:r>
        <w:rPr>
          <w:rFonts w:ascii="Times New Roman" w:hAnsi="Times New Roman"/>
        </w:rPr>
        <w:t>（十</w:t>
      </w:r>
      <w:r>
        <w:rPr>
          <w:rFonts w:hint="eastAsia" w:ascii="Times New Roman" w:hAnsi="Times New Roman"/>
        </w:rPr>
        <w:t>二</w:t>
      </w:r>
      <w:r>
        <w:rPr>
          <w:rFonts w:ascii="Times New Roman" w:hAnsi="Times New Roman"/>
        </w:rPr>
        <w:t>）</w:t>
      </w:r>
      <w:bookmarkEnd w:id="149"/>
      <w:bookmarkEnd w:id="150"/>
      <w:bookmarkEnd w:id="151"/>
      <w:bookmarkEnd w:id="152"/>
      <w:bookmarkEnd w:id="153"/>
      <w:bookmarkEnd w:id="154"/>
      <w:bookmarkEnd w:id="155"/>
      <w:bookmarkEnd w:id="156"/>
      <w:bookmarkEnd w:id="157"/>
      <w:bookmarkEnd w:id="158"/>
      <w:r>
        <w:rPr>
          <w:rFonts w:ascii="Times New Roman" w:hAnsi="Times New Roman"/>
        </w:rPr>
        <w:t>实地查勘期</w:t>
      </w:r>
      <w:bookmarkEnd w:id="159"/>
    </w:p>
    <w:p>
      <w:pPr>
        <w:spacing w:line="480" w:lineRule="exact"/>
        <w:ind w:firstLine="560" w:firstLineChars="200"/>
        <w:rPr>
          <w:rFonts w:eastAsia="仿宋_GB2312"/>
          <w:sz w:val="28"/>
          <w:szCs w:val="28"/>
        </w:rPr>
      </w:pPr>
      <w:r>
        <w:rPr>
          <w:rFonts w:eastAsia="仿宋_GB2312"/>
          <w:sz w:val="28"/>
          <w:szCs w:val="28"/>
        </w:rPr>
        <w:t>2018年1</w:t>
      </w:r>
      <w:r>
        <w:rPr>
          <w:rFonts w:hint="eastAsia" w:eastAsia="仿宋_GB2312"/>
          <w:sz w:val="28"/>
          <w:szCs w:val="28"/>
        </w:rPr>
        <w:t>1</w:t>
      </w:r>
      <w:r>
        <w:rPr>
          <w:rFonts w:eastAsia="仿宋_GB2312"/>
          <w:sz w:val="28"/>
          <w:szCs w:val="28"/>
        </w:rPr>
        <w:t>月</w:t>
      </w:r>
      <w:r>
        <w:rPr>
          <w:rFonts w:hint="eastAsia" w:eastAsia="仿宋_GB2312"/>
          <w:sz w:val="28"/>
          <w:szCs w:val="28"/>
        </w:rPr>
        <w:t>19</w:t>
      </w:r>
      <w:r>
        <w:rPr>
          <w:rFonts w:eastAsia="仿宋_GB2312"/>
          <w:sz w:val="28"/>
          <w:szCs w:val="28"/>
        </w:rPr>
        <w:t>日至2018年1</w:t>
      </w:r>
      <w:r>
        <w:rPr>
          <w:rFonts w:hint="eastAsia" w:eastAsia="仿宋_GB2312"/>
          <w:sz w:val="28"/>
          <w:szCs w:val="28"/>
        </w:rPr>
        <w:t>1</w:t>
      </w:r>
      <w:r>
        <w:rPr>
          <w:rFonts w:eastAsia="仿宋_GB2312"/>
          <w:sz w:val="28"/>
          <w:szCs w:val="28"/>
        </w:rPr>
        <w:t>月</w:t>
      </w:r>
      <w:r>
        <w:rPr>
          <w:rFonts w:hint="eastAsia" w:eastAsia="仿宋_GB2312"/>
          <w:sz w:val="28"/>
          <w:szCs w:val="28"/>
        </w:rPr>
        <w:t>19</w:t>
      </w:r>
      <w:r>
        <w:rPr>
          <w:rFonts w:eastAsia="仿宋_GB2312"/>
          <w:sz w:val="28"/>
          <w:szCs w:val="28"/>
        </w:rPr>
        <w:t>日（自进入估价对象现场之日起至完成实地查勘之日止）</w:t>
      </w:r>
      <w:bookmarkStart w:id="160" w:name="_Toc270691079"/>
      <w:bookmarkStart w:id="161" w:name="_Toc243111697"/>
      <w:bookmarkStart w:id="162" w:name="_Toc130033733"/>
      <w:bookmarkStart w:id="163" w:name="_Toc243111726"/>
      <w:bookmarkStart w:id="164" w:name="_Toc254860137"/>
      <w:bookmarkStart w:id="165" w:name="_Toc367869509"/>
      <w:bookmarkStart w:id="166" w:name="_Toc301369727"/>
      <w:bookmarkStart w:id="167" w:name="_Toc135016183"/>
      <w:bookmarkStart w:id="168" w:name="_Toc269132880"/>
      <w:bookmarkStart w:id="169" w:name="_Toc254875151"/>
    </w:p>
    <w:p>
      <w:pPr>
        <w:pStyle w:val="3"/>
        <w:ind w:firstLine="562"/>
        <w:rPr>
          <w:rFonts w:ascii="Times New Roman" w:hAnsi="Times New Roman"/>
        </w:rPr>
      </w:pPr>
      <w:bookmarkStart w:id="170" w:name="_Toc521268513"/>
      <w:r>
        <w:rPr>
          <w:rFonts w:ascii="Times New Roman" w:hAnsi="Times New Roman"/>
        </w:rPr>
        <w:t>（十</w:t>
      </w:r>
      <w:r>
        <w:rPr>
          <w:rFonts w:hint="eastAsia" w:ascii="Times New Roman" w:hAnsi="Times New Roman"/>
        </w:rPr>
        <w:t>三</w:t>
      </w:r>
      <w:r>
        <w:rPr>
          <w:rFonts w:ascii="Times New Roman" w:hAnsi="Times New Roman"/>
        </w:rPr>
        <w:t>）</w:t>
      </w:r>
      <w:bookmarkEnd w:id="160"/>
      <w:bookmarkEnd w:id="161"/>
      <w:bookmarkEnd w:id="162"/>
      <w:bookmarkEnd w:id="163"/>
      <w:bookmarkEnd w:id="164"/>
      <w:bookmarkEnd w:id="165"/>
      <w:bookmarkEnd w:id="166"/>
      <w:bookmarkEnd w:id="167"/>
      <w:bookmarkEnd w:id="168"/>
      <w:bookmarkEnd w:id="169"/>
      <w:r>
        <w:rPr>
          <w:rFonts w:ascii="Times New Roman" w:hAnsi="Times New Roman"/>
        </w:rPr>
        <w:t>估价作业期</w:t>
      </w:r>
      <w:bookmarkEnd w:id="170"/>
    </w:p>
    <w:p>
      <w:pPr>
        <w:spacing w:line="540" w:lineRule="exact"/>
        <w:ind w:firstLine="560" w:firstLineChars="200"/>
        <w:rPr>
          <w:rFonts w:hint="eastAsia" w:ascii="仿宋_GB2312" w:hAnsi="仿宋" w:eastAsia="仿宋_GB2312"/>
          <w:sz w:val="28"/>
          <w:szCs w:val="28"/>
          <w:highlight w:val="none"/>
          <w:lang w:eastAsia="zh-CN"/>
        </w:rPr>
      </w:pPr>
      <w:bookmarkStart w:id="171" w:name="_Toc254860138"/>
      <w:bookmarkStart w:id="172" w:name="_Toc269132881"/>
      <w:bookmarkStart w:id="173" w:name="_Toc243111727"/>
      <w:bookmarkStart w:id="174" w:name="_Toc243111698"/>
      <w:bookmarkStart w:id="175" w:name="_Toc135016184"/>
      <w:bookmarkStart w:id="176" w:name="_Toc130033734"/>
      <w:bookmarkStart w:id="177" w:name="_Toc270691080"/>
      <w:bookmarkStart w:id="178" w:name="_Toc299004801"/>
      <w:bookmarkStart w:id="179" w:name="_Toc299004832"/>
      <w:bookmarkStart w:id="180" w:name="_Toc254875152"/>
      <w:r>
        <w:rPr>
          <w:rFonts w:hint="eastAsia" w:ascii="仿宋_GB2312" w:hAnsi="仿宋" w:eastAsia="仿宋_GB2312"/>
          <w:sz w:val="28"/>
          <w:szCs w:val="28"/>
          <w:highlight w:val="none"/>
          <w:lang w:eastAsia="zh-CN"/>
        </w:rPr>
        <w:t>二○一八年十一月十九日</w:t>
      </w:r>
      <w:r>
        <w:rPr>
          <w:rFonts w:hint="eastAsia" w:ascii="仿宋_GB2312" w:hAnsi="仿宋" w:eastAsia="仿宋_GB2312"/>
          <w:sz w:val="28"/>
          <w:szCs w:val="28"/>
          <w:highlight w:val="none"/>
        </w:rPr>
        <w:t>至</w:t>
      </w:r>
      <w:bookmarkStart w:id="181" w:name="_Toc512274805"/>
      <w:r>
        <w:rPr>
          <w:rFonts w:hint="eastAsia" w:ascii="仿宋_GB2312" w:hAnsi="仿宋" w:eastAsia="仿宋_GB2312"/>
          <w:sz w:val="28"/>
          <w:szCs w:val="28"/>
          <w:highlight w:val="none"/>
          <w:lang w:eastAsia="zh-CN"/>
        </w:rPr>
        <w:t>二〇一八年十一月二十六日</w:t>
      </w:r>
    </w:p>
    <w:bookmarkEnd w:id="171"/>
    <w:bookmarkEnd w:id="172"/>
    <w:bookmarkEnd w:id="173"/>
    <w:bookmarkEnd w:id="174"/>
    <w:bookmarkEnd w:id="175"/>
    <w:bookmarkEnd w:id="176"/>
    <w:bookmarkEnd w:id="177"/>
    <w:bookmarkEnd w:id="178"/>
    <w:bookmarkEnd w:id="179"/>
    <w:bookmarkEnd w:id="180"/>
    <w:bookmarkEnd w:id="181"/>
    <w:p>
      <w:pPr>
        <w:spacing w:line="540" w:lineRule="exact"/>
        <w:ind w:firstLine="723" w:firstLineChars="200"/>
        <w:rPr>
          <w:rFonts w:ascii="仿宋_GB2312" w:hAnsi="Calibri"/>
          <w:b/>
          <w:snapToGrid w:val="0"/>
          <w:kern w:val="0"/>
          <w:sz w:val="36"/>
          <w:szCs w:val="36"/>
        </w:rPr>
      </w:pPr>
      <w:bookmarkStart w:id="182" w:name="_Toc521268514"/>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p>
    <w:p>
      <w:pPr>
        <w:spacing w:line="540" w:lineRule="exact"/>
        <w:ind w:firstLine="723" w:firstLineChars="200"/>
        <w:jc w:val="center"/>
        <w:rPr>
          <w:rFonts w:ascii="仿宋_GB2312" w:hAnsi="Calibri"/>
          <w:b/>
          <w:snapToGrid w:val="0"/>
          <w:kern w:val="0"/>
          <w:sz w:val="36"/>
          <w:szCs w:val="36"/>
        </w:rPr>
      </w:pPr>
      <w:r>
        <w:rPr>
          <w:rFonts w:ascii="仿宋_GB2312" w:hAnsi="Calibri"/>
          <w:b/>
          <w:snapToGrid w:val="0"/>
          <w:kern w:val="0"/>
          <w:sz w:val="36"/>
          <w:szCs w:val="36"/>
        </w:rPr>
        <w:t>四、估价技术报告</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182"/>
    </w:p>
    <w:p>
      <w:pPr>
        <w:pStyle w:val="3"/>
        <w:ind w:firstLine="562"/>
        <w:rPr>
          <w:rFonts w:ascii="Times New Roman" w:hAnsi="Times New Roman"/>
        </w:rPr>
      </w:pPr>
      <w:bookmarkStart w:id="183" w:name="_Toc299004834"/>
      <w:bookmarkStart w:id="184" w:name="_Toc270691082"/>
      <w:bookmarkStart w:id="185" w:name="_Toc298936787"/>
      <w:bookmarkStart w:id="186" w:name="_Toc299005655"/>
      <w:bookmarkStart w:id="187" w:name="_Toc299007140"/>
      <w:bookmarkStart w:id="188" w:name="_Toc299006853"/>
      <w:bookmarkStart w:id="189" w:name="_Toc301369584"/>
      <w:bookmarkStart w:id="190" w:name="_Toc367869512"/>
      <w:bookmarkStart w:id="191" w:name="_Toc301369730"/>
      <w:bookmarkStart w:id="192" w:name="_Toc298936730"/>
      <w:bookmarkStart w:id="193" w:name="_Toc243111729"/>
      <w:bookmarkStart w:id="194" w:name="_Toc254860170"/>
      <w:bookmarkStart w:id="195" w:name="_Toc135016186"/>
      <w:bookmarkStart w:id="196" w:name="_Toc243111700"/>
      <w:bookmarkStart w:id="197" w:name="_Toc254860140"/>
      <w:bookmarkStart w:id="198" w:name="_Toc254875154"/>
      <w:bookmarkStart w:id="199" w:name="_Toc94587104"/>
      <w:bookmarkStart w:id="200" w:name="_Toc94587046"/>
      <w:bookmarkStart w:id="201" w:name="_Toc269132883"/>
      <w:bookmarkStart w:id="202" w:name="_Toc521268515"/>
      <w:r>
        <w:rPr>
          <w:rFonts w:ascii="Times New Roman" w:hAnsi="Times New Roman"/>
        </w:rPr>
        <w:t>（一</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rFonts w:ascii="Times New Roman" w:hAnsi="Times New Roman"/>
        </w:rPr>
        <w:t>）实物状况描述与分析</w:t>
      </w:r>
      <w:bookmarkEnd w:id="202"/>
    </w:p>
    <w:p>
      <w:pPr>
        <w:spacing w:line="540" w:lineRule="exact"/>
        <w:ind w:firstLine="560" w:firstLineChars="200"/>
        <w:rPr>
          <w:rFonts w:ascii="仿宋_GB2312" w:hAnsi="仿宋" w:eastAsia="仿宋_GB2312"/>
          <w:sz w:val="28"/>
          <w:szCs w:val="28"/>
        </w:rPr>
      </w:pPr>
      <w:bookmarkStart w:id="203" w:name="_Toc521268518"/>
      <w:r>
        <w:rPr>
          <w:rFonts w:hint="eastAsia" w:ascii="仿宋_GB2312" w:hAnsi="仿宋" w:eastAsia="仿宋_GB2312"/>
          <w:sz w:val="28"/>
          <w:szCs w:val="28"/>
        </w:rPr>
        <w:t>1、估价对象实物状况描述</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※土地实物状况描述</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1土地的名称：顾来胜</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2土地用途：---</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3土地级别：住宅二级</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4土地面积：---</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5土地四至：东至东环路、南至东升街、西至裕民小区、北至那仁宝力格街。</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 xml:space="preserve">6临街状况：三面临街 </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7土地形状：</w:t>
      </w:r>
      <w:r>
        <w:rPr>
          <w:rFonts w:hint="eastAsia" w:ascii="仿宋_GB2312" w:hAnsi="仿宋" w:eastAsia="仿宋_GB2312"/>
          <w:sz w:val="28"/>
          <w:szCs w:val="28"/>
          <w:lang w:eastAsia="zh-CN"/>
        </w:rPr>
        <w:t>不</w:t>
      </w:r>
      <w:r>
        <w:rPr>
          <w:rFonts w:hint="eastAsia" w:ascii="仿宋_GB2312" w:hAnsi="仿宋" w:eastAsia="仿宋_GB2312"/>
          <w:sz w:val="28"/>
          <w:szCs w:val="28"/>
        </w:rPr>
        <w:t>规则</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8土地地势：地势平坦</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9地质水文状况：良好</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10土地开发程度：土地开发程度达“</w:t>
      </w:r>
      <w:r>
        <w:rPr>
          <w:rFonts w:hint="eastAsia" w:ascii="仿宋_GB2312" w:hAnsi="仿宋" w:eastAsia="仿宋_GB2312"/>
          <w:sz w:val="28"/>
          <w:szCs w:val="28"/>
          <w:lang w:eastAsia="zh-CN"/>
        </w:rPr>
        <w:t>四通</w:t>
      </w:r>
      <w:r>
        <w:rPr>
          <w:rFonts w:hint="eastAsia" w:ascii="仿宋_GB2312" w:hAnsi="仿宋" w:eastAsia="仿宋_GB2312"/>
          <w:sz w:val="28"/>
          <w:szCs w:val="28"/>
        </w:rPr>
        <w:t>”（</w:t>
      </w:r>
      <w:r>
        <w:rPr>
          <w:rFonts w:hint="eastAsia" w:ascii="仿宋_GB2312" w:hAnsi="仿宋" w:eastAsia="仿宋_GB2312"/>
          <w:sz w:val="28"/>
          <w:szCs w:val="28"/>
          <w:lang w:eastAsia="zh-CN"/>
        </w:rPr>
        <w:t>即通路、通电、通讯、通上水</w:t>
      </w:r>
      <w:r>
        <w:rPr>
          <w:rFonts w:hint="eastAsia" w:ascii="仿宋_GB2312" w:hAnsi="仿宋" w:eastAsia="仿宋_GB2312"/>
          <w:sz w:val="28"/>
          <w:szCs w:val="28"/>
        </w:rPr>
        <w:t>）</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11土地规划限制条件：有一定的限制条件</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※土地实物状况分析</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土地面积适中，符合居住活动对土地面积的需求，土地形状规则便于利用和规划设计，基础设施完备有利于房地产市场发展，地势平坦、地基承载力好，对土地的利用及价值影响不大，估价对象现为顾来胜住宅，土地不可分割或合并，对土地的利用及价值影响不大，待估对象为住宅用途，</w:t>
      </w:r>
      <w:r>
        <w:rPr>
          <w:rFonts w:hint="eastAsia" w:ascii="仿宋_GB2312" w:hAnsi="仿宋" w:eastAsia="仿宋_GB2312"/>
          <w:color w:val="000000"/>
          <w:sz w:val="28"/>
          <w:szCs w:val="28"/>
        </w:rPr>
        <w:t>三面临街</w:t>
      </w:r>
      <w:r>
        <w:rPr>
          <w:rFonts w:hint="eastAsia" w:ascii="仿宋_GB2312" w:hAnsi="仿宋" w:eastAsia="仿宋_GB2312"/>
          <w:sz w:val="28"/>
          <w:szCs w:val="28"/>
        </w:rPr>
        <w:t>。</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2、建筑物实物状况描述与分析</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※建筑物实物描述</w:t>
      </w:r>
    </w:p>
    <w:p>
      <w:pPr>
        <w:spacing w:line="540" w:lineRule="exact"/>
        <w:ind w:firstLine="562"/>
        <w:rPr>
          <w:rFonts w:hint="eastAsia" w:ascii="仿宋_GB2312" w:hAnsi="仿宋" w:eastAsia="仿宋_GB2312"/>
          <w:sz w:val="28"/>
          <w:szCs w:val="28"/>
          <w:lang w:eastAsia="zh-CN"/>
        </w:rPr>
      </w:pPr>
      <w:r>
        <w:rPr>
          <w:rFonts w:hint="eastAsia" w:ascii="仿宋_GB2312" w:hAnsi="仿宋" w:eastAsia="仿宋_GB2312"/>
          <w:sz w:val="28"/>
          <w:szCs w:val="28"/>
        </w:rPr>
        <w:t>1名称：房屋所有权人为</w:t>
      </w:r>
      <w:r>
        <w:rPr>
          <w:rFonts w:hint="eastAsia" w:ascii="仿宋_GB2312" w:hAnsi="仿宋" w:eastAsia="仿宋_GB2312"/>
          <w:sz w:val="28"/>
          <w:szCs w:val="28"/>
          <w:lang w:eastAsia="zh-CN"/>
        </w:rPr>
        <w:t>顾来胜、白桂莲共同共有</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2规模：119.34平方米</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3用途：住宅</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6层数：建筑总层数为6层，待估对象所在楼层为2层</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 xml:space="preserve">5建筑结构：混合结构 </w:t>
      </w:r>
    </w:p>
    <w:p>
      <w:pPr>
        <w:spacing w:line="600" w:lineRule="exact"/>
        <w:ind w:firstLine="560" w:firstLineChars="200"/>
        <w:rPr>
          <w:rFonts w:hint="eastAsia" w:ascii="Calibri" w:hAnsi="Calibri" w:eastAsia="仿宋_GB2312"/>
          <w:sz w:val="28"/>
          <w:szCs w:val="28"/>
          <w:lang w:eastAsia="zh-CN"/>
        </w:rPr>
      </w:pPr>
      <w:r>
        <w:rPr>
          <w:rFonts w:hint="eastAsia" w:ascii="仿宋_GB2312" w:hAnsi="仿宋" w:eastAsia="仿宋_GB2312"/>
          <w:sz w:val="28"/>
          <w:szCs w:val="28"/>
        </w:rPr>
        <w:t>6设施设备：</w:t>
      </w:r>
      <w:r>
        <w:rPr>
          <w:rFonts w:hint="eastAsia" w:ascii="仿宋_GB2312" w:hAnsi="仿宋" w:eastAsia="仿宋_GB2312"/>
          <w:sz w:val="28"/>
          <w:szCs w:val="28"/>
          <w:lang w:eastAsia="zh-CN"/>
        </w:rPr>
        <w:t>有消防系统、普通门禁对讲系统等设施设备较不完备</w:t>
      </w:r>
    </w:p>
    <w:p>
      <w:pPr>
        <w:spacing w:line="540" w:lineRule="exact"/>
        <w:ind w:firstLine="560"/>
        <w:rPr>
          <w:rFonts w:eastAsia="仿宋_GB2312"/>
          <w:sz w:val="28"/>
          <w:szCs w:val="28"/>
        </w:rPr>
      </w:pPr>
      <w:r>
        <w:rPr>
          <w:rFonts w:hint="eastAsia" w:ascii="仿宋_GB2312" w:hAnsi="仿宋" w:eastAsia="仿宋_GB2312"/>
          <w:sz w:val="28"/>
          <w:szCs w:val="28"/>
        </w:rPr>
        <w:t>7</w:t>
      </w:r>
      <w:r>
        <w:rPr>
          <w:rFonts w:hint="eastAsia" w:ascii="仿宋_GB2312" w:hAnsi="仿宋" w:eastAsia="仿宋_GB2312"/>
          <w:sz w:val="28"/>
          <w:szCs w:val="28"/>
          <w:highlight w:val="none"/>
        </w:rPr>
        <w:t>装饰装修：</w:t>
      </w:r>
      <w:r>
        <w:rPr>
          <w:rFonts w:hint="eastAsia" w:eastAsia="仿宋_GB2312"/>
          <w:sz w:val="28"/>
          <w:szCs w:val="28"/>
          <w:highlight w:val="none"/>
        </w:rPr>
        <w:t>（外立面为涂料，客厅：地面铺1米地砖，墙面刮白，顶棚石膏吊顶（贴壁纸）；卧室：地面铺1米地砖，墙面刮白，顶棚刮白；卫生间：地面铺30防滑砖，墙面贴瓷砖，顶棚钙塑板顶；厨房：地面铺1米地砖，墙面贴瓷砖，顶棚钙塑板顶；餐厅：地面铺1米地砖，墙面贴瓷砖，顶棚石膏吊顶（贴壁纸）；），窗为塑钢窗</w:t>
      </w:r>
      <w:r>
        <w:rPr>
          <w:rFonts w:hint="eastAsia" w:eastAsia="仿宋_GB2312"/>
          <w:sz w:val="28"/>
          <w:szCs w:val="28"/>
          <w:highlight w:val="none"/>
          <w:lang w:eastAsia="zh-CN"/>
        </w:rPr>
        <w:t>，外门为防盗门，内门为木门</w:t>
      </w:r>
      <w:r>
        <w:rPr>
          <w:rFonts w:hint="eastAsia" w:eastAsia="仿宋_GB2312"/>
          <w:sz w:val="28"/>
          <w:szCs w:val="28"/>
          <w:highlight w:val="none"/>
        </w:rPr>
        <w:t>。</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 xml:space="preserve">8层高：层高2.8米。 </w:t>
      </w:r>
    </w:p>
    <w:p>
      <w:pPr>
        <w:spacing w:line="540" w:lineRule="exact"/>
        <w:ind w:left="561" w:leftChars="267"/>
        <w:rPr>
          <w:rFonts w:ascii="仿宋_GB2312" w:hAnsi="仿宋" w:eastAsia="仿宋_GB2312"/>
          <w:sz w:val="28"/>
          <w:szCs w:val="28"/>
        </w:rPr>
      </w:pPr>
      <w:r>
        <w:rPr>
          <w:rFonts w:hint="eastAsia" w:ascii="仿宋_GB2312" w:hAnsi="仿宋" w:eastAsia="仿宋_GB2312"/>
          <w:sz w:val="28"/>
          <w:szCs w:val="28"/>
        </w:rPr>
        <w:t>9空间布局： 合理。</w:t>
      </w:r>
    </w:p>
    <w:p>
      <w:pPr>
        <w:spacing w:line="540" w:lineRule="exact"/>
        <w:ind w:left="561" w:leftChars="267"/>
        <w:rPr>
          <w:rFonts w:ascii="仿宋_GB2312" w:hAnsi="仿宋" w:eastAsia="仿宋_GB2312"/>
          <w:sz w:val="28"/>
          <w:szCs w:val="28"/>
        </w:rPr>
      </w:pPr>
      <w:r>
        <w:rPr>
          <w:rFonts w:hint="eastAsia" w:ascii="仿宋_GB2312" w:hAnsi="仿宋" w:eastAsia="仿宋_GB2312"/>
          <w:sz w:val="28"/>
          <w:szCs w:val="28"/>
        </w:rPr>
        <w:t>10建成时间：200</w:t>
      </w:r>
      <w:r>
        <w:rPr>
          <w:rFonts w:hint="eastAsia" w:ascii="仿宋_GB2312" w:hAnsi="仿宋" w:eastAsia="仿宋_GB2312"/>
          <w:sz w:val="28"/>
          <w:szCs w:val="28"/>
          <w:lang w:val="en-US" w:eastAsia="zh-CN"/>
        </w:rPr>
        <w:t>6</w:t>
      </w:r>
      <w:r>
        <w:rPr>
          <w:rFonts w:hint="eastAsia" w:ascii="仿宋_GB2312" w:hAnsi="仿宋" w:eastAsia="仿宋_GB2312"/>
          <w:sz w:val="28"/>
          <w:szCs w:val="28"/>
        </w:rPr>
        <w:t>年。</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11使用及维护状况：设施使用、维护良好。</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12完损状况：</w:t>
      </w:r>
      <w:r>
        <w:rPr>
          <w:rFonts w:hint="eastAsia" w:ascii="仿宋_GB2312" w:hAnsi="仿宋" w:eastAsia="仿宋_GB2312"/>
          <w:sz w:val="28"/>
          <w:szCs w:val="28"/>
          <w:highlight w:val="none"/>
        </w:rPr>
        <w:t>基础稳固，外墙局部裂缝、剥落、</w:t>
      </w:r>
      <w:r>
        <w:rPr>
          <w:rFonts w:ascii="Calibri" w:hAnsi="Calibri" w:eastAsia="仿宋_GB2312"/>
          <w:sz w:val="28"/>
          <w:szCs w:val="28"/>
          <w:highlight w:val="none"/>
        </w:rPr>
        <w:t>室内顶棚</w:t>
      </w:r>
      <w:r>
        <w:rPr>
          <w:rFonts w:hint="eastAsia" w:ascii="Calibri" w:hAnsi="Calibri" w:eastAsia="仿宋_GB2312"/>
          <w:sz w:val="28"/>
          <w:szCs w:val="28"/>
          <w:highlight w:val="none"/>
        </w:rPr>
        <w:t>无损坏</w:t>
      </w:r>
      <w:r>
        <w:rPr>
          <w:rFonts w:ascii="Calibri" w:hAnsi="Calibri" w:eastAsia="仿宋_GB2312"/>
          <w:sz w:val="28"/>
          <w:szCs w:val="28"/>
          <w:highlight w:val="none"/>
        </w:rPr>
        <w:t>、</w:t>
      </w:r>
      <w:r>
        <w:rPr>
          <w:rFonts w:hint="eastAsia" w:ascii="Calibri" w:hAnsi="Calibri" w:eastAsia="仿宋_GB2312"/>
          <w:sz w:val="28"/>
          <w:szCs w:val="28"/>
          <w:highlight w:val="none"/>
        </w:rPr>
        <w:t>窗户无变形，玻璃、纱窗无残缺</w:t>
      </w:r>
      <w:r>
        <w:rPr>
          <w:rFonts w:hint="eastAsia" w:eastAsia="仿宋_GB2312"/>
          <w:sz w:val="28"/>
          <w:szCs w:val="28"/>
          <w:highlight w:val="none"/>
        </w:rPr>
        <w:t>。</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※建筑物实物状况分析</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本次待估对象建筑结构、房屋设备档次与性能、交通、装饰、装修等对建筑物现有条件下利用与价值影响较小。建筑物维护使用良好，对本次估价价值影响较小。</w:t>
      </w:r>
    </w:p>
    <w:p>
      <w:pPr>
        <w:pStyle w:val="3"/>
        <w:spacing w:before="240" w:after="240" w:line="540" w:lineRule="exact"/>
        <w:ind w:firstLine="562"/>
        <w:rPr>
          <w:rFonts w:ascii="仿宋_GB2312" w:hAnsi="仿宋"/>
          <w:b w:val="0"/>
          <w:bCs w:val="0"/>
          <w:szCs w:val="28"/>
        </w:rPr>
      </w:pPr>
      <w:r>
        <w:rPr>
          <w:rFonts w:hint="eastAsia" w:ascii="仿宋_GB2312" w:hAnsi="仿宋"/>
          <w:bCs w:val="0"/>
          <w:szCs w:val="28"/>
        </w:rPr>
        <w:t>（二）权益状况描述与分析</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估价对象权益状况描述</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1土地权益状况描述</w:t>
      </w:r>
    </w:p>
    <w:p>
      <w:pPr>
        <w:spacing w:line="600" w:lineRule="exact"/>
        <w:ind w:firstLine="560" w:firstLineChars="200"/>
        <w:rPr>
          <w:rFonts w:ascii="Calibri" w:hAnsi="Calibri" w:eastAsia="仿宋_GB2312"/>
          <w:sz w:val="28"/>
          <w:szCs w:val="28"/>
        </w:rPr>
      </w:pPr>
      <w:r>
        <w:rPr>
          <w:rFonts w:ascii="Calibri" w:hAnsi="Calibri" w:eastAsia="仿宋_GB2312"/>
          <w:sz w:val="28"/>
          <w:szCs w:val="28"/>
        </w:rPr>
        <w:t>土地所有权状况：国家所有</w:t>
      </w:r>
    </w:p>
    <w:p>
      <w:pPr>
        <w:spacing w:line="600" w:lineRule="exact"/>
        <w:ind w:firstLine="560" w:firstLineChars="200"/>
        <w:rPr>
          <w:rFonts w:ascii="Calibri" w:hAnsi="Calibri" w:eastAsia="仿宋_GB2312"/>
          <w:sz w:val="28"/>
          <w:szCs w:val="28"/>
        </w:rPr>
      </w:pPr>
      <w:r>
        <w:rPr>
          <w:rFonts w:ascii="Calibri" w:hAnsi="Calibri" w:eastAsia="仿宋_GB2312"/>
          <w:sz w:val="28"/>
          <w:szCs w:val="28"/>
        </w:rPr>
        <w:t>土地使用权状况：</w:t>
      </w:r>
      <w:r>
        <w:rPr>
          <w:rFonts w:ascii="Calibri" w:hAnsi="Calibri" w:eastAsia="仿宋_GB2312"/>
          <w:color w:val="FF0000"/>
          <w:sz w:val="28"/>
          <w:szCs w:val="28"/>
        </w:rPr>
        <w:t>全体业主</w:t>
      </w:r>
      <w:r>
        <w:rPr>
          <w:rFonts w:hint="eastAsia" w:ascii="Calibri" w:hAnsi="Calibri" w:eastAsia="仿宋_GB2312"/>
          <w:color w:val="FF0000"/>
          <w:sz w:val="28"/>
          <w:szCs w:val="28"/>
        </w:rPr>
        <w:t>共同</w:t>
      </w:r>
      <w:r>
        <w:rPr>
          <w:rFonts w:ascii="Calibri" w:hAnsi="Calibri" w:eastAsia="仿宋_GB2312"/>
          <w:color w:val="FF0000"/>
          <w:sz w:val="28"/>
          <w:szCs w:val="28"/>
        </w:rPr>
        <w:t>所有</w:t>
      </w:r>
    </w:p>
    <w:p>
      <w:pPr>
        <w:spacing w:line="600" w:lineRule="exact"/>
        <w:ind w:firstLine="560" w:firstLineChars="200"/>
        <w:rPr>
          <w:rFonts w:ascii="Calibri" w:hAnsi="Calibri" w:eastAsia="仿宋_GB2312"/>
          <w:sz w:val="28"/>
          <w:szCs w:val="28"/>
        </w:rPr>
      </w:pPr>
      <w:r>
        <w:rPr>
          <w:rFonts w:ascii="Calibri" w:hAnsi="Calibri" w:eastAsia="仿宋_GB2312"/>
          <w:sz w:val="28"/>
          <w:szCs w:val="28"/>
        </w:rPr>
        <w:t>他项权利设立情况：</w:t>
      </w:r>
      <w:r>
        <w:rPr>
          <w:rFonts w:hint="eastAsia" w:ascii="Calibri" w:hAnsi="Calibri" w:eastAsia="仿宋_GB2312"/>
          <w:sz w:val="28"/>
          <w:szCs w:val="28"/>
        </w:rPr>
        <w:t>已</w:t>
      </w:r>
      <w:r>
        <w:rPr>
          <w:rFonts w:ascii="Calibri" w:hAnsi="Calibri" w:eastAsia="仿宋_GB2312"/>
          <w:sz w:val="28"/>
          <w:szCs w:val="28"/>
        </w:rPr>
        <w:t>设立抵押权</w:t>
      </w:r>
    </w:p>
    <w:p>
      <w:pPr>
        <w:spacing w:line="600" w:lineRule="exact"/>
        <w:ind w:firstLine="560" w:firstLineChars="200"/>
        <w:rPr>
          <w:rFonts w:ascii="Calibri" w:hAnsi="Calibri" w:eastAsia="仿宋_GB2312"/>
          <w:sz w:val="28"/>
          <w:szCs w:val="28"/>
        </w:rPr>
      </w:pPr>
      <w:r>
        <w:rPr>
          <w:rFonts w:ascii="Calibri" w:hAnsi="Calibri" w:eastAsia="仿宋_GB2312"/>
          <w:sz w:val="28"/>
          <w:szCs w:val="28"/>
        </w:rPr>
        <w:t>土地使用管制：有一定的管制</w:t>
      </w:r>
    </w:p>
    <w:p>
      <w:pPr>
        <w:spacing w:line="600" w:lineRule="exact"/>
        <w:ind w:firstLine="560" w:firstLineChars="200"/>
        <w:rPr>
          <w:rFonts w:ascii="Calibri" w:hAnsi="Calibri" w:eastAsia="仿宋_GB2312"/>
          <w:sz w:val="28"/>
          <w:szCs w:val="28"/>
        </w:rPr>
      </w:pPr>
      <w:r>
        <w:rPr>
          <w:rFonts w:ascii="Calibri" w:hAnsi="Calibri" w:eastAsia="仿宋_GB2312"/>
          <w:sz w:val="28"/>
          <w:szCs w:val="28"/>
        </w:rPr>
        <w:t>其它特殊情况：无</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2建筑物权益状况描述</w:t>
      </w:r>
    </w:p>
    <w:p>
      <w:pPr>
        <w:spacing w:line="540" w:lineRule="exact"/>
        <w:ind w:firstLine="562"/>
        <w:rPr>
          <w:rFonts w:hint="eastAsia" w:ascii="仿宋_GB2312" w:hAnsi="仿宋" w:eastAsia="仿宋_GB2312"/>
          <w:sz w:val="28"/>
          <w:szCs w:val="28"/>
          <w:lang w:eastAsia="zh-CN"/>
        </w:rPr>
      </w:pPr>
      <w:r>
        <w:rPr>
          <w:rFonts w:hint="eastAsia" w:ascii="仿宋_GB2312" w:hAnsi="仿宋" w:eastAsia="仿宋_GB2312"/>
          <w:sz w:val="28"/>
          <w:szCs w:val="28"/>
        </w:rPr>
        <w:t>房屋所有权状况：顾来胜</w:t>
      </w:r>
      <w:r>
        <w:rPr>
          <w:rFonts w:hint="eastAsia" w:ascii="仿宋_GB2312" w:hAnsi="仿宋" w:eastAsia="仿宋_GB2312"/>
          <w:sz w:val="28"/>
          <w:szCs w:val="28"/>
          <w:lang w:eastAsia="zh-CN"/>
        </w:rPr>
        <w:t>、白桂莲共同共有</w:t>
      </w:r>
    </w:p>
    <w:p>
      <w:pPr>
        <w:pStyle w:val="8"/>
        <w:spacing w:line="600" w:lineRule="exact"/>
        <w:ind w:firstLine="560" w:firstLineChars="200"/>
        <w:rPr>
          <w:rFonts w:eastAsia="仿宋_GB2312"/>
          <w:sz w:val="28"/>
          <w:szCs w:val="28"/>
        </w:rPr>
      </w:pPr>
      <w:r>
        <w:rPr>
          <w:rFonts w:hint="eastAsia" w:ascii="仿宋_GB2312" w:hAnsi="仿宋" w:eastAsia="仿宋_GB2312"/>
          <w:sz w:val="28"/>
          <w:szCs w:val="28"/>
        </w:rPr>
        <w:t>他项权利设立情况：</w:t>
      </w:r>
      <w:r>
        <w:rPr>
          <w:rFonts w:hint="eastAsia" w:eastAsia="仿宋_GB2312"/>
          <w:sz w:val="28"/>
          <w:szCs w:val="28"/>
        </w:rPr>
        <w:t>已</w:t>
      </w:r>
      <w:r>
        <w:rPr>
          <w:rFonts w:eastAsia="仿宋_GB2312"/>
          <w:sz w:val="28"/>
          <w:szCs w:val="28"/>
        </w:rPr>
        <w:t>设立抵押权</w:t>
      </w:r>
    </w:p>
    <w:p>
      <w:pPr>
        <w:pStyle w:val="8"/>
        <w:spacing w:line="600" w:lineRule="exact"/>
        <w:ind w:firstLine="560" w:firstLineChars="200"/>
        <w:rPr>
          <w:rFonts w:eastAsia="仿宋_GB2312"/>
          <w:sz w:val="28"/>
          <w:szCs w:val="28"/>
        </w:rPr>
      </w:pPr>
      <w:r>
        <w:rPr>
          <w:rFonts w:hint="eastAsia" w:ascii="仿宋_GB2312" w:hAnsi="仿宋" w:eastAsia="仿宋_GB2312"/>
          <w:sz w:val="28"/>
          <w:szCs w:val="28"/>
        </w:rPr>
        <w:t>自用或占用情况：</w:t>
      </w:r>
      <w:r>
        <w:rPr>
          <w:rFonts w:eastAsia="仿宋_GB2312"/>
          <w:sz w:val="28"/>
          <w:szCs w:val="28"/>
        </w:rPr>
        <w:t>现房产</w:t>
      </w:r>
      <w:r>
        <w:rPr>
          <w:rFonts w:hint="eastAsia" w:eastAsia="仿宋_GB2312"/>
          <w:sz w:val="28"/>
          <w:szCs w:val="28"/>
        </w:rPr>
        <w:t>自用</w:t>
      </w:r>
    </w:p>
    <w:p>
      <w:pPr>
        <w:pStyle w:val="8"/>
        <w:spacing w:line="540" w:lineRule="exact"/>
        <w:ind w:firstLine="478" w:firstLineChars="171"/>
        <w:rPr>
          <w:rFonts w:ascii="仿宋_GB2312" w:hAnsi="仿宋" w:eastAsia="仿宋_GB2312"/>
          <w:sz w:val="28"/>
          <w:szCs w:val="28"/>
        </w:rPr>
      </w:pPr>
      <w:r>
        <w:rPr>
          <w:rFonts w:hint="eastAsia" w:ascii="仿宋_GB2312" w:hAnsi="仿宋" w:eastAsia="仿宋_GB2312"/>
          <w:sz w:val="28"/>
          <w:szCs w:val="28"/>
        </w:rPr>
        <w:t xml:space="preserve"> 其他特殊情况：无</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 xml:space="preserve">※权益状况分析 </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 xml:space="preserve"> “土地权益状况分析</w:t>
      </w:r>
    </w:p>
    <w:p>
      <w:pPr>
        <w:spacing w:line="540" w:lineRule="exact"/>
        <w:ind w:firstLine="560"/>
        <w:rPr>
          <w:rFonts w:eastAsia="仿宋_GB2312"/>
          <w:sz w:val="28"/>
          <w:szCs w:val="28"/>
        </w:rPr>
      </w:pPr>
      <w:r>
        <w:rPr>
          <w:rFonts w:ascii="Calibri" w:hAnsi="Calibri" w:eastAsia="仿宋_GB2312"/>
          <w:sz w:val="28"/>
          <w:szCs w:val="28"/>
        </w:rPr>
        <w:t>土地所有权为国家所有，估价对象所分摊土地</w:t>
      </w:r>
      <w:r>
        <w:rPr>
          <w:rFonts w:hint="eastAsia" w:ascii="Calibri" w:hAnsi="Calibri" w:eastAsia="仿宋_GB2312"/>
          <w:sz w:val="28"/>
          <w:szCs w:val="28"/>
        </w:rPr>
        <w:t>已</w:t>
      </w:r>
      <w:r>
        <w:rPr>
          <w:rFonts w:ascii="Calibri" w:hAnsi="Calibri" w:eastAsia="仿宋_GB2312"/>
          <w:sz w:val="28"/>
          <w:szCs w:val="28"/>
        </w:rPr>
        <w:t>设立抵押权，土地使用在规划范围内，对土地用途、建筑物高度、容积率等有一定的限制。</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“建筑物权益状况分析</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房屋所有权为</w:t>
      </w:r>
      <w:r>
        <w:rPr>
          <w:rFonts w:hint="eastAsia" w:ascii="仿宋_GB2312" w:hAnsi="仿宋" w:eastAsia="仿宋_GB2312"/>
          <w:sz w:val="28"/>
          <w:szCs w:val="28"/>
          <w:lang w:eastAsia="zh-CN"/>
        </w:rPr>
        <w:t>顾来胜、白桂莲共同共有</w:t>
      </w:r>
      <w:r>
        <w:rPr>
          <w:rFonts w:hint="eastAsia" w:ascii="仿宋_GB2312" w:hAnsi="仿宋" w:eastAsia="仿宋_GB2312"/>
          <w:sz w:val="28"/>
          <w:szCs w:val="28"/>
        </w:rPr>
        <w:t>，</w:t>
      </w:r>
      <w:r>
        <w:rPr>
          <w:rFonts w:eastAsia="仿宋_GB2312"/>
          <w:sz w:val="28"/>
          <w:szCs w:val="28"/>
        </w:rPr>
        <w:t>现房产</w:t>
      </w:r>
      <w:r>
        <w:rPr>
          <w:rFonts w:hint="eastAsia" w:eastAsia="仿宋_GB2312"/>
          <w:sz w:val="28"/>
          <w:szCs w:val="28"/>
        </w:rPr>
        <w:t>自用。</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估价对象权益状况分析：估价对象存在抵押权，无租赁权存在。</w:t>
      </w:r>
    </w:p>
    <w:p>
      <w:pPr>
        <w:pStyle w:val="3"/>
        <w:spacing w:before="240" w:after="240" w:line="540" w:lineRule="exact"/>
        <w:ind w:firstLine="562"/>
        <w:rPr>
          <w:rFonts w:ascii="仿宋_GB2312" w:hAnsi="仿宋"/>
          <w:b w:val="0"/>
          <w:bCs w:val="0"/>
          <w:szCs w:val="28"/>
        </w:rPr>
      </w:pPr>
      <w:r>
        <w:rPr>
          <w:rFonts w:hint="eastAsia" w:ascii="仿宋_GB2312" w:hAnsi="仿宋"/>
          <w:bCs w:val="0"/>
          <w:szCs w:val="28"/>
        </w:rPr>
        <w:t>（三）区位状况描述与分析</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1.估价对象区位状况描述</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估价对象位于内蒙古自治区</w:t>
      </w:r>
      <w:r>
        <w:rPr>
          <w:rFonts w:hint="eastAsia" w:ascii="仿宋_GB2312" w:hAnsi="仿宋" w:eastAsia="仿宋_GB2312"/>
          <w:sz w:val="28"/>
          <w:szCs w:val="28"/>
          <w:lang w:eastAsia="zh-CN"/>
        </w:rPr>
        <w:t>乌拉特后旗巴音镇九居委五小区百亿佳苑4#-4-201</w:t>
      </w:r>
      <w:r>
        <w:rPr>
          <w:rFonts w:hint="eastAsia" w:ascii="仿宋_GB2312" w:hAnsi="仿宋" w:eastAsia="仿宋_GB2312"/>
          <w:sz w:val="28"/>
          <w:szCs w:val="28"/>
        </w:rPr>
        <w:t>，东至东环路、南至东升街、西至裕民小区、北至那仁宝力格街。估价对象所在区域居住、购物、休闲及娱乐等</w:t>
      </w:r>
      <w:r>
        <w:rPr>
          <w:rFonts w:hint="eastAsia" w:ascii="仿宋_GB2312" w:hAnsi="仿宋" w:eastAsia="仿宋_GB2312"/>
          <w:sz w:val="28"/>
          <w:szCs w:val="28"/>
          <w:lang w:eastAsia="zh-CN"/>
        </w:rPr>
        <w:t>一般</w:t>
      </w:r>
      <w:r>
        <w:rPr>
          <w:rFonts w:hint="eastAsia" w:ascii="仿宋_GB2312" w:hAnsi="仿宋" w:eastAsia="仿宋_GB2312"/>
          <w:sz w:val="28"/>
          <w:szCs w:val="28"/>
        </w:rPr>
        <w:t>。附近医疗、教育、卫生等公共设施</w:t>
      </w:r>
      <w:r>
        <w:rPr>
          <w:rFonts w:hint="eastAsia" w:ascii="仿宋_GB2312" w:hAnsi="仿宋" w:eastAsia="仿宋_GB2312"/>
          <w:sz w:val="28"/>
          <w:szCs w:val="28"/>
          <w:lang w:eastAsia="zh-CN"/>
        </w:rPr>
        <w:t>一般</w:t>
      </w:r>
      <w:r>
        <w:rPr>
          <w:rFonts w:hint="eastAsia" w:ascii="仿宋_GB2312" w:hAnsi="仿宋" w:eastAsia="仿宋_GB2312"/>
          <w:sz w:val="28"/>
          <w:szCs w:val="28"/>
        </w:rPr>
        <w:t>，周边有乌拉特后旗医院、乌拉特后旗第一中学，乌拉特后旗博物馆等公共配套设施。总体自然环境</w:t>
      </w:r>
      <w:r>
        <w:rPr>
          <w:rFonts w:hint="eastAsia" w:ascii="仿宋_GB2312" w:hAnsi="仿宋" w:eastAsia="仿宋_GB2312"/>
          <w:sz w:val="28"/>
          <w:szCs w:val="28"/>
          <w:lang w:eastAsia="zh-CN"/>
        </w:rPr>
        <w:t>一般</w:t>
      </w:r>
      <w:r>
        <w:rPr>
          <w:rFonts w:hint="eastAsia" w:ascii="仿宋_GB2312" w:hAnsi="仿宋" w:eastAsia="仿宋_GB2312"/>
          <w:sz w:val="28"/>
          <w:szCs w:val="28"/>
        </w:rPr>
        <w:t>、人文环境</w:t>
      </w:r>
      <w:r>
        <w:rPr>
          <w:rFonts w:hint="eastAsia" w:ascii="仿宋_GB2312" w:hAnsi="仿宋" w:eastAsia="仿宋_GB2312"/>
          <w:sz w:val="28"/>
          <w:szCs w:val="28"/>
          <w:lang w:eastAsia="zh-CN"/>
        </w:rPr>
        <w:t>一般</w:t>
      </w:r>
      <w:r>
        <w:rPr>
          <w:rFonts w:hint="eastAsia" w:ascii="仿宋_GB2312" w:hAnsi="仿宋" w:eastAsia="仿宋_GB2312"/>
          <w:sz w:val="28"/>
          <w:szCs w:val="28"/>
        </w:rPr>
        <w:t>。附近无公交线路，周边有停车场，无交通管制。配套设施及公共设施</w:t>
      </w:r>
      <w:r>
        <w:rPr>
          <w:rFonts w:hint="eastAsia" w:ascii="仿宋_GB2312" w:hAnsi="仿宋" w:eastAsia="仿宋_GB2312"/>
          <w:sz w:val="28"/>
          <w:szCs w:val="28"/>
          <w:lang w:eastAsia="zh-CN"/>
        </w:rPr>
        <w:t>一般</w:t>
      </w:r>
      <w:r>
        <w:rPr>
          <w:rFonts w:hint="eastAsia" w:ascii="仿宋_GB2312" w:hAnsi="仿宋" w:eastAsia="仿宋_GB2312"/>
          <w:sz w:val="28"/>
          <w:szCs w:val="28"/>
        </w:rPr>
        <w:t>。</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2、区域状况分析</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根据估价对象的坐落、朝向、楼层等情况分析，这些因素对价值影响较小；基础设施达到</w:t>
      </w:r>
      <w:r>
        <w:rPr>
          <w:rFonts w:hint="eastAsia" w:ascii="仿宋_GB2312" w:hAnsi="仿宋" w:eastAsia="仿宋_GB2312"/>
          <w:sz w:val="28"/>
          <w:szCs w:val="28"/>
          <w:lang w:eastAsia="zh-CN"/>
        </w:rPr>
        <w:t>四通</w:t>
      </w:r>
      <w:r>
        <w:rPr>
          <w:rFonts w:hint="eastAsia" w:ascii="仿宋_GB2312" w:hAnsi="仿宋" w:eastAsia="仿宋_GB2312"/>
          <w:sz w:val="28"/>
          <w:szCs w:val="28"/>
        </w:rPr>
        <w:t>一平，公共配套</w:t>
      </w:r>
      <w:r>
        <w:rPr>
          <w:rFonts w:hint="eastAsia" w:ascii="仿宋_GB2312" w:hAnsi="仿宋" w:eastAsia="仿宋_GB2312"/>
          <w:sz w:val="28"/>
          <w:szCs w:val="28"/>
          <w:lang w:eastAsia="zh-CN"/>
        </w:rPr>
        <w:t>一般</w:t>
      </w:r>
      <w:r>
        <w:rPr>
          <w:rFonts w:hint="eastAsia" w:ascii="仿宋_GB2312" w:hAnsi="仿宋" w:eastAsia="仿宋_GB2312"/>
          <w:sz w:val="28"/>
          <w:szCs w:val="28"/>
        </w:rPr>
        <w:t>，对价值影响较小。</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3、估价对象区位状况分析：</w:t>
      </w:r>
    </w:p>
    <w:p>
      <w:pPr>
        <w:autoSpaceDE w:val="0"/>
        <w:autoSpaceDN w:val="0"/>
        <w:adjustRightInd w:val="0"/>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估价对象位于内蒙古自治区</w:t>
      </w:r>
      <w:r>
        <w:rPr>
          <w:rFonts w:hint="eastAsia" w:ascii="仿宋_GB2312" w:hAnsi="仿宋" w:eastAsia="仿宋_GB2312"/>
          <w:sz w:val="28"/>
          <w:szCs w:val="28"/>
          <w:lang w:eastAsia="zh-CN"/>
        </w:rPr>
        <w:t>乌拉特后旗巴音镇九居委五小区百亿佳苑4#-4-201</w:t>
      </w:r>
      <w:r>
        <w:rPr>
          <w:rFonts w:hint="eastAsia" w:ascii="仿宋_GB2312" w:hAnsi="仿宋" w:eastAsia="仿宋_GB2312"/>
          <w:sz w:val="28"/>
          <w:szCs w:val="28"/>
        </w:rPr>
        <w:t>，周边配有乌拉特后旗第一中学，乌拉特后旗医院、乌拉特后旗博物馆等公共配套设施。人文环境、自然环境</w:t>
      </w:r>
      <w:r>
        <w:rPr>
          <w:rFonts w:hint="eastAsia" w:ascii="仿宋_GB2312" w:hAnsi="仿宋" w:eastAsia="仿宋_GB2312"/>
          <w:sz w:val="28"/>
          <w:szCs w:val="28"/>
          <w:lang w:eastAsia="zh-CN"/>
        </w:rPr>
        <w:t>一般</w:t>
      </w:r>
      <w:r>
        <w:rPr>
          <w:rFonts w:hint="eastAsia" w:ascii="仿宋_GB2312" w:hAnsi="仿宋" w:eastAsia="仿宋_GB2312"/>
          <w:sz w:val="28"/>
          <w:szCs w:val="28"/>
        </w:rPr>
        <w:t>。</w:t>
      </w:r>
    </w:p>
    <w:p>
      <w:pPr>
        <w:pStyle w:val="3"/>
        <w:ind w:firstLine="562"/>
        <w:rPr>
          <w:rFonts w:ascii="Times New Roman" w:hAnsi="Times New Roman"/>
        </w:rPr>
      </w:pPr>
      <w:r>
        <w:rPr>
          <w:rFonts w:ascii="Times New Roman" w:hAnsi="Times New Roman"/>
        </w:rPr>
        <w:t>（四）市场背景描述与分析</w:t>
      </w:r>
      <w:bookmarkEnd w:id="203"/>
    </w:p>
    <w:p>
      <w:pPr>
        <w:autoSpaceDE w:val="0"/>
        <w:autoSpaceDN w:val="0"/>
        <w:adjustRightInd w:val="0"/>
        <w:spacing w:line="540" w:lineRule="exact"/>
        <w:ind w:firstLine="560" w:firstLineChars="200"/>
        <w:rPr>
          <w:rFonts w:ascii="仿宋_GB2312" w:hAnsi="仿宋" w:eastAsia="仿宋_GB2312"/>
          <w:sz w:val="28"/>
          <w:szCs w:val="28"/>
        </w:rPr>
      </w:pPr>
      <w:bookmarkStart w:id="204" w:name="_Toc512274813"/>
      <w:bookmarkStart w:id="205" w:name="_Toc521268520"/>
      <w:bookmarkStart w:id="206" w:name="_Toc402442498"/>
      <w:bookmarkStart w:id="207" w:name="_Toc287016915"/>
      <w:bookmarkStart w:id="208" w:name="_Toc299006859"/>
      <w:bookmarkStart w:id="209" w:name="_Toc299005661"/>
      <w:bookmarkStart w:id="210" w:name="_Toc299007146"/>
      <w:bookmarkStart w:id="211" w:name="_Toc301369590"/>
      <w:bookmarkStart w:id="212" w:name="_Toc301369736"/>
      <w:bookmarkStart w:id="213" w:name="_Toc299004840"/>
      <w:bookmarkStart w:id="214" w:name="_Toc367869518"/>
      <w:r>
        <w:rPr>
          <w:rFonts w:hint="eastAsia" w:ascii="仿宋_GB2312" w:hAnsi="仿宋" w:eastAsia="仿宋_GB2312"/>
          <w:sz w:val="28"/>
          <w:szCs w:val="28"/>
        </w:rPr>
        <w:t>1、</w:t>
      </w:r>
      <w:r>
        <w:rPr>
          <w:rFonts w:hint="eastAsia" w:ascii="仿宋_GB2312" w:hAnsi="仿宋" w:eastAsia="仿宋_GB2312"/>
          <w:sz w:val="28"/>
          <w:szCs w:val="28"/>
          <w:lang w:eastAsia="zh-CN"/>
        </w:rPr>
        <w:t>乌拉特后旗巴音宝力格镇</w:t>
      </w:r>
      <w:r>
        <w:rPr>
          <w:rFonts w:hint="eastAsia" w:ascii="仿宋_GB2312" w:hAnsi="仿宋" w:eastAsia="仿宋_GB2312"/>
          <w:sz w:val="28"/>
          <w:szCs w:val="28"/>
        </w:rPr>
        <w:t>房地产市场价格对土地市场的影响</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通过以下两个方面的数据对</w:t>
      </w:r>
      <w:r>
        <w:rPr>
          <w:rFonts w:hint="eastAsia" w:ascii="仿宋_GB2312" w:hAnsi="仿宋" w:eastAsia="仿宋_GB2312"/>
          <w:sz w:val="28"/>
          <w:szCs w:val="28"/>
          <w:lang w:eastAsia="zh-CN"/>
        </w:rPr>
        <w:t>乌拉特后旗巴音宝力格镇</w:t>
      </w:r>
      <w:r>
        <w:rPr>
          <w:rFonts w:hint="eastAsia" w:ascii="仿宋_GB2312" w:hAnsi="仿宋" w:eastAsia="仿宋_GB2312"/>
          <w:sz w:val="28"/>
          <w:szCs w:val="28"/>
        </w:rPr>
        <w:t>房地产市场状况进行分析。</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（1）</w:t>
      </w:r>
      <w:r>
        <w:rPr>
          <w:rFonts w:hint="eastAsia" w:ascii="仿宋_GB2312" w:hAnsi="仿宋" w:eastAsia="仿宋_GB2312"/>
          <w:sz w:val="28"/>
          <w:szCs w:val="28"/>
          <w:lang w:eastAsia="zh-CN"/>
        </w:rPr>
        <w:t>乌拉特后旗巴音宝力格镇</w:t>
      </w:r>
      <w:r>
        <w:rPr>
          <w:rFonts w:hint="eastAsia" w:ascii="仿宋_GB2312" w:hAnsi="仿宋" w:eastAsia="仿宋_GB2312"/>
          <w:sz w:val="28"/>
          <w:szCs w:val="28"/>
        </w:rPr>
        <w:t>楼盘售价</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估价师对</w:t>
      </w:r>
      <w:r>
        <w:rPr>
          <w:rFonts w:hint="eastAsia" w:ascii="仿宋_GB2312" w:hAnsi="仿宋" w:eastAsia="仿宋_GB2312"/>
          <w:sz w:val="28"/>
          <w:szCs w:val="28"/>
          <w:lang w:eastAsia="zh-CN"/>
        </w:rPr>
        <w:t>乌拉特后旗巴音宝力格镇</w:t>
      </w:r>
      <w:r>
        <w:rPr>
          <w:rFonts w:hint="eastAsia" w:ascii="仿宋_GB2312" w:hAnsi="仿宋" w:eastAsia="仿宋_GB2312"/>
          <w:sz w:val="28"/>
          <w:szCs w:val="28"/>
        </w:rPr>
        <w:t>2017-2018年的楼盘售价进行了调查，并做相应比较，见下表：</w:t>
      </w:r>
    </w:p>
    <w:tbl>
      <w:tblPr>
        <w:tblStyle w:val="47"/>
        <w:tblW w:w="9079" w:type="dxa"/>
        <w:tblInd w:w="96" w:type="dxa"/>
        <w:tblLayout w:type="fixed"/>
        <w:tblCellMar>
          <w:top w:w="0" w:type="dxa"/>
          <w:left w:w="108" w:type="dxa"/>
          <w:bottom w:w="0" w:type="dxa"/>
          <w:right w:w="108" w:type="dxa"/>
        </w:tblCellMar>
      </w:tblPr>
      <w:tblGrid>
        <w:gridCol w:w="675"/>
        <w:gridCol w:w="1133"/>
        <w:gridCol w:w="1273"/>
        <w:gridCol w:w="1318"/>
        <w:gridCol w:w="1433"/>
        <w:gridCol w:w="1494"/>
        <w:gridCol w:w="964"/>
        <w:gridCol w:w="458"/>
        <w:gridCol w:w="331"/>
      </w:tblGrid>
      <w:tr>
        <w:tblPrEx>
          <w:tblLayout w:type="fixed"/>
          <w:tblCellMar>
            <w:top w:w="0" w:type="dxa"/>
            <w:left w:w="108" w:type="dxa"/>
            <w:bottom w:w="0" w:type="dxa"/>
            <w:right w:w="108" w:type="dxa"/>
          </w:tblCellMar>
        </w:tblPrEx>
        <w:trPr>
          <w:gridAfter w:val="1"/>
          <w:wAfter w:w="331" w:type="dxa"/>
          <w:trHeight w:val="604" w:hRule="atLeast"/>
        </w:trPr>
        <w:tc>
          <w:tcPr>
            <w:tcW w:w="8748" w:type="dxa"/>
            <w:gridSpan w:val="8"/>
            <w:tcBorders>
              <w:top w:val="nil"/>
              <w:left w:val="nil"/>
              <w:bottom w:val="nil"/>
              <w:right w:val="nil"/>
            </w:tcBorders>
            <w:vAlign w:val="center"/>
          </w:tcPr>
          <w:p>
            <w:pPr>
              <w:widowControl/>
              <w:spacing w:line="540" w:lineRule="exact"/>
              <w:jc w:val="center"/>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2017-2018年楼盘均价调查表</w:t>
            </w:r>
          </w:p>
        </w:tc>
      </w:tr>
      <w:tr>
        <w:tblPrEx>
          <w:tblLayout w:type="fixed"/>
          <w:tblCellMar>
            <w:top w:w="0" w:type="dxa"/>
            <w:left w:w="108" w:type="dxa"/>
            <w:bottom w:w="0" w:type="dxa"/>
            <w:right w:w="108" w:type="dxa"/>
          </w:tblCellMar>
        </w:tblPrEx>
        <w:trPr>
          <w:gridAfter w:val="2"/>
          <w:wAfter w:w="789" w:type="dxa"/>
          <w:trHeight w:val="215" w:hRule="atLeast"/>
        </w:trPr>
        <w:tc>
          <w:tcPr>
            <w:tcW w:w="675" w:type="dxa"/>
            <w:vMerge w:val="restart"/>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序号</w:t>
            </w:r>
          </w:p>
        </w:tc>
        <w:tc>
          <w:tcPr>
            <w:tcW w:w="1133" w:type="dxa"/>
            <w:vMerge w:val="restart"/>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楼盘名称</w:t>
            </w:r>
          </w:p>
        </w:tc>
        <w:tc>
          <w:tcPr>
            <w:tcW w:w="1273" w:type="dxa"/>
            <w:vMerge w:val="restart"/>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楼盘位置</w:t>
            </w:r>
          </w:p>
        </w:tc>
        <w:tc>
          <w:tcPr>
            <w:tcW w:w="131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建筑结构</w:t>
            </w:r>
          </w:p>
        </w:tc>
        <w:tc>
          <w:tcPr>
            <w:tcW w:w="2927" w:type="dxa"/>
            <w:gridSpan w:val="2"/>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楼盘均价（元/平方米）</w:t>
            </w:r>
          </w:p>
        </w:tc>
        <w:tc>
          <w:tcPr>
            <w:tcW w:w="964" w:type="dxa"/>
            <w:vMerge w:val="restart"/>
            <w:tcBorders>
              <w:top w:val="single" w:color="auto" w:sz="8" w:space="0"/>
              <w:left w:val="single" w:color="auto" w:sz="4" w:space="0"/>
              <w:bottom w:val="single" w:color="auto" w:sz="4" w:space="0"/>
              <w:right w:val="single" w:color="auto" w:sz="8"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备注</w:t>
            </w:r>
          </w:p>
        </w:tc>
      </w:tr>
      <w:tr>
        <w:tblPrEx>
          <w:tblLayout w:type="fixed"/>
          <w:tblCellMar>
            <w:top w:w="0" w:type="dxa"/>
            <w:left w:w="108" w:type="dxa"/>
            <w:bottom w:w="0" w:type="dxa"/>
            <w:right w:w="108" w:type="dxa"/>
          </w:tblCellMar>
        </w:tblPrEx>
        <w:trPr>
          <w:gridAfter w:val="2"/>
          <w:wAfter w:w="789" w:type="dxa"/>
          <w:trHeight w:val="448" w:hRule="atLeast"/>
        </w:trPr>
        <w:tc>
          <w:tcPr>
            <w:tcW w:w="675" w:type="dxa"/>
            <w:vMerge w:val="continue"/>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13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27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433"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2017年</w:t>
            </w:r>
          </w:p>
        </w:tc>
        <w:tc>
          <w:tcPr>
            <w:tcW w:w="1494"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2018年</w:t>
            </w:r>
          </w:p>
        </w:tc>
        <w:tc>
          <w:tcPr>
            <w:tcW w:w="964" w:type="dxa"/>
            <w:vMerge w:val="continue"/>
            <w:tcBorders>
              <w:top w:val="single" w:color="auto" w:sz="8" w:space="0"/>
              <w:left w:val="single" w:color="auto" w:sz="4" w:space="0"/>
              <w:bottom w:val="single" w:color="auto" w:sz="4" w:space="0"/>
              <w:right w:val="single" w:color="auto" w:sz="8" w:space="0"/>
            </w:tcBorders>
            <w:vAlign w:val="center"/>
          </w:tcPr>
          <w:p>
            <w:pPr>
              <w:widowControl/>
              <w:jc w:val="center"/>
              <w:rPr>
                <w:rFonts w:ascii="仿宋_GB2312" w:hAnsi="仿宋" w:eastAsia="仿宋_GB2312" w:cs="宋体"/>
                <w:b/>
                <w:bCs/>
                <w:kern w:val="0"/>
                <w:szCs w:val="21"/>
              </w:rPr>
            </w:pPr>
          </w:p>
        </w:tc>
      </w:tr>
      <w:tr>
        <w:tblPrEx>
          <w:tblLayout w:type="fixed"/>
          <w:tblCellMar>
            <w:top w:w="0" w:type="dxa"/>
            <w:left w:w="108" w:type="dxa"/>
            <w:bottom w:w="0" w:type="dxa"/>
            <w:right w:w="108" w:type="dxa"/>
          </w:tblCellMar>
        </w:tblPrEx>
        <w:trPr>
          <w:gridAfter w:val="2"/>
          <w:wAfter w:w="789" w:type="dxa"/>
          <w:trHeight w:val="916" w:hRule="atLeast"/>
        </w:trPr>
        <w:tc>
          <w:tcPr>
            <w:tcW w:w="675" w:type="dxa"/>
            <w:vMerge w:val="continue"/>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13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27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43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住宅</w:t>
            </w:r>
          </w:p>
        </w:tc>
        <w:tc>
          <w:tcPr>
            <w:tcW w:w="149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住宅</w:t>
            </w:r>
          </w:p>
        </w:tc>
        <w:tc>
          <w:tcPr>
            <w:tcW w:w="964" w:type="dxa"/>
            <w:vMerge w:val="continue"/>
            <w:tcBorders>
              <w:top w:val="single" w:color="auto" w:sz="8" w:space="0"/>
              <w:left w:val="single" w:color="auto" w:sz="4" w:space="0"/>
              <w:bottom w:val="single" w:color="auto" w:sz="4" w:space="0"/>
              <w:right w:val="single" w:color="auto" w:sz="8" w:space="0"/>
            </w:tcBorders>
            <w:vAlign w:val="center"/>
          </w:tcPr>
          <w:p>
            <w:pPr>
              <w:widowControl/>
              <w:jc w:val="center"/>
              <w:rPr>
                <w:rFonts w:ascii="仿宋_GB2312" w:hAnsi="仿宋" w:eastAsia="仿宋_GB2312" w:cs="宋体"/>
                <w:b/>
                <w:bCs/>
                <w:kern w:val="0"/>
                <w:szCs w:val="21"/>
              </w:rPr>
            </w:pPr>
          </w:p>
        </w:tc>
      </w:tr>
      <w:tr>
        <w:tblPrEx>
          <w:tblLayout w:type="fixed"/>
          <w:tblCellMar>
            <w:top w:w="0" w:type="dxa"/>
            <w:left w:w="108" w:type="dxa"/>
            <w:bottom w:w="0" w:type="dxa"/>
            <w:right w:w="108" w:type="dxa"/>
          </w:tblCellMar>
        </w:tblPrEx>
        <w:trPr>
          <w:gridAfter w:val="2"/>
          <w:wAfter w:w="789" w:type="dxa"/>
          <w:trHeight w:val="574"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1</w:t>
            </w:r>
          </w:p>
        </w:tc>
        <w:tc>
          <w:tcPr>
            <w:tcW w:w="1133"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裕民小区</w:t>
            </w:r>
          </w:p>
        </w:tc>
        <w:tc>
          <w:tcPr>
            <w:tcW w:w="1273"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那仁宝力格</w:t>
            </w:r>
            <w:r>
              <w:rPr>
                <w:rFonts w:hint="eastAsia" w:ascii="仿宋_GB2312" w:hAnsi="仿宋" w:eastAsia="仿宋_GB2312" w:cs="宋体"/>
                <w:kern w:val="0"/>
                <w:szCs w:val="21"/>
              </w:rPr>
              <w:t>街以</w:t>
            </w:r>
            <w:r>
              <w:rPr>
                <w:rFonts w:hint="eastAsia" w:ascii="仿宋_GB2312" w:hAnsi="仿宋" w:eastAsia="仿宋_GB2312" w:cs="宋体"/>
                <w:kern w:val="0"/>
                <w:szCs w:val="21"/>
                <w:lang w:eastAsia="zh-CN"/>
              </w:rPr>
              <w:t>南</w:t>
            </w:r>
          </w:p>
        </w:tc>
        <w:tc>
          <w:tcPr>
            <w:tcW w:w="1318"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混合</w:t>
            </w:r>
          </w:p>
        </w:tc>
        <w:tc>
          <w:tcPr>
            <w:tcW w:w="1433"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1958</w:t>
            </w:r>
          </w:p>
        </w:tc>
        <w:tc>
          <w:tcPr>
            <w:tcW w:w="149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2080</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2</w:t>
            </w:r>
          </w:p>
        </w:tc>
        <w:tc>
          <w:tcPr>
            <w:tcW w:w="1133"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盘龙园小区</w:t>
            </w:r>
          </w:p>
        </w:tc>
        <w:tc>
          <w:tcPr>
            <w:tcW w:w="1273"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那仁宝力格街以北</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rPr>
              <w:t>混合</w:t>
            </w:r>
          </w:p>
        </w:tc>
        <w:tc>
          <w:tcPr>
            <w:tcW w:w="1433"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1850</w:t>
            </w:r>
          </w:p>
        </w:tc>
        <w:tc>
          <w:tcPr>
            <w:tcW w:w="1494"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1900</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3</w:t>
            </w:r>
          </w:p>
        </w:tc>
        <w:tc>
          <w:tcPr>
            <w:tcW w:w="1133"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盛安花园</w:t>
            </w:r>
          </w:p>
        </w:tc>
        <w:tc>
          <w:tcPr>
            <w:tcW w:w="127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lang w:eastAsia="zh-CN"/>
              </w:rPr>
              <w:t>潮格温都尔路</w:t>
            </w:r>
            <w:r>
              <w:rPr>
                <w:rFonts w:hint="eastAsia" w:ascii="仿宋_GB2312" w:hAnsi="仿宋" w:eastAsia="仿宋_GB2312" w:cs="宋体"/>
                <w:kern w:val="0"/>
                <w:szCs w:val="21"/>
              </w:rPr>
              <w:t>以东</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rPr>
              <w:t>混合</w:t>
            </w:r>
          </w:p>
        </w:tc>
        <w:tc>
          <w:tcPr>
            <w:tcW w:w="1433"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1880</w:t>
            </w:r>
          </w:p>
        </w:tc>
        <w:tc>
          <w:tcPr>
            <w:tcW w:w="1494"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1980</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4</w:t>
            </w:r>
          </w:p>
        </w:tc>
        <w:tc>
          <w:tcPr>
            <w:tcW w:w="1133"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汇景华府</w:t>
            </w:r>
          </w:p>
        </w:tc>
        <w:tc>
          <w:tcPr>
            <w:tcW w:w="1273"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潮格温都尔路</w:t>
            </w:r>
            <w:r>
              <w:rPr>
                <w:rFonts w:hint="eastAsia" w:ascii="仿宋_GB2312" w:hAnsi="仿宋" w:eastAsia="仿宋_GB2312" w:cs="宋体"/>
                <w:kern w:val="0"/>
                <w:szCs w:val="21"/>
              </w:rPr>
              <w:t>以</w:t>
            </w:r>
            <w:r>
              <w:rPr>
                <w:rFonts w:hint="eastAsia" w:ascii="仿宋_GB2312" w:hAnsi="仿宋" w:eastAsia="仿宋_GB2312" w:cs="宋体"/>
                <w:kern w:val="0"/>
                <w:szCs w:val="21"/>
                <w:lang w:eastAsia="zh-CN"/>
              </w:rPr>
              <w:t>西</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rPr>
              <w:t>混合</w:t>
            </w:r>
          </w:p>
        </w:tc>
        <w:tc>
          <w:tcPr>
            <w:tcW w:w="1433"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2005</w:t>
            </w:r>
          </w:p>
        </w:tc>
        <w:tc>
          <w:tcPr>
            <w:tcW w:w="1494"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2101</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5</w:t>
            </w:r>
          </w:p>
        </w:tc>
        <w:tc>
          <w:tcPr>
            <w:tcW w:w="1133"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欣苑小区</w:t>
            </w:r>
          </w:p>
        </w:tc>
        <w:tc>
          <w:tcPr>
            <w:tcW w:w="1273"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赛乌素路以东</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rPr>
              <w:t>混合</w:t>
            </w:r>
          </w:p>
        </w:tc>
        <w:tc>
          <w:tcPr>
            <w:tcW w:w="1433"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1750</w:t>
            </w:r>
          </w:p>
        </w:tc>
        <w:tc>
          <w:tcPr>
            <w:tcW w:w="1494"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1802</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6</w:t>
            </w:r>
          </w:p>
        </w:tc>
        <w:tc>
          <w:tcPr>
            <w:tcW w:w="1133"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eastAsia="zh-CN"/>
              </w:rPr>
            </w:pPr>
            <w:r>
              <w:rPr>
                <w:rFonts w:hint="eastAsia" w:ascii="仿宋_GB2312" w:hAnsi="仿宋" w:eastAsia="仿宋_GB2312" w:cs="宋体"/>
                <w:kern w:val="0"/>
                <w:szCs w:val="21"/>
                <w:lang w:eastAsia="zh-CN"/>
              </w:rPr>
              <w:t>宝源雅居</w:t>
            </w:r>
          </w:p>
        </w:tc>
        <w:tc>
          <w:tcPr>
            <w:tcW w:w="127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lang w:eastAsia="zh-CN"/>
              </w:rPr>
              <w:t>那仁宝力格</w:t>
            </w:r>
            <w:r>
              <w:rPr>
                <w:rFonts w:hint="eastAsia" w:ascii="仿宋_GB2312" w:hAnsi="仿宋" w:eastAsia="仿宋_GB2312" w:cs="宋体"/>
                <w:kern w:val="0"/>
                <w:szCs w:val="21"/>
              </w:rPr>
              <w:t>街以南</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rPr>
              <w:t>混合</w:t>
            </w:r>
          </w:p>
        </w:tc>
        <w:tc>
          <w:tcPr>
            <w:tcW w:w="1433"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2048</w:t>
            </w:r>
          </w:p>
        </w:tc>
        <w:tc>
          <w:tcPr>
            <w:tcW w:w="1494"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kern w:val="0"/>
                <w:szCs w:val="21"/>
                <w:lang w:val="en-US" w:eastAsia="zh-CN"/>
              </w:rPr>
            </w:pPr>
            <w:r>
              <w:rPr>
                <w:rFonts w:hint="eastAsia" w:ascii="仿宋_GB2312" w:hAnsi="仿宋" w:eastAsia="仿宋_GB2312" w:cs="宋体"/>
                <w:kern w:val="0"/>
                <w:szCs w:val="21"/>
                <w:lang w:val="en-US" w:eastAsia="zh-CN"/>
              </w:rPr>
              <w:t>2040</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35" w:hRule="atLeast"/>
        </w:trPr>
        <w:tc>
          <w:tcPr>
            <w:tcW w:w="675" w:type="dxa"/>
            <w:tcBorders>
              <w:top w:val="nil"/>
              <w:left w:val="single" w:color="auto" w:sz="8" w:space="0"/>
              <w:bottom w:val="single" w:color="auto" w:sz="8"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均价</w:t>
            </w:r>
          </w:p>
        </w:tc>
        <w:tc>
          <w:tcPr>
            <w:tcW w:w="1133" w:type="dxa"/>
            <w:tcBorders>
              <w:top w:val="nil"/>
              <w:left w:val="nil"/>
              <w:bottom w:val="single" w:color="auto" w:sz="8" w:space="0"/>
              <w:right w:val="single" w:color="auto" w:sz="4" w:space="0"/>
            </w:tcBorders>
            <w:vAlign w:val="center"/>
          </w:tcPr>
          <w:p>
            <w:pPr>
              <w:widowControl/>
              <w:jc w:val="center"/>
              <w:rPr>
                <w:rFonts w:ascii="仿宋_GB2312" w:hAnsi="仿宋" w:eastAsia="仿宋_GB2312" w:cs="宋体"/>
                <w:b/>
                <w:bCs/>
                <w:kern w:val="0"/>
                <w:szCs w:val="21"/>
              </w:rPr>
            </w:pPr>
          </w:p>
        </w:tc>
        <w:tc>
          <w:tcPr>
            <w:tcW w:w="1273" w:type="dxa"/>
            <w:tcBorders>
              <w:top w:val="nil"/>
              <w:left w:val="nil"/>
              <w:bottom w:val="single" w:color="auto" w:sz="8" w:space="0"/>
              <w:right w:val="single" w:color="auto" w:sz="4" w:space="0"/>
            </w:tcBorders>
            <w:vAlign w:val="center"/>
          </w:tcPr>
          <w:p>
            <w:pPr>
              <w:widowControl/>
              <w:jc w:val="center"/>
              <w:rPr>
                <w:rFonts w:ascii="仿宋_GB2312" w:hAnsi="仿宋" w:eastAsia="仿宋_GB2312" w:cs="宋体"/>
                <w:kern w:val="0"/>
                <w:szCs w:val="21"/>
              </w:rPr>
            </w:pPr>
          </w:p>
        </w:tc>
        <w:tc>
          <w:tcPr>
            <w:tcW w:w="1318" w:type="dxa"/>
            <w:tcBorders>
              <w:top w:val="nil"/>
              <w:left w:val="nil"/>
              <w:bottom w:val="single" w:color="auto" w:sz="8" w:space="0"/>
              <w:right w:val="single" w:color="auto" w:sz="4" w:space="0"/>
            </w:tcBorders>
            <w:vAlign w:val="center"/>
          </w:tcPr>
          <w:p>
            <w:pPr>
              <w:widowControl/>
              <w:jc w:val="center"/>
              <w:rPr>
                <w:rFonts w:ascii="仿宋_GB2312" w:hAnsi="仿宋" w:eastAsia="仿宋_GB2312" w:cs="宋体"/>
                <w:kern w:val="0"/>
                <w:szCs w:val="21"/>
              </w:rPr>
            </w:pPr>
          </w:p>
        </w:tc>
        <w:tc>
          <w:tcPr>
            <w:tcW w:w="1433" w:type="dxa"/>
            <w:tcBorders>
              <w:top w:val="nil"/>
              <w:left w:val="nil"/>
              <w:bottom w:val="single" w:color="auto" w:sz="8" w:space="0"/>
              <w:right w:val="single" w:color="auto" w:sz="4" w:space="0"/>
            </w:tcBorders>
            <w:vAlign w:val="center"/>
          </w:tcPr>
          <w:p>
            <w:pPr>
              <w:widowControl/>
              <w:jc w:val="center"/>
              <w:rPr>
                <w:rFonts w:hint="eastAsia" w:ascii="仿宋_GB2312" w:hAnsi="仿宋" w:eastAsia="仿宋_GB2312" w:cs="宋体"/>
                <w:b/>
                <w:bCs/>
                <w:kern w:val="0"/>
                <w:szCs w:val="21"/>
                <w:lang w:val="en-US" w:eastAsia="zh-CN"/>
              </w:rPr>
            </w:pPr>
            <w:r>
              <w:rPr>
                <w:rFonts w:hint="eastAsia" w:ascii="仿宋_GB2312" w:hAnsi="仿宋" w:eastAsia="仿宋_GB2312" w:cs="宋体"/>
                <w:b/>
                <w:bCs/>
                <w:kern w:val="0"/>
                <w:szCs w:val="21"/>
                <w:lang w:val="en-US" w:eastAsia="zh-CN"/>
              </w:rPr>
              <w:t>1915</w:t>
            </w:r>
          </w:p>
        </w:tc>
        <w:tc>
          <w:tcPr>
            <w:tcW w:w="1494" w:type="dxa"/>
            <w:tcBorders>
              <w:top w:val="nil"/>
              <w:left w:val="nil"/>
              <w:bottom w:val="single" w:color="auto" w:sz="8" w:space="0"/>
              <w:right w:val="single" w:color="auto" w:sz="4" w:space="0"/>
            </w:tcBorders>
            <w:vAlign w:val="center"/>
          </w:tcPr>
          <w:p>
            <w:pPr>
              <w:widowControl/>
              <w:jc w:val="center"/>
              <w:rPr>
                <w:rFonts w:hint="eastAsia" w:ascii="仿宋_GB2312" w:hAnsi="仿宋" w:eastAsia="仿宋_GB2312" w:cs="宋体"/>
                <w:b/>
                <w:bCs/>
                <w:kern w:val="0"/>
                <w:szCs w:val="21"/>
                <w:lang w:val="en-US" w:eastAsia="zh-CN"/>
              </w:rPr>
            </w:pPr>
            <w:r>
              <w:rPr>
                <w:rFonts w:hint="eastAsia" w:ascii="仿宋_GB2312" w:hAnsi="仿宋" w:eastAsia="仿宋_GB2312" w:cs="宋体"/>
                <w:b/>
                <w:bCs/>
                <w:kern w:val="0"/>
                <w:szCs w:val="21"/>
                <w:lang w:val="en-US" w:eastAsia="zh-CN"/>
              </w:rPr>
              <w:t>1984</w:t>
            </w:r>
          </w:p>
        </w:tc>
        <w:tc>
          <w:tcPr>
            <w:tcW w:w="964" w:type="dxa"/>
            <w:tcBorders>
              <w:top w:val="nil"/>
              <w:left w:val="nil"/>
              <w:bottom w:val="single" w:color="auto" w:sz="8" w:space="0"/>
              <w:right w:val="single" w:color="auto" w:sz="8" w:space="0"/>
            </w:tcBorders>
            <w:vAlign w:val="center"/>
          </w:tcPr>
          <w:p>
            <w:pPr>
              <w:widowControl/>
              <w:jc w:val="center"/>
              <w:rPr>
                <w:rFonts w:ascii="仿宋_GB2312" w:hAnsi="仿宋" w:eastAsia="仿宋_GB2312" w:cs="宋体"/>
                <w:kern w:val="0"/>
                <w:szCs w:val="21"/>
              </w:rPr>
            </w:pPr>
          </w:p>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trHeight w:val="803" w:hRule="atLeast"/>
        </w:trPr>
        <w:tc>
          <w:tcPr>
            <w:tcW w:w="9079" w:type="dxa"/>
            <w:gridSpan w:val="9"/>
            <w:tcBorders>
              <w:top w:val="nil"/>
              <w:left w:val="nil"/>
              <w:bottom w:val="nil"/>
              <w:right w:val="nil"/>
            </w:tcBorders>
            <w:vAlign w:val="center"/>
          </w:tcPr>
          <w:p>
            <w:pPr>
              <w:widowControl/>
              <w:spacing w:line="540" w:lineRule="exact"/>
              <w:jc w:val="center"/>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2017-2018年楼盘售价比较表</w:t>
            </w:r>
          </w:p>
          <w:tbl>
            <w:tblPr>
              <w:tblStyle w:val="47"/>
              <w:tblW w:w="8652" w:type="dxa"/>
              <w:tblInd w:w="0" w:type="dxa"/>
              <w:tblLayout w:type="fixed"/>
              <w:tblCellMar>
                <w:top w:w="0" w:type="dxa"/>
                <w:left w:w="108" w:type="dxa"/>
                <w:bottom w:w="0" w:type="dxa"/>
                <w:right w:w="108" w:type="dxa"/>
              </w:tblCellMar>
            </w:tblPr>
            <w:tblGrid>
              <w:gridCol w:w="1610"/>
              <w:gridCol w:w="1606"/>
              <w:gridCol w:w="1602"/>
              <w:gridCol w:w="1604"/>
              <w:gridCol w:w="2230"/>
            </w:tblGrid>
            <w:tr>
              <w:tblPrEx>
                <w:tblLayout w:type="fixed"/>
                <w:tblCellMar>
                  <w:top w:w="0" w:type="dxa"/>
                  <w:left w:w="108" w:type="dxa"/>
                  <w:bottom w:w="0" w:type="dxa"/>
                  <w:right w:w="108" w:type="dxa"/>
                </w:tblCellMar>
              </w:tblPrEx>
              <w:trPr>
                <w:trHeight w:val="597" w:hRule="atLeast"/>
              </w:trPr>
              <w:tc>
                <w:tcPr>
                  <w:tcW w:w="1610" w:type="dxa"/>
                  <w:vMerge w:val="restart"/>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序号</w:t>
                  </w:r>
                </w:p>
              </w:tc>
              <w:tc>
                <w:tcPr>
                  <w:tcW w:w="1606" w:type="dxa"/>
                  <w:vMerge w:val="restart"/>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用途</w:t>
                  </w:r>
                </w:p>
              </w:tc>
              <w:tc>
                <w:tcPr>
                  <w:tcW w:w="3206" w:type="dxa"/>
                  <w:gridSpan w:val="2"/>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楼盘均价（元/平方米）</w:t>
                  </w:r>
                </w:p>
              </w:tc>
              <w:tc>
                <w:tcPr>
                  <w:tcW w:w="223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kern w:val="0"/>
                      <w:szCs w:val="21"/>
                    </w:rPr>
                  </w:pPr>
                  <w:r>
                    <w:rPr>
                      <w:rFonts w:hint="eastAsia" w:ascii="仿宋_GB2312" w:hAnsi="仿宋" w:eastAsia="仿宋_GB2312" w:cs="宋体"/>
                      <w:b/>
                      <w:bCs/>
                      <w:kern w:val="0"/>
                      <w:szCs w:val="21"/>
                    </w:rPr>
                    <w:t>备注</w:t>
                  </w:r>
                </w:p>
              </w:tc>
            </w:tr>
            <w:tr>
              <w:tblPrEx>
                <w:tblLayout w:type="fixed"/>
                <w:tblCellMar>
                  <w:top w:w="0" w:type="dxa"/>
                  <w:left w:w="108" w:type="dxa"/>
                  <w:bottom w:w="0" w:type="dxa"/>
                  <w:right w:w="108" w:type="dxa"/>
                </w:tblCellMar>
              </w:tblPrEx>
              <w:trPr>
                <w:trHeight w:val="597" w:hRule="atLeast"/>
              </w:trPr>
              <w:tc>
                <w:tcPr>
                  <w:tcW w:w="1610"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仿宋_GB2312" w:hAnsi="仿宋" w:eastAsia="仿宋_GB2312" w:cs="宋体"/>
                      <w:b/>
                      <w:bCs/>
                      <w:kern w:val="0"/>
                      <w:szCs w:val="21"/>
                    </w:rPr>
                  </w:pPr>
                </w:p>
              </w:tc>
              <w:tc>
                <w:tcPr>
                  <w:tcW w:w="1606"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Cs w:val="21"/>
                    </w:rPr>
                  </w:pPr>
                </w:p>
              </w:tc>
              <w:tc>
                <w:tcPr>
                  <w:tcW w:w="1602"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2017年</w:t>
                  </w:r>
                </w:p>
              </w:tc>
              <w:tc>
                <w:tcPr>
                  <w:tcW w:w="1604"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2018年</w:t>
                  </w:r>
                </w:p>
              </w:tc>
              <w:tc>
                <w:tcPr>
                  <w:tcW w:w="2230" w:type="dxa"/>
                  <w:vMerge w:val="continue"/>
                  <w:tcBorders>
                    <w:top w:val="single" w:color="auto" w:sz="4" w:space="0"/>
                    <w:bottom w:val="single" w:color="auto" w:sz="4" w:space="0"/>
                    <w:right w:val="single" w:color="auto" w:sz="4" w:space="0"/>
                  </w:tcBorders>
                </w:tcPr>
                <w:p>
                  <w:pPr>
                    <w:widowControl/>
                    <w:jc w:val="left"/>
                    <w:rPr>
                      <w:rFonts w:ascii="仿宋_GB2312" w:hAnsi="仿宋" w:eastAsia="仿宋_GB2312"/>
                      <w:kern w:val="0"/>
                      <w:szCs w:val="21"/>
                    </w:rPr>
                  </w:pPr>
                </w:p>
              </w:tc>
            </w:tr>
            <w:tr>
              <w:tblPrEx>
                <w:tblLayout w:type="fixed"/>
                <w:tblCellMar>
                  <w:top w:w="0" w:type="dxa"/>
                  <w:left w:w="108" w:type="dxa"/>
                  <w:bottom w:w="0" w:type="dxa"/>
                  <w:right w:w="108" w:type="dxa"/>
                </w:tblCellMar>
              </w:tblPrEx>
              <w:trPr>
                <w:trHeight w:val="773" w:hRule="atLeast"/>
              </w:trPr>
              <w:tc>
                <w:tcPr>
                  <w:tcW w:w="1610"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1</w:t>
                  </w:r>
                </w:p>
              </w:tc>
              <w:tc>
                <w:tcPr>
                  <w:tcW w:w="1606"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住宅</w:t>
                  </w:r>
                </w:p>
              </w:tc>
              <w:tc>
                <w:tcPr>
                  <w:tcW w:w="1602"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bCs/>
                      <w:kern w:val="0"/>
                      <w:szCs w:val="21"/>
                      <w:lang w:val="en-US" w:eastAsia="zh-CN"/>
                    </w:rPr>
                  </w:pPr>
                  <w:r>
                    <w:rPr>
                      <w:rFonts w:hint="eastAsia" w:ascii="仿宋_GB2312" w:hAnsi="仿宋" w:eastAsia="仿宋_GB2312" w:cs="宋体"/>
                      <w:bCs/>
                      <w:kern w:val="0"/>
                      <w:szCs w:val="21"/>
                      <w:lang w:val="en-US" w:eastAsia="zh-CN"/>
                    </w:rPr>
                    <w:t>1915</w:t>
                  </w:r>
                </w:p>
              </w:tc>
              <w:tc>
                <w:tcPr>
                  <w:tcW w:w="1604" w:type="dxa"/>
                  <w:tcBorders>
                    <w:top w:val="nil"/>
                    <w:left w:val="nil"/>
                    <w:bottom w:val="single" w:color="auto" w:sz="4" w:space="0"/>
                    <w:right w:val="single" w:color="auto" w:sz="4" w:space="0"/>
                  </w:tcBorders>
                  <w:vAlign w:val="center"/>
                </w:tcPr>
                <w:p>
                  <w:pPr>
                    <w:widowControl/>
                    <w:jc w:val="center"/>
                    <w:rPr>
                      <w:rFonts w:hint="eastAsia" w:ascii="仿宋_GB2312" w:hAnsi="仿宋" w:eastAsia="仿宋_GB2312" w:cs="宋体"/>
                      <w:bCs/>
                      <w:kern w:val="0"/>
                      <w:szCs w:val="21"/>
                      <w:lang w:val="en-US" w:eastAsia="zh-CN"/>
                    </w:rPr>
                  </w:pPr>
                  <w:r>
                    <w:rPr>
                      <w:rFonts w:hint="eastAsia" w:ascii="仿宋_GB2312" w:hAnsi="仿宋" w:eastAsia="仿宋_GB2312" w:cs="宋体"/>
                      <w:bCs/>
                      <w:kern w:val="0"/>
                      <w:szCs w:val="21"/>
                      <w:lang w:val="en-US" w:eastAsia="zh-CN"/>
                    </w:rPr>
                    <w:t>1984</w:t>
                  </w:r>
                </w:p>
              </w:tc>
              <w:tc>
                <w:tcPr>
                  <w:tcW w:w="2230" w:type="dxa"/>
                  <w:tcBorders>
                    <w:top w:val="single" w:color="auto" w:sz="4" w:space="0"/>
                    <w:bottom w:val="single" w:color="auto" w:sz="4" w:space="0"/>
                    <w:right w:val="single" w:color="auto" w:sz="4" w:space="0"/>
                  </w:tcBorders>
                </w:tcPr>
                <w:p>
                  <w:pPr>
                    <w:widowControl/>
                    <w:jc w:val="left"/>
                    <w:rPr>
                      <w:rFonts w:ascii="仿宋_GB2312" w:hAnsi="仿宋" w:eastAsia="仿宋_GB2312"/>
                      <w:kern w:val="0"/>
                      <w:szCs w:val="21"/>
                    </w:rPr>
                  </w:pPr>
                </w:p>
              </w:tc>
            </w:tr>
          </w:tbl>
          <w:p>
            <w:pPr>
              <w:widowControl/>
              <w:spacing w:line="540" w:lineRule="exact"/>
              <w:jc w:val="center"/>
              <w:rPr>
                <w:rFonts w:ascii="仿宋_GB2312" w:hAnsi="仿宋" w:eastAsia="仿宋_GB2312" w:cs="宋体"/>
                <w:b/>
                <w:bCs/>
                <w:kern w:val="0"/>
                <w:sz w:val="28"/>
                <w:szCs w:val="28"/>
              </w:rPr>
            </w:pPr>
          </w:p>
        </w:tc>
      </w:tr>
      <w:tr>
        <w:tblPrEx>
          <w:tblLayout w:type="fixed"/>
          <w:tblCellMar>
            <w:top w:w="0" w:type="dxa"/>
            <w:left w:w="108" w:type="dxa"/>
            <w:bottom w:w="0" w:type="dxa"/>
            <w:right w:w="108" w:type="dxa"/>
          </w:tblCellMar>
        </w:tblPrEx>
        <w:trPr>
          <w:trHeight w:val="87" w:hRule="atLeast"/>
        </w:trPr>
        <w:tc>
          <w:tcPr>
            <w:tcW w:w="9079" w:type="dxa"/>
            <w:gridSpan w:val="9"/>
            <w:tcBorders>
              <w:top w:val="nil"/>
              <w:left w:val="nil"/>
              <w:bottom w:val="nil"/>
              <w:right w:val="nil"/>
            </w:tcBorders>
            <w:vAlign w:val="center"/>
          </w:tcPr>
          <w:p>
            <w:pPr>
              <w:widowControl/>
              <w:spacing w:line="540" w:lineRule="exact"/>
              <w:rPr>
                <w:rFonts w:ascii="仿宋_GB2312" w:hAnsi="仿宋" w:eastAsia="仿宋_GB2312"/>
                <w:sz w:val="28"/>
                <w:szCs w:val="28"/>
              </w:rPr>
            </w:pPr>
            <w:r>
              <w:rPr>
                <w:rFonts w:hint="eastAsia" w:ascii="仿宋_GB2312" w:hAnsi="仿宋" w:eastAsia="仿宋_GB2312"/>
                <w:sz w:val="28"/>
                <w:szCs w:val="28"/>
              </w:rPr>
              <w:t>从住宅均价比较表中可以看出</w:t>
            </w:r>
            <w:r>
              <w:rPr>
                <w:rFonts w:hint="eastAsia" w:ascii="仿宋_GB2312" w:hAnsi="仿宋" w:eastAsia="仿宋_GB2312"/>
                <w:sz w:val="28"/>
                <w:szCs w:val="28"/>
                <w:lang w:eastAsia="zh-CN"/>
              </w:rPr>
              <w:t>乌拉特后旗巴音宝力格镇</w:t>
            </w:r>
            <w:r>
              <w:rPr>
                <w:rFonts w:hint="eastAsia" w:ascii="仿宋_GB2312" w:hAnsi="仿宋" w:eastAsia="仿宋_GB2312"/>
                <w:sz w:val="28"/>
                <w:szCs w:val="28"/>
              </w:rPr>
              <w:t>的住宅较往年有所上涨，通过估价师2017-2018年对</w:t>
            </w:r>
            <w:r>
              <w:rPr>
                <w:rFonts w:hint="eastAsia" w:ascii="仿宋_GB2312" w:hAnsi="仿宋" w:eastAsia="仿宋_GB2312"/>
                <w:sz w:val="28"/>
                <w:szCs w:val="28"/>
                <w:lang w:eastAsia="zh-CN"/>
              </w:rPr>
              <w:t>乌拉特后旗巴音宝力格镇</w:t>
            </w:r>
            <w:r>
              <w:rPr>
                <w:rFonts w:hint="eastAsia" w:ascii="仿宋_GB2312" w:hAnsi="仿宋" w:eastAsia="仿宋_GB2312"/>
                <w:sz w:val="28"/>
                <w:szCs w:val="28"/>
              </w:rPr>
              <w:t>各个楼盘的调查和走访了解，</w:t>
            </w:r>
            <w:r>
              <w:rPr>
                <w:rFonts w:hint="eastAsia" w:ascii="仿宋_GB2312" w:hAnsi="仿宋" w:eastAsia="仿宋_GB2312"/>
                <w:sz w:val="28"/>
                <w:szCs w:val="28"/>
                <w:lang w:eastAsia="zh-CN"/>
              </w:rPr>
              <w:t>乌拉特后旗巴音宝力格镇</w:t>
            </w:r>
            <w:r>
              <w:rPr>
                <w:rFonts w:hint="eastAsia" w:ascii="仿宋_GB2312" w:hAnsi="仿宋" w:eastAsia="仿宋_GB2312"/>
                <w:sz w:val="28"/>
                <w:szCs w:val="28"/>
              </w:rPr>
              <w:t>住宅用房空置率较低，房地产市场前景广阔。</w:t>
            </w:r>
          </w:p>
        </w:tc>
      </w:tr>
    </w:tbl>
    <w:p>
      <w:pPr>
        <w:numPr>
          <w:ilvl w:val="0"/>
          <w:numId w:val="6"/>
        </w:numPr>
        <w:spacing w:line="54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lang w:eastAsia="zh-CN"/>
        </w:rPr>
        <w:t>乌拉特后旗巴音宝力格镇</w:t>
      </w:r>
      <w:r>
        <w:rPr>
          <w:rFonts w:hint="eastAsia" w:ascii="仿宋_GB2312" w:hAnsi="仿宋" w:eastAsia="仿宋_GB2312"/>
          <w:sz w:val="28"/>
          <w:szCs w:val="28"/>
        </w:rPr>
        <w:t>经济对房地产市场的影响</w:t>
      </w:r>
    </w:p>
    <w:p>
      <w:pPr>
        <w:numPr>
          <w:ilvl w:val="0"/>
          <w:numId w:val="0"/>
        </w:numPr>
        <w:spacing w:line="540" w:lineRule="exact"/>
        <w:ind w:firstLine="560" w:firstLineChars="200"/>
        <w:rPr>
          <w:rFonts w:hint="eastAsia" w:ascii="仿宋_GB2312" w:hAnsi="仿宋" w:eastAsia="仿宋_GB2312"/>
          <w:sz w:val="28"/>
          <w:szCs w:val="28"/>
          <w:lang w:eastAsia="zh-CN"/>
        </w:rPr>
      </w:pPr>
      <w:r>
        <w:rPr>
          <w:rFonts w:hint="eastAsia" w:ascii="仿宋_GB2312" w:hAnsi="仿宋" w:eastAsia="仿宋_GB2312"/>
          <w:sz w:val="28"/>
          <w:szCs w:val="28"/>
        </w:rPr>
        <w:t>近年来巴音镇抓住西部大开发的</w:t>
      </w:r>
      <w:r>
        <w:rPr>
          <w:rFonts w:hint="eastAsia" w:ascii="仿宋_GB2312" w:hAnsi="仿宋" w:eastAsia="仿宋_GB2312"/>
          <w:sz w:val="28"/>
          <w:szCs w:val="28"/>
        </w:rPr>
        <w:fldChar w:fldCharType="begin"/>
      </w:r>
      <w:r>
        <w:rPr>
          <w:rFonts w:hint="eastAsia" w:ascii="仿宋_GB2312" w:hAnsi="仿宋" w:eastAsia="仿宋_GB2312"/>
          <w:sz w:val="28"/>
          <w:szCs w:val="28"/>
        </w:rPr>
        <w:instrText xml:space="preserve"> HYPERLINK "https://baike.baidu.com/item/%E9%BB%84%E9%87%91" \t "https://baike.baidu.com/item/%E5%B7%B4%E9%9F%B3%E5%AE%9D%E5%8A%9B%E6%A0%BC%E9%95%87/_blank" </w:instrText>
      </w:r>
      <w:r>
        <w:rPr>
          <w:rFonts w:hint="eastAsia" w:ascii="仿宋_GB2312" w:hAnsi="仿宋" w:eastAsia="仿宋_GB2312"/>
          <w:sz w:val="28"/>
          <w:szCs w:val="28"/>
        </w:rPr>
        <w:fldChar w:fldCharType="separate"/>
      </w:r>
      <w:r>
        <w:rPr>
          <w:rFonts w:hint="eastAsia" w:ascii="仿宋_GB2312" w:hAnsi="仿宋" w:eastAsia="仿宋_GB2312"/>
          <w:sz w:val="28"/>
          <w:szCs w:val="28"/>
        </w:rPr>
        <w:t>黄金</w:t>
      </w:r>
      <w:r>
        <w:rPr>
          <w:rFonts w:hint="eastAsia" w:ascii="仿宋_GB2312" w:hAnsi="仿宋" w:eastAsia="仿宋_GB2312"/>
          <w:sz w:val="28"/>
          <w:szCs w:val="28"/>
        </w:rPr>
        <w:fldChar w:fldCharType="end"/>
      </w:r>
      <w:r>
        <w:rPr>
          <w:rFonts w:hint="eastAsia" w:ascii="仿宋_GB2312" w:hAnsi="仿宋" w:eastAsia="仿宋_GB2312"/>
          <w:sz w:val="28"/>
          <w:szCs w:val="28"/>
        </w:rPr>
        <w:t>机遇，以资源优势为依托，开创了全面发展，稳定推进的良好势头。在过去的发展过程中工矿企业的发展起到了举足轻重的作用，在全镇人民不懈努力下，镇域内引进了后旗矿山工业龙头企业东矿公司及其它19家大型企业，2003年上述企业共创税收2635万元;在</w:t>
      </w:r>
      <w:r>
        <w:rPr>
          <w:rFonts w:hint="eastAsia" w:ascii="仿宋_GB2312" w:hAnsi="仿宋" w:eastAsia="仿宋_GB2312"/>
          <w:sz w:val="28"/>
          <w:szCs w:val="28"/>
        </w:rPr>
        <w:fldChar w:fldCharType="begin"/>
      </w:r>
      <w:r>
        <w:rPr>
          <w:rFonts w:hint="eastAsia" w:ascii="仿宋_GB2312" w:hAnsi="仿宋" w:eastAsia="仿宋_GB2312"/>
          <w:sz w:val="28"/>
          <w:szCs w:val="28"/>
        </w:rPr>
        <w:instrText xml:space="preserve"> HYPERLINK "https://baike.baidu.com/item/%E5%86%9C%E7%94%B0" \t "https://baike.baidu.com/item/%E5%B7%B4%E9%9F%B3%E5%AE%9D%E5%8A%9B%E6%A0%BC%E9%95%87/_blank" </w:instrText>
      </w:r>
      <w:r>
        <w:rPr>
          <w:rFonts w:hint="eastAsia" w:ascii="仿宋_GB2312" w:hAnsi="仿宋" w:eastAsia="仿宋_GB2312"/>
          <w:sz w:val="28"/>
          <w:szCs w:val="28"/>
        </w:rPr>
        <w:fldChar w:fldCharType="separate"/>
      </w:r>
      <w:r>
        <w:rPr>
          <w:rFonts w:hint="eastAsia" w:ascii="仿宋_GB2312" w:hAnsi="仿宋" w:eastAsia="仿宋_GB2312"/>
          <w:sz w:val="28"/>
          <w:szCs w:val="28"/>
        </w:rPr>
        <w:t>农田</w:t>
      </w:r>
      <w:r>
        <w:rPr>
          <w:rFonts w:hint="eastAsia" w:ascii="仿宋_GB2312" w:hAnsi="仿宋" w:eastAsia="仿宋_GB2312"/>
          <w:sz w:val="28"/>
          <w:szCs w:val="28"/>
        </w:rPr>
        <w:fldChar w:fldCharType="end"/>
      </w:r>
      <w:r>
        <w:rPr>
          <w:rFonts w:hint="eastAsia" w:ascii="仿宋_GB2312" w:hAnsi="仿宋" w:eastAsia="仿宋_GB2312"/>
          <w:sz w:val="28"/>
          <w:szCs w:val="28"/>
        </w:rPr>
        <w:t>水利基础设施建设上截止2003年全镇衬砌渠道3.5万米，打配机电井28眼，建设标准化棚圈60处，全镇农牧区基础设施建设达到明显改善;2003年全镇GDP达到4.35亿元，实现财政收入660万元。为进一步加快发展，巴音镇确立了新的发展思路:“抓住旗府搬迁的大好机遇，要在城镇化建设上有新突破，围绕结构调整这一主线，在农</w:t>
      </w:r>
      <w:r>
        <w:rPr>
          <w:rFonts w:hint="eastAsia" w:ascii="仿宋_GB2312" w:hAnsi="仿宋" w:eastAsia="仿宋_GB2312"/>
          <w:sz w:val="28"/>
          <w:szCs w:val="28"/>
        </w:rPr>
        <w:fldChar w:fldCharType="begin"/>
      </w:r>
      <w:r>
        <w:rPr>
          <w:rFonts w:hint="eastAsia" w:ascii="仿宋_GB2312" w:hAnsi="仿宋" w:eastAsia="仿宋_GB2312"/>
          <w:sz w:val="28"/>
          <w:szCs w:val="28"/>
        </w:rPr>
        <w:instrText xml:space="preserve"> HYPERLINK "https://baike.baidu.com/item/%E7%89%A7%E6%B0%91" \t "https://baike.baidu.com/item/%E5%B7%B4%E9%9F%B3%E5%AE%9D%E5%8A%9B%E6%A0%BC%E9%95%87/_blank" </w:instrText>
      </w:r>
      <w:r>
        <w:rPr>
          <w:rFonts w:hint="eastAsia" w:ascii="仿宋_GB2312" w:hAnsi="仿宋" w:eastAsia="仿宋_GB2312"/>
          <w:sz w:val="28"/>
          <w:szCs w:val="28"/>
        </w:rPr>
        <w:fldChar w:fldCharType="separate"/>
      </w:r>
      <w:r>
        <w:rPr>
          <w:rFonts w:hint="eastAsia" w:ascii="仿宋_GB2312" w:hAnsi="仿宋" w:eastAsia="仿宋_GB2312"/>
          <w:sz w:val="28"/>
          <w:szCs w:val="28"/>
        </w:rPr>
        <w:t>牧民</w:t>
      </w:r>
      <w:r>
        <w:rPr>
          <w:rFonts w:hint="eastAsia" w:ascii="仿宋_GB2312" w:hAnsi="仿宋" w:eastAsia="仿宋_GB2312"/>
          <w:sz w:val="28"/>
          <w:szCs w:val="28"/>
        </w:rPr>
        <w:fldChar w:fldCharType="end"/>
      </w:r>
      <w:r>
        <w:rPr>
          <w:rFonts w:hint="eastAsia" w:ascii="仿宋_GB2312" w:hAnsi="仿宋" w:eastAsia="仿宋_GB2312"/>
          <w:sz w:val="28"/>
          <w:szCs w:val="28"/>
        </w:rPr>
        <w:t>增收上有新突破，依托资源富集优势，在工业发展上有新突破”。全旗将要完成的重点工业项目和地质勘探项目在巴音宝力格镇境内的就有15项。其中的东升庙矿40—88线详勘项目、别力盖庙铜镍矿详勘项目、获格气铜矿外围勘探项目、宝格太庙稀有金属矿产勘探项目都属于较大型或特大型矿藏，具有较高的工业价值</w:t>
      </w:r>
      <w:r>
        <w:rPr>
          <w:rFonts w:hint="eastAsia" w:ascii="仿宋_GB2312" w:hAnsi="仿宋" w:eastAsia="仿宋_GB2312"/>
          <w:sz w:val="28"/>
          <w:szCs w:val="28"/>
          <w:lang w:eastAsia="zh-CN"/>
        </w:rPr>
        <w:t>。</w:t>
      </w:r>
    </w:p>
    <w:p>
      <w:pPr>
        <w:pStyle w:val="3"/>
        <w:spacing w:line="540" w:lineRule="exact"/>
        <w:ind w:firstLine="562"/>
        <w:rPr>
          <w:rFonts w:ascii="仿宋_GB2312" w:hAnsi="仿宋"/>
          <w:b w:val="0"/>
          <w:bCs w:val="0"/>
          <w:szCs w:val="28"/>
        </w:rPr>
      </w:pPr>
      <w:r>
        <w:rPr>
          <w:rFonts w:hint="eastAsia" w:ascii="仿宋_GB2312" w:hAnsi="仿宋"/>
          <w:bCs w:val="0"/>
          <w:szCs w:val="28"/>
        </w:rPr>
        <w:t>（五）最高最佳利用分析</w:t>
      </w:r>
      <w:bookmarkEnd w:id="204"/>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房地产估价应以估价对象的最高最佳利用为前提进行估价，最高利用原则是指法律允许，技术上可能，经济上可行，价值最大化，使估价对象产生最高最佳利用价值。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在合法前提下最高最佳使用是能使该房地产获利最大的使用方式。房地产价格受土地与建筑物组合状态、位置环境与建筑物用途组合状态的影响，两者的配合适当均衡时，房地产的效用便能高度发挥，达到最高最佳使用状态，房地产价格评估据此进行。根据委托方提供的有关资料，估价人员现场踏勘以及对周边环境和房地产市场的调查和预期分析，我们认为保持现状用途最为有利，并以此为前提估价。</w:t>
      </w:r>
    </w:p>
    <w:p>
      <w:pPr>
        <w:pStyle w:val="3"/>
        <w:ind w:firstLine="0" w:firstLineChars="0"/>
        <w:rPr>
          <w:rFonts w:ascii="Times New Roman" w:hAnsi="Times New Roman"/>
        </w:rPr>
      </w:pPr>
      <w:r>
        <w:rPr>
          <w:rFonts w:hint="eastAsia" w:ascii="Times New Roman" w:hAnsi="Times New Roman"/>
        </w:rPr>
        <w:t xml:space="preserve">   </w:t>
      </w:r>
      <w:r>
        <w:rPr>
          <w:rFonts w:ascii="Times New Roman" w:hAnsi="Times New Roman"/>
        </w:rPr>
        <w:t>（六）估价方法选用</w:t>
      </w:r>
      <w:bookmarkEnd w:id="205"/>
      <w:bookmarkEnd w:id="206"/>
      <w:bookmarkEnd w:id="207"/>
    </w:p>
    <w:p>
      <w:pPr>
        <w:spacing w:line="540" w:lineRule="exact"/>
        <w:ind w:firstLine="560" w:firstLineChars="200"/>
        <w:jc w:val="left"/>
        <w:rPr>
          <w:rFonts w:ascii="仿宋_GB2312" w:hAnsi="仿宋" w:eastAsia="仿宋_GB2312"/>
          <w:sz w:val="28"/>
          <w:szCs w:val="28"/>
        </w:rPr>
      </w:pPr>
      <w:bookmarkStart w:id="215" w:name="_Toc521268521"/>
      <w:r>
        <w:rPr>
          <w:rFonts w:hint="eastAsia" w:ascii="仿宋_GB2312" w:hAnsi="仿宋" w:eastAsia="仿宋_GB2312"/>
          <w:sz w:val="28"/>
          <w:szCs w:val="28"/>
        </w:rPr>
        <w:t>估价方法适用性分析根据委托方提供的有关资料，估价人员现踏勘以及对周边环境和房地产市场的调查和预期分析，我们认为保持现状用途最为有利，并以此为前提估价，根据《房地产估价规范》，我们采用比较法和收益法进行测算。</w:t>
      </w:r>
    </w:p>
    <w:p>
      <w:pPr>
        <w:spacing w:line="540" w:lineRule="exact"/>
        <w:ind w:firstLine="560" w:firstLineChars="200"/>
        <w:jc w:val="left"/>
        <w:rPr>
          <w:rFonts w:ascii="仿宋_GB2312" w:hAnsi="仿宋" w:eastAsia="仿宋_GB2312"/>
          <w:sz w:val="28"/>
          <w:szCs w:val="28"/>
        </w:rPr>
      </w:pPr>
      <w:r>
        <w:rPr>
          <w:rFonts w:hint="eastAsia" w:ascii="仿宋_GB2312" w:hAnsi="仿宋" w:eastAsia="仿宋_GB2312"/>
          <w:sz w:val="28"/>
          <w:szCs w:val="28"/>
        </w:rPr>
        <w:t>可选用的方法：</w:t>
      </w:r>
    </w:p>
    <w:p>
      <w:pPr>
        <w:spacing w:line="540" w:lineRule="exact"/>
        <w:ind w:firstLine="560" w:firstLineChars="200"/>
        <w:jc w:val="left"/>
        <w:rPr>
          <w:rFonts w:ascii="仿宋_GB2312" w:hAnsi="仿宋" w:eastAsia="仿宋_GB2312"/>
          <w:sz w:val="28"/>
          <w:szCs w:val="28"/>
        </w:rPr>
      </w:pPr>
      <w:r>
        <w:rPr>
          <w:rFonts w:hint="eastAsia" w:ascii="仿宋_GB2312" w:hAnsi="仿宋" w:eastAsia="仿宋_GB2312"/>
          <w:sz w:val="28"/>
          <w:szCs w:val="28"/>
        </w:rPr>
        <w:t>比较法：依据房地产现行市场行情，经比较修正得到评估对象房地产的比准价格；因房地产的市场交易较为频繁，市场案例充足，故选用比较法。</w:t>
      </w:r>
    </w:p>
    <w:p>
      <w:pPr>
        <w:spacing w:line="540" w:lineRule="exact"/>
        <w:rPr>
          <w:rFonts w:ascii="仿宋_GB2312" w:hAnsi="仿宋" w:eastAsia="仿宋_GB2312"/>
          <w:sz w:val="28"/>
          <w:szCs w:val="28"/>
        </w:rPr>
      </w:pPr>
      <w:r>
        <w:rPr>
          <w:rFonts w:hint="eastAsia" w:ascii="仿宋_GB2312" w:hAnsi="仿宋" w:eastAsia="仿宋_GB2312"/>
          <w:sz w:val="28"/>
          <w:szCs w:val="28"/>
        </w:rPr>
        <w:t xml:space="preserve">    收益法：根据其客观的租金收益扣减期间所耗的各项费用等计算出房地产在收益年限内的收益价格；待估对象房地产自用市场较为活跃，租金和的收益能较好确定，故选用收益法。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不可选用的方法：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假设开发法：预期估价对象开发完成后的价值，扣除预计正常开发成本。税费和利润等，以此估算估价对象的客观合理价格或价值。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因估价对象为已建成的房屋，再投资开发的价值不大，故不适合选用假设开发法。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成本法：求取估价对象在估价时点的重置价格或重建价格，扣除折旧，估算估价对象的客观合理价格或价值。成本法的估价测算重新构建价格和折旧有一定困难，故不适宜选用成本法。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根据评估对象的自身特点和估价目的以及估价人员对邻近地区市场状况的调查和对评估对象的实地勘察，并遵循房地产价格评估方法的确定原则，选取收益法和比较法作为本次评估的基本方法。</w:t>
      </w:r>
    </w:p>
    <w:p>
      <w:pPr>
        <w:pStyle w:val="3"/>
        <w:numPr>
          <w:ilvl w:val="0"/>
          <w:numId w:val="7"/>
        </w:numPr>
        <w:ind w:firstLine="562"/>
        <w:rPr>
          <w:rFonts w:ascii="Times New Roman" w:hAnsi="Times New Roman"/>
        </w:rPr>
      </w:pPr>
      <w:r>
        <w:rPr>
          <w:rFonts w:ascii="Times New Roman" w:hAnsi="Times New Roman"/>
        </w:rPr>
        <w:t>估价测算过程</w:t>
      </w:r>
      <w:bookmarkEnd w:id="208"/>
      <w:bookmarkEnd w:id="209"/>
      <w:bookmarkEnd w:id="210"/>
      <w:bookmarkEnd w:id="211"/>
      <w:bookmarkEnd w:id="212"/>
      <w:bookmarkEnd w:id="213"/>
      <w:bookmarkEnd w:id="214"/>
      <w:bookmarkEnd w:id="215"/>
    </w:p>
    <w:p>
      <w:pPr>
        <w:pStyle w:val="3"/>
        <w:spacing w:line="540" w:lineRule="exact"/>
        <w:ind w:firstLine="562"/>
        <w:rPr>
          <w:rFonts w:ascii="仿宋_GB2312" w:hAnsi="仿宋"/>
          <w:b w:val="0"/>
          <w:szCs w:val="28"/>
        </w:rPr>
      </w:pPr>
      <w:r>
        <w:rPr>
          <w:rFonts w:hint="eastAsia" w:ascii="仿宋_GB2312" w:hAnsi="仿宋"/>
          <w:szCs w:val="28"/>
        </w:rPr>
        <w:t>1. 估价步骤</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运用比较法求取估价对象房地产比较价值。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运用收益法求取估价对象房地产收益价值。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通过对上述两种方法求出的结果进行分析，确定估价对象房地产市场价值。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扣除房地产估价师已知悉的法定优先受偿款，最终确定估价对象的房地产市场价值。</w:t>
      </w:r>
    </w:p>
    <w:p>
      <w:pPr>
        <w:spacing w:line="540" w:lineRule="exact"/>
        <w:ind w:firstLine="562" w:firstLineChars="200"/>
        <w:rPr>
          <w:rFonts w:ascii="仿宋_GB2312" w:hAnsi="仿宋" w:eastAsia="仿宋_GB2312"/>
          <w:sz w:val="28"/>
          <w:szCs w:val="28"/>
        </w:rPr>
      </w:pPr>
      <w:r>
        <w:rPr>
          <w:rFonts w:hint="eastAsia" w:ascii="仿宋_GB2312" w:eastAsia="仿宋_GB2312"/>
          <w:b/>
          <w:sz w:val="28"/>
          <w:szCs w:val="28"/>
        </w:rPr>
        <w:t>2.计算过程及结果</w:t>
      </w:r>
    </w:p>
    <w:p>
      <w:pPr>
        <w:spacing w:line="540" w:lineRule="exact"/>
        <w:ind w:firstLine="420" w:firstLineChars="200"/>
        <w:rPr>
          <w:rFonts w:ascii="仿宋_GB2312" w:hAnsi="仿宋" w:eastAsia="仿宋_GB2312"/>
          <w:sz w:val="28"/>
          <w:szCs w:val="28"/>
        </w:rPr>
      </w:pPr>
      <w:r>
        <w:rPr>
          <w:rFonts w:hint="eastAsia" w:ascii="仿宋_GB2312"/>
          <w:szCs w:val="28"/>
        </w:rPr>
        <w:t xml:space="preserve">  </w:t>
      </w:r>
      <w:r>
        <w:rPr>
          <w:rFonts w:ascii="宋体" w:hAnsi="Calibri"/>
          <w:b/>
          <w:bCs/>
          <w:sz w:val="28"/>
          <w:szCs w:val="28"/>
        </w:rPr>
        <w:t>※</w:t>
      </w:r>
      <w:r>
        <w:rPr>
          <w:rFonts w:ascii="Calibri" w:hAnsi="Calibri" w:eastAsia="仿宋_GB2312"/>
          <w:b/>
          <w:bCs/>
          <w:sz w:val="28"/>
          <w:szCs w:val="28"/>
        </w:rPr>
        <w:t>比较法的测算过程</w:t>
      </w:r>
    </w:p>
    <w:p>
      <w:pPr>
        <w:spacing w:line="600" w:lineRule="exact"/>
        <w:ind w:firstLine="562" w:firstLineChars="200"/>
        <w:contextualSpacing/>
        <w:rPr>
          <w:rFonts w:eastAsia="仿宋_GB2312"/>
          <w:b/>
          <w:sz w:val="28"/>
          <w:szCs w:val="28"/>
        </w:rPr>
      </w:pPr>
      <w:r>
        <w:rPr>
          <w:rFonts w:hint="eastAsia" w:ascii="宋体" w:hAnsi="宋体" w:cs="宋体"/>
          <w:b/>
          <w:sz w:val="28"/>
          <w:szCs w:val="28"/>
        </w:rPr>
        <w:t xml:space="preserve"> ①</w:t>
      </w:r>
      <w:r>
        <w:rPr>
          <w:rFonts w:ascii="Calibri" w:hAnsi="Calibri" w:eastAsia="仿宋_GB2312"/>
          <w:b/>
          <w:sz w:val="28"/>
          <w:szCs w:val="28"/>
        </w:rPr>
        <w:t>选取可比实例</w:t>
      </w:r>
    </w:p>
    <w:p>
      <w:pPr>
        <w:spacing w:line="540" w:lineRule="exact"/>
        <w:ind w:firstLine="560" w:firstLineChars="200"/>
        <w:contextualSpacing/>
        <w:rPr>
          <w:rFonts w:eastAsia="仿宋_GB2312"/>
          <w:b/>
          <w:sz w:val="28"/>
          <w:szCs w:val="28"/>
        </w:rPr>
      </w:pPr>
      <w:r>
        <w:rPr>
          <w:rFonts w:hint="eastAsia" w:ascii="仿宋_GB2312" w:hAnsi="仿宋" w:eastAsia="仿宋_GB2312"/>
          <w:sz w:val="28"/>
          <w:szCs w:val="28"/>
        </w:rPr>
        <w:t>根据替代原则，本次估价选取近期同一供需圈内三个用途相同的交易实例作为可比实例进行比较，求出估价对象房地产价值，选择原则如下：</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可比实例房地产与估价对象房地产相似；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可比实例的交易类型适用于估价目的；</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可比实例的成交日期接近价值时点，不宜超过一年，且不得超过三个月；</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 可比实例的成交价格为正常价格或可修正为正常价格。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根据以上可比实例选取原则，本次估价从估价人员所掌握的交易资料中选取了三个实例，估价对象与可比实例的位置示意图如下：</w:t>
      </w:r>
    </w:p>
    <w:p>
      <w:pPr>
        <w:spacing w:line="360" w:lineRule="auto"/>
        <w:ind w:firstLine="560" w:firstLineChars="200"/>
        <w:rPr>
          <w:rFonts w:hint="eastAsia" w:ascii="仿宋_GB2312" w:hAnsi="楷体" w:eastAsia="仿宋_GB2312"/>
          <w:sz w:val="28"/>
          <w:szCs w:val="28"/>
          <w:lang w:eastAsia="zh-CN"/>
        </w:rPr>
      </w:pPr>
      <w:r>
        <w:rPr>
          <w:rFonts w:hint="eastAsia" w:ascii="仿宋_GB2312" w:hAnsi="楷体" w:eastAsia="仿宋_GB2312"/>
          <w:sz w:val="28"/>
          <w:szCs w:val="28"/>
          <w:lang w:eastAsia="zh-CN"/>
        </w:rPr>
        <w:drawing>
          <wp:inline distT="0" distB="0" distL="114300" distR="114300">
            <wp:extent cx="5681980" cy="3677285"/>
            <wp:effectExtent l="0" t="0" r="13970" b="18415"/>
            <wp:docPr id="11" name="图片 11" descr="待估对象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待估对象位置图"/>
                    <pic:cNvPicPr>
                      <a:picLocks noChangeAspect="1"/>
                    </pic:cNvPicPr>
                  </pic:nvPicPr>
                  <pic:blipFill>
                    <a:blip r:embed="rId14"/>
                    <a:stretch>
                      <a:fillRect/>
                    </a:stretch>
                  </pic:blipFill>
                  <pic:spPr>
                    <a:xfrm>
                      <a:off x="0" y="0"/>
                      <a:ext cx="5681980" cy="3677285"/>
                    </a:xfrm>
                    <a:prstGeom prst="rect">
                      <a:avLst/>
                    </a:prstGeom>
                  </pic:spPr>
                </pic:pic>
              </a:graphicData>
            </a:graphic>
          </wp:inline>
        </w:drawing>
      </w:r>
    </w:p>
    <w:p>
      <w:pPr>
        <w:spacing w:line="360" w:lineRule="auto"/>
        <w:jc w:val="left"/>
        <w:rPr>
          <w:rFonts w:ascii="仿宋_GB2312" w:hAnsi="楷体" w:eastAsia="仿宋_GB2312"/>
          <w:sz w:val="28"/>
          <w:szCs w:val="28"/>
        </w:rPr>
      </w:pPr>
      <w:r>
        <w:rPr>
          <w:rFonts w:hint="eastAsia" w:ascii="仿宋_GB2312" w:hAnsi="楷体" w:eastAsia="仿宋_GB2312"/>
          <w:sz w:val="28"/>
          <w:szCs w:val="28"/>
        </w:rPr>
        <w:t>估价对象与可比实例基本状况见表1：</w:t>
      </w:r>
    </w:p>
    <w:p>
      <w:pPr>
        <w:spacing w:line="360" w:lineRule="auto"/>
        <w:ind w:firstLine="482" w:firstLineChars="200"/>
        <w:jc w:val="center"/>
        <w:rPr>
          <w:rFonts w:ascii="仿宋_GB2312" w:hAnsi="楷体" w:eastAsia="仿宋_GB2312"/>
          <w:b/>
          <w:sz w:val="24"/>
          <w:szCs w:val="24"/>
        </w:rPr>
      </w:pPr>
      <w:r>
        <w:rPr>
          <w:rFonts w:hint="eastAsia" w:ascii="仿宋_GB2312" w:hAnsi="楷体" w:eastAsia="仿宋_GB2312"/>
          <w:b/>
          <w:sz w:val="24"/>
          <w:szCs w:val="24"/>
        </w:rPr>
        <w:t>表1  估价对象与可比实例基本状况表</w:t>
      </w:r>
    </w:p>
    <w:tbl>
      <w:tblPr>
        <w:tblStyle w:val="47"/>
        <w:tblW w:w="9500" w:type="dxa"/>
        <w:jc w:val="center"/>
        <w:tblInd w:w="0" w:type="dxa"/>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12"/>
        <w:gridCol w:w="1276"/>
        <w:gridCol w:w="1885"/>
        <w:gridCol w:w="1701"/>
        <w:gridCol w:w="1996"/>
        <w:gridCol w:w="1930"/>
      </w:tblGrid>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95" w:hRule="atLeast"/>
          <w:tblHeader/>
          <w:jc w:val="center"/>
        </w:trPr>
        <w:tc>
          <w:tcPr>
            <w:tcW w:w="1988" w:type="dxa"/>
            <w:gridSpan w:val="2"/>
            <w:vMerge w:val="restart"/>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项目名称</w:t>
            </w:r>
          </w:p>
        </w:tc>
        <w:tc>
          <w:tcPr>
            <w:tcW w:w="1885" w:type="dxa"/>
            <w:shd w:val="clear" w:color="000000" w:fill="FFFFFF"/>
            <w:vAlign w:val="center"/>
          </w:tcPr>
          <w:p>
            <w:pPr>
              <w:jc w:val="center"/>
              <w:rPr>
                <w:rFonts w:ascii="仿宋_GB2312" w:hAnsi="楷体" w:eastAsia="仿宋_GB2312" w:cs="宋体"/>
                <w:b/>
                <w:bCs/>
                <w:szCs w:val="21"/>
              </w:rPr>
            </w:pPr>
            <w:r>
              <w:rPr>
                <w:rFonts w:hint="eastAsia" w:ascii="仿宋_GB2312" w:hAnsi="楷体" w:eastAsia="仿宋_GB2312"/>
                <w:b/>
                <w:bCs/>
                <w:szCs w:val="21"/>
              </w:rPr>
              <w:t>估价对象</w:t>
            </w:r>
          </w:p>
        </w:tc>
        <w:tc>
          <w:tcPr>
            <w:tcW w:w="1701" w:type="dxa"/>
            <w:shd w:val="clear" w:color="000000" w:fill="FFFFFF"/>
            <w:vAlign w:val="center"/>
          </w:tcPr>
          <w:p>
            <w:pPr>
              <w:jc w:val="center"/>
              <w:rPr>
                <w:rFonts w:ascii="仿宋_GB2312" w:hAnsi="楷体" w:eastAsia="仿宋_GB2312" w:cs="宋体"/>
                <w:b/>
                <w:bCs/>
                <w:szCs w:val="21"/>
              </w:rPr>
            </w:pPr>
            <w:r>
              <w:rPr>
                <w:rFonts w:hint="eastAsia" w:ascii="仿宋_GB2312" w:hAnsi="楷体" w:eastAsia="仿宋_GB2312"/>
                <w:b/>
                <w:bCs/>
                <w:szCs w:val="21"/>
              </w:rPr>
              <w:t>可比实例1</w:t>
            </w:r>
          </w:p>
        </w:tc>
        <w:tc>
          <w:tcPr>
            <w:tcW w:w="1996" w:type="dxa"/>
            <w:shd w:val="clear" w:color="000000" w:fill="FFFFFF"/>
            <w:vAlign w:val="center"/>
          </w:tcPr>
          <w:p>
            <w:pPr>
              <w:jc w:val="center"/>
              <w:rPr>
                <w:rFonts w:ascii="仿宋_GB2312" w:hAnsi="楷体" w:eastAsia="仿宋_GB2312" w:cs="宋体"/>
                <w:b/>
                <w:bCs/>
                <w:szCs w:val="21"/>
              </w:rPr>
            </w:pPr>
            <w:r>
              <w:rPr>
                <w:rFonts w:hint="eastAsia" w:ascii="仿宋_GB2312" w:hAnsi="楷体" w:eastAsia="仿宋_GB2312"/>
                <w:b/>
                <w:bCs/>
                <w:szCs w:val="21"/>
              </w:rPr>
              <w:t>可比实例2</w:t>
            </w:r>
          </w:p>
        </w:tc>
        <w:tc>
          <w:tcPr>
            <w:tcW w:w="1930" w:type="dxa"/>
            <w:shd w:val="clear" w:color="000000" w:fill="FFFFFF"/>
            <w:vAlign w:val="center"/>
          </w:tcPr>
          <w:p>
            <w:pPr>
              <w:jc w:val="center"/>
              <w:rPr>
                <w:rFonts w:ascii="仿宋_GB2312" w:hAnsi="楷体" w:eastAsia="仿宋_GB2312" w:cs="宋体"/>
                <w:b/>
                <w:bCs/>
                <w:szCs w:val="21"/>
              </w:rPr>
            </w:pPr>
            <w:r>
              <w:rPr>
                <w:rFonts w:hint="eastAsia" w:ascii="仿宋_GB2312" w:hAnsi="楷体" w:eastAsia="仿宋_GB2312"/>
                <w:b/>
                <w:bCs/>
                <w:szCs w:val="21"/>
              </w:rPr>
              <w:t>可比实例3</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95" w:hRule="atLeast"/>
          <w:tblHeader/>
          <w:jc w:val="center"/>
        </w:trPr>
        <w:tc>
          <w:tcPr>
            <w:tcW w:w="1988" w:type="dxa"/>
            <w:gridSpan w:val="2"/>
            <w:vMerge w:val="continue"/>
            <w:shd w:val="clear" w:color="000000" w:fill="FFFFFF"/>
            <w:vAlign w:val="center"/>
          </w:tcPr>
          <w:p>
            <w:pPr>
              <w:widowControl/>
              <w:jc w:val="center"/>
              <w:rPr>
                <w:rFonts w:ascii="仿宋_GB2312" w:hAnsi="楷体" w:eastAsia="仿宋_GB2312" w:cs="宋体"/>
                <w:b/>
                <w:kern w:val="0"/>
                <w:szCs w:val="21"/>
              </w:rPr>
            </w:pPr>
          </w:p>
        </w:tc>
        <w:tc>
          <w:tcPr>
            <w:tcW w:w="1885" w:type="dxa"/>
            <w:shd w:val="clear" w:color="000000" w:fill="FFFFFF"/>
            <w:vAlign w:val="center"/>
          </w:tcPr>
          <w:p>
            <w:pPr>
              <w:jc w:val="center"/>
              <w:rPr>
                <w:rFonts w:hint="eastAsia" w:ascii="仿宋_GB2312" w:hAnsi="楷体" w:eastAsia="仿宋_GB2312" w:cs="宋体"/>
                <w:bCs/>
                <w:szCs w:val="21"/>
                <w:lang w:eastAsia="zh-CN"/>
              </w:rPr>
            </w:pPr>
            <w:r>
              <w:rPr>
                <w:rFonts w:hint="eastAsia" w:ascii="仿宋_GB2312" w:hAnsi="楷体" w:eastAsia="仿宋_GB2312"/>
                <w:bCs/>
                <w:szCs w:val="21"/>
                <w:lang w:eastAsia="zh-CN"/>
              </w:rPr>
              <w:t>百亿佳苑</w:t>
            </w:r>
          </w:p>
        </w:tc>
        <w:tc>
          <w:tcPr>
            <w:tcW w:w="1701" w:type="dxa"/>
            <w:shd w:val="clear" w:color="000000" w:fill="FFFFFF"/>
            <w:vAlign w:val="center"/>
          </w:tcPr>
          <w:p>
            <w:pPr>
              <w:jc w:val="center"/>
              <w:rPr>
                <w:rFonts w:hint="eastAsia" w:eastAsia="宋体"/>
                <w:lang w:eastAsia="zh-CN"/>
              </w:rPr>
            </w:pPr>
            <w:r>
              <w:rPr>
                <w:rFonts w:hint="eastAsia" w:ascii="仿宋_GB2312" w:hAnsi="楷体" w:eastAsia="仿宋_GB2312"/>
                <w:bCs/>
                <w:szCs w:val="21"/>
                <w:lang w:eastAsia="zh-CN"/>
              </w:rPr>
              <w:t>百亿佳苑</w:t>
            </w:r>
          </w:p>
        </w:tc>
        <w:tc>
          <w:tcPr>
            <w:tcW w:w="1996" w:type="dxa"/>
            <w:shd w:val="clear" w:color="000000" w:fill="FFFFFF"/>
            <w:vAlign w:val="center"/>
          </w:tcPr>
          <w:p>
            <w:pPr>
              <w:jc w:val="center"/>
              <w:rPr>
                <w:rFonts w:hint="eastAsia" w:eastAsia="宋体"/>
                <w:lang w:eastAsia="zh-CN"/>
              </w:rPr>
            </w:pPr>
            <w:r>
              <w:rPr>
                <w:rFonts w:hint="eastAsia" w:ascii="仿宋_GB2312" w:hAnsi="楷体" w:eastAsia="仿宋_GB2312"/>
                <w:bCs/>
                <w:szCs w:val="21"/>
                <w:lang w:eastAsia="zh-CN"/>
              </w:rPr>
              <w:t>百亿佳苑</w:t>
            </w:r>
          </w:p>
        </w:tc>
        <w:tc>
          <w:tcPr>
            <w:tcW w:w="1930" w:type="dxa"/>
            <w:shd w:val="clear" w:color="000000" w:fill="FFFFFF"/>
            <w:vAlign w:val="center"/>
          </w:tcPr>
          <w:p>
            <w:pPr>
              <w:jc w:val="center"/>
              <w:rPr>
                <w:rFonts w:hint="eastAsia" w:eastAsia="宋体"/>
                <w:lang w:eastAsia="zh-CN"/>
              </w:rPr>
            </w:pPr>
            <w:r>
              <w:rPr>
                <w:rFonts w:hint="eastAsia" w:ascii="仿宋_GB2312" w:hAnsi="楷体" w:eastAsia="仿宋_GB2312"/>
                <w:bCs/>
                <w:szCs w:val="21"/>
                <w:lang w:eastAsia="zh-CN"/>
              </w:rPr>
              <w:t>百亿佳苑</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677" w:hRule="atLeast"/>
          <w:jc w:val="center"/>
        </w:trPr>
        <w:tc>
          <w:tcPr>
            <w:tcW w:w="1988" w:type="dxa"/>
            <w:gridSpan w:val="2"/>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位置</w:t>
            </w:r>
          </w:p>
        </w:tc>
        <w:tc>
          <w:tcPr>
            <w:tcW w:w="1885" w:type="dxa"/>
            <w:shd w:val="clear" w:color="000000" w:fill="FFFFFF"/>
            <w:vAlign w:val="center"/>
          </w:tcPr>
          <w:p>
            <w:pPr>
              <w:widowControl/>
              <w:jc w:val="center"/>
              <w:rPr>
                <w:rFonts w:hint="eastAsia" w:ascii="仿宋_GB2312" w:hAnsi="楷体" w:eastAsia="仿宋_GB2312" w:cs="宋体"/>
                <w:kern w:val="0"/>
                <w:szCs w:val="21"/>
                <w:lang w:eastAsia="zh-CN"/>
              </w:rPr>
            </w:pPr>
            <w:r>
              <w:rPr>
                <w:rFonts w:hint="eastAsia" w:ascii="仿宋_GB2312" w:eastAsia="仿宋_GB2312"/>
                <w:szCs w:val="21"/>
                <w:lang w:eastAsia="zh-CN"/>
              </w:rPr>
              <w:t>乌拉特后旗巴音镇九居委五小区</w:t>
            </w:r>
          </w:p>
        </w:tc>
        <w:tc>
          <w:tcPr>
            <w:tcW w:w="1701" w:type="dxa"/>
            <w:shd w:val="clear" w:color="000000" w:fill="FFFFFF"/>
            <w:vAlign w:val="center"/>
          </w:tcPr>
          <w:p>
            <w:pPr>
              <w:jc w:val="center"/>
              <w:rPr>
                <w:rFonts w:hint="eastAsia" w:eastAsia="仿宋_GB2312"/>
                <w:lang w:eastAsia="zh-CN"/>
              </w:rPr>
            </w:pPr>
            <w:r>
              <w:rPr>
                <w:rFonts w:hint="eastAsia" w:ascii="仿宋_GB2312" w:eastAsia="仿宋_GB2312"/>
                <w:szCs w:val="21"/>
                <w:lang w:eastAsia="zh-CN"/>
              </w:rPr>
              <w:t>乌拉特后旗巴音镇九居委五小区</w:t>
            </w:r>
          </w:p>
        </w:tc>
        <w:tc>
          <w:tcPr>
            <w:tcW w:w="1996" w:type="dxa"/>
            <w:shd w:val="clear" w:color="000000" w:fill="FFFFFF"/>
            <w:vAlign w:val="center"/>
          </w:tcPr>
          <w:p>
            <w:pPr>
              <w:jc w:val="center"/>
              <w:rPr>
                <w:rFonts w:hint="eastAsia" w:eastAsia="仿宋_GB2312"/>
                <w:lang w:eastAsia="zh-CN"/>
              </w:rPr>
            </w:pPr>
            <w:r>
              <w:rPr>
                <w:rFonts w:hint="eastAsia" w:ascii="仿宋_GB2312" w:eastAsia="仿宋_GB2312"/>
                <w:szCs w:val="21"/>
                <w:lang w:eastAsia="zh-CN"/>
              </w:rPr>
              <w:t>乌拉特后旗巴音镇九居委五小区</w:t>
            </w:r>
          </w:p>
        </w:tc>
        <w:tc>
          <w:tcPr>
            <w:tcW w:w="1930" w:type="dxa"/>
            <w:shd w:val="clear" w:color="000000" w:fill="FFFFFF"/>
            <w:vAlign w:val="center"/>
          </w:tcPr>
          <w:p>
            <w:pPr>
              <w:jc w:val="center"/>
              <w:rPr>
                <w:rFonts w:hint="eastAsia" w:eastAsia="仿宋_GB2312"/>
                <w:lang w:eastAsia="zh-CN"/>
              </w:rPr>
            </w:pPr>
            <w:r>
              <w:rPr>
                <w:rFonts w:hint="eastAsia" w:ascii="仿宋_GB2312" w:eastAsia="仿宋_GB2312"/>
                <w:szCs w:val="21"/>
                <w:lang w:eastAsia="zh-CN"/>
              </w:rPr>
              <w:t>乌拉特后旗巴音镇九居委五小区</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407" w:hRule="atLeast"/>
          <w:jc w:val="center"/>
        </w:trPr>
        <w:tc>
          <w:tcPr>
            <w:tcW w:w="1988" w:type="dxa"/>
            <w:gridSpan w:val="2"/>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用途</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住宅</w:t>
            </w:r>
          </w:p>
        </w:tc>
        <w:tc>
          <w:tcPr>
            <w:tcW w:w="1701"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住宅</w:t>
            </w:r>
          </w:p>
        </w:tc>
        <w:tc>
          <w:tcPr>
            <w:tcW w:w="1996"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住宅</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住宅</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412" w:hRule="atLeast"/>
          <w:jc w:val="center"/>
        </w:trPr>
        <w:tc>
          <w:tcPr>
            <w:tcW w:w="1988" w:type="dxa"/>
            <w:gridSpan w:val="2"/>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价格类型</w:t>
            </w:r>
          </w:p>
        </w:tc>
        <w:tc>
          <w:tcPr>
            <w:tcW w:w="1885"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w:t>
            </w:r>
          </w:p>
        </w:tc>
        <w:tc>
          <w:tcPr>
            <w:tcW w:w="1701"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正常价格</w:t>
            </w:r>
          </w:p>
        </w:tc>
        <w:tc>
          <w:tcPr>
            <w:tcW w:w="199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正常价格</w:t>
            </w:r>
          </w:p>
        </w:tc>
        <w:tc>
          <w:tcPr>
            <w:tcW w:w="1930"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正常价格</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473" w:hRule="atLeast"/>
          <w:jc w:val="center"/>
        </w:trPr>
        <w:tc>
          <w:tcPr>
            <w:tcW w:w="1988" w:type="dxa"/>
            <w:gridSpan w:val="2"/>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成交日期</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w:t>
            </w:r>
          </w:p>
        </w:tc>
        <w:tc>
          <w:tcPr>
            <w:tcW w:w="1701" w:type="dxa"/>
            <w:shd w:val="clear" w:color="000000" w:fill="FFFFFF"/>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2018年9月</w:t>
            </w:r>
          </w:p>
        </w:tc>
        <w:tc>
          <w:tcPr>
            <w:tcW w:w="1996" w:type="dxa"/>
            <w:shd w:val="clear" w:color="000000" w:fill="FFFFFF"/>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2018年10月</w:t>
            </w:r>
          </w:p>
        </w:tc>
        <w:tc>
          <w:tcPr>
            <w:tcW w:w="1930" w:type="dxa"/>
            <w:shd w:val="clear" w:color="000000" w:fill="FFFFFF"/>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2018年9月</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425" w:hRule="atLeast"/>
          <w:jc w:val="center"/>
        </w:trPr>
        <w:tc>
          <w:tcPr>
            <w:tcW w:w="1988" w:type="dxa"/>
            <w:gridSpan w:val="2"/>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成交价格</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待估</w:t>
            </w:r>
          </w:p>
        </w:tc>
        <w:tc>
          <w:tcPr>
            <w:tcW w:w="1701"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1839</w:t>
            </w:r>
          </w:p>
        </w:tc>
        <w:tc>
          <w:tcPr>
            <w:tcW w:w="1996"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1940</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2222</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2" w:type="dxa"/>
            <w:vMerge w:val="restart"/>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价格</w:t>
            </w:r>
          </w:p>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内涵</w:t>
            </w:r>
          </w:p>
        </w:tc>
        <w:tc>
          <w:tcPr>
            <w:tcW w:w="127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财产范围</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c>
          <w:tcPr>
            <w:tcW w:w="1701"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c>
          <w:tcPr>
            <w:tcW w:w="1996"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2" w:type="dxa"/>
            <w:vMerge w:val="continue"/>
            <w:shd w:val="clear" w:color="000000" w:fill="FFFFFF"/>
            <w:vAlign w:val="center"/>
          </w:tcPr>
          <w:p>
            <w:pPr>
              <w:widowControl/>
              <w:jc w:val="center"/>
              <w:rPr>
                <w:rFonts w:ascii="仿宋_GB2312" w:hAnsi="楷体" w:eastAsia="仿宋_GB2312" w:cs="宋体"/>
                <w:b/>
                <w:kern w:val="0"/>
                <w:szCs w:val="21"/>
              </w:rPr>
            </w:pPr>
          </w:p>
        </w:tc>
        <w:tc>
          <w:tcPr>
            <w:tcW w:w="127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付款方式</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c>
          <w:tcPr>
            <w:tcW w:w="1701"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c>
          <w:tcPr>
            <w:tcW w:w="1996"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2" w:type="dxa"/>
            <w:vMerge w:val="continue"/>
            <w:shd w:val="clear" w:color="000000" w:fill="FFFFFF"/>
            <w:vAlign w:val="center"/>
          </w:tcPr>
          <w:p>
            <w:pPr>
              <w:widowControl/>
              <w:jc w:val="center"/>
              <w:rPr>
                <w:rFonts w:ascii="仿宋_GB2312" w:hAnsi="楷体" w:eastAsia="仿宋_GB2312" w:cs="宋体"/>
                <w:b/>
                <w:kern w:val="0"/>
                <w:szCs w:val="21"/>
              </w:rPr>
            </w:pPr>
          </w:p>
        </w:tc>
        <w:tc>
          <w:tcPr>
            <w:tcW w:w="127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融资条件</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c>
          <w:tcPr>
            <w:tcW w:w="1701"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c>
          <w:tcPr>
            <w:tcW w:w="1996"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2" w:type="dxa"/>
            <w:vMerge w:val="continue"/>
            <w:vAlign w:val="center"/>
          </w:tcPr>
          <w:p>
            <w:pPr>
              <w:widowControl/>
              <w:jc w:val="center"/>
              <w:rPr>
                <w:rFonts w:ascii="仿宋_GB2312" w:hAnsi="楷体" w:eastAsia="仿宋_GB2312" w:cs="宋体"/>
                <w:b/>
                <w:kern w:val="0"/>
                <w:szCs w:val="21"/>
              </w:rPr>
            </w:pPr>
          </w:p>
        </w:tc>
        <w:tc>
          <w:tcPr>
            <w:tcW w:w="127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税费负担</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c>
          <w:tcPr>
            <w:tcW w:w="1701"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c>
          <w:tcPr>
            <w:tcW w:w="1996"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2" w:type="dxa"/>
            <w:vMerge w:val="continue"/>
            <w:vAlign w:val="center"/>
          </w:tcPr>
          <w:p>
            <w:pPr>
              <w:widowControl/>
              <w:jc w:val="center"/>
              <w:rPr>
                <w:rFonts w:ascii="仿宋_GB2312" w:hAnsi="楷体" w:eastAsia="仿宋_GB2312" w:cs="宋体"/>
                <w:b/>
                <w:kern w:val="0"/>
                <w:szCs w:val="21"/>
              </w:rPr>
            </w:pPr>
          </w:p>
        </w:tc>
        <w:tc>
          <w:tcPr>
            <w:tcW w:w="1276" w:type="dxa"/>
            <w:shd w:val="clear" w:color="000000"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计价单位</w:t>
            </w:r>
          </w:p>
        </w:tc>
        <w:tc>
          <w:tcPr>
            <w:tcW w:w="1885"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c>
          <w:tcPr>
            <w:tcW w:w="1701"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c>
          <w:tcPr>
            <w:tcW w:w="1996"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c>
          <w:tcPr>
            <w:tcW w:w="1930"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r>
    </w:tbl>
    <w:p>
      <w:pPr>
        <w:spacing w:beforeLines="50" w:afterLines="50" w:line="360" w:lineRule="auto"/>
        <w:rPr>
          <w:rFonts w:ascii="仿宋_GB2312" w:hAnsi="楷体" w:eastAsia="仿宋_GB2312"/>
          <w:sz w:val="24"/>
          <w:szCs w:val="24"/>
        </w:rPr>
      </w:pPr>
      <w:r>
        <w:rPr>
          <w:rFonts w:hint="eastAsia" w:ascii="仿宋_GB2312" w:hAnsi="楷体" w:eastAsia="仿宋_GB2312"/>
          <w:b/>
          <w:sz w:val="24"/>
          <w:szCs w:val="24"/>
        </w:rPr>
        <w:t>（二） 建立比较基础</w:t>
      </w:r>
    </w:p>
    <w:p>
      <w:pPr>
        <w:spacing w:before="50" w:line="540" w:lineRule="exact"/>
        <w:ind w:firstLine="560" w:firstLineChars="200"/>
        <w:rPr>
          <w:rFonts w:ascii="仿宋_GB2312" w:hAnsi="楷体" w:eastAsia="仿宋_GB2312"/>
          <w:sz w:val="28"/>
          <w:szCs w:val="28"/>
        </w:rPr>
      </w:pPr>
      <w:r>
        <w:rPr>
          <w:rFonts w:hint="eastAsia" w:ascii="仿宋_GB2312" w:hAnsi="楷体" w:eastAsia="仿宋_GB2312"/>
          <w:sz w:val="28"/>
          <w:szCs w:val="28"/>
        </w:rPr>
        <w:t>选取可比实例后，应建立比较基础，对各个可比实例的成交价格进行标准化处理，统一其内涵和形式。标准化处理包括统一财产范围、统一付款方式、统一融资条件、统一税费负担和统一计价单位。</w:t>
      </w:r>
    </w:p>
    <w:p>
      <w:pPr>
        <w:numPr>
          <w:ilvl w:val="0"/>
          <w:numId w:val="8"/>
        </w:numPr>
        <w:spacing w:before="50" w:line="540" w:lineRule="exact"/>
        <w:ind w:left="0" w:firstLine="567"/>
        <w:rPr>
          <w:rFonts w:ascii="仿宋_GB2312" w:hAnsi="楷体" w:eastAsia="仿宋_GB2312"/>
          <w:sz w:val="28"/>
          <w:szCs w:val="28"/>
        </w:rPr>
      </w:pPr>
      <w:r>
        <w:rPr>
          <w:rFonts w:hint="eastAsia" w:ascii="仿宋_GB2312" w:hAnsi="楷体" w:eastAsia="仿宋_GB2312"/>
          <w:sz w:val="28"/>
          <w:szCs w:val="28"/>
        </w:rPr>
        <w:t>统一财产范围应对可比实例与估价对象的财产范围进行对比，并应消除因财产范围不相同造成的价格差异。</w:t>
      </w:r>
    </w:p>
    <w:p>
      <w:pPr>
        <w:numPr>
          <w:ilvl w:val="0"/>
          <w:numId w:val="8"/>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统一付款方式应将可比实例不是成交日期或一次性付清的价格，调整为成交日期且一次性付清的价格。</w:t>
      </w:r>
    </w:p>
    <w:p>
      <w:pPr>
        <w:numPr>
          <w:ilvl w:val="0"/>
          <w:numId w:val="8"/>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统一融资条件应将可比实例在非常规融资条件下的价格，调整为在常规融资条件下的价格。</w:t>
      </w:r>
    </w:p>
    <w:p>
      <w:pPr>
        <w:numPr>
          <w:ilvl w:val="0"/>
          <w:numId w:val="8"/>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统一税费负担应将可比实例在交易税费非正常负担下的价格，调整为在交易税费正常负担下的价格。</w:t>
      </w:r>
    </w:p>
    <w:p>
      <w:pPr>
        <w:numPr>
          <w:ilvl w:val="0"/>
          <w:numId w:val="8"/>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统一计价单位应包括统一为总价或单价、楼面地价，统一币种和货币单位，统一面积或体积内涵及计量单位等。</w:t>
      </w:r>
    </w:p>
    <w:p>
      <w:pPr>
        <w:pStyle w:val="135"/>
        <w:spacing w:line="360" w:lineRule="auto"/>
        <w:ind w:left="1271" w:firstLine="0" w:firstLineChars="0"/>
        <w:jc w:val="center"/>
        <w:rPr>
          <w:rFonts w:ascii="仿宋_GB2312" w:hAnsi="楷体" w:eastAsia="仿宋_GB2312"/>
          <w:b/>
          <w:sz w:val="24"/>
        </w:rPr>
      </w:pPr>
      <w:r>
        <w:rPr>
          <w:rFonts w:hint="eastAsia" w:ascii="仿宋_GB2312" w:hAnsi="楷体" w:eastAsia="仿宋_GB2312"/>
          <w:b/>
          <w:sz w:val="24"/>
        </w:rPr>
        <w:t>表2  可比实例标准化处理</w:t>
      </w:r>
    </w:p>
    <w:tbl>
      <w:tblPr>
        <w:tblStyle w:val="47"/>
        <w:tblW w:w="9185"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381"/>
        <w:gridCol w:w="1701"/>
        <w:gridCol w:w="1701"/>
        <w:gridCol w:w="1701"/>
        <w:gridCol w:w="1701"/>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Merge w:val="restart"/>
            <w:vAlign w:val="center"/>
          </w:tcPr>
          <w:p>
            <w:pPr>
              <w:jc w:val="center"/>
              <w:rPr>
                <w:rFonts w:ascii="仿宋_GB2312" w:hAnsi="楷体" w:eastAsia="仿宋_GB2312"/>
                <w:b/>
                <w:bCs/>
                <w:szCs w:val="21"/>
              </w:rPr>
            </w:pPr>
            <w:r>
              <w:rPr>
                <w:rFonts w:hint="eastAsia" w:ascii="仿宋_GB2312" w:hAnsi="楷体" w:eastAsia="仿宋_GB2312"/>
                <w:b/>
                <w:bCs/>
                <w:szCs w:val="21"/>
              </w:rPr>
              <w:t>项目名称</w:t>
            </w:r>
          </w:p>
        </w:tc>
        <w:tc>
          <w:tcPr>
            <w:tcW w:w="1701" w:type="dxa"/>
            <w:vAlign w:val="center"/>
          </w:tcPr>
          <w:p>
            <w:pPr>
              <w:jc w:val="center"/>
              <w:rPr>
                <w:rFonts w:ascii="仿宋_GB2312" w:hAnsi="楷体" w:eastAsia="仿宋_GB2312"/>
                <w:b/>
                <w:bCs/>
                <w:szCs w:val="21"/>
              </w:rPr>
            </w:pPr>
            <w:r>
              <w:rPr>
                <w:rFonts w:hint="eastAsia" w:ascii="仿宋_GB2312" w:hAnsi="楷体" w:eastAsia="仿宋_GB2312"/>
                <w:b/>
                <w:bCs/>
                <w:szCs w:val="21"/>
              </w:rPr>
              <w:t>估价对象</w:t>
            </w:r>
          </w:p>
        </w:tc>
        <w:tc>
          <w:tcPr>
            <w:tcW w:w="1701" w:type="dxa"/>
            <w:vAlign w:val="center"/>
          </w:tcPr>
          <w:p>
            <w:pPr>
              <w:jc w:val="center"/>
              <w:rPr>
                <w:rFonts w:ascii="仿宋_GB2312" w:hAnsi="楷体" w:eastAsia="仿宋_GB2312"/>
                <w:b/>
                <w:bCs/>
                <w:szCs w:val="21"/>
              </w:rPr>
            </w:pPr>
            <w:r>
              <w:rPr>
                <w:rFonts w:hint="eastAsia" w:ascii="仿宋_GB2312" w:hAnsi="楷体" w:eastAsia="仿宋_GB2312"/>
                <w:b/>
                <w:bCs/>
                <w:szCs w:val="21"/>
              </w:rPr>
              <w:t>可比实例1</w:t>
            </w:r>
          </w:p>
        </w:tc>
        <w:tc>
          <w:tcPr>
            <w:tcW w:w="1701" w:type="dxa"/>
            <w:vAlign w:val="center"/>
          </w:tcPr>
          <w:p>
            <w:pPr>
              <w:jc w:val="center"/>
              <w:rPr>
                <w:rFonts w:ascii="仿宋_GB2312" w:hAnsi="楷体" w:eastAsia="仿宋_GB2312"/>
                <w:b/>
                <w:bCs/>
                <w:szCs w:val="21"/>
              </w:rPr>
            </w:pPr>
            <w:r>
              <w:rPr>
                <w:rFonts w:hint="eastAsia" w:ascii="仿宋_GB2312" w:hAnsi="楷体" w:eastAsia="仿宋_GB2312"/>
                <w:b/>
                <w:bCs/>
                <w:szCs w:val="21"/>
              </w:rPr>
              <w:t>可比实例2</w:t>
            </w:r>
          </w:p>
        </w:tc>
        <w:tc>
          <w:tcPr>
            <w:tcW w:w="1701" w:type="dxa"/>
            <w:vAlign w:val="center"/>
          </w:tcPr>
          <w:p>
            <w:pPr>
              <w:jc w:val="center"/>
              <w:rPr>
                <w:rFonts w:ascii="仿宋_GB2312" w:hAnsi="楷体" w:eastAsia="仿宋_GB2312"/>
                <w:b/>
                <w:bCs/>
                <w:szCs w:val="21"/>
              </w:rPr>
            </w:pPr>
            <w:r>
              <w:rPr>
                <w:rFonts w:hint="eastAsia" w:ascii="仿宋_GB2312" w:hAnsi="楷体" w:eastAsia="仿宋_GB2312"/>
                <w:b/>
                <w:bCs/>
                <w:szCs w:val="21"/>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610" w:hRule="atLeast"/>
          <w:jc w:val="center"/>
        </w:trPr>
        <w:tc>
          <w:tcPr>
            <w:tcW w:w="2381" w:type="dxa"/>
            <w:vMerge w:val="continue"/>
            <w:vAlign w:val="center"/>
          </w:tcPr>
          <w:p>
            <w:pPr>
              <w:ind w:firstLine="422" w:firstLineChars="200"/>
              <w:jc w:val="center"/>
              <w:rPr>
                <w:rFonts w:ascii="仿宋_GB2312" w:hAnsi="楷体" w:eastAsia="仿宋_GB2312"/>
                <w:b/>
                <w:bCs/>
                <w:szCs w:val="21"/>
              </w:rPr>
            </w:pPr>
          </w:p>
        </w:tc>
        <w:tc>
          <w:tcPr>
            <w:tcW w:w="1701" w:type="dxa"/>
            <w:vAlign w:val="center"/>
          </w:tcPr>
          <w:p>
            <w:pPr>
              <w:jc w:val="center"/>
              <w:rPr>
                <w:rFonts w:ascii="仿宋_GB2312" w:hAnsi="楷体" w:eastAsia="仿宋_GB2312" w:cs="宋体"/>
                <w:bCs/>
                <w:szCs w:val="21"/>
              </w:rPr>
            </w:pPr>
            <w:r>
              <w:rPr>
                <w:rFonts w:hint="eastAsia" w:ascii="仿宋_GB2312" w:hAnsi="楷体" w:eastAsia="仿宋_GB2312"/>
                <w:bCs/>
                <w:szCs w:val="21"/>
                <w:lang w:eastAsia="zh-CN"/>
              </w:rPr>
              <w:t>百亿佳苑</w:t>
            </w:r>
          </w:p>
        </w:tc>
        <w:tc>
          <w:tcPr>
            <w:tcW w:w="1701" w:type="dxa"/>
            <w:vAlign w:val="center"/>
          </w:tcPr>
          <w:p>
            <w:pPr>
              <w:jc w:val="center"/>
              <w:rPr>
                <w:rFonts w:hint="eastAsia" w:eastAsia="宋体"/>
                <w:lang w:eastAsia="zh-CN"/>
              </w:rPr>
            </w:pPr>
            <w:r>
              <w:rPr>
                <w:rFonts w:hint="eastAsia" w:ascii="仿宋_GB2312" w:hAnsi="楷体" w:eastAsia="仿宋_GB2312"/>
                <w:bCs/>
                <w:szCs w:val="21"/>
                <w:lang w:eastAsia="zh-CN"/>
              </w:rPr>
              <w:t>百亿佳苑</w:t>
            </w:r>
          </w:p>
        </w:tc>
        <w:tc>
          <w:tcPr>
            <w:tcW w:w="1701" w:type="dxa"/>
            <w:vAlign w:val="center"/>
          </w:tcPr>
          <w:p>
            <w:pPr>
              <w:jc w:val="center"/>
              <w:rPr>
                <w:rFonts w:hint="eastAsia" w:eastAsia="宋体"/>
                <w:lang w:eastAsia="zh-CN"/>
              </w:rPr>
            </w:pPr>
            <w:r>
              <w:rPr>
                <w:rFonts w:hint="eastAsia" w:ascii="仿宋_GB2312" w:hAnsi="楷体" w:eastAsia="仿宋_GB2312"/>
                <w:bCs/>
                <w:szCs w:val="21"/>
                <w:lang w:eastAsia="zh-CN"/>
              </w:rPr>
              <w:t>百亿佳苑</w:t>
            </w:r>
          </w:p>
        </w:tc>
        <w:tc>
          <w:tcPr>
            <w:tcW w:w="1701" w:type="dxa"/>
            <w:vAlign w:val="center"/>
          </w:tcPr>
          <w:p>
            <w:pPr>
              <w:jc w:val="center"/>
              <w:rPr>
                <w:rFonts w:hint="eastAsia" w:eastAsia="宋体"/>
                <w:lang w:eastAsia="zh-CN"/>
              </w:rPr>
            </w:pPr>
            <w:r>
              <w:rPr>
                <w:rFonts w:hint="eastAsia" w:ascii="仿宋_GB2312" w:hAnsi="楷体" w:eastAsia="仿宋_GB2312"/>
                <w:bCs/>
                <w:szCs w:val="21"/>
                <w:lang w:eastAsia="zh-CN"/>
              </w:rPr>
              <w:t>百亿佳苑</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1.成交价格</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待估</w:t>
            </w:r>
          </w:p>
        </w:tc>
        <w:tc>
          <w:tcPr>
            <w:tcW w:w="1701" w:type="dxa"/>
            <w:vAlign w:val="center"/>
          </w:tcPr>
          <w:p>
            <w:pPr>
              <w:widowControl/>
              <w:jc w:val="center"/>
              <w:rPr>
                <w:rFonts w:hint="eastAsia" w:ascii="仿宋_GB2312" w:hAnsi="楷体" w:eastAsia="仿宋_GB2312" w:cs="宋体"/>
                <w:kern w:val="0"/>
                <w:szCs w:val="21"/>
                <w:lang w:val="en-US" w:eastAsia="zh-CN"/>
              </w:rPr>
            </w:pPr>
            <w:r>
              <w:rPr>
                <w:rFonts w:hint="eastAsia" w:ascii="仿宋_GB2312" w:hAnsi="楷体" w:eastAsia="仿宋_GB2312" w:cs="宋体"/>
                <w:kern w:val="0"/>
                <w:szCs w:val="21"/>
                <w:lang w:val="en-US" w:eastAsia="zh-CN"/>
              </w:rPr>
              <w:t>1839</w:t>
            </w:r>
          </w:p>
        </w:tc>
        <w:tc>
          <w:tcPr>
            <w:tcW w:w="1701" w:type="dxa"/>
            <w:vAlign w:val="center"/>
          </w:tcPr>
          <w:p>
            <w:pPr>
              <w:widowControl/>
              <w:jc w:val="center"/>
              <w:rPr>
                <w:rFonts w:hint="eastAsia" w:ascii="仿宋_GB2312" w:hAnsi="楷体" w:eastAsia="仿宋_GB2312" w:cs="宋体"/>
                <w:kern w:val="0"/>
                <w:szCs w:val="21"/>
                <w:lang w:val="en-US" w:eastAsia="zh-CN"/>
              </w:rPr>
            </w:pPr>
            <w:r>
              <w:rPr>
                <w:rFonts w:hint="eastAsia" w:ascii="仿宋_GB2312" w:hAnsi="楷体" w:eastAsia="仿宋_GB2312" w:cs="宋体"/>
                <w:kern w:val="0"/>
                <w:szCs w:val="21"/>
                <w:lang w:val="en-US" w:eastAsia="zh-CN"/>
              </w:rPr>
              <w:t>1940</w:t>
            </w:r>
          </w:p>
        </w:tc>
        <w:tc>
          <w:tcPr>
            <w:tcW w:w="1701" w:type="dxa"/>
            <w:vAlign w:val="center"/>
          </w:tcPr>
          <w:p>
            <w:pPr>
              <w:widowControl/>
              <w:jc w:val="center"/>
              <w:rPr>
                <w:rFonts w:hint="eastAsia" w:ascii="仿宋_GB2312" w:hAnsi="楷体" w:eastAsia="仿宋_GB2312" w:cs="宋体"/>
                <w:kern w:val="0"/>
                <w:szCs w:val="21"/>
                <w:lang w:val="en-US" w:eastAsia="zh-CN"/>
              </w:rPr>
            </w:pPr>
            <w:r>
              <w:rPr>
                <w:rFonts w:hint="eastAsia" w:ascii="仿宋_GB2312" w:hAnsi="楷体" w:eastAsia="仿宋_GB2312" w:cs="宋体"/>
                <w:kern w:val="0"/>
                <w:szCs w:val="21"/>
                <w:lang w:val="en-US" w:eastAsia="zh-CN"/>
              </w:rPr>
              <w:t>2222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2.标准化处理后的价格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1839</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1940</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2222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统一财产范围后的价格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房地产</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1839</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1940</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2222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统一付款方式后的价格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一次性付款</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1839</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1940</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2222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统一融资条件后的价格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常规融资条件下</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1839</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1940</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2222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统一税费负担后的价格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正常税费负担</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1839</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1940</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2222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81" w:type="dxa"/>
            <w:vAlign w:val="center"/>
          </w:tcPr>
          <w:p>
            <w:pPr>
              <w:jc w:val="center"/>
              <w:rPr>
                <w:rFonts w:ascii="仿宋_GB2312" w:hAnsi="楷体" w:eastAsia="仿宋_GB2312"/>
                <w:szCs w:val="21"/>
              </w:rPr>
            </w:pPr>
            <w:r>
              <w:rPr>
                <w:rFonts w:hint="eastAsia" w:ascii="仿宋_GB2312" w:hAnsi="楷体" w:eastAsia="仿宋_GB2312"/>
                <w:szCs w:val="21"/>
              </w:rPr>
              <w:t>统一计价单位后的价格</w:t>
            </w:r>
          </w:p>
        </w:tc>
        <w:tc>
          <w:tcPr>
            <w:tcW w:w="1701" w:type="dxa"/>
            <w:vAlign w:val="center"/>
          </w:tcPr>
          <w:p>
            <w:pPr>
              <w:jc w:val="center"/>
              <w:rPr>
                <w:rFonts w:ascii="仿宋_GB2312" w:hAnsi="楷体" w:eastAsia="仿宋_GB2312"/>
                <w:szCs w:val="21"/>
              </w:rPr>
            </w:pPr>
            <w:r>
              <w:rPr>
                <w:rFonts w:hint="eastAsia" w:ascii="仿宋_GB2312" w:hAnsi="楷体" w:eastAsia="仿宋_GB2312"/>
                <w:szCs w:val="21"/>
              </w:rPr>
              <w:t>元/建筑平方米</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1839</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1940</w:t>
            </w:r>
          </w:p>
        </w:tc>
        <w:tc>
          <w:tcPr>
            <w:tcW w:w="1701" w:type="dxa"/>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2222</w:t>
            </w:r>
          </w:p>
        </w:tc>
      </w:tr>
    </w:tbl>
    <w:p>
      <w:pPr>
        <w:spacing w:beforeLines="50" w:afterLines="50" w:line="360" w:lineRule="auto"/>
        <w:rPr>
          <w:rFonts w:ascii="仿宋_GB2312" w:hAnsi="楷体" w:eastAsia="仿宋_GB2312"/>
          <w:sz w:val="24"/>
          <w:szCs w:val="24"/>
        </w:rPr>
      </w:pPr>
      <w:r>
        <w:rPr>
          <w:rFonts w:hint="eastAsia" w:ascii="仿宋_GB2312" w:hAnsi="楷体" w:eastAsia="仿宋_GB2312"/>
          <w:b/>
          <w:sz w:val="24"/>
          <w:szCs w:val="24"/>
        </w:rPr>
        <w:t>（三） 建立比较因素条件说明表</w:t>
      </w:r>
    </w:p>
    <w:p>
      <w:pPr>
        <w:spacing w:before="50" w:line="600" w:lineRule="exact"/>
        <w:ind w:firstLine="560" w:firstLineChars="200"/>
        <w:rPr>
          <w:rFonts w:ascii="仿宋_GB2312" w:hAnsi="楷体" w:eastAsia="仿宋_GB2312"/>
          <w:sz w:val="28"/>
          <w:szCs w:val="28"/>
        </w:rPr>
      </w:pPr>
      <w:r>
        <w:rPr>
          <w:rFonts w:hint="eastAsia" w:ascii="仿宋_GB2312" w:hAnsi="楷体" w:eastAsia="仿宋_GB2312"/>
          <w:sz w:val="28"/>
          <w:szCs w:val="28"/>
        </w:rPr>
        <w:t>估价人员根据估价对象所在区域及街道的特点和用途，从市场资料中选取三个可比实例与估价对象进行比较。根据《房地产估价规范》，参与比较的因素应是对房地产影响较大并具有代表性的主要因素，针对这些因素来对可比实例进行修正。本次评估所选择的因素有：</w:t>
      </w:r>
    </w:p>
    <w:p>
      <w:pPr>
        <w:numPr>
          <w:ilvl w:val="2"/>
          <w:numId w:val="9"/>
        </w:numPr>
        <w:spacing w:line="600" w:lineRule="exact"/>
        <w:ind w:left="0" w:firstLine="567"/>
        <w:rPr>
          <w:rFonts w:ascii="仿宋_GB2312" w:hAnsi="楷体" w:eastAsia="仿宋_GB2312"/>
          <w:sz w:val="28"/>
          <w:szCs w:val="28"/>
        </w:rPr>
      </w:pPr>
      <w:r>
        <w:rPr>
          <w:rFonts w:hint="eastAsia" w:ascii="仿宋_GB2312" w:hAnsi="楷体" w:eastAsia="仿宋_GB2312"/>
          <w:sz w:val="28"/>
          <w:szCs w:val="28"/>
        </w:rPr>
        <w:t xml:space="preserve">交易情况修正：使可比实例的非正常成交价格成为正常价格的处理； </w:t>
      </w:r>
    </w:p>
    <w:p>
      <w:pPr>
        <w:numPr>
          <w:ilvl w:val="2"/>
          <w:numId w:val="9"/>
        </w:numPr>
        <w:spacing w:line="600" w:lineRule="exact"/>
        <w:ind w:left="0" w:firstLine="567"/>
        <w:rPr>
          <w:rFonts w:ascii="仿宋_GB2312" w:hAnsi="楷体" w:eastAsia="仿宋_GB2312"/>
          <w:sz w:val="28"/>
          <w:szCs w:val="28"/>
        </w:rPr>
      </w:pPr>
      <w:r>
        <w:rPr>
          <w:rFonts w:hint="eastAsia" w:ascii="仿宋_GB2312" w:hAnsi="楷体" w:eastAsia="仿宋_GB2312"/>
          <w:sz w:val="28"/>
          <w:szCs w:val="28"/>
        </w:rPr>
        <w:t>市场状况调整：使可比实例在其成交日期的价格成为在价值时点的价格的处理。</w:t>
      </w:r>
    </w:p>
    <w:p>
      <w:pPr>
        <w:numPr>
          <w:ilvl w:val="2"/>
          <w:numId w:val="9"/>
        </w:numPr>
        <w:spacing w:line="600" w:lineRule="exact"/>
        <w:ind w:left="0" w:firstLine="567"/>
        <w:rPr>
          <w:rFonts w:ascii="仿宋_GB2312" w:hAnsi="楷体" w:eastAsia="仿宋_GB2312"/>
          <w:sz w:val="28"/>
          <w:szCs w:val="28"/>
        </w:rPr>
      </w:pPr>
      <w:r>
        <w:rPr>
          <w:rFonts w:hint="eastAsia" w:ascii="仿宋_GB2312" w:hAnsi="楷体" w:eastAsia="仿宋_GB2312"/>
          <w:sz w:val="28"/>
          <w:szCs w:val="28"/>
        </w:rPr>
        <w:t>房地产状况调整：使可比实例在自身状况下的价格成为在估价对象状况下的价格的处理，包括区位状况调整、实物状况调整和权益状况调整。</w:t>
      </w:r>
    </w:p>
    <w:p>
      <w:pPr>
        <w:spacing w:line="600" w:lineRule="exact"/>
        <w:ind w:firstLine="560" w:firstLineChars="200"/>
        <w:rPr>
          <w:rFonts w:ascii="仿宋_GB2312" w:hAnsi="楷体" w:eastAsia="仿宋_GB2312"/>
          <w:sz w:val="28"/>
          <w:szCs w:val="28"/>
        </w:rPr>
      </w:pPr>
      <w:r>
        <w:rPr>
          <w:rFonts w:hint="eastAsia" w:ascii="仿宋_GB2312" w:hAnsi="楷体" w:eastAsia="仿宋_GB2312"/>
          <w:sz w:val="28"/>
          <w:szCs w:val="28"/>
        </w:rPr>
        <w:t>1)区位状况调整因素：包括距区域中心的距离、周围环境和景观、道路等级、公共交通便捷度、交通管制情况、基础设施、外部配套设施、住宅繁华度、临街状况、人流量及密度、楼层、朝向、平面位置。</w:t>
      </w:r>
    </w:p>
    <w:p>
      <w:pPr>
        <w:spacing w:line="600" w:lineRule="exact"/>
        <w:ind w:firstLine="560" w:firstLineChars="200"/>
        <w:rPr>
          <w:rFonts w:ascii="仿宋_GB2312" w:hAnsi="楷体" w:eastAsia="仿宋_GB2312"/>
          <w:sz w:val="28"/>
          <w:szCs w:val="28"/>
        </w:rPr>
      </w:pPr>
      <w:r>
        <w:rPr>
          <w:rFonts w:hint="eastAsia" w:ascii="仿宋_GB2312" w:hAnsi="楷体" w:eastAsia="仿宋_GB2312"/>
          <w:sz w:val="28"/>
          <w:szCs w:val="28"/>
        </w:rPr>
        <w:t>2)实物状况调整因素：包括土地实物状况（土地面积、形状、地形、地势、地质条件、开发程度）建筑物实物状况（外观设计、建筑结构形式、设备设施、装饰装修、层高、空间布局、建筑面积、建筑规模、临街宽度深度比、建筑功能、成新率(或工程进度)、物业管理、停车便捷度、特殊情况(如日照/采光/隔声等)）；</w:t>
      </w:r>
    </w:p>
    <w:p>
      <w:pPr>
        <w:spacing w:line="600" w:lineRule="exact"/>
        <w:ind w:firstLine="560" w:firstLineChars="200"/>
        <w:rPr>
          <w:rFonts w:ascii="仿宋_GB2312" w:hAnsi="楷体" w:eastAsia="仿宋_GB2312"/>
          <w:sz w:val="28"/>
          <w:szCs w:val="28"/>
        </w:rPr>
      </w:pPr>
      <w:r>
        <w:rPr>
          <w:rFonts w:hint="eastAsia" w:ascii="仿宋_GB2312" w:hAnsi="楷体" w:eastAsia="仿宋_GB2312"/>
          <w:sz w:val="28"/>
          <w:szCs w:val="28"/>
        </w:rPr>
        <w:t>3)权益状况调整因素：规划条件、共有情况、权属清晰情况、用益物权设立情况、担保物权设立情况、租赁或占有情况、拖欠税费情况、查封情况。</w:t>
      </w:r>
    </w:p>
    <w:p>
      <w:pPr>
        <w:spacing w:line="600" w:lineRule="exact"/>
        <w:ind w:firstLine="560" w:firstLineChars="200"/>
        <w:rPr>
          <w:rFonts w:ascii="仿宋_GB2312" w:hAnsi="楷体" w:eastAsia="仿宋_GB2312"/>
          <w:sz w:val="28"/>
          <w:szCs w:val="28"/>
        </w:rPr>
      </w:pPr>
      <w:r>
        <w:rPr>
          <w:rFonts w:hint="eastAsia" w:ascii="仿宋_GB2312" w:hAnsi="楷体" w:eastAsia="仿宋_GB2312"/>
          <w:sz w:val="28"/>
          <w:szCs w:val="28"/>
        </w:rPr>
        <w:t>估价对象与可比实例基本情况详见表3、表4：</w:t>
      </w:r>
    </w:p>
    <w:p>
      <w:pPr>
        <w:spacing w:afterLines="50" w:line="360" w:lineRule="auto"/>
        <w:jc w:val="center"/>
        <w:rPr>
          <w:rFonts w:ascii="仿宋_GB2312" w:hAnsi="楷体" w:eastAsia="仿宋_GB2312"/>
          <w:b/>
          <w:sz w:val="24"/>
          <w:szCs w:val="24"/>
        </w:rPr>
      </w:pPr>
      <w:r>
        <w:rPr>
          <w:rFonts w:hint="eastAsia" w:ascii="仿宋_GB2312" w:hAnsi="楷体" w:eastAsia="仿宋_GB2312"/>
          <w:b/>
          <w:sz w:val="24"/>
          <w:szCs w:val="24"/>
        </w:rPr>
        <w:t>表3  比较因素情况描述表</w:t>
      </w:r>
    </w:p>
    <w:tbl>
      <w:tblPr>
        <w:tblStyle w:val="47"/>
        <w:tblW w:w="9006"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07"/>
        <w:gridCol w:w="22"/>
        <w:gridCol w:w="543"/>
        <w:gridCol w:w="1494"/>
        <w:gridCol w:w="1643"/>
        <w:gridCol w:w="1490"/>
        <w:gridCol w:w="1411"/>
        <w:gridCol w:w="1696"/>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tblHeader/>
          <w:jc w:val="center"/>
        </w:trPr>
        <w:tc>
          <w:tcPr>
            <w:tcW w:w="2766" w:type="dxa"/>
            <w:gridSpan w:val="4"/>
            <w:vMerge w:val="restart"/>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项目名称</w:t>
            </w:r>
          </w:p>
        </w:tc>
        <w:tc>
          <w:tcPr>
            <w:tcW w:w="1643" w:type="dxa"/>
            <w:vMerge w:val="restart"/>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估价对象</w:t>
            </w:r>
          </w:p>
        </w:tc>
        <w:tc>
          <w:tcPr>
            <w:tcW w:w="1490"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可比实例1</w:t>
            </w:r>
          </w:p>
        </w:tc>
        <w:tc>
          <w:tcPr>
            <w:tcW w:w="1411"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可比实例2</w:t>
            </w:r>
          </w:p>
        </w:tc>
        <w:tc>
          <w:tcPr>
            <w:tcW w:w="1696"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80" w:hRule="atLeast"/>
          <w:tblHeader/>
          <w:jc w:val="center"/>
        </w:trPr>
        <w:tc>
          <w:tcPr>
            <w:tcW w:w="2766" w:type="dxa"/>
            <w:gridSpan w:val="4"/>
            <w:vMerge w:val="continue"/>
            <w:vAlign w:val="center"/>
          </w:tcPr>
          <w:p>
            <w:pPr>
              <w:widowControl/>
              <w:jc w:val="center"/>
              <w:rPr>
                <w:rFonts w:ascii="仿宋_GB2312" w:hAnsi="楷体" w:eastAsia="仿宋_GB2312" w:cs="宋体"/>
                <w:b/>
                <w:bCs/>
                <w:kern w:val="0"/>
                <w:sz w:val="18"/>
                <w:szCs w:val="18"/>
              </w:rPr>
            </w:pPr>
          </w:p>
        </w:tc>
        <w:tc>
          <w:tcPr>
            <w:tcW w:w="1643" w:type="dxa"/>
            <w:vMerge w:val="continue"/>
            <w:vAlign w:val="center"/>
          </w:tcPr>
          <w:p>
            <w:pPr>
              <w:widowControl/>
              <w:jc w:val="center"/>
              <w:rPr>
                <w:rFonts w:ascii="仿宋_GB2312" w:hAnsi="楷体" w:eastAsia="仿宋_GB2312" w:cs="宋体"/>
                <w:b/>
                <w:bCs/>
                <w:kern w:val="0"/>
                <w:sz w:val="18"/>
                <w:szCs w:val="18"/>
              </w:rPr>
            </w:pPr>
          </w:p>
        </w:tc>
        <w:tc>
          <w:tcPr>
            <w:tcW w:w="1490" w:type="dxa"/>
            <w:shd w:val="clear" w:color="auto" w:fill="auto"/>
            <w:vAlign w:val="center"/>
          </w:tcPr>
          <w:p>
            <w:pPr>
              <w:widowControl/>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百亿佳苑</w:t>
            </w:r>
          </w:p>
        </w:tc>
        <w:tc>
          <w:tcPr>
            <w:tcW w:w="1411" w:type="dxa"/>
            <w:shd w:val="clear" w:color="auto" w:fill="auto"/>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百亿佳苑</w:t>
            </w:r>
          </w:p>
        </w:tc>
        <w:tc>
          <w:tcPr>
            <w:tcW w:w="1696" w:type="dxa"/>
            <w:shd w:val="clear" w:color="auto" w:fill="auto"/>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百亿佳苑</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2766" w:type="dxa"/>
            <w:gridSpan w:val="4"/>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标准化处理后的成交价格</w:t>
            </w:r>
          </w:p>
        </w:tc>
        <w:tc>
          <w:tcPr>
            <w:tcW w:w="1643"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待估</w:t>
            </w:r>
          </w:p>
        </w:tc>
        <w:tc>
          <w:tcPr>
            <w:tcW w:w="1490"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1839</w:t>
            </w:r>
          </w:p>
        </w:tc>
        <w:tc>
          <w:tcPr>
            <w:tcW w:w="1411"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1940</w:t>
            </w:r>
          </w:p>
        </w:tc>
        <w:tc>
          <w:tcPr>
            <w:tcW w:w="1696"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2222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2766" w:type="dxa"/>
            <w:gridSpan w:val="4"/>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交易情况</w:t>
            </w:r>
          </w:p>
        </w:tc>
        <w:tc>
          <w:tcPr>
            <w:tcW w:w="1643"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490"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411"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696"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市场</w:t>
            </w:r>
          </w:p>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状况</w:t>
            </w:r>
          </w:p>
        </w:tc>
        <w:tc>
          <w:tcPr>
            <w:tcW w:w="1494" w:type="dxa"/>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成交日期</w:t>
            </w:r>
          </w:p>
        </w:tc>
        <w:tc>
          <w:tcPr>
            <w:tcW w:w="1643"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490"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2018年9月</w:t>
            </w:r>
          </w:p>
        </w:tc>
        <w:tc>
          <w:tcPr>
            <w:tcW w:w="1411"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2018年10月</w:t>
            </w:r>
          </w:p>
        </w:tc>
        <w:tc>
          <w:tcPr>
            <w:tcW w:w="1696"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2018年9月</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18" w:hRule="atLeast"/>
          <w:jc w:val="center"/>
        </w:trPr>
        <w:tc>
          <w:tcPr>
            <w:tcW w:w="707" w:type="dxa"/>
            <w:vMerge w:val="restart"/>
            <w:shd w:val="clear" w:color="auto" w:fill="auto"/>
            <w:textDirection w:val="tbRlV"/>
            <w:vAlign w:val="center"/>
          </w:tcPr>
          <w:p>
            <w:pPr>
              <w:widowControl/>
              <w:jc w:val="center"/>
              <w:rPr>
                <w:rFonts w:ascii="仿宋_GB2312" w:hAnsi="楷体" w:eastAsia="仿宋_GB2312" w:cs="宋体"/>
                <w:b/>
                <w:bCs/>
                <w:kern w:val="0"/>
                <w:sz w:val="18"/>
                <w:szCs w:val="18"/>
              </w:rPr>
            </w:pPr>
          </w:p>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区位状况</w:t>
            </w:r>
          </w:p>
        </w:tc>
        <w:tc>
          <w:tcPr>
            <w:tcW w:w="565" w:type="dxa"/>
            <w:gridSpan w:val="2"/>
            <w:vMerge w:val="restart"/>
            <w:shd w:val="clear" w:color="auto" w:fill="auto"/>
            <w:textDirection w:val="tbRlV"/>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位置状况</w:t>
            </w: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距区域中心的距离</w:t>
            </w:r>
          </w:p>
        </w:tc>
        <w:tc>
          <w:tcPr>
            <w:tcW w:w="1643" w:type="dxa"/>
            <w:shd w:val="clear" w:color="000000" w:fill="FFFFFF"/>
            <w:vAlign w:val="center"/>
          </w:tcPr>
          <w:p>
            <w:pPr>
              <w:widowControl/>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距宝源购物中心1200米</w:t>
            </w:r>
          </w:p>
        </w:tc>
        <w:tc>
          <w:tcPr>
            <w:tcW w:w="1490" w:type="dxa"/>
            <w:shd w:val="clear" w:color="000000" w:fill="FFFFFF"/>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距宝源购物中心1200米</w:t>
            </w:r>
          </w:p>
        </w:tc>
        <w:tc>
          <w:tcPr>
            <w:tcW w:w="1411" w:type="dxa"/>
            <w:shd w:val="clear" w:color="000000" w:fill="FFFFFF"/>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距宝源购物中心1200米</w:t>
            </w:r>
          </w:p>
        </w:tc>
        <w:tc>
          <w:tcPr>
            <w:tcW w:w="1696" w:type="dxa"/>
            <w:shd w:val="clear" w:color="000000" w:fill="FFFFFF"/>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距宝源购物中心1200米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集聚效应</w:t>
            </w:r>
          </w:p>
        </w:tc>
        <w:tc>
          <w:tcPr>
            <w:tcW w:w="1643" w:type="dxa"/>
            <w:shd w:val="clear" w:color="000000" w:fill="FFFFFF"/>
            <w:vAlign w:val="center"/>
          </w:tcPr>
          <w:p>
            <w:pPr>
              <w:jc w:val="center"/>
            </w:pPr>
            <w:r>
              <w:rPr>
                <w:rFonts w:hint="eastAsia" w:ascii="仿宋_GB2312" w:hAnsi="楷体" w:eastAsia="仿宋_GB2312" w:cs="宋体"/>
                <w:kern w:val="0"/>
                <w:sz w:val="18"/>
                <w:szCs w:val="18"/>
              </w:rPr>
              <w:t>位于</w:t>
            </w:r>
            <w:r>
              <w:rPr>
                <w:rFonts w:hint="eastAsia" w:ascii="仿宋_GB2312" w:hAnsi="楷体" w:eastAsia="仿宋_GB2312" w:cs="宋体"/>
                <w:kern w:val="0"/>
                <w:sz w:val="18"/>
                <w:szCs w:val="18"/>
                <w:lang w:eastAsia="zh-CN"/>
              </w:rPr>
              <w:t>宝源购物中心</w:t>
            </w:r>
            <w:r>
              <w:rPr>
                <w:rFonts w:hint="eastAsia" w:ascii="仿宋_GB2312" w:hAnsi="楷体" w:eastAsia="仿宋_GB2312" w:cs="宋体"/>
                <w:kern w:val="0"/>
                <w:sz w:val="18"/>
                <w:szCs w:val="18"/>
              </w:rPr>
              <w:t>附近，住宅小区较多，集聚效应较优</w:t>
            </w:r>
          </w:p>
        </w:tc>
        <w:tc>
          <w:tcPr>
            <w:tcW w:w="1490" w:type="dxa"/>
            <w:shd w:val="clear" w:color="000000" w:fill="FFFFFF"/>
            <w:vAlign w:val="center"/>
          </w:tcPr>
          <w:p>
            <w:pPr>
              <w:jc w:val="center"/>
            </w:pPr>
            <w:r>
              <w:rPr>
                <w:rFonts w:hint="eastAsia" w:ascii="仿宋_GB2312" w:hAnsi="楷体" w:eastAsia="仿宋_GB2312" w:cs="宋体"/>
                <w:kern w:val="0"/>
                <w:sz w:val="18"/>
                <w:szCs w:val="18"/>
              </w:rPr>
              <w:t>位于</w:t>
            </w:r>
            <w:r>
              <w:rPr>
                <w:rFonts w:hint="eastAsia" w:ascii="仿宋_GB2312" w:hAnsi="楷体" w:eastAsia="仿宋_GB2312" w:cs="宋体"/>
                <w:kern w:val="0"/>
                <w:sz w:val="18"/>
                <w:szCs w:val="18"/>
                <w:lang w:eastAsia="zh-CN"/>
              </w:rPr>
              <w:t>宝源购物中心</w:t>
            </w:r>
            <w:r>
              <w:rPr>
                <w:rFonts w:hint="eastAsia" w:ascii="仿宋_GB2312" w:hAnsi="楷体" w:eastAsia="仿宋_GB2312" w:cs="宋体"/>
                <w:kern w:val="0"/>
                <w:sz w:val="18"/>
                <w:szCs w:val="18"/>
              </w:rPr>
              <w:t>附近，住宅小区较多，集聚效应较优</w:t>
            </w:r>
          </w:p>
        </w:tc>
        <w:tc>
          <w:tcPr>
            <w:tcW w:w="1411" w:type="dxa"/>
            <w:shd w:val="clear" w:color="000000" w:fill="FFFFFF"/>
            <w:vAlign w:val="center"/>
          </w:tcPr>
          <w:p>
            <w:pPr>
              <w:jc w:val="center"/>
            </w:pPr>
            <w:r>
              <w:rPr>
                <w:rFonts w:hint="eastAsia" w:ascii="仿宋_GB2312" w:hAnsi="楷体" w:eastAsia="仿宋_GB2312" w:cs="宋体"/>
                <w:kern w:val="0"/>
                <w:sz w:val="18"/>
                <w:szCs w:val="18"/>
              </w:rPr>
              <w:t>位于</w:t>
            </w:r>
            <w:r>
              <w:rPr>
                <w:rFonts w:hint="eastAsia" w:ascii="仿宋_GB2312" w:hAnsi="楷体" w:eastAsia="仿宋_GB2312" w:cs="宋体"/>
                <w:kern w:val="0"/>
                <w:sz w:val="18"/>
                <w:szCs w:val="18"/>
                <w:lang w:eastAsia="zh-CN"/>
              </w:rPr>
              <w:t>宝源购物中心</w:t>
            </w:r>
            <w:r>
              <w:rPr>
                <w:rFonts w:hint="eastAsia" w:ascii="仿宋_GB2312" w:hAnsi="楷体" w:eastAsia="仿宋_GB2312" w:cs="宋体"/>
                <w:kern w:val="0"/>
                <w:sz w:val="18"/>
                <w:szCs w:val="18"/>
              </w:rPr>
              <w:t>附近，住宅小区较多，集聚效应较优</w:t>
            </w:r>
          </w:p>
        </w:tc>
        <w:tc>
          <w:tcPr>
            <w:tcW w:w="1696" w:type="dxa"/>
            <w:shd w:val="clear" w:color="000000" w:fill="FFFFFF"/>
            <w:vAlign w:val="center"/>
          </w:tcPr>
          <w:p>
            <w:pPr>
              <w:jc w:val="center"/>
            </w:pPr>
            <w:r>
              <w:rPr>
                <w:rFonts w:hint="eastAsia" w:ascii="仿宋_GB2312" w:hAnsi="楷体" w:eastAsia="仿宋_GB2312" w:cs="宋体"/>
                <w:kern w:val="0"/>
                <w:sz w:val="18"/>
                <w:szCs w:val="18"/>
              </w:rPr>
              <w:t>位于</w:t>
            </w:r>
            <w:r>
              <w:rPr>
                <w:rFonts w:hint="eastAsia" w:ascii="仿宋_GB2312" w:hAnsi="楷体" w:eastAsia="仿宋_GB2312" w:cs="宋体"/>
                <w:kern w:val="0"/>
                <w:sz w:val="18"/>
                <w:szCs w:val="18"/>
                <w:lang w:eastAsia="zh-CN"/>
              </w:rPr>
              <w:t>宝源购物中心</w:t>
            </w:r>
            <w:r>
              <w:rPr>
                <w:rFonts w:hint="eastAsia" w:ascii="仿宋_GB2312" w:hAnsi="楷体" w:eastAsia="仿宋_GB2312" w:cs="宋体"/>
                <w:kern w:val="0"/>
                <w:sz w:val="18"/>
                <w:szCs w:val="18"/>
              </w:rPr>
              <w:t>附近，住宅小区较多，集聚效应较优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临街状况</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eastAsia="zh-CN"/>
              </w:rPr>
              <w:t>三</w:t>
            </w:r>
            <w:r>
              <w:rPr>
                <w:rFonts w:hint="eastAsia" w:ascii="仿宋_GB2312" w:hAnsi="楷体" w:eastAsia="仿宋_GB2312" w:cs="宋体"/>
                <w:kern w:val="0"/>
                <w:sz w:val="18"/>
                <w:szCs w:val="18"/>
              </w:rPr>
              <w:t>面临街</w:t>
            </w:r>
          </w:p>
        </w:tc>
        <w:tc>
          <w:tcPr>
            <w:tcW w:w="1490" w:type="dxa"/>
            <w:shd w:val="clear" w:color="000000" w:fill="FFFFFF"/>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三面临街</w:t>
            </w:r>
          </w:p>
        </w:tc>
        <w:tc>
          <w:tcPr>
            <w:tcW w:w="1411" w:type="dxa"/>
            <w:shd w:val="clear" w:color="000000" w:fill="FFFFFF"/>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三面临街</w:t>
            </w:r>
          </w:p>
        </w:tc>
        <w:tc>
          <w:tcPr>
            <w:tcW w:w="1696" w:type="dxa"/>
            <w:shd w:val="clear" w:color="000000" w:fill="FFFFFF"/>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三面临街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人流量及密度</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周边有较多小区，人流量较大</w:t>
            </w:r>
          </w:p>
        </w:tc>
        <w:tc>
          <w:tcPr>
            <w:tcW w:w="1490" w:type="dxa"/>
            <w:shd w:val="clear" w:color="000000" w:fill="FFFFFF"/>
            <w:vAlign w:val="center"/>
          </w:tcPr>
          <w:p>
            <w:pPr>
              <w:jc w:val="center"/>
            </w:pPr>
            <w:r>
              <w:rPr>
                <w:rFonts w:hint="eastAsia" w:ascii="仿宋_GB2312" w:hAnsi="楷体" w:eastAsia="仿宋_GB2312" w:cs="宋体"/>
                <w:kern w:val="0"/>
                <w:sz w:val="18"/>
                <w:szCs w:val="18"/>
              </w:rPr>
              <w:t>周边有较多小区，人流量较大</w:t>
            </w:r>
          </w:p>
        </w:tc>
        <w:tc>
          <w:tcPr>
            <w:tcW w:w="1411" w:type="dxa"/>
            <w:shd w:val="clear" w:color="000000" w:fill="FFFFFF"/>
            <w:vAlign w:val="center"/>
          </w:tcPr>
          <w:p>
            <w:pPr>
              <w:jc w:val="center"/>
            </w:pPr>
            <w:r>
              <w:rPr>
                <w:rFonts w:hint="eastAsia" w:ascii="仿宋_GB2312" w:hAnsi="楷体" w:eastAsia="仿宋_GB2312" w:cs="宋体"/>
                <w:kern w:val="0"/>
                <w:sz w:val="18"/>
                <w:szCs w:val="18"/>
              </w:rPr>
              <w:t>周边有较多小区，人流量较大</w:t>
            </w:r>
          </w:p>
        </w:tc>
        <w:tc>
          <w:tcPr>
            <w:tcW w:w="1696" w:type="dxa"/>
            <w:shd w:val="clear" w:color="000000" w:fill="FFFFFF"/>
            <w:vAlign w:val="center"/>
          </w:tcPr>
          <w:p>
            <w:pPr>
              <w:jc w:val="center"/>
            </w:pPr>
            <w:r>
              <w:rPr>
                <w:rFonts w:hint="eastAsia" w:ascii="仿宋_GB2312" w:hAnsi="楷体" w:eastAsia="仿宋_GB2312" w:cs="宋体"/>
                <w:kern w:val="0"/>
                <w:sz w:val="18"/>
                <w:szCs w:val="18"/>
              </w:rPr>
              <w:t>周边有较多小区，人流量较大</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楼层</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val="en-US" w:eastAsia="zh-CN"/>
              </w:rPr>
              <w:t>2</w:t>
            </w:r>
            <w:r>
              <w:rPr>
                <w:rFonts w:hint="eastAsia" w:ascii="仿宋_GB2312" w:hAnsi="楷体" w:eastAsia="仿宋_GB2312" w:cs="宋体"/>
                <w:kern w:val="0"/>
                <w:sz w:val="18"/>
                <w:szCs w:val="18"/>
              </w:rPr>
              <w:t>层</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val="en-US" w:eastAsia="zh-CN"/>
              </w:rPr>
              <w:t>2</w:t>
            </w:r>
            <w:r>
              <w:rPr>
                <w:rFonts w:hint="eastAsia" w:ascii="仿宋_GB2312" w:hAnsi="楷体" w:eastAsia="仿宋_GB2312" w:cs="宋体"/>
                <w:kern w:val="0"/>
                <w:sz w:val="18"/>
                <w:szCs w:val="18"/>
              </w:rPr>
              <w:t>层</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val="en-US" w:eastAsia="zh-CN"/>
              </w:rPr>
              <w:t>5</w:t>
            </w:r>
            <w:r>
              <w:rPr>
                <w:rFonts w:hint="eastAsia" w:ascii="仿宋_GB2312" w:hAnsi="楷体" w:eastAsia="仿宋_GB2312" w:cs="宋体"/>
                <w:kern w:val="0"/>
                <w:sz w:val="18"/>
                <w:szCs w:val="18"/>
              </w:rPr>
              <w:t>层</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val="en-US" w:eastAsia="zh-CN"/>
              </w:rPr>
              <w:t>2</w:t>
            </w:r>
            <w:r>
              <w:rPr>
                <w:rFonts w:hint="eastAsia" w:ascii="仿宋_GB2312" w:hAnsi="楷体" w:eastAsia="仿宋_GB2312" w:cs="宋体"/>
                <w:kern w:val="0"/>
                <w:sz w:val="18"/>
                <w:szCs w:val="18"/>
              </w:rPr>
              <w:t>层</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朝向</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平面位置</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位于小区内出入较方便位置</w:t>
            </w:r>
          </w:p>
        </w:tc>
        <w:tc>
          <w:tcPr>
            <w:tcW w:w="1490" w:type="dxa"/>
            <w:shd w:val="clear" w:color="000000" w:fill="FFFFFF"/>
            <w:vAlign w:val="center"/>
          </w:tcPr>
          <w:p>
            <w:pPr>
              <w:jc w:val="center"/>
            </w:pPr>
            <w:r>
              <w:rPr>
                <w:rFonts w:hint="eastAsia" w:ascii="仿宋_GB2312" w:hAnsi="楷体" w:eastAsia="仿宋_GB2312" w:cs="宋体"/>
                <w:kern w:val="0"/>
                <w:sz w:val="18"/>
                <w:szCs w:val="18"/>
              </w:rPr>
              <w:t>位于小区内出入较方便位置</w:t>
            </w:r>
          </w:p>
        </w:tc>
        <w:tc>
          <w:tcPr>
            <w:tcW w:w="1411" w:type="dxa"/>
            <w:shd w:val="clear" w:color="000000" w:fill="FFFFFF"/>
            <w:vAlign w:val="center"/>
          </w:tcPr>
          <w:p>
            <w:pPr>
              <w:jc w:val="center"/>
            </w:pPr>
            <w:r>
              <w:rPr>
                <w:rFonts w:hint="eastAsia" w:ascii="仿宋_GB2312" w:hAnsi="楷体" w:eastAsia="仿宋_GB2312" w:cs="宋体"/>
                <w:kern w:val="0"/>
                <w:sz w:val="18"/>
                <w:szCs w:val="18"/>
              </w:rPr>
              <w:t>位于小区内出入较方便位置</w:t>
            </w:r>
          </w:p>
        </w:tc>
        <w:tc>
          <w:tcPr>
            <w:tcW w:w="1696" w:type="dxa"/>
            <w:shd w:val="clear" w:color="000000" w:fill="FFFFFF"/>
            <w:vAlign w:val="center"/>
          </w:tcPr>
          <w:p>
            <w:pPr>
              <w:jc w:val="center"/>
            </w:pPr>
            <w:r>
              <w:rPr>
                <w:rFonts w:hint="eastAsia" w:ascii="仿宋_GB2312" w:hAnsi="楷体" w:eastAsia="仿宋_GB2312" w:cs="宋体"/>
                <w:kern w:val="0"/>
                <w:sz w:val="18"/>
                <w:szCs w:val="18"/>
              </w:rPr>
              <w:t>位于小区内出入较方便位置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vAlign w:val="center"/>
          </w:tcPr>
          <w:p>
            <w:pPr>
              <w:widowControl/>
              <w:jc w:val="center"/>
              <w:rPr>
                <w:rFonts w:ascii="仿宋_GB2312" w:hAnsi="楷体" w:eastAsia="仿宋_GB2312" w:cs="宋体"/>
                <w:b/>
                <w:bCs/>
                <w:kern w:val="0"/>
                <w:sz w:val="18"/>
                <w:szCs w:val="18"/>
              </w:rPr>
            </w:pPr>
          </w:p>
        </w:tc>
        <w:tc>
          <w:tcPr>
            <w:tcW w:w="565" w:type="dxa"/>
            <w:gridSpan w:val="2"/>
            <w:vMerge w:val="restart"/>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Calibri" w:eastAsia="仿宋_GB2312"/>
                <w:b/>
                <w:bCs/>
                <w:color w:val="000000"/>
                <w:kern w:val="0"/>
                <w:sz w:val="18"/>
                <w:szCs w:val="18"/>
              </w:rPr>
              <w:t>交通状况</w:t>
            </w:r>
          </w:p>
        </w:tc>
        <w:tc>
          <w:tcPr>
            <w:tcW w:w="1494" w:type="dxa"/>
            <w:shd w:val="clear" w:color="000000" w:fill="FFFFFF"/>
            <w:vAlign w:val="center"/>
          </w:tcPr>
          <w:p>
            <w:pPr>
              <w:widowControl/>
              <w:jc w:val="center"/>
              <w:rPr>
                <w:rFonts w:ascii="仿宋_GB2312" w:hAnsi="Calibri" w:eastAsia="仿宋_GB2312"/>
                <w:b/>
                <w:bCs/>
                <w:color w:val="000000"/>
                <w:kern w:val="0"/>
                <w:sz w:val="18"/>
                <w:szCs w:val="18"/>
              </w:rPr>
            </w:pPr>
            <w:r>
              <w:rPr>
                <w:rFonts w:hint="eastAsia" w:ascii="仿宋_GB2312" w:hAnsi="Calibri" w:eastAsia="仿宋_GB2312"/>
                <w:b/>
                <w:bCs/>
                <w:color w:val="000000"/>
                <w:kern w:val="0"/>
                <w:sz w:val="18"/>
                <w:szCs w:val="18"/>
              </w:rPr>
              <w:t>道路等级</w:t>
            </w:r>
          </w:p>
        </w:tc>
        <w:tc>
          <w:tcPr>
            <w:tcW w:w="1643"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临次干道</w:t>
            </w:r>
          </w:p>
        </w:tc>
        <w:tc>
          <w:tcPr>
            <w:tcW w:w="1490" w:type="dxa"/>
            <w:shd w:val="clear" w:color="000000" w:fill="FFFFFF"/>
            <w:vAlign w:val="center"/>
          </w:tcPr>
          <w:p>
            <w:pPr>
              <w:jc w:val="center"/>
            </w:pPr>
            <w:r>
              <w:rPr>
                <w:rFonts w:hint="eastAsia" w:ascii="仿宋_GB2312" w:hAnsi="Calibri" w:eastAsia="仿宋_GB2312"/>
                <w:kern w:val="0"/>
                <w:sz w:val="18"/>
                <w:szCs w:val="18"/>
              </w:rPr>
              <w:t>临次干道</w:t>
            </w:r>
          </w:p>
        </w:tc>
        <w:tc>
          <w:tcPr>
            <w:tcW w:w="1411" w:type="dxa"/>
            <w:shd w:val="clear" w:color="000000" w:fill="FFFFFF"/>
            <w:vAlign w:val="center"/>
          </w:tcPr>
          <w:p>
            <w:pPr>
              <w:jc w:val="center"/>
            </w:pPr>
            <w:r>
              <w:rPr>
                <w:rFonts w:hint="eastAsia" w:ascii="仿宋_GB2312" w:hAnsi="Calibri" w:eastAsia="仿宋_GB2312"/>
                <w:kern w:val="0"/>
                <w:sz w:val="18"/>
                <w:szCs w:val="18"/>
              </w:rPr>
              <w:t>临次干道</w:t>
            </w:r>
          </w:p>
        </w:tc>
        <w:tc>
          <w:tcPr>
            <w:tcW w:w="1696" w:type="dxa"/>
            <w:shd w:val="clear" w:color="000000" w:fill="FFFFFF"/>
            <w:vAlign w:val="center"/>
          </w:tcPr>
          <w:p>
            <w:pPr>
              <w:jc w:val="center"/>
            </w:pPr>
            <w:r>
              <w:rPr>
                <w:rFonts w:hint="eastAsia" w:ascii="仿宋_GB2312" w:hAnsi="Calibri" w:eastAsia="仿宋_GB2312"/>
                <w:kern w:val="0"/>
                <w:sz w:val="18"/>
                <w:szCs w:val="18"/>
              </w:rPr>
              <w:t>临次干道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公共交通便捷度</w:t>
            </w:r>
          </w:p>
        </w:tc>
        <w:tc>
          <w:tcPr>
            <w:tcW w:w="1643" w:type="dxa"/>
            <w:shd w:val="clear" w:color="000000" w:fill="FFFFFF"/>
            <w:vAlign w:val="center"/>
          </w:tcPr>
          <w:p>
            <w:pPr>
              <w:widowControl/>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无公交线路</w:t>
            </w:r>
          </w:p>
        </w:tc>
        <w:tc>
          <w:tcPr>
            <w:tcW w:w="1490" w:type="dxa"/>
            <w:shd w:val="clear" w:color="000000" w:fill="FFFFFF"/>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无公交线路</w:t>
            </w:r>
          </w:p>
        </w:tc>
        <w:tc>
          <w:tcPr>
            <w:tcW w:w="1411" w:type="dxa"/>
            <w:shd w:val="clear" w:color="000000" w:fill="FFFFFF"/>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无公交线路</w:t>
            </w:r>
          </w:p>
        </w:tc>
        <w:tc>
          <w:tcPr>
            <w:tcW w:w="1696" w:type="dxa"/>
            <w:shd w:val="clear" w:color="000000" w:fill="FFFFFF"/>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无公交线路</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Calibri" w:eastAsia="仿宋_GB2312"/>
                <w:b/>
                <w:bCs/>
                <w:color w:val="000000"/>
                <w:kern w:val="0"/>
                <w:sz w:val="18"/>
                <w:szCs w:val="18"/>
              </w:rPr>
            </w:pPr>
            <w:r>
              <w:rPr>
                <w:rFonts w:hint="eastAsia" w:ascii="仿宋_GB2312" w:hAnsi="Calibri" w:eastAsia="仿宋_GB2312"/>
                <w:b/>
                <w:bCs/>
                <w:color w:val="000000"/>
                <w:kern w:val="0"/>
                <w:sz w:val="18"/>
                <w:szCs w:val="18"/>
              </w:rPr>
              <w:t>对外交通便利度</w:t>
            </w:r>
          </w:p>
        </w:tc>
        <w:tc>
          <w:tcPr>
            <w:tcW w:w="1643" w:type="dxa"/>
            <w:shd w:val="clear" w:color="000000" w:fill="FFFFFF"/>
            <w:vAlign w:val="center"/>
          </w:tcPr>
          <w:p>
            <w:pPr>
              <w:widowControl/>
              <w:jc w:val="center"/>
              <w:rPr>
                <w:rFonts w:hint="eastAsia" w:ascii="仿宋_GB2312" w:hAnsi="Calibri" w:eastAsia="仿宋_GB2312"/>
                <w:color w:val="000000"/>
                <w:kern w:val="0"/>
                <w:sz w:val="18"/>
                <w:szCs w:val="18"/>
                <w:lang w:eastAsia="zh-CN"/>
              </w:rPr>
            </w:pPr>
            <w:r>
              <w:rPr>
                <w:rFonts w:hint="eastAsia" w:ascii="仿宋_GB2312" w:hAnsi="Calibri" w:eastAsia="仿宋_GB2312"/>
                <w:color w:val="000000"/>
                <w:kern w:val="0"/>
                <w:sz w:val="18"/>
                <w:szCs w:val="18"/>
                <w:lang w:eastAsia="zh-CN"/>
              </w:rPr>
              <w:t>距乌拉特后旗客运站1200米</w:t>
            </w:r>
          </w:p>
        </w:tc>
        <w:tc>
          <w:tcPr>
            <w:tcW w:w="1490" w:type="dxa"/>
            <w:shd w:val="clear" w:color="000000" w:fill="FFFFFF"/>
            <w:vAlign w:val="center"/>
          </w:tcPr>
          <w:p>
            <w:pPr>
              <w:jc w:val="center"/>
              <w:rPr>
                <w:rFonts w:hint="eastAsia" w:eastAsia="宋体"/>
                <w:lang w:eastAsia="zh-CN"/>
              </w:rPr>
            </w:pPr>
            <w:r>
              <w:rPr>
                <w:rFonts w:hint="eastAsia" w:ascii="仿宋_GB2312" w:hAnsi="Calibri" w:eastAsia="仿宋_GB2312"/>
                <w:color w:val="000000"/>
                <w:kern w:val="0"/>
                <w:sz w:val="18"/>
                <w:szCs w:val="18"/>
                <w:lang w:eastAsia="zh-CN"/>
              </w:rPr>
              <w:t>距乌拉特后旗客运站1200米</w:t>
            </w:r>
          </w:p>
        </w:tc>
        <w:tc>
          <w:tcPr>
            <w:tcW w:w="1411" w:type="dxa"/>
            <w:shd w:val="clear" w:color="000000" w:fill="FFFFFF"/>
            <w:vAlign w:val="center"/>
          </w:tcPr>
          <w:p>
            <w:pPr>
              <w:jc w:val="center"/>
              <w:rPr>
                <w:rFonts w:hint="eastAsia" w:eastAsia="宋体"/>
                <w:lang w:eastAsia="zh-CN"/>
              </w:rPr>
            </w:pPr>
            <w:r>
              <w:rPr>
                <w:rFonts w:hint="eastAsia" w:ascii="仿宋_GB2312" w:hAnsi="Calibri" w:eastAsia="仿宋_GB2312"/>
                <w:color w:val="000000"/>
                <w:kern w:val="0"/>
                <w:sz w:val="18"/>
                <w:szCs w:val="18"/>
                <w:lang w:eastAsia="zh-CN"/>
              </w:rPr>
              <w:t>距乌拉特后旗客运站1200米</w:t>
            </w:r>
          </w:p>
        </w:tc>
        <w:tc>
          <w:tcPr>
            <w:tcW w:w="1696" w:type="dxa"/>
            <w:shd w:val="clear" w:color="000000" w:fill="FFFFFF"/>
            <w:vAlign w:val="center"/>
          </w:tcPr>
          <w:p>
            <w:pPr>
              <w:jc w:val="center"/>
              <w:rPr>
                <w:rFonts w:hint="eastAsia" w:eastAsia="宋体"/>
                <w:lang w:eastAsia="zh-CN"/>
              </w:rPr>
            </w:pPr>
            <w:r>
              <w:rPr>
                <w:rFonts w:hint="eastAsia" w:ascii="仿宋_GB2312" w:hAnsi="Calibri" w:eastAsia="仿宋_GB2312"/>
                <w:color w:val="000000"/>
                <w:kern w:val="0"/>
                <w:sz w:val="18"/>
                <w:szCs w:val="18"/>
                <w:lang w:eastAsia="zh-CN"/>
              </w:rPr>
              <w:t>距乌拉特后旗客运站1200米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交通管制情况</w:t>
            </w:r>
          </w:p>
        </w:tc>
        <w:tc>
          <w:tcPr>
            <w:tcW w:w="1643"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全天无交通管制</w:t>
            </w:r>
          </w:p>
        </w:tc>
        <w:tc>
          <w:tcPr>
            <w:tcW w:w="1490" w:type="dxa"/>
            <w:shd w:val="clear" w:color="000000" w:fill="FFFFFF"/>
            <w:vAlign w:val="center"/>
          </w:tcPr>
          <w:p>
            <w:pPr>
              <w:jc w:val="center"/>
            </w:pPr>
            <w:r>
              <w:rPr>
                <w:rFonts w:hint="eastAsia" w:ascii="仿宋_GB2312" w:eastAsia="仿宋_GB2312"/>
                <w:sz w:val="18"/>
                <w:szCs w:val="18"/>
              </w:rPr>
              <w:t>全天无交通管制</w:t>
            </w:r>
          </w:p>
        </w:tc>
        <w:tc>
          <w:tcPr>
            <w:tcW w:w="1411" w:type="dxa"/>
            <w:shd w:val="clear" w:color="000000" w:fill="FFFFFF"/>
            <w:vAlign w:val="center"/>
          </w:tcPr>
          <w:p>
            <w:pPr>
              <w:jc w:val="center"/>
            </w:pPr>
            <w:r>
              <w:rPr>
                <w:rFonts w:hint="eastAsia" w:ascii="仿宋_GB2312" w:eastAsia="仿宋_GB2312"/>
                <w:sz w:val="18"/>
                <w:szCs w:val="18"/>
              </w:rPr>
              <w:t>全天无交通管制</w:t>
            </w:r>
          </w:p>
        </w:tc>
        <w:tc>
          <w:tcPr>
            <w:tcW w:w="1696" w:type="dxa"/>
            <w:shd w:val="clear" w:color="000000" w:fill="FFFFFF"/>
            <w:vAlign w:val="center"/>
          </w:tcPr>
          <w:p>
            <w:pPr>
              <w:jc w:val="center"/>
            </w:pPr>
            <w:r>
              <w:rPr>
                <w:rFonts w:hint="eastAsia" w:ascii="仿宋_GB2312" w:eastAsia="仿宋_GB2312"/>
                <w:sz w:val="18"/>
                <w:szCs w:val="18"/>
              </w:rPr>
              <w:t>全天无交通管制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582" w:hRule="atLeast"/>
          <w:jc w:val="center"/>
        </w:trPr>
        <w:tc>
          <w:tcPr>
            <w:tcW w:w="707" w:type="dxa"/>
            <w:vMerge w:val="continue"/>
            <w:vAlign w:val="center"/>
          </w:tcPr>
          <w:p>
            <w:pPr>
              <w:widowControl/>
              <w:jc w:val="center"/>
              <w:rPr>
                <w:rFonts w:ascii="仿宋_GB2312" w:hAnsi="楷体" w:eastAsia="仿宋_GB2312" w:cs="宋体"/>
                <w:b/>
                <w:bCs/>
                <w:kern w:val="0"/>
                <w:sz w:val="18"/>
                <w:szCs w:val="18"/>
              </w:rPr>
            </w:pPr>
          </w:p>
        </w:tc>
        <w:tc>
          <w:tcPr>
            <w:tcW w:w="565" w:type="dxa"/>
            <w:gridSpan w:val="2"/>
            <w:vMerge w:val="restart"/>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外部配套设施状况</w:t>
            </w: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基础设施</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eastAsia="zh-CN"/>
              </w:rPr>
              <w:t>四通</w:t>
            </w:r>
            <w:r>
              <w:rPr>
                <w:rFonts w:hint="eastAsia" w:ascii="仿宋_GB2312" w:hAnsi="楷体" w:eastAsia="仿宋_GB2312" w:cs="宋体"/>
                <w:kern w:val="0"/>
                <w:sz w:val="18"/>
                <w:szCs w:val="18"/>
              </w:rPr>
              <w:t>，保障率≥90%</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eastAsia="zh-CN"/>
              </w:rPr>
              <w:t>四通</w:t>
            </w:r>
            <w:r>
              <w:rPr>
                <w:rFonts w:hint="eastAsia" w:ascii="仿宋_GB2312" w:hAnsi="楷体" w:eastAsia="仿宋_GB2312" w:cs="宋体"/>
                <w:kern w:val="0"/>
                <w:sz w:val="18"/>
                <w:szCs w:val="18"/>
              </w:rPr>
              <w:t>，保障率≥90%</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eastAsia="zh-CN"/>
              </w:rPr>
              <w:t>四通</w:t>
            </w:r>
            <w:r>
              <w:rPr>
                <w:rFonts w:hint="eastAsia" w:ascii="仿宋_GB2312" w:hAnsi="楷体" w:eastAsia="仿宋_GB2312" w:cs="宋体"/>
                <w:kern w:val="0"/>
                <w:sz w:val="18"/>
                <w:szCs w:val="18"/>
              </w:rPr>
              <w:t>，保障率≥90%</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lang w:eastAsia="zh-CN"/>
              </w:rPr>
              <w:t>四通</w:t>
            </w:r>
            <w:r>
              <w:rPr>
                <w:rFonts w:hint="eastAsia" w:ascii="仿宋_GB2312" w:hAnsi="楷体" w:eastAsia="仿宋_GB2312" w:cs="宋体"/>
                <w:kern w:val="0"/>
                <w:sz w:val="18"/>
                <w:szCs w:val="18"/>
              </w:rPr>
              <w:t>，保障率≥90%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vAlign w:val="center"/>
          </w:tcPr>
          <w:p>
            <w:pPr>
              <w:widowControl/>
              <w:jc w:val="center"/>
              <w:rPr>
                <w:rFonts w:ascii="仿宋_GB2312" w:hAnsi="楷体" w:eastAsia="仿宋_GB2312" w:cs="宋体"/>
                <w:b/>
                <w:bCs/>
                <w:kern w:val="0"/>
                <w:sz w:val="18"/>
                <w:szCs w:val="18"/>
              </w:rPr>
            </w:pPr>
          </w:p>
        </w:tc>
        <w:tc>
          <w:tcPr>
            <w:tcW w:w="565" w:type="dxa"/>
            <w:gridSpan w:val="2"/>
            <w:vMerge w:val="continue"/>
            <w:shd w:val="clear" w:color="auto" w:fill="auto"/>
            <w:vAlign w:val="center"/>
          </w:tcPr>
          <w:p>
            <w:pPr>
              <w:widowControl/>
              <w:jc w:val="center"/>
              <w:rPr>
                <w:rFonts w:ascii="仿宋_GB2312" w:hAnsi="楷体" w:eastAsia="仿宋_GB2312" w:cs="宋体"/>
                <w:b/>
                <w:bCs/>
                <w:kern w:val="0"/>
                <w:sz w:val="18"/>
                <w:szCs w:val="18"/>
              </w:rPr>
            </w:pP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w:t>
            </w:r>
          </w:p>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半径1公里内</w:t>
            </w:r>
          </w:p>
        </w:tc>
        <w:tc>
          <w:tcPr>
            <w:tcW w:w="1643" w:type="dxa"/>
            <w:shd w:val="clear" w:color="000000" w:fill="FFFFFF"/>
            <w:vAlign w:val="center"/>
          </w:tcPr>
          <w:p>
            <w:pPr>
              <w:widowControl/>
              <w:jc w:val="center"/>
              <w:rPr>
                <w:rFonts w:hint="eastAsia" w:ascii="仿宋_GB2312" w:hAnsi="楷体" w:eastAsia="仿宋_GB2312" w:cs="宋体"/>
                <w:kern w:val="0"/>
                <w:sz w:val="18"/>
                <w:szCs w:val="18"/>
                <w:lang w:eastAsia="zh-CN"/>
              </w:rPr>
            </w:pPr>
            <w:r>
              <w:rPr>
                <w:rFonts w:hint="eastAsia" w:eastAsia="仿宋_GB2312"/>
                <w:kern w:val="0"/>
                <w:sz w:val="18"/>
                <w:szCs w:val="18"/>
                <w:lang w:eastAsia="zh-CN"/>
              </w:rPr>
              <w:t>1公里内有乌拉特后旗第一中学、乌拉特后旗医院、乌拉特后旗博物馆等</w:t>
            </w:r>
          </w:p>
        </w:tc>
        <w:tc>
          <w:tcPr>
            <w:tcW w:w="1490" w:type="dxa"/>
            <w:shd w:val="clear" w:color="000000" w:fill="FFFFFF"/>
            <w:vAlign w:val="center"/>
          </w:tcPr>
          <w:p>
            <w:pPr>
              <w:widowControl/>
              <w:jc w:val="center"/>
              <w:rPr>
                <w:rFonts w:hint="eastAsia" w:ascii="仿宋_GB2312" w:hAnsi="楷体" w:eastAsia="仿宋_GB2312" w:cs="宋体"/>
                <w:kern w:val="0"/>
                <w:sz w:val="18"/>
                <w:szCs w:val="18"/>
                <w:lang w:eastAsia="zh-CN"/>
              </w:rPr>
            </w:pPr>
            <w:r>
              <w:rPr>
                <w:rFonts w:hint="eastAsia" w:eastAsia="仿宋_GB2312"/>
                <w:kern w:val="0"/>
                <w:sz w:val="18"/>
                <w:szCs w:val="18"/>
                <w:lang w:eastAsia="zh-CN"/>
              </w:rPr>
              <w:t>1公里内有乌拉特后旗第一中学、乌拉特后旗医院、乌拉特后旗博物馆等</w:t>
            </w:r>
          </w:p>
        </w:tc>
        <w:tc>
          <w:tcPr>
            <w:tcW w:w="1411" w:type="dxa"/>
            <w:shd w:val="clear" w:color="000000" w:fill="FFFFFF"/>
            <w:vAlign w:val="center"/>
          </w:tcPr>
          <w:p>
            <w:pPr>
              <w:widowControl/>
              <w:jc w:val="center"/>
              <w:rPr>
                <w:rFonts w:hint="eastAsia" w:ascii="仿宋_GB2312" w:hAnsi="楷体" w:eastAsia="仿宋_GB2312" w:cs="宋体"/>
                <w:kern w:val="0"/>
                <w:sz w:val="18"/>
                <w:szCs w:val="18"/>
                <w:lang w:eastAsia="zh-CN"/>
              </w:rPr>
            </w:pPr>
            <w:r>
              <w:rPr>
                <w:rFonts w:hint="eastAsia" w:eastAsia="仿宋_GB2312"/>
                <w:kern w:val="0"/>
                <w:sz w:val="18"/>
                <w:szCs w:val="18"/>
                <w:lang w:eastAsia="zh-CN"/>
              </w:rPr>
              <w:t>1公里内有乌拉特后旗第一中学、乌拉特后旗医院、乌拉特后旗博物馆等</w:t>
            </w:r>
          </w:p>
        </w:tc>
        <w:tc>
          <w:tcPr>
            <w:tcW w:w="1696" w:type="dxa"/>
            <w:shd w:val="clear" w:color="000000" w:fill="FFFFFF"/>
            <w:vAlign w:val="center"/>
          </w:tcPr>
          <w:p>
            <w:pPr>
              <w:widowControl/>
              <w:jc w:val="center"/>
              <w:rPr>
                <w:rFonts w:hint="eastAsia" w:ascii="仿宋_GB2312" w:hAnsi="楷体" w:eastAsia="仿宋_GB2312" w:cs="宋体"/>
                <w:kern w:val="0"/>
                <w:sz w:val="18"/>
                <w:szCs w:val="18"/>
                <w:lang w:eastAsia="zh-CN"/>
              </w:rPr>
            </w:pPr>
            <w:r>
              <w:rPr>
                <w:rFonts w:hint="eastAsia" w:eastAsia="仿宋_GB2312"/>
                <w:kern w:val="0"/>
                <w:sz w:val="18"/>
                <w:szCs w:val="18"/>
                <w:lang w:eastAsia="zh-CN"/>
              </w:rPr>
              <w:t>1公里内有乌拉特后旗第一中学、乌拉特后旗医院、乌拉特后旗博物馆等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7" w:type="dxa"/>
            <w:vMerge w:val="continue"/>
            <w:vAlign w:val="center"/>
          </w:tcPr>
          <w:p>
            <w:pPr>
              <w:widowControl/>
              <w:jc w:val="center"/>
              <w:rPr>
                <w:rFonts w:ascii="仿宋_GB2312" w:hAnsi="楷体" w:eastAsia="仿宋_GB2312" w:cs="宋体"/>
                <w:b/>
                <w:bCs/>
                <w:kern w:val="0"/>
                <w:sz w:val="18"/>
                <w:szCs w:val="18"/>
              </w:rPr>
            </w:pPr>
          </w:p>
        </w:tc>
        <w:tc>
          <w:tcPr>
            <w:tcW w:w="565" w:type="dxa"/>
            <w:gridSpan w:val="2"/>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环境状况</w:t>
            </w:r>
          </w:p>
        </w:tc>
        <w:tc>
          <w:tcPr>
            <w:tcW w:w="1494"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周边环境和景观</w:t>
            </w:r>
          </w:p>
        </w:tc>
        <w:tc>
          <w:tcPr>
            <w:tcW w:w="1643" w:type="dxa"/>
            <w:shd w:val="clear" w:color="000000" w:fill="FFFFFF"/>
            <w:vAlign w:val="center"/>
          </w:tcPr>
          <w:p>
            <w:pPr>
              <w:widowControl/>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1.5公里内有呼格吉乐公园等绿地</w:t>
            </w:r>
          </w:p>
        </w:tc>
        <w:tc>
          <w:tcPr>
            <w:tcW w:w="1490" w:type="dxa"/>
            <w:shd w:val="clear" w:color="000000" w:fill="FFFFFF"/>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1.5公里内有呼格吉乐公园等绿地</w:t>
            </w:r>
          </w:p>
        </w:tc>
        <w:tc>
          <w:tcPr>
            <w:tcW w:w="1411" w:type="dxa"/>
            <w:shd w:val="clear" w:color="000000" w:fill="FFFFFF"/>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1.5公里内有呼格吉乐公园等绿地</w:t>
            </w:r>
          </w:p>
        </w:tc>
        <w:tc>
          <w:tcPr>
            <w:tcW w:w="1696" w:type="dxa"/>
            <w:shd w:val="clear" w:color="000000" w:fill="FFFFFF"/>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1.5公里内有呼格吉乐公园等绿地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restart"/>
            <w:shd w:val="clear" w:color="auto" w:fill="auto"/>
            <w:textDirection w:val="tbRlV"/>
            <w:vAlign w:val="center"/>
          </w:tcPr>
          <w:p>
            <w:pPr>
              <w:widowControl/>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实物状况</w:t>
            </w: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外观设计</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一般</w:t>
            </w:r>
          </w:p>
        </w:tc>
        <w:tc>
          <w:tcPr>
            <w:tcW w:w="1490" w:type="dxa"/>
            <w:shd w:val="clear" w:color="000000" w:fill="FFFFFF"/>
            <w:vAlign w:val="center"/>
          </w:tcPr>
          <w:p>
            <w:pPr>
              <w:jc w:val="center"/>
            </w:pPr>
            <w:r>
              <w:rPr>
                <w:rFonts w:hint="eastAsia" w:ascii="仿宋_GB2312" w:hAnsi="楷体" w:eastAsia="仿宋_GB2312" w:cs="宋体"/>
                <w:kern w:val="0"/>
                <w:sz w:val="18"/>
                <w:szCs w:val="18"/>
              </w:rPr>
              <w:t>一般</w:t>
            </w:r>
          </w:p>
        </w:tc>
        <w:tc>
          <w:tcPr>
            <w:tcW w:w="1411" w:type="dxa"/>
            <w:shd w:val="clear" w:color="000000" w:fill="FFFFFF"/>
            <w:vAlign w:val="center"/>
          </w:tcPr>
          <w:p>
            <w:pPr>
              <w:jc w:val="center"/>
            </w:pPr>
            <w:r>
              <w:rPr>
                <w:rFonts w:hint="eastAsia" w:ascii="仿宋_GB2312" w:hAnsi="楷体" w:eastAsia="仿宋_GB2312" w:cs="宋体"/>
                <w:kern w:val="0"/>
                <w:sz w:val="18"/>
                <w:szCs w:val="18"/>
              </w:rPr>
              <w:t>一般</w:t>
            </w:r>
          </w:p>
        </w:tc>
        <w:tc>
          <w:tcPr>
            <w:tcW w:w="1696" w:type="dxa"/>
            <w:shd w:val="clear" w:color="000000" w:fill="FFFFFF"/>
            <w:vAlign w:val="center"/>
          </w:tcPr>
          <w:p>
            <w:pPr>
              <w:jc w:val="center"/>
            </w:pPr>
            <w:r>
              <w:rPr>
                <w:rFonts w:hint="eastAsia" w:ascii="仿宋_GB2312" w:hAnsi="楷体" w:eastAsia="仿宋_GB2312" w:cs="宋体"/>
                <w:kern w:val="0"/>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建筑结构</w:t>
            </w:r>
          </w:p>
        </w:tc>
        <w:tc>
          <w:tcPr>
            <w:tcW w:w="1643"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混合结构</w:t>
            </w:r>
          </w:p>
        </w:tc>
        <w:tc>
          <w:tcPr>
            <w:tcW w:w="1490" w:type="dxa"/>
            <w:shd w:val="clear" w:color="000000" w:fill="FFFFFF"/>
            <w:vAlign w:val="center"/>
          </w:tcPr>
          <w:p>
            <w:pPr>
              <w:jc w:val="center"/>
            </w:pPr>
            <w:r>
              <w:rPr>
                <w:rFonts w:hint="eastAsia" w:ascii="仿宋_GB2312" w:eastAsia="仿宋_GB2312"/>
                <w:sz w:val="18"/>
                <w:szCs w:val="18"/>
              </w:rPr>
              <w:t>混合结构</w:t>
            </w:r>
          </w:p>
        </w:tc>
        <w:tc>
          <w:tcPr>
            <w:tcW w:w="1411" w:type="dxa"/>
            <w:shd w:val="clear" w:color="000000" w:fill="FFFFFF"/>
            <w:vAlign w:val="center"/>
          </w:tcPr>
          <w:p>
            <w:pPr>
              <w:jc w:val="center"/>
            </w:pPr>
            <w:r>
              <w:rPr>
                <w:rFonts w:hint="eastAsia" w:ascii="仿宋_GB2312" w:eastAsia="仿宋_GB2312"/>
                <w:sz w:val="18"/>
                <w:szCs w:val="18"/>
              </w:rPr>
              <w:t>混合结构</w:t>
            </w:r>
          </w:p>
        </w:tc>
        <w:tc>
          <w:tcPr>
            <w:tcW w:w="1696" w:type="dxa"/>
            <w:shd w:val="clear" w:color="000000" w:fill="FFFFFF"/>
            <w:vAlign w:val="center"/>
          </w:tcPr>
          <w:p>
            <w:pPr>
              <w:jc w:val="center"/>
            </w:pPr>
            <w:r>
              <w:rPr>
                <w:rFonts w:hint="eastAsia" w:ascii="仿宋_GB2312" w:eastAsia="仿宋_GB2312"/>
                <w:sz w:val="18"/>
                <w:szCs w:val="18"/>
              </w:rPr>
              <w:t>混合结构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设备设施</w:t>
            </w:r>
          </w:p>
        </w:tc>
        <w:tc>
          <w:tcPr>
            <w:tcW w:w="1643" w:type="dxa"/>
            <w:shd w:val="clear" w:color="000000" w:fill="FFFFFF"/>
            <w:vAlign w:val="center"/>
          </w:tcPr>
          <w:p>
            <w:pPr>
              <w:widowControl/>
              <w:jc w:val="center"/>
              <w:rPr>
                <w:rFonts w:hint="eastAsia" w:ascii="仿宋_GB2312" w:hAnsi="Calibri" w:eastAsia="仿宋_GB2312"/>
                <w:kern w:val="0"/>
                <w:sz w:val="18"/>
                <w:szCs w:val="18"/>
                <w:lang w:eastAsia="zh-CN"/>
              </w:rPr>
            </w:pPr>
            <w:r>
              <w:rPr>
                <w:rFonts w:hint="eastAsia" w:ascii="仿宋_GB2312" w:hAnsi="Calibri" w:eastAsia="仿宋_GB2312"/>
                <w:kern w:val="0"/>
                <w:sz w:val="18"/>
                <w:szCs w:val="18"/>
                <w:lang w:eastAsia="zh-CN"/>
              </w:rPr>
              <w:t>消防系统、普通门禁对讲系统</w:t>
            </w:r>
          </w:p>
        </w:tc>
        <w:tc>
          <w:tcPr>
            <w:tcW w:w="1490" w:type="dxa"/>
            <w:shd w:val="clear" w:color="000000" w:fill="FFFFFF"/>
            <w:vAlign w:val="center"/>
          </w:tcPr>
          <w:p>
            <w:pPr>
              <w:widowControl/>
              <w:jc w:val="center"/>
              <w:rPr>
                <w:rFonts w:hint="eastAsia" w:ascii="仿宋_GB2312" w:hAnsi="Calibri" w:eastAsia="仿宋_GB2312"/>
                <w:kern w:val="0"/>
                <w:sz w:val="18"/>
                <w:szCs w:val="18"/>
                <w:lang w:eastAsia="zh-CN"/>
              </w:rPr>
            </w:pPr>
            <w:r>
              <w:rPr>
                <w:rFonts w:hint="eastAsia" w:ascii="仿宋_GB2312" w:hAnsi="Calibri" w:eastAsia="仿宋_GB2312"/>
                <w:kern w:val="0"/>
                <w:sz w:val="18"/>
                <w:szCs w:val="18"/>
                <w:lang w:eastAsia="zh-CN"/>
              </w:rPr>
              <w:t>消防系统、普通门禁对讲系统</w:t>
            </w:r>
          </w:p>
        </w:tc>
        <w:tc>
          <w:tcPr>
            <w:tcW w:w="1411" w:type="dxa"/>
            <w:shd w:val="clear" w:color="000000" w:fill="FFFFFF"/>
            <w:vAlign w:val="center"/>
          </w:tcPr>
          <w:p>
            <w:pPr>
              <w:widowControl/>
              <w:jc w:val="center"/>
              <w:rPr>
                <w:rFonts w:hint="eastAsia" w:ascii="仿宋_GB2312" w:hAnsi="Calibri" w:eastAsia="仿宋_GB2312"/>
                <w:kern w:val="0"/>
                <w:sz w:val="18"/>
                <w:szCs w:val="18"/>
                <w:lang w:eastAsia="zh-CN"/>
              </w:rPr>
            </w:pPr>
            <w:r>
              <w:rPr>
                <w:rFonts w:hint="eastAsia" w:ascii="仿宋_GB2312" w:hAnsi="Calibri" w:eastAsia="仿宋_GB2312"/>
                <w:kern w:val="0"/>
                <w:sz w:val="18"/>
                <w:szCs w:val="18"/>
                <w:lang w:eastAsia="zh-CN"/>
              </w:rPr>
              <w:t>消防系统、普通门禁对讲系统</w:t>
            </w:r>
          </w:p>
        </w:tc>
        <w:tc>
          <w:tcPr>
            <w:tcW w:w="1696" w:type="dxa"/>
            <w:shd w:val="clear" w:color="000000" w:fill="FFFFFF"/>
            <w:vAlign w:val="center"/>
          </w:tcPr>
          <w:p>
            <w:pPr>
              <w:widowControl/>
              <w:jc w:val="center"/>
              <w:rPr>
                <w:rFonts w:hint="eastAsia" w:ascii="仿宋_GB2312" w:hAnsi="Calibri" w:eastAsia="仿宋_GB2312"/>
                <w:kern w:val="0"/>
                <w:sz w:val="18"/>
                <w:szCs w:val="18"/>
                <w:lang w:eastAsia="zh-CN"/>
              </w:rPr>
            </w:pPr>
            <w:r>
              <w:rPr>
                <w:rFonts w:hint="eastAsia" w:ascii="仿宋_GB2312" w:hAnsi="Calibri" w:eastAsia="仿宋_GB2312"/>
                <w:kern w:val="0"/>
                <w:sz w:val="18"/>
                <w:szCs w:val="18"/>
                <w:lang w:eastAsia="zh-CN"/>
              </w:rPr>
              <w:t>消防系统、普通门禁对讲系统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工程质量</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装饰装修</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中档装修</w:t>
            </w:r>
          </w:p>
        </w:tc>
        <w:tc>
          <w:tcPr>
            <w:tcW w:w="1490" w:type="dxa"/>
            <w:shd w:val="clear" w:color="000000" w:fill="FFFFFF"/>
            <w:vAlign w:val="center"/>
          </w:tcPr>
          <w:p>
            <w:pPr>
              <w:widowControl/>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毛坯</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精装修</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精装修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层高</w:t>
            </w:r>
          </w:p>
        </w:tc>
        <w:tc>
          <w:tcPr>
            <w:tcW w:w="1643"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（2.5，2.8] 米</w:t>
            </w:r>
          </w:p>
        </w:tc>
        <w:tc>
          <w:tcPr>
            <w:tcW w:w="1490"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（2.5，2.8]米</w:t>
            </w:r>
          </w:p>
        </w:tc>
        <w:tc>
          <w:tcPr>
            <w:tcW w:w="1411"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（2.5，2.8]米</w:t>
            </w:r>
          </w:p>
        </w:tc>
        <w:tc>
          <w:tcPr>
            <w:tcW w:w="1696"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（2.5，2.8]米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空间布局</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较合理</w:t>
            </w:r>
          </w:p>
        </w:tc>
        <w:tc>
          <w:tcPr>
            <w:tcW w:w="1490" w:type="dxa"/>
            <w:shd w:val="clear" w:color="000000" w:fill="FFFFFF"/>
            <w:vAlign w:val="center"/>
          </w:tcPr>
          <w:p>
            <w:pPr>
              <w:jc w:val="center"/>
            </w:pPr>
            <w:r>
              <w:rPr>
                <w:rFonts w:hint="eastAsia" w:ascii="仿宋_GB2312" w:hAnsi="楷体" w:eastAsia="仿宋_GB2312" w:cs="宋体"/>
                <w:kern w:val="0"/>
                <w:sz w:val="18"/>
                <w:szCs w:val="18"/>
              </w:rPr>
              <w:t>较合理</w:t>
            </w:r>
          </w:p>
        </w:tc>
        <w:tc>
          <w:tcPr>
            <w:tcW w:w="1411" w:type="dxa"/>
            <w:shd w:val="clear" w:color="000000" w:fill="FFFFFF"/>
            <w:vAlign w:val="center"/>
          </w:tcPr>
          <w:p>
            <w:pPr>
              <w:jc w:val="center"/>
            </w:pPr>
            <w:r>
              <w:rPr>
                <w:rFonts w:hint="eastAsia" w:ascii="仿宋_GB2312" w:hAnsi="楷体" w:eastAsia="仿宋_GB2312" w:cs="宋体"/>
                <w:kern w:val="0"/>
                <w:sz w:val="18"/>
                <w:szCs w:val="18"/>
              </w:rPr>
              <w:t>较合理</w:t>
            </w:r>
          </w:p>
        </w:tc>
        <w:tc>
          <w:tcPr>
            <w:tcW w:w="1696" w:type="dxa"/>
            <w:shd w:val="clear" w:color="000000" w:fill="FFFFFF"/>
            <w:vAlign w:val="center"/>
          </w:tcPr>
          <w:p>
            <w:pPr>
              <w:jc w:val="center"/>
            </w:pPr>
            <w:r>
              <w:rPr>
                <w:rFonts w:hint="eastAsia" w:ascii="仿宋_GB2312" w:hAnsi="楷体" w:eastAsia="仿宋_GB2312" w:cs="宋体"/>
                <w:kern w:val="0"/>
                <w:sz w:val="18"/>
                <w:szCs w:val="18"/>
              </w:rPr>
              <w:t>较合理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建筑面积</w:t>
            </w:r>
          </w:p>
        </w:tc>
        <w:tc>
          <w:tcPr>
            <w:tcW w:w="1643" w:type="dxa"/>
            <w:shd w:val="clear" w:color="000000" w:fill="FFFFFF"/>
            <w:vAlign w:val="center"/>
          </w:tcPr>
          <w:p>
            <w:pPr>
              <w:jc w:val="center"/>
              <w:rPr>
                <w:rFonts w:ascii="宋体" w:hAnsi="宋体" w:cs="宋体"/>
                <w:sz w:val="18"/>
                <w:szCs w:val="18"/>
              </w:rPr>
            </w:pPr>
            <w:r>
              <w:rPr>
                <w:rFonts w:hint="eastAsia" w:ascii="仿宋_GB2312" w:eastAsia="仿宋_GB2312"/>
                <w:sz w:val="18"/>
                <w:szCs w:val="18"/>
              </w:rPr>
              <w:t>90</w:t>
            </w:r>
            <w:r>
              <w:rPr>
                <w:rFonts w:hint="eastAsia" w:ascii="宋体" w:hAnsi="宋体" w:cs="宋体"/>
                <w:sz w:val="18"/>
                <w:szCs w:val="18"/>
              </w:rPr>
              <w:t>㎡-140㎡</w:t>
            </w:r>
          </w:p>
        </w:tc>
        <w:tc>
          <w:tcPr>
            <w:tcW w:w="1490" w:type="dxa"/>
            <w:shd w:val="clear" w:color="000000" w:fill="FFFFFF"/>
            <w:vAlign w:val="center"/>
          </w:tcPr>
          <w:p>
            <w:pPr>
              <w:jc w:val="center"/>
              <w:rPr>
                <w:rFonts w:hint="eastAsia" w:ascii="宋体" w:hAnsi="宋体" w:eastAsia="宋体" w:cs="宋体"/>
                <w:sz w:val="18"/>
                <w:szCs w:val="18"/>
                <w:lang w:val="en-US" w:eastAsia="zh-CN"/>
              </w:rPr>
            </w:pPr>
            <w:r>
              <w:rPr>
                <w:rFonts w:hint="eastAsia" w:ascii="仿宋_GB2312" w:eastAsia="仿宋_GB2312"/>
                <w:sz w:val="18"/>
                <w:szCs w:val="18"/>
                <w:lang w:eastAsia="zh-CN"/>
              </w:rPr>
              <w:t>＜</w:t>
            </w:r>
            <w:r>
              <w:rPr>
                <w:rFonts w:hint="eastAsia" w:ascii="仿宋_GB2312" w:eastAsia="仿宋_GB2312"/>
                <w:sz w:val="18"/>
                <w:szCs w:val="18"/>
                <w:lang w:val="en-US" w:eastAsia="zh-CN"/>
              </w:rPr>
              <w:t>90㎡</w:t>
            </w:r>
          </w:p>
        </w:tc>
        <w:tc>
          <w:tcPr>
            <w:tcW w:w="1411" w:type="dxa"/>
            <w:shd w:val="clear" w:color="000000" w:fill="FFFFFF"/>
            <w:vAlign w:val="center"/>
          </w:tcPr>
          <w:p>
            <w:pPr>
              <w:jc w:val="center"/>
            </w:pPr>
            <w:r>
              <w:rPr>
                <w:rFonts w:hint="eastAsia" w:ascii="仿宋_GB2312" w:eastAsia="仿宋_GB2312"/>
                <w:sz w:val="18"/>
                <w:szCs w:val="18"/>
              </w:rPr>
              <w:t>90</w:t>
            </w:r>
            <w:r>
              <w:rPr>
                <w:rFonts w:hint="eastAsia" w:ascii="宋体" w:hAnsi="宋体" w:cs="宋体"/>
                <w:sz w:val="18"/>
                <w:szCs w:val="18"/>
              </w:rPr>
              <w:t>㎡-140㎡</w:t>
            </w:r>
          </w:p>
        </w:tc>
        <w:tc>
          <w:tcPr>
            <w:tcW w:w="1696" w:type="dxa"/>
            <w:shd w:val="clear" w:color="000000" w:fill="FFFFFF"/>
            <w:vAlign w:val="center"/>
          </w:tcPr>
          <w:p>
            <w:pPr>
              <w:jc w:val="center"/>
              <w:rPr>
                <w:rFonts w:ascii="宋体" w:hAnsi="宋体" w:cs="宋体"/>
                <w:sz w:val="18"/>
                <w:szCs w:val="18"/>
              </w:rPr>
            </w:pPr>
            <w:r>
              <w:rPr>
                <w:rFonts w:hint="eastAsia" w:ascii="仿宋_GB2312" w:eastAsia="仿宋_GB2312"/>
                <w:sz w:val="18"/>
                <w:szCs w:val="18"/>
              </w:rPr>
              <w:t>90</w:t>
            </w:r>
            <w:r>
              <w:rPr>
                <w:rFonts w:hint="eastAsia" w:ascii="宋体" w:hAnsi="宋体" w:cs="宋体"/>
                <w:sz w:val="18"/>
                <w:szCs w:val="18"/>
              </w:rPr>
              <w:t>㎡-140㎡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建筑规模</w:t>
            </w:r>
          </w:p>
        </w:tc>
        <w:tc>
          <w:tcPr>
            <w:tcW w:w="1643"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集中</w:t>
            </w:r>
          </w:p>
        </w:tc>
        <w:tc>
          <w:tcPr>
            <w:tcW w:w="1490"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集中</w:t>
            </w:r>
          </w:p>
        </w:tc>
        <w:tc>
          <w:tcPr>
            <w:tcW w:w="1411"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集中</w:t>
            </w:r>
          </w:p>
        </w:tc>
        <w:tc>
          <w:tcPr>
            <w:tcW w:w="1696"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集中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临街宽度深度比</w:t>
            </w:r>
          </w:p>
        </w:tc>
        <w:tc>
          <w:tcPr>
            <w:tcW w:w="1643"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宽深比例适中</w:t>
            </w:r>
          </w:p>
        </w:tc>
        <w:tc>
          <w:tcPr>
            <w:tcW w:w="1490" w:type="dxa"/>
            <w:shd w:val="clear" w:color="auto" w:fill="auto"/>
            <w:vAlign w:val="center"/>
          </w:tcPr>
          <w:p>
            <w:pPr>
              <w:jc w:val="center"/>
            </w:pPr>
            <w:r>
              <w:rPr>
                <w:rFonts w:hint="eastAsia" w:ascii="仿宋_GB2312" w:eastAsia="仿宋_GB2312"/>
                <w:sz w:val="18"/>
                <w:szCs w:val="18"/>
              </w:rPr>
              <w:t>宽深比例适中</w:t>
            </w:r>
          </w:p>
        </w:tc>
        <w:tc>
          <w:tcPr>
            <w:tcW w:w="1411" w:type="dxa"/>
            <w:shd w:val="clear" w:color="auto" w:fill="auto"/>
            <w:vAlign w:val="center"/>
          </w:tcPr>
          <w:p>
            <w:pPr>
              <w:jc w:val="center"/>
            </w:pPr>
            <w:r>
              <w:rPr>
                <w:rFonts w:hint="eastAsia" w:ascii="仿宋_GB2312" w:eastAsia="仿宋_GB2312"/>
                <w:sz w:val="18"/>
                <w:szCs w:val="18"/>
              </w:rPr>
              <w:t>宽深比例适中</w:t>
            </w:r>
          </w:p>
        </w:tc>
        <w:tc>
          <w:tcPr>
            <w:tcW w:w="1696" w:type="dxa"/>
            <w:shd w:val="clear" w:color="auto" w:fill="auto"/>
            <w:vAlign w:val="center"/>
          </w:tcPr>
          <w:p>
            <w:pPr>
              <w:jc w:val="center"/>
            </w:pPr>
            <w:r>
              <w:rPr>
                <w:rFonts w:hint="eastAsia" w:ascii="仿宋_GB2312" w:eastAsia="仿宋_GB2312"/>
                <w:sz w:val="18"/>
                <w:szCs w:val="18"/>
              </w:rPr>
              <w:t>宽深比例适中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建筑功能</w:t>
            </w:r>
          </w:p>
        </w:tc>
        <w:tc>
          <w:tcPr>
            <w:tcW w:w="1643"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该建筑防水、保温、隔热、通风、采光、日照等功能较优</w:t>
            </w:r>
          </w:p>
        </w:tc>
        <w:tc>
          <w:tcPr>
            <w:tcW w:w="1490" w:type="dxa"/>
            <w:shd w:val="clear" w:color="auto" w:fill="auto"/>
            <w:vAlign w:val="center"/>
          </w:tcPr>
          <w:p>
            <w:pPr>
              <w:jc w:val="center"/>
            </w:pPr>
            <w:r>
              <w:rPr>
                <w:rFonts w:hint="eastAsia" w:ascii="仿宋_GB2312" w:eastAsia="仿宋_GB2312"/>
                <w:sz w:val="18"/>
                <w:szCs w:val="18"/>
              </w:rPr>
              <w:t>该建筑防水、保温、隔热、通风、采光、日照等功能较优</w:t>
            </w:r>
          </w:p>
        </w:tc>
        <w:tc>
          <w:tcPr>
            <w:tcW w:w="1411" w:type="dxa"/>
            <w:shd w:val="clear" w:color="auto" w:fill="auto"/>
            <w:vAlign w:val="center"/>
          </w:tcPr>
          <w:p>
            <w:pPr>
              <w:jc w:val="center"/>
            </w:pPr>
            <w:r>
              <w:rPr>
                <w:rFonts w:hint="eastAsia" w:ascii="仿宋_GB2312" w:eastAsia="仿宋_GB2312"/>
                <w:sz w:val="18"/>
                <w:szCs w:val="18"/>
              </w:rPr>
              <w:t>该建筑防水、保温、隔热、通风、采光、日照等功能较优</w:t>
            </w:r>
          </w:p>
        </w:tc>
        <w:tc>
          <w:tcPr>
            <w:tcW w:w="1696" w:type="dxa"/>
            <w:shd w:val="clear" w:color="auto" w:fill="auto"/>
            <w:vAlign w:val="center"/>
          </w:tcPr>
          <w:p>
            <w:pPr>
              <w:jc w:val="center"/>
            </w:pPr>
            <w:r>
              <w:rPr>
                <w:rFonts w:hint="eastAsia" w:ascii="仿宋_GB2312" w:eastAsia="仿宋_GB2312"/>
                <w:sz w:val="18"/>
                <w:szCs w:val="18"/>
              </w:rPr>
              <w:t>该建筑防水、保温、隔热、通风、采光、日照等功能较优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成新率</w:t>
            </w:r>
          </w:p>
        </w:tc>
        <w:tc>
          <w:tcPr>
            <w:tcW w:w="1643"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八成</w:t>
            </w:r>
          </w:p>
        </w:tc>
        <w:tc>
          <w:tcPr>
            <w:tcW w:w="1490"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八成</w:t>
            </w:r>
          </w:p>
        </w:tc>
        <w:tc>
          <w:tcPr>
            <w:tcW w:w="1411"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八成</w:t>
            </w:r>
          </w:p>
        </w:tc>
        <w:tc>
          <w:tcPr>
            <w:tcW w:w="1696"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八成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物业管理</w:t>
            </w:r>
          </w:p>
        </w:tc>
        <w:tc>
          <w:tcPr>
            <w:tcW w:w="1643"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有专业物业公司管理但管理一般</w:t>
            </w:r>
          </w:p>
        </w:tc>
        <w:tc>
          <w:tcPr>
            <w:tcW w:w="1490" w:type="dxa"/>
            <w:shd w:val="clear" w:color="000000" w:fill="FFFFFF"/>
            <w:vAlign w:val="center"/>
          </w:tcPr>
          <w:p>
            <w:pPr>
              <w:jc w:val="center"/>
            </w:pPr>
            <w:r>
              <w:rPr>
                <w:rFonts w:hint="eastAsia" w:ascii="仿宋_GB2312" w:eastAsia="仿宋_GB2312"/>
                <w:sz w:val="18"/>
                <w:szCs w:val="18"/>
              </w:rPr>
              <w:t>有专业物业公司管理但管理一般</w:t>
            </w:r>
          </w:p>
        </w:tc>
        <w:tc>
          <w:tcPr>
            <w:tcW w:w="1411" w:type="dxa"/>
            <w:shd w:val="clear" w:color="000000" w:fill="FFFFFF"/>
            <w:vAlign w:val="center"/>
          </w:tcPr>
          <w:p>
            <w:pPr>
              <w:jc w:val="center"/>
            </w:pPr>
            <w:r>
              <w:rPr>
                <w:rFonts w:hint="eastAsia" w:ascii="仿宋_GB2312" w:eastAsia="仿宋_GB2312"/>
                <w:sz w:val="18"/>
                <w:szCs w:val="18"/>
              </w:rPr>
              <w:t>有专业物业公司但管理一般</w:t>
            </w:r>
          </w:p>
        </w:tc>
        <w:tc>
          <w:tcPr>
            <w:tcW w:w="1696" w:type="dxa"/>
            <w:shd w:val="clear" w:color="000000" w:fill="FFFFFF"/>
            <w:vAlign w:val="center"/>
          </w:tcPr>
          <w:p>
            <w:pPr>
              <w:jc w:val="center"/>
            </w:pPr>
            <w:r>
              <w:rPr>
                <w:rFonts w:hint="eastAsia" w:ascii="仿宋_GB2312" w:eastAsia="仿宋_GB2312"/>
                <w:sz w:val="18"/>
                <w:szCs w:val="18"/>
              </w:rPr>
              <w:t>有专业物业公司管理但管理一般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72" w:type="dxa"/>
            <w:gridSpan w:val="3"/>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停车便捷度</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eastAsia="仿宋_GB2312"/>
                <w:kern w:val="0"/>
                <w:sz w:val="18"/>
                <w:szCs w:val="18"/>
              </w:rPr>
              <w:t>有专用停车位及临时停车位</w:t>
            </w:r>
            <w:r>
              <w:rPr>
                <w:rFonts w:hint="eastAsia" w:eastAsia="仿宋_GB2312"/>
                <w:kern w:val="0"/>
                <w:sz w:val="18"/>
                <w:szCs w:val="18"/>
              </w:rPr>
              <w:t>但数量有限</w:t>
            </w:r>
          </w:p>
        </w:tc>
        <w:tc>
          <w:tcPr>
            <w:tcW w:w="1490" w:type="dxa"/>
            <w:shd w:val="clear" w:color="000000" w:fill="FFFFFF"/>
            <w:vAlign w:val="center"/>
          </w:tcPr>
          <w:p>
            <w:pPr>
              <w:jc w:val="center"/>
            </w:pPr>
            <w:r>
              <w:rPr>
                <w:rFonts w:eastAsia="仿宋_GB2312"/>
                <w:kern w:val="0"/>
                <w:sz w:val="18"/>
                <w:szCs w:val="18"/>
              </w:rPr>
              <w:t>有专用停车位及临时停车位</w:t>
            </w:r>
            <w:r>
              <w:rPr>
                <w:rFonts w:hint="eastAsia" w:eastAsia="仿宋_GB2312"/>
                <w:kern w:val="0"/>
                <w:sz w:val="18"/>
                <w:szCs w:val="18"/>
              </w:rPr>
              <w:t>但数量有限</w:t>
            </w:r>
          </w:p>
        </w:tc>
        <w:tc>
          <w:tcPr>
            <w:tcW w:w="1411" w:type="dxa"/>
            <w:shd w:val="clear" w:color="000000" w:fill="FFFFFF"/>
            <w:vAlign w:val="center"/>
          </w:tcPr>
          <w:p>
            <w:pPr>
              <w:jc w:val="center"/>
            </w:pPr>
            <w:r>
              <w:rPr>
                <w:rFonts w:eastAsia="仿宋_GB2312"/>
                <w:kern w:val="0"/>
                <w:sz w:val="18"/>
                <w:szCs w:val="18"/>
              </w:rPr>
              <w:t>有专用停车位及临时停车位</w:t>
            </w:r>
            <w:r>
              <w:rPr>
                <w:rFonts w:hint="eastAsia" w:eastAsia="仿宋_GB2312"/>
                <w:kern w:val="0"/>
                <w:sz w:val="18"/>
                <w:szCs w:val="18"/>
              </w:rPr>
              <w:t>但数量有限</w:t>
            </w:r>
          </w:p>
        </w:tc>
        <w:tc>
          <w:tcPr>
            <w:tcW w:w="1696" w:type="dxa"/>
            <w:shd w:val="clear" w:color="000000" w:fill="FFFFFF"/>
            <w:vAlign w:val="center"/>
          </w:tcPr>
          <w:p>
            <w:pPr>
              <w:jc w:val="center"/>
            </w:pPr>
            <w:r>
              <w:rPr>
                <w:rFonts w:eastAsia="仿宋_GB2312"/>
                <w:kern w:val="0"/>
                <w:sz w:val="18"/>
                <w:szCs w:val="18"/>
              </w:rPr>
              <w:t>有专用停车位及临时停车位</w:t>
            </w:r>
            <w:r>
              <w:rPr>
                <w:rFonts w:hint="eastAsia" w:eastAsia="仿宋_GB2312"/>
                <w:kern w:val="0"/>
                <w:sz w:val="18"/>
                <w:szCs w:val="18"/>
              </w:rPr>
              <w:t>但数量有限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restart"/>
            <w:textDirection w:val="tbRlV"/>
            <w:vAlign w:val="center"/>
          </w:tcPr>
          <w:p>
            <w:pPr>
              <w:widowControl/>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w:t>
            </w:r>
          </w:p>
        </w:tc>
        <w:tc>
          <w:tcPr>
            <w:tcW w:w="543" w:type="dxa"/>
            <w:vMerge w:val="restart"/>
            <w:textDirection w:val="tbRlV"/>
            <w:vAlign w:val="center"/>
          </w:tcPr>
          <w:p>
            <w:pPr>
              <w:widowControl/>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权益状况（1）</w:t>
            </w: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规划条件</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jc w:val="center"/>
              <w:rPr>
                <w:rFonts w:ascii="仿宋_GB2312" w:hAnsi="楷体" w:eastAsia="仿宋_GB2312" w:cs="宋体"/>
                <w:b/>
                <w:bCs/>
                <w:kern w:val="0"/>
                <w:sz w:val="18"/>
                <w:szCs w:val="18"/>
              </w:rPr>
            </w:pPr>
          </w:p>
        </w:tc>
        <w:tc>
          <w:tcPr>
            <w:tcW w:w="543" w:type="dxa"/>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共有情况</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674" w:hRule="atLeast"/>
          <w:jc w:val="center"/>
        </w:trPr>
        <w:tc>
          <w:tcPr>
            <w:tcW w:w="729" w:type="dxa"/>
            <w:gridSpan w:val="2"/>
            <w:vMerge w:val="continue"/>
            <w:vAlign w:val="center"/>
          </w:tcPr>
          <w:p>
            <w:pPr>
              <w:widowControl/>
              <w:jc w:val="center"/>
              <w:rPr>
                <w:rFonts w:ascii="仿宋_GB2312" w:hAnsi="楷体" w:eastAsia="仿宋_GB2312" w:cs="宋体"/>
                <w:b/>
                <w:bCs/>
                <w:kern w:val="0"/>
                <w:sz w:val="18"/>
                <w:szCs w:val="18"/>
              </w:rPr>
            </w:pPr>
          </w:p>
        </w:tc>
        <w:tc>
          <w:tcPr>
            <w:tcW w:w="543" w:type="dxa"/>
            <w:vMerge w:val="continue"/>
            <w:shd w:val="clear" w:color="auto" w:fill="auto"/>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权属清晰情况</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jc w:val="center"/>
              <w:rPr>
                <w:rFonts w:ascii="仿宋_GB2312" w:hAnsi="楷体" w:eastAsia="仿宋_GB2312" w:cs="宋体"/>
                <w:b/>
                <w:bCs/>
                <w:kern w:val="0"/>
                <w:sz w:val="18"/>
                <w:szCs w:val="18"/>
              </w:rPr>
            </w:pPr>
          </w:p>
        </w:tc>
        <w:tc>
          <w:tcPr>
            <w:tcW w:w="543" w:type="dxa"/>
            <w:vMerge w:val="restart"/>
            <w:shd w:val="clear" w:color="auto" w:fill="auto"/>
            <w:textDirection w:val="tbRlV"/>
            <w:vAlign w:val="center"/>
          </w:tcPr>
          <w:p>
            <w:pPr>
              <w:widowControl/>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权益状况（2）</w:t>
            </w: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用益物权设立情况</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jc w:val="center"/>
              <w:rPr>
                <w:rFonts w:ascii="仿宋_GB2312" w:hAnsi="楷体" w:eastAsia="仿宋_GB2312" w:cs="宋体"/>
                <w:b/>
                <w:bCs/>
                <w:kern w:val="0"/>
                <w:sz w:val="18"/>
                <w:szCs w:val="18"/>
              </w:rPr>
            </w:pPr>
          </w:p>
        </w:tc>
        <w:tc>
          <w:tcPr>
            <w:tcW w:w="543" w:type="dxa"/>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担保物权设立情况</w:t>
            </w:r>
          </w:p>
        </w:tc>
        <w:tc>
          <w:tcPr>
            <w:tcW w:w="1643"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490"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11"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96"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jc w:val="center"/>
              <w:rPr>
                <w:rFonts w:ascii="仿宋_GB2312" w:hAnsi="楷体" w:eastAsia="仿宋_GB2312" w:cs="宋体"/>
                <w:b/>
                <w:bCs/>
                <w:kern w:val="0"/>
                <w:sz w:val="18"/>
                <w:szCs w:val="18"/>
              </w:rPr>
            </w:pPr>
          </w:p>
        </w:tc>
        <w:tc>
          <w:tcPr>
            <w:tcW w:w="543" w:type="dxa"/>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租赁或占有情况</w:t>
            </w:r>
          </w:p>
        </w:tc>
        <w:tc>
          <w:tcPr>
            <w:tcW w:w="1643"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90"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11"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96"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jc w:val="center"/>
              <w:rPr>
                <w:rFonts w:ascii="仿宋_GB2312" w:hAnsi="楷体" w:eastAsia="仿宋_GB2312" w:cs="宋体"/>
                <w:b/>
                <w:bCs/>
                <w:kern w:val="0"/>
                <w:sz w:val="18"/>
                <w:szCs w:val="18"/>
              </w:rPr>
            </w:pPr>
          </w:p>
        </w:tc>
        <w:tc>
          <w:tcPr>
            <w:tcW w:w="543" w:type="dxa"/>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kern w:val="0"/>
                <w:sz w:val="18"/>
                <w:szCs w:val="18"/>
              </w:rPr>
              <w:t>拖欠</w:t>
            </w:r>
            <w:r>
              <w:rPr>
                <w:rFonts w:hint="eastAsia" w:ascii="仿宋_GB2312" w:hAnsi="楷体" w:eastAsia="仿宋_GB2312" w:cs="宋体"/>
                <w:b/>
                <w:bCs/>
                <w:kern w:val="0"/>
                <w:sz w:val="18"/>
                <w:szCs w:val="18"/>
              </w:rPr>
              <w:t>税费情况</w:t>
            </w:r>
          </w:p>
        </w:tc>
        <w:tc>
          <w:tcPr>
            <w:tcW w:w="1643"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90"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11"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96"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jc w:val="center"/>
              <w:rPr>
                <w:rFonts w:ascii="仿宋_GB2312" w:hAnsi="楷体" w:eastAsia="仿宋_GB2312" w:cs="宋体"/>
                <w:b/>
                <w:bCs/>
                <w:kern w:val="0"/>
                <w:sz w:val="18"/>
                <w:szCs w:val="18"/>
              </w:rPr>
            </w:pPr>
          </w:p>
        </w:tc>
        <w:tc>
          <w:tcPr>
            <w:tcW w:w="543" w:type="dxa"/>
            <w:vMerge w:val="continue"/>
            <w:vAlign w:val="center"/>
          </w:tcPr>
          <w:p>
            <w:pPr>
              <w:widowControl/>
              <w:jc w:val="center"/>
              <w:rPr>
                <w:rFonts w:ascii="仿宋_GB2312" w:hAnsi="楷体" w:eastAsia="仿宋_GB2312" w:cs="宋体"/>
                <w:b/>
                <w:bCs/>
                <w:kern w:val="0"/>
                <w:sz w:val="18"/>
                <w:szCs w:val="18"/>
              </w:rPr>
            </w:pPr>
          </w:p>
        </w:tc>
        <w:tc>
          <w:tcPr>
            <w:tcW w:w="1494" w:type="dxa"/>
            <w:shd w:val="clear" w:color="auto" w:fill="auto"/>
            <w:vAlign w:val="center"/>
          </w:tcPr>
          <w:p>
            <w:pPr>
              <w:widowControl/>
              <w:spacing w:line="32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查封情况</w:t>
            </w:r>
          </w:p>
        </w:tc>
        <w:tc>
          <w:tcPr>
            <w:tcW w:w="1643"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490"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11"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96" w:type="dxa"/>
            <w:shd w:val="clear" w:color="000000"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bl>
    <w:p>
      <w:pPr>
        <w:pStyle w:val="115"/>
        <w:snapToGrid w:val="0"/>
        <w:ind w:firstLine="0" w:firstLineChars="0"/>
        <w:jc w:val="center"/>
        <w:rPr>
          <w:rFonts w:hAnsi="楷体"/>
          <w:b/>
        </w:rPr>
      </w:pPr>
      <w:r>
        <w:rPr>
          <w:rFonts w:hint="eastAsia" w:hAnsi="楷体"/>
          <w:b/>
        </w:rPr>
        <w:t>表4   比较因素情况说明表</w:t>
      </w:r>
    </w:p>
    <w:tbl>
      <w:tblPr>
        <w:tblStyle w:val="47"/>
        <w:tblW w:w="9091"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71"/>
        <w:gridCol w:w="77"/>
        <w:gridCol w:w="594"/>
        <w:gridCol w:w="1841"/>
        <w:gridCol w:w="1477"/>
        <w:gridCol w:w="1477"/>
        <w:gridCol w:w="1477"/>
        <w:gridCol w:w="1477"/>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tblHeader/>
          <w:jc w:val="center"/>
        </w:trPr>
        <w:tc>
          <w:tcPr>
            <w:tcW w:w="3183" w:type="dxa"/>
            <w:gridSpan w:val="4"/>
            <w:vMerge w:val="restart"/>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项目名称</w:t>
            </w:r>
          </w:p>
        </w:tc>
        <w:tc>
          <w:tcPr>
            <w:tcW w:w="1477" w:type="dxa"/>
            <w:vMerge w:val="restart"/>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估价对象</w:t>
            </w:r>
          </w:p>
        </w:tc>
        <w:tc>
          <w:tcPr>
            <w:tcW w:w="1477"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可比实例1</w:t>
            </w:r>
          </w:p>
        </w:tc>
        <w:tc>
          <w:tcPr>
            <w:tcW w:w="1477"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可比实例2</w:t>
            </w:r>
          </w:p>
        </w:tc>
        <w:tc>
          <w:tcPr>
            <w:tcW w:w="1477"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tblHeader/>
          <w:jc w:val="center"/>
        </w:trPr>
        <w:tc>
          <w:tcPr>
            <w:tcW w:w="3183" w:type="dxa"/>
            <w:gridSpan w:val="4"/>
            <w:vMerge w:val="continue"/>
            <w:vAlign w:val="center"/>
          </w:tcPr>
          <w:p>
            <w:pPr>
              <w:widowControl/>
              <w:jc w:val="left"/>
              <w:rPr>
                <w:rFonts w:ascii="仿宋_GB2312" w:hAnsi="楷体" w:eastAsia="仿宋_GB2312" w:cs="宋体"/>
                <w:b/>
                <w:bCs/>
                <w:kern w:val="0"/>
                <w:sz w:val="18"/>
                <w:szCs w:val="18"/>
              </w:rPr>
            </w:pPr>
          </w:p>
        </w:tc>
        <w:tc>
          <w:tcPr>
            <w:tcW w:w="1477" w:type="dxa"/>
            <w:vMerge w:val="continue"/>
            <w:vAlign w:val="center"/>
          </w:tcPr>
          <w:p>
            <w:pPr>
              <w:widowControl/>
              <w:jc w:val="left"/>
              <w:rPr>
                <w:rFonts w:ascii="仿宋_GB2312" w:hAnsi="楷体" w:eastAsia="仿宋_GB2312" w:cs="宋体"/>
                <w:b/>
                <w:bCs/>
                <w:kern w:val="0"/>
                <w:sz w:val="18"/>
                <w:szCs w:val="18"/>
              </w:rPr>
            </w:pPr>
          </w:p>
        </w:tc>
        <w:tc>
          <w:tcPr>
            <w:tcW w:w="1477" w:type="dxa"/>
            <w:shd w:val="clear" w:color="auto" w:fill="auto"/>
            <w:vAlign w:val="center"/>
          </w:tcPr>
          <w:p>
            <w:pPr>
              <w:widowControl/>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百亿佳苑</w:t>
            </w:r>
          </w:p>
        </w:tc>
        <w:tc>
          <w:tcPr>
            <w:tcW w:w="1477" w:type="dxa"/>
            <w:shd w:val="clear" w:color="auto" w:fill="auto"/>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百亿佳苑</w:t>
            </w:r>
          </w:p>
        </w:tc>
        <w:tc>
          <w:tcPr>
            <w:tcW w:w="1477" w:type="dxa"/>
            <w:shd w:val="clear" w:color="auto" w:fill="auto"/>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百亿佳苑</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3183" w:type="dxa"/>
            <w:gridSpan w:val="4"/>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标准化处理后的</w:t>
            </w:r>
          </w:p>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成交价格</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待估</w:t>
            </w:r>
          </w:p>
        </w:tc>
        <w:tc>
          <w:tcPr>
            <w:tcW w:w="14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1839</w:t>
            </w:r>
          </w:p>
        </w:tc>
        <w:tc>
          <w:tcPr>
            <w:tcW w:w="14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1940</w:t>
            </w:r>
          </w:p>
        </w:tc>
        <w:tc>
          <w:tcPr>
            <w:tcW w:w="14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2222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3183" w:type="dxa"/>
            <w:gridSpan w:val="4"/>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交易情况</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市场</w:t>
            </w:r>
          </w:p>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状况</w:t>
            </w: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成交</w:t>
            </w:r>
          </w:p>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日期</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477"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2018年9月</w:t>
            </w:r>
          </w:p>
        </w:tc>
        <w:tc>
          <w:tcPr>
            <w:tcW w:w="1477"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2018年10月</w:t>
            </w:r>
          </w:p>
        </w:tc>
        <w:tc>
          <w:tcPr>
            <w:tcW w:w="1477"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2018年9月</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restart"/>
            <w:shd w:val="clear" w:color="auto" w:fill="auto"/>
            <w:textDirection w:val="tbRlV"/>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区位状况</w:t>
            </w:r>
          </w:p>
        </w:tc>
        <w:tc>
          <w:tcPr>
            <w:tcW w:w="671" w:type="dxa"/>
            <w:gridSpan w:val="2"/>
            <w:vMerge w:val="restart"/>
            <w:shd w:val="clear" w:color="auto" w:fill="auto"/>
            <w:textDirection w:val="tbRlV"/>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位置状况</w:t>
            </w: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距区域中心的距离</w:t>
            </w:r>
          </w:p>
        </w:tc>
        <w:tc>
          <w:tcPr>
            <w:tcW w:w="1477" w:type="dxa"/>
            <w:shd w:val="clear" w:color="000000" w:fill="FFFFFF"/>
            <w:vAlign w:val="center"/>
          </w:tcPr>
          <w:p>
            <w:pPr>
              <w:jc w:val="center"/>
              <w:rPr>
                <w:rFonts w:hint="eastAsia" w:ascii="仿宋_GB2312" w:hAnsi="宋体" w:eastAsia="仿宋_GB2312" w:cs="宋体"/>
                <w:sz w:val="18"/>
                <w:szCs w:val="18"/>
                <w:lang w:eastAsia="zh-CN"/>
              </w:rPr>
            </w:pPr>
            <w:r>
              <w:rPr>
                <w:rFonts w:hint="eastAsia" w:ascii="仿宋_GB2312" w:eastAsia="仿宋_GB2312"/>
                <w:sz w:val="18"/>
                <w:szCs w:val="18"/>
                <w:lang w:eastAsia="zh-CN"/>
              </w:rPr>
              <w:t>一般</w:t>
            </w:r>
          </w:p>
        </w:tc>
        <w:tc>
          <w:tcPr>
            <w:tcW w:w="1477" w:type="dxa"/>
            <w:shd w:val="clear" w:color="000000" w:fill="FFFFFF"/>
            <w:vAlign w:val="center"/>
          </w:tcPr>
          <w:p>
            <w:pPr>
              <w:jc w:val="center"/>
              <w:rPr>
                <w:rFonts w:hint="eastAsia" w:eastAsia="宋体"/>
                <w:lang w:eastAsia="zh-CN"/>
              </w:rPr>
            </w:pPr>
            <w:r>
              <w:rPr>
                <w:rFonts w:hint="eastAsia" w:ascii="仿宋_GB2312" w:eastAsia="仿宋_GB2312"/>
                <w:sz w:val="18"/>
                <w:szCs w:val="18"/>
                <w:lang w:eastAsia="zh-CN"/>
              </w:rPr>
              <w:t>一般</w:t>
            </w:r>
          </w:p>
        </w:tc>
        <w:tc>
          <w:tcPr>
            <w:tcW w:w="1477" w:type="dxa"/>
            <w:shd w:val="clear" w:color="000000" w:fill="FFFFFF"/>
            <w:vAlign w:val="center"/>
          </w:tcPr>
          <w:p>
            <w:pPr>
              <w:jc w:val="center"/>
              <w:rPr>
                <w:rFonts w:hint="eastAsia" w:eastAsia="宋体"/>
                <w:lang w:eastAsia="zh-CN"/>
              </w:rPr>
            </w:pPr>
            <w:r>
              <w:rPr>
                <w:rFonts w:hint="eastAsia" w:ascii="仿宋_GB2312" w:eastAsia="仿宋_GB2312"/>
                <w:sz w:val="18"/>
                <w:szCs w:val="18"/>
                <w:lang w:eastAsia="zh-CN"/>
              </w:rPr>
              <w:t>一般</w:t>
            </w:r>
          </w:p>
        </w:tc>
        <w:tc>
          <w:tcPr>
            <w:tcW w:w="1477" w:type="dxa"/>
            <w:shd w:val="clear" w:color="000000" w:fill="FFFFFF"/>
            <w:vAlign w:val="center"/>
          </w:tcPr>
          <w:p>
            <w:pPr>
              <w:jc w:val="center"/>
              <w:rPr>
                <w:rFonts w:hint="eastAsia" w:eastAsia="宋体"/>
                <w:lang w:eastAsia="zh-CN"/>
              </w:rPr>
            </w:pPr>
            <w:r>
              <w:rPr>
                <w:rFonts w:hint="eastAsia" w:ascii="仿宋_GB2312" w:eastAsia="仿宋_GB2312"/>
                <w:sz w:val="18"/>
                <w:szCs w:val="18"/>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 xml:space="preserve"> 集聚效应</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较优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较优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较优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较优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临街状况</w:t>
            </w:r>
          </w:p>
        </w:tc>
        <w:tc>
          <w:tcPr>
            <w:tcW w:w="1477" w:type="dxa"/>
            <w:shd w:val="clear" w:color="000000" w:fill="FFFFFF"/>
            <w:vAlign w:val="center"/>
          </w:tcPr>
          <w:p>
            <w:pPr>
              <w:widowControl/>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三面临街</w:t>
            </w:r>
          </w:p>
        </w:tc>
        <w:tc>
          <w:tcPr>
            <w:tcW w:w="1477" w:type="dxa"/>
            <w:shd w:val="clear" w:color="000000" w:fill="FFFFFF"/>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三面临街</w:t>
            </w:r>
          </w:p>
        </w:tc>
        <w:tc>
          <w:tcPr>
            <w:tcW w:w="1477" w:type="dxa"/>
            <w:shd w:val="clear" w:color="000000" w:fill="FFFFFF"/>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三面临街</w:t>
            </w:r>
          </w:p>
        </w:tc>
        <w:tc>
          <w:tcPr>
            <w:tcW w:w="1477" w:type="dxa"/>
            <w:shd w:val="clear" w:color="000000" w:fill="FFFFFF"/>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三面临街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人流量及密度</w:t>
            </w:r>
          </w:p>
        </w:tc>
        <w:tc>
          <w:tcPr>
            <w:tcW w:w="1477" w:type="dxa"/>
            <w:shd w:val="clear" w:color="000000"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较大</w:t>
            </w:r>
          </w:p>
        </w:tc>
        <w:tc>
          <w:tcPr>
            <w:tcW w:w="1477" w:type="dxa"/>
            <w:shd w:val="clear" w:color="000000" w:fill="FFFFFF"/>
            <w:vAlign w:val="center"/>
          </w:tcPr>
          <w:p>
            <w:pPr>
              <w:jc w:val="center"/>
            </w:pPr>
            <w:r>
              <w:rPr>
                <w:rFonts w:hint="eastAsia" w:ascii="仿宋_GB2312" w:hAnsi="楷体" w:eastAsia="仿宋_GB2312" w:cs="宋体"/>
                <w:kern w:val="0"/>
                <w:sz w:val="18"/>
                <w:szCs w:val="18"/>
              </w:rPr>
              <w:t>较大</w:t>
            </w:r>
          </w:p>
        </w:tc>
        <w:tc>
          <w:tcPr>
            <w:tcW w:w="1477" w:type="dxa"/>
            <w:shd w:val="clear" w:color="000000" w:fill="FFFFFF"/>
            <w:vAlign w:val="center"/>
          </w:tcPr>
          <w:p>
            <w:pPr>
              <w:jc w:val="center"/>
            </w:pPr>
            <w:r>
              <w:rPr>
                <w:rFonts w:hint="eastAsia" w:ascii="仿宋_GB2312" w:hAnsi="楷体" w:eastAsia="仿宋_GB2312" w:cs="宋体"/>
                <w:kern w:val="0"/>
                <w:sz w:val="18"/>
                <w:szCs w:val="18"/>
              </w:rPr>
              <w:t>较大</w:t>
            </w:r>
          </w:p>
        </w:tc>
        <w:tc>
          <w:tcPr>
            <w:tcW w:w="1477" w:type="dxa"/>
            <w:shd w:val="clear" w:color="000000" w:fill="FFFFFF"/>
            <w:vAlign w:val="center"/>
          </w:tcPr>
          <w:p>
            <w:pPr>
              <w:jc w:val="center"/>
            </w:pPr>
            <w:r>
              <w:rPr>
                <w:rFonts w:hint="eastAsia" w:ascii="仿宋_GB2312" w:hAnsi="楷体" w:eastAsia="仿宋_GB2312" w:cs="宋体"/>
                <w:kern w:val="0"/>
                <w:sz w:val="18"/>
                <w:szCs w:val="18"/>
              </w:rPr>
              <w:t>较大</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楼层</w:t>
            </w:r>
          </w:p>
        </w:tc>
        <w:tc>
          <w:tcPr>
            <w:tcW w:w="1477" w:type="dxa"/>
            <w:shd w:val="clear" w:color="000000" w:fill="FFFFFF"/>
            <w:vAlign w:val="center"/>
          </w:tcPr>
          <w:p>
            <w:pPr>
              <w:jc w:val="center"/>
              <w:rPr>
                <w:rFonts w:hint="eastAsia" w:ascii="仿宋_GB2312" w:eastAsia="仿宋_GB2312"/>
                <w:sz w:val="18"/>
                <w:szCs w:val="18"/>
                <w:lang w:eastAsia="zh-CN"/>
              </w:rPr>
            </w:pPr>
            <w:r>
              <w:rPr>
                <w:rFonts w:hint="eastAsia" w:ascii="仿宋_GB2312" w:eastAsia="仿宋_GB2312"/>
                <w:sz w:val="18"/>
                <w:szCs w:val="18"/>
                <w:lang w:eastAsia="zh-CN"/>
              </w:rPr>
              <w:t>次优层</w:t>
            </w:r>
          </w:p>
        </w:tc>
        <w:tc>
          <w:tcPr>
            <w:tcW w:w="1477" w:type="dxa"/>
            <w:shd w:val="clear" w:color="000000" w:fill="FFFFFF"/>
            <w:vAlign w:val="center"/>
          </w:tcPr>
          <w:p>
            <w:pPr>
              <w:jc w:val="center"/>
              <w:rPr>
                <w:rFonts w:hint="eastAsia" w:eastAsia="宋体"/>
                <w:lang w:eastAsia="zh-CN"/>
              </w:rPr>
            </w:pPr>
            <w:r>
              <w:rPr>
                <w:rFonts w:hint="eastAsia" w:ascii="仿宋_GB2312" w:eastAsia="仿宋_GB2312"/>
                <w:sz w:val="18"/>
                <w:szCs w:val="18"/>
                <w:lang w:eastAsia="zh-CN"/>
              </w:rPr>
              <w:t>次优层</w:t>
            </w:r>
          </w:p>
        </w:tc>
        <w:tc>
          <w:tcPr>
            <w:tcW w:w="1477" w:type="dxa"/>
            <w:shd w:val="clear" w:color="000000" w:fill="FFFFFF"/>
            <w:vAlign w:val="center"/>
          </w:tcPr>
          <w:p>
            <w:pPr>
              <w:jc w:val="center"/>
              <w:rPr>
                <w:rFonts w:hint="eastAsia" w:eastAsia="宋体"/>
                <w:lang w:eastAsia="zh-CN"/>
              </w:rPr>
            </w:pPr>
            <w:r>
              <w:rPr>
                <w:rFonts w:hint="eastAsia" w:ascii="仿宋_GB2312" w:eastAsia="仿宋_GB2312"/>
                <w:sz w:val="18"/>
                <w:szCs w:val="18"/>
                <w:lang w:eastAsia="zh-CN"/>
              </w:rPr>
              <w:t>次优层</w:t>
            </w:r>
          </w:p>
        </w:tc>
        <w:tc>
          <w:tcPr>
            <w:tcW w:w="1477" w:type="dxa"/>
            <w:shd w:val="clear" w:color="000000" w:fill="FFFFFF"/>
            <w:vAlign w:val="center"/>
          </w:tcPr>
          <w:p>
            <w:pPr>
              <w:jc w:val="center"/>
              <w:rPr>
                <w:rFonts w:hint="eastAsia" w:eastAsia="宋体"/>
                <w:lang w:eastAsia="zh-CN"/>
              </w:rPr>
            </w:pPr>
            <w:r>
              <w:rPr>
                <w:rFonts w:hint="eastAsia" w:ascii="仿宋_GB2312" w:eastAsia="仿宋_GB2312"/>
                <w:sz w:val="18"/>
                <w:szCs w:val="18"/>
                <w:lang w:eastAsia="zh-CN"/>
              </w:rPr>
              <w:t>次优层</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朝向</w:t>
            </w:r>
          </w:p>
        </w:tc>
        <w:tc>
          <w:tcPr>
            <w:tcW w:w="1477" w:type="dxa"/>
            <w:shd w:val="clear" w:color="000000" w:fill="FFFFFF"/>
            <w:vAlign w:val="center"/>
          </w:tcPr>
          <w:p>
            <w:pPr>
              <w:jc w:val="center"/>
              <w:rPr>
                <w:rFonts w:ascii="仿宋_GB2312" w:eastAsia="仿宋_GB2312"/>
                <w:sz w:val="18"/>
                <w:szCs w:val="18"/>
              </w:rPr>
            </w:pPr>
            <w:r>
              <w:rPr>
                <w:rFonts w:hint="eastAsia" w:ascii="仿宋_GB2312" w:eastAsia="仿宋_GB2312"/>
                <w:sz w:val="18"/>
                <w:szCs w:val="18"/>
              </w:rPr>
              <w:t>南北</w:t>
            </w:r>
          </w:p>
        </w:tc>
        <w:tc>
          <w:tcPr>
            <w:tcW w:w="1477" w:type="dxa"/>
            <w:shd w:val="clear" w:color="000000" w:fill="FFFFFF"/>
            <w:vAlign w:val="center"/>
          </w:tcPr>
          <w:p>
            <w:pPr>
              <w:jc w:val="center"/>
              <w:rPr>
                <w:rFonts w:ascii="仿宋_GB2312" w:eastAsia="仿宋_GB2312"/>
                <w:sz w:val="18"/>
                <w:szCs w:val="18"/>
              </w:rPr>
            </w:pPr>
            <w:r>
              <w:rPr>
                <w:rFonts w:hint="eastAsia" w:ascii="仿宋_GB2312" w:eastAsia="仿宋_GB2312"/>
                <w:sz w:val="18"/>
                <w:szCs w:val="18"/>
              </w:rPr>
              <w:t>南北</w:t>
            </w:r>
          </w:p>
        </w:tc>
        <w:tc>
          <w:tcPr>
            <w:tcW w:w="1477" w:type="dxa"/>
            <w:shd w:val="clear" w:color="000000" w:fill="FFFFFF"/>
            <w:vAlign w:val="center"/>
          </w:tcPr>
          <w:p>
            <w:pPr>
              <w:jc w:val="center"/>
              <w:rPr>
                <w:rFonts w:ascii="仿宋_GB2312" w:eastAsia="仿宋_GB2312"/>
                <w:sz w:val="18"/>
                <w:szCs w:val="18"/>
              </w:rPr>
            </w:pPr>
            <w:r>
              <w:rPr>
                <w:rFonts w:hint="eastAsia" w:ascii="仿宋_GB2312" w:eastAsia="仿宋_GB2312"/>
                <w:sz w:val="18"/>
                <w:szCs w:val="18"/>
              </w:rPr>
              <w:t>南北</w:t>
            </w:r>
          </w:p>
        </w:tc>
        <w:tc>
          <w:tcPr>
            <w:tcW w:w="1477" w:type="dxa"/>
            <w:shd w:val="clear" w:color="000000" w:fill="FFFFFF"/>
            <w:vAlign w:val="center"/>
          </w:tcPr>
          <w:p>
            <w:pPr>
              <w:jc w:val="center"/>
              <w:rPr>
                <w:rFonts w:ascii="仿宋_GB2312" w:eastAsia="仿宋_GB2312"/>
                <w:sz w:val="18"/>
                <w:szCs w:val="18"/>
              </w:rPr>
            </w:pPr>
            <w:r>
              <w:rPr>
                <w:rFonts w:hint="eastAsia" w:ascii="仿宋_GB2312" w:eastAsia="仿宋_GB2312"/>
                <w:sz w:val="18"/>
                <w:szCs w:val="18"/>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671" w:type="dxa"/>
            <w:gridSpan w:val="2"/>
            <w:vMerge w:val="continue"/>
            <w:shd w:val="clear" w:color="auto" w:fill="auto"/>
            <w:textDirection w:val="tbRlV"/>
            <w:vAlign w:val="center"/>
          </w:tcPr>
          <w:p>
            <w:pPr>
              <w:widowControl/>
              <w:jc w:val="center"/>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平面位置</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vAlign w:val="center"/>
          </w:tcPr>
          <w:p>
            <w:pPr>
              <w:widowControl/>
              <w:jc w:val="left"/>
              <w:rPr>
                <w:rFonts w:ascii="仿宋_GB2312" w:hAnsi="楷体" w:eastAsia="仿宋_GB2312" w:cs="宋体"/>
                <w:b/>
                <w:bCs/>
                <w:kern w:val="0"/>
                <w:sz w:val="18"/>
                <w:szCs w:val="18"/>
              </w:rPr>
            </w:pPr>
          </w:p>
        </w:tc>
        <w:tc>
          <w:tcPr>
            <w:tcW w:w="671" w:type="dxa"/>
            <w:gridSpan w:val="2"/>
            <w:vMerge w:val="restart"/>
            <w:shd w:val="clear" w:color="auto" w:fill="auto"/>
            <w:vAlign w:val="center"/>
          </w:tcPr>
          <w:p>
            <w:pPr>
              <w:widowControl/>
              <w:jc w:val="left"/>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交通状况</w:t>
            </w:r>
          </w:p>
        </w:tc>
        <w:tc>
          <w:tcPr>
            <w:tcW w:w="1841" w:type="dxa"/>
            <w:shd w:val="clear" w:color="auto" w:fill="auto"/>
            <w:vAlign w:val="center"/>
          </w:tcPr>
          <w:p>
            <w:pPr>
              <w:widowControl/>
              <w:jc w:val="center"/>
              <w:rPr>
                <w:rFonts w:ascii="仿宋_GB2312" w:hAnsi="Calibri" w:eastAsia="仿宋_GB2312"/>
                <w:b/>
                <w:bCs/>
                <w:color w:val="000000"/>
                <w:kern w:val="0"/>
                <w:sz w:val="18"/>
                <w:szCs w:val="18"/>
              </w:rPr>
            </w:pPr>
            <w:r>
              <w:rPr>
                <w:rFonts w:hint="eastAsia" w:ascii="仿宋_GB2312" w:hAnsi="Calibri" w:eastAsia="仿宋_GB2312"/>
                <w:b/>
                <w:bCs/>
                <w:color w:val="000000"/>
                <w:kern w:val="0"/>
                <w:sz w:val="18"/>
                <w:szCs w:val="18"/>
              </w:rPr>
              <w:t>道路等级</w:t>
            </w:r>
          </w:p>
        </w:tc>
        <w:tc>
          <w:tcPr>
            <w:tcW w:w="1477"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临次干道</w:t>
            </w:r>
          </w:p>
        </w:tc>
        <w:tc>
          <w:tcPr>
            <w:tcW w:w="1477" w:type="dxa"/>
            <w:shd w:val="clear" w:color="000000" w:fill="FFFFFF"/>
            <w:vAlign w:val="center"/>
          </w:tcPr>
          <w:p>
            <w:pPr>
              <w:jc w:val="center"/>
            </w:pPr>
            <w:r>
              <w:rPr>
                <w:rFonts w:hint="eastAsia" w:ascii="仿宋_GB2312" w:hAnsi="Calibri" w:eastAsia="仿宋_GB2312"/>
                <w:kern w:val="0"/>
                <w:sz w:val="18"/>
                <w:szCs w:val="18"/>
              </w:rPr>
              <w:t>临次干道</w:t>
            </w:r>
          </w:p>
        </w:tc>
        <w:tc>
          <w:tcPr>
            <w:tcW w:w="1477" w:type="dxa"/>
            <w:shd w:val="clear" w:color="000000" w:fill="FFFFFF"/>
            <w:vAlign w:val="center"/>
          </w:tcPr>
          <w:p>
            <w:pPr>
              <w:jc w:val="center"/>
            </w:pPr>
            <w:r>
              <w:rPr>
                <w:rFonts w:hint="eastAsia" w:ascii="仿宋_GB2312" w:hAnsi="Calibri" w:eastAsia="仿宋_GB2312"/>
                <w:kern w:val="0"/>
                <w:sz w:val="18"/>
                <w:szCs w:val="18"/>
              </w:rPr>
              <w:t>临次干道</w:t>
            </w:r>
          </w:p>
        </w:tc>
        <w:tc>
          <w:tcPr>
            <w:tcW w:w="1477" w:type="dxa"/>
            <w:shd w:val="clear" w:color="000000" w:fill="FFFFFF"/>
            <w:vAlign w:val="center"/>
          </w:tcPr>
          <w:p>
            <w:pPr>
              <w:jc w:val="center"/>
            </w:pPr>
            <w:r>
              <w:rPr>
                <w:rFonts w:hint="eastAsia" w:ascii="仿宋_GB2312" w:hAnsi="Calibri" w:eastAsia="仿宋_GB2312"/>
                <w:kern w:val="0"/>
                <w:sz w:val="18"/>
                <w:szCs w:val="18"/>
              </w:rPr>
              <w:t>临次干道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vAlign w:val="center"/>
          </w:tcPr>
          <w:p>
            <w:pPr>
              <w:widowControl/>
              <w:jc w:val="left"/>
              <w:rPr>
                <w:rFonts w:ascii="仿宋_GB2312" w:hAnsi="楷体" w:eastAsia="仿宋_GB2312" w:cs="宋体"/>
                <w:b/>
                <w:bCs/>
                <w:kern w:val="0"/>
                <w:sz w:val="18"/>
                <w:szCs w:val="18"/>
              </w:rPr>
            </w:pPr>
          </w:p>
        </w:tc>
        <w:tc>
          <w:tcPr>
            <w:tcW w:w="671" w:type="dxa"/>
            <w:gridSpan w:val="2"/>
            <w:vMerge w:val="continue"/>
            <w:shd w:val="clear" w:color="auto" w:fill="auto"/>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公共交通便捷度</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lang w:eastAsia="zh-CN"/>
              </w:rPr>
              <w:t>不</w:t>
            </w:r>
            <w:r>
              <w:rPr>
                <w:rFonts w:hint="eastAsia" w:ascii="仿宋_GB2312" w:eastAsia="仿宋_GB2312"/>
                <w:sz w:val="18"/>
                <w:szCs w:val="18"/>
              </w:rPr>
              <w:t>便捷</w:t>
            </w:r>
          </w:p>
        </w:tc>
        <w:tc>
          <w:tcPr>
            <w:tcW w:w="1477" w:type="dxa"/>
            <w:shd w:val="clear" w:color="000000" w:fill="FFFFFF"/>
            <w:vAlign w:val="center"/>
          </w:tcPr>
          <w:p>
            <w:pPr>
              <w:jc w:val="center"/>
            </w:pPr>
            <w:r>
              <w:rPr>
                <w:rFonts w:hint="eastAsia" w:ascii="仿宋_GB2312" w:eastAsia="仿宋_GB2312"/>
                <w:sz w:val="18"/>
                <w:szCs w:val="18"/>
                <w:lang w:eastAsia="zh-CN"/>
              </w:rPr>
              <w:t>不</w:t>
            </w:r>
            <w:r>
              <w:rPr>
                <w:rFonts w:hint="eastAsia" w:ascii="仿宋_GB2312" w:eastAsia="仿宋_GB2312"/>
                <w:sz w:val="18"/>
                <w:szCs w:val="18"/>
              </w:rPr>
              <w:t>便捷</w:t>
            </w:r>
          </w:p>
        </w:tc>
        <w:tc>
          <w:tcPr>
            <w:tcW w:w="1477" w:type="dxa"/>
            <w:shd w:val="clear" w:color="000000" w:fill="FFFFFF"/>
            <w:vAlign w:val="center"/>
          </w:tcPr>
          <w:p>
            <w:pPr>
              <w:jc w:val="center"/>
            </w:pPr>
            <w:r>
              <w:rPr>
                <w:rFonts w:hint="eastAsia" w:ascii="仿宋_GB2312" w:eastAsia="仿宋_GB2312"/>
                <w:sz w:val="18"/>
                <w:szCs w:val="18"/>
                <w:lang w:eastAsia="zh-CN"/>
              </w:rPr>
              <w:t>不</w:t>
            </w:r>
            <w:r>
              <w:rPr>
                <w:rFonts w:hint="eastAsia" w:ascii="仿宋_GB2312" w:eastAsia="仿宋_GB2312"/>
                <w:sz w:val="18"/>
                <w:szCs w:val="18"/>
              </w:rPr>
              <w:t>便捷</w:t>
            </w:r>
          </w:p>
        </w:tc>
        <w:tc>
          <w:tcPr>
            <w:tcW w:w="1477" w:type="dxa"/>
            <w:shd w:val="clear" w:color="000000" w:fill="FFFFFF"/>
            <w:vAlign w:val="center"/>
          </w:tcPr>
          <w:p>
            <w:pPr>
              <w:jc w:val="center"/>
            </w:pPr>
            <w:r>
              <w:rPr>
                <w:rFonts w:hint="eastAsia" w:ascii="仿宋_GB2312" w:eastAsia="仿宋_GB2312"/>
                <w:sz w:val="18"/>
                <w:szCs w:val="18"/>
                <w:lang w:eastAsia="zh-CN"/>
              </w:rPr>
              <w:t>不</w:t>
            </w:r>
            <w:r>
              <w:rPr>
                <w:rFonts w:hint="eastAsia" w:ascii="仿宋_GB2312" w:eastAsia="仿宋_GB2312"/>
                <w:sz w:val="18"/>
                <w:szCs w:val="18"/>
              </w:rPr>
              <w:t>便捷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vAlign w:val="center"/>
          </w:tcPr>
          <w:p>
            <w:pPr>
              <w:widowControl/>
              <w:jc w:val="left"/>
              <w:rPr>
                <w:rFonts w:ascii="仿宋_GB2312" w:hAnsi="楷体" w:eastAsia="仿宋_GB2312" w:cs="宋体"/>
                <w:b/>
                <w:bCs/>
                <w:kern w:val="0"/>
                <w:sz w:val="18"/>
                <w:szCs w:val="18"/>
              </w:rPr>
            </w:pPr>
          </w:p>
        </w:tc>
        <w:tc>
          <w:tcPr>
            <w:tcW w:w="671" w:type="dxa"/>
            <w:gridSpan w:val="2"/>
            <w:vMerge w:val="continue"/>
            <w:shd w:val="clear" w:color="auto" w:fill="auto"/>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Calibri" w:eastAsia="仿宋_GB2312"/>
                <w:b/>
                <w:bCs/>
                <w:color w:val="000000"/>
                <w:kern w:val="0"/>
                <w:sz w:val="18"/>
                <w:szCs w:val="18"/>
              </w:rPr>
            </w:pPr>
            <w:r>
              <w:rPr>
                <w:rFonts w:hint="eastAsia" w:ascii="仿宋_GB2312" w:hAnsi="Calibri" w:eastAsia="仿宋_GB2312"/>
                <w:b/>
                <w:bCs/>
                <w:color w:val="000000"/>
                <w:kern w:val="0"/>
                <w:sz w:val="18"/>
                <w:szCs w:val="18"/>
              </w:rPr>
              <w:t>对外交通便利度</w:t>
            </w:r>
          </w:p>
        </w:tc>
        <w:tc>
          <w:tcPr>
            <w:tcW w:w="1477" w:type="dxa"/>
            <w:shd w:val="clear" w:color="000000" w:fill="FFFFFF"/>
            <w:vAlign w:val="center"/>
          </w:tcPr>
          <w:p>
            <w:pPr>
              <w:widowControl/>
              <w:jc w:val="center"/>
              <w:rPr>
                <w:rFonts w:hint="eastAsia" w:ascii="仿宋_GB2312" w:hAnsi="Calibri" w:eastAsia="仿宋_GB2312"/>
                <w:color w:val="000000"/>
                <w:kern w:val="0"/>
                <w:sz w:val="18"/>
                <w:szCs w:val="18"/>
                <w:lang w:eastAsia="zh-CN"/>
              </w:rPr>
            </w:pPr>
            <w:r>
              <w:rPr>
                <w:rFonts w:hint="eastAsia" w:ascii="仿宋_GB2312" w:hAnsi="Calibri" w:eastAsia="仿宋_GB2312"/>
                <w:color w:val="000000"/>
                <w:kern w:val="0"/>
                <w:sz w:val="18"/>
                <w:szCs w:val="18"/>
                <w:lang w:eastAsia="zh-CN"/>
              </w:rPr>
              <w:t>距乌拉特后旗客运站1200米</w:t>
            </w:r>
          </w:p>
        </w:tc>
        <w:tc>
          <w:tcPr>
            <w:tcW w:w="1477" w:type="dxa"/>
            <w:shd w:val="clear" w:color="000000" w:fill="FFFFFF"/>
            <w:vAlign w:val="center"/>
          </w:tcPr>
          <w:p>
            <w:pPr>
              <w:jc w:val="center"/>
              <w:rPr>
                <w:rFonts w:hint="eastAsia" w:eastAsia="宋体"/>
                <w:lang w:eastAsia="zh-CN"/>
              </w:rPr>
            </w:pPr>
            <w:r>
              <w:rPr>
                <w:rFonts w:hint="eastAsia" w:ascii="仿宋_GB2312" w:hAnsi="Calibri" w:eastAsia="仿宋_GB2312"/>
                <w:color w:val="000000"/>
                <w:kern w:val="0"/>
                <w:sz w:val="18"/>
                <w:szCs w:val="18"/>
                <w:lang w:eastAsia="zh-CN"/>
              </w:rPr>
              <w:t>距乌拉特后旗客运站1200米</w:t>
            </w:r>
          </w:p>
        </w:tc>
        <w:tc>
          <w:tcPr>
            <w:tcW w:w="1477" w:type="dxa"/>
            <w:shd w:val="clear" w:color="000000" w:fill="FFFFFF"/>
            <w:vAlign w:val="center"/>
          </w:tcPr>
          <w:p>
            <w:pPr>
              <w:jc w:val="center"/>
              <w:rPr>
                <w:rFonts w:hint="eastAsia" w:eastAsia="宋体"/>
                <w:lang w:eastAsia="zh-CN"/>
              </w:rPr>
            </w:pPr>
            <w:r>
              <w:rPr>
                <w:rFonts w:hint="eastAsia" w:ascii="仿宋_GB2312" w:hAnsi="Calibri" w:eastAsia="仿宋_GB2312"/>
                <w:color w:val="000000"/>
                <w:kern w:val="0"/>
                <w:sz w:val="18"/>
                <w:szCs w:val="18"/>
                <w:lang w:eastAsia="zh-CN"/>
              </w:rPr>
              <w:t>距乌拉特后旗客运站1200米</w:t>
            </w:r>
          </w:p>
        </w:tc>
        <w:tc>
          <w:tcPr>
            <w:tcW w:w="1477" w:type="dxa"/>
            <w:shd w:val="clear" w:color="000000" w:fill="FFFFFF"/>
            <w:vAlign w:val="center"/>
          </w:tcPr>
          <w:p>
            <w:pPr>
              <w:jc w:val="center"/>
              <w:rPr>
                <w:rFonts w:hint="eastAsia" w:eastAsia="宋体"/>
                <w:lang w:eastAsia="zh-CN"/>
              </w:rPr>
            </w:pPr>
            <w:r>
              <w:rPr>
                <w:rFonts w:hint="eastAsia" w:ascii="仿宋_GB2312" w:hAnsi="Calibri" w:eastAsia="仿宋_GB2312"/>
                <w:color w:val="000000"/>
                <w:kern w:val="0"/>
                <w:sz w:val="18"/>
                <w:szCs w:val="18"/>
                <w:lang w:eastAsia="zh-CN"/>
              </w:rPr>
              <w:t>距乌拉特后旗客运站1200米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vAlign w:val="center"/>
          </w:tcPr>
          <w:p>
            <w:pPr>
              <w:widowControl/>
              <w:jc w:val="left"/>
              <w:rPr>
                <w:rFonts w:ascii="仿宋_GB2312" w:hAnsi="楷体" w:eastAsia="仿宋_GB2312" w:cs="宋体"/>
                <w:b/>
                <w:bCs/>
                <w:kern w:val="0"/>
                <w:sz w:val="18"/>
                <w:szCs w:val="18"/>
              </w:rPr>
            </w:pPr>
          </w:p>
        </w:tc>
        <w:tc>
          <w:tcPr>
            <w:tcW w:w="671" w:type="dxa"/>
            <w:gridSpan w:val="2"/>
            <w:vMerge w:val="continue"/>
            <w:shd w:val="clear" w:color="auto" w:fill="auto"/>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交通管制情况</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vAlign w:val="center"/>
          </w:tcPr>
          <w:p>
            <w:pPr>
              <w:widowControl/>
              <w:jc w:val="left"/>
              <w:rPr>
                <w:rFonts w:ascii="仿宋_GB2312" w:hAnsi="楷体" w:eastAsia="仿宋_GB2312" w:cs="宋体"/>
                <w:b/>
                <w:bCs/>
                <w:kern w:val="0"/>
                <w:sz w:val="18"/>
                <w:szCs w:val="18"/>
              </w:rPr>
            </w:pPr>
          </w:p>
        </w:tc>
        <w:tc>
          <w:tcPr>
            <w:tcW w:w="671" w:type="dxa"/>
            <w:gridSpan w:val="2"/>
            <w:vMerge w:val="restart"/>
            <w:shd w:val="clear" w:color="auto" w:fill="auto"/>
            <w:vAlign w:val="center"/>
          </w:tcPr>
          <w:p>
            <w:pPr>
              <w:widowControl/>
              <w:jc w:val="left"/>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外部配套设施状况</w:t>
            </w: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基础设施</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vAlign w:val="center"/>
          </w:tcPr>
          <w:p>
            <w:pPr>
              <w:widowControl/>
              <w:jc w:val="left"/>
              <w:rPr>
                <w:rFonts w:ascii="仿宋_GB2312" w:hAnsi="楷体" w:eastAsia="仿宋_GB2312" w:cs="宋体"/>
                <w:b/>
                <w:bCs/>
                <w:kern w:val="0"/>
                <w:sz w:val="18"/>
                <w:szCs w:val="18"/>
              </w:rPr>
            </w:pPr>
          </w:p>
        </w:tc>
        <w:tc>
          <w:tcPr>
            <w:tcW w:w="671" w:type="dxa"/>
            <w:gridSpan w:val="2"/>
            <w:vMerge w:val="continue"/>
            <w:shd w:val="clear" w:color="auto" w:fill="auto"/>
            <w:vAlign w:val="center"/>
          </w:tcPr>
          <w:p>
            <w:pPr>
              <w:widowControl/>
              <w:jc w:val="left"/>
              <w:rPr>
                <w:rFonts w:ascii="仿宋_GB2312" w:hAnsi="楷体" w:eastAsia="仿宋_GB2312" w:cs="宋体"/>
                <w:b/>
                <w:bCs/>
                <w:kern w:val="0"/>
                <w:sz w:val="18"/>
                <w:szCs w:val="18"/>
              </w:rPr>
            </w:pPr>
          </w:p>
        </w:tc>
        <w:tc>
          <w:tcPr>
            <w:tcW w:w="1841" w:type="dxa"/>
            <w:shd w:val="clear" w:color="000000" w:fill="FFFFFF"/>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外部配套设施</w:t>
            </w:r>
          </w:p>
        </w:tc>
        <w:tc>
          <w:tcPr>
            <w:tcW w:w="1477" w:type="dxa"/>
            <w:shd w:val="clear" w:color="000000" w:fill="FFFFFF"/>
            <w:vAlign w:val="center"/>
          </w:tcPr>
          <w:p>
            <w:pPr>
              <w:jc w:val="center"/>
              <w:rPr>
                <w:rFonts w:hint="eastAsia" w:ascii="仿宋_GB2312" w:eastAsia="仿宋_GB2312"/>
                <w:sz w:val="18"/>
                <w:szCs w:val="18"/>
                <w:lang w:eastAsia="zh-CN"/>
              </w:rPr>
            </w:pPr>
            <w:r>
              <w:rPr>
                <w:rFonts w:hint="eastAsia" w:ascii="仿宋_GB2312" w:eastAsia="仿宋_GB2312"/>
                <w:sz w:val="18"/>
                <w:szCs w:val="18"/>
                <w:lang w:eastAsia="zh-CN"/>
              </w:rPr>
              <w:t>一般</w:t>
            </w:r>
          </w:p>
        </w:tc>
        <w:tc>
          <w:tcPr>
            <w:tcW w:w="1477" w:type="dxa"/>
            <w:shd w:val="clear" w:color="000000" w:fill="FFFFFF"/>
            <w:vAlign w:val="center"/>
          </w:tcPr>
          <w:p>
            <w:pPr>
              <w:jc w:val="center"/>
              <w:rPr>
                <w:rFonts w:hint="eastAsia" w:eastAsia="宋体"/>
                <w:lang w:eastAsia="zh-CN"/>
              </w:rPr>
            </w:pPr>
            <w:r>
              <w:rPr>
                <w:rFonts w:hint="eastAsia" w:ascii="仿宋_GB2312" w:eastAsia="仿宋_GB2312"/>
                <w:sz w:val="18"/>
                <w:szCs w:val="18"/>
                <w:lang w:eastAsia="zh-CN"/>
              </w:rPr>
              <w:t>一般</w:t>
            </w:r>
          </w:p>
        </w:tc>
        <w:tc>
          <w:tcPr>
            <w:tcW w:w="1477" w:type="dxa"/>
            <w:shd w:val="clear" w:color="000000" w:fill="FFFFFF"/>
            <w:vAlign w:val="center"/>
          </w:tcPr>
          <w:p>
            <w:pPr>
              <w:jc w:val="center"/>
              <w:rPr>
                <w:rFonts w:hint="eastAsia" w:eastAsia="宋体"/>
                <w:lang w:eastAsia="zh-CN"/>
              </w:rPr>
            </w:pPr>
            <w:r>
              <w:rPr>
                <w:rFonts w:hint="eastAsia" w:ascii="仿宋_GB2312" w:eastAsia="仿宋_GB2312"/>
                <w:sz w:val="18"/>
                <w:szCs w:val="18"/>
                <w:lang w:eastAsia="zh-CN"/>
              </w:rPr>
              <w:t>一般</w:t>
            </w:r>
          </w:p>
        </w:tc>
        <w:tc>
          <w:tcPr>
            <w:tcW w:w="1477" w:type="dxa"/>
            <w:shd w:val="clear" w:color="000000" w:fill="FFFFFF"/>
            <w:vAlign w:val="center"/>
          </w:tcPr>
          <w:p>
            <w:pPr>
              <w:jc w:val="center"/>
              <w:rPr>
                <w:rFonts w:hint="eastAsia" w:eastAsia="宋体"/>
                <w:lang w:eastAsia="zh-CN"/>
              </w:rPr>
            </w:pPr>
            <w:r>
              <w:rPr>
                <w:rFonts w:hint="eastAsia" w:ascii="仿宋_GB2312" w:eastAsia="仿宋_GB2312"/>
                <w:sz w:val="18"/>
                <w:szCs w:val="18"/>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1" w:type="dxa"/>
            <w:vMerge w:val="continue"/>
            <w:vAlign w:val="center"/>
          </w:tcPr>
          <w:p>
            <w:pPr>
              <w:widowControl/>
              <w:jc w:val="left"/>
              <w:rPr>
                <w:rFonts w:ascii="仿宋_GB2312" w:hAnsi="楷体" w:eastAsia="仿宋_GB2312" w:cs="宋体"/>
                <w:b/>
                <w:bCs/>
                <w:kern w:val="0"/>
                <w:sz w:val="18"/>
                <w:szCs w:val="18"/>
              </w:rPr>
            </w:pPr>
          </w:p>
        </w:tc>
        <w:tc>
          <w:tcPr>
            <w:tcW w:w="671" w:type="dxa"/>
            <w:gridSpan w:val="2"/>
            <w:shd w:val="clear" w:color="auto" w:fill="auto"/>
            <w:vAlign w:val="center"/>
          </w:tcPr>
          <w:p>
            <w:pPr>
              <w:widowControl/>
              <w:jc w:val="left"/>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环境状况</w:t>
            </w: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周边环境和景观</w:t>
            </w:r>
          </w:p>
        </w:tc>
        <w:tc>
          <w:tcPr>
            <w:tcW w:w="1477" w:type="dxa"/>
            <w:shd w:val="clear" w:color="000000" w:fill="FFFFFF"/>
            <w:vAlign w:val="center"/>
          </w:tcPr>
          <w:p>
            <w:pPr>
              <w:jc w:val="center"/>
              <w:rPr>
                <w:rFonts w:hint="eastAsia" w:ascii="仿宋_GB2312" w:hAnsi="宋体" w:eastAsia="仿宋_GB2312" w:cs="宋体"/>
                <w:sz w:val="18"/>
                <w:szCs w:val="18"/>
                <w:lang w:eastAsia="zh-CN"/>
              </w:rPr>
            </w:pPr>
            <w:r>
              <w:rPr>
                <w:rFonts w:hint="eastAsia" w:ascii="仿宋_GB2312" w:eastAsia="仿宋_GB2312"/>
                <w:sz w:val="18"/>
                <w:szCs w:val="18"/>
                <w:lang w:eastAsia="zh-CN"/>
              </w:rPr>
              <w:t>一般</w:t>
            </w:r>
          </w:p>
        </w:tc>
        <w:tc>
          <w:tcPr>
            <w:tcW w:w="1477" w:type="dxa"/>
            <w:shd w:val="clear" w:color="000000" w:fill="FFFFFF"/>
            <w:vAlign w:val="center"/>
          </w:tcPr>
          <w:p>
            <w:pPr>
              <w:jc w:val="center"/>
              <w:rPr>
                <w:rFonts w:hint="eastAsia" w:eastAsia="宋体"/>
                <w:lang w:eastAsia="zh-CN"/>
              </w:rPr>
            </w:pPr>
            <w:r>
              <w:rPr>
                <w:rFonts w:hint="eastAsia" w:ascii="仿宋_GB2312" w:eastAsia="仿宋_GB2312"/>
                <w:sz w:val="18"/>
                <w:szCs w:val="18"/>
                <w:lang w:eastAsia="zh-CN"/>
              </w:rPr>
              <w:t>一般</w:t>
            </w:r>
          </w:p>
        </w:tc>
        <w:tc>
          <w:tcPr>
            <w:tcW w:w="1477" w:type="dxa"/>
            <w:shd w:val="clear" w:color="000000" w:fill="FFFFFF"/>
            <w:vAlign w:val="center"/>
          </w:tcPr>
          <w:p>
            <w:pPr>
              <w:jc w:val="center"/>
              <w:rPr>
                <w:rFonts w:hint="eastAsia" w:eastAsia="宋体"/>
                <w:lang w:eastAsia="zh-CN"/>
              </w:rPr>
            </w:pPr>
            <w:r>
              <w:rPr>
                <w:rFonts w:hint="eastAsia" w:ascii="仿宋_GB2312" w:eastAsia="仿宋_GB2312"/>
                <w:sz w:val="18"/>
                <w:szCs w:val="18"/>
                <w:lang w:eastAsia="zh-CN"/>
              </w:rPr>
              <w:t>一般</w:t>
            </w:r>
          </w:p>
        </w:tc>
        <w:tc>
          <w:tcPr>
            <w:tcW w:w="1477" w:type="dxa"/>
            <w:shd w:val="clear" w:color="000000" w:fill="FFFFFF"/>
            <w:vAlign w:val="center"/>
          </w:tcPr>
          <w:p>
            <w:pPr>
              <w:jc w:val="center"/>
              <w:rPr>
                <w:rFonts w:hint="eastAsia" w:eastAsia="宋体"/>
                <w:lang w:eastAsia="zh-CN"/>
              </w:rPr>
            </w:pPr>
            <w:r>
              <w:rPr>
                <w:rFonts w:hint="eastAsia" w:ascii="仿宋_GB2312" w:eastAsia="仿宋_GB2312"/>
                <w:sz w:val="18"/>
                <w:szCs w:val="18"/>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restart"/>
            <w:shd w:val="clear" w:color="auto" w:fill="auto"/>
            <w:textDirection w:val="tbRlV"/>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实物状况</w:t>
            </w: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外观设计</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建筑结构形式</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混合结构</w:t>
            </w:r>
          </w:p>
        </w:tc>
        <w:tc>
          <w:tcPr>
            <w:tcW w:w="1477" w:type="dxa"/>
            <w:shd w:val="clear" w:color="000000" w:fill="FFFFFF"/>
            <w:vAlign w:val="center"/>
          </w:tcPr>
          <w:p>
            <w:pPr>
              <w:jc w:val="center"/>
            </w:pPr>
            <w:r>
              <w:rPr>
                <w:rFonts w:hint="eastAsia" w:ascii="仿宋_GB2312" w:eastAsia="仿宋_GB2312"/>
                <w:sz w:val="18"/>
                <w:szCs w:val="18"/>
              </w:rPr>
              <w:t>混合结构</w:t>
            </w:r>
          </w:p>
        </w:tc>
        <w:tc>
          <w:tcPr>
            <w:tcW w:w="1477" w:type="dxa"/>
            <w:shd w:val="clear" w:color="000000" w:fill="FFFFFF"/>
            <w:vAlign w:val="center"/>
          </w:tcPr>
          <w:p>
            <w:pPr>
              <w:jc w:val="center"/>
            </w:pPr>
            <w:r>
              <w:rPr>
                <w:rFonts w:hint="eastAsia" w:ascii="仿宋_GB2312" w:eastAsia="仿宋_GB2312"/>
                <w:sz w:val="18"/>
                <w:szCs w:val="18"/>
              </w:rPr>
              <w:t>混合结构</w:t>
            </w:r>
          </w:p>
        </w:tc>
        <w:tc>
          <w:tcPr>
            <w:tcW w:w="1477" w:type="dxa"/>
            <w:shd w:val="clear" w:color="000000" w:fill="FFFFFF"/>
            <w:vAlign w:val="center"/>
          </w:tcPr>
          <w:p>
            <w:pPr>
              <w:jc w:val="center"/>
            </w:pPr>
            <w:r>
              <w:rPr>
                <w:rFonts w:hint="eastAsia" w:ascii="仿宋_GB2312" w:eastAsia="仿宋_GB2312"/>
                <w:sz w:val="18"/>
                <w:szCs w:val="18"/>
              </w:rPr>
              <w:t>混合结构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设备设施</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较</w:t>
            </w:r>
            <w:r>
              <w:rPr>
                <w:rFonts w:hint="eastAsia" w:ascii="仿宋_GB2312" w:eastAsia="仿宋_GB2312"/>
                <w:sz w:val="18"/>
                <w:szCs w:val="18"/>
                <w:lang w:eastAsia="zh-CN"/>
              </w:rPr>
              <w:t>不</w:t>
            </w:r>
            <w:r>
              <w:rPr>
                <w:rFonts w:hint="eastAsia" w:ascii="仿宋_GB2312" w:eastAsia="仿宋_GB2312"/>
                <w:sz w:val="18"/>
                <w:szCs w:val="18"/>
              </w:rPr>
              <w:t>完备</w:t>
            </w:r>
          </w:p>
        </w:tc>
        <w:tc>
          <w:tcPr>
            <w:tcW w:w="1477" w:type="dxa"/>
            <w:shd w:val="clear" w:color="000000" w:fill="FFFFFF"/>
            <w:vAlign w:val="center"/>
          </w:tcPr>
          <w:p>
            <w:pPr>
              <w:jc w:val="center"/>
            </w:pPr>
            <w:r>
              <w:rPr>
                <w:rFonts w:hint="eastAsia" w:ascii="仿宋_GB2312" w:eastAsia="仿宋_GB2312"/>
                <w:sz w:val="18"/>
                <w:szCs w:val="18"/>
              </w:rPr>
              <w:t>较</w:t>
            </w:r>
            <w:r>
              <w:rPr>
                <w:rFonts w:hint="eastAsia" w:ascii="仿宋_GB2312" w:eastAsia="仿宋_GB2312"/>
                <w:sz w:val="18"/>
                <w:szCs w:val="18"/>
                <w:lang w:eastAsia="zh-CN"/>
              </w:rPr>
              <w:t>不</w:t>
            </w:r>
            <w:r>
              <w:rPr>
                <w:rFonts w:hint="eastAsia" w:ascii="仿宋_GB2312" w:eastAsia="仿宋_GB2312"/>
                <w:sz w:val="18"/>
                <w:szCs w:val="18"/>
              </w:rPr>
              <w:t>完备</w:t>
            </w:r>
          </w:p>
        </w:tc>
        <w:tc>
          <w:tcPr>
            <w:tcW w:w="1477" w:type="dxa"/>
            <w:shd w:val="clear" w:color="000000" w:fill="FFFFFF"/>
            <w:vAlign w:val="center"/>
          </w:tcPr>
          <w:p>
            <w:pPr>
              <w:jc w:val="center"/>
            </w:pPr>
            <w:r>
              <w:rPr>
                <w:rFonts w:hint="eastAsia" w:ascii="仿宋_GB2312" w:eastAsia="仿宋_GB2312"/>
                <w:sz w:val="18"/>
                <w:szCs w:val="18"/>
              </w:rPr>
              <w:t>较</w:t>
            </w:r>
            <w:r>
              <w:rPr>
                <w:rFonts w:hint="eastAsia" w:ascii="仿宋_GB2312" w:eastAsia="仿宋_GB2312"/>
                <w:sz w:val="18"/>
                <w:szCs w:val="18"/>
                <w:lang w:eastAsia="zh-CN"/>
              </w:rPr>
              <w:t>不</w:t>
            </w:r>
            <w:r>
              <w:rPr>
                <w:rFonts w:hint="eastAsia" w:ascii="仿宋_GB2312" w:eastAsia="仿宋_GB2312"/>
                <w:sz w:val="18"/>
                <w:szCs w:val="18"/>
              </w:rPr>
              <w:t>完备</w:t>
            </w:r>
          </w:p>
        </w:tc>
        <w:tc>
          <w:tcPr>
            <w:tcW w:w="1477" w:type="dxa"/>
            <w:shd w:val="clear" w:color="000000" w:fill="FFFFFF"/>
            <w:vAlign w:val="center"/>
          </w:tcPr>
          <w:p>
            <w:pPr>
              <w:jc w:val="center"/>
            </w:pPr>
            <w:r>
              <w:rPr>
                <w:rFonts w:hint="eastAsia" w:ascii="仿宋_GB2312" w:eastAsia="仿宋_GB2312"/>
                <w:sz w:val="18"/>
                <w:szCs w:val="18"/>
              </w:rPr>
              <w:t>较</w:t>
            </w:r>
            <w:r>
              <w:rPr>
                <w:rFonts w:hint="eastAsia" w:ascii="仿宋_GB2312" w:eastAsia="仿宋_GB2312"/>
                <w:sz w:val="18"/>
                <w:szCs w:val="18"/>
                <w:lang w:eastAsia="zh-CN"/>
              </w:rPr>
              <w:t>不</w:t>
            </w:r>
            <w:r>
              <w:rPr>
                <w:rFonts w:hint="eastAsia" w:ascii="仿宋_GB2312" w:eastAsia="仿宋_GB2312"/>
                <w:sz w:val="18"/>
                <w:szCs w:val="18"/>
              </w:rPr>
              <w:t>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工程质量</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合格</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合格</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合格</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合格</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装饰装修</w:t>
            </w:r>
          </w:p>
        </w:tc>
        <w:tc>
          <w:tcPr>
            <w:tcW w:w="1477" w:type="dxa"/>
            <w:shd w:val="clear" w:color="000000" w:fill="FFFFFF"/>
            <w:vAlign w:val="center"/>
          </w:tcPr>
          <w:p>
            <w:pPr>
              <w:jc w:val="center"/>
              <w:rPr>
                <w:rFonts w:ascii="仿宋_GB2312" w:eastAsia="仿宋_GB2312"/>
                <w:sz w:val="18"/>
                <w:szCs w:val="18"/>
              </w:rPr>
            </w:pPr>
            <w:r>
              <w:rPr>
                <w:rFonts w:hint="eastAsia" w:ascii="仿宋_GB2312" w:eastAsia="仿宋_GB2312"/>
                <w:sz w:val="18"/>
                <w:szCs w:val="18"/>
              </w:rPr>
              <w:t>中档装修</w:t>
            </w:r>
          </w:p>
        </w:tc>
        <w:tc>
          <w:tcPr>
            <w:tcW w:w="1477" w:type="dxa"/>
            <w:shd w:val="clear" w:color="000000" w:fill="FFFFFF"/>
            <w:vAlign w:val="center"/>
          </w:tcPr>
          <w:p>
            <w:pPr>
              <w:jc w:val="center"/>
              <w:rPr>
                <w:rFonts w:hint="eastAsia" w:ascii="仿宋_GB2312" w:eastAsia="仿宋_GB2312"/>
                <w:sz w:val="18"/>
                <w:szCs w:val="18"/>
                <w:lang w:eastAsia="zh-CN"/>
              </w:rPr>
            </w:pPr>
            <w:r>
              <w:rPr>
                <w:rFonts w:hint="eastAsia" w:ascii="仿宋_GB2312" w:eastAsia="仿宋_GB2312"/>
                <w:sz w:val="18"/>
                <w:szCs w:val="18"/>
                <w:lang w:eastAsia="zh-CN"/>
              </w:rPr>
              <w:t>毛坯</w:t>
            </w:r>
          </w:p>
        </w:tc>
        <w:tc>
          <w:tcPr>
            <w:tcW w:w="1477" w:type="dxa"/>
            <w:shd w:val="clear" w:color="000000" w:fill="FFFFFF"/>
            <w:vAlign w:val="center"/>
          </w:tcPr>
          <w:p>
            <w:pPr>
              <w:jc w:val="center"/>
            </w:pPr>
            <w:r>
              <w:rPr>
                <w:rFonts w:hint="eastAsia" w:ascii="仿宋_GB2312" w:eastAsia="仿宋_GB2312"/>
                <w:sz w:val="18"/>
                <w:szCs w:val="18"/>
              </w:rPr>
              <w:t>精装修</w:t>
            </w:r>
          </w:p>
        </w:tc>
        <w:tc>
          <w:tcPr>
            <w:tcW w:w="1477" w:type="dxa"/>
            <w:shd w:val="clear" w:color="000000" w:fill="FFFFFF"/>
            <w:vAlign w:val="center"/>
          </w:tcPr>
          <w:p>
            <w:pPr>
              <w:jc w:val="center"/>
            </w:pPr>
            <w:r>
              <w:rPr>
                <w:rFonts w:hint="eastAsia" w:ascii="仿宋_GB2312" w:eastAsia="仿宋_GB2312"/>
                <w:sz w:val="18"/>
                <w:szCs w:val="18"/>
              </w:rPr>
              <w:t>精装修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层高</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空间布局</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较合理</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较合理</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较合理</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较合理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建筑面积</w:t>
            </w:r>
          </w:p>
        </w:tc>
        <w:tc>
          <w:tcPr>
            <w:tcW w:w="1477" w:type="dxa"/>
            <w:shd w:val="clear" w:color="000000" w:fill="FFFFFF"/>
            <w:vAlign w:val="center"/>
          </w:tcPr>
          <w:p>
            <w:pPr>
              <w:jc w:val="center"/>
              <w:rPr>
                <w:rFonts w:ascii="宋体" w:hAnsi="宋体" w:cs="宋体"/>
                <w:sz w:val="18"/>
                <w:szCs w:val="18"/>
              </w:rPr>
            </w:pPr>
            <w:r>
              <w:rPr>
                <w:rFonts w:hint="eastAsia" w:ascii="仿宋_GB2312" w:eastAsia="仿宋_GB2312"/>
                <w:sz w:val="18"/>
                <w:szCs w:val="18"/>
              </w:rPr>
              <w:t>90</w:t>
            </w:r>
            <w:r>
              <w:rPr>
                <w:rFonts w:hint="eastAsia" w:ascii="宋体" w:hAnsi="宋体" w:cs="宋体"/>
                <w:sz w:val="18"/>
                <w:szCs w:val="18"/>
              </w:rPr>
              <w:t>㎡-140㎡</w:t>
            </w:r>
          </w:p>
        </w:tc>
        <w:tc>
          <w:tcPr>
            <w:tcW w:w="1477" w:type="dxa"/>
            <w:shd w:val="clear" w:color="000000" w:fill="FFFFFF"/>
            <w:vAlign w:val="center"/>
          </w:tcPr>
          <w:p>
            <w:pPr>
              <w:jc w:val="center"/>
              <w:rPr>
                <w:rFonts w:ascii="宋体" w:hAnsi="宋体" w:cs="宋体"/>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9</w:t>
            </w:r>
            <w:r>
              <w:rPr>
                <w:rFonts w:hint="eastAsia" w:ascii="宋体" w:hAnsi="宋体" w:cs="宋体"/>
                <w:sz w:val="18"/>
                <w:szCs w:val="18"/>
              </w:rPr>
              <w:t>0㎡</w:t>
            </w:r>
          </w:p>
        </w:tc>
        <w:tc>
          <w:tcPr>
            <w:tcW w:w="1477" w:type="dxa"/>
            <w:shd w:val="clear" w:color="000000" w:fill="FFFFFF"/>
            <w:vAlign w:val="center"/>
          </w:tcPr>
          <w:p>
            <w:pPr>
              <w:jc w:val="center"/>
            </w:pPr>
            <w:r>
              <w:rPr>
                <w:rFonts w:hint="eastAsia" w:ascii="仿宋_GB2312" w:eastAsia="仿宋_GB2312"/>
                <w:sz w:val="18"/>
                <w:szCs w:val="18"/>
              </w:rPr>
              <w:t>90</w:t>
            </w:r>
            <w:r>
              <w:rPr>
                <w:rFonts w:hint="eastAsia" w:ascii="宋体" w:hAnsi="宋体" w:cs="宋体"/>
                <w:sz w:val="18"/>
                <w:szCs w:val="18"/>
              </w:rPr>
              <w:t>㎡-140㎡</w:t>
            </w:r>
          </w:p>
        </w:tc>
        <w:tc>
          <w:tcPr>
            <w:tcW w:w="1477" w:type="dxa"/>
            <w:shd w:val="clear" w:color="000000" w:fill="FFFFFF"/>
            <w:vAlign w:val="center"/>
          </w:tcPr>
          <w:p>
            <w:pPr>
              <w:jc w:val="center"/>
              <w:rPr>
                <w:rFonts w:ascii="宋体" w:hAnsi="宋体" w:cs="宋体"/>
                <w:sz w:val="18"/>
                <w:szCs w:val="18"/>
              </w:rPr>
            </w:pPr>
            <w:r>
              <w:rPr>
                <w:rFonts w:hint="eastAsia" w:ascii="仿宋_GB2312" w:eastAsia="仿宋_GB2312"/>
                <w:sz w:val="18"/>
                <w:szCs w:val="18"/>
              </w:rPr>
              <w:t>90</w:t>
            </w:r>
            <w:r>
              <w:rPr>
                <w:rFonts w:hint="eastAsia" w:ascii="宋体" w:hAnsi="宋体" w:cs="宋体"/>
                <w:sz w:val="18"/>
                <w:szCs w:val="18"/>
              </w:rPr>
              <w:t>㎡-140㎡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建筑规模</w:t>
            </w:r>
          </w:p>
        </w:tc>
        <w:tc>
          <w:tcPr>
            <w:tcW w:w="1477"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集中</w:t>
            </w:r>
          </w:p>
        </w:tc>
        <w:tc>
          <w:tcPr>
            <w:tcW w:w="1477"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集中</w:t>
            </w:r>
          </w:p>
        </w:tc>
        <w:tc>
          <w:tcPr>
            <w:tcW w:w="1477"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集中</w:t>
            </w:r>
          </w:p>
        </w:tc>
        <w:tc>
          <w:tcPr>
            <w:tcW w:w="1477" w:type="dxa"/>
            <w:shd w:val="clear" w:color="000000" w:fill="FFFFFF"/>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集中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临街宽度深度比</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适中</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适中</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适中</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适中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建筑功能</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较优</w:t>
            </w:r>
          </w:p>
        </w:tc>
        <w:tc>
          <w:tcPr>
            <w:tcW w:w="1477" w:type="dxa"/>
            <w:shd w:val="clear" w:color="auto" w:fill="auto"/>
            <w:vAlign w:val="center"/>
          </w:tcPr>
          <w:p>
            <w:pPr>
              <w:jc w:val="center"/>
            </w:pPr>
            <w:r>
              <w:rPr>
                <w:rFonts w:hint="eastAsia" w:ascii="仿宋_GB2312" w:eastAsia="仿宋_GB2312"/>
                <w:sz w:val="18"/>
                <w:szCs w:val="18"/>
              </w:rPr>
              <w:t>较优</w:t>
            </w:r>
          </w:p>
        </w:tc>
        <w:tc>
          <w:tcPr>
            <w:tcW w:w="1477" w:type="dxa"/>
            <w:shd w:val="clear" w:color="auto" w:fill="auto"/>
            <w:vAlign w:val="center"/>
          </w:tcPr>
          <w:p>
            <w:pPr>
              <w:jc w:val="center"/>
            </w:pPr>
            <w:r>
              <w:rPr>
                <w:rFonts w:hint="eastAsia" w:ascii="仿宋_GB2312" w:eastAsia="仿宋_GB2312"/>
                <w:sz w:val="18"/>
                <w:szCs w:val="18"/>
              </w:rPr>
              <w:t>较优</w:t>
            </w:r>
          </w:p>
        </w:tc>
        <w:tc>
          <w:tcPr>
            <w:tcW w:w="1477" w:type="dxa"/>
            <w:shd w:val="clear" w:color="auto" w:fill="auto"/>
            <w:vAlign w:val="center"/>
          </w:tcPr>
          <w:p>
            <w:pPr>
              <w:jc w:val="center"/>
            </w:pPr>
            <w:r>
              <w:rPr>
                <w:rFonts w:hint="eastAsia" w:ascii="仿宋_GB2312" w:eastAsia="仿宋_GB2312"/>
                <w:sz w:val="18"/>
                <w:szCs w:val="18"/>
              </w:rPr>
              <w:t>较优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成新率</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八成</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八成</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八成</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八成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70"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物业管理</w:t>
            </w:r>
          </w:p>
        </w:tc>
        <w:tc>
          <w:tcPr>
            <w:tcW w:w="1477" w:type="dxa"/>
            <w:shd w:val="clear" w:color="000000" w:fill="FFFFFF"/>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c>
          <w:tcPr>
            <w:tcW w:w="1477" w:type="dxa"/>
            <w:shd w:val="clear" w:color="000000" w:fill="FFFFFF"/>
            <w:vAlign w:val="center"/>
          </w:tcPr>
          <w:p>
            <w:pPr>
              <w:jc w:val="center"/>
            </w:pPr>
            <w:r>
              <w:rPr>
                <w:rFonts w:hint="eastAsia" w:ascii="仿宋_GB2312" w:eastAsia="仿宋_GB2312"/>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774" w:hRule="atLeast"/>
          <w:jc w:val="center"/>
        </w:trPr>
        <w:tc>
          <w:tcPr>
            <w:tcW w:w="1342" w:type="dxa"/>
            <w:gridSpan w:val="3"/>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停车便捷度</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一般</w:t>
            </w:r>
          </w:p>
        </w:tc>
        <w:tc>
          <w:tcPr>
            <w:tcW w:w="1477" w:type="dxa"/>
            <w:shd w:val="clear" w:color="auto" w:fill="auto"/>
            <w:vAlign w:val="center"/>
          </w:tcPr>
          <w:p>
            <w:pPr>
              <w:jc w:val="center"/>
              <w:rPr>
                <w:rFonts w:ascii="仿宋_GB2312" w:eastAsia="仿宋_GB2312"/>
                <w:sz w:val="18"/>
                <w:szCs w:val="18"/>
              </w:rPr>
            </w:pPr>
            <w:r>
              <w:rPr>
                <w:rFonts w:hint="eastAsia" w:ascii="仿宋_GB2312" w:eastAsia="仿宋_GB2312"/>
                <w:sz w:val="18"/>
                <w:szCs w:val="18"/>
              </w:rPr>
              <w:t>一般</w:t>
            </w:r>
          </w:p>
        </w:tc>
        <w:tc>
          <w:tcPr>
            <w:tcW w:w="1477" w:type="dxa"/>
            <w:shd w:val="clear" w:color="auto" w:fill="auto"/>
            <w:vAlign w:val="center"/>
          </w:tcPr>
          <w:p>
            <w:pPr>
              <w:jc w:val="center"/>
              <w:rPr>
                <w:rFonts w:ascii="仿宋_GB2312" w:eastAsia="仿宋_GB2312"/>
                <w:sz w:val="18"/>
                <w:szCs w:val="18"/>
              </w:rPr>
            </w:pPr>
            <w:r>
              <w:rPr>
                <w:rFonts w:hint="eastAsia" w:ascii="仿宋_GB2312" w:eastAsia="仿宋_GB2312"/>
                <w:sz w:val="18"/>
                <w:szCs w:val="18"/>
              </w:rPr>
              <w:t>一般</w:t>
            </w:r>
          </w:p>
        </w:tc>
        <w:tc>
          <w:tcPr>
            <w:tcW w:w="1477" w:type="dxa"/>
            <w:shd w:val="clear" w:color="auto" w:fill="auto"/>
            <w:vAlign w:val="center"/>
          </w:tcPr>
          <w:p>
            <w:pPr>
              <w:jc w:val="center"/>
              <w:rPr>
                <w:rFonts w:ascii="仿宋_GB2312" w:eastAsia="仿宋_GB2312"/>
                <w:sz w:val="18"/>
                <w:szCs w:val="18"/>
              </w:rPr>
            </w:pPr>
            <w:r>
              <w:rPr>
                <w:rFonts w:hint="eastAsia" w:ascii="仿宋_GB2312" w:eastAsia="仿宋_GB2312"/>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restart"/>
            <w:textDirection w:val="tbRlV"/>
            <w:vAlign w:val="center"/>
          </w:tcPr>
          <w:p>
            <w:pPr>
              <w:widowControl/>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w:t>
            </w:r>
          </w:p>
        </w:tc>
        <w:tc>
          <w:tcPr>
            <w:tcW w:w="594" w:type="dxa"/>
            <w:vMerge w:val="restart"/>
            <w:textDirection w:val="tbRlV"/>
            <w:vAlign w:val="center"/>
          </w:tcPr>
          <w:p>
            <w:pPr>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权益状况（1）</w:t>
            </w: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规划条件</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无</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无</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无</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continue"/>
            <w:vAlign w:val="center"/>
          </w:tcPr>
          <w:p>
            <w:pPr>
              <w:widowControl/>
              <w:jc w:val="left"/>
              <w:rPr>
                <w:rFonts w:ascii="仿宋_GB2312" w:hAnsi="楷体" w:eastAsia="仿宋_GB2312" w:cs="宋体"/>
                <w:b/>
                <w:bCs/>
                <w:kern w:val="0"/>
                <w:sz w:val="18"/>
                <w:szCs w:val="18"/>
              </w:rPr>
            </w:pPr>
          </w:p>
        </w:tc>
        <w:tc>
          <w:tcPr>
            <w:tcW w:w="594" w:type="dxa"/>
            <w:vMerge w:val="continue"/>
            <w:vAlign w:val="center"/>
          </w:tcPr>
          <w:p>
            <w:pPr>
              <w:ind w:left="113" w:right="113"/>
              <w:jc w:val="center"/>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共有情况</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有</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无</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无</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continue"/>
            <w:vAlign w:val="center"/>
          </w:tcPr>
          <w:p>
            <w:pPr>
              <w:widowControl/>
              <w:jc w:val="left"/>
              <w:rPr>
                <w:rFonts w:ascii="仿宋_GB2312" w:hAnsi="楷体" w:eastAsia="仿宋_GB2312" w:cs="宋体"/>
                <w:b/>
                <w:bCs/>
                <w:kern w:val="0"/>
                <w:sz w:val="18"/>
                <w:szCs w:val="18"/>
              </w:rPr>
            </w:pPr>
          </w:p>
        </w:tc>
        <w:tc>
          <w:tcPr>
            <w:tcW w:w="594" w:type="dxa"/>
            <w:vMerge w:val="continue"/>
            <w:shd w:val="clear" w:color="auto" w:fill="auto"/>
            <w:textDirection w:val="tbRlV"/>
            <w:vAlign w:val="center"/>
          </w:tcPr>
          <w:p>
            <w:pPr>
              <w:widowControl/>
              <w:ind w:left="113" w:right="113"/>
              <w:jc w:val="center"/>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权属清晰情况</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权属清晰</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权属清晰</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权属清晰</w:t>
            </w:r>
          </w:p>
        </w:tc>
        <w:tc>
          <w:tcPr>
            <w:tcW w:w="1477" w:type="dxa"/>
            <w:shd w:val="clear" w:color="auto" w:fill="auto"/>
            <w:vAlign w:val="center"/>
          </w:tcPr>
          <w:p>
            <w:pPr>
              <w:jc w:val="center"/>
              <w:rPr>
                <w:rFonts w:ascii="仿宋_GB2312" w:hAnsi="宋体" w:eastAsia="仿宋_GB2312" w:cs="宋体"/>
                <w:sz w:val="18"/>
                <w:szCs w:val="18"/>
              </w:rPr>
            </w:pPr>
            <w:r>
              <w:rPr>
                <w:rFonts w:hint="eastAsia" w:ascii="仿宋_GB2312" w:eastAsia="仿宋_GB2312"/>
                <w:sz w:val="18"/>
                <w:szCs w:val="18"/>
              </w:rPr>
              <w:t>权属清晰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continue"/>
            <w:vAlign w:val="center"/>
          </w:tcPr>
          <w:p>
            <w:pPr>
              <w:widowControl/>
              <w:jc w:val="left"/>
              <w:rPr>
                <w:rFonts w:ascii="仿宋_GB2312" w:hAnsi="楷体" w:eastAsia="仿宋_GB2312" w:cs="宋体"/>
                <w:b/>
                <w:bCs/>
                <w:kern w:val="0"/>
                <w:sz w:val="18"/>
                <w:szCs w:val="18"/>
              </w:rPr>
            </w:pPr>
          </w:p>
        </w:tc>
        <w:tc>
          <w:tcPr>
            <w:tcW w:w="594" w:type="dxa"/>
            <w:vMerge w:val="restart"/>
            <w:shd w:val="clear" w:color="auto" w:fill="auto"/>
            <w:textDirection w:val="tbRlV"/>
            <w:vAlign w:val="center"/>
          </w:tcPr>
          <w:p>
            <w:pPr>
              <w:widowControl/>
              <w:ind w:left="113" w:right="113"/>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权益状况（2）</w:t>
            </w: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用益物权设立情况</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continue"/>
            <w:vAlign w:val="center"/>
          </w:tcPr>
          <w:p>
            <w:pPr>
              <w:widowControl/>
              <w:jc w:val="left"/>
              <w:rPr>
                <w:rFonts w:ascii="仿宋_GB2312" w:hAnsi="楷体" w:eastAsia="仿宋_GB2312" w:cs="宋体"/>
                <w:b/>
                <w:bCs/>
                <w:kern w:val="0"/>
                <w:sz w:val="18"/>
                <w:szCs w:val="18"/>
              </w:rPr>
            </w:pPr>
          </w:p>
        </w:tc>
        <w:tc>
          <w:tcPr>
            <w:tcW w:w="594" w:type="dxa"/>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担保物权设立情况</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continue"/>
            <w:vAlign w:val="center"/>
          </w:tcPr>
          <w:p>
            <w:pPr>
              <w:widowControl/>
              <w:jc w:val="left"/>
              <w:rPr>
                <w:rFonts w:ascii="仿宋_GB2312" w:hAnsi="楷体" w:eastAsia="仿宋_GB2312" w:cs="宋体"/>
                <w:b/>
                <w:bCs/>
                <w:kern w:val="0"/>
                <w:sz w:val="18"/>
                <w:szCs w:val="18"/>
              </w:rPr>
            </w:pPr>
          </w:p>
        </w:tc>
        <w:tc>
          <w:tcPr>
            <w:tcW w:w="594" w:type="dxa"/>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租赁或占有情况</w:t>
            </w:r>
          </w:p>
        </w:tc>
        <w:tc>
          <w:tcPr>
            <w:tcW w:w="1477" w:type="dxa"/>
            <w:shd w:val="clear" w:color="auto" w:fill="auto"/>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continue"/>
            <w:vAlign w:val="center"/>
          </w:tcPr>
          <w:p>
            <w:pPr>
              <w:widowControl/>
              <w:jc w:val="left"/>
              <w:rPr>
                <w:rFonts w:ascii="仿宋_GB2312" w:hAnsi="楷体" w:eastAsia="仿宋_GB2312" w:cs="宋体"/>
                <w:b/>
                <w:bCs/>
                <w:kern w:val="0"/>
                <w:sz w:val="18"/>
                <w:szCs w:val="18"/>
              </w:rPr>
            </w:pPr>
          </w:p>
        </w:tc>
        <w:tc>
          <w:tcPr>
            <w:tcW w:w="594" w:type="dxa"/>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kern w:val="0"/>
                <w:sz w:val="18"/>
                <w:szCs w:val="18"/>
              </w:rPr>
              <w:t>拖欠</w:t>
            </w:r>
            <w:r>
              <w:rPr>
                <w:rFonts w:hint="eastAsia" w:ascii="仿宋_GB2312" w:hAnsi="楷体" w:eastAsia="仿宋_GB2312" w:cs="宋体"/>
                <w:b/>
                <w:bCs/>
                <w:kern w:val="0"/>
                <w:sz w:val="18"/>
                <w:szCs w:val="18"/>
              </w:rPr>
              <w:t>税费情况</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8" w:type="dxa"/>
            <w:gridSpan w:val="2"/>
            <w:vMerge w:val="continue"/>
            <w:vAlign w:val="center"/>
          </w:tcPr>
          <w:p>
            <w:pPr>
              <w:widowControl/>
              <w:jc w:val="left"/>
              <w:rPr>
                <w:rFonts w:ascii="仿宋_GB2312" w:hAnsi="楷体" w:eastAsia="仿宋_GB2312" w:cs="宋体"/>
                <w:b/>
                <w:bCs/>
                <w:kern w:val="0"/>
                <w:sz w:val="18"/>
                <w:szCs w:val="18"/>
              </w:rPr>
            </w:pPr>
          </w:p>
        </w:tc>
        <w:tc>
          <w:tcPr>
            <w:tcW w:w="594" w:type="dxa"/>
            <w:vMerge w:val="continue"/>
            <w:vAlign w:val="center"/>
          </w:tcPr>
          <w:p>
            <w:pPr>
              <w:widowControl/>
              <w:jc w:val="left"/>
              <w:rPr>
                <w:rFonts w:ascii="仿宋_GB2312" w:hAnsi="楷体" w:eastAsia="仿宋_GB2312" w:cs="宋体"/>
                <w:b/>
                <w:bCs/>
                <w:kern w:val="0"/>
                <w:sz w:val="18"/>
                <w:szCs w:val="18"/>
              </w:rPr>
            </w:pPr>
          </w:p>
        </w:tc>
        <w:tc>
          <w:tcPr>
            <w:tcW w:w="1841" w:type="dxa"/>
            <w:shd w:val="clear" w:color="auto" w:fill="auto"/>
            <w:vAlign w:val="center"/>
          </w:tcPr>
          <w:p>
            <w:pPr>
              <w:widowControl/>
              <w:spacing w:line="320" w:lineRule="exact"/>
              <w:jc w:val="center"/>
              <w:rPr>
                <w:rFonts w:ascii="仿宋_GB2312" w:hAnsi="楷体" w:eastAsia="仿宋_GB2312" w:cs="宋体"/>
                <w:b/>
                <w:bCs/>
                <w:kern w:val="0"/>
                <w:sz w:val="18"/>
                <w:szCs w:val="18"/>
              </w:rPr>
            </w:pPr>
            <w:r>
              <w:rPr>
                <w:rFonts w:hint="eastAsia" w:ascii="仿宋_GB2312" w:hAnsi="楷体" w:eastAsia="仿宋_GB2312" w:cs="宋体"/>
                <w:b/>
                <w:bCs/>
                <w:kern w:val="0"/>
                <w:sz w:val="18"/>
                <w:szCs w:val="18"/>
              </w:rPr>
              <w:t>查封情况</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7" w:type="dxa"/>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bl>
    <w:p>
      <w:pPr>
        <w:tabs>
          <w:tab w:val="left" w:pos="426"/>
        </w:tabs>
        <w:adjustRightInd w:val="0"/>
        <w:spacing w:beforeLines="50" w:afterLines="50" w:line="540" w:lineRule="exact"/>
        <w:rPr>
          <w:rFonts w:ascii="仿宋_GB2312" w:hAnsi="楷体" w:eastAsia="仿宋_GB2312"/>
          <w:b/>
          <w:sz w:val="24"/>
          <w:szCs w:val="24"/>
        </w:rPr>
      </w:pPr>
      <w:r>
        <w:rPr>
          <w:rFonts w:hint="eastAsia" w:ascii="仿宋_GB2312" w:hAnsi="楷体" w:eastAsia="仿宋_GB2312"/>
          <w:b/>
          <w:sz w:val="24"/>
          <w:szCs w:val="24"/>
        </w:rPr>
        <w:t>（四） 建立比较因素条件分数表和因素比较修正系数表</w:t>
      </w:r>
    </w:p>
    <w:p>
      <w:pPr>
        <w:tabs>
          <w:tab w:val="left" w:pos="426"/>
        </w:tabs>
        <w:adjustRightInd w:val="0"/>
        <w:spacing w:line="540" w:lineRule="exact"/>
        <w:ind w:firstLine="560" w:firstLineChars="200"/>
        <w:rPr>
          <w:rFonts w:ascii="仿宋_GB2312" w:hAnsi="楷体" w:eastAsia="仿宋_GB2312"/>
          <w:b/>
          <w:sz w:val="28"/>
          <w:szCs w:val="28"/>
        </w:rPr>
      </w:pPr>
      <w:r>
        <w:rPr>
          <w:rFonts w:hint="eastAsia" w:ascii="仿宋_GB2312" w:hAnsi="楷体" w:eastAsia="仿宋_GB2312"/>
          <w:sz w:val="28"/>
          <w:szCs w:val="28"/>
        </w:rPr>
        <w:t>根据对估价对象和可比实例情况的分析，把各可比实例的自身状况按照参比因素分别与评估对象的相应状况进行比较，编制比较因素条件分数表。比较因素分数确定如下：</w:t>
      </w:r>
      <w:r>
        <w:rPr>
          <w:rFonts w:hint="eastAsia" w:ascii="仿宋_GB2312" w:hAnsi="楷体" w:eastAsia="仿宋_GB2312"/>
          <w:b/>
          <w:sz w:val="28"/>
          <w:szCs w:val="28"/>
        </w:rPr>
        <w:t xml:space="preserve"> </w:t>
      </w:r>
    </w:p>
    <w:p>
      <w:pPr>
        <w:numPr>
          <w:ilvl w:val="2"/>
          <w:numId w:val="10"/>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交易情况修正</w:t>
      </w:r>
    </w:p>
    <w:p>
      <w:pPr>
        <w:spacing w:line="540" w:lineRule="exact"/>
        <w:ind w:firstLine="560" w:firstLineChars="200"/>
        <w:rPr>
          <w:rFonts w:ascii="仿宋_GB2312" w:hAnsi="楷体" w:eastAsia="仿宋_GB2312"/>
          <w:sz w:val="28"/>
          <w:szCs w:val="28"/>
        </w:rPr>
      </w:pPr>
      <w:r>
        <w:rPr>
          <w:rFonts w:hint="eastAsia" w:ascii="仿宋_GB2312" w:hAnsi="楷体" w:eastAsia="仿宋_GB2312"/>
          <w:sz w:val="28"/>
          <w:szCs w:val="28"/>
        </w:rPr>
        <w:t>根据估价人员调查了解，可比实例1、2、3三个可比实例均是正常成交，故不进行交易情况修正。</w:t>
      </w:r>
    </w:p>
    <w:p>
      <w:pPr>
        <w:numPr>
          <w:ilvl w:val="2"/>
          <w:numId w:val="10"/>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市场状况调整</w:t>
      </w:r>
    </w:p>
    <w:p>
      <w:pPr>
        <w:pStyle w:val="115"/>
        <w:spacing w:line="540" w:lineRule="exact"/>
        <w:ind w:firstLine="560" w:firstLineChars="200"/>
        <w:rPr>
          <w:rFonts w:hAnsi="楷体"/>
          <w:sz w:val="28"/>
          <w:szCs w:val="28"/>
        </w:rPr>
      </w:pPr>
      <w:r>
        <w:rPr>
          <w:rFonts w:hint="eastAsia" w:hAnsi="楷体"/>
          <w:sz w:val="28"/>
          <w:szCs w:val="28"/>
        </w:rPr>
        <w:t>根据交易日期，进行市场状况调整。由于1、2、3三个可比实例均在距估价时点近3个月内成交，在此期间，住宅房地产市场较平稳，无明显波动，故不进行交易日期修正。</w:t>
      </w:r>
    </w:p>
    <w:p>
      <w:pPr>
        <w:numPr>
          <w:ilvl w:val="2"/>
          <w:numId w:val="10"/>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区位状况调整</w:t>
      </w:r>
    </w:p>
    <w:p>
      <w:pPr>
        <w:pStyle w:val="115"/>
        <w:numPr>
          <w:ilvl w:val="1"/>
          <w:numId w:val="11"/>
        </w:numPr>
        <w:spacing w:line="540" w:lineRule="exact"/>
        <w:ind w:left="0" w:firstLine="567" w:firstLineChars="0"/>
        <w:rPr>
          <w:rFonts w:hAnsi="楷体"/>
          <w:sz w:val="28"/>
          <w:szCs w:val="28"/>
        </w:rPr>
      </w:pPr>
      <w:r>
        <w:rPr>
          <w:rFonts w:hint="eastAsia" w:hAnsi="Times New Roman"/>
          <w:sz w:val="28"/>
          <w:szCs w:val="28"/>
        </w:rPr>
        <w:t>距区域中心的距离，将距区域中心的分为近、较近、一般、较远、远五个级别，其中</w:t>
      </w:r>
      <w:r>
        <w:rPr>
          <w:rFonts w:hint="eastAsia" w:hAnsi="Times New Roman"/>
          <w:color w:val="000000"/>
          <w:sz w:val="28"/>
          <w:szCs w:val="28"/>
        </w:rPr>
        <w:t>距离≤500米为近， 500-1000米为较近，1000-2000米为一般， 2000-3000米为较远，≥3000米为远</w:t>
      </w:r>
      <w:r>
        <w:rPr>
          <w:rFonts w:hint="eastAsia" w:hAnsi="Times New Roman"/>
          <w:sz w:val="28"/>
          <w:szCs w:val="28"/>
        </w:rPr>
        <w:t>，以估价对象距区域中心的距离分数为100，将可比实例与估价对象相比，每相差一个</w:t>
      </w:r>
      <w:r>
        <w:rPr>
          <w:rFonts w:hint="eastAsia" w:hAnsi="Times New Roman"/>
          <w:color w:val="000000"/>
          <w:sz w:val="28"/>
          <w:szCs w:val="28"/>
        </w:rPr>
        <w:t>等级修正</w:t>
      </w:r>
      <w:r>
        <w:rPr>
          <w:rFonts w:hint="eastAsia" w:hAnsi="楷体"/>
          <w:sz w:val="28"/>
          <w:szCs w:val="28"/>
        </w:rPr>
        <w:t>2%。</w:t>
      </w:r>
    </w:p>
    <w:p>
      <w:pPr>
        <w:pStyle w:val="115"/>
        <w:numPr>
          <w:ilvl w:val="1"/>
          <w:numId w:val="11"/>
        </w:numPr>
        <w:spacing w:line="540" w:lineRule="exact"/>
        <w:ind w:left="0" w:firstLine="567" w:firstLineChars="0"/>
        <w:rPr>
          <w:rFonts w:hAnsi="楷体"/>
          <w:sz w:val="28"/>
          <w:szCs w:val="28"/>
        </w:rPr>
      </w:pPr>
      <w:r>
        <w:rPr>
          <w:rFonts w:hint="eastAsia" w:ascii="Times New Roman" w:hAnsi="Times New Roman"/>
          <w:sz w:val="28"/>
          <w:szCs w:val="28"/>
        </w:rPr>
        <w:t>集聚效应</w:t>
      </w:r>
      <w:r>
        <w:rPr>
          <w:rFonts w:ascii="Times New Roman" w:hAnsi="Times New Roman"/>
          <w:sz w:val="28"/>
          <w:szCs w:val="28"/>
        </w:rPr>
        <w:t>，</w:t>
      </w:r>
      <w:r>
        <w:rPr>
          <w:rFonts w:hint="eastAsia" w:ascii="Times New Roman" w:hAnsi="Times New Roman"/>
          <w:sz w:val="28"/>
          <w:szCs w:val="28"/>
        </w:rPr>
        <w:t>根据估价对象与比较案例的集聚度分为优、较优、一般、劣四个等级，以待估对象为100，每相差一个等级修正1%。</w:t>
      </w:r>
    </w:p>
    <w:p>
      <w:pPr>
        <w:pStyle w:val="115"/>
        <w:numPr>
          <w:ilvl w:val="1"/>
          <w:numId w:val="11"/>
        </w:numPr>
        <w:spacing w:line="540" w:lineRule="exact"/>
        <w:ind w:left="0" w:firstLine="567" w:firstLineChars="0"/>
        <w:rPr>
          <w:rFonts w:hAnsi="楷体"/>
          <w:sz w:val="28"/>
          <w:szCs w:val="28"/>
        </w:rPr>
      </w:pPr>
      <w:r>
        <w:rPr>
          <w:rFonts w:hint="eastAsia" w:hAnsi="楷体"/>
          <w:sz w:val="28"/>
          <w:szCs w:val="28"/>
        </w:rPr>
        <w:t>临街状况，自好向差分为</w:t>
      </w:r>
      <w:r>
        <w:rPr>
          <w:rFonts w:hint="eastAsia" w:hAnsi="楷体"/>
          <w:sz w:val="28"/>
          <w:szCs w:val="28"/>
          <w:lang w:eastAsia="zh-CN"/>
        </w:rPr>
        <w:t>四面临街</w:t>
      </w:r>
      <w:r>
        <w:rPr>
          <w:rFonts w:hint="eastAsia" w:hAnsi="楷体"/>
          <w:sz w:val="28"/>
          <w:szCs w:val="28"/>
        </w:rPr>
        <w:t>、三面临街、两面临街、一面临街、</w:t>
      </w:r>
      <w:r>
        <w:rPr>
          <w:rFonts w:hint="eastAsia" w:hAnsi="楷体"/>
          <w:sz w:val="28"/>
          <w:szCs w:val="28"/>
          <w:lang w:eastAsia="zh-CN"/>
        </w:rPr>
        <w:t>不临街</w:t>
      </w:r>
      <w:r>
        <w:rPr>
          <w:rFonts w:hint="eastAsia" w:hAnsi="楷体"/>
          <w:sz w:val="28"/>
          <w:szCs w:val="28"/>
        </w:rPr>
        <w:t>五个等级，以估价对象为100, 每相差一个等级修正3%。</w:t>
      </w:r>
    </w:p>
    <w:p>
      <w:pPr>
        <w:widowControl/>
        <w:numPr>
          <w:ilvl w:val="1"/>
          <w:numId w:val="11"/>
        </w:numPr>
        <w:adjustRightInd w:val="0"/>
        <w:snapToGrid w:val="0"/>
        <w:spacing w:line="540" w:lineRule="exact"/>
        <w:ind w:left="0" w:firstLine="567"/>
        <w:textAlignment w:val="bottom"/>
        <w:rPr>
          <w:rFonts w:ascii="仿宋_GB2312" w:hAnsi="楷体" w:eastAsia="仿宋_GB2312"/>
          <w:sz w:val="28"/>
          <w:szCs w:val="28"/>
        </w:rPr>
      </w:pPr>
      <w:r>
        <w:rPr>
          <w:rFonts w:hint="eastAsia" w:ascii="仿宋_GB2312" w:hAnsi="楷体" w:eastAsia="仿宋_GB2312"/>
          <w:sz w:val="28"/>
          <w:szCs w:val="28"/>
        </w:rPr>
        <w:t>人口密度及流量，分为大、较大、一般、较小、小五个等级，以估价对象为100，每相差一个等级修正5</w:t>
      </w:r>
      <w:r>
        <w:rPr>
          <w:rFonts w:hint="eastAsia" w:hAnsi="楷体"/>
          <w:sz w:val="28"/>
          <w:szCs w:val="28"/>
        </w:rPr>
        <w:t>%</w:t>
      </w:r>
      <w:r>
        <w:rPr>
          <w:rFonts w:hint="eastAsia" w:ascii="仿宋_GB2312" w:hAnsi="楷体" w:eastAsia="仿宋_GB2312"/>
          <w:sz w:val="28"/>
          <w:szCs w:val="28"/>
        </w:rPr>
        <w:t>；</w:t>
      </w:r>
    </w:p>
    <w:p>
      <w:pPr>
        <w:pStyle w:val="115"/>
        <w:numPr>
          <w:ilvl w:val="1"/>
          <w:numId w:val="11"/>
        </w:numPr>
        <w:spacing w:line="540" w:lineRule="exact"/>
        <w:ind w:left="0" w:firstLine="567" w:firstLineChars="0"/>
        <w:rPr>
          <w:rFonts w:hAnsi="楷体"/>
          <w:sz w:val="28"/>
          <w:szCs w:val="28"/>
        </w:rPr>
      </w:pPr>
      <w:r>
        <w:rPr>
          <w:rFonts w:hint="eastAsia" w:hAnsi="楷体"/>
          <w:sz w:val="28"/>
          <w:szCs w:val="28"/>
        </w:rPr>
        <w:t>楼层，</w:t>
      </w:r>
      <w:r>
        <w:rPr>
          <w:rFonts w:hint="eastAsia"/>
          <w:sz w:val="28"/>
          <w:szCs w:val="28"/>
        </w:rPr>
        <w:t>根据物业所在层数不同，并参照估价师经验及现市场实际使用状况，本次估价对象与比较案例房屋总层数均为六层，故一层、六层为最次层，二层、五层为次优层，三层、四层为最优层；以此类推计算楼层的优越性，以待估对象为100，每相差一个等级修正</w:t>
      </w:r>
      <w:r>
        <w:rPr>
          <w:rFonts w:hint="eastAsia" w:hAnsi="楷体"/>
          <w:sz w:val="28"/>
          <w:szCs w:val="28"/>
        </w:rPr>
        <w:t>2%。</w:t>
      </w:r>
    </w:p>
    <w:p>
      <w:pPr>
        <w:pStyle w:val="115"/>
        <w:numPr>
          <w:ilvl w:val="1"/>
          <w:numId w:val="11"/>
        </w:numPr>
        <w:spacing w:line="540" w:lineRule="exact"/>
        <w:ind w:left="0" w:firstLine="567" w:firstLineChars="0"/>
        <w:rPr>
          <w:rFonts w:hAnsi="楷体"/>
          <w:sz w:val="28"/>
          <w:szCs w:val="28"/>
        </w:rPr>
      </w:pPr>
      <w:r>
        <w:rPr>
          <w:rFonts w:hint="eastAsia"/>
          <w:color w:val="000000" w:themeColor="text1"/>
          <w:sz w:val="28"/>
          <w:szCs w:val="28"/>
          <w14:textFill>
            <w14:solidFill>
              <w14:schemeClr w14:val="tx1"/>
            </w14:solidFill>
          </w14:textFill>
        </w:rPr>
        <w:t>朝向，将朝向分为南北、东西、南、东、西、北六个等级，以待估对象的等级为100，每相差一个等级修正2%。</w:t>
      </w:r>
    </w:p>
    <w:p>
      <w:pPr>
        <w:pStyle w:val="115"/>
        <w:numPr>
          <w:ilvl w:val="1"/>
          <w:numId w:val="11"/>
        </w:numPr>
        <w:spacing w:line="540" w:lineRule="exact"/>
        <w:ind w:left="0" w:firstLine="567" w:firstLineChars="0"/>
        <w:rPr>
          <w:rFonts w:hAnsi="楷体"/>
          <w:sz w:val="28"/>
          <w:szCs w:val="28"/>
        </w:rPr>
      </w:pPr>
      <w:r>
        <w:rPr>
          <w:rFonts w:hint="eastAsia" w:hAnsi="楷体"/>
          <w:sz w:val="28"/>
          <w:szCs w:val="28"/>
        </w:rPr>
        <w:t>平面位置，将平面位置分为优、一般、劣三个级别，其中位于小区内出入方便位置为优、位于小区内出入较方便为一般、位于小区内出入不方便为劣，以估价对象的等级为100，每相差一个等级修正2%。</w:t>
      </w:r>
    </w:p>
    <w:p>
      <w:pPr>
        <w:pStyle w:val="115"/>
        <w:numPr>
          <w:ilvl w:val="1"/>
          <w:numId w:val="11"/>
        </w:numPr>
        <w:spacing w:line="600" w:lineRule="exact"/>
        <w:ind w:left="0" w:firstLine="560" w:firstLineChars="200"/>
        <w:rPr>
          <w:rFonts w:hAnsi="Times New Roman"/>
          <w:color w:val="000000"/>
          <w:sz w:val="28"/>
          <w:szCs w:val="28"/>
        </w:rPr>
      </w:pPr>
      <w:r>
        <w:rPr>
          <w:rFonts w:hint="eastAsia" w:hAnsi="Times New Roman"/>
          <w:sz w:val="28"/>
          <w:szCs w:val="28"/>
        </w:rPr>
        <w:t>道路等级，自好向差分为临主干道、临次干道、临支路、临街巷、临小区道路五个等级，以估价对象的等级为100，</w:t>
      </w:r>
      <w:r>
        <w:rPr>
          <w:rFonts w:hint="eastAsia" w:hAnsi="Times New Roman"/>
          <w:color w:val="000000"/>
          <w:sz w:val="28"/>
          <w:szCs w:val="28"/>
        </w:rPr>
        <w:t>每相差一个等级修正</w:t>
      </w:r>
      <w:r>
        <w:rPr>
          <w:rFonts w:hint="eastAsia" w:hAnsi="Times New Roman"/>
          <w:color w:val="00B050"/>
          <w:sz w:val="28"/>
          <w:szCs w:val="28"/>
        </w:rPr>
        <w:t>1%</w:t>
      </w:r>
      <w:r>
        <w:rPr>
          <w:rFonts w:hint="eastAsia" w:hAnsi="Times New Roman"/>
          <w:color w:val="000000"/>
          <w:sz w:val="28"/>
          <w:szCs w:val="28"/>
        </w:rPr>
        <w:t>。</w:t>
      </w:r>
    </w:p>
    <w:p>
      <w:pPr>
        <w:pStyle w:val="115"/>
        <w:numPr>
          <w:ilvl w:val="1"/>
          <w:numId w:val="11"/>
        </w:numPr>
        <w:spacing w:line="540" w:lineRule="exact"/>
        <w:ind w:left="0" w:firstLine="567" w:firstLineChars="0"/>
        <w:rPr>
          <w:rFonts w:hAnsi="楷体"/>
          <w:sz w:val="28"/>
          <w:szCs w:val="28"/>
        </w:rPr>
      </w:pPr>
      <w:r>
        <w:rPr>
          <w:rFonts w:hint="eastAsia" w:hAnsi="楷体"/>
          <w:sz w:val="28"/>
          <w:szCs w:val="28"/>
        </w:rPr>
        <w:t>公共交通便捷度，根据估价对象与三个可比实例距离地铁及公交车站的距离，分为便捷、较便捷、一般、较不便捷、不便捷五个等级，以估价对象的等级为100，每相差一个等级修正2%。</w:t>
      </w:r>
    </w:p>
    <w:p>
      <w:pPr>
        <w:pStyle w:val="115"/>
        <w:numPr>
          <w:ilvl w:val="1"/>
          <w:numId w:val="11"/>
        </w:numPr>
        <w:spacing w:line="600" w:lineRule="exact"/>
        <w:ind w:left="0" w:firstLine="560" w:firstLineChars="200"/>
        <w:rPr>
          <w:rFonts w:hAnsi="Times New Roman"/>
          <w:color w:val="000000"/>
          <w:sz w:val="28"/>
          <w:szCs w:val="28"/>
        </w:rPr>
      </w:pPr>
      <w:r>
        <w:rPr>
          <w:rFonts w:hint="eastAsia" w:hAnsi="Times New Roman"/>
          <w:color w:val="000000"/>
          <w:sz w:val="28"/>
          <w:szCs w:val="28"/>
        </w:rPr>
        <w:t>对外交通便利度：以待估对象距客运火车站距离为100，每增加或减少0.5公里，指数减少或增加0.5%;</w:t>
      </w:r>
    </w:p>
    <w:p>
      <w:pPr>
        <w:pStyle w:val="115"/>
        <w:spacing w:line="540" w:lineRule="exact"/>
        <w:ind w:firstLine="560" w:firstLineChars="200"/>
        <w:rPr>
          <w:rFonts w:hAnsi="楷体"/>
          <w:sz w:val="28"/>
          <w:szCs w:val="28"/>
        </w:rPr>
      </w:pPr>
      <w:r>
        <w:rPr>
          <w:rFonts w:hint="eastAsia" w:hAnsi="楷体"/>
          <w:sz w:val="28"/>
          <w:szCs w:val="28"/>
        </w:rPr>
        <w:t>10)交通管制情况，将交通管制情况分为优、一般、劣三个级别，其中全天无交通管制为优，全天分时段限制为一般，全天候限制为劣，以估价对象的等级为100，每相差一个等级修正2%。</w:t>
      </w:r>
    </w:p>
    <w:p>
      <w:pPr>
        <w:pStyle w:val="115"/>
        <w:spacing w:line="540" w:lineRule="exact"/>
        <w:ind w:firstLine="560" w:firstLineChars="200"/>
        <w:rPr>
          <w:rFonts w:hAnsi="楷体"/>
          <w:sz w:val="28"/>
          <w:szCs w:val="28"/>
        </w:rPr>
      </w:pPr>
      <w:r>
        <w:rPr>
          <w:rFonts w:hint="eastAsia" w:hAnsi="楷体"/>
          <w:sz w:val="28"/>
          <w:szCs w:val="28"/>
        </w:rPr>
        <w:t>11)基础设施，指道路、供水、排水、供电、供气、供暖、通信、有线电视等设施是否齐备及保障程度。将基础设施分为优、较优、一般、较劣、劣五个级别，其中保障率≥90%为优，（80%，90%] 为较优，（70%，80%] 为一般，（60%，70%] 为较劣，＜60%为劣。以估价对象为100, 每相差一个等级修正2%。</w:t>
      </w:r>
    </w:p>
    <w:p>
      <w:pPr>
        <w:pStyle w:val="115"/>
        <w:spacing w:line="540" w:lineRule="exact"/>
        <w:ind w:firstLine="560" w:firstLineChars="200"/>
        <w:rPr>
          <w:rFonts w:hAnsi="楷体"/>
          <w:sz w:val="28"/>
          <w:szCs w:val="28"/>
        </w:rPr>
      </w:pPr>
      <w:r>
        <w:rPr>
          <w:rFonts w:hint="eastAsia" w:hAnsi="楷体"/>
          <w:sz w:val="28"/>
          <w:szCs w:val="28"/>
        </w:rPr>
        <w:t>12)外部配套设施, 估价对象半径1公里范围内教育设施、购物场所、医疗设施、金融网点、文体场所、邮局电讯设施等的完善程度。分为完备、较完备、一般、较不完备、不完备五个等级，以估价对象为100, 每相差一个等级修正2%。</w:t>
      </w:r>
    </w:p>
    <w:p>
      <w:pPr>
        <w:pStyle w:val="115"/>
        <w:spacing w:line="540" w:lineRule="exact"/>
        <w:ind w:firstLine="560" w:firstLineChars="200"/>
        <w:rPr>
          <w:rFonts w:hAnsi="楷体"/>
          <w:sz w:val="28"/>
          <w:szCs w:val="28"/>
        </w:rPr>
      </w:pPr>
      <w:r>
        <w:rPr>
          <w:rFonts w:hint="eastAsia" w:hAnsi="楷体"/>
          <w:sz w:val="28"/>
          <w:szCs w:val="28"/>
        </w:rPr>
        <w:t>13)周边环境和景观，主要考虑周边自然环境景观以及人文环境，分为优、较优、一般、较劣、劣五档，以估价对象为100, 每相差一个等级修正5%。</w:t>
      </w:r>
    </w:p>
    <w:p>
      <w:pPr>
        <w:numPr>
          <w:ilvl w:val="2"/>
          <w:numId w:val="10"/>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实物状况调整</w:t>
      </w:r>
    </w:p>
    <w:p>
      <w:pPr>
        <w:pStyle w:val="115"/>
        <w:numPr>
          <w:ilvl w:val="0"/>
          <w:numId w:val="12"/>
        </w:numPr>
        <w:spacing w:line="540" w:lineRule="exact"/>
        <w:ind w:left="0" w:firstLine="560" w:firstLineChars="200"/>
        <w:rPr>
          <w:rFonts w:hAnsi="楷体"/>
          <w:sz w:val="28"/>
          <w:szCs w:val="28"/>
        </w:rPr>
      </w:pPr>
      <w:r>
        <w:rPr>
          <w:rFonts w:hint="eastAsia" w:hAnsi="楷体"/>
          <w:sz w:val="28"/>
          <w:szCs w:val="28"/>
        </w:rPr>
        <w:t>外观设计，考虑通风、采光对居住的影响，分为优、较优、一般、较差、差五个等级，以估价对象为100，每相差一个等级修正2%。</w:t>
      </w:r>
    </w:p>
    <w:p>
      <w:pPr>
        <w:pStyle w:val="115"/>
        <w:numPr>
          <w:ilvl w:val="0"/>
          <w:numId w:val="12"/>
        </w:numPr>
        <w:spacing w:line="540" w:lineRule="exact"/>
        <w:ind w:left="0" w:firstLine="560" w:firstLineChars="200"/>
        <w:rPr>
          <w:rFonts w:hAnsi="楷体"/>
          <w:sz w:val="28"/>
          <w:szCs w:val="28"/>
        </w:rPr>
      </w:pPr>
      <w:r>
        <w:rPr>
          <w:rFonts w:hint="eastAsia" w:hAnsi="楷体"/>
          <w:sz w:val="28"/>
          <w:szCs w:val="28"/>
        </w:rPr>
        <w:t>建筑结构形式，自好向差分为钢结构、钢混结构、砖混（含混合）结构、砖木结构四个等级，每相差一个等级修正2%。</w:t>
      </w:r>
    </w:p>
    <w:p>
      <w:pPr>
        <w:pStyle w:val="115"/>
        <w:numPr>
          <w:ilvl w:val="0"/>
          <w:numId w:val="12"/>
        </w:numPr>
        <w:spacing w:line="540" w:lineRule="exact"/>
        <w:ind w:left="0" w:firstLine="560" w:firstLineChars="200"/>
        <w:rPr>
          <w:rFonts w:hAnsi="楷体"/>
          <w:sz w:val="28"/>
          <w:szCs w:val="28"/>
        </w:rPr>
      </w:pPr>
      <w:r>
        <w:rPr>
          <w:rFonts w:hint="eastAsia" w:hAnsi="楷体"/>
          <w:sz w:val="28"/>
          <w:szCs w:val="28"/>
        </w:rPr>
        <w:t>设备设施, 主要指物业的配套设施设备，如消防系统、周界防范系统、闭路电视监控系统、</w:t>
      </w:r>
      <w:r>
        <w:rPr>
          <w:rFonts w:hint="eastAsia" w:hAnsi="楷体"/>
          <w:sz w:val="28"/>
          <w:szCs w:val="28"/>
          <w:lang w:eastAsia="zh-CN"/>
        </w:rPr>
        <w:t>普通门禁对讲系统</w:t>
      </w:r>
      <w:r>
        <w:rPr>
          <w:rFonts w:hint="eastAsia" w:hAnsi="楷体"/>
          <w:sz w:val="28"/>
          <w:szCs w:val="28"/>
        </w:rPr>
        <w:t>、智能化车辆出入管理系统、背景音乐系统等。分为完备、较完备、一般、较不完备、不完备五个等级，以估价对象为100, 每相差一个等级修正1%。</w:t>
      </w:r>
    </w:p>
    <w:p>
      <w:pPr>
        <w:pStyle w:val="115"/>
        <w:numPr>
          <w:ilvl w:val="0"/>
          <w:numId w:val="12"/>
        </w:numPr>
        <w:spacing w:line="540" w:lineRule="exact"/>
        <w:ind w:left="0" w:firstLine="560" w:firstLineChars="200"/>
        <w:rPr>
          <w:rFonts w:hAnsi="楷体"/>
          <w:sz w:val="28"/>
          <w:szCs w:val="28"/>
        </w:rPr>
      </w:pPr>
      <w:r>
        <w:rPr>
          <w:rFonts w:hint="eastAsia" w:hAnsi="楷体"/>
          <w:sz w:val="28"/>
          <w:szCs w:val="28"/>
        </w:rPr>
        <w:t>工程质量，按建筑物工程质量分为优良、合格、不合格三个等级，估价对象与三个可比实例均为合格，故对该因素不做修正。</w:t>
      </w:r>
    </w:p>
    <w:p>
      <w:pPr>
        <w:pStyle w:val="115"/>
        <w:numPr>
          <w:ilvl w:val="0"/>
          <w:numId w:val="12"/>
        </w:numPr>
        <w:spacing w:line="540" w:lineRule="exact"/>
        <w:ind w:left="0" w:firstLine="560" w:firstLineChars="200"/>
        <w:rPr>
          <w:rFonts w:hAnsi="楷体"/>
          <w:sz w:val="28"/>
          <w:szCs w:val="28"/>
        </w:rPr>
      </w:pPr>
      <w:r>
        <w:rPr>
          <w:rFonts w:hint="eastAsia" w:hAnsi="楷体"/>
          <w:sz w:val="28"/>
          <w:szCs w:val="28"/>
        </w:rPr>
        <w:t>装饰装修, 自好向差分为豪华装修、精装修、中档装修、简单装修、毛坯房五个等级，以估价对象为100，每相差一个等级修正</w:t>
      </w:r>
      <w:r>
        <w:rPr>
          <w:rFonts w:hint="eastAsia" w:hAnsi="楷体"/>
          <w:sz w:val="28"/>
          <w:szCs w:val="28"/>
          <w:lang w:val="en-US" w:eastAsia="zh-CN"/>
        </w:rPr>
        <w:t>1</w:t>
      </w:r>
      <w:r>
        <w:rPr>
          <w:rFonts w:hint="eastAsia" w:hAnsi="楷体"/>
          <w:sz w:val="28"/>
          <w:szCs w:val="28"/>
        </w:rPr>
        <w:t>%。</w:t>
      </w:r>
    </w:p>
    <w:p>
      <w:pPr>
        <w:pStyle w:val="115"/>
        <w:numPr>
          <w:ilvl w:val="0"/>
          <w:numId w:val="12"/>
        </w:numPr>
        <w:spacing w:line="540" w:lineRule="exact"/>
        <w:ind w:left="0" w:firstLine="560" w:firstLineChars="200"/>
        <w:rPr>
          <w:rFonts w:hAnsi="楷体"/>
          <w:sz w:val="28"/>
          <w:szCs w:val="28"/>
        </w:rPr>
      </w:pPr>
      <w:r>
        <w:rPr>
          <w:rFonts w:hint="eastAsia" w:hAnsi="楷体"/>
          <w:sz w:val="28"/>
          <w:szCs w:val="28"/>
        </w:rPr>
        <w:t>层高，</w:t>
      </w:r>
      <w:r>
        <w:rPr>
          <w:rFonts w:hint="eastAsia" w:hAnsi="Times New Roman"/>
          <w:sz w:val="28"/>
          <w:szCs w:val="28"/>
        </w:rPr>
        <w:t>结合项目用途、业态的基本要求，将层高分为优、较优、一般、劣四个级别，其中≥3.0米为优，（2.8，3.0] 米为较优，（2.5，2.8] 米为一般，≤2.5米为劣。以估价对象为100，每相差一个等级修正</w:t>
      </w:r>
      <w:r>
        <w:rPr>
          <w:rFonts w:hint="eastAsia" w:hAnsi="楷体"/>
          <w:sz w:val="28"/>
          <w:szCs w:val="28"/>
        </w:rPr>
        <w:t>2%。</w:t>
      </w:r>
    </w:p>
    <w:p>
      <w:pPr>
        <w:pStyle w:val="115"/>
        <w:numPr>
          <w:ilvl w:val="0"/>
          <w:numId w:val="12"/>
        </w:numPr>
        <w:spacing w:line="480" w:lineRule="exact"/>
        <w:ind w:left="0" w:firstLine="560" w:firstLineChars="200"/>
        <w:rPr>
          <w:rFonts w:hAnsi="楷体"/>
          <w:sz w:val="28"/>
          <w:szCs w:val="28"/>
        </w:rPr>
      </w:pPr>
      <w:r>
        <w:rPr>
          <w:rFonts w:hint="eastAsia" w:hAnsi="楷体"/>
          <w:sz w:val="28"/>
          <w:szCs w:val="28"/>
        </w:rPr>
        <w:t>空间布局，根据住宅用房内部结构、承重墙柱的位置，结合业态判断, 分为合理、较合理、不合理三个等级，以估价对象为100, 每相差一个等级修正3%。</w:t>
      </w:r>
    </w:p>
    <w:p>
      <w:pPr>
        <w:pStyle w:val="115"/>
        <w:numPr>
          <w:ilvl w:val="0"/>
          <w:numId w:val="12"/>
        </w:numPr>
        <w:spacing w:line="480" w:lineRule="exact"/>
        <w:ind w:left="0" w:firstLine="560" w:firstLineChars="200"/>
        <w:rPr>
          <w:rFonts w:hAnsi="楷体"/>
          <w:sz w:val="28"/>
          <w:szCs w:val="28"/>
        </w:rPr>
      </w:pPr>
      <w:r>
        <w:rPr>
          <w:rFonts w:hint="eastAsia" w:hAnsi="楷体"/>
          <w:sz w:val="28"/>
          <w:szCs w:val="28"/>
        </w:rPr>
        <w:t>建筑面积，根据住宅面积的影响建筑面积从优到劣分为小于90， 90-140， 140以上三个等级，以估价对象为100, 每相差一个等级修正</w:t>
      </w:r>
      <w:r>
        <w:rPr>
          <w:rFonts w:hint="eastAsia" w:hAnsi="楷体"/>
          <w:sz w:val="28"/>
          <w:szCs w:val="28"/>
          <w:lang w:val="en-US" w:eastAsia="zh-CN"/>
        </w:rPr>
        <w:t>1</w:t>
      </w:r>
      <w:r>
        <w:rPr>
          <w:rFonts w:hint="eastAsia" w:hAnsi="楷体"/>
          <w:sz w:val="28"/>
          <w:szCs w:val="28"/>
        </w:rPr>
        <w:t>%。</w:t>
      </w:r>
    </w:p>
    <w:p>
      <w:pPr>
        <w:pStyle w:val="115"/>
        <w:numPr>
          <w:ilvl w:val="0"/>
          <w:numId w:val="12"/>
        </w:numPr>
        <w:spacing w:line="480" w:lineRule="exact"/>
        <w:ind w:left="0" w:firstLine="560" w:firstLineChars="200"/>
        <w:rPr>
          <w:rFonts w:hAnsi="楷体"/>
          <w:sz w:val="28"/>
          <w:szCs w:val="28"/>
        </w:rPr>
      </w:pPr>
      <w:r>
        <w:rPr>
          <w:rFonts w:hint="eastAsia" w:hAnsi="楷体"/>
          <w:sz w:val="28"/>
          <w:szCs w:val="28"/>
        </w:rPr>
        <w:t>建筑规模，</w:t>
      </w:r>
      <w:r>
        <w:rPr>
          <w:rFonts w:hint="eastAsia" w:hAnsi="Times New Roman"/>
          <w:sz w:val="28"/>
          <w:szCs w:val="28"/>
        </w:rPr>
        <w:t>根据住宅规模的影响建筑规模从优到劣分为集中、较集中、一般、较分散、分散五个等级，以估价对象为100, 每相差一个等级修正</w:t>
      </w:r>
      <w:r>
        <w:rPr>
          <w:rFonts w:hint="eastAsia" w:hAnsi="楷体"/>
          <w:sz w:val="28"/>
          <w:szCs w:val="28"/>
        </w:rPr>
        <w:t>1%。</w:t>
      </w:r>
    </w:p>
    <w:p>
      <w:pPr>
        <w:pStyle w:val="115"/>
        <w:spacing w:line="540" w:lineRule="exact"/>
        <w:ind w:firstLine="560" w:firstLineChars="200"/>
        <w:rPr>
          <w:rFonts w:hAnsi="楷体"/>
          <w:sz w:val="28"/>
          <w:szCs w:val="28"/>
        </w:rPr>
      </w:pPr>
      <w:r>
        <w:rPr>
          <w:rFonts w:hint="eastAsia" w:hAnsi="楷体"/>
          <w:sz w:val="28"/>
          <w:szCs w:val="28"/>
        </w:rPr>
        <w:t>10)临街宽度与进深比，分为临街宽度与进深比较小、适中、较大三个等级，以估价对象为100，每相差一个等级修正3%；</w:t>
      </w:r>
    </w:p>
    <w:p>
      <w:pPr>
        <w:pStyle w:val="115"/>
        <w:spacing w:line="540" w:lineRule="exact"/>
        <w:ind w:firstLine="560" w:firstLineChars="200"/>
        <w:rPr>
          <w:rFonts w:hAnsi="楷体"/>
          <w:sz w:val="28"/>
          <w:szCs w:val="28"/>
        </w:rPr>
      </w:pPr>
      <w:r>
        <w:rPr>
          <w:rFonts w:hint="eastAsia" w:hAnsi="楷体"/>
          <w:sz w:val="28"/>
          <w:szCs w:val="28"/>
        </w:rPr>
        <w:t>11)建筑功能，包括防水、保温、隔热、隔声、通风、采光、日照等，将建筑功能分为优、较优、一般、较劣、劣五个级别。以估价对象的等级为100，每相差一个等级修正2%。</w:t>
      </w:r>
    </w:p>
    <w:p>
      <w:pPr>
        <w:pStyle w:val="115"/>
        <w:spacing w:line="540" w:lineRule="exact"/>
        <w:ind w:firstLine="560" w:firstLineChars="200"/>
        <w:rPr>
          <w:rFonts w:hAnsi="楷体"/>
          <w:sz w:val="28"/>
          <w:szCs w:val="28"/>
        </w:rPr>
      </w:pPr>
      <w:r>
        <w:rPr>
          <w:rFonts w:hint="eastAsia" w:hAnsi="楷体"/>
          <w:sz w:val="28"/>
          <w:szCs w:val="28"/>
        </w:rPr>
        <w:t>12)成新率，根据估价对象及三个可比实例的竣工年份及维护使用状况，判断成新率，以估价对象为100，每相差一成修正5%。</w:t>
      </w:r>
    </w:p>
    <w:p>
      <w:pPr>
        <w:pStyle w:val="115"/>
        <w:spacing w:line="540" w:lineRule="exact"/>
        <w:ind w:firstLine="560" w:firstLineChars="200"/>
        <w:rPr>
          <w:rFonts w:hAnsi="楷体"/>
          <w:sz w:val="28"/>
          <w:szCs w:val="28"/>
        </w:rPr>
      </w:pPr>
      <w:r>
        <w:rPr>
          <w:rFonts w:hint="eastAsia" w:hAnsi="楷体"/>
          <w:sz w:val="28"/>
          <w:szCs w:val="28"/>
        </w:rPr>
        <w:t>13)物业管理, 将项目的物业管理状况分为优、一般、劣三个级别，其中有专业物业管理公司管理且管理较好为优，有专业物业公司管理但管理一般，无专业物业管理公司管理为劣。以估价对象的等级为100，每相差一个等级修正2%。</w:t>
      </w:r>
    </w:p>
    <w:p>
      <w:pPr>
        <w:pStyle w:val="115"/>
        <w:spacing w:line="540" w:lineRule="exact"/>
        <w:ind w:firstLine="560" w:firstLineChars="200"/>
        <w:rPr>
          <w:rFonts w:hAnsi="楷体"/>
          <w:sz w:val="28"/>
          <w:szCs w:val="28"/>
        </w:rPr>
      </w:pPr>
      <w:r>
        <w:rPr>
          <w:rFonts w:hint="eastAsia" w:hAnsi="楷体"/>
          <w:sz w:val="28"/>
          <w:szCs w:val="28"/>
        </w:rPr>
        <w:t>14)停车便捷度，将停车方便程度分为优、一般、劣三个级别，其中有专用停车场或停车位且数量充足为优，有专用停车场或临时停车位但数量有限为一般，无停车位为劣。以估价对象的等级为100，每相差一个等级修正2%。</w:t>
      </w:r>
    </w:p>
    <w:p>
      <w:pPr>
        <w:numPr>
          <w:ilvl w:val="2"/>
          <w:numId w:val="10"/>
        </w:numPr>
        <w:spacing w:line="540" w:lineRule="exact"/>
        <w:ind w:left="0" w:firstLine="567"/>
        <w:rPr>
          <w:rFonts w:ascii="仿宋_GB2312" w:hAnsi="楷体" w:eastAsia="仿宋_GB2312"/>
          <w:sz w:val="28"/>
          <w:szCs w:val="28"/>
        </w:rPr>
      </w:pPr>
      <w:r>
        <w:rPr>
          <w:rFonts w:hint="eastAsia" w:ascii="仿宋_GB2312" w:hAnsi="楷体" w:eastAsia="仿宋_GB2312"/>
          <w:sz w:val="28"/>
          <w:szCs w:val="28"/>
        </w:rPr>
        <w:t>权益状况调整说明</w:t>
      </w:r>
    </w:p>
    <w:p>
      <w:pPr>
        <w:pStyle w:val="115"/>
        <w:spacing w:line="540" w:lineRule="exact"/>
        <w:ind w:firstLine="560" w:firstLineChars="200"/>
        <w:rPr>
          <w:rFonts w:hAnsi="楷体"/>
          <w:sz w:val="28"/>
          <w:szCs w:val="28"/>
        </w:rPr>
      </w:pPr>
      <w:r>
        <w:rPr>
          <w:rFonts w:hint="eastAsia" w:hAnsi="楷体"/>
          <w:sz w:val="28"/>
          <w:szCs w:val="28"/>
        </w:rPr>
        <w:t>规划条件、共有情况、权属清晰情况采用百分比修正；用益物权设立情况、担保物权设立情况、租赁或占有情况、拖欠税费情况、查封情况采用增减金额修正。</w:t>
      </w:r>
    </w:p>
    <w:p>
      <w:pPr>
        <w:pStyle w:val="115"/>
        <w:numPr>
          <w:ilvl w:val="2"/>
          <w:numId w:val="13"/>
        </w:numPr>
        <w:spacing w:line="540" w:lineRule="exact"/>
        <w:ind w:left="0" w:firstLine="567" w:firstLineChars="0"/>
        <w:rPr>
          <w:rFonts w:hAnsi="楷体"/>
          <w:sz w:val="28"/>
          <w:szCs w:val="28"/>
        </w:rPr>
      </w:pPr>
      <w:r>
        <w:rPr>
          <w:rFonts w:hint="eastAsia" w:hAnsi="楷体"/>
          <w:sz w:val="28"/>
          <w:szCs w:val="28"/>
        </w:rPr>
        <w:t>规划条件，估价对象与三个可比实例均无规划限制条件，故不进行修正，修正系数为100%。</w:t>
      </w:r>
    </w:p>
    <w:p>
      <w:pPr>
        <w:pStyle w:val="115"/>
        <w:numPr>
          <w:ilvl w:val="2"/>
          <w:numId w:val="13"/>
        </w:numPr>
        <w:spacing w:line="600" w:lineRule="exact"/>
        <w:ind w:left="0" w:firstLine="560" w:firstLineChars="200"/>
        <w:rPr>
          <w:rFonts w:hAnsi="Times New Roman"/>
          <w:sz w:val="28"/>
          <w:szCs w:val="28"/>
        </w:rPr>
      </w:pPr>
      <w:r>
        <w:rPr>
          <w:rFonts w:hint="eastAsia" w:hAnsi="Times New Roman"/>
          <w:sz w:val="28"/>
          <w:szCs w:val="28"/>
        </w:rPr>
        <w:t>共有情况, 估价对象存在共有情况，可比实例均无共有情况，但根据估价人员调查，共有情况对房价影响不大，故不进行修正，修正系数为100%。</w:t>
      </w:r>
    </w:p>
    <w:p>
      <w:pPr>
        <w:pStyle w:val="115"/>
        <w:numPr>
          <w:ilvl w:val="2"/>
          <w:numId w:val="13"/>
        </w:numPr>
        <w:spacing w:line="540" w:lineRule="exact"/>
        <w:ind w:left="0" w:firstLine="567" w:firstLineChars="0"/>
        <w:rPr>
          <w:rFonts w:hAnsi="楷体"/>
          <w:sz w:val="28"/>
          <w:szCs w:val="28"/>
        </w:rPr>
      </w:pPr>
      <w:r>
        <w:rPr>
          <w:rFonts w:hint="eastAsia" w:hAnsi="楷体"/>
          <w:sz w:val="28"/>
          <w:szCs w:val="28"/>
        </w:rPr>
        <w:t>权属清晰情况, 估价对象与三个可比实例均权属清晰，故不进行修正，修正系数为100%。</w:t>
      </w:r>
    </w:p>
    <w:p>
      <w:pPr>
        <w:pStyle w:val="115"/>
        <w:numPr>
          <w:ilvl w:val="2"/>
          <w:numId w:val="13"/>
        </w:numPr>
        <w:spacing w:line="540" w:lineRule="exact"/>
        <w:ind w:left="0" w:firstLine="567" w:firstLineChars="0"/>
        <w:rPr>
          <w:rFonts w:hAnsi="楷体"/>
          <w:sz w:val="28"/>
          <w:szCs w:val="28"/>
        </w:rPr>
      </w:pPr>
      <w:r>
        <w:rPr>
          <w:rFonts w:hint="eastAsia" w:hAnsi="楷体"/>
          <w:sz w:val="28"/>
          <w:szCs w:val="28"/>
        </w:rPr>
        <w:t>用益物权设立情况, 估价对象与三个可比实例均无用益物权设立情况，故不进行修正，金额修正为0。</w:t>
      </w:r>
    </w:p>
    <w:p>
      <w:pPr>
        <w:pStyle w:val="115"/>
        <w:numPr>
          <w:ilvl w:val="2"/>
          <w:numId w:val="13"/>
        </w:numPr>
        <w:spacing w:line="600" w:lineRule="exact"/>
        <w:ind w:left="0" w:firstLine="560" w:firstLineChars="200"/>
        <w:rPr>
          <w:rFonts w:hAnsi="Times New Roman"/>
          <w:sz w:val="28"/>
          <w:szCs w:val="28"/>
        </w:rPr>
      </w:pPr>
      <w:r>
        <w:rPr>
          <w:rFonts w:hint="eastAsia" w:hAnsi="Times New Roman"/>
          <w:sz w:val="28"/>
          <w:szCs w:val="28"/>
        </w:rPr>
        <w:t>担保物权设立情况，估价对象存在抵押权，三个可比实例均无担保物权设立情况。</w:t>
      </w:r>
      <w:r>
        <w:rPr>
          <w:sz w:val="28"/>
          <w:szCs w:val="28"/>
        </w:rPr>
        <w:t>根据《房地产估价规范》（GB/T50291-2015）第5.4条：“房地产司法拍卖估价时，评估价值的影响因素应包括拍卖房地产的瑕疵，但不应包括拍卖房地产被查封及拍卖房地产上原有的担保物权和其他优先受偿权。”本次评估未考虑其</w:t>
      </w:r>
      <w:r>
        <w:rPr>
          <w:rFonts w:hint="eastAsia"/>
          <w:sz w:val="28"/>
          <w:szCs w:val="28"/>
        </w:rPr>
        <w:t>抵押</w:t>
      </w:r>
      <w:r>
        <w:rPr>
          <w:sz w:val="28"/>
          <w:szCs w:val="28"/>
        </w:rPr>
        <w:t>情况</w:t>
      </w:r>
      <w:r>
        <w:rPr>
          <w:rFonts w:hint="eastAsia"/>
          <w:sz w:val="28"/>
          <w:szCs w:val="28"/>
        </w:rPr>
        <w:t>，</w:t>
      </w:r>
      <w:r>
        <w:rPr>
          <w:rFonts w:hint="eastAsia" w:hAnsi="Times New Roman"/>
          <w:sz w:val="28"/>
          <w:szCs w:val="28"/>
        </w:rPr>
        <w:t>故不进行修正，金额修正为0。</w:t>
      </w:r>
    </w:p>
    <w:p>
      <w:pPr>
        <w:pStyle w:val="115"/>
        <w:numPr>
          <w:ilvl w:val="2"/>
          <w:numId w:val="13"/>
        </w:numPr>
        <w:spacing w:line="540" w:lineRule="exact"/>
        <w:ind w:left="0" w:firstLine="567" w:firstLineChars="0"/>
        <w:rPr>
          <w:rFonts w:hAnsi="楷体"/>
          <w:sz w:val="28"/>
          <w:szCs w:val="28"/>
        </w:rPr>
      </w:pPr>
      <w:r>
        <w:rPr>
          <w:rFonts w:hint="eastAsia" w:hAnsi="楷体"/>
          <w:sz w:val="28"/>
          <w:szCs w:val="28"/>
        </w:rPr>
        <w:t>租赁或占有情况, 估价对象与三个可比实例均无租赁或占有情况，故不进行修正，金额修正为0。</w:t>
      </w:r>
    </w:p>
    <w:p>
      <w:pPr>
        <w:pStyle w:val="115"/>
        <w:numPr>
          <w:ilvl w:val="2"/>
          <w:numId w:val="13"/>
        </w:numPr>
        <w:spacing w:line="540" w:lineRule="exact"/>
        <w:ind w:left="0" w:firstLine="567" w:firstLineChars="0"/>
        <w:rPr>
          <w:rFonts w:hAnsi="楷体"/>
          <w:sz w:val="28"/>
          <w:szCs w:val="28"/>
        </w:rPr>
      </w:pPr>
      <w:r>
        <w:rPr>
          <w:rFonts w:hint="eastAsia" w:hAnsi="楷体"/>
          <w:sz w:val="28"/>
          <w:szCs w:val="28"/>
        </w:rPr>
        <w:t>拖欠税费情况, 估价对象与三个可比实例均无拖欠税费情况，故不进行修正，金额修正为0。</w:t>
      </w:r>
    </w:p>
    <w:p>
      <w:pPr>
        <w:pStyle w:val="115"/>
        <w:numPr>
          <w:ilvl w:val="2"/>
          <w:numId w:val="13"/>
        </w:numPr>
        <w:spacing w:line="600" w:lineRule="exact"/>
        <w:ind w:left="0" w:firstLine="560" w:firstLineChars="200"/>
        <w:rPr>
          <w:rFonts w:hAnsi="Times New Roman"/>
          <w:sz w:val="28"/>
          <w:szCs w:val="28"/>
        </w:rPr>
      </w:pPr>
      <w:r>
        <w:rPr>
          <w:rFonts w:hint="eastAsia" w:hAnsi="Times New Roman"/>
          <w:sz w:val="28"/>
          <w:szCs w:val="28"/>
        </w:rPr>
        <w:t>查封情况，估价对象存在查封情况，三个可比实例均无查封情况。</w:t>
      </w:r>
      <w:r>
        <w:rPr>
          <w:sz w:val="28"/>
          <w:szCs w:val="28"/>
        </w:rPr>
        <w:t>根据《房地产估价规范》（GB/T50291-2015）第5.4条：“房地产司法拍卖估价时，评估价值的影响因素应包括拍卖房地产的瑕疵，但不应包括拍卖房地产被查封及拍卖房地产上原有的担保物权和其他优先受偿权。”本次评估未考虑其查封情况</w:t>
      </w:r>
      <w:r>
        <w:rPr>
          <w:rFonts w:hint="eastAsia"/>
          <w:sz w:val="28"/>
          <w:szCs w:val="28"/>
        </w:rPr>
        <w:t>，</w:t>
      </w:r>
      <w:r>
        <w:rPr>
          <w:rFonts w:hint="eastAsia" w:hAnsi="Times New Roman"/>
          <w:sz w:val="28"/>
          <w:szCs w:val="28"/>
        </w:rPr>
        <w:t>故不进行修正，金额修正为0。</w:t>
      </w:r>
    </w:p>
    <w:p>
      <w:pPr>
        <w:pStyle w:val="115"/>
        <w:spacing w:beforeLines="50" w:afterLines="50" w:line="540" w:lineRule="exact"/>
        <w:ind w:firstLine="0" w:firstLineChars="0"/>
        <w:rPr>
          <w:rFonts w:hAnsi="楷体"/>
          <w:b/>
        </w:rPr>
      </w:pPr>
      <w:r>
        <w:rPr>
          <w:rFonts w:hint="eastAsia" w:hAnsi="楷体"/>
          <w:b/>
        </w:rPr>
        <w:t>（五） 编制比较因素条件分数表</w:t>
      </w:r>
    </w:p>
    <w:p>
      <w:pPr>
        <w:spacing w:line="540" w:lineRule="exact"/>
        <w:ind w:firstLine="560" w:firstLineChars="200"/>
        <w:rPr>
          <w:rFonts w:ascii="仿宋_GB2312" w:hAnsi="楷体" w:eastAsia="仿宋_GB2312"/>
          <w:sz w:val="28"/>
          <w:szCs w:val="28"/>
        </w:rPr>
      </w:pPr>
      <w:r>
        <w:rPr>
          <w:rFonts w:hint="eastAsia" w:ascii="仿宋_GB2312" w:hAnsi="楷体" w:eastAsia="仿宋_GB2312"/>
          <w:sz w:val="28"/>
          <w:szCs w:val="28"/>
        </w:rPr>
        <w:t>根据以上比较因素指数的说明，编制比较因素条件分数表，详见表5：</w:t>
      </w:r>
    </w:p>
    <w:p>
      <w:pPr>
        <w:pStyle w:val="115"/>
        <w:ind w:firstLine="357" w:firstLineChars="0"/>
        <w:jc w:val="center"/>
        <w:rPr>
          <w:rFonts w:hAnsi="楷体"/>
          <w:b/>
        </w:rPr>
      </w:pPr>
      <w:r>
        <w:rPr>
          <w:rFonts w:hint="eastAsia" w:hAnsi="楷体"/>
          <w:b/>
        </w:rPr>
        <w:t>表5   因素条件分数表</w:t>
      </w:r>
    </w:p>
    <w:tbl>
      <w:tblPr>
        <w:tblStyle w:val="47"/>
        <w:tblW w:w="9142"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86"/>
        <w:gridCol w:w="1103"/>
        <w:gridCol w:w="2033"/>
        <w:gridCol w:w="1277"/>
        <w:gridCol w:w="9"/>
        <w:gridCol w:w="1283"/>
        <w:gridCol w:w="9"/>
        <w:gridCol w:w="1283"/>
        <w:gridCol w:w="9"/>
        <w:gridCol w:w="1283"/>
        <w:gridCol w:w="67"/>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51" w:hRule="atLeast"/>
          <w:tblHeader/>
          <w:jc w:val="center"/>
        </w:trPr>
        <w:tc>
          <w:tcPr>
            <w:tcW w:w="3922" w:type="dxa"/>
            <w:gridSpan w:val="3"/>
            <w:vMerge w:val="restart"/>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项目名称</w:t>
            </w:r>
          </w:p>
        </w:tc>
        <w:tc>
          <w:tcPr>
            <w:tcW w:w="1277" w:type="dxa"/>
            <w:vMerge w:val="restart"/>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估价对象</w:t>
            </w:r>
          </w:p>
        </w:tc>
        <w:tc>
          <w:tcPr>
            <w:tcW w:w="1292" w:type="dxa"/>
            <w:gridSpan w:val="2"/>
            <w:shd w:val="clear" w:color="000000" w:fill="FFFFFF"/>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可比实例1</w:t>
            </w:r>
          </w:p>
        </w:tc>
        <w:tc>
          <w:tcPr>
            <w:tcW w:w="1292" w:type="dxa"/>
            <w:gridSpan w:val="2"/>
            <w:shd w:val="clear" w:color="000000" w:fill="FFFFFF"/>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可比实例2</w:t>
            </w:r>
          </w:p>
        </w:tc>
        <w:tc>
          <w:tcPr>
            <w:tcW w:w="1292" w:type="dxa"/>
            <w:gridSpan w:val="2"/>
            <w:shd w:val="clear" w:color="000000" w:fill="FFFFFF"/>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14" w:hRule="atLeast"/>
          <w:tblHeader/>
          <w:jc w:val="center"/>
        </w:trPr>
        <w:tc>
          <w:tcPr>
            <w:tcW w:w="3922" w:type="dxa"/>
            <w:gridSpan w:val="3"/>
            <w:vMerge w:val="continue"/>
            <w:vAlign w:val="center"/>
          </w:tcPr>
          <w:p>
            <w:pPr>
              <w:widowControl/>
              <w:jc w:val="left"/>
              <w:rPr>
                <w:rFonts w:ascii="仿宋_GB2312" w:hAnsi="楷体" w:eastAsia="仿宋_GB2312" w:cs="宋体"/>
                <w:b/>
                <w:bCs/>
                <w:kern w:val="0"/>
                <w:szCs w:val="21"/>
              </w:rPr>
            </w:pPr>
          </w:p>
        </w:tc>
        <w:tc>
          <w:tcPr>
            <w:tcW w:w="1277" w:type="dxa"/>
            <w:vMerge w:val="continue"/>
            <w:vAlign w:val="center"/>
          </w:tcPr>
          <w:p>
            <w:pPr>
              <w:widowControl/>
              <w:jc w:val="left"/>
              <w:rPr>
                <w:rFonts w:ascii="仿宋_GB2312" w:hAnsi="楷体" w:eastAsia="仿宋_GB2312" w:cs="宋体"/>
                <w:b/>
                <w:bCs/>
                <w:kern w:val="0"/>
                <w:szCs w:val="21"/>
              </w:rPr>
            </w:pPr>
          </w:p>
        </w:tc>
        <w:tc>
          <w:tcPr>
            <w:tcW w:w="1292" w:type="dxa"/>
            <w:gridSpan w:val="2"/>
            <w:shd w:val="clear" w:color="auto" w:fill="auto"/>
            <w:vAlign w:val="center"/>
          </w:tcPr>
          <w:p>
            <w:pPr>
              <w:widowControl/>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百亿佳苑</w:t>
            </w:r>
          </w:p>
        </w:tc>
        <w:tc>
          <w:tcPr>
            <w:tcW w:w="1292" w:type="dxa"/>
            <w:gridSpan w:val="2"/>
            <w:shd w:val="clear" w:color="auto" w:fill="auto"/>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百亿佳苑</w:t>
            </w:r>
          </w:p>
        </w:tc>
        <w:tc>
          <w:tcPr>
            <w:tcW w:w="1292" w:type="dxa"/>
            <w:gridSpan w:val="2"/>
            <w:shd w:val="clear" w:color="auto" w:fill="auto"/>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百亿佳苑</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551" w:hRule="atLeast"/>
          <w:jc w:val="center"/>
        </w:trPr>
        <w:tc>
          <w:tcPr>
            <w:tcW w:w="3922" w:type="dxa"/>
            <w:gridSpan w:val="3"/>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标准化处理后的成交价格</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待估</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1839</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1940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2222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23" w:hRule="atLeast"/>
          <w:jc w:val="center"/>
        </w:trPr>
        <w:tc>
          <w:tcPr>
            <w:tcW w:w="3922" w:type="dxa"/>
            <w:gridSpan w:val="3"/>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交易情况</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466" w:hRule="atLeast"/>
          <w:jc w:val="center"/>
        </w:trPr>
        <w:tc>
          <w:tcPr>
            <w:tcW w:w="1889" w:type="dxa"/>
            <w:gridSpan w:val="2"/>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市场</w:t>
            </w:r>
          </w:p>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状况</w:t>
            </w: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成交日期</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85" w:hRule="atLeast"/>
          <w:jc w:val="center"/>
        </w:trPr>
        <w:tc>
          <w:tcPr>
            <w:tcW w:w="786" w:type="dxa"/>
            <w:vMerge w:val="restart"/>
            <w:shd w:val="clear" w:color="auto" w:fill="auto"/>
            <w:textDirection w:val="tbRlV"/>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区位状况</w:t>
            </w:r>
          </w:p>
        </w:tc>
        <w:tc>
          <w:tcPr>
            <w:tcW w:w="1103" w:type="dxa"/>
            <w:vMerge w:val="restart"/>
            <w:shd w:val="clear" w:color="auto" w:fill="auto"/>
            <w:textDirection w:val="tbRlV"/>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位置状况</w:t>
            </w: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距区域中心的距离</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集聚效应</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临街状况</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人流量及密度</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楼层</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朝向</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平面位置</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405"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restart"/>
            <w:shd w:val="clear" w:color="auto" w:fill="auto"/>
            <w:vAlign w:val="center"/>
          </w:tcPr>
          <w:p>
            <w:pPr>
              <w:widowControl/>
              <w:jc w:val="left"/>
              <w:rPr>
                <w:rFonts w:ascii="仿宋_GB2312" w:hAnsi="楷体" w:eastAsia="仿宋_GB2312" w:cs="宋体"/>
                <w:b/>
                <w:bCs/>
                <w:kern w:val="0"/>
                <w:szCs w:val="21"/>
              </w:rPr>
            </w:pPr>
            <w:r>
              <w:rPr>
                <w:rFonts w:hint="eastAsia" w:ascii="仿宋_GB2312" w:hAnsi="楷体" w:eastAsia="仿宋_GB2312" w:cs="宋体"/>
                <w:b/>
                <w:bCs/>
                <w:kern w:val="0"/>
                <w:szCs w:val="21"/>
              </w:rPr>
              <w:t>交通状况</w:t>
            </w: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道路等级</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405"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公共交通便捷度</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405"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对外交通便利度</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405"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交通管制情况</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restart"/>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外部配套设施状况</w:t>
            </w: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基础设施</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vMerge w:val="continue"/>
            <w:shd w:val="clear" w:color="auto" w:fill="auto"/>
            <w:vAlign w:val="center"/>
          </w:tcPr>
          <w:p>
            <w:pPr>
              <w:widowControl/>
              <w:jc w:val="left"/>
              <w:rPr>
                <w:rFonts w:ascii="仿宋_GB2312" w:hAnsi="楷体" w:eastAsia="仿宋_GB2312" w:cs="宋体"/>
                <w:b/>
                <w:bCs/>
                <w:kern w:val="0"/>
                <w:szCs w:val="21"/>
              </w:rPr>
            </w:pPr>
          </w:p>
        </w:tc>
        <w:tc>
          <w:tcPr>
            <w:tcW w:w="2033" w:type="dxa"/>
            <w:shd w:val="clear" w:color="000000" w:fill="FFFFFF"/>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外部配套设施</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74" w:hRule="atLeast"/>
          <w:jc w:val="center"/>
        </w:trPr>
        <w:tc>
          <w:tcPr>
            <w:tcW w:w="786" w:type="dxa"/>
            <w:vMerge w:val="continue"/>
            <w:vAlign w:val="center"/>
          </w:tcPr>
          <w:p>
            <w:pPr>
              <w:widowControl/>
              <w:jc w:val="left"/>
              <w:rPr>
                <w:rFonts w:ascii="仿宋_GB2312" w:hAnsi="楷体" w:eastAsia="仿宋_GB2312" w:cs="宋体"/>
                <w:b/>
                <w:bCs/>
                <w:kern w:val="0"/>
                <w:szCs w:val="21"/>
              </w:rPr>
            </w:pPr>
          </w:p>
        </w:tc>
        <w:tc>
          <w:tcPr>
            <w:tcW w:w="1103" w:type="dxa"/>
            <w:shd w:val="clear" w:color="auto" w:fill="auto"/>
            <w:vAlign w:val="center"/>
          </w:tcPr>
          <w:p>
            <w:pPr>
              <w:widowControl/>
              <w:jc w:val="left"/>
              <w:rPr>
                <w:rFonts w:ascii="仿宋_GB2312" w:hAnsi="楷体" w:eastAsia="仿宋_GB2312" w:cs="宋体"/>
                <w:b/>
                <w:bCs/>
                <w:kern w:val="0"/>
                <w:szCs w:val="21"/>
              </w:rPr>
            </w:pPr>
            <w:r>
              <w:rPr>
                <w:rFonts w:hint="eastAsia" w:ascii="仿宋_GB2312" w:hAnsi="楷体" w:eastAsia="仿宋_GB2312" w:cs="宋体"/>
                <w:b/>
                <w:bCs/>
                <w:kern w:val="0"/>
                <w:szCs w:val="21"/>
              </w:rPr>
              <w:t>环境状况</w:t>
            </w: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周边环境和景观</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32" w:hRule="atLeast"/>
          <w:jc w:val="center"/>
        </w:trPr>
        <w:tc>
          <w:tcPr>
            <w:tcW w:w="1889" w:type="dxa"/>
            <w:gridSpan w:val="2"/>
            <w:vMerge w:val="restart"/>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实物状况</w:t>
            </w: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外观设计</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建筑结构形式</w:t>
            </w:r>
          </w:p>
        </w:tc>
        <w:tc>
          <w:tcPr>
            <w:tcW w:w="1277"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设备设施</w:t>
            </w:r>
          </w:p>
        </w:tc>
        <w:tc>
          <w:tcPr>
            <w:tcW w:w="1277"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工程质量</w:t>
            </w:r>
          </w:p>
        </w:tc>
        <w:tc>
          <w:tcPr>
            <w:tcW w:w="1277"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装饰装修</w:t>
            </w:r>
          </w:p>
        </w:tc>
        <w:tc>
          <w:tcPr>
            <w:tcW w:w="1277"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hint="eastAsia" w:ascii="仿宋_GB2312" w:hAnsi="楷体" w:eastAsia="仿宋_GB2312" w:cs="宋体"/>
                <w:kern w:val="0"/>
                <w:szCs w:val="21"/>
                <w:lang w:val="en-US" w:eastAsia="zh-CN"/>
              </w:rPr>
            </w:pPr>
            <w:r>
              <w:rPr>
                <w:rFonts w:hint="eastAsia" w:ascii="仿宋_GB2312" w:hAnsi="楷体" w:eastAsia="仿宋_GB2312" w:cs="宋体"/>
                <w:kern w:val="0"/>
                <w:szCs w:val="21"/>
                <w:lang w:val="en-US" w:eastAsia="zh-CN"/>
              </w:rPr>
              <w:t>98</w:t>
            </w:r>
          </w:p>
        </w:tc>
        <w:tc>
          <w:tcPr>
            <w:tcW w:w="1292" w:type="dxa"/>
            <w:gridSpan w:val="2"/>
            <w:shd w:val="clear" w:color="000000" w:fill="FFFFFF"/>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w:t>
            </w:r>
            <w:r>
              <w:rPr>
                <w:rFonts w:hint="eastAsia" w:ascii="仿宋_GB2312" w:hAnsi="楷体" w:eastAsia="仿宋_GB2312" w:cs="宋体"/>
                <w:kern w:val="0"/>
                <w:szCs w:val="21"/>
                <w:lang w:val="en-US" w:eastAsia="zh-CN"/>
              </w:rPr>
              <w:t>1</w:t>
            </w:r>
          </w:p>
        </w:tc>
        <w:tc>
          <w:tcPr>
            <w:tcW w:w="1292" w:type="dxa"/>
            <w:gridSpan w:val="2"/>
            <w:shd w:val="clear" w:color="000000" w:fill="FFFFFF"/>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w:t>
            </w:r>
            <w:r>
              <w:rPr>
                <w:rFonts w:hint="eastAsia" w:ascii="仿宋_GB2312" w:hAnsi="楷体" w:eastAsia="仿宋_GB2312" w:cs="宋体"/>
                <w:kern w:val="0"/>
                <w:szCs w:val="21"/>
                <w:lang w:val="en-US" w:eastAsia="zh-CN"/>
              </w:rPr>
              <w:t>1</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层高</w:t>
            </w:r>
          </w:p>
        </w:tc>
        <w:tc>
          <w:tcPr>
            <w:tcW w:w="1277"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空间布局</w:t>
            </w:r>
          </w:p>
        </w:tc>
        <w:tc>
          <w:tcPr>
            <w:tcW w:w="1277"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建筑面积</w:t>
            </w:r>
          </w:p>
        </w:tc>
        <w:tc>
          <w:tcPr>
            <w:tcW w:w="1277" w:type="dxa"/>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w:t>
            </w:r>
            <w:r>
              <w:rPr>
                <w:rFonts w:hint="eastAsia" w:ascii="仿宋_GB2312" w:hAnsi="楷体" w:eastAsia="仿宋_GB2312" w:cs="宋体"/>
                <w:kern w:val="0"/>
                <w:szCs w:val="21"/>
                <w:lang w:val="en-US" w:eastAsia="zh-CN"/>
              </w:rPr>
              <w:t>1</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000000"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建筑规模</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临街宽度深度比</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建筑功能</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成新率</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物业管理</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46" w:hRule="atLeast"/>
          <w:jc w:val="center"/>
        </w:trPr>
        <w:tc>
          <w:tcPr>
            <w:tcW w:w="1889" w:type="dxa"/>
            <w:gridSpan w:val="2"/>
            <w:vMerge w:val="continue"/>
            <w:vAlign w:val="center"/>
          </w:tcPr>
          <w:p>
            <w:pPr>
              <w:widowControl/>
              <w:jc w:val="left"/>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停车便捷度</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82" w:hRule="atLeast"/>
          <w:jc w:val="center"/>
        </w:trPr>
        <w:tc>
          <w:tcPr>
            <w:tcW w:w="786" w:type="dxa"/>
            <w:vMerge w:val="restart"/>
            <w:vAlign w:val="center"/>
          </w:tcPr>
          <w:p>
            <w:pPr>
              <w:ind w:left="246" w:leftChars="117" w:right="113"/>
              <w:jc w:val="center"/>
              <w:rPr>
                <w:rFonts w:ascii="仿宋_GB2312" w:hAnsi="楷体" w:eastAsia="仿宋_GB2312" w:cs="宋体"/>
                <w:b/>
                <w:bCs/>
                <w:kern w:val="0"/>
                <w:szCs w:val="21"/>
              </w:rPr>
            </w:pPr>
            <w:r>
              <w:rPr>
                <w:rFonts w:hint="eastAsia" w:ascii="仿宋_GB2312" w:hAnsi="楷体" w:eastAsia="仿宋_GB2312" w:cs="宋体"/>
                <w:b/>
                <w:bCs/>
                <w:kern w:val="0"/>
                <w:szCs w:val="21"/>
              </w:rPr>
              <w:t>权益状况</w:t>
            </w:r>
          </w:p>
        </w:tc>
        <w:tc>
          <w:tcPr>
            <w:tcW w:w="1103" w:type="dxa"/>
            <w:vMerge w:val="restart"/>
            <w:vAlign w:val="center"/>
          </w:tcPr>
          <w:p>
            <w:pPr>
              <w:ind w:left="246" w:leftChars="117" w:right="113"/>
              <w:jc w:val="center"/>
              <w:rPr>
                <w:rFonts w:ascii="仿宋_GB2312" w:hAnsi="楷体" w:eastAsia="仿宋_GB2312" w:cs="宋体"/>
                <w:b/>
                <w:bCs/>
                <w:kern w:val="0"/>
                <w:szCs w:val="21"/>
              </w:rPr>
            </w:pPr>
            <w:r>
              <w:rPr>
                <w:rFonts w:hint="eastAsia" w:ascii="仿宋_GB2312" w:hAnsi="楷体" w:eastAsia="仿宋_GB2312" w:cs="宋体"/>
                <w:b/>
                <w:bCs/>
                <w:kern w:val="0"/>
                <w:szCs w:val="21"/>
              </w:rPr>
              <w:t>权益状况（1）</w:t>
            </w: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规划条件</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82" w:hRule="atLeast"/>
          <w:jc w:val="center"/>
        </w:trPr>
        <w:tc>
          <w:tcPr>
            <w:tcW w:w="786" w:type="dxa"/>
            <w:vMerge w:val="continue"/>
            <w:vAlign w:val="center"/>
          </w:tcPr>
          <w:p>
            <w:pPr>
              <w:ind w:left="246" w:leftChars="117" w:right="113"/>
              <w:jc w:val="center"/>
              <w:rPr>
                <w:rFonts w:ascii="仿宋_GB2312" w:hAnsi="楷体" w:eastAsia="仿宋_GB2312" w:cs="宋体"/>
                <w:b/>
                <w:bCs/>
                <w:kern w:val="0"/>
                <w:szCs w:val="21"/>
              </w:rPr>
            </w:pPr>
          </w:p>
        </w:tc>
        <w:tc>
          <w:tcPr>
            <w:tcW w:w="1103" w:type="dxa"/>
            <w:vMerge w:val="continue"/>
            <w:vAlign w:val="center"/>
          </w:tcPr>
          <w:p>
            <w:pPr>
              <w:ind w:left="246" w:leftChars="117" w:right="113"/>
              <w:jc w:val="center"/>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共有情况</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gridAfter w:val="1"/>
          <w:wAfter w:w="67" w:type="dxa"/>
          <w:trHeight w:val="282" w:hRule="atLeast"/>
          <w:jc w:val="center"/>
        </w:trPr>
        <w:tc>
          <w:tcPr>
            <w:tcW w:w="786" w:type="dxa"/>
            <w:vMerge w:val="continue"/>
            <w:vAlign w:val="center"/>
          </w:tcPr>
          <w:p>
            <w:pPr>
              <w:ind w:left="246" w:leftChars="117" w:right="113"/>
              <w:jc w:val="center"/>
              <w:rPr>
                <w:rFonts w:ascii="仿宋_GB2312" w:hAnsi="楷体" w:eastAsia="仿宋_GB2312" w:cs="宋体"/>
                <w:b/>
                <w:bCs/>
                <w:kern w:val="0"/>
                <w:szCs w:val="21"/>
              </w:rPr>
            </w:pPr>
          </w:p>
        </w:tc>
        <w:tc>
          <w:tcPr>
            <w:tcW w:w="1103" w:type="dxa"/>
            <w:vMerge w:val="continue"/>
            <w:vAlign w:val="center"/>
          </w:tcPr>
          <w:p>
            <w:pPr>
              <w:ind w:left="246" w:leftChars="117" w:right="113"/>
              <w:jc w:val="center"/>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权属清晰情况</w:t>
            </w:r>
          </w:p>
        </w:tc>
        <w:tc>
          <w:tcPr>
            <w:tcW w:w="1277"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92"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82" w:hRule="atLeast"/>
          <w:jc w:val="center"/>
        </w:trPr>
        <w:tc>
          <w:tcPr>
            <w:tcW w:w="786" w:type="dxa"/>
            <w:vMerge w:val="continue"/>
            <w:textDirection w:val="tbRlV"/>
            <w:vAlign w:val="center"/>
          </w:tcPr>
          <w:p>
            <w:pPr>
              <w:widowControl/>
              <w:ind w:left="246" w:leftChars="117" w:right="113"/>
              <w:jc w:val="center"/>
              <w:rPr>
                <w:rFonts w:ascii="仿宋_GB2312" w:hAnsi="楷体" w:eastAsia="仿宋_GB2312" w:cs="宋体"/>
                <w:b/>
                <w:bCs/>
                <w:kern w:val="0"/>
                <w:szCs w:val="21"/>
              </w:rPr>
            </w:pPr>
          </w:p>
        </w:tc>
        <w:tc>
          <w:tcPr>
            <w:tcW w:w="1103" w:type="dxa"/>
            <w:vMerge w:val="restart"/>
            <w:shd w:val="clear" w:color="auto" w:fill="auto"/>
            <w:textDirection w:val="tbRlV"/>
            <w:vAlign w:val="center"/>
          </w:tcPr>
          <w:p>
            <w:pPr>
              <w:widowControl/>
              <w:ind w:left="246" w:leftChars="117" w:right="113"/>
              <w:jc w:val="center"/>
              <w:rPr>
                <w:rFonts w:ascii="仿宋_GB2312" w:hAnsi="楷体" w:eastAsia="仿宋_GB2312" w:cs="宋体"/>
                <w:b/>
                <w:bCs/>
                <w:kern w:val="0"/>
                <w:szCs w:val="21"/>
              </w:rPr>
            </w:pPr>
            <w:r>
              <w:rPr>
                <w:rFonts w:hint="eastAsia" w:ascii="仿宋_GB2312" w:hAnsi="楷体" w:eastAsia="仿宋_GB2312" w:cs="宋体"/>
                <w:b/>
                <w:bCs/>
                <w:kern w:val="0"/>
                <w:szCs w:val="21"/>
              </w:rPr>
              <w:t>权益状况（2）</w:t>
            </w: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用益物权设立情况</w:t>
            </w:r>
          </w:p>
        </w:tc>
        <w:tc>
          <w:tcPr>
            <w:tcW w:w="1286" w:type="dxa"/>
            <w:gridSpan w:val="2"/>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350"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82" w:hRule="atLeast"/>
          <w:jc w:val="center"/>
        </w:trPr>
        <w:tc>
          <w:tcPr>
            <w:tcW w:w="786" w:type="dxa"/>
            <w:vMerge w:val="continue"/>
          </w:tcPr>
          <w:p>
            <w:pPr>
              <w:widowControl/>
              <w:jc w:val="center"/>
              <w:rPr>
                <w:rFonts w:ascii="仿宋_GB2312" w:hAnsi="楷体" w:eastAsia="仿宋_GB2312" w:cs="宋体"/>
                <w:b/>
                <w:bCs/>
                <w:kern w:val="0"/>
                <w:szCs w:val="21"/>
              </w:rPr>
            </w:pPr>
          </w:p>
        </w:tc>
        <w:tc>
          <w:tcPr>
            <w:tcW w:w="1103" w:type="dxa"/>
            <w:vMerge w:val="continue"/>
          </w:tcPr>
          <w:p>
            <w:pPr>
              <w:widowControl/>
              <w:jc w:val="center"/>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担保物权设立情况</w:t>
            </w:r>
          </w:p>
        </w:tc>
        <w:tc>
          <w:tcPr>
            <w:tcW w:w="1286" w:type="dxa"/>
            <w:gridSpan w:val="2"/>
            <w:shd w:val="clear" w:color="auto" w:fill="auto"/>
            <w:vAlign w:val="center"/>
          </w:tcPr>
          <w:p>
            <w:pPr>
              <w:jc w:val="center"/>
              <w:rPr>
                <w:rFonts w:ascii="仿宋_GB2312" w:hAnsi="楷体" w:eastAsia="仿宋_GB2312"/>
                <w:szCs w:val="21"/>
              </w:rPr>
            </w:pPr>
            <w:r>
              <w:rPr>
                <w:rFonts w:hint="eastAsia" w:ascii="仿宋_GB2312" w:hAnsi="楷体" w:eastAsia="仿宋_GB2312" w:cs="宋体"/>
                <w:kern w:val="0"/>
                <w:szCs w:val="21"/>
              </w:rPr>
              <w:t>——</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350"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82" w:hRule="atLeast"/>
          <w:jc w:val="center"/>
        </w:trPr>
        <w:tc>
          <w:tcPr>
            <w:tcW w:w="786" w:type="dxa"/>
            <w:vMerge w:val="continue"/>
          </w:tcPr>
          <w:p>
            <w:pPr>
              <w:widowControl/>
              <w:jc w:val="center"/>
              <w:rPr>
                <w:rFonts w:ascii="仿宋_GB2312" w:hAnsi="楷体" w:eastAsia="仿宋_GB2312" w:cs="宋体"/>
                <w:b/>
                <w:bCs/>
                <w:kern w:val="0"/>
                <w:szCs w:val="21"/>
              </w:rPr>
            </w:pPr>
          </w:p>
        </w:tc>
        <w:tc>
          <w:tcPr>
            <w:tcW w:w="1103" w:type="dxa"/>
            <w:vMerge w:val="continue"/>
          </w:tcPr>
          <w:p>
            <w:pPr>
              <w:widowControl/>
              <w:jc w:val="center"/>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租赁或占有情况</w:t>
            </w:r>
          </w:p>
        </w:tc>
        <w:tc>
          <w:tcPr>
            <w:tcW w:w="1286" w:type="dxa"/>
            <w:gridSpan w:val="2"/>
            <w:shd w:val="clear" w:color="auto" w:fill="auto"/>
            <w:vAlign w:val="center"/>
          </w:tcPr>
          <w:p>
            <w:pPr>
              <w:jc w:val="center"/>
              <w:rPr>
                <w:rFonts w:ascii="仿宋_GB2312" w:hAnsi="楷体" w:eastAsia="仿宋_GB2312"/>
                <w:szCs w:val="21"/>
              </w:rPr>
            </w:pPr>
            <w:r>
              <w:rPr>
                <w:rFonts w:hint="eastAsia" w:ascii="仿宋_GB2312" w:hAnsi="楷体" w:eastAsia="仿宋_GB2312" w:cs="宋体"/>
                <w:kern w:val="0"/>
                <w:szCs w:val="21"/>
              </w:rPr>
              <w:t>——</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350"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82" w:hRule="atLeast"/>
          <w:jc w:val="center"/>
        </w:trPr>
        <w:tc>
          <w:tcPr>
            <w:tcW w:w="786" w:type="dxa"/>
            <w:vMerge w:val="continue"/>
          </w:tcPr>
          <w:p>
            <w:pPr>
              <w:widowControl/>
              <w:jc w:val="center"/>
              <w:rPr>
                <w:rFonts w:ascii="仿宋_GB2312" w:hAnsi="楷体" w:eastAsia="仿宋_GB2312" w:cs="宋体"/>
                <w:b/>
                <w:bCs/>
                <w:kern w:val="0"/>
                <w:szCs w:val="21"/>
              </w:rPr>
            </w:pPr>
          </w:p>
        </w:tc>
        <w:tc>
          <w:tcPr>
            <w:tcW w:w="1103" w:type="dxa"/>
            <w:vMerge w:val="continue"/>
          </w:tcPr>
          <w:p>
            <w:pPr>
              <w:widowControl/>
              <w:jc w:val="center"/>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拖欠税费情况</w:t>
            </w:r>
          </w:p>
        </w:tc>
        <w:tc>
          <w:tcPr>
            <w:tcW w:w="1286" w:type="dxa"/>
            <w:gridSpan w:val="2"/>
            <w:shd w:val="clear" w:color="auto" w:fill="auto"/>
            <w:vAlign w:val="center"/>
          </w:tcPr>
          <w:p>
            <w:pPr>
              <w:jc w:val="center"/>
              <w:rPr>
                <w:rFonts w:ascii="仿宋_GB2312" w:hAnsi="楷体" w:eastAsia="仿宋_GB2312"/>
                <w:szCs w:val="21"/>
              </w:rPr>
            </w:pPr>
            <w:r>
              <w:rPr>
                <w:rFonts w:hint="eastAsia" w:ascii="仿宋_GB2312" w:hAnsi="楷体" w:eastAsia="仿宋_GB2312" w:cs="宋体"/>
                <w:kern w:val="0"/>
                <w:szCs w:val="21"/>
              </w:rPr>
              <w:t>——</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350"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82" w:hRule="atLeast"/>
          <w:jc w:val="center"/>
        </w:trPr>
        <w:tc>
          <w:tcPr>
            <w:tcW w:w="786" w:type="dxa"/>
            <w:vMerge w:val="continue"/>
          </w:tcPr>
          <w:p>
            <w:pPr>
              <w:widowControl/>
              <w:jc w:val="center"/>
              <w:rPr>
                <w:rFonts w:ascii="仿宋_GB2312" w:hAnsi="楷体" w:eastAsia="仿宋_GB2312" w:cs="宋体"/>
                <w:b/>
                <w:bCs/>
                <w:kern w:val="0"/>
                <w:szCs w:val="21"/>
              </w:rPr>
            </w:pPr>
          </w:p>
        </w:tc>
        <w:tc>
          <w:tcPr>
            <w:tcW w:w="1103" w:type="dxa"/>
            <w:vMerge w:val="continue"/>
          </w:tcPr>
          <w:p>
            <w:pPr>
              <w:widowControl/>
              <w:jc w:val="center"/>
              <w:rPr>
                <w:rFonts w:ascii="仿宋_GB2312" w:hAnsi="楷体" w:eastAsia="仿宋_GB2312" w:cs="宋体"/>
                <w:b/>
                <w:bCs/>
                <w:kern w:val="0"/>
                <w:szCs w:val="21"/>
              </w:rPr>
            </w:pPr>
          </w:p>
        </w:tc>
        <w:tc>
          <w:tcPr>
            <w:tcW w:w="2033"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查封情况</w:t>
            </w:r>
          </w:p>
        </w:tc>
        <w:tc>
          <w:tcPr>
            <w:tcW w:w="1286" w:type="dxa"/>
            <w:gridSpan w:val="2"/>
            <w:shd w:val="clear" w:color="auto" w:fill="auto"/>
            <w:vAlign w:val="center"/>
          </w:tcPr>
          <w:p>
            <w:pPr>
              <w:jc w:val="center"/>
              <w:rPr>
                <w:rFonts w:ascii="仿宋_GB2312" w:hAnsi="楷体" w:eastAsia="仿宋_GB2312"/>
                <w:szCs w:val="21"/>
              </w:rPr>
            </w:pPr>
            <w:r>
              <w:rPr>
                <w:rFonts w:hint="eastAsia" w:ascii="仿宋_GB2312" w:hAnsi="楷体" w:eastAsia="仿宋_GB2312" w:cs="宋体"/>
                <w:kern w:val="0"/>
                <w:szCs w:val="21"/>
              </w:rPr>
              <w:t>——</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292"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350" w:type="dxa"/>
            <w:gridSpan w:val="2"/>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r>
    </w:tbl>
    <w:p>
      <w:pPr>
        <w:spacing w:beforeLines="50" w:afterLines="50"/>
        <w:jc w:val="left"/>
        <w:rPr>
          <w:rFonts w:ascii="仿宋_GB2312" w:hAnsi="楷体" w:eastAsia="仿宋_GB2312"/>
          <w:b/>
          <w:sz w:val="24"/>
          <w:szCs w:val="24"/>
        </w:rPr>
      </w:pPr>
      <w:r>
        <w:rPr>
          <w:rFonts w:hint="eastAsia" w:ascii="仿宋_GB2312" w:hAnsi="楷体" w:eastAsia="仿宋_GB2312"/>
          <w:b/>
          <w:sz w:val="24"/>
          <w:szCs w:val="24"/>
        </w:rPr>
        <w:t>（六）编制因素比准价格表</w:t>
      </w:r>
    </w:p>
    <w:p>
      <w:pPr>
        <w:widowControl/>
        <w:adjustRightInd w:val="0"/>
        <w:snapToGrid w:val="0"/>
        <w:spacing w:line="360" w:lineRule="auto"/>
        <w:ind w:left="130" w:leftChars="62" w:firstLine="420" w:firstLineChars="150"/>
        <w:textAlignment w:val="bottom"/>
        <w:rPr>
          <w:rFonts w:ascii="仿宋_GB2312" w:hAnsi="楷体" w:eastAsia="仿宋_GB2312"/>
          <w:sz w:val="28"/>
          <w:szCs w:val="28"/>
        </w:rPr>
      </w:pPr>
      <w:r>
        <w:rPr>
          <w:rFonts w:hint="eastAsia" w:ascii="仿宋_GB2312" w:hAnsi="楷体" w:eastAsia="仿宋_GB2312"/>
          <w:sz w:val="28"/>
          <w:szCs w:val="28"/>
        </w:rPr>
        <w:t>根据比较因素条件分数表，编制因素比较修正系数，详见表6：</w:t>
      </w:r>
    </w:p>
    <w:p>
      <w:pPr>
        <w:widowControl/>
        <w:adjustRightInd w:val="0"/>
        <w:snapToGrid w:val="0"/>
        <w:spacing w:line="360" w:lineRule="auto"/>
        <w:ind w:left="2" w:firstLine="2"/>
        <w:jc w:val="center"/>
        <w:textAlignment w:val="bottom"/>
        <w:rPr>
          <w:rFonts w:ascii="仿宋_GB2312" w:hAnsi="楷体" w:eastAsia="仿宋_GB2312"/>
          <w:b/>
          <w:sz w:val="24"/>
          <w:szCs w:val="24"/>
        </w:rPr>
      </w:pPr>
      <w:r>
        <w:rPr>
          <w:rFonts w:hint="eastAsia" w:ascii="仿宋_GB2312" w:hAnsi="楷体" w:eastAsia="仿宋_GB2312"/>
          <w:b/>
          <w:sz w:val="24"/>
          <w:szCs w:val="24"/>
        </w:rPr>
        <w:t>表6  因素比较修正系数表</w:t>
      </w:r>
    </w:p>
    <w:tbl>
      <w:tblPr>
        <w:tblStyle w:val="47"/>
        <w:tblW w:w="8603" w:type="dxa"/>
        <w:jc w:val="center"/>
        <w:tblInd w:w="-34"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426"/>
        <w:gridCol w:w="671"/>
        <w:gridCol w:w="2169"/>
        <w:gridCol w:w="1274"/>
        <w:gridCol w:w="1354"/>
        <w:gridCol w:w="1354"/>
        <w:gridCol w:w="1355"/>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tblHeader/>
          <w:jc w:val="center"/>
        </w:trPr>
        <w:tc>
          <w:tcPr>
            <w:tcW w:w="3266" w:type="dxa"/>
            <w:gridSpan w:val="3"/>
            <w:vMerge w:val="restart"/>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项目名称</w:t>
            </w:r>
          </w:p>
        </w:tc>
        <w:tc>
          <w:tcPr>
            <w:tcW w:w="1274" w:type="dxa"/>
            <w:vMerge w:val="restart"/>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估价对象</w:t>
            </w:r>
          </w:p>
        </w:tc>
        <w:tc>
          <w:tcPr>
            <w:tcW w:w="1354" w:type="dxa"/>
            <w:shd w:val="clear" w:color="000000" w:fill="FFFFFF"/>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可比实例1</w:t>
            </w:r>
          </w:p>
        </w:tc>
        <w:tc>
          <w:tcPr>
            <w:tcW w:w="1354" w:type="dxa"/>
            <w:shd w:val="clear" w:color="000000" w:fill="FFFFFF"/>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可比实例2</w:t>
            </w:r>
          </w:p>
        </w:tc>
        <w:tc>
          <w:tcPr>
            <w:tcW w:w="1355" w:type="dxa"/>
            <w:shd w:val="clear" w:color="000000" w:fill="FFFFFF"/>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tblHeader/>
          <w:jc w:val="center"/>
        </w:trPr>
        <w:tc>
          <w:tcPr>
            <w:tcW w:w="3266" w:type="dxa"/>
            <w:gridSpan w:val="3"/>
            <w:vMerge w:val="continue"/>
            <w:vAlign w:val="center"/>
          </w:tcPr>
          <w:p>
            <w:pPr>
              <w:widowControl/>
              <w:jc w:val="left"/>
              <w:rPr>
                <w:rFonts w:ascii="仿宋_GB2312" w:hAnsi="楷体" w:eastAsia="仿宋_GB2312" w:cs="宋体"/>
                <w:b/>
                <w:bCs/>
                <w:kern w:val="0"/>
                <w:szCs w:val="21"/>
              </w:rPr>
            </w:pPr>
          </w:p>
        </w:tc>
        <w:tc>
          <w:tcPr>
            <w:tcW w:w="1274" w:type="dxa"/>
            <w:vMerge w:val="continue"/>
            <w:vAlign w:val="center"/>
          </w:tcPr>
          <w:p>
            <w:pPr>
              <w:widowControl/>
              <w:jc w:val="left"/>
              <w:rPr>
                <w:rFonts w:ascii="仿宋_GB2312" w:hAnsi="楷体" w:eastAsia="仿宋_GB2312" w:cs="宋体"/>
                <w:b/>
                <w:bCs/>
                <w:kern w:val="0"/>
                <w:szCs w:val="21"/>
              </w:rPr>
            </w:pPr>
          </w:p>
        </w:tc>
        <w:tc>
          <w:tcPr>
            <w:tcW w:w="1354" w:type="dxa"/>
            <w:shd w:val="clear" w:color="auto" w:fill="auto"/>
            <w:vAlign w:val="center"/>
          </w:tcPr>
          <w:p>
            <w:pPr>
              <w:widowControl/>
              <w:jc w:val="center"/>
              <w:rPr>
                <w:rFonts w:hint="eastAsia" w:ascii="仿宋_GB2312" w:hAnsi="楷体" w:eastAsia="仿宋_GB2312" w:cs="宋体"/>
                <w:kern w:val="0"/>
                <w:sz w:val="18"/>
                <w:szCs w:val="18"/>
                <w:lang w:eastAsia="zh-CN"/>
              </w:rPr>
            </w:pPr>
            <w:r>
              <w:rPr>
                <w:rFonts w:hint="eastAsia" w:ascii="仿宋_GB2312" w:hAnsi="楷体" w:eastAsia="仿宋_GB2312" w:cs="宋体"/>
                <w:kern w:val="0"/>
                <w:sz w:val="18"/>
                <w:szCs w:val="18"/>
                <w:lang w:eastAsia="zh-CN"/>
              </w:rPr>
              <w:t>百亿佳苑</w:t>
            </w:r>
          </w:p>
        </w:tc>
        <w:tc>
          <w:tcPr>
            <w:tcW w:w="1354" w:type="dxa"/>
            <w:shd w:val="clear" w:color="auto" w:fill="auto"/>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百亿佳苑</w:t>
            </w:r>
          </w:p>
        </w:tc>
        <w:tc>
          <w:tcPr>
            <w:tcW w:w="1355" w:type="dxa"/>
            <w:shd w:val="clear" w:color="auto" w:fill="auto"/>
            <w:vAlign w:val="center"/>
          </w:tcPr>
          <w:p>
            <w:pPr>
              <w:jc w:val="center"/>
              <w:rPr>
                <w:rFonts w:hint="eastAsia" w:eastAsia="宋体"/>
                <w:lang w:eastAsia="zh-CN"/>
              </w:rPr>
            </w:pPr>
            <w:r>
              <w:rPr>
                <w:rFonts w:hint="eastAsia" w:ascii="仿宋_GB2312" w:hAnsi="楷体" w:eastAsia="仿宋_GB2312" w:cs="宋体"/>
                <w:kern w:val="0"/>
                <w:sz w:val="18"/>
                <w:szCs w:val="18"/>
                <w:lang w:eastAsia="zh-CN"/>
              </w:rPr>
              <w:t>百亿佳苑</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标准化处理后的成交价格</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待估</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1839</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1940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2222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交易情况</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市场状况</w:t>
            </w: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成交日期</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restart"/>
            <w:shd w:val="clear" w:color="auto" w:fill="auto"/>
            <w:textDirection w:val="tbRlV"/>
            <w:vAlign w:val="center"/>
          </w:tcPr>
          <w:p>
            <w:pPr>
              <w:widowControl/>
              <w:jc w:val="center"/>
              <w:rPr>
                <w:rFonts w:ascii="仿宋_GB2312" w:hAnsi="楷体" w:eastAsia="仿宋_GB2312" w:cs="宋体"/>
                <w:b/>
                <w:bCs/>
                <w:kern w:val="0"/>
                <w:szCs w:val="21"/>
              </w:rPr>
            </w:pPr>
          </w:p>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区位状况</w:t>
            </w:r>
          </w:p>
        </w:tc>
        <w:tc>
          <w:tcPr>
            <w:tcW w:w="671" w:type="dxa"/>
            <w:vMerge w:val="restart"/>
            <w:shd w:val="clear" w:color="auto" w:fill="auto"/>
            <w:textDirection w:val="tbRlV"/>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位置状况</w:t>
            </w: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距区域中心的距离</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住宅集聚度</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临街状况</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人流量及密度</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楼层</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朝向</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平面位置</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restart"/>
            <w:shd w:val="clear" w:color="auto" w:fill="auto"/>
            <w:vAlign w:val="center"/>
          </w:tcPr>
          <w:p>
            <w:pPr>
              <w:widowControl/>
              <w:jc w:val="left"/>
              <w:rPr>
                <w:rFonts w:ascii="仿宋_GB2312" w:hAnsi="楷体" w:eastAsia="仿宋_GB2312" w:cs="宋体"/>
                <w:b/>
                <w:bCs/>
                <w:kern w:val="0"/>
                <w:szCs w:val="21"/>
              </w:rPr>
            </w:pPr>
            <w:r>
              <w:rPr>
                <w:rFonts w:hint="eastAsia" w:ascii="仿宋_GB2312" w:hAnsi="楷体" w:eastAsia="仿宋_GB2312" w:cs="宋体"/>
                <w:b/>
                <w:bCs/>
                <w:kern w:val="0"/>
                <w:szCs w:val="21"/>
              </w:rPr>
              <w:t>交通状况</w:t>
            </w: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道路等级</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公共交通便捷度</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对外交通便利度</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交通管制情况</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restart"/>
            <w:shd w:val="clear" w:color="auto" w:fill="auto"/>
            <w:vAlign w:val="center"/>
          </w:tcPr>
          <w:p>
            <w:pPr>
              <w:widowControl/>
              <w:jc w:val="left"/>
              <w:rPr>
                <w:rFonts w:ascii="仿宋_GB2312" w:hAnsi="楷体" w:eastAsia="仿宋_GB2312" w:cs="宋体"/>
                <w:b/>
                <w:bCs/>
                <w:kern w:val="0"/>
                <w:szCs w:val="21"/>
              </w:rPr>
            </w:pPr>
            <w:r>
              <w:rPr>
                <w:rFonts w:hint="eastAsia" w:ascii="仿宋_GB2312" w:hAnsi="楷体" w:eastAsia="仿宋_GB2312" w:cs="宋体"/>
                <w:b/>
                <w:bCs/>
                <w:kern w:val="0"/>
                <w:szCs w:val="21"/>
              </w:rPr>
              <w:t>外部配套设施状况</w:t>
            </w: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基础设施</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vMerge w:val="continue"/>
            <w:shd w:val="clear" w:color="auto" w:fill="auto"/>
            <w:vAlign w:val="center"/>
          </w:tcPr>
          <w:p>
            <w:pPr>
              <w:widowControl/>
              <w:jc w:val="left"/>
              <w:rPr>
                <w:rFonts w:ascii="仿宋_GB2312" w:hAnsi="楷体" w:eastAsia="仿宋_GB2312" w:cs="宋体"/>
                <w:b/>
                <w:bCs/>
                <w:kern w:val="0"/>
                <w:szCs w:val="21"/>
              </w:rPr>
            </w:pPr>
          </w:p>
        </w:tc>
        <w:tc>
          <w:tcPr>
            <w:tcW w:w="2169" w:type="dxa"/>
            <w:shd w:val="clear" w:color="000000" w:fill="FFFFFF"/>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外部配套设施</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vAlign w:val="center"/>
          </w:tcPr>
          <w:p>
            <w:pPr>
              <w:widowControl/>
              <w:jc w:val="left"/>
              <w:rPr>
                <w:rFonts w:ascii="仿宋_GB2312" w:hAnsi="楷体" w:eastAsia="仿宋_GB2312" w:cs="宋体"/>
                <w:b/>
                <w:bCs/>
                <w:kern w:val="0"/>
                <w:szCs w:val="21"/>
              </w:rPr>
            </w:pPr>
          </w:p>
        </w:tc>
        <w:tc>
          <w:tcPr>
            <w:tcW w:w="671" w:type="dxa"/>
            <w:shd w:val="clear" w:color="auto" w:fill="auto"/>
            <w:vAlign w:val="center"/>
          </w:tcPr>
          <w:p>
            <w:pPr>
              <w:widowControl/>
              <w:jc w:val="left"/>
              <w:rPr>
                <w:rFonts w:ascii="仿宋_GB2312" w:hAnsi="楷体" w:eastAsia="仿宋_GB2312" w:cs="宋体"/>
                <w:b/>
                <w:bCs/>
                <w:kern w:val="0"/>
                <w:szCs w:val="21"/>
              </w:rPr>
            </w:pPr>
            <w:r>
              <w:rPr>
                <w:rFonts w:hint="eastAsia" w:ascii="仿宋_GB2312" w:hAnsi="楷体" w:eastAsia="仿宋_GB2312" w:cs="宋体"/>
                <w:b/>
                <w:bCs/>
                <w:kern w:val="0"/>
                <w:szCs w:val="21"/>
              </w:rPr>
              <w:t>环境状况</w:t>
            </w: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周边环境和景观</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restart"/>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实物状况</w:t>
            </w: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外观设计</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建筑结构形式</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设备设施</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工程质量</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装饰装修</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hint="eastAsia" w:ascii="仿宋_GB2312" w:hAnsi="楷体" w:eastAsia="仿宋_GB2312" w:cs="宋体"/>
                <w:kern w:val="0"/>
                <w:szCs w:val="21"/>
                <w:lang w:val="en-US" w:eastAsia="zh-CN"/>
              </w:rPr>
            </w:pPr>
            <w:r>
              <w:rPr>
                <w:rFonts w:hint="eastAsia" w:ascii="仿宋_GB2312" w:hAnsi="楷体" w:eastAsia="仿宋_GB2312" w:cs="宋体"/>
                <w:kern w:val="0"/>
                <w:szCs w:val="21"/>
              </w:rPr>
              <w:t>100/</w:t>
            </w:r>
            <w:r>
              <w:rPr>
                <w:rFonts w:hint="eastAsia" w:ascii="仿宋_GB2312" w:hAnsi="楷体" w:eastAsia="仿宋_GB2312" w:cs="宋体"/>
                <w:kern w:val="0"/>
                <w:szCs w:val="21"/>
                <w:lang w:val="en-US" w:eastAsia="zh-CN"/>
              </w:rPr>
              <w:t>98</w:t>
            </w:r>
          </w:p>
        </w:tc>
        <w:tc>
          <w:tcPr>
            <w:tcW w:w="1354" w:type="dxa"/>
            <w:shd w:val="clear" w:color="auto" w:fill="auto"/>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100/10</w:t>
            </w:r>
            <w:r>
              <w:rPr>
                <w:rFonts w:hint="eastAsia" w:ascii="仿宋_GB2312" w:hAnsi="楷体" w:eastAsia="仿宋_GB2312" w:cs="宋体"/>
                <w:kern w:val="0"/>
                <w:szCs w:val="21"/>
                <w:lang w:val="en-US" w:eastAsia="zh-CN"/>
              </w:rPr>
              <w:t>1</w:t>
            </w:r>
          </w:p>
        </w:tc>
        <w:tc>
          <w:tcPr>
            <w:tcW w:w="1355" w:type="dxa"/>
            <w:shd w:val="clear" w:color="auto" w:fill="auto"/>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100/10</w:t>
            </w:r>
            <w:r>
              <w:rPr>
                <w:rFonts w:hint="eastAsia" w:ascii="仿宋_GB2312" w:hAnsi="楷体" w:eastAsia="仿宋_GB2312" w:cs="宋体"/>
                <w:kern w:val="0"/>
                <w:szCs w:val="21"/>
                <w:lang w:val="en-US" w:eastAsia="zh-CN"/>
              </w:rPr>
              <w:t>1</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层高</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空间布局</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建筑面积</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100/1</w:t>
            </w:r>
            <w:r>
              <w:rPr>
                <w:rFonts w:hint="eastAsia" w:ascii="仿宋_GB2312" w:hAnsi="楷体" w:eastAsia="仿宋_GB2312" w:cs="宋体"/>
                <w:kern w:val="0"/>
                <w:szCs w:val="21"/>
                <w:lang w:val="en-US" w:eastAsia="zh-CN"/>
              </w:rPr>
              <w:t>01</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建筑规模</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临街宽度深度比</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建筑功能</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成新率</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物业管理</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停车便捷度</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702" w:hRule="atLeast"/>
          <w:jc w:val="center"/>
        </w:trPr>
        <w:tc>
          <w:tcPr>
            <w:tcW w:w="1097" w:type="dxa"/>
            <w:gridSpan w:val="2"/>
            <w:vMerge w:val="restart"/>
            <w:shd w:val="clear" w:color="auto" w:fill="auto"/>
            <w:textDirection w:val="tbRlV"/>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权益状况（1）</w:t>
            </w:r>
          </w:p>
        </w:tc>
        <w:tc>
          <w:tcPr>
            <w:tcW w:w="2169" w:type="dxa"/>
            <w:shd w:val="clear" w:color="auto" w:fill="auto"/>
            <w:vAlign w:val="center"/>
          </w:tcPr>
          <w:p>
            <w:pPr>
              <w:jc w:val="center"/>
              <w:rPr>
                <w:rFonts w:ascii="仿宋_GB2312" w:hAnsi="楷体" w:eastAsia="仿宋_GB2312" w:cs="宋体"/>
                <w:b/>
                <w:bCs/>
                <w:kern w:val="0"/>
                <w:szCs w:val="21"/>
              </w:rPr>
            </w:pPr>
            <w:r>
              <w:rPr>
                <w:rFonts w:hint="eastAsia" w:ascii="仿宋_GB2312" w:hAnsi="楷体" w:eastAsia="仿宋_GB2312" w:cs="宋体"/>
                <w:b/>
                <w:bCs/>
                <w:kern w:val="0"/>
                <w:szCs w:val="21"/>
              </w:rPr>
              <w:t>规划条件</w:t>
            </w:r>
          </w:p>
        </w:tc>
        <w:tc>
          <w:tcPr>
            <w:tcW w:w="1274"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共有情况</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jc w:val="left"/>
              <w:rPr>
                <w:rFonts w:ascii="仿宋_GB2312" w:hAnsi="楷体" w:eastAsia="仿宋_GB2312" w:cs="宋体"/>
                <w:b/>
                <w:bCs/>
                <w:kern w:val="0"/>
                <w:szCs w:val="21"/>
              </w:rPr>
            </w:pPr>
          </w:p>
        </w:tc>
        <w:tc>
          <w:tcPr>
            <w:tcW w:w="2169"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权属清晰情况</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调整幅度</w:t>
            </w:r>
          </w:p>
        </w:tc>
        <w:tc>
          <w:tcPr>
            <w:tcW w:w="1274" w:type="dxa"/>
            <w:shd w:val="clear" w:color="auto" w:fill="auto"/>
            <w:vAlign w:val="center"/>
          </w:tcPr>
          <w:p>
            <w:pPr>
              <w:jc w:val="center"/>
              <w:rPr>
                <w:rFonts w:ascii="仿宋_GB2312" w:hAnsi="楷体" w:eastAsia="仿宋_GB2312"/>
              </w:rPr>
            </w:pPr>
            <w:r>
              <w:rPr>
                <w:rFonts w:hint="eastAsia" w:ascii="仿宋_GB2312" w:hAnsi="楷体" w:eastAsia="仿宋_GB2312" w:cs="宋体"/>
                <w:kern w:val="0"/>
                <w:sz w:val="18"/>
                <w:szCs w:val="18"/>
              </w:rPr>
              <w:t>——</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101.03</w:t>
            </w:r>
            <w:r>
              <w:rPr>
                <w:rFonts w:hint="eastAsia" w:ascii="仿宋_GB2312" w:hAnsi="楷体" w:eastAsia="仿宋_GB2312" w:cs="宋体"/>
                <w:kern w:val="0"/>
                <w:szCs w:val="21"/>
              </w:rPr>
              <w:t>%</w:t>
            </w:r>
          </w:p>
        </w:tc>
        <w:tc>
          <w:tcPr>
            <w:tcW w:w="135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99.00</w:t>
            </w:r>
            <w:r>
              <w:rPr>
                <w:rFonts w:hint="eastAsia" w:ascii="仿宋_GB2312" w:hAnsi="楷体" w:eastAsia="仿宋_GB2312" w:cs="宋体"/>
                <w:kern w:val="0"/>
                <w:szCs w:val="21"/>
              </w:rPr>
              <w:t>%</w:t>
            </w:r>
          </w:p>
        </w:tc>
        <w:tc>
          <w:tcPr>
            <w:tcW w:w="1355"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lang w:val="en-US" w:eastAsia="zh-CN"/>
              </w:rPr>
              <w:t>99.00</w:t>
            </w:r>
            <w:r>
              <w:rPr>
                <w:rFonts w:hint="eastAsia" w:ascii="仿宋_GB2312" w:hAnsi="楷体" w:eastAsia="仿宋_GB2312" w:cs="宋体"/>
                <w:kern w:val="0"/>
                <w:szCs w:val="21"/>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可比实例比较价值</w:t>
            </w:r>
          </w:p>
        </w:tc>
        <w:tc>
          <w:tcPr>
            <w:tcW w:w="1274" w:type="dxa"/>
            <w:shd w:val="clear" w:color="auto" w:fill="auto"/>
            <w:vAlign w:val="center"/>
          </w:tcPr>
          <w:p>
            <w:pPr>
              <w:jc w:val="center"/>
              <w:rPr>
                <w:rFonts w:ascii="仿宋_GB2312" w:hAnsi="楷体" w:eastAsia="仿宋_GB2312"/>
              </w:rPr>
            </w:pPr>
            <w:r>
              <w:rPr>
                <w:rFonts w:hint="eastAsia" w:ascii="仿宋_GB2312" w:hAnsi="楷体" w:eastAsia="仿宋_GB2312" w:cs="宋体"/>
                <w:kern w:val="0"/>
                <w:sz w:val="18"/>
                <w:szCs w:val="18"/>
              </w:rPr>
              <w:t>——</w:t>
            </w:r>
          </w:p>
        </w:tc>
        <w:tc>
          <w:tcPr>
            <w:tcW w:w="1354" w:type="dxa"/>
            <w:shd w:val="clear" w:color="auto" w:fill="auto"/>
            <w:vAlign w:val="center"/>
          </w:tcPr>
          <w:p>
            <w:pPr>
              <w:widowControl/>
              <w:jc w:val="center"/>
              <w:rPr>
                <w:rFonts w:hint="eastAsia" w:ascii="仿宋_GB2312" w:hAnsi="楷体" w:eastAsia="仿宋_GB2312" w:cs="宋体"/>
                <w:b/>
                <w:bCs/>
                <w:kern w:val="0"/>
                <w:szCs w:val="21"/>
                <w:lang w:val="en-US" w:eastAsia="zh-CN"/>
              </w:rPr>
            </w:pPr>
            <w:r>
              <w:rPr>
                <w:rFonts w:hint="eastAsia" w:ascii="仿宋_GB2312" w:hAnsi="楷体" w:eastAsia="仿宋_GB2312" w:cs="宋体"/>
                <w:b/>
                <w:bCs/>
                <w:kern w:val="0"/>
                <w:szCs w:val="21"/>
                <w:lang w:val="en-US" w:eastAsia="zh-CN"/>
              </w:rPr>
              <w:t>1858</w:t>
            </w:r>
          </w:p>
        </w:tc>
        <w:tc>
          <w:tcPr>
            <w:tcW w:w="1354" w:type="dxa"/>
            <w:shd w:val="clear" w:color="auto" w:fill="auto"/>
            <w:vAlign w:val="center"/>
          </w:tcPr>
          <w:p>
            <w:pPr>
              <w:widowControl/>
              <w:jc w:val="center"/>
              <w:rPr>
                <w:rFonts w:hint="eastAsia" w:ascii="仿宋_GB2312" w:hAnsi="楷体" w:eastAsia="仿宋_GB2312" w:cs="宋体"/>
                <w:b/>
                <w:bCs/>
                <w:kern w:val="0"/>
                <w:szCs w:val="21"/>
                <w:lang w:val="en-US" w:eastAsia="zh-CN"/>
              </w:rPr>
            </w:pPr>
            <w:r>
              <w:rPr>
                <w:rFonts w:hint="eastAsia" w:ascii="仿宋_GB2312" w:hAnsi="楷体" w:eastAsia="仿宋_GB2312" w:cs="宋体"/>
                <w:b/>
                <w:bCs/>
                <w:kern w:val="0"/>
                <w:szCs w:val="21"/>
                <w:lang w:val="en-US" w:eastAsia="zh-CN"/>
              </w:rPr>
              <w:t>1921</w:t>
            </w:r>
          </w:p>
        </w:tc>
        <w:tc>
          <w:tcPr>
            <w:tcW w:w="1355" w:type="dxa"/>
            <w:shd w:val="clear" w:color="auto" w:fill="auto"/>
            <w:vAlign w:val="center"/>
          </w:tcPr>
          <w:p>
            <w:pPr>
              <w:widowControl/>
              <w:jc w:val="center"/>
              <w:rPr>
                <w:rFonts w:hint="eastAsia" w:ascii="仿宋_GB2312" w:hAnsi="楷体" w:eastAsia="仿宋_GB2312" w:cs="宋体"/>
                <w:b/>
                <w:bCs/>
                <w:kern w:val="0"/>
                <w:szCs w:val="21"/>
                <w:lang w:val="en-US" w:eastAsia="zh-CN"/>
              </w:rPr>
            </w:pPr>
            <w:r>
              <w:rPr>
                <w:rFonts w:hint="eastAsia" w:ascii="仿宋_GB2312" w:hAnsi="楷体" w:eastAsia="仿宋_GB2312" w:cs="宋体"/>
                <w:b/>
                <w:bCs/>
                <w:kern w:val="0"/>
                <w:szCs w:val="21"/>
                <w:lang w:val="en-US" w:eastAsia="zh-CN"/>
              </w:rPr>
              <w:t>2200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restart"/>
            <w:textDirection w:val="tbRlV"/>
            <w:vAlign w:val="center"/>
          </w:tcPr>
          <w:p>
            <w:pPr>
              <w:widowControl/>
              <w:ind w:left="246" w:leftChars="117" w:right="113"/>
              <w:jc w:val="center"/>
              <w:rPr>
                <w:rFonts w:ascii="仿宋_GB2312" w:hAnsi="楷体" w:eastAsia="仿宋_GB2312" w:cs="宋体"/>
                <w:b/>
                <w:bCs/>
                <w:kern w:val="0"/>
                <w:szCs w:val="21"/>
              </w:rPr>
            </w:pPr>
            <w:r>
              <w:rPr>
                <w:rFonts w:hint="eastAsia" w:ascii="仿宋_GB2312" w:hAnsi="楷体" w:eastAsia="仿宋_GB2312" w:cs="宋体"/>
                <w:b/>
                <w:bCs/>
                <w:kern w:val="0"/>
                <w:szCs w:val="21"/>
              </w:rPr>
              <w:t>权益状况（2）</w:t>
            </w:r>
          </w:p>
        </w:tc>
        <w:tc>
          <w:tcPr>
            <w:tcW w:w="2169" w:type="dxa"/>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用益物权设立情况</w:t>
            </w:r>
          </w:p>
        </w:tc>
        <w:tc>
          <w:tcPr>
            <w:tcW w:w="1274" w:type="dxa"/>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w:t>
            </w:r>
          </w:p>
        </w:tc>
        <w:tc>
          <w:tcPr>
            <w:tcW w:w="1354" w:type="dxa"/>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355"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Pr>
          <w:p>
            <w:pPr>
              <w:widowControl/>
              <w:jc w:val="center"/>
              <w:rPr>
                <w:rFonts w:ascii="仿宋_GB2312" w:hAnsi="楷体" w:eastAsia="仿宋_GB2312" w:cs="宋体"/>
                <w:b/>
                <w:bCs/>
                <w:kern w:val="0"/>
                <w:szCs w:val="21"/>
              </w:rPr>
            </w:pPr>
          </w:p>
        </w:tc>
        <w:tc>
          <w:tcPr>
            <w:tcW w:w="2169" w:type="dxa"/>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担保物权设立情况</w:t>
            </w:r>
          </w:p>
        </w:tc>
        <w:tc>
          <w:tcPr>
            <w:tcW w:w="1274" w:type="dxa"/>
            <w:shd w:val="clear" w:color="auto" w:fill="auto"/>
            <w:vAlign w:val="center"/>
          </w:tcPr>
          <w:p>
            <w:pPr>
              <w:jc w:val="center"/>
              <w:rPr>
                <w:rFonts w:ascii="仿宋_GB2312" w:hAnsi="楷体" w:eastAsia="仿宋_GB2312" w:cs="宋体"/>
                <w:kern w:val="0"/>
                <w:sz w:val="18"/>
                <w:szCs w:val="18"/>
              </w:rPr>
            </w:pPr>
            <w:r>
              <w:rPr>
                <w:rFonts w:hint="eastAsia" w:ascii="仿宋_GB2312" w:hAnsi="楷体" w:eastAsia="仿宋_GB2312" w:cs="宋体"/>
                <w:kern w:val="0"/>
                <w:szCs w:val="21"/>
              </w:rPr>
              <w:t>——</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355"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Pr>
          <w:p>
            <w:pPr>
              <w:widowControl/>
              <w:jc w:val="center"/>
              <w:rPr>
                <w:rFonts w:ascii="仿宋_GB2312" w:hAnsi="楷体" w:eastAsia="仿宋_GB2312" w:cs="宋体"/>
                <w:b/>
                <w:bCs/>
                <w:kern w:val="0"/>
                <w:szCs w:val="21"/>
              </w:rPr>
            </w:pPr>
          </w:p>
        </w:tc>
        <w:tc>
          <w:tcPr>
            <w:tcW w:w="2169" w:type="dxa"/>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租赁或占有情况</w:t>
            </w:r>
          </w:p>
        </w:tc>
        <w:tc>
          <w:tcPr>
            <w:tcW w:w="1274" w:type="dxa"/>
            <w:shd w:val="clear" w:color="auto" w:fill="auto"/>
            <w:vAlign w:val="center"/>
          </w:tcPr>
          <w:p>
            <w:pPr>
              <w:jc w:val="center"/>
              <w:rPr>
                <w:rFonts w:ascii="仿宋_GB2312" w:hAnsi="楷体" w:eastAsia="仿宋_GB2312" w:cs="宋体"/>
                <w:kern w:val="0"/>
                <w:sz w:val="18"/>
                <w:szCs w:val="18"/>
              </w:rPr>
            </w:pPr>
            <w:r>
              <w:rPr>
                <w:rFonts w:hint="eastAsia" w:ascii="仿宋_GB2312" w:hAnsi="楷体" w:eastAsia="仿宋_GB2312" w:cs="宋体"/>
                <w:kern w:val="0"/>
                <w:szCs w:val="21"/>
              </w:rPr>
              <w:t>——</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355"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Pr>
          <w:p>
            <w:pPr>
              <w:widowControl/>
              <w:jc w:val="center"/>
              <w:rPr>
                <w:rFonts w:ascii="仿宋_GB2312" w:hAnsi="楷体" w:eastAsia="仿宋_GB2312" w:cs="宋体"/>
                <w:b/>
                <w:bCs/>
                <w:kern w:val="0"/>
                <w:szCs w:val="21"/>
              </w:rPr>
            </w:pPr>
          </w:p>
        </w:tc>
        <w:tc>
          <w:tcPr>
            <w:tcW w:w="2169" w:type="dxa"/>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拖欠税费情况</w:t>
            </w:r>
          </w:p>
        </w:tc>
        <w:tc>
          <w:tcPr>
            <w:tcW w:w="1274" w:type="dxa"/>
            <w:shd w:val="clear" w:color="auto" w:fill="auto"/>
            <w:vAlign w:val="center"/>
          </w:tcPr>
          <w:p>
            <w:pPr>
              <w:jc w:val="center"/>
              <w:rPr>
                <w:rFonts w:ascii="仿宋_GB2312" w:hAnsi="楷体" w:eastAsia="仿宋_GB2312" w:cs="宋体"/>
                <w:kern w:val="0"/>
                <w:sz w:val="18"/>
                <w:szCs w:val="18"/>
              </w:rPr>
            </w:pPr>
            <w:r>
              <w:rPr>
                <w:rFonts w:hint="eastAsia" w:ascii="仿宋_GB2312" w:hAnsi="楷体" w:eastAsia="仿宋_GB2312" w:cs="宋体"/>
                <w:kern w:val="0"/>
                <w:szCs w:val="21"/>
              </w:rPr>
              <w:t>——</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355"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Pr>
          <w:p>
            <w:pPr>
              <w:widowControl/>
              <w:jc w:val="center"/>
              <w:rPr>
                <w:rFonts w:ascii="仿宋_GB2312" w:hAnsi="楷体" w:eastAsia="仿宋_GB2312" w:cs="宋体"/>
                <w:b/>
                <w:bCs/>
                <w:kern w:val="0"/>
                <w:szCs w:val="21"/>
              </w:rPr>
            </w:pPr>
          </w:p>
        </w:tc>
        <w:tc>
          <w:tcPr>
            <w:tcW w:w="2169" w:type="dxa"/>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查封情况</w:t>
            </w:r>
          </w:p>
        </w:tc>
        <w:tc>
          <w:tcPr>
            <w:tcW w:w="1274" w:type="dxa"/>
            <w:shd w:val="clear" w:color="auto" w:fill="auto"/>
            <w:vAlign w:val="center"/>
          </w:tcPr>
          <w:p>
            <w:pPr>
              <w:jc w:val="center"/>
              <w:rPr>
                <w:rFonts w:ascii="仿宋_GB2312" w:hAnsi="楷体" w:eastAsia="仿宋_GB2312" w:cs="宋体"/>
                <w:kern w:val="0"/>
                <w:sz w:val="18"/>
                <w:szCs w:val="18"/>
              </w:rPr>
            </w:pPr>
            <w:r>
              <w:rPr>
                <w:rFonts w:hint="eastAsia" w:ascii="仿宋_GB2312" w:hAnsi="楷体" w:eastAsia="仿宋_GB2312" w:cs="宋体"/>
                <w:kern w:val="0"/>
                <w:szCs w:val="21"/>
              </w:rPr>
              <w:t>——</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354"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c>
          <w:tcPr>
            <w:tcW w:w="1355" w:type="dxa"/>
            <w:shd w:val="clear" w:color="auto" w:fill="auto"/>
            <w:vAlign w:val="center"/>
          </w:tcPr>
          <w:p>
            <w:pPr>
              <w:jc w:val="center"/>
              <w:rPr>
                <w:rFonts w:ascii="仿宋_GB2312" w:eastAsia="仿宋_GB2312"/>
              </w:rPr>
            </w:pPr>
            <w:r>
              <w:rPr>
                <w:rFonts w:hint="eastAsia" w:ascii="仿宋_GB2312" w:hAnsi="楷体" w:eastAsia="仿宋_GB2312" w:cs="宋体"/>
                <w:kern w:val="0"/>
                <w:szCs w:val="21"/>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可比实例比较价值</w:t>
            </w:r>
          </w:p>
        </w:tc>
        <w:tc>
          <w:tcPr>
            <w:tcW w:w="1274" w:type="dxa"/>
            <w:shd w:val="clear" w:color="auto" w:fill="auto"/>
            <w:vAlign w:val="center"/>
          </w:tcPr>
          <w:p>
            <w:pPr>
              <w:jc w:val="center"/>
              <w:rPr>
                <w:rFonts w:ascii="仿宋_GB2312" w:hAnsi="楷体" w:eastAsia="仿宋_GB2312"/>
              </w:rPr>
            </w:pPr>
            <w:r>
              <w:rPr>
                <w:rFonts w:hint="eastAsia" w:ascii="仿宋_GB2312" w:hAnsi="楷体" w:eastAsia="仿宋_GB2312" w:cs="宋体"/>
                <w:kern w:val="0"/>
                <w:sz w:val="18"/>
                <w:szCs w:val="18"/>
              </w:rPr>
              <w:t>——</w:t>
            </w:r>
          </w:p>
        </w:tc>
        <w:tc>
          <w:tcPr>
            <w:tcW w:w="1354"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lang w:val="en-US" w:eastAsia="zh-CN"/>
              </w:rPr>
              <w:t>1858</w:t>
            </w:r>
          </w:p>
        </w:tc>
        <w:tc>
          <w:tcPr>
            <w:tcW w:w="1354"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lang w:val="en-US" w:eastAsia="zh-CN"/>
              </w:rPr>
              <w:t>1921</w:t>
            </w:r>
          </w:p>
        </w:tc>
        <w:tc>
          <w:tcPr>
            <w:tcW w:w="1355" w:type="dxa"/>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lang w:val="en-US" w:eastAsia="zh-CN"/>
              </w:rPr>
              <w:t>2200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6" w:type="dxa"/>
            <w:gridSpan w:val="3"/>
            <w:shd w:val="clear" w:color="auto" w:fill="auto"/>
            <w:vAlign w:val="center"/>
          </w:tcPr>
          <w:p>
            <w:pPr>
              <w:widowControl/>
              <w:jc w:val="center"/>
              <w:rPr>
                <w:rFonts w:ascii="仿宋_GB2312" w:hAnsi="楷体" w:eastAsia="仿宋_GB2312" w:cs="宋体"/>
                <w:b/>
                <w:bCs/>
                <w:kern w:val="0"/>
                <w:szCs w:val="21"/>
              </w:rPr>
            </w:pPr>
            <w:r>
              <w:rPr>
                <w:rFonts w:hint="eastAsia" w:ascii="仿宋_GB2312" w:hAnsi="楷体" w:eastAsia="仿宋_GB2312" w:cs="宋体"/>
                <w:b/>
                <w:bCs/>
                <w:kern w:val="0"/>
                <w:szCs w:val="21"/>
              </w:rPr>
              <w:t>比较价值</w:t>
            </w:r>
          </w:p>
        </w:tc>
        <w:tc>
          <w:tcPr>
            <w:tcW w:w="5337" w:type="dxa"/>
            <w:gridSpan w:val="4"/>
            <w:shd w:val="clear" w:color="auto" w:fill="auto"/>
            <w:vAlign w:val="center"/>
          </w:tcPr>
          <w:p>
            <w:pPr>
              <w:widowControl/>
              <w:jc w:val="center"/>
              <w:rPr>
                <w:rFonts w:hint="eastAsia" w:ascii="仿宋_GB2312" w:hAnsi="楷体" w:eastAsia="仿宋_GB2312" w:cs="宋体"/>
                <w:b/>
                <w:bCs/>
                <w:kern w:val="0"/>
                <w:szCs w:val="21"/>
                <w:lang w:val="en-US" w:eastAsia="zh-CN"/>
              </w:rPr>
            </w:pPr>
            <w:r>
              <w:rPr>
                <w:rFonts w:hint="eastAsia" w:ascii="仿宋_GB2312" w:hAnsi="楷体" w:eastAsia="仿宋_GB2312" w:cs="宋体"/>
                <w:b/>
                <w:bCs/>
                <w:kern w:val="0"/>
                <w:szCs w:val="21"/>
                <w:lang w:val="en-US" w:eastAsia="zh-CN"/>
              </w:rPr>
              <w:t>1993</w:t>
            </w:r>
          </w:p>
        </w:tc>
      </w:tr>
    </w:tbl>
    <w:p>
      <w:pPr>
        <w:pStyle w:val="115"/>
        <w:spacing w:beforeLines="50" w:afterLines="50"/>
        <w:ind w:firstLine="0" w:firstLineChars="0"/>
        <w:rPr>
          <w:rFonts w:hAnsi="楷体"/>
          <w:b/>
        </w:rPr>
      </w:pPr>
      <w:r>
        <w:rPr>
          <w:rFonts w:hint="eastAsia" w:hAnsi="楷体"/>
          <w:b/>
        </w:rPr>
        <w:t>（七） 求取房地产比较价值</w:t>
      </w:r>
    </w:p>
    <w:p>
      <w:pPr>
        <w:pStyle w:val="115"/>
        <w:spacing w:before="50" w:after="50"/>
        <w:ind w:firstLine="560" w:firstLineChars="200"/>
        <w:rPr>
          <w:rFonts w:hAnsi="楷体"/>
          <w:sz w:val="28"/>
          <w:szCs w:val="28"/>
        </w:rPr>
      </w:pPr>
      <w:r>
        <w:rPr>
          <w:rFonts w:hint="eastAsia" w:hAnsi="楷体"/>
          <w:sz w:val="28"/>
          <w:szCs w:val="28"/>
        </w:rPr>
        <w:t>采用各因素修正系数连乘法，求取各可比实例经因素修正后达到估价对象条件时的比准价格。</w:t>
      </w:r>
    </w:p>
    <w:p>
      <w:pPr>
        <w:pStyle w:val="115"/>
        <w:ind w:firstLine="560" w:firstLineChars="200"/>
        <w:rPr>
          <w:rFonts w:hAnsi="楷体"/>
          <w:sz w:val="28"/>
          <w:szCs w:val="28"/>
        </w:rPr>
      </w:pPr>
      <w:r>
        <w:rPr>
          <w:rFonts w:hint="eastAsia" w:hAnsi="楷体"/>
          <w:sz w:val="28"/>
          <w:szCs w:val="28"/>
        </w:rPr>
        <w:t>经过比较分析，各可比实例的各项房地产状况与估价对象较相似，经过测算以上三个可比实例的比准价格差异在正常范围内，考虑到估价对象所在区域的实际状况并结合房地产市场价格水平，本次估价确定取以上三个可比实例比准价格的简单算术平均值作为估价对象的比较价值：</w:t>
      </w:r>
    </w:p>
    <w:p>
      <w:pPr>
        <w:pStyle w:val="115"/>
        <w:ind w:firstLine="560" w:firstLineChars="200"/>
        <w:rPr>
          <w:rFonts w:hAnsi="楷体"/>
          <w:sz w:val="28"/>
          <w:szCs w:val="28"/>
        </w:rPr>
      </w:pPr>
      <w:r>
        <w:rPr>
          <w:rFonts w:hint="eastAsia" w:hAnsi="楷体"/>
          <w:sz w:val="28"/>
          <w:szCs w:val="28"/>
        </w:rPr>
        <w:t>房地产单价＝（</w:t>
      </w:r>
      <w:r>
        <w:rPr>
          <w:rFonts w:hint="eastAsia" w:hAnsi="楷体"/>
          <w:sz w:val="28"/>
          <w:szCs w:val="28"/>
          <w:lang w:val="en-US" w:eastAsia="zh-CN"/>
        </w:rPr>
        <w:t>1858+1921+2200</w:t>
      </w:r>
      <w:r>
        <w:rPr>
          <w:rFonts w:hint="eastAsia" w:hAnsi="楷体"/>
          <w:sz w:val="28"/>
          <w:szCs w:val="28"/>
        </w:rPr>
        <w:t>）÷3≈</w:t>
      </w:r>
      <w:r>
        <w:rPr>
          <w:rFonts w:hint="eastAsia" w:hAnsi="楷体"/>
          <w:sz w:val="28"/>
          <w:szCs w:val="28"/>
          <w:lang w:eastAsia="zh-CN"/>
        </w:rPr>
        <w:t>1993</w:t>
      </w:r>
      <w:r>
        <w:rPr>
          <w:rFonts w:hint="eastAsia" w:hAnsi="楷体"/>
          <w:sz w:val="28"/>
          <w:szCs w:val="28"/>
        </w:rPr>
        <w:t>元/平方米。</w:t>
      </w:r>
    </w:p>
    <w:p>
      <w:pPr>
        <w:spacing w:line="600" w:lineRule="exact"/>
        <w:ind w:firstLine="562" w:firstLineChars="200"/>
        <w:rPr>
          <w:rFonts w:eastAsia="仿宋"/>
          <w:b/>
          <w:bCs/>
          <w:color w:val="000000"/>
          <w:sz w:val="28"/>
          <w:szCs w:val="28"/>
        </w:rPr>
      </w:pPr>
      <w:r>
        <w:rPr>
          <w:rFonts w:ascii="宋体"/>
          <w:b/>
          <w:bCs/>
          <w:sz w:val="28"/>
          <w:szCs w:val="28"/>
        </w:rPr>
        <w:t>※</w:t>
      </w:r>
      <w:r>
        <w:rPr>
          <w:rFonts w:eastAsia="仿宋"/>
          <w:b/>
          <w:bCs/>
          <w:color w:val="000000"/>
          <w:sz w:val="28"/>
          <w:szCs w:val="28"/>
        </w:rPr>
        <w:t xml:space="preserve">收益法的测算过程 </w:t>
      </w:r>
    </w:p>
    <w:p>
      <w:pPr>
        <w:spacing w:line="360" w:lineRule="auto"/>
        <w:ind w:firstLine="420"/>
        <w:rPr>
          <w:rFonts w:eastAsia="仿宋"/>
          <w:b/>
          <w:bCs/>
          <w:color w:val="000000"/>
          <w:sz w:val="28"/>
          <w:szCs w:val="28"/>
        </w:rPr>
      </w:pPr>
      <w:r>
        <w:rPr>
          <w:rFonts w:hint="eastAsia" w:eastAsia="仿宋"/>
          <w:b/>
          <w:bCs/>
          <w:color w:val="000000"/>
          <w:sz w:val="28"/>
          <w:szCs w:val="28"/>
        </w:rPr>
        <w:t>估价思路：由于委托方未能提供该房地产的《房屋租赁协议》，故采用市场租金测算该房地产价值。</w:t>
      </w:r>
    </w:p>
    <w:p>
      <w:pPr>
        <w:spacing w:line="600" w:lineRule="exact"/>
        <w:ind w:firstLine="562" w:firstLineChars="200"/>
        <w:rPr>
          <w:rFonts w:eastAsia="仿宋"/>
          <w:b/>
          <w:bCs/>
          <w:color w:val="000000"/>
          <w:sz w:val="28"/>
          <w:szCs w:val="28"/>
        </w:rPr>
      </w:pPr>
      <w:r>
        <w:rPr>
          <w:rFonts w:eastAsia="仿宋"/>
          <w:b/>
          <w:bCs/>
          <w:color w:val="000000"/>
          <w:sz w:val="28"/>
          <w:szCs w:val="28"/>
        </w:rPr>
        <w:t xml:space="preserve"> 1. </w:t>
      </w:r>
      <w:r>
        <w:rPr>
          <w:rFonts w:hint="eastAsia" w:ascii="仿宋_GB2312" w:hAnsi="楷体" w:eastAsia="仿宋_GB2312"/>
          <w:b/>
          <w:bCs/>
          <w:sz w:val="28"/>
          <w:szCs w:val="28"/>
        </w:rPr>
        <w:t>公式介绍</w:t>
      </w:r>
    </w:p>
    <w:p>
      <w:pPr>
        <w:tabs>
          <w:tab w:val="left" w:pos="4515"/>
        </w:tabs>
        <w:spacing w:line="540" w:lineRule="exact"/>
        <w:ind w:firstLine="560" w:firstLineChars="200"/>
        <w:rPr>
          <w:rFonts w:ascii="仿宋_GB2312" w:hAnsi="楷体" w:eastAsia="仿宋_GB2312"/>
          <w:sz w:val="28"/>
          <w:szCs w:val="28"/>
        </w:rPr>
      </w:pPr>
      <w:r>
        <w:rPr>
          <w:rFonts w:hint="eastAsia" w:ascii="仿宋_GB2312" w:hAnsi="楷体" w:eastAsia="仿宋_GB2312" w:cs="Arial"/>
          <w:sz w:val="28"/>
          <w:szCs w:val="28"/>
        </w:rPr>
        <w:t>选</w:t>
      </w:r>
      <w:r>
        <w:rPr>
          <w:rFonts w:hint="eastAsia" w:ascii="仿宋_GB2312" w:hAnsi="楷体" w:eastAsia="仿宋_GB2312"/>
          <w:sz w:val="28"/>
          <w:szCs w:val="28"/>
        </w:rPr>
        <w:t>用有限年年净收益按一定比率递增的房地产价格计算公式：</w:t>
      </w:r>
    </w:p>
    <w:p>
      <w:pPr>
        <w:tabs>
          <w:tab w:val="left" w:pos="4515"/>
        </w:tabs>
        <w:spacing w:line="360" w:lineRule="auto"/>
        <w:ind w:firstLine="1080" w:firstLineChars="450"/>
        <w:rPr>
          <w:rFonts w:ascii="仿宋_GB2312" w:hAnsi="楷体" w:eastAsia="仿宋_GB2312"/>
          <w:sz w:val="24"/>
          <w:szCs w:val="24"/>
        </w:rPr>
      </w:pPr>
      <w:r>
        <w:rPr>
          <w:rFonts w:hint="eastAsia" w:ascii="仿宋_GB2312" w:hAnsi="楷体" w:eastAsia="仿宋_GB2312"/>
          <w:sz w:val="24"/>
          <w:szCs w:val="24"/>
        </w:rPr>
        <w:object>
          <v:shape id="_x0000_i1025" o:spt="75" type="#_x0000_t75" style="height:41.25pt;width:144.7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p>
    <w:p>
      <w:pPr>
        <w:spacing w:line="360" w:lineRule="auto"/>
        <w:ind w:firstLine="420"/>
        <w:rPr>
          <w:rFonts w:ascii="仿宋_GB2312" w:hAnsi="楷体" w:eastAsia="仿宋_GB2312" w:cs="Arial"/>
          <w:sz w:val="28"/>
          <w:szCs w:val="28"/>
        </w:rPr>
      </w:pPr>
      <w:r>
        <w:rPr>
          <w:rFonts w:hint="eastAsia" w:ascii="仿宋_GB2312" w:hAnsi="楷体" w:eastAsia="仿宋_GB2312" w:cs="Arial"/>
          <w:sz w:val="28"/>
          <w:szCs w:val="28"/>
        </w:rPr>
        <w:t>其中：V—为收益价值；</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a—为房地产未来第一年的净收益；</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Y—为报酬率；</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n—为房地产的收益期；</w:t>
      </w:r>
    </w:p>
    <w:p>
      <w:pPr>
        <w:tabs>
          <w:tab w:val="left" w:pos="4515"/>
        </w:tabs>
        <w:spacing w:line="360" w:lineRule="auto"/>
        <w:ind w:firstLine="1400" w:firstLineChars="500"/>
        <w:rPr>
          <w:rFonts w:ascii="仿宋_GB2312" w:hAnsi="楷体" w:eastAsia="仿宋_GB2312"/>
          <w:sz w:val="28"/>
          <w:szCs w:val="28"/>
        </w:rPr>
      </w:pPr>
      <w:r>
        <w:rPr>
          <w:rFonts w:hint="eastAsia" w:ascii="仿宋_GB2312" w:hAnsi="楷体" w:eastAsia="仿宋_GB2312" w:cs="Arial"/>
          <w:sz w:val="28"/>
          <w:szCs w:val="28"/>
        </w:rPr>
        <w:t>g—为净收益逐年递增的比率</w:t>
      </w:r>
      <w:r>
        <w:rPr>
          <w:rFonts w:hint="eastAsia" w:ascii="仿宋_GB2312" w:hAnsi="楷体" w:eastAsia="仿宋_GB2312"/>
          <w:sz w:val="28"/>
          <w:szCs w:val="28"/>
        </w:rPr>
        <w:t>。</w:t>
      </w:r>
    </w:p>
    <w:p>
      <w:pPr>
        <w:spacing w:line="360" w:lineRule="auto"/>
        <w:ind w:firstLine="565" w:firstLineChars="202"/>
        <w:rPr>
          <w:rFonts w:ascii="仿宋_GB2312" w:hAnsi="楷体" w:eastAsia="仿宋_GB2312"/>
          <w:b/>
          <w:bCs/>
          <w:sz w:val="28"/>
          <w:szCs w:val="28"/>
        </w:rPr>
      </w:pPr>
      <w:r>
        <w:rPr>
          <w:rFonts w:hint="eastAsia" w:ascii="仿宋_GB2312" w:hAnsi="楷体" w:eastAsia="仿宋_GB2312"/>
          <w:sz w:val="28"/>
          <w:szCs w:val="28"/>
        </w:rPr>
        <w:t>运用收益法求取估价对象住宅用途房地产价值。</w:t>
      </w:r>
    </w:p>
    <w:p>
      <w:pPr>
        <w:spacing w:line="360" w:lineRule="auto"/>
        <w:ind w:firstLine="568" w:firstLineChars="202"/>
        <w:rPr>
          <w:rFonts w:ascii="仿宋_GB2312" w:hAnsi="楷体" w:eastAsia="仿宋_GB2312"/>
          <w:b/>
          <w:sz w:val="28"/>
          <w:szCs w:val="28"/>
        </w:rPr>
      </w:pPr>
      <w:r>
        <w:rPr>
          <w:rFonts w:hint="eastAsia" w:ascii="仿宋_GB2312" w:hAnsi="楷体" w:eastAsia="仿宋_GB2312"/>
          <w:b/>
          <w:sz w:val="28"/>
          <w:szCs w:val="28"/>
        </w:rPr>
        <w:t>1) 第1年客观租金确定</w:t>
      </w:r>
      <w:r>
        <w:rPr>
          <w:rFonts w:ascii="Calibri" w:hAnsi="Calibri" w:eastAsia="仿宋_GB2312"/>
          <w:b/>
          <w:sz w:val="28"/>
          <w:szCs w:val="28"/>
        </w:rPr>
        <w:t>（采用比较法）</w:t>
      </w:r>
    </w:p>
    <w:p>
      <w:pPr>
        <w:spacing w:line="600" w:lineRule="exact"/>
        <w:ind w:firstLine="560" w:firstLineChars="200"/>
        <w:rPr>
          <w:rFonts w:eastAsia="仿宋_GB2312"/>
          <w:sz w:val="28"/>
          <w:szCs w:val="28"/>
        </w:rPr>
      </w:pPr>
      <w:r>
        <w:rPr>
          <w:rFonts w:eastAsia="仿宋_GB2312"/>
          <w:sz w:val="28"/>
          <w:szCs w:val="28"/>
        </w:rPr>
        <w:t>在测算估价对象未来各年潜在客观总收益的基础上，考虑物业使用过程中的正常空置等损失后，实际所能获得的总收益,扣除其在自用过程需花费的维修费用、管理费用、税金等得出估价对象未来各年的净收益（其中收益、费用等均采用本地同类住宅客观数据）。</w:t>
      </w:r>
    </w:p>
    <w:p>
      <w:pPr>
        <w:spacing w:line="600" w:lineRule="exact"/>
        <w:ind w:firstLine="560" w:firstLineChars="200"/>
        <w:rPr>
          <w:rFonts w:eastAsia="仿宋_GB2312"/>
          <w:sz w:val="28"/>
          <w:szCs w:val="28"/>
        </w:rPr>
      </w:pPr>
      <w:r>
        <w:rPr>
          <w:rFonts w:eastAsia="仿宋_GB2312"/>
          <w:sz w:val="28"/>
          <w:szCs w:val="28"/>
        </w:rPr>
        <w:t>年毛租金确定</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经估价人员调查与估价对象的类似物业情况，选取了三个具有普遍性的物业的租金水平作为比较实例：</w:t>
      </w:r>
    </w:p>
    <w:p>
      <w:pPr>
        <w:autoSpaceDE w:val="0"/>
        <w:autoSpaceDN w:val="0"/>
        <w:snapToGrid w:val="0"/>
        <w:spacing w:line="600" w:lineRule="exact"/>
        <w:ind w:firstLine="560" w:firstLineChars="200"/>
        <w:textAlignment w:val="bottom"/>
        <w:rPr>
          <w:rFonts w:hint="eastAsia" w:eastAsia="仿宋_GB2312"/>
          <w:sz w:val="28"/>
          <w:szCs w:val="28"/>
          <w:lang w:eastAsia="zh-CN"/>
        </w:rPr>
      </w:pPr>
      <w:r>
        <w:rPr>
          <w:rFonts w:eastAsia="仿宋_GB2312"/>
          <w:sz w:val="28"/>
          <w:szCs w:val="28"/>
        </w:rPr>
        <w:t>实例A：</w:t>
      </w:r>
      <w:r>
        <w:rPr>
          <w:rFonts w:hint="eastAsia" w:eastAsia="仿宋_GB2312"/>
          <w:sz w:val="28"/>
          <w:szCs w:val="28"/>
          <w:lang w:eastAsia="zh-CN"/>
        </w:rPr>
        <w:t>龙誉小区</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位于</w:t>
      </w:r>
      <w:r>
        <w:rPr>
          <w:rFonts w:hint="eastAsia" w:eastAsia="仿宋_GB2312"/>
          <w:sz w:val="28"/>
          <w:szCs w:val="28"/>
          <w:lang w:eastAsia="zh-CN"/>
        </w:rPr>
        <w:t>乌拉特后旗巴音镇</w:t>
      </w:r>
      <w:r>
        <w:rPr>
          <w:rFonts w:hint="eastAsia" w:eastAsia="仿宋_GB2312"/>
          <w:sz w:val="28"/>
          <w:szCs w:val="28"/>
        </w:rPr>
        <w:t>，</w:t>
      </w:r>
      <w:r>
        <w:rPr>
          <w:rFonts w:hint="eastAsia" w:eastAsia="仿宋_GB2312"/>
          <w:sz w:val="28"/>
          <w:szCs w:val="28"/>
          <w:lang w:eastAsia="zh-CN"/>
        </w:rPr>
        <w:t>东至巴音宝力格路、南至巴音宝力格镇派出所、西至紫金小区、北至中国邮政储蓄银行</w:t>
      </w:r>
      <w:r>
        <w:rPr>
          <w:rFonts w:eastAsia="仿宋_GB2312"/>
          <w:sz w:val="28"/>
          <w:szCs w:val="28"/>
        </w:rPr>
        <w:t>，用途为住宅，总楼层数为</w:t>
      </w:r>
      <w:r>
        <w:rPr>
          <w:rFonts w:hint="eastAsia" w:eastAsia="仿宋_GB2312"/>
          <w:sz w:val="28"/>
          <w:szCs w:val="28"/>
        </w:rPr>
        <w:t>6</w:t>
      </w:r>
      <w:r>
        <w:rPr>
          <w:rFonts w:eastAsia="仿宋_GB2312"/>
          <w:sz w:val="28"/>
          <w:szCs w:val="28"/>
        </w:rPr>
        <w:t>层，所在楼层为</w:t>
      </w:r>
      <w:r>
        <w:rPr>
          <w:rFonts w:hint="eastAsia" w:eastAsia="仿宋_GB2312"/>
          <w:sz w:val="28"/>
          <w:szCs w:val="28"/>
          <w:lang w:val="en-US" w:eastAsia="zh-CN"/>
        </w:rPr>
        <w:t>5</w:t>
      </w:r>
      <w:r>
        <w:rPr>
          <w:rFonts w:hint="eastAsia" w:eastAsia="仿宋_GB2312"/>
          <w:sz w:val="28"/>
          <w:szCs w:val="28"/>
        </w:rPr>
        <w:t>层</w:t>
      </w:r>
      <w:r>
        <w:rPr>
          <w:rFonts w:eastAsia="仿宋_GB2312"/>
          <w:sz w:val="28"/>
          <w:szCs w:val="28"/>
        </w:rPr>
        <w:t>，建筑面积为</w:t>
      </w:r>
      <w:r>
        <w:rPr>
          <w:rFonts w:hint="eastAsia" w:eastAsia="仿宋_GB2312"/>
          <w:sz w:val="28"/>
          <w:szCs w:val="28"/>
          <w:lang w:val="en-US" w:eastAsia="zh-CN"/>
        </w:rPr>
        <w:t>90</w:t>
      </w:r>
      <w:r>
        <w:rPr>
          <w:rFonts w:eastAsia="仿宋_GB2312"/>
          <w:sz w:val="28"/>
          <w:szCs w:val="28"/>
        </w:rPr>
        <w:t>平方米，租金为</w:t>
      </w:r>
      <w:r>
        <w:rPr>
          <w:rFonts w:hint="eastAsia" w:eastAsia="仿宋_GB2312"/>
          <w:sz w:val="28"/>
          <w:szCs w:val="28"/>
          <w:lang w:val="en-US" w:eastAsia="zh-CN"/>
        </w:rPr>
        <w:t>9600</w:t>
      </w:r>
      <w:r>
        <w:rPr>
          <w:rFonts w:eastAsia="仿宋_GB2312"/>
          <w:sz w:val="28"/>
          <w:szCs w:val="28"/>
        </w:rPr>
        <w:t>元/年，</w:t>
      </w:r>
      <w:r>
        <w:rPr>
          <w:rFonts w:hint="eastAsia" w:eastAsia="仿宋_GB2312"/>
          <w:sz w:val="28"/>
          <w:szCs w:val="28"/>
        </w:rPr>
        <w:t>混合结构</w:t>
      </w:r>
      <w:r>
        <w:rPr>
          <w:rFonts w:eastAsia="仿宋_GB2312"/>
          <w:sz w:val="28"/>
          <w:szCs w:val="28"/>
        </w:rPr>
        <w:t>，交通</w:t>
      </w:r>
      <w:r>
        <w:rPr>
          <w:rFonts w:hint="eastAsia" w:eastAsia="仿宋_GB2312"/>
          <w:sz w:val="28"/>
          <w:szCs w:val="28"/>
          <w:lang w:eastAsia="zh-CN"/>
        </w:rPr>
        <w:t>不</w:t>
      </w:r>
      <w:r>
        <w:rPr>
          <w:rFonts w:hint="eastAsia" w:eastAsia="仿宋_GB2312"/>
          <w:sz w:val="28"/>
          <w:szCs w:val="28"/>
        </w:rPr>
        <w:t>便</w:t>
      </w:r>
      <w:r>
        <w:rPr>
          <w:rFonts w:eastAsia="仿宋_GB2312"/>
          <w:sz w:val="28"/>
          <w:szCs w:val="28"/>
        </w:rPr>
        <w:t>捷，</w:t>
      </w:r>
      <w:r>
        <w:rPr>
          <w:rFonts w:hint="eastAsia" w:eastAsia="仿宋_GB2312"/>
          <w:sz w:val="28"/>
          <w:szCs w:val="28"/>
          <w:lang w:eastAsia="zh-CN"/>
        </w:rPr>
        <w:t>精装</w:t>
      </w:r>
      <w:r>
        <w:rPr>
          <w:rFonts w:hint="eastAsia" w:eastAsia="仿宋_GB2312"/>
          <w:sz w:val="28"/>
          <w:szCs w:val="28"/>
        </w:rPr>
        <w:t>修</w:t>
      </w:r>
      <w:r>
        <w:rPr>
          <w:rFonts w:eastAsia="仿宋_GB2312"/>
          <w:sz w:val="28"/>
          <w:szCs w:val="28"/>
        </w:rPr>
        <w:t>，年毛租金为</w:t>
      </w:r>
      <w:r>
        <w:rPr>
          <w:rFonts w:hint="eastAsia" w:eastAsia="仿宋_GB2312"/>
          <w:sz w:val="28"/>
          <w:szCs w:val="28"/>
          <w:lang w:val="en-US" w:eastAsia="zh-CN"/>
        </w:rPr>
        <w:t>107</w:t>
      </w:r>
      <w:r>
        <w:rPr>
          <w:rFonts w:hint="eastAsia" w:eastAsia="仿宋_GB2312"/>
          <w:sz w:val="28"/>
          <w:szCs w:val="28"/>
        </w:rPr>
        <w:t>元</w:t>
      </w:r>
      <w:r>
        <w:rPr>
          <w:rFonts w:eastAsia="仿宋_GB2312"/>
          <w:sz w:val="28"/>
          <w:szCs w:val="28"/>
        </w:rPr>
        <w:t>/平方米·年</w:t>
      </w:r>
      <w:r>
        <w:rPr>
          <w:rFonts w:hint="eastAsia" w:eastAsia="仿宋_GB2312"/>
          <w:sz w:val="28"/>
          <w:szCs w:val="28"/>
        </w:rPr>
        <w:t>。</w:t>
      </w:r>
    </w:p>
    <w:p>
      <w:pPr>
        <w:autoSpaceDE w:val="0"/>
        <w:autoSpaceDN w:val="0"/>
        <w:snapToGrid w:val="0"/>
        <w:spacing w:line="600" w:lineRule="exact"/>
        <w:ind w:firstLine="560" w:firstLineChars="200"/>
        <w:textAlignment w:val="bottom"/>
        <w:rPr>
          <w:rFonts w:hint="eastAsia" w:eastAsia="仿宋_GB2312"/>
          <w:sz w:val="28"/>
          <w:szCs w:val="28"/>
          <w:lang w:eastAsia="zh-CN"/>
        </w:rPr>
      </w:pPr>
      <w:r>
        <w:rPr>
          <w:rFonts w:eastAsia="仿宋_GB2312"/>
          <w:sz w:val="28"/>
          <w:szCs w:val="28"/>
        </w:rPr>
        <w:t>实例</w:t>
      </w:r>
      <w:r>
        <w:rPr>
          <w:rFonts w:hint="eastAsia" w:eastAsia="仿宋_GB2312"/>
          <w:sz w:val="28"/>
          <w:szCs w:val="28"/>
        </w:rPr>
        <w:t>B</w:t>
      </w:r>
      <w:r>
        <w:rPr>
          <w:rFonts w:eastAsia="仿宋_GB2312"/>
          <w:sz w:val="28"/>
          <w:szCs w:val="28"/>
        </w:rPr>
        <w:t>：</w:t>
      </w:r>
      <w:r>
        <w:rPr>
          <w:rFonts w:hint="eastAsia" w:eastAsia="仿宋_GB2312"/>
          <w:sz w:val="28"/>
          <w:szCs w:val="28"/>
          <w:lang w:eastAsia="zh-CN"/>
        </w:rPr>
        <w:t>百亿佳苑</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位于</w:t>
      </w:r>
      <w:r>
        <w:rPr>
          <w:rFonts w:hint="eastAsia" w:eastAsia="仿宋_GB2312"/>
          <w:sz w:val="28"/>
          <w:szCs w:val="28"/>
          <w:lang w:eastAsia="zh-CN"/>
        </w:rPr>
        <w:t>乌拉特后旗巴音镇九居委五小区</w:t>
      </w:r>
      <w:r>
        <w:rPr>
          <w:rFonts w:hint="eastAsia" w:eastAsia="仿宋_GB2312"/>
          <w:sz w:val="28"/>
          <w:szCs w:val="28"/>
        </w:rPr>
        <w:t>，</w:t>
      </w:r>
      <w:r>
        <w:rPr>
          <w:rFonts w:hint="eastAsia" w:ascii="仿宋_GB2312" w:hAnsi="仿宋" w:eastAsia="仿宋_GB2312"/>
          <w:sz w:val="28"/>
          <w:szCs w:val="28"/>
        </w:rPr>
        <w:t>东至东环路、南至东升街、西至裕民小区、北至那仁宝力格街</w:t>
      </w:r>
      <w:r>
        <w:rPr>
          <w:rFonts w:eastAsia="仿宋_GB2312"/>
          <w:sz w:val="28"/>
          <w:szCs w:val="28"/>
        </w:rPr>
        <w:t>，用途为住宅，总楼层数为</w:t>
      </w:r>
      <w:r>
        <w:rPr>
          <w:rFonts w:hint="eastAsia" w:eastAsia="仿宋_GB2312"/>
          <w:sz w:val="28"/>
          <w:szCs w:val="28"/>
        </w:rPr>
        <w:t>6</w:t>
      </w:r>
      <w:r>
        <w:rPr>
          <w:rFonts w:eastAsia="仿宋_GB2312"/>
          <w:sz w:val="28"/>
          <w:szCs w:val="28"/>
        </w:rPr>
        <w:t>层，所在楼层为</w:t>
      </w:r>
      <w:r>
        <w:rPr>
          <w:rFonts w:hint="eastAsia" w:eastAsia="仿宋_GB2312"/>
          <w:sz w:val="28"/>
          <w:szCs w:val="28"/>
          <w:lang w:val="en-US" w:eastAsia="zh-CN"/>
        </w:rPr>
        <w:t>2</w:t>
      </w:r>
      <w:r>
        <w:rPr>
          <w:rFonts w:hint="eastAsia" w:eastAsia="仿宋_GB2312"/>
          <w:sz w:val="28"/>
          <w:szCs w:val="28"/>
        </w:rPr>
        <w:t>层</w:t>
      </w:r>
      <w:r>
        <w:rPr>
          <w:rFonts w:eastAsia="仿宋_GB2312"/>
          <w:sz w:val="28"/>
          <w:szCs w:val="28"/>
        </w:rPr>
        <w:t>，建筑面积为</w:t>
      </w:r>
      <w:r>
        <w:rPr>
          <w:rFonts w:hint="eastAsia" w:eastAsia="仿宋_GB2312"/>
          <w:sz w:val="28"/>
          <w:szCs w:val="28"/>
          <w:lang w:val="en-US" w:eastAsia="zh-CN"/>
        </w:rPr>
        <w:t>90</w:t>
      </w:r>
      <w:r>
        <w:rPr>
          <w:rFonts w:eastAsia="仿宋_GB2312"/>
          <w:sz w:val="28"/>
          <w:szCs w:val="28"/>
        </w:rPr>
        <w:t>平方米，租金为</w:t>
      </w:r>
      <w:r>
        <w:rPr>
          <w:rFonts w:hint="eastAsia" w:eastAsia="仿宋_GB2312"/>
          <w:sz w:val="28"/>
          <w:szCs w:val="28"/>
          <w:lang w:val="en-US" w:eastAsia="zh-CN"/>
        </w:rPr>
        <w:t>8100</w:t>
      </w:r>
      <w:r>
        <w:rPr>
          <w:rFonts w:eastAsia="仿宋_GB2312"/>
          <w:sz w:val="28"/>
          <w:szCs w:val="28"/>
        </w:rPr>
        <w:t>元/年，</w:t>
      </w:r>
      <w:r>
        <w:rPr>
          <w:rFonts w:hint="eastAsia" w:eastAsia="仿宋_GB2312"/>
          <w:sz w:val="28"/>
          <w:szCs w:val="28"/>
        </w:rPr>
        <w:t>混合结构</w:t>
      </w:r>
      <w:r>
        <w:rPr>
          <w:rFonts w:eastAsia="仿宋_GB2312"/>
          <w:sz w:val="28"/>
          <w:szCs w:val="28"/>
        </w:rPr>
        <w:t>，交通</w:t>
      </w:r>
      <w:r>
        <w:rPr>
          <w:rFonts w:hint="eastAsia" w:eastAsia="仿宋_GB2312"/>
          <w:sz w:val="28"/>
          <w:szCs w:val="28"/>
          <w:lang w:eastAsia="zh-CN"/>
        </w:rPr>
        <w:t>不</w:t>
      </w:r>
      <w:r>
        <w:rPr>
          <w:rFonts w:hint="eastAsia" w:eastAsia="仿宋_GB2312"/>
          <w:sz w:val="28"/>
          <w:szCs w:val="28"/>
        </w:rPr>
        <w:t>便</w:t>
      </w:r>
      <w:r>
        <w:rPr>
          <w:rFonts w:eastAsia="仿宋_GB2312"/>
          <w:sz w:val="28"/>
          <w:szCs w:val="28"/>
        </w:rPr>
        <w:t>捷，</w:t>
      </w:r>
      <w:r>
        <w:rPr>
          <w:rFonts w:hint="eastAsia" w:eastAsia="仿宋_GB2312"/>
          <w:sz w:val="28"/>
          <w:szCs w:val="28"/>
          <w:lang w:eastAsia="zh-CN"/>
        </w:rPr>
        <w:t>简单</w:t>
      </w:r>
      <w:r>
        <w:rPr>
          <w:rFonts w:hint="eastAsia" w:eastAsia="仿宋_GB2312"/>
          <w:sz w:val="28"/>
          <w:szCs w:val="28"/>
        </w:rPr>
        <w:t>装修</w:t>
      </w:r>
      <w:r>
        <w:rPr>
          <w:rFonts w:eastAsia="仿宋_GB2312"/>
          <w:sz w:val="28"/>
          <w:szCs w:val="28"/>
        </w:rPr>
        <w:t>，年毛租金为</w:t>
      </w:r>
      <w:r>
        <w:rPr>
          <w:rFonts w:hint="eastAsia" w:eastAsia="仿宋_GB2312"/>
          <w:sz w:val="28"/>
          <w:szCs w:val="28"/>
          <w:lang w:val="en-US" w:eastAsia="zh-CN"/>
        </w:rPr>
        <w:t>90</w:t>
      </w:r>
      <w:r>
        <w:rPr>
          <w:rFonts w:hint="eastAsia" w:eastAsia="仿宋_GB2312"/>
          <w:sz w:val="28"/>
          <w:szCs w:val="28"/>
        </w:rPr>
        <w:t>元</w:t>
      </w:r>
      <w:r>
        <w:rPr>
          <w:rFonts w:eastAsia="仿宋_GB2312"/>
          <w:sz w:val="28"/>
          <w:szCs w:val="28"/>
        </w:rPr>
        <w:t>/平方米·年</w:t>
      </w:r>
      <w:r>
        <w:rPr>
          <w:rFonts w:hint="eastAsia" w:eastAsia="仿宋_GB2312"/>
          <w:sz w:val="28"/>
          <w:szCs w:val="28"/>
        </w:rPr>
        <w:t>。</w:t>
      </w:r>
    </w:p>
    <w:p>
      <w:pPr>
        <w:autoSpaceDE w:val="0"/>
        <w:autoSpaceDN w:val="0"/>
        <w:snapToGrid w:val="0"/>
        <w:spacing w:line="600" w:lineRule="exact"/>
        <w:ind w:firstLine="560" w:firstLineChars="200"/>
        <w:textAlignment w:val="bottom"/>
        <w:rPr>
          <w:rFonts w:hint="eastAsia" w:eastAsia="仿宋_GB2312"/>
          <w:sz w:val="28"/>
          <w:szCs w:val="28"/>
          <w:lang w:eastAsia="zh-CN"/>
        </w:rPr>
      </w:pPr>
      <w:r>
        <w:rPr>
          <w:rFonts w:eastAsia="仿宋_GB2312"/>
          <w:sz w:val="28"/>
          <w:szCs w:val="28"/>
        </w:rPr>
        <w:t>实例</w:t>
      </w:r>
      <w:r>
        <w:rPr>
          <w:rFonts w:hint="eastAsia" w:eastAsia="仿宋_GB2312"/>
          <w:sz w:val="28"/>
          <w:szCs w:val="28"/>
        </w:rPr>
        <w:t>C</w:t>
      </w:r>
      <w:r>
        <w:rPr>
          <w:rFonts w:eastAsia="仿宋_GB2312"/>
          <w:sz w:val="28"/>
          <w:szCs w:val="28"/>
        </w:rPr>
        <w:t>：</w:t>
      </w:r>
      <w:r>
        <w:rPr>
          <w:rFonts w:hint="eastAsia" w:eastAsia="仿宋_GB2312"/>
          <w:sz w:val="28"/>
          <w:szCs w:val="28"/>
          <w:lang w:eastAsia="zh-CN"/>
        </w:rPr>
        <w:t>百亿佳苑</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位于</w:t>
      </w:r>
      <w:r>
        <w:rPr>
          <w:rFonts w:hint="eastAsia" w:eastAsia="仿宋_GB2312"/>
          <w:sz w:val="28"/>
          <w:szCs w:val="28"/>
          <w:lang w:eastAsia="zh-CN"/>
        </w:rPr>
        <w:t>乌拉特后旗巴音镇九居委五小区</w:t>
      </w:r>
      <w:r>
        <w:rPr>
          <w:rFonts w:hint="eastAsia" w:eastAsia="仿宋_GB2312"/>
          <w:sz w:val="28"/>
          <w:szCs w:val="28"/>
        </w:rPr>
        <w:t>，</w:t>
      </w:r>
      <w:r>
        <w:rPr>
          <w:rFonts w:hint="eastAsia" w:ascii="仿宋_GB2312" w:hAnsi="仿宋" w:eastAsia="仿宋_GB2312"/>
          <w:sz w:val="28"/>
          <w:szCs w:val="28"/>
        </w:rPr>
        <w:t>东至东环路、南至东升街、西至裕民小区、北至那仁宝力格街</w:t>
      </w:r>
      <w:r>
        <w:rPr>
          <w:rFonts w:eastAsia="仿宋_GB2312"/>
          <w:sz w:val="28"/>
          <w:szCs w:val="28"/>
        </w:rPr>
        <w:t>，用途为住宅，总楼层数为</w:t>
      </w:r>
      <w:r>
        <w:rPr>
          <w:rFonts w:hint="eastAsia" w:eastAsia="仿宋_GB2312"/>
          <w:sz w:val="28"/>
          <w:szCs w:val="28"/>
        </w:rPr>
        <w:t>6</w:t>
      </w:r>
      <w:r>
        <w:rPr>
          <w:rFonts w:eastAsia="仿宋_GB2312"/>
          <w:sz w:val="28"/>
          <w:szCs w:val="28"/>
        </w:rPr>
        <w:t>层，所在楼层为</w:t>
      </w:r>
      <w:r>
        <w:rPr>
          <w:rFonts w:hint="eastAsia" w:eastAsia="仿宋_GB2312"/>
          <w:sz w:val="28"/>
          <w:szCs w:val="28"/>
          <w:lang w:val="en-US" w:eastAsia="zh-CN"/>
        </w:rPr>
        <w:t>3</w:t>
      </w:r>
      <w:r>
        <w:rPr>
          <w:rFonts w:hint="eastAsia" w:eastAsia="仿宋_GB2312"/>
          <w:sz w:val="28"/>
          <w:szCs w:val="28"/>
        </w:rPr>
        <w:t>层</w:t>
      </w:r>
      <w:r>
        <w:rPr>
          <w:rFonts w:eastAsia="仿宋_GB2312"/>
          <w:sz w:val="28"/>
          <w:szCs w:val="28"/>
        </w:rPr>
        <w:t>，建筑面积为</w:t>
      </w:r>
      <w:r>
        <w:rPr>
          <w:rFonts w:hint="eastAsia" w:eastAsia="仿宋_GB2312"/>
          <w:sz w:val="28"/>
          <w:szCs w:val="28"/>
          <w:lang w:val="en-US" w:eastAsia="zh-CN"/>
        </w:rPr>
        <w:t>96</w:t>
      </w:r>
      <w:r>
        <w:rPr>
          <w:rFonts w:eastAsia="仿宋_GB2312"/>
          <w:sz w:val="28"/>
          <w:szCs w:val="28"/>
        </w:rPr>
        <w:t>平方米，租金为</w:t>
      </w:r>
      <w:r>
        <w:rPr>
          <w:rFonts w:hint="eastAsia" w:eastAsia="仿宋_GB2312"/>
          <w:sz w:val="28"/>
          <w:szCs w:val="28"/>
          <w:lang w:val="en-US" w:eastAsia="zh-CN"/>
        </w:rPr>
        <w:t>9120</w:t>
      </w:r>
      <w:r>
        <w:rPr>
          <w:rFonts w:eastAsia="仿宋_GB2312"/>
          <w:sz w:val="28"/>
          <w:szCs w:val="28"/>
        </w:rPr>
        <w:t>元/年，</w:t>
      </w:r>
      <w:r>
        <w:rPr>
          <w:rFonts w:hint="eastAsia" w:eastAsia="仿宋_GB2312"/>
          <w:sz w:val="28"/>
          <w:szCs w:val="28"/>
        </w:rPr>
        <w:t>混合结构</w:t>
      </w:r>
      <w:r>
        <w:rPr>
          <w:rFonts w:eastAsia="仿宋_GB2312"/>
          <w:sz w:val="28"/>
          <w:szCs w:val="28"/>
        </w:rPr>
        <w:t>，交通</w:t>
      </w:r>
      <w:r>
        <w:rPr>
          <w:rFonts w:hint="eastAsia" w:eastAsia="仿宋_GB2312"/>
          <w:sz w:val="28"/>
          <w:szCs w:val="28"/>
        </w:rPr>
        <w:t>较便</w:t>
      </w:r>
      <w:r>
        <w:rPr>
          <w:rFonts w:eastAsia="仿宋_GB2312"/>
          <w:sz w:val="28"/>
          <w:szCs w:val="28"/>
        </w:rPr>
        <w:t>捷，</w:t>
      </w:r>
      <w:r>
        <w:rPr>
          <w:rFonts w:hint="eastAsia" w:eastAsia="仿宋_GB2312"/>
          <w:sz w:val="28"/>
          <w:szCs w:val="28"/>
        </w:rPr>
        <w:t>简单装修</w:t>
      </w:r>
      <w:r>
        <w:rPr>
          <w:rFonts w:eastAsia="仿宋_GB2312"/>
          <w:sz w:val="28"/>
          <w:szCs w:val="28"/>
        </w:rPr>
        <w:t>，年毛租金为</w:t>
      </w:r>
      <w:r>
        <w:rPr>
          <w:rFonts w:hint="eastAsia" w:eastAsia="仿宋_GB2312"/>
          <w:sz w:val="28"/>
          <w:szCs w:val="28"/>
          <w:lang w:val="en-US" w:eastAsia="zh-CN"/>
        </w:rPr>
        <w:t>95</w:t>
      </w:r>
      <w:r>
        <w:rPr>
          <w:rFonts w:hint="eastAsia" w:eastAsia="仿宋_GB2312"/>
          <w:sz w:val="28"/>
          <w:szCs w:val="28"/>
        </w:rPr>
        <w:t>元</w:t>
      </w:r>
      <w:r>
        <w:rPr>
          <w:rFonts w:eastAsia="仿宋_GB2312"/>
          <w:sz w:val="28"/>
          <w:szCs w:val="28"/>
        </w:rPr>
        <w:t>/平方米·年</w:t>
      </w:r>
      <w:r>
        <w:rPr>
          <w:rFonts w:hint="eastAsia" w:eastAsia="仿宋_GB2312"/>
          <w:sz w:val="28"/>
          <w:szCs w:val="28"/>
        </w:rPr>
        <w:t>。</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结合影响房屋租金的主要因素，以估价对象因素为100，进行租金修正，估价对象与实例比较因素情况详见表7。</w:t>
      </w:r>
    </w:p>
    <w:p>
      <w:pPr>
        <w:widowControl/>
        <w:adjustRightInd w:val="0"/>
        <w:snapToGrid w:val="0"/>
        <w:spacing w:line="600" w:lineRule="exact"/>
        <w:ind w:left="2" w:firstLine="2"/>
        <w:jc w:val="center"/>
        <w:textAlignment w:val="bottom"/>
        <w:rPr>
          <w:rFonts w:eastAsia="仿宋_GB2312"/>
          <w:b/>
          <w:sz w:val="24"/>
          <w:szCs w:val="24"/>
        </w:rPr>
      </w:pPr>
      <w:r>
        <w:rPr>
          <w:rFonts w:eastAsia="仿宋_GB2312"/>
          <w:b/>
          <w:sz w:val="24"/>
          <w:szCs w:val="24"/>
        </w:rPr>
        <w:t>表7   因素条件说明表</w:t>
      </w:r>
    </w:p>
    <w:tbl>
      <w:tblPr>
        <w:tblStyle w:val="47"/>
        <w:tblW w:w="90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2053"/>
        <w:gridCol w:w="1721"/>
        <w:gridCol w:w="1797"/>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uble" w:color="auto" w:sz="4" w:space="0"/>
              <w:left w:val="dotted" w:color="auto" w:sz="4" w:space="0"/>
              <w:bottom w:val="dotted" w:color="auto" w:sz="4" w:space="0"/>
              <w:right w:val="dotted" w:color="auto" w:sz="4" w:space="0"/>
              <w:tl2br w:val="single"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估价对象及</w:t>
            </w:r>
          </w:p>
          <w:p>
            <w:pPr>
              <w:snapToGrid w:val="0"/>
              <w:spacing w:line="300" w:lineRule="atLeast"/>
              <w:ind w:left="-630" w:leftChars="-300"/>
              <w:jc w:val="center"/>
              <w:rPr>
                <w:rFonts w:ascii="仿宋_GB2312" w:eastAsia="仿宋_GB2312"/>
                <w:b/>
                <w:sz w:val="18"/>
                <w:szCs w:val="18"/>
              </w:rPr>
            </w:pPr>
            <w:r>
              <w:rPr>
                <w:rFonts w:hint="eastAsia" w:ascii="仿宋_GB2312" w:eastAsia="仿宋_GB2312"/>
                <w:b/>
                <w:sz w:val="18"/>
                <w:szCs w:val="18"/>
              </w:rPr>
              <w:t>比较实例</w:t>
            </w:r>
          </w:p>
          <w:p>
            <w:pPr>
              <w:snapToGrid w:val="0"/>
              <w:spacing w:line="300" w:lineRule="atLeast"/>
              <w:ind w:firstLine="181" w:firstLineChars="100"/>
              <w:jc w:val="center"/>
              <w:rPr>
                <w:rFonts w:ascii="仿宋_GB2312" w:eastAsia="仿宋_GB2312"/>
                <w:b/>
                <w:sz w:val="18"/>
                <w:szCs w:val="18"/>
              </w:rPr>
            </w:pPr>
            <w:r>
              <w:rPr>
                <w:rFonts w:hint="eastAsia" w:ascii="仿宋_GB2312" w:eastAsia="仿宋_GB2312"/>
                <w:b/>
                <w:sz w:val="18"/>
                <w:szCs w:val="18"/>
              </w:rPr>
              <w:t>比较因素</w:t>
            </w:r>
          </w:p>
        </w:tc>
        <w:tc>
          <w:tcPr>
            <w:tcW w:w="2053"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估价对象</w:t>
            </w:r>
          </w:p>
        </w:tc>
        <w:tc>
          <w:tcPr>
            <w:tcW w:w="1721"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实例A</w:t>
            </w:r>
          </w:p>
        </w:tc>
        <w:tc>
          <w:tcPr>
            <w:tcW w:w="1797"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实例B</w:t>
            </w:r>
          </w:p>
        </w:tc>
        <w:tc>
          <w:tcPr>
            <w:tcW w:w="1793"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名称</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待估对象</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rPr>
                <w:rFonts w:hint="eastAsia" w:ascii="仿宋_GB2312" w:eastAsia="仿宋_GB2312"/>
                <w:bCs/>
                <w:sz w:val="18"/>
                <w:szCs w:val="18"/>
                <w:lang w:eastAsia="zh-CN"/>
              </w:rPr>
            </w:pPr>
            <w:r>
              <w:rPr>
                <w:rFonts w:hint="eastAsia" w:ascii="仿宋_GB2312" w:eastAsia="仿宋_GB2312"/>
                <w:bCs/>
                <w:sz w:val="18"/>
                <w:szCs w:val="18"/>
                <w:lang w:eastAsia="zh-CN"/>
              </w:rPr>
              <w:t>龙誉小区</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rPr>
                <w:rFonts w:hint="eastAsia" w:ascii="仿宋_GB2312" w:eastAsia="仿宋_GB2312"/>
                <w:bCs/>
                <w:sz w:val="18"/>
                <w:szCs w:val="18"/>
                <w:lang w:eastAsia="zh-CN"/>
              </w:rPr>
            </w:pPr>
            <w:r>
              <w:rPr>
                <w:rFonts w:hint="eastAsia" w:ascii="仿宋_GB2312" w:eastAsia="仿宋_GB2312"/>
                <w:bCs/>
                <w:sz w:val="18"/>
                <w:szCs w:val="18"/>
                <w:lang w:eastAsia="zh-CN"/>
              </w:rPr>
              <w:t>百亿佳苑</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rPr>
                <w:rFonts w:hint="eastAsia" w:ascii="仿宋_GB2312" w:eastAsia="仿宋_GB2312"/>
                <w:bCs/>
                <w:sz w:val="18"/>
                <w:szCs w:val="18"/>
                <w:lang w:eastAsia="zh-CN"/>
              </w:rPr>
            </w:pPr>
            <w:r>
              <w:rPr>
                <w:rFonts w:hint="eastAsia" w:ascii="仿宋_GB2312" w:eastAsia="仿宋_GB2312"/>
                <w:bCs/>
                <w:sz w:val="18"/>
                <w:szCs w:val="18"/>
                <w:lang w:eastAsia="zh-CN"/>
              </w:rPr>
              <w:t>百亿佳苑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用途</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住宅</w:t>
            </w:r>
          </w:p>
        </w:tc>
        <w:tc>
          <w:tcPr>
            <w:tcW w:w="1721"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住宅</w:t>
            </w:r>
          </w:p>
        </w:tc>
        <w:tc>
          <w:tcPr>
            <w:tcW w:w="1797"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住宅</w:t>
            </w:r>
          </w:p>
        </w:tc>
        <w:tc>
          <w:tcPr>
            <w:tcW w:w="179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年毛租金（元/</w:t>
            </w:r>
            <w:r>
              <w:rPr>
                <w:rFonts w:hint="eastAsia" w:ascii="仿宋_GB2312"/>
                <w:sz w:val="18"/>
                <w:szCs w:val="18"/>
              </w:rPr>
              <w:t>㎡</w:t>
            </w:r>
            <w:r>
              <w:rPr>
                <w:rFonts w:hint="eastAsia" w:ascii="仿宋_GB2312" w:eastAsia="仿宋_GB2312"/>
                <w:sz w:val="18"/>
                <w:szCs w:val="18"/>
              </w:rPr>
              <w:t>）</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待估</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107</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630" w:firstLineChars="350"/>
              <w:rPr>
                <w:rFonts w:hint="eastAsia" w:ascii="仿宋_GB2312" w:eastAsia="仿宋_GB2312"/>
                <w:sz w:val="18"/>
                <w:szCs w:val="18"/>
                <w:lang w:val="en-US" w:eastAsia="zh-CN"/>
              </w:rPr>
            </w:pPr>
            <w:r>
              <w:rPr>
                <w:rFonts w:hint="eastAsia" w:ascii="仿宋_GB2312" w:eastAsia="仿宋_GB2312"/>
                <w:sz w:val="18"/>
                <w:szCs w:val="18"/>
                <w:lang w:val="en-US" w:eastAsia="zh-CN"/>
              </w:rPr>
              <w:t>90</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所临道路类型</w:t>
            </w:r>
          </w:p>
        </w:tc>
        <w:tc>
          <w:tcPr>
            <w:tcW w:w="2053" w:type="dxa"/>
            <w:tcBorders>
              <w:top w:val="dotted" w:color="auto" w:sz="4" w:space="0"/>
              <w:left w:val="dotted" w:color="auto" w:sz="4" w:space="0"/>
              <w:bottom w:val="dotted" w:color="auto" w:sz="4" w:space="0"/>
              <w:right w:val="dotted" w:color="auto" w:sz="4" w:space="0"/>
            </w:tcBorders>
            <w:vAlign w:val="center"/>
          </w:tcPr>
          <w:p>
            <w:pPr>
              <w:widowControl/>
              <w:jc w:val="center"/>
              <w:rPr>
                <w:rFonts w:ascii="仿宋_GB2312" w:hAnsi="Calibri" w:eastAsia="仿宋_GB2312"/>
                <w:kern w:val="0"/>
                <w:sz w:val="18"/>
                <w:szCs w:val="18"/>
              </w:rPr>
            </w:pPr>
            <w:r>
              <w:rPr>
                <w:rFonts w:hint="eastAsia" w:ascii="仿宋_GB2312" w:hAnsi="Calibri" w:eastAsia="仿宋_GB2312"/>
                <w:kern w:val="0"/>
                <w:sz w:val="18"/>
                <w:szCs w:val="18"/>
              </w:rPr>
              <w:t>次干道</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hAnsi="Calibri" w:eastAsia="仿宋_GB2312"/>
                <w:kern w:val="0"/>
                <w:sz w:val="18"/>
                <w:szCs w:val="18"/>
                <w:lang w:eastAsia="zh-CN"/>
              </w:rPr>
              <w:t>主</w:t>
            </w:r>
            <w:r>
              <w:rPr>
                <w:rFonts w:hint="eastAsia" w:ascii="仿宋_GB2312" w:hAnsi="Calibri" w:eastAsia="仿宋_GB2312"/>
                <w:kern w:val="0"/>
                <w:sz w:val="18"/>
                <w:szCs w:val="18"/>
              </w:rPr>
              <w:t>干道</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hAnsi="Calibri" w:eastAsia="仿宋_GB2312"/>
                <w:kern w:val="0"/>
                <w:sz w:val="18"/>
                <w:szCs w:val="18"/>
              </w:rPr>
              <w:t>次干道</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hAnsi="Calibri" w:eastAsia="仿宋_GB2312"/>
                <w:kern w:val="0"/>
                <w:sz w:val="18"/>
                <w:szCs w:val="18"/>
              </w:rPr>
              <w:t>次干道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距主干道距离</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lang w:val="en-US" w:eastAsia="zh-CN"/>
              </w:rPr>
              <w:t>2</w:t>
            </w:r>
            <w:r>
              <w:rPr>
                <w:rFonts w:hint="eastAsia" w:ascii="仿宋_GB2312" w:eastAsia="仿宋_GB2312"/>
                <w:sz w:val="18"/>
                <w:szCs w:val="18"/>
              </w:rPr>
              <w:t>00米以上</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rPr>
                <w:rFonts w:hint="eastAsia" w:eastAsia="宋体"/>
                <w:lang w:eastAsia="zh-CN"/>
              </w:rPr>
            </w:pPr>
            <w:r>
              <w:rPr>
                <w:rFonts w:hint="eastAsia" w:ascii="仿宋_GB2312" w:eastAsia="仿宋_GB2312"/>
                <w:sz w:val="18"/>
                <w:szCs w:val="18"/>
                <w:lang w:eastAsia="zh-CN"/>
              </w:rPr>
              <w:t>临路</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lang w:val="en-US" w:eastAsia="zh-CN"/>
              </w:rPr>
              <w:t>2</w:t>
            </w:r>
            <w:r>
              <w:rPr>
                <w:rFonts w:hint="eastAsia" w:ascii="仿宋_GB2312" w:eastAsia="仿宋_GB2312"/>
                <w:sz w:val="18"/>
                <w:szCs w:val="18"/>
              </w:rPr>
              <w:t>00米以上</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lang w:val="en-US" w:eastAsia="zh-CN"/>
              </w:rPr>
              <w:t>2</w:t>
            </w:r>
            <w:r>
              <w:rPr>
                <w:rFonts w:hint="eastAsia" w:ascii="仿宋_GB2312" w:eastAsia="仿宋_GB2312"/>
                <w:sz w:val="18"/>
                <w:szCs w:val="18"/>
              </w:rPr>
              <w:t>00米以上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临路状况</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hint="eastAsia" w:ascii="仿宋_GB2312" w:eastAsia="仿宋_GB2312"/>
                <w:sz w:val="18"/>
                <w:szCs w:val="18"/>
                <w:lang w:eastAsia="zh-CN"/>
              </w:rPr>
            </w:pPr>
            <w:r>
              <w:rPr>
                <w:rFonts w:hint="eastAsia" w:ascii="仿宋_GB2312" w:eastAsia="仿宋_GB2312"/>
                <w:kern w:val="0"/>
                <w:sz w:val="18"/>
                <w:szCs w:val="18"/>
                <w:lang w:eastAsia="zh-CN"/>
              </w:rPr>
              <w:t>三面临街</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rPr>
                <w:rFonts w:hint="eastAsia" w:ascii="仿宋_GB2312" w:eastAsia="仿宋_GB2312"/>
                <w:sz w:val="18"/>
                <w:szCs w:val="18"/>
                <w:lang w:eastAsia="zh-CN"/>
              </w:rPr>
            </w:pPr>
            <w:r>
              <w:rPr>
                <w:rFonts w:hint="eastAsia" w:ascii="仿宋_GB2312" w:eastAsia="仿宋_GB2312"/>
                <w:kern w:val="0"/>
                <w:sz w:val="18"/>
                <w:szCs w:val="18"/>
                <w:lang w:eastAsia="zh-CN"/>
              </w:rPr>
              <w:t>一面临街</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rPr>
                <w:rFonts w:hint="eastAsia" w:ascii="仿宋_GB2312" w:eastAsia="仿宋_GB2312"/>
                <w:sz w:val="18"/>
                <w:szCs w:val="18"/>
                <w:lang w:eastAsia="zh-CN"/>
              </w:rPr>
            </w:pPr>
            <w:r>
              <w:rPr>
                <w:rFonts w:hint="eastAsia" w:ascii="仿宋_GB2312" w:eastAsia="仿宋_GB2312"/>
                <w:kern w:val="0"/>
                <w:sz w:val="18"/>
                <w:szCs w:val="18"/>
                <w:lang w:eastAsia="zh-CN"/>
              </w:rPr>
              <w:t>三面临街</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rPr>
                <w:rFonts w:hint="eastAsia" w:ascii="仿宋_GB2312" w:eastAsia="仿宋_GB2312"/>
                <w:sz w:val="18"/>
                <w:szCs w:val="18"/>
                <w:lang w:eastAsia="zh-CN"/>
              </w:rPr>
            </w:pPr>
            <w:r>
              <w:rPr>
                <w:rFonts w:hint="eastAsia" w:ascii="仿宋_GB2312" w:eastAsia="仿宋_GB2312"/>
                <w:kern w:val="0"/>
                <w:sz w:val="18"/>
                <w:szCs w:val="18"/>
                <w:lang w:eastAsia="zh-CN"/>
              </w:rPr>
              <w:t>三面临街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交通便捷度</w:t>
            </w:r>
          </w:p>
        </w:tc>
        <w:tc>
          <w:tcPr>
            <w:tcW w:w="205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lang w:eastAsia="zh-CN"/>
              </w:rPr>
              <w:t>不</w:t>
            </w:r>
            <w:r>
              <w:rPr>
                <w:rFonts w:hint="eastAsia" w:ascii="仿宋_GB2312" w:eastAsia="仿宋_GB2312"/>
                <w:sz w:val="18"/>
                <w:szCs w:val="18"/>
              </w:rPr>
              <w:t>便捷</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lang w:eastAsia="zh-CN"/>
              </w:rPr>
              <w:t>不</w:t>
            </w:r>
            <w:r>
              <w:rPr>
                <w:rFonts w:hint="eastAsia" w:ascii="仿宋_GB2312" w:eastAsia="仿宋_GB2312"/>
                <w:sz w:val="18"/>
                <w:szCs w:val="18"/>
              </w:rPr>
              <w:t>便捷</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lang w:eastAsia="zh-CN"/>
              </w:rPr>
              <w:t>不</w:t>
            </w:r>
            <w:r>
              <w:rPr>
                <w:rFonts w:hint="eastAsia" w:ascii="仿宋_GB2312" w:eastAsia="仿宋_GB2312"/>
                <w:sz w:val="18"/>
                <w:szCs w:val="18"/>
              </w:rPr>
              <w:t>便捷</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lang w:eastAsia="zh-CN"/>
              </w:rPr>
              <w:t>不</w:t>
            </w:r>
            <w:r>
              <w:rPr>
                <w:rFonts w:hint="eastAsia" w:ascii="仿宋_GB2312" w:eastAsia="仿宋_GB2312"/>
                <w:sz w:val="18"/>
                <w:szCs w:val="18"/>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道路通畅度</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通畅</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通畅</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通畅</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通畅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集聚规模</w:t>
            </w:r>
          </w:p>
        </w:tc>
        <w:tc>
          <w:tcPr>
            <w:tcW w:w="205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较优</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较优</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较优</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公共设施完善度</w:t>
            </w:r>
          </w:p>
        </w:tc>
        <w:tc>
          <w:tcPr>
            <w:tcW w:w="2053" w:type="dxa"/>
            <w:tcBorders>
              <w:top w:val="dotted" w:color="auto" w:sz="4" w:space="0"/>
              <w:left w:val="dotted" w:color="auto" w:sz="4" w:space="0"/>
              <w:bottom w:val="dotted" w:color="auto" w:sz="4" w:space="0"/>
              <w:right w:val="dotted" w:color="auto" w:sz="4" w:space="0"/>
            </w:tcBorders>
            <w:vAlign w:val="center"/>
          </w:tcPr>
          <w:p>
            <w:pPr>
              <w:jc w:val="center"/>
              <w:rPr>
                <w:rFonts w:hint="eastAsia" w:ascii="仿宋_GB2312" w:eastAsia="仿宋_GB2312"/>
                <w:sz w:val="18"/>
                <w:szCs w:val="18"/>
                <w:lang w:eastAsia="zh-CN"/>
              </w:rPr>
            </w:pPr>
            <w:r>
              <w:rPr>
                <w:rFonts w:hint="eastAsia" w:ascii="仿宋_GB2312" w:eastAsia="仿宋_GB2312"/>
                <w:sz w:val="18"/>
                <w:szCs w:val="18"/>
                <w:lang w:eastAsia="zh-CN"/>
              </w:rPr>
              <w:t>一般</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rPr>
                <w:rFonts w:hint="eastAsia" w:eastAsia="宋体"/>
                <w:lang w:eastAsia="zh-CN"/>
              </w:rPr>
            </w:pPr>
            <w:r>
              <w:rPr>
                <w:rFonts w:hint="eastAsia" w:ascii="仿宋_GB2312" w:eastAsia="仿宋_GB2312"/>
                <w:sz w:val="18"/>
                <w:szCs w:val="18"/>
                <w:lang w:eastAsia="zh-CN"/>
              </w:rPr>
              <w:t>一般</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rPr>
                <w:rFonts w:hint="eastAsia" w:eastAsia="宋体"/>
                <w:lang w:eastAsia="zh-CN"/>
              </w:rPr>
            </w:pPr>
            <w:r>
              <w:rPr>
                <w:rFonts w:hint="eastAsia" w:ascii="仿宋_GB2312" w:eastAsia="仿宋_GB2312"/>
                <w:sz w:val="18"/>
                <w:szCs w:val="18"/>
                <w:lang w:eastAsia="zh-CN"/>
              </w:rPr>
              <w:t>一般</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rPr>
                <w:rFonts w:hint="eastAsia" w:eastAsia="宋体"/>
                <w:lang w:eastAsia="zh-CN"/>
              </w:rPr>
            </w:pPr>
            <w:r>
              <w:rPr>
                <w:rFonts w:hint="eastAsia" w:ascii="仿宋_GB2312" w:eastAsia="仿宋_GB2312"/>
                <w:sz w:val="18"/>
                <w:szCs w:val="18"/>
                <w:lang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设备设施</w:t>
            </w:r>
          </w:p>
        </w:tc>
        <w:tc>
          <w:tcPr>
            <w:tcW w:w="2053" w:type="dxa"/>
            <w:tcBorders>
              <w:top w:val="dotted" w:color="auto" w:sz="4" w:space="0"/>
              <w:left w:val="dotted" w:color="auto" w:sz="4" w:space="0"/>
              <w:bottom w:val="dotted" w:color="auto" w:sz="4" w:space="0"/>
              <w:right w:val="dotted" w:color="auto" w:sz="4" w:space="0"/>
            </w:tcBorders>
            <w:vAlign w:val="center"/>
          </w:tcPr>
          <w:p>
            <w:pPr>
              <w:widowControl/>
              <w:jc w:val="center"/>
              <w:rPr>
                <w:rFonts w:hint="eastAsia" w:ascii="仿宋_GB2312" w:hAnsi="Calibri" w:eastAsia="仿宋_GB2312"/>
                <w:kern w:val="0"/>
                <w:sz w:val="18"/>
                <w:szCs w:val="18"/>
                <w:lang w:eastAsia="zh-CN"/>
              </w:rPr>
            </w:pPr>
            <w:r>
              <w:rPr>
                <w:rFonts w:hint="eastAsia" w:ascii="仿宋_GB2312" w:hAnsi="Calibri" w:eastAsia="仿宋_GB2312"/>
                <w:kern w:val="0"/>
                <w:sz w:val="18"/>
                <w:szCs w:val="18"/>
                <w:lang w:eastAsia="zh-CN"/>
              </w:rPr>
              <w:t>消防系统、普通门禁对讲系统</w:t>
            </w:r>
          </w:p>
        </w:tc>
        <w:tc>
          <w:tcPr>
            <w:tcW w:w="1721" w:type="dxa"/>
            <w:tcBorders>
              <w:top w:val="dotted" w:color="auto" w:sz="4" w:space="0"/>
              <w:left w:val="dotted" w:color="auto" w:sz="4" w:space="0"/>
              <w:bottom w:val="dotted" w:color="auto" w:sz="4" w:space="0"/>
              <w:right w:val="dotted" w:color="auto" w:sz="4" w:space="0"/>
            </w:tcBorders>
            <w:vAlign w:val="center"/>
          </w:tcPr>
          <w:p>
            <w:pPr>
              <w:widowControl/>
              <w:jc w:val="center"/>
              <w:rPr>
                <w:rFonts w:hint="eastAsia" w:ascii="仿宋_GB2312" w:hAnsi="Calibri" w:eastAsia="仿宋_GB2312"/>
                <w:kern w:val="0"/>
                <w:sz w:val="18"/>
                <w:szCs w:val="18"/>
                <w:lang w:eastAsia="zh-CN"/>
              </w:rPr>
            </w:pPr>
            <w:r>
              <w:rPr>
                <w:rFonts w:hint="eastAsia" w:ascii="仿宋_GB2312" w:hAnsi="Calibri" w:eastAsia="仿宋_GB2312"/>
                <w:kern w:val="0"/>
                <w:sz w:val="18"/>
                <w:szCs w:val="18"/>
                <w:lang w:eastAsia="zh-CN"/>
              </w:rPr>
              <w:t>消防系统、普通门禁对讲系统</w:t>
            </w:r>
          </w:p>
        </w:tc>
        <w:tc>
          <w:tcPr>
            <w:tcW w:w="1797" w:type="dxa"/>
            <w:tcBorders>
              <w:top w:val="dotted" w:color="auto" w:sz="4" w:space="0"/>
              <w:left w:val="dotted" w:color="auto" w:sz="4" w:space="0"/>
              <w:bottom w:val="dotted" w:color="auto" w:sz="4" w:space="0"/>
              <w:right w:val="dotted" w:color="auto" w:sz="4" w:space="0"/>
            </w:tcBorders>
            <w:vAlign w:val="center"/>
          </w:tcPr>
          <w:p>
            <w:pPr>
              <w:widowControl/>
              <w:jc w:val="center"/>
              <w:rPr>
                <w:rFonts w:hint="eastAsia" w:ascii="仿宋_GB2312" w:hAnsi="Calibri" w:eastAsia="仿宋_GB2312"/>
                <w:kern w:val="0"/>
                <w:sz w:val="18"/>
                <w:szCs w:val="18"/>
                <w:lang w:eastAsia="zh-CN"/>
              </w:rPr>
            </w:pPr>
            <w:r>
              <w:rPr>
                <w:rFonts w:hint="eastAsia" w:ascii="仿宋_GB2312" w:hAnsi="Calibri" w:eastAsia="仿宋_GB2312"/>
                <w:kern w:val="0"/>
                <w:sz w:val="18"/>
                <w:szCs w:val="18"/>
                <w:lang w:eastAsia="zh-CN"/>
              </w:rPr>
              <w:t>消防系统、普通门禁对讲系统</w:t>
            </w:r>
          </w:p>
        </w:tc>
        <w:tc>
          <w:tcPr>
            <w:tcW w:w="1793" w:type="dxa"/>
            <w:tcBorders>
              <w:top w:val="dotted" w:color="auto" w:sz="4" w:space="0"/>
              <w:left w:val="dotted" w:color="auto" w:sz="4" w:space="0"/>
              <w:bottom w:val="dotted" w:color="auto" w:sz="4" w:space="0"/>
              <w:right w:val="dotted" w:color="auto" w:sz="4" w:space="0"/>
            </w:tcBorders>
            <w:vAlign w:val="center"/>
          </w:tcPr>
          <w:p>
            <w:pPr>
              <w:widowControl/>
              <w:jc w:val="center"/>
              <w:rPr>
                <w:rFonts w:hint="eastAsia" w:ascii="仿宋_GB2312" w:hAnsi="Calibri" w:eastAsia="仿宋_GB2312"/>
                <w:kern w:val="0"/>
                <w:sz w:val="18"/>
                <w:szCs w:val="18"/>
                <w:lang w:eastAsia="zh-CN"/>
              </w:rPr>
            </w:pPr>
            <w:r>
              <w:rPr>
                <w:rFonts w:hint="eastAsia" w:ascii="仿宋_GB2312" w:hAnsi="Calibri" w:eastAsia="仿宋_GB2312"/>
                <w:kern w:val="0"/>
                <w:sz w:val="18"/>
                <w:szCs w:val="18"/>
                <w:lang w:eastAsia="zh-CN"/>
              </w:rPr>
              <w:t>消防系统、普通门禁对讲系统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环境状况</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无污染</w:t>
            </w:r>
          </w:p>
        </w:tc>
        <w:tc>
          <w:tcPr>
            <w:tcW w:w="1721"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无污染</w:t>
            </w:r>
          </w:p>
        </w:tc>
        <w:tc>
          <w:tcPr>
            <w:tcW w:w="1797"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无污染</w:t>
            </w:r>
          </w:p>
        </w:tc>
        <w:tc>
          <w:tcPr>
            <w:tcW w:w="179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无污染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建筑物结构</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混合</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混合</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混合</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建筑物内部格局</w:t>
            </w:r>
          </w:p>
        </w:tc>
        <w:tc>
          <w:tcPr>
            <w:tcW w:w="205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较合理</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较合理</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较合理</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hAnsi="宋体" w:eastAsia="仿宋_GB2312" w:cs="宋体"/>
                <w:sz w:val="18"/>
                <w:szCs w:val="18"/>
              </w:rPr>
            </w:pPr>
            <w:r>
              <w:rPr>
                <w:rFonts w:hint="eastAsia" w:ascii="仿宋_GB2312" w:eastAsia="仿宋_GB2312"/>
                <w:sz w:val="18"/>
                <w:szCs w:val="18"/>
              </w:rPr>
              <w:t>较合理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平面位置</w:t>
            </w:r>
          </w:p>
        </w:tc>
        <w:tc>
          <w:tcPr>
            <w:tcW w:w="2053" w:type="dxa"/>
            <w:tcBorders>
              <w:top w:val="dotted" w:color="auto" w:sz="4" w:space="0"/>
              <w:left w:val="dotted" w:color="auto" w:sz="4" w:space="0"/>
              <w:bottom w:val="dotted" w:color="auto" w:sz="4" w:space="0"/>
              <w:right w:val="dotted" w:color="auto" w:sz="4" w:space="0"/>
            </w:tcBorders>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位于小区内出入较方便位置</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hAnsi="楷体" w:eastAsia="仿宋_GB2312" w:cs="宋体"/>
                <w:kern w:val="0"/>
                <w:sz w:val="18"/>
                <w:szCs w:val="18"/>
              </w:rPr>
              <w:t>位于小区内出入较方便位置</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hAnsi="楷体" w:eastAsia="仿宋_GB2312" w:cs="宋体"/>
                <w:kern w:val="0"/>
                <w:sz w:val="18"/>
                <w:szCs w:val="18"/>
              </w:rPr>
              <w:t>位于小区内出入较方便位置</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hAnsi="楷体" w:eastAsia="仿宋_GB2312" w:cs="宋体"/>
                <w:kern w:val="0"/>
                <w:sz w:val="18"/>
                <w:szCs w:val="18"/>
              </w:rPr>
              <w:t>位于小区内出入较方便位置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装修情况</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color w:val="FF0000"/>
                <w:sz w:val="18"/>
                <w:szCs w:val="18"/>
              </w:rPr>
            </w:pPr>
            <w:r>
              <w:rPr>
                <w:rFonts w:hint="eastAsia" w:ascii="仿宋_GB2312" w:eastAsia="仿宋_GB2312"/>
                <w:color w:val="FF0000"/>
                <w:sz w:val="18"/>
                <w:szCs w:val="18"/>
              </w:rPr>
              <w:t>中档装修</w:t>
            </w:r>
          </w:p>
        </w:tc>
        <w:tc>
          <w:tcPr>
            <w:tcW w:w="1721"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color w:val="FF0000"/>
                <w:sz w:val="18"/>
                <w:szCs w:val="18"/>
              </w:rPr>
              <w:t>精装修</w:t>
            </w:r>
          </w:p>
        </w:tc>
        <w:tc>
          <w:tcPr>
            <w:tcW w:w="1797"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color w:val="FF0000"/>
                <w:sz w:val="18"/>
                <w:szCs w:val="18"/>
              </w:rPr>
              <w:t>简单装修</w:t>
            </w:r>
          </w:p>
        </w:tc>
        <w:tc>
          <w:tcPr>
            <w:tcW w:w="1793"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color w:val="FF0000"/>
                <w:sz w:val="18"/>
                <w:szCs w:val="18"/>
              </w:rPr>
              <w:t>简单装修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楼层</w:t>
            </w:r>
          </w:p>
        </w:tc>
        <w:tc>
          <w:tcPr>
            <w:tcW w:w="2053" w:type="dxa"/>
            <w:tcBorders>
              <w:top w:val="dotted" w:color="auto" w:sz="4" w:space="0"/>
              <w:left w:val="dotted" w:color="auto" w:sz="4" w:space="0"/>
              <w:bottom w:val="dotted" w:color="auto" w:sz="4" w:space="0"/>
              <w:right w:val="dotted" w:color="auto" w:sz="4" w:space="0"/>
            </w:tcBorders>
            <w:vAlign w:val="bottom"/>
          </w:tcPr>
          <w:p>
            <w:pPr>
              <w:snapToGrid w:val="0"/>
              <w:spacing w:line="300" w:lineRule="atLeast"/>
              <w:jc w:val="center"/>
              <w:rPr>
                <w:rFonts w:ascii="仿宋_GB2312" w:eastAsia="仿宋_GB2312"/>
                <w:color w:val="FF0000"/>
                <w:sz w:val="18"/>
                <w:szCs w:val="18"/>
              </w:rPr>
            </w:pPr>
            <w:r>
              <w:rPr>
                <w:rFonts w:hint="eastAsia" w:ascii="仿宋_GB2312" w:eastAsia="仿宋_GB2312"/>
                <w:color w:val="FF0000"/>
                <w:sz w:val="18"/>
                <w:szCs w:val="18"/>
                <w:lang w:val="en-US" w:eastAsia="zh-CN"/>
              </w:rPr>
              <w:t>2</w:t>
            </w:r>
            <w:r>
              <w:rPr>
                <w:rFonts w:hint="eastAsia" w:ascii="仿宋_GB2312" w:eastAsia="仿宋_GB2312"/>
                <w:color w:val="FF0000"/>
                <w:sz w:val="18"/>
                <w:szCs w:val="18"/>
              </w:rPr>
              <w:t>层</w:t>
            </w:r>
          </w:p>
        </w:tc>
        <w:tc>
          <w:tcPr>
            <w:tcW w:w="1721" w:type="dxa"/>
            <w:tcBorders>
              <w:top w:val="dotted" w:color="auto" w:sz="4" w:space="0"/>
              <w:left w:val="dotted" w:color="auto" w:sz="4" w:space="0"/>
              <w:bottom w:val="dotted" w:color="auto" w:sz="4" w:space="0"/>
              <w:right w:val="dotted" w:color="auto" w:sz="4" w:space="0"/>
            </w:tcBorders>
            <w:vAlign w:val="bottom"/>
          </w:tcPr>
          <w:p>
            <w:pPr>
              <w:snapToGrid w:val="0"/>
              <w:spacing w:line="300" w:lineRule="atLeast"/>
              <w:jc w:val="center"/>
              <w:rPr>
                <w:rFonts w:ascii="仿宋_GB2312" w:eastAsia="仿宋_GB2312"/>
                <w:color w:val="FF0000"/>
                <w:sz w:val="18"/>
                <w:szCs w:val="18"/>
              </w:rPr>
            </w:pPr>
            <w:r>
              <w:rPr>
                <w:rFonts w:hint="eastAsia" w:ascii="仿宋_GB2312" w:eastAsia="仿宋_GB2312"/>
                <w:color w:val="FF0000"/>
                <w:sz w:val="18"/>
                <w:szCs w:val="18"/>
                <w:lang w:val="en-US" w:eastAsia="zh-CN"/>
              </w:rPr>
              <w:t>5</w:t>
            </w:r>
            <w:r>
              <w:rPr>
                <w:rFonts w:hint="eastAsia" w:ascii="仿宋_GB2312" w:eastAsia="仿宋_GB2312"/>
                <w:color w:val="FF0000"/>
                <w:sz w:val="18"/>
                <w:szCs w:val="18"/>
              </w:rPr>
              <w:t>层</w:t>
            </w:r>
          </w:p>
        </w:tc>
        <w:tc>
          <w:tcPr>
            <w:tcW w:w="1797" w:type="dxa"/>
            <w:tcBorders>
              <w:top w:val="dotted" w:color="auto" w:sz="4" w:space="0"/>
              <w:left w:val="dotted" w:color="auto" w:sz="4" w:space="0"/>
              <w:bottom w:val="dotted" w:color="auto" w:sz="4" w:space="0"/>
              <w:right w:val="dotted" w:color="auto" w:sz="4" w:space="0"/>
            </w:tcBorders>
            <w:vAlign w:val="bottom"/>
          </w:tcPr>
          <w:p>
            <w:pPr>
              <w:snapToGrid w:val="0"/>
              <w:spacing w:line="300" w:lineRule="atLeast"/>
              <w:jc w:val="center"/>
              <w:rPr>
                <w:rFonts w:ascii="仿宋_GB2312" w:eastAsia="仿宋_GB2312"/>
                <w:color w:val="FF0000"/>
                <w:sz w:val="18"/>
                <w:szCs w:val="18"/>
              </w:rPr>
            </w:pPr>
            <w:r>
              <w:rPr>
                <w:rFonts w:hint="eastAsia" w:ascii="仿宋_GB2312" w:eastAsia="仿宋_GB2312"/>
                <w:color w:val="FF0000"/>
                <w:sz w:val="18"/>
                <w:szCs w:val="18"/>
                <w:lang w:val="en-US" w:eastAsia="zh-CN"/>
              </w:rPr>
              <w:t>2</w:t>
            </w:r>
            <w:r>
              <w:rPr>
                <w:rFonts w:hint="eastAsia" w:ascii="仿宋_GB2312" w:eastAsia="仿宋_GB2312"/>
                <w:color w:val="FF0000"/>
                <w:sz w:val="18"/>
                <w:szCs w:val="18"/>
              </w:rPr>
              <w:t>层</w:t>
            </w:r>
          </w:p>
        </w:tc>
        <w:tc>
          <w:tcPr>
            <w:tcW w:w="1793" w:type="dxa"/>
            <w:tcBorders>
              <w:top w:val="dotted" w:color="auto" w:sz="4" w:space="0"/>
              <w:left w:val="dotted" w:color="auto" w:sz="4" w:space="0"/>
              <w:bottom w:val="dotted" w:color="auto" w:sz="4" w:space="0"/>
              <w:right w:val="dotted" w:color="auto" w:sz="4" w:space="0"/>
            </w:tcBorders>
            <w:vAlign w:val="bottom"/>
          </w:tcPr>
          <w:p>
            <w:pPr>
              <w:snapToGrid w:val="0"/>
              <w:spacing w:line="300" w:lineRule="atLeast"/>
              <w:jc w:val="center"/>
              <w:rPr>
                <w:rFonts w:ascii="仿宋_GB2312" w:eastAsia="仿宋_GB2312"/>
                <w:color w:val="FF0000"/>
                <w:sz w:val="18"/>
                <w:szCs w:val="18"/>
              </w:rPr>
            </w:pPr>
            <w:r>
              <w:rPr>
                <w:rFonts w:hint="eastAsia" w:ascii="仿宋_GB2312" w:eastAsia="仿宋_GB2312"/>
                <w:color w:val="FF0000"/>
                <w:sz w:val="18"/>
                <w:szCs w:val="18"/>
                <w:lang w:val="en-US" w:eastAsia="zh-CN"/>
              </w:rPr>
              <w:t>2</w:t>
            </w:r>
            <w:r>
              <w:rPr>
                <w:rFonts w:hint="eastAsia" w:ascii="仿宋_GB2312" w:eastAsia="仿宋_GB2312"/>
                <w:color w:val="FF0000"/>
                <w:sz w:val="18"/>
                <w:szCs w:val="18"/>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uble"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建筑面积</w:t>
            </w:r>
          </w:p>
        </w:tc>
        <w:tc>
          <w:tcPr>
            <w:tcW w:w="2053" w:type="dxa"/>
            <w:tcBorders>
              <w:top w:val="dotted" w:color="auto" w:sz="4" w:space="0"/>
              <w:left w:val="dotted" w:color="auto" w:sz="4" w:space="0"/>
              <w:bottom w:val="double" w:color="auto" w:sz="4" w:space="0"/>
              <w:right w:val="dotted" w:color="auto" w:sz="4" w:space="0"/>
            </w:tcBorders>
            <w:vAlign w:val="center"/>
          </w:tcPr>
          <w:p>
            <w:pPr>
              <w:snapToGrid w:val="0"/>
              <w:spacing w:line="300" w:lineRule="atLeast"/>
              <w:jc w:val="center"/>
              <w:rPr>
                <w:rFonts w:ascii="仿宋_GB2312" w:eastAsia="仿宋_GB2312"/>
                <w:color w:val="FF0000"/>
                <w:sz w:val="18"/>
                <w:szCs w:val="18"/>
              </w:rPr>
            </w:pPr>
            <w:r>
              <w:rPr>
                <w:rFonts w:hint="eastAsia" w:ascii="仿宋_GB2312" w:eastAsia="仿宋_GB2312"/>
                <w:color w:val="FF0000"/>
                <w:sz w:val="18"/>
                <w:szCs w:val="18"/>
              </w:rPr>
              <w:t>90-140</w:t>
            </w:r>
          </w:p>
        </w:tc>
        <w:tc>
          <w:tcPr>
            <w:tcW w:w="1721" w:type="dxa"/>
            <w:tcBorders>
              <w:top w:val="dotted" w:color="auto" w:sz="4" w:space="0"/>
              <w:left w:val="dotted" w:color="auto" w:sz="4" w:space="0"/>
              <w:bottom w:val="double" w:color="auto" w:sz="4" w:space="0"/>
              <w:right w:val="dotted" w:color="auto" w:sz="4" w:space="0"/>
            </w:tcBorders>
            <w:vAlign w:val="center"/>
          </w:tcPr>
          <w:p>
            <w:pPr>
              <w:jc w:val="center"/>
            </w:pPr>
            <w:r>
              <w:rPr>
                <w:rFonts w:hint="eastAsia" w:ascii="仿宋_GB2312" w:eastAsia="仿宋_GB2312"/>
                <w:color w:val="FF0000"/>
                <w:sz w:val="18"/>
                <w:szCs w:val="18"/>
              </w:rPr>
              <w:t>90-140</w:t>
            </w:r>
          </w:p>
        </w:tc>
        <w:tc>
          <w:tcPr>
            <w:tcW w:w="1797" w:type="dxa"/>
            <w:tcBorders>
              <w:top w:val="dotted" w:color="auto" w:sz="4" w:space="0"/>
              <w:left w:val="dotted" w:color="auto" w:sz="4" w:space="0"/>
              <w:bottom w:val="double" w:color="auto" w:sz="4" w:space="0"/>
              <w:right w:val="dotted" w:color="auto" w:sz="4" w:space="0"/>
            </w:tcBorders>
            <w:vAlign w:val="center"/>
          </w:tcPr>
          <w:p>
            <w:pPr>
              <w:jc w:val="center"/>
            </w:pPr>
            <w:r>
              <w:rPr>
                <w:rFonts w:hint="eastAsia" w:ascii="仿宋_GB2312" w:eastAsia="仿宋_GB2312"/>
                <w:color w:val="FF0000"/>
                <w:sz w:val="18"/>
                <w:szCs w:val="18"/>
              </w:rPr>
              <w:t>90-140</w:t>
            </w:r>
          </w:p>
        </w:tc>
        <w:tc>
          <w:tcPr>
            <w:tcW w:w="1793" w:type="dxa"/>
            <w:tcBorders>
              <w:top w:val="dotted" w:color="auto" w:sz="4" w:space="0"/>
              <w:left w:val="dotted" w:color="auto" w:sz="4" w:space="0"/>
              <w:bottom w:val="double" w:color="auto" w:sz="4" w:space="0"/>
              <w:right w:val="dotted" w:color="auto" w:sz="4" w:space="0"/>
            </w:tcBorders>
            <w:vAlign w:val="center"/>
          </w:tcPr>
          <w:p>
            <w:pPr>
              <w:jc w:val="center"/>
            </w:pPr>
            <w:r>
              <w:rPr>
                <w:rFonts w:hint="eastAsia" w:ascii="仿宋_GB2312" w:eastAsia="仿宋_GB2312"/>
                <w:color w:val="FF0000"/>
                <w:sz w:val="18"/>
                <w:szCs w:val="18"/>
              </w:rPr>
              <w:t>90-140</w:t>
            </w:r>
          </w:p>
        </w:tc>
      </w:tr>
    </w:tbl>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年毛租金的比较因素修正说明：</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A、所临道路类型分为巷道、支路、次干道、主干道四个等级，以估价对象的等级为100， 每相差一个等级修正1%；</w:t>
      </w:r>
    </w:p>
    <w:p>
      <w:pPr>
        <w:spacing w:line="600" w:lineRule="exact"/>
        <w:ind w:firstLine="560" w:firstLineChars="200"/>
        <w:rPr>
          <w:rFonts w:ascii="仿宋_GB2312" w:eastAsia="仿宋_GB2312"/>
          <w:sz w:val="28"/>
          <w:szCs w:val="28"/>
        </w:rPr>
      </w:pPr>
      <w:r>
        <w:rPr>
          <w:rFonts w:hint="eastAsia" w:ascii="仿宋_GB2312" w:eastAsia="仿宋_GB2312"/>
          <w:sz w:val="28"/>
          <w:szCs w:val="28"/>
        </w:rPr>
        <w:t>B、距主干道距离，以待估对象距区域主干道距离分为临路、100米、200米、300米、300以上等，每增加或减少100米，指数减少或增加1%;</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C、临路状况:以待估对象为100，每增加或减少一面临街，修正指数便上升或下降2%；</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D、交通便捷度分为便捷、较便捷、一般、较不便捷、不便捷，以估价对象为100，每相差一级,相应修正1%;</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 xml:space="preserve">E、道路通畅度分为通畅、较通畅、一般、较不通畅、不通畅，以估价对象为100，每相差一个等级修正1%； </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F、集聚规模分为好、较好、一般、较差、差五个等级，以估价对象为100，每增加一个等级，年毛租金相应往上修正1%；</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G、公共设施完善度分为不完备、一般、较完备、完备四个等级，以估价对象为100，每相差一个等级，年毛租金相应修正2%；</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H、设备设施, 主要指物业及房屋的配套设施设备，如消防系统、周界防范系统、闭路电视监控系统、</w:t>
      </w:r>
      <w:r>
        <w:rPr>
          <w:rFonts w:hint="eastAsia" w:ascii="仿宋_GB2312" w:eastAsia="仿宋_GB2312"/>
          <w:sz w:val="28"/>
          <w:szCs w:val="28"/>
          <w:lang w:eastAsia="zh-CN"/>
        </w:rPr>
        <w:t>普通门禁对讲系统</w:t>
      </w:r>
      <w:r>
        <w:rPr>
          <w:rFonts w:hint="eastAsia" w:ascii="仿宋_GB2312" w:eastAsia="仿宋_GB2312"/>
          <w:sz w:val="28"/>
          <w:szCs w:val="28"/>
        </w:rPr>
        <w:t>、智能化车辆出入管理系统、背景音乐系统、中央空调等。分为完备、较完备、一般、较不完备、不完备五个等级，以估价对象为100, 每相差一个等级修正</w:t>
      </w:r>
      <w:r>
        <w:rPr>
          <w:rFonts w:hint="eastAsia" w:ascii="仿宋_GB2312" w:eastAsia="仿宋_GB2312"/>
          <w:color w:val="FF0000"/>
          <w:sz w:val="28"/>
          <w:szCs w:val="28"/>
        </w:rPr>
        <w:t>1</w:t>
      </w:r>
      <w:r>
        <w:rPr>
          <w:rFonts w:hint="eastAsia" w:ascii="仿宋_GB2312" w:eastAsia="仿宋_GB2312"/>
          <w:sz w:val="28"/>
          <w:szCs w:val="28"/>
        </w:rPr>
        <w:t>%。</w:t>
      </w:r>
    </w:p>
    <w:p>
      <w:pPr>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I、环境状况分为有无污染、有一定污染、污染较重三个等级，以估价对象为100，每相差一个等级，年毛租金相应修正1%；</w:t>
      </w:r>
    </w:p>
    <w:p>
      <w:pPr>
        <w:autoSpaceDE w:val="0"/>
        <w:autoSpaceDN w:val="0"/>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J、建筑物结构分为钢、钢混、混合（包含砖混）、砖木等4个等级，以估价对象为100, 每相差一个等级，年毛租金相应修正</w:t>
      </w:r>
      <w:r>
        <w:rPr>
          <w:rFonts w:hint="eastAsia" w:ascii="仿宋_GB2312" w:eastAsia="仿宋_GB2312"/>
          <w:color w:val="FF0000"/>
          <w:sz w:val="28"/>
          <w:szCs w:val="28"/>
        </w:rPr>
        <w:t>2</w:t>
      </w:r>
      <w:r>
        <w:rPr>
          <w:rFonts w:hint="eastAsia" w:ascii="仿宋_GB2312" w:eastAsia="仿宋_GB2312"/>
          <w:sz w:val="28"/>
          <w:szCs w:val="28"/>
        </w:rPr>
        <w:t>%；</w:t>
      </w:r>
    </w:p>
    <w:p>
      <w:pPr>
        <w:autoSpaceDE w:val="0"/>
        <w:autoSpaceDN w:val="0"/>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K、建筑物内部格局分为有合理、较合理、不合理三个等级，以估价对象为100, 每相差一个等级，对租金的影响相应修正2%；</w:t>
      </w:r>
    </w:p>
    <w:p>
      <w:pPr>
        <w:autoSpaceDE w:val="0"/>
        <w:autoSpaceDN w:val="0"/>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L、平面位置，将平面位置分为优、一般、劣三个级别，其中位于小区中心位置为优，位于小区中心附近位置为一般，位于小区出入口及临路位置为劣，以估价对象的等级为100，每相差一个等级修正3%；</w:t>
      </w:r>
    </w:p>
    <w:p>
      <w:pPr>
        <w:autoSpaceDE w:val="0"/>
        <w:autoSpaceDN w:val="0"/>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M、装饰装修, 自好向差分为豪华装修、精装修、中档装修、简单装修、毛坯房五个等级，以估价对象为100，每相差一个等级修正2%。</w:t>
      </w:r>
    </w:p>
    <w:p>
      <w:pPr>
        <w:autoSpaceDE w:val="0"/>
        <w:autoSpaceDN w:val="0"/>
        <w:snapToGrid w:val="0"/>
        <w:spacing w:line="600" w:lineRule="exact"/>
        <w:ind w:firstLine="560" w:firstLineChars="200"/>
        <w:textAlignment w:val="bottom"/>
        <w:rPr>
          <w:rFonts w:ascii="仿宋_GB2312" w:eastAsia="仿宋_GB2312"/>
          <w:sz w:val="28"/>
          <w:szCs w:val="28"/>
        </w:rPr>
      </w:pPr>
      <w:r>
        <w:rPr>
          <w:rFonts w:hint="eastAsia" w:ascii="仿宋_GB2312" w:eastAsia="仿宋_GB2312"/>
          <w:sz w:val="28"/>
          <w:szCs w:val="28"/>
        </w:rPr>
        <w:t>N、楼层，根据物业所在层数不同，并参照估价师经验及现市场实际使用状况，本次估价对象与比较案例房屋总层数均为六层，故一层、六层为最次层，二层、五层为次优层，三层、四层为最优层；以此类推计算楼层的优越性，以待估对象为100，每相差一个等级修正2%。</w:t>
      </w:r>
    </w:p>
    <w:p>
      <w:pPr>
        <w:widowControl/>
        <w:adjustRightInd w:val="0"/>
        <w:snapToGrid w:val="0"/>
        <w:spacing w:line="560" w:lineRule="exact"/>
        <w:ind w:firstLine="560" w:firstLineChars="200"/>
        <w:textAlignment w:val="bottom"/>
        <w:rPr>
          <w:rFonts w:ascii="仿宋_GB2312" w:eastAsia="仿宋_GB2312"/>
          <w:sz w:val="28"/>
          <w:szCs w:val="28"/>
        </w:rPr>
      </w:pPr>
      <w:r>
        <w:rPr>
          <w:rFonts w:hint="eastAsia" w:ascii="仿宋_GB2312" w:eastAsia="仿宋_GB2312"/>
          <w:sz w:val="28"/>
          <w:szCs w:val="28"/>
        </w:rPr>
        <w:t>O、建筑面积，根据单套住宅面积的影响建筑面积从优到劣分为小于90，90-140，140以上三个等级，以估价对象为100，每相差一个等级修正2%。</w:t>
      </w:r>
    </w:p>
    <w:p>
      <w:pPr>
        <w:widowControl/>
        <w:adjustRightInd w:val="0"/>
        <w:snapToGrid w:val="0"/>
        <w:spacing w:line="560" w:lineRule="exact"/>
        <w:ind w:firstLine="560" w:firstLineChars="200"/>
        <w:textAlignment w:val="bottom"/>
        <w:rPr>
          <w:rFonts w:ascii="仿宋_GB2312" w:eastAsia="仿宋_GB2312"/>
          <w:sz w:val="28"/>
          <w:szCs w:val="28"/>
        </w:rPr>
      </w:pPr>
      <w:r>
        <w:rPr>
          <w:rFonts w:hint="eastAsia" w:ascii="仿宋_GB2312" w:eastAsia="仿宋_GB2312"/>
          <w:sz w:val="28"/>
          <w:szCs w:val="28"/>
        </w:rPr>
        <w:t xml:space="preserve"> 根据比较因素条件指数表8，编制比较因素修正系数表9。</w:t>
      </w:r>
    </w:p>
    <w:p>
      <w:pPr>
        <w:adjustRightInd w:val="0"/>
        <w:snapToGrid w:val="0"/>
        <w:spacing w:line="540" w:lineRule="exact"/>
        <w:ind w:firstLine="561"/>
        <w:jc w:val="center"/>
        <w:rPr>
          <w:rFonts w:eastAsia="仿宋_GB2312"/>
          <w:b/>
          <w:sz w:val="24"/>
          <w:szCs w:val="24"/>
        </w:rPr>
      </w:pPr>
      <w:r>
        <w:rPr>
          <w:rFonts w:eastAsia="仿宋_GB2312"/>
          <w:b/>
          <w:sz w:val="24"/>
          <w:szCs w:val="24"/>
        </w:rPr>
        <w:t>表8   比较因素条件指数表</w:t>
      </w:r>
    </w:p>
    <w:tbl>
      <w:tblPr>
        <w:tblStyle w:val="47"/>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1451"/>
        <w:gridCol w:w="1325"/>
        <w:gridCol w:w="137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uble" w:color="auto" w:sz="4" w:space="0"/>
              <w:left w:val="dotted" w:color="auto" w:sz="4" w:space="0"/>
              <w:bottom w:val="dotted" w:color="auto" w:sz="4" w:space="0"/>
              <w:right w:val="dotted" w:color="auto" w:sz="4" w:space="0"/>
              <w:tl2br w:val="single"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       估价对象及</w:t>
            </w:r>
          </w:p>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            比较实例</w:t>
            </w:r>
          </w:p>
          <w:p>
            <w:pPr>
              <w:snapToGrid w:val="0"/>
              <w:spacing w:line="300" w:lineRule="atLeast"/>
              <w:ind w:firstLine="181" w:firstLineChars="100"/>
              <w:rPr>
                <w:rFonts w:ascii="仿宋_GB2312" w:eastAsia="仿宋_GB2312"/>
                <w:b/>
                <w:sz w:val="18"/>
                <w:szCs w:val="18"/>
              </w:rPr>
            </w:pPr>
            <w:r>
              <w:rPr>
                <w:rFonts w:hint="eastAsia" w:ascii="仿宋_GB2312" w:eastAsia="仿宋_GB2312"/>
                <w:b/>
                <w:sz w:val="18"/>
                <w:szCs w:val="18"/>
              </w:rPr>
              <w:t xml:space="preserve">比较因素       </w:t>
            </w:r>
          </w:p>
        </w:tc>
        <w:tc>
          <w:tcPr>
            <w:tcW w:w="1451"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估价对象</w:t>
            </w:r>
          </w:p>
        </w:tc>
        <w:tc>
          <w:tcPr>
            <w:tcW w:w="1325"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实例A </w:t>
            </w:r>
          </w:p>
        </w:tc>
        <w:tc>
          <w:tcPr>
            <w:tcW w:w="1376"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实例B </w:t>
            </w:r>
          </w:p>
        </w:tc>
        <w:tc>
          <w:tcPr>
            <w:tcW w:w="1433"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年毛租金（元/平方米·年）</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待估</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lang w:val="en-US" w:eastAsia="zh-CN"/>
              </w:rPr>
              <w:t>107</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630" w:firstLineChars="350"/>
              <w:rPr>
                <w:rFonts w:ascii="仿宋_GB2312" w:eastAsia="仿宋_GB2312"/>
                <w:sz w:val="18"/>
                <w:szCs w:val="18"/>
              </w:rPr>
            </w:pPr>
            <w:r>
              <w:rPr>
                <w:rFonts w:hint="eastAsia" w:ascii="仿宋_GB2312" w:eastAsia="仿宋_GB2312"/>
                <w:sz w:val="18"/>
                <w:szCs w:val="18"/>
                <w:lang w:val="en-US" w:eastAsia="zh-CN"/>
              </w:rPr>
              <w:t>90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所临道路类型</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jc w:val="center"/>
              <w:rPr>
                <w:rFonts w:hint="eastAsia" w:ascii="仿宋_GB2312" w:eastAsia="仿宋_GB2312"/>
                <w:sz w:val="18"/>
                <w:szCs w:val="18"/>
                <w:lang w:val="en-US" w:eastAsia="zh-CN"/>
              </w:rPr>
            </w:pPr>
            <w:r>
              <w:rPr>
                <w:rFonts w:hint="eastAsia" w:ascii="仿宋_GB2312" w:eastAsia="仿宋_GB2312"/>
                <w:sz w:val="18"/>
                <w:szCs w:val="18"/>
              </w:rPr>
              <w:t>10</w:t>
            </w:r>
            <w:r>
              <w:rPr>
                <w:rFonts w:hint="eastAsia" w:ascii="仿宋_GB2312" w:eastAsia="仿宋_GB2312"/>
                <w:sz w:val="18"/>
                <w:szCs w:val="18"/>
                <w:lang w:val="en-US" w:eastAsia="zh-CN"/>
              </w:rPr>
              <w:t>1</w:t>
            </w:r>
          </w:p>
        </w:tc>
        <w:tc>
          <w:tcPr>
            <w:tcW w:w="1376"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距主干道距离</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rPr>
              <w:t>10</w:t>
            </w:r>
            <w:r>
              <w:rPr>
                <w:rFonts w:hint="eastAsia" w:ascii="仿宋_GB2312" w:eastAsia="仿宋_GB2312"/>
                <w:sz w:val="18"/>
                <w:szCs w:val="18"/>
                <w:lang w:val="en-US" w:eastAsia="zh-CN"/>
              </w:rPr>
              <w:t>2</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临路状况</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rPr>
              <w:t>10</w:t>
            </w:r>
            <w:r>
              <w:rPr>
                <w:rFonts w:hint="eastAsia" w:ascii="仿宋_GB2312" w:eastAsia="仿宋_GB2312"/>
                <w:sz w:val="18"/>
                <w:szCs w:val="18"/>
                <w:lang w:val="en-US" w:eastAsia="zh-CN"/>
              </w:rPr>
              <w:t>4</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交通便捷度</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rPr>
              <w:t>10</w:t>
            </w:r>
            <w:r>
              <w:rPr>
                <w:rFonts w:hint="eastAsia" w:ascii="仿宋_GB2312" w:eastAsia="仿宋_GB2312"/>
                <w:sz w:val="18"/>
                <w:szCs w:val="18"/>
                <w:lang w:val="en-US" w:eastAsia="zh-CN"/>
              </w:rPr>
              <w:t>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集聚效应</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道路通畅度</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集聚规模</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公共设施完善度</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设备设施</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环境状况</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建筑物结构</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建筑物内部格局</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平面位置</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装修情况</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color w:val="FF0000"/>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color w:val="FF0000"/>
                <w:sz w:val="18"/>
                <w:szCs w:val="18"/>
              </w:rPr>
              <w:t>102</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color w:val="FF0000"/>
                <w:sz w:val="18"/>
                <w:szCs w:val="18"/>
              </w:rPr>
              <w:t>98</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color w:val="FF0000"/>
                <w:sz w:val="18"/>
                <w:szCs w:val="18"/>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楼层</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color w:val="FF0000"/>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color w:val="FF0000"/>
                <w:sz w:val="18"/>
                <w:szCs w:val="18"/>
                <w:lang w:eastAsia="zh-CN"/>
              </w:rPr>
            </w:pPr>
            <w:r>
              <w:rPr>
                <w:rFonts w:hint="eastAsia" w:ascii="仿宋_GB2312" w:eastAsia="仿宋_GB2312"/>
                <w:color w:val="FF0000"/>
                <w:sz w:val="18"/>
                <w:szCs w:val="18"/>
              </w:rPr>
              <w:t>10</w:t>
            </w:r>
            <w:r>
              <w:rPr>
                <w:rFonts w:hint="eastAsia" w:ascii="仿宋_GB2312" w:eastAsia="仿宋_GB2312"/>
                <w:color w:val="FF0000"/>
                <w:sz w:val="18"/>
                <w:szCs w:val="18"/>
                <w:lang w:val="en-US" w:eastAsia="zh-CN"/>
              </w:rPr>
              <w:t>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color w:val="FF0000"/>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color w:val="FF000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建筑面积</w:t>
            </w:r>
          </w:p>
        </w:tc>
        <w:tc>
          <w:tcPr>
            <w:tcW w:w="1451"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color w:val="FF0000"/>
                <w:sz w:val="18"/>
                <w:szCs w:val="18"/>
              </w:rPr>
              <w:t>100</w:t>
            </w:r>
          </w:p>
        </w:tc>
        <w:tc>
          <w:tcPr>
            <w:tcW w:w="1325"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color w:val="FF0000"/>
                <w:sz w:val="18"/>
                <w:szCs w:val="18"/>
              </w:rPr>
              <w:t>100</w:t>
            </w:r>
          </w:p>
        </w:tc>
        <w:tc>
          <w:tcPr>
            <w:tcW w:w="1376"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color w:val="FF0000"/>
                <w:sz w:val="18"/>
                <w:szCs w:val="18"/>
              </w:rPr>
              <w:t>100</w:t>
            </w:r>
          </w:p>
        </w:tc>
        <w:tc>
          <w:tcPr>
            <w:tcW w:w="1433"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hint="eastAsia" w:ascii="仿宋_GB2312" w:eastAsia="仿宋_GB2312"/>
                <w:color w:val="FF0000"/>
                <w:sz w:val="18"/>
                <w:szCs w:val="18"/>
                <w:lang w:eastAsia="zh-CN"/>
              </w:rPr>
            </w:pPr>
            <w:r>
              <w:rPr>
                <w:rFonts w:hint="eastAsia" w:ascii="仿宋_GB2312" w:eastAsia="仿宋_GB2312"/>
                <w:color w:val="FF0000"/>
                <w:sz w:val="18"/>
                <w:szCs w:val="18"/>
              </w:rPr>
              <w:t>10</w:t>
            </w:r>
            <w:r>
              <w:rPr>
                <w:rFonts w:hint="eastAsia" w:ascii="仿宋_GB2312" w:eastAsia="仿宋_GB2312"/>
                <w:color w:val="FF0000"/>
                <w:sz w:val="18"/>
                <w:szCs w:val="18"/>
                <w:lang w:val="en-US" w:eastAsia="zh-CN"/>
              </w:rPr>
              <w:t>0</w:t>
            </w:r>
          </w:p>
        </w:tc>
      </w:tr>
    </w:tbl>
    <w:p>
      <w:pPr>
        <w:adjustRightInd w:val="0"/>
        <w:snapToGrid w:val="0"/>
        <w:spacing w:afterLines="50" w:line="540" w:lineRule="exact"/>
        <w:ind w:firstLine="562"/>
        <w:jc w:val="center"/>
        <w:rPr>
          <w:rFonts w:eastAsia="仿宋_GB2312"/>
          <w:b/>
          <w:sz w:val="24"/>
          <w:szCs w:val="24"/>
        </w:rPr>
      </w:pPr>
      <w:r>
        <w:rPr>
          <w:rFonts w:eastAsia="仿宋_GB2312"/>
          <w:b/>
          <w:sz w:val="24"/>
          <w:szCs w:val="24"/>
        </w:rPr>
        <w:t>表9   比较因素修正系数表</w:t>
      </w:r>
    </w:p>
    <w:tbl>
      <w:tblPr>
        <w:tblStyle w:val="47"/>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0"/>
        <w:gridCol w:w="1702"/>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uble" w:color="auto" w:sz="4" w:space="0"/>
              <w:left w:val="dotted" w:color="auto" w:sz="4" w:space="0"/>
              <w:bottom w:val="dotted" w:color="auto" w:sz="4" w:space="0"/>
              <w:right w:val="dotted" w:color="auto" w:sz="4" w:space="0"/>
              <w:tl2br w:val="single"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         估价对象及</w:t>
            </w:r>
          </w:p>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                 比较实例</w:t>
            </w:r>
          </w:p>
          <w:p>
            <w:pPr>
              <w:snapToGrid w:val="0"/>
              <w:spacing w:line="300" w:lineRule="atLeast"/>
              <w:rPr>
                <w:rFonts w:ascii="仿宋_GB2312" w:eastAsia="仿宋_GB2312"/>
                <w:b/>
                <w:sz w:val="18"/>
                <w:szCs w:val="18"/>
              </w:rPr>
            </w:pPr>
            <w:r>
              <w:rPr>
                <w:rFonts w:hint="eastAsia" w:ascii="仿宋_GB2312" w:eastAsia="仿宋_GB2312"/>
                <w:b/>
                <w:sz w:val="18"/>
                <w:szCs w:val="18"/>
              </w:rPr>
              <w:t xml:space="preserve">比较因素       </w:t>
            </w:r>
          </w:p>
        </w:tc>
        <w:tc>
          <w:tcPr>
            <w:tcW w:w="1700"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实例A </w:t>
            </w:r>
          </w:p>
        </w:tc>
        <w:tc>
          <w:tcPr>
            <w:tcW w:w="1702"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实例B </w:t>
            </w:r>
          </w:p>
        </w:tc>
        <w:tc>
          <w:tcPr>
            <w:tcW w:w="1757"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年毛租金（元/平方米·年）</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lang w:val="en-US" w:eastAsia="zh-CN"/>
              </w:rPr>
              <w:t>107</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630" w:firstLineChars="350"/>
              <w:rPr>
                <w:rFonts w:ascii="仿宋_GB2312" w:eastAsia="仿宋_GB2312"/>
                <w:sz w:val="18"/>
                <w:szCs w:val="18"/>
              </w:rPr>
            </w:pPr>
            <w:r>
              <w:rPr>
                <w:rFonts w:hint="eastAsia" w:ascii="仿宋_GB2312" w:eastAsia="仿宋_GB2312"/>
                <w:sz w:val="18"/>
                <w:szCs w:val="18"/>
                <w:lang w:val="en-US" w:eastAsia="zh-CN"/>
              </w:rPr>
              <w:t>90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所临道路类型</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rPr>
              <w:t>100/10</w:t>
            </w:r>
            <w:r>
              <w:rPr>
                <w:rFonts w:hint="eastAsia" w:ascii="仿宋_GB2312" w:eastAsia="仿宋_GB2312"/>
                <w:sz w:val="18"/>
                <w:szCs w:val="18"/>
                <w:lang w:val="en-US" w:eastAsia="zh-CN"/>
              </w:rPr>
              <w:t>1</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距主干道距离</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rPr>
              <w:t>100/10</w:t>
            </w:r>
            <w:r>
              <w:rPr>
                <w:rFonts w:hint="eastAsia" w:ascii="仿宋_GB2312" w:eastAsia="仿宋_GB2312"/>
                <w:sz w:val="18"/>
                <w:szCs w:val="18"/>
                <w:lang w:val="en-US" w:eastAsia="zh-CN"/>
              </w:rPr>
              <w:t>2</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临路状况</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rPr>
              <w:t>100/10</w:t>
            </w:r>
            <w:r>
              <w:rPr>
                <w:rFonts w:hint="eastAsia" w:ascii="仿宋_GB2312" w:eastAsia="仿宋_GB2312"/>
                <w:sz w:val="18"/>
                <w:szCs w:val="18"/>
                <w:lang w:val="en-US" w:eastAsia="zh-CN"/>
              </w:rPr>
              <w:t>4</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交通便捷度</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rPr>
              <w:t>100/10</w:t>
            </w:r>
            <w:r>
              <w:rPr>
                <w:rFonts w:hint="eastAsia" w:ascii="仿宋_GB2312" w:eastAsia="仿宋_GB2312"/>
                <w:sz w:val="18"/>
                <w:szCs w:val="18"/>
                <w:lang w:val="en-US" w:eastAsia="zh-CN"/>
              </w:rPr>
              <w:t>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集聚效应</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道路通畅度</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集聚规模</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FF0000"/>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公共设施完善度</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设备设施</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环境状况</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建筑物结构</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000000"/>
                <w:sz w:val="18"/>
                <w:szCs w:val="18"/>
              </w:rPr>
            </w:pPr>
            <w:r>
              <w:rPr>
                <w:rFonts w:hint="eastAsia" w:ascii="仿宋_GB2312" w:eastAsia="仿宋_GB2312"/>
                <w:color w:val="000000"/>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000000"/>
                <w:sz w:val="18"/>
                <w:szCs w:val="18"/>
              </w:rPr>
            </w:pPr>
            <w:r>
              <w:rPr>
                <w:rFonts w:hint="eastAsia" w:ascii="仿宋_GB2312" w:eastAsia="仿宋_GB2312"/>
                <w:color w:val="000000"/>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color w:val="000000"/>
                <w:sz w:val="18"/>
                <w:szCs w:val="18"/>
              </w:rPr>
            </w:pPr>
            <w:r>
              <w:rPr>
                <w:rFonts w:hint="eastAsia" w:ascii="仿宋_GB2312" w:eastAsia="仿宋_GB2312"/>
                <w:color w:val="000000"/>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建筑物内部格局</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平面位置</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装修情况</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100/102</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100/98</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楼层</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rPr>
              <w:t>100/10</w:t>
            </w:r>
            <w:r>
              <w:rPr>
                <w:rFonts w:hint="eastAsia" w:ascii="仿宋_GB2312" w:eastAsia="仿宋_GB2312"/>
                <w:sz w:val="18"/>
                <w:szCs w:val="18"/>
                <w:lang w:val="en-US" w:eastAsia="zh-CN"/>
              </w:rPr>
              <w:t>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建筑面积</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b/>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rPr>
              <w:t>100/10</w:t>
            </w:r>
            <w:r>
              <w:rPr>
                <w:rFonts w:hint="eastAsia" w:ascii="仿宋_GB2312" w:eastAsia="仿宋_GB2312"/>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比较因素修正系数</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rPr>
              <w:t>0.9</w:t>
            </w:r>
            <w:r>
              <w:rPr>
                <w:rFonts w:hint="eastAsia" w:ascii="仿宋_GB2312" w:eastAsia="仿宋_GB2312"/>
                <w:sz w:val="18"/>
                <w:szCs w:val="18"/>
                <w:lang w:val="en-US" w:eastAsia="zh-CN"/>
              </w:rPr>
              <w:t>151</w:t>
            </w:r>
          </w:p>
        </w:tc>
        <w:tc>
          <w:tcPr>
            <w:tcW w:w="1702"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1.0204</w:t>
            </w:r>
          </w:p>
        </w:tc>
        <w:tc>
          <w:tcPr>
            <w:tcW w:w="1757" w:type="dxa"/>
            <w:tcBorders>
              <w:top w:val="dotted" w:color="auto" w:sz="4" w:space="0"/>
              <w:left w:val="dotted" w:color="auto" w:sz="4" w:space="0"/>
              <w:bottom w:val="dotted" w:color="auto" w:sz="4" w:space="0"/>
              <w:right w:val="dotted" w:color="auto" w:sz="4" w:space="0"/>
            </w:tcBorders>
            <w:vAlign w:val="center"/>
          </w:tcPr>
          <w:p>
            <w:pPr>
              <w:jc w:val="center"/>
            </w:pPr>
            <w:r>
              <w:rPr>
                <w:rFonts w:hint="eastAsia" w:ascii="仿宋_GB2312" w:eastAsia="仿宋_GB2312"/>
                <w:sz w:val="18"/>
                <w:szCs w:val="18"/>
              </w:rPr>
              <w:t>1.0</w:t>
            </w:r>
            <w:r>
              <w:rPr>
                <w:rFonts w:hint="eastAsia" w:ascii="仿宋_GB2312" w:eastAsia="仿宋_GB2312"/>
                <w:sz w:val="18"/>
                <w:szCs w:val="18"/>
                <w:lang w:val="en-US" w:eastAsia="zh-CN"/>
              </w:rPr>
              <w:t>2</w:t>
            </w:r>
            <w:r>
              <w:rPr>
                <w:rFonts w:hint="eastAsia" w:ascii="仿宋_GB2312" w:eastAsia="仿宋_GB2312"/>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比准年毛租金（元/平方米·年）</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97.92</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91.84</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96.94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ind w:firstLine="149" w:firstLineChars="83"/>
              <w:jc w:val="center"/>
              <w:rPr>
                <w:rFonts w:ascii="仿宋_GB2312" w:eastAsia="仿宋_GB2312"/>
                <w:sz w:val="18"/>
                <w:szCs w:val="18"/>
              </w:rPr>
            </w:pPr>
            <w:r>
              <w:rPr>
                <w:rFonts w:hint="eastAsia" w:ascii="仿宋_GB2312" w:eastAsia="仿宋_GB2312"/>
                <w:sz w:val="18"/>
                <w:szCs w:val="18"/>
              </w:rPr>
              <w:t>简单算术平均值（元/平方米·年）</w:t>
            </w:r>
          </w:p>
        </w:tc>
        <w:tc>
          <w:tcPr>
            <w:tcW w:w="5159" w:type="dxa"/>
            <w:gridSpan w:val="3"/>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ind w:firstLine="149" w:firstLineChars="83"/>
              <w:jc w:val="center"/>
              <w:rPr>
                <w:rFonts w:hint="eastAsia" w:ascii="仿宋_GB2312" w:eastAsia="仿宋_GB2312"/>
                <w:sz w:val="18"/>
                <w:szCs w:val="18"/>
                <w:lang w:eastAsia="zh-CN"/>
              </w:rPr>
            </w:pPr>
            <w:r>
              <w:rPr>
                <w:rFonts w:hint="eastAsia" w:ascii="仿宋_GB2312" w:eastAsia="仿宋_GB2312"/>
                <w:sz w:val="18"/>
                <w:szCs w:val="18"/>
                <w:lang w:eastAsia="zh-CN"/>
              </w:rPr>
              <w:t>95.57</w:t>
            </w:r>
          </w:p>
        </w:tc>
      </w:tr>
    </w:tbl>
    <w:p>
      <w:pPr>
        <w:tabs>
          <w:tab w:val="left" w:pos="4515"/>
        </w:tabs>
        <w:spacing w:beforeLines="30" w:afterLines="10" w:line="600" w:lineRule="exact"/>
        <w:ind w:firstLine="560" w:firstLineChars="200"/>
        <w:rPr>
          <w:rFonts w:eastAsia="仿宋_GB2312"/>
          <w:sz w:val="28"/>
          <w:szCs w:val="28"/>
        </w:rPr>
      </w:pPr>
      <w:r>
        <w:rPr>
          <w:rFonts w:eastAsia="仿宋_GB2312"/>
          <w:sz w:val="28"/>
          <w:szCs w:val="28"/>
        </w:rPr>
        <w:t>通过市场比较，估价对象与3个比较实例的比准租金为</w:t>
      </w:r>
      <w:r>
        <w:rPr>
          <w:rFonts w:hint="eastAsia" w:eastAsia="仿宋_GB2312"/>
          <w:sz w:val="28"/>
          <w:szCs w:val="28"/>
          <w:lang w:val="en-US" w:eastAsia="zh-CN"/>
        </w:rPr>
        <w:t>97.92</w:t>
      </w:r>
      <w:r>
        <w:rPr>
          <w:rFonts w:eastAsia="仿宋_GB2312"/>
          <w:sz w:val="28"/>
          <w:szCs w:val="28"/>
        </w:rPr>
        <w:t>元/平方米·年、</w:t>
      </w:r>
      <w:r>
        <w:rPr>
          <w:rFonts w:hint="eastAsia" w:eastAsia="仿宋_GB2312"/>
          <w:sz w:val="28"/>
          <w:szCs w:val="28"/>
          <w:lang w:val="en-US" w:eastAsia="zh-CN"/>
        </w:rPr>
        <w:t>91.84</w:t>
      </w:r>
      <w:r>
        <w:rPr>
          <w:rFonts w:eastAsia="仿宋_GB2312"/>
          <w:sz w:val="28"/>
          <w:szCs w:val="28"/>
        </w:rPr>
        <w:t>元/平方米·年、</w:t>
      </w:r>
      <w:r>
        <w:rPr>
          <w:rFonts w:hint="eastAsia" w:eastAsia="仿宋_GB2312"/>
          <w:sz w:val="28"/>
          <w:szCs w:val="28"/>
          <w:lang w:val="en-US" w:eastAsia="zh-CN"/>
        </w:rPr>
        <w:t>96.94</w:t>
      </w:r>
      <w:r>
        <w:rPr>
          <w:rFonts w:eastAsia="仿宋_GB2312"/>
          <w:sz w:val="28"/>
          <w:szCs w:val="28"/>
        </w:rPr>
        <w:t>元/平方米·年，由于3个结果接近，所以采取3个结果的简单算术平均值作为估价对象的年毛租金为</w:t>
      </w:r>
      <w:r>
        <w:rPr>
          <w:rFonts w:hint="eastAsia" w:eastAsia="仿宋_GB2312"/>
          <w:sz w:val="28"/>
          <w:szCs w:val="28"/>
          <w:lang w:eastAsia="zh-CN"/>
        </w:rPr>
        <w:t>95.57</w:t>
      </w:r>
      <w:r>
        <w:rPr>
          <w:rFonts w:eastAsia="仿宋_GB2312"/>
          <w:sz w:val="28"/>
          <w:szCs w:val="28"/>
        </w:rPr>
        <w:t>元/平方米·年（取整）。</w:t>
      </w:r>
    </w:p>
    <w:p>
      <w:pPr>
        <w:spacing w:line="540" w:lineRule="exact"/>
        <w:jc w:val="left"/>
        <w:rPr>
          <w:rFonts w:ascii="仿宋_GB2312" w:hAnsi="楷体" w:eastAsia="仿宋_GB2312"/>
          <w:b/>
          <w:sz w:val="28"/>
          <w:szCs w:val="28"/>
        </w:rPr>
      </w:pPr>
      <w:r>
        <w:rPr>
          <w:rFonts w:hint="eastAsia" w:ascii="仿宋_GB2312" w:hAnsi="楷体" w:eastAsia="仿宋_GB2312"/>
          <w:b/>
          <w:sz w:val="28"/>
          <w:szCs w:val="28"/>
        </w:rPr>
        <w:t xml:space="preserve">    2)租约限制说明</w:t>
      </w:r>
    </w:p>
    <w:p>
      <w:pPr>
        <w:tabs>
          <w:tab w:val="left" w:pos="4515"/>
        </w:tabs>
        <w:spacing w:line="540" w:lineRule="exact"/>
        <w:ind w:firstLine="560" w:firstLineChars="200"/>
        <w:rPr>
          <w:rFonts w:ascii="仿宋_GB2312" w:hAnsi="楷体" w:eastAsia="仿宋_GB2312"/>
          <w:sz w:val="28"/>
          <w:szCs w:val="28"/>
        </w:rPr>
      </w:pPr>
      <w:r>
        <w:rPr>
          <w:rFonts w:hint="eastAsia" w:ascii="仿宋_GB2312" w:hAnsi="楷体" w:eastAsia="仿宋_GB2312" w:cs="Arial"/>
          <w:sz w:val="28"/>
          <w:szCs w:val="28"/>
        </w:rPr>
        <w:t>根据估价人员的实地查勘，估价对象现未自用经营。故本次估价不考虑已有租约对估价结果的影响。</w:t>
      </w:r>
    </w:p>
    <w:p>
      <w:pPr>
        <w:tabs>
          <w:tab w:val="left" w:pos="4515"/>
        </w:tabs>
        <w:spacing w:line="540" w:lineRule="exact"/>
        <w:ind w:firstLine="562" w:firstLineChars="200"/>
        <w:rPr>
          <w:rFonts w:ascii="仿宋_GB2312" w:hAnsi="楷体" w:eastAsia="仿宋_GB2312"/>
          <w:sz w:val="28"/>
          <w:szCs w:val="28"/>
        </w:rPr>
      </w:pPr>
      <w:r>
        <w:rPr>
          <w:rFonts w:hint="eastAsia" w:ascii="仿宋_GB2312" w:hAnsi="楷体" w:eastAsia="仿宋_GB2312"/>
          <w:b/>
          <w:sz w:val="28"/>
          <w:szCs w:val="28"/>
        </w:rPr>
        <w:t>3)潜在毛收入</w:t>
      </w:r>
    </w:p>
    <w:p>
      <w:pPr>
        <w:numPr>
          <w:ilvl w:val="0"/>
          <w:numId w:val="14"/>
        </w:numPr>
        <w:spacing w:line="540" w:lineRule="exact"/>
        <w:ind w:left="0" w:firstLine="485"/>
        <w:rPr>
          <w:rFonts w:ascii="仿宋_GB2312" w:hAnsi="楷体" w:eastAsia="仿宋_GB2312" w:cs="Arial"/>
          <w:sz w:val="28"/>
          <w:szCs w:val="28"/>
        </w:rPr>
      </w:pPr>
      <w:r>
        <w:rPr>
          <w:rFonts w:hint="eastAsia" w:ascii="仿宋_GB2312" w:hAnsi="楷体" w:eastAsia="仿宋_GB2312" w:cs="Arial"/>
          <w:sz w:val="28"/>
          <w:szCs w:val="28"/>
        </w:rPr>
        <w:t>未来第1年潜在毛租金收入（每年按365天计）</w:t>
      </w:r>
    </w:p>
    <w:p>
      <w:pPr>
        <w:spacing w:line="540" w:lineRule="exact"/>
        <w:ind w:firstLine="570"/>
        <w:rPr>
          <w:rFonts w:ascii="仿宋_GB2312" w:hAnsi="楷体" w:eastAsia="仿宋_GB2312" w:cs="Arial"/>
          <w:sz w:val="28"/>
          <w:szCs w:val="28"/>
        </w:rPr>
      </w:pPr>
      <w:r>
        <w:rPr>
          <w:rFonts w:hint="eastAsia" w:ascii="仿宋_GB2312" w:hAnsi="楷体" w:eastAsia="仿宋_GB2312" w:cs="Arial"/>
          <w:sz w:val="28"/>
          <w:szCs w:val="28"/>
        </w:rPr>
        <w:t>未来第1年潜在毛租金收入＝</w:t>
      </w:r>
      <w:r>
        <w:rPr>
          <w:rFonts w:hint="eastAsia" w:ascii="仿宋_GB2312" w:hAnsi="楷体" w:eastAsia="仿宋_GB2312" w:cs="Arial"/>
          <w:sz w:val="28"/>
          <w:szCs w:val="28"/>
          <w:lang w:eastAsia="zh-CN"/>
        </w:rPr>
        <w:t>95.57</w:t>
      </w:r>
      <w:r>
        <w:rPr>
          <w:rFonts w:hint="eastAsia" w:ascii="仿宋_GB2312" w:hAnsi="楷体" w:eastAsia="仿宋_GB2312" w:cs="Arial"/>
          <w:sz w:val="28"/>
          <w:szCs w:val="28"/>
        </w:rPr>
        <w:t>元/年·平方米</w:t>
      </w:r>
    </w:p>
    <w:p>
      <w:pPr>
        <w:spacing w:line="540" w:lineRule="exact"/>
        <w:rPr>
          <w:rFonts w:ascii="仿宋_GB2312" w:hAnsi="楷体" w:eastAsia="仿宋_GB2312" w:cs="Arial"/>
          <w:sz w:val="28"/>
          <w:szCs w:val="28"/>
        </w:rPr>
      </w:pPr>
      <w:r>
        <w:rPr>
          <w:rFonts w:hint="eastAsia" w:ascii="仿宋_GB2312" w:hAnsi="楷体" w:eastAsia="仿宋_GB2312" w:cs="Arial"/>
          <w:sz w:val="28"/>
          <w:szCs w:val="28"/>
        </w:rPr>
        <w:t xml:space="preserve">    根据估价人员对周边市场的调查，空置率为</w:t>
      </w:r>
      <w:r>
        <w:rPr>
          <w:rFonts w:ascii="仿宋_GB2312" w:hAnsi="楷体" w:eastAsia="仿宋_GB2312" w:cs="Arial"/>
          <w:sz w:val="28"/>
          <w:szCs w:val="28"/>
        </w:rPr>
        <w:t>5%</w:t>
      </w:r>
      <w:r>
        <w:rPr>
          <w:rFonts w:hint="eastAsia" w:ascii="仿宋_GB2312" w:hAnsi="楷体" w:eastAsia="仿宋_GB2312" w:cs="Arial"/>
          <w:sz w:val="28"/>
          <w:szCs w:val="28"/>
        </w:rPr>
        <w:t>，有效自用面积为</w:t>
      </w:r>
      <w:r>
        <w:rPr>
          <w:rFonts w:ascii="仿宋_GB2312" w:hAnsi="楷体" w:eastAsia="仿宋_GB2312" w:cs="Arial"/>
          <w:sz w:val="28"/>
          <w:szCs w:val="28"/>
        </w:rPr>
        <w:t>95%,</w:t>
      </w:r>
      <w:r>
        <w:rPr>
          <w:rFonts w:hint="eastAsia" w:ascii="仿宋_GB2312" w:hAnsi="楷体" w:eastAsia="仿宋_GB2312" w:cs="Arial"/>
          <w:sz w:val="28"/>
          <w:szCs w:val="28"/>
        </w:rPr>
        <w:t>则有效毛租金收入</w:t>
      </w:r>
    </w:p>
    <w:p>
      <w:pPr>
        <w:spacing w:line="360" w:lineRule="auto"/>
        <w:ind w:firstLine="845" w:firstLineChars="302"/>
        <w:rPr>
          <w:rFonts w:ascii="仿宋_GB2312" w:hAnsi="楷体" w:eastAsia="仿宋_GB2312" w:cs="Arial"/>
          <w:sz w:val="28"/>
          <w:szCs w:val="28"/>
        </w:rPr>
      </w:pPr>
      <w:r>
        <w:rPr>
          <w:rFonts w:hint="eastAsia" w:ascii="仿宋_GB2312" w:hAnsi="楷体" w:eastAsia="仿宋_GB2312" w:cs="Arial"/>
          <w:sz w:val="28"/>
          <w:szCs w:val="28"/>
          <w:lang w:eastAsia="zh-CN"/>
        </w:rPr>
        <w:t>95.57</w:t>
      </w:r>
      <w:r>
        <w:rPr>
          <w:rFonts w:hint="eastAsia" w:ascii="仿宋_GB2312" w:hAnsi="楷体" w:eastAsia="仿宋_GB2312" w:cs="Arial"/>
          <w:sz w:val="28"/>
          <w:szCs w:val="28"/>
        </w:rPr>
        <w:t>×（</w:t>
      </w:r>
      <w:r>
        <w:rPr>
          <w:rFonts w:ascii="仿宋_GB2312" w:hAnsi="楷体" w:eastAsia="仿宋_GB2312" w:cs="Arial"/>
          <w:sz w:val="28"/>
          <w:szCs w:val="28"/>
        </w:rPr>
        <w:t>1-5%</w:t>
      </w:r>
      <w:r>
        <w:rPr>
          <w:rFonts w:hint="eastAsia" w:ascii="仿宋_GB2312" w:hAnsi="楷体" w:eastAsia="仿宋_GB2312" w:cs="Arial"/>
          <w:sz w:val="28"/>
          <w:szCs w:val="28"/>
        </w:rPr>
        <w:t>）×</w:t>
      </w:r>
      <w:r>
        <w:rPr>
          <w:rFonts w:ascii="仿宋_GB2312" w:hAnsi="楷体" w:eastAsia="仿宋_GB2312" w:cs="Arial"/>
          <w:sz w:val="28"/>
          <w:szCs w:val="28"/>
        </w:rPr>
        <w:t>95%=</w:t>
      </w:r>
      <w:r>
        <w:rPr>
          <w:rFonts w:hint="eastAsia" w:ascii="仿宋_GB2312" w:hAnsi="楷体" w:eastAsia="仿宋_GB2312" w:cs="Arial"/>
          <w:sz w:val="28"/>
          <w:szCs w:val="28"/>
          <w:lang w:val="en-US" w:eastAsia="zh-CN"/>
        </w:rPr>
        <w:t>86.25</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numPr>
          <w:ilvl w:val="0"/>
          <w:numId w:val="14"/>
        </w:numPr>
        <w:spacing w:line="360" w:lineRule="auto"/>
        <w:ind w:left="0" w:firstLine="485"/>
        <w:rPr>
          <w:rFonts w:ascii="仿宋_GB2312" w:hAnsi="楷体" w:eastAsia="仿宋_GB2312" w:cs="Arial"/>
          <w:sz w:val="28"/>
          <w:szCs w:val="28"/>
        </w:rPr>
      </w:pPr>
      <w:r>
        <w:rPr>
          <w:rFonts w:hint="eastAsia" w:ascii="仿宋_GB2312" w:hAnsi="楷体" w:eastAsia="仿宋_GB2312" w:cs="Arial"/>
          <w:sz w:val="28"/>
          <w:szCs w:val="28"/>
        </w:rPr>
        <w:t xml:space="preserve"> 未来第1年潜在押金利息收入</w:t>
      </w:r>
    </w:p>
    <w:p>
      <w:pPr>
        <w:spacing w:line="360" w:lineRule="auto"/>
        <w:rPr>
          <w:rFonts w:ascii="仿宋_GB2312" w:hAnsi="楷体" w:eastAsia="仿宋_GB2312" w:cs="Arial"/>
          <w:sz w:val="28"/>
          <w:szCs w:val="28"/>
        </w:rPr>
      </w:pPr>
      <w:r>
        <w:rPr>
          <w:rFonts w:hint="eastAsia" w:ascii="仿宋_GB2312" w:hAnsi="楷体" w:eastAsia="仿宋_GB2312" w:cs="Arial"/>
          <w:sz w:val="28"/>
          <w:szCs w:val="28"/>
        </w:rPr>
        <w:t xml:space="preserve">    根据市场调查及结合估价人员的工作经验，住宅用房自用押金一般为</w:t>
      </w:r>
      <w:r>
        <w:rPr>
          <w:rFonts w:ascii="仿宋_GB2312" w:hAnsi="楷体" w:eastAsia="仿宋_GB2312" w:cs="Arial"/>
          <w:sz w:val="28"/>
          <w:szCs w:val="28"/>
        </w:rPr>
        <w:t>2</w:t>
      </w:r>
      <w:r>
        <w:rPr>
          <w:rFonts w:hint="eastAsia" w:ascii="仿宋_GB2312" w:hAnsi="楷体" w:eastAsia="仿宋_GB2312" w:cs="Arial"/>
          <w:sz w:val="28"/>
          <w:szCs w:val="28"/>
        </w:rPr>
        <w:t>个月，同时，估价对象于价值时点</w:t>
      </w:r>
      <w:r>
        <w:rPr>
          <w:rFonts w:ascii="仿宋_GB2312" w:hAnsi="楷体" w:eastAsia="仿宋_GB2312" w:cs="Arial"/>
          <w:sz w:val="28"/>
          <w:szCs w:val="28"/>
        </w:rPr>
        <w:t>2018年10月24日</w:t>
      </w:r>
      <w:r>
        <w:rPr>
          <w:rFonts w:hint="eastAsia" w:ascii="仿宋_GB2312" w:hAnsi="楷体" w:eastAsia="仿宋_GB2312" w:cs="Arial"/>
          <w:sz w:val="28"/>
          <w:szCs w:val="28"/>
        </w:rPr>
        <w:t>的活期存款利率为</w:t>
      </w:r>
      <w:r>
        <w:rPr>
          <w:rFonts w:ascii="仿宋_GB2312" w:hAnsi="楷体" w:eastAsia="仿宋_GB2312" w:cs="Arial"/>
          <w:sz w:val="28"/>
          <w:szCs w:val="28"/>
        </w:rPr>
        <w:t>0.3</w:t>
      </w:r>
      <w:r>
        <w:rPr>
          <w:rFonts w:hint="eastAsia" w:ascii="仿宋_GB2312" w:hAnsi="楷体" w:eastAsia="仿宋_GB2312" w:cs="Arial"/>
          <w:sz w:val="28"/>
          <w:szCs w:val="28"/>
        </w:rPr>
        <w:t>5％，则</w:t>
      </w:r>
    </w:p>
    <w:p>
      <w:pPr>
        <w:spacing w:line="360" w:lineRule="auto"/>
        <w:ind w:firstLine="570"/>
        <w:rPr>
          <w:rFonts w:ascii="仿宋_GB2312" w:hAnsi="楷体" w:eastAsia="仿宋_GB2312" w:cs="Arial"/>
          <w:sz w:val="28"/>
          <w:szCs w:val="28"/>
        </w:rPr>
      </w:pPr>
      <w:r>
        <w:rPr>
          <w:rFonts w:hint="eastAsia" w:ascii="仿宋_GB2312" w:hAnsi="楷体" w:eastAsia="仿宋_GB2312" w:cs="Arial"/>
          <w:sz w:val="28"/>
          <w:szCs w:val="28"/>
        </w:rPr>
        <w:t>未来第</w:t>
      </w:r>
      <w:r>
        <w:rPr>
          <w:rFonts w:ascii="仿宋_GB2312" w:hAnsi="楷体" w:eastAsia="仿宋_GB2312" w:cs="Arial"/>
          <w:sz w:val="28"/>
          <w:szCs w:val="28"/>
        </w:rPr>
        <w:t>1</w:t>
      </w:r>
      <w:r>
        <w:rPr>
          <w:rFonts w:hint="eastAsia" w:ascii="仿宋_GB2312" w:hAnsi="楷体" w:eastAsia="仿宋_GB2312" w:cs="Arial"/>
          <w:sz w:val="28"/>
          <w:szCs w:val="28"/>
        </w:rPr>
        <w:t>年潜在押金利息收入＝年毛租金÷</w:t>
      </w:r>
      <w:r>
        <w:rPr>
          <w:rFonts w:ascii="仿宋_GB2312" w:hAnsi="楷体" w:eastAsia="仿宋_GB2312" w:cs="Arial"/>
          <w:sz w:val="28"/>
          <w:szCs w:val="28"/>
        </w:rPr>
        <w:t>12</w:t>
      </w:r>
      <w:r>
        <w:rPr>
          <w:rFonts w:hint="eastAsia" w:ascii="仿宋_GB2312" w:hAnsi="楷体" w:eastAsia="仿宋_GB2312" w:cs="Arial"/>
          <w:sz w:val="28"/>
          <w:szCs w:val="28"/>
        </w:rPr>
        <w:t>×</w:t>
      </w:r>
      <w:r>
        <w:rPr>
          <w:rFonts w:ascii="仿宋_GB2312" w:hAnsi="楷体" w:eastAsia="仿宋_GB2312" w:cs="Arial"/>
          <w:sz w:val="28"/>
          <w:szCs w:val="28"/>
        </w:rPr>
        <w:t>2</w:t>
      </w:r>
      <w:r>
        <w:rPr>
          <w:rFonts w:hint="eastAsia" w:ascii="仿宋_GB2312" w:hAnsi="楷体" w:eastAsia="仿宋_GB2312" w:cs="Arial"/>
          <w:sz w:val="28"/>
          <w:szCs w:val="28"/>
        </w:rPr>
        <w:t>×活期存款利率</w:t>
      </w:r>
    </w:p>
    <w:p>
      <w:pPr>
        <w:spacing w:line="360" w:lineRule="auto"/>
        <w:ind w:firstLine="2694"/>
        <w:rPr>
          <w:rFonts w:ascii="仿宋_GB2312" w:hAnsi="楷体" w:eastAsia="仿宋_GB2312" w:cs="Arial"/>
          <w:sz w:val="28"/>
          <w:szCs w:val="28"/>
        </w:rPr>
      </w:pPr>
      <w:r>
        <w:rPr>
          <w:rFonts w:hint="eastAsia" w:ascii="仿宋_GB2312" w:hAnsi="楷体" w:eastAsia="仿宋_GB2312" w:cs="Arial"/>
          <w:sz w:val="28"/>
          <w:szCs w:val="28"/>
        </w:rPr>
        <w:t>＝</w:t>
      </w:r>
      <w:r>
        <w:rPr>
          <w:rFonts w:hint="eastAsia" w:ascii="仿宋_GB2312" w:hAnsi="楷体" w:eastAsia="仿宋_GB2312" w:cs="Arial"/>
          <w:sz w:val="28"/>
          <w:szCs w:val="28"/>
          <w:lang w:eastAsia="zh-CN"/>
        </w:rPr>
        <w:t>95.57</w:t>
      </w:r>
      <w:r>
        <w:rPr>
          <w:rFonts w:hint="eastAsia" w:ascii="仿宋_GB2312" w:hAnsi="楷体" w:eastAsia="仿宋_GB2312" w:cs="Arial"/>
          <w:sz w:val="28"/>
          <w:szCs w:val="28"/>
        </w:rPr>
        <w:t>÷</w:t>
      </w:r>
      <w:r>
        <w:rPr>
          <w:rFonts w:ascii="仿宋_GB2312" w:hAnsi="楷体" w:eastAsia="仿宋_GB2312" w:cs="Arial"/>
          <w:sz w:val="28"/>
          <w:szCs w:val="28"/>
        </w:rPr>
        <w:t>12</w:t>
      </w:r>
      <w:r>
        <w:rPr>
          <w:rFonts w:hint="eastAsia" w:ascii="仿宋_GB2312" w:hAnsi="楷体" w:eastAsia="仿宋_GB2312" w:cs="Arial"/>
          <w:sz w:val="28"/>
          <w:szCs w:val="28"/>
        </w:rPr>
        <w:t>×</w:t>
      </w:r>
      <w:r>
        <w:rPr>
          <w:rFonts w:ascii="仿宋_GB2312" w:hAnsi="楷体" w:eastAsia="仿宋_GB2312" w:cs="Arial"/>
          <w:sz w:val="28"/>
          <w:szCs w:val="28"/>
        </w:rPr>
        <w:t>2</w:t>
      </w:r>
      <w:r>
        <w:rPr>
          <w:rFonts w:hint="eastAsia" w:ascii="仿宋_GB2312" w:hAnsi="楷体" w:eastAsia="仿宋_GB2312" w:cs="Arial"/>
          <w:sz w:val="28"/>
          <w:szCs w:val="28"/>
        </w:rPr>
        <w:t>×</w:t>
      </w:r>
      <w:r>
        <w:rPr>
          <w:rFonts w:ascii="仿宋_GB2312" w:hAnsi="楷体" w:eastAsia="仿宋_GB2312" w:cs="Arial"/>
          <w:sz w:val="28"/>
          <w:szCs w:val="28"/>
        </w:rPr>
        <w:t>0.3</w:t>
      </w:r>
      <w:r>
        <w:rPr>
          <w:rFonts w:hint="eastAsia" w:ascii="仿宋_GB2312" w:hAnsi="楷体" w:eastAsia="仿宋_GB2312" w:cs="Arial"/>
          <w:sz w:val="28"/>
          <w:szCs w:val="28"/>
        </w:rPr>
        <w:t>5％</w:t>
      </w:r>
    </w:p>
    <w:p>
      <w:pPr>
        <w:spacing w:line="360" w:lineRule="auto"/>
        <w:ind w:firstLine="2694"/>
        <w:rPr>
          <w:rFonts w:ascii="仿宋_GB2312" w:hAnsi="楷体" w:eastAsia="仿宋_GB2312" w:cs="Arial"/>
          <w:sz w:val="28"/>
          <w:szCs w:val="28"/>
        </w:rPr>
      </w:pPr>
      <w:r>
        <w:rPr>
          <w:rFonts w:hint="eastAsia" w:ascii="仿宋_GB2312" w:hAnsi="楷体" w:eastAsia="仿宋_GB2312" w:cs="Arial"/>
          <w:sz w:val="28"/>
          <w:szCs w:val="28"/>
        </w:rPr>
        <w:t>＝</w:t>
      </w:r>
      <w:r>
        <w:rPr>
          <w:rFonts w:ascii="仿宋_GB2312" w:hAnsi="楷体" w:eastAsia="仿宋_GB2312" w:cs="Arial"/>
          <w:sz w:val="28"/>
          <w:szCs w:val="28"/>
        </w:rPr>
        <w:t>0.</w:t>
      </w:r>
      <w:r>
        <w:rPr>
          <w:rFonts w:hint="eastAsia" w:ascii="仿宋_GB2312" w:hAnsi="楷体" w:eastAsia="仿宋_GB2312" w:cs="Arial"/>
          <w:sz w:val="28"/>
          <w:szCs w:val="28"/>
        </w:rPr>
        <w:t>0</w:t>
      </w:r>
      <w:r>
        <w:rPr>
          <w:rFonts w:hint="eastAsia" w:ascii="仿宋_GB2312" w:hAnsi="楷体" w:eastAsia="仿宋_GB2312" w:cs="Arial"/>
          <w:sz w:val="28"/>
          <w:szCs w:val="28"/>
          <w:lang w:val="en-US" w:eastAsia="zh-CN"/>
        </w:rPr>
        <w:t>6</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年·平方米</w:t>
      </w:r>
    </w:p>
    <w:p>
      <w:pPr>
        <w:numPr>
          <w:ilvl w:val="0"/>
          <w:numId w:val="14"/>
        </w:numPr>
        <w:spacing w:line="360" w:lineRule="auto"/>
        <w:ind w:left="0" w:firstLine="485"/>
        <w:rPr>
          <w:rFonts w:ascii="仿宋_GB2312" w:hAnsi="楷体" w:eastAsia="仿宋_GB2312" w:cs="Arial"/>
          <w:sz w:val="28"/>
          <w:szCs w:val="28"/>
        </w:rPr>
      </w:pPr>
      <w:r>
        <w:rPr>
          <w:rFonts w:hint="eastAsia" w:ascii="仿宋_GB2312" w:hAnsi="楷体" w:eastAsia="仿宋_GB2312" w:cs="Arial"/>
          <w:sz w:val="28"/>
          <w:szCs w:val="28"/>
        </w:rPr>
        <w:t>未来第1年其他收入确定</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估价对象位于1层，现作为住宅用房自用经营，除上述房地产自用收入和租赁押金收入外，无其他收入。</w:t>
      </w:r>
    </w:p>
    <w:p>
      <w:pPr>
        <w:numPr>
          <w:ilvl w:val="0"/>
          <w:numId w:val="14"/>
        </w:numPr>
        <w:spacing w:line="360" w:lineRule="auto"/>
        <w:ind w:left="0" w:firstLine="485"/>
        <w:rPr>
          <w:rFonts w:ascii="仿宋_GB2312" w:hAnsi="楷体" w:eastAsia="仿宋_GB2312" w:cs="Arial"/>
          <w:sz w:val="28"/>
          <w:szCs w:val="28"/>
        </w:rPr>
      </w:pPr>
      <w:r>
        <w:rPr>
          <w:rFonts w:hint="eastAsia" w:ascii="仿宋_GB2312" w:hAnsi="楷体" w:eastAsia="仿宋_GB2312" w:cs="Arial"/>
          <w:sz w:val="28"/>
          <w:szCs w:val="28"/>
        </w:rPr>
        <w:t xml:space="preserve"> 未来第1年潜在毛收入</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未来第1年潜在毛收入＝未来第1年有效毛租金收入+未来第1年潜在押金利息收入＋未来第1年其他收入＝</w:t>
      </w:r>
      <w:r>
        <w:rPr>
          <w:rFonts w:hint="eastAsia" w:ascii="仿宋_GB2312" w:hAnsi="楷体" w:eastAsia="仿宋_GB2312" w:cs="Arial"/>
          <w:sz w:val="28"/>
          <w:szCs w:val="28"/>
          <w:lang w:val="en-US" w:eastAsia="zh-CN"/>
        </w:rPr>
        <w:t>86.25</w:t>
      </w:r>
      <w:r>
        <w:rPr>
          <w:rFonts w:hint="eastAsia" w:ascii="仿宋_GB2312" w:hAnsi="楷体" w:eastAsia="仿宋_GB2312" w:cs="Arial"/>
          <w:sz w:val="28"/>
          <w:szCs w:val="28"/>
        </w:rPr>
        <w:t>+0.0</w:t>
      </w:r>
      <w:r>
        <w:rPr>
          <w:rFonts w:hint="eastAsia" w:ascii="仿宋_GB2312" w:hAnsi="楷体" w:eastAsia="仿宋_GB2312" w:cs="Arial"/>
          <w:sz w:val="28"/>
          <w:szCs w:val="28"/>
          <w:lang w:val="en-US" w:eastAsia="zh-CN"/>
        </w:rPr>
        <w:t>6</w:t>
      </w:r>
      <w:r>
        <w:rPr>
          <w:rFonts w:hint="eastAsia" w:ascii="仿宋_GB2312" w:hAnsi="楷体" w:eastAsia="仿宋_GB2312" w:cs="Arial"/>
          <w:sz w:val="28"/>
          <w:szCs w:val="28"/>
        </w:rPr>
        <w:t>+0＝</w:t>
      </w:r>
      <w:r>
        <w:rPr>
          <w:rFonts w:hint="eastAsia" w:ascii="仿宋_GB2312" w:hAnsi="楷体" w:eastAsia="仿宋_GB2312" w:cs="Arial"/>
          <w:sz w:val="28"/>
          <w:szCs w:val="28"/>
          <w:lang w:val="en-US" w:eastAsia="zh-CN"/>
        </w:rPr>
        <w:t>86.31</w:t>
      </w:r>
      <w:r>
        <w:rPr>
          <w:rFonts w:hint="eastAsia" w:ascii="仿宋_GB2312" w:hAnsi="楷体" w:eastAsia="仿宋_GB2312" w:cs="Arial"/>
          <w:sz w:val="28"/>
          <w:szCs w:val="28"/>
        </w:rPr>
        <w:t>元/年·平方米</w:t>
      </w:r>
    </w:p>
    <w:p>
      <w:pPr>
        <w:spacing w:line="360" w:lineRule="auto"/>
        <w:ind w:firstLine="568" w:firstLineChars="202"/>
        <w:rPr>
          <w:rFonts w:ascii="仿宋_GB2312" w:hAnsi="楷体" w:eastAsia="仿宋_GB2312" w:cs="Arial"/>
          <w:sz w:val="28"/>
          <w:szCs w:val="28"/>
        </w:rPr>
      </w:pPr>
      <w:r>
        <w:rPr>
          <w:rFonts w:hint="eastAsia" w:ascii="仿宋_GB2312" w:hAnsi="楷体" w:eastAsia="仿宋_GB2312"/>
          <w:b/>
          <w:sz w:val="28"/>
          <w:szCs w:val="28"/>
        </w:rPr>
        <w:t>4)自用净收入</w:t>
      </w:r>
    </w:p>
    <w:p>
      <w:pPr>
        <w:ind w:firstLine="560" w:firstLineChars="200"/>
        <w:rPr>
          <w:rFonts w:ascii="仿宋_GB2312" w:hAnsi="楷体" w:eastAsia="仿宋_GB2312" w:cs="Arial"/>
          <w:sz w:val="28"/>
          <w:szCs w:val="28"/>
        </w:rPr>
      </w:pPr>
      <w:r>
        <w:rPr>
          <w:rFonts w:ascii="仿宋_GB2312" w:hAnsi="楷体" w:eastAsia="仿宋_GB2312" w:cs="Arial"/>
          <w:sz w:val="28"/>
          <w:szCs w:val="28"/>
        </w:rPr>
        <w:fldChar w:fldCharType="begin"/>
      </w:r>
      <w:r>
        <w:rPr>
          <w:rFonts w:ascii="仿宋_GB2312" w:hAnsi="楷体" w:eastAsia="仿宋_GB2312" w:cs="Arial"/>
          <w:sz w:val="28"/>
          <w:szCs w:val="28"/>
        </w:rPr>
        <w:instrText xml:space="preserve"> </w:instrText>
      </w:r>
      <w:r>
        <w:rPr>
          <w:rFonts w:hint="eastAsia" w:ascii="仿宋_GB2312" w:hAnsi="楷体" w:eastAsia="仿宋_GB2312" w:cs="Arial"/>
          <w:sz w:val="28"/>
          <w:szCs w:val="28"/>
        </w:rPr>
        <w:instrText xml:space="preserve">= 1 \* GB3</w:instrText>
      </w:r>
      <w:r>
        <w:rPr>
          <w:rFonts w:ascii="仿宋_GB2312" w:hAnsi="楷体" w:eastAsia="仿宋_GB2312" w:cs="Arial"/>
          <w:sz w:val="28"/>
          <w:szCs w:val="28"/>
        </w:rPr>
        <w:instrText xml:space="preserve"> </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①</w:t>
      </w:r>
      <w:r>
        <w:rPr>
          <w:rFonts w:ascii="仿宋_GB2312" w:hAnsi="楷体" w:eastAsia="仿宋_GB2312" w:cs="Arial"/>
          <w:sz w:val="28"/>
          <w:szCs w:val="28"/>
        </w:rPr>
        <w:fldChar w:fldCharType="end"/>
      </w:r>
      <w:r>
        <w:rPr>
          <w:rFonts w:hint="eastAsia" w:ascii="仿宋_GB2312" w:hAnsi="楷体" w:eastAsia="仿宋_GB2312" w:cs="Arial"/>
          <w:sz w:val="28"/>
          <w:szCs w:val="28"/>
        </w:rPr>
        <w:t>维修费</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指为保障房屋正常使用每年需支付的修缮费。一般参考委托方的实际维修费，按建筑物重置价的</w:t>
      </w:r>
      <w:r>
        <w:rPr>
          <w:rFonts w:ascii="仿宋_GB2312" w:hAnsi="楷体" w:eastAsia="仿宋_GB2312" w:cs="Arial"/>
          <w:sz w:val="28"/>
          <w:szCs w:val="28"/>
        </w:rPr>
        <w:t>2%</w:t>
      </w:r>
      <w:r>
        <w:rPr>
          <w:rFonts w:hint="eastAsia" w:ascii="仿宋_GB2312" w:hAnsi="楷体" w:eastAsia="仿宋_GB2312" w:cs="Arial"/>
          <w:sz w:val="28"/>
          <w:szCs w:val="28"/>
        </w:rPr>
        <w:t>计算。重置价根据《内蒙古自治区</w:t>
      </w:r>
      <w:r>
        <w:rPr>
          <w:rFonts w:hint="eastAsia" w:ascii="仿宋_GB2312" w:hAnsi="楷体" w:eastAsia="仿宋_GB2312" w:cs="Arial"/>
          <w:sz w:val="28"/>
          <w:szCs w:val="28"/>
          <w:lang w:eastAsia="zh-CN"/>
        </w:rPr>
        <w:t>乌拉特后旗巴音宝力格镇</w:t>
      </w:r>
      <w:r>
        <w:rPr>
          <w:rFonts w:hint="eastAsia" w:ascii="仿宋_GB2312" w:hAnsi="楷体" w:eastAsia="仿宋_GB2312" w:cs="Arial"/>
          <w:sz w:val="28"/>
          <w:szCs w:val="28"/>
        </w:rPr>
        <w:t>临河区土地定级与基准地价更新技术报告》市场建筑费用确定为</w:t>
      </w:r>
      <w:r>
        <w:rPr>
          <w:rFonts w:hint="eastAsia" w:ascii="仿宋_GB2312" w:hAnsi="楷体" w:eastAsia="仿宋_GB2312" w:cs="Arial"/>
          <w:sz w:val="28"/>
          <w:szCs w:val="28"/>
          <w:lang w:val="en-US" w:eastAsia="zh-CN"/>
        </w:rPr>
        <w:t>120</w:t>
      </w:r>
      <w:r>
        <w:rPr>
          <w:rFonts w:hint="eastAsia" w:ascii="仿宋_GB2312" w:hAnsi="楷体" w:eastAsia="仿宋_GB2312" w:cs="Arial"/>
          <w:sz w:val="28"/>
          <w:szCs w:val="28"/>
        </w:rPr>
        <w:t>0元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年维修费</w:t>
      </w:r>
      <w:r>
        <w:rPr>
          <w:rFonts w:ascii="仿宋_GB2312" w:hAnsi="楷体" w:eastAsia="仿宋_GB2312" w:cs="Arial"/>
          <w:sz w:val="28"/>
          <w:szCs w:val="28"/>
        </w:rPr>
        <w:t>=</w:t>
      </w:r>
      <w:r>
        <w:rPr>
          <w:rFonts w:hint="eastAsia" w:ascii="仿宋_GB2312" w:hAnsi="楷体" w:eastAsia="仿宋_GB2312" w:cs="Arial"/>
          <w:sz w:val="28"/>
          <w:szCs w:val="28"/>
          <w:lang w:val="en-US" w:eastAsia="zh-CN"/>
        </w:rPr>
        <w:t>120</w:t>
      </w:r>
      <w:r>
        <w:rPr>
          <w:rFonts w:hint="eastAsia" w:ascii="仿宋_GB2312" w:hAnsi="楷体" w:eastAsia="仿宋_GB2312" w:cs="Arial"/>
          <w:sz w:val="28"/>
          <w:szCs w:val="28"/>
        </w:rPr>
        <w:t>0×</w:t>
      </w:r>
      <w:r>
        <w:rPr>
          <w:rFonts w:ascii="仿宋_GB2312" w:hAnsi="楷体" w:eastAsia="仿宋_GB2312" w:cs="Arial"/>
          <w:sz w:val="28"/>
          <w:szCs w:val="28"/>
        </w:rPr>
        <w:t>2%=</w:t>
      </w:r>
      <w:r>
        <w:rPr>
          <w:rFonts w:hint="eastAsia" w:ascii="仿宋_GB2312" w:hAnsi="楷体" w:eastAsia="仿宋_GB2312" w:cs="Arial"/>
          <w:sz w:val="28"/>
          <w:szCs w:val="28"/>
          <w:lang w:val="en-US" w:eastAsia="zh-CN"/>
        </w:rPr>
        <w:t>24</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spacing w:line="360" w:lineRule="auto"/>
        <w:ind w:firstLine="565" w:firstLineChars="202"/>
        <w:rPr>
          <w:rFonts w:ascii="仿宋_GB2312" w:hAnsi="楷体" w:eastAsia="仿宋_GB2312" w:cs="Arial"/>
          <w:sz w:val="28"/>
          <w:szCs w:val="28"/>
        </w:rPr>
      </w:pPr>
      <w:r>
        <w:rPr>
          <w:rFonts w:ascii="仿宋_GB2312" w:hAnsi="楷体" w:eastAsia="仿宋_GB2312" w:cs="Arial"/>
          <w:sz w:val="28"/>
          <w:szCs w:val="28"/>
        </w:rPr>
        <w:fldChar w:fldCharType="begin"/>
      </w:r>
      <w:r>
        <w:rPr>
          <w:rFonts w:ascii="仿宋_GB2312" w:hAnsi="楷体" w:eastAsia="仿宋_GB2312" w:cs="Arial"/>
          <w:sz w:val="28"/>
          <w:szCs w:val="28"/>
        </w:rPr>
        <w:instrText xml:space="preserve"> </w:instrText>
      </w:r>
      <w:r>
        <w:rPr>
          <w:rFonts w:hint="eastAsia" w:ascii="仿宋_GB2312" w:hAnsi="楷体" w:eastAsia="仿宋_GB2312" w:cs="Arial"/>
          <w:sz w:val="28"/>
          <w:szCs w:val="28"/>
        </w:rPr>
        <w:instrText xml:space="preserve">= 2 \* GB3</w:instrText>
      </w:r>
      <w:r>
        <w:rPr>
          <w:rFonts w:ascii="仿宋_GB2312" w:hAnsi="楷体" w:eastAsia="仿宋_GB2312" w:cs="Arial"/>
          <w:sz w:val="28"/>
          <w:szCs w:val="28"/>
        </w:rPr>
        <w:instrText xml:space="preserve"> </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②</w:t>
      </w:r>
      <w:r>
        <w:rPr>
          <w:rFonts w:ascii="仿宋_GB2312" w:hAnsi="楷体" w:eastAsia="仿宋_GB2312" w:cs="Arial"/>
          <w:sz w:val="28"/>
          <w:szCs w:val="28"/>
        </w:rPr>
        <w:fldChar w:fldCharType="end"/>
      </w:r>
      <w:r>
        <w:rPr>
          <w:rFonts w:hint="eastAsia" w:ascii="仿宋_GB2312" w:hAnsi="楷体" w:eastAsia="仿宋_GB2312" w:cs="Arial"/>
          <w:sz w:val="28"/>
          <w:szCs w:val="28"/>
        </w:rPr>
        <w:t>管理费：</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指对自用房屋进行的必要管理所需的费用。按年租赁收入的3</w:t>
      </w:r>
      <w:r>
        <w:rPr>
          <w:rFonts w:ascii="仿宋_GB2312" w:hAnsi="楷体" w:eastAsia="仿宋_GB2312" w:cs="Arial"/>
          <w:sz w:val="28"/>
          <w:szCs w:val="28"/>
        </w:rPr>
        <w:t>%</w:t>
      </w:r>
      <w:r>
        <w:rPr>
          <w:rFonts w:hint="eastAsia" w:ascii="仿宋_GB2312" w:hAnsi="楷体" w:eastAsia="仿宋_GB2312" w:cs="Arial"/>
          <w:sz w:val="28"/>
          <w:szCs w:val="28"/>
        </w:rPr>
        <w:t>收取。</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年管理费</w:t>
      </w:r>
      <w:r>
        <w:rPr>
          <w:rFonts w:ascii="仿宋_GB2312" w:hAnsi="楷体" w:eastAsia="仿宋_GB2312" w:cs="Arial"/>
          <w:sz w:val="28"/>
          <w:szCs w:val="28"/>
        </w:rPr>
        <w:t>=</w:t>
      </w:r>
      <w:r>
        <w:rPr>
          <w:rFonts w:hint="eastAsia" w:ascii="仿宋_GB2312" w:hAnsi="楷体" w:eastAsia="仿宋_GB2312" w:cs="Arial"/>
          <w:sz w:val="28"/>
          <w:szCs w:val="28"/>
          <w:lang w:eastAsia="zh-CN"/>
        </w:rPr>
        <w:t>86.31</w:t>
      </w:r>
      <w:r>
        <w:rPr>
          <w:rFonts w:hint="eastAsia" w:ascii="仿宋_GB2312" w:hAnsi="楷体" w:eastAsia="仿宋_GB2312" w:cs="Arial"/>
          <w:sz w:val="28"/>
          <w:szCs w:val="28"/>
        </w:rPr>
        <w:t>×3</w:t>
      </w:r>
      <w:r>
        <w:rPr>
          <w:rFonts w:ascii="仿宋_GB2312" w:hAnsi="楷体" w:eastAsia="仿宋_GB2312" w:cs="Arial"/>
          <w:sz w:val="28"/>
          <w:szCs w:val="28"/>
        </w:rPr>
        <w:t>%=</w:t>
      </w:r>
      <w:r>
        <w:rPr>
          <w:rFonts w:hint="eastAsia" w:ascii="仿宋_GB2312" w:hAnsi="楷体" w:eastAsia="仿宋_GB2312" w:cs="Arial"/>
          <w:sz w:val="28"/>
          <w:szCs w:val="28"/>
          <w:lang w:val="en-US" w:eastAsia="zh-CN"/>
        </w:rPr>
        <w:t>2.59</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平方米·年</w:t>
      </w:r>
    </w:p>
    <w:p>
      <w:pPr>
        <w:spacing w:line="360" w:lineRule="auto"/>
        <w:ind w:firstLine="565" w:firstLineChars="202"/>
        <w:rPr>
          <w:rFonts w:ascii="仿宋_GB2312" w:hAnsi="楷体" w:eastAsia="仿宋_GB2312" w:cs="Arial"/>
          <w:sz w:val="28"/>
          <w:szCs w:val="28"/>
        </w:rPr>
      </w:pPr>
      <w:r>
        <w:rPr>
          <w:rFonts w:ascii="仿宋_GB2312" w:hAnsi="楷体" w:eastAsia="仿宋_GB2312" w:cs="Arial"/>
          <w:sz w:val="28"/>
          <w:szCs w:val="28"/>
        </w:rPr>
        <w:fldChar w:fldCharType="begin"/>
      </w:r>
      <w:r>
        <w:rPr>
          <w:rFonts w:ascii="仿宋_GB2312" w:hAnsi="楷体" w:eastAsia="仿宋_GB2312" w:cs="Arial"/>
          <w:sz w:val="28"/>
          <w:szCs w:val="28"/>
        </w:rPr>
        <w:instrText xml:space="preserve"> </w:instrText>
      </w:r>
      <w:r>
        <w:rPr>
          <w:rFonts w:hint="eastAsia" w:ascii="仿宋_GB2312" w:hAnsi="楷体" w:eastAsia="仿宋_GB2312" w:cs="Arial"/>
          <w:sz w:val="28"/>
          <w:szCs w:val="28"/>
        </w:rPr>
        <w:instrText xml:space="preserve">= 3 \* GB3</w:instrText>
      </w:r>
      <w:r>
        <w:rPr>
          <w:rFonts w:ascii="仿宋_GB2312" w:hAnsi="楷体" w:eastAsia="仿宋_GB2312" w:cs="Arial"/>
          <w:sz w:val="28"/>
          <w:szCs w:val="28"/>
        </w:rPr>
        <w:instrText xml:space="preserve"> </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③</w:t>
      </w:r>
      <w:r>
        <w:rPr>
          <w:rFonts w:ascii="仿宋_GB2312" w:hAnsi="楷体" w:eastAsia="仿宋_GB2312" w:cs="Arial"/>
          <w:sz w:val="28"/>
          <w:szCs w:val="28"/>
        </w:rPr>
        <w:fldChar w:fldCharType="end"/>
      </w:r>
      <w:r>
        <w:rPr>
          <w:rFonts w:hint="eastAsia" w:ascii="仿宋_GB2312" w:hAnsi="楷体" w:eastAsia="仿宋_GB2312" w:cs="Arial"/>
          <w:sz w:val="28"/>
          <w:szCs w:val="28"/>
        </w:rPr>
        <w:t>保险费：</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指房产所有人为使自己的房产避免意外损失而向保险公司支付的费用。一般按重置价格的</w:t>
      </w:r>
      <w:r>
        <w:rPr>
          <w:rFonts w:ascii="仿宋_GB2312" w:hAnsi="楷体" w:eastAsia="仿宋_GB2312" w:cs="Arial"/>
          <w:sz w:val="28"/>
          <w:szCs w:val="28"/>
        </w:rPr>
        <w:t>0.2%</w:t>
      </w:r>
      <w:r>
        <w:rPr>
          <w:rFonts w:hint="eastAsia" w:ascii="仿宋_GB2312" w:hAnsi="楷体" w:eastAsia="仿宋_GB2312" w:cs="Arial"/>
          <w:sz w:val="28"/>
          <w:szCs w:val="28"/>
        </w:rPr>
        <w:t>计算，房屋重置价格计算公式为：</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年保险费＝房屋重置价×</w:t>
      </w:r>
      <w:r>
        <w:rPr>
          <w:rFonts w:ascii="仿宋_GB2312" w:hAnsi="楷体" w:eastAsia="仿宋_GB2312" w:cs="Arial"/>
          <w:sz w:val="28"/>
          <w:szCs w:val="28"/>
        </w:rPr>
        <w:t>0.2%=</w:t>
      </w:r>
      <w:r>
        <w:rPr>
          <w:rFonts w:hint="eastAsia" w:ascii="仿宋_GB2312" w:hAnsi="楷体" w:eastAsia="仿宋_GB2312" w:cs="Arial"/>
          <w:sz w:val="28"/>
          <w:szCs w:val="28"/>
          <w:lang w:val="en-US" w:eastAsia="zh-CN"/>
        </w:rPr>
        <w:t>2.4</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spacing w:line="360" w:lineRule="auto"/>
        <w:ind w:firstLine="565" w:firstLineChars="202"/>
        <w:rPr>
          <w:rFonts w:ascii="仿宋_GB2312" w:hAnsi="楷体" w:eastAsia="仿宋_GB2312" w:cs="Arial"/>
          <w:sz w:val="28"/>
          <w:szCs w:val="28"/>
        </w:rPr>
      </w:pPr>
      <w:r>
        <w:rPr>
          <w:rFonts w:ascii="仿宋_GB2312" w:hAnsi="楷体" w:eastAsia="仿宋_GB2312" w:cs="Arial"/>
          <w:sz w:val="28"/>
          <w:szCs w:val="28"/>
        </w:rPr>
        <w:fldChar w:fldCharType="begin"/>
      </w:r>
      <w:r>
        <w:rPr>
          <w:rFonts w:ascii="仿宋_GB2312" w:hAnsi="楷体" w:eastAsia="仿宋_GB2312" w:cs="Arial"/>
          <w:sz w:val="28"/>
          <w:szCs w:val="28"/>
        </w:rPr>
        <w:instrText xml:space="preserve"> </w:instrText>
      </w:r>
      <w:r>
        <w:rPr>
          <w:rFonts w:hint="eastAsia" w:ascii="仿宋_GB2312" w:hAnsi="楷体" w:eastAsia="仿宋_GB2312" w:cs="Arial"/>
          <w:sz w:val="28"/>
          <w:szCs w:val="28"/>
        </w:rPr>
        <w:instrText xml:space="preserve">= 4 \* GB3</w:instrText>
      </w:r>
      <w:r>
        <w:rPr>
          <w:rFonts w:ascii="仿宋_GB2312" w:hAnsi="楷体" w:eastAsia="仿宋_GB2312" w:cs="Arial"/>
          <w:sz w:val="28"/>
          <w:szCs w:val="28"/>
        </w:rPr>
        <w:instrText xml:space="preserve"> </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④</w:t>
      </w:r>
      <w:r>
        <w:rPr>
          <w:rFonts w:ascii="仿宋_GB2312" w:hAnsi="楷体" w:eastAsia="仿宋_GB2312" w:cs="Arial"/>
          <w:sz w:val="28"/>
          <w:szCs w:val="28"/>
        </w:rPr>
        <w:fldChar w:fldCharType="end"/>
      </w:r>
      <w:r>
        <w:rPr>
          <w:rFonts w:hint="eastAsia" w:ascii="仿宋_GB2312" w:hAnsi="楷体" w:eastAsia="仿宋_GB2312" w:cs="Arial"/>
          <w:sz w:val="28"/>
          <w:szCs w:val="28"/>
        </w:rPr>
        <w:t>税金：</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指房产所有人按有关规定向税务机关缴纳的房产税和增值税等。</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 xml:space="preserve">a.房产税:依据《中华人民共和国房产税暂行条例》及当地税务部门要求确定税率为房屋年总收益的4%，房地年总收益×房产税税率； </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b.增值税：经国务院批准，自</w:t>
      </w:r>
      <w:r>
        <w:rPr>
          <w:rFonts w:ascii="仿宋_GB2312" w:hAnsi="楷体" w:eastAsia="仿宋_GB2312" w:cs="Arial"/>
          <w:sz w:val="28"/>
          <w:szCs w:val="28"/>
        </w:rPr>
        <w:t>2018年5</w:t>
      </w:r>
      <w:r>
        <w:rPr>
          <w:rFonts w:hint="eastAsia" w:ascii="仿宋_GB2312" w:hAnsi="楷体" w:eastAsia="仿宋_GB2312" w:cs="Arial"/>
          <w:sz w:val="28"/>
          <w:szCs w:val="28"/>
        </w:rPr>
        <w:t>月</w:t>
      </w:r>
      <w:r>
        <w:rPr>
          <w:rFonts w:ascii="仿宋_GB2312" w:hAnsi="楷体" w:eastAsia="仿宋_GB2312" w:cs="Arial"/>
          <w:sz w:val="28"/>
          <w:szCs w:val="28"/>
        </w:rPr>
        <w:t>1</w:t>
      </w:r>
      <w:r>
        <w:rPr>
          <w:rFonts w:hint="eastAsia" w:ascii="仿宋_GB2312" w:hAnsi="楷体" w:eastAsia="仿宋_GB2312" w:cs="Arial"/>
          <w:sz w:val="28"/>
          <w:szCs w:val="28"/>
        </w:rPr>
        <w:t>日起，在全国范围内全面推开营业税改征增值税（以下称营改增）试点，建筑业、房地产业、金融业、生活服务业等全部营业税纳税人，纳入试点范围，由缴纳营业税改为缴纳增值税。小规模纳税人自用自己使用过的固定资产，房地年总收益÷（1+5%）×1.5%；</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c.城市维护建设税：根据《中华人民共和国城市维护建设税暂行条例》（国发[1985]19号）的规定，</w:t>
      </w:r>
      <w:r>
        <w:rPr>
          <w:rFonts w:ascii="仿宋_GB2312" w:hAnsi="楷体" w:eastAsia="仿宋_GB2312" w:cs="Arial"/>
          <w:sz w:val="28"/>
          <w:szCs w:val="28"/>
        </w:rPr>
        <w:t>纳税人所在地为城市市区的，税率为7%；</w:t>
      </w:r>
      <w:r>
        <w:rPr>
          <w:rFonts w:hint="eastAsia" w:ascii="仿宋_GB2312" w:hAnsi="楷体" w:eastAsia="仿宋_GB2312" w:cs="Arial"/>
          <w:sz w:val="28"/>
          <w:szCs w:val="28"/>
        </w:rPr>
        <w:t>；</w:t>
      </w:r>
      <w:r>
        <w:rPr>
          <w:rFonts w:ascii="仿宋_GB2312" w:hAnsi="楷体" w:eastAsia="仿宋_GB2312" w:cs="Arial"/>
          <w:sz w:val="28"/>
          <w:szCs w:val="28"/>
        </w:rPr>
        <w:t>纳税人所在地为县城、建制镇的，税率为5%；纳税人所在地</w:t>
      </w:r>
      <w:r>
        <w:rPr>
          <w:rFonts w:hint="eastAsia" w:ascii="仿宋_GB2312" w:hAnsi="楷体" w:eastAsia="仿宋_GB2312" w:cs="Arial"/>
          <w:sz w:val="28"/>
          <w:szCs w:val="28"/>
        </w:rPr>
        <w:t>不</w:t>
      </w:r>
      <w:r>
        <w:rPr>
          <w:rFonts w:ascii="仿宋_GB2312" w:hAnsi="楷体" w:eastAsia="仿宋_GB2312" w:cs="Arial"/>
          <w:sz w:val="28"/>
          <w:szCs w:val="28"/>
        </w:rPr>
        <w:t>在城市市区、县城或建制镇的，税率为1%</w:t>
      </w:r>
      <w:r>
        <w:rPr>
          <w:rFonts w:hint="eastAsia" w:ascii="仿宋_GB2312" w:hAnsi="楷体" w:eastAsia="仿宋_GB2312" w:cs="Arial"/>
          <w:sz w:val="28"/>
          <w:szCs w:val="28"/>
        </w:rPr>
        <w:t>，故城市维护建设税按增值税税额的</w:t>
      </w:r>
      <w:r>
        <w:rPr>
          <w:rFonts w:hint="eastAsia" w:ascii="仿宋_GB2312" w:hAnsi="楷体" w:eastAsia="仿宋_GB2312" w:cs="Arial"/>
          <w:sz w:val="28"/>
          <w:szCs w:val="28"/>
          <w:lang w:val="en-US" w:eastAsia="zh-CN"/>
        </w:rPr>
        <w:t>5</w:t>
      </w:r>
      <w:r>
        <w:rPr>
          <w:rFonts w:hint="eastAsia" w:ascii="仿宋_GB2312" w:hAnsi="楷体" w:eastAsia="仿宋_GB2312" w:cs="Arial"/>
          <w:sz w:val="28"/>
          <w:szCs w:val="28"/>
        </w:rPr>
        <w:t>%计。</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d.教育费附加：教育费附加，按增值税税额的3%计；</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e.地教育费附加: 按增值税税额的2%计;</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年税费＝房屋总收益×5.</w:t>
      </w:r>
      <w:r>
        <w:rPr>
          <w:rFonts w:hint="eastAsia" w:ascii="仿宋_GB2312" w:hAnsi="楷体" w:eastAsia="仿宋_GB2312" w:cs="Arial"/>
          <w:sz w:val="28"/>
          <w:szCs w:val="28"/>
          <w:lang w:val="en-US" w:eastAsia="zh-CN"/>
        </w:rPr>
        <w:t>57</w:t>
      </w:r>
      <w:r>
        <w:rPr>
          <w:rFonts w:hint="eastAsia" w:ascii="仿宋_GB2312" w:hAnsi="楷体" w:eastAsia="仿宋_GB2312" w:cs="Arial"/>
          <w:sz w:val="28"/>
          <w:szCs w:val="28"/>
        </w:rPr>
        <w:t>%=</w:t>
      </w:r>
      <w:r>
        <w:rPr>
          <w:rFonts w:hint="eastAsia" w:ascii="仿宋_GB2312" w:hAnsi="楷体" w:eastAsia="仿宋_GB2312" w:cs="Arial"/>
          <w:sz w:val="28"/>
          <w:szCs w:val="28"/>
          <w:lang w:val="en-US" w:eastAsia="zh-CN"/>
        </w:rPr>
        <w:t>4.81</w:t>
      </w:r>
      <w:r>
        <w:rPr>
          <w:rFonts w:hint="eastAsia" w:ascii="仿宋_GB2312" w:hAnsi="楷体" w:eastAsia="仿宋_GB2312" w:cs="Arial"/>
          <w:sz w:val="28"/>
          <w:szCs w:val="28"/>
        </w:rPr>
        <w:t>平方米。</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自用净收入</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年自用净收入＝年租赁收入</w:t>
      </w:r>
      <w:r>
        <w:rPr>
          <w:rFonts w:ascii="仿宋_GB2312" w:hAnsi="楷体" w:eastAsia="仿宋_GB2312" w:cs="Arial"/>
          <w:sz w:val="28"/>
          <w:szCs w:val="28"/>
        </w:rPr>
        <w:t>-</w:t>
      </w:r>
      <w:r>
        <w:rPr>
          <w:rFonts w:hint="eastAsia" w:ascii="仿宋_GB2312" w:hAnsi="楷体" w:eastAsia="仿宋_GB2312" w:cs="Arial"/>
          <w:sz w:val="28"/>
          <w:szCs w:val="28"/>
        </w:rPr>
        <w:t>年维修费</w:t>
      </w:r>
      <w:r>
        <w:rPr>
          <w:rFonts w:ascii="仿宋_GB2312" w:hAnsi="楷体" w:eastAsia="仿宋_GB2312" w:cs="Arial"/>
          <w:sz w:val="28"/>
          <w:szCs w:val="28"/>
        </w:rPr>
        <w:t>-</w:t>
      </w:r>
      <w:r>
        <w:rPr>
          <w:rFonts w:hint="eastAsia" w:ascii="仿宋_GB2312" w:hAnsi="楷体" w:eastAsia="仿宋_GB2312" w:cs="Arial"/>
          <w:sz w:val="28"/>
          <w:szCs w:val="28"/>
        </w:rPr>
        <w:t>年管理费</w:t>
      </w:r>
      <w:r>
        <w:rPr>
          <w:rFonts w:ascii="仿宋_GB2312" w:hAnsi="楷体" w:eastAsia="仿宋_GB2312" w:cs="Arial"/>
          <w:sz w:val="28"/>
          <w:szCs w:val="28"/>
        </w:rPr>
        <w:t>-</w:t>
      </w:r>
      <w:r>
        <w:rPr>
          <w:rFonts w:hint="eastAsia" w:ascii="仿宋_GB2312" w:hAnsi="楷体" w:eastAsia="仿宋_GB2312" w:cs="Arial"/>
          <w:sz w:val="28"/>
          <w:szCs w:val="28"/>
        </w:rPr>
        <w:t>年保险费</w:t>
      </w:r>
      <w:r>
        <w:rPr>
          <w:rFonts w:ascii="仿宋_GB2312" w:hAnsi="楷体" w:eastAsia="仿宋_GB2312" w:cs="Arial"/>
          <w:sz w:val="28"/>
          <w:szCs w:val="28"/>
        </w:rPr>
        <w:t>-</w:t>
      </w:r>
      <w:r>
        <w:rPr>
          <w:rFonts w:hint="eastAsia" w:ascii="仿宋_GB2312" w:hAnsi="楷体" w:eastAsia="仿宋_GB2312" w:cs="Arial"/>
          <w:sz w:val="28"/>
          <w:szCs w:val="28"/>
        </w:rPr>
        <w:t>年税金</w:t>
      </w:r>
    </w:p>
    <w:p>
      <w:pPr>
        <w:spacing w:line="360" w:lineRule="auto"/>
        <w:ind w:firstLine="565" w:firstLineChars="202"/>
        <w:rPr>
          <w:rFonts w:ascii="仿宋_GB2312" w:hAnsi="楷体" w:eastAsia="仿宋_GB2312" w:cs="Arial"/>
          <w:sz w:val="28"/>
          <w:szCs w:val="28"/>
        </w:rPr>
      </w:pPr>
      <w:r>
        <w:rPr>
          <w:rFonts w:ascii="仿宋_GB2312" w:hAnsi="楷体" w:eastAsia="仿宋_GB2312" w:cs="Arial"/>
          <w:sz w:val="28"/>
          <w:szCs w:val="28"/>
        </w:rPr>
        <w:t xml:space="preserve">            </w:t>
      </w:r>
      <w:r>
        <w:rPr>
          <w:rFonts w:hint="eastAsia" w:ascii="仿宋_GB2312" w:hAnsi="楷体" w:eastAsia="仿宋_GB2312" w:cs="Arial"/>
          <w:sz w:val="28"/>
          <w:szCs w:val="28"/>
        </w:rPr>
        <w:t>＝</w:t>
      </w:r>
      <w:r>
        <w:rPr>
          <w:rFonts w:hint="eastAsia" w:ascii="仿宋_GB2312" w:hAnsi="楷体" w:eastAsia="仿宋_GB2312" w:cs="Arial"/>
          <w:sz w:val="28"/>
          <w:szCs w:val="28"/>
          <w:lang w:val="en-US" w:eastAsia="zh-CN"/>
        </w:rPr>
        <w:t>52.51</w:t>
      </w:r>
      <w:r>
        <w:rPr>
          <w:rFonts w:hint="eastAsia" w:ascii="仿宋_GB2312" w:hAnsi="楷体" w:eastAsia="仿宋_GB2312" w:cs="Arial"/>
          <w:sz w:val="28"/>
          <w:szCs w:val="28"/>
        </w:rPr>
        <w:t>元/平方米</w:t>
      </w:r>
    </w:p>
    <w:p>
      <w:pPr>
        <w:spacing w:line="360" w:lineRule="auto"/>
        <w:ind w:firstLine="562" w:firstLineChars="200"/>
        <w:rPr>
          <w:rFonts w:ascii="仿宋_GB2312" w:hAnsi="楷体" w:eastAsia="仿宋_GB2312"/>
          <w:b/>
          <w:sz w:val="28"/>
          <w:szCs w:val="28"/>
        </w:rPr>
      </w:pPr>
      <w:r>
        <w:rPr>
          <w:rFonts w:hint="eastAsia" w:ascii="仿宋_GB2312" w:hAnsi="楷体" w:eastAsia="仿宋_GB2312"/>
          <w:b/>
          <w:sz w:val="28"/>
          <w:szCs w:val="28"/>
        </w:rPr>
        <w:t>5</w:t>
      </w:r>
      <w:r>
        <w:rPr>
          <w:rFonts w:ascii="仿宋_GB2312" w:hAnsi="楷体" w:eastAsia="仿宋_GB2312"/>
          <w:b/>
          <w:sz w:val="28"/>
          <w:szCs w:val="28"/>
        </w:rPr>
        <w:t xml:space="preserve">) </w:t>
      </w:r>
      <w:r>
        <w:rPr>
          <w:rFonts w:hint="eastAsia" w:ascii="仿宋_GB2312" w:hAnsi="楷体" w:eastAsia="仿宋_GB2312"/>
          <w:b/>
          <w:sz w:val="28"/>
          <w:szCs w:val="28"/>
        </w:rPr>
        <w:t>房地产报酬率</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房地产报酬率实质上是房地产投资资产的收益率，</w:t>
      </w:r>
      <w:r>
        <w:rPr>
          <w:rFonts w:hint="eastAsia" w:ascii="仿宋_GB2312" w:hAnsi="楷体" w:eastAsia="仿宋_GB2312"/>
          <w:sz w:val="28"/>
          <w:szCs w:val="28"/>
        </w:rPr>
        <w:t>根据《房地产估价规范》，报酬率可以按安全利率加风险调整值法确定，以安全利率加上风险调整值作为报酬率。安全利率可选用同一时期的一年期国债年利率或中国人民银行公布的一年定期整存整取存款年利率；风险调整值应根据估价对象所在地区的经济现状及未来预测、估价对象的用途及新旧程度等确定。根据安全利率加风险调整值的原则，</w:t>
      </w:r>
      <w:r>
        <w:rPr>
          <w:rFonts w:hint="eastAsia" w:ascii="仿宋_GB2312" w:hAnsi="楷体" w:eastAsia="仿宋_GB2312" w:cs="Arial"/>
          <w:sz w:val="28"/>
          <w:szCs w:val="28"/>
        </w:rPr>
        <w:t>我们选取当前中国人民银行公布的一年期定期整存整取存款利率为1.75</w:t>
      </w:r>
      <w:r>
        <w:rPr>
          <w:rFonts w:ascii="仿宋_GB2312" w:hAnsi="楷体" w:eastAsia="仿宋_GB2312" w:cs="Arial"/>
          <w:sz w:val="28"/>
          <w:szCs w:val="28"/>
        </w:rPr>
        <w:t>%</w:t>
      </w:r>
      <w:r>
        <w:rPr>
          <w:rFonts w:hint="eastAsia" w:ascii="仿宋_GB2312" w:hAnsi="楷体" w:eastAsia="仿宋_GB2312" w:cs="Arial"/>
          <w:sz w:val="28"/>
          <w:szCs w:val="28"/>
        </w:rPr>
        <w:t>作为安全利率，考虑到投资房地产存在一定风险，经综合分析，确定风险调整值为</w:t>
      </w:r>
      <w:r>
        <w:rPr>
          <w:rFonts w:ascii="仿宋_GB2312" w:hAnsi="楷体" w:eastAsia="仿宋_GB2312" w:cs="Arial"/>
          <w:sz w:val="28"/>
          <w:szCs w:val="28"/>
        </w:rPr>
        <w:t>2.5-6.5%</w:t>
      </w:r>
      <w:r>
        <w:rPr>
          <w:rFonts w:hint="eastAsia" w:ascii="仿宋_GB2312" w:hAnsi="楷体" w:eastAsia="仿宋_GB2312" w:cs="Arial"/>
          <w:sz w:val="28"/>
          <w:szCs w:val="28"/>
        </w:rPr>
        <w:t>，由此推算房地产报酬率为</w:t>
      </w:r>
      <w:r>
        <w:rPr>
          <w:rFonts w:ascii="仿宋_GB2312" w:hAnsi="楷体" w:eastAsia="仿宋_GB2312" w:cs="Arial"/>
          <w:sz w:val="28"/>
          <w:szCs w:val="28"/>
        </w:rPr>
        <w:t>8</w:t>
      </w:r>
      <w:r>
        <w:rPr>
          <w:rFonts w:ascii="仿宋_GB2312" w:hAnsi="楷体" w:eastAsia="仿宋_GB2312"/>
          <w:sz w:val="28"/>
          <w:szCs w:val="28"/>
        </w:rPr>
        <w:t>%</w:t>
      </w:r>
      <w:r>
        <w:rPr>
          <w:rFonts w:hint="eastAsia" w:ascii="仿宋_GB2312" w:hAnsi="楷体" w:eastAsia="仿宋_GB2312" w:cs="Arial"/>
          <w:sz w:val="28"/>
          <w:szCs w:val="28"/>
        </w:rPr>
        <w:t>。</w:t>
      </w:r>
    </w:p>
    <w:p>
      <w:pPr>
        <w:spacing w:line="360" w:lineRule="auto"/>
        <w:ind w:firstLine="560" w:firstLineChars="200"/>
        <w:rPr>
          <w:rFonts w:ascii="仿宋_GB2312" w:hAnsi="楷体" w:eastAsia="仿宋_GB2312"/>
          <w:sz w:val="28"/>
          <w:szCs w:val="28"/>
        </w:rPr>
      </w:pPr>
      <w:r>
        <w:rPr>
          <w:rFonts w:hint="eastAsia" w:ascii="仿宋_GB2312" w:hAnsi="楷体" w:eastAsia="仿宋_GB2312" w:cs="Arial"/>
          <w:sz w:val="28"/>
          <w:szCs w:val="28"/>
        </w:rPr>
        <w:t>期间收益和期末转售收益具有相同的报酬率，取</w:t>
      </w:r>
      <w:r>
        <w:rPr>
          <w:rFonts w:ascii="仿宋_GB2312" w:hAnsi="楷体" w:eastAsia="仿宋_GB2312" w:cs="Arial"/>
          <w:sz w:val="28"/>
          <w:szCs w:val="28"/>
        </w:rPr>
        <w:t>8%</w:t>
      </w:r>
      <w:r>
        <w:rPr>
          <w:rFonts w:hint="eastAsia" w:ascii="仿宋_GB2312" w:hAnsi="楷体" w:eastAsia="仿宋_GB2312"/>
          <w:sz w:val="28"/>
          <w:szCs w:val="28"/>
        </w:rPr>
        <w:t>。</w:t>
      </w:r>
    </w:p>
    <w:p>
      <w:pPr>
        <w:spacing w:line="360" w:lineRule="auto"/>
        <w:ind w:firstLine="562" w:firstLineChars="200"/>
        <w:rPr>
          <w:rFonts w:ascii="仿宋_GB2312" w:hAnsi="楷体" w:eastAsia="仿宋_GB2312"/>
          <w:b/>
          <w:sz w:val="28"/>
          <w:szCs w:val="28"/>
        </w:rPr>
      </w:pPr>
      <w:r>
        <w:rPr>
          <w:rFonts w:hint="eastAsia" w:ascii="仿宋_GB2312" w:hAnsi="楷体" w:eastAsia="仿宋_GB2312"/>
          <w:b/>
          <w:sz w:val="28"/>
          <w:szCs w:val="28"/>
        </w:rPr>
        <w:t>6）净收益逐年递增率的确定</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经估价人员综合分析，确定估价对象中住宅房地产的净收益逐年递增率为</w:t>
      </w:r>
      <w:r>
        <w:rPr>
          <w:rFonts w:ascii="仿宋_GB2312" w:hAnsi="楷体" w:eastAsia="仿宋_GB2312" w:cs="Arial"/>
          <w:sz w:val="28"/>
          <w:szCs w:val="28"/>
        </w:rPr>
        <w:t>2%</w:t>
      </w:r>
      <w:r>
        <w:rPr>
          <w:rFonts w:hint="eastAsia" w:ascii="仿宋_GB2312" w:hAnsi="楷体" w:eastAsia="仿宋_GB2312" w:cs="Arial"/>
          <w:sz w:val="28"/>
          <w:szCs w:val="28"/>
        </w:rPr>
        <w:t>。</w:t>
      </w:r>
    </w:p>
    <w:p>
      <w:pPr>
        <w:spacing w:line="360" w:lineRule="auto"/>
        <w:ind w:firstLine="562" w:firstLineChars="200"/>
        <w:rPr>
          <w:rFonts w:ascii="仿宋_GB2312" w:hAnsi="楷体" w:eastAsia="仿宋_GB2312"/>
          <w:b/>
          <w:sz w:val="28"/>
          <w:szCs w:val="28"/>
        </w:rPr>
      </w:pPr>
      <w:r>
        <w:rPr>
          <w:rFonts w:hint="eastAsia" w:ascii="仿宋_GB2312" w:hAnsi="楷体" w:eastAsia="仿宋_GB2312"/>
          <w:b/>
          <w:sz w:val="28"/>
          <w:szCs w:val="28"/>
        </w:rPr>
        <w:t>7</w:t>
      </w:r>
      <w:r>
        <w:rPr>
          <w:rFonts w:ascii="仿宋_GB2312" w:hAnsi="楷体" w:eastAsia="仿宋_GB2312"/>
          <w:b/>
          <w:sz w:val="28"/>
          <w:szCs w:val="28"/>
        </w:rPr>
        <w:t>)</w:t>
      </w:r>
      <w:r>
        <w:rPr>
          <w:rFonts w:hint="eastAsia" w:ascii="仿宋_GB2312" w:hAnsi="楷体" w:eastAsia="仿宋_GB2312"/>
          <w:b/>
          <w:sz w:val="28"/>
          <w:szCs w:val="28"/>
        </w:rPr>
        <w:t>收益期确定</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待估对象建成于20</w:t>
      </w:r>
      <w:r>
        <w:rPr>
          <w:rFonts w:hint="eastAsia" w:ascii="仿宋_GB2312" w:hAnsi="楷体" w:eastAsia="仿宋_GB2312" w:cs="Arial"/>
          <w:sz w:val="28"/>
          <w:szCs w:val="28"/>
          <w:lang w:val="en-US" w:eastAsia="zh-CN"/>
        </w:rPr>
        <w:t>06</w:t>
      </w:r>
      <w:r>
        <w:rPr>
          <w:rFonts w:ascii="仿宋_GB2312" w:hAnsi="楷体" w:eastAsia="仿宋_GB2312" w:cs="Arial"/>
          <w:sz w:val="28"/>
          <w:szCs w:val="28"/>
        </w:rPr>
        <w:t>年</w:t>
      </w:r>
      <w:r>
        <w:rPr>
          <w:rFonts w:hint="eastAsia" w:ascii="仿宋_GB2312" w:hAnsi="楷体" w:eastAsia="仿宋_GB2312" w:cs="Arial"/>
          <w:sz w:val="28"/>
          <w:szCs w:val="28"/>
        </w:rPr>
        <w:t>,混合结构，房屋耐用年期为5</w:t>
      </w:r>
      <w:r>
        <w:rPr>
          <w:rFonts w:ascii="仿宋_GB2312" w:hAnsi="楷体" w:eastAsia="仿宋_GB2312" w:cs="Arial"/>
          <w:sz w:val="28"/>
          <w:szCs w:val="28"/>
        </w:rPr>
        <w:t>0</w:t>
      </w:r>
      <w:r>
        <w:rPr>
          <w:rFonts w:hint="eastAsia" w:ascii="仿宋_GB2312" w:hAnsi="楷体" w:eastAsia="仿宋_GB2312" w:cs="Arial"/>
          <w:sz w:val="28"/>
          <w:szCs w:val="28"/>
        </w:rPr>
        <w:t>年，已使用</w:t>
      </w:r>
      <w:r>
        <w:rPr>
          <w:rFonts w:hint="eastAsia" w:ascii="仿宋_GB2312" w:hAnsi="楷体" w:eastAsia="仿宋_GB2312" w:cs="Arial"/>
          <w:sz w:val="28"/>
          <w:szCs w:val="28"/>
          <w:lang w:val="en-US" w:eastAsia="zh-CN"/>
        </w:rPr>
        <w:t>12</w:t>
      </w:r>
      <w:r>
        <w:rPr>
          <w:rFonts w:hint="eastAsia" w:ascii="仿宋_GB2312" w:hAnsi="楷体" w:eastAsia="仿宋_GB2312" w:cs="Arial"/>
          <w:sz w:val="28"/>
          <w:szCs w:val="28"/>
        </w:rPr>
        <w:t>年，剩余耐用年限为</w:t>
      </w:r>
      <w:r>
        <w:rPr>
          <w:rFonts w:hint="eastAsia" w:ascii="仿宋_GB2312" w:hAnsi="楷体" w:eastAsia="仿宋_GB2312" w:cs="Arial"/>
          <w:sz w:val="28"/>
          <w:szCs w:val="28"/>
          <w:lang w:val="en-US" w:eastAsia="zh-CN"/>
        </w:rPr>
        <w:t>38</w:t>
      </w:r>
      <w:r>
        <w:rPr>
          <w:rFonts w:hint="eastAsia" w:ascii="仿宋_GB2312" w:hAnsi="楷体" w:eastAsia="仿宋_GB2312" w:cs="Arial"/>
          <w:sz w:val="28"/>
          <w:szCs w:val="28"/>
        </w:rPr>
        <w:t>年，</w:t>
      </w:r>
      <w:r>
        <w:rPr>
          <w:rFonts w:eastAsia="仿宋_GB2312"/>
          <w:sz w:val="28"/>
          <w:szCs w:val="28"/>
        </w:rPr>
        <w:t>本次评估收益期确定为</w:t>
      </w:r>
      <w:r>
        <w:rPr>
          <w:rFonts w:hint="eastAsia" w:ascii="仿宋_GB2312" w:hAnsi="楷体" w:eastAsia="仿宋_GB2312" w:cs="Arial"/>
          <w:sz w:val="28"/>
          <w:szCs w:val="28"/>
          <w:lang w:val="en-US" w:eastAsia="zh-CN"/>
        </w:rPr>
        <w:t>38</w:t>
      </w:r>
      <w:r>
        <w:rPr>
          <w:rFonts w:hint="eastAsia" w:ascii="仿宋_GB2312" w:hAnsi="楷体" w:eastAsia="仿宋_GB2312" w:cs="Arial"/>
          <w:sz w:val="28"/>
          <w:szCs w:val="28"/>
        </w:rPr>
        <w:t>年。</w:t>
      </w:r>
    </w:p>
    <w:p>
      <w:pPr>
        <w:spacing w:line="360" w:lineRule="auto"/>
        <w:ind w:firstLine="562" w:firstLineChars="200"/>
        <w:rPr>
          <w:rFonts w:ascii="仿宋_GB2312" w:hAnsi="楷体" w:eastAsia="仿宋_GB2312"/>
          <w:b/>
          <w:sz w:val="28"/>
          <w:szCs w:val="28"/>
        </w:rPr>
      </w:pPr>
      <w:r>
        <w:rPr>
          <w:rFonts w:hint="eastAsia" w:ascii="仿宋_GB2312" w:hAnsi="楷体" w:eastAsia="仿宋_GB2312"/>
          <w:b/>
          <w:sz w:val="28"/>
          <w:szCs w:val="28"/>
        </w:rPr>
        <w:t>8</w:t>
      </w:r>
      <w:r>
        <w:rPr>
          <w:rFonts w:ascii="仿宋_GB2312" w:hAnsi="楷体" w:eastAsia="仿宋_GB2312"/>
          <w:b/>
          <w:sz w:val="28"/>
          <w:szCs w:val="28"/>
        </w:rPr>
        <w:t xml:space="preserve">) </w:t>
      </w:r>
      <w:r>
        <w:rPr>
          <w:rFonts w:hint="eastAsia" w:ascii="仿宋_GB2312" w:hAnsi="楷体" w:eastAsia="仿宋_GB2312"/>
          <w:b/>
          <w:sz w:val="28"/>
          <w:szCs w:val="28"/>
        </w:rPr>
        <w:t>运用公式确定收益价格</w:t>
      </w:r>
    </w:p>
    <w:p>
      <w:pPr>
        <w:snapToGrid w:val="0"/>
        <w:spacing w:line="360" w:lineRule="auto"/>
        <w:ind w:firstLine="523" w:firstLineChars="187"/>
        <w:rPr>
          <w:rFonts w:ascii="仿宋_GB2312" w:hAnsi="楷体" w:eastAsia="仿宋_GB2312" w:cs="Arial"/>
          <w:sz w:val="28"/>
          <w:szCs w:val="28"/>
        </w:rPr>
      </w:pPr>
      <w:r>
        <w:rPr>
          <w:rFonts w:hint="eastAsia" w:ascii="仿宋_GB2312" w:hAnsi="楷体" w:eastAsia="仿宋_GB2312" w:cs="Arial"/>
          <w:sz w:val="28"/>
          <w:szCs w:val="28"/>
        </w:rPr>
        <w:t>本次估算选用有限年年净收益按一定比率递增的房地产价格计算公式：</w:t>
      </w:r>
    </w:p>
    <w:p>
      <w:pPr>
        <w:snapToGrid w:val="0"/>
        <w:spacing w:line="360" w:lineRule="auto"/>
        <w:ind w:firstLine="480" w:firstLineChars="200"/>
        <w:rPr>
          <w:rFonts w:ascii="仿宋_GB2312" w:hAnsi="楷体" w:eastAsia="仿宋_GB2312" w:cs="Arial"/>
          <w:sz w:val="24"/>
        </w:rPr>
      </w:pPr>
      <w:r>
        <w:rPr>
          <w:rFonts w:ascii="仿宋_GB2312" w:hAnsi="楷体" w:eastAsia="仿宋_GB2312" w:cs="Arial"/>
          <w:i/>
          <w:iCs/>
          <w:position w:val="-32"/>
          <w:sz w:val="24"/>
        </w:rPr>
        <w:object>
          <v:shape id="_x0000_i1026" o:spt="75" type="#_x0000_t75" style="height:41.25pt;width:142.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7">
            <o:LockedField>false</o:LockedField>
          </o:OLEObject>
        </w:object>
      </w:r>
    </w:p>
    <w:p>
      <w:pPr>
        <w:spacing w:line="540" w:lineRule="exact"/>
        <w:ind w:firstLine="420"/>
        <w:rPr>
          <w:rFonts w:ascii="仿宋_GB2312" w:hAnsi="楷体" w:eastAsia="仿宋_GB2312" w:cs="Arial"/>
          <w:sz w:val="28"/>
          <w:szCs w:val="28"/>
        </w:rPr>
      </w:pPr>
      <w:r>
        <w:rPr>
          <w:rFonts w:hint="eastAsia" w:ascii="仿宋_GB2312" w:hAnsi="楷体" w:eastAsia="仿宋_GB2312" w:cs="Arial"/>
          <w:sz w:val="28"/>
          <w:szCs w:val="28"/>
        </w:rPr>
        <w:t>其中：</w:t>
      </w:r>
      <w:r>
        <w:rPr>
          <w:rFonts w:ascii="仿宋_GB2312" w:hAnsi="楷体" w:eastAsia="仿宋_GB2312" w:cs="Arial"/>
          <w:sz w:val="28"/>
          <w:szCs w:val="28"/>
        </w:rPr>
        <w:t>V—</w:t>
      </w:r>
      <w:r>
        <w:rPr>
          <w:rFonts w:hint="eastAsia" w:ascii="仿宋_GB2312" w:hAnsi="楷体" w:eastAsia="仿宋_GB2312" w:cs="Arial"/>
          <w:sz w:val="28"/>
          <w:szCs w:val="28"/>
        </w:rPr>
        <w:t>为收益价值；</w:t>
      </w:r>
    </w:p>
    <w:p>
      <w:pPr>
        <w:spacing w:line="540" w:lineRule="exact"/>
        <w:ind w:firstLine="1363" w:firstLineChars="487"/>
        <w:rPr>
          <w:rFonts w:ascii="仿宋_GB2312" w:hAnsi="楷体" w:eastAsia="仿宋_GB2312" w:cs="Arial"/>
          <w:sz w:val="28"/>
          <w:szCs w:val="28"/>
        </w:rPr>
      </w:pPr>
      <w:r>
        <w:rPr>
          <w:rFonts w:ascii="仿宋_GB2312" w:hAnsi="楷体" w:eastAsia="仿宋_GB2312" w:cs="Arial"/>
          <w:sz w:val="28"/>
          <w:szCs w:val="28"/>
        </w:rPr>
        <w:t>a—</w:t>
      </w:r>
      <w:r>
        <w:rPr>
          <w:rFonts w:hint="eastAsia" w:ascii="仿宋_GB2312" w:hAnsi="楷体" w:eastAsia="仿宋_GB2312" w:cs="Arial"/>
          <w:sz w:val="28"/>
          <w:szCs w:val="28"/>
        </w:rPr>
        <w:t>为房地产未来第一年的净收益；</w:t>
      </w:r>
    </w:p>
    <w:p>
      <w:pPr>
        <w:spacing w:line="540" w:lineRule="exact"/>
        <w:ind w:firstLine="1363" w:firstLineChars="487"/>
        <w:rPr>
          <w:rFonts w:ascii="仿宋_GB2312" w:hAnsi="楷体" w:eastAsia="仿宋_GB2312" w:cs="Arial"/>
          <w:sz w:val="28"/>
          <w:szCs w:val="28"/>
        </w:rPr>
      </w:pPr>
      <w:r>
        <w:rPr>
          <w:rFonts w:ascii="仿宋_GB2312" w:hAnsi="楷体" w:eastAsia="仿宋_GB2312" w:cs="Arial"/>
          <w:sz w:val="28"/>
          <w:szCs w:val="28"/>
        </w:rPr>
        <w:t>Y—</w:t>
      </w:r>
      <w:r>
        <w:rPr>
          <w:rFonts w:hint="eastAsia" w:ascii="仿宋_GB2312" w:hAnsi="楷体" w:eastAsia="仿宋_GB2312" w:cs="Arial"/>
          <w:sz w:val="28"/>
          <w:szCs w:val="28"/>
        </w:rPr>
        <w:t>为报酬率；</w:t>
      </w:r>
    </w:p>
    <w:p>
      <w:pPr>
        <w:spacing w:line="540" w:lineRule="exact"/>
        <w:ind w:firstLine="1363" w:firstLineChars="487"/>
        <w:rPr>
          <w:rFonts w:ascii="仿宋_GB2312" w:hAnsi="楷体" w:eastAsia="仿宋_GB2312" w:cs="Arial"/>
          <w:sz w:val="28"/>
          <w:szCs w:val="28"/>
        </w:rPr>
      </w:pPr>
      <w:r>
        <w:rPr>
          <w:rFonts w:ascii="仿宋_GB2312" w:hAnsi="楷体" w:eastAsia="仿宋_GB2312" w:cs="Arial"/>
          <w:sz w:val="28"/>
          <w:szCs w:val="28"/>
        </w:rPr>
        <w:t>n—</w:t>
      </w:r>
      <w:r>
        <w:rPr>
          <w:rFonts w:hint="eastAsia" w:ascii="仿宋_GB2312" w:hAnsi="楷体" w:eastAsia="仿宋_GB2312" w:cs="Arial"/>
          <w:sz w:val="28"/>
          <w:szCs w:val="28"/>
        </w:rPr>
        <w:t>为房地产的收益期；</w:t>
      </w:r>
    </w:p>
    <w:p>
      <w:pPr>
        <w:spacing w:line="540" w:lineRule="exact"/>
        <w:ind w:firstLine="1363" w:firstLineChars="487"/>
        <w:rPr>
          <w:rFonts w:ascii="仿宋_GB2312" w:hAnsi="楷体" w:eastAsia="仿宋_GB2312" w:cs="Arial"/>
          <w:sz w:val="28"/>
          <w:szCs w:val="28"/>
        </w:rPr>
      </w:pPr>
      <w:r>
        <w:rPr>
          <w:rFonts w:ascii="仿宋_GB2312" w:hAnsi="楷体" w:eastAsia="仿宋_GB2312" w:cs="Arial"/>
          <w:sz w:val="28"/>
          <w:szCs w:val="28"/>
        </w:rPr>
        <w:t>g—</w:t>
      </w:r>
      <w:r>
        <w:rPr>
          <w:rFonts w:hint="eastAsia" w:ascii="仿宋_GB2312" w:hAnsi="楷体" w:eastAsia="仿宋_GB2312" w:cs="Arial"/>
          <w:sz w:val="28"/>
          <w:szCs w:val="28"/>
        </w:rPr>
        <w:t>为净收益逐年递增的比率</w:t>
      </w:r>
    </w:p>
    <w:p>
      <w:pPr>
        <w:spacing w:line="540" w:lineRule="exact"/>
        <w:ind w:firstLine="630" w:firstLineChars="225"/>
        <w:rPr>
          <w:rFonts w:ascii="仿宋_GB2312" w:hAnsi="楷体" w:eastAsia="仿宋_GB2312" w:cs="Arial"/>
          <w:sz w:val="28"/>
          <w:szCs w:val="28"/>
        </w:rPr>
      </w:pPr>
      <w:r>
        <w:rPr>
          <w:rFonts w:hint="eastAsia" w:ascii="仿宋_GB2312" w:hAnsi="楷体" w:eastAsia="仿宋_GB2312" w:cs="Arial"/>
          <w:sz w:val="28"/>
          <w:szCs w:val="28"/>
        </w:rPr>
        <w:t>收益单价＝</w:t>
      </w:r>
      <w:r>
        <w:rPr>
          <w:rFonts w:hint="eastAsia" w:ascii="仿宋_GB2312" w:hAnsi="楷体" w:eastAsia="仿宋_GB2312" w:cs="Arial"/>
          <w:sz w:val="28"/>
          <w:szCs w:val="28"/>
          <w:lang w:val="en-US" w:eastAsia="zh-CN"/>
        </w:rPr>
        <w:t>52.51</w:t>
      </w:r>
      <w:r>
        <w:rPr>
          <w:rFonts w:hint="eastAsia" w:ascii="仿宋_GB2312" w:hAnsi="楷体" w:eastAsia="仿宋_GB2312" w:cs="Arial"/>
          <w:sz w:val="28"/>
          <w:szCs w:val="28"/>
        </w:rPr>
        <w:t>÷（8</w:t>
      </w:r>
      <w:r>
        <w:rPr>
          <w:rFonts w:ascii="仿宋_GB2312" w:hAnsi="楷体" w:eastAsia="仿宋_GB2312" w:cs="Arial"/>
          <w:sz w:val="28"/>
          <w:szCs w:val="28"/>
        </w:rPr>
        <w:t>%-2</w:t>
      </w:r>
      <w:r>
        <w:rPr>
          <w:rFonts w:hint="eastAsia" w:ascii="仿宋_GB2312" w:hAnsi="楷体" w:eastAsia="仿宋_GB2312" w:cs="Arial"/>
          <w:sz w:val="28"/>
          <w:szCs w:val="28"/>
        </w:rPr>
        <w:t>％）×</w:t>
      </w:r>
      <w:r>
        <w:rPr>
          <w:rFonts w:ascii="仿宋_GB2312" w:hAnsi="楷体" w:eastAsia="仿宋_GB2312" w:cs="Arial"/>
          <w:sz w:val="28"/>
          <w:szCs w:val="28"/>
        </w:rPr>
        <w:t>{1-[(1+2%)</w:t>
      </w:r>
      <w:r>
        <w:rPr>
          <w:rFonts w:hint="eastAsia" w:ascii="仿宋_GB2312" w:hAnsi="楷体" w:eastAsia="仿宋_GB2312" w:cs="Arial"/>
          <w:sz w:val="28"/>
          <w:szCs w:val="28"/>
        </w:rPr>
        <w:t>÷</w:t>
      </w:r>
      <w:r>
        <w:rPr>
          <w:rFonts w:ascii="仿宋_GB2312" w:hAnsi="楷体" w:eastAsia="仿宋_GB2312" w:cs="Arial"/>
          <w:sz w:val="28"/>
          <w:szCs w:val="28"/>
        </w:rPr>
        <w:t>(1+</w:t>
      </w:r>
      <w:r>
        <w:rPr>
          <w:rFonts w:hint="eastAsia" w:ascii="仿宋_GB2312" w:hAnsi="楷体" w:eastAsia="仿宋_GB2312" w:cs="Arial"/>
          <w:sz w:val="28"/>
          <w:szCs w:val="28"/>
        </w:rPr>
        <w:t>8</w:t>
      </w:r>
      <w:r>
        <w:rPr>
          <w:rFonts w:ascii="仿宋_GB2312" w:hAnsi="楷体" w:eastAsia="仿宋_GB2312" w:cs="Arial"/>
          <w:sz w:val="28"/>
          <w:szCs w:val="28"/>
        </w:rPr>
        <w:t>%)]</w:t>
      </w:r>
      <w:r>
        <w:rPr>
          <w:rFonts w:hint="eastAsia" w:ascii="仿宋_GB2312" w:hAnsi="楷体" w:eastAsia="仿宋_GB2312" w:cs="Arial"/>
          <w:sz w:val="28"/>
          <w:szCs w:val="28"/>
          <w:vertAlign w:val="superscript"/>
          <w:lang w:val="en-US" w:eastAsia="zh-CN"/>
        </w:rPr>
        <w:t>38</w:t>
      </w:r>
      <w:r>
        <w:rPr>
          <w:rFonts w:ascii="仿宋_GB2312" w:hAnsi="楷体" w:eastAsia="仿宋_GB2312" w:cs="Arial"/>
          <w:sz w:val="28"/>
          <w:szCs w:val="28"/>
        </w:rPr>
        <w:t>}</w:t>
      </w:r>
    </w:p>
    <w:p>
      <w:pPr>
        <w:spacing w:line="540" w:lineRule="exact"/>
        <w:ind w:firstLine="1825" w:firstLineChars="652"/>
        <w:rPr>
          <w:rFonts w:ascii="仿宋_GB2312" w:hAnsi="楷体" w:eastAsia="仿宋_GB2312" w:cs="Arial"/>
          <w:sz w:val="28"/>
          <w:szCs w:val="28"/>
        </w:rPr>
      </w:pPr>
      <w:r>
        <w:rPr>
          <w:rFonts w:hint="eastAsia" w:ascii="仿宋_GB2312" w:hAnsi="楷体" w:eastAsia="仿宋_GB2312" w:cs="Arial"/>
          <w:sz w:val="28"/>
          <w:szCs w:val="28"/>
        </w:rPr>
        <w:t>＝</w:t>
      </w:r>
      <w:r>
        <w:rPr>
          <w:rFonts w:hint="eastAsia" w:ascii="仿宋_GB2312" w:hAnsi="楷体" w:eastAsia="仿宋_GB2312" w:cs="Arial"/>
          <w:sz w:val="28"/>
          <w:szCs w:val="28"/>
          <w:lang w:val="en-US" w:eastAsia="zh-CN"/>
        </w:rPr>
        <w:t>775.45</w:t>
      </w:r>
      <w:r>
        <w:rPr>
          <w:rFonts w:hint="eastAsia" w:ascii="仿宋_GB2312" w:hAnsi="楷体" w:eastAsia="仿宋_GB2312" w:cs="Arial"/>
          <w:sz w:val="28"/>
          <w:szCs w:val="28"/>
        </w:rPr>
        <w:t>元/平方米</w:t>
      </w:r>
    </w:p>
    <w:p>
      <w:pPr>
        <w:pStyle w:val="3"/>
        <w:spacing w:line="460" w:lineRule="exact"/>
        <w:ind w:firstLine="562"/>
        <w:rPr>
          <w:rFonts w:ascii="Times New Roman" w:hAnsi="Times New Roman"/>
        </w:rPr>
      </w:pPr>
      <w:bookmarkStart w:id="216" w:name="_Toc521268522"/>
      <w:r>
        <w:rPr>
          <w:rFonts w:ascii="Times New Roman" w:hAnsi="Times New Roman"/>
        </w:rPr>
        <w:t>（八）估价结果</w:t>
      </w:r>
      <w:bookmarkEnd w:id="216"/>
    </w:p>
    <w:p>
      <w:pPr>
        <w:spacing w:line="600" w:lineRule="exact"/>
        <w:ind w:firstLine="560" w:firstLineChars="200"/>
        <w:rPr>
          <w:rFonts w:eastAsia="仿宋_GB2312"/>
          <w:sz w:val="28"/>
          <w:szCs w:val="28"/>
        </w:rPr>
      </w:pPr>
      <w:r>
        <w:rPr>
          <w:rFonts w:eastAsia="仿宋_GB2312"/>
          <w:sz w:val="28"/>
          <w:szCs w:val="28"/>
        </w:rPr>
        <w:t>估价人员根据估价目的，遵循估价原则，按照估价工作程序，利用科学的估价方法，在认真分析现有资料的基础上，并结合估价人员的经验,采用比较法和收益法对估价对象进行了测算。由于估价对象为可自用型房地产，收益法测算是通过收集房地产的市场租金，利用适当的报酬率或资本化率将未来收益转换为价值得到估价对象价值的方法，其理论依据较强，但由于目前房地产市场中租售比失调，房地产作为一项投资，其保值增值的作用更为突出，通常不采用房地产租金作为获取收益的手段。以租金作为计算基础的收益法不能较准确的反应待估房地产的价值，其测算结果可作为参考。比较法测算是指将估价对象与估价时点近期有过交易的类似房地产进行比较，对这些类似房地产的已知价格作适当的修正，以此估算估价对象的客观合理价格或价值的方法的，测算结果更能代表估价对象估价时点的市场价格。</w:t>
      </w:r>
    </w:p>
    <w:p>
      <w:pPr>
        <w:tabs>
          <w:tab w:val="left" w:pos="993"/>
        </w:tabs>
        <w:adjustRightInd w:val="0"/>
        <w:snapToGrid w:val="0"/>
        <w:spacing w:line="600" w:lineRule="exact"/>
        <w:ind w:firstLine="560" w:firstLineChars="200"/>
        <w:rPr>
          <w:rFonts w:eastAsia="仿宋_GB2312"/>
          <w:sz w:val="28"/>
          <w:szCs w:val="28"/>
        </w:rPr>
      </w:pPr>
      <w:r>
        <w:rPr>
          <w:rFonts w:eastAsia="仿宋_GB2312"/>
          <w:sz w:val="28"/>
          <w:szCs w:val="28"/>
        </w:rPr>
        <w:t>因两种方法的结果差异较大，并且普遍出现租售比失衡的现象，用当前的租金去衡量待估对象房地产价值会偏低，所以收益法的价格不能更准确、客观的反映待估对象的房地产市场价格，故本次评估采用比较法的价格为最终结果，确定估价对象在满足全部假设和限制条件下于价值时点</w:t>
      </w:r>
      <w:r>
        <w:rPr>
          <w:rFonts w:eastAsia="仿宋_GB2312"/>
          <w:color w:val="00B050"/>
          <w:sz w:val="28"/>
          <w:szCs w:val="28"/>
        </w:rPr>
        <w:t>2018年10月24日的</w:t>
      </w:r>
      <w:r>
        <w:rPr>
          <w:rFonts w:eastAsia="仿宋_GB2312"/>
          <w:sz w:val="28"/>
          <w:szCs w:val="28"/>
        </w:rPr>
        <w:t>单价为</w:t>
      </w:r>
      <w:r>
        <w:rPr>
          <w:rFonts w:hint="eastAsia" w:eastAsia="仿宋_GB2312"/>
          <w:sz w:val="28"/>
          <w:szCs w:val="28"/>
          <w:lang w:eastAsia="zh-CN"/>
        </w:rPr>
        <w:t>1993</w:t>
      </w:r>
      <w:r>
        <w:rPr>
          <w:rFonts w:hint="eastAsia" w:eastAsia="仿宋_GB2312"/>
          <w:sz w:val="28"/>
          <w:szCs w:val="28"/>
        </w:rPr>
        <w:t>元</w:t>
      </w:r>
      <w:r>
        <w:rPr>
          <w:rFonts w:eastAsia="仿宋_GB2312"/>
          <w:sz w:val="28"/>
          <w:szCs w:val="28"/>
        </w:rPr>
        <w:t>/平方米。</w:t>
      </w:r>
    </w:p>
    <w:p>
      <w:pPr>
        <w:spacing w:line="600" w:lineRule="exact"/>
        <w:ind w:firstLine="560" w:firstLineChars="200"/>
        <w:rPr>
          <w:rFonts w:eastAsia="仿宋_GB2312"/>
          <w:sz w:val="28"/>
          <w:szCs w:val="28"/>
        </w:rPr>
      </w:pPr>
      <w:r>
        <w:rPr>
          <w:rFonts w:eastAsia="仿宋_GB2312"/>
          <w:sz w:val="28"/>
          <w:szCs w:val="28"/>
        </w:rPr>
        <w:t>估价人员根据估价目的，遵循估价原则，按照估价工作程序，利用科学的估价方法，在认真分析现有资料的基础上，并结合估价人员的经验, 采用比较法对估价对象进行了测算，确定估价对象在满足全部假设和限制条件下于价值时点</w:t>
      </w:r>
      <w:r>
        <w:rPr>
          <w:rFonts w:eastAsia="仿宋_GB2312"/>
          <w:color w:val="00B050"/>
          <w:sz w:val="28"/>
          <w:szCs w:val="28"/>
        </w:rPr>
        <w:t>2018年10月24日</w:t>
      </w:r>
      <w:r>
        <w:rPr>
          <w:rFonts w:eastAsia="仿宋_GB2312"/>
          <w:sz w:val="28"/>
          <w:szCs w:val="28"/>
        </w:rPr>
        <w:t>的估价结果如下：（币种：人民币）</w:t>
      </w:r>
    </w:p>
    <w:p>
      <w:pPr>
        <w:spacing w:line="600" w:lineRule="exact"/>
        <w:jc w:val="center"/>
        <w:rPr>
          <w:rFonts w:eastAsia="楷体_GB2312"/>
          <w:b/>
          <w:bCs/>
          <w:sz w:val="28"/>
          <w:szCs w:val="28"/>
        </w:rPr>
      </w:pPr>
      <w:bookmarkStart w:id="217" w:name="_Toc367869510"/>
      <w:bookmarkStart w:id="218" w:name="_Toc301369728"/>
      <w:r>
        <w:rPr>
          <w:rFonts w:eastAsia="楷体_GB2312"/>
          <w:b/>
          <w:bCs/>
          <w:sz w:val="28"/>
          <w:szCs w:val="28"/>
        </w:rPr>
        <w:t>估价结果一览表</w:t>
      </w:r>
    </w:p>
    <w:tbl>
      <w:tblPr>
        <w:tblStyle w:val="47"/>
        <w:tblpPr w:leftFromText="180" w:rightFromText="180" w:vertAnchor="text" w:horzAnchor="margin" w:tblpXSpec="center" w:tblpY="313"/>
        <w:tblW w:w="9174"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15"/>
        <w:gridCol w:w="1114"/>
        <w:gridCol w:w="1327"/>
        <w:gridCol w:w="1435"/>
        <w:gridCol w:w="1378"/>
        <w:gridCol w:w="2805"/>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序号</w:t>
            </w:r>
          </w:p>
        </w:tc>
        <w:tc>
          <w:tcPr>
            <w:tcW w:w="1114"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房号</w:t>
            </w:r>
          </w:p>
        </w:tc>
        <w:tc>
          <w:tcPr>
            <w:tcW w:w="1327"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建筑面积（</w:t>
            </w:r>
            <w:r>
              <w:rPr>
                <w:rFonts w:hint="eastAsia" w:ascii="仿宋_GB2312" w:eastAsia="仿宋"/>
                <w:b/>
                <w:szCs w:val="21"/>
              </w:rPr>
              <w:t>㎡</w:t>
            </w:r>
            <w:r>
              <w:rPr>
                <w:rFonts w:hint="eastAsia" w:ascii="仿宋_GB2312" w:eastAsia="仿宋_GB2312"/>
                <w:b/>
                <w:szCs w:val="21"/>
              </w:rPr>
              <w:t>）</w:t>
            </w:r>
          </w:p>
        </w:tc>
        <w:tc>
          <w:tcPr>
            <w:tcW w:w="1435"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单价（元/</w:t>
            </w:r>
            <w:r>
              <w:rPr>
                <w:rFonts w:hint="eastAsia" w:ascii="仿宋_GB2312" w:eastAsia="仿宋"/>
                <w:b/>
                <w:szCs w:val="21"/>
              </w:rPr>
              <w:t>㎡</w:t>
            </w:r>
            <w:r>
              <w:rPr>
                <w:rFonts w:hint="eastAsia" w:ascii="仿宋_GB2312" w:eastAsia="仿宋_GB2312"/>
                <w:b/>
                <w:szCs w:val="21"/>
              </w:rPr>
              <w:t>）</w:t>
            </w:r>
          </w:p>
        </w:tc>
        <w:tc>
          <w:tcPr>
            <w:tcW w:w="1378"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总价（万元）</w:t>
            </w:r>
          </w:p>
        </w:tc>
        <w:tc>
          <w:tcPr>
            <w:tcW w:w="2805" w:type="dxa"/>
            <w:tcBorders>
              <w:top w:val="double" w:color="auto" w:sz="4" w:space="0"/>
              <w:bottom w:val="single" w:color="auto" w:sz="4" w:space="0"/>
            </w:tcBorders>
            <w:vAlign w:val="center"/>
          </w:tcPr>
          <w:p>
            <w:pPr>
              <w:jc w:val="center"/>
              <w:rPr>
                <w:rFonts w:ascii="仿宋_GB2312" w:eastAsia="仿宋_GB2312"/>
                <w:b/>
                <w:szCs w:val="21"/>
              </w:rPr>
            </w:pPr>
            <w:r>
              <w:rPr>
                <w:rFonts w:hint="eastAsia" w:ascii="仿宋_GB2312" w:eastAsia="仿宋_GB2312"/>
                <w:b/>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tcBorders>
              <w:top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w:t>
            </w:r>
          </w:p>
        </w:tc>
        <w:tc>
          <w:tcPr>
            <w:tcW w:w="1114" w:type="dxa"/>
            <w:tcBorders>
              <w:top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2-102</w:t>
            </w:r>
          </w:p>
        </w:tc>
        <w:tc>
          <w:tcPr>
            <w:tcW w:w="1327" w:type="dxa"/>
            <w:tcBorders>
              <w:top w:val="single" w:color="auto" w:sz="4" w:space="0"/>
            </w:tcBorders>
            <w:vAlign w:val="center"/>
          </w:tcPr>
          <w:p>
            <w:pPr>
              <w:jc w:val="center"/>
              <w:rPr>
                <w:rFonts w:hint="eastAsia" w:ascii="仿宋_GB2312" w:eastAsia="仿宋_GB2312"/>
                <w:color w:val="000000"/>
                <w:szCs w:val="21"/>
                <w:lang w:eastAsia="zh-CN"/>
              </w:rPr>
            </w:pPr>
            <w:r>
              <w:rPr>
                <w:rFonts w:hint="eastAsia" w:ascii="仿宋_GB2312" w:eastAsia="仿宋_GB2312"/>
                <w:color w:val="000000"/>
                <w:szCs w:val="21"/>
                <w:lang w:eastAsia="zh-CN"/>
              </w:rPr>
              <w:t>119.34</w:t>
            </w:r>
          </w:p>
        </w:tc>
        <w:tc>
          <w:tcPr>
            <w:tcW w:w="1435" w:type="dxa"/>
            <w:tcBorders>
              <w:top w:val="single" w:color="auto" w:sz="4" w:space="0"/>
            </w:tcBorders>
            <w:vAlign w:val="center"/>
          </w:tcPr>
          <w:p>
            <w:pPr>
              <w:jc w:val="center"/>
              <w:rPr>
                <w:rFonts w:hint="eastAsia" w:ascii="仿宋_GB2312" w:eastAsia="仿宋_GB2312"/>
                <w:szCs w:val="21"/>
                <w:lang w:eastAsia="zh-CN"/>
              </w:rPr>
            </w:pPr>
            <w:r>
              <w:rPr>
                <w:rFonts w:hint="eastAsia" w:ascii="仿宋_GB2312" w:eastAsia="仿宋_GB2312"/>
                <w:szCs w:val="21"/>
                <w:lang w:eastAsia="zh-CN"/>
              </w:rPr>
              <w:t>1993</w:t>
            </w:r>
          </w:p>
        </w:tc>
        <w:tc>
          <w:tcPr>
            <w:tcW w:w="1378" w:type="dxa"/>
            <w:tcBorders>
              <w:top w:val="single" w:color="auto" w:sz="4" w:space="0"/>
            </w:tcBorders>
            <w:vAlign w:val="center"/>
          </w:tcPr>
          <w:p>
            <w:pPr>
              <w:jc w:val="center"/>
              <w:rPr>
                <w:rFonts w:hint="eastAsia" w:ascii="仿宋_GB2312" w:eastAsia="仿宋_GB2312"/>
                <w:szCs w:val="21"/>
                <w:lang w:eastAsia="zh-CN"/>
              </w:rPr>
            </w:pPr>
            <w:r>
              <w:rPr>
                <w:rFonts w:hint="eastAsia" w:ascii="仿宋_GB2312" w:eastAsia="仿宋_GB2312"/>
                <w:szCs w:val="21"/>
                <w:lang w:eastAsia="zh-CN"/>
              </w:rPr>
              <w:t>23.7845</w:t>
            </w:r>
          </w:p>
        </w:tc>
        <w:tc>
          <w:tcPr>
            <w:tcW w:w="2805" w:type="dxa"/>
            <w:tcBorders>
              <w:top w:val="single" w:color="auto" w:sz="4" w:space="0"/>
            </w:tcBorders>
            <w:vAlign w:val="center"/>
          </w:tcPr>
          <w:p>
            <w:pPr>
              <w:jc w:val="center"/>
              <w:rPr>
                <w:rFonts w:ascii="仿宋_GB2312" w:eastAsia="仿宋_GB2312"/>
                <w:szCs w:val="21"/>
              </w:rPr>
            </w:pPr>
            <w:r>
              <w:rPr>
                <w:rFonts w:hint="eastAsia" w:ascii="仿宋_GB2312" w:eastAsia="仿宋_GB2312"/>
                <w:szCs w:val="21"/>
                <w:lang w:eastAsia="zh-CN"/>
              </w:rPr>
              <w:t>贰拾叁万柒仟捌佰肆拾伍</w:t>
            </w:r>
            <w:r>
              <w:rPr>
                <w:rFonts w:hint="eastAsia" w:ascii="仿宋_GB2312" w:eastAsia="仿宋_GB2312"/>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54" w:hRule="atLeast"/>
        </w:trPr>
        <w:tc>
          <w:tcPr>
            <w:tcW w:w="1115" w:type="dxa"/>
            <w:vAlign w:val="center"/>
          </w:tcPr>
          <w:p>
            <w:pPr>
              <w:jc w:val="center"/>
              <w:rPr>
                <w:rFonts w:ascii="仿宋_GB2312" w:eastAsia="仿宋_GB2312"/>
                <w:color w:val="000000"/>
                <w:kern w:val="0"/>
                <w:szCs w:val="21"/>
              </w:rPr>
            </w:pPr>
            <w:r>
              <w:rPr>
                <w:rFonts w:hint="eastAsia" w:ascii="仿宋_GB2312" w:eastAsia="仿宋_GB2312"/>
                <w:color w:val="000000"/>
                <w:kern w:val="0"/>
                <w:szCs w:val="21"/>
              </w:rPr>
              <w:t>合计</w:t>
            </w:r>
          </w:p>
        </w:tc>
        <w:tc>
          <w:tcPr>
            <w:tcW w:w="1114" w:type="dxa"/>
            <w:vAlign w:val="center"/>
          </w:tcPr>
          <w:p>
            <w:pPr>
              <w:rPr>
                <w:rFonts w:ascii="仿宋_GB2312" w:eastAsia="仿宋_GB2312"/>
                <w:color w:val="000000"/>
                <w:szCs w:val="21"/>
              </w:rPr>
            </w:pPr>
            <w:r>
              <w:rPr>
                <w:rFonts w:hint="eastAsia" w:ascii="仿宋_GB2312" w:eastAsia="仿宋_GB2312"/>
                <w:color w:val="000000"/>
                <w:szCs w:val="21"/>
              </w:rPr>
              <w:t>　</w:t>
            </w:r>
          </w:p>
        </w:tc>
        <w:tc>
          <w:tcPr>
            <w:tcW w:w="1327" w:type="dxa"/>
            <w:vAlign w:val="center"/>
          </w:tcPr>
          <w:p>
            <w:pPr>
              <w:jc w:val="center"/>
              <w:rPr>
                <w:rFonts w:hint="eastAsia" w:ascii="仿宋_GB2312" w:eastAsia="仿宋_GB2312"/>
                <w:color w:val="000000"/>
                <w:szCs w:val="21"/>
                <w:lang w:eastAsia="zh-CN"/>
              </w:rPr>
            </w:pPr>
            <w:r>
              <w:rPr>
                <w:rFonts w:hint="eastAsia" w:ascii="仿宋_GB2312" w:eastAsia="仿宋_GB2312"/>
                <w:color w:val="000000"/>
                <w:szCs w:val="21"/>
                <w:lang w:eastAsia="zh-CN"/>
              </w:rPr>
              <w:t>119.34</w:t>
            </w:r>
          </w:p>
        </w:tc>
        <w:tc>
          <w:tcPr>
            <w:tcW w:w="1435" w:type="dxa"/>
            <w:vAlign w:val="center"/>
          </w:tcPr>
          <w:p>
            <w:pPr>
              <w:rPr>
                <w:rFonts w:ascii="仿宋_GB2312" w:eastAsia="仿宋_GB2312"/>
                <w:szCs w:val="21"/>
              </w:rPr>
            </w:pPr>
          </w:p>
        </w:tc>
        <w:tc>
          <w:tcPr>
            <w:tcW w:w="1378" w:type="dxa"/>
            <w:vAlign w:val="center"/>
          </w:tcPr>
          <w:p>
            <w:pPr>
              <w:jc w:val="center"/>
              <w:rPr>
                <w:rFonts w:hint="eastAsia" w:ascii="仿宋_GB2312" w:eastAsia="仿宋_GB2312"/>
                <w:szCs w:val="21"/>
                <w:lang w:eastAsia="zh-CN"/>
              </w:rPr>
            </w:pPr>
            <w:r>
              <w:rPr>
                <w:rFonts w:hint="eastAsia" w:ascii="仿宋_GB2312" w:eastAsia="仿宋_GB2312"/>
                <w:szCs w:val="21"/>
                <w:lang w:eastAsia="zh-CN"/>
              </w:rPr>
              <w:t>23.7845</w:t>
            </w:r>
          </w:p>
        </w:tc>
        <w:tc>
          <w:tcPr>
            <w:tcW w:w="2805" w:type="dxa"/>
            <w:vAlign w:val="center"/>
          </w:tcPr>
          <w:p>
            <w:pPr>
              <w:jc w:val="center"/>
              <w:rPr>
                <w:rFonts w:ascii="仿宋_GB2312" w:eastAsia="仿宋_GB2312"/>
                <w:szCs w:val="21"/>
              </w:rPr>
            </w:pPr>
            <w:r>
              <w:rPr>
                <w:rFonts w:hint="eastAsia" w:ascii="仿宋_GB2312" w:eastAsia="仿宋_GB2312"/>
                <w:szCs w:val="21"/>
                <w:lang w:eastAsia="zh-CN"/>
              </w:rPr>
              <w:t>贰拾叁万柒仟捌佰肆拾伍</w:t>
            </w:r>
            <w:r>
              <w:rPr>
                <w:rFonts w:hint="eastAsia" w:ascii="仿宋_GB2312" w:eastAsia="仿宋_GB2312"/>
                <w:szCs w:val="21"/>
              </w:rPr>
              <w:t>元整</w:t>
            </w:r>
          </w:p>
        </w:tc>
      </w:tr>
    </w:tbl>
    <w:p>
      <w:pPr>
        <w:ind w:firstLine="2937" w:firstLineChars="1045"/>
        <w:rPr>
          <w:rFonts w:eastAsia="楷体_GB2312"/>
          <w:b/>
          <w:bCs/>
          <w:sz w:val="28"/>
          <w:szCs w:val="28"/>
        </w:rPr>
      </w:pPr>
    </w:p>
    <w:p>
      <w:pPr>
        <w:ind w:firstLine="2937" w:firstLineChars="1045"/>
        <w:rPr>
          <w:rFonts w:eastAsia="楷体_GB2312"/>
          <w:b/>
          <w:bCs/>
          <w:sz w:val="28"/>
          <w:szCs w:val="28"/>
        </w:rPr>
      </w:pPr>
    </w:p>
    <w:p>
      <w:pPr>
        <w:pStyle w:val="2"/>
      </w:pPr>
      <w:bookmarkStart w:id="219" w:name="_Toc521268523"/>
      <w:bookmarkStart w:id="220" w:name="_GoBack"/>
      <w:bookmarkEnd w:id="220"/>
    </w:p>
    <w:p>
      <w:pPr>
        <w:pStyle w:val="2"/>
      </w:pPr>
    </w:p>
    <w:p>
      <w:pPr>
        <w:pStyle w:val="2"/>
      </w:pPr>
      <w:r>
        <w:t>五、附件</w:t>
      </w:r>
      <w:bookmarkEnd w:id="217"/>
      <w:bookmarkEnd w:id="218"/>
      <w:bookmarkEnd w:id="219"/>
    </w:p>
    <w:p>
      <w:pPr>
        <w:pStyle w:val="145"/>
        <w:numPr>
          <w:ilvl w:val="2"/>
          <w:numId w:val="15"/>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估价对象位置图</w:t>
      </w:r>
    </w:p>
    <w:p>
      <w:pPr>
        <w:pStyle w:val="145"/>
        <w:numPr>
          <w:ilvl w:val="2"/>
          <w:numId w:val="15"/>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估价对象状况照片</w:t>
      </w:r>
    </w:p>
    <w:p>
      <w:pPr>
        <w:pStyle w:val="145"/>
        <w:numPr>
          <w:ilvl w:val="2"/>
          <w:numId w:val="15"/>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《内蒙古自治区乌拉特后旗人民法院评估委托书》复印件</w:t>
      </w:r>
    </w:p>
    <w:p>
      <w:pPr>
        <w:pStyle w:val="145"/>
        <w:numPr>
          <w:ilvl w:val="2"/>
          <w:numId w:val="15"/>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《房屋所有权证》复印件</w:t>
      </w:r>
    </w:p>
    <w:p>
      <w:pPr>
        <w:pStyle w:val="145"/>
        <w:numPr>
          <w:ilvl w:val="2"/>
          <w:numId w:val="15"/>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《内蒙古自治区乌拉特后旗人民法院执行裁定书》复印件</w:t>
      </w:r>
      <w:r>
        <w:rPr>
          <w:rFonts w:ascii="仿宋_GB2312" w:hAnsi="仿宋" w:eastAsia="仿宋_GB2312"/>
          <w:sz w:val="28"/>
          <w:szCs w:val="28"/>
        </w:rPr>
        <w:t xml:space="preserve"> </w:t>
      </w:r>
    </w:p>
    <w:p>
      <w:pPr>
        <w:pStyle w:val="145"/>
        <w:numPr>
          <w:ilvl w:val="2"/>
          <w:numId w:val="15"/>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房地产估价机构营业执照复印件</w:t>
      </w:r>
    </w:p>
    <w:p>
      <w:pPr>
        <w:pStyle w:val="145"/>
        <w:numPr>
          <w:ilvl w:val="2"/>
          <w:numId w:val="15"/>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房地产估价机构资质证书复印件</w:t>
      </w:r>
    </w:p>
    <w:p>
      <w:pPr>
        <w:pStyle w:val="145"/>
        <w:numPr>
          <w:ilvl w:val="2"/>
          <w:numId w:val="15"/>
        </w:numPr>
        <w:adjustRightInd w:val="0"/>
        <w:snapToGrid w:val="0"/>
        <w:spacing w:line="360" w:lineRule="auto"/>
        <w:ind w:left="766" w:hanging="482" w:firstLineChars="0"/>
        <w:rPr>
          <w:rFonts w:ascii="仿宋_GB2312" w:hAnsi="仿宋" w:eastAsia="仿宋_GB2312"/>
          <w:sz w:val="28"/>
          <w:szCs w:val="28"/>
        </w:rPr>
      </w:pPr>
      <w:r>
        <w:rPr>
          <w:rFonts w:hint="eastAsia" w:ascii="仿宋_GB2312" w:hAnsi="仿宋" w:eastAsia="仿宋_GB2312"/>
          <w:sz w:val="28"/>
          <w:szCs w:val="28"/>
        </w:rPr>
        <w:t>注册房地产估价师注册证书复印件</w:t>
      </w:r>
    </w:p>
    <w:p>
      <w:pPr>
        <w:pStyle w:val="145"/>
        <w:adjustRightInd w:val="0"/>
        <w:snapToGrid w:val="0"/>
        <w:spacing w:line="360" w:lineRule="auto"/>
        <w:ind w:left="766" w:firstLine="0" w:firstLineChars="0"/>
        <w:rPr>
          <w:rFonts w:ascii="仿宋_GB2312" w:hAnsi="仿宋" w:eastAsia="仿宋_GB2312"/>
          <w:sz w:val="28"/>
          <w:szCs w:val="28"/>
        </w:rPr>
      </w:pPr>
    </w:p>
    <w:p>
      <w:pPr>
        <w:pStyle w:val="145"/>
        <w:adjustRightInd w:val="0"/>
        <w:snapToGrid w:val="0"/>
        <w:spacing w:line="360" w:lineRule="auto"/>
        <w:ind w:left="766" w:firstLine="0" w:firstLineChars="0"/>
        <w:rPr>
          <w:rFonts w:ascii="仿宋_GB2312" w:hAnsi="仿宋" w:eastAsia="仿宋_GB2312"/>
          <w:sz w:val="28"/>
          <w:szCs w:val="28"/>
        </w:rPr>
      </w:pPr>
    </w:p>
    <w:p>
      <w:pPr>
        <w:pStyle w:val="145"/>
        <w:adjustRightInd w:val="0"/>
        <w:snapToGrid w:val="0"/>
        <w:spacing w:line="360" w:lineRule="auto"/>
        <w:ind w:left="766" w:firstLine="0" w:firstLineChars="0"/>
        <w:rPr>
          <w:rFonts w:ascii="仿宋_GB2312" w:hAnsi="仿宋" w:eastAsia="仿宋_GB2312"/>
          <w:sz w:val="28"/>
          <w:szCs w:val="28"/>
        </w:rPr>
      </w:pPr>
    </w:p>
    <w:p>
      <w:pPr>
        <w:pStyle w:val="145"/>
        <w:adjustRightInd w:val="0"/>
        <w:snapToGrid w:val="0"/>
        <w:spacing w:line="360" w:lineRule="auto"/>
        <w:ind w:left="766" w:firstLine="0" w:firstLineChars="0"/>
        <w:rPr>
          <w:rFonts w:ascii="仿宋_GB2312" w:hAnsi="仿宋" w:eastAsia="仿宋_GB2312"/>
          <w:sz w:val="28"/>
          <w:szCs w:val="28"/>
        </w:rPr>
      </w:pPr>
    </w:p>
    <w:p>
      <w:pPr>
        <w:pStyle w:val="145"/>
        <w:adjustRightInd w:val="0"/>
        <w:snapToGrid w:val="0"/>
        <w:spacing w:line="360" w:lineRule="auto"/>
        <w:ind w:left="766" w:firstLine="0" w:firstLineChars="0"/>
        <w:rPr>
          <w:rFonts w:ascii="仿宋_GB2312" w:hAnsi="仿宋" w:eastAsia="仿宋_GB2312"/>
          <w:sz w:val="28"/>
          <w:szCs w:val="28"/>
        </w:rPr>
      </w:pPr>
    </w:p>
    <w:p>
      <w:pPr>
        <w:pStyle w:val="145"/>
        <w:adjustRightInd w:val="0"/>
        <w:snapToGrid w:val="0"/>
        <w:spacing w:line="360" w:lineRule="auto"/>
        <w:ind w:left="766" w:firstLine="0" w:firstLineChars="0"/>
        <w:rPr>
          <w:rFonts w:ascii="仿宋_GB2312" w:hAnsi="仿宋" w:eastAsia="仿宋_GB2312"/>
          <w:sz w:val="28"/>
          <w:szCs w:val="28"/>
        </w:rPr>
      </w:pPr>
    </w:p>
    <w:p>
      <w:pPr>
        <w:pStyle w:val="145"/>
        <w:adjustRightInd w:val="0"/>
        <w:snapToGrid w:val="0"/>
        <w:spacing w:line="360" w:lineRule="auto"/>
        <w:ind w:left="766" w:firstLine="0" w:firstLineChars="0"/>
        <w:jc w:val="center"/>
        <w:rPr>
          <w:rFonts w:ascii="仿宋_GB2312" w:hAnsi="仿宋" w:eastAsia="仿宋_GB2312"/>
          <w:sz w:val="28"/>
          <w:szCs w:val="28"/>
        </w:rPr>
      </w:pPr>
    </w:p>
    <w:p>
      <w:pPr>
        <w:pStyle w:val="145"/>
        <w:adjustRightInd w:val="0"/>
        <w:snapToGrid w:val="0"/>
        <w:spacing w:line="360" w:lineRule="auto"/>
        <w:ind w:left="766" w:firstLine="0" w:firstLineChars="0"/>
        <w:jc w:val="center"/>
        <w:rPr>
          <w:rFonts w:ascii="仿宋_GB2312" w:hAnsi="仿宋" w:eastAsia="仿宋_GB2312"/>
          <w:sz w:val="28"/>
          <w:szCs w:val="28"/>
        </w:rPr>
      </w:pPr>
      <w:r>
        <w:rPr>
          <w:rFonts w:hint="eastAsia" w:ascii="仿宋_GB2312" w:hAnsi="仿宋" w:eastAsia="仿宋_GB2312"/>
          <w:sz w:val="28"/>
          <w:szCs w:val="28"/>
        </w:rPr>
        <w:t>估价对象位置示意图</w:t>
      </w:r>
    </w:p>
    <w:p>
      <w:pPr>
        <w:pStyle w:val="145"/>
        <w:adjustRightInd w:val="0"/>
        <w:snapToGrid w:val="0"/>
        <w:spacing w:line="360" w:lineRule="auto"/>
        <w:ind w:left="766" w:firstLine="0" w:firstLineChars="0"/>
        <w:jc w:val="center"/>
        <w:rPr>
          <w:rFonts w:hint="eastAsia" w:ascii="仿宋_GB2312" w:hAnsi="仿宋" w:eastAsia="仿宋_GB2312"/>
          <w:sz w:val="28"/>
          <w:szCs w:val="28"/>
          <w:lang w:eastAsia="zh-CN"/>
        </w:rPr>
      </w:pPr>
      <w:r>
        <w:rPr>
          <w:rFonts w:hint="eastAsia" w:ascii="仿宋_GB2312" w:hAnsi="仿宋" w:eastAsia="仿宋_GB2312"/>
          <w:sz w:val="28"/>
          <w:szCs w:val="28"/>
          <w:lang w:eastAsia="zh-CN"/>
        </w:rPr>
        <w:drawing>
          <wp:inline distT="0" distB="0" distL="114300" distR="114300">
            <wp:extent cx="5681980" cy="3677285"/>
            <wp:effectExtent l="0" t="0" r="13970" b="18415"/>
            <wp:docPr id="3" name="图片 3" descr="待估对象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待估对象位置图"/>
                    <pic:cNvPicPr>
                      <a:picLocks noChangeAspect="1"/>
                    </pic:cNvPicPr>
                  </pic:nvPicPr>
                  <pic:blipFill>
                    <a:blip r:embed="rId14"/>
                    <a:stretch>
                      <a:fillRect/>
                    </a:stretch>
                  </pic:blipFill>
                  <pic:spPr>
                    <a:xfrm>
                      <a:off x="0" y="0"/>
                      <a:ext cx="5681980" cy="3677285"/>
                    </a:xfrm>
                    <a:prstGeom prst="rect">
                      <a:avLst/>
                    </a:prstGeom>
                  </pic:spPr>
                </pic:pic>
              </a:graphicData>
            </a:graphic>
          </wp:inline>
        </w:drawing>
      </w:r>
    </w:p>
    <w:p>
      <w:pPr>
        <w:pStyle w:val="145"/>
        <w:adjustRightInd w:val="0"/>
        <w:snapToGrid w:val="0"/>
        <w:spacing w:line="360" w:lineRule="auto"/>
        <w:ind w:left="766" w:firstLine="0" w:firstLineChars="0"/>
        <w:jc w:val="center"/>
        <w:rPr>
          <w:rFonts w:ascii="仿宋_GB2312" w:hAnsi="仿宋" w:eastAsia="仿宋_GB2312"/>
          <w:sz w:val="28"/>
          <w:szCs w:val="28"/>
        </w:rPr>
      </w:pPr>
    </w:p>
    <w:p>
      <w:pPr>
        <w:pStyle w:val="145"/>
        <w:adjustRightInd w:val="0"/>
        <w:snapToGrid w:val="0"/>
        <w:spacing w:line="360" w:lineRule="auto"/>
        <w:ind w:left="766" w:firstLine="0" w:firstLineChars="0"/>
        <w:jc w:val="center"/>
        <w:rPr>
          <w:rFonts w:ascii="仿宋_GB2312" w:hAnsi="仿宋" w:eastAsia="仿宋_GB2312"/>
          <w:sz w:val="28"/>
          <w:szCs w:val="28"/>
        </w:rPr>
      </w:pPr>
    </w:p>
    <w:p>
      <w:pPr>
        <w:pStyle w:val="145"/>
        <w:adjustRightInd w:val="0"/>
        <w:snapToGrid w:val="0"/>
        <w:spacing w:line="360" w:lineRule="auto"/>
        <w:ind w:left="766" w:firstLine="0" w:firstLineChars="0"/>
        <w:jc w:val="center"/>
        <w:rPr>
          <w:rFonts w:ascii="仿宋_GB2312" w:hAnsi="仿宋" w:eastAsia="仿宋_GB2312"/>
          <w:sz w:val="28"/>
          <w:szCs w:val="28"/>
        </w:rPr>
      </w:pPr>
    </w:p>
    <w:p>
      <w:pPr>
        <w:pStyle w:val="145"/>
        <w:adjustRightInd w:val="0"/>
        <w:snapToGrid w:val="0"/>
        <w:spacing w:line="360" w:lineRule="auto"/>
        <w:ind w:left="766" w:firstLine="0" w:firstLineChars="0"/>
        <w:jc w:val="center"/>
        <w:rPr>
          <w:rFonts w:ascii="仿宋_GB2312" w:hAnsi="仿宋" w:eastAsia="仿宋_GB2312"/>
          <w:sz w:val="28"/>
          <w:szCs w:val="28"/>
        </w:rPr>
      </w:pPr>
    </w:p>
    <w:p>
      <w:pPr>
        <w:pStyle w:val="145"/>
        <w:adjustRightInd w:val="0"/>
        <w:snapToGrid w:val="0"/>
        <w:spacing w:line="360" w:lineRule="auto"/>
        <w:ind w:left="766" w:firstLine="0" w:firstLineChars="0"/>
        <w:jc w:val="center"/>
        <w:rPr>
          <w:rFonts w:ascii="仿宋_GB2312" w:hAnsi="仿宋" w:eastAsia="仿宋_GB2312"/>
          <w:sz w:val="28"/>
          <w:szCs w:val="28"/>
        </w:rPr>
      </w:pPr>
    </w:p>
    <w:p>
      <w:pPr>
        <w:pStyle w:val="145"/>
        <w:adjustRightInd w:val="0"/>
        <w:snapToGrid w:val="0"/>
        <w:spacing w:line="360" w:lineRule="auto"/>
        <w:ind w:left="766" w:firstLine="0" w:firstLineChars="0"/>
        <w:jc w:val="center"/>
        <w:rPr>
          <w:rFonts w:ascii="仿宋_GB2312" w:hAnsi="仿宋" w:eastAsia="仿宋_GB2312"/>
          <w:sz w:val="28"/>
          <w:szCs w:val="28"/>
        </w:rPr>
      </w:pPr>
    </w:p>
    <w:p>
      <w:pPr>
        <w:pStyle w:val="145"/>
        <w:adjustRightInd w:val="0"/>
        <w:snapToGrid w:val="0"/>
        <w:spacing w:line="360" w:lineRule="auto"/>
        <w:ind w:left="766" w:firstLine="0" w:firstLineChars="0"/>
        <w:jc w:val="center"/>
        <w:rPr>
          <w:rFonts w:ascii="仿宋_GB2312" w:hAnsi="仿宋" w:eastAsia="仿宋_GB2312"/>
          <w:sz w:val="28"/>
          <w:szCs w:val="28"/>
        </w:rPr>
      </w:pPr>
    </w:p>
    <w:p>
      <w:pPr>
        <w:pStyle w:val="145"/>
        <w:adjustRightInd w:val="0"/>
        <w:snapToGrid w:val="0"/>
        <w:spacing w:line="360" w:lineRule="auto"/>
        <w:ind w:left="766" w:firstLine="0" w:firstLineChars="0"/>
        <w:jc w:val="center"/>
        <w:rPr>
          <w:rFonts w:ascii="仿宋_GB2312" w:hAnsi="仿宋" w:eastAsia="仿宋_GB2312"/>
          <w:sz w:val="28"/>
          <w:szCs w:val="28"/>
        </w:rPr>
      </w:pPr>
    </w:p>
    <w:p>
      <w:pPr>
        <w:pStyle w:val="145"/>
        <w:adjustRightInd w:val="0"/>
        <w:snapToGrid w:val="0"/>
        <w:spacing w:line="360" w:lineRule="auto"/>
        <w:ind w:left="766" w:firstLine="0" w:firstLineChars="0"/>
        <w:jc w:val="center"/>
        <w:rPr>
          <w:rFonts w:ascii="仿宋_GB2312" w:hAnsi="仿宋" w:eastAsia="仿宋_GB2312"/>
          <w:sz w:val="28"/>
          <w:szCs w:val="28"/>
        </w:rPr>
      </w:pPr>
    </w:p>
    <w:p>
      <w:pPr>
        <w:pStyle w:val="145"/>
        <w:adjustRightInd w:val="0"/>
        <w:snapToGrid w:val="0"/>
        <w:spacing w:beforeLines="50" w:afterLines="50" w:line="360" w:lineRule="auto"/>
        <w:ind w:left="765" w:firstLine="0" w:firstLineChars="0"/>
        <w:jc w:val="center"/>
        <w:rPr>
          <w:rFonts w:hint="eastAsia" w:ascii="仿宋_GB2312" w:hAnsi="仿宋" w:eastAsia="仿宋_GB2312"/>
          <w:sz w:val="28"/>
          <w:szCs w:val="28"/>
        </w:rPr>
      </w:pPr>
    </w:p>
    <w:p>
      <w:pPr>
        <w:pStyle w:val="145"/>
        <w:adjustRightInd w:val="0"/>
        <w:snapToGrid w:val="0"/>
        <w:spacing w:beforeLines="50" w:afterLines="50" w:line="360" w:lineRule="auto"/>
        <w:ind w:left="765" w:firstLine="0" w:firstLineChars="0"/>
        <w:jc w:val="center"/>
        <w:rPr>
          <w:rFonts w:hint="eastAsia" w:ascii="仿宋_GB2312" w:hAnsi="仿宋" w:eastAsia="仿宋_GB2312"/>
          <w:sz w:val="28"/>
          <w:szCs w:val="28"/>
        </w:rPr>
      </w:pPr>
    </w:p>
    <w:p>
      <w:pPr>
        <w:pStyle w:val="145"/>
        <w:adjustRightInd w:val="0"/>
        <w:snapToGrid w:val="0"/>
        <w:spacing w:beforeLines="50" w:afterLines="50" w:line="360" w:lineRule="auto"/>
        <w:ind w:left="765" w:firstLine="0" w:firstLineChars="0"/>
        <w:jc w:val="center"/>
        <w:rPr>
          <w:rFonts w:hint="eastAsia" w:ascii="仿宋_GB2312" w:hAnsi="仿宋" w:eastAsia="仿宋_GB2312"/>
          <w:sz w:val="28"/>
          <w:szCs w:val="28"/>
        </w:rPr>
      </w:pPr>
      <w:r>
        <w:rPr>
          <w:rFonts w:hint="eastAsia" w:ascii="仿宋_GB2312" w:hAnsi="仿宋" w:eastAsia="仿宋_GB2312"/>
          <w:sz w:val="28"/>
          <w:szCs w:val="28"/>
        </w:rPr>
        <w:t>估价对象状况照片</w:t>
      </w:r>
    </w:p>
    <w:p>
      <w:pPr>
        <w:pStyle w:val="145"/>
        <w:adjustRightInd w:val="0"/>
        <w:snapToGrid w:val="0"/>
        <w:spacing w:beforeLines="50" w:afterLines="50" w:line="360" w:lineRule="auto"/>
        <w:ind w:left="765" w:firstLine="0" w:firstLineChars="0"/>
        <w:jc w:val="center"/>
        <w:rPr>
          <w:rFonts w:hint="eastAsia" w:ascii="仿宋_GB2312" w:hAnsi="仿宋" w:eastAsia="仿宋_GB2312"/>
          <w:sz w:val="28"/>
          <w:szCs w:val="28"/>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-476250</wp:posOffset>
            </wp:positionH>
            <wp:positionV relativeFrom="paragraph">
              <wp:posOffset>3022600</wp:posOffset>
            </wp:positionV>
            <wp:extent cx="3334385" cy="2501900"/>
            <wp:effectExtent l="0" t="0" r="18415" b="12700"/>
            <wp:wrapSquare wrapText="bothSides"/>
            <wp:docPr id="13" name="图片 13" descr="DSC0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SC03722"/>
                    <pic:cNvPicPr>
                      <a:picLocks noChangeAspect="1"/>
                    </pic:cNvPicPr>
                  </pic:nvPicPr>
                  <pic:blipFill>
                    <a:blip r:embed="rId18"/>
                    <a:stretch>
                      <a:fillRect/>
                    </a:stretch>
                  </pic:blipFill>
                  <pic:spPr>
                    <a:xfrm>
                      <a:off x="0" y="0"/>
                      <a:ext cx="3334385" cy="2501900"/>
                    </a:xfrm>
                    <a:prstGeom prst="rect">
                      <a:avLst/>
                    </a:prstGeom>
                  </pic:spPr>
                </pic:pic>
              </a:graphicData>
            </a:graphic>
          </wp:anchor>
        </w:drawing>
      </w:r>
      <w:r>
        <w:rPr>
          <w:rFonts w:hint="eastAsia" w:eastAsia="宋体"/>
          <w:lang w:eastAsia="zh-CN"/>
        </w:rPr>
        <w:drawing>
          <wp:anchor distT="0" distB="0" distL="114300" distR="114300" simplePos="0" relativeHeight="251659264" behindDoc="0" locked="0" layoutInCell="1" allowOverlap="1">
            <wp:simplePos x="0" y="0"/>
            <wp:positionH relativeFrom="column">
              <wp:posOffset>3067685</wp:posOffset>
            </wp:positionH>
            <wp:positionV relativeFrom="paragraph">
              <wp:posOffset>136525</wp:posOffset>
            </wp:positionV>
            <wp:extent cx="2995295" cy="2425700"/>
            <wp:effectExtent l="0" t="0" r="14605" b="12700"/>
            <wp:wrapSquare wrapText="bothSides"/>
            <wp:docPr id="12" name="图片 12" descr="DSC0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SC03712"/>
                    <pic:cNvPicPr>
                      <a:picLocks noChangeAspect="1"/>
                    </pic:cNvPicPr>
                  </pic:nvPicPr>
                  <pic:blipFill>
                    <a:blip r:embed="rId19"/>
                    <a:stretch>
                      <a:fillRect/>
                    </a:stretch>
                  </pic:blipFill>
                  <pic:spPr>
                    <a:xfrm>
                      <a:off x="0" y="0"/>
                      <a:ext cx="2995295" cy="2425700"/>
                    </a:xfrm>
                    <a:prstGeom prst="rect">
                      <a:avLst/>
                    </a:prstGeom>
                  </pic:spPr>
                </pic:pic>
              </a:graphicData>
            </a:graphic>
          </wp:anchor>
        </w:drawing>
      </w:r>
      <w:r>
        <w:rPr>
          <w:rFonts w:hint="eastAsia" w:ascii="仿宋_GB2312" w:hAnsi="仿宋" w:eastAsia="仿宋_GB2312"/>
          <w:sz w:val="28"/>
          <w:szCs w:val="28"/>
          <w:lang w:eastAsia="zh-CN"/>
        </w:rPr>
        <w:drawing>
          <wp:anchor distT="0" distB="0" distL="114300" distR="114300" simplePos="0" relativeHeight="251658240" behindDoc="0" locked="0" layoutInCell="1" allowOverlap="1">
            <wp:simplePos x="0" y="0"/>
            <wp:positionH relativeFrom="column">
              <wp:posOffset>-466090</wp:posOffset>
            </wp:positionH>
            <wp:positionV relativeFrom="paragraph">
              <wp:posOffset>123825</wp:posOffset>
            </wp:positionV>
            <wp:extent cx="3321685" cy="2492375"/>
            <wp:effectExtent l="0" t="0" r="12065" b="3175"/>
            <wp:wrapSquare wrapText="bothSides"/>
            <wp:docPr id="5" name="图片 5" descr="DSC0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03720"/>
                    <pic:cNvPicPr>
                      <a:picLocks noChangeAspect="1"/>
                    </pic:cNvPicPr>
                  </pic:nvPicPr>
                  <pic:blipFill>
                    <a:blip r:embed="rId20"/>
                    <a:stretch>
                      <a:fillRect/>
                    </a:stretch>
                  </pic:blipFill>
                  <pic:spPr>
                    <a:xfrm>
                      <a:off x="0" y="0"/>
                      <a:ext cx="3321685" cy="2492375"/>
                    </a:xfrm>
                    <a:prstGeom prst="rect">
                      <a:avLst/>
                    </a:prstGeom>
                  </pic:spPr>
                </pic:pic>
              </a:graphicData>
            </a:graphic>
          </wp:anchor>
        </w:drawing>
      </w:r>
    </w:p>
    <w:p>
      <w:pPr>
        <w:rPr>
          <w:rFonts w:hint="eastAsia" w:eastAsia="宋体"/>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3025775" cy="2491740"/>
            <wp:effectExtent l="0" t="0" r="3175" b="3810"/>
            <wp:wrapSquare wrapText="bothSides"/>
            <wp:docPr id="14" name="图片 14" descr="DSC0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03726"/>
                    <pic:cNvPicPr>
                      <a:picLocks noChangeAspect="1"/>
                    </pic:cNvPicPr>
                  </pic:nvPicPr>
                  <pic:blipFill>
                    <a:blip r:embed="rId21"/>
                    <a:stretch>
                      <a:fillRect/>
                    </a:stretch>
                  </pic:blipFill>
                  <pic:spPr>
                    <a:xfrm>
                      <a:off x="0" y="0"/>
                      <a:ext cx="3025775" cy="2491740"/>
                    </a:xfrm>
                    <a:prstGeom prst="rect">
                      <a:avLst/>
                    </a:prstGeom>
                  </pic:spPr>
                </pic:pic>
              </a:graphicData>
            </a:graphic>
          </wp:anchor>
        </w:drawing>
      </w:r>
    </w:p>
    <w:p/>
    <w:p/>
    <w:p/>
    <w:p/>
    <w:sectPr>
      <w:headerReference r:id="rId12" w:type="default"/>
      <w:pgSz w:w="11906" w:h="16838"/>
      <w:pgMar w:top="1814" w:right="1247" w:bottom="1418" w:left="1701" w:header="1417" w:footer="737"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A00002EF" w:usb1="4000004B"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仿宋体">
    <w:altName w:val="宋体"/>
    <w:panose1 w:val="00000000000000000000"/>
    <w:charset w:val="86"/>
    <w:family w:val="roman"/>
    <w:pitch w:val="default"/>
    <w:sig w:usb0="00000000" w:usb1="00000000" w:usb2="00000010" w:usb3="00000000" w:csb0="00040000" w:csb1="00000000"/>
  </w:font>
  <w:font w:name="方正姚体">
    <w:panose1 w:val="02010601030101010101"/>
    <w:charset w:val="86"/>
    <w:family w:val="auto"/>
    <w:pitch w:val="default"/>
    <w:sig w:usb0="00000003"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pacing w:beforeLines="50"/>
      <w:jc w:val="center"/>
      <w:rPr>
        <w:szCs w:val="18"/>
      </w:rPr>
    </w:pPr>
    <w:r>
      <mc:AlternateContent>
        <mc:Choice Requires="wps">
          <w:drawing>
            <wp:anchor distT="0" distB="0" distL="114300" distR="114300" simplePos="0" relativeHeight="251657216" behindDoc="0" locked="0" layoutInCell="1" allowOverlap="1">
              <wp:simplePos x="0" y="0"/>
              <wp:positionH relativeFrom="column">
                <wp:posOffset>-5080</wp:posOffset>
              </wp:positionH>
              <wp:positionV relativeFrom="paragraph">
                <wp:posOffset>57150</wp:posOffset>
              </wp:positionV>
              <wp:extent cx="5725160" cy="0"/>
              <wp:effectExtent l="0" t="0" r="0" b="0"/>
              <wp:wrapNone/>
              <wp:docPr id="8" name="自选图形 2"/>
              <wp:cNvGraphicFramePr/>
              <a:graphic xmlns:a="http://schemas.openxmlformats.org/drawingml/2006/main">
                <a:graphicData uri="http://schemas.microsoft.com/office/word/2010/wordprocessingShape">
                  <wps:wsp>
                    <wps:cNvCnPr/>
                    <wps:spPr>
                      <a:xfrm>
                        <a:off x="0" y="0"/>
                        <a:ext cx="572516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margin-left:-0.4pt;margin-top:4.5pt;height:0pt;width:450.8pt;z-index:251657216;mso-width-relative:page;mso-height-relative:page;" filled="f" stroked="t" coordsize="21600,21600" o:gfxdata="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Kusyv0QAAAAUBAAAPAAAAAAAAAAEAIAAA&#10;ACIAAABkcnMvZG93bnJldi54bWxQSwECFAAUAAAACACHTuJALfcTxtoBAACVAwAADgAAAAAAAAAB&#10;ACAAAAAgAQAAZHJzL2Uyb0RvYy54bWxQSwUGAAAAAAYABgBZAQAAbAUAAAAA&#10;">
              <v:fill on="f" focussize="0,0"/>
              <v:stroke color="#000000" joinstyle="round"/>
              <v:imagedata o:title=""/>
              <o:lock v:ext="edit" aspectratio="f"/>
            </v:shape>
          </w:pict>
        </mc:Fallback>
      </mc:AlternateContent>
    </w:r>
    <w:r>
      <w:rPr>
        <w:szCs w:val="18"/>
      </w:rPr>
      <w:t xml:space="preserve"> </w:t>
    </w:r>
    <w: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57150</wp:posOffset>
              </wp:positionV>
              <wp:extent cx="5725160" cy="0"/>
              <wp:effectExtent l="0" t="0" r="0" b="0"/>
              <wp:wrapNone/>
              <wp:docPr id="9" name="自选图形 3"/>
              <wp:cNvGraphicFramePr/>
              <a:graphic xmlns:a="http://schemas.openxmlformats.org/drawingml/2006/main">
                <a:graphicData uri="http://schemas.microsoft.com/office/word/2010/wordprocessingShape">
                  <wps:wsp>
                    <wps:cNvCnPr/>
                    <wps:spPr>
                      <a:xfrm>
                        <a:off x="0" y="0"/>
                        <a:ext cx="572516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0.4pt;margin-top:4.5pt;height:0pt;width:450.8pt;z-index:251658240;mso-width-relative:page;mso-height-relative:page;" filled="f" stroked="t" coordsize="21600,21600" o:gfxdata="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q6zK/RAAAABQEAAA8AAAAAAAAAAQAgAAAA&#10;IgAAAGRycy9kb3ducmV2LnhtbFBLAQIUABQAAAAIAIdO4kBvL6pB2QEAAJUDAAAOAAAAAAAAAAEA&#10;IAAAACABAABkcnMvZTJvRG9jLnhtbFBLBQYAAAAABgAGAFkBAABrBQAAAAA=&#10;">
              <v:fill on="f" focussize="0,0"/>
              <v:stroke color="#000000" joinstyle="round"/>
              <v:imagedata o:title=""/>
              <o:lock v:ext="edit" aspectratio="f"/>
            </v:shape>
          </w:pict>
        </mc:Fallback>
      </mc:AlternateContent>
    </w:r>
    <w:r>
      <w:rPr>
        <w:rFonts w:hint="eastAsia" w:ascii="方正姚体" w:eastAsia="方正姚体"/>
        <w:szCs w:val="18"/>
      </w:rPr>
      <w:t>地址：内蒙古自治区呼和浩特市丁香路</w:t>
    </w:r>
    <w:r>
      <w:rPr>
        <w:rFonts w:ascii="方正姚体" w:eastAsia="方正姚体"/>
        <w:szCs w:val="18"/>
      </w:rPr>
      <w:t>10</w:t>
    </w:r>
    <w:r>
      <w:rPr>
        <w:rFonts w:hint="eastAsia" w:ascii="方正姚体" w:eastAsia="方正姚体"/>
        <w:szCs w:val="18"/>
      </w:rPr>
      <w:t>号</w:t>
    </w:r>
    <w:r>
      <w:rPr>
        <w:rFonts w:ascii="方正姚体" w:eastAsia="方正姚体"/>
        <w:szCs w:val="18"/>
      </w:rPr>
      <w:t xml:space="preserve">                                </w:t>
    </w:r>
    <w:r>
      <w:rPr>
        <w:rFonts w:hint="eastAsia" w:ascii="方正姚体" w:eastAsia="方正姚体"/>
        <w:szCs w:val="18"/>
      </w:rPr>
      <w:t>联系电话：</w:t>
    </w:r>
    <w:r>
      <w:rPr>
        <w:rFonts w:ascii="方正姚体" w:eastAsia="方正姚体"/>
        <w:szCs w:val="18"/>
      </w:rPr>
      <w:t>0471-4663576</w:t>
    </w:r>
  </w:p>
  <w:p>
    <w:pPr>
      <w:pStyle w:val="26"/>
      <w:jc w:val="right"/>
    </w:pPr>
    <w:r>
      <w:rPr>
        <w:szCs w:val="18"/>
      </w:rPr>
      <w:t xml:space="preserve"> </w:t>
    </w:r>
    <w:r>
      <w:rPr>
        <w:rFonts w:hint="eastAsia" w:ascii="方正姚体" w:eastAsia="方正姚体"/>
        <w:szCs w:val="18"/>
      </w:rPr>
      <w:t>第</w:t>
    </w:r>
    <w:r>
      <w:rPr>
        <w:rFonts w:ascii="方正姚体" w:eastAsia="方正姚体"/>
        <w:szCs w:val="18"/>
      </w:rPr>
      <w:t xml:space="preserve"> </w:t>
    </w:r>
    <w:r>
      <w:rPr>
        <w:rFonts w:ascii="方正姚体" w:eastAsia="方正姚体"/>
        <w:szCs w:val="18"/>
      </w:rPr>
      <w:fldChar w:fldCharType="begin"/>
    </w:r>
    <w:r>
      <w:rPr>
        <w:rFonts w:ascii="方正姚体" w:eastAsia="方正姚体"/>
        <w:szCs w:val="18"/>
      </w:rPr>
      <w:instrText xml:space="preserve"> PAGE   \* MERGEFORMAT </w:instrText>
    </w:r>
    <w:r>
      <w:rPr>
        <w:rFonts w:ascii="方正姚体" w:eastAsia="方正姚体"/>
        <w:szCs w:val="18"/>
      </w:rPr>
      <w:fldChar w:fldCharType="separate"/>
    </w:r>
    <w:r>
      <w:rPr>
        <w:rFonts w:ascii="方正姚体" w:eastAsia="方正姚体"/>
        <w:szCs w:val="18"/>
        <w:lang w:val="zh-CN"/>
      </w:rPr>
      <w:t>1</w:t>
    </w:r>
    <w:r>
      <w:rPr>
        <w:rFonts w:ascii="方正姚体" w:eastAsia="方正姚体"/>
        <w:szCs w:val="18"/>
      </w:rPr>
      <w:fldChar w:fldCharType="end"/>
    </w:r>
    <w:r>
      <w:rPr>
        <w:rFonts w:ascii="方正姚体" w:eastAsia="方正姚体"/>
        <w:szCs w:val="18"/>
      </w:rPr>
      <w:t xml:space="preserve"> </w:t>
    </w:r>
    <w:r>
      <w:rPr>
        <w:rFonts w:hint="eastAsia" w:ascii="方正姚体" w:eastAsia="方正姚体"/>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pacing w:beforeLines="50"/>
      <w:jc w:val="center"/>
      <w:rPr>
        <w:szCs w:val="18"/>
      </w:rPr>
    </w:pPr>
    <w:r>
      <mc:AlternateContent>
        <mc:Choice Requires="wps">
          <w:drawing>
            <wp:anchor distT="0" distB="0" distL="114300" distR="114300" simplePos="0" relativeHeight="251655168" behindDoc="0" locked="0" layoutInCell="1" allowOverlap="1">
              <wp:simplePos x="0" y="0"/>
              <wp:positionH relativeFrom="column">
                <wp:posOffset>-5080</wp:posOffset>
              </wp:positionH>
              <wp:positionV relativeFrom="paragraph">
                <wp:posOffset>57150</wp:posOffset>
              </wp:positionV>
              <wp:extent cx="5725160" cy="0"/>
              <wp:effectExtent l="0" t="0" r="0" b="0"/>
              <wp:wrapNone/>
              <wp:docPr id="6" name="自选图形 8"/>
              <wp:cNvGraphicFramePr/>
              <a:graphic xmlns:a="http://schemas.openxmlformats.org/drawingml/2006/main">
                <a:graphicData uri="http://schemas.microsoft.com/office/word/2010/wordprocessingShape">
                  <wps:wsp>
                    <wps:cNvCnPr/>
                    <wps:spPr>
                      <a:xfrm>
                        <a:off x="0" y="0"/>
                        <a:ext cx="572516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0.4pt;margin-top:4.5pt;height:0pt;width:450.8pt;z-index:251655168;mso-width-relative:page;mso-height-relative:page;" filled="f" stroked="t" coordsize="21600,21600" o:gfxdata="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rrMr9EAAAAFAQAADwAAAAAAAAABACAA&#10;AAAiAAAAZHJzL2Rvd25yZXYueG1sUEsBAhQAFAAAAAgAh07iQGoWgivbAQAAlQMAAA4AAAAAAAAA&#10;AQAgAAAAIAEAAGRycy9lMm9Eb2MueG1sUEsFBgAAAAAGAAYAWQEAAG0FAAAAAA==&#10;">
              <v:fill on="f" focussize="0,0"/>
              <v:stroke color="#000000" joinstyle="round"/>
              <v:imagedata o:title=""/>
              <o:lock v:ext="edit" aspectratio="f"/>
            </v:shape>
          </w:pict>
        </mc:Fallback>
      </mc:AlternateContent>
    </w:r>
    <w:r>
      <w:rPr>
        <w:rFonts w:hint="eastAsia" w:ascii="方正姚体" w:eastAsia="方正姚体"/>
        <w:szCs w:val="18"/>
      </w:rPr>
      <w:t>地址：内蒙古自治区呼和浩特市丁香路</w:t>
    </w:r>
    <w:r>
      <w:rPr>
        <w:rFonts w:ascii="方正姚体" w:eastAsia="方正姚体"/>
        <w:szCs w:val="18"/>
      </w:rPr>
      <w:t>10</w:t>
    </w:r>
    <w:r>
      <w:rPr>
        <w:rFonts w:hint="eastAsia" w:ascii="方正姚体" w:eastAsia="方正姚体"/>
        <w:szCs w:val="18"/>
      </w:rPr>
      <w:t>号</w:t>
    </w:r>
    <w:r>
      <w:rPr>
        <w:rFonts w:ascii="方正姚体" w:eastAsia="方正姚体"/>
        <w:szCs w:val="18"/>
      </w:rPr>
      <w:t xml:space="preserve">                                </w:t>
    </w:r>
    <w:r>
      <w:rPr>
        <w:rFonts w:hint="eastAsia" w:ascii="方正姚体" w:eastAsia="方正姚体"/>
        <w:szCs w:val="18"/>
      </w:rPr>
      <w:t>联系电话：</w:t>
    </w:r>
    <w:r>
      <w:rPr>
        <w:rFonts w:ascii="方正姚体" w:eastAsia="方正姚体"/>
        <w:szCs w:val="18"/>
      </w:rPr>
      <w:t>0471-4663576</w:t>
    </w:r>
    <w:r>
      <w:rPr>
        <w:szCs w:val="18"/>
      </w:rPr>
      <w:t xml:space="preserve"> </w:t>
    </w:r>
  </w:p>
  <w:p>
    <w:pPr>
      <w:pStyle w:val="26"/>
      <w:jc w:val="right"/>
      <w:rPr>
        <w:kern w:val="2"/>
        <w:sz w:val="21"/>
      </w:rPr>
    </w:pPr>
    <w:r>
      <w:rPr>
        <w:szCs w:val="18"/>
      </w:rPr>
      <w:t xml:space="preserve"> </w:t>
    </w:r>
    <w:r>
      <w:rPr>
        <w:rFonts w:hint="eastAsia" w:ascii="方正姚体" w:eastAsia="方正姚体"/>
        <w:szCs w:val="18"/>
      </w:rPr>
      <w:t>第</w:t>
    </w:r>
    <w:r>
      <w:rPr>
        <w:rFonts w:ascii="方正姚体" w:eastAsia="方正姚体"/>
        <w:szCs w:val="18"/>
      </w:rPr>
      <w:t xml:space="preserve"> </w:t>
    </w:r>
    <w:r>
      <w:rPr>
        <w:rFonts w:ascii="方正姚体" w:eastAsia="方正姚体"/>
        <w:szCs w:val="18"/>
      </w:rPr>
      <w:fldChar w:fldCharType="begin"/>
    </w:r>
    <w:r>
      <w:rPr>
        <w:rFonts w:ascii="方正姚体" w:eastAsia="方正姚体"/>
        <w:szCs w:val="18"/>
      </w:rPr>
      <w:instrText xml:space="preserve"> PAGE   \* MERGEFORMAT </w:instrText>
    </w:r>
    <w:r>
      <w:rPr>
        <w:rFonts w:ascii="方正姚体" w:eastAsia="方正姚体"/>
        <w:szCs w:val="18"/>
      </w:rPr>
      <w:fldChar w:fldCharType="separate"/>
    </w:r>
    <w:r>
      <w:rPr>
        <w:rFonts w:ascii="方正姚体" w:eastAsia="方正姚体"/>
        <w:szCs w:val="18"/>
        <w:lang w:val="zh-CN"/>
      </w:rPr>
      <w:t>25</w:t>
    </w:r>
    <w:r>
      <w:rPr>
        <w:rFonts w:ascii="方正姚体" w:eastAsia="方正姚体"/>
        <w:szCs w:val="18"/>
      </w:rPr>
      <w:fldChar w:fldCharType="end"/>
    </w:r>
    <w:r>
      <w:rPr>
        <w:rFonts w:ascii="方正姚体" w:eastAsia="方正姚体"/>
        <w:szCs w:val="18"/>
      </w:rPr>
      <w:t xml:space="preserve"> </w:t>
    </w:r>
    <w:r>
      <w:rPr>
        <w:rFonts w:hint="eastAsia" w:ascii="方正姚体" w:eastAsia="方正姚体"/>
        <w:szCs w:val="18"/>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3"/>
      </w:rPr>
    </w:pPr>
    <w:r>
      <w:fldChar w:fldCharType="begin"/>
    </w:r>
    <w:r>
      <w:rPr>
        <w:rStyle w:val="43"/>
      </w:rPr>
      <w:instrText xml:space="preserve">PAGE  </w:instrText>
    </w:r>
    <w:r>
      <w:fldChar w:fldCharType="end"/>
    </w:r>
  </w:p>
  <w:p>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4"/>
    </w:pPr>
    <w:r>
      <mc:AlternateContent>
        <mc:Choice Requires="wps">
          <w:drawing>
            <wp:anchor distT="0" distB="0" distL="114300" distR="114300" simplePos="0" relativeHeight="251656192" behindDoc="0" locked="0" layoutInCell="1" allowOverlap="1">
              <wp:simplePos x="0" y="0"/>
              <wp:positionH relativeFrom="column">
                <wp:posOffset>2943225</wp:posOffset>
              </wp:positionH>
              <wp:positionV relativeFrom="paragraph">
                <wp:posOffset>-152400</wp:posOffset>
              </wp:positionV>
              <wp:extent cx="2705100" cy="270510"/>
              <wp:effectExtent l="0" t="0" r="0" b="15240"/>
              <wp:wrapNone/>
              <wp:docPr id="7" name="文本框 1"/>
              <wp:cNvGraphicFramePr/>
              <a:graphic xmlns:a="http://schemas.openxmlformats.org/drawingml/2006/main">
                <a:graphicData uri="http://schemas.microsoft.com/office/word/2010/wordprocessingShape">
                  <wps:wsp>
                    <wps:cNvSpPr txBox="1"/>
                    <wps:spPr>
                      <a:xfrm>
                        <a:off x="0" y="0"/>
                        <a:ext cx="2705100" cy="270510"/>
                      </a:xfrm>
                      <a:prstGeom prst="rect">
                        <a:avLst/>
                      </a:prstGeom>
                      <a:solidFill>
                        <a:srgbClr val="FFFFFF"/>
                      </a:solidFill>
                      <a:ln w="9525">
                        <a:noFill/>
                      </a:ln>
                    </wps:spPr>
                    <wps:txbx>
                      <w:txbxContent>
                        <w:p>
                          <w:pPr>
                            <w:rPr>
                              <w:rFonts w:ascii="楷体" w:hAnsi="楷体" w:eastAsia="楷体"/>
                              <w:b/>
                              <w:color w:val="948A54"/>
                              <w:sz w:val="32"/>
                              <w:szCs w:val="32"/>
                            </w:rPr>
                          </w:pPr>
                          <w:r>
                            <w:rPr>
                              <w:rFonts w:hint="eastAsia" w:ascii="宋体" w:hAnsi="宋体"/>
                            </w:rPr>
                            <w:t>内蒙古科瑞房地产土地资产评估有限公司</w:t>
                          </w:r>
                          <w:r>
                            <w:rPr>
                              <w:rFonts w:ascii="楷体" w:hAnsi="楷体" w:eastAsia="楷体"/>
                              <w:b/>
                              <w:color w:val="948A54"/>
                              <w:sz w:val="32"/>
                              <w:szCs w:val="32"/>
                            </w:rPr>
                            <w:t>LOGO</w:t>
                          </w:r>
                        </w:p>
                      </w:txbxContent>
                    </wps:txbx>
                    <wps:bodyPr upright="1"/>
                  </wps:wsp>
                </a:graphicData>
              </a:graphic>
            </wp:anchor>
          </w:drawing>
        </mc:Choice>
        <mc:Fallback>
          <w:pict>
            <v:shape id="文本框 1" o:spid="_x0000_s1026" o:spt="202" type="#_x0000_t202" style="position:absolute;left:0pt;margin-left:231.75pt;margin-top:-12pt;height:21.3pt;width:213pt;z-index:251656192;mso-width-relative:page;mso-height-relative:page;" fillcolor="#FFFFFF" filled="t" stroked="f" coordsize="21600,21600" o:gfxdata="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ZOhS71wAAAAoBAAAP&#10;AAAAAAAAAAEAIAAAACIAAABkcnMvZG93bnJldi54bWxQSwECFAAUAAAACACHTuJAFyv7vKcBAAAy&#10;AwAADgAAAAAAAAABACAAAAAmAQAAZHJzL2Uyb0RvYy54bWxQSwUGAAAAAAYABgBZAQAAPwUAAAAA&#10;">
              <v:fill on="t" focussize="0,0"/>
              <v:stroke on="f"/>
              <v:imagedata o:title=""/>
              <o:lock v:ext="edit" aspectratio="f"/>
              <v:textbox>
                <w:txbxContent>
                  <w:p>
                    <w:pPr>
                      <w:rPr>
                        <w:rFonts w:ascii="楷体" w:hAnsi="楷体" w:eastAsia="楷体"/>
                        <w:b/>
                        <w:color w:val="948A54"/>
                        <w:sz w:val="32"/>
                        <w:szCs w:val="32"/>
                      </w:rPr>
                    </w:pPr>
                    <w:r>
                      <w:rPr>
                        <w:rFonts w:hint="eastAsia" w:ascii="宋体" w:hAnsi="宋体"/>
                      </w:rPr>
                      <w:t>内蒙古科瑞房地产土地资产评估有限公司</w:t>
                    </w:r>
                    <w:r>
                      <w:rPr>
                        <w:rFonts w:ascii="楷体" w:hAnsi="楷体" w:eastAsia="楷体"/>
                        <w:b/>
                        <w:color w:val="948A54"/>
                        <w:sz w:val="32"/>
                        <w:szCs w:val="32"/>
                      </w:rPr>
                      <w:t>LOGO</w:t>
                    </w:r>
                  </w:p>
                </w:txbxContent>
              </v:textbox>
            </v:shape>
          </w:pict>
        </mc:Fallback>
      </mc:AlternateContent>
    </w:r>
    <w:r>
      <w:drawing>
        <wp:anchor distT="0" distB="0" distL="114300" distR="114300" simplePos="0" relativeHeight="251658240" behindDoc="0" locked="0" layoutInCell="1" allowOverlap="1">
          <wp:simplePos x="0" y="0"/>
          <wp:positionH relativeFrom="page">
            <wp:posOffset>1075055</wp:posOffset>
          </wp:positionH>
          <wp:positionV relativeFrom="page">
            <wp:posOffset>747395</wp:posOffset>
          </wp:positionV>
          <wp:extent cx="826770" cy="278130"/>
          <wp:effectExtent l="19050" t="0" r="0" b="0"/>
          <wp:wrapNone/>
          <wp:docPr id="20" name="图片 3"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标志2.jpg"/>
                  <pic:cNvPicPr>
                    <a:picLocks noChangeAspect="1" noChangeArrowheads="1"/>
                  </pic:cNvPicPr>
                </pic:nvPicPr>
                <pic:blipFill>
                  <a:blip r:embed="rId1"/>
                  <a:srcRect/>
                  <a:stretch>
                    <a:fillRect/>
                  </a:stretch>
                </pic:blipFill>
                <pic:spPr>
                  <a:xfrm>
                    <a:off x="0" y="0"/>
                    <a:ext cx="826770" cy="278130"/>
                  </a:xfrm>
                  <a:prstGeom prst="rect">
                    <a:avLst/>
                  </a:prstGeom>
                  <a:noFill/>
                  <a:ln w="9525">
                    <a:noFill/>
                    <a:miter lim="800000"/>
                    <a:headEnd/>
                    <a:tailEnd/>
                  </a:ln>
                </pic:spPr>
              </pic:pic>
            </a:graphicData>
          </a:graphic>
        </wp:anchor>
      </w:drawing>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0"/>
    </w:pPr>
    <w:r>
      <mc:AlternateContent>
        <mc:Choice Requires="wps">
          <w:drawing>
            <wp:anchor distT="0" distB="0" distL="114300" distR="114300" simplePos="0" relativeHeight="251654144" behindDoc="0" locked="0" layoutInCell="1" allowOverlap="1">
              <wp:simplePos x="0" y="0"/>
              <wp:positionH relativeFrom="column">
                <wp:posOffset>3060700</wp:posOffset>
              </wp:positionH>
              <wp:positionV relativeFrom="paragraph">
                <wp:posOffset>-151765</wp:posOffset>
              </wp:positionV>
              <wp:extent cx="2599690" cy="261620"/>
              <wp:effectExtent l="0" t="0" r="10160" b="5080"/>
              <wp:wrapNone/>
              <wp:docPr id="4" name="文本框 7"/>
              <wp:cNvGraphicFramePr/>
              <a:graphic xmlns:a="http://schemas.openxmlformats.org/drawingml/2006/main">
                <a:graphicData uri="http://schemas.microsoft.com/office/word/2010/wordprocessingShape">
                  <wps:wsp>
                    <wps:cNvSpPr txBox="1"/>
                    <wps:spPr>
                      <a:xfrm>
                        <a:off x="0" y="0"/>
                        <a:ext cx="2599690" cy="261620"/>
                      </a:xfrm>
                      <a:prstGeom prst="rect">
                        <a:avLst/>
                      </a:prstGeom>
                      <a:solidFill>
                        <a:srgbClr val="FFFFFF"/>
                      </a:solidFill>
                      <a:ln w="9525">
                        <a:noFill/>
                      </a:ln>
                    </wps:spPr>
                    <wps:txbx>
                      <w:txbxContent>
                        <w:p>
                          <w:pPr>
                            <w:rPr>
                              <w:szCs w:val="32"/>
                            </w:rPr>
                          </w:pPr>
                          <w:r>
                            <w:rPr>
                              <w:rFonts w:hint="eastAsia" w:ascii="宋体" w:hAnsi="宋体"/>
                            </w:rPr>
                            <w:t>内蒙古科瑞房地产土地资产评估有限公司</w:t>
                          </w:r>
                        </w:p>
                      </w:txbxContent>
                    </wps:txbx>
                    <wps:bodyPr upright="1"/>
                  </wps:wsp>
                </a:graphicData>
              </a:graphic>
            </wp:anchor>
          </w:drawing>
        </mc:Choice>
        <mc:Fallback>
          <w:pict>
            <v:shape id="文本框 7" o:spid="_x0000_s1026" o:spt="202" type="#_x0000_t202" style="position:absolute;left:0pt;margin-left:241pt;margin-top:-11.95pt;height:20.6pt;width:204.7pt;z-index:251654144;mso-width-relative:page;mso-height-relative:page;" fillcolor="#FFFFFF" filled="t" stroked="f" coordsize="21600,21600" o:gfxdata="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ykx5G&#10;2QAAAAoBAAAPAAAAAAAAAAEAIAAAACIAAABkcnMvZG93bnJldi54bWxQSwECFAAUAAAACACHTuJA&#10;bynQrK4BAAAyAwAADgAAAAAAAAABACAAAAAoAQAAZHJzL2Uyb0RvYy54bWxQSwUGAAAAAAYABgBZ&#10;AQAASAUAAAAA&#10;">
              <v:fill on="t" focussize="0,0"/>
              <v:stroke on="f"/>
              <v:imagedata o:title=""/>
              <o:lock v:ext="edit" aspectratio="f"/>
              <v:textbox>
                <w:txbxContent>
                  <w:p>
                    <w:pPr>
                      <w:rPr>
                        <w:szCs w:val="32"/>
                      </w:rPr>
                    </w:pPr>
                    <w:r>
                      <w:rPr>
                        <w:rFonts w:hint="eastAsia" w:ascii="宋体" w:hAnsi="宋体"/>
                      </w:rPr>
                      <w:t>内蒙古科瑞房地产土地资产评估有限公司</w:t>
                    </w:r>
                  </w:p>
                </w:txbxContent>
              </v:textbox>
            </v:shape>
          </w:pict>
        </mc:Fallback>
      </mc:AlternateContent>
    </w:r>
    <w:r>
      <w:drawing>
        <wp:anchor distT="0" distB="0" distL="114300" distR="114300" simplePos="0" relativeHeight="251659264" behindDoc="0" locked="0" layoutInCell="1" allowOverlap="1">
          <wp:simplePos x="0" y="0"/>
          <wp:positionH relativeFrom="page">
            <wp:posOffset>1075055</wp:posOffset>
          </wp:positionH>
          <wp:positionV relativeFrom="page">
            <wp:posOffset>707390</wp:posOffset>
          </wp:positionV>
          <wp:extent cx="850900" cy="302260"/>
          <wp:effectExtent l="19050" t="0" r="6350" b="0"/>
          <wp:wrapNone/>
          <wp:docPr id="21" name="图片 8"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标志2.jpg"/>
                  <pic:cNvPicPr>
                    <a:picLocks noChangeAspect="1" noChangeArrowheads="1"/>
                  </pic:cNvPicPr>
                </pic:nvPicPr>
                <pic:blipFill>
                  <a:blip r:embed="rId1"/>
                  <a:srcRect/>
                  <a:stretch>
                    <a:fillRect/>
                  </a:stretch>
                </pic:blipFill>
                <pic:spPr>
                  <a:xfrm>
                    <a:off x="0" y="0"/>
                    <a:ext cx="850900" cy="302260"/>
                  </a:xfrm>
                  <a:prstGeom prst="rect">
                    <a:avLst/>
                  </a:prstGeom>
                  <a:noFill/>
                  <a:ln w="9525">
                    <a:noFill/>
                    <a:miter lim="800000"/>
                    <a:headEnd/>
                    <a:tailEnd/>
                  </a:ln>
                </pic:spPr>
              </pic:pic>
            </a:graphicData>
          </a:graphic>
        </wp:anchor>
      </w:drawing>
    </w:r>
    <w:r>
      <w:t xml:space="preserve">                                                                       </w:t>
    </w:r>
    <w:r>
      <w:rPr>
        <w:color w:val="FF0000"/>
      </w:rPr>
      <w:t xml:space="preserve">  </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3"/>
      <w:numPr>
        <w:ilvl w:val="0"/>
        <w:numId w:val="1"/>
      </w:numPr>
    </w:pPr>
    <w:r>
      <mc:AlternateContent>
        <mc:Choice Requires="wps">
          <w:drawing>
            <wp:anchor distT="0" distB="0" distL="114300" distR="114300" simplePos="0" relativeHeight="251661312" behindDoc="0" locked="0" layoutInCell="1" allowOverlap="1">
              <wp:simplePos x="0" y="0"/>
              <wp:positionH relativeFrom="column">
                <wp:posOffset>3061970</wp:posOffset>
              </wp:positionH>
              <wp:positionV relativeFrom="paragraph">
                <wp:posOffset>-116840</wp:posOffset>
              </wp:positionV>
              <wp:extent cx="2599690" cy="261620"/>
              <wp:effectExtent l="0" t="0" r="10160" b="5080"/>
              <wp:wrapNone/>
              <wp:docPr id="10" name="文本框 29"/>
              <wp:cNvGraphicFramePr/>
              <a:graphic xmlns:a="http://schemas.openxmlformats.org/drawingml/2006/main">
                <a:graphicData uri="http://schemas.microsoft.com/office/word/2010/wordprocessingShape">
                  <wps:wsp>
                    <wps:cNvSpPr txBox="1"/>
                    <wps:spPr>
                      <a:xfrm>
                        <a:off x="0" y="0"/>
                        <a:ext cx="2599690" cy="261620"/>
                      </a:xfrm>
                      <a:prstGeom prst="rect">
                        <a:avLst/>
                      </a:prstGeom>
                      <a:solidFill>
                        <a:srgbClr val="FFFFFF"/>
                      </a:solidFill>
                      <a:ln w="9525">
                        <a:noFill/>
                      </a:ln>
                    </wps:spPr>
                    <wps:txbx>
                      <w:txbxContent>
                        <w:p>
                          <w:pPr>
                            <w:rPr>
                              <w:szCs w:val="32"/>
                            </w:rPr>
                          </w:pPr>
                          <w:r>
                            <w:rPr>
                              <w:rFonts w:hint="eastAsia" w:ascii="宋体" w:hAnsi="宋体"/>
                            </w:rPr>
                            <w:t>内蒙古科瑞房地产土地资产评估有限公司</w:t>
                          </w:r>
                        </w:p>
                      </w:txbxContent>
                    </wps:txbx>
                    <wps:bodyPr upright="1"/>
                  </wps:wsp>
                </a:graphicData>
              </a:graphic>
            </wp:anchor>
          </w:drawing>
        </mc:Choice>
        <mc:Fallback>
          <w:pict>
            <v:shape id="文本框 29" o:spid="_x0000_s1026" o:spt="202" type="#_x0000_t202" style="position:absolute;left:0pt;margin-left:241.1pt;margin-top:-9.2pt;height:20.6pt;width:204.7pt;z-index:251661312;mso-width-relative:page;mso-height-relative:page;" fillcolor="#FFFFFF" filled="t" stroked="f" coordsize="21600,21600" o:gfxdata="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yVl+vY&#10;AAAACgEAAA8AAAAAAAAAAQAgAAAAIgAAAGRycy9kb3ducmV2LnhtbFBLAQIUABQAAAAIAIdO4kC/&#10;K51ZrgEAADQDAAAOAAAAAAAAAAEAIAAAACcBAABkcnMvZTJvRG9jLnhtbFBLBQYAAAAABgAGAFkB&#10;AABHBQAAAAA=&#10;">
              <v:fill on="t" focussize="0,0"/>
              <v:stroke on="f"/>
              <v:imagedata o:title=""/>
              <o:lock v:ext="edit" aspectratio="f"/>
              <v:textbox>
                <w:txbxContent>
                  <w:p>
                    <w:pPr>
                      <w:rPr>
                        <w:szCs w:val="32"/>
                      </w:rPr>
                    </w:pPr>
                    <w:r>
                      <w:rPr>
                        <w:rFonts w:hint="eastAsia" w:ascii="宋体" w:hAnsi="宋体"/>
                      </w:rPr>
                      <w:t>内蒙古科瑞房地产土地资产评估有限公司</w:t>
                    </w:r>
                  </w:p>
                </w:txbxContent>
              </v:textbox>
            </v:shape>
          </w:pict>
        </mc:Fallback>
      </mc:AlternateContent>
    </w:r>
    <w:r>
      <w:drawing>
        <wp:anchor distT="0" distB="0" distL="114300" distR="114300" simplePos="0" relativeHeight="251660288" behindDoc="1" locked="0" layoutInCell="1" allowOverlap="1">
          <wp:simplePos x="0" y="0"/>
          <wp:positionH relativeFrom="column">
            <wp:posOffset>-133350</wp:posOffset>
          </wp:positionH>
          <wp:positionV relativeFrom="paragraph">
            <wp:posOffset>-201930</wp:posOffset>
          </wp:positionV>
          <wp:extent cx="870585" cy="346710"/>
          <wp:effectExtent l="19050" t="0" r="5715" b="0"/>
          <wp:wrapTight wrapText="bothSides">
            <wp:wrapPolygon>
              <wp:start x="-473" y="0"/>
              <wp:lineTo x="-473" y="20176"/>
              <wp:lineTo x="21742" y="20176"/>
              <wp:lineTo x="21742" y="0"/>
              <wp:lineTo x="-473" y="0"/>
            </wp:wrapPolygon>
          </wp:wrapTight>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noChangeArrowheads="1"/>
                  </pic:cNvPicPr>
                </pic:nvPicPr>
                <pic:blipFill>
                  <a:blip r:embed="rId1"/>
                  <a:srcRect/>
                  <a:stretch>
                    <a:fillRect/>
                  </a:stretch>
                </pic:blipFill>
                <pic:spPr>
                  <a:xfrm>
                    <a:off x="0" y="0"/>
                    <a:ext cx="870585" cy="346710"/>
                  </a:xfrm>
                  <a:prstGeom prst="rect">
                    <a:avLst/>
                  </a:prstGeom>
                  <a:noFill/>
                  <a:ln w="9525">
                    <a:noFill/>
                    <a:miter lim="800000"/>
                    <a:headEnd/>
                    <a:tailEnd/>
                  </a:ln>
                </pic:spPr>
              </pic:pic>
            </a:graphicData>
          </a:graphic>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E582EE"/>
    <w:multiLevelType w:val="singleLevel"/>
    <w:tmpl w:val="E7E582EE"/>
    <w:lvl w:ilvl="0" w:tentative="0">
      <w:start w:val="2"/>
      <w:numFmt w:val="decimal"/>
      <w:suff w:val="nothing"/>
      <w:lvlText w:val="%1、"/>
      <w:lvlJc w:val="left"/>
    </w:lvl>
  </w:abstractNum>
  <w:abstractNum w:abstractNumId="1">
    <w:nsid w:val="04A31087"/>
    <w:multiLevelType w:val="multilevel"/>
    <w:tmpl w:val="04A31087"/>
    <w:lvl w:ilvl="0" w:tentative="0">
      <w:start w:val="1"/>
      <w:numFmt w:val="decimal"/>
      <w:lvlText w:val="%1."/>
      <w:lvlJc w:val="left"/>
      <w:pPr>
        <w:ind w:left="900" w:hanging="420"/>
      </w:pPr>
      <w:rPr>
        <w:rFonts w:cs="Times New Roman"/>
      </w:rPr>
    </w:lvl>
    <w:lvl w:ilvl="1" w:tentative="0">
      <w:start w:val="1"/>
      <w:numFmt w:val="lowerLetter"/>
      <w:lvlText w:val="%2."/>
      <w:lvlJc w:val="left"/>
      <w:pPr>
        <w:ind w:left="1740" w:hanging="840"/>
      </w:pPr>
      <w:rPr>
        <w:rFonts w:hint="default" w:cs="Times New Roman"/>
        <w:color w:val="auto"/>
      </w:rPr>
    </w:lvl>
    <w:lvl w:ilvl="2" w:tentative="0">
      <w:start w:val="1"/>
      <w:numFmt w:val="decimal"/>
      <w:lvlText w:val="%3."/>
      <w:lvlJc w:val="left"/>
      <w:pPr>
        <w:ind w:left="1740" w:hanging="420"/>
      </w:pPr>
      <w:rPr>
        <w:rFonts w:cs="Times New Roman"/>
      </w:rPr>
    </w:lvl>
    <w:lvl w:ilvl="3" w:tentative="0">
      <w:start w:val="1"/>
      <w:numFmt w:val="japaneseCounting"/>
      <w:lvlText w:val="（%4）"/>
      <w:lvlJc w:val="left"/>
      <w:pPr>
        <w:ind w:left="2580" w:hanging="840"/>
      </w:pPr>
      <w:rPr>
        <w:rFonts w:hint="default"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2">
    <w:nsid w:val="04F14290"/>
    <w:multiLevelType w:val="multilevel"/>
    <w:tmpl w:val="04F14290"/>
    <w:lvl w:ilvl="0" w:tentative="0">
      <w:start w:val="1"/>
      <w:numFmt w:val="decimal"/>
      <w:lvlText w:val="%1．"/>
      <w:lvlJc w:val="left"/>
      <w:pPr>
        <w:ind w:left="480" w:hanging="480"/>
      </w:pPr>
      <w:rPr>
        <w:rFonts w:hint="eastAsia" w:cs="Times New Roman"/>
        <w:b/>
        <w:bCs/>
        <w:i w:val="0"/>
        <w:iCs w:val="0"/>
      </w:rPr>
    </w:lvl>
    <w:lvl w:ilvl="1" w:tentative="0">
      <w:start w:val="1"/>
      <w:numFmt w:val="lowerLetter"/>
      <w:lvlText w:val="%2)"/>
      <w:lvlJc w:val="left"/>
      <w:pPr>
        <w:ind w:left="960" w:hanging="480"/>
      </w:pPr>
      <w:rPr>
        <w:rFonts w:cs="Times New Roman"/>
      </w:rPr>
    </w:lvl>
    <w:lvl w:ilvl="2" w:tentative="0">
      <w:start w:val="1"/>
      <w:numFmt w:val="decimal"/>
      <w:lvlText w:val="%3."/>
      <w:lvlJc w:val="left"/>
      <w:pPr>
        <w:ind w:left="764" w:hanging="480"/>
      </w:pPr>
      <w:rPr>
        <w:rFonts w:hint="eastAsia" w:cs="Times New Roman"/>
      </w:rPr>
    </w:lvl>
    <w:lvl w:ilvl="3" w:tentative="0">
      <w:start w:val="1"/>
      <w:numFmt w:val="decimal"/>
      <w:lvlText w:val="%4."/>
      <w:lvlJc w:val="left"/>
      <w:pPr>
        <w:ind w:left="1920" w:hanging="480"/>
      </w:pPr>
      <w:rPr>
        <w:rFonts w:cs="Times New Roman"/>
      </w:rPr>
    </w:lvl>
    <w:lvl w:ilvl="4" w:tentative="0">
      <w:start w:val="1"/>
      <w:numFmt w:val="lowerLetter"/>
      <w:lvlText w:val="%5)"/>
      <w:lvlJc w:val="left"/>
      <w:pPr>
        <w:ind w:left="2400" w:hanging="480"/>
      </w:pPr>
      <w:rPr>
        <w:rFonts w:cs="Times New Roman"/>
      </w:rPr>
    </w:lvl>
    <w:lvl w:ilvl="5" w:tentative="0">
      <w:start w:val="1"/>
      <w:numFmt w:val="lowerRoman"/>
      <w:lvlText w:val="%6."/>
      <w:lvlJc w:val="right"/>
      <w:pPr>
        <w:ind w:left="2880" w:hanging="480"/>
      </w:pPr>
      <w:rPr>
        <w:rFonts w:cs="Times New Roman"/>
      </w:rPr>
    </w:lvl>
    <w:lvl w:ilvl="6" w:tentative="0">
      <w:start w:val="1"/>
      <w:numFmt w:val="decimal"/>
      <w:lvlText w:val="%7."/>
      <w:lvlJc w:val="left"/>
      <w:pPr>
        <w:ind w:left="3360" w:hanging="480"/>
      </w:pPr>
      <w:rPr>
        <w:rFonts w:cs="Times New Roman"/>
      </w:rPr>
    </w:lvl>
    <w:lvl w:ilvl="7" w:tentative="0">
      <w:start w:val="1"/>
      <w:numFmt w:val="lowerLetter"/>
      <w:lvlText w:val="%8)"/>
      <w:lvlJc w:val="left"/>
      <w:pPr>
        <w:ind w:left="3840" w:hanging="480"/>
      </w:pPr>
      <w:rPr>
        <w:rFonts w:cs="Times New Roman"/>
      </w:rPr>
    </w:lvl>
    <w:lvl w:ilvl="8" w:tentative="0">
      <w:start w:val="1"/>
      <w:numFmt w:val="lowerRoman"/>
      <w:lvlText w:val="%9."/>
      <w:lvlJc w:val="right"/>
      <w:pPr>
        <w:ind w:left="4320" w:hanging="480"/>
      </w:pPr>
      <w:rPr>
        <w:rFonts w:cs="Times New Roman"/>
      </w:rPr>
    </w:lvl>
  </w:abstractNum>
  <w:abstractNum w:abstractNumId="3">
    <w:nsid w:val="069F2447"/>
    <w:multiLevelType w:val="multilevel"/>
    <w:tmpl w:val="069F2447"/>
    <w:lvl w:ilvl="0" w:tentative="0">
      <w:start w:val="1"/>
      <w:numFmt w:val="decimal"/>
      <w:lvlText w:val="%1)"/>
      <w:lvlJc w:val="left"/>
      <w:pPr>
        <w:ind w:left="1740" w:hanging="420"/>
      </w:pPr>
      <w:rPr>
        <w:rFonts w:cs="Times New Roman"/>
      </w:rPr>
    </w:lvl>
    <w:lvl w:ilvl="1" w:tentative="0">
      <w:start w:val="1"/>
      <w:numFmt w:val="lowerLetter"/>
      <w:lvlText w:val="%2)"/>
      <w:lvlJc w:val="left"/>
      <w:pPr>
        <w:ind w:left="2160" w:hanging="420"/>
      </w:pPr>
      <w:rPr>
        <w:rFonts w:cs="Times New Roman"/>
      </w:rPr>
    </w:lvl>
    <w:lvl w:ilvl="2" w:tentative="0">
      <w:start w:val="1"/>
      <w:numFmt w:val="lowerRoman"/>
      <w:lvlText w:val="%3."/>
      <w:lvlJc w:val="right"/>
      <w:pPr>
        <w:ind w:left="2580" w:hanging="420"/>
      </w:pPr>
      <w:rPr>
        <w:rFonts w:cs="Times New Roman"/>
      </w:rPr>
    </w:lvl>
    <w:lvl w:ilvl="3" w:tentative="0">
      <w:start w:val="1"/>
      <w:numFmt w:val="decimal"/>
      <w:lvlText w:val="%4."/>
      <w:lvlJc w:val="left"/>
      <w:pPr>
        <w:ind w:left="3000" w:hanging="420"/>
      </w:pPr>
      <w:rPr>
        <w:rFonts w:cs="Times New Roman"/>
      </w:rPr>
    </w:lvl>
    <w:lvl w:ilvl="4" w:tentative="0">
      <w:start w:val="1"/>
      <w:numFmt w:val="lowerLetter"/>
      <w:lvlText w:val="%5)"/>
      <w:lvlJc w:val="left"/>
      <w:pPr>
        <w:ind w:left="3420" w:hanging="420"/>
      </w:pPr>
      <w:rPr>
        <w:rFonts w:cs="Times New Roman"/>
      </w:rPr>
    </w:lvl>
    <w:lvl w:ilvl="5" w:tentative="0">
      <w:start w:val="1"/>
      <w:numFmt w:val="lowerRoman"/>
      <w:lvlText w:val="%6."/>
      <w:lvlJc w:val="right"/>
      <w:pPr>
        <w:ind w:left="3840" w:hanging="420"/>
      </w:pPr>
      <w:rPr>
        <w:rFonts w:cs="Times New Roman"/>
      </w:rPr>
    </w:lvl>
    <w:lvl w:ilvl="6" w:tentative="0">
      <w:start w:val="1"/>
      <w:numFmt w:val="decimal"/>
      <w:lvlText w:val="%7."/>
      <w:lvlJc w:val="left"/>
      <w:pPr>
        <w:ind w:left="4260" w:hanging="420"/>
      </w:pPr>
      <w:rPr>
        <w:rFonts w:cs="Times New Roman"/>
      </w:rPr>
    </w:lvl>
    <w:lvl w:ilvl="7" w:tentative="0">
      <w:start w:val="1"/>
      <w:numFmt w:val="lowerLetter"/>
      <w:lvlText w:val="%8)"/>
      <w:lvlJc w:val="left"/>
      <w:pPr>
        <w:ind w:left="4680" w:hanging="420"/>
      </w:pPr>
      <w:rPr>
        <w:rFonts w:cs="Times New Roman"/>
      </w:rPr>
    </w:lvl>
    <w:lvl w:ilvl="8" w:tentative="0">
      <w:start w:val="1"/>
      <w:numFmt w:val="lowerRoman"/>
      <w:lvlText w:val="%9."/>
      <w:lvlJc w:val="right"/>
      <w:pPr>
        <w:ind w:left="5100" w:hanging="420"/>
      </w:pPr>
      <w:rPr>
        <w:rFonts w:cs="Times New Roman"/>
      </w:rPr>
    </w:lvl>
  </w:abstractNum>
  <w:abstractNum w:abstractNumId="4">
    <w:nsid w:val="09D30D6F"/>
    <w:multiLevelType w:val="multilevel"/>
    <w:tmpl w:val="09D30D6F"/>
    <w:lvl w:ilvl="0" w:tentative="0">
      <w:start w:val="1"/>
      <w:numFmt w:val="decimalEnclosedCircle"/>
      <w:lvlText w:val="%1"/>
      <w:lvlJc w:val="left"/>
      <w:pPr>
        <w:ind w:left="905" w:hanging="420"/>
      </w:pPr>
      <w:rPr>
        <w:rFonts w:hint="default" w:cs="Times New Roman"/>
      </w:rPr>
    </w:lvl>
    <w:lvl w:ilvl="1" w:tentative="0">
      <w:start w:val="1"/>
      <w:numFmt w:val="lowerLetter"/>
      <w:lvlText w:val="%2)"/>
      <w:lvlJc w:val="left"/>
      <w:pPr>
        <w:ind w:left="1325" w:hanging="420"/>
      </w:pPr>
      <w:rPr>
        <w:rFonts w:cs="Times New Roman"/>
      </w:rPr>
    </w:lvl>
    <w:lvl w:ilvl="2" w:tentative="0">
      <w:start w:val="1"/>
      <w:numFmt w:val="lowerRoman"/>
      <w:lvlText w:val="%3."/>
      <w:lvlJc w:val="right"/>
      <w:pPr>
        <w:ind w:left="1745" w:hanging="420"/>
      </w:pPr>
      <w:rPr>
        <w:rFonts w:cs="Times New Roman"/>
      </w:rPr>
    </w:lvl>
    <w:lvl w:ilvl="3" w:tentative="0">
      <w:start w:val="1"/>
      <w:numFmt w:val="decimal"/>
      <w:lvlText w:val="%4."/>
      <w:lvlJc w:val="left"/>
      <w:pPr>
        <w:ind w:left="2165" w:hanging="420"/>
      </w:pPr>
      <w:rPr>
        <w:rFonts w:cs="Times New Roman"/>
      </w:rPr>
    </w:lvl>
    <w:lvl w:ilvl="4" w:tentative="0">
      <w:start w:val="1"/>
      <w:numFmt w:val="lowerLetter"/>
      <w:lvlText w:val="%5)"/>
      <w:lvlJc w:val="left"/>
      <w:pPr>
        <w:ind w:left="2585" w:hanging="420"/>
      </w:pPr>
      <w:rPr>
        <w:rFonts w:cs="Times New Roman"/>
      </w:rPr>
    </w:lvl>
    <w:lvl w:ilvl="5" w:tentative="0">
      <w:start w:val="1"/>
      <w:numFmt w:val="lowerRoman"/>
      <w:lvlText w:val="%6."/>
      <w:lvlJc w:val="right"/>
      <w:pPr>
        <w:ind w:left="3005" w:hanging="420"/>
      </w:pPr>
      <w:rPr>
        <w:rFonts w:cs="Times New Roman"/>
      </w:rPr>
    </w:lvl>
    <w:lvl w:ilvl="6" w:tentative="0">
      <w:start w:val="1"/>
      <w:numFmt w:val="decimal"/>
      <w:lvlText w:val="%7."/>
      <w:lvlJc w:val="left"/>
      <w:pPr>
        <w:ind w:left="3425" w:hanging="420"/>
      </w:pPr>
      <w:rPr>
        <w:rFonts w:cs="Times New Roman"/>
      </w:rPr>
    </w:lvl>
    <w:lvl w:ilvl="7" w:tentative="0">
      <w:start w:val="1"/>
      <w:numFmt w:val="lowerLetter"/>
      <w:lvlText w:val="%8)"/>
      <w:lvlJc w:val="left"/>
      <w:pPr>
        <w:ind w:left="3845" w:hanging="420"/>
      </w:pPr>
      <w:rPr>
        <w:rFonts w:cs="Times New Roman"/>
      </w:rPr>
    </w:lvl>
    <w:lvl w:ilvl="8" w:tentative="0">
      <w:start w:val="1"/>
      <w:numFmt w:val="lowerRoman"/>
      <w:lvlText w:val="%9."/>
      <w:lvlJc w:val="right"/>
      <w:pPr>
        <w:ind w:left="4265" w:hanging="420"/>
      </w:pPr>
      <w:rPr>
        <w:rFonts w:cs="Times New Roman"/>
      </w:rPr>
    </w:lvl>
  </w:abstractNum>
  <w:abstractNum w:abstractNumId="5">
    <w:nsid w:val="1EDF7A84"/>
    <w:multiLevelType w:val="multilevel"/>
    <w:tmpl w:val="1EDF7A84"/>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26054136"/>
    <w:multiLevelType w:val="multilevel"/>
    <w:tmpl w:val="26054136"/>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
    <w:nsid w:val="2A6B14C7"/>
    <w:multiLevelType w:val="multilevel"/>
    <w:tmpl w:val="2A6B14C7"/>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047"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8">
    <w:nsid w:val="2C091F65"/>
    <w:multiLevelType w:val="multilevel"/>
    <w:tmpl w:val="2C091F6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2E564629"/>
    <w:multiLevelType w:val="multilevel"/>
    <w:tmpl w:val="2E564629"/>
    <w:lvl w:ilvl="0" w:tentative="0">
      <w:start w:val="1"/>
      <w:numFmt w:val="decimal"/>
      <w:lvlText w:val="%1)"/>
      <w:lvlJc w:val="left"/>
      <w:pPr>
        <w:ind w:left="900" w:hanging="420"/>
      </w:pPr>
      <w:rPr>
        <w:rFonts w:cs="Times New Roman"/>
      </w:rPr>
    </w:lvl>
    <w:lvl w:ilvl="1" w:tentative="0">
      <w:start w:val="1"/>
      <w:numFmt w:val="decimal"/>
      <w:lvlText w:val="%2)"/>
      <w:lvlJc w:val="left"/>
      <w:pPr>
        <w:ind w:left="1129" w:hanging="420"/>
      </w:pPr>
      <w:rPr>
        <w:rFonts w:cs="Times New Roman"/>
      </w:rPr>
    </w:lvl>
    <w:lvl w:ilvl="2" w:tentative="0">
      <w:start w:val="1"/>
      <w:numFmt w:val="lowerLetter"/>
      <w:lvlText w:val="%3."/>
      <w:lvlJc w:val="left"/>
      <w:pPr>
        <w:ind w:left="2160" w:hanging="840"/>
      </w:pPr>
      <w:rPr>
        <w:rFonts w:hint="default"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0">
    <w:nsid w:val="32023A19"/>
    <w:multiLevelType w:val="multilevel"/>
    <w:tmpl w:val="32023A19"/>
    <w:lvl w:ilvl="0" w:tentative="0">
      <w:start w:val="1"/>
      <w:numFmt w:val="decimal"/>
      <w:lvlText w:val="（%1）"/>
      <w:lvlJc w:val="left"/>
      <w:pPr>
        <w:ind w:left="1728" w:hanging="1160"/>
      </w:pPr>
      <w:rPr>
        <w:rFonts w:hint="eastAsia" w:cs="Times New Roman"/>
      </w:rPr>
    </w:lvl>
    <w:lvl w:ilvl="1" w:tentative="0">
      <w:start w:val="1"/>
      <w:numFmt w:val="decimal"/>
      <w:lvlText w:val="%2."/>
      <w:lvlJc w:val="left"/>
      <w:pPr>
        <w:ind w:left="1360" w:hanging="360"/>
      </w:pPr>
      <w:rPr>
        <w:rFonts w:hint="eastAsia" w:cs="Times New Roman"/>
      </w:rPr>
    </w:lvl>
    <w:lvl w:ilvl="2" w:tentative="0">
      <w:start w:val="6"/>
      <w:numFmt w:val="bullet"/>
      <w:lvlText w:val="●"/>
      <w:lvlJc w:val="left"/>
      <w:pPr>
        <w:ind w:left="1840" w:hanging="360"/>
      </w:pPr>
      <w:rPr>
        <w:rFonts w:hint="eastAsia" w:ascii="仿宋_GB2312" w:hAnsi="仿宋" w:eastAsia="仿宋_GB2312"/>
      </w:rPr>
    </w:lvl>
    <w:lvl w:ilvl="3" w:tentative="0">
      <w:start w:val="1"/>
      <w:numFmt w:val="decimal"/>
      <w:lvlText w:val="%4."/>
      <w:lvlJc w:val="left"/>
      <w:pPr>
        <w:ind w:left="2440" w:hanging="480"/>
      </w:pPr>
      <w:rPr>
        <w:rFonts w:cs="Times New Roman"/>
      </w:rPr>
    </w:lvl>
    <w:lvl w:ilvl="4" w:tentative="0">
      <w:start w:val="1"/>
      <w:numFmt w:val="lowerLetter"/>
      <w:lvlText w:val="%5)"/>
      <w:lvlJc w:val="left"/>
      <w:pPr>
        <w:ind w:left="2920" w:hanging="480"/>
      </w:pPr>
      <w:rPr>
        <w:rFonts w:cs="Times New Roman"/>
      </w:rPr>
    </w:lvl>
    <w:lvl w:ilvl="5" w:tentative="0">
      <w:start w:val="1"/>
      <w:numFmt w:val="lowerRoman"/>
      <w:lvlText w:val="%6."/>
      <w:lvlJc w:val="right"/>
      <w:pPr>
        <w:ind w:left="3400" w:hanging="480"/>
      </w:pPr>
      <w:rPr>
        <w:rFonts w:cs="Times New Roman"/>
      </w:rPr>
    </w:lvl>
    <w:lvl w:ilvl="6" w:tentative="0">
      <w:start w:val="1"/>
      <w:numFmt w:val="decimal"/>
      <w:lvlText w:val="%7."/>
      <w:lvlJc w:val="left"/>
      <w:pPr>
        <w:ind w:left="3880" w:hanging="480"/>
      </w:pPr>
      <w:rPr>
        <w:rFonts w:cs="Times New Roman"/>
      </w:rPr>
    </w:lvl>
    <w:lvl w:ilvl="7" w:tentative="0">
      <w:start w:val="1"/>
      <w:numFmt w:val="lowerLetter"/>
      <w:lvlText w:val="%8)"/>
      <w:lvlJc w:val="left"/>
      <w:pPr>
        <w:ind w:left="4360" w:hanging="480"/>
      </w:pPr>
      <w:rPr>
        <w:rFonts w:cs="Times New Roman"/>
      </w:rPr>
    </w:lvl>
    <w:lvl w:ilvl="8" w:tentative="0">
      <w:start w:val="1"/>
      <w:numFmt w:val="lowerRoman"/>
      <w:lvlText w:val="%9."/>
      <w:lvlJc w:val="right"/>
      <w:pPr>
        <w:ind w:left="4840" w:hanging="480"/>
      </w:pPr>
      <w:rPr>
        <w:rFonts w:cs="Times New Roman"/>
      </w:rPr>
    </w:lvl>
  </w:abstractNum>
  <w:abstractNum w:abstractNumId="11">
    <w:nsid w:val="3C9E4064"/>
    <w:multiLevelType w:val="multilevel"/>
    <w:tmpl w:val="3C9E4064"/>
    <w:lvl w:ilvl="0" w:tentative="0">
      <w:start w:val="1"/>
      <w:numFmt w:val="decimal"/>
      <w:lvlText w:val="%1)"/>
      <w:lvlJc w:val="left"/>
      <w:pPr>
        <w:ind w:left="900"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decimal"/>
      <w:lvlText w:val="%3)"/>
      <w:lvlJc w:val="lef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2">
    <w:nsid w:val="58A9AAF1"/>
    <w:multiLevelType w:val="singleLevel"/>
    <w:tmpl w:val="58A9AAF1"/>
    <w:lvl w:ilvl="0" w:tentative="0">
      <w:start w:val="7"/>
      <w:numFmt w:val="chineseCounting"/>
      <w:suff w:val="nothing"/>
      <w:lvlText w:val="（%1）"/>
      <w:lvlJc w:val="left"/>
    </w:lvl>
  </w:abstractNum>
  <w:abstractNum w:abstractNumId="13">
    <w:nsid w:val="5E547873"/>
    <w:multiLevelType w:val="multilevel"/>
    <w:tmpl w:val="5E547873"/>
    <w:lvl w:ilvl="0" w:tentative="0">
      <w:start w:val="1"/>
      <w:numFmt w:val="decimal"/>
      <w:lvlText w:val="%1."/>
      <w:lvlJc w:val="left"/>
      <w:pPr>
        <w:ind w:left="1271"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4">
    <w:nsid w:val="7D370631"/>
    <w:multiLevelType w:val="multilevel"/>
    <w:tmpl w:val="7D370631"/>
    <w:lvl w:ilvl="0" w:tentative="0">
      <w:start w:val="1"/>
      <w:numFmt w:val="decimal"/>
      <w:lvlText w:val="%1."/>
      <w:lvlJc w:val="left"/>
      <w:pPr>
        <w:ind w:left="900"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decimal"/>
      <w:lvlText w:val="%3."/>
      <w:lvlJc w:val="lef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num w:numId="1">
    <w:abstractNumId w:val="8"/>
  </w:num>
  <w:num w:numId="2">
    <w:abstractNumId w:val="5"/>
  </w:num>
  <w:num w:numId="3">
    <w:abstractNumId w:val="10"/>
  </w:num>
  <w:num w:numId="4">
    <w:abstractNumId w:val="6"/>
  </w:num>
  <w:num w:numId="5">
    <w:abstractNumId w:val="7"/>
  </w:num>
  <w:num w:numId="6">
    <w:abstractNumId w:val="0"/>
  </w:num>
  <w:num w:numId="7">
    <w:abstractNumId w:val="12"/>
  </w:num>
  <w:num w:numId="8">
    <w:abstractNumId w:val="13"/>
  </w:num>
  <w:num w:numId="9">
    <w:abstractNumId w:val="14"/>
  </w:num>
  <w:num w:numId="10">
    <w:abstractNumId w:val="1"/>
  </w:num>
  <w:num w:numId="11">
    <w:abstractNumId w:val="9"/>
  </w:num>
  <w:num w:numId="12">
    <w:abstractNumId w:val="3"/>
  </w:num>
  <w:num w:numId="13">
    <w:abstractNumId w:val="11"/>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4"/>
  <w:drawingGridHorizontalSpacing w:val="105"/>
  <w:drawingGridVerticalSpacing w:val="143"/>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239"/>
    <w:rsid w:val="0000008F"/>
    <w:rsid w:val="00000CB8"/>
    <w:rsid w:val="0000139C"/>
    <w:rsid w:val="00001541"/>
    <w:rsid w:val="000023D0"/>
    <w:rsid w:val="0000292B"/>
    <w:rsid w:val="000032B0"/>
    <w:rsid w:val="000035C4"/>
    <w:rsid w:val="000039E0"/>
    <w:rsid w:val="00003C51"/>
    <w:rsid w:val="00003CBB"/>
    <w:rsid w:val="0000410C"/>
    <w:rsid w:val="00004339"/>
    <w:rsid w:val="00004727"/>
    <w:rsid w:val="00004B63"/>
    <w:rsid w:val="00004EDE"/>
    <w:rsid w:val="00005062"/>
    <w:rsid w:val="00005599"/>
    <w:rsid w:val="00005ABB"/>
    <w:rsid w:val="00005EB8"/>
    <w:rsid w:val="000060F1"/>
    <w:rsid w:val="0000636B"/>
    <w:rsid w:val="000068A9"/>
    <w:rsid w:val="0000738F"/>
    <w:rsid w:val="000108A2"/>
    <w:rsid w:val="000108CF"/>
    <w:rsid w:val="00010918"/>
    <w:rsid w:val="00011220"/>
    <w:rsid w:val="000114E4"/>
    <w:rsid w:val="00011893"/>
    <w:rsid w:val="00011A69"/>
    <w:rsid w:val="00011AF0"/>
    <w:rsid w:val="000121AD"/>
    <w:rsid w:val="00012D42"/>
    <w:rsid w:val="00012E94"/>
    <w:rsid w:val="00012F03"/>
    <w:rsid w:val="00012FAC"/>
    <w:rsid w:val="00013937"/>
    <w:rsid w:val="00013991"/>
    <w:rsid w:val="000139EA"/>
    <w:rsid w:val="00013F57"/>
    <w:rsid w:val="00014337"/>
    <w:rsid w:val="00014924"/>
    <w:rsid w:val="00014A6F"/>
    <w:rsid w:val="00014BA9"/>
    <w:rsid w:val="00015984"/>
    <w:rsid w:val="00016152"/>
    <w:rsid w:val="00016558"/>
    <w:rsid w:val="00016938"/>
    <w:rsid w:val="00016BAB"/>
    <w:rsid w:val="00016C40"/>
    <w:rsid w:val="000170EB"/>
    <w:rsid w:val="0001748A"/>
    <w:rsid w:val="00017614"/>
    <w:rsid w:val="00017ADD"/>
    <w:rsid w:val="00017FDB"/>
    <w:rsid w:val="0002093A"/>
    <w:rsid w:val="00022128"/>
    <w:rsid w:val="00023A85"/>
    <w:rsid w:val="00023BA8"/>
    <w:rsid w:val="00023DDD"/>
    <w:rsid w:val="00023F84"/>
    <w:rsid w:val="00025226"/>
    <w:rsid w:val="00025467"/>
    <w:rsid w:val="00025684"/>
    <w:rsid w:val="00026990"/>
    <w:rsid w:val="00026B76"/>
    <w:rsid w:val="000272AE"/>
    <w:rsid w:val="00027746"/>
    <w:rsid w:val="00027CEC"/>
    <w:rsid w:val="00030B6C"/>
    <w:rsid w:val="00030E3F"/>
    <w:rsid w:val="00031829"/>
    <w:rsid w:val="00031F47"/>
    <w:rsid w:val="00031FC4"/>
    <w:rsid w:val="00032DF7"/>
    <w:rsid w:val="0003335C"/>
    <w:rsid w:val="0003480A"/>
    <w:rsid w:val="00034C63"/>
    <w:rsid w:val="0003574C"/>
    <w:rsid w:val="00035DF9"/>
    <w:rsid w:val="000360D6"/>
    <w:rsid w:val="000367B5"/>
    <w:rsid w:val="000367E6"/>
    <w:rsid w:val="00036959"/>
    <w:rsid w:val="00036C7C"/>
    <w:rsid w:val="00036F85"/>
    <w:rsid w:val="000375DE"/>
    <w:rsid w:val="0003781E"/>
    <w:rsid w:val="00037F9A"/>
    <w:rsid w:val="0004081C"/>
    <w:rsid w:val="00040912"/>
    <w:rsid w:val="00040F6F"/>
    <w:rsid w:val="0004249A"/>
    <w:rsid w:val="0004289E"/>
    <w:rsid w:val="00042907"/>
    <w:rsid w:val="00042A84"/>
    <w:rsid w:val="00042C29"/>
    <w:rsid w:val="00043BB9"/>
    <w:rsid w:val="00043EF3"/>
    <w:rsid w:val="00044230"/>
    <w:rsid w:val="000444C8"/>
    <w:rsid w:val="00044E12"/>
    <w:rsid w:val="00044F83"/>
    <w:rsid w:val="00045D8A"/>
    <w:rsid w:val="00045FE3"/>
    <w:rsid w:val="000478CD"/>
    <w:rsid w:val="00047BE6"/>
    <w:rsid w:val="00050048"/>
    <w:rsid w:val="00050ED1"/>
    <w:rsid w:val="00050F4B"/>
    <w:rsid w:val="0005105D"/>
    <w:rsid w:val="000514F2"/>
    <w:rsid w:val="00051F67"/>
    <w:rsid w:val="00052138"/>
    <w:rsid w:val="00052553"/>
    <w:rsid w:val="000532A5"/>
    <w:rsid w:val="000536DA"/>
    <w:rsid w:val="00053837"/>
    <w:rsid w:val="00053EDD"/>
    <w:rsid w:val="00054220"/>
    <w:rsid w:val="0005445A"/>
    <w:rsid w:val="00054617"/>
    <w:rsid w:val="000548AA"/>
    <w:rsid w:val="0005497B"/>
    <w:rsid w:val="00054FAE"/>
    <w:rsid w:val="00055226"/>
    <w:rsid w:val="0005576C"/>
    <w:rsid w:val="000558BF"/>
    <w:rsid w:val="00055BB2"/>
    <w:rsid w:val="00056258"/>
    <w:rsid w:val="0005632A"/>
    <w:rsid w:val="00056675"/>
    <w:rsid w:val="000574CC"/>
    <w:rsid w:val="000576CC"/>
    <w:rsid w:val="00057FC8"/>
    <w:rsid w:val="0006029D"/>
    <w:rsid w:val="00060459"/>
    <w:rsid w:val="00060CFD"/>
    <w:rsid w:val="00060E6D"/>
    <w:rsid w:val="00060E71"/>
    <w:rsid w:val="00061776"/>
    <w:rsid w:val="00062059"/>
    <w:rsid w:val="000620CE"/>
    <w:rsid w:val="00062DCB"/>
    <w:rsid w:val="0006311B"/>
    <w:rsid w:val="00063236"/>
    <w:rsid w:val="00063399"/>
    <w:rsid w:val="00063B0A"/>
    <w:rsid w:val="00063DEB"/>
    <w:rsid w:val="0006421C"/>
    <w:rsid w:val="00064485"/>
    <w:rsid w:val="000644DB"/>
    <w:rsid w:val="00064552"/>
    <w:rsid w:val="00064CB6"/>
    <w:rsid w:val="00064F70"/>
    <w:rsid w:val="000650C7"/>
    <w:rsid w:val="00065226"/>
    <w:rsid w:val="00065A1C"/>
    <w:rsid w:val="00065B00"/>
    <w:rsid w:val="00066173"/>
    <w:rsid w:val="00066BE8"/>
    <w:rsid w:val="00067888"/>
    <w:rsid w:val="00067922"/>
    <w:rsid w:val="00067A2F"/>
    <w:rsid w:val="00067A31"/>
    <w:rsid w:val="00067AC4"/>
    <w:rsid w:val="00067B57"/>
    <w:rsid w:val="00067F41"/>
    <w:rsid w:val="000706AB"/>
    <w:rsid w:val="00070869"/>
    <w:rsid w:val="00070E9B"/>
    <w:rsid w:val="000711BF"/>
    <w:rsid w:val="0007143B"/>
    <w:rsid w:val="00071823"/>
    <w:rsid w:val="00071B1E"/>
    <w:rsid w:val="00071FD2"/>
    <w:rsid w:val="000721EE"/>
    <w:rsid w:val="0007327A"/>
    <w:rsid w:val="000739B9"/>
    <w:rsid w:val="00073A83"/>
    <w:rsid w:val="00073DF9"/>
    <w:rsid w:val="00073EE2"/>
    <w:rsid w:val="00073EFD"/>
    <w:rsid w:val="0007451F"/>
    <w:rsid w:val="00074758"/>
    <w:rsid w:val="000753F4"/>
    <w:rsid w:val="0007679E"/>
    <w:rsid w:val="00076A9B"/>
    <w:rsid w:val="00076DA4"/>
    <w:rsid w:val="00076E00"/>
    <w:rsid w:val="000771DB"/>
    <w:rsid w:val="00077216"/>
    <w:rsid w:val="000773E7"/>
    <w:rsid w:val="00080025"/>
    <w:rsid w:val="00080153"/>
    <w:rsid w:val="0008055C"/>
    <w:rsid w:val="000807E4"/>
    <w:rsid w:val="000808D2"/>
    <w:rsid w:val="00081468"/>
    <w:rsid w:val="00081BB1"/>
    <w:rsid w:val="00081E29"/>
    <w:rsid w:val="00082DBD"/>
    <w:rsid w:val="00083927"/>
    <w:rsid w:val="00084007"/>
    <w:rsid w:val="00084052"/>
    <w:rsid w:val="0008439A"/>
    <w:rsid w:val="00084495"/>
    <w:rsid w:val="00084947"/>
    <w:rsid w:val="00084AE9"/>
    <w:rsid w:val="0008507E"/>
    <w:rsid w:val="000852BE"/>
    <w:rsid w:val="00085443"/>
    <w:rsid w:val="00085FD7"/>
    <w:rsid w:val="0008608D"/>
    <w:rsid w:val="000860BD"/>
    <w:rsid w:val="00086344"/>
    <w:rsid w:val="0008670F"/>
    <w:rsid w:val="000869E4"/>
    <w:rsid w:val="000879A3"/>
    <w:rsid w:val="000904C1"/>
    <w:rsid w:val="000904C5"/>
    <w:rsid w:val="0009149D"/>
    <w:rsid w:val="000918AA"/>
    <w:rsid w:val="00091CE1"/>
    <w:rsid w:val="00091E5F"/>
    <w:rsid w:val="00091FEB"/>
    <w:rsid w:val="00092836"/>
    <w:rsid w:val="000929DD"/>
    <w:rsid w:val="00093025"/>
    <w:rsid w:val="0009344F"/>
    <w:rsid w:val="0009359F"/>
    <w:rsid w:val="000935BC"/>
    <w:rsid w:val="000937D6"/>
    <w:rsid w:val="00093DB5"/>
    <w:rsid w:val="00094679"/>
    <w:rsid w:val="00094B99"/>
    <w:rsid w:val="0009642D"/>
    <w:rsid w:val="000971C1"/>
    <w:rsid w:val="00097594"/>
    <w:rsid w:val="000A0251"/>
    <w:rsid w:val="000A0881"/>
    <w:rsid w:val="000A0A67"/>
    <w:rsid w:val="000A0AC8"/>
    <w:rsid w:val="000A156F"/>
    <w:rsid w:val="000A208B"/>
    <w:rsid w:val="000A222D"/>
    <w:rsid w:val="000A27AE"/>
    <w:rsid w:val="000A2EBC"/>
    <w:rsid w:val="000A368C"/>
    <w:rsid w:val="000A36C7"/>
    <w:rsid w:val="000A43BA"/>
    <w:rsid w:val="000A460B"/>
    <w:rsid w:val="000A5698"/>
    <w:rsid w:val="000A5F1B"/>
    <w:rsid w:val="000A60B4"/>
    <w:rsid w:val="000A6201"/>
    <w:rsid w:val="000A68BA"/>
    <w:rsid w:val="000A766E"/>
    <w:rsid w:val="000A77A9"/>
    <w:rsid w:val="000B0626"/>
    <w:rsid w:val="000B0B9E"/>
    <w:rsid w:val="000B17EC"/>
    <w:rsid w:val="000B2B3C"/>
    <w:rsid w:val="000B317F"/>
    <w:rsid w:val="000B3C9A"/>
    <w:rsid w:val="000B432A"/>
    <w:rsid w:val="000B433F"/>
    <w:rsid w:val="000B43D9"/>
    <w:rsid w:val="000B4A6D"/>
    <w:rsid w:val="000B4AC0"/>
    <w:rsid w:val="000B4DF8"/>
    <w:rsid w:val="000B4F11"/>
    <w:rsid w:val="000B53F3"/>
    <w:rsid w:val="000B54BF"/>
    <w:rsid w:val="000B5E88"/>
    <w:rsid w:val="000B5F57"/>
    <w:rsid w:val="000B60BD"/>
    <w:rsid w:val="000B7827"/>
    <w:rsid w:val="000C01C3"/>
    <w:rsid w:val="000C028E"/>
    <w:rsid w:val="000C0925"/>
    <w:rsid w:val="000C0B56"/>
    <w:rsid w:val="000C0D21"/>
    <w:rsid w:val="000C1138"/>
    <w:rsid w:val="000C12B2"/>
    <w:rsid w:val="000C1D25"/>
    <w:rsid w:val="000C2319"/>
    <w:rsid w:val="000C2A0B"/>
    <w:rsid w:val="000C2FD1"/>
    <w:rsid w:val="000C31A2"/>
    <w:rsid w:val="000C327A"/>
    <w:rsid w:val="000C3721"/>
    <w:rsid w:val="000C38A2"/>
    <w:rsid w:val="000C4669"/>
    <w:rsid w:val="000C46A4"/>
    <w:rsid w:val="000C4AF4"/>
    <w:rsid w:val="000C5181"/>
    <w:rsid w:val="000C52D8"/>
    <w:rsid w:val="000C53B0"/>
    <w:rsid w:val="000C5710"/>
    <w:rsid w:val="000C5724"/>
    <w:rsid w:val="000C57FB"/>
    <w:rsid w:val="000C5A4F"/>
    <w:rsid w:val="000C5DAA"/>
    <w:rsid w:val="000C5EA7"/>
    <w:rsid w:val="000C69A6"/>
    <w:rsid w:val="000C6A54"/>
    <w:rsid w:val="000C716C"/>
    <w:rsid w:val="000C767C"/>
    <w:rsid w:val="000C7C28"/>
    <w:rsid w:val="000D044E"/>
    <w:rsid w:val="000D058E"/>
    <w:rsid w:val="000D0BDC"/>
    <w:rsid w:val="000D0EAE"/>
    <w:rsid w:val="000D1383"/>
    <w:rsid w:val="000D15AD"/>
    <w:rsid w:val="000D1706"/>
    <w:rsid w:val="000D1DC4"/>
    <w:rsid w:val="000D24C4"/>
    <w:rsid w:val="000D26E2"/>
    <w:rsid w:val="000D2932"/>
    <w:rsid w:val="000D2B14"/>
    <w:rsid w:val="000D2B4F"/>
    <w:rsid w:val="000D3089"/>
    <w:rsid w:val="000D3562"/>
    <w:rsid w:val="000D4192"/>
    <w:rsid w:val="000D42BD"/>
    <w:rsid w:val="000D45A8"/>
    <w:rsid w:val="000D4A99"/>
    <w:rsid w:val="000D52E1"/>
    <w:rsid w:val="000D643F"/>
    <w:rsid w:val="000D6B7B"/>
    <w:rsid w:val="000D6BEB"/>
    <w:rsid w:val="000D71A6"/>
    <w:rsid w:val="000D7661"/>
    <w:rsid w:val="000D7A45"/>
    <w:rsid w:val="000E0245"/>
    <w:rsid w:val="000E0432"/>
    <w:rsid w:val="000E0683"/>
    <w:rsid w:val="000E08F0"/>
    <w:rsid w:val="000E106F"/>
    <w:rsid w:val="000E1855"/>
    <w:rsid w:val="000E1A98"/>
    <w:rsid w:val="000E230A"/>
    <w:rsid w:val="000E2A26"/>
    <w:rsid w:val="000E2A4A"/>
    <w:rsid w:val="000E2CE8"/>
    <w:rsid w:val="000E3261"/>
    <w:rsid w:val="000E33E2"/>
    <w:rsid w:val="000E38EA"/>
    <w:rsid w:val="000E3E22"/>
    <w:rsid w:val="000E4E6F"/>
    <w:rsid w:val="000E4E74"/>
    <w:rsid w:val="000E5134"/>
    <w:rsid w:val="000E572F"/>
    <w:rsid w:val="000E5C9D"/>
    <w:rsid w:val="000E609D"/>
    <w:rsid w:val="000E60F0"/>
    <w:rsid w:val="000E6696"/>
    <w:rsid w:val="000E70FD"/>
    <w:rsid w:val="000E71F0"/>
    <w:rsid w:val="000E7206"/>
    <w:rsid w:val="000E7370"/>
    <w:rsid w:val="000E74BF"/>
    <w:rsid w:val="000E77A7"/>
    <w:rsid w:val="000E79EB"/>
    <w:rsid w:val="000F0269"/>
    <w:rsid w:val="000F0808"/>
    <w:rsid w:val="000F1279"/>
    <w:rsid w:val="000F1760"/>
    <w:rsid w:val="000F1DAD"/>
    <w:rsid w:val="000F2565"/>
    <w:rsid w:val="000F27D9"/>
    <w:rsid w:val="000F2D2F"/>
    <w:rsid w:val="000F4579"/>
    <w:rsid w:val="000F4F0F"/>
    <w:rsid w:val="000F4F70"/>
    <w:rsid w:val="000F52DB"/>
    <w:rsid w:val="000F5305"/>
    <w:rsid w:val="000F56E2"/>
    <w:rsid w:val="000F593B"/>
    <w:rsid w:val="000F5983"/>
    <w:rsid w:val="000F630E"/>
    <w:rsid w:val="000F6B6B"/>
    <w:rsid w:val="000F7029"/>
    <w:rsid w:val="000F7216"/>
    <w:rsid w:val="000F72AA"/>
    <w:rsid w:val="00100321"/>
    <w:rsid w:val="00100563"/>
    <w:rsid w:val="00100628"/>
    <w:rsid w:val="00100906"/>
    <w:rsid w:val="00101151"/>
    <w:rsid w:val="001012FC"/>
    <w:rsid w:val="001016CA"/>
    <w:rsid w:val="00101815"/>
    <w:rsid w:val="00101B8F"/>
    <w:rsid w:val="00101CF7"/>
    <w:rsid w:val="00102056"/>
    <w:rsid w:val="0010282A"/>
    <w:rsid w:val="00103750"/>
    <w:rsid w:val="001039F4"/>
    <w:rsid w:val="00103D37"/>
    <w:rsid w:val="00103DCD"/>
    <w:rsid w:val="001043B7"/>
    <w:rsid w:val="00104CBC"/>
    <w:rsid w:val="0010534E"/>
    <w:rsid w:val="001054B5"/>
    <w:rsid w:val="00105BED"/>
    <w:rsid w:val="001062A4"/>
    <w:rsid w:val="0010668D"/>
    <w:rsid w:val="00106B77"/>
    <w:rsid w:val="00106D1F"/>
    <w:rsid w:val="0010756B"/>
    <w:rsid w:val="00107651"/>
    <w:rsid w:val="00107B08"/>
    <w:rsid w:val="00107F04"/>
    <w:rsid w:val="00107F37"/>
    <w:rsid w:val="00110642"/>
    <w:rsid w:val="00110AA8"/>
    <w:rsid w:val="00110C56"/>
    <w:rsid w:val="00110E92"/>
    <w:rsid w:val="00111AD1"/>
    <w:rsid w:val="001127AE"/>
    <w:rsid w:val="00113239"/>
    <w:rsid w:val="00113697"/>
    <w:rsid w:val="001137B6"/>
    <w:rsid w:val="00113917"/>
    <w:rsid w:val="0011397C"/>
    <w:rsid w:val="00113AFA"/>
    <w:rsid w:val="001142EC"/>
    <w:rsid w:val="0011480A"/>
    <w:rsid w:val="001148FB"/>
    <w:rsid w:val="001149A0"/>
    <w:rsid w:val="00114DA6"/>
    <w:rsid w:val="00114E07"/>
    <w:rsid w:val="00115B7B"/>
    <w:rsid w:val="00115CC7"/>
    <w:rsid w:val="00116099"/>
    <w:rsid w:val="00116102"/>
    <w:rsid w:val="0011695A"/>
    <w:rsid w:val="001176A0"/>
    <w:rsid w:val="00117E8D"/>
    <w:rsid w:val="001202BA"/>
    <w:rsid w:val="0012038F"/>
    <w:rsid w:val="00121173"/>
    <w:rsid w:val="00121174"/>
    <w:rsid w:val="00121257"/>
    <w:rsid w:val="00121CCB"/>
    <w:rsid w:val="001221AA"/>
    <w:rsid w:val="00122BFA"/>
    <w:rsid w:val="00123132"/>
    <w:rsid w:val="00123981"/>
    <w:rsid w:val="00123AFA"/>
    <w:rsid w:val="00124763"/>
    <w:rsid w:val="00125181"/>
    <w:rsid w:val="001253C7"/>
    <w:rsid w:val="00125503"/>
    <w:rsid w:val="001257F6"/>
    <w:rsid w:val="00126B9A"/>
    <w:rsid w:val="00126BA5"/>
    <w:rsid w:val="00126D95"/>
    <w:rsid w:val="00130218"/>
    <w:rsid w:val="001302D2"/>
    <w:rsid w:val="001306D1"/>
    <w:rsid w:val="001315C3"/>
    <w:rsid w:val="00131819"/>
    <w:rsid w:val="0013194F"/>
    <w:rsid w:val="00131EC8"/>
    <w:rsid w:val="001320ED"/>
    <w:rsid w:val="00132252"/>
    <w:rsid w:val="001327A1"/>
    <w:rsid w:val="00132A98"/>
    <w:rsid w:val="00133016"/>
    <w:rsid w:val="00133605"/>
    <w:rsid w:val="00133EF6"/>
    <w:rsid w:val="001341E6"/>
    <w:rsid w:val="00135201"/>
    <w:rsid w:val="0013536F"/>
    <w:rsid w:val="001356B2"/>
    <w:rsid w:val="001357DC"/>
    <w:rsid w:val="00135A97"/>
    <w:rsid w:val="00135F62"/>
    <w:rsid w:val="00136855"/>
    <w:rsid w:val="00136BA4"/>
    <w:rsid w:val="001373AD"/>
    <w:rsid w:val="001373AE"/>
    <w:rsid w:val="001373CD"/>
    <w:rsid w:val="00137462"/>
    <w:rsid w:val="001402D6"/>
    <w:rsid w:val="0014034F"/>
    <w:rsid w:val="00140638"/>
    <w:rsid w:val="001409BE"/>
    <w:rsid w:val="00140A5A"/>
    <w:rsid w:val="00140E89"/>
    <w:rsid w:val="001414C1"/>
    <w:rsid w:val="00141857"/>
    <w:rsid w:val="00141AF4"/>
    <w:rsid w:val="00141E07"/>
    <w:rsid w:val="00142346"/>
    <w:rsid w:val="001424E3"/>
    <w:rsid w:val="00142612"/>
    <w:rsid w:val="00142725"/>
    <w:rsid w:val="00142C89"/>
    <w:rsid w:val="00142F91"/>
    <w:rsid w:val="001430AB"/>
    <w:rsid w:val="0014332F"/>
    <w:rsid w:val="0014411D"/>
    <w:rsid w:val="00144162"/>
    <w:rsid w:val="001446AE"/>
    <w:rsid w:val="00144879"/>
    <w:rsid w:val="00144A57"/>
    <w:rsid w:val="00144C71"/>
    <w:rsid w:val="00144F13"/>
    <w:rsid w:val="0014501F"/>
    <w:rsid w:val="001459BA"/>
    <w:rsid w:val="001461CA"/>
    <w:rsid w:val="00146283"/>
    <w:rsid w:val="00146D53"/>
    <w:rsid w:val="00146F84"/>
    <w:rsid w:val="0014718A"/>
    <w:rsid w:val="00147CA5"/>
    <w:rsid w:val="00147CDE"/>
    <w:rsid w:val="00150935"/>
    <w:rsid w:val="00151410"/>
    <w:rsid w:val="00151599"/>
    <w:rsid w:val="00151657"/>
    <w:rsid w:val="00151FF6"/>
    <w:rsid w:val="00152056"/>
    <w:rsid w:val="0015217B"/>
    <w:rsid w:val="00152B50"/>
    <w:rsid w:val="00153027"/>
    <w:rsid w:val="0015319D"/>
    <w:rsid w:val="001535E3"/>
    <w:rsid w:val="00153B9C"/>
    <w:rsid w:val="00153CFF"/>
    <w:rsid w:val="00154256"/>
    <w:rsid w:val="00154688"/>
    <w:rsid w:val="00154B71"/>
    <w:rsid w:val="00155271"/>
    <w:rsid w:val="00155E9F"/>
    <w:rsid w:val="00156E17"/>
    <w:rsid w:val="0015708D"/>
    <w:rsid w:val="0015793B"/>
    <w:rsid w:val="00160D06"/>
    <w:rsid w:val="00162A96"/>
    <w:rsid w:val="00163FFF"/>
    <w:rsid w:val="001646E3"/>
    <w:rsid w:val="00164B4E"/>
    <w:rsid w:val="00164E3C"/>
    <w:rsid w:val="00164FAE"/>
    <w:rsid w:val="001658E1"/>
    <w:rsid w:val="00165DC1"/>
    <w:rsid w:val="00165FBF"/>
    <w:rsid w:val="00166E11"/>
    <w:rsid w:val="0016704A"/>
    <w:rsid w:val="001673E8"/>
    <w:rsid w:val="001675D5"/>
    <w:rsid w:val="00167671"/>
    <w:rsid w:val="001679CD"/>
    <w:rsid w:val="00167A88"/>
    <w:rsid w:val="00167E2B"/>
    <w:rsid w:val="00170589"/>
    <w:rsid w:val="001718C9"/>
    <w:rsid w:val="00172000"/>
    <w:rsid w:val="00173CE4"/>
    <w:rsid w:val="00174122"/>
    <w:rsid w:val="00174207"/>
    <w:rsid w:val="0017435B"/>
    <w:rsid w:val="00174772"/>
    <w:rsid w:val="00174F0A"/>
    <w:rsid w:val="00175102"/>
    <w:rsid w:val="0017595F"/>
    <w:rsid w:val="00175998"/>
    <w:rsid w:val="0017617E"/>
    <w:rsid w:val="001761BB"/>
    <w:rsid w:val="0017630A"/>
    <w:rsid w:val="001764DC"/>
    <w:rsid w:val="001765DA"/>
    <w:rsid w:val="001765E8"/>
    <w:rsid w:val="001769A8"/>
    <w:rsid w:val="001770A5"/>
    <w:rsid w:val="0017715E"/>
    <w:rsid w:val="0017770D"/>
    <w:rsid w:val="001777FF"/>
    <w:rsid w:val="00177EAE"/>
    <w:rsid w:val="001803EA"/>
    <w:rsid w:val="00180E5F"/>
    <w:rsid w:val="001815C7"/>
    <w:rsid w:val="0018218D"/>
    <w:rsid w:val="001823DA"/>
    <w:rsid w:val="00182A99"/>
    <w:rsid w:val="001830A4"/>
    <w:rsid w:val="001836E7"/>
    <w:rsid w:val="001839BD"/>
    <w:rsid w:val="00183B09"/>
    <w:rsid w:val="00183CEA"/>
    <w:rsid w:val="001848E5"/>
    <w:rsid w:val="00184BFB"/>
    <w:rsid w:val="001851BE"/>
    <w:rsid w:val="00185604"/>
    <w:rsid w:val="001864C6"/>
    <w:rsid w:val="0018720C"/>
    <w:rsid w:val="001873A3"/>
    <w:rsid w:val="00187510"/>
    <w:rsid w:val="00187853"/>
    <w:rsid w:val="00190C83"/>
    <w:rsid w:val="00191275"/>
    <w:rsid w:val="00191D23"/>
    <w:rsid w:val="001924A6"/>
    <w:rsid w:val="0019260B"/>
    <w:rsid w:val="00192F84"/>
    <w:rsid w:val="001930F4"/>
    <w:rsid w:val="0019322D"/>
    <w:rsid w:val="001934D6"/>
    <w:rsid w:val="0019359F"/>
    <w:rsid w:val="00194201"/>
    <w:rsid w:val="001945C4"/>
    <w:rsid w:val="0019483E"/>
    <w:rsid w:val="00194DFD"/>
    <w:rsid w:val="00194FD4"/>
    <w:rsid w:val="0019502D"/>
    <w:rsid w:val="00195421"/>
    <w:rsid w:val="0019551C"/>
    <w:rsid w:val="00195949"/>
    <w:rsid w:val="001959A1"/>
    <w:rsid w:val="00195AC3"/>
    <w:rsid w:val="00195D76"/>
    <w:rsid w:val="001963D2"/>
    <w:rsid w:val="00196FAB"/>
    <w:rsid w:val="00197221"/>
    <w:rsid w:val="00197610"/>
    <w:rsid w:val="00197779"/>
    <w:rsid w:val="0019798D"/>
    <w:rsid w:val="001A0105"/>
    <w:rsid w:val="001A0346"/>
    <w:rsid w:val="001A17EF"/>
    <w:rsid w:val="001A1C53"/>
    <w:rsid w:val="001A1DF7"/>
    <w:rsid w:val="001A1E15"/>
    <w:rsid w:val="001A1FA5"/>
    <w:rsid w:val="001A2030"/>
    <w:rsid w:val="001A24C7"/>
    <w:rsid w:val="001A25B4"/>
    <w:rsid w:val="001A25BB"/>
    <w:rsid w:val="001A2822"/>
    <w:rsid w:val="001A2D00"/>
    <w:rsid w:val="001A3227"/>
    <w:rsid w:val="001A3406"/>
    <w:rsid w:val="001A3574"/>
    <w:rsid w:val="001A37A2"/>
    <w:rsid w:val="001A4112"/>
    <w:rsid w:val="001A4160"/>
    <w:rsid w:val="001A442D"/>
    <w:rsid w:val="001A482D"/>
    <w:rsid w:val="001A4CC0"/>
    <w:rsid w:val="001A4DC0"/>
    <w:rsid w:val="001A5979"/>
    <w:rsid w:val="001A6787"/>
    <w:rsid w:val="001A6BEA"/>
    <w:rsid w:val="001A7241"/>
    <w:rsid w:val="001A7534"/>
    <w:rsid w:val="001A7BC6"/>
    <w:rsid w:val="001B0438"/>
    <w:rsid w:val="001B048F"/>
    <w:rsid w:val="001B05CF"/>
    <w:rsid w:val="001B14B7"/>
    <w:rsid w:val="001B1992"/>
    <w:rsid w:val="001B1DEB"/>
    <w:rsid w:val="001B2F9C"/>
    <w:rsid w:val="001B2FC6"/>
    <w:rsid w:val="001B35C6"/>
    <w:rsid w:val="001B36A7"/>
    <w:rsid w:val="001B45BC"/>
    <w:rsid w:val="001B49C5"/>
    <w:rsid w:val="001B501F"/>
    <w:rsid w:val="001B5A4E"/>
    <w:rsid w:val="001B5B01"/>
    <w:rsid w:val="001B6DF4"/>
    <w:rsid w:val="001B6E8F"/>
    <w:rsid w:val="001B78F2"/>
    <w:rsid w:val="001B798B"/>
    <w:rsid w:val="001B7DAB"/>
    <w:rsid w:val="001C0AA6"/>
    <w:rsid w:val="001C0B11"/>
    <w:rsid w:val="001C12B1"/>
    <w:rsid w:val="001C17FD"/>
    <w:rsid w:val="001C1C42"/>
    <w:rsid w:val="001C1D20"/>
    <w:rsid w:val="001C217B"/>
    <w:rsid w:val="001C298E"/>
    <w:rsid w:val="001C2A92"/>
    <w:rsid w:val="001C2F6B"/>
    <w:rsid w:val="001C3229"/>
    <w:rsid w:val="001C3591"/>
    <w:rsid w:val="001C3759"/>
    <w:rsid w:val="001C440B"/>
    <w:rsid w:val="001C4A91"/>
    <w:rsid w:val="001C4E11"/>
    <w:rsid w:val="001C50A9"/>
    <w:rsid w:val="001C5298"/>
    <w:rsid w:val="001C5BC1"/>
    <w:rsid w:val="001C5D05"/>
    <w:rsid w:val="001C60C5"/>
    <w:rsid w:val="001C62FA"/>
    <w:rsid w:val="001C6750"/>
    <w:rsid w:val="001C68A4"/>
    <w:rsid w:val="001C6A7E"/>
    <w:rsid w:val="001C6C8C"/>
    <w:rsid w:val="001C6DB8"/>
    <w:rsid w:val="001C6ED7"/>
    <w:rsid w:val="001C6FDE"/>
    <w:rsid w:val="001C7382"/>
    <w:rsid w:val="001D005B"/>
    <w:rsid w:val="001D0128"/>
    <w:rsid w:val="001D2174"/>
    <w:rsid w:val="001D26C2"/>
    <w:rsid w:val="001D2A01"/>
    <w:rsid w:val="001D3850"/>
    <w:rsid w:val="001D3C90"/>
    <w:rsid w:val="001D3D82"/>
    <w:rsid w:val="001D45B8"/>
    <w:rsid w:val="001D46CD"/>
    <w:rsid w:val="001D4825"/>
    <w:rsid w:val="001D5342"/>
    <w:rsid w:val="001D5522"/>
    <w:rsid w:val="001D5AC0"/>
    <w:rsid w:val="001D6D59"/>
    <w:rsid w:val="001D74B9"/>
    <w:rsid w:val="001E0215"/>
    <w:rsid w:val="001E0B3C"/>
    <w:rsid w:val="001E0BE5"/>
    <w:rsid w:val="001E1228"/>
    <w:rsid w:val="001E1623"/>
    <w:rsid w:val="001E1A01"/>
    <w:rsid w:val="001E1E0B"/>
    <w:rsid w:val="001E2069"/>
    <w:rsid w:val="001E2271"/>
    <w:rsid w:val="001E25CB"/>
    <w:rsid w:val="001E25D7"/>
    <w:rsid w:val="001E2607"/>
    <w:rsid w:val="001E2709"/>
    <w:rsid w:val="001E2C21"/>
    <w:rsid w:val="001E32E2"/>
    <w:rsid w:val="001E337D"/>
    <w:rsid w:val="001E4176"/>
    <w:rsid w:val="001E5665"/>
    <w:rsid w:val="001E5A74"/>
    <w:rsid w:val="001E6AF4"/>
    <w:rsid w:val="001E72FA"/>
    <w:rsid w:val="001E766F"/>
    <w:rsid w:val="001E7F4D"/>
    <w:rsid w:val="001E7F91"/>
    <w:rsid w:val="001F0B4A"/>
    <w:rsid w:val="001F0B77"/>
    <w:rsid w:val="001F12D4"/>
    <w:rsid w:val="001F1761"/>
    <w:rsid w:val="001F279B"/>
    <w:rsid w:val="001F27A4"/>
    <w:rsid w:val="001F2C0E"/>
    <w:rsid w:val="001F35AA"/>
    <w:rsid w:val="001F39B5"/>
    <w:rsid w:val="001F3F39"/>
    <w:rsid w:val="001F41FF"/>
    <w:rsid w:val="001F4390"/>
    <w:rsid w:val="001F466C"/>
    <w:rsid w:val="001F4A9D"/>
    <w:rsid w:val="001F51B0"/>
    <w:rsid w:val="001F52F3"/>
    <w:rsid w:val="001F53F4"/>
    <w:rsid w:val="001F5503"/>
    <w:rsid w:val="001F5570"/>
    <w:rsid w:val="001F5F04"/>
    <w:rsid w:val="001F71E5"/>
    <w:rsid w:val="002004C5"/>
    <w:rsid w:val="0020103B"/>
    <w:rsid w:val="00201C8F"/>
    <w:rsid w:val="0020282B"/>
    <w:rsid w:val="00202FB7"/>
    <w:rsid w:val="00203E7D"/>
    <w:rsid w:val="00203EB3"/>
    <w:rsid w:val="002046D3"/>
    <w:rsid w:val="0020507D"/>
    <w:rsid w:val="0020541B"/>
    <w:rsid w:val="002055AC"/>
    <w:rsid w:val="002055B9"/>
    <w:rsid w:val="002055C5"/>
    <w:rsid w:val="00205726"/>
    <w:rsid w:val="00205A4F"/>
    <w:rsid w:val="00205DDF"/>
    <w:rsid w:val="00205FC4"/>
    <w:rsid w:val="00206553"/>
    <w:rsid w:val="002065DE"/>
    <w:rsid w:val="002066C2"/>
    <w:rsid w:val="00206AC9"/>
    <w:rsid w:val="00206B2C"/>
    <w:rsid w:val="00206DC6"/>
    <w:rsid w:val="00207035"/>
    <w:rsid w:val="00207158"/>
    <w:rsid w:val="0020769F"/>
    <w:rsid w:val="00207A69"/>
    <w:rsid w:val="00210442"/>
    <w:rsid w:val="00210673"/>
    <w:rsid w:val="002108D0"/>
    <w:rsid w:val="00210DBD"/>
    <w:rsid w:val="0021184B"/>
    <w:rsid w:val="00211DB1"/>
    <w:rsid w:val="0021212D"/>
    <w:rsid w:val="00212445"/>
    <w:rsid w:val="002126A7"/>
    <w:rsid w:val="00212882"/>
    <w:rsid w:val="002130F6"/>
    <w:rsid w:val="00213AC2"/>
    <w:rsid w:val="002143C9"/>
    <w:rsid w:val="00214732"/>
    <w:rsid w:val="00214B3D"/>
    <w:rsid w:val="00214DCA"/>
    <w:rsid w:val="0021510D"/>
    <w:rsid w:val="00216D2F"/>
    <w:rsid w:val="00216D52"/>
    <w:rsid w:val="00216E25"/>
    <w:rsid w:val="002170B6"/>
    <w:rsid w:val="002171A4"/>
    <w:rsid w:val="0021773C"/>
    <w:rsid w:val="00220586"/>
    <w:rsid w:val="00220C35"/>
    <w:rsid w:val="002211AA"/>
    <w:rsid w:val="0022170B"/>
    <w:rsid w:val="00221BA9"/>
    <w:rsid w:val="00221C5B"/>
    <w:rsid w:val="00221DEC"/>
    <w:rsid w:val="00221E34"/>
    <w:rsid w:val="00222B80"/>
    <w:rsid w:val="002230A1"/>
    <w:rsid w:val="00223393"/>
    <w:rsid w:val="00223C2D"/>
    <w:rsid w:val="002244D9"/>
    <w:rsid w:val="00224CCD"/>
    <w:rsid w:val="00224E6C"/>
    <w:rsid w:val="0022538D"/>
    <w:rsid w:val="002253E6"/>
    <w:rsid w:val="00225479"/>
    <w:rsid w:val="00225516"/>
    <w:rsid w:val="00225E56"/>
    <w:rsid w:val="0022610B"/>
    <w:rsid w:val="002261E2"/>
    <w:rsid w:val="002263F3"/>
    <w:rsid w:val="00226691"/>
    <w:rsid w:val="0022704F"/>
    <w:rsid w:val="00227CBA"/>
    <w:rsid w:val="00227D3E"/>
    <w:rsid w:val="00230F09"/>
    <w:rsid w:val="00231595"/>
    <w:rsid w:val="00231648"/>
    <w:rsid w:val="0023253E"/>
    <w:rsid w:val="00232763"/>
    <w:rsid w:val="00232F23"/>
    <w:rsid w:val="00232FB9"/>
    <w:rsid w:val="00232FE0"/>
    <w:rsid w:val="0023301B"/>
    <w:rsid w:val="002343B8"/>
    <w:rsid w:val="00234A72"/>
    <w:rsid w:val="00234F81"/>
    <w:rsid w:val="00235457"/>
    <w:rsid w:val="00235735"/>
    <w:rsid w:val="00236064"/>
    <w:rsid w:val="002364F6"/>
    <w:rsid w:val="0023661F"/>
    <w:rsid w:val="00236E43"/>
    <w:rsid w:val="002370EC"/>
    <w:rsid w:val="00237343"/>
    <w:rsid w:val="00240412"/>
    <w:rsid w:val="00240DA9"/>
    <w:rsid w:val="00240E26"/>
    <w:rsid w:val="00240F99"/>
    <w:rsid w:val="00241D42"/>
    <w:rsid w:val="002424BE"/>
    <w:rsid w:val="00242AA0"/>
    <w:rsid w:val="00242CBA"/>
    <w:rsid w:val="00242E24"/>
    <w:rsid w:val="002433D4"/>
    <w:rsid w:val="0024367C"/>
    <w:rsid w:val="0024368A"/>
    <w:rsid w:val="002436DB"/>
    <w:rsid w:val="00244201"/>
    <w:rsid w:val="00244482"/>
    <w:rsid w:val="00244827"/>
    <w:rsid w:val="002448BD"/>
    <w:rsid w:val="002448E8"/>
    <w:rsid w:val="00245597"/>
    <w:rsid w:val="002456B3"/>
    <w:rsid w:val="00245CEC"/>
    <w:rsid w:val="00246C4B"/>
    <w:rsid w:val="00247412"/>
    <w:rsid w:val="00247AF2"/>
    <w:rsid w:val="002500EA"/>
    <w:rsid w:val="0025066D"/>
    <w:rsid w:val="00250EA8"/>
    <w:rsid w:val="00250F4D"/>
    <w:rsid w:val="00251827"/>
    <w:rsid w:val="00251A38"/>
    <w:rsid w:val="00251BB3"/>
    <w:rsid w:val="002528F7"/>
    <w:rsid w:val="00252E7E"/>
    <w:rsid w:val="0025314C"/>
    <w:rsid w:val="002533AB"/>
    <w:rsid w:val="0025345E"/>
    <w:rsid w:val="00253834"/>
    <w:rsid w:val="00253CEA"/>
    <w:rsid w:val="00254B46"/>
    <w:rsid w:val="00254E4B"/>
    <w:rsid w:val="0025525A"/>
    <w:rsid w:val="002558B7"/>
    <w:rsid w:val="00255B88"/>
    <w:rsid w:val="0025618A"/>
    <w:rsid w:val="00256248"/>
    <w:rsid w:val="00256552"/>
    <w:rsid w:val="00256812"/>
    <w:rsid w:val="00256993"/>
    <w:rsid w:val="00257DC8"/>
    <w:rsid w:val="002605BB"/>
    <w:rsid w:val="0026092A"/>
    <w:rsid w:val="00260CDD"/>
    <w:rsid w:val="002610F0"/>
    <w:rsid w:val="00261317"/>
    <w:rsid w:val="0026155A"/>
    <w:rsid w:val="00261F5E"/>
    <w:rsid w:val="00261F6D"/>
    <w:rsid w:val="0026298C"/>
    <w:rsid w:val="00262EE4"/>
    <w:rsid w:val="00263242"/>
    <w:rsid w:val="00263B7F"/>
    <w:rsid w:val="00263C87"/>
    <w:rsid w:val="00264046"/>
    <w:rsid w:val="002644BD"/>
    <w:rsid w:val="00265626"/>
    <w:rsid w:val="00265A17"/>
    <w:rsid w:val="00265D5D"/>
    <w:rsid w:val="00265EE5"/>
    <w:rsid w:val="00266111"/>
    <w:rsid w:val="002666CB"/>
    <w:rsid w:val="00266979"/>
    <w:rsid w:val="00266F66"/>
    <w:rsid w:val="002673D1"/>
    <w:rsid w:val="002702C6"/>
    <w:rsid w:val="00270705"/>
    <w:rsid w:val="002710A6"/>
    <w:rsid w:val="00271242"/>
    <w:rsid w:val="00271617"/>
    <w:rsid w:val="002717C6"/>
    <w:rsid w:val="002718CF"/>
    <w:rsid w:val="0027297A"/>
    <w:rsid w:val="00272E93"/>
    <w:rsid w:val="002731E3"/>
    <w:rsid w:val="002738FC"/>
    <w:rsid w:val="00273D2F"/>
    <w:rsid w:val="0027472A"/>
    <w:rsid w:val="002747CB"/>
    <w:rsid w:val="00274FB9"/>
    <w:rsid w:val="0027554F"/>
    <w:rsid w:val="00275737"/>
    <w:rsid w:val="00275A27"/>
    <w:rsid w:val="00275E16"/>
    <w:rsid w:val="002762AB"/>
    <w:rsid w:val="002766E4"/>
    <w:rsid w:val="00276857"/>
    <w:rsid w:val="002770BD"/>
    <w:rsid w:val="0028042B"/>
    <w:rsid w:val="00280CFA"/>
    <w:rsid w:val="0028121F"/>
    <w:rsid w:val="0028147A"/>
    <w:rsid w:val="00281931"/>
    <w:rsid w:val="00281942"/>
    <w:rsid w:val="00281949"/>
    <w:rsid w:val="00281B64"/>
    <w:rsid w:val="00281DB2"/>
    <w:rsid w:val="00281ED4"/>
    <w:rsid w:val="0028213A"/>
    <w:rsid w:val="00282970"/>
    <w:rsid w:val="00282A30"/>
    <w:rsid w:val="00282B81"/>
    <w:rsid w:val="00283016"/>
    <w:rsid w:val="0028352B"/>
    <w:rsid w:val="00283854"/>
    <w:rsid w:val="0028474B"/>
    <w:rsid w:val="002849E7"/>
    <w:rsid w:val="00284ED5"/>
    <w:rsid w:val="00285143"/>
    <w:rsid w:val="002852F0"/>
    <w:rsid w:val="00285566"/>
    <w:rsid w:val="00285664"/>
    <w:rsid w:val="00285FAE"/>
    <w:rsid w:val="00286162"/>
    <w:rsid w:val="00286287"/>
    <w:rsid w:val="002878D2"/>
    <w:rsid w:val="00287A4E"/>
    <w:rsid w:val="00287A72"/>
    <w:rsid w:val="00287D88"/>
    <w:rsid w:val="0029016E"/>
    <w:rsid w:val="00291451"/>
    <w:rsid w:val="00291491"/>
    <w:rsid w:val="002916C6"/>
    <w:rsid w:val="00291951"/>
    <w:rsid w:val="00291F28"/>
    <w:rsid w:val="00292233"/>
    <w:rsid w:val="00292395"/>
    <w:rsid w:val="002934F1"/>
    <w:rsid w:val="00294431"/>
    <w:rsid w:val="002947B2"/>
    <w:rsid w:val="00294A0B"/>
    <w:rsid w:val="00294A52"/>
    <w:rsid w:val="00295457"/>
    <w:rsid w:val="002962D0"/>
    <w:rsid w:val="0029636A"/>
    <w:rsid w:val="0029642E"/>
    <w:rsid w:val="002967B3"/>
    <w:rsid w:val="00296A51"/>
    <w:rsid w:val="00296C1B"/>
    <w:rsid w:val="002970DC"/>
    <w:rsid w:val="002973B2"/>
    <w:rsid w:val="0029788B"/>
    <w:rsid w:val="00297EF1"/>
    <w:rsid w:val="002A095E"/>
    <w:rsid w:val="002A0A74"/>
    <w:rsid w:val="002A12E3"/>
    <w:rsid w:val="002A1E2A"/>
    <w:rsid w:val="002A1ED1"/>
    <w:rsid w:val="002A1EF2"/>
    <w:rsid w:val="002A2015"/>
    <w:rsid w:val="002A2D47"/>
    <w:rsid w:val="002A3676"/>
    <w:rsid w:val="002A3C2E"/>
    <w:rsid w:val="002A3F0C"/>
    <w:rsid w:val="002A5431"/>
    <w:rsid w:val="002A5B71"/>
    <w:rsid w:val="002A5DC8"/>
    <w:rsid w:val="002A5F4A"/>
    <w:rsid w:val="002A6303"/>
    <w:rsid w:val="002A6460"/>
    <w:rsid w:val="002A6BAF"/>
    <w:rsid w:val="002A6EBD"/>
    <w:rsid w:val="002A70BA"/>
    <w:rsid w:val="002A79F2"/>
    <w:rsid w:val="002A7C27"/>
    <w:rsid w:val="002A7F6D"/>
    <w:rsid w:val="002B0317"/>
    <w:rsid w:val="002B0A8D"/>
    <w:rsid w:val="002B0B5C"/>
    <w:rsid w:val="002B0C85"/>
    <w:rsid w:val="002B1434"/>
    <w:rsid w:val="002B1481"/>
    <w:rsid w:val="002B1AD0"/>
    <w:rsid w:val="002B1EF6"/>
    <w:rsid w:val="002B1F94"/>
    <w:rsid w:val="002B2A16"/>
    <w:rsid w:val="002B2BE5"/>
    <w:rsid w:val="002B3197"/>
    <w:rsid w:val="002B3609"/>
    <w:rsid w:val="002B3621"/>
    <w:rsid w:val="002B3833"/>
    <w:rsid w:val="002B3A22"/>
    <w:rsid w:val="002B3A5F"/>
    <w:rsid w:val="002B4D8F"/>
    <w:rsid w:val="002B4E1B"/>
    <w:rsid w:val="002B4E24"/>
    <w:rsid w:val="002B4E50"/>
    <w:rsid w:val="002B5345"/>
    <w:rsid w:val="002B55F7"/>
    <w:rsid w:val="002B5679"/>
    <w:rsid w:val="002B577A"/>
    <w:rsid w:val="002B59F6"/>
    <w:rsid w:val="002B5CEB"/>
    <w:rsid w:val="002B5F4B"/>
    <w:rsid w:val="002B6227"/>
    <w:rsid w:val="002B695A"/>
    <w:rsid w:val="002B6960"/>
    <w:rsid w:val="002B6A0D"/>
    <w:rsid w:val="002B715E"/>
    <w:rsid w:val="002B7B16"/>
    <w:rsid w:val="002C00B9"/>
    <w:rsid w:val="002C068F"/>
    <w:rsid w:val="002C132F"/>
    <w:rsid w:val="002C1781"/>
    <w:rsid w:val="002C1FB5"/>
    <w:rsid w:val="002C2A17"/>
    <w:rsid w:val="002C2CD9"/>
    <w:rsid w:val="002C2E41"/>
    <w:rsid w:val="002C383F"/>
    <w:rsid w:val="002C3D46"/>
    <w:rsid w:val="002C3E25"/>
    <w:rsid w:val="002C46F3"/>
    <w:rsid w:val="002C4957"/>
    <w:rsid w:val="002C4E1A"/>
    <w:rsid w:val="002C5717"/>
    <w:rsid w:val="002C57AB"/>
    <w:rsid w:val="002C6CD6"/>
    <w:rsid w:val="002C6DB9"/>
    <w:rsid w:val="002C6E2D"/>
    <w:rsid w:val="002C7882"/>
    <w:rsid w:val="002C79E0"/>
    <w:rsid w:val="002C7A73"/>
    <w:rsid w:val="002C7E95"/>
    <w:rsid w:val="002D18EB"/>
    <w:rsid w:val="002D1C71"/>
    <w:rsid w:val="002D1FC2"/>
    <w:rsid w:val="002D2061"/>
    <w:rsid w:val="002D21D9"/>
    <w:rsid w:val="002D22A0"/>
    <w:rsid w:val="002D2417"/>
    <w:rsid w:val="002D485C"/>
    <w:rsid w:val="002D4905"/>
    <w:rsid w:val="002D52D7"/>
    <w:rsid w:val="002D5543"/>
    <w:rsid w:val="002D5A72"/>
    <w:rsid w:val="002D5FA9"/>
    <w:rsid w:val="002D6D56"/>
    <w:rsid w:val="002D706E"/>
    <w:rsid w:val="002D731B"/>
    <w:rsid w:val="002D7486"/>
    <w:rsid w:val="002D7E71"/>
    <w:rsid w:val="002D7FD1"/>
    <w:rsid w:val="002E00B6"/>
    <w:rsid w:val="002E02B7"/>
    <w:rsid w:val="002E114C"/>
    <w:rsid w:val="002E1741"/>
    <w:rsid w:val="002E19EC"/>
    <w:rsid w:val="002E1DAE"/>
    <w:rsid w:val="002E2C67"/>
    <w:rsid w:val="002E3101"/>
    <w:rsid w:val="002E32E7"/>
    <w:rsid w:val="002E33D7"/>
    <w:rsid w:val="002E340B"/>
    <w:rsid w:val="002E3E70"/>
    <w:rsid w:val="002E3E71"/>
    <w:rsid w:val="002E462A"/>
    <w:rsid w:val="002E4AD5"/>
    <w:rsid w:val="002E57F8"/>
    <w:rsid w:val="002E58A3"/>
    <w:rsid w:val="002E5FEA"/>
    <w:rsid w:val="002E62C2"/>
    <w:rsid w:val="002E662E"/>
    <w:rsid w:val="002E6FB0"/>
    <w:rsid w:val="002E78EA"/>
    <w:rsid w:val="002E7A9D"/>
    <w:rsid w:val="002E7EB6"/>
    <w:rsid w:val="002F00C8"/>
    <w:rsid w:val="002F0ADA"/>
    <w:rsid w:val="002F0B51"/>
    <w:rsid w:val="002F0B98"/>
    <w:rsid w:val="002F0D4A"/>
    <w:rsid w:val="002F0E86"/>
    <w:rsid w:val="002F0ECF"/>
    <w:rsid w:val="002F1578"/>
    <w:rsid w:val="002F1A94"/>
    <w:rsid w:val="002F1B67"/>
    <w:rsid w:val="002F1EA0"/>
    <w:rsid w:val="002F2E77"/>
    <w:rsid w:val="002F2F7D"/>
    <w:rsid w:val="002F32F9"/>
    <w:rsid w:val="002F347A"/>
    <w:rsid w:val="002F3A88"/>
    <w:rsid w:val="002F4092"/>
    <w:rsid w:val="002F4362"/>
    <w:rsid w:val="002F480F"/>
    <w:rsid w:val="002F49F4"/>
    <w:rsid w:val="002F59A7"/>
    <w:rsid w:val="002F5AAE"/>
    <w:rsid w:val="002F5D82"/>
    <w:rsid w:val="002F5D99"/>
    <w:rsid w:val="002F5DCA"/>
    <w:rsid w:val="002F6824"/>
    <w:rsid w:val="002F6AEB"/>
    <w:rsid w:val="002F6C92"/>
    <w:rsid w:val="002F6CB3"/>
    <w:rsid w:val="002F6D4E"/>
    <w:rsid w:val="002F7148"/>
    <w:rsid w:val="002F7290"/>
    <w:rsid w:val="002F73C3"/>
    <w:rsid w:val="002F750B"/>
    <w:rsid w:val="002F78E3"/>
    <w:rsid w:val="00300315"/>
    <w:rsid w:val="00300832"/>
    <w:rsid w:val="00300E9E"/>
    <w:rsid w:val="00300F3F"/>
    <w:rsid w:val="00301433"/>
    <w:rsid w:val="0030160C"/>
    <w:rsid w:val="00302312"/>
    <w:rsid w:val="00302B4C"/>
    <w:rsid w:val="00302C5F"/>
    <w:rsid w:val="00302D8F"/>
    <w:rsid w:val="0030304C"/>
    <w:rsid w:val="0030556A"/>
    <w:rsid w:val="00305886"/>
    <w:rsid w:val="00305FCA"/>
    <w:rsid w:val="00306533"/>
    <w:rsid w:val="00306859"/>
    <w:rsid w:val="003068AA"/>
    <w:rsid w:val="003068C9"/>
    <w:rsid w:val="0030697E"/>
    <w:rsid w:val="00307701"/>
    <w:rsid w:val="00307AC8"/>
    <w:rsid w:val="003102FF"/>
    <w:rsid w:val="00311319"/>
    <w:rsid w:val="00311822"/>
    <w:rsid w:val="00311883"/>
    <w:rsid w:val="003118CD"/>
    <w:rsid w:val="00311C35"/>
    <w:rsid w:val="0031204E"/>
    <w:rsid w:val="0031252B"/>
    <w:rsid w:val="00312C88"/>
    <w:rsid w:val="00312C8B"/>
    <w:rsid w:val="00313101"/>
    <w:rsid w:val="0031373C"/>
    <w:rsid w:val="00313AAA"/>
    <w:rsid w:val="00314438"/>
    <w:rsid w:val="00315340"/>
    <w:rsid w:val="00315829"/>
    <w:rsid w:val="00316558"/>
    <w:rsid w:val="00316848"/>
    <w:rsid w:val="00316D3B"/>
    <w:rsid w:val="00316FB4"/>
    <w:rsid w:val="0031732E"/>
    <w:rsid w:val="003173F7"/>
    <w:rsid w:val="003179F3"/>
    <w:rsid w:val="00317E54"/>
    <w:rsid w:val="00317FD9"/>
    <w:rsid w:val="0032016B"/>
    <w:rsid w:val="00320DBB"/>
    <w:rsid w:val="00320E51"/>
    <w:rsid w:val="00321ACB"/>
    <w:rsid w:val="00321E27"/>
    <w:rsid w:val="003223C1"/>
    <w:rsid w:val="003229B9"/>
    <w:rsid w:val="00322AD6"/>
    <w:rsid w:val="00323D98"/>
    <w:rsid w:val="00324060"/>
    <w:rsid w:val="00324604"/>
    <w:rsid w:val="00325199"/>
    <w:rsid w:val="003265F9"/>
    <w:rsid w:val="003266E9"/>
    <w:rsid w:val="0032688A"/>
    <w:rsid w:val="00326B02"/>
    <w:rsid w:val="00326C89"/>
    <w:rsid w:val="00327A2C"/>
    <w:rsid w:val="00327D25"/>
    <w:rsid w:val="00327F4B"/>
    <w:rsid w:val="003305B4"/>
    <w:rsid w:val="003309D6"/>
    <w:rsid w:val="00330AB2"/>
    <w:rsid w:val="00330D79"/>
    <w:rsid w:val="0033113A"/>
    <w:rsid w:val="003312CC"/>
    <w:rsid w:val="00332148"/>
    <w:rsid w:val="0033294B"/>
    <w:rsid w:val="00332A30"/>
    <w:rsid w:val="00332A94"/>
    <w:rsid w:val="00332D81"/>
    <w:rsid w:val="00333D59"/>
    <w:rsid w:val="00333DA2"/>
    <w:rsid w:val="00333F96"/>
    <w:rsid w:val="00334612"/>
    <w:rsid w:val="0033466C"/>
    <w:rsid w:val="00334F87"/>
    <w:rsid w:val="00335BA5"/>
    <w:rsid w:val="00335DBC"/>
    <w:rsid w:val="00335DD6"/>
    <w:rsid w:val="00335F07"/>
    <w:rsid w:val="0033668F"/>
    <w:rsid w:val="003369CF"/>
    <w:rsid w:val="00336B9B"/>
    <w:rsid w:val="00336EC9"/>
    <w:rsid w:val="00337647"/>
    <w:rsid w:val="003403F1"/>
    <w:rsid w:val="00340BA8"/>
    <w:rsid w:val="00340D9F"/>
    <w:rsid w:val="003415E8"/>
    <w:rsid w:val="003417DD"/>
    <w:rsid w:val="0034192A"/>
    <w:rsid w:val="00342413"/>
    <w:rsid w:val="003425C5"/>
    <w:rsid w:val="0034288A"/>
    <w:rsid w:val="00343000"/>
    <w:rsid w:val="003434F2"/>
    <w:rsid w:val="0034351A"/>
    <w:rsid w:val="00343573"/>
    <w:rsid w:val="0034364C"/>
    <w:rsid w:val="003437B6"/>
    <w:rsid w:val="00343DA0"/>
    <w:rsid w:val="00344658"/>
    <w:rsid w:val="00344B08"/>
    <w:rsid w:val="00345863"/>
    <w:rsid w:val="00345ED0"/>
    <w:rsid w:val="00346091"/>
    <w:rsid w:val="00346255"/>
    <w:rsid w:val="00346414"/>
    <w:rsid w:val="003466A5"/>
    <w:rsid w:val="003468AD"/>
    <w:rsid w:val="0034690A"/>
    <w:rsid w:val="003470C5"/>
    <w:rsid w:val="003477DF"/>
    <w:rsid w:val="00347AD4"/>
    <w:rsid w:val="00347B56"/>
    <w:rsid w:val="00347B6F"/>
    <w:rsid w:val="00350BA2"/>
    <w:rsid w:val="00351280"/>
    <w:rsid w:val="00351B53"/>
    <w:rsid w:val="00351C87"/>
    <w:rsid w:val="003521A2"/>
    <w:rsid w:val="00352529"/>
    <w:rsid w:val="00352618"/>
    <w:rsid w:val="00352990"/>
    <w:rsid w:val="00353052"/>
    <w:rsid w:val="00353268"/>
    <w:rsid w:val="00353E8C"/>
    <w:rsid w:val="00354234"/>
    <w:rsid w:val="00354474"/>
    <w:rsid w:val="00354842"/>
    <w:rsid w:val="0035499C"/>
    <w:rsid w:val="00354D11"/>
    <w:rsid w:val="00354FCB"/>
    <w:rsid w:val="003555B4"/>
    <w:rsid w:val="00355652"/>
    <w:rsid w:val="0035574C"/>
    <w:rsid w:val="00356510"/>
    <w:rsid w:val="0035676E"/>
    <w:rsid w:val="003567DE"/>
    <w:rsid w:val="00356A2C"/>
    <w:rsid w:val="00356ADC"/>
    <w:rsid w:val="00356B63"/>
    <w:rsid w:val="003577E9"/>
    <w:rsid w:val="00357C88"/>
    <w:rsid w:val="003603BF"/>
    <w:rsid w:val="00360705"/>
    <w:rsid w:val="00360B18"/>
    <w:rsid w:val="00360F29"/>
    <w:rsid w:val="003610EC"/>
    <w:rsid w:val="003613D2"/>
    <w:rsid w:val="00361A99"/>
    <w:rsid w:val="003636D7"/>
    <w:rsid w:val="003640BC"/>
    <w:rsid w:val="00364206"/>
    <w:rsid w:val="00364871"/>
    <w:rsid w:val="0036525A"/>
    <w:rsid w:val="003652C9"/>
    <w:rsid w:val="003653A8"/>
    <w:rsid w:val="00365F79"/>
    <w:rsid w:val="00366577"/>
    <w:rsid w:val="00366933"/>
    <w:rsid w:val="00366B92"/>
    <w:rsid w:val="00366C7F"/>
    <w:rsid w:val="00366FF3"/>
    <w:rsid w:val="003672BC"/>
    <w:rsid w:val="003707AC"/>
    <w:rsid w:val="00370912"/>
    <w:rsid w:val="00370982"/>
    <w:rsid w:val="00370F2F"/>
    <w:rsid w:val="0037139D"/>
    <w:rsid w:val="00371DD6"/>
    <w:rsid w:val="003722A3"/>
    <w:rsid w:val="003723DB"/>
    <w:rsid w:val="00372551"/>
    <w:rsid w:val="00372574"/>
    <w:rsid w:val="00372C41"/>
    <w:rsid w:val="00372E6A"/>
    <w:rsid w:val="00373168"/>
    <w:rsid w:val="0037363E"/>
    <w:rsid w:val="0037374E"/>
    <w:rsid w:val="00373AA2"/>
    <w:rsid w:val="00373D00"/>
    <w:rsid w:val="00374A7F"/>
    <w:rsid w:val="00374B76"/>
    <w:rsid w:val="003753F0"/>
    <w:rsid w:val="00375B98"/>
    <w:rsid w:val="00375E5C"/>
    <w:rsid w:val="00376397"/>
    <w:rsid w:val="00376589"/>
    <w:rsid w:val="00376A3C"/>
    <w:rsid w:val="003774A1"/>
    <w:rsid w:val="00377839"/>
    <w:rsid w:val="0038072B"/>
    <w:rsid w:val="00381177"/>
    <w:rsid w:val="0038134B"/>
    <w:rsid w:val="00381EE3"/>
    <w:rsid w:val="00382768"/>
    <w:rsid w:val="00382D7E"/>
    <w:rsid w:val="003830A6"/>
    <w:rsid w:val="003838FE"/>
    <w:rsid w:val="00383939"/>
    <w:rsid w:val="0038479F"/>
    <w:rsid w:val="0038524B"/>
    <w:rsid w:val="00385644"/>
    <w:rsid w:val="003856C5"/>
    <w:rsid w:val="00385B8F"/>
    <w:rsid w:val="003861CB"/>
    <w:rsid w:val="00386466"/>
    <w:rsid w:val="00386520"/>
    <w:rsid w:val="00386A51"/>
    <w:rsid w:val="00386DDB"/>
    <w:rsid w:val="00386F5D"/>
    <w:rsid w:val="003874C0"/>
    <w:rsid w:val="003877C2"/>
    <w:rsid w:val="0038781B"/>
    <w:rsid w:val="00387CF6"/>
    <w:rsid w:val="00390D0E"/>
    <w:rsid w:val="00391126"/>
    <w:rsid w:val="003913AE"/>
    <w:rsid w:val="003914CA"/>
    <w:rsid w:val="00391F98"/>
    <w:rsid w:val="003927B5"/>
    <w:rsid w:val="00393426"/>
    <w:rsid w:val="00394146"/>
    <w:rsid w:val="00394173"/>
    <w:rsid w:val="00394A1F"/>
    <w:rsid w:val="00394CB6"/>
    <w:rsid w:val="00395384"/>
    <w:rsid w:val="0039540F"/>
    <w:rsid w:val="00396988"/>
    <w:rsid w:val="00396B77"/>
    <w:rsid w:val="00396E26"/>
    <w:rsid w:val="0039774F"/>
    <w:rsid w:val="00397F17"/>
    <w:rsid w:val="003A00A6"/>
    <w:rsid w:val="003A03BF"/>
    <w:rsid w:val="003A07A9"/>
    <w:rsid w:val="003A0AB1"/>
    <w:rsid w:val="003A166A"/>
    <w:rsid w:val="003A2C8E"/>
    <w:rsid w:val="003A2EB6"/>
    <w:rsid w:val="003A3DE6"/>
    <w:rsid w:val="003A47BD"/>
    <w:rsid w:val="003A47D5"/>
    <w:rsid w:val="003A4936"/>
    <w:rsid w:val="003A4BB3"/>
    <w:rsid w:val="003A4FBC"/>
    <w:rsid w:val="003A54B2"/>
    <w:rsid w:val="003A5B12"/>
    <w:rsid w:val="003A67E6"/>
    <w:rsid w:val="003A6E66"/>
    <w:rsid w:val="003A72B0"/>
    <w:rsid w:val="003B00E4"/>
    <w:rsid w:val="003B09A2"/>
    <w:rsid w:val="003B0F47"/>
    <w:rsid w:val="003B20BA"/>
    <w:rsid w:val="003B2E01"/>
    <w:rsid w:val="003B3264"/>
    <w:rsid w:val="003B4131"/>
    <w:rsid w:val="003B4825"/>
    <w:rsid w:val="003B48AD"/>
    <w:rsid w:val="003B49C2"/>
    <w:rsid w:val="003B4E90"/>
    <w:rsid w:val="003B5B1B"/>
    <w:rsid w:val="003B5B6C"/>
    <w:rsid w:val="003B6488"/>
    <w:rsid w:val="003B756D"/>
    <w:rsid w:val="003B7BB5"/>
    <w:rsid w:val="003B7C4F"/>
    <w:rsid w:val="003C029A"/>
    <w:rsid w:val="003C0B0C"/>
    <w:rsid w:val="003C0B5E"/>
    <w:rsid w:val="003C0CC3"/>
    <w:rsid w:val="003C0F4E"/>
    <w:rsid w:val="003C13B8"/>
    <w:rsid w:val="003C18E8"/>
    <w:rsid w:val="003C1DF3"/>
    <w:rsid w:val="003C2033"/>
    <w:rsid w:val="003C2CD1"/>
    <w:rsid w:val="003C35ED"/>
    <w:rsid w:val="003C3ABE"/>
    <w:rsid w:val="003C3AE7"/>
    <w:rsid w:val="003C3CB1"/>
    <w:rsid w:val="003C3D45"/>
    <w:rsid w:val="003C41BA"/>
    <w:rsid w:val="003C49CB"/>
    <w:rsid w:val="003C525D"/>
    <w:rsid w:val="003C527D"/>
    <w:rsid w:val="003C54AF"/>
    <w:rsid w:val="003C591E"/>
    <w:rsid w:val="003C5C79"/>
    <w:rsid w:val="003C5DB5"/>
    <w:rsid w:val="003C5DEB"/>
    <w:rsid w:val="003C6449"/>
    <w:rsid w:val="003C6468"/>
    <w:rsid w:val="003C6AA9"/>
    <w:rsid w:val="003D09F4"/>
    <w:rsid w:val="003D1D7B"/>
    <w:rsid w:val="003D2576"/>
    <w:rsid w:val="003D2DE5"/>
    <w:rsid w:val="003D318B"/>
    <w:rsid w:val="003D32B2"/>
    <w:rsid w:val="003D3ADA"/>
    <w:rsid w:val="003D3E64"/>
    <w:rsid w:val="003D4659"/>
    <w:rsid w:val="003D473D"/>
    <w:rsid w:val="003D5746"/>
    <w:rsid w:val="003D5D72"/>
    <w:rsid w:val="003D699F"/>
    <w:rsid w:val="003D73F3"/>
    <w:rsid w:val="003D76A6"/>
    <w:rsid w:val="003D7B48"/>
    <w:rsid w:val="003E0041"/>
    <w:rsid w:val="003E0431"/>
    <w:rsid w:val="003E04F1"/>
    <w:rsid w:val="003E0584"/>
    <w:rsid w:val="003E060E"/>
    <w:rsid w:val="003E087D"/>
    <w:rsid w:val="003E0A49"/>
    <w:rsid w:val="003E1205"/>
    <w:rsid w:val="003E1376"/>
    <w:rsid w:val="003E1574"/>
    <w:rsid w:val="003E17DF"/>
    <w:rsid w:val="003E2002"/>
    <w:rsid w:val="003E2633"/>
    <w:rsid w:val="003E2C89"/>
    <w:rsid w:val="003E2E5A"/>
    <w:rsid w:val="003E3129"/>
    <w:rsid w:val="003E3371"/>
    <w:rsid w:val="003E36D1"/>
    <w:rsid w:val="003E38B4"/>
    <w:rsid w:val="003E55DC"/>
    <w:rsid w:val="003E5E6C"/>
    <w:rsid w:val="003E6142"/>
    <w:rsid w:val="003E621E"/>
    <w:rsid w:val="003E697D"/>
    <w:rsid w:val="003E6D31"/>
    <w:rsid w:val="003F05EE"/>
    <w:rsid w:val="003F1389"/>
    <w:rsid w:val="003F158B"/>
    <w:rsid w:val="003F1B7B"/>
    <w:rsid w:val="003F2A29"/>
    <w:rsid w:val="003F2A2D"/>
    <w:rsid w:val="003F2DF3"/>
    <w:rsid w:val="003F3057"/>
    <w:rsid w:val="003F3B85"/>
    <w:rsid w:val="003F3BF7"/>
    <w:rsid w:val="003F3D5F"/>
    <w:rsid w:val="003F3E5B"/>
    <w:rsid w:val="003F4596"/>
    <w:rsid w:val="003F50F3"/>
    <w:rsid w:val="003F5829"/>
    <w:rsid w:val="003F5C99"/>
    <w:rsid w:val="003F5E03"/>
    <w:rsid w:val="003F5EAC"/>
    <w:rsid w:val="003F62E3"/>
    <w:rsid w:val="003F6654"/>
    <w:rsid w:val="0040003C"/>
    <w:rsid w:val="0040056F"/>
    <w:rsid w:val="00400BEA"/>
    <w:rsid w:val="0040138E"/>
    <w:rsid w:val="00401549"/>
    <w:rsid w:val="004019B4"/>
    <w:rsid w:val="004021A8"/>
    <w:rsid w:val="0040233A"/>
    <w:rsid w:val="0040242D"/>
    <w:rsid w:val="004026EA"/>
    <w:rsid w:val="0040271D"/>
    <w:rsid w:val="0040299D"/>
    <w:rsid w:val="00402E43"/>
    <w:rsid w:val="004030B3"/>
    <w:rsid w:val="004031CE"/>
    <w:rsid w:val="004032C6"/>
    <w:rsid w:val="00403A21"/>
    <w:rsid w:val="00403B38"/>
    <w:rsid w:val="004046B9"/>
    <w:rsid w:val="00405B16"/>
    <w:rsid w:val="00405F8B"/>
    <w:rsid w:val="0040603A"/>
    <w:rsid w:val="00406A3B"/>
    <w:rsid w:val="00406BC0"/>
    <w:rsid w:val="004100D8"/>
    <w:rsid w:val="00410217"/>
    <w:rsid w:val="00410338"/>
    <w:rsid w:val="00410E68"/>
    <w:rsid w:val="004115A2"/>
    <w:rsid w:val="00411949"/>
    <w:rsid w:val="0041203E"/>
    <w:rsid w:val="00412AB7"/>
    <w:rsid w:val="00412B80"/>
    <w:rsid w:val="00412BC0"/>
    <w:rsid w:val="00412C5B"/>
    <w:rsid w:val="00412FD1"/>
    <w:rsid w:val="004131C2"/>
    <w:rsid w:val="004133F5"/>
    <w:rsid w:val="004137B5"/>
    <w:rsid w:val="00413827"/>
    <w:rsid w:val="00413A26"/>
    <w:rsid w:val="00413D5B"/>
    <w:rsid w:val="004143D4"/>
    <w:rsid w:val="00414D29"/>
    <w:rsid w:val="00414E8E"/>
    <w:rsid w:val="00414EF7"/>
    <w:rsid w:val="00414F73"/>
    <w:rsid w:val="004152C0"/>
    <w:rsid w:val="00415AE5"/>
    <w:rsid w:val="00415BCE"/>
    <w:rsid w:val="00415C37"/>
    <w:rsid w:val="004163D0"/>
    <w:rsid w:val="00416BDE"/>
    <w:rsid w:val="00417BFB"/>
    <w:rsid w:val="00417E31"/>
    <w:rsid w:val="004209A5"/>
    <w:rsid w:val="00420D83"/>
    <w:rsid w:val="004210DD"/>
    <w:rsid w:val="004213EB"/>
    <w:rsid w:val="004217E0"/>
    <w:rsid w:val="00421C4A"/>
    <w:rsid w:val="00422842"/>
    <w:rsid w:val="00422F9B"/>
    <w:rsid w:val="00422FA2"/>
    <w:rsid w:val="004236B5"/>
    <w:rsid w:val="0042374C"/>
    <w:rsid w:val="00423A08"/>
    <w:rsid w:val="00423BD9"/>
    <w:rsid w:val="00423CFD"/>
    <w:rsid w:val="00424207"/>
    <w:rsid w:val="00424360"/>
    <w:rsid w:val="00424453"/>
    <w:rsid w:val="004249E1"/>
    <w:rsid w:val="00424D97"/>
    <w:rsid w:val="0042563D"/>
    <w:rsid w:val="00426A40"/>
    <w:rsid w:val="00426FFA"/>
    <w:rsid w:val="0042775B"/>
    <w:rsid w:val="00427962"/>
    <w:rsid w:val="0043054F"/>
    <w:rsid w:val="00430C80"/>
    <w:rsid w:val="0043135F"/>
    <w:rsid w:val="00431DE4"/>
    <w:rsid w:val="00432379"/>
    <w:rsid w:val="00432B67"/>
    <w:rsid w:val="00432DE2"/>
    <w:rsid w:val="0043349C"/>
    <w:rsid w:val="00433710"/>
    <w:rsid w:val="00433DD2"/>
    <w:rsid w:val="00433E5C"/>
    <w:rsid w:val="0043441E"/>
    <w:rsid w:val="00435232"/>
    <w:rsid w:val="00435C8F"/>
    <w:rsid w:val="00436282"/>
    <w:rsid w:val="00436924"/>
    <w:rsid w:val="00436D7D"/>
    <w:rsid w:val="00437413"/>
    <w:rsid w:val="004424AB"/>
    <w:rsid w:val="00442E63"/>
    <w:rsid w:val="004433C0"/>
    <w:rsid w:val="0044389F"/>
    <w:rsid w:val="004438D6"/>
    <w:rsid w:val="00443C24"/>
    <w:rsid w:val="0044425E"/>
    <w:rsid w:val="004453E5"/>
    <w:rsid w:val="00445A11"/>
    <w:rsid w:val="00446053"/>
    <w:rsid w:val="00446530"/>
    <w:rsid w:val="004467CC"/>
    <w:rsid w:val="004469EC"/>
    <w:rsid w:val="00447005"/>
    <w:rsid w:val="0044707F"/>
    <w:rsid w:val="004471E9"/>
    <w:rsid w:val="00447238"/>
    <w:rsid w:val="00447262"/>
    <w:rsid w:val="00447F85"/>
    <w:rsid w:val="0045039E"/>
    <w:rsid w:val="0045074B"/>
    <w:rsid w:val="0045081F"/>
    <w:rsid w:val="0045089E"/>
    <w:rsid w:val="00450D7F"/>
    <w:rsid w:val="004510B0"/>
    <w:rsid w:val="00451246"/>
    <w:rsid w:val="00451260"/>
    <w:rsid w:val="004514EC"/>
    <w:rsid w:val="0045187C"/>
    <w:rsid w:val="00451CCD"/>
    <w:rsid w:val="004522DA"/>
    <w:rsid w:val="00452BC0"/>
    <w:rsid w:val="00452EE7"/>
    <w:rsid w:val="00452F0D"/>
    <w:rsid w:val="00453360"/>
    <w:rsid w:val="00454740"/>
    <w:rsid w:val="004565F0"/>
    <w:rsid w:val="0045712A"/>
    <w:rsid w:val="0045715F"/>
    <w:rsid w:val="0045717F"/>
    <w:rsid w:val="004577B1"/>
    <w:rsid w:val="00457965"/>
    <w:rsid w:val="00460745"/>
    <w:rsid w:val="00460AF1"/>
    <w:rsid w:val="00460B4C"/>
    <w:rsid w:val="00460DDC"/>
    <w:rsid w:val="0046121A"/>
    <w:rsid w:val="0046126F"/>
    <w:rsid w:val="004616E4"/>
    <w:rsid w:val="004618BF"/>
    <w:rsid w:val="004619C5"/>
    <w:rsid w:val="0046216F"/>
    <w:rsid w:val="004622F0"/>
    <w:rsid w:val="00462757"/>
    <w:rsid w:val="00462B07"/>
    <w:rsid w:val="004633B6"/>
    <w:rsid w:val="004638D3"/>
    <w:rsid w:val="004643FF"/>
    <w:rsid w:val="004645EE"/>
    <w:rsid w:val="00464BD0"/>
    <w:rsid w:val="00464E84"/>
    <w:rsid w:val="00465F01"/>
    <w:rsid w:val="0046640A"/>
    <w:rsid w:val="00466AC1"/>
    <w:rsid w:val="00466D9C"/>
    <w:rsid w:val="00466E8E"/>
    <w:rsid w:val="004674A6"/>
    <w:rsid w:val="00467A6E"/>
    <w:rsid w:val="00470B2C"/>
    <w:rsid w:val="00470E71"/>
    <w:rsid w:val="00471034"/>
    <w:rsid w:val="00471058"/>
    <w:rsid w:val="0047131D"/>
    <w:rsid w:val="0047164F"/>
    <w:rsid w:val="00471908"/>
    <w:rsid w:val="00471C21"/>
    <w:rsid w:val="00471CE9"/>
    <w:rsid w:val="00472013"/>
    <w:rsid w:val="004724E3"/>
    <w:rsid w:val="004724E8"/>
    <w:rsid w:val="00472BA8"/>
    <w:rsid w:val="00472F3D"/>
    <w:rsid w:val="00473040"/>
    <w:rsid w:val="004733E2"/>
    <w:rsid w:val="004735DD"/>
    <w:rsid w:val="00473667"/>
    <w:rsid w:val="0047395C"/>
    <w:rsid w:val="00474A54"/>
    <w:rsid w:val="00475008"/>
    <w:rsid w:val="00475302"/>
    <w:rsid w:val="004754F6"/>
    <w:rsid w:val="00475617"/>
    <w:rsid w:val="004757D7"/>
    <w:rsid w:val="0047613D"/>
    <w:rsid w:val="004762C2"/>
    <w:rsid w:val="004768EF"/>
    <w:rsid w:val="00477083"/>
    <w:rsid w:val="00477686"/>
    <w:rsid w:val="00477A11"/>
    <w:rsid w:val="004800DD"/>
    <w:rsid w:val="004809F3"/>
    <w:rsid w:val="004810E5"/>
    <w:rsid w:val="00481D72"/>
    <w:rsid w:val="0048270A"/>
    <w:rsid w:val="00483435"/>
    <w:rsid w:val="0048376E"/>
    <w:rsid w:val="00483EE0"/>
    <w:rsid w:val="00484927"/>
    <w:rsid w:val="00484AB5"/>
    <w:rsid w:val="00484E1B"/>
    <w:rsid w:val="00484F40"/>
    <w:rsid w:val="0048569D"/>
    <w:rsid w:val="0048583E"/>
    <w:rsid w:val="00485A3E"/>
    <w:rsid w:val="00485DFF"/>
    <w:rsid w:val="00486315"/>
    <w:rsid w:val="004864E5"/>
    <w:rsid w:val="00486606"/>
    <w:rsid w:val="0048660E"/>
    <w:rsid w:val="00486775"/>
    <w:rsid w:val="00487B14"/>
    <w:rsid w:val="00490046"/>
    <w:rsid w:val="00490542"/>
    <w:rsid w:val="0049075B"/>
    <w:rsid w:val="004907E8"/>
    <w:rsid w:val="00490D18"/>
    <w:rsid w:val="004918E7"/>
    <w:rsid w:val="00492C75"/>
    <w:rsid w:val="00492F08"/>
    <w:rsid w:val="0049331F"/>
    <w:rsid w:val="004933FD"/>
    <w:rsid w:val="00493E75"/>
    <w:rsid w:val="00494E93"/>
    <w:rsid w:val="0049547A"/>
    <w:rsid w:val="004955B0"/>
    <w:rsid w:val="00495904"/>
    <w:rsid w:val="0049646E"/>
    <w:rsid w:val="00496867"/>
    <w:rsid w:val="00496C6B"/>
    <w:rsid w:val="0049737B"/>
    <w:rsid w:val="00497648"/>
    <w:rsid w:val="004976F3"/>
    <w:rsid w:val="00497826"/>
    <w:rsid w:val="004A0C29"/>
    <w:rsid w:val="004A0F59"/>
    <w:rsid w:val="004A15F2"/>
    <w:rsid w:val="004A1F19"/>
    <w:rsid w:val="004A22B8"/>
    <w:rsid w:val="004A2486"/>
    <w:rsid w:val="004A2939"/>
    <w:rsid w:val="004A3115"/>
    <w:rsid w:val="004A3DEC"/>
    <w:rsid w:val="004A4147"/>
    <w:rsid w:val="004A4201"/>
    <w:rsid w:val="004A46C2"/>
    <w:rsid w:val="004A4AE7"/>
    <w:rsid w:val="004A5248"/>
    <w:rsid w:val="004A54C7"/>
    <w:rsid w:val="004A5661"/>
    <w:rsid w:val="004A5C8B"/>
    <w:rsid w:val="004A5CDE"/>
    <w:rsid w:val="004A6401"/>
    <w:rsid w:val="004A66C0"/>
    <w:rsid w:val="004A70C6"/>
    <w:rsid w:val="004B001B"/>
    <w:rsid w:val="004B098F"/>
    <w:rsid w:val="004B09CE"/>
    <w:rsid w:val="004B09E8"/>
    <w:rsid w:val="004B13A6"/>
    <w:rsid w:val="004B14DA"/>
    <w:rsid w:val="004B1526"/>
    <w:rsid w:val="004B2DFB"/>
    <w:rsid w:val="004B3182"/>
    <w:rsid w:val="004B3A20"/>
    <w:rsid w:val="004B3B0B"/>
    <w:rsid w:val="004B3BF1"/>
    <w:rsid w:val="004B46F0"/>
    <w:rsid w:val="004B4EDF"/>
    <w:rsid w:val="004B5E87"/>
    <w:rsid w:val="004B6E89"/>
    <w:rsid w:val="004B7283"/>
    <w:rsid w:val="004B7498"/>
    <w:rsid w:val="004B74EC"/>
    <w:rsid w:val="004B7935"/>
    <w:rsid w:val="004C0120"/>
    <w:rsid w:val="004C0254"/>
    <w:rsid w:val="004C0604"/>
    <w:rsid w:val="004C061F"/>
    <w:rsid w:val="004C11F7"/>
    <w:rsid w:val="004C138B"/>
    <w:rsid w:val="004C15D6"/>
    <w:rsid w:val="004C1A02"/>
    <w:rsid w:val="004C1EE0"/>
    <w:rsid w:val="004C236A"/>
    <w:rsid w:val="004C262A"/>
    <w:rsid w:val="004C2D87"/>
    <w:rsid w:val="004C2DB3"/>
    <w:rsid w:val="004C33D0"/>
    <w:rsid w:val="004C396C"/>
    <w:rsid w:val="004C3C99"/>
    <w:rsid w:val="004C413B"/>
    <w:rsid w:val="004C431B"/>
    <w:rsid w:val="004C4C64"/>
    <w:rsid w:val="004C4CD1"/>
    <w:rsid w:val="004C5733"/>
    <w:rsid w:val="004C5898"/>
    <w:rsid w:val="004C5E1F"/>
    <w:rsid w:val="004C6918"/>
    <w:rsid w:val="004C74FE"/>
    <w:rsid w:val="004C754E"/>
    <w:rsid w:val="004D015A"/>
    <w:rsid w:val="004D03A3"/>
    <w:rsid w:val="004D056C"/>
    <w:rsid w:val="004D11A7"/>
    <w:rsid w:val="004D17D7"/>
    <w:rsid w:val="004D1C64"/>
    <w:rsid w:val="004D20D7"/>
    <w:rsid w:val="004D2ABA"/>
    <w:rsid w:val="004D2DD6"/>
    <w:rsid w:val="004D322F"/>
    <w:rsid w:val="004D424E"/>
    <w:rsid w:val="004D4835"/>
    <w:rsid w:val="004D4977"/>
    <w:rsid w:val="004D4D81"/>
    <w:rsid w:val="004D57F0"/>
    <w:rsid w:val="004D5904"/>
    <w:rsid w:val="004D5BE1"/>
    <w:rsid w:val="004D5CCF"/>
    <w:rsid w:val="004D61B9"/>
    <w:rsid w:val="004D64DA"/>
    <w:rsid w:val="004D652C"/>
    <w:rsid w:val="004D656B"/>
    <w:rsid w:val="004D7A12"/>
    <w:rsid w:val="004D7EAA"/>
    <w:rsid w:val="004D7F5A"/>
    <w:rsid w:val="004E08FA"/>
    <w:rsid w:val="004E2CA4"/>
    <w:rsid w:val="004E2E74"/>
    <w:rsid w:val="004E2E9D"/>
    <w:rsid w:val="004E33D6"/>
    <w:rsid w:val="004E3C87"/>
    <w:rsid w:val="004E4222"/>
    <w:rsid w:val="004E489D"/>
    <w:rsid w:val="004E4AEC"/>
    <w:rsid w:val="004E4D35"/>
    <w:rsid w:val="004E5443"/>
    <w:rsid w:val="004E5523"/>
    <w:rsid w:val="004E5AD0"/>
    <w:rsid w:val="004E6375"/>
    <w:rsid w:val="004E65FE"/>
    <w:rsid w:val="004E6A18"/>
    <w:rsid w:val="004E6B58"/>
    <w:rsid w:val="004E6FC9"/>
    <w:rsid w:val="004F194A"/>
    <w:rsid w:val="004F1C52"/>
    <w:rsid w:val="004F2DC0"/>
    <w:rsid w:val="004F3086"/>
    <w:rsid w:val="004F30DC"/>
    <w:rsid w:val="004F31E9"/>
    <w:rsid w:val="004F3618"/>
    <w:rsid w:val="004F3E19"/>
    <w:rsid w:val="004F4AA2"/>
    <w:rsid w:val="004F562F"/>
    <w:rsid w:val="004F58D8"/>
    <w:rsid w:val="004F604E"/>
    <w:rsid w:val="004F619B"/>
    <w:rsid w:val="004F6453"/>
    <w:rsid w:val="004F667C"/>
    <w:rsid w:val="004F7057"/>
    <w:rsid w:val="004F7258"/>
    <w:rsid w:val="004F7FB8"/>
    <w:rsid w:val="005001F8"/>
    <w:rsid w:val="005007B9"/>
    <w:rsid w:val="0050119B"/>
    <w:rsid w:val="00501317"/>
    <w:rsid w:val="005013B4"/>
    <w:rsid w:val="005014CB"/>
    <w:rsid w:val="00501CB4"/>
    <w:rsid w:val="00503445"/>
    <w:rsid w:val="00503493"/>
    <w:rsid w:val="00503560"/>
    <w:rsid w:val="00503AC6"/>
    <w:rsid w:val="0050414F"/>
    <w:rsid w:val="00504241"/>
    <w:rsid w:val="0050473E"/>
    <w:rsid w:val="00504CEE"/>
    <w:rsid w:val="00504E88"/>
    <w:rsid w:val="0050562E"/>
    <w:rsid w:val="005058D0"/>
    <w:rsid w:val="00506020"/>
    <w:rsid w:val="00506351"/>
    <w:rsid w:val="00506829"/>
    <w:rsid w:val="00506A39"/>
    <w:rsid w:val="00506C7E"/>
    <w:rsid w:val="00506EFD"/>
    <w:rsid w:val="00506F0A"/>
    <w:rsid w:val="0050745B"/>
    <w:rsid w:val="00507DEE"/>
    <w:rsid w:val="0051033F"/>
    <w:rsid w:val="0051034E"/>
    <w:rsid w:val="00510CC1"/>
    <w:rsid w:val="00510DCC"/>
    <w:rsid w:val="00510FC7"/>
    <w:rsid w:val="005112E5"/>
    <w:rsid w:val="0051163B"/>
    <w:rsid w:val="00511CA5"/>
    <w:rsid w:val="0051278F"/>
    <w:rsid w:val="00512D20"/>
    <w:rsid w:val="00512E39"/>
    <w:rsid w:val="00512F0E"/>
    <w:rsid w:val="005136BC"/>
    <w:rsid w:val="0051469F"/>
    <w:rsid w:val="005146B9"/>
    <w:rsid w:val="005158F1"/>
    <w:rsid w:val="00515D25"/>
    <w:rsid w:val="00516916"/>
    <w:rsid w:val="00517164"/>
    <w:rsid w:val="0051743B"/>
    <w:rsid w:val="0051786C"/>
    <w:rsid w:val="00520404"/>
    <w:rsid w:val="005204FC"/>
    <w:rsid w:val="00520A51"/>
    <w:rsid w:val="00520B78"/>
    <w:rsid w:val="005210E1"/>
    <w:rsid w:val="0052112B"/>
    <w:rsid w:val="00522C7C"/>
    <w:rsid w:val="00523B2B"/>
    <w:rsid w:val="00523C8C"/>
    <w:rsid w:val="005247C2"/>
    <w:rsid w:val="00524C5F"/>
    <w:rsid w:val="00524E2A"/>
    <w:rsid w:val="005250EA"/>
    <w:rsid w:val="005259E6"/>
    <w:rsid w:val="00525D75"/>
    <w:rsid w:val="00527158"/>
    <w:rsid w:val="005273C5"/>
    <w:rsid w:val="00527585"/>
    <w:rsid w:val="00527E75"/>
    <w:rsid w:val="00527E90"/>
    <w:rsid w:val="00530969"/>
    <w:rsid w:val="005313DB"/>
    <w:rsid w:val="005314BB"/>
    <w:rsid w:val="00531BA1"/>
    <w:rsid w:val="00531F61"/>
    <w:rsid w:val="00532756"/>
    <w:rsid w:val="00532960"/>
    <w:rsid w:val="005329F6"/>
    <w:rsid w:val="00532F43"/>
    <w:rsid w:val="005333C3"/>
    <w:rsid w:val="00533413"/>
    <w:rsid w:val="005336A6"/>
    <w:rsid w:val="00533C8A"/>
    <w:rsid w:val="00533DCE"/>
    <w:rsid w:val="00533F63"/>
    <w:rsid w:val="00534031"/>
    <w:rsid w:val="0053457B"/>
    <w:rsid w:val="00534DC9"/>
    <w:rsid w:val="005350B4"/>
    <w:rsid w:val="00535520"/>
    <w:rsid w:val="00535CF0"/>
    <w:rsid w:val="00535D98"/>
    <w:rsid w:val="00536176"/>
    <w:rsid w:val="0053673B"/>
    <w:rsid w:val="00536C29"/>
    <w:rsid w:val="00536E96"/>
    <w:rsid w:val="00536EB4"/>
    <w:rsid w:val="0053729C"/>
    <w:rsid w:val="005373D1"/>
    <w:rsid w:val="00537EEF"/>
    <w:rsid w:val="00540811"/>
    <w:rsid w:val="005411FC"/>
    <w:rsid w:val="00541430"/>
    <w:rsid w:val="0054146B"/>
    <w:rsid w:val="005415F0"/>
    <w:rsid w:val="00541D98"/>
    <w:rsid w:val="005425B2"/>
    <w:rsid w:val="00542953"/>
    <w:rsid w:val="00542DBF"/>
    <w:rsid w:val="00542DE3"/>
    <w:rsid w:val="00543CEE"/>
    <w:rsid w:val="005446B0"/>
    <w:rsid w:val="00544BD3"/>
    <w:rsid w:val="00545B93"/>
    <w:rsid w:val="00545BBD"/>
    <w:rsid w:val="005462E0"/>
    <w:rsid w:val="00546778"/>
    <w:rsid w:val="0054682A"/>
    <w:rsid w:val="005469C0"/>
    <w:rsid w:val="00546D50"/>
    <w:rsid w:val="00547705"/>
    <w:rsid w:val="00550258"/>
    <w:rsid w:val="005505C5"/>
    <w:rsid w:val="005513AB"/>
    <w:rsid w:val="0055165E"/>
    <w:rsid w:val="0055235D"/>
    <w:rsid w:val="005524E2"/>
    <w:rsid w:val="00552514"/>
    <w:rsid w:val="0055263A"/>
    <w:rsid w:val="00552641"/>
    <w:rsid w:val="0055346B"/>
    <w:rsid w:val="00554722"/>
    <w:rsid w:val="00554B2C"/>
    <w:rsid w:val="00555019"/>
    <w:rsid w:val="005555DA"/>
    <w:rsid w:val="005556C7"/>
    <w:rsid w:val="00555803"/>
    <w:rsid w:val="00555D0C"/>
    <w:rsid w:val="005571BD"/>
    <w:rsid w:val="0056033D"/>
    <w:rsid w:val="00560469"/>
    <w:rsid w:val="00560567"/>
    <w:rsid w:val="00560D6D"/>
    <w:rsid w:val="005615EB"/>
    <w:rsid w:val="00561802"/>
    <w:rsid w:val="00561E3D"/>
    <w:rsid w:val="005624B8"/>
    <w:rsid w:val="00562C19"/>
    <w:rsid w:val="00562CF9"/>
    <w:rsid w:val="00562E45"/>
    <w:rsid w:val="00562F8F"/>
    <w:rsid w:val="005635E0"/>
    <w:rsid w:val="005648E4"/>
    <w:rsid w:val="005648FC"/>
    <w:rsid w:val="00564B82"/>
    <w:rsid w:val="005654EC"/>
    <w:rsid w:val="00565503"/>
    <w:rsid w:val="00565507"/>
    <w:rsid w:val="0056563C"/>
    <w:rsid w:val="0056563E"/>
    <w:rsid w:val="005659FC"/>
    <w:rsid w:val="00565AF5"/>
    <w:rsid w:val="00565CFC"/>
    <w:rsid w:val="00565E22"/>
    <w:rsid w:val="005660E9"/>
    <w:rsid w:val="0056624D"/>
    <w:rsid w:val="00566B9E"/>
    <w:rsid w:val="00566E61"/>
    <w:rsid w:val="005672DC"/>
    <w:rsid w:val="00567447"/>
    <w:rsid w:val="00567616"/>
    <w:rsid w:val="0056789E"/>
    <w:rsid w:val="00567AB5"/>
    <w:rsid w:val="00567CA1"/>
    <w:rsid w:val="00570593"/>
    <w:rsid w:val="005705F7"/>
    <w:rsid w:val="00570942"/>
    <w:rsid w:val="0057136E"/>
    <w:rsid w:val="00571400"/>
    <w:rsid w:val="0057149C"/>
    <w:rsid w:val="00571773"/>
    <w:rsid w:val="00571982"/>
    <w:rsid w:val="00571FE5"/>
    <w:rsid w:val="00572891"/>
    <w:rsid w:val="00572963"/>
    <w:rsid w:val="005733B1"/>
    <w:rsid w:val="005735B7"/>
    <w:rsid w:val="00573806"/>
    <w:rsid w:val="0057383C"/>
    <w:rsid w:val="005740AC"/>
    <w:rsid w:val="00574539"/>
    <w:rsid w:val="0057487B"/>
    <w:rsid w:val="00575AB6"/>
    <w:rsid w:val="00575DA2"/>
    <w:rsid w:val="005769CF"/>
    <w:rsid w:val="00576BF1"/>
    <w:rsid w:val="005774F5"/>
    <w:rsid w:val="00577726"/>
    <w:rsid w:val="005778E3"/>
    <w:rsid w:val="00577992"/>
    <w:rsid w:val="005779D7"/>
    <w:rsid w:val="00577D13"/>
    <w:rsid w:val="00580046"/>
    <w:rsid w:val="005801DA"/>
    <w:rsid w:val="00580236"/>
    <w:rsid w:val="00580413"/>
    <w:rsid w:val="00580BDA"/>
    <w:rsid w:val="00580C28"/>
    <w:rsid w:val="005812D1"/>
    <w:rsid w:val="00581F11"/>
    <w:rsid w:val="00582092"/>
    <w:rsid w:val="005824CC"/>
    <w:rsid w:val="00582F65"/>
    <w:rsid w:val="00582FC3"/>
    <w:rsid w:val="0058439E"/>
    <w:rsid w:val="005844A1"/>
    <w:rsid w:val="0058478B"/>
    <w:rsid w:val="0058544E"/>
    <w:rsid w:val="005855C9"/>
    <w:rsid w:val="00585CC2"/>
    <w:rsid w:val="00585D21"/>
    <w:rsid w:val="005860AE"/>
    <w:rsid w:val="005860C2"/>
    <w:rsid w:val="0058625B"/>
    <w:rsid w:val="005862B4"/>
    <w:rsid w:val="00586504"/>
    <w:rsid w:val="005867F2"/>
    <w:rsid w:val="00586DA1"/>
    <w:rsid w:val="00586DC9"/>
    <w:rsid w:val="0058717D"/>
    <w:rsid w:val="0058720E"/>
    <w:rsid w:val="00587705"/>
    <w:rsid w:val="00587ED0"/>
    <w:rsid w:val="00590549"/>
    <w:rsid w:val="0059073B"/>
    <w:rsid w:val="005908F2"/>
    <w:rsid w:val="00590FC8"/>
    <w:rsid w:val="00591231"/>
    <w:rsid w:val="00591324"/>
    <w:rsid w:val="00591550"/>
    <w:rsid w:val="005916EE"/>
    <w:rsid w:val="00591B23"/>
    <w:rsid w:val="00592150"/>
    <w:rsid w:val="00592387"/>
    <w:rsid w:val="005924B4"/>
    <w:rsid w:val="0059340D"/>
    <w:rsid w:val="00593632"/>
    <w:rsid w:val="00593780"/>
    <w:rsid w:val="00594B1B"/>
    <w:rsid w:val="00594E9B"/>
    <w:rsid w:val="00595146"/>
    <w:rsid w:val="00595554"/>
    <w:rsid w:val="00595BC3"/>
    <w:rsid w:val="00597210"/>
    <w:rsid w:val="005973F4"/>
    <w:rsid w:val="005976D7"/>
    <w:rsid w:val="00597A69"/>
    <w:rsid w:val="00597E88"/>
    <w:rsid w:val="005A0089"/>
    <w:rsid w:val="005A02D1"/>
    <w:rsid w:val="005A088B"/>
    <w:rsid w:val="005A0B0A"/>
    <w:rsid w:val="005A1102"/>
    <w:rsid w:val="005A129E"/>
    <w:rsid w:val="005A20B4"/>
    <w:rsid w:val="005A20E6"/>
    <w:rsid w:val="005A213C"/>
    <w:rsid w:val="005A23AE"/>
    <w:rsid w:val="005A3DCB"/>
    <w:rsid w:val="005A3F40"/>
    <w:rsid w:val="005A3F4E"/>
    <w:rsid w:val="005A3FED"/>
    <w:rsid w:val="005A4595"/>
    <w:rsid w:val="005A47FE"/>
    <w:rsid w:val="005A56F2"/>
    <w:rsid w:val="005A5A7C"/>
    <w:rsid w:val="005A5B88"/>
    <w:rsid w:val="005A5E2E"/>
    <w:rsid w:val="005A5E91"/>
    <w:rsid w:val="005A6010"/>
    <w:rsid w:val="005A6114"/>
    <w:rsid w:val="005A6814"/>
    <w:rsid w:val="005A6A32"/>
    <w:rsid w:val="005A6ECA"/>
    <w:rsid w:val="005A6FF5"/>
    <w:rsid w:val="005A791C"/>
    <w:rsid w:val="005A7A94"/>
    <w:rsid w:val="005B01F5"/>
    <w:rsid w:val="005B0384"/>
    <w:rsid w:val="005B07A5"/>
    <w:rsid w:val="005B0BB6"/>
    <w:rsid w:val="005B11D2"/>
    <w:rsid w:val="005B1248"/>
    <w:rsid w:val="005B12BE"/>
    <w:rsid w:val="005B211D"/>
    <w:rsid w:val="005B22DA"/>
    <w:rsid w:val="005B2DCE"/>
    <w:rsid w:val="005B34CC"/>
    <w:rsid w:val="005B398E"/>
    <w:rsid w:val="005B3AB1"/>
    <w:rsid w:val="005B4B1D"/>
    <w:rsid w:val="005B4BB5"/>
    <w:rsid w:val="005B4DCD"/>
    <w:rsid w:val="005B5865"/>
    <w:rsid w:val="005B5E94"/>
    <w:rsid w:val="005B62F0"/>
    <w:rsid w:val="005B6401"/>
    <w:rsid w:val="005B65ED"/>
    <w:rsid w:val="005B662A"/>
    <w:rsid w:val="005B6FF1"/>
    <w:rsid w:val="005C0A82"/>
    <w:rsid w:val="005C0CFF"/>
    <w:rsid w:val="005C1566"/>
    <w:rsid w:val="005C1C7F"/>
    <w:rsid w:val="005C1E34"/>
    <w:rsid w:val="005C27D4"/>
    <w:rsid w:val="005C2F89"/>
    <w:rsid w:val="005C32C2"/>
    <w:rsid w:val="005C34F0"/>
    <w:rsid w:val="005C42F6"/>
    <w:rsid w:val="005C43D0"/>
    <w:rsid w:val="005C534E"/>
    <w:rsid w:val="005C5C2D"/>
    <w:rsid w:val="005C5F62"/>
    <w:rsid w:val="005C60B0"/>
    <w:rsid w:val="005C6428"/>
    <w:rsid w:val="005C6465"/>
    <w:rsid w:val="005C65F5"/>
    <w:rsid w:val="005C6690"/>
    <w:rsid w:val="005C6720"/>
    <w:rsid w:val="005C687D"/>
    <w:rsid w:val="005C7A90"/>
    <w:rsid w:val="005D00AD"/>
    <w:rsid w:val="005D012E"/>
    <w:rsid w:val="005D071C"/>
    <w:rsid w:val="005D089E"/>
    <w:rsid w:val="005D0B57"/>
    <w:rsid w:val="005D1BF6"/>
    <w:rsid w:val="005D1E47"/>
    <w:rsid w:val="005D1F41"/>
    <w:rsid w:val="005D267A"/>
    <w:rsid w:val="005D2A3C"/>
    <w:rsid w:val="005D2F9C"/>
    <w:rsid w:val="005D303B"/>
    <w:rsid w:val="005D30EE"/>
    <w:rsid w:val="005D31F7"/>
    <w:rsid w:val="005D3681"/>
    <w:rsid w:val="005D4646"/>
    <w:rsid w:val="005D47BA"/>
    <w:rsid w:val="005D4E41"/>
    <w:rsid w:val="005D5047"/>
    <w:rsid w:val="005D5061"/>
    <w:rsid w:val="005D6196"/>
    <w:rsid w:val="005D78EA"/>
    <w:rsid w:val="005D7F6F"/>
    <w:rsid w:val="005E05BA"/>
    <w:rsid w:val="005E05E5"/>
    <w:rsid w:val="005E1A0F"/>
    <w:rsid w:val="005E1E5E"/>
    <w:rsid w:val="005E21B0"/>
    <w:rsid w:val="005E2A6E"/>
    <w:rsid w:val="005E2D3C"/>
    <w:rsid w:val="005E2F93"/>
    <w:rsid w:val="005E337E"/>
    <w:rsid w:val="005E350D"/>
    <w:rsid w:val="005E3E8B"/>
    <w:rsid w:val="005E3F9E"/>
    <w:rsid w:val="005E45E4"/>
    <w:rsid w:val="005E4BF7"/>
    <w:rsid w:val="005E5D0E"/>
    <w:rsid w:val="005E5E46"/>
    <w:rsid w:val="005E5EEC"/>
    <w:rsid w:val="005E62D2"/>
    <w:rsid w:val="005E69AD"/>
    <w:rsid w:val="005E6C35"/>
    <w:rsid w:val="005E6E14"/>
    <w:rsid w:val="005E7A15"/>
    <w:rsid w:val="005F0227"/>
    <w:rsid w:val="005F0756"/>
    <w:rsid w:val="005F0AA4"/>
    <w:rsid w:val="005F158A"/>
    <w:rsid w:val="005F18D4"/>
    <w:rsid w:val="005F1BCB"/>
    <w:rsid w:val="005F1D5D"/>
    <w:rsid w:val="005F280A"/>
    <w:rsid w:val="005F2C56"/>
    <w:rsid w:val="005F2F9D"/>
    <w:rsid w:val="005F34B8"/>
    <w:rsid w:val="005F3D5B"/>
    <w:rsid w:val="005F3F13"/>
    <w:rsid w:val="005F41F2"/>
    <w:rsid w:val="005F44F7"/>
    <w:rsid w:val="005F4514"/>
    <w:rsid w:val="005F554D"/>
    <w:rsid w:val="005F5587"/>
    <w:rsid w:val="005F5682"/>
    <w:rsid w:val="005F5E6A"/>
    <w:rsid w:val="005F5ECA"/>
    <w:rsid w:val="005F6AB1"/>
    <w:rsid w:val="005F73F9"/>
    <w:rsid w:val="005F76C1"/>
    <w:rsid w:val="005F76E4"/>
    <w:rsid w:val="0060070A"/>
    <w:rsid w:val="006007C3"/>
    <w:rsid w:val="00600C65"/>
    <w:rsid w:val="00600F41"/>
    <w:rsid w:val="006010EA"/>
    <w:rsid w:val="00601F9E"/>
    <w:rsid w:val="006023A0"/>
    <w:rsid w:val="00602A00"/>
    <w:rsid w:val="0060337A"/>
    <w:rsid w:val="00603413"/>
    <w:rsid w:val="006037A8"/>
    <w:rsid w:val="00604797"/>
    <w:rsid w:val="006048D8"/>
    <w:rsid w:val="00604923"/>
    <w:rsid w:val="00604A8C"/>
    <w:rsid w:val="00605410"/>
    <w:rsid w:val="006055EA"/>
    <w:rsid w:val="00606442"/>
    <w:rsid w:val="00607443"/>
    <w:rsid w:val="00607564"/>
    <w:rsid w:val="00607947"/>
    <w:rsid w:val="00610184"/>
    <w:rsid w:val="00610BF2"/>
    <w:rsid w:val="006114B0"/>
    <w:rsid w:val="006115D4"/>
    <w:rsid w:val="006115FC"/>
    <w:rsid w:val="006116BF"/>
    <w:rsid w:val="006122FB"/>
    <w:rsid w:val="0061231C"/>
    <w:rsid w:val="00612377"/>
    <w:rsid w:val="006130D8"/>
    <w:rsid w:val="006145D4"/>
    <w:rsid w:val="0061461E"/>
    <w:rsid w:val="00614DC5"/>
    <w:rsid w:val="00614EB0"/>
    <w:rsid w:val="00614F24"/>
    <w:rsid w:val="00615568"/>
    <w:rsid w:val="00616057"/>
    <w:rsid w:val="00616227"/>
    <w:rsid w:val="006163C8"/>
    <w:rsid w:val="0061685C"/>
    <w:rsid w:val="006169B8"/>
    <w:rsid w:val="00616FC0"/>
    <w:rsid w:val="006172AC"/>
    <w:rsid w:val="0062000D"/>
    <w:rsid w:val="00620402"/>
    <w:rsid w:val="00620FC5"/>
    <w:rsid w:val="00621DB7"/>
    <w:rsid w:val="00621F44"/>
    <w:rsid w:val="006223B4"/>
    <w:rsid w:val="006224F3"/>
    <w:rsid w:val="006228BB"/>
    <w:rsid w:val="006229CD"/>
    <w:rsid w:val="00622AA2"/>
    <w:rsid w:val="00622DB4"/>
    <w:rsid w:val="00622E29"/>
    <w:rsid w:val="00623706"/>
    <w:rsid w:val="00623F28"/>
    <w:rsid w:val="0062466C"/>
    <w:rsid w:val="00625ED0"/>
    <w:rsid w:val="00625F28"/>
    <w:rsid w:val="00626F0F"/>
    <w:rsid w:val="006270DC"/>
    <w:rsid w:val="00627389"/>
    <w:rsid w:val="00627BCA"/>
    <w:rsid w:val="00627D45"/>
    <w:rsid w:val="00630167"/>
    <w:rsid w:val="00631236"/>
    <w:rsid w:val="0063123E"/>
    <w:rsid w:val="00631366"/>
    <w:rsid w:val="006314FB"/>
    <w:rsid w:val="00631C9C"/>
    <w:rsid w:val="006320D2"/>
    <w:rsid w:val="0063210E"/>
    <w:rsid w:val="00632291"/>
    <w:rsid w:val="006329DB"/>
    <w:rsid w:val="00632C13"/>
    <w:rsid w:val="00632D64"/>
    <w:rsid w:val="0063399C"/>
    <w:rsid w:val="00633C48"/>
    <w:rsid w:val="0063403D"/>
    <w:rsid w:val="0063437F"/>
    <w:rsid w:val="0063448F"/>
    <w:rsid w:val="00634662"/>
    <w:rsid w:val="006346F5"/>
    <w:rsid w:val="00634708"/>
    <w:rsid w:val="00634947"/>
    <w:rsid w:val="006353DA"/>
    <w:rsid w:val="00635880"/>
    <w:rsid w:val="006358A0"/>
    <w:rsid w:val="00635920"/>
    <w:rsid w:val="00635C5A"/>
    <w:rsid w:val="00635F86"/>
    <w:rsid w:val="00636184"/>
    <w:rsid w:val="006364BA"/>
    <w:rsid w:val="00636819"/>
    <w:rsid w:val="00637231"/>
    <w:rsid w:val="00637548"/>
    <w:rsid w:val="006375C4"/>
    <w:rsid w:val="00637DA9"/>
    <w:rsid w:val="00640931"/>
    <w:rsid w:val="00641E31"/>
    <w:rsid w:val="00641E8A"/>
    <w:rsid w:val="00641EDD"/>
    <w:rsid w:val="00641F70"/>
    <w:rsid w:val="00642452"/>
    <w:rsid w:val="0064248F"/>
    <w:rsid w:val="006428CC"/>
    <w:rsid w:val="00642AF6"/>
    <w:rsid w:val="00642E7D"/>
    <w:rsid w:val="00642FC2"/>
    <w:rsid w:val="00643C05"/>
    <w:rsid w:val="00644017"/>
    <w:rsid w:val="0064492D"/>
    <w:rsid w:val="00644DC5"/>
    <w:rsid w:val="0064542B"/>
    <w:rsid w:val="00645458"/>
    <w:rsid w:val="006458A9"/>
    <w:rsid w:val="00645D9C"/>
    <w:rsid w:val="00646313"/>
    <w:rsid w:val="00646349"/>
    <w:rsid w:val="00646C73"/>
    <w:rsid w:val="00646DFB"/>
    <w:rsid w:val="00647577"/>
    <w:rsid w:val="0064760A"/>
    <w:rsid w:val="0064783C"/>
    <w:rsid w:val="00647BA3"/>
    <w:rsid w:val="00647C15"/>
    <w:rsid w:val="00647C91"/>
    <w:rsid w:val="00650788"/>
    <w:rsid w:val="00650834"/>
    <w:rsid w:val="0065261B"/>
    <w:rsid w:val="006528C7"/>
    <w:rsid w:val="006529B8"/>
    <w:rsid w:val="00653081"/>
    <w:rsid w:val="0065342C"/>
    <w:rsid w:val="00653570"/>
    <w:rsid w:val="006539EC"/>
    <w:rsid w:val="00654243"/>
    <w:rsid w:val="00654C43"/>
    <w:rsid w:val="00654F4F"/>
    <w:rsid w:val="00655561"/>
    <w:rsid w:val="0065558F"/>
    <w:rsid w:val="006555D7"/>
    <w:rsid w:val="0065656A"/>
    <w:rsid w:val="00657ECA"/>
    <w:rsid w:val="00657F2A"/>
    <w:rsid w:val="0066001A"/>
    <w:rsid w:val="00660795"/>
    <w:rsid w:val="00660932"/>
    <w:rsid w:val="00660ACD"/>
    <w:rsid w:val="00660B7F"/>
    <w:rsid w:val="006617F3"/>
    <w:rsid w:val="006618FD"/>
    <w:rsid w:val="00661C16"/>
    <w:rsid w:val="00661FBC"/>
    <w:rsid w:val="00662267"/>
    <w:rsid w:val="00662291"/>
    <w:rsid w:val="00662F99"/>
    <w:rsid w:val="0066395B"/>
    <w:rsid w:val="00663E72"/>
    <w:rsid w:val="00663FFE"/>
    <w:rsid w:val="00664004"/>
    <w:rsid w:val="0066402E"/>
    <w:rsid w:val="00664714"/>
    <w:rsid w:val="00665157"/>
    <w:rsid w:val="006651A7"/>
    <w:rsid w:val="00665322"/>
    <w:rsid w:val="00665382"/>
    <w:rsid w:val="0066549C"/>
    <w:rsid w:val="006654E2"/>
    <w:rsid w:val="00665BAC"/>
    <w:rsid w:val="00666AA1"/>
    <w:rsid w:val="0066795E"/>
    <w:rsid w:val="00667B03"/>
    <w:rsid w:val="00670423"/>
    <w:rsid w:val="006707CB"/>
    <w:rsid w:val="0067167D"/>
    <w:rsid w:val="00671E2B"/>
    <w:rsid w:val="00672223"/>
    <w:rsid w:val="0067267F"/>
    <w:rsid w:val="00672B48"/>
    <w:rsid w:val="00672B55"/>
    <w:rsid w:val="00672BFB"/>
    <w:rsid w:val="00673B64"/>
    <w:rsid w:val="00673C5C"/>
    <w:rsid w:val="00674108"/>
    <w:rsid w:val="00674302"/>
    <w:rsid w:val="0067454E"/>
    <w:rsid w:val="00674951"/>
    <w:rsid w:val="0067505D"/>
    <w:rsid w:val="006756F8"/>
    <w:rsid w:val="0067583F"/>
    <w:rsid w:val="006759B9"/>
    <w:rsid w:val="00676098"/>
    <w:rsid w:val="0067622F"/>
    <w:rsid w:val="00676B8F"/>
    <w:rsid w:val="00676FC8"/>
    <w:rsid w:val="0067737D"/>
    <w:rsid w:val="006777CE"/>
    <w:rsid w:val="0067792C"/>
    <w:rsid w:val="00677A44"/>
    <w:rsid w:val="00677AC5"/>
    <w:rsid w:val="00677C0C"/>
    <w:rsid w:val="0068007D"/>
    <w:rsid w:val="00680684"/>
    <w:rsid w:val="00680A34"/>
    <w:rsid w:val="00680F0F"/>
    <w:rsid w:val="006811AC"/>
    <w:rsid w:val="0068147B"/>
    <w:rsid w:val="00681630"/>
    <w:rsid w:val="0068201D"/>
    <w:rsid w:val="00682DD5"/>
    <w:rsid w:val="00682E4C"/>
    <w:rsid w:val="00683136"/>
    <w:rsid w:val="00683644"/>
    <w:rsid w:val="006836EE"/>
    <w:rsid w:val="006837AC"/>
    <w:rsid w:val="00683957"/>
    <w:rsid w:val="00683B32"/>
    <w:rsid w:val="00684214"/>
    <w:rsid w:val="006845E6"/>
    <w:rsid w:val="00684ABE"/>
    <w:rsid w:val="006853D1"/>
    <w:rsid w:val="00685658"/>
    <w:rsid w:val="0068618A"/>
    <w:rsid w:val="0068662F"/>
    <w:rsid w:val="00687434"/>
    <w:rsid w:val="006877D4"/>
    <w:rsid w:val="006879A8"/>
    <w:rsid w:val="00690225"/>
    <w:rsid w:val="00690FD7"/>
    <w:rsid w:val="0069115D"/>
    <w:rsid w:val="00691478"/>
    <w:rsid w:val="00691A90"/>
    <w:rsid w:val="00691B25"/>
    <w:rsid w:val="00693268"/>
    <w:rsid w:val="006932AD"/>
    <w:rsid w:val="006935F7"/>
    <w:rsid w:val="0069369D"/>
    <w:rsid w:val="00693AB3"/>
    <w:rsid w:val="00693AB4"/>
    <w:rsid w:val="00693B04"/>
    <w:rsid w:val="00693BA0"/>
    <w:rsid w:val="00693CE3"/>
    <w:rsid w:val="00693E8E"/>
    <w:rsid w:val="00694046"/>
    <w:rsid w:val="00694810"/>
    <w:rsid w:val="006953AF"/>
    <w:rsid w:val="00695471"/>
    <w:rsid w:val="00696103"/>
    <w:rsid w:val="00697714"/>
    <w:rsid w:val="00697B80"/>
    <w:rsid w:val="00697EE7"/>
    <w:rsid w:val="00697F49"/>
    <w:rsid w:val="006A001C"/>
    <w:rsid w:val="006A0B45"/>
    <w:rsid w:val="006A0BA0"/>
    <w:rsid w:val="006A1ACC"/>
    <w:rsid w:val="006A1E70"/>
    <w:rsid w:val="006A21E0"/>
    <w:rsid w:val="006A23C8"/>
    <w:rsid w:val="006A24A0"/>
    <w:rsid w:val="006A2F2D"/>
    <w:rsid w:val="006A2F81"/>
    <w:rsid w:val="006A30CD"/>
    <w:rsid w:val="006A325A"/>
    <w:rsid w:val="006A363D"/>
    <w:rsid w:val="006A3804"/>
    <w:rsid w:val="006A387C"/>
    <w:rsid w:val="006A47A2"/>
    <w:rsid w:val="006A4BE9"/>
    <w:rsid w:val="006A4FE2"/>
    <w:rsid w:val="006A506C"/>
    <w:rsid w:val="006A58B9"/>
    <w:rsid w:val="006A5D85"/>
    <w:rsid w:val="006A60E3"/>
    <w:rsid w:val="006A6405"/>
    <w:rsid w:val="006A649C"/>
    <w:rsid w:val="006A68DA"/>
    <w:rsid w:val="006A6CCC"/>
    <w:rsid w:val="006A751D"/>
    <w:rsid w:val="006A75E6"/>
    <w:rsid w:val="006A7A02"/>
    <w:rsid w:val="006B0713"/>
    <w:rsid w:val="006B0E9F"/>
    <w:rsid w:val="006B26F5"/>
    <w:rsid w:val="006B2C49"/>
    <w:rsid w:val="006B2D5E"/>
    <w:rsid w:val="006B30E4"/>
    <w:rsid w:val="006B38FD"/>
    <w:rsid w:val="006B3BAA"/>
    <w:rsid w:val="006B47B7"/>
    <w:rsid w:val="006B47D5"/>
    <w:rsid w:val="006B4E29"/>
    <w:rsid w:val="006B4FE9"/>
    <w:rsid w:val="006B4FEF"/>
    <w:rsid w:val="006B5650"/>
    <w:rsid w:val="006B60EE"/>
    <w:rsid w:val="006B68E1"/>
    <w:rsid w:val="006B6C80"/>
    <w:rsid w:val="006B780D"/>
    <w:rsid w:val="006B7CDE"/>
    <w:rsid w:val="006B7FB4"/>
    <w:rsid w:val="006C041F"/>
    <w:rsid w:val="006C177D"/>
    <w:rsid w:val="006C1AB0"/>
    <w:rsid w:val="006C2CD4"/>
    <w:rsid w:val="006C31C0"/>
    <w:rsid w:val="006C37AA"/>
    <w:rsid w:val="006C4788"/>
    <w:rsid w:val="006C4790"/>
    <w:rsid w:val="006C4CA2"/>
    <w:rsid w:val="006C534F"/>
    <w:rsid w:val="006C6332"/>
    <w:rsid w:val="006D03A7"/>
    <w:rsid w:val="006D052D"/>
    <w:rsid w:val="006D0D43"/>
    <w:rsid w:val="006D0EB9"/>
    <w:rsid w:val="006D152D"/>
    <w:rsid w:val="006D15C1"/>
    <w:rsid w:val="006D15C4"/>
    <w:rsid w:val="006D1838"/>
    <w:rsid w:val="006D197C"/>
    <w:rsid w:val="006D1D9B"/>
    <w:rsid w:val="006D238E"/>
    <w:rsid w:val="006D2496"/>
    <w:rsid w:val="006D2BAF"/>
    <w:rsid w:val="006D3484"/>
    <w:rsid w:val="006D38C7"/>
    <w:rsid w:val="006D3B78"/>
    <w:rsid w:val="006D3CB7"/>
    <w:rsid w:val="006D3E81"/>
    <w:rsid w:val="006D3F44"/>
    <w:rsid w:val="006D4470"/>
    <w:rsid w:val="006D553A"/>
    <w:rsid w:val="006D5DCB"/>
    <w:rsid w:val="006D66AF"/>
    <w:rsid w:val="006D6D43"/>
    <w:rsid w:val="006D6EF2"/>
    <w:rsid w:val="006E0749"/>
    <w:rsid w:val="006E097C"/>
    <w:rsid w:val="006E097D"/>
    <w:rsid w:val="006E113F"/>
    <w:rsid w:val="006E192E"/>
    <w:rsid w:val="006E1FA1"/>
    <w:rsid w:val="006E238C"/>
    <w:rsid w:val="006E2547"/>
    <w:rsid w:val="006E273A"/>
    <w:rsid w:val="006E286B"/>
    <w:rsid w:val="006E2968"/>
    <w:rsid w:val="006E2DBF"/>
    <w:rsid w:val="006E2FB3"/>
    <w:rsid w:val="006E3149"/>
    <w:rsid w:val="006E328C"/>
    <w:rsid w:val="006E32EA"/>
    <w:rsid w:val="006E44F4"/>
    <w:rsid w:val="006E455D"/>
    <w:rsid w:val="006E4854"/>
    <w:rsid w:val="006E5537"/>
    <w:rsid w:val="006E5A1B"/>
    <w:rsid w:val="006E5F24"/>
    <w:rsid w:val="006E653F"/>
    <w:rsid w:val="006E7616"/>
    <w:rsid w:val="006F03F3"/>
    <w:rsid w:val="006F134C"/>
    <w:rsid w:val="006F14DC"/>
    <w:rsid w:val="006F2C1F"/>
    <w:rsid w:val="006F2E1A"/>
    <w:rsid w:val="006F3417"/>
    <w:rsid w:val="006F3733"/>
    <w:rsid w:val="006F37BC"/>
    <w:rsid w:val="006F39F8"/>
    <w:rsid w:val="006F3EAE"/>
    <w:rsid w:val="006F4293"/>
    <w:rsid w:val="006F5718"/>
    <w:rsid w:val="006F5A48"/>
    <w:rsid w:val="006F5BCD"/>
    <w:rsid w:val="006F5C16"/>
    <w:rsid w:val="006F65A4"/>
    <w:rsid w:val="006F65C8"/>
    <w:rsid w:val="006F6624"/>
    <w:rsid w:val="006F68CA"/>
    <w:rsid w:val="006F6A19"/>
    <w:rsid w:val="006F7125"/>
    <w:rsid w:val="006F7250"/>
    <w:rsid w:val="006F7A9B"/>
    <w:rsid w:val="00700241"/>
    <w:rsid w:val="00700901"/>
    <w:rsid w:val="007011BD"/>
    <w:rsid w:val="007014F4"/>
    <w:rsid w:val="00701DE1"/>
    <w:rsid w:val="00702F40"/>
    <w:rsid w:val="00703478"/>
    <w:rsid w:val="00703481"/>
    <w:rsid w:val="00703B0A"/>
    <w:rsid w:val="0070433C"/>
    <w:rsid w:val="0070441C"/>
    <w:rsid w:val="00704F0A"/>
    <w:rsid w:val="0070517B"/>
    <w:rsid w:val="00705DE0"/>
    <w:rsid w:val="00705DF4"/>
    <w:rsid w:val="007062D5"/>
    <w:rsid w:val="00706453"/>
    <w:rsid w:val="00706833"/>
    <w:rsid w:val="00706CDE"/>
    <w:rsid w:val="00707EEF"/>
    <w:rsid w:val="007101E8"/>
    <w:rsid w:val="00710439"/>
    <w:rsid w:val="007108A9"/>
    <w:rsid w:val="0071266A"/>
    <w:rsid w:val="00712E00"/>
    <w:rsid w:val="00713D55"/>
    <w:rsid w:val="00713E74"/>
    <w:rsid w:val="00715164"/>
    <w:rsid w:val="007158C1"/>
    <w:rsid w:val="00716556"/>
    <w:rsid w:val="00716F3C"/>
    <w:rsid w:val="007177D6"/>
    <w:rsid w:val="00717836"/>
    <w:rsid w:val="007179D7"/>
    <w:rsid w:val="00717C29"/>
    <w:rsid w:val="00717E91"/>
    <w:rsid w:val="00717EBD"/>
    <w:rsid w:val="00717F64"/>
    <w:rsid w:val="00717FC9"/>
    <w:rsid w:val="00720800"/>
    <w:rsid w:val="00720B7F"/>
    <w:rsid w:val="00721613"/>
    <w:rsid w:val="0072164D"/>
    <w:rsid w:val="00721DDC"/>
    <w:rsid w:val="00722AD4"/>
    <w:rsid w:val="007237AB"/>
    <w:rsid w:val="00723EDA"/>
    <w:rsid w:val="0072417F"/>
    <w:rsid w:val="007243C9"/>
    <w:rsid w:val="00724A41"/>
    <w:rsid w:val="00724BC5"/>
    <w:rsid w:val="00725079"/>
    <w:rsid w:val="00725DA7"/>
    <w:rsid w:val="007263AE"/>
    <w:rsid w:val="007264EA"/>
    <w:rsid w:val="007265F2"/>
    <w:rsid w:val="00726C81"/>
    <w:rsid w:val="00726EAD"/>
    <w:rsid w:val="007275F4"/>
    <w:rsid w:val="007278A3"/>
    <w:rsid w:val="0072798D"/>
    <w:rsid w:val="00730424"/>
    <w:rsid w:val="00730844"/>
    <w:rsid w:val="00730CAD"/>
    <w:rsid w:val="00730CB6"/>
    <w:rsid w:val="00731539"/>
    <w:rsid w:val="00731765"/>
    <w:rsid w:val="00731774"/>
    <w:rsid w:val="00731BD5"/>
    <w:rsid w:val="00732166"/>
    <w:rsid w:val="00732264"/>
    <w:rsid w:val="00732523"/>
    <w:rsid w:val="00732737"/>
    <w:rsid w:val="007336D0"/>
    <w:rsid w:val="007338B7"/>
    <w:rsid w:val="00733BA1"/>
    <w:rsid w:val="00733CBF"/>
    <w:rsid w:val="00733D86"/>
    <w:rsid w:val="0073414A"/>
    <w:rsid w:val="00734231"/>
    <w:rsid w:val="00734737"/>
    <w:rsid w:val="00734B51"/>
    <w:rsid w:val="00734BA8"/>
    <w:rsid w:val="00734BAD"/>
    <w:rsid w:val="00734D62"/>
    <w:rsid w:val="007356CD"/>
    <w:rsid w:val="00735C30"/>
    <w:rsid w:val="00735D60"/>
    <w:rsid w:val="00735F17"/>
    <w:rsid w:val="007360AB"/>
    <w:rsid w:val="00736CD0"/>
    <w:rsid w:val="00736FE3"/>
    <w:rsid w:val="0073781D"/>
    <w:rsid w:val="00737D6C"/>
    <w:rsid w:val="0074071B"/>
    <w:rsid w:val="00741460"/>
    <w:rsid w:val="007415A2"/>
    <w:rsid w:val="00741C9C"/>
    <w:rsid w:val="00741E89"/>
    <w:rsid w:val="0074300D"/>
    <w:rsid w:val="007430D3"/>
    <w:rsid w:val="0074319F"/>
    <w:rsid w:val="00743C23"/>
    <w:rsid w:val="00743F97"/>
    <w:rsid w:val="00744759"/>
    <w:rsid w:val="00744898"/>
    <w:rsid w:val="00744CA7"/>
    <w:rsid w:val="00745288"/>
    <w:rsid w:val="00745306"/>
    <w:rsid w:val="007453FE"/>
    <w:rsid w:val="00745784"/>
    <w:rsid w:val="00746159"/>
    <w:rsid w:val="007467CE"/>
    <w:rsid w:val="00746D1E"/>
    <w:rsid w:val="00746F0A"/>
    <w:rsid w:val="007479A6"/>
    <w:rsid w:val="00747B09"/>
    <w:rsid w:val="00747B59"/>
    <w:rsid w:val="00750173"/>
    <w:rsid w:val="007502C1"/>
    <w:rsid w:val="00750390"/>
    <w:rsid w:val="007507BD"/>
    <w:rsid w:val="0075098D"/>
    <w:rsid w:val="00750C3C"/>
    <w:rsid w:val="00750EFD"/>
    <w:rsid w:val="00751020"/>
    <w:rsid w:val="007511B6"/>
    <w:rsid w:val="0075172B"/>
    <w:rsid w:val="0075186C"/>
    <w:rsid w:val="00751BAE"/>
    <w:rsid w:val="00751F2C"/>
    <w:rsid w:val="0075275A"/>
    <w:rsid w:val="007527A8"/>
    <w:rsid w:val="00752E2E"/>
    <w:rsid w:val="00752F70"/>
    <w:rsid w:val="00753033"/>
    <w:rsid w:val="007537B9"/>
    <w:rsid w:val="0075471C"/>
    <w:rsid w:val="007549E9"/>
    <w:rsid w:val="00755109"/>
    <w:rsid w:val="007555D1"/>
    <w:rsid w:val="00755870"/>
    <w:rsid w:val="0075620D"/>
    <w:rsid w:val="00756D16"/>
    <w:rsid w:val="00756E55"/>
    <w:rsid w:val="007570DD"/>
    <w:rsid w:val="0075756E"/>
    <w:rsid w:val="00757965"/>
    <w:rsid w:val="00757AC3"/>
    <w:rsid w:val="00757E36"/>
    <w:rsid w:val="007614A1"/>
    <w:rsid w:val="00761E8F"/>
    <w:rsid w:val="00762220"/>
    <w:rsid w:val="007641C9"/>
    <w:rsid w:val="007648BC"/>
    <w:rsid w:val="00764A00"/>
    <w:rsid w:val="00765156"/>
    <w:rsid w:val="00765237"/>
    <w:rsid w:val="007652C8"/>
    <w:rsid w:val="00765B8F"/>
    <w:rsid w:val="00765DA4"/>
    <w:rsid w:val="00765F92"/>
    <w:rsid w:val="007666ED"/>
    <w:rsid w:val="007667A7"/>
    <w:rsid w:val="007669D5"/>
    <w:rsid w:val="00767224"/>
    <w:rsid w:val="00767556"/>
    <w:rsid w:val="00767F69"/>
    <w:rsid w:val="00770636"/>
    <w:rsid w:val="007709E0"/>
    <w:rsid w:val="00770ECB"/>
    <w:rsid w:val="00771061"/>
    <w:rsid w:val="007711D0"/>
    <w:rsid w:val="007713A9"/>
    <w:rsid w:val="0077148C"/>
    <w:rsid w:val="0077163C"/>
    <w:rsid w:val="00771977"/>
    <w:rsid w:val="00771B4E"/>
    <w:rsid w:val="00772C7A"/>
    <w:rsid w:val="00773B1F"/>
    <w:rsid w:val="0077445E"/>
    <w:rsid w:val="00775B1D"/>
    <w:rsid w:val="00775C5E"/>
    <w:rsid w:val="0077646D"/>
    <w:rsid w:val="0077660D"/>
    <w:rsid w:val="00776ACD"/>
    <w:rsid w:val="00777055"/>
    <w:rsid w:val="0077706E"/>
    <w:rsid w:val="007770A2"/>
    <w:rsid w:val="007775FD"/>
    <w:rsid w:val="00777FF6"/>
    <w:rsid w:val="00780D60"/>
    <w:rsid w:val="007810E9"/>
    <w:rsid w:val="007811B1"/>
    <w:rsid w:val="007812A9"/>
    <w:rsid w:val="007817BA"/>
    <w:rsid w:val="007817FB"/>
    <w:rsid w:val="00781961"/>
    <w:rsid w:val="00781973"/>
    <w:rsid w:val="00781A5C"/>
    <w:rsid w:val="00781C9D"/>
    <w:rsid w:val="007823D7"/>
    <w:rsid w:val="00782BB4"/>
    <w:rsid w:val="00782FFC"/>
    <w:rsid w:val="007832FB"/>
    <w:rsid w:val="007832FE"/>
    <w:rsid w:val="00783437"/>
    <w:rsid w:val="007838A9"/>
    <w:rsid w:val="00783E3F"/>
    <w:rsid w:val="007846DC"/>
    <w:rsid w:val="00784B38"/>
    <w:rsid w:val="007852F5"/>
    <w:rsid w:val="00785304"/>
    <w:rsid w:val="007856EA"/>
    <w:rsid w:val="00786BDC"/>
    <w:rsid w:val="00787037"/>
    <w:rsid w:val="00787924"/>
    <w:rsid w:val="00787E60"/>
    <w:rsid w:val="00790265"/>
    <w:rsid w:val="00790C53"/>
    <w:rsid w:val="007917CE"/>
    <w:rsid w:val="00791A3F"/>
    <w:rsid w:val="00791DAD"/>
    <w:rsid w:val="00791E69"/>
    <w:rsid w:val="00792091"/>
    <w:rsid w:val="007921B9"/>
    <w:rsid w:val="00792D64"/>
    <w:rsid w:val="0079329B"/>
    <w:rsid w:val="007934DC"/>
    <w:rsid w:val="00793CCD"/>
    <w:rsid w:val="00794478"/>
    <w:rsid w:val="0079483F"/>
    <w:rsid w:val="00795542"/>
    <w:rsid w:val="007958C1"/>
    <w:rsid w:val="007959B6"/>
    <w:rsid w:val="00795CBB"/>
    <w:rsid w:val="00795D13"/>
    <w:rsid w:val="00796232"/>
    <w:rsid w:val="007967FA"/>
    <w:rsid w:val="00796A90"/>
    <w:rsid w:val="00797651"/>
    <w:rsid w:val="00797730"/>
    <w:rsid w:val="00797F1D"/>
    <w:rsid w:val="007A02A7"/>
    <w:rsid w:val="007A0A8D"/>
    <w:rsid w:val="007A1127"/>
    <w:rsid w:val="007A1694"/>
    <w:rsid w:val="007A26E7"/>
    <w:rsid w:val="007A2820"/>
    <w:rsid w:val="007A2C5E"/>
    <w:rsid w:val="007A2E2C"/>
    <w:rsid w:val="007A2EF3"/>
    <w:rsid w:val="007A320D"/>
    <w:rsid w:val="007A330B"/>
    <w:rsid w:val="007A3635"/>
    <w:rsid w:val="007A3CAB"/>
    <w:rsid w:val="007A3CD4"/>
    <w:rsid w:val="007A3EB5"/>
    <w:rsid w:val="007A44BA"/>
    <w:rsid w:val="007A4724"/>
    <w:rsid w:val="007A4A17"/>
    <w:rsid w:val="007A4A3E"/>
    <w:rsid w:val="007A4CD5"/>
    <w:rsid w:val="007A4E67"/>
    <w:rsid w:val="007A523D"/>
    <w:rsid w:val="007A5E73"/>
    <w:rsid w:val="007A6AAD"/>
    <w:rsid w:val="007A7F34"/>
    <w:rsid w:val="007B0E5F"/>
    <w:rsid w:val="007B13D9"/>
    <w:rsid w:val="007B1D4B"/>
    <w:rsid w:val="007B23C9"/>
    <w:rsid w:val="007B358F"/>
    <w:rsid w:val="007B3E1F"/>
    <w:rsid w:val="007B3FA1"/>
    <w:rsid w:val="007B407B"/>
    <w:rsid w:val="007B5917"/>
    <w:rsid w:val="007B5D5B"/>
    <w:rsid w:val="007B62AE"/>
    <w:rsid w:val="007B6A03"/>
    <w:rsid w:val="007B6DDD"/>
    <w:rsid w:val="007B71BA"/>
    <w:rsid w:val="007B7FBB"/>
    <w:rsid w:val="007C0088"/>
    <w:rsid w:val="007C01B0"/>
    <w:rsid w:val="007C08F6"/>
    <w:rsid w:val="007C0945"/>
    <w:rsid w:val="007C1C06"/>
    <w:rsid w:val="007C1FDF"/>
    <w:rsid w:val="007C2155"/>
    <w:rsid w:val="007C24BF"/>
    <w:rsid w:val="007C2CF0"/>
    <w:rsid w:val="007C2E6B"/>
    <w:rsid w:val="007C35A4"/>
    <w:rsid w:val="007C3902"/>
    <w:rsid w:val="007C39D2"/>
    <w:rsid w:val="007C3A40"/>
    <w:rsid w:val="007C3B03"/>
    <w:rsid w:val="007C3F29"/>
    <w:rsid w:val="007C4256"/>
    <w:rsid w:val="007C45CF"/>
    <w:rsid w:val="007C4710"/>
    <w:rsid w:val="007C4B12"/>
    <w:rsid w:val="007C4D7C"/>
    <w:rsid w:val="007C4DA4"/>
    <w:rsid w:val="007C63CD"/>
    <w:rsid w:val="007C68D2"/>
    <w:rsid w:val="007C7451"/>
    <w:rsid w:val="007C7653"/>
    <w:rsid w:val="007C7AE9"/>
    <w:rsid w:val="007C7C59"/>
    <w:rsid w:val="007C7CC5"/>
    <w:rsid w:val="007D08B5"/>
    <w:rsid w:val="007D0F7D"/>
    <w:rsid w:val="007D100A"/>
    <w:rsid w:val="007D1346"/>
    <w:rsid w:val="007D154D"/>
    <w:rsid w:val="007D19ED"/>
    <w:rsid w:val="007D1C15"/>
    <w:rsid w:val="007D1C31"/>
    <w:rsid w:val="007D1F52"/>
    <w:rsid w:val="007D2055"/>
    <w:rsid w:val="007D41F6"/>
    <w:rsid w:val="007D4927"/>
    <w:rsid w:val="007D5313"/>
    <w:rsid w:val="007D5473"/>
    <w:rsid w:val="007D5526"/>
    <w:rsid w:val="007D55B3"/>
    <w:rsid w:val="007D58BD"/>
    <w:rsid w:val="007D5B26"/>
    <w:rsid w:val="007D5C7E"/>
    <w:rsid w:val="007D5EC1"/>
    <w:rsid w:val="007D5FCD"/>
    <w:rsid w:val="007D6442"/>
    <w:rsid w:val="007D7145"/>
    <w:rsid w:val="007D71C2"/>
    <w:rsid w:val="007D75D3"/>
    <w:rsid w:val="007D7775"/>
    <w:rsid w:val="007D78BF"/>
    <w:rsid w:val="007D7CA0"/>
    <w:rsid w:val="007E132A"/>
    <w:rsid w:val="007E13A9"/>
    <w:rsid w:val="007E2324"/>
    <w:rsid w:val="007E23F4"/>
    <w:rsid w:val="007E278F"/>
    <w:rsid w:val="007E27DA"/>
    <w:rsid w:val="007E2AE4"/>
    <w:rsid w:val="007E3181"/>
    <w:rsid w:val="007E36F9"/>
    <w:rsid w:val="007E386F"/>
    <w:rsid w:val="007E3C8C"/>
    <w:rsid w:val="007E3DC7"/>
    <w:rsid w:val="007E40E5"/>
    <w:rsid w:val="007E457A"/>
    <w:rsid w:val="007E48CE"/>
    <w:rsid w:val="007E4A3E"/>
    <w:rsid w:val="007E4DAF"/>
    <w:rsid w:val="007E60F8"/>
    <w:rsid w:val="007E62F7"/>
    <w:rsid w:val="007E6401"/>
    <w:rsid w:val="007E640E"/>
    <w:rsid w:val="007E6508"/>
    <w:rsid w:val="007E6710"/>
    <w:rsid w:val="007E687F"/>
    <w:rsid w:val="007E6CC9"/>
    <w:rsid w:val="007E70C1"/>
    <w:rsid w:val="007E72F6"/>
    <w:rsid w:val="007E765A"/>
    <w:rsid w:val="007E7728"/>
    <w:rsid w:val="007F026B"/>
    <w:rsid w:val="007F0A0F"/>
    <w:rsid w:val="007F0FBF"/>
    <w:rsid w:val="007F1B9D"/>
    <w:rsid w:val="007F407B"/>
    <w:rsid w:val="007F417E"/>
    <w:rsid w:val="007F4CE5"/>
    <w:rsid w:val="007F4FCB"/>
    <w:rsid w:val="007F5446"/>
    <w:rsid w:val="007F5B62"/>
    <w:rsid w:val="007F610A"/>
    <w:rsid w:val="007F7BBC"/>
    <w:rsid w:val="007F7F93"/>
    <w:rsid w:val="0080022E"/>
    <w:rsid w:val="0080064A"/>
    <w:rsid w:val="00800904"/>
    <w:rsid w:val="00800A22"/>
    <w:rsid w:val="00800B51"/>
    <w:rsid w:val="00800BB9"/>
    <w:rsid w:val="0080281D"/>
    <w:rsid w:val="00804491"/>
    <w:rsid w:val="00804643"/>
    <w:rsid w:val="008046D6"/>
    <w:rsid w:val="00804735"/>
    <w:rsid w:val="008047A7"/>
    <w:rsid w:val="008052A7"/>
    <w:rsid w:val="00805439"/>
    <w:rsid w:val="00805889"/>
    <w:rsid w:val="00805A10"/>
    <w:rsid w:val="00805C69"/>
    <w:rsid w:val="00805CC6"/>
    <w:rsid w:val="00805D1E"/>
    <w:rsid w:val="0080663D"/>
    <w:rsid w:val="0080690F"/>
    <w:rsid w:val="00806A0B"/>
    <w:rsid w:val="00806A39"/>
    <w:rsid w:val="00806B36"/>
    <w:rsid w:val="00806BD5"/>
    <w:rsid w:val="008071C4"/>
    <w:rsid w:val="008078FF"/>
    <w:rsid w:val="00807B1D"/>
    <w:rsid w:val="0081010C"/>
    <w:rsid w:val="00810755"/>
    <w:rsid w:val="008107C4"/>
    <w:rsid w:val="00810A20"/>
    <w:rsid w:val="00810F5D"/>
    <w:rsid w:val="00811026"/>
    <w:rsid w:val="00811A8B"/>
    <w:rsid w:val="008124A8"/>
    <w:rsid w:val="0081252D"/>
    <w:rsid w:val="008130C7"/>
    <w:rsid w:val="0081317F"/>
    <w:rsid w:val="00813DC9"/>
    <w:rsid w:val="00813FD2"/>
    <w:rsid w:val="0081463E"/>
    <w:rsid w:val="0081479A"/>
    <w:rsid w:val="00814803"/>
    <w:rsid w:val="00814E7A"/>
    <w:rsid w:val="00814E8A"/>
    <w:rsid w:val="00815B73"/>
    <w:rsid w:val="008163C0"/>
    <w:rsid w:val="00816F5A"/>
    <w:rsid w:val="00817756"/>
    <w:rsid w:val="00820527"/>
    <w:rsid w:val="00820A4E"/>
    <w:rsid w:val="00820A9E"/>
    <w:rsid w:val="00821596"/>
    <w:rsid w:val="0082163C"/>
    <w:rsid w:val="008222DD"/>
    <w:rsid w:val="00822416"/>
    <w:rsid w:val="008224AD"/>
    <w:rsid w:val="00822805"/>
    <w:rsid w:val="008228EB"/>
    <w:rsid w:val="00822A7E"/>
    <w:rsid w:val="0082306D"/>
    <w:rsid w:val="0082307C"/>
    <w:rsid w:val="00824728"/>
    <w:rsid w:val="00825553"/>
    <w:rsid w:val="00825DBD"/>
    <w:rsid w:val="00825DDD"/>
    <w:rsid w:val="0082600D"/>
    <w:rsid w:val="008269E3"/>
    <w:rsid w:val="00826AA1"/>
    <w:rsid w:val="00826ADE"/>
    <w:rsid w:val="00826BA8"/>
    <w:rsid w:val="00826CF0"/>
    <w:rsid w:val="00826DE1"/>
    <w:rsid w:val="008275C1"/>
    <w:rsid w:val="00827939"/>
    <w:rsid w:val="00827A0A"/>
    <w:rsid w:val="00827B8A"/>
    <w:rsid w:val="0083035F"/>
    <w:rsid w:val="008303D1"/>
    <w:rsid w:val="0083073F"/>
    <w:rsid w:val="00830CCA"/>
    <w:rsid w:val="00831ADD"/>
    <w:rsid w:val="00831BAD"/>
    <w:rsid w:val="00831DF4"/>
    <w:rsid w:val="00832C14"/>
    <w:rsid w:val="00832CE5"/>
    <w:rsid w:val="008349B1"/>
    <w:rsid w:val="00834ADA"/>
    <w:rsid w:val="00834D1D"/>
    <w:rsid w:val="00834EFD"/>
    <w:rsid w:val="00837D24"/>
    <w:rsid w:val="00840A9E"/>
    <w:rsid w:val="00840CB1"/>
    <w:rsid w:val="00840D5B"/>
    <w:rsid w:val="00841149"/>
    <w:rsid w:val="008416AD"/>
    <w:rsid w:val="0084181D"/>
    <w:rsid w:val="00841870"/>
    <w:rsid w:val="00841C81"/>
    <w:rsid w:val="00841F2B"/>
    <w:rsid w:val="00842252"/>
    <w:rsid w:val="008422C5"/>
    <w:rsid w:val="0084276C"/>
    <w:rsid w:val="008427B1"/>
    <w:rsid w:val="008427CE"/>
    <w:rsid w:val="008431E6"/>
    <w:rsid w:val="00843683"/>
    <w:rsid w:val="00843902"/>
    <w:rsid w:val="00844239"/>
    <w:rsid w:val="0084458F"/>
    <w:rsid w:val="0084464C"/>
    <w:rsid w:val="00844A12"/>
    <w:rsid w:val="00844B0E"/>
    <w:rsid w:val="00844F1C"/>
    <w:rsid w:val="00845071"/>
    <w:rsid w:val="00845142"/>
    <w:rsid w:val="00845149"/>
    <w:rsid w:val="008453FD"/>
    <w:rsid w:val="00845504"/>
    <w:rsid w:val="00846335"/>
    <w:rsid w:val="00846466"/>
    <w:rsid w:val="00846764"/>
    <w:rsid w:val="00847383"/>
    <w:rsid w:val="008478CD"/>
    <w:rsid w:val="00847DA3"/>
    <w:rsid w:val="00850763"/>
    <w:rsid w:val="00851371"/>
    <w:rsid w:val="00851569"/>
    <w:rsid w:val="008521CA"/>
    <w:rsid w:val="00852215"/>
    <w:rsid w:val="00852475"/>
    <w:rsid w:val="008530DC"/>
    <w:rsid w:val="008537AC"/>
    <w:rsid w:val="00853F87"/>
    <w:rsid w:val="008540E9"/>
    <w:rsid w:val="00854331"/>
    <w:rsid w:val="00854644"/>
    <w:rsid w:val="00854735"/>
    <w:rsid w:val="00854751"/>
    <w:rsid w:val="008547F5"/>
    <w:rsid w:val="00855157"/>
    <w:rsid w:val="008553A1"/>
    <w:rsid w:val="00856C60"/>
    <w:rsid w:val="00856D79"/>
    <w:rsid w:val="008608D0"/>
    <w:rsid w:val="00860C4F"/>
    <w:rsid w:val="00861432"/>
    <w:rsid w:val="008622B8"/>
    <w:rsid w:val="008624F6"/>
    <w:rsid w:val="0086292D"/>
    <w:rsid w:val="00863057"/>
    <w:rsid w:val="0086356E"/>
    <w:rsid w:val="00863757"/>
    <w:rsid w:val="00863782"/>
    <w:rsid w:val="0086433D"/>
    <w:rsid w:val="0086453E"/>
    <w:rsid w:val="0086462D"/>
    <w:rsid w:val="0086467C"/>
    <w:rsid w:val="00864955"/>
    <w:rsid w:val="00864999"/>
    <w:rsid w:val="00864ABC"/>
    <w:rsid w:val="00864EB8"/>
    <w:rsid w:val="00865225"/>
    <w:rsid w:val="00865D91"/>
    <w:rsid w:val="00866E9B"/>
    <w:rsid w:val="0086791B"/>
    <w:rsid w:val="00870950"/>
    <w:rsid w:val="00870C49"/>
    <w:rsid w:val="00870D6C"/>
    <w:rsid w:val="00871845"/>
    <w:rsid w:val="00871E25"/>
    <w:rsid w:val="00871F03"/>
    <w:rsid w:val="00872674"/>
    <w:rsid w:val="00872E3A"/>
    <w:rsid w:val="008736A8"/>
    <w:rsid w:val="008736EF"/>
    <w:rsid w:val="00873946"/>
    <w:rsid w:val="00873A9A"/>
    <w:rsid w:val="00874AF4"/>
    <w:rsid w:val="00874B36"/>
    <w:rsid w:val="00874D74"/>
    <w:rsid w:val="00874FC2"/>
    <w:rsid w:val="00875399"/>
    <w:rsid w:val="008758AA"/>
    <w:rsid w:val="00875A58"/>
    <w:rsid w:val="00875D47"/>
    <w:rsid w:val="008765D8"/>
    <w:rsid w:val="00876621"/>
    <w:rsid w:val="00876CF3"/>
    <w:rsid w:val="0087769B"/>
    <w:rsid w:val="0087770C"/>
    <w:rsid w:val="00880B70"/>
    <w:rsid w:val="00880F54"/>
    <w:rsid w:val="00880FD3"/>
    <w:rsid w:val="0088167E"/>
    <w:rsid w:val="008817C9"/>
    <w:rsid w:val="00881B3B"/>
    <w:rsid w:val="00881D3B"/>
    <w:rsid w:val="0088275A"/>
    <w:rsid w:val="00882CF8"/>
    <w:rsid w:val="008834A2"/>
    <w:rsid w:val="008836E7"/>
    <w:rsid w:val="008837EA"/>
    <w:rsid w:val="0088416A"/>
    <w:rsid w:val="00884FE0"/>
    <w:rsid w:val="00885522"/>
    <w:rsid w:val="008861BF"/>
    <w:rsid w:val="0088632B"/>
    <w:rsid w:val="008865B8"/>
    <w:rsid w:val="008872C0"/>
    <w:rsid w:val="008878D0"/>
    <w:rsid w:val="008879A2"/>
    <w:rsid w:val="00887CC3"/>
    <w:rsid w:val="008907B8"/>
    <w:rsid w:val="008908A7"/>
    <w:rsid w:val="00890C69"/>
    <w:rsid w:val="0089174F"/>
    <w:rsid w:val="00891BA7"/>
    <w:rsid w:val="00891F94"/>
    <w:rsid w:val="00892092"/>
    <w:rsid w:val="00892A84"/>
    <w:rsid w:val="00893AAF"/>
    <w:rsid w:val="00893DD1"/>
    <w:rsid w:val="0089519F"/>
    <w:rsid w:val="00895828"/>
    <w:rsid w:val="00895833"/>
    <w:rsid w:val="0089588D"/>
    <w:rsid w:val="00895979"/>
    <w:rsid w:val="008967BD"/>
    <w:rsid w:val="00897848"/>
    <w:rsid w:val="00897DA4"/>
    <w:rsid w:val="00897EBA"/>
    <w:rsid w:val="008A0110"/>
    <w:rsid w:val="008A03CB"/>
    <w:rsid w:val="008A08FD"/>
    <w:rsid w:val="008A0BCE"/>
    <w:rsid w:val="008A0C83"/>
    <w:rsid w:val="008A13C3"/>
    <w:rsid w:val="008A13DD"/>
    <w:rsid w:val="008A17CA"/>
    <w:rsid w:val="008A1D1A"/>
    <w:rsid w:val="008A2027"/>
    <w:rsid w:val="008A23E8"/>
    <w:rsid w:val="008A27A9"/>
    <w:rsid w:val="008A2A50"/>
    <w:rsid w:val="008A344B"/>
    <w:rsid w:val="008A367C"/>
    <w:rsid w:val="008A3C33"/>
    <w:rsid w:val="008A4F0C"/>
    <w:rsid w:val="008A5D6E"/>
    <w:rsid w:val="008A626E"/>
    <w:rsid w:val="008A72BF"/>
    <w:rsid w:val="008A7343"/>
    <w:rsid w:val="008A7759"/>
    <w:rsid w:val="008A7DCA"/>
    <w:rsid w:val="008A7E4C"/>
    <w:rsid w:val="008B13E7"/>
    <w:rsid w:val="008B1A55"/>
    <w:rsid w:val="008B2245"/>
    <w:rsid w:val="008B287A"/>
    <w:rsid w:val="008B29F9"/>
    <w:rsid w:val="008B2A1B"/>
    <w:rsid w:val="008B2C2F"/>
    <w:rsid w:val="008B2FDB"/>
    <w:rsid w:val="008B33D5"/>
    <w:rsid w:val="008B37B9"/>
    <w:rsid w:val="008B3911"/>
    <w:rsid w:val="008B4CCD"/>
    <w:rsid w:val="008B52DD"/>
    <w:rsid w:val="008B6318"/>
    <w:rsid w:val="008B6E9E"/>
    <w:rsid w:val="008B781C"/>
    <w:rsid w:val="008C0243"/>
    <w:rsid w:val="008C09DD"/>
    <w:rsid w:val="008C0B80"/>
    <w:rsid w:val="008C0C52"/>
    <w:rsid w:val="008C13F9"/>
    <w:rsid w:val="008C1884"/>
    <w:rsid w:val="008C1F22"/>
    <w:rsid w:val="008C1FAF"/>
    <w:rsid w:val="008C21DA"/>
    <w:rsid w:val="008C3355"/>
    <w:rsid w:val="008C37EC"/>
    <w:rsid w:val="008C3A64"/>
    <w:rsid w:val="008C3C1D"/>
    <w:rsid w:val="008C4716"/>
    <w:rsid w:val="008C4882"/>
    <w:rsid w:val="008C5540"/>
    <w:rsid w:val="008C5915"/>
    <w:rsid w:val="008C5945"/>
    <w:rsid w:val="008C5DB9"/>
    <w:rsid w:val="008C60A9"/>
    <w:rsid w:val="008C62D0"/>
    <w:rsid w:val="008C65AB"/>
    <w:rsid w:val="008C753D"/>
    <w:rsid w:val="008C7572"/>
    <w:rsid w:val="008C78C5"/>
    <w:rsid w:val="008C7A37"/>
    <w:rsid w:val="008C7E73"/>
    <w:rsid w:val="008D015A"/>
    <w:rsid w:val="008D025B"/>
    <w:rsid w:val="008D11E6"/>
    <w:rsid w:val="008D1334"/>
    <w:rsid w:val="008D1BBF"/>
    <w:rsid w:val="008D2532"/>
    <w:rsid w:val="008D3411"/>
    <w:rsid w:val="008D3761"/>
    <w:rsid w:val="008D3CA5"/>
    <w:rsid w:val="008D3D51"/>
    <w:rsid w:val="008D48F7"/>
    <w:rsid w:val="008D4B3F"/>
    <w:rsid w:val="008D4E15"/>
    <w:rsid w:val="008D4E33"/>
    <w:rsid w:val="008D587E"/>
    <w:rsid w:val="008D5998"/>
    <w:rsid w:val="008D5E7D"/>
    <w:rsid w:val="008D6406"/>
    <w:rsid w:val="008D6854"/>
    <w:rsid w:val="008D7F28"/>
    <w:rsid w:val="008E043A"/>
    <w:rsid w:val="008E11C1"/>
    <w:rsid w:val="008E1289"/>
    <w:rsid w:val="008E197F"/>
    <w:rsid w:val="008E1E32"/>
    <w:rsid w:val="008E2077"/>
    <w:rsid w:val="008E21A2"/>
    <w:rsid w:val="008E2297"/>
    <w:rsid w:val="008E2370"/>
    <w:rsid w:val="008E23F3"/>
    <w:rsid w:val="008E2B0C"/>
    <w:rsid w:val="008E462E"/>
    <w:rsid w:val="008E4634"/>
    <w:rsid w:val="008E4A07"/>
    <w:rsid w:val="008E4A62"/>
    <w:rsid w:val="008E4E5E"/>
    <w:rsid w:val="008E5085"/>
    <w:rsid w:val="008E57E5"/>
    <w:rsid w:val="008E57F8"/>
    <w:rsid w:val="008E5BAD"/>
    <w:rsid w:val="008E5C1F"/>
    <w:rsid w:val="008E5D5C"/>
    <w:rsid w:val="008E5DAD"/>
    <w:rsid w:val="008E64B0"/>
    <w:rsid w:val="008E6541"/>
    <w:rsid w:val="008E65C8"/>
    <w:rsid w:val="008E6A36"/>
    <w:rsid w:val="008E6B1A"/>
    <w:rsid w:val="008E7534"/>
    <w:rsid w:val="008F0193"/>
    <w:rsid w:val="008F01F1"/>
    <w:rsid w:val="008F034F"/>
    <w:rsid w:val="008F03D6"/>
    <w:rsid w:val="008F0A45"/>
    <w:rsid w:val="008F0E7E"/>
    <w:rsid w:val="008F12FF"/>
    <w:rsid w:val="008F166F"/>
    <w:rsid w:val="008F196E"/>
    <w:rsid w:val="008F1C33"/>
    <w:rsid w:val="008F1F4D"/>
    <w:rsid w:val="008F21D7"/>
    <w:rsid w:val="008F254D"/>
    <w:rsid w:val="008F2F49"/>
    <w:rsid w:val="008F39B5"/>
    <w:rsid w:val="008F3CD8"/>
    <w:rsid w:val="008F3DC2"/>
    <w:rsid w:val="008F3FCD"/>
    <w:rsid w:val="008F44A5"/>
    <w:rsid w:val="008F4F2D"/>
    <w:rsid w:val="008F59CF"/>
    <w:rsid w:val="008F5EFD"/>
    <w:rsid w:val="008F6022"/>
    <w:rsid w:val="008F7435"/>
    <w:rsid w:val="008F77C8"/>
    <w:rsid w:val="008F7B1B"/>
    <w:rsid w:val="008F7B7F"/>
    <w:rsid w:val="008F7FAE"/>
    <w:rsid w:val="0090060F"/>
    <w:rsid w:val="009007DD"/>
    <w:rsid w:val="00901823"/>
    <w:rsid w:val="00901E87"/>
    <w:rsid w:val="00902351"/>
    <w:rsid w:val="009026CA"/>
    <w:rsid w:val="00902D34"/>
    <w:rsid w:val="0090352C"/>
    <w:rsid w:val="00903C0F"/>
    <w:rsid w:val="009040B3"/>
    <w:rsid w:val="00904346"/>
    <w:rsid w:val="0090499C"/>
    <w:rsid w:val="00905644"/>
    <w:rsid w:val="00905B40"/>
    <w:rsid w:val="00905D3D"/>
    <w:rsid w:val="009062E5"/>
    <w:rsid w:val="00906304"/>
    <w:rsid w:val="009064EB"/>
    <w:rsid w:val="00907049"/>
    <w:rsid w:val="009076A3"/>
    <w:rsid w:val="009076E9"/>
    <w:rsid w:val="00907CCF"/>
    <w:rsid w:val="00910241"/>
    <w:rsid w:val="00910970"/>
    <w:rsid w:val="009109BD"/>
    <w:rsid w:val="00910EFE"/>
    <w:rsid w:val="009110F6"/>
    <w:rsid w:val="0091156D"/>
    <w:rsid w:val="0091238A"/>
    <w:rsid w:val="00913178"/>
    <w:rsid w:val="0091399D"/>
    <w:rsid w:val="00913B64"/>
    <w:rsid w:val="00914454"/>
    <w:rsid w:val="00914A13"/>
    <w:rsid w:val="00915094"/>
    <w:rsid w:val="009152F4"/>
    <w:rsid w:val="00915775"/>
    <w:rsid w:val="00915DB2"/>
    <w:rsid w:val="00915EC2"/>
    <w:rsid w:val="0091683D"/>
    <w:rsid w:val="00916F42"/>
    <w:rsid w:val="00917E66"/>
    <w:rsid w:val="00917F82"/>
    <w:rsid w:val="009204F9"/>
    <w:rsid w:val="00920A9D"/>
    <w:rsid w:val="00920EDC"/>
    <w:rsid w:val="009216FD"/>
    <w:rsid w:val="009217A4"/>
    <w:rsid w:val="00921BB7"/>
    <w:rsid w:val="00921D17"/>
    <w:rsid w:val="00922324"/>
    <w:rsid w:val="00922937"/>
    <w:rsid w:val="00924123"/>
    <w:rsid w:val="0092439B"/>
    <w:rsid w:val="00925261"/>
    <w:rsid w:val="00925761"/>
    <w:rsid w:val="00925F42"/>
    <w:rsid w:val="00925F59"/>
    <w:rsid w:val="00926B71"/>
    <w:rsid w:val="00926FEB"/>
    <w:rsid w:val="009271DC"/>
    <w:rsid w:val="00927666"/>
    <w:rsid w:val="00927D50"/>
    <w:rsid w:val="00930547"/>
    <w:rsid w:val="009306F0"/>
    <w:rsid w:val="0093089C"/>
    <w:rsid w:val="00930BAA"/>
    <w:rsid w:val="00930F14"/>
    <w:rsid w:val="00931078"/>
    <w:rsid w:val="009311B8"/>
    <w:rsid w:val="00931DFA"/>
    <w:rsid w:val="00932682"/>
    <w:rsid w:val="009329C1"/>
    <w:rsid w:val="00933775"/>
    <w:rsid w:val="0093388C"/>
    <w:rsid w:val="00933FCD"/>
    <w:rsid w:val="00934474"/>
    <w:rsid w:val="00934681"/>
    <w:rsid w:val="00934F9A"/>
    <w:rsid w:val="0093524E"/>
    <w:rsid w:val="00935A76"/>
    <w:rsid w:val="00935C16"/>
    <w:rsid w:val="009363FD"/>
    <w:rsid w:val="00936408"/>
    <w:rsid w:val="009364AE"/>
    <w:rsid w:val="0093759B"/>
    <w:rsid w:val="00937859"/>
    <w:rsid w:val="00937AAE"/>
    <w:rsid w:val="00937AF5"/>
    <w:rsid w:val="00937F41"/>
    <w:rsid w:val="00937F76"/>
    <w:rsid w:val="00940962"/>
    <w:rsid w:val="00940A0B"/>
    <w:rsid w:val="00941507"/>
    <w:rsid w:val="009418BD"/>
    <w:rsid w:val="00941B11"/>
    <w:rsid w:val="009426BF"/>
    <w:rsid w:val="009427B6"/>
    <w:rsid w:val="00942A12"/>
    <w:rsid w:val="0094310E"/>
    <w:rsid w:val="00943AA5"/>
    <w:rsid w:val="009443D3"/>
    <w:rsid w:val="0094466C"/>
    <w:rsid w:val="009447AA"/>
    <w:rsid w:val="00944A43"/>
    <w:rsid w:val="00944E0E"/>
    <w:rsid w:val="00944FEC"/>
    <w:rsid w:val="0094538B"/>
    <w:rsid w:val="00945A16"/>
    <w:rsid w:val="00945C3F"/>
    <w:rsid w:val="0094600B"/>
    <w:rsid w:val="00946715"/>
    <w:rsid w:val="00946789"/>
    <w:rsid w:val="00946B89"/>
    <w:rsid w:val="00946F88"/>
    <w:rsid w:val="009476F3"/>
    <w:rsid w:val="009478CA"/>
    <w:rsid w:val="00947910"/>
    <w:rsid w:val="00947CCC"/>
    <w:rsid w:val="00950515"/>
    <w:rsid w:val="0095056C"/>
    <w:rsid w:val="0095127C"/>
    <w:rsid w:val="009520A7"/>
    <w:rsid w:val="00952FAE"/>
    <w:rsid w:val="00953C24"/>
    <w:rsid w:val="00953F0C"/>
    <w:rsid w:val="009547A5"/>
    <w:rsid w:val="009551A6"/>
    <w:rsid w:val="009551E6"/>
    <w:rsid w:val="00955B8F"/>
    <w:rsid w:val="00955C31"/>
    <w:rsid w:val="009568C1"/>
    <w:rsid w:val="00956B83"/>
    <w:rsid w:val="00956D74"/>
    <w:rsid w:val="00956DBE"/>
    <w:rsid w:val="00956ED9"/>
    <w:rsid w:val="0095713C"/>
    <w:rsid w:val="00957168"/>
    <w:rsid w:val="0095733D"/>
    <w:rsid w:val="0096062E"/>
    <w:rsid w:val="009610A4"/>
    <w:rsid w:val="00961215"/>
    <w:rsid w:val="00961666"/>
    <w:rsid w:val="00961953"/>
    <w:rsid w:val="00961BB3"/>
    <w:rsid w:val="00961E36"/>
    <w:rsid w:val="00961EB1"/>
    <w:rsid w:val="009625F7"/>
    <w:rsid w:val="00962D3B"/>
    <w:rsid w:val="00962FDC"/>
    <w:rsid w:val="00963090"/>
    <w:rsid w:val="009630D5"/>
    <w:rsid w:val="00963949"/>
    <w:rsid w:val="009639B8"/>
    <w:rsid w:val="00963B10"/>
    <w:rsid w:val="00963D7C"/>
    <w:rsid w:val="00963E28"/>
    <w:rsid w:val="00964423"/>
    <w:rsid w:val="0096448F"/>
    <w:rsid w:val="00964DED"/>
    <w:rsid w:val="00964EB7"/>
    <w:rsid w:val="00965354"/>
    <w:rsid w:val="00965602"/>
    <w:rsid w:val="00965FA2"/>
    <w:rsid w:val="00966301"/>
    <w:rsid w:val="00966A53"/>
    <w:rsid w:val="0096789F"/>
    <w:rsid w:val="00967D63"/>
    <w:rsid w:val="00967E2F"/>
    <w:rsid w:val="009702EE"/>
    <w:rsid w:val="009702F8"/>
    <w:rsid w:val="00971428"/>
    <w:rsid w:val="00971801"/>
    <w:rsid w:val="00971C9E"/>
    <w:rsid w:val="00972397"/>
    <w:rsid w:val="00972567"/>
    <w:rsid w:val="00972585"/>
    <w:rsid w:val="009726B2"/>
    <w:rsid w:val="00972EAE"/>
    <w:rsid w:val="009732A0"/>
    <w:rsid w:val="009732D3"/>
    <w:rsid w:val="009739A5"/>
    <w:rsid w:val="00973D3F"/>
    <w:rsid w:val="00974130"/>
    <w:rsid w:val="009748B9"/>
    <w:rsid w:val="00974984"/>
    <w:rsid w:val="00974ADF"/>
    <w:rsid w:val="009752F5"/>
    <w:rsid w:val="00975305"/>
    <w:rsid w:val="00975680"/>
    <w:rsid w:val="00975894"/>
    <w:rsid w:val="00975B9D"/>
    <w:rsid w:val="00976114"/>
    <w:rsid w:val="00976545"/>
    <w:rsid w:val="0097682F"/>
    <w:rsid w:val="009808A4"/>
    <w:rsid w:val="0098139A"/>
    <w:rsid w:val="009814F4"/>
    <w:rsid w:val="00981762"/>
    <w:rsid w:val="0098195A"/>
    <w:rsid w:val="009821BF"/>
    <w:rsid w:val="009827AB"/>
    <w:rsid w:val="0098293A"/>
    <w:rsid w:val="0098365C"/>
    <w:rsid w:val="009839E2"/>
    <w:rsid w:val="009839E4"/>
    <w:rsid w:val="00984DC5"/>
    <w:rsid w:val="00985022"/>
    <w:rsid w:val="00985253"/>
    <w:rsid w:val="0098567C"/>
    <w:rsid w:val="00985E0F"/>
    <w:rsid w:val="00986A6D"/>
    <w:rsid w:val="00987193"/>
    <w:rsid w:val="00987FB7"/>
    <w:rsid w:val="0099089B"/>
    <w:rsid w:val="0099111E"/>
    <w:rsid w:val="00992998"/>
    <w:rsid w:val="009936FD"/>
    <w:rsid w:val="00993DE9"/>
    <w:rsid w:val="00994E1C"/>
    <w:rsid w:val="00994ECF"/>
    <w:rsid w:val="009950DE"/>
    <w:rsid w:val="00995290"/>
    <w:rsid w:val="00995690"/>
    <w:rsid w:val="009967C3"/>
    <w:rsid w:val="00996997"/>
    <w:rsid w:val="00996A3E"/>
    <w:rsid w:val="00997D6E"/>
    <w:rsid w:val="009A17EE"/>
    <w:rsid w:val="009A2467"/>
    <w:rsid w:val="009A248F"/>
    <w:rsid w:val="009A25E1"/>
    <w:rsid w:val="009A29CA"/>
    <w:rsid w:val="009A2B8A"/>
    <w:rsid w:val="009A2C11"/>
    <w:rsid w:val="009A3928"/>
    <w:rsid w:val="009A3DD7"/>
    <w:rsid w:val="009A3E86"/>
    <w:rsid w:val="009A4546"/>
    <w:rsid w:val="009A48CC"/>
    <w:rsid w:val="009A5210"/>
    <w:rsid w:val="009A5CA0"/>
    <w:rsid w:val="009A6587"/>
    <w:rsid w:val="009A6981"/>
    <w:rsid w:val="009A6CAA"/>
    <w:rsid w:val="009A6D0D"/>
    <w:rsid w:val="009A79CD"/>
    <w:rsid w:val="009B079A"/>
    <w:rsid w:val="009B107A"/>
    <w:rsid w:val="009B1368"/>
    <w:rsid w:val="009B1643"/>
    <w:rsid w:val="009B19B9"/>
    <w:rsid w:val="009B1A41"/>
    <w:rsid w:val="009B1A4C"/>
    <w:rsid w:val="009B1BE6"/>
    <w:rsid w:val="009B1C99"/>
    <w:rsid w:val="009B201D"/>
    <w:rsid w:val="009B233E"/>
    <w:rsid w:val="009B278A"/>
    <w:rsid w:val="009B355E"/>
    <w:rsid w:val="009B3AD5"/>
    <w:rsid w:val="009B3BFC"/>
    <w:rsid w:val="009B4F24"/>
    <w:rsid w:val="009B540E"/>
    <w:rsid w:val="009B572F"/>
    <w:rsid w:val="009B5A1E"/>
    <w:rsid w:val="009B5BFF"/>
    <w:rsid w:val="009B5DD8"/>
    <w:rsid w:val="009B5FC1"/>
    <w:rsid w:val="009B61C8"/>
    <w:rsid w:val="009B6363"/>
    <w:rsid w:val="009B6A4E"/>
    <w:rsid w:val="009B6ECA"/>
    <w:rsid w:val="009B7A98"/>
    <w:rsid w:val="009C06BF"/>
    <w:rsid w:val="009C0715"/>
    <w:rsid w:val="009C0DFB"/>
    <w:rsid w:val="009C156E"/>
    <w:rsid w:val="009C1580"/>
    <w:rsid w:val="009C199D"/>
    <w:rsid w:val="009C199F"/>
    <w:rsid w:val="009C2368"/>
    <w:rsid w:val="009C2687"/>
    <w:rsid w:val="009C2784"/>
    <w:rsid w:val="009C2BF4"/>
    <w:rsid w:val="009C2C4D"/>
    <w:rsid w:val="009C402F"/>
    <w:rsid w:val="009C435F"/>
    <w:rsid w:val="009C4A56"/>
    <w:rsid w:val="009C514B"/>
    <w:rsid w:val="009C523D"/>
    <w:rsid w:val="009C53E3"/>
    <w:rsid w:val="009C5D43"/>
    <w:rsid w:val="009C62AE"/>
    <w:rsid w:val="009C64F2"/>
    <w:rsid w:val="009C6709"/>
    <w:rsid w:val="009C7126"/>
    <w:rsid w:val="009C7268"/>
    <w:rsid w:val="009C7562"/>
    <w:rsid w:val="009C7585"/>
    <w:rsid w:val="009D0AC3"/>
    <w:rsid w:val="009D0B8D"/>
    <w:rsid w:val="009D123A"/>
    <w:rsid w:val="009D13DB"/>
    <w:rsid w:val="009D2950"/>
    <w:rsid w:val="009D2C19"/>
    <w:rsid w:val="009D2CED"/>
    <w:rsid w:val="009D3683"/>
    <w:rsid w:val="009D37DD"/>
    <w:rsid w:val="009D38B3"/>
    <w:rsid w:val="009D4429"/>
    <w:rsid w:val="009D4D66"/>
    <w:rsid w:val="009D4DB3"/>
    <w:rsid w:val="009D52AB"/>
    <w:rsid w:val="009D5A1D"/>
    <w:rsid w:val="009D600A"/>
    <w:rsid w:val="009D6F41"/>
    <w:rsid w:val="009D7534"/>
    <w:rsid w:val="009D7726"/>
    <w:rsid w:val="009E0453"/>
    <w:rsid w:val="009E0A2E"/>
    <w:rsid w:val="009E0B48"/>
    <w:rsid w:val="009E1486"/>
    <w:rsid w:val="009E21F1"/>
    <w:rsid w:val="009E2AC0"/>
    <w:rsid w:val="009E2CF1"/>
    <w:rsid w:val="009E2DFB"/>
    <w:rsid w:val="009E358D"/>
    <w:rsid w:val="009E45CF"/>
    <w:rsid w:val="009E45DB"/>
    <w:rsid w:val="009E4654"/>
    <w:rsid w:val="009E47E3"/>
    <w:rsid w:val="009E508B"/>
    <w:rsid w:val="009E5644"/>
    <w:rsid w:val="009E58D9"/>
    <w:rsid w:val="009E5F1C"/>
    <w:rsid w:val="009E64C1"/>
    <w:rsid w:val="009E65E7"/>
    <w:rsid w:val="009E6FD4"/>
    <w:rsid w:val="009E73F2"/>
    <w:rsid w:val="009E7A27"/>
    <w:rsid w:val="009E7D40"/>
    <w:rsid w:val="009E7EC7"/>
    <w:rsid w:val="009F19BB"/>
    <w:rsid w:val="009F1AA5"/>
    <w:rsid w:val="009F1F1A"/>
    <w:rsid w:val="009F3652"/>
    <w:rsid w:val="009F36D3"/>
    <w:rsid w:val="009F3F75"/>
    <w:rsid w:val="009F41C3"/>
    <w:rsid w:val="009F4488"/>
    <w:rsid w:val="009F49EC"/>
    <w:rsid w:val="009F4FC9"/>
    <w:rsid w:val="009F52B1"/>
    <w:rsid w:val="009F54C1"/>
    <w:rsid w:val="009F5882"/>
    <w:rsid w:val="009F5EB1"/>
    <w:rsid w:val="009F6637"/>
    <w:rsid w:val="009F6835"/>
    <w:rsid w:val="009F725D"/>
    <w:rsid w:val="009F7364"/>
    <w:rsid w:val="009F787F"/>
    <w:rsid w:val="00A00413"/>
    <w:rsid w:val="00A00763"/>
    <w:rsid w:val="00A007A7"/>
    <w:rsid w:val="00A024DC"/>
    <w:rsid w:val="00A0273C"/>
    <w:rsid w:val="00A028E7"/>
    <w:rsid w:val="00A02E64"/>
    <w:rsid w:val="00A02FB7"/>
    <w:rsid w:val="00A03C23"/>
    <w:rsid w:val="00A04BD6"/>
    <w:rsid w:val="00A04F9D"/>
    <w:rsid w:val="00A05721"/>
    <w:rsid w:val="00A05A8C"/>
    <w:rsid w:val="00A05F88"/>
    <w:rsid w:val="00A06387"/>
    <w:rsid w:val="00A06B0A"/>
    <w:rsid w:val="00A06F7E"/>
    <w:rsid w:val="00A07FEA"/>
    <w:rsid w:val="00A10A58"/>
    <w:rsid w:val="00A111AF"/>
    <w:rsid w:val="00A11B62"/>
    <w:rsid w:val="00A11C60"/>
    <w:rsid w:val="00A123A6"/>
    <w:rsid w:val="00A12964"/>
    <w:rsid w:val="00A13C2B"/>
    <w:rsid w:val="00A140FD"/>
    <w:rsid w:val="00A14521"/>
    <w:rsid w:val="00A146F9"/>
    <w:rsid w:val="00A148BB"/>
    <w:rsid w:val="00A14946"/>
    <w:rsid w:val="00A157B8"/>
    <w:rsid w:val="00A15A2A"/>
    <w:rsid w:val="00A15C77"/>
    <w:rsid w:val="00A16968"/>
    <w:rsid w:val="00A17DFC"/>
    <w:rsid w:val="00A202D3"/>
    <w:rsid w:val="00A20BF5"/>
    <w:rsid w:val="00A20E76"/>
    <w:rsid w:val="00A20F08"/>
    <w:rsid w:val="00A2131B"/>
    <w:rsid w:val="00A218D9"/>
    <w:rsid w:val="00A21D61"/>
    <w:rsid w:val="00A21EA6"/>
    <w:rsid w:val="00A221F3"/>
    <w:rsid w:val="00A22C18"/>
    <w:rsid w:val="00A23BFC"/>
    <w:rsid w:val="00A23C45"/>
    <w:rsid w:val="00A24588"/>
    <w:rsid w:val="00A24608"/>
    <w:rsid w:val="00A24B77"/>
    <w:rsid w:val="00A2562D"/>
    <w:rsid w:val="00A2595C"/>
    <w:rsid w:val="00A25CE8"/>
    <w:rsid w:val="00A2632D"/>
    <w:rsid w:val="00A26B6F"/>
    <w:rsid w:val="00A26DA0"/>
    <w:rsid w:val="00A2712E"/>
    <w:rsid w:val="00A27749"/>
    <w:rsid w:val="00A27E97"/>
    <w:rsid w:val="00A3013A"/>
    <w:rsid w:val="00A303E0"/>
    <w:rsid w:val="00A31267"/>
    <w:rsid w:val="00A31990"/>
    <w:rsid w:val="00A324F2"/>
    <w:rsid w:val="00A325AC"/>
    <w:rsid w:val="00A32A02"/>
    <w:rsid w:val="00A32DFF"/>
    <w:rsid w:val="00A33E8F"/>
    <w:rsid w:val="00A346FB"/>
    <w:rsid w:val="00A357C4"/>
    <w:rsid w:val="00A35DBB"/>
    <w:rsid w:val="00A3623B"/>
    <w:rsid w:val="00A36B13"/>
    <w:rsid w:val="00A36F2C"/>
    <w:rsid w:val="00A37005"/>
    <w:rsid w:val="00A37395"/>
    <w:rsid w:val="00A379C7"/>
    <w:rsid w:val="00A37C18"/>
    <w:rsid w:val="00A40AA4"/>
    <w:rsid w:val="00A40C56"/>
    <w:rsid w:val="00A40DC0"/>
    <w:rsid w:val="00A40E96"/>
    <w:rsid w:val="00A41273"/>
    <w:rsid w:val="00A41345"/>
    <w:rsid w:val="00A41B09"/>
    <w:rsid w:val="00A41D47"/>
    <w:rsid w:val="00A422C3"/>
    <w:rsid w:val="00A4404D"/>
    <w:rsid w:val="00A441AD"/>
    <w:rsid w:val="00A4420B"/>
    <w:rsid w:val="00A4454C"/>
    <w:rsid w:val="00A447FE"/>
    <w:rsid w:val="00A4499D"/>
    <w:rsid w:val="00A452D9"/>
    <w:rsid w:val="00A45E29"/>
    <w:rsid w:val="00A46097"/>
    <w:rsid w:val="00A46538"/>
    <w:rsid w:val="00A4680D"/>
    <w:rsid w:val="00A46878"/>
    <w:rsid w:val="00A46C97"/>
    <w:rsid w:val="00A47B11"/>
    <w:rsid w:val="00A5014D"/>
    <w:rsid w:val="00A505D6"/>
    <w:rsid w:val="00A506CB"/>
    <w:rsid w:val="00A50B5C"/>
    <w:rsid w:val="00A51CA7"/>
    <w:rsid w:val="00A530EA"/>
    <w:rsid w:val="00A5385D"/>
    <w:rsid w:val="00A53EB0"/>
    <w:rsid w:val="00A545DA"/>
    <w:rsid w:val="00A54BA1"/>
    <w:rsid w:val="00A54E5C"/>
    <w:rsid w:val="00A550CD"/>
    <w:rsid w:val="00A55347"/>
    <w:rsid w:val="00A55BAD"/>
    <w:rsid w:val="00A562F5"/>
    <w:rsid w:val="00A57558"/>
    <w:rsid w:val="00A57BE4"/>
    <w:rsid w:val="00A57CD5"/>
    <w:rsid w:val="00A57DCF"/>
    <w:rsid w:val="00A600BA"/>
    <w:rsid w:val="00A60884"/>
    <w:rsid w:val="00A61625"/>
    <w:rsid w:val="00A62DE8"/>
    <w:rsid w:val="00A63166"/>
    <w:rsid w:val="00A636DB"/>
    <w:rsid w:val="00A639EE"/>
    <w:rsid w:val="00A641DF"/>
    <w:rsid w:val="00A6424A"/>
    <w:rsid w:val="00A6436B"/>
    <w:rsid w:val="00A647A6"/>
    <w:rsid w:val="00A64DDB"/>
    <w:rsid w:val="00A66164"/>
    <w:rsid w:val="00A66651"/>
    <w:rsid w:val="00A66B5F"/>
    <w:rsid w:val="00A670CB"/>
    <w:rsid w:val="00A6750D"/>
    <w:rsid w:val="00A676EC"/>
    <w:rsid w:val="00A677D4"/>
    <w:rsid w:val="00A67965"/>
    <w:rsid w:val="00A67EEA"/>
    <w:rsid w:val="00A701CD"/>
    <w:rsid w:val="00A707AB"/>
    <w:rsid w:val="00A71645"/>
    <w:rsid w:val="00A71A4C"/>
    <w:rsid w:val="00A7218C"/>
    <w:rsid w:val="00A722CF"/>
    <w:rsid w:val="00A7245F"/>
    <w:rsid w:val="00A72A19"/>
    <w:rsid w:val="00A73AA0"/>
    <w:rsid w:val="00A73D09"/>
    <w:rsid w:val="00A73D42"/>
    <w:rsid w:val="00A74482"/>
    <w:rsid w:val="00A75A92"/>
    <w:rsid w:val="00A766E5"/>
    <w:rsid w:val="00A76B4F"/>
    <w:rsid w:val="00A76D54"/>
    <w:rsid w:val="00A80C05"/>
    <w:rsid w:val="00A80DA3"/>
    <w:rsid w:val="00A820E0"/>
    <w:rsid w:val="00A824E0"/>
    <w:rsid w:val="00A82800"/>
    <w:rsid w:val="00A83A68"/>
    <w:rsid w:val="00A83C86"/>
    <w:rsid w:val="00A83F38"/>
    <w:rsid w:val="00A845F5"/>
    <w:rsid w:val="00A84C71"/>
    <w:rsid w:val="00A84F2D"/>
    <w:rsid w:val="00A85F1C"/>
    <w:rsid w:val="00A86BAD"/>
    <w:rsid w:val="00A903C1"/>
    <w:rsid w:val="00A90FC9"/>
    <w:rsid w:val="00A91405"/>
    <w:rsid w:val="00A91A53"/>
    <w:rsid w:val="00A91DA9"/>
    <w:rsid w:val="00A92224"/>
    <w:rsid w:val="00A924B6"/>
    <w:rsid w:val="00A930A7"/>
    <w:rsid w:val="00A9319F"/>
    <w:rsid w:val="00A93536"/>
    <w:rsid w:val="00A939D9"/>
    <w:rsid w:val="00A94291"/>
    <w:rsid w:val="00A9505E"/>
    <w:rsid w:val="00A95437"/>
    <w:rsid w:val="00A95B8B"/>
    <w:rsid w:val="00A96341"/>
    <w:rsid w:val="00A966C3"/>
    <w:rsid w:val="00A9697B"/>
    <w:rsid w:val="00A96EE3"/>
    <w:rsid w:val="00A97397"/>
    <w:rsid w:val="00A97751"/>
    <w:rsid w:val="00AA0362"/>
    <w:rsid w:val="00AA0377"/>
    <w:rsid w:val="00AA118D"/>
    <w:rsid w:val="00AA26F0"/>
    <w:rsid w:val="00AA2FC1"/>
    <w:rsid w:val="00AA3029"/>
    <w:rsid w:val="00AA3085"/>
    <w:rsid w:val="00AA34C0"/>
    <w:rsid w:val="00AA3B55"/>
    <w:rsid w:val="00AA3B6E"/>
    <w:rsid w:val="00AA42D7"/>
    <w:rsid w:val="00AA43B2"/>
    <w:rsid w:val="00AA46C3"/>
    <w:rsid w:val="00AA4E3D"/>
    <w:rsid w:val="00AA5043"/>
    <w:rsid w:val="00AA5084"/>
    <w:rsid w:val="00AA61A2"/>
    <w:rsid w:val="00AA62B4"/>
    <w:rsid w:val="00AA650C"/>
    <w:rsid w:val="00AA65C3"/>
    <w:rsid w:val="00AA6708"/>
    <w:rsid w:val="00AA6AA5"/>
    <w:rsid w:val="00AA6BBE"/>
    <w:rsid w:val="00AA6C39"/>
    <w:rsid w:val="00AA6E5A"/>
    <w:rsid w:val="00AA7057"/>
    <w:rsid w:val="00AA7C5F"/>
    <w:rsid w:val="00AA7F8A"/>
    <w:rsid w:val="00AB10F4"/>
    <w:rsid w:val="00AB1293"/>
    <w:rsid w:val="00AB1454"/>
    <w:rsid w:val="00AB173C"/>
    <w:rsid w:val="00AB25E5"/>
    <w:rsid w:val="00AB261A"/>
    <w:rsid w:val="00AB289E"/>
    <w:rsid w:val="00AB34CB"/>
    <w:rsid w:val="00AB3A1C"/>
    <w:rsid w:val="00AB3B68"/>
    <w:rsid w:val="00AB42E6"/>
    <w:rsid w:val="00AB4374"/>
    <w:rsid w:val="00AB46C3"/>
    <w:rsid w:val="00AB49E5"/>
    <w:rsid w:val="00AB4C75"/>
    <w:rsid w:val="00AB5518"/>
    <w:rsid w:val="00AB5D65"/>
    <w:rsid w:val="00AB656B"/>
    <w:rsid w:val="00AB6956"/>
    <w:rsid w:val="00AB6C40"/>
    <w:rsid w:val="00AC0120"/>
    <w:rsid w:val="00AC0218"/>
    <w:rsid w:val="00AC102F"/>
    <w:rsid w:val="00AC14E7"/>
    <w:rsid w:val="00AC18FC"/>
    <w:rsid w:val="00AC1C25"/>
    <w:rsid w:val="00AC1C37"/>
    <w:rsid w:val="00AC1DF4"/>
    <w:rsid w:val="00AC1FC3"/>
    <w:rsid w:val="00AC2416"/>
    <w:rsid w:val="00AC266F"/>
    <w:rsid w:val="00AC3017"/>
    <w:rsid w:val="00AC34E4"/>
    <w:rsid w:val="00AC3687"/>
    <w:rsid w:val="00AC3724"/>
    <w:rsid w:val="00AC3900"/>
    <w:rsid w:val="00AC4778"/>
    <w:rsid w:val="00AC491C"/>
    <w:rsid w:val="00AC4D92"/>
    <w:rsid w:val="00AC52D7"/>
    <w:rsid w:val="00AC54CE"/>
    <w:rsid w:val="00AC5C3E"/>
    <w:rsid w:val="00AC5FF4"/>
    <w:rsid w:val="00AC6A4B"/>
    <w:rsid w:val="00AC6DE2"/>
    <w:rsid w:val="00AC75C6"/>
    <w:rsid w:val="00AC7793"/>
    <w:rsid w:val="00AC7AAC"/>
    <w:rsid w:val="00AD083F"/>
    <w:rsid w:val="00AD0B60"/>
    <w:rsid w:val="00AD1019"/>
    <w:rsid w:val="00AD1291"/>
    <w:rsid w:val="00AD14A6"/>
    <w:rsid w:val="00AD2075"/>
    <w:rsid w:val="00AD2267"/>
    <w:rsid w:val="00AD297B"/>
    <w:rsid w:val="00AD3C82"/>
    <w:rsid w:val="00AD60A5"/>
    <w:rsid w:val="00AD60B0"/>
    <w:rsid w:val="00AD61A6"/>
    <w:rsid w:val="00AD62DD"/>
    <w:rsid w:val="00AD6613"/>
    <w:rsid w:val="00AD67EF"/>
    <w:rsid w:val="00AD6C7F"/>
    <w:rsid w:val="00AD7315"/>
    <w:rsid w:val="00AD76FE"/>
    <w:rsid w:val="00AD7D0D"/>
    <w:rsid w:val="00AD7E5D"/>
    <w:rsid w:val="00AD7FEE"/>
    <w:rsid w:val="00AE003D"/>
    <w:rsid w:val="00AE06C4"/>
    <w:rsid w:val="00AE1030"/>
    <w:rsid w:val="00AE1534"/>
    <w:rsid w:val="00AE1F13"/>
    <w:rsid w:val="00AE2092"/>
    <w:rsid w:val="00AE24E9"/>
    <w:rsid w:val="00AE2A03"/>
    <w:rsid w:val="00AE2F86"/>
    <w:rsid w:val="00AE34EA"/>
    <w:rsid w:val="00AE3C1A"/>
    <w:rsid w:val="00AE5CFC"/>
    <w:rsid w:val="00AE5E1A"/>
    <w:rsid w:val="00AE61C6"/>
    <w:rsid w:val="00AE63BB"/>
    <w:rsid w:val="00AE6499"/>
    <w:rsid w:val="00AE728E"/>
    <w:rsid w:val="00AE72AE"/>
    <w:rsid w:val="00AE7C28"/>
    <w:rsid w:val="00AF0475"/>
    <w:rsid w:val="00AF0F02"/>
    <w:rsid w:val="00AF1747"/>
    <w:rsid w:val="00AF28F9"/>
    <w:rsid w:val="00AF2ADB"/>
    <w:rsid w:val="00AF2CA9"/>
    <w:rsid w:val="00AF306F"/>
    <w:rsid w:val="00AF325F"/>
    <w:rsid w:val="00AF3DCC"/>
    <w:rsid w:val="00AF4536"/>
    <w:rsid w:val="00AF4B5A"/>
    <w:rsid w:val="00AF4D1A"/>
    <w:rsid w:val="00AF5658"/>
    <w:rsid w:val="00AF575A"/>
    <w:rsid w:val="00AF658D"/>
    <w:rsid w:val="00AF6BD1"/>
    <w:rsid w:val="00AF7043"/>
    <w:rsid w:val="00AF721D"/>
    <w:rsid w:val="00AF7844"/>
    <w:rsid w:val="00B00430"/>
    <w:rsid w:val="00B00958"/>
    <w:rsid w:val="00B0097D"/>
    <w:rsid w:val="00B00B96"/>
    <w:rsid w:val="00B00E5D"/>
    <w:rsid w:val="00B025BA"/>
    <w:rsid w:val="00B02A51"/>
    <w:rsid w:val="00B02DA2"/>
    <w:rsid w:val="00B02E39"/>
    <w:rsid w:val="00B03252"/>
    <w:rsid w:val="00B0341F"/>
    <w:rsid w:val="00B03592"/>
    <w:rsid w:val="00B0368A"/>
    <w:rsid w:val="00B0383C"/>
    <w:rsid w:val="00B03C96"/>
    <w:rsid w:val="00B03E94"/>
    <w:rsid w:val="00B04428"/>
    <w:rsid w:val="00B04785"/>
    <w:rsid w:val="00B04A70"/>
    <w:rsid w:val="00B04D7F"/>
    <w:rsid w:val="00B0506A"/>
    <w:rsid w:val="00B050CF"/>
    <w:rsid w:val="00B061FD"/>
    <w:rsid w:val="00B066D3"/>
    <w:rsid w:val="00B06D00"/>
    <w:rsid w:val="00B07124"/>
    <w:rsid w:val="00B0770F"/>
    <w:rsid w:val="00B104D5"/>
    <w:rsid w:val="00B108D7"/>
    <w:rsid w:val="00B110DB"/>
    <w:rsid w:val="00B11E16"/>
    <w:rsid w:val="00B11E5D"/>
    <w:rsid w:val="00B12465"/>
    <w:rsid w:val="00B129D8"/>
    <w:rsid w:val="00B12EDE"/>
    <w:rsid w:val="00B13061"/>
    <w:rsid w:val="00B13542"/>
    <w:rsid w:val="00B15BF6"/>
    <w:rsid w:val="00B1766B"/>
    <w:rsid w:val="00B17954"/>
    <w:rsid w:val="00B179F6"/>
    <w:rsid w:val="00B17FB0"/>
    <w:rsid w:val="00B208BE"/>
    <w:rsid w:val="00B20FCE"/>
    <w:rsid w:val="00B21436"/>
    <w:rsid w:val="00B21A13"/>
    <w:rsid w:val="00B22497"/>
    <w:rsid w:val="00B2267E"/>
    <w:rsid w:val="00B23656"/>
    <w:rsid w:val="00B24000"/>
    <w:rsid w:val="00B243BB"/>
    <w:rsid w:val="00B24515"/>
    <w:rsid w:val="00B246D0"/>
    <w:rsid w:val="00B248C2"/>
    <w:rsid w:val="00B2511A"/>
    <w:rsid w:val="00B254E3"/>
    <w:rsid w:val="00B25653"/>
    <w:rsid w:val="00B256CC"/>
    <w:rsid w:val="00B26C85"/>
    <w:rsid w:val="00B26D72"/>
    <w:rsid w:val="00B27283"/>
    <w:rsid w:val="00B27BD3"/>
    <w:rsid w:val="00B300E9"/>
    <w:rsid w:val="00B3050B"/>
    <w:rsid w:val="00B3070B"/>
    <w:rsid w:val="00B309D4"/>
    <w:rsid w:val="00B30A0A"/>
    <w:rsid w:val="00B30CD4"/>
    <w:rsid w:val="00B31E57"/>
    <w:rsid w:val="00B3231E"/>
    <w:rsid w:val="00B33889"/>
    <w:rsid w:val="00B338AA"/>
    <w:rsid w:val="00B339DC"/>
    <w:rsid w:val="00B33B84"/>
    <w:rsid w:val="00B340A3"/>
    <w:rsid w:val="00B348BD"/>
    <w:rsid w:val="00B348EC"/>
    <w:rsid w:val="00B35357"/>
    <w:rsid w:val="00B359C4"/>
    <w:rsid w:val="00B35E0E"/>
    <w:rsid w:val="00B36E26"/>
    <w:rsid w:val="00B36E8E"/>
    <w:rsid w:val="00B36F1A"/>
    <w:rsid w:val="00B375B5"/>
    <w:rsid w:val="00B37A3F"/>
    <w:rsid w:val="00B37CF1"/>
    <w:rsid w:val="00B40139"/>
    <w:rsid w:val="00B40501"/>
    <w:rsid w:val="00B40C10"/>
    <w:rsid w:val="00B40DF3"/>
    <w:rsid w:val="00B41118"/>
    <w:rsid w:val="00B42305"/>
    <w:rsid w:val="00B426C1"/>
    <w:rsid w:val="00B42B13"/>
    <w:rsid w:val="00B42B84"/>
    <w:rsid w:val="00B4393B"/>
    <w:rsid w:val="00B43D31"/>
    <w:rsid w:val="00B43DEF"/>
    <w:rsid w:val="00B43E6A"/>
    <w:rsid w:val="00B44245"/>
    <w:rsid w:val="00B44448"/>
    <w:rsid w:val="00B45030"/>
    <w:rsid w:val="00B454A0"/>
    <w:rsid w:val="00B454B0"/>
    <w:rsid w:val="00B45863"/>
    <w:rsid w:val="00B46A62"/>
    <w:rsid w:val="00B46F80"/>
    <w:rsid w:val="00B46F9D"/>
    <w:rsid w:val="00B4746A"/>
    <w:rsid w:val="00B476E6"/>
    <w:rsid w:val="00B50CF8"/>
    <w:rsid w:val="00B51170"/>
    <w:rsid w:val="00B51467"/>
    <w:rsid w:val="00B51C29"/>
    <w:rsid w:val="00B521CC"/>
    <w:rsid w:val="00B522D0"/>
    <w:rsid w:val="00B5235F"/>
    <w:rsid w:val="00B523FB"/>
    <w:rsid w:val="00B53A1E"/>
    <w:rsid w:val="00B54348"/>
    <w:rsid w:val="00B547D9"/>
    <w:rsid w:val="00B54CB3"/>
    <w:rsid w:val="00B55AB5"/>
    <w:rsid w:val="00B55E4C"/>
    <w:rsid w:val="00B563DC"/>
    <w:rsid w:val="00B56460"/>
    <w:rsid w:val="00B568FC"/>
    <w:rsid w:val="00B56FEE"/>
    <w:rsid w:val="00B57162"/>
    <w:rsid w:val="00B57402"/>
    <w:rsid w:val="00B57FB8"/>
    <w:rsid w:val="00B608F3"/>
    <w:rsid w:val="00B61767"/>
    <w:rsid w:val="00B61A98"/>
    <w:rsid w:val="00B61CA8"/>
    <w:rsid w:val="00B62110"/>
    <w:rsid w:val="00B623DE"/>
    <w:rsid w:val="00B62582"/>
    <w:rsid w:val="00B626BF"/>
    <w:rsid w:val="00B629AC"/>
    <w:rsid w:val="00B62B28"/>
    <w:rsid w:val="00B63369"/>
    <w:rsid w:val="00B6344C"/>
    <w:rsid w:val="00B63841"/>
    <w:rsid w:val="00B63934"/>
    <w:rsid w:val="00B63CD9"/>
    <w:rsid w:val="00B63FDF"/>
    <w:rsid w:val="00B64759"/>
    <w:rsid w:val="00B64BA3"/>
    <w:rsid w:val="00B64DB3"/>
    <w:rsid w:val="00B65004"/>
    <w:rsid w:val="00B6521E"/>
    <w:rsid w:val="00B6565E"/>
    <w:rsid w:val="00B65775"/>
    <w:rsid w:val="00B65959"/>
    <w:rsid w:val="00B65AD1"/>
    <w:rsid w:val="00B660F1"/>
    <w:rsid w:val="00B664DA"/>
    <w:rsid w:val="00B66DF1"/>
    <w:rsid w:val="00B672E7"/>
    <w:rsid w:val="00B674FC"/>
    <w:rsid w:val="00B67610"/>
    <w:rsid w:val="00B706E0"/>
    <w:rsid w:val="00B70F3C"/>
    <w:rsid w:val="00B70FF7"/>
    <w:rsid w:val="00B71168"/>
    <w:rsid w:val="00B711C0"/>
    <w:rsid w:val="00B715A8"/>
    <w:rsid w:val="00B71647"/>
    <w:rsid w:val="00B71F30"/>
    <w:rsid w:val="00B722BE"/>
    <w:rsid w:val="00B72511"/>
    <w:rsid w:val="00B72DC0"/>
    <w:rsid w:val="00B7333E"/>
    <w:rsid w:val="00B73461"/>
    <w:rsid w:val="00B73EC3"/>
    <w:rsid w:val="00B7426C"/>
    <w:rsid w:val="00B74290"/>
    <w:rsid w:val="00B748BC"/>
    <w:rsid w:val="00B749C7"/>
    <w:rsid w:val="00B74E1B"/>
    <w:rsid w:val="00B755A7"/>
    <w:rsid w:val="00B75A80"/>
    <w:rsid w:val="00B75B66"/>
    <w:rsid w:val="00B75CA8"/>
    <w:rsid w:val="00B75D2B"/>
    <w:rsid w:val="00B764C9"/>
    <w:rsid w:val="00B764DF"/>
    <w:rsid w:val="00B76C2F"/>
    <w:rsid w:val="00B76EC9"/>
    <w:rsid w:val="00B77409"/>
    <w:rsid w:val="00B807DB"/>
    <w:rsid w:val="00B80FAD"/>
    <w:rsid w:val="00B80FB3"/>
    <w:rsid w:val="00B81616"/>
    <w:rsid w:val="00B8175D"/>
    <w:rsid w:val="00B81CA4"/>
    <w:rsid w:val="00B8220E"/>
    <w:rsid w:val="00B82295"/>
    <w:rsid w:val="00B82398"/>
    <w:rsid w:val="00B82409"/>
    <w:rsid w:val="00B8254F"/>
    <w:rsid w:val="00B82B5C"/>
    <w:rsid w:val="00B82D04"/>
    <w:rsid w:val="00B83457"/>
    <w:rsid w:val="00B835D4"/>
    <w:rsid w:val="00B83B34"/>
    <w:rsid w:val="00B83E20"/>
    <w:rsid w:val="00B83FF3"/>
    <w:rsid w:val="00B842DC"/>
    <w:rsid w:val="00B842E3"/>
    <w:rsid w:val="00B8570C"/>
    <w:rsid w:val="00B85954"/>
    <w:rsid w:val="00B86228"/>
    <w:rsid w:val="00B8673F"/>
    <w:rsid w:val="00B869D0"/>
    <w:rsid w:val="00B869D9"/>
    <w:rsid w:val="00B86E86"/>
    <w:rsid w:val="00B87169"/>
    <w:rsid w:val="00B87537"/>
    <w:rsid w:val="00B8765E"/>
    <w:rsid w:val="00B87AC2"/>
    <w:rsid w:val="00B90E61"/>
    <w:rsid w:val="00B91494"/>
    <w:rsid w:val="00B91AC0"/>
    <w:rsid w:val="00B91DF0"/>
    <w:rsid w:val="00B92A40"/>
    <w:rsid w:val="00B92CA2"/>
    <w:rsid w:val="00B93418"/>
    <w:rsid w:val="00B93C3A"/>
    <w:rsid w:val="00B94688"/>
    <w:rsid w:val="00B947A2"/>
    <w:rsid w:val="00B94DF8"/>
    <w:rsid w:val="00B957B0"/>
    <w:rsid w:val="00B95B14"/>
    <w:rsid w:val="00B964A3"/>
    <w:rsid w:val="00B968E3"/>
    <w:rsid w:val="00B96A69"/>
    <w:rsid w:val="00B9787F"/>
    <w:rsid w:val="00BA0839"/>
    <w:rsid w:val="00BA0FBD"/>
    <w:rsid w:val="00BA1991"/>
    <w:rsid w:val="00BA1C01"/>
    <w:rsid w:val="00BA32A5"/>
    <w:rsid w:val="00BA3AE5"/>
    <w:rsid w:val="00BA3BC4"/>
    <w:rsid w:val="00BA439F"/>
    <w:rsid w:val="00BA4FB6"/>
    <w:rsid w:val="00BA5A50"/>
    <w:rsid w:val="00BA5FFD"/>
    <w:rsid w:val="00BA6B6F"/>
    <w:rsid w:val="00BA70DA"/>
    <w:rsid w:val="00BA7A4D"/>
    <w:rsid w:val="00BB0033"/>
    <w:rsid w:val="00BB04A2"/>
    <w:rsid w:val="00BB0A9B"/>
    <w:rsid w:val="00BB0FA7"/>
    <w:rsid w:val="00BB126F"/>
    <w:rsid w:val="00BB13C3"/>
    <w:rsid w:val="00BB1E64"/>
    <w:rsid w:val="00BB273C"/>
    <w:rsid w:val="00BB2755"/>
    <w:rsid w:val="00BB352F"/>
    <w:rsid w:val="00BB3EE0"/>
    <w:rsid w:val="00BB41DA"/>
    <w:rsid w:val="00BB55F8"/>
    <w:rsid w:val="00BB56B1"/>
    <w:rsid w:val="00BB5C39"/>
    <w:rsid w:val="00BB6CF4"/>
    <w:rsid w:val="00BB71BE"/>
    <w:rsid w:val="00BB7349"/>
    <w:rsid w:val="00BB7478"/>
    <w:rsid w:val="00BB771D"/>
    <w:rsid w:val="00BC07D7"/>
    <w:rsid w:val="00BC084B"/>
    <w:rsid w:val="00BC0AF7"/>
    <w:rsid w:val="00BC15FB"/>
    <w:rsid w:val="00BC19FA"/>
    <w:rsid w:val="00BC2995"/>
    <w:rsid w:val="00BC2BF2"/>
    <w:rsid w:val="00BC2DB2"/>
    <w:rsid w:val="00BC3EB6"/>
    <w:rsid w:val="00BC407F"/>
    <w:rsid w:val="00BC4140"/>
    <w:rsid w:val="00BC4300"/>
    <w:rsid w:val="00BC5860"/>
    <w:rsid w:val="00BC61D4"/>
    <w:rsid w:val="00BC635C"/>
    <w:rsid w:val="00BC75B8"/>
    <w:rsid w:val="00BC77AB"/>
    <w:rsid w:val="00BC787D"/>
    <w:rsid w:val="00BC78C2"/>
    <w:rsid w:val="00BC7AB0"/>
    <w:rsid w:val="00BC7E87"/>
    <w:rsid w:val="00BD0007"/>
    <w:rsid w:val="00BD00AF"/>
    <w:rsid w:val="00BD0130"/>
    <w:rsid w:val="00BD02DC"/>
    <w:rsid w:val="00BD0EC6"/>
    <w:rsid w:val="00BD0F33"/>
    <w:rsid w:val="00BD13A4"/>
    <w:rsid w:val="00BD14E1"/>
    <w:rsid w:val="00BD1B6E"/>
    <w:rsid w:val="00BD1CC0"/>
    <w:rsid w:val="00BD261C"/>
    <w:rsid w:val="00BD2F80"/>
    <w:rsid w:val="00BD32C7"/>
    <w:rsid w:val="00BD36D6"/>
    <w:rsid w:val="00BD3A80"/>
    <w:rsid w:val="00BD3C9E"/>
    <w:rsid w:val="00BD438F"/>
    <w:rsid w:val="00BD4811"/>
    <w:rsid w:val="00BD4A03"/>
    <w:rsid w:val="00BD4DC3"/>
    <w:rsid w:val="00BD50A3"/>
    <w:rsid w:val="00BD5167"/>
    <w:rsid w:val="00BD525A"/>
    <w:rsid w:val="00BD582D"/>
    <w:rsid w:val="00BD5895"/>
    <w:rsid w:val="00BD59A0"/>
    <w:rsid w:val="00BD5DCB"/>
    <w:rsid w:val="00BD63AF"/>
    <w:rsid w:val="00BD6436"/>
    <w:rsid w:val="00BD6AE6"/>
    <w:rsid w:val="00BD7A5F"/>
    <w:rsid w:val="00BD7F7D"/>
    <w:rsid w:val="00BE003F"/>
    <w:rsid w:val="00BE0193"/>
    <w:rsid w:val="00BE0276"/>
    <w:rsid w:val="00BE124E"/>
    <w:rsid w:val="00BE1295"/>
    <w:rsid w:val="00BE20C6"/>
    <w:rsid w:val="00BE2528"/>
    <w:rsid w:val="00BE37EE"/>
    <w:rsid w:val="00BE3A9C"/>
    <w:rsid w:val="00BE3D71"/>
    <w:rsid w:val="00BE4164"/>
    <w:rsid w:val="00BE41E5"/>
    <w:rsid w:val="00BE4A4B"/>
    <w:rsid w:val="00BE4BAF"/>
    <w:rsid w:val="00BE50B0"/>
    <w:rsid w:val="00BE5899"/>
    <w:rsid w:val="00BE5D90"/>
    <w:rsid w:val="00BE60DE"/>
    <w:rsid w:val="00BE6251"/>
    <w:rsid w:val="00BE63AC"/>
    <w:rsid w:val="00BE682A"/>
    <w:rsid w:val="00BE6A25"/>
    <w:rsid w:val="00BE6E2C"/>
    <w:rsid w:val="00BE7167"/>
    <w:rsid w:val="00BE73C4"/>
    <w:rsid w:val="00BF0317"/>
    <w:rsid w:val="00BF0356"/>
    <w:rsid w:val="00BF1B56"/>
    <w:rsid w:val="00BF21E7"/>
    <w:rsid w:val="00BF274F"/>
    <w:rsid w:val="00BF2926"/>
    <w:rsid w:val="00BF48EC"/>
    <w:rsid w:val="00BF48F7"/>
    <w:rsid w:val="00BF49E2"/>
    <w:rsid w:val="00BF49E5"/>
    <w:rsid w:val="00BF4BC1"/>
    <w:rsid w:val="00BF50BC"/>
    <w:rsid w:val="00BF51C0"/>
    <w:rsid w:val="00BF55BD"/>
    <w:rsid w:val="00BF59AF"/>
    <w:rsid w:val="00BF5C31"/>
    <w:rsid w:val="00BF5D3B"/>
    <w:rsid w:val="00BF6191"/>
    <w:rsid w:val="00BF6400"/>
    <w:rsid w:val="00BF6590"/>
    <w:rsid w:val="00BF6616"/>
    <w:rsid w:val="00BF6B6F"/>
    <w:rsid w:val="00BF6C19"/>
    <w:rsid w:val="00BF6EDC"/>
    <w:rsid w:val="00BF749E"/>
    <w:rsid w:val="00BF76F5"/>
    <w:rsid w:val="00BF785B"/>
    <w:rsid w:val="00BF78AA"/>
    <w:rsid w:val="00C008CD"/>
    <w:rsid w:val="00C008E2"/>
    <w:rsid w:val="00C00923"/>
    <w:rsid w:val="00C0145A"/>
    <w:rsid w:val="00C02854"/>
    <w:rsid w:val="00C02E3A"/>
    <w:rsid w:val="00C034A9"/>
    <w:rsid w:val="00C037DE"/>
    <w:rsid w:val="00C0383B"/>
    <w:rsid w:val="00C03E0F"/>
    <w:rsid w:val="00C04A68"/>
    <w:rsid w:val="00C04F11"/>
    <w:rsid w:val="00C053E2"/>
    <w:rsid w:val="00C05E16"/>
    <w:rsid w:val="00C062DD"/>
    <w:rsid w:val="00C068FB"/>
    <w:rsid w:val="00C06AAF"/>
    <w:rsid w:val="00C071C4"/>
    <w:rsid w:val="00C0780B"/>
    <w:rsid w:val="00C07E49"/>
    <w:rsid w:val="00C102B5"/>
    <w:rsid w:val="00C10A29"/>
    <w:rsid w:val="00C11424"/>
    <w:rsid w:val="00C1161E"/>
    <w:rsid w:val="00C1170C"/>
    <w:rsid w:val="00C11FFA"/>
    <w:rsid w:val="00C1240B"/>
    <w:rsid w:val="00C12453"/>
    <w:rsid w:val="00C12D96"/>
    <w:rsid w:val="00C12EBB"/>
    <w:rsid w:val="00C12ED4"/>
    <w:rsid w:val="00C1339F"/>
    <w:rsid w:val="00C13579"/>
    <w:rsid w:val="00C13A0D"/>
    <w:rsid w:val="00C148C5"/>
    <w:rsid w:val="00C14AC1"/>
    <w:rsid w:val="00C14BA2"/>
    <w:rsid w:val="00C162ED"/>
    <w:rsid w:val="00C1657E"/>
    <w:rsid w:val="00C16671"/>
    <w:rsid w:val="00C16A70"/>
    <w:rsid w:val="00C17C47"/>
    <w:rsid w:val="00C20295"/>
    <w:rsid w:val="00C20336"/>
    <w:rsid w:val="00C20C68"/>
    <w:rsid w:val="00C21813"/>
    <w:rsid w:val="00C21BB8"/>
    <w:rsid w:val="00C22B61"/>
    <w:rsid w:val="00C22B9B"/>
    <w:rsid w:val="00C23020"/>
    <w:rsid w:val="00C234E1"/>
    <w:rsid w:val="00C2379F"/>
    <w:rsid w:val="00C247A8"/>
    <w:rsid w:val="00C25396"/>
    <w:rsid w:val="00C26174"/>
    <w:rsid w:val="00C26BDB"/>
    <w:rsid w:val="00C26C08"/>
    <w:rsid w:val="00C27111"/>
    <w:rsid w:val="00C2729A"/>
    <w:rsid w:val="00C27935"/>
    <w:rsid w:val="00C27962"/>
    <w:rsid w:val="00C300A8"/>
    <w:rsid w:val="00C307B1"/>
    <w:rsid w:val="00C31B4E"/>
    <w:rsid w:val="00C329EB"/>
    <w:rsid w:val="00C330D5"/>
    <w:rsid w:val="00C34179"/>
    <w:rsid w:val="00C341D8"/>
    <w:rsid w:val="00C3447D"/>
    <w:rsid w:val="00C3466D"/>
    <w:rsid w:val="00C346A7"/>
    <w:rsid w:val="00C34C13"/>
    <w:rsid w:val="00C34F84"/>
    <w:rsid w:val="00C350E6"/>
    <w:rsid w:val="00C3513A"/>
    <w:rsid w:val="00C3533D"/>
    <w:rsid w:val="00C3686E"/>
    <w:rsid w:val="00C36AC4"/>
    <w:rsid w:val="00C37A77"/>
    <w:rsid w:val="00C4031B"/>
    <w:rsid w:val="00C40776"/>
    <w:rsid w:val="00C407DC"/>
    <w:rsid w:val="00C407EC"/>
    <w:rsid w:val="00C4107C"/>
    <w:rsid w:val="00C413B6"/>
    <w:rsid w:val="00C415DF"/>
    <w:rsid w:val="00C4194C"/>
    <w:rsid w:val="00C41F88"/>
    <w:rsid w:val="00C420D0"/>
    <w:rsid w:val="00C428EE"/>
    <w:rsid w:val="00C43BA9"/>
    <w:rsid w:val="00C43C3C"/>
    <w:rsid w:val="00C44613"/>
    <w:rsid w:val="00C44A13"/>
    <w:rsid w:val="00C44ADD"/>
    <w:rsid w:val="00C44C23"/>
    <w:rsid w:val="00C44CD4"/>
    <w:rsid w:val="00C451A2"/>
    <w:rsid w:val="00C459B0"/>
    <w:rsid w:val="00C45B36"/>
    <w:rsid w:val="00C45EDC"/>
    <w:rsid w:val="00C46110"/>
    <w:rsid w:val="00C461ED"/>
    <w:rsid w:val="00C46D21"/>
    <w:rsid w:val="00C46F65"/>
    <w:rsid w:val="00C4701A"/>
    <w:rsid w:val="00C501A1"/>
    <w:rsid w:val="00C503C4"/>
    <w:rsid w:val="00C506C7"/>
    <w:rsid w:val="00C51B2E"/>
    <w:rsid w:val="00C51E24"/>
    <w:rsid w:val="00C52224"/>
    <w:rsid w:val="00C526E3"/>
    <w:rsid w:val="00C527A0"/>
    <w:rsid w:val="00C5284A"/>
    <w:rsid w:val="00C536C8"/>
    <w:rsid w:val="00C54529"/>
    <w:rsid w:val="00C55391"/>
    <w:rsid w:val="00C55588"/>
    <w:rsid w:val="00C56027"/>
    <w:rsid w:val="00C56611"/>
    <w:rsid w:val="00C56919"/>
    <w:rsid w:val="00C56A8B"/>
    <w:rsid w:val="00C56B08"/>
    <w:rsid w:val="00C56ED5"/>
    <w:rsid w:val="00C571D9"/>
    <w:rsid w:val="00C57381"/>
    <w:rsid w:val="00C5759C"/>
    <w:rsid w:val="00C57624"/>
    <w:rsid w:val="00C5792F"/>
    <w:rsid w:val="00C57BD7"/>
    <w:rsid w:val="00C57C99"/>
    <w:rsid w:val="00C57E8A"/>
    <w:rsid w:val="00C609AE"/>
    <w:rsid w:val="00C60D23"/>
    <w:rsid w:val="00C60D67"/>
    <w:rsid w:val="00C61142"/>
    <w:rsid w:val="00C6188C"/>
    <w:rsid w:val="00C61B75"/>
    <w:rsid w:val="00C61D22"/>
    <w:rsid w:val="00C62094"/>
    <w:rsid w:val="00C62767"/>
    <w:rsid w:val="00C632DF"/>
    <w:rsid w:val="00C6358C"/>
    <w:rsid w:val="00C63D56"/>
    <w:rsid w:val="00C647A3"/>
    <w:rsid w:val="00C64911"/>
    <w:rsid w:val="00C64C89"/>
    <w:rsid w:val="00C64D22"/>
    <w:rsid w:val="00C64FD0"/>
    <w:rsid w:val="00C65411"/>
    <w:rsid w:val="00C65559"/>
    <w:rsid w:val="00C659F9"/>
    <w:rsid w:val="00C65C3C"/>
    <w:rsid w:val="00C66345"/>
    <w:rsid w:val="00C6719E"/>
    <w:rsid w:val="00C67508"/>
    <w:rsid w:val="00C70946"/>
    <w:rsid w:val="00C70DB6"/>
    <w:rsid w:val="00C70E00"/>
    <w:rsid w:val="00C7129F"/>
    <w:rsid w:val="00C716D9"/>
    <w:rsid w:val="00C71962"/>
    <w:rsid w:val="00C7201C"/>
    <w:rsid w:val="00C72BC3"/>
    <w:rsid w:val="00C73229"/>
    <w:rsid w:val="00C735F4"/>
    <w:rsid w:val="00C737A7"/>
    <w:rsid w:val="00C73A9B"/>
    <w:rsid w:val="00C741A3"/>
    <w:rsid w:val="00C74451"/>
    <w:rsid w:val="00C74EF5"/>
    <w:rsid w:val="00C751CF"/>
    <w:rsid w:val="00C75425"/>
    <w:rsid w:val="00C75667"/>
    <w:rsid w:val="00C758E7"/>
    <w:rsid w:val="00C75D58"/>
    <w:rsid w:val="00C76278"/>
    <w:rsid w:val="00C763B9"/>
    <w:rsid w:val="00C76481"/>
    <w:rsid w:val="00C76838"/>
    <w:rsid w:val="00C775C8"/>
    <w:rsid w:val="00C802A8"/>
    <w:rsid w:val="00C80842"/>
    <w:rsid w:val="00C8142E"/>
    <w:rsid w:val="00C818D5"/>
    <w:rsid w:val="00C818DD"/>
    <w:rsid w:val="00C81A0C"/>
    <w:rsid w:val="00C81BE8"/>
    <w:rsid w:val="00C81FE3"/>
    <w:rsid w:val="00C825B3"/>
    <w:rsid w:val="00C827BE"/>
    <w:rsid w:val="00C83482"/>
    <w:rsid w:val="00C839E1"/>
    <w:rsid w:val="00C83BE8"/>
    <w:rsid w:val="00C84076"/>
    <w:rsid w:val="00C8438F"/>
    <w:rsid w:val="00C848D6"/>
    <w:rsid w:val="00C84EDC"/>
    <w:rsid w:val="00C8516E"/>
    <w:rsid w:val="00C85984"/>
    <w:rsid w:val="00C85E59"/>
    <w:rsid w:val="00C867D0"/>
    <w:rsid w:val="00C86B1C"/>
    <w:rsid w:val="00C86F4F"/>
    <w:rsid w:val="00C87D40"/>
    <w:rsid w:val="00C91359"/>
    <w:rsid w:val="00C91A4F"/>
    <w:rsid w:val="00C91C65"/>
    <w:rsid w:val="00C92555"/>
    <w:rsid w:val="00C9295C"/>
    <w:rsid w:val="00C92C15"/>
    <w:rsid w:val="00C93FC7"/>
    <w:rsid w:val="00C9453A"/>
    <w:rsid w:val="00C950A1"/>
    <w:rsid w:val="00C952BF"/>
    <w:rsid w:val="00C965FC"/>
    <w:rsid w:val="00C96936"/>
    <w:rsid w:val="00C96AF4"/>
    <w:rsid w:val="00C96D40"/>
    <w:rsid w:val="00C96D96"/>
    <w:rsid w:val="00C96DE6"/>
    <w:rsid w:val="00C97092"/>
    <w:rsid w:val="00CA0297"/>
    <w:rsid w:val="00CA08D0"/>
    <w:rsid w:val="00CA0F84"/>
    <w:rsid w:val="00CA1007"/>
    <w:rsid w:val="00CA108E"/>
    <w:rsid w:val="00CA1A7A"/>
    <w:rsid w:val="00CA25E4"/>
    <w:rsid w:val="00CA2745"/>
    <w:rsid w:val="00CA2762"/>
    <w:rsid w:val="00CA2BA2"/>
    <w:rsid w:val="00CA2F26"/>
    <w:rsid w:val="00CA373D"/>
    <w:rsid w:val="00CA3B89"/>
    <w:rsid w:val="00CA40A3"/>
    <w:rsid w:val="00CA4610"/>
    <w:rsid w:val="00CA4A8D"/>
    <w:rsid w:val="00CA4AC3"/>
    <w:rsid w:val="00CA50E5"/>
    <w:rsid w:val="00CA50EB"/>
    <w:rsid w:val="00CA51F0"/>
    <w:rsid w:val="00CA56C3"/>
    <w:rsid w:val="00CA6029"/>
    <w:rsid w:val="00CA6D9E"/>
    <w:rsid w:val="00CA6EA6"/>
    <w:rsid w:val="00CB0A8C"/>
    <w:rsid w:val="00CB12AC"/>
    <w:rsid w:val="00CB16DC"/>
    <w:rsid w:val="00CB1CC8"/>
    <w:rsid w:val="00CB1E54"/>
    <w:rsid w:val="00CB2584"/>
    <w:rsid w:val="00CB33FC"/>
    <w:rsid w:val="00CB353D"/>
    <w:rsid w:val="00CB3DBF"/>
    <w:rsid w:val="00CB3FB0"/>
    <w:rsid w:val="00CB41A0"/>
    <w:rsid w:val="00CB443F"/>
    <w:rsid w:val="00CB4972"/>
    <w:rsid w:val="00CB5119"/>
    <w:rsid w:val="00CB5496"/>
    <w:rsid w:val="00CB5F26"/>
    <w:rsid w:val="00CB7D09"/>
    <w:rsid w:val="00CC06E1"/>
    <w:rsid w:val="00CC07C6"/>
    <w:rsid w:val="00CC0D14"/>
    <w:rsid w:val="00CC0FC5"/>
    <w:rsid w:val="00CC1A35"/>
    <w:rsid w:val="00CC1BF2"/>
    <w:rsid w:val="00CC242C"/>
    <w:rsid w:val="00CC31EA"/>
    <w:rsid w:val="00CC4280"/>
    <w:rsid w:val="00CC441A"/>
    <w:rsid w:val="00CC455E"/>
    <w:rsid w:val="00CC468B"/>
    <w:rsid w:val="00CC521C"/>
    <w:rsid w:val="00CC5514"/>
    <w:rsid w:val="00CC5AD0"/>
    <w:rsid w:val="00CC5F29"/>
    <w:rsid w:val="00CC60C2"/>
    <w:rsid w:val="00CC6809"/>
    <w:rsid w:val="00CC6A82"/>
    <w:rsid w:val="00CC72DE"/>
    <w:rsid w:val="00CC79D4"/>
    <w:rsid w:val="00CC7B46"/>
    <w:rsid w:val="00CC7CA0"/>
    <w:rsid w:val="00CD073F"/>
    <w:rsid w:val="00CD0CE1"/>
    <w:rsid w:val="00CD12B7"/>
    <w:rsid w:val="00CD184D"/>
    <w:rsid w:val="00CD2F23"/>
    <w:rsid w:val="00CD318B"/>
    <w:rsid w:val="00CD341E"/>
    <w:rsid w:val="00CD374D"/>
    <w:rsid w:val="00CD378F"/>
    <w:rsid w:val="00CD3884"/>
    <w:rsid w:val="00CD424D"/>
    <w:rsid w:val="00CD4655"/>
    <w:rsid w:val="00CD473D"/>
    <w:rsid w:val="00CD5D54"/>
    <w:rsid w:val="00CD5FA0"/>
    <w:rsid w:val="00CD67AE"/>
    <w:rsid w:val="00CD6C0A"/>
    <w:rsid w:val="00CD755D"/>
    <w:rsid w:val="00CD7586"/>
    <w:rsid w:val="00CD7A24"/>
    <w:rsid w:val="00CD7A3A"/>
    <w:rsid w:val="00CE0039"/>
    <w:rsid w:val="00CE1079"/>
    <w:rsid w:val="00CE1F18"/>
    <w:rsid w:val="00CE25B4"/>
    <w:rsid w:val="00CE2851"/>
    <w:rsid w:val="00CE3385"/>
    <w:rsid w:val="00CE3A05"/>
    <w:rsid w:val="00CE3D5E"/>
    <w:rsid w:val="00CE439F"/>
    <w:rsid w:val="00CE442D"/>
    <w:rsid w:val="00CE47CE"/>
    <w:rsid w:val="00CE485A"/>
    <w:rsid w:val="00CE4877"/>
    <w:rsid w:val="00CE520E"/>
    <w:rsid w:val="00CE5312"/>
    <w:rsid w:val="00CE55E5"/>
    <w:rsid w:val="00CE671E"/>
    <w:rsid w:val="00CE73CC"/>
    <w:rsid w:val="00CE76CC"/>
    <w:rsid w:val="00CE7A16"/>
    <w:rsid w:val="00CE7AE4"/>
    <w:rsid w:val="00CE7F3C"/>
    <w:rsid w:val="00CF008C"/>
    <w:rsid w:val="00CF037B"/>
    <w:rsid w:val="00CF037C"/>
    <w:rsid w:val="00CF0F6B"/>
    <w:rsid w:val="00CF1102"/>
    <w:rsid w:val="00CF1DE1"/>
    <w:rsid w:val="00CF23B0"/>
    <w:rsid w:val="00CF248F"/>
    <w:rsid w:val="00CF2AB6"/>
    <w:rsid w:val="00CF324D"/>
    <w:rsid w:val="00CF3868"/>
    <w:rsid w:val="00CF393D"/>
    <w:rsid w:val="00CF39B6"/>
    <w:rsid w:val="00CF3B6E"/>
    <w:rsid w:val="00CF49B1"/>
    <w:rsid w:val="00CF529D"/>
    <w:rsid w:val="00CF5346"/>
    <w:rsid w:val="00CF5350"/>
    <w:rsid w:val="00CF54D0"/>
    <w:rsid w:val="00CF5878"/>
    <w:rsid w:val="00CF5B75"/>
    <w:rsid w:val="00CF5E13"/>
    <w:rsid w:val="00CF5F76"/>
    <w:rsid w:val="00CF65B2"/>
    <w:rsid w:val="00CF65C9"/>
    <w:rsid w:val="00CF6B69"/>
    <w:rsid w:val="00CF6E71"/>
    <w:rsid w:val="00CF74BB"/>
    <w:rsid w:val="00CF7870"/>
    <w:rsid w:val="00CF7DAA"/>
    <w:rsid w:val="00CF7DF1"/>
    <w:rsid w:val="00CF7E01"/>
    <w:rsid w:val="00D00331"/>
    <w:rsid w:val="00D004C9"/>
    <w:rsid w:val="00D00AA4"/>
    <w:rsid w:val="00D01048"/>
    <w:rsid w:val="00D01282"/>
    <w:rsid w:val="00D0147E"/>
    <w:rsid w:val="00D01490"/>
    <w:rsid w:val="00D014F3"/>
    <w:rsid w:val="00D0190A"/>
    <w:rsid w:val="00D02469"/>
    <w:rsid w:val="00D02631"/>
    <w:rsid w:val="00D03277"/>
    <w:rsid w:val="00D034ED"/>
    <w:rsid w:val="00D03764"/>
    <w:rsid w:val="00D03A4E"/>
    <w:rsid w:val="00D04669"/>
    <w:rsid w:val="00D04A78"/>
    <w:rsid w:val="00D04D44"/>
    <w:rsid w:val="00D04DD9"/>
    <w:rsid w:val="00D0515C"/>
    <w:rsid w:val="00D05751"/>
    <w:rsid w:val="00D069D1"/>
    <w:rsid w:val="00D103EB"/>
    <w:rsid w:val="00D1045D"/>
    <w:rsid w:val="00D10830"/>
    <w:rsid w:val="00D1089D"/>
    <w:rsid w:val="00D10B88"/>
    <w:rsid w:val="00D11241"/>
    <w:rsid w:val="00D12592"/>
    <w:rsid w:val="00D127FD"/>
    <w:rsid w:val="00D1294B"/>
    <w:rsid w:val="00D12E0F"/>
    <w:rsid w:val="00D1326E"/>
    <w:rsid w:val="00D13612"/>
    <w:rsid w:val="00D138D5"/>
    <w:rsid w:val="00D1481E"/>
    <w:rsid w:val="00D14CBF"/>
    <w:rsid w:val="00D154E8"/>
    <w:rsid w:val="00D15C2E"/>
    <w:rsid w:val="00D16271"/>
    <w:rsid w:val="00D16D46"/>
    <w:rsid w:val="00D16D7F"/>
    <w:rsid w:val="00D173B9"/>
    <w:rsid w:val="00D17485"/>
    <w:rsid w:val="00D17AA8"/>
    <w:rsid w:val="00D200E4"/>
    <w:rsid w:val="00D20FD9"/>
    <w:rsid w:val="00D21BC9"/>
    <w:rsid w:val="00D22049"/>
    <w:rsid w:val="00D228A0"/>
    <w:rsid w:val="00D22FEA"/>
    <w:rsid w:val="00D23089"/>
    <w:rsid w:val="00D23201"/>
    <w:rsid w:val="00D23E32"/>
    <w:rsid w:val="00D24CDF"/>
    <w:rsid w:val="00D24EF9"/>
    <w:rsid w:val="00D250A0"/>
    <w:rsid w:val="00D25840"/>
    <w:rsid w:val="00D25DDF"/>
    <w:rsid w:val="00D25E92"/>
    <w:rsid w:val="00D268BC"/>
    <w:rsid w:val="00D27A09"/>
    <w:rsid w:val="00D27A85"/>
    <w:rsid w:val="00D3074A"/>
    <w:rsid w:val="00D310B0"/>
    <w:rsid w:val="00D31896"/>
    <w:rsid w:val="00D318AB"/>
    <w:rsid w:val="00D3214F"/>
    <w:rsid w:val="00D32FA9"/>
    <w:rsid w:val="00D3316E"/>
    <w:rsid w:val="00D3337A"/>
    <w:rsid w:val="00D339C7"/>
    <w:rsid w:val="00D33F35"/>
    <w:rsid w:val="00D3484F"/>
    <w:rsid w:val="00D34C4A"/>
    <w:rsid w:val="00D34F7F"/>
    <w:rsid w:val="00D350B9"/>
    <w:rsid w:val="00D361A1"/>
    <w:rsid w:val="00D36B14"/>
    <w:rsid w:val="00D36F97"/>
    <w:rsid w:val="00D36FA5"/>
    <w:rsid w:val="00D3729A"/>
    <w:rsid w:val="00D37F54"/>
    <w:rsid w:val="00D400EA"/>
    <w:rsid w:val="00D40293"/>
    <w:rsid w:val="00D403D7"/>
    <w:rsid w:val="00D404EB"/>
    <w:rsid w:val="00D406D0"/>
    <w:rsid w:val="00D40939"/>
    <w:rsid w:val="00D41267"/>
    <w:rsid w:val="00D41304"/>
    <w:rsid w:val="00D418F0"/>
    <w:rsid w:val="00D41BCE"/>
    <w:rsid w:val="00D41FBE"/>
    <w:rsid w:val="00D41FD9"/>
    <w:rsid w:val="00D42979"/>
    <w:rsid w:val="00D42DC2"/>
    <w:rsid w:val="00D4320C"/>
    <w:rsid w:val="00D439E9"/>
    <w:rsid w:val="00D43CDB"/>
    <w:rsid w:val="00D44545"/>
    <w:rsid w:val="00D45880"/>
    <w:rsid w:val="00D45DE7"/>
    <w:rsid w:val="00D468FF"/>
    <w:rsid w:val="00D47234"/>
    <w:rsid w:val="00D4729A"/>
    <w:rsid w:val="00D477B9"/>
    <w:rsid w:val="00D47A45"/>
    <w:rsid w:val="00D5005F"/>
    <w:rsid w:val="00D5028F"/>
    <w:rsid w:val="00D5073A"/>
    <w:rsid w:val="00D50B82"/>
    <w:rsid w:val="00D50EF3"/>
    <w:rsid w:val="00D5102B"/>
    <w:rsid w:val="00D51160"/>
    <w:rsid w:val="00D51507"/>
    <w:rsid w:val="00D5178C"/>
    <w:rsid w:val="00D51938"/>
    <w:rsid w:val="00D51EE2"/>
    <w:rsid w:val="00D5200F"/>
    <w:rsid w:val="00D521ED"/>
    <w:rsid w:val="00D52EED"/>
    <w:rsid w:val="00D549F9"/>
    <w:rsid w:val="00D55737"/>
    <w:rsid w:val="00D557DC"/>
    <w:rsid w:val="00D56121"/>
    <w:rsid w:val="00D56641"/>
    <w:rsid w:val="00D56DD9"/>
    <w:rsid w:val="00D56F8C"/>
    <w:rsid w:val="00D57027"/>
    <w:rsid w:val="00D5706C"/>
    <w:rsid w:val="00D57AFC"/>
    <w:rsid w:val="00D60341"/>
    <w:rsid w:val="00D6097A"/>
    <w:rsid w:val="00D60B68"/>
    <w:rsid w:val="00D60EE2"/>
    <w:rsid w:val="00D6139A"/>
    <w:rsid w:val="00D614CC"/>
    <w:rsid w:val="00D61B15"/>
    <w:rsid w:val="00D62123"/>
    <w:rsid w:val="00D623B9"/>
    <w:rsid w:val="00D625AC"/>
    <w:rsid w:val="00D625B6"/>
    <w:rsid w:val="00D62621"/>
    <w:rsid w:val="00D6301A"/>
    <w:rsid w:val="00D63193"/>
    <w:rsid w:val="00D63D54"/>
    <w:rsid w:val="00D63E88"/>
    <w:rsid w:val="00D63EBE"/>
    <w:rsid w:val="00D6448A"/>
    <w:rsid w:val="00D64A7E"/>
    <w:rsid w:val="00D65167"/>
    <w:rsid w:val="00D659D7"/>
    <w:rsid w:val="00D65EB1"/>
    <w:rsid w:val="00D6637D"/>
    <w:rsid w:val="00D66A68"/>
    <w:rsid w:val="00D673BF"/>
    <w:rsid w:val="00D6775E"/>
    <w:rsid w:val="00D67A94"/>
    <w:rsid w:val="00D70151"/>
    <w:rsid w:val="00D7018D"/>
    <w:rsid w:val="00D70D59"/>
    <w:rsid w:val="00D713AE"/>
    <w:rsid w:val="00D713CB"/>
    <w:rsid w:val="00D71B14"/>
    <w:rsid w:val="00D7286A"/>
    <w:rsid w:val="00D72AD6"/>
    <w:rsid w:val="00D72BFB"/>
    <w:rsid w:val="00D72E7A"/>
    <w:rsid w:val="00D7348D"/>
    <w:rsid w:val="00D74224"/>
    <w:rsid w:val="00D74D28"/>
    <w:rsid w:val="00D7500B"/>
    <w:rsid w:val="00D751AC"/>
    <w:rsid w:val="00D758A9"/>
    <w:rsid w:val="00D75F53"/>
    <w:rsid w:val="00D762FD"/>
    <w:rsid w:val="00D76557"/>
    <w:rsid w:val="00D7668B"/>
    <w:rsid w:val="00D76E4D"/>
    <w:rsid w:val="00D76F03"/>
    <w:rsid w:val="00D77E8C"/>
    <w:rsid w:val="00D8066F"/>
    <w:rsid w:val="00D80DB2"/>
    <w:rsid w:val="00D80E87"/>
    <w:rsid w:val="00D80FBC"/>
    <w:rsid w:val="00D812B5"/>
    <w:rsid w:val="00D82B7B"/>
    <w:rsid w:val="00D832AD"/>
    <w:rsid w:val="00D832E3"/>
    <w:rsid w:val="00D83535"/>
    <w:rsid w:val="00D83C99"/>
    <w:rsid w:val="00D83DC5"/>
    <w:rsid w:val="00D8420D"/>
    <w:rsid w:val="00D84612"/>
    <w:rsid w:val="00D84A02"/>
    <w:rsid w:val="00D84B0D"/>
    <w:rsid w:val="00D8525A"/>
    <w:rsid w:val="00D86175"/>
    <w:rsid w:val="00D86216"/>
    <w:rsid w:val="00D862F3"/>
    <w:rsid w:val="00D8683B"/>
    <w:rsid w:val="00D86FFC"/>
    <w:rsid w:val="00D871DF"/>
    <w:rsid w:val="00D872B9"/>
    <w:rsid w:val="00D8738A"/>
    <w:rsid w:val="00D874E1"/>
    <w:rsid w:val="00D87824"/>
    <w:rsid w:val="00D87D22"/>
    <w:rsid w:val="00D87DC9"/>
    <w:rsid w:val="00D90135"/>
    <w:rsid w:val="00D901D9"/>
    <w:rsid w:val="00D90413"/>
    <w:rsid w:val="00D91012"/>
    <w:rsid w:val="00D913B8"/>
    <w:rsid w:val="00D91C75"/>
    <w:rsid w:val="00D9463B"/>
    <w:rsid w:val="00D94972"/>
    <w:rsid w:val="00D94A11"/>
    <w:rsid w:val="00D951ED"/>
    <w:rsid w:val="00D9560E"/>
    <w:rsid w:val="00D95ED7"/>
    <w:rsid w:val="00D960ED"/>
    <w:rsid w:val="00D96D68"/>
    <w:rsid w:val="00D96F39"/>
    <w:rsid w:val="00DA0769"/>
    <w:rsid w:val="00DA17B6"/>
    <w:rsid w:val="00DA1878"/>
    <w:rsid w:val="00DA1DE1"/>
    <w:rsid w:val="00DA3273"/>
    <w:rsid w:val="00DA3655"/>
    <w:rsid w:val="00DA3991"/>
    <w:rsid w:val="00DA3C78"/>
    <w:rsid w:val="00DA3DA4"/>
    <w:rsid w:val="00DA3E67"/>
    <w:rsid w:val="00DA3F5B"/>
    <w:rsid w:val="00DA4102"/>
    <w:rsid w:val="00DA4AF4"/>
    <w:rsid w:val="00DA51A3"/>
    <w:rsid w:val="00DA5970"/>
    <w:rsid w:val="00DA675B"/>
    <w:rsid w:val="00DA6DB4"/>
    <w:rsid w:val="00DA6E25"/>
    <w:rsid w:val="00DB026C"/>
    <w:rsid w:val="00DB0791"/>
    <w:rsid w:val="00DB0856"/>
    <w:rsid w:val="00DB08F1"/>
    <w:rsid w:val="00DB0D31"/>
    <w:rsid w:val="00DB12B1"/>
    <w:rsid w:val="00DB1956"/>
    <w:rsid w:val="00DB1B31"/>
    <w:rsid w:val="00DB1C60"/>
    <w:rsid w:val="00DB2128"/>
    <w:rsid w:val="00DB2ED9"/>
    <w:rsid w:val="00DB2EF9"/>
    <w:rsid w:val="00DB3A36"/>
    <w:rsid w:val="00DB442C"/>
    <w:rsid w:val="00DB4439"/>
    <w:rsid w:val="00DB4ED1"/>
    <w:rsid w:val="00DB59D3"/>
    <w:rsid w:val="00DB5A16"/>
    <w:rsid w:val="00DB6C67"/>
    <w:rsid w:val="00DB6D44"/>
    <w:rsid w:val="00DB6DC0"/>
    <w:rsid w:val="00DB71E0"/>
    <w:rsid w:val="00DB727F"/>
    <w:rsid w:val="00DB74BB"/>
    <w:rsid w:val="00DB77E8"/>
    <w:rsid w:val="00DB7B28"/>
    <w:rsid w:val="00DB7EED"/>
    <w:rsid w:val="00DC062C"/>
    <w:rsid w:val="00DC07AC"/>
    <w:rsid w:val="00DC0958"/>
    <w:rsid w:val="00DC0D5F"/>
    <w:rsid w:val="00DC1489"/>
    <w:rsid w:val="00DC1520"/>
    <w:rsid w:val="00DC1561"/>
    <w:rsid w:val="00DC1924"/>
    <w:rsid w:val="00DC1984"/>
    <w:rsid w:val="00DC1C10"/>
    <w:rsid w:val="00DC238F"/>
    <w:rsid w:val="00DC2B54"/>
    <w:rsid w:val="00DC354A"/>
    <w:rsid w:val="00DC365D"/>
    <w:rsid w:val="00DC3761"/>
    <w:rsid w:val="00DC3C1D"/>
    <w:rsid w:val="00DC3D63"/>
    <w:rsid w:val="00DC425C"/>
    <w:rsid w:val="00DC5182"/>
    <w:rsid w:val="00DC57A9"/>
    <w:rsid w:val="00DC58E2"/>
    <w:rsid w:val="00DC5F30"/>
    <w:rsid w:val="00DC5F38"/>
    <w:rsid w:val="00DC6D2E"/>
    <w:rsid w:val="00DC6E0F"/>
    <w:rsid w:val="00DC71D1"/>
    <w:rsid w:val="00DC7D0C"/>
    <w:rsid w:val="00DD03ED"/>
    <w:rsid w:val="00DD0512"/>
    <w:rsid w:val="00DD0BBC"/>
    <w:rsid w:val="00DD2262"/>
    <w:rsid w:val="00DD53D4"/>
    <w:rsid w:val="00DD53F3"/>
    <w:rsid w:val="00DD5CBF"/>
    <w:rsid w:val="00DD6295"/>
    <w:rsid w:val="00DD63D5"/>
    <w:rsid w:val="00DD64F5"/>
    <w:rsid w:val="00DD65EF"/>
    <w:rsid w:val="00DD6C70"/>
    <w:rsid w:val="00DD6F23"/>
    <w:rsid w:val="00DD71F6"/>
    <w:rsid w:val="00DD7B93"/>
    <w:rsid w:val="00DD7EE3"/>
    <w:rsid w:val="00DE05D9"/>
    <w:rsid w:val="00DE1133"/>
    <w:rsid w:val="00DE15FD"/>
    <w:rsid w:val="00DE1838"/>
    <w:rsid w:val="00DE1FB9"/>
    <w:rsid w:val="00DE27BD"/>
    <w:rsid w:val="00DE32E4"/>
    <w:rsid w:val="00DE3B4B"/>
    <w:rsid w:val="00DE3C15"/>
    <w:rsid w:val="00DE3EC2"/>
    <w:rsid w:val="00DE402B"/>
    <w:rsid w:val="00DE4092"/>
    <w:rsid w:val="00DE41F2"/>
    <w:rsid w:val="00DE4C36"/>
    <w:rsid w:val="00DE5D55"/>
    <w:rsid w:val="00DE625B"/>
    <w:rsid w:val="00DE769A"/>
    <w:rsid w:val="00DE7798"/>
    <w:rsid w:val="00DE7D63"/>
    <w:rsid w:val="00DE7FCE"/>
    <w:rsid w:val="00DF0846"/>
    <w:rsid w:val="00DF1485"/>
    <w:rsid w:val="00DF1AAA"/>
    <w:rsid w:val="00DF2684"/>
    <w:rsid w:val="00DF2A21"/>
    <w:rsid w:val="00DF2A91"/>
    <w:rsid w:val="00DF2D81"/>
    <w:rsid w:val="00DF31F2"/>
    <w:rsid w:val="00DF365E"/>
    <w:rsid w:val="00DF37F0"/>
    <w:rsid w:val="00DF3B65"/>
    <w:rsid w:val="00DF3DA5"/>
    <w:rsid w:val="00DF3DAF"/>
    <w:rsid w:val="00DF4202"/>
    <w:rsid w:val="00DF4392"/>
    <w:rsid w:val="00DF4601"/>
    <w:rsid w:val="00DF4AE8"/>
    <w:rsid w:val="00DF50A6"/>
    <w:rsid w:val="00DF557F"/>
    <w:rsid w:val="00DF55F5"/>
    <w:rsid w:val="00DF58C6"/>
    <w:rsid w:val="00DF60E6"/>
    <w:rsid w:val="00DF73F5"/>
    <w:rsid w:val="00DF75EB"/>
    <w:rsid w:val="00DF7731"/>
    <w:rsid w:val="00DF7C52"/>
    <w:rsid w:val="00DF7CD7"/>
    <w:rsid w:val="00E005FA"/>
    <w:rsid w:val="00E00945"/>
    <w:rsid w:val="00E00DDD"/>
    <w:rsid w:val="00E0111D"/>
    <w:rsid w:val="00E01232"/>
    <w:rsid w:val="00E01522"/>
    <w:rsid w:val="00E01A28"/>
    <w:rsid w:val="00E023C3"/>
    <w:rsid w:val="00E02CC8"/>
    <w:rsid w:val="00E037C6"/>
    <w:rsid w:val="00E03854"/>
    <w:rsid w:val="00E03C8F"/>
    <w:rsid w:val="00E03CE5"/>
    <w:rsid w:val="00E03FE2"/>
    <w:rsid w:val="00E04052"/>
    <w:rsid w:val="00E040D8"/>
    <w:rsid w:val="00E0470C"/>
    <w:rsid w:val="00E04AFD"/>
    <w:rsid w:val="00E04FE4"/>
    <w:rsid w:val="00E0581F"/>
    <w:rsid w:val="00E05AAB"/>
    <w:rsid w:val="00E05BA6"/>
    <w:rsid w:val="00E0681F"/>
    <w:rsid w:val="00E07039"/>
    <w:rsid w:val="00E07289"/>
    <w:rsid w:val="00E077AD"/>
    <w:rsid w:val="00E0781F"/>
    <w:rsid w:val="00E07BA4"/>
    <w:rsid w:val="00E10090"/>
    <w:rsid w:val="00E10091"/>
    <w:rsid w:val="00E10D1D"/>
    <w:rsid w:val="00E110BD"/>
    <w:rsid w:val="00E1128A"/>
    <w:rsid w:val="00E1130A"/>
    <w:rsid w:val="00E11F2A"/>
    <w:rsid w:val="00E128EB"/>
    <w:rsid w:val="00E13754"/>
    <w:rsid w:val="00E139C0"/>
    <w:rsid w:val="00E13C64"/>
    <w:rsid w:val="00E14309"/>
    <w:rsid w:val="00E148EF"/>
    <w:rsid w:val="00E149A1"/>
    <w:rsid w:val="00E14E31"/>
    <w:rsid w:val="00E15454"/>
    <w:rsid w:val="00E15B11"/>
    <w:rsid w:val="00E16DCF"/>
    <w:rsid w:val="00E17751"/>
    <w:rsid w:val="00E17B0A"/>
    <w:rsid w:val="00E20268"/>
    <w:rsid w:val="00E207F5"/>
    <w:rsid w:val="00E20C0A"/>
    <w:rsid w:val="00E21235"/>
    <w:rsid w:val="00E21281"/>
    <w:rsid w:val="00E21373"/>
    <w:rsid w:val="00E213BB"/>
    <w:rsid w:val="00E218B2"/>
    <w:rsid w:val="00E21901"/>
    <w:rsid w:val="00E22A98"/>
    <w:rsid w:val="00E22FA8"/>
    <w:rsid w:val="00E230F9"/>
    <w:rsid w:val="00E241BE"/>
    <w:rsid w:val="00E24839"/>
    <w:rsid w:val="00E254B8"/>
    <w:rsid w:val="00E25533"/>
    <w:rsid w:val="00E258E1"/>
    <w:rsid w:val="00E26487"/>
    <w:rsid w:val="00E26630"/>
    <w:rsid w:val="00E26E6C"/>
    <w:rsid w:val="00E30FB5"/>
    <w:rsid w:val="00E3139E"/>
    <w:rsid w:val="00E31476"/>
    <w:rsid w:val="00E31702"/>
    <w:rsid w:val="00E31D19"/>
    <w:rsid w:val="00E31D47"/>
    <w:rsid w:val="00E32036"/>
    <w:rsid w:val="00E3227E"/>
    <w:rsid w:val="00E322D4"/>
    <w:rsid w:val="00E32733"/>
    <w:rsid w:val="00E33146"/>
    <w:rsid w:val="00E3382D"/>
    <w:rsid w:val="00E338AB"/>
    <w:rsid w:val="00E34181"/>
    <w:rsid w:val="00E3418C"/>
    <w:rsid w:val="00E341DD"/>
    <w:rsid w:val="00E3481A"/>
    <w:rsid w:val="00E35B5B"/>
    <w:rsid w:val="00E35CC9"/>
    <w:rsid w:val="00E35E51"/>
    <w:rsid w:val="00E36784"/>
    <w:rsid w:val="00E36793"/>
    <w:rsid w:val="00E36C43"/>
    <w:rsid w:val="00E36D82"/>
    <w:rsid w:val="00E416FC"/>
    <w:rsid w:val="00E425C0"/>
    <w:rsid w:val="00E4339E"/>
    <w:rsid w:val="00E433BB"/>
    <w:rsid w:val="00E4363D"/>
    <w:rsid w:val="00E441C5"/>
    <w:rsid w:val="00E4422E"/>
    <w:rsid w:val="00E4443D"/>
    <w:rsid w:val="00E4458A"/>
    <w:rsid w:val="00E4556E"/>
    <w:rsid w:val="00E45C75"/>
    <w:rsid w:val="00E465EA"/>
    <w:rsid w:val="00E46ED6"/>
    <w:rsid w:val="00E476B7"/>
    <w:rsid w:val="00E47E9F"/>
    <w:rsid w:val="00E507AF"/>
    <w:rsid w:val="00E509CA"/>
    <w:rsid w:val="00E50A9C"/>
    <w:rsid w:val="00E5170D"/>
    <w:rsid w:val="00E52425"/>
    <w:rsid w:val="00E52605"/>
    <w:rsid w:val="00E531E5"/>
    <w:rsid w:val="00E53835"/>
    <w:rsid w:val="00E539A7"/>
    <w:rsid w:val="00E539D9"/>
    <w:rsid w:val="00E54063"/>
    <w:rsid w:val="00E55420"/>
    <w:rsid w:val="00E55882"/>
    <w:rsid w:val="00E55943"/>
    <w:rsid w:val="00E562CB"/>
    <w:rsid w:val="00E564D3"/>
    <w:rsid w:val="00E566B6"/>
    <w:rsid w:val="00E56CBA"/>
    <w:rsid w:val="00E56F14"/>
    <w:rsid w:val="00E56FDE"/>
    <w:rsid w:val="00E571A5"/>
    <w:rsid w:val="00E57750"/>
    <w:rsid w:val="00E578A0"/>
    <w:rsid w:val="00E57BD6"/>
    <w:rsid w:val="00E57EB7"/>
    <w:rsid w:val="00E60554"/>
    <w:rsid w:val="00E6059C"/>
    <w:rsid w:val="00E606B5"/>
    <w:rsid w:val="00E61260"/>
    <w:rsid w:val="00E615F4"/>
    <w:rsid w:val="00E6164C"/>
    <w:rsid w:val="00E6165B"/>
    <w:rsid w:val="00E616B4"/>
    <w:rsid w:val="00E62261"/>
    <w:rsid w:val="00E6295F"/>
    <w:rsid w:val="00E6297A"/>
    <w:rsid w:val="00E62AA4"/>
    <w:rsid w:val="00E62F53"/>
    <w:rsid w:val="00E63051"/>
    <w:rsid w:val="00E63A88"/>
    <w:rsid w:val="00E63F8F"/>
    <w:rsid w:val="00E641E7"/>
    <w:rsid w:val="00E6432A"/>
    <w:rsid w:val="00E645C2"/>
    <w:rsid w:val="00E6477B"/>
    <w:rsid w:val="00E649D0"/>
    <w:rsid w:val="00E64DC8"/>
    <w:rsid w:val="00E65E2B"/>
    <w:rsid w:val="00E65E83"/>
    <w:rsid w:val="00E6642E"/>
    <w:rsid w:val="00E66BC9"/>
    <w:rsid w:val="00E6763F"/>
    <w:rsid w:val="00E67D58"/>
    <w:rsid w:val="00E67DFD"/>
    <w:rsid w:val="00E704CF"/>
    <w:rsid w:val="00E70598"/>
    <w:rsid w:val="00E70AE2"/>
    <w:rsid w:val="00E71CCB"/>
    <w:rsid w:val="00E71E4E"/>
    <w:rsid w:val="00E72AFA"/>
    <w:rsid w:val="00E731A1"/>
    <w:rsid w:val="00E733BF"/>
    <w:rsid w:val="00E73757"/>
    <w:rsid w:val="00E73A46"/>
    <w:rsid w:val="00E73C40"/>
    <w:rsid w:val="00E73C62"/>
    <w:rsid w:val="00E74CB0"/>
    <w:rsid w:val="00E75098"/>
    <w:rsid w:val="00E75D8F"/>
    <w:rsid w:val="00E75E4F"/>
    <w:rsid w:val="00E76031"/>
    <w:rsid w:val="00E762A5"/>
    <w:rsid w:val="00E76CF7"/>
    <w:rsid w:val="00E77431"/>
    <w:rsid w:val="00E80953"/>
    <w:rsid w:val="00E80DD7"/>
    <w:rsid w:val="00E81126"/>
    <w:rsid w:val="00E81BDC"/>
    <w:rsid w:val="00E81DF6"/>
    <w:rsid w:val="00E82633"/>
    <w:rsid w:val="00E83238"/>
    <w:rsid w:val="00E83421"/>
    <w:rsid w:val="00E835F8"/>
    <w:rsid w:val="00E837C4"/>
    <w:rsid w:val="00E839B4"/>
    <w:rsid w:val="00E84446"/>
    <w:rsid w:val="00E8471E"/>
    <w:rsid w:val="00E8490C"/>
    <w:rsid w:val="00E84DAD"/>
    <w:rsid w:val="00E84FCC"/>
    <w:rsid w:val="00E85261"/>
    <w:rsid w:val="00E857C3"/>
    <w:rsid w:val="00E85C02"/>
    <w:rsid w:val="00E85E2F"/>
    <w:rsid w:val="00E85E3B"/>
    <w:rsid w:val="00E85F72"/>
    <w:rsid w:val="00E8708D"/>
    <w:rsid w:val="00E8720C"/>
    <w:rsid w:val="00E87298"/>
    <w:rsid w:val="00E872D8"/>
    <w:rsid w:val="00E87550"/>
    <w:rsid w:val="00E876FA"/>
    <w:rsid w:val="00E877A1"/>
    <w:rsid w:val="00E8781D"/>
    <w:rsid w:val="00E87D0F"/>
    <w:rsid w:val="00E904E7"/>
    <w:rsid w:val="00E9076B"/>
    <w:rsid w:val="00E91089"/>
    <w:rsid w:val="00E91422"/>
    <w:rsid w:val="00E9168F"/>
    <w:rsid w:val="00E91690"/>
    <w:rsid w:val="00E91C1D"/>
    <w:rsid w:val="00E91D06"/>
    <w:rsid w:val="00E91F0D"/>
    <w:rsid w:val="00E9230E"/>
    <w:rsid w:val="00E92E9B"/>
    <w:rsid w:val="00E933A8"/>
    <w:rsid w:val="00E94350"/>
    <w:rsid w:val="00E9517A"/>
    <w:rsid w:val="00E95802"/>
    <w:rsid w:val="00E96300"/>
    <w:rsid w:val="00E969B4"/>
    <w:rsid w:val="00E97229"/>
    <w:rsid w:val="00E97363"/>
    <w:rsid w:val="00EA0057"/>
    <w:rsid w:val="00EA06A0"/>
    <w:rsid w:val="00EA08C8"/>
    <w:rsid w:val="00EA0DB6"/>
    <w:rsid w:val="00EA0F7F"/>
    <w:rsid w:val="00EA11A5"/>
    <w:rsid w:val="00EA131A"/>
    <w:rsid w:val="00EA1647"/>
    <w:rsid w:val="00EA187D"/>
    <w:rsid w:val="00EA1C45"/>
    <w:rsid w:val="00EA2767"/>
    <w:rsid w:val="00EA3A01"/>
    <w:rsid w:val="00EA455D"/>
    <w:rsid w:val="00EA45A8"/>
    <w:rsid w:val="00EA537C"/>
    <w:rsid w:val="00EA5670"/>
    <w:rsid w:val="00EA586A"/>
    <w:rsid w:val="00EA6713"/>
    <w:rsid w:val="00EA6C3F"/>
    <w:rsid w:val="00EA74F9"/>
    <w:rsid w:val="00EA764F"/>
    <w:rsid w:val="00EA77F1"/>
    <w:rsid w:val="00EA78AC"/>
    <w:rsid w:val="00EA7C4A"/>
    <w:rsid w:val="00EB01F7"/>
    <w:rsid w:val="00EB05AD"/>
    <w:rsid w:val="00EB0706"/>
    <w:rsid w:val="00EB08A7"/>
    <w:rsid w:val="00EB0FA2"/>
    <w:rsid w:val="00EB153E"/>
    <w:rsid w:val="00EB1629"/>
    <w:rsid w:val="00EB19DB"/>
    <w:rsid w:val="00EB1A9B"/>
    <w:rsid w:val="00EB1C53"/>
    <w:rsid w:val="00EB1F2E"/>
    <w:rsid w:val="00EB204B"/>
    <w:rsid w:val="00EB2459"/>
    <w:rsid w:val="00EB2B1E"/>
    <w:rsid w:val="00EB2D44"/>
    <w:rsid w:val="00EB2E3A"/>
    <w:rsid w:val="00EB31C2"/>
    <w:rsid w:val="00EB3489"/>
    <w:rsid w:val="00EB365D"/>
    <w:rsid w:val="00EB39D3"/>
    <w:rsid w:val="00EB3ACC"/>
    <w:rsid w:val="00EB3EE3"/>
    <w:rsid w:val="00EB409E"/>
    <w:rsid w:val="00EB4440"/>
    <w:rsid w:val="00EB46AE"/>
    <w:rsid w:val="00EB5A43"/>
    <w:rsid w:val="00EB5D07"/>
    <w:rsid w:val="00EB66F1"/>
    <w:rsid w:val="00EB676D"/>
    <w:rsid w:val="00EB6899"/>
    <w:rsid w:val="00EB6923"/>
    <w:rsid w:val="00EB6B94"/>
    <w:rsid w:val="00EB776C"/>
    <w:rsid w:val="00EB7D9A"/>
    <w:rsid w:val="00EB7E6A"/>
    <w:rsid w:val="00EC01C4"/>
    <w:rsid w:val="00EC05B2"/>
    <w:rsid w:val="00EC0D80"/>
    <w:rsid w:val="00EC1380"/>
    <w:rsid w:val="00EC157B"/>
    <w:rsid w:val="00EC1C40"/>
    <w:rsid w:val="00EC2586"/>
    <w:rsid w:val="00EC28A2"/>
    <w:rsid w:val="00EC2B09"/>
    <w:rsid w:val="00EC314D"/>
    <w:rsid w:val="00EC39BC"/>
    <w:rsid w:val="00EC3E1B"/>
    <w:rsid w:val="00EC48C4"/>
    <w:rsid w:val="00EC4BE4"/>
    <w:rsid w:val="00EC511E"/>
    <w:rsid w:val="00EC5299"/>
    <w:rsid w:val="00EC63BA"/>
    <w:rsid w:val="00EC6841"/>
    <w:rsid w:val="00EC6DC5"/>
    <w:rsid w:val="00EC6EA8"/>
    <w:rsid w:val="00EC7D04"/>
    <w:rsid w:val="00ED12B4"/>
    <w:rsid w:val="00ED13BC"/>
    <w:rsid w:val="00ED16C6"/>
    <w:rsid w:val="00ED1B15"/>
    <w:rsid w:val="00ED1EE4"/>
    <w:rsid w:val="00ED1FB8"/>
    <w:rsid w:val="00ED23C2"/>
    <w:rsid w:val="00ED2C02"/>
    <w:rsid w:val="00ED2D03"/>
    <w:rsid w:val="00ED2F04"/>
    <w:rsid w:val="00ED36D4"/>
    <w:rsid w:val="00ED39DD"/>
    <w:rsid w:val="00ED3CA0"/>
    <w:rsid w:val="00ED3DDC"/>
    <w:rsid w:val="00ED4236"/>
    <w:rsid w:val="00ED47CE"/>
    <w:rsid w:val="00ED4B01"/>
    <w:rsid w:val="00ED4D9F"/>
    <w:rsid w:val="00ED4F7E"/>
    <w:rsid w:val="00ED51D3"/>
    <w:rsid w:val="00ED5932"/>
    <w:rsid w:val="00ED65A5"/>
    <w:rsid w:val="00ED6933"/>
    <w:rsid w:val="00ED74AE"/>
    <w:rsid w:val="00ED79FF"/>
    <w:rsid w:val="00ED7CD1"/>
    <w:rsid w:val="00EE0C03"/>
    <w:rsid w:val="00EE1023"/>
    <w:rsid w:val="00EE105A"/>
    <w:rsid w:val="00EE10D6"/>
    <w:rsid w:val="00EE133C"/>
    <w:rsid w:val="00EE136A"/>
    <w:rsid w:val="00EE14BC"/>
    <w:rsid w:val="00EE1DAE"/>
    <w:rsid w:val="00EE1F49"/>
    <w:rsid w:val="00EE2411"/>
    <w:rsid w:val="00EE288F"/>
    <w:rsid w:val="00EE2C01"/>
    <w:rsid w:val="00EE3418"/>
    <w:rsid w:val="00EE37A5"/>
    <w:rsid w:val="00EE3906"/>
    <w:rsid w:val="00EE3918"/>
    <w:rsid w:val="00EE3B44"/>
    <w:rsid w:val="00EE3FD2"/>
    <w:rsid w:val="00EE47F2"/>
    <w:rsid w:val="00EE4E18"/>
    <w:rsid w:val="00EE51C2"/>
    <w:rsid w:val="00EE5545"/>
    <w:rsid w:val="00EE581E"/>
    <w:rsid w:val="00EE65E7"/>
    <w:rsid w:val="00EE6A95"/>
    <w:rsid w:val="00EE7087"/>
    <w:rsid w:val="00EE720A"/>
    <w:rsid w:val="00EF01BF"/>
    <w:rsid w:val="00EF0402"/>
    <w:rsid w:val="00EF0465"/>
    <w:rsid w:val="00EF2DA4"/>
    <w:rsid w:val="00EF2F22"/>
    <w:rsid w:val="00EF2F2B"/>
    <w:rsid w:val="00EF3CB0"/>
    <w:rsid w:val="00EF4181"/>
    <w:rsid w:val="00EF447E"/>
    <w:rsid w:val="00EF5658"/>
    <w:rsid w:val="00EF56C3"/>
    <w:rsid w:val="00EF5C9D"/>
    <w:rsid w:val="00EF5F19"/>
    <w:rsid w:val="00EF6D57"/>
    <w:rsid w:val="00EF6D7B"/>
    <w:rsid w:val="00EF6D92"/>
    <w:rsid w:val="00EF6FE9"/>
    <w:rsid w:val="00EF73F0"/>
    <w:rsid w:val="00EF7A52"/>
    <w:rsid w:val="00EF7A69"/>
    <w:rsid w:val="00F0089F"/>
    <w:rsid w:val="00F00F63"/>
    <w:rsid w:val="00F01743"/>
    <w:rsid w:val="00F01748"/>
    <w:rsid w:val="00F03A10"/>
    <w:rsid w:val="00F03FED"/>
    <w:rsid w:val="00F04276"/>
    <w:rsid w:val="00F04B70"/>
    <w:rsid w:val="00F056FA"/>
    <w:rsid w:val="00F05A25"/>
    <w:rsid w:val="00F069FF"/>
    <w:rsid w:val="00F06A2C"/>
    <w:rsid w:val="00F06CA8"/>
    <w:rsid w:val="00F07233"/>
    <w:rsid w:val="00F07537"/>
    <w:rsid w:val="00F079C6"/>
    <w:rsid w:val="00F07DF9"/>
    <w:rsid w:val="00F1086D"/>
    <w:rsid w:val="00F10963"/>
    <w:rsid w:val="00F10C27"/>
    <w:rsid w:val="00F11482"/>
    <w:rsid w:val="00F11A43"/>
    <w:rsid w:val="00F11F1D"/>
    <w:rsid w:val="00F132C1"/>
    <w:rsid w:val="00F13CD1"/>
    <w:rsid w:val="00F15808"/>
    <w:rsid w:val="00F16632"/>
    <w:rsid w:val="00F178DA"/>
    <w:rsid w:val="00F200B8"/>
    <w:rsid w:val="00F20280"/>
    <w:rsid w:val="00F2052D"/>
    <w:rsid w:val="00F20926"/>
    <w:rsid w:val="00F21081"/>
    <w:rsid w:val="00F210DD"/>
    <w:rsid w:val="00F2113A"/>
    <w:rsid w:val="00F219B7"/>
    <w:rsid w:val="00F221D6"/>
    <w:rsid w:val="00F2222C"/>
    <w:rsid w:val="00F2237E"/>
    <w:rsid w:val="00F227B6"/>
    <w:rsid w:val="00F22AC6"/>
    <w:rsid w:val="00F22EBD"/>
    <w:rsid w:val="00F23BE0"/>
    <w:rsid w:val="00F24434"/>
    <w:rsid w:val="00F245B6"/>
    <w:rsid w:val="00F246C3"/>
    <w:rsid w:val="00F2476E"/>
    <w:rsid w:val="00F2485E"/>
    <w:rsid w:val="00F24CE3"/>
    <w:rsid w:val="00F24EFE"/>
    <w:rsid w:val="00F25321"/>
    <w:rsid w:val="00F255A1"/>
    <w:rsid w:val="00F2580C"/>
    <w:rsid w:val="00F2628D"/>
    <w:rsid w:val="00F2659A"/>
    <w:rsid w:val="00F2680E"/>
    <w:rsid w:val="00F26E72"/>
    <w:rsid w:val="00F26F33"/>
    <w:rsid w:val="00F27D52"/>
    <w:rsid w:val="00F30BBD"/>
    <w:rsid w:val="00F30DC4"/>
    <w:rsid w:val="00F30E3B"/>
    <w:rsid w:val="00F314F8"/>
    <w:rsid w:val="00F3150F"/>
    <w:rsid w:val="00F31522"/>
    <w:rsid w:val="00F31CC7"/>
    <w:rsid w:val="00F32923"/>
    <w:rsid w:val="00F32B60"/>
    <w:rsid w:val="00F32CD6"/>
    <w:rsid w:val="00F32EB6"/>
    <w:rsid w:val="00F32FDF"/>
    <w:rsid w:val="00F3314E"/>
    <w:rsid w:val="00F33C0C"/>
    <w:rsid w:val="00F33E5A"/>
    <w:rsid w:val="00F340EE"/>
    <w:rsid w:val="00F3497A"/>
    <w:rsid w:val="00F34A7A"/>
    <w:rsid w:val="00F35827"/>
    <w:rsid w:val="00F36682"/>
    <w:rsid w:val="00F366F3"/>
    <w:rsid w:val="00F369DE"/>
    <w:rsid w:val="00F37442"/>
    <w:rsid w:val="00F374B4"/>
    <w:rsid w:val="00F37905"/>
    <w:rsid w:val="00F379EF"/>
    <w:rsid w:val="00F37D3F"/>
    <w:rsid w:val="00F40056"/>
    <w:rsid w:val="00F400C4"/>
    <w:rsid w:val="00F40632"/>
    <w:rsid w:val="00F409AC"/>
    <w:rsid w:val="00F40E19"/>
    <w:rsid w:val="00F40E85"/>
    <w:rsid w:val="00F4167D"/>
    <w:rsid w:val="00F42115"/>
    <w:rsid w:val="00F427C9"/>
    <w:rsid w:val="00F42976"/>
    <w:rsid w:val="00F42A14"/>
    <w:rsid w:val="00F42BD4"/>
    <w:rsid w:val="00F43A32"/>
    <w:rsid w:val="00F43C66"/>
    <w:rsid w:val="00F44026"/>
    <w:rsid w:val="00F4479E"/>
    <w:rsid w:val="00F44951"/>
    <w:rsid w:val="00F45001"/>
    <w:rsid w:val="00F450F4"/>
    <w:rsid w:val="00F458DB"/>
    <w:rsid w:val="00F45C35"/>
    <w:rsid w:val="00F460A0"/>
    <w:rsid w:val="00F46FD6"/>
    <w:rsid w:val="00F478F5"/>
    <w:rsid w:val="00F47AF6"/>
    <w:rsid w:val="00F47B0A"/>
    <w:rsid w:val="00F47BDE"/>
    <w:rsid w:val="00F50E15"/>
    <w:rsid w:val="00F51CD7"/>
    <w:rsid w:val="00F521A7"/>
    <w:rsid w:val="00F52218"/>
    <w:rsid w:val="00F5248C"/>
    <w:rsid w:val="00F52A73"/>
    <w:rsid w:val="00F52E09"/>
    <w:rsid w:val="00F52E0A"/>
    <w:rsid w:val="00F53186"/>
    <w:rsid w:val="00F532C5"/>
    <w:rsid w:val="00F533E2"/>
    <w:rsid w:val="00F537B2"/>
    <w:rsid w:val="00F53AAF"/>
    <w:rsid w:val="00F53AB0"/>
    <w:rsid w:val="00F53B69"/>
    <w:rsid w:val="00F54044"/>
    <w:rsid w:val="00F545B6"/>
    <w:rsid w:val="00F552F6"/>
    <w:rsid w:val="00F55661"/>
    <w:rsid w:val="00F562BF"/>
    <w:rsid w:val="00F56ED8"/>
    <w:rsid w:val="00F57179"/>
    <w:rsid w:val="00F57617"/>
    <w:rsid w:val="00F57C9C"/>
    <w:rsid w:val="00F606E0"/>
    <w:rsid w:val="00F60B5B"/>
    <w:rsid w:val="00F61747"/>
    <w:rsid w:val="00F61BD7"/>
    <w:rsid w:val="00F623E4"/>
    <w:rsid w:val="00F62BD8"/>
    <w:rsid w:val="00F634BC"/>
    <w:rsid w:val="00F63A7C"/>
    <w:rsid w:val="00F63BE8"/>
    <w:rsid w:val="00F63C52"/>
    <w:rsid w:val="00F645CF"/>
    <w:rsid w:val="00F652E0"/>
    <w:rsid w:val="00F6538D"/>
    <w:rsid w:val="00F65467"/>
    <w:rsid w:val="00F6572D"/>
    <w:rsid w:val="00F65872"/>
    <w:rsid w:val="00F668CC"/>
    <w:rsid w:val="00F66DE8"/>
    <w:rsid w:val="00F672D9"/>
    <w:rsid w:val="00F67AA4"/>
    <w:rsid w:val="00F717B5"/>
    <w:rsid w:val="00F71AF6"/>
    <w:rsid w:val="00F71C35"/>
    <w:rsid w:val="00F72628"/>
    <w:rsid w:val="00F72F64"/>
    <w:rsid w:val="00F7498C"/>
    <w:rsid w:val="00F7499F"/>
    <w:rsid w:val="00F74A4C"/>
    <w:rsid w:val="00F75A85"/>
    <w:rsid w:val="00F75E35"/>
    <w:rsid w:val="00F75FD3"/>
    <w:rsid w:val="00F76357"/>
    <w:rsid w:val="00F774A2"/>
    <w:rsid w:val="00F77BD1"/>
    <w:rsid w:val="00F77C6C"/>
    <w:rsid w:val="00F81C90"/>
    <w:rsid w:val="00F81CE6"/>
    <w:rsid w:val="00F821C9"/>
    <w:rsid w:val="00F8296F"/>
    <w:rsid w:val="00F82DD6"/>
    <w:rsid w:val="00F83021"/>
    <w:rsid w:val="00F83335"/>
    <w:rsid w:val="00F8387D"/>
    <w:rsid w:val="00F839CD"/>
    <w:rsid w:val="00F84BF0"/>
    <w:rsid w:val="00F8524B"/>
    <w:rsid w:val="00F85A18"/>
    <w:rsid w:val="00F85FF7"/>
    <w:rsid w:val="00F8646A"/>
    <w:rsid w:val="00F86B12"/>
    <w:rsid w:val="00F86C9B"/>
    <w:rsid w:val="00F90644"/>
    <w:rsid w:val="00F9071A"/>
    <w:rsid w:val="00F90B8F"/>
    <w:rsid w:val="00F91278"/>
    <w:rsid w:val="00F9163C"/>
    <w:rsid w:val="00F91B20"/>
    <w:rsid w:val="00F91D86"/>
    <w:rsid w:val="00F9259B"/>
    <w:rsid w:val="00F93156"/>
    <w:rsid w:val="00F93947"/>
    <w:rsid w:val="00F94898"/>
    <w:rsid w:val="00F94E5F"/>
    <w:rsid w:val="00F9524B"/>
    <w:rsid w:val="00F95BE9"/>
    <w:rsid w:val="00F95CAB"/>
    <w:rsid w:val="00F95E8F"/>
    <w:rsid w:val="00F9658D"/>
    <w:rsid w:val="00F969D7"/>
    <w:rsid w:val="00F97196"/>
    <w:rsid w:val="00F97569"/>
    <w:rsid w:val="00F97B3C"/>
    <w:rsid w:val="00FA03DF"/>
    <w:rsid w:val="00FA0457"/>
    <w:rsid w:val="00FA0DED"/>
    <w:rsid w:val="00FA0F51"/>
    <w:rsid w:val="00FA1321"/>
    <w:rsid w:val="00FA1651"/>
    <w:rsid w:val="00FA1DDA"/>
    <w:rsid w:val="00FA2BCE"/>
    <w:rsid w:val="00FA31EA"/>
    <w:rsid w:val="00FA374B"/>
    <w:rsid w:val="00FA3907"/>
    <w:rsid w:val="00FA3C97"/>
    <w:rsid w:val="00FA515E"/>
    <w:rsid w:val="00FA537A"/>
    <w:rsid w:val="00FA597A"/>
    <w:rsid w:val="00FA5FDD"/>
    <w:rsid w:val="00FA6C8B"/>
    <w:rsid w:val="00FA6E7A"/>
    <w:rsid w:val="00FA702B"/>
    <w:rsid w:val="00FA731F"/>
    <w:rsid w:val="00FA745A"/>
    <w:rsid w:val="00FA7571"/>
    <w:rsid w:val="00FB025C"/>
    <w:rsid w:val="00FB1065"/>
    <w:rsid w:val="00FB18D5"/>
    <w:rsid w:val="00FB18E5"/>
    <w:rsid w:val="00FB2EC3"/>
    <w:rsid w:val="00FB319C"/>
    <w:rsid w:val="00FB348F"/>
    <w:rsid w:val="00FB366C"/>
    <w:rsid w:val="00FB3A88"/>
    <w:rsid w:val="00FB3DBD"/>
    <w:rsid w:val="00FB40B8"/>
    <w:rsid w:val="00FB40D7"/>
    <w:rsid w:val="00FB4332"/>
    <w:rsid w:val="00FB433B"/>
    <w:rsid w:val="00FB44E6"/>
    <w:rsid w:val="00FB4840"/>
    <w:rsid w:val="00FB4981"/>
    <w:rsid w:val="00FB512E"/>
    <w:rsid w:val="00FB5755"/>
    <w:rsid w:val="00FB57E5"/>
    <w:rsid w:val="00FB5C2E"/>
    <w:rsid w:val="00FB669E"/>
    <w:rsid w:val="00FB699F"/>
    <w:rsid w:val="00FB6C1C"/>
    <w:rsid w:val="00FB7504"/>
    <w:rsid w:val="00FB7E40"/>
    <w:rsid w:val="00FC046C"/>
    <w:rsid w:val="00FC096C"/>
    <w:rsid w:val="00FC0AD8"/>
    <w:rsid w:val="00FC0AE6"/>
    <w:rsid w:val="00FC0B20"/>
    <w:rsid w:val="00FC0DB0"/>
    <w:rsid w:val="00FC0E44"/>
    <w:rsid w:val="00FC16BA"/>
    <w:rsid w:val="00FC17C0"/>
    <w:rsid w:val="00FC181D"/>
    <w:rsid w:val="00FC18E6"/>
    <w:rsid w:val="00FC1BE1"/>
    <w:rsid w:val="00FC1F81"/>
    <w:rsid w:val="00FC2544"/>
    <w:rsid w:val="00FC2755"/>
    <w:rsid w:val="00FC297E"/>
    <w:rsid w:val="00FC2DF6"/>
    <w:rsid w:val="00FC4A96"/>
    <w:rsid w:val="00FC534D"/>
    <w:rsid w:val="00FC547D"/>
    <w:rsid w:val="00FC63AB"/>
    <w:rsid w:val="00FC6C58"/>
    <w:rsid w:val="00FC7225"/>
    <w:rsid w:val="00FC732C"/>
    <w:rsid w:val="00FC739A"/>
    <w:rsid w:val="00FC79BD"/>
    <w:rsid w:val="00FC7CE8"/>
    <w:rsid w:val="00FD028B"/>
    <w:rsid w:val="00FD0A60"/>
    <w:rsid w:val="00FD1BBB"/>
    <w:rsid w:val="00FD1BF1"/>
    <w:rsid w:val="00FD1E79"/>
    <w:rsid w:val="00FD21AD"/>
    <w:rsid w:val="00FD26A9"/>
    <w:rsid w:val="00FD2718"/>
    <w:rsid w:val="00FD27EA"/>
    <w:rsid w:val="00FD2CF3"/>
    <w:rsid w:val="00FD2E59"/>
    <w:rsid w:val="00FD30CE"/>
    <w:rsid w:val="00FD3527"/>
    <w:rsid w:val="00FD3817"/>
    <w:rsid w:val="00FD390F"/>
    <w:rsid w:val="00FD3F0A"/>
    <w:rsid w:val="00FD4D9B"/>
    <w:rsid w:val="00FD5BA2"/>
    <w:rsid w:val="00FD5E29"/>
    <w:rsid w:val="00FD66F9"/>
    <w:rsid w:val="00FD6A08"/>
    <w:rsid w:val="00FD6F3E"/>
    <w:rsid w:val="00FD7835"/>
    <w:rsid w:val="00FE0622"/>
    <w:rsid w:val="00FE10FA"/>
    <w:rsid w:val="00FE1379"/>
    <w:rsid w:val="00FE1ABC"/>
    <w:rsid w:val="00FE1BC6"/>
    <w:rsid w:val="00FE1D67"/>
    <w:rsid w:val="00FE1EE2"/>
    <w:rsid w:val="00FE26C2"/>
    <w:rsid w:val="00FE26DD"/>
    <w:rsid w:val="00FE274C"/>
    <w:rsid w:val="00FE28AF"/>
    <w:rsid w:val="00FE298A"/>
    <w:rsid w:val="00FE29EB"/>
    <w:rsid w:val="00FE2A73"/>
    <w:rsid w:val="00FE394C"/>
    <w:rsid w:val="00FE3E8F"/>
    <w:rsid w:val="00FE4268"/>
    <w:rsid w:val="00FE475B"/>
    <w:rsid w:val="00FE4850"/>
    <w:rsid w:val="00FE49B8"/>
    <w:rsid w:val="00FE5688"/>
    <w:rsid w:val="00FE56A9"/>
    <w:rsid w:val="00FE5BE2"/>
    <w:rsid w:val="00FE5E41"/>
    <w:rsid w:val="00FE616A"/>
    <w:rsid w:val="00FE69F9"/>
    <w:rsid w:val="00FE6AB4"/>
    <w:rsid w:val="00FE6B96"/>
    <w:rsid w:val="00FE6DF6"/>
    <w:rsid w:val="00FE76ED"/>
    <w:rsid w:val="00FE7807"/>
    <w:rsid w:val="00FE7901"/>
    <w:rsid w:val="00FE79F6"/>
    <w:rsid w:val="00FE7B30"/>
    <w:rsid w:val="00FF047F"/>
    <w:rsid w:val="00FF0779"/>
    <w:rsid w:val="00FF0818"/>
    <w:rsid w:val="00FF0834"/>
    <w:rsid w:val="00FF0A96"/>
    <w:rsid w:val="00FF0BED"/>
    <w:rsid w:val="00FF0FFC"/>
    <w:rsid w:val="00FF14E4"/>
    <w:rsid w:val="00FF172B"/>
    <w:rsid w:val="00FF176F"/>
    <w:rsid w:val="00FF26EB"/>
    <w:rsid w:val="00FF2817"/>
    <w:rsid w:val="00FF2866"/>
    <w:rsid w:val="00FF2E03"/>
    <w:rsid w:val="00FF32DA"/>
    <w:rsid w:val="00FF3305"/>
    <w:rsid w:val="00FF333F"/>
    <w:rsid w:val="00FF3551"/>
    <w:rsid w:val="00FF3943"/>
    <w:rsid w:val="00FF4DD1"/>
    <w:rsid w:val="00FF5203"/>
    <w:rsid w:val="00FF5A28"/>
    <w:rsid w:val="00FF5B21"/>
    <w:rsid w:val="00FF6114"/>
    <w:rsid w:val="00FF6EAE"/>
    <w:rsid w:val="00FF7169"/>
    <w:rsid w:val="012226E8"/>
    <w:rsid w:val="026929FF"/>
    <w:rsid w:val="080F2346"/>
    <w:rsid w:val="09D71932"/>
    <w:rsid w:val="0A264F34"/>
    <w:rsid w:val="0CBF43C2"/>
    <w:rsid w:val="0CE54E38"/>
    <w:rsid w:val="13465DAC"/>
    <w:rsid w:val="14FB2F80"/>
    <w:rsid w:val="151A4A2D"/>
    <w:rsid w:val="15B06226"/>
    <w:rsid w:val="16464B0E"/>
    <w:rsid w:val="17880D50"/>
    <w:rsid w:val="19ED2D17"/>
    <w:rsid w:val="1A8F0322"/>
    <w:rsid w:val="1BF7155D"/>
    <w:rsid w:val="1D5774B0"/>
    <w:rsid w:val="1E185370"/>
    <w:rsid w:val="1FA52578"/>
    <w:rsid w:val="1FDE0154"/>
    <w:rsid w:val="2337361A"/>
    <w:rsid w:val="235205D1"/>
    <w:rsid w:val="23BC5F31"/>
    <w:rsid w:val="27015D0E"/>
    <w:rsid w:val="27AA2CA3"/>
    <w:rsid w:val="29431740"/>
    <w:rsid w:val="2A193D21"/>
    <w:rsid w:val="2A700EAD"/>
    <w:rsid w:val="2B3A1BFB"/>
    <w:rsid w:val="2EE203F7"/>
    <w:rsid w:val="31C63FE8"/>
    <w:rsid w:val="35571310"/>
    <w:rsid w:val="366E215D"/>
    <w:rsid w:val="373979B2"/>
    <w:rsid w:val="38EF30F5"/>
    <w:rsid w:val="395822CB"/>
    <w:rsid w:val="39A454BF"/>
    <w:rsid w:val="3A782F7C"/>
    <w:rsid w:val="3B3F4F44"/>
    <w:rsid w:val="3DEE12C7"/>
    <w:rsid w:val="3F577277"/>
    <w:rsid w:val="4138778D"/>
    <w:rsid w:val="41A171BC"/>
    <w:rsid w:val="426E308D"/>
    <w:rsid w:val="43BC4F2D"/>
    <w:rsid w:val="46913751"/>
    <w:rsid w:val="48031435"/>
    <w:rsid w:val="4A901A63"/>
    <w:rsid w:val="4AA94B8B"/>
    <w:rsid w:val="4AF14F7F"/>
    <w:rsid w:val="4D6046FD"/>
    <w:rsid w:val="51B15013"/>
    <w:rsid w:val="521B6C41"/>
    <w:rsid w:val="541648CE"/>
    <w:rsid w:val="55E005F1"/>
    <w:rsid w:val="566156C7"/>
    <w:rsid w:val="566A2753"/>
    <w:rsid w:val="57C4750C"/>
    <w:rsid w:val="57E72F44"/>
    <w:rsid w:val="580C7901"/>
    <w:rsid w:val="59D714F6"/>
    <w:rsid w:val="5F863838"/>
    <w:rsid w:val="612236EC"/>
    <w:rsid w:val="634C61F4"/>
    <w:rsid w:val="63DF2E88"/>
    <w:rsid w:val="646734C9"/>
    <w:rsid w:val="6510045E"/>
    <w:rsid w:val="65CA38DD"/>
    <w:rsid w:val="65FB005C"/>
    <w:rsid w:val="688F4E56"/>
    <w:rsid w:val="6A1F52A8"/>
    <w:rsid w:val="6B857A24"/>
    <w:rsid w:val="6C886AE6"/>
    <w:rsid w:val="6EBA5B82"/>
    <w:rsid w:val="729016CB"/>
    <w:rsid w:val="72977F10"/>
    <w:rsid w:val="72BA00C5"/>
    <w:rsid w:val="73D15D1A"/>
    <w:rsid w:val="73D47918"/>
    <w:rsid w:val="75FD0222"/>
    <w:rsid w:val="7B4146C2"/>
    <w:rsid w:val="7BC73221"/>
    <w:rsid w:val="7F4751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99" w:name="index 1"/>
    <w:lsdException w:qFormat="1" w:unhideWhenUsed="0" w:uiPriority="99" w:name="index 2"/>
    <w:lsdException w:qFormat="1" w:unhideWhenUsed="0" w:uiPriority="99" w:name="index 3"/>
    <w:lsdException w:qFormat="1" w:unhideWhenUsed="0" w:uiPriority="99" w:name="index 4"/>
    <w:lsdException w:qFormat="1" w:unhideWhenUsed="0" w:uiPriority="99" w:name="index 5"/>
    <w:lsdException w:qFormat="1" w:unhideWhenUsed="0" w:uiPriority="99" w:name="index 6"/>
    <w:lsdException w:qFormat="1" w:unhideWhenUsed="0" w:uiPriority="99" w:name="index 7"/>
    <w:lsdException w:qFormat="1" w:unhideWhenUsed="0" w:uiPriority="99" w:name="index 8"/>
    <w:lsdException w:qFormat="1" w:unhideWhenUsed="0"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ocked="1"/>
    <w:lsdException w:qFormat="1" w:unhideWhenUsed="0"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0"/>
    <w:qFormat/>
    <w:uiPriority w:val="99"/>
    <w:pPr>
      <w:keepNext/>
      <w:keepLines/>
      <w:spacing w:before="340" w:after="330"/>
      <w:jc w:val="center"/>
      <w:outlineLvl w:val="0"/>
    </w:pPr>
    <w:rPr>
      <w:rFonts w:eastAsia="仿宋_GB2312"/>
      <w:b/>
      <w:bCs/>
      <w:kern w:val="44"/>
      <w:sz w:val="30"/>
      <w:szCs w:val="44"/>
    </w:rPr>
  </w:style>
  <w:style w:type="paragraph" w:styleId="3">
    <w:name w:val="heading 2"/>
    <w:basedOn w:val="1"/>
    <w:next w:val="1"/>
    <w:link w:val="51"/>
    <w:qFormat/>
    <w:uiPriority w:val="99"/>
    <w:pPr>
      <w:keepNext/>
      <w:keepLines/>
      <w:spacing w:before="260" w:after="260"/>
      <w:ind w:firstLine="200" w:firstLineChars="200"/>
      <w:outlineLvl w:val="1"/>
    </w:pPr>
    <w:rPr>
      <w:rFonts w:ascii="Arial" w:hAnsi="Arial" w:eastAsia="仿宋_GB2312"/>
      <w:b/>
      <w:bCs/>
      <w:sz w:val="28"/>
      <w:szCs w:val="32"/>
    </w:rPr>
  </w:style>
  <w:style w:type="paragraph" w:styleId="4">
    <w:name w:val="heading 3"/>
    <w:basedOn w:val="1"/>
    <w:next w:val="1"/>
    <w:link w:val="52"/>
    <w:qFormat/>
    <w:uiPriority w:val="99"/>
    <w:pPr>
      <w:keepNext/>
      <w:keepLines/>
      <w:spacing w:before="260" w:after="260" w:line="416" w:lineRule="auto"/>
      <w:outlineLvl w:val="2"/>
    </w:pPr>
    <w:rPr>
      <w:b/>
      <w:bCs/>
      <w:sz w:val="32"/>
      <w:szCs w:val="32"/>
    </w:rPr>
  </w:style>
  <w:style w:type="paragraph" w:styleId="5">
    <w:name w:val="heading 4"/>
    <w:basedOn w:val="1"/>
    <w:next w:val="1"/>
    <w:link w:val="53"/>
    <w:qFormat/>
    <w:uiPriority w:val="99"/>
    <w:pPr>
      <w:keepNext/>
      <w:keepLines/>
      <w:spacing w:before="280" w:after="290" w:line="376" w:lineRule="auto"/>
      <w:outlineLvl w:val="3"/>
    </w:pPr>
    <w:rPr>
      <w:rFonts w:ascii="Cambria" w:hAnsi="Cambria"/>
      <w:b/>
      <w:bCs/>
      <w:sz w:val="28"/>
      <w:szCs w:val="28"/>
    </w:rPr>
  </w:style>
  <w:style w:type="paragraph" w:styleId="6">
    <w:name w:val="heading 5"/>
    <w:basedOn w:val="1"/>
    <w:next w:val="1"/>
    <w:link w:val="54"/>
    <w:qFormat/>
    <w:uiPriority w:val="99"/>
    <w:pPr>
      <w:keepNext/>
      <w:keepLines/>
      <w:spacing w:before="280" w:after="290" w:line="376" w:lineRule="auto"/>
      <w:outlineLvl w:val="4"/>
    </w:pPr>
    <w:rPr>
      <w:rFonts w:ascii="Calibri" w:hAnsi="Calibri"/>
      <w:b/>
      <w:bCs/>
      <w:sz w:val="28"/>
      <w:szCs w:val="28"/>
    </w:rPr>
  </w:style>
  <w:style w:type="character" w:default="1" w:styleId="41">
    <w:name w:val="Default Paragraph Font"/>
    <w:semiHidden/>
    <w:unhideWhenUsed/>
    <w:qFormat/>
    <w:uiPriority w:val="1"/>
  </w:style>
  <w:style w:type="table" w:default="1" w:styleId="47">
    <w:name w:val="Normal Table"/>
    <w:semiHidden/>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72"/>
    <w:qFormat/>
    <w:uiPriority w:val="99"/>
    <w:rPr>
      <w:b/>
      <w:bCs/>
    </w:rPr>
  </w:style>
  <w:style w:type="paragraph" w:styleId="8">
    <w:name w:val="annotation text"/>
    <w:basedOn w:val="1"/>
    <w:link w:val="70"/>
    <w:qFormat/>
    <w:uiPriority w:val="99"/>
    <w:pPr>
      <w:jc w:val="left"/>
    </w:pPr>
  </w:style>
  <w:style w:type="paragraph" w:styleId="9">
    <w:name w:val="toc 7"/>
    <w:basedOn w:val="1"/>
    <w:next w:val="1"/>
    <w:qFormat/>
    <w:uiPriority w:val="99"/>
    <w:pPr>
      <w:ind w:left="1260"/>
      <w:jc w:val="left"/>
    </w:pPr>
    <w:rPr>
      <w:rFonts w:ascii="Calibri" w:hAnsi="Calibri" w:cs="Calibri"/>
      <w:sz w:val="18"/>
      <w:szCs w:val="18"/>
    </w:rPr>
  </w:style>
  <w:style w:type="paragraph" w:styleId="10">
    <w:name w:val="index 8"/>
    <w:basedOn w:val="1"/>
    <w:next w:val="1"/>
    <w:semiHidden/>
    <w:qFormat/>
    <w:uiPriority w:val="99"/>
    <w:pPr>
      <w:ind w:left="1400" w:leftChars="1400"/>
    </w:pPr>
  </w:style>
  <w:style w:type="paragraph" w:styleId="11">
    <w:name w:val="Normal Indent"/>
    <w:basedOn w:val="1"/>
    <w:qFormat/>
    <w:uiPriority w:val="99"/>
    <w:pPr>
      <w:ind w:firstLine="420"/>
    </w:pPr>
  </w:style>
  <w:style w:type="paragraph" w:styleId="12">
    <w:name w:val="index 5"/>
    <w:basedOn w:val="1"/>
    <w:next w:val="1"/>
    <w:semiHidden/>
    <w:qFormat/>
    <w:uiPriority w:val="99"/>
    <w:pPr>
      <w:ind w:left="800" w:leftChars="800"/>
    </w:pPr>
  </w:style>
  <w:style w:type="paragraph" w:styleId="13">
    <w:name w:val="Document Map"/>
    <w:basedOn w:val="1"/>
    <w:link w:val="80"/>
    <w:qFormat/>
    <w:uiPriority w:val="99"/>
    <w:rPr>
      <w:rFonts w:ascii="宋体"/>
      <w:sz w:val="18"/>
      <w:szCs w:val="18"/>
    </w:rPr>
  </w:style>
  <w:style w:type="paragraph" w:styleId="14">
    <w:name w:val="index 6"/>
    <w:basedOn w:val="1"/>
    <w:next w:val="1"/>
    <w:semiHidden/>
    <w:qFormat/>
    <w:uiPriority w:val="99"/>
    <w:pPr>
      <w:ind w:left="1000" w:leftChars="1000"/>
    </w:pPr>
  </w:style>
  <w:style w:type="paragraph" w:styleId="15">
    <w:name w:val="Body Text"/>
    <w:basedOn w:val="1"/>
    <w:link w:val="62"/>
    <w:qFormat/>
    <w:uiPriority w:val="99"/>
    <w:rPr>
      <w:spacing w:val="20"/>
      <w:sz w:val="24"/>
      <w:szCs w:val="24"/>
    </w:rPr>
  </w:style>
  <w:style w:type="paragraph" w:styleId="16">
    <w:name w:val="Body Text Indent"/>
    <w:basedOn w:val="1"/>
    <w:link w:val="75"/>
    <w:qFormat/>
    <w:uiPriority w:val="99"/>
    <w:pPr>
      <w:adjustRightInd w:val="0"/>
      <w:spacing w:line="360" w:lineRule="auto"/>
      <w:ind w:firstLine="660"/>
      <w:textAlignment w:val="baseline"/>
    </w:pPr>
    <w:rPr>
      <w:rFonts w:ascii="宋体"/>
      <w:spacing w:val="20"/>
      <w:kern w:val="0"/>
      <w:sz w:val="28"/>
    </w:rPr>
  </w:style>
  <w:style w:type="paragraph" w:styleId="17">
    <w:name w:val="index 4"/>
    <w:basedOn w:val="1"/>
    <w:next w:val="1"/>
    <w:semiHidden/>
    <w:qFormat/>
    <w:uiPriority w:val="99"/>
    <w:pPr>
      <w:ind w:left="600" w:leftChars="600"/>
    </w:pPr>
  </w:style>
  <w:style w:type="paragraph" w:styleId="18">
    <w:name w:val="toc 5"/>
    <w:basedOn w:val="1"/>
    <w:next w:val="1"/>
    <w:qFormat/>
    <w:uiPriority w:val="99"/>
    <w:pPr>
      <w:ind w:left="840"/>
      <w:jc w:val="left"/>
    </w:pPr>
    <w:rPr>
      <w:rFonts w:ascii="Calibri" w:hAnsi="Calibri" w:cs="Calibri"/>
      <w:sz w:val="18"/>
      <w:szCs w:val="18"/>
    </w:rPr>
  </w:style>
  <w:style w:type="paragraph" w:styleId="19">
    <w:name w:val="toc 3"/>
    <w:basedOn w:val="1"/>
    <w:next w:val="1"/>
    <w:qFormat/>
    <w:uiPriority w:val="99"/>
    <w:pPr>
      <w:ind w:left="420"/>
      <w:jc w:val="left"/>
    </w:pPr>
    <w:rPr>
      <w:rFonts w:ascii="Calibri" w:hAnsi="Calibri" w:cs="Calibri"/>
      <w:i/>
      <w:iCs/>
      <w:sz w:val="20"/>
    </w:rPr>
  </w:style>
  <w:style w:type="paragraph" w:styleId="20">
    <w:name w:val="Plain Text"/>
    <w:basedOn w:val="1"/>
    <w:link w:val="60"/>
    <w:qFormat/>
    <w:uiPriority w:val="99"/>
    <w:pPr>
      <w:spacing w:line="500" w:lineRule="exact"/>
    </w:pPr>
    <w:rPr>
      <w:rFonts w:ascii="宋体" w:hAnsi="Courier New"/>
    </w:rPr>
  </w:style>
  <w:style w:type="paragraph" w:styleId="21">
    <w:name w:val="toc 8"/>
    <w:basedOn w:val="1"/>
    <w:next w:val="1"/>
    <w:qFormat/>
    <w:uiPriority w:val="99"/>
    <w:pPr>
      <w:ind w:left="1470"/>
      <w:jc w:val="left"/>
    </w:pPr>
    <w:rPr>
      <w:rFonts w:ascii="Calibri" w:hAnsi="Calibri" w:cs="Calibri"/>
      <w:sz w:val="18"/>
      <w:szCs w:val="18"/>
    </w:rPr>
  </w:style>
  <w:style w:type="paragraph" w:styleId="22">
    <w:name w:val="index 3"/>
    <w:basedOn w:val="1"/>
    <w:next w:val="1"/>
    <w:semiHidden/>
    <w:qFormat/>
    <w:uiPriority w:val="99"/>
    <w:pPr>
      <w:ind w:left="400" w:leftChars="400"/>
    </w:pPr>
  </w:style>
  <w:style w:type="paragraph" w:styleId="23">
    <w:name w:val="Date"/>
    <w:basedOn w:val="1"/>
    <w:next w:val="1"/>
    <w:link w:val="56"/>
    <w:qFormat/>
    <w:uiPriority w:val="99"/>
    <w:pPr>
      <w:adjustRightInd w:val="0"/>
      <w:spacing w:line="312" w:lineRule="atLeast"/>
      <w:jc w:val="right"/>
      <w:textAlignment w:val="baseline"/>
    </w:pPr>
    <w:rPr>
      <w:rFonts w:ascii="宋体"/>
      <w:spacing w:val="20"/>
      <w:kern w:val="0"/>
      <w:sz w:val="28"/>
    </w:rPr>
  </w:style>
  <w:style w:type="paragraph" w:styleId="24">
    <w:name w:val="Body Text Indent 2"/>
    <w:basedOn w:val="1"/>
    <w:link w:val="79"/>
    <w:qFormat/>
    <w:uiPriority w:val="99"/>
    <w:pPr>
      <w:spacing w:line="360" w:lineRule="auto"/>
      <w:ind w:firstLine="624"/>
    </w:pPr>
    <w:rPr>
      <w:spacing w:val="20"/>
      <w:sz w:val="28"/>
    </w:rPr>
  </w:style>
  <w:style w:type="paragraph" w:styleId="25">
    <w:name w:val="Balloon Text"/>
    <w:basedOn w:val="1"/>
    <w:link w:val="74"/>
    <w:qFormat/>
    <w:uiPriority w:val="99"/>
    <w:rPr>
      <w:sz w:val="18"/>
      <w:szCs w:val="18"/>
    </w:rPr>
  </w:style>
  <w:style w:type="paragraph" w:styleId="26">
    <w:name w:val="footer"/>
    <w:basedOn w:val="1"/>
    <w:link w:val="59"/>
    <w:qFormat/>
    <w:uiPriority w:val="0"/>
    <w:pPr>
      <w:tabs>
        <w:tab w:val="center" w:pos="4153"/>
        <w:tab w:val="right" w:pos="8306"/>
      </w:tabs>
      <w:adjustRightInd w:val="0"/>
      <w:spacing w:line="240" w:lineRule="atLeast"/>
      <w:jc w:val="left"/>
      <w:textAlignment w:val="baseline"/>
    </w:pPr>
    <w:rPr>
      <w:kern w:val="0"/>
      <w:sz w:val="18"/>
    </w:rPr>
  </w:style>
  <w:style w:type="paragraph" w:styleId="27">
    <w:name w:val="header"/>
    <w:basedOn w:val="1"/>
    <w:link w:val="63"/>
    <w:qFormat/>
    <w:uiPriority w:val="0"/>
    <w:pPr>
      <w:tabs>
        <w:tab w:val="center" w:pos="4153"/>
        <w:tab w:val="right" w:pos="8306"/>
      </w:tabs>
      <w:snapToGrid w:val="0"/>
      <w:jc w:val="center"/>
    </w:pPr>
    <w:rPr>
      <w:sz w:val="18"/>
      <w:szCs w:val="18"/>
    </w:rPr>
  </w:style>
  <w:style w:type="paragraph" w:styleId="28">
    <w:name w:val="toc 1"/>
    <w:basedOn w:val="1"/>
    <w:next w:val="1"/>
    <w:qFormat/>
    <w:uiPriority w:val="39"/>
    <w:pPr>
      <w:spacing w:before="120" w:after="120"/>
      <w:jc w:val="left"/>
    </w:pPr>
    <w:rPr>
      <w:rFonts w:ascii="Calibri" w:hAnsi="Calibri" w:cs="Calibri"/>
      <w:b/>
      <w:bCs/>
      <w:caps/>
      <w:sz w:val="20"/>
    </w:rPr>
  </w:style>
  <w:style w:type="paragraph" w:styleId="29">
    <w:name w:val="toc 4"/>
    <w:basedOn w:val="1"/>
    <w:next w:val="1"/>
    <w:qFormat/>
    <w:uiPriority w:val="99"/>
    <w:pPr>
      <w:ind w:left="630"/>
      <w:jc w:val="left"/>
    </w:pPr>
    <w:rPr>
      <w:rFonts w:ascii="Calibri" w:hAnsi="Calibri" w:cs="Calibri"/>
      <w:sz w:val="18"/>
      <w:szCs w:val="18"/>
    </w:rPr>
  </w:style>
  <w:style w:type="paragraph" w:styleId="30">
    <w:name w:val="index heading"/>
    <w:basedOn w:val="1"/>
    <w:next w:val="31"/>
    <w:semiHidden/>
    <w:qFormat/>
    <w:uiPriority w:val="99"/>
  </w:style>
  <w:style w:type="paragraph" w:styleId="31">
    <w:name w:val="index 1"/>
    <w:basedOn w:val="1"/>
    <w:next w:val="1"/>
    <w:semiHidden/>
    <w:qFormat/>
    <w:uiPriority w:val="99"/>
    <w:pPr>
      <w:spacing w:line="360" w:lineRule="auto"/>
      <w:jc w:val="center"/>
    </w:pPr>
    <w:rPr>
      <w:b/>
      <w:bCs/>
      <w:kern w:val="0"/>
      <w:sz w:val="30"/>
    </w:rPr>
  </w:style>
  <w:style w:type="paragraph" w:styleId="32">
    <w:name w:val="Subtitle"/>
    <w:basedOn w:val="1"/>
    <w:next w:val="1"/>
    <w:link w:val="73"/>
    <w:qFormat/>
    <w:uiPriority w:val="99"/>
    <w:pPr>
      <w:spacing w:before="240" w:after="60" w:line="312" w:lineRule="auto"/>
      <w:jc w:val="center"/>
      <w:outlineLvl w:val="1"/>
    </w:pPr>
    <w:rPr>
      <w:rFonts w:ascii="Cambria" w:hAnsi="Cambria"/>
      <w:b/>
      <w:bCs/>
      <w:kern w:val="28"/>
      <w:sz w:val="32"/>
      <w:szCs w:val="32"/>
    </w:rPr>
  </w:style>
  <w:style w:type="paragraph" w:styleId="33">
    <w:name w:val="toc 6"/>
    <w:basedOn w:val="1"/>
    <w:next w:val="1"/>
    <w:qFormat/>
    <w:uiPriority w:val="99"/>
    <w:pPr>
      <w:ind w:left="1050"/>
      <w:jc w:val="left"/>
    </w:pPr>
    <w:rPr>
      <w:rFonts w:ascii="Calibri" w:hAnsi="Calibri" w:cs="Calibri"/>
      <w:sz w:val="18"/>
      <w:szCs w:val="18"/>
    </w:rPr>
  </w:style>
  <w:style w:type="paragraph" w:styleId="34">
    <w:name w:val="Body Text Indent 3"/>
    <w:basedOn w:val="1"/>
    <w:link w:val="61"/>
    <w:qFormat/>
    <w:uiPriority w:val="99"/>
    <w:pPr>
      <w:adjustRightInd w:val="0"/>
      <w:spacing w:line="360" w:lineRule="auto"/>
      <w:ind w:firstLine="660"/>
      <w:jc w:val="left"/>
      <w:textAlignment w:val="baseline"/>
    </w:pPr>
    <w:rPr>
      <w:rFonts w:ascii="宋体"/>
      <w:spacing w:val="20"/>
      <w:kern w:val="0"/>
      <w:sz w:val="28"/>
    </w:rPr>
  </w:style>
  <w:style w:type="paragraph" w:styleId="35">
    <w:name w:val="index 7"/>
    <w:basedOn w:val="1"/>
    <w:next w:val="1"/>
    <w:semiHidden/>
    <w:qFormat/>
    <w:uiPriority w:val="99"/>
    <w:pPr>
      <w:ind w:left="1200" w:leftChars="1200"/>
    </w:pPr>
  </w:style>
  <w:style w:type="paragraph" w:styleId="36">
    <w:name w:val="index 9"/>
    <w:basedOn w:val="1"/>
    <w:next w:val="1"/>
    <w:semiHidden/>
    <w:qFormat/>
    <w:uiPriority w:val="99"/>
    <w:pPr>
      <w:ind w:left="1600" w:leftChars="1600"/>
    </w:pPr>
  </w:style>
  <w:style w:type="paragraph" w:styleId="37">
    <w:name w:val="toc 2"/>
    <w:basedOn w:val="1"/>
    <w:next w:val="1"/>
    <w:qFormat/>
    <w:uiPriority w:val="39"/>
    <w:pPr>
      <w:ind w:left="210"/>
      <w:jc w:val="left"/>
    </w:pPr>
    <w:rPr>
      <w:rFonts w:ascii="Calibri" w:hAnsi="Calibri" w:cs="Calibri"/>
      <w:smallCaps/>
      <w:sz w:val="20"/>
    </w:rPr>
  </w:style>
  <w:style w:type="paragraph" w:styleId="38">
    <w:name w:val="toc 9"/>
    <w:basedOn w:val="1"/>
    <w:next w:val="1"/>
    <w:qFormat/>
    <w:uiPriority w:val="99"/>
    <w:pPr>
      <w:ind w:left="1680"/>
      <w:jc w:val="left"/>
    </w:pPr>
    <w:rPr>
      <w:rFonts w:ascii="Calibri" w:hAnsi="Calibri" w:cs="Calibri"/>
      <w:sz w:val="18"/>
      <w:szCs w:val="18"/>
    </w:rPr>
  </w:style>
  <w:style w:type="paragraph" w:styleId="39">
    <w:name w:val="Normal (Web)"/>
    <w:basedOn w:val="1"/>
    <w:qFormat/>
    <w:uiPriority w:val="99"/>
    <w:pPr>
      <w:widowControl/>
      <w:spacing w:before="100" w:beforeAutospacing="1" w:after="100" w:afterAutospacing="1"/>
      <w:jc w:val="left"/>
    </w:pPr>
    <w:rPr>
      <w:rFonts w:ascii="Arial Unicode MS" w:eastAsia="Times New Roman"/>
      <w:kern w:val="0"/>
      <w:sz w:val="24"/>
      <w:szCs w:val="24"/>
    </w:rPr>
  </w:style>
  <w:style w:type="paragraph" w:styleId="40">
    <w:name w:val="index 2"/>
    <w:basedOn w:val="1"/>
    <w:next w:val="1"/>
    <w:semiHidden/>
    <w:qFormat/>
    <w:uiPriority w:val="99"/>
    <w:pPr>
      <w:ind w:left="200" w:leftChars="200"/>
    </w:pPr>
  </w:style>
  <w:style w:type="character" w:styleId="42">
    <w:name w:val="Strong"/>
    <w:basedOn w:val="41"/>
    <w:qFormat/>
    <w:uiPriority w:val="99"/>
    <w:rPr>
      <w:rFonts w:cs="Times New Roman"/>
      <w:b/>
      <w:bCs/>
    </w:rPr>
  </w:style>
  <w:style w:type="character" w:styleId="43">
    <w:name w:val="page number"/>
    <w:basedOn w:val="41"/>
    <w:qFormat/>
    <w:uiPriority w:val="99"/>
    <w:rPr>
      <w:rFonts w:cs="Times New Roman"/>
    </w:rPr>
  </w:style>
  <w:style w:type="character" w:styleId="44">
    <w:name w:val="FollowedHyperlink"/>
    <w:basedOn w:val="41"/>
    <w:qFormat/>
    <w:uiPriority w:val="99"/>
    <w:rPr>
      <w:rFonts w:cs="Times New Roman"/>
      <w:color w:val="800080"/>
      <w:u w:val="single"/>
    </w:rPr>
  </w:style>
  <w:style w:type="character" w:styleId="45">
    <w:name w:val="Hyperlink"/>
    <w:basedOn w:val="41"/>
    <w:qFormat/>
    <w:uiPriority w:val="99"/>
    <w:rPr>
      <w:rFonts w:cs="Times New Roman"/>
      <w:color w:val="0000FF"/>
      <w:u w:val="single"/>
    </w:rPr>
  </w:style>
  <w:style w:type="character" w:styleId="46">
    <w:name w:val="annotation reference"/>
    <w:basedOn w:val="41"/>
    <w:qFormat/>
    <w:uiPriority w:val="99"/>
    <w:rPr>
      <w:rFonts w:cs="Times New Roman"/>
      <w:sz w:val="21"/>
      <w:szCs w:val="21"/>
    </w:rPr>
  </w:style>
  <w:style w:type="table" w:styleId="48">
    <w:name w:val="Table Grid"/>
    <w:basedOn w:val="47"/>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styleId="49">
    <w:name w:val="Table Theme"/>
    <w:basedOn w:val="4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0">
    <w:name w:val="标题 1 Char"/>
    <w:basedOn w:val="41"/>
    <w:link w:val="2"/>
    <w:qFormat/>
    <w:locked/>
    <w:uiPriority w:val="99"/>
    <w:rPr>
      <w:rFonts w:eastAsia="仿宋_GB2312" w:cs="Times New Roman"/>
      <w:b/>
      <w:bCs/>
      <w:kern w:val="44"/>
      <w:sz w:val="44"/>
      <w:szCs w:val="44"/>
    </w:rPr>
  </w:style>
  <w:style w:type="character" w:customStyle="1" w:styleId="51">
    <w:name w:val="标题 2 Char"/>
    <w:basedOn w:val="41"/>
    <w:link w:val="3"/>
    <w:qFormat/>
    <w:locked/>
    <w:uiPriority w:val="99"/>
    <w:rPr>
      <w:rFonts w:ascii="Arial" w:hAnsi="Arial" w:eastAsia="仿宋_GB2312" w:cs="Times New Roman"/>
      <w:b/>
      <w:bCs/>
      <w:sz w:val="32"/>
      <w:szCs w:val="32"/>
    </w:rPr>
  </w:style>
  <w:style w:type="character" w:customStyle="1" w:styleId="52">
    <w:name w:val="标题 3 Char"/>
    <w:basedOn w:val="41"/>
    <w:link w:val="4"/>
    <w:qFormat/>
    <w:locked/>
    <w:uiPriority w:val="99"/>
    <w:rPr>
      <w:rFonts w:cs="Times New Roman"/>
      <w:b/>
      <w:kern w:val="2"/>
      <w:sz w:val="32"/>
    </w:rPr>
  </w:style>
  <w:style w:type="character" w:customStyle="1" w:styleId="53">
    <w:name w:val="标题 4 Char"/>
    <w:basedOn w:val="41"/>
    <w:link w:val="5"/>
    <w:qFormat/>
    <w:locked/>
    <w:uiPriority w:val="99"/>
    <w:rPr>
      <w:rFonts w:ascii="Cambria" w:hAnsi="Cambria" w:cs="Times New Roman"/>
      <w:b/>
      <w:bCs/>
      <w:kern w:val="2"/>
      <w:sz w:val="28"/>
      <w:szCs w:val="28"/>
    </w:rPr>
  </w:style>
  <w:style w:type="character" w:customStyle="1" w:styleId="54">
    <w:name w:val="标题 5 Char"/>
    <w:basedOn w:val="41"/>
    <w:link w:val="6"/>
    <w:qFormat/>
    <w:locked/>
    <w:uiPriority w:val="99"/>
    <w:rPr>
      <w:rFonts w:ascii="Calibri" w:hAnsi="Calibri" w:cs="Times New Roman"/>
      <w:b/>
      <w:bCs/>
      <w:kern w:val="2"/>
      <w:sz w:val="28"/>
      <w:szCs w:val="28"/>
    </w:rPr>
  </w:style>
  <w:style w:type="character" w:customStyle="1" w:styleId="55">
    <w:name w:val="apple-converted-space"/>
    <w:basedOn w:val="41"/>
    <w:qFormat/>
    <w:uiPriority w:val="99"/>
    <w:rPr>
      <w:rFonts w:cs="Times New Roman"/>
    </w:rPr>
  </w:style>
  <w:style w:type="character" w:customStyle="1" w:styleId="56">
    <w:name w:val="日期 Char"/>
    <w:basedOn w:val="41"/>
    <w:link w:val="23"/>
    <w:qFormat/>
    <w:locked/>
    <w:uiPriority w:val="99"/>
    <w:rPr>
      <w:rFonts w:ascii="宋体" w:cs="Times New Roman"/>
      <w:spacing w:val="20"/>
      <w:sz w:val="28"/>
    </w:rPr>
  </w:style>
  <w:style w:type="character" w:customStyle="1" w:styleId="57">
    <w:name w:val="f101"/>
    <w:qFormat/>
    <w:uiPriority w:val="99"/>
    <w:rPr>
      <w:rFonts w:ascii="Arial" w:hAnsi="Arial"/>
      <w:spacing w:val="480"/>
      <w:sz w:val="18"/>
    </w:rPr>
  </w:style>
  <w:style w:type="character" w:customStyle="1" w:styleId="58">
    <w:name w:val="正文 + 宋体 Char1"/>
    <w:qFormat/>
    <w:uiPriority w:val="99"/>
    <w:rPr>
      <w:rFonts w:eastAsia="宋体"/>
      <w:kern w:val="2"/>
      <w:sz w:val="21"/>
      <w:lang w:val="en-US" w:eastAsia="zh-CN"/>
    </w:rPr>
  </w:style>
  <w:style w:type="character" w:customStyle="1" w:styleId="59">
    <w:name w:val="页脚 Char"/>
    <w:basedOn w:val="41"/>
    <w:link w:val="26"/>
    <w:qFormat/>
    <w:locked/>
    <w:uiPriority w:val="0"/>
    <w:rPr>
      <w:rFonts w:cs="Times New Roman"/>
      <w:sz w:val="18"/>
    </w:rPr>
  </w:style>
  <w:style w:type="character" w:customStyle="1" w:styleId="60">
    <w:name w:val="纯文本 Char"/>
    <w:basedOn w:val="41"/>
    <w:link w:val="20"/>
    <w:qFormat/>
    <w:locked/>
    <w:uiPriority w:val="99"/>
    <w:rPr>
      <w:rFonts w:ascii="宋体" w:hAnsi="Courier New" w:cs="Times New Roman"/>
      <w:kern w:val="2"/>
      <w:sz w:val="21"/>
    </w:rPr>
  </w:style>
  <w:style w:type="character" w:customStyle="1" w:styleId="61">
    <w:name w:val="正文文本缩进 3 Char"/>
    <w:basedOn w:val="41"/>
    <w:link w:val="34"/>
    <w:qFormat/>
    <w:locked/>
    <w:uiPriority w:val="99"/>
    <w:rPr>
      <w:rFonts w:ascii="宋体" w:cs="Times New Roman"/>
      <w:spacing w:val="20"/>
      <w:sz w:val="28"/>
    </w:rPr>
  </w:style>
  <w:style w:type="character" w:customStyle="1" w:styleId="62">
    <w:name w:val="正文文本 Char"/>
    <w:basedOn w:val="41"/>
    <w:link w:val="15"/>
    <w:qFormat/>
    <w:locked/>
    <w:uiPriority w:val="99"/>
    <w:rPr>
      <w:rFonts w:cs="Times New Roman"/>
      <w:spacing w:val="20"/>
      <w:kern w:val="2"/>
      <w:sz w:val="24"/>
    </w:rPr>
  </w:style>
  <w:style w:type="character" w:customStyle="1" w:styleId="63">
    <w:name w:val="页眉 Char"/>
    <w:basedOn w:val="41"/>
    <w:link w:val="27"/>
    <w:qFormat/>
    <w:locked/>
    <w:uiPriority w:val="0"/>
    <w:rPr>
      <w:rFonts w:cs="Times New Roman"/>
      <w:kern w:val="2"/>
      <w:sz w:val="18"/>
    </w:rPr>
  </w:style>
  <w:style w:type="character" w:customStyle="1" w:styleId="64">
    <w:name w:val="short_text1"/>
    <w:basedOn w:val="41"/>
    <w:qFormat/>
    <w:uiPriority w:val="99"/>
    <w:rPr>
      <w:rFonts w:cs="Times New Roman"/>
      <w:sz w:val="29"/>
      <w:szCs w:val="29"/>
    </w:rPr>
  </w:style>
  <w:style w:type="character" w:customStyle="1" w:styleId="65">
    <w:name w:val="ts2"/>
    <w:qFormat/>
    <w:uiPriority w:val="99"/>
    <w:rPr>
      <w:rFonts w:ascii="楷体" w:eastAsia="楷体"/>
      <w:sz w:val="24"/>
    </w:rPr>
  </w:style>
  <w:style w:type="character" w:customStyle="1" w:styleId="66">
    <w:name w:val="正文 + 宋体 Char"/>
    <w:link w:val="67"/>
    <w:qFormat/>
    <w:locked/>
    <w:uiPriority w:val="99"/>
    <w:rPr>
      <w:rFonts w:ascii="宋体" w:eastAsia="宋体"/>
      <w:kern w:val="2"/>
      <w:sz w:val="26"/>
    </w:rPr>
  </w:style>
  <w:style w:type="paragraph" w:customStyle="1" w:styleId="67">
    <w:name w:val="正文 + 宋体"/>
    <w:basedOn w:val="1"/>
    <w:link w:val="66"/>
    <w:qFormat/>
    <w:uiPriority w:val="99"/>
    <w:pPr>
      <w:adjustRightInd w:val="0"/>
      <w:snapToGrid w:val="0"/>
      <w:spacing w:line="360" w:lineRule="auto"/>
      <w:ind w:firstLine="527"/>
    </w:pPr>
    <w:rPr>
      <w:rFonts w:ascii="宋体"/>
      <w:sz w:val="26"/>
    </w:rPr>
  </w:style>
  <w:style w:type="character" w:customStyle="1" w:styleId="68">
    <w:name w:val="bb1"/>
    <w:qFormat/>
    <w:uiPriority w:val="99"/>
    <w:rPr>
      <w:sz w:val="24"/>
    </w:rPr>
  </w:style>
  <w:style w:type="character" w:customStyle="1" w:styleId="69">
    <w:name w:val="duanl"/>
    <w:basedOn w:val="41"/>
    <w:qFormat/>
    <w:uiPriority w:val="99"/>
    <w:rPr>
      <w:rFonts w:cs="Times New Roman"/>
    </w:rPr>
  </w:style>
  <w:style w:type="character" w:customStyle="1" w:styleId="70">
    <w:name w:val="批注文字 Char"/>
    <w:basedOn w:val="41"/>
    <w:link w:val="8"/>
    <w:qFormat/>
    <w:locked/>
    <w:uiPriority w:val="99"/>
    <w:rPr>
      <w:rFonts w:cs="Times New Roman"/>
      <w:kern w:val="2"/>
      <w:sz w:val="21"/>
    </w:rPr>
  </w:style>
  <w:style w:type="character" w:customStyle="1" w:styleId="71">
    <w:name w:val="unnamed11"/>
    <w:qFormat/>
    <w:uiPriority w:val="99"/>
    <w:rPr>
      <w:rFonts w:ascii="宋体" w:hAnsi="宋体" w:eastAsia="宋体"/>
      <w:spacing w:val="240"/>
      <w:sz w:val="18"/>
    </w:rPr>
  </w:style>
  <w:style w:type="character" w:customStyle="1" w:styleId="72">
    <w:name w:val="批注主题 Char"/>
    <w:basedOn w:val="70"/>
    <w:link w:val="7"/>
    <w:qFormat/>
    <w:locked/>
    <w:uiPriority w:val="99"/>
    <w:rPr>
      <w:b/>
      <w:bCs/>
    </w:rPr>
  </w:style>
  <w:style w:type="character" w:customStyle="1" w:styleId="73">
    <w:name w:val="副标题 Char"/>
    <w:basedOn w:val="41"/>
    <w:link w:val="32"/>
    <w:qFormat/>
    <w:locked/>
    <w:uiPriority w:val="99"/>
    <w:rPr>
      <w:rFonts w:ascii="Cambria" w:hAnsi="Cambria" w:cs="Times New Roman"/>
      <w:b/>
      <w:bCs/>
      <w:kern w:val="28"/>
      <w:sz w:val="32"/>
      <w:szCs w:val="32"/>
    </w:rPr>
  </w:style>
  <w:style w:type="character" w:customStyle="1" w:styleId="74">
    <w:name w:val="批注框文本 Char"/>
    <w:basedOn w:val="41"/>
    <w:link w:val="25"/>
    <w:qFormat/>
    <w:locked/>
    <w:uiPriority w:val="99"/>
    <w:rPr>
      <w:rFonts w:cs="Times New Roman"/>
      <w:kern w:val="2"/>
      <w:sz w:val="18"/>
    </w:rPr>
  </w:style>
  <w:style w:type="character" w:customStyle="1" w:styleId="75">
    <w:name w:val="正文文本缩进 Char"/>
    <w:basedOn w:val="41"/>
    <w:link w:val="16"/>
    <w:qFormat/>
    <w:locked/>
    <w:uiPriority w:val="99"/>
    <w:rPr>
      <w:rFonts w:ascii="宋体" w:cs="Times New Roman"/>
      <w:spacing w:val="20"/>
      <w:sz w:val="28"/>
    </w:rPr>
  </w:style>
  <w:style w:type="character" w:customStyle="1" w:styleId="76">
    <w:name w:val="apple-style-span"/>
    <w:basedOn w:val="41"/>
    <w:qFormat/>
    <w:uiPriority w:val="99"/>
    <w:rPr>
      <w:rFonts w:cs="Times New Roman"/>
    </w:rPr>
  </w:style>
  <w:style w:type="character" w:customStyle="1" w:styleId="77">
    <w:name w:val="引用 Char"/>
    <w:basedOn w:val="41"/>
    <w:link w:val="78"/>
    <w:qFormat/>
    <w:locked/>
    <w:uiPriority w:val="99"/>
    <w:rPr>
      <w:rFonts w:cs="Times New Roman"/>
      <w:i/>
      <w:iCs/>
      <w:color w:val="000000"/>
      <w:kern w:val="2"/>
      <w:sz w:val="21"/>
    </w:rPr>
  </w:style>
  <w:style w:type="paragraph" w:customStyle="1" w:styleId="78">
    <w:name w:val="引用1"/>
    <w:basedOn w:val="1"/>
    <w:next w:val="1"/>
    <w:link w:val="77"/>
    <w:qFormat/>
    <w:uiPriority w:val="99"/>
    <w:rPr>
      <w:i/>
      <w:iCs/>
      <w:color w:val="000000"/>
    </w:rPr>
  </w:style>
  <w:style w:type="character" w:customStyle="1" w:styleId="79">
    <w:name w:val="正文文本缩进 2 Char"/>
    <w:basedOn w:val="41"/>
    <w:link w:val="24"/>
    <w:qFormat/>
    <w:locked/>
    <w:uiPriority w:val="99"/>
    <w:rPr>
      <w:rFonts w:cs="Times New Roman"/>
      <w:spacing w:val="20"/>
      <w:kern w:val="2"/>
      <w:sz w:val="28"/>
    </w:rPr>
  </w:style>
  <w:style w:type="character" w:customStyle="1" w:styleId="80">
    <w:name w:val="文档结构图 Char"/>
    <w:basedOn w:val="41"/>
    <w:link w:val="13"/>
    <w:qFormat/>
    <w:locked/>
    <w:uiPriority w:val="99"/>
    <w:rPr>
      <w:rFonts w:ascii="宋体" w:cs="Times New Roman"/>
      <w:kern w:val="2"/>
      <w:sz w:val="18"/>
      <w:szCs w:val="18"/>
    </w:rPr>
  </w:style>
  <w:style w:type="character" w:customStyle="1" w:styleId="81">
    <w:name w:val="divtxt1"/>
    <w:qFormat/>
    <w:uiPriority w:val="99"/>
    <w:rPr>
      <w:color w:val="000000"/>
      <w:spacing w:val="15"/>
    </w:rPr>
  </w:style>
  <w:style w:type="character" w:customStyle="1" w:styleId="82">
    <w:name w:val="f131"/>
    <w:basedOn w:val="41"/>
    <w:qFormat/>
    <w:uiPriority w:val="99"/>
    <w:rPr>
      <w:rFonts w:cs="Times New Roman"/>
    </w:rPr>
  </w:style>
  <w:style w:type="character" w:customStyle="1" w:styleId="83">
    <w:name w:val="批注引用1"/>
    <w:qFormat/>
    <w:uiPriority w:val="99"/>
    <w:rPr>
      <w:sz w:val="21"/>
    </w:rPr>
  </w:style>
  <w:style w:type="paragraph" w:customStyle="1" w:styleId="84">
    <w:name w:val="xl2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85">
    <w:name w:val="xl2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86">
    <w:name w:val="xl3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87">
    <w:name w:val="xl31"/>
    <w:basedOn w:val="1"/>
    <w:qFormat/>
    <w:uiPriority w:val="99"/>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88">
    <w:name w:val="xl28"/>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89">
    <w:name w:val="font5"/>
    <w:basedOn w:val="1"/>
    <w:qFormat/>
    <w:uiPriority w:val="99"/>
    <w:pPr>
      <w:widowControl/>
      <w:spacing w:before="100" w:beforeAutospacing="1" w:after="100" w:afterAutospacing="1"/>
      <w:jc w:val="left"/>
    </w:pPr>
    <w:rPr>
      <w:rFonts w:ascii="宋体" w:hAnsi="宋体" w:cs="Arial Unicode MS"/>
      <w:kern w:val="0"/>
      <w:sz w:val="18"/>
      <w:szCs w:val="18"/>
    </w:rPr>
  </w:style>
  <w:style w:type="paragraph" w:customStyle="1" w:styleId="90">
    <w:name w:val="修订1"/>
    <w:semiHidden/>
    <w:qFormat/>
    <w:uiPriority w:val="99"/>
    <w:rPr>
      <w:rFonts w:ascii="Calibri" w:hAnsi="Calibri" w:eastAsia="宋体" w:cs="Times New Roman"/>
      <w:kern w:val="2"/>
      <w:sz w:val="21"/>
      <w:szCs w:val="22"/>
      <w:lang w:val="en-US" w:eastAsia="zh-CN" w:bidi="ar-SA"/>
    </w:rPr>
  </w:style>
  <w:style w:type="paragraph" w:customStyle="1" w:styleId="91">
    <w:name w:val="1"/>
    <w:basedOn w:val="1"/>
    <w:next w:val="39"/>
    <w:qFormat/>
    <w:uiPriority w:val="99"/>
    <w:pPr>
      <w:widowControl/>
      <w:spacing w:before="100" w:after="100"/>
      <w:jc w:val="left"/>
    </w:pPr>
    <w:rPr>
      <w:rFonts w:ascii="宋体" w:hAnsi="宋体"/>
      <w:kern w:val="0"/>
      <w:sz w:val="18"/>
    </w:rPr>
  </w:style>
  <w:style w:type="paragraph" w:customStyle="1" w:styleId="92">
    <w:name w:val="xl3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93">
    <w:name w:val="xl2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94">
    <w:name w:val="彩色列表 - 强调文字颜色 11"/>
    <w:basedOn w:val="1"/>
    <w:qFormat/>
    <w:uiPriority w:val="99"/>
    <w:pPr>
      <w:ind w:firstLine="420" w:firstLineChars="200"/>
    </w:pPr>
    <w:rPr>
      <w:rFonts w:ascii="Calibri" w:hAnsi="Calibri"/>
      <w:szCs w:val="22"/>
    </w:rPr>
  </w:style>
  <w:style w:type="paragraph" w:customStyle="1" w:styleId="95">
    <w:name w:val="xl29"/>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96">
    <w:name w:val="xl41"/>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0"/>
    </w:rPr>
  </w:style>
  <w:style w:type="paragraph" w:customStyle="1" w:styleId="97">
    <w:name w:val="Char1 Char Char Char1"/>
    <w:basedOn w:val="1"/>
    <w:qFormat/>
    <w:uiPriority w:val="99"/>
    <w:pPr>
      <w:widowControl/>
      <w:spacing w:after="160" w:line="240" w:lineRule="exact"/>
      <w:jc w:val="left"/>
    </w:pPr>
    <w:rPr>
      <w:rFonts w:ascii="Tahoma" w:hAnsi="Tahoma"/>
      <w:kern w:val="0"/>
      <w:sz w:val="24"/>
      <w:szCs w:val="24"/>
      <w:lang w:eastAsia="en-US"/>
    </w:rPr>
  </w:style>
  <w:style w:type="paragraph" w:customStyle="1" w:styleId="98">
    <w:name w:val="默认段落字体 Para Char Char Char Char Char Char Char"/>
    <w:basedOn w:val="1"/>
    <w:qFormat/>
    <w:uiPriority w:val="99"/>
    <w:rPr>
      <w:rFonts w:ascii="Tahoma" w:hAnsi="Tahoma"/>
      <w:sz w:val="24"/>
    </w:rPr>
  </w:style>
  <w:style w:type="paragraph" w:customStyle="1" w:styleId="99">
    <w:name w:val="xl37"/>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00">
    <w:name w:val="样式6"/>
    <w:basedOn w:val="27"/>
    <w:qFormat/>
    <w:uiPriority w:val="0"/>
    <w:pPr>
      <w:pBdr>
        <w:bottom w:val="single" w:color="auto" w:sz="4" w:space="1"/>
      </w:pBdr>
      <w:jc w:val="both"/>
    </w:pPr>
    <w:rPr>
      <w:rFonts w:ascii="宋体" w:hAnsi="宋体"/>
      <w:u w:val="single"/>
    </w:rPr>
  </w:style>
  <w:style w:type="paragraph" w:customStyle="1" w:styleId="101">
    <w:name w:val="font7"/>
    <w:basedOn w:val="1"/>
    <w:qFormat/>
    <w:uiPriority w:val="99"/>
    <w:pPr>
      <w:widowControl/>
      <w:spacing w:before="100" w:beforeAutospacing="1" w:after="100" w:afterAutospacing="1"/>
      <w:jc w:val="left"/>
    </w:pPr>
    <w:rPr>
      <w:rFonts w:ascii="宋体" w:hAnsi="宋体" w:cs="Arial Unicode MS"/>
      <w:color w:val="000000"/>
      <w:kern w:val="0"/>
      <w:sz w:val="18"/>
      <w:szCs w:val="18"/>
    </w:rPr>
  </w:style>
  <w:style w:type="paragraph" w:customStyle="1" w:styleId="102">
    <w:name w:val="Char"/>
    <w:basedOn w:val="1"/>
    <w:qFormat/>
    <w:uiPriority w:val="99"/>
    <w:rPr>
      <w:szCs w:val="24"/>
    </w:rPr>
  </w:style>
  <w:style w:type="paragraph" w:customStyle="1" w:styleId="103">
    <w:name w:val="样式7"/>
    <w:basedOn w:val="27"/>
    <w:qFormat/>
    <w:uiPriority w:val="0"/>
    <w:pPr>
      <w:pBdr>
        <w:bottom w:val="single" w:color="auto" w:sz="4" w:space="1"/>
      </w:pBdr>
      <w:jc w:val="both"/>
    </w:pPr>
    <w:rPr>
      <w:rFonts w:ascii="宋体" w:hAnsi="宋体"/>
      <w:u w:val="single"/>
    </w:rPr>
  </w:style>
  <w:style w:type="paragraph" w:customStyle="1" w:styleId="104">
    <w:name w:val="font11"/>
    <w:basedOn w:val="1"/>
    <w:qFormat/>
    <w:uiPriority w:val="99"/>
    <w:pPr>
      <w:widowControl/>
      <w:spacing w:before="100" w:beforeAutospacing="1" w:after="100" w:afterAutospacing="1"/>
      <w:jc w:val="left"/>
    </w:pPr>
    <w:rPr>
      <w:kern w:val="0"/>
      <w:sz w:val="16"/>
      <w:szCs w:val="16"/>
    </w:rPr>
  </w:style>
  <w:style w:type="paragraph" w:customStyle="1" w:styleId="105">
    <w:name w:val="font0"/>
    <w:basedOn w:val="1"/>
    <w:qFormat/>
    <w:uiPriority w:val="99"/>
    <w:pPr>
      <w:widowControl/>
      <w:spacing w:before="100" w:beforeAutospacing="1" w:after="100" w:afterAutospacing="1"/>
      <w:jc w:val="left"/>
    </w:pPr>
    <w:rPr>
      <w:rFonts w:ascii="宋体" w:hAnsi="宋体" w:cs="Arial Unicode MS"/>
      <w:kern w:val="0"/>
      <w:sz w:val="24"/>
      <w:szCs w:val="24"/>
    </w:rPr>
  </w:style>
  <w:style w:type="paragraph" w:customStyle="1" w:styleId="106">
    <w:name w:val="样式4"/>
    <w:basedOn w:val="107"/>
    <w:qFormat/>
    <w:uiPriority w:val="0"/>
    <w:pPr>
      <w:pBdr>
        <w:bottom w:val="none" w:color="auto" w:sz="0" w:space="0"/>
      </w:pBdr>
      <w:tabs>
        <w:tab w:val="center" w:pos="4153"/>
        <w:tab w:val="right" w:pos="8306"/>
      </w:tabs>
    </w:pPr>
  </w:style>
  <w:style w:type="paragraph" w:customStyle="1" w:styleId="107">
    <w:name w:val="样式2"/>
    <w:basedOn w:val="27"/>
    <w:qFormat/>
    <w:uiPriority w:val="0"/>
    <w:pPr>
      <w:pBdr>
        <w:bottom w:val="single" w:color="auto" w:sz="4" w:space="1"/>
      </w:pBdr>
      <w:jc w:val="both"/>
    </w:pPr>
    <w:rPr>
      <w:rFonts w:ascii="宋体"/>
      <w:u w:val="single"/>
    </w:rPr>
  </w:style>
  <w:style w:type="paragraph" w:customStyle="1" w:styleId="108">
    <w:name w:val="font12"/>
    <w:basedOn w:val="1"/>
    <w:qFormat/>
    <w:uiPriority w:val="99"/>
    <w:pPr>
      <w:widowControl/>
      <w:spacing w:before="100" w:beforeAutospacing="1" w:after="100" w:afterAutospacing="1"/>
      <w:jc w:val="left"/>
    </w:pPr>
    <w:rPr>
      <w:b/>
      <w:bCs/>
      <w:color w:val="000000"/>
      <w:kern w:val="0"/>
      <w:sz w:val="18"/>
      <w:szCs w:val="18"/>
    </w:rPr>
  </w:style>
  <w:style w:type="paragraph" w:customStyle="1" w:styleId="109">
    <w:name w:val="正文文本缩进 211"/>
    <w:basedOn w:val="1"/>
    <w:qFormat/>
    <w:uiPriority w:val="99"/>
    <w:pPr>
      <w:spacing w:after="120" w:line="480" w:lineRule="auto"/>
      <w:ind w:left="420" w:leftChars="200"/>
    </w:pPr>
  </w:style>
  <w:style w:type="paragraph" w:customStyle="1" w:styleId="110">
    <w:name w:val="3"/>
    <w:basedOn w:val="1"/>
    <w:next w:val="39"/>
    <w:qFormat/>
    <w:uiPriority w:val="99"/>
    <w:pPr>
      <w:widowControl/>
      <w:spacing w:before="100" w:after="100"/>
      <w:jc w:val="left"/>
    </w:pPr>
    <w:rPr>
      <w:rFonts w:ascii="宋体" w:hAnsi="宋体"/>
      <w:kern w:val="0"/>
      <w:sz w:val="18"/>
    </w:rPr>
  </w:style>
  <w:style w:type="paragraph" w:customStyle="1" w:styleId="111">
    <w:name w:val="Default"/>
    <w:qFormat/>
    <w:uiPriority w:val="99"/>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112">
    <w:name w:val="Char1 Char Char Char"/>
    <w:basedOn w:val="1"/>
    <w:qFormat/>
    <w:uiPriority w:val="99"/>
    <w:pPr>
      <w:widowControl/>
      <w:spacing w:after="160" w:line="240" w:lineRule="exact"/>
      <w:jc w:val="left"/>
    </w:pPr>
    <w:rPr>
      <w:rFonts w:ascii="Tahoma" w:hAnsi="Tahoma"/>
      <w:kern w:val="0"/>
      <w:sz w:val="24"/>
      <w:szCs w:val="24"/>
      <w:lang w:eastAsia="en-US"/>
    </w:rPr>
  </w:style>
  <w:style w:type="paragraph" w:customStyle="1" w:styleId="113">
    <w:name w:val="xl3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14">
    <w:name w:val="xl36"/>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15">
    <w:name w:val="样式1"/>
    <w:basedOn w:val="1"/>
    <w:qFormat/>
    <w:uiPriority w:val="0"/>
    <w:pPr>
      <w:spacing w:line="360" w:lineRule="auto"/>
      <w:ind w:firstLine="360" w:firstLineChars="150"/>
    </w:pPr>
    <w:rPr>
      <w:rFonts w:ascii="仿宋_GB2312" w:hAnsi="宋体" w:eastAsia="仿宋_GB2312"/>
      <w:sz w:val="24"/>
      <w:szCs w:val="24"/>
    </w:rPr>
  </w:style>
  <w:style w:type="paragraph" w:customStyle="1" w:styleId="116">
    <w:name w:val="xl3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17">
    <w:name w:val="font6"/>
    <w:basedOn w:val="1"/>
    <w:qFormat/>
    <w:uiPriority w:val="99"/>
    <w:pPr>
      <w:widowControl/>
      <w:spacing w:before="100" w:beforeAutospacing="1" w:after="100" w:afterAutospacing="1"/>
      <w:jc w:val="left"/>
    </w:pPr>
    <w:rPr>
      <w:kern w:val="0"/>
      <w:sz w:val="18"/>
      <w:szCs w:val="18"/>
    </w:rPr>
  </w:style>
  <w:style w:type="paragraph" w:customStyle="1" w:styleId="118">
    <w:name w:val="普通(网站)1"/>
    <w:basedOn w:val="1"/>
    <w:qFormat/>
    <w:uiPriority w:val="99"/>
    <w:pPr>
      <w:widowControl/>
      <w:spacing w:before="100" w:after="100"/>
      <w:jc w:val="left"/>
    </w:pPr>
    <w:rPr>
      <w:rFonts w:ascii="宋体" w:hAnsi="宋体"/>
      <w:kern w:val="0"/>
      <w:sz w:val="18"/>
    </w:rPr>
  </w:style>
  <w:style w:type="paragraph" w:customStyle="1" w:styleId="119">
    <w:name w:val="xl10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rPr>
  </w:style>
  <w:style w:type="paragraph" w:customStyle="1" w:styleId="120">
    <w:name w:val="xl39"/>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21">
    <w:name w:val="xl104"/>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rPr>
  </w:style>
  <w:style w:type="paragraph" w:customStyle="1" w:styleId="122">
    <w:name w:val="列出段落11"/>
    <w:basedOn w:val="1"/>
    <w:uiPriority w:val="99"/>
    <w:pPr>
      <w:ind w:firstLine="420" w:firstLineChars="200"/>
    </w:pPr>
    <w:rPr>
      <w:rFonts w:ascii="Calibri" w:hAnsi="Calibri"/>
      <w:szCs w:val="22"/>
    </w:rPr>
  </w:style>
  <w:style w:type="paragraph" w:customStyle="1" w:styleId="123">
    <w:name w:val="Char Char Char Char Char Char"/>
    <w:basedOn w:val="1"/>
    <w:qFormat/>
    <w:uiPriority w:val="99"/>
    <w:pPr>
      <w:widowControl/>
      <w:spacing w:after="160" w:line="240" w:lineRule="exact"/>
      <w:jc w:val="left"/>
    </w:pPr>
    <w:rPr>
      <w:rFonts w:ascii="Verdana" w:hAnsi="Verdana" w:cs="Verdana"/>
      <w:kern w:val="0"/>
      <w:sz w:val="20"/>
      <w:lang w:eastAsia="en-US"/>
    </w:rPr>
  </w:style>
  <w:style w:type="paragraph" w:customStyle="1" w:styleId="124">
    <w:name w:val="样式3"/>
    <w:basedOn w:val="1"/>
    <w:qFormat/>
    <w:uiPriority w:val="99"/>
    <w:pPr>
      <w:adjustRightInd w:val="0"/>
      <w:spacing w:line="400" w:lineRule="exact"/>
      <w:ind w:firstLine="737"/>
      <w:jc w:val="left"/>
      <w:textAlignment w:val="baseline"/>
    </w:pPr>
    <w:rPr>
      <w:rFonts w:ascii="仿宋体"/>
      <w:spacing w:val="24"/>
      <w:kern w:val="0"/>
      <w:sz w:val="30"/>
    </w:rPr>
  </w:style>
  <w:style w:type="paragraph" w:customStyle="1" w:styleId="125">
    <w:name w:val="Char11"/>
    <w:basedOn w:val="1"/>
    <w:qFormat/>
    <w:uiPriority w:val="99"/>
    <w:pPr>
      <w:widowControl/>
      <w:spacing w:after="160" w:line="240" w:lineRule="exact"/>
      <w:jc w:val="left"/>
    </w:pPr>
    <w:rPr>
      <w:rFonts w:ascii="Verdana" w:hAnsi="Verdana"/>
      <w:kern w:val="0"/>
      <w:sz w:val="20"/>
      <w:lang w:eastAsia="en-US"/>
    </w:rPr>
  </w:style>
  <w:style w:type="paragraph" w:customStyle="1" w:styleId="126">
    <w:name w:val="xl2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27">
    <w:name w:val="4"/>
    <w:basedOn w:val="1"/>
    <w:next w:val="34"/>
    <w:qFormat/>
    <w:uiPriority w:val="99"/>
    <w:pPr>
      <w:adjustRightInd w:val="0"/>
      <w:spacing w:line="360" w:lineRule="auto"/>
      <w:ind w:left="600" w:firstLine="555"/>
      <w:jc w:val="left"/>
      <w:textAlignment w:val="baseline"/>
      <w:outlineLvl w:val="0"/>
    </w:pPr>
    <w:rPr>
      <w:rFonts w:ascii="楷体_GB2312" w:eastAsia="楷体_GB2312"/>
      <w:sz w:val="28"/>
    </w:rPr>
  </w:style>
  <w:style w:type="paragraph" w:customStyle="1" w:styleId="128">
    <w:name w:val="xl40"/>
    <w:basedOn w:val="1"/>
    <w:qFormat/>
    <w:uiPriority w:val="99"/>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0"/>
    </w:rPr>
  </w:style>
  <w:style w:type="paragraph" w:customStyle="1" w:styleId="129">
    <w:name w:val="font8"/>
    <w:basedOn w:val="1"/>
    <w:qFormat/>
    <w:uiPriority w:val="99"/>
    <w:pPr>
      <w:widowControl/>
      <w:spacing w:before="100" w:beforeAutospacing="1" w:after="100" w:afterAutospacing="1"/>
      <w:jc w:val="left"/>
    </w:pPr>
    <w:rPr>
      <w:rFonts w:ascii="宋体" w:hAnsi="宋体" w:cs="Arial Unicode MS"/>
      <w:kern w:val="0"/>
      <w:sz w:val="16"/>
      <w:szCs w:val="16"/>
    </w:rPr>
  </w:style>
  <w:style w:type="paragraph" w:customStyle="1" w:styleId="130">
    <w:name w:val="font1"/>
    <w:basedOn w:val="1"/>
    <w:qFormat/>
    <w:uiPriority w:val="99"/>
    <w:pPr>
      <w:widowControl/>
      <w:spacing w:before="100" w:beforeAutospacing="1" w:after="100" w:afterAutospacing="1"/>
      <w:jc w:val="left"/>
    </w:pPr>
    <w:rPr>
      <w:rFonts w:ascii="宋体" w:hAnsi="宋体" w:cs="Arial Unicode MS"/>
      <w:b/>
      <w:bCs/>
      <w:kern w:val="0"/>
      <w:sz w:val="24"/>
      <w:szCs w:val="24"/>
    </w:rPr>
  </w:style>
  <w:style w:type="paragraph" w:customStyle="1" w:styleId="131">
    <w:name w:val="正文文本缩进 21"/>
    <w:basedOn w:val="1"/>
    <w:qFormat/>
    <w:uiPriority w:val="99"/>
    <w:pPr>
      <w:spacing w:after="120" w:line="480" w:lineRule="auto"/>
      <w:ind w:left="420" w:leftChars="200"/>
    </w:pPr>
  </w:style>
  <w:style w:type="paragraph" w:customStyle="1" w:styleId="132">
    <w:name w:val="font10"/>
    <w:basedOn w:val="1"/>
    <w:qFormat/>
    <w:uiPriority w:val="99"/>
    <w:pPr>
      <w:widowControl/>
      <w:spacing w:before="100" w:beforeAutospacing="1" w:after="100" w:afterAutospacing="1"/>
      <w:jc w:val="left"/>
    </w:pPr>
    <w:rPr>
      <w:color w:val="000000"/>
      <w:kern w:val="0"/>
      <w:sz w:val="18"/>
      <w:szCs w:val="18"/>
    </w:rPr>
  </w:style>
  <w:style w:type="paragraph" w:customStyle="1" w:styleId="133">
    <w:name w:val="xl3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34">
    <w:name w:val="xl43"/>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0"/>
    </w:rPr>
  </w:style>
  <w:style w:type="paragraph" w:styleId="135">
    <w:name w:val="List Paragraph"/>
    <w:basedOn w:val="1"/>
    <w:qFormat/>
    <w:uiPriority w:val="34"/>
    <w:pPr>
      <w:ind w:firstLine="420" w:firstLineChars="200"/>
    </w:pPr>
  </w:style>
  <w:style w:type="paragraph" w:customStyle="1" w:styleId="136">
    <w:name w:val="2"/>
    <w:basedOn w:val="1"/>
    <w:next w:val="34"/>
    <w:qFormat/>
    <w:uiPriority w:val="99"/>
    <w:pPr>
      <w:adjustRightInd w:val="0"/>
      <w:spacing w:line="360" w:lineRule="auto"/>
      <w:ind w:left="600" w:firstLine="555"/>
      <w:jc w:val="left"/>
      <w:textAlignment w:val="baseline"/>
      <w:outlineLvl w:val="0"/>
    </w:pPr>
    <w:rPr>
      <w:rFonts w:ascii="楷体_GB2312" w:eastAsia="楷体_GB2312"/>
      <w:sz w:val="28"/>
    </w:rPr>
  </w:style>
  <w:style w:type="paragraph" w:customStyle="1" w:styleId="137">
    <w:name w:val="列出段落1"/>
    <w:basedOn w:val="1"/>
    <w:qFormat/>
    <w:uiPriority w:val="99"/>
    <w:pPr>
      <w:ind w:firstLine="420" w:firstLineChars="200"/>
    </w:pPr>
    <w:rPr>
      <w:szCs w:val="24"/>
    </w:rPr>
  </w:style>
  <w:style w:type="paragraph" w:customStyle="1" w:styleId="138">
    <w:name w:val="xl42"/>
    <w:basedOn w:val="1"/>
    <w:qFormat/>
    <w:uiPriority w:val="99"/>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0"/>
    </w:rPr>
  </w:style>
  <w:style w:type="paragraph" w:customStyle="1" w:styleId="139">
    <w:name w:val="xl35"/>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40">
    <w:name w:val="xl10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rPr>
  </w:style>
  <w:style w:type="paragraph" w:customStyle="1" w:styleId="141">
    <w:name w:val="font9"/>
    <w:basedOn w:val="1"/>
    <w:qFormat/>
    <w:uiPriority w:val="99"/>
    <w:pPr>
      <w:widowControl/>
      <w:spacing w:before="100" w:beforeAutospacing="1" w:after="100" w:afterAutospacing="1"/>
      <w:jc w:val="left"/>
    </w:pPr>
    <w:rPr>
      <w:rFonts w:ascii="宋体" w:hAnsi="宋体" w:cs="Arial Unicode MS"/>
      <w:kern w:val="0"/>
      <w:sz w:val="16"/>
      <w:szCs w:val="16"/>
    </w:rPr>
  </w:style>
  <w:style w:type="paragraph" w:customStyle="1" w:styleId="142">
    <w:name w:val="Char1"/>
    <w:basedOn w:val="1"/>
    <w:qFormat/>
    <w:uiPriority w:val="99"/>
    <w:pPr>
      <w:widowControl/>
      <w:spacing w:after="160" w:line="240" w:lineRule="exact"/>
      <w:jc w:val="left"/>
    </w:pPr>
    <w:rPr>
      <w:rFonts w:ascii="Verdana" w:hAnsi="Verdana"/>
      <w:kern w:val="0"/>
      <w:sz w:val="20"/>
      <w:lang w:eastAsia="en-US"/>
    </w:rPr>
  </w:style>
  <w:style w:type="paragraph" w:customStyle="1" w:styleId="143">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44">
    <w:name w:val="样式5"/>
    <w:basedOn w:val="106"/>
    <w:qFormat/>
    <w:uiPriority w:val="0"/>
    <w:pPr>
      <w:pBdr>
        <w:bottom w:val="single" w:color="auto" w:sz="4" w:space="1"/>
      </w:pBdr>
    </w:pPr>
  </w:style>
  <w:style w:type="paragraph" w:customStyle="1" w:styleId="145">
    <w:name w:val="List Paragraph1"/>
    <w:basedOn w:val="1"/>
    <w:qFormat/>
    <w:uiPriority w:val="99"/>
    <w:pPr>
      <w:ind w:firstLine="420" w:firstLineChars="200"/>
    </w:pPr>
    <w:rPr>
      <w:szCs w:val="24"/>
    </w:rPr>
  </w:style>
  <w:style w:type="paragraph" w:customStyle="1" w:styleId="146">
    <w:name w:val="Quote1"/>
    <w:basedOn w:val="1"/>
    <w:next w:val="1"/>
    <w:link w:val="147"/>
    <w:qFormat/>
    <w:uiPriority w:val="99"/>
    <w:rPr>
      <w:i/>
      <w:iCs/>
      <w:color w:val="000000"/>
    </w:rPr>
  </w:style>
  <w:style w:type="character" w:customStyle="1" w:styleId="147">
    <w:name w:val="Quote Char"/>
    <w:basedOn w:val="41"/>
    <w:link w:val="146"/>
    <w:qFormat/>
    <w:locked/>
    <w:uiPriority w:val="99"/>
    <w:rPr>
      <w:i/>
      <w:iCs/>
      <w:color w:val="000000"/>
      <w:kern w:val="2"/>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oleObject" Target="embeddings/oleObject2.bin"/><Relationship Id="rId16" Type="http://schemas.openxmlformats.org/officeDocument/2006/relationships/image" Target="media/image3.w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C62EAB-C77B-4D8B-9577-BCED6E66CA2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4463</Words>
  <Characters>25443</Characters>
  <Lines>212</Lines>
  <Paragraphs>59</Paragraphs>
  <TotalTime>17</TotalTime>
  <ScaleCrop>false</ScaleCrop>
  <LinksUpToDate>false</LinksUpToDate>
  <CharactersWithSpaces>29847</CharactersWithSpaces>
  <Application>WPS Office_11.1.0.7940_F1E327BC-269C-435d-A152-05C5408002CA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2018-10-11T02:17:00Z</dcterms:created>
  <dc:creator>yu</dc:creator>
  <cp:lastModifiedBy>史敏</cp:lastModifiedBy>
  <cp:lastPrinted>2018-09-05T01:44:00Z</cp:lastPrinted>
  <dcterms:modified xsi:type="dcterms:W3CDTF">2018-11-22T10:23:21Z</dcterms:modified>
  <dc:title>致 委 托 方 函</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2052-11.1.0.7940</vt:lpwstr>
  </property>
</Properties>
</file>