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r>
        <w:rPr>
          <w:rFonts w:hint="eastAsia" w:ascii="黑体" w:hAnsi="黑体" w:eastAsia="黑体"/>
          <w:sz w:val="44"/>
        </w:rPr>
        <w:t xml:space="preserve">    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估价报告编号：冀沧宝宇估字[2020]083号</w:t>
      </w:r>
    </w:p>
    <w:p>
      <w:pPr>
        <w:widowControl w:val="0"/>
        <w:spacing w:line="548" w:lineRule="atLeast"/>
        <w:ind w:firstLine="600" w:firstLineChars="0"/>
        <w:jc w:val="left"/>
        <w:rPr>
          <w:rFonts w:hint="eastAsia" w:ascii="仿宋_GB2312" w:hAnsi="仿宋_GB2312" w:eastAsia="仿宋_GB2312"/>
          <w:spacing w:val="-3"/>
          <w:sz w:val="30"/>
        </w:rPr>
      </w:pPr>
      <w:r>
        <w:rPr>
          <w:rFonts w:hint="eastAsia" w:ascii="仿宋_GB2312" w:hAnsi="仿宋_GB2312" w:eastAsia="仿宋_GB2312"/>
          <w:sz w:val="30"/>
        </w:rPr>
        <w:t>估价项目名称：</w:t>
      </w:r>
      <w:r>
        <w:rPr>
          <w:rFonts w:hint="eastAsia" w:ascii="仿宋_GB2312" w:hAnsi="仿宋_GB2312" w:eastAsia="仿宋_GB2312"/>
          <w:spacing w:val="-3"/>
          <w:sz w:val="30"/>
        </w:rPr>
        <w:t>黄骅市广信宁园6号楼1单元202室房地产市场价值评估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pacing w:val="-3"/>
          <w:sz w:val="30"/>
        </w:rPr>
        <w:t>黄骅市</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注册房地产估价师：于红心（注册号1319960016）</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马 静（注册号1320190062）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估价报告出具日期：2020年6月24日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致估价委托人函</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0" w:firstLineChars="0"/>
        <w:rPr>
          <w:rFonts w:hint="eastAsia" w:ascii="仿宋_GB2312" w:hAnsi="仿宋_GB2312" w:eastAsia="仿宋_GB2312"/>
          <w:sz w:val="30"/>
        </w:rPr>
      </w:pPr>
      <w:r>
        <w:rPr>
          <w:rFonts w:hint="eastAsia" w:ascii="仿宋_GB2312" w:hAnsi="仿宋_GB2312" w:eastAsia="仿宋_GB2312"/>
          <w:spacing w:val="-3"/>
          <w:sz w:val="30"/>
        </w:rPr>
        <w:t>黄骅市</w:t>
      </w:r>
      <w:r>
        <w:rPr>
          <w:rFonts w:hint="eastAsia" w:ascii="仿宋_GB2312" w:hAnsi="仿宋_GB2312" w:eastAsia="仿宋_GB2312"/>
          <w:sz w:val="30"/>
        </w:rPr>
        <w:t>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承蒙贵院委托，本公司对田淑惠所有位于</w:t>
      </w:r>
      <w:r>
        <w:rPr>
          <w:rFonts w:hint="eastAsia" w:ascii="仿宋_GB2312" w:hAnsi="仿宋_GB2312" w:eastAsia="仿宋_GB2312"/>
          <w:spacing w:val="-3"/>
          <w:sz w:val="30"/>
        </w:rPr>
        <w:t>黄骅市广信宁园6号楼1单元202室</w:t>
      </w:r>
      <w:r>
        <w:rPr>
          <w:rFonts w:hint="eastAsia" w:ascii="仿宋_GB2312" w:hAnsi="仿宋_GB2312" w:eastAsia="仿宋_GB2312"/>
          <w:sz w:val="30"/>
        </w:rPr>
        <w:t>，建筑面积为109.04平方米房地产市场价值进行了评估，价值时点为2020年5月25日，估价目的：为委托方确定拍卖保留价提供参考依据。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在整个估价过程中，注册房地产估价师本着独立、客观、公正的原则，在对估价对象进行了实地查勘、广泛收集有关市场信息和估价对象信息的基础上，全面分析了影响估价对象市场价格的因素，运用比较法对估价对象进行了评估，最终确定估价对象在价值时点的市场价值为￥</w:t>
      </w:r>
      <w:r>
        <w:rPr>
          <w:rFonts w:hint="eastAsia" w:ascii="仿宋_GB2312" w:hAnsi="仿宋_GB2312" w:eastAsia="仿宋_GB2312"/>
          <w:b/>
          <w:sz w:val="30"/>
        </w:rPr>
        <w:t>93.33万元</w:t>
      </w:r>
      <w:r>
        <w:rPr>
          <w:rFonts w:hint="eastAsia" w:ascii="仿宋_GB2312" w:hAnsi="仿宋_GB2312" w:eastAsia="仿宋_GB2312"/>
          <w:sz w:val="30"/>
        </w:rPr>
        <w:t>（</w:t>
      </w:r>
      <w:r>
        <w:rPr>
          <w:rFonts w:hint="eastAsia" w:ascii="仿宋_GB2312" w:hAnsi="仿宋_GB2312" w:eastAsia="仿宋_GB2312"/>
          <w:b/>
          <w:sz w:val="30"/>
        </w:rPr>
        <w:t>人民币玖拾叁万叁仟叁佰元整）</w:t>
      </w:r>
      <w:r>
        <w:rPr>
          <w:rFonts w:hint="eastAsia" w:ascii="仿宋_GB2312" w:hAnsi="仿宋_GB2312" w:eastAsia="仿宋_GB2312"/>
          <w:sz w:val="30"/>
        </w:rPr>
        <w:t>单价：8559元/m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法定代表人：   </w:t>
      </w:r>
    </w:p>
    <w:p>
      <w:pPr>
        <w:widowControl w:val="0"/>
        <w:spacing w:line="548" w:lineRule="atLeast"/>
        <w:ind w:firstLine="600" w:firstLineChars="0"/>
        <w:jc w:val="center"/>
        <w:rPr>
          <w:rFonts w:hint="eastAsia" w:ascii="黑体" w:hAnsi="黑体" w:eastAsia="黑体"/>
          <w:sz w:val="30"/>
        </w:rPr>
      </w:pPr>
      <w:r>
        <w:rPr>
          <w:rFonts w:hint="eastAsia" w:ascii="仿宋_GB2312" w:hAnsi="仿宋_GB2312" w:eastAsia="仿宋_GB2312"/>
          <w:sz w:val="30"/>
        </w:rPr>
        <w:t xml:space="preserve">                    2020年6月24日</w:t>
      </w:r>
      <w:r>
        <w:rPr>
          <w:rFonts w:hint="eastAsia" w:ascii="黑体" w:hAnsi="黑体" w:eastAsia="黑体"/>
          <w:sz w:val="30"/>
        </w:rPr>
        <w:t>目 录</w:t>
      </w:r>
    </w:p>
    <w:p>
      <w:pPr>
        <w:widowControl w:val="0"/>
        <w:spacing w:line="693" w:lineRule="atLeast"/>
        <w:ind w:firstLine="880" w:firstLineChars="0"/>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估价师声明……………………………………………………4</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估价假设和限制条件…………………………………………5</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估价结果报告…………………………………………………7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二、房地产估价机构…………………………………………7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七、估价原则…………………………………………………8</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八、估价依据…………………………………………………9</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九、估价方法…………………………………………………9</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十、估价结果…………………………………………………10</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十一、注册房地产估价师……………………………………10</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十二、实地查勘期……………………………………………11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十三、估价作业期……………………………………………11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附件……………………………………………………………12</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四、“房屋分层分户平面图”复印件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六、房地产价格评估机构资质证书复印件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七、注册房地产估价师注册证书复印件</w:t>
      </w:r>
    </w:p>
    <w:p>
      <w:pPr>
        <w:widowControl w:val="0"/>
        <w:spacing w:line="577" w:lineRule="atLeast"/>
        <w:ind w:firstLine="600" w:firstLineChars="0"/>
        <w:jc w:val="left"/>
        <w:rPr>
          <w:rFonts w:hint="eastAsia" w:ascii="仿宋_GB2312" w:hAnsi="仿宋_GB2312" w:eastAsia="仿宋_GB2312"/>
          <w:sz w:val="30"/>
        </w:rPr>
      </w:pPr>
    </w:p>
    <w:p>
      <w:pPr>
        <w:widowControl w:val="0"/>
        <w:spacing w:line="577" w:lineRule="atLeast"/>
        <w:ind w:firstLine="600" w:firstLineChars="0"/>
        <w:jc w:val="left"/>
        <w:rPr>
          <w:rFonts w:hint="eastAsia" w:ascii="仿宋_GB2312" w:hAnsi="仿宋_GB2312" w:eastAsia="仿宋_GB2312"/>
          <w:sz w:val="30"/>
        </w:rPr>
      </w:pPr>
    </w:p>
    <w:p>
      <w:pPr>
        <w:widowControl w:val="0"/>
        <w:spacing w:line="577" w:lineRule="atLeast"/>
        <w:ind w:firstLine="600" w:firstLineChars="0"/>
        <w:jc w:val="left"/>
        <w:rPr>
          <w:rFonts w:hint="eastAsia" w:ascii="仿宋_GB2312" w:hAnsi="仿宋_GB2312" w:eastAsia="仿宋_GB2312"/>
          <w:sz w:val="30"/>
        </w:rPr>
      </w:pPr>
    </w:p>
    <w:p>
      <w:pPr>
        <w:widowControl w:val="0"/>
        <w:spacing w:line="577"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估价师声明</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1、注册房地产估价师在本估价报告中对事实的说明是真实和准确的，没有虚假记载、误导性陈述和重大遗漏。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2、估价报告中的分析、意见和结论是注册房地产估价师独立、客观、公正的专业分析、意见和结论，但受到本估价报告中已说明的假设和限制条件的限制。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3、注册房地产估价师与估价报告中的估价对象没有现实或潜在的利益，与估价委托人及估价利害关系人没有利害关系，也对估价对象、估价委托人及估价利害关系人没有偏见。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4、注册房地产估价师是按照有关房地产估价标准的规定进行估价工作，撰写估价报告。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估价的假设和限制条件</w:t>
      </w:r>
    </w:p>
    <w:p>
      <w:pPr>
        <w:widowControl w:val="0"/>
        <w:spacing w:line="536" w:lineRule="atLeast"/>
        <w:ind w:firstLine="600" w:firstLineChars="0"/>
        <w:jc w:val="left"/>
        <w:rPr>
          <w:rFonts w:hint="eastAsia" w:ascii="仿宋_GB2312" w:hAnsi="仿宋_GB2312" w:eastAsia="仿宋_GB2312"/>
          <w:sz w:val="30"/>
        </w:rPr>
      </w:pP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widowControl w:val="0"/>
        <w:spacing w:line="530" w:lineRule="atLeast"/>
        <w:ind w:firstLine="600" w:firstLineChars="0"/>
        <w:rPr>
          <w:rFonts w:hint="eastAsia" w:ascii="仿宋_GB2312" w:hAnsi="仿宋_GB2312" w:eastAsia="仿宋_GB2312"/>
          <w:spacing w:val="-1"/>
          <w:sz w:val="30"/>
        </w:rPr>
      </w:pPr>
      <w:r>
        <w:rPr>
          <w:rFonts w:hint="eastAsia" w:ascii="仿宋_GB2312" w:hAnsi="仿宋_GB2312" w:eastAsia="仿宋_GB2312"/>
          <w:spacing w:val="-1"/>
          <w:sz w:val="30"/>
        </w:rPr>
        <w:t>2、估价委托人提供了估价对象的</w:t>
      </w:r>
      <w:r>
        <w:rPr>
          <w:rFonts w:hint="eastAsia" w:ascii="仿宋_GB2312" w:hAnsi="仿宋_GB2312" w:eastAsia="仿宋_GB2312"/>
          <w:sz w:val="30"/>
        </w:rPr>
        <w:t>“房屋分层分户平面图”</w:t>
      </w:r>
      <w:r>
        <w:rPr>
          <w:rFonts w:hint="eastAsia" w:ascii="仿宋_GB2312" w:hAnsi="仿宋_GB2312" w:eastAsia="仿宋_GB2312"/>
          <w:spacing w:val="-1"/>
          <w:sz w:val="30"/>
        </w:rPr>
        <w:t>，我们对</w:t>
      </w:r>
      <w:r>
        <w:rPr>
          <w:rFonts w:hint="eastAsia" w:ascii="仿宋_GB2312" w:hAnsi="仿宋_GB2312" w:eastAsia="仿宋_GB2312"/>
          <w:sz w:val="30"/>
        </w:rPr>
        <w:t>平面图</w:t>
      </w:r>
      <w:r>
        <w:rPr>
          <w:rFonts w:hint="eastAsia" w:ascii="仿宋_GB2312" w:hAnsi="仿宋_GB2312" w:eastAsia="仿宋_GB2312"/>
          <w:spacing w:val="-1"/>
          <w:sz w:val="30"/>
        </w:rPr>
        <w:t>上记载的权属、用途等资料进行了审慎检查，但未予以核实，在无理由怀疑其合法性、真实性、准确性和完整性的情况下，假定估价委托人提供的资料合法、真实、准确、完整。</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6、本次估价是以提供给估价机构的估价对象不存在租赁权、抵押权、典权等他项权利为假设前提。特提请报告使用人注意。</w:t>
      </w:r>
    </w:p>
    <w:p>
      <w:pPr>
        <w:widowControl w:val="0"/>
        <w:spacing w:line="530" w:lineRule="atLeast"/>
        <w:ind w:firstLine="600" w:firstLineChars="0"/>
        <w:rPr>
          <w:rFonts w:hint="eastAsia" w:ascii="仿宋_GB2312" w:hAnsi="仿宋_GB2312" w:eastAsia="仿宋_GB2312"/>
          <w:spacing w:val="-1"/>
          <w:sz w:val="30"/>
        </w:rPr>
      </w:pPr>
      <w:r>
        <w:rPr>
          <w:rFonts w:hint="eastAsia" w:ascii="仿宋_GB2312" w:hAnsi="仿宋_GB2312" w:eastAsia="仿宋_GB2312"/>
          <w:sz w:val="30"/>
        </w:rPr>
        <w:t>7、本次估价对象的建筑面积以委托方提供的“房屋分层分户平面图”</w:t>
      </w:r>
      <w:r>
        <w:rPr>
          <w:rFonts w:hint="eastAsia" w:ascii="仿宋_GB2312" w:hAnsi="仿宋_GB2312" w:eastAsia="仿宋_GB2312"/>
          <w:spacing w:val="-1"/>
          <w:sz w:val="30"/>
        </w:rPr>
        <w:t>记载的建筑面积为依据。</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二、未定事项假设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本次估价无未定事项假设。</w:t>
      </w:r>
    </w:p>
    <w:p>
      <w:pPr>
        <w:widowControl w:val="0"/>
        <w:spacing w:line="530" w:lineRule="atLeast"/>
        <w:ind w:firstLine="0" w:firstLineChars="0"/>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三、背离事实假设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2、估价结果未考虑估价对象及其所有权人已承担的债务或有债务及经营决策失误或市场运作失当对其价值的影响。</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四、不相一致假设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本次估价无不相一致假设。</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五、依据不足假设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本次估价无依据不足假设。</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六、估价报告使用限制</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4、当事人对评估报告有异议的，可在收到报告五日内，以书面形式向人民法院提出。</w:t>
      </w:r>
    </w:p>
    <w:p>
      <w:pPr>
        <w:widowControl w:val="0"/>
        <w:spacing w:line="530" w:lineRule="atLeast"/>
        <w:ind w:firstLine="600" w:firstLineChars="0"/>
        <w:rPr>
          <w:rFonts w:hint="eastAsia" w:ascii="仿宋_GB2312" w:hAnsi="仿宋_GB2312" w:eastAsia="仿宋_GB2312"/>
          <w:sz w:val="30"/>
        </w:rPr>
      </w:pPr>
    </w:p>
    <w:p>
      <w:pPr>
        <w:widowControl w:val="0"/>
        <w:spacing w:line="530" w:lineRule="atLeast"/>
        <w:ind w:firstLine="600" w:firstLineChars="0"/>
        <w:rPr>
          <w:rFonts w:hint="eastAsia" w:ascii="仿宋_GB2312" w:hAnsi="仿宋_GB2312" w:eastAsia="仿宋_GB2312"/>
          <w:sz w:val="30"/>
        </w:rPr>
      </w:pPr>
    </w:p>
    <w:p>
      <w:pPr>
        <w:widowControl w:val="0"/>
        <w:spacing w:line="530" w:lineRule="atLeast"/>
        <w:ind w:firstLine="600" w:firstLineChars="0"/>
        <w:rPr>
          <w:rFonts w:hint="eastAsia" w:ascii="仿宋_GB2312" w:hAnsi="仿宋_GB2312" w:eastAsia="仿宋_GB2312"/>
          <w:sz w:val="30"/>
        </w:rPr>
      </w:pPr>
    </w:p>
    <w:p>
      <w:pPr>
        <w:widowControl w:val="0"/>
        <w:spacing w:line="530" w:lineRule="atLeast"/>
        <w:ind w:firstLine="600" w:firstLineChars="0"/>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估价结果报告</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1.估价委托人：黄骅市人民法院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2.联 系 人：王轶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3.联系电话：0317-5811571</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pacing w:val="-3"/>
          <w:sz w:val="30"/>
        </w:rPr>
        <w:t>黄骅市广信宁园6号楼1单元202室</w:t>
      </w:r>
      <w:r>
        <w:rPr>
          <w:rFonts w:hint="eastAsia" w:ascii="仿宋_GB2312" w:hAnsi="仿宋_GB2312" w:eastAsia="仿宋_GB2312"/>
          <w:sz w:val="30"/>
        </w:rPr>
        <w:t>，建筑面积：109.04平方米房地产。</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pacing w:val="-3"/>
          <w:sz w:val="30"/>
        </w:rPr>
        <w:t>黄骅市广信宁园6号楼1单元202室</w:t>
      </w:r>
      <w:r>
        <w:rPr>
          <w:rFonts w:hint="eastAsia" w:ascii="仿宋_GB2312" w:hAnsi="仿宋_GB2312" w:eastAsia="仿宋_GB2312"/>
          <w:sz w:val="30"/>
        </w:rPr>
        <w:t>，根据委托方提供的“房屋分层分户平面图”记载，产权主：田淑惠，产权证号：30011992，产权面积：109.04平方米，用途：住宅。</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pacing w:val="-3"/>
          <w:sz w:val="30"/>
        </w:rPr>
        <w:t>黄骅市广信宁园6号楼1单元202室</w:t>
      </w:r>
      <w:r>
        <w:rPr>
          <w:rFonts w:hint="eastAsia" w:ascii="仿宋_GB2312" w:hAnsi="仿宋_GB2312" w:eastAsia="仿宋_GB2312"/>
          <w:sz w:val="30"/>
        </w:rPr>
        <w:t>，四至：东至广安街，南至财保公寓，西至幸福大街，北至新海路，形状规则，地形平坦，地势平缓，地质条件好，开发程度达到宗地红线内外“七通”及场地平整。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4、建筑物基本状况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混合结构，2003年建成，所在第02层，共05层，室外墙面刷涂料，塑钢外窗，入户防盗门，室内地面铺瓷砖，墙面刷涂料，天花刷涂料，内木门，厨房地面、墙面铺瓷砖，天花刷涂料，安装橱柜，烟机灶具齐全，卫生间地面、墙面铺瓷砖，天花刷涂料，卫生洁具齐全，公共通道及楼梯间地面水泥，墙面刷涂料，天花刷涂料，配有水、电、暖系统等，配套设施较齐全，维护保养情况良好，房屋结构完好，属完好房。</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五、价值时点</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2020年5月25日，以实地查勘日为价值时点。</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六、价值类型</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估价中采用公开市场价值，即估价对象经适当营销后，由熟悉情况、谨慎行事且不受强迫的交易行为，以公平交易方式在价值时点自愿进行交易的金额。</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七、估价原则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本次估价遵循独立、客观、公正原则、合法原则、价值时点原则、替代原则、最高最佳利用原则等房地产估价原则。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1、独立、客观、公正原则：评估价值应为对各方估价利害关系人均是公平合理的价值或价格。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2、合法原则：评估价值应为在依法判定的估价对象状况下的价值或价格。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3、价值时点原则：评估价值应为在根据估价目的确定的某一特定时间的价值或价格。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4、替代原则：评估价值与估价对象的类似房地产在同等条件下的价值或价格偏差应在合理范围内。</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5、最高最佳利用原则：评估价值应为在估价对象最高最佳利用状况下的价值或价格。</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sz w:val="30"/>
        </w:rPr>
        <mc:AlternateContent>
          <mc:Choice Requires="wps">
            <w:drawing>
              <wp:anchor distT="0" distB="0" distL="114300" distR="114300" simplePos="0" relativeHeight="251658240" behindDoc="0" locked="0" layoutInCell="1" allowOverlap="1">
                <wp:simplePos x="0" y="0"/>
                <wp:positionH relativeFrom="page">
                  <wp:posOffset>1316990</wp:posOffset>
                </wp:positionH>
                <wp:positionV relativeFrom="page">
                  <wp:posOffset>8294370</wp:posOffset>
                </wp:positionV>
                <wp:extent cx="5072380" cy="957580"/>
                <wp:effectExtent l="4445" t="4445" r="9525" b="9525"/>
                <wp:wrapSquare wrapText="largest"/>
                <wp:docPr id="1" name="文本框 2"/>
                <wp:cNvGraphicFramePr/>
                <a:graphic xmlns:a="http://schemas.openxmlformats.org/drawingml/2006/main">
                  <a:graphicData uri="http://schemas.microsoft.com/office/word/2010/wordprocessingShape">
                    <wps:wsp>
                      <wps:cNvSpPr txBox="1"/>
                      <wps:spPr>
                        <a:xfrm>
                          <a:off x="0" y="0"/>
                          <a:ext cx="5072380" cy="957580"/>
                        </a:xfrm>
                        <a:prstGeom prst="rect">
                          <a:avLst/>
                        </a:prstGeom>
                        <a:noFill/>
                        <a:ln w="9525" cap="flat" cmpd="sng">
                          <a:solidFill>
                            <a:srgbClr val="000000"/>
                          </a:solidFill>
                          <a:prstDash val="solid"/>
                          <a:miter/>
                          <a:headEnd type="none" w="med" len="med"/>
                          <a:tailEnd type="none" w="med" len="med"/>
                        </a:ln>
                      </wps:spPr>
                      <wps:txbx>
                        <w:txbxContent>
                          <w:tbl>
                            <w:tblPr>
                              <w:tblStyle w:val="12"/>
                              <w:tblpPr w:vertAnchor="page" w:horzAnchor="page" w:tblpX="2074" w:tblpY="13062"/>
                              <w:tblW w:w="798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510" w:hRule="exact"/>
                              </w:trPr>
                              <w:tc>
                                <w:tcPr>
                                  <w:tcW w:w="2658"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W w:w="2658"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510" w:hRule="exact"/>
                              </w:trPr>
                              <w:tc>
                                <w:tcPr>
                                  <w:tcW w:w="2658"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于红心</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1319960016</w:t>
                                  </w:r>
                                </w:p>
                              </w:tc>
                              <w:tc>
                                <w:tcPr>
                                  <w:tcW w:w="2658"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87" w:hRule="exact"/>
                              </w:trPr>
                              <w:tc>
                                <w:tcPr>
                                  <w:tcW w:w="2658"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马  静</w:t>
                                  </w:r>
                                </w:p>
                              </w:tc>
                              <w:tc>
                                <w:tcPr>
                                  <w:tcW w:w="2670"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1320190062</w:t>
                                  </w:r>
                                </w:p>
                              </w:tc>
                              <w:tc>
                                <w:tcPr>
                                  <w:tcW w:w="2658"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wps:txbx>
                      <wps:bodyPr wrap="square" lIns="0" tIns="0" rIns="0" bIns="0" upright="1"/>
                    </wps:wsp>
                  </a:graphicData>
                </a:graphic>
              </wp:anchor>
            </w:drawing>
          </mc:Choice>
          <mc:Fallback>
            <w:pict>
              <v:shape id="文本框 2" o:spid="_x0000_s1026" o:spt="202" type="#_x0000_t202" style="position:absolute;left:0pt;margin-left:103.7pt;margin-top:653.1pt;height:75.4pt;width:399.4pt;mso-position-horizontal-relative:page;mso-position-vertical-relative:page;mso-wrap-distance-bottom:0pt;mso-wrap-distance-left:9pt;mso-wrap-distance-right:9pt;mso-wrap-distance-top:0pt;z-index:251658240;mso-width-relative:page;mso-height-relative:page;" filled="f" stroked="t" coordsize="21600,21600" o:gfxdata="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YeznXbAAAADgEAAA8AAAAAAAAAAQAgAAAAIgAAAGRycy9k&#10;b3ducmV2LnhtbFBLAQIUABQAAAAIAIdO4kCpUTVx/wEAAPEDAAAOAAAAAAAAAAEAIAAAACoBAABk&#10;cnMvZTJvRG9jLnhtbFBLBQYAAAAABgAGAFkBAACbBQAAAAA=&#10;">
                <v:fill on="f" focussize="0,0"/>
                <v:stroke color="#000000" joinstyle="miter"/>
                <v:imagedata o:title=""/>
                <o:lock v:ext="edit" aspectratio="f"/>
                <v:textbox inset="0mm,0mm,0mm,0mm">
                  <w:txbxContent>
                    <w:tbl>
                      <w:tblPr>
                        <w:tblStyle w:val="12"/>
                        <w:tblpPr w:vertAnchor="page" w:horzAnchor="page" w:tblpX="2074" w:tblpY="13062"/>
                        <w:tblW w:w="798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510" w:hRule="exact"/>
                        </w:trPr>
                        <w:tc>
                          <w:tcPr>
                            <w:tcW w:w="2658"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W w:w="2658"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510" w:hRule="exact"/>
                        </w:trPr>
                        <w:tc>
                          <w:tcPr>
                            <w:tcW w:w="2658"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于红心</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1319960016</w:t>
                            </w:r>
                          </w:p>
                        </w:tc>
                        <w:tc>
                          <w:tcPr>
                            <w:tcW w:w="2658"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87" w:hRule="exact"/>
                        </w:trPr>
                        <w:tc>
                          <w:tcPr>
                            <w:tcW w:w="2658"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马  静</w:t>
                            </w:r>
                          </w:p>
                        </w:tc>
                        <w:tc>
                          <w:tcPr>
                            <w:tcW w:w="2670"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1320190062</w:t>
                            </w:r>
                          </w:p>
                        </w:tc>
                        <w:tc>
                          <w:tcPr>
                            <w:tcW w:w="2658"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v:textbox>
                <w10:wrap type="square" side="largest"/>
              </v:shape>
            </w:pict>
          </mc:Fallback>
        </mc:AlternateContent>
      </w: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1、法律、法规和政策性文件：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(2)《中华人民共和国土地管理法》；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(3)《中华人民共和国资产评估法》；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(4)《中华人民共和国物权法》；</w:t>
      </w: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rPr>
        <w:t xml:space="preserve">  (5)《中华人民共和国担保法》；</w:t>
      </w: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rPr>
        <w:t xml:space="preserve">  2、技术标准、规程、规范：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(2)中华人民共和国国家标准（GB/T50899-2013）《房地产估价基本术语标准》；</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3、委托方提供的相关资料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(1)“房屋分层分户平面图”复印件；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4、估价方搜集的相关资料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(1)估价人员现场查勘和估价机构掌握的其他相关资料；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(2)估价对象所在区域的房地产市场状况。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1、鉴于估价对象所在地区房地产市场发育充分，区域内类似房地产的市场交易案例较多，宜采用比较法进行评估。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mc:AlternateContent>
          <mc:Choice Requires="wps">
            <w:drawing>
              <wp:anchor distT="0" distB="0" distL="114300" distR="114300" simplePos="0" relativeHeight="251659264" behindDoc="0" locked="0" layoutInCell="1" allowOverlap="1">
                <wp:simplePos x="0" y="0"/>
                <wp:positionH relativeFrom="page">
                  <wp:posOffset>1256030</wp:posOffset>
                </wp:positionH>
                <wp:positionV relativeFrom="page">
                  <wp:posOffset>1353185</wp:posOffset>
                </wp:positionV>
                <wp:extent cx="5090160" cy="637540"/>
                <wp:effectExtent l="5080" t="5080" r="10160" b="5080"/>
                <wp:wrapSquare wrapText="largest"/>
                <wp:docPr id="2" name="文本框 3"/>
                <wp:cNvGraphicFramePr/>
                <a:graphic xmlns:a="http://schemas.openxmlformats.org/drawingml/2006/main">
                  <a:graphicData uri="http://schemas.microsoft.com/office/word/2010/wordprocessingShape">
                    <wps:wsp>
                      <wps:cNvSpPr txBox="1"/>
                      <wps:spPr>
                        <a:xfrm>
                          <a:off x="0" y="0"/>
                          <a:ext cx="5090160" cy="637540"/>
                        </a:xfrm>
                        <a:prstGeom prst="rect">
                          <a:avLst/>
                        </a:prstGeom>
                        <a:noFill/>
                        <a:ln w="9525" cap="flat" cmpd="sng">
                          <a:solidFill>
                            <a:srgbClr val="000000"/>
                          </a:solidFill>
                          <a:prstDash val="solid"/>
                          <a:miter/>
                          <a:headEnd type="none" w="med" len="med"/>
                          <a:tailEnd type="none" w="med" len="med"/>
                        </a:ln>
                      </wps:spPr>
                      <wps:txbx>
                        <w:txbxContent>
                          <w:tbl>
                            <w:tblPr>
                              <w:tblStyle w:val="12"/>
                              <w:tblpPr w:vertAnchor="page" w:horzAnchor="page" w:tblpX="1978" w:tblpY="2131"/>
                              <w:tblW w:w="801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5"/>
                              <w:gridCol w:w="2670"/>
                              <w:gridCol w:w="267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515" w:hRule="exact"/>
                              </w:trPr>
                              <w:tc>
                                <w:tcPr>
                                  <w:tcW w:w="2675"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W w:w="2670"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87" w:hRule="exact"/>
                              </w:trPr>
                              <w:tc>
                                <w:tcPr>
                                  <w:tcW w:w="2675"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张益平</w:t>
                                  </w:r>
                                </w:p>
                              </w:tc>
                              <w:tc>
                                <w:tcPr>
                                  <w:tcW w:w="2670"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c>
                                <w:tcPr>
                                  <w:tcW w:w="2670"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wps:txbx>
                      <wps:bodyPr wrap="square" lIns="0" tIns="0" rIns="0" bIns="0" upright="1"/>
                    </wps:wsp>
                  </a:graphicData>
                </a:graphic>
              </wp:anchor>
            </w:drawing>
          </mc:Choice>
          <mc:Fallback>
            <w:pict>
              <v:shape id="文本框 3" o:spid="_x0000_s1026" o:spt="202" type="#_x0000_t202" style="position:absolute;left:0pt;margin-left:98.9pt;margin-top:106.55pt;height:50.2pt;width:400.8pt;mso-position-horizontal-relative:page;mso-position-vertical-relative:page;mso-wrap-distance-bottom:0pt;mso-wrap-distance-left:9pt;mso-wrap-distance-right:9pt;mso-wrap-distance-top:0pt;z-index:251659264;mso-width-relative:page;mso-height-relative:page;" filled="f" stroked="t" coordsize="21600,21600" o:gfxdata="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CijxtsAAAALAQAADwAAAAAAAAABACAAAAAiAAAA&#10;ZHJzL2Rvd25yZXYueG1sUEsBAhQAFAAAAAgAh07iQG2tyEoEAgAA8QMAAA4AAAAAAAAAAQAgAAAA&#10;KgEAAGRycy9lMm9Eb2MueG1sUEsFBgAAAAAGAAYAWQEAAKAFAAAAAA==&#10;">
                <v:fill on="f" focussize="0,0"/>
                <v:stroke color="#000000" joinstyle="miter"/>
                <v:imagedata o:title=""/>
                <o:lock v:ext="edit" aspectratio="f"/>
                <v:textbox inset="0mm,0mm,0mm,0mm">
                  <w:txbxContent>
                    <w:tbl>
                      <w:tblPr>
                        <w:tblStyle w:val="12"/>
                        <w:tblpPr w:vertAnchor="page" w:horzAnchor="page" w:tblpX="1978" w:tblpY="2131"/>
                        <w:tblW w:w="801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5"/>
                        <w:gridCol w:w="2670"/>
                        <w:gridCol w:w="267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515" w:hRule="exact"/>
                        </w:trPr>
                        <w:tc>
                          <w:tcPr>
                            <w:tcW w:w="2675"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W w:w="2670"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87" w:hRule="exact"/>
                        </w:trPr>
                        <w:tc>
                          <w:tcPr>
                            <w:tcW w:w="2675"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张益平</w:t>
                            </w:r>
                          </w:p>
                        </w:tc>
                        <w:tc>
                          <w:tcPr>
                            <w:tcW w:w="2670"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c>
                          <w:tcPr>
                            <w:tcW w:w="2670"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v:textbox>
                <w10:wrap type="square" side="largest"/>
              </v:shape>
            </w:pict>
          </mc:Fallback>
        </mc:AlternateContent>
      </w:r>
      <w:r>
        <w:rPr>
          <w:rFonts w:hint="eastAsia" w:ascii="仿宋_GB2312" w:hAnsi="仿宋_GB2312" w:eastAsia="仿宋_GB2312"/>
          <w:sz w:val="30"/>
        </w:rPr>
        <w:t>2、估价对象用途为住宅，属于收益性物业，但租赁收益率低且相关收益参数较难确定，故不适宜采用收益法。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3、现时用途房地产价格与成本关联性弱，房地产的开发成本不能准确反映房地产的实际市场价值，故不适宜采用成本法。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4、估价对象属于建成并已投入使用的物业，非待开发建设物业，不产生后续开发成本，故不适宜采用假设开发法。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综合所述，本报告采用比较法进行评估。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比较法：是选取一定数量的可比实例，将它们与估价对象进行比较，根据其间的差异对可比实例成交价格进行处理后得到估价对象价值或价格的方法。</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按照估价工作程序，运用适用的估价方法，仔细考察估价对象的特征，经过全面细致的测算，并结合估价经验和对影响项目价值因素的分析，确定估价对象在价值时点的市场价值为￥</w:t>
      </w:r>
      <w:r>
        <w:rPr>
          <w:rFonts w:hint="eastAsia" w:ascii="仿宋_GB2312" w:hAnsi="仿宋_GB2312" w:eastAsia="仿宋_GB2312"/>
          <w:b/>
          <w:sz w:val="30"/>
        </w:rPr>
        <w:t>93.33万元</w:t>
      </w:r>
      <w:r>
        <w:rPr>
          <w:rFonts w:hint="eastAsia" w:ascii="仿宋_GB2312" w:hAnsi="仿宋_GB2312" w:eastAsia="仿宋_GB2312"/>
          <w:sz w:val="30"/>
        </w:rPr>
        <w:t>（</w:t>
      </w:r>
      <w:r>
        <w:rPr>
          <w:rFonts w:hint="eastAsia" w:ascii="仿宋_GB2312" w:hAnsi="仿宋_GB2312" w:eastAsia="仿宋_GB2312"/>
          <w:b/>
          <w:sz w:val="30"/>
        </w:rPr>
        <w:t>人民币玖拾叁万叁仟叁佰元整）</w:t>
      </w:r>
      <w:r>
        <w:rPr>
          <w:rFonts w:hint="eastAsia" w:ascii="仿宋_GB2312" w:hAnsi="仿宋_GB2312" w:eastAsia="仿宋_GB2312"/>
          <w:sz w:val="30"/>
        </w:rPr>
        <w:t>单价：8559元/m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协助估价人员</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十二、实地查勘期</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2020年5月25日</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十三、估价作业期</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2020年5月25日——2020年6月24日</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附件</w:t>
      </w:r>
    </w:p>
    <w:p>
      <w:pPr>
        <w:widowControl w:val="0"/>
        <w:spacing w:line="548" w:lineRule="atLeast"/>
        <w:ind w:firstLine="600" w:firstLineChars="0"/>
        <w:jc w:val="center"/>
        <w:rPr>
          <w:rFonts w:hint="eastAsia" w:ascii="黑体" w:hAnsi="黑体" w:eastAsia="黑体"/>
          <w:sz w:val="30"/>
        </w:rPr>
      </w:pP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四、“房屋分层分户平面图”复印件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五、房地产价格评估机构营业执照复印件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六、房地产价格评估机构资质证书复印件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七、注册房地产估价师注册证书复印件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18" w:lineRule="atLeast"/>
        <w:ind w:firstLine="600" w:firstLineChars="0"/>
        <w:rPr>
          <w:rFonts w:hint="eastAsia" w:ascii="仿宋_GB2312" w:hAnsi="仿宋_GB2312" w:eastAsia="仿宋_GB2312"/>
          <w:spacing w:val="-6"/>
          <w:sz w:val="30"/>
        </w:rPr>
      </w:pPr>
    </w:p>
    <w:p>
      <w:pPr>
        <w:widowControl w:val="0"/>
        <w:spacing w:line="518" w:lineRule="atLeast"/>
        <w:ind w:firstLine="600" w:firstLineChars="0"/>
        <w:rPr>
          <w:rFonts w:hint="eastAsia" w:ascii="仿宋_GB2312" w:hAnsi="仿宋_GB2312" w:eastAsia="仿宋_GB2312"/>
          <w:spacing w:val="-6"/>
          <w:sz w:val="30"/>
        </w:rPr>
      </w:pPr>
    </w:p>
    <w:p>
      <w:pPr>
        <w:widowControl w:val="0"/>
        <w:spacing w:line="518" w:lineRule="atLeast"/>
        <w:ind w:firstLine="600" w:firstLineChars="0"/>
        <w:rPr>
          <w:rFonts w:hint="eastAsia" w:ascii="仿宋_GB2312" w:hAnsi="仿宋_GB2312" w:eastAsia="仿宋_GB2312"/>
          <w:spacing w:val="-6"/>
          <w:sz w:val="30"/>
        </w:rPr>
      </w:pPr>
    </w:p>
    <w:p>
      <w:pPr>
        <w:widowControl w:val="0"/>
        <w:spacing w:line="518" w:lineRule="atLeast"/>
        <w:ind w:firstLine="600" w:firstLineChars="0"/>
        <w:rPr>
          <w:rFonts w:hint="eastAsia" w:ascii="仿宋_GB2312" w:hAnsi="仿宋_GB2312" w:eastAsia="仿宋_GB2312"/>
          <w:spacing w:val="-6"/>
          <w:sz w:val="30"/>
        </w:rPr>
      </w:pPr>
    </w:p>
    <w:p>
      <w:pPr>
        <w:widowControl w:val="0"/>
        <w:spacing w:line="518" w:lineRule="atLeast"/>
        <w:ind w:firstLine="600" w:firstLineChars="0"/>
        <w:rPr>
          <w:rFonts w:hint="eastAsia" w:ascii="仿宋_GB2312" w:hAnsi="仿宋_GB2312" w:eastAsia="仿宋_GB2312"/>
          <w:spacing w:val="-6"/>
          <w:sz w:val="30"/>
        </w:rPr>
      </w:pPr>
    </w:p>
    <w:p>
      <w:pPr>
        <w:widowControl w:val="0"/>
        <w:spacing w:line="518" w:lineRule="atLeast"/>
        <w:ind w:firstLine="600" w:firstLineChars="0"/>
        <w:rPr>
          <w:rFonts w:hint="eastAsia" w:ascii="仿宋_GB2312" w:hAnsi="仿宋_GB2312" w:eastAsia="仿宋_GB2312"/>
          <w:spacing w:val="-6"/>
          <w:sz w:val="30"/>
        </w:rPr>
      </w:pPr>
    </w:p>
    <w:p>
      <w:pPr>
        <w:widowControl w:val="0"/>
        <w:spacing w:line="518" w:lineRule="atLeast"/>
        <w:ind w:firstLine="0" w:firstLineChars="0"/>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6" name="文本框 4"/>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4"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AkQml1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HEcYsj2j792v7+u/3zkxxn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JEJp&#10;db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Kefc1SoAQAALAMA&#10;AA4AAAAAAAAAAQAgAAAAIwEAAGRycy9lMm9Eb2MueG1sUEsFBgAAAAAGAAYAWQEAAD0FA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5" name="文本框 3"/>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3"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EgD/NQA&#10;AAAEAQAADwAAAAAAAAABACAAAAAiAAAAZHJzL2Rvd25yZXYueG1sUEsBAhQAFAAAAAgAh07iQH0q&#10;4ImxAQAAOwMAAA4AAAAAAAAAAQAgAAAAIwEAAGRycy9lMm9Eb2MueG1sUEsFBgAAAAAGAAYAWQEA&#10;AEYFA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BbSP4+oAQAAKwMA&#10;AA4AAAAAAAAAAQAgAAAAIwEAAGRycy9lMm9Eb2MueG1sUEsFBgAAAAAGAAYAWQEAAD0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BPUmLK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8"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CRZi9cAAAAFAQAA&#10;DwAAAAAAAAABACAAAAAiAAAAZHJzL2Rvd25yZXYueG1sUEsBAhQAFAAAAAgAh07iQLK08wyoAQAA&#10;KwMAAA4AAAAAAAAAAQAgAAAAJgEAAGRycy9lMm9Eb2MueG1sUEsFBgAAAAAGAAYAWQEAAEAFAAAA&#10;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KfqIya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7"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wkWYvXAAAABQEA&#10;AA8AAAAAAAAAAQAgAAAAIgAAAGRycy9kb3ducmV2LnhtbFBLAQIUABQAAAAIAIdO4kC8TyM+qQEA&#10;ACsDAAAOAAAAAAAAAAEAIAAAACYBAABkcnMvZTJvRG9jLnhtbFBLBQYAAAAABgAGAFkBAABBBQAA&#10;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7F5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1">
    <w:name w:val="Default Paragraph Font"/>
    <w:uiPriority w:val="0"/>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uiPriority w:val="0"/>
    <w:pPr>
      <w:spacing w:after="104" w:afterLines="0" w:line="0" w:lineRule="atLeast"/>
      <w:jc w:val="left"/>
    </w:pPr>
  </w:style>
  <w:style w:type="paragraph" w:styleId="7">
    <w:name w:val="toc 4"/>
    <w:basedOn w:val="1"/>
    <w:next w:val="1"/>
    <w:uiPriority w:val="0"/>
    <w:pPr>
      <w:spacing w:line="306" w:lineRule="auto"/>
      <w:ind w:left="419" w:leftChars="0" w:firstLine="629" w:firstLineChars="0"/>
    </w:pPr>
  </w:style>
  <w:style w:type="paragraph" w:styleId="8">
    <w:name w:val="toc 2"/>
    <w:basedOn w:val="1"/>
    <w:next w:val="1"/>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style>
  <w:style w:type="character" w:customStyle="1" w:styleId="15">
    <w:name w:val="链接"/>
    <w:basedOn w:val="11"/>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2020-09-22T08:22:46Z</dcterms:created>
  <dc:creator>PC</dc:creator>
  <cp:lastModifiedBy>PC</cp:lastModifiedBy>
  <dcterms:modified xsi:type="dcterms:W3CDTF">2020-09-22T08:23:25Z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