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80"/>
        </w:tabs>
        <w:rPr>
          <w:rFonts w:hint="eastAsia"/>
          <w:bCs/>
          <w:color w:val="000000"/>
          <w:sz w:val="36"/>
        </w:rPr>
      </w:pPr>
      <w:r>
        <w:rPr>
          <w:bCs/>
          <w:color w:val="000000"/>
          <w:sz w:val="36"/>
        </w:rPr>
        <w:tab/>
      </w:r>
    </w:p>
    <w:p>
      <w:pPr>
        <w:tabs>
          <w:tab w:val="left" w:pos="3480"/>
        </w:tabs>
        <w:rPr>
          <w:rFonts w:hint="eastAsia" w:ascii="仿宋_GB2312" w:eastAsia="仿宋_GB2312"/>
          <w:w w:val="90"/>
          <w:sz w:val="48"/>
        </w:rPr>
      </w:pPr>
    </w:p>
    <w:p>
      <w:pPr>
        <w:tabs>
          <w:tab w:val="left" w:pos="3480"/>
        </w:tabs>
        <w:jc w:val="center"/>
        <w:rPr>
          <w:rFonts w:hint="eastAsia" w:ascii="仿宋_GB2312" w:hAnsi="宋体" w:eastAsia="仿宋_GB2312"/>
          <w:b/>
          <w:bCs/>
          <w:color w:val="000000"/>
          <w:sz w:val="52"/>
          <w:szCs w:val="52"/>
        </w:rPr>
      </w:pPr>
      <w:r>
        <w:rPr>
          <w:rFonts w:hint="eastAsia" w:ascii="仿宋_GB2312" w:eastAsia="仿宋_GB2312"/>
          <w:b/>
          <w:bCs/>
          <w:sz w:val="52"/>
          <w:szCs w:val="52"/>
        </w:rPr>
        <w:t xml:space="preserve">房  地  </w:t>
      </w:r>
      <w:r>
        <w:rPr>
          <w:rFonts w:hint="eastAsia" w:ascii="仿宋_GB2312" w:eastAsia="仿宋_GB2312"/>
          <w:b/>
          <w:bCs/>
          <w:color w:val="000000"/>
          <w:sz w:val="52"/>
          <w:szCs w:val="52"/>
        </w:rPr>
        <w:t xml:space="preserve">产  估  </w:t>
      </w:r>
      <w:r>
        <w:rPr>
          <w:rFonts w:hint="eastAsia" w:ascii="仿宋_GB2312" w:eastAsia="仿宋_GB2312"/>
          <w:b/>
          <w:bCs/>
          <w:sz w:val="52"/>
          <w:szCs w:val="52"/>
        </w:rPr>
        <w:t>价  报  告</w:t>
      </w: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rPr>
          <w:rFonts w:hint="eastAsia" w:ascii="仿宋_GB2312" w:hAnsi="宋体" w:eastAsia="仿宋_GB2312"/>
          <w:b/>
          <w:bCs/>
          <w:color w:val="000000"/>
          <w:sz w:val="32"/>
        </w:rPr>
      </w:pPr>
    </w:p>
    <w:p>
      <w:pPr>
        <w:spacing w:line="640" w:lineRule="exact"/>
        <w:ind w:firstLine="472" w:firstLineChars="147"/>
        <w:rPr>
          <w:rFonts w:hint="eastAsia" w:ascii="仿宋_GB2312" w:eastAsia="仿宋_GB2312"/>
          <w:color w:val="000000"/>
        </w:rPr>
      </w:pPr>
      <w:r>
        <w:rPr>
          <w:rFonts w:hint="eastAsia" w:ascii="仿宋_GB2312" w:eastAsia="仿宋_GB2312"/>
          <w:b/>
          <w:bCs/>
          <w:sz w:val="32"/>
        </w:rPr>
        <w:t>估价报告编号：沧房【2019】房估字第09043号</w:t>
      </w:r>
    </w:p>
    <w:p>
      <w:pPr>
        <w:spacing w:line="640" w:lineRule="exact"/>
        <w:ind w:left="2681" w:leftChars="160" w:hanging="2233" w:hangingChars="695"/>
        <w:rPr>
          <w:rFonts w:hint="eastAsia" w:ascii="仿宋_GB2312" w:eastAsia="仿宋_GB2312"/>
          <w:b/>
          <w:bCs/>
          <w:sz w:val="32"/>
        </w:rPr>
      </w:pPr>
      <w:r>
        <w:rPr>
          <w:rFonts w:hint="eastAsia" w:ascii="仿宋_GB2312" w:eastAsia="仿宋_GB2312"/>
          <w:b/>
          <w:bCs/>
          <w:sz w:val="32"/>
        </w:rPr>
        <w:t>估价项目名称：河间市人民法院受理的申请执行人河北银永通担保有限公司与被执行人闫红雨、周秀捧追偿权纠纷一案所涉及的河间市御府江南小区第5幢2单元502室住宅房地产市场价值评估项目</w:t>
      </w:r>
    </w:p>
    <w:p>
      <w:pPr>
        <w:spacing w:line="640" w:lineRule="exact"/>
        <w:ind w:firstLine="472" w:firstLineChars="147"/>
        <w:rPr>
          <w:rFonts w:hint="eastAsia" w:ascii="仿宋_GB2312" w:eastAsia="仿宋_GB2312"/>
          <w:b/>
          <w:bCs/>
          <w:sz w:val="32"/>
        </w:rPr>
      </w:pPr>
      <w:r>
        <w:rPr>
          <w:rFonts w:hint="eastAsia" w:ascii="仿宋_GB2312" w:eastAsia="仿宋_GB2312"/>
          <w:b/>
          <w:bCs/>
          <w:sz w:val="32"/>
        </w:rPr>
        <w:t>估价委托人：河间市人民法院</w:t>
      </w:r>
    </w:p>
    <w:p>
      <w:pPr>
        <w:spacing w:line="640" w:lineRule="exact"/>
        <w:ind w:firstLine="472" w:firstLineChars="147"/>
        <w:rPr>
          <w:rFonts w:hint="eastAsia" w:ascii="仿宋_GB2312" w:eastAsia="仿宋_GB2312"/>
          <w:b/>
          <w:bCs/>
          <w:color w:val="000000"/>
          <w:sz w:val="32"/>
        </w:rPr>
      </w:pPr>
      <w:r>
        <w:rPr>
          <w:rFonts w:hint="eastAsia" w:ascii="仿宋_GB2312" w:eastAsia="仿宋_GB2312"/>
          <w:b/>
          <w:bCs/>
          <w:sz w:val="32"/>
        </w:rPr>
        <w:t>房地产估价机构</w:t>
      </w:r>
      <w:r>
        <w:rPr>
          <w:rFonts w:hint="eastAsia" w:ascii="仿宋_GB2312" w:eastAsia="仿宋_GB2312"/>
          <w:b/>
          <w:bCs/>
          <w:color w:val="000000"/>
          <w:sz w:val="32"/>
        </w:rPr>
        <w:t>：沧州市沧房房地产评估有限公司</w:t>
      </w:r>
    </w:p>
    <w:p>
      <w:pPr>
        <w:spacing w:line="640" w:lineRule="exact"/>
        <w:ind w:right="269" w:rightChars="96" w:firstLine="472" w:firstLineChars="147"/>
        <w:rPr>
          <w:rFonts w:hint="eastAsia" w:ascii="仿宋_GB2312" w:eastAsia="仿宋_GB2312"/>
          <w:b/>
          <w:bCs/>
          <w:sz w:val="32"/>
        </w:rPr>
      </w:pPr>
      <w:r>
        <w:rPr>
          <w:rFonts w:hint="eastAsia" w:ascii="仿宋_GB2312" w:eastAsia="仿宋_GB2312"/>
          <w:b/>
          <w:bCs/>
          <w:color w:val="000000"/>
          <w:sz w:val="32"/>
        </w:rPr>
        <w:t>注册房地产估价师：</w:t>
      </w:r>
      <w:r>
        <w:rPr>
          <w:rFonts w:hint="eastAsia" w:ascii="仿宋_GB2312" w:eastAsia="仿宋_GB2312"/>
          <w:b/>
          <w:bCs/>
          <w:sz w:val="32"/>
        </w:rPr>
        <w:t xml:space="preserve">郭彦彬  （注册号：1320180019） </w:t>
      </w:r>
    </w:p>
    <w:p>
      <w:pPr>
        <w:spacing w:line="640" w:lineRule="exact"/>
        <w:ind w:right="269" w:rightChars="96" w:firstLine="472" w:firstLineChars="147"/>
        <w:rPr>
          <w:rFonts w:hint="eastAsia" w:ascii="仿宋_GB2312" w:eastAsia="仿宋_GB2312"/>
          <w:b/>
          <w:bCs/>
          <w:color w:val="000000"/>
          <w:sz w:val="32"/>
        </w:rPr>
      </w:pPr>
      <w:r>
        <w:rPr>
          <w:rFonts w:hint="eastAsia" w:ascii="仿宋_GB2312" w:eastAsia="仿宋_GB2312"/>
          <w:b/>
          <w:bCs/>
          <w:sz w:val="32"/>
        </w:rPr>
        <w:t xml:space="preserve">                  </w:t>
      </w:r>
      <w:r>
        <w:rPr>
          <w:rFonts w:hint="eastAsia" w:ascii="仿宋_GB2312" w:eastAsia="仿宋_GB2312"/>
          <w:b/>
          <w:bCs/>
          <w:color w:val="000000"/>
          <w:sz w:val="32"/>
        </w:rPr>
        <w:t>庞  利</w:t>
      </w:r>
      <w:r>
        <w:rPr>
          <w:rFonts w:hint="eastAsia" w:ascii="仿宋_GB2312" w:eastAsia="仿宋_GB2312"/>
          <w:b/>
          <w:bCs/>
          <w:sz w:val="32"/>
        </w:rPr>
        <w:t xml:space="preserve">  （注册号：1320150111）</w:t>
      </w:r>
    </w:p>
    <w:p>
      <w:pPr>
        <w:spacing w:line="640" w:lineRule="exact"/>
        <w:ind w:right="269" w:rightChars="96" w:firstLine="472" w:firstLineChars="147"/>
        <w:rPr>
          <w:rFonts w:hint="eastAsia" w:ascii="仿宋_GB2312" w:eastAsia="仿宋_GB2312"/>
          <w:b/>
          <w:bCs/>
          <w:sz w:val="32"/>
        </w:rPr>
      </w:pPr>
      <w:r>
        <w:rPr>
          <w:rFonts w:hint="eastAsia" w:ascii="仿宋_GB2312" w:eastAsia="仿宋_GB2312"/>
          <w:b/>
          <w:bCs/>
          <w:color w:val="000000"/>
          <w:sz w:val="32"/>
        </w:rPr>
        <w:t>估价报告出具日期:2019年9月4日</w:t>
      </w:r>
    </w:p>
    <w:p>
      <w:pPr>
        <w:spacing w:line="600" w:lineRule="exact"/>
        <w:jc w:val="center"/>
        <w:sectPr>
          <w:headerReference r:id="rId3" w:type="first"/>
          <w:footerReference r:id="rId4" w:type="even"/>
          <w:pgSz w:w="11906" w:h="16838"/>
          <w:pgMar w:top="1588" w:right="1418" w:bottom="1440" w:left="1418" w:header="851" w:footer="851" w:gutter="0"/>
          <w:pgNumType w:start="0"/>
          <w:cols w:space="720" w:num="1"/>
          <w:titlePg/>
          <w:docGrid w:type="lines" w:linePitch="493" w:charSpace="0"/>
        </w:sectPr>
      </w:pPr>
    </w:p>
    <w:p>
      <w:pPr>
        <w:pStyle w:val="9"/>
        <w:spacing w:line="360" w:lineRule="auto"/>
        <w:jc w:val="center"/>
        <w:rPr>
          <w:rFonts w:hint="eastAsia" w:ascii="仿宋_GB2312" w:eastAsia="仿宋_GB2312"/>
          <w:b/>
          <w:bCs/>
          <w:color w:val="000000"/>
          <w:sz w:val="36"/>
          <w:szCs w:val="36"/>
        </w:rPr>
      </w:pPr>
      <w:r>
        <w:rPr>
          <w:rFonts w:hint="eastAsia" w:ascii="仿宋_GB2312" w:eastAsia="仿宋_GB2312"/>
          <w:b/>
          <w:bCs/>
          <w:color w:val="000000"/>
          <w:sz w:val="36"/>
          <w:szCs w:val="36"/>
        </w:rPr>
        <w:t>致估价委托人函</w:t>
      </w:r>
    </w:p>
    <w:p>
      <w:pPr>
        <w:spacing w:line="360" w:lineRule="auto"/>
        <w:ind w:right="571" w:rightChars="204"/>
        <w:rPr>
          <w:rFonts w:hint="eastAsia" w:ascii="仿宋_GB2312" w:eastAsia="仿宋_GB2312"/>
          <w:bCs/>
          <w:color w:val="000000"/>
        </w:rPr>
      </w:pPr>
      <w:r>
        <w:rPr>
          <w:rFonts w:hint="eastAsia" w:ascii="仿宋_GB2312" w:eastAsia="仿宋_GB2312"/>
          <w:bCs/>
          <w:color w:val="000000"/>
        </w:rPr>
        <w:t>河间市人民法院：</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接受贵院委托，我公司对</w:t>
      </w:r>
      <w:r>
        <w:rPr>
          <w:rFonts w:hint="eastAsia" w:ascii="仿宋_GB2312" w:eastAsia="仿宋_GB2312"/>
          <w:bCs/>
          <w:color w:val="000000"/>
        </w:rPr>
        <w:t>河间市人民法院受理的申请执行人河北银永通担保有限公司与被执行人闫红雨、周秀捧追偿权纠纷一案所涉及的河间市御府江南小区第5幢2单元502室住宅</w:t>
      </w:r>
      <w:r>
        <w:rPr>
          <w:rFonts w:hint="eastAsia" w:ascii="仿宋_GB2312" w:eastAsia="仿宋_GB2312"/>
          <w:color w:val="000000"/>
        </w:rPr>
        <w:t>房地产在价值时点的市场价值进行了评估。</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一、估价目的：为估价委托人执行司法案件的需要提供房地产市场价值参考依据。</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二、估价对象：河间市人民法院受理的申请执行人河北银永通担保有限公司与被执行人闫红雨、周秀捧追偿权纠纷一案所涉及的河间市御府江南小区第5幢2单元502室住宅房地产，建筑面积为110.82平方米。</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color w:val="000000"/>
        </w:rPr>
        <w:t>三、价值时点：2019年8月26日。</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color w:val="000000"/>
        </w:rPr>
        <w:t xml:space="preserve">四、价值类型：公开市场价值。 </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color w:val="000000"/>
        </w:rPr>
        <w:t>五、估价方法：市场比较法。</w:t>
      </w:r>
      <w:r>
        <w:rPr>
          <w:rFonts w:hint="eastAsia" w:ascii="仿宋_GB2312" w:eastAsia="仿宋_GB2312"/>
          <w:color w:val="000000"/>
        </w:rPr>
        <w:tab/>
      </w:r>
    </w:p>
    <w:p>
      <w:pPr>
        <w:spacing w:line="360" w:lineRule="auto"/>
        <w:ind w:left="560"/>
        <w:rPr>
          <w:rFonts w:hint="eastAsia" w:ascii="仿宋_GB2312" w:eastAsia="仿宋_GB2312"/>
          <w:color w:val="000000"/>
        </w:rPr>
      </w:pPr>
      <w:r>
        <w:rPr>
          <w:rFonts w:hint="eastAsia" w:ascii="仿宋_GB2312" w:eastAsia="仿宋_GB2312"/>
          <w:color w:val="000000"/>
        </w:rPr>
        <w:t>六、估价结果：估价人员根据估价目的，遵循估价原则，按照估价程</w:t>
      </w:r>
    </w:p>
    <w:p>
      <w:pPr>
        <w:spacing w:line="360" w:lineRule="auto"/>
        <w:rPr>
          <w:rFonts w:hint="eastAsia" w:ascii="仿宋_GB2312" w:eastAsia="仿宋_GB2312"/>
        </w:rPr>
      </w:pPr>
      <w:r>
        <w:rPr>
          <w:rFonts w:hint="eastAsia" w:ascii="仿宋_GB2312" w:eastAsia="仿宋_GB2312"/>
          <w:color w:val="000000"/>
        </w:rPr>
        <w:t>序，选用适宜的估价方法，在认真分析现有资料的基础上，经过测算，结合估价经验和对影响房地产价值因素的综合分析，确认</w:t>
      </w:r>
      <w:r>
        <w:rPr>
          <w:rFonts w:hint="eastAsia" w:ascii="仿宋_GB2312" w:eastAsia="仿宋_GB2312"/>
          <w:bCs/>
          <w:color w:val="000000"/>
        </w:rPr>
        <w:t>河间市人民法院受理的申请执行人河北银永通担保有限公司与被执行人闫红雨、周秀捧追偿权纠纷一案所涉及的河间市御府江南小区第5幢2单元502室住宅</w:t>
      </w:r>
      <w:r>
        <w:rPr>
          <w:rFonts w:hint="eastAsia" w:ascii="仿宋_GB2312" w:eastAsia="仿宋_GB2312"/>
          <w:color w:val="000000"/>
        </w:rPr>
        <w:t>房地产在价值时点的市场价值为RMB80.05万元</w:t>
      </w:r>
      <w:r>
        <w:rPr>
          <w:rFonts w:hint="eastAsia" w:ascii="仿宋_GB2312" w:eastAsia="仿宋_GB2312"/>
        </w:rPr>
        <w:t>，大写人民币：捌拾万零伍佰元整，单价为7223元/平方米。</w:t>
      </w:r>
    </w:p>
    <w:p>
      <w:pPr>
        <w:spacing w:line="360" w:lineRule="auto"/>
        <w:ind w:firstLine="555"/>
        <w:rPr>
          <w:rFonts w:hint="eastAsia" w:ascii="仿宋_GB2312" w:eastAsia="仿宋_GB2312"/>
          <w:color w:val="000000"/>
        </w:rPr>
      </w:pPr>
      <w:r>
        <w:rPr>
          <w:rFonts w:hint="eastAsia" w:ascii="仿宋_GB2312" w:eastAsia="仿宋_GB2312"/>
          <w:color w:val="000000"/>
        </w:rPr>
        <w:t>七、特别提示</w:t>
      </w:r>
    </w:p>
    <w:p>
      <w:pPr>
        <w:spacing w:line="360" w:lineRule="auto"/>
        <w:ind w:firstLine="555"/>
        <w:rPr>
          <w:rFonts w:hint="eastAsia" w:ascii="仿宋_GB2312" w:eastAsia="仿宋_GB2312"/>
          <w:color w:val="000000"/>
        </w:rPr>
      </w:pPr>
      <w:r>
        <w:rPr>
          <w:rFonts w:hint="eastAsia" w:ascii="仿宋_GB2312" w:eastAsia="仿宋_GB2312"/>
          <w:color w:val="000000"/>
        </w:rPr>
        <w:t>1、本次评估交付估价委托人评估报告原件</w:t>
      </w:r>
      <w:r>
        <w:rPr>
          <w:rFonts w:hint="eastAsia" w:ascii="仿宋_GB2312" w:eastAsia="仿宋_GB2312"/>
        </w:rPr>
        <w:t>五</w:t>
      </w:r>
      <w:r>
        <w:rPr>
          <w:rFonts w:hint="eastAsia" w:ascii="仿宋_GB2312" w:eastAsia="仿宋_GB2312"/>
          <w:color w:val="000000"/>
        </w:rPr>
        <w:t>份，报告复印件无效。</w:t>
      </w:r>
    </w:p>
    <w:p>
      <w:pPr>
        <w:spacing w:line="360" w:lineRule="auto"/>
        <w:ind w:firstLine="555"/>
        <w:rPr>
          <w:rFonts w:hint="eastAsia" w:ascii="仿宋_GB2312" w:eastAsia="仿宋_GB2312"/>
          <w:color w:val="000000"/>
        </w:rPr>
      </w:pPr>
      <w:r>
        <w:rPr>
          <w:rFonts w:hint="eastAsia" w:ascii="仿宋_GB2312" w:eastAsia="仿宋_GB2312"/>
          <w:color w:val="000000"/>
        </w:rPr>
        <w:t>2、报告使用人在使用本报告之前须对报告全文，特别是“估价的假设和限制条件”认真阅读，以免使用不当，造成损失。</w:t>
      </w:r>
    </w:p>
    <w:p>
      <w:pPr>
        <w:spacing w:line="360" w:lineRule="auto"/>
        <w:ind w:firstLine="555"/>
        <w:rPr>
          <w:rFonts w:hint="eastAsia" w:ascii="仿宋_GB2312" w:eastAsia="仿宋_GB2312"/>
          <w:color w:val="000000"/>
        </w:rPr>
      </w:pPr>
      <w:r>
        <w:rPr>
          <w:rFonts w:hint="eastAsia" w:ascii="仿宋_GB2312" w:eastAsia="仿宋_GB2312"/>
          <w:color w:val="000000"/>
        </w:rPr>
        <w:t xml:space="preserve">3、本估价报告应用的有效期：自2019年9月4日至2020年9月3日。                            </w:t>
      </w:r>
    </w:p>
    <w:p>
      <w:pPr>
        <w:spacing w:line="360" w:lineRule="auto"/>
        <w:ind w:firstLine="280" w:firstLineChars="100"/>
        <w:rPr>
          <w:rFonts w:hint="eastAsia" w:ascii="仿宋_GB2312" w:eastAsia="仿宋_GB2312"/>
          <w:color w:val="000000"/>
        </w:rPr>
      </w:pPr>
      <w:r>
        <w:rPr>
          <w:rFonts w:hint="eastAsia" w:ascii="仿宋_GB2312" w:eastAsia="仿宋_GB2312"/>
          <w:color w:val="000000"/>
        </w:rPr>
        <w:t xml:space="preserve">                               </w:t>
      </w:r>
    </w:p>
    <w:p>
      <w:pPr>
        <w:spacing w:line="360" w:lineRule="auto"/>
        <w:ind w:firstLine="4620" w:firstLineChars="1650"/>
        <w:rPr>
          <w:rFonts w:hint="eastAsia" w:ascii="仿宋_GB2312" w:eastAsia="仿宋_GB2312"/>
          <w:color w:val="000000"/>
        </w:rPr>
      </w:pPr>
      <w:r>
        <w:rPr>
          <w:rFonts w:hint="eastAsia" w:ascii="仿宋_GB2312" w:eastAsia="仿宋_GB2312"/>
          <w:color w:val="000000"/>
        </w:rPr>
        <w:t>沧州市沧房房地产评估有限公司</w:t>
      </w:r>
    </w:p>
    <w:p>
      <w:pPr>
        <w:spacing w:line="360" w:lineRule="auto"/>
        <w:ind w:firstLine="5040" w:firstLineChars="1800"/>
        <w:rPr>
          <w:rFonts w:hint="eastAsia" w:ascii="仿宋_GB2312" w:eastAsia="仿宋_GB2312"/>
          <w:color w:val="000000"/>
        </w:rPr>
      </w:pPr>
      <w:r>
        <w:rPr>
          <w:rFonts w:hint="eastAsia" w:ascii="仿宋_GB2312" w:eastAsia="仿宋_GB2312"/>
          <w:color w:val="000000"/>
        </w:rPr>
        <w:t>法定代表人：</w:t>
      </w:r>
    </w:p>
    <w:p>
      <w:pPr>
        <w:spacing w:line="360" w:lineRule="auto"/>
        <w:ind w:firstLine="3920" w:firstLineChars="1400"/>
        <w:rPr>
          <w:rFonts w:hint="eastAsia" w:ascii="仿宋_GB2312" w:eastAsia="仿宋_GB2312"/>
          <w:color w:val="000000"/>
        </w:rPr>
      </w:pPr>
      <w:r>
        <w:rPr>
          <w:rFonts w:hint="eastAsia" w:ascii="仿宋_GB2312" w:eastAsia="仿宋_GB2312"/>
          <w:color w:val="000000"/>
        </w:rPr>
        <w:t xml:space="preserve">          二○一九年九月四日</w:t>
      </w: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jc w:val="center"/>
        <w:rPr>
          <w:rFonts w:hint="eastAsia" w:ascii="仿宋_GB2312" w:eastAsia="仿宋_GB2312"/>
          <w:b/>
          <w:bCs/>
          <w:sz w:val="44"/>
          <w:szCs w:val="44"/>
        </w:rPr>
      </w:pPr>
    </w:p>
    <w:p>
      <w:pPr>
        <w:spacing w:line="640" w:lineRule="exact"/>
        <w:rPr>
          <w:rFonts w:hint="eastAsia" w:ascii="仿宋_GB2312" w:eastAsia="仿宋_GB2312"/>
          <w:b/>
          <w:bCs/>
          <w:sz w:val="44"/>
          <w:szCs w:val="44"/>
        </w:rPr>
      </w:pPr>
    </w:p>
    <w:p>
      <w:pPr>
        <w:spacing w:line="640" w:lineRule="exact"/>
        <w:jc w:val="center"/>
        <w:rPr>
          <w:rFonts w:hint="eastAsia" w:ascii="仿宋_GB2312" w:eastAsia="仿宋_GB2312"/>
          <w:b/>
          <w:bCs/>
          <w:sz w:val="36"/>
          <w:szCs w:val="36"/>
        </w:rPr>
      </w:pPr>
      <w:r>
        <w:rPr>
          <w:rFonts w:hint="eastAsia" w:ascii="仿宋_GB2312" w:eastAsia="仿宋_GB2312"/>
          <w:b/>
          <w:bCs/>
          <w:sz w:val="36"/>
          <w:szCs w:val="36"/>
        </w:rPr>
        <w:t>目    录</w:t>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rPr>
        <w:t>·</w:t>
      </w:r>
      <w:r>
        <w:rPr>
          <w:rFonts w:hint="eastAsia" w:ascii="仿宋_GB2312" w:eastAsia="仿宋_GB2312"/>
          <w:b/>
          <w:color w:val="000000"/>
          <w:spacing w:val="-20"/>
          <w:sz w:val="36"/>
        </w:rPr>
        <w:fldChar w:fldCharType="begin"/>
      </w:r>
      <w:r>
        <w:rPr>
          <w:rFonts w:hint="eastAsia" w:ascii="仿宋_GB2312" w:eastAsia="仿宋_GB2312"/>
          <w:b/>
          <w:color w:val="000000"/>
          <w:spacing w:val="-20"/>
          <w:sz w:val="36"/>
        </w:rPr>
        <w:instrText xml:space="preserve">TOC \o "1-3" \h \u </w:instrText>
      </w:r>
      <w:r>
        <w:rPr>
          <w:rFonts w:hint="eastAsia" w:ascii="仿宋_GB2312" w:eastAsia="仿宋_GB2312"/>
          <w:b/>
          <w:color w:val="000000"/>
          <w:spacing w:val="-20"/>
          <w:sz w:val="36"/>
        </w:rPr>
        <w:fldChar w:fldCharType="separate"/>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"_Toc508115275"</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估价师声明</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_Toc508115275 \h </w:instrText>
      </w:r>
      <w:r>
        <w:rPr>
          <w:rFonts w:hint="eastAsia" w:ascii="仿宋_GB2312" w:eastAsia="仿宋_GB2312"/>
          <w:lang/>
        </w:rPr>
        <w:fldChar w:fldCharType="separate"/>
      </w:r>
      <w:r>
        <w:rPr>
          <w:rFonts w:ascii="仿宋_GB2312" w:eastAsia="仿宋_GB2312"/>
          <w:lang/>
        </w:rPr>
        <w:t>1</w:t>
      </w:r>
      <w:r>
        <w:rPr>
          <w:rFonts w:hint="eastAsia" w:ascii="仿宋_GB2312" w:eastAsia="仿宋_GB2312"/>
          <w:lang/>
        </w:rPr>
        <w:fldChar w:fldCharType="end"/>
      </w:r>
      <w:r>
        <w:rPr>
          <w:rStyle w:val="25"/>
          <w:rFonts w:hint="eastAsia" w:ascii="仿宋_GB2312" w:eastAsia="仿宋_GB2312"/>
          <w:lang/>
        </w:rPr>
        <w:fldChar w:fldCharType="end"/>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lang/>
        </w:rPr>
        <w:t>·</w:t>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"_Toc508115276"</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估价的假设和限制条件</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_Toc508115276 \h </w:instrText>
      </w:r>
      <w:r>
        <w:rPr>
          <w:rFonts w:hint="eastAsia" w:ascii="仿宋_GB2312" w:eastAsia="仿宋_GB2312"/>
          <w:lang/>
        </w:rPr>
        <w:fldChar w:fldCharType="separate"/>
      </w:r>
      <w:r>
        <w:rPr>
          <w:rFonts w:ascii="仿宋_GB2312" w:eastAsia="仿宋_GB2312"/>
          <w:lang/>
        </w:rPr>
        <w:t>3</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"_Toc508115277"</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一、 本次估价的一般假设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_Toc508115277 \h </w:instrText>
      </w:r>
      <w:r>
        <w:rPr>
          <w:rFonts w:hint="eastAsia" w:ascii="仿宋_GB2312" w:eastAsia="仿宋_GB2312"/>
          <w:lang/>
        </w:rPr>
        <w:fldChar w:fldCharType="separate"/>
      </w:r>
      <w:r>
        <w:rPr>
          <w:rFonts w:ascii="仿宋_GB2312" w:eastAsia="仿宋_GB2312"/>
          <w:lang/>
        </w:rPr>
        <w:t>3</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"_Toc508115278"</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二、不确定事项假设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_Toc508115278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"_Toc508115279"</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三、背离实际情况假设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_Toc508115279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"_Toc508115280"</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四、不相一致假设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_Toc508115280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"_Toc508115281"</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五、依据不足假设</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_Toc508115281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"_Toc508115282"</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六、估价报告限制条件</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_Toc508115282 \h </w:instrText>
      </w:r>
      <w:r>
        <w:rPr>
          <w:rFonts w:hint="eastAsia" w:ascii="仿宋_GB2312" w:eastAsia="仿宋_GB2312"/>
          <w:lang/>
        </w:rPr>
        <w:fldChar w:fldCharType="separate"/>
      </w:r>
      <w:r>
        <w:rPr>
          <w:rFonts w:ascii="仿宋_GB2312" w:eastAsia="仿宋_GB2312"/>
          <w:lang/>
        </w:rPr>
        <w:t>4</w:t>
      </w:r>
      <w:r>
        <w:rPr>
          <w:rFonts w:hint="eastAsia" w:ascii="仿宋_GB2312" w:eastAsia="仿宋_GB2312"/>
          <w:lang/>
        </w:rPr>
        <w:fldChar w:fldCharType="end"/>
      </w:r>
      <w:r>
        <w:rPr>
          <w:rStyle w:val="25"/>
          <w:rFonts w:hint="eastAsia" w:ascii="仿宋_GB2312" w:eastAsia="仿宋_GB2312"/>
          <w:lang/>
        </w:rPr>
        <w:fldChar w:fldCharType="end"/>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lang/>
        </w:rPr>
        <w:t>·</w:t>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"_Toc508115283"</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估价结果报告</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_Toc508115283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"_Toc508115284"</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一、估价委托人</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_Toc508115284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"_Toc508115285"</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二、房地产估价机构</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_Toc508115285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"_Toc508115286"</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三、估价目的</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_Toc508115286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"_Toc508115287"</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四、估价对象</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_Toc508115287 \h </w:instrText>
      </w:r>
      <w:r>
        <w:rPr>
          <w:rFonts w:hint="eastAsia" w:ascii="仿宋_GB2312" w:eastAsia="仿宋_GB2312"/>
          <w:lang/>
        </w:rPr>
        <w:fldChar w:fldCharType="separate"/>
      </w:r>
      <w:r>
        <w:rPr>
          <w:rFonts w:ascii="仿宋_GB2312" w:eastAsia="仿宋_GB2312"/>
          <w:lang/>
        </w:rPr>
        <w:t>6</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"_Toc508115288"</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五、价值时点</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_Toc508115288 \h </w:instrText>
      </w:r>
      <w:r>
        <w:rPr>
          <w:rFonts w:hint="eastAsia" w:ascii="仿宋_GB2312" w:eastAsia="仿宋_GB2312"/>
          <w:lang/>
        </w:rPr>
        <w:fldChar w:fldCharType="separate"/>
      </w:r>
      <w:r>
        <w:rPr>
          <w:rFonts w:ascii="仿宋_GB2312" w:eastAsia="仿宋_GB2312"/>
          <w:lang/>
        </w:rPr>
        <w:t>7</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"_Toc508115289"</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六、价值类型</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_Toc508115289 \h </w:instrText>
      </w:r>
      <w:r>
        <w:rPr>
          <w:rFonts w:hint="eastAsia" w:ascii="仿宋_GB2312" w:eastAsia="仿宋_GB2312"/>
          <w:lang/>
        </w:rPr>
        <w:fldChar w:fldCharType="separate"/>
      </w:r>
      <w:r>
        <w:rPr>
          <w:rFonts w:ascii="仿宋_GB2312" w:eastAsia="仿宋_GB2312"/>
          <w:lang/>
        </w:rPr>
        <w:t>7</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"_Toc508115290"</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七、估价依据</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_Toc508115290 \h </w:instrText>
      </w:r>
      <w:r>
        <w:rPr>
          <w:rFonts w:hint="eastAsia" w:ascii="仿宋_GB2312" w:eastAsia="仿宋_GB2312"/>
          <w:lang/>
        </w:rPr>
        <w:fldChar w:fldCharType="separate"/>
      </w:r>
      <w:r>
        <w:rPr>
          <w:rFonts w:ascii="仿宋_GB2312" w:eastAsia="仿宋_GB2312"/>
          <w:lang/>
        </w:rPr>
        <w:t>7</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"_Toc508115291"</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八、估价原则</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_Toc508115291 \h </w:instrText>
      </w:r>
      <w:r>
        <w:rPr>
          <w:rFonts w:hint="eastAsia" w:ascii="仿宋_GB2312" w:eastAsia="仿宋_GB2312"/>
          <w:lang/>
        </w:rPr>
        <w:fldChar w:fldCharType="separate"/>
      </w:r>
      <w:r>
        <w:rPr>
          <w:rFonts w:ascii="仿宋_GB2312" w:eastAsia="仿宋_GB2312"/>
          <w:lang/>
        </w:rPr>
        <w:t>8</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"_Toc508115292"</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九、估价方法</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_Toc508115292 \h </w:instrText>
      </w:r>
      <w:r>
        <w:rPr>
          <w:rFonts w:hint="eastAsia" w:ascii="仿宋_GB2312" w:eastAsia="仿宋_GB2312"/>
          <w:lang/>
        </w:rPr>
        <w:fldChar w:fldCharType="separate"/>
      </w:r>
      <w:r>
        <w:rPr>
          <w:rFonts w:ascii="仿宋_GB2312" w:eastAsia="仿宋_GB2312"/>
          <w:lang/>
        </w:rPr>
        <w:t>8</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"_Toc508115293"</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十、估价结果</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_Toc508115293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"_Toc508115294"</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十一、注册房地产估价师</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_Toc508115294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"_Toc508115295"</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十二、估价作业日期</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_Toc508115295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7"/>
        <w:tabs>
          <w:tab w:val="right" w:leader="dot" w:pos="9060"/>
        </w:tabs>
        <w:spacing w:line="360" w:lineRule="auto"/>
        <w:ind w:left="560"/>
        <w:rPr>
          <w:rFonts w:hint="eastAsia" w:ascii="仿宋_GB2312" w:eastAsia="仿宋_GB2312"/>
          <w:sz w:val="21"/>
          <w:szCs w:val="24"/>
          <w:lang/>
        </w:rPr>
      </w:pP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"_Toc508115296"</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十三、估价报告应用的有效期</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_Toc508115296 \h </w:instrText>
      </w:r>
      <w:r>
        <w:rPr>
          <w:rFonts w:hint="eastAsia" w:ascii="仿宋_GB2312" w:eastAsia="仿宋_GB2312"/>
          <w:lang/>
        </w:rPr>
        <w:fldChar w:fldCharType="separate"/>
      </w:r>
      <w:r>
        <w:rPr>
          <w:rFonts w:ascii="仿宋_GB2312" w:eastAsia="仿宋_GB2312"/>
          <w:lang/>
        </w:rPr>
        <w:t>9</w:t>
      </w:r>
      <w:r>
        <w:rPr>
          <w:rFonts w:hint="eastAsia" w:ascii="仿宋_GB2312" w:eastAsia="仿宋_GB2312"/>
          <w:lang/>
        </w:rPr>
        <w:fldChar w:fldCharType="end"/>
      </w:r>
      <w:r>
        <w:rPr>
          <w:rStyle w:val="25"/>
          <w:rFonts w:hint="eastAsia" w:ascii="仿宋_GB2312" w:eastAsia="仿宋_GB2312"/>
          <w:lang/>
        </w:rPr>
        <w:fldChar w:fldCharType="end"/>
      </w:r>
    </w:p>
    <w:p>
      <w:pPr>
        <w:pStyle w:val="15"/>
        <w:tabs>
          <w:tab w:val="right" w:leader="dot" w:pos="9060"/>
        </w:tabs>
        <w:spacing w:line="360" w:lineRule="auto"/>
        <w:rPr>
          <w:rFonts w:hint="eastAsia" w:ascii="仿宋_GB2312" w:eastAsia="仿宋_GB2312"/>
          <w:sz w:val="21"/>
          <w:szCs w:val="24"/>
          <w:lang/>
        </w:rPr>
      </w:pPr>
      <w:r>
        <w:rPr>
          <w:rFonts w:hint="eastAsia" w:ascii="仿宋_GB2312" w:eastAsia="仿宋_GB2312"/>
          <w:b/>
          <w:color w:val="000000"/>
          <w:spacing w:val="-20"/>
          <w:sz w:val="36"/>
          <w:lang/>
        </w:rPr>
        <w:t>·</w:t>
      </w:r>
      <w:r>
        <w:rPr>
          <w:rStyle w:val="25"/>
          <w:rFonts w:hint="eastAsia" w:ascii="仿宋_GB2312" w:eastAsia="仿宋_GB2312"/>
          <w:lang/>
        </w:rPr>
        <w:fldChar w:fldCharType="begin"/>
      </w:r>
      <w:r>
        <w:rPr>
          <w:rStyle w:val="25"/>
          <w:rFonts w:hint="eastAsia" w:ascii="仿宋_GB2312" w:eastAsia="仿宋_GB2312"/>
          <w:lang/>
        </w:rPr>
        <w:instrText xml:space="preserve"> </w:instrText>
      </w:r>
      <w:r>
        <w:rPr>
          <w:rFonts w:hint="eastAsia" w:ascii="仿宋_GB2312" w:eastAsia="仿宋_GB2312"/>
          <w:lang/>
        </w:rPr>
        <w:instrText xml:space="preserve">HYPERLINK \l "_Toc508115297"</w:instrText>
      </w:r>
      <w:r>
        <w:rPr>
          <w:rStyle w:val="25"/>
          <w:rFonts w:hint="eastAsia" w:ascii="仿宋_GB2312" w:eastAsia="仿宋_GB2312"/>
          <w:lang/>
        </w:rPr>
        <w:instrText xml:space="preserve"> </w:instrText>
      </w:r>
      <w:r>
        <w:rPr>
          <w:rStyle w:val="25"/>
          <w:rFonts w:hint="eastAsia" w:ascii="仿宋_GB2312" w:eastAsia="仿宋_GB2312"/>
          <w:lang/>
        </w:rPr>
        <w:fldChar w:fldCharType="separate"/>
      </w:r>
      <w:r>
        <w:rPr>
          <w:rStyle w:val="25"/>
          <w:rFonts w:hint="eastAsia" w:ascii="仿宋_GB2312" w:eastAsia="仿宋_GB2312"/>
          <w:lang/>
        </w:rPr>
        <w:t>附  件</w:t>
      </w:r>
      <w:r>
        <w:rPr>
          <w:rFonts w:hint="eastAsia" w:ascii="仿宋_GB2312" w:eastAsia="仿宋_GB2312"/>
          <w:lang/>
        </w:rPr>
        <w:tab/>
      </w:r>
      <w:r>
        <w:rPr>
          <w:rFonts w:hint="eastAsia" w:ascii="仿宋_GB2312" w:eastAsia="仿宋_GB2312"/>
          <w:lang/>
        </w:rPr>
        <w:fldChar w:fldCharType="begin"/>
      </w:r>
      <w:r>
        <w:rPr>
          <w:rFonts w:hint="eastAsia" w:ascii="仿宋_GB2312" w:eastAsia="仿宋_GB2312"/>
          <w:lang/>
        </w:rPr>
        <w:instrText xml:space="preserve"> PAGEREF _Toc508115297 \h </w:instrText>
      </w:r>
      <w:r>
        <w:rPr>
          <w:rFonts w:hint="eastAsia" w:ascii="仿宋_GB2312" w:eastAsia="仿宋_GB2312"/>
          <w:lang/>
        </w:rPr>
        <w:fldChar w:fldCharType="separate"/>
      </w:r>
      <w:r>
        <w:rPr>
          <w:rFonts w:ascii="仿宋_GB2312" w:eastAsia="仿宋_GB2312"/>
          <w:lang/>
        </w:rPr>
        <w:t>10</w:t>
      </w:r>
      <w:r>
        <w:rPr>
          <w:rFonts w:hint="eastAsia" w:ascii="仿宋_GB2312" w:eastAsia="仿宋_GB2312"/>
          <w:lang/>
        </w:rPr>
        <w:fldChar w:fldCharType="end"/>
      </w:r>
      <w:r>
        <w:rPr>
          <w:rStyle w:val="25"/>
          <w:rFonts w:hint="eastAsia" w:ascii="仿宋_GB2312" w:eastAsia="仿宋_GB2312"/>
          <w:lang/>
        </w:rPr>
        <w:fldChar w:fldCharType="end"/>
      </w:r>
    </w:p>
    <w:p>
      <w:pPr>
        <w:pStyle w:val="9"/>
        <w:spacing w:line="360" w:lineRule="auto"/>
        <w:rPr>
          <w:rFonts w:hint="eastAsia" w:ascii="仿宋_GB2312" w:eastAsia="仿宋_GB2312"/>
          <w:b/>
          <w:sz w:val="36"/>
          <w:szCs w:val="36"/>
        </w:rPr>
        <w:sectPr>
          <w:headerReference r:id="rId6" w:type="first"/>
          <w:footerReference r:id="rId8" w:type="first"/>
          <w:headerReference r:id="rId5" w:type="default"/>
          <w:footerReference r:id="rId7" w:type="default"/>
          <w:pgSz w:w="11906" w:h="16838"/>
          <w:pgMar w:top="1588" w:right="1418" w:bottom="1440" w:left="1418" w:header="851" w:footer="851" w:gutter="0"/>
          <w:pgNumType w:start="0"/>
          <w:cols w:space="720" w:num="1"/>
          <w:titlePg/>
          <w:docGrid w:linePitch="493" w:charSpace="0"/>
        </w:sectPr>
      </w:pPr>
      <w:r>
        <w:rPr>
          <w:rFonts w:hint="eastAsia" w:ascii="仿宋_GB2312" w:eastAsia="仿宋_GB2312"/>
          <w:color w:val="000000"/>
          <w:spacing w:val="-20"/>
        </w:rPr>
        <w:fldChar w:fldCharType="end"/>
      </w:r>
    </w:p>
    <w:p>
      <w:pPr>
        <w:pStyle w:val="2"/>
        <w:rPr>
          <w:rFonts w:hint="eastAsia"/>
        </w:rPr>
      </w:pPr>
      <w:bookmarkStart w:id="0" w:name="_Toc508115275"/>
      <w:r>
        <w:rPr>
          <w:rFonts w:hint="eastAsia"/>
        </w:rPr>
        <w:t>估价师声明</w:t>
      </w:r>
      <w:bookmarkEnd w:id="0"/>
    </w:p>
    <w:p>
      <w:pPr>
        <w:spacing w:line="360" w:lineRule="auto"/>
        <w:rPr>
          <w:rFonts w:hint="eastAsia" w:ascii="仿宋_GB2312" w:eastAsia="仿宋_GB2312"/>
          <w:color w:val="000000"/>
        </w:rPr>
      </w:pPr>
      <w:r>
        <w:rPr>
          <w:rFonts w:hint="eastAsia" w:ascii="仿宋_GB2312" w:eastAsia="仿宋_GB2312"/>
          <w:color w:val="000000"/>
        </w:rPr>
        <w:t>我们郑重声明：</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1、我们在本估价报告中陈述的事实是真实和准确的，没有虚假记载、误导性陈述和重大遗漏。</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2、本估价报告中的分析、意见和结论是我们自己独立、客观、公正的专业分析、意见和结论，但受到估价报告中已说明的假设和限制条件的限制。</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3、我们与本估价报告中的估价对象没有现实或潜在的利益，与估价委托人及估价利害关系人没有利害关系，也对估价对象、估价委托人及估价利害关系人没有偏见。</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4、我们依照中华人民共和国国家标准《房地产估价规范》（GB/T50291-2015）、《房地产估价基本术语标准》（GB/T50899-2013）等有关房地产估价标准的规定进行估价工作，撰写本估价报告。</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5、我们已于2019年8月26日对本估价报告中的估价对象进行实地查勘。评估人员对评估标的物的查勘仅限于标的物的外观和使用状况，不承担对评估标的物建筑结构、质量进行调查的责任和其他被遮盖、未暴露及难于接触到的部分进行检视的责任。</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6、本次评估所依据的商品房买卖合同编号GF-2002-0171复印件、河间市人民法院司法评估委托书（2019）河法委评执字第20号等资料由估价委托人提供，估价委托人对所提供资料的真实性负责。</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7、本项评估仅对委估对象的价值做出合理估价，不作为其权属方面确认的依据，有关权属确定以有关部门认定为准。</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8、本次估价由我公司房地产估价师独立完成，没有人对本估价报告提供重要专业帮助。</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 xml:space="preserve">                                                                                                                                                                                                                                                                                                                                                                                                                                                                                                                                                                                                                                                                                                                                                                                                                                                                                </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9、本估价报告由沧州市沧房房地产评估有限公司负责解释。</w:t>
      </w:r>
    </w:p>
    <w:p>
      <w:pPr>
        <w:spacing w:line="288" w:lineRule="auto"/>
        <w:ind w:firstLine="540" w:firstLineChars="192"/>
        <w:rPr>
          <w:rFonts w:hint="eastAsia" w:ascii="仿宋_GB2312" w:eastAsia="仿宋_GB2312"/>
          <w:b/>
        </w:rPr>
      </w:pPr>
      <w:r>
        <w:rPr>
          <w:rFonts w:hint="eastAsia" w:ascii="仿宋_GB2312" w:eastAsia="仿宋_GB2312"/>
          <w:b/>
        </w:rPr>
        <w:t>注册房地产估价师：</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796"/>
        <w:gridCol w:w="215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注册房地产估价师姓名</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注册号</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签名</w:t>
            </w: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r>
              <w:rPr>
                <w:rFonts w:hint="eastAsia" w:ascii="仿宋_GB2312" w:eastAsia="仿宋_GB2312"/>
                <w:bCs/>
              </w:rPr>
              <w:t>郭彦彬</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hint="eastAsia" w:ascii="仿宋_GB2312" w:eastAsia="仿宋_GB2312" w:cs="仿宋_GB2312"/>
                <w:bCs/>
                <w:sz w:val="28"/>
              </w:rPr>
            </w:pPr>
            <w:r>
              <w:rPr>
                <w:rFonts w:hint="eastAsia" w:ascii="仿宋_GB2312" w:eastAsia="仿宋_GB2312"/>
                <w:bCs/>
                <w:sz w:val="28"/>
              </w:rPr>
              <w:t>1320180019</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jc w:val="center"/>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庞  利</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1320150111</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bl>
    <w:p>
      <w:pPr>
        <w:spacing w:line="288" w:lineRule="auto"/>
        <w:ind w:firstLine="540" w:firstLineChars="192"/>
        <w:rPr>
          <w:rFonts w:hint="eastAsia" w:ascii="仿宋_GB2312" w:eastAsia="仿宋_GB2312"/>
          <w:b/>
        </w:rPr>
      </w:pPr>
    </w:p>
    <w:p>
      <w:pPr>
        <w:pStyle w:val="2"/>
        <w:rPr>
          <w:rFonts w:hint="eastAsia"/>
        </w:rPr>
      </w:pPr>
      <w:r>
        <w:rPr>
          <w:color w:val="000000"/>
        </w:rPr>
        <w:br w:type="page"/>
      </w:r>
      <w:r>
        <w:rPr>
          <w:rFonts w:hint="eastAsia"/>
          <w:color w:val="000000"/>
        </w:rPr>
        <w:t xml:space="preserve"> </w:t>
      </w:r>
      <w:bookmarkStart w:id="1" w:name="_Toc508115276"/>
      <w:r>
        <w:rPr>
          <w:rFonts w:hint="eastAsia"/>
        </w:rPr>
        <w:t>估价的假设和限制条件</w:t>
      </w:r>
      <w:bookmarkEnd w:id="1"/>
    </w:p>
    <w:p>
      <w:pPr>
        <w:pStyle w:val="3"/>
        <w:numPr>
          <w:ilvl w:val="0"/>
          <w:numId w:val="1"/>
        </w:numPr>
        <w:ind w:left="560"/>
        <w:rPr>
          <w:rFonts w:hint="eastAsia"/>
        </w:rPr>
      </w:pPr>
      <w:bookmarkStart w:id="2" w:name="_Toc508115277"/>
      <w:r>
        <w:rPr>
          <w:rFonts w:hint="eastAsia"/>
        </w:rPr>
        <w:t>本次估价的一般假设</w:t>
      </w:r>
      <w:bookmarkEnd w:id="2"/>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本报告依据的商品房买卖合同编号GF-2002-0171复印件、河间市人民法院司法评估委托书（2019）河法委评执字第20号等资料由估价委托人提供，估价委托人对资料的合法性、真实性、准确性和完整性负责并承担法律责任。注册房地产估价师对估价所依据的资料进行了审慎检查，本估价报告以估价所依据的资料合法、真实、准确和完整为假设前提。</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2.估价委托人提供的资料真实可靠，估价对象的权益没有争议。不考虑委估房地产的连带负债及评估范围以外的法律问题。</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3.本次评估是以估价对象能够按照现状用途持续有效使用为假设前提。</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4.我们已于2019年8月26日对本估价报告中的估价对象进行实地查勘。评估人员对评估标的物的查勘仅限于标的物的外观和使用状况，不承担对评估标的物建筑结构、质量进行调查的责任和其他被遮盖、未暴露及难于接触到部分进行检视的责任。本次评估以其建筑质量符合设计规范要求和有关质量标准为假设前提。</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5.在价值时点的房地产市场为公开、平等、自愿的交易市场。</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6.交易双方的交易目的都是追逐自身最大经济利益，在适当的期间完成谈判和交易，洽谈交易期间物价值将保持稳定。</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7.交易双方都具有完全市场信息，对交易对象具有必要的专业知识，不考虑特殊买家的附加出价。</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8.市场供应关系、市场结构保持稳定、未发生重大变化或实质性改变。</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9.本次评估所依据的面积以商品房买卖合同编号GF-2002-0171复印件登记建筑面积为准，即建筑面积为110.82平方米。</w:t>
      </w:r>
    </w:p>
    <w:p>
      <w:pPr>
        <w:pStyle w:val="3"/>
        <w:ind w:left="560"/>
        <w:rPr>
          <w:rFonts w:hint="eastAsia"/>
        </w:rPr>
      </w:pPr>
      <w:bookmarkStart w:id="3" w:name="_Toc508115278"/>
      <w:r>
        <w:rPr>
          <w:rFonts w:hint="eastAsia"/>
        </w:rPr>
        <w:t>二、不确定事项假设</w:t>
      </w:r>
      <w:bookmarkEnd w:id="3"/>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1.本次估价结果未考虑国家宏观政策发生重大变化以及偶有自然力和其他不可抗力对估价结果的影响。</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2.本报告估价结果是根据公开、公平的市场原则确定的，未考虑将来可能承担的抵押、担保事宜，以及特殊的交易方式的影响。</w:t>
      </w:r>
    </w:p>
    <w:p>
      <w:pPr>
        <w:pStyle w:val="3"/>
        <w:ind w:left="560"/>
        <w:rPr>
          <w:rFonts w:hint="eastAsia"/>
        </w:rPr>
      </w:pPr>
      <w:bookmarkStart w:id="4" w:name="_Toc508115279"/>
      <w:r>
        <w:rPr>
          <w:rFonts w:hint="eastAsia"/>
        </w:rPr>
        <w:t>三、背离实际情况假设</w:t>
      </w:r>
      <w:bookmarkEnd w:id="4"/>
    </w:p>
    <w:p>
      <w:pPr>
        <w:spacing w:line="360" w:lineRule="auto"/>
        <w:ind w:firstLine="560" w:firstLineChars="200"/>
        <w:rPr>
          <w:rFonts w:hint="eastAsia" w:ascii="仿宋_GB2312" w:eastAsia="仿宋_GB2312"/>
          <w:color w:val="000000"/>
        </w:rPr>
      </w:pPr>
      <w:r>
        <w:rPr>
          <w:rFonts w:hint="eastAsia" w:ascii="仿宋_GB2312" w:eastAsia="仿宋_GB2312"/>
          <w:color w:val="000000"/>
        </w:rPr>
        <w:t>本次评估未考虑抵押、查封、租赁、纠纷等因素的影响。</w:t>
      </w:r>
    </w:p>
    <w:p>
      <w:pPr>
        <w:pStyle w:val="3"/>
        <w:ind w:left="560"/>
        <w:rPr>
          <w:rFonts w:hint="eastAsia"/>
        </w:rPr>
      </w:pPr>
      <w:bookmarkStart w:id="5" w:name="_Toc508115280"/>
      <w:r>
        <w:rPr>
          <w:rFonts w:hint="eastAsia"/>
        </w:rPr>
        <w:t>四、不相一致假设</w:t>
      </w:r>
      <w:bookmarkEnd w:id="5"/>
    </w:p>
    <w:p>
      <w:pPr>
        <w:spacing w:line="360" w:lineRule="auto"/>
        <w:ind w:firstLine="560" w:firstLineChars="200"/>
        <w:rPr>
          <w:rFonts w:hint="eastAsia" w:ascii="仿宋_GB2312" w:eastAsia="仿宋_GB2312"/>
          <w:color w:val="000000"/>
        </w:rPr>
      </w:pPr>
      <w:r>
        <w:rPr>
          <w:rFonts w:hint="eastAsia" w:ascii="仿宋_GB2312" w:eastAsia="仿宋_GB2312"/>
          <w:color w:val="000000"/>
        </w:rPr>
        <w:t>无</w:t>
      </w:r>
    </w:p>
    <w:p>
      <w:pPr>
        <w:pStyle w:val="3"/>
        <w:ind w:left="560"/>
        <w:rPr>
          <w:rFonts w:hint="eastAsia"/>
        </w:rPr>
      </w:pPr>
      <w:bookmarkStart w:id="6" w:name="_Toc508115281"/>
      <w:r>
        <w:rPr>
          <w:rFonts w:hint="eastAsia"/>
        </w:rPr>
        <w:t>五、依据不足假设</w:t>
      </w:r>
      <w:bookmarkEnd w:id="6"/>
    </w:p>
    <w:p>
      <w:pPr>
        <w:spacing w:line="360" w:lineRule="auto"/>
        <w:ind w:firstLine="560" w:firstLineChars="200"/>
        <w:rPr>
          <w:rFonts w:hint="eastAsia" w:ascii="仿宋_GB2312" w:eastAsia="仿宋_GB2312"/>
          <w:color w:val="000000"/>
        </w:rPr>
      </w:pPr>
      <w:r>
        <w:rPr>
          <w:rFonts w:ascii="Arial" w:hAnsi="Arial" w:eastAsia="仿宋_GB2312"/>
        </w:rPr>
        <w:t>本次</w:t>
      </w:r>
      <w:r>
        <w:rPr>
          <w:rFonts w:hint="eastAsia" w:ascii="Arial" w:hAnsi="Arial" w:eastAsia="仿宋_GB2312"/>
        </w:rPr>
        <w:t>现场查勘</w:t>
      </w:r>
      <w:r>
        <w:rPr>
          <w:rFonts w:ascii="Arial" w:hAnsi="Arial" w:eastAsia="仿宋_GB2312"/>
        </w:rPr>
        <w:t>估价人员未能进入室内，</w:t>
      </w:r>
      <w:r>
        <w:rPr>
          <w:rFonts w:hint="eastAsia" w:ascii="Arial" w:hAnsi="Arial" w:eastAsia="仿宋_GB2312"/>
        </w:rPr>
        <w:t>故本次评估室内装修情况视为简单装修。</w:t>
      </w:r>
    </w:p>
    <w:p>
      <w:pPr>
        <w:pStyle w:val="3"/>
        <w:ind w:left="560"/>
        <w:rPr>
          <w:rFonts w:hint="eastAsia"/>
        </w:rPr>
      </w:pPr>
      <w:bookmarkStart w:id="7" w:name="_Toc508115282"/>
      <w:r>
        <w:rPr>
          <w:rFonts w:hint="eastAsia"/>
        </w:rPr>
        <w:t>六、估价报告限制条件</w:t>
      </w:r>
      <w:bookmarkEnd w:id="7"/>
    </w:p>
    <w:p>
      <w:pPr>
        <w:spacing w:line="360" w:lineRule="auto"/>
        <w:ind w:firstLine="560" w:firstLineChars="200"/>
        <w:rPr>
          <w:rFonts w:hint="eastAsia" w:ascii="仿宋_GB2312" w:eastAsia="仿宋_GB2312"/>
          <w:color w:val="000000"/>
        </w:rPr>
      </w:pPr>
      <w:r>
        <w:rPr>
          <w:rFonts w:hint="eastAsia" w:ascii="仿宋_GB2312" w:eastAsia="仿宋_GB2312"/>
          <w:color w:val="000000"/>
        </w:rPr>
        <w:t>1．本次评估仅对估价对象价值做出合理估价，不做其权属方面确认的依据，有关权属确定以相关部门认定为准。</w:t>
      </w:r>
    </w:p>
    <w:p>
      <w:pPr>
        <w:spacing w:line="360" w:lineRule="auto"/>
        <w:ind w:firstLine="570"/>
        <w:rPr>
          <w:rFonts w:hint="eastAsia" w:ascii="仿宋_GB2312" w:eastAsia="仿宋_GB2312"/>
        </w:rPr>
      </w:pPr>
      <w:r>
        <w:rPr>
          <w:rFonts w:hint="eastAsia" w:ascii="仿宋_GB2312" w:eastAsia="仿宋_GB2312"/>
          <w:color w:val="000000"/>
        </w:rPr>
        <w:t>2. 本次评估按既定目的提供给估价委托人使用，即为估价委托人执行司法案件的需要提供房地产市场价值参考依据。若改变评估目的及使用条件需重新评估。</w:t>
      </w:r>
    </w:p>
    <w:p>
      <w:pPr>
        <w:spacing w:line="360" w:lineRule="auto"/>
        <w:ind w:firstLine="560" w:firstLineChars="200"/>
        <w:rPr>
          <w:rFonts w:hint="eastAsia" w:ascii="仿宋_GB2312" w:eastAsia="仿宋_GB2312"/>
        </w:rPr>
      </w:pPr>
      <w:r>
        <w:rPr>
          <w:rFonts w:hint="eastAsia" w:ascii="仿宋_GB2312" w:eastAsia="仿宋_GB2312"/>
          <w:color w:val="000000"/>
        </w:rPr>
        <w:t>3.按有关规定本评估报告结果有效期自估价报告出具之日起一年内有效。随着时间推移，房地产市场状况和估价对象自身情况发生变化，评估对象的市场价值将发生相应变化，评估结果也需做相应调整。</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bCs/>
          <w:color w:val="000000"/>
        </w:rPr>
        <w:t>4.</w:t>
      </w:r>
      <w:r>
        <w:rPr>
          <w:rFonts w:hint="eastAsia" w:ascii="仿宋_GB2312" w:eastAsia="仿宋_GB2312"/>
          <w:color w:val="000000"/>
        </w:rPr>
        <w:t>未经评估机构同意，本报告不得向估价委托人、相关方和评估报告审查部门之外的单位和个人提供，报告的全部或部分内容不得在任何公开媒体上发表。</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bCs/>
          <w:color w:val="000000"/>
        </w:rPr>
        <w:t>5.</w:t>
      </w:r>
      <w:r>
        <w:rPr>
          <w:rFonts w:hint="eastAsia" w:ascii="仿宋_GB2312" w:eastAsia="仿宋_GB2312"/>
          <w:color w:val="000000"/>
        </w:rPr>
        <w:t>我公司仅对本报告的原件承担责任，对任何形式的复制件概不认可且不承担责任。</w:t>
      </w:r>
    </w:p>
    <w:p>
      <w:pPr>
        <w:tabs>
          <w:tab w:val="left" w:pos="3240"/>
        </w:tabs>
        <w:spacing w:line="360" w:lineRule="auto"/>
        <w:ind w:firstLine="560" w:firstLineChars="200"/>
        <w:rPr>
          <w:rFonts w:hint="eastAsia" w:ascii="仿宋_GB2312" w:eastAsia="仿宋_GB2312"/>
          <w:color w:val="000000"/>
        </w:rPr>
      </w:pPr>
      <w:r>
        <w:rPr>
          <w:rFonts w:hint="eastAsia" w:ascii="仿宋_GB2312" w:eastAsia="仿宋_GB2312"/>
          <w:bCs/>
          <w:color w:val="000000"/>
        </w:rPr>
        <w:t>6.</w:t>
      </w:r>
      <w:r>
        <w:rPr>
          <w:rFonts w:hint="eastAsia" w:ascii="仿宋_GB2312" w:eastAsia="仿宋_GB2312"/>
          <w:color w:val="000000"/>
        </w:rPr>
        <w:t>本估价报告分《估价结果报告》和《估价技术报告》。《估价结果报告》提供给估价委托人，《估价技术报告》根据有关规定存档备查。</w:t>
      </w:r>
    </w:p>
    <w:p>
      <w:pPr>
        <w:tabs>
          <w:tab w:val="left" w:pos="3240"/>
        </w:tabs>
        <w:spacing w:line="360" w:lineRule="auto"/>
        <w:ind w:firstLine="560" w:firstLineChars="200"/>
        <w:rPr>
          <w:rFonts w:hint="eastAsia" w:ascii="仿宋_GB2312" w:eastAsia="仿宋_GB2312"/>
          <w:bCs/>
          <w:color w:val="000000"/>
        </w:rPr>
      </w:pPr>
      <w:r>
        <w:rPr>
          <w:rFonts w:hint="eastAsia" w:ascii="仿宋_GB2312" w:eastAsia="仿宋_GB2312"/>
          <w:color w:val="000000"/>
        </w:rPr>
        <w:t>7.本报告书的附件，为本报告书的有机组成部分，与本报告正文具有同等法律效力。</w:t>
      </w: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color w:val="000000"/>
          <w:sz w:val="36"/>
          <w:szCs w:val="36"/>
        </w:rPr>
      </w:pPr>
    </w:p>
    <w:p>
      <w:pPr>
        <w:tabs>
          <w:tab w:val="left" w:pos="636"/>
          <w:tab w:val="left" w:pos="2526"/>
        </w:tabs>
        <w:spacing w:line="360" w:lineRule="auto"/>
        <w:rPr>
          <w:rFonts w:hint="eastAsia" w:ascii="仿宋_GB2312" w:eastAsia="仿宋_GB2312"/>
          <w:b/>
          <w:color w:val="000000"/>
          <w:sz w:val="36"/>
          <w:szCs w:val="36"/>
        </w:rPr>
      </w:pPr>
    </w:p>
    <w:p>
      <w:pPr>
        <w:pStyle w:val="2"/>
        <w:rPr>
          <w:rFonts w:hint="eastAsia"/>
        </w:rPr>
      </w:pPr>
      <w:bookmarkStart w:id="8" w:name="_Toc508115283"/>
      <w:r>
        <w:rPr>
          <w:rFonts w:hint="eastAsia"/>
        </w:rPr>
        <w:t>估价结果报告</w:t>
      </w:r>
      <w:bookmarkEnd w:id="8"/>
    </w:p>
    <w:p>
      <w:pPr>
        <w:pStyle w:val="3"/>
        <w:ind w:left="560"/>
        <w:rPr>
          <w:rFonts w:hint="eastAsia"/>
        </w:rPr>
      </w:pPr>
      <w:bookmarkStart w:id="9" w:name="_Toc508115284"/>
      <w:r>
        <w:rPr>
          <w:rFonts w:hint="eastAsia"/>
        </w:rPr>
        <w:t>一、估价委托人</w:t>
      </w:r>
      <w:bookmarkEnd w:id="9"/>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委托人：河间市人民法院</w:t>
      </w:r>
    </w:p>
    <w:p>
      <w:pPr>
        <w:pStyle w:val="3"/>
        <w:ind w:left="560"/>
        <w:rPr>
          <w:rFonts w:hint="eastAsia"/>
        </w:rPr>
      </w:pPr>
      <w:bookmarkStart w:id="10" w:name="_Toc508115285"/>
      <w:r>
        <w:rPr>
          <w:rFonts w:hint="eastAsia"/>
        </w:rPr>
        <w:t>二、房地产估价机构</w:t>
      </w:r>
      <w:bookmarkEnd w:id="10"/>
    </w:p>
    <w:p>
      <w:pPr>
        <w:pStyle w:val="9"/>
        <w:spacing w:line="360" w:lineRule="auto"/>
        <w:rPr>
          <w:rFonts w:hint="eastAsia" w:ascii="仿宋_GB2312" w:eastAsia="仿宋_GB2312"/>
          <w:bCs/>
          <w:color w:val="000000"/>
        </w:rPr>
      </w:pPr>
      <w:r>
        <w:rPr>
          <w:rFonts w:hint="eastAsia" w:ascii="仿宋_GB2312" w:eastAsia="仿宋_GB2312"/>
          <w:bCs/>
          <w:color w:val="000000"/>
        </w:rPr>
        <w:t xml:space="preserve">    估价机构：沧州市沧房房地产评估有限公司</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机构地址：沧州市运河区解放中路南新村4号楼</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资质等级：贰级</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资质证书编号：冀建房估（沧）22号</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法人代表：杨桂林</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联系电话：0317-2010507</w:t>
      </w:r>
    </w:p>
    <w:p>
      <w:pPr>
        <w:pStyle w:val="9"/>
        <w:spacing w:line="360" w:lineRule="auto"/>
        <w:ind w:firstLine="560" w:firstLineChars="200"/>
        <w:rPr>
          <w:rFonts w:hint="eastAsia" w:ascii="仿宋_GB2312" w:eastAsia="仿宋_GB2312"/>
          <w:bCs/>
          <w:color w:val="000000"/>
        </w:rPr>
      </w:pPr>
      <w:r>
        <w:rPr>
          <w:rFonts w:hint="eastAsia" w:ascii="仿宋_GB2312" w:eastAsia="仿宋_GB2312"/>
          <w:bCs/>
          <w:color w:val="000000"/>
        </w:rPr>
        <w:t>邮政编码：061000</w:t>
      </w:r>
    </w:p>
    <w:p>
      <w:pPr>
        <w:spacing w:line="360" w:lineRule="auto"/>
        <w:ind w:firstLine="560" w:firstLineChars="200"/>
        <w:rPr>
          <w:rFonts w:hint="eastAsia" w:ascii="仿宋_GB2312" w:eastAsia="仿宋_GB2312"/>
          <w:bCs/>
          <w:color w:val="000000"/>
        </w:rPr>
      </w:pPr>
      <w:bookmarkStart w:id="11" w:name="_Toc508115286"/>
      <w:r>
        <w:rPr>
          <w:rStyle w:val="71"/>
          <w:rFonts w:hint="eastAsia"/>
        </w:rPr>
        <w:t>三、估价目的</w:t>
      </w:r>
      <w:bookmarkEnd w:id="11"/>
      <w:r>
        <w:rPr>
          <w:rFonts w:hint="eastAsia" w:ascii="仿宋_GB2312" w:eastAsia="仿宋_GB2312"/>
          <w:color w:val="000000"/>
        </w:rPr>
        <w:t>：为估价委托人执行司法案件的需要提供房地产市场价值参考依据。</w:t>
      </w:r>
    </w:p>
    <w:p>
      <w:pPr>
        <w:spacing w:line="360" w:lineRule="auto"/>
        <w:ind w:firstLine="560" w:firstLineChars="200"/>
        <w:rPr>
          <w:rFonts w:hint="eastAsia" w:ascii="仿宋_GB2312" w:eastAsia="仿宋_GB2312"/>
          <w:color w:val="000000"/>
        </w:rPr>
      </w:pPr>
      <w:bookmarkStart w:id="12" w:name="_Toc508115287"/>
      <w:r>
        <w:rPr>
          <w:rStyle w:val="71"/>
          <w:rFonts w:hint="eastAsia"/>
        </w:rPr>
        <w:t>四、估价对象</w:t>
      </w:r>
      <w:bookmarkEnd w:id="12"/>
      <w:r>
        <w:rPr>
          <w:rFonts w:hint="eastAsia" w:ascii="仿宋_GB2312" w:eastAsia="仿宋_GB2312"/>
          <w:bCs/>
          <w:color w:val="000000"/>
        </w:rPr>
        <w:t>：</w:t>
      </w:r>
      <w:r>
        <w:rPr>
          <w:rFonts w:hint="eastAsia" w:ascii="仿宋_GB2312" w:eastAsia="仿宋_GB2312"/>
          <w:color w:val="000000"/>
        </w:rPr>
        <w:t>河间市人民法院受理的申请执行人河北银永通担保有限公司与被执行人闫红雨、周秀捧追偿权纠纷一案所涉及的河间市御府江南小区第5幢2单元502室住宅房地产，建筑面积为110.82平方米。</w:t>
      </w:r>
    </w:p>
    <w:p>
      <w:pPr>
        <w:numPr>
          <w:ilvl w:val="0"/>
          <w:numId w:val="2"/>
        </w:numPr>
        <w:spacing w:line="360" w:lineRule="auto"/>
        <w:rPr>
          <w:rFonts w:hint="eastAsia" w:ascii="仿宋_GB2312" w:eastAsia="仿宋_GB2312"/>
          <w:color w:val="000000"/>
        </w:rPr>
      </w:pPr>
      <w:r>
        <w:rPr>
          <w:rFonts w:hint="eastAsia" w:ascii="仿宋_GB2312" w:eastAsia="仿宋_GB2312"/>
          <w:color w:val="000000"/>
        </w:rPr>
        <w:t>实物状况</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经估价人员现场查勘，估价对象位于河间市御府江南小区第5幢2单元502室，5号楼为一幢框架剪力墙结构住宅楼，共2个单元，二梯三户，所在2单元，地上总层数为18层，地下2层，估价对象所在层数为5层，朝向为南，楼体外墙贴砖或刷涂料，设单元防盗门，入户防盗门。本次现场查勘评估人员未进入室内，故本次评估室内装修情况视为简装。</w:t>
      </w:r>
    </w:p>
    <w:p>
      <w:pPr>
        <w:numPr>
          <w:ilvl w:val="0"/>
          <w:numId w:val="3"/>
        </w:numPr>
        <w:spacing w:line="360" w:lineRule="auto"/>
        <w:ind w:firstLine="560" w:firstLineChars="200"/>
        <w:rPr>
          <w:rFonts w:hint="eastAsia" w:ascii="仿宋_GB2312" w:eastAsia="仿宋_GB2312"/>
          <w:color w:val="000000"/>
        </w:rPr>
      </w:pPr>
      <w:r>
        <w:rPr>
          <w:rFonts w:hint="eastAsia" w:ascii="仿宋_GB2312" w:eastAsia="仿宋_GB2312"/>
          <w:color w:val="000000"/>
        </w:rPr>
        <w:t>权益状况</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根据估价委托人提供的商品房买卖合同编号GF-2002-0171复印件、房屋坐落为河间市御府江南小区第5幢2单元502室，买受人为闫红雨，商品房用途为住宅，建筑结构为框架剪力墙结构，建筑层数地上18层，地下2层，估价对象所在层数为5层，建筑面积为110.82平方米。土地取得方式为出让，规划用途为住宅，土地使用年限自2010年01月31日至2080年01月31日。</w:t>
      </w:r>
    </w:p>
    <w:p>
      <w:pPr>
        <w:spacing w:line="360" w:lineRule="auto"/>
        <w:ind w:firstLine="560"/>
        <w:rPr>
          <w:rFonts w:hint="eastAsia" w:ascii="仿宋_GB2312" w:eastAsia="仿宋_GB2312"/>
          <w:color w:val="000000"/>
        </w:rPr>
      </w:pPr>
      <w:r>
        <w:rPr>
          <w:rFonts w:hint="eastAsia" w:ascii="仿宋_GB2312" w:eastAsia="仿宋_GB2312"/>
          <w:color w:val="000000"/>
        </w:rPr>
        <w:t>本次评估不考虑抵押、查封、租赁、纠纷等因素的影响。</w:t>
      </w:r>
    </w:p>
    <w:p>
      <w:pPr>
        <w:numPr>
          <w:ilvl w:val="0"/>
          <w:numId w:val="3"/>
        </w:numPr>
        <w:spacing w:line="360" w:lineRule="auto"/>
        <w:ind w:firstLine="560" w:firstLineChars="200"/>
        <w:rPr>
          <w:rFonts w:hint="eastAsia" w:ascii="仿宋_GB2312" w:eastAsia="仿宋_GB2312"/>
          <w:color w:val="000000"/>
        </w:rPr>
      </w:pPr>
      <w:r>
        <w:rPr>
          <w:rFonts w:hint="eastAsia" w:ascii="仿宋_GB2312" w:eastAsia="仿宋_GB2312"/>
          <w:color w:val="000000"/>
        </w:rPr>
        <w:t>区位状况</w:t>
      </w:r>
    </w:p>
    <w:p>
      <w:pPr>
        <w:spacing w:line="360" w:lineRule="auto"/>
        <w:ind w:firstLine="560" w:firstLineChars="200"/>
        <w:rPr>
          <w:rFonts w:hint="eastAsia" w:ascii="仿宋_GB2312" w:eastAsia="仿宋_GB2312"/>
          <w:color w:val="000000"/>
        </w:rPr>
      </w:pPr>
      <w:r>
        <w:rPr>
          <w:rFonts w:hint="eastAsia" w:ascii="仿宋_GB2312" w:eastAsia="仿宋_GB2312"/>
          <w:color w:val="000000"/>
        </w:rPr>
        <w:t>估价对象位于河间市御府江南小区第5幢2单元502室，南临曙光西路，西临长卿北街，区域内有河间第二中学、河间市人口和计划生育局、幸福家园、长征医院等。估价对象所在区域内繁华程度较好，区域内生活设施、公用设施较完备，生活购物较方便，交通较便捷，公交便捷度较便捷。估价对象所在区域内房地产类型以住宅、商业、办公等为主，绿化程度较好，自然环境较优，人文环境条件好。估价对象所在区域的开发程度已达到“七通一平”即：通上水、通下水、通电、通暖、通讯、通路、通天然气和场地平整，基础设施完善。</w:t>
      </w:r>
    </w:p>
    <w:p>
      <w:pPr>
        <w:spacing w:line="360" w:lineRule="auto"/>
        <w:rPr>
          <w:rFonts w:hint="eastAsia" w:ascii="仿宋_GB2312" w:eastAsia="仿宋_GB2312"/>
          <w:bCs/>
          <w:color w:val="000000"/>
        </w:rPr>
      </w:pPr>
      <w:r>
        <w:rPr>
          <w:rFonts w:hint="eastAsia" w:ascii="仿宋_GB2312" w:eastAsia="仿宋_GB2312"/>
          <w:color w:val="000000"/>
        </w:rPr>
        <w:t xml:space="preserve">  </w:t>
      </w:r>
      <w:r>
        <w:rPr>
          <w:rStyle w:val="71"/>
          <w:rFonts w:hint="eastAsia"/>
        </w:rPr>
        <w:t xml:space="preserve">  </w:t>
      </w:r>
      <w:bookmarkStart w:id="13" w:name="_Toc508115288"/>
      <w:r>
        <w:rPr>
          <w:rStyle w:val="71"/>
          <w:rFonts w:hint="eastAsia"/>
        </w:rPr>
        <w:t>五、价值时点</w:t>
      </w:r>
      <w:bookmarkEnd w:id="13"/>
      <w:r>
        <w:rPr>
          <w:rFonts w:hint="eastAsia" w:ascii="仿宋_GB2312" w:eastAsia="仿宋_GB2312"/>
          <w:bCs/>
          <w:color w:val="000000"/>
        </w:rPr>
        <w:t>：2019年8月26日</w:t>
      </w:r>
      <w:r>
        <w:rPr>
          <w:rFonts w:hint="eastAsia" w:ascii="仿宋_GB2312" w:eastAsia="仿宋_GB2312"/>
          <w:color w:val="000000"/>
        </w:rPr>
        <w:t>。</w:t>
      </w:r>
    </w:p>
    <w:p>
      <w:pPr>
        <w:spacing w:line="360" w:lineRule="auto"/>
        <w:ind w:right="28" w:rightChars="10" w:firstLine="560" w:firstLineChars="200"/>
        <w:rPr>
          <w:rFonts w:hint="eastAsia" w:ascii="仿宋_GB2312" w:eastAsia="仿宋_GB2312"/>
          <w:bCs/>
          <w:color w:val="000000"/>
        </w:rPr>
      </w:pPr>
      <w:bookmarkStart w:id="14" w:name="_Toc508115289"/>
      <w:r>
        <w:rPr>
          <w:rStyle w:val="71"/>
          <w:rFonts w:hint="eastAsia"/>
        </w:rPr>
        <w:t>六、价值类型</w:t>
      </w:r>
      <w:bookmarkEnd w:id="14"/>
      <w:r>
        <w:rPr>
          <w:rFonts w:hint="eastAsia" w:ascii="仿宋_GB2312" w:eastAsia="仿宋_GB2312"/>
          <w:bCs/>
          <w:color w:val="000000"/>
        </w:rPr>
        <w:t>：公开市场价值。</w:t>
      </w:r>
    </w:p>
    <w:p>
      <w:pPr>
        <w:tabs>
          <w:tab w:val="left" w:pos="3240"/>
        </w:tabs>
        <w:spacing w:line="360" w:lineRule="auto"/>
        <w:ind w:firstLine="560" w:firstLineChars="200"/>
        <w:rPr>
          <w:rFonts w:hint="eastAsia" w:ascii="仿宋_GB2312" w:eastAsia="仿宋_GB2312"/>
          <w:bCs/>
          <w:color w:val="000000"/>
        </w:rPr>
      </w:pPr>
      <w:bookmarkStart w:id="15" w:name="_Toc508115290"/>
      <w:r>
        <w:rPr>
          <w:rStyle w:val="71"/>
          <w:rFonts w:hint="eastAsia"/>
        </w:rPr>
        <w:t>七、估价依据</w:t>
      </w:r>
      <w:bookmarkEnd w:id="15"/>
      <w:r>
        <w:rPr>
          <w:rFonts w:hint="eastAsia" w:ascii="仿宋_GB2312" w:eastAsia="仿宋_GB2312"/>
          <w:bCs/>
          <w:color w:val="000000"/>
        </w:rPr>
        <w:t xml:space="preserve">： </w:t>
      </w:r>
    </w:p>
    <w:p>
      <w:pPr>
        <w:tabs>
          <w:tab w:val="left" w:pos="324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 xml:space="preserve">1、《中华人民共和国资产评估法》；                                                              </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2、《中华人民共和国城市房地产管理法》；</w:t>
      </w:r>
      <w:r>
        <w:rPr>
          <w:rFonts w:hint="eastAsia" w:ascii="仿宋_GB2312" w:eastAsia="仿宋_GB2312"/>
          <w:bCs/>
          <w:color w:val="000000"/>
        </w:rPr>
        <w:tab/>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3、《中华人民共和国土地管理法》；</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4、中华人民共和国国家标准GB/T50291-2015《房地产估价规范》；</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5、中华人民共和国国家标准GB/T50899-2013《房地产估价基本术语标准》；</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6、《中华人民共和国物权法》；</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7、《河北省建筑工程消耗量定额》；</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8、国家、省、市的其他有关规定；</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9、估价委托人提供的有关资料；</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10、评估人员现场查勘搜集的有关资料。</w:t>
      </w:r>
    </w:p>
    <w:p>
      <w:pPr>
        <w:tabs>
          <w:tab w:val="left" w:pos="0"/>
        </w:tabs>
        <w:spacing w:line="360" w:lineRule="auto"/>
        <w:ind w:firstLine="560" w:firstLineChars="200"/>
        <w:rPr>
          <w:rFonts w:hint="eastAsia" w:ascii="仿宋_GB2312" w:eastAsia="仿宋_GB2312"/>
          <w:bCs/>
          <w:color w:val="000000"/>
        </w:rPr>
      </w:pPr>
      <w:bookmarkStart w:id="16" w:name="_Toc508115291"/>
      <w:r>
        <w:rPr>
          <w:rStyle w:val="71"/>
          <w:rFonts w:hint="eastAsia"/>
        </w:rPr>
        <w:t>八、估价原则</w:t>
      </w:r>
      <w:bookmarkEnd w:id="16"/>
      <w:r>
        <w:rPr>
          <w:rFonts w:hint="eastAsia" w:ascii="仿宋_GB2312" w:eastAsia="仿宋_GB2312"/>
          <w:bCs/>
          <w:color w:val="000000"/>
        </w:rPr>
        <w:t>：本评估报告在遵循公正、公平、公开原则的前提下，结合评估目的对委估房屋的价格进行评估。具体依据如下原则：</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 xml:space="preserve">1、独立、客观、公正原则。要求站在中立的立场上，实事求是、公平正直地评估出对各方估价利害关系人均是公平合理的价值或价格的原则。 </w:t>
      </w:r>
    </w:p>
    <w:p>
      <w:pPr>
        <w:tabs>
          <w:tab w:val="left" w:pos="0"/>
        </w:tabs>
        <w:spacing w:line="360" w:lineRule="auto"/>
        <w:ind w:firstLine="560" w:firstLineChars="200"/>
        <w:rPr>
          <w:rFonts w:hint="eastAsia" w:ascii="仿宋_GB2312" w:eastAsia="仿宋_GB2312"/>
          <w:bCs/>
          <w:color w:val="000000"/>
        </w:rPr>
      </w:pPr>
      <w:r>
        <w:rPr>
          <w:rFonts w:hint="eastAsia" w:ascii="仿宋_GB2312" w:eastAsia="仿宋_GB2312"/>
          <w:bCs/>
          <w:color w:val="000000"/>
        </w:rPr>
        <w:t>2、合法原则。房地产估价以估价对象的合法产权、合法使用、合法处分等为前提进行估价。</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3、价值时点原则。要求估价结果是在根据估价目的确定的某一特定时间的价值或价格的原则。</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4、替代原则。要求估价结果与估价对象类似房地产在同等条件下的价值或价格偏差在合理范围内的原则。</w:t>
      </w:r>
    </w:p>
    <w:p>
      <w:pPr>
        <w:spacing w:line="360" w:lineRule="auto"/>
        <w:ind w:firstLine="560" w:firstLineChars="200"/>
        <w:rPr>
          <w:rFonts w:hint="eastAsia" w:ascii="仿宋_GB2312" w:eastAsia="仿宋_GB2312"/>
          <w:bCs/>
          <w:color w:val="000000"/>
        </w:rPr>
      </w:pPr>
      <w:r>
        <w:rPr>
          <w:rFonts w:hint="eastAsia" w:ascii="仿宋_GB2312" w:eastAsia="仿宋_GB2312"/>
          <w:bCs/>
          <w:color w:val="000000"/>
        </w:rPr>
        <w:t>5、最高最佳利用原则。是指法律上允许，技术上可行，财务上可行，能使估价对象价值最大化的合理、可能的利用。</w:t>
      </w:r>
    </w:p>
    <w:p>
      <w:pPr>
        <w:spacing w:line="360" w:lineRule="auto"/>
        <w:ind w:firstLine="560" w:firstLineChars="200"/>
      </w:pPr>
      <w:bookmarkStart w:id="17" w:name="_Toc508115292"/>
      <w:r>
        <w:rPr>
          <w:rStyle w:val="71"/>
          <w:rFonts w:hint="eastAsia"/>
        </w:rPr>
        <w:t>九、估价方法</w:t>
      </w:r>
      <w:bookmarkEnd w:id="17"/>
      <w:r>
        <w:rPr>
          <w:rFonts w:hint="eastAsia" w:ascii="仿宋_GB2312" w:eastAsia="仿宋_GB2312"/>
          <w:bCs/>
          <w:color w:val="000000"/>
        </w:rPr>
        <w:t>：</w:t>
      </w:r>
      <w:bookmarkStart w:id="18" w:name="OLE_LINK2"/>
      <w:bookmarkStart w:id="19" w:name="OLE_LINK5"/>
      <w:r>
        <w:rPr>
          <w:rFonts w:hint="eastAsia" w:ascii="仿宋_GB2312" w:eastAsia="仿宋_GB2312"/>
          <w:bCs/>
        </w:rPr>
        <w:t>根据估价目的及估价对象的实际状况，根据《房地产估价规范》估价方法通常有比较法、成本法、收益法、假设开发法等方法。估价对象为住宅房地产，虽然也有出租获得收益的情况，但是其客观租金及报酬率等数据难以把握，故不宜采用收益法；估价对象为已建成房产且近两年房价上涨较快，故不宜采用假设开发法和成本法。估价对象用途为住宅，同地段同类型的二手房交易市场较活跃，存在交易案例可参考，因此可采用比较法进行估价。综上所述，</w:t>
      </w:r>
      <w:r>
        <w:rPr>
          <w:rFonts w:hint="eastAsia" w:ascii="仿宋_GB2312" w:hAnsi="仿宋_GB2312" w:eastAsia="仿宋_GB2312" w:cs="仿宋_GB2312"/>
          <w:bCs/>
          <w:color w:val="000000"/>
        </w:rPr>
        <w:t>根据当地房地产市场发育情况并结合估价对象的具体特点及估价目的等，</w:t>
      </w:r>
      <w:r>
        <w:rPr>
          <w:rFonts w:hint="eastAsia" w:ascii="仿宋_GB2312" w:eastAsia="仿宋_GB2312"/>
          <w:bCs/>
        </w:rPr>
        <w:t>此次估价采用比较法进行评估。</w:t>
      </w:r>
    </w:p>
    <w:bookmarkEnd w:id="18"/>
    <w:bookmarkEnd w:id="19"/>
    <w:p>
      <w:pPr>
        <w:spacing w:line="360" w:lineRule="auto"/>
        <w:ind w:firstLine="565" w:firstLineChars="202"/>
      </w:pPr>
      <w:r>
        <w:rPr>
          <w:rFonts w:hint="eastAsia" w:ascii="仿宋_GB2312" w:eastAsia="仿宋_GB2312"/>
          <w:bCs/>
        </w:rPr>
        <w:t>比较法是选取一定数量的可比实例，将它们与估价对象进行比较，根据其间的差异对可比实例成交价格进行处理后得到估价对象价值或价格的方法。</w:t>
      </w:r>
    </w:p>
    <w:p>
      <w:pPr>
        <w:spacing w:line="360" w:lineRule="auto"/>
        <w:ind w:firstLine="565" w:firstLineChars="202"/>
      </w:pPr>
      <w:r>
        <w:rPr>
          <w:rFonts w:hint="eastAsia" w:ascii="仿宋_GB2312" w:eastAsia="仿宋_GB2312"/>
          <w:bCs/>
        </w:rPr>
        <w:t>运用比较法求取估价对象的比较价值，基本公式如下：</w:t>
      </w:r>
    </w:p>
    <w:p>
      <w:pPr>
        <w:spacing w:line="360" w:lineRule="auto"/>
        <w:ind w:firstLine="565" w:firstLineChars="202"/>
        <w:rPr>
          <w:rFonts w:hint="eastAsia"/>
        </w:rPr>
      </w:pPr>
      <w:r>
        <w:rPr>
          <w:rFonts w:hint="eastAsia" w:ascii="仿宋_GB2312" w:eastAsia="仿宋_GB2312"/>
          <w:bCs/>
        </w:rPr>
        <w:t>比较价值＝可比实例成交价格</w:t>
      </w:r>
      <w:r>
        <w:rPr>
          <w:rFonts w:ascii="仿宋_GB2312" w:eastAsia="仿宋_GB2312"/>
          <w:bCs/>
        </w:rPr>
        <w:t>×</w:t>
      </w:r>
      <w:r>
        <w:rPr>
          <w:rFonts w:hint="eastAsia" w:ascii="仿宋_GB2312" w:eastAsia="仿宋_GB2312"/>
          <w:bCs/>
        </w:rPr>
        <w:t>交易情况修正系数</w:t>
      </w:r>
      <w:r>
        <w:rPr>
          <w:rFonts w:ascii="仿宋_GB2312" w:eastAsia="仿宋_GB2312"/>
          <w:bCs/>
        </w:rPr>
        <w:t>×</w:t>
      </w:r>
      <w:r>
        <w:rPr>
          <w:rFonts w:hint="eastAsia" w:ascii="仿宋_GB2312" w:eastAsia="仿宋_GB2312"/>
          <w:bCs/>
        </w:rPr>
        <w:t>市场状况调整系数</w:t>
      </w:r>
      <w:r>
        <w:rPr>
          <w:rFonts w:ascii="仿宋_GB2312" w:eastAsia="仿宋_GB2312"/>
          <w:bCs/>
        </w:rPr>
        <w:t>×</w:t>
      </w:r>
      <w:r>
        <w:rPr>
          <w:rFonts w:hint="eastAsia" w:ascii="仿宋_GB2312" w:eastAsia="仿宋_GB2312"/>
          <w:bCs/>
        </w:rPr>
        <w:t>房地产状况调整系数</w:t>
      </w:r>
    </w:p>
    <w:p>
      <w:pPr>
        <w:spacing w:line="360" w:lineRule="auto"/>
        <w:ind w:left="560"/>
        <w:rPr>
          <w:rFonts w:hint="eastAsia" w:ascii="仿宋_GB2312" w:eastAsia="仿宋_GB2312"/>
          <w:color w:val="000000"/>
        </w:rPr>
      </w:pPr>
      <w:bookmarkStart w:id="20" w:name="_Toc508115293"/>
      <w:r>
        <w:rPr>
          <w:rStyle w:val="71"/>
          <w:rFonts w:hint="eastAsia"/>
        </w:rPr>
        <w:t>十、估价结果</w:t>
      </w:r>
      <w:bookmarkEnd w:id="20"/>
      <w:r>
        <w:rPr>
          <w:rFonts w:hint="eastAsia" w:ascii="仿宋_GB2312" w:eastAsia="仿宋_GB2312"/>
          <w:bCs/>
          <w:color w:val="000000"/>
        </w:rPr>
        <w:t>：</w:t>
      </w:r>
      <w:r>
        <w:rPr>
          <w:rFonts w:hint="eastAsia" w:ascii="仿宋_GB2312" w:eastAsia="仿宋_GB2312"/>
          <w:color w:val="000000"/>
        </w:rPr>
        <w:t>估价人员根据估价目的，遵循估价原则，按照估价</w:t>
      </w:r>
    </w:p>
    <w:p>
      <w:pPr>
        <w:spacing w:line="360" w:lineRule="auto"/>
        <w:rPr>
          <w:rFonts w:hint="eastAsia" w:ascii="仿宋_GB2312" w:eastAsia="仿宋_GB2312"/>
        </w:rPr>
      </w:pPr>
      <w:r>
        <w:rPr>
          <w:rFonts w:hint="eastAsia" w:ascii="仿宋_GB2312" w:eastAsia="仿宋_GB2312"/>
          <w:color w:val="000000"/>
        </w:rPr>
        <w:t>程序，选用适宜的估价方法，在认真分析现有资料的基础上，经过测算，结合估价经验和对影响房屋价值因素的综合分析，确认</w:t>
      </w:r>
      <w:r>
        <w:rPr>
          <w:rFonts w:hint="eastAsia" w:ascii="仿宋_GB2312" w:eastAsia="仿宋_GB2312"/>
          <w:bCs/>
          <w:color w:val="000000"/>
        </w:rPr>
        <w:t>河间市人民法院受理的申请执行人河北银永通担保有限公司与被执行人闫红雨、周秀捧追偿权纠纷一案所涉及的河间市御府江南小区第5幢2单元502室住宅</w:t>
      </w:r>
      <w:r>
        <w:rPr>
          <w:rFonts w:hint="eastAsia" w:ascii="仿宋_GB2312" w:eastAsia="仿宋_GB2312"/>
          <w:color w:val="000000"/>
        </w:rPr>
        <w:t>房地产在价值时点的市场价值为RMB80.05万元</w:t>
      </w:r>
      <w:r>
        <w:rPr>
          <w:rFonts w:hint="eastAsia" w:ascii="仿宋_GB2312" w:eastAsia="仿宋_GB2312"/>
        </w:rPr>
        <w:t>，大写人民币：捌拾万零伍佰元整，单价为7223元/平方米。</w:t>
      </w:r>
    </w:p>
    <w:p>
      <w:pPr>
        <w:pStyle w:val="3"/>
        <w:ind w:left="560"/>
        <w:rPr>
          <w:rFonts w:hint="eastAsia"/>
        </w:rPr>
      </w:pPr>
      <w:bookmarkStart w:id="21" w:name="_Toc508115294"/>
      <w:r>
        <w:rPr>
          <w:rFonts w:hint="eastAsia"/>
        </w:rPr>
        <w:t>十一、注册房地产估价师</w:t>
      </w:r>
      <w:bookmarkEnd w:id="21"/>
    </w:p>
    <w:tbl>
      <w:tblPr>
        <w:tblStyle w:val="20"/>
        <w:tblW w:w="0" w:type="auto"/>
        <w:tblInd w:w="6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1796"/>
        <w:gridCol w:w="2156"/>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注册房地产估价师姓名</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注册号</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签名</w:t>
            </w: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ascii="仿宋_GB2312" w:eastAsia="仿宋_GB2312" w:cs="仿宋_GB2312"/>
                <w:bCs/>
                <w:sz w:val="28"/>
              </w:rPr>
            </w:pPr>
            <w:r>
              <w:rPr>
                <w:rFonts w:hint="eastAsia" w:ascii="仿宋_GB2312" w:hAnsi="Courier New" w:eastAsia="仿宋_GB2312" w:cs="仿宋_GB2312"/>
                <w:bCs/>
                <w:kern w:val="2"/>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r>
              <w:rPr>
                <w:rFonts w:hint="eastAsia" w:ascii="仿宋_GB2312" w:eastAsia="仿宋_GB2312"/>
                <w:bCs/>
              </w:rPr>
              <w:t>郭彦彬</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pStyle w:val="19"/>
              <w:spacing w:before="120" w:beforeAutospacing="0" w:after="120" w:afterAutospacing="0" w:line="240" w:lineRule="atLeast"/>
              <w:jc w:val="center"/>
              <w:rPr>
                <w:rFonts w:hint="eastAsia" w:ascii="仿宋_GB2312" w:eastAsia="仿宋_GB2312" w:cs="仿宋_GB2312"/>
                <w:bCs/>
                <w:sz w:val="28"/>
              </w:rPr>
            </w:pPr>
            <w:r>
              <w:rPr>
                <w:rFonts w:hint="eastAsia" w:ascii="仿宋_GB2312" w:eastAsia="仿宋_GB2312"/>
                <w:bCs/>
                <w:sz w:val="28"/>
              </w:rPr>
              <w:t>1320180019</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309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庞  利</w:t>
            </w:r>
          </w:p>
        </w:tc>
        <w:tc>
          <w:tcPr>
            <w:tcW w:w="179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rPr>
                <w:rFonts w:hint="eastAsia"/>
              </w:rPr>
            </w:pPr>
            <w:r>
              <w:rPr>
                <w:rFonts w:hint="eastAsia" w:ascii="仿宋_GB2312" w:eastAsia="仿宋_GB2312"/>
                <w:bCs/>
              </w:rPr>
              <w:t>1320150111</w:t>
            </w:r>
          </w:p>
        </w:tc>
        <w:tc>
          <w:tcPr>
            <w:tcW w:w="21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c>
          <w:tcPr>
            <w:tcW w:w="1388"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atLeast"/>
              <w:jc w:val="center"/>
            </w:pPr>
          </w:p>
        </w:tc>
      </w:tr>
    </w:tbl>
    <w:p>
      <w:pPr>
        <w:spacing w:line="360" w:lineRule="auto"/>
        <w:ind w:firstLine="560" w:firstLineChars="200"/>
        <w:rPr>
          <w:rStyle w:val="71"/>
          <w:rFonts w:hint="eastAsia"/>
        </w:rPr>
      </w:pPr>
      <w:bookmarkStart w:id="22" w:name="_Toc508115295"/>
    </w:p>
    <w:p>
      <w:pPr>
        <w:spacing w:line="360" w:lineRule="auto"/>
        <w:ind w:firstLine="560" w:firstLineChars="200"/>
        <w:rPr>
          <w:rFonts w:hint="eastAsia" w:ascii="仿宋_GB2312" w:eastAsia="仿宋_GB2312"/>
          <w:bCs/>
        </w:rPr>
      </w:pPr>
      <w:r>
        <w:rPr>
          <w:rStyle w:val="71"/>
          <w:rFonts w:hint="eastAsia"/>
        </w:rPr>
        <w:t>十二、估价作业日期</w:t>
      </w:r>
      <w:bookmarkEnd w:id="22"/>
      <w:r>
        <w:rPr>
          <w:rFonts w:hint="eastAsia" w:ascii="仿宋_GB2312" w:eastAsia="仿宋_GB2312"/>
          <w:bCs/>
          <w:color w:val="000000"/>
        </w:rPr>
        <w:t>：2019年8月26日至2019年9月4日</w:t>
      </w:r>
      <w:r>
        <w:rPr>
          <w:rFonts w:hint="eastAsia" w:ascii="仿宋_GB2312" w:eastAsia="仿宋_GB2312"/>
          <w:bCs/>
        </w:rPr>
        <w:t>。</w:t>
      </w:r>
    </w:p>
    <w:p>
      <w:pPr>
        <w:spacing w:line="360" w:lineRule="auto"/>
        <w:rPr>
          <w:rFonts w:hint="eastAsia" w:ascii="仿宋_GB2312" w:eastAsia="仿宋_GB2312"/>
          <w:color w:val="000000"/>
        </w:rPr>
      </w:pPr>
      <w:r>
        <w:rPr>
          <w:rFonts w:hint="eastAsia" w:ascii="仿宋_GB2312" w:eastAsia="仿宋_GB2312"/>
          <w:color w:val="000000"/>
        </w:rPr>
        <w:t xml:space="preserve">    </w:t>
      </w:r>
      <w:bookmarkStart w:id="23" w:name="_Toc508115296"/>
      <w:r>
        <w:rPr>
          <w:rStyle w:val="71"/>
          <w:rFonts w:hint="eastAsia"/>
        </w:rPr>
        <w:t>十三、估价报告应用的有效期</w:t>
      </w:r>
      <w:bookmarkEnd w:id="23"/>
      <w:r>
        <w:rPr>
          <w:rFonts w:hint="eastAsia" w:ascii="仿宋_GB2312" w:eastAsia="仿宋_GB2312"/>
          <w:color w:val="000000"/>
        </w:rPr>
        <w:t>:自2019年9月4日至2020年9月3日。</w:t>
      </w:r>
    </w:p>
    <w:p>
      <w:pPr>
        <w:spacing w:line="360" w:lineRule="auto"/>
        <w:rPr>
          <w:rFonts w:hint="eastAsia" w:ascii="仿宋_GB2312" w:eastAsia="仿宋_GB2312"/>
          <w:color w:val="000000"/>
        </w:rPr>
      </w:pPr>
      <w:r>
        <w:rPr>
          <w:rFonts w:hint="eastAsia" w:ascii="仿宋_GB2312" w:eastAsia="仿宋_GB2312"/>
          <w:color w:val="000000"/>
        </w:rPr>
        <w:t xml:space="preserve">   </w:t>
      </w:r>
    </w:p>
    <w:p>
      <w:pPr>
        <w:spacing w:line="360" w:lineRule="auto"/>
        <w:rPr>
          <w:rFonts w:hint="eastAsia" w:ascii="仿宋_GB2312" w:eastAsia="仿宋_GB2312"/>
          <w:color w:val="000000"/>
        </w:rPr>
      </w:pPr>
    </w:p>
    <w:p>
      <w:pPr>
        <w:spacing w:line="360" w:lineRule="auto"/>
        <w:rPr>
          <w:rFonts w:hint="eastAsia" w:ascii="仿宋_GB2312" w:eastAsia="仿宋_GB2312"/>
          <w:color w:val="000000"/>
        </w:rPr>
      </w:pPr>
    </w:p>
    <w:p>
      <w:pPr>
        <w:spacing w:line="360" w:lineRule="auto"/>
        <w:rPr>
          <w:rFonts w:hint="eastAsia" w:ascii="仿宋_GB2312" w:eastAsia="仿宋_GB2312"/>
          <w:color w:val="000000"/>
        </w:rPr>
      </w:pPr>
    </w:p>
    <w:p>
      <w:pPr>
        <w:spacing w:line="360" w:lineRule="auto"/>
        <w:rPr>
          <w:rFonts w:hint="eastAsia" w:ascii="仿宋_GB2312" w:eastAsia="仿宋_GB2312"/>
          <w:color w:val="000000"/>
        </w:rPr>
      </w:pPr>
    </w:p>
    <w:p>
      <w:pPr>
        <w:spacing w:line="360" w:lineRule="auto"/>
        <w:rPr>
          <w:rFonts w:hint="eastAsia" w:ascii="仿宋_GB2312" w:eastAsia="仿宋_GB2312"/>
          <w:color w:val="000000"/>
        </w:rPr>
      </w:pPr>
    </w:p>
    <w:p>
      <w:pPr>
        <w:pStyle w:val="2"/>
        <w:rPr>
          <w:rFonts w:hint="eastAsia"/>
        </w:rPr>
      </w:pPr>
      <w:bookmarkStart w:id="24" w:name="_Toc508115297"/>
      <w:r>
        <w:rPr>
          <w:rFonts w:hint="eastAsia"/>
        </w:rPr>
        <w:t>附  件</w:t>
      </w:r>
      <w:bookmarkEnd w:id="24"/>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附件一 估价对象市区坐落示意图</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附件二 估价对象部分图片</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附件三 商品房买卖合同编号GF-2002-0171复印件</w:t>
      </w:r>
    </w:p>
    <w:p>
      <w:pPr>
        <w:tabs>
          <w:tab w:val="left" w:pos="900"/>
          <w:tab w:val="left" w:pos="1080"/>
          <w:tab w:val="left" w:pos="9000"/>
        </w:tabs>
        <w:spacing w:line="360" w:lineRule="auto"/>
        <w:ind w:left="980" w:right="-143" w:rightChars="-51" w:hanging="980" w:hangingChars="350"/>
        <w:rPr>
          <w:rFonts w:hint="eastAsia" w:ascii="仿宋_GB2312" w:eastAsia="仿宋_GB2312"/>
          <w:bCs/>
          <w:color w:val="000000"/>
        </w:rPr>
      </w:pPr>
      <w:r>
        <w:rPr>
          <w:rFonts w:hint="eastAsia" w:ascii="仿宋_GB2312" w:eastAsia="仿宋_GB2312"/>
          <w:bCs/>
          <w:color w:val="000000"/>
        </w:rPr>
        <w:t>附件四 河间市人民法院司法评估委托书（2019）河法委评执字第20号复印件</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color w:val="000000"/>
        </w:rPr>
        <w:t xml:space="preserve">附件五 </w:t>
      </w:r>
      <w:r>
        <w:rPr>
          <w:rFonts w:hint="eastAsia" w:ascii="仿宋_GB2312" w:eastAsia="仿宋_GB2312"/>
          <w:bCs/>
          <w:color w:val="000000"/>
        </w:rPr>
        <w:t>房地产估价师注册证书复印件</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附件六 房地产估价机构资质证书复印件</w:t>
      </w:r>
    </w:p>
    <w:p>
      <w:pPr>
        <w:tabs>
          <w:tab w:val="left" w:pos="900"/>
          <w:tab w:val="left" w:pos="1080"/>
          <w:tab w:val="left" w:pos="9000"/>
        </w:tabs>
        <w:spacing w:line="360" w:lineRule="auto"/>
        <w:ind w:right="-143" w:rightChars="-51"/>
        <w:rPr>
          <w:rFonts w:hint="eastAsia" w:ascii="仿宋_GB2312" w:eastAsia="仿宋_GB2312"/>
          <w:bCs/>
          <w:color w:val="000000"/>
        </w:rPr>
      </w:pPr>
      <w:r>
        <w:rPr>
          <w:rFonts w:hint="eastAsia" w:ascii="仿宋_GB2312" w:eastAsia="仿宋_GB2312"/>
          <w:bCs/>
          <w:color w:val="000000"/>
        </w:rPr>
        <w:t>附件七 房地产估价机构营业执照复印件</w:t>
      </w: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jc w:val="center"/>
        <w:rPr>
          <w:rFonts w:hint="eastAsia" w:ascii="仿宋_GB2312" w:eastAsia="仿宋_GB2312"/>
          <w:b/>
          <w:color w:val="000000"/>
          <w:sz w:val="36"/>
          <w:szCs w:val="36"/>
        </w:rPr>
      </w:pPr>
    </w:p>
    <w:p>
      <w:pPr>
        <w:tabs>
          <w:tab w:val="left" w:pos="7671"/>
        </w:tabs>
        <w:spacing w:line="480" w:lineRule="auto"/>
        <w:rPr>
          <w:rFonts w:hint="eastAsia" w:ascii="仿宋_GB2312" w:eastAsia="仿宋_GB2312"/>
          <w:b/>
          <w:color w:val="000000"/>
          <w:sz w:val="36"/>
          <w:szCs w:val="36"/>
        </w:rPr>
      </w:pPr>
    </w:p>
    <w:p>
      <w:pPr>
        <w:tabs>
          <w:tab w:val="left" w:pos="7671"/>
        </w:tabs>
        <w:spacing w:line="480" w:lineRule="auto"/>
        <w:rPr>
          <w:rFonts w:hint="eastAsia" w:ascii="仿宋_GB2312" w:eastAsia="仿宋_GB2312"/>
          <w:b/>
          <w:color w:val="000000"/>
          <w:sz w:val="36"/>
          <w:szCs w:val="36"/>
        </w:rPr>
      </w:pPr>
    </w:p>
    <w:p>
      <w:pPr>
        <w:tabs>
          <w:tab w:val="left" w:pos="7671"/>
        </w:tabs>
        <w:spacing w:line="480" w:lineRule="auto"/>
        <w:rPr>
          <w:rFonts w:hint="eastAsia" w:ascii="仿宋_GB2312" w:eastAsia="仿宋_GB2312"/>
          <w:b/>
          <w:color w:val="000000"/>
          <w:sz w:val="36"/>
          <w:szCs w:val="36"/>
        </w:rPr>
      </w:pPr>
    </w:p>
    <w:p>
      <w:pPr>
        <w:jc w:val="center"/>
        <w:rPr>
          <w:rFonts w:hint="eastAsia" w:ascii="仿宋_GB2312" w:eastAsia="仿宋_GB2312"/>
          <w:b/>
          <w:sz w:val="36"/>
          <w:szCs w:val="36"/>
        </w:rPr>
      </w:pPr>
      <w:r>
        <w:rPr>
          <w:rFonts w:hint="eastAsia" w:ascii="仿宋_GB2312" w:eastAsia="仿宋_GB2312"/>
          <w:b/>
          <w:sz w:val="36"/>
          <w:szCs w:val="36"/>
        </w:rPr>
        <w:t>估价对象市区坐落示意图（河间市）</w:t>
      </w:r>
    </w:p>
    <w:p>
      <w:pPr>
        <w:tabs>
          <w:tab w:val="left" w:pos="3285"/>
        </w:tabs>
        <w:jc w:val="left"/>
        <w:rPr>
          <w:rFonts w:hint="eastAsia"/>
        </w:rPr>
      </w:pPr>
      <w:r>
        <w:rPr>
          <w:lang/>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66040</wp:posOffset>
            </wp:positionV>
            <wp:extent cx="666750" cy="819150"/>
            <wp:effectExtent l="0" t="0" r="0" b="0"/>
            <wp:wrapSquare wrapText="left"/>
            <wp:docPr id="1"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2"/>
                    <pic:cNvPicPr>
                      <a:picLocks noChangeAspect="1"/>
                    </pic:cNvPicPr>
                  </pic:nvPicPr>
                  <pic:blipFill>
                    <a:blip r:embed="rId14"/>
                    <a:stretch>
                      <a:fillRect/>
                    </a:stretch>
                  </pic:blipFill>
                  <pic:spPr>
                    <a:xfrm>
                      <a:off x="0" y="0"/>
                      <a:ext cx="666750" cy="819150"/>
                    </a:xfrm>
                    <a:prstGeom prst="rect">
                      <a:avLst/>
                    </a:prstGeom>
                    <a:noFill/>
                    <a:ln>
                      <a:noFill/>
                    </a:ln>
                  </pic:spPr>
                </pic:pic>
              </a:graphicData>
            </a:graphic>
          </wp:anchor>
        </w:drawing>
      </w:r>
      <w:r>
        <w:tab/>
      </w:r>
      <w:r>
        <w:rPr/>
        <w:br w:type="textWrapping" w:clear="all"/>
      </w:r>
    </w:p>
    <w:p>
      <w:pPr>
        <w:ind w:right="420"/>
        <w:rPr>
          <w:rFonts w:hint="eastAsia" w:ascii="宋体" w:hAnsi="宋体"/>
          <w:b/>
          <w:sz w:val="32"/>
          <w:szCs w:val="32"/>
        </w:rPr>
      </w:pPr>
      <w:r>
        <w:rPr>
          <w:rFonts w:hint="eastAsia" w:ascii="宋体" w:hAnsi="宋体"/>
        </w:rPr>
        <w:t xml:space="preserve">                                                                          </w:t>
      </w:r>
    </w:p>
    <w:p>
      <w:pPr>
        <w:widowControl/>
        <w:jc w:val="left"/>
        <w:rPr>
          <w:rFonts w:hint="eastAsia" w:ascii="宋体" w:hAnsi="宋体" w:cs="宋体"/>
          <w:b/>
          <w:kern w:val="0"/>
          <w:sz w:val="24"/>
          <w:szCs w:val="24"/>
        </w:rPr>
      </w:pPr>
      <w:r>
        <w:rPr>
          <w:rFonts w:ascii="宋体" w:hAnsi="宋体"/>
          <w:lang/>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1825625</wp:posOffset>
                </wp:positionV>
                <wp:extent cx="213360" cy="182880"/>
                <wp:effectExtent l="15875" t="13970" r="18415" b="12700"/>
                <wp:wrapNone/>
                <wp:docPr id="2" name="自选图形 83"/>
                <wp:cNvGraphicFramePr/>
                <a:graphic xmlns:a="http://schemas.openxmlformats.org/drawingml/2006/main">
                  <a:graphicData uri="http://schemas.microsoft.com/office/word/2010/wordprocessingShape">
                    <wps:wsp>
                      <wps:cNvSpPr/>
                      <wps:spPr>
                        <a:xfrm>
                          <a:off x="0" y="0"/>
                          <a:ext cx="213360" cy="182880"/>
                        </a:xfrm>
                        <a:prstGeom prst="star5">
                          <a:avLst/>
                        </a:prstGeom>
                        <a:solidFill>
                          <a:srgbClr val="0000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83" o:spid="_x0000_s1026" style="position:absolute;left:0pt;margin-left:195.75pt;margin-top:143.75pt;height:14.4pt;width:16.8pt;z-index:251659264;mso-width-relative:page;mso-height-relative:page;" fillcolor="#000000" filled="t" stroked="t" coordsize="213360,182880" o:gfxdata="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qce5vbAAAACwEAAA8AAAAAAAAAAQAgAAAAIgAAAGRycy9kb3ducmV2LnhtbFBL&#10;AQIUABQAAAAIAIdO4kCRao3l8wEAAOUDAAAOAAAAAAAAAAEAIAAAACoBAABkcnMvZTJvRG9jLnht&#10;bFBLBQYAAAAABgAGAFkBAACPBQAAAAA=&#10;" path="m0,69853l81496,69854,106680,0,131863,69854,213359,69853,147427,113025,172611,182879,106680,139706,40748,182879,65932,113025xe">
                <v:path o:connectlocs="106680,0;0,69853;40748,182879;172611,182879;213359,69853" o:connectangles="247,164,82,82,0"/>
                <v:fill on="t" focussize="0,0"/>
                <v:stroke color="#000000" joinstyle="miter"/>
                <v:imagedata o:title=""/>
                <o:lock v:ext="edit" aspectratio="f"/>
              </v:shape>
            </w:pict>
          </mc:Fallback>
        </mc:AlternateContent>
      </w:r>
      <w:r>
        <w:rPr>
          <w:rFonts w:ascii="宋体" w:hAnsi="宋体" w:cs="宋体"/>
          <w:kern w:val="0"/>
          <w:sz w:val="24"/>
          <w:szCs w:val="24"/>
        </w:rPr>
        <w:t xml:space="preserve"> </w:t>
      </w:r>
      <w:r>
        <w:rPr>
          <w:rFonts w:ascii="宋体" w:hAnsi="宋体" w:cs="宋体"/>
          <w:kern w:val="0"/>
          <w:sz w:val="24"/>
          <w:szCs w:val="24"/>
        </w:rPr>
        <w:drawing>
          <wp:inline distT="0" distB="0" distL="114300" distR="114300">
            <wp:extent cx="5756275" cy="4310380"/>
            <wp:effectExtent l="0" t="0" r="15875" b="1397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756275" cy="4310380"/>
                    </a:xfrm>
                    <a:prstGeom prst="rect">
                      <a:avLst/>
                    </a:prstGeom>
                    <a:noFill/>
                    <a:ln>
                      <a:noFill/>
                    </a:ln>
                  </pic:spPr>
                </pic:pic>
              </a:graphicData>
            </a:graphic>
          </wp:inline>
        </w:drawing>
      </w:r>
    </w:p>
    <w:p>
      <w:pPr>
        <w:tabs>
          <w:tab w:val="left" w:pos="900"/>
          <w:tab w:val="left" w:pos="1080"/>
          <w:tab w:val="left" w:pos="9000"/>
        </w:tabs>
        <w:spacing w:line="360" w:lineRule="auto"/>
        <w:ind w:right="-143" w:rightChars="-51" w:firstLine="7420" w:firstLineChars="2650"/>
        <w:rPr>
          <w:rFonts w:hint="eastAsia" w:ascii="仿宋_GB2312" w:eastAsia="仿宋_GB2312"/>
          <w:bCs/>
          <w:color w:val="000000"/>
        </w:rPr>
      </w:pPr>
      <w:r>
        <w:rPr>
          <w:rFonts w:hint="eastAsia" w:ascii="仿宋_GB2312" w:eastAsia="仿宋_GB2312"/>
          <w:bCs/>
          <w:color w:val="000000"/>
          <w:lang/>
        </w:rPr>
        <mc:AlternateContent>
          <mc:Choice Requires="wps">
            <w:drawing>
              <wp:anchor distT="0" distB="0" distL="114300" distR="114300" simplePos="0" relativeHeight="251660288" behindDoc="0" locked="0" layoutInCell="1" allowOverlap="1">
                <wp:simplePos x="0" y="0"/>
                <wp:positionH relativeFrom="column">
                  <wp:posOffset>4381500</wp:posOffset>
                </wp:positionH>
                <wp:positionV relativeFrom="paragraph">
                  <wp:posOffset>296545</wp:posOffset>
                </wp:positionV>
                <wp:extent cx="228600" cy="297180"/>
                <wp:effectExtent l="11430" t="20320" r="26670" b="25400"/>
                <wp:wrapNone/>
                <wp:docPr id="3" name="自选图形 84"/>
                <wp:cNvGraphicFramePr/>
                <a:graphic xmlns:a="http://schemas.openxmlformats.org/drawingml/2006/main">
                  <a:graphicData uri="http://schemas.microsoft.com/office/word/2010/wordprocessingShape">
                    <wps:wsp>
                      <wps:cNvSpPr/>
                      <wps:spPr>
                        <a:xfrm>
                          <a:off x="0" y="0"/>
                          <a:ext cx="228600" cy="297180"/>
                        </a:xfrm>
                        <a:prstGeom prst="star5">
                          <a:avLst/>
                        </a:prstGeom>
                        <a:solidFill>
                          <a:srgbClr val="000000"/>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84" o:spid="_x0000_s1026" style="position:absolute;left:0pt;margin-left:345pt;margin-top:23.35pt;height:23.4pt;width:18pt;z-index:251660288;mso-width-relative:page;mso-height-relative:page;" fillcolor="#000000" filled="t" stroked="t" coordsize="228600,297180" o:gfxdata="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nh5wtcAAAAJAQAADwAAAAAAAAABACAAAAAiAAAAZHJzL2Rvd25yZXYueG1sUEsBAhQA&#10;FAAAAAgAh07iQGbNqQfzAQAA5QMAAA4AAAAAAAAAAQAgAAAAJgEAAGRycy9lMm9Eb2MueG1sUEsF&#10;BgAAAAAGAAYAWQEAAIsFAAAAAA==&#10;" path="m0,113512l87317,113513,114300,0,141282,113513,228599,113512,157957,183666,184941,297179,114300,227023,43658,297179,70642,183666xe">
                <v:path o:connectlocs="114300,0;0,113512;43658,297179;184941,297179;228599,113512" o:connectangles="247,164,82,82,0"/>
                <v:fill on="t" focussize="0,0"/>
                <v:stroke color="#000000" joinstyle="miter"/>
                <v:imagedata o:title=""/>
                <o:lock v:ext="edit" aspectratio="f"/>
              </v:shape>
            </w:pict>
          </mc:Fallback>
        </mc:AlternateContent>
      </w:r>
    </w:p>
    <w:p>
      <w:pPr>
        <w:tabs>
          <w:tab w:val="left" w:pos="900"/>
          <w:tab w:val="left" w:pos="1080"/>
          <w:tab w:val="left" w:pos="9000"/>
        </w:tabs>
        <w:spacing w:line="360" w:lineRule="auto"/>
        <w:ind w:right="-143" w:rightChars="-51" w:firstLine="7420" w:firstLineChars="2650"/>
        <w:rPr>
          <w:rFonts w:hint="eastAsia"/>
          <w:bCs/>
          <w:color w:val="000000"/>
          <w:sz w:val="10"/>
          <w:szCs w:val="10"/>
        </w:rPr>
      </w:pPr>
      <w:r>
        <w:rPr>
          <w:rFonts w:hint="eastAsia" w:ascii="仿宋_GB2312" w:eastAsia="仿宋_GB2312"/>
          <w:bCs/>
          <w:color w:val="000000"/>
        </w:rPr>
        <w:t>估价对象</w:t>
      </w:r>
      <w:bookmarkStart w:id="25" w:name="_GoBack"/>
      <w:bookmarkEnd w:id="25"/>
    </w:p>
    <w:p>
      <w:pPr>
        <w:rPr>
          <w:rFonts w:hint="eastAsia"/>
          <w:bCs/>
          <w:color w:val="000000"/>
          <w:sz w:val="10"/>
          <w:szCs w:val="10"/>
        </w:rPr>
      </w:pPr>
    </w:p>
    <w:p>
      <w:pPr>
        <w:rPr>
          <w:rFonts w:hint="eastAsia"/>
          <w:bCs/>
          <w:color w:val="000000"/>
          <w:sz w:val="10"/>
          <w:szCs w:val="10"/>
        </w:rPr>
      </w:pPr>
    </w:p>
    <w:p>
      <w:pPr>
        <w:widowControl/>
        <w:jc w:val="left"/>
        <w:rPr>
          <w:rFonts w:ascii="宋体" w:hAnsi="宋体" w:cs="宋体"/>
          <w:kern w:val="0"/>
          <w:sz w:val="24"/>
          <w:szCs w:val="24"/>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p>
      <w:pPr>
        <w:rPr>
          <w:rFonts w:hint="eastAsia"/>
          <w:bCs/>
          <w:color w:val="000000"/>
          <w:sz w:val="10"/>
          <w:szCs w:val="10"/>
        </w:rPr>
      </w:pPr>
    </w:p>
    <w:sectPr>
      <w:headerReference r:id="rId10" w:type="first"/>
      <w:footerReference r:id="rId12" w:type="first"/>
      <w:headerReference r:id="rId9" w:type="default"/>
      <w:footerReference r:id="rId11" w:type="default"/>
      <w:pgSz w:w="11906" w:h="16838"/>
      <w:pgMar w:top="1588" w:right="1418" w:bottom="1440" w:left="1418" w:header="851" w:footer="851" w:gutter="0"/>
      <w:pgNumType w:start="1"/>
      <w:cols w:space="720" w:num="1"/>
      <w:titlePg/>
      <w:docGrid w:linePitch="4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i/>
        <w:iC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2</w:t>
                    </w:r>
                    <w:r>
                      <w:rPr>
                        <w:rFonts w:hint="eastAsia"/>
                      </w:rPr>
                      <w:fldChar w:fldCharType="end"/>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5829300" cy="0"/>
              <wp:effectExtent l="0" t="0" r="0" b="0"/>
              <wp:wrapNone/>
              <wp:docPr id="5" name="直线 3"/>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75pt;height:0pt;width:459pt;z-index:251658240;mso-width-relative:page;mso-height-relative:page;" filled="f" stroked="t" coordsize="21600,21600" o:gfxdata="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vRJUzRAAAABAEAAA8AAAAAAAAAAQAgAAAAIgAAAGRycy9kb3du&#10;cmV2LnhtbFBLAQIUABQAAAAIAIdO4kB0JOPIzQEAAI0DAAAOAAAAAAAAAAEAIAAAACABAABkcnMv&#10;ZTJvRG9jLnhtbFBLBQYAAAAABgAGAFkBAABfBQAAAAA=&#10;">
              <v:fill on="f" focussize="0,0"/>
              <v:stroke color="#000000" joinstyle="round"/>
              <v:imagedata o:title=""/>
              <o:lock v:ext="edit" aspectratio="f"/>
            </v:line>
          </w:pict>
        </mc:Fallback>
      </mc:AlternateContent>
    </w:r>
    <w:r>
      <w:rPr>
        <w:rFonts w:hint="eastAsia"/>
        <w:i/>
        <w:iCs/>
      </w:rPr>
      <w:t>地址：沧州市运河区解放路南新村4号楼                                           电话：0317-2010507</w:t>
    </w:r>
  </w:p>
  <w:p>
    <w:pPr>
      <w:pStyle w:val="13"/>
      <w:rPr>
        <w:i/>
        <w:iC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jc w:val="left"/>
      <w:rPr>
        <w:rFonts w:hint="eastAsia"/>
        <w:i/>
      </w:rPr>
    </w:pPr>
  </w:p>
  <w:p>
    <w:pPr>
      <w:pStyle w:val="13"/>
    </w:pPr>
    <w:r>
      <w:rPr>
        <w:rFonts w:hint="eastAsia"/>
        <w:i/>
        <w:iCs/>
      </w:rPr>
      <w:t>地址：沧州市运河区解放路南新村4号楼</w: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13"/>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r>
      <w:rPr>
        <w:rFonts w:hint="eastAsia"/>
        <w:i/>
        <w:iCs/>
      </w:rPr>
      <w:t xml:space="preserve">                                            电话：0317-2010507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left="6300" w:hanging="6300" w:hangingChars="3500"/>
      <w:jc w:val="left"/>
      <w:rPr>
        <w:rFonts w:hint="eastAsia"/>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rPr>
        <w:rFonts w:hint="eastAsia"/>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left="6300" w:hanging="6300" w:hangingChars="3500"/>
      <w:jc w:val="left"/>
      <w:rPr>
        <w:rFonts w:hint="eastAsia"/>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ind w:left="7350" w:hanging="7350" w:hangingChars="3500"/>
      <w:jc w:val="left"/>
      <w:rPr>
        <w:rFonts w:hint="eastAsia"/>
        <w:i/>
      </w:rPr>
    </w:pPr>
    <w:r>
      <w:rPr>
        <w:rFonts w:hint="eastAsia"/>
        <w:i/>
        <w:sz w:val="21"/>
      </w:rPr>
      <w:t>沧州市沧房房地产评估有限公司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ind w:left="7350" w:hanging="7350" w:hangingChars="3500"/>
      <w:jc w:val="left"/>
      <w:rPr>
        <w:rFonts w:hint="eastAsia"/>
        <w:i/>
      </w:rPr>
    </w:pPr>
    <w:r>
      <w:rPr>
        <w:rFonts w:hint="eastAsia"/>
        <w:i/>
        <w:sz w:val="21"/>
      </w:rPr>
      <w:t>沧州市沧房房地产评估有限公司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41F8"/>
    <w:multiLevelType w:val="singleLevel"/>
    <w:tmpl w:val="57A841F8"/>
    <w:lvl w:ilvl="0" w:tentative="0">
      <w:start w:val="2"/>
      <w:numFmt w:val="chineseCounting"/>
      <w:suff w:val="nothing"/>
      <w:lvlText w:val="（%1）"/>
      <w:lvlJc w:val="left"/>
    </w:lvl>
  </w:abstractNum>
  <w:abstractNum w:abstractNumId="1">
    <w:nsid w:val="58B90ECD"/>
    <w:multiLevelType w:val="singleLevel"/>
    <w:tmpl w:val="58B90ECD"/>
    <w:lvl w:ilvl="0" w:tentative="0">
      <w:start w:val="1"/>
      <w:numFmt w:val="chineseCounting"/>
      <w:suff w:val="nothing"/>
      <w:lvlText w:val="%1、"/>
      <w:lvlJc w:val="left"/>
    </w:lvl>
  </w:abstractNum>
  <w:abstractNum w:abstractNumId="2">
    <w:nsid w:val="618D1D43"/>
    <w:multiLevelType w:val="multilevel"/>
    <w:tmpl w:val="618D1D43"/>
    <w:lvl w:ilvl="0" w:tentative="0">
      <w:start w:val="1"/>
      <w:numFmt w:val="japaneseCounting"/>
      <w:lvlText w:val="（%1）"/>
      <w:lvlJc w:val="left"/>
      <w:pPr>
        <w:tabs>
          <w:tab w:val="left" w:pos="1415"/>
        </w:tabs>
        <w:ind w:left="1415" w:hanging="855"/>
      </w:pPr>
      <w:rPr>
        <w:rFonts w:hint="default"/>
      </w:rPr>
    </w:lvl>
    <w:lvl w:ilvl="1" w:tentative="0">
      <w:start w:val="1"/>
      <w:numFmt w:val="japaneseCounting"/>
      <w:lvlText w:val="%2、"/>
      <w:lvlJc w:val="left"/>
      <w:pPr>
        <w:tabs>
          <w:tab w:val="left" w:pos="885"/>
        </w:tabs>
        <w:ind w:left="885" w:hanging="720"/>
      </w:pPr>
      <w:rPr>
        <w:rFonts w:hint="default"/>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
  <w:drawingGridVerticalSpacing w:val="2"/>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D5"/>
    <w:rsid w:val="00000785"/>
    <w:rsid w:val="00005B52"/>
    <w:rsid w:val="00005F30"/>
    <w:rsid w:val="00011EE9"/>
    <w:rsid w:val="00015A07"/>
    <w:rsid w:val="00015ED3"/>
    <w:rsid w:val="00016E7C"/>
    <w:rsid w:val="00016EE3"/>
    <w:rsid w:val="00016F6C"/>
    <w:rsid w:val="00017642"/>
    <w:rsid w:val="00017AA0"/>
    <w:rsid w:val="00022207"/>
    <w:rsid w:val="00025AB6"/>
    <w:rsid w:val="000265D3"/>
    <w:rsid w:val="0002691D"/>
    <w:rsid w:val="00027DA4"/>
    <w:rsid w:val="000303AE"/>
    <w:rsid w:val="00030847"/>
    <w:rsid w:val="000308E1"/>
    <w:rsid w:val="00031EF6"/>
    <w:rsid w:val="00034C92"/>
    <w:rsid w:val="000356A2"/>
    <w:rsid w:val="000374ED"/>
    <w:rsid w:val="000377F3"/>
    <w:rsid w:val="00040781"/>
    <w:rsid w:val="00042B11"/>
    <w:rsid w:val="000433B1"/>
    <w:rsid w:val="0004347A"/>
    <w:rsid w:val="0004423E"/>
    <w:rsid w:val="000449B4"/>
    <w:rsid w:val="00045958"/>
    <w:rsid w:val="00050A24"/>
    <w:rsid w:val="000512E1"/>
    <w:rsid w:val="00054CAE"/>
    <w:rsid w:val="00054EB3"/>
    <w:rsid w:val="00056660"/>
    <w:rsid w:val="0006084C"/>
    <w:rsid w:val="00062717"/>
    <w:rsid w:val="00062C6C"/>
    <w:rsid w:val="00063234"/>
    <w:rsid w:val="00067E61"/>
    <w:rsid w:val="00067F04"/>
    <w:rsid w:val="00071667"/>
    <w:rsid w:val="00072EFF"/>
    <w:rsid w:val="0007429F"/>
    <w:rsid w:val="00074416"/>
    <w:rsid w:val="00076C46"/>
    <w:rsid w:val="00077DC5"/>
    <w:rsid w:val="00081004"/>
    <w:rsid w:val="00082DDD"/>
    <w:rsid w:val="0008318F"/>
    <w:rsid w:val="00084BC7"/>
    <w:rsid w:val="00084CFE"/>
    <w:rsid w:val="00087B59"/>
    <w:rsid w:val="000908CB"/>
    <w:rsid w:val="00090F62"/>
    <w:rsid w:val="00092F11"/>
    <w:rsid w:val="00093098"/>
    <w:rsid w:val="00093C33"/>
    <w:rsid w:val="0009661E"/>
    <w:rsid w:val="000A0DA1"/>
    <w:rsid w:val="000A3D74"/>
    <w:rsid w:val="000A5124"/>
    <w:rsid w:val="000A7A4E"/>
    <w:rsid w:val="000B0D35"/>
    <w:rsid w:val="000B360F"/>
    <w:rsid w:val="000B3B73"/>
    <w:rsid w:val="000B5D60"/>
    <w:rsid w:val="000C08B5"/>
    <w:rsid w:val="000C53D0"/>
    <w:rsid w:val="000C669D"/>
    <w:rsid w:val="000C7034"/>
    <w:rsid w:val="000C7818"/>
    <w:rsid w:val="000C7FE6"/>
    <w:rsid w:val="000D06F6"/>
    <w:rsid w:val="000D092F"/>
    <w:rsid w:val="000D0E0C"/>
    <w:rsid w:val="000D213F"/>
    <w:rsid w:val="000D409F"/>
    <w:rsid w:val="000D4289"/>
    <w:rsid w:val="000D5249"/>
    <w:rsid w:val="000D52BD"/>
    <w:rsid w:val="000D5F67"/>
    <w:rsid w:val="000D6120"/>
    <w:rsid w:val="000D7298"/>
    <w:rsid w:val="000E18EE"/>
    <w:rsid w:val="000E2771"/>
    <w:rsid w:val="000E37BE"/>
    <w:rsid w:val="000E38A3"/>
    <w:rsid w:val="000F01B1"/>
    <w:rsid w:val="000F0555"/>
    <w:rsid w:val="000F2E51"/>
    <w:rsid w:val="000F40B6"/>
    <w:rsid w:val="000F5C74"/>
    <w:rsid w:val="000F6288"/>
    <w:rsid w:val="000F7A9C"/>
    <w:rsid w:val="00100048"/>
    <w:rsid w:val="001001E7"/>
    <w:rsid w:val="0010054B"/>
    <w:rsid w:val="0010079F"/>
    <w:rsid w:val="00100AA0"/>
    <w:rsid w:val="00101B60"/>
    <w:rsid w:val="001043F4"/>
    <w:rsid w:val="00105941"/>
    <w:rsid w:val="0010594B"/>
    <w:rsid w:val="00105A05"/>
    <w:rsid w:val="001061AA"/>
    <w:rsid w:val="00106BD3"/>
    <w:rsid w:val="001076A0"/>
    <w:rsid w:val="00110B89"/>
    <w:rsid w:val="00113D8C"/>
    <w:rsid w:val="00116985"/>
    <w:rsid w:val="00117D32"/>
    <w:rsid w:val="00120018"/>
    <w:rsid w:val="00120FB9"/>
    <w:rsid w:val="00122115"/>
    <w:rsid w:val="001226DF"/>
    <w:rsid w:val="00124C45"/>
    <w:rsid w:val="00124ED9"/>
    <w:rsid w:val="00126BE4"/>
    <w:rsid w:val="00127F6E"/>
    <w:rsid w:val="0013013B"/>
    <w:rsid w:val="00130873"/>
    <w:rsid w:val="00130B3E"/>
    <w:rsid w:val="001333DC"/>
    <w:rsid w:val="00134A10"/>
    <w:rsid w:val="00135F59"/>
    <w:rsid w:val="00136820"/>
    <w:rsid w:val="00136CA2"/>
    <w:rsid w:val="0013794D"/>
    <w:rsid w:val="00140D76"/>
    <w:rsid w:val="001411FF"/>
    <w:rsid w:val="0014174F"/>
    <w:rsid w:val="00142A38"/>
    <w:rsid w:val="00143003"/>
    <w:rsid w:val="001434FB"/>
    <w:rsid w:val="0014537E"/>
    <w:rsid w:val="0014632B"/>
    <w:rsid w:val="00147FC9"/>
    <w:rsid w:val="00152A3A"/>
    <w:rsid w:val="001530D3"/>
    <w:rsid w:val="00153C47"/>
    <w:rsid w:val="00154E9D"/>
    <w:rsid w:val="00155A53"/>
    <w:rsid w:val="00156D5D"/>
    <w:rsid w:val="001611FC"/>
    <w:rsid w:val="00162DB5"/>
    <w:rsid w:val="0016371C"/>
    <w:rsid w:val="0016413E"/>
    <w:rsid w:val="00165116"/>
    <w:rsid w:val="00165ED0"/>
    <w:rsid w:val="00165F30"/>
    <w:rsid w:val="00165F31"/>
    <w:rsid w:val="00167060"/>
    <w:rsid w:val="001675E8"/>
    <w:rsid w:val="00167866"/>
    <w:rsid w:val="00171D64"/>
    <w:rsid w:val="00172DE9"/>
    <w:rsid w:val="001748B7"/>
    <w:rsid w:val="001749C3"/>
    <w:rsid w:val="001764A8"/>
    <w:rsid w:val="00177309"/>
    <w:rsid w:val="0018052E"/>
    <w:rsid w:val="00180CF6"/>
    <w:rsid w:val="00181DC1"/>
    <w:rsid w:val="0018300A"/>
    <w:rsid w:val="00184D09"/>
    <w:rsid w:val="00186B85"/>
    <w:rsid w:val="00190442"/>
    <w:rsid w:val="001931F2"/>
    <w:rsid w:val="00194496"/>
    <w:rsid w:val="00194966"/>
    <w:rsid w:val="001964B4"/>
    <w:rsid w:val="00196F1B"/>
    <w:rsid w:val="001A34B0"/>
    <w:rsid w:val="001A35BB"/>
    <w:rsid w:val="001A4F3A"/>
    <w:rsid w:val="001A629B"/>
    <w:rsid w:val="001A696C"/>
    <w:rsid w:val="001A6EF6"/>
    <w:rsid w:val="001A7089"/>
    <w:rsid w:val="001A71ED"/>
    <w:rsid w:val="001A76AD"/>
    <w:rsid w:val="001B052B"/>
    <w:rsid w:val="001B2EAE"/>
    <w:rsid w:val="001B324A"/>
    <w:rsid w:val="001B4DE0"/>
    <w:rsid w:val="001C111B"/>
    <w:rsid w:val="001C1DF8"/>
    <w:rsid w:val="001C1EED"/>
    <w:rsid w:val="001C3296"/>
    <w:rsid w:val="001C32D5"/>
    <w:rsid w:val="001D0C42"/>
    <w:rsid w:val="001D2215"/>
    <w:rsid w:val="001D43E6"/>
    <w:rsid w:val="001D4659"/>
    <w:rsid w:val="001D4CCE"/>
    <w:rsid w:val="001E079C"/>
    <w:rsid w:val="001E26D9"/>
    <w:rsid w:val="001E2C7B"/>
    <w:rsid w:val="001E4149"/>
    <w:rsid w:val="001E63B7"/>
    <w:rsid w:val="001E6D85"/>
    <w:rsid w:val="001E6EF9"/>
    <w:rsid w:val="001F091A"/>
    <w:rsid w:val="001F3D4E"/>
    <w:rsid w:val="001F6430"/>
    <w:rsid w:val="002033D5"/>
    <w:rsid w:val="00203AB3"/>
    <w:rsid w:val="00204019"/>
    <w:rsid w:val="00204996"/>
    <w:rsid w:val="002049F3"/>
    <w:rsid w:val="00205C52"/>
    <w:rsid w:val="0020623A"/>
    <w:rsid w:val="0020624A"/>
    <w:rsid w:val="002103D3"/>
    <w:rsid w:val="00211C68"/>
    <w:rsid w:val="0021249D"/>
    <w:rsid w:val="00212FB7"/>
    <w:rsid w:val="00214388"/>
    <w:rsid w:val="0021688C"/>
    <w:rsid w:val="00217E26"/>
    <w:rsid w:val="0022060C"/>
    <w:rsid w:val="00221C73"/>
    <w:rsid w:val="00222392"/>
    <w:rsid w:val="002244D7"/>
    <w:rsid w:val="00224842"/>
    <w:rsid w:val="0022511C"/>
    <w:rsid w:val="002272D5"/>
    <w:rsid w:val="002277DF"/>
    <w:rsid w:val="00230E5B"/>
    <w:rsid w:val="00232691"/>
    <w:rsid w:val="002327C2"/>
    <w:rsid w:val="00232BB7"/>
    <w:rsid w:val="0023421F"/>
    <w:rsid w:val="00236DF8"/>
    <w:rsid w:val="002371AA"/>
    <w:rsid w:val="00240856"/>
    <w:rsid w:val="00241326"/>
    <w:rsid w:val="0024139D"/>
    <w:rsid w:val="002449BB"/>
    <w:rsid w:val="0024617A"/>
    <w:rsid w:val="0025013C"/>
    <w:rsid w:val="00251058"/>
    <w:rsid w:val="00253C57"/>
    <w:rsid w:val="00255690"/>
    <w:rsid w:val="002568BD"/>
    <w:rsid w:val="002600E6"/>
    <w:rsid w:val="00260FE3"/>
    <w:rsid w:val="00261519"/>
    <w:rsid w:val="00261F44"/>
    <w:rsid w:val="00262419"/>
    <w:rsid w:val="00262F19"/>
    <w:rsid w:val="00265276"/>
    <w:rsid w:val="0026642F"/>
    <w:rsid w:val="002666F6"/>
    <w:rsid w:val="002740D1"/>
    <w:rsid w:val="00275693"/>
    <w:rsid w:val="00275E18"/>
    <w:rsid w:val="00277BA2"/>
    <w:rsid w:val="00280396"/>
    <w:rsid w:val="00282589"/>
    <w:rsid w:val="00282C9F"/>
    <w:rsid w:val="00283A7C"/>
    <w:rsid w:val="002859E6"/>
    <w:rsid w:val="0029098E"/>
    <w:rsid w:val="00290B32"/>
    <w:rsid w:val="002929EC"/>
    <w:rsid w:val="002934E9"/>
    <w:rsid w:val="00293B12"/>
    <w:rsid w:val="002944CF"/>
    <w:rsid w:val="00295ACD"/>
    <w:rsid w:val="00297272"/>
    <w:rsid w:val="00297CD6"/>
    <w:rsid w:val="002A34AD"/>
    <w:rsid w:val="002A3A84"/>
    <w:rsid w:val="002A4889"/>
    <w:rsid w:val="002A548C"/>
    <w:rsid w:val="002A7A50"/>
    <w:rsid w:val="002B06BB"/>
    <w:rsid w:val="002B0D4E"/>
    <w:rsid w:val="002B311F"/>
    <w:rsid w:val="002B3C5D"/>
    <w:rsid w:val="002B3CA0"/>
    <w:rsid w:val="002B5813"/>
    <w:rsid w:val="002B5814"/>
    <w:rsid w:val="002B5E12"/>
    <w:rsid w:val="002B6679"/>
    <w:rsid w:val="002C0D68"/>
    <w:rsid w:val="002C1CA4"/>
    <w:rsid w:val="002C214B"/>
    <w:rsid w:val="002C328D"/>
    <w:rsid w:val="002C3725"/>
    <w:rsid w:val="002C41C7"/>
    <w:rsid w:val="002C46E9"/>
    <w:rsid w:val="002C47B4"/>
    <w:rsid w:val="002C766E"/>
    <w:rsid w:val="002D23D2"/>
    <w:rsid w:val="002D3182"/>
    <w:rsid w:val="002D6343"/>
    <w:rsid w:val="002D6FA1"/>
    <w:rsid w:val="002E2D24"/>
    <w:rsid w:val="002E4493"/>
    <w:rsid w:val="002E641E"/>
    <w:rsid w:val="002F0B31"/>
    <w:rsid w:val="002F4AEE"/>
    <w:rsid w:val="002F4CAA"/>
    <w:rsid w:val="002F4D4A"/>
    <w:rsid w:val="002F537B"/>
    <w:rsid w:val="002F5BB7"/>
    <w:rsid w:val="002F760E"/>
    <w:rsid w:val="0030057D"/>
    <w:rsid w:val="00300AEE"/>
    <w:rsid w:val="00300F55"/>
    <w:rsid w:val="00301D6A"/>
    <w:rsid w:val="00302480"/>
    <w:rsid w:val="003055B7"/>
    <w:rsid w:val="00306B25"/>
    <w:rsid w:val="00307028"/>
    <w:rsid w:val="00307D33"/>
    <w:rsid w:val="00310E31"/>
    <w:rsid w:val="00313317"/>
    <w:rsid w:val="00314821"/>
    <w:rsid w:val="003152E3"/>
    <w:rsid w:val="003155E9"/>
    <w:rsid w:val="0031679F"/>
    <w:rsid w:val="003177CF"/>
    <w:rsid w:val="00320A09"/>
    <w:rsid w:val="00321A2D"/>
    <w:rsid w:val="00321B9E"/>
    <w:rsid w:val="003223BE"/>
    <w:rsid w:val="003235F2"/>
    <w:rsid w:val="00323AC0"/>
    <w:rsid w:val="00325D59"/>
    <w:rsid w:val="003274AC"/>
    <w:rsid w:val="00327EB5"/>
    <w:rsid w:val="003301A5"/>
    <w:rsid w:val="00333D49"/>
    <w:rsid w:val="0033473C"/>
    <w:rsid w:val="003356FA"/>
    <w:rsid w:val="003368FE"/>
    <w:rsid w:val="0033697A"/>
    <w:rsid w:val="00337886"/>
    <w:rsid w:val="00337DAE"/>
    <w:rsid w:val="00342301"/>
    <w:rsid w:val="00342E71"/>
    <w:rsid w:val="00344540"/>
    <w:rsid w:val="00344BBC"/>
    <w:rsid w:val="00345064"/>
    <w:rsid w:val="00347136"/>
    <w:rsid w:val="0034778D"/>
    <w:rsid w:val="00350562"/>
    <w:rsid w:val="00350BB0"/>
    <w:rsid w:val="00351F57"/>
    <w:rsid w:val="00351FC5"/>
    <w:rsid w:val="0035484C"/>
    <w:rsid w:val="00355309"/>
    <w:rsid w:val="0035688C"/>
    <w:rsid w:val="00357F82"/>
    <w:rsid w:val="00360696"/>
    <w:rsid w:val="00360E34"/>
    <w:rsid w:val="00360F19"/>
    <w:rsid w:val="00363ED7"/>
    <w:rsid w:val="00364F68"/>
    <w:rsid w:val="003676C4"/>
    <w:rsid w:val="00367A7C"/>
    <w:rsid w:val="003700D8"/>
    <w:rsid w:val="00371CDB"/>
    <w:rsid w:val="00374256"/>
    <w:rsid w:val="003744E4"/>
    <w:rsid w:val="003749E6"/>
    <w:rsid w:val="00375466"/>
    <w:rsid w:val="00376A18"/>
    <w:rsid w:val="0038028E"/>
    <w:rsid w:val="00381DBB"/>
    <w:rsid w:val="0038410F"/>
    <w:rsid w:val="00384FCE"/>
    <w:rsid w:val="00385E36"/>
    <w:rsid w:val="003860DF"/>
    <w:rsid w:val="003877FD"/>
    <w:rsid w:val="00390397"/>
    <w:rsid w:val="00390517"/>
    <w:rsid w:val="00391D8C"/>
    <w:rsid w:val="00392ABD"/>
    <w:rsid w:val="00393471"/>
    <w:rsid w:val="00393BA2"/>
    <w:rsid w:val="00393CAA"/>
    <w:rsid w:val="00393CF3"/>
    <w:rsid w:val="00395514"/>
    <w:rsid w:val="00396294"/>
    <w:rsid w:val="003A1972"/>
    <w:rsid w:val="003A1A3C"/>
    <w:rsid w:val="003A2B36"/>
    <w:rsid w:val="003A2B42"/>
    <w:rsid w:val="003A3249"/>
    <w:rsid w:val="003A3D42"/>
    <w:rsid w:val="003A4FE3"/>
    <w:rsid w:val="003A505D"/>
    <w:rsid w:val="003A76A1"/>
    <w:rsid w:val="003B2361"/>
    <w:rsid w:val="003B23EE"/>
    <w:rsid w:val="003B4525"/>
    <w:rsid w:val="003C104B"/>
    <w:rsid w:val="003C214D"/>
    <w:rsid w:val="003C62A1"/>
    <w:rsid w:val="003C6C41"/>
    <w:rsid w:val="003C7933"/>
    <w:rsid w:val="003C7B98"/>
    <w:rsid w:val="003C7F44"/>
    <w:rsid w:val="003D0235"/>
    <w:rsid w:val="003D0401"/>
    <w:rsid w:val="003D062D"/>
    <w:rsid w:val="003D12C1"/>
    <w:rsid w:val="003D1859"/>
    <w:rsid w:val="003D27E6"/>
    <w:rsid w:val="003D5BE4"/>
    <w:rsid w:val="003E18EF"/>
    <w:rsid w:val="003E2261"/>
    <w:rsid w:val="003E4447"/>
    <w:rsid w:val="003E4B35"/>
    <w:rsid w:val="003E5EAE"/>
    <w:rsid w:val="003E717B"/>
    <w:rsid w:val="003F1F43"/>
    <w:rsid w:val="003F3C04"/>
    <w:rsid w:val="003F4FB5"/>
    <w:rsid w:val="00401992"/>
    <w:rsid w:val="00402296"/>
    <w:rsid w:val="0040284B"/>
    <w:rsid w:val="00403014"/>
    <w:rsid w:val="00404744"/>
    <w:rsid w:val="00406998"/>
    <w:rsid w:val="00410077"/>
    <w:rsid w:val="00412BAA"/>
    <w:rsid w:val="00412D78"/>
    <w:rsid w:val="004139D5"/>
    <w:rsid w:val="00414463"/>
    <w:rsid w:val="00416DB1"/>
    <w:rsid w:val="00417231"/>
    <w:rsid w:val="00417354"/>
    <w:rsid w:val="00417B2F"/>
    <w:rsid w:val="00421A7A"/>
    <w:rsid w:val="00423C49"/>
    <w:rsid w:val="004273E1"/>
    <w:rsid w:val="00430F33"/>
    <w:rsid w:val="00431B1E"/>
    <w:rsid w:val="004325F6"/>
    <w:rsid w:val="004332E9"/>
    <w:rsid w:val="00434E37"/>
    <w:rsid w:val="00440119"/>
    <w:rsid w:val="004421A4"/>
    <w:rsid w:val="0044565B"/>
    <w:rsid w:val="00446C11"/>
    <w:rsid w:val="004511BC"/>
    <w:rsid w:val="004513A1"/>
    <w:rsid w:val="00451434"/>
    <w:rsid w:val="00451C00"/>
    <w:rsid w:val="00451CF7"/>
    <w:rsid w:val="00452F77"/>
    <w:rsid w:val="00454870"/>
    <w:rsid w:val="004552E7"/>
    <w:rsid w:val="00456C2A"/>
    <w:rsid w:val="00456F20"/>
    <w:rsid w:val="00462942"/>
    <w:rsid w:val="00462A3D"/>
    <w:rsid w:val="0046447D"/>
    <w:rsid w:val="004674E8"/>
    <w:rsid w:val="00471573"/>
    <w:rsid w:val="00471DBF"/>
    <w:rsid w:val="00473350"/>
    <w:rsid w:val="00473397"/>
    <w:rsid w:val="004743ED"/>
    <w:rsid w:val="004752E9"/>
    <w:rsid w:val="00476350"/>
    <w:rsid w:val="00480579"/>
    <w:rsid w:val="00482493"/>
    <w:rsid w:val="0048488C"/>
    <w:rsid w:val="00484E31"/>
    <w:rsid w:val="00485069"/>
    <w:rsid w:val="004857F9"/>
    <w:rsid w:val="004861DD"/>
    <w:rsid w:val="0048694B"/>
    <w:rsid w:val="0048772A"/>
    <w:rsid w:val="0049027C"/>
    <w:rsid w:val="004931A2"/>
    <w:rsid w:val="00493DF1"/>
    <w:rsid w:val="004944EE"/>
    <w:rsid w:val="00495FB3"/>
    <w:rsid w:val="00496825"/>
    <w:rsid w:val="004A0C10"/>
    <w:rsid w:val="004A1906"/>
    <w:rsid w:val="004A2807"/>
    <w:rsid w:val="004A3C8E"/>
    <w:rsid w:val="004A512F"/>
    <w:rsid w:val="004A51A6"/>
    <w:rsid w:val="004A53EE"/>
    <w:rsid w:val="004A590A"/>
    <w:rsid w:val="004A638F"/>
    <w:rsid w:val="004A6D34"/>
    <w:rsid w:val="004B178D"/>
    <w:rsid w:val="004B4FA0"/>
    <w:rsid w:val="004C0634"/>
    <w:rsid w:val="004C16FA"/>
    <w:rsid w:val="004C41A2"/>
    <w:rsid w:val="004D033D"/>
    <w:rsid w:val="004D1F47"/>
    <w:rsid w:val="004D24DF"/>
    <w:rsid w:val="004D2B5C"/>
    <w:rsid w:val="004D6015"/>
    <w:rsid w:val="004D7193"/>
    <w:rsid w:val="004D7292"/>
    <w:rsid w:val="004D7A35"/>
    <w:rsid w:val="004E0668"/>
    <w:rsid w:val="004E08F2"/>
    <w:rsid w:val="004E15FF"/>
    <w:rsid w:val="004E1EA2"/>
    <w:rsid w:val="004E2285"/>
    <w:rsid w:val="004E37D0"/>
    <w:rsid w:val="004E4CF8"/>
    <w:rsid w:val="004E551C"/>
    <w:rsid w:val="004E6629"/>
    <w:rsid w:val="004F28AF"/>
    <w:rsid w:val="004F28FE"/>
    <w:rsid w:val="004F56BA"/>
    <w:rsid w:val="004F5A88"/>
    <w:rsid w:val="004F7DAF"/>
    <w:rsid w:val="005005BA"/>
    <w:rsid w:val="00501151"/>
    <w:rsid w:val="0050333B"/>
    <w:rsid w:val="005037FC"/>
    <w:rsid w:val="005039EF"/>
    <w:rsid w:val="00507098"/>
    <w:rsid w:val="0051033A"/>
    <w:rsid w:val="00514E08"/>
    <w:rsid w:val="00516D12"/>
    <w:rsid w:val="00516F9A"/>
    <w:rsid w:val="00517E53"/>
    <w:rsid w:val="005203BB"/>
    <w:rsid w:val="005234BD"/>
    <w:rsid w:val="00525ACB"/>
    <w:rsid w:val="005276D5"/>
    <w:rsid w:val="00531478"/>
    <w:rsid w:val="00531ADC"/>
    <w:rsid w:val="00531CB2"/>
    <w:rsid w:val="00531F92"/>
    <w:rsid w:val="00532443"/>
    <w:rsid w:val="0053303A"/>
    <w:rsid w:val="005340E5"/>
    <w:rsid w:val="00534EAA"/>
    <w:rsid w:val="00536179"/>
    <w:rsid w:val="00540BFA"/>
    <w:rsid w:val="00541FFC"/>
    <w:rsid w:val="0054764F"/>
    <w:rsid w:val="005520E4"/>
    <w:rsid w:val="00552ED7"/>
    <w:rsid w:val="0055481F"/>
    <w:rsid w:val="00554A50"/>
    <w:rsid w:val="00554DC9"/>
    <w:rsid w:val="00555802"/>
    <w:rsid w:val="00557036"/>
    <w:rsid w:val="00560AB1"/>
    <w:rsid w:val="005620AA"/>
    <w:rsid w:val="005623BC"/>
    <w:rsid w:val="00566435"/>
    <w:rsid w:val="005664C5"/>
    <w:rsid w:val="00566AE7"/>
    <w:rsid w:val="005670A9"/>
    <w:rsid w:val="00567F7C"/>
    <w:rsid w:val="00572847"/>
    <w:rsid w:val="0057298B"/>
    <w:rsid w:val="00572B7D"/>
    <w:rsid w:val="0057527F"/>
    <w:rsid w:val="00580A13"/>
    <w:rsid w:val="005812CD"/>
    <w:rsid w:val="00581523"/>
    <w:rsid w:val="00581548"/>
    <w:rsid w:val="00585587"/>
    <w:rsid w:val="00587F0B"/>
    <w:rsid w:val="00592BC3"/>
    <w:rsid w:val="00594300"/>
    <w:rsid w:val="00594418"/>
    <w:rsid w:val="005944A1"/>
    <w:rsid w:val="0059552D"/>
    <w:rsid w:val="00596096"/>
    <w:rsid w:val="0059752E"/>
    <w:rsid w:val="00597B7A"/>
    <w:rsid w:val="00597C58"/>
    <w:rsid w:val="005A0C28"/>
    <w:rsid w:val="005A0F0C"/>
    <w:rsid w:val="005A115D"/>
    <w:rsid w:val="005A206D"/>
    <w:rsid w:val="005A22D5"/>
    <w:rsid w:val="005A36F7"/>
    <w:rsid w:val="005A488D"/>
    <w:rsid w:val="005A55AA"/>
    <w:rsid w:val="005A6199"/>
    <w:rsid w:val="005B2875"/>
    <w:rsid w:val="005B29E3"/>
    <w:rsid w:val="005B2F89"/>
    <w:rsid w:val="005B3995"/>
    <w:rsid w:val="005C1603"/>
    <w:rsid w:val="005C209C"/>
    <w:rsid w:val="005C2EA4"/>
    <w:rsid w:val="005C38D8"/>
    <w:rsid w:val="005C420A"/>
    <w:rsid w:val="005C4B57"/>
    <w:rsid w:val="005C54C7"/>
    <w:rsid w:val="005C6E1C"/>
    <w:rsid w:val="005D00D2"/>
    <w:rsid w:val="005D1027"/>
    <w:rsid w:val="005D1466"/>
    <w:rsid w:val="005D1C05"/>
    <w:rsid w:val="005D26A5"/>
    <w:rsid w:val="005D339A"/>
    <w:rsid w:val="005D3DA1"/>
    <w:rsid w:val="005D427A"/>
    <w:rsid w:val="005D7FC1"/>
    <w:rsid w:val="005E107D"/>
    <w:rsid w:val="005E13F3"/>
    <w:rsid w:val="005E36DC"/>
    <w:rsid w:val="005E3802"/>
    <w:rsid w:val="005E56FC"/>
    <w:rsid w:val="005E5D6A"/>
    <w:rsid w:val="005E7E05"/>
    <w:rsid w:val="005F21C5"/>
    <w:rsid w:val="005F22AD"/>
    <w:rsid w:val="005F27A0"/>
    <w:rsid w:val="005F2A1F"/>
    <w:rsid w:val="005F396B"/>
    <w:rsid w:val="00600D04"/>
    <w:rsid w:val="006047DC"/>
    <w:rsid w:val="00605F2B"/>
    <w:rsid w:val="006066A8"/>
    <w:rsid w:val="00607831"/>
    <w:rsid w:val="006078D9"/>
    <w:rsid w:val="006112F0"/>
    <w:rsid w:val="00611416"/>
    <w:rsid w:val="00616704"/>
    <w:rsid w:val="00621FB4"/>
    <w:rsid w:val="00622FD8"/>
    <w:rsid w:val="0062400F"/>
    <w:rsid w:val="006250AF"/>
    <w:rsid w:val="006250B2"/>
    <w:rsid w:val="00625A9E"/>
    <w:rsid w:val="00627005"/>
    <w:rsid w:val="00631E7D"/>
    <w:rsid w:val="0063499E"/>
    <w:rsid w:val="00635BFD"/>
    <w:rsid w:val="006379AB"/>
    <w:rsid w:val="0064114D"/>
    <w:rsid w:val="00643BDA"/>
    <w:rsid w:val="00643D9F"/>
    <w:rsid w:val="0064431C"/>
    <w:rsid w:val="00645C93"/>
    <w:rsid w:val="00646315"/>
    <w:rsid w:val="00646894"/>
    <w:rsid w:val="00646E94"/>
    <w:rsid w:val="006474D9"/>
    <w:rsid w:val="00651840"/>
    <w:rsid w:val="006519B7"/>
    <w:rsid w:val="0065296F"/>
    <w:rsid w:val="00652FEE"/>
    <w:rsid w:val="006536A0"/>
    <w:rsid w:val="00653BC7"/>
    <w:rsid w:val="00654105"/>
    <w:rsid w:val="00655C8D"/>
    <w:rsid w:val="00656A3E"/>
    <w:rsid w:val="0066002A"/>
    <w:rsid w:val="006606DC"/>
    <w:rsid w:val="006608C8"/>
    <w:rsid w:val="00660EAA"/>
    <w:rsid w:val="0066220F"/>
    <w:rsid w:val="006648AB"/>
    <w:rsid w:val="00666B22"/>
    <w:rsid w:val="00666FCB"/>
    <w:rsid w:val="006715D8"/>
    <w:rsid w:val="00672AEA"/>
    <w:rsid w:val="00673D3D"/>
    <w:rsid w:val="006765F7"/>
    <w:rsid w:val="006773E0"/>
    <w:rsid w:val="00683983"/>
    <w:rsid w:val="00684B86"/>
    <w:rsid w:val="00684E73"/>
    <w:rsid w:val="00684F3A"/>
    <w:rsid w:val="006850CF"/>
    <w:rsid w:val="006939D0"/>
    <w:rsid w:val="0069612E"/>
    <w:rsid w:val="00696CAB"/>
    <w:rsid w:val="006A1EE5"/>
    <w:rsid w:val="006A3346"/>
    <w:rsid w:val="006A45C0"/>
    <w:rsid w:val="006A52D7"/>
    <w:rsid w:val="006A646E"/>
    <w:rsid w:val="006A7347"/>
    <w:rsid w:val="006A7870"/>
    <w:rsid w:val="006B42E8"/>
    <w:rsid w:val="006B56E7"/>
    <w:rsid w:val="006B6766"/>
    <w:rsid w:val="006B7577"/>
    <w:rsid w:val="006C29DB"/>
    <w:rsid w:val="006C34A1"/>
    <w:rsid w:val="006C3D39"/>
    <w:rsid w:val="006C4F1D"/>
    <w:rsid w:val="006C5CD4"/>
    <w:rsid w:val="006C5CDD"/>
    <w:rsid w:val="006C647C"/>
    <w:rsid w:val="006C7702"/>
    <w:rsid w:val="006D1FCC"/>
    <w:rsid w:val="006D2413"/>
    <w:rsid w:val="006D2457"/>
    <w:rsid w:val="006D2835"/>
    <w:rsid w:val="006D530E"/>
    <w:rsid w:val="006D5317"/>
    <w:rsid w:val="006D6056"/>
    <w:rsid w:val="006D649A"/>
    <w:rsid w:val="006E2023"/>
    <w:rsid w:val="006E56E7"/>
    <w:rsid w:val="006E6F83"/>
    <w:rsid w:val="006E7DA4"/>
    <w:rsid w:val="006F0BA0"/>
    <w:rsid w:val="006F2B06"/>
    <w:rsid w:val="006F4383"/>
    <w:rsid w:val="006F70D3"/>
    <w:rsid w:val="006F76F5"/>
    <w:rsid w:val="006F7AC9"/>
    <w:rsid w:val="00702C2D"/>
    <w:rsid w:val="00705E99"/>
    <w:rsid w:val="00707467"/>
    <w:rsid w:val="0071167F"/>
    <w:rsid w:val="00711BC4"/>
    <w:rsid w:val="0071284F"/>
    <w:rsid w:val="007134C1"/>
    <w:rsid w:val="00713552"/>
    <w:rsid w:val="00715779"/>
    <w:rsid w:val="00715FE6"/>
    <w:rsid w:val="0072450B"/>
    <w:rsid w:val="00725A1C"/>
    <w:rsid w:val="00725ACE"/>
    <w:rsid w:val="0073018C"/>
    <w:rsid w:val="007312E1"/>
    <w:rsid w:val="00733632"/>
    <w:rsid w:val="00733DD4"/>
    <w:rsid w:val="00735FA0"/>
    <w:rsid w:val="00737D3A"/>
    <w:rsid w:val="00743CA7"/>
    <w:rsid w:val="00743CEB"/>
    <w:rsid w:val="00750D8B"/>
    <w:rsid w:val="00750F32"/>
    <w:rsid w:val="0075123E"/>
    <w:rsid w:val="00753526"/>
    <w:rsid w:val="007536AE"/>
    <w:rsid w:val="0075539A"/>
    <w:rsid w:val="007610B2"/>
    <w:rsid w:val="00762069"/>
    <w:rsid w:val="00762C9D"/>
    <w:rsid w:val="0076381A"/>
    <w:rsid w:val="0076492C"/>
    <w:rsid w:val="00766A69"/>
    <w:rsid w:val="00767E5F"/>
    <w:rsid w:val="007705EC"/>
    <w:rsid w:val="0077297E"/>
    <w:rsid w:val="007731B4"/>
    <w:rsid w:val="00773F78"/>
    <w:rsid w:val="0077508D"/>
    <w:rsid w:val="00775FEB"/>
    <w:rsid w:val="007778AF"/>
    <w:rsid w:val="00781A53"/>
    <w:rsid w:val="0078219A"/>
    <w:rsid w:val="0078255D"/>
    <w:rsid w:val="00783067"/>
    <w:rsid w:val="00783902"/>
    <w:rsid w:val="00784C79"/>
    <w:rsid w:val="007852DC"/>
    <w:rsid w:val="00785F47"/>
    <w:rsid w:val="00786415"/>
    <w:rsid w:val="007867FB"/>
    <w:rsid w:val="00786BC6"/>
    <w:rsid w:val="007916F9"/>
    <w:rsid w:val="00791BA4"/>
    <w:rsid w:val="00794320"/>
    <w:rsid w:val="0079499D"/>
    <w:rsid w:val="0079553B"/>
    <w:rsid w:val="00797119"/>
    <w:rsid w:val="007A0166"/>
    <w:rsid w:val="007A146D"/>
    <w:rsid w:val="007A1815"/>
    <w:rsid w:val="007A352B"/>
    <w:rsid w:val="007A3982"/>
    <w:rsid w:val="007A5987"/>
    <w:rsid w:val="007A6F27"/>
    <w:rsid w:val="007A7E36"/>
    <w:rsid w:val="007B187F"/>
    <w:rsid w:val="007B3531"/>
    <w:rsid w:val="007B3BA2"/>
    <w:rsid w:val="007B3F36"/>
    <w:rsid w:val="007C04B7"/>
    <w:rsid w:val="007C0611"/>
    <w:rsid w:val="007C0ECA"/>
    <w:rsid w:val="007C10BE"/>
    <w:rsid w:val="007C1170"/>
    <w:rsid w:val="007C6B9B"/>
    <w:rsid w:val="007C6F80"/>
    <w:rsid w:val="007C7A94"/>
    <w:rsid w:val="007D0009"/>
    <w:rsid w:val="007D0408"/>
    <w:rsid w:val="007D144D"/>
    <w:rsid w:val="007D21AD"/>
    <w:rsid w:val="007D31FB"/>
    <w:rsid w:val="007D39A7"/>
    <w:rsid w:val="007D61E1"/>
    <w:rsid w:val="007E1894"/>
    <w:rsid w:val="007E1897"/>
    <w:rsid w:val="007E4043"/>
    <w:rsid w:val="007E4A89"/>
    <w:rsid w:val="007E4EEB"/>
    <w:rsid w:val="007E5BE6"/>
    <w:rsid w:val="007E7753"/>
    <w:rsid w:val="007E7B16"/>
    <w:rsid w:val="007F1301"/>
    <w:rsid w:val="007F7F8E"/>
    <w:rsid w:val="0080028A"/>
    <w:rsid w:val="008008AC"/>
    <w:rsid w:val="00801104"/>
    <w:rsid w:val="00801682"/>
    <w:rsid w:val="00801B80"/>
    <w:rsid w:val="00802613"/>
    <w:rsid w:val="00802B9A"/>
    <w:rsid w:val="00803130"/>
    <w:rsid w:val="00806E2D"/>
    <w:rsid w:val="0081179E"/>
    <w:rsid w:val="00814511"/>
    <w:rsid w:val="00814A7F"/>
    <w:rsid w:val="008159BC"/>
    <w:rsid w:val="008159F4"/>
    <w:rsid w:val="00816B38"/>
    <w:rsid w:val="00816C91"/>
    <w:rsid w:val="00820695"/>
    <w:rsid w:val="00820845"/>
    <w:rsid w:val="00820D27"/>
    <w:rsid w:val="00821897"/>
    <w:rsid w:val="00826680"/>
    <w:rsid w:val="00826CCE"/>
    <w:rsid w:val="008303DF"/>
    <w:rsid w:val="00831360"/>
    <w:rsid w:val="0083272B"/>
    <w:rsid w:val="00832C28"/>
    <w:rsid w:val="008344AF"/>
    <w:rsid w:val="0083485C"/>
    <w:rsid w:val="0083491A"/>
    <w:rsid w:val="00834B3D"/>
    <w:rsid w:val="00835026"/>
    <w:rsid w:val="00837C02"/>
    <w:rsid w:val="008402E7"/>
    <w:rsid w:val="00840585"/>
    <w:rsid w:val="0084064D"/>
    <w:rsid w:val="00840A3E"/>
    <w:rsid w:val="00841377"/>
    <w:rsid w:val="0084381D"/>
    <w:rsid w:val="00843CAB"/>
    <w:rsid w:val="00843FC2"/>
    <w:rsid w:val="0084462A"/>
    <w:rsid w:val="00844730"/>
    <w:rsid w:val="00844B78"/>
    <w:rsid w:val="00847AD1"/>
    <w:rsid w:val="0085192D"/>
    <w:rsid w:val="008522A1"/>
    <w:rsid w:val="00852F61"/>
    <w:rsid w:val="0085494E"/>
    <w:rsid w:val="008555FD"/>
    <w:rsid w:val="00855D77"/>
    <w:rsid w:val="00861F00"/>
    <w:rsid w:val="00863FBB"/>
    <w:rsid w:val="00867276"/>
    <w:rsid w:val="008701A6"/>
    <w:rsid w:val="00870366"/>
    <w:rsid w:val="00871BA0"/>
    <w:rsid w:val="008721AB"/>
    <w:rsid w:val="008722DD"/>
    <w:rsid w:val="0087278B"/>
    <w:rsid w:val="00875E50"/>
    <w:rsid w:val="00876BC8"/>
    <w:rsid w:val="0088164B"/>
    <w:rsid w:val="00881882"/>
    <w:rsid w:val="00882F90"/>
    <w:rsid w:val="008852E3"/>
    <w:rsid w:val="0088576D"/>
    <w:rsid w:val="00885E04"/>
    <w:rsid w:val="008876B1"/>
    <w:rsid w:val="00893AFC"/>
    <w:rsid w:val="00895372"/>
    <w:rsid w:val="00895FE3"/>
    <w:rsid w:val="008A09FB"/>
    <w:rsid w:val="008A4DAD"/>
    <w:rsid w:val="008A5047"/>
    <w:rsid w:val="008A5830"/>
    <w:rsid w:val="008A6254"/>
    <w:rsid w:val="008B01A1"/>
    <w:rsid w:val="008B1ECA"/>
    <w:rsid w:val="008B3839"/>
    <w:rsid w:val="008B44D2"/>
    <w:rsid w:val="008B5003"/>
    <w:rsid w:val="008B60A1"/>
    <w:rsid w:val="008B7EC1"/>
    <w:rsid w:val="008C0ECC"/>
    <w:rsid w:val="008C0F86"/>
    <w:rsid w:val="008C3BC6"/>
    <w:rsid w:val="008C5CBF"/>
    <w:rsid w:val="008C7EC9"/>
    <w:rsid w:val="008D1FB1"/>
    <w:rsid w:val="008D20BF"/>
    <w:rsid w:val="008D25F1"/>
    <w:rsid w:val="008D4707"/>
    <w:rsid w:val="008D4ED9"/>
    <w:rsid w:val="008D7609"/>
    <w:rsid w:val="008D764C"/>
    <w:rsid w:val="008D7F39"/>
    <w:rsid w:val="008E094C"/>
    <w:rsid w:val="008E2082"/>
    <w:rsid w:val="008E2791"/>
    <w:rsid w:val="008E2D59"/>
    <w:rsid w:val="008E4D2D"/>
    <w:rsid w:val="008E6ADE"/>
    <w:rsid w:val="008E79DD"/>
    <w:rsid w:val="008E7CDB"/>
    <w:rsid w:val="008F0BA0"/>
    <w:rsid w:val="008F3080"/>
    <w:rsid w:val="008F4736"/>
    <w:rsid w:val="008F50DB"/>
    <w:rsid w:val="008F5248"/>
    <w:rsid w:val="008F7022"/>
    <w:rsid w:val="008F72CA"/>
    <w:rsid w:val="008F7C7A"/>
    <w:rsid w:val="0090207B"/>
    <w:rsid w:val="00902D17"/>
    <w:rsid w:val="009048D5"/>
    <w:rsid w:val="0090501F"/>
    <w:rsid w:val="0091082C"/>
    <w:rsid w:val="009109DC"/>
    <w:rsid w:val="00911258"/>
    <w:rsid w:val="0091145C"/>
    <w:rsid w:val="009114A9"/>
    <w:rsid w:val="009135FD"/>
    <w:rsid w:val="0091784F"/>
    <w:rsid w:val="00920A8A"/>
    <w:rsid w:val="00921573"/>
    <w:rsid w:val="00922129"/>
    <w:rsid w:val="00922CF6"/>
    <w:rsid w:val="00924C94"/>
    <w:rsid w:val="00930F73"/>
    <w:rsid w:val="00931466"/>
    <w:rsid w:val="00932208"/>
    <w:rsid w:val="0093259B"/>
    <w:rsid w:val="00932D7D"/>
    <w:rsid w:val="00933AB6"/>
    <w:rsid w:val="00933C37"/>
    <w:rsid w:val="0094197D"/>
    <w:rsid w:val="009430EA"/>
    <w:rsid w:val="00944763"/>
    <w:rsid w:val="00946DEB"/>
    <w:rsid w:val="0095116A"/>
    <w:rsid w:val="00953DD0"/>
    <w:rsid w:val="0095426B"/>
    <w:rsid w:val="00955587"/>
    <w:rsid w:val="009559E9"/>
    <w:rsid w:val="009560DD"/>
    <w:rsid w:val="00960C0A"/>
    <w:rsid w:val="009640AD"/>
    <w:rsid w:val="00964476"/>
    <w:rsid w:val="00964673"/>
    <w:rsid w:val="00965B7D"/>
    <w:rsid w:val="00965E5B"/>
    <w:rsid w:val="009675C0"/>
    <w:rsid w:val="00970BF6"/>
    <w:rsid w:val="00970EC6"/>
    <w:rsid w:val="009718AD"/>
    <w:rsid w:val="009721A2"/>
    <w:rsid w:val="00972862"/>
    <w:rsid w:val="009736EA"/>
    <w:rsid w:val="009774E9"/>
    <w:rsid w:val="00977FD0"/>
    <w:rsid w:val="009807E6"/>
    <w:rsid w:val="00980CCF"/>
    <w:rsid w:val="009826A6"/>
    <w:rsid w:val="00985194"/>
    <w:rsid w:val="00990842"/>
    <w:rsid w:val="00990EC5"/>
    <w:rsid w:val="0099674F"/>
    <w:rsid w:val="009A001A"/>
    <w:rsid w:val="009A15F5"/>
    <w:rsid w:val="009A3C4F"/>
    <w:rsid w:val="009A7EA5"/>
    <w:rsid w:val="009B3A6E"/>
    <w:rsid w:val="009B3D9C"/>
    <w:rsid w:val="009B5E30"/>
    <w:rsid w:val="009B6087"/>
    <w:rsid w:val="009B7EB1"/>
    <w:rsid w:val="009C0730"/>
    <w:rsid w:val="009C191D"/>
    <w:rsid w:val="009C2EC6"/>
    <w:rsid w:val="009C2FC1"/>
    <w:rsid w:val="009D0141"/>
    <w:rsid w:val="009D2107"/>
    <w:rsid w:val="009D2E0B"/>
    <w:rsid w:val="009D3CA6"/>
    <w:rsid w:val="009D499F"/>
    <w:rsid w:val="009D6747"/>
    <w:rsid w:val="009D6BB4"/>
    <w:rsid w:val="009D7BCE"/>
    <w:rsid w:val="009E013D"/>
    <w:rsid w:val="009E2C1C"/>
    <w:rsid w:val="009E3549"/>
    <w:rsid w:val="009E5030"/>
    <w:rsid w:val="009E5C8F"/>
    <w:rsid w:val="009E6944"/>
    <w:rsid w:val="009E7D79"/>
    <w:rsid w:val="009F021D"/>
    <w:rsid w:val="009F02F1"/>
    <w:rsid w:val="009F089C"/>
    <w:rsid w:val="009F164D"/>
    <w:rsid w:val="009F6942"/>
    <w:rsid w:val="009F7E8A"/>
    <w:rsid w:val="00A01ABB"/>
    <w:rsid w:val="00A05557"/>
    <w:rsid w:val="00A06F1E"/>
    <w:rsid w:val="00A10C50"/>
    <w:rsid w:val="00A11F4A"/>
    <w:rsid w:val="00A1413B"/>
    <w:rsid w:val="00A17121"/>
    <w:rsid w:val="00A20189"/>
    <w:rsid w:val="00A20CB4"/>
    <w:rsid w:val="00A23BBF"/>
    <w:rsid w:val="00A2650D"/>
    <w:rsid w:val="00A26890"/>
    <w:rsid w:val="00A30946"/>
    <w:rsid w:val="00A3373D"/>
    <w:rsid w:val="00A352EC"/>
    <w:rsid w:val="00A35CD0"/>
    <w:rsid w:val="00A37577"/>
    <w:rsid w:val="00A41924"/>
    <w:rsid w:val="00A434B5"/>
    <w:rsid w:val="00A43681"/>
    <w:rsid w:val="00A461C8"/>
    <w:rsid w:val="00A4755C"/>
    <w:rsid w:val="00A5037B"/>
    <w:rsid w:val="00A52878"/>
    <w:rsid w:val="00A55A07"/>
    <w:rsid w:val="00A561E1"/>
    <w:rsid w:val="00A5689B"/>
    <w:rsid w:val="00A57AE6"/>
    <w:rsid w:val="00A60FBD"/>
    <w:rsid w:val="00A626A4"/>
    <w:rsid w:val="00A64A46"/>
    <w:rsid w:val="00A666F0"/>
    <w:rsid w:val="00A67EAF"/>
    <w:rsid w:val="00A74CA1"/>
    <w:rsid w:val="00A765C0"/>
    <w:rsid w:val="00A76A24"/>
    <w:rsid w:val="00A776B2"/>
    <w:rsid w:val="00A809D1"/>
    <w:rsid w:val="00A80A5C"/>
    <w:rsid w:val="00A81B0E"/>
    <w:rsid w:val="00A82AD4"/>
    <w:rsid w:val="00A861EE"/>
    <w:rsid w:val="00A87EDC"/>
    <w:rsid w:val="00A90865"/>
    <w:rsid w:val="00A9092B"/>
    <w:rsid w:val="00A9145D"/>
    <w:rsid w:val="00A93F31"/>
    <w:rsid w:val="00A93FC3"/>
    <w:rsid w:val="00A94B00"/>
    <w:rsid w:val="00A94D2F"/>
    <w:rsid w:val="00A94DBC"/>
    <w:rsid w:val="00A95510"/>
    <w:rsid w:val="00A96D21"/>
    <w:rsid w:val="00A97130"/>
    <w:rsid w:val="00AA04BE"/>
    <w:rsid w:val="00AA1190"/>
    <w:rsid w:val="00AA280A"/>
    <w:rsid w:val="00AA4098"/>
    <w:rsid w:val="00AA4D29"/>
    <w:rsid w:val="00AA764E"/>
    <w:rsid w:val="00AB3950"/>
    <w:rsid w:val="00AB459A"/>
    <w:rsid w:val="00AB5044"/>
    <w:rsid w:val="00AB5416"/>
    <w:rsid w:val="00AB5A33"/>
    <w:rsid w:val="00AB7FA8"/>
    <w:rsid w:val="00AC0BE8"/>
    <w:rsid w:val="00AC57A0"/>
    <w:rsid w:val="00AC5F48"/>
    <w:rsid w:val="00AC6822"/>
    <w:rsid w:val="00AC72B3"/>
    <w:rsid w:val="00AC734E"/>
    <w:rsid w:val="00AD09E3"/>
    <w:rsid w:val="00AD1D57"/>
    <w:rsid w:val="00AD236C"/>
    <w:rsid w:val="00AD2BEC"/>
    <w:rsid w:val="00AD4C60"/>
    <w:rsid w:val="00AD5191"/>
    <w:rsid w:val="00AD5A0D"/>
    <w:rsid w:val="00AE29CB"/>
    <w:rsid w:val="00AE38A3"/>
    <w:rsid w:val="00AE391E"/>
    <w:rsid w:val="00AE5B50"/>
    <w:rsid w:val="00AE7126"/>
    <w:rsid w:val="00AE7184"/>
    <w:rsid w:val="00AF1C74"/>
    <w:rsid w:val="00AF1FF6"/>
    <w:rsid w:val="00AF21C9"/>
    <w:rsid w:val="00AF33A5"/>
    <w:rsid w:val="00AF3EA4"/>
    <w:rsid w:val="00B02249"/>
    <w:rsid w:val="00B03079"/>
    <w:rsid w:val="00B04231"/>
    <w:rsid w:val="00B0454E"/>
    <w:rsid w:val="00B04DDC"/>
    <w:rsid w:val="00B105D3"/>
    <w:rsid w:val="00B12E96"/>
    <w:rsid w:val="00B13A19"/>
    <w:rsid w:val="00B13C33"/>
    <w:rsid w:val="00B13F8C"/>
    <w:rsid w:val="00B14034"/>
    <w:rsid w:val="00B1438E"/>
    <w:rsid w:val="00B149B4"/>
    <w:rsid w:val="00B16098"/>
    <w:rsid w:val="00B16F4B"/>
    <w:rsid w:val="00B20433"/>
    <w:rsid w:val="00B208C9"/>
    <w:rsid w:val="00B20EB0"/>
    <w:rsid w:val="00B21AB6"/>
    <w:rsid w:val="00B21B97"/>
    <w:rsid w:val="00B21C8D"/>
    <w:rsid w:val="00B233C0"/>
    <w:rsid w:val="00B237C1"/>
    <w:rsid w:val="00B23B66"/>
    <w:rsid w:val="00B258F5"/>
    <w:rsid w:val="00B25A93"/>
    <w:rsid w:val="00B2645C"/>
    <w:rsid w:val="00B270E0"/>
    <w:rsid w:val="00B309BF"/>
    <w:rsid w:val="00B30AF4"/>
    <w:rsid w:val="00B30C55"/>
    <w:rsid w:val="00B30F9B"/>
    <w:rsid w:val="00B344BB"/>
    <w:rsid w:val="00B35849"/>
    <w:rsid w:val="00B36E86"/>
    <w:rsid w:val="00B40CB9"/>
    <w:rsid w:val="00B40F74"/>
    <w:rsid w:val="00B41339"/>
    <w:rsid w:val="00B4260E"/>
    <w:rsid w:val="00B42EE5"/>
    <w:rsid w:val="00B45A91"/>
    <w:rsid w:val="00B47AB4"/>
    <w:rsid w:val="00B506ED"/>
    <w:rsid w:val="00B51A13"/>
    <w:rsid w:val="00B55465"/>
    <w:rsid w:val="00B55A11"/>
    <w:rsid w:val="00B55C3F"/>
    <w:rsid w:val="00B5737F"/>
    <w:rsid w:val="00B60091"/>
    <w:rsid w:val="00B602F2"/>
    <w:rsid w:val="00B61287"/>
    <w:rsid w:val="00B61A2D"/>
    <w:rsid w:val="00B623BF"/>
    <w:rsid w:val="00B63EFC"/>
    <w:rsid w:val="00B65B7E"/>
    <w:rsid w:val="00B672BA"/>
    <w:rsid w:val="00B70B79"/>
    <w:rsid w:val="00B70D8F"/>
    <w:rsid w:val="00B7242C"/>
    <w:rsid w:val="00B757EC"/>
    <w:rsid w:val="00B76A79"/>
    <w:rsid w:val="00B85677"/>
    <w:rsid w:val="00B87412"/>
    <w:rsid w:val="00B87F6F"/>
    <w:rsid w:val="00B90134"/>
    <w:rsid w:val="00B910D9"/>
    <w:rsid w:val="00B921C3"/>
    <w:rsid w:val="00B92C4E"/>
    <w:rsid w:val="00B92F9D"/>
    <w:rsid w:val="00B9414C"/>
    <w:rsid w:val="00B966B5"/>
    <w:rsid w:val="00B97FFE"/>
    <w:rsid w:val="00BA007B"/>
    <w:rsid w:val="00BA1DAC"/>
    <w:rsid w:val="00BA2189"/>
    <w:rsid w:val="00BA39A2"/>
    <w:rsid w:val="00BA5176"/>
    <w:rsid w:val="00BA57E0"/>
    <w:rsid w:val="00BA6C7F"/>
    <w:rsid w:val="00BA6D5E"/>
    <w:rsid w:val="00BA7398"/>
    <w:rsid w:val="00BA76A8"/>
    <w:rsid w:val="00BA7FEB"/>
    <w:rsid w:val="00BB0090"/>
    <w:rsid w:val="00BB2BC5"/>
    <w:rsid w:val="00BB2FD7"/>
    <w:rsid w:val="00BB51F1"/>
    <w:rsid w:val="00BB6CD0"/>
    <w:rsid w:val="00BC0FF7"/>
    <w:rsid w:val="00BC1C59"/>
    <w:rsid w:val="00BC2F2D"/>
    <w:rsid w:val="00BC3D02"/>
    <w:rsid w:val="00BD2DD0"/>
    <w:rsid w:val="00BD34A5"/>
    <w:rsid w:val="00BD4962"/>
    <w:rsid w:val="00BD66C1"/>
    <w:rsid w:val="00BD6E09"/>
    <w:rsid w:val="00BE031B"/>
    <w:rsid w:val="00BE2B16"/>
    <w:rsid w:val="00BE40DB"/>
    <w:rsid w:val="00BE6CDD"/>
    <w:rsid w:val="00BF4D33"/>
    <w:rsid w:val="00BF612C"/>
    <w:rsid w:val="00C00769"/>
    <w:rsid w:val="00C03FDE"/>
    <w:rsid w:val="00C0726D"/>
    <w:rsid w:val="00C07319"/>
    <w:rsid w:val="00C1081E"/>
    <w:rsid w:val="00C10978"/>
    <w:rsid w:val="00C11AD7"/>
    <w:rsid w:val="00C11FAF"/>
    <w:rsid w:val="00C12C85"/>
    <w:rsid w:val="00C141DE"/>
    <w:rsid w:val="00C17200"/>
    <w:rsid w:val="00C17F63"/>
    <w:rsid w:val="00C20477"/>
    <w:rsid w:val="00C230BD"/>
    <w:rsid w:val="00C23AFE"/>
    <w:rsid w:val="00C267C6"/>
    <w:rsid w:val="00C268B5"/>
    <w:rsid w:val="00C27743"/>
    <w:rsid w:val="00C30068"/>
    <w:rsid w:val="00C316AD"/>
    <w:rsid w:val="00C32FC9"/>
    <w:rsid w:val="00C330EA"/>
    <w:rsid w:val="00C33295"/>
    <w:rsid w:val="00C33B9F"/>
    <w:rsid w:val="00C40513"/>
    <w:rsid w:val="00C406AF"/>
    <w:rsid w:val="00C410FC"/>
    <w:rsid w:val="00C41F73"/>
    <w:rsid w:val="00C45F4F"/>
    <w:rsid w:val="00C46616"/>
    <w:rsid w:val="00C46968"/>
    <w:rsid w:val="00C47213"/>
    <w:rsid w:val="00C5047C"/>
    <w:rsid w:val="00C513EA"/>
    <w:rsid w:val="00C51996"/>
    <w:rsid w:val="00C52FAA"/>
    <w:rsid w:val="00C54271"/>
    <w:rsid w:val="00C54A7D"/>
    <w:rsid w:val="00C57ADF"/>
    <w:rsid w:val="00C6038F"/>
    <w:rsid w:val="00C60E8D"/>
    <w:rsid w:val="00C61633"/>
    <w:rsid w:val="00C6163C"/>
    <w:rsid w:val="00C6183E"/>
    <w:rsid w:val="00C62FF9"/>
    <w:rsid w:val="00C64C07"/>
    <w:rsid w:val="00C65FA2"/>
    <w:rsid w:val="00C6761A"/>
    <w:rsid w:val="00C71040"/>
    <w:rsid w:val="00C715F8"/>
    <w:rsid w:val="00C73A48"/>
    <w:rsid w:val="00C73B79"/>
    <w:rsid w:val="00C75FF1"/>
    <w:rsid w:val="00C76C49"/>
    <w:rsid w:val="00C778FC"/>
    <w:rsid w:val="00C77DA3"/>
    <w:rsid w:val="00C82D46"/>
    <w:rsid w:val="00C83719"/>
    <w:rsid w:val="00C83896"/>
    <w:rsid w:val="00C84308"/>
    <w:rsid w:val="00C843ED"/>
    <w:rsid w:val="00C86133"/>
    <w:rsid w:val="00C86B07"/>
    <w:rsid w:val="00C87B5D"/>
    <w:rsid w:val="00C95C97"/>
    <w:rsid w:val="00C9682B"/>
    <w:rsid w:val="00C970A6"/>
    <w:rsid w:val="00C97E86"/>
    <w:rsid w:val="00CA0B2D"/>
    <w:rsid w:val="00CA1366"/>
    <w:rsid w:val="00CA51C6"/>
    <w:rsid w:val="00CA57A2"/>
    <w:rsid w:val="00CA5960"/>
    <w:rsid w:val="00CA5C6B"/>
    <w:rsid w:val="00CB0068"/>
    <w:rsid w:val="00CB0513"/>
    <w:rsid w:val="00CB260A"/>
    <w:rsid w:val="00CB503E"/>
    <w:rsid w:val="00CB5475"/>
    <w:rsid w:val="00CB760B"/>
    <w:rsid w:val="00CB7DD0"/>
    <w:rsid w:val="00CC0ECC"/>
    <w:rsid w:val="00CC300B"/>
    <w:rsid w:val="00CC3F78"/>
    <w:rsid w:val="00CC5FFA"/>
    <w:rsid w:val="00CD5696"/>
    <w:rsid w:val="00CD5B4A"/>
    <w:rsid w:val="00CD6D4C"/>
    <w:rsid w:val="00CD7039"/>
    <w:rsid w:val="00CD7A95"/>
    <w:rsid w:val="00CE1591"/>
    <w:rsid w:val="00CE1662"/>
    <w:rsid w:val="00CE201C"/>
    <w:rsid w:val="00CE232C"/>
    <w:rsid w:val="00CE249C"/>
    <w:rsid w:val="00CE257B"/>
    <w:rsid w:val="00CF2406"/>
    <w:rsid w:val="00CF39BC"/>
    <w:rsid w:val="00CF451F"/>
    <w:rsid w:val="00CF4660"/>
    <w:rsid w:val="00CF5EF6"/>
    <w:rsid w:val="00CF61F8"/>
    <w:rsid w:val="00CF644A"/>
    <w:rsid w:val="00CF77E8"/>
    <w:rsid w:val="00D0019D"/>
    <w:rsid w:val="00D00530"/>
    <w:rsid w:val="00D01C56"/>
    <w:rsid w:val="00D020D4"/>
    <w:rsid w:val="00D02299"/>
    <w:rsid w:val="00D02C2F"/>
    <w:rsid w:val="00D03651"/>
    <w:rsid w:val="00D03D8A"/>
    <w:rsid w:val="00D03D95"/>
    <w:rsid w:val="00D07FDB"/>
    <w:rsid w:val="00D10D8A"/>
    <w:rsid w:val="00D11E75"/>
    <w:rsid w:val="00D128B4"/>
    <w:rsid w:val="00D13BA9"/>
    <w:rsid w:val="00D13E63"/>
    <w:rsid w:val="00D15194"/>
    <w:rsid w:val="00D1657B"/>
    <w:rsid w:val="00D174E9"/>
    <w:rsid w:val="00D17EE8"/>
    <w:rsid w:val="00D209B2"/>
    <w:rsid w:val="00D211D0"/>
    <w:rsid w:val="00D23D9A"/>
    <w:rsid w:val="00D2422E"/>
    <w:rsid w:val="00D2545E"/>
    <w:rsid w:val="00D323CC"/>
    <w:rsid w:val="00D3378D"/>
    <w:rsid w:val="00D35C86"/>
    <w:rsid w:val="00D35CC3"/>
    <w:rsid w:val="00D36E24"/>
    <w:rsid w:val="00D40304"/>
    <w:rsid w:val="00D41410"/>
    <w:rsid w:val="00D42795"/>
    <w:rsid w:val="00D42A60"/>
    <w:rsid w:val="00D45466"/>
    <w:rsid w:val="00D4562C"/>
    <w:rsid w:val="00D466F8"/>
    <w:rsid w:val="00D479C9"/>
    <w:rsid w:val="00D50B0C"/>
    <w:rsid w:val="00D536A3"/>
    <w:rsid w:val="00D53ACF"/>
    <w:rsid w:val="00D54F47"/>
    <w:rsid w:val="00D55B82"/>
    <w:rsid w:val="00D57AF9"/>
    <w:rsid w:val="00D60AD6"/>
    <w:rsid w:val="00D61829"/>
    <w:rsid w:val="00D61901"/>
    <w:rsid w:val="00D6353B"/>
    <w:rsid w:val="00D65554"/>
    <w:rsid w:val="00D67196"/>
    <w:rsid w:val="00D72DF4"/>
    <w:rsid w:val="00D732C1"/>
    <w:rsid w:val="00D73CAD"/>
    <w:rsid w:val="00D73D7A"/>
    <w:rsid w:val="00D741EB"/>
    <w:rsid w:val="00D8287A"/>
    <w:rsid w:val="00D83471"/>
    <w:rsid w:val="00D840B0"/>
    <w:rsid w:val="00D8460D"/>
    <w:rsid w:val="00D84AAA"/>
    <w:rsid w:val="00D854E7"/>
    <w:rsid w:val="00D86856"/>
    <w:rsid w:val="00D87B4C"/>
    <w:rsid w:val="00D93355"/>
    <w:rsid w:val="00D95A57"/>
    <w:rsid w:val="00D967CC"/>
    <w:rsid w:val="00DA1410"/>
    <w:rsid w:val="00DA16C5"/>
    <w:rsid w:val="00DA215B"/>
    <w:rsid w:val="00DA21AB"/>
    <w:rsid w:val="00DA3595"/>
    <w:rsid w:val="00DA64CF"/>
    <w:rsid w:val="00DA668A"/>
    <w:rsid w:val="00DB11D6"/>
    <w:rsid w:val="00DB1F73"/>
    <w:rsid w:val="00DB3AC3"/>
    <w:rsid w:val="00DB445A"/>
    <w:rsid w:val="00DB5C7D"/>
    <w:rsid w:val="00DB75B2"/>
    <w:rsid w:val="00DC022F"/>
    <w:rsid w:val="00DC2787"/>
    <w:rsid w:val="00DC28CE"/>
    <w:rsid w:val="00DC4668"/>
    <w:rsid w:val="00DC512C"/>
    <w:rsid w:val="00DC57B9"/>
    <w:rsid w:val="00DC584D"/>
    <w:rsid w:val="00DC6114"/>
    <w:rsid w:val="00DC65BD"/>
    <w:rsid w:val="00DC7665"/>
    <w:rsid w:val="00DD11A0"/>
    <w:rsid w:val="00DD14D9"/>
    <w:rsid w:val="00DD1E7C"/>
    <w:rsid w:val="00DD3100"/>
    <w:rsid w:val="00DD64F1"/>
    <w:rsid w:val="00DD6F71"/>
    <w:rsid w:val="00DE0592"/>
    <w:rsid w:val="00DE0BCA"/>
    <w:rsid w:val="00DE13B8"/>
    <w:rsid w:val="00DE194F"/>
    <w:rsid w:val="00DE1AA1"/>
    <w:rsid w:val="00DE4374"/>
    <w:rsid w:val="00DE510F"/>
    <w:rsid w:val="00DE51E3"/>
    <w:rsid w:val="00DE60B0"/>
    <w:rsid w:val="00DE661E"/>
    <w:rsid w:val="00DF0B3C"/>
    <w:rsid w:val="00DF3C1B"/>
    <w:rsid w:val="00DF4A34"/>
    <w:rsid w:val="00DF542D"/>
    <w:rsid w:val="00DF6E54"/>
    <w:rsid w:val="00DF70F1"/>
    <w:rsid w:val="00DF763E"/>
    <w:rsid w:val="00DF7863"/>
    <w:rsid w:val="00DF7B2E"/>
    <w:rsid w:val="00E000A4"/>
    <w:rsid w:val="00E019B6"/>
    <w:rsid w:val="00E038D4"/>
    <w:rsid w:val="00E03B2A"/>
    <w:rsid w:val="00E048D3"/>
    <w:rsid w:val="00E0707A"/>
    <w:rsid w:val="00E1611E"/>
    <w:rsid w:val="00E1615B"/>
    <w:rsid w:val="00E20398"/>
    <w:rsid w:val="00E2072D"/>
    <w:rsid w:val="00E2382D"/>
    <w:rsid w:val="00E23D2C"/>
    <w:rsid w:val="00E23EE9"/>
    <w:rsid w:val="00E246AF"/>
    <w:rsid w:val="00E24F8A"/>
    <w:rsid w:val="00E27282"/>
    <w:rsid w:val="00E32DFE"/>
    <w:rsid w:val="00E36140"/>
    <w:rsid w:val="00E36E05"/>
    <w:rsid w:val="00E37CA3"/>
    <w:rsid w:val="00E37FEA"/>
    <w:rsid w:val="00E40358"/>
    <w:rsid w:val="00E40492"/>
    <w:rsid w:val="00E40ACB"/>
    <w:rsid w:val="00E410C5"/>
    <w:rsid w:val="00E43B6B"/>
    <w:rsid w:val="00E43DB0"/>
    <w:rsid w:val="00E44329"/>
    <w:rsid w:val="00E45CCE"/>
    <w:rsid w:val="00E52013"/>
    <w:rsid w:val="00E52217"/>
    <w:rsid w:val="00E53154"/>
    <w:rsid w:val="00E5315C"/>
    <w:rsid w:val="00E553DE"/>
    <w:rsid w:val="00E56559"/>
    <w:rsid w:val="00E56AEF"/>
    <w:rsid w:val="00E56D95"/>
    <w:rsid w:val="00E57C99"/>
    <w:rsid w:val="00E61760"/>
    <w:rsid w:val="00E61806"/>
    <w:rsid w:val="00E623AE"/>
    <w:rsid w:val="00E63643"/>
    <w:rsid w:val="00E6448C"/>
    <w:rsid w:val="00E64C64"/>
    <w:rsid w:val="00E66823"/>
    <w:rsid w:val="00E66960"/>
    <w:rsid w:val="00E66D68"/>
    <w:rsid w:val="00E67A85"/>
    <w:rsid w:val="00E711B4"/>
    <w:rsid w:val="00E720D4"/>
    <w:rsid w:val="00E72203"/>
    <w:rsid w:val="00E7256C"/>
    <w:rsid w:val="00E73D74"/>
    <w:rsid w:val="00E74DB6"/>
    <w:rsid w:val="00E74DC4"/>
    <w:rsid w:val="00E74EB2"/>
    <w:rsid w:val="00E75550"/>
    <w:rsid w:val="00E762BB"/>
    <w:rsid w:val="00E777BD"/>
    <w:rsid w:val="00E82135"/>
    <w:rsid w:val="00E82BA2"/>
    <w:rsid w:val="00E90FFC"/>
    <w:rsid w:val="00E947FB"/>
    <w:rsid w:val="00E9550F"/>
    <w:rsid w:val="00EA3586"/>
    <w:rsid w:val="00EA40EB"/>
    <w:rsid w:val="00EA4A87"/>
    <w:rsid w:val="00EA5DEF"/>
    <w:rsid w:val="00EA716C"/>
    <w:rsid w:val="00EB074E"/>
    <w:rsid w:val="00EB1924"/>
    <w:rsid w:val="00EB3B36"/>
    <w:rsid w:val="00EB4D3A"/>
    <w:rsid w:val="00EB5359"/>
    <w:rsid w:val="00EB6D7A"/>
    <w:rsid w:val="00EB7051"/>
    <w:rsid w:val="00EB7A3E"/>
    <w:rsid w:val="00EC618E"/>
    <w:rsid w:val="00EC781B"/>
    <w:rsid w:val="00EC7A49"/>
    <w:rsid w:val="00ED1A3C"/>
    <w:rsid w:val="00ED31E6"/>
    <w:rsid w:val="00ED3CC6"/>
    <w:rsid w:val="00ED7840"/>
    <w:rsid w:val="00ED7A91"/>
    <w:rsid w:val="00EE14A1"/>
    <w:rsid w:val="00EE1AE0"/>
    <w:rsid w:val="00EE2788"/>
    <w:rsid w:val="00EE360F"/>
    <w:rsid w:val="00EE3A88"/>
    <w:rsid w:val="00EE3BC1"/>
    <w:rsid w:val="00EE3BEB"/>
    <w:rsid w:val="00EE4408"/>
    <w:rsid w:val="00EE50FC"/>
    <w:rsid w:val="00EE68FA"/>
    <w:rsid w:val="00EE7391"/>
    <w:rsid w:val="00EE7CF3"/>
    <w:rsid w:val="00EE7FBE"/>
    <w:rsid w:val="00EF1C5F"/>
    <w:rsid w:val="00EF1EE1"/>
    <w:rsid w:val="00EF2C94"/>
    <w:rsid w:val="00EF4784"/>
    <w:rsid w:val="00EF5148"/>
    <w:rsid w:val="00EF619D"/>
    <w:rsid w:val="00EF6EB0"/>
    <w:rsid w:val="00EF7052"/>
    <w:rsid w:val="00EF727C"/>
    <w:rsid w:val="00EF7CDA"/>
    <w:rsid w:val="00F03835"/>
    <w:rsid w:val="00F041B3"/>
    <w:rsid w:val="00F04230"/>
    <w:rsid w:val="00F04555"/>
    <w:rsid w:val="00F04E38"/>
    <w:rsid w:val="00F06074"/>
    <w:rsid w:val="00F0683C"/>
    <w:rsid w:val="00F06E89"/>
    <w:rsid w:val="00F07133"/>
    <w:rsid w:val="00F076F3"/>
    <w:rsid w:val="00F07CDB"/>
    <w:rsid w:val="00F112D0"/>
    <w:rsid w:val="00F132D4"/>
    <w:rsid w:val="00F146A2"/>
    <w:rsid w:val="00F15D69"/>
    <w:rsid w:val="00F165B1"/>
    <w:rsid w:val="00F17CFB"/>
    <w:rsid w:val="00F20D9D"/>
    <w:rsid w:val="00F2272B"/>
    <w:rsid w:val="00F2450A"/>
    <w:rsid w:val="00F25AA3"/>
    <w:rsid w:val="00F25C5E"/>
    <w:rsid w:val="00F2602A"/>
    <w:rsid w:val="00F303CB"/>
    <w:rsid w:val="00F3136E"/>
    <w:rsid w:val="00F326A3"/>
    <w:rsid w:val="00F34805"/>
    <w:rsid w:val="00F34A1F"/>
    <w:rsid w:val="00F35363"/>
    <w:rsid w:val="00F36D1E"/>
    <w:rsid w:val="00F36F6F"/>
    <w:rsid w:val="00F40A2F"/>
    <w:rsid w:val="00F40CBC"/>
    <w:rsid w:val="00F40D83"/>
    <w:rsid w:val="00F40D99"/>
    <w:rsid w:val="00F40FE3"/>
    <w:rsid w:val="00F41C67"/>
    <w:rsid w:val="00F42109"/>
    <w:rsid w:val="00F439F3"/>
    <w:rsid w:val="00F43FFC"/>
    <w:rsid w:val="00F52DEE"/>
    <w:rsid w:val="00F52FED"/>
    <w:rsid w:val="00F57E95"/>
    <w:rsid w:val="00F601B9"/>
    <w:rsid w:val="00F60687"/>
    <w:rsid w:val="00F61114"/>
    <w:rsid w:val="00F61433"/>
    <w:rsid w:val="00F62180"/>
    <w:rsid w:val="00F62940"/>
    <w:rsid w:val="00F6441B"/>
    <w:rsid w:val="00F64897"/>
    <w:rsid w:val="00F67DC7"/>
    <w:rsid w:val="00F720AD"/>
    <w:rsid w:val="00F72162"/>
    <w:rsid w:val="00F75B9A"/>
    <w:rsid w:val="00F81BCC"/>
    <w:rsid w:val="00F821D2"/>
    <w:rsid w:val="00F82F07"/>
    <w:rsid w:val="00F84636"/>
    <w:rsid w:val="00F84A87"/>
    <w:rsid w:val="00F84D9D"/>
    <w:rsid w:val="00F85030"/>
    <w:rsid w:val="00F85803"/>
    <w:rsid w:val="00F86FFC"/>
    <w:rsid w:val="00F87986"/>
    <w:rsid w:val="00F9246B"/>
    <w:rsid w:val="00F92FE6"/>
    <w:rsid w:val="00F931A1"/>
    <w:rsid w:val="00F94C6A"/>
    <w:rsid w:val="00F94D8D"/>
    <w:rsid w:val="00F9580A"/>
    <w:rsid w:val="00F96679"/>
    <w:rsid w:val="00F96A3E"/>
    <w:rsid w:val="00FA1330"/>
    <w:rsid w:val="00FA2149"/>
    <w:rsid w:val="00FA2E31"/>
    <w:rsid w:val="00FB1847"/>
    <w:rsid w:val="00FB3C15"/>
    <w:rsid w:val="00FB4579"/>
    <w:rsid w:val="00FB4D4C"/>
    <w:rsid w:val="00FB6D0D"/>
    <w:rsid w:val="00FC3267"/>
    <w:rsid w:val="00FC3761"/>
    <w:rsid w:val="00FC4308"/>
    <w:rsid w:val="00FC4586"/>
    <w:rsid w:val="00FC51A4"/>
    <w:rsid w:val="00FC59CF"/>
    <w:rsid w:val="00FD17E0"/>
    <w:rsid w:val="00FD1D61"/>
    <w:rsid w:val="00FD25FF"/>
    <w:rsid w:val="00FD3884"/>
    <w:rsid w:val="00FD6117"/>
    <w:rsid w:val="00FE3711"/>
    <w:rsid w:val="00FE4FB6"/>
    <w:rsid w:val="00FE6566"/>
    <w:rsid w:val="00FE7A75"/>
    <w:rsid w:val="00FF03C3"/>
    <w:rsid w:val="00FF070D"/>
    <w:rsid w:val="00FF1BBB"/>
    <w:rsid w:val="00FF1EFF"/>
    <w:rsid w:val="00FF21DE"/>
    <w:rsid w:val="00FF41FA"/>
    <w:rsid w:val="00FF7F9C"/>
    <w:rsid w:val="053E7763"/>
    <w:rsid w:val="076E4CEA"/>
    <w:rsid w:val="09F83035"/>
    <w:rsid w:val="0A3C1F60"/>
    <w:rsid w:val="0CFF11AA"/>
    <w:rsid w:val="0E6A2853"/>
    <w:rsid w:val="0E89444D"/>
    <w:rsid w:val="0F8B5C8B"/>
    <w:rsid w:val="10F21446"/>
    <w:rsid w:val="14101AD4"/>
    <w:rsid w:val="156A1A33"/>
    <w:rsid w:val="185210AA"/>
    <w:rsid w:val="1AA47F3E"/>
    <w:rsid w:val="1AB13592"/>
    <w:rsid w:val="1AE03725"/>
    <w:rsid w:val="1B29533C"/>
    <w:rsid w:val="1BCE16F3"/>
    <w:rsid w:val="205E247A"/>
    <w:rsid w:val="21185827"/>
    <w:rsid w:val="23F01E95"/>
    <w:rsid w:val="248D34D9"/>
    <w:rsid w:val="25354619"/>
    <w:rsid w:val="25DF0C1E"/>
    <w:rsid w:val="2B0D5177"/>
    <w:rsid w:val="2E7313E9"/>
    <w:rsid w:val="2FE54A16"/>
    <w:rsid w:val="30DD5B96"/>
    <w:rsid w:val="30E86BA7"/>
    <w:rsid w:val="30F15085"/>
    <w:rsid w:val="31545AFE"/>
    <w:rsid w:val="34AF304A"/>
    <w:rsid w:val="34F67AB1"/>
    <w:rsid w:val="34F75BEC"/>
    <w:rsid w:val="361D04AE"/>
    <w:rsid w:val="37576431"/>
    <w:rsid w:val="395C1445"/>
    <w:rsid w:val="396233BD"/>
    <w:rsid w:val="3A213A45"/>
    <w:rsid w:val="3E564924"/>
    <w:rsid w:val="3E7808B5"/>
    <w:rsid w:val="4113458B"/>
    <w:rsid w:val="422E2806"/>
    <w:rsid w:val="4400106E"/>
    <w:rsid w:val="453E6285"/>
    <w:rsid w:val="45965494"/>
    <w:rsid w:val="45D83EE8"/>
    <w:rsid w:val="4960662B"/>
    <w:rsid w:val="497346FA"/>
    <w:rsid w:val="4C0E5D4C"/>
    <w:rsid w:val="4D7F7627"/>
    <w:rsid w:val="4F1A4CC7"/>
    <w:rsid w:val="50B43DCB"/>
    <w:rsid w:val="51E52771"/>
    <w:rsid w:val="52645CF5"/>
    <w:rsid w:val="52F207C5"/>
    <w:rsid w:val="532D0EE5"/>
    <w:rsid w:val="542D7CC7"/>
    <w:rsid w:val="54933FCC"/>
    <w:rsid w:val="57FE6C35"/>
    <w:rsid w:val="58427594"/>
    <w:rsid w:val="59A0327E"/>
    <w:rsid w:val="5A3E3CA4"/>
    <w:rsid w:val="5B236AF1"/>
    <w:rsid w:val="5BF05C0F"/>
    <w:rsid w:val="5D154619"/>
    <w:rsid w:val="5D16209B"/>
    <w:rsid w:val="5D883034"/>
    <w:rsid w:val="5ED529B5"/>
    <w:rsid w:val="5EFF15E9"/>
    <w:rsid w:val="60215516"/>
    <w:rsid w:val="606603E8"/>
    <w:rsid w:val="62DA031C"/>
    <w:rsid w:val="638B680D"/>
    <w:rsid w:val="63C62756"/>
    <w:rsid w:val="651653B7"/>
    <w:rsid w:val="65D0765F"/>
    <w:rsid w:val="6A3D529A"/>
    <w:rsid w:val="6D53582E"/>
    <w:rsid w:val="6ED548E4"/>
    <w:rsid w:val="6F8F33C3"/>
    <w:rsid w:val="6FE37500"/>
    <w:rsid w:val="7009584B"/>
    <w:rsid w:val="70291211"/>
    <w:rsid w:val="70781505"/>
    <w:rsid w:val="76EF14F2"/>
    <w:rsid w:val="787B2A89"/>
    <w:rsid w:val="7BE2503C"/>
    <w:rsid w:val="7E687C06"/>
    <w:rsid w:val="7F434B24"/>
    <w:rsid w:val="7FFA1C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8"/>
      <w:szCs w:val="28"/>
      <w:lang w:val="en-US" w:eastAsia="zh-CN" w:bidi="ar-SA"/>
    </w:rPr>
  </w:style>
  <w:style w:type="paragraph" w:styleId="2">
    <w:name w:val="heading 1"/>
    <w:basedOn w:val="1"/>
    <w:next w:val="1"/>
    <w:link w:val="70"/>
    <w:qFormat/>
    <w:uiPriority w:val="0"/>
    <w:pPr>
      <w:keepNext/>
      <w:spacing w:line="360" w:lineRule="auto"/>
      <w:jc w:val="center"/>
      <w:outlineLvl w:val="0"/>
    </w:pPr>
    <w:rPr>
      <w:rFonts w:eastAsia="仿宋_GB2312"/>
      <w:b/>
      <w:sz w:val="36"/>
    </w:rPr>
  </w:style>
  <w:style w:type="paragraph" w:styleId="3">
    <w:name w:val="heading 2"/>
    <w:basedOn w:val="1"/>
    <w:next w:val="1"/>
    <w:link w:val="71"/>
    <w:unhideWhenUsed/>
    <w:qFormat/>
    <w:uiPriority w:val="0"/>
    <w:pPr>
      <w:keepNext/>
      <w:keepLines/>
      <w:spacing w:before="120" w:beforeLines="0" w:beforeAutospacing="0" w:after="120" w:afterLines="0" w:afterAutospacing="0" w:line="240" w:lineRule="auto"/>
      <w:ind w:leftChars="200"/>
      <w:outlineLvl w:val="1"/>
    </w:pPr>
    <w:rPr>
      <w:rFonts w:ascii="Arial" w:hAnsi="Arial" w:eastAsia="仿宋_GB2312"/>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22">
    <w:name w:val="Default Paragraph Font"/>
    <w:semiHidden/>
    <w:uiPriority w:val="0"/>
  </w:style>
  <w:style w:type="table" w:default="1" w:styleId="20">
    <w:name w:val="Normal Table"/>
    <w:semiHidden/>
    <w:uiPriority w:val="0"/>
    <w:tblPr>
      <w:tblStyle w:val="20"/>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Body Text 3"/>
    <w:basedOn w:val="1"/>
    <w:uiPriority w:val="0"/>
    <w:pPr>
      <w:ind w:right="69" w:rightChars="33"/>
    </w:pPr>
    <w:rPr>
      <w:rFonts w:ascii="仿宋_GB2312" w:eastAsia="仿宋_GB2312"/>
      <w:bCs/>
      <w:sz w:val="28"/>
    </w:rPr>
  </w:style>
  <w:style w:type="paragraph" w:styleId="7">
    <w:name w:val="Body Text"/>
    <w:basedOn w:val="1"/>
    <w:uiPriority w:val="0"/>
    <w:rPr>
      <w:bCs/>
      <w:color w:val="0000FF"/>
      <w:sz w:val="28"/>
    </w:rPr>
  </w:style>
  <w:style w:type="paragraph" w:styleId="8">
    <w:name w:val="Body Text Indent"/>
    <w:basedOn w:val="1"/>
    <w:uiPriority w:val="0"/>
    <w:pPr>
      <w:ind w:firstLine="280" w:firstLineChars="100"/>
    </w:pPr>
    <w:rPr>
      <w:sz w:val="28"/>
    </w:rPr>
  </w:style>
  <w:style w:type="paragraph" w:styleId="9">
    <w:name w:val="Plain Text"/>
    <w:basedOn w:val="1"/>
    <w:uiPriority w:val="0"/>
    <w:rPr>
      <w:rFonts w:ascii="宋体" w:hAnsi="Courier New"/>
      <w:sz w:val="28"/>
      <w:szCs w:val="20"/>
    </w:rPr>
  </w:style>
  <w:style w:type="paragraph" w:styleId="10">
    <w:name w:val="Date"/>
    <w:basedOn w:val="1"/>
    <w:next w:val="1"/>
    <w:uiPriority w:val="0"/>
    <w:rPr>
      <w:rFonts w:ascii="宋体"/>
      <w:sz w:val="28"/>
      <w:szCs w:val="20"/>
    </w:rPr>
  </w:style>
  <w:style w:type="paragraph" w:styleId="11">
    <w:name w:val="Body Text Indent 2"/>
    <w:basedOn w:val="1"/>
    <w:uiPriority w:val="0"/>
    <w:pPr>
      <w:ind w:right="-109" w:rightChars="-52" w:firstLine="560" w:firstLineChars="200"/>
    </w:pPr>
    <w:rPr>
      <w:bCs/>
      <w:color w:val="000000"/>
      <w:sz w:val="28"/>
    </w:rPr>
  </w:style>
  <w:style w:type="paragraph" w:styleId="12">
    <w:name w:val="Balloon Text"/>
    <w:basedOn w:val="1"/>
    <w:semiHidden/>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style>
  <w:style w:type="paragraph" w:styleId="16">
    <w:name w:val="Body Text Indent 3"/>
    <w:basedOn w:val="1"/>
    <w:uiPriority w:val="0"/>
    <w:pPr>
      <w:ind w:leftChars="-85" w:firstLine="535" w:firstLineChars="255"/>
    </w:pPr>
  </w:style>
  <w:style w:type="paragraph" w:styleId="17">
    <w:name w:val="toc 2"/>
    <w:basedOn w:val="1"/>
    <w:next w:val="1"/>
    <w:uiPriority w:val="0"/>
    <w:pPr>
      <w:ind w:left="420" w:leftChars="200"/>
    </w:pPr>
  </w:style>
  <w:style w:type="paragraph" w:styleId="18">
    <w:name w:val="Body Text 2"/>
    <w:basedOn w:val="1"/>
    <w:uiPriority w:val="0"/>
    <w:rPr>
      <w:bCs/>
      <w:color w:val="000000"/>
      <w:sz w:val="28"/>
    </w:rPr>
  </w:style>
  <w:style w:type="paragraph" w:styleId="19">
    <w:name w:val="Normal (Web)"/>
    <w:basedOn w:val="1"/>
    <w:uiPriority w:val="0"/>
    <w:pPr>
      <w:spacing w:before="100" w:beforeAutospacing="1" w:after="100" w:afterAutospacing="1"/>
      <w:ind w:left="0" w:right="0"/>
      <w:jc w:val="left"/>
    </w:pPr>
    <w:rPr>
      <w:kern w:val="0"/>
      <w:sz w:val="24"/>
      <w:lang w:val="en-US" w:eastAsia="zh-CN" w:bidi="ar"/>
    </w:rPr>
  </w:style>
  <w:style w:type="table" w:styleId="21">
    <w:name w:val="Table Grid"/>
    <w:basedOn w:val="20"/>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page number"/>
    <w:basedOn w:val="22"/>
    <w:uiPriority w:val="0"/>
  </w:style>
  <w:style w:type="character" w:styleId="25">
    <w:name w:val="Hyperlink"/>
    <w:basedOn w:val="22"/>
    <w:uiPriority w:val="0"/>
    <w:rPr>
      <w:color w:val="0000FF"/>
      <w:u w:val="single"/>
    </w:rPr>
  </w:style>
  <w:style w:type="paragraph" w:customStyle="1" w:styleId="26">
    <w:name w:val="font10"/>
    <w:basedOn w:val="1"/>
    <w:uiPriority w:val="0"/>
    <w:pPr>
      <w:widowControl/>
      <w:spacing w:before="100" w:beforeAutospacing="1" w:after="100" w:afterAutospacing="1"/>
      <w:jc w:val="left"/>
    </w:pPr>
    <w:rPr>
      <w:kern w:val="0"/>
      <w:sz w:val="20"/>
      <w:szCs w:val="20"/>
    </w:rPr>
  </w:style>
  <w:style w:type="paragraph" w:customStyle="1" w:styleId="27">
    <w:name w:val=" Char"/>
    <w:basedOn w:val="1"/>
    <w:uiPriority w:val="0"/>
    <w:rPr>
      <w:rFonts w:ascii="Tahoma" w:hAnsi="Tahoma"/>
      <w:sz w:val="24"/>
      <w:szCs w:val="20"/>
    </w:rPr>
  </w:style>
  <w:style w:type="paragraph" w:customStyle="1" w:styleId="28">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0">
    <w:name w:val="font7"/>
    <w:basedOn w:val="1"/>
    <w:uiPriority w:val="0"/>
    <w:pPr>
      <w:widowControl/>
      <w:spacing w:before="100" w:beforeAutospacing="1" w:after="100" w:afterAutospacing="1"/>
      <w:jc w:val="left"/>
    </w:pPr>
    <w:rPr>
      <w:kern w:val="0"/>
      <w:sz w:val="24"/>
    </w:rPr>
  </w:style>
  <w:style w:type="paragraph" w:customStyle="1" w:styleId="31">
    <w:name w:val="font8"/>
    <w:basedOn w:val="1"/>
    <w:uiPriority w:val="0"/>
    <w:pPr>
      <w:widowControl/>
      <w:spacing w:before="100" w:beforeAutospacing="1" w:after="100" w:afterAutospacing="1"/>
      <w:jc w:val="left"/>
    </w:pPr>
    <w:rPr>
      <w:rFonts w:hint="eastAsia" w:ascii="宋体" w:hAnsi="宋体"/>
      <w:kern w:val="0"/>
      <w:sz w:val="28"/>
      <w:szCs w:val="28"/>
    </w:rPr>
  </w:style>
  <w:style w:type="paragraph" w:customStyle="1" w:styleId="32">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33">
    <w:name w:val="样式1"/>
    <w:basedOn w:val="1"/>
    <w:uiPriority w:val="0"/>
  </w:style>
  <w:style w:type="paragraph" w:customStyle="1" w:styleId="34">
    <w:name w:val="font6"/>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35">
    <w:name w:val="xl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36">
    <w:name w:val="font9"/>
    <w:basedOn w:val="1"/>
    <w:uiPriority w:val="0"/>
    <w:pPr>
      <w:widowControl/>
      <w:spacing w:before="100" w:beforeAutospacing="1" w:after="100" w:afterAutospacing="1"/>
      <w:jc w:val="left"/>
    </w:pPr>
    <w:rPr>
      <w:kern w:val="0"/>
      <w:sz w:val="28"/>
      <w:szCs w:val="28"/>
    </w:rPr>
  </w:style>
  <w:style w:type="paragraph" w:customStyle="1" w:styleId="37">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8">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9">
    <w:name w:val="xl45"/>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0">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4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42">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4"/>
    </w:rPr>
  </w:style>
  <w:style w:type="paragraph" w:customStyle="1" w:styleId="43">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0"/>
      <w:szCs w:val="20"/>
    </w:rPr>
  </w:style>
  <w:style w:type="paragraph" w:customStyle="1" w:styleId="44">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24"/>
    </w:rPr>
  </w:style>
  <w:style w:type="paragraph" w:customStyle="1" w:styleId="45">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6">
    <w:name w:val="xl47"/>
    <w:basedOn w:val="1"/>
    <w:uiPriority w:val="0"/>
    <w:pPr>
      <w:widowControl/>
      <w:spacing w:before="100" w:beforeAutospacing="1" w:after="100" w:afterAutospacing="1"/>
      <w:jc w:val="center"/>
    </w:pPr>
    <w:rPr>
      <w:rFonts w:ascii="宋体" w:hAnsi="宋体"/>
      <w:kern w:val="0"/>
      <w:sz w:val="24"/>
    </w:rPr>
  </w:style>
  <w:style w:type="paragraph" w:customStyle="1" w:styleId="47">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8">
    <w:name w:val="xl4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9">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0">
    <w:name w:val="xl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FF0000"/>
      <w:kern w:val="0"/>
      <w:sz w:val="20"/>
      <w:szCs w:val="20"/>
    </w:rPr>
  </w:style>
  <w:style w:type="paragraph" w:customStyle="1" w:styleId="51">
    <w:name w:val="xl42"/>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4"/>
    </w:rPr>
  </w:style>
  <w:style w:type="paragraph" w:customStyle="1" w:styleId="52">
    <w:name w:val="xl4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3">
    <w:name w:val="xl40"/>
    <w:basedOn w:val="1"/>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54">
    <w:name w:val="font5"/>
    <w:basedOn w:val="1"/>
    <w:uiPriority w:val="0"/>
    <w:pPr>
      <w:widowControl/>
      <w:spacing w:before="100" w:beforeAutospacing="1" w:after="100" w:afterAutospacing="1"/>
      <w:jc w:val="left"/>
    </w:pPr>
    <w:rPr>
      <w:rFonts w:hint="eastAsia" w:ascii="宋体" w:hAnsi="宋体"/>
      <w:kern w:val="0"/>
      <w:sz w:val="24"/>
    </w:rPr>
  </w:style>
  <w:style w:type="paragraph" w:customStyle="1" w:styleId="55">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6">
    <w:name w:val="xl39"/>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57">
    <w:name w:val="xl4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58">
    <w:name w:val="_Style 12"/>
    <w:basedOn w:val="1"/>
    <w:next w:val="9"/>
    <w:uiPriority w:val="0"/>
    <w:rPr>
      <w:rFonts w:ascii="宋体" w:hAnsi="Courier New"/>
      <w:sz w:val="28"/>
      <w:szCs w:val="20"/>
    </w:rPr>
  </w:style>
  <w:style w:type="paragraph" w:customStyle="1" w:styleId="59">
    <w:name w:val="xl48"/>
    <w:basedOn w:val="1"/>
    <w:uiPriority w:val="0"/>
    <w:pPr>
      <w:widowControl/>
      <w:spacing w:before="100" w:beforeAutospacing="1" w:after="100" w:afterAutospacing="1"/>
      <w:jc w:val="center"/>
    </w:pPr>
    <w:rPr>
      <w:rFonts w:ascii="宋体" w:hAnsi="宋体"/>
      <w:kern w:val="0"/>
      <w:sz w:val="24"/>
    </w:rPr>
  </w:style>
  <w:style w:type="paragraph" w:customStyle="1" w:styleId="60">
    <w:name w:val="font11"/>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61">
    <w:name w:val="font0"/>
    <w:basedOn w:val="1"/>
    <w:uiPriority w:val="0"/>
    <w:pPr>
      <w:widowControl/>
      <w:spacing w:before="100" w:beforeAutospacing="1" w:after="100" w:afterAutospacing="1"/>
      <w:jc w:val="left"/>
    </w:pPr>
    <w:rPr>
      <w:rFonts w:hint="eastAsia" w:ascii="宋体" w:hAnsi="宋体"/>
      <w:kern w:val="0"/>
      <w:sz w:val="24"/>
    </w:rPr>
  </w:style>
  <w:style w:type="paragraph" w:customStyle="1" w:styleId="62">
    <w:name w:val="xl41"/>
    <w:basedOn w:val="1"/>
    <w:uiPriority w:val="0"/>
    <w:pPr>
      <w:widowControl/>
      <w:pBdr>
        <w:bottom w:val="single" w:color="auto" w:sz="4" w:space="0"/>
      </w:pBdr>
      <w:spacing w:before="100" w:beforeAutospacing="1" w:after="100" w:afterAutospacing="1"/>
      <w:jc w:val="center"/>
    </w:pPr>
    <w:rPr>
      <w:rFonts w:ascii="宋体" w:hAnsi="宋体"/>
      <w:kern w:val="0"/>
      <w:sz w:val="28"/>
      <w:szCs w:val="28"/>
    </w:rPr>
  </w:style>
  <w:style w:type="paragraph" w:customStyle="1" w:styleId="63">
    <w:name w:val="xl3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character" w:customStyle="1" w:styleId="64">
    <w:name w:val="font51"/>
    <w:basedOn w:val="22"/>
    <w:uiPriority w:val="0"/>
    <w:rPr>
      <w:rFonts w:hint="eastAsia" w:ascii="宋体" w:hAnsi="宋体" w:eastAsia="宋体" w:cs="宋体"/>
      <w:color w:val="000000"/>
      <w:sz w:val="20"/>
      <w:szCs w:val="20"/>
      <w:u w:val="none"/>
    </w:rPr>
  </w:style>
  <w:style w:type="character" w:customStyle="1" w:styleId="65">
    <w:name w:val="font61"/>
    <w:basedOn w:val="22"/>
    <w:uiPriority w:val="0"/>
    <w:rPr>
      <w:rFonts w:hint="eastAsia" w:ascii="宋体" w:hAnsi="宋体" w:eastAsia="宋体" w:cs="宋体"/>
      <w:color w:val="000000"/>
      <w:sz w:val="20"/>
      <w:szCs w:val="20"/>
      <w:u w:val="none"/>
    </w:rPr>
  </w:style>
  <w:style w:type="character" w:customStyle="1" w:styleId="66">
    <w:name w:val="font01"/>
    <w:basedOn w:val="22"/>
    <w:uiPriority w:val="0"/>
    <w:rPr>
      <w:rFonts w:hint="eastAsia" w:ascii="宋体" w:hAnsi="宋体" w:eastAsia="宋体" w:cs="宋体"/>
      <w:color w:val="auto"/>
      <w:sz w:val="24"/>
      <w:szCs w:val="24"/>
      <w:u w:val="none"/>
    </w:rPr>
  </w:style>
  <w:style w:type="character" w:customStyle="1" w:styleId="67">
    <w:name w:val="font81"/>
    <w:basedOn w:val="22"/>
    <w:uiPriority w:val="0"/>
    <w:rPr>
      <w:rFonts w:hint="eastAsia" w:ascii="宋体" w:hAnsi="宋体" w:eastAsia="宋体" w:cs="宋体"/>
      <w:color w:val="000000"/>
      <w:sz w:val="20"/>
      <w:szCs w:val="20"/>
      <w:u w:val="none"/>
    </w:rPr>
  </w:style>
  <w:style w:type="character" w:customStyle="1" w:styleId="68">
    <w:name w:val="apple-converted-space"/>
    <w:basedOn w:val="22"/>
    <w:uiPriority w:val="0"/>
  </w:style>
  <w:style w:type="character" w:customStyle="1" w:styleId="69">
    <w:name w:val="description"/>
    <w:basedOn w:val="22"/>
    <w:uiPriority w:val="0"/>
  </w:style>
  <w:style w:type="character" w:customStyle="1" w:styleId="70">
    <w:name w:val="标题 1 Char"/>
    <w:link w:val="2"/>
    <w:uiPriority w:val="0"/>
    <w:rPr>
      <w:rFonts w:eastAsia="仿宋_GB2312"/>
      <w:b/>
      <w:kern w:val="2"/>
      <w:sz w:val="36"/>
      <w:szCs w:val="28"/>
      <w:lang w:val="en-US" w:eastAsia="zh-CN" w:bidi="ar-SA"/>
    </w:rPr>
  </w:style>
  <w:style w:type="character" w:customStyle="1" w:styleId="71">
    <w:name w:val="标题 2 Char"/>
    <w:link w:val="3"/>
    <w:uiPriority w:val="0"/>
    <w:rPr>
      <w:rFonts w:ascii="Arial" w:hAnsi="Arial" w:eastAsia="仿宋_GB2312"/>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mhy</Company>
  <Pages>1</Pages>
  <Words>1247</Words>
  <Characters>7113</Characters>
  <Lines>59</Lines>
  <Paragraphs>16</Paragraphs>
  <TotalTime>1</TotalTime>
  <ScaleCrop>false</ScaleCrop>
  <LinksUpToDate>false</LinksUpToDate>
  <CharactersWithSpaces>8344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2015-12-23T03:17:00Z</dcterms:created>
  <dc:creator>www</dc:creator>
  <cp:lastModifiedBy>admin</cp:lastModifiedBy>
  <cp:lastPrinted>2019-09-05T07:33:00Z</cp:lastPrinted>
  <dcterms:modified xsi:type="dcterms:W3CDTF">2019-11-14T15:14:32Z</dcterms:modified>
  <dc:title>河北正达房地产评估事务所有限责任公司</dc:title>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