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8"/>
        <w:ind w:firstLine="31680"/>
        <w:jc w:val="center"/>
        <w:rPr>
          <w:rFonts w:hint="eastAsia" w:ascii="华文中宋" w:hAnsi="华文中宋" w:eastAsia="华文中宋" w:cs="华文中宋"/>
          <w:b/>
          <w:spacing w:val="66"/>
          <w:sz w:val="56"/>
          <w:szCs w:val="24"/>
        </w:rPr>
      </w:pPr>
    </w:p>
    <w:p>
      <w:pPr>
        <w:pStyle w:val="8"/>
        <w:ind w:firstLine="31680"/>
        <w:jc w:val="center"/>
        <w:rPr>
          <w:rFonts w:hint="eastAsia" w:ascii="华文中宋" w:hAnsi="华文中宋" w:eastAsia="华文中宋" w:cs="华文中宋"/>
          <w:b/>
          <w:spacing w:val="66"/>
          <w:sz w:val="56"/>
          <w:szCs w:val="24"/>
        </w:rPr>
        <w:sectPr>
          <w:headerReference r:id="rId3" w:type="default"/>
          <w:footerReference r:id="rId4" w:type="default"/>
          <w:type w:val="continuous"/>
          <w:pgSz w:w="11906" w:h="16838"/>
          <w:pgMar w:top="1440" w:right="1800" w:bottom="1440" w:left="1800" w:header="851" w:footer="992" w:gutter="0"/>
          <w:pgBorders>
            <w:top w:val="none" w:sz="0" w:space="0"/>
            <w:left w:val="none" w:sz="0" w:space="0"/>
            <w:bottom w:val="none" w:sz="0" w:space="0"/>
            <w:right w:val="none" w:sz="0" w:space="0"/>
          </w:pgBorders>
          <w:cols w:space="425" w:num="1"/>
          <w:titlePg/>
          <w:docGrid w:type="lines" w:linePitch="312" w:charSpace="0"/>
        </w:sectPr>
      </w:pPr>
    </w:p>
    <w:p>
      <w:pPr>
        <w:pStyle w:val="8"/>
        <w:ind w:firstLine="31680"/>
        <w:jc w:val="center"/>
        <w:rPr>
          <w:rFonts w:hint="eastAsia" w:ascii="华文中宋" w:hAnsi="华文中宋" w:eastAsia="华文中宋" w:cs="华文中宋"/>
          <w:b/>
          <w:spacing w:val="66"/>
          <w:sz w:val="56"/>
          <w:szCs w:val="24"/>
        </w:rPr>
      </w:pPr>
    </w:p>
    <w:p>
      <w:pPr>
        <w:pStyle w:val="8"/>
        <w:ind w:firstLine="0" w:firstLineChars="0"/>
        <w:jc w:val="center"/>
        <w:rPr>
          <w:rFonts w:hint="eastAsia" w:ascii="华文中宋" w:hAnsi="华文中宋" w:eastAsia="华文中宋" w:cs="华文中宋"/>
          <w:b/>
          <w:spacing w:val="66"/>
          <w:sz w:val="52"/>
          <w:szCs w:val="52"/>
        </w:rPr>
      </w:pPr>
    </w:p>
    <w:p>
      <w:pPr>
        <w:pStyle w:val="8"/>
        <w:keepNext w:val="0"/>
        <w:keepLines w:val="0"/>
        <w:pageBreakBefore w:val="0"/>
        <w:widowControl w:val="0"/>
        <w:kinsoku/>
        <w:wordWrap/>
        <w:overflowPunct/>
        <w:topLinePunct w:val="0"/>
        <w:autoSpaceDE/>
        <w:autoSpaceDN/>
        <w:bidi w:val="0"/>
        <w:adjustRightInd/>
        <w:snapToGrid/>
        <w:spacing w:before="157" w:beforeLines="50" w:after="157" w:afterLines="50" w:line="480" w:lineRule="exact"/>
        <w:ind w:left="0" w:leftChars="0" w:right="0" w:rightChars="0" w:firstLine="0" w:firstLineChars="0"/>
        <w:jc w:val="center"/>
        <w:textAlignment w:val="auto"/>
        <w:outlineLvl w:val="9"/>
        <w:rPr>
          <w:rFonts w:hint="eastAsia" w:ascii="华文中宋" w:hAnsi="华文中宋" w:eastAsia="华文中宋" w:cs="华文中宋"/>
          <w:b/>
          <w:spacing w:val="66"/>
          <w:sz w:val="52"/>
          <w:szCs w:val="52"/>
        </w:rPr>
      </w:pPr>
      <w:r>
        <w:rPr>
          <w:rFonts w:hint="eastAsia" w:ascii="华文中宋" w:hAnsi="华文中宋" w:eastAsia="华文中宋" w:cs="华文中宋"/>
          <w:b/>
          <w:spacing w:val="66"/>
          <w:sz w:val="52"/>
          <w:szCs w:val="52"/>
        </w:rPr>
        <w:t>房地产估价报告</w:t>
      </w:r>
    </w:p>
    <w:p>
      <w:pPr>
        <w:pStyle w:val="8"/>
        <w:ind w:firstLine="31680"/>
        <w:jc w:val="center"/>
        <w:rPr>
          <w:rFonts w:hint="eastAsia" w:ascii="华文中宋" w:hAnsi="华文中宋" w:eastAsia="华文中宋" w:cs="华文中宋"/>
          <w:b/>
          <w:spacing w:val="66"/>
          <w:sz w:val="52"/>
          <w:szCs w:val="52"/>
        </w:rPr>
      </w:pPr>
      <w:r>
        <w:rPr>
          <w:rFonts w:hint="eastAsia" w:ascii="华文中宋" w:hAnsi="华文中宋" w:eastAsia="华文中宋" w:cs="华文中宋"/>
          <w:b/>
          <w:bCs/>
          <w:szCs w:val="24"/>
          <w:highlight w:val="none"/>
          <w:lang w:eastAsia="zh-CN"/>
        </w:rPr>
        <w:t>辽九房估字[2020]第</w:t>
      </w:r>
      <w:r>
        <w:rPr>
          <w:rFonts w:hint="eastAsia" w:ascii="华文中宋" w:hAnsi="华文中宋" w:cs="华文中宋"/>
          <w:b/>
          <w:bCs/>
          <w:szCs w:val="24"/>
          <w:highlight w:val="none"/>
          <w:lang w:eastAsia="zh-CN"/>
        </w:rPr>
        <w:t>2008002</w:t>
      </w:r>
      <w:r>
        <w:rPr>
          <w:rFonts w:hint="eastAsia" w:ascii="华文中宋" w:hAnsi="华文中宋" w:eastAsia="华文中宋" w:cs="华文中宋"/>
          <w:b/>
          <w:bCs/>
          <w:szCs w:val="24"/>
          <w:highlight w:val="none"/>
          <w:lang w:eastAsia="zh-CN"/>
        </w:rPr>
        <w:t>号</w:t>
      </w:r>
    </w:p>
    <w:p>
      <w:pPr>
        <w:pStyle w:val="8"/>
        <w:ind w:firstLine="31680"/>
        <w:jc w:val="center"/>
        <w:rPr>
          <w:rFonts w:hint="eastAsia" w:ascii="华文中宋" w:hAnsi="华文中宋" w:eastAsia="华文中宋" w:cs="华文中宋"/>
          <w:b/>
          <w:spacing w:val="66"/>
          <w:sz w:val="44"/>
        </w:rPr>
      </w:pPr>
    </w:p>
    <w:p>
      <w:pPr>
        <w:pStyle w:val="8"/>
        <w:ind w:firstLine="31680"/>
        <w:jc w:val="center"/>
        <w:rPr>
          <w:rFonts w:hint="eastAsia" w:ascii="华文中宋" w:hAnsi="华文中宋" w:eastAsia="华文中宋" w:cs="华文中宋"/>
          <w:b/>
          <w:spacing w:val="66"/>
          <w:sz w:val="44"/>
        </w:rPr>
      </w:pPr>
    </w:p>
    <w:p>
      <w:pPr>
        <w:pStyle w:val="8"/>
        <w:ind w:firstLine="31680"/>
        <w:jc w:val="center"/>
        <w:rPr>
          <w:rFonts w:hint="eastAsia" w:ascii="华文中宋" w:hAnsi="华文中宋" w:eastAsia="华文中宋" w:cs="华文中宋"/>
          <w:b/>
          <w:spacing w:val="66"/>
          <w:sz w:val="44"/>
        </w:rPr>
      </w:pPr>
    </w:p>
    <w:p>
      <w:pPr>
        <w:pStyle w:val="8"/>
        <w:ind w:firstLine="31680"/>
        <w:jc w:val="center"/>
        <w:rPr>
          <w:rFonts w:hint="eastAsia" w:ascii="华文中宋" w:hAnsi="华文中宋" w:eastAsia="华文中宋" w:cs="华文中宋"/>
          <w:b/>
          <w:spacing w:val="66"/>
          <w:sz w:val="44"/>
        </w:rPr>
      </w:pPr>
    </w:p>
    <w:p>
      <w:pPr>
        <w:pStyle w:val="8"/>
        <w:ind w:firstLine="31680"/>
        <w:jc w:val="center"/>
        <w:rPr>
          <w:rFonts w:hint="eastAsia" w:ascii="华文中宋" w:hAnsi="华文中宋" w:eastAsia="华文中宋" w:cs="华文中宋"/>
          <w:b/>
          <w:spacing w:val="66"/>
          <w:sz w:val="44"/>
        </w:rPr>
      </w:pPr>
    </w:p>
    <w:p>
      <w:pPr>
        <w:pStyle w:val="8"/>
        <w:ind w:firstLine="31680"/>
        <w:jc w:val="center"/>
        <w:rPr>
          <w:rFonts w:hint="eastAsia" w:ascii="华文中宋" w:hAnsi="华文中宋" w:eastAsia="华文中宋" w:cs="华文中宋"/>
          <w:b/>
          <w:spacing w:val="66"/>
          <w:sz w:val="44"/>
        </w:rPr>
      </w:pPr>
    </w:p>
    <w:p>
      <w:pPr>
        <w:pStyle w:val="8"/>
        <w:ind w:firstLine="31680"/>
        <w:jc w:val="center"/>
        <w:rPr>
          <w:rFonts w:hint="eastAsia" w:ascii="华文中宋" w:hAnsi="华文中宋" w:eastAsia="华文中宋" w:cs="华文中宋"/>
          <w:b/>
          <w:spacing w:val="66"/>
          <w:sz w:val="44"/>
        </w:rPr>
      </w:pPr>
    </w:p>
    <w:p>
      <w:pPr>
        <w:pStyle w:val="8"/>
        <w:ind w:firstLine="31680"/>
        <w:jc w:val="center"/>
        <w:rPr>
          <w:rFonts w:hint="eastAsia" w:ascii="华文中宋" w:hAnsi="华文中宋" w:eastAsia="华文中宋" w:cs="华文中宋"/>
          <w:b/>
          <w:spacing w:val="66"/>
          <w:sz w:val="44"/>
        </w:rPr>
      </w:pPr>
    </w:p>
    <w:p>
      <w:pPr>
        <w:pStyle w:val="8"/>
        <w:ind w:firstLine="31680"/>
        <w:jc w:val="center"/>
        <w:rPr>
          <w:rFonts w:hint="eastAsia" w:ascii="华文中宋" w:hAnsi="华文中宋" w:eastAsia="华文中宋" w:cs="华文中宋"/>
          <w:b/>
          <w:spacing w:val="66"/>
          <w:sz w:val="44"/>
        </w:rPr>
      </w:pPr>
    </w:p>
    <w:p>
      <w:pPr>
        <w:pStyle w:val="8"/>
        <w:ind w:firstLine="31680"/>
        <w:jc w:val="center"/>
        <w:rPr>
          <w:rFonts w:hint="eastAsia" w:ascii="华文中宋" w:hAnsi="华文中宋" w:eastAsia="华文中宋" w:cs="华文中宋"/>
          <w:b/>
          <w:spacing w:val="66"/>
          <w:sz w:val="44"/>
        </w:rPr>
      </w:pPr>
    </w:p>
    <w:p>
      <w:pPr>
        <w:tabs>
          <w:tab w:val="left" w:pos="8160"/>
        </w:tabs>
        <w:spacing w:line="720" w:lineRule="exact"/>
        <w:ind w:left="2046" w:leftChars="200" w:right="144" w:rightChars="60" w:hanging="1566" w:hangingChars="650"/>
        <w:rPr>
          <w:rFonts w:hint="eastAsia" w:ascii="华文中宋" w:hAnsi="华文中宋" w:eastAsia="华文中宋" w:cs="华文中宋"/>
          <w:b/>
          <w:bCs/>
          <w:szCs w:val="24"/>
          <w:lang w:eastAsia="zh-CN"/>
        </w:rPr>
      </w:pPr>
      <w:r>
        <w:rPr>
          <w:rFonts w:hint="eastAsia" w:ascii="华文中宋" w:hAnsi="华文中宋" w:eastAsia="华文中宋" w:cs="华文中宋"/>
          <w:b/>
          <w:bCs/>
          <w:szCs w:val="24"/>
        </w:rPr>
        <w:t>估价项目名称：</w:t>
      </w:r>
      <w:r>
        <w:rPr>
          <w:rFonts w:hint="eastAsia" w:ascii="华文中宋" w:hAnsi="华文中宋" w:cs="华文中宋"/>
          <w:b/>
          <w:bCs/>
          <w:szCs w:val="24"/>
          <w:lang w:eastAsia="zh-CN"/>
        </w:rPr>
        <w:t>台安县大庆西路嘉泰园小区</w:t>
      </w:r>
      <w:r>
        <w:rPr>
          <w:rFonts w:hint="eastAsia" w:ascii="华文中宋" w:hAnsi="华文中宋" w:eastAsia="华文中宋" w:cs="华文中宋"/>
          <w:b/>
          <w:bCs/>
          <w:szCs w:val="24"/>
          <w:lang w:eastAsia="zh-CN"/>
        </w:rPr>
        <w:t>的</w:t>
      </w:r>
      <w:r>
        <w:rPr>
          <w:rFonts w:hint="eastAsia" w:ascii="华文中宋" w:hAnsi="华文中宋" w:cs="华文中宋"/>
          <w:b/>
          <w:bCs/>
          <w:szCs w:val="24"/>
          <w:lang w:val="en-US" w:eastAsia="zh-CN"/>
        </w:rPr>
        <w:t>91套</w:t>
      </w:r>
      <w:r>
        <w:rPr>
          <w:rFonts w:hint="eastAsia" w:ascii="华文中宋" w:hAnsi="华文中宋" w:eastAsia="华文中宋" w:cs="华文中宋"/>
          <w:b/>
          <w:bCs/>
          <w:szCs w:val="24"/>
          <w:lang w:eastAsia="zh-CN"/>
        </w:rPr>
        <w:t>房地产</w:t>
      </w:r>
      <w:r>
        <w:rPr>
          <w:rFonts w:hint="eastAsia" w:ascii="华文中宋" w:hAnsi="华文中宋" w:eastAsia="华文中宋" w:cs="华文中宋"/>
          <w:b/>
          <w:bCs/>
          <w:szCs w:val="24"/>
        </w:rPr>
        <w:t>司法鉴定估价项目</w:t>
      </w:r>
    </w:p>
    <w:p>
      <w:pPr>
        <w:tabs>
          <w:tab w:val="left" w:pos="8280"/>
        </w:tabs>
        <w:spacing w:line="720" w:lineRule="exact"/>
        <w:ind w:left="2046" w:leftChars="200" w:hanging="1566" w:hangingChars="650"/>
        <w:rPr>
          <w:rFonts w:hint="eastAsia" w:ascii="华文中宋" w:hAnsi="华文中宋" w:eastAsia="华文中宋" w:cs="华文中宋"/>
          <w:b/>
          <w:bCs/>
          <w:szCs w:val="24"/>
          <w:lang w:eastAsia="zh-CN"/>
        </w:rPr>
      </w:pPr>
      <w:r>
        <w:rPr>
          <w:rFonts w:hint="eastAsia" w:ascii="华文中宋" w:hAnsi="华文中宋" w:eastAsia="华文中宋" w:cs="华文中宋"/>
          <w:b/>
          <w:bCs/>
          <w:szCs w:val="24"/>
        </w:rPr>
        <w:t>估价委托人：</w:t>
      </w:r>
      <w:r>
        <w:rPr>
          <w:rFonts w:hint="eastAsia" w:ascii="华文中宋" w:hAnsi="华文中宋" w:eastAsia="华文中宋" w:cs="华文中宋"/>
          <w:b/>
          <w:bCs/>
          <w:szCs w:val="24"/>
          <w:lang w:eastAsia="zh-CN"/>
        </w:rPr>
        <w:t>鞍山市立山区人民法院</w:t>
      </w:r>
    </w:p>
    <w:p>
      <w:pPr>
        <w:tabs>
          <w:tab w:val="left" w:pos="8280"/>
        </w:tabs>
        <w:spacing w:line="720" w:lineRule="exact"/>
        <w:ind w:left="2046" w:leftChars="200" w:hanging="1566" w:hangingChars="650"/>
        <w:rPr>
          <w:rFonts w:hint="eastAsia" w:ascii="华文中宋" w:hAnsi="华文中宋" w:eastAsia="华文中宋" w:cs="华文中宋"/>
          <w:b/>
          <w:bCs/>
          <w:szCs w:val="24"/>
        </w:rPr>
      </w:pPr>
      <w:r>
        <w:rPr>
          <w:rFonts w:hint="eastAsia" w:ascii="华文中宋" w:hAnsi="华文中宋" w:eastAsia="华文中宋" w:cs="华文中宋"/>
          <w:b/>
          <w:bCs/>
          <w:szCs w:val="24"/>
        </w:rPr>
        <w:t>房地产估价机构：辽宁九州房产土地资产评估有限公司</w:t>
      </w:r>
    </w:p>
    <w:p>
      <w:pPr>
        <w:tabs>
          <w:tab w:val="left" w:pos="8280"/>
        </w:tabs>
        <w:spacing w:line="720" w:lineRule="exact"/>
        <w:ind w:left="2046" w:leftChars="200" w:hanging="1566" w:hangingChars="650"/>
        <w:rPr>
          <w:rFonts w:hint="eastAsia" w:ascii="华文中宋" w:hAnsi="华文中宋" w:eastAsia="华文中宋" w:cs="华文中宋"/>
          <w:b/>
          <w:bCs/>
          <w:szCs w:val="24"/>
        </w:rPr>
      </w:pPr>
      <w:r>
        <w:rPr>
          <w:rFonts w:hint="eastAsia" w:ascii="华文中宋" w:hAnsi="华文中宋" w:eastAsia="华文中宋" w:cs="华文中宋"/>
          <w:b/>
          <w:bCs/>
          <w:szCs w:val="24"/>
        </w:rPr>
        <w:t>注册房地产估价师：张国良</w:t>
      </w:r>
      <w:r>
        <w:rPr>
          <w:rFonts w:hint="eastAsia" w:ascii="华文中宋" w:hAnsi="华文中宋" w:eastAsia="华文中宋" w:cs="华文中宋"/>
          <w:b/>
          <w:bCs/>
          <w:szCs w:val="24"/>
          <w:lang w:val="en-US" w:eastAsia="zh-CN"/>
        </w:rPr>
        <w:t xml:space="preserve">     </w:t>
      </w:r>
      <w:r>
        <w:rPr>
          <w:rFonts w:hint="eastAsia" w:ascii="华文中宋" w:hAnsi="华文中宋" w:eastAsia="华文中宋" w:cs="华文中宋"/>
          <w:b/>
          <w:bCs/>
          <w:szCs w:val="24"/>
        </w:rPr>
        <w:t>注册号：2120140022</w:t>
      </w:r>
    </w:p>
    <w:p>
      <w:pPr>
        <w:tabs>
          <w:tab w:val="left" w:pos="8280"/>
        </w:tabs>
        <w:spacing w:line="720" w:lineRule="exact"/>
        <w:ind w:left="2040" w:leftChars="850" w:firstLine="602" w:firstLineChars="250"/>
        <w:rPr>
          <w:rFonts w:hint="eastAsia" w:ascii="华文中宋" w:hAnsi="华文中宋" w:eastAsia="华文中宋" w:cs="华文中宋"/>
          <w:b/>
          <w:bCs/>
          <w:szCs w:val="24"/>
          <w:lang w:eastAsia="zh-CN"/>
        </w:rPr>
      </w:pPr>
      <w:r>
        <w:rPr>
          <w:rFonts w:hint="eastAsia" w:ascii="华文中宋" w:hAnsi="华文中宋" w:eastAsia="华文中宋" w:cs="华文中宋"/>
          <w:b/>
          <w:bCs/>
          <w:color w:val="auto"/>
          <w:szCs w:val="24"/>
          <w:lang w:eastAsia="zh-CN"/>
        </w:rPr>
        <w:t>马振东</w:t>
      </w:r>
      <w:r>
        <w:rPr>
          <w:rFonts w:hint="eastAsia" w:ascii="华文中宋" w:hAnsi="华文中宋" w:eastAsia="华文中宋" w:cs="华文中宋"/>
          <w:b/>
          <w:bCs/>
          <w:color w:val="auto"/>
          <w:szCs w:val="24"/>
          <w:lang w:val="en-US" w:eastAsia="zh-CN"/>
        </w:rPr>
        <w:t xml:space="preserve">     </w:t>
      </w:r>
      <w:r>
        <w:rPr>
          <w:rFonts w:hint="eastAsia" w:ascii="华文中宋" w:hAnsi="华文中宋" w:eastAsia="华文中宋" w:cs="华文中宋"/>
          <w:b/>
          <w:bCs/>
          <w:color w:val="auto"/>
          <w:szCs w:val="24"/>
        </w:rPr>
        <w:t>注册号：</w:t>
      </w:r>
      <w:r>
        <w:rPr>
          <w:rFonts w:hint="eastAsia" w:ascii="华文中宋" w:hAnsi="华文中宋" w:eastAsia="华文中宋" w:cs="华文中宋"/>
          <w:b/>
          <w:bCs/>
          <w:color w:val="auto"/>
          <w:szCs w:val="24"/>
          <w:lang w:eastAsia="zh-CN"/>
        </w:rPr>
        <w:t>2120060134</w:t>
      </w:r>
    </w:p>
    <w:p>
      <w:pPr>
        <w:tabs>
          <w:tab w:val="left" w:pos="8280"/>
        </w:tabs>
        <w:spacing w:line="720" w:lineRule="exact"/>
        <w:ind w:left="2046" w:leftChars="200" w:hanging="1566" w:hangingChars="650"/>
        <w:rPr>
          <w:rFonts w:hint="eastAsia" w:ascii="华文中宋" w:hAnsi="华文中宋" w:cs="华文中宋"/>
          <w:b/>
          <w:bCs/>
          <w:szCs w:val="24"/>
          <w:highlight w:val="none"/>
          <w:lang w:eastAsia="zh-CN"/>
        </w:rPr>
      </w:pPr>
      <w:r>
        <w:rPr>
          <w:rFonts w:hint="eastAsia" w:ascii="华文中宋" w:hAnsi="华文中宋" w:eastAsia="华文中宋" w:cs="华文中宋"/>
          <w:b/>
          <w:bCs/>
          <w:szCs w:val="24"/>
        </w:rPr>
        <w:t>估价报告</w:t>
      </w:r>
      <w:r>
        <w:rPr>
          <w:rFonts w:hint="eastAsia" w:ascii="华文中宋" w:hAnsi="华文中宋" w:eastAsia="华文中宋" w:cs="华文中宋"/>
          <w:b/>
          <w:bCs/>
          <w:szCs w:val="24"/>
          <w:highlight w:val="none"/>
        </w:rPr>
        <w:t>出具日期：</w:t>
      </w:r>
      <w:r>
        <w:rPr>
          <w:rFonts w:hint="eastAsia" w:ascii="华文中宋" w:hAnsi="华文中宋" w:cs="华文中宋"/>
          <w:b/>
          <w:bCs/>
          <w:szCs w:val="24"/>
          <w:highlight w:val="none"/>
          <w:lang w:eastAsia="zh-CN"/>
        </w:rPr>
        <w:t>2020年8月5日</w:t>
      </w:r>
    </w:p>
    <w:p>
      <w:pPr>
        <w:tabs>
          <w:tab w:val="left" w:pos="8280"/>
        </w:tabs>
        <w:spacing w:line="720" w:lineRule="exact"/>
        <w:ind w:left="2046" w:leftChars="200" w:hanging="1566" w:hangingChars="650"/>
        <w:rPr>
          <w:rFonts w:hint="eastAsia" w:ascii="华文中宋" w:hAnsi="华文中宋" w:cs="华文中宋"/>
          <w:b/>
          <w:bCs/>
          <w:szCs w:val="24"/>
          <w:highlight w:val="none"/>
          <w:lang w:eastAsia="zh-CN"/>
        </w:rPr>
      </w:pPr>
    </w:p>
    <w:p>
      <w:pPr>
        <w:pStyle w:val="2"/>
        <w:spacing w:before="156" w:after="156"/>
        <w:rPr>
          <w:rFonts w:hint="eastAsia" w:ascii="华文中宋" w:hAnsi="华文中宋" w:eastAsia="华文中宋" w:cs="华文中宋"/>
          <w:szCs w:val="22"/>
        </w:rPr>
      </w:pPr>
      <w:r>
        <w:rPr>
          <w:rFonts w:hint="eastAsia" w:ascii="华文中宋" w:hAnsi="华文中宋" w:eastAsia="华文中宋" w:cs="华文中宋"/>
          <w:szCs w:val="22"/>
        </w:rPr>
        <w:t>致估价委托人函</w:t>
      </w:r>
    </w:p>
    <w:p>
      <w:pPr>
        <w:keepNext w:val="0"/>
        <w:keepLines w:val="0"/>
        <w:pageBreakBefore w:val="0"/>
        <w:widowControl w:val="0"/>
        <w:tabs>
          <w:tab w:val="left" w:pos="8280"/>
        </w:tabs>
        <w:kinsoku/>
        <w:wordWrap/>
        <w:overflowPunct/>
        <w:topLinePunct w:val="0"/>
        <w:autoSpaceDE/>
        <w:autoSpaceDN/>
        <w:bidi w:val="0"/>
        <w:spacing w:line="520" w:lineRule="exact"/>
        <w:ind w:firstLine="0" w:firstLineChars="0"/>
        <w:jc w:val="left"/>
        <w:textAlignment w:val="auto"/>
        <w:rPr>
          <w:rFonts w:hint="eastAsia" w:ascii="华文中宋" w:hAnsi="华文中宋" w:eastAsia="华文中宋" w:cs="华文中宋"/>
          <w:b/>
          <w:bCs/>
          <w:szCs w:val="24"/>
        </w:rPr>
      </w:pPr>
      <w:r>
        <w:rPr>
          <w:rFonts w:hint="eastAsia" w:ascii="华文中宋" w:hAnsi="华文中宋" w:eastAsia="华文中宋" w:cs="华文中宋"/>
          <w:b/>
          <w:bCs/>
          <w:szCs w:val="24"/>
          <w:lang w:eastAsia="zh-CN"/>
        </w:rPr>
        <w:t>鞍山市立山区人民法院</w:t>
      </w:r>
      <w:r>
        <w:rPr>
          <w:rFonts w:hint="eastAsia" w:ascii="华文中宋" w:hAnsi="华文中宋" w:eastAsia="华文中宋" w:cs="华文中宋"/>
          <w:b/>
          <w:bCs/>
          <w:szCs w:val="24"/>
        </w:rPr>
        <w:t>：</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480" w:firstLineChars="200"/>
        <w:jc w:val="both"/>
        <w:textAlignment w:val="auto"/>
        <w:outlineLvl w:val="9"/>
        <w:rPr>
          <w:rFonts w:hint="eastAsia" w:ascii="华文中宋" w:hAnsi="华文中宋" w:eastAsia="华文中宋" w:cs="华文中宋"/>
          <w:szCs w:val="24"/>
        </w:rPr>
      </w:pPr>
      <w:r>
        <w:rPr>
          <w:rFonts w:hint="eastAsia" w:ascii="华文中宋" w:hAnsi="华文中宋" w:eastAsia="华文中宋" w:cs="华文中宋"/>
          <w:szCs w:val="24"/>
        </w:rPr>
        <w:t>我公司接受贵院的委托，根据</w:t>
      </w:r>
      <w:r>
        <w:rPr>
          <w:rFonts w:hint="eastAsia" w:ascii="华文中宋" w:hAnsi="华文中宋" w:eastAsia="华文中宋" w:cs="华文中宋"/>
          <w:szCs w:val="24"/>
          <w:lang w:eastAsia="zh-CN"/>
        </w:rPr>
        <w:t>《司法鉴定评估委托书》（2019）鞍法技委字第3133号</w:t>
      </w:r>
      <w:r>
        <w:rPr>
          <w:rFonts w:hint="eastAsia" w:ascii="华文中宋" w:hAnsi="华文中宋" w:eastAsia="华文中宋" w:cs="华文中宋"/>
          <w:szCs w:val="24"/>
        </w:rPr>
        <w:t>，</w:t>
      </w:r>
      <w:r>
        <w:rPr>
          <w:rFonts w:hint="eastAsia" w:ascii="华文中宋" w:hAnsi="华文中宋" w:eastAsia="华文中宋" w:cs="华文中宋"/>
          <w:szCs w:val="24"/>
          <w:lang w:eastAsia="zh-CN"/>
        </w:rPr>
        <w:t>我公司对贵院受理的申请人</w:t>
      </w:r>
      <w:r>
        <w:rPr>
          <w:rFonts w:hint="eastAsia" w:ascii="华文中宋" w:hAnsi="华文中宋" w:eastAsia="华文中宋" w:cs="华文中宋"/>
          <w:color w:val="auto"/>
          <w:szCs w:val="24"/>
          <w:lang w:eastAsia="zh-CN"/>
        </w:rPr>
        <w:t>鞍山市立山区人民法院刑事审判庭</w:t>
      </w:r>
      <w:r>
        <w:rPr>
          <w:rFonts w:hint="eastAsia" w:ascii="华文中宋" w:hAnsi="华文中宋" w:eastAsia="华文中宋" w:cs="华文中宋"/>
          <w:szCs w:val="24"/>
          <w:lang w:eastAsia="zh-CN"/>
        </w:rPr>
        <w:t>与对方当事人鞍山市恒速物流发展有限公司、梁士兴、梁家铭、同一首歌、台安恒速物流商务酒店一案所涉及的位于</w:t>
      </w:r>
      <w:r>
        <w:rPr>
          <w:rFonts w:hint="eastAsia" w:ascii="华文中宋" w:hAnsi="华文中宋" w:cs="华文中宋"/>
          <w:szCs w:val="24"/>
          <w:lang w:eastAsia="zh-CN"/>
        </w:rPr>
        <w:t>台安县大庆西路嘉泰园小区的91套</w:t>
      </w:r>
      <w:r>
        <w:rPr>
          <w:rFonts w:hint="eastAsia" w:ascii="华文中宋" w:hAnsi="华文中宋" w:eastAsia="华文中宋" w:cs="华文中宋"/>
          <w:szCs w:val="24"/>
          <w:lang w:eastAsia="zh-CN"/>
        </w:rPr>
        <w:t>房地产进行估价，秉着独立、客观、公正原则，选派公司注册房地产估价师组成专门小组，认真对委估</w:t>
      </w:r>
      <w:r>
        <w:rPr>
          <w:rFonts w:hint="eastAsia" w:ascii="华文中宋" w:hAnsi="华文中宋" w:cs="华文中宋"/>
          <w:szCs w:val="24"/>
          <w:lang w:eastAsia="zh-CN"/>
        </w:rPr>
        <w:t>对象</w:t>
      </w:r>
      <w:r>
        <w:rPr>
          <w:rFonts w:hint="eastAsia" w:ascii="华文中宋" w:hAnsi="华文中宋" w:eastAsia="华文中宋" w:cs="华文中宋"/>
          <w:szCs w:val="24"/>
        </w:rPr>
        <w:t>实地查勘与深入市场调查，遵照《中华人民共和国城市房地产管理法》、《房地产估价规范》GB/T50291-2015、《房地产估价基本术语标准》GB/T50899-2013等法律法规和技术标准，经全面研究、分析、测算后，已完成房地产估价报告，其估价项目基本事项与估价结果如下：</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480" w:firstLineChars="200"/>
        <w:jc w:val="both"/>
        <w:textAlignment w:val="auto"/>
        <w:outlineLvl w:val="9"/>
        <w:rPr>
          <w:rFonts w:hint="eastAsia" w:ascii="华文中宋" w:hAnsi="华文中宋" w:eastAsia="华文中宋" w:cs="华文中宋"/>
          <w:szCs w:val="24"/>
          <w:highlight w:val="none"/>
        </w:rPr>
      </w:pPr>
      <w:r>
        <w:rPr>
          <w:rFonts w:hint="eastAsia" w:ascii="华文中宋" w:hAnsi="华文中宋" w:eastAsia="华文中宋" w:cs="华文中宋"/>
          <w:szCs w:val="24"/>
        </w:rPr>
        <w:t>一、估价目的：为</w:t>
      </w:r>
      <w:r>
        <w:rPr>
          <w:rFonts w:hint="eastAsia" w:ascii="华文中宋" w:hAnsi="华文中宋" w:eastAsia="华文中宋" w:cs="华文中宋"/>
          <w:szCs w:val="24"/>
          <w:lang w:eastAsia="zh-CN"/>
        </w:rPr>
        <w:t>鞍山市立山区人民法院审理申请人</w:t>
      </w:r>
      <w:r>
        <w:rPr>
          <w:rFonts w:hint="eastAsia" w:ascii="华文中宋" w:hAnsi="华文中宋" w:eastAsia="华文中宋" w:cs="华文中宋"/>
          <w:color w:val="auto"/>
          <w:szCs w:val="24"/>
          <w:lang w:eastAsia="zh-CN"/>
        </w:rPr>
        <w:t>鞍山市立山区人民法院刑事审判庭</w:t>
      </w:r>
      <w:r>
        <w:rPr>
          <w:rFonts w:hint="eastAsia" w:ascii="华文中宋" w:hAnsi="华文中宋" w:eastAsia="华文中宋" w:cs="华文中宋"/>
          <w:color w:val="auto"/>
          <w:szCs w:val="24"/>
        </w:rPr>
        <w:t>与</w:t>
      </w:r>
      <w:r>
        <w:rPr>
          <w:rFonts w:hint="eastAsia" w:ascii="华文中宋" w:hAnsi="华文中宋" w:eastAsia="华文中宋" w:cs="华文中宋"/>
          <w:szCs w:val="24"/>
          <w:lang w:eastAsia="zh-CN"/>
        </w:rPr>
        <w:t>对方当事人鞍山市恒速物流发展有限公司、梁士兴、梁家铭、同一首歌、台安恒速物流商务酒店一案，</w:t>
      </w:r>
      <w:r>
        <w:rPr>
          <w:rFonts w:hint="eastAsia" w:ascii="华文中宋" w:hAnsi="华文中宋" w:eastAsia="华文中宋" w:cs="华文中宋"/>
          <w:szCs w:val="24"/>
          <w:lang w:val="en-US" w:eastAsia="zh-CN"/>
        </w:rPr>
        <w:t>确定估价对象在价值时点的市场价值，为该</w:t>
      </w:r>
      <w:r>
        <w:rPr>
          <w:rFonts w:hint="eastAsia" w:ascii="华文中宋" w:hAnsi="华文中宋" w:eastAsia="华文中宋" w:cs="华文中宋"/>
          <w:szCs w:val="24"/>
        </w:rPr>
        <w:t>司法执行提供价值</w:t>
      </w:r>
      <w:r>
        <w:rPr>
          <w:rFonts w:hint="eastAsia" w:ascii="华文中宋" w:hAnsi="华文中宋" w:eastAsia="华文中宋" w:cs="华文中宋"/>
          <w:szCs w:val="24"/>
          <w:highlight w:val="none"/>
        </w:rPr>
        <w:t>参考依据。</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480" w:firstLineChars="200"/>
        <w:jc w:val="both"/>
        <w:textAlignment w:val="auto"/>
        <w:outlineLvl w:val="9"/>
        <w:rPr>
          <w:rFonts w:hint="eastAsia" w:ascii="华文中宋" w:hAnsi="华文中宋" w:eastAsia="华文中宋" w:cs="华文中宋"/>
          <w:szCs w:val="24"/>
          <w:highlight w:val="none"/>
        </w:rPr>
      </w:pPr>
      <w:r>
        <w:rPr>
          <w:rFonts w:hint="eastAsia" w:ascii="华文中宋" w:hAnsi="华文中宋" w:eastAsia="华文中宋" w:cs="华文中宋"/>
          <w:szCs w:val="24"/>
          <w:highlight w:val="none"/>
        </w:rPr>
        <w:t>二、估价对象：</w:t>
      </w:r>
      <w:r>
        <w:rPr>
          <w:rFonts w:hint="eastAsia" w:ascii="华文中宋" w:hAnsi="华文中宋" w:eastAsia="华文中宋" w:cs="华文中宋"/>
          <w:szCs w:val="24"/>
          <w:lang w:eastAsia="zh-CN"/>
        </w:rPr>
        <w:t>位于</w:t>
      </w:r>
      <w:r>
        <w:rPr>
          <w:rFonts w:hint="eastAsia" w:ascii="华文中宋" w:hAnsi="华文中宋" w:cs="华文中宋"/>
          <w:szCs w:val="24"/>
          <w:lang w:eastAsia="zh-CN"/>
        </w:rPr>
        <w:t>台安县大庆西路嘉泰园小区的91套</w:t>
      </w:r>
      <w:r>
        <w:rPr>
          <w:rFonts w:hint="eastAsia" w:ascii="华文中宋" w:hAnsi="华文中宋" w:eastAsia="华文中宋" w:cs="华文中宋"/>
          <w:szCs w:val="24"/>
          <w:highlight w:val="none"/>
          <w:lang w:eastAsia="zh-CN"/>
        </w:rPr>
        <w:t>房地产</w:t>
      </w:r>
      <w:r>
        <w:rPr>
          <w:rFonts w:hint="eastAsia" w:ascii="华文中宋" w:hAnsi="华文中宋" w:eastAsia="华文中宋" w:cs="华文中宋"/>
          <w:szCs w:val="24"/>
          <w:highlight w:val="none"/>
        </w:rPr>
        <w:t>，</w:t>
      </w:r>
      <w:r>
        <w:rPr>
          <w:rFonts w:hint="eastAsia" w:ascii="华文中宋" w:hAnsi="华文中宋" w:eastAsia="华文中宋" w:cs="华文中宋"/>
          <w:szCs w:val="24"/>
          <w:highlight w:val="none"/>
          <w:lang w:eastAsia="zh-CN"/>
        </w:rPr>
        <w:t>总</w:t>
      </w:r>
      <w:r>
        <w:rPr>
          <w:rFonts w:hint="eastAsia" w:ascii="华文中宋" w:hAnsi="华文中宋" w:eastAsia="华文中宋" w:cs="华文中宋"/>
          <w:szCs w:val="24"/>
          <w:highlight w:val="none"/>
        </w:rPr>
        <w:t>建筑面积为</w:t>
      </w:r>
      <w:r>
        <w:rPr>
          <w:rFonts w:hint="eastAsia" w:ascii="华文中宋" w:hAnsi="华文中宋" w:cs="华文中宋"/>
          <w:szCs w:val="24"/>
          <w:highlight w:val="none"/>
          <w:lang w:val="en-US" w:eastAsia="zh-CN"/>
        </w:rPr>
        <w:t>3626.48㎡</w:t>
      </w:r>
      <w:r>
        <w:rPr>
          <w:rFonts w:hint="eastAsia" w:ascii="华文中宋" w:hAnsi="华文中宋" w:cs="华文中宋"/>
          <w:szCs w:val="24"/>
          <w:highlight w:val="none"/>
          <w:lang w:eastAsia="zh-CN"/>
        </w:rPr>
        <w:t>，包括（</w:t>
      </w:r>
      <w:r>
        <w:rPr>
          <w:rFonts w:hint="eastAsia" w:ascii="华文中宋" w:hAnsi="华文中宋" w:cs="华文中宋"/>
          <w:szCs w:val="24"/>
          <w:highlight w:val="none"/>
          <w:lang w:val="en-US" w:eastAsia="zh-CN"/>
        </w:rPr>
        <w:t>1</w:t>
      </w:r>
      <w:r>
        <w:rPr>
          <w:rFonts w:hint="eastAsia" w:ascii="华文中宋" w:hAnsi="华文中宋" w:cs="华文中宋"/>
          <w:szCs w:val="24"/>
          <w:highlight w:val="none"/>
          <w:lang w:eastAsia="zh-CN"/>
        </w:rPr>
        <w:t>）住宅共计</w:t>
      </w:r>
      <w:r>
        <w:rPr>
          <w:rFonts w:hint="eastAsia" w:ascii="华文中宋" w:hAnsi="华文中宋" w:cs="华文中宋"/>
          <w:szCs w:val="24"/>
          <w:highlight w:val="none"/>
          <w:lang w:val="en-US" w:eastAsia="zh-CN"/>
        </w:rPr>
        <w:t>32处，建筑面积为2448.6㎡，（2）车库共计47项，建筑面积为1064.86㎡，（3）仓库共计12处，建筑面积为113.02㎡</w:t>
      </w:r>
      <w:r>
        <w:rPr>
          <w:rFonts w:hint="eastAsia" w:ascii="华文中宋" w:hAnsi="华文中宋" w:eastAsia="华文中宋" w:cs="华文中宋"/>
          <w:szCs w:val="24"/>
          <w:highlight w:val="none"/>
          <w:lang w:eastAsia="zh-CN"/>
        </w:rPr>
        <w:t>；</w:t>
      </w:r>
      <w:r>
        <w:rPr>
          <w:rFonts w:hint="eastAsia" w:ascii="华文中宋" w:hAnsi="华文中宋" w:cs="华文中宋"/>
          <w:szCs w:val="24"/>
          <w:highlight w:val="none"/>
          <w:lang w:eastAsia="zh-CN"/>
        </w:rPr>
        <w:t>其中车库及仓库</w:t>
      </w:r>
      <w:r>
        <w:rPr>
          <w:rFonts w:hint="eastAsia" w:ascii="华文中宋" w:hAnsi="华文中宋" w:eastAsia="华文中宋" w:cs="华文中宋"/>
          <w:szCs w:val="24"/>
          <w:highlight w:val="none"/>
          <w:lang w:eastAsia="zh-CN"/>
        </w:rPr>
        <w:t>包含委估对象所分摊国有土地使用权、</w:t>
      </w:r>
      <w:r>
        <w:rPr>
          <w:rFonts w:hint="eastAsia" w:ascii="华文中宋" w:hAnsi="华文中宋" w:cs="华文中宋"/>
          <w:szCs w:val="24"/>
          <w:highlight w:val="none"/>
          <w:lang w:eastAsia="zh-CN"/>
        </w:rPr>
        <w:t>与房屋建筑物相连接不可分割装饰装修及</w:t>
      </w:r>
      <w:r>
        <w:rPr>
          <w:rFonts w:hint="eastAsia" w:ascii="华文中宋" w:hAnsi="华文中宋" w:eastAsia="华文中宋" w:cs="华文中宋"/>
          <w:szCs w:val="24"/>
          <w:highlight w:val="none"/>
          <w:lang w:eastAsia="zh-CN"/>
        </w:rPr>
        <w:t>保证房屋正常使用功能的配套设施等</w:t>
      </w:r>
      <w:r>
        <w:rPr>
          <w:rFonts w:hint="eastAsia" w:ascii="华文中宋" w:hAnsi="华文中宋" w:cs="华文中宋"/>
          <w:szCs w:val="24"/>
          <w:highlight w:val="none"/>
          <w:lang w:eastAsia="zh-CN"/>
        </w:rPr>
        <w:t>；住宅</w:t>
      </w:r>
      <w:r>
        <w:rPr>
          <w:rFonts w:hint="eastAsia" w:ascii="华文中宋" w:hAnsi="华文中宋" w:eastAsia="华文中宋" w:cs="华文中宋"/>
          <w:szCs w:val="24"/>
          <w:highlight w:val="none"/>
          <w:lang w:eastAsia="zh-CN"/>
        </w:rPr>
        <w:t>包含</w:t>
      </w:r>
      <w:r>
        <w:rPr>
          <w:rFonts w:hint="eastAsia" w:ascii="华文中宋" w:hAnsi="华文中宋" w:cs="华文中宋"/>
          <w:szCs w:val="24"/>
          <w:highlight w:val="none"/>
          <w:lang w:eastAsia="zh-CN"/>
        </w:rPr>
        <w:t>与房屋建筑物相连接不可分割装饰装修及</w:t>
      </w:r>
      <w:r>
        <w:rPr>
          <w:rFonts w:hint="eastAsia" w:ascii="华文中宋" w:hAnsi="华文中宋" w:eastAsia="华文中宋" w:cs="华文中宋"/>
          <w:szCs w:val="24"/>
          <w:highlight w:val="none"/>
          <w:lang w:eastAsia="zh-CN"/>
        </w:rPr>
        <w:t>保证房屋正常使用功能的配套设施等</w:t>
      </w:r>
      <w:r>
        <w:rPr>
          <w:rFonts w:hint="eastAsia" w:ascii="华文中宋" w:hAnsi="华文中宋" w:cs="华文中宋"/>
          <w:szCs w:val="24"/>
          <w:highlight w:val="none"/>
          <w:lang w:eastAsia="zh-CN"/>
        </w:rPr>
        <w:t>，不包含</w:t>
      </w:r>
      <w:r>
        <w:rPr>
          <w:rFonts w:hint="eastAsia" w:ascii="华文中宋" w:hAnsi="华文中宋" w:eastAsia="华文中宋" w:cs="华文中宋"/>
          <w:szCs w:val="24"/>
          <w:highlight w:val="none"/>
          <w:lang w:eastAsia="zh-CN"/>
        </w:rPr>
        <w:t>委估对象所分摊国有土地使用权。</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480" w:firstLineChars="200"/>
        <w:jc w:val="both"/>
        <w:textAlignment w:val="auto"/>
        <w:outlineLvl w:val="9"/>
        <w:rPr>
          <w:rFonts w:hint="eastAsia" w:ascii="华文中宋" w:hAnsi="华文中宋" w:eastAsia="华文中宋" w:cs="华文中宋"/>
          <w:szCs w:val="24"/>
          <w:highlight w:val="none"/>
        </w:rPr>
      </w:pPr>
      <w:r>
        <w:rPr>
          <w:rFonts w:hint="eastAsia" w:ascii="华文中宋" w:hAnsi="华文中宋" w:eastAsia="华文中宋" w:cs="华文中宋"/>
          <w:szCs w:val="24"/>
          <w:highlight w:val="none"/>
        </w:rPr>
        <w:t>三、价值时点：</w:t>
      </w:r>
      <w:r>
        <w:rPr>
          <w:rFonts w:hint="eastAsia" w:ascii="华文中宋" w:hAnsi="华文中宋" w:cs="华文中宋"/>
          <w:szCs w:val="24"/>
          <w:highlight w:val="none"/>
          <w:lang w:eastAsia="zh-CN"/>
        </w:rPr>
        <w:t>2020年7月6日</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480" w:firstLineChars="200"/>
        <w:jc w:val="both"/>
        <w:textAlignment w:val="auto"/>
        <w:outlineLvl w:val="9"/>
        <w:rPr>
          <w:rFonts w:hint="eastAsia" w:ascii="华文中宋" w:hAnsi="华文中宋" w:eastAsia="华文中宋" w:cs="华文中宋"/>
          <w:szCs w:val="24"/>
          <w:highlight w:val="none"/>
        </w:rPr>
      </w:pPr>
      <w:r>
        <w:rPr>
          <w:rFonts w:hint="eastAsia" w:ascii="华文中宋" w:hAnsi="华文中宋" w:eastAsia="华文中宋" w:cs="华文中宋"/>
          <w:szCs w:val="24"/>
          <w:highlight w:val="none"/>
        </w:rPr>
        <w:t>四、价值类型：市场价值</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480" w:firstLineChars="200"/>
        <w:jc w:val="both"/>
        <w:textAlignment w:val="auto"/>
        <w:outlineLvl w:val="9"/>
        <w:rPr>
          <w:rFonts w:hint="eastAsia" w:ascii="华文中宋" w:hAnsi="华文中宋" w:eastAsia="华文中宋" w:cs="华文中宋"/>
          <w:szCs w:val="24"/>
          <w:highlight w:val="none"/>
          <w:lang w:eastAsia="zh-CN"/>
        </w:rPr>
      </w:pPr>
      <w:r>
        <w:rPr>
          <w:rFonts w:hint="eastAsia" w:ascii="华文中宋" w:hAnsi="华文中宋" w:eastAsia="华文中宋" w:cs="华文中宋"/>
          <w:szCs w:val="24"/>
          <w:highlight w:val="none"/>
        </w:rPr>
        <w:t>五、估价方法：</w:t>
      </w:r>
      <w:r>
        <w:rPr>
          <w:rFonts w:hint="eastAsia" w:ascii="华文中宋" w:hAnsi="华文中宋" w:cs="华文中宋"/>
          <w:szCs w:val="24"/>
          <w:lang w:eastAsia="zh-CN"/>
        </w:rPr>
        <w:t>比较法、成本法</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480" w:firstLineChars="200"/>
        <w:jc w:val="both"/>
        <w:textAlignment w:val="auto"/>
        <w:outlineLvl w:val="9"/>
        <w:rPr>
          <w:rFonts w:hint="eastAsia" w:ascii="华文中宋" w:hAnsi="华文中宋" w:eastAsia="华文中宋" w:cs="华文中宋"/>
          <w:szCs w:val="24"/>
          <w:highlight w:val="none"/>
          <w:lang w:eastAsia="zh-CN"/>
        </w:rPr>
      </w:pPr>
      <w:r>
        <w:rPr>
          <w:rFonts w:hint="eastAsia" w:ascii="华文中宋" w:hAnsi="华文中宋" w:eastAsia="华文中宋" w:cs="华文中宋"/>
          <w:szCs w:val="24"/>
          <w:highlight w:val="none"/>
        </w:rPr>
        <w:t>六、估价结果：</w:t>
      </w:r>
      <w:r>
        <w:rPr>
          <w:rFonts w:hint="eastAsia" w:ascii="华文中宋" w:hAnsi="华文中宋" w:eastAsia="华文中宋" w:cs="华文中宋"/>
          <w:highlight w:val="none"/>
          <w:lang w:val="en-US" w:eastAsia="zh-CN"/>
        </w:rPr>
        <w:t>估价</w:t>
      </w:r>
      <w:r>
        <w:rPr>
          <w:rFonts w:hint="eastAsia" w:ascii="华文中宋" w:hAnsi="华文中宋" w:eastAsia="华文中宋" w:cs="华文中宋"/>
          <w:highlight w:val="none"/>
        </w:rPr>
        <w:t>对象于价值时点</w:t>
      </w:r>
      <w:r>
        <w:rPr>
          <w:rFonts w:hint="eastAsia" w:ascii="华文中宋" w:hAnsi="华文中宋" w:cs="华文中宋"/>
          <w:highlight w:val="none"/>
          <w:lang w:eastAsia="zh-CN"/>
        </w:rPr>
        <w:t>2020年7月6日</w:t>
      </w:r>
      <w:r>
        <w:rPr>
          <w:rFonts w:hint="eastAsia" w:ascii="华文中宋" w:hAnsi="华文中宋" w:eastAsia="华文中宋" w:cs="华文中宋"/>
          <w:highlight w:val="none"/>
        </w:rPr>
        <w:t>的评估价值</w:t>
      </w:r>
      <w:r>
        <w:rPr>
          <w:rFonts w:hint="eastAsia" w:ascii="华文中宋" w:hAnsi="华文中宋" w:eastAsia="华文中宋" w:cs="华文中宋"/>
          <w:szCs w:val="24"/>
          <w:highlight w:val="none"/>
        </w:rPr>
        <w:t>为人民币</w:t>
      </w:r>
      <w:r>
        <w:rPr>
          <w:rFonts w:hint="eastAsia" w:ascii="华文中宋" w:hAnsi="华文中宋" w:cs="华文中宋"/>
          <w:szCs w:val="24"/>
          <w:highlight w:val="none"/>
          <w:lang w:val="en-US" w:eastAsia="zh-CN"/>
        </w:rPr>
        <w:t>5,710,415.00</w:t>
      </w:r>
      <w:r>
        <w:rPr>
          <w:rFonts w:hint="eastAsia" w:ascii="华文中宋" w:hAnsi="华文中宋" w:eastAsia="华文中宋" w:cs="华文中宋"/>
          <w:szCs w:val="24"/>
          <w:highlight w:val="none"/>
          <w:lang w:eastAsia="zh-CN"/>
        </w:rPr>
        <w:t>元，大写：人民币</w:t>
      </w:r>
      <w:r>
        <w:rPr>
          <w:rFonts w:hint="eastAsia" w:ascii="华文中宋" w:hAnsi="华文中宋" w:eastAsia="华文中宋" w:cs="华文中宋"/>
          <w:highlight w:val="none"/>
          <w:lang w:val="en-US" w:eastAsia="zh-CN"/>
        </w:rPr>
        <w:fldChar w:fldCharType="begin"/>
      </w:r>
      <w:r>
        <w:rPr>
          <w:rFonts w:hint="eastAsia" w:ascii="华文中宋" w:hAnsi="华文中宋" w:eastAsia="华文中宋" w:cs="华文中宋"/>
          <w:highlight w:val="none"/>
          <w:lang w:val="en-US" w:eastAsia="zh-CN"/>
        </w:rPr>
        <w:instrText xml:space="preserve"> = 5710415 \* CHINESENUM2 \* MERGEFORMAT </w:instrText>
      </w:r>
      <w:r>
        <w:rPr>
          <w:rFonts w:hint="eastAsia" w:ascii="华文中宋" w:hAnsi="华文中宋" w:eastAsia="华文中宋" w:cs="华文中宋"/>
          <w:highlight w:val="none"/>
          <w:lang w:val="en-US" w:eastAsia="zh-CN"/>
        </w:rPr>
        <w:fldChar w:fldCharType="separate"/>
      </w:r>
      <w:r>
        <w:t>伍佰柒拾壹万零肆佰壹拾伍</w:t>
      </w:r>
      <w:r>
        <w:rPr>
          <w:rFonts w:hint="eastAsia" w:ascii="华文中宋" w:hAnsi="华文中宋" w:eastAsia="华文中宋" w:cs="华文中宋"/>
          <w:highlight w:val="none"/>
          <w:lang w:val="en-US" w:eastAsia="zh-CN"/>
        </w:rPr>
        <w:fldChar w:fldCharType="end"/>
      </w:r>
      <w:r>
        <w:rPr>
          <w:rFonts w:hint="eastAsia" w:ascii="华文中宋" w:hAnsi="华文中宋" w:eastAsia="华文中宋" w:cs="华文中宋"/>
          <w:highlight w:val="none"/>
          <w:lang w:eastAsia="zh-CN"/>
        </w:rPr>
        <w:t>元</w:t>
      </w:r>
      <w:r>
        <w:rPr>
          <w:rFonts w:hint="eastAsia" w:ascii="华文中宋" w:hAnsi="华文中宋" w:eastAsia="华文中宋" w:cs="华文中宋"/>
          <w:szCs w:val="24"/>
          <w:highlight w:val="none"/>
          <w:lang w:eastAsia="zh-CN"/>
        </w:rPr>
        <w:t>整。</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3120" w:firstLineChars="1300"/>
        <w:jc w:val="both"/>
        <w:textAlignment w:val="auto"/>
        <w:outlineLvl w:val="9"/>
        <w:rPr>
          <w:rFonts w:hint="eastAsia" w:ascii="华文中宋" w:hAnsi="华文中宋" w:eastAsia="华文中宋" w:cs="华文中宋"/>
          <w:szCs w:val="24"/>
          <w:highlight w:val="none"/>
          <w:lang w:eastAsia="zh-CN"/>
        </w:rPr>
      </w:pPr>
      <w:r>
        <w:rPr>
          <w:rFonts w:hint="eastAsia" w:ascii="华文中宋" w:hAnsi="华文中宋" w:eastAsia="华文中宋" w:cs="华文中宋"/>
          <w:szCs w:val="24"/>
        </w:rPr>
        <w:t>估价结果汇总表</w:t>
      </w:r>
      <w:r>
        <w:rPr>
          <w:rFonts w:hint="eastAsia" w:ascii="华文中宋" w:hAnsi="华文中宋" w:eastAsia="华文中宋" w:cs="华文中宋"/>
          <w:szCs w:val="24"/>
          <w:lang w:val="en-US" w:eastAsia="zh-CN"/>
        </w:rPr>
        <w:t xml:space="preserve">                 </w:t>
      </w:r>
      <w:r>
        <w:rPr>
          <w:rFonts w:hint="eastAsia" w:ascii="华文中宋" w:hAnsi="华文中宋" w:eastAsia="华文中宋" w:cs="华文中宋"/>
          <w:sz w:val="18"/>
          <w:szCs w:val="18"/>
          <w:lang w:eastAsia="zh-CN"/>
        </w:rPr>
        <w:t>（</w:t>
      </w:r>
      <w:r>
        <w:rPr>
          <w:rFonts w:hint="eastAsia" w:ascii="华文中宋" w:hAnsi="华文中宋" w:eastAsia="华文中宋" w:cs="华文中宋"/>
          <w:sz w:val="18"/>
          <w:szCs w:val="18"/>
        </w:rPr>
        <w:t>币种：人民币</w:t>
      </w:r>
      <w:r>
        <w:rPr>
          <w:rFonts w:hint="eastAsia" w:ascii="华文中宋" w:hAnsi="华文中宋" w:eastAsia="华文中宋" w:cs="华文中宋"/>
          <w:sz w:val="18"/>
          <w:szCs w:val="18"/>
          <w:lang w:eastAsia="zh-CN"/>
        </w:rPr>
        <w:t>）</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both"/>
        <w:textAlignment w:val="auto"/>
        <w:outlineLvl w:val="9"/>
        <w:rPr>
          <w:rFonts w:hint="eastAsia" w:ascii="华文中宋" w:hAnsi="华文中宋" w:eastAsia="华文中宋" w:cs="华文中宋"/>
          <w:szCs w:val="24"/>
          <w:lang w:val="en-US" w:eastAsia="zh-CN"/>
        </w:rPr>
      </w:pPr>
      <w:r>
        <w:rPr>
          <w:rFonts w:hint="eastAsia" w:ascii="华文中宋" w:hAnsi="华文中宋" w:eastAsia="华文中宋" w:cs="华文中宋"/>
          <w:szCs w:val="24"/>
          <w:lang w:val="en-US" w:eastAsia="zh-CN"/>
        </w:rPr>
        <w:t xml:space="preserve">        </w:t>
      </w:r>
    </w:p>
    <w:tbl>
      <w:tblPr>
        <w:tblStyle w:val="16"/>
        <w:tblW w:w="92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625"/>
        <w:gridCol w:w="567"/>
        <w:gridCol w:w="1859"/>
        <w:gridCol w:w="739"/>
        <w:gridCol w:w="1609"/>
        <w:gridCol w:w="1121"/>
        <w:gridCol w:w="1068"/>
        <w:gridCol w:w="1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58" w:hRule="atLeast"/>
          <w:jc w:val="center"/>
        </w:trPr>
        <w:tc>
          <w:tcPr>
            <w:tcW w:w="625"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960" w:lineRule="auto"/>
              <w:ind w:left="0" w:leftChars="0" w:firstLine="0" w:firstLineChars="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序号</w:t>
            </w:r>
          </w:p>
        </w:tc>
        <w:tc>
          <w:tcPr>
            <w:tcW w:w="567"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960" w:lineRule="auto"/>
              <w:ind w:left="0" w:leftChars="0" w:firstLine="0" w:firstLineChars="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名称</w:t>
            </w:r>
          </w:p>
        </w:tc>
        <w:tc>
          <w:tcPr>
            <w:tcW w:w="185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960" w:lineRule="auto"/>
              <w:ind w:left="0" w:leftChars="0" w:firstLine="0" w:firstLineChars="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坐落</w:t>
            </w:r>
          </w:p>
        </w:tc>
        <w:tc>
          <w:tcPr>
            <w:tcW w:w="73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auto"/>
              <w:ind w:left="0" w:leftChars="0"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面积（㎡）</w:t>
            </w:r>
          </w:p>
        </w:tc>
        <w:tc>
          <w:tcPr>
            <w:tcW w:w="1609" w:type="dxa"/>
            <w:vMerge w:val="restart"/>
            <w:tcBorders>
              <w:tl2br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960" w:lineRule="auto"/>
              <w:ind w:left="0" w:leftChars="0" w:firstLine="0" w:firstLineChars="0"/>
              <w:jc w:val="center"/>
              <w:textAlignment w:val="bottom"/>
              <w:rPr>
                <w:rFonts w:hint="default" w:ascii="宋体" w:hAnsi="宋体" w:eastAsia="宋体" w:cs="宋体"/>
                <w:i w:val="0"/>
                <w:color w:val="000000"/>
                <w:sz w:val="15"/>
                <w:szCs w:val="15"/>
                <w:u w:val="none"/>
                <w:lang w:val="en-US"/>
              </w:rPr>
            </w:pPr>
            <w:r>
              <w:rPr>
                <w:rFonts w:hint="eastAsia" w:ascii="宋体" w:hAnsi="宋体" w:eastAsia="宋体" w:cs="宋体"/>
                <w:i w:val="0"/>
                <w:color w:val="000000"/>
                <w:kern w:val="0"/>
                <w:sz w:val="15"/>
                <w:szCs w:val="15"/>
                <w:u w:val="none"/>
                <w:lang w:val="en-US" w:eastAsia="zh-CN" w:bidi="ar"/>
              </w:rPr>
              <w:t>相关结果   估价方法</w:t>
            </w:r>
          </w:p>
        </w:tc>
        <w:tc>
          <w:tcPr>
            <w:tcW w:w="2189" w:type="dxa"/>
            <w:gridSpan w:val="2"/>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auto"/>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测算结果</w:t>
            </w:r>
          </w:p>
        </w:tc>
        <w:tc>
          <w:tcPr>
            <w:tcW w:w="170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auto"/>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估价结果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continue"/>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5"/>
                <w:szCs w:val="15"/>
                <w:u w:val="none"/>
              </w:rPr>
            </w:pPr>
          </w:p>
        </w:tc>
        <w:tc>
          <w:tcPr>
            <w:tcW w:w="567" w:type="dxa"/>
            <w:vMerge w:val="continue"/>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5"/>
                <w:szCs w:val="15"/>
                <w:u w:val="none"/>
              </w:rPr>
            </w:pPr>
          </w:p>
        </w:tc>
        <w:tc>
          <w:tcPr>
            <w:tcW w:w="1859" w:type="dxa"/>
            <w:vMerge w:val="continue"/>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5"/>
                <w:szCs w:val="15"/>
                <w:u w:val="none"/>
              </w:rPr>
            </w:pPr>
          </w:p>
        </w:tc>
        <w:tc>
          <w:tcPr>
            <w:tcW w:w="739" w:type="dxa"/>
            <w:vMerge w:val="continue"/>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5"/>
                <w:szCs w:val="15"/>
                <w:u w:val="none"/>
              </w:rPr>
            </w:pPr>
          </w:p>
        </w:tc>
        <w:tc>
          <w:tcPr>
            <w:tcW w:w="1609" w:type="dxa"/>
            <w:vMerge w:val="continue"/>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5"/>
                <w:szCs w:val="15"/>
                <w:u w:val="none"/>
              </w:rPr>
            </w:pPr>
          </w:p>
        </w:tc>
        <w:tc>
          <w:tcPr>
            <w:tcW w:w="1121"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成本法</w:t>
            </w:r>
          </w:p>
        </w:tc>
        <w:tc>
          <w:tcPr>
            <w:tcW w:w="1068"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市场法</w:t>
            </w:r>
          </w:p>
        </w:tc>
        <w:tc>
          <w:tcPr>
            <w:tcW w:w="1709" w:type="dxa"/>
            <w:vMerge w:val="continue"/>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5"/>
                <w:szCs w:val="15"/>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9" w:hRule="atLeast"/>
          <w:jc w:val="center"/>
        </w:trPr>
        <w:tc>
          <w:tcPr>
            <w:tcW w:w="625"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67"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住宅</w:t>
            </w:r>
          </w:p>
        </w:tc>
        <w:tc>
          <w:tcPr>
            <w:tcW w:w="185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台安县大庆西路嘉泰园小区2-1-701</w:t>
            </w:r>
          </w:p>
        </w:tc>
        <w:tc>
          <w:tcPr>
            <w:tcW w:w="73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73.72</w:t>
            </w: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73,130.00</w:t>
            </w:r>
          </w:p>
        </w:tc>
        <w:tc>
          <w:tcPr>
            <w:tcW w:w="1068"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70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73,130.00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atLeast"/>
          <w:jc w:val="center"/>
        </w:trPr>
        <w:tc>
          <w:tcPr>
            <w:tcW w:w="625" w:type="dxa"/>
            <w:vMerge w:val="continue"/>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5"/>
                <w:szCs w:val="15"/>
                <w:u w:val="none"/>
              </w:rPr>
            </w:pPr>
          </w:p>
        </w:tc>
        <w:tc>
          <w:tcPr>
            <w:tcW w:w="567" w:type="dxa"/>
            <w:vMerge w:val="continue"/>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5"/>
                <w:szCs w:val="15"/>
                <w:u w:val="none"/>
              </w:rPr>
            </w:pPr>
          </w:p>
        </w:tc>
        <w:tc>
          <w:tcPr>
            <w:tcW w:w="185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5"/>
                <w:szCs w:val="15"/>
                <w:u w:val="none"/>
              </w:rPr>
            </w:pP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992</w:t>
            </w:r>
          </w:p>
        </w:tc>
        <w:tc>
          <w:tcPr>
            <w:tcW w:w="1068"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709" w:type="dxa"/>
            <w:vMerge w:val="continue"/>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w:t>
            </w:r>
          </w:p>
        </w:tc>
        <w:tc>
          <w:tcPr>
            <w:tcW w:w="567"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住宅</w:t>
            </w:r>
          </w:p>
        </w:tc>
        <w:tc>
          <w:tcPr>
            <w:tcW w:w="185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台安县大庆西路嘉泰园小区2-1-702</w:t>
            </w:r>
          </w:p>
        </w:tc>
        <w:tc>
          <w:tcPr>
            <w:tcW w:w="73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73.72</w:t>
            </w: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73,130.00</w:t>
            </w:r>
          </w:p>
        </w:tc>
        <w:tc>
          <w:tcPr>
            <w:tcW w:w="1068"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70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73,130.00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992</w:t>
            </w:r>
          </w:p>
        </w:tc>
        <w:tc>
          <w:tcPr>
            <w:tcW w:w="1068"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709" w:type="dxa"/>
            <w:vMerge w:val="continue"/>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w:t>
            </w:r>
          </w:p>
        </w:tc>
        <w:tc>
          <w:tcPr>
            <w:tcW w:w="567"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住宅</w:t>
            </w:r>
          </w:p>
        </w:tc>
        <w:tc>
          <w:tcPr>
            <w:tcW w:w="185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台安县大庆西路嘉泰园小区2-2-701</w:t>
            </w:r>
          </w:p>
        </w:tc>
        <w:tc>
          <w:tcPr>
            <w:tcW w:w="73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73.72</w:t>
            </w: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73,130.00</w:t>
            </w:r>
          </w:p>
        </w:tc>
        <w:tc>
          <w:tcPr>
            <w:tcW w:w="1068"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70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73,130.00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992</w:t>
            </w:r>
          </w:p>
        </w:tc>
        <w:tc>
          <w:tcPr>
            <w:tcW w:w="1068"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709" w:type="dxa"/>
            <w:vMerge w:val="continue"/>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4</w:t>
            </w:r>
          </w:p>
        </w:tc>
        <w:tc>
          <w:tcPr>
            <w:tcW w:w="567"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住宅</w:t>
            </w:r>
          </w:p>
        </w:tc>
        <w:tc>
          <w:tcPr>
            <w:tcW w:w="185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台安县大庆西路嘉泰园小区2-2-702</w:t>
            </w:r>
          </w:p>
        </w:tc>
        <w:tc>
          <w:tcPr>
            <w:tcW w:w="73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74.33</w:t>
            </w: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73,735.00</w:t>
            </w:r>
          </w:p>
        </w:tc>
        <w:tc>
          <w:tcPr>
            <w:tcW w:w="1068"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70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73,735.00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992</w:t>
            </w:r>
          </w:p>
        </w:tc>
        <w:tc>
          <w:tcPr>
            <w:tcW w:w="1068"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709" w:type="dxa"/>
            <w:vMerge w:val="continue"/>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5</w:t>
            </w:r>
          </w:p>
        </w:tc>
        <w:tc>
          <w:tcPr>
            <w:tcW w:w="567"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住宅</w:t>
            </w:r>
          </w:p>
        </w:tc>
        <w:tc>
          <w:tcPr>
            <w:tcW w:w="185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台安县大庆西路嘉泰园小区3-1-701</w:t>
            </w:r>
          </w:p>
        </w:tc>
        <w:tc>
          <w:tcPr>
            <w:tcW w:w="73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73.72</w:t>
            </w: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73,130.00</w:t>
            </w:r>
          </w:p>
        </w:tc>
        <w:tc>
          <w:tcPr>
            <w:tcW w:w="1068"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70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73,130.00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992</w:t>
            </w:r>
          </w:p>
        </w:tc>
        <w:tc>
          <w:tcPr>
            <w:tcW w:w="1068"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709" w:type="dxa"/>
            <w:vMerge w:val="continue"/>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6</w:t>
            </w:r>
          </w:p>
        </w:tc>
        <w:tc>
          <w:tcPr>
            <w:tcW w:w="567"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住宅</w:t>
            </w:r>
          </w:p>
        </w:tc>
        <w:tc>
          <w:tcPr>
            <w:tcW w:w="185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台安县大庆西路嘉泰园小区3-1-702</w:t>
            </w:r>
          </w:p>
        </w:tc>
        <w:tc>
          <w:tcPr>
            <w:tcW w:w="73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73.72</w:t>
            </w: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73,130.00</w:t>
            </w:r>
          </w:p>
        </w:tc>
        <w:tc>
          <w:tcPr>
            <w:tcW w:w="1068"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70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73,130.00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992</w:t>
            </w:r>
          </w:p>
        </w:tc>
        <w:tc>
          <w:tcPr>
            <w:tcW w:w="1068"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709" w:type="dxa"/>
            <w:vMerge w:val="continue"/>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7</w:t>
            </w:r>
          </w:p>
        </w:tc>
        <w:tc>
          <w:tcPr>
            <w:tcW w:w="567"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住宅</w:t>
            </w:r>
          </w:p>
        </w:tc>
        <w:tc>
          <w:tcPr>
            <w:tcW w:w="185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台安县大庆西路嘉泰园小区3-2-701</w:t>
            </w:r>
          </w:p>
        </w:tc>
        <w:tc>
          <w:tcPr>
            <w:tcW w:w="73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73.72</w:t>
            </w: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73,130.00</w:t>
            </w:r>
          </w:p>
        </w:tc>
        <w:tc>
          <w:tcPr>
            <w:tcW w:w="1068"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70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73,130.00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992</w:t>
            </w:r>
          </w:p>
        </w:tc>
        <w:tc>
          <w:tcPr>
            <w:tcW w:w="1068"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709" w:type="dxa"/>
            <w:vMerge w:val="continue"/>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8</w:t>
            </w:r>
          </w:p>
        </w:tc>
        <w:tc>
          <w:tcPr>
            <w:tcW w:w="567"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住宅</w:t>
            </w:r>
          </w:p>
        </w:tc>
        <w:tc>
          <w:tcPr>
            <w:tcW w:w="185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台安县大庆西路嘉泰园小区3-2-702</w:t>
            </w:r>
          </w:p>
        </w:tc>
        <w:tc>
          <w:tcPr>
            <w:tcW w:w="73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74.33</w:t>
            </w: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73,735.00</w:t>
            </w:r>
          </w:p>
        </w:tc>
        <w:tc>
          <w:tcPr>
            <w:tcW w:w="1068"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70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73,735.00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992</w:t>
            </w:r>
          </w:p>
        </w:tc>
        <w:tc>
          <w:tcPr>
            <w:tcW w:w="1068"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709" w:type="dxa"/>
            <w:vMerge w:val="continue"/>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9</w:t>
            </w:r>
          </w:p>
        </w:tc>
        <w:tc>
          <w:tcPr>
            <w:tcW w:w="567"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住宅</w:t>
            </w:r>
          </w:p>
        </w:tc>
        <w:tc>
          <w:tcPr>
            <w:tcW w:w="185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台安县大庆西路嘉泰园小区4-1-701</w:t>
            </w:r>
          </w:p>
        </w:tc>
        <w:tc>
          <w:tcPr>
            <w:tcW w:w="73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73.72</w:t>
            </w: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73,130.00</w:t>
            </w:r>
          </w:p>
        </w:tc>
        <w:tc>
          <w:tcPr>
            <w:tcW w:w="1068"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70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73,130.00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992</w:t>
            </w:r>
          </w:p>
        </w:tc>
        <w:tc>
          <w:tcPr>
            <w:tcW w:w="1068"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709" w:type="dxa"/>
            <w:vMerge w:val="continue"/>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10</w:t>
            </w:r>
          </w:p>
        </w:tc>
        <w:tc>
          <w:tcPr>
            <w:tcW w:w="567"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住宅</w:t>
            </w:r>
          </w:p>
        </w:tc>
        <w:tc>
          <w:tcPr>
            <w:tcW w:w="185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台安县大庆西路嘉泰园小区4-1-702</w:t>
            </w:r>
          </w:p>
        </w:tc>
        <w:tc>
          <w:tcPr>
            <w:tcW w:w="73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73.72</w:t>
            </w: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73,130.00</w:t>
            </w:r>
          </w:p>
        </w:tc>
        <w:tc>
          <w:tcPr>
            <w:tcW w:w="1068"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70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73,130.00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992</w:t>
            </w:r>
          </w:p>
        </w:tc>
        <w:tc>
          <w:tcPr>
            <w:tcW w:w="1068"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709" w:type="dxa"/>
            <w:vMerge w:val="continue"/>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11</w:t>
            </w:r>
          </w:p>
        </w:tc>
        <w:tc>
          <w:tcPr>
            <w:tcW w:w="567"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住宅</w:t>
            </w:r>
          </w:p>
        </w:tc>
        <w:tc>
          <w:tcPr>
            <w:tcW w:w="185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台安县大庆西路嘉泰园小区4-2-701</w:t>
            </w:r>
          </w:p>
        </w:tc>
        <w:tc>
          <w:tcPr>
            <w:tcW w:w="73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73.72</w:t>
            </w: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73,130.00</w:t>
            </w:r>
          </w:p>
        </w:tc>
        <w:tc>
          <w:tcPr>
            <w:tcW w:w="1068"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70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73,130.00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992</w:t>
            </w:r>
          </w:p>
        </w:tc>
        <w:tc>
          <w:tcPr>
            <w:tcW w:w="1068"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709" w:type="dxa"/>
            <w:vMerge w:val="continue"/>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12</w:t>
            </w:r>
          </w:p>
        </w:tc>
        <w:tc>
          <w:tcPr>
            <w:tcW w:w="567"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住宅</w:t>
            </w:r>
          </w:p>
        </w:tc>
        <w:tc>
          <w:tcPr>
            <w:tcW w:w="185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台安县大庆西路嘉泰园小区4-2-702</w:t>
            </w:r>
          </w:p>
        </w:tc>
        <w:tc>
          <w:tcPr>
            <w:tcW w:w="73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74.33</w:t>
            </w: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73,735.00</w:t>
            </w:r>
          </w:p>
        </w:tc>
        <w:tc>
          <w:tcPr>
            <w:tcW w:w="1068"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70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73,735.00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14" w:hRule="atLeast"/>
          <w:jc w:val="center"/>
        </w:trPr>
        <w:tc>
          <w:tcPr>
            <w:tcW w:w="625"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992</w:t>
            </w:r>
          </w:p>
        </w:tc>
        <w:tc>
          <w:tcPr>
            <w:tcW w:w="1068"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709" w:type="dxa"/>
            <w:vMerge w:val="continue"/>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13</w:t>
            </w:r>
          </w:p>
        </w:tc>
        <w:tc>
          <w:tcPr>
            <w:tcW w:w="567"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住宅</w:t>
            </w:r>
          </w:p>
        </w:tc>
        <w:tc>
          <w:tcPr>
            <w:tcW w:w="185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台安县大庆西路嘉泰园小区5-1-701</w:t>
            </w:r>
          </w:p>
        </w:tc>
        <w:tc>
          <w:tcPr>
            <w:tcW w:w="73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76.47</w:t>
            </w: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75,858.00</w:t>
            </w:r>
          </w:p>
        </w:tc>
        <w:tc>
          <w:tcPr>
            <w:tcW w:w="1068"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70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75,858.00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992</w:t>
            </w:r>
          </w:p>
        </w:tc>
        <w:tc>
          <w:tcPr>
            <w:tcW w:w="1068"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709" w:type="dxa"/>
            <w:vMerge w:val="continue"/>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14</w:t>
            </w:r>
          </w:p>
        </w:tc>
        <w:tc>
          <w:tcPr>
            <w:tcW w:w="567"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住宅</w:t>
            </w:r>
          </w:p>
        </w:tc>
        <w:tc>
          <w:tcPr>
            <w:tcW w:w="185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台安县大庆西路嘉泰园小区5-1-702</w:t>
            </w:r>
          </w:p>
        </w:tc>
        <w:tc>
          <w:tcPr>
            <w:tcW w:w="73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75.84</w:t>
            </w: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75,233.00</w:t>
            </w:r>
          </w:p>
        </w:tc>
        <w:tc>
          <w:tcPr>
            <w:tcW w:w="1068"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70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75,233.00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992</w:t>
            </w:r>
          </w:p>
        </w:tc>
        <w:tc>
          <w:tcPr>
            <w:tcW w:w="1068"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709" w:type="dxa"/>
            <w:vMerge w:val="continue"/>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15</w:t>
            </w:r>
          </w:p>
        </w:tc>
        <w:tc>
          <w:tcPr>
            <w:tcW w:w="567"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住宅</w:t>
            </w:r>
          </w:p>
        </w:tc>
        <w:tc>
          <w:tcPr>
            <w:tcW w:w="185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台安县大庆西路嘉泰园小区5-2-701</w:t>
            </w:r>
          </w:p>
        </w:tc>
        <w:tc>
          <w:tcPr>
            <w:tcW w:w="73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76.47</w:t>
            </w: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75,858.00</w:t>
            </w:r>
          </w:p>
        </w:tc>
        <w:tc>
          <w:tcPr>
            <w:tcW w:w="1068"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70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75,858.00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992</w:t>
            </w:r>
          </w:p>
        </w:tc>
        <w:tc>
          <w:tcPr>
            <w:tcW w:w="1068"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709" w:type="dxa"/>
            <w:vMerge w:val="continue"/>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16</w:t>
            </w:r>
          </w:p>
        </w:tc>
        <w:tc>
          <w:tcPr>
            <w:tcW w:w="567"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住宅</w:t>
            </w:r>
          </w:p>
        </w:tc>
        <w:tc>
          <w:tcPr>
            <w:tcW w:w="185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台安县大庆西路嘉泰园小区5-2-702</w:t>
            </w:r>
          </w:p>
        </w:tc>
        <w:tc>
          <w:tcPr>
            <w:tcW w:w="73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75.84</w:t>
            </w: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75,233.00</w:t>
            </w:r>
          </w:p>
        </w:tc>
        <w:tc>
          <w:tcPr>
            <w:tcW w:w="1068"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70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75,233.00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992</w:t>
            </w:r>
          </w:p>
        </w:tc>
        <w:tc>
          <w:tcPr>
            <w:tcW w:w="1068"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709" w:type="dxa"/>
            <w:vMerge w:val="continue"/>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17</w:t>
            </w:r>
          </w:p>
        </w:tc>
        <w:tc>
          <w:tcPr>
            <w:tcW w:w="567"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住宅</w:t>
            </w:r>
          </w:p>
        </w:tc>
        <w:tc>
          <w:tcPr>
            <w:tcW w:w="185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台安县大庆西路嘉泰园小区5-3-701</w:t>
            </w:r>
          </w:p>
        </w:tc>
        <w:tc>
          <w:tcPr>
            <w:tcW w:w="73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76.47</w:t>
            </w: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75,858.00</w:t>
            </w:r>
          </w:p>
        </w:tc>
        <w:tc>
          <w:tcPr>
            <w:tcW w:w="1068"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70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75,858.00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992</w:t>
            </w:r>
          </w:p>
        </w:tc>
        <w:tc>
          <w:tcPr>
            <w:tcW w:w="1068"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709" w:type="dxa"/>
            <w:vMerge w:val="continue"/>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18</w:t>
            </w:r>
          </w:p>
        </w:tc>
        <w:tc>
          <w:tcPr>
            <w:tcW w:w="567"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住宅</w:t>
            </w:r>
          </w:p>
        </w:tc>
        <w:tc>
          <w:tcPr>
            <w:tcW w:w="185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台安县大庆西路嘉泰园小区5-3-702</w:t>
            </w:r>
          </w:p>
        </w:tc>
        <w:tc>
          <w:tcPr>
            <w:tcW w:w="73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75.84</w:t>
            </w: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75,233.00</w:t>
            </w:r>
          </w:p>
        </w:tc>
        <w:tc>
          <w:tcPr>
            <w:tcW w:w="1068"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70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75,233.00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992</w:t>
            </w:r>
          </w:p>
        </w:tc>
        <w:tc>
          <w:tcPr>
            <w:tcW w:w="1068"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709" w:type="dxa"/>
            <w:vMerge w:val="continue"/>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19</w:t>
            </w:r>
          </w:p>
        </w:tc>
        <w:tc>
          <w:tcPr>
            <w:tcW w:w="567"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住宅</w:t>
            </w:r>
          </w:p>
        </w:tc>
        <w:tc>
          <w:tcPr>
            <w:tcW w:w="185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台安县大庆西路嘉泰园小区9-1-701</w:t>
            </w:r>
          </w:p>
        </w:tc>
        <w:tc>
          <w:tcPr>
            <w:tcW w:w="73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79.27</w:t>
            </w: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78,636.00</w:t>
            </w:r>
          </w:p>
        </w:tc>
        <w:tc>
          <w:tcPr>
            <w:tcW w:w="1068"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70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78,636.00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992</w:t>
            </w:r>
          </w:p>
        </w:tc>
        <w:tc>
          <w:tcPr>
            <w:tcW w:w="1068"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709" w:type="dxa"/>
            <w:vMerge w:val="continue"/>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20</w:t>
            </w:r>
          </w:p>
        </w:tc>
        <w:tc>
          <w:tcPr>
            <w:tcW w:w="567"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住宅</w:t>
            </w:r>
          </w:p>
        </w:tc>
        <w:tc>
          <w:tcPr>
            <w:tcW w:w="185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台安县大庆西路嘉泰园小区9-1-702</w:t>
            </w:r>
          </w:p>
        </w:tc>
        <w:tc>
          <w:tcPr>
            <w:tcW w:w="73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78.67</w:t>
            </w: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78,041.00</w:t>
            </w:r>
          </w:p>
        </w:tc>
        <w:tc>
          <w:tcPr>
            <w:tcW w:w="1068"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70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78,041.00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992</w:t>
            </w:r>
          </w:p>
        </w:tc>
        <w:tc>
          <w:tcPr>
            <w:tcW w:w="1068"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709" w:type="dxa"/>
            <w:vMerge w:val="continue"/>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21</w:t>
            </w:r>
          </w:p>
        </w:tc>
        <w:tc>
          <w:tcPr>
            <w:tcW w:w="567"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住宅</w:t>
            </w:r>
          </w:p>
        </w:tc>
        <w:tc>
          <w:tcPr>
            <w:tcW w:w="185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台安县大庆西路嘉泰园小区9-3-701</w:t>
            </w:r>
          </w:p>
        </w:tc>
        <w:tc>
          <w:tcPr>
            <w:tcW w:w="73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78.67</w:t>
            </w: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78,041.00</w:t>
            </w:r>
          </w:p>
        </w:tc>
        <w:tc>
          <w:tcPr>
            <w:tcW w:w="1068"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70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78,041.00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992</w:t>
            </w:r>
          </w:p>
        </w:tc>
        <w:tc>
          <w:tcPr>
            <w:tcW w:w="1068"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709" w:type="dxa"/>
            <w:vMerge w:val="continue"/>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22</w:t>
            </w:r>
          </w:p>
        </w:tc>
        <w:tc>
          <w:tcPr>
            <w:tcW w:w="567"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住宅</w:t>
            </w:r>
          </w:p>
        </w:tc>
        <w:tc>
          <w:tcPr>
            <w:tcW w:w="185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台安县大庆西路嘉泰园小区9-3-702</w:t>
            </w:r>
          </w:p>
        </w:tc>
        <w:tc>
          <w:tcPr>
            <w:tcW w:w="73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79.27</w:t>
            </w: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78,636.00</w:t>
            </w:r>
          </w:p>
        </w:tc>
        <w:tc>
          <w:tcPr>
            <w:tcW w:w="1068"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70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78,636.00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992</w:t>
            </w:r>
          </w:p>
        </w:tc>
        <w:tc>
          <w:tcPr>
            <w:tcW w:w="1068"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709" w:type="dxa"/>
            <w:vMerge w:val="continue"/>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23</w:t>
            </w:r>
          </w:p>
        </w:tc>
        <w:tc>
          <w:tcPr>
            <w:tcW w:w="567"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住宅</w:t>
            </w:r>
          </w:p>
        </w:tc>
        <w:tc>
          <w:tcPr>
            <w:tcW w:w="185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台安县大庆西路嘉泰园小区10-1-701</w:t>
            </w:r>
          </w:p>
        </w:tc>
        <w:tc>
          <w:tcPr>
            <w:tcW w:w="73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79.27</w:t>
            </w: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78,636.00</w:t>
            </w:r>
          </w:p>
        </w:tc>
        <w:tc>
          <w:tcPr>
            <w:tcW w:w="1068"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70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78,636.00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992</w:t>
            </w:r>
          </w:p>
        </w:tc>
        <w:tc>
          <w:tcPr>
            <w:tcW w:w="1068"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709" w:type="dxa"/>
            <w:vMerge w:val="continue"/>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24</w:t>
            </w:r>
          </w:p>
        </w:tc>
        <w:tc>
          <w:tcPr>
            <w:tcW w:w="567"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住宅</w:t>
            </w:r>
          </w:p>
        </w:tc>
        <w:tc>
          <w:tcPr>
            <w:tcW w:w="185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台安县大庆西路嘉泰园小区10-1-702</w:t>
            </w:r>
          </w:p>
        </w:tc>
        <w:tc>
          <w:tcPr>
            <w:tcW w:w="73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78.67</w:t>
            </w: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78,041.00</w:t>
            </w:r>
          </w:p>
        </w:tc>
        <w:tc>
          <w:tcPr>
            <w:tcW w:w="1068"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70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78,041.00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992</w:t>
            </w:r>
          </w:p>
        </w:tc>
        <w:tc>
          <w:tcPr>
            <w:tcW w:w="1068"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709" w:type="dxa"/>
            <w:vMerge w:val="continue"/>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25</w:t>
            </w:r>
          </w:p>
        </w:tc>
        <w:tc>
          <w:tcPr>
            <w:tcW w:w="567"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住宅</w:t>
            </w:r>
          </w:p>
        </w:tc>
        <w:tc>
          <w:tcPr>
            <w:tcW w:w="185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台安县大庆西路嘉泰园小区10-2-701</w:t>
            </w:r>
          </w:p>
        </w:tc>
        <w:tc>
          <w:tcPr>
            <w:tcW w:w="73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78.67</w:t>
            </w: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78,041.00</w:t>
            </w:r>
          </w:p>
        </w:tc>
        <w:tc>
          <w:tcPr>
            <w:tcW w:w="1068"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70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78,041.00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992</w:t>
            </w:r>
          </w:p>
        </w:tc>
        <w:tc>
          <w:tcPr>
            <w:tcW w:w="1068"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709" w:type="dxa"/>
            <w:vMerge w:val="continue"/>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26</w:t>
            </w:r>
          </w:p>
        </w:tc>
        <w:tc>
          <w:tcPr>
            <w:tcW w:w="567"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住宅</w:t>
            </w:r>
          </w:p>
        </w:tc>
        <w:tc>
          <w:tcPr>
            <w:tcW w:w="185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台安县大庆西路嘉泰园小区10-2-702</w:t>
            </w:r>
          </w:p>
        </w:tc>
        <w:tc>
          <w:tcPr>
            <w:tcW w:w="73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78.67</w:t>
            </w: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78,041.00</w:t>
            </w:r>
          </w:p>
        </w:tc>
        <w:tc>
          <w:tcPr>
            <w:tcW w:w="1068"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70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78,041.00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992</w:t>
            </w:r>
          </w:p>
        </w:tc>
        <w:tc>
          <w:tcPr>
            <w:tcW w:w="1068"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709" w:type="dxa"/>
            <w:vMerge w:val="continue"/>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27</w:t>
            </w:r>
          </w:p>
        </w:tc>
        <w:tc>
          <w:tcPr>
            <w:tcW w:w="567"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住宅</w:t>
            </w:r>
          </w:p>
        </w:tc>
        <w:tc>
          <w:tcPr>
            <w:tcW w:w="185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台安县大庆西路嘉泰园小区10-3-701</w:t>
            </w:r>
          </w:p>
        </w:tc>
        <w:tc>
          <w:tcPr>
            <w:tcW w:w="73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78.67</w:t>
            </w: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78,041.00</w:t>
            </w:r>
          </w:p>
        </w:tc>
        <w:tc>
          <w:tcPr>
            <w:tcW w:w="1068"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70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78,041.00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992</w:t>
            </w:r>
          </w:p>
        </w:tc>
        <w:tc>
          <w:tcPr>
            <w:tcW w:w="1068"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709" w:type="dxa"/>
            <w:vMerge w:val="continue"/>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28</w:t>
            </w:r>
          </w:p>
        </w:tc>
        <w:tc>
          <w:tcPr>
            <w:tcW w:w="567"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住宅</w:t>
            </w:r>
          </w:p>
        </w:tc>
        <w:tc>
          <w:tcPr>
            <w:tcW w:w="185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台安县大庆西路嘉泰园小区10-3-702</w:t>
            </w:r>
          </w:p>
        </w:tc>
        <w:tc>
          <w:tcPr>
            <w:tcW w:w="73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79.27</w:t>
            </w: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78,636.00</w:t>
            </w:r>
          </w:p>
        </w:tc>
        <w:tc>
          <w:tcPr>
            <w:tcW w:w="1068"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70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78,636.00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992</w:t>
            </w:r>
          </w:p>
        </w:tc>
        <w:tc>
          <w:tcPr>
            <w:tcW w:w="1068"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709" w:type="dxa"/>
            <w:vMerge w:val="continue"/>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29</w:t>
            </w:r>
          </w:p>
        </w:tc>
        <w:tc>
          <w:tcPr>
            <w:tcW w:w="567"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住宅</w:t>
            </w:r>
          </w:p>
        </w:tc>
        <w:tc>
          <w:tcPr>
            <w:tcW w:w="185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台安县大庆西路嘉泰园小区11-1-701</w:t>
            </w:r>
          </w:p>
        </w:tc>
        <w:tc>
          <w:tcPr>
            <w:tcW w:w="73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79.58</w:t>
            </w: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78,943.00</w:t>
            </w:r>
          </w:p>
        </w:tc>
        <w:tc>
          <w:tcPr>
            <w:tcW w:w="1068"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70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78,943.00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992</w:t>
            </w:r>
          </w:p>
        </w:tc>
        <w:tc>
          <w:tcPr>
            <w:tcW w:w="1068"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709" w:type="dxa"/>
            <w:vMerge w:val="continue"/>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w:t>
            </w:r>
          </w:p>
        </w:tc>
        <w:tc>
          <w:tcPr>
            <w:tcW w:w="567"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住宅</w:t>
            </w:r>
          </w:p>
        </w:tc>
        <w:tc>
          <w:tcPr>
            <w:tcW w:w="185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台安县大庆西路嘉泰园小区11-1-702</w:t>
            </w:r>
          </w:p>
        </w:tc>
        <w:tc>
          <w:tcPr>
            <w:tcW w:w="73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78.97</w:t>
            </w: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78,338.00</w:t>
            </w:r>
          </w:p>
        </w:tc>
        <w:tc>
          <w:tcPr>
            <w:tcW w:w="1068"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70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78,338.00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992</w:t>
            </w:r>
          </w:p>
        </w:tc>
        <w:tc>
          <w:tcPr>
            <w:tcW w:w="1068"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709" w:type="dxa"/>
            <w:vMerge w:val="continue"/>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w:t>
            </w:r>
          </w:p>
        </w:tc>
        <w:tc>
          <w:tcPr>
            <w:tcW w:w="567"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住宅</w:t>
            </w:r>
          </w:p>
        </w:tc>
        <w:tc>
          <w:tcPr>
            <w:tcW w:w="185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台安县大庆西路嘉泰园小区11-2-701</w:t>
            </w:r>
          </w:p>
        </w:tc>
        <w:tc>
          <w:tcPr>
            <w:tcW w:w="73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78.97</w:t>
            </w: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78,338.00</w:t>
            </w:r>
          </w:p>
        </w:tc>
        <w:tc>
          <w:tcPr>
            <w:tcW w:w="1068"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70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78,338.00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992</w:t>
            </w:r>
          </w:p>
        </w:tc>
        <w:tc>
          <w:tcPr>
            <w:tcW w:w="1068"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709" w:type="dxa"/>
            <w:vMerge w:val="continue"/>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32</w:t>
            </w:r>
          </w:p>
        </w:tc>
        <w:tc>
          <w:tcPr>
            <w:tcW w:w="567"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住宅</w:t>
            </w:r>
          </w:p>
        </w:tc>
        <w:tc>
          <w:tcPr>
            <w:tcW w:w="185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台安县大庆西路嘉泰园小区11-2-702</w:t>
            </w:r>
          </w:p>
        </w:tc>
        <w:tc>
          <w:tcPr>
            <w:tcW w:w="73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78.58</w:t>
            </w: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77,951.00</w:t>
            </w:r>
          </w:p>
        </w:tc>
        <w:tc>
          <w:tcPr>
            <w:tcW w:w="1068"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70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77,951.00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992</w:t>
            </w:r>
          </w:p>
        </w:tc>
        <w:tc>
          <w:tcPr>
            <w:tcW w:w="1068"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709" w:type="dxa"/>
            <w:vMerge w:val="continue"/>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33</w:t>
            </w:r>
          </w:p>
        </w:tc>
        <w:tc>
          <w:tcPr>
            <w:tcW w:w="567"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车库</w:t>
            </w:r>
          </w:p>
        </w:tc>
        <w:tc>
          <w:tcPr>
            <w:tcW w:w="185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台安县大庆西路嘉泰园小区2号楼北侧东一</w:t>
            </w:r>
          </w:p>
        </w:tc>
        <w:tc>
          <w:tcPr>
            <w:tcW w:w="73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18.47</w:t>
            </w: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51,901.00</w:t>
            </w:r>
          </w:p>
        </w:tc>
        <w:tc>
          <w:tcPr>
            <w:tcW w:w="170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51,901.00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2,810.00</w:t>
            </w:r>
          </w:p>
        </w:tc>
        <w:tc>
          <w:tcPr>
            <w:tcW w:w="1709" w:type="dxa"/>
            <w:vMerge w:val="continue"/>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34</w:t>
            </w:r>
          </w:p>
        </w:tc>
        <w:tc>
          <w:tcPr>
            <w:tcW w:w="567"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仓库</w:t>
            </w:r>
          </w:p>
        </w:tc>
        <w:tc>
          <w:tcPr>
            <w:tcW w:w="185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台安县大庆西路嘉泰园小区2号楼北侧东二</w:t>
            </w:r>
          </w:p>
        </w:tc>
        <w:tc>
          <w:tcPr>
            <w:tcW w:w="73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8.51</w:t>
            </w: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23,164.00</w:t>
            </w:r>
          </w:p>
        </w:tc>
        <w:tc>
          <w:tcPr>
            <w:tcW w:w="170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23,164.00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2,722.00</w:t>
            </w:r>
          </w:p>
        </w:tc>
        <w:tc>
          <w:tcPr>
            <w:tcW w:w="1709" w:type="dxa"/>
            <w:vMerge w:val="continue"/>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35</w:t>
            </w:r>
          </w:p>
        </w:tc>
        <w:tc>
          <w:tcPr>
            <w:tcW w:w="567"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仓库</w:t>
            </w:r>
          </w:p>
        </w:tc>
        <w:tc>
          <w:tcPr>
            <w:tcW w:w="185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台安县大庆西路嘉泰园小区2号楼北侧东三</w:t>
            </w:r>
          </w:p>
        </w:tc>
        <w:tc>
          <w:tcPr>
            <w:tcW w:w="73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8.51</w:t>
            </w: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23,164.00</w:t>
            </w:r>
          </w:p>
        </w:tc>
        <w:tc>
          <w:tcPr>
            <w:tcW w:w="170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23,164.00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2,722.00</w:t>
            </w:r>
          </w:p>
        </w:tc>
        <w:tc>
          <w:tcPr>
            <w:tcW w:w="1709" w:type="dxa"/>
            <w:vMerge w:val="continue"/>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36</w:t>
            </w:r>
          </w:p>
        </w:tc>
        <w:tc>
          <w:tcPr>
            <w:tcW w:w="567"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车库</w:t>
            </w:r>
          </w:p>
        </w:tc>
        <w:tc>
          <w:tcPr>
            <w:tcW w:w="185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台安县大庆西路嘉泰园小区2号楼北侧东五</w:t>
            </w:r>
          </w:p>
        </w:tc>
        <w:tc>
          <w:tcPr>
            <w:tcW w:w="73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18.47</w:t>
            </w: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51,901.00</w:t>
            </w:r>
          </w:p>
        </w:tc>
        <w:tc>
          <w:tcPr>
            <w:tcW w:w="170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51,901.00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2,810.00</w:t>
            </w:r>
          </w:p>
        </w:tc>
        <w:tc>
          <w:tcPr>
            <w:tcW w:w="1709" w:type="dxa"/>
            <w:vMerge w:val="continue"/>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37</w:t>
            </w:r>
          </w:p>
        </w:tc>
        <w:tc>
          <w:tcPr>
            <w:tcW w:w="567"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车库</w:t>
            </w:r>
          </w:p>
        </w:tc>
        <w:tc>
          <w:tcPr>
            <w:tcW w:w="185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台安县大庆西路嘉泰园小区2号楼南侧东一</w:t>
            </w:r>
          </w:p>
        </w:tc>
        <w:tc>
          <w:tcPr>
            <w:tcW w:w="73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19.99</w:t>
            </w: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56,172.00</w:t>
            </w:r>
          </w:p>
        </w:tc>
        <w:tc>
          <w:tcPr>
            <w:tcW w:w="170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56,172.00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2,810.00</w:t>
            </w:r>
          </w:p>
        </w:tc>
        <w:tc>
          <w:tcPr>
            <w:tcW w:w="1709" w:type="dxa"/>
            <w:vMerge w:val="continue"/>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38</w:t>
            </w:r>
          </w:p>
        </w:tc>
        <w:tc>
          <w:tcPr>
            <w:tcW w:w="567"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车库</w:t>
            </w:r>
          </w:p>
        </w:tc>
        <w:tc>
          <w:tcPr>
            <w:tcW w:w="185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台安县大庆西路嘉泰园小区2号楼南侧东四</w:t>
            </w:r>
          </w:p>
        </w:tc>
        <w:tc>
          <w:tcPr>
            <w:tcW w:w="73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19.99</w:t>
            </w: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56,172.00</w:t>
            </w:r>
          </w:p>
        </w:tc>
        <w:tc>
          <w:tcPr>
            <w:tcW w:w="170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56,172.00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2,810.00</w:t>
            </w:r>
          </w:p>
        </w:tc>
        <w:tc>
          <w:tcPr>
            <w:tcW w:w="1709" w:type="dxa"/>
            <w:vMerge w:val="continue"/>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39</w:t>
            </w:r>
          </w:p>
        </w:tc>
        <w:tc>
          <w:tcPr>
            <w:tcW w:w="567"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车库</w:t>
            </w:r>
          </w:p>
        </w:tc>
        <w:tc>
          <w:tcPr>
            <w:tcW w:w="185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台安县大庆西路嘉泰园小区3号楼南侧东五</w:t>
            </w:r>
          </w:p>
        </w:tc>
        <w:tc>
          <w:tcPr>
            <w:tcW w:w="73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19.99</w:t>
            </w: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56,172.00</w:t>
            </w:r>
          </w:p>
        </w:tc>
        <w:tc>
          <w:tcPr>
            <w:tcW w:w="170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56,172.00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2,810.00</w:t>
            </w:r>
          </w:p>
        </w:tc>
        <w:tc>
          <w:tcPr>
            <w:tcW w:w="1709" w:type="dxa"/>
            <w:vMerge w:val="continue"/>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40</w:t>
            </w:r>
          </w:p>
        </w:tc>
        <w:tc>
          <w:tcPr>
            <w:tcW w:w="567"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车库</w:t>
            </w:r>
          </w:p>
        </w:tc>
        <w:tc>
          <w:tcPr>
            <w:tcW w:w="185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台安县大庆西路嘉泰园小区2号楼南侧东六</w:t>
            </w:r>
          </w:p>
        </w:tc>
        <w:tc>
          <w:tcPr>
            <w:tcW w:w="73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31.32</w:t>
            </w: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86,255.00</w:t>
            </w:r>
          </w:p>
        </w:tc>
        <w:tc>
          <w:tcPr>
            <w:tcW w:w="170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86,255.00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2,754.00</w:t>
            </w:r>
          </w:p>
        </w:tc>
        <w:tc>
          <w:tcPr>
            <w:tcW w:w="1709" w:type="dxa"/>
            <w:vMerge w:val="continue"/>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41</w:t>
            </w:r>
          </w:p>
        </w:tc>
        <w:tc>
          <w:tcPr>
            <w:tcW w:w="567"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车库</w:t>
            </w:r>
          </w:p>
        </w:tc>
        <w:tc>
          <w:tcPr>
            <w:tcW w:w="185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台安县大庆西路嘉泰园小区3号楼北侧东一</w:t>
            </w:r>
          </w:p>
        </w:tc>
        <w:tc>
          <w:tcPr>
            <w:tcW w:w="73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18.47</w:t>
            </w: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51,901.00</w:t>
            </w:r>
          </w:p>
        </w:tc>
        <w:tc>
          <w:tcPr>
            <w:tcW w:w="170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51,901.00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2,810.00</w:t>
            </w:r>
          </w:p>
        </w:tc>
        <w:tc>
          <w:tcPr>
            <w:tcW w:w="1709" w:type="dxa"/>
            <w:vMerge w:val="continue"/>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42</w:t>
            </w:r>
          </w:p>
        </w:tc>
        <w:tc>
          <w:tcPr>
            <w:tcW w:w="567"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仓库</w:t>
            </w:r>
          </w:p>
        </w:tc>
        <w:tc>
          <w:tcPr>
            <w:tcW w:w="185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台安县大庆西路嘉泰园小区3号楼北侧东二</w:t>
            </w:r>
          </w:p>
        </w:tc>
        <w:tc>
          <w:tcPr>
            <w:tcW w:w="73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8.51</w:t>
            </w: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23,164.00</w:t>
            </w:r>
          </w:p>
        </w:tc>
        <w:tc>
          <w:tcPr>
            <w:tcW w:w="170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23,164.00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2,722.00</w:t>
            </w:r>
          </w:p>
        </w:tc>
        <w:tc>
          <w:tcPr>
            <w:tcW w:w="1709" w:type="dxa"/>
            <w:vMerge w:val="continue"/>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43</w:t>
            </w:r>
          </w:p>
        </w:tc>
        <w:tc>
          <w:tcPr>
            <w:tcW w:w="567"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仓库</w:t>
            </w:r>
          </w:p>
        </w:tc>
        <w:tc>
          <w:tcPr>
            <w:tcW w:w="185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台安县大庆西路嘉泰园小区3号楼北侧东三</w:t>
            </w:r>
          </w:p>
        </w:tc>
        <w:tc>
          <w:tcPr>
            <w:tcW w:w="73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8.51</w:t>
            </w: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23,164.00</w:t>
            </w:r>
          </w:p>
        </w:tc>
        <w:tc>
          <w:tcPr>
            <w:tcW w:w="170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23,164.00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2,722.00</w:t>
            </w:r>
          </w:p>
        </w:tc>
        <w:tc>
          <w:tcPr>
            <w:tcW w:w="1709" w:type="dxa"/>
            <w:vMerge w:val="continue"/>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44</w:t>
            </w:r>
          </w:p>
        </w:tc>
        <w:tc>
          <w:tcPr>
            <w:tcW w:w="567"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车库</w:t>
            </w:r>
          </w:p>
        </w:tc>
        <w:tc>
          <w:tcPr>
            <w:tcW w:w="185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台安县大庆西路嘉泰园小区3号楼北侧东四</w:t>
            </w:r>
          </w:p>
        </w:tc>
        <w:tc>
          <w:tcPr>
            <w:tcW w:w="73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18.47</w:t>
            </w: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51,901.00</w:t>
            </w:r>
          </w:p>
        </w:tc>
        <w:tc>
          <w:tcPr>
            <w:tcW w:w="170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51,901.00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2,810.00</w:t>
            </w:r>
          </w:p>
        </w:tc>
        <w:tc>
          <w:tcPr>
            <w:tcW w:w="1709" w:type="dxa"/>
            <w:vMerge w:val="continue"/>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45</w:t>
            </w:r>
          </w:p>
        </w:tc>
        <w:tc>
          <w:tcPr>
            <w:tcW w:w="567"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车库</w:t>
            </w:r>
          </w:p>
        </w:tc>
        <w:tc>
          <w:tcPr>
            <w:tcW w:w="185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台安县大庆西路嘉泰园小区3号楼北侧东五</w:t>
            </w:r>
          </w:p>
        </w:tc>
        <w:tc>
          <w:tcPr>
            <w:tcW w:w="73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18.47</w:t>
            </w: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51,901.00</w:t>
            </w:r>
          </w:p>
        </w:tc>
        <w:tc>
          <w:tcPr>
            <w:tcW w:w="170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51,901.00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2,810.00</w:t>
            </w:r>
          </w:p>
        </w:tc>
        <w:tc>
          <w:tcPr>
            <w:tcW w:w="1709" w:type="dxa"/>
            <w:vMerge w:val="continue"/>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46</w:t>
            </w:r>
          </w:p>
        </w:tc>
        <w:tc>
          <w:tcPr>
            <w:tcW w:w="567"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仓库</w:t>
            </w:r>
          </w:p>
        </w:tc>
        <w:tc>
          <w:tcPr>
            <w:tcW w:w="185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台安县大庆西路嘉泰园小区3号楼北侧东六</w:t>
            </w:r>
          </w:p>
        </w:tc>
        <w:tc>
          <w:tcPr>
            <w:tcW w:w="73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8.51</w:t>
            </w: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23,164.00</w:t>
            </w:r>
          </w:p>
        </w:tc>
        <w:tc>
          <w:tcPr>
            <w:tcW w:w="170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23,164.00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2,722.00</w:t>
            </w:r>
          </w:p>
        </w:tc>
        <w:tc>
          <w:tcPr>
            <w:tcW w:w="1709" w:type="dxa"/>
            <w:vMerge w:val="continue"/>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47</w:t>
            </w:r>
          </w:p>
        </w:tc>
        <w:tc>
          <w:tcPr>
            <w:tcW w:w="567"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车库</w:t>
            </w:r>
          </w:p>
        </w:tc>
        <w:tc>
          <w:tcPr>
            <w:tcW w:w="185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台安县大庆西路嘉泰园小区4号楼北侧东一</w:t>
            </w:r>
          </w:p>
        </w:tc>
        <w:tc>
          <w:tcPr>
            <w:tcW w:w="73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18.47</w:t>
            </w: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51,901.00</w:t>
            </w:r>
          </w:p>
        </w:tc>
        <w:tc>
          <w:tcPr>
            <w:tcW w:w="170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51,901.00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2,810.00</w:t>
            </w:r>
          </w:p>
        </w:tc>
        <w:tc>
          <w:tcPr>
            <w:tcW w:w="1709" w:type="dxa"/>
            <w:vMerge w:val="continue"/>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48</w:t>
            </w:r>
          </w:p>
        </w:tc>
        <w:tc>
          <w:tcPr>
            <w:tcW w:w="567"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车库</w:t>
            </w:r>
          </w:p>
        </w:tc>
        <w:tc>
          <w:tcPr>
            <w:tcW w:w="185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台安县大庆西路嘉泰园小区4号楼北侧东五</w:t>
            </w:r>
          </w:p>
        </w:tc>
        <w:tc>
          <w:tcPr>
            <w:tcW w:w="73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18.47</w:t>
            </w: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51,901.00</w:t>
            </w:r>
          </w:p>
        </w:tc>
        <w:tc>
          <w:tcPr>
            <w:tcW w:w="170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51,901.00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2,810.00</w:t>
            </w:r>
          </w:p>
        </w:tc>
        <w:tc>
          <w:tcPr>
            <w:tcW w:w="1709" w:type="dxa"/>
            <w:vMerge w:val="continue"/>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49</w:t>
            </w:r>
          </w:p>
        </w:tc>
        <w:tc>
          <w:tcPr>
            <w:tcW w:w="567"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车库</w:t>
            </w:r>
          </w:p>
        </w:tc>
        <w:tc>
          <w:tcPr>
            <w:tcW w:w="185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台安县大庆西路嘉泰园小区4号楼北侧东八</w:t>
            </w:r>
          </w:p>
        </w:tc>
        <w:tc>
          <w:tcPr>
            <w:tcW w:w="73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18.77</w:t>
            </w: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52,744.00</w:t>
            </w:r>
          </w:p>
        </w:tc>
        <w:tc>
          <w:tcPr>
            <w:tcW w:w="170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52,744.00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2,810.00</w:t>
            </w:r>
          </w:p>
        </w:tc>
        <w:tc>
          <w:tcPr>
            <w:tcW w:w="1709" w:type="dxa"/>
            <w:vMerge w:val="continue"/>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50</w:t>
            </w:r>
          </w:p>
        </w:tc>
        <w:tc>
          <w:tcPr>
            <w:tcW w:w="567"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车库</w:t>
            </w:r>
          </w:p>
        </w:tc>
        <w:tc>
          <w:tcPr>
            <w:tcW w:w="185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台安县大庆西路嘉泰园小区4号楼南侧东一</w:t>
            </w:r>
          </w:p>
        </w:tc>
        <w:tc>
          <w:tcPr>
            <w:tcW w:w="73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19.99</w:t>
            </w: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56,172.00</w:t>
            </w:r>
          </w:p>
        </w:tc>
        <w:tc>
          <w:tcPr>
            <w:tcW w:w="170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56,172.00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2,810.00</w:t>
            </w:r>
          </w:p>
        </w:tc>
        <w:tc>
          <w:tcPr>
            <w:tcW w:w="1709" w:type="dxa"/>
            <w:vMerge w:val="continue"/>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51</w:t>
            </w:r>
          </w:p>
        </w:tc>
        <w:tc>
          <w:tcPr>
            <w:tcW w:w="567"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车库</w:t>
            </w:r>
          </w:p>
        </w:tc>
        <w:tc>
          <w:tcPr>
            <w:tcW w:w="185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台安县大庆西路嘉泰园小区4号楼南侧东二</w:t>
            </w:r>
          </w:p>
        </w:tc>
        <w:tc>
          <w:tcPr>
            <w:tcW w:w="73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31.21</w:t>
            </w: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85,952.00</w:t>
            </w:r>
          </w:p>
        </w:tc>
        <w:tc>
          <w:tcPr>
            <w:tcW w:w="170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85,952.00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2,754.00</w:t>
            </w:r>
          </w:p>
        </w:tc>
        <w:tc>
          <w:tcPr>
            <w:tcW w:w="1709" w:type="dxa"/>
            <w:vMerge w:val="continue"/>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52</w:t>
            </w:r>
          </w:p>
        </w:tc>
        <w:tc>
          <w:tcPr>
            <w:tcW w:w="567"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车库</w:t>
            </w:r>
          </w:p>
        </w:tc>
        <w:tc>
          <w:tcPr>
            <w:tcW w:w="185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台安县大庆西路嘉泰园小区4号楼南侧东四</w:t>
            </w:r>
          </w:p>
        </w:tc>
        <w:tc>
          <w:tcPr>
            <w:tcW w:w="73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19.99</w:t>
            </w: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56,172.00</w:t>
            </w:r>
          </w:p>
        </w:tc>
        <w:tc>
          <w:tcPr>
            <w:tcW w:w="170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56,172.00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2,810.00</w:t>
            </w:r>
          </w:p>
        </w:tc>
        <w:tc>
          <w:tcPr>
            <w:tcW w:w="1709" w:type="dxa"/>
            <w:vMerge w:val="continue"/>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53</w:t>
            </w:r>
          </w:p>
        </w:tc>
        <w:tc>
          <w:tcPr>
            <w:tcW w:w="567"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车库</w:t>
            </w:r>
          </w:p>
        </w:tc>
        <w:tc>
          <w:tcPr>
            <w:tcW w:w="185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台安县大庆西路嘉泰园小区4号楼南侧东五</w:t>
            </w:r>
          </w:p>
        </w:tc>
        <w:tc>
          <w:tcPr>
            <w:tcW w:w="73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19.99</w:t>
            </w: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56,172.00</w:t>
            </w:r>
          </w:p>
        </w:tc>
        <w:tc>
          <w:tcPr>
            <w:tcW w:w="170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56,172.00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2,810.00</w:t>
            </w:r>
          </w:p>
        </w:tc>
        <w:tc>
          <w:tcPr>
            <w:tcW w:w="1709" w:type="dxa"/>
            <w:vMerge w:val="continue"/>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54</w:t>
            </w:r>
          </w:p>
        </w:tc>
        <w:tc>
          <w:tcPr>
            <w:tcW w:w="567"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车库</w:t>
            </w:r>
          </w:p>
        </w:tc>
        <w:tc>
          <w:tcPr>
            <w:tcW w:w="185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台安县大庆西路嘉泰园小区4号楼南侧东八</w:t>
            </w:r>
          </w:p>
        </w:tc>
        <w:tc>
          <w:tcPr>
            <w:tcW w:w="73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20.32</w:t>
            </w: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57,099.00</w:t>
            </w:r>
          </w:p>
        </w:tc>
        <w:tc>
          <w:tcPr>
            <w:tcW w:w="170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57,099.00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2,810.00</w:t>
            </w:r>
          </w:p>
        </w:tc>
        <w:tc>
          <w:tcPr>
            <w:tcW w:w="1709" w:type="dxa"/>
            <w:vMerge w:val="continue"/>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55</w:t>
            </w:r>
          </w:p>
        </w:tc>
        <w:tc>
          <w:tcPr>
            <w:tcW w:w="567"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车库</w:t>
            </w:r>
          </w:p>
        </w:tc>
        <w:tc>
          <w:tcPr>
            <w:tcW w:w="185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台安县大庆西路嘉泰园小区5号楼1单元南侧1号</w:t>
            </w:r>
          </w:p>
        </w:tc>
        <w:tc>
          <w:tcPr>
            <w:tcW w:w="73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20.13</w:t>
            </w: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56,565.00</w:t>
            </w:r>
          </w:p>
        </w:tc>
        <w:tc>
          <w:tcPr>
            <w:tcW w:w="170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56,565.00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2,810.00</w:t>
            </w:r>
          </w:p>
        </w:tc>
        <w:tc>
          <w:tcPr>
            <w:tcW w:w="1709" w:type="dxa"/>
            <w:vMerge w:val="continue"/>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56</w:t>
            </w:r>
          </w:p>
        </w:tc>
        <w:tc>
          <w:tcPr>
            <w:tcW w:w="567"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仓库</w:t>
            </w:r>
          </w:p>
        </w:tc>
        <w:tc>
          <w:tcPr>
            <w:tcW w:w="185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台安县大庆西路嘉泰园小区5号楼1单元北侧东1号</w:t>
            </w:r>
          </w:p>
        </w:tc>
        <w:tc>
          <w:tcPr>
            <w:tcW w:w="73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13.73</w:t>
            </w: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37,373.00</w:t>
            </w:r>
          </w:p>
        </w:tc>
        <w:tc>
          <w:tcPr>
            <w:tcW w:w="170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37,373.00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2,722.00</w:t>
            </w:r>
          </w:p>
        </w:tc>
        <w:tc>
          <w:tcPr>
            <w:tcW w:w="1709" w:type="dxa"/>
            <w:vMerge w:val="continue"/>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57</w:t>
            </w:r>
          </w:p>
        </w:tc>
        <w:tc>
          <w:tcPr>
            <w:tcW w:w="567"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车库</w:t>
            </w:r>
          </w:p>
        </w:tc>
        <w:tc>
          <w:tcPr>
            <w:tcW w:w="185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台安县大庆西路嘉泰园小区5号楼3单元南侧1号</w:t>
            </w:r>
          </w:p>
        </w:tc>
        <w:tc>
          <w:tcPr>
            <w:tcW w:w="73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20.13</w:t>
            </w: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56,565.00</w:t>
            </w:r>
          </w:p>
        </w:tc>
        <w:tc>
          <w:tcPr>
            <w:tcW w:w="170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56,565.00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2,810.00</w:t>
            </w:r>
          </w:p>
        </w:tc>
        <w:tc>
          <w:tcPr>
            <w:tcW w:w="1709" w:type="dxa"/>
            <w:vMerge w:val="continue"/>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58</w:t>
            </w:r>
          </w:p>
        </w:tc>
        <w:tc>
          <w:tcPr>
            <w:tcW w:w="567"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车库</w:t>
            </w:r>
          </w:p>
        </w:tc>
        <w:tc>
          <w:tcPr>
            <w:tcW w:w="185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台安县大庆西路嘉泰园小区5号楼3单元北侧东2号</w:t>
            </w:r>
          </w:p>
        </w:tc>
        <w:tc>
          <w:tcPr>
            <w:tcW w:w="73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18.71</w:t>
            </w: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52,575.00</w:t>
            </w:r>
          </w:p>
        </w:tc>
        <w:tc>
          <w:tcPr>
            <w:tcW w:w="170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52,575.00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2,810.00</w:t>
            </w:r>
          </w:p>
        </w:tc>
        <w:tc>
          <w:tcPr>
            <w:tcW w:w="1709" w:type="dxa"/>
            <w:vMerge w:val="continue"/>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59</w:t>
            </w:r>
          </w:p>
        </w:tc>
        <w:tc>
          <w:tcPr>
            <w:tcW w:w="567"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车库</w:t>
            </w:r>
          </w:p>
        </w:tc>
        <w:tc>
          <w:tcPr>
            <w:tcW w:w="185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台安县大庆西路嘉泰园小区9号楼北侧东8</w:t>
            </w:r>
          </w:p>
        </w:tc>
        <w:tc>
          <w:tcPr>
            <w:tcW w:w="73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19.61</w:t>
            </w: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55,104.00</w:t>
            </w:r>
          </w:p>
        </w:tc>
        <w:tc>
          <w:tcPr>
            <w:tcW w:w="170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55,104.00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2,810.00</w:t>
            </w:r>
          </w:p>
        </w:tc>
        <w:tc>
          <w:tcPr>
            <w:tcW w:w="1709" w:type="dxa"/>
            <w:vMerge w:val="continue"/>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60</w:t>
            </w:r>
          </w:p>
        </w:tc>
        <w:tc>
          <w:tcPr>
            <w:tcW w:w="567"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车库</w:t>
            </w:r>
          </w:p>
        </w:tc>
        <w:tc>
          <w:tcPr>
            <w:tcW w:w="185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台安县大庆西路嘉泰园小区9号楼北侧东9</w:t>
            </w:r>
          </w:p>
        </w:tc>
        <w:tc>
          <w:tcPr>
            <w:tcW w:w="73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19.61</w:t>
            </w: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55,104.00</w:t>
            </w:r>
          </w:p>
        </w:tc>
        <w:tc>
          <w:tcPr>
            <w:tcW w:w="170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55,104.00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2,810.00</w:t>
            </w:r>
          </w:p>
        </w:tc>
        <w:tc>
          <w:tcPr>
            <w:tcW w:w="1709" w:type="dxa"/>
            <w:vMerge w:val="continue"/>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61</w:t>
            </w:r>
          </w:p>
        </w:tc>
        <w:tc>
          <w:tcPr>
            <w:tcW w:w="567"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仓库</w:t>
            </w:r>
          </w:p>
        </w:tc>
        <w:tc>
          <w:tcPr>
            <w:tcW w:w="185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台安县大庆西路嘉泰园小区9号楼北侧东11</w:t>
            </w:r>
          </w:p>
        </w:tc>
        <w:tc>
          <w:tcPr>
            <w:tcW w:w="73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9.43</w:t>
            </w: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25,668.00</w:t>
            </w:r>
          </w:p>
        </w:tc>
        <w:tc>
          <w:tcPr>
            <w:tcW w:w="170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25,668.00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2,722.00</w:t>
            </w:r>
          </w:p>
        </w:tc>
        <w:tc>
          <w:tcPr>
            <w:tcW w:w="1709" w:type="dxa"/>
            <w:vMerge w:val="continue"/>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62</w:t>
            </w:r>
          </w:p>
        </w:tc>
        <w:tc>
          <w:tcPr>
            <w:tcW w:w="567"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车库</w:t>
            </w:r>
          </w:p>
        </w:tc>
        <w:tc>
          <w:tcPr>
            <w:tcW w:w="185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台安县大庆西路嘉泰园小区9号楼北侧东12</w:t>
            </w:r>
          </w:p>
        </w:tc>
        <w:tc>
          <w:tcPr>
            <w:tcW w:w="73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19.91</w:t>
            </w: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55,947.00</w:t>
            </w:r>
          </w:p>
        </w:tc>
        <w:tc>
          <w:tcPr>
            <w:tcW w:w="170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55,947.00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2,810.00</w:t>
            </w:r>
          </w:p>
        </w:tc>
        <w:tc>
          <w:tcPr>
            <w:tcW w:w="1709" w:type="dxa"/>
            <w:vMerge w:val="continue"/>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63</w:t>
            </w:r>
          </w:p>
        </w:tc>
        <w:tc>
          <w:tcPr>
            <w:tcW w:w="567"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车库</w:t>
            </w:r>
          </w:p>
        </w:tc>
        <w:tc>
          <w:tcPr>
            <w:tcW w:w="185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台安县大庆西路嘉泰园小区9号楼南侧东5</w:t>
            </w:r>
          </w:p>
        </w:tc>
        <w:tc>
          <w:tcPr>
            <w:tcW w:w="73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21.23</w:t>
            </w: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59,656.00</w:t>
            </w:r>
          </w:p>
        </w:tc>
        <w:tc>
          <w:tcPr>
            <w:tcW w:w="170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59,656.00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2,810.00</w:t>
            </w:r>
          </w:p>
        </w:tc>
        <w:tc>
          <w:tcPr>
            <w:tcW w:w="1709" w:type="dxa"/>
            <w:vMerge w:val="continue"/>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64</w:t>
            </w:r>
          </w:p>
        </w:tc>
        <w:tc>
          <w:tcPr>
            <w:tcW w:w="567"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车库</w:t>
            </w:r>
          </w:p>
        </w:tc>
        <w:tc>
          <w:tcPr>
            <w:tcW w:w="185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台安县大庆西路嘉泰园小区9号楼南侧东6</w:t>
            </w:r>
          </w:p>
        </w:tc>
        <w:tc>
          <w:tcPr>
            <w:tcW w:w="73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33.44</w:t>
            </w: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92,094.00</w:t>
            </w:r>
          </w:p>
        </w:tc>
        <w:tc>
          <w:tcPr>
            <w:tcW w:w="170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92,094.00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2,754.00</w:t>
            </w:r>
          </w:p>
        </w:tc>
        <w:tc>
          <w:tcPr>
            <w:tcW w:w="1709" w:type="dxa"/>
            <w:vMerge w:val="continue"/>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65</w:t>
            </w:r>
          </w:p>
        </w:tc>
        <w:tc>
          <w:tcPr>
            <w:tcW w:w="567"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车库</w:t>
            </w:r>
          </w:p>
        </w:tc>
        <w:tc>
          <w:tcPr>
            <w:tcW w:w="185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台安县大庆西路嘉泰园小区9号楼南侧东7</w:t>
            </w:r>
          </w:p>
        </w:tc>
        <w:tc>
          <w:tcPr>
            <w:tcW w:w="73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33.44</w:t>
            </w: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92,094.00</w:t>
            </w:r>
          </w:p>
        </w:tc>
        <w:tc>
          <w:tcPr>
            <w:tcW w:w="170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92,094.00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2,754.00</w:t>
            </w:r>
          </w:p>
        </w:tc>
        <w:tc>
          <w:tcPr>
            <w:tcW w:w="1709" w:type="dxa"/>
            <w:vMerge w:val="continue"/>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66</w:t>
            </w:r>
          </w:p>
        </w:tc>
        <w:tc>
          <w:tcPr>
            <w:tcW w:w="567"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车库</w:t>
            </w:r>
          </w:p>
        </w:tc>
        <w:tc>
          <w:tcPr>
            <w:tcW w:w="185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台安县大庆西路嘉泰园小区9号楼南侧东8</w:t>
            </w:r>
          </w:p>
        </w:tc>
        <w:tc>
          <w:tcPr>
            <w:tcW w:w="73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21.23</w:t>
            </w: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59,656.00</w:t>
            </w:r>
          </w:p>
        </w:tc>
        <w:tc>
          <w:tcPr>
            <w:tcW w:w="170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59,656.00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2,810.00</w:t>
            </w:r>
          </w:p>
        </w:tc>
        <w:tc>
          <w:tcPr>
            <w:tcW w:w="1709" w:type="dxa"/>
            <w:vMerge w:val="continue"/>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67</w:t>
            </w:r>
          </w:p>
        </w:tc>
        <w:tc>
          <w:tcPr>
            <w:tcW w:w="567"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车库</w:t>
            </w:r>
          </w:p>
        </w:tc>
        <w:tc>
          <w:tcPr>
            <w:tcW w:w="185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台安县大庆西路嘉泰园小区9号楼南侧东9</w:t>
            </w:r>
          </w:p>
        </w:tc>
        <w:tc>
          <w:tcPr>
            <w:tcW w:w="73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21.23</w:t>
            </w: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59,656.00</w:t>
            </w:r>
          </w:p>
        </w:tc>
        <w:tc>
          <w:tcPr>
            <w:tcW w:w="170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59,656.00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2,810.00</w:t>
            </w:r>
          </w:p>
        </w:tc>
        <w:tc>
          <w:tcPr>
            <w:tcW w:w="1709" w:type="dxa"/>
            <w:vMerge w:val="continue"/>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68</w:t>
            </w:r>
          </w:p>
        </w:tc>
        <w:tc>
          <w:tcPr>
            <w:tcW w:w="567"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车库</w:t>
            </w:r>
          </w:p>
        </w:tc>
        <w:tc>
          <w:tcPr>
            <w:tcW w:w="185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台安县大庆西路嘉泰园小区9号楼南侧东10</w:t>
            </w:r>
          </w:p>
        </w:tc>
        <w:tc>
          <w:tcPr>
            <w:tcW w:w="73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33.44</w:t>
            </w: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92,094.00</w:t>
            </w:r>
          </w:p>
        </w:tc>
        <w:tc>
          <w:tcPr>
            <w:tcW w:w="170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92,094.00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2,754.00</w:t>
            </w:r>
          </w:p>
        </w:tc>
        <w:tc>
          <w:tcPr>
            <w:tcW w:w="1709" w:type="dxa"/>
            <w:vMerge w:val="continue"/>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69</w:t>
            </w:r>
          </w:p>
        </w:tc>
        <w:tc>
          <w:tcPr>
            <w:tcW w:w="567"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车库</w:t>
            </w:r>
          </w:p>
        </w:tc>
        <w:tc>
          <w:tcPr>
            <w:tcW w:w="185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台安县大庆西路嘉泰园小区9号楼南侧东11</w:t>
            </w:r>
          </w:p>
        </w:tc>
        <w:tc>
          <w:tcPr>
            <w:tcW w:w="73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33.44</w:t>
            </w: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92,094.00</w:t>
            </w:r>
          </w:p>
        </w:tc>
        <w:tc>
          <w:tcPr>
            <w:tcW w:w="170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92,094.00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2,754.00</w:t>
            </w:r>
          </w:p>
        </w:tc>
        <w:tc>
          <w:tcPr>
            <w:tcW w:w="1709" w:type="dxa"/>
            <w:vMerge w:val="continue"/>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70</w:t>
            </w:r>
          </w:p>
        </w:tc>
        <w:tc>
          <w:tcPr>
            <w:tcW w:w="567"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车库</w:t>
            </w:r>
          </w:p>
        </w:tc>
        <w:tc>
          <w:tcPr>
            <w:tcW w:w="185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台安县大庆西路嘉泰园小区9号楼南侧东12</w:t>
            </w:r>
          </w:p>
        </w:tc>
        <w:tc>
          <w:tcPr>
            <w:tcW w:w="73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21.56</w:t>
            </w: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60,584.00</w:t>
            </w:r>
          </w:p>
        </w:tc>
        <w:tc>
          <w:tcPr>
            <w:tcW w:w="170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60,584.00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2,810.00</w:t>
            </w:r>
          </w:p>
        </w:tc>
        <w:tc>
          <w:tcPr>
            <w:tcW w:w="1709" w:type="dxa"/>
            <w:vMerge w:val="continue"/>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71</w:t>
            </w:r>
          </w:p>
        </w:tc>
        <w:tc>
          <w:tcPr>
            <w:tcW w:w="567"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车库</w:t>
            </w:r>
          </w:p>
        </w:tc>
        <w:tc>
          <w:tcPr>
            <w:tcW w:w="185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台安县大庆西路嘉泰园小区10号楼北侧东1</w:t>
            </w:r>
          </w:p>
        </w:tc>
        <w:tc>
          <w:tcPr>
            <w:tcW w:w="73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19.91</w:t>
            </w: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55,947.00</w:t>
            </w:r>
          </w:p>
        </w:tc>
        <w:tc>
          <w:tcPr>
            <w:tcW w:w="170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55,947.00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2,810.00</w:t>
            </w:r>
          </w:p>
        </w:tc>
        <w:tc>
          <w:tcPr>
            <w:tcW w:w="1709" w:type="dxa"/>
            <w:vMerge w:val="continue"/>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72</w:t>
            </w:r>
          </w:p>
        </w:tc>
        <w:tc>
          <w:tcPr>
            <w:tcW w:w="567"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车库</w:t>
            </w:r>
          </w:p>
        </w:tc>
        <w:tc>
          <w:tcPr>
            <w:tcW w:w="185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台安县大庆西路嘉泰园小区10号楼北侧东4</w:t>
            </w:r>
          </w:p>
        </w:tc>
        <w:tc>
          <w:tcPr>
            <w:tcW w:w="73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19.61</w:t>
            </w: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55,104.00</w:t>
            </w:r>
          </w:p>
        </w:tc>
        <w:tc>
          <w:tcPr>
            <w:tcW w:w="170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55,104.00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2,810.00</w:t>
            </w:r>
          </w:p>
        </w:tc>
        <w:tc>
          <w:tcPr>
            <w:tcW w:w="1709" w:type="dxa"/>
            <w:vMerge w:val="continue"/>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73</w:t>
            </w:r>
          </w:p>
        </w:tc>
        <w:tc>
          <w:tcPr>
            <w:tcW w:w="567"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仓库</w:t>
            </w:r>
          </w:p>
        </w:tc>
        <w:tc>
          <w:tcPr>
            <w:tcW w:w="185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台安县大庆西路嘉泰园小区10号楼北侧东7</w:t>
            </w:r>
          </w:p>
        </w:tc>
        <w:tc>
          <w:tcPr>
            <w:tcW w:w="73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9.43</w:t>
            </w: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25,668.00</w:t>
            </w:r>
          </w:p>
        </w:tc>
        <w:tc>
          <w:tcPr>
            <w:tcW w:w="170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25,668.00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2,722.00</w:t>
            </w:r>
          </w:p>
        </w:tc>
        <w:tc>
          <w:tcPr>
            <w:tcW w:w="1709" w:type="dxa"/>
            <w:vMerge w:val="continue"/>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74</w:t>
            </w:r>
          </w:p>
        </w:tc>
        <w:tc>
          <w:tcPr>
            <w:tcW w:w="567"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车库</w:t>
            </w:r>
          </w:p>
        </w:tc>
        <w:tc>
          <w:tcPr>
            <w:tcW w:w="185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台安县大庆西路嘉泰园小区10号楼北侧东8</w:t>
            </w:r>
          </w:p>
        </w:tc>
        <w:tc>
          <w:tcPr>
            <w:tcW w:w="73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19.61</w:t>
            </w: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55,104.00</w:t>
            </w:r>
          </w:p>
        </w:tc>
        <w:tc>
          <w:tcPr>
            <w:tcW w:w="170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55,104.00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2,810.00</w:t>
            </w:r>
          </w:p>
        </w:tc>
        <w:tc>
          <w:tcPr>
            <w:tcW w:w="1709" w:type="dxa"/>
            <w:vMerge w:val="continue"/>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75</w:t>
            </w:r>
          </w:p>
        </w:tc>
        <w:tc>
          <w:tcPr>
            <w:tcW w:w="567"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车库</w:t>
            </w:r>
          </w:p>
        </w:tc>
        <w:tc>
          <w:tcPr>
            <w:tcW w:w="185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台安县大庆西路嘉泰园小区10号楼北侧东9</w:t>
            </w:r>
          </w:p>
        </w:tc>
        <w:tc>
          <w:tcPr>
            <w:tcW w:w="73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19.61</w:t>
            </w: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55,104.00</w:t>
            </w:r>
          </w:p>
        </w:tc>
        <w:tc>
          <w:tcPr>
            <w:tcW w:w="170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55,104.00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2,810.00</w:t>
            </w:r>
          </w:p>
        </w:tc>
        <w:tc>
          <w:tcPr>
            <w:tcW w:w="1709" w:type="dxa"/>
            <w:vMerge w:val="continue"/>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76</w:t>
            </w:r>
          </w:p>
        </w:tc>
        <w:tc>
          <w:tcPr>
            <w:tcW w:w="567"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仓库</w:t>
            </w:r>
          </w:p>
        </w:tc>
        <w:tc>
          <w:tcPr>
            <w:tcW w:w="185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台安县大庆西路嘉泰园小区10号楼北侧东10</w:t>
            </w:r>
          </w:p>
        </w:tc>
        <w:tc>
          <w:tcPr>
            <w:tcW w:w="73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9.43</w:t>
            </w: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25,668.00</w:t>
            </w:r>
          </w:p>
        </w:tc>
        <w:tc>
          <w:tcPr>
            <w:tcW w:w="170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25,668.00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2,722.00</w:t>
            </w:r>
          </w:p>
        </w:tc>
        <w:tc>
          <w:tcPr>
            <w:tcW w:w="1709" w:type="dxa"/>
            <w:vMerge w:val="continue"/>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77</w:t>
            </w:r>
          </w:p>
        </w:tc>
        <w:tc>
          <w:tcPr>
            <w:tcW w:w="567"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仓库</w:t>
            </w:r>
          </w:p>
        </w:tc>
        <w:tc>
          <w:tcPr>
            <w:tcW w:w="185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台安县大庆西路嘉泰园小区10号楼北侧东11</w:t>
            </w:r>
          </w:p>
        </w:tc>
        <w:tc>
          <w:tcPr>
            <w:tcW w:w="73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9.43</w:t>
            </w: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25,668.00</w:t>
            </w:r>
          </w:p>
        </w:tc>
        <w:tc>
          <w:tcPr>
            <w:tcW w:w="170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25,668.00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2,722.00</w:t>
            </w:r>
          </w:p>
        </w:tc>
        <w:tc>
          <w:tcPr>
            <w:tcW w:w="1709" w:type="dxa"/>
            <w:vMerge w:val="continue"/>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78</w:t>
            </w:r>
          </w:p>
        </w:tc>
        <w:tc>
          <w:tcPr>
            <w:tcW w:w="567"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车库</w:t>
            </w:r>
          </w:p>
        </w:tc>
        <w:tc>
          <w:tcPr>
            <w:tcW w:w="185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台安县大庆西路嘉泰园小区10号楼北侧东12</w:t>
            </w:r>
          </w:p>
        </w:tc>
        <w:tc>
          <w:tcPr>
            <w:tcW w:w="73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19.91</w:t>
            </w: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55,947.00</w:t>
            </w:r>
          </w:p>
        </w:tc>
        <w:tc>
          <w:tcPr>
            <w:tcW w:w="170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55,947.00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2,810.00</w:t>
            </w:r>
          </w:p>
        </w:tc>
        <w:tc>
          <w:tcPr>
            <w:tcW w:w="1709" w:type="dxa"/>
            <w:vMerge w:val="continue"/>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79</w:t>
            </w:r>
          </w:p>
        </w:tc>
        <w:tc>
          <w:tcPr>
            <w:tcW w:w="567"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车库</w:t>
            </w:r>
          </w:p>
        </w:tc>
        <w:tc>
          <w:tcPr>
            <w:tcW w:w="185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台安县大庆西路嘉泰园小区10号楼南侧东7</w:t>
            </w:r>
          </w:p>
        </w:tc>
        <w:tc>
          <w:tcPr>
            <w:tcW w:w="73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33.44</w:t>
            </w: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92,094.00</w:t>
            </w:r>
          </w:p>
        </w:tc>
        <w:tc>
          <w:tcPr>
            <w:tcW w:w="170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92,094.00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2,754.00</w:t>
            </w:r>
          </w:p>
        </w:tc>
        <w:tc>
          <w:tcPr>
            <w:tcW w:w="1709" w:type="dxa"/>
            <w:vMerge w:val="continue"/>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80</w:t>
            </w:r>
          </w:p>
        </w:tc>
        <w:tc>
          <w:tcPr>
            <w:tcW w:w="567"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车库</w:t>
            </w:r>
          </w:p>
        </w:tc>
        <w:tc>
          <w:tcPr>
            <w:tcW w:w="185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台安县大庆西路嘉泰园小区10号楼南侧东10</w:t>
            </w:r>
          </w:p>
        </w:tc>
        <w:tc>
          <w:tcPr>
            <w:tcW w:w="73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33.44</w:t>
            </w: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92,094.00</w:t>
            </w:r>
          </w:p>
        </w:tc>
        <w:tc>
          <w:tcPr>
            <w:tcW w:w="170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92,094.00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2,754.00</w:t>
            </w:r>
          </w:p>
        </w:tc>
        <w:tc>
          <w:tcPr>
            <w:tcW w:w="1709" w:type="dxa"/>
            <w:vMerge w:val="continue"/>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81</w:t>
            </w:r>
          </w:p>
        </w:tc>
        <w:tc>
          <w:tcPr>
            <w:tcW w:w="567"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车库</w:t>
            </w:r>
          </w:p>
        </w:tc>
        <w:tc>
          <w:tcPr>
            <w:tcW w:w="185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台安县大庆西路嘉泰园小区10号楼南侧东11</w:t>
            </w:r>
          </w:p>
        </w:tc>
        <w:tc>
          <w:tcPr>
            <w:tcW w:w="73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33.44</w:t>
            </w: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92,094.00</w:t>
            </w:r>
          </w:p>
        </w:tc>
        <w:tc>
          <w:tcPr>
            <w:tcW w:w="170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92,094.00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2,754.00</w:t>
            </w:r>
          </w:p>
        </w:tc>
        <w:tc>
          <w:tcPr>
            <w:tcW w:w="1709" w:type="dxa"/>
            <w:vMerge w:val="continue"/>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82</w:t>
            </w:r>
          </w:p>
        </w:tc>
        <w:tc>
          <w:tcPr>
            <w:tcW w:w="567"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车库</w:t>
            </w:r>
          </w:p>
        </w:tc>
        <w:tc>
          <w:tcPr>
            <w:tcW w:w="185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台安县大庆西路嘉泰园小区10号楼南侧东12</w:t>
            </w:r>
          </w:p>
        </w:tc>
        <w:tc>
          <w:tcPr>
            <w:tcW w:w="73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21.56</w:t>
            </w: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60,584.00</w:t>
            </w:r>
          </w:p>
        </w:tc>
        <w:tc>
          <w:tcPr>
            <w:tcW w:w="170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60,584.00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2,810.00</w:t>
            </w:r>
          </w:p>
        </w:tc>
        <w:tc>
          <w:tcPr>
            <w:tcW w:w="1709" w:type="dxa"/>
            <w:vMerge w:val="continue"/>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83</w:t>
            </w:r>
          </w:p>
        </w:tc>
        <w:tc>
          <w:tcPr>
            <w:tcW w:w="567"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车库</w:t>
            </w:r>
          </w:p>
        </w:tc>
        <w:tc>
          <w:tcPr>
            <w:tcW w:w="185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台安县大庆西路嘉泰园小区11号楼北侧东1</w:t>
            </w:r>
          </w:p>
        </w:tc>
        <w:tc>
          <w:tcPr>
            <w:tcW w:w="73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20.07</w:t>
            </w: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56,397.00</w:t>
            </w:r>
          </w:p>
        </w:tc>
        <w:tc>
          <w:tcPr>
            <w:tcW w:w="170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56,397.00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2,810.00</w:t>
            </w:r>
          </w:p>
        </w:tc>
        <w:tc>
          <w:tcPr>
            <w:tcW w:w="1709" w:type="dxa"/>
            <w:vMerge w:val="continue"/>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84</w:t>
            </w:r>
          </w:p>
        </w:tc>
        <w:tc>
          <w:tcPr>
            <w:tcW w:w="567"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车库</w:t>
            </w:r>
          </w:p>
        </w:tc>
        <w:tc>
          <w:tcPr>
            <w:tcW w:w="185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台安县大庆西路嘉泰园小区11号楼北侧东4</w:t>
            </w:r>
          </w:p>
        </w:tc>
        <w:tc>
          <w:tcPr>
            <w:tcW w:w="73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19.77</w:t>
            </w: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55,554.00</w:t>
            </w:r>
          </w:p>
        </w:tc>
        <w:tc>
          <w:tcPr>
            <w:tcW w:w="170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55,554.00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2,810.00</w:t>
            </w:r>
          </w:p>
        </w:tc>
        <w:tc>
          <w:tcPr>
            <w:tcW w:w="1709" w:type="dxa"/>
            <w:vMerge w:val="continue"/>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85</w:t>
            </w:r>
          </w:p>
        </w:tc>
        <w:tc>
          <w:tcPr>
            <w:tcW w:w="567"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车库</w:t>
            </w:r>
          </w:p>
        </w:tc>
        <w:tc>
          <w:tcPr>
            <w:tcW w:w="185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台安县大庆西路嘉泰园小区11号楼北侧东5</w:t>
            </w:r>
          </w:p>
        </w:tc>
        <w:tc>
          <w:tcPr>
            <w:tcW w:w="73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19.77</w:t>
            </w: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55,554.00</w:t>
            </w:r>
          </w:p>
        </w:tc>
        <w:tc>
          <w:tcPr>
            <w:tcW w:w="170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55,554.00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2,810.00</w:t>
            </w:r>
          </w:p>
        </w:tc>
        <w:tc>
          <w:tcPr>
            <w:tcW w:w="1709" w:type="dxa"/>
            <w:vMerge w:val="continue"/>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86</w:t>
            </w:r>
          </w:p>
        </w:tc>
        <w:tc>
          <w:tcPr>
            <w:tcW w:w="567"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仓库</w:t>
            </w:r>
          </w:p>
        </w:tc>
        <w:tc>
          <w:tcPr>
            <w:tcW w:w="185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台安县大庆西路嘉泰园小区11号楼北侧东6</w:t>
            </w:r>
          </w:p>
        </w:tc>
        <w:tc>
          <w:tcPr>
            <w:tcW w:w="73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9.51</w:t>
            </w: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25,886.00</w:t>
            </w:r>
          </w:p>
        </w:tc>
        <w:tc>
          <w:tcPr>
            <w:tcW w:w="170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25,886.00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2,722.00</w:t>
            </w:r>
          </w:p>
        </w:tc>
        <w:tc>
          <w:tcPr>
            <w:tcW w:w="1709" w:type="dxa"/>
            <w:vMerge w:val="continue"/>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87</w:t>
            </w:r>
          </w:p>
        </w:tc>
        <w:tc>
          <w:tcPr>
            <w:tcW w:w="567"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仓库</w:t>
            </w:r>
          </w:p>
        </w:tc>
        <w:tc>
          <w:tcPr>
            <w:tcW w:w="185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台安县大庆西路嘉泰园小区11号楼北侧东7</w:t>
            </w:r>
          </w:p>
        </w:tc>
        <w:tc>
          <w:tcPr>
            <w:tcW w:w="73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9.51</w:t>
            </w: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25,886.00</w:t>
            </w:r>
          </w:p>
        </w:tc>
        <w:tc>
          <w:tcPr>
            <w:tcW w:w="170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25,886.00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2,722.00</w:t>
            </w:r>
          </w:p>
        </w:tc>
        <w:tc>
          <w:tcPr>
            <w:tcW w:w="1709" w:type="dxa"/>
            <w:vMerge w:val="continue"/>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88</w:t>
            </w:r>
          </w:p>
        </w:tc>
        <w:tc>
          <w:tcPr>
            <w:tcW w:w="567"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车库</w:t>
            </w:r>
          </w:p>
        </w:tc>
        <w:tc>
          <w:tcPr>
            <w:tcW w:w="185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台安县大庆西路嘉泰园小区11号楼北侧东8</w:t>
            </w:r>
          </w:p>
        </w:tc>
        <w:tc>
          <w:tcPr>
            <w:tcW w:w="73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20.07</w:t>
            </w: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56,397.00</w:t>
            </w:r>
          </w:p>
        </w:tc>
        <w:tc>
          <w:tcPr>
            <w:tcW w:w="170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56,397.00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2,810.00</w:t>
            </w:r>
          </w:p>
        </w:tc>
        <w:tc>
          <w:tcPr>
            <w:tcW w:w="1709" w:type="dxa"/>
            <w:vMerge w:val="continue"/>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89</w:t>
            </w:r>
          </w:p>
        </w:tc>
        <w:tc>
          <w:tcPr>
            <w:tcW w:w="567"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车库</w:t>
            </w:r>
          </w:p>
        </w:tc>
        <w:tc>
          <w:tcPr>
            <w:tcW w:w="185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台安县大庆西路嘉泰园小区11号楼南侧东5</w:t>
            </w:r>
          </w:p>
        </w:tc>
        <w:tc>
          <w:tcPr>
            <w:tcW w:w="73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21.4</w:t>
            </w: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60,134.00</w:t>
            </w:r>
          </w:p>
        </w:tc>
        <w:tc>
          <w:tcPr>
            <w:tcW w:w="170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60,134.00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2,810.00</w:t>
            </w:r>
          </w:p>
        </w:tc>
        <w:tc>
          <w:tcPr>
            <w:tcW w:w="1709" w:type="dxa"/>
            <w:vMerge w:val="continue"/>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90</w:t>
            </w:r>
          </w:p>
        </w:tc>
        <w:tc>
          <w:tcPr>
            <w:tcW w:w="567"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车库</w:t>
            </w:r>
          </w:p>
        </w:tc>
        <w:tc>
          <w:tcPr>
            <w:tcW w:w="185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台安县大庆西路嘉泰园小区11号楼南侧东7</w:t>
            </w:r>
          </w:p>
        </w:tc>
        <w:tc>
          <w:tcPr>
            <w:tcW w:w="73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33.56</w:t>
            </w: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92,424.00</w:t>
            </w:r>
          </w:p>
        </w:tc>
        <w:tc>
          <w:tcPr>
            <w:tcW w:w="170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92,424.00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2,754.00</w:t>
            </w:r>
          </w:p>
        </w:tc>
        <w:tc>
          <w:tcPr>
            <w:tcW w:w="1709" w:type="dxa"/>
            <w:vMerge w:val="continue"/>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91</w:t>
            </w:r>
          </w:p>
        </w:tc>
        <w:tc>
          <w:tcPr>
            <w:tcW w:w="567" w:type="dxa"/>
            <w:vMerge w:val="restart"/>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车库</w:t>
            </w:r>
          </w:p>
        </w:tc>
        <w:tc>
          <w:tcPr>
            <w:tcW w:w="185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台安县大庆西路嘉泰园小区11号楼南侧东8</w:t>
            </w:r>
          </w:p>
        </w:tc>
        <w:tc>
          <w:tcPr>
            <w:tcW w:w="73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21.73</w:t>
            </w: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61,061.00</w:t>
            </w:r>
          </w:p>
        </w:tc>
        <w:tc>
          <w:tcPr>
            <w:tcW w:w="1709"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61,061.00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625" w:type="dxa"/>
            <w:vMerge w:val="continue"/>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5"/>
                <w:szCs w:val="15"/>
                <w:u w:val="none"/>
              </w:rPr>
            </w:pPr>
          </w:p>
        </w:tc>
        <w:tc>
          <w:tcPr>
            <w:tcW w:w="567" w:type="dxa"/>
            <w:vMerge w:val="continue"/>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5"/>
                <w:szCs w:val="15"/>
                <w:u w:val="none"/>
              </w:rPr>
            </w:pPr>
          </w:p>
        </w:tc>
        <w:tc>
          <w:tcPr>
            <w:tcW w:w="1859" w:type="dxa"/>
            <w:vMerge w:val="continue"/>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5"/>
                <w:szCs w:val="15"/>
                <w:u w:val="none"/>
              </w:rPr>
            </w:pPr>
          </w:p>
        </w:tc>
        <w:tc>
          <w:tcPr>
            <w:tcW w:w="739" w:type="dxa"/>
            <w:vMerge w:val="continue"/>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5"/>
                <w:szCs w:val="15"/>
                <w:u w:val="none"/>
              </w:rPr>
            </w:pPr>
          </w:p>
        </w:tc>
        <w:tc>
          <w:tcPr>
            <w:tcW w:w="16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2,810.00</w:t>
            </w:r>
          </w:p>
        </w:tc>
        <w:tc>
          <w:tcPr>
            <w:tcW w:w="1709" w:type="dxa"/>
            <w:vMerge w:val="continue"/>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8" w:hRule="atLeast"/>
          <w:jc w:val="center"/>
        </w:trPr>
        <w:tc>
          <w:tcPr>
            <w:tcW w:w="3051" w:type="dxa"/>
            <w:gridSpan w:val="3"/>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汇总评估价值</w:t>
            </w:r>
          </w:p>
        </w:tc>
        <w:tc>
          <w:tcPr>
            <w:tcW w:w="73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3626.48</w:t>
            </w:r>
          </w:p>
        </w:tc>
        <w:tc>
          <w:tcPr>
            <w:tcW w:w="1609"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5"/>
                <w:szCs w:val="15"/>
                <w:u w:val="none"/>
              </w:rPr>
            </w:pPr>
          </w:p>
        </w:tc>
        <w:tc>
          <w:tcPr>
            <w:tcW w:w="1121"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709"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5,710,415.00</w:t>
            </w:r>
          </w:p>
        </w:tc>
      </w:tr>
    </w:tbl>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both"/>
        <w:textAlignment w:val="auto"/>
        <w:outlineLvl w:val="9"/>
        <w:rPr>
          <w:rFonts w:hint="eastAsia" w:ascii="华文中宋" w:hAnsi="华文中宋" w:eastAsia="华文中宋" w:cs="华文中宋"/>
          <w:szCs w:val="24"/>
        </w:rPr>
      </w:pPr>
      <w:r>
        <w:rPr>
          <w:rFonts w:hint="eastAsia" w:ascii="华文中宋" w:hAnsi="华文中宋" w:eastAsia="华文中宋" w:cs="华文中宋"/>
          <w:szCs w:val="24"/>
          <w:lang w:val="en-US" w:eastAsia="zh-CN"/>
        </w:rPr>
        <w:t xml:space="preserve"> </w:t>
      </w:r>
    </w:p>
    <w:p>
      <w:pPr>
        <w:keepNext w:val="0"/>
        <w:keepLines w:val="0"/>
        <w:pageBreakBefore w:val="0"/>
        <w:widowControl w:val="0"/>
        <w:numPr>
          <w:ilvl w:val="0"/>
          <w:numId w:val="2"/>
        </w:numPr>
        <w:kinsoku/>
        <w:wordWrap/>
        <w:overflowPunct/>
        <w:topLinePunct w:val="0"/>
        <w:autoSpaceDE/>
        <w:autoSpaceDN/>
        <w:bidi w:val="0"/>
        <w:adjustRightInd w:val="0"/>
        <w:snapToGrid w:val="0"/>
        <w:spacing w:line="500" w:lineRule="exact"/>
        <w:ind w:left="0" w:leftChars="0" w:right="0" w:rightChars="0" w:firstLine="480" w:firstLineChars="200"/>
        <w:jc w:val="both"/>
        <w:textAlignment w:val="auto"/>
        <w:outlineLvl w:val="9"/>
        <w:rPr>
          <w:rFonts w:hint="eastAsia" w:ascii="华文中宋" w:hAnsi="华文中宋" w:eastAsia="华文中宋" w:cs="华文中宋"/>
          <w:szCs w:val="24"/>
        </w:rPr>
      </w:pPr>
      <w:r>
        <w:rPr>
          <w:rFonts w:hint="eastAsia" w:ascii="华文中宋" w:hAnsi="华文中宋" w:eastAsia="华文中宋" w:cs="华文中宋"/>
          <w:szCs w:val="24"/>
        </w:rPr>
        <w:t>特别提示：</w:t>
      </w:r>
    </w:p>
    <w:p>
      <w:pPr>
        <w:keepNext w:val="0"/>
        <w:keepLines w:val="0"/>
        <w:pageBreakBefore w:val="0"/>
        <w:widowControl w:val="0"/>
        <w:numPr>
          <w:ilvl w:val="0"/>
          <w:numId w:val="3"/>
        </w:numPr>
        <w:kinsoku/>
        <w:wordWrap/>
        <w:overflowPunct/>
        <w:topLinePunct w:val="0"/>
        <w:autoSpaceDE/>
        <w:autoSpaceDN/>
        <w:bidi w:val="0"/>
        <w:adjustRightInd w:val="0"/>
        <w:snapToGrid w:val="0"/>
        <w:spacing w:line="500" w:lineRule="exact"/>
        <w:ind w:left="0" w:leftChars="0" w:right="0" w:rightChars="0" w:firstLine="480" w:firstLineChars="200"/>
        <w:jc w:val="both"/>
        <w:textAlignment w:val="auto"/>
        <w:outlineLvl w:val="9"/>
        <w:rPr>
          <w:rFonts w:hint="eastAsia" w:ascii="华文中宋" w:hAnsi="华文中宋" w:eastAsia="华文中宋" w:cs="华文中宋"/>
          <w:szCs w:val="24"/>
        </w:rPr>
      </w:pPr>
      <w:r>
        <w:rPr>
          <w:rFonts w:hint="eastAsia" w:ascii="华文中宋" w:hAnsi="华文中宋" w:eastAsia="华文中宋" w:cs="华文中宋"/>
          <w:szCs w:val="24"/>
          <w:highlight w:val="none"/>
          <w:lang w:eastAsia="zh-CN"/>
        </w:rPr>
        <w:t>本次估价结果</w:t>
      </w:r>
      <w:r>
        <w:rPr>
          <w:rFonts w:hint="eastAsia" w:ascii="华文中宋" w:hAnsi="华文中宋" w:cs="华文中宋"/>
          <w:szCs w:val="24"/>
          <w:highlight w:val="none"/>
          <w:lang w:eastAsia="zh-CN"/>
        </w:rPr>
        <w:t>车库及仓库</w:t>
      </w:r>
      <w:r>
        <w:rPr>
          <w:rFonts w:hint="eastAsia" w:ascii="华文中宋" w:hAnsi="华文中宋" w:eastAsia="华文中宋" w:cs="华文中宋"/>
          <w:szCs w:val="24"/>
          <w:highlight w:val="none"/>
          <w:lang w:eastAsia="zh-CN"/>
        </w:rPr>
        <w:t>包含委估对象所分摊国有土地使用权、</w:t>
      </w:r>
      <w:r>
        <w:rPr>
          <w:rFonts w:hint="eastAsia" w:ascii="华文中宋" w:hAnsi="华文中宋" w:cs="华文中宋"/>
          <w:szCs w:val="24"/>
          <w:highlight w:val="none"/>
          <w:lang w:eastAsia="zh-CN"/>
        </w:rPr>
        <w:t>与房屋建筑物相连接不可分割装饰装修及</w:t>
      </w:r>
      <w:r>
        <w:rPr>
          <w:rFonts w:hint="eastAsia" w:ascii="华文中宋" w:hAnsi="华文中宋" w:eastAsia="华文中宋" w:cs="华文中宋"/>
          <w:szCs w:val="24"/>
          <w:highlight w:val="none"/>
          <w:lang w:eastAsia="zh-CN"/>
        </w:rPr>
        <w:t>保证房屋正常使用功能的配套设施等</w:t>
      </w:r>
      <w:r>
        <w:rPr>
          <w:rFonts w:hint="eastAsia" w:ascii="华文中宋" w:hAnsi="华文中宋" w:cs="华文中宋"/>
          <w:szCs w:val="24"/>
          <w:highlight w:val="none"/>
          <w:lang w:eastAsia="zh-CN"/>
        </w:rPr>
        <w:t>；住宅</w:t>
      </w:r>
      <w:r>
        <w:rPr>
          <w:rFonts w:hint="eastAsia" w:ascii="华文中宋" w:hAnsi="华文中宋" w:eastAsia="华文中宋" w:cs="华文中宋"/>
          <w:szCs w:val="24"/>
          <w:highlight w:val="none"/>
          <w:lang w:eastAsia="zh-CN"/>
        </w:rPr>
        <w:t>包含</w:t>
      </w:r>
      <w:r>
        <w:rPr>
          <w:rFonts w:hint="eastAsia" w:ascii="华文中宋" w:hAnsi="华文中宋" w:cs="华文中宋"/>
          <w:szCs w:val="24"/>
          <w:highlight w:val="none"/>
          <w:lang w:eastAsia="zh-CN"/>
        </w:rPr>
        <w:t>与房屋建筑物相连接不可分割装饰装修及</w:t>
      </w:r>
      <w:r>
        <w:rPr>
          <w:rFonts w:hint="eastAsia" w:ascii="华文中宋" w:hAnsi="华文中宋" w:eastAsia="华文中宋" w:cs="华文中宋"/>
          <w:szCs w:val="24"/>
          <w:highlight w:val="none"/>
          <w:lang w:eastAsia="zh-CN"/>
        </w:rPr>
        <w:t>保证房屋正常使用功能的配套设施等</w:t>
      </w:r>
      <w:r>
        <w:rPr>
          <w:rFonts w:hint="eastAsia" w:ascii="华文中宋" w:hAnsi="华文中宋" w:cs="华文中宋"/>
          <w:szCs w:val="24"/>
          <w:highlight w:val="none"/>
          <w:lang w:eastAsia="zh-CN"/>
        </w:rPr>
        <w:t>，不包含</w:t>
      </w:r>
      <w:r>
        <w:rPr>
          <w:rFonts w:hint="eastAsia" w:ascii="华文中宋" w:hAnsi="华文中宋" w:eastAsia="华文中宋" w:cs="华文中宋"/>
          <w:szCs w:val="24"/>
          <w:highlight w:val="none"/>
          <w:lang w:eastAsia="zh-CN"/>
        </w:rPr>
        <w:t>委估对象所分摊国有土地使用权。</w:t>
      </w:r>
    </w:p>
    <w:p>
      <w:pPr>
        <w:keepNext w:val="0"/>
        <w:keepLines w:val="0"/>
        <w:pageBreakBefore w:val="0"/>
        <w:widowControl w:val="0"/>
        <w:kinsoku/>
        <w:wordWrap/>
        <w:overflowPunct/>
        <w:topLinePunct w:val="0"/>
        <w:autoSpaceDE/>
        <w:autoSpaceDN/>
        <w:bidi w:val="0"/>
        <w:adjustRightInd w:val="0"/>
        <w:snapToGrid w:val="0"/>
        <w:spacing w:line="500" w:lineRule="exact"/>
        <w:ind w:firstLine="480"/>
        <w:textAlignment w:val="auto"/>
        <w:rPr>
          <w:rFonts w:hint="eastAsia" w:ascii="华文中宋" w:hAnsi="华文中宋" w:eastAsia="华文中宋" w:cs="华文中宋"/>
          <w:szCs w:val="24"/>
        </w:rPr>
      </w:pPr>
      <w:r>
        <w:rPr>
          <w:rFonts w:hint="eastAsia" w:ascii="华文中宋" w:hAnsi="华文中宋" w:eastAsia="华文中宋" w:cs="华文中宋"/>
          <w:szCs w:val="24"/>
        </w:rPr>
        <w:t>2、估价对象状况与房地产市场状况因时间变化对房地产价值可能产生影响，当估价对象状况与房地产市场状况变动较大时，应重新</w:t>
      </w:r>
      <w:r>
        <w:rPr>
          <w:rFonts w:hint="eastAsia" w:ascii="华文中宋" w:hAnsi="华文中宋" w:eastAsia="华文中宋" w:cs="华文中宋"/>
          <w:szCs w:val="24"/>
          <w:lang w:eastAsia="zh-CN"/>
        </w:rPr>
        <w:t>进行</w:t>
      </w:r>
      <w:r>
        <w:rPr>
          <w:rFonts w:hint="eastAsia" w:ascii="华文中宋" w:hAnsi="华文中宋" w:eastAsia="华文中宋" w:cs="华文中宋"/>
          <w:szCs w:val="24"/>
        </w:rPr>
        <w:t>估价。</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480" w:firstLineChars="200"/>
        <w:jc w:val="both"/>
        <w:textAlignment w:val="auto"/>
        <w:outlineLvl w:val="9"/>
        <w:rPr>
          <w:rFonts w:hint="eastAsia" w:ascii="华文中宋" w:hAnsi="华文中宋" w:eastAsia="华文中宋" w:cs="华文中宋"/>
          <w:szCs w:val="24"/>
        </w:rPr>
      </w:pPr>
      <w:r>
        <w:rPr>
          <w:rFonts w:hint="eastAsia" w:ascii="华文中宋" w:hAnsi="华文中宋" w:eastAsia="华文中宋" w:cs="华文中宋"/>
          <w:szCs w:val="24"/>
          <w:lang w:val="en-US" w:eastAsia="zh-CN"/>
        </w:rPr>
        <w:t>3</w:t>
      </w:r>
      <w:r>
        <w:rPr>
          <w:rFonts w:hint="eastAsia" w:ascii="华文中宋" w:hAnsi="华文中宋" w:eastAsia="华文中宋" w:cs="华文中宋"/>
          <w:szCs w:val="24"/>
        </w:rPr>
        <w:t>、估价对象受货币政策、税收政策、城市规划调整等政策制度变化导致房地产价值的增减。</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480" w:firstLineChars="200"/>
        <w:jc w:val="both"/>
        <w:textAlignment w:val="auto"/>
        <w:outlineLvl w:val="9"/>
        <w:rPr>
          <w:rFonts w:hint="eastAsia" w:ascii="华文中宋" w:hAnsi="华文中宋" w:cs="华文中宋"/>
          <w:szCs w:val="24"/>
          <w:lang w:val="en-US" w:eastAsia="zh-CN"/>
        </w:rPr>
      </w:pPr>
      <w:r>
        <w:rPr>
          <w:rFonts w:hint="eastAsia" w:ascii="华文中宋" w:hAnsi="华文中宋" w:cs="华文中宋"/>
          <w:szCs w:val="24"/>
          <w:lang w:val="en-US" w:eastAsia="zh-CN"/>
        </w:rPr>
        <w:t>4、本次估价依据估价委托人提供的《嘉泰园小区委估房产清单》，确定委估对象的位置、建筑面积，如发生改变需重新进行评估。</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480" w:firstLineChars="200"/>
        <w:jc w:val="both"/>
        <w:textAlignment w:val="auto"/>
        <w:outlineLvl w:val="9"/>
        <w:rPr>
          <w:rFonts w:hint="default" w:ascii="华文中宋" w:hAnsi="华文中宋" w:cs="华文中宋"/>
          <w:szCs w:val="24"/>
          <w:lang w:val="en-US" w:eastAsia="zh-CN"/>
        </w:rPr>
      </w:pPr>
      <w:r>
        <w:rPr>
          <w:rFonts w:hint="eastAsia" w:ascii="华文中宋" w:hAnsi="华文中宋" w:cs="华文中宋"/>
          <w:szCs w:val="24"/>
          <w:lang w:val="en-US" w:eastAsia="zh-CN"/>
        </w:rPr>
        <w:t>5、委托人未提供《中华人民共和国不动产权证书》，据了解委估住宅房产为规划外建筑，因本次估价目的的特殊性，应委托人要求对委估无证住宅造价成本进行评估。</w:t>
      </w:r>
    </w:p>
    <w:p>
      <w:pPr>
        <w:keepNext w:val="0"/>
        <w:keepLines w:val="0"/>
        <w:pageBreakBefore w:val="0"/>
        <w:widowControl w:val="0"/>
        <w:kinsoku/>
        <w:wordWrap/>
        <w:overflowPunct/>
        <w:topLinePunct w:val="0"/>
        <w:autoSpaceDE/>
        <w:autoSpaceDN/>
        <w:bidi w:val="0"/>
        <w:adjustRightInd w:val="0"/>
        <w:snapToGrid w:val="0"/>
        <w:spacing w:line="460" w:lineRule="exact"/>
        <w:ind w:left="0" w:leftChars="0" w:right="0" w:rightChars="0" w:firstLine="480" w:firstLineChars="200"/>
        <w:jc w:val="both"/>
        <w:textAlignment w:val="auto"/>
        <w:outlineLvl w:val="9"/>
        <w:rPr>
          <w:rFonts w:hint="eastAsia" w:ascii="华文中宋" w:hAnsi="华文中宋" w:eastAsia="华文中宋" w:cs="华文中宋"/>
          <w:szCs w:val="24"/>
          <w:highlight w:val="none"/>
        </w:rPr>
      </w:pPr>
      <w:r>
        <w:rPr>
          <w:rFonts w:hint="eastAsia" w:ascii="华文中宋" w:hAnsi="华文中宋" w:cs="华文中宋"/>
          <w:szCs w:val="24"/>
          <w:highlight w:val="none"/>
          <w:lang w:val="en-US" w:eastAsia="zh-CN"/>
        </w:rPr>
        <w:t>6</w:t>
      </w:r>
      <w:r>
        <w:rPr>
          <w:rFonts w:hint="eastAsia" w:ascii="华文中宋" w:hAnsi="华文中宋" w:eastAsia="华文中宋" w:cs="华文中宋"/>
          <w:szCs w:val="24"/>
          <w:highlight w:val="none"/>
          <w:lang w:val="en-US" w:eastAsia="zh-CN"/>
        </w:rPr>
        <w:t>、本次估价结果自估价报告出具日期起一年内有效，即：</w:t>
      </w:r>
      <w:r>
        <w:rPr>
          <w:rFonts w:hint="eastAsia" w:ascii="华文中宋" w:hAnsi="华文中宋" w:cs="华文中宋"/>
          <w:szCs w:val="24"/>
          <w:highlight w:val="none"/>
          <w:lang w:val="en-US" w:eastAsia="zh-CN"/>
        </w:rPr>
        <w:t>2020年8月5日</w:t>
      </w:r>
      <w:r>
        <w:rPr>
          <w:rFonts w:hint="eastAsia" w:ascii="华文中宋" w:hAnsi="华文中宋" w:eastAsia="华文中宋" w:cs="华文中宋"/>
          <w:szCs w:val="24"/>
          <w:highlight w:val="none"/>
          <w:lang w:val="en-US" w:eastAsia="zh-CN"/>
        </w:rPr>
        <w:t>至</w:t>
      </w:r>
      <w:r>
        <w:rPr>
          <w:rFonts w:hint="eastAsia" w:ascii="华文中宋" w:hAnsi="华文中宋" w:cs="华文中宋"/>
          <w:szCs w:val="24"/>
          <w:highlight w:val="none"/>
          <w:lang w:val="en-US" w:eastAsia="zh-CN"/>
        </w:rPr>
        <w:t>2021年8月4日</w:t>
      </w:r>
      <w:r>
        <w:rPr>
          <w:rFonts w:hint="eastAsia" w:ascii="华文中宋" w:hAnsi="华文中宋" w:eastAsia="华文中宋" w:cs="华文中宋"/>
          <w:szCs w:val="24"/>
          <w:highlight w:val="none"/>
          <w:lang w:val="en-US" w:eastAsia="zh-CN"/>
        </w:rPr>
        <w:t>止。</w:t>
      </w:r>
    </w:p>
    <w:p>
      <w:pPr>
        <w:keepNext w:val="0"/>
        <w:keepLines w:val="0"/>
        <w:pageBreakBefore w:val="0"/>
        <w:widowControl w:val="0"/>
        <w:kinsoku/>
        <w:wordWrap/>
        <w:overflowPunct/>
        <w:topLinePunct w:val="0"/>
        <w:autoSpaceDE/>
        <w:autoSpaceDN/>
        <w:bidi w:val="0"/>
        <w:adjustRightInd w:val="0"/>
        <w:snapToGrid w:val="0"/>
        <w:spacing w:line="460" w:lineRule="exact"/>
        <w:ind w:left="0" w:leftChars="0" w:right="0" w:rightChars="0" w:firstLine="482" w:firstLineChars="200"/>
        <w:jc w:val="both"/>
        <w:textAlignment w:val="auto"/>
        <w:outlineLvl w:val="9"/>
        <w:rPr>
          <w:rFonts w:hint="eastAsia" w:ascii="华文中宋" w:hAnsi="华文中宋" w:eastAsia="华文中宋" w:cs="华文中宋"/>
          <w:szCs w:val="24"/>
          <w:highlight w:val="none"/>
        </w:rPr>
      </w:pPr>
      <w:r>
        <w:rPr>
          <w:rFonts w:hint="eastAsia" w:ascii="华文中宋" w:hAnsi="华文中宋" w:cs="华文中宋"/>
          <w:b/>
          <w:bCs/>
          <w:szCs w:val="24"/>
          <w:highlight w:val="none"/>
          <w:lang w:val="en-US" w:eastAsia="zh-CN"/>
        </w:rPr>
        <w:t>7</w:t>
      </w:r>
      <w:r>
        <w:rPr>
          <w:rFonts w:hint="eastAsia" w:ascii="华文中宋" w:hAnsi="华文中宋" w:eastAsia="华文中宋" w:cs="华文中宋"/>
          <w:b/>
          <w:bCs/>
          <w:szCs w:val="24"/>
          <w:highlight w:val="none"/>
          <w:lang w:val="en-US" w:eastAsia="zh-CN"/>
        </w:rPr>
        <w:t>、</w:t>
      </w:r>
      <w:r>
        <w:rPr>
          <w:rFonts w:hint="eastAsia" w:ascii="华文中宋" w:hAnsi="华文中宋" w:eastAsia="华文中宋" w:cs="华文中宋"/>
          <w:b/>
          <w:bCs/>
          <w:szCs w:val="24"/>
          <w:highlight w:val="none"/>
        </w:rPr>
        <w:t>如对评估结果有异议，请于估价报告送达之日起</w:t>
      </w:r>
      <w:r>
        <w:rPr>
          <w:rFonts w:hint="eastAsia" w:ascii="华文中宋" w:hAnsi="华文中宋" w:eastAsia="华文中宋" w:cs="华文中宋"/>
          <w:b/>
          <w:bCs/>
          <w:szCs w:val="24"/>
          <w:highlight w:val="none"/>
          <w:lang w:val="en-US" w:eastAsia="zh-CN"/>
        </w:rPr>
        <w:t>5</w:t>
      </w:r>
      <w:r>
        <w:rPr>
          <w:rFonts w:hint="eastAsia" w:ascii="华文中宋" w:hAnsi="华文中宋" w:eastAsia="华文中宋" w:cs="华文中宋"/>
          <w:b/>
          <w:bCs/>
          <w:szCs w:val="24"/>
          <w:highlight w:val="none"/>
        </w:rPr>
        <w:t>日内以书面形式向</w:t>
      </w:r>
      <w:r>
        <w:rPr>
          <w:rFonts w:hint="eastAsia" w:ascii="华文中宋" w:hAnsi="华文中宋" w:eastAsia="华文中宋" w:cs="华文中宋"/>
          <w:b/>
          <w:bCs/>
          <w:szCs w:val="24"/>
          <w:highlight w:val="none"/>
          <w:lang w:eastAsia="zh-CN"/>
        </w:rPr>
        <w:t>鞍山市立山区人民法院</w:t>
      </w:r>
      <w:r>
        <w:rPr>
          <w:rFonts w:hint="eastAsia" w:ascii="华文中宋" w:hAnsi="华文中宋" w:eastAsia="华文中宋" w:cs="华文中宋"/>
          <w:b/>
          <w:bCs/>
          <w:szCs w:val="24"/>
          <w:highlight w:val="none"/>
        </w:rPr>
        <w:t>提出。</w:t>
      </w:r>
    </w:p>
    <w:p>
      <w:pPr>
        <w:keepNext w:val="0"/>
        <w:keepLines w:val="0"/>
        <w:pageBreakBefore w:val="0"/>
        <w:widowControl w:val="0"/>
        <w:kinsoku/>
        <w:wordWrap/>
        <w:overflowPunct/>
        <w:topLinePunct w:val="0"/>
        <w:autoSpaceDE/>
        <w:autoSpaceDN/>
        <w:bidi w:val="0"/>
        <w:spacing w:line="480" w:lineRule="exact"/>
        <w:ind w:left="0" w:leftChars="0" w:right="0" w:rightChars="0" w:firstLine="480" w:firstLineChars="200"/>
        <w:jc w:val="both"/>
        <w:textAlignment w:val="auto"/>
        <w:outlineLvl w:val="9"/>
        <w:rPr>
          <w:rFonts w:hint="eastAsia" w:ascii="华文中宋" w:hAnsi="华文中宋" w:eastAsia="华文中宋" w:cs="华文中宋"/>
          <w:bCs/>
          <w:szCs w:val="24"/>
          <w:highlight w:val="none"/>
          <w:lang w:val="en-US" w:eastAsia="zh-CN"/>
        </w:rPr>
      </w:pPr>
      <w:r>
        <w:rPr>
          <w:rFonts w:hint="eastAsia" w:ascii="华文中宋" w:hAnsi="华文中宋" w:eastAsia="华文中宋" w:cs="华文中宋"/>
          <w:szCs w:val="24"/>
          <w:highlight w:val="none"/>
        </w:rPr>
        <w:t>八、致函日期：</w:t>
      </w:r>
      <w:r>
        <w:rPr>
          <w:rFonts w:hint="eastAsia" w:ascii="华文中宋" w:hAnsi="华文中宋" w:cs="华文中宋"/>
          <w:szCs w:val="24"/>
          <w:highlight w:val="none"/>
          <w:lang w:eastAsia="zh-CN"/>
        </w:rPr>
        <w:t>2020年8月5日</w:t>
      </w:r>
      <w:r>
        <w:rPr>
          <w:rFonts w:hint="eastAsia" w:ascii="华文中宋" w:hAnsi="华文中宋" w:eastAsia="华文中宋" w:cs="华文中宋"/>
          <w:szCs w:val="24"/>
          <w:highlight w:val="none"/>
          <w:lang w:eastAsia="zh-CN"/>
        </w:rPr>
        <w:t>。</w:t>
      </w:r>
      <w:r>
        <w:rPr>
          <w:rFonts w:hint="eastAsia" w:ascii="华文中宋" w:hAnsi="华文中宋" w:eastAsia="华文中宋" w:cs="华文中宋"/>
          <w:bCs/>
          <w:szCs w:val="24"/>
          <w:highlight w:val="none"/>
          <w:lang w:val="en-US" w:eastAsia="zh-CN"/>
        </w:rPr>
        <w:t xml:space="preserve">                                  </w:t>
      </w:r>
    </w:p>
    <w:p>
      <w:pPr>
        <w:spacing w:line="600" w:lineRule="exact"/>
        <w:ind w:firstLine="31680"/>
        <w:jc w:val="center"/>
        <w:rPr>
          <w:rFonts w:hint="eastAsia" w:ascii="华文中宋" w:hAnsi="华文中宋" w:eastAsia="华文中宋" w:cs="华文中宋"/>
          <w:bCs/>
          <w:szCs w:val="24"/>
          <w:highlight w:val="none"/>
        </w:rPr>
      </w:pPr>
      <w:r>
        <w:rPr>
          <w:rFonts w:hint="eastAsia" w:ascii="华文中宋" w:hAnsi="华文中宋" w:eastAsia="华文中宋" w:cs="华文中宋"/>
          <w:bCs/>
          <w:szCs w:val="24"/>
          <w:highlight w:val="none"/>
          <w:lang w:val="en-US" w:eastAsia="zh-CN"/>
        </w:rPr>
        <w:t xml:space="preserve">                                </w:t>
      </w:r>
      <w:r>
        <w:rPr>
          <w:rFonts w:hint="eastAsia" w:ascii="华文中宋" w:hAnsi="华文中宋" w:eastAsia="华文中宋" w:cs="华文中宋"/>
          <w:bCs/>
          <w:szCs w:val="24"/>
          <w:highlight w:val="none"/>
        </w:rPr>
        <w:t>辽宁九州房产土地资产评估有限公司</w:t>
      </w:r>
    </w:p>
    <w:p>
      <w:pPr>
        <w:spacing w:line="600" w:lineRule="exact"/>
        <w:ind w:firstLine="31680"/>
        <w:jc w:val="center"/>
        <w:rPr>
          <w:rFonts w:hint="eastAsia" w:ascii="华文中宋" w:hAnsi="华文中宋" w:eastAsia="华文中宋" w:cs="华文中宋"/>
          <w:bCs/>
          <w:szCs w:val="24"/>
          <w:highlight w:val="none"/>
        </w:rPr>
      </w:pPr>
    </w:p>
    <w:p>
      <w:pPr>
        <w:spacing w:line="600" w:lineRule="exact"/>
        <w:ind w:firstLine="5160" w:firstLineChars="2150"/>
        <w:rPr>
          <w:rFonts w:hint="eastAsia" w:ascii="华文中宋" w:hAnsi="华文中宋" w:eastAsia="华文中宋" w:cs="华文中宋"/>
          <w:bCs/>
          <w:szCs w:val="24"/>
          <w:highlight w:val="none"/>
        </w:rPr>
      </w:pPr>
      <w:r>
        <w:rPr>
          <w:rFonts w:hint="eastAsia" w:ascii="华文中宋" w:hAnsi="华文中宋" w:eastAsia="华文中宋" w:cs="华文中宋"/>
          <w:bCs/>
          <w:szCs w:val="24"/>
          <w:highlight w:val="none"/>
        </w:rPr>
        <w:t>法定代表人：</w:t>
      </w:r>
    </w:p>
    <w:p>
      <w:pPr>
        <w:spacing w:line="600" w:lineRule="exact"/>
        <w:ind w:firstLine="5160" w:firstLineChars="2150"/>
        <w:rPr>
          <w:rFonts w:hint="eastAsia" w:ascii="华文中宋" w:hAnsi="华文中宋" w:eastAsia="华文中宋" w:cs="华文中宋"/>
          <w:bCs/>
          <w:szCs w:val="24"/>
          <w:highlight w:val="none"/>
        </w:rPr>
      </w:pPr>
    </w:p>
    <w:p>
      <w:pPr>
        <w:spacing w:line="600" w:lineRule="exact"/>
        <w:ind w:firstLine="5160" w:firstLineChars="2150"/>
        <w:rPr>
          <w:rFonts w:hint="eastAsia" w:ascii="华文中宋" w:hAnsi="华文中宋" w:eastAsia="华文中宋" w:cs="华文中宋"/>
          <w:bCs/>
          <w:szCs w:val="24"/>
          <w:highlight w:val="none"/>
          <w:lang w:eastAsia="zh-CN"/>
        </w:rPr>
      </w:pPr>
      <w:r>
        <w:rPr>
          <w:rFonts w:hint="eastAsia" w:ascii="华文中宋" w:hAnsi="华文中宋" w:cs="华文中宋"/>
          <w:bCs/>
          <w:szCs w:val="24"/>
          <w:highlight w:val="none"/>
          <w:lang w:eastAsia="zh-CN"/>
        </w:rPr>
        <w:t>二○二○年八月五日</w:t>
      </w:r>
    </w:p>
    <w:p>
      <w:pPr>
        <w:tabs>
          <w:tab w:val="left" w:pos="4309"/>
        </w:tabs>
        <w:spacing w:line="600" w:lineRule="exact"/>
        <w:ind w:firstLine="4920" w:firstLineChars="2050"/>
        <w:rPr>
          <w:rFonts w:hint="eastAsia" w:ascii="华文中宋" w:hAnsi="华文中宋" w:eastAsia="华文中宋" w:cs="华文中宋"/>
          <w:bCs/>
          <w:szCs w:val="24"/>
          <w:lang w:eastAsia="zh-CN"/>
        </w:rPr>
      </w:pPr>
    </w:p>
    <w:p>
      <w:pPr>
        <w:tabs>
          <w:tab w:val="left" w:pos="4309"/>
        </w:tabs>
        <w:spacing w:line="600" w:lineRule="exact"/>
        <w:ind w:firstLine="4920" w:firstLineChars="2050"/>
        <w:rPr>
          <w:rFonts w:hint="eastAsia" w:ascii="华文中宋" w:hAnsi="华文中宋" w:eastAsia="华文中宋" w:cs="华文中宋"/>
          <w:bCs/>
          <w:szCs w:val="24"/>
          <w:lang w:eastAsia="zh-CN"/>
        </w:rPr>
      </w:pPr>
    </w:p>
    <w:p>
      <w:pPr>
        <w:tabs>
          <w:tab w:val="left" w:pos="4309"/>
        </w:tabs>
        <w:spacing w:line="600" w:lineRule="exact"/>
        <w:ind w:firstLine="4920" w:firstLineChars="2050"/>
        <w:rPr>
          <w:rFonts w:hint="eastAsia" w:ascii="华文中宋" w:hAnsi="华文中宋" w:eastAsia="华文中宋" w:cs="华文中宋"/>
          <w:bCs/>
          <w:szCs w:val="24"/>
          <w:lang w:eastAsia="zh-CN"/>
        </w:rPr>
      </w:pPr>
    </w:p>
    <w:p>
      <w:pPr>
        <w:tabs>
          <w:tab w:val="left" w:pos="4309"/>
        </w:tabs>
        <w:spacing w:line="600" w:lineRule="exact"/>
        <w:ind w:firstLine="4920" w:firstLineChars="2050"/>
        <w:rPr>
          <w:rFonts w:hint="eastAsia" w:ascii="华文中宋" w:hAnsi="华文中宋" w:eastAsia="华文中宋" w:cs="华文中宋"/>
          <w:bCs/>
          <w:szCs w:val="24"/>
          <w:lang w:eastAsia="zh-CN"/>
        </w:rPr>
      </w:pPr>
    </w:p>
    <w:p>
      <w:pPr>
        <w:tabs>
          <w:tab w:val="left" w:pos="4309"/>
        </w:tabs>
        <w:spacing w:line="600" w:lineRule="exact"/>
        <w:ind w:firstLine="4920" w:firstLineChars="2050"/>
        <w:rPr>
          <w:rFonts w:hint="eastAsia" w:ascii="华文中宋" w:hAnsi="华文中宋" w:eastAsia="华文中宋" w:cs="华文中宋"/>
          <w:bCs/>
          <w:szCs w:val="24"/>
          <w:lang w:eastAsia="zh-CN"/>
        </w:rPr>
      </w:pPr>
    </w:p>
    <w:p>
      <w:pPr>
        <w:tabs>
          <w:tab w:val="left" w:pos="4309"/>
        </w:tabs>
        <w:spacing w:line="600" w:lineRule="exact"/>
        <w:ind w:firstLine="4920" w:firstLineChars="2050"/>
        <w:rPr>
          <w:rFonts w:hint="eastAsia" w:ascii="华文中宋" w:hAnsi="华文中宋" w:eastAsia="华文中宋" w:cs="华文中宋"/>
          <w:bCs/>
          <w:szCs w:val="24"/>
          <w:lang w:eastAsia="zh-CN"/>
        </w:rPr>
      </w:pPr>
    </w:p>
    <w:p>
      <w:pPr>
        <w:tabs>
          <w:tab w:val="left" w:pos="4309"/>
        </w:tabs>
        <w:spacing w:line="600" w:lineRule="exact"/>
        <w:ind w:firstLine="4920" w:firstLineChars="2050"/>
        <w:rPr>
          <w:rFonts w:hint="eastAsia" w:ascii="华文中宋" w:hAnsi="华文中宋" w:eastAsia="华文中宋" w:cs="华文中宋"/>
          <w:bCs/>
          <w:szCs w:val="24"/>
          <w:lang w:eastAsia="zh-CN"/>
        </w:rPr>
      </w:pPr>
    </w:p>
    <w:p>
      <w:pPr>
        <w:tabs>
          <w:tab w:val="left" w:pos="4309"/>
        </w:tabs>
        <w:spacing w:line="600" w:lineRule="exact"/>
        <w:ind w:firstLine="4920" w:firstLineChars="2050"/>
        <w:rPr>
          <w:rFonts w:hint="eastAsia" w:ascii="华文中宋" w:hAnsi="华文中宋" w:eastAsia="华文中宋" w:cs="华文中宋"/>
          <w:bCs/>
          <w:szCs w:val="24"/>
          <w:lang w:eastAsia="zh-CN"/>
        </w:rPr>
      </w:pPr>
    </w:p>
    <w:p>
      <w:pPr>
        <w:tabs>
          <w:tab w:val="left" w:pos="4309"/>
        </w:tabs>
        <w:spacing w:line="600" w:lineRule="exact"/>
        <w:ind w:firstLine="4920" w:firstLineChars="2050"/>
        <w:rPr>
          <w:rFonts w:hint="eastAsia" w:ascii="华文中宋" w:hAnsi="华文中宋" w:eastAsia="华文中宋" w:cs="华文中宋"/>
          <w:bCs/>
          <w:szCs w:val="24"/>
          <w:lang w:eastAsia="zh-CN"/>
        </w:rPr>
      </w:pPr>
    </w:p>
    <w:p>
      <w:pPr>
        <w:tabs>
          <w:tab w:val="left" w:pos="4309"/>
        </w:tabs>
        <w:spacing w:line="600" w:lineRule="exact"/>
        <w:ind w:firstLine="4920" w:firstLineChars="2050"/>
        <w:rPr>
          <w:rFonts w:hint="eastAsia" w:ascii="华文中宋" w:hAnsi="华文中宋" w:eastAsia="华文中宋" w:cs="华文中宋"/>
          <w:bCs/>
          <w:szCs w:val="24"/>
          <w:lang w:eastAsia="zh-CN"/>
        </w:rPr>
      </w:pPr>
    </w:p>
    <w:p>
      <w:pPr>
        <w:tabs>
          <w:tab w:val="left" w:pos="4309"/>
        </w:tabs>
        <w:spacing w:line="600" w:lineRule="exact"/>
        <w:ind w:firstLine="4920" w:firstLineChars="2050"/>
        <w:rPr>
          <w:rFonts w:hint="eastAsia" w:ascii="华文中宋" w:hAnsi="华文中宋" w:eastAsia="华文中宋" w:cs="华文中宋"/>
          <w:bCs/>
          <w:szCs w:val="24"/>
          <w:lang w:eastAsia="zh-CN"/>
        </w:rPr>
      </w:pPr>
    </w:p>
    <w:p>
      <w:pPr>
        <w:tabs>
          <w:tab w:val="left" w:pos="4309"/>
        </w:tabs>
        <w:spacing w:line="600" w:lineRule="exact"/>
        <w:ind w:firstLine="4920" w:firstLineChars="2050"/>
        <w:rPr>
          <w:rFonts w:hint="eastAsia" w:ascii="华文中宋" w:hAnsi="华文中宋" w:eastAsia="华文中宋" w:cs="华文中宋"/>
          <w:bCs/>
          <w:szCs w:val="24"/>
          <w:lang w:eastAsia="zh-CN"/>
        </w:rPr>
      </w:pPr>
    </w:p>
    <w:p>
      <w:pPr>
        <w:tabs>
          <w:tab w:val="left" w:pos="4309"/>
        </w:tabs>
        <w:spacing w:line="600" w:lineRule="exact"/>
        <w:ind w:firstLine="4920" w:firstLineChars="2050"/>
        <w:rPr>
          <w:rFonts w:hint="eastAsia" w:ascii="华文中宋" w:hAnsi="华文中宋" w:eastAsia="华文中宋" w:cs="华文中宋"/>
          <w:bCs/>
          <w:szCs w:val="24"/>
          <w:lang w:eastAsia="zh-CN"/>
        </w:rPr>
        <w:sectPr>
          <w:headerReference r:id="rId6" w:type="first"/>
          <w:footerReference r:id="rId8" w:type="first"/>
          <w:headerReference r:id="rId5" w:type="default"/>
          <w:footerReference r:id="rId7" w:type="default"/>
          <w:type w:val="continuous"/>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titlePg/>
          <w:docGrid w:type="lines" w:linePitch="312" w:charSpace="0"/>
        </w:sectPr>
      </w:pPr>
    </w:p>
    <w:p>
      <w:pPr>
        <w:pStyle w:val="2"/>
        <w:spacing w:before="156" w:after="156"/>
        <w:rPr>
          <w:rFonts w:hint="eastAsia" w:ascii="华文中宋" w:hAnsi="华文中宋" w:eastAsia="华文中宋" w:cs="华文中宋"/>
          <w:szCs w:val="22"/>
        </w:rPr>
      </w:pPr>
      <w:r>
        <w:rPr>
          <w:rFonts w:hint="eastAsia" w:ascii="华文中宋" w:hAnsi="华文中宋" w:eastAsia="华文中宋" w:cs="华文中宋"/>
          <w:szCs w:val="22"/>
        </w:rPr>
        <w:t>目</w:t>
      </w:r>
      <w:r>
        <w:rPr>
          <w:rFonts w:hint="eastAsia" w:ascii="华文中宋" w:hAnsi="华文中宋" w:eastAsia="华文中宋" w:cs="华文中宋"/>
          <w:szCs w:val="22"/>
          <w:lang w:val="en-US" w:eastAsia="zh-CN"/>
        </w:rPr>
        <w:t xml:space="preserve">  </w:t>
      </w:r>
      <w:r>
        <w:rPr>
          <w:rFonts w:hint="eastAsia" w:ascii="华文中宋" w:hAnsi="华文中宋" w:eastAsia="华文中宋" w:cs="华文中宋"/>
          <w:szCs w:val="22"/>
        </w:rPr>
        <w:t>录</w:t>
      </w:r>
    </w:p>
    <w:p>
      <w:pPr>
        <w:pStyle w:val="8"/>
        <w:ind w:firstLine="0" w:firstLineChars="0"/>
        <w:jc w:val="center"/>
        <w:rPr>
          <w:rFonts w:hint="eastAsia" w:ascii="华文中宋" w:hAnsi="华文中宋" w:eastAsia="华文中宋" w:cs="华文中宋"/>
          <w:bCs/>
          <w:sz w:val="32"/>
          <w:szCs w:val="32"/>
        </w:rPr>
      </w:pPr>
    </w:p>
    <w:p>
      <w:pPr>
        <w:pStyle w:val="13"/>
        <w:tabs>
          <w:tab w:val="right" w:leader="dot" w:pos="8306"/>
          <w:tab w:val="clear" w:pos="9176"/>
        </w:tabs>
        <w:spacing w:line="480" w:lineRule="auto"/>
        <w:ind w:firstLine="31680"/>
        <w:rPr>
          <w:rFonts w:hint="eastAsia" w:ascii="华文中宋" w:hAnsi="华文中宋" w:eastAsia="华文中宋" w:cs="华文中宋"/>
          <w:sz w:val="24"/>
          <w:szCs w:val="24"/>
        </w:rPr>
      </w:pPr>
      <w:r>
        <w:rPr>
          <w:rFonts w:hint="eastAsia" w:ascii="华文中宋" w:hAnsi="华文中宋" w:eastAsia="华文中宋" w:cs="华文中宋"/>
          <w:sz w:val="24"/>
          <w:szCs w:val="24"/>
        </w:rPr>
        <w:fldChar w:fldCharType="begin"/>
      </w:r>
      <w:r>
        <w:rPr>
          <w:rFonts w:hint="eastAsia" w:ascii="华文中宋" w:hAnsi="华文中宋" w:eastAsia="华文中宋" w:cs="华文中宋"/>
          <w:sz w:val="24"/>
          <w:szCs w:val="24"/>
        </w:rPr>
        <w:instrText xml:space="preserve">TOC \o "1-2" \h \u </w:instrText>
      </w:r>
      <w:r>
        <w:rPr>
          <w:rFonts w:hint="eastAsia" w:ascii="华文中宋" w:hAnsi="华文中宋" w:eastAsia="华文中宋" w:cs="华文中宋"/>
          <w:sz w:val="24"/>
          <w:szCs w:val="24"/>
        </w:rPr>
        <w:fldChar w:fldCharType="separate"/>
      </w:r>
      <w:r>
        <w:rPr>
          <w:rFonts w:hint="eastAsia" w:ascii="华文中宋" w:hAnsi="华文中宋" w:eastAsia="华文中宋" w:cs="华文中宋"/>
        </w:rPr>
        <w:fldChar w:fldCharType="begin"/>
      </w:r>
      <w:r>
        <w:rPr>
          <w:rFonts w:hint="eastAsia" w:ascii="华文中宋" w:hAnsi="华文中宋" w:eastAsia="华文中宋" w:cs="华文中宋"/>
        </w:rPr>
        <w:instrText xml:space="preserve"> HYPERLINK \l "_Toc11415" </w:instrText>
      </w:r>
      <w:r>
        <w:rPr>
          <w:rFonts w:hint="eastAsia" w:ascii="华文中宋" w:hAnsi="华文中宋" w:eastAsia="华文中宋" w:cs="华文中宋"/>
        </w:rPr>
        <w:fldChar w:fldCharType="separate"/>
      </w:r>
      <w:r>
        <w:rPr>
          <w:rFonts w:hint="eastAsia" w:ascii="华文中宋" w:hAnsi="华文中宋" w:eastAsia="华文中宋" w:cs="华文中宋"/>
          <w:sz w:val="24"/>
          <w:szCs w:val="24"/>
        </w:rPr>
        <w:t>注册房地产估价师声明</w:t>
      </w:r>
      <w:r>
        <w:rPr>
          <w:rFonts w:hint="eastAsia" w:ascii="华文中宋" w:hAnsi="华文中宋" w:eastAsia="华文中宋" w:cs="华文中宋"/>
          <w:sz w:val="24"/>
          <w:szCs w:val="24"/>
        </w:rPr>
        <w:tab/>
      </w:r>
      <w:r>
        <w:rPr>
          <w:rFonts w:hint="eastAsia" w:ascii="华文中宋" w:hAnsi="华文中宋" w:eastAsia="华文中宋" w:cs="华文中宋"/>
          <w:sz w:val="24"/>
          <w:szCs w:val="24"/>
        </w:rPr>
        <w:fldChar w:fldCharType="begin"/>
      </w:r>
      <w:r>
        <w:rPr>
          <w:rFonts w:hint="eastAsia" w:ascii="华文中宋" w:hAnsi="华文中宋" w:eastAsia="华文中宋" w:cs="华文中宋"/>
          <w:sz w:val="24"/>
          <w:szCs w:val="24"/>
        </w:rPr>
        <w:instrText xml:space="preserve"> PAGEREF _Toc11415 </w:instrText>
      </w:r>
      <w:r>
        <w:rPr>
          <w:rFonts w:hint="eastAsia" w:ascii="华文中宋" w:hAnsi="华文中宋" w:eastAsia="华文中宋" w:cs="华文中宋"/>
          <w:sz w:val="24"/>
          <w:szCs w:val="24"/>
        </w:rPr>
        <w:fldChar w:fldCharType="separate"/>
      </w:r>
      <w:r>
        <w:rPr>
          <w:rFonts w:hint="eastAsia" w:ascii="华文中宋" w:hAnsi="华文中宋" w:eastAsia="华文中宋" w:cs="华文中宋"/>
          <w:sz w:val="24"/>
          <w:szCs w:val="24"/>
        </w:rPr>
        <w:t>13</w:t>
      </w:r>
      <w:r>
        <w:rPr>
          <w:rFonts w:hint="eastAsia" w:ascii="华文中宋" w:hAnsi="华文中宋" w:eastAsia="华文中宋" w:cs="华文中宋"/>
          <w:sz w:val="24"/>
          <w:szCs w:val="24"/>
        </w:rPr>
        <w:fldChar w:fldCharType="end"/>
      </w:r>
      <w:r>
        <w:rPr>
          <w:rFonts w:hint="eastAsia" w:ascii="华文中宋" w:hAnsi="华文中宋" w:eastAsia="华文中宋" w:cs="华文中宋"/>
          <w:sz w:val="24"/>
          <w:szCs w:val="24"/>
        </w:rPr>
        <w:fldChar w:fldCharType="end"/>
      </w:r>
    </w:p>
    <w:p>
      <w:pPr>
        <w:pStyle w:val="13"/>
        <w:tabs>
          <w:tab w:val="right" w:leader="dot" w:pos="8306"/>
          <w:tab w:val="clear" w:pos="9176"/>
        </w:tabs>
        <w:spacing w:line="480" w:lineRule="auto"/>
        <w:rPr>
          <w:rFonts w:hint="eastAsia" w:ascii="华文中宋" w:hAnsi="华文中宋" w:eastAsia="华文中宋" w:cs="华文中宋"/>
          <w:sz w:val="24"/>
          <w:szCs w:val="24"/>
        </w:rPr>
      </w:pPr>
      <w:r>
        <w:rPr>
          <w:rFonts w:hint="eastAsia" w:ascii="华文中宋" w:hAnsi="华文中宋" w:eastAsia="华文中宋" w:cs="华文中宋"/>
        </w:rPr>
        <w:fldChar w:fldCharType="begin"/>
      </w:r>
      <w:r>
        <w:rPr>
          <w:rFonts w:hint="eastAsia" w:ascii="华文中宋" w:hAnsi="华文中宋" w:eastAsia="华文中宋" w:cs="华文中宋"/>
        </w:rPr>
        <w:instrText xml:space="preserve"> HYPERLINK \l "_Toc25015" </w:instrText>
      </w:r>
      <w:r>
        <w:rPr>
          <w:rFonts w:hint="eastAsia" w:ascii="华文中宋" w:hAnsi="华文中宋" w:eastAsia="华文中宋" w:cs="华文中宋"/>
        </w:rPr>
        <w:fldChar w:fldCharType="separate"/>
      </w:r>
      <w:r>
        <w:rPr>
          <w:rFonts w:hint="eastAsia" w:ascii="华文中宋" w:hAnsi="华文中宋" w:eastAsia="华文中宋" w:cs="华文中宋"/>
          <w:sz w:val="24"/>
          <w:szCs w:val="24"/>
        </w:rPr>
        <w:t>估价假设和限制条件</w:t>
      </w:r>
      <w:r>
        <w:rPr>
          <w:rFonts w:hint="eastAsia" w:ascii="华文中宋" w:hAnsi="华文中宋" w:eastAsia="华文中宋" w:cs="华文中宋"/>
          <w:sz w:val="24"/>
          <w:szCs w:val="24"/>
        </w:rPr>
        <w:tab/>
      </w:r>
      <w:r>
        <w:rPr>
          <w:rFonts w:hint="eastAsia" w:ascii="华文中宋" w:hAnsi="华文中宋" w:eastAsia="华文中宋" w:cs="华文中宋"/>
          <w:sz w:val="24"/>
          <w:szCs w:val="24"/>
        </w:rPr>
        <w:fldChar w:fldCharType="begin"/>
      </w:r>
      <w:r>
        <w:rPr>
          <w:rFonts w:hint="eastAsia" w:ascii="华文中宋" w:hAnsi="华文中宋" w:eastAsia="华文中宋" w:cs="华文中宋"/>
          <w:sz w:val="24"/>
          <w:szCs w:val="24"/>
        </w:rPr>
        <w:instrText xml:space="preserve"> PAGEREF _Toc25015 </w:instrText>
      </w:r>
      <w:r>
        <w:rPr>
          <w:rFonts w:hint="eastAsia" w:ascii="华文中宋" w:hAnsi="华文中宋" w:eastAsia="华文中宋" w:cs="华文中宋"/>
          <w:sz w:val="24"/>
          <w:szCs w:val="24"/>
        </w:rPr>
        <w:fldChar w:fldCharType="separate"/>
      </w:r>
      <w:r>
        <w:rPr>
          <w:rFonts w:hint="eastAsia" w:ascii="华文中宋" w:hAnsi="华文中宋" w:eastAsia="华文中宋" w:cs="华文中宋"/>
          <w:sz w:val="24"/>
          <w:szCs w:val="24"/>
        </w:rPr>
        <w:t>14</w:t>
      </w:r>
      <w:r>
        <w:rPr>
          <w:rFonts w:hint="eastAsia" w:ascii="华文中宋" w:hAnsi="华文中宋" w:eastAsia="华文中宋" w:cs="华文中宋"/>
          <w:sz w:val="24"/>
          <w:szCs w:val="24"/>
        </w:rPr>
        <w:fldChar w:fldCharType="end"/>
      </w:r>
      <w:r>
        <w:rPr>
          <w:rFonts w:hint="eastAsia" w:ascii="华文中宋" w:hAnsi="华文中宋" w:eastAsia="华文中宋" w:cs="华文中宋"/>
          <w:sz w:val="24"/>
          <w:szCs w:val="24"/>
        </w:rPr>
        <w:fldChar w:fldCharType="end"/>
      </w:r>
    </w:p>
    <w:p>
      <w:pPr>
        <w:pStyle w:val="13"/>
        <w:tabs>
          <w:tab w:val="right" w:leader="dot" w:pos="8306"/>
          <w:tab w:val="clear" w:pos="9176"/>
        </w:tabs>
        <w:spacing w:line="480" w:lineRule="auto"/>
        <w:ind w:firstLine="31680"/>
        <w:rPr>
          <w:rFonts w:hint="eastAsia" w:ascii="华文中宋" w:hAnsi="华文中宋" w:eastAsia="华文中宋" w:cs="华文中宋"/>
          <w:sz w:val="24"/>
          <w:szCs w:val="24"/>
        </w:rPr>
      </w:pPr>
      <w:r>
        <w:rPr>
          <w:rFonts w:hint="eastAsia" w:ascii="华文中宋" w:hAnsi="华文中宋" w:eastAsia="华文中宋" w:cs="华文中宋"/>
        </w:rPr>
        <w:fldChar w:fldCharType="begin"/>
      </w:r>
      <w:r>
        <w:rPr>
          <w:rFonts w:hint="eastAsia" w:ascii="华文中宋" w:hAnsi="华文中宋" w:eastAsia="华文中宋" w:cs="华文中宋"/>
        </w:rPr>
        <w:instrText xml:space="preserve"> HYPERLINK \l "_Toc18428" </w:instrText>
      </w:r>
      <w:r>
        <w:rPr>
          <w:rFonts w:hint="eastAsia" w:ascii="华文中宋" w:hAnsi="华文中宋" w:eastAsia="华文中宋" w:cs="华文中宋"/>
        </w:rPr>
        <w:fldChar w:fldCharType="separate"/>
      </w:r>
      <w:r>
        <w:rPr>
          <w:rFonts w:hint="eastAsia" w:ascii="华文中宋" w:hAnsi="华文中宋" w:eastAsia="华文中宋" w:cs="华文中宋"/>
          <w:sz w:val="24"/>
          <w:szCs w:val="24"/>
        </w:rPr>
        <w:t>估价结果报告</w:t>
      </w:r>
      <w:r>
        <w:rPr>
          <w:rFonts w:hint="eastAsia" w:ascii="华文中宋" w:hAnsi="华文中宋" w:eastAsia="华文中宋" w:cs="华文中宋"/>
          <w:sz w:val="24"/>
          <w:szCs w:val="24"/>
        </w:rPr>
        <w:tab/>
      </w:r>
      <w:r>
        <w:rPr>
          <w:rFonts w:hint="eastAsia" w:ascii="华文中宋" w:hAnsi="华文中宋" w:eastAsia="华文中宋" w:cs="华文中宋"/>
          <w:sz w:val="24"/>
          <w:szCs w:val="24"/>
        </w:rPr>
        <w:fldChar w:fldCharType="begin"/>
      </w:r>
      <w:r>
        <w:rPr>
          <w:rFonts w:hint="eastAsia" w:ascii="华文中宋" w:hAnsi="华文中宋" w:eastAsia="华文中宋" w:cs="华文中宋"/>
          <w:sz w:val="24"/>
          <w:szCs w:val="24"/>
        </w:rPr>
        <w:instrText xml:space="preserve"> PAGEREF _Toc18428 </w:instrText>
      </w:r>
      <w:r>
        <w:rPr>
          <w:rFonts w:hint="eastAsia" w:ascii="华文中宋" w:hAnsi="华文中宋" w:eastAsia="华文中宋" w:cs="华文中宋"/>
          <w:sz w:val="24"/>
          <w:szCs w:val="24"/>
        </w:rPr>
        <w:fldChar w:fldCharType="separate"/>
      </w:r>
      <w:r>
        <w:rPr>
          <w:rFonts w:hint="eastAsia" w:ascii="华文中宋" w:hAnsi="华文中宋" w:eastAsia="华文中宋" w:cs="华文中宋"/>
          <w:sz w:val="24"/>
          <w:szCs w:val="24"/>
        </w:rPr>
        <w:t>17</w:t>
      </w:r>
      <w:r>
        <w:rPr>
          <w:rFonts w:hint="eastAsia" w:ascii="华文中宋" w:hAnsi="华文中宋" w:eastAsia="华文中宋" w:cs="华文中宋"/>
          <w:sz w:val="24"/>
          <w:szCs w:val="24"/>
        </w:rPr>
        <w:fldChar w:fldCharType="end"/>
      </w:r>
      <w:r>
        <w:rPr>
          <w:rFonts w:hint="eastAsia" w:ascii="华文中宋" w:hAnsi="华文中宋" w:eastAsia="华文中宋" w:cs="华文中宋"/>
          <w:sz w:val="24"/>
          <w:szCs w:val="24"/>
        </w:rPr>
        <w:fldChar w:fldCharType="end"/>
      </w:r>
    </w:p>
    <w:p>
      <w:pPr>
        <w:pStyle w:val="14"/>
        <w:tabs>
          <w:tab w:val="right" w:leader="dot" w:pos="8306"/>
          <w:tab w:val="clear" w:pos="8494"/>
        </w:tabs>
        <w:spacing w:line="480" w:lineRule="auto"/>
        <w:ind w:left="31680" w:firstLine="31680"/>
        <w:rPr>
          <w:rFonts w:hint="eastAsia" w:ascii="华文中宋" w:hAnsi="华文中宋" w:eastAsia="华文中宋" w:cs="华文中宋"/>
          <w:sz w:val="24"/>
          <w:szCs w:val="24"/>
        </w:rPr>
      </w:pPr>
      <w:r>
        <w:rPr>
          <w:rFonts w:hint="eastAsia" w:ascii="华文中宋" w:hAnsi="华文中宋" w:eastAsia="华文中宋" w:cs="华文中宋"/>
        </w:rPr>
        <w:fldChar w:fldCharType="begin"/>
      </w:r>
      <w:r>
        <w:rPr>
          <w:rFonts w:hint="eastAsia" w:ascii="华文中宋" w:hAnsi="华文中宋" w:eastAsia="华文中宋" w:cs="华文中宋"/>
        </w:rPr>
        <w:instrText xml:space="preserve"> HYPERLINK \l "_Toc7215" </w:instrText>
      </w:r>
      <w:r>
        <w:rPr>
          <w:rFonts w:hint="eastAsia" w:ascii="华文中宋" w:hAnsi="华文中宋" w:eastAsia="华文中宋" w:cs="华文中宋"/>
        </w:rPr>
        <w:fldChar w:fldCharType="separate"/>
      </w:r>
      <w:r>
        <w:rPr>
          <w:rFonts w:hint="eastAsia" w:ascii="华文中宋" w:hAnsi="华文中宋" w:eastAsia="华文中宋" w:cs="华文中宋"/>
          <w:sz w:val="24"/>
          <w:szCs w:val="24"/>
        </w:rPr>
        <w:t>一、估价委托人</w:t>
      </w:r>
      <w:r>
        <w:rPr>
          <w:rFonts w:hint="eastAsia" w:ascii="华文中宋" w:hAnsi="华文中宋" w:eastAsia="华文中宋" w:cs="华文中宋"/>
          <w:sz w:val="24"/>
          <w:szCs w:val="24"/>
        </w:rPr>
        <w:tab/>
      </w:r>
      <w:r>
        <w:rPr>
          <w:rFonts w:hint="eastAsia" w:ascii="华文中宋" w:hAnsi="华文中宋" w:eastAsia="华文中宋" w:cs="华文中宋"/>
          <w:sz w:val="24"/>
          <w:szCs w:val="24"/>
        </w:rPr>
        <w:fldChar w:fldCharType="begin"/>
      </w:r>
      <w:r>
        <w:rPr>
          <w:rFonts w:hint="eastAsia" w:ascii="华文中宋" w:hAnsi="华文中宋" w:eastAsia="华文中宋" w:cs="华文中宋"/>
          <w:sz w:val="24"/>
          <w:szCs w:val="24"/>
        </w:rPr>
        <w:instrText xml:space="preserve"> PAGEREF _Toc7215 </w:instrText>
      </w:r>
      <w:r>
        <w:rPr>
          <w:rFonts w:hint="eastAsia" w:ascii="华文中宋" w:hAnsi="华文中宋" w:eastAsia="华文中宋" w:cs="华文中宋"/>
          <w:sz w:val="24"/>
          <w:szCs w:val="24"/>
        </w:rPr>
        <w:fldChar w:fldCharType="separate"/>
      </w:r>
      <w:r>
        <w:rPr>
          <w:rFonts w:hint="eastAsia" w:ascii="华文中宋" w:hAnsi="华文中宋" w:eastAsia="华文中宋" w:cs="华文中宋"/>
          <w:sz w:val="24"/>
          <w:szCs w:val="24"/>
        </w:rPr>
        <w:t>17</w:t>
      </w:r>
      <w:r>
        <w:rPr>
          <w:rFonts w:hint="eastAsia" w:ascii="华文中宋" w:hAnsi="华文中宋" w:eastAsia="华文中宋" w:cs="华文中宋"/>
          <w:sz w:val="24"/>
          <w:szCs w:val="24"/>
        </w:rPr>
        <w:fldChar w:fldCharType="end"/>
      </w:r>
      <w:r>
        <w:rPr>
          <w:rFonts w:hint="eastAsia" w:ascii="华文中宋" w:hAnsi="华文中宋" w:eastAsia="华文中宋" w:cs="华文中宋"/>
          <w:sz w:val="24"/>
          <w:szCs w:val="24"/>
        </w:rPr>
        <w:fldChar w:fldCharType="end"/>
      </w:r>
    </w:p>
    <w:p>
      <w:pPr>
        <w:pStyle w:val="14"/>
        <w:tabs>
          <w:tab w:val="right" w:leader="dot" w:pos="8306"/>
          <w:tab w:val="clear" w:pos="8494"/>
        </w:tabs>
        <w:spacing w:line="480" w:lineRule="auto"/>
        <w:ind w:left="31680" w:firstLine="31680"/>
        <w:rPr>
          <w:rFonts w:hint="eastAsia" w:ascii="华文中宋" w:hAnsi="华文中宋" w:eastAsia="华文中宋" w:cs="华文中宋"/>
          <w:sz w:val="24"/>
          <w:szCs w:val="24"/>
        </w:rPr>
      </w:pPr>
      <w:r>
        <w:rPr>
          <w:rFonts w:hint="eastAsia" w:ascii="华文中宋" w:hAnsi="华文中宋" w:eastAsia="华文中宋" w:cs="华文中宋"/>
        </w:rPr>
        <w:fldChar w:fldCharType="begin"/>
      </w:r>
      <w:r>
        <w:rPr>
          <w:rFonts w:hint="eastAsia" w:ascii="华文中宋" w:hAnsi="华文中宋" w:eastAsia="华文中宋" w:cs="华文中宋"/>
        </w:rPr>
        <w:instrText xml:space="preserve"> HYPERLINK \l "_Toc708" </w:instrText>
      </w:r>
      <w:r>
        <w:rPr>
          <w:rFonts w:hint="eastAsia" w:ascii="华文中宋" w:hAnsi="华文中宋" w:eastAsia="华文中宋" w:cs="华文中宋"/>
        </w:rPr>
        <w:fldChar w:fldCharType="separate"/>
      </w:r>
      <w:r>
        <w:rPr>
          <w:rFonts w:hint="eastAsia" w:ascii="华文中宋" w:hAnsi="华文中宋" w:eastAsia="华文中宋" w:cs="华文中宋"/>
          <w:sz w:val="24"/>
          <w:szCs w:val="24"/>
        </w:rPr>
        <w:t>二、房地产估价机构</w:t>
      </w:r>
      <w:r>
        <w:rPr>
          <w:rFonts w:hint="eastAsia" w:ascii="华文中宋" w:hAnsi="华文中宋" w:eastAsia="华文中宋" w:cs="华文中宋"/>
          <w:sz w:val="24"/>
          <w:szCs w:val="24"/>
        </w:rPr>
        <w:tab/>
      </w:r>
      <w:r>
        <w:rPr>
          <w:rFonts w:hint="eastAsia" w:ascii="华文中宋" w:hAnsi="华文中宋" w:eastAsia="华文中宋" w:cs="华文中宋"/>
          <w:sz w:val="24"/>
          <w:szCs w:val="24"/>
        </w:rPr>
        <w:fldChar w:fldCharType="begin"/>
      </w:r>
      <w:r>
        <w:rPr>
          <w:rFonts w:hint="eastAsia" w:ascii="华文中宋" w:hAnsi="华文中宋" w:eastAsia="华文中宋" w:cs="华文中宋"/>
          <w:sz w:val="24"/>
          <w:szCs w:val="24"/>
        </w:rPr>
        <w:instrText xml:space="preserve"> PAGEREF _Toc708 </w:instrText>
      </w:r>
      <w:r>
        <w:rPr>
          <w:rFonts w:hint="eastAsia" w:ascii="华文中宋" w:hAnsi="华文中宋" w:eastAsia="华文中宋" w:cs="华文中宋"/>
          <w:sz w:val="24"/>
          <w:szCs w:val="24"/>
        </w:rPr>
        <w:fldChar w:fldCharType="separate"/>
      </w:r>
      <w:r>
        <w:rPr>
          <w:rFonts w:hint="eastAsia" w:ascii="华文中宋" w:hAnsi="华文中宋" w:eastAsia="华文中宋" w:cs="华文中宋"/>
          <w:sz w:val="24"/>
          <w:szCs w:val="24"/>
        </w:rPr>
        <w:t>17</w:t>
      </w:r>
      <w:r>
        <w:rPr>
          <w:rFonts w:hint="eastAsia" w:ascii="华文中宋" w:hAnsi="华文中宋" w:eastAsia="华文中宋" w:cs="华文中宋"/>
          <w:sz w:val="24"/>
          <w:szCs w:val="24"/>
        </w:rPr>
        <w:fldChar w:fldCharType="end"/>
      </w:r>
      <w:r>
        <w:rPr>
          <w:rFonts w:hint="eastAsia" w:ascii="华文中宋" w:hAnsi="华文中宋" w:eastAsia="华文中宋" w:cs="华文中宋"/>
          <w:sz w:val="24"/>
          <w:szCs w:val="24"/>
        </w:rPr>
        <w:fldChar w:fldCharType="end"/>
      </w:r>
    </w:p>
    <w:p>
      <w:pPr>
        <w:pStyle w:val="14"/>
        <w:tabs>
          <w:tab w:val="right" w:leader="dot" w:pos="8306"/>
          <w:tab w:val="clear" w:pos="8494"/>
        </w:tabs>
        <w:spacing w:line="480" w:lineRule="auto"/>
        <w:ind w:left="31680" w:firstLine="31680"/>
        <w:rPr>
          <w:rFonts w:hint="eastAsia" w:ascii="华文中宋" w:hAnsi="华文中宋" w:eastAsia="华文中宋" w:cs="华文中宋"/>
          <w:sz w:val="24"/>
          <w:szCs w:val="24"/>
        </w:rPr>
      </w:pPr>
      <w:r>
        <w:rPr>
          <w:rFonts w:hint="eastAsia" w:ascii="华文中宋" w:hAnsi="华文中宋" w:eastAsia="华文中宋" w:cs="华文中宋"/>
        </w:rPr>
        <w:fldChar w:fldCharType="begin"/>
      </w:r>
      <w:r>
        <w:rPr>
          <w:rFonts w:hint="eastAsia" w:ascii="华文中宋" w:hAnsi="华文中宋" w:eastAsia="华文中宋" w:cs="华文中宋"/>
        </w:rPr>
        <w:instrText xml:space="preserve"> HYPERLINK \l "_Toc31976" </w:instrText>
      </w:r>
      <w:r>
        <w:rPr>
          <w:rFonts w:hint="eastAsia" w:ascii="华文中宋" w:hAnsi="华文中宋" w:eastAsia="华文中宋" w:cs="华文中宋"/>
        </w:rPr>
        <w:fldChar w:fldCharType="separate"/>
      </w:r>
      <w:r>
        <w:rPr>
          <w:rFonts w:hint="eastAsia" w:ascii="华文中宋" w:hAnsi="华文中宋" w:eastAsia="华文中宋" w:cs="华文中宋"/>
          <w:sz w:val="24"/>
          <w:szCs w:val="24"/>
        </w:rPr>
        <w:t>三、估价目的</w:t>
      </w:r>
      <w:r>
        <w:rPr>
          <w:rFonts w:hint="eastAsia" w:ascii="华文中宋" w:hAnsi="华文中宋" w:eastAsia="华文中宋" w:cs="华文中宋"/>
          <w:sz w:val="24"/>
          <w:szCs w:val="24"/>
        </w:rPr>
        <w:tab/>
      </w:r>
      <w:r>
        <w:rPr>
          <w:rFonts w:hint="eastAsia" w:ascii="华文中宋" w:hAnsi="华文中宋" w:eastAsia="华文中宋" w:cs="华文中宋"/>
          <w:sz w:val="24"/>
          <w:szCs w:val="24"/>
        </w:rPr>
        <w:fldChar w:fldCharType="begin"/>
      </w:r>
      <w:r>
        <w:rPr>
          <w:rFonts w:hint="eastAsia" w:ascii="华文中宋" w:hAnsi="华文中宋" w:eastAsia="华文中宋" w:cs="华文中宋"/>
          <w:sz w:val="24"/>
          <w:szCs w:val="24"/>
        </w:rPr>
        <w:instrText xml:space="preserve"> PAGEREF _Toc31976 </w:instrText>
      </w:r>
      <w:r>
        <w:rPr>
          <w:rFonts w:hint="eastAsia" w:ascii="华文中宋" w:hAnsi="华文中宋" w:eastAsia="华文中宋" w:cs="华文中宋"/>
          <w:sz w:val="24"/>
          <w:szCs w:val="24"/>
        </w:rPr>
        <w:fldChar w:fldCharType="separate"/>
      </w:r>
      <w:r>
        <w:rPr>
          <w:rFonts w:hint="eastAsia" w:ascii="华文中宋" w:hAnsi="华文中宋" w:eastAsia="华文中宋" w:cs="华文中宋"/>
          <w:sz w:val="24"/>
          <w:szCs w:val="24"/>
        </w:rPr>
        <w:t>17</w:t>
      </w:r>
      <w:r>
        <w:rPr>
          <w:rFonts w:hint="eastAsia" w:ascii="华文中宋" w:hAnsi="华文中宋" w:eastAsia="华文中宋" w:cs="华文中宋"/>
          <w:sz w:val="24"/>
          <w:szCs w:val="24"/>
        </w:rPr>
        <w:fldChar w:fldCharType="end"/>
      </w:r>
      <w:r>
        <w:rPr>
          <w:rFonts w:hint="eastAsia" w:ascii="华文中宋" w:hAnsi="华文中宋" w:eastAsia="华文中宋" w:cs="华文中宋"/>
          <w:sz w:val="24"/>
          <w:szCs w:val="24"/>
        </w:rPr>
        <w:fldChar w:fldCharType="end"/>
      </w:r>
    </w:p>
    <w:p>
      <w:pPr>
        <w:pStyle w:val="14"/>
        <w:tabs>
          <w:tab w:val="right" w:leader="dot" w:pos="8306"/>
          <w:tab w:val="clear" w:pos="8494"/>
        </w:tabs>
        <w:spacing w:line="480" w:lineRule="auto"/>
        <w:ind w:left="31680" w:firstLine="31680"/>
        <w:rPr>
          <w:rFonts w:hint="eastAsia" w:ascii="华文中宋" w:hAnsi="华文中宋" w:eastAsia="华文中宋" w:cs="华文中宋"/>
          <w:sz w:val="24"/>
          <w:szCs w:val="24"/>
          <w:lang w:val="en-US" w:eastAsia="zh-CN"/>
        </w:rPr>
      </w:pPr>
      <w:r>
        <w:rPr>
          <w:rFonts w:hint="eastAsia" w:ascii="华文中宋" w:hAnsi="华文中宋" w:eastAsia="华文中宋" w:cs="华文中宋"/>
        </w:rPr>
        <w:fldChar w:fldCharType="begin"/>
      </w:r>
      <w:r>
        <w:rPr>
          <w:rFonts w:hint="eastAsia" w:ascii="华文中宋" w:hAnsi="华文中宋" w:eastAsia="华文中宋" w:cs="华文中宋"/>
        </w:rPr>
        <w:instrText xml:space="preserve"> HYPERLINK \l "_Toc16004" </w:instrText>
      </w:r>
      <w:r>
        <w:rPr>
          <w:rFonts w:hint="eastAsia" w:ascii="华文中宋" w:hAnsi="华文中宋" w:eastAsia="华文中宋" w:cs="华文中宋"/>
        </w:rPr>
        <w:fldChar w:fldCharType="separate"/>
      </w:r>
      <w:r>
        <w:rPr>
          <w:rFonts w:hint="eastAsia" w:ascii="华文中宋" w:hAnsi="华文中宋" w:eastAsia="华文中宋" w:cs="华文中宋"/>
          <w:sz w:val="24"/>
          <w:szCs w:val="24"/>
        </w:rPr>
        <w:t>四、估价对象</w:t>
      </w:r>
      <w:r>
        <w:rPr>
          <w:rFonts w:hint="eastAsia" w:ascii="华文中宋" w:hAnsi="华文中宋" w:eastAsia="华文中宋" w:cs="华文中宋"/>
          <w:sz w:val="24"/>
          <w:szCs w:val="24"/>
        </w:rPr>
        <w:tab/>
      </w:r>
      <w:r>
        <w:rPr>
          <w:rFonts w:hint="eastAsia" w:ascii="华文中宋" w:hAnsi="华文中宋" w:eastAsia="华文中宋" w:cs="华文中宋"/>
          <w:sz w:val="24"/>
          <w:szCs w:val="24"/>
        </w:rPr>
        <w:fldChar w:fldCharType="end"/>
      </w:r>
      <w:r>
        <w:rPr>
          <w:rFonts w:hint="eastAsia" w:ascii="华文中宋" w:hAnsi="华文中宋" w:eastAsia="华文中宋" w:cs="华文中宋"/>
          <w:sz w:val="24"/>
          <w:szCs w:val="24"/>
          <w:lang w:val="en-US" w:eastAsia="zh-CN"/>
        </w:rPr>
        <w:t>16</w:t>
      </w:r>
    </w:p>
    <w:p>
      <w:pPr>
        <w:pStyle w:val="14"/>
        <w:tabs>
          <w:tab w:val="right" w:leader="dot" w:pos="8306"/>
          <w:tab w:val="clear" w:pos="8494"/>
        </w:tabs>
        <w:spacing w:line="480" w:lineRule="auto"/>
        <w:ind w:left="31680" w:firstLine="31680"/>
        <w:rPr>
          <w:rFonts w:hint="eastAsia" w:ascii="华文中宋" w:hAnsi="华文中宋" w:eastAsia="华文中宋" w:cs="华文中宋"/>
          <w:sz w:val="24"/>
          <w:szCs w:val="24"/>
        </w:rPr>
      </w:pPr>
      <w:r>
        <w:rPr>
          <w:rFonts w:hint="eastAsia" w:ascii="华文中宋" w:hAnsi="华文中宋" w:eastAsia="华文中宋" w:cs="华文中宋"/>
        </w:rPr>
        <w:fldChar w:fldCharType="begin"/>
      </w:r>
      <w:r>
        <w:rPr>
          <w:rFonts w:hint="eastAsia" w:ascii="华文中宋" w:hAnsi="华文中宋" w:eastAsia="华文中宋" w:cs="华文中宋"/>
        </w:rPr>
        <w:instrText xml:space="preserve"> HYPERLINK \l "_Toc31880" </w:instrText>
      </w:r>
      <w:r>
        <w:rPr>
          <w:rFonts w:hint="eastAsia" w:ascii="华文中宋" w:hAnsi="华文中宋" w:eastAsia="华文中宋" w:cs="华文中宋"/>
        </w:rPr>
        <w:fldChar w:fldCharType="separate"/>
      </w:r>
      <w:r>
        <w:rPr>
          <w:rFonts w:hint="eastAsia" w:ascii="华文中宋" w:hAnsi="华文中宋" w:eastAsia="华文中宋" w:cs="华文中宋"/>
          <w:sz w:val="24"/>
          <w:szCs w:val="24"/>
        </w:rPr>
        <w:t>五、价值时点</w:t>
      </w:r>
      <w:r>
        <w:rPr>
          <w:rFonts w:hint="eastAsia" w:ascii="华文中宋" w:hAnsi="华文中宋" w:eastAsia="华文中宋" w:cs="华文中宋"/>
          <w:sz w:val="24"/>
          <w:szCs w:val="24"/>
        </w:rPr>
        <w:tab/>
      </w:r>
      <w:r>
        <w:rPr>
          <w:rFonts w:hint="eastAsia" w:ascii="华文中宋" w:hAnsi="华文中宋" w:eastAsia="华文中宋" w:cs="华文中宋"/>
          <w:sz w:val="24"/>
          <w:szCs w:val="24"/>
        </w:rPr>
        <w:fldChar w:fldCharType="begin"/>
      </w:r>
      <w:r>
        <w:rPr>
          <w:rFonts w:hint="eastAsia" w:ascii="华文中宋" w:hAnsi="华文中宋" w:eastAsia="华文中宋" w:cs="华文中宋"/>
          <w:sz w:val="24"/>
          <w:szCs w:val="24"/>
        </w:rPr>
        <w:instrText xml:space="preserve"> PAGEREF _Toc31880 </w:instrText>
      </w:r>
      <w:r>
        <w:rPr>
          <w:rFonts w:hint="eastAsia" w:ascii="华文中宋" w:hAnsi="华文中宋" w:eastAsia="华文中宋" w:cs="华文中宋"/>
          <w:sz w:val="24"/>
          <w:szCs w:val="24"/>
        </w:rPr>
        <w:fldChar w:fldCharType="separate"/>
      </w:r>
      <w:r>
        <w:rPr>
          <w:rFonts w:hint="eastAsia" w:ascii="华文中宋" w:hAnsi="华文中宋" w:eastAsia="华文中宋" w:cs="华文中宋"/>
          <w:sz w:val="24"/>
          <w:szCs w:val="24"/>
        </w:rPr>
        <w:t>24</w:t>
      </w:r>
      <w:r>
        <w:rPr>
          <w:rFonts w:hint="eastAsia" w:ascii="华文中宋" w:hAnsi="华文中宋" w:eastAsia="华文中宋" w:cs="华文中宋"/>
          <w:sz w:val="24"/>
          <w:szCs w:val="24"/>
        </w:rPr>
        <w:fldChar w:fldCharType="end"/>
      </w:r>
      <w:r>
        <w:rPr>
          <w:rFonts w:hint="eastAsia" w:ascii="华文中宋" w:hAnsi="华文中宋" w:eastAsia="华文中宋" w:cs="华文中宋"/>
          <w:sz w:val="24"/>
          <w:szCs w:val="24"/>
        </w:rPr>
        <w:fldChar w:fldCharType="end"/>
      </w:r>
    </w:p>
    <w:p>
      <w:pPr>
        <w:pStyle w:val="14"/>
        <w:tabs>
          <w:tab w:val="right" w:leader="dot" w:pos="8306"/>
          <w:tab w:val="clear" w:pos="8494"/>
        </w:tabs>
        <w:spacing w:line="480" w:lineRule="auto"/>
        <w:ind w:left="31680" w:firstLine="31680"/>
        <w:rPr>
          <w:rFonts w:hint="eastAsia" w:ascii="华文中宋" w:hAnsi="华文中宋" w:eastAsia="华文中宋" w:cs="华文中宋"/>
          <w:sz w:val="24"/>
          <w:szCs w:val="24"/>
        </w:rPr>
      </w:pPr>
      <w:r>
        <w:rPr>
          <w:rFonts w:hint="eastAsia" w:ascii="华文中宋" w:hAnsi="华文中宋" w:eastAsia="华文中宋" w:cs="华文中宋"/>
        </w:rPr>
        <w:fldChar w:fldCharType="begin"/>
      </w:r>
      <w:r>
        <w:rPr>
          <w:rFonts w:hint="eastAsia" w:ascii="华文中宋" w:hAnsi="华文中宋" w:eastAsia="华文中宋" w:cs="华文中宋"/>
        </w:rPr>
        <w:instrText xml:space="preserve"> HYPERLINK \l "_Toc16675" </w:instrText>
      </w:r>
      <w:r>
        <w:rPr>
          <w:rFonts w:hint="eastAsia" w:ascii="华文中宋" w:hAnsi="华文中宋" w:eastAsia="华文中宋" w:cs="华文中宋"/>
        </w:rPr>
        <w:fldChar w:fldCharType="separate"/>
      </w:r>
      <w:r>
        <w:rPr>
          <w:rFonts w:hint="eastAsia" w:ascii="华文中宋" w:hAnsi="华文中宋" w:eastAsia="华文中宋" w:cs="华文中宋"/>
          <w:sz w:val="24"/>
          <w:szCs w:val="24"/>
        </w:rPr>
        <w:t>六、价值类型</w:t>
      </w:r>
      <w:r>
        <w:rPr>
          <w:rFonts w:hint="eastAsia" w:ascii="华文中宋" w:hAnsi="华文中宋" w:eastAsia="华文中宋" w:cs="华文中宋"/>
          <w:sz w:val="24"/>
          <w:szCs w:val="24"/>
        </w:rPr>
        <w:tab/>
      </w:r>
      <w:r>
        <w:rPr>
          <w:rFonts w:hint="eastAsia" w:ascii="华文中宋" w:hAnsi="华文中宋" w:eastAsia="华文中宋" w:cs="华文中宋"/>
          <w:sz w:val="24"/>
          <w:szCs w:val="24"/>
        </w:rPr>
        <w:fldChar w:fldCharType="begin"/>
      </w:r>
      <w:r>
        <w:rPr>
          <w:rFonts w:hint="eastAsia" w:ascii="华文中宋" w:hAnsi="华文中宋" w:eastAsia="华文中宋" w:cs="华文中宋"/>
          <w:sz w:val="24"/>
          <w:szCs w:val="24"/>
        </w:rPr>
        <w:instrText xml:space="preserve"> PAGEREF _Toc16675 </w:instrText>
      </w:r>
      <w:r>
        <w:rPr>
          <w:rFonts w:hint="eastAsia" w:ascii="华文中宋" w:hAnsi="华文中宋" w:eastAsia="华文中宋" w:cs="华文中宋"/>
          <w:sz w:val="24"/>
          <w:szCs w:val="24"/>
        </w:rPr>
        <w:fldChar w:fldCharType="separate"/>
      </w:r>
      <w:r>
        <w:rPr>
          <w:rFonts w:hint="eastAsia" w:ascii="华文中宋" w:hAnsi="华文中宋" w:eastAsia="华文中宋" w:cs="华文中宋"/>
          <w:sz w:val="24"/>
          <w:szCs w:val="24"/>
        </w:rPr>
        <w:t>24</w:t>
      </w:r>
      <w:r>
        <w:rPr>
          <w:rFonts w:hint="eastAsia" w:ascii="华文中宋" w:hAnsi="华文中宋" w:eastAsia="华文中宋" w:cs="华文中宋"/>
          <w:sz w:val="24"/>
          <w:szCs w:val="24"/>
        </w:rPr>
        <w:fldChar w:fldCharType="end"/>
      </w:r>
      <w:r>
        <w:rPr>
          <w:rFonts w:hint="eastAsia" w:ascii="华文中宋" w:hAnsi="华文中宋" w:eastAsia="华文中宋" w:cs="华文中宋"/>
          <w:sz w:val="24"/>
          <w:szCs w:val="24"/>
        </w:rPr>
        <w:fldChar w:fldCharType="end"/>
      </w:r>
    </w:p>
    <w:p>
      <w:pPr>
        <w:pStyle w:val="14"/>
        <w:tabs>
          <w:tab w:val="right" w:leader="dot" w:pos="8306"/>
          <w:tab w:val="clear" w:pos="8494"/>
        </w:tabs>
        <w:spacing w:line="480" w:lineRule="auto"/>
        <w:ind w:left="31680" w:firstLine="31680"/>
        <w:rPr>
          <w:rFonts w:hint="eastAsia" w:ascii="华文中宋" w:hAnsi="华文中宋" w:eastAsia="华文中宋" w:cs="华文中宋"/>
          <w:sz w:val="24"/>
          <w:szCs w:val="24"/>
        </w:rPr>
      </w:pPr>
      <w:r>
        <w:rPr>
          <w:rFonts w:hint="eastAsia" w:ascii="华文中宋" w:hAnsi="华文中宋" w:eastAsia="华文中宋" w:cs="华文中宋"/>
        </w:rPr>
        <w:fldChar w:fldCharType="begin"/>
      </w:r>
      <w:r>
        <w:rPr>
          <w:rFonts w:hint="eastAsia" w:ascii="华文中宋" w:hAnsi="华文中宋" w:eastAsia="华文中宋" w:cs="华文中宋"/>
        </w:rPr>
        <w:instrText xml:space="preserve"> HYPERLINK \l "_Toc8652" </w:instrText>
      </w:r>
      <w:r>
        <w:rPr>
          <w:rFonts w:hint="eastAsia" w:ascii="华文中宋" w:hAnsi="华文中宋" w:eastAsia="华文中宋" w:cs="华文中宋"/>
        </w:rPr>
        <w:fldChar w:fldCharType="separate"/>
      </w:r>
      <w:r>
        <w:rPr>
          <w:rFonts w:hint="eastAsia" w:ascii="华文中宋" w:hAnsi="华文中宋" w:eastAsia="华文中宋" w:cs="华文中宋"/>
          <w:sz w:val="24"/>
          <w:szCs w:val="24"/>
        </w:rPr>
        <w:t>七、估价原则</w:t>
      </w:r>
      <w:r>
        <w:rPr>
          <w:rFonts w:hint="eastAsia" w:ascii="华文中宋" w:hAnsi="华文中宋" w:eastAsia="华文中宋" w:cs="华文中宋"/>
          <w:sz w:val="24"/>
          <w:szCs w:val="24"/>
        </w:rPr>
        <w:tab/>
      </w:r>
      <w:r>
        <w:rPr>
          <w:rFonts w:hint="eastAsia" w:ascii="华文中宋" w:hAnsi="华文中宋" w:eastAsia="华文中宋" w:cs="华文中宋"/>
          <w:sz w:val="24"/>
          <w:szCs w:val="24"/>
        </w:rPr>
        <w:fldChar w:fldCharType="begin"/>
      </w:r>
      <w:r>
        <w:rPr>
          <w:rFonts w:hint="eastAsia" w:ascii="华文中宋" w:hAnsi="华文中宋" w:eastAsia="华文中宋" w:cs="华文中宋"/>
          <w:sz w:val="24"/>
          <w:szCs w:val="24"/>
        </w:rPr>
        <w:instrText xml:space="preserve"> PAGEREF _Toc8652 </w:instrText>
      </w:r>
      <w:r>
        <w:rPr>
          <w:rFonts w:hint="eastAsia" w:ascii="华文中宋" w:hAnsi="华文中宋" w:eastAsia="华文中宋" w:cs="华文中宋"/>
          <w:sz w:val="24"/>
          <w:szCs w:val="24"/>
        </w:rPr>
        <w:fldChar w:fldCharType="separate"/>
      </w:r>
      <w:r>
        <w:rPr>
          <w:rFonts w:hint="eastAsia" w:ascii="华文中宋" w:hAnsi="华文中宋" w:eastAsia="华文中宋" w:cs="华文中宋"/>
          <w:sz w:val="24"/>
          <w:szCs w:val="24"/>
        </w:rPr>
        <w:t>24</w:t>
      </w:r>
      <w:r>
        <w:rPr>
          <w:rFonts w:hint="eastAsia" w:ascii="华文中宋" w:hAnsi="华文中宋" w:eastAsia="华文中宋" w:cs="华文中宋"/>
          <w:sz w:val="24"/>
          <w:szCs w:val="24"/>
        </w:rPr>
        <w:fldChar w:fldCharType="end"/>
      </w:r>
      <w:r>
        <w:rPr>
          <w:rFonts w:hint="eastAsia" w:ascii="华文中宋" w:hAnsi="华文中宋" w:eastAsia="华文中宋" w:cs="华文中宋"/>
          <w:sz w:val="24"/>
          <w:szCs w:val="24"/>
        </w:rPr>
        <w:fldChar w:fldCharType="end"/>
      </w:r>
    </w:p>
    <w:p>
      <w:pPr>
        <w:pStyle w:val="14"/>
        <w:tabs>
          <w:tab w:val="right" w:leader="dot" w:pos="8306"/>
          <w:tab w:val="clear" w:pos="8494"/>
        </w:tabs>
        <w:spacing w:line="480" w:lineRule="auto"/>
        <w:ind w:left="31680" w:firstLine="31680"/>
        <w:rPr>
          <w:rFonts w:hint="eastAsia" w:ascii="华文中宋" w:hAnsi="华文中宋" w:eastAsia="华文中宋" w:cs="华文中宋"/>
          <w:sz w:val="24"/>
          <w:szCs w:val="24"/>
        </w:rPr>
      </w:pPr>
      <w:r>
        <w:rPr>
          <w:rFonts w:hint="eastAsia" w:ascii="华文中宋" w:hAnsi="华文中宋" w:eastAsia="华文中宋" w:cs="华文中宋"/>
        </w:rPr>
        <w:fldChar w:fldCharType="begin"/>
      </w:r>
      <w:r>
        <w:rPr>
          <w:rFonts w:hint="eastAsia" w:ascii="华文中宋" w:hAnsi="华文中宋" w:eastAsia="华文中宋" w:cs="华文中宋"/>
        </w:rPr>
        <w:instrText xml:space="preserve"> HYPERLINK \l "_Toc13592" </w:instrText>
      </w:r>
      <w:r>
        <w:rPr>
          <w:rFonts w:hint="eastAsia" w:ascii="华文中宋" w:hAnsi="华文中宋" w:eastAsia="华文中宋" w:cs="华文中宋"/>
        </w:rPr>
        <w:fldChar w:fldCharType="separate"/>
      </w:r>
      <w:r>
        <w:rPr>
          <w:rFonts w:hint="eastAsia" w:ascii="华文中宋" w:hAnsi="华文中宋" w:eastAsia="华文中宋" w:cs="华文中宋"/>
          <w:sz w:val="24"/>
          <w:szCs w:val="24"/>
        </w:rPr>
        <w:t>八、估价依据</w:t>
      </w:r>
      <w:r>
        <w:rPr>
          <w:rFonts w:hint="eastAsia" w:ascii="华文中宋" w:hAnsi="华文中宋" w:eastAsia="华文中宋" w:cs="华文中宋"/>
          <w:sz w:val="24"/>
          <w:szCs w:val="24"/>
        </w:rPr>
        <w:tab/>
      </w:r>
      <w:r>
        <w:rPr>
          <w:rFonts w:hint="eastAsia" w:ascii="华文中宋" w:hAnsi="华文中宋" w:eastAsia="华文中宋" w:cs="华文中宋"/>
          <w:sz w:val="24"/>
          <w:szCs w:val="24"/>
        </w:rPr>
        <w:fldChar w:fldCharType="begin"/>
      </w:r>
      <w:r>
        <w:rPr>
          <w:rFonts w:hint="eastAsia" w:ascii="华文中宋" w:hAnsi="华文中宋" w:eastAsia="华文中宋" w:cs="华文中宋"/>
          <w:sz w:val="24"/>
          <w:szCs w:val="24"/>
        </w:rPr>
        <w:instrText xml:space="preserve"> PAGEREF _Toc13592 </w:instrText>
      </w:r>
      <w:r>
        <w:rPr>
          <w:rFonts w:hint="eastAsia" w:ascii="华文中宋" w:hAnsi="华文中宋" w:eastAsia="华文中宋" w:cs="华文中宋"/>
          <w:sz w:val="24"/>
          <w:szCs w:val="24"/>
        </w:rPr>
        <w:fldChar w:fldCharType="separate"/>
      </w:r>
      <w:r>
        <w:rPr>
          <w:rFonts w:hint="eastAsia" w:ascii="华文中宋" w:hAnsi="华文中宋" w:eastAsia="华文中宋" w:cs="华文中宋"/>
          <w:sz w:val="24"/>
          <w:szCs w:val="24"/>
        </w:rPr>
        <w:t>25</w:t>
      </w:r>
      <w:r>
        <w:rPr>
          <w:rFonts w:hint="eastAsia" w:ascii="华文中宋" w:hAnsi="华文中宋" w:eastAsia="华文中宋" w:cs="华文中宋"/>
          <w:sz w:val="24"/>
          <w:szCs w:val="24"/>
        </w:rPr>
        <w:fldChar w:fldCharType="end"/>
      </w:r>
      <w:r>
        <w:rPr>
          <w:rFonts w:hint="eastAsia" w:ascii="华文中宋" w:hAnsi="华文中宋" w:eastAsia="华文中宋" w:cs="华文中宋"/>
          <w:sz w:val="24"/>
          <w:szCs w:val="24"/>
        </w:rPr>
        <w:fldChar w:fldCharType="end"/>
      </w:r>
    </w:p>
    <w:p>
      <w:pPr>
        <w:pStyle w:val="14"/>
        <w:tabs>
          <w:tab w:val="right" w:leader="dot" w:pos="8306"/>
          <w:tab w:val="clear" w:pos="8494"/>
        </w:tabs>
        <w:spacing w:line="480" w:lineRule="auto"/>
        <w:ind w:left="31680" w:firstLine="31680"/>
        <w:rPr>
          <w:rFonts w:hint="eastAsia" w:ascii="华文中宋" w:hAnsi="华文中宋" w:eastAsia="华文中宋" w:cs="华文中宋"/>
          <w:sz w:val="24"/>
          <w:szCs w:val="24"/>
        </w:rPr>
      </w:pPr>
      <w:r>
        <w:rPr>
          <w:rFonts w:hint="eastAsia" w:ascii="华文中宋" w:hAnsi="华文中宋" w:eastAsia="华文中宋" w:cs="华文中宋"/>
        </w:rPr>
        <w:fldChar w:fldCharType="begin"/>
      </w:r>
      <w:r>
        <w:rPr>
          <w:rFonts w:hint="eastAsia" w:ascii="华文中宋" w:hAnsi="华文中宋" w:eastAsia="华文中宋" w:cs="华文中宋"/>
        </w:rPr>
        <w:instrText xml:space="preserve"> HYPERLINK \l "_Toc22863" </w:instrText>
      </w:r>
      <w:r>
        <w:rPr>
          <w:rFonts w:hint="eastAsia" w:ascii="华文中宋" w:hAnsi="华文中宋" w:eastAsia="华文中宋" w:cs="华文中宋"/>
        </w:rPr>
        <w:fldChar w:fldCharType="separate"/>
      </w:r>
      <w:r>
        <w:rPr>
          <w:rFonts w:hint="eastAsia" w:ascii="华文中宋" w:hAnsi="华文中宋" w:eastAsia="华文中宋" w:cs="华文中宋"/>
          <w:sz w:val="24"/>
          <w:szCs w:val="24"/>
        </w:rPr>
        <w:t>九、估价方法</w:t>
      </w:r>
      <w:r>
        <w:rPr>
          <w:rFonts w:hint="eastAsia" w:ascii="华文中宋" w:hAnsi="华文中宋" w:eastAsia="华文中宋" w:cs="华文中宋"/>
          <w:sz w:val="24"/>
          <w:szCs w:val="24"/>
        </w:rPr>
        <w:tab/>
      </w:r>
      <w:r>
        <w:rPr>
          <w:rFonts w:hint="eastAsia" w:ascii="华文中宋" w:hAnsi="华文中宋" w:eastAsia="华文中宋" w:cs="华文中宋"/>
          <w:sz w:val="24"/>
          <w:szCs w:val="24"/>
        </w:rPr>
        <w:fldChar w:fldCharType="begin"/>
      </w:r>
      <w:r>
        <w:rPr>
          <w:rFonts w:hint="eastAsia" w:ascii="华文中宋" w:hAnsi="华文中宋" w:eastAsia="华文中宋" w:cs="华文中宋"/>
          <w:sz w:val="24"/>
          <w:szCs w:val="24"/>
        </w:rPr>
        <w:instrText xml:space="preserve"> PAGEREF _Toc22863 </w:instrText>
      </w:r>
      <w:r>
        <w:rPr>
          <w:rFonts w:hint="eastAsia" w:ascii="华文中宋" w:hAnsi="华文中宋" w:eastAsia="华文中宋" w:cs="华文中宋"/>
          <w:sz w:val="24"/>
          <w:szCs w:val="24"/>
        </w:rPr>
        <w:fldChar w:fldCharType="separate"/>
      </w:r>
      <w:r>
        <w:rPr>
          <w:rFonts w:hint="eastAsia" w:ascii="华文中宋" w:hAnsi="华文中宋" w:eastAsia="华文中宋" w:cs="华文中宋"/>
          <w:sz w:val="24"/>
          <w:szCs w:val="24"/>
        </w:rPr>
        <w:t>26</w:t>
      </w:r>
      <w:r>
        <w:rPr>
          <w:rFonts w:hint="eastAsia" w:ascii="华文中宋" w:hAnsi="华文中宋" w:eastAsia="华文中宋" w:cs="华文中宋"/>
          <w:sz w:val="24"/>
          <w:szCs w:val="24"/>
        </w:rPr>
        <w:fldChar w:fldCharType="end"/>
      </w:r>
      <w:r>
        <w:rPr>
          <w:rFonts w:hint="eastAsia" w:ascii="华文中宋" w:hAnsi="华文中宋" w:eastAsia="华文中宋" w:cs="华文中宋"/>
          <w:sz w:val="24"/>
          <w:szCs w:val="24"/>
        </w:rPr>
        <w:fldChar w:fldCharType="end"/>
      </w:r>
    </w:p>
    <w:p>
      <w:pPr>
        <w:pStyle w:val="14"/>
        <w:tabs>
          <w:tab w:val="right" w:leader="dot" w:pos="8306"/>
          <w:tab w:val="clear" w:pos="8494"/>
        </w:tabs>
        <w:spacing w:line="480" w:lineRule="auto"/>
        <w:ind w:left="31680" w:firstLine="31680"/>
        <w:rPr>
          <w:rFonts w:hint="eastAsia" w:ascii="华文中宋" w:hAnsi="华文中宋" w:eastAsia="华文中宋" w:cs="华文中宋"/>
          <w:sz w:val="24"/>
          <w:szCs w:val="24"/>
        </w:rPr>
      </w:pPr>
      <w:r>
        <w:rPr>
          <w:rFonts w:hint="eastAsia" w:ascii="华文中宋" w:hAnsi="华文中宋" w:eastAsia="华文中宋" w:cs="华文中宋"/>
        </w:rPr>
        <w:fldChar w:fldCharType="begin"/>
      </w:r>
      <w:r>
        <w:rPr>
          <w:rFonts w:hint="eastAsia" w:ascii="华文中宋" w:hAnsi="华文中宋" w:eastAsia="华文中宋" w:cs="华文中宋"/>
        </w:rPr>
        <w:instrText xml:space="preserve"> HYPERLINK \l "_Toc6279" </w:instrText>
      </w:r>
      <w:r>
        <w:rPr>
          <w:rFonts w:hint="eastAsia" w:ascii="华文中宋" w:hAnsi="华文中宋" w:eastAsia="华文中宋" w:cs="华文中宋"/>
        </w:rPr>
        <w:fldChar w:fldCharType="separate"/>
      </w:r>
      <w:r>
        <w:rPr>
          <w:rFonts w:hint="eastAsia" w:ascii="华文中宋" w:hAnsi="华文中宋" w:eastAsia="华文中宋" w:cs="华文中宋"/>
          <w:sz w:val="24"/>
          <w:szCs w:val="24"/>
        </w:rPr>
        <w:t>十、估价结果</w:t>
      </w:r>
      <w:r>
        <w:rPr>
          <w:rFonts w:hint="eastAsia" w:ascii="华文中宋" w:hAnsi="华文中宋" w:eastAsia="华文中宋" w:cs="华文中宋"/>
          <w:sz w:val="24"/>
          <w:szCs w:val="24"/>
        </w:rPr>
        <w:tab/>
      </w:r>
      <w:r>
        <w:rPr>
          <w:rFonts w:hint="eastAsia" w:ascii="华文中宋" w:hAnsi="华文中宋" w:eastAsia="华文中宋" w:cs="华文中宋"/>
          <w:sz w:val="24"/>
          <w:szCs w:val="24"/>
        </w:rPr>
        <w:fldChar w:fldCharType="begin"/>
      </w:r>
      <w:r>
        <w:rPr>
          <w:rFonts w:hint="eastAsia" w:ascii="华文中宋" w:hAnsi="华文中宋" w:eastAsia="华文中宋" w:cs="华文中宋"/>
          <w:sz w:val="24"/>
          <w:szCs w:val="24"/>
        </w:rPr>
        <w:instrText xml:space="preserve"> PAGEREF _Toc6279 </w:instrText>
      </w:r>
      <w:r>
        <w:rPr>
          <w:rFonts w:hint="eastAsia" w:ascii="华文中宋" w:hAnsi="华文中宋" w:eastAsia="华文中宋" w:cs="华文中宋"/>
          <w:sz w:val="24"/>
          <w:szCs w:val="24"/>
        </w:rPr>
        <w:fldChar w:fldCharType="separate"/>
      </w:r>
      <w:r>
        <w:rPr>
          <w:rFonts w:hint="eastAsia" w:ascii="华文中宋" w:hAnsi="华文中宋" w:eastAsia="华文中宋" w:cs="华文中宋"/>
          <w:sz w:val="24"/>
          <w:szCs w:val="24"/>
        </w:rPr>
        <w:t>29</w:t>
      </w:r>
      <w:r>
        <w:rPr>
          <w:rFonts w:hint="eastAsia" w:ascii="华文中宋" w:hAnsi="华文中宋" w:eastAsia="华文中宋" w:cs="华文中宋"/>
          <w:sz w:val="24"/>
          <w:szCs w:val="24"/>
        </w:rPr>
        <w:fldChar w:fldCharType="end"/>
      </w:r>
      <w:r>
        <w:rPr>
          <w:rFonts w:hint="eastAsia" w:ascii="华文中宋" w:hAnsi="华文中宋" w:eastAsia="华文中宋" w:cs="华文中宋"/>
          <w:sz w:val="24"/>
          <w:szCs w:val="24"/>
        </w:rPr>
        <w:fldChar w:fldCharType="end"/>
      </w:r>
    </w:p>
    <w:p>
      <w:pPr>
        <w:pStyle w:val="14"/>
        <w:tabs>
          <w:tab w:val="right" w:leader="dot" w:pos="8306"/>
          <w:tab w:val="clear" w:pos="8494"/>
        </w:tabs>
        <w:spacing w:line="480" w:lineRule="auto"/>
        <w:ind w:left="31680" w:firstLine="31680"/>
        <w:rPr>
          <w:rFonts w:hint="eastAsia" w:ascii="华文中宋" w:hAnsi="华文中宋" w:eastAsia="华文中宋" w:cs="华文中宋"/>
          <w:sz w:val="24"/>
          <w:szCs w:val="24"/>
        </w:rPr>
      </w:pPr>
      <w:r>
        <w:rPr>
          <w:rFonts w:hint="eastAsia" w:ascii="华文中宋" w:hAnsi="华文中宋" w:eastAsia="华文中宋" w:cs="华文中宋"/>
        </w:rPr>
        <w:fldChar w:fldCharType="begin"/>
      </w:r>
      <w:r>
        <w:rPr>
          <w:rFonts w:hint="eastAsia" w:ascii="华文中宋" w:hAnsi="华文中宋" w:eastAsia="华文中宋" w:cs="华文中宋"/>
        </w:rPr>
        <w:instrText xml:space="preserve"> HYPERLINK \l "_Toc17592" </w:instrText>
      </w:r>
      <w:r>
        <w:rPr>
          <w:rFonts w:hint="eastAsia" w:ascii="华文中宋" w:hAnsi="华文中宋" w:eastAsia="华文中宋" w:cs="华文中宋"/>
        </w:rPr>
        <w:fldChar w:fldCharType="separate"/>
      </w:r>
      <w:r>
        <w:rPr>
          <w:rFonts w:hint="eastAsia" w:ascii="华文中宋" w:hAnsi="华文中宋" w:eastAsia="华文中宋" w:cs="华文中宋"/>
          <w:sz w:val="24"/>
          <w:szCs w:val="24"/>
        </w:rPr>
        <w:t>十一、注册房地产估价师</w:t>
      </w:r>
      <w:r>
        <w:rPr>
          <w:rFonts w:hint="eastAsia" w:ascii="华文中宋" w:hAnsi="华文中宋" w:eastAsia="华文中宋" w:cs="华文中宋"/>
          <w:sz w:val="24"/>
          <w:szCs w:val="24"/>
        </w:rPr>
        <w:tab/>
      </w:r>
      <w:r>
        <w:rPr>
          <w:rFonts w:hint="eastAsia" w:ascii="华文中宋" w:hAnsi="华文中宋" w:eastAsia="华文中宋" w:cs="华文中宋"/>
          <w:sz w:val="24"/>
          <w:szCs w:val="24"/>
        </w:rPr>
        <w:fldChar w:fldCharType="begin"/>
      </w:r>
      <w:r>
        <w:rPr>
          <w:rFonts w:hint="eastAsia" w:ascii="华文中宋" w:hAnsi="华文中宋" w:eastAsia="华文中宋" w:cs="华文中宋"/>
          <w:sz w:val="24"/>
          <w:szCs w:val="24"/>
        </w:rPr>
        <w:instrText xml:space="preserve"> PAGEREF _Toc17592 </w:instrText>
      </w:r>
      <w:r>
        <w:rPr>
          <w:rFonts w:hint="eastAsia" w:ascii="华文中宋" w:hAnsi="华文中宋" w:eastAsia="华文中宋" w:cs="华文中宋"/>
          <w:sz w:val="24"/>
          <w:szCs w:val="24"/>
        </w:rPr>
        <w:fldChar w:fldCharType="separate"/>
      </w:r>
      <w:r>
        <w:rPr>
          <w:rFonts w:hint="eastAsia" w:ascii="华文中宋" w:hAnsi="华文中宋" w:eastAsia="华文中宋" w:cs="华文中宋"/>
          <w:sz w:val="24"/>
          <w:szCs w:val="24"/>
        </w:rPr>
        <w:t>29</w:t>
      </w:r>
      <w:r>
        <w:rPr>
          <w:rFonts w:hint="eastAsia" w:ascii="华文中宋" w:hAnsi="华文中宋" w:eastAsia="华文中宋" w:cs="华文中宋"/>
          <w:sz w:val="24"/>
          <w:szCs w:val="24"/>
        </w:rPr>
        <w:fldChar w:fldCharType="end"/>
      </w:r>
      <w:r>
        <w:rPr>
          <w:rFonts w:hint="eastAsia" w:ascii="华文中宋" w:hAnsi="华文中宋" w:eastAsia="华文中宋" w:cs="华文中宋"/>
          <w:sz w:val="24"/>
          <w:szCs w:val="24"/>
        </w:rPr>
        <w:fldChar w:fldCharType="end"/>
      </w:r>
    </w:p>
    <w:p>
      <w:pPr>
        <w:pStyle w:val="14"/>
        <w:tabs>
          <w:tab w:val="right" w:leader="dot" w:pos="8306"/>
          <w:tab w:val="clear" w:pos="8494"/>
        </w:tabs>
        <w:spacing w:line="480" w:lineRule="auto"/>
        <w:ind w:left="31680" w:firstLine="31680"/>
        <w:rPr>
          <w:rFonts w:hint="eastAsia" w:ascii="华文中宋" w:hAnsi="华文中宋" w:eastAsia="华文中宋" w:cs="华文中宋"/>
          <w:sz w:val="24"/>
          <w:szCs w:val="24"/>
        </w:rPr>
      </w:pPr>
      <w:r>
        <w:rPr>
          <w:rFonts w:hint="eastAsia" w:ascii="华文中宋" w:hAnsi="华文中宋" w:eastAsia="华文中宋" w:cs="华文中宋"/>
        </w:rPr>
        <w:fldChar w:fldCharType="begin"/>
      </w:r>
      <w:r>
        <w:rPr>
          <w:rFonts w:hint="eastAsia" w:ascii="华文中宋" w:hAnsi="华文中宋" w:eastAsia="华文中宋" w:cs="华文中宋"/>
        </w:rPr>
        <w:instrText xml:space="preserve"> HYPERLINK \l "_Toc31303" </w:instrText>
      </w:r>
      <w:r>
        <w:rPr>
          <w:rFonts w:hint="eastAsia" w:ascii="华文中宋" w:hAnsi="华文中宋" w:eastAsia="华文中宋" w:cs="华文中宋"/>
        </w:rPr>
        <w:fldChar w:fldCharType="separate"/>
      </w:r>
      <w:r>
        <w:rPr>
          <w:rFonts w:hint="eastAsia" w:ascii="华文中宋" w:hAnsi="华文中宋" w:eastAsia="华文中宋" w:cs="华文中宋"/>
          <w:sz w:val="24"/>
          <w:szCs w:val="24"/>
        </w:rPr>
        <w:t>十二、实地查勘期</w:t>
      </w:r>
      <w:r>
        <w:rPr>
          <w:rFonts w:hint="eastAsia" w:ascii="华文中宋" w:hAnsi="华文中宋" w:eastAsia="华文中宋" w:cs="华文中宋"/>
          <w:sz w:val="24"/>
          <w:szCs w:val="24"/>
        </w:rPr>
        <w:tab/>
      </w:r>
      <w:r>
        <w:rPr>
          <w:rFonts w:hint="eastAsia" w:ascii="华文中宋" w:hAnsi="华文中宋" w:eastAsia="华文中宋" w:cs="华文中宋"/>
          <w:sz w:val="24"/>
          <w:szCs w:val="24"/>
        </w:rPr>
        <w:fldChar w:fldCharType="begin"/>
      </w:r>
      <w:r>
        <w:rPr>
          <w:rFonts w:hint="eastAsia" w:ascii="华文中宋" w:hAnsi="华文中宋" w:eastAsia="华文中宋" w:cs="华文中宋"/>
          <w:sz w:val="24"/>
          <w:szCs w:val="24"/>
        </w:rPr>
        <w:instrText xml:space="preserve"> PAGEREF _Toc31303 </w:instrText>
      </w:r>
      <w:r>
        <w:rPr>
          <w:rFonts w:hint="eastAsia" w:ascii="华文中宋" w:hAnsi="华文中宋" w:eastAsia="华文中宋" w:cs="华文中宋"/>
          <w:sz w:val="24"/>
          <w:szCs w:val="24"/>
        </w:rPr>
        <w:fldChar w:fldCharType="separate"/>
      </w:r>
      <w:r>
        <w:rPr>
          <w:rFonts w:hint="eastAsia" w:ascii="华文中宋" w:hAnsi="华文中宋" w:eastAsia="华文中宋" w:cs="华文中宋"/>
          <w:sz w:val="24"/>
          <w:szCs w:val="24"/>
        </w:rPr>
        <w:t>37</w:t>
      </w:r>
      <w:r>
        <w:rPr>
          <w:rFonts w:hint="eastAsia" w:ascii="华文中宋" w:hAnsi="华文中宋" w:eastAsia="华文中宋" w:cs="华文中宋"/>
          <w:sz w:val="24"/>
          <w:szCs w:val="24"/>
        </w:rPr>
        <w:fldChar w:fldCharType="end"/>
      </w:r>
      <w:r>
        <w:rPr>
          <w:rFonts w:hint="eastAsia" w:ascii="华文中宋" w:hAnsi="华文中宋" w:eastAsia="华文中宋" w:cs="华文中宋"/>
          <w:sz w:val="24"/>
          <w:szCs w:val="24"/>
        </w:rPr>
        <w:fldChar w:fldCharType="end"/>
      </w:r>
    </w:p>
    <w:p>
      <w:pPr>
        <w:pStyle w:val="14"/>
        <w:tabs>
          <w:tab w:val="right" w:leader="dot" w:pos="8306"/>
          <w:tab w:val="clear" w:pos="8494"/>
        </w:tabs>
        <w:spacing w:line="480" w:lineRule="auto"/>
        <w:ind w:left="31680" w:firstLine="31680"/>
        <w:rPr>
          <w:rFonts w:hint="eastAsia" w:ascii="华文中宋" w:hAnsi="华文中宋" w:eastAsia="华文中宋" w:cs="华文中宋"/>
          <w:sz w:val="24"/>
          <w:szCs w:val="24"/>
        </w:rPr>
      </w:pPr>
      <w:r>
        <w:rPr>
          <w:rFonts w:hint="eastAsia" w:ascii="华文中宋" w:hAnsi="华文中宋" w:eastAsia="华文中宋" w:cs="华文中宋"/>
        </w:rPr>
        <w:fldChar w:fldCharType="begin"/>
      </w:r>
      <w:r>
        <w:rPr>
          <w:rFonts w:hint="eastAsia" w:ascii="华文中宋" w:hAnsi="华文中宋" w:eastAsia="华文中宋" w:cs="华文中宋"/>
        </w:rPr>
        <w:instrText xml:space="preserve"> HYPERLINK \l "_Toc1061" </w:instrText>
      </w:r>
      <w:r>
        <w:rPr>
          <w:rFonts w:hint="eastAsia" w:ascii="华文中宋" w:hAnsi="华文中宋" w:eastAsia="华文中宋" w:cs="华文中宋"/>
        </w:rPr>
        <w:fldChar w:fldCharType="separate"/>
      </w:r>
      <w:r>
        <w:rPr>
          <w:rFonts w:hint="eastAsia" w:ascii="华文中宋" w:hAnsi="华文中宋" w:eastAsia="华文中宋" w:cs="华文中宋"/>
          <w:sz w:val="24"/>
          <w:szCs w:val="24"/>
        </w:rPr>
        <w:t>十三、估价作业期</w:t>
      </w:r>
      <w:r>
        <w:rPr>
          <w:rFonts w:hint="eastAsia" w:ascii="华文中宋" w:hAnsi="华文中宋" w:eastAsia="华文中宋" w:cs="华文中宋"/>
          <w:sz w:val="24"/>
          <w:szCs w:val="24"/>
        </w:rPr>
        <w:tab/>
      </w:r>
      <w:r>
        <w:rPr>
          <w:rFonts w:hint="eastAsia" w:ascii="华文中宋" w:hAnsi="华文中宋" w:eastAsia="华文中宋" w:cs="华文中宋"/>
          <w:sz w:val="24"/>
          <w:szCs w:val="24"/>
        </w:rPr>
        <w:fldChar w:fldCharType="begin"/>
      </w:r>
      <w:r>
        <w:rPr>
          <w:rFonts w:hint="eastAsia" w:ascii="华文中宋" w:hAnsi="华文中宋" w:eastAsia="华文中宋" w:cs="华文中宋"/>
          <w:sz w:val="24"/>
          <w:szCs w:val="24"/>
        </w:rPr>
        <w:instrText xml:space="preserve"> PAGEREF _Toc1061 </w:instrText>
      </w:r>
      <w:r>
        <w:rPr>
          <w:rFonts w:hint="eastAsia" w:ascii="华文中宋" w:hAnsi="华文中宋" w:eastAsia="华文中宋" w:cs="华文中宋"/>
          <w:sz w:val="24"/>
          <w:szCs w:val="24"/>
        </w:rPr>
        <w:fldChar w:fldCharType="separate"/>
      </w:r>
      <w:r>
        <w:rPr>
          <w:rFonts w:hint="eastAsia" w:ascii="华文中宋" w:hAnsi="华文中宋" w:eastAsia="华文中宋" w:cs="华文中宋"/>
          <w:sz w:val="24"/>
          <w:szCs w:val="24"/>
        </w:rPr>
        <w:t>37</w:t>
      </w:r>
      <w:r>
        <w:rPr>
          <w:rFonts w:hint="eastAsia" w:ascii="华文中宋" w:hAnsi="华文中宋" w:eastAsia="华文中宋" w:cs="华文中宋"/>
          <w:sz w:val="24"/>
          <w:szCs w:val="24"/>
        </w:rPr>
        <w:fldChar w:fldCharType="end"/>
      </w:r>
      <w:r>
        <w:rPr>
          <w:rFonts w:hint="eastAsia" w:ascii="华文中宋" w:hAnsi="华文中宋" w:eastAsia="华文中宋" w:cs="华文中宋"/>
          <w:sz w:val="24"/>
          <w:szCs w:val="24"/>
        </w:rPr>
        <w:fldChar w:fldCharType="end"/>
      </w:r>
    </w:p>
    <w:p>
      <w:pPr>
        <w:pStyle w:val="13"/>
        <w:tabs>
          <w:tab w:val="right" w:leader="dot" w:pos="8306"/>
          <w:tab w:val="clear" w:pos="9176"/>
        </w:tabs>
        <w:spacing w:line="480" w:lineRule="auto"/>
        <w:ind w:firstLine="31680"/>
        <w:rPr>
          <w:rFonts w:hint="eastAsia" w:ascii="华文中宋" w:hAnsi="华文中宋" w:eastAsia="华文中宋" w:cs="华文中宋"/>
          <w:sz w:val="24"/>
          <w:szCs w:val="24"/>
        </w:rPr>
      </w:pPr>
      <w:r>
        <w:rPr>
          <w:rFonts w:hint="eastAsia" w:ascii="华文中宋" w:hAnsi="华文中宋" w:eastAsia="华文中宋" w:cs="华文中宋"/>
        </w:rPr>
        <w:fldChar w:fldCharType="begin"/>
      </w:r>
      <w:r>
        <w:rPr>
          <w:rFonts w:hint="eastAsia" w:ascii="华文中宋" w:hAnsi="华文中宋" w:eastAsia="华文中宋" w:cs="华文中宋"/>
        </w:rPr>
        <w:instrText xml:space="preserve"> HYPERLINK \l "_Toc7193" </w:instrText>
      </w:r>
      <w:r>
        <w:rPr>
          <w:rFonts w:hint="eastAsia" w:ascii="华文中宋" w:hAnsi="华文中宋" w:eastAsia="华文中宋" w:cs="华文中宋"/>
        </w:rPr>
        <w:fldChar w:fldCharType="separate"/>
      </w:r>
      <w:r>
        <w:rPr>
          <w:rFonts w:hint="eastAsia" w:ascii="华文中宋" w:hAnsi="华文中宋" w:eastAsia="华文中宋" w:cs="华文中宋"/>
          <w:sz w:val="24"/>
          <w:szCs w:val="24"/>
        </w:rPr>
        <w:t>附    件</w:t>
      </w:r>
      <w:r>
        <w:rPr>
          <w:rFonts w:hint="eastAsia" w:ascii="华文中宋" w:hAnsi="华文中宋" w:eastAsia="华文中宋" w:cs="华文中宋"/>
          <w:sz w:val="24"/>
          <w:szCs w:val="24"/>
        </w:rPr>
        <w:tab/>
      </w:r>
      <w:r>
        <w:rPr>
          <w:rFonts w:hint="eastAsia" w:ascii="华文中宋" w:hAnsi="华文中宋" w:eastAsia="华文中宋" w:cs="华文中宋"/>
          <w:sz w:val="24"/>
          <w:szCs w:val="24"/>
        </w:rPr>
        <w:fldChar w:fldCharType="begin"/>
      </w:r>
      <w:r>
        <w:rPr>
          <w:rFonts w:hint="eastAsia" w:ascii="华文中宋" w:hAnsi="华文中宋" w:eastAsia="华文中宋" w:cs="华文中宋"/>
          <w:sz w:val="24"/>
          <w:szCs w:val="24"/>
        </w:rPr>
        <w:instrText xml:space="preserve"> PAGEREF _Toc7193 </w:instrText>
      </w:r>
      <w:r>
        <w:rPr>
          <w:rFonts w:hint="eastAsia" w:ascii="华文中宋" w:hAnsi="华文中宋" w:eastAsia="华文中宋" w:cs="华文中宋"/>
          <w:sz w:val="24"/>
          <w:szCs w:val="24"/>
        </w:rPr>
        <w:fldChar w:fldCharType="separate"/>
      </w:r>
      <w:r>
        <w:rPr>
          <w:rFonts w:hint="eastAsia" w:ascii="华文中宋" w:hAnsi="华文中宋" w:eastAsia="华文中宋" w:cs="华文中宋"/>
          <w:sz w:val="24"/>
          <w:szCs w:val="24"/>
        </w:rPr>
        <w:t>38</w:t>
      </w:r>
      <w:r>
        <w:rPr>
          <w:rFonts w:hint="eastAsia" w:ascii="华文中宋" w:hAnsi="华文中宋" w:eastAsia="华文中宋" w:cs="华文中宋"/>
          <w:sz w:val="24"/>
          <w:szCs w:val="24"/>
        </w:rPr>
        <w:fldChar w:fldCharType="end"/>
      </w:r>
      <w:r>
        <w:rPr>
          <w:rFonts w:hint="eastAsia" w:ascii="华文中宋" w:hAnsi="华文中宋" w:eastAsia="华文中宋" w:cs="华文中宋"/>
          <w:sz w:val="24"/>
          <w:szCs w:val="24"/>
        </w:rPr>
        <w:fldChar w:fldCharType="end"/>
      </w:r>
    </w:p>
    <w:p>
      <w:pPr>
        <w:spacing w:line="480" w:lineRule="auto"/>
        <w:ind w:firstLine="31680"/>
        <w:rPr>
          <w:rFonts w:hint="eastAsia" w:ascii="华文中宋" w:hAnsi="华文中宋" w:eastAsia="华文中宋" w:cs="华文中宋"/>
          <w:szCs w:val="24"/>
        </w:rPr>
        <w:sectPr>
          <w:headerReference r:id="rId9" w:type="default"/>
          <w:type w:val="continuous"/>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titlePg/>
          <w:docGrid w:type="lines" w:linePitch="312" w:charSpace="0"/>
        </w:sectPr>
      </w:pPr>
      <w:r>
        <w:rPr>
          <w:rFonts w:hint="eastAsia" w:ascii="华文中宋" w:hAnsi="华文中宋" w:eastAsia="华文中宋" w:cs="华文中宋"/>
          <w:szCs w:val="24"/>
        </w:rPr>
        <w:fldChar w:fldCharType="end"/>
      </w:r>
    </w:p>
    <w:p>
      <w:pPr>
        <w:spacing w:line="480" w:lineRule="auto"/>
        <w:ind w:firstLine="31680"/>
        <w:rPr>
          <w:rFonts w:hint="eastAsia" w:ascii="华文中宋" w:hAnsi="华文中宋" w:eastAsia="华文中宋" w:cs="华文中宋"/>
          <w:szCs w:val="24"/>
        </w:rPr>
      </w:pPr>
    </w:p>
    <w:p>
      <w:pPr>
        <w:tabs>
          <w:tab w:val="left" w:pos="4828"/>
        </w:tabs>
        <w:spacing w:line="240" w:lineRule="atLeast"/>
        <w:ind w:firstLine="31680"/>
        <w:rPr>
          <w:rFonts w:hint="eastAsia" w:ascii="华文中宋" w:hAnsi="华文中宋" w:eastAsia="华文中宋" w:cs="华文中宋"/>
        </w:rPr>
      </w:pPr>
      <w:r>
        <w:rPr>
          <w:rFonts w:hint="eastAsia" w:ascii="华文中宋" w:hAnsi="华文中宋" w:eastAsia="华文中宋" w:cs="华文中宋"/>
        </w:rPr>
        <w:tab/>
      </w:r>
      <w:bookmarkStart w:id="0" w:name="_Toc11415"/>
      <w:bookmarkStart w:id="1" w:name="_Toc12822"/>
    </w:p>
    <w:p>
      <w:pPr>
        <w:pStyle w:val="2"/>
        <w:spacing w:before="156" w:after="156"/>
        <w:rPr>
          <w:rFonts w:hint="eastAsia" w:ascii="华文中宋" w:hAnsi="华文中宋" w:eastAsia="华文中宋" w:cs="华文中宋"/>
        </w:rPr>
      </w:pPr>
      <w:r>
        <w:rPr>
          <w:rFonts w:hint="eastAsia" w:ascii="华文中宋" w:hAnsi="华文中宋" w:eastAsia="华文中宋" w:cs="华文中宋"/>
        </w:rPr>
        <w:t>注册房地产估价师声明</w:t>
      </w:r>
      <w:bookmarkEnd w:id="0"/>
      <w:bookmarkEnd w:id="1"/>
    </w:p>
    <w:p>
      <w:pPr>
        <w:keepNext w:val="0"/>
        <w:keepLines w:val="0"/>
        <w:pageBreakBefore w:val="0"/>
        <w:widowControl w:val="0"/>
        <w:kinsoku/>
        <w:wordWrap/>
        <w:overflowPunct/>
        <w:topLinePunct w:val="0"/>
        <w:autoSpaceDE/>
        <w:autoSpaceDN/>
        <w:bidi w:val="0"/>
        <w:adjustRightInd w:val="0"/>
        <w:snapToGrid w:val="0"/>
        <w:spacing w:line="500" w:lineRule="exact"/>
        <w:ind w:firstLine="0" w:firstLineChars="0"/>
        <w:textAlignment w:val="auto"/>
        <w:rPr>
          <w:rFonts w:hint="eastAsia" w:ascii="华文中宋" w:hAnsi="华文中宋" w:eastAsia="华文中宋" w:cs="华文中宋"/>
          <w:szCs w:val="24"/>
        </w:rPr>
      </w:pPr>
      <w:r>
        <w:rPr>
          <w:rFonts w:hint="eastAsia" w:ascii="华文中宋" w:hAnsi="华文中宋" w:eastAsia="华文中宋" w:cs="华文中宋"/>
          <w:szCs w:val="24"/>
        </w:rPr>
        <w:t>我们郑重声明：</w:t>
      </w:r>
    </w:p>
    <w:p>
      <w:pPr>
        <w:keepNext w:val="0"/>
        <w:keepLines w:val="0"/>
        <w:pageBreakBefore w:val="0"/>
        <w:widowControl w:val="0"/>
        <w:kinsoku/>
        <w:wordWrap/>
        <w:overflowPunct/>
        <w:topLinePunct w:val="0"/>
        <w:autoSpaceDE/>
        <w:autoSpaceDN/>
        <w:bidi w:val="0"/>
        <w:spacing w:line="500" w:lineRule="exact"/>
        <w:ind w:firstLine="31680"/>
        <w:textAlignment w:val="auto"/>
        <w:rPr>
          <w:rFonts w:hint="eastAsia" w:ascii="华文中宋" w:hAnsi="华文中宋" w:eastAsia="华文中宋" w:cs="华文中宋"/>
          <w:szCs w:val="24"/>
        </w:rPr>
      </w:pPr>
      <w:r>
        <w:rPr>
          <w:rFonts w:hint="eastAsia" w:ascii="华文中宋" w:hAnsi="华文中宋" w:eastAsia="华文中宋" w:cs="华文中宋"/>
          <w:szCs w:val="24"/>
        </w:rPr>
        <w:t>1</w:t>
      </w:r>
      <w:r>
        <w:rPr>
          <w:rFonts w:hint="eastAsia" w:ascii="华文中宋" w:hAnsi="华文中宋" w:eastAsia="华文中宋" w:cs="华文中宋"/>
          <w:szCs w:val="24"/>
          <w:lang w:eastAsia="zh-CN"/>
        </w:rPr>
        <w:t>、</w:t>
      </w:r>
      <w:r>
        <w:rPr>
          <w:rFonts w:hint="eastAsia" w:ascii="华文中宋" w:hAnsi="华文中宋" w:eastAsia="华文中宋" w:cs="华文中宋"/>
          <w:szCs w:val="24"/>
        </w:rPr>
        <w:t xml:space="preserve"> 我们在本估价报告中对事实的说明是真实和准确的，没有虚假记载、误导性陈述和重大遗漏。</w:t>
      </w:r>
    </w:p>
    <w:p>
      <w:pPr>
        <w:keepNext w:val="0"/>
        <w:keepLines w:val="0"/>
        <w:pageBreakBefore w:val="0"/>
        <w:widowControl w:val="0"/>
        <w:kinsoku/>
        <w:wordWrap/>
        <w:overflowPunct/>
        <w:topLinePunct w:val="0"/>
        <w:autoSpaceDE/>
        <w:autoSpaceDN/>
        <w:bidi w:val="0"/>
        <w:spacing w:line="500" w:lineRule="exact"/>
        <w:ind w:firstLine="31680"/>
        <w:textAlignment w:val="auto"/>
        <w:rPr>
          <w:rFonts w:hint="eastAsia" w:ascii="华文中宋" w:hAnsi="华文中宋" w:eastAsia="华文中宋" w:cs="华文中宋"/>
          <w:szCs w:val="24"/>
        </w:rPr>
      </w:pPr>
      <w:r>
        <w:rPr>
          <w:rFonts w:hint="eastAsia" w:ascii="华文中宋" w:hAnsi="华文中宋" w:eastAsia="华文中宋" w:cs="华文中宋"/>
          <w:szCs w:val="24"/>
        </w:rPr>
        <w:t>2</w:t>
      </w:r>
      <w:r>
        <w:rPr>
          <w:rFonts w:hint="eastAsia" w:ascii="华文中宋" w:hAnsi="华文中宋" w:eastAsia="华文中宋" w:cs="华文中宋"/>
          <w:szCs w:val="24"/>
          <w:lang w:eastAsia="zh-CN"/>
        </w:rPr>
        <w:t>、</w:t>
      </w:r>
      <w:r>
        <w:rPr>
          <w:rFonts w:hint="eastAsia" w:ascii="华文中宋" w:hAnsi="华文中宋" w:eastAsia="华文中宋" w:cs="华文中宋"/>
          <w:szCs w:val="24"/>
        </w:rPr>
        <w:t>本估价报告中的分析、意见和结论是我们独立、客观、公正的专业分析、意见和结论，但受本估价报告中已说明的假设和限制条件的限制。</w:t>
      </w:r>
    </w:p>
    <w:p>
      <w:pPr>
        <w:keepNext w:val="0"/>
        <w:keepLines w:val="0"/>
        <w:pageBreakBefore w:val="0"/>
        <w:widowControl w:val="0"/>
        <w:kinsoku/>
        <w:wordWrap/>
        <w:overflowPunct/>
        <w:topLinePunct w:val="0"/>
        <w:autoSpaceDE/>
        <w:autoSpaceDN/>
        <w:bidi w:val="0"/>
        <w:spacing w:line="500" w:lineRule="exact"/>
        <w:ind w:firstLine="31680"/>
        <w:textAlignment w:val="auto"/>
        <w:rPr>
          <w:rFonts w:hint="eastAsia" w:ascii="华文中宋" w:hAnsi="华文中宋" w:eastAsia="华文中宋" w:cs="华文中宋"/>
          <w:szCs w:val="24"/>
        </w:rPr>
      </w:pPr>
      <w:r>
        <w:rPr>
          <w:rFonts w:hint="eastAsia" w:ascii="华文中宋" w:hAnsi="华文中宋" w:eastAsia="华文中宋" w:cs="华文中宋"/>
          <w:szCs w:val="24"/>
        </w:rPr>
        <w:t>3</w:t>
      </w:r>
      <w:r>
        <w:rPr>
          <w:rFonts w:hint="eastAsia" w:ascii="华文中宋" w:hAnsi="华文中宋" w:eastAsia="华文中宋" w:cs="华文中宋"/>
          <w:szCs w:val="24"/>
          <w:lang w:eastAsia="zh-CN"/>
        </w:rPr>
        <w:t>、</w:t>
      </w:r>
      <w:r>
        <w:rPr>
          <w:rFonts w:hint="eastAsia" w:ascii="华文中宋" w:hAnsi="华文中宋" w:eastAsia="华文中宋" w:cs="华文中宋"/>
          <w:szCs w:val="24"/>
        </w:rPr>
        <w:t>我们与本估价报告中的估价对象没有现实或潜在的利益，与估价委托人及估价利害关系人没有利害关系，也对估价对象、估价委托人及估价利害关系人没有偏见。</w:t>
      </w:r>
    </w:p>
    <w:p>
      <w:pPr>
        <w:keepNext w:val="0"/>
        <w:keepLines w:val="0"/>
        <w:pageBreakBefore w:val="0"/>
        <w:widowControl w:val="0"/>
        <w:kinsoku/>
        <w:wordWrap/>
        <w:overflowPunct/>
        <w:topLinePunct w:val="0"/>
        <w:autoSpaceDE/>
        <w:autoSpaceDN/>
        <w:bidi w:val="0"/>
        <w:adjustRightInd w:val="0"/>
        <w:snapToGrid w:val="0"/>
        <w:spacing w:line="500" w:lineRule="exact"/>
        <w:ind w:firstLine="31680"/>
        <w:textAlignment w:val="auto"/>
        <w:rPr>
          <w:rFonts w:hint="eastAsia" w:ascii="华文中宋" w:hAnsi="华文中宋" w:eastAsia="华文中宋" w:cs="华文中宋"/>
          <w:szCs w:val="24"/>
          <w:highlight w:val="none"/>
        </w:rPr>
      </w:pPr>
      <w:r>
        <w:rPr>
          <w:rFonts w:hint="eastAsia" w:ascii="华文中宋" w:hAnsi="华文中宋" w:eastAsia="华文中宋" w:cs="华文中宋"/>
          <w:szCs w:val="24"/>
        </w:rPr>
        <w:t>4</w:t>
      </w:r>
      <w:r>
        <w:rPr>
          <w:rFonts w:hint="eastAsia" w:ascii="华文中宋" w:hAnsi="华文中宋" w:eastAsia="华文中宋" w:cs="华文中宋"/>
          <w:szCs w:val="24"/>
          <w:lang w:eastAsia="zh-CN"/>
        </w:rPr>
        <w:t>、</w:t>
      </w:r>
      <w:r>
        <w:rPr>
          <w:rFonts w:hint="eastAsia" w:ascii="华文中宋" w:hAnsi="华文中宋" w:eastAsia="华文中宋" w:cs="华文中宋"/>
          <w:szCs w:val="24"/>
        </w:rPr>
        <w:t>我们是依照中华人民共和国国家标准《房地产估价规范》GB/T50291-2015、《房地产估价基本术语标准》GB/T50899-2013以及相关房地产估价专项标准进</w:t>
      </w:r>
      <w:r>
        <w:rPr>
          <w:rFonts w:hint="eastAsia" w:ascii="华文中宋" w:hAnsi="华文中宋" w:eastAsia="华文中宋" w:cs="华文中宋"/>
          <w:szCs w:val="24"/>
          <w:highlight w:val="none"/>
        </w:rPr>
        <w:t>行估价工作，撰写本估价报告。</w:t>
      </w:r>
    </w:p>
    <w:p>
      <w:pPr>
        <w:keepNext w:val="0"/>
        <w:keepLines w:val="0"/>
        <w:pageBreakBefore w:val="0"/>
        <w:widowControl w:val="0"/>
        <w:kinsoku/>
        <w:wordWrap/>
        <w:overflowPunct/>
        <w:topLinePunct w:val="0"/>
        <w:autoSpaceDE/>
        <w:autoSpaceDN/>
        <w:bidi w:val="0"/>
        <w:adjustRightInd w:val="0"/>
        <w:snapToGrid w:val="0"/>
        <w:spacing w:line="500" w:lineRule="exact"/>
        <w:ind w:firstLine="412" w:firstLineChars="172"/>
        <w:textAlignment w:val="auto"/>
        <w:rPr>
          <w:rFonts w:hint="eastAsia" w:ascii="华文中宋" w:hAnsi="华文中宋" w:eastAsia="华文中宋" w:cs="华文中宋"/>
          <w:szCs w:val="24"/>
        </w:rPr>
      </w:pPr>
      <w:r>
        <w:rPr>
          <w:rFonts w:hint="eastAsia" w:ascii="华文中宋" w:hAnsi="华文中宋" w:eastAsia="华文中宋" w:cs="华文中宋"/>
          <w:szCs w:val="24"/>
          <w:highlight w:val="none"/>
        </w:rPr>
        <w:t xml:space="preserve"> 5</w:t>
      </w:r>
      <w:r>
        <w:rPr>
          <w:rFonts w:hint="eastAsia" w:ascii="华文中宋" w:hAnsi="华文中宋" w:eastAsia="华文中宋" w:cs="华文中宋"/>
          <w:szCs w:val="24"/>
          <w:highlight w:val="none"/>
          <w:lang w:eastAsia="zh-CN"/>
        </w:rPr>
        <w:t>、</w:t>
      </w:r>
      <w:r>
        <w:rPr>
          <w:rFonts w:hint="eastAsia" w:ascii="华文中宋" w:hAnsi="华文中宋" w:eastAsia="华文中宋" w:cs="华文中宋"/>
          <w:szCs w:val="24"/>
        </w:rPr>
        <w:t>我公司注册房地产估价师</w:t>
      </w:r>
      <w:r>
        <w:rPr>
          <w:rFonts w:hint="eastAsia" w:ascii="华文中宋" w:hAnsi="华文中宋" w:eastAsia="华文中宋" w:cs="华文中宋"/>
          <w:szCs w:val="24"/>
          <w:lang w:eastAsia="zh-CN"/>
        </w:rPr>
        <w:t>张国良</w:t>
      </w:r>
      <w:r>
        <w:rPr>
          <w:rFonts w:hint="eastAsia" w:ascii="华文中宋" w:hAnsi="华文中宋" w:eastAsia="华文中宋" w:cs="华文中宋"/>
          <w:szCs w:val="24"/>
        </w:rPr>
        <w:t>于</w:t>
      </w:r>
      <w:r>
        <w:rPr>
          <w:rFonts w:hint="eastAsia" w:ascii="华文中宋" w:hAnsi="华文中宋" w:cs="华文中宋"/>
          <w:szCs w:val="24"/>
          <w:highlight w:val="none"/>
          <w:lang w:val="en-US" w:eastAsia="zh-CN"/>
        </w:rPr>
        <w:t>2020年7月6日</w:t>
      </w:r>
      <w:r>
        <w:rPr>
          <w:rFonts w:hint="eastAsia" w:ascii="华文中宋" w:hAnsi="华文中宋" w:eastAsia="华文中宋" w:cs="华文中宋"/>
          <w:szCs w:val="24"/>
          <w:highlight w:val="none"/>
          <w:lang w:val="en-US" w:eastAsia="zh-CN"/>
        </w:rPr>
        <w:t>仅</w:t>
      </w:r>
      <w:r>
        <w:rPr>
          <w:rFonts w:hint="eastAsia" w:ascii="华文中宋" w:hAnsi="华文中宋" w:eastAsia="华文中宋" w:cs="华文中宋"/>
          <w:szCs w:val="24"/>
          <w:highlight w:val="none"/>
        </w:rPr>
        <w:t>对本估价报告中的估价对象</w:t>
      </w:r>
      <w:r>
        <w:rPr>
          <w:rFonts w:hint="eastAsia" w:ascii="华文中宋" w:hAnsi="华文中宋" w:eastAsia="华文中宋" w:cs="华文中宋"/>
          <w:szCs w:val="24"/>
          <w:highlight w:val="none"/>
          <w:lang w:eastAsia="zh-CN"/>
        </w:rPr>
        <w:t>、周边环境</w:t>
      </w:r>
      <w:r>
        <w:rPr>
          <w:rFonts w:hint="eastAsia" w:ascii="华文中宋" w:hAnsi="华文中宋" w:eastAsia="华文中宋" w:cs="华文中宋"/>
          <w:szCs w:val="24"/>
          <w:highlight w:val="none"/>
        </w:rPr>
        <w:t>进行了实地查勘，并对勘察的客观性、真实性、公正性承担责任，但我们对估价对象的实地查勘仅限于其外观和使用状况，对被遮盖、未暴露及难以接触到的部分，我们依据估价委托人提</w:t>
      </w:r>
      <w:r>
        <w:rPr>
          <w:rFonts w:hint="eastAsia" w:ascii="华文中宋" w:hAnsi="华文中宋" w:eastAsia="华文中宋" w:cs="华文中宋"/>
          <w:szCs w:val="24"/>
        </w:rPr>
        <w:t>供的资料及相关规范进行估价。我们不承担对估价对象建筑结构质量进行调查的责任。</w:t>
      </w:r>
    </w:p>
    <w:p>
      <w:pPr>
        <w:keepNext w:val="0"/>
        <w:keepLines w:val="0"/>
        <w:pageBreakBefore w:val="0"/>
        <w:widowControl w:val="0"/>
        <w:kinsoku/>
        <w:wordWrap/>
        <w:overflowPunct/>
        <w:topLinePunct w:val="0"/>
        <w:autoSpaceDE/>
        <w:autoSpaceDN/>
        <w:bidi w:val="0"/>
        <w:spacing w:line="500" w:lineRule="exact"/>
        <w:ind w:firstLine="31680"/>
        <w:textAlignment w:val="auto"/>
        <w:rPr>
          <w:rFonts w:hint="eastAsia" w:ascii="华文中宋" w:hAnsi="华文中宋" w:eastAsia="华文中宋" w:cs="华文中宋"/>
          <w:szCs w:val="24"/>
        </w:rPr>
      </w:pPr>
      <w:r>
        <w:rPr>
          <w:rFonts w:hint="eastAsia" w:ascii="华文中宋" w:hAnsi="华文中宋" w:eastAsia="华文中宋" w:cs="华文中宋"/>
          <w:szCs w:val="24"/>
        </w:rPr>
        <w:t>6</w:t>
      </w:r>
      <w:r>
        <w:rPr>
          <w:rFonts w:hint="eastAsia" w:ascii="华文中宋" w:hAnsi="华文中宋" w:eastAsia="华文中宋" w:cs="华文中宋"/>
          <w:szCs w:val="24"/>
          <w:lang w:eastAsia="zh-CN"/>
        </w:rPr>
        <w:t>、</w:t>
      </w:r>
      <w:r>
        <w:rPr>
          <w:rFonts w:hint="eastAsia" w:ascii="华文中宋" w:hAnsi="华文中宋" w:eastAsia="华文中宋" w:cs="华文中宋"/>
          <w:szCs w:val="24"/>
        </w:rPr>
        <w:t>我公司估价人员有资质和能力完成本项目，所以没有外部专家和机构对本估价报告提供重要专业帮助。</w:t>
      </w:r>
    </w:p>
    <w:p>
      <w:pPr>
        <w:keepNext w:val="0"/>
        <w:keepLines w:val="0"/>
        <w:pageBreakBefore w:val="0"/>
        <w:widowControl w:val="0"/>
        <w:kinsoku/>
        <w:wordWrap/>
        <w:overflowPunct/>
        <w:topLinePunct w:val="0"/>
        <w:autoSpaceDE/>
        <w:autoSpaceDN/>
        <w:bidi w:val="0"/>
        <w:spacing w:line="500" w:lineRule="exact"/>
        <w:ind w:firstLine="31680"/>
        <w:jc w:val="both"/>
        <w:textAlignment w:val="auto"/>
        <w:rPr>
          <w:rFonts w:hint="eastAsia" w:ascii="华文中宋" w:hAnsi="华文中宋" w:eastAsia="华文中宋" w:cs="华文中宋"/>
        </w:rPr>
      </w:pPr>
      <w:r>
        <w:rPr>
          <w:rFonts w:hint="eastAsia" w:ascii="华文中宋" w:hAnsi="华文中宋" w:eastAsia="华文中宋" w:cs="华文中宋"/>
          <w:szCs w:val="24"/>
          <w:lang w:val="en-US" w:eastAsia="zh-CN"/>
        </w:rPr>
        <w:t>7、</w:t>
      </w:r>
      <w:r>
        <w:rPr>
          <w:rFonts w:hint="eastAsia" w:ascii="华文中宋" w:hAnsi="华文中宋" w:eastAsia="华文中宋" w:cs="华文中宋"/>
        </w:rPr>
        <w:t>参加本次估价的注册房地产估价师：</w:t>
      </w:r>
    </w:p>
    <w:tbl>
      <w:tblPr>
        <w:tblStyle w:val="16"/>
        <w:tblW w:w="84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1"/>
        <w:gridCol w:w="1920"/>
        <w:gridCol w:w="2310"/>
        <w:gridCol w:w="2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891" w:type="dxa"/>
            <w:vAlign w:val="center"/>
          </w:tcPr>
          <w:p>
            <w:pPr>
              <w:ind w:firstLine="0" w:firstLineChars="0"/>
              <w:jc w:val="center"/>
              <w:rPr>
                <w:rFonts w:hint="eastAsia" w:ascii="华文中宋" w:hAnsi="华文中宋" w:eastAsia="华文中宋" w:cs="华文中宋"/>
                <w:szCs w:val="24"/>
              </w:rPr>
            </w:pPr>
            <w:r>
              <w:rPr>
                <w:rFonts w:hint="eastAsia" w:ascii="华文中宋" w:hAnsi="华文中宋" w:eastAsia="华文中宋" w:cs="华文中宋"/>
                <w:szCs w:val="24"/>
              </w:rPr>
              <w:t>姓名</w:t>
            </w:r>
          </w:p>
        </w:tc>
        <w:tc>
          <w:tcPr>
            <w:tcW w:w="1920" w:type="dxa"/>
            <w:vAlign w:val="center"/>
          </w:tcPr>
          <w:p>
            <w:pPr>
              <w:ind w:firstLine="0" w:firstLineChars="0"/>
              <w:jc w:val="center"/>
              <w:rPr>
                <w:rFonts w:hint="eastAsia" w:ascii="华文中宋" w:hAnsi="华文中宋" w:eastAsia="华文中宋" w:cs="华文中宋"/>
                <w:szCs w:val="24"/>
              </w:rPr>
            </w:pPr>
            <w:r>
              <w:rPr>
                <w:rFonts w:hint="eastAsia" w:ascii="华文中宋" w:hAnsi="华文中宋" w:eastAsia="华文中宋" w:cs="华文中宋"/>
                <w:szCs w:val="24"/>
              </w:rPr>
              <w:t>注册号</w:t>
            </w:r>
          </w:p>
        </w:tc>
        <w:tc>
          <w:tcPr>
            <w:tcW w:w="2310" w:type="dxa"/>
            <w:vAlign w:val="center"/>
          </w:tcPr>
          <w:p>
            <w:pPr>
              <w:ind w:firstLine="0" w:firstLineChars="0"/>
              <w:jc w:val="center"/>
              <w:rPr>
                <w:rFonts w:hint="eastAsia" w:ascii="华文中宋" w:hAnsi="华文中宋" w:eastAsia="华文中宋" w:cs="华文中宋"/>
                <w:szCs w:val="24"/>
              </w:rPr>
            </w:pPr>
            <w:r>
              <w:rPr>
                <w:rFonts w:hint="eastAsia" w:ascii="华文中宋" w:hAnsi="华文中宋" w:eastAsia="华文中宋" w:cs="华文中宋"/>
                <w:szCs w:val="24"/>
              </w:rPr>
              <w:t>签名</w:t>
            </w:r>
          </w:p>
        </w:tc>
        <w:tc>
          <w:tcPr>
            <w:tcW w:w="2355" w:type="dxa"/>
            <w:vAlign w:val="center"/>
          </w:tcPr>
          <w:p>
            <w:pPr>
              <w:ind w:firstLine="0" w:firstLineChars="0"/>
              <w:jc w:val="center"/>
              <w:rPr>
                <w:rFonts w:hint="eastAsia" w:ascii="华文中宋" w:hAnsi="华文中宋" w:eastAsia="华文中宋" w:cs="华文中宋"/>
                <w:szCs w:val="24"/>
              </w:rPr>
            </w:pPr>
            <w:r>
              <w:rPr>
                <w:rFonts w:hint="eastAsia" w:ascii="华文中宋" w:hAnsi="华文中宋" w:eastAsia="华文中宋" w:cs="华文中宋"/>
                <w:szCs w:val="24"/>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1891" w:type="dxa"/>
            <w:vAlign w:val="center"/>
          </w:tcPr>
          <w:p>
            <w:pPr>
              <w:ind w:firstLine="0" w:firstLineChars="0"/>
              <w:jc w:val="center"/>
              <w:rPr>
                <w:rFonts w:hint="eastAsia" w:ascii="华文中宋" w:hAnsi="华文中宋" w:eastAsia="华文中宋" w:cs="华文中宋"/>
                <w:szCs w:val="24"/>
              </w:rPr>
            </w:pPr>
            <w:r>
              <w:rPr>
                <w:rFonts w:hint="eastAsia" w:ascii="华文中宋" w:hAnsi="华文中宋" w:eastAsia="华文中宋" w:cs="华文中宋"/>
                <w:szCs w:val="24"/>
              </w:rPr>
              <w:t>张国良</w:t>
            </w:r>
          </w:p>
        </w:tc>
        <w:tc>
          <w:tcPr>
            <w:tcW w:w="1920" w:type="dxa"/>
            <w:vAlign w:val="center"/>
          </w:tcPr>
          <w:p>
            <w:pPr>
              <w:ind w:firstLine="0" w:firstLineChars="0"/>
              <w:jc w:val="center"/>
              <w:rPr>
                <w:rFonts w:hint="eastAsia" w:ascii="华文中宋" w:hAnsi="华文中宋" w:eastAsia="华文中宋" w:cs="华文中宋"/>
                <w:szCs w:val="24"/>
              </w:rPr>
            </w:pPr>
            <w:r>
              <w:rPr>
                <w:rFonts w:hint="eastAsia" w:ascii="华文中宋" w:hAnsi="华文中宋" w:eastAsia="华文中宋" w:cs="华文中宋"/>
                <w:szCs w:val="24"/>
              </w:rPr>
              <w:t>2120140022</w:t>
            </w:r>
          </w:p>
        </w:tc>
        <w:tc>
          <w:tcPr>
            <w:tcW w:w="2310" w:type="dxa"/>
            <w:vAlign w:val="center"/>
          </w:tcPr>
          <w:p>
            <w:pPr>
              <w:ind w:firstLine="31680"/>
              <w:jc w:val="center"/>
              <w:rPr>
                <w:rFonts w:hint="eastAsia" w:ascii="华文中宋" w:hAnsi="华文中宋" w:eastAsia="华文中宋" w:cs="华文中宋"/>
                <w:szCs w:val="24"/>
              </w:rPr>
            </w:pPr>
          </w:p>
        </w:tc>
        <w:tc>
          <w:tcPr>
            <w:tcW w:w="2355" w:type="dxa"/>
            <w:vAlign w:val="center"/>
          </w:tcPr>
          <w:p>
            <w:pPr>
              <w:ind w:firstLine="600" w:firstLineChars="250"/>
              <w:jc w:val="center"/>
              <w:rPr>
                <w:rFonts w:hint="eastAsia" w:ascii="华文中宋" w:hAnsi="华文中宋" w:eastAsia="华文中宋" w:cs="华文中宋"/>
                <w:szCs w:val="24"/>
              </w:rPr>
            </w:pPr>
            <w:r>
              <w:rPr>
                <w:rFonts w:hint="eastAsia" w:ascii="华文中宋" w:hAnsi="华文中宋" w:eastAsia="华文中宋" w:cs="华文中宋"/>
                <w:szCs w:val="24"/>
              </w:rPr>
              <w:t>年</w:t>
            </w:r>
            <w:r>
              <w:rPr>
                <w:rFonts w:hint="eastAsia" w:ascii="华文中宋" w:hAnsi="华文中宋" w:eastAsia="华文中宋" w:cs="华文中宋"/>
                <w:szCs w:val="24"/>
                <w:lang w:val="en-US" w:eastAsia="zh-CN"/>
              </w:rPr>
              <w:t xml:space="preserve">   </w:t>
            </w:r>
            <w:r>
              <w:rPr>
                <w:rFonts w:hint="eastAsia" w:ascii="华文中宋" w:hAnsi="华文中宋" w:eastAsia="华文中宋" w:cs="华文中宋"/>
                <w:szCs w:val="24"/>
              </w:rPr>
              <w:t>月</w:t>
            </w:r>
            <w:r>
              <w:rPr>
                <w:rFonts w:hint="eastAsia" w:ascii="华文中宋" w:hAnsi="华文中宋" w:eastAsia="华文中宋" w:cs="华文中宋"/>
                <w:szCs w:val="24"/>
                <w:lang w:val="en-US" w:eastAsia="zh-CN"/>
              </w:rPr>
              <w:t xml:space="preserve">   </w:t>
            </w:r>
            <w:r>
              <w:rPr>
                <w:rFonts w:hint="eastAsia" w:ascii="华文中宋" w:hAnsi="华文中宋" w:eastAsia="华文中宋" w:cs="华文中宋"/>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1891" w:type="dxa"/>
            <w:vAlign w:val="center"/>
          </w:tcPr>
          <w:p>
            <w:pPr>
              <w:ind w:firstLine="0" w:firstLineChars="0"/>
              <w:jc w:val="center"/>
              <w:rPr>
                <w:rFonts w:hint="eastAsia" w:ascii="华文中宋" w:hAnsi="华文中宋" w:eastAsia="华文中宋" w:cs="华文中宋"/>
                <w:szCs w:val="24"/>
                <w:lang w:eastAsia="zh-CN"/>
              </w:rPr>
            </w:pPr>
            <w:r>
              <w:rPr>
                <w:rFonts w:hint="eastAsia" w:ascii="华文中宋" w:hAnsi="华文中宋" w:eastAsia="华文中宋" w:cs="华文中宋"/>
                <w:szCs w:val="24"/>
                <w:lang w:eastAsia="zh-CN"/>
              </w:rPr>
              <w:t>马振东</w:t>
            </w:r>
          </w:p>
        </w:tc>
        <w:tc>
          <w:tcPr>
            <w:tcW w:w="1920" w:type="dxa"/>
            <w:vAlign w:val="center"/>
          </w:tcPr>
          <w:p>
            <w:pPr>
              <w:ind w:firstLine="0" w:firstLineChars="0"/>
              <w:jc w:val="center"/>
              <w:rPr>
                <w:rFonts w:hint="eastAsia" w:ascii="华文中宋" w:hAnsi="华文中宋" w:eastAsia="华文中宋" w:cs="华文中宋"/>
                <w:szCs w:val="24"/>
                <w:lang w:eastAsia="zh-CN"/>
              </w:rPr>
            </w:pPr>
            <w:r>
              <w:rPr>
                <w:rFonts w:hint="eastAsia" w:ascii="华文中宋" w:hAnsi="华文中宋" w:eastAsia="华文中宋" w:cs="华文中宋"/>
                <w:szCs w:val="24"/>
                <w:lang w:eastAsia="zh-CN"/>
              </w:rPr>
              <w:t>2120060134</w:t>
            </w:r>
          </w:p>
        </w:tc>
        <w:tc>
          <w:tcPr>
            <w:tcW w:w="2310" w:type="dxa"/>
            <w:vAlign w:val="center"/>
          </w:tcPr>
          <w:p>
            <w:pPr>
              <w:ind w:firstLine="31680"/>
              <w:jc w:val="center"/>
              <w:rPr>
                <w:rFonts w:hint="eastAsia" w:ascii="华文中宋" w:hAnsi="华文中宋" w:eastAsia="华文中宋" w:cs="华文中宋"/>
                <w:szCs w:val="24"/>
              </w:rPr>
            </w:pPr>
          </w:p>
        </w:tc>
        <w:tc>
          <w:tcPr>
            <w:tcW w:w="2355" w:type="dxa"/>
            <w:vAlign w:val="center"/>
          </w:tcPr>
          <w:p>
            <w:pPr>
              <w:ind w:firstLine="600" w:firstLineChars="250"/>
              <w:jc w:val="center"/>
              <w:rPr>
                <w:rFonts w:hint="eastAsia" w:ascii="华文中宋" w:hAnsi="华文中宋" w:eastAsia="华文中宋" w:cs="华文中宋"/>
                <w:b/>
                <w:szCs w:val="24"/>
              </w:rPr>
            </w:pPr>
            <w:r>
              <w:rPr>
                <w:rFonts w:hint="eastAsia" w:ascii="华文中宋" w:hAnsi="华文中宋" w:eastAsia="华文中宋" w:cs="华文中宋"/>
                <w:szCs w:val="24"/>
              </w:rPr>
              <w:t>年</w:t>
            </w:r>
            <w:r>
              <w:rPr>
                <w:rFonts w:hint="eastAsia" w:ascii="华文中宋" w:hAnsi="华文中宋" w:eastAsia="华文中宋" w:cs="华文中宋"/>
                <w:szCs w:val="24"/>
                <w:lang w:val="en-US" w:eastAsia="zh-CN"/>
              </w:rPr>
              <w:t xml:space="preserve">   </w:t>
            </w:r>
            <w:r>
              <w:rPr>
                <w:rFonts w:hint="eastAsia" w:ascii="华文中宋" w:hAnsi="华文中宋" w:eastAsia="华文中宋" w:cs="华文中宋"/>
                <w:szCs w:val="24"/>
              </w:rPr>
              <w:t>月</w:t>
            </w:r>
            <w:r>
              <w:rPr>
                <w:rFonts w:hint="eastAsia" w:ascii="华文中宋" w:hAnsi="华文中宋" w:eastAsia="华文中宋" w:cs="华文中宋"/>
                <w:szCs w:val="24"/>
                <w:lang w:val="en-US" w:eastAsia="zh-CN"/>
              </w:rPr>
              <w:t xml:space="preserve">   </w:t>
            </w:r>
            <w:r>
              <w:rPr>
                <w:rFonts w:hint="eastAsia" w:ascii="华文中宋" w:hAnsi="华文中宋" w:eastAsia="华文中宋" w:cs="华文中宋"/>
                <w:szCs w:val="24"/>
              </w:rPr>
              <w:t>日</w:t>
            </w:r>
          </w:p>
        </w:tc>
      </w:tr>
    </w:tbl>
    <w:p>
      <w:pPr>
        <w:ind w:firstLine="31680"/>
        <w:rPr>
          <w:rFonts w:hint="eastAsia" w:ascii="华文中宋" w:hAnsi="华文中宋" w:eastAsia="华文中宋" w:cs="华文中宋"/>
        </w:rPr>
        <w:sectPr>
          <w:headerReference r:id="rId11" w:type="first"/>
          <w:headerReference r:id="rId10" w:type="default"/>
          <w:type w:val="continuous"/>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titlePg/>
          <w:docGrid w:type="lines" w:linePitch="312" w:charSpace="0"/>
        </w:sectPr>
      </w:pPr>
    </w:p>
    <w:p>
      <w:pPr>
        <w:tabs>
          <w:tab w:val="center" w:pos="4153"/>
        </w:tabs>
        <w:ind w:left="0" w:leftChars="0" w:firstLine="0" w:firstLineChars="0"/>
        <w:rPr>
          <w:rFonts w:hint="eastAsia" w:ascii="华文中宋" w:hAnsi="华文中宋" w:eastAsia="华文中宋" w:cs="华文中宋"/>
          <w:b/>
          <w:bCs/>
          <w:sz w:val="32"/>
          <w:szCs w:val="32"/>
        </w:rPr>
      </w:pPr>
      <w:bookmarkStart w:id="2" w:name="_Toc650"/>
    </w:p>
    <w:p>
      <w:pPr>
        <w:tabs>
          <w:tab w:val="center" w:pos="4153"/>
        </w:tabs>
        <w:ind w:left="0" w:leftChars="0" w:firstLine="0" w:firstLineChars="0"/>
        <w:rPr>
          <w:rFonts w:hint="eastAsia" w:ascii="华文中宋" w:hAnsi="华文中宋" w:eastAsia="华文中宋" w:cs="华文中宋"/>
          <w:b/>
          <w:bCs/>
          <w:sz w:val="32"/>
          <w:szCs w:val="32"/>
        </w:rPr>
      </w:pPr>
    </w:p>
    <w:p>
      <w:pPr>
        <w:pStyle w:val="2"/>
        <w:spacing w:before="156" w:after="156"/>
        <w:rPr>
          <w:rFonts w:hint="eastAsia" w:ascii="华文中宋" w:hAnsi="华文中宋" w:eastAsia="华文中宋" w:cs="华文中宋"/>
        </w:rPr>
      </w:pPr>
      <w:bookmarkStart w:id="3" w:name="_Toc25015"/>
      <w:r>
        <w:rPr>
          <w:rFonts w:hint="eastAsia" w:ascii="华文中宋" w:hAnsi="华文中宋" w:eastAsia="华文中宋" w:cs="华文中宋"/>
        </w:rPr>
        <w:t>估价假设和限制条件</w:t>
      </w:r>
      <w:bookmarkEnd w:id="2"/>
      <w:bookmarkEnd w:id="3"/>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rPr>
          <w:rFonts w:hint="eastAsia" w:ascii="华文中宋" w:hAnsi="华文中宋" w:eastAsia="华文中宋" w:cs="华文中宋"/>
          <w:szCs w:val="24"/>
        </w:rPr>
      </w:pPr>
      <w:bookmarkStart w:id="4" w:name="_Toc58568634"/>
      <w:bookmarkStart w:id="5" w:name="_Toc429557851"/>
      <w:bookmarkStart w:id="6" w:name="_Toc58569324"/>
      <w:bookmarkStart w:id="7" w:name="_Toc58569340"/>
      <w:bookmarkStart w:id="8" w:name="_Toc449598309"/>
      <w:bookmarkStart w:id="9" w:name="_Toc409772450"/>
      <w:bookmarkStart w:id="10" w:name="_Toc452121197"/>
      <w:bookmarkStart w:id="11" w:name="_Toc410379048"/>
      <w:bookmarkStart w:id="12" w:name="_Toc415039129"/>
      <w:bookmarkStart w:id="13" w:name="_Toc13752"/>
      <w:bookmarkStart w:id="14" w:name="_Toc16010"/>
      <w:bookmarkStart w:id="15" w:name="_Toc428348790"/>
      <w:r>
        <w:rPr>
          <w:rFonts w:hint="eastAsia" w:ascii="华文中宋" w:hAnsi="华文中宋" w:eastAsia="华文中宋" w:cs="华文中宋"/>
          <w:szCs w:val="24"/>
        </w:rPr>
        <w:t>为了形成客观、科学、合理的估价结果，保证本次估价报告的正确使用，我们根据估价报告估价目的及估价对象设定估价假设和限制条件，估价报告使用人应充分关注估价假设和限制条件：</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2" w:firstLineChars="200"/>
        <w:jc w:val="both"/>
        <w:textAlignment w:val="auto"/>
        <w:outlineLvl w:val="9"/>
        <w:rPr>
          <w:rFonts w:hint="eastAsia" w:ascii="华文中宋" w:hAnsi="华文中宋" w:eastAsia="华文中宋" w:cs="华文中宋"/>
          <w:b/>
          <w:bCs/>
          <w:szCs w:val="24"/>
        </w:rPr>
      </w:pPr>
      <w:r>
        <w:rPr>
          <w:rFonts w:hint="eastAsia" w:ascii="华文中宋" w:hAnsi="华文中宋" w:eastAsia="华文中宋" w:cs="华文中宋"/>
          <w:b/>
          <w:szCs w:val="24"/>
        </w:rPr>
        <w:t>一、一般假设：</w:t>
      </w:r>
    </w:p>
    <w:p>
      <w:pPr>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hint="eastAsia" w:ascii="华文中宋" w:hAnsi="华文中宋" w:eastAsia="华文中宋" w:cs="华文中宋"/>
          <w:szCs w:val="24"/>
          <w:lang w:eastAsia="zh-CN"/>
        </w:rPr>
      </w:pPr>
      <w:r>
        <w:rPr>
          <w:rFonts w:hint="eastAsia" w:ascii="华文中宋" w:hAnsi="华文中宋" w:eastAsia="华文中宋" w:cs="华文中宋"/>
          <w:szCs w:val="24"/>
        </w:rPr>
        <w:t>1、</w:t>
      </w:r>
      <w:r>
        <w:rPr>
          <w:rFonts w:hint="eastAsia" w:ascii="华文中宋" w:hAnsi="华文中宋" w:cs="华文中宋"/>
          <w:szCs w:val="24"/>
          <w:lang w:eastAsia="zh-CN"/>
        </w:rPr>
        <w:t>委托人未提供本次估价对象的《中华人民共和国不动产权证书》，</w:t>
      </w:r>
      <w:r>
        <w:rPr>
          <w:rFonts w:hint="eastAsia" w:ascii="华文中宋" w:hAnsi="华文中宋" w:eastAsia="华文中宋" w:cs="华文中宋"/>
          <w:szCs w:val="24"/>
          <w:lang w:val="en-US" w:eastAsia="zh-CN"/>
        </w:rPr>
        <w:t>委估对象权属资料均以估价委托人提供的</w:t>
      </w:r>
      <w:r>
        <w:rPr>
          <w:rFonts w:hint="eastAsia" w:ascii="华文中宋" w:hAnsi="华文中宋" w:cs="华文中宋"/>
          <w:szCs w:val="24"/>
          <w:lang w:val="en-US" w:eastAsia="zh-CN"/>
        </w:rPr>
        <w:t>（2019）辽03刑终221号《辽宁省鞍山市中级人民法院刑事判决书》及</w:t>
      </w:r>
      <w:r>
        <w:rPr>
          <w:rFonts w:hint="eastAsia" w:ascii="华文中宋" w:hAnsi="华文中宋" w:eastAsia="华文中宋" w:cs="华文中宋"/>
          <w:szCs w:val="24"/>
          <w:lang w:val="en-US" w:eastAsia="zh-CN"/>
        </w:rPr>
        <w:t>《</w:t>
      </w:r>
      <w:r>
        <w:rPr>
          <w:rFonts w:hint="eastAsia" w:ascii="华文中宋" w:hAnsi="华文中宋" w:cs="华文中宋"/>
          <w:szCs w:val="24"/>
          <w:lang w:val="en-US" w:eastAsia="zh-CN"/>
        </w:rPr>
        <w:t>嘉泰园小区委估房产清单</w:t>
      </w:r>
      <w:r>
        <w:rPr>
          <w:rFonts w:hint="eastAsia" w:ascii="华文中宋" w:hAnsi="华文中宋" w:eastAsia="华文中宋" w:cs="华文中宋"/>
          <w:szCs w:val="24"/>
          <w:lang w:val="en-US" w:eastAsia="zh-CN"/>
        </w:rPr>
        <w:t>》为依据，</w:t>
      </w:r>
      <w:r>
        <w:rPr>
          <w:rFonts w:hint="eastAsia"/>
        </w:rPr>
        <w:t>经核查</w:t>
      </w:r>
      <w:r>
        <w:rPr>
          <w:rFonts w:hint="eastAsia"/>
          <w:lang w:eastAsia="zh-CN"/>
        </w:rPr>
        <w:t>后</w:t>
      </w:r>
      <w:r>
        <w:rPr>
          <w:rFonts w:hint="eastAsia"/>
        </w:rPr>
        <w:t>无理由怀疑上述权属证明文件的合法性、真实性、准确性和完整性，因此本次估价以上述权属证明文件合法、真实、准确、完整为假设前提</w:t>
      </w:r>
      <w:r>
        <w:rPr>
          <w:rFonts w:hint="eastAsia" w:ascii="华文中宋" w:hAnsi="华文中宋" w:eastAsia="华文中宋" w:cs="华文中宋"/>
          <w:szCs w:val="24"/>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hint="eastAsia" w:ascii="华文中宋" w:hAnsi="华文中宋" w:eastAsia="华文中宋" w:cs="华文中宋"/>
          <w:szCs w:val="24"/>
          <w:lang w:val="en-US" w:eastAsia="zh-CN"/>
        </w:rPr>
      </w:pPr>
      <w:r>
        <w:rPr>
          <w:rFonts w:hint="eastAsia" w:ascii="华文中宋" w:hAnsi="华文中宋" w:eastAsia="华文中宋" w:cs="华文中宋"/>
          <w:szCs w:val="24"/>
        </w:rPr>
        <w:t>2、</w:t>
      </w:r>
      <w:r>
        <w:rPr>
          <w:rFonts w:hint="eastAsia" w:ascii="华文中宋" w:hAnsi="华文中宋" w:eastAsia="华文中宋" w:cs="华文中宋"/>
          <w:szCs w:val="24"/>
          <w:lang w:val="en-US" w:eastAsia="zh-CN"/>
        </w:rPr>
        <w:t>估价委托人提供了估价对象权属资料，由估价委托人对提供的权属资料真实性、合法性、准确性和完整性负责。</w:t>
      </w:r>
    </w:p>
    <w:p>
      <w:pPr>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hint="eastAsia" w:ascii="华文中宋" w:hAnsi="华文中宋" w:eastAsia="华文中宋" w:cs="华文中宋"/>
          <w:szCs w:val="24"/>
        </w:rPr>
      </w:pPr>
      <w:r>
        <w:rPr>
          <w:rFonts w:hint="eastAsia" w:ascii="华文中宋" w:hAnsi="华文中宋" w:eastAsia="华文中宋" w:cs="华文中宋"/>
          <w:szCs w:val="24"/>
          <w:lang w:val="en-US" w:eastAsia="zh-CN"/>
        </w:rPr>
        <w:t>3</w:t>
      </w:r>
      <w:r>
        <w:rPr>
          <w:rFonts w:hint="eastAsia" w:ascii="华文中宋" w:hAnsi="华文中宋" w:eastAsia="华文中宋" w:cs="华文中宋"/>
          <w:szCs w:val="24"/>
        </w:rPr>
        <w:t>、注册房地产估价师已对房屋安全、环境污染等影响估价对象价值的重大因素给予了关注，在无理由怀疑估价对象存在隐患且无相应的专业机构进行鉴定、检测的情况下，</w:t>
      </w:r>
      <w:r>
        <w:rPr>
          <w:rFonts w:hint="eastAsia" w:ascii="华文中宋" w:hAnsi="华文中宋" w:eastAsia="华文中宋" w:cs="华文中宋"/>
          <w:szCs w:val="24"/>
          <w:lang w:eastAsia="zh-CN"/>
        </w:rPr>
        <w:t>以估价对象能够正常、安全使用为假设前提</w:t>
      </w:r>
      <w:r>
        <w:rPr>
          <w:rFonts w:hint="eastAsia" w:ascii="华文中宋" w:hAnsi="华文中宋" w:eastAsia="华文中宋" w:cs="华文中宋"/>
          <w:szCs w:val="24"/>
        </w:rPr>
        <w:t>。</w:t>
      </w:r>
    </w:p>
    <w:p>
      <w:pPr>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hint="eastAsia" w:ascii="华文中宋" w:hAnsi="华文中宋" w:eastAsia="华文中宋" w:cs="华文中宋"/>
          <w:szCs w:val="24"/>
        </w:rPr>
      </w:pPr>
      <w:r>
        <w:rPr>
          <w:rFonts w:hint="eastAsia" w:ascii="华文中宋" w:hAnsi="华文中宋" w:eastAsia="华文中宋" w:cs="华文中宋"/>
          <w:szCs w:val="24"/>
          <w:lang w:val="en-US" w:eastAsia="zh-CN"/>
        </w:rPr>
        <w:t>4</w:t>
      </w:r>
      <w:r>
        <w:rPr>
          <w:rFonts w:hint="eastAsia" w:ascii="华文中宋" w:hAnsi="华文中宋" w:eastAsia="华文中宋" w:cs="华文中宋"/>
          <w:szCs w:val="24"/>
        </w:rPr>
        <w:t>、估价对象在价值时点的房地产市场为公平、平等、自愿的交易市场，即能满足以下条件：</w:t>
      </w:r>
      <w:r>
        <w:rPr>
          <w:rFonts w:hint="eastAsia" w:ascii="华文中宋" w:hAnsi="华文中宋" w:eastAsia="华文中宋" w:cs="华文中宋"/>
          <w:szCs w:val="24"/>
          <w:lang w:eastAsia="zh-CN"/>
        </w:rPr>
        <w:t>(</w:t>
      </w:r>
      <w:r>
        <w:rPr>
          <w:rFonts w:hint="eastAsia" w:ascii="华文中宋" w:hAnsi="华文中宋" w:eastAsia="华文中宋" w:cs="华文中宋"/>
          <w:szCs w:val="24"/>
        </w:rPr>
        <w:t>1</w:t>
      </w:r>
      <w:r>
        <w:rPr>
          <w:rFonts w:hint="eastAsia" w:ascii="华文中宋" w:hAnsi="华文中宋" w:eastAsia="华文中宋" w:cs="华文中宋"/>
          <w:szCs w:val="24"/>
          <w:lang w:eastAsia="zh-CN"/>
        </w:rPr>
        <w:t>)</w:t>
      </w:r>
      <w:r>
        <w:rPr>
          <w:rFonts w:hint="eastAsia" w:ascii="华文中宋" w:hAnsi="华文中宋" w:eastAsia="华文中宋" w:cs="华文中宋"/>
          <w:szCs w:val="24"/>
        </w:rPr>
        <w:t>自愿销售的卖方及自愿购买的买方；</w:t>
      </w:r>
      <w:r>
        <w:rPr>
          <w:rFonts w:hint="eastAsia" w:ascii="华文中宋" w:hAnsi="华文中宋" w:eastAsia="华文中宋" w:cs="华文中宋"/>
          <w:szCs w:val="24"/>
          <w:lang w:eastAsia="zh-CN"/>
        </w:rPr>
        <w:t>(</w:t>
      </w:r>
      <w:r>
        <w:rPr>
          <w:rFonts w:hint="eastAsia" w:ascii="华文中宋" w:hAnsi="华文中宋" w:eastAsia="华文中宋" w:cs="华文中宋"/>
          <w:szCs w:val="24"/>
        </w:rPr>
        <w:t>2</w:t>
      </w:r>
      <w:r>
        <w:rPr>
          <w:rFonts w:hint="eastAsia" w:ascii="华文中宋" w:hAnsi="华文中宋" w:eastAsia="华文中宋" w:cs="华文中宋"/>
          <w:szCs w:val="24"/>
          <w:lang w:eastAsia="zh-CN"/>
        </w:rPr>
        <w:t>)</w:t>
      </w:r>
      <w:r>
        <w:rPr>
          <w:rFonts w:hint="eastAsia" w:ascii="华文中宋" w:hAnsi="华文中宋" w:eastAsia="华文中宋" w:cs="华文中宋"/>
          <w:szCs w:val="24"/>
        </w:rPr>
        <w:t>交易双方无任何利害关系，交易的目的是追求各自利益的最大化；</w:t>
      </w:r>
      <w:r>
        <w:rPr>
          <w:rFonts w:hint="eastAsia" w:ascii="华文中宋" w:hAnsi="华文中宋" w:eastAsia="华文中宋" w:cs="华文中宋"/>
          <w:szCs w:val="24"/>
          <w:lang w:eastAsia="zh-CN"/>
        </w:rPr>
        <w:t>(</w:t>
      </w:r>
      <w:r>
        <w:rPr>
          <w:rFonts w:hint="eastAsia" w:ascii="华文中宋" w:hAnsi="华文中宋" w:eastAsia="华文中宋" w:cs="华文中宋"/>
          <w:szCs w:val="24"/>
        </w:rPr>
        <w:t>3</w:t>
      </w:r>
      <w:r>
        <w:rPr>
          <w:rFonts w:hint="eastAsia" w:ascii="华文中宋" w:hAnsi="华文中宋" w:eastAsia="华文中宋" w:cs="华文中宋"/>
          <w:szCs w:val="24"/>
          <w:lang w:eastAsia="zh-CN"/>
        </w:rPr>
        <w:t>)</w:t>
      </w:r>
      <w:r>
        <w:rPr>
          <w:rFonts w:hint="eastAsia" w:ascii="华文中宋" w:hAnsi="华文中宋" w:eastAsia="华文中宋" w:cs="华文中宋"/>
          <w:szCs w:val="24"/>
        </w:rPr>
        <w:t>交易双方了解交易对象、知晓市场行情；</w:t>
      </w:r>
      <w:r>
        <w:rPr>
          <w:rFonts w:hint="eastAsia" w:ascii="华文中宋" w:hAnsi="华文中宋" w:eastAsia="华文中宋" w:cs="华文中宋"/>
          <w:szCs w:val="24"/>
          <w:lang w:eastAsia="zh-CN"/>
        </w:rPr>
        <w:t>(</w:t>
      </w:r>
      <w:r>
        <w:rPr>
          <w:rFonts w:hint="eastAsia" w:ascii="华文中宋" w:hAnsi="华文中宋" w:eastAsia="华文中宋" w:cs="华文中宋"/>
          <w:szCs w:val="24"/>
        </w:rPr>
        <w:t>4</w:t>
      </w:r>
      <w:r>
        <w:rPr>
          <w:rFonts w:hint="eastAsia" w:ascii="华文中宋" w:hAnsi="华文中宋" w:eastAsia="华文中宋" w:cs="华文中宋"/>
          <w:szCs w:val="24"/>
          <w:lang w:eastAsia="zh-CN"/>
        </w:rPr>
        <w:t>)</w:t>
      </w:r>
      <w:r>
        <w:rPr>
          <w:rFonts w:hint="eastAsia" w:ascii="华文中宋" w:hAnsi="华文中宋" w:eastAsia="华文中宋" w:cs="华文中宋"/>
          <w:szCs w:val="24"/>
        </w:rPr>
        <w:t>交易双方有较充裕的时间进行交易；</w:t>
      </w:r>
      <w:r>
        <w:rPr>
          <w:rFonts w:hint="eastAsia" w:ascii="华文中宋" w:hAnsi="华文中宋" w:eastAsia="华文中宋" w:cs="华文中宋"/>
          <w:szCs w:val="24"/>
          <w:lang w:eastAsia="zh-CN"/>
        </w:rPr>
        <w:t>(</w:t>
      </w:r>
      <w:r>
        <w:rPr>
          <w:rFonts w:hint="eastAsia" w:ascii="华文中宋" w:hAnsi="华文中宋" w:eastAsia="华文中宋" w:cs="华文中宋"/>
          <w:szCs w:val="24"/>
        </w:rPr>
        <w:t>5</w:t>
      </w:r>
      <w:r>
        <w:rPr>
          <w:rFonts w:hint="eastAsia" w:ascii="华文中宋" w:hAnsi="华文中宋" w:eastAsia="华文中宋" w:cs="华文中宋"/>
          <w:szCs w:val="24"/>
          <w:lang w:eastAsia="zh-CN"/>
        </w:rPr>
        <w:t>)</w:t>
      </w:r>
      <w:r>
        <w:rPr>
          <w:rFonts w:hint="eastAsia" w:ascii="华文中宋" w:hAnsi="华文中宋" w:eastAsia="华文中宋" w:cs="华文中宋"/>
          <w:szCs w:val="24"/>
        </w:rPr>
        <w:t>不存在特殊买者的附加出价。</w:t>
      </w:r>
    </w:p>
    <w:p>
      <w:pPr>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hint="eastAsia" w:ascii="华文中宋" w:hAnsi="华文中宋" w:eastAsia="华文中宋" w:cs="华文中宋"/>
          <w:szCs w:val="24"/>
          <w:lang w:eastAsia="zh-CN"/>
        </w:rPr>
      </w:pPr>
      <w:r>
        <w:rPr>
          <w:rFonts w:hint="eastAsia" w:ascii="华文中宋" w:hAnsi="华文中宋" w:eastAsia="华文中宋" w:cs="华文中宋"/>
          <w:szCs w:val="24"/>
          <w:lang w:val="en-US" w:eastAsia="zh-CN"/>
        </w:rPr>
        <w:t>5</w:t>
      </w:r>
      <w:r>
        <w:rPr>
          <w:rFonts w:hint="eastAsia" w:ascii="华文中宋" w:hAnsi="华文中宋" w:eastAsia="华文中宋" w:cs="华文中宋"/>
          <w:szCs w:val="24"/>
        </w:rPr>
        <w:t>、</w:t>
      </w:r>
      <w:r>
        <w:rPr>
          <w:rFonts w:hint="eastAsia" w:ascii="华文中宋" w:hAnsi="华文中宋" w:eastAsia="华文中宋" w:cs="华文中宋"/>
          <w:szCs w:val="24"/>
          <w:lang w:eastAsia="zh-CN"/>
        </w:rPr>
        <w:t>本次估价结果未考虑或有负债对估价对象价值的影响，即本报告是在估价对象无或有负债的假设前提下进行估价。</w:t>
      </w:r>
    </w:p>
    <w:p>
      <w:pPr>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hint="eastAsia" w:ascii="华文中宋" w:hAnsi="华文中宋" w:eastAsia="华文中宋" w:cs="华文中宋"/>
          <w:szCs w:val="24"/>
          <w:lang w:val="en-US" w:eastAsia="zh-CN"/>
        </w:rPr>
      </w:pPr>
      <w:r>
        <w:rPr>
          <w:rFonts w:hint="eastAsia" w:ascii="华文中宋" w:hAnsi="华文中宋" w:eastAsia="华文中宋" w:cs="华文中宋"/>
          <w:szCs w:val="24"/>
          <w:lang w:val="en-US" w:eastAsia="zh-CN"/>
        </w:rPr>
        <w:t>6、本报告估价结果不包含委估对象使用及处置时</w:t>
      </w:r>
      <w:r>
        <w:rPr>
          <w:rFonts w:hint="eastAsia" w:ascii="华文中宋" w:hAnsi="华文中宋" w:cs="华文中宋"/>
          <w:szCs w:val="24"/>
          <w:lang w:val="en-US" w:eastAsia="zh-CN"/>
        </w:rPr>
        <w:t>所欠缴</w:t>
      </w:r>
      <w:r>
        <w:rPr>
          <w:rFonts w:hint="eastAsia" w:ascii="华文中宋" w:hAnsi="华文中宋" w:eastAsia="华文中宋" w:cs="华文中宋"/>
          <w:szCs w:val="24"/>
          <w:lang w:val="en-US" w:eastAsia="zh-CN"/>
        </w:rPr>
        <w:t>的水电费、供暖费、物业费司法诉讼费用、交易税费及其他应付费用等</w:t>
      </w:r>
      <w:r>
        <w:rPr>
          <w:rFonts w:hint="eastAsia" w:ascii="华文中宋" w:hAnsi="华文中宋" w:eastAsia="华文中宋" w:cs="华文中宋"/>
          <w:szCs w:val="24"/>
        </w:rPr>
        <w:t>，请报告使用者注意</w:t>
      </w:r>
      <w:r>
        <w:rPr>
          <w:rFonts w:hint="eastAsia" w:ascii="华文中宋" w:hAnsi="华文中宋" w:eastAsia="华文中宋" w:cs="华文中宋"/>
          <w:szCs w:val="24"/>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hint="eastAsia" w:ascii="华文中宋" w:hAnsi="华文中宋" w:eastAsia="华文中宋" w:cs="华文中宋"/>
          <w:szCs w:val="24"/>
        </w:rPr>
      </w:pPr>
      <w:r>
        <w:rPr>
          <w:rFonts w:hint="eastAsia" w:ascii="华文中宋" w:hAnsi="华文中宋" w:eastAsia="华文中宋" w:cs="华文中宋"/>
          <w:szCs w:val="24"/>
          <w:lang w:val="en-US" w:eastAsia="zh-CN"/>
        </w:rPr>
        <w:t>7、</w:t>
      </w:r>
      <w:r>
        <w:rPr>
          <w:rFonts w:hint="eastAsia" w:ascii="华文中宋" w:hAnsi="华文中宋" w:eastAsia="华文中宋" w:cs="华文中宋"/>
          <w:szCs w:val="24"/>
        </w:rPr>
        <w:t>本报告</w:t>
      </w:r>
      <w:r>
        <w:rPr>
          <w:rFonts w:hint="eastAsia" w:ascii="华文中宋" w:hAnsi="华文中宋" w:eastAsia="华文中宋" w:cs="华文中宋"/>
          <w:szCs w:val="24"/>
          <w:lang w:eastAsia="zh-CN"/>
        </w:rPr>
        <w:t>估价结果</w:t>
      </w:r>
      <w:r>
        <w:rPr>
          <w:rFonts w:hint="eastAsia" w:ascii="华文中宋" w:hAnsi="华文中宋" w:eastAsia="华文中宋" w:cs="华文中宋"/>
          <w:szCs w:val="24"/>
        </w:rPr>
        <w:t>未考虑</w:t>
      </w:r>
      <w:r>
        <w:rPr>
          <w:rFonts w:hint="eastAsia" w:ascii="华文中宋" w:hAnsi="华文中宋" w:eastAsia="华文中宋" w:cs="华文中宋"/>
          <w:szCs w:val="24"/>
          <w:lang w:eastAsia="zh-CN"/>
        </w:rPr>
        <w:t>快速变现特殊的交易方式</w:t>
      </w:r>
      <w:r>
        <w:rPr>
          <w:rFonts w:hint="eastAsia" w:ascii="华文中宋" w:hAnsi="华文中宋" w:eastAsia="华文中宋" w:cs="华文中宋"/>
          <w:szCs w:val="24"/>
        </w:rPr>
        <w:t>对委估房地产</w:t>
      </w:r>
      <w:r>
        <w:rPr>
          <w:rFonts w:hint="eastAsia" w:ascii="华文中宋" w:hAnsi="华文中宋" w:eastAsia="华文中宋" w:cs="华文中宋"/>
          <w:szCs w:val="24"/>
          <w:lang w:eastAsia="zh-CN"/>
        </w:rPr>
        <w:t>价值</w:t>
      </w:r>
      <w:r>
        <w:rPr>
          <w:rFonts w:hint="eastAsia" w:ascii="华文中宋" w:hAnsi="华文中宋" w:eastAsia="华文中宋" w:cs="华文中宋"/>
          <w:szCs w:val="24"/>
        </w:rPr>
        <w:t>的影响，请报告使用者注意。</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rPr>
          <w:rFonts w:hint="eastAsia" w:ascii="华文中宋" w:hAnsi="华文中宋" w:eastAsia="华文中宋" w:cs="华文中宋"/>
          <w:szCs w:val="24"/>
          <w:lang w:val="en-US" w:eastAsia="zh-CN"/>
        </w:rPr>
      </w:pPr>
      <w:r>
        <w:rPr>
          <w:rFonts w:hint="eastAsia" w:ascii="华文中宋" w:hAnsi="华文中宋" w:eastAsia="华文中宋" w:cs="华文中宋"/>
          <w:szCs w:val="24"/>
          <w:lang w:val="en-US" w:eastAsia="zh-CN"/>
        </w:rPr>
        <w:t>8、本次估价设定报告有效期内房地产市场稳定，政策未有重大变化，并排除不可抗力影响。</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2" w:firstLineChars="200"/>
        <w:jc w:val="both"/>
        <w:textAlignment w:val="auto"/>
        <w:outlineLvl w:val="9"/>
        <w:rPr>
          <w:rFonts w:hint="eastAsia" w:ascii="华文中宋" w:hAnsi="华文中宋" w:eastAsia="华文中宋" w:cs="华文中宋"/>
          <w:b/>
          <w:szCs w:val="24"/>
        </w:rPr>
      </w:pPr>
      <w:r>
        <w:rPr>
          <w:rFonts w:hint="eastAsia" w:ascii="华文中宋" w:hAnsi="华文中宋" w:eastAsia="华文中宋" w:cs="华文中宋"/>
          <w:b/>
          <w:szCs w:val="24"/>
        </w:rPr>
        <w:t>二、未定事项假设：</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rPr>
          <w:rFonts w:hint="eastAsia" w:ascii="华文中宋" w:hAnsi="华文中宋" w:eastAsia="华文中宋" w:cs="华文中宋"/>
          <w:szCs w:val="24"/>
          <w:lang w:eastAsia="zh-CN"/>
        </w:rPr>
      </w:pPr>
      <w:bookmarkStart w:id="16" w:name="_Toc409772037"/>
      <w:bookmarkStart w:id="17" w:name="_Toc409771393"/>
      <w:bookmarkStart w:id="18" w:name="_Toc409772449"/>
      <w:r>
        <w:rPr>
          <w:rFonts w:hint="eastAsia" w:ascii="华文中宋" w:hAnsi="华文中宋" w:cs="华文中宋"/>
          <w:szCs w:val="24"/>
          <w:lang w:eastAsia="zh-CN"/>
        </w:rPr>
        <w:t>本次估价项目估价委托人尚未提供产权证书、不动产登记信息，仅依据</w:t>
      </w:r>
      <w:r>
        <w:rPr>
          <w:rFonts w:hint="eastAsia" w:ascii="华文中宋" w:hAnsi="华文中宋" w:eastAsia="华文中宋" w:cs="华文中宋"/>
          <w:szCs w:val="24"/>
          <w:lang w:val="en-US" w:eastAsia="zh-CN"/>
        </w:rPr>
        <w:t>《</w:t>
      </w:r>
      <w:r>
        <w:rPr>
          <w:rFonts w:hint="eastAsia" w:ascii="华文中宋" w:hAnsi="华文中宋" w:cs="华文中宋"/>
          <w:szCs w:val="24"/>
          <w:lang w:val="en-US" w:eastAsia="zh-CN"/>
        </w:rPr>
        <w:t>嘉泰园小区委估房产清单</w:t>
      </w:r>
      <w:r>
        <w:rPr>
          <w:rFonts w:hint="eastAsia" w:ascii="华文中宋" w:hAnsi="华文中宋" w:eastAsia="华文中宋" w:cs="华文中宋"/>
          <w:szCs w:val="24"/>
          <w:lang w:val="en-US" w:eastAsia="zh-CN"/>
        </w:rPr>
        <w:t>》</w:t>
      </w:r>
      <w:r>
        <w:rPr>
          <w:rFonts w:hint="eastAsia" w:ascii="华文中宋" w:hAnsi="华文中宋" w:cs="华文中宋"/>
          <w:szCs w:val="24"/>
          <w:lang w:eastAsia="zh-CN"/>
        </w:rPr>
        <w:t>，委估对象用途设立为住宅、车库、仓库</w:t>
      </w:r>
      <w:r>
        <w:rPr>
          <w:rFonts w:hint="eastAsia" w:ascii="华文中宋" w:hAnsi="华文中宋" w:eastAsia="华文中宋" w:cs="华文中宋"/>
          <w:szCs w:val="24"/>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2" w:firstLineChars="200"/>
        <w:jc w:val="both"/>
        <w:textAlignment w:val="auto"/>
        <w:outlineLvl w:val="9"/>
        <w:rPr>
          <w:rFonts w:hint="eastAsia" w:ascii="华文中宋" w:hAnsi="华文中宋" w:eastAsia="华文中宋" w:cs="华文中宋"/>
          <w:b/>
          <w:szCs w:val="24"/>
        </w:rPr>
      </w:pPr>
      <w:r>
        <w:rPr>
          <w:rFonts w:hint="eastAsia" w:ascii="华文中宋" w:hAnsi="华文中宋" w:eastAsia="华文中宋" w:cs="华文中宋"/>
          <w:b/>
          <w:szCs w:val="24"/>
        </w:rPr>
        <w:t>三、</w:t>
      </w:r>
      <w:bookmarkEnd w:id="16"/>
      <w:bookmarkEnd w:id="17"/>
      <w:bookmarkEnd w:id="18"/>
      <w:r>
        <w:rPr>
          <w:rFonts w:hint="eastAsia" w:ascii="华文中宋" w:hAnsi="华文中宋" w:eastAsia="华文中宋" w:cs="华文中宋"/>
          <w:b/>
          <w:szCs w:val="24"/>
        </w:rPr>
        <w:t>背离事实假设：</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rPr>
          <w:rFonts w:hint="eastAsia" w:ascii="华文中宋" w:hAnsi="华文中宋" w:eastAsia="华文中宋" w:cs="华文中宋"/>
          <w:szCs w:val="24"/>
          <w:lang w:val="en-US" w:eastAsia="zh-CN"/>
        </w:rPr>
      </w:pPr>
      <w:r>
        <w:rPr>
          <w:rFonts w:hint="eastAsia" w:ascii="华文中宋" w:hAnsi="华文中宋" w:cs="华文中宋"/>
          <w:szCs w:val="24"/>
          <w:lang w:val="en-US" w:eastAsia="zh-CN"/>
        </w:rPr>
        <w:t>无背离事实假设</w:t>
      </w:r>
      <w:r>
        <w:rPr>
          <w:rFonts w:hint="eastAsia" w:ascii="华文中宋" w:hAnsi="华文中宋" w:eastAsia="华文中宋" w:cs="华文中宋"/>
          <w:szCs w:val="24"/>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2" w:firstLineChars="200"/>
        <w:jc w:val="both"/>
        <w:textAlignment w:val="auto"/>
        <w:outlineLvl w:val="9"/>
        <w:rPr>
          <w:rFonts w:hint="eastAsia" w:ascii="华文中宋" w:hAnsi="华文中宋" w:eastAsia="华文中宋" w:cs="华文中宋"/>
          <w:b/>
          <w:szCs w:val="24"/>
        </w:rPr>
      </w:pPr>
      <w:r>
        <w:rPr>
          <w:rFonts w:hint="eastAsia" w:ascii="华文中宋" w:hAnsi="华文中宋" w:eastAsia="华文中宋" w:cs="华文中宋"/>
          <w:b/>
          <w:szCs w:val="24"/>
        </w:rPr>
        <w:t>四、不相一致假设：</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rPr>
          <w:rFonts w:hint="eastAsia" w:ascii="华文中宋" w:hAnsi="华文中宋" w:eastAsia="华文中宋" w:cs="华文中宋"/>
          <w:szCs w:val="24"/>
          <w:lang w:val="en-US" w:eastAsia="zh-CN"/>
        </w:rPr>
      </w:pPr>
      <w:r>
        <w:rPr>
          <w:rFonts w:hint="eastAsia" w:ascii="华文中宋" w:hAnsi="华文中宋" w:cs="华文中宋"/>
          <w:szCs w:val="24"/>
          <w:lang w:val="en-US" w:eastAsia="zh-CN"/>
        </w:rPr>
        <w:t>根据估价委托人提供的（2019）辽03刑终221号《辽宁省鞍山市中级人民法院刑事判决书》所述，本次委估对象为依法没收资产</w:t>
      </w:r>
      <w:r>
        <w:rPr>
          <w:rFonts w:hint="eastAsia" w:ascii="华文中宋" w:hAnsi="华文中宋" w:eastAsia="华文中宋" w:cs="华文中宋"/>
          <w:szCs w:val="24"/>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2" w:firstLineChars="200"/>
        <w:jc w:val="both"/>
        <w:textAlignment w:val="auto"/>
        <w:outlineLvl w:val="9"/>
        <w:rPr>
          <w:rFonts w:hint="eastAsia" w:ascii="华文中宋" w:hAnsi="华文中宋" w:eastAsia="华文中宋" w:cs="华文中宋"/>
          <w:szCs w:val="24"/>
        </w:rPr>
      </w:pPr>
      <w:r>
        <w:rPr>
          <w:rFonts w:hint="eastAsia" w:ascii="华文中宋" w:hAnsi="华文中宋" w:eastAsia="华文中宋" w:cs="华文中宋"/>
          <w:b/>
          <w:bCs/>
          <w:szCs w:val="24"/>
        </w:rPr>
        <w:t>五、依据不足假设：</w:t>
      </w:r>
      <w:bookmarkStart w:id="19" w:name="_Toc415039128"/>
      <w:bookmarkStart w:id="20" w:name="_Toc428348789"/>
      <w:bookmarkStart w:id="21" w:name="_Toc409772448"/>
      <w:bookmarkStart w:id="22" w:name="_Toc410379047"/>
      <w:bookmarkStart w:id="23" w:name="_Toc58569339"/>
      <w:bookmarkStart w:id="24" w:name="_Toc58569323"/>
      <w:bookmarkStart w:id="25" w:name="_Toc58568633"/>
      <w:bookmarkStart w:id="26" w:name="_Toc429557850"/>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rPr>
          <w:rFonts w:hint="eastAsia" w:ascii="华文中宋" w:hAnsi="华文中宋" w:cs="华文中宋"/>
          <w:szCs w:val="24"/>
          <w:lang w:val="en-US" w:eastAsia="zh-CN"/>
        </w:rPr>
      </w:pPr>
      <w:r>
        <w:rPr>
          <w:rFonts w:hint="eastAsia" w:ascii="华文中宋" w:hAnsi="华文中宋" w:cs="华文中宋"/>
          <w:szCs w:val="24"/>
          <w:lang w:val="en-US" w:eastAsia="zh-CN"/>
        </w:rPr>
        <w:t>1、估价人员现场实地查勘时，估价对象入户门无法打开，应估价委托人要求，本次估价对象按照室内毛坯状况进行估价，如与实际不符，需重新进行评估，请报告使用者关注。</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rPr>
          <w:rFonts w:hint="eastAsia" w:ascii="华文中宋" w:hAnsi="华文中宋" w:cs="华文中宋"/>
          <w:szCs w:val="24"/>
          <w:lang w:val="en-US" w:eastAsia="zh-CN"/>
        </w:rPr>
      </w:pPr>
      <w:r>
        <w:rPr>
          <w:rFonts w:hint="eastAsia" w:ascii="华文中宋" w:hAnsi="华文中宋" w:cs="华文中宋"/>
          <w:szCs w:val="24"/>
          <w:lang w:val="en-US" w:eastAsia="zh-CN"/>
        </w:rPr>
        <w:t>2、纳入到本次估价范围32套住宅用途房产，估价委托人尚未提供不动产登记信息与规划许可审批文件，根据估价委托人介绍，委估住宅为规划许可处超建房屋，未取得规划许可审批，本次评估应估价委托人要求，按照无证房造价成本进行评估，如发生改变需重新进行评估。</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rPr>
          <w:rFonts w:hint="default" w:ascii="华文中宋" w:hAnsi="华文中宋" w:cs="华文中宋"/>
          <w:szCs w:val="24"/>
          <w:lang w:val="en-US" w:eastAsia="zh-CN"/>
        </w:rPr>
      </w:pPr>
      <w:r>
        <w:rPr>
          <w:rFonts w:hint="eastAsia" w:ascii="华文中宋" w:hAnsi="华文中宋" w:cs="华文中宋"/>
          <w:szCs w:val="24"/>
          <w:lang w:val="en-US" w:eastAsia="zh-CN"/>
        </w:rPr>
        <w:t>3、本次估价依据估价委托人提供的《嘉泰园小区委估房产清单》，确定委估对象的位置、建筑面积，如发生改变需重新进行评估。</w:t>
      </w:r>
    </w:p>
    <w:p>
      <w:pPr>
        <w:keepNext w:val="0"/>
        <w:keepLines w:val="0"/>
        <w:pageBreakBefore w:val="0"/>
        <w:widowControl w:val="0"/>
        <w:numPr>
          <w:ilvl w:val="0"/>
          <w:numId w:val="4"/>
        </w:numPr>
        <w:kinsoku/>
        <w:wordWrap/>
        <w:overflowPunct/>
        <w:topLinePunct w:val="0"/>
        <w:autoSpaceDE/>
        <w:autoSpaceDN/>
        <w:bidi w:val="0"/>
        <w:adjustRightInd/>
        <w:snapToGrid/>
        <w:spacing w:line="500" w:lineRule="exact"/>
        <w:ind w:left="0" w:leftChars="0" w:right="0" w:rightChars="0" w:firstLine="482" w:firstLineChars="200"/>
        <w:jc w:val="both"/>
        <w:textAlignment w:val="auto"/>
        <w:outlineLvl w:val="9"/>
        <w:rPr>
          <w:rFonts w:hint="eastAsia" w:ascii="华文中宋" w:hAnsi="华文中宋" w:eastAsia="华文中宋" w:cs="华文中宋"/>
          <w:b/>
          <w:szCs w:val="24"/>
        </w:rPr>
      </w:pPr>
      <w:r>
        <w:rPr>
          <w:rFonts w:hint="eastAsia" w:ascii="华文中宋" w:hAnsi="华文中宋" w:eastAsia="华文中宋" w:cs="华文中宋"/>
          <w:b/>
          <w:szCs w:val="24"/>
        </w:rPr>
        <w:t>本估价报告使用的限制条件：</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rPr>
          <w:rFonts w:hint="eastAsia" w:ascii="华文中宋" w:hAnsi="华文中宋" w:eastAsia="华文中宋" w:cs="华文中宋"/>
          <w:szCs w:val="24"/>
        </w:rPr>
      </w:pPr>
      <w:r>
        <w:rPr>
          <w:rFonts w:hint="eastAsia" w:ascii="华文中宋" w:hAnsi="华文中宋" w:eastAsia="华文中宋" w:cs="华文中宋"/>
          <w:szCs w:val="24"/>
        </w:rPr>
        <w:t>1、若估价委托人或当事人刻意隐瞒事实真相、误导估价行为，本评估机构概不承担因此所造的法律责任及后果。</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rPr>
          <w:rFonts w:hint="eastAsia" w:ascii="华文中宋" w:hAnsi="华文中宋" w:eastAsia="华文中宋" w:cs="华文中宋"/>
          <w:szCs w:val="24"/>
        </w:rPr>
      </w:pPr>
      <w:r>
        <w:rPr>
          <w:rFonts w:hint="eastAsia" w:ascii="华文中宋" w:hAnsi="华文中宋" w:eastAsia="华文中宋" w:cs="华文中宋"/>
          <w:szCs w:val="24"/>
        </w:rPr>
        <w:t>2、本估价报告的房地产估价结果是在本次估价特定的估价目的下形成的，不对其他用途和目的负责。若改变用途或估价目的，需另行估价。</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rPr>
          <w:rFonts w:hint="eastAsia" w:ascii="华文中宋" w:hAnsi="华文中宋" w:eastAsia="华文中宋" w:cs="华文中宋"/>
          <w:szCs w:val="24"/>
          <w:highlight w:val="none"/>
        </w:rPr>
      </w:pPr>
      <w:r>
        <w:rPr>
          <w:rFonts w:hint="eastAsia" w:ascii="华文中宋" w:hAnsi="华文中宋" w:eastAsia="华文中宋" w:cs="华文中宋"/>
          <w:szCs w:val="24"/>
          <w:highlight w:val="none"/>
          <w:lang w:val="en-US" w:eastAsia="zh-CN"/>
        </w:rPr>
        <w:t>3</w:t>
      </w:r>
      <w:r>
        <w:rPr>
          <w:rFonts w:hint="eastAsia" w:ascii="华文中宋" w:hAnsi="华文中宋" w:eastAsia="华文中宋" w:cs="华文中宋"/>
          <w:szCs w:val="24"/>
          <w:highlight w:val="none"/>
        </w:rPr>
        <w:t>、本</w:t>
      </w:r>
      <w:r>
        <w:rPr>
          <w:rFonts w:hint="eastAsia" w:ascii="华文中宋" w:hAnsi="华文中宋" w:eastAsia="华文中宋" w:cs="华文中宋"/>
          <w:szCs w:val="24"/>
          <w:highlight w:val="none"/>
          <w:lang w:eastAsia="zh-CN"/>
        </w:rPr>
        <w:t>次</w:t>
      </w:r>
      <w:r>
        <w:rPr>
          <w:rFonts w:hint="eastAsia" w:ascii="华文中宋" w:hAnsi="华文中宋" w:eastAsia="华文中宋" w:cs="华文中宋"/>
          <w:szCs w:val="24"/>
          <w:highlight w:val="none"/>
        </w:rPr>
        <w:t>估价结果自估价报告出具日期起一年内有效，即：</w:t>
      </w:r>
      <w:r>
        <w:rPr>
          <w:rFonts w:hint="eastAsia" w:ascii="华文中宋" w:hAnsi="华文中宋" w:cs="华文中宋"/>
          <w:szCs w:val="24"/>
          <w:highlight w:val="none"/>
          <w:lang w:eastAsia="zh-CN"/>
        </w:rPr>
        <w:t>2020年8月5日</w:t>
      </w:r>
      <w:r>
        <w:rPr>
          <w:rFonts w:hint="eastAsia" w:ascii="华文中宋" w:hAnsi="华文中宋" w:eastAsia="华文中宋" w:cs="华文中宋"/>
          <w:szCs w:val="24"/>
          <w:highlight w:val="none"/>
        </w:rPr>
        <w:t>至</w:t>
      </w:r>
      <w:r>
        <w:rPr>
          <w:rFonts w:hint="eastAsia" w:ascii="华文中宋" w:hAnsi="华文中宋" w:cs="华文中宋"/>
          <w:szCs w:val="24"/>
          <w:highlight w:val="none"/>
          <w:lang w:eastAsia="zh-CN"/>
        </w:rPr>
        <w:t>2021年8月4日</w:t>
      </w:r>
      <w:r>
        <w:rPr>
          <w:rFonts w:hint="eastAsia" w:ascii="华文中宋" w:hAnsi="华文中宋" w:eastAsia="华文中宋" w:cs="华文中宋"/>
          <w:szCs w:val="24"/>
          <w:highlight w:val="none"/>
          <w:lang w:val="en-US" w:eastAsia="zh-CN"/>
        </w:rPr>
        <w:t>止</w:t>
      </w:r>
      <w:r>
        <w:rPr>
          <w:rFonts w:hint="eastAsia" w:ascii="华文中宋" w:hAnsi="华文中宋" w:eastAsia="华文中宋" w:cs="华文中宋"/>
          <w:szCs w:val="24"/>
          <w:highlight w:val="none"/>
        </w:rPr>
        <w:t>。</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rPr>
          <w:rFonts w:hint="eastAsia" w:ascii="华文中宋" w:hAnsi="华文中宋" w:eastAsia="华文中宋" w:cs="华文中宋"/>
          <w:szCs w:val="24"/>
        </w:rPr>
      </w:pPr>
      <w:r>
        <w:rPr>
          <w:rFonts w:hint="eastAsia" w:ascii="华文中宋" w:hAnsi="华文中宋" w:eastAsia="华文中宋" w:cs="华文中宋"/>
          <w:szCs w:val="24"/>
        </w:rPr>
        <w:t>4、本估价报告必须完整使用，对仅使用报告中的部分内容而导致有关纠纷和损失，本估价机构和估价师不承担任何法律责任。</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rPr>
          <w:rFonts w:hint="eastAsia" w:ascii="华文中宋" w:hAnsi="华文中宋" w:eastAsia="华文中宋" w:cs="华文中宋"/>
          <w:szCs w:val="24"/>
        </w:rPr>
      </w:pPr>
      <w:r>
        <w:rPr>
          <w:rFonts w:hint="eastAsia" w:ascii="华文中宋" w:hAnsi="华文中宋" w:eastAsia="华文中宋" w:cs="华文中宋"/>
          <w:szCs w:val="24"/>
        </w:rPr>
        <w:t>5、本估价报告仅为估价委托人本次估价目的所使用，未经本估价机构和估价人员同意，估价报告不得向估价委托人、报告使用者及报告审查部门以外的单位及个人提供，也不得以任何形式公开发表。凡因委托人使用估价报告不当而引起的后果，估价机构和估价人员不承担相应的责任。</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rPr>
          <w:rFonts w:hint="eastAsia" w:ascii="华文中宋" w:hAnsi="华文中宋" w:eastAsia="华文中宋" w:cs="华文中宋"/>
          <w:szCs w:val="24"/>
        </w:rPr>
      </w:pPr>
      <w:r>
        <w:rPr>
          <w:rFonts w:hint="eastAsia" w:ascii="华文中宋" w:hAnsi="华文中宋" w:eastAsia="华文中宋" w:cs="华文中宋"/>
          <w:szCs w:val="24"/>
        </w:rPr>
        <w:t>6、该估价结果仅为</w:t>
      </w:r>
      <w:r>
        <w:rPr>
          <w:rFonts w:hint="eastAsia" w:ascii="华文中宋" w:hAnsi="华文中宋" w:eastAsia="华文中宋" w:cs="华文中宋"/>
          <w:szCs w:val="24"/>
          <w:lang w:eastAsia="zh-CN"/>
        </w:rPr>
        <w:t>鞍山市立山区人民法院</w:t>
      </w:r>
      <w:r>
        <w:rPr>
          <w:rFonts w:hint="eastAsia" w:ascii="华文中宋" w:hAnsi="华文中宋" w:eastAsia="华文中宋" w:cs="华文中宋"/>
          <w:szCs w:val="24"/>
        </w:rPr>
        <w:t>司法执行案件提供价值参考依据，若由于时间发生变化，或估价的假设及限制条件发生变化，没有得到本公司及相关估价人员允许，单方面运用估价结果进行资产处置，并造成经济损失的，本公司不承担连带责任。</w:t>
      </w:r>
      <w:bookmarkEnd w:id="19"/>
      <w:bookmarkEnd w:id="20"/>
      <w:bookmarkEnd w:id="21"/>
      <w:bookmarkEnd w:id="22"/>
      <w:bookmarkEnd w:id="23"/>
      <w:bookmarkEnd w:id="24"/>
      <w:bookmarkEnd w:id="25"/>
      <w:bookmarkEnd w:id="26"/>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rPr>
          <w:rFonts w:hint="eastAsia" w:ascii="华文中宋" w:hAnsi="华文中宋" w:eastAsia="华文中宋" w:cs="华文中宋"/>
          <w:szCs w:val="24"/>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rPr>
          <w:rFonts w:hint="eastAsia" w:ascii="华文中宋" w:hAnsi="华文中宋" w:eastAsia="华文中宋" w:cs="华文中宋"/>
          <w:szCs w:val="24"/>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rPr>
          <w:rFonts w:hint="eastAsia" w:ascii="华文中宋" w:hAnsi="华文中宋" w:eastAsia="华文中宋" w:cs="华文中宋"/>
          <w:szCs w:val="24"/>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rPr>
          <w:rFonts w:hint="eastAsia" w:ascii="华文中宋" w:hAnsi="华文中宋" w:eastAsia="华文中宋" w:cs="华文中宋"/>
          <w:szCs w:val="24"/>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rPr>
          <w:rFonts w:hint="eastAsia" w:ascii="华文中宋" w:hAnsi="华文中宋" w:eastAsia="华文中宋" w:cs="华文中宋"/>
          <w:szCs w:val="24"/>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rPr>
          <w:rFonts w:hint="eastAsia" w:ascii="华文中宋" w:hAnsi="华文中宋" w:eastAsia="华文中宋" w:cs="华文中宋"/>
          <w:szCs w:val="24"/>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rPr>
          <w:rFonts w:hint="eastAsia" w:ascii="华文中宋" w:hAnsi="华文中宋" w:eastAsia="华文中宋" w:cs="华文中宋"/>
          <w:szCs w:val="24"/>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rPr>
          <w:rFonts w:hint="eastAsia" w:ascii="华文中宋" w:hAnsi="华文中宋" w:eastAsia="华文中宋" w:cs="华文中宋"/>
          <w:szCs w:val="24"/>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rPr>
          <w:rFonts w:hint="eastAsia" w:ascii="华文中宋" w:hAnsi="华文中宋" w:eastAsia="华文中宋" w:cs="华文中宋"/>
          <w:szCs w:val="24"/>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rPr>
          <w:rFonts w:hint="eastAsia" w:ascii="华文中宋" w:hAnsi="华文中宋" w:eastAsia="华文中宋" w:cs="华文中宋"/>
          <w:szCs w:val="24"/>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rPr>
          <w:rFonts w:hint="eastAsia" w:ascii="华文中宋" w:hAnsi="华文中宋" w:eastAsia="华文中宋" w:cs="华文中宋"/>
          <w:szCs w:val="24"/>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rPr>
          <w:rFonts w:hint="eastAsia" w:ascii="华文中宋" w:hAnsi="华文中宋" w:eastAsia="华文中宋" w:cs="华文中宋"/>
          <w:szCs w:val="24"/>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rPr>
          <w:rFonts w:hint="eastAsia" w:ascii="华文中宋" w:hAnsi="华文中宋" w:eastAsia="华文中宋" w:cs="华文中宋"/>
          <w:szCs w:val="24"/>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rPr>
          <w:rFonts w:hint="eastAsia" w:ascii="华文中宋" w:hAnsi="华文中宋" w:eastAsia="华文中宋" w:cs="华文中宋"/>
          <w:szCs w:val="24"/>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rPr>
          <w:rFonts w:hint="eastAsia" w:ascii="华文中宋" w:hAnsi="华文中宋" w:eastAsia="华文中宋" w:cs="华文中宋"/>
          <w:szCs w:val="24"/>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rPr>
          <w:rFonts w:hint="eastAsia" w:ascii="华文中宋" w:hAnsi="华文中宋" w:eastAsia="华文中宋" w:cs="华文中宋"/>
          <w:szCs w:val="24"/>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rPr>
          <w:rFonts w:hint="eastAsia" w:ascii="华文中宋" w:hAnsi="华文中宋" w:eastAsia="华文中宋" w:cs="华文中宋"/>
          <w:szCs w:val="24"/>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rPr>
          <w:rFonts w:hint="eastAsia" w:ascii="华文中宋" w:hAnsi="华文中宋" w:eastAsia="华文中宋" w:cs="华文中宋"/>
          <w:szCs w:val="24"/>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rPr>
          <w:rFonts w:hint="eastAsia" w:ascii="华文中宋" w:hAnsi="华文中宋" w:eastAsia="华文中宋" w:cs="华文中宋"/>
          <w:szCs w:val="24"/>
        </w:rPr>
        <w:sectPr>
          <w:headerReference r:id="rId13" w:type="first"/>
          <w:headerReference r:id="rId12" w:type="default"/>
          <w:type w:val="continuous"/>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titlePg/>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rPr>
          <w:rFonts w:hint="eastAsia" w:ascii="华文中宋" w:hAnsi="华文中宋" w:eastAsia="华文中宋" w:cs="华文中宋"/>
          <w:szCs w:val="24"/>
        </w:rPr>
        <w:sectPr>
          <w:type w:val="continuous"/>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titlePg/>
          <w:docGrid w:type="lines" w:linePitch="312" w:charSpace="0"/>
        </w:sectPr>
      </w:pPr>
    </w:p>
    <w:p>
      <w:pPr>
        <w:pStyle w:val="2"/>
        <w:spacing w:before="156" w:after="156"/>
        <w:rPr>
          <w:rFonts w:hint="eastAsia" w:ascii="华文中宋" w:hAnsi="华文中宋" w:eastAsia="华文中宋" w:cs="华文中宋"/>
          <w:bCs/>
          <w:iCs/>
          <w:spacing w:val="48"/>
        </w:rPr>
      </w:pPr>
      <w:bookmarkStart w:id="27" w:name="_Toc508803746"/>
      <w:bookmarkStart w:id="28" w:name="_Toc28035"/>
      <w:bookmarkStart w:id="29" w:name="_Toc18428"/>
      <w:r>
        <w:rPr>
          <w:rFonts w:hint="eastAsia" w:ascii="华文中宋" w:hAnsi="华文中宋" w:eastAsia="华文中宋" w:cs="华文中宋"/>
        </w:rPr>
        <w:t>估价结果报告</w:t>
      </w:r>
      <w:bookmarkEnd w:id="4"/>
      <w:bookmarkEnd w:id="5"/>
      <w:bookmarkEnd w:id="6"/>
      <w:bookmarkEnd w:id="7"/>
      <w:bookmarkEnd w:id="8"/>
      <w:bookmarkEnd w:id="9"/>
      <w:bookmarkEnd w:id="10"/>
      <w:bookmarkEnd w:id="11"/>
      <w:bookmarkEnd w:id="12"/>
      <w:bookmarkEnd w:id="13"/>
      <w:bookmarkEnd w:id="14"/>
      <w:bookmarkEnd w:id="15"/>
      <w:bookmarkEnd w:id="27"/>
      <w:bookmarkEnd w:id="28"/>
      <w:bookmarkEnd w:id="29"/>
    </w:p>
    <w:p>
      <w:pPr>
        <w:pStyle w:val="8"/>
        <w:ind w:firstLine="0" w:firstLineChars="0"/>
        <w:jc w:val="center"/>
        <w:rPr>
          <w:rFonts w:hint="eastAsia" w:ascii="华文中宋" w:hAnsi="华文中宋" w:eastAsia="华文中宋" w:cs="华文中宋"/>
          <w:sz w:val="24"/>
          <w:szCs w:val="24"/>
          <w:highlight w:val="none"/>
          <w:lang w:eastAsia="zh-CN"/>
        </w:rPr>
      </w:pPr>
      <w:r>
        <w:rPr>
          <w:rFonts w:hint="eastAsia" w:ascii="华文中宋" w:hAnsi="华文中宋" w:eastAsia="华文中宋" w:cs="华文中宋"/>
          <w:b/>
          <w:bCs/>
          <w:szCs w:val="24"/>
          <w:highlight w:val="none"/>
          <w:lang w:eastAsia="zh-CN"/>
        </w:rPr>
        <w:t>辽九房估字[2020]第</w:t>
      </w:r>
      <w:r>
        <w:rPr>
          <w:rFonts w:hint="eastAsia" w:ascii="华文中宋" w:hAnsi="华文中宋" w:cs="华文中宋"/>
          <w:b/>
          <w:bCs/>
          <w:szCs w:val="24"/>
          <w:highlight w:val="none"/>
          <w:lang w:eastAsia="zh-CN"/>
        </w:rPr>
        <w:t>2008002</w:t>
      </w:r>
      <w:r>
        <w:rPr>
          <w:rFonts w:hint="eastAsia" w:ascii="华文中宋" w:hAnsi="华文中宋" w:eastAsia="华文中宋" w:cs="华文中宋"/>
          <w:b/>
          <w:bCs/>
          <w:szCs w:val="24"/>
          <w:highlight w:val="none"/>
          <w:lang w:eastAsia="zh-CN"/>
        </w:rPr>
        <w:t>号</w:t>
      </w:r>
    </w:p>
    <w:p>
      <w:pPr>
        <w:pStyle w:val="3"/>
        <w:keepLines w:val="0"/>
        <w:pageBreakBefore w:val="0"/>
        <w:widowControl w:val="0"/>
        <w:kinsoku/>
        <w:wordWrap/>
        <w:overflowPunct/>
        <w:topLinePunct w:val="0"/>
        <w:bidi w:val="0"/>
        <w:spacing w:line="480" w:lineRule="exact"/>
        <w:rPr>
          <w:rFonts w:hint="eastAsia" w:ascii="华文中宋" w:hAnsi="华文中宋" w:eastAsia="华文中宋" w:cs="华文中宋"/>
        </w:rPr>
      </w:pPr>
      <w:bookmarkStart w:id="30" w:name="_Toc7215"/>
      <w:bookmarkStart w:id="31" w:name="_Toc449598310"/>
      <w:bookmarkStart w:id="32" w:name="_Toc415039130"/>
      <w:bookmarkStart w:id="33" w:name="_Toc429557852"/>
      <w:bookmarkStart w:id="34" w:name="_Toc428348791"/>
      <w:bookmarkStart w:id="35" w:name="_Toc409772451"/>
      <w:bookmarkStart w:id="36" w:name="_Toc3083"/>
      <w:bookmarkStart w:id="37" w:name="_Toc4240"/>
      <w:bookmarkStart w:id="38" w:name="_Toc452121198"/>
      <w:bookmarkStart w:id="39" w:name="_Toc410379049"/>
      <w:bookmarkStart w:id="40" w:name="_Toc508803747"/>
      <w:r>
        <w:rPr>
          <w:rFonts w:hint="eastAsia" w:ascii="华文中宋" w:hAnsi="华文中宋" w:eastAsia="华文中宋" w:cs="华文中宋"/>
        </w:rPr>
        <w:t>一、估价委托人</w:t>
      </w:r>
      <w:bookmarkEnd w:id="30"/>
      <w:bookmarkEnd w:id="31"/>
      <w:bookmarkEnd w:id="32"/>
      <w:bookmarkEnd w:id="33"/>
      <w:bookmarkEnd w:id="34"/>
      <w:bookmarkEnd w:id="35"/>
      <w:bookmarkEnd w:id="36"/>
      <w:bookmarkEnd w:id="37"/>
      <w:bookmarkEnd w:id="38"/>
      <w:bookmarkEnd w:id="39"/>
      <w:bookmarkEnd w:id="40"/>
    </w:p>
    <w:p>
      <w:pPr>
        <w:keepLines w:val="0"/>
        <w:pageBreakBefore w:val="0"/>
        <w:widowControl w:val="0"/>
        <w:kinsoku/>
        <w:wordWrap/>
        <w:overflowPunct/>
        <w:topLinePunct w:val="0"/>
        <w:bidi w:val="0"/>
        <w:snapToGrid/>
        <w:spacing w:line="480" w:lineRule="exact"/>
        <w:ind w:firstLine="31680"/>
        <w:rPr>
          <w:rFonts w:hint="eastAsia" w:ascii="华文中宋" w:hAnsi="华文中宋" w:eastAsia="华文中宋" w:cs="华文中宋"/>
          <w:lang w:eastAsia="zh-CN"/>
        </w:rPr>
      </w:pPr>
      <w:r>
        <w:rPr>
          <w:rFonts w:hint="eastAsia" w:ascii="华文中宋" w:hAnsi="华文中宋" w:eastAsia="华文中宋" w:cs="华文中宋"/>
        </w:rPr>
        <w:t>估价委托人：</w:t>
      </w:r>
      <w:r>
        <w:rPr>
          <w:rFonts w:hint="eastAsia" w:ascii="华文中宋" w:hAnsi="华文中宋" w:eastAsia="华文中宋" w:cs="华文中宋"/>
          <w:lang w:eastAsia="zh-CN"/>
        </w:rPr>
        <w:t>鞍山市立山区人民法院</w:t>
      </w:r>
    </w:p>
    <w:p>
      <w:pPr>
        <w:keepLines w:val="0"/>
        <w:pageBreakBefore w:val="0"/>
        <w:widowControl w:val="0"/>
        <w:kinsoku/>
        <w:wordWrap/>
        <w:overflowPunct/>
        <w:topLinePunct w:val="0"/>
        <w:bidi w:val="0"/>
        <w:spacing w:line="480" w:lineRule="exact"/>
        <w:ind w:firstLine="31680"/>
        <w:rPr>
          <w:rFonts w:hint="eastAsia" w:ascii="华文中宋" w:hAnsi="华文中宋" w:eastAsia="华文中宋" w:cs="华文中宋"/>
        </w:rPr>
      </w:pPr>
      <w:r>
        <w:rPr>
          <w:rFonts w:hint="eastAsia" w:ascii="华文中宋" w:hAnsi="华文中宋" w:eastAsia="华文中宋" w:cs="华文中宋"/>
        </w:rPr>
        <w:t>地</w:t>
      </w:r>
      <w:r>
        <w:rPr>
          <w:rFonts w:hint="eastAsia" w:ascii="华文中宋" w:hAnsi="华文中宋" w:eastAsia="华文中宋" w:cs="华文中宋"/>
          <w:lang w:val="en-US" w:eastAsia="zh-CN"/>
        </w:rPr>
        <w:t xml:space="preserve">      </w:t>
      </w:r>
      <w:r>
        <w:rPr>
          <w:rFonts w:hint="eastAsia" w:ascii="华文中宋" w:hAnsi="华文中宋" w:eastAsia="华文中宋" w:cs="华文中宋"/>
        </w:rPr>
        <w:t>址:</w:t>
      </w:r>
      <w:r>
        <w:rPr>
          <w:rFonts w:hint="eastAsia" w:ascii="华文中宋" w:hAnsi="华文中宋" w:eastAsia="华文中宋" w:cs="华文中宋"/>
          <w:lang w:val="en-US" w:eastAsia="zh-CN"/>
        </w:rPr>
        <w:t xml:space="preserve"> </w:t>
      </w:r>
      <w:r>
        <w:rPr>
          <w:rFonts w:hint="eastAsia" w:ascii="华文中宋" w:hAnsi="华文中宋" w:eastAsia="华文中宋" w:cs="华文中宋"/>
        </w:rPr>
        <w:t>鞍山市立山区北胜利路267号</w:t>
      </w:r>
    </w:p>
    <w:p>
      <w:pPr>
        <w:keepLines w:val="0"/>
        <w:pageBreakBefore w:val="0"/>
        <w:widowControl w:val="0"/>
        <w:kinsoku/>
        <w:wordWrap/>
        <w:overflowPunct/>
        <w:topLinePunct w:val="0"/>
        <w:bidi w:val="0"/>
        <w:spacing w:line="480" w:lineRule="exact"/>
        <w:ind w:firstLine="31680"/>
        <w:rPr>
          <w:rFonts w:hint="eastAsia" w:ascii="华文中宋" w:hAnsi="华文中宋" w:cs="华文中宋"/>
          <w:lang w:eastAsia="zh-CN"/>
        </w:rPr>
      </w:pPr>
      <w:r>
        <w:rPr>
          <w:rFonts w:hint="eastAsia" w:ascii="华文中宋" w:hAnsi="华文中宋" w:cs="华文中宋"/>
          <w:lang w:eastAsia="zh-CN"/>
        </w:rPr>
        <w:t>联系人：赵明</w:t>
      </w:r>
    </w:p>
    <w:p>
      <w:pPr>
        <w:keepLines w:val="0"/>
        <w:pageBreakBefore w:val="0"/>
        <w:widowControl w:val="0"/>
        <w:kinsoku/>
        <w:wordWrap/>
        <w:overflowPunct/>
        <w:topLinePunct w:val="0"/>
        <w:bidi w:val="0"/>
        <w:spacing w:line="480" w:lineRule="exact"/>
        <w:ind w:firstLine="31680"/>
        <w:rPr>
          <w:rFonts w:hint="default" w:ascii="华文中宋" w:hAnsi="华文中宋" w:cs="华文中宋"/>
          <w:lang w:val="en-US" w:eastAsia="zh-CN"/>
        </w:rPr>
      </w:pPr>
      <w:r>
        <w:rPr>
          <w:rFonts w:hint="eastAsia" w:ascii="华文中宋" w:hAnsi="华文中宋" w:cs="华文中宋"/>
          <w:lang w:eastAsia="zh-CN"/>
        </w:rPr>
        <w:t>电话：</w:t>
      </w:r>
      <w:r>
        <w:rPr>
          <w:rFonts w:hint="eastAsia" w:ascii="华文中宋" w:hAnsi="华文中宋" w:cs="华文中宋"/>
          <w:lang w:val="en-US" w:eastAsia="zh-CN"/>
        </w:rPr>
        <w:t>0412-2696206</w:t>
      </w:r>
    </w:p>
    <w:p>
      <w:pPr>
        <w:pStyle w:val="3"/>
        <w:keepLines w:val="0"/>
        <w:pageBreakBefore w:val="0"/>
        <w:widowControl w:val="0"/>
        <w:kinsoku/>
        <w:wordWrap/>
        <w:overflowPunct/>
        <w:topLinePunct w:val="0"/>
        <w:bidi w:val="0"/>
        <w:spacing w:line="480" w:lineRule="exact"/>
        <w:rPr>
          <w:rFonts w:hint="eastAsia" w:ascii="华文中宋" w:hAnsi="华文中宋" w:eastAsia="华文中宋" w:cs="华文中宋"/>
        </w:rPr>
      </w:pPr>
      <w:bookmarkStart w:id="41" w:name="_Toc31212"/>
      <w:bookmarkStart w:id="42" w:name="_Toc429557853"/>
      <w:bookmarkStart w:id="43" w:name="_Toc449598311"/>
      <w:bookmarkStart w:id="44" w:name="_Toc708"/>
      <w:bookmarkStart w:id="45" w:name="_Toc415039131"/>
      <w:bookmarkStart w:id="46" w:name="_Toc508803748"/>
      <w:bookmarkStart w:id="47" w:name="_Toc410379050"/>
      <w:bookmarkStart w:id="48" w:name="_Toc452121199"/>
      <w:bookmarkStart w:id="49" w:name="_Toc29835"/>
      <w:bookmarkStart w:id="50" w:name="_Toc409772452"/>
      <w:bookmarkStart w:id="51" w:name="_Toc428348792"/>
      <w:r>
        <w:rPr>
          <w:rFonts w:hint="eastAsia" w:ascii="华文中宋" w:hAnsi="华文中宋" w:eastAsia="华文中宋" w:cs="华文中宋"/>
        </w:rPr>
        <w:t>二、房地产估价机构</w:t>
      </w:r>
      <w:bookmarkEnd w:id="41"/>
      <w:bookmarkEnd w:id="42"/>
      <w:bookmarkEnd w:id="43"/>
      <w:bookmarkEnd w:id="44"/>
      <w:bookmarkEnd w:id="45"/>
      <w:bookmarkEnd w:id="46"/>
      <w:bookmarkEnd w:id="47"/>
      <w:bookmarkEnd w:id="48"/>
      <w:bookmarkEnd w:id="49"/>
      <w:bookmarkEnd w:id="50"/>
      <w:bookmarkEnd w:id="51"/>
    </w:p>
    <w:p>
      <w:pPr>
        <w:pStyle w:val="9"/>
        <w:keepLines w:val="0"/>
        <w:pageBreakBefore w:val="0"/>
        <w:widowControl w:val="0"/>
        <w:kinsoku/>
        <w:wordWrap/>
        <w:overflowPunct/>
        <w:topLinePunct w:val="0"/>
        <w:autoSpaceDN/>
        <w:bidi w:val="0"/>
        <w:snapToGrid/>
        <w:spacing w:line="480" w:lineRule="exact"/>
        <w:ind w:left="0" w:right="0" w:rightChars="0" w:firstLine="470" w:firstLineChars="196"/>
        <w:rPr>
          <w:rFonts w:hint="eastAsia" w:ascii="华文中宋" w:hAnsi="华文中宋" w:eastAsia="华文中宋" w:cs="华文中宋"/>
          <w:sz w:val="24"/>
          <w:szCs w:val="22"/>
        </w:rPr>
      </w:pPr>
      <w:r>
        <w:rPr>
          <w:rFonts w:hint="eastAsia" w:ascii="华文中宋" w:hAnsi="华文中宋" w:eastAsia="华文中宋" w:cs="华文中宋"/>
          <w:sz w:val="24"/>
          <w:szCs w:val="22"/>
        </w:rPr>
        <w:t>评估机构名称：</w:t>
      </w:r>
      <w:r>
        <w:rPr>
          <w:rFonts w:hint="eastAsia" w:ascii="华文中宋" w:hAnsi="华文中宋" w:eastAsia="华文中宋" w:cs="华文中宋"/>
          <w:sz w:val="24"/>
          <w:szCs w:val="22"/>
          <w:lang w:eastAsia="zh-CN"/>
        </w:rPr>
        <w:t>辽宁九州房产土地资产评估有限公司</w:t>
      </w:r>
    </w:p>
    <w:p>
      <w:pPr>
        <w:pStyle w:val="9"/>
        <w:keepLines w:val="0"/>
        <w:pageBreakBefore w:val="0"/>
        <w:widowControl w:val="0"/>
        <w:kinsoku/>
        <w:wordWrap/>
        <w:overflowPunct/>
        <w:topLinePunct w:val="0"/>
        <w:autoSpaceDN/>
        <w:bidi w:val="0"/>
        <w:snapToGrid/>
        <w:spacing w:line="480" w:lineRule="exact"/>
        <w:ind w:left="0" w:right="0" w:rightChars="0" w:firstLine="470" w:firstLineChars="196"/>
        <w:rPr>
          <w:rFonts w:hint="eastAsia" w:ascii="华文中宋" w:hAnsi="华文中宋" w:eastAsia="华文中宋" w:cs="华文中宋"/>
          <w:sz w:val="24"/>
          <w:szCs w:val="22"/>
        </w:rPr>
      </w:pPr>
      <w:r>
        <w:rPr>
          <w:rFonts w:hint="eastAsia" w:ascii="华文中宋" w:hAnsi="华文中宋" w:eastAsia="华文中宋" w:cs="华文中宋"/>
          <w:sz w:val="24"/>
          <w:szCs w:val="22"/>
        </w:rPr>
        <w:t>法定代表人:</w:t>
      </w:r>
      <w:r>
        <w:rPr>
          <w:rFonts w:hint="eastAsia" w:ascii="华文中宋" w:hAnsi="华文中宋" w:eastAsia="华文中宋" w:cs="华文中宋"/>
          <w:sz w:val="24"/>
          <w:szCs w:val="22"/>
          <w:lang w:eastAsia="zh-CN"/>
        </w:rPr>
        <w:t>孙伟</w:t>
      </w:r>
    </w:p>
    <w:p>
      <w:pPr>
        <w:pStyle w:val="9"/>
        <w:keepLines w:val="0"/>
        <w:pageBreakBefore w:val="0"/>
        <w:widowControl w:val="0"/>
        <w:kinsoku/>
        <w:wordWrap/>
        <w:overflowPunct/>
        <w:topLinePunct w:val="0"/>
        <w:autoSpaceDN/>
        <w:bidi w:val="0"/>
        <w:snapToGrid/>
        <w:spacing w:line="480" w:lineRule="exact"/>
        <w:ind w:left="0" w:right="0" w:rightChars="0" w:firstLine="470" w:firstLineChars="196"/>
        <w:rPr>
          <w:rFonts w:hint="eastAsia" w:ascii="华文中宋" w:hAnsi="华文中宋" w:eastAsia="华文中宋" w:cs="华文中宋"/>
          <w:sz w:val="24"/>
          <w:szCs w:val="22"/>
        </w:rPr>
      </w:pPr>
      <w:r>
        <w:rPr>
          <w:rFonts w:hint="eastAsia" w:ascii="华文中宋" w:hAnsi="华文中宋" w:eastAsia="华文中宋" w:cs="华文中宋"/>
          <w:sz w:val="24"/>
          <w:szCs w:val="22"/>
          <w:lang w:eastAsia="zh-CN"/>
        </w:rPr>
        <w:t>房地产备案等级</w:t>
      </w:r>
      <w:r>
        <w:rPr>
          <w:rFonts w:hint="eastAsia" w:ascii="华文中宋" w:hAnsi="华文中宋" w:eastAsia="华文中宋" w:cs="华文中宋"/>
          <w:sz w:val="24"/>
          <w:szCs w:val="22"/>
        </w:rPr>
        <w:t>：贰级</w:t>
      </w:r>
    </w:p>
    <w:p>
      <w:pPr>
        <w:pStyle w:val="9"/>
        <w:keepLines w:val="0"/>
        <w:pageBreakBefore w:val="0"/>
        <w:widowControl w:val="0"/>
        <w:kinsoku/>
        <w:wordWrap/>
        <w:overflowPunct/>
        <w:topLinePunct w:val="0"/>
        <w:autoSpaceDN/>
        <w:bidi w:val="0"/>
        <w:snapToGrid/>
        <w:spacing w:line="480" w:lineRule="exact"/>
        <w:ind w:left="0" w:right="0" w:rightChars="0" w:firstLine="470" w:firstLineChars="196"/>
        <w:rPr>
          <w:rFonts w:hint="eastAsia" w:ascii="华文中宋" w:hAnsi="华文中宋" w:eastAsia="华文中宋" w:cs="华文中宋"/>
          <w:sz w:val="24"/>
          <w:szCs w:val="22"/>
        </w:rPr>
      </w:pPr>
      <w:r>
        <w:rPr>
          <w:rFonts w:hint="eastAsia" w:ascii="华文中宋" w:hAnsi="华文中宋" w:eastAsia="华文中宋" w:cs="华文中宋"/>
          <w:sz w:val="24"/>
          <w:szCs w:val="22"/>
        </w:rPr>
        <w:t>房地产</w:t>
      </w:r>
      <w:r>
        <w:rPr>
          <w:rFonts w:hint="eastAsia" w:ascii="华文中宋" w:hAnsi="华文中宋" w:eastAsia="华文中宋" w:cs="华文中宋"/>
          <w:sz w:val="24"/>
          <w:szCs w:val="22"/>
          <w:lang w:eastAsia="zh-CN"/>
        </w:rPr>
        <w:t>备案</w:t>
      </w:r>
      <w:r>
        <w:rPr>
          <w:rFonts w:hint="eastAsia" w:ascii="华文中宋" w:hAnsi="华文中宋" w:eastAsia="华文中宋" w:cs="华文中宋"/>
          <w:sz w:val="24"/>
          <w:szCs w:val="22"/>
        </w:rPr>
        <w:t>证书编号:第000010306号</w:t>
      </w:r>
    </w:p>
    <w:p>
      <w:pPr>
        <w:pStyle w:val="9"/>
        <w:keepLines w:val="0"/>
        <w:pageBreakBefore w:val="0"/>
        <w:widowControl w:val="0"/>
        <w:kinsoku/>
        <w:wordWrap/>
        <w:overflowPunct/>
        <w:topLinePunct w:val="0"/>
        <w:autoSpaceDN/>
        <w:bidi w:val="0"/>
        <w:snapToGrid/>
        <w:spacing w:line="480" w:lineRule="exact"/>
        <w:ind w:left="0" w:right="0" w:rightChars="0" w:firstLine="470" w:firstLineChars="196"/>
        <w:rPr>
          <w:rFonts w:hint="default" w:ascii="华文中宋" w:hAnsi="华文中宋" w:eastAsia="华文中宋" w:cs="华文中宋"/>
          <w:sz w:val="24"/>
          <w:szCs w:val="22"/>
          <w:lang w:val="en-US" w:eastAsia="zh-CN"/>
        </w:rPr>
      </w:pPr>
      <w:r>
        <w:rPr>
          <w:rFonts w:hint="eastAsia" w:ascii="华文中宋" w:hAnsi="华文中宋" w:eastAsia="华文中宋" w:cs="华文中宋"/>
          <w:sz w:val="24"/>
          <w:szCs w:val="22"/>
        </w:rPr>
        <w:t>土地</w:t>
      </w:r>
      <w:r>
        <w:rPr>
          <w:rFonts w:hint="eastAsia" w:ascii="华文中宋" w:hAnsi="华文中宋" w:eastAsia="华文中宋" w:cs="华文中宋"/>
          <w:sz w:val="24"/>
          <w:szCs w:val="22"/>
          <w:lang w:eastAsia="zh-CN"/>
        </w:rPr>
        <w:t>备案</w:t>
      </w:r>
      <w:r>
        <w:rPr>
          <w:rFonts w:hint="eastAsia" w:ascii="华文中宋" w:hAnsi="华文中宋" w:eastAsia="华文中宋" w:cs="华文中宋"/>
          <w:sz w:val="24"/>
          <w:szCs w:val="22"/>
        </w:rPr>
        <w:t>证书编号:</w:t>
      </w:r>
      <w:r>
        <w:rPr>
          <w:rFonts w:hint="eastAsia" w:ascii="华文中宋" w:hAnsi="华文中宋" w:cs="华文中宋"/>
          <w:sz w:val="24"/>
          <w:szCs w:val="22"/>
          <w:lang w:val="en-US" w:eastAsia="zh-CN"/>
        </w:rPr>
        <w:t>2020210038</w:t>
      </w:r>
    </w:p>
    <w:p>
      <w:pPr>
        <w:keepLines w:val="0"/>
        <w:pageBreakBefore w:val="0"/>
        <w:widowControl w:val="0"/>
        <w:kinsoku/>
        <w:wordWrap/>
        <w:overflowPunct/>
        <w:topLinePunct w:val="0"/>
        <w:bidi w:val="0"/>
        <w:spacing w:line="480" w:lineRule="exact"/>
        <w:ind w:firstLine="31680"/>
        <w:rPr>
          <w:rFonts w:hint="eastAsia" w:ascii="华文中宋" w:hAnsi="华文中宋" w:eastAsia="华文中宋" w:cs="华文中宋"/>
        </w:rPr>
      </w:pPr>
      <w:r>
        <w:rPr>
          <w:rFonts w:hint="eastAsia" w:ascii="华文中宋" w:hAnsi="华文中宋" w:eastAsia="华文中宋" w:cs="华文中宋"/>
          <w:sz w:val="24"/>
          <w:szCs w:val="22"/>
          <w:lang w:val="en-US" w:eastAsia="zh-CN"/>
        </w:rPr>
        <w:t>办公地址：鞍山市铁东区凯圣凡尔赛小区南门</w:t>
      </w:r>
    </w:p>
    <w:p>
      <w:pPr>
        <w:pStyle w:val="3"/>
        <w:keepLines w:val="0"/>
        <w:pageBreakBefore w:val="0"/>
        <w:widowControl w:val="0"/>
        <w:kinsoku/>
        <w:wordWrap/>
        <w:overflowPunct/>
        <w:topLinePunct w:val="0"/>
        <w:bidi w:val="0"/>
        <w:spacing w:line="480" w:lineRule="exact"/>
        <w:rPr>
          <w:rFonts w:hint="eastAsia" w:ascii="华文中宋" w:hAnsi="华文中宋" w:eastAsia="华文中宋" w:cs="华文中宋"/>
        </w:rPr>
      </w:pPr>
      <w:bookmarkStart w:id="52" w:name="_Toc17726"/>
      <w:bookmarkStart w:id="53" w:name="_Toc452121200"/>
      <w:bookmarkStart w:id="54" w:name="_Toc409772453"/>
      <w:bookmarkStart w:id="55" w:name="_Toc415039132"/>
      <w:bookmarkStart w:id="56" w:name="_Toc410379051"/>
      <w:bookmarkStart w:id="57" w:name="_Toc428348793"/>
      <w:bookmarkStart w:id="58" w:name="_Toc508803749"/>
      <w:bookmarkStart w:id="59" w:name="_Toc31976"/>
      <w:bookmarkStart w:id="60" w:name="_Toc429557854"/>
      <w:bookmarkStart w:id="61" w:name="_Toc449598312"/>
      <w:bookmarkStart w:id="62" w:name="_Toc24020"/>
      <w:r>
        <w:rPr>
          <w:rFonts w:hint="eastAsia" w:ascii="华文中宋" w:hAnsi="华文中宋" w:eastAsia="华文中宋" w:cs="华文中宋"/>
        </w:rPr>
        <w:t>三、估价目的</w:t>
      </w:r>
      <w:bookmarkEnd w:id="52"/>
      <w:bookmarkEnd w:id="53"/>
      <w:bookmarkEnd w:id="54"/>
      <w:bookmarkEnd w:id="55"/>
      <w:bookmarkEnd w:id="56"/>
      <w:bookmarkEnd w:id="57"/>
      <w:bookmarkEnd w:id="58"/>
      <w:bookmarkEnd w:id="59"/>
      <w:bookmarkEnd w:id="60"/>
      <w:bookmarkEnd w:id="61"/>
      <w:bookmarkEnd w:id="62"/>
    </w:p>
    <w:p>
      <w:pPr>
        <w:keepLines w:val="0"/>
        <w:pageBreakBefore w:val="0"/>
        <w:widowControl w:val="0"/>
        <w:kinsoku/>
        <w:wordWrap/>
        <w:overflowPunct/>
        <w:topLinePunct w:val="0"/>
        <w:bidi w:val="0"/>
        <w:spacing w:line="480" w:lineRule="exact"/>
        <w:ind w:firstLine="31680"/>
        <w:rPr>
          <w:rFonts w:hint="eastAsia" w:ascii="华文中宋" w:hAnsi="华文中宋" w:eastAsia="华文中宋" w:cs="华文中宋"/>
          <w:szCs w:val="24"/>
        </w:rPr>
      </w:pPr>
      <w:r>
        <w:rPr>
          <w:rFonts w:hint="eastAsia" w:ascii="华文中宋" w:hAnsi="华文中宋" w:eastAsia="华文中宋" w:cs="华文中宋"/>
          <w:szCs w:val="24"/>
        </w:rPr>
        <w:t>为</w:t>
      </w:r>
      <w:r>
        <w:rPr>
          <w:rFonts w:hint="eastAsia" w:ascii="华文中宋" w:hAnsi="华文中宋" w:eastAsia="华文中宋" w:cs="华文中宋"/>
          <w:szCs w:val="24"/>
          <w:lang w:eastAsia="zh-CN"/>
        </w:rPr>
        <w:t>鞍山市立山区人民法院审理申请人</w:t>
      </w:r>
      <w:r>
        <w:rPr>
          <w:rFonts w:hint="eastAsia" w:ascii="华文中宋" w:hAnsi="华文中宋" w:eastAsia="华文中宋" w:cs="华文中宋"/>
          <w:color w:val="auto"/>
          <w:szCs w:val="24"/>
          <w:lang w:eastAsia="zh-CN"/>
        </w:rPr>
        <w:t>鞍山市立山区人民法院刑事审判庭</w:t>
      </w:r>
      <w:r>
        <w:rPr>
          <w:rFonts w:hint="eastAsia" w:ascii="华文中宋" w:hAnsi="华文中宋" w:eastAsia="华文中宋" w:cs="华文中宋"/>
          <w:color w:val="auto"/>
          <w:szCs w:val="24"/>
        </w:rPr>
        <w:t>与</w:t>
      </w:r>
      <w:r>
        <w:rPr>
          <w:rFonts w:hint="eastAsia" w:ascii="华文中宋" w:hAnsi="华文中宋" w:eastAsia="华文中宋" w:cs="华文中宋"/>
          <w:szCs w:val="24"/>
          <w:lang w:eastAsia="zh-CN"/>
        </w:rPr>
        <w:t>对方当事人鞍山市恒速物流发展有限公司、梁士兴、梁家铭、同一首歌、台安恒速物流商务酒店一案，</w:t>
      </w:r>
      <w:r>
        <w:rPr>
          <w:rFonts w:hint="eastAsia" w:ascii="华文中宋" w:hAnsi="华文中宋" w:eastAsia="华文中宋" w:cs="华文中宋"/>
          <w:szCs w:val="24"/>
          <w:lang w:val="en-US" w:eastAsia="zh-CN"/>
        </w:rPr>
        <w:t>确定估价对象在价值时点的市场价值，为该</w:t>
      </w:r>
      <w:r>
        <w:rPr>
          <w:rFonts w:hint="eastAsia" w:ascii="华文中宋" w:hAnsi="华文中宋" w:eastAsia="华文中宋" w:cs="华文中宋"/>
          <w:szCs w:val="24"/>
        </w:rPr>
        <w:t>司法执行提供价值</w:t>
      </w:r>
      <w:r>
        <w:rPr>
          <w:rFonts w:hint="eastAsia" w:ascii="华文中宋" w:hAnsi="华文中宋" w:eastAsia="华文中宋" w:cs="华文中宋"/>
          <w:szCs w:val="24"/>
          <w:highlight w:val="none"/>
        </w:rPr>
        <w:t>参考依据</w:t>
      </w:r>
      <w:r>
        <w:rPr>
          <w:rFonts w:hint="eastAsia" w:ascii="华文中宋" w:hAnsi="华文中宋" w:eastAsia="华文中宋" w:cs="华文中宋"/>
          <w:szCs w:val="24"/>
        </w:rPr>
        <w:t>。</w:t>
      </w:r>
    </w:p>
    <w:p>
      <w:pPr>
        <w:pStyle w:val="3"/>
        <w:keepLines w:val="0"/>
        <w:pageBreakBefore w:val="0"/>
        <w:widowControl w:val="0"/>
        <w:kinsoku/>
        <w:wordWrap/>
        <w:overflowPunct/>
        <w:topLinePunct w:val="0"/>
        <w:bidi w:val="0"/>
        <w:spacing w:line="480" w:lineRule="exact"/>
        <w:rPr>
          <w:rFonts w:hint="eastAsia" w:ascii="华文中宋" w:hAnsi="华文中宋" w:eastAsia="华文中宋" w:cs="华文中宋"/>
          <w:lang w:eastAsia="zh-CN"/>
        </w:rPr>
      </w:pPr>
      <w:r>
        <w:rPr>
          <w:rFonts w:hint="eastAsia" w:ascii="华文中宋" w:hAnsi="华文中宋" w:eastAsia="华文中宋" w:cs="华文中宋"/>
          <w:lang w:eastAsia="zh-CN"/>
        </w:rPr>
        <w:t>四</w:t>
      </w:r>
      <w:r>
        <w:rPr>
          <w:rFonts w:hint="eastAsia" w:ascii="华文中宋" w:hAnsi="华文中宋" w:eastAsia="华文中宋" w:cs="华文中宋"/>
        </w:rPr>
        <w:t>、</w:t>
      </w:r>
      <w:r>
        <w:rPr>
          <w:rFonts w:hint="eastAsia" w:ascii="华文中宋" w:hAnsi="华文中宋" w:eastAsia="华文中宋" w:cs="华文中宋"/>
          <w:lang w:eastAsia="zh-CN"/>
        </w:rPr>
        <w:t>估价对象</w:t>
      </w:r>
    </w:p>
    <w:p>
      <w:pPr>
        <w:keepLines w:val="0"/>
        <w:pageBreakBefore w:val="0"/>
        <w:widowControl w:val="0"/>
        <w:numPr>
          <w:ilvl w:val="0"/>
          <w:numId w:val="5"/>
        </w:numPr>
        <w:kinsoku/>
        <w:wordWrap/>
        <w:overflowPunct/>
        <w:topLinePunct w:val="0"/>
        <w:bidi w:val="0"/>
        <w:snapToGrid/>
        <w:spacing w:line="480" w:lineRule="exact"/>
        <w:ind w:firstLine="31680"/>
        <w:rPr>
          <w:rFonts w:hint="eastAsia" w:ascii="华文中宋" w:hAnsi="华文中宋" w:eastAsia="华文中宋" w:cs="华文中宋"/>
          <w:highlight w:val="none"/>
        </w:rPr>
      </w:pPr>
      <w:bookmarkStart w:id="63" w:name="_Toc30822"/>
      <w:bookmarkStart w:id="64" w:name="_Toc508803752"/>
      <w:r>
        <w:rPr>
          <w:rFonts w:hint="eastAsia" w:ascii="华文中宋" w:hAnsi="华文中宋" w:eastAsia="华文中宋" w:cs="华文中宋"/>
          <w:highlight w:val="none"/>
        </w:rPr>
        <w:t>区位状况</w:t>
      </w:r>
    </w:p>
    <w:p>
      <w:pPr>
        <w:keepLines w:val="0"/>
        <w:pageBreakBefore w:val="0"/>
        <w:widowControl w:val="0"/>
        <w:numPr>
          <w:ilvl w:val="0"/>
          <w:numId w:val="0"/>
        </w:numPr>
        <w:kinsoku/>
        <w:wordWrap/>
        <w:overflowPunct/>
        <w:topLinePunct w:val="0"/>
        <w:bidi w:val="0"/>
        <w:snapToGrid/>
        <w:spacing w:line="480" w:lineRule="exact"/>
        <w:ind w:firstLine="480" w:firstLineChars="200"/>
        <w:rPr>
          <w:rFonts w:hint="eastAsia" w:ascii="华文中宋" w:hAnsi="华文中宋" w:eastAsia="华文中宋" w:cs="华文中宋"/>
          <w:highlight w:val="none"/>
          <w:lang w:eastAsia="zh-CN"/>
        </w:rPr>
      </w:pPr>
      <w:r>
        <w:rPr>
          <w:rFonts w:hint="eastAsia" w:ascii="华文中宋" w:hAnsi="华文中宋" w:cs="华文中宋"/>
          <w:highlight w:val="none"/>
          <w:lang w:val="en-US" w:eastAsia="zh-CN"/>
        </w:rPr>
        <w:t>A：</w:t>
      </w:r>
      <w:r>
        <w:rPr>
          <w:rFonts w:hint="eastAsia" w:ascii="华文中宋" w:hAnsi="华文中宋" w:cs="华文中宋"/>
          <w:highlight w:val="none"/>
          <w:lang w:eastAsia="zh-CN"/>
        </w:rPr>
        <w:t>住宅</w:t>
      </w:r>
    </w:p>
    <w:p>
      <w:pPr>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1"/>
        <w:rPr>
          <w:rFonts w:hint="eastAsia" w:ascii="华文中宋" w:hAnsi="华文中宋" w:eastAsia="华文中宋" w:cs="华文中宋"/>
          <w:sz w:val="24"/>
          <w:szCs w:val="24"/>
        </w:rPr>
      </w:pPr>
      <w:r>
        <w:rPr>
          <w:rFonts w:hint="eastAsia" w:ascii="华文中宋" w:hAnsi="华文中宋" w:eastAsia="华文中宋" w:cs="华文中宋"/>
          <w:sz w:val="24"/>
          <w:szCs w:val="24"/>
        </w:rPr>
        <w:t>1、位置</w:t>
      </w:r>
    </w:p>
    <w:p>
      <w:pPr>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1"/>
        <w:rPr>
          <w:rFonts w:hint="eastAsia" w:ascii="华文中宋" w:hAnsi="华文中宋" w:eastAsia="华文中宋" w:cs="华文中宋"/>
          <w:szCs w:val="24"/>
          <w:highlight w:val="none"/>
          <w:lang w:eastAsia="zh-CN"/>
        </w:rPr>
      </w:pPr>
      <w:r>
        <w:rPr>
          <w:rFonts w:hint="eastAsia"/>
          <w:lang w:val="en-US" w:eastAsia="zh-CN"/>
        </w:rPr>
        <w:t>（1）坐落：</w:t>
      </w:r>
      <w:r>
        <w:rPr>
          <w:rFonts w:hint="eastAsia" w:ascii="华文中宋" w:hAnsi="华文中宋" w:cs="华文中宋"/>
          <w:szCs w:val="24"/>
          <w:highlight w:val="none"/>
          <w:lang w:eastAsia="zh-CN"/>
        </w:rPr>
        <w:t>台安县嘉泰园小区内；</w:t>
      </w:r>
    </w:p>
    <w:p>
      <w:pPr>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1"/>
        <w:rPr>
          <w:rFonts w:hint="eastAsia" w:ascii="华文中宋" w:hAnsi="华文中宋" w:eastAsia="华文中宋" w:cs="华文中宋"/>
          <w:szCs w:val="24"/>
          <w:highlight w:val="none"/>
          <w:lang w:val="en-US" w:eastAsia="zh-CN"/>
        </w:rPr>
      </w:pPr>
      <w:r>
        <w:rPr>
          <w:rFonts w:hint="eastAsia" w:ascii="华文中宋" w:hAnsi="华文中宋" w:cs="华文中宋"/>
          <w:szCs w:val="24"/>
          <w:highlight w:val="none"/>
          <w:lang w:eastAsia="zh-CN"/>
        </w:rPr>
        <w:t>（</w:t>
      </w:r>
      <w:r>
        <w:rPr>
          <w:rFonts w:hint="eastAsia" w:ascii="华文中宋" w:hAnsi="华文中宋" w:cs="华文中宋"/>
          <w:szCs w:val="24"/>
          <w:highlight w:val="none"/>
          <w:lang w:val="en-US" w:eastAsia="zh-CN"/>
        </w:rPr>
        <w:t>2</w:t>
      </w:r>
      <w:r>
        <w:rPr>
          <w:rFonts w:hint="eastAsia" w:ascii="华文中宋" w:hAnsi="华文中宋" w:cs="华文中宋"/>
          <w:szCs w:val="24"/>
          <w:highlight w:val="none"/>
          <w:lang w:eastAsia="zh-CN"/>
        </w:rPr>
        <w:t>）方位：</w:t>
      </w:r>
      <w:r>
        <w:rPr>
          <w:rFonts w:hint="eastAsia" w:ascii="华文中宋" w:hAnsi="华文中宋" w:eastAsia="华文中宋" w:cs="华文中宋"/>
          <w:szCs w:val="24"/>
          <w:highlight w:val="none"/>
          <w:lang w:eastAsia="zh-CN"/>
        </w:rPr>
        <w:t>台安县</w:t>
      </w:r>
      <w:r>
        <w:rPr>
          <w:rFonts w:hint="eastAsia" w:ascii="华文中宋" w:hAnsi="华文中宋" w:cs="华文中宋"/>
          <w:szCs w:val="24"/>
          <w:highlight w:val="none"/>
          <w:lang w:eastAsia="zh-CN"/>
        </w:rPr>
        <w:t>西部；</w:t>
      </w:r>
    </w:p>
    <w:p>
      <w:pPr>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1"/>
        <w:rPr>
          <w:rFonts w:hint="eastAsia"/>
          <w:lang w:val="en-US" w:eastAsia="zh-CN"/>
        </w:rPr>
      </w:pPr>
      <w:r>
        <w:rPr>
          <w:rFonts w:hint="eastAsia"/>
          <w:lang w:val="en-US" w:eastAsia="zh-CN"/>
        </w:rPr>
        <w:t>（3）临街状况：东临内部道路、南临胜利西路、西临胜利西路、北临大庆西路；</w:t>
      </w:r>
    </w:p>
    <w:p>
      <w:pPr>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1"/>
        <w:rPr>
          <w:rFonts w:hint="eastAsia"/>
          <w:lang w:val="en-US" w:eastAsia="zh-CN"/>
        </w:rPr>
      </w:pPr>
      <w:r>
        <w:rPr>
          <w:rFonts w:hint="eastAsia"/>
          <w:lang w:val="en-US" w:eastAsia="zh-CN"/>
        </w:rPr>
        <w:t>（4）朝向：朝南；</w:t>
      </w:r>
    </w:p>
    <w:p>
      <w:pPr>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1"/>
        <w:rPr>
          <w:rFonts w:hint="eastAsia"/>
          <w:lang w:val="en-US" w:eastAsia="zh-CN"/>
        </w:rPr>
      </w:pPr>
      <w:r>
        <w:rPr>
          <w:rFonts w:hint="eastAsia"/>
          <w:lang w:val="en-US" w:eastAsia="zh-CN"/>
        </w:rPr>
        <w:t>（5）楼层：建筑物总层数为7层，委估对象所在7层；</w:t>
      </w:r>
    </w:p>
    <w:p>
      <w:pPr>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1"/>
        <w:rPr>
          <w:rFonts w:hint="eastAsia"/>
          <w:lang w:val="en-US" w:eastAsia="zh-CN"/>
        </w:rPr>
      </w:pPr>
      <w:r>
        <w:rPr>
          <w:rFonts w:hint="eastAsia"/>
          <w:lang w:val="en-US" w:eastAsia="zh-CN"/>
        </w:rPr>
        <w:t>（6）</w:t>
      </w:r>
      <w:r>
        <w:rPr>
          <w:rFonts w:hint="eastAsia"/>
          <w:lang w:eastAsia="zh-CN"/>
        </w:rPr>
        <w:t>与重要场所距离：估价对象距台安县政府</w:t>
      </w:r>
      <w:r>
        <w:rPr>
          <w:rFonts w:hint="eastAsia"/>
          <w:lang w:val="en-US" w:eastAsia="zh-CN"/>
        </w:rPr>
        <w:t>2.7公里；</w:t>
      </w:r>
    </w:p>
    <w:p>
      <w:pPr>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1"/>
        <w:rPr>
          <w:rFonts w:hint="eastAsia" w:ascii="华文中宋" w:hAnsi="华文中宋" w:eastAsia="华文中宋" w:cs="华文中宋"/>
          <w:sz w:val="24"/>
          <w:szCs w:val="24"/>
          <w:lang w:val="en-US" w:eastAsia="zh-CN"/>
        </w:rPr>
      </w:pPr>
      <w:r>
        <w:rPr>
          <w:rFonts w:hint="eastAsia"/>
          <w:lang w:val="en-US" w:eastAsia="zh-CN"/>
        </w:rPr>
        <w:t>（7）商业繁华程度：委估对象所在区域为居民区，周边中小型商业网点等，购物、餐饮、</w:t>
      </w:r>
      <w:r>
        <w:rPr>
          <w:rFonts w:hint="eastAsia" w:ascii="华文中宋" w:hAnsi="华文中宋" w:eastAsia="华文中宋" w:cs="华文中宋"/>
          <w:sz w:val="24"/>
          <w:szCs w:val="24"/>
        </w:rPr>
        <w:t>娱乐休闲配套设施</w:t>
      </w:r>
      <w:r>
        <w:rPr>
          <w:rFonts w:hint="eastAsia" w:ascii="华文中宋" w:hAnsi="华文中宋" w:eastAsia="华文中宋" w:cs="华文中宋"/>
          <w:sz w:val="24"/>
          <w:szCs w:val="24"/>
          <w:lang w:eastAsia="zh-CN"/>
        </w:rPr>
        <w:t>齐全</w:t>
      </w:r>
      <w:r>
        <w:rPr>
          <w:rFonts w:hint="eastAsia"/>
          <w:lang w:val="en-US" w:eastAsia="zh-CN"/>
        </w:rPr>
        <w:t>，</w:t>
      </w:r>
      <w:r>
        <w:rPr>
          <w:rFonts w:hint="eastAsia" w:ascii="华文中宋" w:hAnsi="华文中宋" w:eastAsia="华文中宋" w:cs="华文中宋"/>
          <w:sz w:val="24"/>
          <w:szCs w:val="24"/>
          <w:lang w:eastAsia="zh-CN"/>
        </w:rPr>
        <w:t>商业</w:t>
      </w:r>
      <w:r>
        <w:rPr>
          <w:rFonts w:hint="eastAsia" w:ascii="华文中宋" w:hAnsi="华文中宋" w:eastAsia="华文中宋" w:cs="华文中宋"/>
          <w:sz w:val="24"/>
          <w:szCs w:val="24"/>
        </w:rPr>
        <w:t>市场开发成熟</w:t>
      </w:r>
      <w:r>
        <w:rPr>
          <w:rFonts w:hint="eastAsia" w:ascii="华文中宋" w:hAnsi="华文中宋" w:cs="华文中宋"/>
          <w:sz w:val="24"/>
          <w:szCs w:val="24"/>
          <w:lang w:eastAsia="zh-CN"/>
        </w:rPr>
        <w:t>较好</w:t>
      </w:r>
      <w:r>
        <w:rPr>
          <w:rFonts w:hint="eastAsia" w:ascii="华文中宋" w:hAnsi="华文中宋" w:eastAsia="华文中宋" w:cs="华文中宋"/>
          <w:sz w:val="24"/>
          <w:szCs w:val="24"/>
          <w:lang w:val="en-US" w:eastAsia="zh-CN"/>
        </w:rPr>
        <w:t>。</w:t>
      </w:r>
    </w:p>
    <w:p>
      <w:pPr>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1"/>
        <w:rPr>
          <w:rFonts w:hint="eastAsia" w:ascii="华文中宋" w:hAnsi="华文中宋" w:eastAsia="华文中宋" w:cs="华文中宋"/>
          <w:sz w:val="24"/>
          <w:szCs w:val="24"/>
        </w:rPr>
      </w:pPr>
      <w:r>
        <w:rPr>
          <w:rFonts w:hint="eastAsia" w:ascii="华文中宋" w:hAnsi="华文中宋" w:cs="华文中宋"/>
          <w:sz w:val="24"/>
          <w:szCs w:val="24"/>
          <w:lang w:val="en-US" w:eastAsia="zh-CN"/>
        </w:rPr>
        <w:t>2</w:t>
      </w:r>
      <w:r>
        <w:rPr>
          <w:rFonts w:hint="eastAsia" w:ascii="华文中宋" w:hAnsi="华文中宋" w:eastAsia="华文中宋" w:cs="华文中宋"/>
          <w:sz w:val="24"/>
          <w:szCs w:val="24"/>
        </w:rPr>
        <w:t>、交通状况</w:t>
      </w:r>
    </w:p>
    <w:p>
      <w:pPr>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1"/>
        <w:rPr>
          <w:rFonts w:hint="eastAsia" w:ascii="华文中宋" w:hAnsi="华文中宋" w:eastAsia="华文中宋" w:cs="华文中宋"/>
          <w:sz w:val="24"/>
          <w:szCs w:val="24"/>
          <w:highlight w:val="none"/>
          <w:lang w:eastAsia="zh-CN"/>
        </w:rPr>
      </w:pPr>
      <w:r>
        <w:rPr>
          <w:rFonts w:hint="eastAsia" w:ascii="华文中宋" w:hAnsi="华文中宋" w:eastAsia="华文中宋" w:cs="华文中宋"/>
          <w:sz w:val="24"/>
          <w:szCs w:val="24"/>
          <w:highlight w:val="none"/>
          <w:lang w:eastAsia="zh-CN"/>
        </w:rPr>
        <w:t>区域内鞍（山）羊（山）、沈（阳）盘（山）公路纵横境内。距台安长途客运站约</w:t>
      </w:r>
      <w:r>
        <w:rPr>
          <w:rFonts w:hint="eastAsia" w:ascii="华文中宋" w:hAnsi="华文中宋" w:cs="华文中宋"/>
          <w:sz w:val="24"/>
          <w:szCs w:val="24"/>
          <w:highlight w:val="none"/>
          <w:lang w:val="en-US" w:eastAsia="zh-CN"/>
        </w:rPr>
        <w:t>0.7</w:t>
      </w:r>
      <w:r>
        <w:rPr>
          <w:rFonts w:hint="eastAsia" w:ascii="华文中宋" w:hAnsi="华文中宋" w:eastAsia="华文中宋" w:cs="华文中宋"/>
          <w:sz w:val="24"/>
          <w:szCs w:val="24"/>
          <w:highlight w:val="none"/>
          <w:lang w:val="en-US" w:eastAsia="zh-CN"/>
        </w:rPr>
        <w:t>公里，</w:t>
      </w:r>
      <w:r>
        <w:rPr>
          <w:rFonts w:hint="eastAsia" w:ascii="华文中宋" w:hAnsi="华文中宋" w:eastAsia="华文中宋" w:cs="华文中宋"/>
          <w:sz w:val="24"/>
          <w:szCs w:val="24"/>
          <w:highlight w:val="none"/>
          <w:lang w:eastAsia="zh-CN"/>
        </w:rPr>
        <w:t>北距台安火车站约</w:t>
      </w:r>
      <w:r>
        <w:rPr>
          <w:rFonts w:hint="eastAsia" w:ascii="华文中宋" w:hAnsi="华文中宋" w:cs="华文中宋"/>
          <w:sz w:val="24"/>
          <w:szCs w:val="24"/>
          <w:highlight w:val="none"/>
          <w:lang w:val="en-US" w:eastAsia="zh-CN"/>
        </w:rPr>
        <w:t>6</w:t>
      </w:r>
      <w:r>
        <w:rPr>
          <w:rFonts w:hint="eastAsia" w:ascii="华文中宋" w:hAnsi="华文中宋" w:eastAsia="华文中宋" w:cs="华文中宋"/>
          <w:sz w:val="24"/>
          <w:szCs w:val="24"/>
          <w:highlight w:val="none"/>
          <w:lang w:val="en-US" w:eastAsia="zh-CN"/>
        </w:rPr>
        <w:t>公里，</w:t>
      </w:r>
      <w:r>
        <w:rPr>
          <w:rFonts w:hint="eastAsia" w:ascii="华文中宋" w:hAnsi="华文中宋" w:eastAsia="华文中宋" w:cs="华文中宋"/>
          <w:sz w:val="24"/>
          <w:szCs w:val="24"/>
          <w:highlight w:val="none"/>
          <w:lang w:eastAsia="zh-CN"/>
        </w:rPr>
        <w:t>西北距大虎山火车站3</w:t>
      </w:r>
      <w:r>
        <w:rPr>
          <w:rFonts w:hint="eastAsia" w:ascii="华文中宋" w:hAnsi="华文中宋" w:eastAsia="华文中宋" w:cs="华文中宋"/>
          <w:sz w:val="24"/>
          <w:szCs w:val="24"/>
          <w:highlight w:val="none"/>
          <w:lang w:val="en-US" w:eastAsia="zh-CN"/>
        </w:rPr>
        <w:t>5</w:t>
      </w:r>
      <w:r>
        <w:rPr>
          <w:rFonts w:hint="eastAsia" w:ascii="华文中宋" w:hAnsi="华文中宋" w:eastAsia="华文中宋" w:cs="华文中宋"/>
          <w:sz w:val="24"/>
          <w:szCs w:val="24"/>
          <w:highlight w:val="none"/>
          <w:lang w:eastAsia="zh-CN"/>
        </w:rPr>
        <w:t>公里，西南距</w:t>
      </w:r>
      <w:r>
        <w:rPr>
          <w:rFonts w:hint="eastAsia" w:ascii="华文中宋" w:hAnsi="华文中宋" w:eastAsia="华文中宋" w:cs="华文中宋"/>
          <w:sz w:val="24"/>
          <w:szCs w:val="24"/>
          <w:highlight w:val="none"/>
          <w:lang w:eastAsia="zh-CN"/>
        </w:rPr>
        <w:fldChar w:fldCharType="begin"/>
      </w:r>
      <w:r>
        <w:rPr>
          <w:rFonts w:hint="eastAsia" w:ascii="华文中宋" w:hAnsi="华文中宋" w:eastAsia="华文中宋" w:cs="华文中宋"/>
          <w:sz w:val="24"/>
          <w:szCs w:val="24"/>
          <w:highlight w:val="none"/>
          <w:lang w:eastAsia="zh-CN"/>
        </w:rPr>
        <w:instrText xml:space="preserve"> HYPERLINK "https://baike.baidu.com/item/%E7%9B%98%E9%94%A6%E7%81%AB%E8%BD%A6%E7%AB%99/684984" \t "https://baike.baidu.com/item/%E5%8F%B0%E5%AE%89%E9%95%87/_blank" </w:instrText>
      </w:r>
      <w:r>
        <w:rPr>
          <w:rFonts w:hint="eastAsia" w:ascii="华文中宋" w:hAnsi="华文中宋" w:eastAsia="华文中宋" w:cs="华文中宋"/>
          <w:sz w:val="24"/>
          <w:szCs w:val="24"/>
          <w:highlight w:val="none"/>
          <w:lang w:eastAsia="zh-CN"/>
        </w:rPr>
        <w:fldChar w:fldCharType="separate"/>
      </w:r>
      <w:r>
        <w:rPr>
          <w:rFonts w:hint="eastAsia" w:ascii="华文中宋" w:hAnsi="华文中宋" w:eastAsia="华文中宋" w:cs="华文中宋"/>
          <w:sz w:val="24"/>
          <w:szCs w:val="24"/>
          <w:highlight w:val="none"/>
          <w:lang w:eastAsia="zh-CN"/>
        </w:rPr>
        <w:t>盘锦火车站</w:t>
      </w:r>
      <w:r>
        <w:rPr>
          <w:rFonts w:hint="eastAsia" w:ascii="华文中宋" w:hAnsi="华文中宋" w:eastAsia="华文中宋" w:cs="华文中宋"/>
          <w:sz w:val="24"/>
          <w:szCs w:val="24"/>
          <w:highlight w:val="none"/>
          <w:lang w:eastAsia="zh-CN"/>
        </w:rPr>
        <w:fldChar w:fldCharType="end"/>
      </w:r>
      <w:r>
        <w:rPr>
          <w:rFonts w:hint="eastAsia" w:ascii="华文中宋" w:hAnsi="华文中宋" w:eastAsia="华文中宋" w:cs="华文中宋"/>
          <w:sz w:val="24"/>
          <w:szCs w:val="24"/>
          <w:highlight w:val="none"/>
          <w:lang w:eastAsia="zh-CN"/>
        </w:rPr>
        <w:t>4</w:t>
      </w:r>
      <w:r>
        <w:rPr>
          <w:rFonts w:hint="eastAsia" w:ascii="华文中宋" w:hAnsi="华文中宋" w:eastAsia="华文中宋" w:cs="华文中宋"/>
          <w:sz w:val="24"/>
          <w:szCs w:val="24"/>
          <w:highlight w:val="none"/>
          <w:lang w:val="en-US" w:eastAsia="zh-CN"/>
        </w:rPr>
        <w:t>0</w:t>
      </w:r>
      <w:r>
        <w:rPr>
          <w:rFonts w:hint="eastAsia" w:ascii="华文中宋" w:hAnsi="华文中宋" w:eastAsia="华文中宋" w:cs="华文中宋"/>
          <w:sz w:val="24"/>
          <w:szCs w:val="24"/>
          <w:highlight w:val="none"/>
          <w:lang w:eastAsia="zh-CN"/>
        </w:rPr>
        <w:t>公里。</w:t>
      </w:r>
    </w:p>
    <w:p>
      <w:pPr>
        <w:keepLines w:val="0"/>
        <w:pageBreakBefore w:val="0"/>
        <w:widowControl w:val="0"/>
        <w:kinsoku/>
        <w:wordWrap/>
        <w:overflowPunct/>
        <w:topLinePunct w:val="0"/>
        <w:bidi w:val="0"/>
        <w:snapToGrid/>
        <w:spacing w:line="480" w:lineRule="exact"/>
        <w:ind w:firstLine="31680"/>
        <w:rPr>
          <w:rFonts w:hint="eastAsia" w:ascii="华文中宋" w:hAnsi="华文中宋" w:eastAsia="华文中宋" w:cs="华文中宋"/>
          <w:lang w:val="en-US" w:eastAsia="zh-CN"/>
        </w:rPr>
      </w:pPr>
      <w:r>
        <w:rPr>
          <w:rFonts w:hint="eastAsia" w:ascii="华文中宋" w:hAnsi="华文中宋" w:cs="华文中宋"/>
          <w:sz w:val="24"/>
          <w:szCs w:val="24"/>
          <w:lang w:val="en-US" w:eastAsia="zh-CN"/>
        </w:rPr>
        <w:t>3</w:t>
      </w:r>
      <w:r>
        <w:rPr>
          <w:rFonts w:hint="eastAsia" w:ascii="华文中宋" w:hAnsi="华文中宋" w:eastAsia="华文中宋" w:cs="华文中宋"/>
          <w:sz w:val="24"/>
          <w:szCs w:val="24"/>
          <w:lang w:eastAsia="zh-CN"/>
        </w:rPr>
        <w:t>、</w:t>
      </w:r>
      <w:r>
        <w:rPr>
          <w:rFonts w:hint="eastAsia" w:ascii="华文中宋" w:hAnsi="华文中宋" w:eastAsia="华文中宋" w:cs="华文中宋"/>
          <w:lang w:val="en-US" w:eastAsia="zh-CN"/>
        </w:rPr>
        <w:t>外部配套设施：</w:t>
      </w:r>
    </w:p>
    <w:p>
      <w:pPr>
        <w:keepLines w:val="0"/>
        <w:pageBreakBefore w:val="0"/>
        <w:widowControl w:val="0"/>
        <w:kinsoku/>
        <w:wordWrap/>
        <w:overflowPunct/>
        <w:topLinePunct w:val="0"/>
        <w:bidi w:val="0"/>
        <w:snapToGrid/>
        <w:spacing w:line="480" w:lineRule="exact"/>
        <w:ind w:firstLine="31680"/>
        <w:rPr>
          <w:rFonts w:hint="default"/>
          <w:lang w:val="en-US" w:eastAsia="zh-CN"/>
        </w:rPr>
      </w:pPr>
      <w:r>
        <w:rPr>
          <w:rFonts w:hint="eastAsia"/>
          <w:lang w:val="en-US" w:eastAsia="zh-CN"/>
        </w:rPr>
        <w:t>（1）基础设施</w:t>
      </w:r>
    </w:p>
    <w:p>
      <w:pPr>
        <w:keepLines w:val="0"/>
        <w:pageBreakBefore w:val="0"/>
        <w:widowControl w:val="0"/>
        <w:kinsoku/>
        <w:wordWrap/>
        <w:overflowPunct/>
        <w:topLinePunct w:val="0"/>
        <w:bidi w:val="0"/>
        <w:snapToGrid/>
        <w:spacing w:line="480" w:lineRule="exact"/>
        <w:ind w:firstLine="31680"/>
        <w:rPr>
          <w:rFonts w:hint="eastAsia"/>
          <w:lang w:val="en-US" w:eastAsia="zh-CN"/>
        </w:rPr>
      </w:pPr>
      <w:r>
        <w:rPr>
          <w:rFonts w:hint="eastAsia"/>
          <w:lang w:val="en-US" w:eastAsia="zh-CN"/>
        </w:rPr>
        <w:t>估价对象所在区域为城市中心区，区域内供电、供水、排水、通信、燃气和有线电视与市政管网连接，可保证日常使用，基础设施较完备。</w:t>
      </w:r>
    </w:p>
    <w:p>
      <w:pPr>
        <w:keepLines w:val="0"/>
        <w:pageBreakBefore w:val="0"/>
        <w:widowControl w:val="0"/>
        <w:kinsoku/>
        <w:wordWrap/>
        <w:overflowPunct/>
        <w:topLinePunct w:val="0"/>
        <w:bidi w:val="0"/>
        <w:snapToGrid/>
        <w:spacing w:line="480" w:lineRule="exact"/>
        <w:ind w:firstLine="31680"/>
        <w:rPr>
          <w:rFonts w:hint="eastAsia"/>
          <w:lang w:val="en-US" w:eastAsia="zh-CN"/>
        </w:rPr>
      </w:pPr>
      <w:r>
        <w:rPr>
          <w:rFonts w:hint="eastAsia"/>
          <w:lang w:val="en-US" w:eastAsia="zh-CN"/>
        </w:rPr>
        <w:t>（2）</w:t>
      </w:r>
      <w:r>
        <w:rPr>
          <w:rFonts w:hint="eastAsia"/>
          <w:lang w:eastAsia="zh-CN"/>
        </w:rPr>
        <w:t>公共服务设施</w:t>
      </w:r>
    </w:p>
    <w:p>
      <w:pPr>
        <w:keepLines w:val="0"/>
        <w:pageBreakBefore w:val="0"/>
        <w:widowControl w:val="0"/>
        <w:kinsoku/>
        <w:wordWrap/>
        <w:overflowPunct/>
        <w:topLinePunct w:val="0"/>
        <w:bidi w:val="0"/>
        <w:snapToGrid/>
        <w:spacing w:line="480" w:lineRule="exact"/>
        <w:ind w:firstLine="31680"/>
        <w:rPr>
          <w:rFonts w:hint="eastAsia" w:ascii="华文中宋" w:hAnsi="华文中宋" w:eastAsia="华文中宋" w:cs="华文中宋"/>
          <w:lang w:val="en-US" w:eastAsia="zh-CN"/>
        </w:rPr>
      </w:pPr>
      <w:r>
        <w:rPr>
          <w:rFonts w:hint="eastAsia"/>
          <w:lang w:val="en-US" w:eastAsia="zh-CN"/>
        </w:rPr>
        <w:t>估价对象所在区域有台安一中、台安二高及课外辅导机构等教育机构；区域有台安中医院、台安县恩良医院等医疗设施；区域无体育场馆，社区内主要以健身器材为主；其他公共服务设施较优。</w:t>
      </w:r>
    </w:p>
    <w:p>
      <w:pPr>
        <w:keepLines w:val="0"/>
        <w:pageBreakBefore w:val="0"/>
        <w:widowControl w:val="0"/>
        <w:numPr>
          <w:ilvl w:val="0"/>
          <w:numId w:val="0"/>
        </w:numPr>
        <w:kinsoku/>
        <w:wordWrap/>
        <w:overflowPunct/>
        <w:topLinePunct w:val="0"/>
        <w:autoSpaceDE/>
        <w:autoSpaceDN/>
        <w:bidi w:val="0"/>
        <w:snapToGrid/>
        <w:spacing w:line="480" w:lineRule="exact"/>
        <w:ind w:leftChars="200" w:right="0" w:rightChars="0"/>
        <w:outlineLvl w:val="1"/>
        <w:rPr>
          <w:rFonts w:hint="eastAsia" w:ascii="华文中宋" w:hAnsi="华文中宋" w:eastAsia="华文中宋" w:cs="华文中宋"/>
          <w:sz w:val="24"/>
          <w:szCs w:val="24"/>
        </w:rPr>
      </w:pPr>
      <w:r>
        <w:rPr>
          <w:rFonts w:hint="eastAsia" w:ascii="华文中宋" w:hAnsi="华文中宋" w:cs="华文中宋"/>
          <w:sz w:val="24"/>
          <w:szCs w:val="24"/>
          <w:lang w:val="en-US" w:eastAsia="zh-CN"/>
        </w:rPr>
        <w:t>4</w:t>
      </w:r>
      <w:r>
        <w:rPr>
          <w:rFonts w:hint="eastAsia" w:ascii="华文中宋" w:hAnsi="华文中宋" w:eastAsia="华文中宋" w:cs="华文中宋"/>
          <w:sz w:val="24"/>
          <w:szCs w:val="24"/>
          <w:lang w:val="en-US" w:eastAsia="zh-CN"/>
        </w:rPr>
        <w:t>、</w:t>
      </w:r>
      <w:r>
        <w:rPr>
          <w:rFonts w:hint="eastAsia" w:ascii="华文中宋" w:hAnsi="华文中宋" w:eastAsia="华文中宋" w:cs="华文中宋"/>
          <w:sz w:val="24"/>
          <w:szCs w:val="24"/>
        </w:rPr>
        <w:t>周围环境与景观</w:t>
      </w:r>
    </w:p>
    <w:p>
      <w:pPr>
        <w:keepLines w:val="0"/>
        <w:pageBreakBefore w:val="0"/>
        <w:widowControl w:val="0"/>
        <w:kinsoku/>
        <w:wordWrap/>
        <w:overflowPunct/>
        <w:topLinePunct w:val="0"/>
        <w:autoSpaceDE/>
        <w:autoSpaceDN/>
        <w:bidi w:val="0"/>
        <w:snapToGrid/>
        <w:spacing w:line="480" w:lineRule="exact"/>
        <w:ind w:left="0" w:leftChars="0" w:right="0" w:rightChars="0" w:firstLine="480" w:firstLineChars="200"/>
        <w:outlineLvl w:val="1"/>
        <w:rPr>
          <w:rFonts w:hint="eastAsia"/>
          <w:lang w:val="en-US" w:eastAsia="zh-CN"/>
        </w:rPr>
      </w:pPr>
      <w:r>
        <w:rPr>
          <w:rFonts w:hint="eastAsia"/>
          <w:lang w:val="en-US" w:eastAsia="zh-CN"/>
        </w:rPr>
        <w:t>（1）自然环境：</w:t>
      </w:r>
      <w:r>
        <w:rPr>
          <w:rFonts w:hint="eastAsia" w:ascii="华文中宋" w:hAnsi="华文中宋" w:eastAsia="华文中宋" w:cs="华文中宋"/>
          <w:sz w:val="24"/>
          <w:szCs w:val="24"/>
          <w:lang w:val="en-US" w:eastAsia="zh-CN"/>
        </w:rPr>
        <w:t>台安县地处东北平原南端，辽河三角洲腹地。全境从东北向南倾斜，比降为万分之一，平均海拔6至7米，县城地面海拔7.9米。最高在桓洞镇祁木村，海拔23.6米；最低在韭菜台镇杨塘村，海拔2米左右。台安属近河床与河谷的平原地段，为河流中下游冲积物淤积而成的现代冲积层，其地层构造均为细岩相。由于常年受到流水营力的作用，形成典型的冲积地形。台安县属于暖温带大陆性季风气候，秋、冬季西伯利亚一带的寒冷干燥空气南侵，春、夏季海洋的温暖湿润气团北移，台安处于其过渡带，气候变化比较大。其特点是：四季分明，雨热同期，干冷同季，温度适宜，光照丰富，春季风大，冬季寒冷。</w:t>
      </w:r>
      <w:r>
        <w:rPr>
          <w:rFonts w:hint="eastAsia" w:ascii="华文中宋" w:hAnsi="华文中宋" w:cs="华文中宋"/>
          <w:sz w:val="24"/>
          <w:szCs w:val="24"/>
          <w:lang w:val="en-US" w:eastAsia="zh-CN"/>
        </w:rPr>
        <w:t>委估对象所在区域</w:t>
      </w:r>
      <w:r>
        <w:rPr>
          <w:rFonts w:hint="eastAsia"/>
          <w:lang w:val="en-US" w:eastAsia="zh-CN"/>
        </w:rPr>
        <w:t>有轻微的空气、噪声、辐射、水、固体废物等污染。</w:t>
      </w:r>
    </w:p>
    <w:p>
      <w:pPr>
        <w:keepLines w:val="0"/>
        <w:pageBreakBefore w:val="0"/>
        <w:widowControl w:val="0"/>
        <w:numPr>
          <w:ilvl w:val="0"/>
          <w:numId w:val="0"/>
        </w:numPr>
        <w:kinsoku/>
        <w:wordWrap/>
        <w:overflowPunct/>
        <w:topLinePunct w:val="0"/>
        <w:autoSpaceDE/>
        <w:autoSpaceDN/>
        <w:bidi w:val="0"/>
        <w:snapToGrid/>
        <w:spacing w:line="480" w:lineRule="exact"/>
        <w:ind w:leftChars="200" w:right="0" w:rightChars="0"/>
        <w:outlineLvl w:val="1"/>
        <w:rPr>
          <w:rFonts w:hint="eastAsia"/>
          <w:lang w:val="en-US" w:eastAsia="zh-CN"/>
        </w:rPr>
      </w:pPr>
      <w:r>
        <w:rPr>
          <w:rFonts w:hint="eastAsia"/>
          <w:lang w:val="en-US" w:eastAsia="zh-CN"/>
        </w:rPr>
        <w:t>（2）人文环境：估价对象所在区域居民受教育程度较高，治安状况较好；</w:t>
      </w:r>
    </w:p>
    <w:p>
      <w:pPr>
        <w:keepLines w:val="0"/>
        <w:pageBreakBefore w:val="0"/>
        <w:widowControl w:val="0"/>
        <w:kinsoku/>
        <w:wordWrap/>
        <w:overflowPunct/>
        <w:topLinePunct w:val="0"/>
        <w:autoSpaceDE/>
        <w:autoSpaceDN/>
        <w:bidi w:val="0"/>
        <w:snapToGrid/>
        <w:spacing w:line="480" w:lineRule="exact"/>
        <w:ind w:left="0" w:leftChars="0" w:right="0" w:rightChars="0" w:firstLine="480" w:firstLineChars="200"/>
        <w:outlineLvl w:val="1"/>
        <w:rPr>
          <w:rFonts w:hint="eastAsia"/>
          <w:lang w:val="en-US" w:eastAsia="zh-CN"/>
        </w:rPr>
        <w:sectPr>
          <w:headerReference r:id="rId15" w:type="first"/>
          <w:headerReference r:id="rId14" w:type="default"/>
          <w:type w:val="continuous"/>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titlePg/>
          <w:docGrid w:type="lines" w:linePitch="312" w:charSpace="0"/>
        </w:sectPr>
      </w:pPr>
      <w:r>
        <w:rPr>
          <w:rFonts w:hint="eastAsia"/>
          <w:lang w:val="en-US" w:eastAsia="zh-CN"/>
        </w:rPr>
        <w:t>（3）景观：估价对象周边景观一般。</w:t>
      </w:r>
    </w:p>
    <w:p>
      <w:pPr>
        <w:keepLines w:val="0"/>
        <w:pageBreakBefore w:val="0"/>
        <w:widowControl w:val="0"/>
        <w:kinsoku/>
        <w:wordWrap/>
        <w:overflowPunct/>
        <w:topLinePunct w:val="0"/>
        <w:autoSpaceDE/>
        <w:autoSpaceDN/>
        <w:bidi w:val="0"/>
        <w:snapToGrid/>
        <w:spacing w:line="480" w:lineRule="exact"/>
        <w:ind w:left="0" w:leftChars="0" w:right="0" w:rightChars="0" w:firstLine="480" w:firstLineChars="200"/>
        <w:outlineLvl w:val="1"/>
        <w:rPr>
          <w:rFonts w:hint="eastAsia"/>
          <w:lang w:val="en-US" w:eastAsia="zh-CN"/>
        </w:rPr>
      </w:pPr>
    </w:p>
    <w:p>
      <w:pPr>
        <w:keepLines w:val="0"/>
        <w:pageBreakBefore w:val="0"/>
        <w:widowControl w:val="0"/>
        <w:kinsoku/>
        <w:wordWrap/>
        <w:overflowPunct/>
        <w:topLinePunct w:val="0"/>
        <w:autoSpaceDE/>
        <w:autoSpaceDN/>
        <w:bidi w:val="0"/>
        <w:snapToGrid/>
        <w:spacing w:line="480" w:lineRule="exact"/>
        <w:ind w:right="0" w:rightChars="0"/>
        <w:outlineLvl w:val="1"/>
        <w:rPr>
          <w:rFonts w:hint="eastAsia" w:ascii="华文中宋" w:hAnsi="华文中宋" w:cs="华文中宋"/>
          <w:lang w:val="en-US" w:eastAsia="zh-CN"/>
        </w:rPr>
      </w:pPr>
      <w:r>
        <w:rPr>
          <w:rFonts w:hint="eastAsia" w:ascii="华文中宋" w:hAnsi="华文中宋" w:cs="华文中宋"/>
          <w:lang w:val="en-US" w:eastAsia="zh-CN"/>
        </w:rPr>
        <w:t>B：车库、仓库</w:t>
      </w:r>
    </w:p>
    <w:p>
      <w:pPr>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1"/>
        <w:rPr>
          <w:rFonts w:hint="eastAsia" w:ascii="华文中宋" w:hAnsi="华文中宋" w:eastAsia="华文中宋" w:cs="华文中宋"/>
          <w:sz w:val="24"/>
          <w:szCs w:val="24"/>
        </w:rPr>
      </w:pPr>
      <w:r>
        <w:rPr>
          <w:rFonts w:hint="eastAsia" w:ascii="华文中宋" w:hAnsi="华文中宋" w:eastAsia="华文中宋" w:cs="华文中宋"/>
          <w:sz w:val="24"/>
          <w:szCs w:val="24"/>
        </w:rPr>
        <w:t>1、位置</w:t>
      </w:r>
    </w:p>
    <w:p>
      <w:pPr>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1"/>
        <w:rPr>
          <w:rFonts w:hint="eastAsia" w:ascii="华文中宋" w:hAnsi="华文中宋" w:eastAsia="华文中宋" w:cs="华文中宋"/>
          <w:szCs w:val="24"/>
          <w:highlight w:val="none"/>
          <w:lang w:eastAsia="zh-CN"/>
        </w:rPr>
      </w:pPr>
      <w:r>
        <w:rPr>
          <w:rFonts w:hint="eastAsia"/>
          <w:lang w:val="en-US" w:eastAsia="zh-CN"/>
        </w:rPr>
        <w:t>（1）坐落：</w:t>
      </w:r>
      <w:r>
        <w:rPr>
          <w:rFonts w:hint="eastAsia" w:ascii="华文中宋" w:hAnsi="华文中宋" w:cs="华文中宋"/>
          <w:szCs w:val="24"/>
          <w:highlight w:val="none"/>
          <w:lang w:eastAsia="zh-CN"/>
        </w:rPr>
        <w:t>台安县嘉泰园小区内；</w:t>
      </w:r>
    </w:p>
    <w:p>
      <w:pPr>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1"/>
        <w:rPr>
          <w:rFonts w:hint="eastAsia" w:ascii="华文中宋" w:hAnsi="华文中宋" w:eastAsia="华文中宋" w:cs="华文中宋"/>
          <w:szCs w:val="24"/>
          <w:highlight w:val="none"/>
          <w:lang w:val="en-US" w:eastAsia="zh-CN"/>
        </w:rPr>
      </w:pPr>
      <w:r>
        <w:rPr>
          <w:rFonts w:hint="eastAsia" w:ascii="华文中宋" w:hAnsi="华文中宋" w:cs="华文中宋"/>
          <w:szCs w:val="24"/>
          <w:highlight w:val="none"/>
          <w:lang w:eastAsia="zh-CN"/>
        </w:rPr>
        <w:t>（</w:t>
      </w:r>
      <w:r>
        <w:rPr>
          <w:rFonts w:hint="eastAsia" w:ascii="华文中宋" w:hAnsi="华文中宋" w:cs="华文中宋"/>
          <w:szCs w:val="24"/>
          <w:highlight w:val="none"/>
          <w:lang w:val="en-US" w:eastAsia="zh-CN"/>
        </w:rPr>
        <w:t>2</w:t>
      </w:r>
      <w:r>
        <w:rPr>
          <w:rFonts w:hint="eastAsia" w:ascii="华文中宋" w:hAnsi="华文中宋" w:cs="华文中宋"/>
          <w:szCs w:val="24"/>
          <w:highlight w:val="none"/>
          <w:lang w:eastAsia="zh-CN"/>
        </w:rPr>
        <w:t>）方位：</w:t>
      </w:r>
      <w:r>
        <w:rPr>
          <w:rFonts w:hint="eastAsia" w:ascii="华文中宋" w:hAnsi="华文中宋" w:eastAsia="华文中宋" w:cs="华文中宋"/>
          <w:szCs w:val="24"/>
          <w:highlight w:val="none"/>
          <w:lang w:eastAsia="zh-CN"/>
        </w:rPr>
        <w:t>台安县</w:t>
      </w:r>
      <w:r>
        <w:rPr>
          <w:rFonts w:hint="eastAsia" w:ascii="华文中宋" w:hAnsi="华文中宋" w:cs="华文中宋"/>
          <w:szCs w:val="24"/>
          <w:highlight w:val="none"/>
          <w:lang w:eastAsia="zh-CN"/>
        </w:rPr>
        <w:t>西部；</w:t>
      </w:r>
    </w:p>
    <w:p>
      <w:pPr>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1"/>
        <w:rPr>
          <w:rFonts w:hint="eastAsia"/>
          <w:lang w:val="en-US" w:eastAsia="zh-CN"/>
        </w:rPr>
      </w:pPr>
      <w:r>
        <w:rPr>
          <w:rFonts w:hint="eastAsia"/>
          <w:lang w:val="en-US" w:eastAsia="zh-CN"/>
        </w:rPr>
        <w:t>（3）临街状况：东临内部道路、南临胜利西路、西临胜利西路、北临大庆西路；</w:t>
      </w:r>
    </w:p>
    <w:p>
      <w:pPr>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1"/>
        <w:rPr>
          <w:rFonts w:hint="eastAsia"/>
          <w:lang w:val="en-US" w:eastAsia="zh-CN"/>
        </w:rPr>
      </w:pPr>
      <w:r>
        <w:rPr>
          <w:rFonts w:hint="eastAsia"/>
          <w:lang w:val="en-US" w:eastAsia="zh-CN"/>
        </w:rPr>
        <w:t>（4）朝向：部分朝南、部分朝北；</w:t>
      </w:r>
    </w:p>
    <w:p>
      <w:pPr>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1"/>
        <w:rPr>
          <w:rFonts w:hint="eastAsia"/>
          <w:lang w:val="en-US" w:eastAsia="zh-CN"/>
        </w:rPr>
      </w:pPr>
      <w:r>
        <w:rPr>
          <w:rFonts w:hint="eastAsia"/>
          <w:lang w:val="en-US" w:eastAsia="zh-CN"/>
        </w:rPr>
        <w:t>（5）楼层：建筑物总层数为7层，委估对象所在1层；</w:t>
      </w:r>
    </w:p>
    <w:p>
      <w:pPr>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1"/>
        <w:rPr>
          <w:rFonts w:hint="eastAsia"/>
          <w:lang w:val="en-US" w:eastAsia="zh-CN"/>
        </w:rPr>
      </w:pPr>
      <w:r>
        <w:rPr>
          <w:rFonts w:hint="eastAsia"/>
          <w:lang w:val="en-US" w:eastAsia="zh-CN"/>
        </w:rPr>
        <w:t>（6）</w:t>
      </w:r>
      <w:r>
        <w:rPr>
          <w:rFonts w:hint="eastAsia"/>
          <w:lang w:eastAsia="zh-CN"/>
        </w:rPr>
        <w:t>与重要场所距离：估价对象距台安县政府</w:t>
      </w:r>
      <w:r>
        <w:rPr>
          <w:rFonts w:hint="eastAsia"/>
          <w:lang w:val="en-US" w:eastAsia="zh-CN"/>
        </w:rPr>
        <w:t>2.7公里；</w:t>
      </w:r>
    </w:p>
    <w:p>
      <w:pPr>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1"/>
        <w:rPr>
          <w:rFonts w:hint="eastAsia" w:ascii="华文中宋" w:hAnsi="华文中宋" w:eastAsia="华文中宋" w:cs="华文中宋"/>
          <w:sz w:val="24"/>
          <w:szCs w:val="24"/>
          <w:lang w:val="en-US" w:eastAsia="zh-CN"/>
        </w:rPr>
      </w:pPr>
      <w:r>
        <w:rPr>
          <w:rFonts w:hint="eastAsia"/>
          <w:lang w:val="en-US" w:eastAsia="zh-CN"/>
        </w:rPr>
        <w:t>（7）商业繁华程度：委估对象所在区域为居民区，周边中小型商业网点等，购物、餐饮、</w:t>
      </w:r>
      <w:r>
        <w:rPr>
          <w:rFonts w:hint="eastAsia" w:ascii="华文中宋" w:hAnsi="华文中宋" w:eastAsia="华文中宋" w:cs="华文中宋"/>
          <w:sz w:val="24"/>
          <w:szCs w:val="24"/>
        </w:rPr>
        <w:t>娱乐休闲配套设施</w:t>
      </w:r>
      <w:r>
        <w:rPr>
          <w:rFonts w:hint="eastAsia" w:ascii="华文中宋" w:hAnsi="华文中宋" w:eastAsia="华文中宋" w:cs="华文中宋"/>
          <w:sz w:val="24"/>
          <w:szCs w:val="24"/>
          <w:lang w:eastAsia="zh-CN"/>
        </w:rPr>
        <w:t>齐全</w:t>
      </w:r>
      <w:r>
        <w:rPr>
          <w:rFonts w:hint="eastAsia"/>
          <w:lang w:val="en-US" w:eastAsia="zh-CN"/>
        </w:rPr>
        <w:t>，</w:t>
      </w:r>
      <w:r>
        <w:rPr>
          <w:rFonts w:hint="eastAsia" w:ascii="华文中宋" w:hAnsi="华文中宋" w:eastAsia="华文中宋" w:cs="华文中宋"/>
          <w:sz w:val="24"/>
          <w:szCs w:val="24"/>
          <w:lang w:eastAsia="zh-CN"/>
        </w:rPr>
        <w:t>商业</w:t>
      </w:r>
      <w:r>
        <w:rPr>
          <w:rFonts w:hint="eastAsia" w:ascii="华文中宋" w:hAnsi="华文中宋" w:eastAsia="华文中宋" w:cs="华文中宋"/>
          <w:sz w:val="24"/>
          <w:szCs w:val="24"/>
        </w:rPr>
        <w:t>市场开发成熟</w:t>
      </w:r>
      <w:r>
        <w:rPr>
          <w:rFonts w:hint="eastAsia" w:ascii="华文中宋" w:hAnsi="华文中宋" w:cs="华文中宋"/>
          <w:sz w:val="24"/>
          <w:szCs w:val="24"/>
          <w:lang w:eastAsia="zh-CN"/>
        </w:rPr>
        <w:t>较好</w:t>
      </w:r>
      <w:r>
        <w:rPr>
          <w:rFonts w:hint="eastAsia" w:ascii="华文中宋" w:hAnsi="华文中宋" w:eastAsia="华文中宋" w:cs="华文中宋"/>
          <w:sz w:val="24"/>
          <w:szCs w:val="24"/>
          <w:lang w:val="en-US" w:eastAsia="zh-CN"/>
        </w:rPr>
        <w:t>。</w:t>
      </w:r>
    </w:p>
    <w:p>
      <w:pPr>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1"/>
        <w:rPr>
          <w:rFonts w:hint="eastAsia" w:ascii="华文中宋" w:hAnsi="华文中宋" w:eastAsia="华文中宋" w:cs="华文中宋"/>
          <w:sz w:val="24"/>
          <w:szCs w:val="24"/>
        </w:rPr>
      </w:pPr>
      <w:r>
        <w:rPr>
          <w:rFonts w:hint="eastAsia" w:ascii="华文中宋" w:hAnsi="华文中宋" w:cs="华文中宋"/>
          <w:sz w:val="24"/>
          <w:szCs w:val="24"/>
          <w:lang w:val="en-US" w:eastAsia="zh-CN"/>
        </w:rPr>
        <w:t>2</w:t>
      </w:r>
      <w:r>
        <w:rPr>
          <w:rFonts w:hint="eastAsia" w:ascii="华文中宋" w:hAnsi="华文中宋" w:eastAsia="华文中宋" w:cs="华文中宋"/>
          <w:sz w:val="24"/>
          <w:szCs w:val="24"/>
        </w:rPr>
        <w:t>、交通状况</w:t>
      </w:r>
    </w:p>
    <w:p>
      <w:pPr>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1"/>
        <w:rPr>
          <w:rFonts w:hint="eastAsia" w:ascii="华文中宋" w:hAnsi="华文中宋" w:eastAsia="华文中宋" w:cs="华文中宋"/>
          <w:sz w:val="24"/>
          <w:szCs w:val="24"/>
          <w:highlight w:val="none"/>
          <w:lang w:eastAsia="zh-CN"/>
        </w:rPr>
      </w:pPr>
      <w:r>
        <w:rPr>
          <w:rFonts w:hint="eastAsia" w:ascii="华文中宋" w:hAnsi="华文中宋" w:eastAsia="华文中宋" w:cs="华文中宋"/>
          <w:sz w:val="24"/>
          <w:szCs w:val="24"/>
          <w:highlight w:val="none"/>
          <w:lang w:eastAsia="zh-CN"/>
        </w:rPr>
        <w:t>区域内鞍（山）羊（山）、沈（阳）盘（山）公路纵横境内。距台安长途客运站约</w:t>
      </w:r>
      <w:r>
        <w:rPr>
          <w:rFonts w:hint="eastAsia" w:ascii="华文中宋" w:hAnsi="华文中宋" w:cs="华文中宋"/>
          <w:sz w:val="24"/>
          <w:szCs w:val="24"/>
          <w:highlight w:val="none"/>
          <w:lang w:val="en-US" w:eastAsia="zh-CN"/>
        </w:rPr>
        <w:t>0.7</w:t>
      </w:r>
      <w:r>
        <w:rPr>
          <w:rFonts w:hint="eastAsia" w:ascii="华文中宋" w:hAnsi="华文中宋" w:eastAsia="华文中宋" w:cs="华文中宋"/>
          <w:sz w:val="24"/>
          <w:szCs w:val="24"/>
          <w:highlight w:val="none"/>
          <w:lang w:val="en-US" w:eastAsia="zh-CN"/>
        </w:rPr>
        <w:t>公里，</w:t>
      </w:r>
      <w:r>
        <w:rPr>
          <w:rFonts w:hint="eastAsia" w:ascii="华文中宋" w:hAnsi="华文中宋" w:eastAsia="华文中宋" w:cs="华文中宋"/>
          <w:sz w:val="24"/>
          <w:szCs w:val="24"/>
          <w:highlight w:val="none"/>
          <w:lang w:eastAsia="zh-CN"/>
        </w:rPr>
        <w:t>北距台安火车站约</w:t>
      </w:r>
      <w:r>
        <w:rPr>
          <w:rFonts w:hint="eastAsia" w:ascii="华文中宋" w:hAnsi="华文中宋" w:cs="华文中宋"/>
          <w:sz w:val="24"/>
          <w:szCs w:val="24"/>
          <w:highlight w:val="none"/>
          <w:lang w:val="en-US" w:eastAsia="zh-CN"/>
        </w:rPr>
        <w:t>6</w:t>
      </w:r>
      <w:r>
        <w:rPr>
          <w:rFonts w:hint="eastAsia" w:ascii="华文中宋" w:hAnsi="华文中宋" w:eastAsia="华文中宋" w:cs="华文中宋"/>
          <w:sz w:val="24"/>
          <w:szCs w:val="24"/>
          <w:highlight w:val="none"/>
          <w:lang w:val="en-US" w:eastAsia="zh-CN"/>
        </w:rPr>
        <w:t>公里，</w:t>
      </w:r>
      <w:r>
        <w:rPr>
          <w:rFonts w:hint="eastAsia" w:ascii="华文中宋" w:hAnsi="华文中宋" w:eastAsia="华文中宋" w:cs="华文中宋"/>
          <w:sz w:val="24"/>
          <w:szCs w:val="24"/>
          <w:highlight w:val="none"/>
          <w:lang w:eastAsia="zh-CN"/>
        </w:rPr>
        <w:t>西北距大虎山火车站3</w:t>
      </w:r>
      <w:r>
        <w:rPr>
          <w:rFonts w:hint="eastAsia" w:ascii="华文中宋" w:hAnsi="华文中宋" w:eastAsia="华文中宋" w:cs="华文中宋"/>
          <w:sz w:val="24"/>
          <w:szCs w:val="24"/>
          <w:highlight w:val="none"/>
          <w:lang w:val="en-US" w:eastAsia="zh-CN"/>
        </w:rPr>
        <w:t>5</w:t>
      </w:r>
      <w:r>
        <w:rPr>
          <w:rFonts w:hint="eastAsia" w:ascii="华文中宋" w:hAnsi="华文中宋" w:eastAsia="华文中宋" w:cs="华文中宋"/>
          <w:sz w:val="24"/>
          <w:szCs w:val="24"/>
          <w:highlight w:val="none"/>
          <w:lang w:eastAsia="zh-CN"/>
        </w:rPr>
        <w:t>公里，西南距</w:t>
      </w:r>
      <w:r>
        <w:rPr>
          <w:rFonts w:hint="eastAsia" w:ascii="华文中宋" w:hAnsi="华文中宋" w:eastAsia="华文中宋" w:cs="华文中宋"/>
          <w:sz w:val="24"/>
          <w:szCs w:val="24"/>
          <w:highlight w:val="none"/>
          <w:lang w:eastAsia="zh-CN"/>
        </w:rPr>
        <w:fldChar w:fldCharType="begin"/>
      </w:r>
      <w:r>
        <w:rPr>
          <w:rFonts w:hint="eastAsia" w:ascii="华文中宋" w:hAnsi="华文中宋" w:eastAsia="华文中宋" w:cs="华文中宋"/>
          <w:sz w:val="24"/>
          <w:szCs w:val="24"/>
          <w:highlight w:val="none"/>
          <w:lang w:eastAsia="zh-CN"/>
        </w:rPr>
        <w:instrText xml:space="preserve"> HYPERLINK "https://baike.baidu.com/item/%E7%9B%98%E9%94%A6%E7%81%AB%E8%BD%A6%E7%AB%99/684984" \t "https://baike.baidu.com/item/%E5%8F%B0%E5%AE%89%E9%95%87/_blank" </w:instrText>
      </w:r>
      <w:r>
        <w:rPr>
          <w:rFonts w:hint="eastAsia" w:ascii="华文中宋" w:hAnsi="华文中宋" w:eastAsia="华文中宋" w:cs="华文中宋"/>
          <w:sz w:val="24"/>
          <w:szCs w:val="24"/>
          <w:highlight w:val="none"/>
          <w:lang w:eastAsia="zh-CN"/>
        </w:rPr>
        <w:fldChar w:fldCharType="separate"/>
      </w:r>
      <w:r>
        <w:rPr>
          <w:rFonts w:hint="eastAsia" w:ascii="华文中宋" w:hAnsi="华文中宋" w:eastAsia="华文中宋" w:cs="华文中宋"/>
          <w:sz w:val="24"/>
          <w:szCs w:val="24"/>
          <w:highlight w:val="none"/>
          <w:lang w:eastAsia="zh-CN"/>
        </w:rPr>
        <w:t>盘锦火车站</w:t>
      </w:r>
      <w:r>
        <w:rPr>
          <w:rFonts w:hint="eastAsia" w:ascii="华文中宋" w:hAnsi="华文中宋" w:eastAsia="华文中宋" w:cs="华文中宋"/>
          <w:sz w:val="24"/>
          <w:szCs w:val="24"/>
          <w:highlight w:val="none"/>
          <w:lang w:eastAsia="zh-CN"/>
        </w:rPr>
        <w:fldChar w:fldCharType="end"/>
      </w:r>
      <w:r>
        <w:rPr>
          <w:rFonts w:hint="eastAsia" w:ascii="华文中宋" w:hAnsi="华文中宋" w:eastAsia="华文中宋" w:cs="华文中宋"/>
          <w:sz w:val="24"/>
          <w:szCs w:val="24"/>
          <w:highlight w:val="none"/>
          <w:lang w:eastAsia="zh-CN"/>
        </w:rPr>
        <w:t>4</w:t>
      </w:r>
      <w:r>
        <w:rPr>
          <w:rFonts w:hint="eastAsia" w:ascii="华文中宋" w:hAnsi="华文中宋" w:eastAsia="华文中宋" w:cs="华文中宋"/>
          <w:sz w:val="24"/>
          <w:szCs w:val="24"/>
          <w:highlight w:val="none"/>
          <w:lang w:val="en-US" w:eastAsia="zh-CN"/>
        </w:rPr>
        <w:t>0</w:t>
      </w:r>
      <w:r>
        <w:rPr>
          <w:rFonts w:hint="eastAsia" w:ascii="华文中宋" w:hAnsi="华文中宋" w:eastAsia="华文中宋" w:cs="华文中宋"/>
          <w:sz w:val="24"/>
          <w:szCs w:val="24"/>
          <w:highlight w:val="none"/>
          <w:lang w:eastAsia="zh-CN"/>
        </w:rPr>
        <w:t>公里。</w:t>
      </w:r>
    </w:p>
    <w:p>
      <w:pPr>
        <w:keepLines w:val="0"/>
        <w:pageBreakBefore w:val="0"/>
        <w:widowControl w:val="0"/>
        <w:kinsoku/>
        <w:wordWrap/>
        <w:overflowPunct/>
        <w:topLinePunct w:val="0"/>
        <w:bidi w:val="0"/>
        <w:snapToGrid/>
        <w:spacing w:line="480" w:lineRule="exact"/>
        <w:ind w:firstLine="31680"/>
        <w:rPr>
          <w:rFonts w:hint="eastAsia" w:ascii="华文中宋" w:hAnsi="华文中宋" w:eastAsia="华文中宋" w:cs="华文中宋"/>
          <w:lang w:val="en-US" w:eastAsia="zh-CN"/>
        </w:rPr>
      </w:pPr>
      <w:r>
        <w:rPr>
          <w:rFonts w:hint="eastAsia" w:ascii="华文中宋" w:hAnsi="华文中宋" w:cs="华文中宋"/>
          <w:sz w:val="24"/>
          <w:szCs w:val="24"/>
          <w:lang w:val="en-US" w:eastAsia="zh-CN"/>
        </w:rPr>
        <w:t>3</w:t>
      </w:r>
      <w:r>
        <w:rPr>
          <w:rFonts w:hint="eastAsia" w:ascii="华文中宋" w:hAnsi="华文中宋" w:eastAsia="华文中宋" w:cs="华文中宋"/>
          <w:sz w:val="24"/>
          <w:szCs w:val="24"/>
          <w:lang w:eastAsia="zh-CN"/>
        </w:rPr>
        <w:t>、</w:t>
      </w:r>
      <w:r>
        <w:rPr>
          <w:rFonts w:hint="eastAsia" w:ascii="华文中宋" w:hAnsi="华文中宋" w:eastAsia="华文中宋" w:cs="华文中宋"/>
          <w:lang w:val="en-US" w:eastAsia="zh-CN"/>
        </w:rPr>
        <w:t>外部配套设施：</w:t>
      </w:r>
    </w:p>
    <w:p>
      <w:pPr>
        <w:keepLines w:val="0"/>
        <w:pageBreakBefore w:val="0"/>
        <w:widowControl w:val="0"/>
        <w:kinsoku/>
        <w:wordWrap/>
        <w:overflowPunct/>
        <w:topLinePunct w:val="0"/>
        <w:bidi w:val="0"/>
        <w:snapToGrid/>
        <w:spacing w:line="480" w:lineRule="exact"/>
        <w:ind w:firstLine="31680"/>
        <w:rPr>
          <w:rFonts w:hint="default"/>
          <w:lang w:val="en-US" w:eastAsia="zh-CN"/>
        </w:rPr>
      </w:pPr>
      <w:r>
        <w:rPr>
          <w:rFonts w:hint="eastAsia"/>
          <w:lang w:val="en-US" w:eastAsia="zh-CN"/>
        </w:rPr>
        <w:t>（1）基础设施</w:t>
      </w:r>
    </w:p>
    <w:p>
      <w:pPr>
        <w:keepLines w:val="0"/>
        <w:pageBreakBefore w:val="0"/>
        <w:widowControl w:val="0"/>
        <w:kinsoku/>
        <w:wordWrap/>
        <w:overflowPunct/>
        <w:topLinePunct w:val="0"/>
        <w:bidi w:val="0"/>
        <w:snapToGrid/>
        <w:spacing w:line="480" w:lineRule="exact"/>
        <w:ind w:firstLine="31680"/>
        <w:rPr>
          <w:rFonts w:hint="eastAsia"/>
          <w:lang w:val="en-US" w:eastAsia="zh-CN"/>
        </w:rPr>
      </w:pPr>
      <w:r>
        <w:rPr>
          <w:rFonts w:hint="eastAsia"/>
          <w:lang w:val="en-US" w:eastAsia="zh-CN"/>
        </w:rPr>
        <w:t>估价对象所在区域为城市中心区，区域内供电、供水、排水、通信、燃气和有线电视与市政管网连接，可保证日常使用，基础设施较完备。</w:t>
      </w:r>
    </w:p>
    <w:p>
      <w:pPr>
        <w:keepLines w:val="0"/>
        <w:pageBreakBefore w:val="0"/>
        <w:widowControl w:val="0"/>
        <w:kinsoku/>
        <w:wordWrap/>
        <w:overflowPunct/>
        <w:topLinePunct w:val="0"/>
        <w:bidi w:val="0"/>
        <w:snapToGrid/>
        <w:spacing w:line="480" w:lineRule="exact"/>
        <w:ind w:firstLine="31680"/>
        <w:rPr>
          <w:rFonts w:hint="eastAsia"/>
          <w:lang w:val="en-US" w:eastAsia="zh-CN"/>
        </w:rPr>
      </w:pPr>
      <w:r>
        <w:rPr>
          <w:rFonts w:hint="eastAsia"/>
          <w:lang w:val="en-US" w:eastAsia="zh-CN"/>
        </w:rPr>
        <w:t>（2）</w:t>
      </w:r>
      <w:r>
        <w:rPr>
          <w:rFonts w:hint="eastAsia"/>
          <w:lang w:eastAsia="zh-CN"/>
        </w:rPr>
        <w:t>公共服务设施</w:t>
      </w:r>
    </w:p>
    <w:p>
      <w:pPr>
        <w:keepLines w:val="0"/>
        <w:pageBreakBefore w:val="0"/>
        <w:widowControl w:val="0"/>
        <w:kinsoku/>
        <w:wordWrap/>
        <w:overflowPunct/>
        <w:topLinePunct w:val="0"/>
        <w:bidi w:val="0"/>
        <w:snapToGrid/>
        <w:spacing w:line="480" w:lineRule="exact"/>
        <w:ind w:firstLine="31680"/>
        <w:rPr>
          <w:rFonts w:hint="eastAsia" w:ascii="华文中宋" w:hAnsi="华文中宋" w:eastAsia="华文中宋" w:cs="华文中宋"/>
          <w:lang w:val="en-US" w:eastAsia="zh-CN"/>
        </w:rPr>
      </w:pPr>
      <w:r>
        <w:rPr>
          <w:rFonts w:hint="eastAsia"/>
          <w:lang w:val="en-US" w:eastAsia="zh-CN"/>
        </w:rPr>
        <w:t>估价对象所在区域有台安一中、台安二高及课外辅导机构等教育机构；区域有台安中医院、台安县恩良医院等医疗设施；区域无体育场馆，社区内主要以健身器材为主；其他公共服务设施较优。</w:t>
      </w:r>
    </w:p>
    <w:p>
      <w:pPr>
        <w:keepLines w:val="0"/>
        <w:pageBreakBefore w:val="0"/>
        <w:widowControl w:val="0"/>
        <w:numPr>
          <w:ilvl w:val="0"/>
          <w:numId w:val="0"/>
        </w:numPr>
        <w:kinsoku/>
        <w:wordWrap/>
        <w:overflowPunct/>
        <w:topLinePunct w:val="0"/>
        <w:autoSpaceDE/>
        <w:autoSpaceDN/>
        <w:bidi w:val="0"/>
        <w:snapToGrid/>
        <w:spacing w:line="480" w:lineRule="exact"/>
        <w:ind w:leftChars="200" w:right="0" w:rightChars="0"/>
        <w:outlineLvl w:val="1"/>
        <w:rPr>
          <w:rFonts w:hint="eastAsia" w:ascii="华文中宋" w:hAnsi="华文中宋" w:eastAsia="华文中宋" w:cs="华文中宋"/>
          <w:sz w:val="24"/>
          <w:szCs w:val="24"/>
        </w:rPr>
      </w:pPr>
      <w:r>
        <w:rPr>
          <w:rFonts w:hint="eastAsia" w:ascii="华文中宋" w:hAnsi="华文中宋" w:cs="华文中宋"/>
          <w:sz w:val="24"/>
          <w:szCs w:val="24"/>
          <w:lang w:val="en-US" w:eastAsia="zh-CN"/>
        </w:rPr>
        <w:t>4</w:t>
      </w:r>
      <w:r>
        <w:rPr>
          <w:rFonts w:hint="eastAsia" w:ascii="华文中宋" w:hAnsi="华文中宋" w:eastAsia="华文中宋" w:cs="华文中宋"/>
          <w:sz w:val="24"/>
          <w:szCs w:val="24"/>
          <w:lang w:val="en-US" w:eastAsia="zh-CN"/>
        </w:rPr>
        <w:t>、</w:t>
      </w:r>
      <w:r>
        <w:rPr>
          <w:rFonts w:hint="eastAsia" w:ascii="华文中宋" w:hAnsi="华文中宋" w:eastAsia="华文中宋" w:cs="华文中宋"/>
          <w:sz w:val="24"/>
          <w:szCs w:val="24"/>
        </w:rPr>
        <w:t>周围环境与景观</w:t>
      </w:r>
    </w:p>
    <w:p>
      <w:pPr>
        <w:keepLines w:val="0"/>
        <w:pageBreakBefore w:val="0"/>
        <w:widowControl w:val="0"/>
        <w:kinsoku/>
        <w:wordWrap/>
        <w:overflowPunct/>
        <w:topLinePunct w:val="0"/>
        <w:autoSpaceDE/>
        <w:autoSpaceDN/>
        <w:bidi w:val="0"/>
        <w:snapToGrid/>
        <w:spacing w:line="480" w:lineRule="exact"/>
        <w:ind w:left="0" w:leftChars="0" w:right="0" w:rightChars="0" w:firstLine="480" w:firstLineChars="200"/>
        <w:outlineLvl w:val="1"/>
        <w:rPr>
          <w:rFonts w:hint="eastAsia"/>
          <w:lang w:val="en-US" w:eastAsia="zh-CN"/>
        </w:rPr>
      </w:pPr>
      <w:r>
        <w:rPr>
          <w:rFonts w:hint="eastAsia"/>
          <w:lang w:val="en-US" w:eastAsia="zh-CN"/>
        </w:rPr>
        <w:t>（1）自然环境：</w:t>
      </w:r>
      <w:r>
        <w:rPr>
          <w:rFonts w:hint="eastAsia" w:ascii="华文中宋" w:hAnsi="华文中宋" w:eastAsia="华文中宋" w:cs="华文中宋"/>
          <w:sz w:val="24"/>
          <w:szCs w:val="24"/>
          <w:lang w:val="en-US" w:eastAsia="zh-CN"/>
        </w:rPr>
        <w:t>台安县地处东北平原南端，辽河三角洲腹地。全境从东北向南倾斜，比降为万分之一，平均海拔6至7米，县城地面海拔7.9米。最高在桓洞镇祁木村，海拔23.6米；最低在韭菜台镇杨塘村，海拔2米左右。台安属近河床与河谷的平原地段，为河流中下游冲积物淤积而成的现代冲积层，其地层构造均为细岩相。由于常年受到流水营力的作用，形成典型的冲积地形。台安县属于暖温带大陆性季风气候，秋、冬季西伯利亚一带的寒冷干燥空气南侵，春、夏季海洋的温暖湿润气团北移，台安处于其过渡带，气候变化比较大。其特点是：四季分明，雨热同期，干冷同季，温度适宜，光照丰富，春季风大，冬季寒冷。</w:t>
      </w:r>
      <w:r>
        <w:rPr>
          <w:rFonts w:hint="eastAsia" w:ascii="华文中宋" w:hAnsi="华文中宋" w:cs="华文中宋"/>
          <w:sz w:val="24"/>
          <w:szCs w:val="24"/>
          <w:lang w:val="en-US" w:eastAsia="zh-CN"/>
        </w:rPr>
        <w:t>委估对象所在区域</w:t>
      </w:r>
      <w:r>
        <w:rPr>
          <w:rFonts w:hint="eastAsia"/>
          <w:lang w:val="en-US" w:eastAsia="zh-CN"/>
        </w:rPr>
        <w:t>有轻微的空气、噪声、辐射、水、固体废物等污染。</w:t>
      </w:r>
    </w:p>
    <w:p>
      <w:pPr>
        <w:keepLines w:val="0"/>
        <w:pageBreakBefore w:val="0"/>
        <w:widowControl w:val="0"/>
        <w:numPr>
          <w:ilvl w:val="0"/>
          <w:numId w:val="0"/>
        </w:numPr>
        <w:kinsoku/>
        <w:wordWrap/>
        <w:overflowPunct/>
        <w:topLinePunct w:val="0"/>
        <w:autoSpaceDE/>
        <w:autoSpaceDN/>
        <w:bidi w:val="0"/>
        <w:snapToGrid/>
        <w:spacing w:line="480" w:lineRule="exact"/>
        <w:ind w:leftChars="200" w:right="0" w:rightChars="0"/>
        <w:outlineLvl w:val="1"/>
        <w:rPr>
          <w:rFonts w:hint="eastAsia"/>
          <w:lang w:val="en-US" w:eastAsia="zh-CN"/>
        </w:rPr>
      </w:pPr>
      <w:r>
        <w:rPr>
          <w:rFonts w:hint="eastAsia"/>
          <w:lang w:val="en-US" w:eastAsia="zh-CN"/>
        </w:rPr>
        <w:t>（2）人文环境：估价对象所在区域居民受教育程度较高，治安状况较好；</w:t>
      </w:r>
    </w:p>
    <w:p>
      <w:pPr>
        <w:keepLines w:val="0"/>
        <w:pageBreakBefore w:val="0"/>
        <w:widowControl w:val="0"/>
        <w:kinsoku/>
        <w:wordWrap/>
        <w:overflowPunct/>
        <w:topLinePunct w:val="0"/>
        <w:autoSpaceDE/>
        <w:autoSpaceDN/>
        <w:bidi w:val="0"/>
        <w:snapToGrid/>
        <w:spacing w:line="480" w:lineRule="atLeast"/>
        <w:ind w:left="0" w:leftChars="0" w:right="0" w:rightChars="0" w:firstLine="480" w:firstLineChars="200"/>
        <w:outlineLvl w:val="1"/>
        <w:rPr>
          <w:rFonts w:hint="eastAsia" w:ascii="华文中宋" w:hAnsi="华文中宋" w:eastAsia="华文中宋" w:cs="华文中宋"/>
          <w:lang w:val="en-US" w:eastAsia="zh-CN"/>
        </w:rPr>
      </w:pPr>
      <w:r>
        <w:rPr>
          <w:rFonts w:hint="eastAsia"/>
          <w:lang w:val="en-US" w:eastAsia="zh-CN"/>
        </w:rPr>
        <w:t>（3）景观：估价对象周边景观一般。</w:t>
      </w:r>
    </w:p>
    <w:p>
      <w:pPr>
        <w:keepLines w:val="0"/>
        <w:pageBreakBefore w:val="0"/>
        <w:widowControl w:val="0"/>
        <w:kinsoku/>
        <w:wordWrap/>
        <w:overflowPunct/>
        <w:topLinePunct w:val="0"/>
        <w:bidi w:val="0"/>
        <w:snapToGrid/>
        <w:spacing w:line="480" w:lineRule="atLeast"/>
        <w:ind w:firstLine="31680"/>
        <w:rPr>
          <w:rFonts w:hint="eastAsia" w:ascii="华文中宋" w:hAnsi="华文中宋" w:eastAsia="华文中宋" w:cs="华文中宋"/>
        </w:rPr>
      </w:pPr>
      <w:r>
        <w:rPr>
          <w:rFonts w:hint="eastAsia" w:ascii="华文中宋" w:hAnsi="华文中宋" w:eastAsia="华文中宋" w:cs="华文中宋"/>
        </w:rPr>
        <w:t>(二)实物状况</w:t>
      </w:r>
    </w:p>
    <w:tbl>
      <w:tblPr>
        <w:tblStyle w:val="16"/>
        <w:tblW w:w="9256" w:type="dxa"/>
        <w:jc w:val="center"/>
        <w:shd w:val="clear" w:color="auto" w:fill="auto"/>
        <w:tblLayout w:type="fixed"/>
        <w:tblCellMar>
          <w:top w:w="0" w:type="dxa"/>
          <w:left w:w="0" w:type="dxa"/>
          <w:bottom w:w="0" w:type="dxa"/>
          <w:right w:w="0" w:type="dxa"/>
        </w:tblCellMar>
      </w:tblPr>
      <w:tblGrid>
        <w:gridCol w:w="621"/>
        <w:gridCol w:w="780"/>
        <w:gridCol w:w="990"/>
        <w:gridCol w:w="1035"/>
        <w:gridCol w:w="855"/>
        <w:gridCol w:w="870"/>
        <w:gridCol w:w="930"/>
        <w:gridCol w:w="915"/>
        <w:gridCol w:w="885"/>
        <w:gridCol w:w="1375"/>
      </w:tblGrid>
      <w:tr>
        <w:tblPrEx>
          <w:shd w:val="clear" w:color="auto" w:fill="auto"/>
          <w:tblCellMar>
            <w:top w:w="0" w:type="dxa"/>
            <w:left w:w="0" w:type="dxa"/>
            <w:bottom w:w="0" w:type="dxa"/>
            <w:right w:w="0" w:type="dxa"/>
          </w:tblCellMar>
        </w:tblPrEx>
        <w:trPr>
          <w:trHeight w:val="269" w:hRule="atLeast"/>
          <w:jc w:val="center"/>
        </w:trPr>
        <w:tc>
          <w:tcPr>
            <w:tcW w:w="621" w:type="dxa"/>
            <w:tcBorders>
              <w:top w:val="single" w:color="000000" w:sz="4" w:space="0"/>
              <w:left w:val="single" w:color="000000" w:sz="4" w:space="0"/>
              <w:bottom w:val="nil"/>
              <w:right w:val="nil"/>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序号</w:t>
            </w:r>
          </w:p>
        </w:tc>
        <w:tc>
          <w:tcPr>
            <w:tcW w:w="780" w:type="dxa"/>
            <w:tcBorders>
              <w:top w:val="single" w:color="000000" w:sz="4" w:space="0"/>
              <w:left w:val="single" w:color="000000" w:sz="4" w:space="0"/>
              <w:bottom w:val="nil"/>
              <w:right w:val="nil"/>
            </w:tcBorders>
            <w:shd w:val="clear" w:color="auto" w:fill="auto"/>
            <w:noWrap/>
            <w:tcMar>
              <w:top w:w="15" w:type="dxa"/>
              <w:left w:w="15" w:type="dxa"/>
              <w:right w:w="15" w:type="dxa"/>
            </w:tcMar>
            <w:vAlign w:val="center"/>
          </w:tcPr>
          <w:p>
            <w:pPr>
              <w:keepNext w:val="0"/>
              <w:keepLines w:val="0"/>
              <w:widowControl/>
              <w:suppressLineNumbers w:val="0"/>
              <w:ind w:left="0" w:leftChars="0" w:firstLine="200" w:firstLineChars="10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名称</w:t>
            </w:r>
          </w:p>
        </w:tc>
        <w:tc>
          <w:tcPr>
            <w:tcW w:w="99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原产权人</w:t>
            </w:r>
          </w:p>
        </w:tc>
        <w:tc>
          <w:tcPr>
            <w:tcW w:w="103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200" w:firstLineChars="10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规模m</w:t>
            </w:r>
            <w:r>
              <w:rPr>
                <w:rFonts w:hint="eastAsia" w:ascii="宋体" w:hAnsi="宋体" w:eastAsia="宋体" w:cs="宋体"/>
                <w:i w:val="0"/>
                <w:color w:val="000000"/>
                <w:kern w:val="0"/>
                <w:sz w:val="20"/>
                <w:szCs w:val="20"/>
                <w:u w:val="none"/>
                <w:vertAlign w:val="superscript"/>
                <w:lang w:val="en-US" w:eastAsia="zh-CN" w:bidi="ar"/>
              </w:rPr>
              <w:t>2</w:t>
            </w:r>
          </w:p>
        </w:tc>
        <w:tc>
          <w:tcPr>
            <w:tcW w:w="85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建筑结构</w:t>
            </w:r>
          </w:p>
        </w:tc>
        <w:tc>
          <w:tcPr>
            <w:tcW w:w="87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200" w:firstLineChars="10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装修</w:t>
            </w:r>
          </w:p>
        </w:tc>
        <w:tc>
          <w:tcPr>
            <w:tcW w:w="93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200" w:firstLineChars="10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层高</w:t>
            </w:r>
          </w:p>
        </w:tc>
        <w:tc>
          <w:tcPr>
            <w:tcW w:w="91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空间布局</w:t>
            </w:r>
          </w:p>
        </w:tc>
        <w:tc>
          <w:tcPr>
            <w:tcW w:w="88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建筑功能</w:t>
            </w:r>
          </w:p>
        </w:tc>
        <w:tc>
          <w:tcPr>
            <w:tcW w:w="137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200" w:firstLineChars="10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新旧程度</w:t>
            </w:r>
          </w:p>
        </w:tc>
      </w:tr>
      <w:tr>
        <w:tblPrEx>
          <w:tblCellMar>
            <w:top w:w="0" w:type="dxa"/>
            <w:left w:w="0" w:type="dxa"/>
            <w:bottom w:w="0" w:type="dxa"/>
            <w:right w:w="0" w:type="dxa"/>
          </w:tblCellMar>
        </w:tblPrEx>
        <w:trPr>
          <w:trHeight w:val="138"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住宅</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梁士兴</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73.72</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框架</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毛坯</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约2.8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较合理</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民用</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2012年</w:t>
            </w:r>
          </w:p>
        </w:tc>
      </w:tr>
      <w:tr>
        <w:tblPrEx>
          <w:tblCellMar>
            <w:top w:w="0" w:type="dxa"/>
            <w:left w:w="0" w:type="dxa"/>
            <w:bottom w:w="0" w:type="dxa"/>
            <w:right w:w="0" w:type="dxa"/>
          </w:tblCellMar>
        </w:tblPrEx>
        <w:trPr>
          <w:trHeight w:val="138"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住宅</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梁士兴</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73.72</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框架</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毛坯</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约2.8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较合理</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民用</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2012年</w:t>
            </w:r>
          </w:p>
        </w:tc>
      </w:tr>
      <w:tr>
        <w:tblPrEx>
          <w:tblCellMar>
            <w:top w:w="0" w:type="dxa"/>
            <w:left w:w="0" w:type="dxa"/>
            <w:bottom w:w="0" w:type="dxa"/>
            <w:right w:w="0" w:type="dxa"/>
          </w:tblCellMar>
        </w:tblPrEx>
        <w:trPr>
          <w:trHeight w:val="138"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住宅</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梁士兴</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73.72</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框架</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毛坯</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约2.8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较合理</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民用</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2012年</w:t>
            </w:r>
          </w:p>
        </w:tc>
      </w:tr>
      <w:tr>
        <w:tblPrEx>
          <w:tblCellMar>
            <w:top w:w="0" w:type="dxa"/>
            <w:left w:w="0" w:type="dxa"/>
            <w:bottom w:w="0" w:type="dxa"/>
            <w:right w:w="0" w:type="dxa"/>
          </w:tblCellMar>
        </w:tblPrEx>
        <w:trPr>
          <w:trHeight w:val="138"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住宅</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梁士兴</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74.33</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框架</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毛坯</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约2.8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较合理</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民用</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2012年</w:t>
            </w:r>
          </w:p>
        </w:tc>
      </w:tr>
      <w:tr>
        <w:tblPrEx>
          <w:tblCellMar>
            <w:top w:w="0" w:type="dxa"/>
            <w:left w:w="0" w:type="dxa"/>
            <w:bottom w:w="0" w:type="dxa"/>
            <w:right w:w="0" w:type="dxa"/>
          </w:tblCellMar>
        </w:tblPrEx>
        <w:trPr>
          <w:trHeight w:val="138"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住宅</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梁士兴</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73.72</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框架</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毛坯</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约2.8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较合理</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民用</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2012年</w:t>
            </w:r>
          </w:p>
        </w:tc>
      </w:tr>
      <w:tr>
        <w:tblPrEx>
          <w:tblCellMar>
            <w:top w:w="0" w:type="dxa"/>
            <w:left w:w="0" w:type="dxa"/>
            <w:bottom w:w="0" w:type="dxa"/>
            <w:right w:w="0" w:type="dxa"/>
          </w:tblCellMar>
        </w:tblPrEx>
        <w:trPr>
          <w:trHeight w:val="138"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6</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住宅</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梁士兴</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73.72</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框架</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毛坯</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约2.8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较合理</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民用</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2012年</w:t>
            </w:r>
          </w:p>
        </w:tc>
      </w:tr>
      <w:tr>
        <w:tblPrEx>
          <w:tblCellMar>
            <w:top w:w="0" w:type="dxa"/>
            <w:left w:w="0" w:type="dxa"/>
            <w:bottom w:w="0" w:type="dxa"/>
            <w:right w:w="0" w:type="dxa"/>
          </w:tblCellMar>
        </w:tblPrEx>
        <w:trPr>
          <w:trHeight w:val="138"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7</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住宅</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梁士兴</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73.72</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框架</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毛坯</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约2.8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较合理</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民用</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2012年</w:t>
            </w:r>
          </w:p>
        </w:tc>
      </w:tr>
      <w:tr>
        <w:tblPrEx>
          <w:tblCellMar>
            <w:top w:w="0" w:type="dxa"/>
            <w:left w:w="0" w:type="dxa"/>
            <w:bottom w:w="0" w:type="dxa"/>
            <w:right w:w="0" w:type="dxa"/>
          </w:tblCellMar>
        </w:tblPrEx>
        <w:trPr>
          <w:trHeight w:val="138"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8</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住宅</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梁士兴</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74.33</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框架</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毛坯</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约2.8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较合理</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民用</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2012年</w:t>
            </w:r>
          </w:p>
        </w:tc>
      </w:tr>
      <w:tr>
        <w:tblPrEx>
          <w:tblCellMar>
            <w:top w:w="0" w:type="dxa"/>
            <w:left w:w="0" w:type="dxa"/>
            <w:bottom w:w="0" w:type="dxa"/>
            <w:right w:w="0" w:type="dxa"/>
          </w:tblCellMar>
        </w:tblPrEx>
        <w:trPr>
          <w:trHeight w:val="138"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9</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住宅</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梁士兴</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73.72</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框架</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毛坯</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约2.8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较合理</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民用</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2012年</w:t>
            </w:r>
          </w:p>
        </w:tc>
      </w:tr>
      <w:tr>
        <w:tblPrEx>
          <w:tblCellMar>
            <w:top w:w="0" w:type="dxa"/>
            <w:left w:w="0" w:type="dxa"/>
            <w:bottom w:w="0" w:type="dxa"/>
            <w:right w:w="0" w:type="dxa"/>
          </w:tblCellMar>
        </w:tblPrEx>
        <w:trPr>
          <w:trHeight w:val="138"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住宅</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梁士兴</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73.72</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框架</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毛坯</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约2.8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较合理</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民用</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2012年</w:t>
            </w:r>
          </w:p>
        </w:tc>
      </w:tr>
      <w:tr>
        <w:tblPrEx>
          <w:tblCellMar>
            <w:top w:w="0" w:type="dxa"/>
            <w:left w:w="0" w:type="dxa"/>
            <w:bottom w:w="0" w:type="dxa"/>
            <w:right w:w="0" w:type="dxa"/>
          </w:tblCellMar>
        </w:tblPrEx>
        <w:trPr>
          <w:trHeight w:val="138"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11</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住宅</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梁士兴</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73.72</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框架</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毛坯</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约2.8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较合理</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民用</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2012年</w:t>
            </w:r>
          </w:p>
        </w:tc>
      </w:tr>
      <w:tr>
        <w:tblPrEx>
          <w:tblCellMar>
            <w:top w:w="0" w:type="dxa"/>
            <w:left w:w="0" w:type="dxa"/>
            <w:bottom w:w="0" w:type="dxa"/>
            <w:right w:w="0" w:type="dxa"/>
          </w:tblCellMar>
        </w:tblPrEx>
        <w:trPr>
          <w:trHeight w:val="138"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12</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住宅</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梁士兴</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74.33</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框架</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毛坯</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约2.8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较合理</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民用</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2012年</w:t>
            </w:r>
          </w:p>
        </w:tc>
      </w:tr>
      <w:tr>
        <w:tblPrEx>
          <w:tblCellMar>
            <w:top w:w="0" w:type="dxa"/>
            <w:left w:w="0" w:type="dxa"/>
            <w:bottom w:w="0" w:type="dxa"/>
            <w:right w:w="0" w:type="dxa"/>
          </w:tblCellMar>
        </w:tblPrEx>
        <w:trPr>
          <w:trHeight w:val="138"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13</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住宅</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梁士兴</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76.47</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框架</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毛坯</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约2.8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较合理</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民用</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2012年</w:t>
            </w:r>
          </w:p>
        </w:tc>
      </w:tr>
      <w:tr>
        <w:tblPrEx>
          <w:tblCellMar>
            <w:top w:w="0" w:type="dxa"/>
            <w:left w:w="0" w:type="dxa"/>
            <w:bottom w:w="0" w:type="dxa"/>
            <w:right w:w="0" w:type="dxa"/>
          </w:tblCellMar>
        </w:tblPrEx>
        <w:trPr>
          <w:trHeight w:val="138"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14</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住宅</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梁士兴</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75.84</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框架</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毛坯</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约2.8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较合理</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民用</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2012年</w:t>
            </w:r>
          </w:p>
        </w:tc>
      </w:tr>
      <w:tr>
        <w:tblPrEx>
          <w:tblCellMar>
            <w:top w:w="0" w:type="dxa"/>
            <w:left w:w="0" w:type="dxa"/>
            <w:bottom w:w="0" w:type="dxa"/>
            <w:right w:w="0" w:type="dxa"/>
          </w:tblCellMar>
        </w:tblPrEx>
        <w:trPr>
          <w:trHeight w:val="138"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15</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住宅</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梁士兴</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76.47</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框架</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毛坯</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约2.8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较合理</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民用</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2012年</w:t>
            </w:r>
          </w:p>
        </w:tc>
      </w:tr>
      <w:tr>
        <w:tblPrEx>
          <w:tblCellMar>
            <w:top w:w="0" w:type="dxa"/>
            <w:left w:w="0" w:type="dxa"/>
            <w:bottom w:w="0" w:type="dxa"/>
            <w:right w:w="0" w:type="dxa"/>
          </w:tblCellMar>
        </w:tblPrEx>
        <w:trPr>
          <w:trHeight w:val="138"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住宅</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梁士兴</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75.84</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框架</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毛坯</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约2.8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较合理</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民用</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2012年</w:t>
            </w:r>
          </w:p>
        </w:tc>
      </w:tr>
      <w:tr>
        <w:tblPrEx>
          <w:tblCellMar>
            <w:top w:w="0" w:type="dxa"/>
            <w:left w:w="0" w:type="dxa"/>
            <w:bottom w:w="0" w:type="dxa"/>
            <w:right w:w="0" w:type="dxa"/>
          </w:tblCellMar>
        </w:tblPrEx>
        <w:trPr>
          <w:trHeight w:val="138"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17</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住宅</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梁士兴</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76.47</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框架</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毛坯</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约2.8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较合理</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民用</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2012年</w:t>
            </w:r>
          </w:p>
        </w:tc>
      </w:tr>
      <w:tr>
        <w:tblPrEx>
          <w:tblCellMar>
            <w:top w:w="0" w:type="dxa"/>
            <w:left w:w="0" w:type="dxa"/>
            <w:bottom w:w="0" w:type="dxa"/>
            <w:right w:w="0" w:type="dxa"/>
          </w:tblCellMar>
        </w:tblPrEx>
        <w:trPr>
          <w:trHeight w:val="138"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18</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住宅</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梁士兴</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75.84</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框架</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毛坯</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约2.8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较合理</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民用</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2012年</w:t>
            </w:r>
          </w:p>
        </w:tc>
      </w:tr>
      <w:tr>
        <w:tblPrEx>
          <w:tblCellMar>
            <w:top w:w="0" w:type="dxa"/>
            <w:left w:w="0" w:type="dxa"/>
            <w:bottom w:w="0" w:type="dxa"/>
            <w:right w:w="0" w:type="dxa"/>
          </w:tblCellMar>
        </w:tblPrEx>
        <w:trPr>
          <w:trHeight w:val="138"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19</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住宅</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梁士兴</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79.27</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框架</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毛坯</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约2.8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较合理</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民用</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2012年</w:t>
            </w:r>
          </w:p>
        </w:tc>
      </w:tr>
      <w:tr>
        <w:tblPrEx>
          <w:tblCellMar>
            <w:top w:w="0" w:type="dxa"/>
            <w:left w:w="0" w:type="dxa"/>
            <w:bottom w:w="0" w:type="dxa"/>
            <w:right w:w="0" w:type="dxa"/>
          </w:tblCellMar>
        </w:tblPrEx>
        <w:trPr>
          <w:trHeight w:val="138"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住宅</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梁士兴</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78.67</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框架</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毛坯</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约2.8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较合理</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民用</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2012年</w:t>
            </w:r>
          </w:p>
        </w:tc>
      </w:tr>
      <w:tr>
        <w:tblPrEx>
          <w:tblCellMar>
            <w:top w:w="0" w:type="dxa"/>
            <w:left w:w="0" w:type="dxa"/>
            <w:bottom w:w="0" w:type="dxa"/>
            <w:right w:w="0" w:type="dxa"/>
          </w:tblCellMar>
        </w:tblPrEx>
        <w:trPr>
          <w:trHeight w:val="138"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21</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住宅</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梁士兴</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78.67</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框架</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毛坯</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约2.8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较合理</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民用</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2012年</w:t>
            </w:r>
          </w:p>
        </w:tc>
      </w:tr>
      <w:tr>
        <w:tblPrEx>
          <w:tblCellMar>
            <w:top w:w="0" w:type="dxa"/>
            <w:left w:w="0" w:type="dxa"/>
            <w:bottom w:w="0" w:type="dxa"/>
            <w:right w:w="0" w:type="dxa"/>
          </w:tblCellMar>
        </w:tblPrEx>
        <w:trPr>
          <w:trHeight w:val="138"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22</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住宅</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梁士兴</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79.27</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框架</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毛坯</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约2.8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较合理</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民用</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2012年</w:t>
            </w:r>
          </w:p>
        </w:tc>
      </w:tr>
      <w:tr>
        <w:tblPrEx>
          <w:tblCellMar>
            <w:top w:w="0" w:type="dxa"/>
            <w:left w:w="0" w:type="dxa"/>
            <w:bottom w:w="0" w:type="dxa"/>
            <w:right w:w="0" w:type="dxa"/>
          </w:tblCellMar>
        </w:tblPrEx>
        <w:trPr>
          <w:trHeight w:val="138"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23</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住宅</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梁士兴</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79.27</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框架</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毛坯</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约2.8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较合理</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民用</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2012年</w:t>
            </w:r>
          </w:p>
        </w:tc>
      </w:tr>
      <w:tr>
        <w:tblPrEx>
          <w:tblCellMar>
            <w:top w:w="0" w:type="dxa"/>
            <w:left w:w="0" w:type="dxa"/>
            <w:bottom w:w="0" w:type="dxa"/>
            <w:right w:w="0" w:type="dxa"/>
          </w:tblCellMar>
        </w:tblPrEx>
        <w:trPr>
          <w:trHeight w:val="138"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24</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住宅</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梁士兴</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78.67</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框架</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毛坯</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约2.8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较合理</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民用</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2012年</w:t>
            </w:r>
          </w:p>
        </w:tc>
      </w:tr>
      <w:tr>
        <w:tblPrEx>
          <w:tblCellMar>
            <w:top w:w="0" w:type="dxa"/>
            <w:left w:w="0" w:type="dxa"/>
            <w:bottom w:w="0" w:type="dxa"/>
            <w:right w:w="0" w:type="dxa"/>
          </w:tblCellMar>
        </w:tblPrEx>
        <w:trPr>
          <w:trHeight w:val="138"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25</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住宅</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梁士兴</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78.67</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框架</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毛坯</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约2.8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较合理</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民用</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2012年</w:t>
            </w:r>
          </w:p>
        </w:tc>
      </w:tr>
      <w:tr>
        <w:tblPrEx>
          <w:tblCellMar>
            <w:top w:w="0" w:type="dxa"/>
            <w:left w:w="0" w:type="dxa"/>
            <w:bottom w:w="0" w:type="dxa"/>
            <w:right w:w="0" w:type="dxa"/>
          </w:tblCellMar>
        </w:tblPrEx>
        <w:trPr>
          <w:trHeight w:val="138"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26</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住宅</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梁士兴</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78.67</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框架</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毛坯</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约2.8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较合理</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民用</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2012年</w:t>
            </w:r>
          </w:p>
        </w:tc>
      </w:tr>
      <w:tr>
        <w:tblPrEx>
          <w:tblCellMar>
            <w:top w:w="0" w:type="dxa"/>
            <w:left w:w="0" w:type="dxa"/>
            <w:bottom w:w="0" w:type="dxa"/>
            <w:right w:w="0" w:type="dxa"/>
          </w:tblCellMar>
        </w:tblPrEx>
        <w:trPr>
          <w:trHeight w:val="138"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27</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住宅</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梁士兴</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78.67</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框架</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毛坯</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约2.8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较合理</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民用</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2012年</w:t>
            </w:r>
          </w:p>
        </w:tc>
      </w:tr>
      <w:tr>
        <w:tblPrEx>
          <w:tblCellMar>
            <w:top w:w="0" w:type="dxa"/>
            <w:left w:w="0" w:type="dxa"/>
            <w:bottom w:w="0" w:type="dxa"/>
            <w:right w:w="0" w:type="dxa"/>
          </w:tblCellMar>
        </w:tblPrEx>
        <w:trPr>
          <w:trHeight w:val="138"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28</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住宅</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梁士兴</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79.27</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框架</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毛坯</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约2.8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较合理</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民用</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2012年</w:t>
            </w:r>
          </w:p>
        </w:tc>
      </w:tr>
      <w:tr>
        <w:tblPrEx>
          <w:tblCellMar>
            <w:top w:w="0" w:type="dxa"/>
            <w:left w:w="0" w:type="dxa"/>
            <w:bottom w:w="0" w:type="dxa"/>
            <w:right w:w="0" w:type="dxa"/>
          </w:tblCellMar>
        </w:tblPrEx>
        <w:trPr>
          <w:trHeight w:val="138"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29</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住宅</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梁士兴</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79.58</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框架</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毛坯</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约2.8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较合理</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民用</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2012年</w:t>
            </w:r>
          </w:p>
        </w:tc>
      </w:tr>
      <w:tr>
        <w:tblPrEx>
          <w:tblCellMar>
            <w:top w:w="0" w:type="dxa"/>
            <w:left w:w="0" w:type="dxa"/>
            <w:bottom w:w="0" w:type="dxa"/>
            <w:right w:w="0" w:type="dxa"/>
          </w:tblCellMar>
        </w:tblPrEx>
        <w:trPr>
          <w:trHeight w:val="138"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30</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住宅</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梁士兴</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78.97</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框架</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毛坯</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约2.8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较合理</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民用</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2012年</w:t>
            </w:r>
          </w:p>
        </w:tc>
      </w:tr>
      <w:tr>
        <w:tblPrEx>
          <w:tblCellMar>
            <w:top w:w="0" w:type="dxa"/>
            <w:left w:w="0" w:type="dxa"/>
            <w:bottom w:w="0" w:type="dxa"/>
            <w:right w:w="0" w:type="dxa"/>
          </w:tblCellMar>
        </w:tblPrEx>
        <w:trPr>
          <w:trHeight w:val="138"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31</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住宅</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梁士兴</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78.97</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框架</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毛坯</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约2.8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较合理</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民用</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2012年</w:t>
            </w:r>
          </w:p>
        </w:tc>
      </w:tr>
      <w:tr>
        <w:tblPrEx>
          <w:tblCellMar>
            <w:top w:w="0" w:type="dxa"/>
            <w:left w:w="0" w:type="dxa"/>
            <w:bottom w:w="0" w:type="dxa"/>
            <w:right w:w="0" w:type="dxa"/>
          </w:tblCellMar>
        </w:tblPrEx>
        <w:trPr>
          <w:trHeight w:val="138"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32</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住宅</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梁士兴</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78.58</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框架</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毛坯</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约2.8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较合理</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民用</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2012年</w:t>
            </w:r>
          </w:p>
        </w:tc>
      </w:tr>
      <w:tr>
        <w:tblPrEx>
          <w:tblCellMar>
            <w:top w:w="0" w:type="dxa"/>
            <w:left w:w="0" w:type="dxa"/>
            <w:bottom w:w="0" w:type="dxa"/>
            <w:right w:w="0" w:type="dxa"/>
          </w:tblCellMar>
        </w:tblPrEx>
        <w:trPr>
          <w:trHeight w:val="138"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33</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车库</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梁士兴</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18.47</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框架</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毛坯</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约2.8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较合理</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民用</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2012年</w:t>
            </w:r>
          </w:p>
        </w:tc>
      </w:tr>
      <w:tr>
        <w:tblPrEx>
          <w:tblCellMar>
            <w:top w:w="0" w:type="dxa"/>
            <w:left w:w="0" w:type="dxa"/>
            <w:bottom w:w="0" w:type="dxa"/>
            <w:right w:w="0" w:type="dxa"/>
          </w:tblCellMar>
        </w:tblPrEx>
        <w:trPr>
          <w:trHeight w:val="138"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34</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仓库</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梁士兴</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8.51</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框架</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毛坯</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约2.8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较合理</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民用</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2012年</w:t>
            </w:r>
          </w:p>
        </w:tc>
      </w:tr>
      <w:tr>
        <w:tblPrEx>
          <w:tblCellMar>
            <w:top w:w="0" w:type="dxa"/>
            <w:left w:w="0" w:type="dxa"/>
            <w:bottom w:w="0" w:type="dxa"/>
            <w:right w:w="0" w:type="dxa"/>
          </w:tblCellMar>
        </w:tblPrEx>
        <w:trPr>
          <w:trHeight w:val="138"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35</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仓库</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梁士兴</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8.51</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框架</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毛坯</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约2.8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较合理</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民用</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2012年</w:t>
            </w:r>
          </w:p>
        </w:tc>
      </w:tr>
      <w:tr>
        <w:tblPrEx>
          <w:tblCellMar>
            <w:top w:w="0" w:type="dxa"/>
            <w:left w:w="0" w:type="dxa"/>
            <w:bottom w:w="0" w:type="dxa"/>
            <w:right w:w="0" w:type="dxa"/>
          </w:tblCellMar>
        </w:tblPrEx>
        <w:trPr>
          <w:trHeight w:val="138"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36</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车库</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梁士兴</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18.47</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框架</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毛坯</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约2.8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较合理</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民用</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2012年</w:t>
            </w:r>
          </w:p>
        </w:tc>
      </w:tr>
      <w:tr>
        <w:tblPrEx>
          <w:tblCellMar>
            <w:top w:w="0" w:type="dxa"/>
            <w:left w:w="0" w:type="dxa"/>
            <w:bottom w:w="0" w:type="dxa"/>
            <w:right w:w="0" w:type="dxa"/>
          </w:tblCellMar>
        </w:tblPrEx>
        <w:trPr>
          <w:trHeight w:val="138"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37</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车库</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梁士兴</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19.99</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框架</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毛坯</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约2.8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较合理</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民用</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2012年</w:t>
            </w:r>
          </w:p>
        </w:tc>
      </w:tr>
      <w:tr>
        <w:tblPrEx>
          <w:tblCellMar>
            <w:top w:w="0" w:type="dxa"/>
            <w:left w:w="0" w:type="dxa"/>
            <w:bottom w:w="0" w:type="dxa"/>
            <w:right w:w="0" w:type="dxa"/>
          </w:tblCellMar>
        </w:tblPrEx>
        <w:trPr>
          <w:trHeight w:val="138"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38</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车库</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梁士兴</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19.99</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框架</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毛坯</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约2.8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较合理</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民用</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2012年</w:t>
            </w:r>
          </w:p>
        </w:tc>
      </w:tr>
      <w:tr>
        <w:tblPrEx>
          <w:tblCellMar>
            <w:top w:w="0" w:type="dxa"/>
            <w:left w:w="0" w:type="dxa"/>
            <w:bottom w:w="0" w:type="dxa"/>
            <w:right w:w="0" w:type="dxa"/>
          </w:tblCellMar>
        </w:tblPrEx>
        <w:trPr>
          <w:trHeight w:val="138"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39</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车库</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梁士兴</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19.99</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框架</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毛坯</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约2.8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较合理</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民用</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2012年</w:t>
            </w:r>
          </w:p>
        </w:tc>
      </w:tr>
      <w:tr>
        <w:tblPrEx>
          <w:tblCellMar>
            <w:top w:w="0" w:type="dxa"/>
            <w:left w:w="0" w:type="dxa"/>
            <w:bottom w:w="0" w:type="dxa"/>
            <w:right w:w="0" w:type="dxa"/>
          </w:tblCellMar>
        </w:tblPrEx>
        <w:trPr>
          <w:trHeight w:val="138"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40</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车库</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梁士兴</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31.32</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框架</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毛坯</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约2.8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较合理</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民用</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2012年</w:t>
            </w:r>
          </w:p>
        </w:tc>
      </w:tr>
      <w:tr>
        <w:tblPrEx>
          <w:tblCellMar>
            <w:top w:w="0" w:type="dxa"/>
            <w:left w:w="0" w:type="dxa"/>
            <w:bottom w:w="0" w:type="dxa"/>
            <w:right w:w="0" w:type="dxa"/>
          </w:tblCellMar>
        </w:tblPrEx>
        <w:trPr>
          <w:trHeight w:val="138"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41</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车库</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梁士兴</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18.47</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框架</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毛坯</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约2.8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较合理</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民用</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2012年</w:t>
            </w:r>
          </w:p>
        </w:tc>
      </w:tr>
      <w:tr>
        <w:tblPrEx>
          <w:tblCellMar>
            <w:top w:w="0" w:type="dxa"/>
            <w:left w:w="0" w:type="dxa"/>
            <w:bottom w:w="0" w:type="dxa"/>
            <w:right w:w="0" w:type="dxa"/>
          </w:tblCellMar>
        </w:tblPrEx>
        <w:trPr>
          <w:trHeight w:val="138"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42</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仓库</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梁士兴</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8.51</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框架</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毛坯</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约2.8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较合理</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民用</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2012年</w:t>
            </w:r>
          </w:p>
        </w:tc>
      </w:tr>
      <w:tr>
        <w:tblPrEx>
          <w:tblCellMar>
            <w:top w:w="0" w:type="dxa"/>
            <w:left w:w="0" w:type="dxa"/>
            <w:bottom w:w="0" w:type="dxa"/>
            <w:right w:w="0" w:type="dxa"/>
          </w:tblCellMar>
        </w:tblPrEx>
        <w:trPr>
          <w:trHeight w:val="138"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43</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仓库</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梁士兴</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8.51</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框架</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毛坯</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约2.8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较合理</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民用</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2012年</w:t>
            </w:r>
          </w:p>
        </w:tc>
      </w:tr>
      <w:tr>
        <w:tblPrEx>
          <w:tblCellMar>
            <w:top w:w="0" w:type="dxa"/>
            <w:left w:w="0" w:type="dxa"/>
            <w:bottom w:w="0" w:type="dxa"/>
            <w:right w:w="0" w:type="dxa"/>
          </w:tblCellMar>
        </w:tblPrEx>
        <w:trPr>
          <w:trHeight w:val="138"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44</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车库</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梁士兴</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18.47</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框架</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毛坯</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约2.8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较合理</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民用</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2012年</w:t>
            </w:r>
          </w:p>
        </w:tc>
      </w:tr>
      <w:tr>
        <w:tblPrEx>
          <w:tblCellMar>
            <w:top w:w="0" w:type="dxa"/>
            <w:left w:w="0" w:type="dxa"/>
            <w:bottom w:w="0" w:type="dxa"/>
            <w:right w:w="0" w:type="dxa"/>
          </w:tblCellMar>
        </w:tblPrEx>
        <w:trPr>
          <w:trHeight w:val="138"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45</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车库</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梁士兴</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18.47</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框架</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毛坯</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约2.8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较合理</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民用</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2012年</w:t>
            </w:r>
          </w:p>
        </w:tc>
      </w:tr>
      <w:tr>
        <w:tblPrEx>
          <w:tblCellMar>
            <w:top w:w="0" w:type="dxa"/>
            <w:left w:w="0" w:type="dxa"/>
            <w:bottom w:w="0" w:type="dxa"/>
            <w:right w:w="0" w:type="dxa"/>
          </w:tblCellMar>
        </w:tblPrEx>
        <w:trPr>
          <w:trHeight w:val="138"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46</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仓库</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梁士兴</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8.51</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框架</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毛坯</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约2.8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较合理</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民用</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2012年</w:t>
            </w:r>
          </w:p>
        </w:tc>
      </w:tr>
      <w:tr>
        <w:tblPrEx>
          <w:tblCellMar>
            <w:top w:w="0" w:type="dxa"/>
            <w:left w:w="0" w:type="dxa"/>
            <w:bottom w:w="0" w:type="dxa"/>
            <w:right w:w="0" w:type="dxa"/>
          </w:tblCellMar>
        </w:tblPrEx>
        <w:trPr>
          <w:trHeight w:val="138"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47</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车库</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梁士兴</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18.47</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框架</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毛坯</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约2.8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较合理</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民用</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2012年</w:t>
            </w:r>
          </w:p>
        </w:tc>
      </w:tr>
      <w:tr>
        <w:tblPrEx>
          <w:tblCellMar>
            <w:top w:w="0" w:type="dxa"/>
            <w:left w:w="0" w:type="dxa"/>
            <w:bottom w:w="0" w:type="dxa"/>
            <w:right w:w="0" w:type="dxa"/>
          </w:tblCellMar>
        </w:tblPrEx>
        <w:trPr>
          <w:trHeight w:val="138"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48</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车库</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梁士兴</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18.47</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框架</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毛坯</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约2.8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较合理</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民用</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2012年</w:t>
            </w:r>
          </w:p>
        </w:tc>
      </w:tr>
      <w:tr>
        <w:tblPrEx>
          <w:tblCellMar>
            <w:top w:w="0" w:type="dxa"/>
            <w:left w:w="0" w:type="dxa"/>
            <w:bottom w:w="0" w:type="dxa"/>
            <w:right w:w="0" w:type="dxa"/>
          </w:tblCellMar>
        </w:tblPrEx>
        <w:trPr>
          <w:trHeight w:val="138"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49</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车库</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梁士兴</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18.77</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框架</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毛坯</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约2.8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较合理</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民用</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2012年</w:t>
            </w:r>
          </w:p>
        </w:tc>
      </w:tr>
      <w:tr>
        <w:tblPrEx>
          <w:tblCellMar>
            <w:top w:w="0" w:type="dxa"/>
            <w:left w:w="0" w:type="dxa"/>
            <w:bottom w:w="0" w:type="dxa"/>
            <w:right w:w="0" w:type="dxa"/>
          </w:tblCellMar>
        </w:tblPrEx>
        <w:trPr>
          <w:trHeight w:val="138"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50</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车库</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梁士兴</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19.99</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框架</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毛坯</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约2.8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较合理</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民用</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2012年</w:t>
            </w:r>
          </w:p>
        </w:tc>
      </w:tr>
      <w:tr>
        <w:tblPrEx>
          <w:tblCellMar>
            <w:top w:w="0" w:type="dxa"/>
            <w:left w:w="0" w:type="dxa"/>
            <w:bottom w:w="0" w:type="dxa"/>
            <w:right w:w="0" w:type="dxa"/>
          </w:tblCellMar>
        </w:tblPrEx>
        <w:trPr>
          <w:trHeight w:val="138"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51</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车库</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梁士兴</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31.21</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框架</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毛坯</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约2.8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较合理</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民用</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2012年</w:t>
            </w:r>
          </w:p>
        </w:tc>
      </w:tr>
      <w:tr>
        <w:tblPrEx>
          <w:tblCellMar>
            <w:top w:w="0" w:type="dxa"/>
            <w:left w:w="0" w:type="dxa"/>
            <w:bottom w:w="0" w:type="dxa"/>
            <w:right w:w="0" w:type="dxa"/>
          </w:tblCellMar>
        </w:tblPrEx>
        <w:trPr>
          <w:trHeight w:val="138"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52</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车库</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梁士兴</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19.99</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框架</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毛坯</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约2.8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较合理</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民用</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2012年</w:t>
            </w:r>
          </w:p>
        </w:tc>
      </w:tr>
      <w:tr>
        <w:tblPrEx>
          <w:tblCellMar>
            <w:top w:w="0" w:type="dxa"/>
            <w:left w:w="0" w:type="dxa"/>
            <w:bottom w:w="0" w:type="dxa"/>
            <w:right w:w="0" w:type="dxa"/>
          </w:tblCellMar>
        </w:tblPrEx>
        <w:trPr>
          <w:trHeight w:val="138"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53</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车库</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梁士兴</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19.99</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框架</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毛坯</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约2.8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较合理</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民用</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2012年</w:t>
            </w:r>
          </w:p>
        </w:tc>
      </w:tr>
      <w:tr>
        <w:tblPrEx>
          <w:tblCellMar>
            <w:top w:w="0" w:type="dxa"/>
            <w:left w:w="0" w:type="dxa"/>
            <w:bottom w:w="0" w:type="dxa"/>
            <w:right w:w="0" w:type="dxa"/>
          </w:tblCellMar>
        </w:tblPrEx>
        <w:trPr>
          <w:trHeight w:val="138"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54</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车库</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梁士兴</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20.32</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框架</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毛坯</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约2.8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较合理</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民用</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2012年</w:t>
            </w:r>
          </w:p>
        </w:tc>
      </w:tr>
      <w:tr>
        <w:tblPrEx>
          <w:tblCellMar>
            <w:top w:w="0" w:type="dxa"/>
            <w:left w:w="0" w:type="dxa"/>
            <w:bottom w:w="0" w:type="dxa"/>
            <w:right w:w="0" w:type="dxa"/>
          </w:tblCellMar>
        </w:tblPrEx>
        <w:trPr>
          <w:trHeight w:val="138"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55</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车库</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梁士兴</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20.13</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框架</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毛坯</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约3.7</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较合理</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民用</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2012年</w:t>
            </w:r>
          </w:p>
        </w:tc>
      </w:tr>
      <w:tr>
        <w:tblPrEx>
          <w:tblCellMar>
            <w:top w:w="0" w:type="dxa"/>
            <w:left w:w="0" w:type="dxa"/>
            <w:bottom w:w="0" w:type="dxa"/>
            <w:right w:w="0" w:type="dxa"/>
          </w:tblCellMar>
        </w:tblPrEx>
        <w:trPr>
          <w:trHeight w:val="138"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56</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仓库</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梁士兴</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13.73</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框架</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毛坯</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约3.7</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较合理</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民用</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2012年</w:t>
            </w:r>
          </w:p>
        </w:tc>
      </w:tr>
      <w:tr>
        <w:tblPrEx>
          <w:tblCellMar>
            <w:top w:w="0" w:type="dxa"/>
            <w:left w:w="0" w:type="dxa"/>
            <w:bottom w:w="0" w:type="dxa"/>
            <w:right w:w="0" w:type="dxa"/>
          </w:tblCellMar>
        </w:tblPrEx>
        <w:trPr>
          <w:trHeight w:val="138"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57</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车库</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梁士兴</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20.13</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框架</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毛坯</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约3.7</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较合理</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民用</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2012年</w:t>
            </w:r>
          </w:p>
        </w:tc>
      </w:tr>
      <w:tr>
        <w:tblPrEx>
          <w:tblCellMar>
            <w:top w:w="0" w:type="dxa"/>
            <w:left w:w="0" w:type="dxa"/>
            <w:bottom w:w="0" w:type="dxa"/>
            <w:right w:w="0" w:type="dxa"/>
          </w:tblCellMar>
        </w:tblPrEx>
        <w:trPr>
          <w:trHeight w:val="138"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58</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车库</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梁士兴</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18.71</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框架</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毛坯</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约3.7</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较合理</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民用</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2012年</w:t>
            </w:r>
          </w:p>
        </w:tc>
      </w:tr>
      <w:tr>
        <w:tblPrEx>
          <w:tblCellMar>
            <w:top w:w="0" w:type="dxa"/>
            <w:left w:w="0" w:type="dxa"/>
            <w:bottom w:w="0" w:type="dxa"/>
            <w:right w:w="0" w:type="dxa"/>
          </w:tblCellMar>
        </w:tblPrEx>
        <w:trPr>
          <w:trHeight w:val="138"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59</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车库</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梁士兴</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19.61</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框架</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毛坯</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约2.8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较合理</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民用</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2012年</w:t>
            </w:r>
          </w:p>
        </w:tc>
      </w:tr>
      <w:tr>
        <w:tblPrEx>
          <w:tblCellMar>
            <w:top w:w="0" w:type="dxa"/>
            <w:left w:w="0" w:type="dxa"/>
            <w:bottom w:w="0" w:type="dxa"/>
            <w:right w:w="0" w:type="dxa"/>
          </w:tblCellMar>
        </w:tblPrEx>
        <w:trPr>
          <w:trHeight w:val="138"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60</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车库</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梁士兴</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19.61</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框架</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毛坯</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约2.8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较合理</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民用</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2012年</w:t>
            </w:r>
          </w:p>
        </w:tc>
      </w:tr>
      <w:tr>
        <w:tblPrEx>
          <w:tblCellMar>
            <w:top w:w="0" w:type="dxa"/>
            <w:left w:w="0" w:type="dxa"/>
            <w:bottom w:w="0" w:type="dxa"/>
            <w:right w:w="0" w:type="dxa"/>
          </w:tblCellMar>
        </w:tblPrEx>
        <w:trPr>
          <w:trHeight w:val="138"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61</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仓库</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梁士兴</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9.43</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框架</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毛坯</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约2.8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较合理</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民用</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2012年</w:t>
            </w:r>
          </w:p>
        </w:tc>
      </w:tr>
      <w:tr>
        <w:tblPrEx>
          <w:tblCellMar>
            <w:top w:w="0" w:type="dxa"/>
            <w:left w:w="0" w:type="dxa"/>
            <w:bottom w:w="0" w:type="dxa"/>
            <w:right w:w="0" w:type="dxa"/>
          </w:tblCellMar>
        </w:tblPrEx>
        <w:trPr>
          <w:trHeight w:val="138"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62</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车库</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梁士兴</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19.91</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框架</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毛坯</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约2.8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较合理</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民用</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2012年</w:t>
            </w:r>
          </w:p>
        </w:tc>
      </w:tr>
      <w:tr>
        <w:tblPrEx>
          <w:tblCellMar>
            <w:top w:w="0" w:type="dxa"/>
            <w:left w:w="0" w:type="dxa"/>
            <w:bottom w:w="0" w:type="dxa"/>
            <w:right w:w="0" w:type="dxa"/>
          </w:tblCellMar>
        </w:tblPrEx>
        <w:trPr>
          <w:trHeight w:val="138"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63</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车库</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梁士兴</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21.23</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框架</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毛坯</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约2.8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较合理</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民用</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2012年</w:t>
            </w:r>
          </w:p>
        </w:tc>
      </w:tr>
      <w:tr>
        <w:tblPrEx>
          <w:tblCellMar>
            <w:top w:w="0" w:type="dxa"/>
            <w:left w:w="0" w:type="dxa"/>
            <w:bottom w:w="0" w:type="dxa"/>
            <w:right w:w="0" w:type="dxa"/>
          </w:tblCellMar>
        </w:tblPrEx>
        <w:trPr>
          <w:trHeight w:val="138"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64</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车库</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梁士兴</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33.44</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框架</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毛坯</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约2.8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较合理</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民用</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2012年</w:t>
            </w:r>
          </w:p>
        </w:tc>
      </w:tr>
      <w:tr>
        <w:tblPrEx>
          <w:tblCellMar>
            <w:top w:w="0" w:type="dxa"/>
            <w:left w:w="0" w:type="dxa"/>
            <w:bottom w:w="0" w:type="dxa"/>
            <w:right w:w="0" w:type="dxa"/>
          </w:tblCellMar>
        </w:tblPrEx>
        <w:trPr>
          <w:trHeight w:val="138"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65</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车库</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梁士兴</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33.44</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框架</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毛坯</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约2.8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较合理</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民用</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2012年</w:t>
            </w:r>
          </w:p>
        </w:tc>
      </w:tr>
      <w:tr>
        <w:tblPrEx>
          <w:tblCellMar>
            <w:top w:w="0" w:type="dxa"/>
            <w:left w:w="0" w:type="dxa"/>
            <w:bottom w:w="0" w:type="dxa"/>
            <w:right w:w="0" w:type="dxa"/>
          </w:tblCellMar>
        </w:tblPrEx>
        <w:trPr>
          <w:trHeight w:val="138"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66</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车库</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梁士兴</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21.23</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框架</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毛坯</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约2.8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较合理</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民用</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2012年</w:t>
            </w:r>
          </w:p>
        </w:tc>
      </w:tr>
      <w:tr>
        <w:tblPrEx>
          <w:tblCellMar>
            <w:top w:w="0" w:type="dxa"/>
            <w:left w:w="0" w:type="dxa"/>
            <w:bottom w:w="0" w:type="dxa"/>
            <w:right w:w="0" w:type="dxa"/>
          </w:tblCellMar>
        </w:tblPrEx>
        <w:trPr>
          <w:trHeight w:val="138"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67</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车库</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梁士兴</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21.23</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框架</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毛坯</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约2.8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较合理</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民用</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2012年</w:t>
            </w:r>
          </w:p>
        </w:tc>
      </w:tr>
      <w:tr>
        <w:tblPrEx>
          <w:tblCellMar>
            <w:top w:w="0" w:type="dxa"/>
            <w:left w:w="0" w:type="dxa"/>
            <w:bottom w:w="0" w:type="dxa"/>
            <w:right w:w="0" w:type="dxa"/>
          </w:tblCellMar>
        </w:tblPrEx>
        <w:trPr>
          <w:trHeight w:val="138"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68</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车库</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梁士兴</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33.44</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框架</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毛坯</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约2.8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较合理</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民用</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2012年</w:t>
            </w:r>
          </w:p>
        </w:tc>
      </w:tr>
      <w:tr>
        <w:tblPrEx>
          <w:tblCellMar>
            <w:top w:w="0" w:type="dxa"/>
            <w:left w:w="0" w:type="dxa"/>
            <w:bottom w:w="0" w:type="dxa"/>
            <w:right w:w="0" w:type="dxa"/>
          </w:tblCellMar>
        </w:tblPrEx>
        <w:trPr>
          <w:trHeight w:val="138"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69</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车库</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梁士兴</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33.44</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框架</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毛坯</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约2.8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较合理</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民用</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2012年</w:t>
            </w:r>
          </w:p>
        </w:tc>
      </w:tr>
      <w:tr>
        <w:tblPrEx>
          <w:tblCellMar>
            <w:top w:w="0" w:type="dxa"/>
            <w:left w:w="0" w:type="dxa"/>
            <w:bottom w:w="0" w:type="dxa"/>
            <w:right w:w="0" w:type="dxa"/>
          </w:tblCellMar>
        </w:tblPrEx>
        <w:trPr>
          <w:trHeight w:val="138"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70</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车库</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梁士兴</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21.56</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框架</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毛坯</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约2.8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较合理</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民用</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2012年</w:t>
            </w:r>
          </w:p>
        </w:tc>
      </w:tr>
      <w:tr>
        <w:tblPrEx>
          <w:tblCellMar>
            <w:top w:w="0" w:type="dxa"/>
            <w:left w:w="0" w:type="dxa"/>
            <w:bottom w:w="0" w:type="dxa"/>
            <w:right w:w="0" w:type="dxa"/>
          </w:tblCellMar>
        </w:tblPrEx>
        <w:trPr>
          <w:trHeight w:val="138"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71</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车库</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梁士兴</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19.91</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框架</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毛坯</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约2.8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较合理</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民用</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2012年</w:t>
            </w:r>
          </w:p>
        </w:tc>
      </w:tr>
      <w:tr>
        <w:tblPrEx>
          <w:tblCellMar>
            <w:top w:w="0" w:type="dxa"/>
            <w:left w:w="0" w:type="dxa"/>
            <w:bottom w:w="0" w:type="dxa"/>
            <w:right w:w="0" w:type="dxa"/>
          </w:tblCellMar>
        </w:tblPrEx>
        <w:trPr>
          <w:trHeight w:val="138"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72</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车库</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梁士兴</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19.61</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框架</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毛坯</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约2.8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较合理</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民用</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2012年</w:t>
            </w:r>
          </w:p>
        </w:tc>
      </w:tr>
      <w:tr>
        <w:tblPrEx>
          <w:tblCellMar>
            <w:top w:w="0" w:type="dxa"/>
            <w:left w:w="0" w:type="dxa"/>
            <w:bottom w:w="0" w:type="dxa"/>
            <w:right w:w="0" w:type="dxa"/>
          </w:tblCellMar>
        </w:tblPrEx>
        <w:trPr>
          <w:trHeight w:val="138"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73</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仓库</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梁士兴</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9.43</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框架</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毛坯</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约2.8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较合理</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民用</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2012年</w:t>
            </w:r>
          </w:p>
        </w:tc>
      </w:tr>
      <w:tr>
        <w:tblPrEx>
          <w:tblCellMar>
            <w:top w:w="0" w:type="dxa"/>
            <w:left w:w="0" w:type="dxa"/>
            <w:bottom w:w="0" w:type="dxa"/>
            <w:right w:w="0" w:type="dxa"/>
          </w:tblCellMar>
        </w:tblPrEx>
        <w:trPr>
          <w:trHeight w:val="138"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74</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车库</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梁士兴</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19.61</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框架</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毛坯</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约2.8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较合理</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民用</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2012年</w:t>
            </w:r>
          </w:p>
        </w:tc>
      </w:tr>
      <w:tr>
        <w:tblPrEx>
          <w:tblCellMar>
            <w:top w:w="0" w:type="dxa"/>
            <w:left w:w="0" w:type="dxa"/>
            <w:bottom w:w="0" w:type="dxa"/>
            <w:right w:w="0" w:type="dxa"/>
          </w:tblCellMar>
        </w:tblPrEx>
        <w:trPr>
          <w:trHeight w:val="138"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75</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车库</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梁士兴</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19.61</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框架</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毛坯</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约2.8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较合理</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民用</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2012年</w:t>
            </w:r>
          </w:p>
        </w:tc>
      </w:tr>
      <w:tr>
        <w:tblPrEx>
          <w:tblCellMar>
            <w:top w:w="0" w:type="dxa"/>
            <w:left w:w="0" w:type="dxa"/>
            <w:bottom w:w="0" w:type="dxa"/>
            <w:right w:w="0" w:type="dxa"/>
          </w:tblCellMar>
        </w:tblPrEx>
        <w:trPr>
          <w:trHeight w:val="138"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76</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仓库</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梁士兴</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9.43</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框架</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毛坯</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约2.8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较合理</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民用</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2012年</w:t>
            </w:r>
          </w:p>
        </w:tc>
      </w:tr>
      <w:tr>
        <w:tblPrEx>
          <w:tblCellMar>
            <w:top w:w="0" w:type="dxa"/>
            <w:left w:w="0" w:type="dxa"/>
            <w:bottom w:w="0" w:type="dxa"/>
            <w:right w:w="0" w:type="dxa"/>
          </w:tblCellMar>
        </w:tblPrEx>
        <w:trPr>
          <w:trHeight w:val="138"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77</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仓库</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梁士兴</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9.43</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框架</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毛坯</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约2.8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较合理</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民用</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2012年</w:t>
            </w:r>
          </w:p>
        </w:tc>
      </w:tr>
      <w:tr>
        <w:tblPrEx>
          <w:tblCellMar>
            <w:top w:w="0" w:type="dxa"/>
            <w:left w:w="0" w:type="dxa"/>
            <w:bottom w:w="0" w:type="dxa"/>
            <w:right w:w="0" w:type="dxa"/>
          </w:tblCellMar>
        </w:tblPrEx>
        <w:trPr>
          <w:trHeight w:val="138"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78</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车库</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梁士兴</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19.91</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框架</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毛坯</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约2.8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较合理</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民用</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2012年</w:t>
            </w:r>
          </w:p>
        </w:tc>
      </w:tr>
      <w:tr>
        <w:tblPrEx>
          <w:tblCellMar>
            <w:top w:w="0" w:type="dxa"/>
            <w:left w:w="0" w:type="dxa"/>
            <w:bottom w:w="0" w:type="dxa"/>
            <w:right w:w="0" w:type="dxa"/>
          </w:tblCellMar>
        </w:tblPrEx>
        <w:trPr>
          <w:trHeight w:val="138"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79</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车库</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梁士兴</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33.44</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框架</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毛坯</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约2.8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较合理</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民用</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2012年</w:t>
            </w:r>
          </w:p>
        </w:tc>
      </w:tr>
      <w:tr>
        <w:tblPrEx>
          <w:tblCellMar>
            <w:top w:w="0" w:type="dxa"/>
            <w:left w:w="0" w:type="dxa"/>
            <w:bottom w:w="0" w:type="dxa"/>
            <w:right w:w="0" w:type="dxa"/>
          </w:tblCellMar>
        </w:tblPrEx>
        <w:trPr>
          <w:trHeight w:val="138"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80</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车库</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梁士兴</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33.44</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框架</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毛坯</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约2.8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较合理</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民用</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2012年</w:t>
            </w:r>
          </w:p>
        </w:tc>
      </w:tr>
      <w:tr>
        <w:tblPrEx>
          <w:tblCellMar>
            <w:top w:w="0" w:type="dxa"/>
            <w:left w:w="0" w:type="dxa"/>
            <w:bottom w:w="0" w:type="dxa"/>
            <w:right w:w="0" w:type="dxa"/>
          </w:tblCellMar>
        </w:tblPrEx>
        <w:trPr>
          <w:trHeight w:val="138"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81</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车库</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梁士兴</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33.44</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框架</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毛坯</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约2.8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较合理</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民用</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2012年</w:t>
            </w:r>
          </w:p>
        </w:tc>
      </w:tr>
      <w:tr>
        <w:tblPrEx>
          <w:tblCellMar>
            <w:top w:w="0" w:type="dxa"/>
            <w:left w:w="0" w:type="dxa"/>
            <w:bottom w:w="0" w:type="dxa"/>
            <w:right w:w="0" w:type="dxa"/>
          </w:tblCellMar>
        </w:tblPrEx>
        <w:trPr>
          <w:trHeight w:val="138"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82</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车库</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梁士兴</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21.56</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框架</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毛坯</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约2.8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较合理</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民用</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2012年</w:t>
            </w:r>
          </w:p>
        </w:tc>
      </w:tr>
      <w:tr>
        <w:tblPrEx>
          <w:tblCellMar>
            <w:top w:w="0" w:type="dxa"/>
            <w:left w:w="0" w:type="dxa"/>
            <w:bottom w:w="0" w:type="dxa"/>
            <w:right w:w="0" w:type="dxa"/>
          </w:tblCellMar>
        </w:tblPrEx>
        <w:trPr>
          <w:trHeight w:val="138"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83</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车库</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梁士兴</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20.07</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框架</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毛坯</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约2.8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较合理</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民用</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2012年</w:t>
            </w:r>
          </w:p>
        </w:tc>
      </w:tr>
      <w:tr>
        <w:tblPrEx>
          <w:tblCellMar>
            <w:top w:w="0" w:type="dxa"/>
            <w:left w:w="0" w:type="dxa"/>
            <w:bottom w:w="0" w:type="dxa"/>
            <w:right w:w="0" w:type="dxa"/>
          </w:tblCellMar>
        </w:tblPrEx>
        <w:trPr>
          <w:trHeight w:val="138"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84</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车库</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梁士兴</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19.77</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框架</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毛坯</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约2.8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较合理</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民用</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2012年</w:t>
            </w:r>
          </w:p>
        </w:tc>
      </w:tr>
      <w:tr>
        <w:tblPrEx>
          <w:tblCellMar>
            <w:top w:w="0" w:type="dxa"/>
            <w:left w:w="0" w:type="dxa"/>
            <w:bottom w:w="0" w:type="dxa"/>
            <w:right w:w="0" w:type="dxa"/>
          </w:tblCellMar>
        </w:tblPrEx>
        <w:trPr>
          <w:trHeight w:val="138"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85</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车库</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梁士兴</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19.77</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框架</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毛坯</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约2.8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较合理</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民用</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2012年</w:t>
            </w:r>
          </w:p>
        </w:tc>
      </w:tr>
      <w:tr>
        <w:tblPrEx>
          <w:tblCellMar>
            <w:top w:w="0" w:type="dxa"/>
            <w:left w:w="0" w:type="dxa"/>
            <w:bottom w:w="0" w:type="dxa"/>
            <w:right w:w="0" w:type="dxa"/>
          </w:tblCellMar>
        </w:tblPrEx>
        <w:trPr>
          <w:trHeight w:val="138"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86</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仓库</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梁士兴</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9.51</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框架</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毛坯</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约2.8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较合理</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民用</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2012年</w:t>
            </w:r>
          </w:p>
        </w:tc>
      </w:tr>
      <w:tr>
        <w:tblPrEx>
          <w:tblCellMar>
            <w:top w:w="0" w:type="dxa"/>
            <w:left w:w="0" w:type="dxa"/>
            <w:bottom w:w="0" w:type="dxa"/>
            <w:right w:w="0" w:type="dxa"/>
          </w:tblCellMar>
        </w:tblPrEx>
        <w:trPr>
          <w:trHeight w:val="138"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87</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仓库</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梁士兴</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9.51</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框架</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毛坯</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约2.8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较合理</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民用</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2012年</w:t>
            </w:r>
          </w:p>
        </w:tc>
      </w:tr>
      <w:tr>
        <w:tblPrEx>
          <w:tblCellMar>
            <w:top w:w="0" w:type="dxa"/>
            <w:left w:w="0" w:type="dxa"/>
            <w:bottom w:w="0" w:type="dxa"/>
            <w:right w:w="0" w:type="dxa"/>
          </w:tblCellMar>
        </w:tblPrEx>
        <w:trPr>
          <w:trHeight w:val="138"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88</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车库</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梁士兴</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20.07</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框架</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毛坯</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约2.8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较合理</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民用</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2012年</w:t>
            </w:r>
          </w:p>
        </w:tc>
      </w:tr>
      <w:tr>
        <w:tblPrEx>
          <w:tblCellMar>
            <w:top w:w="0" w:type="dxa"/>
            <w:left w:w="0" w:type="dxa"/>
            <w:bottom w:w="0" w:type="dxa"/>
            <w:right w:w="0" w:type="dxa"/>
          </w:tblCellMar>
        </w:tblPrEx>
        <w:trPr>
          <w:trHeight w:val="138"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89</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车库</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梁士兴</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21.40</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框架</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毛坯</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约2.8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较合理</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民用</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2012年</w:t>
            </w:r>
          </w:p>
        </w:tc>
      </w:tr>
      <w:tr>
        <w:tblPrEx>
          <w:tblCellMar>
            <w:top w:w="0" w:type="dxa"/>
            <w:left w:w="0" w:type="dxa"/>
            <w:bottom w:w="0" w:type="dxa"/>
            <w:right w:w="0" w:type="dxa"/>
          </w:tblCellMar>
        </w:tblPrEx>
        <w:trPr>
          <w:trHeight w:val="138"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90</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车库</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梁士兴</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33.56</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框架</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毛坯</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约2.8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较合理</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民用</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2012年</w:t>
            </w:r>
          </w:p>
        </w:tc>
      </w:tr>
      <w:tr>
        <w:tblPrEx>
          <w:tblCellMar>
            <w:top w:w="0" w:type="dxa"/>
            <w:left w:w="0" w:type="dxa"/>
            <w:bottom w:w="0" w:type="dxa"/>
            <w:right w:w="0" w:type="dxa"/>
          </w:tblCellMar>
        </w:tblPrEx>
        <w:trPr>
          <w:trHeight w:val="141"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91</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车库</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梁士兴</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21.73</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框架</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毛坯</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约2.8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较合理</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民用</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0" w:leftChars="0" w:firstLine="200" w:firstLineChars="10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2012年</w:t>
            </w:r>
          </w:p>
        </w:tc>
      </w:tr>
    </w:tbl>
    <w:p>
      <w:pPr>
        <w:keepLines w:val="0"/>
        <w:pageBreakBefore w:val="0"/>
        <w:widowControl w:val="0"/>
        <w:kinsoku/>
        <w:wordWrap/>
        <w:overflowPunct/>
        <w:topLinePunct w:val="0"/>
        <w:bidi w:val="0"/>
        <w:snapToGrid/>
        <w:spacing w:line="480" w:lineRule="atLeast"/>
        <w:ind w:firstLine="31680"/>
        <w:rPr>
          <w:rFonts w:hint="eastAsia" w:ascii="华文中宋" w:hAnsi="华文中宋" w:cs="华文中宋"/>
          <w:lang w:val="en-US" w:eastAsia="zh-CN"/>
        </w:rPr>
      </w:pPr>
      <w:r>
        <w:rPr>
          <w:rFonts w:hint="eastAsia"/>
          <w:lang w:val="en-US" w:eastAsia="zh-CN"/>
        </w:rPr>
        <w:t>1、</w:t>
      </w:r>
      <w:r>
        <w:rPr>
          <w:rFonts w:hint="eastAsia" w:ascii="华文中宋" w:hAnsi="华文中宋" w:eastAsia="华文中宋" w:cs="华文中宋"/>
          <w:lang w:val="en-US" w:eastAsia="zh-CN"/>
        </w:rPr>
        <w:t>设备设施</w:t>
      </w:r>
      <w:r>
        <w:rPr>
          <w:rFonts w:hint="eastAsia" w:ascii="华文中宋" w:hAnsi="华文中宋" w:cs="华文中宋"/>
          <w:lang w:val="en-US" w:eastAsia="zh-CN"/>
        </w:rPr>
        <w:t>：供暖、强电、弱电及消防等设施设备齐全；</w:t>
      </w:r>
    </w:p>
    <w:p>
      <w:pPr>
        <w:keepLines w:val="0"/>
        <w:pageBreakBefore w:val="0"/>
        <w:widowControl w:val="0"/>
        <w:kinsoku/>
        <w:wordWrap/>
        <w:overflowPunct/>
        <w:topLinePunct w:val="0"/>
        <w:bidi w:val="0"/>
        <w:snapToGrid/>
        <w:spacing w:line="480" w:lineRule="atLeast"/>
        <w:ind w:firstLine="31680"/>
        <w:rPr>
          <w:rFonts w:hint="eastAsia" w:ascii="华文中宋" w:hAnsi="华文中宋" w:cs="华文中宋"/>
          <w:lang w:val="en-US" w:eastAsia="zh-CN"/>
        </w:rPr>
      </w:pPr>
      <w:r>
        <w:rPr>
          <w:rFonts w:hint="eastAsia"/>
          <w:lang w:val="en-US" w:eastAsia="zh-CN"/>
        </w:rPr>
        <w:t>2、</w:t>
      </w:r>
      <w:r>
        <w:rPr>
          <w:rFonts w:hint="eastAsia" w:ascii="华文中宋" w:hAnsi="华文中宋" w:cs="华文中宋"/>
          <w:lang w:val="en-US" w:eastAsia="zh-CN"/>
        </w:rPr>
        <w:t>工程质量：结构完整，无明显沉降；</w:t>
      </w:r>
    </w:p>
    <w:p>
      <w:pPr>
        <w:keepLines w:val="0"/>
        <w:pageBreakBefore w:val="0"/>
        <w:widowControl w:val="0"/>
        <w:kinsoku/>
        <w:wordWrap/>
        <w:overflowPunct/>
        <w:topLinePunct w:val="0"/>
        <w:bidi w:val="0"/>
        <w:snapToGrid/>
        <w:spacing w:line="480" w:lineRule="atLeast"/>
        <w:ind w:firstLine="31680"/>
        <w:rPr>
          <w:rFonts w:hint="eastAsia" w:ascii="华文中宋" w:hAnsi="华文中宋" w:cs="华文中宋"/>
          <w:lang w:val="en-US" w:eastAsia="zh-CN"/>
        </w:rPr>
      </w:pPr>
      <w:r>
        <w:rPr>
          <w:rFonts w:hint="eastAsia"/>
          <w:lang w:val="en-US" w:eastAsia="zh-CN"/>
        </w:rPr>
        <w:t>3、</w:t>
      </w:r>
      <w:r>
        <w:rPr>
          <w:rFonts w:hint="eastAsia" w:ascii="华文中宋" w:hAnsi="华文中宋" w:cs="华文中宋"/>
          <w:lang w:val="en-US" w:eastAsia="zh-CN"/>
        </w:rPr>
        <w:t>外观：局部贴砖、局部涂料。</w:t>
      </w:r>
    </w:p>
    <w:p>
      <w:pPr>
        <w:keepLines w:val="0"/>
        <w:pageBreakBefore w:val="0"/>
        <w:widowControl w:val="0"/>
        <w:numPr>
          <w:ilvl w:val="0"/>
          <w:numId w:val="5"/>
        </w:numPr>
        <w:kinsoku/>
        <w:wordWrap/>
        <w:overflowPunct/>
        <w:topLinePunct w:val="0"/>
        <w:bidi w:val="0"/>
        <w:snapToGrid/>
        <w:spacing w:line="480" w:lineRule="atLeast"/>
        <w:ind w:left="0" w:leftChars="0" w:firstLine="480" w:firstLineChars="200"/>
        <w:rPr>
          <w:rFonts w:hint="eastAsia" w:ascii="华文中宋" w:hAnsi="华文中宋" w:eastAsia="华文中宋" w:cs="华文中宋"/>
          <w:lang w:eastAsia="zh-CN"/>
        </w:rPr>
      </w:pPr>
      <w:r>
        <w:rPr>
          <w:rFonts w:hint="eastAsia" w:ascii="华文中宋" w:hAnsi="华文中宋" w:eastAsia="华文中宋" w:cs="华文中宋"/>
          <w:lang w:eastAsia="zh-CN"/>
        </w:rPr>
        <w:t>权益状况</w:t>
      </w:r>
    </w:p>
    <w:p>
      <w:pPr>
        <w:keepLines w:val="0"/>
        <w:pageBreakBefore w:val="0"/>
        <w:widowControl w:val="0"/>
        <w:kinsoku/>
        <w:wordWrap/>
        <w:overflowPunct/>
        <w:topLinePunct w:val="0"/>
        <w:bidi w:val="0"/>
        <w:snapToGrid/>
        <w:spacing w:line="480" w:lineRule="exact"/>
        <w:ind w:firstLine="31680"/>
        <w:rPr>
          <w:rFonts w:hint="eastAsia"/>
          <w:lang w:val="en-US" w:eastAsia="zh-CN"/>
        </w:rPr>
      </w:pPr>
      <w:r>
        <w:rPr>
          <w:rFonts w:hint="eastAsia"/>
          <w:lang w:val="en-US" w:eastAsia="zh-CN"/>
        </w:rPr>
        <w:t>1、用途：现状用途为住宅、车库、仓库；</w:t>
      </w:r>
    </w:p>
    <w:p>
      <w:pPr>
        <w:keepLines w:val="0"/>
        <w:pageBreakBefore w:val="0"/>
        <w:widowControl w:val="0"/>
        <w:kinsoku/>
        <w:wordWrap/>
        <w:overflowPunct/>
        <w:topLinePunct w:val="0"/>
        <w:bidi w:val="0"/>
        <w:snapToGrid/>
        <w:spacing w:line="480" w:lineRule="exact"/>
        <w:ind w:firstLine="31680"/>
        <w:rPr>
          <w:rFonts w:hint="eastAsia"/>
          <w:lang w:val="en-US" w:eastAsia="zh-CN"/>
        </w:rPr>
      </w:pPr>
      <w:r>
        <w:rPr>
          <w:rFonts w:hint="eastAsia"/>
          <w:lang w:val="en-US" w:eastAsia="zh-CN"/>
        </w:rPr>
        <w:t>2、规划：未提供；</w:t>
      </w:r>
    </w:p>
    <w:p>
      <w:pPr>
        <w:keepLines w:val="0"/>
        <w:pageBreakBefore w:val="0"/>
        <w:widowControl w:val="0"/>
        <w:kinsoku/>
        <w:wordWrap/>
        <w:overflowPunct/>
        <w:topLinePunct w:val="0"/>
        <w:bidi w:val="0"/>
        <w:snapToGrid/>
        <w:spacing w:line="480" w:lineRule="exact"/>
        <w:ind w:firstLine="31680"/>
        <w:rPr>
          <w:rFonts w:hint="default"/>
          <w:highlight w:val="none"/>
          <w:lang w:val="en-US" w:eastAsia="zh-CN"/>
        </w:rPr>
      </w:pPr>
      <w:r>
        <w:rPr>
          <w:rFonts w:hint="eastAsia"/>
          <w:lang w:val="en-US" w:eastAsia="zh-CN"/>
        </w:rPr>
        <w:t>3、所有权</w:t>
      </w:r>
      <w:r>
        <w:rPr>
          <w:rFonts w:hint="eastAsia"/>
          <w:highlight w:val="none"/>
          <w:lang w:val="en-US" w:eastAsia="zh-CN"/>
        </w:rPr>
        <w:t>：原产权人为梁士兴；</w:t>
      </w:r>
    </w:p>
    <w:p>
      <w:pPr>
        <w:keepLines w:val="0"/>
        <w:pageBreakBefore w:val="0"/>
        <w:widowControl w:val="0"/>
        <w:kinsoku/>
        <w:wordWrap/>
        <w:overflowPunct/>
        <w:topLinePunct w:val="0"/>
        <w:bidi w:val="0"/>
        <w:snapToGrid/>
        <w:spacing w:line="480" w:lineRule="exact"/>
        <w:ind w:firstLine="31680"/>
        <w:rPr>
          <w:rFonts w:hint="eastAsia"/>
          <w:highlight w:val="none"/>
          <w:lang w:val="en-US" w:eastAsia="zh-CN"/>
        </w:rPr>
      </w:pPr>
      <w:r>
        <w:rPr>
          <w:rFonts w:hint="eastAsia"/>
          <w:highlight w:val="none"/>
          <w:lang w:val="en-US" w:eastAsia="zh-CN"/>
        </w:rPr>
        <w:t>4、土地使用权：未提供；</w:t>
      </w:r>
    </w:p>
    <w:p>
      <w:pPr>
        <w:keepLines w:val="0"/>
        <w:pageBreakBefore w:val="0"/>
        <w:widowControl w:val="0"/>
        <w:kinsoku/>
        <w:wordWrap/>
        <w:overflowPunct/>
        <w:topLinePunct w:val="0"/>
        <w:bidi w:val="0"/>
        <w:snapToGrid/>
        <w:spacing w:line="480" w:lineRule="exact"/>
        <w:ind w:firstLine="31680"/>
        <w:rPr>
          <w:rFonts w:hint="eastAsia"/>
          <w:lang w:val="en-US" w:eastAsia="zh-CN"/>
        </w:rPr>
      </w:pPr>
      <w:r>
        <w:rPr>
          <w:rFonts w:hint="eastAsia"/>
          <w:lang w:val="en-US" w:eastAsia="zh-CN"/>
        </w:rPr>
        <w:t>5、共有情况：未登记；</w:t>
      </w:r>
    </w:p>
    <w:p>
      <w:pPr>
        <w:keepLines w:val="0"/>
        <w:pageBreakBefore w:val="0"/>
        <w:widowControl w:val="0"/>
        <w:kinsoku/>
        <w:wordWrap/>
        <w:overflowPunct/>
        <w:topLinePunct w:val="0"/>
        <w:bidi w:val="0"/>
        <w:snapToGrid/>
        <w:spacing w:line="480" w:lineRule="exact"/>
        <w:ind w:firstLine="31680"/>
        <w:rPr>
          <w:rFonts w:hint="eastAsia"/>
          <w:lang w:val="en-US" w:eastAsia="zh-CN"/>
        </w:rPr>
      </w:pPr>
      <w:r>
        <w:rPr>
          <w:rFonts w:hint="eastAsia"/>
          <w:lang w:val="en-US" w:eastAsia="zh-CN"/>
        </w:rPr>
        <w:t>6、土地权利性质：未提供；</w:t>
      </w:r>
    </w:p>
    <w:p>
      <w:pPr>
        <w:keepLines w:val="0"/>
        <w:pageBreakBefore w:val="0"/>
        <w:widowControl w:val="0"/>
        <w:kinsoku/>
        <w:wordWrap/>
        <w:overflowPunct/>
        <w:topLinePunct w:val="0"/>
        <w:bidi w:val="0"/>
        <w:snapToGrid/>
        <w:spacing w:line="480" w:lineRule="exact"/>
        <w:ind w:firstLine="31680"/>
        <w:rPr>
          <w:rFonts w:hint="eastAsia"/>
          <w:lang w:val="en-US" w:eastAsia="zh-CN"/>
        </w:rPr>
      </w:pPr>
      <w:r>
        <w:rPr>
          <w:rFonts w:hint="eastAsia"/>
          <w:lang w:val="en-US" w:eastAsia="zh-CN"/>
        </w:rPr>
        <w:t>7、权利类型：未提供；</w:t>
      </w:r>
    </w:p>
    <w:p>
      <w:pPr>
        <w:keepLines w:val="0"/>
        <w:pageBreakBefore w:val="0"/>
        <w:widowControl w:val="0"/>
        <w:kinsoku/>
        <w:wordWrap/>
        <w:overflowPunct/>
        <w:topLinePunct w:val="0"/>
        <w:bidi w:val="0"/>
        <w:snapToGrid/>
        <w:spacing w:line="480" w:lineRule="exact"/>
        <w:ind w:firstLine="31680"/>
        <w:rPr>
          <w:rFonts w:hint="default"/>
          <w:lang w:val="en-US" w:eastAsia="zh-CN"/>
        </w:rPr>
      </w:pPr>
      <w:r>
        <w:rPr>
          <w:rFonts w:hint="eastAsia"/>
          <w:lang w:val="en-US" w:eastAsia="zh-CN"/>
        </w:rPr>
        <w:t>8、使用期限：未提供；</w:t>
      </w:r>
    </w:p>
    <w:p>
      <w:pPr>
        <w:keepLines w:val="0"/>
        <w:pageBreakBefore w:val="0"/>
        <w:widowControl w:val="0"/>
        <w:kinsoku/>
        <w:wordWrap/>
        <w:overflowPunct/>
        <w:topLinePunct w:val="0"/>
        <w:bidi w:val="0"/>
        <w:snapToGrid/>
        <w:spacing w:line="480" w:lineRule="exact"/>
        <w:rPr>
          <w:rFonts w:hint="eastAsia"/>
          <w:lang w:eastAsia="zh-CN"/>
        </w:rPr>
      </w:pPr>
      <w:r>
        <w:rPr>
          <w:rFonts w:hint="eastAsia"/>
          <w:lang w:val="en-US" w:eastAsia="zh-CN"/>
        </w:rPr>
        <w:t>9</w:t>
      </w:r>
      <w:r>
        <w:rPr>
          <w:rFonts w:hint="eastAsia"/>
          <w:lang w:eastAsia="zh-CN"/>
        </w:rPr>
        <w:t>、用益物权设立情况：根据估价委托人提供的相关资料，委估对象未设立用益物权；</w:t>
      </w:r>
    </w:p>
    <w:p>
      <w:pPr>
        <w:keepLines w:val="0"/>
        <w:pageBreakBefore w:val="0"/>
        <w:widowControl w:val="0"/>
        <w:kinsoku/>
        <w:wordWrap/>
        <w:overflowPunct/>
        <w:topLinePunct w:val="0"/>
        <w:bidi w:val="0"/>
        <w:snapToGrid/>
        <w:spacing w:line="480" w:lineRule="exact"/>
        <w:rPr>
          <w:rFonts w:hint="eastAsia"/>
          <w:lang w:eastAsia="zh-CN"/>
        </w:rPr>
      </w:pPr>
      <w:r>
        <w:rPr>
          <w:rFonts w:hint="eastAsia"/>
          <w:lang w:val="en-US" w:eastAsia="zh-CN"/>
        </w:rPr>
        <w:t>10</w:t>
      </w:r>
      <w:r>
        <w:rPr>
          <w:rFonts w:hint="eastAsia"/>
          <w:lang w:eastAsia="zh-CN"/>
        </w:rPr>
        <w:t>、担保物权设立情况：根据估价委托人提供的相关资料，委估对象未设立担保物权；</w:t>
      </w:r>
    </w:p>
    <w:p>
      <w:pPr>
        <w:keepLines w:val="0"/>
        <w:pageBreakBefore w:val="0"/>
        <w:widowControl w:val="0"/>
        <w:kinsoku/>
        <w:wordWrap/>
        <w:overflowPunct/>
        <w:topLinePunct w:val="0"/>
        <w:bidi w:val="0"/>
        <w:snapToGrid/>
        <w:spacing w:line="480" w:lineRule="exact"/>
        <w:rPr>
          <w:rFonts w:hint="eastAsia"/>
          <w:lang w:eastAsia="zh-CN"/>
        </w:rPr>
      </w:pPr>
      <w:r>
        <w:rPr>
          <w:rFonts w:hint="eastAsia"/>
          <w:lang w:val="en-US" w:eastAsia="zh-CN"/>
        </w:rPr>
        <w:t>11</w:t>
      </w:r>
      <w:r>
        <w:rPr>
          <w:rFonts w:hint="eastAsia"/>
          <w:lang w:eastAsia="zh-CN"/>
        </w:rPr>
        <w:t>、租赁或占用情况：根据向提供的相关资料及现场勘查，委估对象无拖欠租赁或占用情况；</w:t>
      </w:r>
    </w:p>
    <w:p>
      <w:pPr>
        <w:keepLines w:val="0"/>
        <w:pageBreakBefore w:val="0"/>
        <w:widowControl w:val="0"/>
        <w:kinsoku/>
        <w:wordWrap/>
        <w:overflowPunct/>
        <w:topLinePunct w:val="0"/>
        <w:bidi w:val="0"/>
        <w:snapToGrid/>
        <w:spacing w:line="480" w:lineRule="exact"/>
        <w:rPr>
          <w:rFonts w:hint="eastAsia"/>
          <w:lang w:eastAsia="zh-CN"/>
        </w:rPr>
      </w:pPr>
      <w:r>
        <w:rPr>
          <w:rFonts w:hint="eastAsia"/>
          <w:lang w:val="en-US" w:eastAsia="zh-CN"/>
        </w:rPr>
        <w:t>12</w:t>
      </w:r>
      <w:r>
        <w:rPr>
          <w:rFonts w:hint="eastAsia"/>
          <w:lang w:eastAsia="zh-CN"/>
        </w:rPr>
        <w:t>、拖欠税费情况：根据提供的相关资料及现场勘查，委估对象无拖欠税费情况；</w:t>
      </w:r>
    </w:p>
    <w:p>
      <w:pPr>
        <w:keepLines w:val="0"/>
        <w:pageBreakBefore w:val="0"/>
        <w:widowControl w:val="0"/>
        <w:kinsoku/>
        <w:wordWrap/>
        <w:overflowPunct/>
        <w:topLinePunct w:val="0"/>
        <w:bidi w:val="0"/>
        <w:spacing w:line="480" w:lineRule="atLeast"/>
        <w:ind w:firstLine="31680"/>
        <w:rPr>
          <w:rFonts w:hint="default" w:ascii="华文中宋" w:hAnsi="华文中宋" w:cs="华文中宋"/>
          <w:lang w:val="en-US" w:eastAsia="zh-CN"/>
        </w:rPr>
      </w:pPr>
      <w:r>
        <w:rPr>
          <w:rFonts w:hint="eastAsia"/>
          <w:lang w:val="en-US" w:eastAsia="zh-CN"/>
        </w:rPr>
        <w:t>13</w:t>
      </w:r>
      <w:r>
        <w:rPr>
          <w:rFonts w:hint="eastAsia"/>
          <w:lang w:eastAsia="zh-CN"/>
        </w:rPr>
        <w:t>、查封情况：根据向委托人了解，委估对象已查封。</w:t>
      </w:r>
    </w:p>
    <w:bookmarkEnd w:id="63"/>
    <w:bookmarkEnd w:id="64"/>
    <w:p>
      <w:pPr>
        <w:pStyle w:val="3"/>
        <w:keepLines w:val="0"/>
        <w:pageBreakBefore w:val="0"/>
        <w:widowControl w:val="0"/>
        <w:kinsoku/>
        <w:wordWrap/>
        <w:overflowPunct/>
        <w:topLinePunct w:val="0"/>
        <w:bidi w:val="0"/>
        <w:snapToGrid/>
        <w:spacing w:line="480" w:lineRule="atLeast"/>
        <w:ind w:left="0" w:leftChars="0" w:right="0" w:rightChars="0"/>
        <w:rPr>
          <w:rFonts w:hint="eastAsia" w:ascii="华文中宋" w:hAnsi="华文中宋" w:eastAsia="华文中宋" w:cs="华文中宋"/>
        </w:rPr>
      </w:pPr>
      <w:bookmarkStart w:id="65" w:name="_Toc415039136"/>
      <w:bookmarkStart w:id="66" w:name="_Toc409772457"/>
      <w:bookmarkStart w:id="67" w:name="_Toc428348797"/>
      <w:bookmarkStart w:id="68" w:name="_Toc429557858"/>
      <w:bookmarkStart w:id="69" w:name="_Toc410379055"/>
      <w:bookmarkStart w:id="70" w:name="_Toc30701"/>
      <w:bookmarkStart w:id="71" w:name="_Toc449598316"/>
      <w:bookmarkStart w:id="72" w:name="_Toc508803783"/>
      <w:bookmarkStart w:id="73" w:name="_Toc452121204"/>
      <w:bookmarkStart w:id="74" w:name="_Toc31880"/>
      <w:bookmarkStart w:id="75" w:name="_Toc4159"/>
      <w:r>
        <w:rPr>
          <w:rFonts w:hint="eastAsia" w:ascii="华文中宋" w:hAnsi="华文中宋" w:eastAsia="华文中宋" w:cs="华文中宋"/>
        </w:rPr>
        <w:t>五、价值</w:t>
      </w:r>
      <w:bookmarkEnd w:id="65"/>
      <w:bookmarkEnd w:id="66"/>
      <w:bookmarkEnd w:id="67"/>
      <w:bookmarkEnd w:id="68"/>
      <w:bookmarkEnd w:id="69"/>
      <w:r>
        <w:rPr>
          <w:rFonts w:hint="eastAsia" w:ascii="华文中宋" w:hAnsi="华文中宋" w:eastAsia="华文中宋" w:cs="华文中宋"/>
        </w:rPr>
        <w:t>时点</w:t>
      </w:r>
      <w:bookmarkEnd w:id="70"/>
      <w:bookmarkEnd w:id="71"/>
      <w:bookmarkEnd w:id="72"/>
      <w:bookmarkEnd w:id="73"/>
      <w:bookmarkEnd w:id="74"/>
      <w:bookmarkEnd w:id="75"/>
    </w:p>
    <w:p>
      <w:pPr>
        <w:keepLines w:val="0"/>
        <w:pageBreakBefore w:val="0"/>
        <w:widowControl w:val="0"/>
        <w:kinsoku/>
        <w:wordWrap/>
        <w:overflowPunct/>
        <w:topLinePunct w:val="0"/>
        <w:bidi w:val="0"/>
        <w:snapToGrid/>
        <w:spacing w:line="480" w:lineRule="atLeast"/>
        <w:ind w:left="0" w:leftChars="0" w:right="0" w:rightChars="0" w:firstLine="31680"/>
        <w:rPr>
          <w:rFonts w:hint="eastAsia" w:ascii="华文中宋" w:hAnsi="华文中宋" w:eastAsia="华文中宋" w:cs="华文中宋"/>
          <w:lang w:eastAsia="zh-CN"/>
        </w:rPr>
      </w:pPr>
      <w:r>
        <w:rPr>
          <w:rFonts w:hint="eastAsia" w:ascii="华文中宋" w:hAnsi="华文中宋" w:cs="华文中宋"/>
          <w:lang w:eastAsia="zh-CN"/>
        </w:rPr>
        <w:t>2020年7月6日</w:t>
      </w:r>
    </w:p>
    <w:p>
      <w:pPr>
        <w:keepLines w:val="0"/>
        <w:pageBreakBefore w:val="0"/>
        <w:widowControl w:val="0"/>
        <w:kinsoku/>
        <w:wordWrap/>
        <w:overflowPunct/>
        <w:topLinePunct w:val="0"/>
        <w:bidi w:val="0"/>
        <w:snapToGrid/>
        <w:spacing w:line="480" w:lineRule="atLeast"/>
        <w:ind w:left="0" w:leftChars="0" w:right="0" w:rightChars="0" w:firstLine="31680"/>
        <w:rPr>
          <w:rFonts w:hint="eastAsia" w:ascii="华文中宋" w:hAnsi="华文中宋" w:eastAsia="华文中宋" w:cs="华文中宋"/>
        </w:rPr>
      </w:pPr>
      <w:r>
        <w:rPr>
          <w:rFonts w:hint="eastAsia" w:ascii="华文中宋" w:hAnsi="华文中宋" w:eastAsia="华文中宋" w:cs="华文中宋"/>
        </w:rPr>
        <w:t>确定价值时点的理由或成立的条件：</w:t>
      </w:r>
    </w:p>
    <w:p>
      <w:pPr>
        <w:keepLines w:val="0"/>
        <w:pageBreakBefore w:val="0"/>
        <w:widowControl w:val="0"/>
        <w:kinsoku/>
        <w:wordWrap/>
        <w:overflowPunct/>
        <w:topLinePunct w:val="0"/>
        <w:bidi w:val="0"/>
        <w:snapToGrid/>
        <w:spacing w:line="480" w:lineRule="atLeast"/>
        <w:ind w:firstLine="31680"/>
        <w:rPr>
          <w:rFonts w:hint="eastAsia" w:ascii="华文中宋" w:hAnsi="华文中宋" w:eastAsia="华文中宋" w:cs="华文中宋"/>
        </w:rPr>
      </w:pPr>
      <w:r>
        <w:rPr>
          <w:rFonts w:hint="eastAsia" w:ascii="华文中宋" w:hAnsi="华文中宋" w:eastAsia="华文中宋" w:cs="华文中宋"/>
        </w:rPr>
        <w:t>1、委托方与受托方以查勘日时点为准，经双方协商后确定；</w:t>
      </w:r>
    </w:p>
    <w:p>
      <w:pPr>
        <w:keepLines w:val="0"/>
        <w:pageBreakBefore w:val="0"/>
        <w:widowControl w:val="0"/>
        <w:kinsoku/>
        <w:wordWrap/>
        <w:overflowPunct/>
        <w:topLinePunct w:val="0"/>
        <w:bidi w:val="0"/>
        <w:snapToGrid/>
        <w:spacing w:line="480" w:lineRule="atLeast"/>
        <w:ind w:firstLine="31680"/>
        <w:rPr>
          <w:rFonts w:hint="eastAsia" w:ascii="华文中宋" w:hAnsi="华文中宋" w:eastAsia="华文中宋" w:cs="华文中宋"/>
        </w:rPr>
      </w:pPr>
      <w:r>
        <w:rPr>
          <w:rFonts w:hint="eastAsia" w:ascii="华文中宋" w:hAnsi="华文中宋" w:eastAsia="华文中宋" w:cs="华文中宋"/>
        </w:rPr>
        <w:t>2、选择与现场勘察相近的日期作为价值时点能更好地把握估价对象的实际情况；</w:t>
      </w:r>
    </w:p>
    <w:p>
      <w:pPr>
        <w:keepLines w:val="0"/>
        <w:pageBreakBefore w:val="0"/>
        <w:widowControl w:val="0"/>
        <w:kinsoku/>
        <w:wordWrap/>
        <w:overflowPunct/>
        <w:topLinePunct w:val="0"/>
        <w:bidi w:val="0"/>
        <w:snapToGrid/>
        <w:spacing w:line="480" w:lineRule="atLeast"/>
        <w:ind w:left="0" w:leftChars="0" w:right="0" w:rightChars="0" w:firstLine="31680"/>
        <w:rPr>
          <w:rFonts w:hint="eastAsia" w:ascii="华文中宋" w:hAnsi="华文中宋" w:eastAsia="华文中宋" w:cs="华文中宋"/>
        </w:rPr>
      </w:pPr>
      <w:r>
        <w:rPr>
          <w:rFonts w:hint="eastAsia" w:ascii="华文中宋" w:hAnsi="华文中宋" w:eastAsia="华文中宋" w:cs="华文中宋"/>
        </w:rPr>
        <w:t>3、实施本项目评估计划标准是遵循价值时点原则。</w:t>
      </w:r>
    </w:p>
    <w:p>
      <w:pPr>
        <w:pStyle w:val="3"/>
        <w:keepLines w:val="0"/>
        <w:pageBreakBefore w:val="0"/>
        <w:widowControl w:val="0"/>
        <w:kinsoku/>
        <w:wordWrap/>
        <w:overflowPunct/>
        <w:topLinePunct w:val="0"/>
        <w:bidi w:val="0"/>
        <w:snapToGrid/>
        <w:spacing w:line="480" w:lineRule="atLeast"/>
        <w:ind w:left="0" w:leftChars="0" w:right="0" w:rightChars="0"/>
        <w:rPr>
          <w:rFonts w:hint="eastAsia" w:ascii="华文中宋" w:hAnsi="华文中宋" w:eastAsia="华文中宋" w:cs="华文中宋"/>
        </w:rPr>
      </w:pPr>
      <w:bookmarkStart w:id="76" w:name="_Toc428348798"/>
      <w:bookmarkStart w:id="77" w:name="_Toc16675"/>
      <w:bookmarkStart w:id="78" w:name="_Toc29005"/>
      <w:bookmarkStart w:id="79" w:name="_Toc409772458"/>
      <w:bookmarkStart w:id="80" w:name="_Toc429557859"/>
      <w:bookmarkStart w:id="81" w:name="_Toc410379056"/>
      <w:bookmarkStart w:id="82" w:name="_Toc449598317"/>
      <w:bookmarkStart w:id="83" w:name="_Toc5304"/>
      <w:bookmarkStart w:id="84" w:name="_Toc452121205"/>
      <w:bookmarkStart w:id="85" w:name="_Toc508803784"/>
      <w:bookmarkStart w:id="86" w:name="_Toc415039137"/>
      <w:r>
        <w:rPr>
          <w:rFonts w:hint="eastAsia" w:ascii="华文中宋" w:hAnsi="华文中宋" w:eastAsia="华文中宋" w:cs="华文中宋"/>
        </w:rPr>
        <w:t>六、价值类型</w:t>
      </w:r>
      <w:bookmarkEnd w:id="76"/>
      <w:bookmarkEnd w:id="77"/>
      <w:bookmarkEnd w:id="78"/>
      <w:bookmarkEnd w:id="79"/>
      <w:bookmarkEnd w:id="80"/>
      <w:bookmarkEnd w:id="81"/>
      <w:bookmarkEnd w:id="82"/>
      <w:bookmarkEnd w:id="83"/>
      <w:bookmarkEnd w:id="84"/>
      <w:bookmarkEnd w:id="85"/>
      <w:bookmarkEnd w:id="86"/>
    </w:p>
    <w:p>
      <w:pPr>
        <w:keepLines w:val="0"/>
        <w:pageBreakBefore w:val="0"/>
        <w:widowControl w:val="0"/>
        <w:kinsoku/>
        <w:wordWrap/>
        <w:overflowPunct/>
        <w:topLinePunct w:val="0"/>
        <w:bidi w:val="0"/>
        <w:snapToGrid/>
        <w:spacing w:line="480" w:lineRule="atLeast"/>
        <w:ind w:left="0" w:leftChars="0" w:right="0" w:rightChars="0" w:firstLine="31680"/>
        <w:rPr>
          <w:rFonts w:hint="eastAsia" w:ascii="华文中宋" w:hAnsi="华文中宋" w:eastAsia="华文中宋" w:cs="华文中宋"/>
        </w:rPr>
      </w:pPr>
      <w:bookmarkStart w:id="87" w:name="_Toc229213370"/>
      <w:r>
        <w:rPr>
          <w:rFonts w:hint="eastAsia" w:ascii="华文中宋" w:hAnsi="华文中宋" w:eastAsia="华文中宋" w:cs="华文中宋"/>
        </w:rPr>
        <w:t>本次房地产估价价值类型为市场价值。</w:t>
      </w:r>
    </w:p>
    <w:p>
      <w:pPr>
        <w:keepLines w:val="0"/>
        <w:pageBreakBefore w:val="0"/>
        <w:widowControl w:val="0"/>
        <w:kinsoku/>
        <w:wordWrap/>
        <w:overflowPunct/>
        <w:topLinePunct w:val="0"/>
        <w:bidi w:val="0"/>
        <w:snapToGrid/>
        <w:spacing w:line="480" w:lineRule="atLeast"/>
        <w:ind w:left="0" w:leftChars="0" w:right="0" w:rightChars="0" w:firstLine="31680"/>
        <w:rPr>
          <w:rFonts w:hint="eastAsia" w:ascii="华文中宋" w:hAnsi="华文中宋" w:eastAsia="华文中宋" w:cs="华文中宋"/>
        </w:rPr>
      </w:pPr>
      <w:r>
        <w:rPr>
          <w:rFonts w:hint="eastAsia" w:ascii="华文中宋" w:hAnsi="华文中宋" w:eastAsia="华文中宋" w:cs="华文中宋"/>
        </w:rPr>
        <w:t>市场价值：估价对象经适当</w:t>
      </w:r>
      <w:r>
        <w:rPr>
          <w:rFonts w:hint="eastAsia" w:ascii="华文中宋" w:hAnsi="华文中宋" w:eastAsia="华文中宋" w:cs="华文中宋"/>
          <w:lang w:eastAsia="zh-CN"/>
        </w:rPr>
        <w:t>营销</w:t>
      </w:r>
      <w:r>
        <w:rPr>
          <w:rFonts w:hint="eastAsia" w:ascii="华文中宋" w:hAnsi="华文中宋" w:eastAsia="华文中宋" w:cs="华文中宋"/>
        </w:rPr>
        <w:t>后，由熟悉情况、谨慎行事且不受强迫的交易双方，以公平交易方式在价值时点自愿进行交易的金额。</w:t>
      </w:r>
    </w:p>
    <w:p>
      <w:pPr>
        <w:pStyle w:val="3"/>
        <w:keepLines w:val="0"/>
        <w:pageBreakBefore w:val="0"/>
        <w:widowControl w:val="0"/>
        <w:kinsoku/>
        <w:wordWrap/>
        <w:overflowPunct/>
        <w:topLinePunct w:val="0"/>
        <w:bidi w:val="0"/>
        <w:snapToGrid/>
        <w:spacing w:line="480" w:lineRule="atLeast"/>
        <w:ind w:left="0" w:leftChars="0" w:right="0" w:rightChars="0"/>
        <w:rPr>
          <w:rFonts w:hint="eastAsia" w:ascii="华文中宋" w:hAnsi="华文中宋" w:eastAsia="华文中宋" w:cs="华文中宋"/>
        </w:rPr>
      </w:pPr>
      <w:bookmarkStart w:id="88" w:name="_Toc508803785"/>
      <w:bookmarkStart w:id="89" w:name="_Toc415039138"/>
      <w:bookmarkStart w:id="90" w:name="_Toc409772459"/>
      <w:bookmarkStart w:id="91" w:name="_Toc14003"/>
      <w:bookmarkStart w:id="92" w:name="_Toc18610"/>
      <w:bookmarkStart w:id="93" w:name="_Toc452121206"/>
      <w:bookmarkStart w:id="94" w:name="_Toc449598318"/>
      <w:bookmarkStart w:id="95" w:name="_Toc428348799"/>
      <w:bookmarkStart w:id="96" w:name="_Toc429557860"/>
      <w:bookmarkStart w:id="97" w:name="_Toc410379057"/>
      <w:bookmarkStart w:id="98" w:name="_Toc8652"/>
      <w:r>
        <w:rPr>
          <w:rFonts w:hint="eastAsia" w:ascii="华文中宋" w:hAnsi="华文中宋" w:eastAsia="华文中宋" w:cs="华文中宋"/>
        </w:rPr>
        <w:t>七、估</w:t>
      </w:r>
      <w:bookmarkEnd w:id="87"/>
      <w:r>
        <w:rPr>
          <w:rFonts w:hint="eastAsia" w:ascii="华文中宋" w:hAnsi="华文中宋" w:eastAsia="华文中宋" w:cs="华文中宋"/>
        </w:rPr>
        <w:t>价原则</w:t>
      </w:r>
      <w:bookmarkEnd w:id="88"/>
      <w:bookmarkEnd w:id="89"/>
      <w:bookmarkEnd w:id="90"/>
      <w:bookmarkEnd w:id="91"/>
      <w:bookmarkEnd w:id="92"/>
      <w:bookmarkEnd w:id="93"/>
      <w:bookmarkEnd w:id="94"/>
      <w:bookmarkEnd w:id="95"/>
      <w:bookmarkEnd w:id="96"/>
      <w:bookmarkEnd w:id="97"/>
      <w:bookmarkEnd w:id="98"/>
    </w:p>
    <w:p>
      <w:pPr>
        <w:keepLines w:val="0"/>
        <w:pageBreakBefore w:val="0"/>
        <w:widowControl w:val="0"/>
        <w:kinsoku/>
        <w:wordWrap/>
        <w:overflowPunct/>
        <w:topLinePunct w:val="0"/>
        <w:bidi w:val="0"/>
        <w:snapToGrid/>
        <w:spacing w:line="480" w:lineRule="atLeast"/>
        <w:ind w:left="0" w:leftChars="0" w:right="0" w:rightChars="0" w:firstLine="31680"/>
        <w:rPr>
          <w:rFonts w:hint="eastAsia" w:ascii="华文中宋" w:hAnsi="华文中宋" w:eastAsia="华文中宋" w:cs="华文中宋"/>
        </w:rPr>
      </w:pPr>
      <w:r>
        <w:rPr>
          <w:rFonts w:hint="eastAsia" w:ascii="华文中宋" w:hAnsi="华文中宋" w:eastAsia="华文中宋" w:cs="华文中宋"/>
        </w:rPr>
        <w:t>1、独立、客观、公正原则：评估价值应为各方估价利害关系人均是公平合理的价值或价格。</w:t>
      </w:r>
    </w:p>
    <w:p>
      <w:pPr>
        <w:keepLines w:val="0"/>
        <w:pageBreakBefore w:val="0"/>
        <w:widowControl w:val="0"/>
        <w:kinsoku/>
        <w:wordWrap/>
        <w:overflowPunct/>
        <w:topLinePunct w:val="0"/>
        <w:bidi w:val="0"/>
        <w:snapToGrid/>
        <w:spacing w:line="480" w:lineRule="atLeast"/>
        <w:ind w:left="0" w:leftChars="0" w:right="0" w:rightChars="0" w:firstLine="31680"/>
        <w:rPr>
          <w:rFonts w:hint="eastAsia" w:ascii="华文中宋" w:hAnsi="华文中宋" w:eastAsia="华文中宋" w:cs="华文中宋"/>
        </w:rPr>
      </w:pPr>
      <w:r>
        <w:rPr>
          <w:rFonts w:hint="eastAsia" w:ascii="华文中宋" w:hAnsi="华文中宋" w:eastAsia="华文中宋" w:cs="华文中宋"/>
        </w:rPr>
        <w:t>2、合法原则：评估价值应为在依法判定的估价对象状况下的价值或价格。</w:t>
      </w:r>
    </w:p>
    <w:p>
      <w:pPr>
        <w:keepLines w:val="0"/>
        <w:pageBreakBefore w:val="0"/>
        <w:widowControl w:val="0"/>
        <w:kinsoku/>
        <w:wordWrap/>
        <w:overflowPunct/>
        <w:topLinePunct w:val="0"/>
        <w:bidi w:val="0"/>
        <w:snapToGrid/>
        <w:spacing w:line="480" w:lineRule="atLeast"/>
        <w:ind w:left="0" w:leftChars="0" w:right="0" w:rightChars="0" w:firstLine="31680"/>
        <w:rPr>
          <w:rFonts w:hint="eastAsia" w:ascii="华文中宋" w:hAnsi="华文中宋" w:eastAsia="华文中宋" w:cs="华文中宋"/>
        </w:rPr>
      </w:pPr>
      <w:r>
        <w:rPr>
          <w:rFonts w:hint="eastAsia" w:ascii="华文中宋" w:hAnsi="华文中宋" w:eastAsia="华文中宋" w:cs="华文中宋"/>
        </w:rPr>
        <w:t>3、价值时点原则：评估价值应为在根据估价目的确定的某一特定时间的价值或价格。</w:t>
      </w:r>
    </w:p>
    <w:p>
      <w:pPr>
        <w:keepLines w:val="0"/>
        <w:pageBreakBefore w:val="0"/>
        <w:widowControl w:val="0"/>
        <w:kinsoku/>
        <w:wordWrap/>
        <w:overflowPunct/>
        <w:topLinePunct w:val="0"/>
        <w:bidi w:val="0"/>
        <w:snapToGrid/>
        <w:spacing w:line="480" w:lineRule="atLeast"/>
        <w:ind w:left="0" w:leftChars="0" w:right="0" w:rightChars="0" w:firstLine="31680"/>
        <w:rPr>
          <w:rFonts w:hint="eastAsia" w:ascii="华文中宋" w:hAnsi="华文中宋" w:eastAsia="华文中宋" w:cs="华文中宋"/>
        </w:rPr>
      </w:pPr>
      <w:r>
        <w:rPr>
          <w:rFonts w:hint="eastAsia" w:ascii="华文中宋" w:hAnsi="华文中宋" w:eastAsia="华文中宋" w:cs="华文中宋"/>
        </w:rPr>
        <w:t>4、替代原则：评估价值与估价对象的类似房地产在同等条件下的价值或价格偏差应在合理范围内。</w:t>
      </w:r>
    </w:p>
    <w:p>
      <w:pPr>
        <w:keepLines w:val="0"/>
        <w:pageBreakBefore w:val="0"/>
        <w:widowControl w:val="0"/>
        <w:kinsoku/>
        <w:wordWrap/>
        <w:overflowPunct/>
        <w:topLinePunct w:val="0"/>
        <w:bidi w:val="0"/>
        <w:snapToGrid/>
        <w:spacing w:line="480" w:lineRule="atLeast"/>
        <w:ind w:left="0" w:leftChars="0" w:right="0" w:rightChars="0" w:firstLine="31680"/>
        <w:rPr>
          <w:rFonts w:hint="eastAsia" w:ascii="华文中宋" w:hAnsi="华文中宋" w:eastAsia="华文中宋" w:cs="华文中宋"/>
        </w:rPr>
      </w:pPr>
      <w:r>
        <w:rPr>
          <w:rFonts w:hint="eastAsia" w:ascii="华文中宋" w:hAnsi="华文中宋" w:eastAsia="华文中宋" w:cs="华文中宋"/>
        </w:rPr>
        <w:t>5、最高最佳利用原则：评估价值应为在估价对象最高最佳利用状况下的价值或价格。【最高最佳利用：包括最佳的用途、规模和档次，应按法律上允许、技术上可能、财务上可行、价值最大化的次序进行分析、筛选或判断确定。】</w:t>
      </w:r>
    </w:p>
    <w:p>
      <w:pPr>
        <w:pStyle w:val="3"/>
        <w:keepLines w:val="0"/>
        <w:pageBreakBefore w:val="0"/>
        <w:widowControl w:val="0"/>
        <w:kinsoku/>
        <w:wordWrap/>
        <w:overflowPunct/>
        <w:topLinePunct w:val="0"/>
        <w:bidi w:val="0"/>
        <w:snapToGrid/>
        <w:spacing w:line="480" w:lineRule="atLeast"/>
        <w:ind w:left="0" w:leftChars="0" w:right="0" w:rightChars="0"/>
        <w:rPr>
          <w:rFonts w:hint="eastAsia" w:ascii="华文中宋" w:hAnsi="华文中宋" w:eastAsia="华文中宋" w:cs="华文中宋"/>
        </w:rPr>
      </w:pPr>
      <w:bookmarkStart w:id="99" w:name="_Toc229213371"/>
      <w:bookmarkStart w:id="100" w:name="_Toc452121207"/>
      <w:bookmarkStart w:id="101" w:name="_Toc13592"/>
      <w:bookmarkStart w:id="102" w:name="_Toc449598319"/>
      <w:bookmarkStart w:id="103" w:name="_Toc428348800"/>
      <w:bookmarkStart w:id="104" w:name="_Toc409772460"/>
      <w:bookmarkStart w:id="105" w:name="_Toc429557861"/>
      <w:bookmarkStart w:id="106" w:name="_Toc415039139"/>
      <w:bookmarkStart w:id="107" w:name="_Toc8413"/>
      <w:bookmarkStart w:id="108" w:name="_Toc410379058"/>
      <w:bookmarkStart w:id="109" w:name="_Toc508803786"/>
      <w:bookmarkStart w:id="110" w:name="_Toc12808"/>
      <w:r>
        <w:rPr>
          <w:rFonts w:hint="eastAsia" w:ascii="华文中宋" w:hAnsi="华文中宋" w:eastAsia="华文中宋" w:cs="华文中宋"/>
        </w:rPr>
        <w:t>八、估价</w:t>
      </w:r>
      <w:bookmarkEnd w:id="99"/>
      <w:r>
        <w:rPr>
          <w:rFonts w:hint="eastAsia" w:ascii="华文中宋" w:hAnsi="华文中宋" w:eastAsia="华文中宋" w:cs="华文中宋"/>
        </w:rPr>
        <w:t>依据</w:t>
      </w:r>
      <w:bookmarkEnd w:id="100"/>
      <w:bookmarkEnd w:id="101"/>
      <w:bookmarkEnd w:id="102"/>
      <w:bookmarkEnd w:id="103"/>
      <w:bookmarkEnd w:id="104"/>
      <w:bookmarkEnd w:id="105"/>
      <w:bookmarkEnd w:id="106"/>
      <w:bookmarkEnd w:id="107"/>
      <w:bookmarkEnd w:id="108"/>
      <w:bookmarkEnd w:id="109"/>
      <w:bookmarkEnd w:id="110"/>
    </w:p>
    <w:p>
      <w:pPr>
        <w:pStyle w:val="4"/>
        <w:keepLines w:val="0"/>
        <w:pageBreakBefore w:val="0"/>
        <w:widowControl w:val="0"/>
        <w:kinsoku/>
        <w:wordWrap/>
        <w:overflowPunct/>
        <w:topLinePunct w:val="0"/>
        <w:bidi w:val="0"/>
        <w:snapToGrid/>
        <w:spacing w:line="480" w:lineRule="atLeast"/>
        <w:ind w:left="0" w:leftChars="0" w:right="0" w:rightChars="0"/>
        <w:rPr>
          <w:rFonts w:hint="eastAsia" w:ascii="华文中宋" w:hAnsi="华文中宋" w:eastAsia="华文中宋" w:cs="华文中宋"/>
        </w:rPr>
      </w:pPr>
      <w:r>
        <w:rPr>
          <w:rFonts w:hint="eastAsia" w:ascii="华文中宋" w:hAnsi="华文中宋" w:eastAsia="华文中宋" w:cs="华文中宋"/>
          <w:sz w:val="24"/>
          <w:szCs w:val="24"/>
          <w:lang w:val="en-US" w:eastAsia="zh-CN"/>
        </w:rPr>
        <w:t>1、</w:t>
      </w:r>
      <w:r>
        <w:rPr>
          <w:rFonts w:hint="eastAsia" w:ascii="华文中宋" w:hAnsi="华文中宋" w:eastAsia="华文中宋" w:cs="华文中宋"/>
        </w:rPr>
        <w:t>国家法律、法规</w:t>
      </w:r>
      <w:r>
        <w:rPr>
          <w:rFonts w:hint="eastAsia" w:ascii="华文中宋" w:hAnsi="华文中宋" w:eastAsia="华文中宋" w:cs="华文中宋"/>
          <w:sz w:val="24"/>
          <w:szCs w:val="24"/>
        </w:rPr>
        <w:t>主要如下：</w:t>
      </w:r>
    </w:p>
    <w:p>
      <w:pPr>
        <w:keepLines w:val="0"/>
        <w:pageBreakBefore w:val="0"/>
        <w:widowControl w:val="0"/>
        <w:kinsoku/>
        <w:wordWrap/>
        <w:overflowPunct/>
        <w:topLinePunct w:val="0"/>
        <w:bidi w:val="0"/>
        <w:snapToGrid/>
        <w:spacing w:line="480" w:lineRule="exact"/>
        <w:rPr>
          <w:rFonts w:hint="eastAsia"/>
          <w:lang w:eastAsia="zh-CN"/>
        </w:rPr>
      </w:pPr>
      <w:r>
        <w:rPr>
          <w:rFonts w:hint="eastAsia"/>
          <w:lang w:eastAsia="zh-CN"/>
        </w:rPr>
        <w:t>(1)《中华人民共和国物权法》</w:t>
      </w:r>
      <w:r>
        <w:rPr>
          <w:rFonts w:hint="eastAsia"/>
          <w:lang w:val="en-US" w:eastAsia="zh-CN"/>
        </w:rPr>
        <w:t>(中华人民共和国主席令第六十二号)[中华人民共和国第十届全国人民代表大会第五次会议于2007年3月16日通过，自2007年10月1日起施行]</w:t>
      </w:r>
      <w:r>
        <w:rPr>
          <w:rFonts w:hint="eastAsia"/>
          <w:lang w:eastAsia="zh-CN"/>
        </w:rPr>
        <w:t>；</w:t>
      </w:r>
    </w:p>
    <w:p>
      <w:pPr>
        <w:keepLines w:val="0"/>
        <w:pageBreakBefore w:val="0"/>
        <w:widowControl w:val="0"/>
        <w:kinsoku/>
        <w:wordWrap/>
        <w:overflowPunct/>
        <w:topLinePunct w:val="0"/>
        <w:bidi w:val="0"/>
        <w:snapToGrid/>
        <w:spacing w:line="480" w:lineRule="exact"/>
        <w:rPr>
          <w:rFonts w:hint="eastAsia"/>
          <w:lang w:eastAsia="zh-CN"/>
        </w:rPr>
      </w:pPr>
      <w:r>
        <w:rPr>
          <w:rFonts w:hint="eastAsia"/>
          <w:lang w:eastAsia="zh-CN"/>
        </w:rPr>
        <w:t>(2)《中华人民共和国城市房地产管理法》</w:t>
      </w:r>
      <w:r>
        <w:rPr>
          <w:rFonts w:hint="eastAsia"/>
          <w:lang w:val="en-US" w:eastAsia="zh-CN"/>
        </w:rPr>
        <w:t>(中华人民共和国主席令第三十二号)[2019年8月26日第十三届全国人民代表大会常务委员会第十二次会议通过，自2020年1月1日起施行]</w:t>
      </w:r>
      <w:r>
        <w:rPr>
          <w:rFonts w:hint="eastAsia"/>
          <w:lang w:eastAsia="zh-CN"/>
        </w:rPr>
        <w:t>；</w:t>
      </w:r>
    </w:p>
    <w:p>
      <w:pPr>
        <w:keepLines w:val="0"/>
        <w:pageBreakBefore w:val="0"/>
        <w:widowControl w:val="0"/>
        <w:kinsoku/>
        <w:wordWrap/>
        <w:overflowPunct/>
        <w:topLinePunct w:val="0"/>
        <w:bidi w:val="0"/>
        <w:snapToGrid/>
        <w:spacing w:line="480" w:lineRule="exact"/>
        <w:rPr>
          <w:rFonts w:hint="eastAsia"/>
          <w:lang w:eastAsia="zh-CN"/>
        </w:rPr>
      </w:pPr>
      <w:r>
        <w:rPr>
          <w:rFonts w:hint="eastAsia"/>
          <w:lang w:eastAsia="zh-CN"/>
        </w:rPr>
        <w:t>(3)《中华人民共和国土地管理法》</w:t>
      </w:r>
      <w:r>
        <w:rPr>
          <w:rFonts w:hint="eastAsia"/>
          <w:lang w:val="en-US" w:eastAsia="zh-CN"/>
        </w:rPr>
        <w:t>(中华人民共和国主席令第三十二号)[2019年8月26日第十三届全国人民代表大会常务委员会第十二次会议通过，自2020年1月1日起施行]</w:t>
      </w:r>
      <w:r>
        <w:rPr>
          <w:rFonts w:hint="eastAsia"/>
          <w:lang w:eastAsia="zh-CN"/>
        </w:rPr>
        <w:t>；</w:t>
      </w:r>
    </w:p>
    <w:p>
      <w:pPr>
        <w:keepLines w:val="0"/>
        <w:pageBreakBefore w:val="0"/>
        <w:widowControl w:val="0"/>
        <w:kinsoku/>
        <w:wordWrap/>
        <w:overflowPunct/>
        <w:topLinePunct w:val="0"/>
        <w:bidi w:val="0"/>
        <w:snapToGrid/>
        <w:spacing w:line="480" w:lineRule="exact"/>
        <w:rPr>
          <w:rFonts w:hint="eastAsia"/>
          <w:lang w:eastAsia="zh-CN"/>
        </w:rPr>
      </w:pPr>
      <w:r>
        <w:rPr>
          <w:rFonts w:hint="eastAsia"/>
          <w:lang w:eastAsia="zh-CN"/>
        </w:rPr>
        <w:t>(4)《中华人民共和国资产评估法》</w:t>
      </w:r>
      <w:r>
        <w:rPr>
          <w:rFonts w:hint="eastAsia"/>
          <w:lang w:val="en-US" w:eastAsia="zh-CN"/>
        </w:rPr>
        <w:t>(中华人民共和国主席令第四十六号)[2016年7月2日第十二届全国人民代表大会常务委员会第二十一次会议通过，自2016年12月1日起施行]</w:t>
      </w:r>
      <w:r>
        <w:rPr>
          <w:rFonts w:hint="eastAsia"/>
          <w:lang w:eastAsia="zh-CN"/>
        </w:rPr>
        <w:t>；</w:t>
      </w:r>
    </w:p>
    <w:p>
      <w:pPr>
        <w:keepLines w:val="0"/>
        <w:pageBreakBefore w:val="0"/>
        <w:widowControl w:val="0"/>
        <w:kinsoku/>
        <w:wordWrap/>
        <w:overflowPunct/>
        <w:topLinePunct w:val="0"/>
        <w:bidi w:val="0"/>
        <w:snapToGrid/>
        <w:spacing w:line="480" w:lineRule="exact"/>
        <w:rPr>
          <w:rFonts w:hint="eastAsia"/>
          <w:lang w:eastAsia="zh-CN"/>
        </w:rPr>
      </w:pPr>
      <w:r>
        <w:rPr>
          <w:rFonts w:hint="eastAsia"/>
          <w:lang w:eastAsia="zh-CN"/>
        </w:rPr>
        <w:t>(5)《中华人民共和国民法通则》</w:t>
      </w:r>
      <w:r>
        <w:rPr>
          <w:rFonts w:hint="eastAsia"/>
          <w:lang w:val="en-US" w:eastAsia="zh-CN"/>
        </w:rPr>
        <w:t>(中华人民共和国主席令第三十七号)[1986年4月12日第六届全国人民代表大会第四次会议通过，自1987年1月1日起施行]</w:t>
      </w:r>
      <w:r>
        <w:rPr>
          <w:rFonts w:hint="eastAsia"/>
          <w:lang w:eastAsia="zh-CN"/>
        </w:rPr>
        <w:t>；</w:t>
      </w:r>
    </w:p>
    <w:p>
      <w:pPr>
        <w:keepLines w:val="0"/>
        <w:pageBreakBefore w:val="0"/>
        <w:widowControl w:val="0"/>
        <w:kinsoku/>
        <w:wordWrap/>
        <w:overflowPunct/>
        <w:topLinePunct w:val="0"/>
        <w:bidi w:val="0"/>
        <w:snapToGrid/>
        <w:spacing w:line="480" w:lineRule="exact"/>
        <w:rPr>
          <w:rFonts w:hint="eastAsia"/>
          <w:lang w:eastAsia="zh-CN"/>
        </w:rPr>
      </w:pPr>
      <w:r>
        <w:rPr>
          <w:rFonts w:hint="eastAsia"/>
          <w:lang w:eastAsia="zh-CN"/>
        </w:rPr>
        <w:t>(6)《中华人民共和国民事诉讼法》</w:t>
      </w:r>
      <w:r>
        <w:rPr>
          <w:rFonts w:hint="eastAsia"/>
          <w:lang w:val="en-US" w:eastAsia="zh-CN"/>
        </w:rPr>
        <w:t>(中华人民共和国主席令第七十一号)[中华人民共和国第十二届全国人民代表大会常务委员会第二十八次会议于2017年6月27日通过，自2017年7月1日起施行]</w:t>
      </w:r>
      <w:r>
        <w:rPr>
          <w:rFonts w:hint="eastAsia"/>
          <w:lang w:eastAsia="zh-CN"/>
        </w:rPr>
        <w:t>；</w:t>
      </w:r>
    </w:p>
    <w:p>
      <w:pPr>
        <w:keepLines w:val="0"/>
        <w:pageBreakBefore w:val="0"/>
        <w:widowControl w:val="0"/>
        <w:kinsoku/>
        <w:wordWrap/>
        <w:overflowPunct/>
        <w:topLinePunct w:val="0"/>
        <w:bidi w:val="0"/>
        <w:snapToGrid/>
        <w:spacing w:line="480" w:lineRule="exact"/>
        <w:rPr>
          <w:rFonts w:hint="eastAsia"/>
          <w:lang w:eastAsia="zh-CN"/>
        </w:rPr>
      </w:pPr>
      <w:r>
        <w:rPr>
          <w:rFonts w:hint="eastAsia"/>
          <w:lang w:eastAsia="zh-CN"/>
        </w:rPr>
        <w:t>(7)《中华人民共和国城乡规划法》</w:t>
      </w:r>
      <w:r>
        <w:rPr>
          <w:rFonts w:hint="eastAsia"/>
          <w:lang w:val="en-US" w:eastAsia="zh-CN"/>
        </w:rPr>
        <w:t>(中华人民共和国主席令第七十四号)[中华人民共和国第十届全国人民代表大会常务委员会第三十次会议于2007年10月28日通过，自2008年1月1日起施行]</w:t>
      </w:r>
      <w:r>
        <w:rPr>
          <w:rFonts w:hint="eastAsia"/>
          <w:lang w:eastAsia="zh-CN"/>
        </w:rPr>
        <w:t>；</w:t>
      </w:r>
    </w:p>
    <w:p>
      <w:pPr>
        <w:keepLines w:val="0"/>
        <w:pageBreakBefore w:val="0"/>
        <w:widowControl w:val="0"/>
        <w:kinsoku/>
        <w:wordWrap/>
        <w:overflowPunct/>
        <w:topLinePunct w:val="0"/>
        <w:bidi w:val="0"/>
        <w:snapToGrid/>
        <w:spacing w:line="480" w:lineRule="atLeast"/>
        <w:ind w:left="0" w:leftChars="0" w:right="0" w:rightChars="0" w:firstLine="31680"/>
        <w:rPr>
          <w:rFonts w:hint="eastAsia" w:ascii="华文中宋" w:hAnsi="华文中宋" w:eastAsia="华文中宋" w:cs="华文中宋"/>
        </w:rPr>
      </w:pPr>
      <w:r>
        <w:rPr>
          <w:rFonts w:hint="eastAsia"/>
          <w:lang w:eastAsia="zh-CN"/>
        </w:rPr>
        <w:t>(8)其它有关法律法规文件</w:t>
      </w:r>
      <w:r>
        <w:rPr>
          <w:rFonts w:hint="eastAsia" w:ascii="华文中宋" w:hAnsi="华文中宋" w:eastAsia="华文中宋" w:cs="华文中宋"/>
        </w:rPr>
        <w:t>。</w:t>
      </w:r>
    </w:p>
    <w:p>
      <w:pPr>
        <w:keepLines w:val="0"/>
        <w:pageBreakBefore w:val="0"/>
        <w:widowControl w:val="0"/>
        <w:kinsoku/>
        <w:wordWrap/>
        <w:overflowPunct/>
        <w:topLinePunct w:val="0"/>
        <w:bidi w:val="0"/>
        <w:snapToGrid/>
        <w:spacing w:line="480" w:lineRule="atLeast"/>
        <w:ind w:left="0" w:leftChars="0" w:right="0" w:rightChars="0" w:firstLine="31680"/>
        <w:rPr>
          <w:rFonts w:hint="eastAsia" w:ascii="华文中宋" w:hAnsi="华文中宋" w:eastAsia="华文中宋" w:cs="华文中宋"/>
        </w:rPr>
      </w:pPr>
      <w:r>
        <w:rPr>
          <w:rFonts w:hint="eastAsia" w:ascii="华文中宋" w:hAnsi="华文中宋" w:eastAsia="华文中宋" w:cs="华文中宋"/>
        </w:rPr>
        <w:t>2、部门规章</w:t>
      </w:r>
    </w:p>
    <w:p>
      <w:pPr>
        <w:keepLines w:val="0"/>
        <w:pageBreakBefore w:val="0"/>
        <w:widowControl w:val="0"/>
        <w:kinsoku/>
        <w:wordWrap/>
        <w:overflowPunct/>
        <w:topLinePunct w:val="0"/>
        <w:bidi w:val="0"/>
        <w:snapToGrid/>
        <w:spacing w:line="480" w:lineRule="exact"/>
        <w:rPr>
          <w:rFonts w:hint="eastAsia"/>
          <w:lang w:eastAsia="zh-CN"/>
        </w:rPr>
      </w:pPr>
      <w:r>
        <w:rPr>
          <w:rFonts w:hint="eastAsia"/>
          <w:lang w:eastAsia="zh-CN"/>
        </w:rPr>
        <w:t>(1)《司法鉴定程序通则》</w:t>
      </w:r>
      <w:r>
        <w:rPr>
          <w:rFonts w:hint="eastAsia"/>
          <w:lang w:val="en-US" w:eastAsia="zh-CN"/>
        </w:rPr>
        <w:t>(中华人民共和国司法部令第107号)</w:t>
      </w:r>
      <w:r>
        <w:rPr>
          <w:rFonts w:hint="eastAsia"/>
          <w:lang w:eastAsia="zh-CN"/>
        </w:rPr>
        <w:t>；</w:t>
      </w:r>
    </w:p>
    <w:p>
      <w:pPr>
        <w:keepLines w:val="0"/>
        <w:pageBreakBefore w:val="0"/>
        <w:widowControl w:val="0"/>
        <w:kinsoku/>
        <w:wordWrap/>
        <w:overflowPunct/>
        <w:topLinePunct w:val="0"/>
        <w:bidi w:val="0"/>
        <w:snapToGrid/>
        <w:spacing w:line="480" w:lineRule="exact"/>
        <w:rPr>
          <w:rFonts w:hint="eastAsia"/>
          <w:lang w:eastAsia="zh-CN"/>
        </w:rPr>
      </w:pPr>
      <w:r>
        <w:rPr>
          <w:rFonts w:hint="eastAsia"/>
          <w:lang w:eastAsia="zh-CN"/>
        </w:rPr>
        <w:t>(2)《人民法院对外委托司法鉴定管理规定》</w:t>
      </w:r>
      <w:r>
        <w:rPr>
          <w:rFonts w:hint="eastAsia"/>
          <w:lang w:val="en-US" w:eastAsia="zh-CN"/>
        </w:rPr>
        <w:t>(</w:t>
      </w:r>
      <w:r>
        <w:rPr>
          <w:rFonts w:hint="eastAsia"/>
          <w:lang w:eastAsia="zh-CN"/>
        </w:rPr>
        <w:t>法释</w:t>
      </w:r>
      <w:r>
        <w:rPr>
          <w:rFonts w:hint="eastAsia"/>
          <w:lang w:val="en-US" w:eastAsia="zh-CN"/>
        </w:rPr>
        <w:t>[</w:t>
      </w:r>
      <w:r>
        <w:rPr>
          <w:rFonts w:hint="eastAsia"/>
          <w:lang w:eastAsia="zh-CN"/>
        </w:rPr>
        <w:t>2002</w:t>
      </w:r>
      <w:r>
        <w:rPr>
          <w:rFonts w:hint="eastAsia"/>
          <w:lang w:val="en-US" w:eastAsia="zh-CN"/>
        </w:rPr>
        <w:t>]</w:t>
      </w:r>
      <w:r>
        <w:rPr>
          <w:rFonts w:hint="eastAsia"/>
          <w:lang w:eastAsia="zh-CN"/>
        </w:rPr>
        <w:t>8号</w:t>
      </w:r>
      <w:r>
        <w:rPr>
          <w:rFonts w:hint="eastAsia"/>
          <w:lang w:val="en-US" w:eastAsia="zh-CN"/>
        </w:rPr>
        <w:t>)</w:t>
      </w:r>
      <w:r>
        <w:rPr>
          <w:rFonts w:hint="eastAsia"/>
          <w:lang w:eastAsia="zh-CN"/>
        </w:rPr>
        <w:t>；</w:t>
      </w:r>
    </w:p>
    <w:p>
      <w:pPr>
        <w:keepLines w:val="0"/>
        <w:pageBreakBefore w:val="0"/>
        <w:widowControl w:val="0"/>
        <w:kinsoku/>
        <w:wordWrap/>
        <w:overflowPunct/>
        <w:topLinePunct w:val="0"/>
        <w:bidi w:val="0"/>
        <w:snapToGrid/>
        <w:spacing w:line="480" w:lineRule="exact"/>
        <w:rPr>
          <w:rFonts w:hint="eastAsia"/>
          <w:lang w:eastAsia="zh-CN"/>
        </w:rPr>
      </w:pPr>
      <w:r>
        <w:rPr>
          <w:rFonts w:hint="eastAsia"/>
          <w:lang w:eastAsia="zh-CN"/>
        </w:rPr>
        <w:t>(3)《最高人民法院关于人民法院委托评估、拍卖工作的若干规定》</w:t>
      </w:r>
      <w:r>
        <w:rPr>
          <w:rFonts w:hint="eastAsia"/>
          <w:lang w:val="en-US" w:eastAsia="zh-CN"/>
        </w:rPr>
        <w:t>(法释[2011]21号)</w:t>
      </w:r>
      <w:r>
        <w:rPr>
          <w:rFonts w:hint="eastAsia"/>
          <w:lang w:eastAsia="zh-CN"/>
        </w:rPr>
        <w:t>;</w:t>
      </w:r>
    </w:p>
    <w:p>
      <w:pPr>
        <w:keepLines w:val="0"/>
        <w:pageBreakBefore w:val="0"/>
        <w:widowControl w:val="0"/>
        <w:kinsoku/>
        <w:wordWrap/>
        <w:overflowPunct/>
        <w:topLinePunct w:val="0"/>
        <w:bidi w:val="0"/>
        <w:snapToGrid/>
        <w:spacing w:line="480" w:lineRule="exact"/>
        <w:ind w:left="0" w:leftChars="0" w:right="0" w:rightChars="0" w:firstLine="31680"/>
        <w:rPr>
          <w:rFonts w:hint="eastAsia" w:ascii="华文中宋" w:hAnsi="华文中宋" w:cs="华文中宋"/>
          <w:lang w:val="en-US" w:eastAsia="zh-CN"/>
        </w:rPr>
      </w:pPr>
      <w:r>
        <w:rPr>
          <w:rFonts w:hint="eastAsia"/>
          <w:lang w:eastAsia="zh-CN"/>
        </w:rPr>
        <w:t>(</w:t>
      </w:r>
      <w:r>
        <w:rPr>
          <w:rFonts w:hint="eastAsia"/>
          <w:lang w:val="en-US" w:eastAsia="zh-CN"/>
        </w:rPr>
        <w:t>4</w:t>
      </w:r>
      <w:r>
        <w:rPr>
          <w:rFonts w:hint="eastAsia"/>
          <w:lang w:eastAsia="zh-CN"/>
        </w:rPr>
        <w:t>)《最高人民法院关于人民法院确定财产处置参考价若干问题的规定》</w:t>
      </w:r>
      <w:r>
        <w:rPr>
          <w:rFonts w:hint="eastAsia"/>
          <w:lang w:val="en-US" w:eastAsia="zh-CN"/>
        </w:rPr>
        <w:t>(法释[2018]15号)</w:t>
      </w:r>
      <w:r>
        <w:rPr>
          <w:rFonts w:hint="eastAsia" w:ascii="华文中宋" w:hAnsi="华文中宋" w:cs="华文中宋"/>
          <w:lang w:val="en-US" w:eastAsia="zh-CN"/>
        </w:rPr>
        <w:t>；</w:t>
      </w:r>
    </w:p>
    <w:p>
      <w:pPr>
        <w:keepLines w:val="0"/>
        <w:pageBreakBefore w:val="0"/>
        <w:widowControl w:val="0"/>
        <w:kinsoku/>
        <w:wordWrap/>
        <w:overflowPunct/>
        <w:topLinePunct w:val="0"/>
        <w:bidi w:val="0"/>
        <w:snapToGrid/>
        <w:spacing w:line="480" w:lineRule="atLeast"/>
        <w:ind w:left="0" w:leftChars="0" w:right="0" w:rightChars="0" w:firstLine="31680"/>
        <w:rPr>
          <w:rFonts w:hint="eastAsia" w:ascii="华文中宋" w:hAnsi="华文中宋" w:eastAsia="华文中宋" w:cs="华文中宋"/>
          <w:lang w:val="en-US" w:eastAsia="zh-CN"/>
        </w:rPr>
      </w:pPr>
      <w:r>
        <w:rPr>
          <w:rFonts w:hint="eastAsia"/>
          <w:lang w:eastAsia="zh-CN"/>
        </w:rPr>
        <w:t>(</w:t>
      </w:r>
      <w:r>
        <w:rPr>
          <w:rFonts w:hint="eastAsia"/>
          <w:lang w:val="en-US" w:eastAsia="zh-CN"/>
        </w:rPr>
        <w:t>5</w:t>
      </w:r>
      <w:r>
        <w:rPr>
          <w:rFonts w:hint="eastAsia"/>
          <w:lang w:eastAsia="zh-CN"/>
        </w:rPr>
        <w:t>)《人民法院委托评估工作规范》的通知</w:t>
      </w:r>
      <w:r>
        <w:rPr>
          <w:rFonts w:hint="eastAsia"/>
          <w:lang w:val="en-US" w:eastAsia="zh-CN"/>
        </w:rPr>
        <w:t>(法办[2018]273号)。</w:t>
      </w:r>
    </w:p>
    <w:p>
      <w:pPr>
        <w:keepLines w:val="0"/>
        <w:pageBreakBefore w:val="0"/>
        <w:widowControl w:val="0"/>
        <w:kinsoku/>
        <w:wordWrap/>
        <w:overflowPunct/>
        <w:topLinePunct w:val="0"/>
        <w:bidi w:val="0"/>
        <w:snapToGrid/>
        <w:spacing w:line="480" w:lineRule="atLeast"/>
        <w:ind w:left="0" w:leftChars="0" w:right="0" w:rightChars="0" w:firstLine="31680"/>
        <w:rPr>
          <w:rFonts w:hint="eastAsia" w:ascii="华文中宋" w:hAnsi="华文中宋" w:eastAsia="华文中宋" w:cs="华文中宋"/>
        </w:rPr>
      </w:pPr>
      <w:r>
        <w:rPr>
          <w:rFonts w:hint="eastAsia" w:ascii="华文中宋" w:hAnsi="华文中宋" w:eastAsia="华文中宋" w:cs="华文中宋"/>
        </w:rPr>
        <w:t>3、技术标准</w:t>
      </w:r>
    </w:p>
    <w:p>
      <w:pPr>
        <w:keepLines w:val="0"/>
        <w:pageBreakBefore w:val="0"/>
        <w:widowControl w:val="0"/>
        <w:kinsoku/>
        <w:wordWrap/>
        <w:overflowPunct/>
        <w:topLinePunct w:val="0"/>
        <w:bidi w:val="0"/>
        <w:snapToGrid/>
        <w:spacing w:line="480" w:lineRule="atLeast"/>
        <w:ind w:left="0" w:leftChars="0" w:right="0" w:rightChars="0" w:firstLine="31680"/>
        <w:rPr>
          <w:rFonts w:hint="eastAsia" w:ascii="华文中宋" w:hAnsi="华文中宋" w:eastAsia="华文中宋" w:cs="华文中宋"/>
        </w:rPr>
      </w:pPr>
      <w:r>
        <w:rPr>
          <w:rFonts w:hint="eastAsia" w:ascii="华文中宋" w:hAnsi="华文中宋" w:eastAsia="华文中宋" w:cs="华文中宋"/>
        </w:rPr>
        <w:t>(1)《房地产估价规范》(GB/T50291-2015)[2015年12月1日起执行]；</w:t>
      </w:r>
    </w:p>
    <w:p>
      <w:pPr>
        <w:keepLines w:val="0"/>
        <w:pageBreakBefore w:val="0"/>
        <w:widowControl w:val="0"/>
        <w:kinsoku/>
        <w:wordWrap/>
        <w:overflowPunct/>
        <w:topLinePunct w:val="0"/>
        <w:bidi w:val="0"/>
        <w:snapToGrid/>
        <w:spacing w:line="480" w:lineRule="atLeast"/>
        <w:ind w:left="0" w:leftChars="0" w:right="0" w:rightChars="0" w:firstLine="31680"/>
        <w:rPr>
          <w:rFonts w:hint="eastAsia" w:ascii="华文中宋" w:hAnsi="华文中宋" w:eastAsia="华文中宋" w:cs="华文中宋"/>
        </w:rPr>
      </w:pPr>
      <w:r>
        <w:rPr>
          <w:rFonts w:hint="eastAsia" w:ascii="华文中宋" w:hAnsi="华文中宋" w:eastAsia="华文中宋" w:cs="华文中宋"/>
        </w:rPr>
        <w:t>(2)《房地产估价基本术语标准》(GB/T50899-2013)；</w:t>
      </w:r>
    </w:p>
    <w:p>
      <w:pPr>
        <w:keepLines w:val="0"/>
        <w:pageBreakBefore w:val="0"/>
        <w:widowControl w:val="0"/>
        <w:kinsoku/>
        <w:wordWrap/>
        <w:overflowPunct/>
        <w:topLinePunct w:val="0"/>
        <w:bidi w:val="0"/>
        <w:snapToGrid/>
        <w:spacing w:line="480" w:lineRule="atLeast"/>
        <w:ind w:left="0" w:leftChars="0" w:right="0" w:rightChars="0" w:firstLine="31680"/>
        <w:rPr>
          <w:rFonts w:hint="eastAsia" w:ascii="华文中宋" w:hAnsi="华文中宋" w:eastAsia="华文中宋" w:cs="华文中宋"/>
        </w:rPr>
      </w:pPr>
      <w:r>
        <w:rPr>
          <w:rFonts w:hint="eastAsia" w:ascii="华文中宋" w:hAnsi="华文中宋" w:eastAsia="华文中宋" w:cs="华文中宋"/>
        </w:rPr>
        <w:t>4、估价委托人提供的委托书</w:t>
      </w:r>
    </w:p>
    <w:p>
      <w:pPr>
        <w:keepLines w:val="0"/>
        <w:pageBreakBefore w:val="0"/>
        <w:widowControl w:val="0"/>
        <w:kinsoku/>
        <w:wordWrap/>
        <w:overflowPunct/>
        <w:topLinePunct w:val="0"/>
        <w:bidi w:val="0"/>
        <w:snapToGrid/>
        <w:spacing w:line="480" w:lineRule="atLeast"/>
        <w:ind w:left="0" w:leftChars="0" w:right="0" w:rightChars="0" w:firstLine="31680"/>
        <w:rPr>
          <w:rFonts w:hint="eastAsia" w:ascii="华文中宋" w:hAnsi="华文中宋" w:eastAsia="华文中宋" w:cs="华文中宋"/>
        </w:rPr>
      </w:pPr>
      <w:r>
        <w:rPr>
          <w:rFonts w:hint="eastAsia" w:ascii="华文中宋" w:hAnsi="华文中宋" w:eastAsia="华文中宋" w:cs="华文中宋"/>
          <w:lang w:eastAsia="zh-CN"/>
        </w:rPr>
        <w:t>《司法鉴定评估委托书》（2019）鞍法技委字第3133号。</w:t>
      </w:r>
    </w:p>
    <w:p>
      <w:pPr>
        <w:keepLines w:val="0"/>
        <w:pageBreakBefore w:val="0"/>
        <w:widowControl w:val="0"/>
        <w:kinsoku/>
        <w:wordWrap/>
        <w:overflowPunct/>
        <w:topLinePunct w:val="0"/>
        <w:bidi w:val="0"/>
        <w:snapToGrid/>
        <w:spacing w:line="480" w:lineRule="atLeast"/>
        <w:ind w:left="0" w:leftChars="0" w:right="0" w:rightChars="0" w:firstLine="31680"/>
        <w:rPr>
          <w:rFonts w:hint="eastAsia" w:ascii="华文中宋" w:hAnsi="华文中宋" w:eastAsia="华文中宋" w:cs="华文中宋"/>
        </w:rPr>
      </w:pPr>
      <w:r>
        <w:rPr>
          <w:rFonts w:hint="eastAsia" w:ascii="华文中宋" w:hAnsi="华文中宋" w:eastAsia="华文中宋" w:cs="华文中宋"/>
        </w:rPr>
        <w:t>5、产权依据</w:t>
      </w:r>
    </w:p>
    <w:p>
      <w:pPr>
        <w:keepLines w:val="0"/>
        <w:pageBreakBefore w:val="0"/>
        <w:widowControl w:val="0"/>
        <w:kinsoku/>
        <w:wordWrap/>
        <w:overflowPunct/>
        <w:topLinePunct w:val="0"/>
        <w:bidi w:val="0"/>
        <w:snapToGrid/>
        <w:spacing w:line="480" w:lineRule="atLeast"/>
        <w:ind w:left="0" w:leftChars="0" w:right="0" w:rightChars="0" w:firstLine="31680"/>
        <w:rPr>
          <w:rFonts w:hint="eastAsia" w:ascii="华文中宋" w:hAnsi="华文中宋" w:eastAsia="华文中宋" w:cs="华文中宋"/>
          <w:szCs w:val="24"/>
          <w:lang w:val="en-US" w:eastAsia="zh-CN"/>
        </w:rPr>
      </w:pPr>
      <w:r>
        <w:rPr>
          <w:rFonts w:hint="eastAsia" w:ascii="华文中宋" w:hAnsi="华文中宋" w:eastAsia="华文中宋" w:cs="华文中宋"/>
        </w:rPr>
        <w:t>(1)</w:t>
      </w:r>
      <w:r>
        <w:rPr>
          <w:rFonts w:hint="eastAsia" w:ascii="华文中宋" w:hAnsi="华文中宋" w:cs="华文中宋"/>
          <w:lang w:eastAsia="zh-CN"/>
        </w:rPr>
        <w:t>委托人提供的</w:t>
      </w:r>
      <w:r>
        <w:rPr>
          <w:rFonts w:hint="eastAsia" w:ascii="华文中宋" w:hAnsi="华文中宋" w:eastAsia="华文中宋" w:cs="华文中宋"/>
          <w:szCs w:val="24"/>
          <w:lang w:val="en-US" w:eastAsia="zh-CN"/>
        </w:rPr>
        <w:t>《</w:t>
      </w:r>
      <w:r>
        <w:rPr>
          <w:rFonts w:hint="eastAsia" w:ascii="华文中宋" w:hAnsi="华文中宋" w:cs="华文中宋"/>
          <w:szCs w:val="24"/>
          <w:lang w:val="en-US" w:eastAsia="zh-CN"/>
        </w:rPr>
        <w:t>嘉泰园小区委估房产清单</w:t>
      </w:r>
      <w:r>
        <w:rPr>
          <w:rFonts w:hint="eastAsia" w:ascii="华文中宋" w:hAnsi="华文中宋" w:eastAsia="华文中宋" w:cs="华文中宋"/>
          <w:szCs w:val="24"/>
          <w:lang w:val="en-US" w:eastAsia="zh-CN"/>
        </w:rPr>
        <w:t>》</w:t>
      </w:r>
      <w:r>
        <w:rPr>
          <w:rFonts w:hint="eastAsia" w:ascii="华文中宋" w:hAnsi="华文中宋" w:cs="华文中宋"/>
          <w:szCs w:val="24"/>
          <w:lang w:val="en-US" w:eastAsia="zh-CN"/>
        </w:rPr>
        <w:t>。</w:t>
      </w:r>
    </w:p>
    <w:p>
      <w:pPr>
        <w:keepLines w:val="0"/>
        <w:pageBreakBefore w:val="0"/>
        <w:widowControl w:val="0"/>
        <w:kinsoku/>
        <w:wordWrap/>
        <w:overflowPunct/>
        <w:topLinePunct w:val="0"/>
        <w:bidi w:val="0"/>
        <w:snapToGrid/>
        <w:spacing w:line="480" w:lineRule="atLeast"/>
        <w:ind w:left="0" w:leftChars="0" w:right="0" w:rightChars="0" w:firstLine="31680"/>
        <w:rPr>
          <w:rFonts w:hint="eastAsia" w:ascii="华文中宋" w:hAnsi="华文中宋" w:eastAsia="华文中宋" w:cs="华文中宋"/>
        </w:rPr>
      </w:pPr>
      <w:r>
        <w:rPr>
          <w:rFonts w:hint="eastAsia" w:ascii="华文中宋" w:hAnsi="华文中宋" w:eastAsia="华文中宋" w:cs="华文中宋"/>
        </w:rPr>
        <w:t>6、评估人员现场勘察及收集的有关资料。</w:t>
      </w:r>
    </w:p>
    <w:p>
      <w:pPr>
        <w:keepLines w:val="0"/>
        <w:pageBreakBefore w:val="0"/>
        <w:widowControl w:val="0"/>
        <w:kinsoku/>
        <w:wordWrap/>
        <w:overflowPunct/>
        <w:topLinePunct w:val="0"/>
        <w:bidi w:val="0"/>
        <w:snapToGrid/>
        <w:spacing w:line="480" w:lineRule="atLeast"/>
        <w:ind w:left="0" w:leftChars="0" w:right="0" w:rightChars="0" w:firstLine="31680"/>
        <w:rPr>
          <w:rFonts w:hint="eastAsia" w:ascii="华文中宋" w:hAnsi="华文中宋" w:eastAsia="华文中宋" w:cs="华文中宋"/>
        </w:rPr>
      </w:pPr>
      <w:r>
        <w:rPr>
          <w:rFonts w:hint="eastAsia" w:ascii="华文中宋" w:hAnsi="华文中宋" w:eastAsia="华文中宋" w:cs="华文中宋"/>
        </w:rPr>
        <w:t>7、其他有关法律、法规及规范等。</w:t>
      </w:r>
    </w:p>
    <w:p>
      <w:pPr>
        <w:pStyle w:val="3"/>
        <w:keepLines w:val="0"/>
        <w:pageBreakBefore w:val="0"/>
        <w:widowControl w:val="0"/>
        <w:kinsoku/>
        <w:wordWrap/>
        <w:overflowPunct/>
        <w:topLinePunct w:val="0"/>
        <w:bidi w:val="0"/>
        <w:snapToGrid/>
        <w:spacing w:line="480" w:lineRule="atLeast"/>
        <w:ind w:left="0" w:leftChars="0" w:right="0" w:rightChars="0"/>
        <w:rPr>
          <w:rFonts w:hint="eastAsia" w:ascii="华文中宋" w:hAnsi="华文中宋" w:eastAsia="华文中宋" w:cs="华文中宋"/>
        </w:rPr>
      </w:pPr>
      <w:bookmarkStart w:id="111" w:name="_Toc410379059"/>
      <w:bookmarkStart w:id="112" w:name="_Toc22863"/>
      <w:bookmarkStart w:id="113" w:name="_Toc409772461"/>
      <w:bookmarkStart w:id="114" w:name="_Toc429557862"/>
      <w:bookmarkStart w:id="115" w:name="_Toc18918"/>
      <w:bookmarkStart w:id="116" w:name="_Toc508803787"/>
      <w:bookmarkStart w:id="117" w:name="_Toc415039140"/>
      <w:bookmarkStart w:id="118" w:name="_Toc428348801"/>
      <w:bookmarkStart w:id="119" w:name="_Toc452121208"/>
      <w:bookmarkStart w:id="120" w:name="_Toc1663"/>
      <w:bookmarkStart w:id="121" w:name="_Toc449598320"/>
      <w:r>
        <w:rPr>
          <w:rFonts w:hint="eastAsia" w:ascii="华文中宋" w:hAnsi="华文中宋" w:eastAsia="华文中宋" w:cs="华文中宋"/>
        </w:rPr>
        <w:t>九、估价方法</w:t>
      </w:r>
      <w:bookmarkEnd w:id="111"/>
      <w:bookmarkEnd w:id="112"/>
      <w:bookmarkEnd w:id="113"/>
      <w:bookmarkEnd w:id="114"/>
      <w:bookmarkEnd w:id="115"/>
      <w:bookmarkEnd w:id="116"/>
      <w:bookmarkEnd w:id="117"/>
      <w:bookmarkEnd w:id="118"/>
      <w:bookmarkEnd w:id="119"/>
      <w:bookmarkEnd w:id="120"/>
      <w:bookmarkEnd w:id="121"/>
    </w:p>
    <w:p>
      <w:pPr>
        <w:keepLines w:val="0"/>
        <w:pageBreakBefore w:val="0"/>
        <w:widowControl w:val="0"/>
        <w:kinsoku/>
        <w:wordWrap/>
        <w:overflowPunct/>
        <w:topLinePunct w:val="0"/>
        <w:bidi w:val="0"/>
        <w:snapToGrid/>
        <w:spacing w:line="480" w:lineRule="atLeast"/>
        <w:ind w:firstLine="31680"/>
      </w:pPr>
      <w:r>
        <w:t>(</w:t>
      </w:r>
      <w:r>
        <w:rPr>
          <w:rFonts w:hint="eastAsia"/>
        </w:rPr>
        <w:t>一</w:t>
      </w:r>
      <w:r>
        <w:t>)</w:t>
      </w:r>
      <w:r>
        <w:rPr>
          <w:rFonts w:hint="eastAsia"/>
        </w:rPr>
        <w:t>估价方法</w:t>
      </w:r>
    </w:p>
    <w:p>
      <w:pPr>
        <w:keepLines w:val="0"/>
        <w:pageBreakBefore w:val="0"/>
        <w:widowControl w:val="0"/>
        <w:kinsoku/>
        <w:wordWrap/>
        <w:overflowPunct/>
        <w:topLinePunct w:val="0"/>
        <w:bidi w:val="0"/>
        <w:snapToGrid/>
        <w:spacing w:line="480" w:lineRule="atLeast"/>
        <w:ind w:firstLine="31680"/>
      </w:pPr>
      <w:r>
        <w:rPr>
          <w:rFonts w:hint="eastAsia"/>
        </w:rPr>
        <w:t>根据《房地产估价规范》</w:t>
      </w:r>
      <w:r>
        <w:t>GB/T50291-2015</w:t>
      </w:r>
      <w:r>
        <w:rPr>
          <w:rFonts w:hint="eastAsia"/>
        </w:rPr>
        <w:t>，房地产估价常用的方法有比较法、收益法、成本法、假设开发法等。具体的评估方法，应根据估价目的并结合委估房产的价值类型、估价对象的具体性质，可搜集数据和信息资料的制约等因素，综合考虑，适当选取。</w:t>
      </w:r>
    </w:p>
    <w:p>
      <w:pPr>
        <w:keepNext w:val="0"/>
        <w:keepLines w:val="0"/>
        <w:pageBreakBefore w:val="0"/>
        <w:widowControl w:val="0"/>
        <w:kinsoku/>
        <w:wordWrap/>
        <w:overflowPunct/>
        <w:topLinePunct w:val="0"/>
        <w:autoSpaceDE/>
        <w:autoSpaceDN/>
        <w:bidi w:val="0"/>
        <w:adjustRightInd/>
        <w:snapToGrid/>
        <w:spacing w:line="480" w:lineRule="atLeast"/>
        <w:ind w:firstLine="31680"/>
        <w:textAlignment w:val="auto"/>
      </w:pPr>
      <w:r>
        <w:t>1</w:t>
      </w:r>
      <w:r>
        <w:rPr>
          <w:rFonts w:hint="eastAsia"/>
        </w:rPr>
        <w:t>、比较法是指将估价对象房地产与在估价时点的近期发生了交易的类似房地产加以比较对照，对这些类似房地产的成交价格做适当的处理来求取估价对象房地产价值的方法。</w:t>
      </w:r>
    </w:p>
    <w:p>
      <w:pPr>
        <w:keepNext w:val="0"/>
        <w:keepLines w:val="0"/>
        <w:pageBreakBefore w:val="0"/>
        <w:widowControl w:val="0"/>
        <w:kinsoku/>
        <w:wordWrap/>
        <w:overflowPunct/>
        <w:topLinePunct w:val="0"/>
        <w:autoSpaceDE/>
        <w:autoSpaceDN/>
        <w:bidi w:val="0"/>
        <w:adjustRightInd/>
        <w:snapToGrid/>
        <w:spacing w:line="480" w:lineRule="atLeast"/>
        <w:ind w:firstLine="31680"/>
        <w:textAlignment w:val="auto"/>
      </w:pPr>
      <w:r>
        <w:t>2</w:t>
      </w:r>
      <w:r>
        <w:rPr>
          <w:rFonts w:hint="eastAsia"/>
        </w:rPr>
        <w:t>、收益法是预测估价对象的未来收益，利用报酬率或资本化率、收益乘数将未来收益转换为价值得到估价对象价值或价格的方法。</w:t>
      </w:r>
    </w:p>
    <w:p>
      <w:pPr>
        <w:keepNext w:val="0"/>
        <w:keepLines w:val="0"/>
        <w:pageBreakBefore w:val="0"/>
        <w:widowControl w:val="0"/>
        <w:kinsoku/>
        <w:wordWrap/>
        <w:overflowPunct/>
        <w:topLinePunct w:val="0"/>
        <w:autoSpaceDE/>
        <w:autoSpaceDN/>
        <w:bidi w:val="0"/>
        <w:adjustRightInd/>
        <w:snapToGrid/>
        <w:spacing w:line="480" w:lineRule="atLeast"/>
        <w:ind w:firstLine="31680"/>
        <w:textAlignment w:val="auto"/>
        <w:rPr>
          <w:rFonts w:hint="eastAsia"/>
        </w:rPr>
      </w:pPr>
      <w:r>
        <w:t>3</w:t>
      </w:r>
      <w:r>
        <w:rPr>
          <w:rFonts w:hint="eastAsia"/>
        </w:rPr>
        <w:t>、假设开发法是求得估价对象后续开发的必要支出及折现率或后续开发的必要支出及应得利润和开发完成后的价值，将开发完成后的价值和后续开发的必要支出折现到价值时点相减，或将开发完成后的价值减去后续开发的必要支出及应得利润得到估价对象价值或价格的方法。</w:t>
      </w:r>
    </w:p>
    <w:p>
      <w:pPr>
        <w:keepNext w:val="0"/>
        <w:keepLines w:val="0"/>
        <w:pageBreakBefore w:val="0"/>
        <w:widowControl w:val="0"/>
        <w:kinsoku/>
        <w:wordWrap/>
        <w:overflowPunct/>
        <w:topLinePunct w:val="0"/>
        <w:autoSpaceDE/>
        <w:autoSpaceDN/>
        <w:bidi w:val="0"/>
        <w:adjustRightInd/>
        <w:snapToGrid/>
        <w:spacing w:line="480" w:lineRule="atLeast"/>
        <w:ind w:firstLine="31680"/>
        <w:textAlignment w:val="auto"/>
      </w:pPr>
      <w:r>
        <w:t>4</w:t>
      </w:r>
      <w:r>
        <w:rPr>
          <w:rFonts w:hint="eastAsia"/>
        </w:rPr>
        <w:t>、成本法是测算估价对象在价值时点的重置成本或者重建成本和折旧，将重置成本或重建成本减去折旧得到估价对象价值或价格的方法。</w:t>
      </w:r>
    </w:p>
    <w:p>
      <w:pPr>
        <w:keepNext w:val="0"/>
        <w:keepLines w:val="0"/>
        <w:pageBreakBefore w:val="0"/>
        <w:widowControl w:val="0"/>
        <w:kinsoku/>
        <w:wordWrap/>
        <w:overflowPunct/>
        <w:topLinePunct w:val="0"/>
        <w:autoSpaceDE/>
        <w:autoSpaceDN/>
        <w:bidi w:val="0"/>
        <w:adjustRightInd/>
        <w:snapToGrid/>
        <w:spacing w:line="480" w:lineRule="atLeast"/>
        <w:ind w:firstLine="31680"/>
        <w:textAlignment w:val="auto"/>
      </w:pPr>
      <w:bookmarkStart w:id="122" w:name="OLE_LINK2"/>
      <w:bookmarkStart w:id="123" w:name="OLE_LINK3"/>
      <w:r>
        <w:t>(</w:t>
      </w:r>
      <w:r>
        <w:rPr>
          <w:rFonts w:hint="eastAsia"/>
        </w:rPr>
        <w:t>二</w:t>
      </w:r>
      <w:r>
        <w:t>)</w:t>
      </w:r>
      <w:r>
        <w:rPr>
          <w:rFonts w:hint="eastAsia"/>
        </w:rPr>
        <w:t>技术路线</w:t>
      </w:r>
      <w:bookmarkEnd w:id="122"/>
      <w:bookmarkEnd w:id="123"/>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right="0" w:rightChars="0" w:firstLine="480" w:firstLineChars="200"/>
        <w:jc w:val="both"/>
        <w:textAlignment w:val="auto"/>
        <w:outlineLvl w:val="9"/>
        <w:rPr>
          <w:rFonts w:hint="eastAsia" w:ascii="华文中宋" w:hAnsi="华文中宋" w:eastAsia="华文中宋" w:cs="华文中宋"/>
        </w:rPr>
      </w:pPr>
      <w:r>
        <w:rPr>
          <w:rFonts w:hint="eastAsia" w:ascii="华文中宋" w:hAnsi="华文中宋" w:eastAsia="华文中宋" w:cs="华文中宋"/>
        </w:rPr>
        <w:t>房地产估价方法主要有比较法、收益法、成本法、假设开发法等。不同的估价方法从不同的角度反映了委估房地产在一定权利状态及一定时间点的价格水平，只是各种方法的适用条件、方法特点、资料要求有所不同，需根据委估房地产的估价目的、实际情况等选择合适的估价方法。</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right="0" w:rightChars="0" w:firstLine="480" w:firstLineChars="200"/>
        <w:jc w:val="both"/>
        <w:textAlignment w:val="auto"/>
        <w:outlineLvl w:val="9"/>
        <w:rPr>
          <w:rFonts w:hint="eastAsia" w:ascii="华文中宋" w:hAnsi="华文中宋" w:eastAsia="华文中宋" w:cs="华文中宋"/>
          <w:lang w:eastAsia="zh-CN"/>
        </w:rPr>
      </w:pPr>
      <w:r>
        <w:rPr>
          <w:rFonts w:hint="eastAsia" w:ascii="华文中宋" w:hAnsi="华文中宋" w:cs="华文中宋"/>
          <w:lang w:val="en-US" w:eastAsia="zh-CN"/>
        </w:rPr>
        <w:t>A、</w:t>
      </w:r>
      <w:r>
        <w:rPr>
          <w:rFonts w:hint="eastAsia" w:ascii="华文中宋" w:hAnsi="华文中宋" w:cs="华文中宋"/>
          <w:lang w:eastAsia="zh-CN"/>
        </w:rPr>
        <w:t>住宅</w:t>
      </w:r>
    </w:p>
    <w:p>
      <w:pPr>
        <w:keepNext w:val="0"/>
        <w:keepLines w:val="0"/>
        <w:pageBreakBefore w:val="0"/>
        <w:widowControl w:val="0"/>
        <w:numPr>
          <w:ilvl w:val="0"/>
          <w:numId w:val="6"/>
        </w:numPr>
        <w:kinsoku/>
        <w:wordWrap/>
        <w:overflowPunct/>
        <w:topLinePunct w:val="0"/>
        <w:autoSpaceDE/>
        <w:autoSpaceDN/>
        <w:bidi w:val="0"/>
        <w:adjustRightInd/>
        <w:snapToGrid/>
        <w:spacing w:line="480" w:lineRule="atLeast"/>
        <w:ind w:left="0" w:leftChars="0" w:right="0" w:rightChars="0" w:firstLine="480" w:firstLineChars="200"/>
        <w:jc w:val="both"/>
        <w:textAlignment w:val="auto"/>
        <w:outlineLvl w:val="9"/>
        <w:rPr>
          <w:rFonts w:hint="eastAsia" w:ascii="华文中宋" w:hAnsi="华文中宋" w:eastAsia="华文中宋" w:cs="华文中宋"/>
        </w:rPr>
      </w:pPr>
      <w:r>
        <w:rPr>
          <w:rFonts w:hint="eastAsia" w:ascii="华文中宋" w:hAnsi="华文中宋" w:eastAsia="华文中宋" w:cs="华文中宋"/>
        </w:rPr>
        <w:t>本次估价对象</w:t>
      </w:r>
      <w:r>
        <w:rPr>
          <w:rFonts w:hint="eastAsia" w:ascii="华文中宋" w:hAnsi="华文中宋" w:cs="华文中宋"/>
          <w:lang w:eastAsia="zh-CN"/>
        </w:rPr>
        <w:t>为</w:t>
      </w:r>
      <w:r>
        <w:rPr>
          <w:rFonts w:hint="eastAsia" w:ascii="华文中宋" w:hAnsi="华文中宋" w:eastAsia="华文中宋" w:cs="华文中宋"/>
          <w:lang w:eastAsia="zh-CN"/>
        </w:rPr>
        <w:t>已</w:t>
      </w:r>
      <w:r>
        <w:rPr>
          <w:rFonts w:hint="eastAsia" w:ascii="华文中宋" w:hAnsi="华文中宋" w:eastAsia="华文中宋" w:cs="华文中宋"/>
        </w:rPr>
        <w:t>建成房地产</w:t>
      </w:r>
      <w:r>
        <w:rPr>
          <w:rFonts w:hint="eastAsia" w:ascii="华文中宋" w:hAnsi="华文中宋" w:eastAsia="华文中宋" w:cs="华文中宋"/>
          <w:lang w:eastAsia="zh-CN"/>
        </w:rPr>
        <w:t>，</w:t>
      </w:r>
      <w:r>
        <w:rPr>
          <w:rFonts w:hint="eastAsia" w:ascii="华文中宋" w:hAnsi="华文中宋" w:cs="华文中宋"/>
          <w:lang w:eastAsia="zh-CN"/>
        </w:rPr>
        <w:t>为整幢建筑物局部，</w:t>
      </w:r>
      <w:r>
        <w:rPr>
          <w:rFonts w:hint="eastAsia" w:ascii="华文中宋" w:hAnsi="华文中宋" w:eastAsia="华文中宋" w:cs="华文中宋"/>
        </w:rPr>
        <w:t>因此不适宜采用假设开发法估价；</w:t>
      </w:r>
    </w:p>
    <w:p>
      <w:pPr>
        <w:keepNext w:val="0"/>
        <w:keepLines w:val="0"/>
        <w:pageBreakBefore w:val="0"/>
        <w:widowControl w:val="0"/>
        <w:numPr>
          <w:ilvl w:val="0"/>
          <w:numId w:val="6"/>
        </w:numPr>
        <w:kinsoku/>
        <w:wordWrap/>
        <w:overflowPunct/>
        <w:topLinePunct w:val="0"/>
        <w:autoSpaceDE/>
        <w:autoSpaceDN/>
        <w:bidi w:val="0"/>
        <w:adjustRightInd/>
        <w:snapToGrid/>
        <w:spacing w:line="480" w:lineRule="atLeast"/>
        <w:ind w:left="0" w:leftChars="0" w:right="0" w:rightChars="0" w:firstLine="480" w:firstLineChars="200"/>
        <w:jc w:val="both"/>
        <w:textAlignment w:val="auto"/>
        <w:outlineLvl w:val="9"/>
      </w:pPr>
      <w:r>
        <w:rPr>
          <w:rFonts w:hint="eastAsia"/>
        </w:rPr>
        <w:t>本次估价对象</w:t>
      </w:r>
      <w:r>
        <w:rPr>
          <w:rFonts w:hint="eastAsia"/>
          <w:lang w:eastAsia="zh-CN"/>
        </w:rPr>
        <w:t>为超建住宅，所在区域</w:t>
      </w:r>
      <w:r>
        <w:rPr>
          <w:rFonts w:hint="eastAsia"/>
        </w:rPr>
        <w:t>类似房产交易、出售情况</w:t>
      </w:r>
      <w:r>
        <w:rPr>
          <w:rFonts w:hint="eastAsia"/>
          <w:lang w:eastAsia="zh-CN"/>
        </w:rPr>
        <w:t>较少</w:t>
      </w:r>
      <w:r>
        <w:rPr>
          <w:rFonts w:hint="eastAsia"/>
        </w:rPr>
        <w:t>，</w:t>
      </w:r>
      <w:r>
        <w:rPr>
          <w:rFonts w:hint="eastAsia"/>
          <w:lang w:eastAsia="zh-CN"/>
        </w:rPr>
        <w:t>无法取得客观的成交案例</w:t>
      </w:r>
      <w:r>
        <w:rPr>
          <w:rFonts w:hint="eastAsia"/>
        </w:rPr>
        <w:t>，因此</w:t>
      </w:r>
      <w:r>
        <w:rPr>
          <w:rFonts w:hint="eastAsia"/>
          <w:lang w:eastAsia="zh-CN"/>
        </w:rPr>
        <w:t>不</w:t>
      </w:r>
      <w:r>
        <w:rPr>
          <w:rFonts w:hint="eastAsia"/>
        </w:rPr>
        <w:t>适宜采用比较法估价；</w:t>
      </w:r>
    </w:p>
    <w:p>
      <w:pPr>
        <w:keepNext w:val="0"/>
        <w:keepLines w:val="0"/>
        <w:pageBreakBefore w:val="0"/>
        <w:widowControl w:val="0"/>
        <w:numPr>
          <w:ilvl w:val="0"/>
          <w:numId w:val="6"/>
        </w:numPr>
        <w:kinsoku/>
        <w:wordWrap/>
        <w:overflowPunct/>
        <w:topLinePunct w:val="0"/>
        <w:autoSpaceDE/>
        <w:autoSpaceDN/>
        <w:bidi w:val="0"/>
        <w:adjustRightInd/>
        <w:snapToGrid/>
        <w:spacing w:line="480" w:lineRule="atLeast"/>
        <w:ind w:left="0" w:leftChars="0" w:right="0" w:rightChars="0" w:firstLine="480" w:firstLineChars="200"/>
        <w:jc w:val="both"/>
        <w:textAlignment w:val="auto"/>
        <w:outlineLvl w:val="9"/>
      </w:pPr>
      <w:r>
        <w:rPr>
          <w:rFonts w:hint="eastAsia"/>
        </w:rPr>
        <w:t>本次委估</w:t>
      </w:r>
      <w:r>
        <w:rPr>
          <w:rFonts w:hint="eastAsia"/>
          <w:lang w:eastAsia="zh-CN"/>
        </w:rPr>
        <w:t>对象所在区域</w:t>
      </w:r>
      <w:r>
        <w:rPr>
          <w:rFonts w:hint="eastAsia"/>
        </w:rPr>
        <w:t>与</w:t>
      </w:r>
      <w:r>
        <w:rPr>
          <w:rFonts w:hint="eastAsia"/>
          <w:lang w:eastAsia="zh-CN"/>
        </w:rPr>
        <w:t>其</w:t>
      </w:r>
      <w:r>
        <w:rPr>
          <w:rFonts w:hint="eastAsia"/>
        </w:rPr>
        <w:t>类似房</w:t>
      </w:r>
      <w:r>
        <w:rPr>
          <w:rFonts w:hint="eastAsia"/>
          <w:lang w:eastAsia="zh-CN"/>
        </w:rPr>
        <w:t>地</w:t>
      </w:r>
      <w:r>
        <w:rPr>
          <w:rFonts w:hint="eastAsia"/>
        </w:rPr>
        <w:t>产租赁案例</w:t>
      </w:r>
      <w:r>
        <w:rPr>
          <w:rFonts w:hint="eastAsia"/>
          <w:lang w:eastAsia="zh-CN"/>
        </w:rPr>
        <w:t>较少</w:t>
      </w:r>
      <w:r>
        <w:rPr>
          <w:rFonts w:hint="eastAsia"/>
        </w:rPr>
        <w:t>，</w:t>
      </w:r>
      <w:r>
        <w:rPr>
          <w:rFonts w:hint="eastAsia"/>
          <w:lang w:eastAsia="zh-CN"/>
        </w:rPr>
        <w:t>无法取得相关参数，</w:t>
      </w:r>
      <w:r>
        <w:rPr>
          <w:rFonts w:hint="eastAsia"/>
        </w:rPr>
        <w:t>因此</w:t>
      </w:r>
      <w:r>
        <w:rPr>
          <w:rFonts w:hint="eastAsia"/>
          <w:lang w:eastAsia="zh-CN"/>
        </w:rPr>
        <w:t>不</w:t>
      </w:r>
      <w:r>
        <w:rPr>
          <w:rFonts w:hint="eastAsia"/>
        </w:rPr>
        <w:t>适宜采用收益法估价；</w:t>
      </w:r>
    </w:p>
    <w:p>
      <w:pPr>
        <w:keepNext w:val="0"/>
        <w:keepLines w:val="0"/>
        <w:pageBreakBefore w:val="0"/>
        <w:widowControl w:val="0"/>
        <w:numPr>
          <w:ilvl w:val="0"/>
          <w:numId w:val="6"/>
        </w:numPr>
        <w:kinsoku/>
        <w:wordWrap/>
        <w:overflowPunct/>
        <w:topLinePunct w:val="0"/>
        <w:autoSpaceDE/>
        <w:autoSpaceDN/>
        <w:bidi w:val="0"/>
        <w:adjustRightInd/>
        <w:snapToGrid/>
        <w:spacing w:line="480" w:lineRule="atLeast"/>
        <w:ind w:left="0" w:leftChars="0" w:right="0" w:rightChars="0" w:firstLine="480" w:firstLineChars="200"/>
        <w:jc w:val="both"/>
        <w:textAlignment w:val="auto"/>
        <w:outlineLvl w:val="9"/>
        <w:rPr>
          <w:rFonts w:hint="eastAsia"/>
          <w:lang w:eastAsia="zh-CN"/>
        </w:rPr>
      </w:pPr>
      <w:r>
        <w:rPr>
          <w:rFonts w:hint="eastAsia"/>
          <w:lang w:eastAsia="zh-CN"/>
        </w:rPr>
        <w:t>本次委估对象为规划外住宅用途的房屋，其同类房屋建筑物开发成本、管理费、投资利息及开发利润等相关参数比较容易取得，故本次住宅采用成本法进行估价。</w:t>
      </w:r>
    </w:p>
    <w:p>
      <w:pPr>
        <w:keepNext w:val="0"/>
        <w:keepLines w:val="0"/>
        <w:pageBreakBefore w:val="0"/>
        <w:widowControl w:val="0"/>
        <w:kinsoku/>
        <w:wordWrap/>
        <w:overflowPunct/>
        <w:topLinePunct w:val="0"/>
        <w:autoSpaceDE/>
        <w:autoSpaceDN/>
        <w:bidi w:val="0"/>
        <w:adjustRightInd/>
        <w:snapToGrid/>
        <w:spacing w:line="480" w:lineRule="atLeast"/>
        <w:ind w:firstLine="31680"/>
        <w:textAlignment w:val="auto"/>
        <w:rPr>
          <w:rFonts w:hint="eastAsia" w:ascii="华文中宋" w:hAnsi="华文中宋" w:eastAsia="华文中宋" w:cs="华文中宋"/>
        </w:rPr>
      </w:pPr>
      <w:r>
        <w:rPr>
          <w:rFonts w:hint="eastAsia"/>
        </w:rPr>
        <w:t>故本次</w:t>
      </w:r>
      <w:r>
        <w:rPr>
          <w:rFonts w:hint="eastAsia"/>
          <w:lang w:eastAsia="zh-CN"/>
        </w:rPr>
        <w:t>住宅</w:t>
      </w:r>
      <w:r>
        <w:rPr>
          <w:rFonts w:hint="eastAsia"/>
        </w:rPr>
        <w:t>采用的</w:t>
      </w:r>
      <w:r>
        <w:rPr>
          <w:rFonts w:hint="eastAsia"/>
          <w:lang w:eastAsia="zh-CN"/>
        </w:rPr>
        <w:t>估价</w:t>
      </w:r>
      <w:r>
        <w:rPr>
          <w:rFonts w:hint="eastAsia"/>
        </w:rPr>
        <w:t>方法是</w:t>
      </w:r>
      <w:r>
        <w:rPr>
          <w:rFonts w:hint="eastAsia"/>
          <w:lang w:eastAsia="zh-CN"/>
        </w:rPr>
        <w:t>成本法</w:t>
      </w:r>
      <w:r>
        <w:rPr>
          <w:rFonts w:hint="eastAsia" w:ascii="华文中宋" w:hAnsi="华文中宋" w:eastAsia="华文中宋" w:cs="华文中宋"/>
        </w:rPr>
        <w:t>。</w:t>
      </w:r>
    </w:p>
    <w:p>
      <w:pPr>
        <w:keepNext w:val="0"/>
        <w:keepLines w:val="0"/>
        <w:pageBreakBefore w:val="0"/>
        <w:widowControl w:val="0"/>
        <w:kinsoku/>
        <w:wordWrap/>
        <w:overflowPunct/>
        <w:topLinePunct w:val="0"/>
        <w:autoSpaceDE/>
        <w:autoSpaceDN/>
        <w:bidi w:val="0"/>
        <w:adjustRightInd/>
        <w:snapToGrid/>
        <w:spacing w:line="480" w:lineRule="atLeast"/>
        <w:ind w:firstLine="31680"/>
        <w:textAlignment w:val="auto"/>
        <w:rPr>
          <w:rFonts w:hint="eastAsia" w:ascii="华文中宋" w:hAnsi="华文中宋" w:cs="华文中宋"/>
          <w:lang w:eastAsia="zh-CN"/>
        </w:rPr>
      </w:pPr>
      <w:r>
        <w:rPr>
          <w:rFonts w:hint="eastAsia" w:ascii="华文中宋" w:hAnsi="华文中宋" w:cs="华文中宋"/>
          <w:lang w:val="en-US" w:eastAsia="zh-CN"/>
        </w:rPr>
        <w:t>B、</w:t>
      </w:r>
      <w:r>
        <w:rPr>
          <w:rFonts w:hint="eastAsia" w:ascii="华文中宋" w:hAnsi="华文中宋" w:cs="华文中宋"/>
          <w:lang w:eastAsia="zh-CN"/>
        </w:rPr>
        <w:t>车库、仓库</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left="0" w:leftChars="0" w:right="0" w:rightChars="0" w:firstLine="480" w:firstLineChars="200"/>
        <w:jc w:val="both"/>
        <w:textAlignment w:val="auto"/>
        <w:outlineLvl w:val="9"/>
        <w:rPr>
          <w:rFonts w:hint="eastAsia"/>
          <w:lang w:eastAsia="zh-CN"/>
        </w:rPr>
      </w:pPr>
      <w:r>
        <w:rPr>
          <w:rFonts w:hint="eastAsia"/>
          <w:lang w:val="en-US" w:eastAsia="zh-CN"/>
        </w:rPr>
        <w:t>1、</w:t>
      </w:r>
      <w:r>
        <w:rPr>
          <w:rFonts w:hint="eastAsia"/>
          <w:lang w:eastAsia="zh-CN"/>
        </w:rPr>
        <w:t>本次估价对象已建成房地产，</w:t>
      </w:r>
      <w:r>
        <w:rPr>
          <w:rFonts w:hint="eastAsia" w:ascii="华文中宋" w:hAnsi="华文中宋" w:cs="华文中宋"/>
          <w:lang w:eastAsia="zh-CN"/>
        </w:rPr>
        <w:t>为整幢建筑物局部</w:t>
      </w:r>
      <w:r>
        <w:rPr>
          <w:rFonts w:hint="eastAsia"/>
          <w:lang w:eastAsia="zh-CN"/>
        </w:rPr>
        <w:t>，因此不适宜采用假设开发法估价；</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left="0" w:leftChars="0" w:right="0" w:rightChars="0" w:firstLine="480" w:firstLineChars="200"/>
        <w:jc w:val="both"/>
        <w:textAlignment w:val="auto"/>
        <w:outlineLvl w:val="9"/>
        <w:rPr>
          <w:rFonts w:hint="eastAsia"/>
          <w:lang w:eastAsia="zh-CN"/>
        </w:rPr>
      </w:pPr>
      <w:r>
        <w:rPr>
          <w:rFonts w:hint="eastAsia"/>
          <w:lang w:val="en-US" w:eastAsia="zh-CN"/>
        </w:rPr>
        <w:t>2、</w:t>
      </w:r>
      <w:r>
        <w:rPr>
          <w:rFonts w:hint="eastAsia"/>
          <w:lang w:eastAsia="zh-CN"/>
        </w:rPr>
        <w:t>本次委估对象采用成本法不能客观的反应市场价值，因此不适宜采用成本法估价；</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left="0" w:leftChars="0" w:right="0" w:rightChars="0" w:firstLine="480" w:firstLineChars="200"/>
        <w:jc w:val="both"/>
        <w:textAlignment w:val="auto"/>
        <w:outlineLvl w:val="9"/>
        <w:rPr>
          <w:rFonts w:hint="eastAsia"/>
          <w:lang w:eastAsia="zh-CN"/>
        </w:rPr>
      </w:pPr>
      <w:r>
        <w:rPr>
          <w:rFonts w:hint="eastAsia"/>
          <w:lang w:val="en-US" w:eastAsia="zh-CN"/>
        </w:rPr>
        <w:t>3、</w:t>
      </w:r>
      <w:r>
        <w:rPr>
          <w:rFonts w:hint="eastAsia"/>
          <w:lang w:eastAsia="zh-CN"/>
        </w:rPr>
        <w:t>本次委估对象所在区域与其类似房地产租赁案例较少，因此不适宜采用收益法估价；</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left="0" w:leftChars="0" w:right="0" w:rightChars="0" w:firstLine="480" w:firstLineChars="200"/>
        <w:jc w:val="both"/>
        <w:textAlignment w:val="auto"/>
        <w:outlineLvl w:val="9"/>
        <w:rPr>
          <w:rFonts w:hint="eastAsia"/>
          <w:lang w:eastAsia="zh-CN"/>
        </w:rPr>
      </w:pPr>
      <w:r>
        <w:rPr>
          <w:rFonts w:hint="eastAsia"/>
          <w:lang w:val="en-US" w:eastAsia="zh-CN"/>
        </w:rPr>
        <w:t>4、</w:t>
      </w:r>
      <w:r>
        <w:rPr>
          <w:rFonts w:hint="eastAsia"/>
          <w:lang w:eastAsia="zh-CN"/>
        </w:rPr>
        <w:t>本次估价对象所在区域类似房产交易、出售情况较多，并且能够反映估价对象客观市场价值，因此适宜采用比较法估价。</w:t>
      </w:r>
    </w:p>
    <w:p>
      <w:pPr>
        <w:keepNext w:val="0"/>
        <w:keepLines w:val="0"/>
        <w:pageBreakBefore w:val="0"/>
        <w:widowControl w:val="0"/>
        <w:kinsoku/>
        <w:wordWrap/>
        <w:overflowPunct/>
        <w:topLinePunct w:val="0"/>
        <w:autoSpaceDE/>
        <w:autoSpaceDN/>
        <w:bidi w:val="0"/>
        <w:adjustRightInd/>
        <w:snapToGrid/>
        <w:spacing w:line="480" w:lineRule="atLeast"/>
        <w:ind w:firstLine="31680"/>
        <w:textAlignment w:val="auto"/>
        <w:rPr>
          <w:rFonts w:hint="eastAsia" w:ascii="华文中宋" w:hAnsi="华文中宋" w:cs="华文中宋"/>
          <w:lang w:eastAsia="zh-CN"/>
        </w:rPr>
      </w:pPr>
      <w:r>
        <w:rPr>
          <w:rFonts w:hint="eastAsia"/>
        </w:rPr>
        <w:t>故本次</w:t>
      </w:r>
      <w:r>
        <w:rPr>
          <w:rFonts w:hint="eastAsia"/>
          <w:lang w:eastAsia="zh-CN"/>
        </w:rPr>
        <w:t>车库、仓库</w:t>
      </w:r>
      <w:r>
        <w:rPr>
          <w:rFonts w:hint="eastAsia"/>
        </w:rPr>
        <w:t>采用的</w:t>
      </w:r>
      <w:r>
        <w:rPr>
          <w:rFonts w:hint="eastAsia"/>
          <w:lang w:eastAsia="zh-CN"/>
        </w:rPr>
        <w:t>估价</w:t>
      </w:r>
      <w:r>
        <w:rPr>
          <w:rFonts w:hint="eastAsia"/>
        </w:rPr>
        <w:t>方法是</w:t>
      </w:r>
      <w:r>
        <w:rPr>
          <w:rFonts w:hint="eastAsia"/>
          <w:lang w:eastAsia="zh-CN"/>
        </w:rPr>
        <w:t>比较法</w:t>
      </w:r>
      <w:r>
        <w:rPr>
          <w:rFonts w:hint="eastAsia" w:ascii="华文中宋" w:hAnsi="华文中宋" w:eastAsia="华文中宋" w:cs="华文中宋"/>
        </w:rPr>
        <w:t>。</w:t>
      </w:r>
    </w:p>
    <w:p>
      <w:pPr>
        <w:keepNext w:val="0"/>
        <w:keepLines w:val="0"/>
        <w:pageBreakBefore w:val="0"/>
        <w:widowControl w:val="0"/>
        <w:numPr>
          <w:ilvl w:val="0"/>
          <w:numId w:val="5"/>
        </w:numPr>
        <w:kinsoku/>
        <w:wordWrap/>
        <w:overflowPunct/>
        <w:topLinePunct w:val="0"/>
        <w:autoSpaceDE/>
        <w:autoSpaceDN/>
        <w:bidi w:val="0"/>
        <w:adjustRightInd/>
        <w:snapToGrid/>
        <w:spacing w:line="480" w:lineRule="atLeast"/>
        <w:ind w:left="0" w:leftChars="0" w:right="0" w:rightChars="0" w:firstLine="480" w:firstLineChars="200"/>
        <w:jc w:val="both"/>
        <w:textAlignment w:val="auto"/>
        <w:outlineLvl w:val="9"/>
        <w:rPr>
          <w:rFonts w:hint="eastAsia" w:ascii="华文中宋" w:hAnsi="华文中宋" w:eastAsia="华文中宋" w:cs="华文中宋"/>
          <w:lang w:eastAsia="zh-CN"/>
        </w:rPr>
      </w:pPr>
      <w:r>
        <w:rPr>
          <w:rFonts w:hint="eastAsia" w:ascii="华文中宋" w:hAnsi="华文中宋" w:eastAsia="华文中宋" w:cs="华文中宋"/>
          <w:lang w:eastAsia="zh-CN"/>
        </w:rPr>
        <w:t>估价方法的应用</w:t>
      </w:r>
    </w:p>
    <w:p>
      <w:pPr>
        <w:adjustRightInd w:val="0"/>
        <w:snapToGrid w:val="0"/>
        <w:spacing w:line="560" w:lineRule="exact"/>
        <w:ind w:left="0" w:leftChars="0" w:firstLine="638" w:firstLineChars="266"/>
        <w:rPr>
          <w:rFonts w:hint="eastAsia" w:ascii="华文中宋" w:hAnsi="华文中宋" w:eastAsia="华文中宋" w:cs="华文中宋"/>
          <w:bCs/>
          <w:sz w:val="24"/>
        </w:rPr>
      </w:pPr>
      <w:r>
        <w:rPr>
          <w:rFonts w:hint="eastAsia" w:ascii="华文中宋" w:hAnsi="华文中宋" w:cs="华文中宋"/>
          <w:lang w:eastAsia="zh-CN"/>
        </w:rPr>
        <w:t>①</w:t>
      </w:r>
      <w:r>
        <w:rPr>
          <w:rFonts w:hint="eastAsia" w:ascii="华文中宋" w:hAnsi="华文中宋" w:eastAsia="华文中宋" w:cs="华文中宋"/>
          <w:bCs/>
          <w:sz w:val="24"/>
        </w:rPr>
        <w:t>成本法是指估算重新建造全新状态的估价对象所需的各项必要成本费用和应纳税金、正常开发利润之和，再结合成新率计算出估价对象的市场价格。</w:t>
      </w:r>
    </w:p>
    <w:p>
      <w:pPr>
        <w:adjustRightInd w:val="0"/>
        <w:snapToGrid w:val="0"/>
        <w:spacing w:line="560" w:lineRule="exact"/>
        <w:ind w:left="0" w:leftChars="0" w:firstLine="638" w:firstLineChars="266"/>
        <w:rPr>
          <w:rFonts w:hint="eastAsia" w:ascii="华文中宋" w:hAnsi="华文中宋" w:eastAsia="华文中宋" w:cs="华文中宋"/>
          <w:bCs/>
          <w:sz w:val="24"/>
        </w:rPr>
      </w:pPr>
      <w:r>
        <w:rPr>
          <w:rFonts w:hint="eastAsia" w:ascii="华文中宋" w:hAnsi="华文中宋" w:eastAsia="华文中宋" w:cs="华文中宋"/>
          <w:bCs/>
          <w:sz w:val="24"/>
        </w:rPr>
        <w:t>房屋价格（价值）=房屋重置价格—折旧</w:t>
      </w:r>
    </w:p>
    <w:p>
      <w:pPr>
        <w:adjustRightInd w:val="0"/>
        <w:snapToGrid w:val="0"/>
        <w:spacing w:line="560" w:lineRule="exact"/>
        <w:ind w:left="0" w:leftChars="0" w:firstLine="638" w:firstLineChars="266"/>
        <w:rPr>
          <w:rFonts w:hint="eastAsia" w:ascii="华文中宋" w:hAnsi="华文中宋" w:eastAsia="华文中宋" w:cs="华文中宋"/>
          <w:bCs/>
          <w:sz w:val="24"/>
        </w:rPr>
      </w:pPr>
      <w:r>
        <w:rPr>
          <w:rFonts w:hint="eastAsia" w:ascii="华文中宋" w:hAnsi="华文中宋" w:eastAsia="华文中宋" w:cs="华文中宋"/>
          <w:bCs/>
          <w:sz w:val="24"/>
        </w:rPr>
        <w:t>房屋重置价格V：指被重新建造与估价对象具有同等功能效用的全新状态的建筑物的正常价格。房屋重置价格=开发成本+管理费用+投资利息 +销售税费+开发利润</w:t>
      </w:r>
    </w:p>
    <w:p>
      <w:pPr>
        <w:adjustRightInd w:val="0"/>
        <w:snapToGrid w:val="0"/>
        <w:spacing w:line="560" w:lineRule="exact"/>
        <w:ind w:left="0" w:leftChars="0" w:firstLine="638" w:firstLineChars="266"/>
        <w:rPr>
          <w:rFonts w:hint="eastAsia" w:ascii="华文中宋" w:hAnsi="华文中宋" w:eastAsia="华文中宋" w:cs="华文中宋"/>
          <w:bCs/>
          <w:sz w:val="24"/>
        </w:rPr>
      </w:pPr>
      <w:r>
        <w:rPr>
          <w:rFonts w:hint="eastAsia" w:ascii="华文中宋" w:hAnsi="华文中宋" w:eastAsia="华文中宋" w:cs="华文中宋"/>
          <w:bCs/>
          <w:sz w:val="24"/>
        </w:rPr>
        <w:t>折旧=房屋重置价格×（1-成新率）</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leftChars="200" w:right="0" w:rightChars="0"/>
        <w:jc w:val="both"/>
        <w:textAlignment w:val="auto"/>
        <w:outlineLvl w:val="9"/>
        <w:rPr>
          <w:rFonts w:hint="eastAsia" w:ascii="华文中宋" w:hAnsi="华文中宋" w:eastAsia="华文中宋" w:cs="华文中宋"/>
          <w:lang w:eastAsia="zh-CN"/>
        </w:rPr>
      </w:pPr>
      <w:r>
        <w:rPr>
          <w:rFonts w:hint="eastAsia" w:ascii="华文中宋" w:hAnsi="华文中宋" w:eastAsia="华文中宋" w:cs="华文中宋"/>
          <w:bCs/>
          <w:sz w:val="24"/>
        </w:rPr>
        <w:t>成新率：运用耐用年限法和观察法综合考虑成新率</w:t>
      </w:r>
    </w:p>
    <w:p>
      <w:pPr>
        <w:keepNext w:val="0"/>
        <w:keepLines w:val="0"/>
        <w:pageBreakBefore w:val="0"/>
        <w:widowControl w:val="0"/>
        <w:kinsoku/>
        <w:wordWrap/>
        <w:overflowPunct/>
        <w:topLinePunct w:val="0"/>
        <w:autoSpaceDE/>
        <w:autoSpaceDN/>
        <w:bidi w:val="0"/>
        <w:adjustRightInd/>
        <w:snapToGrid/>
        <w:spacing w:line="480" w:lineRule="atLeast"/>
        <w:ind w:left="0" w:leftChars="0" w:right="0" w:rightChars="0" w:firstLine="480" w:firstLineChars="200"/>
        <w:jc w:val="both"/>
        <w:textAlignment w:val="auto"/>
        <w:outlineLvl w:val="9"/>
      </w:pPr>
      <w:r>
        <w:rPr>
          <w:rFonts w:hint="eastAsia"/>
          <w:lang w:eastAsia="zh-CN"/>
        </w:rPr>
        <w:t>②</w:t>
      </w:r>
      <w:r>
        <w:rPr>
          <w:rFonts w:hint="eastAsia"/>
        </w:rPr>
        <w:t>比较法是指将估价对象房地产与在估价时点的近期发生了交易的类似房地产加以比较对照，对这些类似房地产的成交价格做适当的处理来求取估价对象房地产价值的方法。比较法依据了经济学中的替代原理，将待估价房产与在较近时期内已经发生或将要发生的类似房产交易实例，就交易条件、价格形成的时间、市场状况、房地产状况加以比较对照，以已经发生或将要发生交易的类似房产的已知价格为基础，做必要的修正后，得出待估房产最可能实现的合理市场价格。</w:t>
      </w:r>
      <w:bookmarkStart w:id="124" w:name="_Toc183770310"/>
      <w:bookmarkStart w:id="125" w:name="_Toc183767261"/>
    </w:p>
    <w:p>
      <w:pPr>
        <w:keepNext w:val="0"/>
        <w:keepLines w:val="0"/>
        <w:pageBreakBefore w:val="0"/>
        <w:widowControl w:val="0"/>
        <w:kinsoku/>
        <w:wordWrap/>
        <w:overflowPunct/>
        <w:topLinePunct w:val="0"/>
        <w:autoSpaceDE/>
        <w:autoSpaceDN/>
        <w:bidi w:val="0"/>
        <w:adjustRightInd/>
        <w:snapToGrid/>
        <w:spacing w:line="480" w:lineRule="atLeast"/>
        <w:ind w:left="0" w:leftChars="0" w:right="0" w:rightChars="0" w:firstLine="480" w:firstLineChars="200"/>
        <w:jc w:val="both"/>
        <w:textAlignment w:val="auto"/>
        <w:outlineLvl w:val="9"/>
      </w:pPr>
      <w:r>
        <w:t>1</w:t>
      </w:r>
      <w:r>
        <w:rPr>
          <w:rFonts w:hint="eastAsia"/>
          <w:lang w:eastAsia="zh-CN"/>
        </w:rPr>
        <w:t>、</w:t>
      </w:r>
      <w:r>
        <w:rPr>
          <w:rFonts w:hint="eastAsia"/>
        </w:rPr>
        <w:t>应用市场比较法评估资产必须具备的前提条件</w:t>
      </w:r>
      <w:bookmarkEnd w:id="124"/>
      <w:bookmarkEnd w:id="125"/>
      <w:r>
        <w:rPr>
          <w:rFonts w:hint="eastAsia"/>
        </w:rPr>
        <w:t>：</w:t>
      </w:r>
    </w:p>
    <w:p>
      <w:pPr>
        <w:keepNext w:val="0"/>
        <w:keepLines w:val="0"/>
        <w:pageBreakBefore w:val="0"/>
        <w:widowControl w:val="0"/>
        <w:kinsoku/>
        <w:wordWrap/>
        <w:overflowPunct/>
        <w:topLinePunct w:val="0"/>
        <w:autoSpaceDE/>
        <w:autoSpaceDN/>
        <w:bidi w:val="0"/>
        <w:adjustRightInd/>
        <w:snapToGrid/>
        <w:spacing w:line="480" w:lineRule="atLeast"/>
        <w:ind w:left="0" w:leftChars="0" w:right="0" w:rightChars="0" w:firstLine="480" w:firstLineChars="200"/>
        <w:jc w:val="both"/>
        <w:textAlignment w:val="auto"/>
        <w:outlineLvl w:val="9"/>
      </w:pPr>
      <w:r>
        <w:t xml:space="preserve">(1) </w:t>
      </w:r>
      <w:r>
        <w:rPr>
          <w:rFonts w:hint="eastAsia"/>
        </w:rPr>
        <w:t>要有一个活跃的公开市场；</w:t>
      </w:r>
    </w:p>
    <w:p>
      <w:pPr>
        <w:keepNext w:val="0"/>
        <w:keepLines w:val="0"/>
        <w:pageBreakBefore w:val="0"/>
        <w:widowControl w:val="0"/>
        <w:kinsoku/>
        <w:wordWrap/>
        <w:overflowPunct/>
        <w:topLinePunct w:val="0"/>
        <w:autoSpaceDE/>
        <w:autoSpaceDN/>
        <w:bidi w:val="0"/>
        <w:adjustRightInd/>
        <w:snapToGrid/>
        <w:spacing w:line="480" w:lineRule="atLeast"/>
        <w:ind w:left="0" w:leftChars="0" w:right="0" w:rightChars="0" w:firstLine="480" w:firstLineChars="200"/>
        <w:jc w:val="both"/>
        <w:textAlignment w:val="auto"/>
        <w:outlineLvl w:val="9"/>
      </w:pPr>
      <w:r>
        <w:t xml:space="preserve">(2) </w:t>
      </w:r>
      <w:r>
        <w:rPr>
          <w:rFonts w:hint="eastAsia"/>
        </w:rPr>
        <w:t>公开市场上要有可比的资产及其交易活动。</w:t>
      </w:r>
    </w:p>
    <w:p>
      <w:pPr>
        <w:keepNext w:val="0"/>
        <w:keepLines w:val="0"/>
        <w:pageBreakBefore w:val="0"/>
        <w:widowControl w:val="0"/>
        <w:kinsoku/>
        <w:wordWrap/>
        <w:overflowPunct/>
        <w:topLinePunct w:val="0"/>
        <w:autoSpaceDE/>
        <w:autoSpaceDN/>
        <w:bidi w:val="0"/>
        <w:adjustRightInd/>
        <w:snapToGrid/>
        <w:spacing w:line="480" w:lineRule="atLeast"/>
        <w:ind w:left="0" w:leftChars="0" w:right="0" w:rightChars="0" w:firstLine="480" w:firstLineChars="200"/>
        <w:jc w:val="both"/>
        <w:textAlignment w:val="auto"/>
        <w:outlineLvl w:val="9"/>
      </w:pPr>
      <w:bookmarkStart w:id="126" w:name="_Toc183770311"/>
      <w:bookmarkStart w:id="127" w:name="_Toc183767262"/>
      <w:r>
        <w:t>2</w:t>
      </w:r>
      <w:bookmarkEnd w:id="126"/>
      <w:bookmarkEnd w:id="127"/>
      <w:r>
        <w:rPr>
          <w:rFonts w:hint="eastAsia"/>
          <w:lang w:eastAsia="zh-CN"/>
        </w:rPr>
        <w:t>、</w:t>
      </w:r>
      <w:r>
        <w:rPr>
          <w:rFonts w:hint="eastAsia"/>
        </w:rPr>
        <w:t>市场比较法的基本步骤</w:t>
      </w:r>
    </w:p>
    <w:p>
      <w:pPr>
        <w:keepNext w:val="0"/>
        <w:keepLines w:val="0"/>
        <w:pageBreakBefore w:val="0"/>
        <w:widowControl w:val="0"/>
        <w:kinsoku/>
        <w:wordWrap/>
        <w:overflowPunct/>
        <w:topLinePunct w:val="0"/>
        <w:autoSpaceDE/>
        <w:autoSpaceDN/>
        <w:bidi w:val="0"/>
        <w:adjustRightInd/>
        <w:snapToGrid/>
        <w:spacing w:line="480" w:lineRule="atLeast"/>
        <w:ind w:left="0" w:leftChars="0" w:right="0" w:rightChars="0" w:firstLine="480" w:firstLineChars="200"/>
        <w:jc w:val="both"/>
        <w:textAlignment w:val="auto"/>
        <w:outlineLvl w:val="9"/>
      </w:pPr>
      <w:r>
        <w:t xml:space="preserve">(1) </w:t>
      </w:r>
      <w:r>
        <w:rPr>
          <w:rFonts w:hint="eastAsia"/>
        </w:rPr>
        <w:t>搜集交易实例的有关资料；</w:t>
      </w:r>
    </w:p>
    <w:p>
      <w:pPr>
        <w:keepNext w:val="0"/>
        <w:keepLines w:val="0"/>
        <w:pageBreakBefore w:val="0"/>
        <w:widowControl w:val="0"/>
        <w:kinsoku/>
        <w:wordWrap/>
        <w:overflowPunct/>
        <w:topLinePunct w:val="0"/>
        <w:autoSpaceDE/>
        <w:autoSpaceDN/>
        <w:bidi w:val="0"/>
        <w:adjustRightInd/>
        <w:snapToGrid/>
        <w:spacing w:line="480" w:lineRule="atLeast"/>
        <w:ind w:left="0" w:leftChars="0" w:right="0" w:rightChars="0" w:firstLine="480" w:firstLineChars="200"/>
        <w:jc w:val="both"/>
        <w:textAlignment w:val="auto"/>
        <w:outlineLvl w:val="9"/>
      </w:pPr>
      <w:r>
        <w:t xml:space="preserve">(2) </w:t>
      </w:r>
      <w:r>
        <w:rPr>
          <w:rFonts w:hint="eastAsia"/>
        </w:rPr>
        <w:t>选取有效的可比市场交易实例；</w:t>
      </w:r>
    </w:p>
    <w:p>
      <w:pPr>
        <w:keepNext w:val="0"/>
        <w:keepLines w:val="0"/>
        <w:pageBreakBefore w:val="0"/>
        <w:widowControl w:val="0"/>
        <w:kinsoku/>
        <w:wordWrap/>
        <w:overflowPunct/>
        <w:topLinePunct w:val="0"/>
        <w:autoSpaceDE/>
        <w:autoSpaceDN/>
        <w:bidi w:val="0"/>
        <w:adjustRightInd/>
        <w:snapToGrid/>
        <w:spacing w:line="480" w:lineRule="atLeast"/>
        <w:ind w:left="0" w:leftChars="0" w:right="0" w:rightChars="0" w:firstLine="480" w:firstLineChars="200"/>
        <w:jc w:val="both"/>
        <w:textAlignment w:val="auto"/>
        <w:outlineLvl w:val="9"/>
      </w:pPr>
      <w:r>
        <w:t xml:space="preserve">(3) </w:t>
      </w:r>
      <w:r>
        <w:rPr>
          <w:rFonts w:hint="eastAsia"/>
        </w:rPr>
        <w:t>建立价格可比基础；</w:t>
      </w:r>
    </w:p>
    <w:p>
      <w:pPr>
        <w:keepNext w:val="0"/>
        <w:keepLines w:val="0"/>
        <w:pageBreakBefore w:val="0"/>
        <w:widowControl w:val="0"/>
        <w:kinsoku/>
        <w:wordWrap/>
        <w:overflowPunct/>
        <w:topLinePunct w:val="0"/>
        <w:autoSpaceDE/>
        <w:autoSpaceDN/>
        <w:bidi w:val="0"/>
        <w:adjustRightInd/>
        <w:snapToGrid/>
        <w:spacing w:line="480" w:lineRule="atLeast"/>
        <w:ind w:left="0" w:leftChars="0" w:right="0" w:rightChars="0" w:firstLine="480" w:firstLineChars="200"/>
        <w:jc w:val="both"/>
        <w:textAlignment w:val="auto"/>
        <w:outlineLvl w:val="9"/>
      </w:pPr>
      <w:r>
        <w:t xml:space="preserve">(4) </w:t>
      </w:r>
      <w:r>
        <w:rPr>
          <w:rFonts w:hint="eastAsia"/>
        </w:rPr>
        <w:t>进行交易情况修正；</w:t>
      </w:r>
    </w:p>
    <w:p>
      <w:pPr>
        <w:keepNext w:val="0"/>
        <w:keepLines w:val="0"/>
        <w:pageBreakBefore w:val="0"/>
        <w:widowControl w:val="0"/>
        <w:kinsoku/>
        <w:wordWrap/>
        <w:overflowPunct/>
        <w:topLinePunct w:val="0"/>
        <w:autoSpaceDE/>
        <w:autoSpaceDN/>
        <w:bidi w:val="0"/>
        <w:adjustRightInd/>
        <w:snapToGrid/>
        <w:spacing w:line="480" w:lineRule="atLeast"/>
        <w:ind w:left="0" w:leftChars="0" w:right="0" w:rightChars="0" w:firstLine="480" w:firstLineChars="200"/>
        <w:jc w:val="both"/>
        <w:textAlignment w:val="auto"/>
        <w:outlineLvl w:val="9"/>
      </w:pPr>
      <w:r>
        <w:t xml:space="preserve">(5) </w:t>
      </w:r>
      <w:r>
        <w:rPr>
          <w:rFonts w:hint="eastAsia"/>
        </w:rPr>
        <w:t>进行市场状况调整；</w:t>
      </w:r>
    </w:p>
    <w:p>
      <w:pPr>
        <w:keepNext w:val="0"/>
        <w:keepLines w:val="0"/>
        <w:pageBreakBefore w:val="0"/>
        <w:widowControl w:val="0"/>
        <w:kinsoku/>
        <w:wordWrap/>
        <w:overflowPunct/>
        <w:topLinePunct w:val="0"/>
        <w:autoSpaceDE/>
        <w:autoSpaceDN/>
        <w:bidi w:val="0"/>
        <w:adjustRightInd/>
        <w:snapToGrid/>
        <w:spacing w:line="480" w:lineRule="atLeast"/>
        <w:ind w:left="0" w:leftChars="0" w:right="0" w:rightChars="0" w:firstLine="480" w:firstLineChars="200"/>
        <w:jc w:val="both"/>
        <w:textAlignment w:val="auto"/>
        <w:outlineLvl w:val="9"/>
      </w:pPr>
      <w:r>
        <w:t xml:space="preserve">(6) </w:t>
      </w:r>
      <w:r>
        <w:rPr>
          <w:rFonts w:hint="eastAsia"/>
        </w:rPr>
        <w:t>进行房地产状况调整；</w:t>
      </w:r>
    </w:p>
    <w:p>
      <w:pPr>
        <w:keepNext w:val="0"/>
        <w:keepLines w:val="0"/>
        <w:pageBreakBefore w:val="0"/>
        <w:widowControl w:val="0"/>
        <w:kinsoku/>
        <w:wordWrap/>
        <w:overflowPunct/>
        <w:topLinePunct w:val="0"/>
        <w:autoSpaceDE/>
        <w:autoSpaceDN/>
        <w:bidi w:val="0"/>
        <w:adjustRightInd/>
        <w:snapToGrid/>
        <w:spacing w:line="480" w:lineRule="atLeast"/>
        <w:ind w:left="0" w:leftChars="0" w:right="0" w:rightChars="0" w:firstLine="480" w:firstLineChars="200"/>
        <w:jc w:val="both"/>
        <w:textAlignment w:val="auto"/>
        <w:outlineLvl w:val="9"/>
      </w:pPr>
      <w:r>
        <w:t xml:space="preserve">(7) </w:t>
      </w:r>
      <w:r>
        <w:rPr>
          <w:rFonts w:hint="eastAsia"/>
        </w:rPr>
        <w:t>求得比准价格。</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left="0" w:leftChars="0" w:right="0" w:rightChars="0" w:firstLine="480" w:firstLineChars="200"/>
        <w:jc w:val="both"/>
        <w:textAlignment w:val="auto"/>
        <w:outlineLvl w:val="9"/>
        <w:rPr>
          <w:rFonts w:hint="eastAsia" w:ascii="华文中宋" w:hAnsi="华文中宋" w:eastAsia="华文中宋" w:cs="华文中宋"/>
          <w:lang w:val="en-US" w:eastAsia="zh-CN"/>
        </w:rPr>
      </w:pPr>
      <w:r>
        <w:rPr>
          <w:rFonts w:hint="eastAsia"/>
          <w:lang w:val="en-US" w:eastAsia="zh-CN"/>
        </w:rPr>
        <w:t>3、</w:t>
      </w:r>
      <w:r>
        <w:rPr>
          <w:rFonts w:hint="eastAsia"/>
        </w:rPr>
        <w:t>计算公式为：估价对象比准价格=可比实例价格×交易情况修正系数×市场状况调整系数×区位状况调整×实物状况调整×权益状况调整</w:t>
      </w:r>
    </w:p>
    <w:p>
      <w:pPr>
        <w:pStyle w:val="3"/>
        <w:keepLines w:val="0"/>
        <w:pageBreakBefore w:val="0"/>
        <w:widowControl w:val="0"/>
        <w:kinsoku/>
        <w:wordWrap/>
        <w:overflowPunct/>
        <w:topLinePunct w:val="0"/>
        <w:bidi w:val="0"/>
        <w:snapToGrid/>
        <w:spacing w:line="480" w:lineRule="atLeast"/>
        <w:ind w:left="0" w:leftChars="0" w:right="0" w:rightChars="0"/>
        <w:rPr>
          <w:rFonts w:hint="eastAsia" w:ascii="华文中宋" w:hAnsi="华文中宋" w:eastAsia="华文中宋" w:cs="华文中宋"/>
        </w:rPr>
      </w:pPr>
      <w:bookmarkStart w:id="128" w:name="_Toc508803788"/>
      <w:bookmarkStart w:id="129" w:name="_Toc6279"/>
      <w:r>
        <w:rPr>
          <w:rFonts w:hint="eastAsia" w:ascii="华文中宋" w:hAnsi="华文中宋" w:eastAsia="华文中宋" w:cs="华文中宋"/>
        </w:rPr>
        <w:t>十、估价结果</w:t>
      </w:r>
      <w:bookmarkEnd w:id="128"/>
      <w:bookmarkEnd w:id="129"/>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480" w:firstLineChars="200"/>
        <w:jc w:val="both"/>
        <w:textAlignment w:val="auto"/>
        <w:outlineLvl w:val="9"/>
        <w:rPr>
          <w:rFonts w:hint="eastAsia" w:ascii="华文中宋" w:hAnsi="华文中宋" w:eastAsia="华文中宋" w:cs="华文中宋"/>
          <w:szCs w:val="24"/>
          <w:highlight w:val="none"/>
          <w:lang w:eastAsia="zh-CN"/>
        </w:rPr>
      </w:pPr>
      <w:r>
        <w:rPr>
          <w:rFonts w:hint="eastAsia" w:ascii="华文中宋" w:hAnsi="华文中宋" w:eastAsia="华文中宋" w:cs="华文中宋"/>
          <w:lang w:val="en-US" w:eastAsia="zh-CN"/>
        </w:rPr>
        <w:t>本公司根据估价目的，遵循估价原则，按照严谨的估价程序。估价</w:t>
      </w:r>
      <w:r>
        <w:rPr>
          <w:rFonts w:hint="eastAsia" w:ascii="华文中宋" w:hAnsi="华文中宋" w:eastAsia="华文中宋" w:cs="华文中宋"/>
        </w:rPr>
        <w:t>对象于价值时点</w:t>
      </w:r>
      <w:r>
        <w:rPr>
          <w:rFonts w:hint="eastAsia" w:ascii="华文中宋" w:hAnsi="华文中宋" w:cs="华文中宋"/>
          <w:lang w:eastAsia="zh-CN"/>
        </w:rPr>
        <w:t>2020年7月6日</w:t>
      </w:r>
      <w:r>
        <w:rPr>
          <w:rFonts w:hint="eastAsia" w:ascii="华文中宋" w:hAnsi="华文中宋" w:eastAsia="华文中宋" w:cs="华文中宋"/>
        </w:rPr>
        <w:t>在满足本次估价的全部假设和限制条件下的评估价值</w:t>
      </w:r>
      <w:r>
        <w:rPr>
          <w:rFonts w:hint="eastAsia" w:ascii="华文中宋" w:hAnsi="华文中宋" w:eastAsia="华文中宋" w:cs="华文中宋"/>
          <w:highlight w:val="none"/>
        </w:rPr>
        <w:t>为：人民币</w:t>
      </w:r>
      <w:bookmarkStart w:id="130" w:name="_Toc508803789"/>
      <w:bookmarkStart w:id="131" w:name="_Toc17592"/>
      <w:r>
        <w:rPr>
          <w:rFonts w:hint="eastAsia" w:ascii="华文中宋" w:hAnsi="华文中宋" w:cs="华文中宋"/>
          <w:szCs w:val="24"/>
          <w:highlight w:val="none"/>
          <w:lang w:val="en-US" w:eastAsia="zh-CN"/>
        </w:rPr>
        <w:t>5,710,415.00</w:t>
      </w:r>
      <w:r>
        <w:rPr>
          <w:rFonts w:hint="eastAsia" w:ascii="华文中宋" w:hAnsi="华文中宋" w:eastAsia="华文中宋" w:cs="华文中宋"/>
          <w:szCs w:val="24"/>
          <w:highlight w:val="none"/>
          <w:lang w:eastAsia="zh-CN"/>
        </w:rPr>
        <w:t>元，大写：人民币</w:t>
      </w:r>
      <w:r>
        <w:rPr>
          <w:rFonts w:hint="eastAsia" w:ascii="华文中宋" w:hAnsi="华文中宋" w:eastAsia="华文中宋" w:cs="华文中宋"/>
          <w:highlight w:val="none"/>
          <w:lang w:val="en-US" w:eastAsia="zh-CN"/>
        </w:rPr>
        <w:fldChar w:fldCharType="begin"/>
      </w:r>
      <w:r>
        <w:rPr>
          <w:rFonts w:hint="eastAsia" w:ascii="华文中宋" w:hAnsi="华文中宋" w:eastAsia="华文中宋" w:cs="华文中宋"/>
          <w:highlight w:val="none"/>
          <w:lang w:val="en-US" w:eastAsia="zh-CN"/>
        </w:rPr>
        <w:instrText xml:space="preserve"> = 5710415 \* CHINESENUM2 \* MERGEFORMAT </w:instrText>
      </w:r>
      <w:r>
        <w:rPr>
          <w:rFonts w:hint="eastAsia" w:ascii="华文中宋" w:hAnsi="华文中宋" w:eastAsia="华文中宋" w:cs="华文中宋"/>
          <w:highlight w:val="none"/>
          <w:lang w:val="en-US" w:eastAsia="zh-CN"/>
        </w:rPr>
        <w:fldChar w:fldCharType="separate"/>
      </w:r>
      <w:r>
        <w:t>伍佰柒拾壹万零肆佰壹拾伍</w:t>
      </w:r>
      <w:r>
        <w:rPr>
          <w:rFonts w:hint="eastAsia" w:ascii="华文中宋" w:hAnsi="华文中宋" w:eastAsia="华文中宋" w:cs="华文中宋"/>
          <w:highlight w:val="none"/>
          <w:lang w:val="en-US" w:eastAsia="zh-CN"/>
        </w:rPr>
        <w:fldChar w:fldCharType="end"/>
      </w:r>
      <w:r>
        <w:rPr>
          <w:rFonts w:hint="eastAsia" w:ascii="华文中宋" w:hAnsi="华文中宋" w:eastAsia="华文中宋" w:cs="华文中宋"/>
          <w:highlight w:val="none"/>
          <w:lang w:eastAsia="zh-CN"/>
        </w:rPr>
        <w:t>元</w:t>
      </w:r>
      <w:r>
        <w:rPr>
          <w:rFonts w:hint="eastAsia" w:ascii="华文中宋" w:hAnsi="华文中宋" w:eastAsia="华文中宋" w:cs="华文中宋"/>
          <w:szCs w:val="24"/>
          <w:highlight w:val="none"/>
          <w:lang w:eastAsia="zh-CN"/>
        </w:rPr>
        <w:t>整。</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3120" w:firstLineChars="1300"/>
        <w:jc w:val="both"/>
        <w:textAlignment w:val="auto"/>
        <w:outlineLvl w:val="9"/>
        <w:rPr>
          <w:rFonts w:hint="eastAsia" w:ascii="华文中宋" w:hAnsi="华文中宋" w:eastAsia="华文中宋" w:cs="华文中宋"/>
          <w:szCs w:val="24"/>
          <w:highlight w:val="none"/>
          <w:lang w:eastAsia="zh-CN"/>
        </w:rPr>
      </w:pPr>
      <w:r>
        <w:rPr>
          <w:rFonts w:hint="eastAsia" w:ascii="华文中宋" w:hAnsi="华文中宋" w:eastAsia="华文中宋" w:cs="华文中宋"/>
          <w:szCs w:val="24"/>
        </w:rPr>
        <w:t>估价结果汇总表</w:t>
      </w:r>
      <w:r>
        <w:rPr>
          <w:rFonts w:hint="eastAsia" w:ascii="华文中宋" w:hAnsi="华文中宋" w:eastAsia="华文中宋" w:cs="华文中宋"/>
          <w:szCs w:val="24"/>
          <w:lang w:val="en-US" w:eastAsia="zh-CN"/>
        </w:rPr>
        <w:t xml:space="preserve">                 </w:t>
      </w:r>
      <w:r>
        <w:rPr>
          <w:rFonts w:hint="eastAsia" w:ascii="华文中宋" w:hAnsi="华文中宋" w:eastAsia="华文中宋" w:cs="华文中宋"/>
          <w:sz w:val="18"/>
          <w:szCs w:val="18"/>
          <w:lang w:eastAsia="zh-CN"/>
        </w:rPr>
        <w:t>（</w:t>
      </w:r>
      <w:r>
        <w:rPr>
          <w:rFonts w:hint="eastAsia" w:ascii="华文中宋" w:hAnsi="华文中宋" w:eastAsia="华文中宋" w:cs="华文中宋"/>
          <w:sz w:val="18"/>
          <w:szCs w:val="18"/>
        </w:rPr>
        <w:t>币种：人民币</w:t>
      </w:r>
      <w:r>
        <w:rPr>
          <w:rFonts w:hint="eastAsia" w:ascii="华文中宋" w:hAnsi="华文中宋" w:eastAsia="华文中宋" w:cs="华文中宋"/>
          <w:sz w:val="18"/>
          <w:szCs w:val="18"/>
          <w:lang w:eastAsia="zh-CN"/>
        </w:rPr>
        <w:t>）</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both"/>
        <w:textAlignment w:val="auto"/>
        <w:outlineLvl w:val="9"/>
        <w:rPr>
          <w:rFonts w:hint="eastAsia" w:ascii="华文中宋" w:hAnsi="华文中宋" w:eastAsia="华文中宋" w:cs="华文中宋"/>
          <w:szCs w:val="24"/>
          <w:lang w:val="en-US" w:eastAsia="zh-CN"/>
        </w:rPr>
      </w:pPr>
      <w:r>
        <w:rPr>
          <w:rFonts w:hint="eastAsia" w:ascii="华文中宋" w:hAnsi="华文中宋" w:eastAsia="华文中宋" w:cs="华文中宋"/>
          <w:szCs w:val="24"/>
          <w:lang w:val="en-US" w:eastAsia="zh-CN"/>
        </w:rPr>
        <w:t xml:space="preserve">       </w:t>
      </w:r>
    </w:p>
    <w:tbl>
      <w:tblPr>
        <w:tblStyle w:val="16"/>
        <w:tblW w:w="9297" w:type="dxa"/>
        <w:jc w:val="center"/>
        <w:shd w:val="clear" w:color="auto" w:fill="auto"/>
        <w:tblLayout w:type="fixed"/>
        <w:tblCellMar>
          <w:top w:w="0" w:type="dxa"/>
          <w:left w:w="0" w:type="dxa"/>
          <w:bottom w:w="0" w:type="dxa"/>
          <w:right w:w="0" w:type="dxa"/>
        </w:tblCellMar>
      </w:tblPr>
      <w:tblGrid>
        <w:gridCol w:w="625"/>
        <w:gridCol w:w="567"/>
        <w:gridCol w:w="1859"/>
        <w:gridCol w:w="739"/>
        <w:gridCol w:w="1609"/>
        <w:gridCol w:w="1121"/>
        <w:gridCol w:w="1068"/>
        <w:gridCol w:w="1709"/>
      </w:tblGrid>
      <w:tr>
        <w:tblPrEx>
          <w:shd w:val="clear" w:color="auto" w:fill="auto"/>
          <w:tblCellMar>
            <w:top w:w="0" w:type="dxa"/>
            <w:left w:w="0" w:type="dxa"/>
            <w:bottom w:w="0" w:type="dxa"/>
            <w:right w:w="0" w:type="dxa"/>
          </w:tblCellMar>
        </w:tblPrEx>
        <w:trPr>
          <w:trHeight w:val="658" w:hRule="atLeast"/>
          <w:jc w:val="center"/>
        </w:trPr>
        <w:tc>
          <w:tcPr>
            <w:tcW w:w="625" w:type="dxa"/>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960" w:lineRule="auto"/>
              <w:ind w:left="0" w:leftChars="0" w:firstLine="0" w:firstLineChars="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序号</w:t>
            </w:r>
          </w:p>
        </w:tc>
        <w:tc>
          <w:tcPr>
            <w:tcW w:w="567" w:type="dxa"/>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960" w:lineRule="auto"/>
              <w:ind w:left="0" w:leftChars="0" w:firstLine="0" w:firstLineChars="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名称</w:t>
            </w:r>
          </w:p>
        </w:tc>
        <w:tc>
          <w:tcPr>
            <w:tcW w:w="1859" w:type="dxa"/>
            <w:vMerge w:val="restart"/>
            <w:tcBorders>
              <w:top w:val="single" w:color="000000" w:sz="8" w:space="0"/>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960" w:lineRule="auto"/>
              <w:ind w:left="0" w:leftChars="0" w:firstLine="0" w:firstLineChars="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坐落</w:t>
            </w:r>
          </w:p>
        </w:tc>
        <w:tc>
          <w:tcPr>
            <w:tcW w:w="739" w:type="dxa"/>
            <w:vMerge w:val="restart"/>
            <w:tcBorders>
              <w:top w:val="single" w:color="000000" w:sz="8" w:space="0"/>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auto"/>
              <w:ind w:left="0" w:leftChars="0"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面积（㎡）</w:t>
            </w:r>
          </w:p>
        </w:tc>
        <w:tc>
          <w:tcPr>
            <w:tcW w:w="1609" w:type="dxa"/>
            <w:vMerge w:val="restart"/>
            <w:tcBorders>
              <w:top w:val="single" w:color="000000" w:sz="8" w:space="0"/>
              <w:left w:val="nil"/>
              <w:bottom w:val="single" w:color="000000" w:sz="8" w:space="0"/>
              <w:right w:val="single" w:color="000000" w:sz="8" w:space="0"/>
              <w:tl2br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960" w:lineRule="auto"/>
              <w:ind w:left="0" w:leftChars="0" w:firstLine="0" w:firstLineChars="0"/>
              <w:jc w:val="center"/>
              <w:textAlignment w:val="bottom"/>
              <w:rPr>
                <w:rFonts w:hint="default" w:ascii="宋体" w:hAnsi="宋体" w:eastAsia="宋体" w:cs="宋体"/>
                <w:i w:val="0"/>
                <w:color w:val="000000"/>
                <w:sz w:val="15"/>
                <w:szCs w:val="15"/>
                <w:u w:val="none"/>
                <w:lang w:val="en-US"/>
              </w:rPr>
            </w:pPr>
            <w:r>
              <w:rPr>
                <w:rFonts w:hint="eastAsia" w:ascii="宋体" w:hAnsi="宋体" w:eastAsia="宋体" w:cs="宋体"/>
                <w:i w:val="0"/>
                <w:color w:val="000000"/>
                <w:kern w:val="0"/>
                <w:sz w:val="15"/>
                <w:szCs w:val="15"/>
                <w:u w:val="none"/>
                <w:lang w:val="en-US" w:eastAsia="zh-CN" w:bidi="ar"/>
              </w:rPr>
              <w:t>相关结果   估价方法</w:t>
            </w:r>
          </w:p>
        </w:tc>
        <w:tc>
          <w:tcPr>
            <w:tcW w:w="2189" w:type="dxa"/>
            <w:gridSpan w:val="2"/>
            <w:tcBorders>
              <w:top w:val="single" w:color="000000" w:sz="8" w:space="0"/>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auto"/>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测算结果</w:t>
            </w:r>
          </w:p>
        </w:tc>
        <w:tc>
          <w:tcPr>
            <w:tcW w:w="1709" w:type="dxa"/>
            <w:vMerge w:val="restart"/>
            <w:tcBorders>
              <w:top w:val="single" w:color="000000" w:sz="8" w:space="0"/>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auto"/>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估价结果</w:t>
            </w:r>
          </w:p>
        </w:tc>
      </w:tr>
      <w:tr>
        <w:tblPrEx>
          <w:tblCellMar>
            <w:top w:w="0" w:type="dxa"/>
            <w:left w:w="0" w:type="dxa"/>
            <w:bottom w:w="0" w:type="dxa"/>
            <w:right w:w="0" w:type="dxa"/>
          </w:tblCellMar>
        </w:tblPrEx>
        <w:trPr>
          <w:trHeight w:val="514" w:hRule="atLeast"/>
          <w:jc w:val="center"/>
        </w:trPr>
        <w:tc>
          <w:tcPr>
            <w:tcW w:w="625" w:type="dxa"/>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5"/>
                <w:szCs w:val="15"/>
                <w:u w:val="none"/>
              </w:rPr>
            </w:pPr>
          </w:p>
        </w:tc>
        <w:tc>
          <w:tcPr>
            <w:tcW w:w="567" w:type="dxa"/>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5"/>
                <w:szCs w:val="15"/>
                <w:u w:val="none"/>
              </w:rPr>
            </w:pPr>
          </w:p>
        </w:tc>
        <w:tc>
          <w:tcPr>
            <w:tcW w:w="1859" w:type="dxa"/>
            <w:vMerge w:val="continue"/>
            <w:tcBorders>
              <w:top w:val="single" w:color="000000" w:sz="8" w:space="0"/>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5"/>
                <w:szCs w:val="15"/>
                <w:u w:val="none"/>
              </w:rPr>
            </w:pPr>
          </w:p>
        </w:tc>
        <w:tc>
          <w:tcPr>
            <w:tcW w:w="739" w:type="dxa"/>
            <w:vMerge w:val="continue"/>
            <w:tcBorders>
              <w:top w:val="single" w:color="000000" w:sz="8" w:space="0"/>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5"/>
                <w:szCs w:val="15"/>
                <w:u w:val="none"/>
              </w:rPr>
            </w:pPr>
          </w:p>
        </w:tc>
        <w:tc>
          <w:tcPr>
            <w:tcW w:w="1609" w:type="dxa"/>
            <w:vMerge w:val="continue"/>
            <w:tcBorders>
              <w:top w:val="single" w:color="000000" w:sz="8" w:space="0"/>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5"/>
                <w:szCs w:val="15"/>
                <w:u w:val="none"/>
              </w:rPr>
            </w:pP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成本法</w:t>
            </w: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市场法</w:t>
            </w:r>
          </w:p>
        </w:tc>
        <w:tc>
          <w:tcPr>
            <w:tcW w:w="1709" w:type="dxa"/>
            <w:vMerge w:val="continue"/>
            <w:tcBorders>
              <w:top w:val="single" w:color="000000" w:sz="8" w:space="0"/>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379" w:hRule="atLeast"/>
          <w:jc w:val="center"/>
        </w:trPr>
        <w:tc>
          <w:tcPr>
            <w:tcW w:w="62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67"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住宅</w:t>
            </w:r>
          </w:p>
        </w:tc>
        <w:tc>
          <w:tcPr>
            <w:tcW w:w="185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台安县大庆西路嘉泰园小区2-1-701</w:t>
            </w:r>
          </w:p>
        </w:tc>
        <w:tc>
          <w:tcPr>
            <w:tcW w:w="73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73.72</w:t>
            </w: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73,130.00</w:t>
            </w: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70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73,130.00</w:t>
            </w:r>
          </w:p>
        </w:tc>
      </w:tr>
      <w:tr>
        <w:tblPrEx>
          <w:tblCellMar>
            <w:top w:w="0" w:type="dxa"/>
            <w:left w:w="0" w:type="dxa"/>
            <w:bottom w:w="0" w:type="dxa"/>
            <w:right w:w="0" w:type="dxa"/>
          </w:tblCellMar>
        </w:tblPrEx>
        <w:trPr>
          <w:trHeight w:val="394" w:hRule="atLeast"/>
          <w:jc w:val="center"/>
        </w:trPr>
        <w:tc>
          <w:tcPr>
            <w:tcW w:w="62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5"/>
                <w:szCs w:val="15"/>
                <w:u w:val="none"/>
              </w:rPr>
            </w:pPr>
          </w:p>
        </w:tc>
        <w:tc>
          <w:tcPr>
            <w:tcW w:w="567"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5"/>
                <w:szCs w:val="15"/>
                <w:u w:val="none"/>
              </w:rPr>
            </w:pPr>
          </w:p>
        </w:tc>
        <w:tc>
          <w:tcPr>
            <w:tcW w:w="185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sz w:val="15"/>
                <w:szCs w:val="15"/>
                <w:u w:val="none"/>
              </w:rPr>
            </w:pPr>
          </w:p>
        </w:tc>
        <w:tc>
          <w:tcPr>
            <w:tcW w:w="73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5"/>
                <w:szCs w:val="15"/>
                <w:u w:val="none"/>
              </w:rPr>
            </w:pP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992</w:t>
            </w: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70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514" w:hRule="atLeast"/>
          <w:jc w:val="center"/>
        </w:trPr>
        <w:tc>
          <w:tcPr>
            <w:tcW w:w="62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w:t>
            </w:r>
          </w:p>
        </w:tc>
        <w:tc>
          <w:tcPr>
            <w:tcW w:w="567"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住宅</w:t>
            </w:r>
          </w:p>
        </w:tc>
        <w:tc>
          <w:tcPr>
            <w:tcW w:w="185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台安县大庆西路嘉泰园小区2-1-702</w:t>
            </w:r>
          </w:p>
        </w:tc>
        <w:tc>
          <w:tcPr>
            <w:tcW w:w="73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73.72</w:t>
            </w: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73,130.00</w:t>
            </w: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70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73,130.00</w:t>
            </w:r>
          </w:p>
        </w:tc>
      </w:tr>
      <w:tr>
        <w:tblPrEx>
          <w:tblCellMar>
            <w:top w:w="0" w:type="dxa"/>
            <w:left w:w="0" w:type="dxa"/>
            <w:bottom w:w="0" w:type="dxa"/>
            <w:right w:w="0" w:type="dxa"/>
          </w:tblCellMar>
        </w:tblPrEx>
        <w:trPr>
          <w:trHeight w:val="514" w:hRule="atLeast"/>
          <w:jc w:val="center"/>
        </w:trPr>
        <w:tc>
          <w:tcPr>
            <w:tcW w:w="62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992</w:t>
            </w: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70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514" w:hRule="atLeast"/>
          <w:jc w:val="center"/>
        </w:trPr>
        <w:tc>
          <w:tcPr>
            <w:tcW w:w="62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w:t>
            </w:r>
          </w:p>
        </w:tc>
        <w:tc>
          <w:tcPr>
            <w:tcW w:w="567"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住宅</w:t>
            </w:r>
          </w:p>
        </w:tc>
        <w:tc>
          <w:tcPr>
            <w:tcW w:w="185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台安县大庆西路嘉泰园小区2-2-701</w:t>
            </w:r>
          </w:p>
        </w:tc>
        <w:tc>
          <w:tcPr>
            <w:tcW w:w="73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73.72</w:t>
            </w: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73,130.00</w:t>
            </w: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70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73,130.00</w:t>
            </w:r>
          </w:p>
        </w:tc>
      </w:tr>
      <w:tr>
        <w:tblPrEx>
          <w:tblCellMar>
            <w:top w:w="0" w:type="dxa"/>
            <w:left w:w="0" w:type="dxa"/>
            <w:bottom w:w="0" w:type="dxa"/>
            <w:right w:w="0" w:type="dxa"/>
          </w:tblCellMar>
        </w:tblPrEx>
        <w:trPr>
          <w:trHeight w:val="514" w:hRule="atLeast"/>
          <w:jc w:val="center"/>
        </w:trPr>
        <w:tc>
          <w:tcPr>
            <w:tcW w:w="62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992</w:t>
            </w: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70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514" w:hRule="atLeast"/>
          <w:jc w:val="center"/>
        </w:trPr>
        <w:tc>
          <w:tcPr>
            <w:tcW w:w="62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4</w:t>
            </w:r>
          </w:p>
        </w:tc>
        <w:tc>
          <w:tcPr>
            <w:tcW w:w="567"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住宅</w:t>
            </w:r>
          </w:p>
        </w:tc>
        <w:tc>
          <w:tcPr>
            <w:tcW w:w="185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台安县大庆西路嘉泰园小区2-2-702</w:t>
            </w:r>
          </w:p>
        </w:tc>
        <w:tc>
          <w:tcPr>
            <w:tcW w:w="73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74.33</w:t>
            </w: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73,735.00</w:t>
            </w: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70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73,735.00</w:t>
            </w:r>
          </w:p>
        </w:tc>
      </w:tr>
      <w:tr>
        <w:tblPrEx>
          <w:tblCellMar>
            <w:top w:w="0" w:type="dxa"/>
            <w:left w:w="0" w:type="dxa"/>
            <w:bottom w:w="0" w:type="dxa"/>
            <w:right w:w="0" w:type="dxa"/>
          </w:tblCellMar>
        </w:tblPrEx>
        <w:trPr>
          <w:trHeight w:val="514" w:hRule="atLeast"/>
          <w:jc w:val="center"/>
        </w:trPr>
        <w:tc>
          <w:tcPr>
            <w:tcW w:w="62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992</w:t>
            </w: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70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514" w:hRule="atLeast"/>
          <w:jc w:val="center"/>
        </w:trPr>
        <w:tc>
          <w:tcPr>
            <w:tcW w:w="62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5</w:t>
            </w:r>
          </w:p>
        </w:tc>
        <w:tc>
          <w:tcPr>
            <w:tcW w:w="567"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住宅</w:t>
            </w:r>
          </w:p>
        </w:tc>
        <w:tc>
          <w:tcPr>
            <w:tcW w:w="185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台安县大庆西路嘉泰园小区3-1-701</w:t>
            </w:r>
          </w:p>
        </w:tc>
        <w:tc>
          <w:tcPr>
            <w:tcW w:w="73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73.72</w:t>
            </w: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73,130.00</w:t>
            </w: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70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73,130.00</w:t>
            </w:r>
          </w:p>
        </w:tc>
      </w:tr>
      <w:tr>
        <w:tblPrEx>
          <w:tblCellMar>
            <w:top w:w="0" w:type="dxa"/>
            <w:left w:w="0" w:type="dxa"/>
            <w:bottom w:w="0" w:type="dxa"/>
            <w:right w:w="0" w:type="dxa"/>
          </w:tblCellMar>
        </w:tblPrEx>
        <w:trPr>
          <w:trHeight w:val="514" w:hRule="atLeast"/>
          <w:jc w:val="center"/>
        </w:trPr>
        <w:tc>
          <w:tcPr>
            <w:tcW w:w="62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992</w:t>
            </w: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70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514" w:hRule="atLeast"/>
          <w:jc w:val="center"/>
        </w:trPr>
        <w:tc>
          <w:tcPr>
            <w:tcW w:w="62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6</w:t>
            </w:r>
          </w:p>
        </w:tc>
        <w:tc>
          <w:tcPr>
            <w:tcW w:w="567"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住宅</w:t>
            </w:r>
          </w:p>
        </w:tc>
        <w:tc>
          <w:tcPr>
            <w:tcW w:w="185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台安县大庆西路嘉泰园小区3-1-702</w:t>
            </w:r>
          </w:p>
        </w:tc>
        <w:tc>
          <w:tcPr>
            <w:tcW w:w="73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73.72</w:t>
            </w: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73,130.00</w:t>
            </w: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70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73,130.00</w:t>
            </w:r>
          </w:p>
        </w:tc>
      </w:tr>
      <w:tr>
        <w:tblPrEx>
          <w:tblCellMar>
            <w:top w:w="0" w:type="dxa"/>
            <w:left w:w="0" w:type="dxa"/>
            <w:bottom w:w="0" w:type="dxa"/>
            <w:right w:w="0" w:type="dxa"/>
          </w:tblCellMar>
        </w:tblPrEx>
        <w:trPr>
          <w:trHeight w:val="514" w:hRule="atLeast"/>
          <w:jc w:val="center"/>
        </w:trPr>
        <w:tc>
          <w:tcPr>
            <w:tcW w:w="62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992</w:t>
            </w: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70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514" w:hRule="atLeast"/>
          <w:jc w:val="center"/>
        </w:trPr>
        <w:tc>
          <w:tcPr>
            <w:tcW w:w="62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7</w:t>
            </w:r>
          </w:p>
        </w:tc>
        <w:tc>
          <w:tcPr>
            <w:tcW w:w="567"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住宅</w:t>
            </w:r>
          </w:p>
        </w:tc>
        <w:tc>
          <w:tcPr>
            <w:tcW w:w="185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台安县大庆西路嘉泰园小区3-2-701</w:t>
            </w:r>
          </w:p>
        </w:tc>
        <w:tc>
          <w:tcPr>
            <w:tcW w:w="73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73.72</w:t>
            </w: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73,130.00</w:t>
            </w: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70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73,130.00</w:t>
            </w:r>
          </w:p>
        </w:tc>
      </w:tr>
      <w:tr>
        <w:tblPrEx>
          <w:tblCellMar>
            <w:top w:w="0" w:type="dxa"/>
            <w:left w:w="0" w:type="dxa"/>
            <w:bottom w:w="0" w:type="dxa"/>
            <w:right w:w="0" w:type="dxa"/>
          </w:tblCellMar>
        </w:tblPrEx>
        <w:trPr>
          <w:trHeight w:val="514" w:hRule="atLeast"/>
          <w:jc w:val="center"/>
        </w:trPr>
        <w:tc>
          <w:tcPr>
            <w:tcW w:w="62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992</w:t>
            </w: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70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514" w:hRule="atLeast"/>
          <w:jc w:val="center"/>
        </w:trPr>
        <w:tc>
          <w:tcPr>
            <w:tcW w:w="62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8</w:t>
            </w:r>
          </w:p>
        </w:tc>
        <w:tc>
          <w:tcPr>
            <w:tcW w:w="567"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住宅</w:t>
            </w:r>
          </w:p>
        </w:tc>
        <w:tc>
          <w:tcPr>
            <w:tcW w:w="185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台安县大庆西路嘉泰园小区3-2-702</w:t>
            </w:r>
          </w:p>
        </w:tc>
        <w:tc>
          <w:tcPr>
            <w:tcW w:w="73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74.33</w:t>
            </w: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73,735.00</w:t>
            </w: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70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73,735.00</w:t>
            </w:r>
          </w:p>
        </w:tc>
      </w:tr>
      <w:tr>
        <w:tblPrEx>
          <w:tblCellMar>
            <w:top w:w="0" w:type="dxa"/>
            <w:left w:w="0" w:type="dxa"/>
            <w:bottom w:w="0" w:type="dxa"/>
            <w:right w:w="0" w:type="dxa"/>
          </w:tblCellMar>
        </w:tblPrEx>
        <w:trPr>
          <w:trHeight w:val="514" w:hRule="atLeast"/>
          <w:jc w:val="center"/>
        </w:trPr>
        <w:tc>
          <w:tcPr>
            <w:tcW w:w="62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992</w:t>
            </w: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70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514" w:hRule="atLeast"/>
          <w:jc w:val="center"/>
        </w:trPr>
        <w:tc>
          <w:tcPr>
            <w:tcW w:w="62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9</w:t>
            </w:r>
          </w:p>
        </w:tc>
        <w:tc>
          <w:tcPr>
            <w:tcW w:w="567"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住宅</w:t>
            </w:r>
          </w:p>
        </w:tc>
        <w:tc>
          <w:tcPr>
            <w:tcW w:w="185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台安县大庆西路嘉泰园小区4-1-701</w:t>
            </w:r>
          </w:p>
        </w:tc>
        <w:tc>
          <w:tcPr>
            <w:tcW w:w="73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73.72</w:t>
            </w: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73,130.00</w:t>
            </w: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70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73,130.00</w:t>
            </w:r>
          </w:p>
        </w:tc>
      </w:tr>
      <w:tr>
        <w:tblPrEx>
          <w:tblCellMar>
            <w:top w:w="0" w:type="dxa"/>
            <w:left w:w="0" w:type="dxa"/>
            <w:bottom w:w="0" w:type="dxa"/>
            <w:right w:w="0" w:type="dxa"/>
          </w:tblCellMar>
        </w:tblPrEx>
        <w:trPr>
          <w:trHeight w:val="514" w:hRule="atLeast"/>
          <w:jc w:val="center"/>
        </w:trPr>
        <w:tc>
          <w:tcPr>
            <w:tcW w:w="62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992</w:t>
            </w: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70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514" w:hRule="atLeast"/>
          <w:jc w:val="center"/>
        </w:trPr>
        <w:tc>
          <w:tcPr>
            <w:tcW w:w="62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10</w:t>
            </w:r>
          </w:p>
        </w:tc>
        <w:tc>
          <w:tcPr>
            <w:tcW w:w="567"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住宅</w:t>
            </w:r>
          </w:p>
        </w:tc>
        <w:tc>
          <w:tcPr>
            <w:tcW w:w="185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台安县大庆西路嘉泰园小区4-1-702</w:t>
            </w:r>
          </w:p>
        </w:tc>
        <w:tc>
          <w:tcPr>
            <w:tcW w:w="73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73.72</w:t>
            </w: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73,130.00</w:t>
            </w: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70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73,130.00</w:t>
            </w:r>
          </w:p>
        </w:tc>
      </w:tr>
      <w:tr>
        <w:tblPrEx>
          <w:tblCellMar>
            <w:top w:w="0" w:type="dxa"/>
            <w:left w:w="0" w:type="dxa"/>
            <w:bottom w:w="0" w:type="dxa"/>
            <w:right w:w="0" w:type="dxa"/>
          </w:tblCellMar>
        </w:tblPrEx>
        <w:trPr>
          <w:trHeight w:val="514" w:hRule="atLeast"/>
          <w:jc w:val="center"/>
        </w:trPr>
        <w:tc>
          <w:tcPr>
            <w:tcW w:w="62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992</w:t>
            </w: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70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514" w:hRule="atLeast"/>
          <w:jc w:val="center"/>
        </w:trPr>
        <w:tc>
          <w:tcPr>
            <w:tcW w:w="62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11</w:t>
            </w:r>
          </w:p>
        </w:tc>
        <w:tc>
          <w:tcPr>
            <w:tcW w:w="567"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住宅</w:t>
            </w:r>
          </w:p>
        </w:tc>
        <w:tc>
          <w:tcPr>
            <w:tcW w:w="185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台安县大庆西路嘉泰园小区4-2-701</w:t>
            </w:r>
          </w:p>
        </w:tc>
        <w:tc>
          <w:tcPr>
            <w:tcW w:w="73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73.72</w:t>
            </w: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73,130.00</w:t>
            </w: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70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73,130.00</w:t>
            </w:r>
          </w:p>
        </w:tc>
      </w:tr>
      <w:tr>
        <w:tblPrEx>
          <w:tblCellMar>
            <w:top w:w="0" w:type="dxa"/>
            <w:left w:w="0" w:type="dxa"/>
            <w:bottom w:w="0" w:type="dxa"/>
            <w:right w:w="0" w:type="dxa"/>
          </w:tblCellMar>
        </w:tblPrEx>
        <w:trPr>
          <w:trHeight w:val="514" w:hRule="atLeast"/>
          <w:jc w:val="center"/>
        </w:trPr>
        <w:tc>
          <w:tcPr>
            <w:tcW w:w="62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992</w:t>
            </w: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70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514" w:hRule="atLeast"/>
          <w:jc w:val="center"/>
        </w:trPr>
        <w:tc>
          <w:tcPr>
            <w:tcW w:w="62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12</w:t>
            </w:r>
          </w:p>
        </w:tc>
        <w:tc>
          <w:tcPr>
            <w:tcW w:w="567"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住宅</w:t>
            </w:r>
          </w:p>
        </w:tc>
        <w:tc>
          <w:tcPr>
            <w:tcW w:w="185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台安县大庆西路嘉泰园小区4-2-702</w:t>
            </w:r>
          </w:p>
        </w:tc>
        <w:tc>
          <w:tcPr>
            <w:tcW w:w="73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74.33</w:t>
            </w: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73,735.00</w:t>
            </w: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70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73,735.00</w:t>
            </w:r>
          </w:p>
        </w:tc>
      </w:tr>
      <w:tr>
        <w:tblPrEx>
          <w:tblCellMar>
            <w:top w:w="0" w:type="dxa"/>
            <w:left w:w="0" w:type="dxa"/>
            <w:bottom w:w="0" w:type="dxa"/>
            <w:right w:w="0" w:type="dxa"/>
          </w:tblCellMar>
        </w:tblPrEx>
        <w:trPr>
          <w:trHeight w:val="514" w:hRule="atLeast"/>
          <w:jc w:val="center"/>
        </w:trPr>
        <w:tc>
          <w:tcPr>
            <w:tcW w:w="62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992</w:t>
            </w: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70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514" w:hRule="atLeast"/>
          <w:jc w:val="center"/>
        </w:trPr>
        <w:tc>
          <w:tcPr>
            <w:tcW w:w="62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13</w:t>
            </w:r>
          </w:p>
        </w:tc>
        <w:tc>
          <w:tcPr>
            <w:tcW w:w="567"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住宅</w:t>
            </w:r>
          </w:p>
        </w:tc>
        <w:tc>
          <w:tcPr>
            <w:tcW w:w="185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台安县大庆西路嘉泰园小区5-1-701</w:t>
            </w:r>
          </w:p>
        </w:tc>
        <w:tc>
          <w:tcPr>
            <w:tcW w:w="73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76.47</w:t>
            </w: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75,858.00</w:t>
            </w: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70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75,858.00</w:t>
            </w:r>
          </w:p>
        </w:tc>
      </w:tr>
      <w:tr>
        <w:tblPrEx>
          <w:tblCellMar>
            <w:top w:w="0" w:type="dxa"/>
            <w:left w:w="0" w:type="dxa"/>
            <w:bottom w:w="0" w:type="dxa"/>
            <w:right w:w="0" w:type="dxa"/>
          </w:tblCellMar>
        </w:tblPrEx>
        <w:trPr>
          <w:trHeight w:val="514" w:hRule="atLeast"/>
          <w:jc w:val="center"/>
        </w:trPr>
        <w:tc>
          <w:tcPr>
            <w:tcW w:w="62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992</w:t>
            </w: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70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514" w:hRule="atLeast"/>
          <w:jc w:val="center"/>
        </w:trPr>
        <w:tc>
          <w:tcPr>
            <w:tcW w:w="62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14</w:t>
            </w:r>
          </w:p>
        </w:tc>
        <w:tc>
          <w:tcPr>
            <w:tcW w:w="567"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住宅</w:t>
            </w:r>
          </w:p>
        </w:tc>
        <w:tc>
          <w:tcPr>
            <w:tcW w:w="185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台安县大庆西路嘉泰园小区5-1-702</w:t>
            </w:r>
          </w:p>
        </w:tc>
        <w:tc>
          <w:tcPr>
            <w:tcW w:w="73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75.84</w:t>
            </w: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75,233.00</w:t>
            </w: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70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75,233.00</w:t>
            </w:r>
          </w:p>
        </w:tc>
      </w:tr>
      <w:tr>
        <w:tblPrEx>
          <w:tblCellMar>
            <w:top w:w="0" w:type="dxa"/>
            <w:left w:w="0" w:type="dxa"/>
            <w:bottom w:w="0" w:type="dxa"/>
            <w:right w:w="0" w:type="dxa"/>
          </w:tblCellMar>
        </w:tblPrEx>
        <w:trPr>
          <w:trHeight w:val="514" w:hRule="atLeast"/>
          <w:jc w:val="center"/>
        </w:trPr>
        <w:tc>
          <w:tcPr>
            <w:tcW w:w="62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992</w:t>
            </w: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70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514" w:hRule="atLeast"/>
          <w:jc w:val="center"/>
        </w:trPr>
        <w:tc>
          <w:tcPr>
            <w:tcW w:w="62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15</w:t>
            </w:r>
          </w:p>
        </w:tc>
        <w:tc>
          <w:tcPr>
            <w:tcW w:w="567"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住宅</w:t>
            </w:r>
          </w:p>
        </w:tc>
        <w:tc>
          <w:tcPr>
            <w:tcW w:w="185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台安县大庆西路嘉泰园小区5-2-701</w:t>
            </w:r>
          </w:p>
        </w:tc>
        <w:tc>
          <w:tcPr>
            <w:tcW w:w="73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76.47</w:t>
            </w: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75,858.00</w:t>
            </w: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70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75,858.00</w:t>
            </w:r>
          </w:p>
        </w:tc>
      </w:tr>
      <w:tr>
        <w:tblPrEx>
          <w:tblCellMar>
            <w:top w:w="0" w:type="dxa"/>
            <w:left w:w="0" w:type="dxa"/>
            <w:bottom w:w="0" w:type="dxa"/>
            <w:right w:w="0" w:type="dxa"/>
          </w:tblCellMar>
        </w:tblPrEx>
        <w:trPr>
          <w:trHeight w:val="514" w:hRule="atLeast"/>
          <w:jc w:val="center"/>
        </w:trPr>
        <w:tc>
          <w:tcPr>
            <w:tcW w:w="62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992</w:t>
            </w: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70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514" w:hRule="atLeast"/>
          <w:jc w:val="center"/>
        </w:trPr>
        <w:tc>
          <w:tcPr>
            <w:tcW w:w="62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16</w:t>
            </w:r>
          </w:p>
        </w:tc>
        <w:tc>
          <w:tcPr>
            <w:tcW w:w="567"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住宅</w:t>
            </w:r>
          </w:p>
        </w:tc>
        <w:tc>
          <w:tcPr>
            <w:tcW w:w="185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台安县大庆西路嘉泰园小区5-2-702</w:t>
            </w:r>
          </w:p>
        </w:tc>
        <w:tc>
          <w:tcPr>
            <w:tcW w:w="73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75.84</w:t>
            </w: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75,233.00</w:t>
            </w: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70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75,233.00</w:t>
            </w:r>
          </w:p>
        </w:tc>
      </w:tr>
      <w:tr>
        <w:tblPrEx>
          <w:tblCellMar>
            <w:top w:w="0" w:type="dxa"/>
            <w:left w:w="0" w:type="dxa"/>
            <w:bottom w:w="0" w:type="dxa"/>
            <w:right w:w="0" w:type="dxa"/>
          </w:tblCellMar>
        </w:tblPrEx>
        <w:trPr>
          <w:trHeight w:val="514" w:hRule="atLeast"/>
          <w:jc w:val="center"/>
        </w:trPr>
        <w:tc>
          <w:tcPr>
            <w:tcW w:w="62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992</w:t>
            </w: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70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514" w:hRule="atLeast"/>
          <w:jc w:val="center"/>
        </w:trPr>
        <w:tc>
          <w:tcPr>
            <w:tcW w:w="62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17</w:t>
            </w:r>
          </w:p>
        </w:tc>
        <w:tc>
          <w:tcPr>
            <w:tcW w:w="567"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住宅</w:t>
            </w:r>
          </w:p>
        </w:tc>
        <w:tc>
          <w:tcPr>
            <w:tcW w:w="185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台安县大庆西路嘉泰园小区5-3-701</w:t>
            </w:r>
          </w:p>
        </w:tc>
        <w:tc>
          <w:tcPr>
            <w:tcW w:w="73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76.47</w:t>
            </w: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75,858.00</w:t>
            </w: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70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75,858.00</w:t>
            </w:r>
          </w:p>
        </w:tc>
      </w:tr>
      <w:tr>
        <w:tblPrEx>
          <w:tblCellMar>
            <w:top w:w="0" w:type="dxa"/>
            <w:left w:w="0" w:type="dxa"/>
            <w:bottom w:w="0" w:type="dxa"/>
            <w:right w:w="0" w:type="dxa"/>
          </w:tblCellMar>
        </w:tblPrEx>
        <w:trPr>
          <w:trHeight w:val="514" w:hRule="atLeast"/>
          <w:jc w:val="center"/>
        </w:trPr>
        <w:tc>
          <w:tcPr>
            <w:tcW w:w="62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992</w:t>
            </w: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70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514" w:hRule="atLeast"/>
          <w:jc w:val="center"/>
        </w:trPr>
        <w:tc>
          <w:tcPr>
            <w:tcW w:w="62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18</w:t>
            </w:r>
          </w:p>
        </w:tc>
        <w:tc>
          <w:tcPr>
            <w:tcW w:w="567"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住宅</w:t>
            </w:r>
          </w:p>
        </w:tc>
        <w:tc>
          <w:tcPr>
            <w:tcW w:w="185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台安县大庆西路嘉泰园小区5-3-702</w:t>
            </w:r>
          </w:p>
        </w:tc>
        <w:tc>
          <w:tcPr>
            <w:tcW w:w="73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75.84</w:t>
            </w: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75,233.00</w:t>
            </w: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70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75,233.00</w:t>
            </w:r>
          </w:p>
        </w:tc>
      </w:tr>
      <w:tr>
        <w:tblPrEx>
          <w:tblCellMar>
            <w:top w:w="0" w:type="dxa"/>
            <w:left w:w="0" w:type="dxa"/>
            <w:bottom w:w="0" w:type="dxa"/>
            <w:right w:w="0" w:type="dxa"/>
          </w:tblCellMar>
        </w:tblPrEx>
        <w:trPr>
          <w:trHeight w:val="514" w:hRule="atLeast"/>
          <w:jc w:val="center"/>
        </w:trPr>
        <w:tc>
          <w:tcPr>
            <w:tcW w:w="62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992</w:t>
            </w: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70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514" w:hRule="atLeast"/>
          <w:jc w:val="center"/>
        </w:trPr>
        <w:tc>
          <w:tcPr>
            <w:tcW w:w="62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19</w:t>
            </w:r>
          </w:p>
        </w:tc>
        <w:tc>
          <w:tcPr>
            <w:tcW w:w="567"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住宅</w:t>
            </w:r>
          </w:p>
        </w:tc>
        <w:tc>
          <w:tcPr>
            <w:tcW w:w="185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台安县大庆西路嘉泰园小区9-1-701</w:t>
            </w:r>
          </w:p>
        </w:tc>
        <w:tc>
          <w:tcPr>
            <w:tcW w:w="73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79.27</w:t>
            </w: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78,636.00</w:t>
            </w: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70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78,636.00</w:t>
            </w:r>
          </w:p>
        </w:tc>
      </w:tr>
      <w:tr>
        <w:tblPrEx>
          <w:tblCellMar>
            <w:top w:w="0" w:type="dxa"/>
            <w:left w:w="0" w:type="dxa"/>
            <w:bottom w:w="0" w:type="dxa"/>
            <w:right w:w="0" w:type="dxa"/>
          </w:tblCellMar>
        </w:tblPrEx>
        <w:trPr>
          <w:trHeight w:val="514" w:hRule="atLeast"/>
          <w:jc w:val="center"/>
        </w:trPr>
        <w:tc>
          <w:tcPr>
            <w:tcW w:w="62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992</w:t>
            </w: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70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514" w:hRule="atLeast"/>
          <w:jc w:val="center"/>
        </w:trPr>
        <w:tc>
          <w:tcPr>
            <w:tcW w:w="62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20</w:t>
            </w:r>
          </w:p>
        </w:tc>
        <w:tc>
          <w:tcPr>
            <w:tcW w:w="567"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住宅</w:t>
            </w:r>
          </w:p>
        </w:tc>
        <w:tc>
          <w:tcPr>
            <w:tcW w:w="185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台安县大庆西路嘉泰园小区9-1-702</w:t>
            </w:r>
          </w:p>
        </w:tc>
        <w:tc>
          <w:tcPr>
            <w:tcW w:w="73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78.67</w:t>
            </w: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78,041.00</w:t>
            </w: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70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78,041.00</w:t>
            </w:r>
          </w:p>
        </w:tc>
      </w:tr>
      <w:tr>
        <w:tblPrEx>
          <w:tblCellMar>
            <w:top w:w="0" w:type="dxa"/>
            <w:left w:w="0" w:type="dxa"/>
            <w:bottom w:w="0" w:type="dxa"/>
            <w:right w:w="0" w:type="dxa"/>
          </w:tblCellMar>
        </w:tblPrEx>
        <w:trPr>
          <w:trHeight w:val="514" w:hRule="atLeast"/>
          <w:jc w:val="center"/>
        </w:trPr>
        <w:tc>
          <w:tcPr>
            <w:tcW w:w="62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992</w:t>
            </w: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70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514" w:hRule="atLeast"/>
          <w:jc w:val="center"/>
        </w:trPr>
        <w:tc>
          <w:tcPr>
            <w:tcW w:w="62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21</w:t>
            </w:r>
          </w:p>
        </w:tc>
        <w:tc>
          <w:tcPr>
            <w:tcW w:w="567"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住宅</w:t>
            </w:r>
          </w:p>
        </w:tc>
        <w:tc>
          <w:tcPr>
            <w:tcW w:w="185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台安县大庆西路嘉泰园小区9-3-701</w:t>
            </w:r>
          </w:p>
        </w:tc>
        <w:tc>
          <w:tcPr>
            <w:tcW w:w="73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78.67</w:t>
            </w: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78,041.00</w:t>
            </w: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70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78,041.00</w:t>
            </w:r>
          </w:p>
        </w:tc>
      </w:tr>
      <w:tr>
        <w:tblPrEx>
          <w:tblCellMar>
            <w:top w:w="0" w:type="dxa"/>
            <w:left w:w="0" w:type="dxa"/>
            <w:bottom w:w="0" w:type="dxa"/>
            <w:right w:w="0" w:type="dxa"/>
          </w:tblCellMar>
        </w:tblPrEx>
        <w:trPr>
          <w:trHeight w:val="514" w:hRule="atLeast"/>
          <w:jc w:val="center"/>
        </w:trPr>
        <w:tc>
          <w:tcPr>
            <w:tcW w:w="62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992</w:t>
            </w: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70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514" w:hRule="atLeast"/>
          <w:jc w:val="center"/>
        </w:trPr>
        <w:tc>
          <w:tcPr>
            <w:tcW w:w="62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22</w:t>
            </w:r>
          </w:p>
        </w:tc>
        <w:tc>
          <w:tcPr>
            <w:tcW w:w="567"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住宅</w:t>
            </w:r>
          </w:p>
        </w:tc>
        <w:tc>
          <w:tcPr>
            <w:tcW w:w="185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台安县大庆西路嘉泰园小区9-3-702</w:t>
            </w:r>
          </w:p>
        </w:tc>
        <w:tc>
          <w:tcPr>
            <w:tcW w:w="73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79.27</w:t>
            </w: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78,636.00</w:t>
            </w: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70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78,636.00</w:t>
            </w:r>
          </w:p>
        </w:tc>
      </w:tr>
      <w:tr>
        <w:tblPrEx>
          <w:tblCellMar>
            <w:top w:w="0" w:type="dxa"/>
            <w:left w:w="0" w:type="dxa"/>
            <w:bottom w:w="0" w:type="dxa"/>
            <w:right w:w="0" w:type="dxa"/>
          </w:tblCellMar>
        </w:tblPrEx>
        <w:trPr>
          <w:trHeight w:val="514" w:hRule="atLeast"/>
          <w:jc w:val="center"/>
        </w:trPr>
        <w:tc>
          <w:tcPr>
            <w:tcW w:w="62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992</w:t>
            </w: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70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514" w:hRule="atLeast"/>
          <w:jc w:val="center"/>
        </w:trPr>
        <w:tc>
          <w:tcPr>
            <w:tcW w:w="62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23</w:t>
            </w:r>
          </w:p>
        </w:tc>
        <w:tc>
          <w:tcPr>
            <w:tcW w:w="567"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住宅</w:t>
            </w:r>
          </w:p>
        </w:tc>
        <w:tc>
          <w:tcPr>
            <w:tcW w:w="185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台安县大庆西路嘉泰园小区10-1-701</w:t>
            </w:r>
          </w:p>
        </w:tc>
        <w:tc>
          <w:tcPr>
            <w:tcW w:w="73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79.27</w:t>
            </w: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78,636.00</w:t>
            </w: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70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78,636.00</w:t>
            </w:r>
          </w:p>
        </w:tc>
      </w:tr>
      <w:tr>
        <w:tblPrEx>
          <w:tblCellMar>
            <w:top w:w="0" w:type="dxa"/>
            <w:left w:w="0" w:type="dxa"/>
            <w:bottom w:w="0" w:type="dxa"/>
            <w:right w:w="0" w:type="dxa"/>
          </w:tblCellMar>
        </w:tblPrEx>
        <w:trPr>
          <w:trHeight w:val="514" w:hRule="atLeast"/>
          <w:jc w:val="center"/>
        </w:trPr>
        <w:tc>
          <w:tcPr>
            <w:tcW w:w="62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992</w:t>
            </w: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70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514" w:hRule="atLeast"/>
          <w:jc w:val="center"/>
        </w:trPr>
        <w:tc>
          <w:tcPr>
            <w:tcW w:w="62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24</w:t>
            </w:r>
          </w:p>
        </w:tc>
        <w:tc>
          <w:tcPr>
            <w:tcW w:w="567"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住宅</w:t>
            </w:r>
          </w:p>
        </w:tc>
        <w:tc>
          <w:tcPr>
            <w:tcW w:w="185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台安县大庆西路嘉泰园小区10-1-702</w:t>
            </w:r>
          </w:p>
        </w:tc>
        <w:tc>
          <w:tcPr>
            <w:tcW w:w="73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78.67</w:t>
            </w: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78,041.00</w:t>
            </w: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70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78,041.00</w:t>
            </w:r>
          </w:p>
        </w:tc>
      </w:tr>
      <w:tr>
        <w:tblPrEx>
          <w:tblCellMar>
            <w:top w:w="0" w:type="dxa"/>
            <w:left w:w="0" w:type="dxa"/>
            <w:bottom w:w="0" w:type="dxa"/>
            <w:right w:w="0" w:type="dxa"/>
          </w:tblCellMar>
        </w:tblPrEx>
        <w:trPr>
          <w:trHeight w:val="514" w:hRule="atLeast"/>
          <w:jc w:val="center"/>
        </w:trPr>
        <w:tc>
          <w:tcPr>
            <w:tcW w:w="62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992</w:t>
            </w: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70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514" w:hRule="atLeast"/>
          <w:jc w:val="center"/>
        </w:trPr>
        <w:tc>
          <w:tcPr>
            <w:tcW w:w="62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25</w:t>
            </w:r>
          </w:p>
        </w:tc>
        <w:tc>
          <w:tcPr>
            <w:tcW w:w="567"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住宅</w:t>
            </w:r>
          </w:p>
        </w:tc>
        <w:tc>
          <w:tcPr>
            <w:tcW w:w="185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台安县大庆西路嘉泰园小区10-2-701</w:t>
            </w:r>
          </w:p>
        </w:tc>
        <w:tc>
          <w:tcPr>
            <w:tcW w:w="73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78.67</w:t>
            </w: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78,041.00</w:t>
            </w: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70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78,041.00</w:t>
            </w:r>
          </w:p>
        </w:tc>
      </w:tr>
      <w:tr>
        <w:tblPrEx>
          <w:tblCellMar>
            <w:top w:w="0" w:type="dxa"/>
            <w:left w:w="0" w:type="dxa"/>
            <w:bottom w:w="0" w:type="dxa"/>
            <w:right w:w="0" w:type="dxa"/>
          </w:tblCellMar>
        </w:tblPrEx>
        <w:trPr>
          <w:trHeight w:val="514" w:hRule="atLeast"/>
          <w:jc w:val="center"/>
        </w:trPr>
        <w:tc>
          <w:tcPr>
            <w:tcW w:w="62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992</w:t>
            </w: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70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514" w:hRule="atLeast"/>
          <w:jc w:val="center"/>
        </w:trPr>
        <w:tc>
          <w:tcPr>
            <w:tcW w:w="62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26</w:t>
            </w:r>
          </w:p>
        </w:tc>
        <w:tc>
          <w:tcPr>
            <w:tcW w:w="567"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住宅</w:t>
            </w:r>
          </w:p>
        </w:tc>
        <w:tc>
          <w:tcPr>
            <w:tcW w:w="185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台安县大庆西路嘉泰园小区10-2-702</w:t>
            </w:r>
          </w:p>
        </w:tc>
        <w:tc>
          <w:tcPr>
            <w:tcW w:w="73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78.67</w:t>
            </w: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78,041.00</w:t>
            </w: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70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78,041.00</w:t>
            </w:r>
          </w:p>
        </w:tc>
      </w:tr>
      <w:tr>
        <w:tblPrEx>
          <w:tblCellMar>
            <w:top w:w="0" w:type="dxa"/>
            <w:left w:w="0" w:type="dxa"/>
            <w:bottom w:w="0" w:type="dxa"/>
            <w:right w:w="0" w:type="dxa"/>
          </w:tblCellMar>
        </w:tblPrEx>
        <w:trPr>
          <w:trHeight w:val="514" w:hRule="atLeast"/>
          <w:jc w:val="center"/>
        </w:trPr>
        <w:tc>
          <w:tcPr>
            <w:tcW w:w="62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992</w:t>
            </w: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70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514" w:hRule="atLeast"/>
          <w:jc w:val="center"/>
        </w:trPr>
        <w:tc>
          <w:tcPr>
            <w:tcW w:w="62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27</w:t>
            </w:r>
          </w:p>
        </w:tc>
        <w:tc>
          <w:tcPr>
            <w:tcW w:w="567"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住宅</w:t>
            </w:r>
          </w:p>
        </w:tc>
        <w:tc>
          <w:tcPr>
            <w:tcW w:w="185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台安县大庆西路嘉泰园小区10-3-701</w:t>
            </w:r>
          </w:p>
        </w:tc>
        <w:tc>
          <w:tcPr>
            <w:tcW w:w="73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78.67</w:t>
            </w: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78,041.00</w:t>
            </w: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70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78,041.00</w:t>
            </w:r>
          </w:p>
        </w:tc>
      </w:tr>
      <w:tr>
        <w:tblPrEx>
          <w:tblCellMar>
            <w:top w:w="0" w:type="dxa"/>
            <w:left w:w="0" w:type="dxa"/>
            <w:bottom w:w="0" w:type="dxa"/>
            <w:right w:w="0" w:type="dxa"/>
          </w:tblCellMar>
        </w:tblPrEx>
        <w:trPr>
          <w:trHeight w:val="514" w:hRule="atLeast"/>
          <w:jc w:val="center"/>
        </w:trPr>
        <w:tc>
          <w:tcPr>
            <w:tcW w:w="62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992</w:t>
            </w: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70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514" w:hRule="atLeast"/>
          <w:jc w:val="center"/>
        </w:trPr>
        <w:tc>
          <w:tcPr>
            <w:tcW w:w="62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28</w:t>
            </w:r>
          </w:p>
        </w:tc>
        <w:tc>
          <w:tcPr>
            <w:tcW w:w="567"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住宅</w:t>
            </w:r>
          </w:p>
        </w:tc>
        <w:tc>
          <w:tcPr>
            <w:tcW w:w="185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台安县大庆西路嘉泰园小区10-3-702</w:t>
            </w:r>
          </w:p>
        </w:tc>
        <w:tc>
          <w:tcPr>
            <w:tcW w:w="73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79.27</w:t>
            </w: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78,636.00</w:t>
            </w: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70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78,636.00</w:t>
            </w:r>
          </w:p>
        </w:tc>
      </w:tr>
      <w:tr>
        <w:tblPrEx>
          <w:tblCellMar>
            <w:top w:w="0" w:type="dxa"/>
            <w:left w:w="0" w:type="dxa"/>
            <w:bottom w:w="0" w:type="dxa"/>
            <w:right w:w="0" w:type="dxa"/>
          </w:tblCellMar>
        </w:tblPrEx>
        <w:trPr>
          <w:trHeight w:val="514" w:hRule="atLeast"/>
          <w:jc w:val="center"/>
        </w:trPr>
        <w:tc>
          <w:tcPr>
            <w:tcW w:w="62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992</w:t>
            </w: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70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514" w:hRule="atLeast"/>
          <w:jc w:val="center"/>
        </w:trPr>
        <w:tc>
          <w:tcPr>
            <w:tcW w:w="62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29</w:t>
            </w:r>
          </w:p>
        </w:tc>
        <w:tc>
          <w:tcPr>
            <w:tcW w:w="567"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住宅</w:t>
            </w:r>
          </w:p>
        </w:tc>
        <w:tc>
          <w:tcPr>
            <w:tcW w:w="185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台安县大庆西路嘉泰园小区11-1-701</w:t>
            </w:r>
          </w:p>
        </w:tc>
        <w:tc>
          <w:tcPr>
            <w:tcW w:w="73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79.58</w:t>
            </w: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78,943.00</w:t>
            </w: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70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78,943.00</w:t>
            </w:r>
          </w:p>
        </w:tc>
      </w:tr>
      <w:tr>
        <w:tblPrEx>
          <w:tblCellMar>
            <w:top w:w="0" w:type="dxa"/>
            <w:left w:w="0" w:type="dxa"/>
            <w:bottom w:w="0" w:type="dxa"/>
            <w:right w:w="0" w:type="dxa"/>
          </w:tblCellMar>
        </w:tblPrEx>
        <w:trPr>
          <w:trHeight w:val="514" w:hRule="atLeast"/>
          <w:jc w:val="center"/>
        </w:trPr>
        <w:tc>
          <w:tcPr>
            <w:tcW w:w="62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992</w:t>
            </w: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70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514" w:hRule="atLeast"/>
          <w:jc w:val="center"/>
        </w:trPr>
        <w:tc>
          <w:tcPr>
            <w:tcW w:w="62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w:t>
            </w:r>
          </w:p>
        </w:tc>
        <w:tc>
          <w:tcPr>
            <w:tcW w:w="567"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住宅</w:t>
            </w:r>
          </w:p>
        </w:tc>
        <w:tc>
          <w:tcPr>
            <w:tcW w:w="185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台安县大庆西路嘉泰园小区11-1-702</w:t>
            </w:r>
          </w:p>
        </w:tc>
        <w:tc>
          <w:tcPr>
            <w:tcW w:w="73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78.97</w:t>
            </w: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78,338.00</w:t>
            </w: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70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78,338.00</w:t>
            </w:r>
          </w:p>
        </w:tc>
      </w:tr>
      <w:tr>
        <w:tblPrEx>
          <w:tblCellMar>
            <w:top w:w="0" w:type="dxa"/>
            <w:left w:w="0" w:type="dxa"/>
            <w:bottom w:w="0" w:type="dxa"/>
            <w:right w:w="0" w:type="dxa"/>
          </w:tblCellMar>
        </w:tblPrEx>
        <w:trPr>
          <w:trHeight w:val="514" w:hRule="atLeast"/>
          <w:jc w:val="center"/>
        </w:trPr>
        <w:tc>
          <w:tcPr>
            <w:tcW w:w="62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992</w:t>
            </w: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70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514" w:hRule="atLeast"/>
          <w:jc w:val="center"/>
        </w:trPr>
        <w:tc>
          <w:tcPr>
            <w:tcW w:w="62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w:t>
            </w:r>
          </w:p>
        </w:tc>
        <w:tc>
          <w:tcPr>
            <w:tcW w:w="567"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住宅</w:t>
            </w:r>
          </w:p>
        </w:tc>
        <w:tc>
          <w:tcPr>
            <w:tcW w:w="185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台安县大庆西路嘉泰园小区11-2-701</w:t>
            </w:r>
          </w:p>
        </w:tc>
        <w:tc>
          <w:tcPr>
            <w:tcW w:w="73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78.97</w:t>
            </w: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78,338.00</w:t>
            </w: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70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78,338.00</w:t>
            </w:r>
          </w:p>
        </w:tc>
      </w:tr>
      <w:tr>
        <w:tblPrEx>
          <w:tblCellMar>
            <w:top w:w="0" w:type="dxa"/>
            <w:left w:w="0" w:type="dxa"/>
            <w:bottom w:w="0" w:type="dxa"/>
            <w:right w:w="0" w:type="dxa"/>
          </w:tblCellMar>
        </w:tblPrEx>
        <w:trPr>
          <w:trHeight w:val="514" w:hRule="atLeast"/>
          <w:jc w:val="center"/>
        </w:trPr>
        <w:tc>
          <w:tcPr>
            <w:tcW w:w="62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992</w:t>
            </w: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70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514" w:hRule="atLeast"/>
          <w:jc w:val="center"/>
        </w:trPr>
        <w:tc>
          <w:tcPr>
            <w:tcW w:w="62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32</w:t>
            </w:r>
          </w:p>
        </w:tc>
        <w:tc>
          <w:tcPr>
            <w:tcW w:w="567"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住宅</w:t>
            </w:r>
          </w:p>
        </w:tc>
        <w:tc>
          <w:tcPr>
            <w:tcW w:w="185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台安县大庆西路嘉泰园小区11-2-702</w:t>
            </w:r>
          </w:p>
        </w:tc>
        <w:tc>
          <w:tcPr>
            <w:tcW w:w="73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78.58</w:t>
            </w: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77,951.00</w:t>
            </w: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70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77,951.00</w:t>
            </w:r>
          </w:p>
        </w:tc>
      </w:tr>
      <w:tr>
        <w:tblPrEx>
          <w:tblCellMar>
            <w:top w:w="0" w:type="dxa"/>
            <w:left w:w="0" w:type="dxa"/>
            <w:bottom w:w="0" w:type="dxa"/>
            <w:right w:w="0" w:type="dxa"/>
          </w:tblCellMar>
        </w:tblPrEx>
        <w:trPr>
          <w:trHeight w:val="514" w:hRule="atLeast"/>
          <w:jc w:val="center"/>
        </w:trPr>
        <w:tc>
          <w:tcPr>
            <w:tcW w:w="62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992</w:t>
            </w: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70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514" w:hRule="atLeast"/>
          <w:jc w:val="center"/>
        </w:trPr>
        <w:tc>
          <w:tcPr>
            <w:tcW w:w="62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33</w:t>
            </w:r>
          </w:p>
        </w:tc>
        <w:tc>
          <w:tcPr>
            <w:tcW w:w="567"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车库</w:t>
            </w:r>
          </w:p>
        </w:tc>
        <w:tc>
          <w:tcPr>
            <w:tcW w:w="185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台安县大庆西路嘉泰园小区2号楼北侧东一</w:t>
            </w:r>
          </w:p>
        </w:tc>
        <w:tc>
          <w:tcPr>
            <w:tcW w:w="73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18.47</w:t>
            </w: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51,901.00</w:t>
            </w:r>
          </w:p>
        </w:tc>
        <w:tc>
          <w:tcPr>
            <w:tcW w:w="170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51,901.00</w:t>
            </w:r>
          </w:p>
        </w:tc>
      </w:tr>
      <w:tr>
        <w:tblPrEx>
          <w:tblCellMar>
            <w:top w:w="0" w:type="dxa"/>
            <w:left w:w="0" w:type="dxa"/>
            <w:bottom w:w="0" w:type="dxa"/>
            <w:right w:w="0" w:type="dxa"/>
          </w:tblCellMar>
        </w:tblPrEx>
        <w:trPr>
          <w:trHeight w:val="514" w:hRule="atLeast"/>
          <w:jc w:val="center"/>
        </w:trPr>
        <w:tc>
          <w:tcPr>
            <w:tcW w:w="62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2,810.00</w:t>
            </w:r>
          </w:p>
        </w:tc>
        <w:tc>
          <w:tcPr>
            <w:tcW w:w="170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514" w:hRule="atLeast"/>
          <w:jc w:val="center"/>
        </w:trPr>
        <w:tc>
          <w:tcPr>
            <w:tcW w:w="62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34</w:t>
            </w:r>
          </w:p>
        </w:tc>
        <w:tc>
          <w:tcPr>
            <w:tcW w:w="567"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仓库</w:t>
            </w:r>
          </w:p>
        </w:tc>
        <w:tc>
          <w:tcPr>
            <w:tcW w:w="185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台安县大庆西路嘉泰园小区2号楼北侧东二</w:t>
            </w:r>
          </w:p>
        </w:tc>
        <w:tc>
          <w:tcPr>
            <w:tcW w:w="73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8.51</w:t>
            </w: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23,164.00</w:t>
            </w:r>
          </w:p>
        </w:tc>
        <w:tc>
          <w:tcPr>
            <w:tcW w:w="170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23,164.00</w:t>
            </w:r>
          </w:p>
        </w:tc>
      </w:tr>
      <w:tr>
        <w:tblPrEx>
          <w:tblCellMar>
            <w:top w:w="0" w:type="dxa"/>
            <w:left w:w="0" w:type="dxa"/>
            <w:bottom w:w="0" w:type="dxa"/>
            <w:right w:w="0" w:type="dxa"/>
          </w:tblCellMar>
        </w:tblPrEx>
        <w:trPr>
          <w:trHeight w:val="514" w:hRule="atLeast"/>
          <w:jc w:val="center"/>
        </w:trPr>
        <w:tc>
          <w:tcPr>
            <w:tcW w:w="62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2,722.00</w:t>
            </w:r>
          </w:p>
        </w:tc>
        <w:tc>
          <w:tcPr>
            <w:tcW w:w="170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514" w:hRule="atLeast"/>
          <w:jc w:val="center"/>
        </w:trPr>
        <w:tc>
          <w:tcPr>
            <w:tcW w:w="62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35</w:t>
            </w:r>
          </w:p>
        </w:tc>
        <w:tc>
          <w:tcPr>
            <w:tcW w:w="567"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仓库</w:t>
            </w:r>
          </w:p>
        </w:tc>
        <w:tc>
          <w:tcPr>
            <w:tcW w:w="185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台安县大庆西路嘉泰园小区2号楼北侧东三</w:t>
            </w:r>
          </w:p>
        </w:tc>
        <w:tc>
          <w:tcPr>
            <w:tcW w:w="73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8.51</w:t>
            </w: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23,164.00</w:t>
            </w:r>
          </w:p>
        </w:tc>
        <w:tc>
          <w:tcPr>
            <w:tcW w:w="170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23,164.00</w:t>
            </w:r>
          </w:p>
        </w:tc>
      </w:tr>
      <w:tr>
        <w:tblPrEx>
          <w:tblCellMar>
            <w:top w:w="0" w:type="dxa"/>
            <w:left w:w="0" w:type="dxa"/>
            <w:bottom w:w="0" w:type="dxa"/>
            <w:right w:w="0" w:type="dxa"/>
          </w:tblCellMar>
        </w:tblPrEx>
        <w:trPr>
          <w:trHeight w:val="514" w:hRule="atLeast"/>
          <w:jc w:val="center"/>
        </w:trPr>
        <w:tc>
          <w:tcPr>
            <w:tcW w:w="62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2,722.00</w:t>
            </w:r>
          </w:p>
        </w:tc>
        <w:tc>
          <w:tcPr>
            <w:tcW w:w="170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514" w:hRule="atLeast"/>
          <w:jc w:val="center"/>
        </w:trPr>
        <w:tc>
          <w:tcPr>
            <w:tcW w:w="62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36</w:t>
            </w:r>
          </w:p>
        </w:tc>
        <w:tc>
          <w:tcPr>
            <w:tcW w:w="567"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车库</w:t>
            </w:r>
          </w:p>
        </w:tc>
        <w:tc>
          <w:tcPr>
            <w:tcW w:w="185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台安县大庆西路嘉泰园小区2号楼北侧东五</w:t>
            </w:r>
          </w:p>
        </w:tc>
        <w:tc>
          <w:tcPr>
            <w:tcW w:w="73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18.47</w:t>
            </w: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51,901.00</w:t>
            </w:r>
          </w:p>
        </w:tc>
        <w:tc>
          <w:tcPr>
            <w:tcW w:w="170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51,901.00</w:t>
            </w:r>
          </w:p>
        </w:tc>
      </w:tr>
      <w:tr>
        <w:tblPrEx>
          <w:tblCellMar>
            <w:top w:w="0" w:type="dxa"/>
            <w:left w:w="0" w:type="dxa"/>
            <w:bottom w:w="0" w:type="dxa"/>
            <w:right w:w="0" w:type="dxa"/>
          </w:tblCellMar>
        </w:tblPrEx>
        <w:trPr>
          <w:trHeight w:val="514" w:hRule="atLeast"/>
          <w:jc w:val="center"/>
        </w:trPr>
        <w:tc>
          <w:tcPr>
            <w:tcW w:w="62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2,810.00</w:t>
            </w:r>
          </w:p>
        </w:tc>
        <w:tc>
          <w:tcPr>
            <w:tcW w:w="170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514" w:hRule="atLeast"/>
          <w:jc w:val="center"/>
        </w:trPr>
        <w:tc>
          <w:tcPr>
            <w:tcW w:w="62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37</w:t>
            </w:r>
          </w:p>
        </w:tc>
        <w:tc>
          <w:tcPr>
            <w:tcW w:w="567"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车库</w:t>
            </w:r>
          </w:p>
        </w:tc>
        <w:tc>
          <w:tcPr>
            <w:tcW w:w="185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台安县大庆西路嘉泰园小区2号楼南侧东一</w:t>
            </w:r>
          </w:p>
        </w:tc>
        <w:tc>
          <w:tcPr>
            <w:tcW w:w="73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19.99</w:t>
            </w: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56,172.00</w:t>
            </w:r>
          </w:p>
        </w:tc>
        <w:tc>
          <w:tcPr>
            <w:tcW w:w="170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56,172.00</w:t>
            </w:r>
          </w:p>
        </w:tc>
      </w:tr>
      <w:tr>
        <w:tblPrEx>
          <w:tblCellMar>
            <w:top w:w="0" w:type="dxa"/>
            <w:left w:w="0" w:type="dxa"/>
            <w:bottom w:w="0" w:type="dxa"/>
            <w:right w:w="0" w:type="dxa"/>
          </w:tblCellMar>
        </w:tblPrEx>
        <w:trPr>
          <w:trHeight w:val="514" w:hRule="atLeast"/>
          <w:jc w:val="center"/>
        </w:trPr>
        <w:tc>
          <w:tcPr>
            <w:tcW w:w="62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2,810.00</w:t>
            </w:r>
          </w:p>
        </w:tc>
        <w:tc>
          <w:tcPr>
            <w:tcW w:w="170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514" w:hRule="atLeast"/>
          <w:jc w:val="center"/>
        </w:trPr>
        <w:tc>
          <w:tcPr>
            <w:tcW w:w="62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38</w:t>
            </w:r>
          </w:p>
        </w:tc>
        <w:tc>
          <w:tcPr>
            <w:tcW w:w="567"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车库</w:t>
            </w:r>
          </w:p>
        </w:tc>
        <w:tc>
          <w:tcPr>
            <w:tcW w:w="185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台安县大庆西路嘉泰园小区2号楼南侧东四</w:t>
            </w:r>
          </w:p>
        </w:tc>
        <w:tc>
          <w:tcPr>
            <w:tcW w:w="73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19.99</w:t>
            </w: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56,172.00</w:t>
            </w:r>
          </w:p>
        </w:tc>
        <w:tc>
          <w:tcPr>
            <w:tcW w:w="170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56,172.00</w:t>
            </w:r>
          </w:p>
        </w:tc>
      </w:tr>
      <w:tr>
        <w:tblPrEx>
          <w:tblCellMar>
            <w:top w:w="0" w:type="dxa"/>
            <w:left w:w="0" w:type="dxa"/>
            <w:bottom w:w="0" w:type="dxa"/>
            <w:right w:w="0" w:type="dxa"/>
          </w:tblCellMar>
        </w:tblPrEx>
        <w:trPr>
          <w:trHeight w:val="514" w:hRule="atLeast"/>
          <w:jc w:val="center"/>
        </w:trPr>
        <w:tc>
          <w:tcPr>
            <w:tcW w:w="62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2,810.00</w:t>
            </w:r>
          </w:p>
        </w:tc>
        <w:tc>
          <w:tcPr>
            <w:tcW w:w="170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514" w:hRule="atLeast"/>
          <w:jc w:val="center"/>
        </w:trPr>
        <w:tc>
          <w:tcPr>
            <w:tcW w:w="62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39</w:t>
            </w:r>
          </w:p>
        </w:tc>
        <w:tc>
          <w:tcPr>
            <w:tcW w:w="567"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车库</w:t>
            </w:r>
          </w:p>
        </w:tc>
        <w:tc>
          <w:tcPr>
            <w:tcW w:w="185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台安县大庆西路嘉泰园小区3号楼南侧东五</w:t>
            </w:r>
          </w:p>
        </w:tc>
        <w:tc>
          <w:tcPr>
            <w:tcW w:w="73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19.99</w:t>
            </w: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56,172.00</w:t>
            </w:r>
          </w:p>
        </w:tc>
        <w:tc>
          <w:tcPr>
            <w:tcW w:w="170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56,172.00</w:t>
            </w:r>
          </w:p>
        </w:tc>
      </w:tr>
      <w:tr>
        <w:tblPrEx>
          <w:tblCellMar>
            <w:top w:w="0" w:type="dxa"/>
            <w:left w:w="0" w:type="dxa"/>
            <w:bottom w:w="0" w:type="dxa"/>
            <w:right w:w="0" w:type="dxa"/>
          </w:tblCellMar>
        </w:tblPrEx>
        <w:trPr>
          <w:trHeight w:val="514" w:hRule="atLeast"/>
          <w:jc w:val="center"/>
        </w:trPr>
        <w:tc>
          <w:tcPr>
            <w:tcW w:w="62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2,810.00</w:t>
            </w:r>
          </w:p>
        </w:tc>
        <w:tc>
          <w:tcPr>
            <w:tcW w:w="170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514" w:hRule="atLeast"/>
          <w:jc w:val="center"/>
        </w:trPr>
        <w:tc>
          <w:tcPr>
            <w:tcW w:w="62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40</w:t>
            </w:r>
          </w:p>
        </w:tc>
        <w:tc>
          <w:tcPr>
            <w:tcW w:w="567"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车库</w:t>
            </w:r>
          </w:p>
        </w:tc>
        <w:tc>
          <w:tcPr>
            <w:tcW w:w="185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台安县大庆西路嘉泰园小区2号楼南侧东六</w:t>
            </w:r>
          </w:p>
        </w:tc>
        <w:tc>
          <w:tcPr>
            <w:tcW w:w="73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31.32</w:t>
            </w: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86,255.00</w:t>
            </w:r>
          </w:p>
        </w:tc>
        <w:tc>
          <w:tcPr>
            <w:tcW w:w="170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86,255.00</w:t>
            </w:r>
          </w:p>
        </w:tc>
      </w:tr>
      <w:tr>
        <w:tblPrEx>
          <w:tblCellMar>
            <w:top w:w="0" w:type="dxa"/>
            <w:left w:w="0" w:type="dxa"/>
            <w:bottom w:w="0" w:type="dxa"/>
            <w:right w:w="0" w:type="dxa"/>
          </w:tblCellMar>
        </w:tblPrEx>
        <w:trPr>
          <w:trHeight w:val="514" w:hRule="atLeast"/>
          <w:jc w:val="center"/>
        </w:trPr>
        <w:tc>
          <w:tcPr>
            <w:tcW w:w="62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2,754.00</w:t>
            </w:r>
          </w:p>
        </w:tc>
        <w:tc>
          <w:tcPr>
            <w:tcW w:w="170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514" w:hRule="atLeast"/>
          <w:jc w:val="center"/>
        </w:trPr>
        <w:tc>
          <w:tcPr>
            <w:tcW w:w="62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41</w:t>
            </w:r>
          </w:p>
        </w:tc>
        <w:tc>
          <w:tcPr>
            <w:tcW w:w="567"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车库</w:t>
            </w:r>
          </w:p>
        </w:tc>
        <w:tc>
          <w:tcPr>
            <w:tcW w:w="185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台安县大庆西路嘉泰园小区3号楼北侧东一</w:t>
            </w:r>
          </w:p>
        </w:tc>
        <w:tc>
          <w:tcPr>
            <w:tcW w:w="73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18.47</w:t>
            </w: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51,901.00</w:t>
            </w:r>
          </w:p>
        </w:tc>
        <w:tc>
          <w:tcPr>
            <w:tcW w:w="170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51,901.00</w:t>
            </w:r>
          </w:p>
        </w:tc>
      </w:tr>
      <w:tr>
        <w:tblPrEx>
          <w:tblCellMar>
            <w:top w:w="0" w:type="dxa"/>
            <w:left w:w="0" w:type="dxa"/>
            <w:bottom w:w="0" w:type="dxa"/>
            <w:right w:w="0" w:type="dxa"/>
          </w:tblCellMar>
        </w:tblPrEx>
        <w:trPr>
          <w:trHeight w:val="514" w:hRule="atLeast"/>
          <w:jc w:val="center"/>
        </w:trPr>
        <w:tc>
          <w:tcPr>
            <w:tcW w:w="62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2,810.00</w:t>
            </w:r>
          </w:p>
        </w:tc>
        <w:tc>
          <w:tcPr>
            <w:tcW w:w="170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514" w:hRule="atLeast"/>
          <w:jc w:val="center"/>
        </w:trPr>
        <w:tc>
          <w:tcPr>
            <w:tcW w:w="62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42</w:t>
            </w:r>
          </w:p>
        </w:tc>
        <w:tc>
          <w:tcPr>
            <w:tcW w:w="567"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仓库</w:t>
            </w:r>
          </w:p>
        </w:tc>
        <w:tc>
          <w:tcPr>
            <w:tcW w:w="185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台安县大庆西路嘉泰园小区3号楼北侧东二</w:t>
            </w:r>
          </w:p>
        </w:tc>
        <w:tc>
          <w:tcPr>
            <w:tcW w:w="73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8.51</w:t>
            </w: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23,164.00</w:t>
            </w:r>
          </w:p>
        </w:tc>
        <w:tc>
          <w:tcPr>
            <w:tcW w:w="170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23,164.00</w:t>
            </w:r>
          </w:p>
        </w:tc>
      </w:tr>
      <w:tr>
        <w:tblPrEx>
          <w:tblCellMar>
            <w:top w:w="0" w:type="dxa"/>
            <w:left w:w="0" w:type="dxa"/>
            <w:bottom w:w="0" w:type="dxa"/>
            <w:right w:w="0" w:type="dxa"/>
          </w:tblCellMar>
        </w:tblPrEx>
        <w:trPr>
          <w:trHeight w:val="514" w:hRule="atLeast"/>
          <w:jc w:val="center"/>
        </w:trPr>
        <w:tc>
          <w:tcPr>
            <w:tcW w:w="62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2,722.00</w:t>
            </w:r>
          </w:p>
        </w:tc>
        <w:tc>
          <w:tcPr>
            <w:tcW w:w="170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514" w:hRule="atLeast"/>
          <w:jc w:val="center"/>
        </w:trPr>
        <w:tc>
          <w:tcPr>
            <w:tcW w:w="62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43</w:t>
            </w:r>
          </w:p>
        </w:tc>
        <w:tc>
          <w:tcPr>
            <w:tcW w:w="567"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仓库</w:t>
            </w:r>
          </w:p>
        </w:tc>
        <w:tc>
          <w:tcPr>
            <w:tcW w:w="185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台安县大庆西路嘉泰园小区3号楼北侧东三</w:t>
            </w:r>
          </w:p>
        </w:tc>
        <w:tc>
          <w:tcPr>
            <w:tcW w:w="73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8.51</w:t>
            </w: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23,164.00</w:t>
            </w:r>
          </w:p>
        </w:tc>
        <w:tc>
          <w:tcPr>
            <w:tcW w:w="170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23,164.00</w:t>
            </w:r>
          </w:p>
        </w:tc>
      </w:tr>
      <w:tr>
        <w:tblPrEx>
          <w:tblCellMar>
            <w:top w:w="0" w:type="dxa"/>
            <w:left w:w="0" w:type="dxa"/>
            <w:bottom w:w="0" w:type="dxa"/>
            <w:right w:w="0" w:type="dxa"/>
          </w:tblCellMar>
        </w:tblPrEx>
        <w:trPr>
          <w:trHeight w:val="514" w:hRule="atLeast"/>
          <w:jc w:val="center"/>
        </w:trPr>
        <w:tc>
          <w:tcPr>
            <w:tcW w:w="62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2,722.00</w:t>
            </w:r>
          </w:p>
        </w:tc>
        <w:tc>
          <w:tcPr>
            <w:tcW w:w="170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514" w:hRule="atLeast"/>
          <w:jc w:val="center"/>
        </w:trPr>
        <w:tc>
          <w:tcPr>
            <w:tcW w:w="62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44</w:t>
            </w:r>
          </w:p>
        </w:tc>
        <w:tc>
          <w:tcPr>
            <w:tcW w:w="567"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车库</w:t>
            </w:r>
          </w:p>
        </w:tc>
        <w:tc>
          <w:tcPr>
            <w:tcW w:w="185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台安县大庆西路嘉泰园小区3号楼北侧东四</w:t>
            </w:r>
          </w:p>
        </w:tc>
        <w:tc>
          <w:tcPr>
            <w:tcW w:w="73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18.47</w:t>
            </w: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51,901.00</w:t>
            </w:r>
          </w:p>
        </w:tc>
        <w:tc>
          <w:tcPr>
            <w:tcW w:w="170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51,901.00</w:t>
            </w:r>
          </w:p>
        </w:tc>
      </w:tr>
      <w:tr>
        <w:tblPrEx>
          <w:tblCellMar>
            <w:top w:w="0" w:type="dxa"/>
            <w:left w:w="0" w:type="dxa"/>
            <w:bottom w:w="0" w:type="dxa"/>
            <w:right w:w="0" w:type="dxa"/>
          </w:tblCellMar>
        </w:tblPrEx>
        <w:trPr>
          <w:trHeight w:val="514" w:hRule="atLeast"/>
          <w:jc w:val="center"/>
        </w:trPr>
        <w:tc>
          <w:tcPr>
            <w:tcW w:w="62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2,810.00</w:t>
            </w:r>
          </w:p>
        </w:tc>
        <w:tc>
          <w:tcPr>
            <w:tcW w:w="170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514" w:hRule="atLeast"/>
          <w:jc w:val="center"/>
        </w:trPr>
        <w:tc>
          <w:tcPr>
            <w:tcW w:w="62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45</w:t>
            </w:r>
          </w:p>
        </w:tc>
        <w:tc>
          <w:tcPr>
            <w:tcW w:w="567"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车库</w:t>
            </w:r>
          </w:p>
        </w:tc>
        <w:tc>
          <w:tcPr>
            <w:tcW w:w="185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台安县大庆西路嘉泰园小区3号楼北侧东五</w:t>
            </w:r>
          </w:p>
        </w:tc>
        <w:tc>
          <w:tcPr>
            <w:tcW w:w="73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18.47</w:t>
            </w: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51,901.00</w:t>
            </w:r>
          </w:p>
        </w:tc>
        <w:tc>
          <w:tcPr>
            <w:tcW w:w="170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51,901.00</w:t>
            </w:r>
          </w:p>
        </w:tc>
      </w:tr>
      <w:tr>
        <w:tblPrEx>
          <w:tblCellMar>
            <w:top w:w="0" w:type="dxa"/>
            <w:left w:w="0" w:type="dxa"/>
            <w:bottom w:w="0" w:type="dxa"/>
            <w:right w:w="0" w:type="dxa"/>
          </w:tblCellMar>
        </w:tblPrEx>
        <w:trPr>
          <w:trHeight w:val="514" w:hRule="atLeast"/>
          <w:jc w:val="center"/>
        </w:trPr>
        <w:tc>
          <w:tcPr>
            <w:tcW w:w="62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2,810.00</w:t>
            </w:r>
          </w:p>
        </w:tc>
        <w:tc>
          <w:tcPr>
            <w:tcW w:w="170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514" w:hRule="atLeast"/>
          <w:jc w:val="center"/>
        </w:trPr>
        <w:tc>
          <w:tcPr>
            <w:tcW w:w="62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46</w:t>
            </w:r>
          </w:p>
        </w:tc>
        <w:tc>
          <w:tcPr>
            <w:tcW w:w="567"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仓库</w:t>
            </w:r>
          </w:p>
        </w:tc>
        <w:tc>
          <w:tcPr>
            <w:tcW w:w="185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台安县大庆西路嘉泰园小区3号楼北侧东六</w:t>
            </w:r>
          </w:p>
        </w:tc>
        <w:tc>
          <w:tcPr>
            <w:tcW w:w="73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8.51</w:t>
            </w: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23,164.00</w:t>
            </w:r>
          </w:p>
        </w:tc>
        <w:tc>
          <w:tcPr>
            <w:tcW w:w="170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23,164.00</w:t>
            </w:r>
          </w:p>
        </w:tc>
      </w:tr>
      <w:tr>
        <w:tblPrEx>
          <w:tblCellMar>
            <w:top w:w="0" w:type="dxa"/>
            <w:left w:w="0" w:type="dxa"/>
            <w:bottom w:w="0" w:type="dxa"/>
            <w:right w:w="0" w:type="dxa"/>
          </w:tblCellMar>
        </w:tblPrEx>
        <w:trPr>
          <w:trHeight w:val="514" w:hRule="atLeast"/>
          <w:jc w:val="center"/>
        </w:trPr>
        <w:tc>
          <w:tcPr>
            <w:tcW w:w="62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2,722.00</w:t>
            </w:r>
          </w:p>
        </w:tc>
        <w:tc>
          <w:tcPr>
            <w:tcW w:w="170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514" w:hRule="atLeast"/>
          <w:jc w:val="center"/>
        </w:trPr>
        <w:tc>
          <w:tcPr>
            <w:tcW w:w="62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47</w:t>
            </w:r>
          </w:p>
        </w:tc>
        <w:tc>
          <w:tcPr>
            <w:tcW w:w="567"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车库</w:t>
            </w:r>
          </w:p>
        </w:tc>
        <w:tc>
          <w:tcPr>
            <w:tcW w:w="185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台安县大庆西路嘉泰园小区4号楼北侧东一</w:t>
            </w:r>
          </w:p>
        </w:tc>
        <w:tc>
          <w:tcPr>
            <w:tcW w:w="73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18.47</w:t>
            </w: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51,901.00</w:t>
            </w:r>
          </w:p>
        </w:tc>
        <w:tc>
          <w:tcPr>
            <w:tcW w:w="170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51,901.00</w:t>
            </w:r>
          </w:p>
        </w:tc>
      </w:tr>
      <w:tr>
        <w:tblPrEx>
          <w:tblCellMar>
            <w:top w:w="0" w:type="dxa"/>
            <w:left w:w="0" w:type="dxa"/>
            <w:bottom w:w="0" w:type="dxa"/>
            <w:right w:w="0" w:type="dxa"/>
          </w:tblCellMar>
        </w:tblPrEx>
        <w:trPr>
          <w:trHeight w:val="514" w:hRule="atLeast"/>
          <w:jc w:val="center"/>
        </w:trPr>
        <w:tc>
          <w:tcPr>
            <w:tcW w:w="62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2,810.00</w:t>
            </w:r>
          </w:p>
        </w:tc>
        <w:tc>
          <w:tcPr>
            <w:tcW w:w="170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514" w:hRule="atLeast"/>
          <w:jc w:val="center"/>
        </w:trPr>
        <w:tc>
          <w:tcPr>
            <w:tcW w:w="62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48</w:t>
            </w:r>
          </w:p>
        </w:tc>
        <w:tc>
          <w:tcPr>
            <w:tcW w:w="567"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车库</w:t>
            </w:r>
          </w:p>
        </w:tc>
        <w:tc>
          <w:tcPr>
            <w:tcW w:w="185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台安县大庆西路嘉泰园小区4号楼北侧东五</w:t>
            </w:r>
          </w:p>
        </w:tc>
        <w:tc>
          <w:tcPr>
            <w:tcW w:w="73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18.47</w:t>
            </w: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51,901.00</w:t>
            </w:r>
          </w:p>
        </w:tc>
        <w:tc>
          <w:tcPr>
            <w:tcW w:w="170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51,901.00</w:t>
            </w:r>
          </w:p>
        </w:tc>
      </w:tr>
      <w:tr>
        <w:tblPrEx>
          <w:tblCellMar>
            <w:top w:w="0" w:type="dxa"/>
            <w:left w:w="0" w:type="dxa"/>
            <w:bottom w:w="0" w:type="dxa"/>
            <w:right w:w="0" w:type="dxa"/>
          </w:tblCellMar>
        </w:tblPrEx>
        <w:trPr>
          <w:trHeight w:val="514" w:hRule="atLeast"/>
          <w:jc w:val="center"/>
        </w:trPr>
        <w:tc>
          <w:tcPr>
            <w:tcW w:w="62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2,810.00</w:t>
            </w:r>
          </w:p>
        </w:tc>
        <w:tc>
          <w:tcPr>
            <w:tcW w:w="170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514" w:hRule="atLeast"/>
          <w:jc w:val="center"/>
        </w:trPr>
        <w:tc>
          <w:tcPr>
            <w:tcW w:w="62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49</w:t>
            </w:r>
          </w:p>
        </w:tc>
        <w:tc>
          <w:tcPr>
            <w:tcW w:w="567"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车库</w:t>
            </w:r>
          </w:p>
        </w:tc>
        <w:tc>
          <w:tcPr>
            <w:tcW w:w="185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台安县大庆西路嘉泰园小区4号楼北侧东八</w:t>
            </w:r>
          </w:p>
        </w:tc>
        <w:tc>
          <w:tcPr>
            <w:tcW w:w="73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18.77</w:t>
            </w: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52,744.00</w:t>
            </w:r>
          </w:p>
        </w:tc>
        <w:tc>
          <w:tcPr>
            <w:tcW w:w="170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52,744.00</w:t>
            </w:r>
          </w:p>
        </w:tc>
      </w:tr>
      <w:tr>
        <w:tblPrEx>
          <w:tblCellMar>
            <w:top w:w="0" w:type="dxa"/>
            <w:left w:w="0" w:type="dxa"/>
            <w:bottom w:w="0" w:type="dxa"/>
            <w:right w:w="0" w:type="dxa"/>
          </w:tblCellMar>
        </w:tblPrEx>
        <w:trPr>
          <w:trHeight w:val="514" w:hRule="atLeast"/>
          <w:jc w:val="center"/>
        </w:trPr>
        <w:tc>
          <w:tcPr>
            <w:tcW w:w="62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2,810.00</w:t>
            </w:r>
          </w:p>
        </w:tc>
        <w:tc>
          <w:tcPr>
            <w:tcW w:w="170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514" w:hRule="atLeast"/>
          <w:jc w:val="center"/>
        </w:trPr>
        <w:tc>
          <w:tcPr>
            <w:tcW w:w="62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50</w:t>
            </w:r>
          </w:p>
        </w:tc>
        <w:tc>
          <w:tcPr>
            <w:tcW w:w="567"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车库</w:t>
            </w:r>
          </w:p>
        </w:tc>
        <w:tc>
          <w:tcPr>
            <w:tcW w:w="185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台安县大庆西路嘉泰园小区4号楼南侧东一</w:t>
            </w:r>
          </w:p>
        </w:tc>
        <w:tc>
          <w:tcPr>
            <w:tcW w:w="73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19.99</w:t>
            </w: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56,172.00</w:t>
            </w:r>
          </w:p>
        </w:tc>
        <w:tc>
          <w:tcPr>
            <w:tcW w:w="170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56,172.00</w:t>
            </w:r>
          </w:p>
        </w:tc>
      </w:tr>
      <w:tr>
        <w:tblPrEx>
          <w:tblCellMar>
            <w:top w:w="0" w:type="dxa"/>
            <w:left w:w="0" w:type="dxa"/>
            <w:bottom w:w="0" w:type="dxa"/>
            <w:right w:w="0" w:type="dxa"/>
          </w:tblCellMar>
        </w:tblPrEx>
        <w:trPr>
          <w:trHeight w:val="514" w:hRule="atLeast"/>
          <w:jc w:val="center"/>
        </w:trPr>
        <w:tc>
          <w:tcPr>
            <w:tcW w:w="62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2,810.00</w:t>
            </w:r>
          </w:p>
        </w:tc>
        <w:tc>
          <w:tcPr>
            <w:tcW w:w="170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514" w:hRule="atLeast"/>
          <w:jc w:val="center"/>
        </w:trPr>
        <w:tc>
          <w:tcPr>
            <w:tcW w:w="62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51</w:t>
            </w:r>
          </w:p>
        </w:tc>
        <w:tc>
          <w:tcPr>
            <w:tcW w:w="567"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车库</w:t>
            </w:r>
          </w:p>
        </w:tc>
        <w:tc>
          <w:tcPr>
            <w:tcW w:w="185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台安县大庆西路嘉泰园小区4号楼南侧东二</w:t>
            </w:r>
          </w:p>
        </w:tc>
        <w:tc>
          <w:tcPr>
            <w:tcW w:w="73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31.21</w:t>
            </w: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85,952.00</w:t>
            </w:r>
          </w:p>
        </w:tc>
        <w:tc>
          <w:tcPr>
            <w:tcW w:w="170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85,952.00</w:t>
            </w:r>
          </w:p>
        </w:tc>
      </w:tr>
      <w:tr>
        <w:tblPrEx>
          <w:tblCellMar>
            <w:top w:w="0" w:type="dxa"/>
            <w:left w:w="0" w:type="dxa"/>
            <w:bottom w:w="0" w:type="dxa"/>
            <w:right w:w="0" w:type="dxa"/>
          </w:tblCellMar>
        </w:tblPrEx>
        <w:trPr>
          <w:trHeight w:val="514" w:hRule="atLeast"/>
          <w:jc w:val="center"/>
        </w:trPr>
        <w:tc>
          <w:tcPr>
            <w:tcW w:w="62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2,754.00</w:t>
            </w:r>
          </w:p>
        </w:tc>
        <w:tc>
          <w:tcPr>
            <w:tcW w:w="170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514" w:hRule="atLeast"/>
          <w:jc w:val="center"/>
        </w:trPr>
        <w:tc>
          <w:tcPr>
            <w:tcW w:w="62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52</w:t>
            </w:r>
          </w:p>
        </w:tc>
        <w:tc>
          <w:tcPr>
            <w:tcW w:w="567"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车库</w:t>
            </w:r>
          </w:p>
        </w:tc>
        <w:tc>
          <w:tcPr>
            <w:tcW w:w="185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台安县大庆西路嘉泰园小区4号楼南侧东四</w:t>
            </w:r>
          </w:p>
        </w:tc>
        <w:tc>
          <w:tcPr>
            <w:tcW w:w="73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19.99</w:t>
            </w: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56,172.00</w:t>
            </w:r>
          </w:p>
        </w:tc>
        <w:tc>
          <w:tcPr>
            <w:tcW w:w="170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56,172.00</w:t>
            </w:r>
          </w:p>
        </w:tc>
      </w:tr>
      <w:tr>
        <w:tblPrEx>
          <w:tblCellMar>
            <w:top w:w="0" w:type="dxa"/>
            <w:left w:w="0" w:type="dxa"/>
            <w:bottom w:w="0" w:type="dxa"/>
            <w:right w:w="0" w:type="dxa"/>
          </w:tblCellMar>
        </w:tblPrEx>
        <w:trPr>
          <w:trHeight w:val="514" w:hRule="atLeast"/>
          <w:jc w:val="center"/>
        </w:trPr>
        <w:tc>
          <w:tcPr>
            <w:tcW w:w="62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2,810.00</w:t>
            </w:r>
          </w:p>
        </w:tc>
        <w:tc>
          <w:tcPr>
            <w:tcW w:w="170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514" w:hRule="atLeast"/>
          <w:jc w:val="center"/>
        </w:trPr>
        <w:tc>
          <w:tcPr>
            <w:tcW w:w="62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53</w:t>
            </w:r>
          </w:p>
        </w:tc>
        <w:tc>
          <w:tcPr>
            <w:tcW w:w="567"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车库</w:t>
            </w:r>
          </w:p>
        </w:tc>
        <w:tc>
          <w:tcPr>
            <w:tcW w:w="185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台安县大庆西路嘉泰园小区4号楼南侧东五</w:t>
            </w:r>
          </w:p>
        </w:tc>
        <w:tc>
          <w:tcPr>
            <w:tcW w:w="73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19.99</w:t>
            </w: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56,172.00</w:t>
            </w:r>
          </w:p>
        </w:tc>
        <w:tc>
          <w:tcPr>
            <w:tcW w:w="170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56,172.00</w:t>
            </w:r>
          </w:p>
        </w:tc>
      </w:tr>
      <w:tr>
        <w:tblPrEx>
          <w:tblCellMar>
            <w:top w:w="0" w:type="dxa"/>
            <w:left w:w="0" w:type="dxa"/>
            <w:bottom w:w="0" w:type="dxa"/>
            <w:right w:w="0" w:type="dxa"/>
          </w:tblCellMar>
        </w:tblPrEx>
        <w:trPr>
          <w:trHeight w:val="514" w:hRule="atLeast"/>
          <w:jc w:val="center"/>
        </w:trPr>
        <w:tc>
          <w:tcPr>
            <w:tcW w:w="62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2,810.00</w:t>
            </w:r>
          </w:p>
        </w:tc>
        <w:tc>
          <w:tcPr>
            <w:tcW w:w="170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514" w:hRule="atLeast"/>
          <w:jc w:val="center"/>
        </w:trPr>
        <w:tc>
          <w:tcPr>
            <w:tcW w:w="62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54</w:t>
            </w:r>
          </w:p>
        </w:tc>
        <w:tc>
          <w:tcPr>
            <w:tcW w:w="567"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车库</w:t>
            </w:r>
          </w:p>
        </w:tc>
        <w:tc>
          <w:tcPr>
            <w:tcW w:w="185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台安县大庆西路嘉泰园小区4号楼南侧东八</w:t>
            </w:r>
          </w:p>
        </w:tc>
        <w:tc>
          <w:tcPr>
            <w:tcW w:w="73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20.32</w:t>
            </w: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57,099.00</w:t>
            </w:r>
          </w:p>
        </w:tc>
        <w:tc>
          <w:tcPr>
            <w:tcW w:w="170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57,099.00</w:t>
            </w:r>
          </w:p>
        </w:tc>
      </w:tr>
      <w:tr>
        <w:tblPrEx>
          <w:tblCellMar>
            <w:top w:w="0" w:type="dxa"/>
            <w:left w:w="0" w:type="dxa"/>
            <w:bottom w:w="0" w:type="dxa"/>
            <w:right w:w="0" w:type="dxa"/>
          </w:tblCellMar>
        </w:tblPrEx>
        <w:trPr>
          <w:trHeight w:val="514" w:hRule="atLeast"/>
          <w:jc w:val="center"/>
        </w:trPr>
        <w:tc>
          <w:tcPr>
            <w:tcW w:w="62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2,810.00</w:t>
            </w:r>
          </w:p>
        </w:tc>
        <w:tc>
          <w:tcPr>
            <w:tcW w:w="170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514" w:hRule="atLeast"/>
          <w:jc w:val="center"/>
        </w:trPr>
        <w:tc>
          <w:tcPr>
            <w:tcW w:w="62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55</w:t>
            </w:r>
          </w:p>
        </w:tc>
        <w:tc>
          <w:tcPr>
            <w:tcW w:w="567"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车库</w:t>
            </w:r>
          </w:p>
        </w:tc>
        <w:tc>
          <w:tcPr>
            <w:tcW w:w="185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台安县大庆西路嘉泰园小区5号楼1单元南侧1号</w:t>
            </w:r>
          </w:p>
        </w:tc>
        <w:tc>
          <w:tcPr>
            <w:tcW w:w="73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20.13</w:t>
            </w: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56,565.00</w:t>
            </w:r>
          </w:p>
        </w:tc>
        <w:tc>
          <w:tcPr>
            <w:tcW w:w="170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56,565.00</w:t>
            </w:r>
          </w:p>
        </w:tc>
      </w:tr>
      <w:tr>
        <w:tblPrEx>
          <w:tblCellMar>
            <w:top w:w="0" w:type="dxa"/>
            <w:left w:w="0" w:type="dxa"/>
            <w:bottom w:w="0" w:type="dxa"/>
            <w:right w:w="0" w:type="dxa"/>
          </w:tblCellMar>
        </w:tblPrEx>
        <w:trPr>
          <w:trHeight w:val="514" w:hRule="atLeast"/>
          <w:jc w:val="center"/>
        </w:trPr>
        <w:tc>
          <w:tcPr>
            <w:tcW w:w="62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2,810.00</w:t>
            </w:r>
          </w:p>
        </w:tc>
        <w:tc>
          <w:tcPr>
            <w:tcW w:w="170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514" w:hRule="atLeast"/>
          <w:jc w:val="center"/>
        </w:trPr>
        <w:tc>
          <w:tcPr>
            <w:tcW w:w="62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56</w:t>
            </w:r>
          </w:p>
        </w:tc>
        <w:tc>
          <w:tcPr>
            <w:tcW w:w="567"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仓库</w:t>
            </w:r>
          </w:p>
        </w:tc>
        <w:tc>
          <w:tcPr>
            <w:tcW w:w="185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台安县大庆西路嘉泰园小区5号楼1单元北侧东1号</w:t>
            </w:r>
          </w:p>
        </w:tc>
        <w:tc>
          <w:tcPr>
            <w:tcW w:w="73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13.73</w:t>
            </w: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37,373.00</w:t>
            </w:r>
          </w:p>
        </w:tc>
        <w:tc>
          <w:tcPr>
            <w:tcW w:w="170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37,373.00</w:t>
            </w:r>
          </w:p>
        </w:tc>
      </w:tr>
      <w:tr>
        <w:tblPrEx>
          <w:tblCellMar>
            <w:top w:w="0" w:type="dxa"/>
            <w:left w:w="0" w:type="dxa"/>
            <w:bottom w:w="0" w:type="dxa"/>
            <w:right w:w="0" w:type="dxa"/>
          </w:tblCellMar>
        </w:tblPrEx>
        <w:trPr>
          <w:trHeight w:val="514" w:hRule="atLeast"/>
          <w:jc w:val="center"/>
        </w:trPr>
        <w:tc>
          <w:tcPr>
            <w:tcW w:w="62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2,722.00</w:t>
            </w:r>
          </w:p>
        </w:tc>
        <w:tc>
          <w:tcPr>
            <w:tcW w:w="170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514" w:hRule="atLeast"/>
          <w:jc w:val="center"/>
        </w:trPr>
        <w:tc>
          <w:tcPr>
            <w:tcW w:w="62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57</w:t>
            </w:r>
          </w:p>
        </w:tc>
        <w:tc>
          <w:tcPr>
            <w:tcW w:w="567"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车库</w:t>
            </w:r>
          </w:p>
        </w:tc>
        <w:tc>
          <w:tcPr>
            <w:tcW w:w="185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台安县大庆西路嘉泰园小区5号楼3单元南侧1号</w:t>
            </w:r>
          </w:p>
        </w:tc>
        <w:tc>
          <w:tcPr>
            <w:tcW w:w="73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20.13</w:t>
            </w: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56,565.00</w:t>
            </w:r>
          </w:p>
        </w:tc>
        <w:tc>
          <w:tcPr>
            <w:tcW w:w="170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56,565.00</w:t>
            </w:r>
          </w:p>
        </w:tc>
      </w:tr>
      <w:tr>
        <w:tblPrEx>
          <w:tblCellMar>
            <w:top w:w="0" w:type="dxa"/>
            <w:left w:w="0" w:type="dxa"/>
            <w:bottom w:w="0" w:type="dxa"/>
            <w:right w:w="0" w:type="dxa"/>
          </w:tblCellMar>
        </w:tblPrEx>
        <w:trPr>
          <w:trHeight w:val="514" w:hRule="atLeast"/>
          <w:jc w:val="center"/>
        </w:trPr>
        <w:tc>
          <w:tcPr>
            <w:tcW w:w="62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2,810.00</w:t>
            </w:r>
          </w:p>
        </w:tc>
        <w:tc>
          <w:tcPr>
            <w:tcW w:w="170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514" w:hRule="atLeast"/>
          <w:jc w:val="center"/>
        </w:trPr>
        <w:tc>
          <w:tcPr>
            <w:tcW w:w="62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58</w:t>
            </w:r>
          </w:p>
        </w:tc>
        <w:tc>
          <w:tcPr>
            <w:tcW w:w="567"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车库</w:t>
            </w:r>
          </w:p>
        </w:tc>
        <w:tc>
          <w:tcPr>
            <w:tcW w:w="185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台安县大庆西路嘉泰园小区5号楼3单元北侧东2号</w:t>
            </w:r>
          </w:p>
        </w:tc>
        <w:tc>
          <w:tcPr>
            <w:tcW w:w="73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18.71</w:t>
            </w: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52,575.00</w:t>
            </w:r>
          </w:p>
        </w:tc>
        <w:tc>
          <w:tcPr>
            <w:tcW w:w="170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52,575.00</w:t>
            </w:r>
          </w:p>
        </w:tc>
      </w:tr>
      <w:tr>
        <w:tblPrEx>
          <w:tblCellMar>
            <w:top w:w="0" w:type="dxa"/>
            <w:left w:w="0" w:type="dxa"/>
            <w:bottom w:w="0" w:type="dxa"/>
            <w:right w:w="0" w:type="dxa"/>
          </w:tblCellMar>
        </w:tblPrEx>
        <w:trPr>
          <w:trHeight w:val="514" w:hRule="atLeast"/>
          <w:jc w:val="center"/>
        </w:trPr>
        <w:tc>
          <w:tcPr>
            <w:tcW w:w="62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2,810.00</w:t>
            </w:r>
          </w:p>
        </w:tc>
        <w:tc>
          <w:tcPr>
            <w:tcW w:w="170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514" w:hRule="atLeast"/>
          <w:jc w:val="center"/>
        </w:trPr>
        <w:tc>
          <w:tcPr>
            <w:tcW w:w="62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59</w:t>
            </w:r>
          </w:p>
        </w:tc>
        <w:tc>
          <w:tcPr>
            <w:tcW w:w="567"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车库</w:t>
            </w:r>
          </w:p>
        </w:tc>
        <w:tc>
          <w:tcPr>
            <w:tcW w:w="185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台安县大庆西路嘉泰园小区9号楼北侧东8</w:t>
            </w:r>
          </w:p>
        </w:tc>
        <w:tc>
          <w:tcPr>
            <w:tcW w:w="73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19.61</w:t>
            </w: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55,104.00</w:t>
            </w:r>
          </w:p>
        </w:tc>
        <w:tc>
          <w:tcPr>
            <w:tcW w:w="170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55,104.00</w:t>
            </w:r>
          </w:p>
        </w:tc>
      </w:tr>
      <w:tr>
        <w:tblPrEx>
          <w:tblCellMar>
            <w:top w:w="0" w:type="dxa"/>
            <w:left w:w="0" w:type="dxa"/>
            <w:bottom w:w="0" w:type="dxa"/>
            <w:right w:w="0" w:type="dxa"/>
          </w:tblCellMar>
        </w:tblPrEx>
        <w:trPr>
          <w:trHeight w:val="514" w:hRule="atLeast"/>
          <w:jc w:val="center"/>
        </w:trPr>
        <w:tc>
          <w:tcPr>
            <w:tcW w:w="62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2,810.00</w:t>
            </w:r>
          </w:p>
        </w:tc>
        <w:tc>
          <w:tcPr>
            <w:tcW w:w="170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514" w:hRule="atLeast"/>
          <w:jc w:val="center"/>
        </w:trPr>
        <w:tc>
          <w:tcPr>
            <w:tcW w:w="62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60</w:t>
            </w:r>
          </w:p>
        </w:tc>
        <w:tc>
          <w:tcPr>
            <w:tcW w:w="567"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车库</w:t>
            </w:r>
          </w:p>
        </w:tc>
        <w:tc>
          <w:tcPr>
            <w:tcW w:w="185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台安县大庆西路嘉泰园小区9号楼北侧东9</w:t>
            </w:r>
          </w:p>
        </w:tc>
        <w:tc>
          <w:tcPr>
            <w:tcW w:w="73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19.61</w:t>
            </w: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55,104.00</w:t>
            </w:r>
          </w:p>
        </w:tc>
        <w:tc>
          <w:tcPr>
            <w:tcW w:w="170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55,104.00</w:t>
            </w:r>
          </w:p>
        </w:tc>
      </w:tr>
      <w:tr>
        <w:tblPrEx>
          <w:tblCellMar>
            <w:top w:w="0" w:type="dxa"/>
            <w:left w:w="0" w:type="dxa"/>
            <w:bottom w:w="0" w:type="dxa"/>
            <w:right w:w="0" w:type="dxa"/>
          </w:tblCellMar>
        </w:tblPrEx>
        <w:trPr>
          <w:trHeight w:val="514" w:hRule="atLeast"/>
          <w:jc w:val="center"/>
        </w:trPr>
        <w:tc>
          <w:tcPr>
            <w:tcW w:w="62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2,810.00</w:t>
            </w:r>
          </w:p>
        </w:tc>
        <w:tc>
          <w:tcPr>
            <w:tcW w:w="170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514" w:hRule="atLeast"/>
          <w:jc w:val="center"/>
        </w:trPr>
        <w:tc>
          <w:tcPr>
            <w:tcW w:w="62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61</w:t>
            </w:r>
          </w:p>
        </w:tc>
        <w:tc>
          <w:tcPr>
            <w:tcW w:w="567"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仓库</w:t>
            </w:r>
          </w:p>
        </w:tc>
        <w:tc>
          <w:tcPr>
            <w:tcW w:w="185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台安县大庆西路嘉泰园小区9号楼北侧东11</w:t>
            </w:r>
          </w:p>
        </w:tc>
        <w:tc>
          <w:tcPr>
            <w:tcW w:w="73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9.43</w:t>
            </w: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25,668.00</w:t>
            </w:r>
          </w:p>
        </w:tc>
        <w:tc>
          <w:tcPr>
            <w:tcW w:w="170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25,668.00</w:t>
            </w:r>
          </w:p>
        </w:tc>
      </w:tr>
      <w:tr>
        <w:tblPrEx>
          <w:tblCellMar>
            <w:top w:w="0" w:type="dxa"/>
            <w:left w:w="0" w:type="dxa"/>
            <w:bottom w:w="0" w:type="dxa"/>
            <w:right w:w="0" w:type="dxa"/>
          </w:tblCellMar>
        </w:tblPrEx>
        <w:trPr>
          <w:trHeight w:val="514" w:hRule="atLeast"/>
          <w:jc w:val="center"/>
        </w:trPr>
        <w:tc>
          <w:tcPr>
            <w:tcW w:w="62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2,722.00</w:t>
            </w:r>
          </w:p>
        </w:tc>
        <w:tc>
          <w:tcPr>
            <w:tcW w:w="170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514" w:hRule="atLeast"/>
          <w:jc w:val="center"/>
        </w:trPr>
        <w:tc>
          <w:tcPr>
            <w:tcW w:w="62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62</w:t>
            </w:r>
          </w:p>
        </w:tc>
        <w:tc>
          <w:tcPr>
            <w:tcW w:w="567"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车库</w:t>
            </w:r>
          </w:p>
        </w:tc>
        <w:tc>
          <w:tcPr>
            <w:tcW w:w="185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台安县大庆西路嘉泰园小区9号楼北侧东12</w:t>
            </w:r>
          </w:p>
        </w:tc>
        <w:tc>
          <w:tcPr>
            <w:tcW w:w="73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19.91</w:t>
            </w: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55,947.00</w:t>
            </w:r>
          </w:p>
        </w:tc>
        <w:tc>
          <w:tcPr>
            <w:tcW w:w="170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55,947.00</w:t>
            </w:r>
          </w:p>
        </w:tc>
      </w:tr>
      <w:tr>
        <w:tblPrEx>
          <w:tblCellMar>
            <w:top w:w="0" w:type="dxa"/>
            <w:left w:w="0" w:type="dxa"/>
            <w:bottom w:w="0" w:type="dxa"/>
            <w:right w:w="0" w:type="dxa"/>
          </w:tblCellMar>
        </w:tblPrEx>
        <w:trPr>
          <w:trHeight w:val="514" w:hRule="atLeast"/>
          <w:jc w:val="center"/>
        </w:trPr>
        <w:tc>
          <w:tcPr>
            <w:tcW w:w="62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2,810.00</w:t>
            </w:r>
          </w:p>
        </w:tc>
        <w:tc>
          <w:tcPr>
            <w:tcW w:w="170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514" w:hRule="atLeast"/>
          <w:jc w:val="center"/>
        </w:trPr>
        <w:tc>
          <w:tcPr>
            <w:tcW w:w="62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63</w:t>
            </w:r>
          </w:p>
        </w:tc>
        <w:tc>
          <w:tcPr>
            <w:tcW w:w="567"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车库</w:t>
            </w:r>
          </w:p>
        </w:tc>
        <w:tc>
          <w:tcPr>
            <w:tcW w:w="185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台安县大庆西路嘉泰园小区9号楼南侧东5</w:t>
            </w:r>
          </w:p>
        </w:tc>
        <w:tc>
          <w:tcPr>
            <w:tcW w:w="73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21.23</w:t>
            </w: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59,656.00</w:t>
            </w:r>
          </w:p>
        </w:tc>
        <w:tc>
          <w:tcPr>
            <w:tcW w:w="170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59,656.00</w:t>
            </w:r>
          </w:p>
        </w:tc>
      </w:tr>
      <w:tr>
        <w:tblPrEx>
          <w:tblCellMar>
            <w:top w:w="0" w:type="dxa"/>
            <w:left w:w="0" w:type="dxa"/>
            <w:bottom w:w="0" w:type="dxa"/>
            <w:right w:w="0" w:type="dxa"/>
          </w:tblCellMar>
        </w:tblPrEx>
        <w:trPr>
          <w:trHeight w:val="514" w:hRule="atLeast"/>
          <w:jc w:val="center"/>
        </w:trPr>
        <w:tc>
          <w:tcPr>
            <w:tcW w:w="62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2,810.00</w:t>
            </w:r>
          </w:p>
        </w:tc>
        <w:tc>
          <w:tcPr>
            <w:tcW w:w="170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514" w:hRule="atLeast"/>
          <w:jc w:val="center"/>
        </w:trPr>
        <w:tc>
          <w:tcPr>
            <w:tcW w:w="62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64</w:t>
            </w:r>
          </w:p>
        </w:tc>
        <w:tc>
          <w:tcPr>
            <w:tcW w:w="567"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车库</w:t>
            </w:r>
          </w:p>
        </w:tc>
        <w:tc>
          <w:tcPr>
            <w:tcW w:w="185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台安县大庆西路嘉泰园小区9号楼南侧东6</w:t>
            </w:r>
          </w:p>
        </w:tc>
        <w:tc>
          <w:tcPr>
            <w:tcW w:w="73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33.44</w:t>
            </w: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92,094.00</w:t>
            </w:r>
          </w:p>
        </w:tc>
        <w:tc>
          <w:tcPr>
            <w:tcW w:w="170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92,094.00</w:t>
            </w:r>
          </w:p>
        </w:tc>
      </w:tr>
      <w:tr>
        <w:tblPrEx>
          <w:tblCellMar>
            <w:top w:w="0" w:type="dxa"/>
            <w:left w:w="0" w:type="dxa"/>
            <w:bottom w:w="0" w:type="dxa"/>
            <w:right w:w="0" w:type="dxa"/>
          </w:tblCellMar>
        </w:tblPrEx>
        <w:trPr>
          <w:trHeight w:val="514" w:hRule="atLeast"/>
          <w:jc w:val="center"/>
        </w:trPr>
        <w:tc>
          <w:tcPr>
            <w:tcW w:w="62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2,754.00</w:t>
            </w:r>
          </w:p>
        </w:tc>
        <w:tc>
          <w:tcPr>
            <w:tcW w:w="170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514" w:hRule="atLeast"/>
          <w:jc w:val="center"/>
        </w:trPr>
        <w:tc>
          <w:tcPr>
            <w:tcW w:w="62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65</w:t>
            </w:r>
          </w:p>
        </w:tc>
        <w:tc>
          <w:tcPr>
            <w:tcW w:w="567"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车库</w:t>
            </w:r>
          </w:p>
        </w:tc>
        <w:tc>
          <w:tcPr>
            <w:tcW w:w="185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台安县大庆西路嘉泰园小区9号楼南侧东7</w:t>
            </w:r>
          </w:p>
        </w:tc>
        <w:tc>
          <w:tcPr>
            <w:tcW w:w="73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33.44</w:t>
            </w: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92,094.00</w:t>
            </w:r>
          </w:p>
        </w:tc>
        <w:tc>
          <w:tcPr>
            <w:tcW w:w="170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92,094.00</w:t>
            </w:r>
          </w:p>
        </w:tc>
      </w:tr>
      <w:tr>
        <w:tblPrEx>
          <w:tblCellMar>
            <w:top w:w="0" w:type="dxa"/>
            <w:left w:w="0" w:type="dxa"/>
            <w:bottom w:w="0" w:type="dxa"/>
            <w:right w:w="0" w:type="dxa"/>
          </w:tblCellMar>
        </w:tblPrEx>
        <w:trPr>
          <w:trHeight w:val="514" w:hRule="atLeast"/>
          <w:jc w:val="center"/>
        </w:trPr>
        <w:tc>
          <w:tcPr>
            <w:tcW w:w="62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2,754.00</w:t>
            </w:r>
          </w:p>
        </w:tc>
        <w:tc>
          <w:tcPr>
            <w:tcW w:w="170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514" w:hRule="atLeast"/>
          <w:jc w:val="center"/>
        </w:trPr>
        <w:tc>
          <w:tcPr>
            <w:tcW w:w="62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66</w:t>
            </w:r>
          </w:p>
        </w:tc>
        <w:tc>
          <w:tcPr>
            <w:tcW w:w="567"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车库</w:t>
            </w:r>
          </w:p>
        </w:tc>
        <w:tc>
          <w:tcPr>
            <w:tcW w:w="185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台安县大庆西路嘉泰园小区9号楼南侧东8</w:t>
            </w:r>
          </w:p>
        </w:tc>
        <w:tc>
          <w:tcPr>
            <w:tcW w:w="73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21.23</w:t>
            </w: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59,656.00</w:t>
            </w:r>
          </w:p>
        </w:tc>
        <w:tc>
          <w:tcPr>
            <w:tcW w:w="170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59,656.00</w:t>
            </w:r>
          </w:p>
        </w:tc>
      </w:tr>
      <w:tr>
        <w:tblPrEx>
          <w:tblCellMar>
            <w:top w:w="0" w:type="dxa"/>
            <w:left w:w="0" w:type="dxa"/>
            <w:bottom w:w="0" w:type="dxa"/>
            <w:right w:w="0" w:type="dxa"/>
          </w:tblCellMar>
        </w:tblPrEx>
        <w:trPr>
          <w:trHeight w:val="514" w:hRule="atLeast"/>
          <w:jc w:val="center"/>
        </w:trPr>
        <w:tc>
          <w:tcPr>
            <w:tcW w:w="62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2,810.00</w:t>
            </w:r>
          </w:p>
        </w:tc>
        <w:tc>
          <w:tcPr>
            <w:tcW w:w="170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514" w:hRule="atLeast"/>
          <w:jc w:val="center"/>
        </w:trPr>
        <w:tc>
          <w:tcPr>
            <w:tcW w:w="62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67</w:t>
            </w:r>
          </w:p>
        </w:tc>
        <w:tc>
          <w:tcPr>
            <w:tcW w:w="567"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车库</w:t>
            </w:r>
          </w:p>
        </w:tc>
        <w:tc>
          <w:tcPr>
            <w:tcW w:w="185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台安县大庆西路嘉泰园小区9号楼南侧东9</w:t>
            </w:r>
          </w:p>
        </w:tc>
        <w:tc>
          <w:tcPr>
            <w:tcW w:w="73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21.23</w:t>
            </w: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59,656.00</w:t>
            </w:r>
          </w:p>
        </w:tc>
        <w:tc>
          <w:tcPr>
            <w:tcW w:w="170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59,656.00</w:t>
            </w:r>
          </w:p>
        </w:tc>
      </w:tr>
      <w:tr>
        <w:tblPrEx>
          <w:tblCellMar>
            <w:top w:w="0" w:type="dxa"/>
            <w:left w:w="0" w:type="dxa"/>
            <w:bottom w:w="0" w:type="dxa"/>
            <w:right w:w="0" w:type="dxa"/>
          </w:tblCellMar>
        </w:tblPrEx>
        <w:trPr>
          <w:trHeight w:val="514" w:hRule="atLeast"/>
          <w:jc w:val="center"/>
        </w:trPr>
        <w:tc>
          <w:tcPr>
            <w:tcW w:w="62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2,810.00</w:t>
            </w:r>
          </w:p>
        </w:tc>
        <w:tc>
          <w:tcPr>
            <w:tcW w:w="170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514" w:hRule="atLeast"/>
          <w:jc w:val="center"/>
        </w:trPr>
        <w:tc>
          <w:tcPr>
            <w:tcW w:w="62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68</w:t>
            </w:r>
          </w:p>
        </w:tc>
        <w:tc>
          <w:tcPr>
            <w:tcW w:w="567"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车库</w:t>
            </w:r>
          </w:p>
        </w:tc>
        <w:tc>
          <w:tcPr>
            <w:tcW w:w="185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台安县大庆西路嘉泰园小区9号楼南侧东10</w:t>
            </w:r>
          </w:p>
        </w:tc>
        <w:tc>
          <w:tcPr>
            <w:tcW w:w="73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33.44</w:t>
            </w: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92,094.00</w:t>
            </w:r>
          </w:p>
        </w:tc>
        <w:tc>
          <w:tcPr>
            <w:tcW w:w="170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92,094.00</w:t>
            </w:r>
          </w:p>
        </w:tc>
      </w:tr>
      <w:tr>
        <w:tblPrEx>
          <w:tblCellMar>
            <w:top w:w="0" w:type="dxa"/>
            <w:left w:w="0" w:type="dxa"/>
            <w:bottom w:w="0" w:type="dxa"/>
            <w:right w:w="0" w:type="dxa"/>
          </w:tblCellMar>
        </w:tblPrEx>
        <w:trPr>
          <w:trHeight w:val="514" w:hRule="atLeast"/>
          <w:jc w:val="center"/>
        </w:trPr>
        <w:tc>
          <w:tcPr>
            <w:tcW w:w="62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2,754.00</w:t>
            </w:r>
          </w:p>
        </w:tc>
        <w:tc>
          <w:tcPr>
            <w:tcW w:w="170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514" w:hRule="atLeast"/>
          <w:jc w:val="center"/>
        </w:trPr>
        <w:tc>
          <w:tcPr>
            <w:tcW w:w="62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69</w:t>
            </w:r>
          </w:p>
        </w:tc>
        <w:tc>
          <w:tcPr>
            <w:tcW w:w="567"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车库</w:t>
            </w:r>
          </w:p>
        </w:tc>
        <w:tc>
          <w:tcPr>
            <w:tcW w:w="185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台安县大庆西路嘉泰园小区9号楼南侧东11</w:t>
            </w:r>
          </w:p>
        </w:tc>
        <w:tc>
          <w:tcPr>
            <w:tcW w:w="73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33.44</w:t>
            </w: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92,094.00</w:t>
            </w:r>
          </w:p>
        </w:tc>
        <w:tc>
          <w:tcPr>
            <w:tcW w:w="170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92,094.00</w:t>
            </w:r>
          </w:p>
        </w:tc>
      </w:tr>
      <w:tr>
        <w:tblPrEx>
          <w:tblCellMar>
            <w:top w:w="0" w:type="dxa"/>
            <w:left w:w="0" w:type="dxa"/>
            <w:bottom w:w="0" w:type="dxa"/>
            <w:right w:w="0" w:type="dxa"/>
          </w:tblCellMar>
        </w:tblPrEx>
        <w:trPr>
          <w:trHeight w:val="514" w:hRule="atLeast"/>
          <w:jc w:val="center"/>
        </w:trPr>
        <w:tc>
          <w:tcPr>
            <w:tcW w:w="62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2,754.00</w:t>
            </w:r>
          </w:p>
        </w:tc>
        <w:tc>
          <w:tcPr>
            <w:tcW w:w="170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514" w:hRule="atLeast"/>
          <w:jc w:val="center"/>
        </w:trPr>
        <w:tc>
          <w:tcPr>
            <w:tcW w:w="62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70</w:t>
            </w:r>
          </w:p>
        </w:tc>
        <w:tc>
          <w:tcPr>
            <w:tcW w:w="567"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车库</w:t>
            </w:r>
          </w:p>
        </w:tc>
        <w:tc>
          <w:tcPr>
            <w:tcW w:w="185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台安县大庆西路嘉泰园小区9号楼南侧东12</w:t>
            </w:r>
          </w:p>
        </w:tc>
        <w:tc>
          <w:tcPr>
            <w:tcW w:w="73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21.56</w:t>
            </w: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60,584.00</w:t>
            </w:r>
          </w:p>
        </w:tc>
        <w:tc>
          <w:tcPr>
            <w:tcW w:w="170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60,584.00</w:t>
            </w:r>
          </w:p>
        </w:tc>
      </w:tr>
      <w:tr>
        <w:tblPrEx>
          <w:tblCellMar>
            <w:top w:w="0" w:type="dxa"/>
            <w:left w:w="0" w:type="dxa"/>
            <w:bottom w:w="0" w:type="dxa"/>
            <w:right w:w="0" w:type="dxa"/>
          </w:tblCellMar>
        </w:tblPrEx>
        <w:trPr>
          <w:trHeight w:val="514" w:hRule="atLeast"/>
          <w:jc w:val="center"/>
        </w:trPr>
        <w:tc>
          <w:tcPr>
            <w:tcW w:w="62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2,810.00</w:t>
            </w:r>
          </w:p>
        </w:tc>
        <w:tc>
          <w:tcPr>
            <w:tcW w:w="170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514" w:hRule="atLeast"/>
          <w:jc w:val="center"/>
        </w:trPr>
        <w:tc>
          <w:tcPr>
            <w:tcW w:w="62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71</w:t>
            </w:r>
          </w:p>
        </w:tc>
        <w:tc>
          <w:tcPr>
            <w:tcW w:w="567"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车库</w:t>
            </w:r>
          </w:p>
        </w:tc>
        <w:tc>
          <w:tcPr>
            <w:tcW w:w="185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台安县大庆西路嘉泰园小区10号楼北侧东1</w:t>
            </w:r>
          </w:p>
        </w:tc>
        <w:tc>
          <w:tcPr>
            <w:tcW w:w="73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19.91</w:t>
            </w: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55,947.00</w:t>
            </w:r>
          </w:p>
        </w:tc>
        <w:tc>
          <w:tcPr>
            <w:tcW w:w="170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55,947.00</w:t>
            </w:r>
          </w:p>
        </w:tc>
      </w:tr>
      <w:tr>
        <w:tblPrEx>
          <w:tblCellMar>
            <w:top w:w="0" w:type="dxa"/>
            <w:left w:w="0" w:type="dxa"/>
            <w:bottom w:w="0" w:type="dxa"/>
            <w:right w:w="0" w:type="dxa"/>
          </w:tblCellMar>
        </w:tblPrEx>
        <w:trPr>
          <w:trHeight w:val="514" w:hRule="atLeast"/>
          <w:jc w:val="center"/>
        </w:trPr>
        <w:tc>
          <w:tcPr>
            <w:tcW w:w="62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2,810.00</w:t>
            </w:r>
          </w:p>
        </w:tc>
        <w:tc>
          <w:tcPr>
            <w:tcW w:w="170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514" w:hRule="atLeast"/>
          <w:jc w:val="center"/>
        </w:trPr>
        <w:tc>
          <w:tcPr>
            <w:tcW w:w="62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72</w:t>
            </w:r>
          </w:p>
        </w:tc>
        <w:tc>
          <w:tcPr>
            <w:tcW w:w="567"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车库</w:t>
            </w:r>
          </w:p>
        </w:tc>
        <w:tc>
          <w:tcPr>
            <w:tcW w:w="185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台安县大庆西路嘉泰园小区10号楼北侧东4</w:t>
            </w:r>
          </w:p>
        </w:tc>
        <w:tc>
          <w:tcPr>
            <w:tcW w:w="73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19.61</w:t>
            </w: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55,104.00</w:t>
            </w:r>
          </w:p>
        </w:tc>
        <w:tc>
          <w:tcPr>
            <w:tcW w:w="170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55,104.00</w:t>
            </w:r>
          </w:p>
        </w:tc>
      </w:tr>
      <w:tr>
        <w:tblPrEx>
          <w:tblCellMar>
            <w:top w:w="0" w:type="dxa"/>
            <w:left w:w="0" w:type="dxa"/>
            <w:bottom w:w="0" w:type="dxa"/>
            <w:right w:w="0" w:type="dxa"/>
          </w:tblCellMar>
        </w:tblPrEx>
        <w:trPr>
          <w:trHeight w:val="514" w:hRule="atLeast"/>
          <w:jc w:val="center"/>
        </w:trPr>
        <w:tc>
          <w:tcPr>
            <w:tcW w:w="62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2,810.00</w:t>
            </w:r>
          </w:p>
        </w:tc>
        <w:tc>
          <w:tcPr>
            <w:tcW w:w="170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514" w:hRule="atLeast"/>
          <w:jc w:val="center"/>
        </w:trPr>
        <w:tc>
          <w:tcPr>
            <w:tcW w:w="62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73</w:t>
            </w:r>
          </w:p>
        </w:tc>
        <w:tc>
          <w:tcPr>
            <w:tcW w:w="567"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仓库</w:t>
            </w:r>
          </w:p>
        </w:tc>
        <w:tc>
          <w:tcPr>
            <w:tcW w:w="185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台安县大庆西路嘉泰园小区10号楼北侧东7</w:t>
            </w:r>
          </w:p>
        </w:tc>
        <w:tc>
          <w:tcPr>
            <w:tcW w:w="73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9.43</w:t>
            </w: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25,668.00</w:t>
            </w:r>
          </w:p>
        </w:tc>
        <w:tc>
          <w:tcPr>
            <w:tcW w:w="170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25,668.00</w:t>
            </w:r>
          </w:p>
        </w:tc>
      </w:tr>
      <w:tr>
        <w:tblPrEx>
          <w:tblCellMar>
            <w:top w:w="0" w:type="dxa"/>
            <w:left w:w="0" w:type="dxa"/>
            <w:bottom w:w="0" w:type="dxa"/>
            <w:right w:w="0" w:type="dxa"/>
          </w:tblCellMar>
        </w:tblPrEx>
        <w:trPr>
          <w:trHeight w:val="514" w:hRule="atLeast"/>
          <w:jc w:val="center"/>
        </w:trPr>
        <w:tc>
          <w:tcPr>
            <w:tcW w:w="62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2,722.00</w:t>
            </w:r>
          </w:p>
        </w:tc>
        <w:tc>
          <w:tcPr>
            <w:tcW w:w="170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514" w:hRule="atLeast"/>
          <w:jc w:val="center"/>
        </w:trPr>
        <w:tc>
          <w:tcPr>
            <w:tcW w:w="62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74</w:t>
            </w:r>
          </w:p>
        </w:tc>
        <w:tc>
          <w:tcPr>
            <w:tcW w:w="567"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车库</w:t>
            </w:r>
          </w:p>
        </w:tc>
        <w:tc>
          <w:tcPr>
            <w:tcW w:w="185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台安县大庆西路嘉泰园小区10号楼北侧东8</w:t>
            </w:r>
          </w:p>
        </w:tc>
        <w:tc>
          <w:tcPr>
            <w:tcW w:w="73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19.61</w:t>
            </w: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55,104.00</w:t>
            </w:r>
          </w:p>
        </w:tc>
        <w:tc>
          <w:tcPr>
            <w:tcW w:w="170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55,104.00</w:t>
            </w:r>
          </w:p>
        </w:tc>
      </w:tr>
      <w:tr>
        <w:tblPrEx>
          <w:tblCellMar>
            <w:top w:w="0" w:type="dxa"/>
            <w:left w:w="0" w:type="dxa"/>
            <w:bottom w:w="0" w:type="dxa"/>
            <w:right w:w="0" w:type="dxa"/>
          </w:tblCellMar>
        </w:tblPrEx>
        <w:trPr>
          <w:trHeight w:val="514" w:hRule="atLeast"/>
          <w:jc w:val="center"/>
        </w:trPr>
        <w:tc>
          <w:tcPr>
            <w:tcW w:w="62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2,810.00</w:t>
            </w:r>
          </w:p>
        </w:tc>
        <w:tc>
          <w:tcPr>
            <w:tcW w:w="170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514" w:hRule="atLeast"/>
          <w:jc w:val="center"/>
        </w:trPr>
        <w:tc>
          <w:tcPr>
            <w:tcW w:w="62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75</w:t>
            </w:r>
          </w:p>
        </w:tc>
        <w:tc>
          <w:tcPr>
            <w:tcW w:w="567"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车库</w:t>
            </w:r>
          </w:p>
        </w:tc>
        <w:tc>
          <w:tcPr>
            <w:tcW w:w="185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台安县大庆西路嘉泰园小区10号楼北侧东9</w:t>
            </w:r>
          </w:p>
        </w:tc>
        <w:tc>
          <w:tcPr>
            <w:tcW w:w="73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19.61</w:t>
            </w: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55,104.00</w:t>
            </w:r>
          </w:p>
        </w:tc>
        <w:tc>
          <w:tcPr>
            <w:tcW w:w="170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55,104.00</w:t>
            </w:r>
          </w:p>
        </w:tc>
      </w:tr>
      <w:tr>
        <w:tblPrEx>
          <w:tblCellMar>
            <w:top w:w="0" w:type="dxa"/>
            <w:left w:w="0" w:type="dxa"/>
            <w:bottom w:w="0" w:type="dxa"/>
            <w:right w:w="0" w:type="dxa"/>
          </w:tblCellMar>
        </w:tblPrEx>
        <w:trPr>
          <w:trHeight w:val="514" w:hRule="atLeast"/>
          <w:jc w:val="center"/>
        </w:trPr>
        <w:tc>
          <w:tcPr>
            <w:tcW w:w="62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2,810.00</w:t>
            </w:r>
          </w:p>
        </w:tc>
        <w:tc>
          <w:tcPr>
            <w:tcW w:w="170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514" w:hRule="atLeast"/>
          <w:jc w:val="center"/>
        </w:trPr>
        <w:tc>
          <w:tcPr>
            <w:tcW w:w="62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76</w:t>
            </w:r>
          </w:p>
        </w:tc>
        <w:tc>
          <w:tcPr>
            <w:tcW w:w="567"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仓库</w:t>
            </w:r>
          </w:p>
        </w:tc>
        <w:tc>
          <w:tcPr>
            <w:tcW w:w="185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台安县大庆西路嘉泰园小区10号楼北侧东10</w:t>
            </w:r>
          </w:p>
        </w:tc>
        <w:tc>
          <w:tcPr>
            <w:tcW w:w="73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9.43</w:t>
            </w: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25,668.00</w:t>
            </w:r>
          </w:p>
        </w:tc>
        <w:tc>
          <w:tcPr>
            <w:tcW w:w="170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25,668.00</w:t>
            </w:r>
          </w:p>
        </w:tc>
      </w:tr>
      <w:tr>
        <w:tblPrEx>
          <w:tblCellMar>
            <w:top w:w="0" w:type="dxa"/>
            <w:left w:w="0" w:type="dxa"/>
            <w:bottom w:w="0" w:type="dxa"/>
            <w:right w:w="0" w:type="dxa"/>
          </w:tblCellMar>
        </w:tblPrEx>
        <w:trPr>
          <w:trHeight w:val="514" w:hRule="atLeast"/>
          <w:jc w:val="center"/>
        </w:trPr>
        <w:tc>
          <w:tcPr>
            <w:tcW w:w="62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2,722.00</w:t>
            </w:r>
          </w:p>
        </w:tc>
        <w:tc>
          <w:tcPr>
            <w:tcW w:w="170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514" w:hRule="atLeast"/>
          <w:jc w:val="center"/>
        </w:trPr>
        <w:tc>
          <w:tcPr>
            <w:tcW w:w="62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77</w:t>
            </w:r>
          </w:p>
        </w:tc>
        <w:tc>
          <w:tcPr>
            <w:tcW w:w="567"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仓库</w:t>
            </w:r>
          </w:p>
        </w:tc>
        <w:tc>
          <w:tcPr>
            <w:tcW w:w="185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台安县大庆西路嘉泰园小区10号楼北侧东11</w:t>
            </w:r>
          </w:p>
        </w:tc>
        <w:tc>
          <w:tcPr>
            <w:tcW w:w="73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9.43</w:t>
            </w: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25,668.00</w:t>
            </w:r>
          </w:p>
        </w:tc>
        <w:tc>
          <w:tcPr>
            <w:tcW w:w="170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25,668.00</w:t>
            </w:r>
          </w:p>
        </w:tc>
      </w:tr>
      <w:tr>
        <w:tblPrEx>
          <w:tblCellMar>
            <w:top w:w="0" w:type="dxa"/>
            <w:left w:w="0" w:type="dxa"/>
            <w:bottom w:w="0" w:type="dxa"/>
            <w:right w:w="0" w:type="dxa"/>
          </w:tblCellMar>
        </w:tblPrEx>
        <w:trPr>
          <w:trHeight w:val="514" w:hRule="atLeast"/>
          <w:jc w:val="center"/>
        </w:trPr>
        <w:tc>
          <w:tcPr>
            <w:tcW w:w="62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2,722.00</w:t>
            </w:r>
          </w:p>
        </w:tc>
        <w:tc>
          <w:tcPr>
            <w:tcW w:w="170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514" w:hRule="atLeast"/>
          <w:jc w:val="center"/>
        </w:trPr>
        <w:tc>
          <w:tcPr>
            <w:tcW w:w="62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78</w:t>
            </w:r>
          </w:p>
        </w:tc>
        <w:tc>
          <w:tcPr>
            <w:tcW w:w="567"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车库</w:t>
            </w:r>
          </w:p>
        </w:tc>
        <w:tc>
          <w:tcPr>
            <w:tcW w:w="185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台安县大庆西路嘉泰园小区10号楼北侧东12</w:t>
            </w:r>
          </w:p>
        </w:tc>
        <w:tc>
          <w:tcPr>
            <w:tcW w:w="73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19.91</w:t>
            </w: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55,947.00</w:t>
            </w:r>
          </w:p>
        </w:tc>
        <w:tc>
          <w:tcPr>
            <w:tcW w:w="170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55,947.00</w:t>
            </w:r>
          </w:p>
        </w:tc>
      </w:tr>
      <w:tr>
        <w:tblPrEx>
          <w:tblCellMar>
            <w:top w:w="0" w:type="dxa"/>
            <w:left w:w="0" w:type="dxa"/>
            <w:bottom w:w="0" w:type="dxa"/>
            <w:right w:w="0" w:type="dxa"/>
          </w:tblCellMar>
        </w:tblPrEx>
        <w:trPr>
          <w:trHeight w:val="514" w:hRule="atLeast"/>
          <w:jc w:val="center"/>
        </w:trPr>
        <w:tc>
          <w:tcPr>
            <w:tcW w:w="62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2,810.00</w:t>
            </w:r>
          </w:p>
        </w:tc>
        <w:tc>
          <w:tcPr>
            <w:tcW w:w="170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514" w:hRule="atLeast"/>
          <w:jc w:val="center"/>
        </w:trPr>
        <w:tc>
          <w:tcPr>
            <w:tcW w:w="62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79</w:t>
            </w:r>
          </w:p>
        </w:tc>
        <w:tc>
          <w:tcPr>
            <w:tcW w:w="567"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车库</w:t>
            </w:r>
          </w:p>
        </w:tc>
        <w:tc>
          <w:tcPr>
            <w:tcW w:w="185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台安县大庆西路嘉泰园小区10号楼南侧东7</w:t>
            </w:r>
          </w:p>
        </w:tc>
        <w:tc>
          <w:tcPr>
            <w:tcW w:w="73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33.44</w:t>
            </w: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92,094.00</w:t>
            </w:r>
          </w:p>
        </w:tc>
        <w:tc>
          <w:tcPr>
            <w:tcW w:w="170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92,094.00</w:t>
            </w:r>
          </w:p>
        </w:tc>
      </w:tr>
      <w:tr>
        <w:tblPrEx>
          <w:tblCellMar>
            <w:top w:w="0" w:type="dxa"/>
            <w:left w:w="0" w:type="dxa"/>
            <w:bottom w:w="0" w:type="dxa"/>
            <w:right w:w="0" w:type="dxa"/>
          </w:tblCellMar>
        </w:tblPrEx>
        <w:trPr>
          <w:trHeight w:val="514" w:hRule="atLeast"/>
          <w:jc w:val="center"/>
        </w:trPr>
        <w:tc>
          <w:tcPr>
            <w:tcW w:w="62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2,754.00</w:t>
            </w:r>
          </w:p>
        </w:tc>
        <w:tc>
          <w:tcPr>
            <w:tcW w:w="170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514" w:hRule="atLeast"/>
          <w:jc w:val="center"/>
        </w:trPr>
        <w:tc>
          <w:tcPr>
            <w:tcW w:w="62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80</w:t>
            </w:r>
          </w:p>
        </w:tc>
        <w:tc>
          <w:tcPr>
            <w:tcW w:w="567"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车库</w:t>
            </w:r>
          </w:p>
        </w:tc>
        <w:tc>
          <w:tcPr>
            <w:tcW w:w="185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台安县大庆西路嘉泰园小区10号楼南侧东10</w:t>
            </w:r>
          </w:p>
        </w:tc>
        <w:tc>
          <w:tcPr>
            <w:tcW w:w="73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33.44</w:t>
            </w: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92,094.00</w:t>
            </w:r>
          </w:p>
        </w:tc>
        <w:tc>
          <w:tcPr>
            <w:tcW w:w="170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92,094.00</w:t>
            </w:r>
          </w:p>
        </w:tc>
      </w:tr>
      <w:tr>
        <w:tblPrEx>
          <w:tblCellMar>
            <w:top w:w="0" w:type="dxa"/>
            <w:left w:w="0" w:type="dxa"/>
            <w:bottom w:w="0" w:type="dxa"/>
            <w:right w:w="0" w:type="dxa"/>
          </w:tblCellMar>
        </w:tblPrEx>
        <w:trPr>
          <w:trHeight w:val="514" w:hRule="atLeast"/>
          <w:jc w:val="center"/>
        </w:trPr>
        <w:tc>
          <w:tcPr>
            <w:tcW w:w="62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2,754.00</w:t>
            </w:r>
          </w:p>
        </w:tc>
        <w:tc>
          <w:tcPr>
            <w:tcW w:w="170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514" w:hRule="atLeast"/>
          <w:jc w:val="center"/>
        </w:trPr>
        <w:tc>
          <w:tcPr>
            <w:tcW w:w="62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81</w:t>
            </w:r>
          </w:p>
        </w:tc>
        <w:tc>
          <w:tcPr>
            <w:tcW w:w="567"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车库</w:t>
            </w:r>
          </w:p>
        </w:tc>
        <w:tc>
          <w:tcPr>
            <w:tcW w:w="185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台安县大庆西路嘉泰园小区10号楼南侧东11</w:t>
            </w:r>
          </w:p>
        </w:tc>
        <w:tc>
          <w:tcPr>
            <w:tcW w:w="73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33.44</w:t>
            </w: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92,094.00</w:t>
            </w:r>
          </w:p>
        </w:tc>
        <w:tc>
          <w:tcPr>
            <w:tcW w:w="170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92,094.00</w:t>
            </w:r>
          </w:p>
        </w:tc>
      </w:tr>
      <w:tr>
        <w:tblPrEx>
          <w:tblCellMar>
            <w:top w:w="0" w:type="dxa"/>
            <w:left w:w="0" w:type="dxa"/>
            <w:bottom w:w="0" w:type="dxa"/>
            <w:right w:w="0" w:type="dxa"/>
          </w:tblCellMar>
        </w:tblPrEx>
        <w:trPr>
          <w:trHeight w:val="514" w:hRule="atLeast"/>
          <w:jc w:val="center"/>
        </w:trPr>
        <w:tc>
          <w:tcPr>
            <w:tcW w:w="62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2,754.00</w:t>
            </w:r>
          </w:p>
        </w:tc>
        <w:tc>
          <w:tcPr>
            <w:tcW w:w="170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514" w:hRule="atLeast"/>
          <w:jc w:val="center"/>
        </w:trPr>
        <w:tc>
          <w:tcPr>
            <w:tcW w:w="62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82</w:t>
            </w:r>
          </w:p>
        </w:tc>
        <w:tc>
          <w:tcPr>
            <w:tcW w:w="567"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车库</w:t>
            </w:r>
          </w:p>
        </w:tc>
        <w:tc>
          <w:tcPr>
            <w:tcW w:w="185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台安县大庆西路嘉泰园小区10号楼南侧东12</w:t>
            </w:r>
          </w:p>
        </w:tc>
        <w:tc>
          <w:tcPr>
            <w:tcW w:w="73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21.56</w:t>
            </w: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60,584.00</w:t>
            </w:r>
          </w:p>
        </w:tc>
        <w:tc>
          <w:tcPr>
            <w:tcW w:w="170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60,584.00</w:t>
            </w:r>
          </w:p>
        </w:tc>
      </w:tr>
      <w:tr>
        <w:tblPrEx>
          <w:tblCellMar>
            <w:top w:w="0" w:type="dxa"/>
            <w:left w:w="0" w:type="dxa"/>
            <w:bottom w:w="0" w:type="dxa"/>
            <w:right w:w="0" w:type="dxa"/>
          </w:tblCellMar>
        </w:tblPrEx>
        <w:trPr>
          <w:trHeight w:val="514" w:hRule="atLeast"/>
          <w:jc w:val="center"/>
        </w:trPr>
        <w:tc>
          <w:tcPr>
            <w:tcW w:w="62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2,810.00</w:t>
            </w:r>
          </w:p>
        </w:tc>
        <w:tc>
          <w:tcPr>
            <w:tcW w:w="170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514" w:hRule="atLeast"/>
          <w:jc w:val="center"/>
        </w:trPr>
        <w:tc>
          <w:tcPr>
            <w:tcW w:w="62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83</w:t>
            </w:r>
          </w:p>
        </w:tc>
        <w:tc>
          <w:tcPr>
            <w:tcW w:w="567"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车库</w:t>
            </w:r>
          </w:p>
        </w:tc>
        <w:tc>
          <w:tcPr>
            <w:tcW w:w="185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台安县大庆西路嘉泰园小区11号楼北侧东1</w:t>
            </w:r>
          </w:p>
        </w:tc>
        <w:tc>
          <w:tcPr>
            <w:tcW w:w="73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20.07</w:t>
            </w: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56,397.00</w:t>
            </w:r>
          </w:p>
        </w:tc>
        <w:tc>
          <w:tcPr>
            <w:tcW w:w="170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56,397.00</w:t>
            </w:r>
          </w:p>
        </w:tc>
      </w:tr>
      <w:tr>
        <w:tblPrEx>
          <w:tblCellMar>
            <w:top w:w="0" w:type="dxa"/>
            <w:left w:w="0" w:type="dxa"/>
            <w:bottom w:w="0" w:type="dxa"/>
            <w:right w:w="0" w:type="dxa"/>
          </w:tblCellMar>
        </w:tblPrEx>
        <w:trPr>
          <w:trHeight w:val="514" w:hRule="atLeast"/>
          <w:jc w:val="center"/>
        </w:trPr>
        <w:tc>
          <w:tcPr>
            <w:tcW w:w="62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2,810.00</w:t>
            </w:r>
          </w:p>
        </w:tc>
        <w:tc>
          <w:tcPr>
            <w:tcW w:w="170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514" w:hRule="atLeast"/>
          <w:jc w:val="center"/>
        </w:trPr>
        <w:tc>
          <w:tcPr>
            <w:tcW w:w="62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84</w:t>
            </w:r>
          </w:p>
        </w:tc>
        <w:tc>
          <w:tcPr>
            <w:tcW w:w="567"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车库</w:t>
            </w:r>
          </w:p>
        </w:tc>
        <w:tc>
          <w:tcPr>
            <w:tcW w:w="185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台安县大庆西路嘉泰园小区11号楼北侧东4</w:t>
            </w:r>
          </w:p>
        </w:tc>
        <w:tc>
          <w:tcPr>
            <w:tcW w:w="73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19.77</w:t>
            </w: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55,554.00</w:t>
            </w:r>
          </w:p>
        </w:tc>
        <w:tc>
          <w:tcPr>
            <w:tcW w:w="170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55,554.00</w:t>
            </w:r>
          </w:p>
        </w:tc>
      </w:tr>
      <w:tr>
        <w:tblPrEx>
          <w:tblCellMar>
            <w:top w:w="0" w:type="dxa"/>
            <w:left w:w="0" w:type="dxa"/>
            <w:bottom w:w="0" w:type="dxa"/>
            <w:right w:w="0" w:type="dxa"/>
          </w:tblCellMar>
        </w:tblPrEx>
        <w:trPr>
          <w:trHeight w:val="514" w:hRule="atLeast"/>
          <w:jc w:val="center"/>
        </w:trPr>
        <w:tc>
          <w:tcPr>
            <w:tcW w:w="62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2,810.00</w:t>
            </w:r>
          </w:p>
        </w:tc>
        <w:tc>
          <w:tcPr>
            <w:tcW w:w="170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514" w:hRule="atLeast"/>
          <w:jc w:val="center"/>
        </w:trPr>
        <w:tc>
          <w:tcPr>
            <w:tcW w:w="62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85</w:t>
            </w:r>
          </w:p>
        </w:tc>
        <w:tc>
          <w:tcPr>
            <w:tcW w:w="567"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车库</w:t>
            </w:r>
          </w:p>
        </w:tc>
        <w:tc>
          <w:tcPr>
            <w:tcW w:w="185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台安县大庆西路嘉泰园小区11号楼北侧东5</w:t>
            </w:r>
          </w:p>
        </w:tc>
        <w:tc>
          <w:tcPr>
            <w:tcW w:w="73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19.77</w:t>
            </w: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55,554.00</w:t>
            </w:r>
          </w:p>
        </w:tc>
        <w:tc>
          <w:tcPr>
            <w:tcW w:w="170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55,554.00</w:t>
            </w:r>
          </w:p>
        </w:tc>
      </w:tr>
      <w:tr>
        <w:tblPrEx>
          <w:tblCellMar>
            <w:top w:w="0" w:type="dxa"/>
            <w:left w:w="0" w:type="dxa"/>
            <w:bottom w:w="0" w:type="dxa"/>
            <w:right w:w="0" w:type="dxa"/>
          </w:tblCellMar>
        </w:tblPrEx>
        <w:trPr>
          <w:trHeight w:val="514" w:hRule="atLeast"/>
          <w:jc w:val="center"/>
        </w:trPr>
        <w:tc>
          <w:tcPr>
            <w:tcW w:w="62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2,810.00</w:t>
            </w:r>
          </w:p>
        </w:tc>
        <w:tc>
          <w:tcPr>
            <w:tcW w:w="170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514" w:hRule="atLeast"/>
          <w:jc w:val="center"/>
        </w:trPr>
        <w:tc>
          <w:tcPr>
            <w:tcW w:w="62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86</w:t>
            </w:r>
          </w:p>
        </w:tc>
        <w:tc>
          <w:tcPr>
            <w:tcW w:w="567"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仓库</w:t>
            </w:r>
          </w:p>
        </w:tc>
        <w:tc>
          <w:tcPr>
            <w:tcW w:w="185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台安县大庆西路嘉泰园小区11号楼北侧东6</w:t>
            </w:r>
          </w:p>
        </w:tc>
        <w:tc>
          <w:tcPr>
            <w:tcW w:w="73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9.51</w:t>
            </w: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25,886.00</w:t>
            </w:r>
          </w:p>
        </w:tc>
        <w:tc>
          <w:tcPr>
            <w:tcW w:w="170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25,886.00</w:t>
            </w:r>
          </w:p>
        </w:tc>
      </w:tr>
      <w:tr>
        <w:tblPrEx>
          <w:tblCellMar>
            <w:top w:w="0" w:type="dxa"/>
            <w:left w:w="0" w:type="dxa"/>
            <w:bottom w:w="0" w:type="dxa"/>
            <w:right w:w="0" w:type="dxa"/>
          </w:tblCellMar>
        </w:tblPrEx>
        <w:trPr>
          <w:trHeight w:val="514" w:hRule="atLeast"/>
          <w:jc w:val="center"/>
        </w:trPr>
        <w:tc>
          <w:tcPr>
            <w:tcW w:w="62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2,722.00</w:t>
            </w:r>
          </w:p>
        </w:tc>
        <w:tc>
          <w:tcPr>
            <w:tcW w:w="170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514" w:hRule="atLeast"/>
          <w:jc w:val="center"/>
        </w:trPr>
        <w:tc>
          <w:tcPr>
            <w:tcW w:w="62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87</w:t>
            </w:r>
          </w:p>
        </w:tc>
        <w:tc>
          <w:tcPr>
            <w:tcW w:w="567"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仓库</w:t>
            </w:r>
          </w:p>
        </w:tc>
        <w:tc>
          <w:tcPr>
            <w:tcW w:w="185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台安县大庆西路嘉泰园小区11号楼北侧东7</w:t>
            </w:r>
          </w:p>
        </w:tc>
        <w:tc>
          <w:tcPr>
            <w:tcW w:w="73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9.51</w:t>
            </w: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25,886.00</w:t>
            </w:r>
          </w:p>
        </w:tc>
        <w:tc>
          <w:tcPr>
            <w:tcW w:w="170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25,886.00</w:t>
            </w:r>
          </w:p>
        </w:tc>
      </w:tr>
      <w:tr>
        <w:tblPrEx>
          <w:tblCellMar>
            <w:top w:w="0" w:type="dxa"/>
            <w:left w:w="0" w:type="dxa"/>
            <w:bottom w:w="0" w:type="dxa"/>
            <w:right w:w="0" w:type="dxa"/>
          </w:tblCellMar>
        </w:tblPrEx>
        <w:trPr>
          <w:trHeight w:val="514" w:hRule="atLeast"/>
          <w:jc w:val="center"/>
        </w:trPr>
        <w:tc>
          <w:tcPr>
            <w:tcW w:w="62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2,722.00</w:t>
            </w:r>
          </w:p>
        </w:tc>
        <w:tc>
          <w:tcPr>
            <w:tcW w:w="170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514" w:hRule="atLeast"/>
          <w:jc w:val="center"/>
        </w:trPr>
        <w:tc>
          <w:tcPr>
            <w:tcW w:w="62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88</w:t>
            </w:r>
          </w:p>
        </w:tc>
        <w:tc>
          <w:tcPr>
            <w:tcW w:w="567"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车库</w:t>
            </w:r>
          </w:p>
        </w:tc>
        <w:tc>
          <w:tcPr>
            <w:tcW w:w="185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台安县大庆西路嘉泰园小区11号楼北侧东8</w:t>
            </w:r>
          </w:p>
        </w:tc>
        <w:tc>
          <w:tcPr>
            <w:tcW w:w="73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20.07</w:t>
            </w: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56,397.00</w:t>
            </w:r>
          </w:p>
        </w:tc>
        <w:tc>
          <w:tcPr>
            <w:tcW w:w="170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56,397.00</w:t>
            </w:r>
          </w:p>
        </w:tc>
      </w:tr>
      <w:tr>
        <w:tblPrEx>
          <w:tblCellMar>
            <w:top w:w="0" w:type="dxa"/>
            <w:left w:w="0" w:type="dxa"/>
            <w:bottom w:w="0" w:type="dxa"/>
            <w:right w:w="0" w:type="dxa"/>
          </w:tblCellMar>
        </w:tblPrEx>
        <w:trPr>
          <w:trHeight w:val="514" w:hRule="atLeast"/>
          <w:jc w:val="center"/>
        </w:trPr>
        <w:tc>
          <w:tcPr>
            <w:tcW w:w="62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2,810.00</w:t>
            </w:r>
          </w:p>
        </w:tc>
        <w:tc>
          <w:tcPr>
            <w:tcW w:w="170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514" w:hRule="atLeast"/>
          <w:jc w:val="center"/>
        </w:trPr>
        <w:tc>
          <w:tcPr>
            <w:tcW w:w="62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89</w:t>
            </w:r>
          </w:p>
        </w:tc>
        <w:tc>
          <w:tcPr>
            <w:tcW w:w="567"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车库</w:t>
            </w:r>
          </w:p>
        </w:tc>
        <w:tc>
          <w:tcPr>
            <w:tcW w:w="185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台安县大庆西路嘉泰园小区11号楼南侧东5</w:t>
            </w:r>
          </w:p>
        </w:tc>
        <w:tc>
          <w:tcPr>
            <w:tcW w:w="73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21.4</w:t>
            </w: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60,134.00</w:t>
            </w:r>
          </w:p>
        </w:tc>
        <w:tc>
          <w:tcPr>
            <w:tcW w:w="170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60,134.00</w:t>
            </w:r>
          </w:p>
        </w:tc>
      </w:tr>
      <w:tr>
        <w:tblPrEx>
          <w:tblCellMar>
            <w:top w:w="0" w:type="dxa"/>
            <w:left w:w="0" w:type="dxa"/>
            <w:bottom w:w="0" w:type="dxa"/>
            <w:right w:w="0" w:type="dxa"/>
          </w:tblCellMar>
        </w:tblPrEx>
        <w:trPr>
          <w:trHeight w:val="514" w:hRule="atLeast"/>
          <w:jc w:val="center"/>
        </w:trPr>
        <w:tc>
          <w:tcPr>
            <w:tcW w:w="62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2,810.00</w:t>
            </w:r>
          </w:p>
        </w:tc>
        <w:tc>
          <w:tcPr>
            <w:tcW w:w="170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514" w:hRule="atLeast"/>
          <w:jc w:val="center"/>
        </w:trPr>
        <w:tc>
          <w:tcPr>
            <w:tcW w:w="62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90</w:t>
            </w:r>
          </w:p>
        </w:tc>
        <w:tc>
          <w:tcPr>
            <w:tcW w:w="567"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车库</w:t>
            </w:r>
          </w:p>
        </w:tc>
        <w:tc>
          <w:tcPr>
            <w:tcW w:w="185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台安县大庆西路嘉泰园小区11号楼南侧东7</w:t>
            </w:r>
          </w:p>
        </w:tc>
        <w:tc>
          <w:tcPr>
            <w:tcW w:w="73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33.56</w:t>
            </w: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92,424.00</w:t>
            </w:r>
          </w:p>
        </w:tc>
        <w:tc>
          <w:tcPr>
            <w:tcW w:w="170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92,424.00</w:t>
            </w:r>
          </w:p>
        </w:tc>
      </w:tr>
      <w:tr>
        <w:tblPrEx>
          <w:tblCellMar>
            <w:top w:w="0" w:type="dxa"/>
            <w:left w:w="0" w:type="dxa"/>
            <w:bottom w:w="0" w:type="dxa"/>
            <w:right w:w="0" w:type="dxa"/>
          </w:tblCellMar>
        </w:tblPrEx>
        <w:trPr>
          <w:trHeight w:val="514" w:hRule="atLeast"/>
          <w:jc w:val="center"/>
        </w:trPr>
        <w:tc>
          <w:tcPr>
            <w:tcW w:w="62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567"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85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73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2,754.00</w:t>
            </w:r>
          </w:p>
        </w:tc>
        <w:tc>
          <w:tcPr>
            <w:tcW w:w="1709"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514" w:hRule="atLeast"/>
          <w:jc w:val="center"/>
        </w:trPr>
        <w:tc>
          <w:tcPr>
            <w:tcW w:w="62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91</w:t>
            </w:r>
          </w:p>
        </w:tc>
        <w:tc>
          <w:tcPr>
            <w:tcW w:w="567"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车库</w:t>
            </w:r>
          </w:p>
        </w:tc>
        <w:tc>
          <w:tcPr>
            <w:tcW w:w="185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台安县大庆西路嘉泰园小区11号楼南侧东8</w:t>
            </w:r>
          </w:p>
        </w:tc>
        <w:tc>
          <w:tcPr>
            <w:tcW w:w="73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auto"/>
              <w:ind w:firstLine="0" w:firstLineChars="0"/>
              <w:jc w:val="center"/>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21.73</w:t>
            </w:r>
          </w:p>
        </w:tc>
        <w:tc>
          <w:tcPr>
            <w:tcW w:w="16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总价</w:t>
            </w:r>
          </w:p>
        </w:tc>
        <w:tc>
          <w:tcPr>
            <w:tcW w:w="1121"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61,061.00</w:t>
            </w:r>
          </w:p>
        </w:tc>
        <w:tc>
          <w:tcPr>
            <w:tcW w:w="1709"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61,061.00</w:t>
            </w:r>
          </w:p>
        </w:tc>
      </w:tr>
      <w:tr>
        <w:tblPrEx>
          <w:tblCellMar>
            <w:top w:w="0" w:type="dxa"/>
            <w:left w:w="0" w:type="dxa"/>
            <w:bottom w:w="0" w:type="dxa"/>
            <w:right w:w="0" w:type="dxa"/>
          </w:tblCellMar>
        </w:tblPrEx>
        <w:trPr>
          <w:trHeight w:val="514" w:hRule="atLeast"/>
          <w:jc w:val="center"/>
        </w:trPr>
        <w:tc>
          <w:tcPr>
            <w:tcW w:w="625" w:type="dxa"/>
            <w:vMerge w:val="continue"/>
            <w:tcBorders>
              <w:top w:val="nil"/>
              <w:left w:val="single" w:color="000000" w:sz="8" w:space="0"/>
              <w:bottom w:val="single" w:color="auto" w:sz="4" w:space="0"/>
              <w:right w:val="single" w:color="000000" w:sz="8"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5"/>
                <w:szCs w:val="15"/>
                <w:u w:val="none"/>
              </w:rPr>
            </w:pPr>
          </w:p>
        </w:tc>
        <w:tc>
          <w:tcPr>
            <w:tcW w:w="567" w:type="dxa"/>
            <w:vMerge w:val="continue"/>
            <w:tcBorders>
              <w:top w:val="nil"/>
              <w:left w:val="single" w:color="000000" w:sz="8" w:space="0"/>
              <w:bottom w:val="single" w:color="auto" w:sz="4" w:space="0"/>
              <w:right w:val="single" w:color="000000" w:sz="8"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5"/>
                <w:szCs w:val="15"/>
                <w:u w:val="none"/>
              </w:rPr>
            </w:pPr>
          </w:p>
        </w:tc>
        <w:tc>
          <w:tcPr>
            <w:tcW w:w="1859" w:type="dxa"/>
            <w:vMerge w:val="continue"/>
            <w:tcBorders>
              <w:top w:val="nil"/>
              <w:left w:val="nil"/>
              <w:bottom w:val="single" w:color="auto" w:sz="4"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5"/>
                <w:szCs w:val="15"/>
                <w:u w:val="none"/>
              </w:rPr>
            </w:pPr>
          </w:p>
        </w:tc>
        <w:tc>
          <w:tcPr>
            <w:tcW w:w="739" w:type="dxa"/>
            <w:vMerge w:val="continue"/>
            <w:tcBorders>
              <w:top w:val="nil"/>
              <w:left w:val="nil"/>
              <w:bottom w:val="single" w:color="auto" w:sz="4"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5"/>
                <w:szCs w:val="15"/>
                <w:u w:val="none"/>
              </w:rPr>
            </w:pPr>
          </w:p>
        </w:tc>
        <w:tc>
          <w:tcPr>
            <w:tcW w:w="1609" w:type="dxa"/>
            <w:tcBorders>
              <w:top w:val="nil"/>
              <w:left w:val="nil"/>
              <w:bottom w:val="single" w:color="auto"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单价（元/㎡）</w:t>
            </w:r>
          </w:p>
        </w:tc>
        <w:tc>
          <w:tcPr>
            <w:tcW w:w="1121" w:type="dxa"/>
            <w:tcBorders>
              <w:top w:val="nil"/>
              <w:left w:val="nil"/>
              <w:bottom w:val="single" w:color="auto" w:sz="4"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tcBorders>
              <w:top w:val="nil"/>
              <w:left w:val="nil"/>
              <w:bottom w:val="single" w:color="auto"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2,810.00</w:t>
            </w:r>
          </w:p>
        </w:tc>
        <w:tc>
          <w:tcPr>
            <w:tcW w:w="1709" w:type="dxa"/>
            <w:vMerge w:val="continue"/>
            <w:tcBorders>
              <w:top w:val="nil"/>
              <w:left w:val="nil"/>
              <w:bottom w:val="single" w:color="auto" w:sz="4"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1118" w:hRule="atLeast"/>
          <w:jc w:val="center"/>
        </w:trPr>
        <w:tc>
          <w:tcPr>
            <w:tcW w:w="3051" w:type="dxa"/>
            <w:gridSpan w:val="3"/>
            <w:tcBorders>
              <w:top w:val="single" w:color="auto" w:sz="4" w:space="0"/>
              <w:left w:val="single" w:color="auto" w:sz="4" w:space="0"/>
              <w:bottom w:val="single" w:color="auto"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汇总评估价值</w:t>
            </w:r>
          </w:p>
        </w:tc>
        <w:tc>
          <w:tcPr>
            <w:tcW w:w="739" w:type="dxa"/>
            <w:tcBorders>
              <w:top w:val="single" w:color="auto" w:sz="4" w:space="0"/>
              <w:left w:val="nil"/>
              <w:bottom w:val="single" w:color="auto"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3626.48</w:t>
            </w:r>
          </w:p>
        </w:tc>
        <w:tc>
          <w:tcPr>
            <w:tcW w:w="1609" w:type="dxa"/>
            <w:tcBorders>
              <w:top w:val="single" w:color="auto" w:sz="4" w:space="0"/>
              <w:left w:val="nil"/>
              <w:bottom w:val="single" w:color="auto" w:sz="4"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5"/>
                <w:szCs w:val="15"/>
                <w:u w:val="none"/>
              </w:rPr>
            </w:pPr>
          </w:p>
        </w:tc>
        <w:tc>
          <w:tcPr>
            <w:tcW w:w="1121" w:type="dxa"/>
            <w:tcBorders>
              <w:top w:val="single" w:color="auto" w:sz="4" w:space="0"/>
              <w:left w:val="nil"/>
              <w:bottom w:val="single" w:color="auto" w:sz="4"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068" w:type="dxa"/>
            <w:tcBorders>
              <w:top w:val="single" w:color="auto" w:sz="4" w:space="0"/>
              <w:left w:val="nil"/>
              <w:bottom w:val="single" w:color="auto" w:sz="4"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right"/>
              <w:rPr>
                <w:rFonts w:hint="eastAsia" w:ascii="宋体" w:hAnsi="宋体" w:eastAsia="宋体" w:cs="宋体"/>
                <w:i w:val="0"/>
                <w:color w:val="000000"/>
                <w:sz w:val="15"/>
                <w:szCs w:val="15"/>
                <w:u w:val="none"/>
              </w:rPr>
            </w:pPr>
          </w:p>
        </w:tc>
        <w:tc>
          <w:tcPr>
            <w:tcW w:w="1709" w:type="dxa"/>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5,710,415.00</w:t>
            </w:r>
          </w:p>
        </w:tc>
      </w:tr>
    </w:tbl>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both"/>
        <w:textAlignment w:val="auto"/>
        <w:outlineLvl w:val="9"/>
        <w:rPr>
          <w:rFonts w:hint="eastAsia" w:ascii="华文中宋" w:hAnsi="华文中宋" w:eastAsia="华文中宋" w:cs="华文中宋"/>
          <w:szCs w:val="24"/>
          <w:lang w:val="en-US" w:eastAsia="zh-CN"/>
        </w:rPr>
      </w:pPr>
    </w:p>
    <w:p>
      <w:pPr>
        <w:keepLines w:val="0"/>
        <w:pageBreakBefore w:val="0"/>
        <w:widowControl w:val="0"/>
        <w:kinsoku/>
        <w:wordWrap/>
        <w:overflowPunct/>
        <w:topLinePunct w:val="0"/>
        <w:bidi w:val="0"/>
        <w:adjustRightInd w:val="0"/>
        <w:snapToGrid w:val="0"/>
        <w:spacing w:line="480" w:lineRule="exact"/>
        <w:ind w:firstLine="0" w:firstLineChars="0"/>
        <w:jc w:val="center"/>
        <w:rPr>
          <w:rFonts w:hint="eastAsia" w:ascii="华文中宋" w:hAnsi="华文中宋" w:eastAsia="华文中宋" w:cs="华文中宋"/>
          <w:sz w:val="18"/>
          <w:szCs w:val="18"/>
        </w:rPr>
      </w:pPr>
    </w:p>
    <w:p>
      <w:pPr>
        <w:keepLines w:val="0"/>
        <w:pageBreakBefore w:val="0"/>
        <w:widowControl w:val="0"/>
        <w:kinsoku/>
        <w:wordWrap/>
        <w:overflowPunct/>
        <w:topLinePunct w:val="0"/>
        <w:bidi w:val="0"/>
        <w:adjustRightInd w:val="0"/>
        <w:snapToGrid w:val="0"/>
        <w:spacing w:line="480" w:lineRule="exact"/>
        <w:ind w:firstLine="0" w:firstLineChars="0"/>
        <w:jc w:val="center"/>
        <w:rPr>
          <w:rFonts w:hint="eastAsia" w:ascii="华文中宋" w:hAnsi="华文中宋" w:eastAsia="华文中宋" w:cs="华文中宋"/>
          <w:sz w:val="18"/>
          <w:szCs w:val="18"/>
        </w:rPr>
      </w:pPr>
    </w:p>
    <w:p>
      <w:pPr>
        <w:keepLines w:val="0"/>
        <w:pageBreakBefore w:val="0"/>
        <w:widowControl w:val="0"/>
        <w:kinsoku/>
        <w:wordWrap/>
        <w:overflowPunct/>
        <w:topLinePunct w:val="0"/>
        <w:bidi w:val="0"/>
        <w:adjustRightInd w:val="0"/>
        <w:snapToGrid w:val="0"/>
        <w:spacing w:line="480" w:lineRule="exact"/>
        <w:ind w:firstLine="0" w:firstLineChars="0"/>
        <w:jc w:val="center"/>
        <w:rPr>
          <w:rFonts w:hint="eastAsia" w:ascii="华文中宋" w:hAnsi="华文中宋" w:eastAsia="华文中宋" w:cs="华文中宋"/>
          <w:sz w:val="18"/>
          <w:szCs w:val="18"/>
        </w:rPr>
      </w:pPr>
    </w:p>
    <w:p>
      <w:pPr>
        <w:keepLines w:val="0"/>
        <w:pageBreakBefore w:val="0"/>
        <w:widowControl w:val="0"/>
        <w:kinsoku/>
        <w:wordWrap/>
        <w:overflowPunct/>
        <w:topLinePunct w:val="0"/>
        <w:bidi w:val="0"/>
        <w:adjustRightInd w:val="0"/>
        <w:snapToGrid w:val="0"/>
        <w:spacing w:line="480" w:lineRule="exact"/>
        <w:ind w:firstLine="0" w:firstLineChars="0"/>
        <w:jc w:val="center"/>
        <w:rPr>
          <w:rFonts w:hint="eastAsia" w:ascii="华文中宋" w:hAnsi="华文中宋" w:eastAsia="华文中宋" w:cs="华文中宋"/>
          <w:sz w:val="18"/>
          <w:szCs w:val="18"/>
        </w:rPr>
      </w:pPr>
    </w:p>
    <w:p>
      <w:pPr>
        <w:keepLines w:val="0"/>
        <w:pageBreakBefore w:val="0"/>
        <w:widowControl w:val="0"/>
        <w:kinsoku/>
        <w:wordWrap/>
        <w:overflowPunct/>
        <w:topLinePunct w:val="0"/>
        <w:bidi w:val="0"/>
        <w:adjustRightInd w:val="0"/>
        <w:snapToGrid w:val="0"/>
        <w:spacing w:line="480" w:lineRule="exact"/>
        <w:ind w:firstLine="0" w:firstLineChars="0"/>
        <w:jc w:val="center"/>
        <w:rPr>
          <w:rFonts w:hint="eastAsia" w:ascii="华文中宋" w:hAnsi="华文中宋" w:eastAsia="华文中宋" w:cs="华文中宋"/>
          <w:sz w:val="18"/>
          <w:szCs w:val="18"/>
        </w:rPr>
      </w:pPr>
    </w:p>
    <w:bookmarkEnd w:id="130"/>
    <w:bookmarkEnd w:id="131"/>
    <w:p>
      <w:pPr>
        <w:pStyle w:val="3"/>
        <w:rPr>
          <w:rFonts w:hint="eastAsia" w:ascii="华文中宋" w:hAnsi="华文中宋" w:eastAsia="华文中宋" w:cs="华文中宋"/>
        </w:rPr>
      </w:pPr>
      <w:r>
        <w:rPr>
          <w:rFonts w:hint="eastAsia" w:ascii="华文中宋" w:hAnsi="华文中宋" w:eastAsia="华文中宋" w:cs="华文中宋"/>
        </w:rPr>
        <w:t>十一、注册房地产估价师</w:t>
      </w:r>
      <w:r>
        <w:rPr>
          <w:rFonts w:hint="eastAsia" w:ascii="华文中宋" w:hAnsi="华文中宋" w:eastAsia="华文中宋" w:cs="华文中宋"/>
          <w:lang w:val="en-US" w:eastAsia="zh-CN"/>
        </w:rPr>
        <w:tab/>
      </w:r>
    </w:p>
    <w:tbl>
      <w:tblPr>
        <w:tblStyle w:val="16"/>
        <w:tblpPr w:leftFromText="180" w:rightFromText="180" w:vertAnchor="text" w:horzAnchor="page" w:tblpXSpec="center" w:tblpY="564"/>
        <w:tblOverlap w:val="never"/>
        <w:tblW w:w="9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2"/>
        <w:gridCol w:w="2083"/>
        <w:gridCol w:w="2507"/>
        <w:gridCol w:w="2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2052" w:type="dxa"/>
            <w:vAlign w:val="center"/>
          </w:tcPr>
          <w:p>
            <w:pPr>
              <w:ind w:firstLine="0" w:firstLineChars="0"/>
              <w:jc w:val="center"/>
              <w:rPr>
                <w:rFonts w:hint="eastAsia" w:ascii="华文中宋" w:hAnsi="华文中宋" w:eastAsia="华文中宋" w:cs="华文中宋"/>
                <w:szCs w:val="24"/>
              </w:rPr>
            </w:pPr>
            <w:r>
              <w:rPr>
                <w:rFonts w:hint="eastAsia" w:ascii="华文中宋" w:hAnsi="华文中宋" w:eastAsia="华文中宋" w:cs="华文中宋"/>
                <w:szCs w:val="24"/>
              </w:rPr>
              <w:t>姓名</w:t>
            </w:r>
          </w:p>
        </w:tc>
        <w:tc>
          <w:tcPr>
            <w:tcW w:w="2083" w:type="dxa"/>
            <w:vAlign w:val="center"/>
          </w:tcPr>
          <w:p>
            <w:pPr>
              <w:ind w:firstLine="0" w:firstLineChars="0"/>
              <w:jc w:val="center"/>
              <w:rPr>
                <w:rFonts w:hint="eastAsia" w:ascii="华文中宋" w:hAnsi="华文中宋" w:eastAsia="华文中宋" w:cs="华文中宋"/>
                <w:szCs w:val="24"/>
              </w:rPr>
            </w:pPr>
            <w:r>
              <w:rPr>
                <w:rFonts w:hint="eastAsia" w:ascii="华文中宋" w:hAnsi="华文中宋" w:eastAsia="华文中宋" w:cs="华文中宋"/>
                <w:szCs w:val="24"/>
              </w:rPr>
              <w:t>注册号</w:t>
            </w:r>
          </w:p>
        </w:tc>
        <w:tc>
          <w:tcPr>
            <w:tcW w:w="2507" w:type="dxa"/>
            <w:vAlign w:val="center"/>
          </w:tcPr>
          <w:p>
            <w:pPr>
              <w:ind w:firstLine="0" w:firstLineChars="0"/>
              <w:jc w:val="center"/>
              <w:rPr>
                <w:rFonts w:hint="eastAsia" w:ascii="华文中宋" w:hAnsi="华文中宋" w:eastAsia="华文中宋" w:cs="华文中宋"/>
                <w:szCs w:val="24"/>
              </w:rPr>
            </w:pPr>
            <w:r>
              <w:rPr>
                <w:rFonts w:hint="eastAsia" w:ascii="华文中宋" w:hAnsi="华文中宋" w:eastAsia="华文中宋" w:cs="华文中宋"/>
                <w:szCs w:val="24"/>
              </w:rPr>
              <w:t>签名</w:t>
            </w:r>
          </w:p>
        </w:tc>
        <w:tc>
          <w:tcPr>
            <w:tcW w:w="2556" w:type="dxa"/>
            <w:vAlign w:val="center"/>
          </w:tcPr>
          <w:p>
            <w:pPr>
              <w:ind w:firstLine="0" w:firstLineChars="0"/>
              <w:jc w:val="center"/>
              <w:rPr>
                <w:rFonts w:hint="eastAsia" w:ascii="华文中宋" w:hAnsi="华文中宋" w:eastAsia="华文中宋" w:cs="华文中宋"/>
                <w:szCs w:val="24"/>
              </w:rPr>
            </w:pPr>
            <w:r>
              <w:rPr>
                <w:rFonts w:hint="eastAsia" w:ascii="华文中宋" w:hAnsi="华文中宋" w:eastAsia="华文中宋" w:cs="华文中宋"/>
                <w:szCs w:val="24"/>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2052" w:type="dxa"/>
            <w:vAlign w:val="center"/>
          </w:tcPr>
          <w:p>
            <w:pPr>
              <w:ind w:firstLine="0" w:firstLineChars="0"/>
              <w:jc w:val="center"/>
              <w:rPr>
                <w:rFonts w:hint="eastAsia" w:ascii="华文中宋" w:hAnsi="华文中宋" w:eastAsia="华文中宋" w:cs="华文中宋"/>
                <w:szCs w:val="24"/>
              </w:rPr>
            </w:pPr>
            <w:r>
              <w:rPr>
                <w:rFonts w:hint="eastAsia" w:ascii="华文中宋" w:hAnsi="华文中宋" w:eastAsia="华文中宋" w:cs="华文中宋"/>
                <w:szCs w:val="24"/>
              </w:rPr>
              <w:t>张国良</w:t>
            </w:r>
          </w:p>
        </w:tc>
        <w:tc>
          <w:tcPr>
            <w:tcW w:w="2083" w:type="dxa"/>
            <w:vAlign w:val="center"/>
          </w:tcPr>
          <w:p>
            <w:pPr>
              <w:ind w:firstLine="0" w:firstLineChars="0"/>
              <w:jc w:val="center"/>
              <w:rPr>
                <w:rFonts w:hint="eastAsia" w:ascii="华文中宋" w:hAnsi="华文中宋" w:eastAsia="华文中宋" w:cs="华文中宋"/>
                <w:szCs w:val="24"/>
              </w:rPr>
            </w:pPr>
            <w:r>
              <w:rPr>
                <w:rFonts w:hint="eastAsia" w:ascii="华文中宋" w:hAnsi="华文中宋" w:eastAsia="华文中宋" w:cs="华文中宋"/>
                <w:szCs w:val="24"/>
              </w:rPr>
              <w:t>2120140022</w:t>
            </w:r>
          </w:p>
        </w:tc>
        <w:tc>
          <w:tcPr>
            <w:tcW w:w="2507" w:type="dxa"/>
            <w:vAlign w:val="center"/>
          </w:tcPr>
          <w:p>
            <w:pPr>
              <w:ind w:firstLine="31680"/>
              <w:jc w:val="center"/>
              <w:rPr>
                <w:rFonts w:hint="eastAsia" w:ascii="华文中宋" w:hAnsi="华文中宋" w:eastAsia="华文中宋" w:cs="华文中宋"/>
                <w:szCs w:val="24"/>
              </w:rPr>
            </w:pPr>
          </w:p>
        </w:tc>
        <w:tc>
          <w:tcPr>
            <w:tcW w:w="2556" w:type="dxa"/>
            <w:vAlign w:val="center"/>
          </w:tcPr>
          <w:p>
            <w:pPr>
              <w:ind w:firstLine="600" w:firstLineChars="250"/>
              <w:jc w:val="center"/>
              <w:rPr>
                <w:rFonts w:hint="eastAsia" w:ascii="华文中宋" w:hAnsi="华文中宋" w:eastAsia="华文中宋" w:cs="华文中宋"/>
                <w:szCs w:val="24"/>
              </w:rPr>
            </w:pPr>
            <w:r>
              <w:rPr>
                <w:rFonts w:hint="eastAsia" w:ascii="华文中宋" w:hAnsi="华文中宋" w:eastAsia="华文中宋" w:cs="华文中宋"/>
                <w:szCs w:val="24"/>
              </w:rPr>
              <w:t>年</w:t>
            </w:r>
            <w:r>
              <w:rPr>
                <w:rFonts w:hint="eastAsia" w:ascii="华文中宋" w:hAnsi="华文中宋" w:eastAsia="华文中宋" w:cs="华文中宋"/>
                <w:szCs w:val="24"/>
                <w:lang w:val="en-US" w:eastAsia="zh-CN"/>
              </w:rPr>
              <w:t xml:space="preserve">   </w:t>
            </w:r>
            <w:r>
              <w:rPr>
                <w:rFonts w:hint="eastAsia" w:ascii="华文中宋" w:hAnsi="华文中宋" w:eastAsia="华文中宋" w:cs="华文中宋"/>
                <w:szCs w:val="24"/>
              </w:rPr>
              <w:t>月</w:t>
            </w:r>
            <w:r>
              <w:rPr>
                <w:rFonts w:hint="eastAsia" w:ascii="华文中宋" w:hAnsi="华文中宋" w:eastAsia="华文中宋" w:cs="华文中宋"/>
                <w:szCs w:val="24"/>
                <w:lang w:val="en-US" w:eastAsia="zh-CN"/>
              </w:rPr>
              <w:t xml:space="preserve">   </w:t>
            </w:r>
            <w:r>
              <w:rPr>
                <w:rFonts w:hint="eastAsia" w:ascii="华文中宋" w:hAnsi="华文中宋" w:eastAsia="华文中宋" w:cs="华文中宋"/>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jc w:val="center"/>
        </w:trPr>
        <w:tc>
          <w:tcPr>
            <w:tcW w:w="2052" w:type="dxa"/>
            <w:vAlign w:val="center"/>
          </w:tcPr>
          <w:p>
            <w:pPr>
              <w:ind w:firstLine="0" w:firstLineChars="0"/>
              <w:jc w:val="center"/>
              <w:rPr>
                <w:rFonts w:hint="eastAsia" w:ascii="华文中宋" w:hAnsi="华文中宋" w:eastAsia="华文中宋" w:cs="华文中宋"/>
                <w:szCs w:val="24"/>
                <w:lang w:eastAsia="zh-CN"/>
              </w:rPr>
            </w:pPr>
            <w:r>
              <w:rPr>
                <w:rFonts w:hint="eastAsia" w:ascii="华文中宋" w:hAnsi="华文中宋" w:eastAsia="华文中宋" w:cs="华文中宋"/>
                <w:szCs w:val="24"/>
                <w:lang w:eastAsia="zh-CN"/>
              </w:rPr>
              <w:t>马振东</w:t>
            </w:r>
          </w:p>
        </w:tc>
        <w:tc>
          <w:tcPr>
            <w:tcW w:w="2083" w:type="dxa"/>
            <w:vAlign w:val="center"/>
          </w:tcPr>
          <w:p>
            <w:pPr>
              <w:ind w:firstLine="0" w:firstLineChars="0"/>
              <w:jc w:val="center"/>
              <w:rPr>
                <w:rFonts w:hint="eastAsia" w:ascii="华文中宋" w:hAnsi="华文中宋" w:eastAsia="华文中宋" w:cs="华文中宋"/>
                <w:szCs w:val="24"/>
                <w:lang w:eastAsia="zh-CN"/>
              </w:rPr>
            </w:pPr>
            <w:r>
              <w:rPr>
                <w:rFonts w:hint="eastAsia" w:ascii="华文中宋" w:hAnsi="华文中宋" w:eastAsia="华文中宋" w:cs="华文中宋"/>
                <w:szCs w:val="24"/>
                <w:lang w:eastAsia="zh-CN"/>
              </w:rPr>
              <w:t>2120060134</w:t>
            </w:r>
          </w:p>
        </w:tc>
        <w:tc>
          <w:tcPr>
            <w:tcW w:w="2507" w:type="dxa"/>
            <w:vAlign w:val="center"/>
          </w:tcPr>
          <w:p>
            <w:pPr>
              <w:ind w:firstLine="31680"/>
              <w:jc w:val="center"/>
              <w:rPr>
                <w:rFonts w:hint="eastAsia" w:ascii="华文中宋" w:hAnsi="华文中宋" w:eastAsia="华文中宋" w:cs="华文中宋"/>
                <w:szCs w:val="24"/>
              </w:rPr>
            </w:pPr>
          </w:p>
        </w:tc>
        <w:tc>
          <w:tcPr>
            <w:tcW w:w="2556" w:type="dxa"/>
            <w:vAlign w:val="center"/>
          </w:tcPr>
          <w:p>
            <w:pPr>
              <w:ind w:firstLine="600" w:firstLineChars="250"/>
              <w:jc w:val="center"/>
              <w:rPr>
                <w:rFonts w:hint="eastAsia" w:ascii="华文中宋" w:hAnsi="华文中宋" w:eastAsia="华文中宋" w:cs="华文中宋"/>
                <w:b/>
                <w:szCs w:val="24"/>
              </w:rPr>
            </w:pPr>
            <w:r>
              <w:rPr>
                <w:rFonts w:hint="eastAsia" w:ascii="华文中宋" w:hAnsi="华文中宋" w:eastAsia="华文中宋" w:cs="华文中宋"/>
                <w:szCs w:val="24"/>
              </w:rPr>
              <w:t>年</w:t>
            </w:r>
            <w:r>
              <w:rPr>
                <w:rFonts w:hint="eastAsia" w:ascii="华文中宋" w:hAnsi="华文中宋" w:eastAsia="华文中宋" w:cs="华文中宋"/>
                <w:szCs w:val="24"/>
                <w:lang w:val="en-US" w:eastAsia="zh-CN"/>
              </w:rPr>
              <w:t xml:space="preserve">   </w:t>
            </w:r>
            <w:r>
              <w:rPr>
                <w:rFonts w:hint="eastAsia" w:ascii="华文中宋" w:hAnsi="华文中宋" w:eastAsia="华文中宋" w:cs="华文中宋"/>
                <w:szCs w:val="24"/>
              </w:rPr>
              <w:t>月</w:t>
            </w:r>
            <w:r>
              <w:rPr>
                <w:rFonts w:hint="eastAsia" w:ascii="华文中宋" w:hAnsi="华文中宋" w:eastAsia="华文中宋" w:cs="华文中宋"/>
                <w:szCs w:val="24"/>
                <w:lang w:val="en-US" w:eastAsia="zh-CN"/>
              </w:rPr>
              <w:t xml:space="preserve">   </w:t>
            </w:r>
            <w:r>
              <w:rPr>
                <w:rFonts w:hint="eastAsia" w:ascii="华文中宋" w:hAnsi="华文中宋" w:eastAsia="华文中宋" w:cs="华文中宋"/>
                <w:szCs w:val="24"/>
              </w:rPr>
              <w:t>日</w:t>
            </w:r>
          </w:p>
        </w:tc>
      </w:tr>
    </w:tbl>
    <w:p>
      <w:pPr>
        <w:pStyle w:val="4"/>
        <w:rPr>
          <w:rFonts w:hint="eastAsia"/>
        </w:rPr>
      </w:pPr>
    </w:p>
    <w:p>
      <w:pPr>
        <w:pStyle w:val="3"/>
        <w:rPr>
          <w:rFonts w:hint="eastAsia" w:ascii="华文中宋" w:hAnsi="华文中宋" w:eastAsia="华文中宋" w:cs="华文中宋"/>
        </w:rPr>
      </w:pPr>
      <w:bookmarkStart w:id="132" w:name="_Toc429557865"/>
      <w:bookmarkStart w:id="133" w:name="_Toc449598323"/>
      <w:bookmarkStart w:id="134" w:name="_Toc508803790"/>
      <w:bookmarkStart w:id="135" w:name="_Toc14319"/>
      <w:bookmarkStart w:id="136" w:name="_Toc426361040"/>
      <w:bookmarkStart w:id="137" w:name="_Toc452121211"/>
      <w:bookmarkStart w:id="138" w:name="_Toc428953739"/>
      <w:bookmarkStart w:id="139" w:name="_Toc31303"/>
      <w:bookmarkStart w:id="140" w:name="_Toc18514"/>
      <w:bookmarkStart w:id="141" w:name="_Toc409772464"/>
      <w:bookmarkStart w:id="142" w:name="_Toc410379062"/>
      <w:bookmarkStart w:id="143" w:name="_Toc415039145"/>
      <w:bookmarkStart w:id="144" w:name="_Toc428348806"/>
      <w:bookmarkStart w:id="145" w:name="_Toc410379065"/>
      <w:bookmarkStart w:id="146" w:name="_Toc409772467"/>
      <w:r>
        <w:rPr>
          <w:rFonts w:hint="eastAsia" w:ascii="华文中宋" w:hAnsi="华文中宋" w:eastAsia="华文中宋" w:cs="华文中宋"/>
        </w:rPr>
        <w:t>十二、实地查勘期</w:t>
      </w:r>
      <w:bookmarkEnd w:id="132"/>
      <w:bookmarkEnd w:id="133"/>
      <w:bookmarkEnd w:id="134"/>
      <w:bookmarkEnd w:id="135"/>
      <w:bookmarkEnd w:id="136"/>
      <w:bookmarkEnd w:id="137"/>
      <w:bookmarkEnd w:id="138"/>
      <w:bookmarkEnd w:id="139"/>
      <w:bookmarkEnd w:id="140"/>
      <w:bookmarkEnd w:id="141"/>
      <w:bookmarkEnd w:id="142"/>
    </w:p>
    <w:p>
      <w:pPr>
        <w:ind w:firstLine="31680"/>
        <w:rPr>
          <w:rFonts w:hint="eastAsia" w:ascii="华文中宋" w:hAnsi="华文中宋" w:eastAsia="华文中宋" w:cs="华文中宋"/>
        </w:rPr>
      </w:pPr>
      <w:r>
        <w:rPr>
          <w:rFonts w:hint="eastAsia" w:ascii="华文中宋" w:hAnsi="华文中宋" w:cs="华文中宋"/>
          <w:lang w:eastAsia="zh-CN"/>
        </w:rPr>
        <w:t>2020年7月6日</w:t>
      </w:r>
      <w:r>
        <w:rPr>
          <w:rFonts w:hint="eastAsia" w:ascii="华文中宋" w:hAnsi="华文中宋" w:cs="华文中宋"/>
          <w:lang w:val="en-US" w:eastAsia="zh-CN"/>
        </w:rPr>
        <w:t>-</w:t>
      </w:r>
      <w:r>
        <w:rPr>
          <w:rFonts w:hint="eastAsia" w:ascii="华文中宋" w:hAnsi="华文中宋" w:cs="华文中宋"/>
          <w:lang w:eastAsia="zh-CN"/>
        </w:rPr>
        <w:t>2020年7月6日</w:t>
      </w:r>
    </w:p>
    <w:p>
      <w:pPr>
        <w:pStyle w:val="3"/>
        <w:rPr>
          <w:rFonts w:hint="eastAsia" w:ascii="华文中宋" w:hAnsi="华文中宋" w:eastAsia="华文中宋" w:cs="华文中宋"/>
          <w:highlight w:val="none"/>
        </w:rPr>
      </w:pPr>
      <w:bookmarkStart w:id="147" w:name="_Toc426361041"/>
      <w:bookmarkStart w:id="148" w:name="_Toc449598324"/>
      <w:bookmarkStart w:id="149" w:name="_Toc452121212"/>
      <w:bookmarkStart w:id="150" w:name="_Toc22573"/>
      <w:bookmarkStart w:id="151" w:name="_Toc1061"/>
      <w:bookmarkStart w:id="152" w:name="_Toc23996"/>
      <w:bookmarkStart w:id="153" w:name="_Toc428953740"/>
      <w:bookmarkStart w:id="154" w:name="_Toc508803791"/>
      <w:bookmarkStart w:id="155" w:name="_Toc429557866"/>
      <w:bookmarkStart w:id="156" w:name="_Toc410379063"/>
      <w:bookmarkStart w:id="157" w:name="_Toc409772465"/>
      <w:r>
        <w:rPr>
          <w:rFonts w:hint="eastAsia" w:ascii="华文中宋" w:hAnsi="华文中宋" w:eastAsia="华文中宋" w:cs="华文中宋"/>
        </w:rPr>
        <w:t>十三、估价作</w:t>
      </w:r>
      <w:r>
        <w:rPr>
          <w:rFonts w:hint="eastAsia" w:ascii="华文中宋" w:hAnsi="华文中宋" w:eastAsia="华文中宋" w:cs="华文中宋"/>
          <w:highlight w:val="none"/>
        </w:rPr>
        <w:t>业期</w:t>
      </w:r>
      <w:bookmarkEnd w:id="147"/>
      <w:bookmarkEnd w:id="148"/>
      <w:bookmarkEnd w:id="149"/>
      <w:bookmarkEnd w:id="150"/>
      <w:bookmarkEnd w:id="151"/>
      <w:bookmarkEnd w:id="152"/>
      <w:bookmarkEnd w:id="153"/>
      <w:bookmarkEnd w:id="154"/>
      <w:bookmarkEnd w:id="155"/>
      <w:bookmarkEnd w:id="156"/>
      <w:bookmarkEnd w:id="157"/>
    </w:p>
    <w:p>
      <w:pPr>
        <w:ind w:firstLine="31680"/>
        <w:rPr>
          <w:rFonts w:hint="eastAsia" w:ascii="华文中宋" w:hAnsi="华文中宋" w:eastAsia="华文中宋" w:cs="华文中宋"/>
          <w:highlight w:val="none"/>
        </w:rPr>
        <w:sectPr>
          <w:type w:val="continuous"/>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titlePg/>
          <w:docGrid w:type="lines" w:linePitch="312" w:charSpace="0"/>
        </w:sectPr>
      </w:pPr>
      <w:r>
        <w:rPr>
          <w:rFonts w:hint="eastAsia" w:ascii="华文中宋" w:hAnsi="华文中宋" w:cs="华文中宋"/>
          <w:highlight w:val="none"/>
          <w:lang w:eastAsia="zh-CN"/>
        </w:rPr>
        <w:t>2020年7月6日</w:t>
      </w:r>
      <w:r>
        <w:rPr>
          <w:rFonts w:hint="eastAsia" w:ascii="华文中宋" w:hAnsi="华文中宋" w:eastAsia="华文中宋" w:cs="华文中宋"/>
          <w:highlight w:val="none"/>
          <w:lang w:val="en-US" w:eastAsia="zh-CN"/>
        </w:rPr>
        <w:t>-</w:t>
      </w:r>
      <w:bookmarkStart w:id="158" w:name="_Toc229213377"/>
      <w:bookmarkStart w:id="159" w:name="_Toc58568635"/>
      <w:bookmarkStart w:id="160" w:name="_Toc58569341"/>
      <w:bookmarkStart w:id="161" w:name="_Toc58569325"/>
      <w:r>
        <w:rPr>
          <w:rFonts w:hint="eastAsia" w:ascii="华文中宋" w:hAnsi="华文中宋" w:cs="华文中宋"/>
          <w:highlight w:val="none"/>
          <w:lang w:eastAsia="zh-CN"/>
        </w:rPr>
        <w:t>2020年8月5日</w:t>
      </w:r>
    </w:p>
    <w:p>
      <w:pPr>
        <w:ind w:firstLine="31680"/>
        <w:rPr>
          <w:rFonts w:hint="eastAsia" w:ascii="华文中宋" w:hAnsi="华文中宋" w:eastAsia="华文中宋" w:cs="华文中宋"/>
        </w:rPr>
      </w:pPr>
    </w:p>
    <w:p>
      <w:pPr>
        <w:ind w:firstLine="31680"/>
        <w:rPr>
          <w:rFonts w:hint="eastAsia" w:ascii="华文中宋" w:hAnsi="华文中宋" w:eastAsia="华文中宋" w:cs="华文中宋"/>
        </w:rPr>
      </w:pPr>
    </w:p>
    <w:p>
      <w:pPr>
        <w:ind w:firstLine="31680"/>
        <w:rPr>
          <w:rFonts w:hint="eastAsia" w:ascii="华文中宋" w:hAnsi="华文中宋" w:eastAsia="华文中宋" w:cs="华文中宋"/>
        </w:rPr>
      </w:pPr>
    </w:p>
    <w:bookmarkEnd w:id="143"/>
    <w:bookmarkEnd w:id="144"/>
    <w:bookmarkEnd w:id="145"/>
    <w:bookmarkEnd w:id="146"/>
    <w:bookmarkEnd w:id="158"/>
    <w:bookmarkEnd w:id="159"/>
    <w:bookmarkEnd w:id="160"/>
    <w:bookmarkEnd w:id="161"/>
    <w:p>
      <w:pPr>
        <w:ind w:firstLine="31680"/>
        <w:rPr>
          <w:rFonts w:hint="eastAsia" w:ascii="华文中宋" w:hAnsi="华文中宋" w:eastAsia="华文中宋" w:cs="华文中宋"/>
          <w:szCs w:val="24"/>
        </w:rPr>
      </w:pPr>
    </w:p>
    <w:p>
      <w:pPr>
        <w:ind w:firstLine="31680"/>
        <w:rPr>
          <w:rFonts w:hint="eastAsia" w:ascii="华文中宋" w:hAnsi="华文中宋" w:eastAsia="华文中宋" w:cs="华文中宋"/>
          <w:szCs w:val="24"/>
        </w:rPr>
      </w:pPr>
    </w:p>
    <w:p>
      <w:pPr>
        <w:ind w:firstLine="31680"/>
        <w:rPr>
          <w:rFonts w:hint="eastAsia" w:ascii="华文中宋" w:hAnsi="华文中宋" w:eastAsia="华文中宋" w:cs="华文中宋"/>
          <w:szCs w:val="24"/>
        </w:rPr>
      </w:pPr>
    </w:p>
    <w:p>
      <w:pPr>
        <w:ind w:firstLine="31680"/>
        <w:rPr>
          <w:rFonts w:hint="eastAsia" w:ascii="华文中宋" w:hAnsi="华文中宋" w:eastAsia="华文中宋" w:cs="华文中宋"/>
          <w:szCs w:val="24"/>
        </w:rPr>
      </w:pPr>
    </w:p>
    <w:p>
      <w:pPr>
        <w:ind w:firstLine="31680"/>
        <w:rPr>
          <w:rFonts w:hint="eastAsia" w:ascii="华文中宋" w:hAnsi="华文中宋" w:eastAsia="华文中宋" w:cs="华文中宋"/>
          <w:szCs w:val="24"/>
        </w:rPr>
        <w:sectPr>
          <w:headerReference r:id="rId17" w:type="first"/>
          <w:headerReference r:id="rId16" w:type="default"/>
          <w:type w:val="continuous"/>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titlePg/>
          <w:docGrid w:type="lines" w:linePitch="312" w:charSpace="0"/>
        </w:sectPr>
      </w:pPr>
    </w:p>
    <w:p>
      <w:pPr>
        <w:ind w:firstLine="31680"/>
        <w:rPr>
          <w:rFonts w:hint="eastAsia" w:ascii="华文中宋" w:hAnsi="华文中宋" w:eastAsia="华文中宋" w:cs="华文中宋"/>
          <w:szCs w:val="24"/>
        </w:rPr>
      </w:pPr>
    </w:p>
    <w:p>
      <w:pPr>
        <w:ind w:firstLine="31680"/>
        <w:rPr>
          <w:rFonts w:hint="eastAsia" w:ascii="华文中宋" w:hAnsi="华文中宋" w:eastAsia="华文中宋" w:cs="华文中宋"/>
          <w:szCs w:val="24"/>
        </w:rPr>
      </w:pPr>
    </w:p>
    <w:p>
      <w:pPr>
        <w:ind w:firstLine="31680"/>
        <w:rPr>
          <w:rFonts w:hint="eastAsia" w:ascii="华文中宋" w:hAnsi="华文中宋" w:eastAsia="华文中宋" w:cs="华文中宋"/>
          <w:szCs w:val="24"/>
        </w:rPr>
      </w:pPr>
    </w:p>
    <w:p>
      <w:pPr>
        <w:ind w:firstLine="31680"/>
        <w:rPr>
          <w:rFonts w:hint="eastAsia" w:ascii="华文中宋" w:hAnsi="华文中宋" w:eastAsia="华文中宋" w:cs="华文中宋"/>
          <w:szCs w:val="24"/>
        </w:rPr>
      </w:pPr>
    </w:p>
    <w:p>
      <w:pPr>
        <w:ind w:firstLine="31680"/>
        <w:rPr>
          <w:rFonts w:hint="eastAsia" w:ascii="华文中宋" w:hAnsi="华文中宋" w:eastAsia="华文中宋" w:cs="华文中宋"/>
          <w:szCs w:val="24"/>
        </w:rPr>
      </w:pPr>
    </w:p>
    <w:p>
      <w:pPr>
        <w:ind w:firstLine="31680"/>
        <w:rPr>
          <w:rFonts w:hint="eastAsia" w:ascii="华文中宋" w:hAnsi="华文中宋" w:eastAsia="华文中宋" w:cs="华文中宋"/>
          <w:szCs w:val="24"/>
        </w:rPr>
      </w:pPr>
    </w:p>
    <w:p>
      <w:pPr>
        <w:ind w:firstLine="31680"/>
        <w:rPr>
          <w:rFonts w:hint="eastAsia" w:ascii="华文中宋" w:hAnsi="华文中宋" w:eastAsia="华文中宋" w:cs="华文中宋"/>
          <w:szCs w:val="24"/>
        </w:rPr>
      </w:pPr>
    </w:p>
    <w:p>
      <w:pPr>
        <w:ind w:firstLine="31680"/>
        <w:rPr>
          <w:rFonts w:hint="eastAsia" w:ascii="华文中宋" w:hAnsi="华文中宋" w:eastAsia="华文中宋" w:cs="华文中宋"/>
          <w:szCs w:val="24"/>
        </w:rPr>
      </w:pPr>
    </w:p>
    <w:p>
      <w:pPr>
        <w:ind w:firstLine="31680"/>
        <w:rPr>
          <w:rFonts w:hint="eastAsia" w:ascii="华文中宋" w:hAnsi="华文中宋" w:eastAsia="华文中宋" w:cs="华文中宋"/>
          <w:szCs w:val="24"/>
        </w:rPr>
      </w:pPr>
    </w:p>
    <w:p>
      <w:pPr>
        <w:ind w:firstLine="31680"/>
        <w:rPr>
          <w:rFonts w:hint="eastAsia" w:ascii="华文中宋" w:hAnsi="华文中宋" w:eastAsia="华文中宋" w:cs="华文中宋"/>
          <w:szCs w:val="24"/>
        </w:rPr>
      </w:pPr>
    </w:p>
    <w:p>
      <w:pPr>
        <w:ind w:firstLine="31680"/>
        <w:rPr>
          <w:rFonts w:hint="eastAsia" w:ascii="华文中宋" w:hAnsi="华文中宋" w:eastAsia="华文中宋" w:cs="华文中宋"/>
          <w:szCs w:val="24"/>
        </w:rPr>
      </w:pPr>
    </w:p>
    <w:p>
      <w:pPr>
        <w:ind w:firstLine="31680"/>
        <w:rPr>
          <w:rFonts w:hint="eastAsia" w:ascii="华文中宋" w:hAnsi="华文中宋" w:eastAsia="华文中宋" w:cs="华文中宋"/>
          <w:szCs w:val="24"/>
        </w:rPr>
      </w:pPr>
    </w:p>
    <w:p>
      <w:pPr>
        <w:pStyle w:val="2"/>
        <w:spacing w:before="156" w:after="156"/>
        <w:rPr>
          <w:rFonts w:hint="eastAsia" w:ascii="华文中宋" w:hAnsi="华文中宋" w:eastAsia="华文中宋" w:cs="华文中宋"/>
        </w:rPr>
      </w:pPr>
      <w:bookmarkStart w:id="162" w:name="_Toc59"/>
      <w:bookmarkStart w:id="163" w:name="_Toc415039146"/>
      <w:bookmarkStart w:id="164" w:name="_Toc449598326"/>
      <w:bookmarkStart w:id="165" w:name="_Toc428348807"/>
      <w:bookmarkStart w:id="166" w:name="_Toc11644"/>
      <w:bookmarkStart w:id="167" w:name="_Toc7193"/>
      <w:bookmarkStart w:id="168" w:name="_Toc410379066"/>
      <w:bookmarkStart w:id="169" w:name="_Toc452121214"/>
      <w:bookmarkStart w:id="170" w:name="_Toc5335"/>
      <w:bookmarkStart w:id="171" w:name="_Toc429557869"/>
      <w:bookmarkStart w:id="172" w:name="_Toc409772468"/>
      <w:bookmarkStart w:id="173" w:name="_Toc508803792"/>
      <w:bookmarkStart w:id="174" w:name="_Toc415039147"/>
      <w:bookmarkStart w:id="175" w:name="_Toc25994"/>
      <w:bookmarkStart w:id="176" w:name="_Toc428348808"/>
      <w:bookmarkStart w:id="177" w:name="_Toc449598327"/>
      <w:bookmarkStart w:id="178" w:name="_Toc452121215"/>
      <w:bookmarkStart w:id="179" w:name="_Toc429557870"/>
      <w:bookmarkStart w:id="180" w:name="_Toc409772469"/>
      <w:bookmarkStart w:id="181" w:name="_Toc410379067"/>
      <w:bookmarkStart w:id="182" w:name="_Toc20791"/>
      <w:r>
        <w:rPr>
          <w:rFonts w:hint="eastAsia" w:ascii="华文中宋" w:hAnsi="华文中宋" w:eastAsia="华文中宋" w:cs="华文中宋"/>
        </w:rPr>
        <w:t>附</w:t>
      </w:r>
      <w:r>
        <w:rPr>
          <w:rFonts w:hint="eastAsia" w:ascii="华文中宋" w:hAnsi="华文中宋" w:eastAsia="华文中宋" w:cs="华文中宋"/>
          <w:lang w:val="en-US" w:eastAsia="zh-CN"/>
        </w:rPr>
        <w:t xml:space="preserve">  </w:t>
      </w:r>
      <w:r>
        <w:rPr>
          <w:rFonts w:hint="eastAsia" w:ascii="华文中宋" w:hAnsi="华文中宋" w:eastAsia="华文中宋" w:cs="华文中宋"/>
        </w:rPr>
        <w:t>件</w:t>
      </w:r>
      <w:bookmarkEnd w:id="162"/>
      <w:bookmarkEnd w:id="163"/>
      <w:bookmarkEnd w:id="164"/>
      <w:bookmarkEnd w:id="165"/>
      <w:bookmarkEnd w:id="166"/>
      <w:bookmarkEnd w:id="167"/>
      <w:bookmarkEnd w:id="168"/>
      <w:bookmarkEnd w:id="169"/>
      <w:bookmarkEnd w:id="170"/>
      <w:bookmarkEnd w:id="171"/>
      <w:bookmarkEnd w:id="172"/>
      <w:bookmarkEnd w:id="173"/>
    </w:p>
    <w:p>
      <w:pPr>
        <w:ind w:firstLine="31680"/>
        <w:rPr>
          <w:rFonts w:hint="eastAsia" w:ascii="华文中宋" w:hAnsi="华文中宋" w:eastAsia="华文中宋" w:cs="华文中宋"/>
        </w:rPr>
      </w:pPr>
    </w:p>
    <w:bookmarkEnd w:id="174"/>
    <w:bookmarkEnd w:id="175"/>
    <w:bookmarkEnd w:id="176"/>
    <w:bookmarkEnd w:id="177"/>
    <w:bookmarkEnd w:id="178"/>
    <w:bookmarkEnd w:id="179"/>
    <w:bookmarkEnd w:id="180"/>
    <w:bookmarkEnd w:id="181"/>
    <w:bookmarkEnd w:id="182"/>
    <w:p>
      <w:pPr>
        <w:spacing w:line="480" w:lineRule="auto"/>
        <w:ind w:firstLine="31680"/>
        <w:rPr>
          <w:rFonts w:hint="eastAsia" w:ascii="华文中宋" w:hAnsi="华文中宋" w:eastAsia="华文中宋" w:cs="华文中宋"/>
        </w:rPr>
      </w:pPr>
      <w:bookmarkStart w:id="183" w:name="_Toc8795"/>
      <w:bookmarkStart w:id="184" w:name="_Toc508803793"/>
      <w:r>
        <w:rPr>
          <w:rFonts w:hint="eastAsia" w:ascii="华文中宋" w:hAnsi="华文中宋" w:eastAsia="华文中宋" w:cs="华文中宋"/>
        </w:rPr>
        <w:t>1、</w:t>
      </w:r>
      <w:bookmarkEnd w:id="183"/>
      <w:bookmarkEnd w:id="184"/>
      <w:r>
        <w:rPr>
          <w:rFonts w:hint="eastAsia" w:ascii="华文中宋" w:hAnsi="华文中宋" w:eastAsia="华文中宋" w:cs="华文中宋"/>
          <w:lang w:eastAsia="zh-CN"/>
        </w:rPr>
        <w:t>《司法鉴定评估委托书》</w:t>
      </w:r>
    </w:p>
    <w:p>
      <w:pPr>
        <w:spacing w:line="480" w:lineRule="auto"/>
        <w:ind w:firstLine="31680"/>
        <w:rPr>
          <w:rFonts w:hint="eastAsia" w:ascii="华文中宋" w:hAnsi="华文中宋" w:eastAsia="华文中宋" w:cs="华文中宋"/>
        </w:rPr>
      </w:pPr>
      <w:bookmarkStart w:id="185" w:name="_Toc19848"/>
      <w:bookmarkStart w:id="186" w:name="_Toc415039148"/>
      <w:bookmarkStart w:id="187" w:name="_Toc410379068"/>
      <w:bookmarkStart w:id="188" w:name="_Toc449598328"/>
      <w:bookmarkStart w:id="189" w:name="_Toc429557871"/>
      <w:bookmarkStart w:id="190" w:name="_Toc452121216"/>
      <w:bookmarkStart w:id="191" w:name="_Toc1050"/>
      <w:bookmarkStart w:id="192" w:name="_Toc508803794"/>
      <w:bookmarkStart w:id="193" w:name="_Toc428348809"/>
      <w:bookmarkStart w:id="194" w:name="_Toc24834"/>
      <w:bookmarkStart w:id="195" w:name="_Toc409772470"/>
      <w:r>
        <w:rPr>
          <w:rFonts w:hint="eastAsia" w:ascii="华文中宋" w:hAnsi="华文中宋" w:eastAsia="华文中宋" w:cs="华文中宋"/>
        </w:rPr>
        <w:t>2、估价对象位置示意图</w:t>
      </w:r>
      <w:bookmarkEnd w:id="185"/>
      <w:bookmarkEnd w:id="186"/>
      <w:bookmarkEnd w:id="187"/>
      <w:bookmarkEnd w:id="188"/>
      <w:bookmarkEnd w:id="189"/>
      <w:bookmarkEnd w:id="190"/>
      <w:bookmarkEnd w:id="191"/>
      <w:bookmarkEnd w:id="192"/>
      <w:bookmarkEnd w:id="193"/>
      <w:bookmarkEnd w:id="194"/>
      <w:bookmarkEnd w:id="195"/>
      <w:bookmarkStart w:id="233" w:name="_GoBack"/>
      <w:bookmarkEnd w:id="233"/>
    </w:p>
    <w:p>
      <w:pPr>
        <w:spacing w:line="480" w:lineRule="auto"/>
        <w:ind w:firstLine="31680"/>
        <w:rPr>
          <w:rFonts w:hint="eastAsia" w:ascii="华文中宋" w:hAnsi="华文中宋" w:eastAsia="华文中宋" w:cs="华文中宋"/>
          <w:lang w:eastAsia="zh-CN"/>
        </w:rPr>
      </w:pPr>
      <w:bookmarkStart w:id="196" w:name="_Toc5559"/>
      <w:bookmarkStart w:id="197" w:name="_Toc5395"/>
      <w:bookmarkStart w:id="198" w:name="_Toc415039149"/>
      <w:bookmarkStart w:id="199" w:name="_Toc449598329"/>
      <w:bookmarkStart w:id="200" w:name="_Toc452121217"/>
      <w:bookmarkStart w:id="201" w:name="_Toc428348810"/>
      <w:bookmarkStart w:id="202" w:name="_Toc508803795"/>
      <w:bookmarkStart w:id="203" w:name="_Toc5499"/>
      <w:bookmarkStart w:id="204" w:name="_Toc409772471"/>
      <w:bookmarkStart w:id="205" w:name="_Toc429557872"/>
      <w:bookmarkStart w:id="206" w:name="_Toc410379069"/>
      <w:r>
        <w:rPr>
          <w:rFonts w:hint="eastAsia" w:ascii="华文中宋" w:hAnsi="华文中宋" w:eastAsia="华文中宋" w:cs="华文中宋"/>
        </w:rPr>
        <w:t>3、估价对象照片</w:t>
      </w:r>
      <w:bookmarkEnd w:id="196"/>
      <w:bookmarkEnd w:id="197"/>
      <w:bookmarkEnd w:id="198"/>
      <w:bookmarkEnd w:id="199"/>
      <w:bookmarkEnd w:id="200"/>
      <w:bookmarkEnd w:id="201"/>
      <w:bookmarkEnd w:id="202"/>
      <w:bookmarkEnd w:id="203"/>
      <w:bookmarkEnd w:id="204"/>
      <w:bookmarkEnd w:id="205"/>
      <w:bookmarkEnd w:id="206"/>
    </w:p>
    <w:p>
      <w:pPr>
        <w:spacing w:line="480" w:lineRule="auto"/>
        <w:ind w:firstLine="31680"/>
        <w:rPr>
          <w:rFonts w:hint="eastAsia" w:ascii="华文中宋" w:hAnsi="华文中宋" w:eastAsia="华文中宋" w:cs="华文中宋"/>
          <w:lang w:eastAsia="zh-CN"/>
        </w:rPr>
      </w:pPr>
      <w:bookmarkStart w:id="207" w:name="_Toc508803796"/>
      <w:bookmarkStart w:id="208" w:name="_Toc5255"/>
      <w:r>
        <w:rPr>
          <w:rFonts w:hint="eastAsia" w:ascii="华文中宋" w:hAnsi="华文中宋" w:eastAsia="华文中宋" w:cs="华文中宋"/>
        </w:rPr>
        <w:t>4</w:t>
      </w:r>
      <w:bookmarkEnd w:id="207"/>
      <w:bookmarkEnd w:id="208"/>
      <w:r>
        <w:rPr>
          <w:rFonts w:hint="eastAsia" w:ascii="华文中宋" w:hAnsi="华文中宋" w:eastAsia="华文中宋" w:cs="华文中宋"/>
        </w:rPr>
        <w:t>、</w:t>
      </w:r>
      <w:r>
        <w:rPr>
          <w:rFonts w:hint="eastAsia" w:ascii="华文中宋" w:hAnsi="华文中宋" w:eastAsia="华文中宋" w:cs="华文中宋"/>
          <w:lang w:eastAsia="zh-CN"/>
        </w:rPr>
        <w:t>《</w:t>
      </w:r>
      <w:r>
        <w:rPr>
          <w:rFonts w:hint="eastAsia" w:ascii="华文中宋" w:hAnsi="华文中宋" w:cs="华文中宋"/>
          <w:szCs w:val="24"/>
          <w:lang w:val="en-US" w:eastAsia="zh-CN"/>
        </w:rPr>
        <w:t>嘉泰园小区委估房产清单</w:t>
      </w:r>
      <w:r>
        <w:rPr>
          <w:rFonts w:hint="eastAsia" w:ascii="华文中宋" w:hAnsi="华文中宋" w:eastAsia="华文中宋" w:cs="华文中宋"/>
          <w:lang w:eastAsia="zh-CN"/>
        </w:rPr>
        <w:t>》</w:t>
      </w:r>
    </w:p>
    <w:p>
      <w:pPr>
        <w:spacing w:line="480" w:lineRule="auto"/>
        <w:ind w:firstLine="31680"/>
        <w:rPr>
          <w:rFonts w:hint="eastAsia" w:ascii="华文中宋" w:hAnsi="华文中宋" w:eastAsia="华文中宋" w:cs="华文中宋"/>
        </w:rPr>
      </w:pPr>
      <w:r>
        <w:rPr>
          <w:rFonts w:hint="eastAsia" w:ascii="华文中宋" w:hAnsi="华文中宋" w:eastAsia="华文中宋" w:cs="华文中宋"/>
          <w:lang w:val="en-US" w:eastAsia="zh-CN"/>
        </w:rPr>
        <w:t>5</w:t>
      </w:r>
      <w:r>
        <w:rPr>
          <w:rFonts w:hint="eastAsia" w:ascii="华文中宋" w:hAnsi="华文中宋" w:eastAsia="华文中宋" w:cs="华文中宋"/>
        </w:rPr>
        <w:t>、</w:t>
      </w:r>
      <w:bookmarkStart w:id="209" w:name="_Toc428348813"/>
      <w:bookmarkStart w:id="210" w:name="_Toc452121219"/>
      <w:bookmarkStart w:id="211" w:name="_Toc508803797"/>
      <w:bookmarkStart w:id="212" w:name="_Toc13408"/>
      <w:bookmarkStart w:id="213" w:name="_Toc410379071"/>
      <w:bookmarkStart w:id="214" w:name="_Toc429557875"/>
      <w:bookmarkStart w:id="215" w:name="_Toc13458"/>
      <w:bookmarkStart w:id="216" w:name="_Toc30723"/>
      <w:bookmarkStart w:id="217" w:name="_Toc415039152"/>
      <w:bookmarkStart w:id="218" w:name="_Toc449598331"/>
      <w:bookmarkStart w:id="219" w:name="_Toc409772473"/>
      <w:r>
        <w:rPr>
          <w:rFonts w:hint="eastAsia" w:ascii="华文中宋" w:hAnsi="华文中宋" w:eastAsia="华文中宋" w:cs="华文中宋"/>
        </w:rPr>
        <w:t>房地产估价机构营业执照复印件</w:t>
      </w:r>
      <w:bookmarkEnd w:id="209"/>
      <w:bookmarkEnd w:id="210"/>
      <w:bookmarkEnd w:id="211"/>
      <w:bookmarkEnd w:id="212"/>
      <w:bookmarkEnd w:id="213"/>
      <w:bookmarkEnd w:id="214"/>
      <w:bookmarkEnd w:id="215"/>
      <w:bookmarkEnd w:id="216"/>
      <w:bookmarkEnd w:id="217"/>
      <w:bookmarkEnd w:id="218"/>
      <w:bookmarkEnd w:id="219"/>
    </w:p>
    <w:p>
      <w:pPr>
        <w:spacing w:line="480" w:lineRule="auto"/>
        <w:ind w:firstLine="31680"/>
        <w:rPr>
          <w:rFonts w:hint="eastAsia" w:ascii="华文中宋" w:hAnsi="华文中宋" w:eastAsia="华文中宋" w:cs="华文中宋"/>
          <w:lang w:eastAsia="zh-CN"/>
        </w:rPr>
      </w:pPr>
      <w:bookmarkStart w:id="220" w:name="_Toc508803798"/>
      <w:bookmarkStart w:id="221" w:name="_Toc6319"/>
      <w:r>
        <w:rPr>
          <w:rFonts w:hint="eastAsia" w:ascii="华文中宋" w:hAnsi="华文中宋" w:cs="华文中宋"/>
          <w:lang w:val="en-US" w:eastAsia="zh-CN"/>
        </w:rPr>
        <w:t>6</w:t>
      </w:r>
      <w:r>
        <w:rPr>
          <w:rFonts w:hint="eastAsia" w:ascii="华文中宋" w:hAnsi="华文中宋" w:eastAsia="华文中宋" w:cs="华文中宋"/>
        </w:rPr>
        <w:t>、房地产估价机构</w:t>
      </w:r>
      <w:r>
        <w:rPr>
          <w:rFonts w:hint="eastAsia" w:ascii="华文中宋" w:hAnsi="华文中宋" w:eastAsia="华文中宋" w:cs="华文中宋"/>
          <w:lang w:eastAsia="zh-CN"/>
        </w:rPr>
        <w:t>备案</w:t>
      </w:r>
      <w:r>
        <w:rPr>
          <w:rFonts w:hint="eastAsia" w:ascii="华文中宋" w:hAnsi="华文中宋" w:eastAsia="华文中宋" w:cs="华文中宋"/>
        </w:rPr>
        <w:t>证书复印件</w:t>
      </w:r>
      <w:bookmarkEnd w:id="220"/>
      <w:bookmarkEnd w:id="221"/>
    </w:p>
    <w:p>
      <w:pPr>
        <w:spacing w:line="480" w:lineRule="auto"/>
        <w:ind w:firstLine="31680"/>
        <w:rPr>
          <w:rFonts w:hint="eastAsia" w:ascii="华文中宋" w:hAnsi="华文中宋" w:eastAsia="华文中宋" w:cs="华文中宋"/>
        </w:rPr>
      </w:pPr>
      <w:bookmarkStart w:id="222" w:name="_Toc410379072"/>
      <w:bookmarkStart w:id="223" w:name="_Toc452121220"/>
      <w:bookmarkStart w:id="224" w:name="_Toc449598332"/>
      <w:bookmarkStart w:id="225" w:name="_Toc409772474"/>
      <w:bookmarkStart w:id="226" w:name="_Toc11752"/>
      <w:bookmarkStart w:id="227" w:name="_Toc8604"/>
      <w:bookmarkStart w:id="228" w:name="_Toc428348814"/>
      <w:bookmarkStart w:id="229" w:name="_Toc429557876"/>
      <w:bookmarkStart w:id="230" w:name="_Toc415039153"/>
      <w:bookmarkStart w:id="231" w:name="_Toc508803799"/>
      <w:bookmarkStart w:id="232" w:name="_Toc4745"/>
      <w:r>
        <w:rPr>
          <w:rFonts w:hint="eastAsia" w:ascii="华文中宋" w:hAnsi="华文中宋" w:cs="华文中宋"/>
          <w:lang w:val="en-US" w:eastAsia="zh-CN"/>
        </w:rPr>
        <w:t>7</w:t>
      </w:r>
      <w:r>
        <w:rPr>
          <w:rFonts w:hint="eastAsia" w:ascii="华文中宋" w:hAnsi="华文中宋" w:eastAsia="华文中宋" w:cs="华文中宋"/>
        </w:rPr>
        <w:t>、</w:t>
      </w:r>
      <w:bookmarkEnd w:id="222"/>
      <w:bookmarkEnd w:id="223"/>
      <w:bookmarkEnd w:id="224"/>
      <w:bookmarkEnd w:id="225"/>
      <w:bookmarkEnd w:id="226"/>
      <w:bookmarkEnd w:id="227"/>
      <w:bookmarkEnd w:id="228"/>
      <w:bookmarkEnd w:id="229"/>
      <w:bookmarkEnd w:id="230"/>
      <w:r>
        <w:rPr>
          <w:rFonts w:hint="eastAsia" w:ascii="华文中宋" w:hAnsi="华文中宋" w:eastAsia="华文中宋" w:cs="华文中宋"/>
        </w:rPr>
        <w:t>注册房地产估价师注册证书复印件</w:t>
      </w:r>
      <w:bookmarkEnd w:id="231"/>
      <w:bookmarkEnd w:id="232"/>
    </w:p>
    <w:p>
      <w:pPr>
        <w:spacing w:line="480" w:lineRule="auto"/>
        <w:ind w:firstLine="31680"/>
        <w:rPr>
          <w:rFonts w:hint="eastAsia" w:ascii="华文中宋" w:hAnsi="华文中宋" w:eastAsia="华文中宋" w:cs="华文中宋"/>
        </w:rPr>
      </w:pPr>
    </w:p>
    <w:p>
      <w:pPr>
        <w:ind w:firstLine="31680"/>
        <w:rPr>
          <w:rFonts w:hint="eastAsia" w:ascii="华文中宋" w:hAnsi="华文中宋" w:eastAsia="华文中宋" w:cs="华文中宋"/>
        </w:rPr>
      </w:pPr>
    </w:p>
    <w:sectPr>
      <w:type w:val="continuous"/>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Arial Narrow">
    <w:panose1 w:val="020B0606020202030204"/>
    <w:charset w:val="00"/>
    <w:family w:val="swiss"/>
    <w:pitch w:val="default"/>
    <w:sig w:usb0="00000287" w:usb1="00000800" w:usb2="00000000" w:usb3="00000000" w:csb0="2000009F" w:csb1="DFD7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auto" w:sz="4" w:space="0"/>
      </w:pBdr>
      <w:tabs>
        <w:tab w:val="center" w:pos="4153"/>
      </w:tabs>
      <w:ind w:firstLine="0" w:firstLineChars="0"/>
    </w:pPr>
    <w:r>
      <w:pict>
        <v:shape id="_x0000_i1025" o:spt="75" alt="九州房地产LOGO" type="#_x0000_t75" style="height:22.5pt;width:23.25pt;" filled="f" o:preferrelative="t" stroked="f" coordsize="21600,21600">
          <v:path/>
          <v:fill on="f" focussize="0,0"/>
          <v:stroke on="f" joinstyle="miter"/>
          <v:imagedata r:id="rId1" o:title=""/>
          <o:lock v:ext="edit" aspectratio="t"/>
          <w10:wrap type="none"/>
          <w10:anchorlock/>
        </v:shape>
      </w:pict>
    </w:r>
    <w:r>
      <w:rPr>
        <w:rFonts w:hint="eastAsia"/>
        <w:sz w:val="36"/>
        <w:szCs w:val="24"/>
        <w:vertAlign w:val="superscript"/>
      </w:rPr>
      <w:t>辽宁九州房产土地资产评估有限公司</w:t>
    </w:r>
    <w:r>
      <w:rPr>
        <w:sz w:val="36"/>
        <w:szCs w:val="24"/>
        <w:vertAlign w:val="superscript"/>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top w:val="single" w:color="auto" w:sz="4" w:space="0"/>
      </w:pBdr>
      <w:spacing w:line="240" w:lineRule="auto"/>
      <w:ind w:left="0" w:leftChars="0" w:firstLine="0" w:firstLineChars="0"/>
      <w:jc w:val="left"/>
      <w:rPr>
        <w:rFonts w:hint="eastAsia" w:eastAsia="华文中宋"/>
        <w:lang w:eastAsia="zh-CN"/>
      </w:rPr>
    </w:pPr>
    <w:r>
      <w:rPr>
        <w:rFonts w:hint="eastAsia"/>
        <w:sz w:val="21"/>
        <w:szCs w:val="28"/>
        <w:lang w:eastAsia="zh-CN"/>
      </w:rPr>
      <w:t>辽宁九州房产土地资产评估有限公司</w:t>
    </w:r>
    <w:r>
      <w:rPr>
        <w:rFonts w:hint="eastAsia"/>
        <w:sz w:val="21"/>
        <w:szCs w:val="28"/>
        <w:lang w:val="en-US" w:eastAsia="zh-CN"/>
      </w:rPr>
      <w:t xml:space="preserve">  </w:t>
    </w:r>
    <w:r>
      <w:rPr>
        <w:rFonts w:hint="eastAsia"/>
        <w:sz w:val="16"/>
        <w:szCs w:val="21"/>
        <w:lang w:val="en-US" w:eastAsia="zh-CN"/>
      </w:rPr>
      <w:t xml:space="preserve"> </w:t>
    </w:r>
    <w:r>
      <w:rPr>
        <w:rFonts w:hint="eastAsia"/>
        <w:lang w:val="en-US"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r>
      <w:rPr>
        <w:rFonts w:hint="eastAsia"/>
        <w:lang w:val="en-US" w:eastAsia="zh-C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top w:val="single" w:color="auto" w:sz="4" w:space="0"/>
      </w:pBdr>
      <w:tabs>
        <w:tab w:val="left" w:pos="211"/>
        <w:tab w:val="right" w:pos="8426"/>
      </w:tabs>
      <w:spacing w:line="240" w:lineRule="auto"/>
      <w:ind w:left="0" w:leftChars="0" w:firstLine="0" w:firstLineChars="0"/>
      <w:jc w:val="left"/>
      <w:rPr>
        <w:rFonts w:hint="eastAsia" w:eastAsia="华文中宋"/>
        <w:lang w:eastAsia="zh-CN"/>
      </w:rPr>
    </w:pPr>
    <w:r>
      <w:rPr>
        <w:rFonts w:hint="eastAsia"/>
        <w:lang w:eastAsia="zh-CN"/>
      </w:rPr>
      <w:pict>
        <v:shape id="_x0000_i1026" o:spt="75" alt="九州房地产LOGO" type="#_x0000_t75" style="height:16.95pt;width:17.9pt;" filled="f" o:preferrelative="t" stroked="f" coordsize="21600,21600">
          <v:path/>
          <v:fill on="f" focussize="0,0"/>
          <v:stroke on="f"/>
          <v:imagedata r:id="rId1" o:title="九州房地产LOGO"/>
          <o:lock v:ext="edit" aspectratio="t"/>
          <w10:wrap type="none"/>
          <w10:anchorlock/>
        </v:shape>
      </w:pict>
    </w:r>
    <w:r>
      <w:rPr>
        <w:rFonts w:hint="eastAsia"/>
        <w:lang w:eastAsia="zh-CN"/>
      </w:rPr>
      <w:t>辽宁九州房产土地资产评估有限公司</w:t>
    </w:r>
    <w:r>
      <w:rPr>
        <w:rFonts w:hint="eastAsia"/>
        <w:lang w:eastAsia="zh-CN"/>
      </w:rPr>
      <w:tab/>
    </w:r>
    <w:r>
      <w:rPr>
        <w:rFonts w:hint="eastAsia"/>
        <w:lang w:eastAsia="zh-CN"/>
      </w:rPr>
      <w:tab/>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single" w:color="auto" w:sz="4" w:space="1"/>
      </w:pBdr>
      <w:ind w:firstLine="31680"/>
      <w:jc w:val="left"/>
    </w:pPr>
    <w:r>
      <w:pict>
        <v:shape id="_x0000_s2054" o:spid="_x0000_s2054" o:spt="75" alt="水印" type="#_x0000_t75" style="position:absolute;left:0pt;height:425.55pt;width:453.55pt;mso-position-horizontal:center;mso-position-horizontal-relative:margin;mso-position-vertical:center;mso-position-vertical-relative:margin;z-index:-251658240;mso-width-relative:page;mso-height-relative:page;" filled="f" o:preferrelative="t" stroked="f" coordsize="21600,21600">
          <v:path/>
          <v:fill on="f" focussize="0,0"/>
          <v:stroke on="f" joinstyle="miter"/>
          <v:imagedata r:id="rId1" gain="18350f" blacklevel="22282f" o:title="水印"/>
          <o:lock v:ext="edit" aspectratio="t"/>
        </v:shape>
      </w:pict>
    </w:r>
    <w:r>
      <w:rPr>
        <w:sz w:val="18"/>
      </w:rPr>
      <w:pict>
        <v:shape id="WordPictureWatermark28636" o:spid="_x0000_s2072" o:spt="75" alt="水印" type="#_x0000_t75" style="position:absolute;left:0pt;height:391.8pt;width:417.6pt;mso-position-horizontal:center;mso-position-horizontal-relative:margin;mso-position-vertical:center;mso-position-vertical-relative:margin;z-index:-251271168;mso-width-relative:page;mso-height-relative:page;" filled="f" o:preferrelative="t" stroked="f" coordsize="21600,21600">
          <v:path/>
          <v:fill on="f" focussize="0,0"/>
          <v:stroke on="f"/>
          <v:imagedata r:id="rId1" gain="19660f" blacklevel="22937f" o:title="水印"/>
          <o:lock v:ext="edit" aspectratio="t"/>
        </v:shape>
      </w:pict>
    </w:r>
    <w:r>
      <w:rPr>
        <w:rFonts w:hint="eastAsia"/>
      </w:rPr>
      <w:t>涉案房地产司法鉴定估价项目</w:t>
    </w:r>
    <w:r>
      <w:rPr>
        <w:rFonts w:hint="eastAsia"/>
        <w:lang w:val="en-US" w:eastAsia="zh-CN"/>
      </w:rPr>
      <w:t xml:space="preserve">                                 </w:t>
    </w:r>
    <w:r>
      <w:rPr>
        <w:rFonts w:hint="eastAsia"/>
      </w:rPr>
      <w:t>房地产估价报告·</w:t>
    </w:r>
    <w:r>
      <w:rPr>
        <w:rFonts w:hint="eastAsia"/>
        <w:lang w:eastAsia="zh-CN"/>
      </w:rPr>
      <w:t>致估价委托人函</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single" w:color="auto" w:sz="4" w:space="0"/>
      </w:pBdr>
      <w:ind w:firstLine="0" w:firstLineChars="0"/>
      <w:jc w:val="both"/>
    </w:pPr>
    <w:r>
      <w:rPr>
        <w:rFonts w:hint="eastAsia"/>
      </w:rPr>
      <w:t>涉案房地产司法鉴定估价项目</w:t>
    </w:r>
    <w:r>
      <w:rPr>
        <w:rFonts w:hint="eastAsia"/>
        <w:lang w:val="en-US" w:eastAsia="zh-CN"/>
      </w:rPr>
      <w:t xml:space="preserve">                                             </w:t>
    </w:r>
    <w:r>
      <w:rPr>
        <w:rFonts w:hint="eastAsia"/>
      </w:rPr>
      <w:t>房地产估价报告·正文</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single" w:color="auto" w:sz="4" w:space="1"/>
      </w:pBdr>
      <w:ind w:firstLine="0" w:firstLineChars="0"/>
      <w:jc w:val="left"/>
      <w:rPr>
        <w:rFonts w:hint="eastAsia" w:eastAsia="华文中宋"/>
        <w:lang w:eastAsia="zh-CN"/>
      </w:rPr>
    </w:pPr>
    <w:r>
      <w:rPr>
        <w:rFonts w:hint="eastAsia"/>
      </w:rPr>
      <w:t>涉案房地产司法鉴定估价项目</w:t>
    </w:r>
    <w:r>
      <w:rPr>
        <w:rFonts w:hint="eastAsia"/>
        <w:lang w:val="en-US" w:eastAsia="zh-CN"/>
      </w:rPr>
      <w:t xml:space="preserve">                                             </w:t>
    </w:r>
    <w:r>
      <w:rPr>
        <w:rFonts w:hint="eastAsia"/>
      </w:rPr>
      <w:t>房地产估价报告·</w:t>
    </w:r>
    <w:r>
      <w:rPr>
        <w:rFonts w:hint="eastAsia"/>
        <w:lang w:eastAsia="zh-CN"/>
      </w:rPr>
      <w:t>附件</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single" w:color="auto" w:sz="4" w:space="0"/>
      </w:pBdr>
      <w:ind w:firstLine="0" w:firstLineChars="0"/>
      <w:jc w:val="both"/>
    </w:pPr>
    <w:r>
      <w:rPr>
        <w:sz w:val="18"/>
      </w:rPr>
      <w:pict>
        <v:shape id="_x0000_s2090" o:spid="_x0000_s2090" o:spt="75" alt="水印" type="#_x0000_t75" style="position:absolute;left:0pt;height:391.8pt;width:417.6pt;mso-position-horizontal:center;mso-position-horizontal-relative:margin;mso-position-vertical:center;mso-position-vertical-relative:margin;z-index:-250449920;mso-width-relative:page;mso-height-relative:page;" filled="f" o:preferrelative="t" stroked="f" coordsize="21600,21600">
          <v:path/>
          <v:fill on="f" focussize="0,0"/>
          <v:stroke on="f"/>
          <v:imagedata r:id="rId1" gain="19660f" blacklevel="22937f" o:title="水印"/>
          <o:lock v:ext="edit" aspectratio="t"/>
        </v:shape>
      </w:pict>
    </w:r>
    <w:r>
      <w:rPr>
        <w:rFonts w:hint="eastAsia"/>
      </w:rPr>
      <w:t>涉案房地产司法鉴定估价项目</w:t>
    </w:r>
    <w:r>
      <w:rPr>
        <w:rFonts w:hint="eastAsia"/>
        <w:lang w:val="en-US" w:eastAsia="zh-CN"/>
      </w:rPr>
      <w:t xml:space="preserve">                                             </w:t>
    </w:r>
    <w:r>
      <w:rPr>
        <w:rFonts w:hint="eastAsia"/>
      </w:rPr>
      <w:t>房地产估价报告·</w:t>
    </w:r>
    <w:r>
      <w:rPr>
        <w:rFonts w:hint="eastAsia"/>
        <w:lang w:eastAsia="zh-CN"/>
      </w:rPr>
      <w:t>附件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single" w:color="auto" w:sz="4" w:space="1"/>
      </w:pBdr>
      <w:ind w:left="0" w:leftChars="0" w:firstLine="0" w:firstLineChars="0"/>
      <w:jc w:val="left"/>
    </w:pPr>
    <w:r>
      <w:rPr>
        <w:rFonts w:hint="eastAsia"/>
      </w:rPr>
      <w:t>涉案房地产司法鉴定估价项目</w:t>
    </w:r>
    <w:r>
      <w:rPr>
        <w:rFonts w:hint="eastAsia"/>
        <w:lang w:val="en-US" w:eastAsia="zh-CN"/>
      </w:rPr>
      <w:t xml:space="preserve">                                    </w:t>
    </w:r>
    <w:r>
      <w:rPr>
        <w:rFonts w:hint="eastAsia"/>
      </w:rPr>
      <w:t>房地产估价报告·</w:t>
    </w:r>
    <w:r>
      <w:rPr>
        <w:rFonts w:hint="eastAsia"/>
        <w:lang w:eastAsia="zh-CN"/>
      </w:rPr>
      <w:t>致估价委托人函</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single" w:color="auto" w:sz="4" w:space="1"/>
      </w:pBdr>
      <w:ind w:left="0" w:leftChars="0" w:firstLine="0" w:firstLineChars="0"/>
      <w:jc w:val="left"/>
    </w:pPr>
    <w:r>
      <w:rPr>
        <w:rFonts w:hint="eastAsia"/>
      </w:rPr>
      <w:t>涉案房地产司法鉴定估价项目</w:t>
    </w:r>
    <w:r>
      <w:rPr>
        <w:rFonts w:hint="eastAsia"/>
        <w:lang w:val="en-US" w:eastAsia="zh-CN"/>
      </w:rPr>
      <w:t xml:space="preserve">                                              </w:t>
    </w:r>
    <w:r>
      <w:rPr>
        <w:rFonts w:hint="eastAsia"/>
      </w:rPr>
      <w:t>房地产估价报告·</w:t>
    </w:r>
    <w:r>
      <w:rPr>
        <w:rFonts w:hint="eastAsia"/>
        <w:lang w:eastAsia="zh-CN"/>
      </w:rPr>
      <w:t>目录</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single" w:color="auto" w:sz="4" w:space="1"/>
      </w:pBdr>
      <w:ind w:left="0" w:leftChars="0" w:firstLine="0" w:firstLineChars="0"/>
      <w:jc w:val="left"/>
    </w:pPr>
    <w:r>
      <w:pict>
        <v:shape id="_x0000_s2064" o:spid="_x0000_s2064" o:spt="75" alt="水印" type="#_x0000_t75" style="position:absolute;left:0pt;height:425.55pt;width:453.55pt;mso-position-horizontal:center;mso-position-horizontal-relative:margin;mso-position-vertical:center;mso-position-vertical-relative:margin;z-index:-251634688;mso-width-relative:page;mso-height-relative:page;" filled="f" o:preferrelative="t" stroked="f" coordsize="21600,21600">
          <v:path/>
          <v:fill on="f" focussize="0,0"/>
          <v:stroke on="f" joinstyle="miter"/>
          <v:imagedata r:id="rId1" gain="18350f" blacklevel="22282f" o:title="水印"/>
          <o:lock v:ext="edit" aspectratio="t"/>
        </v:shape>
      </w:pict>
    </w:r>
    <w:r>
      <w:rPr>
        <w:sz w:val="18"/>
      </w:rPr>
      <w:pict>
        <v:shape id="_x0000_s2076" o:spid="_x0000_s2076" o:spt="75" alt="水印" type="#_x0000_t75" style="position:absolute;left:0pt;height:391.8pt;width:417.6pt;mso-position-horizontal:center;mso-position-horizontal-relative:margin;mso-position-vertical:center;mso-position-vertical-relative:margin;z-index:-251267072;mso-width-relative:page;mso-height-relative:page;" filled="f" o:preferrelative="t" stroked="f" coordsize="21600,21600">
          <v:path/>
          <v:fill on="f" focussize="0,0"/>
          <v:stroke on="f"/>
          <v:imagedata r:id="rId1" gain="19660f" blacklevel="22937f" o:title="水印"/>
          <o:lock v:ext="edit" aspectratio="t"/>
        </v:shape>
      </w:pict>
    </w:r>
    <w:r>
      <w:rPr>
        <w:rFonts w:hint="eastAsia"/>
      </w:rPr>
      <w:t>涉案房地产司法鉴定估价项目</w:t>
    </w:r>
    <w:r>
      <w:rPr>
        <w:rFonts w:hint="eastAsia"/>
        <w:lang w:val="en-US" w:eastAsia="zh-CN"/>
      </w:rPr>
      <w:t xml:space="preserve">                                               </w:t>
    </w:r>
    <w:r>
      <w:rPr>
        <w:rFonts w:hint="eastAsia"/>
      </w:rPr>
      <w:t>房地产估价报告·</w:t>
    </w:r>
    <w:r>
      <w:rPr>
        <w:rFonts w:hint="eastAsia"/>
        <w:lang w:eastAsia="zh-CN"/>
      </w:rPr>
      <w:t>目录</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single" w:color="auto" w:sz="4" w:space="1"/>
      </w:pBdr>
      <w:ind w:firstLine="0" w:firstLineChars="0"/>
      <w:jc w:val="left"/>
      <w:rPr>
        <w:rFonts w:hint="eastAsia"/>
      </w:rPr>
    </w:pPr>
    <w:r>
      <w:rPr>
        <w:rFonts w:hint="eastAsia"/>
      </w:rPr>
      <w:t>涉案房地产司法鉴定估价项目</w:t>
    </w:r>
    <w:r>
      <w:rPr>
        <w:rFonts w:hint="eastAsia"/>
        <w:spacing w:val="-20"/>
        <w:lang w:val="en-US" w:eastAsia="zh-CN"/>
      </w:rPr>
      <w:t xml:space="preserve">                                                    </w:t>
    </w:r>
    <w:r>
      <w:rPr>
        <w:rFonts w:hint="eastAsia"/>
        <w:lang w:val="en-US" w:eastAsia="zh-CN"/>
      </w:rPr>
      <w:t xml:space="preserve">  </w:t>
    </w:r>
    <w:r>
      <w:rPr>
        <w:rFonts w:hint="eastAsia"/>
      </w:rPr>
      <w:t>房地产估价报告·注册房地产估价师声明</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0" w:firstLineChars="0"/>
      <w:jc w:val="both"/>
    </w:pPr>
    <w:r>
      <w:rPr>
        <w:sz w:val="18"/>
      </w:rPr>
      <w:pict>
        <v:shape id="_x0000_s2079" o:spid="_x0000_s2079" o:spt="75" alt="水印" type="#_x0000_t75" style="position:absolute;left:0pt;height:391.8pt;width:417.6pt;mso-position-horizontal:center;mso-position-horizontal-relative:margin;mso-position-vertical:center;mso-position-vertical-relative:margin;z-index:-251264000;mso-width-relative:page;mso-height-relative:page;" filled="f" o:preferrelative="t" stroked="f" coordsize="21600,21600">
          <v:path/>
          <v:fill on="f" focussize="0,0"/>
          <v:stroke on="f"/>
          <v:imagedata r:id="rId1" gain="19660f" blacklevel="22937f" o:title="水印"/>
          <o:lock v:ext="edit" aspectratio="t"/>
        </v:shape>
      </w:pict>
    </w:r>
    <w:r>
      <w:rPr>
        <w:rFonts w:hint="eastAsia"/>
      </w:rPr>
      <w:t>涉案房地产司法鉴定估价项目</w:t>
    </w:r>
    <w:r>
      <w:rPr>
        <w:rFonts w:hint="eastAsia"/>
        <w:lang w:val="en-US" w:eastAsia="zh-CN"/>
      </w:rPr>
      <w:t xml:space="preserve">                             </w:t>
    </w:r>
    <w:r>
      <w:rPr>
        <w:rFonts w:hint="eastAsia"/>
      </w:rPr>
      <w:t>房地产估价报告·注册房地产估价师声明</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single" w:color="auto" w:sz="4" w:space="1"/>
      </w:pBdr>
      <w:ind w:firstLine="0" w:firstLineChars="0"/>
      <w:jc w:val="left"/>
      <w:rPr>
        <w:rFonts w:hint="eastAsia" w:eastAsia="华文中宋"/>
        <w:lang w:eastAsia="zh-CN"/>
      </w:rPr>
    </w:pPr>
    <w:r>
      <w:rPr>
        <w:rFonts w:hint="eastAsia"/>
      </w:rPr>
      <w:t>涉案房地产司法鉴定估价项目</w:t>
    </w:r>
    <w:r>
      <w:rPr>
        <w:rFonts w:hint="eastAsia"/>
        <w:lang w:val="en-US" w:eastAsia="zh-CN"/>
      </w:rPr>
      <w:t xml:space="preserve">                                   </w:t>
    </w:r>
    <w:r>
      <w:rPr>
        <w:rFonts w:hint="eastAsia"/>
      </w:rPr>
      <w:t>房地产估价报告·</w:t>
    </w:r>
    <w:r>
      <w:rPr>
        <w:rFonts w:hint="eastAsia"/>
        <w:lang w:eastAsia="zh-CN"/>
      </w:rPr>
      <w:t>估价假设限制条件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single" w:color="auto" w:sz="4" w:space="0"/>
      </w:pBdr>
      <w:ind w:firstLine="0" w:firstLineChars="0"/>
      <w:jc w:val="both"/>
    </w:pPr>
    <w:r>
      <w:rPr>
        <w:sz w:val="18"/>
      </w:rPr>
      <w:pict>
        <v:shape id="_x0000_s2087" o:spid="_x0000_s2087" o:spt="75" alt="水印" type="#_x0000_t75" style="position:absolute;left:0pt;height:391.8pt;width:417.6pt;mso-position-horizontal:center;mso-position-horizontal-relative:margin;mso-position-vertical:center;mso-position-vertical-relative:margin;z-index:-251255808;mso-width-relative:page;mso-height-relative:page;" filled="f" o:preferrelative="t" stroked="f" coordsize="21600,21600">
          <v:path/>
          <v:fill on="f" focussize="0,0"/>
          <v:stroke on="f"/>
          <v:imagedata r:id="rId1" gain="19660f" blacklevel="22937f" o:title="水印"/>
          <o:lock v:ext="edit" aspectratio="t"/>
        </v:shape>
      </w:pict>
    </w:r>
    <w:r>
      <w:rPr>
        <w:rFonts w:hint="eastAsia"/>
      </w:rPr>
      <w:t>涉案房地产司法鉴定估价项目</w:t>
    </w:r>
    <w:r>
      <w:rPr>
        <w:rFonts w:hint="eastAsia"/>
        <w:lang w:val="en-US" w:eastAsia="zh-CN"/>
      </w:rPr>
      <w:t xml:space="preserve">                                             </w:t>
    </w:r>
    <w:r>
      <w:rPr>
        <w:rFonts w:hint="eastAsia"/>
      </w:rPr>
      <w:t>房地产估价报告·正文</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single" w:color="auto" w:sz="4" w:space="1"/>
      </w:pBdr>
      <w:ind w:firstLine="0" w:firstLineChars="0"/>
      <w:jc w:val="left"/>
      <w:rPr>
        <w:rFonts w:hint="eastAsia" w:eastAsia="华文中宋"/>
        <w:lang w:eastAsia="zh-CN"/>
      </w:rPr>
    </w:pPr>
    <w:r>
      <w:rPr>
        <w:rFonts w:hint="eastAsia"/>
      </w:rPr>
      <w:t>涉案房地产司法鉴定估价项目</w:t>
    </w:r>
    <w:r>
      <w:rPr>
        <w:rFonts w:hint="eastAsia"/>
        <w:lang w:val="en-US" w:eastAsia="zh-CN"/>
      </w:rPr>
      <w:t xml:space="preserve">                                             </w:t>
    </w:r>
    <w:r>
      <w:rPr>
        <w:rFonts w:hint="eastAsia"/>
      </w:rPr>
      <w:t>房地产估价报告·</w:t>
    </w:r>
    <w:r>
      <w:rPr>
        <w:rFonts w:hint="eastAsia"/>
        <w:lang w:eastAsia="zh-CN"/>
      </w:rPr>
      <w:t>正文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F093C4"/>
    <w:multiLevelType w:val="singleLevel"/>
    <w:tmpl w:val="B7F093C4"/>
    <w:lvl w:ilvl="0" w:tentative="0">
      <w:start w:val="1"/>
      <w:numFmt w:val="chineseCounting"/>
      <w:lvlText w:val="(%1)"/>
      <w:lvlJc w:val="left"/>
      <w:pPr>
        <w:tabs>
          <w:tab w:val="left" w:pos="312"/>
        </w:tabs>
      </w:pPr>
      <w:rPr>
        <w:rFonts w:hint="eastAsia"/>
      </w:rPr>
    </w:lvl>
  </w:abstractNum>
  <w:abstractNum w:abstractNumId="1">
    <w:nsid w:val="CD769F89"/>
    <w:multiLevelType w:val="singleLevel"/>
    <w:tmpl w:val="CD769F89"/>
    <w:lvl w:ilvl="0" w:tentative="0">
      <w:start w:val="1"/>
      <w:numFmt w:val="decimal"/>
      <w:suff w:val="nothing"/>
      <w:lvlText w:val="%1、"/>
      <w:lvlJc w:val="left"/>
    </w:lvl>
  </w:abstractNum>
  <w:abstractNum w:abstractNumId="2">
    <w:nsid w:val="3E87112D"/>
    <w:multiLevelType w:val="singleLevel"/>
    <w:tmpl w:val="3E87112D"/>
    <w:lvl w:ilvl="0" w:tentative="0">
      <w:start w:val="1"/>
      <w:numFmt w:val="none"/>
      <w:pStyle w:val="3"/>
      <w:lvlText w:val=""/>
      <w:lvlJc w:val="left"/>
      <w:pPr>
        <w:tabs>
          <w:tab w:val="left" w:pos="1080"/>
        </w:tabs>
        <w:ind w:left="1080" w:hanging="405"/>
      </w:pPr>
      <w:rPr>
        <w:rFonts w:hint="eastAsia" w:cs="Times New Roman"/>
      </w:rPr>
    </w:lvl>
  </w:abstractNum>
  <w:abstractNum w:abstractNumId="3">
    <w:nsid w:val="58773033"/>
    <w:multiLevelType w:val="singleLevel"/>
    <w:tmpl w:val="58773033"/>
    <w:lvl w:ilvl="0" w:tentative="0">
      <w:start w:val="7"/>
      <w:numFmt w:val="chineseCounting"/>
      <w:suff w:val="nothing"/>
      <w:lvlText w:val="%1、"/>
      <w:lvlJc w:val="left"/>
      <w:rPr>
        <w:rFonts w:cs="Times New Roman"/>
      </w:rPr>
    </w:lvl>
  </w:abstractNum>
  <w:abstractNum w:abstractNumId="4">
    <w:nsid w:val="58773485"/>
    <w:multiLevelType w:val="singleLevel"/>
    <w:tmpl w:val="58773485"/>
    <w:lvl w:ilvl="0" w:tentative="0">
      <w:start w:val="6"/>
      <w:numFmt w:val="chineseCounting"/>
      <w:suff w:val="nothing"/>
      <w:lvlText w:val="%1、"/>
      <w:lvlJc w:val="left"/>
      <w:rPr>
        <w:rFonts w:cs="Times New Roman"/>
      </w:rPr>
    </w:lvl>
  </w:abstractNum>
  <w:abstractNum w:abstractNumId="5">
    <w:nsid w:val="5B4FD9FC"/>
    <w:multiLevelType w:val="singleLevel"/>
    <w:tmpl w:val="5B4FD9FC"/>
    <w:lvl w:ilvl="0" w:tentative="0">
      <w:start w:val="1"/>
      <w:numFmt w:val="decimal"/>
      <w:suff w:val="nothing"/>
      <w:lvlText w:val="%1、"/>
      <w:lvlJc w:val="left"/>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32652CEC"/>
    <w:rsid w:val="000123A4"/>
    <w:rsid w:val="00093A6B"/>
    <w:rsid w:val="00130B06"/>
    <w:rsid w:val="001573AD"/>
    <w:rsid w:val="00272444"/>
    <w:rsid w:val="00281E49"/>
    <w:rsid w:val="00287497"/>
    <w:rsid w:val="002A378C"/>
    <w:rsid w:val="00342CD0"/>
    <w:rsid w:val="00345A97"/>
    <w:rsid w:val="003975AC"/>
    <w:rsid w:val="003A02EE"/>
    <w:rsid w:val="004338DD"/>
    <w:rsid w:val="004A5525"/>
    <w:rsid w:val="005462D2"/>
    <w:rsid w:val="00700003"/>
    <w:rsid w:val="007441D1"/>
    <w:rsid w:val="00795E04"/>
    <w:rsid w:val="00802366"/>
    <w:rsid w:val="0082114B"/>
    <w:rsid w:val="00887A11"/>
    <w:rsid w:val="008B07FB"/>
    <w:rsid w:val="008C5AFA"/>
    <w:rsid w:val="008E626E"/>
    <w:rsid w:val="00936DCE"/>
    <w:rsid w:val="009F4021"/>
    <w:rsid w:val="00A306CB"/>
    <w:rsid w:val="00A40229"/>
    <w:rsid w:val="00A63804"/>
    <w:rsid w:val="00AC2ACE"/>
    <w:rsid w:val="00B34A43"/>
    <w:rsid w:val="00BB51EF"/>
    <w:rsid w:val="00BD79DB"/>
    <w:rsid w:val="00C233B1"/>
    <w:rsid w:val="00CD387A"/>
    <w:rsid w:val="00CD60F4"/>
    <w:rsid w:val="00CF2CBA"/>
    <w:rsid w:val="00D86F79"/>
    <w:rsid w:val="00E04EDE"/>
    <w:rsid w:val="00E6339F"/>
    <w:rsid w:val="00EA6A01"/>
    <w:rsid w:val="00EA746C"/>
    <w:rsid w:val="00F10948"/>
    <w:rsid w:val="00F33C6A"/>
    <w:rsid w:val="015E31C6"/>
    <w:rsid w:val="01645BBC"/>
    <w:rsid w:val="01692609"/>
    <w:rsid w:val="01740A3E"/>
    <w:rsid w:val="01AA37B6"/>
    <w:rsid w:val="01E947E0"/>
    <w:rsid w:val="025E6B03"/>
    <w:rsid w:val="028A077A"/>
    <w:rsid w:val="02A64F1F"/>
    <w:rsid w:val="02A83CF3"/>
    <w:rsid w:val="02F324A6"/>
    <w:rsid w:val="030E6A93"/>
    <w:rsid w:val="03883C48"/>
    <w:rsid w:val="039946DB"/>
    <w:rsid w:val="04211B04"/>
    <w:rsid w:val="044115C5"/>
    <w:rsid w:val="044943EA"/>
    <w:rsid w:val="04841371"/>
    <w:rsid w:val="054F5AF7"/>
    <w:rsid w:val="05D954E1"/>
    <w:rsid w:val="06401ABF"/>
    <w:rsid w:val="065341F5"/>
    <w:rsid w:val="06A11826"/>
    <w:rsid w:val="072E6AC7"/>
    <w:rsid w:val="075922F0"/>
    <w:rsid w:val="077C614B"/>
    <w:rsid w:val="078C1DE2"/>
    <w:rsid w:val="07991E15"/>
    <w:rsid w:val="07BB383B"/>
    <w:rsid w:val="082E2B72"/>
    <w:rsid w:val="0895366B"/>
    <w:rsid w:val="089E72F7"/>
    <w:rsid w:val="08FF6141"/>
    <w:rsid w:val="094B445A"/>
    <w:rsid w:val="09574CE1"/>
    <w:rsid w:val="0970589C"/>
    <w:rsid w:val="09D52C55"/>
    <w:rsid w:val="09E10EA1"/>
    <w:rsid w:val="0A091238"/>
    <w:rsid w:val="0A4B42C2"/>
    <w:rsid w:val="0B00365B"/>
    <w:rsid w:val="0B0D4D5E"/>
    <w:rsid w:val="0B0D78B1"/>
    <w:rsid w:val="0B7B5AAA"/>
    <w:rsid w:val="0BC127C6"/>
    <w:rsid w:val="0BD12C93"/>
    <w:rsid w:val="0C4E4654"/>
    <w:rsid w:val="0C531AD5"/>
    <w:rsid w:val="0C814FB5"/>
    <w:rsid w:val="0C8E348A"/>
    <w:rsid w:val="0DD47503"/>
    <w:rsid w:val="0E8621B4"/>
    <w:rsid w:val="0E931439"/>
    <w:rsid w:val="0EAE08A7"/>
    <w:rsid w:val="0F2C2CE5"/>
    <w:rsid w:val="0F3D3EBD"/>
    <w:rsid w:val="0F4B1F07"/>
    <w:rsid w:val="0F9561D2"/>
    <w:rsid w:val="0FB81DD6"/>
    <w:rsid w:val="0FBD7731"/>
    <w:rsid w:val="10E52D05"/>
    <w:rsid w:val="112D386C"/>
    <w:rsid w:val="1134046C"/>
    <w:rsid w:val="114A2CBC"/>
    <w:rsid w:val="11D66482"/>
    <w:rsid w:val="11F23BF6"/>
    <w:rsid w:val="12216138"/>
    <w:rsid w:val="12832F24"/>
    <w:rsid w:val="12BB151C"/>
    <w:rsid w:val="12DD20C6"/>
    <w:rsid w:val="12F62AFA"/>
    <w:rsid w:val="132950AE"/>
    <w:rsid w:val="13564AE9"/>
    <w:rsid w:val="13905330"/>
    <w:rsid w:val="14802B16"/>
    <w:rsid w:val="14E63031"/>
    <w:rsid w:val="15226E0B"/>
    <w:rsid w:val="15E03809"/>
    <w:rsid w:val="160C0D5E"/>
    <w:rsid w:val="16941459"/>
    <w:rsid w:val="17892917"/>
    <w:rsid w:val="17C47241"/>
    <w:rsid w:val="18370F18"/>
    <w:rsid w:val="187A6BBF"/>
    <w:rsid w:val="18C343E3"/>
    <w:rsid w:val="18FF058F"/>
    <w:rsid w:val="192706BE"/>
    <w:rsid w:val="1952517C"/>
    <w:rsid w:val="195503F8"/>
    <w:rsid w:val="19614CD7"/>
    <w:rsid w:val="197256DC"/>
    <w:rsid w:val="19990CBA"/>
    <w:rsid w:val="19D20BB2"/>
    <w:rsid w:val="1A40114F"/>
    <w:rsid w:val="1A4B7B32"/>
    <w:rsid w:val="1ABF65D2"/>
    <w:rsid w:val="1ACB5E3E"/>
    <w:rsid w:val="1B75321B"/>
    <w:rsid w:val="1BB45412"/>
    <w:rsid w:val="1BD52968"/>
    <w:rsid w:val="1BE36682"/>
    <w:rsid w:val="1BF46631"/>
    <w:rsid w:val="1BFB6B9A"/>
    <w:rsid w:val="1C9C233E"/>
    <w:rsid w:val="1D4955A6"/>
    <w:rsid w:val="1D695546"/>
    <w:rsid w:val="1DA12F79"/>
    <w:rsid w:val="1DB76F7C"/>
    <w:rsid w:val="1DCF12EF"/>
    <w:rsid w:val="1E1B6F03"/>
    <w:rsid w:val="1EFD5C5C"/>
    <w:rsid w:val="1F442A3C"/>
    <w:rsid w:val="1F711D11"/>
    <w:rsid w:val="1FC07688"/>
    <w:rsid w:val="205468D9"/>
    <w:rsid w:val="206C7B45"/>
    <w:rsid w:val="214762BA"/>
    <w:rsid w:val="21F20E9D"/>
    <w:rsid w:val="222D7A3A"/>
    <w:rsid w:val="22661730"/>
    <w:rsid w:val="22EB0C62"/>
    <w:rsid w:val="231053FF"/>
    <w:rsid w:val="233B12F9"/>
    <w:rsid w:val="23411825"/>
    <w:rsid w:val="237C4E85"/>
    <w:rsid w:val="24090D6C"/>
    <w:rsid w:val="2420418B"/>
    <w:rsid w:val="24364055"/>
    <w:rsid w:val="24410196"/>
    <w:rsid w:val="24F44711"/>
    <w:rsid w:val="25AD106B"/>
    <w:rsid w:val="25C336E3"/>
    <w:rsid w:val="263D7A9B"/>
    <w:rsid w:val="26C547FA"/>
    <w:rsid w:val="26E4402A"/>
    <w:rsid w:val="278C00A1"/>
    <w:rsid w:val="28640A91"/>
    <w:rsid w:val="2901311F"/>
    <w:rsid w:val="290D168C"/>
    <w:rsid w:val="2988145C"/>
    <w:rsid w:val="2A44217A"/>
    <w:rsid w:val="2AA34866"/>
    <w:rsid w:val="2AB8315D"/>
    <w:rsid w:val="2B63370E"/>
    <w:rsid w:val="2B86632C"/>
    <w:rsid w:val="2C7C0E76"/>
    <w:rsid w:val="2CA57952"/>
    <w:rsid w:val="2DC40F7C"/>
    <w:rsid w:val="2E007074"/>
    <w:rsid w:val="2E5B0B6E"/>
    <w:rsid w:val="2EF24128"/>
    <w:rsid w:val="2EF374D8"/>
    <w:rsid w:val="30287D12"/>
    <w:rsid w:val="30AC7F07"/>
    <w:rsid w:val="30E0729F"/>
    <w:rsid w:val="312F7525"/>
    <w:rsid w:val="31E756CA"/>
    <w:rsid w:val="320A4D54"/>
    <w:rsid w:val="32652CEC"/>
    <w:rsid w:val="329516B1"/>
    <w:rsid w:val="331D62CA"/>
    <w:rsid w:val="331F02F9"/>
    <w:rsid w:val="332B14F4"/>
    <w:rsid w:val="333D1605"/>
    <w:rsid w:val="33537388"/>
    <w:rsid w:val="33BB41D8"/>
    <w:rsid w:val="34B62B0C"/>
    <w:rsid w:val="352E68D6"/>
    <w:rsid w:val="35510538"/>
    <w:rsid w:val="358B6853"/>
    <w:rsid w:val="359306D7"/>
    <w:rsid w:val="36D7093B"/>
    <w:rsid w:val="36F95D06"/>
    <w:rsid w:val="373B0A92"/>
    <w:rsid w:val="37512F47"/>
    <w:rsid w:val="37544CE2"/>
    <w:rsid w:val="375D7127"/>
    <w:rsid w:val="37EF546B"/>
    <w:rsid w:val="37FA13DE"/>
    <w:rsid w:val="3804703C"/>
    <w:rsid w:val="38E54C64"/>
    <w:rsid w:val="39236755"/>
    <w:rsid w:val="393B018A"/>
    <w:rsid w:val="3A38378D"/>
    <w:rsid w:val="3A601830"/>
    <w:rsid w:val="3AE678AD"/>
    <w:rsid w:val="3AFE388C"/>
    <w:rsid w:val="3B0759C0"/>
    <w:rsid w:val="3B3A5420"/>
    <w:rsid w:val="3B681795"/>
    <w:rsid w:val="3C217BCF"/>
    <w:rsid w:val="3C68390F"/>
    <w:rsid w:val="3C820119"/>
    <w:rsid w:val="3DA87C18"/>
    <w:rsid w:val="3DCC538B"/>
    <w:rsid w:val="3E187F50"/>
    <w:rsid w:val="3EE33EF1"/>
    <w:rsid w:val="3F4B5F18"/>
    <w:rsid w:val="3FA1133D"/>
    <w:rsid w:val="40A06D85"/>
    <w:rsid w:val="41422DF1"/>
    <w:rsid w:val="41A307FE"/>
    <w:rsid w:val="420A6E77"/>
    <w:rsid w:val="429526AB"/>
    <w:rsid w:val="42DF6E8D"/>
    <w:rsid w:val="43226061"/>
    <w:rsid w:val="433B22D3"/>
    <w:rsid w:val="43606B7E"/>
    <w:rsid w:val="436E3E99"/>
    <w:rsid w:val="43831C37"/>
    <w:rsid w:val="43CE6A6A"/>
    <w:rsid w:val="446575CE"/>
    <w:rsid w:val="45197BD3"/>
    <w:rsid w:val="454C3ED7"/>
    <w:rsid w:val="4597553F"/>
    <w:rsid w:val="45F13A63"/>
    <w:rsid w:val="47EB3365"/>
    <w:rsid w:val="4846657E"/>
    <w:rsid w:val="48696C39"/>
    <w:rsid w:val="488170A2"/>
    <w:rsid w:val="48E96C08"/>
    <w:rsid w:val="48F44255"/>
    <w:rsid w:val="49254C63"/>
    <w:rsid w:val="495612DF"/>
    <w:rsid w:val="49C811B9"/>
    <w:rsid w:val="4A04646A"/>
    <w:rsid w:val="4BFA0833"/>
    <w:rsid w:val="4C134F66"/>
    <w:rsid w:val="4C2C0B1C"/>
    <w:rsid w:val="4C5635FB"/>
    <w:rsid w:val="4D0A702E"/>
    <w:rsid w:val="4D0C40F4"/>
    <w:rsid w:val="4DB556A7"/>
    <w:rsid w:val="4DB753D3"/>
    <w:rsid w:val="4E051558"/>
    <w:rsid w:val="4E5B0884"/>
    <w:rsid w:val="4E9910B9"/>
    <w:rsid w:val="4EB71549"/>
    <w:rsid w:val="4ED45D23"/>
    <w:rsid w:val="4F281CCB"/>
    <w:rsid w:val="4F617919"/>
    <w:rsid w:val="4F987782"/>
    <w:rsid w:val="50212CC7"/>
    <w:rsid w:val="50C209B0"/>
    <w:rsid w:val="50DC5F4B"/>
    <w:rsid w:val="5110065E"/>
    <w:rsid w:val="511C792A"/>
    <w:rsid w:val="512C7862"/>
    <w:rsid w:val="51815009"/>
    <w:rsid w:val="51F3588A"/>
    <w:rsid w:val="51FD2BFB"/>
    <w:rsid w:val="52787292"/>
    <w:rsid w:val="52DE494A"/>
    <w:rsid w:val="53415CA7"/>
    <w:rsid w:val="537847C4"/>
    <w:rsid w:val="538662C8"/>
    <w:rsid w:val="538E25B9"/>
    <w:rsid w:val="53D02DBE"/>
    <w:rsid w:val="544C4041"/>
    <w:rsid w:val="545610D0"/>
    <w:rsid w:val="547E1832"/>
    <w:rsid w:val="56032DDC"/>
    <w:rsid w:val="561C201E"/>
    <w:rsid w:val="5659688F"/>
    <w:rsid w:val="56A10350"/>
    <w:rsid w:val="572473EA"/>
    <w:rsid w:val="573D1B25"/>
    <w:rsid w:val="57920C49"/>
    <w:rsid w:val="57C77B3C"/>
    <w:rsid w:val="58881096"/>
    <w:rsid w:val="589E2E08"/>
    <w:rsid w:val="58DD5860"/>
    <w:rsid w:val="593A6277"/>
    <w:rsid w:val="59592FB0"/>
    <w:rsid w:val="59CC5F77"/>
    <w:rsid w:val="59FF5492"/>
    <w:rsid w:val="5AAF1DE5"/>
    <w:rsid w:val="5AB4205A"/>
    <w:rsid w:val="5ACA1B05"/>
    <w:rsid w:val="5AEA0E36"/>
    <w:rsid w:val="5B444CD7"/>
    <w:rsid w:val="5B894243"/>
    <w:rsid w:val="5C141949"/>
    <w:rsid w:val="5C33682C"/>
    <w:rsid w:val="5C6C58AA"/>
    <w:rsid w:val="5C7E3142"/>
    <w:rsid w:val="5D1F114C"/>
    <w:rsid w:val="5DC5509F"/>
    <w:rsid w:val="5DCF3A19"/>
    <w:rsid w:val="5DD44146"/>
    <w:rsid w:val="5E344BC3"/>
    <w:rsid w:val="5E667E4D"/>
    <w:rsid w:val="5E98435F"/>
    <w:rsid w:val="5E9F7984"/>
    <w:rsid w:val="5F9F1B98"/>
    <w:rsid w:val="5FCD62C8"/>
    <w:rsid w:val="5FF25FD0"/>
    <w:rsid w:val="61162FCA"/>
    <w:rsid w:val="614D2B59"/>
    <w:rsid w:val="61753CA8"/>
    <w:rsid w:val="61E91FBD"/>
    <w:rsid w:val="62587AD7"/>
    <w:rsid w:val="63B744D6"/>
    <w:rsid w:val="63D6052F"/>
    <w:rsid w:val="652C4270"/>
    <w:rsid w:val="652E5C17"/>
    <w:rsid w:val="657E4C8F"/>
    <w:rsid w:val="65E93A45"/>
    <w:rsid w:val="66D044BD"/>
    <w:rsid w:val="66EF66D3"/>
    <w:rsid w:val="68354CF8"/>
    <w:rsid w:val="68420F56"/>
    <w:rsid w:val="68B622CA"/>
    <w:rsid w:val="69B214FB"/>
    <w:rsid w:val="6A8566A3"/>
    <w:rsid w:val="6B2E3B2C"/>
    <w:rsid w:val="6B422D03"/>
    <w:rsid w:val="6BAC2880"/>
    <w:rsid w:val="6BF73B14"/>
    <w:rsid w:val="6C3C5C10"/>
    <w:rsid w:val="6C406133"/>
    <w:rsid w:val="6CA66E7D"/>
    <w:rsid w:val="6CAA7DDB"/>
    <w:rsid w:val="6CC7638F"/>
    <w:rsid w:val="6CCB4EBD"/>
    <w:rsid w:val="6CE00529"/>
    <w:rsid w:val="6D642B90"/>
    <w:rsid w:val="6DDC0A2C"/>
    <w:rsid w:val="6E0E5569"/>
    <w:rsid w:val="6E39735E"/>
    <w:rsid w:val="6EE75D89"/>
    <w:rsid w:val="709E2068"/>
    <w:rsid w:val="70EE0763"/>
    <w:rsid w:val="717A73CF"/>
    <w:rsid w:val="71BD468B"/>
    <w:rsid w:val="71F70712"/>
    <w:rsid w:val="72166217"/>
    <w:rsid w:val="72B3387A"/>
    <w:rsid w:val="72E31638"/>
    <w:rsid w:val="72E51544"/>
    <w:rsid w:val="735F24B9"/>
    <w:rsid w:val="74250FCE"/>
    <w:rsid w:val="74BB427E"/>
    <w:rsid w:val="74C46B8A"/>
    <w:rsid w:val="7535315B"/>
    <w:rsid w:val="754F685E"/>
    <w:rsid w:val="756D2844"/>
    <w:rsid w:val="75A01ABB"/>
    <w:rsid w:val="75C3650E"/>
    <w:rsid w:val="75EA386B"/>
    <w:rsid w:val="761843FD"/>
    <w:rsid w:val="764B0D01"/>
    <w:rsid w:val="76F40CD6"/>
    <w:rsid w:val="77E467A6"/>
    <w:rsid w:val="77F53955"/>
    <w:rsid w:val="77FB19AF"/>
    <w:rsid w:val="785928D7"/>
    <w:rsid w:val="7897066E"/>
    <w:rsid w:val="78A22CBB"/>
    <w:rsid w:val="798121AB"/>
    <w:rsid w:val="79DE1494"/>
    <w:rsid w:val="7A4361C7"/>
    <w:rsid w:val="7A4E27F4"/>
    <w:rsid w:val="7A87321D"/>
    <w:rsid w:val="7AC07388"/>
    <w:rsid w:val="7BA17094"/>
    <w:rsid w:val="7BB53201"/>
    <w:rsid w:val="7C2F31B2"/>
    <w:rsid w:val="7C382394"/>
    <w:rsid w:val="7C5B0A53"/>
    <w:rsid w:val="7C8F4D2C"/>
    <w:rsid w:val="7CA96770"/>
    <w:rsid w:val="7D1719B4"/>
    <w:rsid w:val="7D3F12F6"/>
    <w:rsid w:val="7D662C30"/>
    <w:rsid w:val="7DC84D08"/>
    <w:rsid w:val="7E005F42"/>
    <w:rsid w:val="7E6B4EBE"/>
    <w:rsid w:val="7E97171B"/>
    <w:rsid w:val="7EC365CA"/>
    <w:rsid w:val="7ED36C77"/>
    <w:rsid w:val="7EF54834"/>
    <w:rsid w:val="7F124DCD"/>
    <w:rsid w:val="7F3C1CD3"/>
    <w:rsid w:val="7F74248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qFormat="1" w:unhideWhenUsed="0" w:uiPriority="0" w:semiHidden="0"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80" w:lineRule="exact"/>
      <w:ind w:firstLine="1385" w:firstLineChars="200"/>
      <w:jc w:val="both"/>
    </w:pPr>
    <w:rPr>
      <w:rFonts w:ascii="Calibri" w:hAnsi="Calibri" w:eastAsia="华文中宋" w:cs="Times New Roman"/>
      <w:kern w:val="2"/>
      <w:sz w:val="24"/>
      <w:szCs w:val="22"/>
      <w:lang w:val="en-US" w:eastAsia="zh-CN" w:bidi="ar-SA"/>
    </w:rPr>
  </w:style>
  <w:style w:type="paragraph" w:styleId="2">
    <w:name w:val="heading 1"/>
    <w:basedOn w:val="1"/>
    <w:next w:val="1"/>
    <w:link w:val="20"/>
    <w:qFormat/>
    <w:uiPriority w:val="99"/>
    <w:pPr>
      <w:keepNext/>
      <w:keepLines/>
      <w:spacing w:beforeLines="50" w:afterLines="50"/>
      <w:ind w:firstLine="0" w:firstLineChars="0"/>
      <w:jc w:val="center"/>
      <w:outlineLvl w:val="0"/>
    </w:pPr>
    <w:rPr>
      <w:b/>
      <w:spacing w:val="34"/>
      <w:kern w:val="44"/>
      <w:sz w:val="32"/>
    </w:rPr>
  </w:style>
  <w:style w:type="paragraph" w:styleId="3">
    <w:name w:val="heading 2"/>
    <w:basedOn w:val="1"/>
    <w:next w:val="4"/>
    <w:link w:val="21"/>
    <w:qFormat/>
    <w:uiPriority w:val="99"/>
    <w:pPr>
      <w:keepNext/>
      <w:numPr>
        <w:ilvl w:val="0"/>
        <w:numId w:val="1"/>
      </w:numPr>
      <w:tabs>
        <w:tab w:val="clear" w:pos="1080"/>
      </w:tabs>
      <w:autoSpaceDE w:val="0"/>
      <w:autoSpaceDN w:val="0"/>
      <w:adjustRightInd w:val="0"/>
      <w:ind w:left="0" w:firstLine="0" w:firstLineChars="0"/>
      <w:jc w:val="left"/>
      <w:textAlignment w:val="baseline"/>
      <w:outlineLvl w:val="1"/>
    </w:pPr>
    <w:rPr>
      <w:rFonts w:ascii="楷体_GB2312" w:hAnsi="楷体_GB2312"/>
      <w:b/>
      <w:kern w:val="0"/>
    </w:rPr>
  </w:style>
  <w:style w:type="paragraph" w:styleId="5">
    <w:name w:val="heading 3"/>
    <w:basedOn w:val="1"/>
    <w:next w:val="1"/>
    <w:link w:val="22"/>
    <w:qFormat/>
    <w:uiPriority w:val="99"/>
    <w:pPr>
      <w:keepNext/>
      <w:keepLines/>
      <w:spacing w:before="260" w:after="260" w:line="416" w:lineRule="auto"/>
      <w:outlineLvl w:val="2"/>
    </w:pPr>
    <w:rPr>
      <w:b/>
      <w:bCs/>
      <w:sz w:val="32"/>
      <w:szCs w:val="32"/>
    </w:rPr>
  </w:style>
  <w:style w:type="character" w:default="1" w:styleId="18">
    <w:name w:val="Default Paragraph Font"/>
    <w:semiHidden/>
    <w:qFormat/>
    <w:uiPriority w:val="99"/>
  </w:style>
  <w:style w:type="table" w:default="1" w:styleId="16">
    <w:name w:val="Normal Table"/>
    <w:unhideWhenUsed/>
    <w:qFormat/>
    <w:uiPriority w:val="99"/>
    <w:tblPr>
      <w:tblCellMar>
        <w:top w:w="0" w:type="dxa"/>
        <w:left w:w="108" w:type="dxa"/>
        <w:bottom w:w="0" w:type="dxa"/>
        <w:right w:w="108" w:type="dxa"/>
      </w:tblCellMar>
    </w:tblPr>
  </w:style>
  <w:style w:type="paragraph" w:styleId="4">
    <w:name w:val="Normal Indent"/>
    <w:basedOn w:val="1"/>
    <w:qFormat/>
    <w:uiPriority w:val="99"/>
    <w:pPr>
      <w:ind w:firstLine="420"/>
    </w:pPr>
  </w:style>
  <w:style w:type="paragraph" w:styleId="6">
    <w:name w:val="caption"/>
    <w:basedOn w:val="1"/>
    <w:next w:val="1"/>
    <w:qFormat/>
    <w:uiPriority w:val="99"/>
    <w:rPr>
      <w:rFonts w:ascii="Arial" w:hAnsi="Arial" w:eastAsia="黑体" w:cs="Arial"/>
      <w:sz w:val="20"/>
    </w:rPr>
  </w:style>
  <w:style w:type="paragraph" w:styleId="7">
    <w:name w:val="toc 3"/>
    <w:basedOn w:val="1"/>
    <w:next w:val="1"/>
    <w:qFormat/>
    <w:uiPriority w:val="99"/>
    <w:pPr>
      <w:tabs>
        <w:tab w:val="right" w:leader="dot" w:pos="8494"/>
      </w:tabs>
      <w:ind w:left="960" w:leftChars="400"/>
    </w:pPr>
    <w:rPr>
      <w:rFonts w:eastAsia="仿宋_GB2312"/>
      <w:bCs/>
      <w:sz w:val="28"/>
      <w:szCs w:val="28"/>
    </w:rPr>
  </w:style>
  <w:style w:type="paragraph" w:styleId="8">
    <w:name w:val="Plain Text"/>
    <w:basedOn w:val="1"/>
    <w:link w:val="23"/>
    <w:qFormat/>
    <w:uiPriority w:val="99"/>
    <w:rPr>
      <w:rFonts w:ascii="宋体" w:hAnsi="Courier New"/>
      <w:sz w:val="21"/>
    </w:rPr>
  </w:style>
  <w:style w:type="paragraph" w:styleId="9">
    <w:name w:val="Body Text Indent 2"/>
    <w:basedOn w:val="1"/>
    <w:qFormat/>
    <w:locked/>
    <w:uiPriority w:val="0"/>
    <w:pPr>
      <w:spacing w:line="760" w:lineRule="exact"/>
      <w:ind w:left="960" w:firstLine="518" w:firstLineChars="162"/>
    </w:pPr>
  </w:style>
  <w:style w:type="paragraph" w:styleId="10">
    <w:name w:val="Balloon Text"/>
    <w:basedOn w:val="1"/>
    <w:link w:val="24"/>
    <w:semiHidden/>
    <w:qFormat/>
    <w:uiPriority w:val="99"/>
    <w:rPr>
      <w:sz w:val="18"/>
      <w:szCs w:val="18"/>
    </w:rPr>
  </w:style>
  <w:style w:type="paragraph" w:styleId="11">
    <w:name w:val="footer"/>
    <w:basedOn w:val="1"/>
    <w:link w:val="25"/>
    <w:qFormat/>
    <w:uiPriority w:val="99"/>
    <w:pPr>
      <w:tabs>
        <w:tab w:val="center" w:pos="4153"/>
        <w:tab w:val="right" w:pos="8306"/>
      </w:tabs>
      <w:snapToGrid w:val="0"/>
      <w:jc w:val="left"/>
    </w:pPr>
    <w:rPr>
      <w:sz w:val="18"/>
    </w:rPr>
  </w:style>
  <w:style w:type="paragraph" w:styleId="12">
    <w:name w:val="header"/>
    <w:basedOn w:val="1"/>
    <w:link w:val="26"/>
    <w:qFormat/>
    <w:uiPriority w:val="99"/>
    <w:pPr>
      <w:pBdr>
        <w:bottom w:val="single" w:color="auto" w:sz="6" w:space="1"/>
      </w:pBdr>
      <w:tabs>
        <w:tab w:val="center" w:pos="4153"/>
        <w:tab w:val="right" w:pos="8306"/>
      </w:tabs>
      <w:snapToGrid w:val="0"/>
      <w:jc w:val="center"/>
    </w:pPr>
    <w:rPr>
      <w:sz w:val="18"/>
    </w:rPr>
  </w:style>
  <w:style w:type="paragraph" w:styleId="13">
    <w:name w:val="toc 1"/>
    <w:basedOn w:val="1"/>
    <w:next w:val="1"/>
    <w:qFormat/>
    <w:uiPriority w:val="99"/>
    <w:pPr>
      <w:tabs>
        <w:tab w:val="right" w:leader="dot" w:pos="9176"/>
      </w:tabs>
      <w:ind w:firstLine="560"/>
    </w:pPr>
    <w:rPr>
      <w:b/>
      <w:bCs/>
      <w:sz w:val="28"/>
      <w:szCs w:val="28"/>
    </w:rPr>
  </w:style>
  <w:style w:type="paragraph" w:styleId="14">
    <w:name w:val="toc 2"/>
    <w:basedOn w:val="1"/>
    <w:next w:val="1"/>
    <w:qFormat/>
    <w:uiPriority w:val="99"/>
    <w:pPr>
      <w:tabs>
        <w:tab w:val="right" w:leader="dot" w:pos="8494"/>
      </w:tabs>
      <w:ind w:left="480" w:leftChars="200"/>
    </w:pPr>
    <w:rPr>
      <w:rFonts w:ascii="仿宋_GB2312" w:eastAsia="仿宋_GB2312"/>
      <w:iCs/>
      <w:sz w:val="28"/>
      <w:szCs w:val="28"/>
    </w:rPr>
  </w:style>
  <w:style w:type="paragraph" w:styleId="15">
    <w:name w:val="Normal (Web)"/>
    <w:basedOn w:val="1"/>
    <w:qFormat/>
    <w:uiPriority w:val="99"/>
    <w:pPr>
      <w:widowControl/>
      <w:spacing w:beforeAutospacing="1" w:afterAutospacing="1"/>
      <w:jc w:val="left"/>
    </w:pPr>
    <w:rPr>
      <w:rFonts w:ascii="宋体" w:hAnsi="宋体" w:cs="宋体"/>
      <w:kern w:val="0"/>
    </w:rPr>
  </w:style>
  <w:style w:type="table" w:styleId="17">
    <w:name w:val="Table Grid"/>
    <w:basedOn w:val="16"/>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Hyperlink"/>
    <w:basedOn w:val="18"/>
    <w:qFormat/>
    <w:uiPriority w:val="99"/>
    <w:rPr>
      <w:rFonts w:cs="Times New Roman"/>
      <w:color w:val="0000FF"/>
      <w:u w:val="single"/>
    </w:rPr>
  </w:style>
  <w:style w:type="character" w:customStyle="1" w:styleId="20">
    <w:name w:val="Heading 1 Char"/>
    <w:basedOn w:val="18"/>
    <w:link w:val="2"/>
    <w:qFormat/>
    <w:uiPriority w:val="9"/>
    <w:rPr>
      <w:rFonts w:ascii="Calibri" w:hAnsi="Calibri" w:eastAsia="华文中宋"/>
      <w:b/>
      <w:bCs/>
      <w:kern w:val="44"/>
      <w:sz w:val="44"/>
      <w:szCs w:val="44"/>
    </w:rPr>
  </w:style>
  <w:style w:type="character" w:customStyle="1" w:styleId="21">
    <w:name w:val="Heading 2 Char"/>
    <w:basedOn w:val="18"/>
    <w:link w:val="3"/>
    <w:semiHidden/>
    <w:qFormat/>
    <w:locked/>
    <w:uiPriority w:val="99"/>
    <w:rPr>
      <w:rFonts w:ascii="Cambria" w:hAnsi="楷体_GB2312" w:eastAsia="华文中宋" w:cs="Times New Roman"/>
      <w:b/>
      <w:bCs/>
      <w:sz w:val="32"/>
      <w:szCs w:val="32"/>
    </w:rPr>
  </w:style>
  <w:style w:type="character" w:customStyle="1" w:styleId="22">
    <w:name w:val="Heading 3 Char"/>
    <w:basedOn w:val="18"/>
    <w:link w:val="5"/>
    <w:semiHidden/>
    <w:qFormat/>
    <w:locked/>
    <w:uiPriority w:val="99"/>
    <w:rPr>
      <w:rFonts w:ascii="Calibri" w:hAnsi="Calibri" w:cs="Times New Roman"/>
      <w:b/>
      <w:bCs/>
      <w:sz w:val="32"/>
      <w:szCs w:val="32"/>
    </w:rPr>
  </w:style>
  <w:style w:type="character" w:customStyle="1" w:styleId="23">
    <w:name w:val="Plain Text Char"/>
    <w:basedOn w:val="18"/>
    <w:link w:val="8"/>
    <w:semiHidden/>
    <w:qFormat/>
    <w:locked/>
    <w:uiPriority w:val="99"/>
    <w:rPr>
      <w:rFonts w:ascii="宋体" w:hAnsi="Courier New" w:cs="Courier New"/>
      <w:sz w:val="21"/>
      <w:szCs w:val="21"/>
    </w:rPr>
  </w:style>
  <w:style w:type="character" w:customStyle="1" w:styleId="24">
    <w:name w:val="Balloon Text Char"/>
    <w:basedOn w:val="18"/>
    <w:link w:val="10"/>
    <w:semiHidden/>
    <w:qFormat/>
    <w:locked/>
    <w:uiPriority w:val="99"/>
    <w:rPr>
      <w:rFonts w:ascii="Calibri" w:hAnsi="Calibri" w:cs="Times New Roman"/>
      <w:sz w:val="2"/>
    </w:rPr>
  </w:style>
  <w:style w:type="character" w:customStyle="1" w:styleId="25">
    <w:name w:val="Footer Char"/>
    <w:basedOn w:val="18"/>
    <w:link w:val="11"/>
    <w:semiHidden/>
    <w:qFormat/>
    <w:locked/>
    <w:uiPriority w:val="99"/>
    <w:rPr>
      <w:rFonts w:ascii="Calibri" w:hAnsi="Calibri" w:cs="Times New Roman"/>
      <w:sz w:val="18"/>
      <w:szCs w:val="18"/>
    </w:rPr>
  </w:style>
  <w:style w:type="character" w:customStyle="1" w:styleId="26">
    <w:name w:val="Header Char"/>
    <w:basedOn w:val="18"/>
    <w:link w:val="12"/>
    <w:semiHidden/>
    <w:qFormat/>
    <w:locked/>
    <w:uiPriority w:val="99"/>
    <w:rPr>
      <w:rFonts w:ascii="Calibri" w:hAnsi="Calibri" w:cs="Times New Roman"/>
      <w:sz w:val="18"/>
      <w:szCs w:val="18"/>
    </w:rPr>
  </w:style>
  <w:style w:type="paragraph" w:customStyle="1" w:styleId="27">
    <w:name w:val="Char Char Char"/>
    <w:basedOn w:val="1"/>
    <w:qFormat/>
    <w:uiPriority w:val="99"/>
    <w:pPr>
      <w:widowControl/>
      <w:spacing w:line="240" w:lineRule="exact"/>
      <w:jc w:val="left"/>
    </w:pPr>
    <w:rPr>
      <w:sz w:val="21"/>
      <w:szCs w:val="20"/>
    </w:rPr>
  </w:style>
  <w:style w:type="paragraph" w:customStyle="1" w:styleId="28">
    <w:name w:val="24磅报告正文"/>
    <w:basedOn w:val="29"/>
    <w:qFormat/>
    <w:uiPriority w:val="99"/>
  </w:style>
  <w:style w:type="paragraph" w:customStyle="1" w:styleId="29">
    <w:name w:val="样式 纯文本 + (西文) Times New Roman (中文) 仿宋_GB2312 14 磅 行距: 固定值 28 ..."/>
    <w:basedOn w:val="8"/>
    <w:qFormat/>
    <w:uiPriority w:val="99"/>
    <w:pPr>
      <w:ind w:firstLine="200"/>
    </w:pPr>
    <w:rPr>
      <w:rFonts w:ascii="Times New Roman" w:hAnsi="Times New Roman" w:eastAsia="仿宋_GB2312" w:cs="宋体"/>
      <w:sz w:val="28"/>
    </w:rPr>
  </w:style>
  <w:style w:type="paragraph" w:customStyle="1" w:styleId="30">
    <w:name w:val="Plain Text1"/>
    <w:basedOn w:val="1"/>
    <w:qFormat/>
    <w:uiPriority w:val="99"/>
    <w:pPr>
      <w:adjustRightInd w:val="0"/>
      <w:textAlignment w:val="baseline"/>
    </w:pPr>
    <w:rPr>
      <w:rFonts w:ascii="宋体" w:hAnsi="Courier New"/>
      <w:sz w:val="21"/>
    </w:rPr>
  </w:style>
  <w:style w:type="character" w:customStyle="1" w:styleId="31">
    <w:name w:val="font11"/>
    <w:basedOn w:val="18"/>
    <w:qFormat/>
    <w:uiPriority w:val="99"/>
    <w:rPr>
      <w:rFonts w:ascii="华文中宋" w:hAnsi="华文中宋" w:eastAsia="华文中宋" w:cs="华文中宋"/>
      <w:b/>
      <w:color w:val="000000"/>
      <w:sz w:val="18"/>
      <w:szCs w:val="18"/>
      <w:u w:val="none"/>
    </w:rPr>
  </w:style>
  <w:style w:type="character" w:customStyle="1" w:styleId="32">
    <w:name w:val="font41"/>
    <w:basedOn w:val="18"/>
    <w:qFormat/>
    <w:uiPriority w:val="0"/>
    <w:rPr>
      <w:rFonts w:hint="default" w:ascii="Times New Roman" w:hAnsi="Times New Roman" w:cs="Times New Roman"/>
      <w:color w:val="000000"/>
      <w:sz w:val="18"/>
      <w:szCs w:val="18"/>
      <w:u w:val="none"/>
    </w:rPr>
  </w:style>
  <w:style w:type="character" w:customStyle="1" w:styleId="33">
    <w:name w:val="font31"/>
    <w:basedOn w:val="18"/>
    <w:qFormat/>
    <w:uiPriority w:val="0"/>
    <w:rPr>
      <w:rFonts w:hint="default" w:ascii="Times New Roman" w:hAnsi="Times New Roman" w:cs="Times New Roman"/>
      <w:color w:val="000000"/>
      <w:sz w:val="18"/>
      <w:szCs w:val="18"/>
      <w:u w:val="none"/>
      <w:vertAlign w:val="superscript"/>
    </w:rPr>
  </w:style>
  <w:style w:type="character" w:customStyle="1" w:styleId="34">
    <w:name w:val="font51"/>
    <w:basedOn w:val="18"/>
    <w:qFormat/>
    <w:uiPriority w:val="0"/>
    <w:rPr>
      <w:rFonts w:hint="eastAsia" w:ascii="华文中宋" w:hAnsi="华文中宋" w:eastAsia="华文中宋" w:cs="华文中宋"/>
      <w:color w:val="000000"/>
      <w:sz w:val="18"/>
      <w:szCs w:val="18"/>
      <w:u w:val="none"/>
    </w:rPr>
  </w:style>
  <w:style w:type="character" w:customStyle="1" w:styleId="35">
    <w:name w:val="font21"/>
    <w:basedOn w:val="18"/>
    <w:qFormat/>
    <w:uiPriority w:val="0"/>
    <w:rPr>
      <w:rFonts w:hint="default" w:ascii="Times New Roman" w:hAnsi="Times New Roman" w:cs="Times New Roman"/>
      <w:color w:val="000000"/>
      <w:sz w:val="18"/>
      <w:szCs w:val="18"/>
      <w:u w:val="none"/>
      <w:vertAlign w:val="superscript"/>
    </w:rPr>
  </w:style>
  <w:style w:type="character" w:customStyle="1" w:styleId="36">
    <w:name w:val="font01"/>
    <w:basedOn w:val="18"/>
    <w:qFormat/>
    <w:uiPriority w:val="0"/>
    <w:rPr>
      <w:rFonts w:hint="default" w:ascii="Times New Roman" w:hAnsi="Times New Roman" w:cs="Times New Roman"/>
      <w:color w:val="000000"/>
      <w:sz w:val="18"/>
      <w:szCs w:val="18"/>
      <w:u w:val="none"/>
      <w:vertAlign w:val="superscript"/>
    </w:rPr>
  </w:style>
  <w:style w:type="paragraph" w:customStyle="1" w:styleId="37">
    <w:name w:val="zw"/>
    <w:basedOn w:val="1"/>
    <w:qFormat/>
    <w:uiPriority w:val="0"/>
    <w:pPr>
      <w:adjustRightInd w:val="0"/>
      <w:spacing w:line="360" w:lineRule="auto"/>
      <w:ind w:firstLine="482"/>
      <w:textAlignment w:val="baseline"/>
    </w:pPr>
    <w:rPr>
      <w:rFonts w:ascii="Arial Narrow" w:hAnsi="Arial Narrow" w:eastAsia="仿宋_GB2312"/>
      <w:kern w:val="0"/>
      <w:sz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header" Target="header12.xml"/><Relationship Id="rId16" Type="http://schemas.openxmlformats.org/officeDocument/2006/relationships/header" Target="header11.xml"/><Relationship Id="rId15" Type="http://schemas.openxmlformats.org/officeDocument/2006/relationships/header" Target="header10.xml"/><Relationship Id="rId14" Type="http://schemas.openxmlformats.org/officeDocument/2006/relationships/header" Target="header9.xml"/><Relationship Id="rId13" Type="http://schemas.openxmlformats.org/officeDocument/2006/relationships/header" Target="header8.xml"/><Relationship Id="rId12" Type="http://schemas.openxmlformats.org/officeDocument/2006/relationships/header" Target="header7.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2054"/>
    <customShpInfo spid="_x0000_s2072"/>
    <customShpInfo spid="_x0000_s2064"/>
    <customShpInfo spid="_x0000_s2076"/>
    <customShpInfo spid="_x0000_s2079"/>
    <customShpInfo spid="_x0000_s2087"/>
    <customShpInfo spid="_x0000_s209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17</Pages>
  <Words>1592</Words>
  <Characters>9080</Characters>
  <Lines>0</Lines>
  <Paragraphs>0</Paragraphs>
  <TotalTime>38</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2016-11-22T04:36:00Z</dcterms:created>
  <dc:creator>Administrator</dc:creator>
  <cp:lastModifiedBy>A.小易</cp:lastModifiedBy>
  <cp:lastPrinted>2020-08-11T08:11:00Z</cp:lastPrinted>
  <dcterms:modified xsi:type="dcterms:W3CDTF">2020-08-31T06:00:25Z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