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color w:val="000000" w:themeColor="text1"/>
          <w:sz w:val="52"/>
          <w:szCs w:val="52"/>
        </w:rPr>
      </w:pPr>
    </w:p>
    <w:p>
      <w:pPr>
        <w:jc w:val="center"/>
        <w:rPr>
          <w:rFonts w:eastAsia="黑体"/>
          <w:b/>
          <w:color w:val="000000"/>
          <w:sz w:val="52"/>
          <w:szCs w:val="52"/>
        </w:rPr>
      </w:pPr>
      <w:r>
        <w:rPr>
          <w:rFonts w:hint="eastAsia" w:eastAsia="黑体"/>
          <w:b/>
          <w:color w:val="000000"/>
          <w:sz w:val="52"/>
          <w:szCs w:val="52"/>
        </w:rPr>
        <w:t>涉执</w:t>
      </w:r>
      <w:r>
        <w:rPr>
          <w:rFonts w:eastAsia="黑体"/>
          <w:b/>
          <w:color w:val="000000"/>
          <w:sz w:val="52"/>
          <w:szCs w:val="52"/>
        </w:rPr>
        <w:t>房地产</w:t>
      </w:r>
      <w:r>
        <w:rPr>
          <w:rFonts w:hint="eastAsia" w:eastAsia="黑体"/>
          <w:b/>
          <w:color w:val="000000"/>
          <w:sz w:val="52"/>
          <w:szCs w:val="52"/>
        </w:rPr>
        <w:t>处置司法</w:t>
      </w:r>
    </w:p>
    <w:p>
      <w:pPr>
        <w:jc w:val="center"/>
        <w:rPr>
          <w:rFonts w:eastAsia="黑体"/>
          <w:b/>
          <w:color w:val="000000"/>
          <w:sz w:val="52"/>
          <w:szCs w:val="52"/>
        </w:rPr>
      </w:pPr>
      <w:r>
        <w:rPr>
          <w:rFonts w:eastAsia="黑体"/>
          <w:b/>
          <w:color w:val="000000"/>
          <w:sz w:val="52"/>
          <w:szCs w:val="52"/>
        </w:rPr>
        <w:t>估价报告</w:t>
      </w:r>
    </w:p>
    <w:p>
      <w:pPr>
        <w:jc w:val="center"/>
        <w:rPr>
          <w:rFonts w:eastAsia="黑体"/>
          <w:b/>
          <w:color w:val="000000" w:themeColor="text1"/>
          <w:sz w:val="52"/>
          <w:szCs w:val="52"/>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估价项目名称：</w:t>
      </w:r>
      <w:r>
        <w:rPr>
          <w:rFonts w:hint="eastAsia"/>
          <w:color w:val="000000" w:themeColor="text1"/>
          <w:sz w:val="28"/>
          <w:szCs w:val="28"/>
        </w:rPr>
        <w:t>夏燕燕</w:t>
      </w:r>
      <w:r>
        <w:rPr>
          <w:color w:val="000000" w:themeColor="text1"/>
          <w:sz w:val="28"/>
          <w:szCs w:val="28"/>
        </w:rPr>
        <w:t>与</w:t>
      </w:r>
      <w:r>
        <w:rPr>
          <w:rFonts w:hint="eastAsia"/>
          <w:color w:val="000000"/>
          <w:sz w:val="28"/>
          <w:szCs w:val="28"/>
        </w:rPr>
        <w:t>张小春、</w:t>
      </w:r>
      <w:r>
        <w:rPr>
          <w:color w:val="000000"/>
          <w:sz w:val="28"/>
          <w:szCs w:val="28"/>
        </w:rPr>
        <w:t>张璕</w:t>
      </w:r>
      <w:r>
        <w:rPr>
          <w:rFonts w:hint="eastAsia"/>
          <w:color w:val="000000"/>
          <w:sz w:val="28"/>
          <w:szCs w:val="28"/>
        </w:rPr>
        <w:t>借款合同纠纷一案</w:t>
      </w:r>
      <w:r>
        <w:rPr>
          <w:color w:val="000000" w:themeColor="text1"/>
          <w:sz w:val="28"/>
          <w:szCs w:val="28"/>
        </w:rPr>
        <w:t>涉及</w:t>
      </w:r>
      <w:r>
        <w:rPr>
          <w:rFonts w:hint="eastAsia"/>
          <w:color w:val="000000" w:themeColor="text1"/>
          <w:sz w:val="28"/>
          <w:szCs w:val="28"/>
        </w:rPr>
        <w:t>的位于</w:t>
      </w:r>
      <w:r>
        <w:rPr>
          <w:rFonts w:hint="eastAsia"/>
          <w:color w:val="000000"/>
          <w:sz w:val="28"/>
          <w:szCs w:val="28"/>
        </w:rPr>
        <w:t>武穴市天宝北178号的一宗住宅房地产</w:t>
      </w:r>
      <w:r>
        <w:rPr>
          <w:rFonts w:hint="eastAsia"/>
          <w:color w:val="000000" w:themeColor="text1"/>
          <w:sz w:val="28"/>
          <w:szCs w:val="28"/>
        </w:rPr>
        <w:t>价值</w:t>
      </w:r>
      <w:r>
        <w:rPr>
          <w:color w:val="000000" w:themeColor="text1"/>
          <w:sz w:val="28"/>
          <w:szCs w:val="28"/>
        </w:rPr>
        <w:t>评估</w:t>
      </w:r>
    </w:p>
    <w:p>
      <w:pPr>
        <w:spacing w:line="500" w:lineRule="exact"/>
        <w:ind w:left="2742" w:leftChars="399" w:right="808" w:rightChars="385" w:hanging="1904" w:hangingChars="680"/>
        <w:rPr>
          <w:color w:val="000000" w:themeColor="text1"/>
          <w:sz w:val="28"/>
          <w:szCs w:val="28"/>
        </w:rPr>
      </w:pPr>
    </w:p>
    <w:p>
      <w:pPr>
        <w:spacing w:line="500" w:lineRule="exact"/>
        <w:ind w:left="2923" w:leftChars="468" w:right="50" w:rightChars="24" w:hanging="1940"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武穴市人民法院</w:t>
      </w:r>
    </w:p>
    <w:p>
      <w:pPr>
        <w:spacing w:line="500" w:lineRule="exact"/>
        <w:ind w:left="2915" w:leftChars="468" w:right="50" w:rightChars="24" w:hanging="1932" w:hangingChars="690"/>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房地产估价机构：</w:t>
      </w:r>
      <w:r>
        <w:rPr>
          <w:color w:val="000000" w:themeColor="text1"/>
          <w:sz w:val="28"/>
          <w:szCs w:val="28"/>
        </w:rPr>
        <w:t>黄冈市海正房地产评估有限公司</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rFonts w:hint="eastAsia"/>
          <w:b/>
          <w:color w:val="000000" w:themeColor="text1"/>
          <w:sz w:val="28"/>
          <w:szCs w:val="28"/>
        </w:rPr>
        <w:t>注册房地产估价师：</w:t>
      </w:r>
      <w:r>
        <w:rPr>
          <w:rFonts w:hint="eastAsia"/>
          <w:color w:val="000000" w:themeColor="text1"/>
          <w:sz w:val="28"/>
          <w:szCs w:val="28"/>
        </w:rPr>
        <w:t>汪震超（注册号：</w:t>
      </w:r>
      <w:r>
        <w:rPr>
          <w:rFonts w:hint="eastAsia" w:hAnsi="宋体"/>
          <w:color w:val="000000" w:themeColor="text1"/>
          <w:sz w:val="28"/>
          <w:szCs w:val="28"/>
        </w:rPr>
        <w:t>4220040037</w:t>
      </w:r>
      <w:r>
        <w:rPr>
          <w:rFonts w:hint="eastAsia"/>
          <w:color w:val="000000" w:themeColor="text1"/>
          <w:sz w:val="28"/>
          <w:szCs w:val="28"/>
        </w:rPr>
        <w:t>）</w:t>
      </w:r>
    </w:p>
    <w:p>
      <w:pPr>
        <w:tabs>
          <w:tab w:val="left" w:pos="3420"/>
          <w:tab w:val="left" w:pos="3600"/>
        </w:tabs>
        <w:spacing w:line="500" w:lineRule="exact"/>
        <w:ind w:left="3683" w:leftChars="1686" w:hanging="142" w:hangingChars="51"/>
        <w:rPr>
          <w:b/>
          <w:color w:val="000000" w:themeColor="text1"/>
          <w:sz w:val="28"/>
          <w:szCs w:val="28"/>
        </w:rPr>
      </w:pPr>
      <w:r>
        <w:rPr>
          <w:rFonts w:hint="eastAsia"/>
          <w:color w:val="000000" w:themeColor="text1"/>
          <w:sz w:val="28"/>
          <w:szCs w:val="28"/>
        </w:rPr>
        <w:t>张  杰（注册号：4220</w:t>
      </w:r>
      <w:r>
        <w:rPr>
          <w:color w:val="000000" w:themeColor="text1"/>
          <w:sz w:val="28"/>
          <w:szCs w:val="28"/>
        </w:rPr>
        <w:t>19</w:t>
      </w:r>
      <w:r>
        <w:rPr>
          <w:rFonts w:hint="eastAsia"/>
          <w:color w:val="000000" w:themeColor="text1"/>
          <w:sz w:val="28"/>
          <w:szCs w:val="28"/>
        </w:rPr>
        <w:t>0036）</w:t>
      </w:r>
    </w:p>
    <w:p>
      <w:pPr>
        <w:spacing w:line="500" w:lineRule="exact"/>
        <w:ind w:right="50" w:rightChars="24"/>
        <w:rPr>
          <w:color w:val="000000" w:themeColor="text1"/>
          <w:sz w:val="28"/>
          <w:szCs w:val="28"/>
        </w:rPr>
      </w:pPr>
    </w:p>
    <w:p>
      <w:pPr>
        <w:spacing w:line="500" w:lineRule="exact"/>
        <w:ind w:left="2923" w:leftChars="468" w:right="50" w:rightChars="24" w:hanging="1940" w:hangingChars="690"/>
        <w:rPr>
          <w:sz w:val="28"/>
          <w:szCs w:val="28"/>
        </w:rPr>
      </w:pPr>
      <w:r>
        <w:rPr>
          <w:b/>
          <w:color w:val="000000" w:themeColor="text1"/>
          <w:sz w:val="28"/>
          <w:szCs w:val="28"/>
        </w:rPr>
        <w:t>估价报告出具日期：</w:t>
      </w:r>
      <w:r>
        <w:rPr>
          <w:rFonts w:hint="eastAsia"/>
          <w:color w:val="000000" w:themeColor="text1"/>
          <w:sz w:val="28"/>
          <w:szCs w:val="28"/>
        </w:rPr>
        <w:t>二〇二〇年八</w:t>
      </w:r>
      <w:r>
        <w:rPr>
          <w:rFonts w:hint="eastAsia"/>
          <w:sz w:val="28"/>
          <w:szCs w:val="28"/>
        </w:rPr>
        <w:t>月六日</w:t>
      </w:r>
    </w:p>
    <w:p>
      <w:pPr>
        <w:spacing w:line="500" w:lineRule="exact"/>
        <w:ind w:left="2834" w:leftChars="399" w:right="808" w:rightChars="385" w:hanging="1996" w:hangingChars="713"/>
        <w:rPr>
          <w:color w:val="000000" w:themeColor="text1"/>
          <w:sz w:val="28"/>
          <w:szCs w:val="28"/>
        </w:rPr>
      </w:pPr>
    </w:p>
    <w:p>
      <w:pPr>
        <w:spacing w:line="500" w:lineRule="exact"/>
        <w:ind w:left="2923" w:leftChars="468" w:right="50" w:rightChars="24" w:hanging="1940"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bookmarkStart w:id="33" w:name="_GoBack"/>
      <w:r>
        <w:rPr>
          <w:color w:val="000000" w:themeColor="text1"/>
          <w:sz w:val="28"/>
          <w:szCs w:val="28"/>
        </w:rPr>
        <w:t>黄海房估字</w:t>
      </w:r>
      <w:r>
        <w:rPr>
          <w:rFonts w:hint="eastAsia"/>
          <w:color w:val="000000" w:themeColor="text1"/>
          <w:sz w:val="28"/>
          <w:szCs w:val="28"/>
        </w:rPr>
        <w:t>【2020】第</w:t>
      </w:r>
      <w:r>
        <w:rPr>
          <w:rFonts w:hint="eastAsia"/>
          <w:color w:val="FF0000"/>
          <w:sz w:val="28"/>
          <w:szCs w:val="28"/>
        </w:rPr>
        <w:t>1422</w:t>
      </w:r>
      <w:r>
        <w:rPr>
          <w:rFonts w:hint="eastAsia"/>
          <w:color w:val="000000" w:themeColor="text1"/>
          <w:sz w:val="28"/>
          <w:szCs w:val="28"/>
        </w:rPr>
        <w:t>号</w:t>
      </w:r>
    </w:p>
    <w:bookmarkEnd w:id="33"/>
    <w:p>
      <w:pPr>
        <w:widowControl/>
        <w:jc w:val="left"/>
        <w:rPr>
          <w:rFonts w:eastAsia="黑体"/>
          <w:color w:val="000000" w:themeColor="text1"/>
          <w:kern w:val="0"/>
          <w:sz w:val="28"/>
          <w:szCs w:val="28"/>
        </w:rPr>
      </w:pPr>
      <w:r>
        <w:br w:type="page"/>
      </w:r>
    </w:p>
    <w:p>
      <w:pPr>
        <w:pStyle w:val="39"/>
        <w:rPr>
          <w:rFonts w:asciiTheme="minorEastAsia" w:hAnsiTheme="minorEastAsia" w:eastAsiaTheme="minorEastAsia"/>
          <w:color w:val="FFFFFF" w:themeColor="background1"/>
          <w:sz w:val="10"/>
          <w:szCs w:val="10"/>
          <w:u w:val="none"/>
        </w:rPr>
      </w:pPr>
      <w:r>
        <w:rPr>
          <w:rFonts w:hint="eastAsia" w:asciiTheme="minorEastAsia" w:hAnsiTheme="minorEastAsia" w:eastAsiaTheme="minorEastAsia"/>
          <w:color w:val="FFFFFF" w:themeColor="background1"/>
          <w:sz w:val="10"/>
          <w:szCs w:val="10"/>
        </w:rPr>
        <w:t>【页眉_产权人】</w:t>
      </w:r>
    </w:p>
    <w:p>
      <w:pPr>
        <w:spacing w:line="14" w:lineRule="exact"/>
        <w:rPr>
          <w:rFonts w:eastAsia="黑体"/>
          <w:color w:val="FFFFFF" w:themeColor="background1"/>
          <w:kern w:val="0"/>
          <w:sz w:val="10"/>
          <w:szCs w:val="10"/>
        </w:rPr>
      </w:pPr>
      <w:r>
        <w:rPr>
          <w:rFonts w:hint="eastAsia" w:eastAsia="黑体"/>
          <w:color w:val="FFFFFF" w:themeColor="background1"/>
          <w:kern w:val="0"/>
          <w:sz w:val="10"/>
          <w:szCs w:val="10"/>
        </w:rPr>
        <w:t>【页眉_共有权人1】</w:t>
      </w:r>
    </w:p>
    <w:p>
      <w:pPr>
        <w:rPr>
          <w:rFonts w:eastAsia="黑体"/>
          <w:b/>
          <w:color w:val="000000" w:themeColor="text1"/>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r>
        <w:drawing>
          <wp:inline distT="0" distB="0" distL="114300" distR="114300">
            <wp:extent cx="590550" cy="7905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790575"/>
                    </a:xfrm>
                    <a:prstGeom prst="rect">
                      <a:avLst/>
                    </a:prstGeom>
                    <a:noFill/>
                    <a:ln>
                      <a:noFill/>
                    </a:ln>
                  </pic:spPr>
                </pic:pic>
              </a:graphicData>
            </a:graphic>
          </wp:inline>
        </w:drawing>
      </w:r>
      <w:r>
        <w:drawing>
          <wp:inline distT="0" distB="0" distL="114300" distR="114300">
            <wp:extent cx="3676650" cy="694055"/>
            <wp:effectExtent l="0" t="0" r="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694055"/>
                    </a:xfrm>
                    <a:prstGeom prst="rect">
                      <a:avLst/>
                    </a:prstGeom>
                    <a:noFill/>
                    <a:ln>
                      <a:noFill/>
                    </a:ln>
                  </pic:spPr>
                </pic:pic>
              </a:graphicData>
            </a:graphic>
          </wp:inline>
        </w:drawing>
      </w:r>
    </w:p>
    <w:tbl>
      <w:tblPr>
        <w:tblStyle w:val="26"/>
        <w:tblW w:w="9628" w:type="dxa"/>
        <w:tblInd w:w="0" w:type="dxa"/>
        <w:tblLayout w:type="fixed"/>
        <w:tblCellMar>
          <w:top w:w="0" w:type="dxa"/>
          <w:left w:w="108" w:type="dxa"/>
          <w:bottom w:w="0" w:type="dxa"/>
          <w:right w:w="108" w:type="dxa"/>
        </w:tblCellMar>
      </w:tblPr>
      <w:tblGrid>
        <w:gridCol w:w="1188"/>
        <w:gridCol w:w="1620"/>
        <w:gridCol w:w="5379"/>
        <w:gridCol w:w="1441"/>
      </w:tblGrid>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公司总部地址</w:t>
            </w:r>
            <w:r>
              <w:rPr>
                <w:rFonts w:hint="eastAsia"/>
                <w:szCs w:val="21"/>
              </w:rPr>
              <w:t>：</w:t>
            </w:r>
          </w:p>
        </w:tc>
        <w:tc>
          <w:tcPr>
            <w:tcW w:w="5379" w:type="dxa"/>
          </w:tcPr>
          <w:p>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pPr>
              <w:spacing w:line="500" w:lineRule="exact"/>
              <w:rPr>
                <w:b/>
                <w:szCs w:val="21"/>
              </w:rPr>
            </w:pPr>
            <w:r>
              <w:rPr>
                <w:b/>
                <w:szCs w:val="21"/>
              </w:rPr>
              <w:t>0713-8693126</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公司分部地址：</w:t>
            </w:r>
          </w:p>
        </w:tc>
        <w:tc>
          <w:tcPr>
            <w:tcW w:w="5379" w:type="dxa"/>
          </w:tcPr>
          <w:p>
            <w:pPr>
              <w:spacing w:line="500" w:lineRule="exact"/>
              <w:rPr>
                <w:b/>
                <w:szCs w:val="21"/>
              </w:rPr>
            </w:pPr>
            <w:r>
              <w:rPr>
                <w:rFonts w:hint="eastAsia"/>
                <w:b/>
                <w:szCs w:val="21"/>
              </w:rPr>
              <w:t>红安县沿河路金沙世纪城侧街113号</w:t>
            </w:r>
          </w:p>
        </w:tc>
        <w:tc>
          <w:tcPr>
            <w:tcW w:w="1441" w:type="dxa"/>
          </w:tcPr>
          <w:p>
            <w:pPr>
              <w:spacing w:line="500" w:lineRule="exact"/>
              <w:rPr>
                <w:b/>
                <w:szCs w:val="21"/>
              </w:rPr>
            </w:pPr>
            <w:r>
              <w:rPr>
                <w:b/>
                <w:szCs w:val="21"/>
              </w:rPr>
              <w:t>0713-3851288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pPr>
              <w:spacing w:line="500" w:lineRule="exact"/>
              <w:rPr>
                <w:b/>
                <w:szCs w:val="21"/>
              </w:rPr>
            </w:pPr>
            <w:r>
              <w:rPr>
                <w:b/>
                <w:szCs w:val="21"/>
              </w:rPr>
              <w:t>0713-3367698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pPr>
              <w:spacing w:line="500" w:lineRule="exact"/>
              <w:rPr>
                <w:b/>
                <w:szCs w:val="21"/>
              </w:rPr>
            </w:pPr>
            <w:r>
              <w:rPr>
                <w:b/>
                <w:szCs w:val="21"/>
              </w:rPr>
              <w:t>13227396068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武穴市刊江大道59号兴雨科技大楼406室</w:t>
            </w:r>
          </w:p>
        </w:tc>
        <w:tc>
          <w:tcPr>
            <w:tcW w:w="1441" w:type="dxa"/>
          </w:tcPr>
          <w:p>
            <w:pPr>
              <w:spacing w:line="500" w:lineRule="exact"/>
              <w:rPr>
                <w:b/>
                <w:szCs w:val="21"/>
              </w:rPr>
            </w:pPr>
            <w:r>
              <w:rPr>
                <w:rFonts w:hint="eastAsia"/>
                <w:b/>
                <w:color w:val="000000" w:themeColor="text1"/>
                <w:szCs w:val="21"/>
              </w:rPr>
              <w:t>18671652282</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pPr>
              <w:spacing w:line="500" w:lineRule="exact"/>
              <w:rPr>
                <w:b/>
                <w:szCs w:val="21"/>
              </w:rPr>
            </w:pPr>
            <w:r>
              <w:rPr>
                <w:rFonts w:hint="eastAsia"/>
                <w:b/>
                <w:color w:val="000000" w:themeColor="text1"/>
                <w:szCs w:val="21"/>
              </w:rPr>
              <w:t>15171351678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pPr>
              <w:spacing w:line="500" w:lineRule="exact"/>
              <w:rPr>
                <w:b/>
                <w:szCs w:val="21"/>
              </w:rPr>
            </w:pPr>
            <w:r>
              <w:rPr>
                <w:b/>
                <w:color w:val="000000" w:themeColor="text1"/>
                <w:szCs w:val="21"/>
              </w:rPr>
              <w:t>15327485138</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罗田县凤山镇发展大道9号</w:t>
            </w:r>
          </w:p>
        </w:tc>
        <w:tc>
          <w:tcPr>
            <w:tcW w:w="1441" w:type="dxa"/>
          </w:tcPr>
          <w:p>
            <w:pPr>
              <w:spacing w:line="500" w:lineRule="exact"/>
              <w:rPr>
                <w:b/>
                <w:szCs w:val="21"/>
              </w:rPr>
            </w:pPr>
            <w:r>
              <w:rPr>
                <w:b/>
                <w:color w:val="000000" w:themeColor="text1"/>
                <w:szCs w:val="21"/>
              </w:rPr>
              <w:t>15997365186</w:t>
            </w:r>
          </w:p>
        </w:tc>
      </w:tr>
      <w:tr>
        <w:tblPrEx>
          <w:tblLayout w:type="fixed"/>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蕲春县漕河大道38号（房管局院内）</w:t>
            </w:r>
          </w:p>
        </w:tc>
        <w:tc>
          <w:tcPr>
            <w:tcW w:w="1441" w:type="dxa"/>
          </w:tcPr>
          <w:p>
            <w:pPr>
              <w:spacing w:line="500" w:lineRule="exact"/>
              <w:rPr>
                <w:b/>
                <w:szCs w:val="21"/>
              </w:rPr>
            </w:pPr>
            <w:r>
              <w:rPr>
                <w:rFonts w:hint="eastAsia"/>
                <w:b/>
                <w:color w:val="000000" w:themeColor="text1"/>
                <w:szCs w:val="21"/>
              </w:rPr>
              <w:t>0713-7235131</w:t>
            </w:r>
          </w:p>
        </w:tc>
      </w:tr>
    </w:tbl>
    <w:p>
      <w:pPr>
        <w:widowControl/>
        <w:jc w:val="left"/>
        <w:rPr>
          <w:sz w:val="10"/>
          <w:szCs w:val="10"/>
        </w:rPr>
      </w:pPr>
      <w:r>
        <w:rPr>
          <w:sz w:val="10"/>
          <w:szCs w:val="10"/>
        </w:rPr>
        <w:br w:type="page"/>
      </w: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rFonts w:asciiTheme="minorEastAsia" w:hAnsiTheme="minorEastAsia" w:eastAsiaTheme="minorEastAsia"/>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【2020】第</w:t>
      </w:r>
      <w:r>
        <w:rPr>
          <w:rFonts w:hint="eastAsia"/>
          <w:color w:val="FF0000"/>
          <w:sz w:val="28"/>
          <w:szCs w:val="28"/>
        </w:rPr>
        <w:t>1422</w:t>
      </w:r>
      <w:r>
        <w:rPr>
          <w:rFonts w:hint="eastAsia"/>
          <w:color w:val="000000" w:themeColor="text1"/>
          <w:sz w:val="28"/>
          <w:szCs w:val="28"/>
        </w:rPr>
        <w:t>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武穴市人民法院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贵法院2020年</w:t>
      </w:r>
      <w:r>
        <w:rPr>
          <w:color w:val="000000" w:themeColor="text1"/>
          <w:sz w:val="28"/>
          <w:szCs w:val="28"/>
        </w:rPr>
        <w:t>07</w:t>
      </w:r>
      <w:r>
        <w:rPr>
          <w:rFonts w:hint="eastAsia"/>
          <w:color w:val="000000" w:themeColor="text1"/>
          <w:sz w:val="28"/>
          <w:szCs w:val="28"/>
        </w:rPr>
        <w:t>月</w:t>
      </w:r>
      <w:r>
        <w:rPr>
          <w:color w:val="000000" w:themeColor="text1"/>
          <w:sz w:val="28"/>
          <w:szCs w:val="28"/>
        </w:rPr>
        <w:t>31</w:t>
      </w:r>
      <w:r>
        <w:rPr>
          <w:rFonts w:hint="eastAsia"/>
          <w:color w:val="000000" w:themeColor="text1"/>
          <w:sz w:val="28"/>
          <w:szCs w:val="28"/>
        </w:rPr>
        <w:t>日</w:t>
      </w:r>
      <w:r>
        <w:rPr>
          <w:color w:val="000000" w:themeColor="text1"/>
          <w:sz w:val="28"/>
          <w:szCs w:val="28"/>
        </w:rPr>
        <w:t>委托，我公司估价人员于</w:t>
      </w:r>
      <w:r>
        <w:rPr>
          <w:rFonts w:hint="eastAsia"/>
          <w:color w:val="000000" w:themeColor="text1"/>
          <w:sz w:val="28"/>
          <w:szCs w:val="28"/>
        </w:rPr>
        <w:t>2020年</w:t>
      </w:r>
      <w:r>
        <w:rPr>
          <w:color w:val="000000" w:themeColor="text1"/>
          <w:sz w:val="28"/>
          <w:szCs w:val="28"/>
        </w:rPr>
        <w:t>08</w:t>
      </w:r>
      <w:r>
        <w:rPr>
          <w:rFonts w:hint="eastAsia"/>
          <w:color w:val="000000" w:themeColor="text1"/>
          <w:sz w:val="28"/>
          <w:szCs w:val="28"/>
        </w:rPr>
        <w:t>月</w:t>
      </w:r>
      <w:r>
        <w:rPr>
          <w:color w:val="000000" w:themeColor="text1"/>
          <w:sz w:val="28"/>
          <w:szCs w:val="28"/>
        </w:rPr>
        <w:t>03</w:t>
      </w:r>
      <w:r>
        <w:rPr>
          <w:rFonts w:hint="eastAsia"/>
          <w:color w:val="000000" w:themeColor="text1"/>
          <w:sz w:val="28"/>
          <w:szCs w:val="28"/>
        </w:rPr>
        <w:t>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2"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w:t>
      </w:r>
      <w:r>
        <w:rPr>
          <w:rFonts w:hint="eastAsia"/>
          <w:color w:val="000000" w:themeColor="text1"/>
          <w:sz w:val="28"/>
          <w:szCs w:val="28"/>
        </w:rPr>
        <w:t>栋</w:t>
      </w:r>
      <w:r>
        <w:rPr>
          <w:color w:val="000000" w:themeColor="text1"/>
          <w:sz w:val="28"/>
          <w:szCs w:val="28"/>
        </w:rPr>
        <w:t>住宅房地产，详见下表：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78"/>
        <w:gridCol w:w="1332"/>
        <w:gridCol w:w="1276"/>
        <w:gridCol w:w="850"/>
        <w:gridCol w:w="709"/>
        <w:gridCol w:w="709"/>
        <w:gridCol w:w="850"/>
        <w:gridCol w:w="85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1078" w:type="dxa"/>
            <w:vAlign w:val="center"/>
          </w:tcPr>
          <w:p>
            <w:pPr>
              <w:jc w:val="center"/>
              <w:rPr>
                <w:color w:val="000000" w:themeColor="text1"/>
                <w:szCs w:val="21"/>
              </w:rPr>
            </w:pPr>
            <w:r>
              <w:rPr>
                <w:color w:val="000000" w:themeColor="text1"/>
                <w:szCs w:val="21"/>
              </w:rPr>
              <w:t>位置</w:t>
            </w:r>
          </w:p>
        </w:tc>
        <w:tc>
          <w:tcPr>
            <w:tcW w:w="1332" w:type="dxa"/>
            <w:vAlign w:val="center"/>
          </w:tcPr>
          <w:p>
            <w:pPr>
              <w:jc w:val="center"/>
              <w:rPr>
                <w:color w:val="000000" w:themeColor="text1"/>
                <w:szCs w:val="21"/>
              </w:rPr>
            </w:pPr>
            <w:r>
              <w:rPr>
                <w:color w:val="000000" w:themeColor="text1"/>
                <w:szCs w:val="21"/>
              </w:rPr>
              <w:t>房屋所有权证号</w:t>
            </w:r>
          </w:p>
        </w:tc>
        <w:tc>
          <w:tcPr>
            <w:tcW w:w="1276" w:type="dxa"/>
            <w:vAlign w:val="center"/>
          </w:tcPr>
          <w:p>
            <w:pPr>
              <w:jc w:val="center"/>
              <w:rPr>
                <w:color w:val="000000" w:themeColor="text1"/>
                <w:szCs w:val="21"/>
              </w:rPr>
            </w:pPr>
            <w:r>
              <w:rPr>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850"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1"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1077"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51" w:type="dxa"/>
            <w:vAlign w:val="center"/>
          </w:tcPr>
          <w:p>
            <w:pPr>
              <w:jc w:val="center"/>
              <w:rPr>
                <w:color w:val="000000" w:themeColor="text1"/>
                <w:szCs w:val="21"/>
              </w:rPr>
            </w:pPr>
            <w:r>
              <w:rPr>
                <w:rFonts w:hint="eastAsia"/>
                <w:color w:val="000000" w:themeColor="text1"/>
                <w:szCs w:val="21"/>
              </w:rPr>
              <w:t>张璕</w:t>
            </w:r>
          </w:p>
        </w:tc>
        <w:tc>
          <w:tcPr>
            <w:tcW w:w="1078" w:type="dxa"/>
            <w:vAlign w:val="center"/>
          </w:tcPr>
          <w:p>
            <w:pPr>
              <w:jc w:val="center"/>
              <w:rPr>
                <w:color w:val="000000" w:themeColor="text1"/>
                <w:szCs w:val="21"/>
              </w:rPr>
            </w:pPr>
            <w:r>
              <w:rPr>
                <w:rFonts w:hint="eastAsia"/>
                <w:color w:val="000000" w:themeColor="text1"/>
                <w:szCs w:val="21"/>
              </w:rPr>
              <w:t>武穴市天宝北178号</w:t>
            </w:r>
          </w:p>
        </w:tc>
        <w:tc>
          <w:tcPr>
            <w:tcW w:w="1332" w:type="dxa"/>
            <w:vAlign w:val="center"/>
          </w:tcPr>
          <w:p>
            <w:pPr>
              <w:jc w:val="center"/>
              <w:rPr>
                <w:color w:val="000000" w:themeColor="text1"/>
                <w:szCs w:val="21"/>
              </w:rPr>
            </w:pPr>
            <w:r>
              <w:rPr>
                <w:rFonts w:hint="eastAsia"/>
                <w:color w:val="000000" w:themeColor="text1"/>
                <w:szCs w:val="21"/>
              </w:rPr>
              <w:t>武穴市房权证武办字第000043126号</w:t>
            </w:r>
          </w:p>
        </w:tc>
        <w:tc>
          <w:tcPr>
            <w:tcW w:w="1276" w:type="dxa"/>
            <w:vAlign w:val="center"/>
          </w:tcPr>
          <w:p>
            <w:pPr>
              <w:jc w:val="center"/>
              <w:rPr>
                <w:color w:val="000000" w:themeColor="text1"/>
                <w:szCs w:val="21"/>
              </w:rPr>
            </w:pPr>
            <w:r>
              <w:rPr>
                <w:rFonts w:hint="eastAsia"/>
                <w:color w:val="000000" w:themeColor="text1"/>
                <w:szCs w:val="21"/>
              </w:rPr>
              <w:t>武穴国用（2011）第010024164号</w:t>
            </w:r>
          </w:p>
        </w:tc>
        <w:tc>
          <w:tcPr>
            <w:tcW w:w="850" w:type="dxa"/>
            <w:vAlign w:val="center"/>
          </w:tcPr>
          <w:p>
            <w:pPr>
              <w:jc w:val="center"/>
              <w:rPr>
                <w:color w:val="000000" w:themeColor="text1"/>
                <w:szCs w:val="21"/>
              </w:rPr>
            </w:pPr>
            <w:r>
              <w:rPr>
                <w:color w:val="000000" w:themeColor="text1"/>
                <w:szCs w:val="21"/>
              </w:rPr>
              <w:t>2003</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850" w:type="dxa"/>
            <w:vAlign w:val="center"/>
          </w:tcPr>
          <w:p>
            <w:pPr>
              <w:jc w:val="center"/>
              <w:rPr>
                <w:color w:val="000000" w:themeColor="text1"/>
                <w:szCs w:val="21"/>
              </w:rPr>
            </w:pPr>
            <w:r>
              <w:rPr>
                <w:rFonts w:hint="eastAsia"/>
                <w:color w:val="000000" w:themeColor="text1"/>
                <w:szCs w:val="21"/>
              </w:rPr>
              <w:t>409.28</w:t>
            </w:r>
          </w:p>
        </w:tc>
        <w:tc>
          <w:tcPr>
            <w:tcW w:w="851" w:type="dxa"/>
            <w:vAlign w:val="center"/>
          </w:tcPr>
          <w:p>
            <w:pPr>
              <w:jc w:val="center"/>
              <w:rPr>
                <w:color w:val="000000" w:themeColor="text1"/>
                <w:szCs w:val="21"/>
              </w:rPr>
            </w:pPr>
            <w:r>
              <w:rPr>
                <w:rFonts w:hint="eastAsia"/>
                <w:color w:val="000000" w:themeColor="text1"/>
                <w:szCs w:val="21"/>
              </w:rPr>
              <w:t>200</w:t>
            </w:r>
          </w:p>
        </w:tc>
        <w:tc>
          <w:tcPr>
            <w:tcW w:w="1077" w:type="dxa"/>
            <w:vAlign w:val="center"/>
          </w:tcPr>
          <w:p>
            <w:pPr>
              <w:jc w:val="center"/>
              <w:rPr>
                <w:szCs w:val="21"/>
              </w:rPr>
            </w:pPr>
            <w:r>
              <w:rPr>
                <w:szCs w:val="21"/>
              </w:rPr>
              <w:t>2017年07月20日</w:t>
            </w:r>
          </w:p>
        </w:tc>
      </w:tr>
    </w:tbl>
    <w:p>
      <w:pPr>
        <w:spacing w:line="500" w:lineRule="exact"/>
        <w:ind w:firstLine="551" w:firstLineChars="196"/>
        <w:rPr>
          <w:color w:val="000000" w:themeColor="text1"/>
          <w:sz w:val="28"/>
          <w:szCs w:val="28"/>
        </w:rPr>
      </w:pPr>
      <w:r>
        <w:rPr>
          <w:b/>
          <w:color w:val="000000" w:themeColor="text1"/>
          <w:sz w:val="28"/>
          <w:szCs w:val="28"/>
        </w:rPr>
        <w:t>估价目的：</w:t>
      </w:r>
      <w:r>
        <w:rPr>
          <w:sz w:val="28"/>
          <w:szCs w:val="28"/>
        </w:rPr>
        <w:t>为</w:t>
      </w:r>
      <w:r>
        <w:rPr>
          <w:rFonts w:hint="eastAsia"/>
          <w:sz w:val="28"/>
          <w:szCs w:val="28"/>
        </w:rPr>
        <w:t>人民法院确定财产处置参考价提供参考依据</w:t>
      </w:r>
      <w:r>
        <w:rPr>
          <w:color w:val="000000" w:themeColor="text1"/>
          <w:spacing w:val="-8"/>
          <w:sz w:val="28"/>
          <w:szCs w:val="28"/>
        </w:rPr>
        <w:t>。</w:t>
      </w:r>
    </w:p>
    <w:p>
      <w:pPr>
        <w:spacing w:line="500" w:lineRule="exact"/>
        <w:ind w:firstLine="562" w:firstLineChars="200"/>
        <w:rPr>
          <w:sz w:val="28"/>
          <w:szCs w:val="28"/>
        </w:rPr>
      </w:pPr>
      <w:r>
        <w:rPr>
          <w:b/>
          <w:sz w:val="28"/>
          <w:szCs w:val="28"/>
        </w:rPr>
        <w:t>价值时点</w:t>
      </w:r>
      <w:r>
        <w:rPr>
          <w:sz w:val="28"/>
          <w:szCs w:val="28"/>
        </w:rPr>
        <w:t>：</w:t>
      </w:r>
      <w:r>
        <w:rPr>
          <w:rFonts w:hint="eastAsia"/>
          <w:sz w:val="28"/>
          <w:szCs w:val="28"/>
        </w:rPr>
        <w:t>2020年</w:t>
      </w:r>
      <w:r>
        <w:rPr>
          <w:sz w:val="28"/>
          <w:szCs w:val="28"/>
        </w:rPr>
        <w:t>08</w:t>
      </w:r>
      <w:r>
        <w:rPr>
          <w:rFonts w:hint="eastAsia"/>
          <w:sz w:val="28"/>
          <w:szCs w:val="28"/>
        </w:rPr>
        <w:t>月</w:t>
      </w:r>
      <w:r>
        <w:rPr>
          <w:sz w:val="28"/>
          <w:szCs w:val="28"/>
        </w:rPr>
        <w:t>03</w:t>
      </w:r>
      <w:r>
        <w:rPr>
          <w:rFonts w:hint="eastAsia"/>
          <w:sz w:val="28"/>
          <w:szCs w:val="28"/>
        </w:rPr>
        <w:t>日</w:t>
      </w:r>
      <w:r>
        <w:rPr>
          <w:sz w:val="28"/>
          <w:szCs w:val="28"/>
        </w:rPr>
        <w:t>。</w:t>
      </w:r>
    </w:p>
    <w:p>
      <w:pPr>
        <w:spacing w:line="500" w:lineRule="exact"/>
        <w:ind w:firstLine="562" w:firstLineChars="200"/>
        <w:rPr>
          <w:b/>
          <w:color w:val="000000" w:themeColor="text1"/>
          <w:sz w:val="28"/>
          <w:szCs w:val="28"/>
        </w:rPr>
      </w:pPr>
      <w:r>
        <w:rPr>
          <w:b/>
          <w:color w:val="000000" w:themeColor="text1"/>
          <w:sz w:val="28"/>
          <w:szCs w:val="28"/>
        </w:rPr>
        <w:t>价值类型：</w:t>
      </w:r>
      <w:r>
        <w:rPr>
          <w:rFonts w:hint="eastAsia" w:hAnsi="宋体"/>
          <w:color w:val="000000" w:themeColor="text1"/>
          <w:sz w:val="28"/>
          <w:szCs w:val="28"/>
        </w:rPr>
        <w:t>此次评估的价值类型为房地产市场价值</w:t>
      </w:r>
      <w:r>
        <w:rPr>
          <w:rFonts w:hAnsi="宋体"/>
          <w:color w:val="000000" w:themeColor="text1"/>
          <w:sz w:val="28"/>
          <w:szCs w:val="28"/>
        </w:rPr>
        <w:t>。</w:t>
      </w:r>
    </w:p>
    <w:p>
      <w:pPr>
        <w:spacing w:line="500" w:lineRule="exact"/>
        <w:ind w:firstLine="562" w:firstLineChars="200"/>
        <w:rPr>
          <w:color w:val="000000" w:themeColor="text1"/>
          <w:sz w:val="28"/>
          <w:szCs w:val="28"/>
        </w:rPr>
      </w:pPr>
      <w:r>
        <w:rPr>
          <w:b/>
          <w:sz w:val="28"/>
          <w:szCs w:val="28"/>
        </w:rPr>
        <w:t>估价结果：</w:t>
      </w: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RMB155.4万元，</w:t>
      </w:r>
      <w:r>
        <w:rPr>
          <w:color w:val="000000" w:themeColor="text1"/>
          <w:sz w:val="28"/>
          <w:szCs w:val="28"/>
        </w:rPr>
        <w:t>大写金额（人民币）：</w:t>
      </w:r>
      <w:r>
        <w:rPr>
          <w:rFonts w:hint="eastAsia"/>
          <w:b/>
          <w:color w:val="000000" w:themeColor="text1"/>
          <w:sz w:val="28"/>
          <w:szCs w:val="28"/>
        </w:rPr>
        <w:t>壹佰伍拾伍万肆仟元整</w:t>
      </w:r>
      <w:r>
        <w:rPr>
          <w:color w:val="000000" w:themeColor="text1"/>
          <w:sz w:val="28"/>
          <w:szCs w:val="28"/>
        </w:rPr>
        <w:t>。评估单价为3797元/㎡。详见下表：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34"/>
        <w:gridCol w:w="1423"/>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1423" w:type="dxa"/>
            <w:vAlign w:val="center"/>
          </w:tcPr>
          <w:p>
            <w:pPr>
              <w:jc w:val="center"/>
              <w:rPr>
                <w:color w:val="000000" w:themeColor="text1"/>
                <w:szCs w:val="21"/>
              </w:rPr>
            </w:pPr>
            <w:r>
              <w:rPr>
                <w:rFonts w:hint="eastAsia"/>
                <w:color w:val="000000" w:themeColor="text1"/>
                <w:szCs w:val="21"/>
              </w:rPr>
              <w:t>实际用途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943" w:type="dxa"/>
            <w:vAlign w:val="center"/>
          </w:tcPr>
          <w:p>
            <w:pPr>
              <w:spacing w:line="240" w:lineRule="atLeast"/>
              <w:jc w:val="center"/>
              <w:rPr>
                <w:color w:val="000000" w:themeColor="text1"/>
                <w:szCs w:val="21"/>
              </w:rPr>
            </w:pPr>
            <w:r>
              <w:rPr>
                <w:rFonts w:hint="eastAsia"/>
                <w:color w:val="000000" w:themeColor="text1"/>
                <w:szCs w:val="21"/>
              </w:rPr>
              <w:t>张璕</w:t>
            </w:r>
          </w:p>
        </w:tc>
        <w:tc>
          <w:tcPr>
            <w:tcW w:w="1140" w:type="dxa"/>
            <w:vAlign w:val="center"/>
          </w:tcPr>
          <w:p>
            <w:pPr>
              <w:spacing w:line="240" w:lineRule="atLeast"/>
              <w:jc w:val="center"/>
              <w:rPr>
                <w:color w:val="000000" w:themeColor="text1"/>
                <w:szCs w:val="21"/>
              </w:rPr>
            </w:pPr>
            <w:r>
              <w:rPr>
                <w:rFonts w:hint="eastAsia"/>
                <w:color w:val="000000" w:themeColor="text1"/>
                <w:szCs w:val="21"/>
              </w:rPr>
              <w:t>409.28</w:t>
            </w:r>
          </w:p>
        </w:tc>
        <w:tc>
          <w:tcPr>
            <w:tcW w:w="1270" w:type="dxa"/>
            <w:vAlign w:val="center"/>
          </w:tcPr>
          <w:p>
            <w:pPr>
              <w:spacing w:line="240" w:lineRule="atLeast"/>
              <w:jc w:val="center"/>
              <w:rPr>
                <w:color w:val="000000" w:themeColor="text1"/>
                <w:szCs w:val="21"/>
              </w:rPr>
            </w:pPr>
            <w:r>
              <w:rPr>
                <w:rFonts w:hint="eastAsia"/>
                <w:color w:val="000000" w:themeColor="text1"/>
                <w:szCs w:val="21"/>
              </w:rPr>
              <w:t>200</w:t>
            </w:r>
          </w:p>
        </w:tc>
        <w:tc>
          <w:tcPr>
            <w:tcW w:w="1134" w:type="dxa"/>
            <w:vAlign w:val="center"/>
          </w:tcPr>
          <w:p>
            <w:pPr>
              <w:spacing w:line="240" w:lineRule="atLeast"/>
              <w:jc w:val="center"/>
              <w:rPr>
                <w:color w:val="000000" w:themeColor="text1"/>
                <w:szCs w:val="21"/>
              </w:rPr>
            </w:pPr>
            <w:r>
              <w:rPr>
                <w:rFonts w:hint="eastAsia"/>
                <w:color w:val="000000" w:themeColor="text1"/>
                <w:szCs w:val="21"/>
              </w:rPr>
              <w:t>住宅</w:t>
            </w:r>
          </w:p>
        </w:tc>
        <w:tc>
          <w:tcPr>
            <w:tcW w:w="1423" w:type="dxa"/>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Align w:val="center"/>
          </w:tcPr>
          <w:p>
            <w:pPr>
              <w:spacing w:line="240" w:lineRule="atLeast"/>
              <w:jc w:val="center"/>
              <w:rPr>
                <w:color w:val="000000" w:themeColor="text1"/>
                <w:szCs w:val="21"/>
              </w:rPr>
            </w:pPr>
            <w:r>
              <w:rPr>
                <w:color w:val="000000" w:themeColor="text1"/>
                <w:szCs w:val="21"/>
              </w:rPr>
              <w:t>2003</w:t>
            </w:r>
          </w:p>
        </w:tc>
        <w:tc>
          <w:tcPr>
            <w:tcW w:w="1128" w:type="dxa"/>
            <w:vAlign w:val="center"/>
          </w:tcPr>
          <w:p>
            <w:pPr>
              <w:spacing w:line="240" w:lineRule="atLeast"/>
              <w:jc w:val="center"/>
              <w:rPr>
                <w:color w:val="000000" w:themeColor="text1"/>
                <w:szCs w:val="21"/>
              </w:rPr>
            </w:pPr>
            <w:r>
              <w:rPr>
                <w:color w:val="000000" w:themeColor="text1"/>
                <w:szCs w:val="21"/>
              </w:rPr>
              <w:t>3797</w:t>
            </w:r>
          </w:p>
        </w:tc>
        <w:tc>
          <w:tcPr>
            <w:tcW w:w="1140" w:type="dxa"/>
            <w:vAlign w:val="center"/>
          </w:tcPr>
          <w:p>
            <w:pPr>
              <w:spacing w:line="240" w:lineRule="atLeast"/>
              <w:jc w:val="center"/>
              <w:rPr>
                <w:color w:val="000000" w:themeColor="text1"/>
                <w:szCs w:val="21"/>
              </w:rPr>
            </w:pPr>
            <w:r>
              <w:rPr>
                <w:color w:val="000000" w:themeColor="text1"/>
                <w:szCs w:val="21"/>
              </w:rPr>
              <w:t>155.4</w:t>
            </w:r>
          </w:p>
        </w:tc>
      </w:tr>
    </w:tbl>
    <w:p>
      <w:pPr>
        <w:widowControl/>
        <w:jc w:val="left"/>
        <w:rPr>
          <w:rFonts w:eastAsia="黑体"/>
          <w:b/>
          <w:sz w:val="44"/>
          <w:szCs w:val="44"/>
        </w:rPr>
      </w:pPr>
    </w:p>
    <w:p>
      <w:pPr>
        <w:spacing w:line="500" w:lineRule="exact"/>
        <w:ind w:firstLine="560" w:firstLineChars="200"/>
        <w:rPr>
          <w:b/>
          <w:color w:val="000000" w:themeColor="text1"/>
          <w:sz w:val="28"/>
          <w:szCs w:val="28"/>
        </w:rPr>
      </w:pPr>
      <w:r>
        <w:rPr>
          <w:color w:val="000000" w:themeColor="text1"/>
          <w:sz w:val="28"/>
          <w:szCs w:val="28"/>
        </w:rPr>
        <w:t>使用本报告注意事项：</w:t>
      </w:r>
    </w:p>
    <w:p>
      <w:pPr>
        <w:spacing w:line="500" w:lineRule="exact"/>
        <w:ind w:firstLine="645"/>
        <w:rPr>
          <w:color w:val="000000" w:themeColor="text1"/>
          <w:sz w:val="28"/>
          <w:szCs w:val="28"/>
        </w:rPr>
      </w:pPr>
      <w:r>
        <w:rPr>
          <w:color w:val="000000" w:themeColor="text1"/>
          <w:sz w:val="28"/>
          <w:szCs w:val="28"/>
        </w:rPr>
        <w:t>1、</w:t>
      </w:r>
      <w:r>
        <w:rPr>
          <w:rFonts w:hint="eastAsia"/>
          <w:sz w:val="28"/>
          <w:szCs w:val="28"/>
        </w:rPr>
        <w:t>本估价报告仅为人民法院确定财产处置参考价提供参考依据，不作其他用</w:t>
      </w:r>
      <w:r>
        <w:rPr>
          <w:color w:val="000000" w:themeColor="text1"/>
          <w:sz w:val="28"/>
          <w:szCs w:val="28"/>
        </w:rPr>
        <w:t>途。</w:t>
      </w:r>
    </w:p>
    <w:p>
      <w:pPr>
        <w:spacing w:line="500" w:lineRule="exact"/>
        <w:ind w:firstLine="645"/>
        <w:rPr>
          <w:color w:val="000000" w:themeColor="text1"/>
          <w:sz w:val="28"/>
          <w:szCs w:val="28"/>
        </w:rPr>
      </w:pPr>
      <w:r>
        <w:rPr>
          <w:color w:val="000000" w:themeColor="text1"/>
          <w:sz w:val="28"/>
          <w:szCs w:val="28"/>
        </w:rPr>
        <w:t>2、委托方必须完整使用本报告，对仅使用报告中的部分内容或片面使用而导致的损失，本估价机构不承担责任。</w:t>
      </w:r>
    </w:p>
    <w:p>
      <w:pPr>
        <w:spacing w:line="50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w:t>
      </w:r>
      <w:r>
        <w:rPr>
          <w:color w:val="000000" w:themeColor="text1"/>
          <w:sz w:val="28"/>
          <w:szCs w:val="28"/>
        </w:rPr>
        <w:t>21</w:t>
      </w:r>
      <w:r>
        <w:rPr>
          <w:rFonts w:hint="eastAsia"/>
          <w:color w:val="000000" w:themeColor="text1"/>
          <w:sz w:val="28"/>
          <w:szCs w:val="28"/>
        </w:rPr>
        <w:t>年</w:t>
      </w:r>
      <w:r>
        <w:rPr>
          <w:sz w:val="28"/>
          <w:szCs w:val="28"/>
        </w:rPr>
        <w:t>08</w:t>
      </w:r>
      <w:r>
        <w:rPr>
          <w:rFonts w:hint="eastAsia"/>
          <w:sz w:val="28"/>
          <w:szCs w:val="28"/>
        </w:rPr>
        <w:t>月</w:t>
      </w:r>
      <w:r>
        <w:rPr>
          <w:sz w:val="28"/>
          <w:szCs w:val="28"/>
        </w:rPr>
        <w:t>05</w:t>
      </w:r>
      <w:r>
        <w:rPr>
          <w:rFonts w:hint="eastAsia"/>
          <w:sz w:val="28"/>
          <w:szCs w:val="28"/>
        </w:rPr>
        <w:t>日</w:t>
      </w:r>
      <w:r>
        <w:rPr>
          <w:sz w:val="28"/>
          <w:szCs w:val="28"/>
        </w:rPr>
        <w:t>止</w:t>
      </w:r>
      <w:r>
        <w:rPr>
          <w:color w:val="000000" w:themeColor="text1"/>
          <w:sz w:val="28"/>
          <w:szCs w:val="28"/>
        </w:rPr>
        <w:t>，报告使用人必须在有效期内使用</w:t>
      </w:r>
      <w:r>
        <w:rPr>
          <w:rFonts w:hint="eastAsia"/>
          <w:color w:val="000000" w:themeColor="text1"/>
          <w:sz w:val="28"/>
          <w:szCs w:val="28"/>
        </w:rPr>
        <w:t>，在估价结果有效期内，评估对象状况或者房地产市场发生明显变化的，评估结果应当进行相应调整</w:t>
      </w:r>
      <w:r>
        <w:rPr>
          <w:color w:val="000000" w:themeColor="text1"/>
          <w:sz w:val="28"/>
          <w:szCs w:val="28"/>
        </w:rPr>
        <w:t>。</w:t>
      </w:r>
    </w:p>
    <w:p>
      <w:pPr>
        <w:spacing w:line="500" w:lineRule="exact"/>
        <w:ind w:firstLine="645"/>
        <w:rPr>
          <w:color w:val="000000" w:themeColor="text1"/>
          <w:sz w:val="28"/>
          <w:szCs w:val="28"/>
        </w:rPr>
      </w:pPr>
      <w:r>
        <w:rPr>
          <w:rFonts w:hint="eastAsia"/>
          <w:color w:val="000000" w:themeColor="text1"/>
          <w:sz w:val="28"/>
          <w:szCs w:val="28"/>
        </w:rPr>
        <w:t>4、财产拍卖（或者变卖）日期与评估报告载明的价值时点不一致的，评估对象状况或者房地产市场状况的变化会对估价结果产生影响。</w:t>
      </w:r>
    </w:p>
    <w:p>
      <w:pPr>
        <w:spacing w:line="500" w:lineRule="exact"/>
        <w:ind w:firstLine="645"/>
        <w:rPr>
          <w:color w:val="000000" w:themeColor="text1"/>
          <w:sz w:val="28"/>
          <w:szCs w:val="28"/>
        </w:rPr>
      </w:pPr>
      <w:r>
        <w:rPr>
          <w:rFonts w:hint="eastAsia"/>
          <w:color w:val="000000" w:themeColor="text1"/>
          <w:sz w:val="28"/>
          <w:szCs w:val="28"/>
        </w:rPr>
        <w:t>5、委托人或者评估报告使用人应当按照法律规定和评估报告载明的使用范围使用评估报告，违反该规定使用评估报告的，本机构和注册房地产估价师依法不承担责任。</w:t>
      </w:r>
    </w:p>
    <w:p>
      <w:pPr>
        <w:spacing w:line="500" w:lineRule="exact"/>
        <w:ind w:firstLine="645"/>
        <w:rPr>
          <w:color w:val="000000" w:themeColor="text1"/>
          <w:sz w:val="28"/>
          <w:szCs w:val="28"/>
        </w:rPr>
      </w:pPr>
      <w:r>
        <w:rPr>
          <w:color w:val="000000" w:themeColor="text1"/>
          <w:sz w:val="28"/>
          <w:szCs w:val="28"/>
        </w:rPr>
        <w:t>6、</w:t>
      </w:r>
      <w:r>
        <w:rPr>
          <w:rFonts w:hint="eastAsia"/>
          <w:color w:val="000000" w:themeColor="text1"/>
          <w:sz w:val="28"/>
          <w:szCs w:val="28"/>
        </w:rPr>
        <w:t>本报告估价结果不等同于估价对象处置可实现的成交价，不应被认为是对估价对象处置成交价的保证</w:t>
      </w:r>
      <w:r>
        <w:rPr>
          <w:color w:val="000000" w:themeColor="text1"/>
          <w:sz w:val="28"/>
          <w:szCs w:val="28"/>
        </w:rPr>
        <w:t>。</w:t>
      </w:r>
    </w:p>
    <w:p>
      <w:pPr>
        <w:spacing w:line="500" w:lineRule="exact"/>
        <w:ind w:firstLine="646"/>
        <w:rPr>
          <w:color w:val="000000" w:themeColor="text1"/>
          <w:sz w:val="28"/>
          <w:szCs w:val="28"/>
        </w:rPr>
      </w:pPr>
      <w:r>
        <w:rPr>
          <w:color w:val="000000" w:themeColor="text1"/>
          <w:sz w:val="28"/>
          <w:szCs w:val="28"/>
        </w:rPr>
        <w:t>7、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color w:val="000000" w:themeColor="text1"/>
          <w:sz w:val="28"/>
          <w:szCs w:val="28"/>
        </w:rPr>
      </w:pPr>
      <w:r>
        <w:rPr>
          <w:color w:val="000000" w:themeColor="text1"/>
          <w:sz w:val="28"/>
          <w:szCs w:val="28"/>
        </w:rPr>
        <w:t>8、</w:t>
      </w:r>
      <w:r>
        <w:rPr>
          <w:color w:val="000000" w:themeColor="text1"/>
          <w:spacing w:val="-10"/>
          <w:sz w:val="28"/>
          <w:szCs w:val="28"/>
        </w:rPr>
        <w:t>本报告的最终解释权归黄冈市海正房地产评估有限公司所有。</w:t>
      </w:r>
    </w:p>
    <w:p>
      <w:pPr>
        <w:spacing w:line="500" w:lineRule="exact"/>
        <w:ind w:firstLine="560" w:firstLineChars="200"/>
        <w:rPr>
          <w:color w:val="000000" w:themeColor="text1"/>
          <w:sz w:val="28"/>
          <w:szCs w:val="28"/>
        </w:rPr>
      </w:pPr>
      <w:r>
        <w:rPr>
          <w:color w:val="000000" w:themeColor="text1"/>
          <w:sz w:val="28"/>
          <w:szCs w:val="28"/>
        </w:rPr>
        <w:t>特此奉达！</w:t>
      </w:r>
    </w:p>
    <w:p>
      <w:pPr>
        <w:tabs>
          <w:tab w:val="left" w:pos="720"/>
        </w:tabs>
        <w:spacing w:line="500" w:lineRule="exact"/>
        <w:rPr>
          <w:color w:val="000000" w:themeColor="text1"/>
          <w:sz w:val="28"/>
          <w:szCs w:val="28"/>
        </w:rPr>
      </w:pPr>
    </w:p>
    <w:p>
      <w:pPr>
        <w:spacing w:line="500" w:lineRule="exact"/>
        <w:ind w:firstLine="6720" w:firstLineChars="2400"/>
        <w:rPr>
          <w:color w:val="000000" w:themeColor="text1"/>
          <w:sz w:val="28"/>
          <w:szCs w:val="28"/>
        </w:rPr>
      </w:pPr>
      <w:r>
        <w:rPr>
          <w:color w:val="000000" w:themeColor="text1"/>
          <w:sz w:val="28"/>
          <w:szCs w:val="28"/>
        </w:rPr>
        <w:t>法定代表人：</w:t>
      </w:r>
    </w:p>
    <w:p>
      <w:pPr>
        <w:spacing w:line="500" w:lineRule="exact"/>
        <w:jc w:val="center"/>
        <w:rPr>
          <w:sz w:val="28"/>
          <w:szCs w:val="28"/>
        </w:rPr>
      </w:pPr>
      <w:r>
        <w:rPr>
          <w:rFonts w:hint="eastAsia"/>
          <w:color w:val="000000" w:themeColor="text1"/>
          <w:sz w:val="28"/>
          <w:szCs w:val="28"/>
        </w:rPr>
        <w:t xml:space="preserve">                                         二〇二〇年八</w:t>
      </w:r>
      <w:r>
        <w:rPr>
          <w:rFonts w:hint="eastAsia"/>
          <w:sz w:val="28"/>
          <w:szCs w:val="28"/>
        </w:rPr>
        <w:t>月六日</w:t>
      </w:r>
    </w:p>
    <w:p>
      <w:pPr>
        <w:spacing w:line="500" w:lineRule="exact"/>
        <w:jc w:val="center"/>
        <w:rPr>
          <w:rFonts w:ascii="黑体" w:hAnsi="黑体" w:eastAsia="黑体"/>
          <w:b/>
          <w:color w:val="000000" w:themeColor="text1"/>
          <w:sz w:val="48"/>
          <w:szCs w:val="48"/>
        </w:rPr>
      </w:pPr>
      <w:r>
        <w:rPr>
          <w:color w:val="000000" w:themeColor="text1"/>
          <w:sz w:val="28"/>
          <w:szCs w:val="28"/>
        </w:rPr>
        <w:br w:type="page"/>
      </w:r>
      <w:r>
        <w:rPr>
          <w:rFonts w:ascii="黑体" w:hAnsi="黑体" w:eastAsia="黑体"/>
          <w:b/>
          <w:color w:val="000000" w:themeColor="text1"/>
          <w:sz w:val="48"/>
          <w:szCs w:val="48"/>
        </w:rPr>
        <w:t>目   录</w:t>
      </w:r>
    </w:p>
    <w:p>
      <w:pPr>
        <w:spacing w:line="400" w:lineRule="exact"/>
        <w:jc w:val="center"/>
        <w:rPr>
          <w:rFonts w:eastAsia="黑体"/>
          <w:b/>
          <w:color w:val="000000" w:themeColor="text1"/>
          <w:sz w:val="48"/>
          <w:szCs w:val="48"/>
        </w:rPr>
      </w:pPr>
    </w:p>
    <w:p>
      <w:pPr>
        <w:pStyle w:val="14"/>
        <w:rPr>
          <w:rFonts w:asciiTheme="minorHAnsi" w:hAnsiTheme="minorHAnsi" w:eastAsiaTheme="minorEastAsia" w:cstheme="minorBidi"/>
          <w:b w:val="0"/>
          <w:bCs w:val="0"/>
          <w:caps w:val="0"/>
          <w:color w:val="auto"/>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"_Toc49247110" </w:instrText>
      </w:r>
      <w:r>
        <w:fldChar w:fldCharType="separate"/>
      </w:r>
      <w:r>
        <w:rPr>
          <w:rStyle w:val="24"/>
          <w:rFonts w:hint="eastAsia" w:eastAsia="黑体"/>
        </w:rPr>
        <w:t>估价师声明</w:t>
      </w:r>
      <w:r>
        <w:tab/>
      </w:r>
      <w:r>
        <w:fldChar w:fldCharType="begin"/>
      </w:r>
      <w:r>
        <w:instrText xml:space="preserve"> PAGEREF _Toc49247110 \h </w:instrText>
      </w:r>
      <w:r>
        <w:fldChar w:fldCharType="separate"/>
      </w:r>
      <w:r>
        <w:t>6</w:t>
      </w:r>
      <w:r>
        <w:fldChar w:fldCharType="end"/>
      </w:r>
      <w:r>
        <w:fldChar w:fldCharType="end"/>
      </w:r>
    </w:p>
    <w:p>
      <w:pPr>
        <w:pStyle w:val="14"/>
        <w:rPr>
          <w:rFonts w:asciiTheme="minorHAnsi" w:hAnsiTheme="minorHAnsi" w:eastAsiaTheme="minorEastAsia" w:cstheme="minorBidi"/>
          <w:b w:val="0"/>
          <w:bCs w:val="0"/>
          <w:caps w:val="0"/>
          <w:color w:val="auto"/>
          <w:sz w:val="21"/>
          <w:szCs w:val="22"/>
        </w:rPr>
      </w:pPr>
      <w:r>
        <w:fldChar w:fldCharType="begin"/>
      </w:r>
      <w:r>
        <w:instrText xml:space="preserve"> HYPERLINK \l "_Toc49247111" </w:instrText>
      </w:r>
      <w:r>
        <w:fldChar w:fldCharType="separate"/>
      </w:r>
      <w:r>
        <w:rPr>
          <w:rStyle w:val="24"/>
          <w:rFonts w:hint="eastAsia" w:eastAsia="黑体"/>
        </w:rPr>
        <w:t>估价的假设和限制条件</w:t>
      </w:r>
      <w:r>
        <w:tab/>
      </w:r>
      <w:r>
        <w:fldChar w:fldCharType="begin"/>
      </w:r>
      <w:r>
        <w:instrText xml:space="preserve"> PAGEREF _Toc49247111 \h </w:instrText>
      </w:r>
      <w:r>
        <w:fldChar w:fldCharType="separate"/>
      </w:r>
      <w:r>
        <w:t>7</w:t>
      </w:r>
      <w:r>
        <w:fldChar w:fldCharType="end"/>
      </w:r>
      <w:r>
        <w:fldChar w:fldCharType="end"/>
      </w:r>
    </w:p>
    <w:p>
      <w:pPr>
        <w:pStyle w:val="14"/>
        <w:rPr>
          <w:rFonts w:asciiTheme="minorHAnsi" w:hAnsiTheme="minorHAnsi" w:eastAsiaTheme="minorEastAsia" w:cstheme="minorBidi"/>
          <w:b w:val="0"/>
          <w:bCs w:val="0"/>
          <w:caps w:val="0"/>
          <w:color w:val="auto"/>
          <w:sz w:val="21"/>
          <w:szCs w:val="22"/>
        </w:rPr>
      </w:pPr>
      <w:r>
        <w:fldChar w:fldCharType="begin"/>
      </w:r>
      <w:r>
        <w:instrText xml:space="preserve"> HYPERLINK \l "_Toc49247112" </w:instrText>
      </w:r>
      <w:r>
        <w:fldChar w:fldCharType="separate"/>
      </w:r>
      <w:r>
        <w:rPr>
          <w:rStyle w:val="24"/>
          <w:rFonts w:hint="eastAsia" w:eastAsia="黑体"/>
        </w:rPr>
        <w:t>估价结果报告</w:t>
      </w:r>
      <w:r>
        <w:tab/>
      </w:r>
      <w:r>
        <w:fldChar w:fldCharType="begin"/>
      </w:r>
      <w:r>
        <w:instrText xml:space="preserve"> PAGEREF _Toc49247112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"_Toc49247113" </w:instrText>
      </w:r>
      <w:r>
        <w:fldChar w:fldCharType="separate"/>
      </w:r>
      <w:r>
        <w:rPr>
          <w:rStyle w:val="24"/>
          <w:rFonts w:hint="eastAsia"/>
        </w:rPr>
        <w:t>一、</w:t>
      </w:r>
      <w:r>
        <w:rPr>
          <w:rFonts w:asciiTheme="minorHAnsi" w:hAnsiTheme="minorHAnsi" w:eastAsiaTheme="minorEastAsia" w:cstheme="minorBidi"/>
          <w:b w:val="0"/>
          <w:smallCaps w:val="0"/>
          <w:sz w:val="21"/>
          <w:szCs w:val="22"/>
        </w:rPr>
        <w:tab/>
      </w:r>
      <w:r>
        <w:rPr>
          <w:rStyle w:val="24"/>
          <w:rFonts w:hint="eastAsia"/>
        </w:rPr>
        <w:t>估价委托人</w:t>
      </w:r>
      <w:r>
        <w:tab/>
      </w:r>
      <w:r>
        <w:fldChar w:fldCharType="begin"/>
      </w:r>
      <w:r>
        <w:instrText xml:space="preserve"> PAGEREF _Toc49247113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"_Toc49247114" </w:instrText>
      </w:r>
      <w:r>
        <w:fldChar w:fldCharType="separate"/>
      </w:r>
      <w:r>
        <w:rPr>
          <w:rStyle w:val="24"/>
          <w:rFonts w:hint="eastAsia"/>
        </w:rPr>
        <w:t>二、</w:t>
      </w:r>
      <w:r>
        <w:rPr>
          <w:rFonts w:asciiTheme="minorHAnsi" w:hAnsiTheme="minorHAnsi" w:eastAsiaTheme="minorEastAsia" w:cstheme="minorBidi"/>
          <w:b w:val="0"/>
          <w:smallCaps w:val="0"/>
          <w:sz w:val="21"/>
          <w:szCs w:val="22"/>
        </w:rPr>
        <w:tab/>
      </w:r>
      <w:r>
        <w:rPr>
          <w:rStyle w:val="24"/>
          <w:rFonts w:hint="eastAsia"/>
        </w:rPr>
        <w:t>估价方</w:t>
      </w:r>
      <w:r>
        <w:tab/>
      </w:r>
      <w:r>
        <w:fldChar w:fldCharType="begin"/>
      </w:r>
      <w:r>
        <w:instrText xml:space="preserve"> PAGEREF _Toc49247114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"_Toc49247115" </w:instrText>
      </w:r>
      <w:r>
        <w:fldChar w:fldCharType="separate"/>
      </w:r>
      <w:r>
        <w:rPr>
          <w:rStyle w:val="24"/>
          <w:rFonts w:hint="eastAsia"/>
        </w:rPr>
        <w:t>三、</w:t>
      </w:r>
      <w:r>
        <w:rPr>
          <w:rFonts w:asciiTheme="minorHAnsi" w:hAnsiTheme="minorHAnsi" w:eastAsiaTheme="minorEastAsia" w:cstheme="minorBidi"/>
          <w:b w:val="0"/>
          <w:smallCaps w:val="0"/>
          <w:sz w:val="21"/>
          <w:szCs w:val="22"/>
        </w:rPr>
        <w:tab/>
      </w:r>
      <w:r>
        <w:rPr>
          <w:rStyle w:val="24"/>
          <w:rFonts w:hint="eastAsia"/>
        </w:rPr>
        <w:t>估价目的</w:t>
      </w:r>
      <w:r>
        <w:tab/>
      </w:r>
      <w:r>
        <w:fldChar w:fldCharType="begin"/>
      </w:r>
      <w:r>
        <w:instrText xml:space="preserve"> PAGEREF _Toc49247115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"_Toc49247116" </w:instrText>
      </w:r>
      <w:r>
        <w:fldChar w:fldCharType="separate"/>
      </w:r>
      <w:r>
        <w:rPr>
          <w:rStyle w:val="24"/>
          <w:rFonts w:hint="eastAsia"/>
        </w:rPr>
        <w:t>四、</w:t>
      </w:r>
      <w:r>
        <w:rPr>
          <w:rFonts w:asciiTheme="minorHAnsi" w:hAnsiTheme="minorHAnsi" w:eastAsiaTheme="minorEastAsia" w:cstheme="minorBidi"/>
          <w:b w:val="0"/>
          <w:smallCaps w:val="0"/>
          <w:sz w:val="21"/>
          <w:szCs w:val="22"/>
        </w:rPr>
        <w:tab/>
      </w:r>
      <w:r>
        <w:rPr>
          <w:rStyle w:val="24"/>
          <w:rFonts w:hint="eastAsia"/>
        </w:rPr>
        <w:t>估价对象</w:t>
      </w:r>
      <w:r>
        <w:tab/>
      </w:r>
      <w:r>
        <w:fldChar w:fldCharType="begin"/>
      </w:r>
      <w:r>
        <w:instrText xml:space="preserve"> PAGEREF _Toc49247116 \h </w:instrText>
      </w:r>
      <w:r>
        <w:fldChar w:fldCharType="separate"/>
      </w:r>
      <w:r>
        <w:t>10</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"_Toc49247117" </w:instrText>
      </w:r>
      <w:r>
        <w:fldChar w:fldCharType="separate"/>
      </w:r>
      <w:r>
        <w:rPr>
          <w:rStyle w:val="24"/>
          <w:rFonts w:hint="eastAsia"/>
        </w:rPr>
        <w:t>五、</w:t>
      </w:r>
      <w:r>
        <w:rPr>
          <w:rFonts w:asciiTheme="minorHAnsi" w:hAnsiTheme="minorHAnsi" w:eastAsiaTheme="minorEastAsia" w:cstheme="minorBidi"/>
          <w:b w:val="0"/>
          <w:smallCaps w:val="0"/>
          <w:sz w:val="21"/>
          <w:szCs w:val="22"/>
        </w:rPr>
        <w:tab/>
      </w:r>
      <w:r>
        <w:rPr>
          <w:rStyle w:val="24"/>
          <w:rFonts w:hint="eastAsia"/>
        </w:rPr>
        <w:t>价值时点</w:t>
      </w:r>
      <w:r>
        <w:tab/>
      </w:r>
      <w:r>
        <w:fldChar w:fldCharType="begin"/>
      </w:r>
      <w:r>
        <w:instrText xml:space="preserve"> PAGEREF _Toc49247117 \h </w:instrText>
      </w:r>
      <w:r>
        <w:fldChar w:fldCharType="separate"/>
      </w:r>
      <w:r>
        <w:t>13</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"_Toc49247118" </w:instrText>
      </w:r>
      <w:r>
        <w:fldChar w:fldCharType="separate"/>
      </w:r>
      <w:r>
        <w:rPr>
          <w:rStyle w:val="24"/>
          <w:rFonts w:hint="eastAsia"/>
        </w:rPr>
        <w:t>六、</w:t>
      </w:r>
      <w:r>
        <w:rPr>
          <w:rFonts w:asciiTheme="minorHAnsi" w:hAnsiTheme="minorHAnsi" w:eastAsiaTheme="minorEastAsia" w:cstheme="minorBidi"/>
          <w:b w:val="0"/>
          <w:smallCaps w:val="0"/>
          <w:sz w:val="21"/>
          <w:szCs w:val="22"/>
        </w:rPr>
        <w:tab/>
      </w:r>
      <w:r>
        <w:rPr>
          <w:rStyle w:val="24"/>
          <w:rFonts w:hint="eastAsia"/>
        </w:rPr>
        <w:t>价值类型</w:t>
      </w:r>
      <w:r>
        <w:tab/>
      </w:r>
      <w:r>
        <w:fldChar w:fldCharType="begin"/>
      </w:r>
      <w:r>
        <w:instrText xml:space="preserve"> PAGEREF _Toc49247118 \h </w:instrText>
      </w:r>
      <w:r>
        <w:fldChar w:fldCharType="separate"/>
      </w:r>
      <w:r>
        <w:t>13</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"_Toc49247119" </w:instrText>
      </w:r>
      <w:r>
        <w:fldChar w:fldCharType="separate"/>
      </w:r>
      <w:r>
        <w:rPr>
          <w:rStyle w:val="24"/>
          <w:rFonts w:hint="eastAsia"/>
        </w:rPr>
        <w:t>七、</w:t>
      </w:r>
      <w:r>
        <w:rPr>
          <w:rFonts w:asciiTheme="minorHAnsi" w:hAnsiTheme="minorHAnsi" w:eastAsiaTheme="minorEastAsia" w:cstheme="minorBidi"/>
          <w:b w:val="0"/>
          <w:smallCaps w:val="0"/>
          <w:sz w:val="21"/>
          <w:szCs w:val="22"/>
        </w:rPr>
        <w:tab/>
      </w:r>
      <w:r>
        <w:rPr>
          <w:rStyle w:val="24"/>
          <w:rFonts w:hint="eastAsia"/>
        </w:rPr>
        <w:t>估价原则</w:t>
      </w:r>
      <w:r>
        <w:tab/>
      </w:r>
      <w:r>
        <w:fldChar w:fldCharType="begin"/>
      </w:r>
      <w:r>
        <w:instrText xml:space="preserve"> PAGEREF _Toc49247119 \h </w:instrText>
      </w:r>
      <w:r>
        <w:fldChar w:fldCharType="separate"/>
      </w:r>
      <w:r>
        <w:t>14</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"_Toc49247120" </w:instrText>
      </w:r>
      <w:r>
        <w:fldChar w:fldCharType="separate"/>
      </w:r>
      <w:r>
        <w:rPr>
          <w:rStyle w:val="24"/>
          <w:rFonts w:hint="eastAsia"/>
        </w:rPr>
        <w:t>八、</w:t>
      </w:r>
      <w:r>
        <w:rPr>
          <w:rFonts w:asciiTheme="minorHAnsi" w:hAnsiTheme="minorHAnsi" w:eastAsiaTheme="minorEastAsia" w:cstheme="minorBidi"/>
          <w:b w:val="0"/>
          <w:smallCaps w:val="0"/>
          <w:sz w:val="21"/>
          <w:szCs w:val="22"/>
        </w:rPr>
        <w:tab/>
      </w:r>
      <w:r>
        <w:rPr>
          <w:rStyle w:val="24"/>
          <w:rFonts w:hint="eastAsia"/>
        </w:rPr>
        <w:t>估价依据</w:t>
      </w:r>
      <w:r>
        <w:tab/>
      </w:r>
      <w:r>
        <w:fldChar w:fldCharType="begin"/>
      </w:r>
      <w:r>
        <w:instrText xml:space="preserve"> PAGEREF _Toc49247120 \h </w:instrText>
      </w:r>
      <w:r>
        <w:fldChar w:fldCharType="separate"/>
      </w:r>
      <w:r>
        <w:t>15</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"_Toc49247121" </w:instrText>
      </w:r>
      <w:r>
        <w:fldChar w:fldCharType="separate"/>
      </w:r>
      <w:r>
        <w:rPr>
          <w:rStyle w:val="24"/>
          <w:rFonts w:hint="eastAsia"/>
        </w:rPr>
        <w:t>九、</w:t>
      </w:r>
      <w:r>
        <w:rPr>
          <w:rFonts w:asciiTheme="minorHAnsi" w:hAnsiTheme="minorHAnsi" w:eastAsiaTheme="minorEastAsia" w:cstheme="minorBidi"/>
          <w:b w:val="0"/>
          <w:smallCaps w:val="0"/>
          <w:sz w:val="21"/>
          <w:szCs w:val="22"/>
        </w:rPr>
        <w:tab/>
      </w:r>
      <w:r>
        <w:rPr>
          <w:rStyle w:val="24"/>
          <w:rFonts w:hint="eastAsia"/>
        </w:rPr>
        <w:t>估价方法</w:t>
      </w:r>
      <w:r>
        <w:tab/>
      </w:r>
      <w:r>
        <w:fldChar w:fldCharType="begin"/>
      </w:r>
      <w:r>
        <w:instrText xml:space="preserve"> PAGEREF _Toc49247121 \h </w:instrText>
      </w:r>
      <w:r>
        <w:fldChar w:fldCharType="separate"/>
      </w:r>
      <w:r>
        <w:t>16</w:t>
      </w:r>
      <w:r>
        <w:fldChar w:fldCharType="end"/>
      </w:r>
      <w:r>
        <w:fldChar w:fldCharType="end"/>
      </w:r>
    </w:p>
    <w:p>
      <w:pPr>
        <w:pStyle w:val="18"/>
        <w:rPr>
          <w:rFonts w:asciiTheme="minorHAnsi" w:hAnsiTheme="minorHAnsi" w:eastAsiaTheme="minorEastAsia" w:cstheme="minorBidi"/>
          <w:b w:val="0"/>
          <w:smallCaps w:val="0"/>
          <w:sz w:val="21"/>
          <w:szCs w:val="22"/>
        </w:rPr>
      </w:pPr>
      <w:r>
        <w:fldChar w:fldCharType="begin"/>
      </w:r>
      <w:r>
        <w:instrText xml:space="preserve"> HYPERLINK \l "_Toc49247122" </w:instrText>
      </w:r>
      <w:r>
        <w:fldChar w:fldCharType="separate"/>
      </w:r>
      <w:r>
        <w:rPr>
          <w:rStyle w:val="24"/>
          <w:rFonts w:hint="eastAsia"/>
        </w:rPr>
        <w:t>十、</w:t>
      </w:r>
      <w:r>
        <w:rPr>
          <w:rFonts w:asciiTheme="minorHAnsi" w:hAnsiTheme="minorHAnsi" w:eastAsiaTheme="minorEastAsia" w:cstheme="minorBidi"/>
          <w:b w:val="0"/>
          <w:smallCaps w:val="0"/>
          <w:sz w:val="21"/>
          <w:szCs w:val="22"/>
        </w:rPr>
        <w:tab/>
      </w:r>
      <w:r>
        <w:rPr>
          <w:rStyle w:val="24"/>
          <w:rFonts w:hint="eastAsia"/>
        </w:rPr>
        <w:t>估价结果</w:t>
      </w:r>
      <w:r>
        <w:tab/>
      </w:r>
      <w:r>
        <w:fldChar w:fldCharType="begin"/>
      </w:r>
      <w:r>
        <w:instrText xml:space="preserve"> PAGEREF _Toc49247122 \h </w:instrText>
      </w:r>
      <w:r>
        <w:fldChar w:fldCharType="separate"/>
      </w:r>
      <w:r>
        <w:t>17</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"_Toc49247123" </w:instrText>
      </w:r>
      <w:r>
        <w:fldChar w:fldCharType="separate"/>
      </w:r>
      <w:r>
        <w:rPr>
          <w:rStyle w:val="24"/>
          <w:rFonts w:hint="eastAsia"/>
        </w:rPr>
        <w:t>十一、</w:t>
      </w:r>
      <w:r>
        <w:rPr>
          <w:rFonts w:asciiTheme="minorHAnsi" w:hAnsiTheme="minorHAnsi" w:eastAsiaTheme="minorEastAsia" w:cstheme="minorBidi"/>
          <w:b w:val="0"/>
          <w:smallCaps w:val="0"/>
          <w:sz w:val="21"/>
          <w:szCs w:val="22"/>
        </w:rPr>
        <w:tab/>
      </w:r>
      <w:r>
        <w:rPr>
          <w:rStyle w:val="24"/>
          <w:rFonts w:hint="eastAsia"/>
        </w:rPr>
        <w:t>注册房地产估价师</w:t>
      </w:r>
      <w:r>
        <w:tab/>
      </w:r>
      <w:r>
        <w:fldChar w:fldCharType="begin"/>
      </w:r>
      <w:r>
        <w:instrText xml:space="preserve"> PAGEREF _Toc49247123 \h </w:instrText>
      </w:r>
      <w:r>
        <w:fldChar w:fldCharType="separate"/>
      </w:r>
      <w:r>
        <w:t>18</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"_Toc49247124" </w:instrText>
      </w:r>
      <w:r>
        <w:fldChar w:fldCharType="separate"/>
      </w:r>
      <w:r>
        <w:rPr>
          <w:rStyle w:val="24"/>
          <w:rFonts w:hint="eastAsia"/>
        </w:rPr>
        <w:t>十二、</w:t>
      </w:r>
      <w:r>
        <w:rPr>
          <w:rFonts w:asciiTheme="minorHAnsi" w:hAnsiTheme="minorHAnsi" w:eastAsiaTheme="minorEastAsia" w:cstheme="minorBidi"/>
          <w:b w:val="0"/>
          <w:smallCaps w:val="0"/>
          <w:sz w:val="21"/>
          <w:szCs w:val="22"/>
        </w:rPr>
        <w:tab/>
      </w:r>
      <w:r>
        <w:rPr>
          <w:rStyle w:val="24"/>
          <w:rFonts w:hint="eastAsia"/>
        </w:rPr>
        <w:t>实地查勘期</w:t>
      </w:r>
      <w:r>
        <w:tab/>
      </w:r>
      <w:r>
        <w:fldChar w:fldCharType="begin"/>
      </w:r>
      <w:r>
        <w:instrText xml:space="preserve"> PAGEREF _Toc49247124 \h </w:instrText>
      </w:r>
      <w:r>
        <w:fldChar w:fldCharType="separate"/>
      </w:r>
      <w:r>
        <w:t>18</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"_Toc49247125" </w:instrText>
      </w:r>
      <w:r>
        <w:fldChar w:fldCharType="separate"/>
      </w:r>
      <w:r>
        <w:rPr>
          <w:rStyle w:val="24"/>
          <w:rFonts w:hint="eastAsia"/>
        </w:rPr>
        <w:t>十三、</w:t>
      </w:r>
      <w:r>
        <w:rPr>
          <w:rFonts w:asciiTheme="minorHAnsi" w:hAnsiTheme="minorHAnsi" w:eastAsiaTheme="minorEastAsia" w:cstheme="minorBidi"/>
          <w:b w:val="0"/>
          <w:smallCaps w:val="0"/>
          <w:sz w:val="21"/>
          <w:szCs w:val="22"/>
        </w:rPr>
        <w:tab/>
      </w:r>
      <w:r>
        <w:rPr>
          <w:rStyle w:val="24"/>
          <w:rFonts w:hint="eastAsia"/>
        </w:rPr>
        <w:t>估价作业期</w:t>
      </w:r>
      <w:r>
        <w:tab/>
      </w:r>
      <w:r>
        <w:fldChar w:fldCharType="begin"/>
      </w:r>
      <w:r>
        <w:instrText xml:space="preserve"> PAGEREF _Toc49247125 \h </w:instrText>
      </w:r>
      <w:r>
        <w:fldChar w:fldCharType="separate"/>
      </w:r>
      <w:r>
        <w:t>18</w:t>
      </w:r>
      <w:r>
        <w:fldChar w:fldCharType="end"/>
      </w:r>
      <w:r>
        <w:fldChar w:fldCharType="end"/>
      </w:r>
    </w:p>
    <w:p>
      <w:pPr>
        <w:pStyle w:val="18"/>
        <w:tabs>
          <w:tab w:val="left" w:pos="1260"/>
        </w:tabs>
        <w:rPr>
          <w:rFonts w:asciiTheme="minorHAnsi" w:hAnsiTheme="minorHAnsi" w:eastAsiaTheme="minorEastAsia" w:cstheme="minorBidi"/>
          <w:b w:val="0"/>
          <w:smallCaps w:val="0"/>
          <w:sz w:val="21"/>
          <w:szCs w:val="22"/>
        </w:rPr>
      </w:pPr>
      <w:r>
        <w:fldChar w:fldCharType="begin"/>
      </w:r>
      <w:r>
        <w:instrText xml:space="preserve"> HYPERLINK \l "_Toc49247126" </w:instrText>
      </w:r>
      <w:r>
        <w:fldChar w:fldCharType="separate"/>
      </w:r>
      <w:r>
        <w:rPr>
          <w:rStyle w:val="24"/>
          <w:rFonts w:hint="eastAsia"/>
        </w:rPr>
        <w:t>十四、</w:t>
      </w:r>
      <w:r>
        <w:rPr>
          <w:rFonts w:asciiTheme="minorHAnsi" w:hAnsiTheme="minorHAnsi" w:eastAsiaTheme="minorEastAsia" w:cstheme="minorBidi"/>
          <w:b w:val="0"/>
          <w:smallCaps w:val="0"/>
          <w:sz w:val="21"/>
          <w:szCs w:val="22"/>
        </w:rPr>
        <w:tab/>
      </w:r>
      <w:r>
        <w:rPr>
          <w:rStyle w:val="24"/>
          <w:rFonts w:hint="eastAsia"/>
        </w:rPr>
        <w:t>估价报告应用的有效期</w:t>
      </w:r>
      <w:r>
        <w:tab/>
      </w:r>
      <w:r>
        <w:fldChar w:fldCharType="begin"/>
      </w:r>
      <w:r>
        <w:instrText xml:space="preserve"> PAGEREF _Toc49247126 \h </w:instrText>
      </w:r>
      <w:r>
        <w:fldChar w:fldCharType="separate"/>
      </w:r>
      <w:r>
        <w:t>18</w:t>
      </w:r>
      <w:r>
        <w:fldChar w:fldCharType="end"/>
      </w:r>
      <w:r>
        <w:fldChar w:fldCharType="end"/>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Fonts w:eastAsia="Times New Roman"/>
          <w:bCs/>
          <w:caps/>
          <w:color w:val="000000" w:themeColor="text1"/>
          <w:sz w:val="24"/>
          <w:szCs w:val="28"/>
        </w:rPr>
        <w:fldChar w:fldCharType="end"/>
      </w:r>
      <w:r>
        <w:rPr>
          <w:rStyle w:val="24"/>
          <w:rFonts w:hint="eastAsia" w:ascii="宋体" w:hAnsi="宋体" w:eastAsia="Times New Roman"/>
          <w:smallCaps/>
          <w:color w:val="000000" w:themeColor="text1"/>
          <w:sz w:val="24"/>
          <w:u w:val="none"/>
        </w:rPr>
        <w:t>估价对象区位示意图</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估价对象</w:t>
      </w:r>
      <w:r>
        <w:rPr>
          <w:rStyle w:val="24"/>
          <w:rFonts w:hint="eastAsia" w:ascii="宋体" w:hAnsi="宋体" w:eastAsiaTheme="minorEastAsia"/>
          <w:smallCaps/>
          <w:color w:val="000000" w:themeColor="text1"/>
          <w:sz w:val="24"/>
          <w:u w:val="none"/>
        </w:rPr>
        <w:t>现场查勘</w:t>
      </w:r>
      <w:r>
        <w:rPr>
          <w:rStyle w:val="24"/>
          <w:rFonts w:hint="eastAsia" w:ascii="宋体" w:hAnsi="宋体" w:eastAsia="Times New Roman"/>
          <w:smallCaps/>
          <w:color w:val="000000" w:themeColor="text1"/>
          <w:sz w:val="24"/>
          <w:u w:val="none"/>
        </w:rPr>
        <w:t>照片</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房屋所有权证</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imes New Roman"/>
          <w:smallCaps/>
          <w:color w:val="000000" w:themeColor="text1"/>
          <w:sz w:val="24"/>
          <w:u w:val="none"/>
        </w:rPr>
        <w:t>《</w:t>
      </w:r>
      <w:r>
        <w:rPr>
          <w:rStyle w:val="24"/>
          <w:rFonts w:hint="eastAsia" w:ascii="宋体" w:hAnsi="宋体" w:eastAsiaTheme="minorEastAsia"/>
          <w:smallCaps/>
          <w:color w:val="000000" w:themeColor="text1"/>
          <w:sz w:val="24"/>
          <w:u w:val="none"/>
        </w:rPr>
        <w:t>国有土地使用证</w:t>
      </w:r>
      <w:r>
        <w:rPr>
          <w:rStyle w:val="24"/>
          <w:rFonts w:hint="eastAsia" w:ascii="宋体" w:hAnsi="宋体" w:eastAsia="Times New Roman"/>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湖北省武穴市人民法院鉴定委托书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hint="eastAsia" w:ascii="宋体" w:hAnsi="宋体" w:eastAsiaTheme="minorEastAsia"/>
          <w:smallCaps/>
          <w:color w:val="000000" w:themeColor="text1"/>
          <w:sz w:val="24"/>
          <w:u w:val="none"/>
        </w:rPr>
        <w:t>湖北省武穴市人民法院执行裁定书</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估价机构营业执照</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估价机构资质证书</w:t>
      </w:r>
      <w:r>
        <w:rPr>
          <w:rStyle w:val="24"/>
          <w:rFonts w:hint="eastAsia" w:ascii="宋体" w:hAnsi="宋体" w:eastAsiaTheme="minorEastAsia"/>
          <w:smallCaps/>
          <w:color w:val="000000" w:themeColor="text1"/>
          <w:sz w:val="24"/>
          <w:u w:val="none"/>
        </w:rPr>
        <w:t>（复印件）</w:t>
      </w:r>
    </w:p>
    <w:p>
      <w:pPr>
        <w:numPr>
          <w:ilvl w:val="0"/>
          <w:numId w:val="1"/>
        </w:numPr>
        <w:tabs>
          <w:tab w:val="left" w:pos="1260"/>
          <w:tab w:val="left" w:pos="1440"/>
          <w:tab w:val="left" w:pos="1620"/>
        </w:tabs>
        <w:spacing w:line="400" w:lineRule="exact"/>
        <w:ind w:left="567" w:firstLine="0"/>
        <w:rPr>
          <w:rStyle w:val="24"/>
          <w:rFonts w:ascii="宋体" w:hAnsi="宋体" w:eastAsia="Times New Roman"/>
          <w:smallCaps/>
          <w:color w:val="000000" w:themeColor="text1"/>
          <w:sz w:val="24"/>
          <w:u w:val="none"/>
        </w:rPr>
      </w:pPr>
      <w:r>
        <w:rPr>
          <w:rStyle w:val="24"/>
          <w:rFonts w:ascii="宋体" w:hAnsi="宋体" w:eastAsia="Times New Roman"/>
          <w:smallCaps/>
          <w:color w:val="000000" w:themeColor="text1"/>
          <w:sz w:val="24"/>
          <w:u w:val="none"/>
        </w:rPr>
        <w:t>房地产估价师注册证</w:t>
      </w:r>
      <w:r>
        <w:rPr>
          <w:rStyle w:val="24"/>
          <w:rFonts w:hint="eastAsia" w:ascii="宋体" w:hAnsi="宋体" w:eastAsiaTheme="minorEastAsia"/>
          <w:smallCaps/>
          <w:color w:val="000000" w:themeColor="text1"/>
          <w:sz w:val="24"/>
          <w:u w:val="none"/>
        </w:rPr>
        <w:t>书（复印件）</w:t>
      </w:r>
    </w:p>
    <w:p>
      <w:pPr>
        <w:numPr>
          <w:ilvl w:val="0"/>
          <w:numId w:val="0"/>
        </w:numPr>
        <w:tabs>
          <w:tab w:val="left" w:pos="1260"/>
          <w:tab w:val="left" w:pos="1440"/>
          <w:tab w:val="left" w:pos="1620"/>
        </w:tabs>
        <w:spacing w:line="400" w:lineRule="exact"/>
        <w:ind w:left="567" w:leftChars="0"/>
        <w:rPr>
          <w:rStyle w:val="24"/>
          <w:rFonts w:ascii="宋体" w:hAnsi="宋体" w:eastAsia="Times New Roman"/>
          <w:smallCaps/>
          <w:color w:val="000000" w:themeColor="text1"/>
          <w:sz w:val="24"/>
          <w:u w:val="none"/>
        </w:rPr>
      </w:pPr>
    </w:p>
    <w:p>
      <w:pPr>
        <w:numPr>
          <w:ilvl w:val="0"/>
          <w:numId w:val="0"/>
        </w:numPr>
        <w:tabs>
          <w:tab w:val="left" w:pos="1260"/>
          <w:tab w:val="left" w:pos="1440"/>
          <w:tab w:val="left" w:pos="1620"/>
        </w:tabs>
        <w:spacing w:line="400" w:lineRule="exact"/>
        <w:ind w:firstLine="240" w:firstLineChars="100"/>
        <w:rPr>
          <w:rStyle w:val="24"/>
          <w:rFonts w:hint="eastAsia" w:ascii="宋体" w:hAnsi="宋体" w:eastAsiaTheme="minorEastAsia"/>
          <w:smallCaps/>
          <w:color w:val="auto"/>
          <w:sz w:val="24"/>
          <w:u w:val="none"/>
          <w:lang w:val="en-US" w:eastAsia="zh-CN"/>
        </w:rPr>
      </w:pPr>
      <w:r>
        <w:rPr>
          <w:rStyle w:val="24"/>
          <w:rFonts w:hint="eastAsia" w:ascii="宋体" w:hAnsi="宋体" w:eastAsiaTheme="minorEastAsia"/>
          <w:smallCaps/>
          <w:color w:val="FF0000"/>
          <w:sz w:val="24"/>
          <w:u w:val="none"/>
          <w:lang w:val="en-US" w:eastAsia="zh-CN"/>
        </w:rPr>
        <w:t>*</w:t>
      </w:r>
      <w:r>
        <w:rPr>
          <w:rStyle w:val="24"/>
          <w:rFonts w:hint="eastAsia" w:ascii="宋体" w:hAnsi="宋体" w:eastAsiaTheme="minorEastAsia"/>
          <w:smallCaps/>
          <w:color w:val="auto"/>
          <w:sz w:val="24"/>
          <w:u w:val="none"/>
          <w:lang w:val="en-US" w:eastAsia="zh-CN"/>
        </w:rPr>
        <w:t>以上部分资料因系统限制大小原因上拍时有删减，有意购买者请联系法院获取、看样。</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color w:val="000000" w:themeColor="text1"/>
          <w:sz w:val="28"/>
          <w:szCs w:val="28"/>
        </w:rPr>
      </w:pPr>
    </w:p>
    <w:p>
      <w:pPr>
        <w:tabs>
          <w:tab w:val="left" w:pos="1260"/>
          <w:tab w:val="left" w:pos="1440"/>
          <w:tab w:val="left" w:pos="1620"/>
        </w:tabs>
        <w:spacing w:line="500" w:lineRule="exact"/>
        <w:ind w:left="1021"/>
        <w:jc w:val="center"/>
        <w:outlineLvl w:val="0"/>
        <w:rPr>
          <w:rFonts w:eastAsia="黑体"/>
          <w:b/>
          <w:color w:val="000000" w:themeColor="text1"/>
          <w:sz w:val="48"/>
          <w:szCs w:val="48"/>
        </w:rPr>
        <w:sectPr>
          <w:headerReference r:id="rId3" w:type="default"/>
          <w:pgSz w:w="11906" w:h="16838"/>
          <w:pgMar w:top="1134" w:right="1247" w:bottom="1134" w:left="1247" w:header="850" w:footer="992" w:gutter="0"/>
          <w:pgNumType w:start="1"/>
          <w:cols w:space="425" w:num="1"/>
          <w:docGrid w:linePitch="312" w:charSpace="0"/>
        </w:sectPr>
      </w:pPr>
    </w:p>
    <w:p>
      <w:pPr>
        <w:tabs>
          <w:tab w:val="left" w:pos="1260"/>
          <w:tab w:val="left" w:pos="1440"/>
          <w:tab w:val="left" w:pos="1620"/>
        </w:tabs>
        <w:spacing w:line="500" w:lineRule="exact"/>
        <w:ind w:left="1021"/>
        <w:jc w:val="center"/>
        <w:outlineLvl w:val="0"/>
        <w:rPr>
          <w:rFonts w:eastAsia="黑体"/>
          <w:b/>
          <w:color w:val="000000" w:themeColor="text1"/>
          <w:sz w:val="48"/>
          <w:szCs w:val="48"/>
        </w:rPr>
      </w:pPr>
      <w:bookmarkStart w:id="0" w:name="_Toc49247110"/>
      <w:r>
        <w:rPr>
          <w:rFonts w:eastAsia="黑体"/>
          <w:b/>
          <w:color w:val="000000" w:themeColor="text1"/>
          <w:sz w:val="48"/>
          <w:szCs w:val="48"/>
        </w:rPr>
        <w:t>估价师声明</w:t>
      </w:r>
      <w:bookmarkEnd w:id="0"/>
    </w:p>
    <w:p>
      <w:pPr>
        <w:tabs>
          <w:tab w:val="left" w:pos="1260"/>
          <w:tab w:val="left" w:pos="1440"/>
          <w:tab w:val="left" w:pos="1620"/>
        </w:tabs>
        <w:spacing w:line="500" w:lineRule="exact"/>
        <w:ind w:left="1021"/>
        <w:jc w:val="center"/>
        <w:outlineLvl w:val="0"/>
        <w:rPr>
          <w:rFonts w:ascii="宋体" w:hAnsi="宋体"/>
          <w:b/>
          <w:color w:val="000000" w:themeColor="text1"/>
          <w:sz w:val="28"/>
          <w:szCs w:val="28"/>
        </w:rPr>
      </w:pPr>
    </w:p>
    <w:p>
      <w:pPr>
        <w:spacing w:line="500" w:lineRule="exact"/>
        <w:ind w:firstLine="560" w:firstLineChars="200"/>
        <w:rPr>
          <w:color w:val="000000" w:themeColor="text1"/>
          <w:sz w:val="28"/>
          <w:szCs w:val="28"/>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张杰</w:t>
      </w:r>
      <w:r>
        <w:rPr>
          <w:color w:val="000000" w:themeColor="text1"/>
          <w:sz w:val="28"/>
          <w:szCs w:val="28"/>
        </w:rPr>
        <w:t>于</w:t>
      </w:r>
      <w:r>
        <w:rPr>
          <w:rFonts w:hint="eastAsia"/>
          <w:color w:val="000000" w:themeColor="text1"/>
          <w:sz w:val="28"/>
          <w:szCs w:val="28"/>
        </w:rPr>
        <w:t>2020年</w:t>
      </w:r>
      <w:r>
        <w:rPr>
          <w:color w:val="000000" w:themeColor="text1"/>
          <w:sz w:val="28"/>
          <w:szCs w:val="28"/>
        </w:rPr>
        <w:t>08</w:t>
      </w:r>
      <w:r>
        <w:rPr>
          <w:rFonts w:hint="eastAsia"/>
          <w:color w:val="000000" w:themeColor="text1"/>
          <w:sz w:val="28"/>
          <w:szCs w:val="28"/>
        </w:rPr>
        <w:t>月</w:t>
      </w:r>
      <w:r>
        <w:rPr>
          <w:color w:val="000000" w:themeColor="text1"/>
          <w:sz w:val="28"/>
          <w:szCs w:val="28"/>
        </w:rPr>
        <w:t>03</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汪震超</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6"/>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张  杰</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w:t>
            </w:r>
            <w:r>
              <w:rPr>
                <w:rFonts w:asciiTheme="minorEastAsia" w:hAnsiTheme="minorEastAsia" w:eastAsiaTheme="minorEastAsia"/>
                <w:color w:val="000000" w:themeColor="text1"/>
                <w:sz w:val="24"/>
              </w:rPr>
              <w:t>190036</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p>
        </w:tc>
      </w:tr>
    </w:tbl>
    <w:p>
      <w:pPr>
        <w:widowControl/>
        <w:jc w:val="center"/>
        <w:outlineLvl w:val="0"/>
        <w:rPr>
          <w:rFonts w:eastAsia="黑体"/>
          <w:b/>
          <w:sz w:val="44"/>
          <w:szCs w:val="44"/>
        </w:rPr>
      </w:pPr>
      <w:r>
        <w:rPr>
          <w:rFonts w:eastAsia="黑体"/>
          <w:b/>
          <w:color w:val="000000" w:themeColor="text1"/>
          <w:sz w:val="48"/>
          <w:szCs w:val="48"/>
        </w:rPr>
        <w:br w:type="page"/>
      </w:r>
      <w:bookmarkStart w:id="1" w:name="_Toc49247111"/>
      <w:r>
        <w:rPr>
          <w:rFonts w:eastAsia="黑体"/>
          <w:b/>
          <w:sz w:val="48"/>
          <w:szCs w:val="48"/>
        </w:rPr>
        <w:t>估价的假设和限制条件</w:t>
      </w:r>
      <w:bookmarkEnd w:id="1"/>
    </w:p>
    <w:p>
      <w:pPr>
        <w:spacing w:line="500" w:lineRule="exact"/>
        <w:ind w:firstLine="560" w:firstLineChars="200"/>
        <w:jc w:val="center"/>
        <w:outlineLvl w:val="0"/>
        <w:rPr>
          <w:color w:val="000000" w:themeColor="text1"/>
          <w:sz w:val="28"/>
          <w:szCs w:val="28"/>
        </w:rPr>
      </w:pPr>
    </w:p>
    <w:p>
      <w:pPr>
        <w:spacing w:line="500" w:lineRule="exact"/>
        <w:ind w:firstLine="562" w:firstLineChars="200"/>
        <w:rPr>
          <w:b/>
          <w:color w:val="000000" w:themeColor="text1"/>
          <w:sz w:val="28"/>
          <w:szCs w:val="28"/>
        </w:rPr>
      </w:pPr>
      <w:r>
        <w:rPr>
          <w:b/>
          <w:color w:val="000000" w:themeColor="text1"/>
          <w:sz w:val="28"/>
          <w:szCs w:val="28"/>
        </w:rPr>
        <w:t>一、一般假设</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注册房地产估价师对</w:t>
      </w:r>
      <w:r>
        <w:rPr>
          <w:rFonts w:hint="eastAsia"/>
          <w:color w:val="000000" w:themeColor="text1"/>
          <w:sz w:val="28"/>
          <w:szCs w:val="28"/>
        </w:rPr>
        <w:t>委托方</w:t>
      </w:r>
      <w:r>
        <w:rPr>
          <w:color w:val="000000" w:themeColor="text1"/>
          <w:sz w:val="28"/>
          <w:szCs w:val="28"/>
        </w:rPr>
        <w:t>提供的估价对象</w:t>
      </w:r>
      <w:r>
        <w:rPr>
          <w:rFonts w:hint="eastAsia"/>
          <w:color w:val="000000" w:themeColor="text1"/>
          <w:sz w:val="28"/>
          <w:szCs w:val="28"/>
        </w:rPr>
        <w:t>相关资料复印件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估价对象房屋建筑面积为</w:t>
      </w:r>
      <w:r>
        <w:rPr>
          <w:rFonts w:hint="eastAsia"/>
          <w:color w:val="000000" w:themeColor="text1"/>
          <w:sz w:val="28"/>
          <w:szCs w:val="28"/>
        </w:rPr>
        <w:t>409.28</w:t>
      </w:r>
      <w:r>
        <w:rPr>
          <w:color w:val="000000" w:themeColor="text1"/>
          <w:sz w:val="28"/>
          <w:szCs w:val="28"/>
        </w:rPr>
        <w:t>平方米</w:t>
      </w:r>
      <w:r>
        <w:rPr>
          <w:rFonts w:hint="eastAsia"/>
          <w:color w:val="000000" w:themeColor="text1"/>
          <w:sz w:val="28"/>
          <w:szCs w:val="28"/>
        </w:rPr>
        <w:t>，土地使用权面积为200平方米</w:t>
      </w:r>
      <w:r>
        <w:rPr>
          <w:color w:val="000000" w:themeColor="text1"/>
          <w:sz w:val="28"/>
          <w:szCs w:val="28"/>
        </w:rPr>
        <w:t>，</w:t>
      </w:r>
      <w:r>
        <w:rPr>
          <w:rFonts w:hint="eastAsia"/>
          <w:color w:val="000000" w:themeColor="text1"/>
          <w:sz w:val="28"/>
          <w:szCs w:val="28"/>
        </w:rPr>
        <w:t>数据</w:t>
      </w:r>
      <w:r>
        <w:rPr>
          <w:color w:val="000000" w:themeColor="text1"/>
          <w:sz w:val="28"/>
          <w:szCs w:val="28"/>
        </w:rPr>
        <w:t>来源于委托方提供的</w:t>
      </w:r>
      <w:r>
        <w:rPr>
          <w:rFonts w:hint="eastAsia"/>
          <w:color w:val="000000" w:themeColor="text1"/>
          <w:sz w:val="28"/>
          <w:szCs w:val="28"/>
        </w:rPr>
        <w:t>《房屋所有权证》及《国有土地使用证》复印件上注明的面积，仅作为本次估价之依据</w:t>
      </w:r>
      <w:r>
        <w:rPr>
          <w:color w:val="000000" w:themeColor="text1"/>
          <w:sz w:val="28"/>
          <w:szCs w:val="28"/>
        </w:rPr>
        <w:t>，</w:t>
      </w:r>
      <w:r>
        <w:rPr>
          <w:rFonts w:hint="eastAsia"/>
          <w:color w:val="000000" w:themeColor="text1"/>
          <w:sz w:val="28"/>
          <w:szCs w:val="28"/>
        </w:rPr>
        <w:t>并</w:t>
      </w:r>
      <w:r>
        <w:rPr>
          <w:color w:val="000000" w:themeColor="text1"/>
          <w:sz w:val="28"/>
          <w:szCs w:val="28"/>
        </w:rPr>
        <w:t>以此为估价的前提条件。</w:t>
      </w:r>
    </w:p>
    <w:p>
      <w:pPr>
        <w:pStyle w:val="32"/>
        <w:numPr>
          <w:ilvl w:val="0"/>
          <w:numId w:val="2"/>
        </w:numPr>
        <w:spacing w:line="500" w:lineRule="exact"/>
        <w:ind w:firstLine="1134" w:firstLineChars="0"/>
        <w:rPr>
          <w:sz w:val="28"/>
          <w:szCs w:val="28"/>
        </w:rPr>
      </w:pPr>
      <w:r>
        <w:rPr>
          <w:rFonts w:hint="eastAsia"/>
          <w:sz w:val="28"/>
          <w:szCs w:val="28"/>
        </w:rPr>
        <w:t>估价对象房屋前后</w:t>
      </w:r>
      <w:r>
        <w:rPr>
          <w:sz w:val="28"/>
          <w:szCs w:val="28"/>
        </w:rPr>
        <w:t>均建有院落，但由于</w:t>
      </w:r>
      <w:r>
        <w:rPr>
          <w:rFonts w:hint="eastAsia"/>
          <w:sz w:val="28"/>
          <w:szCs w:val="28"/>
        </w:rPr>
        <w:t>该部分</w:t>
      </w:r>
      <w:r>
        <w:rPr>
          <w:sz w:val="28"/>
          <w:szCs w:val="28"/>
        </w:rPr>
        <w:t>不能</w:t>
      </w:r>
      <w:r>
        <w:rPr>
          <w:rFonts w:hint="eastAsia"/>
          <w:sz w:val="28"/>
          <w:szCs w:val="28"/>
        </w:rPr>
        <w:t>脱离于</w:t>
      </w:r>
      <w:r>
        <w:rPr>
          <w:sz w:val="28"/>
          <w:szCs w:val="28"/>
        </w:rPr>
        <w:t>房产单独</w:t>
      </w:r>
      <w:r>
        <w:rPr>
          <w:rFonts w:hint="eastAsia"/>
          <w:sz w:val="28"/>
          <w:szCs w:val="28"/>
        </w:rPr>
        <w:t>产生</w:t>
      </w:r>
      <w:r>
        <w:rPr>
          <w:sz w:val="28"/>
          <w:szCs w:val="28"/>
        </w:rPr>
        <w:t>价值</w:t>
      </w:r>
      <w:r>
        <w:rPr>
          <w:rFonts w:hint="eastAsia"/>
          <w:sz w:val="28"/>
          <w:szCs w:val="28"/>
        </w:rPr>
        <w:t>，</w:t>
      </w:r>
      <w:r>
        <w:rPr>
          <w:sz w:val="28"/>
          <w:szCs w:val="28"/>
        </w:rPr>
        <w:t>亦无法单独</w:t>
      </w:r>
      <w:r>
        <w:rPr>
          <w:rFonts w:hint="eastAsia"/>
          <w:sz w:val="28"/>
          <w:szCs w:val="28"/>
        </w:rPr>
        <w:t>交易</w:t>
      </w:r>
      <w:r>
        <w:rPr>
          <w:sz w:val="28"/>
          <w:szCs w:val="28"/>
        </w:rPr>
        <w:t>，故本次评估考虑了</w:t>
      </w:r>
      <w:r>
        <w:rPr>
          <w:rFonts w:hint="eastAsia"/>
          <w:sz w:val="28"/>
          <w:szCs w:val="28"/>
        </w:rPr>
        <w:t>估价对象房屋</w:t>
      </w:r>
      <w:r>
        <w:rPr>
          <w:sz w:val="28"/>
          <w:szCs w:val="28"/>
        </w:rPr>
        <w:t>前后院落对房地产价值的影响</w:t>
      </w:r>
      <w:r>
        <w:rPr>
          <w:rFonts w:hint="eastAsia"/>
          <w:sz w:val="28"/>
          <w:szCs w:val="28"/>
        </w:rPr>
        <w:t>，</w:t>
      </w:r>
      <w:r>
        <w:rPr>
          <w:sz w:val="28"/>
          <w:szCs w:val="28"/>
        </w:rPr>
        <w:t>对</w:t>
      </w:r>
      <w:r>
        <w:rPr>
          <w:rFonts w:hint="eastAsia"/>
          <w:sz w:val="28"/>
          <w:szCs w:val="28"/>
        </w:rPr>
        <w:t>其</w:t>
      </w:r>
      <w:r>
        <w:rPr>
          <w:sz w:val="28"/>
          <w:szCs w:val="28"/>
        </w:rPr>
        <w:t>价格</w:t>
      </w:r>
      <w:r>
        <w:rPr>
          <w:rFonts w:hint="eastAsia"/>
          <w:sz w:val="28"/>
          <w:szCs w:val="28"/>
        </w:rPr>
        <w:t>作</w:t>
      </w:r>
      <w:r>
        <w:rPr>
          <w:sz w:val="28"/>
          <w:szCs w:val="28"/>
        </w:rPr>
        <w:t>了适当</w:t>
      </w:r>
      <w:r>
        <w:rPr>
          <w:rFonts w:hint="eastAsia"/>
          <w:sz w:val="28"/>
          <w:szCs w:val="28"/>
        </w:rPr>
        <w:t>修正</w:t>
      </w:r>
      <w:r>
        <w:rPr>
          <w:sz w:val="28"/>
          <w:szCs w:val="28"/>
        </w:rPr>
        <w:t>调整</w:t>
      </w:r>
      <w:r>
        <w:rPr>
          <w:rFonts w:hint="eastAsia"/>
          <w:sz w:val="28"/>
          <w:szCs w:val="28"/>
        </w:rPr>
        <w:t>。</w:t>
      </w:r>
    </w:p>
    <w:p>
      <w:pPr>
        <w:pStyle w:val="32"/>
        <w:numPr>
          <w:ilvl w:val="0"/>
          <w:numId w:val="2"/>
        </w:numPr>
        <w:spacing w:line="500" w:lineRule="exact"/>
        <w:ind w:firstLine="1134" w:firstLineChars="0"/>
        <w:rPr>
          <w:sz w:val="28"/>
          <w:szCs w:val="28"/>
        </w:rPr>
      </w:pPr>
      <w:r>
        <w:rPr>
          <w:rFonts w:hint="eastAsia"/>
          <w:sz w:val="28"/>
          <w:szCs w:val="28"/>
        </w:rPr>
        <w:t>估价对象《房屋所有权证》登记用途为住宅，实际用途与登记用途一致。本次评估假设估价对象能够按照住宅的用途继续使用，并以此为估价的前提条件。</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根据估价目的，假设估价对象处于以下市场状况：</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rFonts w:ascii="宋体" w:hAnsi="宋体"/>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任何有关估价对象运作方式等符合国家和地方法律、法规。</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pStyle w:val="32"/>
        <w:numPr>
          <w:ilvl w:val="0"/>
          <w:numId w:val="2"/>
        </w:numPr>
        <w:spacing w:line="500" w:lineRule="exact"/>
        <w:ind w:firstLine="1134" w:firstLineChars="0"/>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2"/>
        <w:numPr>
          <w:ilvl w:val="0"/>
          <w:numId w:val="2"/>
        </w:numPr>
        <w:spacing w:line="500" w:lineRule="exact"/>
        <w:ind w:firstLine="1134" w:firstLineChars="0"/>
        <w:rPr>
          <w:color w:val="000000" w:themeColor="text1"/>
          <w:sz w:val="28"/>
          <w:szCs w:val="28"/>
        </w:rPr>
      </w:pPr>
      <w:r>
        <w:rPr>
          <w:snapToGrid w:val="0"/>
          <w:color w:val="000000" w:themeColor="text1"/>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color w:val="000000" w:themeColor="text1"/>
          <w:sz w:val="28"/>
          <w:szCs w:val="28"/>
        </w:rPr>
        <w:t xml:space="preserve"> </w:t>
      </w:r>
      <w:r>
        <w:rPr>
          <w:b/>
          <w:color w:val="000000" w:themeColor="text1"/>
          <w:sz w:val="28"/>
          <w:szCs w:val="28"/>
        </w:rPr>
        <w:t>二、未定事项假设</w:t>
      </w:r>
    </w:p>
    <w:p>
      <w:pPr>
        <w:spacing w:line="500" w:lineRule="exact"/>
        <w:ind w:left="141" w:leftChars="67" w:firstLine="560" w:firstLineChars="200"/>
        <w:rPr>
          <w:color w:val="000000" w:themeColor="text1"/>
          <w:sz w:val="28"/>
          <w:szCs w:val="28"/>
        </w:rPr>
      </w:pPr>
      <w:r>
        <w:rPr>
          <w:rFonts w:hint="eastAsia"/>
          <w:sz w:val="28"/>
          <w:szCs w:val="28"/>
        </w:rPr>
        <w:t>估价对象产权证书未记载房屋建成年份，根据房地产估价师现场问询当事人，房屋建成年份为2003年，本次评估以实际调查结果为准，并以此为估价的前提条件</w:t>
      </w:r>
      <w:r>
        <w:rPr>
          <w:sz w:val="28"/>
          <w:szCs w:val="28"/>
        </w:rPr>
        <w:t>。</w:t>
      </w:r>
    </w:p>
    <w:p>
      <w:pPr>
        <w:spacing w:line="500" w:lineRule="exact"/>
        <w:ind w:firstLine="562"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color w:val="000000" w:themeColor="text1"/>
          <w:sz w:val="28"/>
          <w:szCs w:val="28"/>
        </w:rPr>
        <w:t>无背离事实假设。</w:t>
      </w:r>
    </w:p>
    <w:p>
      <w:pPr>
        <w:spacing w:line="500" w:lineRule="exact"/>
        <w:ind w:firstLine="562"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color w:val="000000" w:themeColor="text1"/>
          <w:sz w:val="28"/>
          <w:szCs w:val="28"/>
        </w:rPr>
        <w:t>无不相一致假设。</w:t>
      </w:r>
    </w:p>
    <w:p>
      <w:pPr>
        <w:spacing w:line="500" w:lineRule="exact"/>
        <w:ind w:firstLine="562"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rFonts w:hint="eastAsia"/>
          <w:color w:val="000000" w:themeColor="text1"/>
          <w:sz w:val="28"/>
          <w:szCs w:val="28"/>
        </w:rPr>
        <w:t>委托方</w:t>
      </w:r>
      <w:r>
        <w:rPr>
          <w:color w:val="000000" w:themeColor="text1"/>
          <w:sz w:val="28"/>
          <w:szCs w:val="28"/>
        </w:rPr>
        <w:t>所提供的《</w:t>
      </w:r>
      <w:r>
        <w:rPr>
          <w:rFonts w:hint="eastAsia"/>
          <w:sz w:val="28"/>
          <w:szCs w:val="28"/>
        </w:rPr>
        <w:t>房屋所有权证</w:t>
      </w:r>
      <w:r>
        <w:rPr>
          <w:color w:val="000000" w:themeColor="text1"/>
          <w:sz w:val="28"/>
          <w:szCs w:val="28"/>
        </w:rPr>
        <w:t>》</w:t>
      </w:r>
      <w:r>
        <w:rPr>
          <w:rFonts w:hint="eastAsia"/>
          <w:color w:val="000000" w:themeColor="text1"/>
          <w:sz w:val="28"/>
          <w:szCs w:val="28"/>
        </w:rPr>
        <w:t>、《国有土地使用证》等</w:t>
      </w:r>
      <w:r>
        <w:rPr>
          <w:color w:val="000000" w:themeColor="text1"/>
          <w:sz w:val="28"/>
          <w:szCs w:val="28"/>
        </w:rPr>
        <w:t>资料均为复印件，未提供原件。我们进行了审慎的检查但未与原件核实，在无理由怀疑其真实的情况下，假设</w:t>
      </w:r>
      <w:r>
        <w:rPr>
          <w:rFonts w:hint="eastAsia"/>
          <w:color w:val="000000" w:themeColor="text1"/>
          <w:sz w:val="28"/>
          <w:szCs w:val="28"/>
        </w:rPr>
        <w:t>委托方</w:t>
      </w:r>
      <w:r>
        <w:rPr>
          <w:color w:val="000000" w:themeColor="text1"/>
          <w:sz w:val="28"/>
          <w:szCs w:val="28"/>
        </w:rPr>
        <w:t>提供的资料是真实的且与原件一致。</w:t>
      </w:r>
    </w:p>
    <w:p>
      <w:pPr>
        <w:spacing w:line="500" w:lineRule="exact"/>
        <w:ind w:firstLine="562"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4、本估价报告仅为</w:t>
      </w:r>
      <w:r>
        <w:rPr>
          <w:rFonts w:hint="eastAsia"/>
          <w:sz w:val="28"/>
          <w:szCs w:val="28"/>
        </w:rPr>
        <w:t>人民法院确定财产处置参考价提供参考依据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14" w:lineRule="exact"/>
        <w:rPr>
          <w:color w:val="FFFFFF" w:themeColor="background1"/>
          <w:sz w:val="10"/>
          <w:szCs w:val="10"/>
        </w:rPr>
      </w:pPr>
      <w:r>
        <w:rPr>
          <w:rFonts w:hint="eastAsia"/>
          <w:color w:val="FFFFFF" w:themeColor="background1"/>
          <w:sz w:val="10"/>
          <w:szCs w:val="10"/>
        </w:rPr>
        <w:t>【页眉_估价地址】【页眉_房屋所有权人</w:t>
      </w:r>
    </w:p>
    <w:p>
      <w:pPr>
        <w:widowControl/>
        <w:jc w:val="left"/>
        <w:rPr>
          <w:rFonts w:eastAsia="黑体"/>
          <w:b/>
          <w:color w:val="000000" w:themeColor="text1"/>
          <w:sz w:val="48"/>
          <w:szCs w:val="48"/>
        </w:rPr>
      </w:pPr>
      <w:r>
        <w:rPr>
          <w:rFonts w:eastAsia="黑体"/>
          <w:b/>
          <w:color w:val="000000" w:themeColor="text1"/>
          <w:sz w:val="48"/>
          <w:szCs w:val="48"/>
        </w:rPr>
        <w:br w:type="page"/>
      </w:r>
    </w:p>
    <w:p>
      <w:pPr>
        <w:spacing w:line="500" w:lineRule="exact"/>
        <w:jc w:val="center"/>
        <w:outlineLvl w:val="0"/>
        <w:rPr>
          <w:rFonts w:eastAsia="黑体"/>
          <w:b/>
          <w:color w:val="000000" w:themeColor="text1"/>
          <w:sz w:val="48"/>
          <w:szCs w:val="48"/>
        </w:rPr>
      </w:pPr>
      <w:bookmarkStart w:id="2" w:name="_Toc49247112"/>
      <w:r>
        <w:rPr>
          <w:rFonts w:eastAsia="黑体"/>
          <w:b/>
          <w:color w:val="000000" w:themeColor="text1"/>
          <w:sz w:val="48"/>
          <w:szCs w:val="48"/>
        </w:rPr>
        <w:t>估价结果报告</w:t>
      </w:r>
      <w:bookmarkEnd w:id="2"/>
    </w:p>
    <w:p>
      <w:pPr>
        <w:spacing w:line="500" w:lineRule="exact"/>
        <w:jc w:val="center"/>
        <w:outlineLvl w:val="0"/>
        <w:rPr>
          <w:rFonts w:ascii="宋体" w:hAnsi="宋体"/>
          <w:b/>
          <w:color w:val="000000" w:themeColor="text1"/>
          <w:sz w:val="28"/>
          <w:szCs w:val="28"/>
        </w:rPr>
      </w:pPr>
    </w:p>
    <w:p>
      <w:pPr>
        <w:numPr>
          <w:ilvl w:val="0"/>
          <w:numId w:val="3"/>
        </w:numPr>
        <w:spacing w:line="500" w:lineRule="exact"/>
        <w:outlineLvl w:val="1"/>
        <w:rPr>
          <w:b/>
          <w:color w:val="000000" w:themeColor="text1"/>
          <w:sz w:val="28"/>
          <w:szCs w:val="28"/>
        </w:rPr>
      </w:pPr>
      <w:bookmarkStart w:id="3" w:name="_Toc49247113"/>
      <w:r>
        <w:rPr>
          <w:b/>
          <w:color w:val="000000" w:themeColor="text1"/>
          <w:sz w:val="28"/>
          <w:szCs w:val="28"/>
        </w:rPr>
        <w:t>估价委托人</w:t>
      </w:r>
      <w:bookmarkEnd w:id="3"/>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武穴市人民法院</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rFonts w:hint="eastAsia"/>
          <w:color w:val="000000" w:themeColor="text1"/>
          <w:sz w:val="28"/>
          <w:szCs w:val="28"/>
        </w:rPr>
        <w:t>地址</w:t>
      </w:r>
      <w:r>
        <w:rPr>
          <w:color w:val="000000" w:themeColor="text1"/>
          <w:sz w:val="28"/>
          <w:szCs w:val="28"/>
        </w:rPr>
        <w:t>：</w:t>
      </w:r>
      <w:r>
        <w:rPr>
          <w:rFonts w:hint="eastAsia"/>
          <w:color w:val="000000" w:themeColor="text1"/>
          <w:sz w:val="28"/>
          <w:szCs w:val="28"/>
        </w:rPr>
        <w:t>武穴市城东新区</w:t>
      </w:r>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联系电话：17771352829</w:t>
      </w:r>
    </w:p>
    <w:p>
      <w:pPr>
        <w:numPr>
          <w:ilvl w:val="0"/>
          <w:numId w:val="3"/>
        </w:numPr>
        <w:spacing w:line="500" w:lineRule="exact"/>
        <w:outlineLvl w:val="1"/>
        <w:rPr>
          <w:b/>
          <w:color w:val="000000" w:themeColor="text1"/>
          <w:sz w:val="28"/>
          <w:szCs w:val="28"/>
        </w:rPr>
      </w:pPr>
      <w:bookmarkStart w:id="4" w:name="_Toc49247114"/>
      <w:r>
        <w:rPr>
          <w:b/>
          <w:color w:val="000000" w:themeColor="text1"/>
          <w:sz w:val="28"/>
          <w:szCs w:val="28"/>
        </w:rPr>
        <w:t>估价方</w:t>
      </w:r>
      <w:bookmarkEnd w:id="4"/>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机构名称：黄冈市海正房地产评估有限公司</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工商注册号：91421100730853961B</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机构地址：黄州区西湖二路56号黄冈房地产二楼</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房地产估价机构等级：贰级</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sz w:val="28"/>
          <w:szCs w:val="28"/>
        </w:rPr>
        <w:t>房地产估价证书编号：鄂建房估证字第43号</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土地估价机构备案编号：2017420007</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执业范围：执业范围不受限</w:t>
      </w:r>
    </w:p>
    <w:p>
      <w:pPr>
        <w:numPr>
          <w:ilvl w:val="0"/>
          <w:numId w:val="5"/>
        </w:numPr>
        <w:tabs>
          <w:tab w:val="left" w:pos="540"/>
          <w:tab w:val="left" w:pos="720"/>
          <w:tab w:val="left" w:pos="900"/>
          <w:tab w:val="left" w:pos="1260"/>
          <w:tab w:val="clear" w:pos="1137"/>
        </w:tabs>
        <w:spacing w:line="500" w:lineRule="exact"/>
        <w:ind w:left="0" w:firstLine="560" w:firstLineChars="200"/>
        <w:rPr>
          <w:sz w:val="28"/>
          <w:szCs w:val="28"/>
        </w:rPr>
      </w:pPr>
      <w:r>
        <w:rPr>
          <w:rFonts w:hint="eastAsia"/>
          <w:sz w:val="28"/>
          <w:szCs w:val="28"/>
        </w:rPr>
        <w:t>联系人：汪震超</w:t>
      </w:r>
    </w:p>
    <w:p>
      <w:pPr>
        <w:numPr>
          <w:ilvl w:val="0"/>
          <w:numId w:val="5"/>
        </w:numPr>
        <w:tabs>
          <w:tab w:val="left" w:pos="540"/>
          <w:tab w:val="left" w:pos="720"/>
          <w:tab w:val="left" w:pos="900"/>
          <w:tab w:val="left" w:pos="1260"/>
          <w:tab w:val="clear" w:pos="1137"/>
        </w:tabs>
        <w:spacing w:line="500" w:lineRule="exact"/>
        <w:ind w:left="0" w:firstLine="560" w:firstLineChars="200"/>
        <w:rPr>
          <w:b/>
          <w:sz w:val="28"/>
          <w:szCs w:val="28"/>
        </w:rPr>
      </w:pPr>
      <w:r>
        <w:rPr>
          <w:sz w:val="28"/>
          <w:szCs w:val="28"/>
        </w:rPr>
        <w:t>联系电话：0713-8693126、15307250966</w:t>
      </w:r>
    </w:p>
    <w:p>
      <w:pPr>
        <w:numPr>
          <w:ilvl w:val="0"/>
          <w:numId w:val="3"/>
        </w:numPr>
        <w:spacing w:line="500" w:lineRule="exact"/>
        <w:outlineLvl w:val="1"/>
        <w:rPr>
          <w:b/>
          <w:color w:val="000000" w:themeColor="text1"/>
          <w:sz w:val="28"/>
          <w:szCs w:val="28"/>
        </w:rPr>
      </w:pPr>
      <w:bookmarkStart w:id="5" w:name="_Toc49247115"/>
      <w:r>
        <w:rPr>
          <w:b/>
          <w:color w:val="000000" w:themeColor="text1"/>
          <w:sz w:val="28"/>
          <w:szCs w:val="28"/>
        </w:rPr>
        <w:t>估价目的</w:t>
      </w:r>
      <w:bookmarkEnd w:id="5"/>
    </w:p>
    <w:p>
      <w:pPr>
        <w:tabs>
          <w:tab w:val="left" w:pos="540"/>
          <w:tab w:val="left" w:pos="720"/>
          <w:tab w:val="left" w:pos="900"/>
          <w:tab w:val="left" w:pos="1260"/>
        </w:tabs>
        <w:spacing w:line="500" w:lineRule="exact"/>
        <w:ind w:firstLine="560" w:firstLineChars="200"/>
        <w:rPr>
          <w:color w:val="000000" w:themeColor="text1"/>
          <w:sz w:val="28"/>
          <w:szCs w:val="28"/>
        </w:rPr>
      </w:pPr>
      <w:r>
        <w:rPr>
          <w:color w:val="000000" w:themeColor="text1"/>
          <w:sz w:val="28"/>
          <w:szCs w:val="28"/>
        </w:rPr>
        <w:t>本次估价目的</w:t>
      </w:r>
      <w:r>
        <w:rPr>
          <w:sz w:val="28"/>
          <w:szCs w:val="28"/>
        </w:rPr>
        <w:t>是为</w:t>
      </w:r>
      <w:r>
        <w:rPr>
          <w:rFonts w:hint="eastAsia"/>
          <w:sz w:val="28"/>
          <w:szCs w:val="28"/>
        </w:rPr>
        <w:t>人民法院确定财产处置参考价提供参考依据</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6" w:name="_Toc49247116"/>
      <w:r>
        <w:rPr>
          <w:b/>
          <w:color w:val="000000" w:themeColor="text1"/>
          <w:sz w:val="28"/>
          <w:szCs w:val="28"/>
        </w:rPr>
        <w:t>估价对象</w:t>
      </w:r>
      <w:bookmarkEnd w:id="6"/>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张璕</w:t>
      </w:r>
      <w:r>
        <w:rPr>
          <w:color w:val="000000" w:themeColor="text1"/>
          <w:sz w:val="28"/>
          <w:szCs w:val="28"/>
        </w:rPr>
        <w:t>所有的位于</w:t>
      </w:r>
      <w:r>
        <w:rPr>
          <w:rFonts w:hint="eastAsia"/>
          <w:color w:val="000000" w:themeColor="text1"/>
          <w:sz w:val="28"/>
          <w:szCs w:val="28"/>
        </w:rPr>
        <w:t>武穴市天宝北178号</w:t>
      </w:r>
      <w:r>
        <w:rPr>
          <w:color w:val="000000" w:themeColor="text1"/>
          <w:sz w:val="28"/>
          <w:szCs w:val="28"/>
        </w:rPr>
        <w:t>的</w:t>
      </w:r>
      <w:r>
        <w:rPr>
          <w:rFonts w:hint="eastAsia"/>
          <w:color w:val="000000" w:themeColor="text1"/>
          <w:sz w:val="28"/>
          <w:szCs w:val="28"/>
        </w:rPr>
        <w:t>住宅房地产</w:t>
      </w:r>
      <w:r>
        <w:rPr>
          <w:color w:val="000000" w:themeColor="text1"/>
          <w:sz w:val="28"/>
          <w:szCs w:val="28"/>
        </w:rPr>
        <w:t>的房屋所有权及国有土地使用权。详见下表：</w:t>
      </w:r>
    </w:p>
    <w:tbl>
      <w:tblPr>
        <w:tblStyle w:val="26"/>
        <w:tblW w:w="95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78"/>
        <w:gridCol w:w="1332"/>
        <w:gridCol w:w="1276"/>
        <w:gridCol w:w="850"/>
        <w:gridCol w:w="709"/>
        <w:gridCol w:w="709"/>
        <w:gridCol w:w="850"/>
        <w:gridCol w:w="85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851" w:type="dxa"/>
            <w:vAlign w:val="center"/>
          </w:tcPr>
          <w:p>
            <w:pPr>
              <w:jc w:val="center"/>
              <w:rPr>
                <w:color w:val="000000" w:themeColor="text1"/>
                <w:szCs w:val="21"/>
              </w:rPr>
            </w:pPr>
            <w:r>
              <w:rPr>
                <w:color w:val="000000" w:themeColor="text1"/>
                <w:szCs w:val="21"/>
              </w:rPr>
              <w:t>房地产权利人</w:t>
            </w:r>
          </w:p>
        </w:tc>
        <w:tc>
          <w:tcPr>
            <w:tcW w:w="1078" w:type="dxa"/>
            <w:vAlign w:val="center"/>
          </w:tcPr>
          <w:p>
            <w:pPr>
              <w:jc w:val="center"/>
              <w:rPr>
                <w:color w:val="000000" w:themeColor="text1"/>
                <w:szCs w:val="21"/>
              </w:rPr>
            </w:pPr>
            <w:r>
              <w:rPr>
                <w:color w:val="000000" w:themeColor="text1"/>
                <w:szCs w:val="21"/>
              </w:rPr>
              <w:t>位置</w:t>
            </w:r>
          </w:p>
        </w:tc>
        <w:tc>
          <w:tcPr>
            <w:tcW w:w="1332" w:type="dxa"/>
            <w:vAlign w:val="center"/>
          </w:tcPr>
          <w:p>
            <w:pPr>
              <w:jc w:val="center"/>
              <w:rPr>
                <w:color w:val="000000" w:themeColor="text1"/>
                <w:szCs w:val="21"/>
              </w:rPr>
            </w:pPr>
            <w:r>
              <w:rPr>
                <w:color w:val="000000" w:themeColor="text1"/>
                <w:szCs w:val="21"/>
              </w:rPr>
              <w:t>房屋所有权证号</w:t>
            </w:r>
          </w:p>
        </w:tc>
        <w:tc>
          <w:tcPr>
            <w:tcW w:w="1276" w:type="dxa"/>
            <w:vAlign w:val="center"/>
          </w:tcPr>
          <w:p>
            <w:pPr>
              <w:jc w:val="center"/>
              <w:rPr>
                <w:color w:val="000000" w:themeColor="text1"/>
                <w:szCs w:val="21"/>
              </w:rPr>
            </w:pPr>
            <w:r>
              <w:rPr>
                <w:color w:val="000000" w:themeColor="text1"/>
                <w:szCs w:val="21"/>
              </w:rPr>
              <w:t>国有土地使用证号</w:t>
            </w:r>
          </w:p>
        </w:tc>
        <w:tc>
          <w:tcPr>
            <w:tcW w:w="850" w:type="dxa"/>
            <w:vAlign w:val="center"/>
          </w:tcPr>
          <w:p>
            <w:pPr>
              <w:jc w:val="center"/>
              <w:rPr>
                <w:color w:val="000000" w:themeColor="text1"/>
                <w:szCs w:val="21"/>
              </w:rPr>
            </w:pPr>
            <w:r>
              <w:rPr>
                <w:rFonts w:hint="eastAsia"/>
                <w:color w:val="000000" w:themeColor="text1"/>
                <w:szCs w:val="21"/>
              </w:rPr>
              <w:t>建成年份（年）</w:t>
            </w:r>
          </w:p>
        </w:tc>
        <w:tc>
          <w:tcPr>
            <w:tcW w:w="709" w:type="dxa"/>
            <w:vAlign w:val="center"/>
          </w:tcPr>
          <w:p>
            <w:pPr>
              <w:jc w:val="center"/>
              <w:rPr>
                <w:color w:val="000000" w:themeColor="text1"/>
                <w:szCs w:val="21"/>
              </w:rPr>
            </w:pPr>
            <w:r>
              <w:rPr>
                <w:color w:val="000000" w:themeColor="text1"/>
                <w:szCs w:val="21"/>
              </w:rPr>
              <w:t>房屋登记用途</w:t>
            </w:r>
          </w:p>
        </w:tc>
        <w:tc>
          <w:tcPr>
            <w:tcW w:w="709" w:type="dxa"/>
            <w:vAlign w:val="center"/>
          </w:tcPr>
          <w:p>
            <w:pPr>
              <w:jc w:val="center"/>
              <w:rPr>
                <w:color w:val="000000" w:themeColor="text1"/>
                <w:szCs w:val="21"/>
              </w:rPr>
            </w:pPr>
            <w:r>
              <w:rPr>
                <w:color w:val="000000" w:themeColor="text1"/>
                <w:szCs w:val="21"/>
              </w:rPr>
              <w:t>土地登记用途</w:t>
            </w:r>
          </w:p>
        </w:tc>
        <w:tc>
          <w:tcPr>
            <w:tcW w:w="850" w:type="dxa"/>
            <w:vAlign w:val="center"/>
          </w:tcPr>
          <w:p>
            <w:pPr>
              <w:rPr>
                <w:color w:val="000000" w:themeColor="text1"/>
                <w:szCs w:val="21"/>
              </w:rPr>
            </w:pPr>
            <w:r>
              <w:rPr>
                <w:rFonts w:hint="eastAsia"/>
                <w:color w:val="000000" w:themeColor="text1"/>
                <w:szCs w:val="21"/>
              </w:rPr>
              <w:t>证载建筑面积</w:t>
            </w:r>
            <w:r>
              <w:rPr>
                <w:color w:val="000000" w:themeColor="text1"/>
                <w:szCs w:val="21"/>
              </w:rPr>
              <w:t>（㎡）</w:t>
            </w:r>
          </w:p>
        </w:tc>
        <w:tc>
          <w:tcPr>
            <w:tcW w:w="851" w:type="dxa"/>
            <w:vAlign w:val="center"/>
          </w:tcPr>
          <w:p>
            <w:pPr>
              <w:jc w:val="center"/>
              <w:rPr>
                <w:color w:val="000000" w:themeColor="text1"/>
                <w:szCs w:val="21"/>
              </w:rPr>
            </w:pPr>
            <w:r>
              <w:rPr>
                <w:rFonts w:hint="eastAsia"/>
                <w:color w:val="000000" w:themeColor="text1"/>
                <w:szCs w:val="21"/>
              </w:rPr>
              <w:t>土地使用权面积</w:t>
            </w:r>
            <w:r>
              <w:rPr>
                <w:color w:val="000000" w:themeColor="text1"/>
                <w:szCs w:val="21"/>
              </w:rPr>
              <w:t>（㎡）</w:t>
            </w:r>
          </w:p>
        </w:tc>
        <w:tc>
          <w:tcPr>
            <w:tcW w:w="1077" w:type="dxa"/>
            <w:vAlign w:val="center"/>
          </w:tcPr>
          <w:p>
            <w:pPr>
              <w:jc w:val="center"/>
              <w:rPr>
                <w:szCs w:val="21"/>
              </w:rPr>
            </w:pPr>
            <w:r>
              <w:rPr>
                <w:rFonts w:hint="eastAsia"/>
                <w:szCs w:val="21"/>
              </w:rPr>
              <w:t>土地出让终止日期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851" w:type="dxa"/>
            <w:vAlign w:val="center"/>
          </w:tcPr>
          <w:p>
            <w:pPr>
              <w:jc w:val="center"/>
              <w:rPr>
                <w:color w:val="000000" w:themeColor="text1"/>
                <w:szCs w:val="21"/>
              </w:rPr>
            </w:pPr>
            <w:r>
              <w:rPr>
                <w:rFonts w:hint="eastAsia"/>
                <w:color w:val="000000" w:themeColor="text1"/>
                <w:szCs w:val="21"/>
              </w:rPr>
              <w:t>张璕</w:t>
            </w:r>
          </w:p>
        </w:tc>
        <w:tc>
          <w:tcPr>
            <w:tcW w:w="1078" w:type="dxa"/>
            <w:vAlign w:val="center"/>
          </w:tcPr>
          <w:p>
            <w:pPr>
              <w:jc w:val="center"/>
              <w:rPr>
                <w:color w:val="000000" w:themeColor="text1"/>
                <w:szCs w:val="21"/>
              </w:rPr>
            </w:pPr>
            <w:r>
              <w:rPr>
                <w:rFonts w:hint="eastAsia"/>
                <w:color w:val="000000" w:themeColor="text1"/>
                <w:szCs w:val="21"/>
              </w:rPr>
              <w:t>武穴市天宝北178号</w:t>
            </w:r>
          </w:p>
        </w:tc>
        <w:tc>
          <w:tcPr>
            <w:tcW w:w="1332" w:type="dxa"/>
            <w:vAlign w:val="center"/>
          </w:tcPr>
          <w:p>
            <w:pPr>
              <w:jc w:val="center"/>
              <w:rPr>
                <w:color w:val="000000" w:themeColor="text1"/>
                <w:szCs w:val="21"/>
              </w:rPr>
            </w:pPr>
            <w:r>
              <w:rPr>
                <w:rFonts w:hint="eastAsia"/>
                <w:color w:val="000000" w:themeColor="text1"/>
                <w:szCs w:val="21"/>
              </w:rPr>
              <w:t>武穴市房权证武办字第000043126号</w:t>
            </w:r>
          </w:p>
        </w:tc>
        <w:tc>
          <w:tcPr>
            <w:tcW w:w="1276" w:type="dxa"/>
            <w:vAlign w:val="center"/>
          </w:tcPr>
          <w:p>
            <w:pPr>
              <w:jc w:val="center"/>
              <w:rPr>
                <w:color w:val="000000" w:themeColor="text1"/>
                <w:szCs w:val="21"/>
              </w:rPr>
            </w:pPr>
            <w:r>
              <w:rPr>
                <w:rFonts w:hint="eastAsia"/>
                <w:color w:val="000000" w:themeColor="text1"/>
                <w:szCs w:val="21"/>
              </w:rPr>
              <w:t>武穴国用（2011）第010024164号</w:t>
            </w:r>
          </w:p>
        </w:tc>
        <w:tc>
          <w:tcPr>
            <w:tcW w:w="850" w:type="dxa"/>
            <w:vAlign w:val="center"/>
          </w:tcPr>
          <w:p>
            <w:pPr>
              <w:jc w:val="center"/>
              <w:rPr>
                <w:color w:val="000000" w:themeColor="text1"/>
                <w:szCs w:val="21"/>
              </w:rPr>
            </w:pPr>
            <w:r>
              <w:rPr>
                <w:color w:val="000000" w:themeColor="text1"/>
                <w:szCs w:val="21"/>
              </w:rPr>
              <w:t>2003</w:t>
            </w:r>
          </w:p>
        </w:tc>
        <w:tc>
          <w:tcPr>
            <w:tcW w:w="709" w:type="dxa"/>
            <w:vAlign w:val="center"/>
          </w:tcPr>
          <w:p>
            <w:pPr>
              <w:jc w:val="center"/>
              <w:rPr>
                <w:color w:val="000000" w:themeColor="text1"/>
                <w:szCs w:val="21"/>
              </w:rPr>
            </w:pPr>
            <w:r>
              <w:rPr>
                <w:rFonts w:hint="eastAsia"/>
                <w:color w:val="000000" w:themeColor="text1"/>
                <w:szCs w:val="21"/>
              </w:rPr>
              <w:t>住宅</w:t>
            </w:r>
          </w:p>
        </w:tc>
        <w:tc>
          <w:tcPr>
            <w:tcW w:w="709" w:type="dxa"/>
            <w:vAlign w:val="center"/>
          </w:tcPr>
          <w:p>
            <w:pPr>
              <w:jc w:val="center"/>
              <w:rPr>
                <w:color w:val="000000" w:themeColor="text1"/>
                <w:szCs w:val="21"/>
              </w:rPr>
            </w:pPr>
            <w:r>
              <w:rPr>
                <w:rFonts w:hint="eastAsia"/>
                <w:color w:val="000000" w:themeColor="text1"/>
                <w:szCs w:val="21"/>
              </w:rPr>
              <w:t>住宅用地</w:t>
            </w:r>
          </w:p>
        </w:tc>
        <w:tc>
          <w:tcPr>
            <w:tcW w:w="850" w:type="dxa"/>
            <w:vAlign w:val="center"/>
          </w:tcPr>
          <w:p>
            <w:pPr>
              <w:jc w:val="center"/>
              <w:rPr>
                <w:color w:val="000000" w:themeColor="text1"/>
                <w:szCs w:val="21"/>
              </w:rPr>
            </w:pPr>
            <w:r>
              <w:rPr>
                <w:rFonts w:hint="eastAsia"/>
                <w:color w:val="000000" w:themeColor="text1"/>
                <w:szCs w:val="21"/>
              </w:rPr>
              <w:t>409.28</w:t>
            </w:r>
          </w:p>
        </w:tc>
        <w:tc>
          <w:tcPr>
            <w:tcW w:w="851" w:type="dxa"/>
            <w:vAlign w:val="center"/>
          </w:tcPr>
          <w:p>
            <w:pPr>
              <w:jc w:val="center"/>
              <w:rPr>
                <w:color w:val="000000" w:themeColor="text1"/>
                <w:szCs w:val="21"/>
              </w:rPr>
            </w:pPr>
            <w:r>
              <w:rPr>
                <w:rFonts w:hint="eastAsia"/>
                <w:color w:val="000000" w:themeColor="text1"/>
                <w:szCs w:val="21"/>
              </w:rPr>
              <w:t>200</w:t>
            </w:r>
          </w:p>
        </w:tc>
        <w:tc>
          <w:tcPr>
            <w:tcW w:w="1077" w:type="dxa"/>
            <w:vAlign w:val="center"/>
          </w:tcPr>
          <w:p>
            <w:pPr>
              <w:jc w:val="center"/>
              <w:rPr>
                <w:szCs w:val="21"/>
              </w:rPr>
            </w:pPr>
            <w:r>
              <w:rPr>
                <w:szCs w:val="21"/>
              </w:rPr>
              <w:t>2017年7月20日</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7" w:name="OLE_LINK2"/>
      <w:bookmarkStart w:id="8" w:name="OLE_LINK3"/>
      <w:r>
        <w:rPr>
          <w:color w:val="000000" w:themeColor="text1"/>
          <w:sz w:val="28"/>
          <w:szCs w:val="28"/>
        </w:rPr>
        <w:t>估价对象位于</w:t>
      </w:r>
      <w:r>
        <w:rPr>
          <w:rFonts w:hint="eastAsia"/>
          <w:color w:val="000000" w:themeColor="text1"/>
          <w:sz w:val="28"/>
          <w:szCs w:val="28"/>
        </w:rPr>
        <w:t>武穴市天宝北178号</w:t>
      </w:r>
      <w:r>
        <w:rPr>
          <w:color w:val="000000" w:themeColor="text1"/>
          <w:sz w:val="28"/>
          <w:szCs w:val="28"/>
        </w:rPr>
        <w:t>，</w:t>
      </w:r>
      <w:r>
        <w:rPr>
          <w:rFonts w:hint="eastAsia"/>
          <w:color w:val="000000" w:themeColor="text1"/>
          <w:sz w:val="28"/>
          <w:szCs w:val="28"/>
        </w:rPr>
        <w:t>东、西临</w:t>
      </w:r>
      <w:r>
        <w:rPr>
          <w:color w:val="000000" w:themeColor="text1"/>
          <w:sz w:val="28"/>
          <w:szCs w:val="28"/>
        </w:rPr>
        <w:t>私人住宅</w:t>
      </w:r>
      <w:r>
        <w:rPr>
          <w:rFonts w:hint="eastAsia"/>
          <w:color w:val="000000" w:themeColor="text1"/>
          <w:sz w:val="28"/>
          <w:szCs w:val="28"/>
        </w:rPr>
        <w:t>，南、北临天宝住宅区内部道路；</w:t>
      </w:r>
      <w:r>
        <w:rPr>
          <w:color w:val="000000" w:themeColor="text1"/>
          <w:sz w:val="28"/>
          <w:szCs w:val="28"/>
        </w:rPr>
        <w:t>东西以房屋自墙为界，南北</w:t>
      </w:r>
      <w:r>
        <w:rPr>
          <w:rFonts w:hint="eastAsia"/>
          <w:color w:val="000000" w:themeColor="text1"/>
          <w:sz w:val="28"/>
          <w:szCs w:val="28"/>
        </w:rPr>
        <w:t>以</w:t>
      </w:r>
      <w:r>
        <w:rPr>
          <w:color w:val="000000" w:themeColor="text1"/>
          <w:sz w:val="28"/>
          <w:szCs w:val="28"/>
        </w:rPr>
        <w:t>前后院院墙为界</w:t>
      </w:r>
      <w:r>
        <w:rPr>
          <w:rFonts w:hint="eastAsia"/>
          <w:color w:val="000000" w:themeColor="text1"/>
          <w:sz w:val="28"/>
          <w:szCs w:val="28"/>
        </w:rPr>
        <w:t>，四至清晰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估价对象所处区域为武穴市城建成熟区，城市基础设施较完善，配套状况已达“六通一平”，即道路、供水、供电、排水、通讯、燃气等基础设施完善，能满足周边居民的正常工作和生活需要。</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估价对象所处的区域为武穴市城建成熟区，以估价对象1500米为半径分布有武穴城市广场</w:t>
      </w:r>
      <w:r>
        <w:rPr>
          <w:color w:val="000000" w:themeColor="text1"/>
          <w:sz w:val="28"/>
          <w:szCs w:val="28"/>
        </w:rPr>
        <w:t>、</w:t>
      </w:r>
      <w:r>
        <w:rPr>
          <w:rFonts w:hint="eastAsia"/>
          <w:color w:val="000000" w:themeColor="text1"/>
          <w:sz w:val="28"/>
          <w:szCs w:val="28"/>
        </w:rPr>
        <w:t>新春超市</w:t>
      </w:r>
      <w:r>
        <w:rPr>
          <w:color w:val="000000" w:themeColor="text1"/>
          <w:sz w:val="28"/>
          <w:szCs w:val="28"/>
        </w:rPr>
        <w:t>、</w:t>
      </w:r>
      <w:r>
        <w:rPr>
          <w:rFonts w:hint="eastAsia"/>
          <w:color w:val="000000" w:themeColor="text1"/>
          <w:sz w:val="28"/>
          <w:szCs w:val="28"/>
        </w:rPr>
        <w:t>工商银行</w:t>
      </w:r>
      <w:r>
        <w:rPr>
          <w:color w:val="000000" w:themeColor="text1"/>
          <w:sz w:val="28"/>
          <w:szCs w:val="28"/>
        </w:rPr>
        <w:t>、</w:t>
      </w:r>
      <w:r>
        <w:rPr>
          <w:rFonts w:hint="eastAsia"/>
          <w:color w:val="000000" w:themeColor="text1"/>
          <w:sz w:val="28"/>
          <w:szCs w:val="28"/>
        </w:rPr>
        <w:t>建设银行</w:t>
      </w:r>
      <w:r>
        <w:rPr>
          <w:color w:val="000000" w:themeColor="text1"/>
          <w:sz w:val="28"/>
          <w:szCs w:val="28"/>
        </w:rPr>
        <w:t>、</w:t>
      </w:r>
      <w:r>
        <w:rPr>
          <w:rFonts w:hint="eastAsia"/>
          <w:color w:val="000000" w:themeColor="text1"/>
          <w:sz w:val="28"/>
          <w:szCs w:val="28"/>
        </w:rPr>
        <w:t>武穴市中医医院、</w:t>
      </w:r>
      <w:r>
        <w:rPr>
          <w:color w:val="000000" w:themeColor="text1"/>
          <w:sz w:val="28"/>
          <w:szCs w:val="28"/>
        </w:rPr>
        <w:t>武穴市三医院、</w:t>
      </w:r>
      <w:r>
        <w:rPr>
          <w:rFonts w:hint="eastAsia"/>
          <w:color w:val="000000" w:themeColor="text1"/>
          <w:sz w:val="28"/>
          <w:szCs w:val="28"/>
        </w:rPr>
        <w:t>武穴市实验高中</w:t>
      </w:r>
      <w:r>
        <w:rPr>
          <w:color w:val="000000" w:themeColor="text1"/>
          <w:sz w:val="28"/>
          <w:szCs w:val="28"/>
        </w:rPr>
        <w:t>、</w:t>
      </w:r>
      <w:r>
        <w:rPr>
          <w:rFonts w:hint="eastAsia"/>
          <w:color w:val="000000" w:themeColor="text1"/>
          <w:sz w:val="28"/>
          <w:szCs w:val="28"/>
        </w:rPr>
        <w:t>武穴市第二实验小学、小龙潭公园、中石油</w:t>
      </w:r>
      <w:r>
        <w:rPr>
          <w:color w:val="000000" w:themeColor="text1"/>
          <w:sz w:val="28"/>
          <w:szCs w:val="28"/>
        </w:rPr>
        <w:t>加油站</w:t>
      </w:r>
      <w:r>
        <w:rPr>
          <w:rFonts w:hint="eastAsia"/>
          <w:color w:val="000000" w:themeColor="text1"/>
          <w:sz w:val="28"/>
          <w:szCs w:val="28"/>
        </w:rPr>
        <w:t>等公共生活服务设施，配套设施较为齐全，能够满足业主日常生活需求。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估价对象房屋通过</w:t>
      </w:r>
      <w:r>
        <w:rPr>
          <w:color w:val="000000" w:themeColor="text1"/>
          <w:sz w:val="28"/>
          <w:szCs w:val="28"/>
        </w:rPr>
        <w:t>社区内部支路向西与</w:t>
      </w:r>
      <w:r>
        <w:rPr>
          <w:rFonts w:hint="eastAsia"/>
          <w:color w:val="000000" w:themeColor="text1"/>
          <w:sz w:val="28"/>
          <w:szCs w:val="28"/>
        </w:rPr>
        <w:t>窝陂塘路，</w:t>
      </w:r>
      <w:r>
        <w:rPr>
          <w:color w:val="000000" w:themeColor="text1"/>
          <w:sz w:val="28"/>
          <w:szCs w:val="28"/>
        </w:rPr>
        <w:t>向</w:t>
      </w:r>
      <w:r>
        <w:rPr>
          <w:rFonts w:hint="eastAsia"/>
          <w:color w:val="000000" w:themeColor="text1"/>
          <w:sz w:val="28"/>
          <w:szCs w:val="28"/>
        </w:rPr>
        <w:t>南</w:t>
      </w:r>
      <w:r>
        <w:rPr>
          <w:color w:val="000000" w:themeColor="text1"/>
          <w:sz w:val="28"/>
          <w:szCs w:val="28"/>
        </w:rPr>
        <w:t>与天宝街</w:t>
      </w:r>
      <w:r>
        <w:rPr>
          <w:rFonts w:hint="eastAsia"/>
          <w:color w:val="000000" w:themeColor="text1"/>
          <w:sz w:val="28"/>
          <w:szCs w:val="28"/>
        </w:rPr>
        <w:t>相连。窝陂塘路为武穴市城区主要道路，该道路自北向南分别于武穴大道、刊江大道、广济大道等主干道相接，道路条件较好，可及性较强；估价对象门前道路</w:t>
      </w:r>
      <w:r>
        <w:rPr>
          <w:color w:val="000000" w:themeColor="text1"/>
          <w:sz w:val="28"/>
          <w:szCs w:val="28"/>
        </w:rPr>
        <w:t>较窄</w:t>
      </w:r>
      <w:r>
        <w:rPr>
          <w:rFonts w:hint="eastAsia"/>
          <w:color w:val="000000" w:themeColor="text1"/>
          <w:sz w:val="28"/>
          <w:szCs w:val="28"/>
        </w:rPr>
        <w:t>，</w:t>
      </w:r>
      <w:r>
        <w:rPr>
          <w:color w:val="000000" w:themeColor="text1"/>
          <w:sz w:val="28"/>
          <w:szCs w:val="28"/>
        </w:rPr>
        <w:t>车辆进出不甚方便</w:t>
      </w:r>
      <w:r>
        <w:rPr>
          <w:rFonts w:hint="eastAsia"/>
          <w:color w:val="000000" w:themeColor="text1"/>
          <w:sz w:val="28"/>
          <w:szCs w:val="28"/>
        </w:rPr>
        <w:t>；交通状况总体较好。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z w:val="28"/>
          <w:szCs w:val="28"/>
        </w:rPr>
      </w:pPr>
      <w:r>
        <w:rPr>
          <w:rFonts w:hint="eastAsia"/>
          <w:color w:val="000000" w:themeColor="text1"/>
          <w:sz w:val="28"/>
          <w:szCs w:val="28"/>
        </w:rPr>
        <w:t>估价对象所在住宅区区域内无污染性工业企业，周边空气质量、卫生条件均较好，无特殊景观，周边环境总体较好。</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综上所述，估价对象作为住宅，地理位置较好，所在区域内基础设施、公共服务设施较完善，交通条件较好，周边环境较好，均对估价对象的价格有一定的影响。</w:t>
      </w:r>
    </w:p>
    <w:bookmarkEnd w:id="7"/>
    <w:bookmarkEnd w:id="8"/>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位于武穴市天宝北178号的住宅</w:t>
      </w:r>
      <w:r>
        <w:rPr>
          <w:color w:val="000000" w:themeColor="text1"/>
          <w:sz w:val="28"/>
          <w:szCs w:val="28"/>
        </w:rPr>
        <w:t>房地产，证载用途为住宅</w:t>
      </w:r>
      <w:r>
        <w:rPr>
          <w:rFonts w:hint="eastAsia"/>
          <w:color w:val="000000" w:themeColor="text1"/>
          <w:sz w:val="28"/>
          <w:szCs w:val="28"/>
        </w:rPr>
        <w:t>，</w:t>
      </w:r>
      <w:r>
        <w:rPr>
          <w:color w:val="000000" w:themeColor="text1"/>
          <w:sz w:val="28"/>
          <w:szCs w:val="28"/>
        </w:rPr>
        <w:t>现状用途为</w:t>
      </w:r>
      <w:r>
        <w:rPr>
          <w:rFonts w:hint="eastAsia"/>
          <w:color w:val="000000" w:themeColor="text1"/>
          <w:sz w:val="28"/>
          <w:szCs w:val="28"/>
        </w:rPr>
        <w:t>住宅</w:t>
      </w:r>
      <w:r>
        <w:rPr>
          <w:color w:val="000000" w:themeColor="text1"/>
          <w:sz w:val="28"/>
          <w:szCs w:val="28"/>
        </w:rPr>
        <w:t>。</w:t>
      </w:r>
    </w:p>
    <w:p>
      <w:pPr>
        <w:tabs>
          <w:tab w:val="left" w:pos="0"/>
        </w:tabs>
        <w:spacing w:line="500" w:lineRule="exact"/>
        <w:ind w:firstLine="560" w:firstLineChars="200"/>
        <w:rPr>
          <w:color w:val="000000" w:themeColor="text1"/>
          <w:sz w:val="28"/>
          <w:szCs w:val="28"/>
        </w:rPr>
      </w:pPr>
      <w:r>
        <w:rPr>
          <w:color w:val="000000" w:themeColor="text1"/>
          <w:sz w:val="28"/>
          <w:szCs w:val="28"/>
        </w:rPr>
        <w:t>（1）土地实物状况</w:t>
      </w:r>
    </w:p>
    <w:p>
      <w:pPr>
        <w:tabs>
          <w:tab w:val="left" w:pos="0"/>
        </w:tabs>
        <w:spacing w:line="500" w:lineRule="exact"/>
        <w:ind w:firstLine="3124" w:firstLineChars="1100"/>
        <w:rPr>
          <w:color w:val="000000" w:themeColor="text1"/>
          <w:spacing w:val="2"/>
          <w:sz w:val="28"/>
          <w:szCs w:val="28"/>
        </w:rPr>
      </w:pPr>
      <w:r>
        <w:rPr>
          <w:color w:val="000000" w:themeColor="text1"/>
          <w:spacing w:val="2"/>
          <w:sz w:val="28"/>
          <w:szCs w:val="28"/>
        </w:rPr>
        <w:t>估价对象土地实物状况一览表</w:t>
      </w:r>
    </w:p>
    <w:tbl>
      <w:tblPr>
        <w:tblStyle w:val="26"/>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color w:val="000000" w:themeColor="text1"/>
                <w:sz w:val="24"/>
              </w:rPr>
            </w:pPr>
            <w:r>
              <w:rPr>
                <w:color w:val="000000" w:themeColor="text1"/>
                <w:sz w:val="24"/>
              </w:rPr>
              <w:t>用途</w:t>
            </w:r>
          </w:p>
        </w:tc>
        <w:tc>
          <w:tcPr>
            <w:tcW w:w="7593" w:type="dxa"/>
            <w:vAlign w:val="center"/>
          </w:tcPr>
          <w:p>
            <w:pPr>
              <w:spacing w:line="320" w:lineRule="exact"/>
              <w:jc w:val="left"/>
              <w:rPr>
                <w:color w:val="000000" w:themeColor="text1"/>
                <w:sz w:val="24"/>
              </w:rPr>
            </w:pPr>
            <w:r>
              <w:rPr>
                <w:rFonts w:hint="eastAsia"/>
                <w:color w:val="000000" w:themeColor="text1"/>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面积</w:t>
            </w:r>
          </w:p>
        </w:tc>
        <w:tc>
          <w:tcPr>
            <w:tcW w:w="7593" w:type="dxa"/>
            <w:vAlign w:val="center"/>
          </w:tcPr>
          <w:p>
            <w:pPr>
              <w:spacing w:line="320" w:lineRule="exact"/>
              <w:jc w:val="left"/>
              <w:rPr>
                <w:color w:val="000000" w:themeColor="text1"/>
                <w:sz w:val="24"/>
              </w:rPr>
            </w:pPr>
            <w:r>
              <w:rPr>
                <w:rFonts w:hint="eastAsia"/>
                <w:color w:val="000000" w:themeColor="text1"/>
                <w:sz w:val="24"/>
              </w:rPr>
              <w:t>使用权面积200平方米（建筑占地96㎡</w:t>
            </w:r>
            <w:r>
              <w:rPr>
                <w:color w:val="000000" w:themeColor="text1"/>
                <w:sz w:val="24"/>
              </w:rPr>
              <w:t>，前后院占地</w:t>
            </w:r>
            <w:r>
              <w:rPr>
                <w:rFonts w:hint="eastAsia"/>
                <w:color w:val="000000" w:themeColor="text1"/>
                <w:sz w:val="24"/>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四至</w:t>
            </w:r>
          </w:p>
        </w:tc>
        <w:tc>
          <w:tcPr>
            <w:tcW w:w="7593" w:type="dxa"/>
            <w:vAlign w:val="center"/>
          </w:tcPr>
          <w:p>
            <w:pPr>
              <w:spacing w:line="320" w:lineRule="exact"/>
              <w:jc w:val="left"/>
              <w:rPr>
                <w:color w:val="000000" w:themeColor="text1"/>
                <w:sz w:val="24"/>
              </w:rPr>
            </w:pPr>
            <w:r>
              <w:rPr>
                <w:rFonts w:hint="eastAsia"/>
                <w:color w:val="000000" w:themeColor="text1"/>
                <w:sz w:val="24"/>
              </w:rPr>
              <w:t>东、西临私人住宅，南、北临天宝住宅区内部道路；东西以房屋自墙为界，南北以前后院院墙为界，四至清晰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土地使用期限</w:t>
            </w:r>
          </w:p>
        </w:tc>
        <w:tc>
          <w:tcPr>
            <w:tcW w:w="7593" w:type="dxa"/>
            <w:vAlign w:val="center"/>
          </w:tcPr>
          <w:p>
            <w:pPr>
              <w:spacing w:line="320" w:lineRule="exact"/>
              <w:jc w:val="left"/>
              <w:rPr>
                <w:color w:val="000000" w:themeColor="text1"/>
                <w:sz w:val="24"/>
              </w:rPr>
            </w:pPr>
            <w:r>
              <w:rPr>
                <w:rFonts w:hint="eastAsia"/>
                <w:color w:val="000000" w:themeColor="text1"/>
                <w:sz w:val="24"/>
              </w:rPr>
              <w:t>土地出让终止日期为20</w:t>
            </w:r>
            <w:r>
              <w:rPr>
                <w:color w:val="000000" w:themeColor="text1"/>
                <w:sz w:val="24"/>
              </w:rPr>
              <w:t>17</w:t>
            </w:r>
            <w:r>
              <w:rPr>
                <w:rFonts w:hint="eastAsia"/>
                <w:color w:val="000000" w:themeColor="text1"/>
                <w:sz w:val="24"/>
              </w:rPr>
              <w:t>-</w:t>
            </w:r>
            <w:r>
              <w:rPr>
                <w:color w:val="000000" w:themeColor="text1"/>
                <w:sz w:val="24"/>
              </w:rPr>
              <w:t>07</w:t>
            </w:r>
            <w:r>
              <w:rPr>
                <w:rFonts w:hint="eastAsia"/>
                <w:color w:val="000000" w:themeColor="text1"/>
                <w:sz w:val="24"/>
              </w:rPr>
              <w:t>-</w:t>
            </w:r>
            <w:r>
              <w:rPr>
                <w:color w:val="000000" w:themeColor="text1"/>
                <w:sz w:val="24"/>
              </w:rPr>
              <w:t>20</w:t>
            </w:r>
            <w:r>
              <w:rPr>
                <w:rFonts w:hint="eastAsia"/>
                <w:color w:val="000000" w:themeColor="text1"/>
                <w:sz w:val="24"/>
              </w:rPr>
              <w:t>，至价值时点土地使用权已到期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形状</w:t>
            </w:r>
          </w:p>
        </w:tc>
        <w:tc>
          <w:tcPr>
            <w:tcW w:w="7593" w:type="dxa"/>
            <w:vAlign w:val="center"/>
          </w:tcPr>
          <w:p>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color w:val="000000" w:themeColor="text1"/>
                <w:sz w:val="24"/>
              </w:rPr>
            </w:pPr>
            <w:r>
              <w:rPr>
                <w:color w:val="000000" w:themeColor="text1"/>
                <w:sz w:val="24"/>
              </w:rPr>
              <w:t>地形、地势及工程地质</w:t>
            </w:r>
          </w:p>
        </w:tc>
        <w:tc>
          <w:tcPr>
            <w:tcW w:w="7593" w:type="dxa"/>
            <w:vAlign w:val="center"/>
          </w:tcPr>
          <w:p>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开发程度</w:t>
            </w:r>
          </w:p>
        </w:tc>
        <w:tc>
          <w:tcPr>
            <w:tcW w:w="7593" w:type="dxa"/>
            <w:vAlign w:val="center"/>
          </w:tcPr>
          <w:p>
            <w:pPr>
              <w:spacing w:line="320" w:lineRule="exact"/>
              <w:jc w:val="left"/>
              <w:rPr>
                <w:color w:val="000000" w:themeColor="text1"/>
                <w:sz w:val="24"/>
              </w:rPr>
            </w:pPr>
            <w:r>
              <w:rPr>
                <w:rFonts w:hint="eastAsia"/>
                <w:color w:val="000000" w:themeColor="text1"/>
                <w:sz w:val="24"/>
              </w:rPr>
              <w:t>宗地内开发程度“六通一平”(通上水、通下水、通电、通路、通讯、通气及场地平整)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color w:val="000000" w:themeColor="text1"/>
                <w:sz w:val="24"/>
              </w:rPr>
            </w:pPr>
            <w:r>
              <w:rPr>
                <w:color w:val="000000" w:themeColor="text1"/>
                <w:sz w:val="24"/>
              </w:rPr>
              <w:t>土地利用状况</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宗地内已建成一栋</w:t>
            </w:r>
            <w:r>
              <w:rPr>
                <w:rFonts w:hAnsi="宋体"/>
                <w:color w:val="000000" w:themeColor="text1"/>
                <w:sz w:val="24"/>
              </w:rPr>
              <w:t>4</w:t>
            </w:r>
            <w:r>
              <w:rPr>
                <w:rFonts w:hint="eastAsia" w:hAnsi="宋体"/>
                <w:color w:val="000000" w:themeColor="text1"/>
                <w:sz w:val="24"/>
              </w:rPr>
              <w:t>层住宅楼，</w:t>
            </w:r>
            <w:r>
              <w:rPr>
                <w:rFonts w:hAnsi="宋体"/>
                <w:color w:val="000000" w:themeColor="text1"/>
                <w:sz w:val="24"/>
              </w:rPr>
              <w:t>前后配建有院落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color w:val="000000" w:themeColor="text1"/>
                <w:sz w:val="24"/>
              </w:rPr>
            </w:pPr>
            <w:r>
              <w:rPr>
                <w:color w:val="000000" w:themeColor="text1"/>
                <w:sz w:val="24"/>
              </w:rPr>
              <w:t>基础设施完备程度</w:t>
            </w:r>
          </w:p>
        </w:tc>
        <w:tc>
          <w:tcPr>
            <w:tcW w:w="7593" w:type="dxa"/>
            <w:vAlign w:val="center"/>
          </w:tcPr>
          <w:p>
            <w:pPr>
              <w:spacing w:line="320" w:lineRule="exact"/>
              <w:jc w:val="left"/>
              <w:rPr>
                <w:color w:val="000000" w:themeColor="text1"/>
                <w:sz w:val="24"/>
              </w:rPr>
            </w:pPr>
            <w:r>
              <w:rPr>
                <w:rFonts w:hint="eastAsia" w:hAnsi="宋体"/>
                <w:color w:val="000000" w:themeColor="text1"/>
                <w:sz w:val="24"/>
              </w:rPr>
              <w:t>市政供电、供气、自来水进水管、排污管与城市管网相连，完备度较高。</w:t>
            </w:r>
          </w:p>
        </w:tc>
      </w:tr>
    </w:tbl>
    <w:p>
      <w:pPr>
        <w:tabs>
          <w:tab w:val="left" w:pos="0"/>
        </w:tabs>
        <w:spacing w:line="500" w:lineRule="exact"/>
        <w:ind w:firstLine="560" w:firstLineChars="200"/>
        <w:rPr>
          <w:color w:val="000000" w:themeColor="text1"/>
          <w:sz w:val="28"/>
          <w:szCs w:val="28"/>
        </w:rPr>
      </w:pPr>
      <w:r>
        <w:rPr>
          <w:color w:val="000000" w:themeColor="text1"/>
          <w:sz w:val="28"/>
          <w:szCs w:val="28"/>
        </w:rPr>
        <w:t>（2）建筑物实物状况</w:t>
      </w:r>
    </w:p>
    <w:p>
      <w:pPr>
        <w:tabs>
          <w:tab w:val="left" w:pos="0"/>
        </w:tabs>
        <w:spacing w:line="500" w:lineRule="exact"/>
        <w:ind w:firstLine="2800" w:firstLineChars="1000"/>
        <w:rPr>
          <w:color w:val="000000" w:themeColor="text1"/>
          <w:sz w:val="28"/>
          <w:szCs w:val="28"/>
        </w:rPr>
      </w:pPr>
      <w:r>
        <w:rPr>
          <w:color w:val="000000" w:themeColor="text1"/>
          <w:sz w:val="28"/>
          <w:szCs w:val="28"/>
        </w:rPr>
        <w:t>估价对象建筑物实物状况一览表</w:t>
      </w:r>
    </w:p>
    <w:tbl>
      <w:tblPr>
        <w:tblStyle w:val="26"/>
        <w:tblW w:w="92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86" w:type="dxa"/>
            <w:gridSpan w:val="2"/>
            <w:shd w:val="clear" w:color="auto" w:fill="auto"/>
            <w:vAlign w:val="center"/>
          </w:tcPr>
          <w:p>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pPr>
              <w:spacing w:line="280" w:lineRule="exact"/>
              <w:rPr>
                <w:color w:val="000000" w:themeColor="text1"/>
                <w:sz w:val="24"/>
              </w:rPr>
            </w:pPr>
            <w:r>
              <w:rPr>
                <w:color w:val="000000" w:themeColor="text1"/>
                <w:sz w:val="24"/>
              </w:rPr>
              <w:t>规划用途：</w:t>
            </w:r>
            <w:r>
              <w:rPr>
                <w:rFonts w:hint="eastAsia" w:hAnsi="宋体"/>
                <w:color w:val="000000" w:themeColor="text1"/>
                <w:sz w:val="24"/>
              </w:rPr>
              <w:t>住宅</w:t>
            </w:r>
            <w:r>
              <w:rPr>
                <w:color w:val="000000" w:themeColor="text1"/>
                <w:sz w:val="24"/>
              </w:rPr>
              <w:t>；实际用途：</w:t>
            </w:r>
            <w:r>
              <w:rPr>
                <w:rFonts w:hint="eastAsia" w:hAnsi="宋体"/>
                <w:color w:val="000000" w:themeColor="text1"/>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建成年份</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2003</w:t>
            </w:r>
            <w:r>
              <w:rPr>
                <w:color w:val="000000" w:themeColor="text1"/>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409.28</w:t>
            </w:r>
            <w:r>
              <w:rPr>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pPr>
              <w:spacing w:line="280" w:lineRule="exact"/>
              <w:rPr>
                <w:color w:val="000000" w:themeColor="text1"/>
                <w:sz w:val="24"/>
              </w:rPr>
            </w:pPr>
            <w:r>
              <w:rPr>
                <w:color w:val="000000" w:themeColor="text1"/>
                <w:sz w:val="24"/>
              </w:rPr>
              <w:t>4</w:t>
            </w:r>
            <w:r>
              <w:rPr>
                <w:rFonts w:hAnsi="宋体"/>
                <w:color w:val="000000" w:themeColor="text1"/>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一楼约3</w:t>
            </w:r>
            <w:r>
              <w:rPr>
                <w:color w:val="000000" w:themeColor="text1"/>
                <w:sz w:val="24"/>
              </w:rPr>
              <w:t>.7</w:t>
            </w:r>
            <w:r>
              <w:rPr>
                <w:rFonts w:hint="eastAsia"/>
                <w:color w:val="000000" w:themeColor="text1"/>
                <w:sz w:val="24"/>
              </w:rPr>
              <w:t>米，</w:t>
            </w:r>
            <w:r>
              <w:rPr>
                <w:color w:val="000000" w:themeColor="text1"/>
                <w:sz w:val="24"/>
              </w:rPr>
              <w:t>二至四楼约</w:t>
            </w:r>
            <w:r>
              <w:rPr>
                <w:rFonts w:hint="eastAsia"/>
                <w:color w:val="000000" w:themeColor="text1"/>
                <w:sz w:val="24"/>
              </w:rPr>
              <w:t>3.3米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主</w:t>
            </w:r>
            <w:r>
              <w:rPr>
                <w:color w:val="000000" w:themeColor="text1"/>
                <w:sz w:val="24"/>
              </w:rPr>
              <w:t>朝向</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正面</w:t>
            </w:r>
            <w:r>
              <w:rPr>
                <w:rFonts w:hAnsi="宋体"/>
                <w:color w:val="000000" w:themeColor="text1"/>
                <w:sz w:val="24"/>
              </w:rPr>
              <w:t>外墙贴</w:t>
            </w:r>
            <w:r>
              <w:rPr>
                <w:rFonts w:hint="eastAsia" w:hAnsi="宋体"/>
                <w:color w:val="000000" w:themeColor="text1"/>
                <w:sz w:val="24"/>
              </w:rPr>
              <w:t>墙砖、背面外墙刷</w:t>
            </w:r>
            <w:r>
              <w:rPr>
                <w:rFonts w:hAnsi="宋体"/>
                <w:color w:val="000000" w:themeColor="text1"/>
                <w:sz w:val="24"/>
              </w:rPr>
              <w:t>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kern w:val="0"/>
                <w:sz w:val="24"/>
              </w:rPr>
              <w:t>水、电、视、讯、宽带均已安装。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rFonts w:hint="eastAsia"/>
                <w:color w:val="000000" w:themeColor="text1"/>
                <w:sz w:val="24"/>
              </w:rPr>
              <w:t>停车位</w:t>
            </w:r>
          </w:p>
        </w:tc>
        <w:tc>
          <w:tcPr>
            <w:tcW w:w="5988" w:type="dxa"/>
            <w:shd w:val="clear" w:color="auto" w:fill="auto"/>
            <w:vAlign w:val="center"/>
          </w:tcPr>
          <w:p>
            <w:pPr>
              <w:spacing w:line="280" w:lineRule="exact"/>
              <w:rPr>
                <w:rFonts w:hAnsi="宋体"/>
                <w:color w:val="000000" w:themeColor="text1"/>
                <w:kern w:val="0"/>
                <w:sz w:val="24"/>
              </w:rPr>
            </w:pPr>
            <w:r>
              <w:rPr>
                <w:rFonts w:hint="eastAsia" w:hAnsi="宋体"/>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pPr>
              <w:spacing w:line="280" w:lineRule="exact"/>
              <w:rPr>
                <w:color w:val="000000" w:themeColor="text1"/>
                <w:kern w:val="0"/>
                <w:sz w:val="24"/>
              </w:rPr>
            </w:pPr>
            <w:r>
              <w:rPr>
                <w:rFonts w:hint="eastAsia"/>
                <w:color w:val="000000" w:themeColor="text1"/>
                <w:sz w:val="24"/>
              </w:rPr>
              <w:t>独栋住宅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pPr>
              <w:spacing w:line="280" w:lineRule="exact"/>
              <w:rPr>
                <w:color w:val="000000" w:themeColor="text1"/>
                <w:sz w:val="24"/>
              </w:rPr>
            </w:pPr>
            <w:r>
              <w:rPr>
                <w:rFonts w:hint="eastAsia" w:hAnsi="宋体"/>
                <w:color w:val="000000" w:themeColor="text1"/>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pPr>
              <w:spacing w:line="280" w:lineRule="exact"/>
              <w:rPr>
                <w:color w:val="000000" w:themeColor="text1"/>
                <w:sz w:val="24"/>
              </w:rPr>
            </w:pPr>
            <w:r>
              <w:rPr>
                <w:rFonts w:hint="eastAsia"/>
                <w:color w:val="000000" w:themeColor="text1"/>
                <w:sz w:val="24"/>
              </w:rPr>
              <w:t>自住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54" w:type="dxa"/>
            <w:shd w:val="clear" w:color="auto" w:fill="auto"/>
            <w:vAlign w:val="center"/>
          </w:tcPr>
          <w:p>
            <w:pPr>
              <w:spacing w:line="280" w:lineRule="exact"/>
              <w:jc w:val="center"/>
              <w:rPr>
                <w:color w:val="000000" w:themeColor="text1"/>
                <w:sz w:val="24"/>
              </w:rPr>
            </w:pPr>
            <w:r>
              <w:rPr>
                <w:color w:val="000000" w:themeColor="text1"/>
                <w:sz w:val="24"/>
              </w:rPr>
              <w:t>装修状况</w:t>
            </w:r>
          </w:p>
        </w:tc>
        <w:tc>
          <w:tcPr>
            <w:tcW w:w="7920" w:type="dxa"/>
            <w:gridSpan w:val="2"/>
            <w:shd w:val="clear" w:color="auto" w:fill="auto"/>
            <w:vAlign w:val="center"/>
          </w:tcPr>
          <w:p>
            <w:pPr>
              <w:spacing w:line="300" w:lineRule="exact"/>
              <w:ind w:firstLine="480" w:firstLineChars="200"/>
              <w:rPr>
                <w:color w:val="000000" w:themeColor="text1"/>
                <w:sz w:val="24"/>
              </w:rPr>
            </w:pPr>
            <w:r>
              <w:rPr>
                <w:rFonts w:hint="eastAsia"/>
                <w:color w:val="000000" w:themeColor="text1"/>
                <w:sz w:val="24"/>
              </w:rPr>
              <w:t>外墙正面贴墙砖，背面刷防水涂料；院门</w:t>
            </w:r>
            <w:r>
              <w:rPr>
                <w:color w:val="000000" w:themeColor="text1"/>
                <w:sz w:val="24"/>
              </w:rPr>
              <w:t>为不锈钢门，</w:t>
            </w:r>
            <w:r>
              <w:rPr>
                <w:rFonts w:hint="eastAsia"/>
                <w:color w:val="000000" w:themeColor="text1"/>
                <w:sz w:val="24"/>
              </w:rPr>
              <w:t>入户门为防盗门，室内为套装门，安铝合金窗；楼梯间</w:t>
            </w:r>
            <w:r>
              <w:rPr>
                <w:color w:val="000000" w:themeColor="text1"/>
                <w:sz w:val="24"/>
              </w:rPr>
              <w:t>踏步</w:t>
            </w:r>
            <w:r>
              <w:rPr>
                <w:rFonts w:hint="eastAsia"/>
                <w:color w:val="000000" w:themeColor="text1"/>
                <w:sz w:val="24"/>
              </w:rPr>
              <w:t>贴地砖</w:t>
            </w:r>
            <w:r>
              <w:rPr>
                <w:color w:val="000000" w:themeColor="text1"/>
                <w:sz w:val="24"/>
              </w:rPr>
              <w:t>，安</w:t>
            </w:r>
            <w:r>
              <w:rPr>
                <w:rFonts w:hint="eastAsia"/>
                <w:color w:val="000000" w:themeColor="text1"/>
                <w:sz w:val="24"/>
              </w:rPr>
              <w:t>木</w:t>
            </w:r>
            <w:r>
              <w:rPr>
                <w:color w:val="000000" w:themeColor="text1"/>
                <w:sz w:val="24"/>
              </w:rPr>
              <w:t>扶手</w:t>
            </w:r>
            <w:r>
              <w:rPr>
                <w:rFonts w:hint="eastAsia"/>
                <w:color w:val="000000" w:themeColor="text1"/>
                <w:sz w:val="24"/>
              </w:rPr>
              <w:t>；</w:t>
            </w:r>
            <w:r>
              <w:rPr>
                <w:color w:val="000000" w:themeColor="text1"/>
                <w:sz w:val="24"/>
              </w:rPr>
              <w:t>水电均为</w:t>
            </w:r>
            <w:r>
              <w:rPr>
                <w:rFonts w:hint="eastAsia"/>
                <w:color w:val="000000" w:themeColor="text1"/>
                <w:sz w:val="24"/>
              </w:rPr>
              <w:t>暗</w:t>
            </w:r>
            <w:r>
              <w:rPr>
                <w:color w:val="000000" w:themeColor="text1"/>
                <w:sz w:val="24"/>
              </w:rPr>
              <w:t>线布置</w:t>
            </w:r>
            <w:r>
              <w:rPr>
                <w:rFonts w:hint="eastAsia"/>
                <w:color w:val="000000" w:themeColor="text1"/>
                <w:sz w:val="24"/>
              </w:rPr>
              <w:t>。</w:t>
            </w:r>
          </w:p>
          <w:p>
            <w:pPr>
              <w:spacing w:line="300" w:lineRule="exact"/>
              <w:ind w:firstLine="480" w:firstLineChars="200"/>
              <w:rPr>
                <w:color w:val="000000" w:themeColor="text1"/>
                <w:sz w:val="24"/>
              </w:rPr>
            </w:pPr>
            <w:r>
              <w:rPr>
                <w:rFonts w:hint="eastAsia"/>
                <w:color w:val="000000" w:themeColor="text1"/>
                <w:sz w:val="24"/>
              </w:rPr>
              <w:t>一楼</w:t>
            </w:r>
            <w:r>
              <w:rPr>
                <w:color w:val="000000" w:themeColor="text1"/>
                <w:sz w:val="24"/>
              </w:rPr>
              <w:t>：地面贴地砖，内墙面刷乳胶漆</w:t>
            </w:r>
            <w:r>
              <w:rPr>
                <w:rFonts w:hint="eastAsia"/>
                <w:color w:val="000000" w:themeColor="text1"/>
                <w:sz w:val="24"/>
              </w:rPr>
              <w:t>，</w:t>
            </w:r>
            <w:r>
              <w:rPr>
                <w:color w:val="000000" w:themeColor="text1"/>
                <w:sz w:val="24"/>
              </w:rPr>
              <w:t>厨房</w:t>
            </w:r>
            <w:r>
              <w:rPr>
                <w:rFonts w:hint="eastAsia"/>
                <w:color w:val="000000" w:themeColor="text1"/>
                <w:sz w:val="24"/>
              </w:rPr>
              <w:t>、</w:t>
            </w:r>
            <w:r>
              <w:rPr>
                <w:color w:val="000000" w:themeColor="text1"/>
                <w:sz w:val="24"/>
              </w:rPr>
              <w:t>卫生间</w:t>
            </w:r>
            <w:r>
              <w:rPr>
                <w:rFonts w:hint="eastAsia"/>
                <w:color w:val="000000" w:themeColor="text1"/>
                <w:sz w:val="24"/>
              </w:rPr>
              <w:t>处</w:t>
            </w:r>
            <w:r>
              <w:rPr>
                <w:color w:val="000000" w:themeColor="text1"/>
                <w:sz w:val="24"/>
              </w:rPr>
              <w:t>贴墙砖，天棚刷乳胶漆</w:t>
            </w:r>
            <w:r>
              <w:rPr>
                <w:rFonts w:hint="eastAsia"/>
                <w:color w:val="000000" w:themeColor="text1"/>
                <w:sz w:val="24"/>
              </w:rPr>
              <w:t>，客厅处做造型吊顶，厨房、</w:t>
            </w:r>
            <w:r>
              <w:rPr>
                <w:color w:val="000000" w:themeColor="text1"/>
                <w:sz w:val="24"/>
              </w:rPr>
              <w:t>卫生间</w:t>
            </w:r>
            <w:r>
              <w:rPr>
                <w:rFonts w:hint="eastAsia"/>
                <w:color w:val="000000" w:themeColor="text1"/>
                <w:sz w:val="24"/>
              </w:rPr>
              <w:t>设施设备安装齐全；</w:t>
            </w:r>
            <w:r>
              <w:rPr>
                <w:color w:val="000000" w:themeColor="text1"/>
                <w:sz w:val="24"/>
              </w:rPr>
              <w:t>精装修，保养良好。</w:t>
            </w:r>
          </w:p>
          <w:p>
            <w:pPr>
              <w:spacing w:line="300" w:lineRule="exact"/>
              <w:ind w:firstLine="480" w:firstLineChars="200"/>
              <w:rPr>
                <w:color w:val="000000" w:themeColor="text1"/>
                <w:sz w:val="24"/>
              </w:rPr>
            </w:pPr>
            <w:r>
              <w:rPr>
                <w:rFonts w:hint="eastAsia"/>
                <w:color w:val="000000" w:themeColor="text1"/>
                <w:sz w:val="24"/>
              </w:rPr>
              <w:t>二楼</w:t>
            </w:r>
            <w:r>
              <w:rPr>
                <w:color w:val="000000" w:themeColor="text1"/>
                <w:sz w:val="24"/>
              </w:rPr>
              <w:t>：</w:t>
            </w:r>
            <w:r>
              <w:rPr>
                <w:rFonts w:hint="eastAsia"/>
                <w:color w:val="000000" w:themeColor="text1"/>
                <w:sz w:val="24"/>
              </w:rPr>
              <w:t>地面贴</w:t>
            </w:r>
            <w:r>
              <w:rPr>
                <w:color w:val="000000" w:themeColor="text1"/>
                <w:sz w:val="24"/>
              </w:rPr>
              <w:t>地砖</w:t>
            </w:r>
            <w:r>
              <w:rPr>
                <w:rFonts w:hint="eastAsia"/>
                <w:color w:val="000000" w:themeColor="text1"/>
                <w:sz w:val="24"/>
              </w:rPr>
              <w:t>、复合地板</w:t>
            </w:r>
            <w:r>
              <w:rPr>
                <w:color w:val="000000" w:themeColor="text1"/>
                <w:sz w:val="24"/>
              </w:rPr>
              <w:t>，内墙面</w:t>
            </w:r>
            <w:r>
              <w:rPr>
                <w:rFonts w:hint="eastAsia"/>
                <w:color w:val="000000" w:themeColor="text1"/>
                <w:sz w:val="24"/>
              </w:rPr>
              <w:t>、</w:t>
            </w:r>
            <w:r>
              <w:rPr>
                <w:color w:val="000000" w:themeColor="text1"/>
                <w:sz w:val="24"/>
              </w:rPr>
              <w:t>天棚刷乳胶漆</w:t>
            </w:r>
            <w:r>
              <w:rPr>
                <w:rFonts w:hint="eastAsia"/>
                <w:color w:val="000000" w:themeColor="text1"/>
                <w:sz w:val="24"/>
              </w:rPr>
              <w:t>，卫生间</w:t>
            </w:r>
            <w:r>
              <w:rPr>
                <w:color w:val="000000" w:themeColor="text1"/>
                <w:sz w:val="24"/>
              </w:rPr>
              <w:t>贴墙砖</w:t>
            </w:r>
            <w:r>
              <w:rPr>
                <w:rFonts w:hint="eastAsia"/>
                <w:color w:val="000000" w:themeColor="text1"/>
                <w:sz w:val="24"/>
              </w:rPr>
              <w:t>、</w:t>
            </w:r>
            <w:r>
              <w:rPr>
                <w:color w:val="000000" w:themeColor="text1"/>
                <w:sz w:val="24"/>
              </w:rPr>
              <w:t>做扣板吊顶；</w:t>
            </w:r>
            <w:r>
              <w:rPr>
                <w:rFonts w:hint="eastAsia"/>
                <w:color w:val="000000" w:themeColor="text1"/>
                <w:sz w:val="24"/>
              </w:rPr>
              <w:t>设施设备安装齐全；</w:t>
            </w:r>
            <w:r>
              <w:rPr>
                <w:color w:val="000000" w:themeColor="text1"/>
                <w:sz w:val="24"/>
              </w:rPr>
              <w:t>精装修，保养良好。</w:t>
            </w:r>
          </w:p>
          <w:p>
            <w:pPr>
              <w:spacing w:line="300" w:lineRule="exact"/>
              <w:ind w:firstLine="480" w:firstLineChars="200"/>
              <w:rPr>
                <w:color w:val="000000" w:themeColor="text1"/>
                <w:sz w:val="24"/>
              </w:rPr>
            </w:pPr>
            <w:r>
              <w:rPr>
                <w:rFonts w:hint="eastAsia"/>
                <w:color w:val="000000" w:themeColor="text1"/>
                <w:sz w:val="24"/>
              </w:rPr>
              <w:t>三、</w:t>
            </w:r>
            <w:r>
              <w:rPr>
                <w:color w:val="000000" w:themeColor="text1"/>
                <w:sz w:val="24"/>
              </w:rPr>
              <w:t>四</w:t>
            </w:r>
            <w:r>
              <w:rPr>
                <w:rFonts w:hint="eastAsia"/>
                <w:color w:val="000000" w:themeColor="text1"/>
                <w:sz w:val="24"/>
              </w:rPr>
              <w:t>楼</w:t>
            </w:r>
            <w:r>
              <w:rPr>
                <w:color w:val="000000" w:themeColor="text1"/>
                <w:sz w:val="24"/>
              </w:rPr>
              <w:t>：</w:t>
            </w:r>
            <w:r>
              <w:rPr>
                <w:rFonts w:hint="eastAsia"/>
                <w:color w:val="000000" w:themeColor="text1"/>
                <w:sz w:val="24"/>
              </w:rPr>
              <w:t>地面贴</w:t>
            </w:r>
            <w:r>
              <w:rPr>
                <w:color w:val="000000" w:themeColor="text1"/>
                <w:sz w:val="24"/>
              </w:rPr>
              <w:t>地砖，内墙面</w:t>
            </w:r>
            <w:r>
              <w:rPr>
                <w:rFonts w:hint="eastAsia"/>
                <w:color w:val="000000" w:themeColor="text1"/>
                <w:sz w:val="24"/>
              </w:rPr>
              <w:t>、</w:t>
            </w:r>
            <w:r>
              <w:rPr>
                <w:color w:val="000000" w:themeColor="text1"/>
                <w:sz w:val="24"/>
              </w:rPr>
              <w:t>天棚刷乳胶漆</w:t>
            </w:r>
            <w:r>
              <w:rPr>
                <w:rFonts w:hint="eastAsia"/>
                <w:color w:val="000000" w:themeColor="text1"/>
                <w:sz w:val="24"/>
              </w:rPr>
              <w:t>，卫生间</w:t>
            </w:r>
            <w:r>
              <w:rPr>
                <w:color w:val="000000" w:themeColor="text1"/>
                <w:sz w:val="24"/>
              </w:rPr>
              <w:t>贴墙砖</w:t>
            </w:r>
            <w:r>
              <w:rPr>
                <w:rFonts w:hint="eastAsia"/>
                <w:color w:val="000000" w:themeColor="text1"/>
                <w:sz w:val="24"/>
              </w:rPr>
              <w:t>、</w:t>
            </w:r>
            <w:r>
              <w:rPr>
                <w:color w:val="000000" w:themeColor="text1"/>
                <w:sz w:val="24"/>
              </w:rPr>
              <w:t>做扣板吊顶</w:t>
            </w:r>
            <w:r>
              <w:rPr>
                <w:rFonts w:hint="eastAsia"/>
                <w:color w:val="000000" w:themeColor="text1"/>
                <w:sz w:val="24"/>
              </w:rPr>
              <w:t>；普通</w:t>
            </w:r>
            <w:r>
              <w:rPr>
                <w:color w:val="000000" w:themeColor="text1"/>
                <w:sz w:val="24"/>
              </w:rPr>
              <w:t>装修，保养</w:t>
            </w:r>
            <w:r>
              <w:rPr>
                <w:rFonts w:hint="eastAsia"/>
                <w:color w:val="000000" w:themeColor="text1"/>
                <w:sz w:val="24"/>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restart"/>
            <w:shd w:val="clear" w:color="auto" w:fill="auto"/>
            <w:vAlign w:val="center"/>
          </w:tcPr>
          <w:p>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pPr>
              <w:spacing w:line="300" w:lineRule="exact"/>
              <w:rPr>
                <w:color w:val="000000" w:themeColor="text1"/>
                <w:sz w:val="24"/>
              </w:rPr>
            </w:pPr>
            <w:r>
              <w:rPr>
                <w:rFonts w:hint="eastAsia" w:hAnsi="宋体"/>
                <w:color w:val="000000" w:themeColor="text1"/>
                <w:sz w:val="24"/>
              </w:rPr>
              <w:t>设计使用年期为50年，已使用约</w:t>
            </w:r>
            <w:r>
              <w:rPr>
                <w:rFonts w:hAnsi="宋体"/>
                <w:color w:val="000000" w:themeColor="text1"/>
                <w:sz w:val="24"/>
              </w:rPr>
              <w:t>17</w:t>
            </w:r>
            <w:r>
              <w:rPr>
                <w:rFonts w:hint="eastAsia" w:hAnsi="宋体"/>
                <w:color w:val="000000" w:themeColor="text1"/>
                <w:sz w:val="24"/>
              </w:rPr>
              <w:t>年，尚未发现主体结构受损，</w:t>
            </w:r>
            <w:r>
              <w:rPr>
                <w:rFonts w:hint="eastAsia"/>
                <w:color w:val="000000" w:themeColor="text1"/>
                <w:kern w:val="0"/>
                <w:sz w:val="24"/>
              </w:rPr>
              <w:t>内外墙无裂缝，楼地面平整，</w:t>
            </w:r>
            <w:r>
              <w:rPr>
                <w:color w:val="000000" w:themeColor="text1"/>
                <w:kern w:val="0"/>
                <w:sz w:val="24"/>
              </w:rPr>
              <w:t>楼板</w:t>
            </w:r>
            <w:r>
              <w:rPr>
                <w:rFonts w:hint="eastAsia"/>
                <w:color w:val="000000" w:themeColor="text1"/>
                <w:kern w:val="0"/>
                <w:sz w:val="24"/>
              </w:rPr>
              <w:t>未见</w:t>
            </w:r>
            <w:r>
              <w:rPr>
                <w:color w:val="000000" w:themeColor="text1"/>
                <w:kern w:val="0"/>
                <w:sz w:val="24"/>
              </w:rPr>
              <w:t>漏水现象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pPr>
              <w:spacing w:line="300" w:lineRule="exact"/>
              <w:rPr>
                <w:color w:val="000000" w:themeColor="text1"/>
                <w:sz w:val="24"/>
              </w:rPr>
            </w:pPr>
            <w:r>
              <w:rPr>
                <w:rFonts w:hint="eastAsia"/>
                <w:color w:val="000000" w:themeColor="text1"/>
                <w:kern w:val="0"/>
                <w:sz w:val="24"/>
              </w:rPr>
              <w:t>估价对象设备使用正常，房屋门窗无破损，水电管线通畅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除</w:t>
            </w:r>
            <w:r>
              <w:rPr>
                <w:rFonts w:hint="eastAsia"/>
                <w:color w:val="000000" w:themeColor="text1"/>
                <w:kern w:val="0"/>
                <w:sz w:val="24"/>
              </w:rPr>
              <w:t>三、</w:t>
            </w:r>
            <w:r>
              <w:rPr>
                <w:color w:val="000000" w:themeColor="text1"/>
                <w:kern w:val="0"/>
                <w:sz w:val="24"/>
              </w:rPr>
              <w:t>四楼内墙粉刷小范围出现剥落</w:t>
            </w:r>
            <w:r>
              <w:rPr>
                <w:rFonts w:hint="eastAsia"/>
                <w:color w:val="000000" w:themeColor="text1"/>
                <w:kern w:val="0"/>
                <w:sz w:val="24"/>
              </w:rPr>
              <w:t>现象外</w:t>
            </w:r>
            <w:r>
              <w:rPr>
                <w:color w:val="000000" w:themeColor="text1"/>
                <w:kern w:val="0"/>
                <w:sz w:val="24"/>
              </w:rPr>
              <w:t>，总体</w:t>
            </w:r>
            <w:r>
              <w:rPr>
                <w:rFonts w:hint="eastAsia"/>
                <w:color w:val="000000" w:themeColor="text1"/>
                <w:sz w:val="24"/>
              </w:rPr>
              <w:t>保养良好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54" w:type="dxa"/>
            <w:vMerge w:val="continue"/>
            <w:shd w:val="clear" w:color="auto" w:fill="auto"/>
            <w:vAlign w:val="center"/>
          </w:tcPr>
          <w:p>
            <w:pPr>
              <w:spacing w:line="280" w:lineRule="exact"/>
              <w:jc w:val="center"/>
              <w:rPr>
                <w:color w:val="000000" w:themeColor="text1"/>
                <w:sz w:val="24"/>
              </w:rPr>
            </w:pPr>
          </w:p>
        </w:tc>
        <w:tc>
          <w:tcPr>
            <w:tcW w:w="1932" w:type="dxa"/>
            <w:shd w:val="clear" w:color="auto" w:fill="auto"/>
            <w:vAlign w:val="center"/>
          </w:tcPr>
          <w:p>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pPr>
              <w:spacing w:line="300" w:lineRule="exact"/>
              <w:rPr>
                <w:color w:val="000000" w:themeColor="text1"/>
                <w:sz w:val="24"/>
              </w:rPr>
            </w:pPr>
            <w:r>
              <w:rPr>
                <w:rFonts w:hint="eastAsia"/>
                <w:color w:val="000000" w:themeColor="text1"/>
                <w:sz w:val="24"/>
              </w:rPr>
              <w:t>总体完好</w:t>
            </w:r>
          </w:p>
        </w:tc>
      </w:tr>
    </w:tbl>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估价对象权属状况</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rPr>
        <w:t>房屋权属及登记状况</w:t>
      </w:r>
    </w:p>
    <w:p>
      <w:pPr>
        <w:spacing w:line="500" w:lineRule="exact"/>
        <w:ind w:firstLine="630" w:firstLineChars="225"/>
        <w:rPr>
          <w:color w:val="000000" w:themeColor="text1"/>
          <w:sz w:val="28"/>
          <w:szCs w:val="28"/>
        </w:rPr>
      </w:pPr>
      <w:r>
        <w:rPr>
          <w:color w:val="000000" w:themeColor="text1"/>
          <w:sz w:val="28"/>
          <w:szCs w:val="28"/>
          <w:lang w:val="zh-CN"/>
        </w:rPr>
        <w:t>估价对象房屋所有权属</w:t>
      </w:r>
      <w:r>
        <w:rPr>
          <w:rFonts w:hint="eastAsia"/>
          <w:color w:val="000000" w:themeColor="text1"/>
          <w:sz w:val="28"/>
          <w:szCs w:val="28"/>
          <w:lang w:val="zh-CN"/>
        </w:rPr>
        <w:t>张璕</w:t>
      </w:r>
      <w:r>
        <w:rPr>
          <w:color w:val="000000" w:themeColor="text1"/>
          <w:sz w:val="28"/>
          <w:szCs w:val="28"/>
          <w:lang w:val="zh-CN"/>
        </w:rPr>
        <w:t>所有</w:t>
      </w:r>
      <w:r>
        <w:rPr>
          <w:rFonts w:hint="eastAsia"/>
          <w:color w:val="000000" w:themeColor="text1"/>
          <w:sz w:val="28"/>
          <w:szCs w:val="28"/>
          <w:lang w:val="zh-CN"/>
        </w:rPr>
        <w:t>，根据委托方提供的</w:t>
      </w:r>
      <w:r>
        <w:rPr>
          <w:color w:val="000000" w:themeColor="text1"/>
          <w:sz w:val="28"/>
          <w:szCs w:val="28"/>
          <w:lang w:val="zh-CN"/>
        </w:rPr>
        <w:t>《</w:t>
      </w:r>
      <w:r>
        <w:rPr>
          <w:rFonts w:hint="eastAsia"/>
          <w:color w:val="000000" w:themeColor="text1"/>
          <w:sz w:val="28"/>
          <w:szCs w:val="28"/>
          <w:lang w:val="zh-CN"/>
        </w:rPr>
        <w:t>房屋所有权证</w:t>
      </w:r>
      <w:r>
        <w:rPr>
          <w:color w:val="000000" w:themeColor="text1"/>
          <w:sz w:val="28"/>
          <w:szCs w:val="28"/>
          <w:lang w:val="zh-CN"/>
        </w:rPr>
        <w:t>》</w:t>
      </w:r>
      <w:r>
        <w:rPr>
          <w:rFonts w:hint="eastAsia"/>
          <w:color w:val="000000" w:themeColor="text1"/>
          <w:sz w:val="28"/>
          <w:szCs w:val="28"/>
          <w:lang w:val="zh-CN"/>
        </w:rPr>
        <w:t>（证号为：武穴市房权证武办字第000043126号）</w:t>
      </w:r>
      <w:r>
        <w:rPr>
          <w:color w:val="000000" w:themeColor="text1"/>
          <w:sz w:val="28"/>
          <w:szCs w:val="28"/>
          <w:lang w:val="zh-CN"/>
        </w:rPr>
        <w:t>，</w:t>
      </w:r>
      <w:r>
        <w:rPr>
          <w:rFonts w:hint="eastAsia"/>
          <w:color w:val="000000" w:themeColor="text1"/>
          <w:sz w:val="28"/>
          <w:szCs w:val="28"/>
          <w:lang w:val="zh-CN"/>
        </w:rPr>
        <w:t>该房屋用途为住宅，共四层</w:t>
      </w:r>
      <w:r>
        <w:rPr>
          <w:color w:val="000000" w:themeColor="text1"/>
          <w:sz w:val="28"/>
          <w:szCs w:val="28"/>
          <w:lang w:val="zh-CN"/>
        </w:rPr>
        <w:t>，</w:t>
      </w:r>
      <w:r>
        <w:rPr>
          <w:rFonts w:hint="eastAsia"/>
          <w:color w:val="000000" w:themeColor="text1"/>
          <w:sz w:val="28"/>
          <w:szCs w:val="28"/>
          <w:lang w:val="zh-CN"/>
        </w:rPr>
        <w:t>混合结构，</w:t>
      </w:r>
      <w:r>
        <w:rPr>
          <w:color w:val="000000" w:themeColor="text1"/>
          <w:sz w:val="28"/>
          <w:szCs w:val="28"/>
          <w:lang w:val="zh-CN"/>
        </w:rPr>
        <w:t>登记建筑面积为</w:t>
      </w:r>
      <w:r>
        <w:rPr>
          <w:rFonts w:hint="eastAsia"/>
          <w:color w:val="000000" w:themeColor="text1"/>
          <w:sz w:val="28"/>
          <w:szCs w:val="28"/>
          <w:lang w:val="zh-CN"/>
        </w:rPr>
        <w:t>409.28</w:t>
      </w:r>
      <w:r>
        <w:rPr>
          <w:color w:val="000000" w:themeColor="text1"/>
          <w:sz w:val="28"/>
          <w:szCs w:val="28"/>
          <w:lang w:val="zh-CN"/>
        </w:rPr>
        <w:t>平方米</w:t>
      </w:r>
      <w:r>
        <w:rPr>
          <w:rFonts w:hint="eastAsia"/>
          <w:color w:val="000000" w:themeColor="text1"/>
          <w:sz w:val="28"/>
          <w:szCs w:val="28"/>
          <w:lang w:val="zh-CN"/>
        </w:rPr>
        <w:t>。</w:t>
      </w:r>
    </w:p>
    <w:p>
      <w:pPr>
        <w:numPr>
          <w:ilvl w:val="2"/>
          <w:numId w:val="3"/>
        </w:numPr>
        <w:tabs>
          <w:tab w:val="left" w:pos="1080"/>
        </w:tabs>
        <w:spacing w:line="500" w:lineRule="exact"/>
        <w:ind w:left="1260"/>
        <w:rPr>
          <w:color w:val="000000" w:themeColor="text1"/>
          <w:sz w:val="28"/>
          <w:szCs w:val="28"/>
        </w:rPr>
      </w:pPr>
      <w:r>
        <w:rPr>
          <w:color w:val="000000" w:themeColor="text1"/>
          <w:sz w:val="28"/>
          <w:szCs w:val="28"/>
          <w:lang w:val="zh-CN"/>
        </w:rPr>
        <w:t>土地权属及登记状况</w:t>
      </w:r>
    </w:p>
    <w:p>
      <w:pPr>
        <w:spacing w:line="500" w:lineRule="exact"/>
        <w:ind w:firstLine="630" w:firstLineChars="225"/>
        <w:rPr>
          <w:color w:val="000000" w:themeColor="text1"/>
          <w:sz w:val="28"/>
          <w:szCs w:val="28"/>
          <w:lang w:val="zh-CN"/>
        </w:rPr>
      </w:pPr>
      <w:bookmarkStart w:id="9" w:name="OLE_LINK7"/>
      <w:r>
        <w:rPr>
          <w:rFonts w:hint="eastAsia"/>
          <w:color w:val="000000" w:themeColor="text1"/>
          <w:sz w:val="28"/>
          <w:szCs w:val="28"/>
          <w:lang w:val="zh-CN"/>
        </w:rPr>
        <w:t>估价对象土地所有权属国家所有，土地使用权人为张璕。根据委托方提供的《国有土地使用证》（武穴国用（2011）第010024164号），所在宗地土地使用权面积为200平方米（其中建筑占地96㎡</w:t>
      </w:r>
      <w:r>
        <w:rPr>
          <w:color w:val="000000" w:themeColor="text1"/>
          <w:sz w:val="28"/>
          <w:szCs w:val="28"/>
          <w:lang w:val="zh-CN"/>
        </w:rPr>
        <w:t>，前后院占地</w:t>
      </w:r>
      <w:r>
        <w:rPr>
          <w:rFonts w:hint="eastAsia"/>
          <w:color w:val="000000" w:themeColor="text1"/>
          <w:sz w:val="28"/>
          <w:szCs w:val="28"/>
          <w:lang w:val="zh-CN"/>
        </w:rPr>
        <w:t>104㎡），地类（用途）为住宅用地，使用权类型为</w:t>
      </w:r>
      <w:r>
        <w:rPr>
          <w:color w:val="000000" w:themeColor="text1"/>
          <w:sz w:val="28"/>
          <w:szCs w:val="28"/>
          <w:lang w:val="zh-CN"/>
        </w:rPr>
        <w:t>出让，</w:t>
      </w:r>
      <w:r>
        <w:rPr>
          <w:rFonts w:hint="eastAsia"/>
          <w:color w:val="000000" w:themeColor="text1"/>
          <w:sz w:val="28"/>
          <w:szCs w:val="28"/>
          <w:lang w:val="zh-CN"/>
        </w:rPr>
        <w:t>出让终止日期为20</w:t>
      </w:r>
      <w:r>
        <w:rPr>
          <w:color w:val="000000" w:themeColor="text1"/>
          <w:sz w:val="28"/>
          <w:szCs w:val="28"/>
          <w:lang w:val="zh-CN"/>
        </w:rPr>
        <w:t>1</w:t>
      </w:r>
      <w:r>
        <w:rPr>
          <w:rFonts w:hint="eastAsia"/>
          <w:color w:val="000000" w:themeColor="text1"/>
          <w:sz w:val="28"/>
          <w:szCs w:val="28"/>
          <w:lang w:val="zh-CN"/>
        </w:rPr>
        <w:t>7年07月20日，至价值时点</w:t>
      </w:r>
      <w:r>
        <w:rPr>
          <w:color w:val="000000" w:themeColor="text1"/>
          <w:sz w:val="28"/>
          <w:szCs w:val="28"/>
          <w:lang w:val="zh-CN"/>
        </w:rPr>
        <w:t>土地使用权已到期</w:t>
      </w:r>
      <w:r>
        <w:rPr>
          <w:rFonts w:hint="eastAsia"/>
          <w:color w:val="000000" w:themeColor="text1"/>
          <w:sz w:val="28"/>
          <w:szCs w:val="28"/>
          <w:lang w:val="zh-CN"/>
        </w:rPr>
        <w:t>。</w:t>
      </w:r>
    </w:p>
    <w:bookmarkEnd w:id="9"/>
    <w:p>
      <w:pPr>
        <w:numPr>
          <w:ilvl w:val="0"/>
          <w:numId w:val="3"/>
        </w:numPr>
        <w:spacing w:line="500" w:lineRule="exact"/>
        <w:outlineLvl w:val="1"/>
        <w:rPr>
          <w:b/>
          <w:color w:val="000000" w:themeColor="text1"/>
          <w:sz w:val="28"/>
          <w:szCs w:val="28"/>
        </w:rPr>
      </w:pPr>
      <w:bookmarkStart w:id="10" w:name="_Toc49247117"/>
      <w:r>
        <w:rPr>
          <w:b/>
          <w:color w:val="000000" w:themeColor="text1"/>
          <w:sz w:val="28"/>
          <w:szCs w:val="28"/>
        </w:rPr>
        <w:t>价值时点</w:t>
      </w:r>
      <w:bookmarkEnd w:id="10"/>
    </w:p>
    <w:p>
      <w:pPr>
        <w:spacing w:line="500" w:lineRule="exact"/>
        <w:ind w:firstLine="630" w:firstLineChars="225"/>
        <w:rPr>
          <w:b/>
          <w:color w:val="000000" w:themeColor="text1"/>
          <w:sz w:val="28"/>
          <w:szCs w:val="28"/>
        </w:rPr>
      </w:pPr>
      <w:r>
        <w:rPr>
          <w:rFonts w:hint="eastAsia"/>
          <w:color w:val="000000" w:themeColor="text1"/>
          <w:sz w:val="28"/>
          <w:szCs w:val="28"/>
        </w:rPr>
        <w:t>二〇二〇年八月三日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pPr>
        <w:numPr>
          <w:ilvl w:val="0"/>
          <w:numId w:val="3"/>
        </w:numPr>
        <w:spacing w:line="500" w:lineRule="exact"/>
        <w:outlineLvl w:val="1"/>
        <w:rPr>
          <w:b/>
          <w:color w:val="000000" w:themeColor="text1"/>
          <w:sz w:val="28"/>
          <w:szCs w:val="28"/>
        </w:rPr>
      </w:pPr>
      <w:bookmarkStart w:id="11" w:name="_Toc49247118"/>
      <w:r>
        <w:rPr>
          <w:b/>
          <w:color w:val="000000" w:themeColor="text1"/>
          <w:sz w:val="28"/>
          <w:szCs w:val="28"/>
        </w:rPr>
        <w:t>价值类型</w:t>
      </w:r>
      <w:bookmarkEnd w:id="11"/>
    </w:p>
    <w:p>
      <w:pPr>
        <w:spacing w:line="500" w:lineRule="exact"/>
        <w:ind w:firstLine="630" w:firstLineChars="225"/>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pPr>
        <w:tabs>
          <w:tab w:val="left" w:pos="2340"/>
        </w:tabs>
        <w:spacing w:line="500" w:lineRule="exact"/>
        <w:ind w:firstLine="560" w:firstLineChars="200"/>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1、用途：估价对象证载用途为</w:t>
      </w:r>
      <w:r>
        <w:rPr>
          <w:rFonts w:hint="eastAsia"/>
          <w:color w:val="000000" w:themeColor="text1"/>
          <w:sz w:val="28"/>
          <w:szCs w:val="28"/>
        </w:rPr>
        <w:t>住宅</w:t>
      </w:r>
      <w:r>
        <w:rPr>
          <w:color w:val="000000" w:themeColor="text1"/>
          <w:sz w:val="28"/>
          <w:szCs w:val="28"/>
        </w:rPr>
        <w:t>，实际用途</w:t>
      </w:r>
      <w:r>
        <w:rPr>
          <w:rFonts w:hint="eastAsia"/>
          <w:color w:val="000000" w:themeColor="text1"/>
          <w:sz w:val="28"/>
          <w:szCs w:val="28"/>
        </w:rPr>
        <w:t>与证载用途一致；故</w:t>
      </w:r>
      <w:r>
        <w:rPr>
          <w:color w:val="000000" w:themeColor="text1"/>
          <w:sz w:val="28"/>
          <w:szCs w:val="28"/>
          <w:lang w:val="zh-CN"/>
        </w:rPr>
        <w:t>本次按</w:t>
      </w:r>
      <w:r>
        <w:rPr>
          <w:rFonts w:hint="eastAsia"/>
          <w:color w:val="000000" w:themeColor="text1"/>
          <w:sz w:val="28"/>
          <w:szCs w:val="28"/>
          <w:lang w:val="zh-CN"/>
        </w:rPr>
        <w:t>住宅房地产的特性</w:t>
      </w:r>
      <w:r>
        <w:rPr>
          <w:color w:val="000000" w:themeColor="text1"/>
          <w:sz w:val="28"/>
          <w:szCs w:val="28"/>
          <w:lang w:val="zh-CN"/>
        </w:rPr>
        <w:t>进行评估</w:t>
      </w:r>
      <w:r>
        <w:rPr>
          <w:rFonts w:hint="eastAsia"/>
          <w:color w:val="000000" w:themeColor="text1"/>
          <w:sz w:val="28"/>
          <w:szCs w:val="28"/>
          <w:lang w:val="zh-CN"/>
        </w:rPr>
        <w:t>，并适当考虑估价对象房屋前后院落对估价对象的价值影响</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张璕</w:t>
      </w:r>
      <w:r>
        <w:rPr>
          <w:color w:val="000000" w:themeColor="text1"/>
          <w:sz w:val="28"/>
          <w:szCs w:val="28"/>
        </w:rPr>
        <w:t>拥有估价对象的房屋所有权和国有</w:t>
      </w:r>
      <w:r>
        <w:rPr>
          <w:rFonts w:hint="eastAsia"/>
          <w:color w:val="000000" w:themeColor="text1"/>
          <w:sz w:val="28"/>
          <w:szCs w:val="28"/>
        </w:rPr>
        <w:t>出让</w:t>
      </w:r>
      <w:r>
        <w:rPr>
          <w:color w:val="000000" w:themeColor="text1"/>
          <w:sz w:val="28"/>
          <w:szCs w:val="28"/>
        </w:rPr>
        <w:t>住宅</w:t>
      </w:r>
      <w:r>
        <w:rPr>
          <w:rFonts w:hint="eastAsia"/>
          <w:color w:val="000000" w:themeColor="text1"/>
          <w:sz w:val="28"/>
          <w:szCs w:val="28"/>
        </w:rPr>
        <w:t>用地</w:t>
      </w:r>
      <w:r>
        <w:rPr>
          <w:color w:val="000000" w:themeColor="text1"/>
          <w:sz w:val="28"/>
          <w:szCs w:val="28"/>
        </w:rPr>
        <w:t>使用权</w:t>
      </w:r>
      <w:r>
        <w:rPr>
          <w:rFonts w:hint="eastAsia"/>
          <w:color w:val="000000" w:themeColor="text1"/>
          <w:sz w:val="28"/>
          <w:szCs w:val="28"/>
        </w:rPr>
        <w:t>，至价值时点</w:t>
      </w:r>
      <w:r>
        <w:rPr>
          <w:color w:val="000000" w:themeColor="text1"/>
          <w:sz w:val="28"/>
          <w:szCs w:val="28"/>
        </w:rPr>
        <w:t>估价对象土地使用权</w:t>
      </w:r>
      <w:r>
        <w:rPr>
          <w:rFonts w:hint="eastAsia"/>
          <w:color w:val="000000" w:themeColor="text1"/>
          <w:sz w:val="28"/>
          <w:szCs w:val="28"/>
        </w:rPr>
        <w:t>已到期</w:t>
      </w:r>
      <w:r>
        <w:rPr>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宗地内开发程度“六通一平”(通上水、通下水、通电、通路、通讯、通气及场地平整)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2" w:name="_Toc49247119"/>
      <w:r>
        <w:rPr>
          <w:b/>
          <w:color w:val="000000" w:themeColor="text1"/>
          <w:sz w:val="28"/>
          <w:szCs w:val="28"/>
        </w:rPr>
        <w:t>估价原则</w:t>
      </w:r>
      <w:bookmarkEnd w:id="1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w:t>
      </w:r>
      <w:r>
        <w:rPr>
          <w:rFonts w:hint="eastAsia"/>
          <w:color w:val="000000" w:themeColor="text1"/>
          <w:spacing w:val="-4"/>
          <w:sz w:val="28"/>
          <w:szCs w:val="28"/>
        </w:rPr>
        <w:t>证载用途为住宅，实际用途与证载用途一致；根据合法原则及最高最佳利用原则，本次评估按照住宅房地产的特性进行评估，</w:t>
      </w:r>
      <w:r>
        <w:rPr>
          <w:rFonts w:hint="eastAsia"/>
          <w:color w:val="000000" w:themeColor="text1"/>
          <w:sz w:val="28"/>
          <w:szCs w:val="28"/>
          <w:lang w:val="zh-CN"/>
        </w:rPr>
        <w:t>并适当考虑估价对象前后院落对估价对象的价值影响</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5、价值时点原则：</w:t>
      </w:r>
    </w:p>
    <w:p>
      <w:pPr>
        <w:spacing w:line="500" w:lineRule="exact"/>
        <w:ind w:firstLine="630" w:firstLineChars="225"/>
        <w:rPr>
          <w:color w:val="000000" w:themeColor="text1"/>
          <w:sz w:val="28"/>
          <w:szCs w:val="28"/>
        </w:rPr>
      </w:pPr>
      <w:r>
        <w:rPr>
          <w:color w:val="000000" w:themeColor="text1"/>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，应当折算为价值时点的现值。估价结论同时具有很强的时效性，这主要是考虑到房地产市场价格的波动，同一估价对象在不同时点会具有不同的市场价格。</w:t>
      </w:r>
    </w:p>
    <w:p>
      <w:pPr>
        <w:numPr>
          <w:ilvl w:val="0"/>
          <w:numId w:val="3"/>
        </w:numPr>
        <w:spacing w:line="500" w:lineRule="exact"/>
        <w:outlineLvl w:val="1"/>
        <w:rPr>
          <w:b/>
          <w:color w:val="000000" w:themeColor="text1"/>
          <w:sz w:val="28"/>
          <w:szCs w:val="28"/>
        </w:rPr>
      </w:pPr>
      <w:bookmarkStart w:id="13" w:name="_Toc49247120"/>
      <w:r>
        <w:rPr>
          <w:b/>
          <w:color w:val="000000" w:themeColor="text1"/>
          <w:sz w:val="28"/>
          <w:szCs w:val="28"/>
        </w:rPr>
        <w:t>估价依据</w:t>
      </w:r>
      <w:bookmarkEnd w:id="13"/>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本次估价所依据的有关法律、法规和部门规章：</w:t>
      </w:r>
    </w:p>
    <w:p>
      <w:pPr>
        <w:spacing w:line="500" w:lineRule="exact"/>
        <w:ind w:firstLine="560" w:firstLineChars="200"/>
        <w:rPr>
          <w:color w:val="000000" w:themeColor="text1"/>
          <w:sz w:val="28"/>
          <w:szCs w:val="28"/>
        </w:rPr>
      </w:pPr>
      <w:r>
        <w:rPr>
          <w:color w:val="000000" w:themeColor="text1"/>
          <w:sz w:val="28"/>
          <w:szCs w:val="28"/>
          <w:lang w:val="zh-CN"/>
        </w:rPr>
        <w:t>1、</w:t>
      </w:r>
      <w:r>
        <w:rPr>
          <w:color w:val="000000" w:themeColor="text1"/>
          <w:sz w:val="28"/>
          <w:szCs w:val="28"/>
        </w:rPr>
        <w:t>《中华人民共和国物权法》（中华人民共和国主席令第62 号）；</w:t>
      </w:r>
    </w:p>
    <w:p>
      <w:pPr>
        <w:spacing w:line="500" w:lineRule="exact"/>
        <w:ind w:firstLine="560" w:firstLineChars="200"/>
        <w:rPr>
          <w:color w:val="000000" w:themeColor="text1"/>
          <w:sz w:val="28"/>
          <w:szCs w:val="28"/>
        </w:rPr>
      </w:pPr>
      <w:r>
        <w:rPr>
          <w:color w:val="000000" w:themeColor="text1"/>
          <w:sz w:val="28"/>
          <w:szCs w:val="28"/>
        </w:rPr>
        <w:t>2、《中华人民共和国城市房地产管理法》(2007年修正)(中华人民共和国主席令第72号)；</w:t>
      </w:r>
    </w:p>
    <w:p>
      <w:pPr>
        <w:spacing w:line="500" w:lineRule="exact"/>
        <w:ind w:firstLine="560" w:firstLineChars="200"/>
        <w:rPr>
          <w:color w:val="000000" w:themeColor="text1"/>
          <w:sz w:val="28"/>
          <w:szCs w:val="28"/>
        </w:rPr>
      </w:pPr>
      <w:r>
        <w:rPr>
          <w:color w:val="000000" w:themeColor="text1"/>
          <w:sz w:val="28"/>
          <w:szCs w:val="28"/>
        </w:rPr>
        <w:t>3、《中华人民共和国土地管理法》（2004年修正）（中华人民共和国主席令第28号）；</w:t>
      </w:r>
    </w:p>
    <w:p>
      <w:pPr>
        <w:spacing w:line="500" w:lineRule="exact"/>
        <w:ind w:firstLine="560" w:firstLineChars="200"/>
        <w:rPr>
          <w:color w:val="000000" w:themeColor="text1"/>
          <w:sz w:val="28"/>
          <w:szCs w:val="28"/>
        </w:rPr>
      </w:pPr>
      <w:r>
        <w:rPr>
          <w:color w:val="000000" w:themeColor="text1"/>
          <w:sz w:val="28"/>
          <w:szCs w:val="28"/>
        </w:rPr>
        <w:t>4、《中华人民共和国担保法》（中华人民共和国主席令第50号）；</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本次估价采用的技术标准和规范类文件：</w:t>
      </w:r>
    </w:p>
    <w:p>
      <w:pPr>
        <w:spacing w:line="500" w:lineRule="exact"/>
        <w:ind w:firstLine="560" w:firstLineChars="200"/>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560" w:firstLineChars="200"/>
        <w:rPr>
          <w:color w:val="000000" w:themeColor="text1"/>
          <w:sz w:val="28"/>
          <w:szCs w:val="28"/>
        </w:rPr>
      </w:pPr>
      <w:r>
        <w:rPr>
          <w:color w:val="000000" w:themeColor="text1"/>
          <w:sz w:val="28"/>
          <w:szCs w:val="28"/>
        </w:rPr>
        <w:t>2、</w:t>
      </w:r>
      <w:r>
        <w:rPr>
          <w:color w:val="000000" w:themeColor="text1"/>
          <w:sz w:val="28"/>
          <w:szCs w:val="28"/>
          <w:lang w:val="zh-CN"/>
        </w:rPr>
        <w:t>中华人</w:t>
      </w:r>
      <w:r>
        <w:rPr>
          <w:color w:val="000000" w:themeColor="text1"/>
          <w:spacing w:val="-6"/>
          <w:sz w:val="28"/>
          <w:szCs w:val="28"/>
          <w:lang w:val="zh-CN"/>
        </w:rPr>
        <w:t>民共和国国家标准</w:t>
      </w:r>
      <w:r>
        <w:rPr>
          <w:color w:val="000000" w:themeColor="text1"/>
          <w:spacing w:val="-6"/>
          <w:kern w:val="0"/>
          <w:sz w:val="28"/>
          <w:szCs w:val="28"/>
        </w:rPr>
        <w:t>GB/T50419.29-2013</w:t>
      </w:r>
      <w:r>
        <w:rPr>
          <w:color w:val="000000" w:themeColor="text1"/>
          <w:spacing w:val="-6"/>
          <w:sz w:val="28"/>
          <w:szCs w:val="28"/>
        </w:rPr>
        <w:t>《房地产估价基本术语</w:t>
      </w:r>
      <w:r>
        <w:rPr>
          <w:color w:val="000000" w:themeColor="text1"/>
          <w:sz w:val="28"/>
          <w:szCs w:val="28"/>
        </w:rPr>
        <w:t>标准》；</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委托方提供的有关资料：</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湖北省武穴市人民法院鉴定委托书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【（2020）鄂1182执341号】；</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湖北省武穴市人民法院执行裁定书</w:t>
      </w:r>
      <w:r>
        <w:rPr>
          <w:color w:val="000000" w:themeColor="text1"/>
          <w:sz w:val="28"/>
          <w:szCs w:val="28"/>
        </w:rPr>
        <w:t>》</w:t>
      </w:r>
    </w:p>
    <w:p>
      <w:pPr>
        <w:spacing w:line="500" w:lineRule="exact"/>
        <w:ind w:left="1134"/>
        <w:jc w:val="left"/>
        <w:rPr>
          <w:color w:val="000000" w:themeColor="text1"/>
          <w:sz w:val="28"/>
          <w:szCs w:val="28"/>
        </w:rPr>
      </w:pPr>
      <w:r>
        <w:rPr>
          <w:rFonts w:hint="eastAsia"/>
          <w:color w:val="000000" w:themeColor="text1"/>
          <w:sz w:val="28"/>
          <w:szCs w:val="28"/>
        </w:rPr>
        <w:t>【（2020）鄂1182执341号之三、四】；</w:t>
      </w:r>
    </w:p>
    <w:p>
      <w:pPr>
        <w:numPr>
          <w:ilvl w:val="0"/>
          <w:numId w:val="7"/>
        </w:numPr>
        <w:spacing w:line="500" w:lineRule="exact"/>
        <w:ind w:left="-8448" w:firstLine="9582"/>
        <w:jc w:val="left"/>
        <w:rPr>
          <w:color w:val="000000" w:themeColor="text1"/>
          <w:sz w:val="28"/>
          <w:szCs w:val="28"/>
        </w:rPr>
      </w:pPr>
      <w:r>
        <w:rPr>
          <w:color w:val="000000" w:themeColor="text1"/>
          <w:sz w:val="28"/>
          <w:szCs w:val="28"/>
        </w:rPr>
        <w:t>《</w:t>
      </w:r>
      <w:r>
        <w:rPr>
          <w:rFonts w:hint="eastAsia"/>
          <w:color w:val="000000" w:themeColor="text1"/>
          <w:sz w:val="28"/>
          <w:szCs w:val="28"/>
          <w:lang w:val="zh-CN"/>
        </w:rPr>
        <w:t>房屋所有权证</w:t>
      </w:r>
      <w:r>
        <w:rPr>
          <w:color w:val="000000" w:themeColor="text1"/>
          <w:sz w:val="28"/>
          <w:szCs w:val="28"/>
        </w:rPr>
        <w:t>》</w:t>
      </w:r>
      <w:r>
        <w:rPr>
          <w:rFonts w:hint="eastAsia"/>
          <w:color w:val="000000" w:themeColor="text1"/>
          <w:sz w:val="28"/>
          <w:szCs w:val="28"/>
        </w:rPr>
        <w:t>；</w:t>
      </w:r>
    </w:p>
    <w:p>
      <w:pPr>
        <w:numPr>
          <w:ilvl w:val="0"/>
          <w:numId w:val="7"/>
        </w:numPr>
        <w:spacing w:line="500" w:lineRule="exact"/>
        <w:rPr>
          <w:color w:val="000000" w:themeColor="text1"/>
          <w:sz w:val="28"/>
          <w:szCs w:val="28"/>
        </w:rPr>
      </w:pPr>
      <w:r>
        <w:rPr>
          <w:rFonts w:hint="eastAsia"/>
          <w:color w:val="000000" w:themeColor="text1"/>
          <w:sz w:val="28"/>
          <w:szCs w:val="28"/>
        </w:rPr>
        <w:t>《国有土地使用证》；</w:t>
      </w:r>
    </w:p>
    <w:p>
      <w:pPr>
        <w:numPr>
          <w:ilvl w:val="0"/>
          <w:numId w:val="7"/>
        </w:numPr>
        <w:spacing w:line="500" w:lineRule="exact"/>
        <w:rPr>
          <w:color w:val="000000" w:themeColor="text1"/>
          <w:sz w:val="28"/>
          <w:szCs w:val="28"/>
        </w:rPr>
      </w:pPr>
      <w:r>
        <w:rPr>
          <w:color w:val="000000" w:themeColor="text1"/>
          <w:sz w:val="28"/>
          <w:szCs w:val="28"/>
          <w:lang w:val="zh-CN"/>
        </w:rPr>
        <w:t>委托方提供的其他相关资料</w:t>
      </w:r>
      <w:r>
        <w:rPr>
          <w:rFonts w:hint="eastAsia"/>
          <w:color w:val="000000" w:themeColor="text1"/>
          <w:sz w:val="28"/>
          <w:szCs w:val="28"/>
          <w:lang w:val="zh-CN"/>
        </w:rPr>
        <w:t>；</w:t>
      </w:r>
    </w:p>
    <w:p>
      <w:pPr>
        <w:numPr>
          <w:ilvl w:val="1"/>
          <w:numId w:val="3"/>
        </w:numPr>
        <w:tabs>
          <w:tab w:val="left" w:pos="720"/>
          <w:tab w:val="left" w:pos="900"/>
          <w:tab w:val="left" w:pos="1080"/>
          <w:tab w:val="left" w:pos="1440"/>
          <w:tab w:val="clear" w:pos="1506"/>
        </w:tabs>
        <w:spacing w:line="500" w:lineRule="exact"/>
        <w:ind w:left="0" w:firstLine="560" w:firstLineChars="20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r>
        <w:rPr>
          <w:rFonts w:hint="eastAsia"/>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1、估价人员现场</w:t>
      </w:r>
      <w:r>
        <w:rPr>
          <w:rFonts w:hint="eastAsia"/>
          <w:color w:val="000000" w:themeColor="text1"/>
          <w:sz w:val="28"/>
          <w:szCs w:val="28"/>
        </w:rPr>
        <w:t>查勘</w:t>
      </w:r>
      <w:r>
        <w:rPr>
          <w:color w:val="000000" w:themeColor="text1"/>
          <w:sz w:val="28"/>
          <w:szCs w:val="28"/>
        </w:rPr>
        <w:t xml:space="preserve">记录； </w:t>
      </w:r>
    </w:p>
    <w:p>
      <w:pPr>
        <w:spacing w:line="500" w:lineRule="exact"/>
        <w:ind w:firstLine="560" w:firstLineChars="200"/>
        <w:rPr>
          <w:color w:val="000000" w:themeColor="text1"/>
          <w:sz w:val="28"/>
          <w:szCs w:val="28"/>
        </w:rPr>
      </w:pPr>
      <w:r>
        <w:rPr>
          <w:color w:val="000000" w:themeColor="text1"/>
          <w:sz w:val="28"/>
          <w:szCs w:val="28"/>
        </w:rPr>
        <w:t>2、估价对象现场</w:t>
      </w:r>
      <w:r>
        <w:rPr>
          <w:rFonts w:hint="eastAsia"/>
          <w:color w:val="000000" w:themeColor="text1"/>
          <w:sz w:val="28"/>
          <w:szCs w:val="28"/>
        </w:rPr>
        <w:t>查勘</w:t>
      </w:r>
      <w:r>
        <w:rPr>
          <w:color w:val="000000" w:themeColor="text1"/>
          <w:sz w:val="28"/>
          <w:szCs w:val="28"/>
        </w:rPr>
        <w:t>照片；</w:t>
      </w:r>
    </w:p>
    <w:p>
      <w:pPr>
        <w:spacing w:line="500" w:lineRule="exact"/>
        <w:ind w:firstLine="560" w:firstLineChars="200"/>
        <w:rPr>
          <w:color w:val="000000" w:themeColor="text1"/>
          <w:sz w:val="28"/>
          <w:szCs w:val="28"/>
        </w:rPr>
      </w:pPr>
      <w:r>
        <w:rPr>
          <w:color w:val="000000" w:themeColor="text1"/>
          <w:sz w:val="28"/>
          <w:szCs w:val="28"/>
        </w:rPr>
        <w:t>3、评估人员现场查</w:t>
      </w:r>
      <w:r>
        <w:rPr>
          <w:rFonts w:hint="eastAsia"/>
          <w:color w:val="000000" w:themeColor="text1"/>
          <w:sz w:val="28"/>
          <w:szCs w:val="28"/>
        </w:rPr>
        <w:t>勘</w:t>
      </w:r>
      <w:r>
        <w:rPr>
          <w:color w:val="000000" w:themeColor="text1"/>
          <w:sz w:val="28"/>
          <w:szCs w:val="28"/>
        </w:rPr>
        <w:t>、调查所获取资料及市场收集的资料；</w:t>
      </w:r>
    </w:p>
    <w:p>
      <w:pPr>
        <w:spacing w:line="500" w:lineRule="exact"/>
        <w:ind w:firstLine="560" w:firstLineChars="200"/>
        <w:rPr>
          <w:color w:val="000000" w:themeColor="text1"/>
          <w:sz w:val="28"/>
          <w:szCs w:val="28"/>
        </w:rPr>
      </w:pPr>
      <w:r>
        <w:rPr>
          <w:color w:val="000000" w:themeColor="text1"/>
          <w:sz w:val="28"/>
          <w:szCs w:val="28"/>
        </w:rPr>
        <w:t>4、评估机构收集的国家有关部门发布的统计资料，以及评估机构收集的有关询价资料和参数资料等。</w:t>
      </w:r>
    </w:p>
    <w:p>
      <w:pPr>
        <w:numPr>
          <w:ilvl w:val="0"/>
          <w:numId w:val="3"/>
        </w:numPr>
        <w:spacing w:line="500" w:lineRule="exact"/>
        <w:outlineLvl w:val="1"/>
        <w:rPr>
          <w:b/>
          <w:color w:val="000000" w:themeColor="text1"/>
          <w:sz w:val="28"/>
          <w:szCs w:val="28"/>
        </w:rPr>
      </w:pPr>
      <w:bookmarkStart w:id="14" w:name="_Toc49247121"/>
      <w:r>
        <w:rPr>
          <w:b/>
          <w:color w:val="000000" w:themeColor="text1"/>
          <w:sz w:val="28"/>
          <w:szCs w:val="28"/>
        </w:rPr>
        <w:t>估价方法</w:t>
      </w:r>
      <w:bookmarkEnd w:id="14"/>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pStyle w:val="4"/>
        <w:spacing w:line="500" w:lineRule="exact"/>
        <w:ind w:firstLine="560" w:firstLineChars="200"/>
        <w:rPr>
          <w:color w:val="FF0000"/>
        </w:rPr>
      </w:pPr>
      <w:r>
        <w:rPr>
          <w:color w:val="000000" w:themeColor="text1"/>
          <w:sz w:val="28"/>
          <w:szCs w:val="28"/>
          <w:lang w:val="zh-CN"/>
        </w:rPr>
        <w:t>估价对象</w:t>
      </w:r>
      <w:r>
        <w:rPr>
          <w:rFonts w:hint="eastAsia"/>
          <w:color w:val="000000" w:themeColor="text1"/>
          <w:sz w:val="28"/>
          <w:szCs w:val="28"/>
          <w:lang w:val="zh-CN"/>
        </w:rPr>
        <w:t>作为住宅</w:t>
      </w:r>
      <w:r>
        <w:rPr>
          <w:color w:val="000000" w:themeColor="text1"/>
          <w:sz w:val="28"/>
          <w:szCs w:val="28"/>
        </w:rPr>
        <w:t>，在估价对象区域内房地产市场上类似房地产交易市场活跃，</w:t>
      </w:r>
      <w:r>
        <w:rPr>
          <w:rFonts w:hint="eastAsia"/>
          <w:color w:val="000000" w:themeColor="text1"/>
          <w:sz w:val="28"/>
          <w:szCs w:val="28"/>
        </w:rPr>
        <w:t>交易案例较多且易于收集，市场依据充分，故</w:t>
      </w:r>
      <w:r>
        <w:rPr>
          <w:color w:val="000000" w:themeColor="text1"/>
          <w:sz w:val="28"/>
          <w:szCs w:val="28"/>
        </w:rPr>
        <w:t>宜选用市场法</w:t>
      </w:r>
      <w:r>
        <w:rPr>
          <w:rFonts w:hint="eastAsia"/>
          <w:color w:val="000000" w:themeColor="text1"/>
          <w:sz w:val="28"/>
          <w:szCs w:val="28"/>
        </w:rPr>
        <w:t>评估；</w:t>
      </w:r>
      <w:r>
        <w:rPr>
          <w:color w:val="000000" w:themeColor="text1"/>
          <w:sz w:val="28"/>
          <w:szCs w:val="28"/>
        </w:rPr>
        <w:t>而估价对象可用于出租，存在潜在租金</w:t>
      </w:r>
      <w:r>
        <w:rPr>
          <w:rFonts w:hint="eastAsia"/>
          <w:color w:val="000000" w:themeColor="text1"/>
          <w:sz w:val="28"/>
          <w:szCs w:val="28"/>
        </w:rPr>
        <w:t>收益</w:t>
      </w:r>
      <w:r>
        <w:rPr>
          <w:color w:val="000000" w:themeColor="text1"/>
          <w:sz w:val="28"/>
          <w:szCs w:val="28"/>
        </w:rPr>
        <w:t>，故可选择收益法</w:t>
      </w:r>
      <w:r>
        <w:rPr>
          <w:rFonts w:hint="eastAsia"/>
          <w:color w:val="000000" w:themeColor="text1"/>
          <w:sz w:val="28"/>
          <w:szCs w:val="28"/>
        </w:rPr>
        <w:t>评估</w:t>
      </w:r>
      <w:r>
        <w:rPr>
          <w:color w:val="000000" w:themeColor="text1"/>
          <w:sz w:val="28"/>
          <w:szCs w:val="28"/>
        </w:rPr>
        <w:t>。</w:t>
      </w:r>
    </w:p>
    <w:p>
      <w:pPr>
        <w:numPr>
          <w:ilvl w:val="0"/>
          <w:numId w:val="3"/>
        </w:numPr>
        <w:spacing w:line="500" w:lineRule="exact"/>
        <w:outlineLvl w:val="1"/>
        <w:rPr>
          <w:b/>
          <w:color w:val="000000" w:themeColor="text1"/>
          <w:sz w:val="28"/>
          <w:szCs w:val="28"/>
        </w:rPr>
      </w:pPr>
      <w:bookmarkStart w:id="15" w:name="_Toc49247122"/>
      <w:r>
        <w:rPr>
          <w:b/>
          <w:color w:val="000000" w:themeColor="text1"/>
          <w:sz w:val="28"/>
          <w:szCs w:val="28"/>
        </w:rPr>
        <w:t>估价结果</w:t>
      </w:r>
      <w:bookmarkEnd w:id="15"/>
    </w:p>
    <w:p>
      <w:pPr>
        <w:spacing w:line="500" w:lineRule="exact"/>
        <w:ind w:firstLine="560" w:firstLineChars="200"/>
        <w:rPr>
          <w:color w:val="000000" w:themeColor="text1"/>
          <w:sz w:val="28"/>
          <w:szCs w:val="28"/>
        </w:rPr>
      </w:pP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满足本次估价的全部假设与限制条件下估价结果为</w:t>
      </w:r>
      <w:r>
        <w:rPr>
          <w:b/>
          <w:color w:val="000000" w:themeColor="text1"/>
          <w:sz w:val="28"/>
          <w:szCs w:val="28"/>
        </w:rPr>
        <w:t>RMB155.4万元，</w:t>
      </w:r>
      <w:r>
        <w:rPr>
          <w:color w:val="000000" w:themeColor="text1"/>
          <w:sz w:val="28"/>
          <w:szCs w:val="28"/>
        </w:rPr>
        <w:t>大写金额（人民币）：</w:t>
      </w:r>
      <w:r>
        <w:rPr>
          <w:rFonts w:hint="eastAsia"/>
          <w:b/>
          <w:color w:val="000000" w:themeColor="text1"/>
          <w:sz w:val="28"/>
          <w:szCs w:val="28"/>
        </w:rPr>
        <w:t>壹佰伍拾伍万肆仟元整</w:t>
      </w:r>
      <w:r>
        <w:rPr>
          <w:color w:val="000000" w:themeColor="text1"/>
          <w:sz w:val="28"/>
          <w:szCs w:val="28"/>
        </w:rPr>
        <w:t>。评估单价为3797元/㎡。详见下表：</w:t>
      </w:r>
    </w:p>
    <w:tbl>
      <w:tblPr>
        <w:tblStyle w:val="26"/>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140"/>
        <w:gridCol w:w="1270"/>
        <w:gridCol w:w="1134"/>
        <w:gridCol w:w="1423"/>
        <w:gridCol w:w="851"/>
        <w:gridCol w:w="112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943" w:type="dxa"/>
            <w:vAlign w:val="center"/>
          </w:tcPr>
          <w:p>
            <w:pPr>
              <w:jc w:val="center"/>
              <w:rPr>
                <w:color w:val="000000" w:themeColor="text1"/>
                <w:szCs w:val="21"/>
              </w:rPr>
            </w:pPr>
            <w:r>
              <w:rPr>
                <w:color w:val="000000" w:themeColor="text1"/>
                <w:szCs w:val="21"/>
              </w:rPr>
              <w:t>房地产权利人</w:t>
            </w:r>
          </w:p>
        </w:tc>
        <w:tc>
          <w:tcPr>
            <w:tcW w:w="1140" w:type="dxa"/>
            <w:vAlign w:val="center"/>
          </w:tcPr>
          <w:p>
            <w:pPr>
              <w:jc w:val="center"/>
              <w:rPr>
                <w:color w:val="000000" w:themeColor="text1"/>
                <w:szCs w:val="21"/>
              </w:rPr>
            </w:pPr>
            <w:r>
              <w:rPr>
                <w:color w:val="000000" w:themeColor="text1"/>
                <w:szCs w:val="21"/>
              </w:rPr>
              <w:t>建筑</w:t>
            </w:r>
          </w:p>
          <w:p>
            <w:pPr>
              <w:jc w:val="center"/>
              <w:rPr>
                <w:color w:val="000000" w:themeColor="text1"/>
                <w:szCs w:val="21"/>
              </w:rPr>
            </w:pPr>
            <w:r>
              <w:rPr>
                <w:color w:val="000000" w:themeColor="text1"/>
                <w:szCs w:val="21"/>
              </w:rPr>
              <w:t>面积（㎡）</w:t>
            </w:r>
          </w:p>
        </w:tc>
        <w:tc>
          <w:tcPr>
            <w:tcW w:w="1270" w:type="dxa"/>
            <w:vAlign w:val="center"/>
          </w:tcPr>
          <w:p>
            <w:pPr>
              <w:jc w:val="center"/>
              <w:rPr>
                <w:color w:val="000000" w:themeColor="text1"/>
                <w:szCs w:val="21"/>
              </w:rPr>
            </w:pPr>
            <w:r>
              <w:rPr>
                <w:color w:val="000000" w:themeColor="text1"/>
                <w:szCs w:val="21"/>
              </w:rPr>
              <w:t>土地</w:t>
            </w:r>
            <w:r>
              <w:rPr>
                <w:rFonts w:hint="eastAsia"/>
                <w:color w:val="000000" w:themeColor="text1"/>
                <w:szCs w:val="21"/>
              </w:rPr>
              <w:t>使用权</w:t>
            </w:r>
            <w:r>
              <w:rPr>
                <w:color w:val="000000" w:themeColor="text1"/>
                <w:szCs w:val="21"/>
              </w:rPr>
              <w:t>面积（㎡）</w:t>
            </w:r>
          </w:p>
        </w:tc>
        <w:tc>
          <w:tcPr>
            <w:tcW w:w="1134" w:type="dxa"/>
            <w:vAlign w:val="center"/>
          </w:tcPr>
          <w:p>
            <w:pPr>
              <w:jc w:val="center"/>
              <w:rPr>
                <w:color w:val="000000" w:themeColor="text1"/>
                <w:szCs w:val="21"/>
              </w:rPr>
            </w:pPr>
            <w:r>
              <w:rPr>
                <w:rFonts w:hint="eastAsia"/>
                <w:color w:val="000000" w:themeColor="text1"/>
                <w:szCs w:val="21"/>
              </w:rPr>
              <w:t>证载用途</w:t>
            </w:r>
          </w:p>
        </w:tc>
        <w:tc>
          <w:tcPr>
            <w:tcW w:w="1423" w:type="dxa"/>
            <w:vAlign w:val="center"/>
          </w:tcPr>
          <w:p>
            <w:pPr>
              <w:jc w:val="center"/>
              <w:rPr>
                <w:color w:val="000000" w:themeColor="text1"/>
                <w:szCs w:val="21"/>
              </w:rPr>
            </w:pPr>
            <w:r>
              <w:rPr>
                <w:rFonts w:hint="eastAsia"/>
                <w:color w:val="000000" w:themeColor="text1"/>
                <w:szCs w:val="21"/>
              </w:rPr>
              <w:t>实际用途</w:t>
            </w:r>
          </w:p>
        </w:tc>
        <w:tc>
          <w:tcPr>
            <w:tcW w:w="851" w:type="dxa"/>
            <w:vAlign w:val="center"/>
          </w:tcPr>
          <w:p>
            <w:pPr>
              <w:jc w:val="center"/>
              <w:rPr>
                <w:color w:val="000000" w:themeColor="text1"/>
                <w:szCs w:val="21"/>
              </w:rPr>
            </w:pPr>
            <w:r>
              <w:rPr>
                <w:rFonts w:hint="eastAsia"/>
                <w:color w:val="000000" w:themeColor="text1"/>
                <w:szCs w:val="21"/>
              </w:rPr>
              <w:t>建成年份（年）</w:t>
            </w:r>
          </w:p>
        </w:tc>
        <w:tc>
          <w:tcPr>
            <w:tcW w:w="1128" w:type="dxa"/>
            <w:vAlign w:val="center"/>
          </w:tcPr>
          <w:p>
            <w:pPr>
              <w:jc w:val="center"/>
              <w:rPr>
                <w:color w:val="000000" w:themeColor="text1"/>
                <w:szCs w:val="21"/>
              </w:rPr>
            </w:pPr>
            <w:r>
              <w:rPr>
                <w:rFonts w:hint="eastAsia"/>
                <w:color w:val="000000" w:themeColor="text1"/>
                <w:szCs w:val="21"/>
              </w:rPr>
              <w:t>单价</w:t>
            </w:r>
          </w:p>
          <w:p>
            <w:pPr>
              <w:jc w:val="center"/>
              <w:rPr>
                <w:color w:val="000000" w:themeColor="text1"/>
                <w:szCs w:val="21"/>
              </w:rPr>
            </w:pPr>
            <w:r>
              <w:rPr>
                <w:color w:val="000000" w:themeColor="text1"/>
                <w:szCs w:val="21"/>
              </w:rPr>
              <w:t>（</w:t>
            </w:r>
            <w:r>
              <w:rPr>
                <w:rFonts w:hint="eastAsia"/>
                <w:color w:val="000000" w:themeColor="text1"/>
                <w:szCs w:val="21"/>
              </w:rPr>
              <w:t>元/㎡）</w:t>
            </w:r>
          </w:p>
        </w:tc>
        <w:tc>
          <w:tcPr>
            <w:tcW w:w="1140" w:type="dxa"/>
            <w:vAlign w:val="center"/>
          </w:tcPr>
          <w:p>
            <w:pPr>
              <w:jc w:val="center"/>
              <w:rPr>
                <w:color w:val="000000" w:themeColor="text1"/>
                <w:szCs w:val="21"/>
              </w:rPr>
            </w:pPr>
            <w:r>
              <w:rPr>
                <w:rFonts w:hint="eastAsia"/>
                <w:color w:val="000000" w:themeColor="text1"/>
                <w:szCs w:val="21"/>
              </w:rPr>
              <w:t>总价</w:t>
            </w:r>
          </w:p>
          <w:p>
            <w:pPr>
              <w:jc w:val="center"/>
              <w:rPr>
                <w:color w:val="000000" w:themeColor="text1"/>
                <w:szCs w:val="21"/>
              </w:rPr>
            </w:pPr>
            <w:r>
              <w:rPr>
                <w:color w:val="000000" w:themeColor="text1"/>
                <w:szCs w:val="21"/>
              </w:rPr>
              <w:t>（万元</w:t>
            </w:r>
            <w:r>
              <w:rPr>
                <w:rFonts w:hint="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943" w:type="dxa"/>
            <w:vAlign w:val="center"/>
          </w:tcPr>
          <w:p>
            <w:pPr>
              <w:spacing w:line="240" w:lineRule="atLeast"/>
              <w:jc w:val="center"/>
              <w:rPr>
                <w:color w:val="000000" w:themeColor="text1"/>
                <w:szCs w:val="21"/>
              </w:rPr>
            </w:pPr>
            <w:r>
              <w:rPr>
                <w:rFonts w:hint="eastAsia"/>
                <w:color w:val="000000" w:themeColor="text1"/>
                <w:szCs w:val="21"/>
              </w:rPr>
              <w:t>张璕</w:t>
            </w:r>
          </w:p>
        </w:tc>
        <w:tc>
          <w:tcPr>
            <w:tcW w:w="1140" w:type="dxa"/>
            <w:vAlign w:val="center"/>
          </w:tcPr>
          <w:p>
            <w:pPr>
              <w:spacing w:line="240" w:lineRule="atLeast"/>
              <w:jc w:val="center"/>
              <w:rPr>
                <w:color w:val="000000" w:themeColor="text1"/>
                <w:szCs w:val="21"/>
              </w:rPr>
            </w:pPr>
            <w:r>
              <w:rPr>
                <w:rFonts w:hint="eastAsia"/>
                <w:color w:val="000000" w:themeColor="text1"/>
                <w:szCs w:val="21"/>
              </w:rPr>
              <w:t>409.28</w:t>
            </w:r>
          </w:p>
        </w:tc>
        <w:tc>
          <w:tcPr>
            <w:tcW w:w="1270" w:type="dxa"/>
            <w:vAlign w:val="center"/>
          </w:tcPr>
          <w:p>
            <w:pPr>
              <w:spacing w:line="240" w:lineRule="atLeast"/>
              <w:jc w:val="center"/>
              <w:rPr>
                <w:color w:val="000000" w:themeColor="text1"/>
                <w:szCs w:val="21"/>
              </w:rPr>
            </w:pPr>
            <w:r>
              <w:rPr>
                <w:rFonts w:hint="eastAsia"/>
                <w:color w:val="000000" w:themeColor="text1"/>
                <w:szCs w:val="21"/>
              </w:rPr>
              <w:t>200</w:t>
            </w:r>
          </w:p>
        </w:tc>
        <w:tc>
          <w:tcPr>
            <w:tcW w:w="1134" w:type="dxa"/>
            <w:vAlign w:val="center"/>
          </w:tcPr>
          <w:p>
            <w:pPr>
              <w:spacing w:line="240" w:lineRule="atLeast"/>
              <w:jc w:val="center"/>
              <w:rPr>
                <w:color w:val="000000" w:themeColor="text1"/>
                <w:szCs w:val="21"/>
              </w:rPr>
            </w:pPr>
            <w:r>
              <w:rPr>
                <w:rFonts w:hint="eastAsia"/>
                <w:color w:val="000000" w:themeColor="text1"/>
                <w:szCs w:val="21"/>
              </w:rPr>
              <w:t>住宅</w:t>
            </w:r>
          </w:p>
        </w:tc>
        <w:tc>
          <w:tcPr>
            <w:tcW w:w="1423" w:type="dxa"/>
            <w:vAlign w:val="center"/>
          </w:tcPr>
          <w:p>
            <w:pPr>
              <w:spacing w:line="240" w:lineRule="atLeast"/>
              <w:jc w:val="center"/>
              <w:rPr>
                <w:color w:val="000000" w:themeColor="text1"/>
                <w:szCs w:val="21"/>
              </w:rPr>
            </w:pPr>
            <w:r>
              <w:rPr>
                <w:rFonts w:hint="eastAsia"/>
                <w:color w:val="000000" w:themeColor="text1"/>
                <w:szCs w:val="21"/>
              </w:rPr>
              <w:t>住宅</w:t>
            </w:r>
          </w:p>
        </w:tc>
        <w:tc>
          <w:tcPr>
            <w:tcW w:w="851" w:type="dxa"/>
            <w:vAlign w:val="center"/>
          </w:tcPr>
          <w:p>
            <w:pPr>
              <w:spacing w:line="240" w:lineRule="atLeast"/>
              <w:jc w:val="center"/>
              <w:rPr>
                <w:color w:val="000000" w:themeColor="text1"/>
                <w:szCs w:val="21"/>
              </w:rPr>
            </w:pPr>
            <w:r>
              <w:rPr>
                <w:color w:val="000000" w:themeColor="text1"/>
                <w:szCs w:val="21"/>
              </w:rPr>
              <w:t>2003</w:t>
            </w:r>
          </w:p>
        </w:tc>
        <w:tc>
          <w:tcPr>
            <w:tcW w:w="1128" w:type="dxa"/>
            <w:vAlign w:val="center"/>
          </w:tcPr>
          <w:p>
            <w:pPr>
              <w:spacing w:line="240" w:lineRule="atLeast"/>
              <w:jc w:val="center"/>
              <w:rPr>
                <w:color w:val="000000" w:themeColor="text1"/>
                <w:szCs w:val="21"/>
              </w:rPr>
            </w:pPr>
            <w:r>
              <w:rPr>
                <w:color w:val="000000" w:themeColor="text1"/>
                <w:szCs w:val="21"/>
              </w:rPr>
              <w:t>3797</w:t>
            </w:r>
          </w:p>
        </w:tc>
        <w:tc>
          <w:tcPr>
            <w:tcW w:w="1140" w:type="dxa"/>
            <w:vAlign w:val="center"/>
          </w:tcPr>
          <w:p>
            <w:pPr>
              <w:spacing w:line="240" w:lineRule="atLeast"/>
              <w:jc w:val="center"/>
              <w:rPr>
                <w:color w:val="000000" w:themeColor="text1"/>
                <w:szCs w:val="21"/>
              </w:rPr>
            </w:pPr>
            <w:r>
              <w:rPr>
                <w:color w:val="000000" w:themeColor="text1"/>
                <w:szCs w:val="21"/>
              </w:rPr>
              <w:t>155.4</w:t>
            </w:r>
          </w:p>
        </w:tc>
      </w:tr>
    </w:tbl>
    <w:p>
      <w:pPr>
        <w:numPr>
          <w:ilvl w:val="0"/>
          <w:numId w:val="3"/>
        </w:numPr>
        <w:tabs>
          <w:tab w:val="left" w:pos="1080"/>
        </w:tabs>
        <w:spacing w:line="500" w:lineRule="exact"/>
        <w:outlineLvl w:val="1"/>
        <w:rPr>
          <w:b/>
          <w:color w:val="000000" w:themeColor="text1"/>
          <w:sz w:val="28"/>
          <w:szCs w:val="28"/>
        </w:rPr>
      </w:pPr>
      <w:bookmarkStart w:id="16" w:name="_Toc49247123"/>
      <w:r>
        <w:rPr>
          <w:b/>
          <w:color w:val="000000" w:themeColor="text1"/>
          <w:sz w:val="28"/>
          <w:szCs w:val="28"/>
        </w:rPr>
        <w:t>注册房地产估价师</w:t>
      </w:r>
      <w:bookmarkEnd w:id="16"/>
    </w:p>
    <w:tbl>
      <w:tblPr>
        <w:tblStyle w:val="26"/>
        <w:tblW w:w="9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asciiTheme="minorEastAsia" w:hAnsiTheme="minorEastAsia" w:eastAsiaTheme="minorEastAsia"/>
                <w:b/>
                <w:color w:val="000000" w:themeColor="text1"/>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张  杰</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w:t>
            </w:r>
            <w:r>
              <w:rPr>
                <w:rFonts w:asciiTheme="minorEastAsia" w:hAnsiTheme="minorEastAsia" w:eastAsiaTheme="minorEastAsia"/>
                <w:color w:val="000000" w:themeColor="text1"/>
                <w:sz w:val="24"/>
              </w:rPr>
              <w:t>190036</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p>
        </w:tc>
      </w:tr>
    </w:tbl>
    <w:p>
      <w:pPr>
        <w:numPr>
          <w:ilvl w:val="0"/>
          <w:numId w:val="3"/>
        </w:numPr>
        <w:tabs>
          <w:tab w:val="left" w:pos="1080"/>
        </w:tabs>
        <w:spacing w:line="500" w:lineRule="exact"/>
        <w:outlineLvl w:val="1"/>
        <w:rPr>
          <w:b/>
          <w:color w:val="000000" w:themeColor="text1"/>
          <w:sz w:val="28"/>
          <w:szCs w:val="28"/>
        </w:rPr>
      </w:pPr>
      <w:bookmarkStart w:id="17" w:name="_Toc49247124"/>
      <w:r>
        <w:rPr>
          <w:b/>
          <w:color w:val="000000" w:themeColor="text1"/>
          <w:sz w:val="28"/>
          <w:szCs w:val="28"/>
        </w:rPr>
        <w:t>实地查勘期</w:t>
      </w:r>
      <w:bookmarkEnd w:id="17"/>
    </w:p>
    <w:p>
      <w:pPr>
        <w:spacing w:line="500" w:lineRule="exact"/>
        <w:ind w:firstLine="560" w:firstLineChars="200"/>
        <w:rPr>
          <w:b/>
          <w:color w:val="000000" w:themeColor="text1"/>
          <w:sz w:val="28"/>
          <w:szCs w:val="28"/>
        </w:rPr>
      </w:pPr>
      <w:bookmarkStart w:id="18" w:name="_Toc414467439"/>
      <w:bookmarkStart w:id="19" w:name="_Toc418697316"/>
      <w:bookmarkStart w:id="20" w:name="_Toc434232587"/>
      <w:bookmarkStart w:id="21" w:name="_Toc434232783"/>
      <w:bookmarkStart w:id="22" w:name="_Toc452649916"/>
      <w:bookmarkStart w:id="23" w:name="_Toc452650182"/>
      <w:bookmarkStart w:id="24" w:name="_Toc453591245"/>
      <w:bookmarkStart w:id="25" w:name="_Toc453169022"/>
      <w:r>
        <w:rPr>
          <w:color w:val="000000" w:themeColor="text1"/>
          <w:sz w:val="28"/>
          <w:szCs w:val="28"/>
        </w:rPr>
        <w:t>估价人员于</w:t>
      </w:r>
      <w:r>
        <w:rPr>
          <w:rFonts w:hint="eastAsia"/>
          <w:color w:val="000000" w:themeColor="text1"/>
          <w:sz w:val="28"/>
          <w:szCs w:val="28"/>
        </w:rPr>
        <w:t>二〇二〇年八月三日</w:t>
      </w:r>
      <w:r>
        <w:rPr>
          <w:color w:val="000000" w:themeColor="text1"/>
          <w:sz w:val="28"/>
          <w:szCs w:val="28"/>
        </w:rPr>
        <w:t>进入估价对象现场并完成实地查勘。</w:t>
      </w:r>
      <w:bookmarkEnd w:id="18"/>
      <w:bookmarkEnd w:id="19"/>
      <w:bookmarkEnd w:id="20"/>
      <w:bookmarkEnd w:id="21"/>
      <w:bookmarkEnd w:id="22"/>
      <w:bookmarkEnd w:id="23"/>
      <w:bookmarkEnd w:id="24"/>
      <w:bookmarkEnd w:id="25"/>
    </w:p>
    <w:p>
      <w:pPr>
        <w:numPr>
          <w:ilvl w:val="0"/>
          <w:numId w:val="3"/>
        </w:numPr>
        <w:tabs>
          <w:tab w:val="left" w:pos="1080"/>
        </w:tabs>
        <w:spacing w:line="500" w:lineRule="exact"/>
        <w:outlineLvl w:val="1"/>
        <w:rPr>
          <w:b/>
          <w:color w:val="000000" w:themeColor="text1"/>
          <w:sz w:val="28"/>
          <w:szCs w:val="28"/>
        </w:rPr>
      </w:pPr>
      <w:bookmarkStart w:id="26" w:name="_Toc49247125"/>
      <w:r>
        <w:rPr>
          <w:b/>
          <w:color w:val="000000" w:themeColor="text1"/>
          <w:sz w:val="28"/>
          <w:szCs w:val="28"/>
        </w:rPr>
        <w:t>估价作业期</w:t>
      </w:r>
      <w:bookmarkEnd w:id="26"/>
    </w:p>
    <w:p>
      <w:pPr>
        <w:tabs>
          <w:tab w:val="left" w:pos="1080"/>
        </w:tabs>
        <w:spacing w:line="500" w:lineRule="exact"/>
        <w:ind w:left="720"/>
        <w:rPr>
          <w:b/>
          <w:color w:val="000000" w:themeColor="text1"/>
          <w:sz w:val="28"/>
          <w:szCs w:val="28"/>
        </w:rPr>
      </w:pPr>
      <w:r>
        <w:rPr>
          <w:rFonts w:hint="eastAsia"/>
          <w:color w:val="000000" w:themeColor="text1"/>
          <w:sz w:val="28"/>
          <w:szCs w:val="28"/>
        </w:rPr>
        <w:t>二〇二〇年八月三日至二〇</w:t>
      </w:r>
      <w:r>
        <w:rPr>
          <w:rFonts w:hint="eastAsia"/>
          <w:sz w:val="28"/>
          <w:szCs w:val="28"/>
        </w:rPr>
        <w:t>二〇年八月六日。</w:t>
      </w:r>
    </w:p>
    <w:p>
      <w:pPr>
        <w:numPr>
          <w:ilvl w:val="0"/>
          <w:numId w:val="3"/>
        </w:numPr>
        <w:tabs>
          <w:tab w:val="left" w:pos="1080"/>
        </w:tabs>
        <w:spacing w:line="500" w:lineRule="exact"/>
        <w:outlineLvl w:val="1"/>
        <w:rPr>
          <w:b/>
          <w:color w:val="000000" w:themeColor="text1"/>
          <w:sz w:val="28"/>
          <w:szCs w:val="28"/>
        </w:rPr>
      </w:pPr>
      <w:bookmarkStart w:id="27" w:name="_Toc49247126"/>
      <w:r>
        <w:rPr>
          <w:b/>
          <w:color w:val="000000" w:themeColor="text1"/>
          <w:sz w:val="28"/>
          <w:szCs w:val="28"/>
        </w:rPr>
        <w:t>估价报告应用的有效期</w:t>
      </w:r>
      <w:bookmarkEnd w:id="27"/>
    </w:p>
    <w:p>
      <w:pPr>
        <w:spacing w:line="500" w:lineRule="exact"/>
        <w:ind w:firstLine="560" w:firstLineChars="200"/>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sz w:val="28"/>
          <w:szCs w:val="28"/>
        </w:rPr>
      </w:pPr>
      <w:r>
        <w:rPr>
          <w:sz w:val="28"/>
          <w:szCs w:val="28"/>
        </w:rPr>
        <w:t>2、本估价报告自出具之日（</w:t>
      </w:r>
      <w:r>
        <w:rPr>
          <w:rFonts w:hint="eastAsia"/>
          <w:sz w:val="28"/>
          <w:szCs w:val="28"/>
        </w:rPr>
        <w:t>2020年</w:t>
      </w:r>
      <w:r>
        <w:rPr>
          <w:sz w:val="28"/>
          <w:szCs w:val="28"/>
        </w:rPr>
        <w:t>08</w:t>
      </w:r>
      <w:r>
        <w:rPr>
          <w:rFonts w:hint="eastAsia"/>
          <w:sz w:val="28"/>
          <w:szCs w:val="28"/>
        </w:rPr>
        <w:t>月</w:t>
      </w:r>
      <w:r>
        <w:rPr>
          <w:sz w:val="28"/>
          <w:szCs w:val="28"/>
        </w:rPr>
        <w:t>06</w:t>
      </w:r>
      <w:r>
        <w:rPr>
          <w:rFonts w:hint="eastAsia"/>
          <w:sz w:val="28"/>
          <w:szCs w:val="28"/>
        </w:rPr>
        <w:t>日</w:t>
      </w:r>
      <w:r>
        <w:rPr>
          <w:sz w:val="28"/>
          <w:szCs w:val="28"/>
        </w:rPr>
        <w:t>）起生效。</w:t>
      </w:r>
    </w:p>
    <w:p>
      <w:pPr>
        <w:spacing w:line="500" w:lineRule="exact"/>
        <w:ind w:firstLine="548" w:firstLineChars="196"/>
        <w:rPr>
          <w:b/>
          <w:color w:val="000000" w:themeColor="text1"/>
          <w:sz w:val="28"/>
          <w:szCs w:val="28"/>
        </w:rPr>
      </w:pPr>
      <w:r>
        <w:rPr>
          <w:sz w:val="28"/>
          <w:szCs w:val="28"/>
        </w:rPr>
        <w:t>3、本报告书的应用有效期自完成日期起壹年，即从</w:t>
      </w:r>
      <w:r>
        <w:rPr>
          <w:rFonts w:hint="eastAsia"/>
          <w:sz w:val="28"/>
          <w:szCs w:val="28"/>
        </w:rPr>
        <w:t>2020年</w:t>
      </w:r>
      <w:r>
        <w:rPr>
          <w:sz w:val="28"/>
          <w:szCs w:val="28"/>
        </w:rPr>
        <w:t>08</w:t>
      </w:r>
      <w:r>
        <w:rPr>
          <w:rFonts w:hint="eastAsia"/>
          <w:sz w:val="28"/>
          <w:szCs w:val="28"/>
        </w:rPr>
        <w:t>月</w:t>
      </w:r>
      <w:r>
        <w:rPr>
          <w:sz w:val="28"/>
          <w:szCs w:val="28"/>
        </w:rPr>
        <w:t>06</w:t>
      </w:r>
      <w:r>
        <w:rPr>
          <w:rFonts w:hint="eastAsia"/>
          <w:sz w:val="28"/>
          <w:szCs w:val="28"/>
        </w:rPr>
        <w:t>日</w:t>
      </w:r>
      <w:r>
        <w:rPr>
          <w:sz w:val="28"/>
          <w:szCs w:val="28"/>
        </w:rPr>
        <w:t>起至</w:t>
      </w:r>
      <w:r>
        <w:rPr>
          <w:rFonts w:hint="eastAsia"/>
          <w:sz w:val="28"/>
          <w:szCs w:val="28"/>
        </w:rPr>
        <w:t>20</w:t>
      </w:r>
      <w:r>
        <w:rPr>
          <w:sz w:val="28"/>
          <w:szCs w:val="28"/>
        </w:rPr>
        <w:t>21</w:t>
      </w:r>
      <w:r>
        <w:rPr>
          <w:rFonts w:hint="eastAsia"/>
          <w:sz w:val="28"/>
          <w:szCs w:val="28"/>
        </w:rPr>
        <w:t>年</w:t>
      </w:r>
      <w:r>
        <w:rPr>
          <w:sz w:val="28"/>
          <w:szCs w:val="28"/>
        </w:rPr>
        <w:t>08</w:t>
      </w:r>
      <w:r>
        <w:rPr>
          <w:rFonts w:hint="eastAsia"/>
          <w:sz w:val="28"/>
          <w:szCs w:val="28"/>
        </w:rPr>
        <w:t>月</w:t>
      </w:r>
      <w:r>
        <w:rPr>
          <w:sz w:val="28"/>
          <w:szCs w:val="28"/>
        </w:rPr>
        <w:t>05</w:t>
      </w:r>
      <w:r>
        <w:rPr>
          <w:rFonts w:hint="eastAsia"/>
          <w:sz w:val="28"/>
          <w:szCs w:val="28"/>
        </w:rPr>
        <w:t>日</w:t>
      </w:r>
      <w:r>
        <w:rPr>
          <w:sz w:val="28"/>
          <w:szCs w:val="28"/>
        </w:rPr>
        <w:t>止。当房地产市场价格或房地产政策法</w:t>
      </w:r>
      <w:r>
        <w:rPr>
          <w:color w:val="000000" w:themeColor="text1"/>
          <w:sz w:val="28"/>
          <w:szCs w:val="28"/>
        </w:rPr>
        <w:t>规发生重大变化和调整时，该有效期应相应调减。</w:t>
      </w:r>
    </w:p>
    <w:p>
      <w:pPr>
        <w:widowControl/>
        <w:jc w:val="left"/>
        <w:rPr>
          <w:rFonts w:eastAsia="黑体"/>
          <w:b/>
          <w:color w:val="000000" w:themeColor="text1"/>
          <w:sz w:val="48"/>
          <w:szCs w:val="48"/>
        </w:rPr>
      </w:pPr>
      <w:r>
        <w:rPr>
          <w:rFonts w:eastAsia="黑体"/>
          <w:b/>
          <w:color w:val="000000" w:themeColor="text1"/>
          <w:sz w:val="48"/>
          <w:szCs w:val="48"/>
        </w:rPr>
        <w:br w:type="page"/>
      </w:r>
    </w:p>
    <w:p>
      <w:pPr>
        <w:widowControl/>
        <w:jc w:val="center"/>
        <w:rPr>
          <w:rFonts w:eastAsia="黑体"/>
          <w:b/>
          <w:sz w:val="44"/>
          <w:szCs w:val="44"/>
        </w:rPr>
      </w:pPr>
      <w:r>
        <w:rPr>
          <w:rFonts w:eastAsia="黑体"/>
          <w:b/>
          <w:sz w:val="44"/>
          <w:szCs w:val="44"/>
        </w:rPr>
        <w:t>附 件</w:t>
      </w:r>
    </w:p>
    <w:p>
      <w:pPr>
        <w:tabs>
          <w:tab w:val="left" w:pos="1080"/>
        </w:tabs>
        <w:spacing w:line="500" w:lineRule="exact"/>
        <w:jc w:val="center"/>
        <w:rPr>
          <w:rFonts w:eastAsia="黑体"/>
          <w:b/>
          <w:sz w:val="44"/>
          <w:szCs w:val="44"/>
        </w:rPr>
      </w:pPr>
    </w:p>
    <w:p>
      <w:pPr>
        <w:pStyle w:val="32"/>
        <w:numPr>
          <w:ilvl w:val="0"/>
          <w:numId w:val="8"/>
        </w:numPr>
        <w:tabs>
          <w:tab w:val="left" w:pos="1260"/>
          <w:tab w:val="left" w:pos="1440"/>
          <w:tab w:val="left" w:pos="1620"/>
        </w:tabs>
        <w:spacing w:line="400" w:lineRule="exact"/>
        <w:ind w:left="0" w:firstLine="1134" w:firstLineChars="0"/>
        <w:rPr>
          <w:sz w:val="28"/>
          <w:szCs w:val="28"/>
        </w:rPr>
      </w:pPr>
      <w:bookmarkStart w:id="28" w:name="_Toc461629219"/>
      <w:r>
        <w:rPr>
          <w:rFonts w:hint="eastAsia"/>
          <w:sz w:val="28"/>
          <w:szCs w:val="28"/>
        </w:rPr>
        <w:t>估价对象区位示意图</w:t>
      </w:r>
    </w:p>
    <w:p>
      <w:pPr>
        <w:pStyle w:val="32"/>
        <w:numPr>
          <w:ilvl w:val="0"/>
          <w:numId w:val="8"/>
        </w:numPr>
        <w:tabs>
          <w:tab w:val="left" w:pos="1260"/>
          <w:tab w:val="left" w:pos="1440"/>
          <w:tab w:val="left" w:pos="1620"/>
        </w:tabs>
        <w:spacing w:line="400" w:lineRule="exact"/>
        <w:ind w:left="0" w:firstLine="1134" w:firstLineChars="0"/>
        <w:rPr>
          <w:sz w:val="28"/>
          <w:szCs w:val="28"/>
        </w:rPr>
      </w:pPr>
      <w:bookmarkStart w:id="29" w:name="_Toc461629220"/>
      <w:r>
        <w:rPr>
          <w:rFonts w:hint="eastAsia"/>
          <w:sz w:val="28"/>
          <w:szCs w:val="28"/>
        </w:rPr>
        <w:t>估价对象现场查勘照片</w:t>
      </w:r>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《房屋所有权证》（复印件）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《国有土地使用证》（复印件）</w:t>
      </w:r>
      <w:bookmarkEnd w:id="29"/>
    </w:p>
    <w:p>
      <w:pPr>
        <w:pStyle w:val="32"/>
        <w:numPr>
          <w:ilvl w:val="0"/>
          <w:numId w:val="8"/>
        </w:numPr>
        <w:tabs>
          <w:tab w:val="left" w:pos="1260"/>
          <w:tab w:val="left" w:pos="1440"/>
          <w:tab w:val="left" w:pos="1620"/>
        </w:tabs>
        <w:spacing w:line="400" w:lineRule="exact"/>
        <w:ind w:left="0" w:firstLine="1134" w:firstLineChars="0"/>
        <w:rPr>
          <w:sz w:val="28"/>
          <w:szCs w:val="28"/>
        </w:rPr>
      </w:pPr>
      <w:r>
        <w:rPr>
          <w:rFonts w:hint="eastAsia"/>
          <w:sz w:val="28"/>
          <w:szCs w:val="28"/>
        </w:rPr>
        <w:t>《湖北省武穴市人民法院鉴定委托书》（复印件）</w:t>
      </w:r>
    </w:p>
    <w:bookmarkEnd w:id="28"/>
    <w:p>
      <w:pPr>
        <w:pStyle w:val="32"/>
        <w:numPr>
          <w:ilvl w:val="0"/>
          <w:numId w:val="8"/>
        </w:numPr>
        <w:tabs>
          <w:tab w:val="left" w:pos="1260"/>
          <w:tab w:val="left" w:pos="1440"/>
          <w:tab w:val="left" w:pos="1620"/>
        </w:tabs>
        <w:spacing w:line="400" w:lineRule="exact"/>
        <w:ind w:left="0" w:firstLine="1134" w:firstLineChars="0"/>
        <w:rPr>
          <w:sz w:val="28"/>
          <w:szCs w:val="28"/>
        </w:rPr>
      </w:pPr>
      <w:bookmarkStart w:id="30" w:name="_Toc461629222"/>
      <w:r>
        <w:rPr>
          <w:rFonts w:hint="eastAsia"/>
          <w:sz w:val="28"/>
          <w:szCs w:val="28"/>
        </w:rPr>
        <w:t>《湖北省武穴市人民法院执行裁定书》（复印件）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估价机构营业执照</w:t>
      </w:r>
      <w:bookmarkEnd w:id="30"/>
      <w:bookmarkStart w:id="31" w:name="_Toc461629223"/>
      <w:r>
        <w:rPr>
          <w:rFonts w:hint="eastAsia"/>
          <w:sz w:val="28"/>
          <w:szCs w:val="28"/>
        </w:rPr>
        <w:t>（复印件）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估价机构资质证书</w:t>
      </w:r>
      <w:bookmarkEnd w:id="31"/>
      <w:bookmarkStart w:id="32" w:name="_Toc461629224"/>
      <w:r>
        <w:rPr>
          <w:rFonts w:hint="eastAsia"/>
          <w:sz w:val="28"/>
          <w:szCs w:val="28"/>
        </w:rPr>
        <w:t>（复印件）</w:t>
      </w:r>
    </w:p>
    <w:p>
      <w:pPr>
        <w:pStyle w:val="32"/>
        <w:numPr>
          <w:ilvl w:val="0"/>
          <w:numId w:val="8"/>
        </w:numPr>
        <w:tabs>
          <w:tab w:val="left" w:pos="1260"/>
          <w:tab w:val="left" w:pos="1440"/>
          <w:tab w:val="left" w:pos="1620"/>
        </w:tabs>
        <w:spacing w:line="400" w:lineRule="exact"/>
        <w:ind w:left="0" w:firstLine="1134" w:firstLineChars="0"/>
        <w:rPr>
          <w:sz w:val="28"/>
          <w:szCs w:val="28"/>
        </w:rPr>
      </w:pPr>
      <w:r>
        <w:rPr>
          <w:sz w:val="28"/>
          <w:szCs w:val="28"/>
        </w:rPr>
        <w:t>房地产估价师注册证</w:t>
      </w:r>
      <w:bookmarkEnd w:id="32"/>
      <w:r>
        <w:rPr>
          <w:rFonts w:hint="eastAsia"/>
          <w:sz w:val="28"/>
          <w:szCs w:val="28"/>
        </w:rPr>
        <w:t>（复印件）</w:t>
      </w:r>
    </w:p>
    <w:p>
      <w:pPr>
        <w:widowControl/>
        <w:jc w:val="left"/>
        <w:rPr>
          <w:b/>
          <w:sz w:val="28"/>
          <w:szCs w:val="28"/>
        </w:rPr>
      </w:pPr>
      <w:r>
        <w:rPr>
          <w:b/>
          <w:sz w:val="28"/>
          <w:szCs w:val="28"/>
        </w:rPr>
        <w:br w:type="page"/>
      </w:r>
    </w:p>
    <w:p>
      <w:pPr>
        <w:widowControl/>
        <w:jc w:val="center"/>
        <w:rPr>
          <w:sz w:val="28"/>
          <w:szCs w:val="28"/>
        </w:rPr>
      </w:pPr>
      <w:r>
        <w:rPr>
          <w:rFonts w:hint="eastAsia"/>
          <w:b/>
          <w:sz w:val="28"/>
          <w:szCs w:val="28"/>
        </w:rPr>
        <w:t>一</w:t>
      </w:r>
      <w:r>
        <w:rPr>
          <w:b/>
          <w:sz w:val="28"/>
          <w:szCs w:val="28"/>
        </w:rPr>
        <w:t>、</w:t>
      </w:r>
      <w:r>
        <w:rPr>
          <w:rFonts w:hint="eastAsia"/>
          <w:b/>
          <w:sz w:val="28"/>
          <w:szCs w:val="28"/>
        </w:rPr>
        <w:t>估价对象区位示意图</w:t>
      </w:r>
    </w:p>
    <w:p>
      <w:pPr>
        <w:widowControl/>
        <w:jc w:val="left"/>
        <w:rPr>
          <w:rFonts w:hint="eastAsia" w:eastAsia="宋体"/>
          <w:b/>
          <w:sz w:val="28"/>
          <w:szCs w:val="28"/>
          <w:lang w:eastAsia="zh-CN"/>
        </w:rPr>
      </w:pPr>
      <w:r>
        <w:rPr>
          <w:rFonts w:hint="eastAsia" w:eastAsia="宋体"/>
          <w:b/>
          <w:sz w:val="28"/>
          <w:szCs w:val="28"/>
          <w:lang w:eastAsia="zh-CN"/>
        </w:rPr>
        <w:drawing>
          <wp:inline distT="0" distB="0" distL="114300" distR="114300">
            <wp:extent cx="5459095" cy="8020685"/>
            <wp:effectExtent l="0" t="0" r="8255" b="18415"/>
            <wp:docPr id="1" name="图片 1" descr="cdcecf85038e45039d49800ae4fbd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cecf85038e45039d49800ae4fbdb84"/>
                    <pic:cNvPicPr>
                      <a:picLocks noChangeAspect="1"/>
                    </pic:cNvPicPr>
                  </pic:nvPicPr>
                  <pic:blipFill>
                    <a:blip r:embed="rId11"/>
                    <a:stretch>
                      <a:fillRect/>
                    </a:stretch>
                  </pic:blipFill>
                  <pic:spPr>
                    <a:xfrm>
                      <a:off x="0" y="0"/>
                      <a:ext cx="5459095" cy="8020685"/>
                    </a:xfrm>
                    <a:prstGeom prst="rect">
                      <a:avLst/>
                    </a:prstGeom>
                  </pic:spPr>
                </pic:pic>
              </a:graphicData>
            </a:graphic>
          </wp:inline>
        </w:drawing>
      </w:r>
    </w:p>
    <w:p>
      <w:pPr>
        <w:widowControl/>
        <w:jc w:val="left"/>
        <w:rPr>
          <w:b/>
          <w:sz w:val="28"/>
          <w:szCs w:val="28"/>
        </w:rPr>
      </w:pPr>
      <w:r>
        <w:rPr>
          <w:b/>
          <w:sz w:val="28"/>
          <w:szCs w:val="28"/>
        </w:rPr>
        <w:t xml:space="preserve">  </w:t>
      </w:r>
      <w:r>
        <w:rPr>
          <w:rFonts w:hint="eastAsia"/>
          <w:b/>
          <w:sz w:val="28"/>
          <w:szCs w:val="28"/>
        </w:rPr>
        <w:t xml:space="preserve"> </w:t>
      </w:r>
    </w:p>
    <w:p>
      <w:pPr>
        <w:widowControl/>
        <w:jc w:val="center"/>
        <w:rPr>
          <w:b/>
          <w:sz w:val="28"/>
          <w:szCs w:val="28"/>
        </w:rPr>
      </w:pPr>
      <w:r>
        <w:rPr>
          <w:b/>
          <w:sz w:val="28"/>
          <w:szCs w:val="28"/>
        </w:rPr>
        <w:t xml:space="preserve">  </w:t>
      </w:r>
      <w:r>
        <w:rPr>
          <w:rFonts w:hint="eastAsia"/>
          <w:b/>
          <w:sz w:val="28"/>
          <w:szCs w:val="28"/>
        </w:rPr>
        <w:t xml:space="preserve"> </w:t>
      </w:r>
    </w:p>
    <w:p>
      <w:pPr>
        <w:numPr>
          <w:ilvl w:val="0"/>
          <w:numId w:val="6"/>
        </w:numPr>
        <w:tabs>
          <w:tab w:val="left" w:pos="1260"/>
          <w:tab w:val="left" w:pos="1440"/>
          <w:tab w:val="left" w:pos="1620"/>
          <w:tab w:val="clear" w:pos="720"/>
        </w:tabs>
        <w:ind w:left="720" w:leftChars="0" w:hanging="720" w:firstLineChars="0"/>
        <w:jc w:val="center"/>
        <w:rPr>
          <w:rFonts w:hint="eastAsia"/>
          <w:b/>
          <w:sz w:val="28"/>
          <w:szCs w:val="28"/>
        </w:rPr>
      </w:pPr>
      <w:r>
        <w:rPr>
          <w:rFonts w:hint="eastAsia"/>
          <w:b/>
          <w:sz w:val="28"/>
          <w:szCs w:val="28"/>
        </w:rPr>
        <w:t>《房屋所有权证》（复印件）</w:t>
      </w:r>
    </w:p>
    <w:p>
      <w:pPr>
        <w:numPr>
          <w:numId w:val="0"/>
        </w:numPr>
        <w:tabs>
          <w:tab w:val="left" w:pos="1260"/>
          <w:tab w:val="left" w:pos="1440"/>
          <w:tab w:val="left" w:pos="1620"/>
        </w:tabs>
        <w:ind w:leftChars="0"/>
        <w:jc w:val="both"/>
        <w:rPr>
          <w:rFonts w:hint="eastAsia" w:eastAsia="宋体"/>
          <w:b/>
          <w:sz w:val="28"/>
          <w:szCs w:val="28"/>
          <w:lang w:eastAsia="zh-CN"/>
        </w:rPr>
      </w:pPr>
      <w:r>
        <w:rPr>
          <w:rFonts w:hint="eastAsia" w:eastAsia="宋体"/>
          <w:b/>
          <w:sz w:val="28"/>
          <w:szCs w:val="28"/>
          <w:lang w:eastAsia="zh-CN"/>
        </w:rPr>
        <w:drawing>
          <wp:inline distT="0" distB="0" distL="114300" distR="114300">
            <wp:extent cx="5608955" cy="4096385"/>
            <wp:effectExtent l="0" t="0" r="10795" b="18415"/>
            <wp:docPr id="3" name="图片 3" descr="36322937e7604d889688f31ea17e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6322937e7604d889688f31ea17e4185"/>
                    <pic:cNvPicPr>
                      <a:picLocks noChangeAspect="1"/>
                    </pic:cNvPicPr>
                  </pic:nvPicPr>
                  <pic:blipFill>
                    <a:blip r:embed="rId12"/>
                    <a:stretch>
                      <a:fillRect/>
                    </a:stretch>
                  </pic:blipFill>
                  <pic:spPr>
                    <a:xfrm>
                      <a:off x="0" y="0"/>
                      <a:ext cx="5608955" cy="4096385"/>
                    </a:xfrm>
                    <a:prstGeom prst="rect">
                      <a:avLst/>
                    </a:prstGeom>
                  </pic:spPr>
                </pic:pic>
              </a:graphicData>
            </a:graphic>
          </wp:inline>
        </w:drawing>
      </w:r>
    </w:p>
    <w:p>
      <w:pPr>
        <w:tabs>
          <w:tab w:val="left" w:pos="1260"/>
          <w:tab w:val="left" w:pos="1440"/>
          <w:tab w:val="left" w:pos="1620"/>
        </w:tabs>
        <w:jc w:val="center"/>
        <w:rPr>
          <w:b/>
          <w:sz w:val="28"/>
          <w:szCs w:val="28"/>
        </w:rPr>
      </w:pPr>
      <w:r>
        <w:rPr>
          <w:b/>
          <w:sz w:val="28"/>
          <w:szCs w:val="28"/>
        </w:rPr>
        <w:drawing>
          <wp:inline distT="0" distB="0" distL="0" distR="0">
            <wp:extent cx="5548630" cy="4036060"/>
            <wp:effectExtent l="9525" t="9525" r="23495" b="120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8630" cy="4036060"/>
                    </a:xfrm>
                    <a:prstGeom prst="rect">
                      <a:avLst/>
                    </a:prstGeom>
                    <a:ln>
                      <a:solidFill>
                        <a:schemeClr val="tx1"/>
                      </a:solidFill>
                    </a:ln>
                  </pic:spPr>
                </pic:pic>
              </a:graphicData>
            </a:graphic>
          </wp:inline>
        </w:drawing>
      </w:r>
      <w:r>
        <w:rPr>
          <w:b/>
          <w:sz w:val="28"/>
          <w:szCs w:val="28"/>
        </w:rPr>
        <w:drawing>
          <wp:inline distT="0" distB="0" distL="0" distR="0">
            <wp:extent cx="5976620" cy="4347210"/>
            <wp:effectExtent l="19050" t="19050" r="508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620" cy="4347210"/>
                    </a:xfrm>
                    <a:prstGeom prst="rect">
                      <a:avLst/>
                    </a:prstGeom>
                    <a:ln>
                      <a:solidFill>
                        <a:schemeClr val="tx1"/>
                      </a:solidFill>
                    </a:ln>
                  </pic:spPr>
                </pic:pic>
              </a:graphicData>
            </a:graphic>
          </wp:inline>
        </w:drawing>
      </w:r>
    </w:p>
    <w:p>
      <w:pPr>
        <w:widowControl/>
        <w:jc w:val="left"/>
        <w:rPr>
          <w:b/>
          <w:sz w:val="28"/>
          <w:szCs w:val="28"/>
        </w:rPr>
      </w:pPr>
      <w:r>
        <w:rPr>
          <w:b/>
          <w:sz w:val="28"/>
          <w:szCs w:val="28"/>
        </w:rPr>
        <w:br w:type="page"/>
      </w:r>
    </w:p>
    <w:p>
      <w:pPr>
        <w:tabs>
          <w:tab w:val="left" w:pos="1260"/>
          <w:tab w:val="left" w:pos="1440"/>
          <w:tab w:val="left" w:pos="1620"/>
        </w:tabs>
        <w:jc w:val="center"/>
        <w:rPr>
          <w:b/>
          <w:sz w:val="28"/>
          <w:szCs w:val="28"/>
        </w:rPr>
      </w:pPr>
      <w:r>
        <w:rPr>
          <w:rFonts w:hint="eastAsia"/>
          <w:b/>
          <w:sz w:val="28"/>
          <w:szCs w:val="28"/>
        </w:rPr>
        <w:t>四</w:t>
      </w:r>
      <w:r>
        <w:rPr>
          <w:b/>
          <w:sz w:val="28"/>
          <w:szCs w:val="28"/>
        </w:rPr>
        <w:t>、</w:t>
      </w:r>
      <w:r>
        <w:rPr>
          <w:rFonts w:hint="eastAsia"/>
          <w:b/>
          <w:sz w:val="28"/>
          <w:szCs w:val="28"/>
        </w:rPr>
        <w:t>《国有土地使用证》（复印件）</w:t>
      </w:r>
    </w:p>
    <w:p>
      <w:pPr>
        <w:tabs>
          <w:tab w:val="left" w:pos="1260"/>
          <w:tab w:val="left" w:pos="1440"/>
          <w:tab w:val="left" w:pos="1620"/>
        </w:tabs>
        <w:jc w:val="center"/>
        <w:rPr>
          <w:lang w:val="en-US" w:eastAsia="zh-CN"/>
        </w:rPr>
      </w:pPr>
      <w:r>
        <w:rPr>
          <w:lang w:val="en-US" w:eastAsia="zh-CN"/>
        </w:rPr>
        <w:drawing>
          <wp:inline distT="0" distB="0" distL="114300" distR="114300">
            <wp:extent cx="6125845" cy="4456430"/>
            <wp:effectExtent l="0" t="0" r="8255" b="1270"/>
            <wp:docPr id="2" name="图片 2" descr="c88bc828e46d448f8bd10a53f2600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8bc828e46d448f8bd10a53f2600bba"/>
                    <pic:cNvPicPr>
                      <a:picLocks noChangeAspect="1"/>
                    </pic:cNvPicPr>
                  </pic:nvPicPr>
                  <pic:blipFill>
                    <a:blip r:embed="rId15"/>
                    <a:stretch>
                      <a:fillRect/>
                    </a:stretch>
                  </pic:blipFill>
                  <pic:spPr>
                    <a:xfrm>
                      <a:off x="0" y="0"/>
                      <a:ext cx="6125845" cy="4456430"/>
                    </a:xfrm>
                    <a:prstGeom prst="rect">
                      <a:avLst/>
                    </a:prstGeom>
                  </pic:spPr>
                </pic:pic>
              </a:graphicData>
            </a:graphic>
          </wp:inline>
        </w:drawing>
      </w:r>
    </w:p>
    <w:sectPr>
      <w:headerReference r:id="rId6" w:type="first"/>
      <w:headerReference r:id="rId4" w:type="default"/>
      <w:footerReference r:id="rId7" w:type="default"/>
      <w:headerReference r:id="rId5" w:type="even"/>
      <w:pgSz w:w="11906" w:h="16838"/>
      <w:pgMar w:top="1134" w:right="1247" w:bottom="993" w:left="1247" w:header="1021" w:footer="102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thickThinSmallGap" w:color="auto" w:sz="12" w:space="1"/>
      </w:pBdr>
      <w:ind w:right="70"/>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b/>
        <w:kern w:val="0"/>
        <w:sz w:val="24"/>
        <w:szCs w:val="24"/>
      </w:rPr>
      <w:t xml:space="preserve">- </w:t>
    </w:r>
    <w:r>
      <w:rPr>
        <w:b/>
        <w:kern w:val="0"/>
        <w:sz w:val="24"/>
        <w:szCs w:val="24"/>
      </w:rPr>
      <w:fldChar w:fldCharType="begin"/>
    </w:r>
    <w:r>
      <w:rPr>
        <w:b/>
        <w:kern w:val="0"/>
        <w:sz w:val="24"/>
        <w:szCs w:val="24"/>
      </w:rPr>
      <w:instrText xml:space="preserve"> PAGE </w:instrText>
    </w:r>
    <w:r>
      <w:rPr>
        <w:b/>
        <w:kern w:val="0"/>
        <w:sz w:val="24"/>
        <w:szCs w:val="24"/>
      </w:rPr>
      <w:fldChar w:fldCharType="separate"/>
    </w:r>
    <w:r>
      <w:rPr>
        <w:b/>
        <w:kern w:val="0"/>
        <w:sz w:val="24"/>
        <w:szCs w:val="24"/>
      </w:rPr>
      <w:t>6</w:t>
    </w:r>
    <w:r>
      <w:rPr>
        <w:b/>
        <w:kern w:val="0"/>
        <w:sz w:val="24"/>
        <w:szCs w:val="24"/>
      </w:rPr>
      <w:fldChar w:fldCharType="end"/>
    </w:r>
    <w:r>
      <w:rPr>
        <w:b/>
        <w:kern w:val="0"/>
        <w:sz w:val="24"/>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double" w:color="auto" w:sz="4" w:space="1"/>
      </w:pBdr>
      <w:jc w:val="center"/>
    </w:pPr>
    <w:r>
      <w:rPr>
        <w:rFonts w:hint="eastAsia"/>
      </w:rPr>
      <w:t>位于武穴市天宝北178号，张璕所有的一栋住宅房地产价值评估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5" o:spid="_x0000_s4098" o:spt="75" type="#_x0000_t75" style="position:absolute;left:0pt;height:111.4pt;width:82.5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4" o:spid="_x0000_s4097" o:spt="75" type="#_x0000_t75" style="position:absolute;left:0pt;height:111.4pt;width:82.5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CC16A4F"/>
    <w:multiLevelType w:val="multilevel"/>
    <w:tmpl w:val="3CC16A4F"/>
    <w:lvl w:ilvl="0" w:tentative="0">
      <w:start w:val="1"/>
      <w:numFmt w:val="chineseCountingThousand"/>
      <w:lvlText w:val="(%1)"/>
      <w:lvlJc w:val="left"/>
      <w:pPr>
        <w:tabs>
          <w:tab w:val="left" w:pos="1137"/>
        </w:tabs>
        <w:ind w:left="1137" w:hanging="57"/>
      </w:pPr>
      <w:rPr>
        <w:rFonts w:hint="eastAsia" w:ascii="宋体" w:hAnsi="宋体" w:eastAsia="宋体"/>
        <w:b w:val="0"/>
      </w:rPr>
    </w:lvl>
    <w:lvl w:ilvl="1" w:tentative="0">
      <w:start w:val="2"/>
      <w:numFmt w:val="decimal"/>
      <w:lvlText w:val="%2、"/>
      <w:lvlJc w:val="left"/>
      <w:pPr>
        <w:tabs>
          <w:tab w:val="left" w:pos="1140"/>
        </w:tabs>
        <w:ind w:left="1140" w:hanging="720"/>
      </w:pPr>
      <w:rPr>
        <w:rFonts w:hint="default" w:ascii="ˎ̥" w:hAnsi="ˎ̥"/>
        <w:b w:val="0"/>
        <w:color w:val="333333"/>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E5A490E"/>
    <w:multiLevelType w:val="multilevel"/>
    <w:tmpl w:val="3E5A490E"/>
    <w:lvl w:ilvl="0" w:tentative="0">
      <w:start w:val="1"/>
      <w:numFmt w:val="decimal"/>
      <w:suff w:val="space"/>
      <w:lvlText w:val="%1、"/>
      <w:lvlJc w:val="right"/>
      <w:pPr>
        <w:ind w:left="-8450" w:firstLine="9584"/>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4AD04A7"/>
    <w:multiLevelType w:val="multilevel"/>
    <w:tmpl w:val="64AD04A7"/>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2602" w:hanging="420"/>
      </w:pPr>
    </w:lvl>
    <w:lvl w:ilvl="2" w:tentative="0">
      <w:start w:val="1"/>
      <w:numFmt w:val="lowerRoman"/>
      <w:lvlText w:val="%3."/>
      <w:lvlJc w:val="right"/>
      <w:pPr>
        <w:ind w:left="3022" w:hanging="420"/>
      </w:pPr>
    </w:lvl>
    <w:lvl w:ilvl="3" w:tentative="0">
      <w:start w:val="1"/>
      <w:numFmt w:val="decimal"/>
      <w:lvlText w:val="%4."/>
      <w:lvlJc w:val="left"/>
      <w:pPr>
        <w:ind w:left="3442" w:hanging="420"/>
      </w:pPr>
    </w:lvl>
    <w:lvl w:ilvl="4" w:tentative="0">
      <w:start w:val="1"/>
      <w:numFmt w:val="lowerLetter"/>
      <w:lvlText w:val="%5)"/>
      <w:lvlJc w:val="left"/>
      <w:pPr>
        <w:ind w:left="3862" w:hanging="420"/>
      </w:pPr>
    </w:lvl>
    <w:lvl w:ilvl="5" w:tentative="0">
      <w:start w:val="1"/>
      <w:numFmt w:val="lowerRoman"/>
      <w:lvlText w:val="%6."/>
      <w:lvlJc w:val="right"/>
      <w:pPr>
        <w:ind w:left="4282" w:hanging="420"/>
      </w:pPr>
    </w:lvl>
    <w:lvl w:ilvl="6" w:tentative="0">
      <w:start w:val="1"/>
      <w:numFmt w:val="decimal"/>
      <w:lvlText w:val="%7."/>
      <w:lvlJc w:val="left"/>
      <w:pPr>
        <w:ind w:left="4702" w:hanging="420"/>
      </w:pPr>
    </w:lvl>
    <w:lvl w:ilvl="7" w:tentative="0">
      <w:start w:val="1"/>
      <w:numFmt w:val="lowerLetter"/>
      <w:lvlText w:val="%8)"/>
      <w:lvlJc w:val="left"/>
      <w:pPr>
        <w:ind w:left="5122" w:hanging="420"/>
      </w:pPr>
    </w:lvl>
    <w:lvl w:ilvl="8" w:tentative="0">
      <w:start w:val="1"/>
      <w:numFmt w:val="lowerRoman"/>
      <w:lvlText w:val="%9."/>
      <w:lvlJc w:val="right"/>
      <w:pPr>
        <w:ind w:left="5542" w:hanging="420"/>
      </w:pPr>
    </w:lvl>
  </w:abstractNum>
  <w:abstractNum w:abstractNumId="6">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6"/>
  </w:num>
  <w:num w:numId="4">
    <w:abstractNumId w:val="1"/>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21CB"/>
    <w:rsid w:val="00002C54"/>
    <w:rsid w:val="00002C9A"/>
    <w:rsid w:val="00003FBC"/>
    <w:rsid w:val="00005DB6"/>
    <w:rsid w:val="000061D5"/>
    <w:rsid w:val="00006315"/>
    <w:rsid w:val="00011DB9"/>
    <w:rsid w:val="000123B3"/>
    <w:rsid w:val="000137F2"/>
    <w:rsid w:val="00013955"/>
    <w:rsid w:val="00013E47"/>
    <w:rsid w:val="0001417A"/>
    <w:rsid w:val="0001497A"/>
    <w:rsid w:val="00016C9C"/>
    <w:rsid w:val="00022AD3"/>
    <w:rsid w:val="00022FEC"/>
    <w:rsid w:val="00025139"/>
    <w:rsid w:val="000258C0"/>
    <w:rsid w:val="00025F38"/>
    <w:rsid w:val="0002777D"/>
    <w:rsid w:val="00027AD8"/>
    <w:rsid w:val="00031941"/>
    <w:rsid w:val="000329D5"/>
    <w:rsid w:val="000354DB"/>
    <w:rsid w:val="00035933"/>
    <w:rsid w:val="00036003"/>
    <w:rsid w:val="00037E79"/>
    <w:rsid w:val="00041997"/>
    <w:rsid w:val="00045632"/>
    <w:rsid w:val="000500EE"/>
    <w:rsid w:val="00051369"/>
    <w:rsid w:val="00051555"/>
    <w:rsid w:val="00052396"/>
    <w:rsid w:val="00053DEB"/>
    <w:rsid w:val="000541B6"/>
    <w:rsid w:val="000601C4"/>
    <w:rsid w:val="00061DD2"/>
    <w:rsid w:val="000624B6"/>
    <w:rsid w:val="00063860"/>
    <w:rsid w:val="00065D0E"/>
    <w:rsid w:val="000710F6"/>
    <w:rsid w:val="0007393D"/>
    <w:rsid w:val="00074FF9"/>
    <w:rsid w:val="0007603B"/>
    <w:rsid w:val="000761E2"/>
    <w:rsid w:val="000765E0"/>
    <w:rsid w:val="000768A1"/>
    <w:rsid w:val="0007726D"/>
    <w:rsid w:val="00083292"/>
    <w:rsid w:val="000859AF"/>
    <w:rsid w:val="000870A3"/>
    <w:rsid w:val="00087DF1"/>
    <w:rsid w:val="00091B3B"/>
    <w:rsid w:val="0009471D"/>
    <w:rsid w:val="00095647"/>
    <w:rsid w:val="000A0845"/>
    <w:rsid w:val="000A4809"/>
    <w:rsid w:val="000A4DD6"/>
    <w:rsid w:val="000A6DDB"/>
    <w:rsid w:val="000A7175"/>
    <w:rsid w:val="000B0B52"/>
    <w:rsid w:val="000B17E4"/>
    <w:rsid w:val="000B24EC"/>
    <w:rsid w:val="000B27FB"/>
    <w:rsid w:val="000B29FE"/>
    <w:rsid w:val="000B5ABC"/>
    <w:rsid w:val="000C3D3D"/>
    <w:rsid w:val="000C484A"/>
    <w:rsid w:val="000C4B56"/>
    <w:rsid w:val="000C4F9D"/>
    <w:rsid w:val="000C7AC1"/>
    <w:rsid w:val="000C7CA0"/>
    <w:rsid w:val="000D0DFE"/>
    <w:rsid w:val="000D2571"/>
    <w:rsid w:val="000D42C5"/>
    <w:rsid w:val="000D6198"/>
    <w:rsid w:val="000D7E5A"/>
    <w:rsid w:val="000E2A35"/>
    <w:rsid w:val="000E2F21"/>
    <w:rsid w:val="000E5D32"/>
    <w:rsid w:val="000F01A7"/>
    <w:rsid w:val="000F2FFF"/>
    <w:rsid w:val="000F5566"/>
    <w:rsid w:val="000F7636"/>
    <w:rsid w:val="001028E5"/>
    <w:rsid w:val="001055D2"/>
    <w:rsid w:val="001058D5"/>
    <w:rsid w:val="00105A23"/>
    <w:rsid w:val="00107B05"/>
    <w:rsid w:val="00111B0F"/>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47DB7"/>
    <w:rsid w:val="001510D3"/>
    <w:rsid w:val="00152DAF"/>
    <w:rsid w:val="00154563"/>
    <w:rsid w:val="00170DD5"/>
    <w:rsid w:val="00172AD6"/>
    <w:rsid w:val="00175461"/>
    <w:rsid w:val="00175CAB"/>
    <w:rsid w:val="0017602C"/>
    <w:rsid w:val="001809D0"/>
    <w:rsid w:val="00180CB8"/>
    <w:rsid w:val="00182422"/>
    <w:rsid w:val="00184E79"/>
    <w:rsid w:val="00187180"/>
    <w:rsid w:val="0019442A"/>
    <w:rsid w:val="001950B5"/>
    <w:rsid w:val="00196741"/>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E2"/>
    <w:rsid w:val="001E0372"/>
    <w:rsid w:val="001E05BA"/>
    <w:rsid w:val="001E38A9"/>
    <w:rsid w:val="001E4381"/>
    <w:rsid w:val="001E5F17"/>
    <w:rsid w:val="001E703A"/>
    <w:rsid w:val="001F00FA"/>
    <w:rsid w:val="001F4ED6"/>
    <w:rsid w:val="001F563A"/>
    <w:rsid w:val="001F56C1"/>
    <w:rsid w:val="001F57F8"/>
    <w:rsid w:val="002019A5"/>
    <w:rsid w:val="00202D2E"/>
    <w:rsid w:val="0020558C"/>
    <w:rsid w:val="002068FD"/>
    <w:rsid w:val="0020769B"/>
    <w:rsid w:val="0021046C"/>
    <w:rsid w:val="00211900"/>
    <w:rsid w:val="0021193F"/>
    <w:rsid w:val="00211961"/>
    <w:rsid w:val="00213958"/>
    <w:rsid w:val="0021475D"/>
    <w:rsid w:val="00214D08"/>
    <w:rsid w:val="00214E09"/>
    <w:rsid w:val="00215B7E"/>
    <w:rsid w:val="0021685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0688"/>
    <w:rsid w:val="002944F7"/>
    <w:rsid w:val="0029556C"/>
    <w:rsid w:val="00296272"/>
    <w:rsid w:val="00297636"/>
    <w:rsid w:val="002A243B"/>
    <w:rsid w:val="002A2924"/>
    <w:rsid w:val="002A2E99"/>
    <w:rsid w:val="002A4858"/>
    <w:rsid w:val="002A4DA8"/>
    <w:rsid w:val="002A5383"/>
    <w:rsid w:val="002A53E8"/>
    <w:rsid w:val="002A7A86"/>
    <w:rsid w:val="002B215D"/>
    <w:rsid w:val="002B3CAF"/>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1507"/>
    <w:rsid w:val="00324377"/>
    <w:rsid w:val="00324C2C"/>
    <w:rsid w:val="003258B0"/>
    <w:rsid w:val="00330711"/>
    <w:rsid w:val="00330C24"/>
    <w:rsid w:val="00331DD1"/>
    <w:rsid w:val="00331ED2"/>
    <w:rsid w:val="00332DAB"/>
    <w:rsid w:val="00333739"/>
    <w:rsid w:val="00333A9A"/>
    <w:rsid w:val="00334568"/>
    <w:rsid w:val="003352E2"/>
    <w:rsid w:val="003356D4"/>
    <w:rsid w:val="00337167"/>
    <w:rsid w:val="00341B8A"/>
    <w:rsid w:val="00341FCD"/>
    <w:rsid w:val="00342F02"/>
    <w:rsid w:val="003442F1"/>
    <w:rsid w:val="00344CE8"/>
    <w:rsid w:val="00350C0A"/>
    <w:rsid w:val="00353605"/>
    <w:rsid w:val="00353CC4"/>
    <w:rsid w:val="003559E6"/>
    <w:rsid w:val="00356E20"/>
    <w:rsid w:val="0035716B"/>
    <w:rsid w:val="00361567"/>
    <w:rsid w:val="003629DA"/>
    <w:rsid w:val="00363911"/>
    <w:rsid w:val="00367859"/>
    <w:rsid w:val="00371E33"/>
    <w:rsid w:val="00372B5D"/>
    <w:rsid w:val="0037412C"/>
    <w:rsid w:val="00374A3B"/>
    <w:rsid w:val="003764C8"/>
    <w:rsid w:val="00376714"/>
    <w:rsid w:val="003768FA"/>
    <w:rsid w:val="00380535"/>
    <w:rsid w:val="00384E74"/>
    <w:rsid w:val="0038533E"/>
    <w:rsid w:val="00385E56"/>
    <w:rsid w:val="003861DF"/>
    <w:rsid w:val="00386BD4"/>
    <w:rsid w:val="00387248"/>
    <w:rsid w:val="0038752D"/>
    <w:rsid w:val="003913E7"/>
    <w:rsid w:val="00391490"/>
    <w:rsid w:val="00391D16"/>
    <w:rsid w:val="00393562"/>
    <w:rsid w:val="003935B4"/>
    <w:rsid w:val="00396AD8"/>
    <w:rsid w:val="003975F7"/>
    <w:rsid w:val="00397F77"/>
    <w:rsid w:val="003A007B"/>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6C5E"/>
    <w:rsid w:val="00407AB7"/>
    <w:rsid w:val="004125E1"/>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495"/>
    <w:rsid w:val="0044174A"/>
    <w:rsid w:val="004451E8"/>
    <w:rsid w:val="00445BE1"/>
    <w:rsid w:val="00447E60"/>
    <w:rsid w:val="004513A1"/>
    <w:rsid w:val="004513E2"/>
    <w:rsid w:val="004536FC"/>
    <w:rsid w:val="004539D4"/>
    <w:rsid w:val="00454CC2"/>
    <w:rsid w:val="0045512B"/>
    <w:rsid w:val="00455FC0"/>
    <w:rsid w:val="004576AE"/>
    <w:rsid w:val="00457839"/>
    <w:rsid w:val="00460991"/>
    <w:rsid w:val="004631A0"/>
    <w:rsid w:val="00463280"/>
    <w:rsid w:val="00463CE4"/>
    <w:rsid w:val="00463F63"/>
    <w:rsid w:val="004648F9"/>
    <w:rsid w:val="004675E0"/>
    <w:rsid w:val="00471CF6"/>
    <w:rsid w:val="00474082"/>
    <w:rsid w:val="004776E4"/>
    <w:rsid w:val="00477911"/>
    <w:rsid w:val="00481755"/>
    <w:rsid w:val="0048317E"/>
    <w:rsid w:val="00485FF2"/>
    <w:rsid w:val="004902C2"/>
    <w:rsid w:val="00494F15"/>
    <w:rsid w:val="00494FC7"/>
    <w:rsid w:val="00496196"/>
    <w:rsid w:val="004A1947"/>
    <w:rsid w:val="004A1A63"/>
    <w:rsid w:val="004A7261"/>
    <w:rsid w:val="004B0FC7"/>
    <w:rsid w:val="004B19EE"/>
    <w:rsid w:val="004B1C20"/>
    <w:rsid w:val="004B20E2"/>
    <w:rsid w:val="004B37CE"/>
    <w:rsid w:val="004C08F9"/>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3B2"/>
    <w:rsid w:val="00501FEB"/>
    <w:rsid w:val="005023B7"/>
    <w:rsid w:val="005027FF"/>
    <w:rsid w:val="0050389E"/>
    <w:rsid w:val="0051101E"/>
    <w:rsid w:val="00512EB7"/>
    <w:rsid w:val="00513A13"/>
    <w:rsid w:val="00515D38"/>
    <w:rsid w:val="0051656F"/>
    <w:rsid w:val="00516E3D"/>
    <w:rsid w:val="005170F2"/>
    <w:rsid w:val="00523689"/>
    <w:rsid w:val="005237B5"/>
    <w:rsid w:val="005250D3"/>
    <w:rsid w:val="0052547E"/>
    <w:rsid w:val="00527964"/>
    <w:rsid w:val="00530649"/>
    <w:rsid w:val="00530811"/>
    <w:rsid w:val="0053199F"/>
    <w:rsid w:val="00533040"/>
    <w:rsid w:val="005367F1"/>
    <w:rsid w:val="005420D5"/>
    <w:rsid w:val="005423B1"/>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2BDC"/>
    <w:rsid w:val="00594AD4"/>
    <w:rsid w:val="00596645"/>
    <w:rsid w:val="00596F57"/>
    <w:rsid w:val="005A067C"/>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758C"/>
    <w:rsid w:val="005E7B52"/>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29C4"/>
    <w:rsid w:val="00646B69"/>
    <w:rsid w:val="00647D5D"/>
    <w:rsid w:val="00647F54"/>
    <w:rsid w:val="0065022A"/>
    <w:rsid w:val="00652C20"/>
    <w:rsid w:val="00653302"/>
    <w:rsid w:val="00654005"/>
    <w:rsid w:val="00656F2F"/>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4C02"/>
    <w:rsid w:val="006D5545"/>
    <w:rsid w:val="006D55DE"/>
    <w:rsid w:val="006D7EE5"/>
    <w:rsid w:val="006E01A7"/>
    <w:rsid w:val="006E2728"/>
    <w:rsid w:val="006E46DC"/>
    <w:rsid w:val="006E63B0"/>
    <w:rsid w:val="006F00E4"/>
    <w:rsid w:val="006F133D"/>
    <w:rsid w:val="006F4985"/>
    <w:rsid w:val="006F5B85"/>
    <w:rsid w:val="006F71CD"/>
    <w:rsid w:val="006F74FB"/>
    <w:rsid w:val="00701D11"/>
    <w:rsid w:val="00702C9F"/>
    <w:rsid w:val="00702D17"/>
    <w:rsid w:val="007038D3"/>
    <w:rsid w:val="00703972"/>
    <w:rsid w:val="00704821"/>
    <w:rsid w:val="00706843"/>
    <w:rsid w:val="007071E3"/>
    <w:rsid w:val="00707FB3"/>
    <w:rsid w:val="007106D7"/>
    <w:rsid w:val="00711852"/>
    <w:rsid w:val="00713F70"/>
    <w:rsid w:val="0071430A"/>
    <w:rsid w:val="00716FDF"/>
    <w:rsid w:val="00720242"/>
    <w:rsid w:val="00721794"/>
    <w:rsid w:val="00724F32"/>
    <w:rsid w:val="00731E9E"/>
    <w:rsid w:val="0073207E"/>
    <w:rsid w:val="00732918"/>
    <w:rsid w:val="00734151"/>
    <w:rsid w:val="00734ECB"/>
    <w:rsid w:val="007359B4"/>
    <w:rsid w:val="00735A0D"/>
    <w:rsid w:val="00735D83"/>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44F3"/>
    <w:rsid w:val="00764805"/>
    <w:rsid w:val="007659B3"/>
    <w:rsid w:val="00766B36"/>
    <w:rsid w:val="00772EA3"/>
    <w:rsid w:val="0077423D"/>
    <w:rsid w:val="00776993"/>
    <w:rsid w:val="0078369B"/>
    <w:rsid w:val="007900AF"/>
    <w:rsid w:val="00790318"/>
    <w:rsid w:val="00790995"/>
    <w:rsid w:val="00792F9B"/>
    <w:rsid w:val="0079375F"/>
    <w:rsid w:val="007961A8"/>
    <w:rsid w:val="00796817"/>
    <w:rsid w:val="00796A95"/>
    <w:rsid w:val="00797035"/>
    <w:rsid w:val="007A10D8"/>
    <w:rsid w:val="007A177B"/>
    <w:rsid w:val="007A5511"/>
    <w:rsid w:val="007A67A1"/>
    <w:rsid w:val="007A7650"/>
    <w:rsid w:val="007B06F0"/>
    <w:rsid w:val="007B18C0"/>
    <w:rsid w:val="007B2B5E"/>
    <w:rsid w:val="007B3DFB"/>
    <w:rsid w:val="007B58E4"/>
    <w:rsid w:val="007B6DC3"/>
    <w:rsid w:val="007B7231"/>
    <w:rsid w:val="007C1BFA"/>
    <w:rsid w:val="007C4030"/>
    <w:rsid w:val="007C5769"/>
    <w:rsid w:val="007C6437"/>
    <w:rsid w:val="007D1CBD"/>
    <w:rsid w:val="007D1E03"/>
    <w:rsid w:val="007D739A"/>
    <w:rsid w:val="007E0F8D"/>
    <w:rsid w:val="007E40C4"/>
    <w:rsid w:val="007E6EFC"/>
    <w:rsid w:val="007E7FB0"/>
    <w:rsid w:val="007F05EA"/>
    <w:rsid w:val="007F0B62"/>
    <w:rsid w:val="007F3331"/>
    <w:rsid w:val="007F3375"/>
    <w:rsid w:val="007F360C"/>
    <w:rsid w:val="007F54E0"/>
    <w:rsid w:val="007F6CB6"/>
    <w:rsid w:val="00801EA2"/>
    <w:rsid w:val="008020BB"/>
    <w:rsid w:val="0080360F"/>
    <w:rsid w:val="00804262"/>
    <w:rsid w:val="00805922"/>
    <w:rsid w:val="00806EB9"/>
    <w:rsid w:val="00812F17"/>
    <w:rsid w:val="00813909"/>
    <w:rsid w:val="00820030"/>
    <w:rsid w:val="00821498"/>
    <w:rsid w:val="00823115"/>
    <w:rsid w:val="00827FAD"/>
    <w:rsid w:val="00830371"/>
    <w:rsid w:val="00831708"/>
    <w:rsid w:val="008328FA"/>
    <w:rsid w:val="00837755"/>
    <w:rsid w:val="00840D9B"/>
    <w:rsid w:val="008411C5"/>
    <w:rsid w:val="00842FB6"/>
    <w:rsid w:val="00844702"/>
    <w:rsid w:val="00844AEB"/>
    <w:rsid w:val="00844C86"/>
    <w:rsid w:val="00847129"/>
    <w:rsid w:val="00847B8A"/>
    <w:rsid w:val="00850822"/>
    <w:rsid w:val="00852164"/>
    <w:rsid w:val="00852E65"/>
    <w:rsid w:val="008533A8"/>
    <w:rsid w:val="008610E3"/>
    <w:rsid w:val="00861C61"/>
    <w:rsid w:val="0087164F"/>
    <w:rsid w:val="00872483"/>
    <w:rsid w:val="00874EC6"/>
    <w:rsid w:val="00875CA5"/>
    <w:rsid w:val="00877A33"/>
    <w:rsid w:val="00881F8E"/>
    <w:rsid w:val="00882CE2"/>
    <w:rsid w:val="00883013"/>
    <w:rsid w:val="008863EF"/>
    <w:rsid w:val="00887070"/>
    <w:rsid w:val="00890CCB"/>
    <w:rsid w:val="00891219"/>
    <w:rsid w:val="008937CA"/>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796C"/>
    <w:rsid w:val="008D7E6A"/>
    <w:rsid w:val="008E0040"/>
    <w:rsid w:val="008E25DB"/>
    <w:rsid w:val="008E6684"/>
    <w:rsid w:val="008F1996"/>
    <w:rsid w:val="008F1F05"/>
    <w:rsid w:val="008F372C"/>
    <w:rsid w:val="008F76EF"/>
    <w:rsid w:val="0090269F"/>
    <w:rsid w:val="00905AF9"/>
    <w:rsid w:val="00910276"/>
    <w:rsid w:val="00910EFB"/>
    <w:rsid w:val="0091133E"/>
    <w:rsid w:val="009139A9"/>
    <w:rsid w:val="00913F15"/>
    <w:rsid w:val="00914932"/>
    <w:rsid w:val="00916721"/>
    <w:rsid w:val="0092057A"/>
    <w:rsid w:val="00920FD9"/>
    <w:rsid w:val="009214BD"/>
    <w:rsid w:val="009228EC"/>
    <w:rsid w:val="009236C6"/>
    <w:rsid w:val="00924764"/>
    <w:rsid w:val="009247FD"/>
    <w:rsid w:val="0092688B"/>
    <w:rsid w:val="00933AD1"/>
    <w:rsid w:val="00941C45"/>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819C6"/>
    <w:rsid w:val="009837A3"/>
    <w:rsid w:val="00984126"/>
    <w:rsid w:val="00984803"/>
    <w:rsid w:val="0098777D"/>
    <w:rsid w:val="00990D7C"/>
    <w:rsid w:val="00994C26"/>
    <w:rsid w:val="0099714D"/>
    <w:rsid w:val="009A3A0C"/>
    <w:rsid w:val="009A42D2"/>
    <w:rsid w:val="009A4535"/>
    <w:rsid w:val="009A6024"/>
    <w:rsid w:val="009A79F5"/>
    <w:rsid w:val="009B3154"/>
    <w:rsid w:val="009B328E"/>
    <w:rsid w:val="009B4897"/>
    <w:rsid w:val="009B49E1"/>
    <w:rsid w:val="009B505E"/>
    <w:rsid w:val="009B5174"/>
    <w:rsid w:val="009B65D5"/>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735A"/>
    <w:rsid w:val="00A07FF0"/>
    <w:rsid w:val="00A111A5"/>
    <w:rsid w:val="00A12286"/>
    <w:rsid w:val="00A129E6"/>
    <w:rsid w:val="00A141DA"/>
    <w:rsid w:val="00A176C2"/>
    <w:rsid w:val="00A2069D"/>
    <w:rsid w:val="00A206C4"/>
    <w:rsid w:val="00A208CE"/>
    <w:rsid w:val="00A2113C"/>
    <w:rsid w:val="00A22E58"/>
    <w:rsid w:val="00A23B85"/>
    <w:rsid w:val="00A26600"/>
    <w:rsid w:val="00A271C6"/>
    <w:rsid w:val="00A36F9D"/>
    <w:rsid w:val="00A37573"/>
    <w:rsid w:val="00A37BEB"/>
    <w:rsid w:val="00A37CBB"/>
    <w:rsid w:val="00A40D3E"/>
    <w:rsid w:val="00A44A58"/>
    <w:rsid w:val="00A4622B"/>
    <w:rsid w:val="00A47D83"/>
    <w:rsid w:val="00A51DC9"/>
    <w:rsid w:val="00A52F6A"/>
    <w:rsid w:val="00A54E3A"/>
    <w:rsid w:val="00A564BE"/>
    <w:rsid w:val="00A57436"/>
    <w:rsid w:val="00A60414"/>
    <w:rsid w:val="00A62528"/>
    <w:rsid w:val="00A630BE"/>
    <w:rsid w:val="00A64749"/>
    <w:rsid w:val="00A6480E"/>
    <w:rsid w:val="00A6595B"/>
    <w:rsid w:val="00A66DDA"/>
    <w:rsid w:val="00A673EC"/>
    <w:rsid w:val="00A706ED"/>
    <w:rsid w:val="00A71E3C"/>
    <w:rsid w:val="00A74E30"/>
    <w:rsid w:val="00A76C3D"/>
    <w:rsid w:val="00A811F6"/>
    <w:rsid w:val="00A82D65"/>
    <w:rsid w:val="00A84585"/>
    <w:rsid w:val="00A854B9"/>
    <w:rsid w:val="00A86BE9"/>
    <w:rsid w:val="00A87B3F"/>
    <w:rsid w:val="00A903DD"/>
    <w:rsid w:val="00A97555"/>
    <w:rsid w:val="00A97BB9"/>
    <w:rsid w:val="00AA1137"/>
    <w:rsid w:val="00AA1C7F"/>
    <w:rsid w:val="00AA1E8E"/>
    <w:rsid w:val="00AA28FF"/>
    <w:rsid w:val="00AA55F8"/>
    <w:rsid w:val="00AA5FFD"/>
    <w:rsid w:val="00AB199E"/>
    <w:rsid w:val="00AB232A"/>
    <w:rsid w:val="00AB35BA"/>
    <w:rsid w:val="00AB39BE"/>
    <w:rsid w:val="00AB4428"/>
    <w:rsid w:val="00AB46CF"/>
    <w:rsid w:val="00AB649F"/>
    <w:rsid w:val="00AB6C1F"/>
    <w:rsid w:val="00AB72F0"/>
    <w:rsid w:val="00AB7CE0"/>
    <w:rsid w:val="00AC07CD"/>
    <w:rsid w:val="00AC3194"/>
    <w:rsid w:val="00AC7C51"/>
    <w:rsid w:val="00AD0BAE"/>
    <w:rsid w:val="00AD138E"/>
    <w:rsid w:val="00AD234F"/>
    <w:rsid w:val="00AD61A4"/>
    <w:rsid w:val="00AD7692"/>
    <w:rsid w:val="00AE0289"/>
    <w:rsid w:val="00AE5BB7"/>
    <w:rsid w:val="00AE7A4C"/>
    <w:rsid w:val="00AF3035"/>
    <w:rsid w:val="00AF33B2"/>
    <w:rsid w:val="00AF792C"/>
    <w:rsid w:val="00B058A3"/>
    <w:rsid w:val="00B05DF7"/>
    <w:rsid w:val="00B1623A"/>
    <w:rsid w:val="00B23676"/>
    <w:rsid w:val="00B2530B"/>
    <w:rsid w:val="00B26FEA"/>
    <w:rsid w:val="00B3026C"/>
    <w:rsid w:val="00B308DB"/>
    <w:rsid w:val="00B30AAF"/>
    <w:rsid w:val="00B32122"/>
    <w:rsid w:val="00B335CC"/>
    <w:rsid w:val="00B33E43"/>
    <w:rsid w:val="00B35124"/>
    <w:rsid w:val="00B363ED"/>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37F0"/>
    <w:rsid w:val="00B64720"/>
    <w:rsid w:val="00B6491F"/>
    <w:rsid w:val="00B672B9"/>
    <w:rsid w:val="00B7051B"/>
    <w:rsid w:val="00B73BA2"/>
    <w:rsid w:val="00B74221"/>
    <w:rsid w:val="00B8248D"/>
    <w:rsid w:val="00B84E16"/>
    <w:rsid w:val="00B92122"/>
    <w:rsid w:val="00B9533F"/>
    <w:rsid w:val="00B96A87"/>
    <w:rsid w:val="00B96FD6"/>
    <w:rsid w:val="00BA09B7"/>
    <w:rsid w:val="00BA0D6B"/>
    <w:rsid w:val="00BA1C10"/>
    <w:rsid w:val="00BA1F6F"/>
    <w:rsid w:val="00BA37BF"/>
    <w:rsid w:val="00BA4A79"/>
    <w:rsid w:val="00BA4B62"/>
    <w:rsid w:val="00BA5A2B"/>
    <w:rsid w:val="00BB5935"/>
    <w:rsid w:val="00BC2507"/>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4B1B"/>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0674"/>
    <w:rsid w:val="00C14CAA"/>
    <w:rsid w:val="00C16523"/>
    <w:rsid w:val="00C17003"/>
    <w:rsid w:val="00C17936"/>
    <w:rsid w:val="00C17A28"/>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3D6F"/>
    <w:rsid w:val="00C644B0"/>
    <w:rsid w:val="00C64B0E"/>
    <w:rsid w:val="00C717EC"/>
    <w:rsid w:val="00C7246D"/>
    <w:rsid w:val="00C7393E"/>
    <w:rsid w:val="00C73A4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588D"/>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F3573"/>
    <w:rsid w:val="00CF420A"/>
    <w:rsid w:val="00CF54AD"/>
    <w:rsid w:val="00CF68B3"/>
    <w:rsid w:val="00CF70A8"/>
    <w:rsid w:val="00D104C3"/>
    <w:rsid w:val="00D13993"/>
    <w:rsid w:val="00D13B7D"/>
    <w:rsid w:val="00D1403E"/>
    <w:rsid w:val="00D1510F"/>
    <w:rsid w:val="00D16BBF"/>
    <w:rsid w:val="00D208CB"/>
    <w:rsid w:val="00D213F4"/>
    <w:rsid w:val="00D22618"/>
    <w:rsid w:val="00D237BF"/>
    <w:rsid w:val="00D24241"/>
    <w:rsid w:val="00D31585"/>
    <w:rsid w:val="00D3220E"/>
    <w:rsid w:val="00D32682"/>
    <w:rsid w:val="00D33112"/>
    <w:rsid w:val="00D35085"/>
    <w:rsid w:val="00D40CFD"/>
    <w:rsid w:val="00D45241"/>
    <w:rsid w:val="00D50C38"/>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AB3"/>
    <w:rsid w:val="00D968C9"/>
    <w:rsid w:val="00D97D11"/>
    <w:rsid w:val="00DA0317"/>
    <w:rsid w:val="00DA12FD"/>
    <w:rsid w:val="00DA1457"/>
    <w:rsid w:val="00DA36D8"/>
    <w:rsid w:val="00DA49E9"/>
    <w:rsid w:val="00DA4C6E"/>
    <w:rsid w:val="00DA54B4"/>
    <w:rsid w:val="00DA6DBB"/>
    <w:rsid w:val="00DA7E39"/>
    <w:rsid w:val="00DB024C"/>
    <w:rsid w:val="00DB442E"/>
    <w:rsid w:val="00DB5AAB"/>
    <w:rsid w:val="00DB5C86"/>
    <w:rsid w:val="00DB6333"/>
    <w:rsid w:val="00DC427F"/>
    <w:rsid w:val="00DC4657"/>
    <w:rsid w:val="00DC5342"/>
    <w:rsid w:val="00DD1842"/>
    <w:rsid w:val="00DD2B52"/>
    <w:rsid w:val="00DD4EE9"/>
    <w:rsid w:val="00DE3AFC"/>
    <w:rsid w:val="00DE415B"/>
    <w:rsid w:val="00DE483D"/>
    <w:rsid w:val="00DE4B28"/>
    <w:rsid w:val="00DE618B"/>
    <w:rsid w:val="00DE7AC1"/>
    <w:rsid w:val="00DF0B2D"/>
    <w:rsid w:val="00DF1BA7"/>
    <w:rsid w:val="00DF2209"/>
    <w:rsid w:val="00DF3F83"/>
    <w:rsid w:val="00DF4F19"/>
    <w:rsid w:val="00DF651D"/>
    <w:rsid w:val="00E00201"/>
    <w:rsid w:val="00E054B3"/>
    <w:rsid w:val="00E06BAD"/>
    <w:rsid w:val="00E07019"/>
    <w:rsid w:val="00E11307"/>
    <w:rsid w:val="00E20F6B"/>
    <w:rsid w:val="00E2103E"/>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462"/>
    <w:rsid w:val="00EA1520"/>
    <w:rsid w:val="00EA361A"/>
    <w:rsid w:val="00EB3F07"/>
    <w:rsid w:val="00EB4C24"/>
    <w:rsid w:val="00EB6978"/>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1A7"/>
    <w:rsid w:val="00F07507"/>
    <w:rsid w:val="00F07A11"/>
    <w:rsid w:val="00F1269A"/>
    <w:rsid w:val="00F12AF4"/>
    <w:rsid w:val="00F137C5"/>
    <w:rsid w:val="00F153DC"/>
    <w:rsid w:val="00F16FE4"/>
    <w:rsid w:val="00F21ECF"/>
    <w:rsid w:val="00F222CD"/>
    <w:rsid w:val="00F2271F"/>
    <w:rsid w:val="00F24BF0"/>
    <w:rsid w:val="00F25621"/>
    <w:rsid w:val="00F2572C"/>
    <w:rsid w:val="00F26177"/>
    <w:rsid w:val="00F26AA8"/>
    <w:rsid w:val="00F301AF"/>
    <w:rsid w:val="00F30907"/>
    <w:rsid w:val="00F357BA"/>
    <w:rsid w:val="00F3602C"/>
    <w:rsid w:val="00F36A81"/>
    <w:rsid w:val="00F4116A"/>
    <w:rsid w:val="00F4330E"/>
    <w:rsid w:val="00F43928"/>
    <w:rsid w:val="00F43EA6"/>
    <w:rsid w:val="00F47A3C"/>
    <w:rsid w:val="00F525D7"/>
    <w:rsid w:val="00F54061"/>
    <w:rsid w:val="00F5605F"/>
    <w:rsid w:val="00F579C8"/>
    <w:rsid w:val="00F600E4"/>
    <w:rsid w:val="00F602F3"/>
    <w:rsid w:val="00F62607"/>
    <w:rsid w:val="00F63E08"/>
    <w:rsid w:val="00F6584B"/>
    <w:rsid w:val="00F679E4"/>
    <w:rsid w:val="00F71400"/>
    <w:rsid w:val="00F7197C"/>
    <w:rsid w:val="00F72B82"/>
    <w:rsid w:val="00F74456"/>
    <w:rsid w:val="00F769EB"/>
    <w:rsid w:val="00F778E9"/>
    <w:rsid w:val="00F77A12"/>
    <w:rsid w:val="00F77F54"/>
    <w:rsid w:val="00F82F73"/>
    <w:rsid w:val="00F84FB9"/>
    <w:rsid w:val="00F86005"/>
    <w:rsid w:val="00F92705"/>
    <w:rsid w:val="00F932E0"/>
    <w:rsid w:val="00F94159"/>
    <w:rsid w:val="00F949C4"/>
    <w:rsid w:val="00F94ECC"/>
    <w:rsid w:val="00F952D6"/>
    <w:rsid w:val="00F9690F"/>
    <w:rsid w:val="00F9731D"/>
    <w:rsid w:val="00FA0565"/>
    <w:rsid w:val="00FA1C0C"/>
    <w:rsid w:val="00FA222C"/>
    <w:rsid w:val="00FB0323"/>
    <w:rsid w:val="00FB15FD"/>
    <w:rsid w:val="00FB3487"/>
    <w:rsid w:val="00FB4B6A"/>
    <w:rsid w:val="00FB5047"/>
    <w:rsid w:val="00FB5E92"/>
    <w:rsid w:val="00FB61C5"/>
    <w:rsid w:val="00FC07D3"/>
    <w:rsid w:val="00FC3B24"/>
    <w:rsid w:val="00FC4046"/>
    <w:rsid w:val="00FC42F8"/>
    <w:rsid w:val="00FC453F"/>
    <w:rsid w:val="00FC5C90"/>
    <w:rsid w:val="00FC6D2F"/>
    <w:rsid w:val="00FD142B"/>
    <w:rsid w:val="00FD171B"/>
    <w:rsid w:val="00FD1D87"/>
    <w:rsid w:val="00FD2773"/>
    <w:rsid w:val="00FD3D6F"/>
    <w:rsid w:val="00FD4175"/>
    <w:rsid w:val="00FD5B59"/>
    <w:rsid w:val="00FE0004"/>
    <w:rsid w:val="00FE1607"/>
    <w:rsid w:val="00FE20AF"/>
    <w:rsid w:val="00FE3761"/>
    <w:rsid w:val="00FE62AF"/>
    <w:rsid w:val="00FE67FA"/>
    <w:rsid w:val="00FE6892"/>
    <w:rsid w:val="00FE7010"/>
    <w:rsid w:val="00FF09F7"/>
    <w:rsid w:val="00FF1D43"/>
    <w:rsid w:val="00FF4C16"/>
    <w:rsid w:val="00FF5601"/>
    <w:rsid w:val="00FF7598"/>
    <w:rsid w:val="00FF765F"/>
    <w:rsid w:val="02371173"/>
    <w:rsid w:val="1FB007A4"/>
    <w:rsid w:val="47C30458"/>
    <w:rsid w:val="565A1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1">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rPr>
  </w:style>
  <w:style w:type="paragraph" w:styleId="4">
    <w:name w:val="annotation text"/>
    <w:basedOn w:val="1"/>
    <w:link w:val="28"/>
    <w:semiHidden/>
    <w:qFormat/>
    <w:uiPriority w:val="0"/>
    <w:pPr>
      <w:jc w:val="left"/>
    </w:pPr>
  </w:style>
  <w:style w:type="paragraph" w:styleId="5">
    <w:name w:val="toc 7"/>
    <w:basedOn w:val="1"/>
    <w:next w:val="1"/>
    <w:qFormat/>
    <w:uiPriority w:val="0"/>
    <w:pPr>
      <w:ind w:left="1260"/>
      <w:jc w:val="left"/>
    </w:pPr>
    <w:rPr>
      <w:rFonts w:asciiTheme="minorHAnsi" w:hAnsiTheme="minorHAnsi"/>
      <w:sz w:val="18"/>
      <w:szCs w:val="18"/>
    </w:rPr>
  </w:style>
  <w:style w:type="paragraph" w:styleId="6">
    <w:name w:val="Body Text First Indent"/>
    <w:basedOn w:val="7"/>
    <w:qFormat/>
    <w:uiPriority w:val="0"/>
    <w:pPr>
      <w:ind w:firstLine="420" w:firstLineChars="100"/>
    </w:pPr>
  </w:style>
  <w:style w:type="paragraph" w:styleId="7">
    <w:name w:val="Body Text"/>
    <w:basedOn w:val="1"/>
    <w:qFormat/>
    <w:uiPriority w:val="0"/>
    <w:pPr>
      <w:spacing w:after="120"/>
    </w:pPr>
  </w:style>
  <w:style w:type="paragraph" w:styleId="8">
    <w:name w:val="toc 5"/>
    <w:basedOn w:val="1"/>
    <w:next w:val="1"/>
    <w:qFormat/>
    <w:uiPriority w:val="0"/>
    <w:pPr>
      <w:ind w:left="840"/>
      <w:jc w:val="left"/>
    </w:pPr>
    <w:rPr>
      <w:rFonts w:asciiTheme="minorHAnsi" w:hAnsiTheme="minorHAnsi"/>
      <w:sz w:val="18"/>
      <w:szCs w:val="18"/>
    </w:rPr>
  </w:style>
  <w:style w:type="paragraph" w:styleId="9">
    <w:name w:val="toc 3"/>
    <w:basedOn w:val="1"/>
    <w:next w:val="1"/>
    <w:qFormat/>
    <w:uiPriority w:val="0"/>
    <w:pPr>
      <w:ind w:left="420"/>
      <w:jc w:val="left"/>
    </w:pPr>
    <w:rPr>
      <w:rFonts w:asciiTheme="minorHAnsi" w:hAnsiTheme="minorHAnsi"/>
      <w:i/>
      <w:iCs/>
      <w:sz w:val="20"/>
      <w:szCs w:val="20"/>
    </w:rPr>
  </w:style>
  <w:style w:type="paragraph" w:styleId="10">
    <w:name w:val="toc 8"/>
    <w:basedOn w:val="1"/>
    <w:next w:val="1"/>
    <w:qFormat/>
    <w:uiPriority w:val="0"/>
    <w:pPr>
      <w:ind w:left="1470"/>
      <w:jc w:val="left"/>
    </w:pPr>
    <w:rPr>
      <w:rFonts w:asciiTheme="minorHAnsi" w:hAnsiTheme="minorHAnsi"/>
      <w:sz w:val="18"/>
      <w:szCs w:val="18"/>
    </w:rPr>
  </w:style>
  <w:style w:type="paragraph" w:styleId="11">
    <w:name w:val="Balloon Text"/>
    <w:basedOn w:val="1"/>
    <w:semiHidden/>
    <w:qFormat/>
    <w:uiPriority w:val="0"/>
    <w:rPr>
      <w:sz w:val="18"/>
      <w:szCs w:val="18"/>
    </w:rPr>
  </w:style>
  <w:style w:type="paragraph" w:styleId="12">
    <w:name w:val="footer"/>
    <w:basedOn w:val="1"/>
    <w:link w:val="45"/>
    <w:qFormat/>
    <w:uiPriority w:val="0"/>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5">
    <w:name w:val="toc 4"/>
    <w:basedOn w:val="1"/>
    <w:next w:val="1"/>
    <w:qFormat/>
    <w:uiPriority w:val="0"/>
    <w:pPr>
      <w:ind w:left="630"/>
      <w:jc w:val="left"/>
    </w:pPr>
    <w:rPr>
      <w:rFonts w:asciiTheme="minorHAnsi" w:hAnsiTheme="minorHAnsi"/>
      <w:sz w:val="18"/>
      <w:szCs w:val="18"/>
    </w:rPr>
  </w:style>
  <w:style w:type="paragraph" w:styleId="16">
    <w:name w:val="toc 6"/>
    <w:basedOn w:val="1"/>
    <w:next w:val="1"/>
    <w:qFormat/>
    <w:uiPriority w:val="0"/>
    <w:pPr>
      <w:ind w:left="1050"/>
      <w:jc w:val="left"/>
    </w:pPr>
    <w:rPr>
      <w:rFonts w:asciiTheme="minorHAnsi" w:hAnsiTheme="minorHAnsi"/>
      <w:sz w:val="18"/>
      <w:szCs w:val="18"/>
    </w:rPr>
  </w:style>
  <w:style w:type="paragraph" w:styleId="17">
    <w:name w:val="Body Text Indent 3"/>
    <w:basedOn w:val="1"/>
    <w:link w:val="29"/>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8">
    <w:name w:val="toc 2"/>
    <w:basedOn w:val="1"/>
    <w:next w:val="1"/>
    <w:qFormat/>
    <w:uiPriority w:val="39"/>
    <w:pPr>
      <w:tabs>
        <w:tab w:val="left" w:pos="840"/>
        <w:tab w:val="right" w:leader="dot" w:pos="9402"/>
      </w:tabs>
      <w:ind w:left="210"/>
      <w:jc w:val="left"/>
    </w:pPr>
    <w:rPr>
      <w:rFonts w:ascii="宋体" w:hAnsi="宋体" w:eastAsia="Times New Roman"/>
      <w:b/>
      <w:smallCaps/>
      <w:sz w:val="24"/>
      <w:szCs w:val="28"/>
    </w:rPr>
  </w:style>
  <w:style w:type="paragraph" w:styleId="19">
    <w:name w:val="toc 9"/>
    <w:basedOn w:val="1"/>
    <w:next w:val="1"/>
    <w:qFormat/>
    <w:uiPriority w:val="0"/>
    <w:pPr>
      <w:ind w:left="1680"/>
      <w:jc w:val="left"/>
    </w:pPr>
    <w:rPr>
      <w:rFonts w:asciiTheme="minorHAnsi" w:hAnsiTheme="minorHAnsi"/>
      <w:sz w:val="18"/>
      <w:szCs w:val="18"/>
    </w:rPr>
  </w:style>
  <w:style w:type="paragraph" w:styleId="20">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qFormat/>
    <w:uiPriority w:val="99"/>
    <w:rPr>
      <w:rFonts w:cs="Times New Roman"/>
      <w:color w:val="0000FF"/>
      <w:u w:val="single"/>
    </w:rPr>
  </w:style>
  <w:style w:type="character" w:styleId="25">
    <w:name w:val="annotation reference"/>
    <w:basedOn w:val="21"/>
    <w:semiHidden/>
    <w:qFormat/>
    <w:uiPriority w:val="0"/>
    <w:rPr>
      <w:sz w:val="21"/>
      <w:szCs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批注文字 Char"/>
    <w:basedOn w:val="21"/>
    <w:link w:val="4"/>
    <w:qFormat/>
    <w:locked/>
    <w:uiPriority w:val="0"/>
    <w:rPr>
      <w:rFonts w:eastAsia="宋体"/>
      <w:kern w:val="2"/>
      <w:sz w:val="21"/>
      <w:szCs w:val="24"/>
      <w:lang w:val="en-US" w:eastAsia="zh-CN" w:bidi="ar-SA"/>
    </w:rPr>
  </w:style>
  <w:style w:type="character" w:customStyle="1" w:styleId="29">
    <w:name w:val="正文文本缩进 3 Char"/>
    <w:basedOn w:val="21"/>
    <w:link w:val="17"/>
    <w:semiHidden/>
    <w:qFormat/>
    <w:locked/>
    <w:uiPriority w:val="0"/>
    <w:rPr>
      <w:rFonts w:ascii="仿宋_GB2312" w:eastAsia="仿宋_GB2312"/>
      <w:color w:val="000000"/>
      <w:sz w:val="28"/>
      <w:lang w:val="en-US" w:eastAsia="zh-CN" w:bidi="ar-SA"/>
    </w:rPr>
  </w:style>
  <w:style w:type="character" w:customStyle="1" w:styleId="30">
    <w:name w:val="font01"/>
    <w:basedOn w:val="21"/>
    <w:qFormat/>
    <w:uiPriority w:val="99"/>
    <w:rPr>
      <w:rFonts w:ascii="宋体" w:hAnsi="宋体" w:eastAsia="宋体" w:cs="宋体"/>
      <w:color w:val="000000"/>
      <w:sz w:val="24"/>
      <w:szCs w:val="24"/>
      <w:u w:val="none"/>
    </w:rPr>
  </w:style>
  <w:style w:type="character" w:customStyle="1" w:styleId="31">
    <w:name w:val="font41"/>
    <w:basedOn w:val="21"/>
    <w:qFormat/>
    <w:uiPriority w:val="99"/>
    <w:rPr>
      <w:rFonts w:ascii="宋体" w:hAnsi="宋体" w:eastAsia="宋体" w:cs="宋体"/>
      <w:color w:val="000000"/>
      <w:sz w:val="24"/>
      <w:szCs w:val="24"/>
      <w:u w:val="none"/>
      <w:vertAlign w:val="superscript"/>
    </w:rPr>
  </w:style>
  <w:style w:type="paragraph" w:styleId="32">
    <w:name w:val="List Paragraph"/>
    <w:basedOn w:val="1"/>
    <w:qFormat/>
    <w:uiPriority w:val="34"/>
    <w:pPr>
      <w:ind w:firstLine="420" w:firstLineChars="200"/>
    </w:pPr>
  </w:style>
  <w:style w:type="paragraph" w:customStyle="1" w:styleId="33">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34">
    <w:name w:val="样式1"/>
    <w:link w:val="36"/>
    <w:qFormat/>
    <w:uiPriority w:val="0"/>
    <w:rPr>
      <w:rFonts w:ascii="Times New Roman" w:hAnsi="Times New Roman" w:eastAsia="宋体" w:cs="Times New Roman"/>
      <w:kern w:val="2"/>
      <w:sz w:val="18"/>
      <w:szCs w:val="18"/>
      <w:lang w:val="en-US" w:eastAsia="zh-CN" w:bidi="ar-SA"/>
    </w:rPr>
  </w:style>
  <w:style w:type="character" w:customStyle="1" w:styleId="35">
    <w:name w:val="页眉 Char"/>
    <w:basedOn w:val="21"/>
    <w:link w:val="13"/>
    <w:qFormat/>
    <w:uiPriority w:val="0"/>
    <w:rPr>
      <w:kern w:val="2"/>
      <w:sz w:val="18"/>
      <w:szCs w:val="18"/>
    </w:rPr>
  </w:style>
  <w:style w:type="character" w:customStyle="1" w:styleId="36">
    <w:name w:val="样式1 Char"/>
    <w:basedOn w:val="21"/>
    <w:link w:val="34"/>
    <w:qFormat/>
    <w:uiPriority w:val="0"/>
    <w:rPr>
      <w:kern w:val="2"/>
      <w:sz w:val="18"/>
      <w:szCs w:val="18"/>
    </w:rPr>
  </w:style>
  <w:style w:type="paragraph" w:customStyle="1" w:styleId="37">
    <w:name w:val="样式2"/>
    <w:link w:val="38"/>
    <w:qFormat/>
    <w:uiPriority w:val="0"/>
    <w:rPr>
      <w:rFonts w:ascii="Times New Roman" w:hAnsi="Times New Roman" w:eastAsia="宋体" w:cs="Times New Roman"/>
      <w:kern w:val="2"/>
      <w:sz w:val="18"/>
      <w:szCs w:val="18"/>
      <w:lang w:val="en-US" w:eastAsia="zh-CN" w:bidi="ar-SA"/>
    </w:rPr>
  </w:style>
  <w:style w:type="character" w:customStyle="1" w:styleId="38">
    <w:name w:val="样式2 Char"/>
    <w:basedOn w:val="21"/>
    <w:link w:val="37"/>
    <w:qFormat/>
    <w:uiPriority w:val="0"/>
    <w:rPr>
      <w:kern w:val="2"/>
      <w:sz w:val="18"/>
      <w:szCs w:val="18"/>
    </w:rPr>
  </w:style>
  <w:style w:type="paragraph" w:customStyle="1" w:styleId="39">
    <w:name w:val="样式3"/>
    <w:link w:val="41"/>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0">
    <w:name w:val="样式4"/>
    <w:link w:val="42"/>
    <w:qFormat/>
    <w:uiPriority w:val="0"/>
    <w:pPr>
      <w:jc w:val="both"/>
    </w:pPr>
    <w:rPr>
      <w:rFonts w:ascii="Times New Roman" w:hAnsi="Times New Roman" w:eastAsia="宋体" w:cs="Times New Roman"/>
      <w:kern w:val="2"/>
      <w:sz w:val="18"/>
      <w:szCs w:val="18"/>
      <w:lang w:val="en-US" w:eastAsia="zh-CN" w:bidi="ar-SA"/>
    </w:rPr>
  </w:style>
  <w:style w:type="character" w:customStyle="1" w:styleId="41">
    <w:name w:val="样式3 Char"/>
    <w:basedOn w:val="21"/>
    <w:link w:val="39"/>
    <w:qFormat/>
    <w:uiPriority w:val="0"/>
    <w:rPr>
      <w:rFonts w:eastAsia="黑体"/>
      <w:color w:val="000000" w:themeColor="text1"/>
      <w:sz w:val="28"/>
      <w:szCs w:val="28"/>
      <w:u w:val="words"/>
    </w:rPr>
  </w:style>
  <w:style w:type="character" w:customStyle="1" w:styleId="42">
    <w:name w:val="样式4 Char"/>
    <w:basedOn w:val="21"/>
    <w:link w:val="40"/>
    <w:qFormat/>
    <w:uiPriority w:val="0"/>
    <w:rPr>
      <w:kern w:val="2"/>
      <w:sz w:val="18"/>
      <w:szCs w:val="18"/>
    </w:rPr>
  </w:style>
  <w:style w:type="paragraph" w:customStyle="1" w:styleId="43">
    <w:name w:val="样式5"/>
    <w:link w:val="44"/>
    <w:qFormat/>
    <w:uiPriority w:val="0"/>
    <w:rPr>
      <w:rFonts w:ascii="Times New Roman" w:hAnsi="Times New Roman" w:eastAsia="宋体" w:cs="Times New Roman"/>
      <w:kern w:val="2"/>
      <w:sz w:val="18"/>
      <w:szCs w:val="18"/>
      <w:lang w:val="en-US" w:eastAsia="zh-CN" w:bidi="ar-SA"/>
    </w:rPr>
  </w:style>
  <w:style w:type="character" w:customStyle="1" w:styleId="44">
    <w:name w:val="样式5 Char"/>
    <w:basedOn w:val="21"/>
    <w:link w:val="43"/>
    <w:qFormat/>
    <w:uiPriority w:val="0"/>
    <w:rPr>
      <w:kern w:val="2"/>
      <w:sz w:val="18"/>
      <w:szCs w:val="18"/>
    </w:rPr>
  </w:style>
  <w:style w:type="character" w:customStyle="1" w:styleId="45">
    <w:name w:val="页脚 Char"/>
    <w:basedOn w:val="21"/>
    <w:link w:val="12"/>
    <w:qFormat/>
    <w:uiPriority w:val="99"/>
    <w:rPr>
      <w:kern w:val="2"/>
      <w:sz w:val="18"/>
      <w:szCs w:val="18"/>
    </w:rPr>
  </w:style>
  <w:style w:type="paragraph" w:styleId="46">
    <w:name w:val="No Spacing"/>
    <w:link w:val="47"/>
    <w:qFormat/>
    <w:uiPriority w:val="1"/>
    <w:rPr>
      <w:rFonts w:asciiTheme="minorHAnsi" w:hAnsiTheme="minorHAnsi" w:eastAsiaTheme="minorEastAsia" w:cstheme="minorBidi"/>
      <w:sz w:val="22"/>
      <w:szCs w:val="22"/>
      <w:lang w:val="en-US" w:eastAsia="zh-CN" w:bidi="ar-SA"/>
    </w:rPr>
  </w:style>
  <w:style w:type="character" w:customStyle="1" w:styleId="47">
    <w:name w:val="无间隔 Char"/>
    <w:basedOn w:val="21"/>
    <w:link w:val="46"/>
    <w:qFormat/>
    <w:uiPriority w:val="1"/>
    <w:rPr>
      <w:rFonts w:asciiTheme="minorHAnsi" w:hAnsiTheme="minorHAnsi" w:eastAsiaTheme="minorEastAsia" w:cstheme="minorBidi"/>
      <w:sz w:val="22"/>
      <w:szCs w:val="22"/>
    </w:rPr>
  </w:style>
  <w:style w:type="paragraph" w:customStyle="1" w:styleId="48">
    <w:name w:val="F003B95880B542B9BE8F051F7F66E3A4"/>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49">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86F4AA-1BBF-422A-808E-0340D173D56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9621</Words>
  <Characters>2894</Characters>
  <Lines>24</Lines>
  <Paragraphs>24</Paragraphs>
  <ScaleCrop>false</ScaleCrop>
  <LinksUpToDate>false</LinksUpToDate>
  <CharactersWithSpaces>12491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2018-10-31T01:27:00Z</dcterms:created>
  <dc:creator>User</dc:creator>
  <cp:lastModifiedBy>zx406</cp:lastModifiedBy>
  <cp:lastPrinted>2020-08-06T07:39:00Z</cp:lastPrinted>
  <dcterms:modified xsi:type="dcterms:W3CDTF">2020-08-27T09:17:50Z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