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hint="eastAsia" w:ascii="宋体" w:hAnsi="宋体" w:cs="宋体"/>
          <w:bCs/>
          <w:sz w:val="28"/>
          <w:szCs w:val="28"/>
          <w:lang w:eastAsia="zh-CN"/>
        </w:rPr>
      </w:pPr>
      <w:r>
        <w:rPr>
          <w:rFonts w:hint="eastAsia" w:ascii="宋体" w:hAnsi="宋体" w:cs="宋体"/>
          <w:bCs/>
          <w:sz w:val="28"/>
          <w:szCs w:val="28"/>
          <w:lang w:eastAsia="zh-CN"/>
        </w:rPr>
        <w:t>辽宁新风房地产开发有限公司名下住宅市场价值</w:t>
      </w:r>
    </w:p>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ascii="宋体" w:cs="宋体"/>
          <w:sz w:val="36"/>
          <w:szCs w:val="36"/>
        </w:rPr>
      </w:pPr>
      <w:r>
        <w:rPr>
          <w:rFonts w:hint="eastAsia" w:ascii="宋体" w:hAnsi="宋体" w:cs="宋体"/>
          <w:bCs/>
          <w:sz w:val="36"/>
          <w:szCs w:val="36"/>
        </w:rPr>
        <w:t>资产评估报告书</w:t>
      </w:r>
    </w:p>
    <w:p>
      <w:pPr>
        <w:keepNext w:val="0"/>
        <w:keepLines w:val="0"/>
        <w:pageBreakBefore w:val="0"/>
        <w:kinsoku/>
        <w:wordWrap/>
        <w:overflowPunct/>
        <w:topLinePunct w:val="0"/>
        <w:bidi w:val="0"/>
        <w:adjustRightInd/>
        <w:snapToGrid/>
        <w:spacing w:line="620" w:lineRule="exact"/>
        <w:jc w:val="center"/>
        <w:outlineLvl w:val="0"/>
        <w:rPr>
          <w:rFonts w:ascii="仿宋" w:hAnsi="仿宋" w:eastAsia="仿宋" w:cs="仿宋"/>
          <w:w w:val="200"/>
          <w:sz w:val="32"/>
        </w:rPr>
      </w:pPr>
      <w:r>
        <w:rPr>
          <w:rFonts w:hint="eastAsia" w:ascii="仿宋" w:hAnsi="仿宋" w:eastAsia="仿宋" w:cs="仿宋"/>
          <w:sz w:val="28"/>
          <w:szCs w:val="28"/>
        </w:rPr>
        <w:t>辽智评报字</w:t>
      </w:r>
      <w:r>
        <w:rPr>
          <w:rFonts w:ascii="仿宋" w:hAnsi="仿宋" w:eastAsia="仿宋" w:cs="仿宋"/>
          <w:sz w:val="28"/>
          <w:szCs w:val="28"/>
        </w:rPr>
        <w:t>(</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ascii="仿宋" w:hAnsi="仿宋" w:eastAsia="仿宋" w:cs="仿宋"/>
          <w:sz w:val="28"/>
          <w:szCs w:val="28"/>
        </w:rPr>
        <w:t>)</w:t>
      </w:r>
      <w:r>
        <w:rPr>
          <w:rFonts w:hint="eastAsia" w:ascii="仿宋" w:hAnsi="仿宋" w:eastAsia="仿宋" w:cs="仿宋"/>
          <w:sz w:val="28"/>
          <w:szCs w:val="28"/>
        </w:rPr>
        <w:t>第</w:t>
      </w:r>
      <w:r>
        <w:rPr>
          <w:rFonts w:hint="eastAsia" w:ascii="仿宋" w:hAnsi="仿宋" w:eastAsia="仿宋" w:cs="仿宋"/>
          <w:color w:val="FF0000"/>
          <w:sz w:val="28"/>
          <w:szCs w:val="28"/>
          <w:lang w:val="en-US" w:eastAsia="zh-CN"/>
        </w:rPr>
        <w:t>093</w:t>
      </w:r>
      <w:r>
        <w:rPr>
          <w:rFonts w:hint="eastAsia" w:ascii="仿宋" w:hAnsi="仿宋" w:eastAsia="仿宋" w:cs="仿宋"/>
          <w:sz w:val="28"/>
          <w:szCs w:val="28"/>
        </w:rPr>
        <w:t>号</w:t>
      </w:r>
    </w:p>
    <w:p>
      <w:pPr>
        <w:keepNext w:val="0"/>
        <w:keepLines w:val="0"/>
        <w:pageBreakBefore w:val="0"/>
        <w:kinsoku/>
        <w:wordWrap/>
        <w:overflowPunct/>
        <w:topLinePunct w:val="0"/>
        <w:bidi w:val="0"/>
        <w:adjustRightInd/>
        <w:snapToGrid/>
        <w:spacing w:line="620" w:lineRule="exact"/>
        <w:outlineLvl w:val="0"/>
        <w:rPr>
          <w:rFonts w:ascii="楷体_GB2312" w:eastAsia="楷体_GB2312"/>
          <w:sz w:val="32"/>
        </w:rPr>
      </w:pPr>
      <w:r>
        <w:pict>
          <v:line id="直线 9" o:spid="_x0000_s1030" o:spt="20" style="position:absolute;left:0pt;margin-left:30.15pt;margin-top:11.2pt;height:0pt;width:415.95pt;z-index:251658240;mso-width-relative:page;mso-height-relative:page;" coordsize="21600,21600">
            <v:path arrowok="t"/>
            <v:fill focussize="0,0"/>
            <v:stroke weight="1.5pt"/>
            <v:imagedata o:title=""/>
            <o:lock v:ext="edit"/>
          </v:line>
        </w:pic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辽阳智达资产评估事务所接受</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委托，根据国家有关的评估规定，本着独立、客观、公正的原则，按照国家标准的评估方法，对委估</w:t>
      </w:r>
      <w:r>
        <w:rPr>
          <w:rFonts w:hint="eastAsia" w:ascii="仿宋" w:hAnsi="仿宋" w:eastAsia="仿宋" w:cs="仿宋"/>
          <w:sz w:val="28"/>
          <w:szCs w:val="28"/>
          <w:lang w:eastAsia="zh-CN"/>
        </w:rPr>
        <w:t>标的的</w:t>
      </w:r>
      <w:r>
        <w:rPr>
          <w:rFonts w:hint="eastAsia" w:ascii="仿宋" w:hAnsi="仿宋" w:eastAsia="仿宋"/>
          <w:sz w:val="28"/>
        </w:rPr>
        <w:t>市场价值</w:t>
      </w:r>
      <w:r>
        <w:rPr>
          <w:rFonts w:hint="eastAsia" w:ascii="仿宋" w:hAnsi="仿宋" w:eastAsia="仿宋" w:cs="仿宋"/>
          <w:sz w:val="28"/>
          <w:szCs w:val="28"/>
        </w:rPr>
        <w:t>进行了评估。本所评估人员按照必要的评估程序对委估对象实施了实地勘察、市场调查与询证。对委估对象</w:t>
      </w:r>
      <w:r>
        <w:rPr>
          <w:rFonts w:hint="eastAsia" w:ascii="仿宋" w:hAnsi="仿宋" w:eastAsia="仿宋" w:cs="仿宋"/>
          <w:sz w:val="28"/>
          <w:szCs w:val="28"/>
          <w:lang w:eastAsia="zh-CN"/>
        </w:rPr>
        <w:t>辽宁新风房地产开发有限公司名下住宅</w:t>
      </w:r>
      <w:r>
        <w:rPr>
          <w:rFonts w:hint="eastAsia" w:ascii="仿宋" w:hAnsi="仿宋" w:eastAsia="仿宋" w:cs="仿宋"/>
          <w:sz w:val="28"/>
          <w:szCs w:val="28"/>
        </w:rPr>
        <w:t>在</w:t>
      </w:r>
      <w:r>
        <w:rPr>
          <w:rFonts w:hint="eastAsia" w:ascii="仿宋" w:hAnsi="仿宋" w:eastAsia="仿宋" w:cs="仿宋"/>
          <w:color w:val="FF0000"/>
          <w:sz w:val="28"/>
          <w:szCs w:val="28"/>
          <w:lang w:eastAsia="zh-CN"/>
        </w:rPr>
        <w:t>2020年04月17日</w:t>
      </w:r>
      <w:r>
        <w:rPr>
          <w:rFonts w:hint="eastAsia" w:ascii="仿宋" w:hAnsi="仿宋" w:eastAsia="仿宋" w:cs="仿宋"/>
          <w:sz w:val="28"/>
          <w:szCs w:val="28"/>
        </w:rPr>
        <w:t>所反映的市场价值进行了测算。现将评估情况及评估结果报告如下：</w:t>
      </w:r>
    </w:p>
    <w:p>
      <w:pPr>
        <w:keepNext w:val="0"/>
        <w:keepLines w:val="0"/>
        <w:pageBreakBefore w:val="0"/>
        <w:numPr>
          <w:ilvl w:val="0"/>
          <w:numId w:val="1"/>
        </w:numPr>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委托方：</w:t>
      </w:r>
      <w:r>
        <w:rPr>
          <w:rFonts w:hint="eastAsia" w:ascii="仿宋" w:hAnsi="仿宋" w:eastAsia="仿宋" w:cs="仿宋"/>
          <w:b w:val="0"/>
          <w:bCs w:val="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outlineLvl w:val="0"/>
        <w:rPr>
          <w:rFonts w:hint="eastAsia" w:ascii="仿宋" w:hAnsi="仿宋" w:eastAsia="仿宋" w:cs="仿宋"/>
          <w:sz w:val="28"/>
          <w:szCs w:val="28"/>
          <w:lang w:eastAsia="zh-CN"/>
        </w:rPr>
      </w:pPr>
      <w:r>
        <w:rPr>
          <w:rFonts w:ascii="仿宋" w:hAnsi="仿宋" w:eastAsia="仿宋" w:cs="仿宋"/>
          <w:sz w:val="28"/>
          <w:szCs w:val="28"/>
        </w:rPr>
        <w:t xml:space="preserve">        </w:t>
      </w:r>
      <w:r>
        <w:rPr>
          <w:rFonts w:hint="eastAsia" w:ascii="仿宋" w:hAnsi="仿宋" w:eastAsia="仿宋" w:cs="仿宋"/>
          <w:b/>
          <w:bCs/>
          <w:sz w:val="28"/>
          <w:szCs w:val="28"/>
        </w:rPr>
        <w:t>其他报告使用者：</w:t>
      </w:r>
      <w:r>
        <w:rPr>
          <w:rFonts w:hint="eastAsia" w:ascii="仿宋" w:hAnsi="仿宋" w:eastAsia="仿宋" w:cs="仿宋"/>
          <w:b/>
          <w:bCs/>
          <w:sz w:val="28"/>
          <w:szCs w:val="28"/>
          <w:lang w:eastAsia="zh-CN"/>
        </w:rPr>
        <w:t>无</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二、评估目的：</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sz w:val="28"/>
        </w:rPr>
        <w:t>。</w:t>
      </w:r>
    </w:p>
    <w:p>
      <w:pPr>
        <w:keepNext w:val="0"/>
        <w:keepLines w:val="0"/>
        <w:pageBreakBefore w:val="0"/>
        <w:kinsoku/>
        <w:wordWrap/>
        <w:overflowPunct/>
        <w:topLinePunct w:val="0"/>
        <w:bidi w:val="0"/>
        <w:adjustRightInd/>
        <w:snapToGrid/>
        <w:spacing w:line="620" w:lineRule="exact"/>
        <w:ind w:firstLine="555"/>
        <w:rPr>
          <w:rFonts w:hint="eastAsia" w:ascii="仿宋" w:hAnsi="仿宋" w:eastAsia="仿宋" w:cs="仿宋"/>
          <w:b w:val="0"/>
          <w:bCs w:val="0"/>
          <w:sz w:val="28"/>
          <w:szCs w:val="28"/>
        </w:rPr>
      </w:pPr>
      <w:r>
        <w:rPr>
          <w:rFonts w:hint="eastAsia" w:ascii="仿宋" w:hAnsi="仿宋" w:eastAsia="仿宋" w:cs="仿宋"/>
          <w:b/>
          <w:bCs/>
          <w:sz w:val="28"/>
          <w:szCs w:val="28"/>
        </w:rPr>
        <w:t>三、评估对象和评估范围：</w:t>
      </w:r>
      <w:bookmarkStart w:id="0" w:name="_GoBack"/>
      <w:bookmarkEnd w:id="0"/>
      <w:r>
        <w:rPr>
          <w:rFonts w:hint="eastAsia" w:ascii="仿宋" w:hAnsi="仿宋" w:eastAsia="仿宋" w:cs="仿宋"/>
          <w:b w:val="0"/>
          <w:bCs w:val="0"/>
          <w:sz w:val="28"/>
          <w:szCs w:val="28"/>
          <w:lang w:eastAsia="zh-CN"/>
        </w:rPr>
        <w:t>评估对象为辽宁新风房地产开发有限公司名下住宅，评估范围包括位于首山镇龙都豪庭人民街66-4栋20号80.62平方米住宅</w:t>
      </w:r>
      <w:r>
        <w:rPr>
          <w:rFonts w:hint="eastAsia" w:ascii="仿宋" w:hAnsi="仿宋" w:eastAsia="仿宋" w:cs="仿宋"/>
          <w:b w:val="0"/>
          <w:bCs w:val="0"/>
          <w:sz w:val="28"/>
          <w:szCs w:val="28"/>
        </w:rPr>
        <w:t>。</w:t>
      </w:r>
    </w:p>
    <w:p>
      <w:pPr>
        <w:keepNext w:val="0"/>
        <w:keepLines w:val="0"/>
        <w:pageBreakBefore w:val="0"/>
        <w:kinsoku/>
        <w:wordWrap/>
        <w:overflowPunct/>
        <w:topLinePunct w:val="0"/>
        <w:bidi w:val="0"/>
        <w:adjustRightInd/>
        <w:snapToGrid/>
        <w:spacing w:line="620" w:lineRule="exact"/>
        <w:ind w:firstLine="555"/>
        <w:rPr>
          <w:rFonts w:ascii="仿宋_GB2312" w:eastAsia="仿宋_GB2312"/>
          <w:sz w:val="28"/>
        </w:rPr>
      </w:pPr>
      <w:r>
        <w:rPr>
          <w:rFonts w:hint="eastAsia" w:ascii="仿宋" w:hAnsi="仿宋" w:eastAsia="仿宋" w:cs="仿宋"/>
          <w:b/>
          <w:bCs/>
          <w:sz w:val="28"/>
          <w:szCs w:val="28"/>
        </w:rPr>
        <w:t>四、价值类型及定义</w:t>
      </w:r>
      <w:r>
        <w:rPr>
          <w:rFonts w:hint="eastAsia" w:ascii="仿宋_GB2312" w:eastAsia="仿宋_GB2312"/>
          <w:b/>
          <w:bCs/>
          <w:sz w:val="28"/>
        </w:rPr>
        <w:t>：</w:t>
      </w:r>
      <w:r>
        <w:rPr>
          <w:rFonts w:hint="eastAsia" w:ascii="仿宋" w:hAnsi="仿宋" w:eastAsia="仿宋" w:cs="仿宋"/>
          <w:sz w:val="28"/>
          <w:szCs w:val="28"/>
        </w:rPr>
        <w:t>本次评估的价值类型为市场价值。</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市场价值是指自愿买方和自愿卖方在各自理性行事且未受任何强迫的情况下，评估对象在评估基准日进行正常公平交易的价值数额。</w: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b/>
          <w:bCs/>
          <w:sz w:val="28"/>
          <w:szCs w:val="28"/>
        </w:rPr>
        <w:t>五、评估基准日：</w:t>
      </w:r>
      <w:r>
        <w:rPr>
          <w:rFonts w:hint="eastAsia" w:ascii="仿宋" w:hAnsi="仿宋" w:eastAsia="仿宋" w:cs="仿宋"/>
          <w:sz w:val="28"/>
          <w:szCs w:val="28"/>
        </w:rPr>
        <w:t>本项目资产评估基准日是</w:t>
      </w:r>
      <w:r>
        <w:rPr>
          <w:rFonts w:hint="eastAsia" w:ascii="仿宋" w:hAnsi="仿宋" w:eastAsia="仿宋" w:cs="仿宋"/>
          <w:color w:val="FF0000"/>
          <w:sz w:val="28"/>
          <w:szCs w:val="28"/>
          <w:u w:val="none"/>
          <w:lang w:eastAsia="zh-CN"/>
        </w:rPr>
        <w:t>2020年04月17日</w:t>
      </w:r>
      <w:r>
        <w:rPr>
          <w:rFonts w:hint="eastAsia" w:ascii="仿宋" w:hAnsi="仿宋" w:eastAsia="仿宋" w:cs="仿宋"/>
          <w:sz w:val="28"/>
          <w:szCs w:val="28"/>
        </w:rPr>
        <w:t>，本项目评估基准日的确定是根据其特定的经济行为并与委托方协商确定。</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六、评估依据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（一）法律依据</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、《中华人民共和国资产评估法》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、《中华人民共和国物权法》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、《中华人民共和国公司法》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、其他于评估相关的法律、法规和规章制度。</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二）权属依据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color w:val="FF0000"/>
          <w:sz w:val="28"/>
          <w:szCs w:val="28"/>
        </w:rPr>
        <w:t>委托人提供权属证明（详见附件）。</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（三）经济行为依据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u w:val="none"/>
        </w:rPr>
      </w:pPr>
      <w:r>
        <w:rPr>
          <w:rFonts w:hint="eastAsia" w:ascii="仿宋" w:hAnsi="仿宋" w:eastAsia="仿宋" w:cs="仿宋"/>
          <w:color w:val="FF0000"/>
          <w:sz w:val="28"/>
          <w:szCs w:val="28"/>
          <w:u w:val="none"/>
          <w:lang w:val="en-US" w:eastAsia="zh-CN"/>
        </w:rPr>
        <w:t>司法技术鉴定委托书</w:t>
      </w:r>
      <w:r>
        <w:rPr>
          <w:rFonts w:hint="eastAsia" w:ascii="仿宋" w:hAnsi="仿宋" w:eastAsia="仿宋" w:cs="仿宋"/>
          <w:sz w:val="28"/>
          <w:szCs w:val="28"/>
          <w:u w:val="none"/>
        </w:rPr>
        <w:t>。</w:t>
      </w:r>
    </w:p>
    <w:p>
      <w:pPr>
        <w:keepNext w:val="0"/>
        <w:keepLines w:val="0"/>
        <w:pageBreakBefore w:val="0"/>
        <w:numPr>
          <w:ilvl w:val="0"/>
          <w:numId w:val="2"/>
        </w:numPr>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取价依据</w:t>
      </w:r>
    </w:p>
    <w:p>
      <w:pPr>
        <w:keepNext w:val="0"/>
        <w:keepLines w:val="0"/>
        <w:pageBreakBefore w:val="0"/>
        <w:kinsoku/>
        <w:wordWrap/>
        <w:overflowPunct/>
        <w:topLinePunct w:val="0"/>
        <w:bidi w:val="0"/>
        <w:adjustRightInd/>
        <w:snapToGrid/>
        <w:spacing w:line="620" w:lineRule="exact"/>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color w:val="FF0000"/>
          <w:sz w:val="28"/>
          <w:szCs w:val="28"/>
        </w:rPr>
        <w:t xml:space="preserve"> </w:t>
      </w:r>
      <w:r>
        <w:rPr>
          <w:rFonts w:hint="eastAsia" w:ascii="仿宋" w:hAnsi="仿宋" w:eastAsia="仿宋" w:cs="仿宋"/>
          <w:sz w:val="28"/>
          <w:szCs w:val="28"/>
        </w:rPr>
        <w:t>评估人员实地查看委估资产情况以及调查掌握的标的在</w:t>
      </w:r>
      <w:r>
        <w:rPr>
          <w:rFonts w:hint="eastAsia" w:ascii="仿宋" w:hAnsi="仿宋" w:eastAsia="仿宋" w:cs="仿宋"/>
          <w:color w:val="FF0000"/>
          <w:sz w:val="28"/>
          <w:szCs w:val="28"/>
        </w:rPr>
        <w:t>基准日当天价格资料</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七、评估方法</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此次评估</w:t>
      </w:r>
      <w:r>
        <w:rPr>
          <w:rFonts w:hint="eastAsia" w:ascii="仿宋" w:hAnsi="仿宋" w:eastAsia="仿宋" w:cs="仿宋"/>
          <w:sz w:val="28"/>
          <w:szCs w:val="28"/>
          <w:lang w:eastAsia="zh-CN"/>
        </w:rPr>
        <w:t>范围内住宅</w:t>
      </w:r>
      <w:r>
        <w:rPr>
          <w:rFonts w:hint="eastAsia" w:ascii="仿宋" w:hAnsi="仿宋" w:eastAsia="仿宋" w:cs="仿宋"/>
          <w:sz w:val="28"/>
          <w:szCs w:val="28"/>
        </w:rPr>
        <w:t>采用</w:t>
      </w:r>
      <w:r>
        <w:rPr>
          <w:rFonts w:hint="eastAsia" w:ascii="仿宋" w:hAnsi="仿宋" w:eastAsia="仿宋" w:cs="仿宋"/>
          <w:color w:val="FF0000"/>
          <w:sz w:val="28"/>
          <w:szCs w:val="28"/>
        </w:rPr>
        <w:t>市场法</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jc w:val="left"/>
        <w:rPr>
          <w:rFonts w:ascii="仿宋" w:hAnsi="仿宋" w:eastAsia="仿宋" w:cs="仿宋"/>
          <w:sz w:val="28"/>
          <w:szCs w:val="28"/>
        </w:rPr>
      </w:pPr>
      <w:r>
        <w:rPr>
          <w:rFonts w:hint="eastAsia" w:ascii="仿宋" w:hAnsi="仿宋" w:eastAsia="仿宋" w:cs="仿宋"/>
          <w:sz w:val="28"/>
          <w:szCs w:val="28"/>
        </w:rPr>
        <w:t>根据评估目的和委估对象的特点，评估人员对委估标的采用市场法进行评估。</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市场法公式：</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评估值</w:t>
      </w:r>
      <w:r>
        <w:rPr>
          <w:rFonts w:ascii="仿宋" w:hAnsi="仿宋" w:eastAsia="仿宋" w:cs="仿宋"/>
          <w:sz w:val="28"/>
          <w:szCs w:val="28"/>
        </w:rPr>
        <w:t>=</w:t>
      </w:r>
      <w:r>
        <w:rPr>
          <w:rFonts w:hint="eastAsia" w:ascii="仿宋" w:hAnsi="仿宋" w:eastAsia="仿宋" w:cs="仿宋"/>
          <w:sz w:val="28"/>
          <w:szCs w:val="28"/>
        </w:rPr>
        <w:t>（询价</w:t>
      </w:r>
      <w:r>
        <w:rPr>
          <w:rFonts w:ascii="仿宋" w:hAnsi="仿宋" w:eastAsia="仿宋" w:cs="仿宋"/>
          <w:sz w:val="28"/>
          <w:szCs w:val="28"/>
        </w:rPr>
        <w:t>1*</w:t>
      </w:r>
      <w:r>
        <w:rPr>
          <w:rFonts w:hint="eastAsia" w:ascii="仿宋" w:hAnsi="仿宋" w:eastAsia="仿宋" w:cs="仿宋"/>
          <w:sz w:val="28"/>
          <w:szCs w:val="28"/>
        </w:rPr>
        <w:t>修正系数</w:t>
      </w:r>
      <w:r>
        <w:rPr>
          <w:rFonts w:ascii="仿宋" w:hAnsi="仿宋" w:eastAsia="仿宋" w:cs="仿宋"/>
          <w:sz w:val="28"/>
          <w:szCs w:val="28"/>
        </w:rPr>
        <w:t>1+</w:t>
      </w:r>
      <w:r>
        <w:rPr>
          <w:rFonts w:hint="eastAsia" w:ascii="仿宋" w:hAnsi="仿宋" w:eastAsia="仿宋" w:cs="仿宋"/>
          <w:sz w:val="28"/>
          <w:szCs w:val="28"/>
        </w:rPr>
        <w:t>询价</w:t>
      </w:r>
      <w:r>
        <w:rPr>
          <w:rFonts w:ascii="仿宋" w:hAnsi="仿宋" w:eastAsia="仿宋" w:cs="仿宋"/>
          <w:sz w:val="28"/>
          <w:szCs w:val="28"/>
        </w:rPr>
        <w:t>2*</w:t>
      </w:r>
      <w:r>
        <w:rPr>
          <w:rFonts w:hint="eastAsia" w:ascii="仿宋" w:hAnsi="仿宋" w:eastAsia="仿宋" w:cs="仿宋"/>
          <w:sz w:val="28"/>
          <w:szCs w:val="28"/>
        </w:rPr>
        <w:t>修正系数</w:t>
      </w:r>
      <w:r>
        <w:rPr>
          <w:rFonts w:ascii="仿宋" w:hAnsi="仿宋" w:eastAsia="仿宋" w:cs="仿宋"/>
          <w:sz w:val="28"/>
          <w:szCs w:val="28"/>
        </w:rPr>
        <w:t>2+</w:t>
      </w:r>
      <w:r>
        <w:rPr>
          <w:rFonts w:hint="eastAsia" w:ascii="仿宋" w:hAnsi="仿宋" w:eastAsia="仿宋" w:cs="仿宋"/>
          <w:sz w:val="28"/>
          <w:szCs w:val="28"/>
        </w:rPr>
        <w:t>询价</w:t>
      </w:r>
      <w:r>
        <w:rPr>
          <w:rFonts w:ascii="仿宋" w:hAnsi="仿宋" w:eastAsia="仿宋" w:cs="仿宋"/>
          <w:sz w:val="28"/>
          <w:szCs w:val="28"/>
        </w:rPr>
        <w:t>3*</w:t>
      </w:r>
      <w:r>
        <w:rPr>
          <w:rFonts w:hint="eastAsia" w:ascii="仿宋" w:hAnsi="仿宋" w:eastAsia="仿宋" w:cs="仿宋"/>
          <w:sz w:val="28"/>
          <w:szCs w:val="28"/>
        </w:rPr>
        <w:t>修正系数</w:t>
      </w:r>
      <w:r>
        <w:rPr>
          <w:rFonts w:ascii="仿宋" w:hAnsi="仿宋" w:eastAsia="仿宋" w:cs="仿宋"/>
          <w:sz w:val="28"/>
          <w:szCs w:val="28"/>
        </w:rPr>
        <w:t>3+...+</w:t>
      </w:r>
      <w:r>
        <w:rPr>
          <w:rFonts w:hint="eastAsia" w:ascii="仿宋" w:hAnsi="仿宋" w:eastAsia="仿宋" w:cs="仿宋"/>
          <w:sz w:val="28"/>
          <w:szCs w:val="28"/>
        </w:rPr>
        <w:t>询价</w:t>
      </w:r>
      <w:r>
        <w:rPr>
          <w:rFonts w:ascii="仿宋" w:hAnsi="仿宋" w:eastAsia="仿宋" w:cs="仿宋"/>
          <w:sz w:val="28"/>
          <w:szCs w:val="28"/>
        </w:rPr>
        <w:t>N*</w:t>
      </w:r>
      <w:r>
        <w:rPr>
          <w:rFonts w:hint="eastAsia" w:ascii="仿宋" w:hAnsi="仿宋" w:eastAsia="仿宋" w:cs="仿宋"/>
          <w:sz w:val="28"/>
          <w:szCs w:val="28"/>
        </w:rPr>
        <w:t>修正系数</w:t>
      </w:r>
      <w:r>
        <w:rPr>
          <w:rFonts w:ascii="仿宋" w:hAnsi="仿宋" w:eastAsia="仿宋" w:cs="仿宋"/>
          <w:sz w:val="28"/>
          <w:szCs w:val="28"/>
        </w:rPr>
        <w:t>N</w:t>
      </w:r>
      <w:r>
        <w:rPr>
          <w:rFonts w:hint="eastAsia" w:ascii="仿宋" w:hAnsi="仿宋" w:eastAsia="仿宋" w:cs="仿宋"/>
          <w:sz w:val="28"/>
          <w:szCs w:val="28"/>
        </w:rPr>
        <w:t>）</w:t>
      </w:r>
      <w:r>
        <w:rPr>
          <w:rFonts w:ascii="仿宋" w:hAnsi="仿宋" w:eastAsia="仿宋" w:cs="仿宋"/>
          <w:sz w:val="28"/>
          <w:szCs w:val="28"/>
        </w:rPr>
        <w:t>/N</w:t>
      </w:r>
    </w:p>
    <w:p>
      <w:pPr>
        <w:keepNext w:val="0"/>
        <w:keepLines w:val="0"/>
        <w:pageBreakBefore w:val="0"/>
        <w:numPr>
          <w:ilvl w:val="0"/>
          <w:numId w:val="0"/>
        </w:numPr>
        <w:kinsoku/>
        <w:wordWrap/>
        <w:overflowPunct/>
        <w:topLinePunct w:val="0"/>
        <w:bidi w:val="0"/>
        <w:adjustRightInd/>
        <w:snapToGrid/>
        <w:spacing w:line="62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委估对象选取市场法评估的理由：（1）本次委估标的无法掌握具体完工时间，故无法采用成本法进行评估。（2）当事人（产权持有者）未能提供相关资产收益数据，所以不具备运用收益法的前提，故不能采用收益法。（3）委估房屋所处区域房地产及土地交易频繁，市场活跃，可比交易案例较多，故采用市场法进行评估。</w:t>
      </w:r>
    </w:p>
    <w:p>
      <w:pPr>
        <w:keepNext w:val="0"/>
        <w:keepLines w:val="0"/>
        <w:pageBreakBefore w:val="0"/>
        <w:numPr>
          <w:ilvl w:val="0"/>
          <w:numId w:val="3"/>
        </w:numPr>
        <w:kinsoku/>
        <w:wordWrap/>
        <w:overflowPunct/>
        <w:topLinePunct w:val="0"/>
        <w:bidi w:val="0"/>
        <w:adjustRightInd/>
        <w:snapToGrid/>
        <w:spacing w:line="620" w:lineRule="exact"/>
        <w:ind w:firstLine="528" w:firstLineChars="188"/>
        <w:jc w:val="left"/>
        <w:rPr>
          <w:rFonts w:ascii="仿宋" w:hAnsi="仿宋" w:eastAsia="仿宋" w:cs="仿宋"/>
          <w:b/>
          <w:bCs/>
          <w:sz w:val="28"/>
          <w:szCs w:val="28"/>
        </w:rPr>
      </w:pPr>
      <w:r>
        <w:rPr>
          <w:rFonts w:hint="eastAsia" w:ascii="仿宋" w:hAnsi="仿宋" w:eastAsia="仿宋" w:cs="仿宋"/>
          <w:b/>
          <w:bCs/>
          <w:sz w:val="28"/>
          <w:szCs w:val="28"/>
        </w:rPr>
        <w:t>评估程序实施过程和情况</w:t>
      </w:r>
    </w:p>
    <w:p>
      <w:pPr>
        <w:keepNext w:val="0"/>
        <w:keepLines w:val="0"/>
        <w:pageBreakBefore w:val="0"/>
        <w:kinsoku/>
        <w:wordWrap/>
        <w:overflowPunct/>
        <w:topLinePunct w:val="0"/>
        <w:bidi w:val="0"/>
        <w:adjustRightInd/>
        <w:snapToGrid/>
        <w:spacing w:line="620" w:lineRule="exact"/>
        <w:ind w:firstLine="648"/>
        <w:rPr>
          <w:rFonts w:ascii="仿宋" w:hAnsi="仿宋" w:eastAsia="仿宋" w:cs="仿宋"/>
          <w:sz w:val="28"/>
          <w:szCs w:val="28"/>
        </w:rPr>
      </w:pPr>
      <w:r>
        <w:rPr>
          <w:rFonts w:hint="eastAsia" w:ascii="仿宋" w:hAnsi="仿宋" w:eastAsia="仿宋" w:cs="仿宋"/>
          <w:color w:val="FF0000"/>
          <w:sz w:val="28"/>
          <w:szCs w:val="28"/>
          <w:lang w:eastAsia="zh-CN"/>
        </w:rPr>
        <w:t>2020年04月17日至</w:t>
      </w:r>
      <w:r>
        <w:rPr>
          <w:rFonts w:hint="eastAsia" w:ascii="仿宋" w:hAnsi="仿宋" w:eastAsia="仿宋" w:cs="仿宋"/>
          <w:color w:val="FF0000"/>
          <w:sz w:val="28"/>
          <w:szCs w:val="28"/>
          <w:lang w:val="en-US" w:eastAsia="zh-CN"/>
        </w:rPr>
        <w:t>04月29日</w:t>
      </w:r>
      <w:r>
        <w:rPr>
          <w:rFonts w:hint="eastAsia" w:ascii="仿宋" w:hAnsi="仿宋" w:eastAsia="仿宋" w:cs="仿宋"/>
          <w:sz w:val="28"/>
          <w:szCs w:val="28"/>
        </w:rPr>
        <w:t>，我机构评估人员对委估标的进行了清查核实和评估计算，经审核出具资产评估报告。本次评估的主要工作步骤如下：</w:t>
      </w:r>
    </w:p>
    <w:p>
      <w:pPr>
        <w:keepNext w:val="0"/>
        <w:keepLines w:val="0"/>
        <w:pageBreakBefore w:val="0"/>
        <w:kinsoku/>
        <w:wordWrap/>
        <w:overflowPunct/>
        <w:topLinePunct w:val="0"/>
        <w:bidi w:val="0"/>
        <w:adjustRightInd/>
        <w:snapToGrid/>
        <w:spacing w:line="620" w:lineRule="exact"/>
        <w:ind w:firstLine="555"/>
        <w:rPr>
          <w:rFonts w:ascii="仿宋" w:hAnsi="仿宋" w:eastAsia="仿宋" w:cs="仿宋"/>
          <w:color w:val="FF0000"/>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拟定评估方案，确定评估目的、评估对象及范围、评估基准日等评估业务基本情况。</w:t>
      </w:r>
      <w:r>
        <w:rPr>
          <w:rFonts w:hint="eastAsia" w:ascii="仿宋" w:hAnsi="仿宋" w:eastAsia="仿宋" w:cs="仿宋"/>
          <w:color w:val="FF0000"/>
          <w:sz w:val="28"/>
          <w:szCs w:val="28"/>
        </w:rPr>
        <w:t>评估目的是</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color w:val="FF0000"/>
          <w:sz w:val="28"/>
          <w:szCs w:val="28"/>
        </w:rPr>
        <w:t>。确定委托方为</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rPr>
        <w:t>，</w:t>
      </w:r>
      <w:r>
        <w:rPr>
          <w:rFonts w:hint="eastAsia" w:ascii="仿宋" w:hAnsi="仿宋" w:eastAsia="仿宋" w:cs="仿宋"/>
          <w:sz w:val="28"/>
          <w:lang w:eastAsia="zh-CN"/>
        </w:rPr>
        <w:t>评估对象为辽宁新风房地产开发有限公司名下住宅，评估范围包括位于首山镇龙都豪庭人民街66-4栋20号80.62平方米住宅</w:t>
      </w:r>
      <w:r>
        <w:rPr>
          <w:rFonts w:hint="eastAsia" w:ascii="仿宋" w:hAnsi="仿宋" w:eastAsia="仿宋" w:cs="仿宋"/>
          <w:color w:val="FF0000"/>
          <w:sz w:val="28"/>
          <w:szCs w:val="28"/>
        </w:rPr>
        <w:t>；评估基准日为</w:t>
      </w:r>
      <w:r>
        <w:rPr>
          <w:rFonts w:hint="eastAsia" w:ascii="仿宋" w:hAnsi="仿宋" w:eastAsia="仿宋" w:cs="仿宋"/>
          <w:color w:val="FF0000"/>
          <w:sz w:val="28"/>
          <w:szCs w:val="28"/>
          <w:lang w:eastAsia="zh-CN"/>
        </w:rPr>
        <w:t>2020年04月17日；</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、组成评估小组在领堪人带领下对估价对象和估价范围进行实地勘察和拍照</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、在市场上查询相关市场价格信息</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4</w:t>
      </w:r>
      <w:r>
        <w:rPr>
          <w:rFonts w:hint="eastAsia" w:ascii="仿宋" w:hAnsi="仿宋" w:eastAsia="仿宋" w:cs="仿宋"/>
          <w:sz w:val="28"/>
          <w:szCs w:val="28"/>
        </w:rPr>
        <w:t>、根据实际状况和特点，选择确定评估方法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5</w:t>
      </w:r>
      <w:r>
        <w:rPr>
          <w:rFonts w:hint="eastAsia" w:ascii="仿宋" w:hAnsi="仿宋" w:eastAsia="仿宋" w:cs="仿宋"/>
          <w:sz w:val="28"/>
          <w:szCs w:val="28"/>
        </w:rPr>
        <w:t>、依据评估现场取得的资料，选定适当的评估方法和计算方式对委估资产进行评定估算并确定评估结果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6</w:t>
      </w:r>
      <w:r>
        <w:rPr>
          <w:rFonts w:hint="eastAsia" w:ascii="仿宋" w:hAnsi="仿宋" w:eastAsia="仿宋" w:cs="仿宋"/>
          <w:sz w:val="28"/>
          <w:szCs w:val="28"/>
        </w:rPr>
        <w:t>、对各项评估结果进行复核验算、汇总分析后，最终确定评估结果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、整理有关资料，根据评估工作的实际情况，撰写评估报告书，经内部三级审核并与委托方交换意见后，向委托方提交正式的资产评估报告书。</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九、评估假设</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（一）一般假设</w:t>
      </w:r>
    </w:p>
    <w:p>
      <w:pPr>
        <w:keepNext w:val="0"/>
        <w:keepLines w:val="0"/>
        <w:pageBreakBefore w:val="0"/>
        <w:tabs>
          <w:tab w:val="left" w:pos="804"/>
        </w:tabs>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、资产持续经营假设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资产持续经营假设是指评估时需根据被评估资产按目前的用途和规模、环境、使用方式等情况继续使用，或者在有所改变的基础上使用，相应确定评估方法、参数和依据。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、交易假设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交易假设是假定所有待评估资产已经处在交易的过程中，评估师根据待评估资产的交易条件等模拟市场进行估价。交易假设是资产评估得以进行的一个最基本的前提假设。</w:t>
      </w:r>
    </w:p>
    <w:p>
      <w:pPr>
        <w:keepNext w:val="0"/>
        <w:keepLines w:val="0"/>
        <w:pageBreakBefore w:val="0"/>
        <w:kinsoku/>
        <w:wordWrap/>
        <w:overflowPunct/>
        <w:topLinePunct w:val="0"/>
        <w:bidi w:val="0"/>
        <w:adjustRightInd/>
        <w:snapToGrid/>
        <w:spacing w:line="620" w:lineRule="exact"/>
        <w:ind w:left="-720" w:leftChars="-343" w:firstLine="1156" w:firstLineChars="413"/>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、公开市场假设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（二）特殊假设</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、国家现行的宏观经济不发生重大变化。</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、本次估算不考虑通货膨胀因素的影响。在本次评估假设前提下，依据本次评估目的，确定本次估算的价值类型为市场价值。估算中的一切取价标准均为估价基准日有效的价格标准及价值体系。</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十、评估结论</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经评定估算</w:t>
      </w:r>
      <w:r>
        <w:rPr>
          <w:rFonts w:hint="eastAsia" w:ascii="仿宋" w:hAnsi="仿宋" w:eastAsia="仿宋" w:cs="仿宋"/>
          <w:sz w:val="28"/>
          <w:szCs w:val="28"/>
          <w:lang w:eastAsia="zh-CN"/>
        </w:rPr>
        <w:t>，辽阳市中级人民法院委托评估的</w:t>
      </w:r>
      <w:r>
        <w:rPr>
          <w:rFonts w:hint="eastAsia" w:ascii="仿宋" w:hAnsi="仿宋" w:eastAsia="仿宋" w:cs="仿宋"/>
          <w:color w:val="FF0000"/>
          <w:sz w:val="28"/>
          <w:lang w:eastAsia="zh-CN"/>
        </w:rPr>
        <w:t>辽宁新风房地产开发有限公司名下住宅</w:t>
      </w:r>
      <w:r>
        <w:rPr>
          <w:rFonts w:hint="eastAsia" w:ascii="仿宋_GB2312" w:eastAsia="仿宋_GB2312"/>
          <w:color w:val="FF0000"/>
          <w:sz w:val="28"/>
        </w:rPr>
        <w:t>市场价值</w:t>
      </w:r>
      <w:r>
        <w:rPr>
          <w:rFonts w:hint="eastAsia" w:ascii="仿宋" w:hAnsi="仿宋" w:eastAsia="仿宋" w:cs="仿宋"/>
          <w:color w:val="FF0000"/>
          <w:sz w:val="28"/>
          <w:szCs w:val="28"/>
        </w:rPr>
        <w:t>在评估基准日</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评估结果为人民币</w:t>
      </w:r>
      <w:r>
        <w:rPr>
          <w:rFonts w:hint="eastAsia" w:ascii="仿宋" w:hAnsi="仿宋" w:eastAsia="仿宋" w:cs="仿宋"/>
          <w:color w:val="FF0000"/>
          <w:sz w:val="28"/>
          <w:szCs w:val="28"/>
          <w:lang w:val="en-US" w:eastAsia="zh-CN"/>
        </w:rPr>
        <w:t>311,975.21</w:t>
      </w:r>
      <w:r>
        <w:rPr>
          <w:rFonts w:hint="eastAsia" w:ascii="仿宋" w:hAnsi="仿宋" w:eastAsia="仿宋" w:cs="仿宋"/>
          <w:bCs/>
          <w:color w:val="FF0000"/>
          <w:sz w:val="28"/>
          <w:szCs w:val="28"/>
        </w:rPr>
        <w:t>元</w:t>
      </w:r>
      <w:r>
        <w:rPr>
          <w:rFonts w:ascii="仿宋" w:hAnsi="仿宋" w:eastAsia="仿宋" w:cs="仿宋"/>
          <w:bCs/>
          <w:color w:val="FF0000"/>
          <w:sz w:val="28"/>
          <w:szCs w:val="28"/>
        </w:rPr>
        <w:t>(</w:t>
      </w:r>
      <w:r>
        <w:rPr>
          <w:rFonts w:hint="eastAsia" w:ascii="仿宋" w:hAnsi="仿宋" w:eastAsia="仿宋" w:cs="仿宋"/>
          <w:bCs/>
          <w:color w:val="FF0000"/>
          <w:sz w:val="28"/>
          <w:szCs w:val="28"/>
        </w:rPr>
        <w:t>大写人民币</w:t>
      </w:r>
      <w:r>
        <w:rPr>
          <w:rFonts w:hint="eastAsia" w:ascii="仿宋" w:hAnsi="仿宋" w:eastAsia="仿宋" w:cs="仿宋"/>
          <w:bCs/>
          <w:color w:val="FF0000"/>
          <w:sz w:val="28"/>
          <w:szCs w:val="28"/>
          <w:lang w:eastAsia="zh-CN"/>
        </w:rPr>
        <w:t>叁拾壹万壹仟玖佰柒拾伍元贰角壹分</w:t>
      </w:r>
      <w:r>
        <w:rPr>
          <w:rFonts w:ascii="仿宋" w:hAnsi="仿宋" w:eastAsia="仿宋" w:cs="仿宋"/>
          <w:bCs/>
          <w:color w:val="FF0000"/>
          <w:sz w:val="28"/>
          <w:szCs w:val="28"/>
        </w:rPr>
        <w:t>)</w:t>
      </w:r>
      <w:r>
        <w:rPr>
          <w:rFonts w:hint="eastAsia" w:ascii="仿宋" w:hAnsi="仿宋" w:eastAsia="仿宋" w:cs="仿宋"/>
          <w:sz w:val="28"/>
          <w:szCs w:val="28"/>
        </w:rPr>
        <w:t>，详见</w:t>
      </w:r>
      <w:r>
        <w:rPr>
          <w:rFonts w:hint="eastAsia" w:ascii="仿宋" w:hAnsi="仿宋" w:eastAsia="仿宋" w:cs="仿宋"/>
          <w:sz w:val="28"/>
          <w:szCs w:val="28"/>
          <w:lang w:eastAsia="zh-CN"/>
        </w:rPr>
        <w:t>《</w:t>
      </w:r>
      <w:r>
        <w:rPr>
          <w:rFonts w:hint="eastAsia" w:ascii="仿宋" w:hAnsi="仿宋" w:eastAsia="仿宋" w:cs="仿宋"/>
          <w:sz w:val="28"/>
          <w:szCs w:val="28"/>
        </w:rPr>
        <w:t>资产评估明细表</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ascii="仿宋" w:hAnsi="仿宋" w:eastAsia="仿宋" w:cs="仿宋"/>
          <w:sz w:val="28"/>
          <w:szCs w:val="28"/>
        </w:rPr>
        <w:t xml:space="preserve"> </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十一、特别事项说明</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hint="eastAsia" w:ascii="仿宋" w:hAnsi="仿宋" w:eastAsia="仿宋" w:cs="仿宋"/>
          <w:sz w:val="28"/>
          <w:szCs w:val="28"/>
        </w:rPr>
        <w:t>在本次项目的评估过程中，评估人员已发现可能影响评估结论，但非评估人员执业水平和能力所能评定估算的有关事项</w:t>
      </w:r>
      <w:r>
        <w:rPr>
          <w:rFonts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、由委托方、资产占有方提供的与评估资产相关的资料，是编制本报告之基础，其真实性、合法性由委托方、资产占有方负责</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、对资产占有方存在的可能影响资产评估的瑕疵事项，在委托时未作特殊说明，而评估人员根据专业经验一般不能获知的情况下，评估机构及评估人员不承担相关责任</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本项目评估结果是反映评估对象在特定评估目的下，根据公开市场的原则确定的市场价值，没有考虑将来可能承担的抵押、担保事宜，以及特殊的交易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color w:val="FF0000"/>
          <w:sz w:val="28"/>
          <w:szCs w:val="28"/>
          <w:lang w:val="en-US" w:eastAsia="zh-CN"/>
        </w:rPr>
      </w:pPr>
      <w:r>
        <w:rPr>
          <w:rFonts w:hint="eastAsia" w:ascii="仿宋" w:hAnsi="仿宋" w:eastAsia="仿宋" w:cs="仿宋"/>
          <w:sz w:val="28"/>
          <w:szCs w:val="28"/>
        </w:rPr>
        <w:t>4、</w:t>
      </w:r>
      <w:r>
        <w:rPr>
          <w:rFonts w:hint="eastAsia" w:ascii="仿宋_GB2312" w:eastAsia="仿宋_GB2312"/>
          <w:sz w:val="30"/>
          <w:szCs w:val="30"/>
          <w:lang w:eastAsia="zh-CN"/>
        </w:rPr>
        <w:t>本次评估范围内房屋面积根据权属证明材料上载明房屋建筑面积及评估工作人员在委托方及当事人带领下实际测量确定，并经委托方及当事人签字确认。</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十二、评估报告使用限制说明</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本次项目的评估结论是在产权明晰的情况下，以公开市场假设，持续使用假设为前提条件的</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本评估报告经评估机构、两名以上注册资产评估师签字盖章后，依照国家的有关法律、法规发生法律效力</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本评估报告有效期为一年，即从</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至</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16</w:t>
      </w:r>
      <w:r>
        <w:rPr>
          <w:rFonts w:hint="eastAsia" w:ascii="仿宋" w:hAnsi="仿宋" w:eastAsia="仿宋" w:cs="仿宋"/>
          <w:color w:val="FF0000"/>
          <w:sz w:val="28"/>
          <w:szCs w:val="28"/>
        </w:rPr>
        <w:t>日</w:t>
      </w:r>
      <w:r>
        <w:rPr>
          <w:rFonts w:hint="eastAsia" w:ascii="仿宋" w:hAnsi="仿宋" w:eastAsia="仿宋" w:cs="仿宋"/>
          <w:sz w:val="28"/>
          <w:szCs w:val="28"/>
        </w:rPr>
        <w:t>，过期后本报告自然失效。评估结果仅适用于本次评估目的，用于其他目的无效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本评估报告仅供委托方为其评估目的的使用。报告书的使用权归委托方所有，未经委托方同意评估机构不得随意向他人提供或公开</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（五）委托人或者其他资产评估报告使用人未按照法律、行政法规规定和资产评估报告载明的使用范围使用资产评估报告的，资产评估机构及其资产评估专业人员不承担责任；</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（六）除委托人、资产评估委托合同中约定的其他资产评估报告使用人和法律、行政法规规定的资产评估报告使用人之外，其他任何机构和个人不能成为资产评估报告的使用人；</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（七）资产评估报告使用人应当正确理解和使用评估结论。评估结论不等同于评估对象可实现价格，评估结论不应当被认为是评估对象可实现价格的保证。</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十三、评估报告日</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r>
        <w:rPr>
          <w:rFonts w:hint="eastAsia" w:ascii="仿宋" w:hAnsi="仿宋" w:eastAsia="仿宋" w:cs="仿宋"/>
          <w:sz w:val="28"/>
          <w:szCs w:val="28"/>
        </w:rPr>
        <w:t>本评估报告日</w:t>
      </w:r>
      <w:r>
        <w:rPr>
          <w:rFonts w:hint="eastAsia" w:ascii="仿宋" w:hAnsi="仿宋" w:eastAsia="仿宋" w:cs="仿宋"/>
          <w:color w:val="FF0000"/>
          <w:sz w:val="28"/>
          <w:szCs w:val="28"/>
        </w:rPr>
        <w:t>为</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24</w:t>
      </w:r>
      <w:r>
        <w:rPr>
          <w:rFonts w:hint="eastAsia" w:ascii="仿宋" w:hAnsi="仿宋" w:eastAsia="仿宋" w:cs="仿宋"/>
          <w:color w:val="FF0000"/>
          <w:sz w:val="28"/>
          <w:szCs w:val="28"/>
        </w:rPr>
        <w:t>日</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numPr>
          <w:ilvl w:val="0"/>
          <w:numId w:val="4"/>
        </w:numPr>
        <w:kinsoku/>
        <w:wordWrap/>
        <w:overflowPunct/>
        <w:topLinePunct w:val="0"/>
        <w:bidi w:val="0"/>
        <w:adjustRightInd/>
        <w:snapToGrid/>
        <w:spacing w:line="620" w:lineRule="exact"/>
        <w:ind w:firstLine="562" w:firstLineChars="200"/>
        <w:rPr>
          <w:rFonts w:hint="eastAsia" w:ascii="仿宋" w:hAnsi="仿宋" w:eastAsia="仿宋" w:cs="仿宋"/>
          <w:b/>
          <w:bCs/>
          <w:sz w:val="28"/>
          <w:lang w:eastAsia="zh-CN"/>
        </w:rPr>
      </w:pPr>
      <w:r>
        <w:rPr>
          <w:rFonts w:hint="eastAsia" w:ascii="仿宋" w:hAnsi="仿宋" w:eastAsia="仿宋" w:cs="仿宋"/>
          <w:b/>
          <w:bCs/>
          <w:sz w:val="28"/>
          <w:lang w:eastAsia="zh-CN"/>
        </w:rPr>
        <w:t>资产评估专业人员签名和资产评估机构印章</w:t>
      </w:r>
    </w:p>
    <w:p>
      <w:pPr>
        <w:keepNext w:val="0"/>
        <w:keepLines w:val="0"/>
        <w:pageBreakBefore w:val="0"/>
        <w:widowControl w:val="0"/>
        <w:numPr>
          <w:ilvl w:val="0"/>
          <w:numId w:val="0"/>
        </w:numPr>
        <w:kinsoku/>
        <w:wordWrap/>
        <w:overflowPunct/>
        <w:topLinePunct w:val="0"/>
        <w:bidi w:val="0"/>
        <w:adjustRightInd/>
        <w:snapToGrid/>
        <w:spacing w:line="620" w:lineRule="exact"/>
        <w:jc w:val="both"/>
        <w:rPr>
          <w:rFonts w:hint="eastAsia" w:ascii="仿宋" w:hAnsi="仿宋" w:eastAsia="仿宋" w:cs="仿宋"/>
          <w:b/>
          <w:bCs/>
          <w:sz w:val="28"/>
          <w:lang w:eastAsia="zh-CN"/>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评估机构法定代表人</w:t>
      </w:r>
      <w:r>
        <w:rPr>
          <w:rFonts w:ascii="仿宋_GB2312" w:hAnsi="Arial Narrow" w:eastAsia="仿宋_GB2312"/>
          <w:sz w:val="28"/>
        </w:rPr>
        <w:t xml:space="preserve">: </w:t>
      </w: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rPr>
      </w:pPr>
      <w:r>
        <w:rPr>
          <w:rFonts w:hint="eastAsia" w:ascii="仿宋" w:hAnsi="仿宋" w:eastAsia="仿宋" w:cs="仿宋"/>
          <w:sz w:val="28"/>
          <w:szCs w:val="28"/>
        </w:rPr>
        <w:t>辽阳智达资产评估事务所</w:t>
      </w: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lang w:eastAsia="zh-CN"/>
        </w:rPr>
      </w:pPr>
      <w:r>
        <w:rPr>
          <w:rFonts w:hint="eastAsia" w:ascii="仿宋" w:hAnsi="仿宋" w:eastAsia="仿宋" w:cs="仿宋"/>
          <w:sz w:val="28"/>
          <w:szCs w:val="28"/>
        </w:rPr>
        <w:t>二</w:t>
      </w:r>
      <w:r>
        <w:rPr>
          <w:rFonts w:hint="eastAsia" w:ascii="仿宋" w:hAnsi="仿宋" w:eastAsia="仿宋" w:cs="仿宋"/>
          <w:sz w:val="28"/>
          <w:szCs w:val="28"/>
          <w:lang w:eastAsia="zh-CN"/>
        </w:rPr>
        <w:t>〇二〇</w:t>
      </w:r>
      <w:r>
        <w:rPr>
          <w:rFonts w:hint="eastAsia" w:ascii="仿宋" w:hAnsi="仿宋" w:eastAsia="仿宋" w:cs="仿宋"/>
          <w:sz w:val="28"/>
          <w:szCs w:val="28"/>
        </w:rPr>
        <w:t>年</w:t>
      </w:r>
      <w:r>
        <w:rPr>
          <w:rFonts w:hint="eastAsia" w:ascii="仿宋" w:hAnsi="仿宋" w:eastAsia="仿宋" w:cs="仿宋"/>
          <w:sz w:val="28"/>
          <w:szCs w:val="28"/>
          <w:lang w:eastAsia="zh-CN"/>
        </w:rPr>
        <w:t>四月二十九日</w:t>
      </w:r>
    </w:p>
    <w:sectPr>
      <w:footerReference r:id="rId5" w:type="first"/>
      <w:footerReference r:id="rId3" w:type="default"/>
      <w:footerReference r:id="rId4" w:type="even"/>
      <w:pgSz w:w="11907" w:h="16840"/>
      <w:pgMar w:top="1247" w:right="1134" w:bottom="1134" w:left="1247" w:header="851" w:footer="851" w:gutter="0"/>
      <w:pgNumType w:start="6"/>
      <w:cols w:space="720" w:num="1"/>
      <w:titlePg/>
      <w:docGrid w:type="lines" w:linePitch="304" w:charSpace="39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直线 1026" o:spid="_x0000_s2049" o:spt="20" style="position:absolute;left:0pt;margin-left:0pt;margin-top:0.95pt;height:0pt;width:442.2pt;z-index:251658240;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rPr>
        <w:b/>
        <w:bCs/>
      </w:rP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r>
      <w:pict>
        <v:shape id="_x0000_s2050" o:spid="_x0000_s2050" o:spt="202" type="#_x0000_t202" style="position:absolute;left:0pt;margin-top:0pt;height:144pt;width:144pt;mso-position-horizontal:center;mso-position-horizontal-relative:margin;mso-wrap-style:none;z-index:251656192;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11</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_x0000_s2051" o:spid="_x0000_s2051" o:spt="20" style="position:absolute;left:0pt;margin-left:0pt;margin-top:0.95pt;height:0pt;width:442.2pt;z-index:251659264;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pPr>
    <w:r>
      <w:pict>
        <v:shape id="_x0000_s2052" o:spid="_x0000_s2052"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6</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67D0"/>
    <w:multiLevelType w:val="singleLevel"/>
    <w:tmpl w:val="119C67D0"/>
    <w:lvl w:ilvl="0" w:tentative="0">
      <w:start w:val="14"/>
      <w:numFmt w:val="chineseCounting"/>
      <w:suff w:val="nothing"/>
      <w:lvlText w:val="%1、"/>
      <w:lvlJc w:val="left"/>
      <w:rPr>
        <w:rFonts w:hint="eastAsia"/>
      </w:rPr>
    </w:lvl>
  </w:abstractNum>
  <w:abstractNum w:abstractNumId="1">
    <w:nsid w:val="582E7976"/>
    <w:multiLevelType w:val="singleLevel"/>
    <w:tmpl w:val="582E7976"/>
    <w:lvl w:ilvl="0" w:tentative="0">
      <w:start w:val="8"/>
      <w:numFmt w:val="chineseCounting"/>
      <w:suff w:val="nothing"/>
      <w:lvlText w:val="%1、"/>
      <w:lvlJc w:val="left"/>
      <w:rPr>
        <w:rFonts w:cs="Times New Roman"/>
      </w:rPr>
    </w:lvl>
  </w:abstractNum>
  <w:abstractNum w:abstractNumId="2">
    <w:nsid w:val="5833E99F"/>
    <w:multiLevelType w:val="singleLevel"/>
    <w:tmpl w:val="5833E99F"/>
    <w:lvl w:ilvl="0" w:tentative="0">
      <w:start w:val="4"/>
      <w:numFmt w:val="chineseCounting"/>
      <w:suff w:val="nothing"/>
      <w:lvlText w:val="（%1）"/>
      <w:lvlJc w:val="left"/>
      <w:rPr>
        <w:rFonts w:cs="Times New Roman"/>
      </w:rPr>
    </w:lvl>
  </w:abstractNum>
  <w:abstractNum w:abstractNumId="3">
    <w:nsid w:val="59A4E1FD"/>
    <w:multiLevelType w:val="singleLevel"/>
    <w:tmpl w:val="59A4E1FD"/>
    <w:lvl w:ilvl="0" w:tentative="0">
      <w:start w:val="1"/>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6B9"/>
    <w:rsid w:val="000112D5"/>
    <w:rsid w:val="001C5B52"/>
    <w:rsid w:val="005012A0"/>
    <w:rsid w:val="006046B9"/>
    <w:rsid w:val="00616B8F"/>
    <w:rsid w:val="0070468D"/>
    <w:rsid w:val="00852BC3"/>
    <w:rsid w:val="0086685A"/>
    <w:rsid w:val="008B7B93"/>
    <w:rsid w:val="00AE5B99"/>
    <w:rsid w:val="00B868C2"/>
    <w:rsid w:val="00D04177"/>
    <w:rsid w:val="00EC4BC3"/>
    <w:rsid w:val="00F05D41"/>
    <w:rsid w:val="046C3D38"/>
    <w:rsid w:val="064E506A"/>
    <w:rsid w:val="076B4FAE"/>
    <w:rsid w:val="089B5509"/>
    <w:rsid w:val="0B935EF8"/>
    <w:rsid w:val="0D270114"/>
    <w:rsid w:val="0D710DCC"/>
    <w:rsid w:val="0E055B3A"/>
    <w:rsid w:val="0FF17FAD"/>
    <w:rsid w:val="105B6DEC"/>
    <w:rsid w:val="11AC59C3"/>
    <w:rsid w:val="122E3452"/>
    <w:rsid w:val="125251B9"/>
    <w:rsid w:val="12F71611"/>
    <w:rsid w:val="13866A18"/>
    <w:rsid w:val="13E8764B"/>
    <w:rsid w:val="14FC0A61"/>
    <w:rsid w:val="15870DC3"/>
    <w:rsid w:val="166E640A"/>
    <w:rsid w:val="1B8C46C2"/>
    <w:rsid w:val="1C7511F9"/>
    <w:rsid w:val="1DA522A2"/>
    <w:rsid w:val="1E2A2256"/>
    <w:rsid w:val="20D1741A"/>
    <w:rsid w:val="2217473C"/>
    <w:rsid w:val="222979F6"/>
    <w:rsid w:val="222A7976"/>
    <w:rsid w:val="24142639"/>
    <w:rsid w:val="247C30E8"/>
    <w:rsid w:val="26E2648B"/>
    <w:rsid w:val="27842C7C"/>
    <w:rsid w:val="27906A00"/>
    <w:rsid w:val="28693A83"/>
    <w:rsid w:val="28913C0F"/>
    <w:rsid w:val="28FC58F7"/>
    <w:rsid w:val="29745F10"/>
    <w:rsid w:val="29894734"/>
    <w:rsid w:val="29E2205E"/>
    <w:rsid w:val="2D0941BF"/>
    <w:rsid w:val="2E2D7752"/>
    <w:rsid w:val="2FA362C3"/>
    <w:rsid w:val="2FC2505D"/>
    <w:rsid w:val="30121E8D"/>
    <w:rsid w:val="31FB2D3A"/>
    <w:rsid w:val="32CC3455"/>
    <w:rsid w:val="33D87F04"/>
    <w:rsid w:val="373E7904"/>
    <w:rsid w:val="382F2E35"/>
    <w:rsid w:val="38EF2F2A"/>
    <w:rsid w:val="3AB9393F"/>
    <w:rsid w:val="3DC70708"/>
    <w:rsid w:val="3DD7745C"/>
    <w:rsid w:val="3DF56323"/>
    <w:rsid w:val="409B3272"/>
    <w:rsid w:val="417A7066"/>
    <w:rsid w:val="435A5422"/>
    <w:rsid w:val="437F498F"/>
    <w:rsid w:val="43883599"/>
    <w:rsid w:val="4395796D"/>
    <w:rsid w:val="43ED3569"/>
    <w:rsid w:val="44977BD2"/>
    <w:rsid w:val="451F7F1D"/>
    <w:rsid w:val="46505DB0"/>
    <w:rsid w:val="47484342"/>
    <w:rsid w:val="49556C38"/>
    <w:rsid w:val="4BEF2F24"/>
    <w:rsid w:val="4D004D77"/>
    <w:rsid w:val="4D114057"/>
    <w:rsid w:val="4DBA23EE"/>
    <w:rsid w:val="4F8530D4"/>
    <w:rsid w:val="502A426D"/>
    <w:rsid w:val="50A61D6E"/>
    <w:rsid w:val="50EA3671"/>
    <w:rsid w:val="515D53E7"/>
    <w:rsid w:val="55FC1070"/>
    <w:rsid w:val="56933EC8"/>
    <w:rsid w:val="579F452B"/>
    <w:rsid w:val="57BB4958"/>
    <w:rsid w:val="593F60E9"/>
    <w:rsid w:val="5A507BA8"/>
    <w:rsid w:val="5A7A4FB8"/>
    <w:rsid w:val="5B7C081E"/>
    <w:rsid w:val="5BD51E1B"/>
    <w:rsid w:val="5CDC7BE0"/>
    <w:rsid w:val="5CE82F71"/>
    <w:rsid w:val="5E487AFF"/>
    <w:rsid w:val="5EEC0A3B"/>
    <w:rsid w:val="650F3815"/>
    <w:rsid w:val="67866DAA"/>
    <w:rsid w:val="67C215C5"/>
    <w:rsid w:val="687B395C"/>
    <w:rsid w:val="69E31FCD"/>
    <w:rsid w:val="6A0045D8"/>
    <w:rsid w:val="6A424682"/>
    <w:rsid w:val="6BDE2E19"/>
    <w:rsid w:val="6E58735D"/>
    <w:rsid w:val="702475F3"/>
    <w:rsid w:val="70634C05"/>
    <w:rsid w:val="72276DC6"/>
    <w:rsid w:val="74376F83"/>
    <w:rsid w:val="75EC5DC8"/>
    <w:rsid w:val="7B2021F9"/>
    <w:rsid w:val="7CED2F2C"/>
    <w:rsid w:val="7E9B7998"/>
    <w:rsid w:val="7EED4D8B"/>
    <w:rsid w:val="7F0914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407</Words>
  <Characters>2324</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城春</cp:lastModifiedBy>
  <cp:lastPrinted>2018-12-24T07:15:00Z</cp:lastPrinted>
  <dcterms:modified xsi:type="dcterms:W3CDTF">2020-05-05T07:28:28Z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