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118</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评估对象为辽宁新风房地产开发有限公司名下住宅，评估范围包括位于首山镇龙都豪庭人民街66-4栋54号71.70平方米住宅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评估对象为辽宁新风房地产开发有限公司名下住宅，评估范围包括位于首山镇龙都豪庭人民街66-4栋54号71.70平方米住宅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9411FC8"/>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2020-05-05T06:27:46Z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