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ighlight w:val="none"/>
        </w:rPr>
      </w:pPr>
    </w:p>
    <w:p>
      <w:pPr>
        <w:tabs>
          <w:tab w:val="left" w:pos="4680"/>
        </w:tabs>
        <w:jc w:val="center"/>
        <w:rPr>
          <w:rFonts w:hint="eastAsia" w:eastAsia="楷体_GB2312"/>
          <w:sz w:val="28"/>
          <w:highlight w:val="none"/>
        </w:rPr>
      </w:pPr>
    </w:p>
    <w:p>
      <w:pPr>
        <w:jc w:val="center"/>
        <w:rPr>
          <w:rFonts w:eastAsia="楷体_GB2312"/>
          <w:sz w:val="28"/>
          <w:highlight w:val="none"/>
        </w:rPr>
      </w:pPr>
    </w:p>
    <w:p>
      <w:pPr>
        <w:jc w:val="center"/>
        <w:rPr>
          <w:rFonts w:hint="eastAsia" w:eastAsia="楷体_GB2312"/>
          <w:sz w:val="28"/>
          <w:highlight w:val="none"/>
        </w:rPr>
      </w:pPr>
    </w:p>
    <w:p>
      <w:pPr>
        <w:jc w:val="center"/>
        <w:rPr>
          <w:rFonts w:hint="eastAsia" w:eastAsia="楷体_GB2312"/>
          <w:sz w:val="28"/>
          <w:highlight w:val="none"/>
        </w:rPr>
      </w:pPr>
    </w:p>
    <w:p>
      <w:pPr>
        <w:jc w:val="center"/>
        <w:rPr>
          <w:rFonts w:hint="eastAsia" w:eastAsia="楷体_GB2312"/>
          <w:sz w:val="28"/>
          <w:highlight w:val="none"/>
        </w:rPr>
      </w:pPr>
    </w:p>
    <w:p>
      <w:pPr>
        <w:adjustRightInd w:val="0"/>
        <w:snapToGrid w:val="0"/>
        <w:spacing w:line="360" w:lineRule="auto"/>
        <w:jc w:val="center"/>
        <w:rPr>
          <w:rFonts w:hint="eastAsia"/>
          <w:b/>
          <w:bCs/>
          <w:iCs/>
          <w:spacing w:val="70"/>
          <w:sz w:val="44"/>
          <w:highlight w:val="none"/>
        </w:rPr>
      </w:pPr>
    </w:p>
    <w:p>
      <w:pPr>
        <w:adjustRightInd w:val="0"/>
        <w:snapToGrid w:val="0"/>
        <w:spacing w:line="360" w:lineRule="auto"/>
        <w:jc w:val="center"/>
        <w:rPr>
          <w:b/>
          <w:bCs/>
          <w:iCs/>
          <w:spacing w:val="70"/>
          <w:sz w:val="44"/>
          <w:highlight w:val="none"/>
        </w:rPr>
      </w:pPr>
      <w:r>
        <w:rPr>
          <w:b/>
          <w:bCs/>
          <w:iCs/>
          <w:spacing w:val="70"/>
          <w:sz w:val="44"/>
          <w:highlight w:val="none"/>
        </w:rPr>
        <w:t>房</w:t>
      </w:r>
      <w:r>
        <w:rPr>
          <w:rFonts w:hint="eastAsia"/>
          <w:b/>
          <w:bCs/>
          <w:iCs/>
          <w:spacing w:val="70"/>
          <w:sz w:val="44"/>
          <w:highlight w:val="none"/>
        </w:rPr>
        <w:t>地</w:t>
      </w:r>
      <w:r>
        <w:rPr>
          <w:b/>
          <w:bCs/>
          <w:iCs/>
          <w:spacing w:val="70"/>
          <w:sz w:val="44"/>
          <w:highlight w:val="none"/>
        </w:rPr>
        <w:t>产估价报告</w:t>
      </w:r>
    </w:p>
    <w:p>
      <w:pPr>
        <w:adjustRightInd w:val="0"/>
        <w:snapToGrid w:val="0"/>
        <w:spacing w:line="360" w:lineRule="auto"/>
        <w:ind w:left="4022" w:leftChars="1201" w:hanging="1500" w:hangingChars="500"/>
        <w:rPr>
          <w:rFonts w:hint="eastAsia" w:eastAsia="楷体_GB2312"/>
          <w:sz w:val="30"/>
          <w:highlight w:val="none"/>
        </w:rPr>
      </w:pPr>
    </w:p>
    <w:p>
      <w:pPr>
        <w:adjustRightInd w:val="0"/>
        <w:snapToGrid w:val="0"/>
        <w:spacing w:line="360" w:lineRule="auto"/>
        <w:ind w:left="4022" w:leftChars="1201" w:hanging="1500" w:hangingChars="500"/>
        <w:rPr>
          <w:rFonts w:hint="eastAsia" w:eastAsia="楷体_GB2312"/>
          <w:sz w:val="30"/>
          <w:highlight w:val="none"/>
        </w:rPr>
      </w:pPr>
    </w:p>
    <w:p>
      <w:pPr>
        <w:adjustRightInd w:val="0"/>
        <w:snapToGrid w:val="0"/>
        <w:spacing w:line="360" w:lineRule="auto"/>
        <w:ind w:left="4022" w:leftChars="1201" w:hanging="1500" w:hangingChars="500"/>
        <w:rPr>
          <w:rFonts w:hint="eastAsia" w:eastAsia="楷体_GB2312"/>
          <w:sz w:val="30"/>
          <w:highlight w:val="none"/>
        </w:rPr>
      </w:pPr>
    </w:p>
    <w:p>
      <w:pPr>
        <w:adjustRightInd w:val="0"/>
        <w:snapToGrid w:val="0"/>
        <w:spacing w:line="360" w:lineRule="auto"/>
        <w:ind w:left="4022" w:leftChars="1201" w:hanging="1500" w:hangingChars="500"/>
        <w:rPr>
          <w:rFonts w:eastAsia="楷体_GB2312"/>
          <w:sz w:val="30"/>
          <w:highlight w:val="none"/>
        </w:rPr>
      </w:pPr>
    </w:p>
    <w:p>
      <w:pPr>
        <w:adjustRightInd w:val="0"/>
        <w:snapToGrid w:val="0"/>
        <w:spacing w:line="360" w:lineRule="auto"/>
        <w:ind w:left="4022" w:leftChars="1201" w:hanging="1500" w:hangingChars="500"/>
        <w:rPr>
          <w:rFonts w:eastAsia="楷体_GB2312"/>
          <w:sz w:val="30"/>
          <w:highlight w:val="none"/>
        </w:rPr>
      </w:pPr>
    </w:p>
    <w:p>
      <w:pPr>
        <w:wordWrap w:val="0"/>
        <w:autoSpaceDE w:val="0"/>
        <w:autoSpaceDN w:val="0"/>
        <w:adjustRightInd w:val="0"/>
        <w:snapToGrid w:val="0"/>
        <w:spacing w:line="360" w:lineRule="auto"/>
        <w:ind w:left="2588" w:leftChars="405" w:hanging="1738" w:hangingChars="541"/>
        <w:rPr>
          <w:rFonts w:hint="eastAsia" w:ascii="楷体_GB2312" w:hAnsi="楷体" w:eastAsia="楷体_GB2312"/>
          <w:b/>
          <w:spacing w:val="-14"/>
          <w:sz w:val="32"/>
          <w:szCs w:val="32"/>
          <w:highlight w:val="none"/>
        </w:rPr>
      </w:pPr>
      <w:r>
        <w:rPr>
          <w:rFonts w:hint="eastAsia" w:ascii="楷体_GB2312" w:hAnsi="楷体" w:eastAsia="楷体_GB2312"/>
          <w:b/>
          <w:bCs/>
          <w:sz w:val="32"/>
          <w:highlight w:val="none"/>
        </w:rPr>
        <w:t>项目名称：</w:t>
      </w:r>
      <w:r>
        <w:rPr>
          <w:rFonts w:hint="eastAsia" w:ascii="楷体_GB2312" w:hAnsi="楷体" w:eastAsia="楷体_GB2312"/>
          <w:b/>
          <w:bCs/>
          <w:sz w:val="32"/>
          <w:highlight w:val="none"/>
          <w:lang w:val="en-US" w:eastAsia="zh-CN"/>
        </w:rPr>
        <w:t>于海印</w:t>
      </w:r>
      <w:r>
        <w:rPr>
          <w:rFonts w:hint="eastAsia" w:ascii="楷体_GB2312" w:hAnsi="楷体" w:eastAsia="楷体_GB2312"/>
          <w:b/>
          <w:bCs/>
          <w:sz w:val="32"/>
          <w:highlight w:val="none"/>
        </w:rPr>
        <w:t>位于</w:t>
      </w:r>
      <w:r>
        <w:rPr>
          <w:rFonts w:hint="eastAsia" w:ascii="楷体_GB2312" w:hAnsi="楷体" w:eastAsia="楷体_GB2312"/>
          <w:b/>
          <w:bCs/>
          <w:sz w:val="32"/>
          <w:highlight w:val="none"/>
          <w:lang w:eastAsia="zh-CN"/>
        </w:rPr>
        <w:t>曲周县利民街中段路东农资建材配送中心2号楼B座西门南第16户</w:t>
      </w:r>
      <w:r>
        <w:rPr>
          <w:rFonts w:hint="eastAsia" w:ascii="楷体_GB2312" w:hAnsi="楷体" w:eastAsia="楷体_GB2312"/>
          <w:b/>
          <w:bCs/>
          <w:sz w:val="32"/>
          <w:highlight w:val="none"/>
        </w:rPr>
        <w:t>的房地产市场价值评估</w:t>
      </w:r>
    </w:p>
    <w:p>
      <w:pPr>
        <w:adjustRightInd w:val="0"/>
        <w:snapToGrid w:val="0"/>
        <w:spacing w:line="360" w:lineRule="auto"/>
        <w:ind w:firstLine="790" w:firstLineChars="246"/>
        <w:rPr>
          <w:rFonts w:hint="eastAsia" w:ascii="楷体_GB2312" w:hAnsi="楷体" w:eastAsia="楷体_GB2312"/>
          <w:b/>
          <w:bCs/>
          <w:sz w:val="32"/>
          <w:szCs w:val="32"/>
          <w:highlight w:val="none"/>
        </w:rPr>
      </w:pPr>
      <w:r>
        <w:rPr>
          <w:rFonts w:hint="eastAsia" w:ascii="楷体_GB2312" w:hAnsi="楷体" w:eastAsia="楷体_GB2312"/>
          <w:b/>
          <w:bCs/>
          <w:sz w:val="32"/>
          <w:highlight w:val="none"/>
        </w:rPr>
        <w:t>估价委托人：</w:t>
      </w:r>
      <w:r>
        <w:rPr>
          <w:rFonts w:hint="eastAsia" w:ascii="楷体_GB2312" w:hAnsi="楷体" w:eastAsia="楷体_GB2312"/>
          <w:b/>
          <w:bCs/>
          <w:sz w:val="32"/>
          <w:highlight w:val="none"/>
          <w:lang w:eastAsia="zh-CN"/>
        </w:rPr>
        <w:t>河北省曲周县人民</w:t>
      </w:r>
      <w:r>
        <w:rPr>
          <w:rFonts w:hint="eastAsia" w:ascii="楷体_GB2312" w:hAnsi="楷体" w:eastAsia="楷体_GB2312"/>
          <w:b/>
          <w:bCs/>
          <w:sz w:val="32"/>
          <w:highlight w:val="none"/>
        </w:rPr>
        <w:t>法院</w:t>
      </w:r>
    </w:p>
    <w:p>
      <w:pPr>
        <w:adjustRightInd w:val="0"/>
        <w:snapToGrid w:val="0"/>
        <w:spacing w:line="360" w:lineRule="auto"/>
        <w:ind w:firstLine="790" w:firstLineChars="246"/>
        <w:rPr>
          <w:rFonts w:hint="eastAsia" w:ascii="楷体_GB2312" w:hAnsi="楷体" w:eastAsia="楷体_GB2312"/>
          <w:b/>
          <w:bCs/>
          <w:sz w:val="32"/>
          <w:highlight w:val="none"/>
        </w:rPr>
      </w:pPr>
      <w:r>
        <w:rPr>
          <w:rFonts w:hint="eastAsia" w:ascii="楷体_GB2312" w:hAnsi="楷体" w:eastAsia="楷体_GB2312"/>
          <w:b/>
          <w:bCs/>
          <w:sz w:val="32"/>
          <w:highlight w:val="none"/>
        </w:rPr>
        <w:t>估价机构：河北新世纪房地产评估经纪有限公司</w:t>
      </w:r>
    </w:p>
    <w:p>
      <w:pPr>
        <w:adjustRightInd w:val="0"/>
        <w:snapToGrid w:val="0"/>
        <w:spacing w:line="360" w:lineRule="auto"/>
        <w:ind w:firstLine="790" w:firstLineChars="246"/>
        <w:rPr>
          <w:rFonts w:hint="eastAsia" w:ascii="楷体_GB2312" w:hAnsi="楷体" w:eastAsia="楷体_GB2312"/>
          <w:b/>
          <w:bCs/>
          <w:sz w:val="32"/>
          <w:highlight w:val="none"/>
        </w:rPr>
      </w:pPr>
      <w:r>
        <w:rPr>
          <w:rFonts w:hint="eastAsia" w:ascii="楷体_GB2312" w:hAnsi="楷体" w:eastAsia="楷体_GB2312"/>
          <w:b/>
          <w:bCs/>
          <w:sz w:val="32"/>
          <w:highlight w:val="none"/>
        </w:rPr>
        <w:t>注册房地产估价师：李振禄(注册号：1320020034)</w:t>
      </w:r>
    </w:p>
    <w:p>
      <w:pPr>
        <w:adjustRightInd w:val="0"/>
        <w:snapToGrid w:val="0"/>
        <w:spacing w:line="360" w:lineRule="auto"/>
        <w:ind w:firstLine="790" w:firstLineChars="246"/>
        <w:rPr>
          <w:rFonts w:hint="eastAsia" w:ascii="楷体_GB2312" w:hAnsi="楷体" w:eastAsia="楷体_GB2312"/>
          <w:b/>
          <w:bCs/>
          <w:sz w:val="32"/>
          <w:highlight w:val="none"/>
        </w:rPr>
      </w:pPr>
      <w:r>
        <w:rPr>
          <w:rFonts w:hint="eastAsia" w:ascii="楷体_GB2312" w:hAnsi="楷体" w:eastAsia="楷体_GB2312"/>
          <w:b/>
          <w:bCs/>
          <w:sz w:val="32"/>
          <w:highlight w:val="none"/>
        </w:rPr>
        <w:t xml:space="preserve">                  付  媛(注册号：1320100039)</w:t>
      </w:r>
    </w:p>
    <w:p>
      <w:pPr>
        <w:adjustRightInd w:val="0"/>
        <w:snapToGrid w:val="0"/>
        <w:spacing w:line="360" w:lineRule="auto"/>
        <w:ind w:firstLine="790" w:firstLineChars="246"/>
        <w:rPr>
          <w:rFonts w:hint="eastAsia" w:ascii="楷体_GB2312" w:hAnsi="楷体" w:eastAsia="楷体_GB2312"/>
          <w:b/>
          <w:bCs/>
          <w:sz w:val="32"/>
          <w:highlight w:val="none"/>
        </w:rPr>
      </w:pPr>
      <w:r>
        <w:rPr>
          <w:rFonts w:hint="eastAsia" w:ascii="楷体_GB2312" w:hAnsi="楷体" w:eastAsia="楷体_GB2312"/>
          <w:b/>
          <w:bCs/>
          <w:sz w:val="32"/>
          <w:highlight w:val="none"/>
        </w:rPr>
        <w:t>估价报告出具日期：</w:t>
      </w:r>
      <w:r>
        <w:rPr>
          <w:rFonts w:hint="eastAsia" w:ascii="楷体_GB2312" w:hAnsi="楷体" w:eastAsia="楷体_GB2312"/>
          <w:b/>
          <w:bCs/>
          <w:sz w:val="32"/>
          <w:highlight w:val="none"/>
          <w:lang w:eastAsia="zh-CN"/>
        </w:rPr>
        <w:t>2019年10月25日</w:t>
      </w:r>
    </w:p>
    <w:p>
      <w:pPr>
        <w:adjustRightInd w:val="0"/>
        <w:snapToGrid w:val="0"/>
        <w:spacing w:line="360" w:lineRule="auto"/>
        <w:ind w:firstLine="790" w:firstLineChars="246"/>
        <w:rPr>
          <w:rFonts w:hint="eastAsia" w:ascii="楷体_GB2312" w:hAnsi="楷体" w:eastAsia="楷体_GB2312"/>
          <w:b/>
          <w:bCs/>
          <w:color w:val="auto"/>
          <w:sz w:val="30"/>
          <w:highlight w:val="none"/>
        </w:rPr>
      </w:pPr>
      <w:r>
        <w:rPr>
          <w:rFonts w:hint="eastAsia" w:ascii="楷体_GB2312" w:hAnsi="楷体" w:eastAsia="楷体_GB2312"/>
          <w:b/>
          <w:bCs/>
          <w:color w:val="auto"/>
          <w:sz w:val="32"/>
          <w:highlight w:val="none"/>
        </w:rPr>
        <w:t>估价报告编号：</w:t>
      </w:r>
      <w:r>
        <w:rPr>
          <w:rFonts w:hint="eastAsia" w:ascii="楷体_GB2312" w:hAnsi="楷体" w:eastAsia="楷体_GB2312"/>
          <w:b/>
          <w:bCs/>
          <w:color w:val="auto"/>
          <w:sz w:val="32"/>
          <w:highlight w:val="none"/>
          <w:lang w:eastAsia="zh-CN"/>
        </w:rPr>
        <w:t>冀新房（201</w:t>
      </w:r>
      <w:r>
        <w:rPr>
          <w:rFonts w:hint="eastAsia" w:ascii="楷体_GB2312" w:hAnsi="楷体" w:eastAsia="楷体_GB2312"/>
          <w:b/>
          <w:bCs/>
          <w:color w:val="auto"/>
          <w:sz w:val="32"/>
          <w:highlight w:val="none"/>
          <w:lang w:val="en-US" w:eastAsia="zh-CN"/>
        </w:rPr>
        <w:t>9</w:t>
      </w:r>
      <w:r>
        <w:rPr>
          <w:rFonts w:hint="eastAsia" w:ascii="楷体_GB2312" w:hAnsi="楷体" w:eastAsia="楷体_GB2312"/>
          <w:b/>
          <w:bCs/>
          <w:color w:val="auto"/>
          <w:sz w:val="32"/>
          <w:highlight w:val="none"/>
          <w:lang w:eastAsia="zh-CN"/>
        </w:rPr>
        <w:t>）（邯估）字第0</w:t>
      </w:r>
      <w:r>
        <w:rPr>
          <w:rFonts w:hint="eastAsia" w:ascii="楷体_GB2312" w:hAnsi="楷体" w:eastAsia="楷体_GB2312"/>
          <w:b/>
          <w:bCs/>
          <w:color w:val="auto"/>
          <w:sz w:val="32"/>
          <w:highlight w:val="none"/>
          <w:lang w:val="en-US" w:eastAsia="zh-CN"/>
        </w:rPr>
        <w:t>86</w:t>
      </w:r>
      <w:r>
        <w:rPr>
          <w:rFonts w:hint="eastAsia" w:ascii="楷体_GB2312" w:hAnsi="楷体" w:eastAsia="楷体_GB2312"/>
          <w:b/>
          <w:bCs/>
          <w:color w:val="auto"/>
          <w:sz w:val="32"/>
          <w:highlight w:val="none"/>
          <w:lang w:eastAsia="zh-CN"/>
        </w:rPr>
        <w:t>号</w:t>
      </w:r>
    </w:p>
    <w:p>
      <w:pPr>
        <w:adjustRightInd w:val="0"/>
        <w:snapToGrid w:val="0"/>
        <w:spacing w:line="360" w:lineRule="auto"/>
        <w:ind w:firstLine="741" w:firstLineChars="246"/>
        <w:rPr>
          <w:rFonts w:hint="eastAsia" w:ascii="楷体_GB2312" w:hAnsi="楷体" w:eastAsia="楷体_GB2312"/>
          <w:b/>
          <w:bCs/>
          <w:sz w:val="30"/>
          <w:highlight w:val="none"/>
        </w:rPr>
      </w:pPr>
    </w:p>
    <w:p>
      <w:pPr>
        <w:tabs>
          <w:tab w:val="left" w:pos="7110"/>
        </w:tabs>
        <w:adjustRightInd w:val="0"/>
        <w:snapToGrid w:val="0"/>
        <w:spacing w:line="360" w:lineRule="auto"/>
        <w:jc w:val="center"/>
        <w:rPr>
          <w:b/>
          <w:bCs/>
          <w:sz w:val="32"/>
          <w:highlight w:val="none"/>
        </w:rPr>
      </w:pPr>
      <w:r>
        <w:rPr>
          <w:b/>
          <w:bCs/>
          <w:sz w:val="32"/>
          <w:highlight w:val="none"/>
        </w:rPr>
        <w:br w:type="page"/>
      </w:r>
      <w:r>
        <w:rPr>
          <w:b/>
          <w:bCs/>
          <w:sz w:val="32"/>
          <w:highlight w:val="none"/>
        </w:rPr>
        <w:t>目    录</w:t>
      </w:r>
    </w:p>
    <w:p>
      <w:pPr>
        <w:tabs>
          <w:tab w:val="left" w:pos="7110"/>
        </w:tabs>
        <w:adjustRightInd w:val="0"/>
        <w:snapToGrid w:val="0"/>
        <w:spacing w:line="360" w:lineRule="auto"/>
        <w:ind w:firstLine="1687" w:firstLineChars="600"/>
        <w:rPr>
          <w:rFonts w:eastAsia="仿宋_GB2312"/>
          <w:b/>
          <w:bCs/>
          <w:sz w:val="28"/>
          <w:highlight w:val="none"/>
        </w:rPr>
      </w:pPr>
    </w:p>
    <w:p>
      <w:pPr>
        <w:tabs>
          <w:tab w:val="left" w:pos="7110"/>
        </w:tabs>
        <w:adjustRightInd w:val="0"/>
        <w:snapToGrid w:val="0"/>
        <w:spacing w:line="360" w:lineRule="auto"/>
        <w:jc w:val="center"/>
        <w:rPr>
          <w:rFonts w:hint="eastAsia" w:eastAsia="仿宋_GB2312"/>
          <w:b/>
          <w:bCs/>
          <w:sz w:val="28"/>
          <w:highlight w:val="none"/>
        </w:rPr>
      </w:pPr>
      <w:r>
        <w:rPr>
          <w:rFonts w:ascii="仿宋_GB2312" w:eastAsia="仿宋_GB2312"/>
          <w:b/>
          <w:bCs/>
          <w:sz w:val="28"/>
          <w:highlight w:val="none"/>
        </w:rPr>
        <w:t>1</w:t>
      </w:r>
      <w:r>
        <w:rPr>
          <w:rFonts w:eastAsia="仿宋_GB2312"/>
          <w:b/>
          <w:bCs/>
          <w:sz w:val="28"/>
          <w:highlight w:val="none"/>
        </w:rPr>
        <w:t>、致</w:t>
      </w:r>
      <w:r>
        <w:rPr>
          <w:rFonts w:hint="eastAsia" w:eastAsia="仿宋_GB2312"/>
          <w:b/>
          <w:bCs/>
          <w:sz w:val="28"/>
          <w:highlight w:val="none"/>
        </w:rPr>
        <w:t>估价委托人</w:t>
      </w:r>
      <w:r>
        <w:rPr>
          <w:rFonts w:eastAsia="仿宋_GB2312"/>
          <w:b/>
          <w:bCs/>
          <w:sz w:val="28"/>
          <w:highlight w:val="none"/>
        </w:rPr>
        <w:t>函</w:t>
      </w:r>
      <w:r>
        <w:rPr>
          <w:rFonts w:hint="eastAsia" w:eastAsia="仿宋_GB2312"/>
          <w:b/>
          <w:bCs/>
          <w:sz w:val="28"/>
          <w:highlight w:val="none"/>
        </w:rPr>
        <w:t>----------------------------------------------</w:t>
      </w:r>
      <w:r>
        <w:rPr>
          <w:rFonts w:hint="eastAsia" w:ascii="仿宋_GB2312" w:eastAsia="仿宋_GB2312"/>
          <w:b/>
          <w:bCs/>
          <w:sz w:val="28"/>
          <w:highlight w:val="none"/>
        </w:rPr>
        <w:t>2</w:t>
      </w:r>
    </w:p>
    <w:p>
      <w:pPr>
        <w:tabs>
          <w:tab w:val="left" w:pos="7110"/>
        </w:tabs>
        <w:adjustRightInd w:val="0"/>
        <w:snapToGrid w:val="0"/>
        <w:spacing w:line="360" w:lineRule="auto"/>
        <w:jc w:val="center"/>
        <w:rPr>
          <w:rFonts w:hint="eastAsia" w:eastAsia="仿宋_GB2312"/>
          <w:b/>
          <w:bCs/>
          <w:sz w:val="28"/>
          <w:highlight w:val="none"/>
        </w:rPr>
      </w:pPr>
    </w:p>
    <w:p>
      <w:pPr>
        <w:tabs>
          <w:tab w:val="left" w:pos="7110"/>
        </w:tabs>
        <w:adjustRightInd w:val="0"/>
        <w:snapToGrid w:val="0"/>
        <w:spacing w:line="360" w:lineRule="auto"/>
        <w:jc w:val="center"/>
        <w:rPr>
          <w:rFonts w:hint="eastAsia" w:eastAsia="仿宋_GB2312"/>
          <w:b/>
          <w:bCs/>
          <w:sz w:val="28"/>
          <w:highlight w:val="none"/>
        </w:rPr>
      </w:pPr>
      <w:r>
        <w:rPr>
          <w:rFonts w:ascii="仿宋_GB2312" w:eastAsia="仿宋_GB2312"/>
          <w:b/>
          <w:bCs/>
          <w:sz w:val="28"/>
          <w:highlight w:val="none"/>
        </w:rPr>
        <w:t>2</w:t>
      </w:r>
      <w:r>
        <w:rPr>
          <w:rFonts w:eastAsia="仿宋_GB2312"/>
          <w:b/>
          <w:bCs/>
          <w:sz w:val="28"/>
          <w:highlight w:val="none"/>
        </w:rPr>
        <w:t>、估价师声明</w:t>
      </w:r>
      <w:r>
        <w:rPr>
          <w:rFonts w:hint="eastAsia" w:eastAsia="仿宋_GB2312"/>
          <w:b/>
          <w:bCs/>
          <w:sz w:val="28"/>
          <w:highlight w:val="none"/>
        </w:rPr>
        <w:t>----------------------------------------------------</w:t>
      </w:r>
      <w:r>
        <w:rPr>
          <w:rFonts w:hint="eastAsia" w:ascii="仿宋_GB2312" w:eastAsia="仿宋_GB2312"/>
          <w:b/>
          <w:bCs/>
          <w:sz w:val="28"/>
          <w:highlight w:val="none"/>
        </w:rPr>
        <w:t>3</w:t>
      </w:r>
    </w:p>
    <w:p>
      <w:pPr>
        <w:tabs>
          <w:tab w:val="left" w:pos="7110"/>
        </w:tabs>
        <w:adjustRightInd w:val="0"/>
        <w:snapToGrid w:val="0"/>
        <w:spacing w:line="360" w:lineRule="auto"/>
        <w:jc w:val="center"/>
        <w:rPr>
          <w:rFonts w:hint="eastAsia" w:eastAsia="仿宋_GB2312"/>
          <w:b/>
          <w:bCs/>
          <w:sz w:val="28"/>
          <w:highlight w:val="none"/>
        </w:rPr>
      </w:pPr>
    </w:p>
    <w:p>
      <w:pPr>
        <w:tabs>
          <w:tab w:val="left" w:pos="7110"/>
        </w:tabs>
        <w:adjustRightInd w:val="0"/>
        <w:snapToGrid w:val="0"/>
        <w:spacing w:line="360" w:lineRule="auto"/>
        <w:jc w:val="center"/>
        <w:rPr>
          <w:rFonts w:hint="eastAsia" w:eastAsia="仿宋_GB2312"/>
          <w:b/>
          <w:bCs/>
          <w:sz w:val="28"/>
          <w:highlight w:val="none"/>
        </w:rPr>
      </w:pPr>
      <w:r>
        <w:rPr>
          <w:rFonts w:ascii="仿宋_GB2312" w:eastAsia="仿宋_GB2312"/>
          <w:b/>
          <w:bCs/>
          <w:sz w:val="28"/>
          <w:highlight w:val="none"/>
        </w:rPr>
        <w:t>3</w:t>
      </w:r>
      <w:r>
        <w:rPr>
          <w:rFonts w:eastAsia="仿宋_GB2312"/>
          <w:b/>
          <w:bCs/>
          <w:sz w:val="28"/>
          <w:highlight w:val="none"/>
        </w:rPr>
        <w:t>、估价的假设和限制条件</w:t>
      </w:r>
      <w:r>
        <w:rPr>
          <w:rFonts w:hint="eastAsia" w:eastAsia="仿宋_GB2312"/>
          <w:b/>
          <w:bCs/>
          <w:sz w:val="28"/>
          <w:highlight w:val="none"/>
        </w:rPr>
        <w:t>------------------------------------</w:t>
      </w:r>
      <w:r>
        <w:rPr>
          <w:rFonts w:hint="eastAsia" w:ascii="仿宋_GB2312" w:eastAsia="仿宋_GB2312"/>
          <w:b/>
          <w:bCs/>
          <w:sz w:val="28"/>
          <w:highlight w:val="none"/>
        </w:rPr>
        <w:t>4</w:t>
      </w:r>
    </w:p>
    <w:p>
      <w:pPr>
        <w:tabs>
          <w:tab w:val="left" w:pos="7110"/>
        </w:tabs>
        <w:adjustRightInd w:val="0"/>
        <w:snapToGrid w:val="0"/>
        <w:spacing w:line="360" w:lineRule="auto"/>
        <w:jc w:val="center"/>
        <w:rPr>
          <w:rFonts w:hint="eastAsia" w:eastAsia="仿宋_GB2312"/>
          <w:b/>
          <w:bCs/>
          <w:sz w:val="28"/>
          <w:highlight w:val="none"/>
        </w:rPr>
      </w:pPr>
    </w:p>
    <w:p>
      <w:pPr>
        <w:tabs>
          <w:tab w:val="left" w:pos="7110"/>
        </w:tabs>
        <w:adjustRightInd w:val="0"/>
        <w:snapToGrid w:val="0"/>
        <w:spacing w:line="360" w:lineRule="auto"/>
        <w:jc w:val="center"/>
        <w:rPr>
          <w:rFonts w:hint="eastAsia" w:eastAsia="仿宋_GB2312"/>
          <w:b/>
          <w:bCs/>
          <w:sz w:val="28"/>
          <w:highlight w:val="none"/>
        </w:rPr>
      </w:pPr>
      <w:r>
        <w:rPr>
          <w:rFonts w:ascii="仿宋_GB2312" w:eastAsia="仿宋_GB2312"/>
          <w:b/>
          <w:bCs/>
          <w:sz w:val="28"/>
          <w:highlight w:val="none"/>
        </w:rPr>
        <w:t>4</w:t>
      </w:r>
      <w:r>
        <w:rPr>
          <w:rFonts w:eastAsia="仿宋_GB2312"/>
          <w:b/>
          <w:bCs/>
          <w:sz w:val="28"/>
          <w:highlight w:val="none"/>
        </w:rPr>
        <w:t>、房地产估价结果报告</w:t>
      </w:r>
      <w:r>
        <w:rPr>
          <w:rFonts w:hint="eastAsia" w:eastAsia="仿宋_GB2312"/>
          <w:b/>
          <w:bCs/>
          <w:sz w:val="28"/>
          <w:highlight w:val="none"/>
        </w:rPr>
        <w:t>---------------------------------------</w:t>
      </w:r>
      <w:r>
        <w:rPr>
          <w:rFonts w:hint="eastAsia" w:ascii="仿宋_GB2312" w:eastAsia="仿宋_GB2312"/>
          <w:b/>
          <w:bCs/>
          <w:sz w:val="28"/>
          <w:highlight w:val="none"/>
          <w:lang w:val="en-US" w:eastAsia="zh-CN"/>
        </w:rPr>
        <w:t>7</w:t>
      </w:r>
    </w:p>
    <w:p>
      <w:pPr>
        <w:tabs>
          <w:tab w:val="left" w:pos="7110"/>
        </w:tabs>
        <w:adjustRightInd w:val="0"/>
        <w:snapToGrid w:val="0"/>
        <w:spacing w:line="360" w:lineRule="auto"/>
        <w:jc w:val="center"/>
        <w:rPr>
          <w:rFonts w:hint="eastAsia" w:eastAsia="仿宋_GB2312"/>
          <w:b/>
          <w:bCs/>
          <w:sz w:val="28"/>
          <w:highlight w:val="none"/>
        </w:rPr>
      </w:pPr>
    </w:p>
    <w:p>
      <w:pPr>
        <w:tabs>
          <w:tab w:val="left" w:pos="7110"/>
        </w:tabs>
        <w:adjustRightInd w:val="0"/>
        <w:snapToGrid w:val="0"/>
        <w:spacing w:line="360" w:lineRule="auto"/>
        <w:jc w:val="center"/>
        <w:rPr>
          <w:rFonts w:hint="eastAsia" w:eastAsia="仿宋_GB2312"/>
          <w:b/>
          <w:bCs/>
          <w:sz w:val="28"/>
          <w:highlight w:val="none"/>
          <w:lang w:val="en-US" w:eastAsia="zh-CN"/>
        </w:rPr>
      </w:pPr>
      <w:r>
        <w:rPr>
          <w:rFonts w:ascii="仿宋_GB2312" w:eastAsia="仿宋_GB2312"/>
          <w:b/>
          <w:bCs/>
          <w:sz w:val="28"/>
          <w:highlight w:val="none"/>
        </w:rPr>
        <w:t>5</w:t>
      </w:r>
      <w:r>
        <w:rPr>
          <w:rFonts w:eastAsia="仿宋_GB2312"/>
          <w:b/>
          <w:bCs/>
          <w:sz w:val="28"/>
          <w:highlight w:val="none"/>
        </w:rPr>
        <w:t>、附件</w:t>
      </w:r>
      <w:r>
        <w:rPr>
          <w:rFonts w:hint="eastAsia" w:eastAsia="仿宋_GB2312"/>
          <w:b/>
          <w:bCs/>
          <w:sz w:val="28"/>
          <w:highlight w:val="none"/>
        </w:rPr>
        <w:t>-----------------------------------------------------------</w:t>
      </w:r>
      <w:r>
        <w:rPr>
          <w:rFonts w:hint="eastAsia" w:ascii="仿宋_GB2312" w:eastAsia="仿宋_GB2312"/>
          <w:b/>
          <w:bCs/>
          <w:sz w:val="28"/>
          <w:highlight w:val="none"/>
        </w:rPr>
        <w:t>1</w:t>
      </w:r>
      <w:r>
        <w:rPr>
          <w:rFonts w:hint="eastAsia" w:ascii="仿宋_GB2312" w:eastAsia="仿宋_GB2312"/>
          <w:b/>
          <w:bCs/>
          <w:sz w:val="28"/>
          <w:highlight w:val="none"/>
          <w:lang w:val="en-US" w:eastAsia="zh-CN"/>
        </w:rPr>
        <w:t>2</w:t>
      </w:r>
    </w:p>
    <w:p>
      <w:pPr>
        <w:jc w:val="center"/>
        <w:rPr>
          <w:b/>
          <w:spacing w:val="40"/>
          <w:sz w:val="32"/>
          <w:highlight w:val="none"/>
        </w:rPr>
      </w:pPr>
      <w:r>
        <w:rPr>
          <w:b/>
          <w:spacing w:val="40"/>
          <w:sz w:val="32"/>
          <w:highlight w:val="none"/>
        </w:rPr>
        <w:br w:type="page"/>
      </w:r>
      <w:r>
        <w:rPr>
          <w:rFonts w:hint="eastAsia"/>
          <w:b/>
          <w:spacing w:val="40"/>
          <w:sz w:val="32"/>
          <w:highlight w:val="none"/>
        </w:rPr>
        <w:t>致估价委托人函</w:t>
      </w:r>
    </w:p>
    <w:p>
      <w:pPr>
        <w:adjustRightInd w:val="0"/>
        <w:snapToGrid w:val="0"/>
        <w:spacing w:line="480" w:lineRule="exact"/>
        <w:rPr>
          <w:rFonts w:hint="eastAsia" w:ascii="仿宋_GB2312" w:eastAsia="仿宋_GB2312"/>
          <w:bCs/>
          <w:sz w:val="28"/>
          <w:szCs w:val="20"/>
          <w:highlight w:val="none"/>
        </w:rPr>
      </w:pPr>
      <w:r>
        <w:rPr>
          <w:rFonts w:hint="eastAsia" w:ascii="仿宋_GB2312" w:eastAsia="仿宋_GB2312"/>
          <w:bCs/>
          <w:sz w:val="28"/>
          <w:szCs w:val="20"/>
          <w:highlight w:val="none"/>
          <w:lang w:eastAsia="zh-CN"/>
        </w:rPr>
        <w:t>河北省曲周县人民</w:t>
      </w:r>
      <w:r>
        <w:rPr>
          <w:rFonts w:hint="eastAsia" w:ascii="仿宋_GB2312" w:eastAsia="仿宋_GB2312"/>
          <w:bCs/>
          <w:sz w:val="28"/>
          <w:szCs w:val="20"/>
          <w:highlight w:val="none"/>
        </w:rPr>
        <w:t>法院：</w:t>
      </w:r>
    </w:p>
    <w:p>
      <w:pPr>
        <w:adjustRightInd w:val="0"/>
        <w:snapToGrid w:val="0"/>
        <w:spacing w:line="480" w:lineRule="exact"/>
        <w:ind w:firstLine="560" w:firstLineChars="200"/>
        <w:rPr>
          <w:rFonts w:hint="eastAsia" w:ascii="仿宋_GB2312" w:eastAsia="仿宋_GB2312"/>
          <w:bCs/>
          <w:sz w:val="28"/>
          <w:szCs w:val="20"/>
          <w:highlight w:val="none"/>
        </w:rPr>
      </w:pPr>
      <w:r>
        <w:rPr>
          <w:rFonts w:hint="eastAsia" w:ascii="仿宋_GB2312" w:eastAsia="仿宋_GB2312"/>
          <w:bCs/>
          <w:sz w:val="28"/>
          <w:szCs w:val="20"/>
          <w:highlight w:val="none"/>
        </w:rPr>
        <w:t>受</w:t>
      </w:r>
      <w:r>
        <w:rPr>
          <w:rFonts w:ascii="仿宋_GB2312" w:eastAsia="仿宋_GB2312"/>
          <w:bCs/>
          <w:sz w:val="28"/>
          <w:szCs w:val="20"/>
          <w:highlight w:val="none"/>
        </w:rPr>
        <w:t>贵</w:t>
      </w:r>
      <w:r>
        <w:rPr>
          <w:rFonts w:hint="eastAsia" w:ascii="仿宋_GB2312" w:eastAsia="仿宋_GB2312"/>
          <w:bCs/>
          <w:sz w:val="28"/>
          <w:szCs w:val="20"/>
          <w:highlight w:val="none"/>
        </w:rPr>
        <w:t>院</w:t>
      </w:r>
      <w:r>
        <w:rPr>
          <w:rFonts w:ascii="仿宋_GB2312" w:eastAsia="仿宋_GB2312"/>
          <w:bCs/>
          <w:sz w:val="28"/>
          <w:szCs w:val="20"/>
          <w:highlight w:val="none"/>
        </w:rPr>
        <w:t>委托，</w:t>
      </w:r>
      <w:r>
        <w:rPr>
          <w:rFonts w:hint="eastAsia" w:ascii="仿宋_GB2312" w:eastAsia="仿宋_GB2312"/>
          <w:bCs/>
          <w:sz w:val="28"/>
          <w:szCs w:val="20"/>
          <w:highlight w:val="none"/>
        </w:rPr>
        <w:t>我公司对</w:t>
      </w:r>
      <w:r>
        <w:rPr>
          <w:rFonts w:hint="eastAsia" w:ascii="仿宋_GB2312" w:eastAsia="仿宋_GB2312"/>
          <w:bCs/>
          <w:sz w:val="28"/>
          <w:szCs w:val="20"/>
          <w:highlight w:val="none"/>
          <w:lang w:val="en-US" w:eastAsia="zh-CN"/>
        </w:rPr>
        <w:t>于海印</w:t>
      </w:r>
      <w:r>
        <w:rPr>
          <w:rFonts w:hint="eastAsia" w:ascii="仿宋_GB2312" w:eastAsia="仿宋_GB2312"/>
          <w:bCs/>
          <w:sz w:val="28"/>
          <w:szCs w:val="20"/>
          <w:highlight w:val="none"/>
        </w:rPr>
        <w:t>位于</w:t>
      </w:r>
      <w:r>
        <w:rPr>
          <w:rFonts w:hint="eastAsia" w:ascii="仿宋_GB2312" w:eastAsia="仿宋_GB2312"/>
          <w:bCs/>
          <w:sz w:val="28"/>
          <w:szCs w:val="20"/>
          <w:highlight w:val="none"/>
          <w:lang w:eastAsia="zh-CN"/>
        </w:rPr>
        <w:t>曲周县利民街中段路东农资建材配送中心2号楼B座西门南第16户</w:t>
      </w:r>
      <w:r>
        <w:rPr>
          <w:rFonts w:hint="eastAsia" w:ascii="仿宋_GB2312" w:eastAsia="仿宋_GB2312"/>
          <w:bCs/>
          <w:sz w:val="28"/>
          <w:szCs w:val="20"/>
          <w:highlight w:val="none"/>
        </w:rPr>
        <w:t>的房地产</w:t>
      </w:r>
      <w:r>
        <w:rPr>
          <w:rFonts w:hint="eastAsia" w:ascii="仿宋_GB2312" w:eastAsia="仿宋_GB2312"/>
          <w:bCs/>
          <w:sz w:val="28"/>
          <w:szCs w:val="20"/>
          <w:highlight w:val="none"/>
          <w:lang w:eastAsia="zh-CN"/>
        </w:rPr>
        <w:t>市场价值</w:t>
      </w:r>
      <w:r>
        <w:rPr>
          <w:rFonts w:hint="eastAsia" w:ascii="仿宋_GB2312" w:eastAsia="仿宋_GB2312"/>
          <w:bCs/>
          <w:sz w:val="28"/>
          <w:szCs w:val="20"/>
          <w:highlight w:val="none"/>
        </w:rPr>
        <w:t>进行了评估。</w:t>
      </w:r>
    </w:p>
    <w:p>
      <w:pPr>
        <w:wordWrap w:val="0"/>
        <w:adjustRightInd w:val="0"/>
        <w:snapToGrid w:val="0"/>
        <w:spacing w:line="480" w:lineRule="exact"/>
        <w:ind w:firstLine="560" w:firstLineChars="200"/>
        <w:rPr>
          <w:rFonts w:hint="eastAsia" w:ascii="仿宋_GB2312" w:eastAsia="仿宋_GB2312"/>
          <w:bCs/>
          <w:sz w:val="28"/>
          <w:szCs w:val="20"/>
          <w:highlight w:val="none"/>
        </w:rPr>
      </w:pPr>
      <w:r>
        <w:rPr>
          <w:rFonts w:hint="eastAsia" w:ascii="仿宋_GB2312" w:eastAsia="仿宋_GB2312"/>
          <w:sz w:val="28"/>
          <w:szCs w:val="20"/>
          <w:highlight w:val="none"/>
        </w:rPr>
        <w:t>根据《中华人民共和国城市房地产管理法》、《中华人民共和国担保法》、《房地产估价规范》（中华人民共和国国家标准</w:t>
      </w:r>
      <w:r>
        <w:rPr>
          <w:rFonts w:ascii="仿宋_GB2312" w:eastAsia="仿宋_GB2312"/>
          <w:sz w:val="28"/>
          <w:szCs w:val="20"/>
          <w:highlight w:val="none"/>
        </w:rPr>
        <w:t>GB/T50291-2015</w:t>
      </w:r>
      <w:r>
        <w:rPr>
          <w:rFonts w:hint="eastAsia" w:ascii="仿宋_GB2312" w:eastAsia="仿宋_GB2312"/>
          <w:sz w:val="28"/>
          <w:szCs w:val="20"/>
          <w:highlight w:val="none"/>
        </w:rPr>
        <w:t>）以及有关房地产法规和政策，估价人员于</w:t>
      </w:r>
      <w:r>
        <w:rPr>
          <w:rFonts w:hint="eastAsia" w:ascii="仿宋_GB2312" w:eastAsia="仿宋_GB2312"/>
          <w:sz w:val="28"/>
          <w:szCs w:val="20"/>
          <w:highlight w:val="none"/>
          <w:lang w:eastAsia="zh-CN"/>
        </w:rPr>
        <w:t>2019年10月16日</w:t>
      </w:r>
      <w:r>
        <w:rPr>
          <w:rFonts w:hint="eastAsia" w:ascii="仿宋_GB2312" w:eastAsia="仿宋_GB2312"/>
          <w:sz w:val="28"/>
          <w:szCs w:val="20"/>
          <w:highlight w:val="none"/>
        </w:rPr>
        <w:t>对估价对象进行了实地查勘</w:t>
      </w:r>
      <w:r>
        <w:rPr>
          <w:rFonts w:hint="default" w:ascii="仿宋_GB2312" w:eastAsia="仿宋_GB2312"/>
          <w:sz w:val="28"/>
          <w:szCs w:val="20"/>
          <w:highlight w:val="none"/>
          <w:lang w:val="en-US"/>
        </w:rPr>
        <w:t>,</w:t>
      </w:r>
      <w:r>
        <w:rPr>
          <w:rFonts w:hint="eastAsia" w:ascii="仿宋_GB2312" w:eastAsia="仿宋_GB2312"/>
          <w:sz w:val="28"/>
          <w:szCs w:val="20"/>
          <w:highlight w:val="none"/>
        </w:rPr>
        <w:t>估价对象位于</w:t>
      </w:r>
      <w:r>
        <w:rPr>
          <w:rFonts w:hint="eastAsia" w:ascii="仿宋_GB2312" w:eastAsia="仿宋_GB2312"/>
          <w:bCs/>
          <w:sz w:val="28"/>
          <w:szCs w:val="20"/>
          <w:highlight w:val="none"/>
          <w:lang w:eastAsia="zh-CN"/>
        </w:rPr>
        <w:t>曲周县利民街中段路东农资建材配送中心2号楼B座西门南第16户</w:t>
      </w:r>
      <w:r>
        <w:rPr>
          <w:rFonts w:hint="eastAsia" w:ascii="仿宋_GB2312" w:eastAsia="仿宋_GB2312"/>
          <w:sz w:val="28"/>
          <w:szCs w:val="20"/>
          <w:highlight w:val="none"/>
        </w:rPr>
        <w:t>，所有权人为</w:t>
      </w:r>
      <w:r>
        <w:rPr>
          <w:rFonts w:hint="eastAsia" w:ascii="仿宋_GB2312" w:eastAsia="仿宋_GB2312"/>
          <w:bCs/>
          <w:sz w:val="28"/>
          <w:szCs w:val="20"/>
          <w:highlight w:val="none"/>
          <w:lang w:val="en-US" w:eastAsia="zh-CN"/>
        </w:rPr>
        <w:t>于海印</w:t>
      </w:r>
      <w:r>
        <w:rPr>
          <w:rFonts w:hint="eastAsia" w:ascii="仿宋_GB2312" w:eastAsia="仿宋_GB2312"/>
          <w:bCs/>
          <w:sz w:val="28"/>
          <w:szCs w:val="20"/>
          <w:highlight w:val="none"/>
        </w:rPr>
        <w:t>，</w:t>
      </w:r>
      <w:r>
        <w:rPr>
          <w:rFonts w:hint="eastAsia" w:ascii="仿宋_GB2312" w:eastAsia="仿宋_GB2312"/>
          <w:sz w:val="28"/>
          <w:szCs w:val="20"/>
          <w:highlight w:val="none"/>
        </w:rPr>
        <w:t>建筑物用途为商住，总建筑面积</w:t>
      </w:r>
      <w:r>
        <w:rPr>
          <w:rFonts w:hint="eastAsia" w:ascii="仿宋_GB2312" w:eastAsia="仿宋_GB2312"/>
          <w:sz w:val="28"/>
          <w:szCs w:val="20"/>
          <w:highlight w:val="none"/>
          <w:lang w:eastAsia="zh-CN"/>
        </w:rPr>
        <w:t>212</w:t>
      </w:r>
      <w:r>
        <w:rPr>
          <w:rFonts w:hint="eastAsia" w:ascii="仿宋_GB2312" w:eastAsia="仿宋_GB2312"/>
          <w:sz w:val="28"/>
          <w:szCs w:val="20"/>
          <w:highlight w:val="none"/>
        </w:rPr>
        <w:t>平方米，</w:t>
      </w:r>
      <w:r>
        <w:rPr>
          <w:rFonts w:hint="eastAsia" w:ascii="仿宋_GB2312" w:eastAsia="仿宋_GB2312"/>
          <w:bCs/>
          <w:sz w:val="28"/>
          <w:szCs w:val="20"/>
          <w:highlight w:val="none"/>
        </w:rPr>
        <w:t>本次估价对象为房地产，估价目的是为贵院在</w:t>
      </w:r>
      <w:r>
        <w:rPr>
          <w:rFonts w:hint="eastAsia" w:ascii="仿宋_GB2312" w:eastAsia="仿宋_GB2312"/>
          <w:bCs/>
          <w:sz w:val="28"/>
          <w:szCs w:val="20"/>
          <w:highlight w:val="none"/>
          <w:lang w:val="en-US" w:eastAsia="zh-CN"/>
        </w:rPr>
        <w:t>执行的申请执行人赵国彬与被执行人于海印民间借贷纠纷</w:t>
      </w:r>
      <w:r>
        <w:rPr>
          <w:rFonts w:hint="eastAsia" w:ascii="仿宋_GB2312" w:eastAsia="仿宋_GB2312"/>
          <w:bCs/>
          <w:sz w:val="28"/>
          <w:szCs w:val="20"/>
          <w:highlight w:val="none"/>
        </w:rPr>
        <w:t>一案中对涉及的估价对象提供价值鉴定意见</w:t>
      </w:r>
      <w:r>
        <w:rPr>
          <w:rFonts w:hint="eastAsia" w:ascii="仿宋_GB2312" w:eastAsia="仿宋_GB2312"/>
          <w:sz w:val="28"/>
          <w:szCs w:val="20"/>
          <w:highlight w:val="none"/>
        </w:rPr>
        <w:t>。</w:t>
      </w:r>
      <w:r>
        <w:rPr>
          <w:rFonts w:hint="eastAsia" w:ascii="仿宋_GB2312" w:eastAsia="仿宋_GB2312"/>
          <w:bCs/>
          <w:sz w:val="28"/>
          <w:szCs w:val="20"/>
          <w:highlight w:val="none"/>
        </w:rPr>
        <w:t>估价人员遵循估价原则，按照估价程序，</w:t>
      </w:r>
      <w:r>
        <w:rPr>
          <w:rFonts w:hint="eastAsia" w:ascii="仿宋_GB2312" w:eastAsia="仿宋_GB2312"/>
          <w:sz w:val="28"/>
          <w:highlight w:val="none"/>
        </w:rPr>
        <w:t>采用适宜的估价方法，</w:t>
      </w:r>
      <w:r>
        <w:rPr>
          <w:rFonts w:hint="eastAsia" w:ascii="仿宋_GB2312" w:eastAsia="仿宋_GB2312"/>
          <w:bCs/>
          <w:sz w:val="28"/>
          <w:szCs w:val="20"/>
          <w:highlight w:val="none"/>
        </w:rPr>
        <w:t>通过科学的测算，</w:t>
      </w:r>
      <w:r>
        <w:rPr>
          <w:rFonts w:hint="eastAsia" w:ascii="仿宋_GB2312" w:eastAsia="仿宋_GB2312"/>
          <w:sz w:val="28"/>
          <w:szCs w:val="20"/>
          <w:highlight w:val="none"/>
        </w:rPr>
        <w:t>确定估价对象于价值时点</w:t>
      </w:r>
      <w:r>
        <w:rPr>
          <w:rFonts w:hint="eastAsia" w:ascii="仿宋_GB2312" w:eastAsia="仿宋_GB2312"/>
          <w:sz w:val="28"/>
          <w:szCs w:val="20"/>
          <w:highlight w:val="none"/>
          <w:lang w:eastAsia="zh-CN"/>
        </w:rPr>
        <w:t>2019年10月16日</w:t>
      </w:r>
      <w:r>
        <w:rPr>
          <w:rFonts w:hint="eastAsia" w:ascii="仿宋_GB2312" w:eastAsia="仿宋_GB2312"/>
          <w:sz w:val="28"/>
          <w:szCs w:val="20"/>
          <w:highlight w:val="none"/>
        </w:rPr>
        <w:t>的评估结果</w:t>
      </w:r>
      <w:r>
        <w:rPr>
          <w:rFonts w:hint="eastAsia" w:ascii="仿宋_GB2312" w:eastAsia="仿宋_GB2312"/>
          <w:bCs/>
          <w:sz w:val="28"/>
          <w:szCs w:val="20"/>
          <w:highlight w:val="none"/>
        </w:rPr>
        <w:t>如下：</w:t>
      </w:r>
    </w:p>
    <w:p>
      <w:pPr>
        <w:adjustRightInd w:val="0"/>
        <w:snapToGrid w:val="0"/>
        <w:spacing w:line="480" w:lineRule="exact"/>
        <w:ind w:firstLine="560" w:firstLineChars="200"/>
        <w:rPr>
          <w:rFonts w:hint="eastAsia" w:ascii="仿宋_GB2312" w:eastAsia="仿宋_GB2312"/>
          <w:sz w:val="28"/>
          <w:szCs w:val="20"/>
          <w:highlight w:val="none"/>
        </w:rPr>
      </w:pP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总建筑面积为</w:t>
      </w:r>
      <w:r>
        <w:rPr>
          <w:rFonts w:hint="eastAsia" w:ascii="仿宋_GB2312" w:eastAsia="仿宋_GB2312"/>
          <w:sz w:val="28"/>
          <w:szCs w:val="20"/>
          <w:highlight w:val="none"/>
          <w:lang w:eastAsia="zh-CN"/>
        </w:rPr>
        <w:t>212</w:t>
      </w:r>
      <w:r>
        <w:rPr>
          <w:rFonts w:hint="eastAsia" w:ascii="仿宋_GB2312" w:eastAsia="仿宋_GB2312"/>
          <w:sz w:val="28"/>
          <w:szCs w:val="20"/>
          <w:highlight w:val="none"/>
        </w:rPr>
        <w:t>平方米</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房地产总价值为</w:t>
      </w:r>
      <w:r>
        <w:rPr>
          <w:rFonts w:hint="eastAsia" w:ascii="仿宋_GB2312" w:eastAsia="仿宋_GB2312"/>
          <w:sz w:val="28"/>
          <w:szCs w:val="20"/>
          <w:highlight w:val="none"/>
          <w:lang w:eastAsia="zh-CN"/>
        </w:rPr>
        <w:t>1101552</w:t>
      </w:r>
      <w:r>
        <w:rPr>
          <w:rFonts w:hint="eastAsia" w:ascii="仿宋_GB2312" w:eastAsia="仿宋_GB2312"/>
          <w:sz w:val="28"/>
          <w:szCs w:val="20"/>
          <w:highlight w:val="none"/>
        </w:rPr>
        <w:t>元</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人民币大写：</w:t>
      </w:r>
      <w:r>
        <w:rPr>
          <w:rFonts w:hint="eastAsia" w:ascii="仿宋_GB2312" w:eastAsia="仿宋_GB2312"/>
          <w:sz w:val="28"/>
          <w:szCs w:val="20"/>
          <w:highlight w:val="none"/>
          <w:lang w:val="en-US" w:eastAsia="zh-CN"/>
        </w:rPr>
        <w:t>壹佰壹拾万零壹仟伍佰伍拾贰元整</w:t>
      </w:r>
      <w:r>
        <w:rPr>
          <w:rFonts w:hint="eastAsia" w:ascii="仿宋_GB2312" w:eastAsia="仿宋_GB2312"/>
          <w:sz w:val="28"/>
          <w:szCs w:val="20"/>
          <w:highlight w:val="none"/>
        </w:rPr>
        <w:t>（总价取整至元）</w:t>
      </w:r>
    </w:p>
    <w:p>
      <w:pPr>
        <w:adjustRightInd w:val="0"/>
        <w:snapToGrid w:val="0"/>
        <w:spacing w:line="480" w:lineRule="exact"/>
        <w:ind w:firstLine="560" w:firstLineChars="200"/>
        <w:rPr>
          <w:rFonts w:hint="eastAsia" w:eastAsia="仿宋_GB2312"/>
          <w:sz w:val="28"/>
          <w:highlight w:val="none"/>
        </w:rPr>
      </w:pPr>
    </w:p>
    <w:p>
      <w:pPr>
        <w:adjustRightInd w:val="0"/>
        <w:snapToGrid w:val="0"/>
        <w:spacing w:line="480" w:lineRule="exact"/>
        <w:ind w:firstLine="560" w:firstLineChars="200"/>
        <w:rPr>
          <w:rFonts w:hint="eastAsia" w:eastAsia="仿宋_GB2312"/>
          <w:sz w:val="28"/>
          <w:highlight w:val="none"/>
        </w:rPr>
      </w:pPr>
      <w:r>
        <w:rPr>
          <w:rFonts w:hint="eastAsia" w:eastAsia="仿宋_GB2312"/>
          <w:sz w:val="28"/>
          <w:highlight w:val="none"/>
        </w:rPr>
        <w:t>报告使用人在使用本报告之前须对报告全文，特别是“估价的假设和限制条件”认真阅读，以免使用不当，造成损失。</w:t>
      </w:r>
    </w:p>
    <w:p>
      <w:pPr>
        <w:adjustRightInd w:val="0"/>
        <w:snapToGrid w:val="0"/>
        <w:spacing w:line="480" w:lineRule="exact"/>
        <w:ind w:firstLine="560" w:firstLineChars="200"/>
        <w:rPr>
          <w:rFonts w:hint="eastAsia" w:eastAsia="仿宋_GB2312"/>
          <w:sz w:val="28"/>
          <w:highlight w:val="none"/>
        </w:rPr>
      </w:pPr>
    </w:p>
    <w:p>
      <w:pPr>
        <w:adjustRightInd w:val="0"/>
        <w:snapToGrid w:val="0"/>
        <w:spacing w:line="480" w:lineRule="exact"/>
        <w:ind w:firstLine="560" w:firstLineChars="200"/>
        <w:rPr>
          <w:rFonts w:hint="eastAsia" w:eastAsia="仿宋_GB2312"/>
          <w:sz w:val="28"/>
          <w:highlight w:val="none"/>
        </w:rPr>
      </w:pPr>
      <w:r>
        <w:rPr>
          <w:rFonts w:hint="eastAsia" w:eastAsia="仿宋_GB2312"/>
          <w:sz w:val="28"/>
          <w:highlight w:val="none"/>
        </w:rPr>
        <w:t>特此函告。</w:t>
      </w:r>
    </w:p>
    <w:p>
      <w:pPr>
        <w:pStyle w:val="4"/>
        <w:adjustRightInd w:val="0"/>
        <w:snapToGrid w:val="0"/>
        <w:spacing w:line="480" w:lineRule="exact"/>
        <w:jc w:val="right"/>
        <w:outlineLvl w:val="0"/>
        <w:rPr>
          <w:rFonts w:hint="eastAsia" w:eastAsia="仿宋_GB2312"/>
          <w:spacing w:val="8"/>
          <w:sz w:val="28"/>
          <w:highlight w:val="none"/>
        </w:rPr>
      </w:pPr>
      <w:r>
        <w:rPr>
          <w:rFonts w:eastAsia="仿宋_GB2312"/>
          <w:spacing w:val="8"/>
          <w:sz w:val="28"/>
          <w:highlight w:val="none"/>
        </w:rPr>
        <w:t>河北新世纪房地产评估经纪有限公司</w:t>
      </w:r>
    </w:p>
    <w:p>
      <w:pPr>
        <w:adjustRightInd w:val="0"/>
        <w:snapToGrid w:val="0"/>
        <w:spacing w:line="480" w:lineRule="exact"/>
        <w:ind w:firstLine="4292" w:firstLineChars="1450"/>
        <w:rPr>
          <w:rFonts w:hint="eastAsia" w:eastAsia="仿宋_GB2312"/>
          <w:spacing w:val="8"/>
          <w:sz w:val="28"/>
          <w:szCs w:val="20"/>
          <w:highlight w:val="none"/>
        </w:rPr>
      </w:pPr>
    </w:p>
    <w:p>
      <w:pPr>
        <w:adjustRightInd w:val="0"/>
        <w:snapToGrid w:val="0"/>
        <w:spacing w:line="480" w:lineRule="exact"/>
        <w:ind w:firstLine="4292" w:firstLineChars="1450"/>
        <w:rPr>
          <w:rFonts w:hint="eastAsia" w:ascii="仿宋_GB2312" w:eastAsia="仿宋_GB2312"/>
          <w:spacing w:val="8"/>
          <w:sz w:val="28"/>
          <w:szCs w:val="20"/>
          <w:highlight w:val="none"/>
        </w:rPr>
      </w:pPr>
      <w:r>
        <w:rPr>
          <w:rFonts w:hint="eastAsia" w:eastAsia="仿宋_GB2312"/>
          <w:spacing w:val="8"/>
          <w:sz w:val="28"/>
          <w:szCs w:val="20"/>
          <w:highlight w:val="none"/>
        </w:rPr>
        <w:t>法定</w:t>
      </w:r>
      <w:r>
        <w:rPr>
          <w:rFonts w:hint="eastAsia" w:ascii="仿宋_GB2312" w:eastAsia="仿宋_GB2312"/>
          <w:spacing w:val="8"/>
          <w:sz w:val="28"/>
          <w:szCs w:val="20"/>
          <w:highlight w:val="none"/>
        </w:rPr>
        <w:t>代表人:</w:t>
      </w:r>
    </w:p>
    <w:p>
      <w:pPr>
        <w:adjustRightInd w:val="0"/>
        <w:snapToGrid w:val="0"/>
        <w:spacing w:line="480" w:lineRule="exact"/>
        <w:ind w:firstLine="4292" w:firstLineChars="1450"/>
        <w:rPr>
          <w:rFonts w:hint="eastAsia" w:ascii="仿宋_GB2312" w:eastAsia="仿宋_GB2312"/>
          <w:spacing w:val="8"/>
          <w:sz w:val="28"/>
          <w:szCs w:val="20"/>
          <w:highlight w:val="none"/>
        </w:rPr>
      </w:pPr>
    </w:p>
    <w:p>
      <w:pPr>
        <w:adjustRightInd w:val="0"/>
        <w:snapToGrid w:val="0"/>
        <w:spacing w:line="480" w:lineRule="exact"/>
        <w:ind w:firstLine="420" w:firstLineChars="200"/>
        <w:jc w:val="right"/>
        <w:rPr>
          <w:rFonts w:hint="eastAsia" w:ascii="仿宋_GB2312" w:eastAsia="仿宋_GB2312"/>
          <w:b/>
          <w:spacing w:val="6"/>
          <w:sz w:val="28"/>
          <w:szCs w:val="28"/>
          <w:highlight w:val="none"/>
        </w:rPr>
      </w:pPr>
      <w:r>
        <w:rPr>
          <w:highlight w:val="none"/>
        </w:rPr>
        <w:t xml:space="preserve">                   </w:t>
      </w:r>
      <w:r>
        <w:rPr>
          <w:rFonts w:hint="eastAsia"/>
          <w:highlight w:val="none"/>
        </w:rPr>
        <w:t xml:space="preserve">                  </w:t>
      </w:r>
      <w:r>
        <w:rPr>
          <w:rFonts w:hint="eastAsia" w:ascii="仿宋_GB2312" w:eastAsia="仿宋_GB2312"/>
          <w:sz w:val="28"/>
          <w:szCs w:val="28"/>
          <w:highlight w:val="none"/>
        </w:rPr>
        <w:t>二〇一九年十月二十五日</w:t>
      </w:r>
    </w:p>
    <w:p>
      <w:pPr>
        <w:spacing w:line="360" w:lineRule="auto"/>
        <w:jc w:val="center"/>
        <w:rPr>
          <w:b/>
          <w:spacing w:val="40"/>
          <w:sz w:val="32"/>
          <w:highlight w:val="none"/>
        </w:rPr>
      </w:pPr>
      <w:r>
        <w:rPr>
          <w:b/>
          <w:spacing w:val="40"/>
          <w:sz w:val="32"/>
          <w:highlight w:val="none"/>
        </w:rPr>
        <w:br w:type="page"/>
      </w:r>
      <w:r>
        <w:rPr>
          <w:b/>
          <w:spacing w:val="40"/>
          <w:sz w:val="32"/>
          <w:highlight w:val="none"/>
        </w:rPr>
        <w:t>估价师声明</w:t>
      </w:r>
    </w:p>
    <w:p>
      <w:pPr>
        <w:adjustRightInd w:val="0"/>
        <w:snapToGrid w:val="0"/>
        <w:spacing w:line="480" w:lineRule="exact"/>
        <w:rPr>
          <w:rFonts w:ascii="仿宋_GB2312" w:eastAsia="仿宋_GB2312"/>
          <w:sz w:val="28"/>
          <w:szCs w:val="20"/>
          <w:highlight w:val="none"/>
        </w:rPr>
      </w:pPr>
      <w:r>
        <w:rPr>
          <w:rFonts w:ascii="仿宋_GB2312" w:eastAsia="仿宋_GB2312"/>
          <w:sz w:val="28"/>
          <w:szCs w:val="20"/>
          <w:highlight w:val="none"/>
        </w:rPr>
        <w:t>我们郑重声明：</w:t>
      </w:r>
    </w:p>
    <w:p>
      <w:pPr>
        <w:adjustRightInd w:val="0"/>
        <w:snapToGrid w:val="0"/>
        <w:spacing w:line="480" w:lineRule="exact"/>
        <w:ind w:firstLine="560" w:firstLineChars="200"/>
        <w:rPr>
          <w:rFonts w:hint="eastAsia" w:ascii="仿宋_GB2312" w:eastAsia="仿宋_GB2312"/>
          <w:sz w:val="28"/>
          <w:szCs w:val="20"/>
          <w:highlight w:val="none"/>
        </w:rPr>
      </w:pPr>
      <w:r>
        <w:rPr>
          <w:rFonts w:ascii="仿宋_GB2312" w:eastAsia="仿宋_GB2312"/>
          <w:sz w:val="28"/>
          <w:szCs w:val="20"/>
          <w:highlight w:val="none"/>
        </w:rPr>
        <w:t>1、我们在本报告中陈述的事实是真实的和准确的</w:t>
      </w:r>
      <w:r>
        <w:rPr>
          <w:rFonts w:hint="eastAsia" w:ascii="仿宋_GB2312" w:eastAsia="仿宋_GB2312"/>
          <w:sz w:val="28"/>
          <w:szCs w:val="20"/>
          <w:highlight w:val="none"/>
        </w:rPr>
        <w:t>。</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2、</w:t>
      </w:r>
      <w:r>
        <w:rPr>
          <w:rFonts w:ascii="仿宋_GB2312" w:eastAsia="仿宋_GB2312"/>
          <w:sz w:val="28"/>
          <w:szCs w:val="20"/>
          <w:highlight w:val="none"/>
        </w:rPr>
        <w:t>本估价报告中的分析、意见和结论是我们自己公正的专业分析、意见和结论，但受到本估价报告中说明的假设和限制条件的限制</w:t>
      </w:r>
      <w:r>
        <w:rPr>
          <w:rFonts w:hint="eastAsia" w:ascii="仿宋_GB2312" w:eastAsia="仿宋_GB2312"/>
          <w:sz w:val="28"/>
          <w:szCs w:val="20"/>
          <w:highlight w:val="none"/>
        </w:rPr>
        <w:t>。</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3</w:t>
      </w:r>
      <w:r>
        <w:rPr>
          <w:rFonts w:ascii="仿宋_GB2312" w:eastAsia="仿宋_GB2312"/>
          <w:sz w:val="28"/>
          <w:szCs w:val="20"/>
          <w:highlight w:val="none"/>
        </w:rPr>
        <w:t>、我们与本估价报告中的估价对象没有利害关系，也与有关当事人没有个人利害关系或偏见</w:t>
      </w:r>
      <w:r>
        <w:rPr>
          <w:rFonts w:hint="eastAsia" w:ascii="仿宋_GB2312" w:eastAsia="仿宋_GB2312"/>
          <w:sz w:val="28"/>
          <w:szCs w:val="20"/>
          <w:highlight w:val="none"/>
        </w:rPr>
        <w:t>。</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4</w:t>
      </w:r>
      <w:r>
        <w:rPr>
          <w:rFonts w:ascii="仿宋_GB2312" w:eastAsia="仿宋_GB2312"/>
          <w:sz w:val="28"/>
          <w:szCs w:val="20"/>
          <w:highlight w:val="none"/>
        </w:rPr>
        <w:t>、我们依照中华人民共和国国家标准《房地产估价规范》GB/T50291-2015进行分析，形成意见和结论，撰写本估价报告。</w:t>
      </w:r>
    </w:p>
    <w:p>
      <w:pPr>
        <w:adjustRightInd w:val="0"/>
        <w:snapToGrid w:val="0"/>
        <w:spacing w:line="480" w:lineRule="exact"/>
        <w:ind w:firstLine="560" w:firstLineChars="200"/>
        <w:rPr>
          <w:rFonts w:ascii="仿宋_GB2312" w:eastAsia="仿宋_GB2312"/>
          <w:sz w:val="28"/>
          <w:szCs w:val="20"/>
          <w:highlight w:val="none"/>
        </w:rPr>
      </w:pPr>
      <w:r>
        <w:rPr>
          <w:rFonts w:ascii="仿宋_GB2312" w:eastAsia="仿宋_GB2312"/>
          <w:sz w:val="28"/>
          <w:szCs w:val="20"/>
          <w:highlight w:val="none"/>
        </w:rPr>
        <w:t>5</w:t>
      </w:r>
      <w:r>
        <w:rPr>
          <w:rFonts w:hint="eastAsia" w:ascii="仿宋_GB2312" w:eastAsia="仿宋_GB2312"/>
          <w:sz w:val="28"/>
          <w:szCs w:val="20"/>
          <w:highlight w:val="none"/>
        </w:rPr>
        <w:t>、本报告估价结果仅作为委托方在本次估价目的下使用，不得做其他用途。未经本估价机构书面同意</w:t>
      </w:r>
      <w:r>
        <w:rPr>
          <w:rFonts w:ascii="仿宋_GB2312" w:eastAsia="仿宋_GB2312"/>
          <w:sz w:val="28"/>
          <w:szCs w:val="20"/>
          <w:highlight w:val="none"/>
        </w:rPr>
        <w:t>,</w:t>
      </w:r>
      <w:r>
        <w:rPr>
          <w:rFonts w:hint="eastAsia" w:ascii="仿宋_GB2312" w:eastAsia="仿宋_GB2312"/>
          <w:sz w:val="28"/>
          <w:szCs w:val="20"/>
          <w:highlight w:val="none"/>
        </w:rPr>
        <w:t>本报告的全部或任何一部分均不得向委托方、报告使用者、报告审查部门之外的单位和个人提供，也不得以任何形式公开发表。</w:t>
      </w:r>
    </w:p>
    <w:p>
      <w:pPr>
        <w:adjustRightInd w:val="0"/>
        <w:snapToGrid w:val="0"/>
        <w:spacing w:line="480" w:lineRule="exact"/>
        <w:ind w:firstLine="560" w:firstLineChars="200"/>
        <w:rPr>
          <w:rFonts w:ascii="仿宋_GB2312" w:eastAsia="仿宋_GB2312"/>
          <w:sz w:val="28"/>
          <w:szCs w:val="20"/>
          <w:highlight w:val="none"/>
        </w:rPr>
      </w:pPr>
      <w:r>
        <w:rPr>
          <w:rFonts w:ascii="仿宋_GB2312" w:eastAsia="仿宋_GB2312"/>
          <w:sz w:val="28"/>
          <w:szCs w:val="20"/>
          <w:highlight w:val="none"/>
        </w:rPr>
        <w:t>6</w:t>
      </w:r>
      <w:r>
        <w:rPr>
          <w:rFonts w:hint="eastAsia" w:ascii="仿宋_GB2312" w:eastAsia="仿宋_GB2312"/>
          <w:sz w:val="28"/>
          <w:szCs w:val="20"/>
          <w:highlight w:val="none"/>
        </w:rPr>
        <w:t>、我们的估价人员已对本估价报告中的估价对象进行了实地勘查，并对勘查的客观性、真实性、公正性承担责任，但估价人员对估价对象的现场勘察仅限于其外观和使用状况</w:t>
      </w:r>
      <w:r>
        <w:rPr>
          <w:rFonts w:hint="eastAsia" w:ascii="Calibri" w:hAnsi="Calibri" w:eastAsia="仿宋_GB2312"/>
          <w:sz w:val="28"/>
          <w:szCs w:val="20"/>
          <w:highlight w:val="none"/>
        </w:rPr>
        <w:t>。</w:t>
      </w:r>
      <w:r>
        <w:rPr>
          <w:rFonts w:hint="eastAsia" w:ascii="仿宋_GB2312" w:eastAsia="仿宋_GB2312"/>
          <w:sz w:val="28"/>
          <w:highlight w:val="none"/>
        </w:rPr>
        <w:t>估价人员不承担对</w:t>
      </w:r>
      <w:r>
        <w:rPr>
          <w:rFonts w:hint="eastAsia" w:ascii="仿宋_GB2312" w:eastAsia="仿宋_GB2312"/>
          <w:sz w:val="28"/>
          <w:szCs w:val="20"/>
          <w:highlight w:val="none"/>
        </w:rPr>
        <w:t>估价对象</w:t>
      </w:r>
      <w:r>
        <w:rPr>
          <w:rFonts w:hint="eastAsia" w:ascii="仿宋_GB2312" w:eastAsia="仿宋_GB2312"/>
          <w:sz w:val="28"/>
          <w:highlight w:val="none"/>
        </w:rPr>
        <w:t>建筑结构、质量等状况进行调查的责任和其他被遮盖、未暴露及难于接触到部分进行检视的责任</w:t>
      </w:r>
      <w:r>
        <w:rPr>
          <w:rFonts w:hint="eastAsia" w:ascii="仿宋_GB2312" w:eastAsia="仿宋_GB2312"/>
          <w:sz w:val="28"/>
          <w:szCs w:val="20"/>
          <w:highlight w:val="none"/>
        </w:rPr>
        <w:t>。</w:t>
      </w:r>
    </w:p>
    <w:p>
      <w:pPr>
        <w:adjustRightInd w:val="0"/>
        <w:snapToGrid w:val="0"/>
        <w:spacing w:line="480" w:lineRule="exact"/>
        <w:ind w:firstLine="560" w:firstLineChars="200"/>
        <w:rPr>
          <w:rFonts w:ascii="仿宋_GB2312" w:eastAsia="仿宋_GB2312"/>
          <w:sz w:val="28"/>
          <w:szCs w:val="20"/>
          <w:highlight w:val="none"/>
        </w:rPr>
      </w:pPr>
      <w:r>
        <w:rPr>
          <w:rFonts w:ascii="仿宋_GB2312" w:eastAsia="仿宋_GB2312"/>
          <w:sz w:val="28"/>
          <w:szCs w:val="20"/>
          <w:highlight w:val="none"/>
        </w:rPr>
        <w:t>7</w:t>
      </w:r>
      <w:r>
        <w:rPr>
          <w:rFonts w:hint="eastAsia" w:ascii="仿宋_GB2312" w:eastAsia="仿宋_GB2312"/>
          <w:sz w:val="28"/>
          <w:szCs w:val="20"/>
          <w:highlight w:val="none"/>
        </w:rPr>
        <w:t>、本估价报告依据委托方提供的相关资料，委托方对其所提供资料的真实性、合法性、完整性负责。因资料失实造成的估价结果有误的，估价机构和估价人员不承担相应的责任。</w:t>
      </w:r>
    </w:p>
    <w:p>
      <w:pPr>
        <w:adjustRightInd w:val="0"/>
        <w:snapToGrid w:val="0"/>
        <w:spacing w:line="480" w:lineRule="exact"/>
        <w:ind w:firstLine="560" w:firstLineChars="200"/>
        <w:rPr>
          <w:rFonts w:hint="eastAsia" w:ascii="仿宋_GB2312" w:eastAsia="仿宋_GB2312"/>
          <w:sz w:val="28"/>
          <w:szCs w:val="20"/>
          <w:highlight w:val="none"/>
        </w:rPr>
      </w:pPr>
      <w:r>
        <w:rPr>
          <w:rFonts w:ascii="仿宋_GB2312" w:eastAsia="仿宋_GB2312"/>
          <w:sz w:val="28"/>
          <w:szCs w:val="20"/>
          <w:highlight w:val="none"/>
        </w:rPr>
        <w:t>8</w:t>
      </w:r>
      <w:r>
        <w:rPr>
          <w:rFonts w:hint="eastAsia" w:ascii="仿宋_GB2312" w:eastAsia="仿宋_GB2312"/>
          <w:sz w:val="28"/>
          <w:szCs w:val="20"/>
          <w:highlight w:val="none"/>
        </w:rPr>
        <w:t>、没有人对本估价报告提供重要专业帮助。</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9</w:t>
      </w:r>
      <w:r>
        <w:rPr>
          <w:rFonts w:ascii="仿宋_GB2312" w:eastAsia="仿宋_GB2312"/>
          <w:sz w:val="28"/>
          <w:szCs w:val="20"/>
          <w:highlight w:val="none"/>
        </w:rPr>
        <w:t>、参加本次评估的注册房地产估价师</w:t>
      </w:r>
      <w:r>
        <w:rPr>
          <w:rFonts w:hint="eastAsia" w:ascii="仿宋_GB2312" w:eastAsia="仿宋_GB2312"/>
          <w:sz w:val="28"/>
          <w:szCs w:val="20"/>
          <w:highlight w:val="none"/>
        </w:rPr>
        <w:t>签字</w:t>
      </w:r>
      <w:r>
        <w:rPr>
          <w:rFonts w:ascii="仿宋_GB2312" w:eastAsia="仿宋_GB2312"/>
          <w:sz w:val="28"/>
          <w:szCs w:val="20"/>
          <w:highlight w:val="none"/>
        </w:rPr>
        <w:t>：</w:t>
      </w:r>
    </w:p>
    <w:tbl>
      <w:tblPr>
        <w:tblStyle w:val="7"/>
        <w:tblW w:w="8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1"/>
        <w:gridCol w:w="1559"/>
        <w:gridCol w:w="3118"/>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1"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r>
              <w:rPr>
                <w:rFonts w:hint="eastAsia" w:ascii="仿宋_GB2312" w:eastAsia="仿宋_GB2312"/>
                <w:sz w:val="28"/>
                <w:szCs w:val="28"/>
                <w:highlight w:val="none"/>
              </w:rPr>
              <w:t>姓  名</w:t>
            </w:r>
          </w:p>
        </w:tc>
        <w:tc>
          <w:tcPr>
            <w:tcW w:w="1559"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r>
              <w:rPr>
                <w:rFonts w:hint="eastAsia" w:ascii="仿宋_GB2312" w:eastAsia="仿宋_GB2312"/>
                <w:sz w:val="28"/>
                <w:szCs w:val="28"/>
                <w:highlight w:val="none"/>
              </w:rPr>
              <w:t>注册号</w:t>
            </w:r>
          </w:p>
        </w:tc>
        <w:tc>
          <w:tcPr>
            <w:tcW w:w="3118"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r>
              <w:rPr>
                <w:rFonts w:hint="eastAsia" w:ascii="仿宋_GB2312" w:eastAsia="仿宋_GB2312"/>
                <w:sz w:val="28"/>
                <w:szCs w:val="28"/>
                <w:highlight w:val="none"/>
              </w:rPr>
              <w:t>签  名</w:t>
            </w:r>
          </w:p>
        </w:tc>
        <w:tc>
          <w:tcPr>
            <w:tcW w:w="2514"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r>
              <w:rPr>
                <w:rFonts w:hint="eastAsia" w:ascii="仿宋_GB2312" w:eastAsia="仿宋_GB2312"/>
                <w:sz w:val="28"/>
                <w:szCs w:val="28"/>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jc w:val="center"/>
        </w:trPr>
        <w:tc>
          <w:tcPr>
            <w:tcW w:w="1151"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r>
              <w:rPr>
                <w:rFonts w:hint="eastAsia" w:ascii="仿宋_GB2312" w:hAnsi="宋体" w:eastAsia="仿宋_GB2312" w:cs="宋体"/>
                <w:sz w:val="28"/>
                <w:szCs w:val="28"/>
                <w:highlight w:val="none"/>
              </w:rPr>
              <w:t>李振禄</w:t>
            </w:r>
          </w:p>
        </w:tc>
        <w:tc>
          <w:tcPr>
            <w:tcW w:w="1559"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r>
              <w:rPr>
                <w:rFonts w:ascii="仿宋_GB2312" w:hAnsi="宋体" w:eastAsia="仿宋_GB2312" w:cs="宋体"/>
                <w:sz w:val="28"/>
                <w:szCs w:val="28"/>
                <w:highlight w:val="none"/>
              </w:rPr>
              <w:t>1320020034</w:t>
            </w:r>
          </w:p>
        </w:tc>
        <w:tc>
          <w:tcPr>
            <w:tcW w:w="3118"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p>
        </w:tc>
        <w:tc>
          <w:tcPr>
            <w:tcW w:w="2514"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lang w:eastAsia="zh-CN"/>
              </w:rPr>
            </w:pPr>
            <w:r>
              <w:rPr>
                <w:rFonts w:hint="eastAsia" w:ascii="仿宋_GB2312" w:hAnsi="宋体" w:eastAsia="仿宋_GB2312" w:cs="宋体"/>
                <w:sz w:val="28"/>
                <w:szCs w:val="28"/>
                <w:highlight w:val="none"/>
                <w:lang w:eastAsia="zh-CN"/>
              </w:rPr>
              <w:t>2019年10月25日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jc w:val="center"/>
        </w:trPr>
        <w:tc>
          <w:tcPr>
            <w:tcW w:w="1151"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r>
              <w:rPr>
                <w:rFonts w:hint="eastAsia" w:ascii="仿宋_GB2312" w:hAnsi="宋体" w:eastAsia="仿宋_GB2312" w:cs="宋体"/>
                <w:sz w:val="28"/>
                <w:szCs w:val="28"/>
                <w:highlight w:val="none"/>
              </w:rPr>
              <w:t>付  媛</w:t>
            </w:r>
          </w:p>
        </w:tc>
        <w:tc>
          <w:tcPr>
            <w:tcW w:w="1559"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r>
              <w:rPr>
                <w:rFonts w:ascii="仿宋_GB2312" w:hAnsi="宋体" w:eastAsia="仿宋_GB2312" w:cs="宋体"/>
                <w:sz w:val="28"/>
                <w:szCs w:val="28"/>
                <w:highlight w:val="none"/>
              </w:rPr>
              <w:t>1320100039</w:t>
            </w:r>
          </w:p>
        </w:tc>
        <w:tc>
          <w:tcPr>
            <w:tcW w:w="3118"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p>
        </w:tc>
        <w:tc>
          <w:tcPr>
            <w:tcW w:w="2514"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lang w:eastAsia="zh-CN"/>
              </w:rPr>
            </w:pPr>
            <w:r>
              <w:rPr>
                <w:rFonts w:hint="eastAsia" w:ascii="仿宋_GB2312" w:hAnsi="宋体" w:eastAsia="仿宋_GB2312" w:cs="宋体"/>
                <w:sz w:val="28"/>
                <w:szCs w:val="28"/>
                <w:highlight w:val="none"/>
                <w:lang w:eastAsia="zh-CN"/>
              </w:rPr>
              <w:t>2019年10月25日</w:t>
            </w:r>
          </w:p>
        </w:tc>
      </w:tr>
    </w:tbl>
    <w:p>
      <w:pPr>
        <w:spacing w:line="360" w:lineRule="auto"/>
        <w:jc w:val="center"/>
        <w:rPr>
          <w:rFonts w:hint="eastAsia"/>
          <w:b/>
          <w:spacing w:val="40"/>
          <w:sz w:val="32"/>
          <w:highlight w:val="none"/>
        </w:rPr>
      </w:pPr>
      <w:r>
        <w:rPr>
          <w:rFonts w:ascii="仿宋_GB2312" w:eastAsia="仿宋_GB2312"/>
          <w:sz w:val="28"/>
          <w:szCs w:val="20"/>
          <w:highlight w:val="none"/>
        </w:rPr>
        <w:br w:type="page"/>
      </w:r>
      <w:r>
        <w:rPr>
          <w:b/>
          <w:spacing w:val="40"/>
          <w:sz w:val="32"/>
          <w:highlight w:val="none"/>
        </w:rPr>
        <w:t>估价的假设和限制条件</w:t>
      </w:r>
    </w:p>
    <w:p>
      <w:pPr>
        <w:spacing w:line="480" w:lineRule="exact"/>
        <w:ind w:left="0" w:leftChars="0" w:firstLine="0" w:firstLineChars="0"/>
        <w:jc w:val="left"/>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（一）一般假设</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rPr>
        <w:t>本报告提出的估价结果，是假设估价对象按照委托方提供的房地产合法用途持续使用、产权完整合法为前提。 </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估价对象在价值时点的房地产市场为公开、平等、自愿的交易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 </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本估价报告依据委托方提供的相关资料，评估设定委托方提供的情况和资料是真实、合法、完整的，估价对象权属无纠纷。估价人员对估价所依据的估价委托人提供的估价对象权属、面积、用途等资料进行了审慎检查和尽职调查，在无理由怀疑其合法性、真实性、准确性和完整性情况下，本报告以估价委托人提供的资料是合法、真实、准确和完整的为假设前提。若上述情况发生变化，需调整估价结果乃至重新估价。  </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价值时点假设，即要求估价结果是估价对象于价值时点当时的房地产市场状况、建筑材料、人工、机械费用下形成的客观合理价值，从价值时点起至估价结果有效期结束时止，设定估价对象房屋状况和房地产市场情形是基本稳定的。 </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本报告估价对象的公共配套设施、水、电及人流、物流交通均与整体物业为不可分割的一体，因此本次估价是以估价对象可享有合理的公共配套设施、水、电及内部交通的使用权益为前提。估价结果包含与房地产不可分割的满足其使用功能的水、电、配套相关辅助设施等。</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（二）未定事项假设</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我们对估价对象的实地查勘仅限于其外观和使用状况，对被遮盖、未暴露及难以接触到的部分，设定估价对象不存在建筑物隐蔽性质量问题和地基质量问题。 </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2、</w:t>
      </w:r>
      <w:r>
        <w:rPr>
          <w:rFonts w:hint="eastAsia" w:ascii="仿宋_GB2312" w:hAnsi="仿宋_GB2312" w:eastAsia="仿宋_GB2312" w:cs="仿宋_GB2312"/>
          <w:sz w:val="28"/>
          <w:szCs w:val="28"/>
          <w:highlight w:val="none"/>
        </w:rPr>
        <w:t>参与本次估价的注册房地产估价师实地查勘未能取得委估建筑物的工程质量报告，亦未对建筑物的质量进行检测，本次估价是假定其建筑物质量达到合格。 </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3、委托方提供的资料中</w:t>
      </w:r>
      <w:r>
        <w:rPr>
          <w:rFonts w:hint="eastAsia" w:ascii="仿宋_GB2312" w:hAnsi="仿宋_GB2312" w:eastAsia="仿宋_GB2312" w:cs="仿宋_GB2312"/>
          <w:sz w:val="28"/>
          <w:szCs w:val="28"/>
          <w:highlight w:val="none"/>
        </w:rPr>
        <w:t>未记载建筑物的建成年份，本次估价建筑物的建成年份以实际调查为准，仅在本报告中使用，不作其他任何用途使用。 </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本报告出具的评估价值</w:t>
      </w:r>
      <w:r>
        <w:rPr>
          <w:rFonts w:hint="eastAsia" w:ascii="仿宋_GB2312" w:hAnsi="仿宋_GB2312" w:eastAsia="仿宋_GB2312" w:cs="仿宋_GB2312"/>
          <w:sz w:val="28"/>
          <w:szCs w:val="28"/>
          <w:highlight w:val="none"/>
          <w:lang w:eastAsia="zh-CN"/>
        </w:rPr>
        <w:t>是</w:t>
      </w:r>
      <w:r>
        <w:rPr>
          <w:rFonts w:hint="eastAsia" w:ascii="仿宋_GB2312" w:hAnsi="仿宋_GB2312" w:eastAsia="仿宋_GB2312" w:cs="仿宋_GB2312"/>
          <w:sz w:val="28"/>
          <w:szCs w:val="28"/>
          <w:highlight w:val="none"/>
        </w:rPr>
        <w:t>为</w:t>
      </w:r>
      <w:r>
        <w:rPr>
          <w:rFonts w:hint="eastAsia" w:ascii="仿宋_GB2312" w:hAnsi="仿宋_GB2312" w:eastAsia="仿宋_GB2312" w:cs="仿宋_GB2312"/>
          <w:sz w:val="28"/>
          <w:szCs w:val="28"/>
          <w:highlight w:val="none"/>
          <w:lang w:eastAsia="zh-CN"/>
        </w:rPr>
        <w:t>河北省曲周县人民</w:t>
      </w:r>
      <w:r>
        <w:rPr>
          <w:rFonts w:hint="eastAsia" w:ascii="仿宋_GB2312" w:hAnsi="仿宋_GB2312" w:eastAsia="仿宋_GB2312" w:cs="仿宋_GB2312"/>
          <w:sz w:val="28"/>
          <w:szCs w:val="28"/>
          <w:highlight w:val="none"/>
        </w:rPr>
        <w:t>法院在执行的申请执行人赵国彬与被执行人于海印民间借贷纠纷一案中</w:t>
      </w:r>
      <w:r>
        <w:rPr>
          <w:rFonts w:hint="eastAsia" w:ascii="仿宋_GB2312" w:hAnsi="仿宋_GB2312" w:eastAsia="仿宋_GB2312" w:cs="仿宋_GB2312"/>
          <w:sz w:val="28"/>
          <w:szCs w:val="28"/>
          <w:highlight w:val="none"/>
          <w:lang w:val="en-US" w:eastAsia="zh-CN"/>
        </w:rPr>
        <w:t>对</w:t>
      </w:r>
      <w:r>
        <w:rPr>
          <w:rFonts w:hint="eastAsia" w:ascii="仿宋_GB2312" w:hAnsi="仿宋_GB2312" w:eastAsia="仿宋_GB2312" w:cs="仿宋_GB2312"/>
          <w:sz w:val="28"/>
          <w:szCs w:val="28"/>
          <w:highlight w:val="none"/>
        </w:rPr>
        <w:t>涉及的估价对象提供价值</w:t>
      </w:r>
      <w:r>
        <w:rPr>
          <w:rFonts w:hint="eastAsia" w:ascii="仿宋_GB2312" w:hAnsi="仿宋_GB2312" w:eastAsia="仿宋_GB2312" w:cs="仿宋_GB2312"/>
          <w:sz w:val="28"/>
          <w:szCs w:val="28"/>
          <w:highlight w:val="none"/>
          <w:lang w:eastAsia="zh-CN"/>
        </w:rPr>
        <w:t>鉴定</w:t>
      </w:r>
      <w:r>
        <w:rPr>
          <w:rFonts w:hint="eastAsia" w:ascii="仿宋_GB2312" w:hAnsi="仿宋_GB2312" w:eastAsia="仿宋_GB2312" w:cs="仿宋_GB2312"/>
          <w:sz w:val="28"/>
          <w:szCs w:val="28"/>
          <w:highlight w:val="none"/>
        </w:rPr>
        <w:t>意见，若至价值时点止，原产权人尚有任何有关估价对象的应缴未缴税费，应按照规定缴纳或从评估价值中相应扣减。 </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评估价值的影响。</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6、</w:t>
      </w:r>
      <w:r>
        <w:rPr>
          <w:rFonts w:hint="eastAsia" w:ascii="仿宋_GB2312" w:hAnsi="仿宋_GB2312" w:eastAsia="仿宋_GB2312" w:cs="仿宋_GB2312"/>
          <w:sz w:val="28"/>
          <w:szCs w:val="28"/>
          <w:highlight w:val="none"/>
        </w:rPr>
        <w:t>本次估价对象由委托方委托有关人员现场指认，若与实际不符，应重新估价。 </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7、估价师现场调查未取得估价对象的抵押相关资料，无法确定是否设定抵押权，本次评估不考虑抵押权对价格的影响。</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（三）背离事实假设</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估价结果未考虑估价对象及其运营企业已承担的债务、或有债务及经营决策失误或市场运作失当对其价值的影响。</w:t>
      </w:r>
    </w:p>
    <w:p>
      <w:pPr>
        <w:spacing w:line="480" w:lineRule="exact"/>
        <w:ind w:firstLine="560" w:firstLineChars="20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（四）不相一致假设</w:t>
      </w:r>
    </w:p>
    <w:p>
      <w:pPr>
        <w:spacing w:line="480" w:lineRule="exact"/>
        <w:ind w:firstLine="560" w:firstLineChars="200"/>
        <w:rPr>
          <w:rFonts w:hint="eastAsia" w:ascii="仿宋_GB2312" w:hAnsi="仿宋" w:eastAsia="仿宋_GB2312"/>
          <w:sz w:val="28"/>
          <w:szCs w:val="28"/>
          <w:highlight w:val="none"/>
          <w:lang w:eastAsia="zh-CN"/>
        </w:rPr>
      </w:pPr>
      <w:r>
        <w:rPr>
          <w:rFonts w:hint="eastAsia" w:ascii="仿宋_GB2312" w:hAnsi="仿宋_GB2312" w:eastAsia="仿宋_GB2312" w:cs="仿宋_GB2312"/>
          <w:sz w:val="28"/>
          <w:szCs w:val="28"/>
          <w:highlight w:val="none"/>
          <w:lang w:eastAsia="zh-CN"/>
        </w:rPr>
        <w:t>无</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（五）依据不足假设</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本次估价委托方仅提供了《评估</w:t>
      </w:r>
      <w:r>
        <w:rPr>
          <w:rFonts w:hint="eastAsia" w:ascii="仿宋_GB2312" w:hAnsi="仿宋_GB2312" w:eastAsia="仿宋_GB2312" w:cs="仿宋_GB2312"/>
          <w:sz w:val="28"/>
          <w:szCs w:val="28"/>
          <w:highlight w:val="none"/>
        </w:rPr>
        <w:t>委托书</w:t>
      </w:r>
      <w:r>
        <w:rPr>
          <w:rFonts w:hint="eastAsia" w:ascii="仿宋_GB2312" w:hAnsi="仿宋_GB2312" w:eastAsia="仿宋_GB2312" w:cs="仿宋_GB2312"/>
          <w:sz w:val="28"/>
          <w:szCs w:val="28"/>
          <w:highlight w:val="none"/>
          <w:lang w:eastAsia="zh-CN"/>
        </w:rPr>
        <w:t>》、《商住楼买卖协议》，未能提供估价对象的其他产权资料，经估价师向有关部门查询，未查询到其他产权证明文件。本次估价以上述资料作为本次估价的前提及估价对象的产权依据、合法数据来源。</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（六）估价报告使用限制</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1、本报告仅用于贵院在执行的申请执行人赵国彬与被执行人于海印民间借贷纠纷一案中对涉及的估价对象提供价值鉴定意见，不得用于其它用途。</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2、本估价结果包括房屋和占用范围内的土地使用权的价值。该土地的使用权若与房屋分割处置，本估价结果无效。</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b w:val="0"/>
          <w:bCs w:val="0"/>
          <w:sz w:val="28"/>
          <w:szCs w:val="28"/>
          <w:highlight w:val="none"/>
        </w:rPr>
        <w:t>3、</w:t>
      </w:r>
      <w:r>
        <w:rPr>
          <w:rFonts w:hint="eastAsia" w:ascii="仿宋_GB2312" w:hAnsi="仿宋_GB2312" w:eastAsia="仿宋_GB2312" w:cs="仿宋_GB2312"/>
          <w:b w:val="0"/>
          <w:bCs w:val="0"/>
          <w:sz w:val="28"/>
          <w:highlight w:val="none"/>
        </w:rPr>
        <w:t>本估价报告自出具之日起壹年内有效。但价值时点后，在报</w:t>
      </w:r>
      <w:r>
        <w:rPr>
          <w:rFonts w:hint="eastAsia" w:ascii="仿宋_GB2312" w:hAnsi="仿宋_GB2312" w:eastAsia="仿宋_GB2312" w:cs="仿宋_GB2312"/>
          <w:sz w:val="28"/>
          <w:highlight w:val="none"/>
        </w:rPr>
        <w:t>告有效期内估价对象的质量及价格标准发生变化，并对估价对象价值产生明显影响时，不能直接使用本估价结果；超过一年，需重新进行估价。</w:t>
      </w:r>
    </w:p>
    <w:p>
      <w:pPr>
        <w:spacing w:line="48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、本报告由河北新世纪房地产评估经纪有限公司负责解释。</w:t>
      </w:r>
    </w:p>
    <w:p>
      <w:pPr>
        <w:pStyle w:val="3"/>
        <w:spacing w:line="480" w:lineRule="exact"/>
        <w:ind w:firstLine="560"/>
        <w:rPr>
          <w:rFonts w:hint="eastAsia" w:ascii="仿宋_GB2312" w:hAnsi="仿宋_GB2312" w:eastAsia="仿宋_GB2312" w:cs="仿宋_GB2312"/>
          <w:sz w:val="28"/>
          <w:highlight w:val="none"/>
        </w:rPr>
      </w:pPr>
      <w:r>
        <w:rPr>
          <w:rFonts w:hint="eastAsia" w:hAnsi="仿宋_GB2312" w:cs="仿宋_GB2312"/>
          <w:sz w:val="28"/>
          <w:highlight w:val="none"/>
          <w:lang w:val="en-US" w:eastAsia="zh-CN"/>
        </w:rPr>
        <w:t>5</w:t>
      </w:r>
      <w:r>
        <w:rPr>
          <w:rFonts w:hint="eastAsia" w:ascii="仿宋_GB2312" w:hAnsi="仿宋_GB2312" w:eastAsia="仿宋_GB2312" w:cs="仿宋_GB2312"/>
          <w:sz w:val="28"/>
          <w:highlight w:val="none"/>
        </w:rPr>
        <w:t>、本报告必须经估价机构加盖公章、注册房地产估价师签字后方可使用，估价机构仅对本报告的原件承担责任，对任何形式的复制件概不认可且不承担责任。</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七</w:t>
      </w:r>
      <w:r>
        <w:rPr>
          <w:rFonts w:hint="eastAsia" w:ascii="仿宋_GB2312" w:hAnsi="仿宋_GB2312" w:eastAsia="仿宋_GB2312" w:cs="仿宋_GB2312"/>
          <w:sz w:val="28"/>
          <w:szCs w:val="28"/>
          <w:highlight w:val="none"/>
        </w:rPr>
        <w:t>）</w:t>
      </w:r>
      <w:r>
        <w:rPr>
          <w:rFonts w:hint="eastAsia" w:ascii="仿宋_GB2312" w:eastAsia="仿宋_GB2312"/>
          <w:sz w:val="28"/>
          <w:szCs w:val="20"/>
          <w:highlight w:val="none"/>
        </w:rPr>
        <w:t>特殊说明</w:t>
      </w:r>
    </w:p>
    <w:p>
      <w:pPr>
        <w:adjustRightInd w:val="0"/>
        <w:snapToGrid w:val="0"/>
        <w:spacing w:line="480" w:lineRule="exact"/>
        <w:ind w:firstLine="560" w:firstLineChars="200"/>
        <w:jc w:val="left"/>
        <w:rPr>
          <w:rFonts w:ascii="仿宋_GB2312" w:eastAsia="仿宋_GB2312"/>
          <w:sz w:val="28"/>
          <w:szCs w:val="20"/>
          <w:highlight w:val="none"/>
        </w:rPr>
      </w:pPr>
      <w:r>
        <w:rPr>
          <w:rFonts w:hint="eastAsia" w:ascii="仿宋_GB2312" w:eastAsia="仿宋_GB2312"/>
          <w:sz w:val="28"/>
          <w:szCs w:val="20"/>
          <w:highlight w:val="none"/>
        </w:rPr>
        <w:t>相关各方收到估价报告后如有异议，请于收到之日起</w:t>
      </w:r>
      <w:r>
        <w:rPr>
          <w:rFonts w:hint="eastAsia" w:ascii="仿宋_GB2312" w:eastAsia="仿宋_GB2312"/>
          <w:sz w:val="28"/>
          <w:szCs w:val="20"/>
          <w:highlight w:val="none"/>
          <w:lang w:val="en-US" w:eastAsia="zh-CN"/>
        </w:rPr>
        <w:t>5</w:t>
      </w:r>
      <w:r>
        <w:rPr>
          <w:rFonts w:hint="eastAsia" w:ascii="仿宋_GB2312" w:eastAsia="仿宋_GB2312"/>
          <w:sz w:val="28"/>
          <w:szCs w:val="20"/>
          <w:highlight w:val="none"/>
        </w:rPr>
        <w:t>日内以书面形式通过</w:t>
      </w:r>
      <w:r>
        <w:rPr>
          <w:rFonts w:hint="eastAsia" w:ascii="仿宋_GB2312" w:eastAsia="仿宋_GB2312"/>
          <w:sz w:val="28"/>
          <w:szCs w:val="20"/>
          <w:highlight w:val="none"/>
          <w:lang w:eastAsia="zh-CN"/>
        </w:rPr>
        <w:t>河北省曲周县人民</w:t>
      </w:r>
      <w:r>
        <w:rPr>
          <w:rFonts w:hint="eastAsia" w:ascii="仿宋_GB2312" w:eastAsia="仿宋_GB2312"/>
          <w:sz w:val="28"/>
          <w:szCs w:val="20"/>
          <w:highlight w:val="none"/>
        </w:rPr>
        <w:t>法院向我公司提出。</w:t>
      </w:r>
    </w:p>
    <w:p>
      <w:pPr>
        <w:adjustRightInd w:val="0"/>
        <w:snapToGrid w:val="0"/>
        <w:spacing w:line="480" w:lineRule="exact"/>
        <w:ind w:firstLine="560" w:firstLineChars="200"/>
        <w:jc w:val="center"/>
        <w:rPr>
          <w:b/>
          <w:bCs/>
          <w:spacing w:val="40"/>
          <w:sz w:val="32"/>
          <w:highlight w:val="none"/>
        </w:rPr>
      </w:pPr>
      <w:r>
        <w:rPr>
          <w:rFonts w:ascii="仿宋_GB2312" w:eastAsia="仿宋_GB2312"/>
          <w:sz w:val="28"/>
          <w:szCs w:val="20"/>
          <w:highlight w:val="none"/>
        </w:rPr>
        <w:br w:type="page"/>
      </w:r>
      <w:r>
        <w:rPr>
          <w:rFonts w:hAnsi="宋体"/>
          <w:b/>
          <w:bCs/>
          <w:spacing w:val="40"/>
          <w:sz w:val="32"/>
          <w:highlight w:val="none"/>
        </w:rPr>
        <w:t>房地产估价结果报告</w:t>
      </w:r>
    </w:p>
    <w:p>
      <w:pPr>
        <w:adjustRightInd w:val="0"/>
        <w:snapToGrid w:val="0"/>
        <w:spacing w:line="480" w:lineRule="exact"/>
        <w:rPr>
          <w:rFonts w:eastAsia="仿宋_GB2312"/>
          <w:b/>
          <w:bCs/>
          <w:sz w:val="28"/>
          <w:highlight w:val="none"/>
        </w:rPr>
      </w:pPr>
      <w:r>
        <w:rPr>
          <w:rFonts w:eastAsia="仿宋_GB2312"/>
          <w:b/>
          <w:bCs/>
          <w:sz w:val="28"/>
          <w:highlight w:val="none"/>
        </w:rPr>
        <w:t xml:space="preserve">一、委托估价方 </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委托单位：</w:t>
      </w:r>
      <w:r>
        <w:rPr>
          <w:rFonts w:hint="eastAsia" w:ascii="仿宋_GB2312" w:eastAsia="仿宋_GB2312"/>
          <w:bCs/>
          <w:sz w:val="28"/>
          <w:szCs w:val="20"/>
          <w:highlight w:val="none"/>
          <w:lang w:eastAsia="zh-CN"/>
        </w:rPr>
        <w:t>河北省曲周县人民</w:t>
      </w:r>
      <w:r>
        <w:rPr>
          <w:rFonts w:hint="eastAsia" w:ascii="仿宋_GB2312" w:eastAsia="仿宋_GB2312"/>
          <w:bCs/>
          <w:sz w:val="28"/>
          <w:szCs w:val="20"/>
          <w:highlight w:val="none"/>
        </w:rPr>
        <w:t>法院</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单位地址：</w:t>
      </w:r>
      <w:r>
        <w:rPr>
          <w:rFonts w:hint="eastAsia" w:ascii="仿宋_GB2312" w:eastAsia="仿宋_GB2312"/>
          <w:sz w:val="28"/>
          <w:szCs w:val="20"/>
          <w:highlight w:val="none"/>
          <w:lang w:eastAsia="zh-CN"/>
        </w:rPr>
        <w:t>邯郸市曲周县公仆路21号</w:t>
      </w:r>
    </w:p>
    <w:p>
      <w:pPr>
        <w:adjustRightInd w:val="0"/>
        <w:snapToGrid w:val="0"/>
        <w:spacing w:line="480" w:lineRule="exact"/>
        <w:rPr>
          <w:rFonts w:eastAsia="仿宋_GB2312"/>
          <w:b/>
          <w:bCs/>
          <w:sz w:val="28"/>
          <w:highlight w:val="none"/>
        </w:rPr>
      </w:pPr>
      <w:r>
        <w:rPr>
          <w:rFonts w:eastAsia="仿宋_GB2312"/>
          <w:b/>
          <w:bCs/>
          <w:sz w:val="28"/>
          <w:highlight w:val="none"/>
        </w:rPr>
        <w:t>二、</w:t>
      </w:r>
      <w:r>
        <w:rPr>
          <w:rFonts w:hint="eastAsia" w:eastAsia="仿宋_GB2312"/>
          <w:b/>
          <w:bCs/>
          <w:sz w:val="28"/>
          <w:highlight w:val="none"/>
        </w:rPr>
        <w:t>房地产估价机构</w:t>
      </w:r>
    </w:p>
    <w:p>
      <w:pPr>
        <w:adjustRightInd w:val="0"/>
        <w:snapToGrid w:val="0"/>
        <w:spacing w:line="480" w:lineRule="exact"/>
        <w:ind w:firstLine="560" w:firstLineChars="200"/>
        <w:rPr>
          <w:rFonts w:ascii="仿宋_GB2312" w:eastAsia="仿宋_GB2312"/>
          <w:sz w:val="28"/>
          <w:szCs w:val="20"/>
          <w:highlight w:val="none"/>
        </w:rPr>
      </w:pPr>
      <w:r>
        <w:rPr>
          <w:rFonts w:ascii="仿宋_GB2312" w:eastAsia="仿宋_GB2312"/>
          <w:sz w:val="28"/>
          <w:szCs w:val="20"/>
          <w:highlight w:val="none"/>
        </w:rPr>
        <w:t>估价机构：河北新世纪房地产评估经纪有限公司</w:t>
      </w:r>
    </w:p>
    <w:p>
      <w:pPr>
        <w:adjustRightInd w:val="0"/>
        <w:snapToGrid w:val="0"/>
        <w:spacing w:line="480" w:lineRule="exact"/>
        <w:ind w:firstLine="560" w:firstLineChars="200"/>
        <w:rPr>
          <w:rFonts w:hint="eastAsia" w:ascii="仿宋_GB2312" w:eastAsia="仿宋_GB2312"/>
          <w:sz w:val="28"/>
          <w:szCs w:val="20"/>
          <w:highlight w:val="none"/>
        </w:rPr>
      </w:pPr>
      <w:r>
        <w:rPr>
          <w:rFonts w:ascii="仿宋_GB2312" w:eastAsia="仿宋_GB2312"/>
          <w:sz w:val="28"/>
          <w:szCs w:val="20"/>
          <w:highlight w:val="none"/>
        </w:rPr>
        <w:t>机构地址：</w:t>
      </w:r>
      <w:r>
        <w:rPr>
          <w:rFonts w:hint="eastAsia" w:ascii="仿宋_GB2312" w:eastAsia="仿宋_GB2312"/>
          <w:sz w:val="28"/>
          <w:szCs w:val="20"/>
          <w:highlight w:val="none"/>
        </w:rPr>
        <w:t>石家庄市槐安西路88号卓达中苑商务大厦D座9层</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资质等级：贰级</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资质</w:t>
      </w:r>
      <w:r>
        <w:rPr>
          <w:rFonts w:ascii="仿宋_GB2312" w:eastAsia="仿宋_GB2312"/>
          <w:sz w:val="28"/>
          <w:szCs w:val="20"/>
          <w:highlight w:val="none"/>
        </w:rPr>
        <w:t>证书</w:t>
      </w:r>
      <w:r>
        <w:rPr>
          <w:rFonts w:hint="eastAsia" w:ascii="仿宋_GB2312" w:eastAsia="仿宋_GB2312"/>
          <w:sz w:val="28"/>
          <w:szCs w:val="20"/>
          <w:highlight w:val="none"/>
        </w:rPr>
        <w:t>编</w:t>
      </w:r>
      <w:r>
        <w:rPr>
          <w:rFonts w:ascii="仿宋_GB2312" w:eastAsia="仿宋_GB2312"/>
          <w:sz w:val="28"/>
          <w:szCs w:val="20"/>
          <w:highlight w:val="none"/>
        </w:rPr>
        <w:t>号：冀建房估（石）17号</w:t>
      </w:r>
    </w:p>
    <w:p>
      <w:pPr>
        <w:adjustRightInd w:val="0"/>
        <w:snapToGrid w:val="0"/>
        <w:spacing w:line="480" w:lineRule="exact"/>
        <w:ind w:firstLine="560" w:firstLineChars="200"/>
        <w:rPr>
          <w:rFonts w:hint="eastAsia" w:ascii="仿宋_GB2312" w:eastAsia="仿宋_GB2312"/>
          <w:sz w:val="28"/>
          <w:szCs w:val="20"/>
          <w:highlight w:val="none"/>
        </w:rPr>
      </w:pPr>
      <w:r>
        <w:rPr>
          <w:rFonts w:ascii="仿宋_GB2312" w:eastAsia="仿宋_GB2312"/>
          <w:sz w:val="28"/>
          <w:szCs w:val="20"/>
          <w:highlight w:val="none"/>
        </w:rPr>
        <w:t>法人代表：</w:t>
      </w:r>
      <w:r>
        <w:rPr>
          <w:rFonts w:hint="eastAsia" w:ascii="仿宋_GB2312" w:eastAsia="仿宋_GB2312"/>
          <w:sz w:val="28"/>
          <w:szCs w:val="20"/>
          <w:highlight w:val="none"/>
        </w:rPr>
        <w:t>李振禄</w:t>
      </w:r>
    </w:p>
    <w:p>
      <w:pPr>
        <w:adjustRightInd w:val="0"/>
        <w:snapToGrid w:val="0"/>
        <w:spacing w:line="480" w:lineRule="exact"/>
        <w:ind w:firstLine="560" w:firstLineChars="200"/>
        <w:rPr>
          <w:rFonts w:hint="eastAsia" w:ascii="仿宋_GB2312" w:eastAsia="仿宋_GB2312"/>
          <w:sz w:val="28"/>
          <w:szCs w:val="20"/>
          <w:highlight w:val="none"/>
          <w:lang w:eastAsia="zh-CN"/>
        </w:rPr>
      </w:pPr>
      <w:r>
        <w:rPr>
          <w:rFonts w:hint="eastAsia" w:ascii="仿宋_GB2312" w:eastAsia="仿宋_GB2312"/>
          <w:sz w:val="28"/>
          <w:szCs w:val="20"/>
          <w:highlight w:val="none"/>
        </w:rPr>
        <w:t>联 系 人：</w:t>
      </w:r>
      <w:r>
        <w:rPr>
          <w:rFonts w:hint="eastAsia" w:ascii="仿宋_GB2312" w:eastAsia="仿宋_GB2312"/>
          <w:sz w:val="28"/>
          <w:szCs w:val="20"/>
          <w:highlight w:val="none"/>
          <w:lang w:eastAsia="zh-CN"/>
        </w:rPr>
        <w:t>孟</w:t>
      </w:r>
      <w:r>
        <w:rPr>
          <w:rFonts w:hint="eastAsia" w:ascii="仿宋_GB2312" w:eastAsia="仿宋_GB2312"/>
          <w:sz w:val="28"/>
          <w:szCs w:val="20"/>
          <w:highlight w:val="none"/>
        </w:rPr>
        <w:t xml:space="preserve">  </w:t>
      </w:r>
      <w:r>
        <w:rPr>
          <w:rFonts w:hint="eastAsia" w:ascii="仿宋_GB2312" w:eastAsia="仿宋_GB2312"/>
          <w:sz w:val="28"/>
          <w:szCs w:val="20"/>
          <w:highlight w:val="none"/>
          <w:lang w:eastAsia="zh-CN"/>
        </w:rPr>
        <w:t>宪</w:t>
      </w:r>
    </w:p>
    <w:p>
      <w:pPr>
        <w:adjustRightInd w:val="0"/>
        <w:snapToGrid w:val="0"/>
        <w:spacing w:line="480" w:lineRule="exact"/>
        <w:ind w:firstLine="560" w:firstLineChars="200"/>
        <w:rPr>
          <w:rFonts w:hint="eastAsia" w:ascii="仿宋_GB2312" w:eastAsia="仿宋_GB2312"/>
          <w:sz w:val="28"/>
          <w:szCs w:val="20"/>
          <w:highlight w:val="none"/>
          <w:lang w:val="en-US" w:eastAsia="zh-CN"/>
        </w:rPr>
      </w:pPr>
      <w:r>
        <w:rPr>
          <w:rFonts w:ascii="仿宋_GB2312" w:eastAsia="仿宋_GB2312"/>
          <w:sz w:val="28"/>
          <w:szCs w:val="20"/>
          <w:highlight w:val="none"/>
        </w:rPr>
        <w:t>联系电话：</w:t>
      </w:r>
      <w:r>
        <w:rPr>
          <w:rFonts w:hint="eastAsia" w:ascii="仿宋_GB2312" w:eastAsia="仿宋_GB2312"/>
          <w:sz w:val="28"/>
          <w:szCs w:val="20"/>
          <w:highlight w:val="none"/>
          <w:lang w:val="en-US" w:eastAsia="zh-CN"/>
        </w:rPr>
        <w:t>17331007613</w:t>
      </w:r>
    </w:p>
    <w:p>
      <w:pPr>
        <w:adjustRightInd w:val="0"/>
        <w:snapToGrid w:val="0"/>
        <w:spacing w:line="480" w:lineRule="exact"/>
        <w:ind w:firstLine="560" w:firstLineChars="200"/>
        <w:rPr>
          <w:rFonts w:hint="eastAsia" w:ascii="仿宋_GB2312" w:eastAsia="仿宋_GB2312"/>
          <w:sz w:val="28"/>
          <w:szCs w:val="20"/>
          <w:highlight w:val="none"/>
        </w:rPr>
      </w:pPr>
      <w:r>
        <w:rPr>
          <w:rFonts w:ascii="仿宋_GB2312" w:eastAsia="仿宋_GB2312"/>
          <w:sz w:val="28"/>
          <w:szCs w:val="20"/>
          <w:highlight w:val="none"/>
        </w:rPr>
        <w:t>邮政编码：050051</w:t>
      </w:r>
    </w:p>
    <w:p>
      <w:pPr>
        <w:adjustRightInd w:val="0"/>
        <w:snapToGrid w:val="0"/>
        <w:spacing w:line="480" w:lineRule="exact"/>
        <w:rPr>
          <w:rFonts w:hint="eastAsia" w:eastAsia="仿宋_GB2312"/>
          <w:b/>
          <w:bCs/>
          <w:sz w:val="28"/>
          <w:highlight w:val="none"/>
        </w:rPr>
      </w:pPr>
      <w:r>
        <w:rPr>
          <w:rFonts w:hint="eastAsia" w:eastAsia="仿宋_GB2312"/>
          <w:b/>
          <w:bCs/>
          <w:sz w:val="28"/>
          <w:highlight w:val="none"/>
        </w:rPr>
        <w:t>三</w:t>
      </w:r>
      <w:r>
        <w:rPr>
          <w:rFonts w:eastAsia="仿宋_GB2312"/>
          <w:b/>
          <w:bCs/>
          <w:sz w:val="28"/>
          <w:highlight w:val="none"/>
        </w:rPr>
        <w:t>、估价目的</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本次估价目的是为</w:t>
      </w:r>
      <w:r>
        <w:rPr>
          <w:rFonts w:hint="eastAsia" w:ascii="仿宋_GB2312" w:eastAsia="仿宋_GB2312"/>
          <w:sz w:val="28"/>
          <w:szCs w:val="20"/>
          <w:highlight w:val="none"/>
          <w:lang w:eastAsia="zh-CN"/>
        </w:rPr>
        <w:t>河北省曲周县人民</w:t>
      </w:r>
      <w:r>
        <w:rPr>
          <w:rFonts w:hint="eastAsia" w:ascii="仿宋_GB2312" w:eastAsia="仿宋_GB2312"/>
          <w:sz w:val="28"/>
          <w:szCs w:val="20"/>
          <w:highlight w:val="none"/>
        </w:rPr>
        <w:t>法院在执行的申请执行人赵国彬与被执行人于海印民间借贷纠纷一案中对涉及的估价对象提供价值鉴定意见。</w:t>
      </w:r>
    </w:p>
    <w:p>
      <w:pPr>
        <w:adjustRightInd w:val="0"/>
        <w:snapToGrid w:val="0"/>
        <w:spacing w:line="480" w:lineRule="exact"/>
        <w:rPr>
          <w:rFonts w:hint="eastAsia" w:eastAsia="仿宋_GB2312"/>
          <w:b/>
          <w:bCs/>
          <w:sz w:val="28"/>
          <w:highlight w:val="none"/>
        </w:rPr>
      </w:pPr>
      <w:r>
        <w:rPr>
          <w:rFonts w:hint="eastAsia" w:eastAsia="仿宋_GB2312"/>
          <w:b/>
          <w:bCs/>
          <w:sz w:val="28"/>
          <w:highlight w:val="none"/>
        </w:rPr>
        <w:t>四</w:t>
      </w:r>
      <w:r>
        <w:rPr>
          <w:rFonts w:eastAsia="仿宋_GB2312"/>
          <w:b/>
          <w:bCs/>
          <w:sz w:val="28"/>
          <w:highlight w:val="none"/>
        </w:rPr>
        <w:t>、估价对象</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1、估价对象</w:t>
      </w:r>
      <w:r>
        <w:rPr>
          <w:rFonts w:hint="eastAsia" w:ascii="仿宋_GB2312" w:eastAsia="仿宋_GB2312"/>
          <w:sz w:val="28"/>
          <w:szCs w:val="20"/>
          <w:highlight w:val="none"/>
          <w:lang w:val="en-US" w:eastAsia="zh-CN"/>
        </w:rPr>
        <w:t>基本</w:t>
      </w:r>
      <w:r>
        <w:rPr>
          <w:rFonts w:hint="eastAsia" w:ascii="仿宋_GB2312" w:eastAsia="仿宋_GB2312"/>
          <w:sz w:val="28"/>
          <w:szCs w:val="20"/>
          <w:highlight w:val="none"/>
        </w:rPr>
        <w:t>状况：</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估价对象位于</w:t>
      </w:r>
      <w:r>
        <w:rPr>
          <w:rFonts w:hint="eastAsia" w:ascii="仿宋_GB2312" w:eastAsia="仿宋_GB2312"/>
          <w:sz w:val="28"/>
          <w:szCs w:val="20"/>
          <w:highlight w:val="none"/>
          <w:lang w:eastAsia="zh-CN"/>
        </w:rPr>
        <w:t>曲周县利民街中段路东农资建材配送中心2号楼B座西门南第16户。</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于</w:t>
      </w:r>
      <w:r>
        <w:rPr>
          <w:rFonts w:hint="eastAsia" w:ascii="仿宋_GB2312" w:eastAsia="仿宋_GB2312"/>
          <w:sz w:val="28"/>
          <w:szCs w:val="20"/>
          <w:highlight w:val="none"/>
          <w:lang w:val="en-US" w:eastAsia="zh-CN"/>
        </w:rPr>
        <w:t>价值</w:t>
      </w:r>
      <w:r>
        <w:rPr>
          <w:rFonts w:hint="eastAsia" w:ascii="仿宋_GB2312" w:eastAsia="仿宋_GB2312"/>
          <w:sz w:val="28"/>
          <w:szCs w:val="20"/>
          <w:highlight w:val="none"/>
        </w:rPr>
        <w:t>时点，估价对象外部装修情况为：外墙涂料。</w:t>
      </w:r>
      <w:r>
        <w:rPr>
          <w:rFonts w:hint="eastAsia" w:ascii="仿宋_GB2312" w:eastAsia="仿宋_GB2312"/>
          <w:sz w:val="28"/>
          <w:szCs w:val="20"/>
          <w:highlight w:val="none"/>
          <w:lang w:val="en-US" w:eastAsia="zh-CN"/>
        </w:rPr>
        <w:t>估价对象</w:t>
      </w:r>
      <w:r>
        <w:rPr>
          <w:rFonts w:hint="eastAsia" w:ascii="仿宋_GB2312" w:eastAsia="仿宋_GB2312"/>
          <w:sz w:val="28"/>
          <w:szCs w:val="20"/>
          <w:highlight w:val="none"/>
        </w:rPr>
        <w:t>内部装修为：一层地砖、墙面壁纸、造型顶，二层地砖、墙体刷白、造型顶，卫生间地砖、墙砖</w:t>
      </w:r>
      <w:r>
        <w:rPr>
          <w:rFonts w:hint="eastAsia" w:ascii="仿宋_GB2312" w:eastAsia="仿宋_GB2312"/>
          <w:sz w:val="28"/>
          <w:szCs w:val="20"/>
          <w:highlight w:val="none"/>
          <w:lang w:eastAsia="zh-CN"/>
        </w:rPr>
        <w:t>。</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该</w:t>
      </w:r>
      <w:r>
        <w:rPr>
          <w:rFonts w:hint="eastAsia" w:ascii="仿宋_GB2312" w:eastAsia="仿宋_GB2312"/>
          <w:sz w:val="28"/>
          <w:szCs w:val="20"/>
          <w:highlight w:val="none"/>
          <w:lang w:eastAsia="zh-CN"/>
        </w:rPr>
        <w:t>区域</w:t>
      </w:r>
      <w:r>
        <w:rPr>
          <w:rFonts w:hint="eastAsia" w:ascii="仿宋_GB2312" w:eastAsia="仿宋_GB2312"/>
          <w:sz w:val="28"/>
          <w:szCs w:val="20"/>
          <w:highlight w:val="none"/>
        </w:rPr>
        <w:t>有多栋</w:t>
      </w:r>
      <w:r>
        <w:rPr>
          <w:rFonts w:hint="eastAsia" w:ascii="仿宋_GB2312" w:eastAsia="仿宋_GB2312"/>
          <w:sz w:val="28"/>
          <w:szCs w:val="20"/>
          <w:highlight w:val="none"/>
          <w:lang w:eastAsia="zh-CN"/>
        </w:rPr>
        <w:t>二</w:t>
      </w:r>
      <w:r>
        <w:rPr>
          <w:rFonts w:hint="eastAsia" w:ascii="仿宋_GB2312" w:eastAsia="仿宋_GB2312"/>
          <w:sz w:val="28"/>
          <w:szCs w:val="20"/>
          <w:highlight w:val="none"/>
        </w:rPr>
        <w:t>层砖混结构楼房</w:t>
      </w:r>
      <w:r>
        <w:rPr>
          <w:rFonts w:hint="eastAsia" w:ascii="仿宋_GB2312" w:eastAsia="仿宋_GB2312"/>
          <w:sz w:val="28"/>
          <w:szCs w:val="20"/>
          <w:highlight w:val="none"/>
          <w:lang w:eastAsia="zh-CN"/>
        </w:rPr>
        <w:t>。</w:t>
      </w:r>
      <w:r>
        <w:rPr>
          <w:rFonts w:hint="eastAsia" w:ascii="仿宋_GB2312" w:eastAsia="仿宋_GB2312"/>
          <w:sz w:val="28"/>
          <w:szCs w:val="20"/>
          <w:highlight w:val="none"/>
          <w:lang w:val="en-US" w:eastAsia="zh-CN"/>
        </w:rPr>
        <w:t>东临金梧桐商城，西临利民街，南临新华路，北临和振兴路。</w:t>
      </w:r>
      <w:r>
        <w:rPr>
          <w:rFonts w:hint="eastAsia" w:ascii="仿宋_GB2312" w:eastAsia="仿宋_GB2312"/>
          <w:sz w:val="28"/>
          <w:szCs w:val="20"/>
          <w:highlight w:val="none"/>
          <w:lang w:eastAsia="zh-CN"/>
        </w:rPr>
        <w:t>估价对象</w:t>
      </w:r>
      <w:r>
        <w:rPr>
          <w:rFonts w:hint="eastAsia" w:ascii="仿宋_GB2312" w:eastAsia="仿宋_GB2312"/>
          <w:sz w:val="28"/>
          <w:szCs w:val="20"/>
          <w:highlight w:val="none"/>
        </w:rPr>
        <w:t>基础设施状况达到“六通”（通路、通上水、通下水、通电、通讯、通暖）。</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lang w:eastAsia="zh-CN"/>
        </w:rPr>
        <w:t>估价对象</w:t>
      </w:r>
      <w:r>
        <w:rPr>
          <w:rFonts w:hint="eastAsia" w:ascii="仿宋_GB2312" w:eastAsia="仿宋_GB2312"/>
          <w:sz w:val="28"/>
          <w:szCs w:val="20"/>
          <w:highlight w:val="none"/>
        </w:rPr>
        <w:t>周边有金梧桐商城、曲周第二实验小学、曲周康乐中医医院、曲周县医院、曲周汽车客运站、人民广场等。</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lang w:val="en-US" w:eastAsia="zh-CN"/>
        </w:rPr>
        <w:t>2</w:t>
      </w:r>
      <w:r>
        <w:rPr>
          <w:rFonts w:hint="eastAsia" w:ascii="仿宋_GB2312" w:eastAsia="仿宋_GB2312"/>
          <w:sz w:val="28"/>
          <w:szCs w:val="20"/>
          <w:highlight w:val="none"/>
        </w:rPr>
        <w:t>、估价对象权益状况：</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待估</w:t>
      </w:r>
      <w:r>
        <w:rPr>
          <w:rFonts w:hint="eastAsia" w:ascii="仿宋_GB2312" w:eastAsia="仿宋_GB2312"/>
          <w:sz w:val="28"/>
          <w:szCs w:val="20"/>
          <w:highlight w:val="none"/>
          <w:lang w:eastAsia="zh-CN"/>
        </w:rPr>
        <w:t>商住楼买卖协议编</w:t>
      </w:r>
      <w:r>
        <w:rPr>
          <w:rFonts w:hint="eastAsia" w:ascii="仿宋_GB2312" w:eastAsia="仿宋_GB2312"/>
          <w:sz w:val="28"/>
          <w:szCs w:val="20"/>
          <w:highlight w:val="none"/>
        </w:rPr>
        <w:t>号为</w:t>
      </w:r>
      <w:r>
        <w:rPr>
          <w:rFonts w:hint="eastAsia" w:ascii="仿宋_GB2312" w:eastAsia="仿宋_GB2312"/>
          <w:sz w:val="28"/>
          <w:szCs w:val="20"/>
          <w:highlight w:val="none"/>
          <w:lang w:eastAsia="zh-CN"/>
        </w:rPr>
        <w:t>109号</w:t>
      </w:r>
      <w:r>
        <w:rPr>
          <w:rFonts w:hint="eastAsia" w:ascii="仿宋_GB2312" w:eastAsia="仿宋_GB2312"/>
          <w:sz w:val="28"/>
          <w:szCs w:val="20"/>
          <w:highlight w:val="none"/>
        </w:rPr>
        <w:t>，房屋所有权人为</w:t>
      </w:r>
      <w:r>
        <w:rPr>
          <w:rFonts w:hint="eastAsia" w:ascii="仿宋_GB2312" w:eastAsia="仿宋_GB2312"/>
          <w:sz w:val="28"/>
          <w:szCs w:val="20"/>
          <w:highlight w:val="none"/>
          <w:lang w:val="en-US" w:eastAsia="zh-CN"/>
        </w:rPr>
        <w:t>于海印</w:t>
      </w:r>
      <w:r>
        <w:rPr>
          <w:rFonts w:hint="eastAsia" w:ascii="仿宋_GB2312" w:eastAsia="仿宋_GB2312"/>
          <w:sz w:val="28"/>
          <w:szCs w:val="20"/>
          <w:highlight w:val="none"/>
          <w:lang w:eastAsia="zh-CN"/>
        </w:rPr>
        <w:t>，</w:t>
      </w:r>
      <w:r>
        <w:rPr>
          <w:rFonts w:hint="eastAsia" w:ascii="仿宋_GB2312" w:eastAsia="仿宋_GB2312"/>
          <w:sz w:val="28"/>
          <w:szCs w:val="20"/>
          <w:highlight w:val="none"/>
        </w:rPr>
        <w:t>建筑面积为</w:t>
      </w:r>
      <w:r>
        <w:rPr>
          <w:rFonts w:hint="eastAsia" w:ascii="仿宋_GB2312" w:eastAsia="仿宋_GB2312"/>
          <w:sz w:val="28"/>
          <w:szCs w:val="20"/>
          <w:highlight w:val="none"/>
          <w:lang w:eastAsia="zh-CN"/>
        </w:rPr>
        <w:t>212</w:t>
      </w:r>
      <w:r>
        <w:rPr>
          <w:rFonts w:hint="eastAsia" w:ascii="仿宋_GB2312" w:eastAsia="仿宋_GB2312"/>
          <w:sz w:val="28"/>
          <w:szCs w:val="20"/>
          <w:highlight w:val="none"/>
        </w:rPr>
        <w:t>平方米。</w:t>
      </w:r>
    </w:p>
    <w:p>
      <w:pPr>
        <w:adjustRightInd w:val="0"/>
        <w:snapToGrid w:val="0"/>
        <w:spacing w:line="480" w:lineRule="exact"/>
        <w:ind w:firstLine="560" w:firstLineChars="200"/>
        <w:rPr>
          <w:rFonts w:hint="eastAsia" w:ascii="仿宋_GB2312" w:eastAsia="仿宋_GB2312"/>
          <w:sz w:val="28"/>
          <w:szCs w:val="20"/>
          <w:highlight w:val="none"/>
          <w:lang w:val="en-US" w:eastAsia="zh-CN"/>
        </w:rPr>
      </w:pPr>
      <w:r>
        <w:rPr>
          <w:rFonts w:hint="eastAsia" w:ascii="仿宋_GB2312" w:eastAsia="仿宋_GB2312"/>
          <w:sz w:val="28"/>
          <w:szCs w:val="20"/>
          <w:highlight w:val="none"/>
        </w:rPr>
        <w:t>在</w:t>
      </w:r>
      <w:r>
        <w:rPr>
          <w:rFonts w:hint="eastAsia" w:ascii="仿宋_GB2312" w:eastAsia="仿宋_GB2312"/>
          <w:sz w:val="28"/>
          <w:szCs w:val="20"/>
          <w:highlight w:val="none"/>
          <w:lang w:val="en-US" w:eastAsia="zh-CN"/>
        </w:rPr>
        <w:t>价值时点</w:t>
      </w:r>
      <w:r>
        <w:rPr>
          <w:rFonts w:hint="eastAsia" w:ascii="仿宋_GB2312" w:eastAsia="仿宋_GB2312"/>
          <w:sz w:val="28"/>
          <w:szCs w:val="20"/>
          <w:highlight w:val="none"/>
        </w:rPr>
        <w:t>，估价对象</w:t>
      </w:r>
      <w:r>
        <w:rPr>
          <w:rFonts w:hint="eastAsia" w:ascii="仿宋_GB2312" w:eastAsia="仿宋_GB2312"/>
          <w:sz w:val="28"/>
          <w:szCs w:val="20"/>
          <w:highlight w:val="none"/>
          <w:lang w:val="en-US" w:eastAsia="zh-CN"/>
        </w:rPr>
        <w:t>未租赁</w:t>
      </w:r>
      <w:r>
        <w:rPr>
          <w:rFonts w:hint="eastAsia" w:ascii="仿宋_GB2312" w:eastAsia="仿宋_GB2312"/>
          <w:sz w:val="28"/>
          <w:szCs w:val="20"/>
          <w:highlight w:val="none"/>
        </w:rPr>
        <w:t>。</w:t>
      </w:r>
    </w:p>
    <w:p>
      <w:pPr>
        <w:adjustRightInd w:val="0"/>
        <w:snapToGrid w:val="0"/>
        <w:spacing w:line="480" w:lineRule="exact"/>
        <w:ind w:firstLine="560" w:firstLineChars="200"/>
        <w:rPr>
          <w:rFonts w:hint="eastAsia" w:ascii="仿宋_GB2312" w:eastAsia="仿宋_GB2312"/>
          <w:sz w:val="28"/>
          <w:szCs w:val="20"/>
          <w:highlight w:val="none"/>
          <w:lang w:val="en-US" w:eastAsia="zh-CN"/>
        </w:rPr>
      </w:pPr>
      <w:r>
        <w:rPr>
          <w:rFonts w:hint="eastAsia" w:ascii="仿宋_GB2312" w:eastAsia="仿宋_GB2312"/>
          <w:sz w:val="28"/>
          <w:szCs w:val="20"/>
          <w:highlight w:val="none"/>
          <w:lang w:val="en-US" w:eastAsia="zh-CN"/>
        </w:rPr>
        <w:t>3、</w:t>
      </w:r>
      <w:r>
        <w:rPr>
          <w:rFonts w:hint="eastAsia" w:ascii="仿宋_GB2312" w:eastAsia="仿宋_GB2312"/>
          <w:sz w:val="28"/>
          <w:szCs w:val="20"/>
          <w:highlight w:val="none"/>
        </w:rPr>
        <w:t>估价对象</w:t>
      </w:r>
      <w:r>
        <w:rPr>
          <w:rFonts w:hint="eastAsia" w:ascii="仿宋_GB2312" w:eastAsia="仿宋_GB2312"/>
          <w:sz w:val="28"/>
          <w:szCs w:val="20"/>
          <w:highlight w:val="none"/>
          <w:lang w:val="en-US" w:eastAsia="zh-CN"/>
        </w:rPr>
        <w:t>概况</w:t>
      </w:r>
      <w:r>
        <w:rPr>
          <w:rFonts w:hint="eastAsia" w:ascii="仿宋_GB2312" w:eastAsia="仿宋_GB2312"/>
          <w:sz w:val="28"/>
          <w:szCs w:val="20"/>
          <w:highlight w:val="none"/>
        </w:rPr>
        <w:t>：</w:t>
      </w:r>
    </w:p>
    <w:p>
      <w:pPr>
        <w:adjustRightInd w:val="0"/>
        <w:snapToGrid w:val="0"/>
        <w:spacing w:before="120" w:beforeLines="50"/>
        <w:jc w:val="center"/>
        <w:rPr>
          <w:rFonts w:hint="eastAsia" w:ascii="仿宋_GB2312" w:hAnsi="仿宋_GB2312" w:eastAsia="仿宋_GB2312" w:cs="仿宋_GB2312"/>
          <w:sz w:val="28"/>
          <w:szCs w:val="20"/>
          <w:highlight w:val="none"/>
          <w:lang w:val="en-US" w:eastAsia="zh-CN"/>
        </w:rPr>
      </w:pPr>
      <w:r>
        <w:rPr>
          <w:rFonts w:hint="eastAsia" w:ascii="仿宋_GB2312" w:hAnsi="仿宋_GB2312" w:eastAsia="仿宋_GB2312" w:cs="仿宋_GB2312"/>
          <w:sz w:val="28"/>
          <w:szCs w:val="20"/>
          <w:highlight w:val="none"/>
          <w:lang w:val="en-US" w:eastAsia="zh-CN"/>
        </w:rPr>
        <w:tab/>
      </w:r>
      <w:r>
        <w:rPr>
          <w:rFonts w:hint="eastAsia" w:ascii="仿宋_GB2312" w:eastAsia="仿宋_GB2312"/>
          <w:sz w:val="28"/>
          <w:szCs w:val="28"/>
          <w:highlight w:val="none"/>
        </w:rPr>
        <w:t>表1-</w:t>
      </w:r>
      <w:r>
        <w:rPr>
          <w:rFonts w:hint="eastAsia" w:ascii="仿宋_GB2312" w:eastAsia="仿宋_GB2312"/>
          <w:sz w:val="28"/>
          <w:szCs w:val="28"/>
          <w:highlight w:val="none"/>
          <w:lang w:val="en-US" w:eastAsia="zh-CN"/>
        </w:rPr>
        <w:t xml:space="preserve">1  </w:t>
      </w:r>
      <w:r>
        <w:rPr>
          <w:rFonts w:ascii="仿宋_GB2312" w:eastAsia="仿宋_GB2312"/>
          <w:sz w:val="28"/>
          <w:szCs w:val="28"/>
          <w:highlight w:val="none"/>
        </w:rPr>
        <w:t>房产</w:t>
      </w:r>
      <w:r>
        <w:rPr>
          <w:rFonts w:hint="eastAsia" w:ascii="仿宋_GB2312" w:eastAsia="仿宋_GB2312"/>
          <w:sz w:val="28"/>
          <w:szCs w:val="28"/>
          <w:highlight w:val="none"/>
          <w:lang w:val="en-US" w:eastAsia="zh-CN"/>
        </w:rPr>
        <w:t>概况</w:t>
      </w:r>
      <w:r>
        <w:rPr>
          <w:rFonts w:hint="eastAsia" w:ascii="仿宋_GB2312" w:eastAsia="仿宋_GB2312"/>
          <w:sz w:val="28"/>
          <w:szCs w:val="28"/>
          <w:highlight w:val="none"/>
        </w:rPr>
        <w:t>表</w:t>
      </w:r>
    </w:p>
    <w:tbl>
      <w:tblPr>
        <w:tblStyle w:val="8"/>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1"/>
        <w:gridCol w:w="1"/>
        <w:gridCol w:w="2130"/>
        <w:gridCol w:w="2"/>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132"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eastAsia="zh-CN"/>
              </w:rPr>
              <w:t>商住楼买卖协议</w:t>
            </w:r>
            <w:r>
              <w:rPr>
                <w:rFonts w:hint="eastAsia" w:ascii="仿宋_GB2312" w:hAnsi="宋体" w:eastAsia="仿宋_GB2312" w:cs="宋体"/>
                <w:color w:val="000000"/>
                <w:kern w:val="0"/>
                <w:sz w:val="18"/>
                <w:szCs w:val="18"/>
                <w:highlight w:val="none"/>
              </w:rPr>
              <w:t>编号</w:t>
            </w:r>
          </w:p>
        </w:tc>
        <w:tc>
          <w:tcPr>
            <w:tcW w:w="2132" w:type="dxa"/>
            <w:gridSpan w:val="2"/>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eastAsia="zh-CN"/>
              </w:rPr>
              <w:t>109号</w:t>
            </w:r>
          </w:p>
        </w:tc>
        <w:tc>
          <w:tcPr>
            <w:tcW w:w="2132" w:type="dxa"/>
            <w:gridSpan w:val="2"/>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房屋所有人</w:t>
            </w:r>
          </w:p>
        </w:tc>
        <w:tc>
          <w:tcPr>
            <w:tcW w:w="2130"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于海印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132"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名称</w:t>
            </w:r>
          </w:p>
        </w:tc>
        <w:tc>
          <w:tcPr>
            <w:tcW w:w="2132" w:type="dxa"/>
            <w:gridSpan w:val="2"/>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于海印名下房产</w:t>
            </w:r>
          </w:p>
        </w:tc>
        <w:tc>
          <w:tcPr>
            <w:tcW w:w="2132" w:type="dxa"/>
            <w:gridSpan w:val="2"/>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共有情况</w:t>
            </w:r>
          </w:p>
        </w:tc>
        <w:tc>
          <w:tcPr>
            <w:tcW w:w="2130"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132"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建筑结构</w:t>
            </w:r>
          </w:p>
        </w:tc>
        <w:tc>
          <w:tcPr>
            <w:tcW w:w="2132" w:type="dxa"/>
            <w:gridSpan w:val="2"/>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砖混</w:t>
            </w:r>
          </w:p>
        </w:tc>
        <w:tc>
          <w:tcPr>
            <w:tcW w:w="2132" w:type="dxa"/>
            <w:gridSpan w:val="2"/>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rPr>
              <w:t>建筑面积（平方米）</w:t>
            </w:r>
          </w:p>
        </w:tc>
        <w:tc>
          <w:tcPr>
            <w:tcW w:w="2130"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132"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用途</w:t>
            </w:r>
          </w:p>
        </w:tc>
        <w:tc>
          <w:tcPr>
            <w:tcW w:w="2131"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商住</w:t>
            </w:r>
          </w:p>
        </w:tc>
        <w:tc>
          <w:tcPr>
            <w:tcW w:w="2131" w:type="dxa"/>
            <w:gridSpan w:val="2"/>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建成年代</w:t>
            </w:r>
          </w:p>
        </w:tc>
        <w:tc>
          <w:tcPr>
            <w:tcW w:w="2132" w:type="dxa"/>
            <w:gridSpan w:val="2"/>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132"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耐用年限（年）</w:t>
            </w:r>
          </w:p>
        </w:tc>
        <w:tc>
          <w:tcPr>
            <w:tcW w:w="2132" w:type="dxa"/>
            <w:gridSpan w:val="2"/>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50</w:t>
            </w:r>
          </w:p>
        </w:tc>
        <w:tc>
          <w:tcPr>
            <w:tcW w:w="2132" w:type="dxa"/>
            <w:gridSpan w:val="2"/>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已使用年限（年）</w:t>
            </w:r>
          </w:p>
        </w:tc>
        <w:tc>
          <w:tcPr>
            <w:tcW w:w="2130"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132"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层数</w:t>
            </w:r>
          </w:p>
        </w:tc>
        <w:tc>
          <w:tcPr>
            <w:tcW w:w="2132" w:type="dxa"/>
            <w:gridSpan w:val="2"/>
            <w:vAlign w:val="center"/>
          </w:tcPr>
          <w:p>
            <w:pPr>
              <w:widowControl/>
              <w:spacing w:line="240" w:lineRule="atLeast"/>
              <w:jc w:val="center"/>
              <w:rPr>
                <w:rFonts w:hint="eastAsia" w:ascii="仿宋_GB2312" w:hAnsi="宋体" w:eastAsia="仿宋_GB2312" w:cs="宋体"/>
                <w:color w:val="000000"/>
                <w:kern w:val="0"/>
                <w:sz w:val="18"/>
                <w:szCs w:val="18"/>
                <w:highlight w:val="none"/>
              </w:rPr>
            </w:pPr>
            <w:r>
              <w:rPr>
                <w:rFonts w:hint="eastAsia" w:ascii="仿宋_GB2312" w:hAnsi="宋体" w:eastAsia="仿宋_GB2312" w:cs="宋体"/>
                <w:color w:val="000000"/>
                <w:kern w:val="0"/>
                <w:sz w:val="18"/>
                <w:szCs w:val="18"/>
                <w:highlight w:val="none"/>
              </w:rPr>
              <w:t>1-2/2</w:t>
            </w:r>
          </w:p>
        </w:tc>
        <w:tc>
          <w:tcPr>
            <w:tcW w:w="2132" w:type="dxa"/>
            <w:gridSpan w:val="2"/>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物业维护</w:t>
            </w:r>
          </w:p>
        </w:tc>
        <w:tc>
          <w:tcPr>
            <w:tcW w:w="2130"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132"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房屋坐落</w:t>
            </w:r>
          </w:p>
        </w:tc>
        <w:tc>
          <w:tcPr>
            <w:tcW w:w="6394" w:type="dxa"/>
            <w:gridSpan w:val="5"/>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eastAsia="zh-CN"/>
              </w:rPr>
              <w:t>曲周县利民街中段路东农资建材配送中心2号楼B座西门南第16户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132"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基础设施</w:t>
            </w:r>
          </w:p>
        </w:tc>
        <w:tc>
          <w:tcPr>
            <w:tcW w:w="2132" w:type="dxa"/>
            <w:gridSpan w:val="2"/>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rPr>
              <w:t>水电暖齐全</w:t>
            </w:r>
          </w:p>
        </w:tc>
        <w:tc>
          <w:tcPr>
            <w:tcW w:w="2132" w:type="dxa"/>
            <w:gridSpan w:val="2"/>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电梯</w:t>
            </w:r>
          </w:p>
        </w:tc>
        <w:tc>
          <w:tcPr>
            <w:tcW w:w="2130"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132"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装修情况</w:t>
            </w:r>
          </w:p>
        </w:tc>
        <w:tc>
          <w:tcPr>
            <w:tcW w:w="6394" w:type="dxa"/>
            <w:gridSpan w:val="5"/>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rPr>
              <w:t>一层地砖、墙面壁纸、造型顶，二层地砖、墙体刷白、造型顶，卫生间地砖、墙砖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132"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周边配套</w:t>
            </w:r>
          </w:p>
        </w:tc>
        <w:tc>
          <w:tcPr>
            <w:tcW w:w="6394" w:type="dxa"/>
            <w:gridSpan w:val="5"/>
            <w:vAlign w:val="center"/>
          </w:tcPr>
          <w:p>
            <w:pPr>
              <w:widowControl/>
              <w:numPr>
                <w:ilvl w:val="0"/>
                <w:numId w:val="0"/>
              </w:numPr>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金梧桐商城、曲周第二实验小学、曲周康乐中医医院、曲周县医院、曲周汽车客运站、人民广场等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132" w:type="dxa"/>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他项权利情况</w:t>
            </w:r>
          </w:p>
        </w:tc>
        <w:tc>
          <w:tcPr>
            <w:tcW w:w="6394" w:type="dxa"/>
            <w:gridSpan w:val="5"/>
            <w:vAlign w:val="center"/>
          </w:tcPr>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r>
              <w:rPr>
                <w:rFonts w:hint="eastAsia" w:ascii="仿宋_GB2312" w:hAnsi="宋体" w:eastAsia="仿宋_GB2312" w:cs="宋体"/>
                <w:color w:val="000000"/>
                <w:kern w:val="0"/>
                <w:sz w:val="18"/>
                <w:szCs w:val="18"/>
                <w:highlight w:val="none"/>
                <w:lang w:val="en-US" w:eastAsia="zh-CN"/>
              </w:rPr>
              <w:t>无</w:t>
            </w:r>
          </w:p>
        </w:tc>
      </w:tr>
    </w:tbl>
    <w:p>
      <w:pPr>
        <w:widowControl/>
        <w:spacing w:line="240" w:lineRule="atLeast"/>
        <w:jc w:val="center"/>
        <w:rPr>
          <w:rFonts w:hint="eastAsia" w:ascii="仿宋_GB2312" w:hAnsi="宋体" w:eastAsia="仿宋_GB2312" w:cs="宋体"/>
          <w:color w:val="000000"/>
          <w:kern w:val="0"/>
          <w:sz w:val="18"/>
          <w:szCs w:val="18"/>
          <w:highlight w:val="none"/>
          <w:lang w:val="en-US" w:eastAsia="zh-CN"/>
        </w:rPr>
      </w:pPr>
    </w:p>
    <w:p>
      <w:pPr>
        <w:adjustRightInd w:val="0"/>
        <w:snapToGrid w:val="0"/>
        <w:spacing w:line="480" w:lineRule="exact"/>
        <w:rPr>
          <w:rFonts w:hint="eastAsia" w:eastAsia="仿宋_GB2312"/>
          <w:b/>
          <w:bCs/>
          <w:sz w:val="28"/>
          <w:highlight w:val="none"/>
        </w:rPr>
      </w:pPr>
      <w:r>
        <w:rPr>
          <w:rFonts w:eastAsia="仿宋_GB2312"/>
          <w:b/>
          <w:bCs/>
          <w:sz w:val="28"/>
          <w:highlight w:val="none"/>
        </w:rPr>
        <w:t>五、</w:t>
      </w:r>
      <w:r>
        <w:rPr>
          <w:rFonts w:hint="eastAsia" w:eastAsia="仿宋_GB2312"/>
          <w:b/>
          <w:bCs/>
          <w:sz w:val="28"/>
          <w:highlight w:val="none"/>
        </w:rPr>
        <w:t>价值</w:t>
      </w:r>
      <w:r>
        <w:rPr>
          <w:rFonts w:eastAsia="仿宋_GB2312"/>
          <w:b/>
          <w:bCs/>
          <w:sz w:val="28"/>
          <w:highlight w:val="none"/>
        </w:rPr>
        <w:t>时点</w:t>
      </w:r>
    </w:p>
    <w:p>
      <w:pPr>
        <w:adjustRightInd w:val="0"/>
        <w:snapToGrid w:val="0"/>
        <w:spacing w:line="480" w:lineRule="exact"/>
        <w:ind w:firstLine="560" w:firstLineChars="200"/>
        <w:rPr>
          <w:rFonts w:hint="eastAsia" w:ascii="仿宋_GB2312" w:eastAsia="仿宋_GB2312"/>
          <w:sz w:val="28"/>
          <w:szCs w:val="20"/>
          <w:highlight w:val="none"/>
          <w:lang w:eastAsia="zh-CN"/>
        </w:rPr>
      </w:pPr>
      <w:r>
        <w:rPr>
          <w:rFonts w:hint="eastAsia" w:ascii="仿宋_GB2312" w:eastAsia="仿宋_GB2312"/>
          <w:sz w:val="28"/>
          <w:szCs w:val="20"/>
          <w:highlight w:val="none"/>
          <w:lang w:eastAsia="zh-CN"/>
        </w:rPr>
        <w:t>2019年10月16日</w:t>
      </w:r>
    </w:p>
    <w:p>
      <w:pPr>
        <w:adjustRightInd w:val="0"/>
        <w:snapToGrid w:val="0"/>
        <w:spacing w:line="480" w:lineRule="exact"/>
        <w:rPr>
          <w:rFonts w:hint="eastAsia" w:eastAsia="仿宋_GB2312"/>
          <w:sz w:val="28"/>
          <w:highlight w:val="none"/>
        </w:rPr>
      </w:pPr>
      <w:r>
        <w:rPr>
          <w:rFonts w:eastAsia="仿宋_GB2312"/>
          <w:b/>
          <w:bCs/>
          <w:sz w:val="28"/>
          <w:highlight w:val="none"/>
        </w:rPr>
        <w:t>六、价值</w:t>
      </w:r>
      <w:r>
        <w:rPr>
          <w:rFonts w:hint="eastAsia" w:eastAsia="仿宋_GB2312"/>
          <w:b/>
          <w:bCs/>
          <w:sz w:val="28"/>
          <w:highlight w:val="none"/>
        </w:rPr>
        <w:t>类型</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本次评估采用的是公开市场价格标准，本报告提供的房地产价格是指估价对象在现状合法利用条件下，于价值时点</w:t>
      </w:r>
      <w:r>
        <w:rPr>
          <w:rFonts w:hint="eastAsia" w:ascii="仿宋_GB2312" w:eastAsia="仿宋_GB2312"/>
          <w:sz w:val="28"/>
          <w:szCs w:val="20"/>
          <w:highlight w:val="none"/>
          <w:lang w:eastAsia="zh-CN"/>
        </w:rPr>
        <w:t>2019年10月16日</w:t>
      </w:r>
      <w:r>
        <w:rPr>
          <w:rFonts w:hint="eastAsia" w:ascii="仿宋_GB2312" w:eastAsia="仿宋_GB2312"/>
          <w:sz w:val="28"/>
          <w:szCs w:val="20"/>
          <w:highlight w:val="none"/>
        </w:rPr>
        <w:t>，符合估价的假设和限制条件下的房地产公开市场价格。</w:t>
      </w:r>
    </w:p>
    <w:p>
      <w:pPr>
        <w:adjustRightInd w:val="0"/>
        <w:snapToGrid w:val="0"/>
        <w:spacing w:line="480" w:lineRule="exact"/>
        <w:rPr>
          <w:rFonts w:eastAsia="仿宋_GB2312"/>
          <w:b/>
          <w:bCs/>
          <w:sz w:val="28"/>
          <w:highlight w:val="none"/>
        </w:rPr>
      </w:pPr>
      <w:r>
        <w:rPr>
          <w:rFonts w:hint="eastAsia" w:eastAsia="仿宋_GB2312"/>
          <w:b/>
          <w:bCs/>
          <w:sz w:val="28"/>
          <w:highlight w:val="none"/>
        </w:rPr>
        <w:t>七</w:t>
      </w:r>
      <w:r>
        <w:rPr>
          <w:rFonts w:eastAsia="仿宋_GB2312"/>
          <w:b/>
          <w:bCs/>
          <w:sz w:val="28"/>
          <w:highlight w:val="none"/>
        </w:rPr>
        <w:t>、估价原则</w:t>
      </w:r>
    </w:p>
    <w:p>
      <w:pPr>
        <w:adjustRightInd w:val="0"/>
        <w:snapToGrid w:val="0"/>
        <w:spacing w:line="480" w:lineRule="exact"/>
        <w:ind w:firstLine="560" w:firstLineChars="200"/>
        <w:rPr>
          <w:rFonts w:ascii="仿宋_GB2312" w:eastAsia="仿宋_GB2312"/>
          <w:sz w:val="28"/>
          <w:szCs w:val="20"/>
          <w:highlight w:val="none"/>
        </w:rPr>
      </w:pPr>
      <w:r>
        <w:rPr>
          <w:rFonts w:ascii="仿宋_GB2312" w:eastAsia="仿宋_GB2312"/>
          <w:sz w:val="28"/>
          <w:szCs w:val="20"/>
          <w:highlight w:val="none"/>
        </w:rPr>
        <w:t>本估价报告在遵守客观公正、科学、合理的基本原则前提下，结合评估目的对委估房产价格进行评估。具体遵循以下原则：</w:t>
      </w:r>
    </w:p>
    <w:p>
      <w:pPr>
        <w:adjustRightInd w:val="0"/>
        <w:snapToGrid w:val="0"/>
        <w:spacing w:line="480" w:lineRule="exact"/>
        <w:ind w:firstLine="560" w:firstLineChars="200"/>
        <w:rPr>
          <w:rFonts w:ascii="仿宋_GB2312" w:eastAsia="仿宋_GB2312"/>
          <w:sz w:val="28"/>
          <w:szCs w:val="20"/>
          <w:highlight w:val="none"/>
        </w:rPr>
      </w:pPr>
      <w:r>
        <w:rPr>
          <w:rFonts w:ascii="仿宋_GB2312" w:eastAsia="仿宋_GB2312"/>
          <w:sz w:val="28"/>
          <w:szCs w:val="20"/>
          <w:highlight w:val="none"/>
        </w:rPr>
        <w:t>1</w:t>
      </w:r>
      <w:r>
        <w:rPr>
          <w:rFonts w:hint="eastAsia" w:ascii="仿宋_GB2312" w:eastAsia="仿宋_GB2312"/>
          <w:sz w:val="28"/>
          <w:szCs w:val="20"/>
          <w:highlight w:val="none"/>
        </w:rPr>
        <w:t>、独立、客观、公正原则</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独立、客观、公正原则是房地产估价的最高行为准则。独立原则要求估价机构本身应当是一个不依赖他人、不受他人束缚的独立机构；要求估价机构和估价人员与估价对象及相关当事人没有利害关系；要求估价机构和估价人员在估价中不应受外部因素的影响，不屈从于外部压力，完全凭借自己的专业知识、经验和良心进行估价。所谓客观，是要求估价机构和估价人员不带着自己的好恶、情感和偏见，完全从实际出发，按照事物的本来面目去估价。所谓公正，是要求估价机构和估价人员在估价中应公平、正直，不偏袒任何一方。因此，遵循独立、客观、公正原则的核心，是估价机构和估价人员应站在中立的立场上，评估出一个对各方当事人来说都是公平合理的价值。</w:t>
      </w:r>
    </w:p>
    <w:p>
      <w:pPr>
        <w:adjustRightInd w:val="0"/>
        <w:snapToGrid w:val="0"/>
        <w:spacing w:line="480" w:lineRule="exact"/>
        <w:ind w:firstLine="560" w:firstLineChars="200"/>
        <w:rPr>
          <w:rFonts w:ascii="仿宋_GB2312" w:eastAsia="仿宋_GB2312"/>
          <w:sz w:val="28"/>
          <w:szCs w:val="20"/>
          <w:highlight w:val="none"/>
        </w:rPr>
      </w:pPr>
      <w:r>
        <w:rPr>
          <w:rFonts w:ascii="仿宋_GB2312" w:eastAsia="仿宋_GB2312"/>
          <w:sz w:val="28"/>
          <w:szCs w:val="20"/>
          <w:highlight w:val="none"/>
        </w:rPr>
        <w:t>2</w:t>
      </w:r>
      <w:r>
        <w:rPr>
          <w:rFonts w:hint="eastAsia" w:ascii="仿宋_GB2312" w:eastAsia="仿宋_GB2312"/>
          <w:sz w:val="28"/>
          <w:szCs w:val="20"/>
          <w:highlight w:val="none"/>
        </w:rPr>
        <w:t>、合法原则</w:t>
      </w:r>
    </w:p>
    <w:p>
      <w:pPr>
        <w:adjustRightInd w:val="0"/>
        <w:snapToGrid w:val="0"/>
        <w:spacing w:line="480" w:lineRule="exact"/>
        <w:ind w:firstLine="560" w:firstLineChars="200"/>
        <w:rPr>
          <w:rFonts w:ascii="仿宋_GB2312" w:eastAsia="仿宋_GB2312"/>
          <w:sz w:val="28"/>
          <w:szCs w:val="20"/>
          <w:highlight w:val="none"/>
        </w:rPr>
      </w:pPr>
      <w:r>
        <w:rPr>
          <w:rFonts w:hint="eastAsia" w:ascii="仿宋_GB2312" w:eastAsia="仿宋_GB2312"/>
          <w:sz w:val="28"/>
          <w:szCs w:val="20"/>
          <w:highlight w:val="none"/>
        </w:rPr>
        <w:t>遵循合法原则，首先要求房地产估价应以估价对象的合法权益为前提进行。合法权益包括合法产权、合法使用、合法处分等方面。遵循合法原则，具体来说有下列几个方面：在合法产权方面，应以房地产权属证书和有关证件为依据；在合法使用方面，应以城市规划、土地用途管制等为依据；在合法处分方面，应以法律、法规或合同等允许的处分方式为依据；在其他方面，如评估出的价格必须符合国家的价格政策。</w:t>
      </w:r>
    </w:p>
    <w:p>
      <w:pPr>
        <w:adjustRightInd w:val="0"/>
        <w:snapToGrid w:val="0"/>
        <w:spacing w:line="480" w:lineRule="exact"/>
        <w:ind w:firstLine="560" w:firstLineChars="200"/>
        <w:rPr>
          <w:rFonts w:ascii="仿宋_GB2312" w:eastAsia="仿宋_GB2312"/>
          <w:sz w:val="28"/>
          <w:szCs w:val="20"/>
          <w:highlight w:val="none"/>
        </w:rPr>
      </w:pPr>
      <w:r>
        <w:rPr>
          <w:rFonts w:ascii="仿宋_GB2312" w:eastAsia="仿宋_GB2312"/>
          <w:sz w:val="28"/>
          <w:szCs w:val="20"/>
          <w:highlight w:val="none"/>
        </w:rPr>
        <w:t>3</w:t>
      </w:r>
      <w:r>
        <w:rPr>
          <w:rFonts w:hint="eastAsia" w:ascii="仿宋_GB2312" w:eastAsia="仿宋_GB2312"/>
          <w:sz w:val="28"/>
          <w:szCs w:val="20"/>
          <w:highlight w:val="none"/>
        </w:rPr>
        <w:t>、最高最佳使用原则</w:t>
      </w:r>
    </w:p>
    <w:p>
      <w:pPr>
        <w:adjustRightInd w:val="0"/>
        <w:snapToGrid w:val="0"/>
        <w:spacing w:line="480" w:lineRule="exact"/>
        <w:ind w:firstLine="560" w:firstLineChars="200"/>
        <w:rPr>
          <w:rFonts w:ascii="仿宋_GB2312" w:eastAsia="仿宋_GB2312"/>
          <w:sz w:val="28"/>
          <w:szCs w:val="20"/>
          <w:highlight w:val="none"/>
        </w:rPr>
      </w:pPr>
      <w:r>
        <w:rPr>
          <w:rFonts w:hint="eastAsia" w:ascii="仿宋_GB2312" w:eastAsia="仿宋_GB2312"/>
          <w:sz w:val="28"/>
          <w:szCs w:val="20"/>
          <w:highlight w:val="none"/>
        </w:rPr>
        <w:t>所谓最高最佳使用，要求房地产估价应以估价对象的最高最佳使用为前提进行。它是指法律上允许，技术上可能，经济上可行，经过充分合理的论证，能使估价对象的价值达到最大的一种最可能的使用。</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4</w:t>
      </w:r>
      <w:r>
        <w:rPr>
          <w:rFonts w:ascii="仿宋_GB2312" w:eastAsia="仿宋_GB2312"/>
          <w:sz w:val="28"/>
          <w:szCs w:val="20"/>
          <w:highlight w:val="none"/>
        </w:rPr>
        <w:t>、</w:t>
      </w:r>
      <w:r>
        <w:rPr>
          <w:rFonts w:hint="eastAsia" w:ascii="仿宋_GB2312" w:eastAsia="仿宋_GB2312"/>
          <w:sz w:val="28"/>
          <w:szCs w:val="20"/>
          <w:highlight w:val="none"/>
        </w:rPr>
        <w:t>替代原则</w:t>
      </w:r>
    </w:p>
    <w:p>
      <w:pPr>
        <w:adjustRightInd w:val="0"/>
        <w:snapToGrid w:val="0"/>
        <w:spacing w:line="480" w:lineRule="exact"/>
        <w:ind w:firstLine="560" w:firstLineChars="200"/>
        <w:rPr>
          <w:rFonts w:ascii="仿宋_GB2312" w:eastAsia="仿宋_GB2312"/>
          <w:sz w:val="28"/>
          <w:szCs w:val="20"/>
          <w:highlight w:val="none"/>
        </w:rPr>
      </w:pPr>
      <w:r>
        <w:rPr>
          <w:rFonts w:hint="eastAsia" w:ascii="仿宋_GB2312" w:eastAsia="仿宋_GB2312"/>
          <w:sz w:val="28"/>
          <w:szCs w:val="20"/>
          <w:highlight w:val="none"/>
        </w:rPr>
        <w:t>替代原则要求房地产估价结果不得明显偏离类似房地产在同等条件下的正常价格。类似房地产是指与估价对象处在同一供求范围内，并在用途、规模、档次、建筑结构等方面与估价对象相同或相近的房地产。同一供求范围是指与估价对象相同或相近的房地产所处的区域范围。</w:t>
      </w:r>
    </w:p>
    <w:p>
      <w:pPr>
        <w:adjustRightInd w:val="0"/>
        <w:snapToGrid w:val="0"/>
        <w:spacing w:line="480" w:lineRule="exact"/>
        <w:ind w:firstLine="560" w:firstLineChars="200"/>
        <w:rPr>
          <w:rFonts w:ascii="仿宋_GB2312" w:eastAsia="仿宋_GB2312"/>
          <w:sz w:val="28"/>
          <w:szCs w:val="20"/>
          <w:highlight w:val="none"/>
        </w:rPr>
      </w:pPr>
      <w:r>
        <w:rPr>
          <w:rFonts w:ascii="仿宋_GB2312" w:eastAsia="仿宋_GB2312"/>
          <w:sz w:val="28"/>
          <w:szCs w:val="20"/>
          <w:highlight w:val="none"/>
        </w:rPr>
        <w:t>5</w:t>
      </w:r>
      <w:r>
        <w:rPr>
          <w:rFonts w:hint="eastAsia" w:ascii="仿宋_GB2312" w:eastAsia="仿宋_GB2312"/>
          <w:sz w:val="28"/>
          <w:szCs w:val="20"/>
          <w:highlight w:val="none"/>
        </w:rPr>
        <w:t>、价值时点原则</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价值时点原则要求房地产估价结果应是估价对象在价值时点上的客观合理价格或价值。估价不是求取估价对象在所有时间上的价格，而是求取估价对象在某一时间上的价格，而这一时间不是估价人员可以随意假定的，必须依据估价目的来确定，这一时点即是价值时点。</w:t>
      </w:r>
    </w:p>
    <w:p>
      <w:pPr>
        <w:adjustRightInd w:val="0"/>
        <w:snapToGrid w:val="0"/>
        <w:spacing w:line="480" w:lineRule="exact"/>
        <w:ind w:firstLine="560" w:firstLineChars="200"/>
        <w:rPr>
          <w:rFonts w:ascii="仿宋_GB2312" w:eastAsia="仿宋_GB2312"/>
          <w:sz w:val="28"/>
          <w:szCs w:val="20"/>
          <w:highlight w:val="none"/>
        </w:rPr>
      </w:pPr>
      <w:r>
        <w:rPr>
          <w:rFonts w:hint="eastAsia" w:ascii="仿宋_GB2312" w:eastAsia="仿宋_GB2312"/>
          <w:sz w:val="28"/>
          <w:szCs w:val="20"/>
          <w:highlight w:val="none"/>
        </w:rPr>
        <w:t>6、谨慎原则</w:t>
      </w:r>
    </w:p>
    <w:p>
      <w:pPr>
        <w:wordWrap w:val="0"/>
        <w:adjustRightInd w:val="0"/>
        <w:snapToGrid w:val="0"/>
        <w:spacing w:line="480" w:lineRule="exact"/>
        <w:ind w:firstLine="560" w:firstLineChars="200"/>
        <w:rPr>
          <w:rFonts w:ascii="仿宋_GB2312" w:eastAsia="仿宋_GB2312"/>
          <w:sz w:val="28"/>
          <w:szCs w:val="20"/>
          <w:highlight w:val="none"/>
        </w:rPr>
      </w:pPr>
      <w:r>
        <w:rPr>
          <w:rFonts w:hint="eastAsia" w:ascii="仿宋_GB2312" w:eastAsia="仿宋_GB2312"/>
          <w:sz w:val="28"/>
          <w:szCs w:val="20"/>
          <w:highlight w:val="none"/>
        </w:rPr>
        <w:t>指评估价值应为在充分考虑导致估价对象价值或价格偏低的因素，慎重考虑导致估价对象价值或价格偏高的因素下的价值或价格。</w:t>
      </w:r>
    </w:p>
    <w:p>
      <w:pPr>
        <w:adjustRightInd w:val="0"/>
        <w:snapToGrid w:val="0"/>
        <w:spacing w:before="120" w:beforeLines="50" w:after="120" w:afterLines="50"/>
        <w:rPr>
          <w:rFonts w:hint="eastAsia" w:eastAsia="仿宋_GB2312"/>
          <w:b/>
          <w:sz w:val="28"/>
          <w:highlight w:val="none"/>
        </w:rPr>
      </w:pPr>
      <w:r>
        <w:rPr>
          <w:rFonts w:hint="eastAsia" w:eastAsia="仿宋_GB2312"/>
          <w:b/>
          <w:sz w:val="28"/>
          <w:highlight w:val="none"/>
        </w:rPr>
        <w:t>八</w:t>
      </w:r>
      <w:r>
        <w:rPr>
          <w:rFonts w:eastAsia="仿宋_GB2312"/>
          <w:b/>
          <w:sz w:val="28"/>
          <w:highlight w:val="none"/>
        </w:rPr>
        <w:t>、估价依据</w:t>
      </w:r>
    </w:p>
    <w:p>
      <w:pPr>
        <w:adjustRightInd w:val="0"/>
        <w:snapToGrid w:val="0"/>
        <w:spacing w:line="46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1、法律、法规及技术规范、约束性文件：</w:t>
      </w:r>
    </w:p>
    <w:p>
      <w:pPr>
        <w:adjustRightInd w:val="0"/>
        <w:snapToGrid w:val="0"/>
        <w:spacing w:line="46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w:t>
      </w:r>
      <w:r>
        <w:rPr>
          <w:rFonts w:ascii="仿宋_GB2312" w:eastAsia="仿宋_GB2312"/>
          <w:sz w:val="28"/>
          <w:szCs w:val="20"/>
          <w:highlight w:val="none"/>
        </w:rPr>
        <w:t>1</w:t>
      </w:r>
      <w:r>
        <w:rPr>
          <w:rFonts w:hint="eastAsia" w:ascii="仿宋_GB2312" w:eastAsia="仿宋_GB2312"/>
          <w:sz w:val="28"/>
          <w:szCs w:val="20"/>
          <w:highlight w:val="none"/>
        </w:rPr>
        <w:t>）</w:t>
      </w:r>
      <w:r>
        <w:rPr>
          <w:rFonts w:ascii="仿宋_GB2312" w:eastAsia="仿宋_GB2312"/>
          <w:sz w:val="28"/>
          <w:szCs w:val="20"/>
          <w:highlight w:val="none"/>
        </w:rPr>
        <w:t>《中华人民共和国城市房地产管理法》</w:t>
      </w:r>
    </w:p>
    <w:p>
      <w:pPr>
        <w:adjustRightInd w:val="0"/>
        <w:snapToGrid w:val="0"/>
        <w:spacing w:line="46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w:t>
      </w:r>
      <w:r>
        <w:rPr>
          <w:rFonts w:ascii="仿宋_GB2312" w:eastAsia="仿宋_GB2312"/>
          <w:sz w:val="28"/>
          <w:szCs w:val="20"/>
          <w:highlight w:val="none"/>
        </w:rPr>
        <w:t>2</w:t>
      </w:r>
      <w:r>
        <w:rPr>
          <w:rFonts w:hint="eastAsia" w:ascii="仿宋_GB2312" w:eastAsia="仿宋_GB2312"/>
          <w:sz w:val="28"/>
          <w:szCs w:val="20"/>
          <w:highlight w:val="none"/>
        </w:rPr>
        <w:t>）</w:t>
      </w:r>
      <w:r>
        <w:rPr>
          <w:rFonts w:ascii="仿宋_GB2312" w:eastAsia="仿宋_GB2312"/>
          <w:sz w:val="28"/>
          <w:szCs w:val="20"/>
          <w:highlight w:val="none"/>
        </w:rPr>
        <w:t>《中华人民共和国土地管理法》</w:t>
      </w:r>
    </w:p>
    <w:p>
      <w:pPr>
        <w:adjustRightInd w:val="0"/>
        <w:snapToGrid w:val="0"/>
        <w:spacing w:line="46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（3）《</w:t>
      </w:r>
      <w:r>
        <w:rPr>
          <w:rFonts w:ascii="仿宋_GB2312" w:eastAsia="仿宋_GB2312"/>
          <w:sz w:val="28"/>
          <w:szCs w:val="20"/>
          <w:highlight w:val="none"/>
        </w:rPr>
        <w:t>中华人民共和国物权法》</w:t>
      </w:r>
    </w:p>
    <w:p>
      <w:pPr>
        <w:adjustRightInd w:val="0"/>
        <w:snapToGrid w:val="0"/>
        <w:spacing w:line="46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（4）《河北省建筑工程技术经济指标》</w:t>
      </w:r>
    </w:p>
    <w:p>
      <w:pPr>
        <w:adjustRightInd w:val="0"/>
        <w:snapToGrid w:val="0"/>
        <w:spacing w:line="46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（5）</w:t>
      </w:r>
      <w:r>
        <w:rPr>
          <w:rFonts w:ascii="仿宋_GB2312" w:eastAsia="仿宋_GB2312"/>
          <w:sz w:val="28"/>
          <w:szCs w:val="20"/>
          <w:highlight w:val="none"/>
        </w:rPr>
        <w:t>《河北省房屋评估计价暂行办法》</w:t>
      </w:r>
    </w:p>
    <w:p>
      <w:pPr>
        <w:adjustRightInd w:val="0"/>
        <w:snapToGrid w:val="0"/>
        <w:spacing w:line="46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（6）</w:t>
      </w:r>
      <w:r>
        <w:rPr>
          <w:rFonts w:ascii="仿宋_GB2312" w:eastAsia="仿宋_GB2312"/>
          <w:sz w:val="28"/>
          <w:szCs w:val="20"/>
          <w:highlight w:val="none"/>
        </w:rPr>
        <w:t>《河北省建筑工程预算定额》</w:t>
      </w:r>
    </w:p>
    <w:p>
      <w:pPr>
        <w:adjustRightInd w:val="0"/>
        <w:snapToGrid w:val="0"/>
        <w:spacing w:line="46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（7）</w:t>
      </w:r>
      <w:r>
        <w:rPr>
          <w:rFonts w:ascii="仿宋_GB2312" w:eastAsia="仿宋_GB2312"/>
          <w:sz w:val="28"/>
          <w:szCs w:val="20"/>
          <w:highlight w:val="none"/>
        </w:rPr>
        <w:t>《河北省建筑工程综合费用定额》</w:t>
      </w:r>
    </w:p>
    <w:p>
      <w:pPr>
        <w:adjustRightInd w:val="0"/>
        <w:snapToGrid w:val="0"/>
        <w:spacing w:line="46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（8）</w:t>
      </w:r>
      <w:r>
        <w:rPr>
          <w:rFonts w:ascii="仿宋_GB2312" w:eastAsia="仿宋_GB2312"/>
          <w:sz w:val="28"/>
          <w:szCs w:val="20"/>
          <w:highlight w:val="none"/>
        </w:rPr>
        <w:t>《全国统一安装工程预算定额河北省单位估价表》</w:t>
      </w:r>
    </w:p>
    <w:p>
      <w:pPr>
        <w:adjustRightInd w:val="0"/>
        <w:snapToGrid w:val="0"/>
        <w:spacing w:line="46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（9）</w:t>
      </w:r>
      <w:r>
        <w:rPr>
          <w:rFonts w:ascii="仿宋_GB2312" w:eastAsia="仿宋_GB2312"/>
          <w:sz w:val="28"/>
          <w:szCs w:val="20"/>
          <w:highlight w:val="none"/>
        </w:rPr>
        <w:t>《河北省安装工程费用定额》</w:t>
      </w:r>
    </w:p>
    <w:p>
      <w:pPr>
        <w:adjustRightInd w:val="0"/>
        <w:snapToGrid w:val="0"/>
        <w:spacing w:line="46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（10）</w:t>
      </w:r>
      <w:r>
        <w:rPr>
          <w:rFonts w:ascii="仿宋_GB2312" w:eastAsia="仿宋_GB2312"/>
          <w:sz w:val="28"/>
          <w:szCs w:val="20"/>
          <w:highlight w:val="none"/>
        </w:rPr>
        <w:t>中华人民共和国国家标准《房地产估价规范》GB/T50291-2015</w:t>
      </w:r>
    </w:p>
    <w:p>
      <w:pPr>
        <w:adjustRightInd w:val="0"/>
        <w:snapToGrid w:val="0"/>
        <w:spacing w:line="46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（11）《中华人民共和国资产评估法》（中华人民共和国主席令第46号）</w:t>
      </w:r>
    </w:p>
    <w:p>
      <w:pPr>
        <w:adjustRightInd w:val="0"/>
        <w:snapToGrid w:val="0"/>
        <w:spacing w:line="460" w:lineRule="exact"/>
        <w:ind w:firstLine="560" w:firstLineChars="200"/>
        <w:rPr>
          <w:rFonts w:hint="eastAsia" w:ascii="仿宋_GB2312" w:eastAsia="仿宋_GB2312"/>
          <w:sz w:val="28"/>
          <w:szCs w:val="20"/>
          <w:highlight w:val="none"/>
          <w:lang w:val="en-US" w:eastAsia="zh-CN"/>
        </w:rPr>
      </w:pPr>
      <w:r>
        <w:rPr>
          <w:rFonts w:hint="eastAsia" w:ascii="仿宋_GB2312" w:eastAsia="仿宋_GB2312"/>
          <w:sz w:val="28"/>
          <w:szCs w:val="20"/>
          <w:highlight w:val="none"/>
        </w:rPr>
        <w:t>（1</w:t>
      </w:r>
      <w:r>
        <w:rPr>
          <w:rFonts w:hint="eastAsia" w:ascii="仿宋_GB2312" w:eastAsia="仿宋_GB2312"/>
          <w:sz w:val="28"/>
          <w:szCs w:val="20"/>
          <w:highlight w:val="none"/>
          <w:lang w:val="en-US" w:eastAsia="zh-CN"/>
        </w:rPr>
        <w:t>2</w:t>
      </w:r>
      <w:r>
        <w:rPr>
          <w:rFonts w:hint="eastAsia" w:ascii="仿宋_GB2312" w:eastAsia="仿宋_GB2312"/>
          <w:sz w:val="28"/>
          <w:szCs w:val="20"/>
          <w:highlight w:val="none"/>
        </w:rPr>
        <w:t>）</w:t>
      </w:r>
      <w:r>
        <w:rPr>
          <w:rFonts w:hint="eastAsia" w:ascii="仿宋_GB2312" w:eastAsia="仿宋_GB2312"/>
          <w:sz w:val="28"/>
          <w:szCs w:val="20"/>
          <w:highlight w:val="none"/>
          <w:lang w:eastAsia="zh-CN"/>
        </w:rPr>
        <w:t>《</w:t>
      </w:r>
      <w:r>
        <w:rPr>
          <w:rFonts w:hint="eastAsia" w:ascii="仿宋_GB2312" w:eastAsia="仿宋_GB2312"/>
          <w:sz w:val="28"/>
          <w:szCs w:val="20"/>
          <w:highlight w:val="none"/>
          <w:lang w:val="en-US" w:eastAsia="zh-CN"/>
        </w:rPr>
        <w:t>中华人民共和国最高人民法院司法解释</w:t>
      </w:r>
      <w:r>
        <w:rPr>
          <w:rFonts w:hint="eastAsia" w:ascii="仿宋_GB2312" w:eastAsia="仿宋_GB2312"/>
          <w:sz w:val="28"/>
          <w:szCs w:val="20"/>
          <w:highlight w:val="none"/>
          <w:lang w:eastAsia="zh-CN"/>
        </w:rPr>
        <w:t>》（法</w:t>
      </w:r>
      <w:r>
        <w:rPr>
          <w:rFonts w:hint="eastAsia" w:ascii="仿宋_GB2312" w:eastAsia="仿宋_GB2312"/>
          <w:sz w:val="28"/>
          <w:szCs w:val="20"/>
          <w:highlight w:val="none"/>
          <w:lang w:val="en-US" w:eastAsia="zh-CN"/>
        </w:rPr>
        <w:t>释（2018）15号</w:t>
      </w:r>
      <w:r>
        <w:rPr>
          <w:rFonts w:hint="eastAsia" w:ascii="仿宋_GB2312" w:eastAsia="仿宋_GB2312"/>
          <w:sz w:val="28"/>
          <w:szCs w:val="20"/>
          <w:highlight w:val="none"/>
          <w:lang w:eastAsia="zh-CN"/>
        </w:rPr>
        <w:t>）</w:t>
      </w:r>
    </w:p>
    <w:p>
      <w:pPr>
        <w:adjustRightInd w:val="0"/>
        <w:snapToGrid w:val="0"/>
        <w:spacing w:line="46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2、委托方提供的资料</w:t>
      </w:r>
    </w:p>
    <w:p>
      <w:pPr>
        <w:tabs>
          <w:tab w:val="left" w:pos="6871"/>
        </w:tabs>
        <w:autoSpaceDE w:val="0"/>
        <w:autoSpaceDN w:val="0"/>
        <w:adjustRightInd w:val="0"/>
        <w:snapToGrid w:val="0"/>
        <w:spacing w:line="460" w:lineRule="exact"/>
        <w:ind w:firstLine="560" w:firstLineChars="200"/>
        <w:textAlignment w:val="bottom"/>
        <w:rPr>
          <w:rFonts w:hint="eastAsia" w:ascii="仿宋_GB2312" w:hAnsi="仿宋" w:eastAsia="仿宋_GB2312"/>
          <w:sz w:val="28"/>
          <w:szCs w:val="28"/>
          <w:highlight w:val="none"/>
        </w:rPr>
      </w:pPr>
      <w:r>
        <w:rPr>
          <w:rFonts w:hint="eastAsia" w:ascii="仿宋_GB2312" w:hAnsi="仿宋" w:eastAsia="仿宋_GB2312"/>
          <w:sz w:val="28"/>
          <w:szCs w:val="28"/>
          <w:highlight w:val="none"/>
        </w:rPr>
        <w:t>（1）估价对象《</w:t>
      </w:r>
      <w:r>
        <w:rPr>
          <w:rFonts w:hint="eastAsia" w:ascii="仿宋_GB2312" w:hAnsi="仿宋" w:eastAsia="仿宋_GB2312"/>
          <w:sz w:val="28"/>
          <w:szCs w:val="28"/>
          <w:highlight w:val="none"/>
          <w:lang w:eastAsia="zh-CN"/>
        </w:rPr>
        <w:t>商住楼买卖协议</w:t>
      </w:r>
      <w:r>
        <w:rPr>
          <w:rFonts w:hint="eastAsia" w:ascii="仿宋_GB2312" w:hAnsi="仿宋" w:eastAsia="仿宋_GB2312"/>
          <w:sz w:val="28"/>
          <w:szCs w:val="28"/>
          <w:highlight w:val="none"/>
        </w:rPr>
        <w:t>》复印件</w:t>
      </w:r>
      <w:r>
        <w:rPr>
          <w:rFonts w:hint="eastAsia" w:ascii="仿宋_GB2312" w:hAnsi="仿宋" w:eastAsia="仿宋_GB2312"/>
          <w:sz w:val="28"/>
          <w:szCs w:val="28"/>
          <w:highlight w:val="none"/>
          <w:lang w:eastAsia="zh-CN"/>
        </w:rPr>
        <w:tab/>
      </w:r>
    </w:p>
    <w:p>
      <w:pPr>
        <w:tabs>
          <w:tab w:val="left" w:pos="6691"/>
        </w:tabs>
        <w:autoSpaceDE w:val="0"/>
        <w:autoSpaceDN w:val="0"/>
        <w:adjustRightInd w:val="0"/>
        <w:snapToGrid w:val="0"/>
        <w:spacing w:line="460" w:lineRule="exact"/>
        <w:ind w:firstLine="560" w:firstLineChars="200"/>
        <w:textAlignment w:val="bottom"/>
        <w:rPr>
          <w:rFonts w:hint="eastAsia" w:ascii="仿宋_GB2312" w:eastAsia="仿宋_GB2312"/>
          <w:sz w:val="28"/>
          <w:szCs w:val="20"/>
          <w:highlight w:val="none"/>
        </w:rPr>
      </w:pPr>
      <w:r>
        <w:rPr>
          <w:rFonts w:hint="eastAsia" w:ascii="仿宋_GB2312" w:hAnsi="仿宋" w:eastAsia="仿宋_GB2312"/>
          <w:sz w:val="28"/>
          <w:szCs w:val="28"/>
          <w:highlight w:val="none"/>
        </w:rPr>
        <w:t>（2）</w:t>
      </w:r>
      <w:r>
        <w:rPr>
          <w:rFonts w:hint="eastAsia" w:ascii="仿宋_GB2312" w:eastAsia="仿宋_GB2312"/>
          <w:sz w:val="28"/>
          <w:szCs w:val="20"/>
          <w:highlight w:val="none"/>
        </w:rPr>
        <w:t>河北省曲周县</w:t>
      </w:r>
      <w:r>
        <w:rPr>
          <w:rFonts w:hint="eastAsia" w:ascii="仿宋_GB2312" w:eastAsia="仿宋_GB2312"/>
          <w:sz w:val="28"/>
          <w:szCs w:val="20"/>
          <w:highlight w:val="none"/>
          <w:lang w:eastAsia="zh-CN"/>
        </w:rPr>
        <w:t>人民</w:t>
      </w:r>
      <w:r>
        <w:rPr>
          <w:rFonts w:hint="eastAsia" w:ascii="仿宋_GB2312" w:eastAsia="仿宋_GB2312"/>
          <w:sz w:val="28"/>
          <w:szCs w:val="20"/>
          <w:highlight w:val="none"/>
        </w:rPr>
        <w:t>法院评估委托书</w:t>
      </w:r>
    </w:p>
    <w:p>
      <w:pPr>
        <w:adjustRightInd w:val="0"/>
        <w:snapToGrid w:val="0"/>
        <w:spacing w:line="46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3、估价方收集的有关资料</w:t>
      </w:r>
    </w:p>
    <w:p>
      <w:pPr>
        <w:adjustRightInd w:val="0"/>
        <w:snapToGrid w:val="0"/>
        <w:spacing w:line="46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（1）现场勘查资料</w:t>
      </w:r>
    </w:p>
    <w:p>
      <w:pPr>
        <w:adjustRightInd w:val="0"/>
        <w:snapToGrid w:val="0"/>
        <w:spacing w:line="46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（2）房地产市场状况</w:t>
      </w:r>
    </w:p>
    <w:p>
      <w:pPr>
        <w:adjustRightInd w:val="0"/>
        <w:snapToGrid w:val="0"/>
        <w:spacing w:before="120" w:beforeLines="50" w:after="120" w:afterLines="50"/>
        <w:rPr>
          <w:rFonts w:hint="eastAsia" w:eastAsia="仿宋_GB2312"/>
          <w:b/>
          <w:sz w:val="28"/>
          <w:highlight w:val="none"/>
        </w:rPr>
      </w:pPr>
      <w:r>
        <w:rPr>
          <w:rFonts w:eastAsia="仿宋_GB2312"/>
          <w:b/>
          <w:sz w:val="28"/>
          <w:highlight w:val="none"/>
        </w:rPr>
        <w:t>九、估价方法</w:t>
      </w:r>
    </w:p>
    <w:p>
      <w:pPr>
        <w:adjustRightInd w:val="0"/>
        <w:snapToGrid w:val="0"/>
        <w:spacing w:line="480" w:lineRule="exact"/>
        <w:ind w:firstLine="560" w:firstLineChars="200"/>
        <w:rPr>
          <w:rFonts w:ascii="仿宋_GB2312" w:eastAsia="仿宋_GB2312"/>
          <w:color w:val="FF0000"/>
          <w:sz w:val="28"/>
          <w:szCs w:val="20"/>
          <w:highlight w:val="none"/>
        </w:rPr>
      </w:pPr>
      <w:r>
        <w:rPr>
          <w:rFonts w:hint="eastAsia" w:ascii="仿宋_GB2312" w:eastAsia="仿宋_GB2312"/>
          <w:sz w:val="28"/>
          <w:szCs w:val="20"/>
          <w:highlight w:val="none"/>
        </w:rPr>
        <w:t>根据</w:t>
      </w:r>
      <w:r>
        <w:rPr>
          <w:rFonts w:ascii="仿宋_GB2312" w:eastAsia="仿宋_GB2312"/>
          <w:sz w:val="28"/>
          <w:szCs w:val="20"/>
          <w:highlight w:val="none"/>
        </w:rPr>
        <w:t>《</w:t>
      </w:r>
      <w:r>
        <w:rPr>
          <w:rFonts w:hint="eastAsia" w:ascii="仿宋_GB2312" w:eastAsia="仿宋_GB2312"/>
          <w:sz w:val="28"/>
          <w:szCs w:val="20"/>
          <w:highlight w:val="none"/>
        </w:rPr>
        <w:t>房地产估价规范</w:t>
      </w:r>
      <w:r>
        <w:rPr>
          <w:rFonts w:ascii="仿宋_GB2312" w:eastAsia="仿宋_GB2312"/>
          <w:sz w:val="28"/>
          <w:szCs w:val="20"/>
          <w:highlight w:val="none"/>
        </w:rPr>
        <w:t>》</w:t>
      </w:r>
      <w:r>
        <w:rPr>
          <w:rFonts w:hint="eastAsia" w:ascii="仿宋_GB2312" w:eastAsia="仿宋_GB2312"/>
          <w:sz w:val="28"/>
          <w:szCs w:val="20"/>
          <w:highlight w:val="none"/>
        </w:rPr>
        <w:t>房地产公开市场估价方法通常有市场比较法、成本法、收益法、假设开发法等。估价人员在实地勘察的基础上，对委托方提供的各种资料进行了认真分析，根据估价期日估价对象的用途、估价目的、资料状况和当地房地产市场的实际情况，决定采用市场比较法来测算估价对象的价格。</w:t>
      </w:r>
    </w:p>
    <w:p>
      <w:pPr>
        <w:adjustRightInd w:val="0"/>
        <w:snapToGrid w:val="0"/>
        <w:spacing w:before="120" w:beforeLines="50"/>
        <w:rPr>
          <w:rFonts w:eastAsia="仿宋_GB2312"/>
          <w:b/>
          <w:sz w:val="28"/>
          <w:highlight w:val="none"/>
        </w:rPr>
      </w:pPr>
      <w:r>
        <w:rPr>
          <w:rFonts w:eastAsia="仿宋_GB2312"/>
          <w:b/>
          <w:sz w:val="28"/>
          <w:highlight w:val="none"/>
        </w:rPr>
        <w:t>十、估价结果</w:t>
      </w:r>
    </w:p>
    <w:p>
      <w:pPr>
        <w:adjustRightInd w:val="0"/>
        <w:snapToGrid w:val="0"/>
        <w:spacing w:line="480" w:lineRule="exact"/>
        <w:ind w:firstLine="560" w:firstLineChars="200"/>
        <w:rPr>
          <w:rFonts w:hint="eastAsia" w:ascii="仿宋_GB2312" w:eastAsia="仿宋_GB2312"/>
          <w:sz w:val="28"/>
          <w:szCs w:val="20"/>
          <w:highlight w:val="none"/>
        </w:rPr>
      </w:pPr>
      <w:r>
        <w:rPr>
          <w:rFonts w:hint="eastAsia" w:ascii="仿宋_GB2312" w:eastAsia="仿宋_GB2312"/>
          <w:sz w:val="28"/>
          <w:szCs w:val="20"/>
          <w:highlight w:val="none"/>
        </w:rPr>
        <w:t>估价人员根据估价目的，遵循估价原则，采用科学的估价方法，在认真分析所掌握资料与影响估价对象价值诸因素的基础上，通过实地勘察和调研，进行数据分析、测算及综合评定，确定采用市场比较法计算结果为估价结果：</w:t>
      </w:r>
    </w:p>
    <w:p>
      <w:pPr>
        <w:adjustRightInd w:val="0"/>
        <w:snapToGrid w:val="0"/>
        <w:spacing w:line="480" w:lineRule="exact"/>
        <w:jc w:val="center"/>
        <w:outlineLvl w:val="2"/>
        <w:rPr>
          <w:rFonts w:hint="eastAsia" w:ascii="仿宋_GB2312" w:eastAsia="仿宋_GB2312"/>
          <w:sz w:val="28"/>
          <w:szCs w:val="28"/>
          <w:highlight w:val="none"/>
        </w:rPr>
      </w:pPr>
      <w:r>
        <w:rPr>
          <w:rFonts w:hint="eastAsia" w:ascii="仿宋_GB2312" w:eastAsia="仿宋_GB2312"/>
          <w:sz w:val="28"/>
          <w:szCs w:val="28"/>
          <w:highlight w:val="none"/>
        </w:rPr>
        <w:t>表1-</w:t>
      </w:r>
      <w:r>
        <w:rPr>
          <w:rFonts w:hint="eastAsia" w:ascii="仿宋_GB2312" w:eastAsia="仿宋_GB2312"/>
          <w:sz w:val="28"/>
          <w:szCs w:val="28"/>
          <w:highlight w:val="none"/>
          <w:lang w:val="en-US" w:eastAsia="zh-CN"/>
        </w:rPr>
        <w:t>2</w:t>
      </w:r>
      <w:r>
        <w:rPr>
          <w:rFonts w:hint="eastAsia" w:ascii="仿宋_GB2312" w:eastAsia="仿宋_GB2312"/>
          <w:sz w:val="28"/>
          <w:szCs w:val="20"/>
          <w:highlight w:val="none"/>
        </w:rPr>
        <w:t>估价结果汇总表</w:t>
      </w:r>
    </w:p>
    <w:tbl>
      <w:tblPr>
        <w:tblStyle w:val="7"/>
        <w:tblW w:w="8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769"/>
        <w:gridCol w:w="1793"/>
        <w:gridCol w:w="1351"/>
        <w:gridCol w:w="1793"/>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7" w:type="dxa"/>
            <w:vMerge w:val="restart"/>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序号</w:t>
            </w:r>
          </w:p>
        </w:tc>
        <w:tc>
          <w:tcPr>
            <w:tcW w:w="1769" w:type="dxa"/>
            <w:vMerge w:val="restart"/>
            <w:vAlign w:val="center"/>
          </w:tcPr>
          <w:p>
            <w:pPr>
              <w:widowControl/>
              <w:jc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color w:val="000000"/>
                <w:kern w:val="0"/>
                <w:szCs w:val="21"/>
                <w:highlight w:val="none"/>
                <w:lang w:eastAsia="zh-CN"/>
              </w:rPr>
              <w:t>房地产名称</w:t>
            </w:r>
          </w:p>
        </w:tc>
        <w:tc>
          <w:tcPr>
            <w:tcW w:w="3144" w:type="dxa"/>
            <w:gridSpan w:val="2"/>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市场比较法测算结果</w:t>
            </w:r>
          </w:p>
        </w:tc>
        <w:tc>
          <w:tcPr>
            <w:tcW w:w="3143" w:type="dxa"/>
            <w:gridSpan w:val="2"/>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估价结果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07" w:type="dxa"/>
            <w:vMerge w:val="continue"/>
            <w:vAlign w:val="center"/>
          </w:tcPr>
          <w:p>
            <w:pPr>
              <w:widowControl/>
              <w:jc w:val="center"/>
              <w:rPr>
                <w:rFonts w:hint="eastAsia" w:ascii="仿宋_GB2312" w:hAnsi="宋体" w:eastAsia="仿宋_GB2312" w:cs="宋体"/>
                <w:color w:val="000000"/>
                <w:kern w:val="0"/>
                <w:szCs w:val="21"/>
                <w:highlight w:val="none"/>
              </w:rPr>
            </w:pPr>
          </w:p>
        </w:tc>
        <w:tc>
          <w:tcPr>
            <w:tcW w:w="1769" w:type="dxa"/>
            <w:vMerge w:val="continue"/>
            <w:vAlign w:val="center"/>
          </w:tcPr>
          <w:p>
            <w:pPr>
              <w:widowControl/>
              <w:jc w:val="center"/>
              <w:rPr>
                <w:rFonts w:hint="eastAsia" w:ascii="仿宋_GB2312" w:hAnsi="宋体" w:eastAsia="仿宋_GB2312" w:cs="宋体"/>
                <w:color w:val="000000"/>
                <w:kern w:val="0"/>
                <w:szCs w:val="21"/>
                <w:highlight w:val="none"/>
              </w:rPr>
            </w:pPr>
          </w:p>
        </w:tc>
        <w:tc>
          <w:tcPr>
            <w:tcW w:w="1793" w:type="dxa"/>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单价（元/平方米）</w:t>
            </w:r>
          </w:p>
        </w:tc>
        <w:tc>
          <w:tcPr>
            <w:tcW w:w="1351" w:type="dxa"/>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总价（元）</w:t>
            </w:r>
          </w:p>
        </w:tc>
        <w:tc>
          <w:tcPr>
            <w:tcW w:w="1793" w:type="dxa"/>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单价（元/平方米）</w:t>
            </w:r>
          </w:p>
        </w:tc>
        <w:tc>
          <w:tcPr>
            <w:tcW w:w="1350" w:type="dxa"/>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07" w:type="dxa"/>
            <w:vAlign w:val="center"/>
          </w:tcPr>
          <w:p>
            <w:pPr>
              <w:widowControl/>
              <w:jc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rPr>
              <w:t>1</w:t>
            </w:r>
          </w:p>
        </w:tc>
        <w:tc>
          <w:tcPr>
            <w:tcW w:w="1769" w:type="dxa"/>
            <w:vAlign w:val="center"/>
          </w:tcPr>
          <w:p>
            <w:pPr>
              <w:widowControl/>
              <w:jc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color w:val="000000"/>
                <w:kern w:val="0"/>
                <w:sz w:val="18"/>
                <w:szCs w:val="18"/>
                <w:highlight w:val="none"/>
                <w:lang w:eastAsia="zh-CN"/>
              </w:rPr>
              <w:t>于海印名下房产</w:t>
            </w:r>
          </w:p>
        </w:tc>
        <w:tc>
          <w:tcPr>
            <w:tcW w:w="1793" w:type="dxa"/>
            <w:vAlign w:val="center"/>
          </w:tcPr>
          <w:p>
            <w:pPr>
              <w:widowControl/>
              <w:jc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color w:val="000000"/>
                <w:kern w:val="0"/>
                <w:szCs w:val="21"/>
                <w:highlight w:val="none"/>
                <w:lang w:eastAsia="zh-CN"/>
              </w:rPr>
              <w:t>5196</w:t>
            </w:r>
          </w:p>
        </w:tc>
        <w:tc>
          <w:tcPr>
            <w:tcW w:w="1351" w:type="dxa"/>
            <w:vAlign w:val="center"/>
          </w:tcPr>
          <w:p>
            <w:pPr>
              <w:widowControl/>
              <w:jc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color w:val="000000"/>
                <w:kern w:val="0"/>
                <w:szCs w:val="21"/>
                <w:highlight w:val="none"/>
                <w:lang w:eastAsia="zh-CN"/>
              </w:rPr>
              <w:t>1101552</w:t>
            </w:r>
          </w:p>
        </w:tc>
        <w:tc>
          <w:tcPr>
            <w:tcW w:w="1793" w:type="dxa"/>
            <w:vAlign w:val="center"/>
          </w:tcPr>
          <w:p>
            <w:pPr>
              <w:widowControl/>
              <w:jc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color w:val="000000"/>
                <w:kern w:val="0"/>
                <w:szCs w:val="21"/>
                <w:highlight w:val="none"/>
                <w:lang w:eastAsia="zh-CN"/>
              </w:rPr>
              <w:t>5196</w:t>
            </w:r>
          </w:p>
        </w:tc>
        <w:tc>
          <w:tcPr>
            <w:tcW w:w="1350" w:type="dxa"/>
            <w:vAlign w:val="center"/>
          </w:tcPr>
          <w:p>
            <w:pPr>
              <w:widowControl/>
              <w:jc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color w:val="000000"/>
                <w:kern w:val="0"/>
                <w:szCs w:val="21"/>
                <w:highlight w:val="none"/>
                <w:lang w:eastAsia="zh-CN"/>
              </w:rPr>
              <w:t>1101552</w:t>
            </w:r>
          </w:p>
        </w:tc>
      </w:tr>
    </w:tbl>
    <w:p>
      <w:pPr>
        <w:adjustRightInd w:val="0"/>
        <w:snapToGrid w:val="0"/>
        <w:spacing w:before="120" w:beforeLines="50" w:after="120" w:afterLines="50"/>
        <w:rPr>
          <w:rFonts w:hint="eastAsia" w:eastAsia="仿宋_GB2312"/>
          <w:b/>
          <w:sz w:val="28"/>
          <w:highlight w:val="none"/>
        </w:rPr>
      </w:pPr>
      <w:r>
        <w:rPr>
          <w:rFonts w:hint="eastAsia" w:eastAsia="仿宋_GB2312"/>
          <w:b/>
          <w:sz w:val="28"/>
          <w:highlight w:val="none"/>
        </w:rPr>
        <w:t>十一、参加估价的注册房地产估价师</w:t>
      </w:r>
    </w:p>
    <w:tbl>
      <w:tblPr>
        <w:tblStyle w:val="7"/>
        <w:tblW w:w="8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9"/>
        <w:gridCol w:w="1702"/>
        <w:gridCol w:w="3107"/>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jc w:val="center"/>
        </w:trPr>
        <w:tc>
          <w:tcPr>
            <w:tcW w:w="1149"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r>
              <w:rPr>
                <w:rFonts w:hint="eastAsia" w:ascii="仿宋_GB2312" w:eastAsia="仿宋_GB2312"/>
                <w:sz w:val="28"/>
                <w:szCs w:val="28"/>
                <w:highlight w:val="none"/>
              </w:rPr>
              <w:t>姓  名</w:t>
            </w:r>
          </w:p>
        </w:tc>
        <w:tc>
          <w:tcPr>
            <w:tcW w:w="1702"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r>
              <w:rPr>
                <w:rFonts w:hint="eastAsia" w:ascii="仿宋_GB2312" w:eastAsia="仿宋_GB2312"/>
                <w:sz w:val="28"/>
                <w:szCs w:val="28"/>
                <w:highlight w:val="none"/>
              </w:rPr>
              <w:t>注册号</w:t>
            </w:r>
          </w:p>
        </w:tc>
        <w:tc>
          <w:tcPr>
            <w:tcW w:w="3107"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r>
              <w:rPr>
                <w:rFonts w:hint="eastAsia" w:ascii="仿宋_GB2312" w:eastAsia="仿宋_GB2312"/>
                <w:sz w:val="28"/>
                <w:szCs w:val="28"/>
                <w:highlight w:val="none"/>
              </w:rPr>
              <w:t>签  名</w:t>
            </w:r>
          </w:p>
        </w:tc>
        <w:tc>
          <w:tcPr>
            <w:tcW w:w="2384"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r>
              <w:rPr>
                <w:rFonts w:hint="eastAsia" w:ascii="仿宋_GB2312" w:eastAsia="仿宋_GB2312"/>
                <w:sz w:val="28"/>
                <w:szCs w:val="28"/>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1149"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r>
              <w:rPr>
                <w:rFonts w:hint="eastAsia" w:ascii="仿宋_GB2312" w:hAnsi="宋体" w:eastAsia="仿宋_GB2312" w:cs="宋体"/>
                <w:sz w:val="28"/>
                <w:szCs w:val="28"/>
                <w:highlight w:val="none"/>
              </w:rPr>
              <w:t>李振禄</w:t>
            </w:r>
          </w:p>
        </w:tc>
        <w:tc>
          <w:tcPr>
            <w:tcW w:w="1702"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r>
              <w:rPr>
                <w:rFonts w:ascii="仿宋_GB2312" w:hAnsi="宋体" w:eastAsia="仿宋_GB2312" w:cs="宋体"/>
                <w:sz w:val="28"/>
                <w:szCs w:val="28"/>
                <w:highlight w:val="none"/>
              </w:rPr>
              <w:t>1320020034</w:t>
            </w:r>
          </w:p>
        </w:tc>
        <w:tc>
          <w:tcPr>
            <w:tcW w:w="3107"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p>
        </w:tc>
        <w:tc>
          <w:tcPr>
            <w:tcW w:w="2384"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lang w:eastAsia="zh-CN"/>
              </w:rPr>
            </w:pPr>
            <w:r>
              <w:rPr>
                <w:rFonts w:hint="eastAsia" w:ascii="仿宋_GB2312" w:hAnsi="宋体" w:eastAsia="仿宋_GB2312" w:cs="宋体"/>
                <w:sz w:val="28"/>
                <w:szCs w:val="28"/>
                <w:highlight w:val="none"/>
                <w:lang w:eastAsia="zh-CN"/>
              </w:rPr>
              <w:t>2019年10月25日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149"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r>
              <w:rPr>
                <w:rFonts w:hint="eastAsia" w:ascii="仿宋_GB2312" w:hAnsi="宋体" w:eastAsia="仿宋_GB2312" w:cs="宋体"/>
                <w:sz w:val="28"/>
                <w:szCs w:val="28"/>
                <w:highlight w:val="none"/>
              </w:rPr>
              <w:t>付  媛</w:t>
            </w:r>
          </w:p>
        </w:tc>
        <w:tc>
          <w:tcPr>
            <w:tcW w:w="1702"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r>
              <w:rPr>
                <w:rFonts w:ascii="仿宋_GB2312" w:hAnsi="宋体" w:eastAsia="仿宋_GB2312" w:cs="宋体"/>
                <w:sz w:val="28"/>
                <w:szCs w:val="28"/>
                <w:highlight w:val="none"/>
              </w:rPr>
              <w:t>1320100039</w:t>
            </w:r>
          </w:p>
        </w:tc>
        <w:tc>
          <w:tcPr>
            <w:tcW w:w="3107"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rPr>
            </w:pPr>
          </w:p>
        </w:tc>
        <w:tc>
          <w:tcPr>
            <w:tcW w:w="2384" w:type="dxa"/>
            <w:tcMar>
              <w:top w:w="15" w:type="dxa"/>
              <w:left w:w="15" w:type="dxa"/>
              <w:bottom w:w="0" w:type="dxa"/>
              <w:right w:w="15" w:type="dxa"/>
            </w:tcMar>
            <w:vAlign w:val="center"/>
          </w:tcPr>
          <w:p>
            <w:pPr>
              <w:jc w:val="center"/>
              <w:rPr>
                <w:rFonts w:hint="eastAsia" w:ascii="仿宋_GB2312" w:hAnsi="宋体" w:eastAsia="仿宋_GB2312" w:cs="宋体"/>
                <w:sz w:val="28"/>
                <w:szCs w:val="28"/>
                <w:highlight w:val="none"/>
                <w:lang w:eastAsia="zh-CN"/>
              </w:rPr>
            </w:pPr>
            <w:r>
              <w:rPr>
                <w:rFonts w:hint="eastAsia" w:ascii="仿宋_GB2312" w:hAnsi="宋体" w:eastAsia="仿宋_GB2312" w:cs="宋体"/>
                <w:sz w:val="28"/>
                <w:szCs w:val="28"/>
                <w:highlight w:val="none"/>
                <w:lang w:eastAsia="zh-CN"/>
              </w:rPr>
              <w:t>2019年10月25日</w:t>
            </w:r>
          </w:p>
        </w:tc>
      </w:tr>
    </w:tbl>
    <w:p>
      <w:pPr>
        <w:adjustRightInd w:val="0"/>
        <w:snapToGrid w:val="0"/>
        <w:spacing w:before="120" w:beforeLines="50" w:after="120" w:afterLines="50"/>
        <w:rPr>
          <w:rFonts w:hint="eastAsia" w:eastAsia="仿宋_GB2312"/>
          <w:b/>
          <w:sz w:val="28"/>
          <w:highlight w:val="none"/>
        </w:rPr>
      </w:pPr>
      <w:r>
        <w:rPr>
          <w:rFonts w:hint="eastAsia" w:eastAsia="仿宋_GB2312"/>
          <w:b/>
          <w:sz w:val="28"/>
          <w:highlight w:val="none"/>
        </w:rPr>
        <w:t>十二、实地查勘期</w:t>
      </w:r>
    </w:p>
    <w:p>
      <w:pPr>
        <w:adjustRightInd w:val="0"/>
        <w:snapToGrid w:val="0"/>
        <w:spacing w:before="120" w:beforeLines="50" w:after="120" w:afterLines="50"/>
        <w:rPr>
          <w:rFonts w:hint="eastAsia" w:ascii="仿宋_GB2312" w:eastAsia="仿宋_GB2312"/>
          <w:sz w:val="28"/>
          <w:szCs w:val="20"/>
          <w:highlight w:val="none"/>
          <w:lang w:eastAsia="zh-CN"/>
        </w:rPr>
      </w:pPr>
      <w:r>
        <w:rPr>
          <w:rFonts w:hint="eastAsia" w:ascii="仿宋_GB2312" w:eastAsia="仿宋_GB2312"/>
          <w:sz w:val="28"/>
          <w:szCs w:val="20"/>
          <w:highlight w:val="none"/>
          <w:lang w:eastAsia="zh-CN"/>
        </w:rPr>
        <w:t>2019年10月16日</w:t>
      </w:r>
    </w:p>
    <w:p>
      <w:pPr>
        <w:adjustRightInd w:val="0"/>
        <w:snapToGrid w:val="0"/>
        <w:spacing w:before="120" w:beforeLines="50" w:after="120" w:afterLines="50"/>
        <w:rPr>
          <w:rFonts w:hint="eastAsia" w:eastAsia="仿宋_GB2312"/>
          <w:b/>
          <w:sz w:val="28"/>
          <w:highlight w:val="none"/>
        </w:rPr>
      </w:pPr>
      <w:r>
        <w:rPr>
          <w:rFonts w:hint="eastAsia" w:eastAsia="仿宋_GB2312"/>
          <w:b/>
          <w:sz w:val="28"/>
          <w:highlight w:val="none"/>
        </w:rPr>
        <w:t>十三、估价作业期</w:t>
      </w:r>
    </w:p>
    <w:p>
      <w:pPr>
        <w:adjustRightInd w:val="0"/>
        <w:snapToGrid w:val="0"/>
        <w:spacing w:line="360" w:lineRule="auto"/>
        <w:rPr>
          <w:rFonts w:ascii="仿宋_GB2312" w:eastAsia="仿宋_GB2312"/>
          <w:sz w:val="28"/>
          <w:szCs w:val="20"/>
          <w:highlight w:val="none"/>
        </w:rPr>
      </w:pPr>
      <w:r>
        <w:rPr>
          <w:rFonts w:hint="eastAsia" w:ascii="仿宋_GB2312" w:eastAsia="仿宋_GB2312"/>
          <w:sz w:val="28"/>
          <w:szCs w:val="20"/>
          <w:highlight w:val="none"/>
          <w:lang w:eastAsia="zh-CN"/>
        </w:rPr>
        <w:t>2019年10月16日</w:t>
      </w:r>
      <w:r>
        <w:rPr>
          <w:rFonts w:hint="eastAsia" w:ascii="仿宋_GB2312" w:eastAsia="仿宋_GB2312"/>
          <w:sz w:val="28"/>
          <w:szCs w:val="20"/>
          <w:highlight w:val="none"/>
        </w:rPr>
        <w:t>至</w:t>
      </w:r>
      <w:r>
        <w:rPr>
          <w:rFonts w:hint="eastAsia" w:ascii="仿宋_GB2312" w:hAnsi="宋体" w:eastAsia="仿宋_GB2312" w:cs="宋体"/>
          <w:sz w:val="28"/>
          <w:szCs w:val="28"/>
          <w:highlight w:val="none"/>
          <w:lang w:eastAsia="zh-CN"/>
        </w:rPr>
        <w:t>2019年10月25日</w:t>
      </w:r>
    </w:p>
    <w:p>
      <w:pPr>
        <w:adjustRightInd w:val="0"/>
        <w:snapToGrid w:val="0"/>
        <w:spacing w:line="360" w:lineRule="auto"/>
        <w:ind w:firstLine="3694" w:firstLineChars="1150"/>
        <w:rPr>
          <w:b/>
          <w:sz w:val="32"/>
          <w:highlight w:val="none"/>
        </w:rPr>
      </w:pPr>
      <w:r>
        <w:rPr>
          <w:b/>
          <w:sz w:val="32"/>
          <w:highlight w:val="none"/>
        </w:rPr>
        <w:br w:type="page"/>
      </w:r>
      <w:r>
        <w:rPr>
          <w:b/>
          <w:sz w:val="32"/>
          <w:highlight w:val="none"/>
        </w:rPr>
        <w:t>附</w:t>
      </w:r>
      <w:r>
        <w:rPr>
          <w:rFonts w:hint="eastAsia"/>
          <w:b/>
          <w:sz w:val="32"/>
          <w:highlight w:val="none"/>
        </w:rPr>
        <w:t xml:space="preserve"> </w:t>
      </w:r>
      <w:r>
        <w:rPr>
          <w:b/>
          <w:sz w:val="32"/>
          <w:highlight w:val="none"/>
        </w:rPr>
        <w:t>件</w:t>
      </w:r>
    </w:p>
    <w:p>
      <w:pPr>
        <w:spacing w:line="400" w:lineRule="exact"/>
        <w:ind w:right="18"/>
        <w:rPr>
          <w:bCs/>
          <w:sz w:val="32"/>
          <w:highlight w:val="none"/>
        </w:rPr>
      </w:pPr>
    </w:p>
    <w:p>
      <w:pPr>
        <w:autoSpaceDE w:val="0"/>
        <w:autoSpaceDN w:val="0"/>
        <w:snapToGrid w:val="0"/>
        <w:spacing w:line="300" w:lineRule="auto"/>
        <w:ind w:left="1120" w:right="-113" w:hanging="1120" w:hangingChars="400"/>
        <w:jc w:val="left"/>
        <w:textAlignment w:val="bottom"/>
        <w:rPr>
          <w:rFonts w:hint="eastAsia" w:ascii="仿宋_GB2312" w:eastAsia="仿宋_GB2312"/>
          <w:sz w:val="28"/>
          <w:szCs w:val="20"/>
          <w:highlight w:val="none"/>
        </w:rPr>
      </w:pPr>
      <w:r>
        <w:rPr>
          <w:rFonts w:hint="eastAsia" w:ascii="仿宋_GB2312" w:eastAsia="仿宋_GB2312"/>
          <w:sz w:val="28"/>
          <w:szCs w:val="20"/>
          <w:highlight w:val="none"/>
        </w:rPr>
        <w:t xml:space="preserve">附件1   </w:t>
      </w:r>
      <w:r>
        <w:rPr>
          <w:rFonts w:hint="eastAsia" w:ascii="仿宋_GB2312" w:eastAsia="仿宋_GB2312"/>
          <w:sz w:val="28"/>
          <w:szCs w:val="20"/>
          <w:highlight w:val="none"/>
          <w:lang w:eastAsia="zh-CN"/>
        </w:rPr>
        <w:t>评估</w:t>
      </w:r>
      <w:r>
        <w:rPr>
          <w:rFonts w:hint="eastAsia" w:ascii="仿宋_GB2312" w:eastAsia="仿宋_GB2312"/>
          <w:sz w:val="28"/>
          <w:szCs w:val="20"/>
          <w:highlight w:val="none"/>
        </w:rPr>
        <w:t>委托书复印件</w:t>
      </w:r>
    </w:p>
    <w:p>
      <w:pPr>
        <w:autoSpaceDE w:val="0"/>
        <w:autoSpaceDN w:val="0"/>
        <w:snapToGrid w:val="0"/>
        <w:spacing w:line="300" w:lineRule="auto"/>
        <w:ind w:right="-113"/>
        <w:jc w:val="left"/>
        <w:textAlignment w:val="bottom"/>
        <w:rPr>
          <w:rFonts w:hint="eastAsia" w:ascii="仿宋_GB2312" w:eastAsia="仿宋_GB2312"/>
          <w:sz w:val="28"/>
          <w:szCs w:val="20"/>
          <w:highlight w:val="none"/>
        </w:rPr>
      </w:pPr>
      <w:r>
        <w:rPr>
          <w:rFonts w:hint="eastAsia" w:ascii="仿宋_GB2312" w:eastAsia="仿宋_GB2312"/>
          <w:sz w:val="28"/>
          <w:szCs w:val="20"/>
          <w:highlight w:val="none"/>
        </w:rPr>
        <w:t>附件2   估价对象区域位置示意图</w:t>
      </w:r>
    </w:p>
    <w:p>
      <w:pPr>
        <w:autoSpaceDE w:val="0"/>
        <w:autoSpaceDN w:val="0"/>
        <w:snapToGrid w:val="0"/>
        <w:spacing w:line="300" w:lineRule="auto"/>
        <w:ind w:right="-113"/>
        <w:jc w:val="left"/>
        <w:textAlignment w:val="bottom"/>
        <w:rPr>
          <w:rFonts w:hint="eastAsia" w:ascii="仿宋_GB2312" w:eastAsia="仿宋_GB2312"/>
          <w:sz w:val="28"/>
          <w:szCs w:val="20"/>
          <w:highlight w:val="none"/>
        </w:rPr>
      </w:pPr>
      <w:r>
        <w:rPr>
          <w:rFonts w:hint="eastAsia" w:ascii="仿宋_GB2312" w:eastAsia="仿宋_GB2312"/>
          <w:sz w:val="28"/>
          <w:szCs w:val="20"/>
          <w:highlight w:val="none"/>
        </w:rPr>
        <w:t>附件3   估价对象利用现状照片</w:t>
      </w:r>
    </w:p>
    <w:p>
      <w:pPr>
        <w:autoSpaceDE w:val="0"/>
        <w:autoSpaceDN w:val="0"/>
        <w:snapToGrid w:val="0"/>
        <w:spacing w:line="300" w:lineRule="auto"/>
        <w:ind w:left="1120" w:right="-113" w:hanging="1120" w:hangingChars="400"/>
        <w:jc w:val="left"/>
        <w:textAlignment w:val="bottom"/>
        <w:rPr>
          <w:rFonts w:hint="eastAsia" w:ascii="仿宋_GB2312" w:eastAsia="仿宋_GB2312"/>
          <w:sz w:val="28"/>
          <w:szCs w:val="20"/>
          <w:highlight w:val="none"/>
        </w:rPr>
      </w:pPr>
      <w:r>
        <w:rPr>
          <w:rFonts w:hint="eastAsia" w:ascii="仿宋_GB2312" w:eastAsia="仿宋_GB2312"/>
          <w:sz w:val="28"/>
          <w:szCs w:val="20"/>
          <w:highlight w:val="none"/>
        </w:rPr>
        <w:t xml:space="preserve">附件4   </w:t>
      </w:r>
      <w:r>
        <w:rPr>
          <w:rFonts w:hint="eastAsia" w:ascii="仿宋_GB2312" w:hAnsi="仿宋" w:eastAsia="仿宋_GB2312"/>
          <w:sz w:val="28"/>
          <w:szCs w:val="28"/>
          <w:highlight w:val="none"/>
        </w:rPr>
        <w:t>估价对象《</w:t>
      </w:r>
      <w:r>
        <w:rPr>
          <w:rFonts w:hint="eastAsia" w:ascii="仿宋_GB2312" w:hAnsi="仿宋" w:eastAsia="仿宋_GB2312"/>
          <w:sz w:val="28"/>
          <w:szCs w:val="28"/>
          <w:highlight w:val="none"/>
          <w:lang w:eastAsia="zh-CN"/>
        </w:rPr>
        <w:t>商住楼买卖协议</w:t>
      </w:r>
      <w:r>
        <w:rPr>
          <w:rFonts w:hint="eastAsia" w:ascii="仿宋_GB2312" w:hAnsi="仿宋" w:eastAsia="仿宋_GB2312"/>
          <w:sz w:val="28"/>
          <w:szCs w:val="28"/>
          <w:highlight w:val="none"/>
        </w:rPr>
        <w:t>》</w:t>
      </w:r>
      <w:r>
        <w:rPr>
          <w:rFonts w:hint="eastAsia" w:ascii="仿宋_GB2312" w:eastAsia="仿宋_GB2312"/>
          <w:sz w:val="28"/>
          <w:szCs w:val="20"/>
          <w:highlight w:val="none"/>
        </w:rPr>
        <w:t>复印件</w:t>
      </w:r>
    </w:p>
    <w:p>
      <w:pPr>
        <w:autoSpaceDE w:val="0"/>
        <w:autoSpaceDN w:val="0"/>
        <w:snapToGrid w:val="0"/>
        <w:spacing w:line="300" w:lineRule="auto"/>
        <w:ind w:left="1120" w:right="-113" w:hanging="1120" w:hangingChars="400"/>
        <w:jc w:val="left"/>
        <w:textAlignment w:val="bottom"/>
        <w:rPr>
          <w:rFonts w:hint="eastAsia" w:ascii="仿宋_GB2312" w:eastAsia="仿宋_GB2312"/>
          <w:sz w:val="28"/>
          <w:szCs w:val="20"/>
          <w:highlight w:val="none"/>
          <w:lang w:eastAsia="zh-CN"/>
        </w:rPr>
      </w:pPr>
      <w:r>
        <w:rPr>
          <w:rFonts w:hint="eastAsia" w:ascii="仿宋_GB2312" w:eastAsia="仿宋_GB2312"/>
          <w:sz w:val="28"/>
          <w:szCs w:val="20"/>
          <w:highlight w:val="none"/>
        </w:rPr>
        <w:t xml:space="preserve">附件5   </w:t>
      </w:r>
      <w:r>
        <w:rPr>
          <w:rFonts w:hint="eastAsia" w:ascii="仿宋_GB2312" w:eastAsia="仿宋_GB2312"/>
          <w:sz w:val="28"/>
          <w:szCs w:val="20"/>
          <w:highlight w:val="none"/>
          <w:lang w:eastAsia="zh-CN"/>
        </w:rPr>
        <w:t>现场查勘记录复印件</w:t>
      </w:r>
    </w:p>
    <w:p>
      <w:pPr>
        <w:autoSpaceDE w:val="0"/>
        <w:autoSpaceDN w:val="0"/>
        <w:snapToGrid w:val="0"/>
        <w:spacing w:line="300" w:lineRule="auto"/>
        <w:ind w:left="1120" w:right="-113" w:hanging="1120" w:hangingChars="400"/>
        <w:jc w:val="left"/>
        <w:textAlignment w:val="bottom"/>
        <w:rPr>
          <w:rFonts w:hint="eastAsia" w:ascii="仿宋_GB2312" w:eastAsia="仿宋_GB2312"/>
          <w:sz w:val="28"/>
          <w:szCs w:val="20"/>
          <w:highlight w:val="none"/>
        </w:rPr>
      </w:pPr>
      <w:r>
        <w:rPr>
          <w:rFonts w:hint="eastAsia" w:ascii="仿宋_GB2312" w:eastAsia="仿宋_GB2312"/>
          <w:sz w:val="28"/>
          <w:szCs w:val="20"/>
          <w:highlight w:val="none"/>
        </w:rPr>
        <w:t>附件</w:t>
      </w:r>
      <w:r>
        <w:rPr>
          <w:rFonts w:hint="eastAsia" w:ascii="仿宋_GB2312" w:eastAsia="仿宋_GB2312"/>
          <w:sz w:val="28"/>
          <w:szCs w:val="20"/>
          <w:highlight w:val="none"/>
          <w:lang w:val="en-US" w:eastAsia="zh-CN"/>
        </w:rPr>
        <w:t>6</w:t>
      </w:r>
      <w:r>
        <w:rPr>
          <w:rFonts w:hint="eastAsia" w:ascii="仿宋_GB2312" w:eastAsia="仿宋_GB2312"/>
          <w:sz w:val="28"/>
          <w:szCs w:val="20"/>
          <w:highlight w:val="none"/>
        </w:rPr>
        <w:t xml:space="preserve">  </w:t>
      </w:r>
      <w:r>
        <w:rPr>
          <w:rFonts w:hint="eastAsia" w:ascii="仿宋_GB2312" w:eastAsia="仿宋_GB2312"/>
          <w:sz w:val="28"/>
          <w:szCs w:val="20"/>
          <w:highlight w:val="none"/>
          <w:lang w:val="en-US" w:eastAsia="zh-CN"/>
        </w:rPr>
        <w:t xml:space="preserve"> </w:t>
      </w:r>
      <w:r>
        <w:rPr>
          <w:rFonts w:hint="eastAsia" w:ascii="仿宋_GB2312" w:eastAsia="仿宋_GB2312"/>
          <w:sz w:val="28"/>
          <w:szCs w:val="20"/>
          <w:highlight w:val="none"/>
        </w:rPr>
        <w:t>估价机构营业执照复印件</w:t>
      </w:r>
    </w:p>
    <w:p>
      <w:pPr>
        <w:autoSpaceDE w:val="0"/>
        <w:autoSpaceDN w:val="0"/>
        <w:snapToGrid w:val="0"/>
        <w:spacing w:line="300" w:lineRule="auto"/>
        <w:ind w:right="-113"/>
        <w:jc w:val="left"/>
        <w:textAlignment w:val="bottom"/>
        <w:rPr>
          <w:rFonts w:hint="eastAsia" w:ascii="仿宋_GB2312" w:eastAsia="仿宋_GB2312"/>
          <w:sz w:val="28"/>
          <w:szCs w:val="20"/>
          <w:highlight w:val="none"/>
        </w:rPr>
      </w:pPr>
      <w:r>
        <w:rPr>
          <w:rFonts w:hint="eastAsia" w:ascii="仿宋_GB2312" w:eastAsia="仿宋_GB2312"/>
          <w:sz w:val="28"/>
          <w:szCs w:val="20"/>
          <w:highlight w:val="none"/>
        </w:rPr>
        <w:t>附件</w:t>
      </w:r>
      <w:r>
        <w:rPr>
          <w:rFonts w:hint="eastAsia" w:ascii="仿宋_GB2312" w:eastAsia="仿宋_GB2312"/>
          <w:sz w:val="28"/>
          <w:szCs w:val="20"/>
          <w:highlight w:val="none"/>
          <w:lang w:val="en-US" w:eastAsia="zh-CN"/>
        </w:rPr>
        <w:t>7</w:t>
      </w:r>
      <w:r>
        <w:rPr>
          <w:rFonts w:hint="eastAsia" w:ascii="仿宋_GB2312" w:eastAsia="仿宋_GB2312"/>
          <w:sz w:val="28"/>
          <w:szCs w:val="20"/>
          <w:highlight w:val="none"/>
        </w:rPr>
        <w:t xml:space="preserve">   估价机构资质注册证书复印件</w:t>
      </w:r>
    </w:p>
    <w:p>
      <w:pPr>
        <w:autoSpaceDE w:val="0"/>
        <w:autoSpaceDN w:val="0"/>
        <w:snapToGrid w:val="0"/>
        <w:spacing w:line="300" w:lineRule="auto"/>
        <w:ind w:right="-113"/>
        <w:jc w:val="left"/>
        <w:textAlignment w:val="bottom"/>
        <w:rPr>
          <w:rFonts w:hint="eastAsia" w:ascii="仿宋_GB2312" w:eastAsia="仿宋_GB2312"/>
          <w:sz w:val="28"/>
          <w:szCs w:val="20"/>
          <w:highlight w:val="none"/>
        </w:rPr>
      </w:pPr>
      <w:r>
        <w:rPr>
          <w:rFonts w:hint="eastAsia" w:ascii="仿宋_GB2312" w:eastAsia="仿宋_GB2312"/>
          <w:sz w:val="28"/>
          <w:szCs w:val="20"/>
          <w:highlight w:val="none"/>
        </w:rPr>
        <w:t>附件</w:t>
      </w:r>
      <w:r>
        <w:rPr>
          <w:rFonts w:hint="eastAsia" w:ascii="仿宋_GB2312" w:eastAsia="仿宋_GB2312"/>
          <w:sz w:val="28"/>
          <w:szCs w:val="20"/>
          <w:highlight w:val="none"/>
          <w:lang w:val="en-US" w:eastAsia="zh-CN"/>
        </w:rPr>
        <w:t>8</w:t>
      </w:r>
      <w:r>
        <w:rPr>
          <w:rFonts w:hint="eastAsia" w:ascii="仿宋_GB2312" w:eastAsia="仿宋_GB2312"/>
          <w:sz w:val="28"/>
          <w:szCs w:val="20"/>
          <w:highlight w:val="none"/>
        </w:rPr>
        <w:t xml:space="preserve">   房地产估价师注册证书复印件</w:t>
      </w:r>
    </w:p>
    <w:p>
      <w:pPr>
        <w:rPr>
          <w:highlight w:val="none"/>
        </w:rPr>
      </w:pPr>
    </w:p>
    <w:p>
      <w:pPr>
        <w:adjustRightInd w:val="0"/>
        <w:snapToGrid w:val="0"/>
        <w:spacing w:line="360" w:lineRule="auto"/>
        <w:ind w:firstLine="560" w:firstLineChars="200"/>
        <w:rPr>
          <w:rFonts w:hint="eastAsia" w:ascii="仿宋_GB2312" w:eastAsia="仿宋_GB2312"/>
          <w:sz w:val="28"/>
          <w:szCs w:val="20"/>
          <w:highlight w:val="none"/>
        </w:rPr>
      </w:pPr>
    </w:p>
    <w:p>
      <w:pPr>
        <w:adjustRightInd w:val="0"/>
        <w:snapToGrid w:val="0"/>
        <w:spacing w:line="360" w:lineRule="auto"/>
        <w:ind w:firstLine="560" w:firstLineChars="200"/>
        <w:rPr>
          <w:rFonts w:hint="eastAsia" w:ascii="仿宋_GB2312" w:eastAsia="仿宋_GB2312"/>
          <w:sz w:val="28"/>
          <w:szCs w:val="20"/>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bookmarkStart w:id="0" w:name="_GoBack"/>
      <w:bookmarkEnd w:id="0"/>
    </w:p>
    <w:sectPr>
      <w:headerReference r:id="rId4" w:type="first"/>
      <w:footerReference r:id="rId6" w:type="first"/>
      <w:headerReference r:id="rId3" w:type="default"/>
      <w:footerReference r:id="rId5" w:type="default"/>
      <w:type w:val="continuous"/>
      <w:pgSz w:w="11906" w:h="16838"/>
      <w:pgMar w:top="1440" w:right="1797" w:bottom="1440" w:left="1797" w:header="851" w:footer="992"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10</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A06A2"/>
    <w:rsid w:val="006C24B5"/>
    <w:rsid w:val="007F5CDB"/>
    <w:rsid w:val="00C31C57"/>
    <w:rsid w:val="01D82774"/>
    <w:rsid w:val="01DC0CF9"/>
    <w:rsid w:val="0580577A"/>
    <w:rsid w:val="0B25635F"/>
    <w:rsid w:val="0B2B52C7"/>
    <w:rsid w:val="0B7D479D"/>
    <w:rsid w:val="0CD47D12"/>
    <w:rsid w:val="0D4876B8"/>
    <w:rsid w:val="105E04F0"/>
    <w:rsid w:val="122909FB"/>
    <w:rsid w:val="12A60DD7"/>
    <w:rsid w:val="13A605AB"/>
    <w:rsid w:val="155E137C"/>
    <w:rsid w:val="1C783966"/>
    <w:rsid w:val="1D032AF7"/>
    <w:rsid w:val="1E8E16F6"/>
    <w:rsid w:val="1F091C1A"/>
    <w:rsid w:val="1F916308"/>
    <w:rsid w:val="27B1459F"/>
    <w:rsid w:val="28E12E3B"/>
    <w:rsid w:val="28E84C27"/>
    <w:rsid w:val="2B6614E4"/>
    <w:rsid w:val="2F481688"/>
    <w:rsid w:val="31FF62E7"/>
    <w:rsid w:val="36914074"/>
    <w:rsid w:val="37585373"/>
    <w:rsid w:val="38E35CE7"/>
    <w:rsid w:val="3B6C1E5F"/>
    <w:rsid w:val="3C050EE6"/>
    <w:rsid w:val="3CE416D6"/>
    <w:rsid w:val="3D375A6D"/>
    <w:rsid w:val="40F179B7"/>
    <w:rsid w:val="42D70C67"/>
    <w:rsid w:val="463C4F7E"/>
    <w:rsid w:val="473753AF"/>
    <w:rsid w:val="477D49CD"/>
    <w:rsid w:val="489537AE"/>
    <w:rsid w:val="48C1420E"/>
    <w:rsid w:val="4E4C7FAE"/>
    <w:rsid w:val="4EDC6D4E"/>
    <w:rsid w:val="4F0168AC"/>
    <w:rsid w:val="50030295"/>
    <w:rsid w:val="52B00E32"/>
    <w:rsid w:val="532A1960"/>
    <w:rsid w:val="59FC57EA"/>
    <w:rsid w:val="5B0C20CB"/>
    <w:rsid w:val="5EDA0242"/>
    <w:rsid w:val="60BD20F6"/>
    <w:rsid w:val="62AF14C8"/>
    <w:rsid w:val="642516DC"/>
    <w:rsid w:val="655F3831"/>
    <w:rsid w:val="66FF1A52"/>
    <w:rsid w:val="6711477D"/>
    <w:rsid w:val="6849633A"/>
    <w:rsid w:val="69702479"/>
    <w:rsid w:val="6D535020"/>
    <w:rsid w:val="6DAC5C62"/>
    <w:rsid w:val="6F4D6AAD"/>
    <w:rsid w:val="700A06A2"/>
    <w:rsid w:val="727E6C01"/>
    <w:rsid w:val="734A36E5"/>
    <w:rsid w:val="75AA1968"/>
    <w:rsid w:val="763747C0"/>
    <w:rsid w:val="77F84B46"/>
    <w:rsid w:val="781203CF"/>
    <w:rsid w:val="789C7F6D"/>
    <w:rsid w:val="79DE4A12"/>
    <w:rsid w:val="7CB1107C"/>
    <w:rsid w:val="7CEC1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ind w:firstLine="560" w:firstLineChars="200"/>
    </w:pPr>
    <w:rPr>
      <w:rFonts w:ascii="仿宋_GB2312" w:eastAsia="仿宋_GB2312"/>
      <w:sz w:val="28"/>
    </w:rPr>
  </w:style>
  <w:style w:type="paragraph" w:styleId="4">
    <w:name w:val="Date"/>
    <w:basedOn w:val="1"/>
    <w:next w:val="1"/>
    <w:qFormat/>
    <w:uiPriority w:val="0"/>
    <w:rPr>
      <w:sz w:val="32"/>
      <w:szCs w:val="20"/>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6141</Words>
  <Characters>6678</Characters>
  <Lines>0</Lines>
  <Paragraphs>0</Paragraphs>
  <TotalTime>6</TotalTime>
  <ScaleCrop>false</ScaleCrop>
  <LinksUpToDate>false</LinksUpToDate>
  <CharactersWithSpaces>6875</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2019-10-25T03:49:00Z</dcterms:created>
  <dc:creator>孟轮船s.Vozh_</dc:creator>
  <cp:lastModifiedBy>孟轮船s.Vozh_</cp:lastModifiedBy>
  <dcterms:modified xsi:type="dcterms:W3CDTF">2020-04-24T00:49:05Z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