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ind w:firstLine="31680"/>
        <w:jc w:val="center"/>
        <w:rPr>
          <w:rFonts w:ascii="华文中宋" w:cs="华文中宋"/>
          <w:b/>
          <w:spacing w:val="66"/>
          <w:sz w:val="56"/>
          <w:szCs w:val="24"/>
        </w:rPr>
        <w:sectPr>
          <w:headerReference r:id="rId3" w:type="default"/>
          <w:footerReference r:id="rId4"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p>
    <w:p>
      <w:pPr>
        <w:pStyle w:val="8"/>
        <w:ind w:firstLine="31680"/>
        <w:jc w:val="center"/>
        <w:rPr>
          <w:rFonts w:ascii="华文中宋" w:cs="华文中宋"/>
          <w:b/>
          <w:spacing w:val="66"/>
          <w:sz w:val="56"/>
          <w:szCs w:val="24"/>
        </w:rPr>
      </w:pPr>
    </w:p>
    <w:p>
      <w:pPr>
        <w:pStyle w:val="8"/>
        <w:ind w:firstLine="0" w:firstLineChars="0"/>
        <w:jc w:val="center"/>
        <w:rPr>
          <w:rFonts w:ascii="华文中宋" w:cs="华文中宋"/>
          <w:b/>
          <w:spacing w:val="66"/>
          <w:sz w:val="52"/>
          <w:szCs w:val="52"/>
        </w:rPr>
      </w:pPr>
    </w:p>
    <w:p>
      <w:pPr>
        <w:pStyle w:val="8"/>
        <w:ind w:firstLine="0" w:firstLineChars="0"/>
        <w:jc w:val="center"/>
        <w:rPr>
          <w:rFonts w:ascii="华文中宋" w:cs="华文中宋"/>
          <w:b/>
          <w:spacing w:val="66"/>
          <w:sz w:val="52"/>
          <w:szCs w:val="52"/>
        </w:rPr>
      </w:pPr>
    </w:p>
    <w:p>
      <w:pPr>
        <w:pStyle w:val="8"/>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left="0" w:leftChars="0" w:right="0" w:rightChars="0" w:firstLine="0" w:firstLineChars="0"/>
        <w:jc w:val="center"/>
        <w:textAlignment w:val="auto"/>
        <w:outlineLvl w:val="9"/>
        <w:rPr>
          <w:rFonts w:ascii="华文中宋" w:cs="华文中宋"/>
          <w:b/>
          <w:spacing w:val="66"/>
          <w:sz w:val="52"/>
          <w:szCs w:val="52"/>
        </w:rPr>
      </w:pPr>
      <w:r>
        <w:rPr>
          <w:rFonts w:hint="eastAsia" w:ascii="Calibri" w:hAnsi="Calibri" w:eastAsia="华文中宋" w:cs="Times New Roman"/>
          <w:b/>
          <w:spacing w:val="34"/>
          <w:kern w:val="44"/>
          <w:sz w:val="52"/>
          <w:szCs w:val="52"/>
          <w:lang w:val="en-US" w:eastAsia="zh-CN" w:bidi="ar-SA"/>
        </w:rPr>
        <w:t>房</w:t>
      </w:r>
      <w:r>
        <w:rPr>
          <w:rFonts w:hint="eastAsia" w:ascii="Calibri" w:hAnsi="Calibri" w:cs="Times New Roman"/>
          <w:b/>
          <w:spacing w:val="34"/>
          <w:kern w:val="44"/>
          <w:sz w:val="52"/>
          <w:szCs w:val="52"/>
          <w:lang w:val="en-US" w:eastAsia="zh-CN" w:bidi="ar-SA"/>
        </w:rPr>
        <w:t xml:space="preserve"> </w:t>
      </w:r>
      <w:r>
        <w:rPr>
          <w:rFonts w:hint="eastAsia" w:ascii="Calibri" w:hAnsi="Calibri" w:eastAsia="华文中宋" w:cs="Times New Roman"/>
          <w:b/>
          <w:spacing w:val="34"/>
          <w:kern w:val="44"/>
          <w:sz w:val="52"/>
          <w:szCs w:val="52"/>
          <w:lang w:val="en-US" w:eastAsia="zh-CN" w:bidi="ar-SA"/>
        </w:rPr>
        <w:t>地</w:t>
      </w:r>
      <w:r>
        <w:rPr>
          <w:rFonts w:hint="eastAsia" w:ascii="Calibri" w:hAnsi="Calibri" w:cs="Times New Roman"/>
          <w:b/>
          <w:spacing w:val="34"/>
          <w:kern w:val="44"/>
          <w:sz w:val="52"/>
          <w:szCs w:val="52"/>
          <w:lang w:val="en-US" w:eastAsia="zh-CN" w:bidi="ar-SA"/>
        </w:rPr>
        <w:t xml:space="preserve"> </w:t>
      </w:r>
      <w:r>
        <w:rPr>
          <w:rFonts w:hint="eastAsia" w:ascii="Calibri" w:hAnsi="Calibri" w:eastAsia="华文中宋" w:cs="Times New Roman"/>
          <w:b/>
          <w:spacing w:val="34"/>
          <w:kern w:val="44"/>
          <w:sz w:val="52"/>
          <w:szCs w:val="52"/>
          <w:lang w:val="en-US" w:eastAsia="zh-CN" w:bidi="ar-SA"/>
        </w:rPr>
        <w:t>产</w:t>
      </w:r>
      <w:r>
        <w:rPr>
          <w:rFonts w:hint="eastAsia" w:ascii="Calibri" w:hAnsi="Calibri" w:cs="Times New Roman"/>
          <w:b/>
          <w:spacing w:val="34"/>
          <w:kern w:val="44"/>
          <w:sz w:val="52"/>
          <w:szCs w:val="52"/>
          <w:lang w:val="en-US" w:eastAsia="zh-CN" w:bidi="ar-SA"/>
        </w:rPr>
        <w:t xml:space="preserve"> </w:t>
      </w:r>
      <w:r>
        <w:rPr>
          <w:rFonts w:hint="eastAsia" w:ascii="Calibri" w:hAnsi="Calibri" w:eastAsia="华文中宋" w:cs="Times New Roman"/>
          <w:b/>
          <w:spacing w:val="34"/>
          <w:kern w:val="44"/>
          <w:sz w:val="52"/>
          <w:szCs w:val="52"/>
          <w:lang w:val="en-US" w:eastAsia="zh-CN" w:bidi="ar-SA"/>
        </w:rPr>
        <w:t>估</w:t>
      </w:r>
      <w:r>
        <w:rPr>
          <w:rFonts w:hint="eastAsia" w:ascii="Calibri" w:hAnsi="Calibri" w:cs="Times New Roman"/>
          <w:b/>
          <w:spacing w:val="34"/>
          <w:kern w:val="44"/>
          <w:sz w:val="52"/>
          <w:szCs w:val="52"/>
          <w:lang w:val="en-US" w:eastAsia="zh-CN" w:bidi="ar-SA"/>
        </w:rPr>
        <w:t xml:space="preserve"> </w:t>
      </w:r>
      <w:r>
        <w:rPr>
          <w:rFonts w:hint="eastAsia" w:ascii="Calibri" w:hAnsi="Calibri" w:eastAsia="华文中宋" w:cs="Times New Roman"/>
          <w:b/>
          <w:spacing w:val="34"/>
          <w:kern w:val="44"/>
          <w:sz w:val="52"/>
          <w:szCs w:val="52"/>
          <w:lang w:val="en-US" w:eastAsia="zh-CN" w:bidi="ar-SA"/>
        </w:rPr>
        <w:t>价</w:t>
      </w:r>
      <w:r>
        <w:rPr>
          <w:rFonts w:hint="eastAsia" w:ascii="Calibri" w:hAnsi="Calibri" w:cs="Times New Roman"/>
          <w:b/>
          <w:spacing w:val="34"/>
          <w:kern w:val="44"/>
          <w:sz w:val="52"/>
          <w:szCs w:val="52"/>
          <w:lang w:val="en-US" w:eastAsia="zh-CN" w:bidi="ar-SA"/>
        </w:rPr>
        <w:t xml:space="preserve"> </w:t>
      </w:r>
      <w:r>
        <w:rPr>
          <w:rFonts w:hint="eastAsia" w:ascii="Calibri" w:hAnsi="Calibri" w:eastAsia="华文中宋" w:cs="Times New Roman"/>
          <w:b/>
          <w:spacing w:val="34"/>
          <w:kern w:val="44"/>
          <w:sz w:val="52"/>
          <w:szCs w:val="52"/>
          <w:lang w:val="en-US" w:eastAsia="zh-CN" w:bidi="ar-SA"/>
        </w:rPr>
        <w:t>报</w:t>
      </w:r>
      <w:r>
        <w:rPr>
          <w:rFonts w:hint="eastAsia" w:ascii="Calibri" w:hAnsi="Calibri" w:cs="Times New Roman"/>
          <w:b/>
          <w:spacing w:val="34"/>
          <w:kern w:val="44"/>
          <w:sz w:val="52"/>
          <w:szCs w:val="52"/>
          <w:lang w:val="en-US" w:eastAsia="zh-CN" w:bidi="ar-SA"/>
        </w:rPr>
        <w:t xml:space="preserve"> </w:t>
      </w:r>
      <w:r>
        <w:rPr>
          <w:rFonts w:hint="eastAsia" w:ascii="Calibri" w:hAnsi="Calibri" w:eastAsia="华文中宋" w:cs="Times New Roman"/>
          <w:b/>
          <w:spacing w:val="34"/>
          <w:kern w:val="44"/>
          <w:sz w:val="52"/>
          <w:szCs w:val="52"/>
          <w:lang w:val="en-US" w:eastAsia="zh-CN" w:bidi="ar-SA"/>
        </w:rPr>
        <w:t>告</w:t>
      </w:r>
    </w:p>
    <w:p>
      <w:pPr>
        <w:pStyle w:val="8"/>
        <w:ind w:firstLine="31680"/>
        <w:jc w:val="center"/>
        <w:rPr>
          <w:rFonts w:ascii="华文中宋" w:cs="华文中宋"/>
          <w:b/>
          <w:spacing w:val="66"/>
          <w:sz w:val="52"/>
          <w:szCs w:val="52"/>
        </w:rPr>
      </w:pPr>
    </w:p>
    <w:p>
      <w:pPr>
        <w:pStyle w:val="8"/>
        <w:ind w:firstLine="31680"/>
        <w:jc w:val="center"/>
        <w:rPr>
          <w:rFonts w:ascii="华文中宋" w:cs="华文中宋"/>
          <w:b/>
          <w:spacing w:val="66"/>
          <w:sz w:val="52"/>
          <w:szCs w:val="52"/>
        </w:rPr>
      </w:pPr>
    </w:p>
    <w:p>
      <w:pPr>
        <w:pStyle w:val="8"/>
        <w:ind w:firstLine="31680"/>
        <w:jc w:val="center"/>
        <w:rPr>
          <w:rFonts w:ascii="华文中宋" w:cs="华文中宋"/>
          <w:b/>
          <w:spacing w:val="66"/>
          <w:sz w:val="44"/>
        </w:rPr>
      </w:pPr>
    </w:p>
    <w:p>
      <w:pPr>
        <w:pStyle w:val="8"/>
        <w:ind w:firstLine="31680"/>
        <w:jc w:val="center"/>
        <w:rPr>
          <w:rFonts w:ascii="华文中宋" w:cs="华文中宋"/>
          <w:b/>
          <w:spacing w:val="66"/>
          <w:sz w:val="44"/>
        </w:rPr>
      </w:pPr>
    </w:p>
    <w:p>
      <w:pPr>
        <w:pStyle w:val="8"/>
        <w:ind w:firstLine="31680"/>
        <w:jc w:val="center"/>
        <w:rPr>
          <w:rFonts w:ascii="华文中宋" w:cs="华文中宋"/>
          <w:b/>
          <w:spacing w:val="66"/>
          <w:sz w:val="44"/>
        </w:rPr>
      </w:pPr>
    </w:p>
    <w:p>
      <w:pPr>
        <w:pStyle w:val="8"/>
        <w:ind w:firstLine="31680"/>
        <w:jc w:val="center"/>
        <w:rPr>
          <w:rFonts w:ascii="华文中宋" w:cs="华文中宋"/>
          <w:b/>
          <w:spacing w:val="66"/>
          <w:sz w:val="44"/>
        </w:rPr>
      </w:pPr>
    </w:p>
    <w:p>
      <w:pPr>
        <w:pStyle w:val="8"/>
        <w:ind w:firstLine="31680"/>
        <w:jc w:val="center"/>
        <w:rPr>
          <w:rFonts w:ascii="华文中宋" w:cs="华文中宋"/>
          <w:b/>
          <w:spacing w:val="66"/>
          <w:sz w:val="44"/>
        </w:rPr>
      </w:pPr>
    </w:p>
    <w:p>
      <w:pPr>
        <w:pStyle w:val="8"/>
        <w:ind w:firstLine="31680"/>
        <w:jc w:val="center"/>
        <w:rPr>
          <w:rFonts w:ascii="华文中宋" w:cs="华文中宋"/>
          <w:b/>
          <w:spacing w:val="66"/>
          <w:sz w:val="44"/>
        </w:rPr>
      </w:pPr>
    </w:p>
    <w:p>
      <w:pPr>
        <w:pStyle w:val="8"/>
        <w:ind w:firstLine="31680"/>
        <w:jc w:val="center"/>
        <w:rPr>
          <w:rFonts w:ascii="华文中宋" w:cs="华文中宋"/>
          <w:b/>
          <w:spacing w:val="66"/>
          <w:sz w:val="44"/>
        </w:rPr>
      </w:pPr>
    </w:p>
    <w:p>
      <w:pPr>
        <w:pStyle w:val="8"/>
        <w:ind w:left="0" w:leftChars="0" w:firstLine="0" w:firstLineChars="0"/>
        <w:rPr>
          <w:rFonts w:hint="eastAsia" w:ascii="华文中宋" w:eastAsia="华文中宋" w:cs="华文中宋"/>
          <w:b/>
          <w:spacing w:val="40"/>
          <w:sz w:val="44"/>
          <w:lang w:eastAsia="zh-CN"/>
        </w:rPr>
      </w:pPr>
    </w:p>
    <w:p>
      <w:pPr>
        <w:tabs>
          <w:tab w:val="left" w:pos="8280"/>
        </w:tabs>
        <w:spacing w:line="720" w:lineRule="exact"/>
        <w:ind w:left="2042" w:leftChars="200" w:hanging="1562" w:hangingChars="650"/>
        <w:rPr>
          <w:rFonts w:ascii="华文中宋" w:cs="华文中宋"/>
          <w:b/>
          <w:bCs/>
          <w:szCs w:val="24"/>
        </w:rPr>
      </w:pPr>
      <w:r>
        <w:rPr>
          <w:rFonts w:hint="eastAsia" w:ascii="华文中宋" w:hAnsi="华文中宋" w:cs="华文中宋"/>
          <w:b/>
          <w:bCs/>
          <w:szCs w:val="24"/>
        </w:rPr>
        <w:t>估价项目名称：</w:t>
      </w:r>
      <w:r>
        <w:rPr>
          <w:rFonts w:hint="eastAsia" w:ascii="华文中宋" w:hAnsi="华文中宋" w:cs="华文中宋"/>
          <w:b/>
          <w:bCs/>
          <w:szCs w:val="24"/>
          <w:lang w:eastAsia="zh-CN"/>
        </w:rPr>
        <w:t>盖州市西城办事处站前社区华阳锦绣家园小区16号楼1单元1101室的涉案住宅房地产</w:t>
      </w:r>
      <w:r>
        <w:rPr>
          <w:rFonts w:hint="eastAsia" w:ascii="华文中宋" w:hAnsi="华文中宋" w:cs="华文中宋"/>
          <w:b/>
          <w:bCs/>
          <w:szCs w:val="24"/>
        </w:rPr>
        <w:t>司法鉴定估价项目</w:t>
      </w:r>
    </w:p>
    <w:p>
      <w:pPr>
        <w:tabs>
          <w:tab w:val="left" w:pos="8280"/>
        </w:tabs>
        <w:spacing w:line="720" w:lineRule="exact"/>
        <w:ind w:left="2042" w:leftChars="200" w:hanging="1562" w:hangingChars="650"/>
        <w:rPr>
          <w:rFonts w:hint="eastAsia" w:ascii="华文中宋" w:hAnsi="华文中宋" w:cs="华文中宋"/>
          <w:b/>
          <w:bCs/>
          <w:szCs w:val="24"/>
          <w:lang w:eastAsia="zh-CN"/>
        </w:rPr>
      </w:pPr>
      <w:r>
        <w:rPr>
          <w:rFonts w:hint="eastAsia" w:ascii="华文中宋" w:hAnsi="华文中宋" w:cs="华文中宋"/>
          <w:b/>
          <w:bCs/>
          <w:szCs w:val="24"/>
        </w:rPr>
        <w:t>估价委托人：</w:t>
      </w:r>
      <w:r>
        <w:rPr>
          <w:rFonts w:hint="eastAsia" w:ascii="华文中宋" w:hAnsi="华文中宋" w:cs="华文中宋"/>
          <w:b/>
          <w:bCs/>
          <w:szCs w:val="24"/>
          <w:lang w:eastAsia="zh-CN"/>
        </w:rPr>
        <w:t>营口市中级人民法院</w:t>
      </w:r>
    </w:p>
    <w:p>
      <w:pPr>
        <w:tabs>
          <w:tab w:val="left" w:pos="8280"/>
        </w:tabs>
        <w:spacing w:line="720" w:lineRule="exact"/>
        <w:ind w:left="2042" w:leftChars="200" w:hanging="1562" w:hangingChars="650"/>
        <w:rPr>
          <w:rFonts w:ascii="华文中宋" w:cs="华文中宋"/>
          <w:b/>
          <w:bCs/>
          <w:szCs w:val="24"/>
        </w:rPr>
      </w:pPr>
      <w:r>
        <w:rPr>
          <w:rFonts w:hint="eastAsia" w:ascii="华文中宋" w:hAnsi="华文中宋" w:cs="华文中宋"/>
          <w:b/>
          <w:bCs/>
          <w:szCs w:val="24"/>
        </w:rPr>
        <w:t>房地产估价机构：辽宁九州房产土地资产评估有限公司</w:t>
      </w:r>
    </w:p>
    <w:p>
      <w:pPr>
        <w:tabs>
          <w:tab w:val="left" w:pos="8280"/>
        </w:tabs>
        <w:spacing w:line="720" w:lineRule="exact"/>
        <w:ind w:left="2042" w:leftChars="200" w:hanging="1562" w:hangingChars="650"/>
        <w:rPr>
          <w:rFonts w:ascii="华文中宋" w:cs="华文中宋"/>
          <w:b/>
          <w:bCs/>
          <w:szCs w:val="24"/>
        </w:rPr>
      </w:pPr>
      <w:r>
        <w:rPr>
          <w:rFonts w:hint="eastAsia" w:ascii="华文中宋" w:hAnsi="华文中宋" w:cs="华文中宋"/>
          <w:b/>
          <w:bCs/>
          <w:szCs w:val="24"/>
        </w:rPr>
        <w:t>注册房地产估价师：张国良</w:t>
      </w:r>
      <w:r>
        <w:rPr>
          <w:rFonts w:hint="eastAsia" w:ascii="华文中宋" w:hAnsi="华文中宋" w:cs="华文中宋"/>
          <w:b/>
          <w:bCs/>
          <w:szCs w:val="24"/>
          <w:lang w:val="en-US" w:eastAsia="zh-CN"/>
        </w:rPr>
        <w:t xml:space="preserve">     </w:t>
      </w:r>
      <w:r>
        <w:rPr>
          <w:rFonts w:hint="eastAsia" w:ascii="华文中宋" w:hAnsi="华文中宋" w:cs="华文中宋"/>
          <w:b/>
          <w:bCs/>
          <w:szCs w:val="24"/>
        </w:rPr>
        <w:t>注册号：</w:t>
      </w:r>
      <w:r>
        <w:rPr>
          <w:rFonts w:ascii="华文中宋" w:hAnsi="华文中宋" w:cs="华文中宋"/>
          <w:b/>
          <w:bCs/>
          <w:szCs w:val="24"/>
        </w:rPr>
        <w:t>2120140022</w:t>
      </w:r>
    </w:p>
    <w:p>
      <w:pPr>
        <w:tabs>
          <w:tab w:val="left" w:pos="8280"/>
        </w:tabs>
        <w:spacing w:line="720" w:lineRule="exact"/>
        <w:ind w:left="2040" w:leftChars="850" w:firstLine="601" w:firstLineChars="250"/>
        <w:rPr>
          <w:rFonts w:hint="eastAsia" w:ascii="华文中宋" w:eastAsia="华文中宋" w:cs="华文中宋"/>
          <w:b/>
          <w:bCs/>
          <w:szCs w:val="24"/>
          <w:lang w:eastAsia="zh-CN"/>
        </w:rPr>
      </w:pPr>
      <w:r>
        <w:rPr>
          <w:rFonts w:hint="eastAsia" w:ascii="华文中宋" w:hAnsi="华文中宋" w:cs="华文中宋"/>
          <w:b/>
          <w:bCs/>
          <w:szCs w:val="24"/>
          <w:lang w:eastAsia="zh-CN"/>
        </w:rPr>
        <w:t>宋春兰</w:t>
      </w:r>
      <w:r>
        <w:rPr>
          <w:rFonts w:hint="eastAsia" w:ascii="华文中宋" w:hAnsi="华文中宋" w:cs="华文中宋"/>
          <w:b/>
          <w:bCs/>
          <w:szCs w:val="24"/>
          <w:lang w:val="en-US" w:eastAsia="zh-CN"/>
        </w:rPr>
        <w:t xml:space="preserve">     </w:t>
      </w:r>
      <w:r>
        <w:rPr>
          <w:rFonts w:hint="eastAsia" w:ascii="华文中宋" w:hAnsi="华文中宋" w:cs="华文中宋"/>
          <w:b/>
          <w:bCs/>
          <w:szCs w:val="24"/>
        </w:rPr>
        <w:t>注册号：</w:t>
      </w:r>
      <w:r>
        <w:rPr>
          <w:rFonts w:hint="eastAsia" w:ascii="华文中宋" w:hAnsi="华文中宋" w:cs="华文中宋"/>
          <w:b/>
          <w:bCs/>
          <w:szCs w:val="24"/>
          <w:lang w:eastAsia="zh-CN"/>
        </w:rPr>
        <w:t>2120090002</w:t>
      </w:r>
    </w:p>
    <w:p>
      <w:pPr>
        <w:tabs>
          <w:tab w:val="left" w:pos="8280"/>
        </w:tabs>
        <w:spacing w:line="720" w:lineRule="exact"/>
        <w:ind w:left="2042" w:leftChars="200" w:hanging="1562" w:hangingChars="650"/>
        <w:rPr>
          <w:rFonts w:ascii="华文中宋" w:cs="华文中宋"/>
          <w:b/>
          <w:bCs/>
          <w:szCs w:val="24"/>
          <w:highlight w:val="none"/>
        </w:rPr>
      </w:pPr>
      <w:r>
        <w:rPr>
          <w:rFonts w:hint="eastAsia" w:ascii="华文中宋" w:hAnsi="华文中宋" w:cs="华文中宋"/>
          <w:b/>
          <w:bCs/>
          <w:szCs w:val="24"/>
        </w:rPr>
        <w:t>估价报告出具日</w:t>
      </w:r>
      <w:r>
        <w:rPr>
          <w:rFonts w:hint="eastAsia" w:ascii="华文中宋" w:hAnsi="华文中宋" w:cs="华文中宋"/>
          <w:b/>
          <w:bCs/>
          <w:szCs w:val="24"/>
          <w:highlight w:val="none"/>
        </w:rPr>
        <w:t>期：</w:t>
      </w:r>
      <w:r>
        <w:rPr>
          <w:rFonts w:hint="eastAsia" w:ascii="华文中宋" w:hAnsi="华文中宋" w:cs="华文中宋"/>
          <w:b/>
          <w:bCs/>
          <w:szCs w:val="24"/>
          <w:highlight w:val="none"/>
          <w:lang w:eastAsia="zh-CN"/>
        </w:rPr>
        <w:t>2019年1月8日</w:t>
      </w:r>
    </w:p>
    <w:p>
      <w:pPr>
        <w:tabs>
          <w:tab w:val="left" w:pos="8280"/>
        </w:tabs>
        <w:spacing w:line="720" w:lineRule="exact"/>
        <w:ind w:left="2042" w:leftChars="200" w:hanging="1562" w:hangingChars="650"/>
        <w:rPr>
          <w:rFonts w:hint="eastAsia" w:ascii="华文中宋" w:eastAsia="华文中宋" w:cs="华文中宋"/>
          <w:sz w:val="32"/>
          <w:szCs w:val="32"/>
          <w:highlight w:val="none"/>
          <w:lang w:eastAsia="zh-CN"/>
        </w:rPr>
      </w:pPr>
      <w:r>
        <w:rPr>
          <w:rFonts w:hint="eastAsia" w:ascii="华文中宋" w:hAnsi="华文中宋" w:cs="华文中宋"/>
          <w:b/>
          <w:bCs/>
          <w:szCs w:val="24"/>
          <w:highlight w:val="none"/>
        </w:rPr>
        <w:t>估价报告编号：辽九州房估字</w:t>
      </w:r>
      <w:r>
        <w:rPr>
          <w:rFonts w:hint="eastAsia" w:ascii="华文中宋" w:hAnsi="华文中宋" w:cs="华文中宋"/>
          <w:b/>
          <w:bCs/>
          <w:szCs w:val="24"/>
          <w:highlight w:val="none"/>
          <w:lang w:eastAsia="zh-CN"/>
        </w:rPr>
        <w:t>[2019]第1901005A号</w:t>
      </w:r>
    </w:p>
    <w:p>
      <w:pPr>
        <w:pStyle w:val="2"/>
        <w:spacing w:before="156" w:after="156"/>
        <w:rPr>
          <w:rFonts w:hint="eastAsia"/>
          <w:szCs w:val="22"/>
        </w:rPr>
        <w:sectPr>
          <w:headerReference r:id="rId6" w:type="first"/>
          <w:footerReference r:id="rId7" w:type="first"/>
          <w:headerReference r:id="rId5"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p>
    <w:p>
      <w:pPr>
        <w:pStyle w:val="2"/>
        <w:spacing w:before="156" w:after="156"/>
        <w:rPr>
          <w:rFonts w:hint="eastAsia"/>
          <w:szCs w:val="22"/>
        </w:rPr>
      </w:pPr>
    </w:p>
    <w:p>
      <w:pPr>
        <w:pStyle w:val="2"/>
        <w:spacing w:before="156" w:after="156"/>
        <w:rPr>
          <w:rFonts w:hint="eastAsia"/>
          <w:szCs w:val="22"/>
        </w:rPr>
      </w:pPr>
      <w:r>
        <w:rPr>
          <w:rFonts w:hint="eastAsia"/>
          <w:szCs w:val="22"/>
        </w:rPr>
        <w:t>致估价委托人函</w:t>
      </w:r>
    </w:p>
    <w:p>
      <w:pPr>
        <w:tabs>
          <w:tab w:val="left" w:pos="8280"/>
        </w:tabs>
        <w:spacing w:line="420" w:lineRule="exact"/>
        <w:ind w:firstLine="0" w:firstLineChars="0"/>
        <w:jc w:val="left"/>
        <w:rPr>
          <w:rFonts w:ascii="华文中宋" w:cs="华文中宋"/>
          <w:b/>
          <w:bCs/>
          <w:szCs w:val="24"/>
        </w:rPr>
      </w:pPr>
      <w:r>
        <w:rPr>
          <w:rFonts w:hint="eastAsia" w:ascii="华文中宋" w:hAnsi="华文中宋" w:cs="华文中宋"/>
          <w:b/>
          <w:bCs/>
          <w:szCs w:val="24"/>
          <w:lang w:eastAsia="zh-CN"/>
        </w:rPr>
        <w:t>营口市中级人民法院</w:t>
      </w:r>
      <w:r>
        <w:rPr>
          <w:rFonts w:hint="eastAsia" w:ascii="华文中宋" w:hAnsi="华文中宋" w:cs="华文中宋"/>
          <w:b/>
          <w:bCs/>
          <w:szCs w:val="24"/>
        </w:rPr>
        <w:t>：</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both"/>
        <w:textAlignment w:val="auto"/>
        <w:outlineLvl w:val="9"/>
        <w:rPr>
          <w:rFonts w:ascii="华文中宋" w:cs="华文中宋"/>
          <w:szCs w:val="24"/>
        </w:rPr>
      </w:pPr>
      <w:r>
        <w:rPr>
          <w:rFonts w:hint="eastAsia" w:ascii="华文中宋" w:hAnsi="华文中宋" w:cs="华文中宋"/>
          <w:szCs w:val="24"/>
        </w:rPr>
        <w:t>我公司接受贵院的委托，根据</w:t>
      </w:r>
      <w:r>
        <w:rPr>
          <w:rFonts w:hint="eastAsia" w:ascii="华文中宋" w:hAnsi="华文中宋" w:cs="华文中宋"/>
          <w:szCs w:val="24"/>
          <w:lang w:eastAsia="zh-CN"/>
        </w:rPr>
        <w:t>《司法鉴定委托书》（2018）营中法鉴字第1084号</w:t>
      </w:r>
      <w:r>
        <w:rPr>
          <w:rFonts w:hint="eastAsia" w:ascii="华文中宋" w:hAnsi="华文中宋" w:cs="华文中宋"/>
          <w:szCs w:val="24"/>
        </w:rPr>
        <w:t>，</w:t>
      </w:r>
      <w:r>
        <w:rPr>
          <w:rFonts w:hint="eastAsia" w:ascii="华文中宋" w:hAnsi="华文中宋" w:cs="华文中宋"/>
          <w:szCs w:val="24"/>
          <w:lang w:eastAsia="zh-CN"/>
        </w:rPr>
        <w:t>我公司对贵院受理的鉴定申请人张瑜与鉴定被申请人姜德柱、文晓明一案所涉及的位于盖州市西城办事处站前社区华阳锦绣家园小区16号楼1单元1101室的住宅房地产进行估价，秉着独立、客观、公正原则，选派公司注册房地产估价师组成专门小组，认真进行了对委估</w:t>
      </w:r>
      <w:r>
        <w:rPr>
          <w:rFonts w:hint="eastAsia" w:ascii="华文中宋" w:hAnsi="华文中宋" w:cs="华文中宋"/>
          <w:szCs w:val="24"/>
        </w:rPr>
        <w:t>房产实地查勘与深入市场调查，遵照《中华人民共和国城市房地产管理法》、《房地产估价规范》</w:t>
      </w:r>
      <w:r>
        <w:rPr>
          <w:rFonts w:ascii="华文中宋" w:hAnsi="华文中宋" w:cs="华文中宋"/>
          <w:szCs w:val="24"/>
        </w:rPr>
        <w:t>GB/T50291-2015</w:t>
      </w:r>
      <w:r>
        <w:rPr>
          <w:rFonts w:hint="eastAsia" w:ascii="华文中宋" w:hAnsi="华文中宋" w:cs="华文中宋"/>
          <w:szCs w:val="24"/>
        </w:rPr>
        <w:t>、《房地产估价基本术语标准》</w:t>
      </w:r>
      <w:r>
        <w:rPr>
          <w:rFonts w:ascii="华文中宋" w:hAnsi="华文中宋" w:cs="华文中宋"/>
          <w:szCs w:val="24"/>
        </w:rPr>
        <w:t>GB/T50899-2013</w:t>
      </w:r>
      <w:r>
        <w:rPr>
          <w:rFonts w:hint="eastAsia" w:ascii="华文中宋" w:hAnsi="华文中宋" w:cs="华文中宋"/>
          <w:szCs w:val="24"/>
        </w:rPr>
        <w:t>等法律法规和技术标准，经全面研究、分析、测算后，已完成房地产估价报告，其估价项目基本事项与估价结果如下：</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both"/>
        <w:textAlignment w:val="auto"/>
        <w:outlineLvl w:val="9"/>
        <w:rPr>
          <w:rFonts w:ascii="华文中宋" w:cs="华文中宋"/>
          <w:szCs w:val="24"/>
        </w:rPr>
      </w:pPr>
      <w:r>
        <w:rPr>
          <w:rFonts w:hint="eastAsia" w:ascii="华文中宋" w:hAnsi="华文中宋" w:cs="华文中宋"/>
          <w:szCs w:val="24"/>
        </w:rPr>
        <w:t>一、估价目的：</w:t>
      </w:r>
      <w:r>
        <w:rPr>
          <w:rFonts w:hint="eastAsia" w:ascii="华文中宋" w:hAnsi="华文中宋" w:eastAsia="华文中宋" w:cs="华文中宋"/>
          <w:szCs w:val="24"/>
        </w:rPr>
        <w:t>为</w:t>
      </w:r>
      <w:r>
        <w:rPr>
          <w:rFonts w:hint="eastAsia" w:ascii="华文中宋" w:hAnsi="华文中宋" w:cs="华文中宋"/>
          <w:szCs w:val="24"/>
          <w:lang w:eastAsia="zh-CN"/>
        </w:rPr>
        <w:t>营口市中级人民法院审理鉴定申请人张瑜</w:t>
      </w:r>
      <w:r>
        <w:rPr>
          <w:rFonts w:hint="eastAsia" w:ascii="华文中宋" w:hAnsi="华文中宋" w:cs="华文中宋"/>
          <w:color w:val="auto"/>
          <w:szCs w:val="24"/>
        </w:rPr>
        <w:t>与</w:t>
      </w:r>
      <w:r>
        <w:rPr>
          <w:rFonts w:hint="eastAsia" w:ascii="华文中宋" w:hAnsi="华文中宋" w:cs="华文中宋"/>
          <w:color w:val="auto"/>
          <w:szCs w:val="24"/>
          <w:lang w:eastAsia="zh-CN"/>
        </w:rPr>
        <w:t>鉴定被申请人姜德柱、文晓明</w:t>
      </w:r>
      <w:r>
        <w:rPr>
          <w:rFonts w:hint="eastAsia" w:ascii="华文中宋" w:hAnsi="华文中宋" w:cs="华文中宋"/>
          <w:szCs w:val="24"/>
          <w:lang w:eastAsia="zh-CN"/>
        </w:rPr>
        <w:t>一案，</w:t>
      </w:r>
      <w:r>
        <w:rPr>
          <w:rFonts w:hint="eastAsia" w:ascii="华文中宋" w:hAnsi="华文中宋" w:cs="华文中宋"/>
          <w:szCs w:val="24"/>
          <w:lang w:val="en-US" w:eastAsia="zh-CN"/>
        </w:rPr>
        <w:t>确定估价对象在价值时点的市场价值，为该</w:t>
      </w:r>
      <w:r>
        <w:rPr>
          <w:rFonts w:hint="eastAsia" w:ascii="华文中宋" w:hAnsi="华文中宋" w:eastAsia="华文中宋" w:cs="华文中宋"/>
          <w:szCs w:val="24"/>
        </w:rPr>
        <w:t>司法执行提供价值参考依据。</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both"/>
        <w:textAlignment w:val="auto"/>
        <w:outlineLvl w:val="9"/>
        <w:rPr>
          <w:rFonts w:ascii="华文中宋" w:cs="华文中宋"/>
          <w:szCs w:val="24"/>
        </w:rPr>
      </w:pPr>
      <w:r>
        <w:rPr>
          <w:rFonts w:hint="eastAsia" w:ascii="华文中宋" w:hAnsi="华文中宋" w:cs="华文中宋"/>
          <w:szCs w:val="24"/>
        </w:rPr>
        <w:t>二、估价对象：</w:t>
      </w:r>
      <w:r>
        <w:rPr>
          <w:rFonts w:hint="eastAsia" w:ascii="华文中宋" w:hAnsi="华文中宋" w:cs="华文中宋"/>
          <w:szCs w:val="24"/>
          <w:lang w:eastAsia="zh-CN"/>
        </w:rPr>
        <w:t>位于盖州市西城办事处站前社区华阳锦绣家园小区16号楼1单元1101室的住宅房地产</w:t>
      </w:r>
      <w:r>
        <w:rPr>
          <w:rFonts w:hint="eastAsia" w:ascii="华文中宋" w:hAnsi="华文中宋" w:cs="华文中宋"/>
          <w:szCs w:val="24"/>
        </w:rPr>
        <w:t>，建筑面积为</w:t>
      </w:r>
      <w:r>
        <w:rPr>
          <w:rFonts w:hint="eastAsia" w:ascii="华文中宋" w:hAnsi="华文中宋" w:cs="华文中宋"/>
          <w:szCs w:val="24"/>
          <w:lang w:val="en-US" w:eastAsia="zh-CN"/>
        </w:rPr>
        <w:t>156.9㎡</w:t>
      </w:r>
      <w:r>
        <w:rPr>
          <w:rFonts w:hint="eastAsia" w:ascii="华文中宋" w:hAnsi="华文中宋" w:cs="华文中宋"/>
          <w:szCs w:val="24"/>
          <w:lang w:eastAsia="zh-CN"/>
        </w:rPr>
        <w:t>；估价范围包含委估房屋、房屋所分摊国有土地使用权、装饰装修及保证房屋正常使用功能与房屋相连不可分割配套设施等，不包含房屋内部家电、家具等可移动资产。</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both"/>
        <w:textAlignment w:val="auto"/>
        <w:outlineLvl w:val="9"/>
        <w:rPr>
          <w:rFonts w:ascii="华文中宋" w:cs="华文中宋"/>
          <w:szCs w:val="24"/>
        </w:rPr>
      </w:pPr>
      <w:r>
        <w:rPr>
          <w:rFonts w:hint="eastAsia" w:ascii="华文中宋" w:hAnsi="华文中宋" w:cs="华文中宋"/>
          <w:szCs w:val="24"/>
        </w:rPr>
        <w:t>三、价值时点：</w:t>
      </w:r>
      <w:r>
        <w:rPr>
          <w:rFonts w:hint="eastAsia" w:ascii="华文中宋" w:hAnsi="华文中宋" w:cs="华文中宋"/>
          <w:szCs w:val="24"/>
          <w:lang w:eastAsia="zh-CN"/>
        </w:rPr>
        <w:t>2018年12月24日</w:t>
      </w:r>
      <w:r>
        <w:rPr>
          <w:rFonts w:hint="eastAsia" w:ascii="华文中宋" w:hAnsi="华文中宋" w:cs="华文中宋"/>
          <w:szCs w:val="24"/>
        </w:rPr>
        <w:t>。</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both"/>
        <w:textAlignment w:val="auto"/>
        <w:outlineLvl w:val="9"/>
        <w:rPr>
          <w:rFonts w:ascii="华文中宋" w:cs="华文中宋"/>
          <w:szCs w:val="24"/>
        </w:rPr>
      </w:pPr>
      <w:r>
        <w:rPr>
          <w:rFonts w:hint="eastAsia" w:ascii="华文中宋" w:hAnsi="华文中宋" w:cs="华文中宋"/>
          <w:szCs w:val="24"/>
        </w:rPr>
        <w:t>四、价值类型：市场价值。</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both"/>
        <w:textAlignment w:val="auto"/>
        <w:outlineLvl w:val="9"/>
        <w:rPr>
          <w:rFonts w:ascii="华文中宋" w:cs="华文中宋"/>
          <w:szCs w:val="24"/>
        </w:rPr>
      </w:pPr>
      <w:r>
        <w:rPr>
          <w:rFonts w:hint="eastAsia" w:ascii="华文中宋" w:hAnsi="华文中宋" w:cs="华文中宋"/>
          <w:szCs w:val="24"/>
        </w:rPr>
        <w:t>五、估价方法：比较法。</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both"/>
        <w:textAlignment w:val="auto"/>
        <w:outlineLvl w:val="9"/>
        <w:rPr>
          <w:rFonts w:hint="eastAsia" w:ascii="华文中宋" w:hAnsi="华文中宋" w:cs="华文中宋"/>
          <w:szCs w:val="24"/>
        </w:rPr>
      </w:pPr>
      <w:r>
        <w:rPr>
          <w:rFonts w:hint="eastAsia" w:ascii="华文中宋" w:hAnsi="华文中宋" w:cs="华文中宋"/>
          <w:szCs w:val="24"/>
        </w:rPr>
        <w:t>六、估价结果：估价对象于价值时点</w:t>
      </w:r>
      <w:r>
        <w:rPr>
          <w:rFonts w:hint="eastAsia" w:ascii="华文中宋" w:hAnsi="华文中宋" w:cs="华文中宋"/>
          <w:szCs w:val="24"/>
          <w:lang w:eastAsia="zh-CN"/>
        </w:rPr>
        <w:t>2018年12月24日</w:t>
      </w:r>
      <w:r>
        <w:rPr>
          <w:rFonts w:hint="eastAsia" w:ascii="华文中宋" w:hAnsi="华文中宋" w:cs="华文中宋"/>
          <w:szCs w:val="24"/>
        </w:rPr>
        <w:t>的评估</w:t>
      </w:r>
      <w:r>
        <w:rPr>
          <w:rFonts w:hint="eastAsia" w:ascii="华文中宋" w:hAnsi="华文中宋" w:cs="华文中宋"/>
          <w:szCs w:val="24"/>
          <w:lang w:eastAsia="zh-CN"/>
        </w:rPr>
        <w:t>价值为人民币</w:t>
      </w:r>
      <w:r>
        <w:rPr>
          <w:rFonts w:hint="eastAsia" w:ascii="华文中宋" w:hAnsi="华文中宋" w:cs="华文中宋"/>
          <w:szCs w:val="24"/>
          <w:lang w:val="en-US" w:eastAsia="zh-CN"/>
        </w:rPr>
        <w:t>817,920.00</w:t>
      </w:r>
      <w:r>
        <w:rPr>
          <w:rFonts w:hint="eastAsia" w:ascii="华文中宋" w:hAnsi="华文中宋" w:cs="华文中宋"/>
          <w:szCs w:val="24"/>
          <w:lang w:eastAsia="zh-CN"/>
        </w:rPr>
        <w:t>元，大写：人民币</w:t>
      </w:r>
      <w:r>
        <w:rPr>
          <w:rFonts w:hint="eastAsia" w:ascii="华文中宋" w:hAnsi="华文中宋" w:cs="华文中宋"/>
          <w:szCs w:val="24"/>
          <w:lang w:val="en-US" w:eastAsia="zh-CN"/>
        </w:rPr>
        <w:fldChar w:fldCharType="begin"/>
      </w:r>
      <w:r>
        <w:rPr>
          <w:rFonts w:hint="eastAsia" w:ascii="华文中宋" w:hAnsi="华文中宋" w:cs="华文中宋"/>
          <w:szCs w:val="24"/>
          <w:lang w:val="en-US" w:eastAsia="zh-CN"/>
        </w:rPr>
        <w:instrText xml:space="preserve"> = 817920 \* CHINESENUM2 \* MERGEFORMAT </w:instrText>
      </w:r>
      <w:r>
        <w:rPr>
          <w:rFonts w:hint="eastAsia" w:ascii="华文中宋" w:hAnsi="华文中宋" w:cs="华文中宋"/>
          <w:szCs w:val="24"/>
          <w:lang w:val="en-US" w:eastAsia="zh-CN"/>
        </w:rPr>
        <w:fldChar w:fldCharType="separate"/>
      </w:r>
      <w:r>
        <w:rPr>
          <w:rFonts w:hint="eastAsia" w:ascii="华文中宋" w:hAnsi="华文中宋" w:cs="华文中宋"/>
          <w:szCs w:val="24"/>
        </w:rPr>
        <w:t>捌拾壹万柒仟玖佰贰拾</w:t>
      </w:r>
      <w:r>
        <w:rPr>
          <w:rFonts w:hint="eastAsia" w:ascii="华文中宋" w:hAnsi="华文中宋" w:cs="华文中宋"/>
          <w:szCs w:val="24"/>
          <w:lang w:val="en-US" w:eastAsia="zh-CN"/>
        </w:rPr>
        <w:fldChar w:fldCharType="end"/>
      </w:r>
      <w:r>
        <w:rPr>
          <w:rFonts w:hint="eastAsia" w:ascii="华文中宋" w:hAnsi="华文中宋" w:cs="华文中宋"/>
          <w:szCs w:val="24"/>
          <w:lang w:eastAsia="zh-CN"/>
        </w:rPr>
        <w:t>元整。详见下</w:t>
      </w:r>
      <w:r>
        <w:rPr>
          <w:rFonts w:hint="eastAsia" w:ascii="华文中宋" w:hAnsi="华文中宋" w:cs="华文中宋"/>
          <w:szCs w:val="24"/>
        </w:rPr>
        <w:t>表：</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华文中宋" w:hAnsi="华文中宋" w:cs="华文中宋"/>
          <w:szCs w:val="24"/>
        </w:rPr>
      </w:pPr>
      <w:r>
        <w:rPr>
          <w:rFonts w:hint="eastAsia" w:ascii="华文中宋" w:hAnsi="华文中宋" w:cs="华文中宋"/>
          <w:szCs w:val="24"/>
          <w:lang w:val="en-US" w:eastAsia="zh-CN"/>
        </w:rPr>
        <w:t xml:space="preserve">                        </w:t>
      </w:r>
      <w:r>
        <w:rPr>
          <w:rFonts w:hint="eastAsia" w:ascii="华文中宋" w:hAnsi="华文中宋" w:cs="华文中宋"/>
          <w:szCs w:val="24"/>
        </w:rPr>
        <w:t>估价结果汇总表</w:t>
      </w:r>
      <w:r>
        <w:rPr>
          <w:rFonts w:hint="eastAsia" w:ascii="华文中宋" w:hAnsi="华文中宋" w:cs="华文中宋"/>
          <w:szCs w:val="24"/>
          <w:lang w:val="en-US" w:eastAsia="zh-CN"/>
        </w:rPr>
        <w:t xml:space="preserve">                 </w:t>
      </w:r>
      <w:r>
        <w:rPr>
          <w:rFonts w:hint="eastAsia" w:ascii="华文中宋" w:hAnsi="华文中宋" w:cs="华文中宋"/>
          <w:sz w:val="18"/>
          <w:szCs w:val="18"/>
          <w:lang w:eastAsia="zh-CN"/>
        </w:rPr>
        <w:t>（</w:t>
      </w:r>
      <w:r>
        <w:rPr>
          <w:rFonts w:hint="eastAsia" w:ascii="华文中宋" w:hAnsi="华文中宋" w:cs="华文中宋"/>
          <w:sz w:val="18"/>
          <w:szCs w:val="18"/>
        </w:rPr>
        <w:t>币种：人民币</w:t>
      </w:r>
      <w:r>
        <w:rPr>
          <w:rFonts w:hint="eastAsia" w:ascii="华文中宋" w:hAnsi="华文中宋" w:cs="华文中宋"/>
          <w:sz w:val="18"/>
          <w:szCs w:val="18"/>
          <w:lang w:eastAsia="zh-CN"/>
        </w:rPr>
        <w:t>）</w:t>
      </w:r>
    </w:p>
    <w:tbl>
      <w:tblPr>
        <w:tblStyle w:val="15"/>
        <w:tblpPr w:leftFromText="180" w:rightFromText="180" w:vertAnchor="text" w:horzAnchor="page" w:tblpXSpec="center" w:tblpY="493"/>
        <w:tblOverlap w:val="never"/>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16"/>
        <w:gridCol w:w="780"/>
        <w:gridCol w:w="3822"/>
        <w:gridCol w:w="240"/>
        <w:gridCol w:w="946"/>
        <w:gridCol w:w="842"/>
        <w:gridCol w:w="923"/>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3" w:hRule="atLeast"/>
          <w:jc w:val="center"/>
        </w:trPr>
        <w:tc>
          <w:tcPr>
            <w:tcW w:w="516"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left="0" w:leftChars="0" w:right="0" w:rightChars="0" w:firstLine="0" w:firstLineChars="0"/>
              <w:jc w:val="center"/>
              <w:textAlignment w:val="center"/>
              <w:outlineLvl w:val="9"/>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序号</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left="0" w:leftChars="0" w:right="0" w:rightChars="0" w:firstLine="0" w:firstLineChars="0"/>
              <w:jc w:val="center"/>
              <w:textAlignment w:val="center"/>
              <w:outlineLvl w:val="9"/>
              <w:rPr>
                <w:rFonts w:hint="eastAsia" w:ascii="华文中宋" w:hAnsi="华文中宋" w:eastAsia="华文中宋" w:cs="华文中宋"/>
                <w:i w:val="0"/>
                <w:color w:val="000000"/>
                <w:sz w:val="18"/>
                <w:szCs w:val="18"/>
                <w:u w:val="none"/>
              </w:rPr>
            </w:pPr>
            <w:r>
              <w:rPr>
                <w:rFonts w:hint="eastAsia" w:ascii="华文中宋" w:hAnsi="华文中宋" w:cs="华文中宋"/>
                <w:i w:val="0"/>
                <w:color w:val="000000"/>
                <w:kern w:val="0"/>
                <w:sz w:val="18"/>
                <w:szCs w:val="18"/>
                <w:u w:val="none"/>
                <w:lang w:val="en-US" w:eastAsia="zh-CN" w:bidi="ar"/>
              </w:rPr>
              <w:t>产权人</w:t>
            </w:r>
          </w:p>
        </w:tc>
        <w:tc>
          <w:tcPr>
            <w:tcW w:w="382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right="0" w:rightChars="0" w:firstLine="900" w:firstLineChars="500"/>
              <w:jc w:val="both"/>
              <w:textAlignment w:val="center"/>
              <w:outlineLvl w:val="9"/>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房屋坐落</w:t>
            </w:r>
          </w:p>
        </w:tc>
        <w:tc>
          <w:tcPr>
            <w:tcW w:w="24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left="0" w:leftChars="0" w:right="0" w:rightChars="0" w:firstLine="0" w:firstLineChars="0"/>
              <w:jc w:val="center"/>
              <w:textAlignment w:val="center"/>
              <w:outlineLvl w:val="9"/>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用途</w:t>
            </w:r>
          </w:p>
        </w:tc>
        <w:tc>
          <w:tcPr>
            <w:tcW w:w="946"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left="0" w:leftChars="0" w:right="0" w:rightChars="0" w:firstLine="0" w:firstLineChars="0"/>
              <w:jc w:val="center"/>
              <w:textAlignment w:val="center"/>
              <w:outlineLvl w:val="9"/>
              <w:rPr>
                <w:rFonts w:hint="eastAsia" w:ascii="华文中宋" w:hAnsi="华文中宋" w:eastAsia="华文中宋" w:cs="华文中宋"/>
                <w:i w:val="0"/>
                <w:color w:val="000000"/>
                <w:sz w:val="18"/>
                <w:szCs w:val="18"/>
                <w:u w:val="none"/>
                <w:lang w:val="en-US"/>
              </w:rPr>
            </w:pPr>
            <w:r>
              <w:rPr>
                <w:rFonts w:hint="eastAsia" w:ascii="华文中宋" w:hAnsi="华文中宋" w:cs="华文中宋"/>
                <w:i w:val="0"/>
                <w:color w:val="000000"/>
                <w:kern w:val="0"/>
                <w:sz w:val="18"/>
                <w:szCs w:val="18"/>
                <w:u w:val="none"/>
                <w:lang w:val="en-US" w:eastAsia="zh-CN" w:bidi="ar"/>
              </w:rPr>
              <w:t>所在</w:t>
            </w:r>
            <w:r>
              <w:rPr>
                <w:rFonts w:hint="eastAsia" w:ascii="华文中宋" w:hAnsi="华文中宋" w:eastAsia="华文中宋" w:cs="华文中宋"/>
                <w:i w:val="0"/>
                <w:color w:val="000000"/>
                <w:kern w:val="0"/>
                <w:sz w:val="18"/>
                <w:szCs w:val="18"/>
                <w:u w:val="none"/>
                <w:lang w:val="en-US" w:eastAsia="zh-CN" w:bidi="ar"/>
              </w:rPr>
              <w:t>楼层</w:t>
            </w:r>
            <w:r>
              <w:rPr>
                <w:rFonts w:hint="eastAsia" w:ascii="华文中宋" w:hAnsi="华文中宋" w:cs="华文中宋"/>
                <w:i w:val="0"/>
                <w:color w:val="000000"/>
                <w:kern w:val="0"/>
                <w:sz w:val="18"/>
                <w:szCs w:val="18"/>
                <w:u w:val="none"/>
                <w:lang w:val="en-US" w:eastAsia="zh-CN" w:bidi="ar"/>
              </w:rPr>
              <w:t>/总层数</w:t>
            </w:r>
          </w:p>
        </w:tc>
        <w:tc>
          <w:tcPr>
            <w:tcW w:w="84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left="0" w:leftChars="0" w:right="0" w:rightChars="0" w:firstLine="0" w:firstLineChars="0"/>
              <w:jc w:val="center"/>
              <w:textAlignment w:val="center"/>
              <w:outlineLvl w:val="9"/>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建筑面积   (m</w:t>
            </w:r>
            <w:r>
              <w:rPr>
                <w:rFonts w:hint="eastAsia" w:ascii="华文中宋" w:hAnsi="华文中宋" w:eastAsia="华文中宋" w:cs="华文中宋"/>
                <w:i w:val="0"/>
                <w:color w:val="000000"/>
                <w:kern w:val="0"/>
                <w:sz w:val="18"/>
                <w:szCs w:val="18"/>
                <w:u w:val="none"/>
                <w:vertAlign w:val="superscript"/>
                <w:lang w:val="en-US" w:eastAsia="zh-CN" w:bidi="ar"/>
              </w:rPr>
              <w:t>2</w:t>
            </w:r>
            <w:r>
              <w:rPr>
                <w:rFonts w:hint="eastAsia" w:ascii="华文中宋" w:hAnsi="华文中宋" w:eastAsia="华文中宋" w:cs="华文中宋"/>
                <w:i w:val="0"/>
                <w:color w:val="000000"/>
                <w:kern w:val="0"/>
                <w:sz w:val="18"/>
                <w:szCs w:val="18"/>
                <w:u w:val="none"/>
                <w:lang w:val="en-US" w:eastAsia="zh-CN" w:bidi="ar"/>
              </w:rPr>
              <w:t>)</w:t>
            </w:r>
          </w:p>
        </w:tc>
        <w:tc>
          <w:tcPr>
            <w:tcW w:w="92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left="0" w:leftChars="0" w:right="0" w:rightChars="0" w:firstLine="0" w:firstLineChars="0"/>
              <w:jc w:val="center"/>
              <w:textAlignment w:val="center"/>
              <w:outlineLvl w:val="9"/>
              <w:rPr>
                <w:rFonts w:hint="eastAsia" w:ascii="华文中宋" w:hAnsi="华文中宋" w:eastAsia="华文中宋" w:cs="华文中宋"/>
                <w:i w:val="0"/>
                <w:color w:val="000000"/>
                <w:kern w:val="0"/>
                <w:sz w:val="18"/>
                <w:szCs w:val="18"/>
                <w:u w:val="none"/>
                <w:lang w:val="en-US" w:eastAsia="zh-CN" w:bidi="ar"/>
              </w:rPr>
            </w:pPr>
            <w:r>
              <w:rPr>
                <w:rFonts w:hint="eastAsia" w:ascii="华文中宋" w:hAnsi="华文中宋" w:eastAsia="华文中宋" w:cs="华文中宋"/>
                <w:i w:val="0"/>
                <w:color w:val="000000"/>
                <w:kern w:val="0"/>
                <w:sz w:val="18"/>
                <w:szCs w:val="18"/>
                <w:u w:val="none"/>
                <w:lang w:val="en-US" w:eastAsia="zh-CN" w:bidi="ar"/>
              </w:rPr>
              <w:t>评估单价</w:t>
            </w:r>
          </w:p>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（元/ m</w:t>
            </w:r>
            <w:r>
              <w:rPr>
                <w:rFonts w:hint="eastAsia" w:ascii="华文中宋" w:hAnsi="华文中宋" w:eastAsia="华文中宋" w:cs="华文中宋"/>
                <w:i w:val="0"/>
                <w:color w:val="000000"/>
                <w:kern w:val="0"/>
                <w:sz w:val="18"/>
                <w:szCs w:val="18"/>
                <w:u w:val="none"/>
                <w:vertAlign w:val="superscript"/>
                <w:lang w:val="en-US" w:eastAsia="zh-CN" w:bidi="ar"/>
              </w:rPr>
              <w:t>2</w:t>
            </w:r>
            <w:r>
              <w:rPr>
                <w:rFonts w:hint="eastAsia" w:ascii="华文中宋" w:hAnsi="华文中宋" w:eastAsia="华文中宋" w:cs="华文中宋"/>
                <w:i w:val="0"/>
                <w:color w:val="000000"/>
                <w:kern w:val="0"/>
                <w:sz w:val="18"/>
                <w:szCs w:val="18"/>
                <w:u w:val="none"/>
                <w:lang w:val="en-US" w:eastAsia="zh-CN" w:bidi="ar"/>
              </w:rPr>
              <w:t>）</w:t>
            </w:r>
          </w:p>
        </w:tc>
        <w:tc>
          <w:tcPr>
            <w:tcW w:w="104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left="0" w:leftChars="0" w:right="0" w:rightChars="0" w:firstLine="0" w:firstLineChars="0"/>
              <w:jc w:val="center"/>
              <w:textAlignment w:val="center"/>
              <w:outlineLvl w:val="9"/>
              <w:rPr>
                <w:rFonts w:hint="eastAsia" w:ascii="华文中宋" w:hAnsi="华文中宋" w:eastAsia="华文中宋" w:cs="华文中宋"/>
                <w:i w:val="0"/>
                <w:color w:val="000000"/>
                <w:kern w:val="0"/>
                <w:sz w:val="18"/>
                <w:szCs w:val="18"/>
                <w:u w:val="none"/>
                <w:lang w:val="en-US" w:eastAsia="zh-CN" w:bidi="ar"/>
              </w:rPr>
            </w:pPr>
            <w:r>
              <w:rPr>
                <w:rFonts w:hint="eastAsia" w:ascii="华文中宋" w:hAnsi="华文中宋" w:eastAsia="华文中宋" w:cs="华文中宋"/>
                <w:i w:val="0"/>
                <w:color w:val="000000"/>
                <w:kern w:val="0"/>
                <w:sz w:val="18"/>
                <w:szCs w:val="18"/>
                <w:u w:val="none"/>
                <w:lang w:val="en-US" w:eastAsia="zh-CN" w:bidi="ar"/>
              </w:rPr>
              <w:t>评估</w:t>
            </w:r>
            <w:r>
              <w:rPr>
                <w:rFonts w:hint="eastAsia" w:ascii="华文中宋" w:hAnsi="华文中宋" w:cs="华文中宋"/>
                <w:i w:val="0"/>
                <w:color w:val="000000"/>
                <w:kern w:val="0"/>
                <w:sz w:val="18"/>
                <w:szCs w:val="18"/>
                <w:u w:val="none"/>
                <w:lang w:val="en-US" w:eastAsia="zh-CN" w:bidi="ar"/>
              </w:rPr>
              <w:t>价</w:t>
            </w:r>
            <w:r>
              <w:rPr>
                <w:rFonts w:hint="eastAsia" w:ascii="华文中宋" w:hAnsi="华文中宋" w:eastAsia="华文中宋" w:cs="华文中宋"/>
                <w:i w:val="0"/>
                <w:color w:val="000000"/>
                <w:kern w:val="0"/>
                <w:sz w:val="18"/>
                <w:szCs w:val="18"/>
                <w:u w:val="none"/>
                <w:lang w:val="en-US" w:eastAsia="zh-CN" w:bidi="ar"/>
              </w:rPr>
              <w:t>值</w:t>
            </w:r>
          </w:p>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516"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780" w:type="dxa"/>
            <w:shd w:val="clear" w:color="auto" w:fill="auto"/>
            <w:vAlign w:val="center"/>
          </w:tcPr>
          <w:p>
            <w:pPr>
              <w:keepNext w:val="0"/>
              <w:keepLines w:val="0"/>
              <w:widowControl/>
              <w:suppressLineNumbers w:val="0"/>
              <w:ind w:left="0" w:leftChars="0" w:firstLine="0" w:firstLineChars="0"/>
              <w:jc w:val="left"/>
              <w:textAlignment w:val="center"/>
              <w:rPr>
                <w:rFonts w:hint="eastAsia" w:ascii="华文中宋" w:hAnsi="华文中宋" w:eastAsia="华文中宋" w:cs="华文中宋"/>
                <w:i w:val="0"/>
                <w:color w:val="000000"/>
                <w:kern w:val="0"/>
                <w:sz w:val="18"/>
                <w:szCs w:val="18"/>
                <w:u w:val="none"/>
                <w:lang w:val="en-US" w:eastAsia="zh-CN" w:bidi="ar"/>
              </w:rPr>
            </w:pPr>
            <w:r>
              <w:rPr>
                <w:rFonts w:hint="eastAsia" w:ascii="华文中宋" w:hAnsi="华文中宋" w:cs="华文中宋"/>
                <w:i w:val="0"/>
                <w:color w:val="000000"/>
                <w:kern w:val="0"/>
                <w:sz w:val="18"/>
                <w:szCs w:val="18"/>
                <w:u w:val="none"/>
                <w:lang w:val="en-US" w:eastAsia="zh-CN" w:bidi="ar"/>
              </w:rPr>
              <w:t xml:space="preserve"> 文晓明</w:t>
            </w:r>
          </w:p>
        </w:tc>
        <w:tc>
          <w:tcPr>
            <w:tcW w:w="3822" w:type="dxa"/>
            <w:shd w:val="clear" w:color="auto" w:fill="auto"/>
            <w:vAlign w:val="center"/>
          </w:tcPr>
          <w:p>
            <w:pPr>
              <w:keepNext w:val="0"/>
              <w:keepLines w:val="0"/>
              <w:widowControl/>
              <w:suppressLineNumbers w:val="0"/>
              <w:ind w:left="0" w:leftChars="0" w:firstLine="0" w:firstLineChars="0"/>
              <w:jc w:val="left"/>
              <w:textAlignment w:val="center"/>
              <w:rPr>
                <w:rFonts w:hint="eastAsia" w:ascii="华文中宋" w:hAnsi="华文中宋" w:eastAsia="华文中宋" w:cs="华文中宋"/>
                <w:i w:val="0"/>
                <w:color w:val="000000"/>
                <w:sz w:val="18"/>
                <w:szCs w:val="18"/>
                <w:u w:val="none"/>
                <w:lang w:val="en-US"/>
              </w:rPr>
            </w:pPr>
            <w:r>
              <w:rPr>
                <w:rFonts w:hint="eastAsia" w:ascii="华文中宋" w:hAnsi="华文中宋" w:cs="华文中宋"/>
                <w:i w:val="0"/>
                <w:color w:val="000000"/>
                <w:kern w:val="0"/>
                <w:sz w:val="18"/>
                <w:szCs w:val="18"/>
                <w:u w:val="none"/>
                <w:lang w:val="en-US" w:eastAsia="zh-CN" w:bidi="ar"/>
              </w:rPr>
              <w:t>盖州市西城办事处站前社区华阳锦绣家园小区16号楼1单元1101室</w:t>
            </w:r>
          </w:p>
        </w:tc>
        <w:tc>
          <w:tcPr>
            <w:tcW w:w="240"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cs="华文中宋"/>
                <w:i w:val="0"/>
                <w:color w:val="000000"/>
                <w:kern w:val="0"/>
                <w:sz w:val="18"/>
                <w:szCs w:val="18"/>
                <w:u w:val="none"/>
                <w:lang w:val="en-US" w:eastAsia="zh-CN" w:bidi="ar"/>
              </w:rPr>
              <w:t>住宅</w:t>
            </w:r>
          </w:p>
        </w:tc>
        <w:tc>
          <w:tcPr>
            <w:tcW w:w="946"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i w:val="0"/>
                <w:color w:val="000000"/>
                <w:sz w:val="18"/>
                <w:szCs w:val="18"/>
                <w:u w:val="none"/>
                <w:lang w:val="en-US" w:eastAsia="zh-CN"/>
              </w:rPr>
            </w:pPr>
            <w:r>
              <w:rPr>
                <w:rFonts w:hint="eastAsia" w:ascii="华文中宋" w:hAnsi="华文中宋" w:cs="华文中宋"/>
                <w:i w:val="0"/>
                <w:color w:val="000000"/>
                <w:sz w:val="18"/>
                <w:szCs w:val="18"/>
                <w:u w:val="none"/>
                <w:lang w:val="en-US" w:eastAsia="zh-CN"/>
              </w:rPr>
              <w:t>11/17</w:t>
            </w:r>
          </w:p>
        </w:tc>
        <w:tc>
          <w:tcPr>
            <w:tcW w:w="842"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cs="华文中宋"/>
                <w:i w:val="0"/>
                <w:color w:val="000000"/>
                <w:kern w:val="0"/>
                <w:sz w:val="18"/>
                <w:szCs w:val="18"/>
                <w:u w:val="none"/>
                <w:lang w:val="en-US" w:eastAsia="zh-CN" w:bidi="ar"/>
              </w:rPr>
              <w:t>156.9</w:t>
            </w:r>
          </w:p>
        </w:tc>
        <w:tc>
          <w:tcPr>
            <w:tcW w:w="923"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cs="华文中宋"/>
                <w:i w:val="0"/>
                <w:color w:val="000000"/>
                <w:kern w:val="0"/>
                <w:sz w:val="18"/>
                <w:szCs w:val="18"/>
                <w:u w:val="none"/>
                <w:lang w:val="en-US" w:eastAsia="zh-CN" w:bidi="ar"/>
              </w:rPr>
              <w:t>5,213.00</w:t>
            </w:r>
          </w:p>
        </w:tc>
        <w:tc>
          <w:tcPr>
            <w:tcW w:w="1042"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cs="华文中宋"/>
                <w:i w:val="0"/>
                <w:color w:val="000000"/>
                <w:kern w:val="0"/>
                <w:sz w:val="18"/>
                <w:szCs w:val="18"/>
                <w:u w:val="none"/>
                <w:lang w:val="en-US" w:eastAsia="zh-CN" w:bidi="ar"/>
              </w:rPr>
              <w:t xml:space="preserve">817,920.00 </w:t>
            </w:r>
            <w:r>
              <w:rPr>
                <w:rFonts w:hint="eastAsia" w:ascii="华文中宋" w:hAnsi="华文中宋" w:eastAsia="华文中宋" w:cs="华文中宋"/>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6304" w:type="dxa"/>
            <w:gridSpan w:val="5"/>
            <w:shd w:val="clear" w:color="auto" w:fill="auto"/>
            <w:vAlign w:val="center"/>
          </w:tcPr>
          <w:p>
            <w:pPr>
              <w:keepNext w:val="0"/>
              <w:keepLines w:val="0"/>
              <w:widowControl/>
              <w:suppressLineNumbers w:val="0"/>
              <w:ind w:firstLine="360" w:firstLineChars="200"/>
              <w:jc w:val="center"/>
              <w:textAlignment w:val="center"/>
              <w:rPr>
                <w:rFonts w:hint="eastAsia" w:ascii="华文中宋" w:hAnsi="华文中宋" w:eastAsia="华文中宋" w:cs="华文中宋"/>
                <w:i w:val="0"/>
                <w:color w:val="000000"/>
                <w:kern w:val="0"/>
                <w:sz w:val="18"/>
                <w:szCs w:val="18"/>
                <w:u w:val="none"/>
                <w:lang w:val="en-US" w:eastAsia="zh-CN" w:bidi="ar"/>
              </w:rPr>
            </w:pPr>
            <w:r>
              <w:rPr>
                <w:rFonts w:hint="eastAsia" w:ascii="华文中宋" w:hAnsi="华文中宋" w:eastAsia="华文中宋" w:cs="华文中宋"/>
                <w:i w:val="0"/>
                <w:color w:val="000000"/>
                <w:kern w:val="0"/>
                <w:sz w:val="18"/>
                <w:szCs w:val="18"/>
                <w:u w:val="none"/>
                <w:lang w:val="en-US" w:eastAsia="zh-CN" w:bidi="ar"/>
              </w:rPr>
              <w:t>合     计</w:t>
            </w:r>
          </w:p>
        </w:tc>
        <w:tc>
          <w:tcPr>
            <w:tcW w:w="842"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cs="华文中宋"/>
                <w:i w:val="0"/>
                <w:color w:val="000000"/>
                <w:kern w:val="0"/>
                <w:sz w:val="18"/>
                <w:szCs w:val="18"/>
                <w:u w:val="none"/>
                <w:lang w:val="en-US" w:eastAsia="zh-CN" w:bidi="ar"/>
              </w:rPr>
            </w:pPr>
          </w:p>
        </w:tc>
        <w:tc>
          <w:tcPr>
            <w:tcW w:w="923" w:type="dxa"/>
            <w:shd w:val="clear" w:color="auto" w:fill="auto"/>
            <w:vAlign w:val="center"/>
          </w:tcPr>
          <w:p>
            <w:pPr>
              <w:ind w:firstLine="360" w:firstLineChars="200"/>
              <w:jc w:val="center"/>
              <w:rPr>
                <w:rFonts w:hint="eastAsia" w:ascii="华文中宋" w:hAnsi="华文中宋" w:eastAsia="华文中宋" w:cs="华文中宋"/>
                <w:i w:val="0"/>
                <w:color w:val="000000"/>
                <w:sz w:val="18"/>
                <w:szCs w:val="18"/>
                <w:u w:val="none"/>
              </w:rPr>
            </w:pPr>
          </w:p>
        </w:tc>
        <w:tc>
          <w:tcPr>
            <w:tcW w:w="1042"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cs="华文中宋"/>
                <w:i w:val="0"/>
                <w:color w:val="000000"/>
                <w:kern w:val="0"/>
                <w:sz w:val="18"/>
                <w:szCs w:val="18"/>
                <w:u w:val="none"/>
                <w:lang w:val="en-US" w:eastAsia="zh-CN" w:bidi="ar"/>
              </w:rPr>
            </w:pPr>
            <w:r>
              <w:rPr>
                <w:rFonts w:hint="eastAsia" w:ascii="华文中宋" w:hAnsi="华文中宋" w:cs="华文中宋"/>
                <w:i w:val="0"/>
                <w:color w:val="000000"/>
                <w:kern w:val="0"/>
                <w:sz w:val="18"/>
                <w:szCs w:val="18"/>
                <w:u w:val="none"/>
                <w:lang w:val="en-US" w:eastAsia="zh-CN" w:bidi="ar"/>
              </w:rPr>
              <w:t xml:space="preserve">817,920.00  </w:t>
            </w:r>
            <w:r>
              <w:rPr>
                <w:rFonts w:hint="eastAsia" w:ascii="华文中宋" w:hAnsi="华文中宋" w:eastAsia="华文中宋" w:cs="华文中宋"/>
                <w:i w:val="0"/>
                <w:color w:val="000000"/>
                <w:kern w:val="0"/>
                <w:sz w:val="18"/>
                <w:szCs w:val="18"/>
                <w:u w:val="none"/>
                <w:lang w:val="en-US" w:eastAsia="zh-CN" w:bidi="ar"/>
              </w:rPr>
              <w:t xml:space="preserve"> </w:t>
            </w:r>
          </w:p>
        </w:tc>
      </w:tr>
    </w:tbl>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480" w:firstLineChars="200"/>
        <w:jc w:val="both"/>
        <w:textAlignment w:val="auto"/>
        <w:outlineLvl w:val="9"/>
        <w:rPr>
          <w:rFonts w:ascii="华文中宋" w:cs="华文中宋"/>
          <w:szCs w:val="24"/>
        </w:rPr>
      </w:pPr>
      <w:r>
        <w:rPr>
          <w:rFonts w:hint="eastAsia" w:ascii="华文中宋" w:hAnsi="华文中宋" w:cs="华文中宋"/>
          <w:szCs w:val="24"/>
        </w:rPr>
        <w:t>特别提示：</w:t>
      </w:r>
    </w:p>
    <w:p>
      <w:pPr>
        <w:keepNext w:val="0"/>
        <w:keepLines w:val="0"/>
        <w:pageBreakBefore w:val="0"/>
        <w:widowControl w:val="0"/>
        <w:numPr>
          <w:ilvl w:val="0"/>
          <w:numId w:val="3"/>
        </w:numPr>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hint="eastAsia" w:ascii="华文中宋" w:hAnsi="华文中宋" w:eastAsia="华文中宋" w:cs="华文中宋"/>
          <w:szCs w:val="24"/>
        </w:rPr>
      </w:pPr>
      <w:r>
        <w:rPr>
          <w:rFonts w:hint="eastAsia" w:ascii="华文中宋" w:hAnsi="华文中宋" w:cs="华文中宋"/>
          <w:szCs w:val="24"/>
          <w:highlight w:val="none"/>
          <w:lang w:eastAsia="zh-CN"/>
        </w:rPr>
        <w:t>本次估价结果包含</w:t>
      </w:r>
      <w:r>
        <w:rPr>
          <w:rFonts w:hint="eastAsia" w:ascii="华文中宋" w:hAnsi="华文中宋" w:cs="华文中宋"/>
          <w:szCs w:val="24"/>
          <w:lang w:eastAsia="zh-CN"/>
        </w:rPr>
        <w:t>委估房屋、房屋所分摊国有土地使用权、装饰装修及与保证房屋正常使用功能与房屋相连不可分割配套设施等价值，不包含房屋内部家电、家具等可移动资产价值</w:t>
      </w:r>
      <w:r>
        <w:rPr>
          <w:rFonts w:hint="eastAsia" w:ascii="华文中宋" w:hAnsi="华文中宋" w:eastAsia="华文中宋" w:cs="华文中宋"/>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ascii="华文中宋" w:hAnsi="华文中宋" w:eastAsia="华文中宋" w:cs="华文中宋"/>
          <w:szCs w:val="24"/>
        </w:rPr>
      </w:pPr>
      <w:r>
        <w:rPr>
          <w:rFonts w:hint="eastAsia" w:ascii="华文中宋" w:hAnsi="华文中宋" w:cs="华文中宋"/>
          <w:szCs w:val="24"/>
          <w:lang w:val="en-US" w:eastAsia="zh-CN"/>
        </w:rPr>
        <w:t>2</w:t>
      </w:r>
      <w:r>
        <w:rPr>
          <w:rFonts w:hint="eastAsia" w:ascii="华文中宋" w:hAnsi="华文中宋" w:eastAsia="华文中宋" w:cs="华文中宋"/>
          <w:szCs w:val="24"/>
        </w:rPr>
        <w:t>、估价对象状况与房地产市场状况因时间变化对房地产价值可能产生影响，当估价对象状况与房地产市场状况变动较大时，应重新</w:t>
      </w:r>
      <w:r>
        <w:rPr>
          <w:rFonts w:hint="eastAsia" w:ascii="华文中宋" w:hAnsi="华文中宋" w:cs="华文中宋"/>
          <w:szCs w:val="24"/>
          <w:lang w:eastAsia="zh-CN"/>
        </w:rPr>
        <w:t>进行</w:t>
      </w:r>
      <w:r>
        <w:rPr>
          <w:rFonts w:hint="eastAsia" w:ascii="华文中宋" w:hAnsi="华文中宋" w:eastAsia="华文中宋" w:cs="华文中宋"/>
          <w:szCs w:val="24"/>
        </w:rPr>
        <w:t>估价。</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ascii="华文中宋" w:hAnsi="华文中宋" w:eastAsia="华文中宋" w:cs="华文中宋"/>
          <w:szCs w:val="24"/>
          <w:highlight w:val="yellow"/>
        </w:rPr>
      </w:pPr>
      <w:r>
        <w:rPr>
          <w:rFonts w:hint="eastAsia" w:ascii="华文中宋" w:hAnsi="华文中宋" w:cs="华文中宋"/>
          <w:szCs w:val="24"/>
          <w:lang w:val="en-US" w:eastAsia="zh-CN"/>
        </w:rPr>
        <w:t>3</w:t>
      </w:r>
      <w:r>
        <w:rPr>
          <w:rFonts w:hint="eastAsia" w:ascii="华文中宋" w:hAnsi="华文中宋" w:eastAsia="华文中宋" w:cs="华文中宋"/>
          <w:szCs w:val="24"/>
        </w:rPr>
        <w:t>、估价对象受货币政策、税收政策、城市规划调整等政策制度变化导致房地产价值的增减。</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ascii="华文中宋" w:hAnsi="华文中宋" w:eastAsia="华文中宋" w:cs="华文中宋"/>
          <w:szCs w:val="24"/>
          <w:highlight w:val="none"/>
        </w:rPr>
      </w:pPr>
      <w:r>
        <w:rPr>
          <w:rFonts w:hint="eastAsia" w:ascii="华文中宋" w:hAnsi="华文中宋" w:cs="华文中宋"/>
          <w:szCs w:val="24"/>
          <w:highlight w:val="none"/>
          <w:lang w:val="en-US" w:eastAsia="zh-CN"/>
        </w:rPr>
        <w:t>4</w:t>
      </w:r>
      <w:r>
        <w:rPr>
          <w:rFonts w:hint="eastAsia" w:ascii="华文中宋" w:hAnsi="华文中宋" w:eastAsia="华文中宋" w:cs="华文中宋"/>
          <w:szCs w:val="24"/>
          <w:highlight w:val="none"/>
        </w:rPr>
        <w:t>、</w:t>
      </w:r>
      <w:r>
        <w:rPr>
          <w:rFonts w:hint="eastAsia" w:ascii="华文中宋" w:hAnsi="华文中宋" w:cs="华文中宋"/>
          <w:szCs w:val="24"/>
          <w:highlight w:val="none"/>
        </w:rPr>
        <w:t>本</w:t>
      </w:r>
      <w:r>
        <w:rPr>
          <w:rFonts w:hint="eastAsia" w:ascii="华文中宋" w:hAnsi="华文中宋" w:cs="华文中宋"/>
          <w:szCs w:val="24"/>
          <w:highlight w:val="none"/>
          <w:lang w:eastAsia="zh-CN"/>
        </w:rPr>
        <w:t>次</w:t>
      </w:r>
      <w:r>
        <w:rPr>
          <w:rFonts w:hint="eastAsia" w:ascii="华文中宋" w:hAnsi="华文中宋" w:cs="华文中宋"/>
          <w:szCs w:val="24"/>
          <w:highlight w:val="none"/>
        </w:rPr>
        <w:t>估价结果自估价报告出具日期起一年内有效，即：</w:t>
      </w:r>
      <w:r>
        <w:rPr>
          <w:rFonts w:hint="eastAsia" w:ascii="华文中宋" w:hAnsi="华文中宋" w:cs="华文中宋"/>
          <w:szCs w:val="24"/>
          <w:highlight w:val="none"/>
          <w:lang w:eastAsia="zh-CN"/>
        </w:rPr>
        <w:t>2019年1月8日</w:t>
      </w:r>
      <w:r>
        <w:rPr>
          <w:rFonts w:hint="eastAsia" w:ascii="华文中宋" w:hAnsi="华文中宋" w:cs="华文中宋"/>
          <w:szCs w:val="24"/>
          <w:highlight w:val="none"/>
        </w:rPr>
        <w:t>至</w:t>
      </w:r>
      <w:r>
        <w:rPr>
          <w:rFonts w:hint="eastAsia" w:ascii="华文中宋" w:hAnsi="华文中宋" w:cs="华文中宋"/>
          <w:szCs w:val="24"/>
          <w:highlight w:val="none"/>
          <w:lang w:eastAsia="zh-CN"/>
        </w:rPr>
        <w:t>2020年1月7日</w:t>
      </w:r>
      <w:r>
        <w:rPr>
          <w:rFonts w:hint="eastAsia" w:ascii="华文中宋" w:hAnsi="华文中宋" w:cs="华文中宋"/>
          <w:szCs w:val="24"/>
          <w:highlight w:val="none"/>
          <w:lang w:val="en-US" w:eastAsia="zh-CN"/>
        </w:rPr>
        <w:t>止</w:t>
      </w:r>
      <w:r>
        <w:rPr>
          <w:rFonts w:hint="eastAsia" w:ascii="华文中宋" w:hAnsi="华文中宋" w:cs="华文中宋"/>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ascii="华文中宋" w:hAnsi="华文中宋" w:eastAsia="华文中宋" w:cs="华文中宋"/>
          <w:szCs w:val="24"/>
        </w:rPr>
      </w:pPr>
      <w:r>
        <w:rPr>
          <w:rFonts w:hint="eastAsia" w:ascii="华文中宋" w:hAnsi="华文中宋" w:cs="华文中宋"/>
          <w:b/>
          <w:bCs/>
          <w:szCs w:val="24"/>
          <w:lang w:val="en-US" w:eastAsia="zh-CN"/>
        </w:rPr>
        <w:t>5、</w:t>
      </w:r>
      <w:r>
        <w:rPr>
          <w:rFonts w:hint="eastAsia" w:ascii="华文中宋" w:hAnsi="华文中宋" w:cs="华文中宋"/>
          <w:b/>
          <w:bCs/>
          <w:szCs w:val="24"/>
        </w:rPr>
        <w:t>如对评估结果有异议，请于估价报告送达之日起</w:t>
      </w:r>
      <w:r>
        <w:rPr>
          <w:rFonts w:hint="eastAsia" w:ascii="华文中宋" w:hAnsi="华文中宋" w:cs="华文中宋"/>
          <w:b/>
          <w:bCs/>
          <w:szCs w:val="24"/>
          <w:lang w:val="en-US" w:eastAsia="zh-CN"/>
        </w:rPr>
        <w:t>5</w:t>
      </w:r>
      <w:r>
        <w:rPr>
          <w:rFonts w:hint="eastAsia" w:ascii="华文中宋" w:hAnsi="华文中宋" w:cs="华文中宋"/>
          <w:b/>
          <w:bCs/>
          <w:szCs w:val="24"/>
        </w:rPr>
        <w:t>日内以书面形式向</w:t>
      </w:r>
      <w:r>
        <w:rPr>
          <w:rFonts w:hint="eastAsia" w:ascii="华文中宋" w:hAnsi="华文中宋" w:cs="华文中宋"/>
          <w:b/>
          <w:bCs/>
          <w:szCs w:val="24"/>
          <w:lang w:eastAsia="zh-CN"/>
        </w:rPr>
        <w:t>营口市中级人民法院</w:t>
      </w:r>
      <w:r>
        <w:rPr>
          <w:rFonts w:hint="eastAsia" w:ascii="华文中宋" w:hAnsi="华文中宋" w:cs="华文中宋"/>
          <w:b/>
          <w:bCs/>
          <w:szCs w:val="24"/>
        </w:rPr>
        <w:t>提出。</w:t>
      </w:r>
    </w:p>
    <w:p>
      <w:pPr>
        <w:keepNext w:val="0"/>
        <w:keepLines w:val="0"/>
        <w:pageBreakBefore w:val="0"/>
        <w:widowControl w:val="0"/>
        <w:kinsoku/>
        <w:wordWrap/>
        <w:overflowPunct/>
        <w:topLinePunct w:val="0"/>
        <w:autoSpaceDE/>
        <w:autoSpaceDN/>
        <w:bidi w:val="0"/>
        <w:spacing w:line="460" w:lineRule="exact"/>
        <w:ind w:left="0" w:leftChars="0" w:right="0" w:rightChars="0" w:firstLine="480" w:firstLineChars="200"/>
        <w:jc w:val="both"/>
        <w:textAlignment w:val="auto"/>
        <w:outlineLvl w:val="9"/>
        <w:rPr>
          <w:rFonts w:hint="eastAsia" w:ascii="华文中宋" w:hAnsi="华文中宋" w:cs="华文中宋"/>
          <w:szCs w:val="24"/>
          <w:lang w:eastAsia="zh-CN"/>
        </w:rPr>
      </w:pPr>
      <w:r>
        <w:rPr>
          <w:rFonts w:hint="eastAsia" w:ascii="华文中宋" w:hAnsi="华文中宋" w:eastAsia="华文中宋" w:cs="华文中宋"/>
          <w:szCs w:val="24"/>
        </w:rPr>
        <w:t>八、</w:t>
      </w:r>
      <w:r>
        <w:rPr>
          <w:rFonts w:hint="eastAsia" w:ascii="华文中宋" w:hAnsi="华文中宋" w:cs="华文中宋"/>
          <w:szCs w:val="24"/>
        </w:rPr>
        <w:t>致函日期：</w:t>
      </w:r>
      <w:r>
        <w:rPr>
          <w:rFonts w:hint="eastAsia" w:ascii="华文中宋" w:hAnsi="华文中宋" w:cs="华文中宋"/>
          <w:szCs w:val="24"/>
          <w:lang w:eastAsia="zh-CN"/>
        </w:rPr>
        <w:t>2019年1月8日。</w:t>
      </w:r>
    </w:p>
    <w:p>
      <w:pPr>
        <w:spacing w:line="600" w:lineRule="exact"/>
        <w:ind w:firstLine="31680"/>
        <w:jc w:val="center"/>
        <w:rPr>
          <w:rFonts w:hint="eastAsia" w:ascii="华文中宋" w:hAnsi="华文中宋" w:cs="华文中宋"/>
          <w:bCs/>
          <w:szCs w:val="24"/>
          <w:lang w:val="en-US" w:eastAsia="zh-CN"/>
        </w:rPr>
      </w:pPr>
      <w:r>
        <w:rPr>
          <w:rFonts w:hint="eastAsia" w:ascii="华文中宋" w:hAnsi="华文中宋" w:cs="华文中宋"/>
          <w:bCs/>
          <w:szCs w:val="24"/>
          <w:lang w:val="en-US" w:eastAsia="zh-CN"/>
        </w:rPr>
        <w:t xml:space="preserve">       </w:t>
      </w:r>
    </w:p>
    <w:p>
      <w:pPr>
        <w:spacing w:line="600" w:lineRule="exact"/>
        <w:ind w:firstLine="31680"/>
        <w:jc w:val="center"/>
        <w:rPr>
          <w:rFonts w:hint="eastAsia" w:ascii="华文中宋" w:hAnsi="华文中宋" w:cs="华文中宋"/>
          <w:bCs/>
          <w:szCs w:val="24"/>
          <w:lang w:val="en-US" w:eastAsia="zh-CN"/>
        </w:rPr>
      </w:pPr>
    </w:p>
    <w:p>
      <w:pPr>
        <w:spacing w:line="600" w:lineRule="exact"/>
        <w:ind w:firstLine="31680"/>
        <w:jc w:val="center"/>
        <w:rPr>
          <w:rFonts w:hint="eastAsia" w:ascii="华文中宋" w:hAnsi="华文中宋" w:cs="华文中宋"/>
          <w:bCs/>
          <w:szCs w:val="24"/>
          <w:lang w:val="en-US" w:eastAsia="zh-CN"/>
        </w:rPr>
      </w:pPr>
      <w:r>
        <w:rPr>
          <w:rFonts w:hint="eastAsia" w:ascii="华文中宋" w:hAnsi="华文中宋" w:cs="华文中宋"/>
          <w:bCs/>
          <w:szCs w:val="24"/>
          <w:lang w:val="en-US" w:eastAsia="zh-CN"/>
        </w:rPr>
        <w:t xml:space="preserve">                      </w:t>
      </w:r>
    </w:p>
    <w:p>
      <w:pPr>
        <w:spacing w:line="600" w:lineRule="exact"/>
        <w:ind w:firstLine="31680"/>
        <w:jc w:val="center"/>
        <w:rPr>
          <w:rFonts w:ascii="华文中宋" w:cs="华文中宋"/>
          <w:bCs/>
          <w:szCs w:val="24"/>
        </w:rPr>
      </w:pPr>
      <w:r>
        <w:rPr>
          <w:rFonts w:hint="eastAsia" w:ascii="华文中宋" w:hAnsi="华文中宋" w:cs="华文中宋"/>
          <w:bCs/>
          <w:szCs w:val="24"/>
          <w:lang w:val="en-US" w:eastAsia="zh-CN"/>
        </w:rPr>
        <w:t xml:space="preserve">                                </w:t>
      </w:r>
      <w:r>
        <w:rPr>
          <w:rFonts w:hint="eastAsia" w:ascii="华文中宋" w:hAnsi="华文中宋" w:cs="华文中宋"/>
          <w:bCs/>
          <w:szCs w:val="24"/>
        </w:rPr>
        <w:t>辽宁九州房产土地资产评估有限公司</w:t>
      </w:r>
    </w:p>
    <w:p>
      <w:pPr>
        <w:spacing w:line="600" w:lineRule="exact"/>
        <w:ind w:firstLine="4920" w:firstLineChars="2050"/>
        <w:rPr>
          <w:rFonts w:hint="eastAsia" w:ascii="华文中宋" w:hAnsi="华文中宋" w:cs="华文中宋"/>
          <w:bCs/>
          <w:szCs w:val="24"/>
        </w:rPr>
      </w:pPr>
      <w:r>
        <w:rPr>
          <w:rFonts w:hint="eastAsia" w:ascii="华文中宋" w:hAnsi="华文中宋" w:cs="华文中宋"/>
          <w:bCs/>
          <w:szCs w:val="24"/>
        </w:rPr>
        <w:t>法定代表人：</w:t>
      </w:r>
    </w:p>
    <w:p>
      <w:pPr>
        <w:spacing w:line="600" w:lineRule="exact"/>
        <w:ind w:firstLine="5160" w:firstLineChars="2150"/>
        <w:rPr>
          <w:rFonts w:hint="eastAsia" w:ascii="华文中宋" w:hAnsi="华文中宋" w:cs="华文中宋"/>
          <w:bCs/>
          <w:szCs w:val="24"/>
          <w:highlight w:val="yellow"/>
          <w:lang w:eastAsia="zh-CN"/>
        </w:rPr>
      </w:pPr>
      <w:r>
        <w:rPr>
          <w:rFonts w:hint="eastAsia" w:ascii="华文中宋" w:hAnsi="华文中宋" w:cs="华文中宋"/>
          <w:bCs/>
          <w:szCs w:val="24"/>
          <w:highlight w:val="none"/>
          <w:lang w:eastAsia="zh-CN"/>
        </w:rPr>
        <w:t>二○一九年一月八日</w:t>
      </w:r>
    </w:p>
    <w:p>
      <w:pPr>
        <w:spacing w:line="600" w:lineRule="exact"/>
        <w:ind w:firstLine="4920" w:firstLineChars="2050"/>
        <w:rPr>
          <w:rFonts w:hint="eastAsia" w:ascii="华文中宋" w:hAnsi="华文中宋" w:cs="华文中宋"/>
          <w:bCs/>
          <w:szCs w:val="24"/>
          <w:lang w:eastAsia="zh-CN"/>
        </w:rPr>
      </w:pPr>
    </w:p>
    <w:p>
      <w:pPr>
        <w:spacing w:line="600" w:lineRule="exact"/>
        <w:ind w:firstLine="4920" w:firstLineChars="2050"/>
        <w:rPr>
          <w:rFonts w:hint="eastAsia" w:ascii="华文中宋" w:hAnsi="华文中宋" w:cs="华文中宋"/>
          <w:bCs/>
          <w:szCs w:val="24"/>
          <w:lang w:eastAsia="zh-CN"/>
        </w:rPr>
      </w:pPr>
    </w:p>
    <w:p>
      <w:pPr>
        <w:spacing w:line="600" w:lineRule="exact"/>
        <w:ind w:firstLine="4920" w:firstLineChars="2050"/>
        <w:rPr>
          <w:rFonts w:hint="eastAsia" w:ascii="华文中宋" w:hAnsi="华文中宋" w:cs="华文中宋"/>
          <w:bCs/>
          <w:szCs w:val="24"/>
          <w:lang w:eastAsia="zh-CN"/>
        </w:rPr>
        <w:sectPr>
          <w:headerReference r:id="rId9" w:type="first"/>
          <w:footerReference r:id="rId11" w:type="first"/>
          <w:headerReference r:id="rId8" w:type="default"/>
          <w:footerReference r:id="rId10"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p>
    <w:p>
      <w:pPr>
        <w:spacing w:line="600" w:lineRule="exact"/>
        <w:ind w:firstLine="4920" w:firstLineChars="2050"/>
        <w:rPr>
          <w:rFonts w:hint="eastAsia" w:ascii="华文中宋" w:hAnsi="华文中宋" w:cs="华文中宋"/>
          <w:bCs/>
          <w:szCs w:val="24"/>
          <w:lang w:eastAsia="zh-CN"/>
        </w:rPr>
      </w:pPr>
    </w:p>
    <w:p>
      <w:pPr>
        <w:spacing w:line="600" w:lineRule="exact"/>
        <w:ind w:firstLine="4920" w:firstLineChars="2050"/>
        <w:rPr>
          <w:rFonts w:hint="eastAsia" w:ascii="华文中宋" w:hAnsi="华文中宋" w:cs="华文中宋"/>
          <w:bCs/>
          <w:szCs w:val="24"/>
          <w:lang w:eastAsia="zh-CN"/>
        </w:rPr>
      </w:pPr>
    </w:p>
    <w:p>
      <w:pPr>
        <w:spacing w:line="600" w:lineRule="exact"/>
        <w:ind w:firstLine="4920" w:firstLineChars="2050"/>
        <w:rPr>
          <w:rFonts w:hint="eastAsia" w:ascii="华文中宋" w:hAnsi="华文中宋" w:cs="华文中宋"/>
          <w:bCs/>
          <w:szCs w:val="24"/>
          <w:lang w:eastAsia="zh-CN"/>
        </w:rPr>
      </w:pPr>
    </w:p>
    <w:p>
      <w:pPr>
        <w:spacing w:line="600" w:lineRule="exact"/>
        <w:ind w:firstLine="4920" w:firstLineChars="2050"/>
        <w:rPr>
          <w:rFonts w:hint="eastAsia" w:ascii="华文中宋" w:hAnsi="华文中宋" w:cs="华文中宋"/>
          <w:bCs/>
          <w:szCs w:val="24"/>
          <w:lang w:eastAsia="zh-CN"/>
        </w:rPr>
      </w:pPr>
    </w:p>
    <w:p>
      <w:pPr>
        <w:spacing w:line="600" w:lineRule="exact"/>
        <w:ind w:firstLine="4920" w:firstLineChars="2050"/>
        <w:rPr>
          <w:rFonts w:hint="eastAsia" w:ascii="华文中宋" w:hAnsi="华文中宋" w:cs="华文中宋"/>
          <w:bCs/>
          <w:szCs w:val="24"/>
          <w:lang w:eastAsia="zh-CN"/>
        </w:rPr>
      </w:pPr>
    </w:p>
    <w:p>
      <w:pPr>
        <w:pStyle w:val="2"/>
        <w:spacing w:before="156" w:after="156"/>
        <w:rPr>
          <w:rFonts w:hint="eastAsia"/>
          <w:szCs w:val="22"/>
        </w:rPr>
      </w:pPr>
      <w:r>
        <w:rPr>
          <w:rFonts w:hint="eastAsia"/>
          <w:szCs w:val="22"/>
        </w:rPr>
        <w:t>目</w:t>
      </w:r>
      <w:r>
        <w:rPr>
          <w:rFonts w:hint="eastAsia"/>
          <w:szCs w:val="22"/>
          <w:lang w:val="en-US" w:eastAsia="zh-CN"/>
        </w:rPr>
        <w:t xml:space="preserve">  </w:t>
      </w:r>
      <w:r>
        <w:rPr>
          <w:rFonts w:hint="eastAsia"/>
          <w:szCs w:val="22"/>
        </w:rPr>
        <w:t>录</w:t>
      </w:r>
    </w:p>
    <w:p>
      <w:pPr>
        <w:pStyle w:val="8"/>
        <w:ind w:firstLine="0" w:firstLineChars="0"/>
        <w:jc w:val="center"/>
        <w:rPr>
          <w:rFonts w:ascii="华文中宋" w:cs="华文中宋"/>
          <w:bCs/>
          <w:sz w:val="32"/>
          <w:szCs w:val="32"/>
        </w:rPr>
      </w:pPr>
    </w:p>
    <w:p>
      <w:pPr>
        <w:pStyle w:val="12"/>
        <w:tabs>
          <w:tab w:val="right" w:leader="dot" w:pos="8306"/>
          <w:tab w:val="clear" w:pos="9176"/>
        </w:tabs>
        <w:spacing w:line="480" w:lineRule="auto"/>
        <w:ind w:firstLine="31680"/>
        <w:rPr>
          <w:rFonts w:ascii="华文中宋" w:cs="华文中宋"/>
          <w:sz w:val="24"/>
          <w:szCs w:val="24"/>
        </w:rPr>
      </w:pPr>
      <w:r>
        <w:rPr>
          <w:rFonts w:ascii="华文中宋" w:hAnsi="华文中宋" w:cs="华文中宋"/>
          <w:sz w:val="24"/>
          <w:szCs w:val="24"/>
        </w:rPr>
        <w:fldChar w:fldCharType="begin"/>
      </w:r>
      <w:r>
        <w:rPr>
          <w:rFonts w:ascii="华文中宋" w:hAnsi="华文中宋" w:cs="华文中宋"/>
          <w:sz w:val="24"/>
          <w:szCs w:val="24"/>
        </w:rPr>
        <w:instrText xml:space="preserve">TOC \o "1-2" \h \u </w:instrText>
      </w:r>
      <w:r>
        <w:rPr>
          <w:rFonts w:ascii="华文中宋" w:hAnsi="华文中宋" w:cs="华文中宋"/>
          <w:sz w:val="24"/>
          <w:szCs w:val="24"/>
        </w:rPr>
        <w:fldChar w:fldCharType="separate"/>
      </w:r>
      <w:r>
        <w:fldChar w:fldCharType="begin"/>
      </w:r>
      <w:r>
        <w:instrText xml:space="preserve"> HYPERLINK \l "_Toc11415" </w:instrText>
      </w:r>
      <w:r>
        <w:fldChar w:fldCharType="separate"/>
      </w:r>
      <w:r>
        <w:rPr>
          <w:rFonts w:hint="eastAsia" w:ascii="华文中宋" w:hAnsi="华文中宋" w:cs="华文中宋"/>
          <w:sz w:val="24"/>
          <w:szCs w:val="24"/>
        </w:rPr>
        <w:t>注册房地产估价师声明</w:t>
      </w:r>
      <w:r>
        <w:rPr>
          <w:rFonts w:ascii="华文中宋" w:cs="华文中宋"/>
          <w:sz w:val="24"/>
          <w:szCs w:val="24"/>
        </w:rPr>
        <w:tab/>
      </w:r>
      <w:r>
        <w:rPr>
          <w:rFonts w:ascii="华文中宋" w:hAnsi="华文中宋" w:cs="华文中宋"/>
          <w:sz w:val="24"/>
          <w:szCs w:val="24"/>
        </w:rPr>
        <w:fldChar w:fldCharType="begin"/>
      </w:r>
      <w:r>
        <w:rPr>
          <w:rFonts w:ascii="华文中宋" w:hAnsi="华文中宋" w:cs="华文中宋"/>
          <w:sz w:val="24"/>
          <w:szCs w:val="24"/>
        </w:rPr>
        <w:instrText xml:space="preserve"> PAGEREF _Toc11415 </w:instrText>
      </w:r>
      <w:r>
        <w:rPr>
          <w:rFonts w:ascii="华文中宋" w:hAnsi="华文中宋" w:cs="华文中宋"/>
          <w:sz w:val="24"/>
          <w:szCs w:val="24"/>
        </w:rPr>
        <w:fldChar w:fldCharType="separate"/>
      </w:r>
      <w:r>
        <w:rPr>
          <w:rFonts w:ascii="华文中宋" w:hAnsi="华文中宋" w:cs="华文中宋"/>
          <w:sz w:val="24"/>
          <w:szCs w:val="24"/>
        </w:rPr>
        <w:t>5</w:t>
      </w:r>
      <w:r>
        <w:rPr>
          <w:rFonts w:ascii="华文中宋" w:hAnsi="华文中宋" w:cs="华文中宋"/>
          <w:sz w:val="24"/>
          <w:szCs w:val="24"/>
        </w:rPr>
        <w:fldChar w:fldCharType="end"/>
      </w:r>
      <w:r>
        <w:rPr>
          <w:rFonts w:ascii="华文中宋" w:hAnsi="华文中宋" w:cs="华文中宋"/>
          <w:sz w:val="24"/>
          <w:szCs w:val="24"/>
        </w:rPr>
        <w:fldChar w:fldCharType="end"/>
      </w:r>
    </w:p>
    <w:p>
      <w:pPr>
        <w:pStyle w:val="12"/>
        <w:tabs>
          <w:tab w:val="right" w:leader="dot" w:pos="8306"/>
          <w:tab w:val="clear" w:pos="9176"/>
        </w:tabs>
        <w:spacing w:line="480" w:lineRule="auto"/>
        <w:rPr>
          <w:rFonts w:ascii="华文中宋" w:cs="华文中宋"/>
          <w:sz w:val="24"/>
          <w:szCs w:val="24"/>
        </w:rPr>
      </w:pPr>
      <w:r>
        <w:fldChar w:fldCharType="begin"/>
      </w:r>
      <w:r>
        <w:instrText xml:space="preserve"> HYPERLINK \l "_Toc25015" </w:instrText>
      </w:r>
      <w:r>
        <w:fldChar w:fldCharType="separate"/>
      </w:r>
      <w:r>
        <w:rPr>
          <w:rFonts w:hint="eastAsia" w:ascii="华文中宋" w:hAnsi="华文中宋" w:cs="华文中宋"/>
          <w:sz w:val="24"/>
          <w:szCs w:val="24"/>
        </w:rPr>
        <w:t>估价假设和限制条件</w:t>
      </w:r>
      <w:r>
        <w:rPr>
          <w:rFonts w:ascii="华文中宋" w:cs="华文中宋"/>
          <w:sz w:val="24"/>
          <w:szCs w:val="24"/>
        </w:rPr>
        <w:tab/>
      </w:r>
      <w:r>
        <w:rPr>
          <w:rFonts w:ascii="华文中宋" w:hAnsi="华文中宋" w:cs="华文中宋"/>
          <w:sz w:val="24"/>
          <w:szCs w:val="24"/>
        </w:rPr>
        <w:fldChar w:fldCharType="begin"/>
      </w:r>
      <w:r>
        <w:rPr>
          <w:rFonts w:ascii="华文中宋" w:hAnsi="华文中宋" w:cs="华文中宋"/>
          <w:sz w:val="24"/>
          <w:szCs w:val="24"/>
        </w:rPr>
        <w:instrText xml:space="preserve"> PAGEREF _Toc25015 </w:instrText>
      </w:r>
      <w:r>
        <w:rPr>
          <w:rFonts w:ascii="华文中宋" w:hAnsi="华文中宋" w:cs="华文中宋"/>
          <w:sz w:val="24"/>
          <w:szCs w:val="24"/>
        </w:rPr>
        <w:fldChar w:fldCharType="separate"/>
      </w:r>
      <w:r>
        <w:rPr>
          <w:rFonts w:ascii="华文中宋" w:hAnsi="华文中宋" w:cs="华文中宋"/>
          <w:sz w:val="24"/>
          <w:szCs w:val="24"/>
        </w:rPr>
        <w:t>6</w:t>
      </w:r>
      <w:r>
        <w:rPr>
          <w:rFonts w:ascii="华文中宋" w:hAnsi="华文中宋" w:cs="华文中宋"/>
          <w:sz w:val="24"/>
          <w:szCs w:val="24"/>
        </w:rPr>
        <w:fldChar w:fldCharType="end"/>
      </w:r>
      <w:r>
        <w:rPr>
          <w:rFonts w:ascii="华文中宋" w:hAnsi="华文中宋" w:cs="华文中宋"/>
          <w:sz w:val="24"/>
          <w:szCs w:val="24"/>
        </w:rPr>
        <w:fldChar w:fldCharType="end"/>
      </w:r>
    </w:p>
    <w:p>
      <w:pPr>
        <w:pStyle w:val="12"/>
        <w:tabs>
          <w:tab w:val="right" w:leader="dot" w:pos="8306"/>
          <w:tab w:val="clear" w:pos="9176"/>
        </w:tabs>
        <w:spacing w:line="480" w:lineRule="auto"/>
        <w:ind w:firstLine="31680"/>
        <w:rPr>
          <w:rFonts w:ascii="华文中宋" w:cs="华文中宋"/>
          <w:sz w:val="24"/>
          <w:szCs w:val="24"/>
        </w:rPr>
      </w:pPr>
      <w:r>
        <w:fldChar w:fldCharType="begin"/>
      </w:r>
      <w:r>
        <w:instrText xml:space="preserve"> HYPERLINK \l "_Toc18428" </w:instrText>
      </w:r>
      <w:r>
        <w:fldChar w:fldCharType="separate"/>
      </w:r>
      <w:r>
        <w:rPr>
          <w:rFonts w:hint="eastAsia" w:ascii="华文中宋" w:hAnsi="华文中宋" w:cs="华文中宋"/>
          <w:sz w:val="24"/>
          <w:szCs w:val="24"/>
        </w:rPr>
        <w:t>估价结果报告</w:t>
      </w:r>
      <w:r>
        <w:rPr>
          <w:rFonts w:ascii="华文中宋" w:cs="华文中宋"/>
          <w:sz w:val="24"/>
          <w:szCs w:val="24"/>
        </w:rPr>
        <w:tab/>
      </w:r>
      <w:r>
        <w:rPr>
          <w:rFonts w:ascii="华文中宋" w:hAnsi="华文中宋" w:cs="华文中宋"/>
          <w:sz w:val="24"/>
          <w:szCs w:val="24"/>
        </w:rPr>
        <w:fldChar w:fldCharType="begin"/>
      </w:r>
      <w:r>
        <w:rPr>
          <w:rFonts w:ascii="华文中宋" w:hAnsi="华文中宋" w:cs="华文中宋"/>
          <w:sz w:val="24"/>
          <w:szCs w:val="24"/>
        </w:rPr>
        <w:instrText xml:space="preserve"> PAGEREF _Toc18428 </w:instrText>
      </w:r>
      <w:r>
        <w:rPr>
          <w:rFonts w:ascii="华文中宋" w:hAnsi="华文中宋" w:cs="华文中宋"/>
          <w:sz w:val="24"/>
          <w:szCs w:val="24"/>
        </w:rPr>
        <w:fldChar w:fldCharType="separate"/>
      </w:r>
      <w:r>
        <w:rPr>
          <w:rFonts w:ascii="华文中宋" w:hAnsi="华文中宋" w:cs="华文中宋"/>
          <w:sz w:val="24"/>
          <w:szCs w:val="24"/>
        </w:rPr>
        <w:t>8</w:t>
      </w:r>
      <w:r>
        <w:rPr>
          <w:rFonts w:ascii="华文中宋" w:hAnsi="华文中宋" w:cs="华文中宋"/>
          <w:sz w:val="24"/>
          <w:szCs w:val="24"/>
        </w:rPr>
        <w:fldChar w:fldCharType="end"/>
      </w:r>
      <w:r>
        <w:rPr>
          <w:rFonts w:ascii="华文中宋" w:hAnsi="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"_Toc7215" </w:instrText>
      </w:r>
      <w:r>
        <w:fldChar w:fldCharType="separate"/>
      </w:r>
      <w:r>
        <w:rPr>
          <w:rFonts w:hint="eastAsia" w:ascii="华文中宋" w:hAnsi="华文中宋" w:eastAsia="华文中宋" w:cs="华文中宋"/>
          <w:sz w:val="24"/>
          <w:szCs w:val="24"/>
        </w:rPr>
        <w:t>一、估价委托人</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_Toc7215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8</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"_Toc708" </w:instrText>
      </w:r>
      <w:r>
        <w:fldChar w:fldCharType="separate"/>
      </w:r>
      <w:r>
        <w:rPr>
          <w:rFonts w:hint="eastAsia" w:ascii="华文中宋" w:hAnsi="华文中宋" w:eastAsia="华文中宋" w:cs="华文中宋"/>
          <w:sz w:val="24"/>
          <w:szCs w:val="24"/>
        </w:rPr>
        <w:t>二、房地产估价机构</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_Toc708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8</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"_Toc31976" </w:instrText>
      </w:r>
      <w:r>
        <w:fldChar w:fldCharType="separate"/>
      </w:r>
      <w:r>
        <w:rPr>
          <w:rFonts w:hint="eastAsia" w:ascii="华文中宋" w:hAnsi="华文中宋" w:eastAsia="华文中宋" w:cs="华文中宋"/>
          <w:sz w:val="24"/>
          <w:szCs w:val="24"/>
        </w:rPr>
        <w:t>三、估价目的</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_Toc31976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8</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hint="eastAsia" w:ascii="华文中宋" w:hAnsi="华文中宋" w:eastAsia="华文中宋" w:cs="华文中宋"/>
          <w:sz w:val="24"/>
          <w:szCs w:val="24"/>
          <w:lang w:val="en-US" w:eastAsia="zh-CN"/>
        </w:rPr>
      </w:pPr>
      <w:r>
        <w:fldChar w:fldCharType="begin"/>
      </w:r>
      <w:r>
        <w:instrText xml:space="preserve"> HYPERLINK \l "_Toc16004" </w:instrText>
      </w:r>
      <w:r>
        <w:fldChar w:fldCharType="separate"/>
      </w:r>
      <w:r>
        <w:rPr>
          <w:rFonts w:hint="eastAsia" w:ascii="华文中宋" w:hAnsi="华文中宋" w:eastAsia="华文中宋" w:cs="华文中宋"/>
          <w:sz w:val="24"/>
          <w:szCs w:val="24"/>
        </w:rPr>
        <w:t>四、估价对象</w:t>
      </w:r>
      <w:r>
        <w:rPr>
          <w:rFonts w:ascii="华文中宋" w:hAnsi="华文中宋" w:eastAsia="华文中宋" w:cs="华文中宋"/>
          <w:sz w:val="24"/>
          <w:szCs w:val="24"/>
        </w:rPr>
        <w:tab/>
      </w:r>
      <w:r>
        <w:rPr>
          <w:rFonts w:ascii="华文中宋" w:hAnsi="华文中宋" w:eastAsia="华文中宋" w:cs="华文中宋"/>
          <w:sz w:val="24"/>
          <w:szCs w:val="24"/>
        </w:rPr>
        <w:fldChar w:fldCharType="end"/>
      </w:r>
      <w:r>
        <w:rPr>
          <w:rFonts w:hint="eastAsia" w:ascii="华文中宋" w:hAnsi="华文中宋" w:eastAsia="华文中宋" w:cs="华文中宋"/>
          <w:sz w:val="24"/>
          <w:szCs w:val="24"/>
          <w:lang w:val="en-US" w:eastAsia="zh-CN"/>
        </w:rPr>
        <w:t>7</w:t>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"_Toc31880" </w:instrText>
      </w:r>
      <w:r>
        <w:fldChar w:fldCharType="separate"/>
      </w:r>
      <w:r>
        <w:rPr>
          <w:rFonts w:hint="eastAsia" w:ascii="华文中宋" w:hAnsi="华文中宋" w:eastAsia="华文中宋" w:cs="华文中宋"/>
          <w:sz w:val="24"/>
          <w:szCs w:val="24"/>
        </w:rPr>
        <w:t>五、价值时点</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_Toc31880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10</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"_Toc16675" </w:instrText>
      </w:r>
      <w:r>
        <w:fldChar w:fldCharType="separate"/>
      </w:r>
      <w:r>
        <w:rPr>
          <w:rFonts w:hint="eastAsia" w:ascii="华文中宋" w:hAnsi="华文中宋" w:eastAsia="华文中宋" w:cs="华文中宋"/>
          <w:sz w:val="24"/>
          <w:szCs w:val="24"/>
        </w:rPr>
        <w:t>六、价值类型</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_Toc16675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11</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"_Toc8652" </w:instrText>
      </w:r>
      <w:r>
        <w:fldChar w:fldCharType="separate"/>
      </w:r>
      <w:r>
        <w:rPr>
          <w:rFonts w:hint="eastAsia" w:ascii="华文中宋" w:hAnsi="华文中宋" w:eastAsia="华文中宋" w:cs="华文中宋"/>
          <w:sz w:val="24"/>
          <w:szCs w:val="24"/>
        </w:rPr>
        <w:t>七、估价原则</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_Toc8652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11</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"_Toc13592" </w:instrText>
      </w:r>
      <w:r>
        <w:fldChar w:fldCharType="separate"/>
      </w:r>
      <w:r>
        <w:rPr>
          <w:rFonts w:hint="eastAsia" w:ascii="华文中宋" w:hAnsi="华文中宋" w:eastAsia="华文中宋" w:cs="华文中宋"/>
          <w:sz w:val="24"/>
          <w:szCs w:val="24"/>
        </w:rPr>
        <w:t>八、估价依据</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_Toc13592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11</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"_Toc22863" </w:instrText>
      </w:r>
      <w:r>
        <w:fldChar w:fldCharType="separate"/>
      </w:r>
      <w:r>
        <w:rPr>
          <w:rFonts w:hint="eastAsia" w:ascii="华文中宋" w:hAnsi="华文中宋" w:eastAsia="华文中宋" w:cs="华文中宋"/>
          <w:sz w:val="24"/>
          <w:szCs w:val="24"/>
        </w:rPr>
        <w:t>九、估价方法</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_Toc22863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13</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"_Toc6279" </w:instrText>
      </w:r>
      <w:r>
        <w:fldChar w:fldCharType="separate"/>
      </w:r>
      <w:r>
        <w:rPr>
          <w:rFonts w:hint="eastAsia" w:ascii="华文中宋" w:hAnsi="华文中宋" w:eastAsia="华文中宋" w:cs="华文中宋"/>
          <w:sz w:val="24"/>
          <w:szCs w:val="24"/>
        </w:rPr>
        <w:t>十、估价结果</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_Toc6279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15</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"_Toc17592" </w:instrText>
      </w:r>
      <w:r>
        <w:fldChar w:fldCharType="separate"/>
      </w:r>
      <w:r>
        <w:rPr>
          <w:rFonts w:hint="eastAsia" w:ascii="华文中宋" w:hAnsi="华文中宋" w:eastAsia="华文中宋" w:cs="华文中宋"/>
          <w:sz w:val="24"/>
          <w:szCs w:val="24"/>
        </w:rPr>
        <w:t>十一、注册房地产估价师</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_Toc17592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15</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"_Toc31303" </w:instrText>
      </w:r>
      <w:r>
        <w:fldChar w:fldCharType="separate"/>
      </w:r>
      <w:r>
        <w:rPr>
          <w:rFonts w:hint="eastAsia" w:ascii="华文中宋" w:hAnsi="华文中宋" w:eastAsia="华文中宋" w:cs="华文中宋"/>
          <w:sz w:val="24"/>
          <w:szCs w:val="24"/>
        </w:rPr>
        <w:t>十二、实地查勘期</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_Toc31303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15</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3"/>
        <w:tabs>
          <w:tab w:val="right" w:leader="dot" w:pos="8306"/>
          <w:tab w:val="clear" w:pos="8494"/>
        </w:tabs>
        <w:spacing w:line="480" w:lineRule="auto"/>
        <w:ind w:left="31680" w:firstLine="31680"/>
        <w:rPr>
          <w:rFonts w:ascii="华文中宋" w:hAnsi="华文中宋" w:eastAsia="华文中宋" w:cs="华文中宋"/>
          <w:sz w:val="24"/>
          <w:szCs w:val="24"/>
        </w:rPr>
      </w:pPr>
      <w:r>
        <w:fldChar w:fldCharType="begin"/>
      </w:r>
      <w:r>
        <w:instrText xml:space="preserve"> HYPERLINK \l "_Toc1061" </w:instrText>
      </w:r>
      <w:r>
        <w:fldChar w:fldCharType="separate"/>
      </w:r>
      <w:r>
        <w:rPr>
          <w:rFonts w:hint="eastAsia" w:ascii="华文中宋" w:hAnsi="华文中宋" w:eastAsia="华文中宋" w:cs="华文中宋"/>
          <w:sz w:val="24"/>
          <w:szCs w:val="24"/>
        </w:rPr>
        <w:t>十三、估价作业期</w:t>
      </w:r>
      <w:r>
        <w:rPr>
          <w:rFonts w:ascii="华文中宋" w:hAnsi="华文中宋" w:eastAsia="华文中宋" w:cs="华文中宋"/>
          <w:sz w:val="24"/>
          <w:szCs w:val="24"/>
        </w:rPr>
        <w:tab/>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PAGEREF _Toc1061 </w:instrText>
      </w:r>
      <w:r>
        <w:rPr>
          <w:rFonts w:ascii="华文中宋" w:hAnsi="华文中宋" w:eastAsia="华文中宋" w:cs="华文中宋"/>
          <w:sz w:val="24"/>
          <w:szCs w:val="24"/>
        </w:rPr>
        <w:fldChar w:fldCharType="separate"/>
      </w:r>
      <w:r>
        <w:rPr>
          <w:rFonts w:ascii="华文中宋" w:hAnsi="华文中宋" w:eastAsia="华文中宋" w:cs="华文中宋"/>
          <w:sz w:val="24"/>
          <w:szCs w:val="24"/>
        </w:rPr>
        <w:t>15</w:t>
      </w:r>
      <w:r>
        <w:rPr>
          <w:rFonts w:ascii="华文中宋" w:hAnsi="华文中宋" w:eastAsia="华文中宋" w:cs="华文中宋"/>
          <w:sz w:val="24"/>
          <w:szCs w:val="24"/>
        </w:rPr>
        <w:fldChar w:fldCharType="end"/>
      </w:r>
      <w:r>
        <w:rPr>
          <w:rFonts w:ascii="华文中宋" w:hAnsi="华文中宋" w:eastAsia="华文中宋" w:cs="华文中宋"/>
          <w:sz w:val="24"/>
          <w:szCs w:val="24"/>
        </w:rPr>
        <w:fldChar w:fldCharType="end"/>
      </w:r>
    </w:p>
    <w:p>
      <w:pPr>
        <w:pStyle w:val="12"/>
        <w:tabs>
          <w:tab w:val="right" w:leader="dot" w:pos="8306"/>
          <w:tab w:val="clear" w:pos="9176"/>
        </w:tabs>
        <w:spacing w:line="480" w:lineRule="auto"/>
        <w:ind w:firstLine="31680"/>
        <w:rPr>
          <w:rFonts w:ascii="华文中宋" w:cs="华文中宋"/>
          <w:sz w:val="24"/>
          <w:szCs w:val="24"/>
        </w:rPr>
      </w:pPr>
      <w:r>
        <w:fldChar w:fldCharType="begin"/>
      </w:r>
      <w:r>
        <w:instrText xml:space="preserve"> HYPERLINK \l "_Toc7193" </w:instrText>
      </w:r>
      <w:r>
        <w:fldChar w:fldCharType="separate"/>
      </w:r>
      <w:r>
        <w:rPr>
          <w:rFonts w:hint="eastAsia" w:ascii="华文中宋" w:hAnsi="华文中宋" w:cs="华文中宋"/>
          <w:sz w:val="24"/>
          <w:szCs w:val="24"/>
        </w:rPr>
        <w:t>附</w:t>
      </w:r>
      <w:r>
        <w:rPr>
          <w:rFonts w:ascii="华文中宋" w:hAnsi="华文中宋" w:cs="华文中宋"/>
          <w:sz w:val="24"/>
          <w:szCs w:val="24"/>
        </w:rPr>
        <w:t xml:space="preserve">    </w:t>
      </w:r>
      <w:r>
        <w:rPr>
          <w:rFonts w:hint="eastAsia" w:ascii="华文中宋" w:hAnsi="华文中宋" w:cs="华文中宋"/>
          <w:sz w:val="24"/>
          <w:szCs w:val="24"/>
        </w:rPr>
        <w:t>件</w:t>
      </w:r>
      <w:r>
        <w:rPr>
          <w:rFonts w:ascii="华文中宋" w:cs="华文中宋"/>
          <w:sz w:val="24"/>
          <w:szCs w:val="24"/>
        </w:rPr>
        <w:tab/>
      </w:r>
      <w:r>
        <w:rPr>
          <w:rFonts w:ascii="华文中宋" w:hAnsi="华文中宋" w:cs="华文中宋"/>
          <w:sz w:val="24"/>
          <w:szCs w:val="24"/>
        </w:rPr>
        <w:fldChar w:fldCharType="begin"/>
      </w:r>
      <w:r>
        <w:rPr>
          <w:rFonts w:ascii="华文中宋" w:hAnsi="华文中宋" w:cs="华文中宋"/>
          <w:sz w:val="24"/>
          <w:szCs w:val="24"/>
        </w:rPr>
        <w:instrText xml:space="preserve"> PAGEREF _Toc7193 </w:instrText>
      </w:r>
      <w:r>
        <w:rPr>
          <w:rFonts w:ascii="华文中宋" w:hAnsi="华文中宋" w:cs="华文中宋"/>
          <w:sz w:val="24"/>
          <w:szCs w:val="24"/>
        </w:rPr>
        <w:fldChar w:fldCharType="separate"/>
      </w:r>
      <w:r>
        <w:rPr>
          <w:rFonts w:ascii="华文中宋" w:hAnsi="华文中宋" w:cs="华文中宋"/>
          <w:sz w:val="24"/>
          <w:szCs w:val="24"/>
        </w:rPr>
        <w:t>16</w:t>
      </w:r>
      <w:r>
        <w:rPr>
          <w:rFonts w:ascii="华文中宋" w:hAnsi="华文中宋" w:cs="华文中宋"/>
          <w:sz w:val="24"/>
          <w:szCs w:val="24"/>
        </w:rPr>
        <w:fldChar w:fldCharType="end"/>
      </w:r>
      <w:r>
        <w:rPr>
          <w:rFonts w:ascii="华文中宋" w:hAnsi="华文中宋" w:cs="华文中宋"/>
          <w:sz w:val="24"/>
          <w:szCs w:val="24"/>
        </w:rPr>
        <w:fldChar w:fldCharType="end"/>
      </w:r>
    </w:p>
    <w:p>
      <w:pPr>
        <w:spacing w:line="480" w:lineRule="auto"/>
        <w:ind w:firstLine="31680"/>
        <w:rPr>
          <w:rFonts w:ascii="华文中宋" w:hAnsi="华文中宋" w:cs="华文中宋"/>
          <w:szCs w:val="24"/>
        </w:rPr>
        <w:sectPr>
          <w:headerReference r:id="rId12"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ascii="华文中宋" w:hAnsi="华文中宋" w:cs="华文中宋"/>
          <w:szCs w:val="24"/>
        </w:rPr>
        <w:fldChar w:fldCharType="end"/>
      </w:r>
    </w:p>
    <w:p>
      <w:pPr>
        <w:spacing w:line="480" w:lineRule="auto"/>
        <w:ind w:firstLine="31680"/>
        <w:rPr>
          <w:rFonts w:ascii="华文中宋" w:hAnsi="华文中宋" w:cs="华文中宋"/>
          <w:szCs w:val="24"/>
        </w:rPr>
      </w:pPr>
    </w:p>
    <w:p>
      <w:pPr>
        <w:tabs>
          <w:tab w:val="left" w:pos="4828"/>
        </w:tabs>
        <w:spacing w:line="240" w:lineRule="atLeast"/>
        <w:ind w:firstLine="31680"/>
      </w:pPr>
      <w:r>
        <w:rPr>
          <w:rFonts w:ascii="华文中宋" w:cs="华文中宋"/>
        </w:rPr>
        <w:tab/>
      </w:r>
    </w:p>
    <w:p>
      <w:pPr>
        <w:pStyle w:val="2"/>
        <w:spacing w:before="156" w:after="156"/>
        <w:rPr>
          <w:rFonts w:hint="eastAsia"/>
        </w:rPr>
      </w:pPr>
      <w:bookmarkStart w:id="0" w:name="_Toc11415"/>
      <w:bookmarkStart w:id="1" w:name="_Toc12822"/>
    </w:p>
    <w:p>
      <w:pPr>
        <w:pStyle w:val="2"/>
        <w:spacing w:before="156" w:after="156"/>
      </w:pPr>
      <w:r>
        <w:rPr>
          <w:rFonts w:hint="eastAsia"/>
        </w:rPr>
        <w:t>注册房地产估价师声明</w:t>
      </w:r>
      <w:bookmarkEnd w:id="0"/>
      <w:bookmarkEnd w:id="1"/>
    </w:p>
    <w:p>
      <w:pPr>
        <w:adjustRightInd w:val="0"/>
        <w:snapToGrid w:val="0"/>
        <w:spacing w:line="500" w:lineRule="exact"/>
        <w:ind w:firstLine="0" w:firstLineChars="0"/>
        <w:rPr>
          <w:rFonts w:ascii="华文中宋" w:cs="华文中宋"/>
          <w:szCs w:val="24"/>
        </w:rPr>
      </w:pPr>
      <w:r>
        <w:rPr>
          <w:rFonts w:hint="eastAsia" w:ascii="华文中宋" w:hAnsi="华文中宋" w:cs="华文中宋"/>
          <w:szCs w:val="24"/>
        </w:rPr>
        <w:t>我们郑重声明：</w:t>
      </w:r>
    </w:p>
    <w:p>
      <w:pPr>
        <w:spacing w:line="500" w:lineRule="exact"/>
        <w:ind w:firstLine="31680"/>
        <w:rPr>
          <w:rFonts w:ascii="华文中宋" w:cs="华文中宋"/>
          <w:szCs w:val="24"/>
        </w:rPr>
      </w:pPr>
      <w:r>
        <w:rPr>
          <w:rFonts w:ascii="华文中宋" w:hAnsi="华文中宋" w:cs="华文中宋"/>
          <w:szCs w:val="24"/>
        </w:rPr>
        <w:t xml:space="preserve">1. </w:t>
      </w:r>
      <w:r>
        <w:rPr>
          <w:rFonts w:hint="eastAsia" w:ascii="华文中宋" w:hAnsi="华文中宋" w:cs="华文中宋"/>
          <w:szCs w:val="24"/>
        </w:rPr>
        <w:t>我们在本估价报告中对事实的说明是真实和准确的，没有虚假记载、误导性陈述和重大遗漏。</w:t>
      </w:r>
    </w:p>
    <w:p>
      <w:pPr>
        <w:spacing w:line="500" w:lineRule="exact"/>
        <w:ind w:firstLine="31680"/>
        <w:rPr>
          <w:rFonts w:ascii="华文中宋" w:cs="华文中宋"/>
          <w:szCs w:val="24"/>
        </w:rPr>
      </w:pPr>
      <w:r>
        <w:rPr>
          <w:rFonts w:ascii="华文中宋" w:hAnsi="华文中宋" w:cs="华文中宋"/>
          <w:szCs w:val="24"/>
        </w:rPr>
        <w:t xml:space="preserve">2. </w:t>
      </w:r>
      <w:r>
        <w:rPr>
          <w:rFonts w:hint="eastAsia" w:ascii="华文中宋" w:hAnsi="华文中宋" w:cs="华文中宋"/>
          <w:szCs w:val="24"/>
        </w:rPr>
        <w:t>本估价报告中的分析、意见和结论是我们独立、客观、公正的专业分析、意见和结论，但受本估价报告中已说明的假设和限制条件的限制。</w:t>
      </w:r>
    </w:p>
    <w:p>
      <w:pPr>
        <w:spacing w:line="500" w:lineRule="exact"/>
        <w:ind w:firstLine="31680"/>
        <w:rPr>
          <w:rFonts w:ascii="华文中宋" w:cs="华文中宋"/>
          <w:szCs w:val="24"/>
        </w:rPr>
      </w:pPr>
      <w:r>
        <w:rPr>
          <w:rFonts w:ascii="华文中宋" w:hAnsi="华文中宋" w:cs="华文中宋"/>
          <w:szCs w:val="24"/>
        </w:rPr>
        <w:t xml:space="preserve">3. </w:t>
      </w:r>
      <w:r>
        <w:rPr>
          <w:rFonts w:hint="eastAsia" w:ascii="华文中宋" w:hAnsi="华文中宋" w:cs="华文中宋"/>
          <w:szCs w:val="24"/>
        </w:rPr>
        <w:t>我们与本估价报告中的估价对象没有现实或潜在的利益，与估价委托人及估价利害关系人没有利害关系，也对估价对象、估价委托人及估价利害关系人没有偏见。</w:t>
      </w:r>
    </w:p>
    <w:p>
      <w:pPr>
        <w:adjustRightInd w:val="0"/>
        <w:snapToGrid w:val="0"/>
        <w:spacing w:line="500" w:lineRule="exact"/>
        <w:ind w:firstLine="31680"/>
        <w:rPr>
          <w:rFonts w:ascii="华文中宋" w:cs="华文中宋"/>
          <w:szCs w:val="24"/>
        </w:rPr>
      </w:pPr>
      <w:r>
        <w:rPr>
          <w:rFonts w:ascii="华文中宋" w:hAnsi="华文中宋" w:cs="华文中宋"/>
          <w:szCs w:val="24"/>
        </w:rPr>
        <w:t xml:space="preserve">4. </w:t>
      </w:r>
      <w:r>
        <w:rPr>
          <w:rFonts w:hint="eastAsia" w:ascii="华文中宋" w:hAnsi="华文中宋" w:cs="华文中宋"/>
          <w:szCs w:val="24"/>
        </w:rPr>
        <w:t>我们是依照中华人民共和国国家标准《房地产估价规范》</w:t>
      </w:r>
      <w:r>
        <w:rPr>
          <w:rFonts w:ascii="华文中宋" w:hAnsi="华文中宋" w:cs="华文中宋"/>
          <w:szCs w:val="24"/>
        </w:rPr>
        <w:t>GB/T50291-2015</w:t>
      </w:r>
      <w:r>
        <w:rPr>
          <w:rFonts w:hint="eastAsia" w:ascii="华文中宋" w:hAnsi="华文中宋" w:cs="华文中宋"/>
          <w:szCs w:val="24"/>
        </w:rPr>
        <w:t>、《房地产估价基本术语标准》</w:t>
      </w:r>
      <w:r>
        <w:rPr>
          <w:rFonts w:ascii="华文中宋" w:hAnsi="华文中宋" w:cs="华文中宋"/>
          <w:szCs w:val="24"/>
        </w:rPr>
        <w:t>GB/T50899-2013</w:t>
      </w:r>
      <w:r>
        <w:rPr>
          <w:rFonts w:hint="eastAsia" w:ascii="华文中宋" w:hAnsi="华文中宋" w:cs="华文中宋"/>
          <w:szCs w:val="24"/>
        </w:rPr>
        <w:t>以及相关房地产估价专项标准进行估价工作，撰写本估价报告。</w:t>
      </w:r>
    </w:p>
    <w:p>
      <w:pPr>
        <w:adjustRightInd w:val="0"/>
        <w:snapToGrid w:val="0"/>
        <w:spacing w:line="500" w:lineRule="exact"/>
        <w:ind w:firstLine="412" w:firstLineChars="172"/>
        <w:rPr>
          <w:rFonts w:ascii="华文中宋" w:cs="华文中宋"/>
          <w:szCs w:val="24"/>
        </w:rPr>
      </w:pPr>
      <w:r>
        <w:rPr>
          <w:rFonts w:ascii="华文中宋" w:hAnsi="华文中宋" w:cs="华文中宋"/>
          <w:szCs w:val="24"/>
        </w:rPr>
        <w:t xml:space="preserve"> 5. </w:t>
      </w:r>
      <w:r>
        <w:rPr>
          <w:rFonts w:hint="eastAsia" w:ascii="华文中宋" w:hAnsi="华文中宋" w:cs="华文中宋"/>
          <w:szCs w:val="24"/>
        </w:rPr>
        <w:t>我公司</w:t>
      </w:r>
      <w:r>
        <w:rPr>
          <w:rFonts w:hint="eastAsia" w:ascii="华文中宋" w:hAnsi="华文中宋" w:cs="华文中宋"/>
          <w:szCs w:val="24"/>
          <w:lang w:eastAsia="zh-CN"/>
        </w:rPr>
        <w:t>注册房地产估价师</w:t>
      </w:r>
      <w:r>
        <w:rPr>
          <w:rFonts w:hint="eastAsia" w:ascii="华文中宋" w:hAnsi="华文中宋" w:cs="华文中宋"/>
          <w:szCs w:val="24"/>
        </w:rPr>
        <w:t>于</w:t>
      </w:r>
      <w:r>
        <w:rPr>
          <w:rFonts w:hint="eastAsia" w:ascii="华文中宋" w:hAnsi="华文中宋" w:cs="华文中宋"/>
          <w:szCs w:val="24"/>
          <w:lang w:eastAsia="zh-CN"/>
        </w:rPr>
        <w:t>2018年12月24日</w:t>
      </w:r>
      <w:r>
        <w:rPr>
          <w:rFonts w:hint="eastAsia" w:ascii="华文中宋" w:hAnsi="华文中宋" w:cs="华文中宋"/>
          <w:szCs w:val="24"/>
        </w:rPr>
        <w:t>对本估价报告中的估价对象进行了实地查勘，并对勘察的客观性、真实性、公正性承担责任，但我们对估价对象的实地查勘仅限于其外观和使用状况，对被遮盖、未暴露及难以接触到的部分，我们依据估价委托人提供的资料及相关规范进行估价。我们不承担对估价对象建筑结构质量进行调查的责任。</w:t>
      </w:r>
    </w:p>
    <w:p>
      <w:pPr>
        <w:spacing w:line="500" w:lineRule="exact"/>
        <w:ind w:firstLine="31680"/>
        <w:rPr>
          <w:szCs w:val="24"/>
        </w:rPr>
      </w:pPr>
      <w:r>
        <w:rPr>
          <w:rFonts w:ascii="华文中宋" w:hAnsi="华文中宋" w:cs="华文中宋"/>
          <w:szCs w:val="24"/>
        </w:rPr>
        <w:t>6.</w:t>
      </w:r>
      <w:r>
        <w:rPr>
          <w:rFonts w:hint="eastAsia" w:ascii="华文中宋" w:hAnsi="华文中宋" w:cs="华文中宋"/>
          <w:szCs w:val="24"/>
        </w:rPr>
        <w:t>我公司估价人员有资质和能力完成本项目，所以没有外部专家和机构对本估价报告提供重要专业帮助。</w:t>
      </w:r>
    </w:p>
    <w:p>
      <w:pPr>
        <w:spacing w:line="520" w:lineRule="exact"/>
        <w:ind w:firstLine="31680"/>
        <w:jc w:val="center"/>
        <w:rPr>
          <w:rFonts w:ascii="华文中宋" w:cs="华文中宋"/>
          <w:b/>
          <w:szCs w:val="24"/>
        </w:rPr>
      </w:pPr>
      <w:r>
        <w:rPr>
          <w:rFonts w:hint="eastAsia" w:ascii="华文中宋" w:hAnsi="华文中宋" w:cs="华文中宋"/>
          <w:b/>
          <w:szCs w:val="24"/>
        </w:rPr>
        <w:t>注册房地产估价师</w:t>
      </w:r>
    </w:p>
    <w:tbl>
      <w:tblPr>
        <w:tblStyle w:val="15"/>
        <w:tblW w:w="8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1920"/>
        <w:gridCol w:w="231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891" w:type="dxa"/>
            <w:vAlign w:val="center"/>
          </w:tcPr>
          <w:p>
            <w:pPr>
              <w:ind w:firstLine="0" w:firstLineChars="0"/>
              <w:jc w:val="center"/>
              <w:rPr>
                <w:rFonts w:ascii="华文中宋" w:cs="华文中宋"/>
                <w:szCs w:val="24"/>
              </w:rPr>
            </w:pPr>
            <w:r>
              <w:rPr>
                <w:rFonts w:hint="eastAsia" w:ascii="华文中宋" w:hAnsi="华文中宋" w:cs="华文中宋"/>
                <w:szCs w:val="24"/>
              </w:rPr>
              <w:t>姓名</w:t>
            </w:r>
          </w:p>
        </w:tc>
        <w:tc>
          <w:tcPr>
            <w:tcW w:w="1920" w:type="dxa"/>
            <w:vAlign w:val="center"/>
          </w:tcPr>
          <w:p>
            <w:pPr>
              <w:ind w:firstLine="0" w:firstLineChars="0"/>
              <w:jc w:val="center"/>
              <w:rPr>
                <w:rFonts w:ascii="华文中宋" w:cs="华文中宋"/>
                <w:szCs w:val="24"/>
              </w:rPr>
            </w:pPr>
            <w:r>
              <w:rPr>
                <w:rFonts w:hint="eastAsia" w:ascii="华文中宋" w:hAnsi="华文中宋" w:cs="华文中宋"/>
                <w:szCs w:val="24"/>
              </w:rPr>
              <w:t>注册号</w:t>
            </w:r>
          </w:p>
        </w:tc>
        <w:tc>
          <w:tcPr>
            <w:tcW w:w="2310" w:type="dxa"/>
            <w:vAlign w:val="center"/>
          </w:tcPr>
          <w:p>
            <w:pPr>
              <w:ind w:firstLine="0" w:firstLineChars="0"/>
              <w:jc w:val="center"/>
              <w:rPr>
                <w:rFonts w:ascii="华文中宋" w:cs="华文中宋"/>
                <w:szCs w:val="24"/>
              </w:rPr>
            </w:pPr>
            <w:r>
              <w:rPr>
                <w:rFonts w:hint="eastAsia" w:ascii="华文中宋" w:hAnsi="华文中宋" w:cs="华文中宋"/>
                <w:szCs w:val="24"/>
              </w:rPr>
              <w:t>签名</w:t>
            </w:r>
          </w:p>
        </w:tc>
        <w:tc>
          <w:tcPr>
            <w:tcW w:w="2355" w:type="dxa"/>
            <w:vAlign w:val="center"/>
          </w:tcPr>
          <w:p>
            <w:pPr>
              <w:ind w:firstLine="0" w:firstLineChars="0"/>
              <w:jc w:val="center"/>
              <w:rPr>
                <w:rFonts w:ascii="华文中宋" w:cs="华文中宋"/>
                <w:szCs w:val="24"/>
              </w:rPr>
            </w:pPr>
            <w:r>
              <w:rPr>
                <w:rFonts w:hint="eastAsia" w:ascii="华文中宋" w:hAnsi="华文中宋" w:cs="华文中宋"/>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891" w:type="dxa"/>
            <w:vAlign w:val="center"/>
          </w:tcPr>
          <w:p>
            <w:pPr>
              <w:ind w:firstLine="0" w:firstLineChars="0"/>
              <w:jc w:val="center"/>
              <w:rPr>
                <w:rFonts w:ascii="华文中宋" w:cs="华文中宋"/>
                <w:szCs w:val="24"/>
              </w:rPr>
            </w:pPr>
            <w:r>
              <w:rPr>
                <w:rFonts w:hint="eastAsia" w:ascii="华文中宋" w:hAnsi="华文中宋" w:cs="华文中宋"/>
                <w:szCs w:val="24"/>
              </w:rPr>
              <w:t>张国良</w:t>
            </w:r>
          </w:p>
        </w:tc>
        <w:tc>
          <w:tcPr>
            <w:tcW w:w="1920" w:type="dxa"/>
            <w:vAlign w:val="center"/>
          </w:tcPr>
          <w:p>
            <w:pPr>
              <w:ind w:firstLine="0" w:firstLineChars="0"/>
              <w:jc w:val="center"/>
              <w:rPr>
                <w:rFonts w:ascii="华文中宋" w:cs="华文中宋"/>
                <w:szCs w:val="24"/>
              </w:rPr>
            </w:pPr>
            <w:r>
              <w:rPr>
                <w:rFonts w:ascii="华文中宋" w:hAnsi="华文中宋" w:cs="华文中宋"/>
                <w:szCs w:val="24"/>
              </w:rPr>
              <w:t>2120140022</w:t>
            </w:r>
          </w:p>
        </w:tc>
        <w:tc>
          <w:tcPr>
            <w:tcW w:w="2310" w:type="dxa"/>
            <w:vAlign w:val="center"/>
          </w:tcPr>
          <w:p>
            <w:pPr>
              <w:ind w:firstLine="31680"/>
              <w:jc w:val="center"/>
              <w:rPr>
                <w:rFonts w:ascii="华文中宋" w:cs="华文中宋"/>
                <w:szCs w:val="24"/>
              </w:rPr>
            </w:pPr>
          </w:p>
        </w:tc>
        <w:tc>
          <w:tcPr>
            <w:tcW w:w="2355" w:type="dxa"/>
            <w:vAlign w:val="center"/>
          </w:tcPr>
          <w:p>
            <w:pPr>
              <w:ind w:firstLine="600" w:firstLineChars="250"/>
              <w:jc w:val="center"/>
              <w:rPr>
                <w:rFonts w:ascii="华文中宋" w:cs="华文中宋"/>
                <w:szCs w:val="24"/>
              </w:rPr>
            </w:pPr>
            <w:r>
              <w:rPr>
                <w:rFonts w:hint="eastAsia" w:ascii="华文中宋" w:hAnsi="华文中宋" w:cs="华文中宋"/>
                <w:szCs w:val="24"/>
              </w:rPr>
              <w:t>年</w:t>
            </w:r>
            <w:r>
              <w:rPr>
                <w:rFonts w:hint="eastAsia" w:ascii="华文中宋" w:hAnsi="华文中宋" w:cs="华文中宋"/>
                <w:szCs w:val="24"/>
                <w:lang w:val="en-US" w:eastAsia="zh-CN"/>
              </w:rPr>
              <w:t xml:space="preserve">   </w:t>
            </w:r>
            <w:r>
              <w:rPr>
                <w:rFonts w:hint="eastAsia" w:ascii="华文中宋" w:hAnsi="华文中宋" w:cs="华文中宋"/>
                <w:szCs w:val="24"/>
              </w:rPr>
              <w:t>月</w:t>
            </w:r>
            <w:r>
              <w:rPr>
                <w:rFonts w:hint="eastAsia" w:ascii="华文中宋" w:hAnsi="华文中宋" w:cs="华文中宋"/>
                <w:szCs w:val="24"/>
                <w:lang w:val="en-US" w:eastAsia="zh-CN"/>
              </w:rPr>
              <w:t xml:space="preserve">   </w:t>
            </w:r>
            <w:r>
              <w:rPr>
                <w:rFonts w:hint="eastAsia" w:ascii="华文中宋" w:hAnsi="华文中宋" w:cs="华文中宋"/>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891" w:type="dxa"/>
            <w:vAlign w:val="center"/>
          </w:tcPr>
          <w:p>
            <w:pPr>
              <w:ind w:firstLine="0" w:firstLineChars="0"/>
              <w:jc w:val="center"/>
              <w:rPr>
                <w:rFonts w:hint="eastAsia" w:ascii="华文中宋" w:eastAsia="华文中宋" w:cs="华文中宋"/>
                <w:szCs w:val="24"/>
                <w:lang w:eastAsia="zh-CN"/>
              </w:rPr>
            </w:pPr>
            <w:r>
              <w:rPr>
                <w:rFonts w:hint="eastAsia" w:ascii="华文中宋" w:hAnsi="华文中宋" w:cs="华文中宋"/>
                <w:szCs w:val="24"/>
                <w:lang w:eastAsia="zh-CN"/>
              </w:rPr>
              <w:t>宋春兰</w:t>
            </w:r>
          </w:p>
        </w:tc>
        <w:tc>
          <w:tcPr>
            <w:tcW w:w="1920" w:type="dxa"/>
            <w:vAlign w:val="center"/>
          </w:tcPr>
          <w:p>
            <w:pPr>
              <w:ind w:firstLine="0" w:firstLineChars="0"/>
              <w:jc w:val="center"/>
              <w:rPr>
                <w:rFonts w:hint="eastAsia" w:ascii="华文中宋" w:eastAsia="华文中宋" w:cs="华文中宋"/>
                <w:szCs w:val="24"/>
                <w:lang w:eastAsia="zh-CN"/>
              </w:rPr>
            </w:pPr>
            <w:r>
              <w:rPr>
                <w:rFonts w:hint="eastAsia" w:ascii="华文中宋" w:hAnsi="华文中宋" w:cs="华文中宋"/>
                <w:szCs w:val="24"/>
                <w:lang w:eastAsia="zh-CN"/>
              </w:rPr>
              <w:t>2120090002</w:t>
            </w:r>
          </w:p>
        </w:tc>
        <w:tc>
          <w:tcPr>
            <w:tcW w:w="2310" w:type="dxa"/>
            <w:vAlign w:val="center"/>
          </w:tcPr>
          <w:p>
            <w:pPr>
              <w:ind w:firstLine="31680"/>
              <w:jc w:val="center"/>
              <w:rPr>
                <w:rFonts w:ascii="华文中宋" w:cs="华文中宋"/>
                <w:szCs w:val="24"/>
              </w:rPr>
            </w:pPr>
          </w:p>
        </w:tc>
        <w:tc>
          <w:tcPr>
            <w:tcW w:w="2355" w:type="dxa"/>
            <w:vAlign w:val="center"/>
          </w:tcPr>
          <w:p>
            <w:pPr>
              <w:ind w:firstLine="600" w:firstLineChars="250"/>
              <w:jc w:val="center"/>
              <w:rPr>
                <w:rFonts w:ascii="华文中宋" w:cs="华文中宋"/>
                <w:b/>
                <w:szCs w:val="24"/>
              </w:rPr>
            </w:pPr>
            <w:r>
              <w:rPr>
                <w:rFonts w:hint="eastAsia" w:ascii="华文中宋" w:hAnsi="华文中宋" w:cs="华文中宋"/>
                <w:szCs w:val="24"/>
              </w:rPr>
              <w:t>年</w:t>
            </w:r>
            <w:r>
              <w:rPr>
                <w:rFonts w:hint="eastAsia" w:ascii="华文中宋" w:hAnsi="华文中宋" w:cs="华文中宋"/>
                <w:szCs w:val="24"/>
                <w:lang w:val="en-US" w:eastAsia="zh-CN"/>
              </w:rPr>
              <w:t xml:space="preserve">   </w:t>
            </w:r>
            <w:r>
              <w:rPr>
                <w:rFonts w:hint="eastAsia" w:ascii="华文中宋" w:hAnsi="华文中宋" w:cs="华文中宋"/>
                <w:szCs w:val="24"/>
              </w:rPr>
              <w:t>月</w:t>
            </w:r>
            <w:r>
              <w:rPr>
                <w:rFonts w:hint="eastAsia" w:ascii="华文中宋" w:hAnsi="华文中宋" w:cs="华文中宋"/>
                <w:szCs w:val="24"/>
                <w:lang w:val="en-US" w:eastAsia="zh-CN"/>
              </w:rPr>
              <w:t xml:space="preserve">   </w:t>
            </w:r>
            <w:r>
              <w:rPr>
                <w:rFonts w:hint="eastAsia" w:ascii="华文中宋" w:hAnsi="华文中宋" w:cs="华文中宋"/>
                <w:szCs w:val="24"/>
              </w:rPr>
              <w:t>日</w:t>
            </w:r>
          </w:p>
        </w:tc>
      </w:tr>
    </w:tbl>
    <w:p>
      <w:pPr>
        <w:ind w:firstLine="31680"/>
        <w:sectPr>
          <w:headerReference r:id="rId14" w:type="first"/>
          <w:headerReference r:id="rId13"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p>
    <w:p>
      <w:pPr>
        <w:tabs>
          <w:tab w:val="center" w:pos="4153"/>
        </w:tabs>
        <w:ind w:left="0" w:leftChars="0" w:firstLine="0" w:firstLineChars="0"/>
        <w:rPr>
          <w:rFonts w:ascii="华文中宋" w:cs="华文中宋"/>
          <w:b/>
          <w:bCs/>
          <w:sz w:val="32"/>
          <w:szCs w:val="32"/>
        </w:rPr>
      </w:pPr>
      <w:bookmarkStart w:id="2" w:name="_Toc650"/>
    </w:p>
    <w:p>
      <w:pPr>
        <w:pStyle w:val="2"/>
        <w:spacing w:before="156" w:after="156"/>
      </w:pPr>
      <w:bookmarkStart w:id="3" w:name="_Toc25015"/>
      <w:r>
        <w:rPr>
          <w:rFonts w:hint="eastAsia"/>
        </w:rPr>
        <w:t>估价假设和限制条件</w:t>
      </w:r>
      <w:bookmarkEnd w:id="2"/>
      <w:bookmarkEnd w:id="3"/>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ascii="华文中宋" w:cs="华文中宋"/>
          <w:szCs w:val="24"/>
        </w:rPr>
      </w:pPr>
      <w:bookmarkStart w:id="4" w:name="_Toc58568634"/>
      <w:bookmarkStart w:id="5" w:name="_Toc428348790"/>
      <w:bookmarkStart w:id="6" w:name="_Toc58569340"/>
      <w:bookmarkStart w:id="7" w:name="_Toc16010"/>
      <w:bookmarkStart w:id="8" w:name="_Toc410379048"/>
      <w:bookmarkStart w:id="9" w:name="_Toc13752"/>
      <w:bookmarkStart w:id="10" w:name="_Toc452121197"/>
      <w:bookmarkStart w:id="11" w:name="_Toc429557851"/>
      <w:bookmarkStart w:id="12" w:name="_Toc409772450"/>
      <w:bookmarkStart w:id="13" w:name="_Toc415039129"/>
      <w:bookmarkStart w:id="14" w:name="_Toc58569324"/>
      <w:bookmarkStart w:id="15" w:name="_Toc449598309"/>
      <w:r>
        <w:rPr>
          <w:rFonts w:hint="eastAsia" w:ascii="华文中宋" w:hAnsi="华文中宋" w:cs="华文中宋"/>
          <w:szCs w:val="24"/>
        </w:rPr>
        <w:t>为了形成客观、科学、合理的估价结果，保证本次估价报告的正确使用，我们根据估价报告估价目的及估价对象设定估价假设和限制条件，估价报告使用人应充分关注估价假设和限制条件：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ascii="华文中宋" w:cs="华文中宋"/>
          <w:b/>
          <w:bCs/>
          <w:szCs w:val="24"/>
        </w:rPr>
      </w:pPr>
      <w:r>
        <w:rPr>
          <w:rFonts w:hint="eastAsia" w:ascii="华文中宋" w:hAnsi="华文中宋" w:cs="华文中宋"/>
          <w:b/>
          <w:szCs w:val="24"/>
        </w:rPr>
        <w:t>一、一般假设：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ascii="华文中宋" w:hAnsi="华文中宋" w:eastAsia="华文中宋" w:cs="华文中宋"/>
          <w:szCs w:val="24"/>
        </w:rPr>
      </w:pPr>
      <w:r>
        <w:rPr>
          <w:rFonts w:ascii="华文中宋" w:hAnsi="华文中宋" w:eastAsia="华文中宋" w:cs="华文中宋"/>
          <w:szCs w:val="24"/>
        </w:rPr>
        <w:t>1</w:t>
      </w:r>
      <w:r>
        <w:rPr>
          <w:rFonts w:hint="eastAsia" w:ascii="华文中宋" w:hAnsi="华文中宋" w:eastAsia="华文中宋" w:cs="华文中宋"/>
          <w:szCs w:val="24"/>
        </w:rPr>
        <w:t>、估价对象产权合法完整，手续齐全，可在公开市场上自由转让。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华文中宋" w:hAnsi="华文中宋" w:eastAsia="华文中宋" w:cs="华文中宋"/>
          <w:szCs w:val="24"/>
        </w:rPr>
      </w:pPr>
      <w:r>
        <w:rPr>
          <w:rFonts w:ascii="华文中宋" w:hAnsi="华文中宋" w:eastAsia="华文中宋" w:cs="华文中宋"/>
          <w:szCs w:val="24"/>
        </w:rPr>
        <w:t>2</w:t>
      </w:r>
      <w:r>
        <w:rPr>
          <w:rFonts w:hint="eastAsia" w:ascii="华文中宋" w:hAnsi="华文中宋" w:eastAsia="华文中宋" w:cs="华文中宋"/>
          <w:szCs w:val="24"/>
        </w:rPr>
        <w:t>、本估价结果按合法用途</w:t>
      </w:r>
      <w:r>
        <w:rPr>
          <w:rFonts w:hint="eastAsia" w:ascii="华文中宋" w:hAnsi="华文中宋" w:cs="华文中宋"/>
          <w:szCs w:val="24"/>
          <w:lang w:eastAsia="zh-CN"/>
        </w:rPr>
        <w:t>、现状利用下</w:t>
      </w:r>
      <w:r>
        <w:rPr>
          <w:rFonts w:hint="eastAsia" w:ascii="华文中宋" w:hAnsi="华文中宋" w:eastAsia="华文中宋" w:cs="华文中宋"/>
          <w:szCs w:val="24"/>
        </w:rPr>
        <w:t>持续使用为前提。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华文中宋" w:hAnsi="华文中宋" w:eastAsia="华文中宋" w:cs="华文中宋"/>
          <w:szCs w:val="24"/>
          <w:lang w:val="en-US" w:eastAsia="zh-CN"/>
        </w:rPr>
      </w:pPr>
      <w:r>
        <w:rPr>
          <w:rFonts w:hint="eastAsia" w:ascii="华文中宋" w:hAnsi="华文中宋" w:cs="华文中宋"/>
          <w:szCs w:val="24"/>
          <w:lang w:val="en-US" w:eastAsia="zh-CN"/>
        </w:rPr>
        <w:t>3、本次估价有关房地产权属资料等情况均以估价委托人与当事人提供的《司法鉴定委托书》、《不动产登记资料查询结果证明》为依据，因受不动产部门对档案查询资格的限制，注册房地产估价师无权到上述管理部门对权属证明材料及其记载的内容进行核实。本次估价是以估价委托人提供的与估价对象有关的法律文件、权属证明及相关资料真实、合法、准确、完整为前提。如因估价委托人提供资料有误而造成评估值失实，估价机构和估价师不承担相应责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ascii="华文中宋" w:hAnsi="华文中宋" w:eastAsia="华文中宋" w:cs="华文中宋"/>
          <w:szCs w:val="24"/>
        </w:rPr>
      </w:pPr>
      <w:r>
        <w:rPr>
          <w:rFonts w:hint="eastAsia" w:ascii="华文中宋" w:hAnsi="华文中宋" w:cs="华文中宋"/>
          <w:szCs w:val="24"/>
          <w:lang w:val="en-US" w:eastAsia="zh-CN"/>
        </w:rPr>
        <w:t>4</w:t>
      </w:r>
      <w:r>
        <w:rPr>
          <w:rFonts w:hint="eastAsia" w:ascii="华文中宋" w:hAnsi="华文中宋" w:eastAsia="华文中宋" w:cs="华文中宋"/>
          <w:szCs w:val="24"/>
        </w:rPr>
        <w:t>、注册房地产估价师已对房屋安全、环境污染等影响估价对象价值的重大因素给予了关注，在无理由怀疑估价对象存在隐患且无相应的专业机构进行鉴定、检测的情况下，假定估价对象能正常安全使用。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华文中宋" w:hAnsi="华文中宋" w:eastAsia="华文中宋" w:cs="华文中宋"/>
          <w:szCs w:val="24"/>
        </w:rPr>
      </w:pPr>
      <w:r>
        <w:rPr>
          <w:rFonts w:hint="eastAsia" w:ascii="华文中宋" w:hAnsi="华文中宋" w:cs="华文中宋"/>
          <w:szCs w:val="24"/>
          <w:lang w:val="en-US" w:eastAsia="zh-CN"/>
        </w:rPr>
        <w:t>5</w:t>
      </w:r>
      <w:r>
        <w:rPr>
          <w:rFonts w:hint="eastAsia" w:ascii="华文中宋" w:hAnsi="华文中宋" w:eastAsia="华文中宋" w:cs="华文中宋"/>
          <w:szCs w:val="24"/>
        </w:rPr>
        <w:t>、估价对象在价值时点的房地产市场为公平、平等、自愿的交易市场，即能满足以下条件：</w:t>
      </w:r>
      <w:r>
        <w:rPr>
          <w:rFonts w:hint="eastAsia" w:ascii="华文中宋" w:hAnsi="华文中宋" w:cs="华文中宋"/>
          <w:szCs w:val="24"/>
          <w:lang w:eastAsia="zh-CN"/>
        </w:rPr>
        <w:t>(</w:t>
      </w:r>
      <w:r>
        <w:rPr>
          <w:rFonts w:ascii="华文中宋" w:hAnsi="华文中宋" w:eastAsia="华文中宋" w:cs="华文中宋"/>
          <w:szCs w:val="24"/>
        </w:rPr>
        <w:t>1</w:t>
      </w:r>
      <w:r>
        <w:rPr>
          <w:rFonts w:hint="eastAsia" w:ascii="华文中宋" w:hAnsi="华文中宋" w:cs="华文中宋"/>
          <w:szCs w:val="24"/>
          <w:lang w:eastAsia="zh-CN"/>
        </w:rPr>
        <w:t>)</w:t>
      </w:r>
      <w:r>
        <w:rPr>
          <w:rFonts w:hint="eastAsia" w:ascii="华文中宋" w:hAnsi="华文中宋" w:eastAsia="华文中宋" w:cs="华文中宋"/>
          <w:szCs w:val="24"/>
        </w:rPr>
        <w:t>自愿销售的卖方及自愿购买的买方；</w:t>
      </w:r>
      <w:r>
        <w:rPr>
          <w:rFonts w:hint="eastAsia" w:ascii="华文中宋" w:hAnsi="华文中宋" w:cs="华文中宋"/>
          <w:szCs w:val="24"/>
          <w:lang w:eastAsia="zh-CN"/>
        </w:rPr>
        <w:t>(</w:t>
      </w:r>
      <w:r>
        <w:rPr>
          <w:rFonts w:ascii="华文中宋" w:hAnsi="华文中宋" w:eastAsia="华文中宋" w:cs="华文中宋"/>
          <w:szCs w:val="24"/>
        </w:rPr>
        <w:t>2</w:t>
      </w:r>
      <w:r>
        <w:rPr>
          <w:rFonts w:hint="eastAsia" w:ascii="华文中宋" w:hAnsi="华文中宋" w:cs="华文中宋"/>
          <w:szCs w:val="24"/>
          <w:lang w:eastAsia="zh-CN"/>
        </w:rPr>
        <w:t>)</w:t>
      </w:r>
      <w:r>
        <w:rPr>
          <w:rFonts w:hint="eastAsia" w:ascii="华文中宋" w:hAnsi="华文中宋" w:eastAsia="华文中宋" w:cs="华文中宋"/>
          <w:szCs w:val="24"/>
        </w:rPr>
        <w:t>交易双方无任何利害关系，交易的目的是追求各自利益的最大化；</w:t>
      </w:r>
      <w:r>
        <w:rPr>
          <w:rFonts w:hint="eastAsia" w:ascii="华文中宋" w:hAnsi="华文中宋" w:cs="华文中宋"/>
          <w:szCs w:val="24"/>
          <w:lang w:eastAsia="zh-CN"/>
        </w:rPr>
        <w:t>(</w:t>
      </w:r>
      <w:r>
        <w:rPr>
          <w:rFonts w:ascii="华文中宋" w:hAnsi="华文中宋" w:eastAsia="华文中宋" w:cs="华文中宋"/>
          <w:szCs w:val="24"/>
        </w:rPr>
        <w:t>3</w:t>
      </w:r>
      <w:r>
        <w:rPr>
          <w:rFonts w:hint="eastAsia" w:ascii="华文中宋" w:hAnsi="华文中宋" w:cs="华文中宋"/>
          <w:szCs w:val="24"/>
          <w:lang w:eastAsia="zh-CN"/>
        </w:rPr>
        <w:t>)</w:t>
      </w:r>
      <w:r>
        <w:rPr>
          <w:rFonts w:hint="eastAsia" w:ascii="华文中宋" w:hAnsi="华文中宋" w:eastAsia="华文中宋" w:cs="华文中宋"/>
          <w:szCs w:val="24"/>
        </w:rPr>
        <w:t>交易双方了解交易对象、知晓市场行情；</w:t>
      </w:r>
      <w:r>
        <w:rPr>
          <w:rFonts w:hint="eastAsia" w:ascii="华文中宋" w:hAnsi="华文中宋" w:cs="华文中宋"/>
          <w:szCs w:val="24"/>
          <w:lang w:eastAsia="zh-CN"/>
        </w:rPr>
        <w:t>(</w:t>
      </w:r>
      <w:r>
        <w:rPr>
          <w:rFonts w:ascii="华文中宋" w:hAnsi="华文中宋" w:eastAsia="华文中宋" w:cs="华文中宋"/>
          <w:szCs w:val="24"/>
        </w:rPr>
        <w:t>4</w:t>
      </w:r>
      <w:r>
        <w:rPr>
          <w:rFonts w:hint="eastAsia" w:ascii="华文中宋" w:hAnsi="华文中宋" w:cs="华文中宋"/>
          <w:szCs w:val="24"/>
          <w:lang w:eastAsia="zh-CN"/>
        </w:rPr>
        <w:t>)</w:t>
      </w:r>
      <w:r>
        <w:rPr>
          <w:rFonts w:hint="eastAsia" w:ascii="华文中宋" w:hAnsi="华文中宋" w:eastAsia="华文中宋" w:cs="华文中宋"/>
          <w:szCs w:val="24"/>
        </w:rPr>
        <w:t>交易双方有较充裕的时间进行交易；</w:t>
      </w:r>
      <w:r>
        <w:rPr>
          <w:rFonts w:hint="eastAsia" w:ascii="华文中宋" w:hAnsi="华文中宋" w:cs="华文中宋"/>
          <w:szCs w:val="24"/>
          <w:lang w:eastAsia="zh-CN"/>
        </w:rPr>
        <w:t>(</w:t>
      </w:r>
      <w:r>
        <w:rPr>
          <w:rFonts w:ascii="华文中宋" w:hAnsi="华文中宋" w:eastAsia="华文中宋" w:cs="华文中宋"/>
          <w:szCs w:val="24"/>
        </w:rPr>
        <w:t>5</w:t>
      </w:r>
      <w:r>
        <w:rPr>
          <w:rFonts w:hint="eastAsia" w:ascii="华文中宋" w:hAnsi="华文中宋" w:cs="华文中宋"/>
          <w:szCs w:val="24"/>
          <w:lang w:eastAsia="zh-CN"/>
        </w:rPr>
        <w:t>)</w:t>
      </w:r>
      <w:r>
        <w:rPr>
          <w:rFonts w:hint="eastAsia" w:ascii="华文中宋" w:hAnsi="华文中宋" w:eastAsia="华文中宋" w:cs="华文中宋"/>
          <w:szCs w:val="24"/>
        </w:rPr>
        <w:t>不存在特殊买者的附加出价。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华文中宋" w:hAnsi="华文中宋" w:cs="华文中宋"/>
          <w:szCs w:val="24"/>
          <w:lang w:val="en-US" w:eastAsia="zh-CN"/>
        </w:rPr>
      </w:pPr>
      <w:r>
        <w:rPr>
          <w:rFonts w:hint="eastAsia" w:ascii="华文中宋" w:hAnsi="华文中宋" w:cs="华文中宋"/>
          <w:szCs w:val="24"/>
          <w:lang w:val="en-US" w:eastAsia="zh-CN"/>
        </w:rPr>
        <w:t>6、本次委估对象建筑面积均以估价委托人与当事人提供的《不动产登记资料查询结果证明》为准，如上述情况发生变化，本次估价结果需相应调整。</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华文中宋" w:hAnsi="华文中宋" w:cs="华文中宋"/>
          <w:szCs w:val="24"/>
          <w:lang w:val="en-US" w:eastAsia="zh-CN"/>
        </w:rPr>
      </w:pPr>
      <w:r>
        <w:rPr>
          <w:rFonts w:hint="eastAsia" w:ascii="华文中宋" w:hAnsi="华文中宋" w:cs="华文中宋"/>
          <w:szCs w:val="24"/>
          <w:lang w:val="en-US" w:eastAsia="zh-CN"/>
        </w:rPr>
        <w:t>7、本报告估价结果未考虑或有负债对委估对象价值的影响，即委估对象无或有负债的假设前提。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华文中宋" w:hAnsi="华文中宋" w:cs="华文中宋"/>
          <w:szCs w:val="24"/>
          <w:lang w:val="en-US" w:eastAsia="zh-CN"/>
        </w:rPr>
      </w:pPr>
      <w:r>
        <w:rPr>
          <w:rFonts w:hint="eastAsia" w:ascii="华文中宋" w:hAnsi="华文中宋" w:cs="华文中宋"/>
          <w:szCs w:val="24"/>
          <w:lang w:val="en-US" w:eastAsia="zh-CN"/>
        </w:rPr>
        <w:t>8、本报告估价结果未考虑快速变现、税费转嫁等特殊方式对委估对象价值的影响。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ascii="华文中宋" w:cs="华文中宋"/>
          <w:b/>
          <w:szCs w:val="24"/>
        </w:rPr>
      </w:pPr>
      <w:r>
        <w:rPr>
          <w:rFonts w:hint="eastAsia" w:ascii="华文中宋" w:hAnsi="华文中宋" w:cs="华文中宋"/>
          <w:b/>
          <w:szCs w:val="24"/>
        </w:rPr>
        <w:t>二、未定事项假设：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华文中宋" w:hAnsi="华文中宋" w:cs="华文中宋"/>
          <w:szCs w:val="24"/>
          <w:lang w:eastAsia="zh-CN"/>
        </w:rPr>
      </w:pPr>
      <w:bookmarkStart w:id="16" w:name="_Toc409771393"/>
      <w:bookmarkStart w:id="17" w:name="_Toc409772037"/>
      <w:bookmarkStart w:id="18" w:name="_Toc409772449"/>
      <w:r>
        <w:rPr>
          <w:rFonts w:hint="eastAsia" w:ascii="华文中宋" w:hAnsi="华文中宋" w:cs="华文中宋"/>
          <w:szCs w:val="24"/>
          <w:lang w:eastAsia="zh-CN"/>
        </w:rPr>
        <w:t>无未定事项假设。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ascii="华文中宋" w:cs="华文中宋"/>
          <w:b/>
          <w:szCs w:val="24"/>
        </w:rPr>
      </w:pPr>
      <w:r>
        <w:rPr>
          <w:rFonts w:hint="eastAsia" w:ascii="华文中宋" w:hAnsi="华文中宋" w:cs="华文中宋"/>
          <w:b/>
          <w:szCs w:val="24"/>
        </w:rPr>
        <w:t>三、</w:t>
      </w:r>
      <w:bookmarkEnd w:id="16"/>
      <w:bookmarkEnd w:id="17"/>
      <w:bookmarkEnd w:id="18"/>
      <w:r>
        <w:rPr>
          <w:rFonts w:hint="eastAsia" w:ascii="华文中宋" w:hAnsi="华文中宋" w:cs="华文中宋"/>
          <w:b/>
          <w:szCs w:val="24"/>
        </w:rPr>
        <w:t>背离事实假设：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华文中宋" w:hAnsi="华文中宋" w:eastAsia="华文中宋" w:cs="华文中宋"/>
          <w:szCs w:val="24"/>
          <w:lang w:val="en-US" w:eastAsia="zh-CN"/>
        </w:rPr>
      </w:pPr>
      <w:r>
        <w:rPr>
          <w:rFonts w:hint="eastAsia" w:ascii="华文中宋" w:hAnsi="华文中宋" w:cs="华文中宋"/>
          <w:szCs w:val="24"/>
          <w:lang w:val="en-US" w:eastAsia="zh-CN"/>
        </w:rPr>
        <w:t>根据估价委托人提供的相关资料与了解得知，</w:t>
      </w:r>
      <w:r>
        <w:rPr>
          <w:rFonts w:hint="eastAsia" w:ascii="华文中宋" w:hAnsi="华文中宋" w:eastAsia="华文中宋" w:cs="华文中宋"/>
          <w:szCs w:val="24"/>
          <w:lang w:val="en-US" w:eastAsia="zh-CN"/>
        </w:rPr>
        <w:t>无法确定</w:t>
      </w:r>
      <w:r>
        <w:rPr>
          <w:rFonts w:hint="eastAsia" w:ascii="华文中宋" w:hAnsi="华文中宋" w:cs="华文中宋"/>
          <w:szCs w:val="24"/>
          <w:lang w:val="en-US" w:eastAsia="zh-CN"/>
        </w:rPr>
        <w:t>估价对象</w:t>
      </w:r>
      <w:r>
        <w:rPr>
          <w:rFonts w:hint="eastAsia" w:ascii="华文中宋" w:hAnsi="华文中宋" w:eastAsia="华文中宋" w:cs="华文中宋"/>
          <w:szCs w:val="24"/>
          <w:lang w:val="en-US" w:eastAsia="zh-CN"/>
        </w:rPr>
        <w:t>是否设立</w:t>
      </w:r>
      <w:r>
        <w:rPr>
          <w:rFonts w:hint="eastAsia" w:ascii="华文中宋" w:hAnsi="华文中宋" w:cs="华文中宋"/>
          <w:szCs w:val="24"/>
          <w:lang w:val="en-US" w:eastAsia="zh-CN"/>
        </w:rPr>
        <w:t>抵押权、</w:t>
      </w:r>
      <w:r>
        <w:rPr>
          <w:rFonts w:hint="eastAsia" w:ascii="华文中宋" w:hAnsi="华文中宋" w:eastAsia="华文中宋" w:cs="华文中宋"/>
          <w:szCs w:val="24"/>
          <w:lang w:val="en-US" w:eastAsia="zh-CN"/>
        </w:rPr>
        <w:t>租赁权</w:t>
      </w:r>
      <w:r>
        <w:rPr>
          <w:rFonts w:hint="eastAsia" w:ascii="华文中宋" w:hAnsi="华文中宋" w:cs="华文中宋"/>
          <w:szCs w:val="24"/>
          <w:lang w:val="en-US" w:eastAsia="zh-CN"/>
        </w:rPr>
        <w:t>、地役权</w:t>
      </w:r>
      <w:r>
        <w:rPr>
          <w:rFonts w:hint="eastAsia" w:ascii="华文中宋" w:hAnsi="华文中宋" w:eastAsia="华文中宋" w:cs="华文中宋"/>
          <w:szCs w:val="24"/>
          <w:lang w:val="en-US" w:eastAsia="zh-CN"/>
        </w:rPr>
        <w:t>等他项权利限制，</w:t>
      </w:r>
      <w:r>
        <w:rPr>
          <w:rFonts w:hint="eastAsia" w:ascii="华文中宋" w:hAnsi="华文中宋" w:cs="华文中宋"/>
          <w:szCs w:val="24"/>
          <w:lang w:val="en-US" w:eastAsia="zh-CN"/>
        </w:rPr>
        <w:t>但委估对象已查封，</w:t>
      </w:r>
      <w:r>
        <w:rPr>
          <w:rFonts w:hint="eastAsia" w:ascii="华文中宋" w:hAnsi="华文中宋" w:eastAsia="华文中宋" w:cs="华文中宋"/>
          <w:szCs w:val="24"/>
          <w:lang w:val="en-US" w:eastAsia="zh-CN"/>
        </w:rPr>
        <w:t>鉴于本次估价目的特殊性，本次不考虑</w:t>
      </w:r>
      <w:r>
        <w:rPr>
          <w:rFonts w:hint="eastAsia" w:ascii="华文中宋" w:hAnsi="华文中宋" w:cs="华文中宋"/>
          <w:szCs w:val="24"/>
          <w:lang w:val="en-US" w:eastAsia="zh-CN"/>
        </w:rPr>
        <w:t>抵押权、租赁权、地役权</w:t>
      </w:r>
      <w:r>
        <w:rPr>
          <w:rFonts w:hint="eastAsia" w:ascii="华文中宋" w:hAnsi="华文中宋" w:eastAsia="华文中宋" w:cs="华文中宋"/>
          <w:szCs w:val="24"/>
          <w:lang w:val="en-US" w:eastAsia="zh-CN"/>
        </w:rPr>
        <w:t>等他项权利</w:t>
      </w:r>
      <w:r>
        <w:rPr>
          <w:rFonts w:hint="eastAsia" w:ascii="华文中宋" w:hAnsi="华文中宋" w:cs="华文中宋"/>
          <w:szCs w:val="24"/>
          <w:lang w:val="en-US" w:eastAsia="zh-CN"/>
        </w:rPr>
        <w:t>及查封</w:t>
      </w:r>
      <w:r>
        <w:rPr>
          <w:rFonts w:hint="eastAsia" w:ascii="华文中宋" w:hAnsi="华文中宋" w:eastAsia="华文中宋" w:cs="华文中宋"/>
          <w:szCs w:val="24"/>
          <w:lang w:val="en-US" w:eastAsia="zh-CN"/>
        </w:rPr>
        <w:t>对估价对象价值的影响</w:t>
      </w:r>
      <w:r>
        <w:rPr>
          <w:rFonts w:hint="eastAsia" w:ascii="华文中宋" w:hAnsi="华文中宋" w:cs="华文中宋"/>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ascii="华文中宋" w:cs="华文中宋"/>
          <w:b/>
          <w:szCs w:val="24"/>
        </w:rPr>
      </w:pPr>
      <w:r>
        <w:rPr>
          <w:rFonts w:hint="eastAsia" w:ascii="华文中宋" w:hAnsi="华文中宋" w:cs="华文中宋"/>
          <w:b/>
          <w:szCs w:val="24"/>
        </w:rPr>
        <w:t>四、不相一致假设：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华文中宋" w:hAnsi="华文中宋" w:eastAsia="华文中宋" w:cs="华文中宋"/>
          <w:b/>
          <w:bCs/>
          <w:szCs w:val="24"/>
          <w:highlight w:val="none"/>
          <w:lang w:val="en-US" w:eastAsia="zh-CN"/>
        </w:rPr>
      </w:pPr>
      <w:r>
        <w:rPr>
          <w:rFonts w:hint="eastAsia" w:ascii="华文中宋" w:hAnsi="华文中宋" w:cs="华文中宋"/>
          <w:szCs w:val="24"/>
          <w:highlight w:val="none"/>
          <w:lang w:val="en-US" w:eastAsia="zh-CN"/>
        </w:rPr>
        <w:t>无不相一致假设。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ascii="华文中宋" w:cs="华文中宋"/>
          <w:szCs w:val="24"/>
        </w:rPr>
      </w:pPr>
      <w:r>
        <w:rPr>
          <w:rFonts w:hint="eastAsia" w:ascii="华文中宋" w:hAnsi="华文中宋" w:cs="华文中宋"/>
          <w:b/>
          <w:bCs/>
          <w:szCs w:val="24"/>
        </w:rPr>
        <w:t>五、依据不足假设：</w:t>
      </w:r>
      <w:bookmarkStart w:id="19" w:name="_Toc409772448"/>
      <w:bookmarkStart w:id="20" w:name="_Toc58569323"/>
      <w:bookmarkStart w:id="21" w:name="_Toc429557850"/>
      <w:bookmarkStart w:id="22" w:name="_Toc410379047"/>
      <w:bookmarkStart w:id="23" w:name="_Toc58568633"/>
      <w:bookmarkStart w:id="24" w:name="_Toc58569339"/>
      <w:bookmarkStart w:id="25" w:name="_Toc415039128"/>
      <w:bookmarkStart w:id="26" w:name="_Toc428348789"/>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eastAsia" w:ascii="华文中宋" w:hAnsi="华文中宋" w:cs="华文中宋"/>
          <w:szCs w:val="24"/>
          <w:lang w:val="en-US" w:eastAsia="zh-CN"/>
        </w:rPr>
      </w:pPr>
      <w:r>
        <w:rPr>
          <w:rFonts w:hint="eastAsia" w:ascii="华文中宋" w:hAnsi="华文中宋" w:cs="华文中宋"/>
          <w:szCs w:val="24"/>
          <w:lang w:val="en-US" w:eastAsia="zh-CN"/>
        </w:rPr>
        <w:t>本次评估中由于被申请人未到现场，无法进入室内查勘，应委托人要求按照精装修房屋进行评估，请报告使用者关注！</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ascii="华文中宋" w:cs="华文中宋"/>
          <w:b/>
          <w:szCs w:val="24"/>
        </w:rPr>
      </w:pPr>
      <w:r>
        <w:rPr>
          <w:rFonts w:hint="eastAsia" w:ascii="华文中宋" w:hAnsi="华文中宋" w:cs="华文中宋"/>
          <w:b/>
          <w:szCs w:val="24"/>
        </w:rPr>
        <w:t>本估价报告使用的限制条件：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ascii="华文中宋" w:cs="华文中宋"/>
          <w:szCs w:val="24"/>
        </w:rPr>
      </w:pPr>
      <w:r>
        <w:rPr>
          <w:rFonts w:ascii="华文中宋" w:hAnsi="华文中宋" w:cs="华文中宋"/>
          <w:szCs w:val="24"/>
        </w:rPr>
        <w:t>1</w:t>
      </w:r>
      <w:r>
        <w:rPr>
          <w:rFonts w:hint="eastAsia" w:ascii="华文中宋" w:hAnsi="华文中宋" w:cs="华文中宋"/>
          <w:szCs w:val="24"/>
        </w:rPr>
        <w:t>、若估价委托人或当事人刻意隐瞒事实真相、误导估价行为，本评估机构概不承担因此所造的法律责任及后果。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ascii="华文中宋" w:cs="华文中宋"/>
          <w:szCs w:val="24"/>
        </w:rPr>
      </w:pPr>
      <w:r>
        <w:rPr>
          <w:rFonts w:ascii="华文中宋" w:hAnsi="华文中宋" w:cs="华文中宋"/>
          <w:szCs w:val="24"/>
        </w:rPr>
        <w:t>2</w:t>
      </w:r>
      <w:r>
        <w:rPr>
          <w:rFonts w:hint="eastAsia" w:ascii="华文中宋" w:hAnsi="华文中宋" w:cs="华文中宋"/>
          <w:szCs w:val="24"/>
        </w:rPr>
        <w:t>、本估价报告的房地产估价结果是在本次估价特定的估价目的下形成的，不对其他用途和目的负责。若改变用途或估价目的，需另行估价。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ascii="华文中宋" w:cs="华文中宋"/>
          <w:szCs w:val="24"/>
        </w:rPr>
      </w:pPr>
      <w:r>
        <w:rPr>
          <w:rFonts w:ascii="华文中宋" w:hAnsi="华文中宋" w:cs="华文中宋"/>
          <w:szCs w:val="24"/>
        </w:rPr>
        <w:t>3</w:t>
      </w:r>
      <w:r>
        <w:rPr>
          <w:rFonts w:hint="eastAsia" w:ascii="华文中宋" w:hAnsi="华文中宋" w:cs="华文中宋"/>
          <w:szCs w:val="24"/>
        </w:rPr>
        <w:t>、本估价结果自估</w:t>
      </w:r>
      <w:r>
        <w:rPr>
          <w:rFonts w:hint="eastAsia" w:ascii="华文中宋" w:hAnsi="华文中宋" w:cs="华文中宋"/>
          <w:szCs w:val="24"/>
          <w:highlight w:val="none"/>
        </w:rPr>
        <w:t>价报告出具日期起一年内有效，即：</w:t>
      </w:r>
      <w:r>
        <w:rPr>
          <w:rFonts w:hint="eastAsia" w:ascii="华文中宋" w:hAnsi="华文中宋" w:cs="华文中宋"/>
          <w:szCs w:val="24"/>
          <w:highlight w:val="none"/>
          <w:lang w:eastAsia="zh-CN"/>
        </w:rPr>
        <w:t>2019年1月8日</w:t>
      </w:r>
      <w:r>
        <w:rPr>
          <w:rFonts w:hint="eastAsia" w:ascii="华文中宋" w:hAnsi="华文中宋" w:cs="华文中宋"/>
          <w:szCs w:val="24"/>
          <w:highlight w:val="none"/>
        </w:rPr>
        <w:t>至</w:t>
      </w:r>
      <w:r>
        <w:rPr>
          <w:rFonts w:hint="eastAsia" w:ascii="华文中宋" w:hAnsi="华文中宋" w:cs="华文中宋"/>
          <w:szCs w:val="24"/>
          <w:highlight w:val="none"/>
          <w:lang w:eastAsia="zh-CN"/>
        </w:rPr>
        <w:t>2020年1月7日</w:t>
      </w:r>
      <w:r>
        <w:rPr>
          <w:rFonts w:hint="eastAsia" w:ascii="华文中宋" w:hAnsi="华文中宋" w:cs="华文中宋"/>
          <w:szCs w:val="24"/>
          <w:highlight w:val="none"/>
          <w:lang w:val="en-US" w:eastAsia="zh-CN"/>
        </w:rPr>
        <w:t>止</w:t>
      </w:r>
      <w:r>
        <w:rPr>
          <w:rFonts w:hint="eastAsia" w:ascii="华文中宋" w:hAnsi="华文中宋" w:cs="华文中宋"/>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ascii="华文中宋" w:cs="华文中宋"/>
          <w:szCs w:val="24"/>
        </w:rPr>
      </w:pPr>
      <w:r>
        <w:rPr>
          <w:rFonts w:ascii="华文中宋" w:hAnsi="华文中宋" w:cs="华文中宋"/>
          <w:szCs w:val="24"/>
        </w:rPr>
        <w:t>4</w:t>
      </w:r>
      <w:r>
        <w:rPr>
          <w:rFonts w:hint="eastAsia" w:ascii="华文中宋" w:hAnsi="华文中宋" w:cs="华文中宋"/>
          <w:szCs w:val="24"/>
        </w:rPr>
        <w:t>、本估价报告必须完整使用，对仅使用报告中的部分内容而导致有关纠纷和损失，本估价机构和估价师不承担任何法律责任。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ascii="华文中宋" w:cs="华文中宋"/>
          <w:szCs w:val="24"/>
        </w:rPr>
      </w:pPr>
      <w:r>
        <w:rPr>
          <w:rFonts w:ascii="华文中宋" w:hAnsi="华文中宋" w:cs="华文中宋"/>
          <w:szCs w:val="24"/>
        </w:rPr>
        <w:t>5</w:t>
      </w:r>
      <w:r>
        <w:rPr>
          <w:rFonts w:hint="eastAsia" w:ascii="华文中宋" w:hAnsi="华文中宋" w:cs="华文中宋"/>
          <w:szCs w:val="24"/>
        </w:rPr>
        <w:t>、本估价报告仅为估价委托人本次估价目的所使用，未经本估价机构和估价人员同意，估价报告不得向估价委托人、报告使用者及报告审查部门以外的单位及个人提供，也不得以任何形式公开发表。凡因委托人使用估价报告不当而引起的后果，估价机构和估价人员不承担相应的责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ascii="华文中宋" w:cs="华文中宋"/>
          <w:b/>
          <w:bCs/>
          <w:iCs/>
          <w:spacing w:val="48"/>
          <w:sz w:val="32"/>
          <w:szCs w:val="32"/>
        </w:rPr>
      </w:pPr>
      <w:r>
        <w:rPr>
          <w:rFonts w:ascii="华文中宋" w:hAnsi="华文中宋" w:cs="华文中宋"/>
          <w:szCs w:val="24"/>
        </w:rPr>
        <w:t>6</w:t>
      </w:r>
      <w:r>
        <w:rPr>
          <w:rFonts w:hint="eastAsia" w:ascii="华文中宋" w:hAnsi="华文中宋" w:cs="华文中宋"/>
          <w:szCs w:val="24"/>
        </w:rPr>
        <w:t>、该估价结果仅为</w:t>
      </w:r>
      <w:r>
        <w:rPr>
          <w:rFonts w:hint="eastAsia" w:ascii="华文中宋" w:hAnsi="华文中宋" w:cs="华文中宋"/>
          <w:szCs w:val="24"/>
          <w:lang w:eastAsia="zh-CN"/>
        </w:rPr>
        <w:t>营口市中级人民法院</w:t>
      </w:r>
      <w:r>
        <w:rPr>
          <w:rFonts w:hint="eastAsia" w:ascii="华文中宋" w:hAnsi="华文中宋" w:cs="华文中宋"/>
          <w:szCs w:val="24"/>
        </w:rPr>
        <w:t>司法执行案件提供价值参考依据，若由于时间发生变化，或估价的假设及限制条件发生变化，没有得到本公司及相关估价人员允许，单方面运用估价结果进行资产处置，并造成经济损失的，本公司不承担连带责任。</w:t>
      </w:r>
      <w:bookmarkEnd w:id="19"/>
      <w:bookmarkEnd w:id="20"/>
      <w:bookmarkEnd w:id="21"/>
      <w:bookmarkEnd w:id="22"/>
      <w:bookmarkEnd w:id="23"/>
      <w:bookmarkEnd w:id="24"/>
      <w:bookmarkEnd w:id="25"/>
      <w:bookmarkEnd w:id="26"/>
    </w:p>
    <w:p>
      <w:pPr>
        <w:pStyle w:val="4"/>
        <w:ind w:left="0" w:leftChars="0" w:firstLine="0" w:firstLineChars="0"/>
        <w:jc w:val="center"/>
        <w:rPr>
          <w:rFonts w:ascii="华文中宋" w:cs="华文中宋"/>
          <w:b/>
          <w:bCs/>
          <w:iCs/>
          <w:spacing w:val="48"/>
          <w:sz w:val="32"/>
          <w:szCs w:val="32"/>
        </w:rPr>
        <w:sectPr>
          <w:headerReference r:id="rId16" w:type="first"/>
          <w:headerReference r:id="rId15"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p>
    <w:p>
      <w:pPr>
        <w:pStyle w:val="4"/>
        <w:ind w:left="0" w:leftChars="0" w:firstLine="0" w:firstLineChars="0"/>
        <w:rPr>
          <w:rFonts w:ascii="华文中宋" w:cs="华文中宋"/>
          <w:b/>
          <w:bCs/>
          <w:iCs/>
          <w:spacing w:val="48"/>
          <w:sz w:val="32"/>
          <w:szCs w:val="32"/>
        </w:rPr>
      </w:pPr>
    </w:p>
    <w:p>
      <w:pPr>
        <w:pStyle w:val="2"/>
        <w:spacing w:before="156" w:after="156"/>
        <w:rPr>
          <w:rFonts w:ascii="华文中宋" w:cs="华文中宋"/>
          <w:bCs/>
          <w:iCs/>
          <w:spacing w:val="48"/>
        </w:rPr>
      </w:pPr>
      <w:bookmarkStart w:id="27" w:name="_Toc28035"/>
      <w:bookmarkStart w:id="28" w:name="_Toc508803746"/>
      <w:bookmarkStart w:id="29" w:name="_Toc18428"/>
      <w:r>
        <w:rPr>
          <w:rFonts w:hint="eastAsia"/>
        </w:rPr>
        <w:t>估价结果报告</w:t>
      </w:r>
      <w:bookmarkEnd w:id="4"/>
      <w:bookmarkEnd w:id="5"/>
      <w:bookmarkEnd w:id="6"/>
      <w:bookmarkEnd w:id="7"/>
      <w:bookmarkEnd w:id="8"/>
      <w:bookmarkEnd w:id="9"/>
      <w:bookmarkEnd w:id="10"/>
      <w:bookmarkEnd w:id="11"/>
      <w:bookmarkEnd w:id="12"/>
      <w:bookmarkEnd w:id="13"/>
      <w:bookmarkEnd w:id="14"/>
      <w:bookmarkEnd w:id="15"/>
      <w:bookmarkEnd w:id="27"/>
      <w:bookmarkEnd w:id="28"/>
      <w:bookmarkEnd w:id="29"/>
    </w:p>
    <w:p>
      <w:pPr>
        <w:pStyle w:val="8"/>
        <w:ind w:firstLine="0" w:firstLineChars="0"/>
        <w:jc w:val="center"/>
        <w:rPr>
          <w:rFonts w:hint="eastAsia" w:ascii="华文中宋" w:eastAsia="华文中宋" w:cs="华文中宋"/>
          <w:sz w:val="24"/>
          <w:szCs w:val="24"/>
          <w:lang w:eastAsia="zh-CN"/>
        </w:rPr>
      </w:pPr>
      <w:r>
        <w:rPr>
          <w:rFonts w:hint="eastAsia" w:ascii="华文中宋" w:hAnsi="华文中宋" w:cs="华文中宋"/>
          <w:b/>
          <w:bCs/>
          <w:sz w:val="24"/>
          <w:szCs w:val="24"/>
        </w:rPr>
        <w:t>辽九房估字</w:t>
      </w:r>
      <w:r>
        <w:rPr>
          <w:rFonts w:hint="eastAsia" w:ascii="华文中宋" w:hAnsi="华文中宋" w:cs="华文中宋"/>
          <w:b/>
          <w:bCs/>
          <w:sz w:val="24"/>
          <w:szCs w:val="24"/>
          <w:lang w:eastAsia="zh-CN"/>
        </w:rPr>
        <w:t>[2019]第1901005A号</w:t>
      </w:r>
    </w:p>
    <w:p>
      <w:pPr>
        <w:pStyle w:val="3"/>
      </w:pPr>
      <w:bookmarkStart w:id="30" w:name="_Toc429557852"/>
      <w:bookmarkStart w:id="31" w:name="_Toc410379049"/>
      <w:bookmarkStart w:id="32" w:name="_Toc415039130"/>
      <w:bookmarkStart w:id="33" w:name="_Toc4240"/>
      <w:bookmarkStart w:id="34" w:name="_Toc449598310"/>
      <w:bookmarkStart w:id="35" w:name="_Toc7215"/>
      <w:bookmarkStart w:id="36" w:name="_Toc428348791"/>
      <w:bookmarkStart w:id="37" w:name="_Toc3083"/>
      <w:bookmarkStart w:id="38" w:name="_Toc452121198"/>
      <w:bookmarkStart w:id="39" w:name="_Toc409772451"/>
      <w:bookmarkStart w:id="40" w:name="_Toc508803747"/>
      <w:r>
        <w:rPr>
          <w:rFonts w:hint="eastAsia"/>
        </w:rPr>
        <w:t>一、估价委托人</w:t>
      </w:r>
      <w:bookmarkEnd w:id="30"/>
      <w:bookmarkEnd w:id="31"/>
      <w:bookmarkEnd w:id="32"/>
      <w:bookmarkEnd w:id="33"/>
      <w:bookmarkEnd w:id="34"/>
      <w:bookmarkEnd w:id="35"/>
      <w:bookmarkEnd w:id="36"/>
      <w:bookmarkEnd w:id="37"/>
      <w:bookmarkEnd w:id="38"/>
      <w:bookmarkEnd w:id="39"/>
      <w:bookmarkEnd w:id="40"/>
    </w:p>
    <w:p>
      <w:pPr>
        <w:ind w:firstLine="31680"/>
        <w:rPr>
          <w:rFonts w:hint="eastAsia"/>
          <w:lang w:eastAsia="zh-CN"/>
        </w:rPr>
      </w:pPr>
      <w:r>
        <w:rPr>
          <w:rFonts w:hint="eastAsia"/>
        </w:rPr>
        <w:t>估价委托人：</w:t>
      </w:r>
      <w:r>
        <w:rPr>
          <w:rFonts w:hint="eastAsia"/>
          <w:lang w:eastAsia="zh-CN"/>
        </w:rPr>
        <w:t>营口市中级人民法院</w:t>
      </w:r>
    </w:p>
    <w:p>
      <w:pPr>
        <w:pStyle w:val="3"/>
      </w:pPr>
      <w:bookmarkStart w:id="41" w:name="_Toc452121199"/>
      <w:bookmarkStart w:id="42" w:name="_Toc29835"/>
      <w:bookmarkStart w:id="43" w:name="_Toc410379050"/>
      <w:bookmarkStart w:id="44" w:name="_Toc449598311"/>
      <w:bookmarkStart w:id="45" w:name="_Toc31212"/>
      <w:bookmarkStart w:id="46" w:name="_Toc428348792"/>
      <w:bookmarkStart w:id="47" w:name="_Toc508803748"/>
      <w:bookmarkStart w:id="48" w:name="_Toc409772452"/>
      <w:bookmarkStart w:id="49" w:name="_Toc429557853"/>
      <w:bookmarkStart w:id="50" w:name="_Toc415039131"/>
      <w:bookmarkStart w:id="51" w:name="_Toc708"/>
      <w:r>
        <w:rPr>
          <w:rFonts w:hint="eastAsia"/>
        </w:rPr>
        <w:t>二、房地产估价机构</w:t>
      </w:r>
      <w:bookmarkEnd w:id="41"/>
      <w:bookmarkEnd w:id="42"/>
      <w:bookmarkEnd w:id="43"/>
      <w:bookmarkEnd w:id="44"/>
      <w:bookmarkEnd w:id="45"/>
      <w:bookmarkEnd w:id="46"/>
      <w:bookmarkEnd w:id="47"/>
      <w:bookmarkEnd w:id="48"/>
      <w:bookmarkEnd w:id="49"/>
      <w:bookmarkEnd w:id="50"/>
      <w:bookmarkEnd w:id="51"/>
    </w:p>
    <w:p>
      <w:pPr>
        <w:ind w:firstLine="31680"/>
      </w:pPr>
      <w:r>
        <w:rPr>
          <w:rFonts w:hint="eastAsia"/>
        </w:rPr>
        <w:t>评估机构名称：辽宁九州房产土地资产评估有限公司</w:t>
      </w:r>
    </w:p>
    <w:p>
      <w:pPr>
        <w:ind w:firstLine="31680"/>
      </w:pPr>
      <w:r>
        <w:rPr>
          <w:rFonts w:hint="eastAsia"/>
        </w:rPr>
        <w:t>法定代表人</w:t>
      </w:r>
      <w:r>
        <w:t>:</w:t>
      </w:r>
      <w:r>
        <w:rPr>
          <w:rFonts w:hint="eastAsia"/>
        </w:rPr>
        <w:t>孙伟</w:t>
      </w:r>
    </w:p>
    <w:p>
      <w:pPr>
        <w:ind w:firstLine="31680"/>
      </w:pPr>
      <w:r>
        <w:rPr>
          <w:rFonts w:hint="eastAsia"/>
        </w:rPr>
        <w:t>住所：辽宁省鞍山市铁东区前进路</w:t>
      </w:r>
      <w:r>
        <w:t>26</w:t>
      </w:r>
      <w:r>
        <w:rPr>
          <w:rFonts w:hint="eastAsia"/>
        </w:rPr>
        <w:t>号</w:t>
      </w:r>
    </w:p>
    <w:p>
      <w:pPr>
        <w:ind w:firstLine="31680"/>
      </w:pPr>
      <w:r>
        <w:rPr>
          <w:rFonts w:hint="eastAsia"/>
        </w:rPr>
        <w:t>房地产</w:t>
      </w:r>
      <w:r>
        <w:rPr>
          <w:rFonts w:hint="eastAsia"/>
          <w:lang w:eastAsia="zh-CN"/>
        </w:rPr>
        <w:t>估价机构备案</w:t>
      </w:r>
      <w:r>
        <w:rPr>
          <w:rFonts w:hint="eastAsia"/>
        </w:rPr>
        <w:t>等级：贰级</w:t>
      </w:r>
    </w:p>
    <w:p>
      <w:pPr>
        <w:ind w:firstLine="31680"/>
      </w:pPr>
      <w:r>
        <w:rPr>
          <w:rFonts w:hint="eastAsia"/>
        </w:rPr>
        <w:t>房地产</w:t>
      </w:r>
      <w:r>
        <w:rPr>
          <w:rFonts w:hint="eastAsia"/>
          <w:lang w:eastAsia="zh-CN"/>
        </w:rPr>
        <w:t>估价机构备案</w:t>
      </w:r>
      <w:r>
        <w:rPr>
          <w:rFonts w:hint="eastAsia"/>
        </w:rPr>
        <w:t>证书编号</w:t>
      </w:r>
      <w:r>
        <w:t>:</w:t>
      </w:r>
      <w:r>
        <w:rPr>
          <w:rFonts w:hint="eastAsia"/>
        </w:rPr>
        <w:t>第</w:t>
      </w:r>
      <w:r>
        <w:t>000010306</w:t>
      </w:r>
      <w:r>
        <w:rPr>
          <w:rFonts w:hint="eastAsia"/>
        </w:rPr>
        <w:t>号</w:t>
      </w:r>
    </w:p>
    <w:p>
      <w:pPr>
        <w:ind w:firstLine="31680"/>
      </w:pPr>
      <w:r>
        <w:rPr>
          <w:rFonts w:hint="eastAsia"/>
        </w:rPr>
        <w:t>房地产</w:t>
      </w:r>
      <w:r>
        <w:rPr>
          <w:rFonts w:hint="eastAsia"/>
          <w:lang w:eastAsia="zh-CN"/>
        </w:rPr>
        <w:t>估价机构备案</w:t>
      </w:r>
      <w:r>
        <w:rPr>
          <w:rFonts w:hint="eastAsia"/>
        </w:rPr>
        <w:t>证书有效期：至</w:t>
      </w:r>
      <w:r>
        <w:t>2019</w:t>
      </w:r>
      <w:r>
        <w:rPr>
          <w:rFonts w:hint="eastAsia"/>
        </w:rPr>
        <w:t>年</w:t>
      </w:r>
      <w:r>
        <w:t>5</w:t>
      </w:r>
      <w:r>
        <w:rPr>
          <w:rFonts w:hint="eastAsia"/>
        </w:rPr>
        <w:t>月</w:t>
      </w:r>
      <w:r>
        <w:t>5</w:t>
      </w:r>
      <w:r>
        <w:rPr>
          <w:rFonts w:hint="eastAsia"/>
        </w:rPr>
        <w:t>日</w:t>
      </w:r>
    </w:p>
    <w:p>
      <w:pPr>
        <w:ind w:firstLine="31680"/>
        <w:rPr>
          <w:rFonts w:hint="eastAsia" w:eastAsia="华文中宋"/>
          <w:lang w:val="en-US" w:eastAsia="zh-CN"/>
        </w:rPr>
      </w:pPr>
      <w:r>
        <w:rPr>
          <w:rFonts w:hint="eastAsia"/>
          <w:lang w:eastAsia="zh-CN"/>
        </w:rPr>
        <w:t>辽宁省国土资源厅备案编号</w:t>
      </w:r>
      <w:r>
        <w:t>:</w:t>
      </w:r>
      <w:r>
        <w:rPr>
          <w:rFonts w:hint="eastAsia"/>
          <w:lang w:val="en-US" w:eastAsia="zh-CN"/>
        </w:rPr>
        <w:t>2018210110</w:t>
      </w:r>
    </w:p>
    <w:p>
      <w:pPr>
        <w:ind w:firstLine="31680"/>
      </w:pPr>
      <w:r>
        <w:rPr>
          <w:rFonts w:hint="eastAsia"/>
        </w:rPr>
        <w:t>统一社会信用代码：</w:t>
      </w:r>
      <w:r>
        <w:t>912103007591162875</w:t>
      </w:r>
    </w:p>
    <w:p>
      <w:pPr>
        <w:pStyle w:val="3"/>
      </w:pPr>
      <w:bookmarkStart w:id="52" w:name="_Toc17726"/>
      <w:bookmarkStart w:id="53" w:name="_Toc31976"/>
      <w:bookmarkStart w:id="54" w:name="_Toc428348793"/>
      <w:bookmarkStart w:id="55" w:name="_Toc415039132"/>
      <w:bookmarkStart w:id="56" w:name="_Toc508803749"/>
      <w:bookmarkStart w:id="57" w:name="_Toc429557854"/>
      <w:bookmarkStart w:id="58" w:name="_Toc409772453"/>
      <w:bookmarkStart w:id="59" w:name="_Toc410379051"/>
      <w:bookmarkStart w:id="60" w:name="_Toc449598312"/>
      <w:bookmarkStart w:id="61" w:name="_Toc452121200"/>
      <w:bookmarkStart w:id="62" w:name="_Toc24020"/>
      <w:r>
        <w:rPr>
          <w:rFonts w:hint="eastAsia"/>
        </w:rPr>
        <w:t>三、估价目的</w:t>
      </w:r>
      <w:bookmarkEnd w:id="52"/>
      <w:bookmarkEnd w:id="53"/>
      <w:bookmarkEnd w:id="54"/>
      <w:bookmarkEnd w:id="55"/>
      <w:bookmarkEnd w:id="56"/>
      <w:bookmarkEnd w:id="57"/>
      <w:bookmarkEnd w:id="58"/>
      <w:bookmarkEnd w:id="59"/>
      <w:bookmarkEnd w:id="60"/>
      <w:bookmarkEnd w:id="61"/>
      <w:bookmarkEnd w:id="62"/>
    </w:p>
    <w:p>
      <w:pPr>
        <w:ind w:firstLine="31680"/>
        <w:rPr>
          <w:rFonts w:hint="eastAsia" w:ascii="华文中宋" w:hAnsi="华文中宋" w:eastAsia="华文中宋" w:cs="华文中宋"/>
          <w:szCs w:val="24"/>
        </w:rPr>
      </w:pPr>
      <w:r>
        <w:rPr>
          <w:rFonts w:hint="eastAsia" w:ascii="华文中宋" w:hAnsi="华文中宋" w:eastAsia="华文中宋" w:cs="华文中宋"/>
          <w:szCs w:val="24"/>
        </w:rPr>
        <w:t>为</w:t>
      </w:r>
      <w:r>
        <w:rPr>
          <w:rFonts w:hint="eastAsia" w:ascii="华文中宋" w:hAnsi="华文中宋" w:cs="华文中宋"/>
          <w:szCs w:val="24"/>
          <w:lang w:eastAsia="zh-CN"/>
        </w:rPr>
        <w:t>营口市中级人民法院审理鉴定申请人张瑜</w:t>
      </w:r>
      <w:r>
        <w:rPr>
          <w:rFonts w:hint="eastAsia" w:ascii="华文中宋" w:hAnsi="华文中宋" w:cs="华文中宋"/>
          <w:color w:val="auto"/>
          <w:szCs w:val="24"/>
        </w:rPr>
        <w:t>与</w:t>
      </w:r>
      <w:r>
        <w:rPr>
          <w:rFonts w:hint="eastAsia" w:ascii="华文中宋" w:hAnsi="华文中宋" w:cs="华文中宋"/>
          <w:color w:val="auto"/>
          <w:szCs w:val="24"/>
          <w:lang w:eastAsia="zh-CN"/>
        </w:rPr>
        <w:t>鉴定被申请人姜德柱、文晓明</w:t>
      </w:r>
      <w:r>
        <w:rPr>
          <w:rFonts w:hint="eastAsia" w:ascii="华文中宋" w:hAnsi="华文中宋" w:cs="华文中宋"/>
          <w:szCs w:val="24"/>
          <w:lang w:eastAsia="zh-CN"/>
        </w:rPr>
        <w:t>一案，</w:t>
      </w:r>
      <w:r>
        <w:rPr>
          <w:rFonts w:hint="eastAsia" w:ascii="华文中宋" w:hAnsi="华文中宋" w:cs="华文中宋"/>
          <w:szCs w:val="24"/>
          <w:lang w:val="en-US" w:eastAsia="zh-CN"/>
        </w:rPr>
        <w:t>确定估价对象在价值时点的市场价值，为该</w:t>
      </w:r>
      <w:r>
        <w:rPr>
          <w:rFonts w:hint="eastAsia" w:ascii="华文中宋" w:hAnsi="华文中宋" w:eastAsia="华文中宋" w:cs="华文中宋"/>
          <w:szCs w:val="24"/>
        </w:rPr>
        <w:t>司法执行提供价值参考依据。</w:t>
      </w:r>
    </w:p>
    <w:p>
      <w:pPr>
        <w:pStyle w:val="3"/>
        <w:rPr>
          <w:rFonts w:hint="eastAsia"/>
          <w:lang w:eastAsia="zh-CN"/>
        </w:rPr>
      </w:pPr>
      <w:r>
        <w:rPr>
          <w:rFonts w:hint="eastAsia"/>
          <w:lang w:eastAsia="zh-CN"/>
        </w:rPr>
        <w:t>四</w:t>
      </w:r>
      <w:r>
        <w:rPr>
          <w:rFonts w:hint="eastAsia"/>
        </w:rPr>
        <w:t>、</w:t>
      </w:r>
      <w:r>
        <w:rPr>
          <w:rFonts w:hint="eastAsia"/>
          <w:lang w:eastAsia="zh-CN"/>
        </w:rPr>
        <w:t>估价对象</w:t>
      </w:r>
    </w:p>
    <w:p>
      <w:pPr>
        <w:ind w:firstLine="31680"/>
      </w:pPr>
      <w:bookmarkStart w:id="63" w:name="_Toc30822"/>
      <w:bookmarkStart w:id="64" w:name="_Toc508803752"/>
      <w:r>
        <w:t>(</w:t>
      </w:r>
      <w:r>
        <w:rPr>
          <w:rFonts w:hint="eastAsia"/>
        </w:rPr>
        <w:t>一</w:t>
      </w:r>
      <w:r>
        <w:t>)</w:t>
      </w:r>
      <w:r>
        <w:rPr>
          <w:rFonts w:hint="eastAsia"/>
        </w:rPr>
        <w:t>基本状况</w:t>
      </w:r>
      <w:bookmarkEnd w:id="63"/>
      <w:bookmarkEnd w:id="64"/>
    </w:p>
    <w:p>
      <w:pPr>
        <w:ind w:firstLine="31680"/>
        <w:rPr>
          <w:rFonts w:hint="eastAsia"/>
          <w:lang w:eastAsia="zh-CN"/>
        </w:rPr>
      </w:pPr>
      <w:bookmarkStart w:id="65" w:name="_Toc508803753"/>
      <w:bookmarkStart w:id="66" w:name="_Toc24540"/>
      <w:r>
        <w:t>1</w:t>
      </w:r>
      <w:r>
        <w:rPr>
          <w:rFonts w:hint="eastAsia"/>
        </w:rPr>
        <w:t>、名称：</w:t>
      </w:r>
      <w:bookmarkEnd w:id="65"/>
      <w:bookmarkEnd w:id="66"/>
      <w:bookmarkStart w:id="67" w:name="_Toc22214"/>
      <w:bookmarkStart w:id="68" w:name="_Toc508803754"/>
      <w:r>
        <w:rPr>
          <w:rFonts w:hint="eastAsia" w:ascii="华文中宋" w:hAnsi="华文中宋" w:cs="华文中宋"/>
          <w:szCs w:val="24"/>
          <w:lang w:eastAsia="zh-CN"/>
        </w:rPr>
        <w:t>盖州市西城办事处站前社区华阳锦绣家园小区</w:t>
      </w:r>
      <w:r>
        <w:rPr>
          <w:rFonts w:hint="eastAsia"/>
          <w:lang w:eastAsia="zh-CN"/>
        </w:rPr>
        <w:t>16号楼1单元1101室住宅房地产。</w:t>
      </w:r>
    </w:p>
    <w:p>
      <w:pPr>
        <w:ind w:firstLine="31680"/>
        <w:rPr>
          <w:rFonts w:hint="eastAsia"/>
        </w:rPr>
      </w:pPr>
      <w:r>
        <w:rPr>
          <w:rFonts w:hint="eastAsia"/>
        </w:rPr>
        <w:t>2、坐落：位于</w:t>
      </w:r>
      <w:r>
        <w:rPr>
          <w:rFonts w:hint="eastAsia" w:ascii="华文中宋" w:hAnsi="华文中宋" w:cs="华文中宋"/>
          <w:szCs w:val="24"/>
          <w:lang w:eastAsia="zh-CN"/>
        </w:rPr>
        <w:t>盖州市西城办事处站前社区华阳锦绣家园小区</w:t>
      </w:r>
      <w:r>
        <w:rPr>
          <w:rFonts w:hint="eastAsia"/>
          <w:lang w:eastAsia="zh-CN"/>
        </w:rPr>
        <w:t>16号楼1单元1101室</w:t>
      </w:r>
      <w:r>
        <w:rPr>
          <w:rFonts w:hint="eastAsia"/>
        </w:rPr>
        <w:t>。</w:t>
      </w:r>
      <w:bookmarkEnd w:id="67"/>
      <w:bookmarkEnd w:id="68"/>
    </w:p>
    <w:p>
      <w:pPr>
        <w:ind w:firstLine="31680"/>
      </w:pPr>
      <w:bookmarkStart w:id="69" w:name="_Toc2648"/>
      <w:bookmarkStart w:id="70" w:name="_Toc508803755"/>
      <w:r>
        <w:rPr>
          <w:rFonts w:hint="eastAsia"/>
        </w:rPr>
        <w:t>3、范围：</w:t>
      </w:r>
      <w:r>
        <w:rPr>
          <w:rFonts w:hint="eastAsia" w:ascii="华文中宋" w:hAnsi="华文中宋" w:cs="华文中宋"/>
          <w:szCs w:val="24"/>
          <w:lang w:eastAsia="zh-CN"/>
        </w:rPr>
        <w:t>包含委估房屋、房屋所分摊国有土地使用权、装饰装修及保证房屋使用功能与建筑物相连不可分割配套设施等，不包含房屋内部家电、家具等可移动资产</w:t>
      </w:r>
      <w:r>
        <w:rPr>
          <w:rFonts w:hint="eastAsia"/>
        </w:rPr>
        <w:t>。</w:t>
      </w:r>
      <w:bookmarkEnd w:id="69"/>
      <w:bookmarkEnd w:id="70"/>
    </w:p>
    <w:p>
      <w:pPr>
        <w:ind w:firstLine="31680"/>
      </w:pPr>
      <w:bookmarkStart w:id="71" w:name="_Toc508803756"/>
      <w:bookmarkStart w:id="72" w:name="_Toc1566"/>
      <w:r>
        <w:t>4</w:t>
      </w:r>
      <w:r>
        <w:rPr>
          <w:rFonts w:hint="eastAsia"/>
        </w:rPr>
        <w:t>、规模：建筑面积</w:t>
      </w:r>
      <w:r>
        <w:rPr>
          <w:rFonts w:hint="eastAsia"/>
          <w:lang w:eastAsia="zh-CN"/>
        </w:rPr>
        <w:t>分别</w:t>
      </w:r>
      <w:r>
        <w:rPr>
          <w:rFonts w:hint="eastAsia"/>
        </w:rPr>
        <w:t>为</w:t>
      </w:r>
      <w:r>
        <w:rPr>
          <w:rFonts w:hint="eastAsia"/>
          <w:lang w:val="en-US" w:eastAsia="zh-CN"/>
        </w:rPr>
        <w:t>156.9㎡</w:t>
      </w:r>
      <w:r>
        <w:rPr>
          <w:rFonts w:hint="eastAsia"/>
        </w:rPr>
        <w:t>。</w:t>
      </w:r>
      <w:bookmarkEnd w:id="71"/>
      <w:bookmarkEnd w:id="72"/>
    </w:p>
    <w:p>
      <w:pPr>
        <w:ind w:firstLine="31680"/>
      </w:pPr>
      <w:bookmarkStart w:id="73" w:name="_Toc508803757"/>
      <w:bookmarkStart w:id="74" w:name="_Toc28934"/>
      <w:r>
        <w:t>5</w:t>
      </w:r>
      <w:r>
        <w:rPr>
          <w:rFonts w:hint="eastAsia"/>
        </w:rPr>
        <w:t>、用途：</w:t>
      </w:r>
      <w:r>
        <w:rPr>
          <w:rFonts w:hint="eastAsia"/>
          <w:lang w:eastAsia="zh-CN"/>
        </w:rPr>
        <w:t>住宅</w:t>
      </w:r>
      <w:r>
        <w:rPr>
          <w:rFonts w:hint="eastAsia"/>
        </w:rPr>
        <w:t>。</w:t>
      </w:r>
      <w:bookmarkEnd w:id="73"/>
      <w:bookmarkEnd w:id="74"/>
    </w:p>
    <w:p>
      <w:pPr>
        <w:ind w:firstLine="31680"/>
        <w:rPr>
          <w:rFonts w:hint="eastAsia"/>
        </w:rPr>
      </w:pPr>
      <w:bookmarkStart w:id="75" w:name="_Toc28816"/>
      <w:bookmarkStart w:id="76" w:name="_Toc508803758"/>
      <w:r>
        <w:t>6</w:t>
      </w:r>
      <w:r>
        <w:rPr>
          <w:rFonts w:hint="eastAsia"/>
        </w:rPr>
        <w:t>、</w:t>
      </w:r>
      <w:r>
        <w:rPr>
          <w:rFonts w:hint="eastAsia"/>
          <w:lang w:eastAsia="zh-CN"/>
        </w:rPr>
        <w:t>产权人</w:t>
      </w:r>
      <w:r>
        <w:rPr>
          <w:rFonts w:hint="eastAsia"/>
        </w:rPr>
        <w:t>：</w:t>
      </w:r>
      <w:r>
        <w:rPr>
          <w:rFonts w:hint="eastAsia"/>
          <w:lang w:eastAsia="zh-CN"/>
        </w:rPr>
        <w:t>文晓明</w:t>
      </w:r>
      <w:r>
        <w:rPr>
          <w:rFonts w:hint="eastAsia"/>
        </w:rPr>
        <w:t>。</w:t>
      </w:r>
      <w:bookmarkEnd w:id="75"/>
      <w:bookmarkEnd w:id="76"/>
    </w:p>
    <w:p>
      <w:pPr>
        <w:ind w:firstLine="31680"/>
      </w:pPr>
      <w:bookmarkStart w:id="77" w:name="_Toc24669"/>
      <w:bookmarkStart w:id="78" w:name="_Toc508803760"/>
      <w:r>
        <w:t>(</w:t>
      </w:r>
      <w:r>
        <w:rPr>
          <w:rFonts w:hint="eastAsia"/>
        </w:rPr>
        <w:t>二</w:t>
      </w:r>
      <w:r>
        <w:t>)</w:t>
      </w:r>
      <w:r>
        <w:rPr>
          <w:rFonts w:hint="eastAsia"/>
        </w:rPr>
        <w:t>实物状况</w:t>
      </w:r>
      <w:bookmarkEnd w:id="77"/>
      <w:bookmarkEnd w:id="78"/>
    </w:p>
    <w:p>
      <w:pPr>
        <w:ind w:firstLine="31680"/>
        <w:rPr>
          <w:rFonts w:hint="eastAsia"/>
          <w:highlight w:val="yellow"/>
          <w:lang w:eastAsia="zh-CN"/>
        </w:rPr>
      </w:pPr>
      <w:bookmarkStart w:id="79" w:name="_Toc30759"/>
      <w:bookmarkStart w:id="80" w:name="_Toc508803761"/>
      <w:r>
        <w:rPr>
          <w:rFonts w:hint="eastAsia"/>
          <w:lang w:eastAsia="zh-CN"/>
        </w:rPr>
        <w:t>文晓明</w:t>
      </w:r>
      <w:r>
        <w:rPr>
          <w:rFonts w:hint="eastAsia"/>
          <w:highlight w:val="none"/>
          <w:lang w:eastAsia="zh-CN"/>
        </w:rPr>
        <w:t>所有的</w:t>
      </w:r>
      <w:r>
        <w:rPr>
          <w:rFonts w:hint="eastAsia"/>
          <w:highlight w:val="none"/>
        </w:rPr>
        <w:t>位于</w:t>
      </w:r>
      <w:r>
        <w:rPr>
          <w:rFonts w:hint="eastAsia" w:ascii="华文中宋" w:hAnsi="华文中宋" w:cs="华文中宋"/>
          <w:szCs w:val="24"/>
          <w:lang w:eastAsia="zh-CN"/>
        </w:rPr>
        <w:t>盖州市西城办事处站前社区华阳锦绣家园小区</w:t>
      </w:r>
      <w:r>
        <w:rPr>
          <w:rFonts w:hint="eastAsia"/>
          <w:highlight w:val="none"/>
          <w:lang w:eastAsia="zh-CN"/>
        </w:rPr>
        <w:t>16号楼1单元1101室住宅房地产，东至金鼎银杏花园</w:t>
      </w:r>
      <w:r>
        <w:rPr>
          <w:rFonts w:hint="eastAsia"/>
          <w:highlight w:val="none"/>
          <w:lang w:val="en-US" w:eastAsia="zh-CN"/>
        </w:rPr>
        <w:t>、南至盖州市西城医院、西至红旗大街、北至中国联通</w:t>
      </w:r>
      <w:r>
        <w:rPr>
          <w:rFonts w:hint="eastAsia"/>
          <w:highlight w:val="none"/>
          <w:lang w:eastAsia="zh-CN"/>
        </w:rPr>
        <w:t>。</w:t>
      </w:r>
      <w:bookmarkEnd w:id="79"/>
      <w:bookmarkEnd w:id="80"/>
    </w:p>
    <w:tbl>
      <w:tblPr>
        <w:tblStyle w:val="15"/>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064"/>
        <w:gridCol w:w="3720"/>
        <w:gridCol w:w="1079"/>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jc w:val="center"/>
        </w:trPr>
        <w:tc>
          <w:tcPr>
            <w:tcW w:w="2064" w:type="dxa"/>
            <w:shd w:val="clear" w:color="auto" w:fill="auto"/>
            <w:vAlign w:val="center"/>
          </w:tcPr>
          <w:p>
            <w:pPr>
              <w:ind w:left="0" w:leftChars="0" w:firstLine="0" w:firstLineChars="0"/>
              <w:jc w:val="center"/>
              <w:rPr>
                <w:rFonts w:hint="eastAsia"/>
                <w:color w:val="auto"/>
                <w:sz w:val="21"/>
                <w:szCs w:val="21"/>
                <w:lang w:eastAsia="zh-CN"/>
              </w:rPr>
            </w:pPr>
            <w:r>
              <w:rPr>
                <w:rFonts w:hint="eastAsia"/>
                <w:color w:val="auto"/>
                <w:sz w:val="21"/>
                <w:szCs w:val="21"/>
                <w:lang w:val="en-US" w:eastAsia="zh-CN"/>
              </w:rPr>
              <w:t>房屋坐落</w:t>
            </w:r>
          </w:p>
        </w:tc>
        <w:tc>
          <w:tcPr>
            <w:tcW w:w="3720" w:type="dxa"/>
            <w:shd w:val="clear" w:color="auto" w:fill="auto"/>
            <w:vAlign w:val="center"/>
          </w:tcPr>
          <w:p>
            <w:pPr>
              <w:ind w:left="0" w:leftChars="0" w:firstLine="0" w:firstLineChars="0"/>
              <w:jc w:val="center"/>
              <w:rPr>
                <w:rFonts w:hint="eastAsia"/>
                <w:color w:val="auto"/>
                <w:sz w:val="21"/>
                <w:szCs w:val="21"/>
                <w:lang w:eastAsia="zh-CN"/>
              </w:rPr>
            </w:pPr>
            <w:r>
              <w:rPr>
                <w:rFonts w:hint="eastAsia"/>
                <w:color w:val="auto"/>
                <w:sz w:val="21"/>
                <w:szCs w:val="21"/>
                <w:lang w:val="en-US" w:eastAsia="zh-CN"/>
              </w:rPr>
              <w:t>盖州市华阳锦绣家园小区16号楼1单元1101室</w:t>
            </w:r>
          </w:p>
        </w:tc>
        <w:tc>
          <w:tcPr>
            <w:tcW w:w="1079" w:type="dxa"/>
            <w:shd w:val="clear" w:color="auto" w:fill="auto"/>
            <w:vAlign w:val="center"/>
          </w:tcPr>
          <w:p>
            <w:pPr>
              <w:ind w:left="0" w:leftChars="0" w:firstLine="0" w:firstLineChars="0"/>
              <w:jc w:val="center"/>
              <w:rPr>
                <w:rFonts w:hint="eastAsia"/>
                <w:color w:val="auto"/>
                <w:sz w:val="21"/>
                <w:szCs w:val="21"/>
                <w:lang w:val="en-US" w:eastAsia="zh-CN"/>
              </w:rPr>
            </w:pPr>
            <w:r>
              <w:rPr>
                <w:rFonts w:hint="eastAsia"/>
                <w:color w:val="auto"/>
                <w:sz w:val="21"/>
                <w:szCs w:val="21"/>
                <w:lang w:val="en-US" w:eastAsia="zh-CN"/>
              </w:rPr>
              <w:t>建筑面积</w:t>
            </w:r>
          </w:p>
        </w:tc>
        <w:tc>
          <w:tcPr>
            <w:tcW w:w="2466" w:type="dxa"/>
            <w:shd w:val="clear" w:color="auto" w:fill="auto"/>
            <w:vAlign w:val="center"/>
          </w:tcPr>
          <w:p>
            <w:pPr>
              <w:ind w:left="0" w:leftChars="0" w:firstLine="0" w:firstLineChars="0"/>
              <w:jc w:val="center"/>
              <w:rPr>
                <w:rFonts w:hint="eastAsia"/>
                <w:color w:val="auto"/>
                <w:sz w:val="21"/>
                <w:szCs w:val="21"/>
                <w:lang w:val="en-US" w:eastAsia="zh-CN"/>
              </w:rPr>
            </w:pPr>
            <w:r>
              <w:rPr>
                <w:rFonts w:hint="eastAsia"/>
                <w:color w:val="auto"/>
                <w:sz w:val="21"/>
                <w:szCs w:val="21"/>
                <w:lang w:val="en-US" w:eastAsia="zh-CN"/>
              </w:rPr>
              <w:t>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4" w:type="dxa"/>
            <w:shd w:val="clear" w:color="auto" w:fill="auto"/>
            <w:vAlign w:val="center"/>
          </w:tcPr>
          <w:p>
            <w:pPr>
              <w:ind w:left="0" w:leftChars="0" w:firstLine="0" w:firstLineChars="0"/>
              <w:jc w:val="center"/>
              <w:rPr>
                <w:rFonts w:hint="eastAsia"/>
                <w:color w:val="auto"/>
                <w:sz w:val="21"/>
                <w:szCs w:val="21"/>
                <w:lang w:eastAsia="zh-CN"/>
              </w:rPr>
            </w:pPr>
            <w:r>
              <w:rPr>
                <w:rFonts w:hint="default"/>
                <w:color w:val="auto"/>
                <w:sz w:val="21"/>
                <w:szCs w:val="21"/>
                <w:lang w:val="en-US" w:eastAsia="zh-CN"/>
              </w:rPr>
              <w:t>用途</w:t>
            </w:r>
          </w:p>
        </w:tc>
        <w:tc>
          <w:tcPr>
            <w:tcW w:w="3720" w:type="dxa"/>
            <w:shd w:val="clear" w:color="auto" w:fill="auto"/>
            <w:vAlign w:val="center"/>
          </w:tcPr>
          <w:p>
            <w:pPr>
              <w:ind w:firstLine="31680"/>
              <w:jc w:val="center"/>
              <w:rPr>
                <w:rFonts w:hint="eastAsia"/>
                <w:color w:val="auto"/>
                <w:sz w:val="21"/>
                <w:szCs w:val="21"/>
                <w:lang w:eastAsia="zh-CN"/>
              </w:rPr>
            </w:pPr>
            <w:r>
              <w:rPr>
                <w:rFonts w:hint="eastAsia"/>
                <w:color w:val="auto"/>
                <w:sz w:val="21"/>
                <w:szCs w:val="21"/>
                <w:lang w:val="en-US" w:eastAsia="zh-CN"/>
              </w:rPr>
              <w:t>住宅</w:t>
            </w:r>
          </w:p>
        </w:tc>
        <w:tc>
          <w:tcPr>
            <w:tcW w:w="1079" w:type="dxa"/>
            <w:shd w:val="clear" w:color="auto" w:fill="auto"/>
            <w:vAlign w:val="top"/>
          </w:tcPr>
          <w:p>
            <w:pPr>
              <w:ind w:left="0" w:leftChars="0" w:firstLine="0" w:firstLineChars="0"/>
              <w:jc w:val="center"/>
              <w:rPr>
                <w:rFonts w:hint="eastAsia"/>
                <w:color w:val="auto"/>
                <w:sz w:val="21"/>
                <w:szCs w:val="21"/>
                <w:lang w:val="en-US" w:eastAsia="zh-CN"/>
              </w:rPr>
            </w:pPr>
            <w:r>
              <w:rPr>
                <w:rFonts w:hint="eastAsia"/>
                <w:color w:val="auto"/>
                <w:sz w:val="21"/>
                <w:szCs w:val="21"/>
                <w:lang w:val="en-US" w:eastAsia="zh-CN"/>
              </w:rPr>
              <w:t>所在</w:t>
            </w:r>
            <w:r>
              <w:rPr>
                <w:rFonts w:hint="default"/>
                <w:color w:val="auto"/>
                <w:sz w:val="21"/>
                <w:szCs w:val="21"/>
                <w:lang w:val="en-US" w:eastAsia="zh-CN"/>
              </w:rPr>
              <w:t>层数</w:t>
            </w:r>
            <w:r>
              <w:rPr>
                <w:rFonts w:hint="eastAsia"/>
                <w:color w:val="auto"/>
                <w:sz w:val="21"/>
                <w:szCs w:val="21"/>
                <w:lang w:val="en-US" w:eastAsia="zh-CN"/>
              </w:rPr>
              <w:t>/总层数</w:t>
            </w:r>
          </w:p>
        </w:tc>
        <w:tc>
          <w:tcPr>
            <w:tcW w:w="2466" w:type="dxa"/>
            <w:shd w:val="clear" w:color="auto" w:fill="auto"/>
            <w:vAlign w:val="center"/>
          </w:tcPr>
          <w:p>
            <w:pPr>
              <w:ind w:left="0" w:leftChars="0" w:firstLine="0" w:firstLineChars="0"/>
              <w:jc w:val="center"/>
              <w:rPr>
                <w:rFonts w:hint="eastAsia"/>
                <w:color w:val="auto"/>
                <w:sz w:val="21"/>
                <w:szCs w:val="21"/>
                <w:lang w:val="en-US" w:eastAsia="zh-CN"/>
              </w:rPr>
            </w:pPr>
            <w:r>
              <w:rPr>
                <w:rFonts w:hint="eastAsia"/>
                <w:color w:val="auto"/>
                <w:sz w:val="21"/>
                <w:szCs w:val="21"/>
                <w:lang w:val="en-US" w:eastAsia="zh-CN"/>
              </w:rPr>
              <w:t>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064" w:type="dxa"/>
            <w:shd w:val="clear" w:color="auto" w:fill="auto"/>
            <w:vAlign w:val="center"/>
          </w:tcPr>
          <w:p>
            <w:pPr>
              <w:ind w:left="0" w:leftChars="0" w:firstLine="0" w:firstLineChars="0"/>
              <w:jc w:val="center"/>
              <w:rPr>
                <w:rFonts w:hint="eastAsia"/>
                <w:color w:val="auto"/>
                <w:sz w:val="21"/>
                <w:szCs w:val="21"/>
                <w:lang w:eastAsia="zh-CN"/>
              </w:rPr>
            </w:pPr>
            <w:r>
              <w:rPr>
                <w:rFonts w:hint="default"/>
                <w:color w:val="auto"/>
                <w:sz w:val="21"/>
                <w:szCs w:val="21"/>
                <w:lang w:val="en-US" w:eastAsia="zh-CN"/>
              </w:rPr>
              <w:t>建筑结构</w:t>
            </w:r>
          </w:p>
        </w:tc>
        <w:tc>
          <w:tcPr>
            <w:tcW w:w="3720" w:type="dxa"/>
            <w:shd w:val="clear" w:color="auto" w:fill="auto"/>
            <w:vAlign w:val="center"/>
          </w:tcPr>
          <w:p>
            <w:pPr>
              <w:ind w:firstLine="31680"/>
              <w:jc w:val="center"/>
              <w:rPr>
                <w:rFonts w:hint="eastAsia"/>
                <w:color w:val="auto"/>
                <w:sz w:val="21"/>
                <w:szCs w:val="21"/>
                <w:lang w:val="en-US" w:eastAsia="zh-CN"/>
              </w:rPr>
            </w:pPr>
            <w:r>
              <w:rPr>
                <w:rFonts w:hint="eastAsia"/>
                <w:color w:val="auto"/>
                <w:sz w:val="21"/>
                <w:szCs w:val="21"/>
                <w:lang w:val="en-US" w:eastAsia="zh-CN"/>
              </w:rPr>
              <w:t>框架</w:t>
            </w:r>
          </w:p>
        </w:tc>
        <w:tc>
          <w:tcPr>
            <w:tcW w:w="1079" w:type="dxa"/>
            <w:shd w:val="clear" w:color="auto" w:fill="auto"/>
            <w:vAlign w:val="top"/>
          </w:tcPr>
          <w:p>
            <w:pPr>
              <w:ind w:left="0" w:leftChars="0" w:firstLine="210" w:firstLineChars="100"/>
              <w:jc w:val="both"/>
              <w:rPr>
                <w:rFonts w:hint="eastAsia"/>
                <w:color w:val="auto"/>
                <w:sz w:val="21"/>
                <w:szCs w:val="21"/>
                <w:lang w:eastAsia="zh-CN"/>
              </w:rPr>
            </w:pPr>
            <w:r>
              <w:rPr>
                <w:rFonts w:hint="eastAsia"/>
                <w:color w:val="auto"/>
                <w:sz w:val="21"/>
                <w:szCs w:val="21"/>
                <w:lang w:val="en-US" w:eastAsia="zh-CN"/>
              </w:rPr>
              <w:t>层高</w:t>
            </w:r>
          </w:p>
        </w:tc>
        <w:tc>
          <w:tcPr>
            <w:tcW w:w="2466" w:type="dxa"/>
            <w:shd w:val="clear" w:color="auto" w:fill="auto"/>
            <w:vAlign w:val="center"/>
          </w:tcPr>
          <w:p>
            <w:pPr>
              <w:ind w:left="0" w:leftChars="0" w:firstLine="0" w:firstLineChars="0"/>
              <w:jc w:val="center"/>
              <w:rPr>
                <w:rFonts w:hint="eastAsia"/>
                <w:color w:val="auto"/>
                <w:sz w:val="21"/>
                <w:szCs w:val="21"/>
                <w:lang w:val="en-US" w:eastAsia="zh-CN"/>
              </w:rPr>
            </w:pPr>
            <w:r>
              <w:rPr>
                <w:rFonts w:hint="eastAsia"/>
                <w:color w:val="auto"/>
                <w:sz w:val="21"/>
                <w:szCs w:val="21"/>
                <w:lang w:val="en-US" w:eastAsia="zh-CN"/>
              </w:rPr>
              <w:t>2.75m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64" w:type="dxa"/>
            <w:shd w:val="clear" w:color="auto" w:fill="auto"/>
            <w:vAlign w:val="center"/>
          </w:tcPr>
          <w:p>
            <w:pPr>
              <w:ind w:left="0" w:leftChars="0" w:firstLine="0" w:firstLineChars="0"/>
              <w:jc w:val="center"/>
              <w:rPr>
                <w:rFonts w:hint="eastAsia"/>
                <w:color w:val="auto"/>
                <w:sz w:val="21"/>
                <w:szCs w:val="21"/>
                <w:lang w:eastAsia="zh-CN"/>
              </w:rPr>
            </w:pPr>
            <w:r>
              <w:rPr>
                <w:rFonts w:hint="default"/>
                <w:color w:val="auto"/>
                <w:sz w:val="21"/>
                <w:szCs w:val="21"/>
                <w:lang w:val="en-US" w:eastAsia="zh-CN"/>
              </w:rPr>
              <w:t>设施设备</w:t>
            </w:r>
          </w:p>
        </w:tc>
        <w:tc>
          <w:tcPr>
            <w:tcW w:w="7265" w:type="dxa"/>
            <w:gridSpan w:val="3"/>
            <w:shd w:val="clear" w:color="auto" w:fill="auto"/>
            <w:vAlign w:val="center"/>
          </w:tcPr>
          <w:p>
            <w:pPr>
              <w:ind w:left="0" w:leftChars="0" w:firstLine="0" w:firstLineChars="0"/>
              <w:jc w:val="both"/>
              <w:rPr>
                <w:rFonts w:hint="eastAsia"/>
                <w:color w:val="auto"/>
                <w:sz w:val="21"/>
                <w:szCs w:val="21"/>
                <w:lang w:eastAsia="zh-CN"/>
              </w:rPr>
            </w:pPr>
            <w:r>
              <w:rPr>
                <w:rFonts w:hint="default"/>
                <w:color w:val="auto"/>
                <w:sz w:val="21"/>
                <w:szCs w:val="21"/>
                <w:lang w:val="en-US" w:eastAsia="zh-CN"/>
              </w:rPr>
              <w:t>估价对象的</w:t>
            </w:r>
            <w:r>
              <w:rPr>
                <w:rFonts w:hint="eastAsia"/>
                <w:color w:val="auto"/>
                <w:sz w:val="21"/>
                <w:szCs w:val="21"/>
                <w:lang w:val="en-US" w:eastAsia="zh-CN"/>
              </w:rPr>
              <w:t>上</w:t>
            </w:r>
            <w:r>
              <w:rPr>
                <w:rFonts w:hint="default"/>
                <w:color w:val="auto"/>
                <w:sz w:val="21"/>
                <w:szCs w:val="21"/>
                <w:lang w:val="en-US" w:eastAsia="zh-CN"/>
              </w:rPr>
              <w:t>水、</w:t>
            </w:r>
            <w:r>
              <w:rPr>
                <w:rFonts w:hint="eastAsia"/>
                <w:color w:val="auto"/>
                <w:sz w:val="21"/>
                <w:szCs w:val="21"/>
                <w:lang w:val="en-US" w:eastAsia="zh-CN"/>
              </w:rPr>
              <w:t>下水、</w:t>
            </w:r>
            <w:r>
              <w:rPr>
                <w:rFonts w:hint="default"/>
                <w:color w:val="auto"/>
                <w:sz w:val="21"/>
                <w:szCs w:val="21"/>
                <w:lang w:val="en-US" w:eastAsia="zh-CN"/>
              </w:rPr>
              <w:t>供电、通讯</w:t>
            </w:r>
            <w:r>
              <w:rPr>
                <w:rFonts w:hint="eastAsia"/>
                <w:color w:val="auto"/>
                <w:sz w:val="21"/>
                <w:szCs w:val="21"/>
                <w:lang w:val="en-US" w:eastAsia="zh-CN"/>
              </w:rPr>
              <w:t>、供暖</w:t>
            </w:r>
            <w:r>
              <w:rPr>
                <w:rFonts w:hint="default"/>
                <w:color w:val="auto"/>
                <w:sz w:val="21"/>
                <w:szCs w:val="21"/>
                <w:lang w:val="en-US" w:eastAsia="zh-CN"/>
              </w:rPr>
              <w:t>等</w:t>
            </w:r>
            <w:r>
              <w:rPr>
                <w:rFonts w:hint="eastAsia"/>
                <w:color w:val="auto"/>
                <w:sz w:val="21"/>
                <w:szCs w:val="21"/>
                <w:lang w:val="en-US" w:eastAsia="zh-CN"/>
              </w:rPr>
              <w:t>配套设施</w:t>
            </w:r>
            <w:r>
              <w:rPr>
                <w:rFonts w:hint="default"/>
                <w:color w:val="auto"/>
                <w:sz w:val="21"/>
                <w:szCs w:val="21"/>
                <w:lang w:val="en-US" w:eastAsia="zh-CN"/>
              </w:rPr>
              <w:t>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064" w:type="dxa"/>
            <w:shd w:val="clear" w:color="auto" w:fill="auto"/>
            <w:vAlign w:val="center"/>
          </w:tcPr>
          <w:p>
            <w:pPr>
              <w:ind w:left="0" w:leftChars="0" w:firstLine="0" w:firstLineChars="0"/>
              <w:jc w:val="center"/>
              <w:rPr>
                <w:rFonts w:hint="eastAsia"/>
                <w:color w:val="auto"/>
                <w:sz w:val="21"/>
                <w:szCs w:val="21"/>
                <w:lang w:eastAsia="zh-CN"/>
              </w:rPr>
            </w:pPr>
            <w:r>
              <w:rPr>
                <w:rFonts w:hint="default"/>
                <w:color w:val="auto"/>
                <w:sz w:val="21"/>
                <w:szCs w:val="21"/>
                <w:lang w:val="en-US" w:eastAsia="zh-CN"/>
              </w:rPr>
              <w:t>装饰装修</w:t>
            </w:r>
          </w:p>
        </w:tc>
        <w:tc>
          <w:tcPr>
            <w:tcW w:w="7265" w:type="dxa"/>
            <w:gridSpan w:val="3"/>
            <w:shd w:val="clear" w:color="auto" w:fill="auto"/>
            <w:vAlign w:val="center"/>
          </w:tcPr>
          <w:p>
            <w:pPr>
              <w:ind w:left="0" w:leftChars="0" w:firstLine="0" w:firstLineChars="0"/>
              <w:jc w:val="both"/>
              <w:rPr>
                <w:rFonts w:hint="eastAsia"/>
                <w:color w:val="auto"/>
                <w:sz w:val="21"/>
                <w:szCs w:val="21"/>
                <w:lang w:val="en-US" w:eastAsia="zh-CN"/>
              </w:rPr>
            </w:pPr>
            <w:r>
              <w:rPr>
                <w:rFonts w:hint="eastAsia"/>
                <w:color w:val="auto"/>
                <w:sz w:val="21"/>
                <w:szCs w:val="21"/>
                <w:lang w:val="en-US" w:eastAsia="zh-CN"/>
              </w:rPr>
              <w:t>外墙喷墙面漆、入户防盗门、铝材窗。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64" w:type="dxa"/>
            <w:shd w:val="clear" w:color="auto" w:fill="auto"/>
            <w:vAlign w:val="center"/>
          </w:tcPr>
          <w:p>
            <w:pPr>
              <w:ind w:left="0" w:leftChars="0" w:firstLine="0" w:firstLineChars="0"/>
              <w:jc w:val="center"/>
              <w:rPr>
                <w:rFonts w:hint="eastAsia"/>
                <w:color w:val="auto"/>
                <w:sz w:val="21"/>
                <w:szCs w:val="21"/>
                <w:lang w:eastAsia="zh-CN"/>
              </w:rPr>
            </w:pPr>
            <w:r>
              <w:rPr>
                <w:rFonts w:hint="default"/>
                <w:color w:val="auto"/>
                <w:sz w:val="21"/>
                <w:szCs w:val="21"/>
                <w:lang w:val="en-US" w:eastAsia="zh-CN"/>
              </w:rPr>
              <w:t>空间布局</w:t>
            </w:r>
          </w:p>
        </w:tc>
        <w:tc>
          <w:tcPr>
            <w:tcW w:w="7265" w:type="dxa"/>
            <w:gridSpan w:val="3"/>
            <w:shd w:val="clear" w:color="auto" w:fill="auto"/>
            <w:vAlign w:val="center"/>
          </w:tcPr>
          <w:p>
            <w:pPr>
              <w:ind w:left="0" w:leftChars="0" w:firstLine="0" w:firstLineChars="0"/>
              <w:jc w:val="both"/>
              <w:rPr>
                <w:rFonts w:hint="eastAsia"/>
                <w:color w:val="auto"/>
                <w:sz w:val="21"/>
                <w:szCs w:val="21"/>
                <w:lang w:val="en-US" w:eastAsia="zh-CN"/>
              </w:rPr>
            </w:pPr>
            <w:r>
              <w:rPr>
                <w:rFonts w:hint="eastAsia"/>
                <w:color w:val="auto"/>
                <w:sz w:val="21"/>
                <w:szCs w:val="21"/>
                <w:lang w:val="en-US" w:eastAsia="zh-CN"/>
              </w:rPr>
              <w:t>南北通透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064" w:type="dxa"/>
            <w:shd w:val="clear" w:color="auto" w:fill="auto"/>
            <w:vAlign w:val="center"/>
          </w:tcPr>
          <w:p>
            <w:pPr>
              <w:ind w:left="0" w:leftChars="0" w:firstLine="0" w:firstLineChars="0"/>
              <w:jc w:val="center"/>
              <w:rPr>
                <w:rFonts w:hint="eastAsia"/>
                <w:color w:val="auto"/>
                <w:sz w:val="21"/>
                <w:szCs w:val="21"/>
                <w:lang w:eastAsia="zh-CN"/>
              </w:rPr>
            </w:pPr>
            <w:r>
              <w:rPr>
                <w:rFonts w:hint="eastAsia"/>
                <w:color w:val="auto"/>
                <w:sz w:val="21"/>
                <w:szCs w:val="21"/>
                <w:lang w:val="en-US" w:eastAsia="zh-CN"/>
              </w:rPr>
              <w:t>建成</w:t>
            </w:r>
            <w:r>
              <w:rPr>
                <w:rFonts w:hint="default"/>
                <w:color w:val="auto"/>
                <w:sz w:val="21"/>
                <w:szCs w:val="21"/>
                <w:lang w:val="en-US" w:eastAsia="zh-CN"/>
              </w:rPr>
              <w:t>时间</w:t>
            </w:r>
          </w:p>
        </w:tc>
        <w:tc>
          <w:tcPr>
            <w:tcW w:w="7265" w:type="dxa"/>
            <w:gridSpan w:val="3"/>
            <w:shd w:val="clear" w:color="auto" w:fill="auto"/>
            <w:vAlign w:val="center"/>
          </w:tcPr>
          <w:p>
            <w:pPr>
              <w:ind w:left="0" w:leftChars="0" w:firstLine="0" w:firstLineChars="0"/>
              <w:jc w:val="both"/>
              <w:rPr>
                <w:rFonts w:hint="eastAsia"/>
                <w:color w:val="auto"/>
                <w:sz w:val="21"/>
                <w:szCs w:val="21"/>
                <w:lang w:eastAsia="zh-CN"/>
              </w:rPr>
            </w:pPr>
            <w:r>
              <w:rPr>
                <w:rFonts w:hint="eastAsia"/>
                <w:color w:val="auto"/>
                <w:sz w:val="21"/>
                <w:szCs w:val="21"/>
                <w:lang w:val="en-US" w:eastAsia="zh-CN"/>
              </w:rPr>
              <w:t>约2012</w:t>
            </w:r>
            <w:r>
              <w:rPr>
                <w:rFonts w:hint="default"/>
                <w:color w:val="auto"/>
                <w:sz w:val="21"/>
                <w:szCs w:val="21"/>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64" w:type="dxa"/>
            <w:shd w:val="clear" w:color="auto" w:fill="auto"/>
            <w:vAlign w:val="center"/>
          </w:tcPr>
          <w:p>
            <w:pPr>
              <w:ind w:left="0" w:leftChars="0" w:firstLine="0" w:firstLineChars="0"/>
              <w:jc w:val="center"/>
              <w:rPr>
                <w:rFonts w:hint="eastAsia"/>
                <w:color w:val="auto"/>
                <w:sz w:val="21"/>
                <w:szCs w:val="21"/>
                <w:lang w:eastAsia="zh-CN"/>
              </w:rPr>
            </w:pPr>
            <w:r>
              <w:rPr>
                <w:rFonts w:hint="default"/>
                <w:color w:val="auto"/>
                <w:sz w:val="21"/>
                <w:szCs w:val="21"/>
                <w:lang w:val="en-US" w:eastAsia="zh-CN"/>
              </w:rPr>
              <w:t>使用及维护状况</w:t>
            </w:r>
          </w:p>
        </w:tc>
        <w:tc>
          <w:tcPr>
            <w:tcW w:w="7265" w:type="dxa"/>
            <w:gridSpan w:val="3"/>
            <w:shd w:val="clear" w:color="auto" w:fill="auto"/>
            <w:vAlign w:val="center"/>
          </w:tcPr>
          <w:p>
            <w:pPr>
              <w:ind w:left="0" w:leftChars="0" w:firstLine="0" w:firstLineChars="0"/>
              <w:jc w:val="both"/>
              <w:rPr>
                <w:rFonts w:hint="eastAsia"/>
                <w:color w:val="auto"/>
                <w:sz w:val="21"/>
                <w:szCs w:val="21"/>
                <w:lang w:eastAsia="zh-CN"/>
              </w:rPr>
            </w:pPr>
            <w:r>
              <w:rPr>
                <w:rFonts w:hint="eastAsia"/>
                <w:color w:val="auto"/>
                <w:sz w:val="21"/>
                <w:szCs w:val="21"/>
                <w:lang w:val="en-US" w:eastAsia="zh-CN"/>
              </w:rPr>
              <w:t>-</w:t>
            </w:r>
          </w:p>
        </w:tc>
      </w:tr>
    </w:tbl>
    <w:p>
      <w:pPr>
        <w:numPr>
          <w:ilvl w:val="0"/>
          <w:numId w:val="5"/>
        </w:numPr>
        <w:ind w:firstLine="31680"/>
        <w:rPr>
          <w:rFonts w:hint="eastAsia"/>
          <w:highlight w:val="none"/>
          <w:lang w:eastAsia="zh-CN"/>
        </w:rPr>
      </w:pPr>
      <w:r>
        <w:rPr>
          <w:rFonts w:hint="eastAsia"/>
          <w:highlight w:val="none"/>
          <w:lang w:eastAsia="zh-CN"/>
        </w:rPr>
        <w:t>权益状况</w:t>
      </w:r>
    </w:p>
    <w:p>
      <w:pPr>
        <w:numPr>
          <w:ilvl w:val="0"/>
          <w:numId w:val="0"/>
        </w:numPr>
        <w:ind w:firstLine="480" w:firstLineChars="200"/>
        <w:rPr>
          <w:rFonts w:hint="eastAsia"/>
          <w:highlight w:val="none"/>
          <w:lang w:eastAsia="zh-CN"/>
        </w:rPr>
      </w:pPr>
      <w:r>
        <w:rPr>
          <w:rFonts w:hint="eastAsia"/>
          <w:lang w:eastAsia="zh-CN"/>
        </w:rPr>
        <w:t>文晓明</w:t>
      </w:r>
      <w:r>
        <w:rPr>
          <w:rFonts w:hint="eastAsia"/>
          <w:highlight w:val="none"/>
          <w:lang w:eastAsia="zh-CN"/>
        </w:rPr>
        <w:t>所有的</w:t>
      </w:r>
      <w:r>
        <w:rPr>
          <w:rFonts w:hint="eastAsia"/>
          <w:highlight w:val="none"/>
        </w:rPr>
        <w:t>位于</w:t>
      </w:r>
      <w:r>
        <w:rPr>
          <w:rFonts w:hint="eastAsia"/>
          <w:highlight w:val="none"/>
          <w:lang w:eastAsia="zh-CN"/>
        </w:rPr>
        <w:t>盖州市华阳锦绣家园小区16号楼1单元1101室住宅房地产。</w:t>
      </w:r>
    </w:p>
    <w:tbl>
      <w:tblPr>
        <w:tblStyle w:val="15"/>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00"/>
        <w:gridCol w:w="3090"/>
        <w:gridCol w:w="1305"/>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1500" w:type="dxa"/>
            <w:shd w:val="clear" w:color="auto" w:fill="auto"/>
            <w:vAlign w:val="center"/>
          </w:tcPr>
          <w:p>
            <w:pPr>
              <w:ind w:left="0" w:leftChars="0" w:firstLine="0" w:firstLineChars="0"/>
              <w:jc w:val="both"/>
              <w:rPr>
                <w:rFonts w:hint="eastAsia"/>
                <w:sz w:val="21"/>
                <w:szCs w:val="21"/>
                <w:lang w:val="en-US" w:eastAsia="zh-CN"/>
              </w:rPr>
            </w:pPr>
            <w:r>
              <w:rPr>
                <w:rFonts w:hint="eastAsia"/>
                <w:sz w:val="21"/>
                <w:szCs w:val="21"/>
                <w:lang w:val="en-US" w:eastAsia="zh-CN"/>
              </w:rPr>
              <w:t>产权人</w:t>
            </w:r>
          </w:p>
        </w:tc>
        <w:tc>
          <w:tcPr>
            <w:tcW w:w="3090" w:type="dxa"/>
            <w:shd w:val="clear" w:color="auto" w:fill="auto"/>
            <w:vAlign w:val="center"/>
          </w:tcPr>
          <w:p>
            <w:pPr>
              <w:ind w:left="0" w:leftChars="0" w:firstLine="0" w:firstLineChars="0"/>
              <w:jc w:val="center"/>
              <w:rPr>
                <w:rFonts w:hint="eastAsia"/>
                <w:sz w:val="21"/>
                <w:szCs w:val="21"/>
                <w:lang w:eastAsia="zh-CN"/>
              </w:rPr>
            </w:pPr>
            <w:r>
              <w:rPr>
                <w:rFonts w:hint="eastAsia"/>
                <w:sz w:val="21"/>
                <w:szCs w:val="21"/>
                <w:lang w:eastAsia="zh-CN"/>
              </w:rPr>
              <w:t>文晓明</w:t>
            </w:r>
          </w:p>
        </w:tc>
        <w:tc>
          <w:tcPr>
            <w:tcW w:w="1305" w:type="dxa"/>
            <w:shd w:val="clear" w:color="auto" w:fill="auto"/>
            <w:vAlign w:val="center"/>
          </w:tcPr>
          <w:p>
            <w:pPr>
              <w:ind w:left="0" w:leftChars="0" w:firstLine="0" w:firstLineChars="0"/>
              <w:jc w:val="both"/>
              <w:rPr>
                <w:rFonts w:hint="eastAsia"/>
                <w:sz w:val="21"/>
                <w:szCs w:val="21"/>
                <w:lang w:val="en-US" w:eastAsia="zh-CN"/>
              </w:rPr>
            </w:pPr>
            <w:r>
              <w:rPr>
                <w:rFonts w:hint="eastAsia"/>
                <w:sz w:val="21"/>
                <w:szCs w:val="21"/>
                <w:lang w:val="en-US" w:eastAsia="zh-CN"/>
              </w:rPr>
              <w:t>共有人</w:t>
            </w:r>
          </w:p>
        </w:tc>
        <w:tc>
          <w:tcPr>
            <w:tcW w:w="3434" w:type="dxa"/>
            <w:shd w:val="clear" w:color="auto" w:fill="auto"/>
            <w:vAlign w:val="center"/>
          </w:tcPr>
          <w:p>
            <w:pPr>
              <w:ind w:left="0" w:leftChars="0" w:firstLine="0" w:firstLineChars="0"/>
              <w:jc w:val="center"/>
              <w:rPr>
                <w:rFonts w:hint="eastAsia"/>
                <w:sz w:val="21"/>
                <w:szCs w:val="21"/>
                <w:lang w:val="en-US" w:eastAsia="zh-CN"/>
              </w:rPr>
            </w:pPr>
            <w:r>
              <w:rPr>
                <w:rFonts w:hint="eastAsia"/>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0" w:type="dxa"/>
            <w:shd w:val="clear" w:color="auto" w:fill="auto"/>
            <w:vAlign w:val="center"/>
          </w:tcPr>
          <w:p>
            <w:pPr>
              <w:ind w:left="0" w:leftChars="0" w:firstLine="0" w:firstLineChars="0"/>
              <w:jc w:val="both"/>
              <w:rPr>
                <w:rFonts w:hint="eastAsia"/>
                <w:sz w:val="21"/>
                <w:szCs w:val="21"/>
                <w:lang w:val="en-US" w:eastAsia="zh-CN"/>
              </w:rPr>
            </w:pPr>
            <w:r>
              <w:rPr>
                <w:rFonts w:hint="eastAsia"/>
                <w:sz w:val="21"/>
                <w:szCs w:val="21"/>
                <w:lang w:val="en-US" w:eastAsia="zh-CN"/>
              </w:rPr>
              <w:t>登记时间</w:t>
            </w:r>
          </w:p>
        </w:tc>
        <w:tc>
          <w:tcPr>
            <w:tcW w:w="3090" w:type="dxa"/>
            <w:shd w:val="clear" w:color="auto" w:fill="auto"/>
            <w:vAlign w:val="center"/>
          </w:tcPr>
          <w:p>
            <w:pPr>
              <w:ind w:left="0" w:leftChars="0" w:firstLine="0" w:firstLineChars="0"/>
              <w:jc w:val="center"/>
              <w:rPr>
                <w:rFonts w:hint="eastAsia"/>
                <w:sz w:val="21"/>
                <w:szCs w:val="21"/>
                <w:lang w:val="en-US" w:eastAsia="zh-CN"/>
              </w:rPr>
            </w:pPr>
            <w:r>
              <w:rPr>
                <w:rFonts w:hint="eastAsia"/>
                <w:sz w:val="21"/>
                <w:szCs w:val="21"/>
                <w:lang w:val="en-US" w:eastAsia="zh-CN"/>
              </w:rPr>
              <w:t>2014年1月27日</w:t>
            </w:r>
          </w:p>
        </w:tc>
        <w:tc>
          <w:tcPr>
            <w:tcW w:w="1305" w:type="dxa"/>
            <w:shd w:val="clear" w:color="auto" w:fill="auto"/>
            <w:vAlign w:val="center"/>
          </w:tcPr>
          <w:p>
            <w:pPr>
              <w:ind w:left="0" w:leftChars="0" w:firstLine="0" w:firstLineChars="0"/>
              <w:jc w:val="both"/>
              <w:rPr>
                <w:rFonts w:hint="eastAsia"/>
                <w:sz w:val="21"/>
                <w:szCs w:val="21"/>
                <w:lang w:val="en-US" w:eastAsia="zh-CN"/>
              </w:rPr>
            </w:pPr>
            <w:r>
              <w:rPr>
                <w:rFonts w:hint="eastAsia"/>
                <w:sz w:val="21"/>
                <w:szCs w:val="21"/>
                <w:lang w:val="en-US" w:eastAsia="zh-CN"/>
              </w:rPr>
              <w:t>房屋性质</w:t>
            </w:r>
          </w:p>
        </w:tc>
        <w:tc>
          <w:tcPr>
            <w:tcW w:w="3434" w:type="dxa"/>
            <w:shd w:val="clear" w:color="auto" w:fill="auto"/>
            <w:vAlign w:val="center"/>
          </w:tcPr>
          <w:p>
            <w:pPr>
              <w:ind w:left="0" w:leftChars="0" w:firstLine="0" w:firstLineChars="0"/>
              <w:jc w:val="center"/>
              <w:rPr>
                <w:rFonts w:hint="eastAsia"/>
                <w:sz w:val="21"/>
                <w:szCs w:val="21"/>
                <w:lang w:val="en-US" w:eastAsia="zh-CN"/>
              </w:rPr>
            </w:pPr>
            <w:r>
              <w:rPr>
                <w:rFonts w:hint="eastAsia"/>
                <w:sz w:val="21"/>
                <w:szCs w:val="21"/>
                <w:lang w:val="en-US" w:eastAsia="zh-CN"/>
              </w:rPr>
              <w:t>私有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0" w:type="dxa"/>
            <w:shd w:val="clear" w:color="auto" w:fill="auto"/>
            <w:vAlign w:val="center"/>
          </w:tcPr>
          <w:p>
            <w:pPr>
              <w:ind w:left="0" w:leftChars="0" w:firstLine="0" w:firstLineChars="0"/>
              <w:jc w:val="both"/>
              <w:rPr>
                <w:rFonts w:hint="eastAsia"/>
                <w:sz w:val="21"/>
                <w:szCs w:val="21"/>
                <w:lang w:val="en-US" w:eastAsia="zh-CN"/>
              </w:rPr>
            </w:pPr>
            <w:r>
              <w:rPr>
                <w:rFonts w:hint="eastAsia"/>
                <w:sz w:val="21"/>
                <w:szCs w:val="21"/>
                <w:lang w:val="en-US" w:eastAsia="zh-CN"/>
              </w:rPr>
              <w:t>规划用途</w:t>
            </w:r>
          </w:p>
        </w:tc>
        <w:tc>
          <w:tcPr>
            <w:tcW w:w="3090" w:type="dxa"/>
            <w:shd w:val="clear" w:color="auto" w:fill="auto"/>
            <w:vAlign w:val="center"/>
          </w:tcPr>
          <w:p>
            <w:pPr>
              <w:ind w:left="0" w:leftChars="0" w:firstLine="0" w:firstLineChars="0"/>
              <w:jc w:val="center"/>
              <w:rPr>
                <w:rFonts w:hint="eastAsia"/>
                <w:sz w:val="21"/>
                <w:szCs w:val="21"/>
                <w:lang w:val="en-US" w:eastAsia="zh-CN"/>
              </w:rPr>
            </w:pPr>
            <w:r>
              <w:rPr>
                <w:rFonts w:hint="eastAsia"/>
                <w:sz w:val="21"/>
                <w:szCs w:val="21"/>
                <w:lang w:eastAsia="zh-CN"/>
              </w:rPr>
              <w:t>住宅</w:t>
            </w:r>
          </w:p>
        </w:tc>
        <w:tc>
          <w:tcPr>
            <w:tcW w:w="1305" w:type="dxa"/>
            <w:shd w:val="clear" w:color="auto" w:fill="auto"/>
            <w:vAlign w:val="center"/>
          </w:tcPr>
          <w:p>
            <w:pPr>
              <w:ind w:left="0" w:leftChars="0" w:firstLine="0" w:firstLineChars="0"/>
              <w:jc w:val="both"/>
              <w:rPr>
                <w:rFonts w:hint="eastAsia"/>
                <w:sz w:val="21"/>
                <w:szCs w:val="21"/>
                <w:lang w:val="en-US" w:eastAsia="zh-CN"/>
              </w:rPr>
            </w:pPr>
            <w:r>
              <w:rPr>
                <w:rFonts w:hint="eastAsia"/>
                <w:sz w:val="21"/>
                <w:szCs w:val="21"/>
                <w:lang w:val="en-US" w:eastAsia="zh-CN"/>
              </w:rPr>
              <w:t>所有权证号</w:t>
            </w:r>
          </w:p>
        </w:tc>
        <w:tc>
          <w:tcPr>
            <w:tcW w:w="3434" w:type="dxa"/>
            <w:shd w:val="clear" w:color="auto" w:fill="auto"/>
            <w:vAlign w:val="center"/>
          </w:tcPr>
          <w:p>
            <w:pPr>
              <w:ind w:left="0" w:leftChars="0" w:firstLine="0" w:firstLineChars="0"/>
              <w:jc w:val="center"/>
              <w:rPr>
                <w:rFonts w:hint="eastAsia"/>
                <w:sz w:val="21"/>
                <w:szCs w:val="21"/>
                <w:lang w:val="en-US" w:eastAsia="zh-CN"/>
              </w:rPr>
            </w:pPr>
            <w:r>
              <w:rPr>
                <w:rFonts w:hint="eastAsia"/>
                <w:sz w:val="21"/>
                <w:szCs w:val="21"/>
                <w:lang w:val="en-US" w:eastAsia="zh-CN"/>
              </w:rPr>
              <w:t>房权证盖字第600091648号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0" w:type="dxa"/>
            <w:shd w:val="clear" w:color="auto" w:fill="auto"/>
            <w:vAlign w:val="center"/>
          </w:tcPr>
          <w:p>
            <w:pPr>
              <w:ind w:left="0" w:leftChars="0" w:firstLine="0" w:firstLineChars="0"/>
              <w:jc w:val="both"/>
              <w:rPr>
                <w:rFonts w:hint="eastAsia"/>
                <w:sz w:val="21"/>
                <w:szCs w:val="21"/>
                <w:lang w:val="en-US" w:eastAsia="zh-CN"/>
              </w:rPr>
            </w:pPr>
            <w:r>
              <w:rPr>
                <w:rFonts w:hint="eastAsia"/>
                <w:sz w:val="21"/>
                <w:szCs w:val="21"/>
                <w:lang w:val="en-US" w:eastAsia="zh-CN"/>
              </w:rPr>
              <w:t>土地使用年期</w:t>
            </w:r>
          </w:p>
        </w:tc>
        <w:tc>
          <w:tcPr>
            <w:tcW w:w="3090" w:type="dxa"/>
            <w:shd w:val="clear" w:color="auto" w:fill="auto"/>
            <w:vAlign w:val="center"/>
          </w:tcPr>
          <w:p>
            <w:pPr>
              <w:ind w:left="0" w:leftChars="0" w:firstLine="0" w:firstLineChars="0"/>
              <w:jc w:val="center"/>
              <w:rPr>
                <w:rFonts w:hint="eastAsia"/>
                <w:sz w:val="21"/>
                <w:szCs w:val="21"/>
                <w:lang w:eastAsia="zh-CN"/>
              </w:rPr>
            </w:pPr>
            <w:r>
              <w:rPr>
                <w:rFonts w:hint="eastAsia"/>
                <w:sz w:val="21"/>
                <w:szCs w:val="21"/>
                <w:lang w:val="en-US" w:eastAsia="zh-CN"/>
              </w:rPr>
              <w:t>-</w:t>
            </w:r>
          </w:p>
        </w:tc>
        <w:tc>
          <w:tcPr>
            <w:tcW w:w="1305" w:type="dxa"/>
            <w:shd w:val="clear" w:color="auto" w:fill="auto"/>
            <w:vAlign w:val="center"/>
          </w:tcPr>
          <w:p>
            <w:pPr>
              <w:ind w:left="0" w:leftChars="0" w:firstLine="0" w:firstLineChars="0"/>
              <w:jc w:val="both"/>
              <w:rPr>
                <w:rFonts w:hint="eastAsia"/>
                <w:sz w:val="21"/>
                <w:szCs w:val="21"/>
                <w:lang w:val="en-US" w:eastAsia="zh-CN"/>
              </w:rPr>
            </w:pPr>
            <w:r>
              <w:rPr>
                <w:rFonts w:hint="eastAsia"/>
                <w:sz w:val="21"/>
                <w:szCs w:val="21"/>
                <w:lang w:val="en-US" w:eastAsia="zh-CN"/>
              </w:rPr>
              <w:t>土地使用权取得方式</w:t>
            </w:r>
          </w:p>
        </w:tc>
        <w:tc>
          <w:tcPr>
            <w:tcW w:w="3434" w:type="dxa"/>
            <w:shd w:val="clear" w:color="auto" w:fill="auto"/>
            <w:vAlign w:val="center"/>
          </w:tcPr>
          <w:p>
            <w:pPr>
              <w:ind w:left="0" w:leftChars="0" w:firstLine="0" w:firstLineChars="0"/>
              <w:jc w:val="center"/>
              <w:rPr>
                <w:rFonts w:hint="eastAsia"/>
                <w:sz w:val="21"/>
                <w:szCs w:val="21"/>
                <w:lang w:val="en-US" w:eastAsia="zh-CN"/>
              </w:rPr>
            </w:pPr>
            <w:r>
              <w:rPr>
                <w:rFonts w:hint="eastAsia"/>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0" w:type="dxa"/>
            <w:shd w:val="clear" w:color="auto" w:fill="auto"/>
            <w:vAlign w:val="center"/>
          </w:tcPr>
          <w:p>
            <w:pPr>
              <w:ind w:left="0" w:leftChars="0" w:firstLine="0" w:firstLineChars="0"/>
              <w:jc w:val="center"/>
              <w:rPr>
                <w:rFonts w:hint="eastAsia"/>
                <w:sz w:val="21"/>
                <w:szCs w:val="21"/>
                <w:lang w:val="en-US" w:eastAsia="zh-CN"/>
              </w:rPr>
            </w:pPr>
            <w:r>
              <w:rPr>
                <w:rFonts w:hint="eastAsia"/>
                <w:sz w:val="21"/>
                <w:szCs w:val="21"/>
                <w:lang w:val="en-US" w:eastAsia="zh-CN"/>
              </w:rPr>
              <w:t>他项权利状况</w:t>
            </w:r>
          </w:p>
        </w:tc>
        <w:tc>
          <w:tcPr>
            <w:tcW w:w="7829" w:type="dxa"/>
            <w:gridSpan w:val="3"/>
            <w:shd w:val="clear" w:color="auto" w:fill="auto"/>
            <w:vAlign w:val="center"/>
          </w:tcPr>
          <w:p>
            <w:pPr>
              <w:ind w:left="0" w:leftChars="0" w:firstLine="0" w:firstLineChars="0"/>
              <w:jc w:val="center"/>
              <w:rPr>
                <w:rFonts w:hint="eastAsia"/>
                <w:sz w:val="21"/>
                <w:szCs w:val="21"/>
                <w:lang w:val="en-US" w:eastAsia="zh-CN"/>
              </w:rPr>
            </w:pPr>
            <w:r>
              <w:rPr>
                <w:rFonts w:hint="eastAsia"/>
                <w:sz w:val="21"/>
                <w:szCs w:val="21"/>
                <w:lang w:val="en-US" w:eastAsia="zh-CN"/>
              </w:rPr>
              <w:t>根据估价委托人提供的资料与了解得知，委估对象已被抵押且已查封，无法确定是否设立租赁权、地役权等他项权利限制等。</w:t>
            </w:r>
          </w:p>
        </w:tc>
      </w:tr>
    </w:tbl>
    <w:p>
      <w:pPr>
        <w:keepLines w:val="0"/>
        <w:pageBreakBefore w:val="0"/>
        <w:kinsoku/>
        <w:wordWrap/>
        <w:overflowPunct/>
        <w:topLinePunct w:val="0"/>
        <w:bidi w:val="0"/>
        <w:snapToGrid/>
        <w:spacing w:line="500" w:lineRule="exact"/>
        <w:ind w:firstLine="31680"/>
      </w:pPr>
      <w:bookmarkStart w:id="81" w:name="_Toc6704"/>
      <w:bookmarkStart w:id="82" w:name="_Toc508803766"/>
      <w:r>
        <w:t>(</w:t>
      </w:r>
      <w:r>
        <w:rPr>
          <w:rFonts w:hint="eastAsia"/>
        </w:rPr>
        <w:t>四</w:t>
      </w:r>
      <w:r>
        <w:t>)</w:t>
      </w:r>
      <w:r>
        <w:rPr>
          <w:rFonts w:hint="eastAsia"/>
        </w:rPr>
        <w:t>区位状况</w:t>
      </w:r>
      <w:bookmarkEnd w:id="81"/>
      <w:bookmarkEnd w:id="82"/>
    </w:p>
    <w:p>
      <w:pPr>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1"/>
        <w:rPr>
          <w:rFonts w:hint="eastAsia" w:ascii="华文中宋" w:hAnsi="华文中宋" w:eastAsia="华文中宋" w:cs="华文中宋"/>
          <w:sz w:val="24"/>
          <w:szCs w:val="24"/>
        </w:rPr>
      </w:pPr>
      <w:r>
        <w:rPr>
          <w:rFonts w:hint="eastAsia" w:ascii="华文中宋" w:hAnsi="华文中宋" w:eastAsia="华文中宋" w:cs="华文中宋"/>
          <w:sz w:val="24"/>
          <w:szCs w:val="24"/>
        </w:rPr>
        <w:t>1、位置</w:t>
      </w:r>
    </w:p>
    <w:p>
      <w:pPr>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1"/>
        <w:rPr>
          <w:rFonts w:hint="eastAsia" w:ascii="华文中宋" w:hAnsi="华文中宋" w:eastAsia="华文中宋" w:cs="华文中宋"/>
          <w:sz w:val="24"/>
          <w:szCs w:val="24"/>
        </w:rPr>
      </w:pPr>
      <w:r>
        <w:rPr>
          <w:rFonts w:hint="eastAsia" w:ascii="华文中宋" w:hAnsi="华文中宋" w:eastAsia="华文中宋" w:cs="华文中宋"/>
          <w:sz w:val="24"/>
          <w:szCs w:val="24"/>
        </w:rPr>
        <w:t>估价对象位于</w:t>
      </w:r>
      <w:r>
        <w:rPr>
          <w:rFonts w:hint="eastAsia" w:ascii="华文中宋" w:hAnsi="华文中宋" w:cs="华文中宋"/>
          <w:szCs w:val="24"/>
          <w:lang w:eastAsia="zh-CN"/>
        </w:rPr>
        <w:t>盖州市西城办事处站前社区华阳锦绣家园小区</w:t>
      </w:r>
      <w:r>
        <w:rPr>
          <w:rFonts w:hint="eastAsia" w:ascii="华文中宋" w:hAnsi="华文中宋" w:cs="华文中宋"/>
          <w:sz w:val="24"/>
          <w:szCs w:val="24"/>
          <w:lang w:eastAsia="zh-CN"/>
        </w:rPr>
        <w:t>16号楼1单元1101室</w:t>
      </w:r>
      <w:r>
        <w:rPr>
          <w:rFonts w:hint="eastAsia" w:ascii="华文中宋" w:hAnsi="华文中宋" w:eastAsia="华文中宋" w:cs="华文中宋"/>
          <w:sz w:val="24"/>
          <w:szCs w:val="24"/>
        </w:rPr>
        <w:t>。盖州地处沈大经济带中部，是国家批准的对外开放城市。东与岫岩县、庄河市相邻；南与大连市接壤；北临营口市和大石桥市；西濒辽东湾和营口经济技术开发区。</w:t>
      </w:r>
    </w:p>
    <w:p>
      <w:pPr>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1"/>
        <w:rPr>
          <w:rFonts w:hint="default" w:ascii="华文中宋" w:hAnsi="华文中宋" w:cs="华文中宋"/>
          <w:sz w:val="24"/>
          <w:szCs w:val="24"/>
          <w:lang w:eastAsia="zh-CN"/>
        </w:rPr>
      </w:pPr>
      <w:r>
        <w:rPr>
          <w:rFonts w:hint="default" w:ascii="华文中宋" w:hAnsi="华文中宋" w:cs="华文中宋"/>
          <w:sz w:val="24"/>
          <w:szCs w:val="24"/>
          <w:lang w:eastAsia="zh-CN"/>
        </w:rPr>
        <w:t>2、交通状况</w:t>
      </w:r>
    </w:p>
    <w:p>
      <w:pPr>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1"/>
        <w:rPr>
          <w:rFonts w:hint="default" w:ascii="华文中宋" w:hAnsi="华文中宋" w:cs="华文中宋"/>
          <w:sz w:val="24"/>
          <w:szCs w:val="24"/>
          <w:lang w:eastAsia="zh-CN"/>
        </w:rPr>
      </w:pPr>
      <w:r>
        <w:rPr>
          <w:rFonts w:hint="eastAsia" w:ascii="华文中宋" w:hAnsi="华文中宋" w:cs="华文中宋"/>
          <w:sz w:val="24"/>
          <w:szCs w:val="24"/>
          <w:lang w:eastAsia="zh-CN"/>
        </w:rPr>
        <w:t>盖州市距东北货物吞吐量最大港-营口港（鲅鱼圈港区）30公里，南距东北最大口岸大连港180公里。沈海高速公路、哈大高速铁路、黑大公路、长大铁路纵贯南北，庄盖高速、庄林公路、盖旺公路、盖瑗公路横贯东西；各级公路形成了四通八达的交通网。在铁路方面，哈大高铁设有盖州西站，长大铁路设有盖州站；在高速公路方面，沈海高速（G15）设有盖州、营口南、沙岗子进出站，西海服务区</w:t>
      </w:r>
      <w:r>
        <w:rPr>
          <w:rFonts w:hint="default" w:ascii="华文中宋" w:hAnsi="华文中宋" w:cs="华文中宋"/>
          <w:sz w:val="24"/>
          <w:szCs w:val="24"/>
          <w:lang w:eastAsia="zh-CN"/>
        </w:rPr>
        <w:t>。</w:t>
      </w:r>
    </w:p>
    <w:p>
      <w:pPr>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1"/>
        <w:rPr>
          <w:rFonts w:hint="default" w:ascii="华文中宋" w:hAnsi="华文中宋" w:cs="华文中宋"/>
          <w:sz w:val="24"/>
          <w:szCs w:val="24"/>
          <w:lang w:eastAsia="zh-CN"/>
        </w:rPr>
      </w:pPr>
      <w:r>
        <w:rPr>
          <w:rFonts w:hint="default" w:ascii="华文中宋" w:hAnsi="华文中宋" w:cs="华文中宋"/>
          <w:sz w:val="24"/>
          <w:szCs w:val="24"/>
          <w:lang w:eastAsia="zh-CN"/>
        </w:rPr>
        <w:t>3、繁华程度</w:t>
      </w:r>
    </w:p>
    <w:p>
      <w:pPr>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1"/>
        <w:rPr>
          <w:rFonts w:hint="default" w:ascii="华文中宋" w:hAnsi="华文中宋" w:cs="华文中宋"/>
          <w:sz w:val="24"/>
          <w:szCs w:val="24"/>
          <w:lang w:eastAsia="zh-CN"/>
        </w:rPr>
      </w:pPr>
      <w:r>
        <w:rPr>
          <w:rFonts w:hint="default" w:ascii="华文中宋" w:hAnsi="华文中宋" w:cs="华文中宋"/>
          <w:sz w:val="24"/>
          <w:szCs w:val="24"/>
          <w:lang w:eastAsia="zh-CN"/>
        </w:rPr>
        <w:t>估价对象所在区域商业市场开发成熟较优，周边娱乐休闲配套设施齐全；区域内商服网点呈条形、点状分部，商业繁华程度较优。</w:t>
      </w:r>
    </w:p>
    <w:p>
      <w:pPr>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1"/>
        <w:rPr>
          <w:rFonts w:hint="default" w:ascii="华文中宋" w:hAnsi="华文中宋" w:cs="华文中宋"/>
          <w:sz w:val="24"/>
          <w:szCs w:val="24"/>
          <w:lang w:eastAsia="zh-CN"/>
        </w:rPr>
      </w:pPr>
      <w:r>
        <w:rPr>
          <w:rFonts w:hint="default" w:ascii="华文中宋" w:hAnsi="华文中宋" w:cs="华文中宋"/>
          <w:sz w:val="24"/>
          <w:szCs w:val="24"/>
          <w:lang w:eastAsia="zh-CN"/>
        </w:rPr>
        <w:t>4、基础设施</w:t>
      </w:r>
    </w:p>
    <w:p>
      <w:pPr>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1"/>
        <w:rPr>
          <w:rFonts w:hint="default" w:ascii="华文中宋" w:hAnsi="华文中宋" w:cs="华文中宋"/>
          <w:sz w:val="24"/>
          <w:szCs w:val="24"/>
          <w:lang w:eastAsia="zh-CN"/>
        </w:rPr>
      </w:pPr>
      <w:r>
        <w:rPr>
          <w:rFonts w:hint="default" w:ascii="华文中宋" w:hAnsi="华文中宋" w:cs="华文中宋"/>
          <w:sz w:val="24"/>
          <w:szCs w:val="24"/>
          <w:lang w:eastAsia="zh-CN"/>
        </w:rPr>
        <w:t>估价对象区域内供电、供水、排水状况较好；电话装机容量大，通讯终端多，电讯条件优，暖气供应状况较优，故基础设施配套齐全。</w:t>
      </w:r>
    </w:p>
    <w:p>
      <w:pPr>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1"/>
        <w:rPr>
          <w:rFonts w:hint="default" w:ascii="华文中宋" w:hAnsi="华文中宋" w:cs="华文中宋"/>
          <w:sz w:val="24"/>
          <w:szCs w:val="24"/>
          <w:lang w:eastAsia="zh-CN"/>
        </w:rPr>
      </w:pPr>
      <w:r>
        <w:rPr>
          <w:rFonts w:hint="default" w:ascii="华文中宋" w:hAnsi="华文中宋" w:cs="华文中宋"/>
          <w:sz w:val="24"/>
          <w:szCs w:val="24"/>
          <w:lang w:eastAsia="zh-CN"/>
        </w:rPr>
        <w:t>5、公共服务设施</w:t>
      </w:r>
    </w:p>
    <w:p>
      <w:pPr>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1"/>
        <w:rPr>
          <w:rFonts w:hint="default" w:ascii="华文中宋" w:hAnsi="华文中宋" w:cs="华文中宋"/>
          <w:sz w:val="24"/>
          <w:szCs w:val="24"/>
          <w:lang w:eastAsia="zh-CN"/>
        </w:rPr>
      </w:pPr>
      <w:r>
        <w:rPr>
          <w:rFonts w:hint="default" w:ascii="华文中宋" w:hAnsi="华文中宋" w:cs="华文中宋"/>
          <w:sz w:val="24"/>
          <w:szCs w:val="24"/>
          <w:lang w:eastAsia="zh-CN"/>
        </w:rPr>
        <w:t>估价对象所在区域有学校、医疗设施状况较优，区域内有银行网点、社区服务站等公共服务设施均有设立，故区域内的公共服务设施齐全。</w:t>
      </w:r>
    </w:p>
    <w:p>
      <w:pPr>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1"/>
        <w:rPr>
          <w:rFonts w:hint="default" w:ascii="华文中宋" w:hAnsi="华文中宋" w:cs="华文中宋"/>
          <w:sz w:val="24"/>
          <w:szCs w:val="24"/>
          <w:lang w:eastAsia="zh-CN"/>
        </w:rPr>
      </w:pPr>
      <w:r>
        <w:rPr>
          <w:rFonts w:hint="default" w:ascii="华文中宋" w:hAnsi="华文中宋" w:cs="华文中宋"/>
          <w:sz w:val="24"/>
          <w:szCs w:val="24"/>
          <w:lang w:eastAsia="zh-CN"/>
        </w:rPr>
        <w:t>6、周围环境与景观</w:t>
      </w:r>
    </w:p>
    <w:p>
      <w:pPr>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1"/>
        <w:rPr>
          <w:rFonts w:hint="default" w:ascii="华文中宋" w:hAnsi="华文中宋" w:cs="华文中宋"/>
          <w:sz w:val="24"/>
          <w:szCs w:val="24"/>
          <w:lang w:eastAsia="zh-CN"/>
        </w:rPr>
      </w:pPr>
      <w:r>
        <w:rPr>
          <w:rFonts w:hint="default" w:ascii="华文中宋" w:hAnsi="华文中宋" w:cs="华文中宋"/>
          <w:sz w:val="24"/>
          <w:szCs w:val="24"/>
          <w:lang w:eastAsia="zh-CN"/>
        </w:rPr>
        <w:t>（1）自然环境：周边环境一般，有轻微的空气、噪声等污染，环境卫生状况一般。</w:t>
      </w:r>
    </w:p>
    <w:p>
      <w:pPr>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1"/>
        <w:rPr>
          <w:rFonts w:hint="default" w:ascii="华文中宋" w:hAnsi="华文中宋" w:cs="华文中宋"/>
          <w:sz w:val="24"/>
          <w:szCs w:val="24"/>
          <w:lang w:eastAsia="zh-CN"/>
        </w:rPr>
      </w:pPr>
      <w:r>
        <w:rPr>
          <w:rFonts w:hint="default" w:ascii="华文中宋" w:hAnsi="华文中宋" w:cs="华文中宋"/>
          <w:sz w:val="24"/>
          <w:szCs w:val="24"/>
          <w:lang w:eastAsia="zh-CN"/>
        </w:rPr>
        <w:t>（2）人文环境：估价对象所在区域居民受教育程度较高；治安状况较好；人文环境较优。</w:t>
      </w:r>
    </w:p>
    <w:p>
      <w:pPr>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1"/>
        <w:rPr>
          <w:rFonts w:hint="default" w:ascii="华文中宋" w:hAnsi="华文中宋" w:cs="华文中宋"/>
          <w:sz w:val="24"/>
          <w:szCs w:val="24"/>
          <w:lang w:eastAsia="zh-CN"/>
        </w:rPr>
      </w:pPr>
      <w:r>
        <w:rPr>
          <w:rFonts w:hint="default" w:ascii="华文中宋" w:hAnsi="华文中宋" w:cs="华文中宋"/>
          <w:sz w:val="24"/>
          <w:szCs w:val="24"/>
          <w:lang w:eastAsia="zh-CN"/>
        </w:rPr>
        <w:t>（3）景观：盖州旅游资源丰富奇彩。境内古迹众多，景观迷人。已初步形成“一城一泉三山三海”观光旅游格局。国家级文物远古石棚、明朝玄真观虽历经沧桑，仍风韵犹存。赤山、青龙山、雪帽山景色秀丽，引人入胜。白沙湾、仙人岛、北海浪缓沙细，风光怡人，是观光、旅游、度假的佳地。</w:t>
      </w:r>
    </w:p>
    <w:p>
      <w:pPr>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1"/>
      </w:pPr>
      <w:r>
        <w:rPr>
          <w:rFonts w:hint="eastAsia" w:ascii="华文中宋" w:hAnsi="华文中宋" w:cs="华文中宋"/>
          <w:sz w:val="24"/>
          <w:szCs w:val="24"/>
          <w:lang w:eastAsia="zh-CN"/>
        </w:rPr>
        <w:t>7、楼层与朝向：建筑物朝向为南北通透，总建筑层数为</w:t>
      </w:r>
      <w:r>
        <w:rPr>
          <w:rFonts w:hint="eastAsia" w:ascii="华文中宋" w:hAnsi="华文中宋" w:cs="华文中宋"/>
          <w:sz w:val="24"/>
          <w:szCs w:val="24"/>
          <w:lang w:val="en-US" w:eastAsia="zh-CN"/>
        </w:rPr>
        <w:t>17层，</w:t>
      </w:r>
      <w:r>
        <w:rPr>
          <w:rFonts w:hint="eastAsia" w:ascii="华文中宋" w:hAnsi="华文中宋" w:cs="华文中宋"/>
          <w:sz w:val="24"/>
          <w:szCs w:val="24"/>
          <w:lang w:eastAsia="zh-CN"/>
        </w:rPr>
        <w:t>所在层数</w:t>
      </w:r>
      <w:r>
        <w:rPr>
          <w:rFonts w:hint="eastAsia" w:ascii="华文中宋" w:hAnsi="华文中宋" w:eastAsia="华文中宋" w:cs="华文中宋"/>
          <w:sz w:val="24"/>
          <w:szCs w:val="24"/>
        </w:rPr>
        <w:t>为</w:t>
      </w:r>
      <w:r>
        <w:rPr>
          <w:rFonts w:hint="eastAsia" w:ascii="华文中宋" w:hAnsi="华文中宋" w:cs="华文中宋"/>
          <w:sz w:val="24"/>
          <w:szCs w:val="24"/>
          <w:lang w:val="en-US" w:eastAsia="zh-CN"/>
        </w:rPr>
        <w:t>11</w:t>
      </w:r>
      <w:r>
        <w:rPr>
          <w:rFonts w:hint="eastAsia" w:ascii="华文中宋" w:hAnsi="华文中宋" w:eastAsia="华文中宋" w:cs="华文中宋"/>
          <w:sz w:val="24"/>
          <w:szCs w:val="24"/>
        </w:rPr>
        <w:t>层</w:t>
      </w:r>
      <w:r>
        <w:rPr>
          <w:rFonts w:hint="eastAsia" w:ascii="Calibri" w:hAnsi="Calibri" w:eastAsia="华文中宋" w:cs="Times New Roman"/>
          <w:kern w:val="2"/>
          <w:sz w:val="24"/>
          <w:szCs w:val="22"/>
          <w:lang w:val="en-US" w:eastAsia="zh-CN" w:bidi="ar-SA"/>
        </w:rPr>
        <w:t>。</w:t>
      </w:r>
    </w:p>
    <w:p>
      <w:pPr>
        <w:pStyle w:val="3"/>
        <w:keepLines w:val="0"/>
        <w:pageBreakBefore w:val="0"/>
        <w:kinsoku/>
        <w:wordWrap/>
        <w:overflowPunct/>
        <w:topLinePunct w:val="0"/>
        <w:bidi w:val="0"/>
        <w:snapToGrid/>
        <w:spacing w:line="500" w:lineRule="exact"/>
        <w:ind w:left="0" w:leftChars="0" w:right="0" w:rightChars="0"/>
      </w:pPr>
      <w:bookmarkStart w:id="83" w:name="_Toc409772457"/>
      <w:bookmarkStart w:id="84" w:name="_Toc410379055"/>
      <w:bookmarkStart w:id="85" w:name="_Toc429557858"/>
      <w:bookmarkStart w:id="86" w:name="_Toc415039136"/>
      <w:bookmarkStart w:id="87" w:name="_Toc428348797"/>
      <w:bookmarkStart w:id="88" w:name="_Toc508803783"/>
      <w:bookmarkStart w:id="89" w:name="_Toc31880"/>
      <w:bookmarkStart w:id="90" w:name="_Toc449598316"/>
      <w:bookmarkStart w:id="91" w:name="_Toc30701"/>
      <w:bookmarkStart w:id="92" w:name="_Toc4159"/>
      <w:bookmarkStart w:id="93" w:name="_Toc452121204"/>
      <w:r>
        <w:rPr>
          <w:rFonts w:hint="eastAsia"/>
        </w:rPr>
        <w:t>五、价值</w:t>
      </w:r>
      <w:bookmarkEnd w:id="83"/>
      <w:bookmarkEnd w:id="84"/>
      <w:bookmarkEnd w:id="85"/>
      <w:bookmarkEnd w:id="86"/>
      <w:bookmarkEnd w:id="87"/>
      <w:r>
        <w:rPr>
          <w:rFonts w:hint="eastAsia"/>
        </w:rPr>
        <w:t>时点</w:t>
      </w:r>
      <w:bookmarkEnd w:id="88"/>
      <w:bookmarkEnd w:id="89"/>
      <w:bookmarkEnd w:id="90"/>
      <w:bookmarkEnd w:id="91"/>
      <w:bookmarkEnd w:id="92"/>
      <w:bookmarkEnd w:id="93"/>
    </w:p>
    <w:p>
      <w:pPr>
        <w:keepLines w:val="0"/>
        <w:pageBreakBefore w:val="0"/>
        <w:kinsoku/>
        <w:wordWrap/>
        <w:overflowPunct/>
        <w:topLinePunct w:val="0"/>
        <w:bidi w:val="0"/>
        <w:snapToGrid/>
        <w:spacing w:line="500" w:lineRule="exact"/>
        <w:ind w:left="0" w:leftChars="0" w:right="0" w:rightChars="0" w:firstLine="31680"/>
        <w:rPr>
          <w:rFonts w:hint="eastAsia" w:eastAsia="华文中宋"/>
          <w:lang w:eastAsia="zh-CN"/>
        </w:rPr>
      </w:pPr>
      <w:r>
        <w:rPr>
          <w:rFonts w:hint="eastAsia"/>
          <w:lang w:eastAsia="zh-CN"/>
        </w:rPr>
        <w:t>2018年12月24日</w:t>
      </w:r>
    </w:p>
    <w:p>
      <w:pPr>
        <w:keepLines w:val="0"/>
        <w:pageBreakBefore w:val="0"/>
        <w:kinsoku/>
        <w:wordWrap/>
        <w:overflowPunct/>
        <w:topLinePunct w:val="0"/>
        <w:bidi w:val="0"/>
        <w:snapToGrid/>
        <w:spacing w:line="500" w:lineRule="exact"/>
        <w:ind w:left="0" w:leftChars="0" w:right="0" w:rightChars="0" w:firstLine="31680"/>
      </w:pPr>
      <w:r>
        <w:rPr>
          <w:rFonts w:hint="eastAsia"/>
        </w:rPr>
        <w:t>确定价值时点的理由或成立的条件：</w:t>
      </w:r>
    </w:p>
    <w:p>
      <w:pPr>
        <w:keepLines w:val="0"/>
        <w:pageBreakBefore w:val="0"/>
        <w:kinsoku/>
        <w:wordWrap/>
        <w:overflowPunct/>
        <w:topLinePunct w:val="0"/>
        <w:bidi w:val="0"/>
        <w:snapToGrid/>
        <w:spacing w:line="500" w:lineRule="exact"/>
        <w:ind w:left="0" w:leftChars="0" w:right="0" w:rightChars="0" w:firstLine="31680"/>
      </w:pPr>
      <w:r>
        <w:t>1</w:t>
      </w:r>
      <w:r>
        <w:rPr>
          <w:rFonts w:hint="eastAsia"/>
        </w:rPr>
        <w:t>、委托方与受托方以查勘日时点为准，经双方协商后确定；</w:t>
      </w:r>
    </w:p>
    <w:p>
      <w:pPr>
        <w:keepLines w:val="0"/>
        <w:pageBreakBefore w:val="0"/>
        <w:kinsoku/>
        <w:wordWrap/>
        <w:overflowPunct/>
        <w:topLinePunct w:val="0"/>
        <w:bidi w:val="0"/>
        <w:snapToGrid/>
        <w:spacing w:line="500" w:lineRule="exact"/>
        <w:ind w:left="0" w:leftChars="0" w:right="0" w:rightChars="0" w:firstLine="31680"/>
      </w:pPr>
      <w:r>
        <w:t>2</w:t>
      </w:r>
      <w:r>
        <w:rPr>
          <w:rFonts w:hint="eastAsia"/>
        </w:rPr>
        <w:t>、选择与现场勘察相近的日期作为价值时点能更好地把握估价对象的实际情况；</w:t>
      </w:r>
    </w:p>
    <w:p>
      <w:pPr>
        <w:keepLines w:val="0"/>
        <w:pageBreakBefore w:val="0"/>
        <w:kinsoku/>
        <w:wordWrap/>
        <w:overflowPunct/>
        <w:topLinePunct w:val="0"/>
        <w:bidi w:val="0"/>
        <w:snapToGrid/>
        <w:spacing w:line="500" w:lineRule="exact"/>
        <w:ind w:left="0" w:leftChars="0" w:right="0" w:rightChars="0" w:firstLine="31680"/>
      </w:pPr>
      <w:r>
        <w:t>3</w:t>
      </w:r>
      <w:r>
        <w:rPr>
          <w:rFonts w:hint="eastAsia"/>
        </w:rPr>
        <w:t>、实施本项目评估计划标准是遵循价值时点原则。</w:t>
      </w:r>
    </w:p>
    <w:p>
      <w:pPr>
        <w:pStyle w:val="3"/>
        <w:keepLines w:val="0"/>
        <w:pageBreakBefore w:val="0"/>
        <w:kinsoku/>
        <w:wordWrap/>
        <w:overflowPunct/>
        <w:topLinePunct w:val="0"/>
        <w:bidi w:val="0"/>
        <w:snapToGrid/>
        <w:spacing w:line="500" w:lineRule="exact"/>
        <w:ind w:left="0" w:leftChars="0" w:right="0" w:rightChars="0"/>
      </w:pPr>
      <w:bookmarkStart w:id="94" w:name="_Toc508803784"/>
      <w:bookmarkStart w:id="95" w:name="_Toc449598317"/>
      <w:bookmarkStart w:id="96" w:name="_Toc415039137"/>
      <w:bookmarkStart w:id="97" w:name="_Toc409772458"/>
      <w:bookmarkStart w:id="98" w:name="_Toc410379056"/>
      <w:bookmarkStart w:id="99" w:name="_Toc5304"/>
      <w:bookmarkStart w:id="100" w:name="_Toc428348798"/>
      <w:bookmarkStart w:id="101" w:name="_Toc29005"/>
      <w:bookmarkStart w:id="102" w:name="_Toc429557859"/>
      <w:bookmarkStart w:id="103" w:name="_Toc16675"/>
      <w:bookmarkStart w:id="104" w:name="_Toc452121205"/>
      <w:r>
        <w:rPr>
          <w:rFonts w:hint="eastAsia"/>
        </w:rPr>
        <w:t>六、价值类型</w:t>
      </w:r>
      <w:bookmarkEnd w:id="94"/>
      <w:bookmarkEnd w:id="95"/>
      <w:bookmarkEnd w:id="96"/>
      <w:bookmarkEnd w:id="97"/>
      <w:bookmarkEnd w:id="98"/>
      <w:bookmarkEnd w:id="99"/>
      <w:bookmarkEnd w:id="100"/>
      <w:bookmarkEnd w:id="101"/>
      <w:bookmarkEnd w:id="102"/>
      <w:bookmarkEnd w:id="103"/>
      <w:bookmarkEnd w:id="104"/>
    </w:p>
    <w:p>
      <w:pPr>
        <w:keepLines w:val="0"/>
        <w:pageBreakBefore w:val="0"/>
        <w:kinsoku/>
        <w:wordWrap/>
        <w:overflowPunct/>
        <w:topLinePunct w:val="0"/>
        <w:bidi w:val="0"/>
        <w:snapToGrid/>
        <w:spacing w:line="500" w:lineRule="exact"/>
        <w:ind w:left="0" w:leftChars="0" w:right="0" w:rightChars="0" w:firstLine="31680"/>
      </w:pPr>
      <w:bookmarkStart w:id="105" w:name="_Toc229213370"/>
      <w:r>
        <w:rPr>
          <w:rFonts w:hint="eastAsia"/>
        </w:rPr>
        <w:t>本次房地产估价价值类型为市场价值。</w:t>
      </w:r>
    </w:p>
    <w:p>
      <w:pPr>
        <w:keepLines w:val="0"/>
        <w:pageBreakBefore w:val="0"/>
        <w:kinsoku/>
        <w:wordWrap/>
        <w:overflowPunct/>
        <w:topLinePunct w:val="0"/>
        <w:bidi w:val="0"/>
        <w:snapToGrid/>
        <w:spacing w:line="500" w:lineRule="exact"/>
        <w:ind w:left="0" w:leftChars="0" w:right="0" w:rightChars="0" w:firstLine="31680"/>
      </w:pPr>
      <w:r>
        <w:rPr>
          <w:rFonts w:hint="eastAsia"/>
        </w:rPr>
        <w:t>市场价值：由熟悉情况、谨慎行事且不受强迫的交易双方，以公平交易方式在价值时点自愿进行交易的金额。</w:t>
      </w:r>
    </w:p>
    <w:p>
      <w:pPr>
        <w:pStyle w:val="3"/>
        <w:keepLines w:val="0"/>
        <w:pageBreakBefore w:val="0"/>
        <w:kinsoku/>
        <w:wordWrap/>
        <w:overflowPunct/>
        <w:topLinePunct w:val="0"/>
        <w:bidi w:val="0"/>
        <w:snapToGrid/>
        <w:spacing w:line="500" w:lineRule="exact"/>
        <w:ind w:left="0" w:leftChars="0" w:right="0" w:rightChars="0"/>
      </w:pPr>
      <w:bookmarkStart w:id="106" w:name="_Toc410379057"/>
      <w:bookmarkStart w:id="107" w:name="_Toc452121206"/>
      <w:bookmarkStart w:id="108" w:name="_Toc415039138"/>
      <w:bookmarkStart w:id="109" w:name="_Toc409772459"/>
      <w:bookmarkStart w:id="110" w:name="_Toc14003"/>
      <w:bookmarkStart w:id="111" w:name="_Toc508803785"/>
      <w:bookmarkStart w:id="112" w:name="_Toc428348799"/>
      <w:bookmarkStart w:id="113" w:name="_Toc429557860"/>
      <w:bookmarkStart w:id="114" w:name="_Toc8652"/>
      <w:bookmarkStart w:id="115" w:name="_Toc18610"/>
      <w:bookmarkStart w:id="116" w:name="_Toc449598318"/>
      <w:r>
        <w:rPr>
          <w:rFonts w:hint="eastAsia"/>
        </w:rPr>
        <w:t>七、估</w:t>
      </w:r>
      <w:bookmarkEnd w:id="105"/>
      <w:r>
        <w:rPr>
          <w:rFonts w:hint="eastAsia"/>
        </w:rPr>
        <w:t>价原则</w:t>
      </w:r>
      <w:bookmarkEnd w:id="106"/>
      <w:bookmarkEnd w:id="107"/>
      <w:bookmarkEnd w:id="108"/>
      <w:bookmarkEnd w:id="109"/>
      <w:bookmarkEnd w:id="110"/>
      <w:bookmarkEnd w:id="111"/>
      <w:bookmarkEnd w:id="112"/>
      <w:bookmarkEnd w:id="113"/>
      <w:bookmarkEnd w:id="114"/>
      <w:bookmarkEnd w:id="115"/>
      <w:bookmarkEnd w:id="116"/>
    </w:p>
    <w:p>
      <w:pPr>
        <w:keepLines w:val="0"/>
        <w:pageBreakBefore w:val="0"/>
        <w:kinsoku/>
        <w:wordWrap/>
        <w:overflowPunct/>
        <w:topLinePunct w:val="0"/>
        <w:bidi w:val="0"/>
        <w:snapToGrid/>
        <w:spacing w:line="500" w:lineRule="exact"/>
        <w:ind w:left="0" w:leftChars="0" w:right="0" w:rightChars="0" w:firstLine="31680"/>
      </w:pPr>
      <w:r>
        <w:t>1</w:t>
      </w:r>
      <w:r>
        <w:rPr>
          <w:rFonts w:hint="eastAsia"/>
        </w:rPr>
        <w:t>、独立、客观、公正原则：评估价值应为各方估价利害关系人均是公平合理的价值或价格。</w:t>
      </w:r>
    </w:p>
    <w:p>
      <w:pPr>
        <w:keepLines w:val="0"/>
        <w:pageBreakBefore w:val="0"/>
        <w:kinsoku/>
        <w:wordWrap/>
        <w:overflowPunct/>
        <w:topLinePunct w:val="0"/>
        <w:bidi w:val="0"/>
        <w:snapToGrid/>
        <w:spacing w:line="500" w:lineRule="exact"/>
        <w:ind w:left="0" w:leftChars="0" w:right="0" w:rightChars="0" w:firstLine="31680"/>
      </w:pPr>
      <w:r>
        <w:t>2</w:t>
      </w:r>
      <w:r>
        <w:rPr>
          <w:rFonts w:hint="eastAsia"/>
        </w:rPr>
        <w:t>、合法原则：评估价值应为在依法判定的估价对象状况下的价值或价格。</w:t>
      </w:r>
    </w:p>
    <w:p>
      <w:pPr>
        <w:keepLines w:val="0"/>
        <w:pageBreakBefore w:val="0"/>
        <w:kinsoku/>
        <w:wordWrap/>
        <w:overflowPunct/>
        <w:topLinePunct w:val="0"/>
        <w:bidi w:val="0"/>
        <w:snapToGrid/>
        <w:spacing w:line="500" w:lineRule="exact"/>
        <w:ind w:left="0" w:leftChars="0" w:right="0" w:rightChars="0" w:firstLine="31680"/>
      </w:pPr>
      <w:r>
        <w:t>3</w:t>
      </w:r>
      <w:r>
        <w:rPr>
          <w:rFonts w:hint="eastAsia"/>
        </w:rPr>
        <w:t>、价值时点原则：评估价值应为在根据估价目的确定的某一特定时间的价值或价格。</w:t>
      </w:r>
    </w:p>
    <w:p>
      <w:pPr>
        <w:keepLines w:val="0"/>
        <w:pageBreakBefore w:val="0"/>
        <w:kinsoku/>
        <w:wordWrap/>
        <w:overflowPunct/>
        <w:topLinePunct w:val="0"/>
        <w:bidi w:val="0"/>
        <w:snapToGrid/>
        <w:spacing w:line="500" w:lineRule="exact"/>
        <w:ind w:left="0" w:leftChars="0" w:right="0" w:rightChars="0" w:firstLine="31680"/>
      </w:pPr>
      <w:r>
        <w:t>4</w:t>
      </w:r>
      <w:r>
        <w:rPr>
          <w:rFonts w:hint="eastAsia"/>
        </w:rPr>
        <w:t>、替代原则：评估价值与估价对象的类似房地产在同等条件下的价值或价格偏差应在合理范围内。</w:t>
      </w:r>
    </w:p>
    <w:p>
      <w:pPr>
        <w:keepLines w:val="0"/>
        <w:pageBreakBefore w:val="0"/>
        <w:kinsoku/>
        <w:wordWrap/>
        <w:overflowPunct/>
        <w:topLinePunct w:val="0"/>
        <w:bidi w:val="0"/>
        <w:snapToGrid/>
        <w:spacing w:line="500" w:lineRule="exact"/>
        <w:ind w:left="0" w:leftChars="0" w:right="0" w:rightChars="0" w:firstLine="31680"/>
      </w:pPr>
      <w:r>
        <w:t>5</w:t>
      </w:r>
      <w:r>
        <w:rPr>
          <w:rFonts w:hint="eastAsia"/>
        </w:rPr>
        <w:t>、最高最佳利用原则：评估价值应为在估价对象最高最佳利用状况下的价值或价格。【最高最佳利用：包括最佳的用途、规模和档次，应按法律上允许、技术上可能、财务上可行、价值最大化的次序进行分析、筛选或判断确定。】</w:t>
      </w:r>
    </w:p>
    <w:p>
      <w:pPr>
        <w:pStyle w:val="3"/>
        <w:keepLines w:val="0"/>
        <w:pageBreakBefore w:val="0"/>
        <w:kinsoku/>
        <w:wordWrap/>
        <w:overflowPunct/>
        <w:topLinePunct w:val="0"/>
        <w:bidi w:val="0"/>
        <w:snapToGrid/>
        <w:spacing w:line="500" w:lineRule="exact"/>
        <w:ind w:left="0" w:leftChars="0" w:right="0" w:rightChars="0"/>
      </w:pPr>
      <w:bookmarkStart w:id="117" w:name="_Toc229213371"/>
      <w:bookmarkStart w:id="118" w:name="_Toc415039139"/>
      <w:bookmarkStart w:id="119" w:name="_Toc409772460"/>
      <w:bookmarkStart w:id="120" w:name="_Toc428348800"/>
      <w:bookmarkStart w:id="121" w:name="_Toc449598319"/>
      <w:bookmarkStart w:id="122" w:name="_Toc410379058"/>
      <w:bookmarkStart w:id="123" w:name="_Toc8413"/>
      <w:bookmarkStart w:id="124" w:name="_Toc13592"/>
      <w:bookmarkStart w:id="125" w:name="_Toc429557861"/>
      <w:bookmarkStart w:id="126" w:name="_Toc12808"/>
      <w:bookmarkStart w:id="127" w:name="_Toc452121207"/>
      <w:bookmarkStart w:id="128" w:name="_Toc508803786"/>
      <w:r>
        <w:rPr>
          <w:rFonts w:hint="eastAsia"/>
        </w:rPr>
        <w:t>八、估价</w:t>
      </w:r>
      <w:bookmarkEnd w:id="117"/>
      <w:r>
        <w:rPr>
          <w:rFonts w:hint="eastAsia"/>
        </w:rPr>
        <w:t>依据</w:t>
      </w:r>
      <w:bookmarkEnd w:id="118"/>
      <w:bookmarkEnd w:id="119"/>
      <w:bookmarkEnd w:id="120"/>
      <w:bookmarkEnd w:id="121"/>
      <w:bookmarkEnd w:id="122"/>
      <w:bookmarkEnd w:id="123"/>
      <w:bookmarkEnd w:id="124"/>
      <w:bookmarkEnd w:id="125"/>
      <w:bookmarkEnd w:id="126"/>
      <w:bookmarkEnd w:id="127"/>
      <w:bookmarkEnd w:id="128"/>
    </w:p>
    <w:p>
      <w:pPr>
        <w:pStyle w:val="4"/>
        <w:keepLines w:val="0"/>
        <w:pageBreakBefore w:val="0"/>
        <w:kinsoku/>
        <w:wordWrap/>
        <w:overflowPunct/>
        <w:topLinePunct w:val="0"/>
        <w:bidi w:val="0"/>
        <w:snapToGrid/>
        <w:spacing w:line="500" w:lineRule="exact"/>
        <w:ind w:left="0" w:leftChars="0" w:right="0" w:rightChars="0"/>
      </w:pPr>
      <w:r>
        <w:rPr>
          <w:rFonts w:hint="eastAsia" w:ascii="宋体" w:hAnsi="宋体"/>
          <w:sz w:val="24"/>
          <w:szCs w:val="24"/>
          <w:lang w:val="en-US" w:eastAsia="zh-CN"/>
        </w:rPr>
        <w:t>1、</w:t>
      </w:r>
      <w:r>
        <w:rPr>
          <w:rFonts w:hint="eastAsia" w:ascii="宋体" w:hAnsi="宋体"/>
          <w:sz w:val="24"/>
          <w:szCs w:val="24"/>
        </w:rPr>
        <w:t>根据国家、</w:t>
      </w:r>
      <w:r>
        <w:rPr>
          <w:rFonts w:hint="eastAsia" w:ascii="宋体" w:hAnsi="宋体"/>
          <w:sz w:val="24"/>
          <w:szCs w:val="24"/>
          <w:lang w:eastAsia="zh-CN"/>
        </w:rPr>
        <w:t>辽宁省</w:t>
      </w:r>
      <w:r>
        <w:rPr>
          <w:rFonts w:hint="eastAsia" w:ascii="宋体" w:hAnsi="宋体"/>
          <w:sz w:val="24"/>
          <w:szCs w:val="24"/>
        </w:rPr>
        <w:t>人民政府及其有关部门颁布的有关法规和政策，委托方提供的有关资料，以及本公司具有法定资格的专业评估人员实地勘察、调查获得的资料。</w:t>
      </w:r>
      <w:r>
        <w:rPr>
          <w:rFonts w:hint="eastAsia"/>
        </w:rPr>
        <w:t>国家法律、法规</w:t>
      </w:r>
      <w:r>
        <w:rPr>
          <w:rFonts w:hint="eastAsia" w:ascii="宋体" w:hAnsi="宋体"/>
          <w:sz w:val="24"/>
          <w:szCs w:val="24"/>
        </w:rPr>
        <w:t>主要如下：</w:t>
      </w:r>
    </w:p>
    <w:p>
      <w:pPr>
        <w:keepLines w:val="0"/>
        <w:pageBreakBefore w:val="0"/>
        <w:widowControl w:val="0"/>
        <w:kinsoku/>
        <w:wordWrap/>
        <w:overflowPunct/>
        <w:topLinePunct w:val="0"/>
        <w:bidi w:val="0"/>
        <w:snapToGrid/>
        <w:spacing w:line="500" w:lineRule="exact"/>
        <w:ind w:firstLine="31680"/>
      </w:pPr>
      <w:r>
        <w:t>(1)</w:t>
      </w:r>
      <w:r>
        <w:rPr>
          <w:rFonts w:hint="eastAsia"/>
        </w:rPr>
        <w:t>《中华人民共和国物权法》</w:t>
      </w:r>
      <w:r>
        <w:t>(</w:t>
      </w:r>
      <w:r>
        <w:rPr>
          <w:rFonts w:hint="eastAsia"/>
        </w:rPr>
        <w:t>中国人民共和国主席令第六十二号</w:t>
      </w:r>
      <w:r>
        <w:t>)[</w:t>
      </w:r>
      <w:r>
        <w:rPr>
          <w:rFonts w:hint="eastAsia"/>
        </w:rPr>
        <w:t>中华人民共和国第十届全国人民代表大会常务委员会第五次会议于</w:t>
      </w:r>
      <w:r>
        <w:t>2007</w:t>
      </w:r>
      <w:r>
        <w:rPr>
          <w:rFonts w:hint="eastAsia"/>
        </w:rPr>
        <w:t>年</w:t>
      </w:r>
      <w:r>
        <w:t>3</w:t>
      </w:r>
      <w:r>
        <w:rPr>
          <w:rFonts w:hint="eastAsia"/>
        </w:rPr>
        <w:t>月</w:t>
      </w:r>
      <w:r>
        <w:t>16</w:t>
      </w:r>
      <w:r>
        <w:rPr>
          <w:rFonts w:hint="eastAsia"/>
        </w:rPr>
        <w:t>日通过，自公布之日超施行</w:t>
      </w:r>
      <w:r>
        <w:t>]</w:t>
      </w:r>
      <w:r>
        <w:rPr>
          <w:rFonts w:hint="eastAsia"/>
        </w:rPr>
        <w:t>；</w:t>
      </w:r>
    </w:p>
    <w:p>
      <w:pPr>
        <w:keepLines w:val="0"/>
        <w:pageBreakBefore w:val="0"/>
        <w:widowControl w:val="0"/>
        <w:kinsoku/>
        <w:wordWrap/>
        <w:overflowPunct/>
        <w:topLinePunct w:val="0"/>
        <w:bidi w:val="0"/>
        <w:snapToGrid/>
        <w:spacing w:line="500" w:lineRule="exact"/>
        <w:ind w:firstLine="31680"/>
      </w:pPr>
      <w:r>
        <w:t>(2)</w:t>
      </w:r>
      <w:r>
        <w:rPr>
          <w:rFonts w:hint="eastAsia"/>
        </w:rPr>
        <w:t>《中华人民共和国城市房地产管理法》</w:t>
      </w:r>
      <w:r>
        <w:t>(</w:t>
      </w:r>
      <w:r>
        <w:rPr>
          <w:rFonts w:hint="eastAsia"/>
        </w:rPr>
        <w:t>中国人民共和国主席令第七十二号</w:t>
      </w:r>
      <w:r>
        <w:t>)[</w:t>
      </w:r>
      <w:r>
        <w:rPr>
          <w:rFonts w:hint="eastAsia"/>
        </w:rPr>
        <w:t>中华人民共和国第十届全国人民代表大会常务委员会第二十九次会议于</w:t>
      </w:r>
      <w:r>
        <w:t>2007</w:t>
      </w:r>
      <w:r>
        <w:rPr>
          <w:rFonts w:hint="eastAsia"/>
        </w:rPr>
        <w:t>年</w:t>
      </w:r>
      <w:r>
        <w:t>8</w:t>
      </w:r>
      <w:r>
        <w:rPr>
          <w:rFonts w:hint="eastAsia"/>
        </w:rPr>
        <w:t>月</w:t>
      </w:r>
      <w:r>
        <w:t>30</w:t>
      </w:r>
      <w:r>
        <w:rPr>
          <w:rFonts w:hint="eastAsia"/>
        </w:rPr>
        <w:t>日通过，自公布之日超施行</w:t>
      </w:r>
      <w:r>
        <w:t>]</w:t>
      </w:r>
      <w:r>
        <w:rPr>
          <w:rFonts w:hint="eastAsia"/>
        </w:rPr>
        <w:t>；</w:t>
      </w:r>
    </w:p>
    <w:p>
      <w:pPr>
        <w:keepLines w:val="0"/>
        <w:pageBreakBefore w:val="0"/>
        <w:widowControl w:val="0"/>
        <w:kinsoku/>
        <w:wordWrap/>
        <w:overflowPunct/>
        <w:topLinePunct w:val="0"/>
        <w:bidi w:val="0"/>
        <w:snapToGrid/>
        <w:spacing w:line="500" w:lineRule="exact"/>
        <w:ind w:firstLine="31680"/>
      </w:pPr>
      <w:r>
        <w:t>(3)</w:t>
      </w:r>
      <w:r>
        <w:rPr>
          <w:rFonts w:hint="eastAsia"/>
        </w:rPr>
        <w:t>《中华人民共和国土地管理法》</w:t>
      </w:r>
      <w:r>
        <w:t>(</w:t>
      </w:r>
      <w:r>
        <w:rPr>
          <w:rFonts w:hint="eastAsia"/>
        </w:rPr>
        <w:t>中国人民共和国主席令第六十二号</w:t>
      </w:r>
      <w:r>
        <w:t>)2004</w:t>
      </w:r>
      <w:r>
        <w:rPr>
          <w:rFonts w:hint="eastAsia"/>
        </w:rPr>
        <w:t>年</w:t>
      </w:r>
      <w:r>
        <w:t>8</w:t>
      </w:r>
      <w:r>
        <w:rPr>
          <w:rFonts w:hint="eastAsia"/>
        </w:rPr>
        <w:t>月</w:t>
      </w:r>
      <w:r>
        <w:t>28</w:t>
      </w:r>
      <w:r>
        <w:rPr>
          <w:rFonts w:hint="eastAsia"/>
        </w:rPr>
        <w:t>日通过，自公布之日超施行</w:t>
      </w:r>
      <w:r>
        <w:t>]</w:t>
      </w:r>
      <w:r>
        <w:rPr>
          <w:rFonts w:hint="eastAsia"/>
        </w:rPr>
        <w:t>；</w:t>
      </w:r>
    </w:p>
    <w:p>
      <w:pPr>
        <w:keepLines w:val="0"/>
        <w:pageBreakBefore w:val="0"/>
        <w:widowControl w:val="0"/>
        <w:kinsoku/>
        <w:wordWrap/>
        <w:overflowPunct/>
        <w:topLinePunct w:val="0"/>
        <w:bidi w:val="0"/>
        <w:snapToGrid/>
        <w:spacing w:line="500" w:lineRule="exact"/>
        <w:ind w:firstLine="31680"/>
      </w:pPr>
      <w:r>
        <w:t>(4)</w:t>
      </w:r>
      <w:r>
        <w:rPr>
          <w:rFonts w:hint="eastAsia"/>
        </w:rPr>
        <w:t>《中华人民共和国资产评估法》</w:t>
      </w:r>
      <w:r>
        <w:t>(</w:t>
      </w:r>
      <w:r>
        <w:rPr>
          <w:rFonts w:hint="eastAsia"/>
        </w:rPr>
        <w:t>由全国人民代表大会常务委员会于</w:t>
      </w:r>
      <w:r>
        <w:t>2016</w:t>
      </w:r>
      <w:r>
        <w:rPr>
          <w:rFonts w:hint="eastAsia"/>
        </w:rPr>
        <w:t>年</w:t>
      </w:r>
      <w:r>
        <w:t>7</w:t>
      </w:r>
      <w:r>
        <w:rPr>
          <w:rFonts w:hint="eastAsia"/>
        </w:rPr>
        <w:t>月</w:t>
      </w:r>
      <w:r>
        <w:t>2</w:t>
      </w:r>
      <w:r>
        <w:rPr>
          <w:rFonts w:hint="eastAsia"/>
        </w:rPr>
        <w:t>日发布，自</w:t>
      </w:r>
      <w:r>
        <w:t>2016</w:t>
      </w:r>
      <w:r>
        <w:rPr>
          <w:rFonts w:hint="eastAsia"/>
        </w:rPr>
        <w:t>年</w:t>
      </w:r>
      <w:r>
        <w:t>12</w:t>
      </w:r>
      <w:r>
        <w:rPr>
          <w:rFonts w:hint="eastAsia"/>
        </w:rPr>
        <w:t>月</w:t>
      </w:r>
      <w:r>
        <w:t>1</w:t>
      </w:r>
      <w:r>
        <w:rPr>
          <w:rFonts w:hint="eastAsia"/>
        </w:rPr>
        <w:t>日起实施</w:t>
      </w:r>
      <w:r>
        <w:t>)</w:t>
      </w:r>
      <w:r>
        <w:rPr>
          <w:rFonts w:hint="eastAsia"/>
        </w:rPr>
        <w:t>；</w:t>
      </w:r>
    </w:p>
    <w:p>
      <w:pPr>
        <w:keepLines w:val="0"/>
        <w:pageBreakBefore w:val="0"/>
        <w:widowControl w:val="0"/>
        <w:kinsoku/>
        <w:wordWrap/>
        <w:overflowPunct/>
        <w:topLinePunct w:val="0"/>
        <w:bidi w:val="0"/>
        <w:snapToGrid/>
        <w:spacing w:line="500" w:lineRule="exact"/>
        <w:ind w:firstLine="31680"/>
      </w:pPr>
      <w:r>
        <w:t>(5)</w:t>
      </w:r>
      <w:r>
        <w:rPr>
          <w:rFonts w:hint="eastAsia"/>
        </w:rPr>
        <w:t>《中华人民共和国民事诉讼法》</w:t>
      </w:r>
      <w:r>
        <w:t>(2007)</w:t>
      </w:r>
      <w:r>
        <w:rPr>
          <w:rFonts w:hint="eastAsia"/>
        </w:rPr>
        <w:t>主席令第七十五号；</w:t>
      </w:r>
    </w:p>
    <w:p>
      <w:pPr>
        <w:keepLines w:val="0"/>
        <w:pageBreakBefore w:val="0"/>
        <w:widowControl w:val="0"/>
        <w:kinsoku/>
        <w:wordWrap/>
        <w:overflowPunct/>
        <w:topLinePunct w:val="0"/>
        <w:bidi w:val="0"/>
        <w:snapToGrid/>
        <w:spacing w:line="500" w:lineRule="exact"/>
        <w:ind w:firstLine="31680"/>
      </w:pPr>
      <w:r>
        <w:t>(6)</w:t>
      </w:r>
      <w:r>
        <w:rPr>
          <w:rFonts w:hint="eastAsia"/>
        </w:rPr>
        <w:t>《全国人民代表大会常务委员会关于</w:t>
      </w:r>
      <w:r>
        <w:fldChar w:fldCharType="begin"/>
      </w:r>
      <w:r>
        <w:instrText xml:space="preserve"> HYPERLINK "http://www.lawtime.cn/info/zhuanti/2010071543481.html" \t "_blank" </w:instrText>
      </w:r>
      <w:r>
        <w:fldChar w:fldCharType="separate"/>
      </w:r>
      <w:r>
        <w:rPr>
          <w:rFonts w:hint="eastAsia"/>
        </w:rPr>
        <w:t>司法鉴定</w:t>
      </w:r>
      <w:r>
        <w:rPr>
          <w:rFonts w:hint="eastAsia"/>
        </w:rPr>
        <w:fldChar w:fldCharType="end"/>
      </w:r>
      <w:r>
        <w:rPr>
          <w:rFonts w:hint="eastAsia"/>
        </w:rPr>
        <w:t>管理问题的决定》</w:t>
      </w:r>
      <w:r>
        <w:t>(2005</w:t>
      </w:r>
      <w:r>
        <w:rPr>
          <w:rFonts w:hint="eastAsia"/>
        </w:rPr>
        <w:t>年</w:t>
      </w:r>
      <w:r>
        <w:t>2</w:t>
      </w:r>
      <w:r>
        <w:rPr>
          <w:rFonts w:hint="eastAsia"/>
        </w:rPr>
        <w:t>月</w:t>
      </w:r>
      <w:r>
        <w:t>28</w:t>
      </w:r>
      <w:r>
        <w:rPr>
          <w:rFonts w:hint="eastAsia"/>
        </w:rPr>
        <w:t>日第十届全国人民代表大会常务委员会第十四次会议通过，自</w:t>
      </w:r>
      <w:r>
        <w:t>2005</w:t>
      </w:r>
      <w:r>
        <w:rPr>
          <w:rFonts w:hint="eastAsia"/>
        </w:rPr>
        <w:t>年</w:t>
      </w:r>
      <w:r>
        <w:t>10</w:t>
      </w:r>
      <w:r>
        <w:rPr>
          <w:rFonts w:hint="eastAsia"/>
        </w:rPr>
        <w:t>月</w:t>
      </w:r>
      <w:r>
        <w:t>1</w:t>
      </w:r>
      <w:r>
        <w:rPr>
          <w:rFonts w:hint="eastAsia"/>
        </w:rPr>
        <w:t>日起施行</w:t>
      </w:r>
      <w:r>
        <w:t>)</w:t>
      </w:r>
      <w:r>
        <w:rPr>
          <w:rFonts w:hint="eastAsia"/>
        </w:rPr>
        <w:t>；</w:t>
      </w:r>
    </w:p>
    <w:p>
      <w:pPr>
        <w:keepLines w:val="0"/>
        <w:pageBreakBefore w:val="0"/>
        <w:widowControl w:val="0"/>
        <w:kinsoku/>
        <w:wordWrap/>
        <w:overflowPunct/>
        <w:topLinePunct w:val="0"/>
        <w:bidi w:val="0"/>
        <w:snapToGrid/>
        <w:spacing w:line="500" w:lineRule="exact"/>
        <w:ind w:firstLine="31680"/>
        <w:rPr>
          <w:rFonts w:hint="eastAsia"/>
        </w:rPr>
      </w:pPr>
      <w:r>
        <w:rPr>
          <w:rFonts w:hint="eastAsia"/>
          <w:lang w:val="en-US" w:eastAsia="zh-CN"/>
        </w:rPr>
        <w:t>(7)</w:t>
      </w:r>
      <w:r>
        <w:rPr>
          <w:rFonts w:hint="eastAsia"/>
        </w:rPr>
        <w:t>《</w:t>
      </w:r>
      <w:r>
        <w:fldChar w:fldCharType="begin"/>
      </w:r>
      <w:r>
        <w:instrText xml:space="preserve"> HYPERLINK "http://baike.baidu.com/view/1143241.htm" \t "_blank" </w:instrText>
      </w:r>
      <w:r>
        <w:fldChar w:fldCharType="separate"/>
      </w:r>
      <w:r>
        <w:rPr>
          <w:rFonts w:hint="eastAsia"/>
        </w:rPr>
        <w:t>司法鉴定程序</w:t>
      </w:r>
      <w:r>
        <w:rPr>
          <w:rFonts w:hint="eastAsia"/>
        </w:rPr>
        <w:fldChar w:fldCharType="end"/>
      </w:r>
      <w:r>
        <w:rPr>
          <w:rFonts w:hint="eastAsia"/>
        </w:rPr>
        <w:t>通则》</w:t>
      </w:r>
      <w:r>
        <w:t>2016</w:t>
      </w:r>
      <w:r>
        <w:rPr>
          <w:rFonts w:hint="eastAsia"/>
        </w:rPr>
        <w:t>年</w:t>
      </w:r>
      <w:r>
        <w:t>3</w:t>
      </w:r>
      <w:r>
        <w:rPr>
          <w:rFonts w:hint="eastAsia"/>
        </w:rPr>
        <w:t>月</w:t>
      </w:r>
      <w:r>
        <w:t>2</w:t>
      </w:r>
      <w:r>
        <w:rPr>
          <w:rFonts w:hint="eastAsia"/>
        </w:rPr>
        <w:t>日中华人民共和国司法令第</w:t>
      </w:r>
      <w:r>
        <w:t>132</w:t>
      </w:r>
      <w:r>
        <w:rPr>
          <w:rFonts w:hint="eastAsia"/>
        </w:rPr>
        <w:t>号发布；</w:t>
      </w:r>
    </w:p>
    <w:p>
      <w:pPr>
        <w:keepLines w:val="0"/>
        <w:pageBreakBefore w:val="0"/>
        <w:kinsoku/>
        <w:wordWrap/>
        <w:overflowPunct/>
        <w:topLinePunct w:val="0"/>
        <w:bidi w:val="0"/>
        <w:snapToGrid/>
        <w:spacing w:line="500" w:lineRule="exact"/>
        <w:ind w:left="0" w:leftChars="0" w:right="0" w:rightChars="0" w:firstLine="31680"/>
        <w:rPr>
          <w:rFonts w:hint="eastAsia" w:eastAsia="华文中宋"/>
          <w:lang w:eastAsia="zh-CN"/>
        </w:rPr>
      </w:pPr>
      <w:r>
        <w:t>(8)</w:t>
      </w:r>
      <w:r>
        <w:rPr>
          <w:rFonts w:hint="eastAsia"/>
          <w:lang w:eastAsia="zh-CN"/>
        </w:rPr>
        <w:t>《中华人民共和国城乡规划法》（</w:t>
      </w:r>
      <w:r>
        <w:rPr>
          <w:rFonts w:hint="eastAsia"/>
          <w:lang w:val="en-US" w:eastAsia="zh-CN"/>
        </w:rPr>
        <w:t>2008</w:t>
      </w:r>
      <w:r>
        <w:rPr>
          <w:rFonts w:hint="eastAsia"/>
          <w:lang w:eastAsia="zh-CN"/>
        </w:rPr>
        <w:t>）中华人民共和国主席令第七十四号；</w:t>
      </w:r>
    </w:p>
    <w:p>
      <w:pPr>
        <w:keepLines w:val="0"/>
        <w:pageBreakBefore w:val="0"/>
        <w:kinsoku/>
        <w:wordWrap/>
        <w:overflowPunct/>
        <w:topLinePunct w:val="0"/>
        <w:bidi w:val="0"/>
        <w:snapToGrid/>
        <w:spacing w:line="500" w:lineRule="exact"/>
        <w:ind w:left="0" w:leftChars="0" w:right="0" w:rightChars="0" w:firstLine="31680"/>
      </w:pPr>
      <w:r>
        <w:t>(</w:t>
      </w:r>
      <w:r>
        <w:rPr>
          <w:rFonts w:hint="eastAsia"/>
          <w:lang w:val="en-US" w:eastAsia="zh-CN"/>
        </w:rPr>
        <w:t>9</w:t>
      </w:r>
      <w:r>
        <w:t>)</w:t>
      </w:r>
      <w:r>
        <w:rPr>
          <w:rFonts w:hint="eastAsia"/>
        </w:rPr>
        <w:t>国务院、建设部以及国土资源部颁布的有关法律法规文件。</w:t>
      </w:r>
    </w:p>
    <w:p>
      <w:pPr>
        <w:keepLines w:val="0"/>
        <w:pageBreakBefore w:val="0"/>
        <w:kinsoku/>
        <w:wordWrap/>
        <w:overflowPunct/>
        <w:topLinePunct w:val="0"/>
        <w:bidi w:val="0"/>
        <w:snapToGrid/>
        <w:spacing w:line="500" w:lineRule="exact"/>
        <w:ind w:left="0" w:leftChars="0" w:right="0" w:rightChars="0" w:firstLine="31680"/>
      </w:pPr>
      <w:r>
        <w:t>2</w:t>
      </w:r>
      <w:r>
        <w:rPr>
          <w:rFonts w:hint="eastAsia"/>
        </w:rPr>
        <w:t>、部门规章</w:t>
      </w:r>
    </w:p>
    <w:p>
      <w:pPr>
        <w:keepLines w:val="0"/>
        <w:pageBreakBefore w:val="0"/>
        <w:widowControl w:val="0"/>
        <w:kinsoku/>
        <w:wordWrap/>
        <w:overflowPunct/>
        <w:topLinePunct w:val="0"/>
        <w:bidi w:val="0"/>
        <w:snapToGrid/>
        <w:spacing w:line="500" w:lineRule="exact"/>
        <w:ind w:firstLine="31680"/>
      </w:pPr>
      <w:r>
        <w:t>(1)</w:t>
      </w:r>
      <w:r>
        <w:rPr>
          <w:rFonts w:hint="eastAsia"/>
        </w:rPr>
        <w:t>《最高人民法院对外委托鉴定、评估、拍卖等工作管理规定》</w:t>
      </w:r>
      <w:r>
        <w:t>(</w:t>
      </w:r>
      <w:r>
        <w:rPr>
          <w:rFonts w:hint="eastAsia"/>
        </w:rPr>
        <w:t>法办发</w:t>
      </w:r>
      <w:r>
        <w:t>[2007]5</w:t>
      </w:r>
      <w:r>
        <w:rPr>
          <w:rFonts w:hint="eastAsia"/>
        </w:rPr>
        <w:t>号，</w:t>
      </w:r>
      <w:r>
        <w:t>2007</w:t>
      </w:r>
      <w:r>
        <w:rPr>
          <w:rFonts w:hint="eastAsia"/>
        </w:rPr>
        <w:t>年</w:t>
      </w:r>
      <w:r>
        <w:t>8</w:t>
      </w:r>
      <w:r>
        <w:rPr>
          <w:rFonts w:hint="eastAsia"/>
        </w:rPr>
        <w:t>月</w:t>
      </w:r>
      <w:r>
        <w:t>23</w:t>
      </w:r>
      <w:r>
        <w:rPr>
          <w:rFonts w:hint="eastAsia"/>
        </w:rPr>
        <w:t>日发布，自</w:t>
      </w:r>
      <w:r>
        <w:t>2007</w:t>
      </w:r>
      <w:r>
        <w:rPr>
          <w:rFonts w:hint="eastAsia"/>
        </w:rPr>
        <w:t>年</w:t>
      </w:r>
      <w:r>
        <w:t>9</w:t>
      </w:r>
      <w:r>
        <w:rPr>
          <w:rFonts w:hint="eastAsia"/>
        </w:rPr>
        <w:t>月</w:t>
      </w:r>
      <w:r>
        <w:t>l</w:t>
      </w:r>
      <w:r>
        <w:rPr>
          <w:rFonts w:hint="eastAsia"/>
        </w:rPr>
        <w:t>日施行</w:t>
      </w:r>
      <w:r>
        <w:t>)</w:t>
      </w:r>
      <w:r>
        <w:rPr>
          <w:rFonts w:hint="eastAsia"/>
        </w:rPr>
        <w:t>；</w:t>
      </w:r>
    </w:p>
    <w:p>
      <w:pPr>
        <w:keepLines w:val="0"/>
        <w:pageBreakBefore w:val="0"/>
        <w:kinsoku/>
        <w:wordWrap/>
        <w:overflowPunct/>
        <w:topLinePunct w:val="0"/>
        <w:bidi w:val="0"/>
        <w:snapToGrid/>
        <w:spacing w:line="500" w:lineRule="exact"/>
        <w:ind w:left="0" w:leftChars="0" w:right="0" w:rightChars="0" w:firstLine="31680"/>
      </w:pPr>
      <w:r>
        <w:t>(2)</w:t>
      </w:r>
      <w:r>
        <w:rPr>
          <w:rFonts w:hint="eastAsia"/>
        </w:rPr>
        <w:t>《最高人民法院关于人民法院委托评估、拍卖和变卖工作的若干规定》</w:t>
      </w:r>
      <w:r>
        <w:t>(</w:t>
      </w:r>
      <w:r>
        <w:rPr>
          <w:rFonts w:hint="eastAsia"/>
        </w:rPr>
        <w:t>法释</w:t>
      </w:r>
      <w:r>
        <w:t>[2009]16</w:t>
      </w:r>
      <w:r>
        <w:rPr>
          <w:rFonts w:hint="eastAsia"/>
        </w:rPr>
        <w:t>号，</w:t>
      </w:r>
      <w:r>
        <w:t>2009</w:t>
      </w:r>
      <w:r>
        <w:rPr>
          <w:rFonts w:hint="eastAsia"/>
        </w:rPr>
        <w:t>年</w:t>
      </w:r>
      <w:r>
        <w:t>8</w:t>
      </w:r>
      <w:r>
        <w:rPr>
          <w:rFonts w:hint="eastAsia"/>
        </w:rPr>
        <w:t>月</w:t>
      </w:r>
      <w:r>
        <w:t>24</w:t>
      </w:r>
      <w:r>
        <w:rPr>
          <w:rFonts w:hint="eastAsia"/>
        </w:rPr>
        <w:t>日最高人民法院审判委员会第</w:t>
      </w:r>
      <w:r>
        <w:t>1472</w:t>
      </w:r>
      <w:r>
        <w:rPr>
          <w:rFonts w:hint="eastAsia"/>
        </w:rPr>
        <w:t>次会议通过，自</w:t>
      </w:r>
      <w:r>
        <w:t>2009</w:t>
      </w:r>
      <w:r>
        <w:rPr>
          <w:rFonts w:hint="eastAsia"/>
        </w:rPr>
        <w:t>年</w:t>
      </w:r>
      <w:r>
        <w:t>11</w:t>
      </w:r>
      <w:r>
        <w:rPr>
          <w:rFonts w:hint="eastAsia"/>
        </w:rPr>
        <w:t>月</w:t>
      </w:r>
      <w:r>
        <w:t>20</w:t>
      </w:r>
      <w:r>
        <w:rPr>
          <w:rFonts w:hint="eastAsia"/>
        </w:rPr>
        <w:t>日起施行</w:t>
      </w:r>
      <w:r>
        <w:t>)</w:t>
      </w:r>
      <w:r>
        <w:rPr>
          <w:rFonts w:hint="eastAsia"/>
        </w:rPr>
        <w:t>。</w:t>
      </w:r>
    </w:p>
    <w:p>
      <w:pPr>
        <w:keepLines w:val="0"/>
        <w:pageBreakBefore w:val="0"/>
        <w:kinsoku/>
        <w:wordWrap/>
        <w:overflowPunct/>
        <w:topLinePunct w:val="0"/>
        <w:bidi w:val="0"/>
        <w:snapToGrid/>
        <w:spacing w:line="500" w:lineRule="exact"/>
        <w:ind w:left="0" w:leftChars="0" w:right="0" w:rightChars="0" w:firstLine="31680"/>
      </w:pPr>
      <w:r>
        <w:t>3</w:t>
      </w:r>
      <w:r>
        <w:rPr>
          <w:rFonts w:hint="eastAsia"/>
        </w:rPr>
        <w:t>、技术标准</w:t>
      </w:r>
    </w:p>
    <w:p>
      <w:pPr>
        <w:keepLines w:val="0"/>
        <w:pageBreakBefore w:val="0"/>
        <w:kinsoku/>
        <w:wordWrap/>
        <w:overflowPunct/>
        <w:topLinePunct w:val="0"/>
        <w:bidi w:val="0"/>
        <w:snapToGrid/>
        <w:spacing w:line="500" w:lineRule="exact"/>
        <w:ind w:left="0" w:leftChars="0" w:right="0" w:rightChars="0" w:firstLine="31680"/>
      </w:pPr>
      <w:r>
        <w:t>(1)</w:t>
      </w:r>
      <w:r>
        <w:rPr>
          <w:rFonts w:hint="eastAsia"/>
        </w:rPr>
        <w:t>《房地产估价规范》</w:t>
      </w:r>
      <w:r>
        <w:t>(GB/T50291-2015)[2015</w:t>
      </w:r>
      <w:r>
        <w:rPr>
          <w:rFonts w:hint="eastAsia"/>
        </w:rPr>
        <w:t>年</w:t>
      </w:r>
      <w:r>
        <w:t>12</w:t>
      </w:r>
      <w:r>
        <w:rPr>
          <w:rFonts w:hint="eastAsia"/>
        </w:rPr>
        <w:t>月</w:t>
      </w:r>
      <w:r>
        <w:t>1</w:t>
      </w:r>
      <w:r>
        <w:rPr>
          <w:rFonts w:hint="eastAsia"/>
        </w:rPr>
        <w:t>日起执行</w:t>
      </w:r>
      <w:r>
        <w:t>]</w:t>
      </w:r>
      <w:r>
        <w:rPr>
          <w:rFonts w:hint="eastAsia"/>
        </w:rPr>
        <w:t>；</w:t>
      </w:r>
    </w:p>
    <w:p>
      <w:pPr>
        <w:keepLines w:val="0"/>
        <w:pageBreakBefore w:val="0"/>
        <w:kinsoku/>
        <w:wordWrap/>
        <w:overflowPunct/>
        <w:topLinePunct w:val="0"/>
        <w:bidi w:val="0"/>
        <w:snapToGrid/>
        <w:spacing w:line="500" w:lineRule="exact"/>
        <w:ind w:left="0" w:leftChars="0" w:right="0" w:rightChars="0" w:firstLine="31680"/>
        <w:rPr>
          <w:rFonts w:hint="eastAsia"/>
        </w:rPr>
      </w:pPr>
      <w:r>
        <w:t>(2)</w:t>
      </w:r>
      <w:r>
        <w:rPr>
          <w:rFonts w:hint="eastAsia"/>
        </w:rPr>
        <w:t>《房地产估价基本术语标准》</w:t>
      </w:r>
      <w:r>
        <w:t>(GB/T50899-2013)</w:t>
      </w:r>
      <w:r>
        <w:rPr>
          <w:rFonts w:hint="eastAsia"/>
        </w:rPr>
        <w:t>；</w:t>
      </w:r>
    </w:p>
    <w:p>
      <w:pPr>
        <w:keepLines w:val="0"/>
        <w:pageBreakBefore w:val="0"/>
        <w:kinsoku/>
        <w:wordWrap/>
        <w:overflowPunct/>
        <w:topLinePunct w:val="0"/>
        <w:bidi w:val="0"/>
        <w:snapToGrid/>
        <w:spacing w:line="500" w:lineRule="exact"/>
        <w:ind w:left="0" w:leftChars="0" w:right="0" w:rightChars="0" w:firstLine="31680"/>
      </w:pPr>
      <w:r>
        <w:t>4</w:t>
      </w:r>
      <w:r>
        <w:rPr>
          <w:rFonts w:hint="eastAsia"/>
        </w:rPr>
        <w:t>、估价委托人提供的委托书</w:t>
      </w:r>
    </w:p>
    <w:p>
      <w:pPr>
        <w:keepLines w:val="0"/>
        <w:pageBreakBefore w:val="0"/>
        <w:kinsoku/>
        <w:wordWrap/>
        <w:overflowPunct/>
        <w:topLinePunct w:val="0"/>
        <w:bidi w:val="0"/>
        <w:snapToGrid/>
        <w:spacing w:line="500" w:lineRule="exact"/>
        <w:ind w:left="0" w:leftChars="0" w:right="0" w:rightChars="0" w:firstLine="31680"/>
        <w:rPr>
          <w:rFonts w:hint="eastAsia"/>
          <w:lang w:eastAsia="zh-CN"/>
        </w:rPr>
      </w:pPr>
      <w:r>
        <w:rPr>
          <w:rFonts w:hint="eastAsia"/>
          <w:lang w:eastAsia="zh-CN"/>
        </w:rPr>
        <w:t>《司法鉴定委托书》（2018）营中法鉴字第1084号；</w:t>
      </w:r>
    </w:p>
    <w:p>
      <w:pPr>
        <w:keepLines w:val="0"/>
        <w:pageBreakBefore w:val="0"/>
        <w:kinsoku/>
        <w:wordWrap/>
        <w:overflowPunct/>
        <w:topLinePunct w:val="0"/>
        <w:bidi w:val="0"/>
        <w:snapToGrid/>
        <w:spacing w:line="500" w:lineRule="exact"/>
        <w:ind w:left="0" w:leftChars="0" w:right="0" w:rightChars="0" w:firstLine="31680"/>
      </w:pPr>
      <w:r>
        <w:t>5</w:t>
      </w:r>
      <w:r>
        <w:rPr>
          <w:rFonts w:hint="eastAsia"/>
        </w:rPr>
        <w:t>、产权依据</w:t>
      </w:r>
    </w:p>
    <w:p>
      <w:pPr>
        <w:keepLines w:val="0"/>
        <w:pageBreakBefore w:val="0"/>
        <w:kinsoku/>
        <w:wordWrap/>
        <w:overflowPunct/>
        <w:topLinePunct w:val="0"/>
        <w:bidi w:val="0"/>
        <w:snapToGrid/>
        <w:spacing w:line="500" w:lineRule="exact"/>
        <w:ind w:left="0" w:leftChars="0" w:right="0" w:rightChars="0" w:firstLine="31680"/>
        <w:rPr>
          <w:rFonts w:hint="eastAsia"/>
          <w:lang w:eastAsia="zh-CN"/>
        </w:rPr>
      </w:pPr>
      <w:r>
        <w:rPr>
          <w:rFonts w:hint="eastAsia"/>
          <w:lang w:eastAsia="zh-CN"/>
        </w:rPr>
        <w:t>《不动产登记资料查询结果证明》。</w:t>
      </w:r>
    </w:p>
    <w:p>
      <w:pPr>
        <w:keepLines w:val="0"/>
        <w:pageBreakBefore w:val="0"/>
        <w:kinsoku/>
        <w:wordWrap/>
        <w:overflowPunct/>
        <w:topLinePunct w:val="0"/>
        <w:bidi w:val="0"/>
        <w:snapToGrid/>
        <w:spacing w:line="500" w:lineRule="exact"/>
        <w:ind w:left="0" w:leftChars="0" w:right="0" w:rightChars="0" w:firstLine="31680"/>
      </w:pPr>
      <w:r>
        <w:t>6</w:t>
      </w:r>
      <w:r>
        <w:rPr>
          <w:rFonts w:hint="eastAsia"/>
        </w:rPr>
        <w:t>、评估人员现场勘察及收集的有关资料。</w:t>
      </w:r>
    </w:p>
    <w:p>
      <w:pPr>
        <w:keepLines w:val="0"/>
        <w:pageBreakBefore w:val="0"/>
        <w:kinsoku/>
        <w:wordWrap/>
        <w:overflowPunct/>
        <w:topLinePunct w:val="0"/>
        <w:bidi w:val="0"/>
        <w:snapToGrid/>
        <w:spacing w:line="500" w:lineRule="exact"/>
        <w:ind w:left="0" w:leftChars="0" w:right="0" w:rightChars="0" w:firstLine="31680"/>
      </w:pPr>
      <w:r>
        <w:t>7</w:t>
      </w:r>
      <w:r>
        <w:rPr>
          <w:rFonts w:hint="eastAsia"/>
        </w:rPr>
        <w:t>、其他有关法律、法规及规范等。</w:t>
      </w:r>
    </w:p>
    <w:p>
      <w:pPr>
        <w:pStyle w:val="3"/>
        <w:keepLines w:val="0"/>
        <w:pageBreakBefore w:val="0"/>
        <w:kinsoku/>
        <w:wordWrap/>
        <w:overflowPunct/>
        <w:topLinePunct w:val="0"/>
        <w:bidi w:val="0"/>
        <w:snapToGrid/>
        <w:spacing w:line="500" w:lineRule="exact"/>
        <w:ind w:left="0" w:leftChars="0" w:right="0" w:rightChars="0"/>
      </w:pPr>
      <w:bookmarkStart w:id="129" w:name="_Toc1663"/>
      <w:bookmarkStart w:id="130" w:name="_Toc428348801"/>
      <w:bookmarkStart w:id="131" w:name="_Toc409772461"/>
      <w:bookmarkStart w:id="132" w:name="_Toc449598320"/>
      <w:bookmarkStart w:id="133" w:name="_Toc508803787"/>
      <w:bookmarkStart w:id="134" w:name="_Toc452121208"/>
      <w:bookmarkStart w:id="135" w:name="_Toc22863"/>
      <w:bookmarkStart w:id="136" w:name="_Toc415039140"/>
      <w:bookmarkStart w:id="137" w:name="_Toc429557862"/>
      <w:bookmarkStart w:id="138" w:name="_Toc18918"/>
      <w:bookmarkStart w:id="139" w:name="_Toc410379059"/>
      <w:r>
        <w:rPr>
          <w:rFonts w:hint="eastAsia"/>
        </w:rPr>
        <w:t>九、估价方法</w:t>
      </w:r>
      <w:bookmarkEnd w:id="129"/>
      <w:bookmarkEnd w:id="130"/>
      <w:bookmarkEnd w:id="131"/>
      <w:bookmarkEnd w:id="132"/>
      <w:bookmarkEnd w:id="133"/>
      <w:bookmarkEnd w:id="134"/>
      <w:bookmarkEnd w:id="135"/>
      <w:bookmarkEnd w:id="136"/>
      <w:bookmarkEnd w:id="137"/>
      <w:bookmarkEnd w:id="138"/>
      <w:bookmarkEnd w:id="139"/>
    </w:p>
    <w:p>
      <w:pPr>
        <w:keepLines w:val="0"/>
        <w:pageBreakBefore w:val="0"/>
        <w:kinsoku/>
        <w:wordWrap/>
        <w:overflowPunct/>
        <w:topLinePunct w:val="0"/>
        <w:bidi w:val="0"/>
        <w:snapToGrid/>
        <w:spacing w:line="500" w:lineRule="exact"/>
        <w:ind w:left="0" w:leftChars="0" w:right="0" w:rightChars="0" w:firstLine="31680"/>
      </w:pPr>
      <w:r>
        <w:t>(</w:t>
      </w:r>
      <w:r>
        <w:rPr>
          <w:rFonts w:hint="eastAsia"/>
        </w:rPr>
        <w:t>一</w:t>
      </w:r>
      <w:r>
        <w:t>)</w:t>
      </w:r>
      <w:r>
        <w:rPr>
          <w:rFonts w:hint="eastAsia"/>
        </w:rPr>
        <w:t>估价方法</w:t>
      </w:r>
    </w:p>
    <w:p>
      <w:pPr>
        <w:keepLines w:val="0"/>
        <w:pageBreakBefore w:val="0"/>
        <w:kinsoku/>
        <w:wordWrap/>
        <w:overflowPunct/>
        <w:topLinePunct w:val="0"/>
        <w:bidi w:val="0"/>
        <w:snapToGrid/>
        <w:spacing w:line="500" w:lineRule="exact"/>
        <w:ind w:left="0" w:leftChars="0" w:right="0" w:rightChars="0" w:firstLine="31680"/>
      </w:pPr>
      <w:r>
        <w:rPr>
          <w:rFonts w:hint="eastAsia"/>
        </w:rPr>
        <w:t>根据《房地产估价规范》</w:t>
      </w:r>
      <w:r>
        <w:t>GB/T50291-2015</w:t>
      </w:r>
      <w:r>
        <w:rPr>
          <w:rFonts w:hint="eastAsia"/>
        </w:rPr>
        <w:t>，房地产估价常用的方法有比较法、收益法、成本法、假设开发法等。具体的评估方法，应根据估价目的并结合委估房产的价值类型、估价对象的具体性质，可搜集数据和信息资料的制约等因素，综合考虑，适当选取。</w:t>
      </w:r>
    </w:p>
    <w:p>
      <w:pPr>
        <w:keepLines w:val="0"/>
        <w:pageBreakBefore w:val="0"/>
        <w:kinsoku/>
        <w:wordWrap/>
        <w:overflowPunct/>
        <w:topLinePunct w:val="0"/>
        <w:bidi w:val="0"/>
        <w:snapToGrid/>
        <w:spacing w:line="500" w:lineRule="exact"/>
        <w:ind w:left="0" w:leftChars="0" w:right="0" w:rightChars="0" w:firstLine="31680"/>
      </w:pPr>
      <w:r>
        <w:t>1</w:t>
      </w:r>
      <w:r>
        <w:rPr>
          <w:rFonts w:hint="eastAsia"/>
        </w:rPr>
        <w:t>、比较法是指将估价对象房地产与在估价时点的近期发生了交易的类似房地产加以比较对照，对这些类似房地产的成交价格做适当的处理来求取估价对象房地产价值的方法。</w:t>
      </w:r>
    </w:p>
    <w:p>
      <w:pPr>
        <w:keepLines w:val="0"/>
        <w:pageBreakBefore w:val="0"/>
        <w:kinsoku/>
        <w:wordWrap/>
        <w:overflowPunct/>
        <w:topLinePunct w:val="0"/>
        <w:bidi w:val="0"/>
        <w:snapToGrid/>
        <w:spacing w:line="500" w:lineRule="exact"/>
        <w:ind w:left="0" w:leftChars="0" w:right="0" w:rightChars="0" w:firstLine="31680"/>
      </w:pPr>
      <w:r>
        <w:t>2</w:t>
      </w:r>
      <w:r>
        <w:rPr>
          <w:rFonts w:hint="eastAsia"/>
        </w:rPr>
        <w:t>、收益法是预测估价对象的未来收益，利用报酬率或资本化率、收益乘数将未来收益转换为价值得到估价对象价值或价格的方法。</w:t>
      </w:r>
    </w:p>
    <w:p>
      <w:pPr>
        <w:keepLines w:val="0"/>
        <w:pageBreakBefore w:val="0"/>
        <w:kinsoku/>
        <w:wordWrap/>
        <w:overflowPunct/>
        <w:topLinePunct w:val="0"/>
        <w:bidi w:val="0"/>
        <w:snapToGrid/>
        <w:spacing w:line="500" w:lineRule="exact"/>
        <w:ind w:left="0" w:leftChars="0" w:right="0" w:rightChars="0" w:firstLine="31680"/>
        <w:rPr>
          <w:rFonts w:hint="eastAsia"/>
        </w:rPr>
      </w:pPr>
      <w:r>
        <w:t>3</w:t>
      </w:r>
      <w:r>
        <w:rPr>
          <w:rFonts w:hint="eastAsia"/>
        </w:rPr>
        <w:t>、假设开发法是求得估价对象后续开发的必要支出及折现率或后续开发的必要支出及应得利润和开发完成后的价值，将开发完成后的价值和后续开发的必要支出折现到价值时点相减，或将开发完成后的价值减去后续开发的必要支出及应得利润得到估价对象价值或价格的方法。</w:t>
      </w:r>
    </w:p>
    <w:p>
      <w:pPr>
        <w:keepLines w:val="0"/>
        <w:pageBreakBefore w:val="0"/>
        <w:kinsoku/>
        <w:wordWrap/>
        <w:overflowPunct/>
        <w:topLinePunct w:val="0"/>
        <w:bidi w:val="0"/>
        <w:snapToGrid/>
        <w:spacing w:line="500" w:lineRule="exact"/>
        <w:ind w:left="0" w:leftChars="0" w:right="0" w:rightChars="0" w:firstLine="31680"/>
      </w:pPr>
      <w:r>
        <w:t>4</w:t>
      </w:r>
      <w:r>
        <w:rPr>
          <w:rFonts w:hint="eastAsia"/>
        </w:rPr>
        <w:t>、成本法是测算估价对象在价值时点的重置成本或者重建成本和折旧，将重置成本或重建成本减去折旧得到估价对象价值或价格的方法。</w:t>
      </w:r>
    </w:p>
    <w:p>
      <w:pPr>
        <w:keepLines w:val="0"/>
        <w:pageBreakBefore w:val="0"/>
        <w:kinsoku/>
        <w:wordWrap/>
        <w:overflowPunct/>
        <w:topLinePunct w:val="0"/>
        <w:bidi w:val="0"/>
        <w:snapToGrid/>
        <w:spacing w:line="500" w:lineRule="exact"/>
        <w:ind w:left="0" w:leftChars="0" w:right="0" w:rightChars="0" w:firstLine="31680"/>
      </w:pPr>
      <w:bookmarkStart w:id="140" w:name="OLE_LINK3"/>
      <w:bookmarkStart w:id="141" w:name="OLE_LINK2"/>
      <w:r>
        <w:t>(</w:t>
      </w:r>
      <w:r>
        <w:rPr>
          <w:rFonts w:hint="eastAsia"/>
        </w:rPr>
        <w:t>二</w:t>
      </w:r>
      <w:r>
        <w:t>)</w:t>
      </w:r>
      <w:r>
        <w:rPr>
          <w:rFonts w:hint="eastAsia"/>
        </w:rPr>
        <w:t>技术路线</w:t>
      </w:r>
      <w:bookmarkEnd w:id="140"/>
      <w:bookmarkEnd w:id="141"/>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pPr>
      <w:r>
        <w:rPr>
          <w:rFonts w:hint="eastAsia"/>
        </w:rPr>
        <w:t>房地产估价方法主要有比较法、收益法、成本法、假设开发法等。不同的估价方法从不同的角度反映了委估房地产在一定权利状态及一定时间点的价格水平，只是各种方法的适用条件、方法特点、资料要求有所不同，需根据委估房地产的估价目的、实际情况等选择合适的估价方法。因本次估价对象</w:t>
      </w:r>
      <w:r>
        <w:rPr>
          <w:rFonts w:hint="eastAsia"/>
          <w:lang w:eastAsia="zh-CN"/>
        </w:rPr>
        <w:t>已</w:t>
      </w:r>
      <w:r>
        <w:rPr>
          <w:rFonts w:hint="eastAsia"/>
        </w:rPr>
        <w:t>建成房地产</w:t>
      </w:r>
      <w:r>
        <w:rPr>
          <w:rFonts w:hint="eastAsia"/>
          <w:lang w:eastAsia="zh-CN"/>
        </w:rPr>
        <w:t>，为整幢建筑物局部</w:t>
      </w:r>
      <w:r>
        <w:rPr>
          <w:rFonts w:hint="eastAsia"/>
        </w:rPr>
        <w:t>，因此不适宜采用假设开发法估价；本次估价项目估价对象用途</w:t>
      </w:r>
      <w:r>
        <w:rPr>
          <w:rFonts w:hint="eastAsia"/>
          <w:lang w:eastAsia="zh-CN"/>
        </w:rPr>
        <w:t>住宅</w:t>
      </w:r>
      <w:r>
        <w:rPr>
          <w:rFonts w:hint="eastAsia"/>
        </w:rPr>
        <w:t>，采用成本法不能客观的反应市场价值，且委托方并未提供图纸，委估房产隐蔽工程部分无法估价，因此不适宜采用成本法估价；本次委估房</w:t>
      </w:r>
      <w:r>
        <w:rPr>
          <w:rFonts w:hint="eastAsia"/>
          <w:lang w:eastAsia="zh-CN"/>
        </w:rPr>
        <w:t>地</w:t>
      </w:r>
      <w:r>
        <w:rPr>
          <w:rFonts w:hint="eastAsia"/>
        </w:rPr>
        <w:t>产周边与估价对象类似房产租赁案例</w:t>
      </w:r>
      <w:r>
        <w:rPr>
          <w:rFonts w:hint="eastAsia"/>
          <w:lang w:eastAsia="zh-CN"/>
        </w:rPr>
        <w:t>较多</w:t>
      </w:r>
      <w:r>
        <w:rPr>
          <w:rFonts w:hint="eastAsia"/>
        </w:rPr>
        <w:t>，</w:t>
      </w:r>
      <w:r>
        <w:rPr>
          <w:rFonts w:hint="eastAsia"/>
          <w:lang w:eastAsia="zh-CN"/>
        </w:rPr>
        <w:t>可</w:t>
      </w:r>
      <w:r>
        <w:rPr>
          <w:rFonts w:hint="eastAsia"/>
        </w:rPr>
        <w:t>获取收入与运营费用等相关资料，</w:t>
      </w:r>
      <w:r>
        <w:rPr>
          <w:rFonts w:hint="eastAsia"/>
          <w:lang w:eastAsia="zh-CN"/>
        </w:rPr>
        <w:t>但无法获取委估对象所分摊国有土地使用权终止日期，不能准确确定收益年期，</w:t>
      </w:r>
      <w:r>
        <w:rPr>
          <w:rFonts w:hint="eastAsia"/>
        </w:rPr>
        <w:t>因此</w:t>
      </w:r>
      <w:r>
        <w:rPr>
          <w:rFonts w:hint="eastAsia"/>
          <w:lang w:eastAsia="zh-CN"/>
        </w:rPr>
        <w:t>不</w:t>
      </w:r>
      <w:r>
        <w:rPr>
          <w:rFonts w:hint="eastAsia"/>
        </w:rPr>
        <w:t>适宜采用收益法估价；因估价对象周边类似房产交易、出售情况较多，并能够反映估价对象市场价值，因此适宜采用比较法估价。故本次估价采用的方法是比较法。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pPr>
      <w:r>
        <w:t>(</w:t>
      </w:r>
      <w:r>
        <w:rPr>
          <w:rFonts w:hint="eastAsia"/>
        </w:rPr>
        <w:t>三</w:t>
      </w:r>
      <w:r>
        <w:t>)</w:t>
      </w:r>
      <w:r>
        <w:rPr>
          <w:rFonts w:hint="eastAsia"/>
          <w:lang w:eastAsia="zh-CN"/>
        </w:rPr>
        <w:t>估价方法的应用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pPr>
      <w:r>
        <w:rPr>
          <w:rFonts w:hint="eastAsia"/>
        </w:rPr>
        <w:t>比较法是指将估价对象房地产与在估价时点的近期发生了交易的类似房地产加以比较对照，对这些类似房地产的成交价格做适当的处理来求取估价对象房地产价值的方法。比较法依据了经济学中的替代原理，将待估价房产与在较近时期内已经发生或将要发生的类似房产交易实例，就交易条件、价格形成的时间、市场状况、房地产状况加以比较对照，以已经发生或将要发生交易的类似房产的已知价格为基础，做必要的修正后，得出待估房产最可能实现的合理市场价格。</w:t>
      </w:r>
      <w:bookmarkStart w:id="142" w:name="_Toc183770310"/>
      <w:bookmarkStart w:id="143" w:name="_Toc183767261"/>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pPr>
      <w:r>
        <w:t>1</w:t>
      </w:r>
      <w:r>
        <w:rPr>
          <w:rFonts w:hint="eastAsia"/>
        </w:rPr>
        <w:t>．应用市场比较法评估资产必须具备的前提条件</w:t>
      </w:r>
      <w:bookmarkEnd w:id="142"/>
      <w:bookmarkEnd w:id="143"/>
      <w:r>
        <w:rPr>
          <w:rFonts w:hint="eastAsia"/>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pPr>
      <w:r>
        <w:t xml:space="preserve">(1) </w:t>
      </w:r>
      <w:r>
        <w:rPr>
          <w:rFonts w:hint="eastAsia"/>
        </w:rPr>
        <w:t>要有一个活跃的公开市场；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pPr>
      <w:r>
        <w:t xml:space="preserve">(2) </w:t>
      </w:r>
      <w:r>
        <w:rPr>
          <w:rFonts w:hint="eastAsia"/>
        </w:rPr>
        <w:t>公开市场上要有可比的资产及其交易活动。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pPr>
      <w:bookmarkStart w:id="144" w:name="_Toc183767262"/>
      <w:bookmarkStart w:id="145" w:name="_Toc183770311"/>
      <w:r>
        <w:t>2</w:t>
      </w:r>
      <w:r>
        <w:rPr>
          <w:rFonts w:hint="eastAsia"/>
        </w:rPr>
        <w:t>．</w:t>
      </w:r>
      <w:bookmarkEnd w:id="144"/>
      <w:bookmarkEnd w:id="145"/>
      <w:r>
        <w:rPr>
          <w:rFonts w:hint="eastAsia"/>
        </w:rPr>
        <w:t>市场比较法的基本步骤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pPr>
      <w:r>
        <w:t xml:space="preserve">(1) </w:t>
      </w:r>
      <w:r>
        <w:rPr>
          <w:rFonts w:hint="eastAsia"/>
        </w:rPr>
        <w:t>搜集交易实例的有关资料；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pPr>
      <w:r>
        <w:t xml:space="preserve">(2) </w:t>
      </w:r>
      <w:r>
        <w:rPr>
          <w:rFonts w:hint="eastAsia"/>
        </w:rPr>
        <w:t>选取有效的可比市场交易实例；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pPr>
      <w:r>
        <w:t xml:space="preserve">(3) </w:t>
      </w:r>
      <w:r>
        <w:rPr>
          <w:rFonts w:hint="eastAsia"/>
        </w:rPr>
        <w:t>建立价格可比基础；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pPr>
      <w:r>
        <w:t xml:space="preserve">(4) </w:t>
      </w:r>
      <w:r>
        <w:rPr>
          <w:rFonts w:hint="eastAsia"/>
        </w:rPr>
        <w:t>进行交易情况修正；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pPr>
      <w:r>
        <w:t xml:space="preserve">(5) </w:t>
      </w:r>
      <w:r>
        <w:rPr>
          <w:rFonts w:hint="eastAsia"/>
        </w:rPr>
        <w:t>进行市场状况调整；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pPr>
      <w:r>
        <w:t xml:space="preserve">(6) </w:t>
      </w:r>
      <w:r>
        <w:rPr>
          <w:rFonts w:hint="eastAsia"/>
        </w:rPr>
        <w:t>进行房地产状况调整；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pPr>
      <w:r>
        <w:t xml:space="preserve">(7) </w:t>
      </w:r>
      <w:r>
        <w:rPr>
          <w:rFonts w:hint="eastAsia"/>
        </w:rPr>
        <w:t>求得比准价格。</w:t>
      </w:r>
    </w:p>
    <w:p>
      <w:pPr>
        <w:keepLines w:val="0"/>
        <w:pageBreakBefore w:val="0"/>
        <w:kinsoku/>
        <w:wordWrap/>
        <w:overflowPunct/>
        <w:topLinePunct w:val="0"/>
        <w:bidi w:val="0"/>
        <w:snapToGrid/>
        <w:spacing w:line="500" w:lineRule="exact"/>
        <w:ind w:left="0" w:leftChars="0" w:right="0" w:rightChars="0" w:firstLine="31680"/>
      </w:pPr>
      <w:r>
        <w:rPr>
          <w:rFonts w:hint="eastAsia"/>
        </w:rPr>
        <w:t>计算公式为：</w:t>
      </w:r>
    </w:p>
    <w:p>
      <w:pPr>
        <w:keepLines w:val="0"/>
        <w:pageBreakBefore w:val="0"/>
        <w:kinsoku/>
        <w:wordWrap/>
        <w:overflowPunct/>
        <w:topLinePunct w:val="0"/>
        <w:bidi w:val="0"/>
        <w:snapToGrid/>
        <w:spacing w:line="500" w:lineRule="exact"/>
        <w:ind w:left="0" w:leftChars="0" w:right="0" w:rightChars="0" w:firstLine="3150" w:firstLineChars="1500"/>
        <w:rPr>
          <w:rFonts w:hint="eastAsia" w:ascii="华文中宋" w:hAnsi="华文中宋" w:cs="华文中宋"/>
          <w:sz w:val="21"/>
          <w:szCs w:val="21"/>
        </w:rPr>
      </w:pPr>
    </w:p>
    <w:p>
      <w:pPr>
        <w:keepLines w:val="0"/>
        <w:pageBreakBefore w:val="0"/>
        <w:kinsoku/>
        <w:wordWrap/>
        <w:overflowPunct/>
        <w:topLinePunct w:val="0"/>
        <w:bidi w:val="0"/>
        <w:snapToGrid/>
        <w:spacing w:line="500" w:lineRule="exact"/>
        <w:ind w:left="0" w:leftChars="0" w:right="0" w:rightChars="0" w:firstLine="3360" w:firstLineChars="1600"/>
        <w:rPr>
          <w:rFonts w:ascii="华文中宋" w:cs="华文中宋"/>
          <w:sz w:val="21"/>
          <w:szCs w:val="21"/>
        </w:rPr>
      </w:pPr>
      <w:r>
        <w:rPr>
          <w:rFonts w:hint="eastAsia" w:ascii="华文中宋" w:hAnsi="华文中宋" w:cs="华文中宋"/>
          <w:sz w:val="21"/>
          <w:szCs w:val="21"/>
        </w:rPr>
        <w:t>交易情况修正</w:t>
      </w:r>
      <w:r>
        <w:rPr>
          <w:rFonts w:hint="eastAsia" w:ascii="华文中宋" w:hAnsi="华文中宋" w:cs="华文中宋"/>
          <w:sz w:val="21"/>
          <w:szCs w:val="21"/>
          <w:lang w:val="en-US" w:eastAsia="zh-CN"/>
        </w:rPr>
        <w:t xml:space="preserve">   </w:t>
      </w:r>
      <w:r>
        <w:rPr>
          <w:rFonts w:hint="eastAsia" w:ascii="华文中宋" w:hAnsi="华文中宋" w:cs="华文中宋"/>
          <w:sz w:val="21"/>
          <w:szCs w:val="21"/>
        </w:rPr>
        <w:t>市场状况</w:t>
      </w:r>
      <w:r>
        <w:rPr>
          <w:rFonts w:hint="eastAsia" w:ascii="华文中宋" w:hAnsi="华文中宋" w:cs="华文中宋"/>
          <w:sz w:val="21"/>
          <w:szCs w:val="21"/>
          <w:lang w:eastAsia="zh-CN"/>
        </w:rPr>
        <w:t>调整</w:t>
      </w:r>
      <w:r>
        <w:rPr>
          <w:rFonts w:hint="eastAsia" w:ascii="华文中宋" w:hAnsi="华文中宋" w:cs="华文中宋"/>
          <w:sz w:val="21"/>
          <w:szCs w:val="21"/>
          <w:lang w:val="en-US" w:eastAsia="zh-CN"/>
        </w:rPr>
        <w:t xml:space="preserve">  </w:t>
      </w:r>
      <w:r>
        <w:rPr>
          <w:rFonts w:hint="eastAsia" w:ascii="华文中宋" w:hAnsi="华文中宋" w:cs="华文中宋"/>
          <w:sz w:val="21"/>
          <w:szCs w:val="21"/>
        </w:rPr>
        <w:t>房地产状况</w:t>
      </w:r>
      <w:r>
        <w:rPr>
          <w:rFonts w:hint="eastAsia" w:ascii="华文中宋" w:hAnsi="华文中宋" w:cs="华文中宋"/>
          <w:sz w:val="21"/>
          <w:szCs w:val="21"/>
          <w:lang w:eastAsia="zh-CN"/>
        </w:rPr>
        <w:t>调整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rPr>
          <w:rFonts w:ascii="华文中宋" w:cs="华文中宋"/>
          <w:sz w:val="21"/>
          <w:szCs w:val="21"/>
        </w:rPr>
      </w:pPr>
      <w:r>
        <w:rPr>
          <w:rFonts w:ascii="华文中宋" w:hAnsi="华文中宋" w:cs="华文中宋"/>
          <w:sz w:val="21"/>
          <w:szCs w:val="21"/>
        </w:rPr>
        <w:t xml:space="preserve">                                 100          (    )          100</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rPr>
          <w:rFonts w:ascii="华文中宋" w:cs="华文中宋"/>
          <w:sz w:val="21"/>
          <w:szCs w:val="21"/>
        </w:rPr>
      </w:pPr>
      <w:r>
        <w:rPr>
          <w:rFonts w:hint="eastAsia" w:ascii="华文中宋" w:hAnsi="华文中宋" w:cs="华文中宋"/>
          <w:sz w:val="21"/>
          <w:szCs w:val="21"/>
        </w:rPr>
        <w:t>比较价值</w:t>
      </w:r>
      <w:r>
        <w:rPr>
          <w:rFonts w:ascii="华文中宋" w:hAnsi="华文中宋" w:cs="华文中宋"/>
          <w:sz w:val="21"/>
          <w:szCs w:val="21"/>
        </w:rPr>
        <w:t xml:space="preserve">= </w:t>
      </w:r>
      <w:r>
        <w:rPr>
          <w:rFonts w:hint="eastAsia" w:ascii="华文中宋" w:hAnsi="华文中宋" w:cs="华文中宋"/>
          <w:sz w:val="21"/>
          <w:szCs w:val="21"/>
        </w:rPr>
        <w:t>可比交易实例价格×</w:t>
      </w:r>
      <w:r>
        <w:rPr>
          <w:rFonts w:ascii="华文中宋" w:hAnsi="华文中宋" w:cs="华文中宋"/>
          <w:sz w:val="21"/>
          <w:szCs w:val="21"/>
        </w:rPr>
        <w:t xml:space="preserve">  ————   </w:t>
      </w:r>
      <w:r>
        <w:rPr>
          <w:rFonts w:hint="eastAsia" w:ascii="华文中宋" w:hAnsi="华文中宋" w:cs="华文中宋"/>
          <w:sz w:val="21"/>
          <w:szCs w:val="21"/>
        </w:rPr>
        <w:t>×</w:t>
      </w:r>
      <w:r>
        <w:rPr>
          <w:rFonts w:ascii="华文中宋" w:hAnsi="华文中宋" w:cs="华文中宋"/>
          <w:sz w:val="21"/>
          <w:szCs w:val="21"/>
        </w:rPr>
        <w:t xml:space="preserve">  ————  </w:t>
      </w:r>
      <w:r>
        <w:rPr>
          <w:rFonts w:hint="eastAsia" w:ascii="华文中宋" w:hAnsi="华文中宋" w:cs="华文中宋"/>
          <w:sz w:val="21"/>
          <w:szCs w:val="21"/>
        </w:rPr>
        <w:t>×</w:t>
      </w:r>
      <w:r>
        <w:rPr>
          <w:rFonts w:hint="eastAsia" w:ascii="华文中宋" w:hAnsi="华文中宋" w:cs="华文中宋"/>
          <w:sz w:val="21"/>
          <w:szCs w:val="21"/>
          <w:lang w:val="en-US" w:eastAsia="zh-CN"/>
        </w:rPr>
        <w:t xml:space="preserve">    </w:t>
      </w:r>
      <w:r>
        <w:rPr>
          <w:rFonts w:ascii="华文中宋" w:hAnsi="华文中宋" w:cs="华文中宋"/>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rPr>
          <w:rFonts w:ascii="华文中宋" w:cs="华文中宋"/>
          <w:sz w:val="21"/>
          <w:szCs w:val="21"/>
        </w:rPr>
      </w:pPr>
      <w:r>
        <w:rPr>
          <w:rFonts w:ascii="华文中宋" w:hAnsi="华文中宋" w:cs="华文中宋"/>
          <w:sz w:val="21"/>
          <w:szCs w:val="21"/>
        </w:rPr>
        <w:t xml:space="preserve">                                 (    )          100          (    )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华文中宋" w:hAnsi="华文中宋" w:cs="华文中宋"/>
          <w:kern w:val="2"/>
          <w:szCs w:val="24"/>
          <w:highlight w:val="none"/>
          <w:lang w:val="en-US" w:eastAsia="zh-CN"/>
        </w:rPr>
      </w:pPr>
      <w:r>
        <w:rPr>
          <w:rFonts w:hint="eastAsia"/>
        </w:rPr>
        <w:t>上式中，交易情况修正的分子为</w:t>
      </w:r>
      <w:r>
        <w:t>100</w:t>
      </w:r>
      <w:r>
        <w:rPr>
          <w:rFonts w:hint="eastAsia"/>
        </w:rPr>
        <w:t>，表示以正常价格为基准；市场状况调整的分母为</w:t>
      </w:r>
      <w:r>
        <w:t>100</w:t>
      </w:r>
      <w:r>
        <w:rPr>
          <w:rFonts w:hint="eastAsia"/>
        </w:rPr>
        <w:t>，表示以成交日期的价格为基准；房地产状况调整的分子为</w:t>
      </w:r>
      <w:r>
        <w:t>100</w:t>
      </w:r>
      <w:r>
        <w:rPr>
          <w:rFonts w:hint="eastAsia"/>
        </w:rPr>
        <w:t>，表示以估价对象状况为基准。</w:t>
      </w:r>
    </w:p>
    <w:p>
      <w:pPr>
        <w:pStyle w:val="3"/>
        <w:keepLines w:val="0"/>
        <w:pageBreakBefore w:val="0"/>
        <w:widowControl w:val="0"/>
        <w:kinsoku/>
        <w:wordWrap/>
        <w:overflowPunct/>
        <w:topLinePunct w:val="0"/>
        <w:bidi w:val="0"/>
        <w:snapToGrid/>
        <w:spacing w:line="500" w:lineRule="exact"/>
        <w:ind w:left="0" w:leftChars="0" w:right="0" w:rightChars="0"/>
      </w:pPr>
      <w:bookmarkStart w:id="146" w:name="_Toc508803788"/>
      <w:bookmarkStart w:id="147" w:name="_Toc6279"/>
      <w:r>
        <w:rPr>
          <w:rFonts w:hint="eastAsia"/>
        </w:rPr>
        <w:t>十、估价结果</w:t>
      </w:r>
      <w:bookmarkEnd w:id="146"/>
      <w:bookmarkEnd w:id="147"/>
    </w:p>
    <w:p>
      <w:pPr>
        <w:keepLines w:val="0"/>
        <w:pageBreakBefore w:val="0"/>
        <w:widowControl w:val="0"/>
        <w:kinsoku/>
        <w:wordWrap/>
        <w:overflowPunct/>
        <w:topLinePunct w:val="0"/>
        <w:bidi w:val="0"/>
        <w:snapToGrid/>
        <w:spacing w:line="500" w:lineRule="exact"/>
        <w:ind w:left="0" w:leftChars="0" w:right="0" w:rightChars="0" w:firstLine="31680"/>
        <w:rPr>
          <w:rFonts w:hint="eastAsia" w:ascii="华文中宋" w:hAnsi="华文中宋" w:cs="华文中宋"/>
          <w:szCs w:val="24"/>
          <w:lang w:val="en-US" w:eastAsia="zh-CN"/>
        </w:rPr>
      </w:pPr>
      <w:r>
        <w:rPr>
          <w:rFonts w:hint="eastAsia"/>
        </w:rPr>
        <w:t>本公司根据估价目的，遵循估价原则，按照严谨的估价程序，估价对象于价值时点</w:t>
      </w:r>
      <w:r>
        <w:rPr>
          <w:rFonts w:hint="eastAsia"/>
          <w:lang w:eastAsia="zh-CN"/>
        </w:rPr>
        <w:t>2018年12月24日</w:t>
      </w:r>
      <w:r>
        <w:rPr>
          <w:rFonts w:hint="eastAsia"/>
        </w:rPr>
        <w:t>在满足本次估价的全部假设和限制条件下的评估价值为</w:t>
      </w:r>
      <w:r>
        <w:rPr>
          <w:rFonts w:hint="eastAsia"/>
          <w:lang w:eastAsia="zh-CN"/>
        </w:rPr>
        <w:t>：人民币</w:t>
      </w:r>
      <w:r>
        <w:rPr>
          <w:rFonts w:hint="eastAsia"/>
          <w:lang w:val="en-US" w:eastAsia="zh-CN"/>
        </w:rPr>
        <w:t>817,920.00</w:t>
      </w:r>
      <w:r>
        <w:rPr>
          <w:rFonts w:hint="eastAsia"/>
          <w:lang w:eastAsia="zh-CN"/>
        </w:rPr>
        <w:t>元，</w:t>
      </w:r>
      <w:r>
        <w:rPr>
          <w:rFonts w:hint="eastAsia"/>
        </w:rPr>
        <w:t>大写：</w:t>
      </w:r>
      <w:r>
        <w:rPr>
          <w:rFonts w:hint="eastAsia"/>
          <w:lang w:eastAsia="zh-CN"/>
        </w:rPr>
        <w:t>人民币</w:t>
      </w:r>
      <w:r>
        <w:rPr>
          <w:rFonts w:hint="eastAsia"/>
          <w:lang w:val="en-US" w:eastAsia="zh-CN"/>
        </w:rPr>
        <w:fldChar w:fldCharType="begin"/>
      </w:r>
      <w:r>
        <w:rPr>
          <w:rFonts w:hint="eastAsia"/>
          <w:lang w:val="en-US" w:eastAsia="zh-CN"/>
        </w:rPr>
        <w:instrText xml:space="preserve"> = 817920 \* CHINESENUM2 \* MERGEFORMAT </w:instrText>
      </w:r>
      <w:r>
        <w:rPr>
          <w:rFonts w:hint="eastAsia"/>
          <w:lang w:val="en-US" w:eastAsia="zh-CN"/>
        </w:rPr>
        <w:fldChar w:fldCharType="separate"/>
      </w:r>
      <w:r>
        <w:rPr>
          <w:rFonts w:hint="eastAsia"/>
        </w:rPr>
        <w:t>捌拾壹万柒仟玖佰贰拾</w:t>
      </w:r>
      <w:r>
        <w:rPr>
          <w:rFonts w:hint="eastAsia"/>
          <w:lang w:val="en-US" w:eastAsia="zh-CN"/>
        </w:rPr>
        <w:fldChar w:fldCharType="end"/>
      </w:r>
      <w:r>
        <w:rPr>
          <w:rFonts w:hint="eastAsia"/>
          <w:lang w:eastAsia="zh-CN"/>
        </w:rPr>
        <w:t>元整</w:t>
      </w:r>
      <w:r>
        <w:rPr>
          <w:rFonts w:hint="eastAsia" w:ascii="华文中宋" w:hAnsi="华文中宋" w:cs="华文中宋"/>
          <w:szCs w:val="24"/>
        </w:rPr>
        <w:t>。</w:t>
      </w:r>
      <w:bookmarkStart w:id="148" w:name="_Toc17592"/>
      <w:bookmarkStart w:id="149" w:name="_Toc508803789"/>
      <w:r>
        <w:rPr>
          <w:rFonts w:hint="eastAsia" w:ascii="华文中宋" w:hAnsi="华文中宋" w:cs="华文中宋"/>
          <w:szCs w:val="24"/>
          <w:lang w:val="en-US" w:eastAsia="zh-CN"/>
        </w:rPr>
        <w:t xml:space="preserve">                 </w:t>
      </w:r>
    </w:p>
    <w:p>
      <w:pPr>
        <w:adjustRightInd w:val="0"/>
        <w:snapToGrid w:val="0"/>
        <w:spacing w:line="400" w:lineRule="exact"/>
        <w:ind w:firstLine="0" w:firstLineChars="0"/>
        <w:jc w:val="center"/>
        <w:rPr>
          <w:rFonts w:hint="eastAsia" w:ascii="华文中宋" w:hAnsi="华文中宋" w:cs="华文中宋"/>
          <w:sz w:val="18"/>
          <w:szCs w:val="18"/>
        </w:rPr>
      </w:pPr>
      <w:r>
        <w:rPr>
          <w:rFonts w:hint="eastAsia" w:ascii="华文中宋" w:hAnsi="华文中宋" w:cs="华文中宋"/>
          <w:szCs w:val="24"/>
          <w:lang w:val="en-US" w:eastAsia="zh-CN"/>
        </w:rPr>
        <w:t xml:space="preserve">                         </w:t>
      </w:r>
      <w:r>
        <w:rPr>
          <w:rFonts w:hint="eastAsia" w:ascii="华文中宋" w:hAnsi="华文中宋" w:cs="华文中宋"/>
          <w:szCs w:val="24"/>
        </w:rPr>
        <w:t>估价结果汇总表</w:t>
      </w:r>
      <w:r>
        <w:rPr>
          <w:rFonts w:hint="eastAsia" w:ascii="华文中宋" w:hAnsi="华文中宋" w:cs="华文中宋"/>
          <w:szCs w:val="24"/>
          <w:lang w:val="en-US" w:eastAsia="zh-CN"/>
        </w:rPr>
        <w:t xml:space="preserve">                    </w:t>
      </w:r>
      <w:r>
        <w:rPr>
          <w:rFonts w:hint="eastAsia" w:ascii="华文中宋" w:hAnsi="华文中宋" w:cs="华文中宋"/>
          <w:sz w:val="18"/>
          <w:szCs w:val="18"/>
        </w:rPr>
        <w:t>币种：人民币</w:t>
      </w:r>
    </w:p>
    <w:tbl>
      <w:tblPr>
        <w:tblStyle w:val="15"/>
        <w:tblpPr w:leftFromText="180" w:rightFromText="180" w:vertAnchor="text" w:horzAnchor="page" w:tblpXSpec="center" w:tblpY="493"/>
        <w:tblOverlap w:val="never"/>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16"/>
        <w:gridCol w:w="864"/>
        <w:gridCol w:w="2962"/>
        <w:gridCol w:w="673"/>
        <w:gridCol w:w="1404"/>
        <w:gridCol w:w="750"/>
        <w:gridCol w:w="946"/>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3" w:hRule="atLeast"/>
          <w:jc w:val="center"/>
        </w:trPr>
        <w:tc>
          <w:tcPr>
            <w:tcW w:w="516"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left="0" w:leftChars="0" w:right="0" w:rightChars="0" w:firstLine="0" w:firstLineChars="0"/>
              <w:jc w:val="center"/>
              <w:textAlignment w:val="center"/>
              <w:outlineLvl w:val="9"/>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序号</w:t>
            </w:r>
          </w:p>
        </w:tc>
        <w:tc>
          <w:tcPr>
            <w:tcW w:w="864"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left="0" w:leftChars="0" w:right="0" w:rightChars="0" w:firstLine="0" w:firstLineChars="0"/>
              <w:jc w:val="center"/>
              <w:textAlignment w:val="center"/>
              <w:outlineLvl w:val="9"/>
              <w:rPr>
                <w:rFonts w:hint="eastAsia" w:ascii="华文中宋" w:hAnsi="华文中宋" w:eastAsia="华文中宋" w:cs="华文中宋"/>
                <w:i w:val="0"/>
                <w:color w:val="000000"/>
                <w:sz w:val="18"/>
                <w:szCs w:val="18"/>
                <w:u w:val="none"/>
              </w:rPr>
            </w:pPr>
            <w:r>
              <w:rPr>
                <w:rFonts w:hint="eastAsia" w:ascii="华文中宋" w:hAnsi="华文中宋" w:cs="华文中宋"/>
                <w:i w:val="0"/>
                <w:color w:val="000000"/>
                <w:kern w:val="0"/>
                <w:sz w:val="18"/>
                <w:szCs w:val="18"/>
                <w:u w:val="none"/>
                <w:lang w:val="en-US" w:eastAsia="zh-CN" w:bidi="ar"/>
              </w:rPr>
              <w:t>产权人</w:t>
            </w:r>
          </w:p>
        </w:tc>
        <w:tc>
          <w:tcPr>
            <w:tcW w:w="2962"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right="0" w:rightChars="0" w:firstLine="900" w:firstLineChars="500"/>
              <w:jc w:val="both"/>
              <w:textAlignment w:val="center"/>
              <w:outlineLvl w:val="9"/>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房屋坐落</w:t>
            </w:r>
          </w:p>
        </w:tc>
        <w:tc>
          <w:tcPr>
            <w:tcW w:w="67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left="0" w:leftChars="0" w:right="0" w:rightChars="0" w:firstLine="0" w:firstLineChars="0"/>
              <w:jc w:val="center"/>
              <w:textAlignment w:val="center"/>
              <w:outlineLvl w:val="9"/>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用途</w:t>
            </w:r>
          </w:p>
        </w:tc>
        <w:tc>
          <w:tcPr>
            <w:tcW w:w="1404"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left="0" w:leftChars="0" w:right="0" w:rightChars="0" w:firstLine="0" w:firstLineChars="0"/>
              <w:jc w:val="center"/>
              <w:textAlignment w:val="center"/>
              <w:outlineLvl w:val="9"/>
              <w:rPr>
                <w:rFonts w:hint="eastAsia" w:ascii="华文中宋" w:hAnsi="华文中宋" w:eastAsia="华文中宋" w:cs="华文中宋"/>
                <w:i w:val="0"/>
                <w:color w:val="000000"/>
                <w:sz w:val="18"/>
                <w:szCs w:val="18"/>
                <w:u w:val="none"/>
              </w:rPr>
            </w:pPr>
            <w:r>
              <w:rPr>
                <w:rFonts w:hint="eastAsia" w:ascii="华文中宋" w:hAnsi="华文中宋" w:cs="华文中宋"/>
                <w:i w:val="0"/>
                <w:color w:val="000000"/>
                <w:kern w:val="0"/>
                <w:sz w:val="18"/>
                <w:szCs w:val="18"/>
                <w:u w:val="none"/>
                <w:lang w:val="en-US" w:eastAsia="zh-CN" w:bidi="ar"/>
              </w:rPr>
              <w:t>所在</w:t>
            </w:r>
            <w:r>
              <w:rPr>
                <w:rFonts w:hint="eastAsia" w:ascii="华文中宋" w:hAnsi="华文中宋" w:eastAsia="华文中宋" w:cs="华文中宋"/>
                <w:i w:val="0"/>
                <w:color w:val="000000"/>
                <w:kern w:val="0"/>
                <w:sz w:val="18"/>
                <w:szCs w:val="18"/>
                <w:u w:val="none"/>
                <w:lang w:val="en-US" w:eastAsia="zh-CN" w:bidi="ar"/>
              </w:rPr>
              <w:t>楼层</w:t>
            </w:r>
            <w:r>
              <w:rPr>
                <w:rFonts w:hint="eastAsia" w:ascii="华文中宋" w:hAnsi="华文中宋" w:cs="华文中宋"/>
                <w:i w:val="0"/>
                <w:color w:val="000000"/>
                <w:kern w:val="0"/>
                <w:sz w:val="18"/>
                <w:szCs w:val="18"/>
                <w:u w:val="none"/>
                <w:lang w:val="en-US" w:eastAsia="zh-CN" w:bidi="ar"/>
              </w:rPr>
              <w:t>/总层数</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left="0" w:leftChars="0" w:right="0" w:rightChars="0" w:firstLine="0" w:firstLineChars="0"/>
              <w:jc w:val="center"/>
              <w:textAlignment w:val="center"/>
              <w:outlineLvl w:val="9"/>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建筑面积   (m</w:t>
            </w:r>
            <w:r>
              <w:rPr>
                <w:rFonts w:hint="eastAsia" w:ascii="华文中宋" w:hAnsi="华文中宋" w:eastAsia="华文中宋" w:cs="华文中宋"/>
                <w:i w:val="0"/>
                <w:color w:val="000000"/>
                <w:kern w:val="0"/>
                <w:sz w:val="18"/>
                <w:szCs w:val="18"/>
                <w:u w:val="none"/>
                <w:vertAlign w:val="superscript"/>
                <w:lang w:val="en-US" w:eastAsia="zh-CN" w:bidi="ar"/>
              </w:rPr>
              <w:t>2</w:t>
            </w:r>
            <w:r>
              <w:rPr>
                <w:rFonts w:hint="eastAsia" w:ascii="华文中宋" w:hAnsi="华文中宋" w:eastAsia="华文中宋" w:cs="华文中宋"/>
                <w:i w:val="0"/>
                <w:color w:val="000000"/>
                <w:kern w:val="0"/>
                <w:sz w:val="18"/>
                <w:szCs w:val="18"/>
                <w:u w:val="none"/>
                <w:lang w:val="en-US" w:eastAsia="zh-CN" w:bidi="ar"/>
              </w:rPr>
              <w:t>)</w:t>
            </w:r>
          </w:p>
        </w:tc>
        <w:tc>
          <w:tcPr>
            <w:tcW w:w="946"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left="0" w:leftChars="0" w:right="0" w:rightChars="0" w:firstLine="0" w:firstLineChars="0"/>
              <w:jc w:val="center"/>
              <w:textAlignment w:val="center"/>
              <w:outlineLvl w:val="9"/>
              <w:rPr>
                <w:rFonts w:hint="eastAsia" w:ascii="华文中宋" w:hAnsi="华文中宋" w:eastAsia="华文中宋" w:cs="华文中宋"/>
                <w:i w:val="0"/>
                <w:color w:val="000000"/>
                <w:kern w:val="0"/>
                <w:sz w:val="18"/>
                <w:szCs w:val="18"/>
                <w:u w:val="none"/>
                <w:lang w:val="en-US" w:eastAsia="zh-CN" w:bidi="ar"/>
              </w:rPr>
            </w:pPr>
            <w:r>
              <w:rPr>
                <w:rFonts w:hint="eastAsia" w:ascii="华文中宋" w:hAnsi="华文中宋" w:eastAsia="华文中宋" w:cs="华文中宋"/>
                <w:i w:val="0"/>
                <w:color w:val="000000"/>
                <w:kern w:val="0"/>
                <w:sz w:val="18"/>
                <w:szCs w:val="18"/>
                <w:u w:val="none"/>
                <w:lang w:val="en-US" w:eastAsia="zh-CN" w:bidi="ar"/>
              </w:rPr>
              <w:t>评估单价</w:t>
            </w:r>
          </w:p>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（元/ m</w:t>
            </w:r>
            <w:r>
              <w:rPr>
                <w:rFonts w:hint="eastAsia" w:ascii="华文中宋" w:hAnsi="华文中宋" w:eastAsia="华文中宋" w:cs="华文中宋"/>
                <w:i w:val="0"/>
                <w:color w:val="000000"/>
                <w:kern w:val="0"/>
                <w:sz w:val="18"/>
                <w:szCs w:val="18"/>
                <w:u w:val="none"/>
                <w:vertAlign w:val="superscript"/>
                <w:lang w:val="en-US" w:eastAsia="zh-CN" w:bidi="ar"/>
              </w:rPr>
              <w:t>2</w:t>
            </w:r>
            <w:r>
              <w:rPr>
                <w:rFonts w:hint="eastAsia" w:ascii="华文中宋" w:hAnsi="华文中宋" w:eastAsia="华文中宋" w:cs="华文中宋"/>
                <w:i w:val="0"/>
                <w:color w:val="000000"/>
                <w:kern w:val="0"/>
                <w:sz w:val="18"/>
                <w:szCs w:val="18"/>
                <w:u w:val="none"/>
                <w:lang w:val="en-US" w:eastAsia="zh-CN" w:bidi="ar"/>
              </w:rPr>
              <w:t>）</w:t>
            </w:r>
          </w:p>
        </w:tc>
        <w:tc>
          <w:tcPr>
            <w:tcW w:w="107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ind w:left="0" w:leftChars="0" w:right="0" w:rightChars="0" w:firstLine="0" w:firstLineChars="0"/>
              <w:jc w:val="center"/>
              <w:textAlignment w:val="center"/>
              <w:outlineLvl w:val="9"/>
              <w:rPr>
                <w:rFonts w:hint="eastAsia" w:ascii="华文中宋" w:hAnsi="华文中宋" w:eastAsia="华文中宋" w:cs="华文中宋"/>
                <w:i w:val="0"/>
                <w:color w:val="000000"/>
                <w:kern w:val="0"/>
                <w:sz w:val="18"/>
                <w:szCs w:val="18"/>
                <w:u w:val="none"/>
                <w:lang w:val="en-US" w:eastAsia="zh-CN" w:bidi="ar"/>
              </w:rPr>
            </w:pPr>
            <w:r>
              <w:rPr>
                <w:rFonts w:hint="eastAsia" w:ascii="华文中宋" w:hAnsi="华文中宋" w:eastAsia="华文中宋" w:cs="华文中宋"/>
                <w:i w:val="0"/>
                <w:color w:val="000000"/>
                <w:kern w:val="0"/>
                <w:sz w:val="18"/>
                <w:szCs w:val="18"/>
                <w:u w:val="none"/>
                <w:lang w:val="en-US" w:eastAsia="zh-CN" w:bidi="ar"/>
              </w:rPr>
              <w:t>评估</w:t>
            </w:r>
            <w:r>
              <w:rPr>
                <w:rFonts w:hint="eastAsia" w:ascii="华文中宋" w:hAnsi="华文中宋" w:cs="华文中宋"/>
                <w:i w:val="0"/>
                <w:color w:val="000000"/>
                <w:kern w:val="0"/>
                <w:sz w:val="18"/>
                <w:szCs w:val="18"/>
                <w:u w:val="none"/>
                <w:lang w:val="en-US" w:eastAsia="zh-CN" w:bidi="ar"/>
              </w:rPr>
              <w:t>价</w:t>
            </w:r>
            <w:r>
              <w:rPr>
                <w:rFonts w:hint="eastAsia" w:ascii="华文中宋" w:hAnsi="华文中宋" w:eastAsia="华文中宋" w:cs="华文中宋"/>
                <w:i w:val="0"/>
                <w:color w:val="000000"/>
                <w:kern w:val="0"/>
                <w:sz w:val="18"/>
                <w:szCs w:val="18"/>
                <w:u w:val="none"/>
                <w:lang w:val="en-US" w:eastAsia="zh-CN" w:bidi="ar"/>
              </w:rPr>
              <w:t>值</w:t>
            </w:r>
          </w:p>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516"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eastAsia="华文中宋" w:cs="华文中宋"/>
                <w:i w:val="0"/>
                <w:color w:val="000000"/>
                <w:kern w:val="0"/>
                <w:sz w:val="18"/>
                <w:szCs w:val="18"/>
                <w:u w:val="none"/>
                <w:lang w:val="en-US" w:eastAsia="zh-CN" w:bidi="ar"/>
              </w:rPr>
              <w:t>1</w:t>
            </w:r>
          </w:p>
        </w:tc>
        <w:tc>
          <w:tcPr>
            <w:tcW w:w="864" w:type="dxa"/>
            <w:shd w:val="clear" w:color="auto" w:fill="auto"/>
            <w:vAlign w:val="center"/>
          </w:tcPr>
          <w:p>
            <w:pPr>
              <w:keepNext w:val="0"/>
              <w:keepLines w:val="0"/>
              <w:widowControl/>
              <w:suppressLineNumbers w:val="0"/>
              <w:ind w:left="0" w:leftChars="0" w:firstLine="0" w:firstLineChars="0"/>
              <w:jc w:val="left"/>
              <w:textAlignment w:val="center"/>
              <w:rPr>
                <w:rFonts w:hint="eastAsia" w:ascii="华文中宋" w:hAnsi="华文中宋" w:eastAsia="华文中宋" w:cs="华文中宋"/>
                <w:i w:val="0"/>
                <w:color w:val="000000"/>
                <w:kern w:val="0"/>
                <w:sz w:val="18"/>
                <w:szCs w:val="18"/>
                <w:u w:val="none"/>
                <w:lang w:val="en-US" w:eastAsia="zh-CN" w:bidi="ar"/>
              </w:rPr>
            </w:pPr>
            <w:r>
              <w:rPr>
                <w:rFonts w:hint="eastAsia" w:ascii="华文中宋" w:hAnsi="华文中宋" w:cs="华文中宋"/>
                <w:i w:val="0"/>
                <w:color w:val="000000"/>
                <w:kern w:val="0"/>
                <w:sz w:val="18"/>
                <w:szCs w:val="18"/>
                <w:u w:val="none"/>
                <w:lang w:val="en-US" w:eastAsia="zh-CN" w:bidi="ar"/>
              </w:rPr>
              <w:t xml:space="preserve"> 文晓明</w:t>
            </w:r>
          </w:p>
        </w:tc>
        <w:tc>
          <w:tcPr>
            <w:tcW w:w="2962" w:type="dxa"/>
            <w:shd w:val="clear" w:color="auto" w:fill="auto"/>
            <w:vAlign w:val="center"/>
          </w:tcPr>
          <w:p>
            <w:pPr>
              <w:keepNext w:val="0"/>
              <w:keepLines w:val="0"/>
              <w:widowControl/>
              <w:suppressLineNumbers w:val="0"/>
              <w:ind w:left="0" w:leftChars="0" w:firstLine="0" w:firstLineChars="0"/>
              <w:jc w:val="left"/>
              <w:textAlignment w:val="center"/>
              <w:rPr>
                <w:rFonts w:hint="eastAsia" w:ascii="华文中宋" w:hAnsi="华文中宋" w:eastAsia="华文中宋" w:cs="华文中宋"/>
                <w:i w:val="0"/>
                <w:color w:val="000000"/>
                <w:sz w:val="18"/>
                <w:szCs w:val="18"/>
                <w:u w:val="none"/>
                <w:lang w:val="en-US"/>
              </w:rPr>
            </w:pPr>
            <w:r>
              <w:rPr>
                <w:rFonts w:hint="eastAsia" w:ascii="华文中宋" w:hAnsi="华文中宋" w:cs="华文中宋"/>
                <w:i w:val="0"/>
                <w:color w:val="000000"/>
                <w:kern w:val="0"/>
                <w:sz w:val="18"/>
                <w:szCs w:val="18"/>
                <w:u w:val="none"/>
                <w:lang w:val="en-US" w:eastAsia="zh-CN" w:bidi="ar"/>
              </w:rPr>
              <w:t>盖州市西城办事处站前社区华阳锦绣家园小区16号楼1单元1101室</w:t>
            </w:r>
          </w:p>
        </w:tc>
        <w:tc>
          <w:tcPr>
            <w:tcW w:w="673"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cs="华文中宋"/>
                <w:i w:val="0"/>
                <w:color w:val="000000"/>
                <w:kern w:val="0"/>
                <w:sz w:val="18"/>
                <w:szCs w:val="18"/>
                <w:u w:val="none"/>
                <w:lang w:val="en-US" w:eastAsia="zh-CN" w:bidi="ar"/>
              </w:rPr>
              <w:t>住宅</w:t>
            </w:r>
          </w:p>
        </w:tc>
        <w:tc>
          <w:tcPr>
            <w:tcW w:w="1404"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i w:val="0"/>
                <w:color w:val="000000"/>
                <w:sz w:val="18"/>
                <w:szCs w:val="18"/>
                <w:u w:val="none"/>
                <w:lang w:val="en-US" w:eastAsia="zh-CN"/>
              </w:rPr>
            </w:pPr>
            <w:r>
              <w:rPr>
                <w:rFonts w:hint="eastAsia" w:ascii="华文中宋" w:hAnsi="华文中宋" w:cs="华文中宋"/>
                <w:i w:val="0"/>
                <w:color w:val="000000"/>
                <w:sz w:val="18"/>
                <w:szCs w:val="18"/>
                <w:u w:val="none"/>
                <w:lang w:val="en-US" w:eastAsia="zh-CN"/>
              </w:rPr>
              <w:t>11/17</w:t>
            </w:r>
          </w:p>
        </w:tc>
        <w:tc>
          <w:tcPr>
            <w:tcW w:w="750"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cs="华文中宋"/>
                <w:i w:val="0"/>
                <w:color w:val="000000"/>
                <w:kern w:val="0"/>
                <w:sz w:val="18"/>
                <w:szCs w:val="18"/>
                <w:u w:val="none"/>
                <w:lang w:val="en-US" w:eastAsia="zh-CN" w:bidi="ar"/>
              </w:rPr>
              <w:t>156.9</w:t>
            </w:r>
          </w:p>
        </w:tc>
        <w:tc>
          <w:tcPr>
            <w:tcW w:w="946"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cs="华文中宋"/>
                <w:i w:val="0"/>
                <w:color w:val="000000"/>
                <w:kern w:val="0"/>
                <w:sz w:val="18"/>
                <w:szCs w:val="18"/>
                <w:u w:val="none"/>
                <w:lang w:val="en-US" w:eastAsia="zh-CN" w:bidi="ar"/>
              </w:rPr>
            </w:pPr>
            <w:r>
              <w:rPr>
                <w:rFonts w:hint="eastAsia" w:ascii="华文中宋" w:hAnsi="华文中宋" w:cs="华文中宋"/>
                <w:i w:val="0"/>
                <w:color w:val="000000"/>
                <w:kern w:val="0"/>
                <w:sz w:val="18"/>
                <w:szCs w:val="18"/>
                <w:u w:val="none"/>
                <w:lang w:val="en-US" w:eastAsia="zh-CN" w:bidi="ar"/>
              </w:rPr>
              <w:t>5,213.00</w:t>
            </w:r>
          </w:p>
        </w:tc>
        <w:tc>
          <w:tcPr>
            <w:tcW w:w="1073"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eastAsia="华文中宋" w:cs="华文中宋"/>
                <w:i w:val="0"/>
                <w:color w:val="000000"/>
                <w:sz w:val="18"/>
                <w:szCs w:val="18"/>
                <w:u w:val="none"/>
              </w:rPr>
            </w:pPr>
            <w:r>
              <w:rPr>
                <w:rFonts w:hint="eastAsia" w:ascii="华文中宋" w:hAnsi="华文中宋" w:cs="华文中宋"/>
                <w:i w:val="0"/>
                <w:color w:val="000000"/>
                <w:kern w:val="0"/>
                <w:sz w:val="18"/>
                <w:szCs w:val="18"/>
                <w:u w:val="none"/>
                <w:lang w:val="en-US" w:eastAsia="zh-CN" w:bidi="ar"/>
              </w:rPr>
              <w:t xml:space="preserve">817,920.00 </w:t>
            </w:r>
            <w:r>
              <w:rPr>
                <w:rFonts w:hint="eastAsia" w:ascii="华文中宋" w:hAnsi="华文中宋" w:eastAsia="华文中宋" w:cs="华文中宋"/>
                <w:i w:val="0"/>
                <w:color w:val="000000"/>
                <w:kern w:val="0"/>
                <w:sz w:val="18"/>
                <w:szCs w:val="18"/>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6419" w:type="dxa"/>
            <w:gridSpan w:val="5"/>
            <w:shd w:val="clear" w:color="auto" w:fill="auto"/>
            <w:vAlign w:val="center"/>
          </w:tcPr>
          <w:p>
            <w:pPr>
              <w:keepNext w:val="0"/>
              <w:keepLines w:val="0"/>
              <w:widowControl/>
              <w:suppressLineNumbers w:val="0"/>
              <w:ind w:firstLine="360" w:firstLineChars="200"/>
              <w:jc w:val="center"/>
              <w:textAlignment w:val="center"/>
              <w:rPr>
                <w:rFonts w:hint="eastAsia" w:ascii="华文中宋" w:hAnsi="华文中宋" w:eastAsia="华文中宋" w:cs="华文中宋"/>
                <w:i w:val="0"/>
                <w:color w:val="000000"/>
                <w:kern w:val="0"/>
                <w:sz w:val="18"/>
                <w:szCs w:val="18"/>
                <w:u w:val="none"/>
                <w:lang w:val="en-US" w:eastAsia="zh-CN" w:bidi="ar"/>
              </w:rPr>
            </w:pPr>
            <w:r>
              <w:rPr>
                <w:rFonts w:hint="eastAsia" w:ascii="华文中宋" w:hAnsi="华文中宋" w:eastAsia="华文中宋" w:cs="华文中宋"/>
                <w:i w:val="0"/>
                <w:color w:val="000000"/>
                <w:kern w:val="0"/>
                <w:sz w:val="18"/>
                <w:szCs w:val="18"/>
                <w:u w:val="none"/>
                <w:lang w:val="en-US" w:eastAsia="zh-CN" w:bidi="ar"/>
              </w:rPr>
              <w:t>合     计</w:t>
            </w:r>
          </w:p>
        </w:tc>
        <w:tc>
          <w:tcPr>
            <w:tcW w:w="750"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cs="华文中宋"/>
                <w:i w:val="0"/>
                <w:color w:val="000000"/>
                <w:kern w:val="0"/>
                <w:sz w:val="18"/>
                <w:szCs w:val="18"/>
                <w:u w:val="none"/>
                <w:lang w:val="en-US" w:eastAsia="zh-CN" w:bidi="ar"/>
              </w:rPr>
            </w:pPr>
          </w:p>
        </w:tc>
        <w:tc>
          <w:tcPr>
            <w:tcW w:w="946" w:type="dxa"/>
            <w:shd w:val="clear" w:color="auto" w:fill="auto"/>
            <w:vAlign w:val="center"/>
          </w:tcPr>
          <w:p>
            <w:pPr>
              <w:ind w:firstLine="360" w:firstLineChars="200"/>
              <w:jc w:val="center"/>
              <w:rPr>
                <w:rFonts w:hint="eastAsia" w:ascii="华文中宋" w:hAnsi="华文中宋" w:eastAsia="华文中宋" w:cs="华文中宋"/>
                <w:i w:val="0"/>
                <w:color w:val="000000"/>
                <w:sz w:val="18"/>
                <w:szCs w:val="18"/>
                <w:u w:val="none"/>
              </w:rPr>
            </w:pPr>
          </w:p>
        </w:tc>
        <w:tc>
          <w:tcPr>
            <w:tcW w:w="1073" w:type="dxa"/>
            <w:shd w:val="clear" w:color="auto" w:fill="auto"/>
            <w:vAlign w:val="center"/>
          </w:tcPr>
          <w:p>
            <w:pPr>
              <w:keepNext w:val="0"/>
              <w:keepLines w:val="0"/>
              <w:widowControl/>
              <w:suppressLineNumbers w:val="0"/>
              <w:ind w:left="0" w:leftChars="0" w:firstLine="0" w:firstLineChars="0"/>
              <w:jc w:val="center"/>
              <w:textAlignment w:val="center"/>
              <w:rPr>
                <w:rFonts w:hint="eastAsia" w:ascii="华文中宋" w:hAnsi="华文中宋" w:cs="华文中宋"/>
                <w:i w:val="0"/>
                <w:color w:val="000000"/>
                <w:kern w:val="0"/>
                <w:sz w:val="18"/>
                <w:szCs w:val="18"/>
                <w:u w:val="none"/>
                <w:lang w:val="en-US" w:eastAsia="zh-CN" w:bidi="ar"/>
              </w:rPr>
            </w:pPr>
            <w:r>
              <w:rPr>
                <w:rFonts w:hint="eastAsia" w:ascii="华文中宋" w:hAnsi="华文中宋" w:cs="华文中宋"/>
                <w:i w:val="0"/>
                <w:color w:val="000000"/>
                <w:kern w:val="0"/>
                <w:sz w:val="18"/>
                <w:szCs w:val="18"/>
                <w:u w:val="none"/>
                <w:lang w:val="en-US" w:eastAsia="zh-CN" w:bidi="ar"/>
              </w:rPr>
              <w:t xml:space="preserve">817,920.00  </w:t>
            </w:r>
            <w:r>
              <w:rPr>
                <w:rFonts w:hint="eastAsia" w:ascii="华文中宋" w:hAnsi="华文中宋" w:eastAsia="华文中宋" w:cs="华文中宋"/>
                <w:i w:val="0"/>
                <w:color w:val="000000"/>
                <w:kern w:val="0"/>
                <w:sz w:val="18"/>
                <w:szCs w:val="18"/>
                <w:u w:val="none"/>
                <w:lang w:val="en-US" w:eastAsia="zh-CN" w:bidi="ar"/>
              </w:rPr>
              <w:t xml:space="preserve"> </w:t>
            </w:r>
          </w:p>
        </w:tc>
      </w:tr>
    </w:tbl>
    <w:p>
      <w:pPr>
        <w:adjustRightInd w:val="0"/>
        <w:snapToGrid w:val="0"/>
        <w:spacing w:line="400" w:lineRule="exact"/>
        <w:ind w:firstLine="0" w:firstLineChars="0"/>
        <w:jc w:val="center"/>
        <w:rPr>
          <w:rFonts w:hint="eastAsia" w:ascii="华文中宋" w:hAnsi="华文中宋" w:cs="华文中宋"/>
          <w:sz w:val="18"/>
          <w:szCs w:val="18"/>
        </w:rPr>
      </w:pPr>
    </w:p>
    <w:p>
      <w:pPr>
        <w:adjustRightInd w:val="0"/>
        <w:snapToGrid w:val="0"/>
        <w:spacing w:line="400" w:lineRule="exact"/>
        <w:ind w:firstLine="0" w:firstLineChars="0"/>
        <w:jc w:val="center"/>
        <w:rPr>
          <w:rFonts w:hint="eastAsia" w:ascii="华文中宋" w:hAnsi="华文中宋" w:cs="华文中宋"/>
          <w:sz w:val="18"/>
          <w:szCs w:val="18"/>
        </w:rPr>
      </w:pPr>
    </w:p>
    <w:p>
      <w:pPr>
        <w:pStyle w:val="3"/>
      </w:pPr>
      <w:r>
        <w:rPr>
          <w:rFonts w:hint="eastAsia"/>
        </w:rPr>
        <w:t>十一、注册房地产估价师</w:t>
      </w:r>
      <w:bookmarkEnd w:id="148"/>
      <w:bookmarkEnd w:id="149"/>
      <w:r>
        <w:rPr>
          <w:rFonts w:hint="eastAsia"/>
          <w:lang w:val="en-US" w:eastAsia="zh-CN"/>
        </w:rPr>
        <w:tab/>
      </w:r>
    </w:p>
    <w:tbl>
      <w:tblPr>
        <w:tblStyle w:val="15"/>
        <w:tblW w:w="912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1920"/>
        <w:gridCol w:w="231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190" w:type="dxa"/>
            <w:vAlign w:val="center"/>
          </w:tcPr>
          <w:p>
            <w:pPr>
              <w:ind w:firstLine="0" w:firstLineChars="0"/>
              <w:jc w:val="center"/>
              <w:rPr>
                <w:rFonts w:ascii="华文中宋" w:cs="华文中宋"/>
                <w:szCs w:val="24"/>
              </w:rPr>
            </w:pPr>
            <w:r>
              <w:rPr>
                <w:rFonts w:hint="eastAsia" w:ascii="华文中宋" w:hAnsi="华文中宋" w:cs="华文中宋"/>
                <w:szCs w:val="24"/>
              </w:rPr>
              <w:t>姓名</w:t>
            </w:r>
          </w:p>
        </w:tc>
        <w:tc>
          <w:tcPr>
            <w:tcW w:w="1920" w:type="dxa"/>
            <w:vAlign w:val="center"/>
          </w:tcPr>
          <w:p>
            <w:pPr>
              <w:ind w:firstLine="0" w:firstLineChars="0"/>
              <w:jc w:val="center"/>
              <w:rPr>
                <w:rFonts w:ascii="华文中宋" w:cs="华文中宋"/>
                <w:szCs w:val="24"/>
              </w:rPr>
            </w:pPr>
            <w:r>
              <w:rPr>
                <w:rFonts w:hint="eastAsia" w:ascii="华文中宋" w:hAnsi="华文中宋" w:cs="华文中宋"/>
                <w:szCs w:val="24"/>
              </w:rPr>
              <w:t>注册号</w:t>
            </w:r>
          </w:p>
        </w:tc>
        <w:tc>
          <w:tcPr>
            <w:tcW w:w="2310" w:type="dxa"/>
            <w:vAlign w:val="center"/>
          </w:tcPr>
          <w:p>
            <w:pPr>
              <w:ind w:firstLine="0" w:firstLineChars="0"/>
              <w:jc w:val="center"/>
              <w:rPr>
                <w:rFonts w:ascii="华文中宋" w:cs="华文中宋"/>
                <w:szCs w:val="24"/>
              </w:rPr>
            </w:pPr>
            <w:r>
              <w:rPr>
                <w:rFonts w:hint="eastAsia" w:ascii="华文中宋" w:hAnsi="华文中宋" w:cs="华文中宋"/>
                <w:szCs w:val="24"/>
              </w:rPr>
              <w:t>签名</w:t>
            </w:r>
          </w:p>
        </w:tc>
        <w:tc>
          <w:tcPr>
            <w:tcW w:w="2700" w:type="dxa"/>
            <w:vAlign w:val="center"/>
          </w:tcPr>
          <w:p>
            <w:pPr>
              <w:ind w:firstLine="0" w:firstLineChars="0"/>
              <w:jc w:val="center"/>
              <w:rPr>
                <w:rFonts w:ascii="华文中宋" w:cs="华文中宋"/>
                <w:szCs w:val="24"/>
              </w:rPr>
            </w:pPr>
            <w:r>
              <w:rPr>
                <w:rFonts w:hint="eastAsia" w:ascii="华文中宋" w:hAnsi="华文中宋" w:cs="华文中宋"/>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190" w:type="dxa"/>
            <w:vAlign w:val="center"/>
          </w:tcPr>
          <w:p>
            <w:pPr>
              <w:ind w:firstLine="0" w:firstLineChars="0"/>
              <w:jc w:val="center"/>
              <w:rPr>
                <w:rFonts w:ascii="华文中宋" w:cs="华文中宋"/>
                <w:szCs w:val="24"/>
              </w:rPr>
            </w:pPr>
            <w:r>
              <w:rPr>
                <w:rFonts w:hint="eastAsia" w:ascii="华文中宋" w:hAnsi="华文中宋" w:cs="华文中宋"/>
                <w:szCs w:val="24"/>
              </w:rPr>
              <w:t>张国良</w:t>
            </w:r>
          </w:p>
        </w:tc>
        <w:tc>
          <w:tcPr>
            <w:tcW w:w="1920" w:type="dxa"/>
            <w:vAlign w:val="center"/>
          </w:tcPr>
          <w:p>
            <w:pPr>
              <w:ind w:firstLine="0" w:firstLineChars="0"/>
              <w:jc w:val="center"/>
              <w:rPr>
                <w:rFonts w:ascii="华文中宋" w:cs="华文中宋"/>
                <w:szCs w:val="24"/>
              </w:rPr>
            </w:pPr>
            <w:r>
              <w:rPr>
                <w:rFonts w:ascii="华文中宋" w:hAnsi="华文中宋" w:cs="华文中宋"/>
                <w:szCs w:val="24"/>
              </w:rPr>
              <w:t>2120140022</w:t>
            </w:r>
          </w:p>
        </w:tc>
        <w:tc>
          <w:tcPr>
            <w:tcW w:w="2310" w:type="dxa"/>
            <w:vAlign w:val="center"/>
          </w:tcPr>
          <w:p>
            <w:pPr>
              <w:ind w:firstLine="31680"/>
              <w:jc w:val="center"/>
              <w:rPr>
                <w:rFonts w:ascii="华文中宋" w:cs="华文中宋"/>
                <w:szCs w:val="24"/>
              </w:rPr>
            </w:pPr>
          </w:p>
        </w:tc>
        <w:tc>
          <w:tcPr>
            <w:tcW w:w="2700" w:type="dxa"/>
            <w:vAlign w:val="center"/>
          </w:tcPr>
          <w:p>
            <w:pPr>
              <w:ind w:firstLine="600" w:firstLineChars="250"/>
              <w:jc w:val="center"/>
              <w:rPr>
                <w:rFonts w:ascii="华文中宋" w:cs="华文中宋"/>
                <w:szCs w:val="24"/>
              </w:rPr>
            </w:pPr>
            <w:r>
              <w:rPr>
                <w:rFonts w:hint="eastAsia" w:ascii="华文中宋" w:hAnsi="华文中宋" w:cs="华文中宋"/>
                <w:szCs w:val="24"/>
              </w:rPr>
              <w:t>年</w:t>
            </w:r>
            <w:r>
              <w:rPr>
                <w:rFonts w:hint="eastAsia" w:ascii="华文中宋" w:hAnsi="华文中宋" w:cs="华文中宋"/>
                <w:szCs w:val="24"/>
                <w:lang w:val="en-US" w:eastAsia="zh-CN"/>
              </w:rPr>
              <w:t xml:space="preserve">   </w:t>
            </w:r>
            <w:r>
              <w:rPr>
                <w:rFonts w:hint="eastAsia" w:ascii="华文中宋" w:hAnsi="华文中宋" w:cs="华文中宋"/>
                <w:szCs w:val="24"/>
              </w:rPr>
              <w:t>月</w:t>
            </w:r>
            <w:r>
              <w:rPr>
                <w:rFonts w:hint="eastAsia" w:ascii="华文中宋" w:hAnsi="华文中宋" w:cs="华文中宋"/>
                <w:szCs w:val="24"/>
                <w:lang w:val="en-US" w:eastAsia="zh-CN"/>
              </w:rPr>
              <w:t xml:space="preserve">   </w:t>
            </w:r>
            <w:r>
              <w:rPr>
                <w:rFonts w:hint="eastAsia" w:ascii="华文中宋" w:hAnsi="华文中宋" w:cs="华文中宋"/>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190" w:type="dxa"/>
            <w:vAlign w:val="center"/>
          </w:tcPr>
          <w:p>
            <w:pPr>
              <w:ind w:firstLine="0" w:firstLineChars="0"/>
              <w:jc w:val="center"/>
              <w:rPr>
                <w:rFonts w:hint="eastAsia" w:ascii="华文中宋" w:eastAsia="华文中宋" w:cs="华文中宋"/>
                <w:szCs w:val="24"/>
                <w:lang w:eastAsia="zh-CN"/>
              </w:rPr>
            </w:pPr>
            <w:r>
              <w:rPr>
                <w:rFonts w:hint="eastAsia" w:ascii="华文中宋" w:hAnsi="华文中宋" w:cs="华文中宋"/>
                <w:szCs w:val="24"/>
                <w:lang w:eastAsia="zh-CN"/>
              </w:rPr>
              <w:t>宋春兰</w:t>
            </w:r>
          </w:p>
        </w:tc>
        <w:tc>
          <w:tcPr>
            <w:tcW w:w="1920" w:type="dxa"/>
            <w:vAlign w:val="center"/>
          </w:tcPr>
          <w:p>
            <w:pPr>
              <w:ind w:firstLine="0" w:firstLineChars="0"/>
              <w:jc w:val="center"/>
              <w:rPr>
                <w:rFonts w:hint="eastAsia" w:ascii="华文中宋" w:eastAsia="华文中宋" w:cs="华文中宋"/>
                <w:szCs w:val="24"/>
                <w:lang w:eastAsia="zh-CN"/>
              </w:rPr>
            </w:pPr>
            <w:r>
              <w:rPr>
                <w:rFonts w:hint="eastAsia" w:ascii="华文中宋" w:hAnsi="华文中宋" w:cs="华文中宋"/>
                <w:szCs w:val="24"/>
                <w:lang w:eastAsia="zh-CN"/>
              </w:rPr>
              <w:t>2120090002</w:t>
            </w:r>
          </w:p>
        </w:tc>
        <w:tc>
          <w:tcPr>
            <w:tcW w:w="2310" w:type="dxa"/>
            <w:vAlign w:val="center"/>
          </w:tcPr>
          <w:p>
            <w:pPr>
              <w:ind w:firstLine="31680"/>
              <w:jc w:val="center"/>
              <w:rPr>
                <w:rFonts w:ascii="华文中宋" w:cs="华文中宋"/>
                <w:szCs w:val="24"/>
              </w:rPr>
            </w:pPr>
          </w:p>
        </w:tc>
        <w:tc>
          <w:tcPr>
            <w:tcW w:w="2700" w:type="dxa"/>
            <w:vAlign w:val="center"/>
          </w:tcPr>
          <w:p>
            <w:pPr>
              <w:ind w:firstLine="600" w:firstLineChars="250"/>
              <w:jc w:val="center"/>
              <w:rPr>
                <w:rFonts w:ascii="华文中宋" w:cs="华文中宋"/>
                <w:b/>
                <w:szCs w:val="24"/>
              </w:rPr>
            </w:pPr>
            <w:r>
              <w:rPr>
                <w:rFonts w:hint="eastAsia" w:ascii="华文中宋" w:hAnsi="华文中宋" w:cs="华文中宋"/>
                <w:szCs w:val="24"/>
              </w:rPr>
              <w:t>年</w:t>
            </w:r>
            <w:r>
              <w:rPr>
                <w:rFonts w:hint="eastAsia" w:ascii="华文中宋" w:hAnsi="华文中宋" w:cs="华文中宋"/>
                <w:szCs w:val="24"/>
                <w:lang w:val="en-US" w:eastAsia="zh-CN"/>
              </w:rPr>
              <w:t xml:space="preserve">   </w:t>
            </w:r>
            <w:r>
              <w:rPr>
                <w:rFonts w:hint="eastAsia" w:ascii="华文中宋" w:hAnsi="华文中宋" w:cs="华文中宋"/>
                <w:szCs w:val="24"/>
              </w:rPr>
              <w:t>月</w:t>
            </w:r>
            <w:r>
              <w:rPr>
                <w:rFonts w:hint="eastAsia" w:ascii="华文中宋" w:hAnsi="华文中宋" w:cs="华文中宋"/>
                <w:szCs w:val="24"/>
                <w:lang w:val="en-US" w:eastAsia="zh-CN"/>
              </w:rPr>
              <w:t xml:space="preserve">   </w:t>
            </w:r>
            <w:r>
              <w:rPr>
                <w:rFonts w:hint="eastAsia" w:ascii="华文中宋" w:hAnsi="华文中宋" w:cs="华文中宋"/>
                <w:szCs w:val="24"/>
              </w:rPr>
              <w:t>日</w:t>
            </w:r>
          </w:p>
        </w:tc>
      </w:tr>
    </w:tbl>
    <w:p>
      <w:pPr>
        <w:pStyle w:val="3"/>
      </w:pPr>
      <w:bookmarkStart w:id="150" w:name="_Toc409772464"/>
      <w:bookmarkStart w:id="151" w:name="_Toc508803790"/>
      <w:bookmarkStart w:id="152" w:name="_Toc429557865"/>
      <w:bookmarkStart w:id="153" w:name="_Toc18514"/>
      <w:bookmarkStart w:id="154" w:name="_Toc449598323"/>
      <w:bookmarkStart w:id="155" w:name="_Toc14319"/>
      <w:bookmarkStart w:id="156" w:name="_Toc428953739"/>
      <w:bookmarkStart w:id="157" w:name="_Toc31303"/>
      <w:bookmarkStart w:id="158" w:name="_Toc452121211"/>
      <w:bookmarkStart w:id="159" w:name="_Toc410379062"/>
      <w:bookmarkStart w:id="160" w:name="_Toc426361040"/>
      <w:bookmarkStart w:id="161" w:name="_Toc409772467"/>
      <w:bookmarkStart w:id="162" w:name="_Toc410379065"/>
      <w:bookmarkStart w:id="163" w:name="_Toc415039145"/>
      <w:bookmarkStart w:id="164" w:name="_Toc428348806"/>
      <w:r>
        <w:rPr>
          <w:rFonts w:hint="eastAsia"/>
        </w:rPr>
        <w:t>十二、实地查勘期</w:t>
      </w:r>
      <w:bookmarkEnd w:id="150"/>
      <w:bookmarkEnd w:id="151"/>
      <w:bookmarkEnd w:id="152"/>
      <w:bookmarkEnd w:id="153"/>
      <w:bookmarkEnd w:id="154"/>
      <w:bookmarkEnd w:id="155"/>
      <w:bookmarkEnd w:id="156"/>
      <w:bookmarkEnd w:id="157"/>
      <w:bookmarkEnd w:id="158"/>
      <w:bookmarkEnd w:id="159"/>
      <w:bookmarkEnd w:id="160"/>
    </w:p>
    <w:p>
      <w:pPr>
        <w:ind w:firstLine="31680"/>
      </w:pPr>
      <w:r>
        <w:rPr>
          <w:rFonts w:hint="eastAsia"/>
          <w:lang w:eastAsia="zh-CN"/>
        </w:rPr>
        <w:t>2018年12月24日</w:t>
      </w:r>
      <w:r>
        <w:rPr>
          <w:rFonts w:hint="eastAsia"/>
        </w:rPr>
        <w:t>。</w:t>
      </w:r>
    </w:p>
    <w:p>
      <w:pPr>
        <w:pStyle w:val="3"/>
      </w:pPr>
      <w:bookmarkStart w:id="165" w:name="_Toc22573"/>
      <w:bookmarkStart w:id="166" w:name="_Toc426361041"/>
      <w:bookmarkStart w:id="167" w:name="_Toc508803791"/>
      <w:bookmarkStart w:id="168" w:name="_Toc428953740"/>
      <w:bookmarkStart w:id="169" w:name="_Toc452121212"/>
      <w:bookmarkStart w:id="170" w:name="_Toc23996"/>
      <w:bookmarkStart w:id="171" w:name="_Toc429557866"/>
      <w:bookmarkStart w:id="172" w:name="_Toc449598324"/>
      <w:bookmarkStart w:id="173" w:name="_Toc410379063"/>
      <w:bookmarkStart w:id="174" w:name="_Toc409772465"/>
      <w:bookmarkStart w:id="175" w:name="_Toc1061"/>
      <w:r>
        <w:rPr>
          <w:rFonts w:hint="eastAsia"/>
        </w:rPr>
        <w:t>十三、估价作业期</w:t>
      </w:r>
      <w:bookmarkEnd w:id="165"/>
      <w:bookmarkEnd w:id="166"/>
      <w:bookmarkEnd w:id="167"/>
      <w:bookmarkEnd w:id="168"/>
      <w:bookmarkEnd w:id="169"/>
      <w:bookmarkEnd w:id="170"/>
      <w:bookmarkEnd w:id="171"/>
      <w:bookmarkEnd w:id="172"/>
      <w:bookmarkEnd w:id="173"/>
      <w:bookmarkEnd w:id="174"/>
      <w:bookmarkEnd w:id="175"/>
      <w:bookmarkStart w:id="251" w:name="_GoBack"/>
      <w:bookmarkEnd w:id="251"/>
    </w:p>
    <w:p>
      <w:pPr>
        <w:ind w:firstLine="31680"/>
        <w:rPr>
          <w:highlight w:val="none"/>
        </w:rPr>
      </w:pPr>
      <w:r>
        <w:rPr>
          <w:rFonts w:hint="eastAsia"/>
          <w:highlight w:val="none"/>
          <w:lang w:eastAsia="zh-CN"/>
        </w:rPr>
        <w:t>2018年12月24日</w:t>
      </w:r>
      <w:r>
        <w:rPr>
          <w:highlight w:val="none"/>
        </w:rPr>
        <w:t>-</w:t>
      </w:r>
      <w:r>
        <w:rPr>
          <w:rFonts w:hint="eastAsia"/>
          <w:highlight w:val="none"/>
          <w:lang w:eastAsia="zh-CN"/>
        </w:rPr>
        <w:t>2019年1月8日</w:t>
      </w:r>
      <w:r>
        <w:rPr>
          <w:rFonts w:hint="eastAsia"/>
          <w:highlight w:val="none"/>
        </w:rPr>
        <w:t>。</w:t>
      </w:r>
      <w:bookmarkStart w:id="176" w:name="_Toc58569341"/>
      <w:bookmarkStart w:id="177" w:name="_Toc58569325"/>
      <w:bookmarkStart w:id="178" w:name="_Toc58568635"/>
      <w:bookmarkStart w:id="179" w:name="_Toc229213377"/>
    </w:p>
    <w:bookmarkEnd w:id="161"/>
    <w:bookmarkEnd w:id="162"/>
    <w:bookmarkEnd w:id="163"/>
    <w:bookmarkEnd w:id="164"/>
    <w:bookmarkEnd w:id="176"/>
    <w:bookmarkEnd w:id="177"/>
    <w:bookmarkEnd w:id="178"/>
    <w:bookmarkEnd w:id="179"/>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sectPr>
          <w:headerReference r:id="rId17"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p>
    <w:p>
      <w:pPr>
        <w:ind w:firstLine="31680"/>
        <w:rPr>
          <w:szCs w:val="24"/>
        </w:rPr>
      </w:pPr>
    </w:p>
    <w:p>
      <w:pPr>
        <w:ind w:firstLine="31680"/>
        <w:rPr>
          <w:szCs w:val="24"/>
        </w:rPr>
      </w:pPr>
    </w:p>
    <w:p>
      <w:pPr>
        <w:ind w:firstLine="31680"/>
        <w:rPr>
          <w:szCs w:val="24"/>
        </w:rPr>
      </w:pPr>
    </w:p>
    <w:p>
      <w:pPr>
        <w:ind w:firstLine="31680"/>
        <w:rPr>
          <w:szCs w:val="24"/>
        </w:rPr>
      </w:pPr>
    </w:p>
    <w:p>
      <w:pPr>
        <w:ind w:firstLine="31680"/>
        <w:rPr>
          <w:szCs w:val="24"/>
        </w:rPr>
      </w:pPr>
    </w:p>
    <w:p>
      <w:pPr>
        <w:pStyle w:val="2"/>
        <w:spacing w:before="156" w:after="156"/>
      </w:pPr>
      <w:bookmarkStart w:id="180" w:name="_Toc452121214"/>
      <w:bookmarkStart w:id="181" w:name="_Toc429557869"/>
      <w:bookmarkStart w:id="182" w:name="_Toc409772468"/>
      <w:bookmarkStart w:id="183" w:name="_Toc5335"/>
      <w:bookmarkStart w:id="184" w:name="_Toc11644"/>
      <w:bookmarkStart w:id="185" w:name="_Toc428348807"/>
      <w:bookmarkStart w:id="186" w:name="_Toc415039146"/>
      <w:bookmarkStart w:id="187" w:name="_Toc7193"/>
      <w:bookmarkStart w:id="188" w:name="_Toc449598326"/>
      <w:bookmarkStart w:id="189" w:name="_Toc410379066"/>
      <w:bookmarkStart w:id="190" w:name="_Toc508803792"/>
      <w:bookmarkStart w:id="191" w:name="_Toc59"/>
      <w:bookmarkStart w:id="192" w:name="_Toc429557870"/>
      <w:bookmarkStart w:id="193" w:name="_Toc409772469"/>
      <w:bookmarkStart w:id="194" w:name="_Toc410379067"/>
      <w:bookmarkStart w:id="195" w:name="_Toc20791"/>
      <w:bookmarkStart w:id="196" w:name="_Toc25994"/>
      <w:bookmarkStart w:id="197" w:name="_Toc449598327"/>
      <w:bookmarkStart w:id="198" w:name="_Toc452121215"/>
      <w:bookmarkStart w:id="199" w:name="_Toc415039147"/>
      <w:bookmarkStart w:id="200" w:name="_Toc428348808"/>
      <w:r>
        <w:rPr>
          <w:rFonts w:hint="eastAsia"/>
        </w:rPr>
        <w:t>附</w:t>
      </w:r>
      <w:r>
        <w:rPr>
          <w:rFonts w:hint="eastAsia"/>
          <w:lang w:val="en-US" w:eastAsia="zh-CN"/>
        </w:rPr>
        <w:t xml:space="preserve">  </w:t>
      </w:r>
      <w:r>
        <w:rPr>
          <w:rFonts w:hint="eastAsia"/>
        </w:rPr>
        <w:t>件</w:t>
      </w:r>
      <w:bookmarkEnd w:id="180"/>
      <w:bookmarkEnd w:id="181"/>
      <w:bookmarkEnd w:id="182"/>
      <w:bookmarkEnd w:id="183"/>
      <w:bookmarkEnd w:id="184"/>
      <w:bookmarkEnd w:id="185"/>
      <w:bookmarkEnd w:id="186"/>
      <w:bookmarkEnd w:id="187"/>
      <w:bookmarkEnd w:id="188"/>
      <w:bookmarkEnd w:id="189"/>
      <w:bookmarkEnd w:id="190"/>
      <w:bookmarkEnd w:id="191"/>
    </w:p>
    <w:p>
      <w:pPr>
        <w:ind w:firstLine="31680"/>
      </w:pPr>
    </w:p>
    <w:p>
      <w:pPr>
        <w:spacing w:line="480" w:lineRule="auto"/>
        <w:ind w:firstLine="31680"/>
      </w:pPr>
      <w:bookmarkStart w:id="201" w:name="_Toc8795"/>
      <w:bookmarkStart w:id="202" w:name="_Toc508803793"/>
      <w:r>
        <w:t>1</w:t>
      </w:r>
      <w:r>
        <w:rPr>
          <w:rFonts w:hint="eastAsia"/>
        </w:rPr>
        <w:t>、</w:t>
      </w:r>
      <w:bookmarkEnd w:id="192"/>
      <w:bookmarkEnd w:id="193"/>
      <w:bookmarkEnd w:id="194"/>
      <w:bookmarkEnd w:id="195"/>
      <w:bookmarkEnd w:id="196"/>
      <w:bookmarkEnd w:id="197"/>
      <w:bookmarkEnd w:id="198"/>
      <w:bookmarkEnd w:id="199"/>
      <w:bookmarkEnd w:id="200"/>
      <w:bookmarkEnd w:id="201"/>
      <w:bookmarkEnd w:id="202"/>
      <w:r>
        <w:rPr>
          <w:rFonts w:hint="eastAsia"/>
          <w:lang w:eastAsia="zh-CN"/>
        </w:rPr>
        <w:t>《司法鉴定委托书》</w:t>
      </w:r>
    </w:p>
    <w:p>
      <w:pPr>
        <w:spacing w:line="480" w:lineRule="auto"/>
        <w:ind w:firstLine="31680"/>
      </w:pPr>
      <w:bookmarkStart w:id="203" w:name="_Toc508803794"/>
      <w:bookmarkStart w:id="204" w:name="_Toc24834"/>
      <w:bookmarkStart w:id="205" w:name="_Toc449598328"/>
      <w:bookmarkStart w:id="206" w:name="_Toc410379068"/>
      <w:bookmarkStart w:id="207" w:name="_Toc1050"/>
      <w:bookmarkStart w:id="208" w:name="_Toc452121216"/>
      <w:bookmarkStart w:id="209" w:name="_Toc429557871"/>
      <w:bookmarkStart w:id="210" w:name="_Toc428348809"/>
      <w:bookmarkStart w:id="211" w:name="_Toc409772470"/>
      <w:bookmarkStart w:id="212" w:name="_Toc415039148"/>
      <w:bookmarkStart w:id="213" w:name="_Toc19848"/>
      <w:r>
        <w:t>2</w:t>
      </w:r>
      <w:r>
        <w:rPr>
          <w:rFonts w:hint="eastAsia"/>
        </w:rPr>
        <w:t>、估价对象位置示意图</w:t>
      </w:r>
      <w:bookmarkEnd w:id="203"/>
      <w:bookmarkEnd w:id="204"/>
      <w:bookmarkEnd w:id="205"/>
      <w:bookmarkEnd w:id="206"/>
      <w:bookmarkEnd w:id="207"/>
      <w:bookmarkEnd w:id="208"/>
      <w:bookmarkEnd w:id="209"/>
      <w:bookmarkEnd w:id="210"/>
      <w:bookmarkEnd w:id="211"/>
      <w:bookmarkEnd w:id="212"/>
      <w:bookmarkEnd w:id="213"/>
    </w:p>
    <w:p>
      <w:pPr>
        <w:spacing w:line="480" w:lineRule="auto"/>
        <w:ind w:firstLine="31680"/>
      </w:pPr>
      <w:bookmarkStart w:id="214" w:name="_Toc409772471"/>
      <w:bookmarkStart w:id="215" w:name="_Toc428348810"/>
      <w:bookmarkStart w:id="216" w:name="_Toc449598329"/>
      <w:bookmarkStart w:id="217" w:name="_Toc429557872"/>
      <w:bookmarkStart w:id="218" w:name="_Toc410379069"/>
      <w:bookmarkStart w:id="219" w:name="_Toc415039149"/>
      <w:bookmarkStart w:id="220" w:name="_Toc5559"/>
      <w:bookmarkStart w:id="221" w:name="_Toc5499"/>
      <w:bookmarkStart w:id="222" w:name="_Toc452121217"/>
      <w:bookmarkStart w:id="223" w:name="_Toc508803795"/>
      <w:bookmarkStart w:id="224" w:name="_Toc5395"/>
      <w:r>
        <w:t>3</w:t>
      </w:r>
      <w:r>
        <w:rPr>
          <w:rFonts w:hint="eastAsia"/>
        </w:rPr>
        <w:t>、估价对象</w:t>
      </w:r>
      <w:r>
        <w:rPr>
          <w:rFonts w:hint="eastAsia"/>
          <w:lang w:eastAsia="zh-CN"/>
        </w:rPr>
        <w:t>外部</w:t>
      </w:r>
      <w:r>
        <w:rPr>
          <w:rFonts w:hint="eastAsia"/>
        </w:rPr>
        <w:t>状况照片</w:t>
      </w:r>
      <w:bookmarkEnd w:id="214"/>
      <w:bookmarkEnd w:id="215"/>
      <w:bookmarkEnd w:id="216"/>
      <w:bookmarkEnd w:id="217"/>
      <w:bookmarkEnd w:id="218"/>
      <w:bookmarkEnd w:id="219"/>
      <w:bookmarkEnd w:id="220"/>
      <w:bookmarkEnd w:id="221"/>
      <w:bookmarkEnd w:id="222"/>
      <w:bookmarkEnd w:id="223"/>
      <w:bookmarkEnd w:id="224"/>
    </w:p>
    <w:p>
      <w:pPr>
        <w:spacing w:line="480" w:lineRule="auto"/>
        <w:ind w:firstLine="31680"/>
        <w:rPr>
          <w:rFonts w:hint="eastAsia" w:cs="Times New Roman"/>
          <w:lang w:val="en-US" w:eastAsia="zh-CN"/>
        </w:rPr>
      </w:pPr>
      <w:bookmarkStart w:id="225" w:name="_Toc508803796"/>
      <w:bookmarkStart w:id="226" w:name="_Toc5255"/>
      <w:r>
        <w:rPr>
          <w:rFonts w:cs="Times New Roman"/>
        </w:rPr>
        <w:t>4</w:t>
      </w:r>
      <w:r>
        <w:rPr>
          <w:rFonts w:hint="eastAsia" w:cs="Times New Roman"/>
        </w:rPr>
        <w:t>、</w:t>
      </w:r>
      <w:bookmarkEnd w:id="225"/>
      <w:bookmarkEnd w:id="226"/>
      <w:r>
        <w:rPr>
          <w:rFonts w:hint="eastAsia"/>
          <w:lang w:eastAsia="zh-CN"/>
        </w:rPr>
        <w:t>《不动产登记资料查询结果证明》</w:t>
      </w:r>
    </w:p>
    <w:p>
      <w:pPr>
        <w:spacing w:line="480" w:lineRule="auto"/>
        <w:ind w:firstLine="31680"/>
      </w:pPr>
      <w:r>
        <w:rPr>
          <w:rFonts w:hint="eastAsia" w:cs="Times New Roman"/>
          <w:lang w:val="en-US" w:eastAsia="zh-CN"/>
        </w:rPr>
        <w:t>5、</w:t>
      </w:r>
      <w:bookmarkStart w:id="227" w:name="_Toc30723"/>
      <w:bookmarkStart w:id="228" w:name="_Toc409772473"/>
      <w:bookmarkStart w:id="229" w:name="_Toc429557875"/>
      <w:bookmarkStart w:id="230" w:name="_Toc449598331"/>
      <w:bookmarkStart w:id="231" w:name="_Toc13408"/>
      <w:bookmarkStart w:id="232" w:name="_Toc508803797"/>
      <w:bookmarkStart w:id="233" w:name="_Toc428348813"/>
      <w:bookmarkStart w:id="234" w:name="_Toc410379071"/>
      <w:bookmarkStart w:id="235" w:name="_Toc452121219"/>
      <w:bookmarkStart w:id="236" w:name="_Toc415039152"/>
      <w:bookmarkStart w:id="237" w:name="_Toc13458"/>
      <w:r>
        <w:rPr>
          <w:rFonts w:hint="eastAsia" w:cs="Times New Roman"/>
        </w:rPr>
        <w:t>房地产估价机构营业执</w:t>
      </w:r>
      <w:r>
        <w:rPr>
          <w:rFonts w:hint="eastAsia"/>
        </w:rPr>
        <w:t>照复印件</w:t>
      </w:r>
      <w:bookmarkEnd w:id="227"/>
      <w:bookmarkEnd w:id="228"/>
      <w:bookmarkEnd w:id="229"/>
      <w:bookmarkEnd w:id="230"/>
      <w:bookmarkEnd w:id="231"/>
      <w:bookmarkEnd w:id="232"/>
      <w:bookmarkEnd w:id="233"/>
      <w:bookmarkEnd w:id="234"/>
      <w:bookmarkEnd w:id="235"/>
      <w:bookmarkEnd w:id="236"/>
      <w:bookmarkEnd w:id="237"/>
    </w:p>
    <w:p>
      <w:pPr>
        <w:spacing w:line="480" w:lineRule="auto"/>
        <w:ind w:firstLine="31680"/>
        <w:rPr>
          <w:rFonts w:hint="eastAsia" w:eastAsia="华文中宋"/>
          <w:lang w:eastAsia="zh-CN"/>
        </w:rPr>
      </w:pPr>
      <w:bookmarkStart w:id="238" w:name="_Toc508803798"/>
      <w:bookmarkStart w:id="239" w:name="_Toc6319"/>
      <w:r>
        <w:rPr>
          <w:rFonts w:hint="eastAsia"/>
          <w:lang w:val="en-US" w:eastAsia="zh-CN"/>
        </w:rPr>
        <w:t>6</w:t>
      </w:r>
      <w:r>
        <w:rPr>
          <w:rFonts w:hint="eastAsia"/>
        </w:rPr>
        <w:t>、房地产估价机构</w:t>
      </w:r>
      <w:r>
        <w:rPr>
          <w:rFonts w:hint="eastAsia"/>
          <w:lang w:eastAsia="zh-CN"/>
        </w:rPr>
        <w:t>备案</w:t>
      </w:r>
      <w:r>
        <w:rPr>
          <w:rFonts w:hint="eastAsia"/>
        </w:rPr>
        <w:t>证书复印件</w:t>
      </w:r>
      <w:bookmarkEnd w:id="238"/>
      <w:bookmarkEnd w:id="239"/>
    </w:p>
    <w:p>
      <w:pPr>
        <w:spacing w:line="480" w:lineRule="auto"/>
        <w:ind w:firstLine="31680"/>
      </w:pPr>
      <w:bookmarkStart w:id="240" w:name="_Toc410379072"/>
      <w:bookmarkStart w:id="241" w:name="_Toc429557876"/>
      <w:bookmarkStart w:id="242" w:name="_Toc415039153"/>
      <w:bookmarkStart w:id="243" w:name="_Toc449598332"/>
      <w:bookmarkStart w:id="244" w:name="_Toc11752"/>
      <w:bookmarkStart w:id="245" w:name="_Toc8604"/>
      <w:bookmarkStart w:id="246" w:name="_Toc428348814"/>
      <w:bookmarkStart w:id="247" w:name="_Toc452121220"/>
      <w:bookmarkStart w:id="248" w:name="_Toc409772474"/>
      <w:bookmarkStart w:id="249" w:name="_Toc508803799"/>
      <w:bookmarkStart w:id="250" w:name="_Toc4745"/>
      <w:r>
        <w:rPr>
          <w:rFonts w:hint="eastAsia"/>
          <w:lang w:val="en-US" w:eastAsia="zh-CN"/>
        </w:rPr>
        <w:t>7</w:t>
      </w:r>
      <w:r>
        <w:rPr>
          <w:rFonts w:hint="eastAsia"/>
        </w:rPr>
        <w:t>、</w:t>
      </w:r>
      <w:bookmarkEnd w:id="240"/>
      <w:bookmarkEnd w:id="241"/>
      <w:bookmarkEnd w:id="242"/>
      <w:bookmarkEnd w:id="243"/>
      <w:bookmarkEnd w:id="244"/>
      <w:bookmarkEnd w:id="245"/>
      <w:bookmarkEnd w:id="246"/>
      <w:bookmarkEnd w:id="247"/>
      <w:bookmarkEnd w:id="248"/>
      <w:r>
        <w:rPr>
          <w:rFonts w:hint="eastAsia"/>
        </w:rPr>
        <w:t>注册房地产估价师注册证书复印件</w:t>
      </w:r>
      <w:bookmarkEnd w:id="249"/>
      <w:bookmarkEnd w:id="250"/>
    </w:p>
    <w:p>
      <w:pPr>
        <w:ind w:firstLine="31680"/>
      </w:pPr>
    </w:p>
    <w:sectPr>
      <w:headerReference r:id="rId18" w:type="default"/>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tabs>
        <w:tab w:val="center" w:pos="4153"/>
      </w:tabs>
      <w:ind w:firstLine="0" w:firstLineChars="0"/>
    </w:pPr>
    <w:r>
      <w:pict>
        <v:shape id="_x0000_i1025" o:spt="75" alt="九州房地产LOGO" type="#_x0000_t75" style="height:22.5pt;width:23.25pt;" filled="f" o:preferrelative="t" stroked="f" coordsize="21600,21600">
          <v:path/>
          <v:fill on="f" focussize="0,0"/>
          <v:stroke on="f" joinstyle="miter"/>
          <v:imagedata r:id="rId1" o:title=""/>
          <o:lock v:ext="edit" aspectratio="t"/>
          <w10:wrap type="none"/>
          <w10:anchorlock/>
        </v:shape>
      </w:pict>
    </w:r>
    <w:r>
      <w:rPr>
        <w:rFonts w:hint="eastAsia"/>
        <w:sz w:val="36"/>
        <w:szCs w:val="24"/>
        <w:vertAlign w:val="superscript"/>
      </w:rPr>
      <w:t>辽宁九州房产土地资产评估有限公司</w:t>
    </w:r>
    <w:r>
      <w:rPr>
        <w:sz w:val="36"/>
        <w:szCs w:val="24"/>
        <w:vertAlign w:val="superscript"/>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tabs>
        <w:tab w:val="center" w:pos="4153"/>
      </w:tabs>
      <w:ind w:firstLine="0" w:firstLineChars="0"/>
    </w:pPr>
    <w:r>
      <w:pict>
        <v:shape id="_x0000_i1026" o:spt="75" alt="九州房地产LOGO" type="#_x0000_t75" style="height:22.5pt;width:23.25pt;" filled="f" o:preferrelative="t" stroked="f" coordsize="21600,21600">
          <v:path/>
          <v:fill on="f" focussize="0,0"/>
          <v:stroke on="f" joinstyle="miter"/>
          <v:imagedata r:id="rId1" o:title=""/>
          <o:lock v:ext="edit" aspectratio="t"/>
          <w10:wrap type="none"/>
          <w10:anchorlock/>
        </v:shape>
      </w:pict>
    </w:r>
    <w:r>
      <w:rPr>
        <w:rFonts w:hint="eastAsia"/>
        <w:sz w:val="36"/>
        <w:szCs w:val="24"/>
        <w:vertAlign w:val="superscript"/>
      </w:rPr>
      <w:t>辽宁九州房产土地资产评估有限公司</w:t>
    </w:r>
    <w:r>
      <w:rPr>
        <w:sz w:val="36"/>
        <w:szCs w:val="24"/>
        <w:vertAlign w:val="superscript"/>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0"/>
      </w:pBdr>
      <w:spacing w:line="240" w:lineRule="auto"/>
      <w:ind w:left="0" w:leftChars="0" w:firstLine="0" w:firstLineChars="0"/>
      <w:jc w:val="left"/>
      <w:rPr>
        <w:rFonts w:hint="eastAsia" w:eastAsia="华文中宋"/>
        <w:lang w:eastAsia="zh-CN"/>
      </w:rPr>
    </w:pPr>
    <w:r>
      <w:rPr>
        <w:rFonts w:hint="eastAsia"/>
        <w:sz w:val="21"/>
        <w:szCs w:val="28"/>
        <w:lang w:eastAsia="zh-CN"/>
      </w:rPr>
      <w:t>辽宁九州房产土地资产评估有限公司</w:t>
    </w:r>
    <w:r>
      <w:rPr>
        <w:rFonts w:hint="eastAsia"/>
        <w:sz w:val="21"/>
        <w:szCs w:val="28"/>
        <w:lang w:val="en-US" w:eastAsia="zh-CN"/>
      </w:rPr>
      <w:t xml:space="preserve">  </w:t>
    </w:r>
    <w:r>
      <w:rPr>
        <w:rFonts w:hint="eastAsia"/>
        <w:sz w:val="16"/>
        <w:szCs w:val="21"/>
        <w:lang w:val="en-US" w:eastAsia="zh-CN"/>
      </w:rPr>
      <w:t xml:space="preserve"> </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0"/>
      </w:pBdr>
      <w:tabs>
        <w:tab w:val="left" w:pos="211"/>
        <w:tab w:val="right" w:pos="8426"/>
      </w:tabs>
      <w:spacing w:line="240" w:lineRule="auto"/>
      <w:ind w:left="0" w:leftChars="0" w:firstLine="0" w:firstLineChars="0"/>
      <w:jc w:val="left"/>
      <w:rPr>
        <w:rFonts w:hint="eastAsia" w:eastAsia="华文中宋"/>
        <w:lang w:eastAsia="zh-CN"/>
      </w:rPr>
    </w:pPr>
    <w:r>
      <w:rPr>
        <w:rFonts w:hint="eastAsia"/>
        <w:lang w:eastAsia="zh-CN"/>
      </w:rPr>
      <w:pict>
        <v:shape id="_x0000_i1027" o:spt="75" alt="九州房地产LOGO" type="#_x0000_t75" style="height:16.95pt;width:17.9pt;" filled="f" o:preferrelative="t" stroked="f" coordsize="21600,21600">
          <v:path/>
          <v:fill on="f" focussize="0,0"/>
          <v:stroke on="f"/>
          <v:imagedata r:id="rId1" o:title="九州房地产LOGO"/>
          <o:lock v:ext="edit" aspectratio="t"/>
          <w10:wrap type="none"/>
          <w10:anchorlock/>
        </v:shape>
      </w:pict>
    </w:r>
    <w:r>
      <w:rPr>
        <w:rFonts w:hint="eastAsia"/>
        <w:lang w:eastAsia="zh-CN"/>
      </w:rPr>
      <w:t>辽宁九州房产土地资产评估有限公司</w:t>
    </w:r>
    <w:r>
      <w:rPr>
        <w:rFonts w:hint="eastAsia"/>
        <w:lang w:eastAsia="zh-CN"/>
      </w:rPr>
      <w:tab/>
    </w:r>
    <w:r>
      <w:rPr>
        <w:rFonts w:hint="eastAsia"/>
        <w:lang w:eastAsia="zh-CN"/>
      </w:rPr>
      <w:tab/>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31680"/>
      <w:jc w:val="left"/>
    </w:pPr>
    <w:r>
      <w:pict>
        <v:shape id="_x0000_s2054" o:spid="_x0000_s2054" o:spt="75" alt="水印" type="#_x0000_t75" style="position:absolute;left:0pt;height:425.55pt;width:453.55pt;mso-position-horizontal:center;mso-position-horizontal-relative:margin;mso-position-vertical:center;mso-position-vertical-relative:margin;z-index:-251658240;mso-width-relative:page;mso-height-relative:page;" filled="f" o:preferrelative="t" stroked="f" coordsize="21600,21600">
          <v:path/>
          <v:fill on="f" focussize="0,0"/>
          <v:stroke on="f" joinstyle="miter"/>
          <v:imagedata r:id="rId1" gain="18350f" blacklevel="22282f" o:title=""/>
          <o:lock v:ext="edit" aspectratio="t"/>
        </v:shape>
      </w:pict>
    </w: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致估价委托人函</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ind w:firstLine="0" w:firstLineChars="0"/>
      <w:jc w:val="both"/>
    </w:pPr>
    <w:r>
      <w:rPr>
        <w:rFonts w:hint="eastAsia"/>
      </w:rPr>
      <w:t>涉案房地产司法鉴定估价项目</w:t>
    </w:r>
    <w:r>
      <w:rPr>
        <w:rFonts w:hint="eastAsia"/>
        <w:lang w:val="en-US" w:eastAsia="zh-CN"/>
      </w:rPr>
      <w:t xml:space="preserve">                                             </w:t>
    </w:r>
    <w:r>
      <w:rPr>
        <w:rFonts w:hint="eastAsia"/>
      </w:rPr>
      <w:t>房地产估价报告·正文</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left"/>
      <w:rPr>
        <w:rFonts w:hint="eastAsia" w:eastAsia="华文中宋"/>
        <w:lang w:eastAsia="zh-CN"/>
      </w:rPr>
    </w:pP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正文</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left"/>
      <w:rPr>
        <w:rFonts w:hint="eastAsia" w:eastAsia="华文中宋"/>
        <w:lang w:eastAsia="zh-CN"/>
      </w:rPr>
    </w:pP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附件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left="0" w:leftChars="0" w:firstLine="0" w:firstLineChars="0"/>
      <w:jc w:val="left"/>
    </w:pPr>
    <w:r>
      <w:pict>
        <v:shape id="_x0000_s2059" o:spid="_x0000_s2059" o:spt="75" alt="水印" type="#_x0000_t75" style="position:absolute;left:0pt;height:425.55pt;width:453.55pt;mso-position-horizontal:center;mso-position-horizontal-relative:margin;mso-position-vertical:center;mso-position-vertical-relative:margin;z-index:-251653120;mso-width-relative:page;mso-height-relative:page;" filled="f" o:preferrelative="t" stroked="f" coordsize="21600,21600">
          <v:path/>
          <v:fill on="f" focussize="0,0"/>
          <v:stroke on="f" joinstyle="miter"/>
          <v:imagedata r:id="rId1" gain="18350f" blacklevel="22282f" o:title=""/>
          <o:lock v:ext="edit" aspectratio="t"/>
        </v:shape>
      </w:pict>
    </w: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致估价委托人函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left="0" w:leftChars="0" w:firstLine="0" w:firstLineChars="0"/>
      <w:jc w:val="left"/>
    </w:pPr>
    <w:r>
      <w:pict>
        <v:shape id="_x0000_s2060" o:spid="_x0000_s2060" o:spt="75" alt="水印" type="#_x0000_t75" style="position:absolute;left:0pt;height:425.55pt;width:453.55pt;mso-position-horizontal:center;mso-position-horizontal-relative:margin;mso-position-vertical:center;mso-position-vertical-relative:margin;z-index:-251652096;mso-width-relative:page;mso-height-relative:page;" filled="f" o:preferrelative="t" stroked="f" coordsize="21600,21600">
          <v:path/>
          <v:fill on="f" focussize="0,0"/>
          <v:stroke on="f" joinstyle="miter"/>
          <v:imagedata r:id="rId1" gain="18350f" blacklevel="22282f" o:title=""/>
          <o:lock v:ext="edit" aspectratio="t"/>
        </v:shape>
      </w:pict>
    </w: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目录</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left="0" w:leftChars="0" w:firstLine="0" w:firstLineChars="0"/>
      <w:jc w:val="left"/>
    </w:pP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致估价委托人函</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left="0" w:leftChars="0" w:firstLine="0" w:firstLineChars="0"/>
      <w:jc w:val="left"/>
    </w:pPr>
    <w:r>
      <w:pict>
        <v:shape id="_x0000_s2066" o:spid="_x0000_s2066" o:spt="75" alt="水印" type="#_x0000_t75" style="position:absolute;left:0pt;height:425.55pt;width:453.55pt;mso-position-horizontal:center;mso-position-horizontal-relative:margin;mso-position-vertical:center;mso-position-vertical-relative:margin;z-index:-251609088;mso-width-relative:page;mso-height-relative:page;" filled="f" o:preferrelative="t" stroked="f" coordsize="21600,21600">
          <v:path/>
          <v:fill on="f" focussize="0,0"/>
          <v:stroke on="f" joinstyle="miter"/>
          <v:imagedata r:id="rId1" gain="18350f" blacklevel="22282f" o:title=""/>
          <o:lock v:ext="edit" aspectratio="t"/>
        </v:shape>
      </w:pict>
    </w: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致估价委托人函</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left="0" w:leftChars="0" w:firstLine="0" w:firstLineChars="0"/>
      <w:jc w:val="left"/>
    </w:pPr>
    <w:r>
      <w:rPr>
        <w:rFonts w:hint="eastAsia"/>
      </w:rPr>
      <w:t>涉案房地产司法鉴定估价项目</w:t>
    </w:r>
    <w:r>
      <w:rPr>
        <w:rFonts w:hint="eastAsia"/>
        <w:lang w:val="en-US" w:eastAsia="zh-CN"/>
      </w:rPr>
      <w:t xml:space="preserve">                                               </w:t>
    </w:r>
    <w:r>
      <w:rPr>
        <w:rFonts w:hint="eastAsia"/>
      </w:rPr>
      <w:t>房地产估价报告·</w:t>
    </w:r>
    <w:r>
      <w:rPr>
        <w:rFonts w:hint="eastAsia"/>
        <w:lang w:eastAsia="zh-CN"/>
      </w:rPr>
      <w:t>目录</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left"/>
      <w:rPr>
        <w:rFonts w:hint="eastAsia"/>
      </w:rPr>
    </w:pPr>
    <w:r>
      <w:rPr>
        <w:rFonts w:hint="eastAsia"/>
      </w:rPr>
      <w:t>涉案房地产司法鉴定估价项目</w:t>
    </w:r>
    <w:r>
      <w:rPr>
        <w:rFonts w:hint="eastAsia"/>
        <w:spacing w:val="-20"/>
        <w:lang w:val="en-US" w:eastAsia="zh-CN"/>
      </w:rPr>
      <w:t xml:space="preserve">                                                    </w:t>
    </w:r>
    <w:r>
      <w:rPr>
        <w:rFonts w:hint="eastAsia"/>
        <w:lang w:val="en-US" w:eastAsia="zh-CN"/>
      </w:rPr>
      <w:t xml:space="preserve">  </w:t>
    </w:r>
    <w:r>
      <w:rPr>
        <w:rFonts w:hint="eastAsia"/>
      </w:rPr>
      <w:t>房地产估价报告·注册房地产估价师声明</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both"/>
    </w:pPr>
    <w:r>
      <w:rPr>
        <w:rFonts w:hint="eastAsia"/>
      </w:rPr>
      <w:t>涉案房地产司法鉴定估价项目</w:t>
    </w:r>
    <w:r>
      <w:rPr>
        <w:rFonts w:hint="eastAsia"/>
        <w:lang w:val="en-US" w:eastAsia="zh-CN"/>
      </w:rPr>
      <w:t xml:space="preserve">                             </w:t>
    </w:r>
    <w:r>
      <w:rPr>
        <w:rFonts w:hint="eastAsia"/>
      </w:rPr>
      <w:t>房地产估价报告·注册房地产估价师声明</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left"/>
    </w:pPr>
    <w:r>
      <w:rPr>
        <w:rFonts w:hint="eastAsia"/>
      </w:rPr>
      <w:t>涉案房地产司法鉴定估价项目</w:t>
    </w:r>
    <w:r>
      <w:rPr>
        <w:rFonts w:hint="eastAsia"/>
        <w:lang w:val="en-US" w:eastAsia="zh-CN"/>
      </w:rPr>
      <w:t xml:space="preserve">                                 </w:t>
    </w:r>
    <w:r>
      <w:rPr>
        <w:rFonts w:hint="eastAsia"/>
      </w:rPr>
      <w:t>房地产估价报告·估价假设和限制条件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112D"/>
    <w:multiLevelType w:val="singleLevel"/>
    <w:tmpl w:val="3E87112D"/>
    <w:lvl w:ilvl="0" w:tentative="0">
      <w:start w:val="1"/>
      <w:numFmt w:val="none"/>
      <w:pStyle w:val="3"/>
      <w:lvlText w:val=""/>
      <w:lvlJc w:val="left"/>
      <w:pPr>
        <w:tabs>
          <w:tab w:val="left" w:pos="1080"/>
        </w:tabs>
        <w:ind w:left="1080" w:hanging="405"/>
      </w:pPr>
      <w:rPr>
        <w:rFonts w:hint="eastAsia" w:cs="Times New Roman"/>
      </w:rPr>
    </w:lvl>
  </w:abstractNum>
  <w:abstractNum w:abstractNumId="1">
    <w:nsid w:val="58773033"/>
    <w:multiLevelType w:val="singleLevel"/>
    <w:tmpl w:val="58773033"/>
    <w:lvl w:ilvl="0" w:tentative="0">
      <w:start w:val="7"/>
      <w:numFmt w:val="chineseCounting"/>
      <w:suff w:val="nothing"/>
      <w:lvlText w:val="%1、"/>
      <w:lvlJc w:val="left"/>
      <w:rPr>
        <w:rFonts w:cs="Times New Roman"/>
      </w:rPr>
    </w:lvl>
  </w:abstractNum>
  <w:abstractNum w:abstractNumId="2">
    <w:nsid w:val="58773485"/>
    <w:multiLevelType w:val="singleLevel"/>
    <w:tmpl w:val="58773485"/>
    <w:lvl w:ilvl="0" w:tentative="0">
      <w:start w:val="6"/>
      <w:numFmt w:val="chineseCounting"/>
      <w:suff w:val="nothing"/>
      <w:lvlText w:val="%1、"/>
      <w:lvlJc w:val="left"/>
      <w:rPr>
        <w:rFonts w:cs="Times New Roman"/>
      </w:rPr>
    </w:lvl>
  </w:abstractNum>
  <w:abstractNum w:abstractNumId="3">
    <w:nsid w:val="58E57659"/>
    <w:multiLevelType w:val="singleLevel"/>
    <w:tmpl w:val="58E57659"/>
    <w:lvl w:ilvl="0" w:tentative="0">
      <w:start w:val="3"/>
      <w:numFmt w:val="chineseCounting"/>
      <w:lvlText w:val="(%1)"/>
      <w:lvlJc w:val="left"/>
      <w:pPr>
        <w:tabs>
          <w:tab w:val="left" w:pos="312"/>
        </w:tabs>
      </w:pPr>
      <w:rPr>
        <w:rFonts w:hint="eastAsia"/>
      </w:rPr>
    </w:lvl>
  </w:abstractNum>
  <w:abstractNum w:abstractNumId="4">
    <w:nsid w:val="5B4FD9FC"/>
    <w:multiLevelType w:val="singleLevel"/>
    <w:tmpl w:val="5B4FD9FC"/>
    <w:lvl w:ilvl="0" w:tentative="0">
      <w:start w:val="1"/>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652CEC"/>
    <w:rsid w:val="000123A4"/>
    <w:rsid w:val="00093A6B"/>
    <w:rsid w:val="00130B06"/>
    <w:rsid w:val="001573AD"/>
    <w:rsid w:val="00272444"/>
    <w:rsid w:val="00281E49"/>
    <w:rsid w:val="00287497"/>
    <w:rsid w:val="002A378C"/>
    <w:rsid w:val="00342CD0"/>
    <w:rsid w:val="00345A97"/>
    <w:rsid w:val="003A02EE"/>
    <w:rsid w:val="004338DD"/>
    <w:rsid w:val="004A5525"/>
    <w:rsid w:val="005462D2"/>
    <w:rsid w:val="00700003"/>
    <w:rsid w:val="007441D1"/>
    <w:rsid w:val="00795E04"/>
    <w:rsid w:val="00802366"/>
    <w:rsid w:val="0082114B"/>
    <w:rsid w:val="008B07FB"/>
    <w:rsid w:val="008C5AFA"/>
    <w:rsid w:val="008E626E"/>
    <w:rsid w:val="009F4021"/>
    <w:rsid w:val="00A306CB"/>
    <w:rsid w:val="00A40229"/>
    <w:rsid w:val="00A63804"/>
    <w:rsid w:val="00AC2ACE"/>
    <w:rsid w:val="00B34A43"/>
    <w:rsid w:val="00BB51EF"/>
    <w:rsid w:val="00C233B1"/>
    <w:rsid w:val="00CD387A"/>
    <w:rsid w:val="00CD60F4"/>
    <w:rsid w:val="00CF2CBA"/>
    <w:rsid w:val="00D86F79"/>
    <w:rsid w:val="00E04EDE"/>
    <w:rsid w:val="00E6339F"/>
    <w:rsid w:val="00EA6A01"/>
    <w:rsid w:val="00EA746C"/>
    <w:rsid w:val="00F10948"/>
    <w:rsid w:val="00F33C6A"/>
    <w:rsid w:val="015E31C6"/>
    <w:rsid w:val="01692609"/>
    <w:rsid w:val="01740A3E"/>
    <w:rsid w:val="01E947E0"/>
    <w:rsid w:val="025E6B03"/>
    <w:rsid w:val="02A64F1F"/>
    <w:rsid w:val="02A83CF3"/>
    <w:rsid w:val="02F324A6"/>
    <w:rsid w:val="030E6A93"/>
    <w:rsid w:val="03883C48"/>
    <w:rsid w:val="039946DB"/>
    <w:rsid w:val="03997945"/>
    <w:rsid w:val="04211B04"/>
    <w:rsid w:val="044115C5"/>
    <w:rsid w:val="04841371"/>
    <w:rsid w:val="05D954E1"/>
    <w:rsid w:val="06401ABF"/>
    <w:rsid w:val="065341F5"/>
    <w:rsid w:val="06A11826"/>
    <w:rsid w:val="072E6AC7"/>
    <w:rsid w:val="075922F0"/>
    <w:rsid w:val="077C614B"/>
    <w:rsid w:val="078C1DE2"/>
    <w:rsid w:val="07991E15"/>
    <w:rsid w:val="082E2B72"/>
    <w:rsid w:val="0895366B"/>
    <w:rsid w:val="089E72F7"/>
    <w:rsid w:val="08FF6141"/>
    <w:rsid w:val="094B445A"/>
    <w:rsid w:val="09574CE1"/>
    <w:rsid w:val="0970589C"/>
    <w:rsid w:val="09E10EA1"/>
    <w:rsid w:val="0A091238"/>
    <w:rsid w:val="0B0D4D5E"/>
    <w:rsid w:val="0B0D78B1"/>
    <w:rsid w:val="0B7B5AAA"/>
    <w:rsid w:val="0BC127C6"/>
    <w:rsid w:val="0BD12C93"/>
    <w:rsid w:val="0C531AD5"/>
    <w:rsid w:val="0C814FB5"/>
    <w:rsid w:val="0C8E348A"/>
    <w:rsid w:val="0DD47503"/>
    <w:rsid w:val="0E844204"/>
    <w:rsid w:val="0E931439"/>
    <w:rsid w:val="0F2C2CE5"/>
    <w:rsid w:val="0F3D3EBD"/>
    <w:rsid w:val="0F4B1F07"/>
    <w:rsid w:val="0F9561D2"/>
    <w:rsid w:val="0FBD7731"/>
    <w:rsid w:val="10E52D05"/>
    <w:rsid w:val="112D386C"/>
    <w:rsid w:val="12216138"/>
    <w:rsid w:val="12832F24"/>
    <w:rsid w:val="12BB151C"/>
    <w:rsid w:val="12DD20C6"/>
    <w:rsid w:val="12F62AFA"/>
    <w:rsid w:val="132950AE"/>
    <w:rsid w:val="13564AE9"/>
    <w:rsid w:val="13905330"/>
    <w:rsid w:val="14E63031"/>
    <w:rsid w:val="15F670E4"/>
    <w:rsid w:val="160C0D5E"/>
    <w:rsid w:val="16941459"/>
    <w:rsid w:val="17892917"/>
    <w:rsid w:val="18370F18"/>
    <w:rsid w:val="18C343E3"/>
    <w:rsid w:val="18FF058F"/>
    <w:rsid w:val="195503F8"/>
    <w:rsid w:val="19614CD7"/>
    <w:rsid w:val="197256DC"/>
    <w:rsid w:val="19990CBA"/>
    <w:rsid w:val="19D20BB2"/>
    <w:rsid w:val="1A40114F"/>
    <w:rsid w:val="1ACB5E3E"/>
    <w:rsid w:val="1B75321B"/>
    <w:rsid w:val="1BD52968"/>
    <w:rsid w:val="1BE36682"/>
    <w:rsid w:val="1BF46631"/>
    <w:rsid w:val="1BFB6B9A"/>
    <w:rsid w:val="1C9C233E"/>
    <w:rsid w:val="1D695546"/>
    <w:rsid w:val="1DA12F79"/>
    <w:rsid w:val="1EFD5C5C"/>
    <w:rsid w:val="1F442A3C"/>
    <w:rsid w:val="1FC07688"/>
    <w:rsid w:val="205468D9"/>
    <w:rsid w:val="206C7B45"/>
    <w:rsid w:val="21A3482A"/>
    <w:rsid w:val="222D7A3A"/>
    <w:rsid w:val="22661730"/>
    <w:rsid w:val="22EB0C62"/>
    <w:rsid w:val="233B12F9"/>
    <w:rsid w:val="237C4E85"/>
    <w:rsid w:val="24090D6C"/>
    <w:rsid w:val="2420418B"/>
    <w:rsid w:val="24364055"/>
    <w:rsid w:val="24F44711"/>
    <w:rsid w:val="263D7A9B"/>
    <w:rsid w:val="278C00A1"/>
    <w:rsid w:val="28640A91"/>
    <w:rsid w:val="28E364DF"/>
    <w:rsid w:val="290D168C"/>
    <w:rsid w:val="2A44217A"/>
    <w:rsid w:val="2AA34866"/>
    <w:rsid w:val="2B63370E"/>
    <w:rsid w:val="2B86632C"/>
    <w:rsid w:val="2C7C0E76"/>
    <w:rsid w:val="2CA57952"/>
    <w:rsid w:val="2D5E6870"/>
    <w:rsid w:val="2DC40F7C"/>
    <w:rsid w:val="2EF24128"/>
    <w:rsid w:val="2EF374D8"/>
    <w:rsid w:val="2F080529"/>
    <w:rsid w:val="30287D12"/>
    <w:rsid w:val="30AC7F07"/>
    <w:rsid w:val="30E0729F"/>
    <w:rsid w:val="312F7525"/>
    <w:rsid w:val="320A4D54"/>
    <w:rsid w:val="32652CEC"/>
    <w:rsid w:val="329516B1"/>
    <w:rsid w:val="331F02F9"/>
    <w:rsid w:val="332649B9"/>
    <w:rsid w:val="333D1605"/>
    <w:rsid w:val="34B62B0C"/>
    <w:rsid w:val="352E68D6"/>
    <w:rsid w:val="35510538"/>
    <w:rsid w:val="358B6853"/>
    <w:rsid w:val="359306D7"/>
    <w:rsid w:val="361B0B56"/>
    <w:rsid w:val="373B0A92"/>
    <w:rsid w:val="37512F47"/>
    <w:rsid w:val="37544CE2"/>
    <w:rsid w:val="375D7127"/>
    <w:rsid w:val="37EF546B"/>
    <w:rsid w:val="37FA13DE"/>
    <w:rsid w:val="3804703C"/>
    <w:rsid w:val="38E54C64"/>
    <w:rsid w:val="393B018A"/>
    <w:rsid w:val="3A38378D"/>
    <w:rsid w:val="3A601830"/>
    <w:rsid w:val="3AFE388C"/>
    <w:rsid w:val="3B0759C0"/>
    <w:rsid w:val="3B681795"/>
    <w:rsid w:val="3C217BCF"/>
    <w:rsid w:val="3C68390F"/>
    <w:rsid w:val="3DA87C18"/>
    <w:rsid w:val="3DCC538B"/>
    <w:rsid w:val="3EE33EF1"/>
    <w:rsid w:val="40787E6D"/>
    <w:rsid w:val="41422DF1"/>
    <w:rsid w:val="420A6E77"/>
    <w:rsid w:val="426F4505"/>
    <w:rsid w:val="429526AB"/>
    <w:rsid w:val="42DF6E8D"/>
    <w:rsid w:val="43226061"/>
    <w:rsid w:val="433B22D3"/>
    <w:rsid w:val="436E3E99"/>
    <w:rsid w:val="43831C37"/>
    <w:rsid w:val="446575CE"/>
    <w:rsid w:val="45197BD3"/>
    <w:rsid w:val="454C3ED7"/>
    <w:rsid w:val="4597553F"/>
    <w:rsid w:val="45AE0B0A"/>
    <w:rsid w:val="45E50DDE"/>
    <w:rsid w:val="45F13A63"/>
    <w:rsid w:val="47EB3365"/>
    <w:rsid w:val="488170A2"/>
    <w:rsid w:val="48E96C08"/>
    <w:rsid w:val="49254C63"/>
    <w:rsid w:val="495612DF"/>
    <w:rsid w:val="495D5C0E"/>
    <w:rsid w:val="4A04646A"/>
    <w:rsid w:val="4C134F66"/>
    <w:rsid w:val="4C2C0B1C"/>
    <w:rsid w:val="4C5635FB"/>
    <w:rsid w:val="4D0A702E"/>
    <w:rsid w:val="4D0C40F4"/>
    <w:rsid w:val="4DB556A7"/>
    <w:rsid w:val="4DB753D3"/>
    <w:rsid w:val="4E5B0884"/>
    <w:rsid w:val="4E9910B9"/>
    <w:rsid w:val="4EB71549"/>
    <w:rsid w:val="4F281CCB"/>
    <w:rsid w:val="4F414E95"/>
    <w:rsid w:val="4F617919"/>
    <w:rsid w:val="50212CC7"/>
    <w:rsid w:val="50C209B0"/>
    <w:rsid w:val="50DC5F4B"/>
    <w:rsid w:val="5110065E"/>
    <w:rsid w:val="511C792A"/>
    <w:rsid w:val="51815009"/>
    <w:rsid w:val="51F3588A"/>
    <w:rsid w:val="52367856"/>
    <w:rsid w:val="52787292"/>
    <w:rsid w:val="538E25B9"/>
    <w:rsid w:val="53D02DBE"/>
    <w:rsid w:val="545610D0"/>
    <w:rsid w:val="56032DDC"/>
    <w:rsid w:val="5659688F"/>
    <w:rsid w:val="572473EA"/>
    <w:rsid w:val="573D1B25"/>
    <w:rsid w:val="57920C49"/>
    <w:rsid w:val="57C77B3C"/>
    <w:rsid w:val="58881096"/>
    <w:rsid w:val="58AD287F"/>
    <w:rsid w:val="58DD5860"/>
    <w:rsid w:val="58E64232"/>
    <w:rsid w:val="597F2150"/>
    <w:rsid w:val="59CC5F77"/>
    <w:rsid w:val="59FF5492"/>
    <w:rsid w:val="5A762688"/>
    <w:rsid w:val="5AAF1DE5"/>
    <w:rsid w:val="5ACA1B05"/>
    <w:rsid w:val="5B894243"/>
    <w:rsid w:val="5C33682C"/>
    <w:rsid w:val="5C7E3142"/>
    <w:rsid w:val="5D555B43"/>
    <w:rsid w:val="5D6478E2"/>
    <w:rsid w:val="5DC5509F"/>
    <w:rsid w:val="5DCF3A19"/>
    <w:rsid w:val="5DD44146"/>
    <w:rsid w:val="5E344BC3"/>
    <w:rsid w:val="5E667E4D"/>
    <w:rsid w:val="5E98435F"/>
    <w:rsid w:val="5F9F1B98"/>
    <w:rsid w:val="5FCD62C8"/>
    <w:rsid w:val="5FF25FD0"/>
    <w:rsid w:val="61162FCA"/>
    <w:rsid w:val="614D2B59"/>
    <w:rsid w:val="61753CA8"/>
    <w:rsid w:val="61CF5DC7"/>
    <w:rsid w:val="62F83C3C"/>
    <w:rsid w:val="63B744D6"/>
    <w:rsid w:val="652C4270"/>
    <w:rsid w:val="66D044BD"/>
    <w:rsid w:val="66F23B87"/>
    <w:rsid w:val="677E5E03"/>
    <w:rsid w:val="679E35B7"/>
    <w:rsid w:val="68354CF8"/>
    <w:rsid w:val="68B622CA"/>
    <w:rsid w:val="69B214FB"/>
    <w:rsid w:val="6A8566A3"/>
    <w:rsid w:val="6BF73B14"/>
    <w:rsid w:val="6C3C5C10"/>
    <w:rsid w:val="6C406133"/>
    <w:rsid w:val="6CA66E7D"/>
    <w:rsid w:val="6CAA7DDB"/>
    <w:rsid w:val="6CCB4EBD"/>
    <w:rsid w:val="6CE00529"/>
    <w:rsid w:val="6D642B90"/>
    <w:rsid w:val="6DDC0A2C"/>
    <w:rsid w:val="6E0E5569"/>
    <w:rsid w:val="6E810A4E"/>
    <w:rsid w:val="6EE75D89"/>
    <w:rsid w:val="709E2068"/>
    <w:rsid w:val="7111296A"/>
    <w:rsid w:val="717A73CF"/>
    <w:rsid w:val="71BD468B"/>
    <w:rsid w:val="71F70712"/>
    <w:rsid w:val="72166217"/>
    <w:rsid w:val="72B3387A"/>
    <w:rsid w:val="72E31638"/>
    <w:rsid w:val="72E51544"/>
    <w:rsid w:val="74BB427E"/>
    <w:rsid w:val="74C46B8A"/>
    <w:rsid w:val="7535315B"/>
    <w:rsid w:val="754F685E"/>
    <w:rsid w:val="756D2844"/>
    <w:rsid w:val="75A01ABB"/>
    <w:rsid w:val="75C3650E"/>
    <w:rsid w:val="75D40A3E"/>
    <w:rsid w:val="761843FD"/>
    <w:rsid w:val="764B0D01"/>
    <w:rsid w:val="77E467A6"/>
    <w:rsid w:val="77F53955"/>
    <w:rsid w:val="785928D7"/>
    <w:rsid w:val="78A22CBB"/>
    <w:rsid w:val="798121AB"/>
    <w:rsid w:val="79DE1494"/>
    <w:rsid w:val="7A4361C7"/>
    <w:rsid w:val="7A87321D"/>
    <w:rsid w:val="7AC07388"/>
    <w:rsid w:val="7BB53201"/>
    <w:rsid w:val="7C8F4D2C"/>
    <w:rsid w:val="7CA96770"/>
    <w:rsid w:val="7E005F42"/>
    <w:rsid w:val="7E97171B"/>
    <w:rsid w:val="7EC365CA"/>
    <w:rsid w:val="7ED36C77"/>
    <w:rsid w:val="7EF54834"/>
    <w:rsid w:val="7F3C1CD3"/>
    <w:rsid w:val="7F7424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1385" w:firstLineChars="200"/>
      <w:jc w:val="both"/>
    </w:pPr>
    <w:rPr>
      <w:rFonts w:ascii="Calibri" w:hAnsi="Calibri" w:eastAsia="华文中宋" w:cs="Times New Roman"/>
      <w:kern w:val="2"/>
      <w:sz w:val="24"/>
      <w:szCs w:val="22"/>
      <w:lang w:val="en-US" w:eastAsia="zh-CN" w:bidi="ar-SA"/>
    </w:rPr>
  </w:style>
  <w:style w:type="paragraph" w:styleId="2">
    <w:name w:val="heading 1"/>
    <w:basedOn w:val="1"/>
    <w:next w:val="1"/>
    <w:link w:val="19"/>
    <w:qFormat/>
    <w:uiPriority w:val="99"/>
    <w:pPr>
      <w:keepNext/>
      <w:keepLines/>
      <w:spacing w:beforeLines="50" w:afterLines="50"/>
      <w:ind w:firstLine="0" w:firstLineChars="0"/>
      <w:jc w:val="center"/>
      <w:outlineLvl w:val="0"/>
    </w:pPr>
    <w:rPr>
      <w:b/>
      <w:spacing w:val="34"/>
      <w:kern w:val="44"/>
      <w:sz w:val="32"/>
    </w:rPr>
  </w:style>
  <w:style w:type="paragraph" w:styleId="3">
    <w:name w:val="heading 2"/>
    <w:basedOn w:val="1"/>
    <w:next w:val="4"/>
    <w:link w:val="20"/>
    <w:qFormat/>
    <w:uiPriority w:val="99"/>
    <w:pPr>
      <w:keepNext/>
      <w:numPr>
        <w:ilvl w:val="0"/>
        <w:numId w:val="1"/>
      </w:numPr>
      <w:tabs>
        <w:tab w:val="clear" w:pos="1080"/>
      </w:tabs>
      <w:autoSpaceDE w:val="0"/>
      <w:autoSpaceDN w:val="0"/>
      <w:adjustRightInd w:val="0"/>
      <w:ind w:left="0" w:firstLine="0" w:firstLineChars="0"/>
      <w:jc w:val="left"/>
      <w:textAlignment w:val="baseline"/>
      <w:outlineLvl w:val="1"/>
    </w:pPr>
    <w:rPr>
      <w:rFonts w:ascii="楷体_GB2312" w:hAnsi="楷体_GB2312"/>
      <w:b/>
      <w:kern w:val="0"/>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7">
    <w:name w:val="Default Paragraph Font"/>
    <w:semiHidden/>
    <w:qFormat/>
    <w:uiPriority w:val="99"/>
  </w:style>
  <w:style w:type="table" w:default="1" w:styleId="15">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style>
  <w:style w:type="paragraph" w:styleId="6">
    <w:name w:val="caption"/>
    <w:basedOn w:val="1"/>
    <w:next w:val="1"/>
    <w:qFormat/>
    <w:uiPriority w:val="99"/>
    <w:rPr>
      <w:rFonts w:ascii="Arial" w:hAnsi="Arial" w:eastAsia="黑体" w:cs="Arial"/>
      <w:sz w:val="20"/>
    </w:rPr>
  </w:style>
  <w:style w:type="paragraph" w:styleId="7">
    <w:name w:val="toc 3"/>
    <w:basedOn w:val="1"/>
    <w:next w:val="1"/>
    <w:qFormat/>
    <w:uiPriority w:val="99"/>
    <w:pPr>
      <w:tabs>
        <w:tab w:val="right" w:leader="dot" w:pos="8494"/>
      </w:tabs>
      <w:ind w:left="960" w:leftChars="400"/>
    </w:pPr>
    <w:rPr>
      <w:rFonts w:eastAsia="仿宋_GB2312"/>
      <w:bCs/>
      <w:sz w:val="28"/>
      <w:szCs w:val="28"/>
    </w:rPr>
  </w:style>
  <w:style w:type="paragraph" w:styleId="8">
    <w:name w:val="Plain Text"/>
    <w:basedOn w:val="1"/>
    <w:link w:val="22"/>
    <w:qFormat/>
    <w:uiPriority w:val="99"/>
    <w:rPr>
      <w:rFonts w:ascii="宋体" w:hAnsi="Courier New"/>
      <w:sz w:val="21"/>
    </w:rPr>
  </w:style>
  <w:style w:type="paragraph" w:styleId="9">
    <w:name w:val="Balloon Text"/>
    <w:basedOn w:val="1"/>
    <w:link w:val="23"/>
    <w:semiHidden/>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sz w:val="18"/>
    </w:rPr>
  </w:style>
  <w:style w:type="paragraph" w:styleId="11">
    <w:name w:val="header"/>
    <w:basedOn w:val="1"/>
    <w:link w:val="25"/>
    <w:qFormat/>
    <w:uiPriority w:val="99"/>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99"/>
    <w:pPr>
      <w:tabs>
        <w:tab w:val="right" w:leader="dot" w:pos="9176"/>
      </w:tabs>
      <w:ind w:firstLine="560"/>
    </w:pPr>
    <w:rPr>
      <w:b/>
      <w:bCs/>
      <w:sz w:val="28"/>
      <w:szCs w:val="28"/>
    </w:rPr>
  </w:style>
  <w:style w:type="paragraph" w:styleId="13">
    <w:name w:val="toc 2"/>
    <w:basedOn w:val="1"/>
    <w:next w:val="1"/>
    <w:qFormat/>
    <w:uiPriority w:val="99"/>
    <w:pPr>
      <w:tabs>
        <w:tab w:val="right" w:leader="dot" w:pos="8494"/>
      </w:tabs>
      <w:ind w:left="480" w:leftChars="200"/>
    </w:pPr>
    <w:rPr>
      <w:rFonts w:ascii="仿宋_GB2312" w:eastAsia="仿宋_GB2312"/>
      <w:iCs/>
      <w:sz w:val="28"/>
      <w:szCs w:val="28"/>
    </w:rPr>
  </w:style>
  <w:style w:type="paragraph" w:styleId="14">
    <w:name w:val="Normal (Web)"/>
    <w:basedOn w:val="1"/>
    <w:qFormat/>
    <w:uiPriority w:val="99"/>
    <w:pPr>
      <w:widowControl/>
      <w:spacing w:beforeAutospacing="1" w:afterAutospacing="1"/>
      <w:jc w:val="left"/>
    </w:pPr>
    <w:rPr>
      <w:rFonts w:ascii="宋体" w:hAnsi="宋体" w:cs="宋体"/>
      <w:kern w:val="0"/>
    </w:rPr>
  </w:style>
  <w:style w:type="table" w:styleId="16">
    <w:name w:val="Table Grid"/>
    <w:basedOn w:val="1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qFormat/>
    <w:uiPriority w:val="99"/>
    <w:rPr>
      <w:rFonts w:cs="Times New Roman"/>
      <w:color w:val="0000FF"/>
      <w:u w:val="single"/>
    </w:rPr>
  </w:style>
  <w:style w:type="character" w:customStyle="1" w:styleId="19">
    <w:name w:val="Heading 1 Char"/>
    <w:basedOn w:val="17"/>
    <w:link w:val="2"/>
    <w:qFormat/>
    <w:uiPriority w:val="9"/>
    <w:rPr>
      <w:rFonts w:ascii="Calibri" w:hAnsi="Calibri" w:eastAsia="华文中宋"/>
      <w:b/>
      <w:bCs/>
      <w:kern w:val="44"/>
      <w:sz w:val="44"/>
      <w:szCs w:val="44"/>
    </w:rPr>
  </w:style>
  <w:style w:type="character" w:customStyle="1" w:styleId="20">
    <w:name w:val="Heading 2 Char"/>
    <w:basedOn w:val="17"/>
    <w:link w:val="3"/>
    <w:semiHidden/>
    <w:qFormat/>
    <w:locked/>
    <w:uiPriority w:val="99"/>
    <w:rPr>
      <w:rFonts w:ascii="Cambria" w:hAnsi="楷体_GB2312" w:eastAsia="华文中宋" w:cs="Times New Roman"/>
      <w:b/>
      <w:bCs/>
      <w:sz w:val="32"/>
      <w:szCs w:val="32"/>
    </w:rPr>
  </w:style>
  <w:style w:type="character" w:customStyle="1" w:styleId="21">
    <w:name w:val="Heading 3 Char"/>
    <w:basedOn w:val="17"/>
    <w:link w:val="5"/>
    <w:semiHidden/>
    <w:qFormat/>
    <w:locked/>
    <w:uiPriority w:val="99"/>
    <w:rPr>
      <w:rFonts w:ascii="Calibri" w:hAnsi="Calibri" w:cs="Times New Roman"/>
      <w:b/>
      <w:bCs/>
      <w:sz w:val="32"/>
      <w:szCs w:val="32"/>
    </w:rPr>
  </w:style>
  <w:style w:type="character" w:customStyle="1" w:styleId="22">
    <w:name w:val="Plain Text Char"/>
    <w:basedOn w:val="17"/>
    <w:link w:val="8"/>
    <w:semiHidden/>
    <w:qFormat/>
    <w:locked/>
    <w:uiPriority w:val="99"/>
    <w:rPr>
      <w:rFonts w:ascii="宋体" w:hAnsi="Courier New" w:cs="Courier New"/>
      <w:sz w:val="21"/>
      <w:szCs w:val="21"/>
    </w:rPr>
  </w:style>
  <w:style w:type="character" w:customStyle="1" w:styleId="23">
    <w:name w:val="Balloon Text Char"/>
    <w:basedOn w:val="17"/>
    <w:link w:val="9"/>
    <w:semiHidden/>
    <w:qFormat/>
    <w:locked/>
    <w:uiPriority w:val="99"/>
    <w:rPr>
      <w:rFonts w:ascii="Calibri" w:hAnsi="Calibri" w:cs="Times New Roman"/>
      <w:sz w:val="2"/>
    </w:rPr>
  </w:style>
  <w:style w:type="character" w:customStyle="1" w:styleId="24">
    <w:name w:val="Footer Char"/>
    <w:basedOn w:val="17"/>
    <w:link w:val="10"/>
    <w:semiHidden/>
    <w:qFormat/>
    <w:locked/>
    <w:uiPriority w:val="99"/>
    <w:rPr>
      <w:rFonts w:ascii="Calibri" w:hAnsi="Calibri" w:cs="Times New Roman"/>
      <w:sz w:val="18"/>
      <w:szCs w:val="18"/>
    </w:rPr>
  </w:style>
  <w:style w:type="character" w:customStyle="1" w:styleId="25">
    <w:name w:val="Header Char"/>
    <w:basedOn w:val="17"/>
    <w:link w:val="11"/>
    <w:semiHidden/>
    <w:qFormat/>
    <w:locked/>
    <w:uiPriority w:val="99"/>
    <w:rPr>
      <w:rFonts w:ascii="Calibri" w:hAnsi="Calibri" w:cs="Times New Roman"/>
      <w:sz w:val="18"/>
      <w:szCs w:val="18"/>
    </w:rPr>
  </w:style>
  <w:style w:type="paragraph" w:customStyle="1" w:styleId="26">
    <w:name w:val="Char Char Char"/>
    <w:basedOn w:val="1"/>
    <w:qFormat/>
    <w:uiPriority w:val="99"/>
    <w:pPr>
      <w:widowControl/>
      <w:spacing w:line="240" w:lineRule="exact"/>
      <w:jc w:val="left"/>
    </w:pPr>
    <w:rPr>
      <w:sz w:val="21"/>
      <w:szCs w:val="20"/>
    </w:rPr>
  </w:style>
  <w:style w:type="paragraph" w:customStyle="1" w:styleId="27">
    <w:name w:val="24磅报告正文"/>
    <w:basedOn w:val="28"/>
    <w:qFormat/>
    <w:uiPriority w:val="99"/>
  </w:style>
  <w:style w:type="paragraph" w:customStyle="1" w:styleId="28">
    <w:name w:val="样式 纯文本 + (西文) Times New Roman (中文) 仿宋_GB2312 14 磅 行距: 固定值 28 ..."/>
    <w:basedOn w:val="8"/>
    <w:qFormat/>
    <w:uiPriority w:val="99"/>
    <w:pPr>
      <w:ind w:firstLine="200"/>
    </w:pPr>
    <w:rPr>
      <w:rFonts w:ascii="Times New Roman" w:hAnsi="Times New Roman" w:eastAsia="仿宋_GB2312" w:cs="宋体"/>
      <w:sz w:val="28"/>
    </w:rPr>
  </w:style>
  <w:style w:type="paragraph" w:customStyle="1" w:styleId="29">
    <w:name w:val="Plain Text1"/>
    <w:basedOn w:val="1"/>
    <w:qFormat/>
    <w:uiPriority w:val="99"/>
    <w:pPr>
      <w:adjustRightInd w:val="0"/>
      <w:textAlignment w:val="baseline"/>
    </w:pPr>
    <w:rPr>
      <w:rFonts w:ascii="宋体" w:hAnsi="Courier New"/>
      <w:sz w:val="21"/>
    </w:rPr>
  </w:style>
  <w:style w:type="character" w:customStyle="1" w:styleId="30">
    <w:name w:val="font11"/>
    <w:basedOn w:val="17"/>
    <w:qFormat/>
    <w:uiPriority w:val="99"/>
    <w:rPr>
      <w:rFonts w:ascii="华文中宋" w:hAnsi="华文中宋" w:eastAsia="华文中宋" w:cs="华文中宋"/>
      <w:b/>
      <w:color w:val="000000"/>
      <w:sz w:val="18"/>
      <w:szCs w:val="18"/>
      <w:u w:val="none"/>
    </w:rPr>
  </w:style>
  <w:style w:type="character" w:customStyle="1" w:styleId="31">
    <w:name w:val="font41"/>
    <w:basedOn w:val="17"/>
    <w:qFormat/>
    <w:uiPriority w:val="0"/>
    <w:rPr>
      <w:rFonts w:hint="default" w:ascii="Times New Roman" w:hAnsi="Times New Roman" w:cs="Times New Roman"/>
      <w:color w:val="000000"/>
      <w:sz w:val="18"/>
      <w:szCs w:val="18"/>
      <w:u w:val="none"/>
    </w:rPr>
  </w:style>
  <w:style w:type="character" w:customStyle="1" w:styleId="32">
    <w:name w:val="font31"/>
    <w:basedOn w:val="17"/>
    <w:qFormat/>
    <w:uiPriority w:val="0"/>
    <w:rPr>
      <w:rFonts w:hint="default" w:ascii="Times New Roman" w:hAnsi="Times New Roman" w:cs="Times New Roman"/>
      <w:color w:val="000000"/>
      <w:sz w:val="18"/>
      <w:szCs w:val="18"/>
      <w:u w:val="none"/>
      <w:vertAlign w:val="superscript"/>
    </w:rPr>
  </w:style>
  <w:style w:type="character" w:customStyle="1" w:styleId="33">
    <w:name w:val="font51"/>
    <w:basedOn w:val="17"/>
    <w:qFormat/>
    <w:uiPriority w:val="0"/>
    <w:rPr>
      <w:rFonts w:hint="eastAsia" w:ascii="华文中宋" w:hAnsi="华文中宋" w:eastAsia="华文中宋" w:cs="华文中宋"/>
      <w:color w:val="000000"/>
      <w:sz w:val="18"/>
      <w:szCs w:val="18"/>
      <w:u w:val="none"/>
    </w:rPr>
  </w:style>
  <w:style w:type="character" w:customStyle="1" w:styleId="34">
    <w:name w:val="font21"/>
    <w:basedOn w:val="17"/>
    <w:qFormat/>
    <w:uiPriority w:val="0"/>
    <w:rPr>
      <w:rFonts w:hint="default" w:ascii="Times New Roman" w:hAnsi="Times New Roman" w:cs="Times New Roman"/>
      <w:color w:val="000000"/>
      <w:sz w:val="18"/>
      <w:szCs w:val="18"/>
      <w:u w:val="none"/>
      <w:vertAlign w:val="superscript"/>
    </w:rPr>
  </w:style>
  <w:style w:type="character" w:customStyle="1" w:styleId="35">
    <w:name w:val="font01"/>
    <w:basedOn w:val="17"/>
    <w:qFormat/>
    <w:uiPriority w:val="0"/>
    <w:rPr>
      <w:rFonts w:hint="default" w:ascii="Times New Roman" w:hAnsi="Times New Roman" w:cs="Times New Roman"/>
      <w:color w:val="000000"/>
      <w:sz w:val="18"/>
      <w:szCs w:val="18"/>
      <w:u w:val="none"/>
      <w:vertAlign w:val="superscript"/>
    </w:rPr>
  </w:style>
  <w:style w:type="paragraph" w:customStyle="1" w:styleId="36">
    <w:name w:val="zw"/>
    <w:basedOn w:val="1"/>
    <w:qFormat/>
    <w:uiPriority w:val="0"/>
    <w:pPr>
      <w:adjustRightInd w:val="0"/>
      <w:spacing w:line="360" w:lineRule="auto"/>
      <w:ind w:firstLine="482"/>
      <w:textAlignment w:val="baseline"/>
    </w:pPr>
    <w:rPr>
      <w:rFonts w:ascii="Arial Narrow" w:hAnsi="Arial Narrow" w:eastAsia="仿宋_GB2312"/>
      <w:kern w:val="0"/>
      <w:sz w:val="24"/>
    </w:rPr>
  </w:style>
  <w:style w:type="paragraph" w:customStyle="1" w:styleId="37">
    <w:name w:val="Plain Text"/>
    <w:basedOn w:val="1"/>
    <w:qFormat/>
    <w:uiPriority w:val="0"/>
    <w:pPr>
      <w:adjustRightInd w:val="0"/>
      <w:textAlignment w:val="baseline"/>
    </w:pPr>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12.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4"/>
    <customShpInfo spid="_x0000_s2059"/>
    <customShpInfo spid="_x0000_s2060"/>
    <customShpInfo spid="_x0000_s20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17</Pages>
  <Words>1592</Words>
  <Characters>9080</Characters>
  <Lines>0</Lines>
  <Paragraphs>0</Paragraphs>
  <TotalTime>34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2016-11-22T04:36:00Z</dcterms:created>
  <dc:creator>Administrator</dc:creator>
  <cp:lastModifiedBy>能过则过</cp:lastModifiedBy>
  <cp:lastPrinted>2019-01-07T00:25:00Z</cp:lastPrinted>
  <dcterms:modified xsi:type="dcterms:W3CDTF">2020-06-16T07:12:20Z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