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right"/>
        <w:rPr>
          <w:rFonts w:ascii="Times New Roman" w:hAnsi="Times New Roman" w:eastAsia="宋体" w:cs="Times New Roman"/>
          <w:sz w:val="24"/>
          <w:szCs w:val="24"/>
        </w:rPr>
      </w:pPr>
      <w:bookmarkStart w:id="194" w:name="_GoBack"/>
      <w:bookmarkEnd w:id="194"/>
      <w:r>
        <w:rPr>
          <w:rFonts w:hint="eastAsia" w:ascii="Times New Roman" w:hAnsi="Times New Roman" w:eastAsia="宋体" w:cs="Times New Roman"/>
          <w:sz w:val="24"/>
          <w:szCs w:val="24"/>
        </w:rPr>
        <w:t>鹏信房估字[2020]第CSC003号</w:t>
      </w:r>
    </w:p>
    <w:p>
      <w:pPr>
        <w:widowControl/>
        <w:wordWrap w:val="0"/>
        <w:ind w:right="480"/>
        <w:jc w:val="right"/>
        <w:rPr>
          <w:rFonts w:hint="eastAsia"/>
        </w:rPr>
      </w:pPr>
      <w:r>
        <w:rPr>
          <w:rFonts w:hint="eastAsia" w:ascii="宋体" w:hAnsi="宋体" w:eastAsia="宋体" w:cs="宋体"/>
          <w:kern w:val="0"/>
          <w:sz w:val="24"/>
          <w:szCs w:val="24"/>
        </w:rPr>
        <w:t xml:space="preserve"> </w:t>
      </w:r>
    </w:p>
    <w:p>
      <w:pPr>
        <w:widowControl/>
        <w:ind w:right="480"/>
        <w:jc w:val="right"/>
        <w:rPr>
          <w:rFonts w:hint="eastAsia"/>
        </w:rPr>
      </w:pPr>
    </w:p>
    <w:p>
      <w:pPr>
        <w:widowControl/>
        <w:ind w:right="480"/>
        <w:jc w:val="right"/>
        <w:rPr>
          <w:rFonts w:ascii="宋体" w:hAnsi="宋体" w:eastAsia="宋体" w:cs="宋体"/>
          <w:kern w:val="0"/>
          <w:sz w:val="24"/>
          <w:szCs w:val="24"/>
        </w:rPr>
      </w:pPr>
      <w:r>
        <w:rPr>
          <w:rFonts w:hint="eastAsia" w:ascii="宋体" w:hAnsi="宋体" w:eastAsia="宋体" w:cs="宋体"/>
          <w:kern w:val="0"/>
          <w:sz w:val="24"/>
          <w:szCs w:val="24"/>
        </w:rPr>
        <w:t xml:space="preserve"> </w:t>
      </w:r>
    </w:p>
    <w:p>
      <w:pPr>
        <w:spacing w:line="500" w:lineRule="exact"/>
        <w:jc w:val="center"/>
        <w:rPr>
          <w:rFonts w:ascii="Times New Roman" w:hAnsi="Times New Roman" w:eastAsia="宋体" w:cs="Times New Roman"/>
          <w:szCs w:val="21"/>
        </w:rPr>
      </w:pPr>
      <w:r>
        <w:rPr>
          <w:rFonts w:ascii="Times New Roman" w:hAnsi="Times New Roman" w:eastAsia="宋体" w:cs="Times New Roman"/>
          <w:sz w:val="24"/>
          <w:szCs w:val="24"/>
        </w:rPr>
        <w:t xml:space="preserve">                                               </w:t>
      </w:r>
      <w:r>
        <w:rPr>
          <w:rFonts w:ascii="Times New Roman" w:hAnsi="Times New Roman" w:eastAsia="宋体" w:cs="Times New Roman"/>
          <w:szCs w:val="21"/>
        </w:rPr>
        <w:t xml:space="preserve">  防伪二维码</w:t>
      </w:r>
    </w:p>
    <w:p>
      <w:pPr>
        <w:spacing w:before="300" w:beforeLines="100" w:after="300" w:afterLines="100" w:line="600" w:lineRule="exact"/>
        <w:jc w:val="center"/>
        <w:rPr>
          <w:rFonts w:ascii="Times New Roman" w:hAnsi="Times New Roman" w:eastAsia="宋体" w:cs="Times New Roman"/>
          <w:b/>
          <w:sz w:val="42"/>
          <w:szCs w:val="42"/>
        </w:rPr>
      </w:pPr>
      <w:r>
        <w:rPr>
          <w:rFonts w:hint="eastAsia" w:ascii="Times New Roman" w:hAnsi="Times New Roman" w:eastAsia="宋体" w:cs="Times New Roman"/>
          <w:b/>
          <w:sz w:val="42"/>
          <w:szCs w:val="42"/>
        </w:rPr>
        <w:t>关于成都市青白江区红阳教育街230号2栋2单</w:t>
      </w:r>
    </w:p>
    <w:p>
      <w:pPr>
        <w:spacing w:before="300" w:beforeLines="100" w:after="300" w:afterLines="100" w:line="600" w:lineRule="exact"/>
        <w:jc w:val="center"/>
        <w:rPr>
          <w:rFonts w:ascii="Times New Roman" w:hAnsi="Times New Roman" w:eastAsia="宋体" w:cs="Times New Roman"/>
          <w:b/>
          <w:spacing w:val="-12"/>
          <w:sz w:val="42"/>
          <w:szCs w:val="42"/>
        </w:rPr>
      </w:pPr>
      <w:r>
        <w:rPr>
          <w:rFonts w:hint="eastAsia" w:ascii="Times New Roman" w:hAnsi="Times New Roman" w:eastAsia="宋体" w:cs="Times New Roman"/>
          <w:b/>
          <w:sz w:val="42"/>
          <w:szCs w:val="42"/>
        </w:rPr>
        <w:t>元5层7号一套</w:t>
      </w:r>
      <w:r>
        <w:rPr>
          <w:rFonts w:hint="eastAsia" w:ascii="Times New Roman" w:hAnsi="Times New Roman" w:eastAsia="宋体" w:cs="Times New Roman"/>
          <w:b/>
          <w:sz w:val="42"/>
          <w:szCs w:val="42"/>
          <w:lang w:eastAsia="zh-CN"/>
        </w:rPr>
        <w:t>住宅</w:t>
      </w:r>
      <w:r>
        <w:rPr>
          <w:rFonts w:hint="eastAsia" w:ascii="Times New Roman" w:hAnsi="Times New Roman" w:eastAsia="宋体" w:cs="Times New Roman"/>
          <w:b/>
          <w:sz w:val="42"/>
          <w:szCs w:val="42"/>
        </w:rPr>
        <w:t>房地产市场价值评估</w:t>
      </w:r>
    </w:p>
    <w:p>
      <w:pPr>
        <w:spacing w:line="600" w:lineRule="exact"/>
        <w:jc w:val="center"/>
        <w:rPr>
          <w:rFonts w:ascii="Times New Roman" w:hAnsi="Times New Roman" w:eastAsia="宋体" w:cs="Times New Roman"/>
          <w:b/>
          <w:spacing w:val="-12"/>
          <w:sz w:val="44"/>
          <w:szCs w:val="44"/>
        </w:rPr>
      </w:pPr>
    </w:p>
    <w:p>
      <w:pPr>
        <w:spacing w:line="500" w:lineRule="exact"/>
        <w:jc w:val="center"/>
        <w:rPr>
          <w:rFonts w:ascii="Times New Roman" w:hAnsi="Times New Roman" w:eastAsia="黑体" w:cs="Times New Roman"/>
          <w:b/>
          <w:spacing w:val="40"/>
          <w:sz w:val="32"/>
          <w:szCs w:val="20"/>
        </w:rPr>
      </w:pPr>
    </w:p>
    <w:p>
      <w:pPr>
        <w:spacing w:line="500" w:lineRule="exact"/>
        <w:jc w:val="center"/>
        <w:rPr>
          <w:rFonts w:ascii="Times New Roman" w:hAnsi="Times New Roman" w:eastAsia="黑体" w:cs="Times New Roman"/>
          <w:b/>
          <w:spacing w:val="40"/>
          <w:sz w:val="32"/>
          <w:szCs w:val="20"/>
        </w:rPr>
      </w:pPr>
    </w:p>
    <w:p>
      <w:pPr>
        <w:spacing w:line="500" w:lineRule="exact"/>
        <w:jc w:val="center"/>
        <w:rPr>
          <w:rFonts w:ascii="Times New Roman" w:hAnsi="Times New Roman" w:eastAsia="黑体" w:cs="Times New Roman"/>
          <w:b/>
          <w:spacing w:val="40"/>
          <w:sz w:val="32"/>
          <w:szCs w:val="20"/>
        </w:rPr>
      </w:pPr>
    </w:p>
    <w:p>
      <w:pPr>
        <w:spacing w:line="360" w:lineRule="auto"/>
        <w:jc w:val="center"/>
        <w:rPr>
          <w:rFonts w:ascii="Times New Roman" w:hAnsi="Times New Roman" w:eastAsia="黑体" w:cs="Times New Roman"/>
          <w:b/>
          <w:spacing w:val="40"/>
          <w:sz w:val="84"/>
          <w:szCs w:val="84"/>
        </w:rPr>
        <w:sectPr>
          <w:headerReference r:id="rId3" w:type="default"/>
          <w:footerReference r:id="rId4" w:type="default"/>
          <w:footerReference r:id="rId5" w:type="even"/>
          <w:pgSz w:w="11907" w:h="16839"/>
          <w:pgMar w:top="2325" w:right="1503" w:bottom="1202" w:left="1503" w:header="0" w:footer="1361" w:gutter="0"/>
          <w:cols w:space="720" w:num="1"/>
          <w:docGrid w:type="lines" w:linePitch="300" w:charSpace="0"/>
        </w:sectPr>
      </w:pPr>
      <w:r>
        <w:rPr>
          <w:rFonts w:ascii="Times New Roman" w:hAnsi="Times New Roman" w:eastAsia="黑体" w:cs="Times New Roman"/>
          <w:b/>
          <w:spacing w:val="40"/>
          <w:sz w:val="84"/>
          <w:szCs w:val="84"/>
        </w:rPr>
        <w:t>报告书</w:t>
      </w:r>
    </w:p>
    <w:p>
      <w:pPr>
        <w:tabs>
          <w:tab w:val="left" w:pos="7980"/>
        </w:tabs>
        <w:spacing w:before="450" w:beforeLines="150" w:line="360" w:lineRule="auto"/>
        <w:ind w:right="-31" w:rightChars="-15" w:firstLine="442" w:firstLineChars="100"/>
        <w:rPr>
          <w:rFonts w:ascii="Times New Roman" w:hAnsi="Times New Roman" w:eastAsia="宋体" w:cs="Times New Roman"/>
          <w:b/>
          <w:sz w:val="44"/>
          <w:szCs w:val="44"/>
        </w:rPr>
      </w:pPr>
      <w:r>
        <w:rPr>
          <w:rFonts w:ascii="Times New Roman" w:hAnsi="Times New Roman" w:eastAsia="宋体" w:cs="Times New Roman"/>
          <w:b/>
          <w:sz w:val="44"/>
          <w:szCs w:val="44"/>
        </w:rPr>
        <w:t>房地产估价报告</w:t>
      </w:r>
    </w:p>
    <w:p>
      <w:pPr>
        <w:tabs>
          <w:tab w:val="left" w:pos="7980"/>
        </w:tabs>
        <w:spacing w:line="480" w:lineRule="auto"/>
        <w:ind w:left="420" w:leftChars="200" w:right="-31" w:rightChars="-15"/>
        <w:rPr>
          <w:rFonts w:ascii="Times New Roman" w:hAnsi="Times New Roman" w:eastAsia="宋体" w:cs="Times New Roman"/>
          <w:szCs w:val="21"/>
          <w:u w:val="thick"/>
        </w:rPr>
      </w:pPr>
      <w:r>
        <w:rPr>
          <w:rFonts w:ascii="Times New Roman" w:hAnsi="Times New Roman" w:eastAsia="宋体" w:cs="Times New Roman"/>
          <w:szCs w:val="21"/>
          <w:u w:val="thick"/>
        </w:rPr>
        <w:t xml:space="preserve">                                                                                 </w:t>
      </w:r>
    </w:p>
    <w:p>
      <w:pPr>
        <w:spacing w:line="600" w:lineRule="exact"/>
        <w:ind w:left="2249" w:hanging="2249" w:hangingChars="800"/>
        <w:jc w:val="left"/>
        <w:rPr>
          <w:rFonts w:ascii="Times New Roman" w:hAnsi="Times New Roman" w:eastAsia="宋体" w:cs="Times New Roman"/>
          <w:sz w:val="28"/>
          <w:szCs w:val="28"/>
        </w:rPr>
      </w:pPr>
      <w:r>
        <w:rPr>
          <w:rFonts w:hint="eastAsia" w:ascii="Times New Roman" w:hAnsi="Times New Roman" w:eastAsia="宋体" w:cs="Times New Roman"/>
          <w:b/>
          <w:sz w:val="28"/>
          <w:szCs w:val="28"/>
        </w:rPr>
        <w:t xml:space="preserve">  </w:t>
      </w:r>
      <w:r>
        <w:rPr>
          <w:rFonts w:ascii="Times New Roman" w:hAnsi="Times New Roman" w:eastAsia="宋体" w:cs="Times New Roman"/>
          <w:b/>
          <w:sz w:val="28"/>
          <w:szCs w:val="28"/>
        </w:rPr>
        <w:t>估价项目名称：</w:t>
      </w:r>
      <w:r>
        <w:rPr>
          <w:rFonts w:hint="eastAsia" w:ascii="Times New Roman" w:hAnsi="Times New Roman" w:eastAsia="宋体" w:cs="Times New Roman"/>
          <w:sz w:val="28"/>
          <w:szCs w:val="28"/>
        </w:rPr>
        <w:t>关于成都市青白江区红阳教育街230号2栋2单元5层7号一套</w:t>
      </w:r>
      <w:r>
        <w:rPr>
          <w:rFonts w:hint="eastAsia" w:ascii="Times New Roman" w:hAnsi="Times New Roman" w:eastAsia="宋体" w:cs="Times New Roman"/>
          <w:sz w:val="28"/>
          <w:szCs w:val="28"/>
          <w:lang w:eastAsia="zh-CN"/>
        </w:rPr>
        <w:t>住宅</w:t>
      </w:r>
      <w:r>
        <w:rPr>
          <w:rFonts w:hint="eastAsia" w:ascii="Times New Roman" w:hAnsi="Times New Roman" w:eastAsia="宋体" w:cs="Times New Roman"/>
          <w:sz w:val="28"/>
          <w:szCs w:val="28"/>
        </w:rPr>
        <w:t>房地产市场价值评估</w:t>
      </w:r>
    </w:p>
    <w:p>
      <w:pPr>
        <w:tabs>
          <w:tab w:val="left" w:pos="7980"/>
        </w:tabs>
        <w:ind w:left="1018" w:leftChars="199" w:right="-29" w:rightChars="-14" w:hanging="600" w:hangingChars="600"/>
        <w:rPr>
          <w:rFonts w:ascii="Times New Roman" w:hAnsi="Times New Roman" w:eastAsia="宋体" w:cs="Times New Roman"/>
          <w:sz w:val="28"/>
          <w:szCs w:val="28"/>
          <w:u w:val="single"/>
        </w:rPr>
      </w:pPr>
      <w:r>
        <w:rPr>
          <w:rFonts w:ascii="Times New Roman" w:hAnsi="Times New Roman" w:eastAsia="宋体" w:cs="Times New Roman"/>
          <w:sz w:val="10"/>
          <w:szCs w:val="10"/>
          <w:u w:val="single"/>
        </w:rPr>
        <w:t xml:space="preserve">                                                                                                                                                                         </w:t>
      </w:r>
    </w:p>
    <w:p>
      <w:pPr>
        <w:tabs>
          <w:tab w:val="left" w:pos="7980"/>
        </w:tabs>
        <w:ind w:left="1680" w:leftChars="200" w:right="-31" w:rightChars="-15" w:hanging="1260"/>
        <w:rPr>
          <w:rFonts w:ascii="Times New Roman" w:hAnsi="Times New Roman" w:eastAsia="宋体" w:cs="Times New Roman"/>
          <w:szCs w:val="21"/>
          <w:u w:val="thick"/>
        </w:rPr>
      </w:pPr>
    </w:p>
    <w:p>
      <w:pPr>
        <w:tabs>
          <w:tab w:val="left" w:pos="7980"/>
        </w:tabs>
        <w:ind w:left="2105" w:leftChars="199" w:right="-29" w:rightChars="-14" w:hanging="1687" w:hangingChars="600"/>
        <w:rPr>
          <w:rFonts w:ascii="Times New Roman" w:hAnsi="Times New Roman" w:eastAsia="宋体" w:cs="Times New Roman"/>
          <w:sz w:val="28"/>
          <w:szCs w:val="28"/>
        </w:rPr>
      </w:pPr>
      <w:r>
        <w:rPr>
          <w:rFonts w:ascii="Times New Roman" w:hAnsi="Times New Roman" w:eastAsia="宋体" w:cs="Times New Roman"/>
          <w:b/>
          <w:bCs/>
          <w:sz w:val="28"/>
          <w:szCs w:val="28"/>
        </w:rPr>
        <w:t>估价委托人：</w:t>
      </w:r>
      <w:r>
        <w:rPr>
          <w:rFonts w:hint="eastAsia" w:ascii="Times New Roman" w:hAnsi="Times New Roman" w:eastAsia="宋体" w:cs="Times New Roman"/>
          <w:sz w:val="28"/>
          <w:szCs w:val="28"/>
        </w:rPr>
        <w:t>成都市新都区人民法院</w:t>
      </w:r>
    </w:p>
    <w:p>
      <w:pPr>
        <w:tabs>
          <w:tab w:val="left" w:pos="7980"/>
        </w:tabs>
        <w:ind w:left="1018" w:leftChars="199" w:right="-29" w:rightChars="-14" w:hanging="600" w:hangingChars="600"/>
        <w:rPr>
          <w:rFonts w:ascii="Times New Roman" w:hAnsi="Times New Roman" w:eastAsia="宋体" w:cs="Times New Roman"/>
          <w:sz w:val="28"/>
          <w:szCs w:val="28"/>
          <w:u w:val="single"/>
        </w:rPr>
      </w:pPr>
      <w:r>
        <w:rPr>
          <w:rFonts w:ascii="Times New Roman" w:hAnsi="Times New Roman" w:eastAsia="宋体" w:cs="Times New Roman"/>
          <w:sz w:val="10"/>
          <w:szCs w:val="10"/>
          <w:u w:val="single"/>
        </w:rPr>
        <w:t xml:space="preserve">                                                                                                                                                                         </w:t>
      </w:r>
    </w:p>
    <w:p>
      <w:pPr>
        <w:tabs>
          <w:tab w:val="left" w:pos="7980"/>
        </w:tabs>
        <w:ind w:left="1680" w:leftChars="200" w:right="-31" w:rightChars="-15" w:hanging="1260"/>
        <w:rPr>
          <w:rFonts w:ascii="Times New Roman" w:hAnsi="Times New Roman" w:eastAsia="宋体" w:cs="Times New Roman"/>
          <w:szCs w:val="21"/>
          <w:u w:val="thick"/>
        </w:rPr>
      </w:pPr>
    </w:p>
    <w:p>
      <w:pPr>
        <w:tabs>
          <w:tab w:val="left" w:pos="7980"/>
        </w:tabs>
        <w:ind w:left="2105" w:leftChars="199" w:right="-29" w:rightChars="-14" w:hanging="1687" w:hangingChars="600"/>
        <w:rPr>
          <w:rFonts w:ascii="Times New Roman" w:hAnsi="Times New Roman" w:eastAsia="宋体" w:cs="Times New Roman"/>
          <w:sz w:val="28"/>
          <w:szCs w:val="28"/>
        </w:rPr>
      </w:pPr>
      <w:r>
        <w:rPr>
          <w:rFonts w:ascii="Times New Roman" w:hAnsi="Times New Roman" w:eastAsia="宋体" w:cs="Times New Roman"/>
          <w:b/>
          <w:sz w:val="28"/>
          <w:szCs w:val="28"/>
        </w:rPr>
        <w:t>房地产估价机构</w:t>
      </w:r>
      <w:r>
        <w:rPr>
          <w:rFonts w:ascii="Times New Roman" w:hAnsi="Times New Roman" w:eastAsia="宋体" w:cs="Times New Roman"/>
          <w:sz w:val="28"/>
          <w:szCs w:val="28"/>
        </w:rPr>
        <w:t>：深圳市鹏信资产评估土地房地产估价有限公司</w:t>
      </w:r>
    </w:p>
    <w:p>
      <w:pPr>
        <w:pBdr>
          <w:between w:val="single" w:color="auto" w:sz="4" w:space="1"/>
        </w:pBdr>
        <w:tabs>
          <w:tab w:val="left" w:pos="7980"/>
        </w:tabs>
        <w:ind w:left="1018" w:leftChars="199" w:right="-29" w:rightChars="-14" w:hanging="600" w:hangingChars="600"/>
        <w:rPr>
          <w:rFonts w:ascii="Times New Roman" w:hAnsi="Times New Roman" w:eastAsia="宋体" w:cs="Times New Roman"/>
          <w:sz w:val="28"/>
          <w:szCs w:val="28"/>
          <w:u w:val="single"/>
        </w:rPr>
      </w:pPr>
      <w:r>
        <w:rPr>
          <w:rFonts w:ascii="Times New Roman" w:hAnsi="Times New Roman" w:eastAsia="宋体" w:cs="Times New Roman"/>
          <w:sz w:val="10"/>
          <w:szCs w:val="10"/>
          <w:u w:val="single"/>
        </w:rPr>
        <w:t xml:space="preserve">                                                                                                                                                                         </w:t>
      </w:r>
    </w:p>
    <w:p>
      <w:pPr>
        <w:tabs>
          <w:tab w:val="left" w:pos="7980"/>
        </w:tabs>
        <w:ind w:left="1680" w:leftChars="200" w:right="-31" w:rightChars="-15" w:hanging="1260"/>
        <w:rPr>
          <w:rFonts w:ascii="Times New Roman" w:hAnsi="Times New Roman" w:eastAsia="宋体" w:cs="Times New Roman"/>
          <w:szCs w:val="21"/>
          <w:u w:val="thick"/>
        </w:rPr>
      </w:pPr>
    </w:p>
    <w:p>
      <w:pPr>
        <w:tabs>
          <w:tab w:val="left" w:pos="7980"/>
        </w:tabs>
        <w:ind w:left="2105" w:leftChars="199" w:right="-29" w:rightChars="-14" w:hanging="1687" w:hangingChars="600"/>
        <w:rPr>
          <w:rFonts w:ascii="Times New Roman" w:hAnsi="Times New Roman" w:eastAsia="宋体" w:cs="Times New Roman"/>
          <w:sz w:val="28"/>
          <w:szCs w:val="28"/>
        </w:rPr>
      </w:pPr>
      <w:r>
        <w:rPr>
          <w:rFonts w:ascii="Times New Roman" w:hAnsi="Times New Roman" w:eastAsia="宋体" w:cs="Times New Roman"/>
          <w:b/>
          <w:sz w:val="28"/>
          <w:szCs w:val="28"/>
        </w:rPr>
        <w:t>注册房地产估价师</w:t>
      </w:r>
      <w:r>
        <w:rPr>
          <w:rFonts w:ascii="Times New Roman" w:hAnsi="Times New Roman" w:eastAsia="宋体" w:cs="Times New Roman"/>
          <w:sz w:val="28"/>
          <w:szCs w:val="28"/>
        </w:rPr>
        <w:t>：</w:t>
      </w:r>
      <w:r>
        <w:rPr>
          <w:rFonts w:hint="eastAsia" w:ascii="Times New Roman" w:hAnsi="Times New Roman" w:eastAsia="宋体" w:cs="Times New Roman"/>
          <w:sz w:val="28"/>
          <w:szCs w:val="28"/>
        </w:rPr>
        <w:t>金小龙</w:t>
      </w:r>
      <w:r>
        <w:rPr>
          <w:rFonts w:ascii="Times New Roman" w:hAnsi="Times New Roman" w:eastAsia="宋体" w:cs="Times New Roman"/>
          <w:sz w:val="28"/>
          <w:szCs w:val="28"/>
        </w:rPr>
        <w:t xml:space="preserve">     注册号:</w:t>
      </w:r>
      <w:r>
        <w:rPr>
          <w:rFonts w:hint="eastAsia" w:ascii="Times New Roman" w:hAnsi="Times New Roman" w:eastAsia="宋体" w:cs="Times New Roman"/>
          <w:sz w:val="28"/>
          <w:szCs w:val="28"/>
        </w:rPr>
        <w:t>5120160058</w:t>
      </w:r>
    </w:p>
    <w:p>
      <w:pPr>
        <w:keepNext w:val="0"/>
        <w:keepLines w:val="0"/>
        <w:pageBreakBefore w:val="0"/>
        <w:widowControl w:val="0"/>
        <w:tabs>
          <w:tab w:val="left" w:pos="7980"/>
        </w:tabs>
        <w:kinsoku/>
        <w:wordWrap/>
        <w:overflowPunct/>
        <w:topLinePunct w:val="0"/>
        <w:autoSpaceDE/>
        <w:autoSpaceDN/>
        <w:bidi w:val="0"/>
        <w:adjustRightInd/>
        <w:snapToGrid/>
        <w:ind w:left="2094" w:leftChars="997" w:right="-29" w:rightChars="-14" w:firstLine="851" w:firstLineChars="304"/>
        <w:textAlignment w:val="auto"/>
        <w:rPr>
          <w:rFonts w:hint="eastAsia" w:ascii="Times New Roman" w:hAnsi="Times New Roman" w:eastAsia="宋体" w:cs="Times New Roman"/>
          <w:sz w:val="28"/>
          <w:szCs w:val="28"/>
          <w:lang w:val="en-US" w:eastAsia="zh-CN"/>
        </w:rPr>
      </w:pPr>
      <w:r>
        <w:rPr>
          <w:rFonts w:ascii="Times New Roman" w:hAnsi="Times New Roman" w:eastAsia="宋体" w:cs="Times New Roman"/>
          <w:sz w:val="28"/>
          <w:szCs w:val="28"/>
        </w:rPr>
        <w:t>王</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 xml:space="preserve">樱    </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注册号:512004027</w:t>
      </w:r>
      <w:r>
        <w:rPr>
          <w:rFonts w:hint="eastAsia" w:ascii="Times New Roman" w:hAnsi="Times New Roman" w:eastAsia="宋体" w:cs="Times New Roman"/>
          <w:sz w:val="28"/>
          <w:szCs w:val="28"/>
          <w:lang w:val="en-US" w:eastAsia="zh-CN"/>
        </w:rPr>
        <w:t>1</w:t>
      </w:r>
    </w:p>
    <w:p>
      <w:pPr>
        <w:tabs>
          <w:tab w:val="left" w:pos="7980"/>
        </w:tabs>
        <w:ind w:left="2098" w:leftChars="199" w:right="-29" w:rightChars="-14" w:hanging="1680" w:hangingChars="600"/>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r>
        <w:rPr>
          <w:rFonts w:ascii="Times New Roman" w:hAnsi="Times New Roman" w:eastAsia="宋体" w:cs="Times New Roman"/>
          <w:sz w:val="10"/>
          <w:szCs w:val="10"/>
          <w:u w:val="single"/>
        </w:rPr>
        <w:t xml:space="preserve">        </w:t>
      </w:r>
    </w:p>
    <w:p>
      <w:pPr>
        <w:tabs>
          <w:tab w:val="left" w:pos="7980"/>
        </w:tabs>
        <w:ind w:left="1680" w:leftChars="200" w:right="-31" w:rightChars="-15" w:hanging="1260"/>
        <w:rPr>
          <w:rFonts w:ascii="Times New Roman" w:hAnsi="Times New Roman" w:eastAsia="宋体" w:cs="Times New Roman"/>
          <w:szCs w:val="21"/>
          <w:u w:val="thick"/>
        </w:rPr>
      </w:pPr>
    </w:p>
    <w:p>
      <w:pPr>
        <w:tabs>
          <w:tab w:val="left" w:pos="7980"/>
        </w:tabs>
        <w:ind w:left="2105" w:leftChars="199" w:right="-29" w:rightChars="-14" w:hanging="1687" w:hangingChars="600"/>
        <w:rPr>
          <w:rFonts w:ascii="Times New Roman" w:hAnsi="Times New Roman" w:eastAsia="宋体" w:cs="Times New Roman"/>
          <w:sz w:val="28"/>
          <w:szCs w:val="28"/>
        </w:rPr>
      </w:pPr>
      <w:r>
        <w:rPr>
          <w:rFonts w:ascii="Times New Roman" w:hAnsi="Times New Roman" w:eastAsia="宋体" w:cs="Times New Roman"/>
          <w:b/>
          <w:sz w:val="28"/>
          <w:szCs w:val="28"/>
        </w:rPr>
        <w:t>估价报告出具日期</w:t>
      </w:r>
      <w:r>
        <w:rPr>
          <w:rFonts w:ascii="Times New Roman" w:hAnsi="Times New Roman" w:eastAsia="宋体" w:cs="Times New Roman"/>
          <w:sz w:val="28"/>
          <w:szCs w:val="28"/>
        </w:rPr>
        <w:t>：</w:t>
      </w:r>
      <w:r>
        <w:rPr>
          <w:rFonts w:hint="eastAsia" w:ascii="Times New Roman" w:hAnsi="Times New Roman" w:eastAsia="宋体" w:cs="Times New Roman"/>
          <w:sz w:val="28"/>
          <w:szCs w:val="28"/>
        </w:rPr>
        <w:t>2020年1月17日</w:t>
      </w:r>
    </w:p>
    <w:p>
      <w:pPr>
        <w:tabs>
          <w:tab w:val="left" w:pos="7980"/>
        </w:tabs>
        <w:ind w:left="2098" w:leftChars="199" w:right="-29" w:rightChars="-14" w:hanging="1680" w:hangingChars="600"/>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r>
        <w:rPr>
          <w:rFonts w:ascii="Times New Roman" w:hAnsi="Times New Roman" w:eastAsia="宋体" w:cs="Times New Roman"/>
          <w:sz w:val="10"/>
          <w:szCs w:val="10"/>
          <w:u w:val="single"/>
        </w:rPr>
        <w:t xml:space="preserve">        </w:t>
      </w:r>
    </w:p>
    <w:p>
      <w:pPr>
        <w:tabs>
          <w:tab w:val="left" w:pos="7980"/>
        </w:tabs>
        <w:ind w:left="1680" w:leftChars="200" w:right="-31" w:rightChars="-15" w:hanging="1260"/>
        <w:rPr>
          <w:rFonts w:ascii="Times New Roman" w:hAnsi="Times New Roman" w:eastAsia="宋体" w:cs="Times New Roman"/>
          <w:szCs w:val="21"/>
          <w:u w:val="thick"/>
        </w:rPr>
      </w:pPr>
    </w:p>
    <w:p>
      <w:pPr>
        <w:tabs>
          <w:tab w:val="left" w:pos="7980"/>
        </w:tabs>
        <w:ind w:left="2105" w:leftChars="199" w:right="-29" w:rightChars="-14" w:hanging="1687" w:hangingChars="600"/>
        <w:rPr>
          <w:rFonts w:ascii="Times New Roman" w:hAnsi="Times New Roman" w:eastAsia="宋体" w:cs="Times New Roman"/>
          <w:sz w:val="28"/>
          <w:szCs w:val="28"/>
        </w:rPr>
      </w:pPr>
      <w:r>
        <w:rPr>
          <w:rFonts w:ascii="Times New Roman" w:hAnsi="Times New Roman" w:eastAsia="宋体" w:cs="Times New Roman"/>
          <w:b/>
          <w:sz w:val="28"/>
          <w:szCs w:val="28"/>
        </w:rPr>
        <w:t>估价报告编号</w:t>
      </w:r>
      <w:r>
        <w:rPr>
          <w:rFonts w:ascii="Times New Roman" w:hAnsi="Times New Roman" w:eastAsia="宋体" w:cs="Times New Roman"/>
          <w:sz w:val="28"/>
          <w:szCs w:val="28"/>
        </w:rPr>
        <w:t>：</w:t>
      </w:r>
      <w:r>
        <w:rPr>
          <w:rFonts w:hint="eastAsia" w:ascii="Times New Roman" w:hAnsi="Times New Roman" w:eastAsia="宋体" w:cs="Times New Roman"/>
          <w:sz w:val="28"/>
          <w:szCs w:val="28"/>
        </w:rPr>
        <w:t>鹏信房估字[2020]第CSC003号</w:t>
      </w:r>
    </w:p>
    <w:p>
      <w:pPr>
        <w:tabs>
          <w:tab w:val="left" w:pos="7980"/>
        </w:tabs>
        <w:ind w:left="2098" w:leftChars="199" w:right="-29" w:rightChars="-14" w:hanging="1680" w:hangingChars="600"/>
        <w:rPr>
          <w:rFonts w:ascii="Times New Roman" w:hAnsi="Times New Roman" w:eastAsia="宋体" w:cs="Times New Roman"/>
          <w:sz w:val="10"/>
          <w:szCs w:val="10"/>
          <w:u w:val="single"/>
        </w:rPr>
        <w:sectPr>
          <w:pgSz w:w="11907" w:h="16839"/>
          <w:pgMar w:top="2325" w:right="1503" w:bottom="1202" w:left="1503" w:header="0" w:footer="1361" w:gutter="0"/>
          <w:cols w:space="720" w:num="1"/>
          <w:docGrid w:type="lines" w:linePitch="300" w:charSpace="0"/>
        </w:sectPr>
      </w:pPr>
      <w:r>
        <w:rPr>
          <w:rFonts w:ascii="Times New Roman" w:hAnsi="Times New Roman" w:eastAsia="宋体" w:cs="Times New Roman"/>
          <w:sz w:val="28"/>
          <w:szCs w:val="28"/>
          <w:u w:val="single"/>
        </w:rPr>
        <w:t xml:space="preserve">                                                            </w:t>
      </w:r>
      <w:r>
        <w:rPr>
          <w:rFonts w:ascii="Times New Roman" w:hAnsi="Times New Roman" w:eastAsia="宋体" w:cs="Times New Roman"/>
          <w:sz w:val="10"/>
          <w:szCs w:val="10"/>
          <w:u w:val="single"/>
        </w:rPr>
        <w:t xml:space="preserve">    </w:t>
      </w:r>
    </w:p>
    <w:p>
      <w:pPr>
        <w:snapToGrid w:val="0"/>
        <w:spacing w:line="360" w:lineRule="auto"/>
        <w:jc w:val="center"/>
        <w:rPr>
          <w:rFonts w:ascii="Times New Roman" w:hAnsi="Times New Roman" w:eastAsia="宋体" w:cs="Times New Roman"/>
          <w:b/>
          <w:sz w:val="36"/>
          <w:szCs w:val="36"/>
        </w:rPr>
      </w:pPr>
      <w:bookmarkStart w:id="0" w:name="_Toc2798"/>
      <w:r>
        <w:rPr>
          <w:rFonts w:ascii="Times New Roman" w:hAnsi="Times New Roman" w:eastAsia="宋体" w:cs="Times New Roman"/>
          <w:b/>
          <w:sz w:val="36"/>
          <w:szCs w:val="36"/>
        </w:rPr>
        <w:t>致 估 价 委 托 人 函</w:t>
      </w:r>
      <w:bookmarkEnd w:id="0"/>
    </w:p>
    <w:p>
      <w:pPr>
        <w:snapToGrid w:val="0"/>
        <w:spacing w:line="360" w:lineRule="auto"/>
        <w:rPr>
          <w:rFonts w:ascii="Times New Roman" w:hAnsi="Times New Roman" w:eastAsia="宋体" w:cs="Times New Roman"/>
          <w:b/>
          <w:sz w:val="24"/>
          <w:szCs w:val="24"/>
        </w:rPr>
      </w:pPr>
      <w:r>
        <w:rPr>
          <w:rFonts w:hint="eastAsia" w:ascii="Times New Roman" w:hAnsi="Times New Roman" w:eastAsia="宋体" w:cs="Times New Roman"/>
          <w:b/>
          <w:bCs/>
          <w:sz w:val="28"/>
          <w:szCs w:val="28"/>
        </w:rPr>
        <w:t>成都市新都区人民法院</w:t>
      </w:r>
      <w:r>
        <w:rPr>
          <w:rFonts w:ascii="Times New Roman" w:hAnsi="Times New Roman" w:eastAsia="宋体" w:cs="Times New Roman"/>
          <w:b/>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承蒙委托，我公司依据我国现行有关法律、法规政策的规定，利用贵院提供的资料以及注册房地产估价师实地查勘和市场调查取得的资料，根据估价目的，遵循估价原则，按照估价程序，选取适宜的估价方法，并在综合分析影响房地产价格因素的基础上，对估价对象于价值时点的市场价值进行分析、估算和判定，完成了估价工作。</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估价目的</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为司法拍卖（变卖）提供房地产市场价值参考依据</w:t>
      </w:r>
      <w:r>
        <w:rPr>
          <w:rFonts w:ascii="Times New Roman" w:hAnsi="Times New Roman" w:eastAsia="宋体" w:cs="Times New Roman"/>
          <w:sz w:val="24"/>
          <w:szCs w:val="24"/>
        </w:rPr>
        <w:t>。</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估价对象：</w:t>
      </w:r>
      <w:r>
        <w:rPr>
          <w:rFonts w:hint="eastAsia" w:ascii="Times New Roman" w:hAnsi="Times New Roman" w:eastAsia="宋体" w:cs="Times New Roman"/>
          <w:sz w:val="24"/>
          <w:szCs w:val="24"/>
        </w:rPr>
        <w:t>徐贵川所有位于成都市青白江区红阳教育街230号2栋2单元5层7号建筑面积为110.21平方米</w:t>
      </w:r>
      <w:r>
        <w:rPr>
          <w:rFonts w:hint="eastAsia" w:ascii="Times New Roman" w:hAnsi="Times New Roman" w:eastAsia="宋体" w:cs="Times New Roman"/>
          <w:sz w:val="24"/>
          <w:szCs w:val="24"/>
          <w:lang w:eastAsia="zh-CN"/>
        </w:rPr>
        <w:t>住宅</w:t>
      </w:r>
      <w:r>
        <w:rPr>
          <w:rFonts w:hint="eastAsia" w:ascii="Times New Roman" w:hAnsi="Times New Roman" w:eastAsia="宋体" w:cs="Times New Roman"/>
          <w:sz w:val="24"/>
          <w:szCs w:val="24"/>
        </w:rPr>
        <w:t>房地产及其应分摊的建设用地使用权。</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价值时点</w:t>
      </w:r>
      <w:r>
        <w:rPr>
          <w:rFonts w:ascii="Times New Roman" w:hAnsi="Times New Roman" w:eastAsia="宋体" w:cs="Times New Roman"/>
          <w:sz w:val="24"/>
          <w:szCs w:val="24"/>
        </w:rPr>
        <w:t>：</w:t>
      </w:r>
      <w:r>
        <w:rPr>
          <w:rFonts w:hint="eastAsia" w:ascii="Times New Roman" w:hAnsi="Times New Roman" w:eastAsia="宋体" w:cs="Times New Roman"/>
          <w:sz w:val="24"/>
          <w:szCs w:val="24"/>
        </w:rPr>
        <w:t>二〇二〇年一月九日。</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价值类型</w:t>
      </w:r>
      <w:r>
        <w:rPr>
          <w:rFonts w:ascii="Times New Roman" w:hAnsi="Times New Roman" w:eastAsia="宋体" w:cs="Times New Roman"/>
          <w:sz w:val="24"/>
          <w:szCs w:val="24"/>
        </w:rPr>
        <w:t>：</w:t>
      </w:r>
      <w:r>
        <w:rPr>
          <w:rFonts w:hint="eastAsia" w:ascii="Times New Roman" w:hAnsi="Times New Roman" w:eastAsia="宋体" w:cs="Times New Roman"/>
          <w:sz w:val="24"/>
          <w:szCs w:val="24"/>
        </w:rPr>
        <w:t>市场</w:t>
      </w:r>
      <w:r>
        <w:rPr>
          <w:rFonts w:ascii="Times New Roman" w:hAnsi="Times New Roman" w:eastAsia="宋体" w:cs="Times New Roman"/>
          <w:sz w:val="24"/>
          <w:szCs w:val="24"/>
        </w:rPr>
        <w:t>价值。</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估价方法</w:t>
      </w:r>
      <w:r>
        <w:rPr>
          <w:rFonts w:ascii="Times New Roman" w:hAnsi="Times New Roman" w:eastAsia="宋体" w:cs="Times New Roman"/>
          <w:sz w:val="24"/>
          <w:szCs w:val="24"/>
        </w:rPr>
        <w:t>：</w:t>
      </w:r>
      <w:r>
        <w:rPr>
          <w:rFonts w:hint="eastAsia" w:ascii="Times New Roman" w:hAnsi="Times New Roman" w:eastAsia="宋体" w:cs="Times New Roman"/>
          <w:sz w:val="24"/>
          <w:szCs w:val="24"/>
        </w:rPr>
        <w:t>比较法。</w:t>
      </w:r>
    </w:p>
    <w:p>
      <w:pPr>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估价结果</w:t>
      </w:r>
      <w:r>
        <w:rPr>
          <w:rFonts w:ascii="Times New Roman" w:hAnsi="Times New Roman" w:eastAsia="宋体" w:cs="Times New Roman"/>
          <w:sz w:val="24"/>
          <w:szCs w:val="24"/>
        </w:rPr>
        <w:t>：</w:t>
      </w:r>
      <w:r>
        <w:rPr>
          <w:rFonts w:hint="eastAsia" w:ascii="宋体" w:hAnsi="宋体" w:eastAsia="宋体" w:cs="宋体"/>
          <w:sz w:val="24"/>
          <w:szCs w:val="24"/>
        </w:rPr>
        <w:t>估价对象在价值时点并满足本报告所述价值定义的市场价值为</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币    种：人民币</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评估单价：</w:t>
      </w:r>
      <w:r>
        <w:rPr>
          <w:rFonts w:ascii="Times New Roman" w:hAnsi="Times New Roman" w:eastAsia="宋体" w:cs="Times New Roman"/>
          <w:sz w:val="24"/>
          <w:szCs w:val="24"/>
        </w:rPr>
        <w:t>人民币（小写</w:t>
      </w:r>
      <w:r>
        <w:rPr>
          <w:rFonts w:hint="eastAsia" w:ascii="Times New Roman" w:hAnsi="Times New Roman" w:eastAsia="宋体" w:cs="Times New Roman"/>
          <w:sz w:val="24"/>
          <w:szCs w:val="24"/>
        </w:rPr>
        <w:t>）5180元/平方米（拾位取整）</w:t>
      </w:r>
    </w:p>
    <w:p>
      <w:pPr>
        <w:spacing w:line="360" w:lineRule="auto"/>
        <w:ind w:firstLine="1680" w:firstLineChars="700"/>
        <w:rPr>
          <w:rFonts w:ascii="Times New Roman" w:hAnsi="Times New Roman" w:eastAsia="宋体" w:cs="Times New Roman"/>
          <w:sz w:val="24"/>
          <w:szCs w:val="24"/>
        </w:rPr>
      </w:pPr>
      <w:r>
        <w:rPr>
          <w:rFonts w:ascii="Times New Roman" w:hAnsi="Times New Roman" w:eastAsia="宋体" w:cs="Times New Roman"/>
          <w:sz w:val="24"/>
          <w:szCs w:val="24"/>
        </w:rPr>
        <w:t>人民币（大写）</w:t>
      </w:r>
      <w:r>
        <w:rPr>
          <w:rFonts w:hint="eastAsia" w:ascii="Times New Roman" w:hAnsi="Times New Roman" w:eastAsia="宋体" w:cs="Times New Roman"/>
          <w:b/>
          <w:sz w:val="24"/>
          <w:szCs w:val="24"/>
        </w:rPr>
        <w:t>伍仟壹佰捌拾元整</w:t>
      </w:r>
    </w:p>
    <w:p>
      <w:pPr>
        <w:spacing w:line="360" w:lineRule="auto"/>
        <w:ind w:firstLine="458" w:firstLineChars="191"/>
        <w:rPr>
          <w:rFonts w:ascii="Times New Roman" w:hAnsi="Times New Roman" w:eastAsia="宋体" w:cs="Times New Roman"/>
          <w:sz w:val="24"/>
          <w:szCs w:val="24"/>
        </w:rPr>
      </w:pPr>
      <w:r>
        <w:rPr>
          <w:rFonts w:ascii="Times New Roman" w:hAnsi="Times New Roman" w:eastAsia="宋体" w:cs="Times New Roman"/>
          <w:sz w:val="24"/>
          <w:szCs w:val="24"/>
        </w:rPr>
        <w:t>评估总价：人民币（小写</w:t>
      </w:r>
      <w:r>
        <w:rPr>
          <w:rFonts w:hint="eastAsia" w:ascii="Times New Roman" w:hAnsi="Times New Roman" w:eastAsia="宋体" w:cs="Times New Roman"/>
          <w:sz w:val="24"/>
          <w:szCs w:val="24"/>
        </w:rPr>
        <w:t>）57.09万元（佰位取整）</w:t>
      </w:r>
    </w:p>
    <w:p>
      <w:pPr>
        <w:spacing w:line="360" w:lineRule="auto"/>
        <w:ind w:firstLine="1680" w:firstLineChars="700"/>
        <w:rPr>
          <w:rFonts w:ascii="Times New Roman" w:hAnsi="Times New Roman" w:eastAsia="宋体" w:cs="Times New Roman"/>
          <w:b/>
          <w:sz w:val="24"/>
          <w:szCs w:val="24"/>
        </w:rPr>
      </w:pPr>
      <w:r>
        <w:rPr>
          <w:rFonts w:ascii="Times New Roman" w:hAnsi="Times New Roman" w:eastAsia="宋体" w:cs="Times New Roman"/>
          <w:sz w:val="24"/>
          <w:szCs w:val="24"/>
        </w:rPr>
        <w:t>人民币（大写）</w:t>
      </w:r>
      <w:r>
        <w:rPr>
          <w:rFonts w:hint="eastAsia" w:ascii="Times New Roman" w:hAnsi="Times New Roman" w:eastAsia="宋体" w:cs="Times New Roman"/>
          <w:b/>
          <w:sz w:val="24"/>
          <w:szCs w:val="24"/>
        </w:rPr>
        <w:t>伍拾柒万零玖佰元整</w:t>
      </w:r>
    </w:p>
    <w:p>
      <w:pPr>
        <w:spacing w:line="360" w:lineRule="auto"/>
        <w:jc w:val="center"/>
        <w:rPr>
          <w:rFonts w:ascii="宋体" w:hAnsi="宋体" w:eastAsia="宋体" w:cs="宋体"/>
          <w:b/>
          <w:bCs/>
          <w:sz w:val="24"/>
          <w:szCs w:val="24"/>
        </w:rPr>
      </w:pPr>
      <w:r>
        <w:rPr>
          <w:rFonts w:hint="eastAsia"/>
          <w:b/>
          <w:sz w:val="24"/>
          <w:szCs w:val="24"/>
        </w:rPr>
        <w:t>估价结果一览表</w:t>
      </w:r>
    </w:p>
    <w:tbl>
      <w:tblPr>
        <w:tblStyle w:val="38"/>
        <w:tblW w:w="9255" w:type="dxa"/>
        <w:jc w:val="center"/>
        <w:tblLayout w:type="fixed"/>
        <w:tblCellMar>
          <w:top w:w="0" w:type="dxa"/>
          <w:left w:w="28" w:type="dxa"/>
          <w:bottom w:w="0" w:type="dxa"/>
          <w:right w:w="28" w:type="dxa"/>
        </w:tblCellMar>
      </w:tblPr>
      <w:tblGrid>
        <w:gridCol w:w="1760"/>
        <w:gridCol w:w="807"/>
        <w:gridCol w:w="2412"/>
        <w:gridCol w:w="844"/>
        <w:gridCol w:w="845"/>
        <w:gridCol w:w="829"/>
        <w:gridCol w:w="798"/>
        <w:gridCol w:w="960"/>
      </w:tblGrid>
      <w:tr>
        <w:tblPrEx>
          <w:tblCellMar>
            <w:top w:w="0" w:type="dxa"/>
            <w:left w:w="28" w:type="dxa"/>
            <w:bottom w:w="0" w:type="dxa"/>
            <w:right w:w="28" w:type="dxa"/>
          </w:tblCellMar>
        </w:tblPrEx>
        <w:trPr>
          <w:trHeight w:val="20" w:hRule="atLeast"/>
          <w:jc w:val="center"/>
        </w:trPr>
        <w:tc>
          <w:tcPr>
            <w:tcW w:w="1760" w:type="dxa"/>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r>
              <w:rPr>
                <w:rFonts w:hint="eastAsia" w:ascii="宋体" w:hAnsi="宋体" w:eastAsia="宋体"/>
                <w:b/>
                <w:bCs/>
                <w:sz w:val="16"/>
                <w:szCs w:val="16"/>
              </w:rPr>
              <w:t>不动产权证书号</w:t>
            </w:r>
          </w:p>
        </w:tc>
        <w:tc>
          <w:tcPr>
            <w:tcW w:w="80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bookmarkStart w:id="1" w:name="_Toc8311269"/>
            <w:r>
              <w:rPr>
                <w:rFonts w:hint="eastAsia" w:ascii="宋体" w:hAnsi="宋体" w:eastAsia="宋体"/>
                <w:b/>
                <w:bCs/>
                <w:sz w:val="16"/>
                <w:szCs w:val="16"/>
              </w:rPr>
              <w:t>房屋</w:t>
            </w:r>
          </w:p>
          <w:p>
            <w:pPr>
              <w:spacing w:line="240" w:lineRule="exact"/>
              <w:jc w:val="center"/>
              <w:rPr>
                <w:rFonts w:ascii="宋体" w:hAnsi="宋体" w:eastAsia="宋体"/>
                <w:b/>
                <w:bCs/>
                <w:sz w:val="16"/>
                <w:szCs w:val="16"/>
              </w:rPr>
            </w:pPr>
            <w:r>
              <w:rPr>
                <w:rFonts w:hint="eastAsia" w:ascii="宋体" w:hAnsi="宋体" w:eastAsia="宋体"/>
                <w:b/>
                <w:bCs/>
                <w:sz w:val="16"/>
                <w:szCs w:val="16"/>
              </w:rPr>
              <w:t>所有权人</w:t>
            </w:r>
            <w:bookmarkEnd w:id="1"/>
          </w:p>
        </w:tc>
        <w:tc>
          <w:tcPr>
            <w:tcW w:w="241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bookmarkStart w:id="2" w:name="_Toc8311270"/>
            <w:r>
              <w:rPr>
                <w:rFonts w:hint="eastAsia" w:ascii="宋体" w:hAnsi="宋体" w:eastAsia="宋体"/>
                <w:b/>
                <w:bCs/>
                <w:sz w:val="16"/>
                <w:szCs w:val="16"/>
              </w:rPr>
              <w:t>坐落</w:t>
            </w:r>
            <w:bookmarkEnd w:id="2"/>
          </w:p>
        </w:tc>
        <w:tc>
          <w:tcPr>
            <w:tcW w:w="8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bookmarkStart w:id="3" w:name="_Toc8311272"/>
            <w:r>
              <w:rPr>
                <w:rFonts w:hint="eastAsia" w:ascii="宋体" w:hAnsi="宋体" w:eastAsia="宋体"/>
                <w:b/>
                <w:bCs/>
                <w:sz w:val="16"/>
                <w:szCs w:val="16"/>
              </w:rPr>
              <w:t>规划用途</w:t>
            </w:r>
            <w:bookmarkEnd w:id="3"/>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bookmarkStart w:id="4" w:name="_Toc8311273"/>
            <w:r>
              <w:rPr>
                <w:rFonts w:hint="eastAsia" w:ascii="宋体" w:hAnsi="宋体" w:eastAsia="宋体"/>
                <w:b/>
                <w:bCs/>
                <w:sz w:val="16"/>
                <w:szCs w:val="16"/>
              </w:rPr>
              <w:t>实际用途</w:t>
            </w:r>
            <w:bookmarkEnd w:id="4"/>
          </w:p>
        </w:tc>
        <w:tc>
          <w:tcPr>
            <w:tcW w:w="8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bookmarkStart w:id="5" w:name="_Toc8311274"/>
            <w:r>
              <w:rPr>
                <w:rFonts w:hint="eastAsia" w:ascii="宋体" w:hAnsi="宋体" w:eastAsia="宋体"/>
                <w:b/>
                <w:bCs/>
                <w:sz w:val="16"/>
                <w:szCs w:val="16"/>
              </w:rPr>
              <w:t>建筑面积（㎡）</w:t>
            </w:r>
            <w:bookmarkEnd w:id="5"/>
          </w:p>
        </w:tc>
        <w:tc>
          <w:tcPr>
            <w:tcW w:w="79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r>
              <w:rPr>
                <w:rFonts w:hint="eastAsia" w:ascii="宋体" w:hAnsi="宋体" w:eastAsia="宋体"/>
                <w:b/>
                <w:bCs/>
                <w:sz w:val="16"/>
                <w:szCs w:val="16"/>
              </w:rPr>
              <w:t>评估单价（元/㎡）</w:t>
            </w:r>
          </w:p>
        </w:tc>
        <w:tc>
          <w:tcPr>
            <w:tcW w:w="9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r>
              <w:rPr>
                <w:rFonts w:hint="eastAsia" w:ascii="宋体" w:hAnsi="宋体" w:eastAsia="宋体"/>
                <w:b/>
                <w:bCs/>
                <w:sz w:val="16"/>
                <w:szCs w:val="16"/>
              </w:rPr>
              <w:t>评估价值</w:t>
            </w:r>
          </w:p>
          <w:p>
            <w:pPr>
              <w:spacing w:line="240" w:lineRule="exact"/>
              <w:jc w:val="center"/>
              <w:rPr>
                <w:rFonts w:ascii="宋体" w:hAnsi="宋体" w:eastAsia="宋体"/>
                <w:b/>
                <w:bCs/>
                <w:sz w:val="16"/>
                <w:szCs w:val="16"/>
              </w:rPr>
            </w:pPr>
            <w:r>
              <w:rPr>
                <w:rFonts w:hint="eastAsia" w:ascii="宋体" w:hAnsi="宋体" w:eastAsia="宋体"/>
                <w:b/>
                <w:bCs/>
                <w:sz w:val="16"/>
                <w:szCs w:val="16"/>
              </w:rPr>
              <w:t>（万元）</w:t>
            </w:r>
          </w:p>
        </w:tc>
      </w:tr>
      <w:tr>
        <w:tblPrEx>
          <w:tblCellMar>
            <w:top w:w="0" w:type="dxa"/>
            <w:left w:w="28" w:type="dxa"/>
            <w:bottom w:w="0" w:type="dxa"/>
            <w:right w:w="28" w:type="dxa"/>
          </w:tblCellMar>
        </w:tblPrEx>
        <w:trPr>
          <w:trHeight w:val="20" w:hRule="atLeast"/>
          <w:jc w:val="center"/>
        </w:trPr>
        <w:tc>
          <w:tcPr>
            <w:tcW w:w="1760" w:type="dxa"/>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证监0360258，青国用（2006）第04011号</w:t>
            </w:r>
          </w:p>
        </w:tc>
        <w:tc>
          <w:tcPr>
            <w:tcW w:w="80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徐贵川</w:t>
            </w:r>
          </w:p>
        </w:tc>
        <w:tc>
          <w:tcPr>
            <w:tcW w:w="241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青白江区红阳教育街230号2栋2单元5层7号</w:t>
            </w:r>
          </w:p>
        </w:tc>
        <w:tc>
          <w:tcPr>
            <w:tcW w:w="8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其他用房</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住宅</w:t>
            </w:r>
          </w:p>
        </w:tc>
        <w:tc>
          <w:tcPr>
            <w:tcW w:w="8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110.21</w:t>
            </w:r>
          </w:p>
        </w:tc>
        <w:tc>
          <w:tcPr>
            <w:tcW w:w="79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5180</w:t>
            </w:r>
          </w:p>
        </w:tc>
        <w:tc>
          <w:tcPr>
            <w:tcW w:w="9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lang w:bidi="ar"/>
              </w:rPr>
              <w:t>57.09</w:t>
            </w:r>
          </w:p>
        </w:tc>
      </w:tr>
      <w:tr>
        <w:tblPrEx>
          <w:tblCellMar>
            <w:top w:w="0" w:type="dxa"/>
            <w:left w:w="28" w:type="dxa"/>
            <w:bottom w:w="0" w:type="dxa"/>
            <w:right w:w="28" w:type="dxa"/>
          </w:tblCellMar>
        </w:tblPrEx>
        <w:trPr>
          <w:trHeight w:val="20" w:hRule="atLeast"/>
          <w:jc w:val="center"/>
        </w:trPr>
        <w:tc>
          <w:tcPr>
            <w:tcW w:w="6668" w:type="dxa"/>
            <w:gridSpan w:val="5"/>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lang w:bidi="ar"/>
              </w:rPr>
            </w:pPr>
            <w:r>
              <w:rPr>
                <w:rFonts w:hint="eastAsia" w:ascii="宋体" w:hAnsi="宋体" w:eastAsia="宋体"/>
                <w:sz w:val="16"/>
                <w:szCs w:val="16"/>
                <w:lang w:bidi="ar"/>
              </w:rPr>
              <w:t>合计</w:t>
            </w:r>
          </w:p>
        </w:tc>
        <w:tc>
          <w:tcPr>
            <w:tcW w:w="8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b/>
                <w:sz w:val="16"/>
                <w:szCs w:val="16"/>
                <w:lang w:bidi="ar"/>
              </w:rPr>
            </w:pPr>
            <w:r>
              <w:rPr>
                <w:rFonts w:hint="eastAsia" w:ascii="宋体" w:hAnsi="宋体" w:eastAsia="宋体"/>
                <w:b/>
                <w:sz w:val="16"/>
                <w:szCs w:val="16"/>
                <w:lang w:bidi="ar"/>
              </w:rPr>
              <w:t>110.21</w:t>
            </w:r>
          </w:p>
        </w:tc>
        <w:tc>
          <w:tcPr>
            <w:tcW w:w="79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sz w:val="16"/>
                <w:szCs w:val="16"/>
                <w:lang w:bidi="ar"/>
              </w:rPr>
            </w:pPr>
            <w:r>
              <w:rPr>
                <w:rFonts w:hint="eastAsia" w:ascii="宋体" w:hAnsi="宋体" w:eastAsia="宋体"/>
                <w:b/>
                <w:sz w:val="16"/>
                <w:szCs w:val="16"/>
                <w:lang w:bidi="ar"/>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sz w:val="16"/>
                <w:szCs w:val="16"/>
                <w:lang w:bidi="ar"/>
              </w:rPr>
            </w:pPr>
            <w:r>
              <w:rPr>
                <w:rFonts w:hint="eastAsia" w:ascii="宋体" w:hAnsi="宋体" w:eastAsia="宋体"/>
                <w:b/>
                <w:sz w:val="16"/>
                <w:szCs w:val="16"/>
              </w:rPr>
              <w:t>57.09</w:t>
            </w:r>
          </w:p>
        </w:tc>
      </w:tr>
    </w:tbl>
    <w:p>
      <w:pPr>
        <w:spacing w:line="440" w:lineRule="exact"/>
        <w:ind w:firstLine="422" w:firstLineChars="200"/>
        <w:jc w:val="left"/>
        <w:rPr>
          <w:rFonts w:ascii="Times New Roman" w:hAnsi="Times New Roman" w:eastAsia="宋体" w:cs="Times New Roman"/>
          <w:b/>
          <w:szCs w:val="21"/>
        </w:rPr>
      </w:pPr>
      <w:r>
        <w:rPr>
          <w:rFonts w:ascii="Times New Roman" w:hAnsi="Times New Roman" w:eastAsia="宋体" w:cs="Times New Roman"/>
          <w:b/>
          <w:szCs w:val="21"/>
        </w:rPr>
        <w:t>特别提示：</w:t>
      </w:r>
    </w:p>
    <w:p>
      <w:pPr>
        <w:spacing w:line="360" w:lineRule="exact"/>
        <w:ind w:firstLine="420" w:firstLineChars="200"/>
        <w:jc w:val="left"/>
        <w:rPr>
          <w:rFonts w:ascii="Times New Roman" w:hAnsi="Times New Roman" w:eastAsia="宋体" w:cs="Times New Roman"/>
          <w:snapToGrid w:val="0"/>
          <w:szCs w:val="24"/>
        </w:rPr>
      </w:pPr>
      <w:r>
        <w:rPr>
          <w:rFonts w:hint="eastAsia" w:ascii="Times New Roman" w:hAnsi="Times New Roman" w:eastAsia="宋体" w:cs="Times New Roman"/>
          <w:snapToGrid w:val="0"/>
          <w:szCs w:val="24"/>
        </w:rPr>
        <w:t>1、我公司注册房地产估价师金小龙查阅了估价委托人</w:t>
      </w:r>
      <w:r>
        <w:rPr>
          <w:rFonts w:ascii="Times New Roman" w:hAnsi="Times New Roman" w:eastAsia="宋体" w:cs="Times New Roman"/>
          <w:snapToGrid w:val="0"/>
          <w:szCs w:val="24"/>
        </w:rPr>
        <w:t>提供</w:t>
      </w:r>
      <w:r>
        <w:rPr>
          <w:rFonts w:hint="eastAsia" w:ascii="Times New Roman" w:hAnsi="Times New Roman" w:eastAsia="宋体" w:cs="Times New Roman"/>
          <w:snapToGrid w:val="0"/>
          <w:szCs w:val="24"/>
        </w:rPr>
        <w:t>的估价对象的《成都市不动产登记中心房地产权结果信息一览表》</w:t>
      </w:r>
      <w:r>
        <w:rPr>
          <w:rFonts w:ascii="Times New Roman" w:hAnsi="Times New Roman" w:eastAsia="宋体" w:cs="Times New Roman"/>
          <w:snapToGrid w:val="0"/>
          <w:szCs w:val="24"/>
        </w:rPr>
        <w:t>，</w:t>
      </w:r>
      <w:r>
        <w:rPr>
          <w:rFonts w:hint="eastAsia" w:ascii="Times New Roman" w:hAnsi="Times New Roman" w:eastAsia="宋体" w:cs="Times New Roman"/>
          <w:snapToGrid w:val="0"/>
          <w:szCs w:val="24"/>
        </w:rPr>
        <w:t>在无理由怀疑其合法性、真实性、准确性和完整性的情况下，本次估价假定估价委托人提供的资料是合法、真实、准确、完整的。估价人员及估价机构不对上述资料的合法、真实、准确、完整性负责。本次估价以该权属文件所载的相关内容作为估价依据，如与不动产管理部门确定内容不一致，估价结果需做相应调整</w:t>
      </w:r>
      <w:r>
        <w:rPr>
          <w:rFonts w:ascii="Times New Roman" w:hAnsi="Times New Roman" w:eastAsia="宋体" w:cs="Times New Roman"/>
          <w:snapToGrid w:val="0"/>
          <w:szCs w:val="24"/>
        </w:rPr>
        <w:t>。</w:t>
      </w:r>
    </w:p>
    <w:p>
      <w:pPr>
        <w:spacing w:line="360" w:lineRule="exact"/>
        <w:ind w:firstLine="420" w:firstLineChars="200"/>
        <w:jc w:val="left"/>
        <w:rPr>
          <w:rFonts w:hint="eastAsia" w:ascii="Times New Roman" w:hAnsi="Times New Roman" w:eastAsia="宋体" w:cs="Times New Roman"/>
          <w:snapToGrid w:val="0"/>
          <w:szCs w:val="24"/>
        </w:rPr>
      </w:pPr>
      <w:r>
        <w:rPr>
          <w:rFonts w:hint="eastAsia" w:ascii="Times New Roman" w:hAnsi="Times New Roman" w:eastAsia="宋体" w:cs="Times New Roman"/>
          <w:snapToGrid w:val="0"/>
          <w:szCs w:val="24"/>
        </w:rPr>
        <w:t>2、本公司注册房地产估价师金小龙及估价助理夏成勇于2020年1月9日在执行局法官徐勇及案件申请人代表的带领下对估价对象进行了实地查勘（包含估价对象外观、室内状况及使用状况）。注册房地产估价师现场拍摄的估价对象实物照片内容系由申请执行人的代理人和被执行人现场确定之</w:t>
      </w:r>
      <w:r>
        <w:rPr>
          <w:rFonts w:hint="eastAsia" w:ascii="Times New Roman" w:hAnsi="Times New Roman" w:eastAsia="宋体" w:cs="Times New Roman"/>
          <w:szCs w:val="21"/>
        </w:rPr>
        <w:t>评</w:t>
      </w:r>
      <w:r>
        <w:rPr>
          <w:rFonts w:hint="eastAsia" w:ascii="Times New Roman" w:hAnsi="Times New Roman" w:eastAsia="宋体" w:cs="Times New Roman"/>
          <w:snapToGrid w:val="0"/>
          <w:szCs w:val="24"/>
        </w:rPr>
        <w:t>估范围的实物状况，在本报告中假设其无遗漏、偏离和虚构。</w:t>
      </w:r>
    </w:p>
    <w:p>
      <w:pPr>
        <w:spacing w:line="360" w:lineRule="exact"/>
        <w:ind w:firstLine="420" w:firstLineChars="200"/>
        <w:jc w:val="left"/>
        <w:rPr>
          <w:rFonts w:hint="eastAsia" w:ascii="Times New Roman" w:hAnsi="Times New Roman" w:eastAsia="宋体" w:cs="Times New Roman"/>
          <w:snapToGrid w:val="0"/>
          <w:szCs w:val="24"/>
        </w:rPr>
      </w:pPr>
      <w:r>
        <w:rPr>
          <w:rFonts w:hint="eastAsia" w:ascii="Times New Roman" w:hAnsi="Times New Roman" w:eastAsia="宋体" w:cs="Times New Roman"/>
          <w:snapToGrid w:val="0"/>
          <w:szCs w:val="24"/>
        </w:rPr>
        <w:t>3、估价委托人未能提供估价对象《房屋所有权证》或《不动产权证书》，估价委托人提供的《成都市不动产登记中心房地产权结果信息一览表》记载估价对象规划用途为其他，经估价人员现场查勘估价对象实际为青江馨苑住宅小区内住宅用房，本次估价参照实际用评估。</w:t>
      </w:r>
    </w:p>
    <w:p>
      <w:pPr>
        <w:spacing w:line="360" w:lineRule="exact"/>
        <w:ind w:firstLine="420" w:firstLineChars="200"/>
        <w:jc w:val="left"/>
        <w:rPr>
          <w:rFonts w:ascii="Times New Roman" w:hAnsi="Times New Roman" w:eastAsia="宋体" w:cs="Times New Roman"/>
          <w:snapToGrid w:val="0"/>
          <w:szCs w:val="24"/>
        </w:rPr>
      </w:pPr>
      <w:r>
        <w:rPr>
          <w:rFonts w:hint="eastAsia" w:ascii="Times New Roman" w:hAnsi="Times New Roman" w:eastAsia="宋体" w:cs="Times New Roman"/>
          <w:snapToGrid w:val="0"/>
          <w:szCs w:val="24"/>
        </w:rPr>
        <w:t>4、在评估结果有效期内，估价对象状况或者房地产市场发生明显变化的，评估结果应当进行相应调整。</w:t>
      </w:r>
    </w:p>
    <w:p>
      <w:pPr>
        <w:spacing w:line="360" w:lineRule="exact"/>
        <w:ind w:firstLine="420" w:firstLineChars="200"/>
        <w:jc w:val="left"/>
        <w:rPr>
          <w:rFonts w:ascii="Times New Roman" w:hAnsi="Times New Roman" w:eastAsia="宋体" w:cs="Times New Roman"/>
          <w:snapToGrid w:val="0"/>
          <w:szCs w:val="24"/>
        </w:rPr>
      </w:pPr>
      <w:r>
        <w:rPr>
          <w:rFonts w:hint="eastAsia" w:ascii="Times New Roman" w:hAnsi="Times New Roman" w:eastAsia="宋体" w:cs="Times New Roman"/>
          <w:snapToGrid w:val="0"/>
          <w:szCs w:val="24"/>
        </w:rPr>
        <w:t>5、评估结果不等于估价对象处置可实现的成交价，不应被认为是对估价对象处置成交价的保证。</w:t>
      </w:r>
    </w:p>
    <w:p>
      <w:pPr>
        <w:spacing w:line="360" w:lineRule="exact"/>
        <w:ind w:firstLine="420" w:firstLineChars="200"/>
        <w:jc w:val="left"/>
        <w:rPr>
          <w:rFonts w:ascii="Times New Roman" w:hAnsi="Times New Roman" w:eastAsia="宋体" w:cs="Times New Roman"/>
          <w:snapToGrid w:val="0"/>
          <w:szCs w:val="24"/>
        </w:rPr>
      </w:pPr>
      <w:r>
        <w:rPr>
          <w:rFonts w:hint="eastAsia" w:ascii="Times New Roman" w:hAnsi="Times New Roman" w:eastAsia="宋体" w:cs="Times New Roman"/>
          <w:snapToGrid w:val="0"/>
          <w:szCs w:val="24"/>
          <w:lang w:val="zh-CN"/>
        </w:rPr>
        <w:t>6、报告使用人在使用本估价报告之前须对报告全文认真阅读，以免使用不当，造成损失。</w:t>
      </w:r>
    </w:p>
    <w:p>
      <w:pPr>
        <w:tabs>
          <w:tab w:val="left" w:pos="4935"/>
          <w:tab w:val="left" w:pos="5040"/>
          <w:tab w:val="left" w:pos="5145"/>
          <w:tab w:val="left" w:pos="5670"/>
        </w:tabs>
        <w:snapToGrid w:val="0"/>
        <w:spacing w:before="1500" w:beforeLines="500" w:after="150" w:afterLines="50" w:line="360" w:lineRule="auto"/>
        <w:jc w:val="right"/>
        <w:rPr>
          <w:rFonts w:ascii="Times New Roman" w:hAnsi="Times New Roman" w:eastAsia="宋体" w:cs="Times New Roman"/>
          <w:b/>
          <w:sz w:val="24"/>
          <w:szCs w:val="24"/>
        </w:rPr>
      </w:pPr>
      <w:r>
        <w:rPr>
          <w:rFonts w:ascii="Times New Roman" w:hAnsi="Times New Roman" w:eastAsia="宋体" w:cs="Times New Roman"/>
          <w:b/>
          <w:sz w:val="24"/>
          <w:szCs w:val="24"/>
        </w:rPr>
        <w:t>深圳市鹏信资产评估土地房地产估价有限公司</w:t>
      </w:r>
    </w:p>
    <w:p>
      <w:pPr>
        <w:tabs>
          <w:tab w:val="left" w:pos="4935"/>
          <w:tab w:val="left" w:pos="5040"/>
          <w:tab w:val="left" w:pos="5145"/>
          <w:tab w:val="left" w:pos="5670"/>
        </w:tabs>
        <w:snapToGrid w:val="0"/>
        <w:spacing w:before="600" w:beforeLines="200" w:after="150" w:afterLines="50" w:line="360" w:lineRule="auto"/>
        <w:ind w:firstLine="4604" w:firstLineChars="1911"/>
        <w:rPr>
          <w:rFonts w:ascii="Times New Roman" w:hAnsi="Times New Roman" w:eastAsia="宋体" w:cs="Times New Roman"/>
          <w:b/>
          <w:sz w:val="24"/>
          <w:szCs w:val="24"/>
        </w:rPr>
      </w:pPr>
      <w:r>
        <w:rPr>
          <w:rFonts w:ascii="Times New Roman" w:hAnsi="Times New Roman" w:eastAsia="宋体" w:cs="Times New Roman"/>
          <w:b/>
          <w:sz w:val="24"/>
          <w:szCs w:val="24"/>
        </w:rPr>
        <w:t xml:space="preserve">法定代表人： </w:t>
      </w:r>
    </w:p>
    <w:p>
      <w:pPr>
        <w:tabs>
          <w:tab w:val="left" w:pos="4935"/>
          <w:tab w:val="left" w:pos="5040"/>
          <w:tab w:val="left" w:pos="5145"/>
          <w:tab w:val="left" w:pos="5670"/>
        </w:tabs>
        <w:snapToGrid w:val="0"/>
        <w:spacing w:before="600" w:beforeLines="200" w:after="150" w:afterLines="50" w:line="360" w:lineRule="auto"/>
        <w:ind w:firstLine="4243" w:firstLineChars="1761"/>
        <w:jc w:val="center"/>
        <w:rPr>
          <w:rFonts w:ascii="Times New Roman" w:hAnsi="Times New Roman" w:eastAsia="宋体" w:cs="Times New Roman"/>
          <w:b/>
          <w:sz w:val="32"/>
          <w:szCs w:val="32"/>
        </w:rPr>
      </w:pPr>
      <w:r>
        <w:rPr>
          <w:rFonts w:hint="eastAsia" w:ascii="Times New Roman" w:hAnsi="Times New Roman" w:eastAsia="宋体" w:cs="Times New Roman"/>
          <w:b/>
          <w:sz w:val="24"/>
          <w:szCs w:val="24"/>
        </w:rPr>
        <w:t>二〇二〇年一月十七日</w:t>
      </w:r>
      <w:r>
        <w:rPr>
          <w:rFonts w:ascii="Times New Roman" w:hAnsi="Times New Roman" w:eastAsia="宋体" w:cs="Times New Roman"/>
          <w:b/>
          <w:sz w:val="24"/>
          <w:szCs w:val="24"/>
        </w:rPr>
        <w:br w:type="page"/>
      </w:r>
      <w:bookmarkStart w:id="6" w:name="_Toc11454"/>
      <w:r>
        <w:rPr>
          <w:rFonts w:ascii="Times New Roman" w:hAnsi="Times New Roman" w:eastAsia="宋体" w:cs="Times New Roman"/>
          <w:b/>
          <w:kern w:val="44"/>
          <w:sz w:val="36"/>
          <w:szCs w:val="36"/>
        </w:rPr>
        <w:t>目     录</w:t>
      </w:r>
    </w:p>
    <w:p>
      <w:pPr>
        <w:pStyle w:val="26"/>
        <w:tabs>
          <w:tab w:val="right" w:leader="dot" w:pos="8901"/>
          <w:tab w:val="clear" w:pos="8891"/>
        </w:tabs>
        <w:spacing w:line="440" w:lineRule="exact"/>
      </w:pPr>
      <w:r>
        <w:rPr>
          <w:rFonts w:ascii="Times New Roman"/>
          <w:b w:val="0"/>
        </w:rPr>
        <w:fldChar w:fldCharType="begin"/>
      </w:r>
      <w:r>
        <w:rPr>
          <w:rFonts w:ascii="Times New Roman"/>
          <w:b w:val="0"/>
        </w:rPr>
        <w:instrText xml:space="preserve"> TOC \o "1-2" \h \z \u </w:instrText>
      </w:r>
      <w:r>
        <w:rPr>
          <w:rFonts w:ascii="Times New Roman"/>
          <w:b w:val="0"/>
        </w:rPr>
        <w:fldChar w:fldCharType="separate"/>
      </w: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_Toc21112 </w:instrText>
      </w:r>
      <w:r>
        <w:rPr>
          <w:rFonts w:ascii="Times New Roman" w:hAnsi="Times New Roman" w:eastAsia="宋体" w:cs="Times New Roman"/>
          <w:szCs w:val="24"/>
        </w:rPr>
        <w:fldChar w:fldCharType="separate"/>
      </w:r>
      <w:r>
        <w:rPr>
          <w:rFonts w:ascii="Times New Roman" w:hAnsi="Times New Roman" w:eastAsia="宋体" w:cs="Times New Roman"/>
          <w:kern w:val="44"/>
          <w:szCs w:val="36"/>
        </w:rPr>
        <w:t>估价师声明</w:t>
      </w:r>
      <w:r>
        <w:tab/>
      </w:r>
      <w:r>
        <w:fldChar w:fldCharType="begin"/>
      </w:r>
      <w:r>
        <w:instrText xml:space="preserve"> PAGEREF _Toc21112 </w:instrText>
      </w:r>
      <w:r>
        <w:fldChar w:fldCharType="separate"/>
      </w:r>
      <w:r>
        <w:t>1</w:t>
      </w:r>
      <w:r>
        <w:fldChar w:fldCharType="end"/>
      </w:r>
      <w:r>
        <w:rPr>
          <w:rFonts w:ascii="Times New Roman" w:hAnsi="Times New Roman" w:eastAsia="宋体" w:cs="Times New Roman"/>
          <w:szCs w:val="24"/>
        </w:rPr>
        <w:fldChar w:fldCharType="end"/>
      </w:r>
    </w:p>
    <w:p>
      <w:pPr>
        <w:pStyle w:val="26"/>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_Toc20184 </w:instrText>
      </w:r>
      <w:r>
        <w:rPr>
          <w:rFonts w:ascii="Times New Roman" w:hAnsi="Times New Roman" w:eastAsia="宋体" w:cs="Times New Roman"/>
          <w:szCs w:val="24"/>
        </w:rPr>
        <w:fldChar w:fldCharType="separate"/>
      </w:r>
      <w:r>
        <w:rPr>
          <w:rFonts w:ascii="Times New Roman" w:hAnsi="Times New Roman" w:eastAsia="宋体" w:cs="Times New Roman"/>
          <w:kern w:val="44"/>
          <w:szCs w:val="36"/>
        </w:rPr>
        <w:t>估价假设和限制条件</w:t>
      </w:r>
      <w:r>
        <w:tab/>
      </w:r>
      <w:r>
        <w:fldChar w:fldCharType="begin"/>
      </w:r>
      <w:r>
        <w:instrText xml:space="preserve"> PAGEREF _Toc20184 </w:instrText>
      </w:r>
      <w:r>
        <w:fldChar w:fldCharType="separate"/>
      </w:r>
      <w:r>
        <w:t>2</w:t>
      </w:r>
      <w:r>
        <w:fldChar w:fldCharType="end"/>
      </w:r>
      <w:r>
        <w:rPr>
          <w:rFonts w:ascii="Times New Roman" w:hAnsi="Times New Roman" w:eastAsia="宋体" w:cs="Times New Roman"/>
          <w:szCs w:val="24"/>
        </w:rPr>
        <w:fldChar w:fldCharType="end"/>
      </w:r>
    </w:p>
    <w:p>
      <w:pPr>
        <w:pStyle w:val="26"/>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_Toc7025 </w:instrText>
      </w:r>
      <w:r>
        <w:rPr>
          <w:rFonts w:ascii="Times New Roman" w:hAnsi="Times New Roman" w:eastAsia="宋体" w:cs="Times New Roman"/>
          <w:szCs w:val="24"/>
        </w:rPr>
        <w:fldChar w:fldCharType="separate"/>
      </w:r>
      <w:r>
        <w:rPr>
          <w:rFonts w:ascii="Times New Roman" w:hAnsi="Times New Roman" w:eastAsia="宋体" w:cs="Times New Roman"/>
          <w:kern w:val="44"/>
          <w:szCs w:val="36"/>
        </w:rPr>
        <w:t>房地产估价结果报告</w:t>
      </w:r>
      <w:r>
        <w:tab/>
      </w:r>
      <w:r>
        <w:fldChar w:fldCharType="begin"/>
      </w:r>
      <w:r>
        <w:instrText xml:space="preserve"> PAGEREF _Toc7025 </w:instrText>
      </w:r>
      <w:r>
        <w:fldChar w:fldCharType="separate"/>
      </w:r>
      <w:r>
        <w:t>7</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_Toc11244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（一）估价委托人</w:t>
      </w:r>
      <w:r>
        <w:tab/>
      </w:r>
      <w:r>
        <w:fldChar w:fldCharType="begin"/>
      </w:r>
      <w:r>
        <w:instrText xml:space="preserve"> PAGEREF _Toc11244 </w:instrText>
      </w:r>
      <w:r>
        <w:fldChar w:fldCharType="separate"/>
      </w:r>
      <w:r>
        <w:t>7</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_Toc9557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（二）房地产估价机构</w:t>
      </w:r>
      <w:r>
        <w:tab/>
      </w:r>
      <w:r>
        <w:fldChar w:fldCharType="begin"/>
      </w:r>
      <w:r>
        <w:instrText xml:space="preserve"> PAGEREF _Toc9557 </w:instrText>
      </w:r>
      <w:r>
        <w:fldChar w:fldCharType="separate"/>
      </w:r>
      <w:r>
        <w:t>7</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_Toc20350 </w:instrText>
      </w:r>
      <w:r>
        <w:rPr>
          <w:rFonts w:ascii="Times New Roman" w:hAnsi="Times New Roman" w:eastAsia="宋体" w:cs="Times New Roman"/>
          <w:szCs w:val="24"/>
        </w:rPr>
        <w:fldChar w:fldCharType="separate"/>
      </w:r>
      <w:r>
        <w:rPr>
          <w:rFonts w:hint="eastAsia" w:ascii="宋体" w:hAnsi="宋体" w:eastAsia="宋体" w:cs="宋体"/>
          <w:szCs w:val="24"/>
          <w:shd w:val="clear" w:color="auto" w:fill="FFFFFF"/>
        </w:rPr>
        <w:t>（三）估价目的</w:t>
      </w:r>
      <w:r>
        <w:tab/>
      </w:r>
      <w:r>
        <w:fldChar w:fldCharType="begin"/>
      </w:r>
      <w:r>
        <w:instrText xml:space="preserve"> PAGEREF _Toc20350 </w:instrText>
      </w:r>
      <w:r>
        <w:fldChar w:fldCharType="separate"/>
      </w:r>
      <w:r>
        <w:t>7</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_Toc2308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（四）估价对象</w:t>
      </w:r>
      <w:r>
        <w:tab/>
      </w:r>
      <w:r>
        <w:fldChar w:fldCharType="begin"/>
      </w:r>
      <w:r>
        <w:instrText xml:space="preserve"> PAGEREF _Toc2308 </w:instrText>
      </w:r>
      <w:r>
        <w:fldChar w:fldCharType="separate"/>
      </w:r>
      <w:r>
        <w:t>7</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_Toc735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（五）价值时点</w:t>
      </w:r>
      <w:r>
        <w:tab/>
      </w:r>
      <w:r>
        <w:fldChar w:fldCharType="begin"/>
      </w:r>
      <w:r>
        <w:instrText xml:space="preserve"> PAGEREF _Toc735 </w:instrText>
      </w:r>
      <w:r>
        <w:fldChar w:fldCharType="separate"/>
      </w:r>
      <w:r>
        <w:t>10</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_Toc30389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（六）价值类型</w:t>
      </w:r>
      <w:r>
        <w:tab/>
      </w:r>
      <w:r>
        <w:fldChar w:fldCharType="begin"/>
      </w:r>
      <w:r>
        <w:instrText xml:space="preserve"> PAGEREF _Toc30389 </w:instrText>
      </w:r>
      <w:r>
        <w:fldChar w:fldCharType="separate"/>
      </w:r>
      <w:r>
        <w:t>10</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_Toc14573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（七）估价原则</w:t>
      </w:r>
      <w:r>
        <w:tab/>
      </w:r>
      <w:r>
        <w:fldChar w:fldCharType="begin"/>
      </w:r>
      <w:r>
        <w:instrText xml:space="preserve"> PAGEREF _Toc14573 </w:instrText>
      </w:r>
      <w:r>
        <w:fldChar w:fldCharType="separate"/>
      </w:r>
      <w:r>
        <w:t>11</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_Toc4939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（八）估价依据</w:t>
      </w:r>
      <w:r>
        <w:tab/>
      </w:r>
      <w:r>
        <w:fldChar w:fldCharType="begin"/>
      </w:r>
      <w:r>
        <w:instrText xml:space="preserve"> PAGEREF _Toc4939 </w:instrText>
      </w:r>
      <w:r>
        <w:fldChar w:fldCharType="separate"/>
      </w:r>
      <w:r>
        <w:t>13</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_Toc29329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（九）估价方法</w:t>
      </w:r>
      <w:r>
        <w:tab/>
      </w:r>
      <w:r>
        <w:fldChar w:fldCharType="begin"/>
      </w:r>
      <w:r>
        <w:instrText xml:space="preserve"> PAGEREF _Toc29329 </w:instrText>
      </w:r>
      <w:r>
        <w:fldChar w:fldCharType="separate"/>
      </w:r>
      <w:r>
        <w:t>15</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_Toc21842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（十）估价结果</w:t>
      </w:r>
      <w:r>
        <w:tab/>
      </w:r>
      <w:r>
        <w:fldChar w:fldCharType="begin"/>
      </w:r>
      <w:r>
        <w:instrText xml:space="preserve"> PAGEREF _Toc21842 </w:instrText>
      </w:r>
      <w:r>
        <w:fldChar w:fldCharType="separate"/>
      </w:r>
      <w:r>
        <w:t>17</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_Toc2118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（十一）注册房地产估价师</w:t>
      </w:r>
      <w:r>
        <w:tab/>
      </w:r>
      <w:r>
        <w:fldChar w:fldCharType="begin"/>
      </w:r>
      <w:r>
        <w:instrText xml:space="preserve"> PAGEREF _Toc2118 </w:instrText>
      </w:r>
      <w:r>
        <w:fldChar w:fldCharType="separate"/>
      </w:r>
      <w:r>
        <w:t>17</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_Toc1776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（十二）实地查勘期</w:t>
      </w:r>
      <w:r>
        <w:tab/>
      </w:r>
      <w:r>
        <w:fldChar w:fldCharType="begin"/>
      </w:r>
      <w:r>
        <w:instrText xml:space="preserve"> PAGEREF _Toc1776 </w:instrText>
      </w:r>
      <w:r>
        <w:fldChar w:fldCharType="separate"/>
      </w:r>
      <w:r>
        <w:t>18</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_Toc2255 </w:instrText>
      </w:r>
      <w:r>
        <w:rPr>
          <w:rFonts w:ascii="Times New Roman" w:hAnsi="Times New Roman" w:eastAsia="宋体" w:cs="Times New Roman"/>
          <w:szCs w:val="24"/>
        </w:rPr>
        <w:fldChar w:fldCharType="separate"/>
      </w:r>
      <w:r>
        <w:rPr>
          <w:rFonts w:ascii="宋体" w:hAnsi="宋体" w:eastAsia="宋体" w:cs="宋体"/>
          <w:szCs w:val="24"/>
          <w:shd w:val="clear" w:color="auto" w:fill="FFFFFF"/>
        </w:rPr>
        <w:t>（十三）估价作业期</w:t>
      </w:r>
      <w:r>
        <w:tab/>
      </w:r>
      <w:r>
        <w:fldChar w:fldCharType="begin"/>
      </w:r>
      <w:r>
        <w:instrText xml:space="preserve"> PAGEREF _Toc2255 </w:instrText>
      </w:r>
      <w:r>
        <w:fldChar w:fldCharType="separate"/>
      </w:r>
      <w:r>
        <w:t>18</w:t>
      </w:r>
      <w:r>
        <w:fldChar w:fldCharType="end"/>
      </w:r>
      <w:r>
        <w:rPr>
          <w:rFonts w:ascii="Times New Roman" w:hAnsi="Times New Roman" w:eastAsia="宋体" w:cs="Times New Roman"/>
          <w:szCs w:val="24"/>
        </w:rPr>
        <w:fldChar w:fldCharType="end"/>
      </w:r>
    </w:p>
    <w:p>
      <w:pPr>
        <w:pStyle w:val="26"/>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_Toc31820 </w:instrText>
      </w:r>
      <w:r>
        <w:rPr>
          <w:rFonts w:ascii="Times New Roman" w:hAnsi="Times New Roman" w:eastAsia="宋体" w:cs="Times New Roman"/>
          <w:szCs w:val="24"/>
        </w:rPr>
        <w:fldChar w:fldCharType="separate"/>
      </w:r>
      <w:r>
        <w:rPr>
          <w:rFonts w:ascii="Times New Roman" w:hAnsi="Times New Roman" w:eastAsia="宋体" w:cs="Times New Roman"/>
          <w:kern w:val="44"/>
          <w:szCs w:val="20"/>
        </w:rPr>
        <w:t>附  件</w:t>
      </w:r>
      <w:r>
        <w:tab/>
      </w:r>
      <w:r>
        <w:fldChar w:fldCharType="begin"/>
      </w:r>
      <w:r>
        <w:instrText xml:space="preserve"> PAGEREF _Toc31820 </w:instrText>
      </w:r>
      <w:r>
        <w:fldChar w:fldCharType="separate"/>
      </w:r>
      <w:r>
        <w:t>19</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_Toc7800 </w:instrText>
      </w:r>
      <w:r>
        <w:rPr>
          <w:rFonts w:ascii="Times New Roman" w:hAnsi="Times New Roman" w:eastAsia="宋体" w:cs="Times New Roman"/>
          <w:szCs w:val="24"/>
        </w:rPr>
        <w:fldChar w:fldCharType="separate"/>
      </w:r>
      <w:r>
        <w:rPr>
          <w:rFonts w:hint="eastAsia" w:ascii="Times New Roman" w:hAnsi="Times New Roman" w:eastAsia="宋体" w:cs="Times New Roman"/>
          <w:szCs w:val="24"/>
        </w:rPr>
        <w:t>（一）《成都市新都区人民法院司法评估委托书》</w:t>
      </w:r>
      <w:r>
        <w:rPr>
          <w:rFonts w:ascii="Times New Roman" w:hAnsi="Times New Roman" w:eastAsia="宋体" w:cs="Times New Roman"/>
          <w:szCs w:val="24"/>
        </w:rPr>
        <w:t>；</w:t>
      </w:r>
      <w:r>
        <w:tab/>
      </w:r>
      <w:r>
        <w:fldChar w:fldCharType="begin"/>
      </w:r>
      <w:r>
        <w:instrText xml:space="preserve"> PAGEREF _Toc7800 </w:instrText>
      </w:r>
      <w:r>
        <w:fldChar w:fldCharType="separate"/>
      </w:r>
      <w:r>
        <w:t>19</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_Toc18999 </w:instrText>
      </w:r>
      <w:r>
        <w:rPr>
          <w:rFonts w:ascii="Times New Roman" w:hAnsi="Times New Roman" w:eastAsia="宋体" w:cs="Times New Roman"/>
          <w:szCs w:val="24"/>
        </w:rPr>
        <w:fldChar w:fldCharType="separate"/>
      </w:r>
      <w:r>
        <w:rPr>
          <w:rFonts w:hint="eastAsia" w:ascii="宋体" w:hAnsi="宋体" w:eastAsia="宋体"/>
          <w:szCs w:val="24"/>
        </w:rPr>
        <w:t>（二</w:t>
      </w:r>
      <w:r>
        <w:rPr>
          <w:rFonts w:hint="eastAsia" w:ascii="Times New Roman" w:hAnsi="Times New Roman" w:eastAsia="宋体" w:cs="Times New Roman"/>
          <w:szCs w:val="24"/>
        </w:rPr>
        <w:t>）</w:t>
      </w:r>
      <w:r>
        <w:rPr>
          <w:rFonts w:hint="eastAsia" w:ascii="Times New Roman" w:hAnsi="Times New Roman" w:eastAsia="宋体" w:cs="Times New Roman"/>
          <w:szCs w:val="24"/>
          <w:lang w:eastAsia="zh-CN"/>
        </w:rPr>
        <w:t>《成都市不动产登记中心房地产权结果信息一览表》</w:t>
      </w:r>
      <w:r>
        <w:rPr>
          <w:rFonts w:hint="eastAsia" w:ascii="Times New Roman" w:hAnsi="Times New Roman" w:eastAsia="宋体" w:cs="Times New Roman"/>
          <w:szCs w:val="24"/>
        </w:rPr>
        <w:t>；</w:t>
      </w:r>
      <w:r>
        <w:tab/>
      </w:r>
      <w:r>
        <w:fldChar w:fldCharType="begin"/>
      </w:r>
      <w:r>
        <w:instrText xml:space="preserve"> PAGEREF _Toc18999 </w:instrText>
      </w:r>
      <w:r>
        <w:fldChar w:fldCharType="separate"/>
      </w:r>
      <w:r>
        <w:t>19</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_Toc14242 </w:instrText>
      </w:r>
      <w:r>
        <w:rPr>
          <w:rFonts w:ascii="Times New Roman" w:hAnsi="Times New Roman" w:eastAsia="宋体" w:cs="Times New Roman"/>
          <w:szCs w:val="24"/>
        </w:rPr>
        <w:fldChar w:fldCharType="separate"/>
      </w:r>
      <w:r>
        <w:rPr>
          <w:rFonts w:hint="eastAsia" w:ascii="Times New Roman" w:hAnsi="Times New Roman" w:eastAsia="宋体" w:cs="Times New Roman"/>
          <w:szCs w:val="24"/>
        </w:rPr>
        <w:t>（三）估价对象照片及位置示意图；</w:t>
      </w:r>
      <w:r>
        <w:tab/>
      </w:r>
      <w:r>
        <w:fldChar w:fldCharType="begin"/>
      </w:r>
      <w:r>
        <w:instrText xml:space="preserve"> PAGEREF _Toc14242 </w:instrText>
      </w:r>
      <w:r>
        <w:fldChar w:fldCharType="separate"/>
      </w:r>
      <w:r>
        <w:t>19</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_Toc26398 </w:instrText>
      </w:r>
      <w:r>
        <w:rPr>
          <w:rFonts w:ascii="Times New Roman" w:hAnsi="Times New Roman" w:eastAsia="宋体" w:cs="Times New Roman"/>
          <w:szCs w:val="24"/>
        </w:rPr>
        <w:fldChar w:fldCharType="separate"/>
      </w:r>
      <w:r>
        <w:rPr>
          <w:rFonts w:hint="eastAsia" w:ascii="Times New Roman" w:hAnsi="Times New Roman" w:eastAsia="宋体" w:cs="Times New Roman"/>
          <w:szCs w:val="24"/>
        </w:rPr>
        <w:t>（四）可比实例照片及位置示意图；</w:t>
      </w:r>
      <w:r>
        <w:tab/>
      </w:r>
      <w:r>
        <w:fldChar w:fldCharType="begin"/>
      </w:r>
      <w:r>
        <w:instrText xml:space="preserve"> PAGEREF _Toc26398 </w:instrText>
      </w:r>
      <w:r>
        <w:fldChar w:fldCharType="separate"/>
      </w:r>
      <w:r>
        <w:t>19</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_Toc21604 </w:instrText>
      </w:r>
      <w:r>
        <w:rPr>
          <w:rFonts w:ascii="Times New Roman" w:hAnsi="Times New Roman" w:eastAsia="宋体" w:cs="Times New Roman"/>
          <w:szCs w:val="24"/>
        </w:rPr>
        <w:fldChar w:fldCharType="separate"/>
      </w:r>
      <w:r>
        <w:rPr>
          <w:rFonts w:hint="eastAsia" w:ascii="Times New Roman" w:hAnsi="Times New Roman" w:eastAsia="宋体" w:cs="Times New Roman"/>
          <w:szCs w:val="24"/>
        </w:rPr>
        <w:t>（五）估价对象实地查勘情况说明；</w:t>
      </w:r>
      <w:r>
        <w:tab/>
      </w:r>
      <w:r>
        <w:fldChar w:fldCharType="begin"/>
      </w:r>
      <w:r>
        <w:instrText xml:space="preserve"> PAGEREF _Toc21604 </w:instrText>
      </w:r>
      <w:r>
        <w:fldChar w:fldCharType="separate"/>
      </w:r>
      <w:r>
        <w:t>19</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_Toc12431 </w:instrText>
      </w:r>
      <w:r>
        <w:rPr>
          <w:rFonts w:ascii="Times New Roman" w:hAnsi="Times New Roman" w:eastAsia="宋体" w:cs="Times New Roman"/>
          <w:szCs w:val="24"/>
        </w:rPr>
        <w:fldChar w:fldCharType="separate"/>
      </w:r>
      <w:r>
        <w:rPr>
          <w:rFonts w:hint="eastAsia" w:ascii="Times New Roman" w:hAnsi="Times New Roman" w:eastAsia="宋体" w:cs="Times New Roman"/>
          <w:szCs w:val="24"/>
        </w:rPr>
        <w:t>（六）专业帮助情况和相关专业意见；</w:t>
      </w:r>
      <w:r>
        <w:tab/>
      </w:r>
      <w:r>
        <w:fldChar w:fldCharType="begin"/>
      </w:r>
      <w:r>
        <w:instrText xml:space="preserve"> PAGEREF _Toc12431 </w:instrText>
      </w:r>
      <w:r>
        <w:fldChar w:fldCharType="separate"/>
      </w:r>
      <w:r>
        <w:t>19</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_Toc10891 </w:instrText>
      </w:r>
      <w:r>
        <w:rPr>
          <w:rFonts w:ascii="Times New Roman" w:hAnsi="Times New Roman" w:eastAsia="宋体" w:cs="Times New Roman"/>
          <w:szCs w:val="24"/>
        </w:rPr>
        <w:fldChar w:fldCharType="separate"/>
      </w:r>
      <w:r>
        <w:rPr>
          <w:rFonts w:hint="eastAsia" w:ascii="Times New Roman" w:hAnsi="Times New Roman" w:eastAsia="宋体" w:cs="Times New Roman"/>
          <w:szCs w:val="24"/>
        </w:rPr>
        <w:t>（七）《房地产司法鉴定评估风险告知书》复印件；</w:t>
      </w:r>
      <w:r>
        <w:tab/>
      </w:r>
      <w:r>
        <w:fldChar w:fldCharType="begin"/>
      </w:r>
      <w:r>
        <w:instrText xml:space="preserve"> PAGEREF _Toc10891 </w:instrText>
      </w:r>
      <w:r>
        <w:fldChar w:fldCharType="separate"/>
      </w:r>
      <w:r>
        <w:t>19</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_Toc25041 </w:instrText>
      </w:r>
      <w:r>
        <w:rPr>
          <w:rFonts w:ascii="Times New Roman" w:hAnsi="Times New Roman" w:eastAsia="宋体" w:cs="Times New Roman"/>
          <w:szCs w:val="24"/>
        </w:rPr>
        <w:fldChar w:fldCharType="separate"/>
      </w:r>
      <w:r>
        <w:rPr>
          <w:rFonts w:ascii="Times New Roman" w:hAnsi="Times New Roman" w:eastAsia="宋体" w:cs="Times New Roman"/>
          <w:bCs/>
          <w:szCs w:val="24"/>
        </w:rPr>
        <w:t>（</w:t>
      </w:r>
      <w:r>
        <w:rPr>
          <w:rFonts w:hint="eastAsia" w:ascii="Times New Roman" w:hAnsi="Times New Roman" w:eastAsia="宋体" w:cs="Times New Roman"/>
          <w:szCs w:val="24"/>
        </w:rPr>
        <w:t>八</w:t>
      </w:r>
      <w:r>
        <w:rPr>
          <w:rFonts w:ascii="Times New Roman" w:hAnsi="Times New Roman" w:eastAsia="宋体" w:cs="Times New Roman"/>
          <w:szCs w:val="24"/>
        </w:rPr>
        <w:t>）</w:t>
      </w:r>
      <w:r>
        <w:rPr>
          <w:rFonts w:hint="eastAsia" w:ascii="Times New Roman" w:hAnsi="Times New Roman" w:eastAsia="宋体"/>
          <w:szCs w:val="24"/>
        </w:rPr>
        <w:t>估价机构营业执照和房地产估价机构备案证书复印件</w:t>
      </w:r>
      <w:r>
        <w:rPr>
          <w:rFonts w:ascii="Times New Roman" w:hAnsi="Times New Roman" w:eastAsia="宋体" w:cs="Times New Roman"/>
          <w:szCs w:val="24"/>
        </w:rPr>
        <w:t>；</w:t>
      </w:r>
      <w:r>
        <w:tab/>
      </w:r>
      <w:r>
        <w:fldChar w:fldCharType="begin"/>
      </w:r>
      <w:r>
        <w:instrText xml:space="preserve"> PAGEREF _Toc25041 </w:instrText>
      </w:r>
      <w:r>
        <w:fldChar w:fldCharType="separate"/>
      </w:r>
      <w:r>
        <w:t>19</w:t>
      </w:r>
      <w:r>
        <w:fldChar w:fldCharType="end"/>
      </w:r>
      <w:r>
        <w:rPr>
          <w:rFonts w:ascii="Times New Roman" w:hAnsi="Times New Roman" w:eastAsia="宋体" w:cs="Times New Roman"/>
          <w:szCs w:val="24"/>
        </w:rPr>
        <w:fldChar w:fldCharType="end"/>
      </w:r>
    </w:p>
    <w:p>
      <w:pPr>
        <w:pStyle w:val="31"/>
        <w:tabs>
          <w:tab w:val="right" w:leader="dot" w:pos="8901"/>
          <w:tab w:val="clear" w:pos="8891"/>
        </w:tabs>
        <w:spacing w:line="440" w:lineRule="exact"/>
      </w:pPr>
      <w:r>
        <w:rPr>
          <w:rFonts w:ascii="Times New Roman" w:hAnsi="Times New Roman" w:eastAsia="宋体" w:cs="Times New Roman"/>
          <w:szCs w:val="24"/>
        </w:rPr>
        <w:fldChar w:fldCharType="begin"/>
      </w:r>
      <w:r>
        <w:rPr>
          <w:rFonts w:ascii="Times New Roman" w:hAnsi="Times New Roman" w:eastAsia="宋体" w:cs="Times New Roman"/>
          <w:szCs w:val="24"/>
        </w:rPr>
        <w:instrText xml:space="preserve"> HYPERLINK \l _Toc6719 </w:instrText>
      </w:r>
      <w:r>
        <w:rPr>
          <w:rFonts w:ascii="Times New Roman" w:hAnsi="Times New Roman" w:eastAsia="宋体" w:cs="Times New Roman"/>
          <w:szCs w:val="24"/>
        </w:rPr>
        <w:fldChar w:fldCharType="separate"/>
      </w:r>
      <w:r>
        <w:rPr>
          <w:rFonts w:ascii="Times New Roman" w:hAnsi="Times New Roman" w:eastAsia="宋体" w:cs="Times New Roman"/>
          <w:szCs w:val="24"/>
        </w:rPr>
        <w:t>（</w:t>
      </w:r>
      <w:r>
        <w:rPr>
          <w:rFonts w:hint="eastAsia" w:ascii="Times New Roman" w:hAnsi="Times New Roman" w:eastAsia="宋体" w:cs="Times New Roman"/>
          <w:szCs w:val="24"/>
        </w:rPr>
        <w:t>九</w:t>
      </w:r>
      <w:r>
        <w:rPr>
          <w:rFonts w:ascii="Times New Roman" w:hAnsi="Times New Roman" w:eastAsia="宋体" w:cs="Times New Roman"/>
          <w:szCs w:val="24"/>
        </w:rPr>
        <w:t>）</w:t>
      </w:r>
      <w:r>
        <w:rPr>
          <w:rFonts w:hint="eastAsia" w:ascii="Times New Roman" w:hAnsi="Times New Roman" w:eastAsia="宋体"/>
          <w:szCs w:val="24"/>
        </w:rPr>
        <w:t>注册房地产估价师估价资格证书复印件</w:t>
      </w:r>
      <w:r>
        <w:rPr>
          <w:rFonts w:ascii="Times New Roman" w:hAnsi="Times New Roman" w:eastAsia="宋体" w:cs="Times New Roman"/>
          <w:szCs w:val="24"/>
        </w:rPr>
        <w:t>。</w:t>
      </w:r>
      <w:r>
        <w:tab/>
      </w:r>
      <w:r>
        <w:fldChar w:fldCharType="begin"/>
      </w:r>
      <w:r>
        <w:instrText xml:space="preserve"> PAGEREF _Toc6719 </w:instrText>
      </w:r>
      <w:r>
        <w:fldChar w:fldCharType="separate"/>
      </w:r>
      <w:r>
        <w:t>19</w:t>
      </w:r>
      <w:r>
        <w:fldChar w:fldCharType="end"/>
      </w:r>
      <w:r>
        <w:rPr>
          <w:rFonts w:ascii="Times New Roman" w:hAnsi="Times New Roman" w:eastAsia="宋体" w:cs="Times New Roman"/>
          <w:szCs w:val="24"/>
        </w:rPr>
        <w:fldChar w:fldCharType="end"/>
      </w:r>
    </w:p>
    <w:p>
      <w:pPr>
        <w:widowControl/>
        <w:snapToGrid w:val="0"/>
        <w:spacing w:before="120" w:after="120"/>
        <w:jc w:val="center"/>
        <w:outlineLvl w:val="0"/>
        <w:rPr>
          <w:rFonts w:ascii="Times New Roman" w:hAnsi="Times New Roman" w:eastAsia="宋体" w:cs="Times New Roman"/>
          <w:b/>
          <w:sz w:val="24"/>
          <w:szCs w:val="24"/>
        </w:rPr>
        <w:sectPr>
          <w:pgSz w:w="11907" w:h="16839"/>
          <w:pgMar w:top="2325" w:right="1503" w:bottom="1202" w:left="1503" w:header="624" w:footer="1361" w:gutter="0"/>
          <w:pgNumType w:start="1"/>
          <w:cols w:space="720" w:num="1"/>
          <w:docGrid w:type="lines" w:linePitch="300" w:charSpace="0"/>
        </w:sectPr>
      </w:pPr>
      <w:r>
        <w:rPr>
          <w:rFonts w:ascii="Times New Roman" w:hAnsi="Times New Roman" w:eastAsia="宋体" w:cs="Times New Roman"/>
          <w:b/>
          <w:sz w:val="24"/>
          <w:szCs w:val="24"/>
        </w:rPr>
        <w:fldChar w:fldCharType="end"/>
      </w:r>
      <w:bookmarkEnd w:id="6"/>
      <w:bookmarkStart w:id="7" w:name="_Toc458088199"/>
      <w:bookmarkStart w:id="8" w:name="_Toc479587792"/>
      <w:r>
        <w:rPr>
          <w:rFonts w:ascii="Times New Roman" w:hAnsi="Times New Roman" w:eastAsia="宋体" w:cs="Times New Roman"/>
          <w:b/>
          <w:sz w:val="24"/>
          <w:szCs w:val="24"/>
        </w:rPr>
        <w:br w:type="page"/>
      </w:r>
    </w:p>
    <w:p>
      <w:pPr>
        <w:widowControl/>
        <w:jc w:val="left"/>
        <w:rPr>
          <w:rFonts w:ascii="Times New Roman" w:hAnsi="Times New Roman" w:eastAsia="宋体" w:cs="Times New Roman"/>
          <w:b/>
          <w:sz w:val="24"/>
          <w:szCs w:val="24"/>
        </w:rPr>
      </w:pPr>
    </w:p>
    <w:p>
      <w:pPr>
        <w:snapToGrid w:val="0"/>
        <w:spacing w:before="120" w:after="120"/>
        <w:jc w:val="center"/>
        <w:outlineLvl w:val="0"/>
        <w:rPr>
          <w:rFonts w:ascii="Times New Roman" w:hAnsi="Times New Roman" w:eastAsia="宋体" w:cs="Times New Roman"/>
          <w:b/>
          <w:kern w:val="44"/>
          <w:sz w:val="36"/>
          <w:szCs w:val="36"/>
        </w:rPr>
      </w:pPr>
      <w:bookmarkStart w:id="9" w:name="_Toc17919"/>
      <w:bookmarkStart w:id="10" w:name="_Toc8490005"/>
      <w:bookmarkStart w:id="11" w:name="_Toc25129"/>
      <w:bookmarkStart w:id="12" w:name="_Toc24547"/>
      <w:bookmarkStart w:id="13" w:name="_Toc18381"/>
      <w:bookmarkStart w:id="14" w:name="_Toc21112"/>
      <w:r>
        <w:rPr>
          <w:rFonts w:ascii="Times New Roman" w:hAnsi="Times New Roman" w:eastAsia="宋体" w:cs="Times New Roman"/>
          <w:b/>
          <w:kern w:val="44"/>
          <w:sz w:val="36"/>
          <w:szCs w:val="36"/>
        </w:rPr>
        <w:t>估价师声明</w:t>
      </w:r>
      <w:bookmarkEnd w:id="7"/>
      <w:bookmarkEnd w:id="8"/>
      <w:bookmarkEnd w:id="9"/>
      <w:bookmarkEnd w:id="10"/>
      <w:bookmarkEnd w:id="11"/>
      <w:bookmarkEnd w:id="12"/>
      <w:bookmarkEnd w:id="13"/>
      <w:bookmarkEnd w:id="14"/>
    </w:p>
    <w:p>
      <w:pPr>
        <w:tabs>
          <w:tab w:val="right" w:pos="8901"/>
        </w:tabs>
        <w:spacing w:line="520" w:lineRule="exact"/>
        <w:rPr>
          <w:rFonts w:ascii="Times New Roman" w:hAnsi="Times New Roman" w:eastAsia="宋体" w:cs="Times New Roman"/>
          <w:sz w:val="24"/>
          <w:szCs w:val="20"/>
        </w:rPr>
      </w:pPr>
      <w:r>
        <w:rPr>
          <w:rFonts w:ascii="Times New Roman" w:hAnsi="Times New Roman" w:eastAsia="宋体" w:cs="Times New Roman"/>
          <w:sz w:val="24"/>
          <w:szCs w:val="20"/>
        </w:rPr>
        <w:t>我们郑重声明：</w:t>
      </w:r>
    </w:p>
    <w:p>
      <w:pPr>
        <w:tabs>
          <w:tab w:val="left" w:pos="0"/>
        </w:tabs>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1、我们在本估价报告中陈述的事实是真实的和准确的，没有虚假记载、误导性陈述和重大遗漏；</w:t>
      </w:r>
    </w:p>
    <w:p>
      <w:pPr>
        <w:tabs>
          <w:tab w:val="left" w:pos="0"/>
        </w:tabs>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2、本估价报告中的分析、意见和结论是我们独立、客观、公正的专业分析、意见和结论，但受到本估价报告中已说明的假设和限制条件的限制；</w:t>
      </w:r>
    </w:p>
    <w:p>
      <w:pPr>
        <w:tabs>
          <w:tab w:val="left" w:pos="0"/>
        </w:tabs>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3、我们与本估价报告中的被评估对象没有利害关系，也与有关当事人没有个人利害关系或偏见。</w:t>
      </w:r>
    </w:p>
    <w:p>
      <w:pPr>
        <w:tabs>
          <w:tab w:val="left" w:pos="0"/>
        </w:tabs>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4、我们依照中华人民共和国国家标准《房地产估价规范》（</w:t>
      </w:r>
      <w:r>
        <w:rPr>
          <w:rFonts w:ascii="Times New Roman" w:hAnsi="Times New Roman" w:eastAsia="宋体" w:cs="Times New Roman"/>
          <w:sz w:val="24"/>
          <w:szCs w:val="24"/>
        </w:rPr>
        <w:t>GB/T 50291-2015</w:t>
      </w:r>
      <w:r>
        <w:rPr>
          <w:rFonts w:hint="eastAsia" w:ascii="Times New Roman" w:hAnsi="Times New Roman" w:eastAsia="宋体" w:cs="Times New Roman"/>
          <w:sz w:val="24"/>
          <w:szCs w:val="24"/>
        </w:rPr>
        <w:t>）、《房地产估价基本术语标准》（</w:t>
      </w:r>
      <w:r>
        <w:rPr>
          <w:rFonts w:ascii="Times New Roman" w:hAnsi="Times New Roman" w:eastAsia="宋体" w:cs="Times New Roman"/>
          <w:sz w:val="24"/>
          <w:szCs w:val="24"/>
        </w:rPr>
        <w:t>GB/T 50899-2013</w:t>
      </w:r>
      <w:r>
        <w:rPr>
          <w:rFonts w:hint="eastAsia" w:ascii="Times New Roman" w:hAnsi="Times New Roman" w:eastAsia="宋体" w:cs="Times New Roman"/>
          <w:sz w:val="24"/>
          <w:szCs w:val="24"/>
        </w:rPr>
        <w:t>）</w:t>
      </w:r>
      <w:r>
        <w:rPr>
          <w:rFonts w:hint="eastAsia"/>
          <w:sz w:val="24"/>
          <w:szCs w:val="24"/>
        </w:rPr>
        <w:t>、《房地产司法鉴定评估指导意见》（试行）</w:t>
      </w:r>
      <w:r>
        <w:rPr>
          <w:rFonts w:hint="eastAsia" w:ascii="Times New Roman" w:hAnsi="Times New Roman" w:eastAsia="宋体" w:cs="Times New Roman"/>
          <w:sz w:val="24"/>
          <w:szCs w:val="24"/>
        </w:rPr>
        <w:t>以及相关房地产估价标准进行估价工作，撰写估价报告。</w:t>
      </w:r>
    </w:p>
    <w:p>
      <w:pPr>
        <w:snapToGrid w:val="0"/>
        <w:spacing w:before="120" w:after="120"/>
        <w:jc w:val="center"/>
        <w:outlineLvl w:val="0"/>
        <w:rPr>
          <w:rFonts w:ascii="Times New Roman" w:hAnsi="Times New Roman" w:eastAsia="宋体" w:cs="Times New Roman"/>
          <w:b/>
          <w:kern w:val="44"/>
          <w:sz w:val="36"/>
          <w:szCs w:val="36"/>
        </w:rPr>
      </w:pPr>
      <w:bookmarkStart w:id="15" w:name="_Toc2374"/>
      <w:bookmarkStart w:id="16" w:name="_Toc479587793"/>
      <w:r>
        <w:rPr>
          <w:rFonts w:ascii="Times New Roman" w:hAnsi="Times New Roman" w:eastAsia="宋体" w:cs="Times New Roman"/>
          <w:b/>
          <w:kern w:val="44"/>
          <w:sz w:val="36"/>
          <w:szCs w:val="36"/>
        </w:rPr>
        <w:br w:type="page"/>
      </w:r>
    </w:p>
    <w:p>
      <w:pPr>
        <w:snapToGrid w:val="0"/>
        <w:spacing w:before="840" w:after="120" w:line="480" w:lineRule="auto"/>
        <w:jc w:val="center"/>
        <w:outlineLvl w:val="0"/>
        <w:rPr>
          <w:rFonts w:ascii="Times New Roman" w:hAnsi="Times New Roman" w:eastAsia="宋体" w:cs="Times New Roman"/>
          <w:b/>
          <w:kern w:val="44"/>
          <w:sz w:val="36"/>
          <w:szCs w:val="36"/>
        </w:rPr>
      </w:pPr>
      <w:bookmarkStart w:id="17" w:name="_Toc7249"/>
      <w:bookmarkStart w:id="18" w:name="_Toc8490006"/>
      <w:bookmarkStart w:id="19" w:name="_Toc14957"/>
      <w:bookmarkStart w:id="20" w:name="_Toc7016"/>
      <w:bookmarkStart w:id="21" w:name="_Toc14131"/>
      <w:bookmarkStart w:id="22" w:name="_Toc20184"/>
      <w:r>
        <w:rPr>
          <w:rFonts w:ascii="Times New Roman" w:hAnsi="Times New Roman" w:eastAsia="宋体" w:cs="Times New Roman"/>
          <w:b/>
          <w:kern w:val="44"/>
          <w:sz w:val="36"/>
          <w:szCs w:val="36"/>
        </w:rPr>
        <w:t>估价假设和限制条件</w:t>
      </w:r>
      <w:bookmarkEnd w:id="15"/>
      <w:bookmarkEnd w:id="16"/>
      <w:bookmarkEnd w:id="17"/>
      <w:bookmarkEnd w:id="18"/>
      <w:bookmarkEnd w:id="19"/>
      <w:bookmarkEnd w:id="20"/>
      <w:bookmarkEnd w:id="21"/>
      <w:bookmarkEnd w:id="22"/>
    </w:p>
    <w:p>
      <w:pPr>
        <w:tabs>
          <w:tab w:val="left" w:pos="990"/>
        </w:tabs>
        <w:snapToGrid w:val="0"/>
        <w:spacing w:line="52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（一）一般假设</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r>
        <w:rPr>
          <w:rFonts w:hint="eastAsia" w:ascii="Times New Roman" w:hAnsi="Times New Roman" w:eastAsia="宋体" w:cs="Times New Roman"/>
          <w:sz w:val="24"/>
          <w:szCs w:val="24"/>
        </w:rPr>
        <w:t>在价值时点，被申请执行人提供的估价对象房地产权属、估价所必需的反映估价对象状况的资料真实、合法、有效，估价对象符合国家相关法律法规房地产转让的有关规定。</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2、我公司注册房地产估价师金小龙查阅了估价委托人</w:t>
      </w:r>
      <w:r>
        <w:rPr>
          <w:rFonts w:ascii="Times New Roman" w:hAnsi="Times New Roman" w:eastAsia="宋体" w:cs="Times New Roman"/>
          <w:sz w:val="24"/>
          <w:szCs w:val="24"/>
        </w:rPr>
        <w:t>提供</w:t>
      </w:r>
      <w:r>
        <w:rPr>
          <w:rFonts w:hint="eastAsia" w:ascii="Times New Roman" w:hAnsi="Times New Roman" w:eastAsia="宋体" w:cs="Times New Roman"/>
          <w:sz w:val="24"/>
          <w:szCs w:val="24"/>
        </w:rPr>
        <w:t>的</w:t>
      </w:r>
      <w:r>
        <w:rPr>
          <w:rFonts w:hint="eastAsia" w:ascii="Times New Roman" w:hAnsi="Times New Roman" w:eastAsia="宋体" w:cs="Times New Roman"/>
          <w:sz w:val="24"/>
          <w:szCs w:val="24"/>
          <w:lang w:eastAsia="zh-CN"/>
        </w:rPr>
        <w:t>《成都市不动产登记中心房地产权结果信息一览表》</w:t>
      </w:r>
      <w:r>
        <w:rPr>
          <w:rFonts w:ascii="Times New Roman" w:hAnsi="Times New Roman" w:eastAsia="宋体" w:cs="Times New Roman"/>
          <w:sz w:val="24"/>
          <w:szCs w:val="24"/>
        </w:rPr>
        <w:t>，</w:t>
      </w:r>
      <w:r>
        <w:rPr>
          <w:rFonts w:hint="eastAsia" w:ascii="Times New Roman" w:hAnsi="Times New Roman" w:eastAsia="宋体" w:cs="Times New Roman"/>
          <w:sz w:val="24"/>
          <w:szCs w:val="24"/>
        </w:rPr>
        <w:t>在无理由怀疑其合法性、真实性、准确性和完整性的情况下，本次估价假定估价委托人提供的资料是合法、真实、准确、完整的。估价人员及估价机构不对上述资料的合法、真实、准确、完整性负责。</w:t>
      </w:r>
    </w:p>
    <w:p>
      <w:pPr>
        <w:tabs>
          <w:tab w:val="left" w:pos="900"/>
          <w:tab w:val="left" w:pos="1080"/>
          <w:tab w:val="left" w:pos="1288"/>
        </w:tabs>
        <w:snapToGrid w:val="0"/>
        <w:spacing w:line="520" w:lineRule="exact"/>
        <w:ind w:firstLine="480" w:firstLineChars="200"/>
        <w:rPr>
          <w:rStyle w:val="46"/>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、我们未</w:t>
      </w:r>
      <w:r>
        <w:rPr>
          <w:rFonts w:hint="eastAsia" w:ascii="Times New Roman" w:hAnsi="Times New Roman" w:eastAsia="宋体" w:cs="Times New Roman"/>
          <w:sz w:val="24"/>
          <w:szCs w:val="24"/>
        </w:rPr>
        <w:t>获得</w:t>
      </w:r>
      <w:r>
        <w:rPr>
          <w:rFonts w:ascii="Times New Roman" w:hAnsi="Times New Roman" w:eastAsia="宋体" w:cs="Times New Roman"/>
          <w:sz w:val="24"/>
          <w:szCs w:val="24"/>
        </w:rPr>
        <w:t>估价对象的</w:t>
      </w:r>
      <w:r>
        <w:rPr>
          <w:rFonts w:hint="eastAsia" w:ascii="Times New Roman" w:hAnsi="Times New Roman" w:eastAsia="宋体" w:cs="Times New Roman"/>
          <w:sz w:val="24"/>
          <w:szCs w:val="24"/>
        </w:rPr>
        <w:t>宗地</w:t>
      </w:r>
      <w:r>
        <w:rPr>
          <w:rFonts w:ascii="Times New Roman" w:hAnsi="Times New Roman" w:eastAsia="宋体" w:cs="Times New Roman"/>
          <w:sz w:val="24"/>
          <w:szCs w:val="24"/>
        </w:rPr>
        <w:t>面积、建筑面积</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专业测量意见</w:t>
      </w:r>
      <w:r>
        <w:rPr>
          <w:rFonts w:hint="eastAsia" w:ascii="Times New Roman" w:hAnsi="Times New Roman" w:eastAsia="宋体" w:cs="Times New Roman"/>
          <w:sz w:val="24"/>
          <w:szCs w:val="24"/>
        </w:rPr>
        <w:t>，亦未对其进行专业测量。本次估价时我们以估价委托人</w:t>
      </w:r>
      <w:r>
        <w:rPr>
          <w:rFonts w:ascii="Times New Roman" w:hAnsi="Times New Roman" w:eastAsia="宋体" w:cs="Times New Roman"/>
          <w:sz w:val="24"/>
          <w:szCs w:val="24"/>
        </w:rPr>
        <w:t>提供</w:t>
      </w:r>
      <w:r>
        <w:rPr>
          <w:rFonts w:hint="eastAsia" w:ascii="Times New Roman" w:hAnsi="Times New Roman" w:eastAsia="宋体" w:cs="Times New Roman"/>
          <w:sz w:val="24"/>
          <w:szCs w:val="24"/>
        </w:rPr>
        <w:t>的</w:t>
      </w:r>
      <w:r>
        <w:rPr>
          <w:rFonts w:hint="eastAsia" w:ascii="Times New Roman" w:hAnsi="Times New Roman" w:eastAsia="宋体" w:cs="Times New Roman"/>
          <w:sz w:val="24"/>
          <w:szCs w:val="24"/>
          <w:lang w:eastAsia="zh-CN"/>
        </w:rPr>
        <w:t>《成都市不动产登记中心房地产权结果信息一览表》</w:t>
      </w:r>
      <w:r>
        <w:rPr>
          <w:rFonts w:hint="eastAsia" w:ascii="Times New Roman" w:hAnsi="Times New Roman" w:eastAsia="宋体" w:cs="Times New Roman"/>
          <w:sz w:val="24"/>
          <w:szCs w:val="24"/>
        </w:rPr>
        <w:t>记载内容为准进行相关说明和测算。</w:t>
      </w:r>
    </w:p>
    <w:p>
      <w:pPr>
        <w:tabs>
          <w:tab w:val="left" w:pos="900"/>
          <w:tab w:val="left" w:pos="1080"/>
          <w:tab w:val="left" w:pos="1288"/>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eastAsia" w:ascii="Times New Roman" w:hAnsi="Times New Roman" w:eastAsia="宋体" w:cs="Times New Roman"/>
          <w:sz w:val="24"/>
          <w:szCs w:val="24"/>
          <w:lang w:eastAsia="zh-CN"/>
        </w:rPr>
        <w:t>根据实地查勘，估价对象目前空置，为住宅格局及装修，估价委托人提供的《成都市不动产登记中心房地产权结果信息一览表》</w:t>
      </w:r>
      <w:r>
        <w:rPr>
          <w:rFonts w:hint="eastAsia" w:ascii="Times New Roman" w:hAnsi="Times New Roman" w:eastAsia="宋体" w:cs="Times New Roman"/>
          <w:sz w:val="24"/>
          <w:szCs w:val="24"/>
        </w:rPr>
        <w:t>载明的用途</w:t>
      </w:r>
      <w:r>
        <w:rPr>
          <w:rFonts w:hint="eastAsia" w:ascii="Times New Roman" w:hAnsi="Times New Roman" w:eastAsia="宋体" w:cs="Times New Roman"/>
          <w:sz w:val="24"/>
          <w:szCs w:val="24"/>
          <w:lang w:eastAsia="zh-CN"/>
        </w:rPr>
        <w:t>为其他</w:t>
      </w:r>
      <w:r>
        <w:rPr>
          <w:rFonts w:hint="eastAsia" w:ascii="Times New Roman" w:hAnsi="Times New Roman" w:eastAsia="宋体" w:cs="Times New Roman"/>
          <w:sz w:val="24"/>
          <w:szCs w:val="24"/>
        </w:rPr>
        <w:t>使用，</w:t>
      </w:r>
      <w:r>
        <w:rPr>
          <w:rFonts w:hint="eastAsia" w:ascii="Times New Roman" w:hAnsi="Times New Roman" w:eastAsia="宋体" w:cs="Times New Roman"/>
          <w:sz w:val="24"/>
          <w:szCs w:val="24"/>
          <w:lang w:eastAsia="zh-CN"/>
        </w:rPr>
        <w:t>用途不一致，根据其所在小区情况及估价对象实际情况，本次评估以其为住宅用途为前提进行估价</w:t>
      </w:r>
      <w:r>
        <w:rPr>
          <w:rFonts w:ascii="Times New Roman" w:hAnsi="Times New Roman" w:eastAsia="宋体" w:cs="Times New Roman"/>
          <w:sz w:val="24"/>
          <w:szCs w:val="24"/>
        </w:rPr>
        <w:t>。</w:t>
      </w:r>
    </w:p>
    <w:p>
      <w:pPr>
        <w:tabs>
          <w:tab w:val="left" w:pos="900"/>
          <w:tab w:val="left" w:pos="1080"/>
          <w:tab w:val="left" w:pos="1288"/>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我们对估价对象进行了实地查勘，但我们对估价对象的查勘仅限于其外观和使用状况，并未进行结构测量和设备测试以确认估价对象是否存在结构性损害或其他缺陷；我们已对房屋安全、环境污染等影响估价对象价值的重大因素给予了关注。在无理由怀疑估价对象存在安全、环境污染隐患且无相应的专业机构进行鉴定、检测的情况下，假定估价对象能正常安全使用。</w:t>
      </w:r>
    </w:p>
    <w:p>
      <w:pPr>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w:t>
      </w:r>
      <w:r>
        <w:rPr>
          <w:rFonts w:ascii="Times New Roman" w:hAnsi="Times New Roman" w:eastAsia="宋体" w:cs="Times New Roman"/>
          <w:sz w:val="24"/>
          <w:szCs w:val="24"/>
        </w:rPr>
        <w:t>、估价对象在价值时点的房地产市场为公开、平等、自愿的市场交易，即能满足以下条件：</w:t>
      </w:r>
    </w:p>
    <w:p>
      <w:pPr>
        <w:pStyle w:val="262"/>
        <w:numPr>
          <w:ilvl w:val="0"/>
          <w:numId w:val="1"/>
        </w:numPr>
        <w:tabs>
          <w:tab w:val="left" w:pos="900"/>
          <w:tab w:val="left" w:pos="1004"/>
          <w:tab w:val="left" w:pos="1080"/>
          <w:tab w:val="left" w:pos="1288"/>
          <w:tab w:val="left" w:pos="1985"/>
        </w:tabs>
        <w:snapToGrid w:val="0"/>
        <w:spacing w:line="520" w:lineRule="exact"/>
        <w:ind w:hanging="916"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交易双方是自愿地进行交易的；</w:t>
      </w:r>
    </w:p>
    <w:p>
      <w:pPr>
        <w:pStyle w:val="262"/>
        <w:numPr>
          <w:ilvl w:val="0"/>
          <w:numId w:val="1"/>
        </w:numPr>
        <w:tabs>
          <w:tab w:val="left" w:pos="900"/>
          <w:tab w:val="left" w:pos="1004"/>
          <w:tab w:val="left" w:pos="1080"/>
          <w:tab w:val="left" w:pos="1288"/>
          <w:tab w:val="left" w:pos="1985"/>
        </w:tabs>
        <w:snapToGrid w:val="0"/>
        <w:spacing w:line="520" w:lineRule="exact"/>
        <w:ind w:left="0" w:firstLine="240" w:firstLineChars="100"/>
        <w:jc w:val="left"/>
        <w:rPr>
          <w:rFonts w:ascii="Times New Roman" w:hAnsi="Times New Roman" w:eastAsia="宋体" w:cs="Times New Roman"/>
          <w:sz w:val="24"/>
          <w:szCs w:val="24"/>
        </w:rPr>
      </w:pPr>
      <w:r>
        <w:rPr>
          <w:rFonts w:ascii="Times New Roman" w:hAnsi="Times New Roman" w:eastAsia="宋体" w:cs="Times New Roman"/>
          <w:sz w:val="24"/>
          <w:szCs w:val="24"/>
        </w:rPr>
        <w:t>交易双方是出于利己动机进行交易的；</w:t>
      </w:r>
    </w:p>
    <w:p>
      <w:pPr>
        <w:pStyle w:val="262"/>
        <w:numPr>
          <w:ilvl w:val="0"/>
          <w:numId w:val="1"/>
        </w:numPr>
        <w:tabs>
          <w:tab w:val="left" w:pos="900"/>
          <w:tab w:val="left" w:pos="1004"/>
          <w:tab w:val="left" w:pos="1080"/>
          <w:tab w:val="left" w:pos="1288"/>
          <w:tab w:val="left" w:pos="1985"/>
        </w:tabs>
        <w:snapToGrid w:val="0"/>
        <w:spacing w:line="520" w:lineRule="exact"/>
        <w:ind w:left="0" w:firstLine="240" w:firstLineChars="100"/>
        <w:jc w:val="left"/>
        <w:rPr>
          <w:rFonts w:ascii="Times New Roman" w:hAnsi="Times New Roman" w:eastAsia="宋体" w:cs="Times New Roman"/>
          <w:sz w:val="24"/>
          <w:szCs w:val="24"/>
        </w:rPr>
      </w:pPr>
      <w:r>
        <w:rPr>
          <w:rFonts w:ascii="Times New Roman" w:hAnsi="Times New Roman" w:eastAsia="宋体" w:cs="Times New Roman"/>
          <w:sz w:val="24"/>
          <w:szCs w:val="24"/>
        </w:rPr>
        <w:t>交易双方是精明的、谨慎行事的，并且了解交易对象、知晓市场行情；</w:t>
      </w:r>
    </w:p>
    <w:p>
      <w:pPr>
        <w:pStyle w:val="262"/>
        <w:numPr>
          <w:ilvl w:val="0"/>
          <w:numId w:val="1"/>
        </w:numPr>
        <w:tabs>
          <w:tab w:val="left" w:pos="900"/>
          <w:tab w:val="left" w:pos="1004"/>
          <w:tab w:val="left" w:pos="1080"/>
          <w:tab w:val="left" w:pos="1288"/>
          <w:tab w:val="left" w:pos="1985"/>
        </w:tabs>
        <w:snapToGrid w:val="0"/>
        <w:spacing w:line="520" w:lineRule="exact"/>
        <w:ind w:left="0" w:firstLine="240" w:firstLineChars="100"/>
        <w:jc w:val="left"/>
        <w:rPr>
          <w:rFonts w:ascii="Times New Roman" w:hAnsi="Times New Roman" w:eastAsia="宋体" w:cs="Times New Roman"/>
          <w:sz w:val="24"/>
          <w:szCs w:val="24"/>
        </w:rPr>
      </w:pPr>
      <w:r>
        <w:rPr>
          <w:rFonts w:ascii="Times New Roman" w:hAnsi="Times New Roman" w:eastAsia="宋体" w:cs="Times New Roman"/>
          <w:sz w:val="24"/>
          <w:szCs w:val="24"/>
        </w:rPr>
        <w:t>交易双方有较充裕的时间进行交易；</w:t>
      </w:r>
    </w:p>
    <w:p>
      <w:pPr>
        <w:pStyle w:val="262"/>
        <w:numPr>
          <w:ilvl w:val="0"/>
          <w:numId w:val="1"/>
        </w:numPr>
        <w:tabs>
          <w:tab w:val="left" w:pos="900"/>
          <w:tab w:val="left" w:pos="1004"/>
          <w:tab w:val="left" w:pos="1080"/>
          <w:tab w:val="left" w:pos="1288"/>
          <w:tab w:val="left" w:pos="1985"/>
        </w:tabs>
        <w:snapToGrid w:val="0"/>
        <w:spacing w:line="520" w:lineRule="exact"/>
        <w:ind w:left="0" w:firstLine="240" w:firstLineChars="100"/>
        <w:jc w:val="left"/>
        <w:rPr>
          <w:rFonts w:ascii="Times New Roman" w:hAnsi="Times New Roman" w:eastAsia="宋体" w:cs="Times New Roman"/>
          <w:sz w:val="24"/>
          <w:szCs w:val="24"/>
        </w:rPr>
      </w:pPr>
      <w:r>
        <w:rPr>
          <w:rFonts w:ascii="Times New Roman" w:hAnsi="Times New Roman" w:eastAsia="宋体" w:cs="Times New Roman"/>
          <w:sz w:val="24"/>
          <w:szCs w:val="24"/>
        </w:rPr>
        <w:t>该房地产可以继续使用；</w:t>
      </w:r>
    </w:p>
    <w:p>
      <w:pPr>
        <w:pStyle w:val="262"/>
        <w:numPr>
          <w:ilvl w:val="0"/>
          <w:numId w:val="1"/>
        </w:numPr>
        <w:tabs>
          <w:tab w:val="left" w:pos="900"/>
          <w:tab w:val="left" w:pos="1004"/>
          <w:tab w:val="left" w:pos="1080"/>
          <w:tab w:val="left" w:pos="1288"/>
          <w:tab w:val="left" w:pos="1985"/>
        </w:tabs>
        <w:snapToGrid w:val="0"/>
        <w:spacing w:line="520" w:lineRule="exact"/>
        <w:ind w:left="0" w:firstLine="240" w:firstLineChars="100"/>
        <w:jc w:val="left"/>
        <w:rPr>
          <w:rFonts w:ascii="Times New Roman" w:hAnsi="Times New Roman" w:eastAsia="宋体" w:cs="Times New Roman"/>
          <w:sz w:val="24"/>
          <w:szCs w:val="24"/>
        </w:rPr>
      </w:pPr>
      <w:r>
        <w:rPr>
          <w:rFonts w:ascii="Times New Roman" w:hAnsi="Times New Roman" w:eastAsia="宋体" w:cs="Times New Roman"/>
          <w:snapToGrid w:val="0"/>
          <w:kern w:val="0"/>
          <w:sz w:val="24"/>
          <w:szCs w:val="24"/>
        </w:rPr>
        <w:t>在此期间物业价值将保持稳定</w:t>
      </w:r>
      <w:r>
        <w:rPr>
          <w:rFonts w:ascii="Times New Roman" w:hAnsi="Times New Roman" w:eastAsia="宋体" w:cs="Times New Roman"/>
          <w:sz w:val="24"/>
          <w:szCs w:val="24"/>
        </w:rPr>
        <w:t>；</w:t>
      </w:r>
    </w:p>
    <w:p>
      <w:pPr>
        <w:pStyle w:val="262"/>
        <w:numPr>
          <w:ilvl w:val="0"/>
          <w:numId w:val="1"/>
        </w:numPr>
        <w:tabs>
          <w:tab w:val="left" w:pos="900"/>
          <w:tab w:val="left" w:pos="1004"/>
          <w:tab w:val="left" w:pos="1080"/>
          <w:tab w:val="left" w:pos="1288"/>
          <w:tab w:val="left" w:pos="1985"/>
        </w:tabs>
        <w:snapToGrid w:val="0"/>
        <w:spacing w:line="520" w:lineRule="exact"/>
        <w:ind w:left="0" w:firstLine="240" w:firstLineChars="100"/>
        <w:jc w:val="left"/>
        <w:rPr>
          <w:rFonts w:ascii="Times New Roman" w:hAnsi="Times New Roman" w:eastAsia="宋体" w:cs="Times New Roman"/>
          <w:sz w:val="24"/>
          <w:szCs w:val="24"/>
        </w:rPr>
      </w:pPr>
      <w:r>
        <w:rPr>
          <w:rFonts w:ascii="Times New Roman" w:hAnsi="Times New Roman" w:eastAsia="宋体" w:cs="Times New Roman"/>
          <w:sz w:val="24"/>
          <w:szCs w:val="24"/>
        </w:rPr>
        <w:t>不考虑特殊买家的额外出价。</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7、房屋所有权人对估价对象拥有合法的占有权、使用权、收益权和处置权。估价对象在价值时点未发生任何形式的产权转移行为。</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8、估价对象能合理正常使用公共附属设施设备。</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9、本公司注册房地产估价师金小龙及估价助理夏成勇于2020年1月9日在执行局徐勇法官及案件申请人代表的带领下对估价对象进行了实地查勘（包含估价对象外观、室内状况及使用状况）。注册房地产估价师现场拍摄的估价对象实物照片内容系由执行局徐勇法官现场确定之评估范围的实物状况，在本报告中假设其无遗漏、偏离和虚构。</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10、由于人民法院未明确估价对象是否存在欠缴税费（含税收、物业费、供暖费、水电气费等）情况，房地产估价机构受权限限制无法知晓估价对象是否存在欠缴税费情况，本次估价以估价对象未拖欠相关税费为假设前提。</w:t>
      </w:r>
    </w:p>
    <w:p>
      <w:pPr>
        <w:tabs>
          <w:tab w:val="left" w:pos="990"/>
        </w:tabs>
        <w:snapToGrid w:val="0"/>
        <w:spacing w:line="52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（二）未定事项假设</w:t>
      </w:r>
    </w:p>
    <w:p>
      <w:pPr>
        <w:tabs>
          <w:tab w:val="left" w:pos="990"/>
        </w:tabs>
        <w:snapToGrid w:val="0"/>
        <w:spacing w:line="520" w:lineRule="exact"/>
        <w:ind w:firstLine="480" w:firstLineChars="200"/>
        <w:rPr>
          <w:sz w:val="24"/>
          <w:szCs w:val="24"/>
        </w:rPr>
      </w:pPr>
      <w:r>
        <w:rPr>
          <w:sz w:val="24"/>
          <w:szCs w:val="24"/>
        </w:rPr>
        <w:t>本次估价的估价对象不存在未定事项，故本估价报告无未定事项假设</w:t>
      </w:r>
      <w:r>
        <w:rPr>
          <w:rFonts w:hint="eastAsia"/>
          <w:sz w:val="24"/>
          <w:szCs w:val="24"/>
        </w:rPr>
        <w:t>。</w:t>
      </w:r>
    </w:p>
    <w:p>
      <w:pPr>
        <w:tabs>
          <w:tab w:val="left" w:pos="990"/>
        </w:tabs>
        <w:snapToGrid w:val="0"/>
        <w:spacing w:line="52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（三）背离事实假设</w:t>
      </w:r>
    </w:p>
    <w:p>
      <w:pPr>
        <w:tabs>
          <w:tab w:val="left" w:pos="990"/>
        </w:tabs>
        <w:snapToGrid w:val="0"/>
        <w:spacing w:line="520" w:lineRule="exact"/>
        <w:ind w:firstLine="480" w:firstLineChars="200"/>
        <w:rPr>
          <w:sz w:val="24"/>
          <w:szCs w:val="24"/>
        </w:rPr>
      </w:pPr>
      <w:r>
        <w:rPr>
          <w:sz w:val="24"/>
          <w:szCs w:val="24"/>
        </w:rPr>
        <w:t>根据估价委托人提供的</w:t>
      </w:r>
      <w:r>
        <w:rPr>
          <w:rFonts w:hint="eastAsia"/>
          <w:sz w:val="24"/>
          <w:szCs w:val="24"/>
          <w:lang w:eastAsia="zh-CN"/>
        </w:rPr>
        <w:t>《成都市不动产登记中心房地产权结果信息一览表》</w:t>
      </w:r>
      <w:r>
        <w:rPr>
          <w:rFonts w:hint="eastAsia"/>
          <w:sz w:val="24"/>
          <w:szCs w:val="24"/>
        </w:rPr>
        <w:t>记载</w:t>
      </w:r>
      <w:r>
        <w:rPr>
          <w:sz w:val="24"/>
          <w:szCs w:val="24"/>
        </w:rPr>
        <w:t>，至价值时点，估价对象已</w:t>
      </w:r>
      <w:r>
        <w:rPr>
          <w:rFonts w:hint="eastAsia"/>
          <w:sz w:val="24"/>
          <w:szCs w:val="24"/>
        </w:rPr>
        <w:t>设定有抵押权，抵押人:徐贵川，抵押不动产类型:其他，债务履行起始时间:2016-08-31 00:00:00，债务履行结束时间：2036-08-31 00:00:00，不动产登记证明号：他权0052753，登记机构：青白江区不动产登记中心。</w:t>
      </w:r>
      <w:r>
        <w:rPr>
          <w:sz w:val="24"/>
          <w:szCs w:val="24"/>
        </w:rPr>
        <w:t>结合本次估价目的，本次估价不考虑</w:t>
      </w:r>
      <w:r>
        <w:rPr>
          <w:rFonts w:hint="eastAsia"/>
          <w:sz w:val="24"/>
          <w:szCs w:val="24"/>
        </w:rPr>
        <w:t>抵押</w:t>
      </w:r>
      <w:r>
        <w:rPr>
          <w:sz w:val="24"/>
          <w:szCs w:val="24"/>
        </w:rPr>
        <w:t>因素对估价对象价值的影响。</w:t>
      </w:r>
    </w:p>
    <w:p>
      <w:pPr>
        <w:adjustRightInd w:val="0"/>
        <w:snapToGrid w:val="0"/>
        <w:spacing w:line="520" w:lineRule="exact"/>
        <w:ind w:firstLine="482" w:firstLineChars="200"/>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（四）不相一致假设</w:t>
      </w:r>
    </w:p>
    <w:p>
      <w:pPr>
        <w:adjustRightInd w:val="0"/>
        <w:snapToGrid w:val="0"/>
        <w:spacing w:line="520" w:lineRule="exact"/>
        <w:ind w:firstLine="480" w:firstLineChars="200"/>
        <w:textAlignment w:val="baseline"/>
        <w:rPr>
          <w:rFonts w:hint="eastAsia"/>
          <w:sz w:val="24"/>
          <w:szCs w:val="24"/>
        </w:rPr>
      </w:pPr>
      <w:r>
        <w:rPr>
          <w:rFonts w:hint="eastAsia"/>
          <w:sz w:val="24"/>
          <w:szCs w:val="24"/>
          <w:lang w:val="en-US" w:eastAsia="zh-CN"/>
        </w:rPr>
        <w:t>1、</w:t>
      </w:r>
      <w:r>
        <w:rPr>
          <w:rFonts w:hint="eastAsia"/>
          <w:sz w:val="24"/>
          <w:szCs w:val="24"/>
        </w:rPr>
        <w:t>估价委托人未能提供估价对象《房屋所有权证》或《不动产权证书》，估价委托人提供的《成都市不动产登记中心房地产权结果信息一览表》记载估价对象规划用途为其他，经估价人员现场查勘估价对象</w:t>
      </w:r>
      <w:r>
        <w:rPr>
          <w:rFonts w:hint="eastAsia"/>
          <w:sz w:val="24"/>
          <w:szCs w:val="24"/>
          <w:lang w:eastAsia="zh-CN"/>
        </w:rPr>
        <w:t>位于青江馨苑住宅小区内，目前空置，为住宅格局及装修，根据其所在小区情况及估价对象实际情况，本次评估以其为住宅用途为前提进行估价，如与实际不符，本报告将做相应调整。</w:t>
      </w:r>
    </w:p>
    <w:p>
      <w:pPr>
        <w:tabs>
          <w:tab w:val="left" w:pos="990"/>
        </w:tabs>
        <w:snapToGrid w:val="0"/>
        <w:spacing w:line="52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（五）依据不足假设</w:t>
      </w:r>
    </w:p>
    <w:p>
      <w:pPr>
        <w:adjustRightInd w:val="0"/>
        <w:snapToGrid w:val="0"/>
        <w:spacing w:line="520" w:lineRule="exact"/>
        <w:ind w:firstLine="480" w:firstLineChars="200"/>
        <w:textAlignment w:val="baseline"/>
        <w:rPr>
          <w:sz w:val="24"/>
          <w:szCs w:val="24"/>
        </w:rPr>
      </w:pPr>
      <w:r>
        <w:rPr>
          <w:rFonts w:hint="eastAsia" w:ascii="Times New Roman" w:hAnsi="Times New Roman" w:eastAsia="宋体" w:cs="Times New Roman"/>
          <w:sz w:val="24"/>
          <w:szCs w:val="24"/>
        </w:rPr>
        <w:t>1</w:t>
      </w:r>
      <w:r>
        <w:rPr>
          <w:rFonts w:hint="eastAsia"/>
          <w:sz w:val="24"/>
          <w:szCs w:val="24"/>
        </w:rPr>
        <w:t>、估价委托人</w:t>
      </w:r>
      <w:r>
        <w:rPr>
          <w:rFonts w:hint="eastAsia" w:ascii="Times New Roman" w:hAnsi="Times New Roman" w:eastAsia="宋体" w:cs="Times New Roman"/>
          <w:sz w:val="24"/>
          <w:szCs w:val="24"/>
        </w:rPr>
        <w:t>提供的</w:t>
      </w:r>
      <w:r>
        <w:rPr>
          <w:rFonts w:hint="eastAsia" w:eastAsia="宋体"/>
          <w:sz w:val="24"/>
          <w:szCs w:val="24"/>
          <w:lang w:eastAsia="zh-CN"/>
        </w:rPr>
        <w:t>《成都市不动产登记中心房地产权结果信息一览表》</w:t>
      </w:r>
      <w:r>
        <w:rPr>
          <w:rFonts w:hint="eastAsia"/>
          <w:sz w:val="24"/>
          <w:szCs w:val="24"/>
        </w:rPr>
        <w:t>中未载明估价对象建筑物建成年代，据估价</w:t>
      </w:r>
      <w:r>
        <w:rPr>
          <w:rFonts w:hint="eastAsia" w:ascii="Times New Roman" w:hAnsi="Times New Roman" w:eastAsia="宋体" w:cs="Times New Roman"/>
          <w:sz w:val="24"/>
          <w:szCs w:val="24"/>
        </w:rPr>
        <w:t>人员实地调查，估价对象建成于2003</w:t>
      </w:r>
      <w:r>
        <w:rPr>
          <w:rFonts w:hint="eastAsia"/>
          <w:sz w:val="24"/>
          <w:szCs w:val="24"/>
        </w:rPr>
        <w:t>年，本次估价设定估价对象建筑物建成于2003年，如上述情况发生变化，估价结果需做相应调整。</w:t>
      </w:r>
    </w:p>
    <w:p>
      <w:pPr>
        <w:adjustRightInd w:val="0"/>
        <w:snapToGrid w:val="0"/>
        <w:spacing w:line="520" w:lineRule="exact"/>
        <w:ind w:firstLine="480" w:firstLineChars="200"/>
        <w:textAlignment w:val="baseline"/>
        <w:rPr>
          <w:rFonts w:hint="eastAsia"/>
          <w:sz w:val="24"/>
          <w:szCs w:val="24"/>
        </w:rPr>
      </w:pPr>
      <w:r>
        <w:rPr>
          <w:rFonts w:hint="eastAsia" w:ascii="Times New Roman" w:hAnsi="Times New Roman" w:eastAsia="宋体" w:cs="Times New Roman"/>
          <w:sz w:val="24"/>
          <w:szCs w:val="24"/>
        </w:rPr>
        <w:t>2、</w:t>
      </w:r>
      <w:r>
        <w:rPr>
          <w:rFonts w:hint="eastAsia"/>
          <w:sz w:val="24"/>
          <w:szCs w:val="24"/>
        </w:rPr>
        <w:t>估价委托人未能提供估价对象《</w:t>
      </w:r>
      <w:r>
        <w:rPr>
          <w:rFonts w:hint="eastAsia"/>
          <w:sz w:val="24"/>
          <w:szCs w:val="24"/>
          <w:lang w:eastAsia="zh-CN"/>
        </w:rPr>
        <w:t>国有土地使用</w:t>
      </w:r>
      <w:r>
        <w:rPr>
          <w:rFonts w:hint="eastAsia"/>
          <w:sz w:val="24"/>
          <w:szCs w:val="24"/>
        </w:rPr>
        <w:t>证》或《不动产权证书》，经估价</w:t>
      </w:r>
      <w:r>
        <w:rPr>
          <w:rFonts w:hint="eastAsia"/>
          <w:sz w:val="24"/>
          <w:szCs w:val="24"/>
          <w:lang w:eastAsia="zh-CN"/>
        </w:rPr>
        <w:t>委托人到成都市不动产登记中心进行房屋信息查询，成都市不动产登记中心出具的《成都市不动产登记中心房地产权结果信息一览表》未记载估价对象分摊土地使用权登记情况，估价对象分摊土地使用权面积亦无法得知，我公司估价人员要求估价委托人提供</w:t>
      </w:r>
      <w:r>
        <w:rPr>
          <w:rFonts w:hint="eastAsia"/>
          <w:sz w:val="24"/>
          <w:szCs w:val="24"/>
        </w:rPr>
        <w:t>《</w:t>
      </w:r>
      <w:r>
        <w:rPr>
          <w:rFonts w:hint="eastAsia"/>
          <w:sz w:val="24"/>
          <w:szCs w:val="24"/>
          <w:lang w:eastAsia="zh-CN"/>
        </w:rPr>
        <w:t>国有土地使用</w:t>
      </w:r>
      <w:r>
        <w:rPr>
          <w:rFonts w:hint="eastAsia"/>
          <w:sz w:val="24"/>
          <w:szCs w:val="24"/>
        </w:rPr>
        <w:t>证》</w:t>
      </w:r>
      <w:r>
        <w:rPr>
          <w:rFonts w:hint="eastAsia"/>
          <w:sz w:val="24"/>
          <w:szCs w:val="24"/>
          <w:lang w:eastAsia="zh-CN"/>
        </w:rPr>
        <w:t>、</w:t>
      </w:r>
      <w:r>
        <w:rPr>
          <w:rFonts w:hint="eastAsia"/>
          <w:sz w:val="24"/>
          <w:szCs w:val="24"/>
        </w:rPr>
        <w:t>《不动产权证书》</w:t>
      </w:r>
      <w:r>
        <w:rPr>
          <w:rFonts w:hint="eastAsia"/>
          <w:sz w:val="24"/>
          <w:szCs w:val="24"/>
          <w:lang w:eastAsia="zh-CN"/>
        </w:rPr>
        <w:t>或《土地使用权查档信息》，由于委托人原因仍无法提供上述资料。故本次评估假设估价对象所分摊的土地使用权类型为出让，土地用途为住宅用地，提请相关当事人关注。</w:t>
      </w:r>
    </w:p>
    <w:p>
      <w:pPr>
        <w:adjustRightInd w:val="0"/>
        <w:snapToGrid w:val="0"/>
        <w:spacing w:line="520" w:lineRule="exact"/>
        <w:ind w:firstLine="480" w:firstLineChars="200"/>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我公司注册房地产估价师金小龙查阅了估价委托人</w:t>
      </w:r>
      <w:r>
        <w:rPr>
          <w:rFonts w:ascii="Times New Roman" w:hAnsi="Times New Roman" w:eastAsia="宋体" w:cs="Times New Roman"/>
          <w:sz w:val="24"/>
          <w:szCs w:val="24"/>
        </w:rPr>
        <w:t>提供</w:t>
      </w:r>
      <w:r>
        <w:rPr>
          <w:rFonts w:hint="eastAsia" w:ascii="Times New Roman" w:hAnsi="Times New Roman" w:eastAsia="宋体" w:cs="Times New Roman"/>
          <w:sz w:val="24"/>
          <w:szCs w:val="24"/>
        </w:rPr>
        <w:t>的估价对象的</w:t>
      </w:r>
      <w:r>
        <w:rPr>
          <w:rFonts w:hint="eastAsia" w:ascii="Times New Roman" w:hAnsi="Times New Roman" w:eastAsia="宋体" w:cs="Times New Roman"/>
          <w:sz w:val="24"/>
          <w:szCs w:val="24"/>
          <w:lang w:eastAsia="zh-CN"/>
        </w:rPr>
        <w:t>《成都市不动产登记中心房地产权结果信息一览表》</w:t>
      </w:r>
      <w:r>
        <w:rPr>
          <w:rFonts w:hint="eastAsia" w:ascii="Times New Roman" w:hAnsi="Times New Roman" w:eastAsia="宋体" w:cs="Times New Roman"/>
          <w:sz w:val="24"/>
          <w:szCs w:val="24"/>
        </w:rPr>
        <w:t>原件</w:t>
      </w:r>
      <w:r>
        <w:rPr>
          <w:rFonts w:ascii="Times New Roman" w:hAnsi="Times New Roman" w:eastAsia="宋体" w:cs="Times New Roman"/>
          <w:sz w:val="24"/>
          <w:szCs w:val="24"/>
        </w:rPr>
        <w:t>，</w:t>
      </w:r>
      <w:r>
        <w:rPr>
          <w:rFonts w:hint="eastAsia" w:ascii="Times New Roman" w:hAnsi="Times New Roman" w:eastAsia="宋体" w:cs="Times New Roman"/>
          <w:sz w:val="24"/>
          <w:szCs w:val="24"/>
        </w:rPr>
        <w:t>在无理由怀疑其合法性、真实性、准确性和完整性的情况下，本次估价假定估价委托人提供的资料是合法、真实、准确、完整的。估价人员及估价机构不对上述资料的合法、真实、准确、完整性负责。本次估价以该权属文件所载的相关内容作为估价依据，如与不动产管理部门确定内容不一致，估价结果需做相应调整</w:t>
      </w:r>
      <w:r>
        <w:rPr>
          <w:rFonts w:ascii="Times New Roman" w:hAnsi="Times New Roman" w:eastAsia="宋体" w:cs="Times New Roman"/>
          <w:sz w:val="24"/>
          <w:szCs w:val="24"/>
        </w:rPr>
        <w:t>。</w:t>
      </w:r>
    </w:p>
    <w:p>
      <w:pPr>
        <w:tabs>
          <w:tab w:val="left" w:pos="990"/>
        </w:tabs>
        <w:snapToGrid w:val="0"/>
        <w:spacing w:line="520" w:lineRule="exact"/>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（六）估价报告使用限制</w:t>
      </w:r>
    </w:p>
    <w:p>
      <w:pPr>
        <w:tabs>
          <w:tab w:val="left" w:pos="990"/>
        </w:tabs>
        <w:snapToGrid w:val="0"/>
        <w:spacing w:line="520" w:lineRule="exact"/>
        <w:ind w:firstLine="480" w:firstLineChars="200"/>
        <w:rPr>
          <w:sz w:val="24"/>
          <w:szCs w:val="24"/>
        </w:rPr>
      </w:pPr>
      <w:r>
        <w:rPr>
          <w:sz w:val="24"/>
          <w:szCs w:val="24"/>
        </w:rPr>
        <w:t>1、</w:t>
      </w:r>
      <w:r>
        <w:rPr>
          <w:rFonts w:hint="eastAsia"/>
          <w:sz w:val="24"/>
          <w:szCs w:val="24"/>
        </w:rPr>
        <w:t>本估价报告仅为估价委托人审理《成都市新都区人民法院司法评估委托书》[（2019）川0114执4945号]案件需要提供价值参考意见，不对其他用途负责。</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2、本估价报告的使用者为估价委托人和国家法律、法规规定的估价报告使用者。估价机构不承担上述以外的任何单位和个人对本估价报告书的全文或部分内容提出的任何责任。</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sz w:val="24"/>
          <w:szCs w:val="24"/>
        </w:rPr>
        <w:t>本估价报告包括致估价委托人函、估价师声明、估价的假设和限制条件、估价结果报告、附件共五部分，必须完整使用方为有效，对使用本报告中部分内容而导致的损失，我公司不承担责任。</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使用本报告有关人士，如有疑问，可向本公司咨询，任何其它单位或个人意见不代表我公司对该物业价值之意见。如报告使用不当引起的任何法律、民事责任等与估价机构无关，同时，估价机构保留追究因报告使用不当给估价机构造成损失的法律责任。</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5、估价对象的房屋建筑面积和房地产权属状况是根据估价委托人提供的</w:t>
      </w:r>
      <w:r>
        <w:rPr>
          <w:rFonts w:hint="eastAsia" w:ascii="Times New Roman" w:hAnsi="Times New Roman" w:eastAsia="宋体" w:cs="Times New Roman"/>
          <w:sz w:val="24"/>
          <w:szCs w:val="24"/>
          <w:lang w:eastAsia="zh-CN"/>
        </w:rPr>
        <w:t>《成都市不动产登记中心房地产权结果信息一览表》</w:t>
      </w:r>
      <w:r>
        <w:rPr>
          <w:rFonts w:hint="eastAsia" w:ascii="Times New Roman" w:hAnsi="Times New Roman" w:eastAsia="宋体" w:cs="Times New Roman"/>
          <w:sz w:val="24"/>
          <w:szCs w:val="24"/>
        </w:rPr>
        <w:t>登记情况为依据，我们无法确保本报告估价对象的建筑面积和房地产权属状况与房地产权属登记部门</w:t>
      </w:r>
      <w:r>
        <w:rPr>
          <w:rFonts w:ascii="Times New Roman" w:hAnsi="Times New Roman" w:eastAsia="宋体" w:cs="Times New Roman"/>
          <w:sz w:val="24"/>
          <w:szCs w:val="24"/>
        </w:rPr>
        <w:t>“</w:t>
      </w:r>
      <w:r>
        <w:rPr>
          <w:rFonts w:hint="eastAsia" w:ascii="Times New Roman" w:hAnsi="Times New Roman" w:eastAsia="宋体" w:cs="Times New Roman"/>
          <w:sz w:val="24"/>
          <w:szCs w:val="24"/>
        </w:rPr>
        <w:t>房地产登记薄</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中所记载的上述内容有无差异，故本报告不能作为确定估价对象权属和面积的依据。</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估价委托人提供的资料和陈述的情况直接影响我们的估价分析和结论，因此估价委托人应对提供资料和陈述情况的合法性、真实性、完整性及其引起的后果负责；注册房地产估价师对所收集资料的真实性、准确性负责。评估机构对评估结果的公正性、准确性负责。因估价委托人提供的资料和陈述的情况失实造成评估结果有误的，评估机构和评估人员不承担相应责任。</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7</w:t>
      </w:r>
      <w:r>
        <w:rPr>
          <w:rFonts w:ascii="Times New Roman" w:hAnsi="Times New Roman" w:eastAsia="宋体" w:cs="Times New Roman"/>
          <w:sz w:val="24"/>
          <w:szCs w:val="24"/>
        </w:rPr>
        <w:t>、本报告使用期为一年，即从</w:t>
      </w:r>
      <w:r>
        <w:rPr>
          <w:rFonts w:hint="eastAsia" w:ascii="Times New Roman" w:hAnsi="Times New Roman" w:eastAsia="宋体" w:cs="Times New Roman"/>
          <w:sz w:val="24"/>
          <w:szCs w:val="24"/>
        </w:rPr>
        <w:t>二〇二〇年一月十七日</w:t>
      </w:r>
      <w:r>
        <w:rPr>
          <w:rFonts w:ascii="Times New Roman" w:hAnsi="Times New Roman" w:eastAsia="宋体" w:cs="Times New Roman"/>
          <w:sz w:val="24"/>
          <w:szCs w:val="24"/>
        </w:rPr>
        <w:t>至</w:t>
      </w:r>
      <w:r>
        <w:rPr>
          <w:rFonts w:hint="eastAsia" w:ascii="Times New Roman" w:hAnsi="Times New Roman" w:eastAsia="宋体" w:cs="Times New Roman"/>
          <w:sz w:val="24"/>
          <w:szCs w:val="24"/>
        </w:rPr>
        <w:t>二〇二一年一月十六日</w:t>
      </w:r>
      <w:r>
        <w:rPr>
          <w:rFonts w:ascii="Times New Roman" w:hAnsi="Times New Roman" w:eastAsia="宋体" w:cs="Times New Roman"/>
          <w:sz w:val="24"/>
          <w:szCs w:val="24"/>
        </w:rPr>
        <w:t>止。</w:t>
      </w:r>
    </w:p>
    <w:p>
      <w:pPr>
        <w:tabs>
          <w:tab w:val="left" w:pos="990"/>
        </w:tabs>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8</w:t>
      </w:r>
      <w:r>
        <w:rPr>
          <w:rFonts w:ascii="Times New Roman" w:hAnsi="Times New Roman" w:eastAsia="宋体" w:cs="Times New Roman"/>
          <w:sz w:val="24"/>
          <w:szCs w:val="24"/>
        </w:rPr>
        <w:t>、未经本公司同意，任何单位或个人不得将本报告的全部或部分内容在任何公开的文件、通告或声明中引用，亦不得以其他任何方式公开发表。</w:t>
      </w:r>
    </w:p>
    <w:p>
      <w:pPr>
        <w:tabs>
          <w:tab w:val="left" w:pos="990"/>
        </w:tabs>
        <w:snapToGrid w:val="0"/>
        <w:spacing w:line="520" w:lineRule="exact"/>
        <w:ind w:firstLine="480" w:firstLineChars="200"/>
        <w:rPr>
          <w:rFonts w:ascii="Times New Roman" w:hAnsi="Times New Roman" w:eastAsia="宋体" w:cs="Times New Roman"/>
          <w:sz w:val="24"/>
          <w:szCs w:val="24"/>
        </w:rPr>
      </w:pPr>
    </w:p>
    <w:p>
      <w:pPr>
        <w:tabs>
          <w:tab w:val="left" w:pos="990"/>
        </w:tabs>
        <w:snapToGrid w:val="0"/>
        <w:spacing w:line="520" w:lineRule="exact"/>
        <w:ind w:firstLine="480" w:firstLineChars="200"/>
        <w:rPr>
          <w:rFonts w:ascii="Times New Roman" w:hAnsi="Times New Roman" w:eastAsia="宋体" w:cs="Times New Roman"/>
          <w:sz w:val="24"/>
          <w:szCs w:val="24"/>
        </w:rPr>
      </w:pPr>
    </w:p>
    <w:p>
      <w:pPr>
        <w:snapToGrid w:val="0"/>
        <w:spacing w:before="120" w:after="120"/>
        <w:jc w:val="center"/>
        <w:outlineLvl w:val="0"/>
        <w:rPr>
          <w:rFonts w:ascii="Times New Roman" w:hAnsi="Times New Roman" w:eastAsia="宋体" w:cs="Times New Roman"/>
          <w:b/>
          <w:kern w:val="44"/>
          <w:sz w:val="36"/>
          <w:szCs w:val="36"/>
        </w:rPr>
      </w:pPr>
      <w:bookmarkStart w:id="23" w:name="_Toc29620"/>
      <w:r>
        <w:rPr>
          <w:rFonts w:ascii="Times New Roman" w:hAnsi="Times New Roman" w:eastAsia="宋体" w:cs="Times New Roman"/>
          <w:b/>
          <w:kern w:val="44"/>
          <w:sz w:val="24"/>
          <w:szCs w:val="24"/>
        </w:rPr>
        <w:br w:type="page"/>
      </w:r>
      <w:bookmarkStart w:id="24" w:name="_Toc19202"/>
      <w:bookmarkStart w:id="25" w:name="_Toc7920"/>
      <w:bookmarkStart w:id="26" w:name="_Toc479587794"/>
      <w:bookmarkStart w:id="27" w:name="_Toc3308"/>
      <w:bookmarkStart w:id="28" w:name="_Toc8490007"/>
      <w:bookmarkStart w:id="29" w:name="_Toc21018"/>
      <w:bookmarkStart w:id="30" w:name="_Toc7025"/>
      <w:r>
        <w:rPr>
          <w:rFonts w:ascii="Times New Roman" w:hAnsi="Times New Roman" w:eastAsia="宋体" w:cs="Times New Roman"/>
          <w:b/>
          <w:kern w:val="44"/>
          <w:sz w:val="36"/>
          <w:szCs w:val="36"/>
        </w:rPr>
        <w:t>房地产估价结果报告</w:t>
      </w:r>
      <w:bookmarkEnd w:id="23"/>
      <w:bookmarkEnd w:id="24"/>
      <w:bookmarkEnd w:id="25"/>
      <w:bookmarkEnd w:id="26"/>
      <w:bookmarkEnd w:id="27"/>
      <w:bookmarkEnd w:id="28"/>
      <w:bookmarkEnd w:id="29"/>
      <w:bookmarkEnd w:id="30"/>
    </w:p>
    <w:p>
      <w:pPr>
        <w:pStyle w:val="3"/>
        <w:rPr>
          <w:rFonts w:ascii="宋体" w:hAnsi="宋体" w:eastAsia="宋体" w:cs="宋体"/>
          <w:sz w:val="24"/>
          <w:szCs w:val="24"/>
          <w:shd w:val="clear" w:color="auto" w:fill="FFFFFF"/>
        </w:rPr>
      </w:pPr>
      <w:bookmarkStart w:id="31" w:name="_Toc5011"/>
      <w:bookmarkStart w:id="32" w:name="_Toc1249"/>
      <w:bookmarkStart w:id="33" w:name="_Toc8840"/>
      <w:bookmarkStart w:id="34" w:name="_Toc18801"/>
      <w:bookmarkStart w:id="35" w:name="_Toc8490008"/>
      <w:bookmarkStart w:id="36" w:name="_Toc479587795"/>
      <w:bookmarkStart w:id="37" w:name="_Toc7758"/>
      <w:bookmarkStart w:id="38" w:name="_Toc11244"/>
      <w:r>
        <w:rPr>
          <w:rFonts w:ascii="宋体" w:hAnsi="宋体" w:eastAsia="宋体" w:cs="宋体"/>
          <w:sz w:val="24"/>
          <w:szCs w:val="24"/>
          <w:shd w:val="clear" w:color="auto" w:fill="FFFFFF"/>
        </w:rPr>
        <w:t>（一）估价委托人</w:t>
      </w:r>
      <w:bookmarkEnd w:id="31"/>
      <w:bookmarkEnd w:id="32"/>
      <w:bookmarkEnd w:id="33"/>
      <w:bookmarkEnd w:id="34"/>
      <w:bookmarkEnd w:id="35"/>
      <w:bookmarkEnd w:id="36"/>
      <w:bookmarkEnd w:id="37"/>
      <w:bookmarkEnd w:id="38"/>
    </w:p>
    <w:p>
      <w:pPr>
        <w:adjustRightInd w:val="0"/>
        <w:snapToGrid w:val="0"/>
        <w:spacing w:line="520" w:lineRule="exact"/>
        <w:ind w:firstLine="480" w:firstLineChars="200"/>
        <w:rPr>
          <w:rFonts w:eastAsia="宋体"/>
          <w:sz w:val="24"/>
          <w:szCs w:val="24"/>
          <w:u w:color="0000FF"/>
        </w:rPr>
      </w:pPr>
      <w:bookmarkStart w:id="39" w:name="_Toc16673"/>
      <w:r>
        <w:rPr>
          <w:rFonts w:hint="eastAsia"/>
          <w:sz w:val="24"/>
          <w:szCs w:val="24"/>
        </w:rPr>
        <w:t>委  托  人</w:t>
      </w:r>
      <w:r>
        <w:rPr>
          <w:sz w:val="24"/>
          <w:szCs w:val="24"/>
        </w:rPr>
        <w:t>：</w:t>
      </w:r>
      <w:r>
        <w:rPr>
          <w:rFonts w:hint="eastAsia" w:ascii="Times New Roman" w:hAnsi="Times New Roman" w:eastAsia="宋体" w:cs="Times New Roman"/>
          <w:sz w:val="24"/>
          <w:szCs w:val="24"/>
        </w:rPr>
        <w:t>成都市新都区人民法院</w:t>
      </w:r>
    </w:p>
    <w:p>
      <w:pPr>
        <w:adjustRightInd w:val="0"/>
        <w:snapToGrid w:val="0"/>
        <w:spacing w:line="520" w:lineRule="exact"/>
        <w:ind w:firstLine="480" w:firstLineChars="200"/>
        <w:rPr>
          <w:sz w:val="24"/>
          <w:szCs w:val="24"/>
        </w:rPr>
      </w:pPr>
      <w:r>
        <w:rPr>
          <w:rFonts w:hint="eastAsia"/>
          <w:sz w:val="24"/>
          <w:szCs w:val="24"/>
        </w:rPr>
        <w:t>坐      落</w:t>
      </w:r>
      <w:r>
        <w:rPr>
          <w:sz w:val="24"/>
          <w:szCs w:val="24"/>
        </w:rPr>
        <w:t>：</w:t>
      </w:r>
      <w:r>
        <w:rPr>
          <w:rFonts w:hint="eastAsia" w:ascii="Times New Roman" w:hAnsi="Times New Roman" w:eastAsia="宋体" w:cs="Times New Roman"/>
          <w:sz w:val="24"/>
          <w:szCs w:val="24"/>
        </w:rPr>
        <w:t>成都市新都区新都街道香城北路289号</w:t>
      </w:r>
    </w:p>
    <w:p>
      <w:pPr>
        <w:pStyle w:val="3"/>
        <w:rPr>
          <w:rFonts w:ascii="宋体" w:hAnsi="宋体" w:eastAsia="宋体" w:cs="宋体"/>
          <w:sz w:val="24"/>
          <w:szCs w:val="24"/>
          <w:shd w:val="clear" w:color="auto" w:fill="FFFFFF"/>
        </w:rPr>
      </w:pPr>
      <w:bookmarkStart w:id="40" w:name="_Toc25732"/>
      <w:bookmarkStart w:id="41" w:name="_Toc11570"/>
      <w:bookmarkStart w:id="42" w:name="_Toc7337"/>
      <w:bookmarkStart w:id="43" w:name="_Toc479587796"/>
      <w:bookmarkStart w:id="44" w:name="_Toc8490009"/>
      <w:bookmarkStart w:id="45" w:name="_Toc6765"/>
      <w:bookmarkStart w:id="46" w:name="_Toc9557"/>
      <w:r>
        <w:rPr>
          <w:rFonts w:ascii="宋体" w:hAnsi="宋体" w:eastAsia="宋体" w:cs="宋体"/>
          <w:sz w:val="24"/>
          <w:szCs w:val="24"/>
          <w:shd w:val="clear" w:color="auto" w:fill="FFFFFF"/>
        </w:rPr>
        <w:t>（二）房地产估价机构</w:t>
      </w:r>
      <w:bookmarkEnd w:id="39"/>
      <w:bookmarkEnd w:id="40"/>
      <w:bookmarkEnd w:id="41"/>
      <w:bookmarkEnd w:id="42"/>
      <w:bookmarkEnd w:id="43"/>
      <w:bookmarkEnd w:id="44"/>
      <w:bookmarkEnd w:id="45"/>
      <w:bookmarkEnd w:id="46"/>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名    称：深圳市鹏信资产评估土地房地产估价有限公司</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住    所：深圳市福田区彩田路与福中路交汇处瑰丽福景大厦3＃楼14楼1401</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法人代表：聂竹青</w:t>
      </w:r>
    </w:p>
    <w:p>
      <w:pPr>
        <w:adjustRightInd w:val="0"/>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备案</w:t>
      </w:r>
      <w:r>
        <w:rPr>
          <w:rFonts w:ascii="Times New Roman" w:hAnsi="Times New Roman" w:eastAsia="宋体" w:cs="Times New Roman"/>
          <w:sz w:val="24"/>
          <w:szCs w:val="24"/>
        </w:rPr>
        <w:t>等级：壹级</w:t>
      </w:r>
    </w:p>
    <w:p>
      <w:pPr>
        <w:adjustRightInd w:val="0"/>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不动产权证书号</w:t>
      </w:r>
      <w:r>
        <w:rPr>
          <w:rFonts w:ascii="Times New Roman" w:hAnsi="Times New Roman" w:eastAsia="宋体" w:cs="Times New Roman"/>
          <w:sz w:val="24"/>
          <w:szCs w:val="24"/>
        </w:rPr>
        <w:t>：粤房估</w:t>
      </w:r>
      <w:r>
        <w:rPr>
          <w:rFonts w:hint="eastAsia" w:ascii="Times New Roman" w:hAnsi="Times New Roman" w:eastAsia="宋体" w:cs="Times New Roman"/>
          <w:sz w:val="24"/>
          <w:szCs w:val="24"/>
        </w:rPr>
        <w:t>备</w:t>
      </w:r>
      <w:r>
        <w:rPr>
          <w:rFonts w:ascii="Times New Roman" w:hAnsi="Times New Roman" w:eastAsia="宋体" w:cs="Times New Roman"/>
          <w:sz w:val="24"/>
          <w:szCs w:val="24"/>
        </w:rPr>
        <w:t>字壹</w:t>
      </w:r>
      <w:r>
        <w:rPr>
          <w:rFonts w:hint="eastAsia" w:ascii="Times New Roman" w:hAnsi="Times New Roman" w:eastAsia="宋体" w:cs="Times New Roman"/>
          <w:sz w:val="24"/>
          <w:szCs w:val="24"/>
        </w:rPr>
        <w:t>0200040</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有效期限：20</w:t>
      </w:r>
      <w:r>
        <w:rPr>
          <w:rFonts w:hint="eastAsia" w:ascii="Times New Roman" w:hAnsi="Times New Roman" w:eastAsia="宋体" w:cs="Times New Roman"/>
          <w:sz w:val="24"/>
          <w:szCs w:val="24"/>
        </w:rPr>
        <w:t>22</w:t>
      </w:r>
      <w:r>
        <w:rPr>
          <w:rFonts w:ascii="Times New Roman" w:hAnsi="Times New Roman" w:eastAsia="宋体" w:cs="Times New Roman"/>
          <w:sz w:val="24"/>
          <w:szCs w:val="24"/>
        </w:rPr>
        <w:t>年0</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03</w:t>
      </w:r>
      <w:r>
        <w:rPr>
          <w:rFonts w:ascii="Times New Roman" w:hAnsi="Times New Roman" w:eastAsia="宋体" w:cs="Times New Roman"/>
          <w:sz w:val="24"/>
          <w:szCs w:val="24"/>
        </w:rPr>
        <w:t>日</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联系电话：028-86789182</w:t>
      </w:r>
    </w:p>
    <w:p>
      <w:pPr>
        <w:pStyle w:val="3"/>
        <w:rPr>
          <w:rFonts w:ascii="Times New Roman" w:hAnsi="Times New Roman"/>
          <w:b w:val="0"/>
          <w:sz w:val="24"/>
          <w:szCs w:val="24"/>
        </w:rPr>
      </w:pPr>
      <w:bookmarkStart w:id="47" w:name="_Toc7035"/>
      <w:bookmarkStart w:id="48" w:name="_Toc25253"/>
      <w:bookmarkStart w:id="49" w:name="_Toc30452"/>
      <w:bookmarkStart w:id="50" w:name="_Toc479587797"/>
      <w:bookmarkStart w:id="51" w:name="_Toc16746"/>
      <w:bookmarkStart w:id="52" w:name="_Toc8490010"/>
      <w:bookmarkStart w:id="53" w:name="_Toc7566"/>
      <w:bookmarkStart w:id="54" w:name="_Toc20350"/>
      <w:bookmarkStart w:id="55" w:name="_Toc17352"/>
      <w:r>
        <w:rPr>
          <w:rFonts w:hint="eastAsia" w:ascii="宋体" w:hAnsi="宋体" w:eastAsia="宋体" w:cs="宋体"/>
          <w:sz w:val="24"/>
          <w:szCs w:val="24"/>
          <w:shd w:val="clear" w:color="auto" w:fill="FFFFFF"/>
        </w:rPr>
        <w:t>（三）估价目的</w:t>
      </w:r>
      <w:bookmarkEnd w:id="47"/>
      <w:bookmarkEnd w:id="48"/>
      <w:bookmarkEnd w:id="49"/>
      <w:bookmarkEnd w:id="50"/>
      <w:bookmarkEnd w:id="51"/>
      <w:bookmarkEnd w:id="52"/>
      <w:bookmarkEnd w:id="53"/>
      <w:bookmarkEnd w:id="54"/>
    </w:p>
    <w:p>
      <w:pPr>
        <w:adjustRightInd w:val="0"/>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为司法拍卖（变卖）提供房地产市场价值参考依据。</w:t>
      </w:r>
    </w:p>
    <w:p>
      <w:pPr>
        <w:pStyle w:val="3"/>
        <w:rPr>
          <w:rFonts w:ascii="宋体" w:hAnsi="宋体" w:eastAsia="宋体" w:cs="宋体"/>
          <w:sz w:val="24"/>
          <w:szCs w:val="24"/>
          <w:shd w:val="clear" w:color="auto" w:fill="FFFFFF"/>
        </w:rPr>
      </w:pPr>
      <w:bookmarkStart w:id="56" w:name="_Toc8490011"/>
      <w:bookmarkStart w:id="57" w:name="_Toc479587798"/>
      <w:bookmarkStart w:id="58" w:name="_Toc24922"/>
      <w:bookmarkStart w:id="59" w:name="_Toc26253"/>
      <w:bookmarkStart w:id="60" w:name="_Toc5683"/>
      <w:bookmarkStart w:id="61" w:name="_Toc8346"/>
      <w:bookmarkStart w:id="62" w:name="_Toc2308"/>
      <w:r>
        <w:rPr>
          <w:rFonts w:ascii="宋体" w:hAnsi="宋体" w:eastAsia="宋体" w:cs="宋体"/>
          <w:sz w:val="24"/>
          <w:szCs w:val="24"/>
          <w:shd w:val="clear" w:color="auto" w:fill="FFFFFF"/>
        </w:rPr>
        <w:t>（四）估价对象</w:t>
      </w:r>
      <w:bookmarkEnd w:id="55"/>
      <w:bookmarkEnd w:id="56"/>
      <w:bookmarkEnd w:id="57"/>
      <w:bookmarkEnd w:id="58"/>
      <w:bookmarkEnd w:id="59"/>
      <w:bookmarkEnd w:id="60"/>
      <w:bookmarkEnd w:id="61"/>
      <w:bookmarkEnd w:id="62"/>
    </w:p>
    <w:p>
      <w:pPr>
        <w:adjustRightInd w:val="0"/>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、估价对象基本情况</w:t>
      </w:r>
    </w:p>
    <w:p>
      <w:pPr>
        <w:tabs>
          <w:tab w:val="left" w:pos="540"/>
        </w:tabs>
        <w:spacing w:line="640" w:lineRule="exact"/>
        <w:ind w:firstLine="573"/>
        <w:rPr>
          <w:rFonts w:ascii="Times New Roman" w:hAnsi="Times New Roman" w:eastAsia="宋体" w:cs="Times New Roman"/>
          <w:sz w:val="24"/>
          <w:szCs w:val="24"/>
        </w:rPr>
      </w:pPr>
      <w:r>
        <w:rPr>
          <w:rFonts w:hint="eastAsia" w:ascii="Times New Roman" w:hAnsi="Times New Roman" w:eastAsia="宋体" w:cs="Times New Roman"/>
          <w:sz w:val="24"/>
          <w:szCs w:val="24"/>
        </w:rPr>
        <w:t>估价对象基本情况</w:t>
      </w:r>
    </w:p>
    <w:tbl>
      <w:tblPr>
        <w:tblStyle w:val="38"/>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
        <w:gridCol w:w="395"/>
        <w:gridCol w:w="405"/>
        <w:gridCol w:w="266"/>
        <w:gridCol w:w="802"/>
        <w:gridCol w:w="713"/>
        <w:gridCol w:w="610"/>
        <w:gridCol w:w="237"/>
        <w:gridCol w:w="390"/>
        <w:gridCol w:w="650"/>
        <w:gridCol w:w="577"/>
        <w:gridCol w:w="648"/>
        <w:gridCol w:w="625"/>
        <w:gridCol w:w="550"/>
        <w:gridCol w:w="954"/>
        <w:gridCol w:w="589"/>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2"/>
                <w:sz w:val="18"/>
                <w:szCs w:val="18"/>
              </w:rPr>
            </w:pPr>
            <w:r>
              <w:rPr>
                <w:rFonts w:hint="eastAsia" w:ascii="宋体" w:hAnsi="宋体" w:eastAsia="宋体" w:cs="宋体"/>
                <w:spacing w:val="-12"/>
                <w:sz w:val="18"/>
                <w:szCs w:val="18"/>
              </w:rPr>
              <w:t>基本状况</w:t>
            </w:r>
          </w:p>
        </w:tc>
        <w:tc>
          <w:tcPr>
            <w:tcW w:w="8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2"/>
                <w:sz w:val="18"/>
                <w:szCs w:val="18"/>
              </w:rPr>
            </w:pPr>
            <w:r>
              <w:rPr>
                <w:rFonts w:hint="eastAsia" w:ascii="宋体" w:hAnsi="宋体" w:eastAsia="宋体" w:cs="宋体"/>
                <w:spacing w:val="-12"/>
                <w:sz w:val="18"/>
                <w:szCs w:val="18"/>
              </w:rPr>
              <w:t>名称</w:t>
            </w:r>
          </w:p>
        </w:tc>
        <w:tc>
          <w:tcPr>
            <w:tcW w:w="795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成都市青白江区红阳教育街230号2栋2单元5层7号一套</w:t>
            </w:r>
            <w:r>
              <w:rPr>
                <w:rFonts w:hint="eastAsia" w:ascii="宋体" w:hAnsi="宋体" w:eastAsia="宋体" w:cs="宋体"/>
                <w:sz w:val="18"/>
                <w:szCs w:val="18"/>
                <w:lang w:eastAsia="zh-CN"/>
              </w:rPr>
              <w:t>住宅房地产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8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2"/>
                <w:sz w:val="18"/>
                <w:szCs w:val="18"/>
              </w:rPr>
            </w:pPr>
            <w:r>
              <w:rPr>
                <w:rFonts w:hint="eastAsia" w:ascii="宋体" w:hAnsi="宋体" w:eastAsia="宋体" w:cs="宋体"/>
                <w:spacing w:val="-12"/>
                <w:sz w:val="18"/>
                <w:szCs w:val="18"/>
              </w:rPr>
              <w:t>坐落</w:t>
            </w:r>
          </w:p>
        </w:tc>
        <w:tc>
          <w:tcPr>
            <w:tcW w:w="795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成都市青白江区红阳教育街230号2栋2单元5层7号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8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2"/>
                <w:sz w:val="18"/>
                <w:szCs w:val="18"/>
              </w:rPr>
            </w:pPr>
            <w:r>
              <w:rPr>
                <w:rFonts w:hint="eastAsia" w:ascii="宋体" w:hAnsi="宋体" w:eastAsia="宋体" w:cs="宋体"/>
                <w:spacing w:val="-12"/>
                <w:sz w:val="18"/>
                <w:szCs w:val="18"/>
              </w:rPr>
              <w:t>范围</w:t>
            </w:r>
          </w:p>
        </w:tc>
        <w:tc>
          <w:tcPr>
            <w:tcW w:w="795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徐贵川单独所有位于成都市青白江区红阳教育街230号2栋2单元5层7号建筑面积为110.21平方米其他用房及其应分摊的国有建设用地使用权。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8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规模</w:t>
            </w:r>
          </w:p>
        </w:tc>
        <w:tc>
          <w:tcPr>
            <w:tcW w:w="10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土地面积</w:t>
            </w:r>
          </w:p>
        </w:tc>
        <w:tc>
          <w:tcPr>
            <w:tcW w:w="1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16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建筑面积</w:t>
            </w:r>
          </w:p>
        </w:tc>
        <w:tc>
          <w:tcPr>
            <w:tcW w:w="12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110.21㎡</w:t>
            </w:r>
          </w:p>
        </w:tc>
        <w:tc>
          <w:tcPr>
            <w:tcW w:w="1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其他</w:t>
            </w:r>
          </w:p>
        </w:tc>
        <w:tc>
          <w:tcPr>
            <w:tcW w:w="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8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2"/>
                <w:sz w:val="18"/>
                <w:szCs w:val="18"/>
              </w:rPr>
            </w:pPr>
            <w:r>
              <w:rPr>
                <w:rFonts w:hint="eastAsia" w:ascii="宋体" w:hAnsi="宋体" w:eastAsia="宋体" w:cs="宋体"/>
                <w:spacing w:val="-12"/>
                <w:sz w:val="18"/>
                <w:szCs w:val="18"/>
              </w:rPr>
              <w:t>用途</w:t>
            </w:r>
          </w:p>
        </w:tc>
        <w:tc>
          <w:tcPr>
            <w:tcW w:w="10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规划用途</w:t>
            </w:r>
          </w:p>
        </w:tc>
        <w:tc>
          <w:tcPr>
            <w:tcW w:w="317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其他</w:t>
            </w:r>
          </w:p>
        </w:tc>
        <w:tc>
          <w:tcPr>
            <w:tcW w:w="12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设计用途</w:t>
            </w:r>
          </w:p>
        </w:tc>
        <w:tc>
          <w:tcPr>
            <w:tcW w:w="24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8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10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登记用途</w:t>
            </w:r>
          </w:p>
        </w:tc>
        <w:tc>
          <w:tcPr>
            <w:tcW w:w="317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12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实际用途</w:t>
            </w:r>
          </w:p>
        </w:tc>
        <w:tc>
          <w:tcPr>
            <w:tcW w:w="24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住宅用房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2"/>
                <w:sz w:val="18"/>
                <w:szCs w:val="18"/>
              </w:rPr>
            </w:pPr>
            <w:r>
              <w:rPr>
                <w:rFonts w:hint="eastAsia" w:ascii="宋体" w:hAnsi="宋体" w:eastAsia="宋体" w:cs="宋体"/>
                <w:spacing w:val="-12"/>
                <w:sz w:val="18"/>
                <w:szCs w:val="18"/>
              </w:rPr>
              <w:t>权属</w:t>
            </w:r>
          </w:p>
        </w:tc>
        <w:tc>
          <w:tcPr>
            <w:tcW w:w="14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土地所有权</w:t>
            </w:r>
          </w:p>
        </w:tc>
        <w:tc>
          <w:tcPr>
            <w:tcW w:w="13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国有土地</w:t>
            </w:r>
          </w:p>
        </w:tc>
        <w:tc>
          <w:tcPr>
            <w:tcW w:w="18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c>
          <w:tcPr>
            <w:tcW w:w="12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集体土地</w:t>
            </w:r>
          </w:p>
        </w:tc>
        <w:tc>
          <w:tcPr>
            <w:tcW w:w="24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67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土地使用权</w:t>
            </w:r>
          </w:p>
        </w:tc>
        <w:tc>
          <w:tcPr>
            <w:tcW w:w="8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权利种类</w:t>
            </w:r>
          </w:p>
        </w:tc>
        <w:tc>
          <w:tcPr>
            <w:tcW w:w="132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建设用地使用权</w:t>
            </w:r>
          </w:p>
        </w:tc>
        <w:tc>
          <w:tcPr>
            <w:tcW w:w="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出让</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是</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划拨</w:t>
            </w:r>
          </w:p>
        </w:tc>
        <w:tc>
          <w:tcPr>
            <w:tcW w:w="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租赁</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1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宅基地使用权</w:t>
            </w:r>
          </w:p>
        </w:tc>
        <w:tc>
          <w:tcPr>
            <w:tcW w:w="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6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8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132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12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作价出资入股</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其他</w:t>
            </w:r>
          </w:p>
        </w:tc>
        <w:tc>
          <w:tcPr>
            <w:tcW w:w="11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15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土地承包经营权</w:t>
            </w:r>
          </w:p>
        </w:tc>
        <w:tc>
          <w:tcPr>
            <w:tcW w:w="3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67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18"/>
                <w:szCs w:val="18"/>
              </w:rPr>
            </w:pP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土地使用权人</w:t>
            </w:r>
          </w:p>
        </w:tc>
        <w:tc>
          <w:tcPr>
            <w:tcW w:w="6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pacing w:val="-12"/>
                <w:sz w:val="18"/>
                <w:szCs w:val="18"/>
              </w:rPr>
            </w:pPr>
          </w:p>
        </w:tc>
        <w:tc>
          <w:tcPr>
            <w:tcW w:w="14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房屋所有权人</w:t>
            </w:r>
          </w:p>
        </w:tc>
        <w:tc>
          <w:tcPr>
            <w:tcW w:w="6883"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徐贵川</w:t>
            </w:r>
          </w:p>
        </w:tc>
      </w:tr>
    </w:tbl>
    <w:p>
      <w:pPr>
        <w:adjustRightInd w:val="0"/>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、估价对象实物状况</w:t>
      </w:r>
    </w:p>
    <w:tbl>
      <w:tblPr>
        <w:tblStyle w:val="38"/>
        <w:tblW w:w="8931" w:type="dxa"/>
        <w:tblInd w:w="0" w:type="dxa"/>
        <w:tblLayout w:type="fixed"/>
        <w:tblCellMar>
          <w:top w:w="0" w:type="dxa"/>
          <w:left w:w="0" w:type="dxa"/>
          <w:bottom w:w="0" w:type="dxa"/>
          <w:right w:w="0" w:type="dxa"/>
        </w:tblCellMar>
      </w:tblPr>
      <w:tblGrid>
        <w:gridCol w:w="552"/>
        <w:gridCol w:w="478"/>
        <w:gridCol w:w="872"/>
        <w:gridCol w:w="7029"/>
      </w:tblGrid>
      <w:tr>
        <w:tblPrEx>
          <w:tblCellMar>
            <w:top w:w="0" w:type="dxa"/>
            <w:left w:w="0" w:type="dxa"/>
            <w:bottom w:w="0" w:type="dxa"/>
            <w:right w:w="0" w:type="dxa"/>
          </w:tblCellMar>
        </w:tblPrEx>
        <w:trPr>
          <w:trHeight w:val="23" w:hRule="atLeast"/>
        </w:trPr>
        <w:tc>
          <w:tcPr>
            <w:tcW w:w="19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名称</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成都市青白江区红阳教育街230号2栋2单元5层7号</w:t>
            </w:r>
            <w:r>
              <w:rPr>
                <w:rFonts w:hint="eastAsia" w:ascii="宋体" w:hAnsi="宋体" w:eastAsia="宋体" w:cs="宋体"/>
                <w:kern w:val="0"/>
                <w:sz w:val="18"/>
                <w:szCs w:val="18"/>
                <w:lang w:eastAsia="zh-CN" w:bidi="ar"/>
              </w:rPr>
              <w:t>住宅房地产</w:t>
            </w:r>
          </w:p>
        </w:tc>
      </w:tr>
      <w:tr>
        <w:tblPrEx>
          <w:tblCellMar>
            <w:top w:w="0" w:type="dxa"/>
            <w:left w:w="0" w:type="dxa"/>
            <w:bottom w:w="0" w:type="dxa"/>
            <w:right w:w="0" w:type="dxa"/>
          </w:tblCellMar>
        </w:tblPrEx>
        <w:trPr>
          <w:trHeight w:val="23" w:hRule="atLeast"/>
        </w:trPr>
        <w:tc>
          <w:tcPr>
            <w:tcW w:w="19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坐落</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成都市青白江区红阳教育街230号2栋2单元5层7号</w:t>
            </w:r>
          </w:p>
        </w:tc>
      </w:tr>
      <w:tr>
        <w:tblPrEx>
          <w:tblCellMar>
            <w:top w:w="0" w:type="dxa"/>
            <w:left w:w="0" w:type="dxa"/>
            <w:bottom w:w="0" w:type="dxa"/>
            <w:right w:w="0" w:type="dxa"/>
          </w:tblCellMar>
        </w:tblPrEx>
        <w:trPr>
          <w:trHeight w:val="23"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土地实物状况描述</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宗地号</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面积（㎡）</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sz w:val="18"/>
                <w:szCs w:val="18"/>
              </w:rPr>
              <w:t>/</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四至</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现场查勘所在宗地东临教育街、南临严华中学致远校区、西临杨柳路、北临华金大道二段</w:t>
            </w:r>
          </w:p>
        </w:tc>
      </w:tr>
      <w:tr>
        <w:tblPrEx>
          <w:tblCellMar>
            <w:top w:w="0" w:type="dxa"/>
            <w:left w:w="0" w:type="dxa"/>
            <w:bottom w:w="0" w:type="dxa"/>
            <w:right w:w="0" w:type="dxa"/>
          </w:tblCellMar>
        </w:tblPrEx>
        <w:trPr>
          <w:trHeight w:val="18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用途</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形状</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呈规则多边形，对利用无不利影响</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地形地势</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地势无明显起伏，较平坦</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土壤地质</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土壤未受污染，地基承载力和稳定性较好</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开发程度</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宗地红线外“六通”，红线内“六通一平”</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记事</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w:t>
            </w:r>
          </w:p>
        </w:tc>
      </w:tr>
      <w:tr>
        <w:tblPrEx>
          <w:tblCellMar>
            <w:top w:w="0" w:type="dxa"/>
            <w:left w:w="0" w:type="dxa"/>
            <w:bottom w:w="0" w:type="dxa"/>
            <w:right w:w="0" w:type="dxa"/>
          </w:tblCellMar>
        </w:tblPrEx>
        <w:trPr>
          <w:trHeight w:val="23"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建筑物实物状况描述</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估价对象</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成都市青白江区红阳教育街230号2栋2单元5层7号住宅</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建筑规模（㎡）</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sz w:val="18"/>
                <w:szCs w:val="18"/>
              </w:rPr>
              <w:t>110.21</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建筑结构</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混合结构</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房屋现状用途</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住宅用房</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设施设备</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水、电、气、视、讯、消防栓、宽带接口、监控系统等</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评估楼层及总楼层</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5层/6层</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梯户数</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1梯2户</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层高（米）</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约2.8米</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空间布局</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错层，3室2厅2卫</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建筑功能</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通风、采光、保温、隔热、隔声、防渗漏较好</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建成时间</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2003年</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维护状况</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一般</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成新率</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约80%</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装修状况</w:t>
            </w: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外墙</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墙砖</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内墙</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客厅、餐厅、卧室均为乳胶漆</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门</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入户门为防盗门，无内门</w:t>
            </w:r>
          </w:p>
        </w:tc>
      </w:tr>
      <w:tr>
        <w:tblPrEx>
          <w:tblCellMar>
            <w:top w:w="0" w:type="dxa"/>
            <w:left w:w="0" w:type="dxa"/>
            <w:bottom w:w="0" w:type="dxa"/>
            <w:right w:w="0" w:type="dxa"/>
          </w:tblCellMar>
        </w:tblPrEx>
        <w:trPr>
          <w:trHeight w:val="18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窗</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塑钢窗</w:t>
            </w:r>
          </w:p>
        </w:tc>
      </w:tr>
      <w:tr>
        <w:tblPrEx>
          <w:tblCellMar>
            <w:top w:w="0" w:type="dxa"/>
            <w:left w:w="0" w:type="dxa"/>
            <w:bottom w:w="0" w:type="dxa"/>
            <w:right w:w="0" w:type="dxa"/>
          </w:tblCellMar>
        </w:tblPrEx>
        <w:trPr>
          <w:trHeight w:val="19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天花</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客厅、餐厅、卧室均为乳胶漆</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地面</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客厅、餐厅、卧室均为地砖</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厨房</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地面：地砖，墙面瓷砖，天花为铝扣板吊顶</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卫生间</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地面：地砖，墙面瓷砖，天花为铝扣板吊顶，安装蹲便器</w:t>
            </w:r>
          </w:p>
        </w:tc>
      </w:tr>
      <w:tr>
        <w:tblPrEx>
          <w:tblCellMar>
            <w:top w:w="0" w:type="dxa"/>
            <w:left w:w="0" w:type="dxa"/>
            <w:bottom w:w="0" w:type="dxa"/>
            <w:right w:w="0" w:type="dxa"/>
          </w:tblCellMar>
        </w:tblPrEx>
        <w:trPr>
          <w:trHeight w:val="2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sz w:val="18"/>
                <w:szCs w:val="18"/>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其他</w:t>
            </w:r>
          </w:p>
        </w:tc>
        <w:tc>
          <w:tcPr>
            <w:tcW w:w="7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无</w:t>
            </w:r>
          </w:p>
        </w:tc>
      </w:tr>
    </w:tbl>
    <w:p>
      <w:pPr>
        <w:adjustRightInd w:val="0"/>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估价对象权益状况</w:t>
      </w:r>
    </w:p>
    <w:p>
      <w:pPr>
        <w:spacing w:line="520" w:lineRule="exact"/>
        <w:ind w:firstLine="480" w:firstLineChars="200"/>
        <w:rPr>
          <w:sz w:val="24"/>
          <w:szCs w:val="24"/>
        </w:rPr>
      </w:pPr>
      <w:r>
        <w:rPr>
          <w:rFonts w:hint="eastAsia"/>
          <w:sz w:val="24"/>
          <w:szCs w:val="24"/>
        </w:rPr>
        <w:t>（1）土地权益状况描述</w:t>
      </w:r>
    </w:p>
    <w:p>
      <w:pPr>
        <w:spacing w:line="520" w:lineRule="exact"/>
        <w:ind w:firstLine="480" w:firstLineChars="200"/>
        <w:rPr>
          <w:sz w:val="24"/>
          <w:szCs w:val="24"/>
        </w:rPr>
      </w:pPr>
      <w:r>
        <w:rPr>
          <w:rFonts w:hint="eastAsia"/>
          <w:sz w:val="24"/>
          <w:szCs w:val="24"/>
        </w:rPr>
        <w:t>①土地所有权状况</w:t>
      </w:r>
    </w:p>
    <w:p>
      <w:pPr>
        <w:spacing w:line="520" w:lineRule="exact"/>
        <w:ind w:firstLine="480" w:firstLineChars="200"/>
        <w:rPr>
          <w:sz w:val="24"/>
          <w:szCs w:val="24"/>
        </w:rPr>
      </w:pPr>
      <w:r>
        <w:rPr>
          <w:rFonts w:hint="eastAsia"/>
          <w:sz w:val="24"/>
          <w:szCs w:val="24"/>
        </w:rPr>
        <w:t>估价对象系出让国有土地，所有权属国家。</w:t>
      </w:r>
    </w:p>
    <w:p>
      <w:pPr>
        <w:spacing w:line="520" w:lineRule="exact"/>
        <w:ind w:firstLine="480" w:firstLineChars="200"/>
        <w:rPr>
          <w:sz w:val="24"/>
          <w:szCs w:val="24"/>
        </w:rPr>
      </w:pPr>
      <w:r>
        <w:rPr>
          <w:rFonts w:hint="eastAsia"/>
          <w:sz w:val="24"/>
          <w:szCs w:val="24"/>
        </w:rPr>
        <w:t>②土地利用现状：宗地外开发程度达到</w:t>
      </w:r>
      <w:r>
        <w:rPr>
          <w:sz w:val="24"/>
          <w:szCs w:val="24"/>
        </w:rPr>
        <w:t>“</w:t>
      </w:r>
      <w:r>
        <w:rPr>
          <w:rFonts w:hint="eastAsia"/>
          <w:sz w:val="24"/>
          <w:szCs w:val="24"/>
        </w:rPr>
        <w:t>六通</w:t>
      </w:r>
      <w:r>
        <w:rPr>
          <w:sz w:val="24"/>
          <w:szCs w:val="24"/>
        </w:rPr>
        <w:t>”</w:t>
      </w:r>
      <w:r>
        <w:rPr>
          <w:rFonts w:hint="eastAsia"/>
          <w:sz w:val="24"/>
          <w:szCs w:val="24"/>
        </w:rPr>
        <w:t>（通上水、通下水、通电、通路、通讯、通气），宗地内开发程度达</w:t>
      </w:r>
      <w:r>
        <w:rPr>
          <w:sz w:val="24"/>
          <w:szCs w:val="24"/>
        </w:rPr>
        <w:t>“</w:t>
      </w:r>
      <w:r>
        <w:rPr>
          <w:rFonts w:hint="eastAsia"/>
          <w:sz w:val="24"/>
          <w:szCs w:val="24"/>
        </w:rPr>
        <w:t>六通一平</w:t>
      </w:r>
      <w:r>
        <w:rPr>
          <w:sz w:val="24"/>
          <w:szCs w:val="24"/>
        </w:rPr>
        <w:t>”</w:t>
      </w:r>
      <w:r>
        <w:rPr>
          <w:rFonts w:hint="eastAsia"/>
          <w:sz w:val="24"/>
          <w:szCs w:val="24"/>
        </w:rPr>
        <w:t>（通上水、通下水、通电、通路、通讯、通气及场地平整）。</w:t>
      </w:r>
    </w:p>
    <w:p>
      <w:pPr>
        <w:adjustRightInd w:val="0"/>
        <w:snapToGrid w:val="0"/>
        <w:spacing w:line="520" w:lineRule="exact"/>
        <w:ind w:left="480"/>
        <w:rPr>
          <w:sz w:val="24"/>
          <w:szCs w:val="24"/>
        </w:rPr>
      </w:pPr>
      <w:r>
        <w:rPr>
          <w:rFonts w:hint="eastAsia"/>
          <w:sz w:val="24"/>
          <w:szCs w:val="24"/>
        </w:rPr>
        <w:t>（2）房地产权益状况</w:t>
      </w:r>
    </w:p>
    <w:p>
      <w:pPr>
        <w:adjustRightInd w:val="0"/>
        <w:snapToGrid w:val="0"/>
        <w:spacing w:line="520" w:lineRule="exact"/>
        <w:ind w:left="480"/>
        <w:rPr>
          <w:rFonts w:hint="eastAsia"/>
          <w:sz w:val="24"/>
          <w:szCs w:val="24"/>
        </w:rPr>
      </w:pPr>
      <w:r>
        <w:rPr>
          <w:rFonts w:hint="eastAsia"/>
          <w:sz w:val="24"/>
          <w:szCs w:val="24"/>
        </w:rPr>
        <w:t>①房屋所有权状况</w:t>
      </w:r>
    </w:p>
    <w:p>
      <w:pPr>
        <w:spacing w:line="520" w:lineRule="exact"/>
        <w:ind w:firstLine="480" w:firstLineChars="200"/>
        <w:rPr>
          <w:rFonts w:hint="eastAsia"/>
          <w:sz w:val="24"/>
          <w:szCs w:val="24"/>
        </w:rPr>
      </w:pPr>
      <w:r>
        <w:rPr>
          <w:rFonts w:hint="eastAsia"/>
          <w:sz w:val="24"/>
          <w:szCs w:val="24"/>
        </w:rPr>
        <w:t>估价委托人未能提供估价对象《房屋所有权证》或《不动产权证书》，根据委托人提供的</w:t>
      </w:r>
      <w:r>
        <w:rPr>
          <w:rFonts w:hint="eastAsia"/>
          <w:sz w:val="24"/>
          <w:szCs w:val="24"/>
          <w:lang w:eastAsia="zh-CN"/>
        </w:rPr>
        <w:t>《成都市不动产登记中心房地产权结果信息一览表》</w:t>
      </w:r>
      <w:r>
        <w:rPr>
          <w:rFonts w:hint="eastAsia"/>
          <w:sz w:val="24"/>
          <w:szCs w:val="24"/>
        </w:rPr>
        <w:t>，估价对象房屋所有权状况如下表所示：</w:t>
      </w:r>
    </w:p>
    <w:tbl>
      <w:tblPr>
        <w:tblStyle w:val="3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10"/>
        <w:gridCol w:w="1825"/>
        <w:gridCol w:w="1425"/>
        <w:gridCol w:w="2076"/>
        <w:gridCol w:w="575"/>
        <w:gridCol w:w="487"/>
        <w:gridCol w:w="69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94" w:type="pct"/>
            <w:shd w:val="clear" w:color="auto" w:fill="auto"/>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被查</w:t>
            </w:r>
          </w:p>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询对象</w:t>
            </w:r>
          </w:p>
        </w:tc>
        <w:tc>
          <w:tcPr>
            <w:tcW w:w="1012" w:type="pct"/>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不动产权证书号</w:t>
            </w:r>
          </w:p>
        </w:tc>
        <w:tc>
          <w:tcPr>
            <w:tcW w:w="790" w:type="pct"/>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不动产单元号</w:t>
            </w:r>
          </w:p>
        </w:tc>
        <w:tc>
          <w:tcPr>
            <w:tcW w:w="1151" w:type="pct"/>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房屋坐落</w:t>
            </w:r>
          </w:p>
        </w:tc>
        <w:tc>
          <w:tcPr>
            <w:tcW w:w="319" w:type="pct"/>
            <w:shd w:val="clear" w:color="auto" w:fill="auto"/>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规划用途</w:t>
            </w:r>
          </w:p>
        </w:tc>
        <w:tc>
          <w:tcPr>
            <w:tcW w:w="270" w:type="pct"/>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房屋性质</w:t>
            </w:r>
          </w:p>
        </w:tc>
        <w:tc>
          <w:tcPr>
            <w:tcW w:w="388" w:type="pct"/>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建筑面积（㎡）</w:t>
            </w:r>
          </w:p>
        </w:tc>
        <w:tc>
          <w:tcPr>
            <w:tcW w:w="672" w:type="pct"/>
            <w:shd w:val="clear" w:color="auto" w:fill="auto"/>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登记机构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94" w:type="pct"/>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徐贵川</w:t>
            </w:r>
          </w:p>
        </w:tc>
        <w:tc>
          <w:tcPr>
            <w:tcW w:w="1012" w:type="pc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证监0360258，青国用（2006）第04011号</w:t>
            </w:r>
          </w:p>
        </w:tc>
        <w:tc>
          <w:tcPr>
            <w:tcW w:w="790" w:type="pc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510113002008GB00029F00020001</w:t>
            </w:r>
          </w:p>
        </w:tc>
        <w:tc>
          <w:tcPr>
            <w:tcW w:w="1151" w:type="pc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青白江区红阳教育街230号2栋2单元5层7号</w:t>
            </w:r>
          </w:p>
        </w:tc>
        <w:tc>
          <w:tcPr>
            <w:tcW w:w="319" w:type="pct"/>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其他</w:t>
            </w:r>
          </w:p>
        </w:tc>
        <w:tc>
          <w:tcPr>
            <w:tcW w:w="270" w:type="pc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其他</w:t>
            </w:r>
          </w:p>
        </w:tc>
        <w:tc>
          <w:tcPr>
            <w:tcW w:w="388" w:type="pc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110.21</w:t>
            </w:r>
          </w:p>
        </w:tc>
        <w:tc>
          <w:tcPr>
            <w:tcW w:w="672" w:type="pct"/>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青白江区不动产登记中心</w:t>
            </w:r>
          </w:p>
        </w:tc>
      </w:tr>
    </w:tbl>
    <w:p>
      <w:pPr>
        <w:spacing w:line="520" w:lineRule="exact"/>
        <w:ind w:firstLine="480" w:firstLineChars="200"/>
        <w:rPr>
          <w:sz w:val="24"/>
          <w:szCs w:val="24"/>
        </w:rPr>
      </w:pPr>
      <w:r>
        <w:rPr>
          <w:rFonts w:hint="eastAsia"/>
          <w:sz w:val="24"/>
          <w:szCs w:val="24"/>
        </w:rPr>
        <w:t>②土地使用权状况</w:t>
      </w:r>
    </w:p>
    <w:p>
      <w:pPr>
        <w:spacing w:line="520" w:lineRule="exact"/>
        <w:ind w:firstLine="480" w:firstLineChars="200"/>
        <w:jc w:val="left"/>
        <w:rPr>
          <w:sz w:val="24"/>
          <w:szCs w:val="24"/>
        </w:rPr>
      </w:pPr>
      <w:r>
        <w:rPr>
          <w:rFonts w:hint="eastAsia"/>
          <w:sz w:val="24"/>
          <w:szCs w:val="24"/>
        </w:rPr>
        <w:t>本次评估根据委托方提供的</w:t>
      </w:r>
      <w:r>
        <w:rPr>
          <w:rFonts w:hint="eastAsia"/>
          <w:sz w:val="24"/>
          <w:szCs w:val="24"/>
          <w:lang w:eastAsia="zh-CN"/>
        </w:rPr>
        <w:t>《成都市不动产登记中心房地产权结果信息一览表》</w:t>
      </w:r>
      <w:r>
        <w:rPr>
          <w:rFonts w:hint="eastAsia"/>
          <w:sz w:val="24"/>
          <w:szCs w:val="24"/>
        </w:rPr>
        <w:t>，估价对象所分摊的国有土地使用权结束时间为2050-10-30 00:00:00，至价值时点，土地使用权剩余使用年限为30.81年。</w:t>
      </w:r>
    </w:p>
    <w:p>
      <w:pPr>
        <w:spacing w:line="520" w:lineRule="exact"/>
        <w:ind w:firstLine="480" w:firstLineChars="200"/>
        <w:rPr>
          <w:sz w:val="24"/>
          <w:szCs w:val="24"/>
        </w:rPr>
      </w:pPr>
      <w:r>
        <w:rPr>
          <w:rFonts w:hint="eastAsia"/>
          <w:sz w:val="24"/>
          <w:szCs w:val="24"/>
        </w:rPr>
        <w:t>③出租及利用情况</w:t>
      </w:r>
    </w:p>
    <w:p>
      <w:pPr>
        <w:spacing w:line="520" w:lineRule="exact"/>
        <w:ind w:firstLine="480" w:firstLineChars="200"/>
        <w:rPr>
          <w:sz w:val="24"/>
          <w:szCs w:val="24"/>
        </w:rPr>
      </w:pPr>
      <w:r>
        <w:rPr>
          <w:rFonts w:hint="eastAsia"/>
          <w:sz w:val="24"/>
          <w:szCs w:val="24"/>
        </w:rPr>
        <w:t>估价对象于价值时点为空置状态。</w:t>
      </w:r>
    </w:p>
    <w:p>
      <w:pPr>
        <w:spacing w:line="520" w:lineRule="exact"/>
        <w:ind w:firstLine="480" w:firstLineChars="200"/>
        <w:rPr>
          <w:sz w:val="24"/>
          <w:szCs w:val="24"/>
        </w:rPr>
      </w:pPr>
      <w:r>
        <w:rPr>
          <w:rFonts w:hint="eastAsia"/>
          <w:sz w:val="24"/>
          <w:szCs w:val="24"/>
        </w:rPr>
        <w:t>④物业管理情况</w:t>
      </w:r>
    </w:p>
    <w:p>
      <w:pPr>
        <w:spacing w:line="520" w:lineRule="exact"/>
        <w:ind w:firstLine="480" w:firstLineChars="200"/>
        <w:rPr>
          <w:sz w:val="24"/>
          <w:szCs w:val="24"/>
        </w:rPr>
      </w:pPr>
      <w:r>
        <w:rPr>
          <w:rFonts w:hint="eastAsia"/>
          <w:sz w:val="24"/>
          <w:szCs w:val="24"/>
        </w:rPr>
        <w:t>所在物业有成都美佳宜物业服务有限公司进行物业管理，物业管理规范完善。</w:t>
      </w:r>
    </w:p>
    <w:p>
      <w:pPr>
        <w:adjustRightInd w:val="0"/>
        <w:snapToGrid w:val="0"/>
        <w:spacing w:line="520" w:lineRule="exact"/>
        <w:ind w:firstLine="480" w:firstLineChars="200"/>
        <w:rPr>
          <w:sz w:val="24"/>
          <w:szCs w:val="24"/>
        </w:rPr>
      </w:pPr>
      <w:r>
        <w:rPr>
          <w:rFonts w:hint="eastAsia"/>
          <w:sz w:val="24"/>
          <w:szCs w:val="24"/>
        </w:rPr>
        <w:t>（3）他项权情况</w:t>
      </w:r>
    </w:p>
    <w:p>
      <w:pPr>
        <w:adjustRightInd w:val="0"/>
        <w:snapToGrid w:val="0"/>
        <w:spacing w:line="520" w:lineRule="exact"/>
        <w:ind w:firstLine="480" w:firstLineChars="200"/>
        <w:rPr>
          <w:sz w:val="24"/>
          <w:szCs w:val="24"/>
        </w:rPr>
      </w:pPr>
      <w:r>
        <w:rPr>
          <w:rFonts w:hint="eastAsia"/>
          <w:sz w:val="24"/>
          <w:szCs w:val="24"/>
        </w:rPr>
        <w:t>根据估价委托人提供的</w:t>
      </w:r>
      <w:r>
        <w:rPr>
          <w:rFonts w:hint="eastAsia"/>
          <w:sz w:val="24"/>
          <w:szCs w:val="24"/>
          <w:lang w:eastAsia="zh-CN"/>
        </w:rPr>
        <w:t>《成都市不动产登记中心房地产权结果信息一览表》</w:t>
      </w:r>
      <w:r>
        <w:rPr>
          <w:rFonts w:hint="eastAsia"/>
          <w:sz w:val="24"/>
          <w:szCs w:val="24"/>
        </w:rPr>
        <w:t>记载，至价值时点，估价对象设定有抵押权，抵押人:徐贵川，抵押不动产类型:其他，债务履行起始时间:2016-08-31 00:00:00，债务履行结束时间：2036-08-31 00:00:00，不动产登记证明号：他权0052753，登记机构：青白江区不动产登记中心。</w:t>
      </w:r>
    </w:p>
    <w:p>
      <w:pPr>
        <w:adjustRightInd w:val="0"/>
        <w:snapToGrid w:val="0"/>
        <w:spacing w:line="520" w:lineRule="exact"/>
        <w:ind w:firstLine="480" w:firstLineChars="200"/>
        <w:rPr>
          <w:sz w:val="24"/>
          <w:szCs w:val="24"/>
        </w:rPr>
      </w:pPr>
      <w:r>
        <w:rPr>
          <w:rFonts w:hint="eastAsia"/>
          <w:sz w:val="24"/>
          <w:szCs w:val="24"/>
        </w:rPr>
        <w:t>4、估价对象区位状况</w:t>
      </w:r>
    </w:p>
    <w:tbl>
      <w:tblPr>
        <w:tblStyle w:val="38"/>
        <w:tblW w:w="8931" w:type="dxa"/>
        <w:tblInd w:w="0" w:type="dxa"/>
        <w:tblLayout w:type="fixed"/>
        <w:tblCellMar>
          <w:top w:w="0" w:type="dxa"/>
          <w:left w:w="0" w:type="dxa"/>
          <w:bottom w:w="0" w:type="dxa"/>
          <w:right w:w="0" w:type="dxa"/>
        </w:tblCellMar>
      </w:tblPr>
      <w:tblGrid>
        <w:gridCol w:w="976"/>
        <w:gridCol w:w="1581"/>
        <w:gridCol w:w="6374"/>
      </w:tblGrid>
      <w:tr>
        <w:tblPrEx>
          <w:tblCellMar>
            <w:top w:w="0" w:type="dxa"/>
            <w:left w:w="0" w:type="dxa"/>
            <w:bottom w:w="0" w:type="dxa"/>
            <w:right w:w="0" w:type="dxa"/>
          </w:tblCellMar>
        </w:tblPrEx>
        <w:trPr>
          <w:trHeight w:val="266" w:hRule="atLeast"/>
        </w:trPr>
        <w:tc>
          <w:tcPr>
            <w:tcW w:w="25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估价对象</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成都市青白江区红阳教育街230号2栋2单元5层7号</w:t>
            </w:r>
            <w:r>
              <w:rPr>
                <w:rFonts w:hint="eastAsia" w:ascii="宋体" w:hAnsi="宋体" w:eastAsia="宋体" w:cs="宋体"/>
                <w:sz w:val="18"/>
                <w:szCs w:val="18"/>
                <w:lang w:eastAsia="zh-CN"/>
              </w:rPr>
              <w:t>住宅房地产</w:t>
            </w:r>
          </w:p>
        </w:tc>
      </w:tr>
      <w:tr>
        <w:tblPrEx>
          <w:tblCellMar>
            <w:top w:w="0" w:type="dxa"/>
            <w:left w:w="0" w:type="dxa"/>
            <w:bottom w:w="0" w:type="dxa"/>
            <w:right w:w="0" w:type="dxa"/>
          </w:tblCellMar>
        </w:tblPrEx>
        <w:trPr>
          <w:trHeight w:val="213" w:hRule="atLeast"/>
        </w:trPr>
        <w:tc>
          <w:tcPr>
            <w:tcW w:w="25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证载地址</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青白江区红阳教育街230号2栋2单元5层7号</w:t>
            </w:r>
          </w:p>
        </w:tc>
      </w:tr>
      <w:tr>
        <w:tblPrEx>
          <w:tblCellMar>
            <w:top w:w="0" w:type="dxa"/>
            <w:left w:w="0" w:type="dxa"/>
            <w:bottom w:w="0" w:type="dxa"/>
            <w:right w:w="0" w:type="dxa"/>
          </w:tblCellMar>
        </w:tblPrEx>
        <w:trPr>
          <w:trHeight w:val="23"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位置状况</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方位</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位于青白江同华大道以南</w:t>
            </w:r>
          </w:p>
        </w:tc>
      </w:tr>
      <w:tr>
        <w:tblPrEx>
          <w:tblCellMar>
            <w:top w:w="0" w:type="dxa"/>
            <w:left w:w="0" w:type="dxa"/>
            <w:bottom w:w="0" w:type="dxa"/>
            <w:right w:w="0" w:type="dxa"/>
          </w:tblCellMar>
        </w:tblPrEx>
        <w:trPr>
          <w:trHeight w:val="23"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bCs/>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与相关场所的距离（居住氛围）</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距离青白江东站约2.4公里</w:t>
            </w:r>
            <w:r>
              <w:rPr>
                <w:rFonts w:hint="eastAsia" w:ascii="宋体" w:hAnsi="宋体" w:eastAsia="宋体" w:cs="宋体"/>
                <w:sz w:val="18"/>
                <w:szCs w:val="18"/>
                <w:lang w:eastAsia="zh-CN"/>
              </w:rPr>
              <w:t>，</w:t>
            </w:r>
            <w:r>
              <w:rPr>
                <w:rFonts w:hint="eastAsia" w:ascii="宋体" w:hAnsi="宋体" w:eastAsia="宋体" w:cs="宋体"/>
                <w:sz w:val="18"/>
                <w:szCs w:val="18"/>
              </w:rPr>
              <w:t>距攀成钢青白江医院约0.4公里。该区域内有中铁二局小区、青江华庭A区、红阳花园等住宅小区，居住氛围较好</w:t>
            </w:r>
          </w:p>
        </w:tc>
      </w:tr>
      <w:tr>
        <w:tblPrEx>
          <w:tblCellMar>
            <w:top w:w="0" w:type="dxa"/>
            <w:left w:w="0" w:type="dxa"/>
            <w:bottom w:w="0" w:type="dxa"/>
            <w:right w:w="0" w:type="dxa"/>
          </w:tblCellMar>
        </w:tblPrEx>
        <w:trPr>
          <w:trHeight w:val="86"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bCs/>
                <w:sz w:val="18"/>
                <w:szCs w:val="18"/>
              </w:rPr>
            </w:pPr>
          </w:p>
        </w:tc>
        <w:tc>
          <w:tcPr>
            <w:tcW w:w="158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所处楼栋或位置</w:t>
            </w:r>
          </w:p>
        </w:tc>
        <w:tc>
          <w:tcPr>
            <w:tcW w:w="637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小区内位置一般</w:t>
            </w:r>
          </w:p>
        </w:tc>
      </w:tr>
      <w:tr>
        <w:tblPrEx>
          <w:tblCellMar>
            <w:top w:w="0" w:type="dxa"/>
            <w:left w:w="0" w:type="dxa"/>
            <w:bottom w:w="0" w:type="dxa"/>
            <w:right w:w="0" w:type="dxa"/>
          </w:tblCellMar>
        </w:tblPrEx>
        <w:trPr>
          <w:trHeight w:val="12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bCs/>
                <w:sz w:val="18"/>
                <w:szCs w:val="18"/>
              </w:rPr>
            </w:pPr>
          </w:p>
        </w:tc>
        <w:tc>
          <w:tcPr>
            <w:tcW w:w="15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临街状况</w:t>
            </w:r>
          </w:p>
        </w:tc>
        <w:tc>
          <w:tcPr>
            <w:tcW w:w="637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不临街</w:t>
            </w:r>
          </w:p>
        </w:tc>
      </w:tr>
      <w:tr>
        <w:tblPrEx>
          <w:tblCellMar>
            <w:top w:w="0" w:type="dxa"/>
            <w:left w:w="0" w:type="dxa"/>
            <w:bottom w:w="0" w:type="dxa"/>
            <w:right w:w="0" w:type="dxa"/>
          </w:tblCellMar>
        </w:tblPrEx>
        <w:trPr>
          <w:trHeight w:val="23"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bCs/>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朝向</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南北</w:t>
            </w:r>
            <w:r>
              <w:rPr>
                <w:rFonts w:hint="eastAsia" w:ascii="宋体" w:hAnsi="宋体" w:eastAsia="宋体" w:cs="宋体"/>
                <w:sz w:val="18"/>
                <w:szCs w:val="18"/>
                <w:lang w:eastAsia="zh-CN"/>
              </w:rPr>
              <w:t>朝向</w:t>
            </w:r>
          </w:p>
        </w:tc>
      </w:tr>
      <w:tr>
        <w:tblPrEx>
          <w:tblCellMar>
            <w:top w:w="0" w:type="dxa"/>
            <w:left w:w="0" w:type="dxa"/>
            <w:bottom w:w="0" w:type="dxa"/>
            <w:right w:w="0" w:type="dxa"/>
          </w:tblCellMar>
        </w:tblPrEx>
        <w:trPr>
          <w:trHeight w:val="23"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bCs/>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楼层</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5层</w:t>
            </w:r>
          </w:p>
        </w:tc>
      </w:tr>
      <w:tr>
        <w:tblPrEx>
          <w:tblCellMar>
            <w:top w:w="0" w:type="dxa"/>
            <w:left w:w="0" w:type="dxa"/>
            <w:bottom w:w="0" w:type="dxa"/>
            <w:right w:w="0" w:type="dxa"/>
          </w:tblCellMar>
        </w:tblPrEx>
        <w:trPr>
          <w:trHeight w:val="23"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交通状况</w:t>
            </w: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道路状况</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区域有教育街、金华大道二段、红阳路等交通主次干道，道路通达度较好</w:t>
            </w:r>
          </w:p>
        </w:tc>
      </w:tr>
      <w:tr>
        <w:tblPrEx>
          <w:tblCellMar>
            <w:top w:w="0" w:type="dxa"/>
            <w:left w:w="0" w:type="dxa"/>
            <w:bottom w:w="0" w:type="dxa"/>
            <w:right w:w="0" w:type="dxa"/>
          </w:tblCellMar>
        </w:tblPrEx>
        <w:trPr>
          <w:trHeight w:val="23"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bCs/>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对内交通便捷度</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区域内有Q2路、Q4路、Q51路、Q53路等公交线路通行，交通较便捷</w:t>
            </w:r>
          </w:p>
        </w:tc>
      </w:tr>
      <w:tr>
        <w:tblPrEx>
          <w:tblCellMar>
            <w:top w:w="0" w:type="dxa"/>
            <w:left w:w="0" w:type="dxa"/>
            <w:bottom w:w="0" w:type="dxa"/>
            <w:right w:w="0" w:type="dxa"/>
          </w:tblCellMar>
        </w:tblPrEx>
        <w:trPr>
          <w:trHeight w:val="2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bCs/>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对外交通通达度</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距离青白江东站约2.4公里，对外交通便捷度</w:t>
            </w:r>
            <w:r>
              <w:rPr>
                <w:rFonts w:hint="eastAsia" w:ascii="宋体" w:hAnsi="宋体" w:eastAsia="宋体" w:cs="宋体"/>
                <w:sz w:val="18"/>
                <w:szCs w:val="18"/>
                <w:lang w:eastAsia="zh-CN"/>
              </w:rPr>
              <w:t>较好</w:t>
            </w:r>
          </w:p>
        </w:tc>
      </w:tr>
      <w:tr>
        <w:tblPrEx>
          <w:tblCellMar>
            <w:top w:w="0" w:type="dxa"/>
            <w:left w:w="0" w:type="dxa"/>
            <w:bottom w:w="0" w:type="dxa"/>
            <w:right w:w="0" w:type="dxa"/>
          </w:tblCellMar>
        </w:tblPrEx>
        <w:trPr>
          <w:trHeight w:val="23"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bCs/>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交通管制情况</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无交通管制情况</w:t>
            </w:r>
          </w:p>
        </w:tc>
      </w:tr>
      <w:tr>
        <w:tblPrEx>
          <w:tblCellMar>
            <w:top w:w="0" w:type="dxa"/>
            <w:left w:w="0" w:type="dxa"/>
            <w:bottom w:w="0" w:type="dxa"/>
            <w:right w:w="0" w:type="dxa"/>
          </w:tblCellMar>
        </w:tblPrEx>
        <w:trPr>
          <w:trHeight w:val="23"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bCs/>
                <w:sz w:val="18"/>
                <w:szCs w:val="18"/>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停车方便程度</w:t>
            </w:r>
          </w:p>
        </w:tc>
        <w:tc>
          <w:tcPr>
            <w:tcW w:w="6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地面停车位，较方便</w:t>
            </w:r>
          </w:p>
        </w:tc>
      </w:tr>
      <w:tr>
        <w:tblPrEx>
          <w:tblCellMar>
            <w:top w:w="0" w:type="dxa"/>
            <w:left w:w="0" w:type="dxa"/>
            <w:bottom w:w="0" w:type="dxa"/>
            <w:right w:w="0" w:type="dxa"/>
          </w:tblCellMar>
        </w:tblPrEx>
        <w:trPr>
          <w:trHeight w:val="155" w:hRule="atLeast"/>
        </w:trPr>
        <w:tc>
          <w:tcPr>
            <w:tcW w:w="97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周围环境</w:t>
            </w:r>
          </w:p>
        </w:tc>
        <w:tc>
          <w:tcPr>
            <w:tcW w:w="158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sz w:val="18"/>
                <w:szCs w:val="18"/>
              </w:rPr>
              <w:t>自然环境</w:t>
            </w:r>
          </w:p>
        </w:tc>
        <w:tc>
          <w:tcPr>
            <w:tcW w:w="637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sz w:val="18"/>
                <w:szCs w:val="18"/>
              </w:rPr>
            </w:pPr>
            <w:r>
              <w:rPr>
                <w:rFonts w:hint="eastAsia" w:ascii="宋体" w:hAnsi="宋体" w:eastAsia="宋体" w:cs="宋体"/>
                <w:sz w:val="18"/>
                <w:szCs w:val="18"/>
              </w:rPr>
              <w:t>周边绿化一般，空气质量一般，无固定污染源</w:t>
            </w:r>
          </w:p>
        </w:tc>
      </w:tr>
      <w:tr>
        <w:tblPrEx>
          <w:tblCellMar>
            <w:top w:w="0" w:type="dxa"/>
            <w:left w:w="0" w:type="dxa"/>
            <w:bottom w:w="0" w:type="dxa"/>
            <w:right w:w="0" w:type="dxa"/>
          </w:tblCellMar>
        </w:tblPrEx>
        <w:trPr>
          <w:trHeight w:val="120" w:hRule="atLeast"/>
        </w:trPr>
        <w:tc>
          <w:tcPr>
            <w:tcW w:w="9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b/>
                <w:bCs/>
                <w:kern w:val="0"/>
                <w:sz w:val="18"/>
                <w:szCs w:val="18"/>
                <w:lang w:bidi="ar"/>
              </w:rPr>
            </w:pPr>
          </w:p>
        </w:tc>
        <w:tc>
          <w:tcPr>
            <w:tcW w:w="15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b/>
                <w:bCs/>
                <w:kern w:val="0"/>
                <w:sz w:val="18"/>
                <w:szCs w:val="18"/>
                <w:lang w:bidi="ar"/>
              </w:rPr>
            </w:pPr>
            <w:r>
              <w:rPr>
                <w:rFonts w:hint="eastAsia" w:ascii="宋体" w:hAnsi="宋体" w:eastAsia="宋体" w:cs="宋体"/>
                <w:b/>
                <w:bCs/>
                <w:sz w:val="18"/>
                <w:szCs w:val="18"/>
              </w:rPr>
              <w:t>人文环境</w:t>
            </w:r>
          </w:p>
        </w:tc>
        <w:tc>
          <w:tcPr>
            <w:tcW w:w="637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kern w:val="0"/>
                <w:sz w:val="18"/>
                <w:szCs w:val="18"/>
                <w:lang w:bidi="ar"/>
              </w:rPr>
            </w:pPr>
            <w:r>
              <w:rPr>
                <w:rFonts w:hint="eastAsia" w:ascii="宋体" w:hAnsi="宋体" w:eastAsia="宋体" w:cs="宋体"/>
                <w:sz w:val="18"/>
                <w:szCs w:val="18"/>
              </w:rPr>
              <w:t>人口密度一般,人流量一般，治安状况较好</w:t>
            </w:r>
          </w:p>
        </w:tc>
      </w:tr>
      <w:tr>
        <w:tblPrEx>
          <w:tblCellMar>
            <w:top w:w="0" w:type="dxa"/>
            <w:left w:w="0" w:type="dxa"/>
            <w:bottom w:w="0" w:type="dxa"/>
            <w:right w:w="0" w:type="dxa"/>
          </w:tblCellMar>
        </w:tblPrEx>
        <w:trPr>
          <w:trHeight w:val="120" w:hRule="atLeast"/>
        </w:trPr>
        <w:tc>
          <w:tcPr>
            <w:tcW w:w="976"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b/>
                <w:bCs/>
                <w:kern w:val="0"/>
                <w:sz w:val="18"/>
                <w:szCs w:val="18"/>
                <w:lang w:bidi="ar"/>
              </w:rPr>
            </w:pPr>
          </w:p>
        </w:tc>
        <w:tc>
          <w:tcPr>
            <w:tcW w:w="15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b/>
                <w:bCs/>
                <w:kern w:val="0"/>
                <w:sz w:val="18"/>
                <w:szCs w:val="18"/>
                <w:lang w:bidi="ar"/>
              </w:rPr>
            </w:pPr>
            <w:r>
              <w:rPr>
                <w:rFonts w:hint="eastAsia" w:ascii="宋体" w:hAnsi="宋体" w:eastAsia="宋体" w:cs="宋体"/>
                <w:b/>
                <w:bCs/>
                <w:sz w:val="18"/>
                <w:szCs w:val="18"/>
              </w:rPr>
              <w:t>景观</w:t>
            </w:r>
          </w:p>
        </w:tc>
        <w:tc>
          <w:tcPr>
            <w:tcW w:w="637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小区内部绿化一般，公共绿化较少</w:t>
            </w:r>
          </w:p>
        </w:tc>
      </w:tr>
      <w:tr>
        <w:tblPrEx>
          <w:tblCellMar>
            <w:top w:w="0" w:type="dxa"/>
            <w:left w:w="0" w:type="dxa"/>
            <w:bottom w:w="0" w:type="dxa"/>
            <w:right w:w="0" w:type="dxa"/>
          </w:tblCellMar>
        </w:tblPrEx>
        <w:trPr>
          <w:trHeight w:val="105" w:hRule="atLeast"/>
        </w:trPr>
        <w:tc>
          <w:tcPr>
            <w:tcW w:w="976"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b/>
                <w:bCs/>
                <w:kern w:val="0"/>
                <w:sz w:val="18"/>
                <w:szCs w:val="18"/>
                <w:lang w:bidi="ar"/>
              </w:rPr>
            </w:pPr>
            <w:r>
              <w:rPr>
                <w:rFonts w:hint="eastAsia" w:ascii="宋体" w:hAnsi="宋体" w:eastAsia="宋体" w:cs="宋体"/>
                <w:b/>
                <w:bCs/>
                <w:kern w:val="0"/>
                <w:sz w:val="18"/>
                <w:szCs w:val="18"/>
                <w:lang w:bidi="ar"/>
              </w:rPr>
              <w:t>外部配套设施状况</w:t>
            </w:r>
          </w:p>
        </w:tc>
        <w:tc>
          <w:tcPr>
            <w:tcW w:w="15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b/>
                <w:bCs/>
                <w:kern w:val="0"/>
                <w:sz w:val="18"/>
                <w:szCs w:val="18"/>
                <w:lang w:bidi="ar"/>
              </w:rPr>
            </w:pPr>
            <w:r>
              <w:rPr>
                <w:rFonts w:hint="eastAsia" w:ascii="宋体" w:hAnsi="宋体" w:eastAsia="宋体" w:cs="宋体"/>
                <w:b/>
                <w:bCs/>
                <w:kern w:val="0"/>
                <w:sz w:val="18"/>
                <w:szCs w:val="18"/>
                <w:lang w:bidi="ar"/>
              </w:rPr>
              <w:t>基础设施</w:t>
            </w:r>
          </w:p>
        </w:tc>
        <w:tc>
          <w:tcPr>
            <w:tcW w:w="637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至价值时点，宗地内已达到“六通”（通上水、通下水、通电、通讯、通气、通路），配设市政供电，自来水进水管、排污管与城市管网相连</w:t>
            </w:r>
          </w:p>
        </w:tc>
      </w:tr>
      <w:tr>
        <w:tblPrEx>
          <w:tblCellMar>
            <w:top w:w="0" w:type="dxa"/>
            <w:left w:w="0" w:type="dxa"/>
            <w:bottom w:w="0" w:type="dxa"/>
            <w:right w:w="0" w:type="dxa"/>
          </w:tblCellMar>
        </w:tblPrEx>
        <w:trPr>
          <w:trHeight w:val="23" w:hRule="atLeast"/>
        </w:trPr>
        <w:tc>
          <w:tcPr>
            <w:tcW w:w="97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bCs/>
                <w:sz w:val="18"/>
                <w:szCs w:val="18"/>
              </w:rPr>
            </w:pPr>
          </w:p>
        </w:tc>
        <w:tc>
          <w:tcPr>
            <w:tcW w:w="15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公共服务设施</w:t>
            </w:r>
          </w:p>
        </w:tc>
        <w:tc>
          <w:tcPr>
            <w:tcW w:w="637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区域有苏宁易购、千盛百货、严华小学、小丫幼儿园 、攀成钢青白江医院、成都青白江同济医院、中国农业银行、成都农商银行等教育医疗金融服务设施，公共服务设施完善</w:t>
            </w:r>
          </w:p>
        </w:tc>
      </w:tr>
    </w:tbl>
    <w:p>
      <w:pPr>
        <w:pStyle w:val="3"/>
        <w:rPr>
          <w:rFonts w:ascii="宋体" w:hAnsi="宋体" w:eastAsia="宋体" w:cs="宋体"/>
          <w:sz w:val="24"/>
          <w:szCs w:val="24"/>
          <w:shd w:val="clear" w:color="auto" w:fill="FFFFFF"/>
        </w:rPr>
      </w:pPr>
      <w:bookmarkStart w:id="63" w:name="_Toc5363"/>
      <w:bookmarkStart w:id="64" w:name="_Toc479587799"/>
      <w:bookmarkStart w:id="65" w:name="_Toc479803869"/>
      <w:bookmarkStart w:id="66" w:name="_Toc8490012"/>
      <w:bookmarkStart w:id="67" w:name="_Toc26757"/>
      <w:bookmarkStart w:id="68" w:name="_Toc8130"/>
      <w:bookmarkStart w:id="69" w:name="_Toc24222"/>
      <w:bookmarkStart w:id="70" w:name="_Toc22871"/>
      <w:bookmarkStart w:id="71" w:name="_Toc735"/>
      <w:r>
        <w:rPr>
          <w:rFonts w:ascii="宋体" w:hAnsi="宋体" w:eastAsia="宋体" w:cs="宋体"/>
          <w:sz w:val="24"/>
          <w:szCs w:val="24"/>
          <w:shd w:val="clear" w:color="auto" w:fill="FFFFFF"/>
        </w:rPr>
        <w:t>（五）价值时点</w:t>
      </w:r>
      <w:bookmarkEnd w:id="63"/>
      <w:bookmarkEnd w:id="64"/>
      <w:bookmarkEnd w:id="65"/>
      <w:bookmarkEnd w:id="66"/>
      <w:bookmarkEnd w:id="67"/>
      <w:bookmarkEnd w:id="68"/>
      <w:bookmarkEnd w:id="69"/>
      <w:bookmarkEnd w:id="70"/>
      <w:bookmarkEnd w:id="71"/>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2020年1月9日，【根据《房地产司法鉴定评估指导意见》（试行），价值时点确定为注册房地产估价师实际查勘之日】。</w:t>
      </w:r>
    </w:p>
    <w:p>
      <w:pPr>
        <w:pStyle w:val="3"/>
        <w:rPr>
          <w:rFonts w:ascii="宋体" w:hAnsi="宋体" w:eastAsia="宋体" w:cs="宋体"/>
          <w:sz w:val="24"/>
          <w:szCs w:val="24"/>
          <w:shd w:val="clear" w:color="auto" w:fill="FFFFFF"/>
        </w:rPr>
      </w:pPr>
      <w:bookmarkStart w:id="72" w:name="_Toc21845"/>
      <w:bookmarkStart w:id="73" w:name="_Toc20551"/>
      <w:bookmarkStart w:id="74" w:name="_Toc10591"/>
      <w:bookmarkStart w:id="75" w:name="_Toc8490013"/>
      <w:bookmarkStart w:id="76" w:name="_Toc23931"/>
      <w:bookmarkStart w:id="77" w:name="_Toc479587800"/>
      <w:bookmarkStart w:id="78" w:name="_Toc29682"/>
      <w:bookmarkStart w:id="79" w:name="_Toc30389"/>
      <w:r>
        <w:rPr>
          <w:rFonts w:ascii="宋体" w:hAnsi="宋体" w:eastAsia="宋体" w:cs="宋体"/>
          <w:sz w:val="24"/>
          <w:szCs w:val="24"/>
          <w:shd w:val="clear" w:color="auto" w:fill="FFFFFF"/>
        </w:rPr>
        <w:t>（六）价值类型</w:t>
      </w:r>
      <w:bookmarkEnd w:id="72"/>
      <w:bookmarkEnd w:id="73"/>
      <w:bookmarkEnd w:id="74"/>
      <w:bookmarkEnd w:id="75"/>
      <w:bookmarkEnd w:id="76"/>
      <w:bookmarkEnd w:id="77"/>
      <w:bookmarkEnd w:id="78"/>
      <w:bookmarkEnd w:id="79"/>
    </w:p>
    <w:p>
      <w:pPr>
        <w:spacing w:line="520" w:lineRule="exact"/>
        <w:ind w:firstLine="480" w:firstLineChars="200"/>
        <w:rPr>
          <w:sz w:val="24"/>
          <w:szCs w:val="24"/>
        </w:rPr>
      </w:pPr>
      <w:r>
        <w:rPr>
          <w:rFonts w:hint="eastAsia"/>
          <w:sz w:val="24"/>
          <w:szCs w:val="24"/>
        </w:rPr>
        <w:t>价值名称：市场价值</w:t>
      </w:r>
    </w:p>
    <w:p>
      <w:pPr>
        <w:spacing w:line="520" w:lineRule="exact"/>
        <w:ind w:firstLine="480" w:firstLineChars="200"/>
        <w:rPr>
          <w:sz w:val="24"/>
          <w:szCs w:val="24"/>
        </w:rPr>
      </w:pPr>
      <w:r>
        <w:rPr>
          <w:rFonts w:hint="eastAsia"/>
          <w:sz w:val="24"/>
          <w:szCs w:val="24"/>
        </w:rPr>
        <w:t>价值内涵：市场价值是指估价对象经适当营销后，由熟悉情况、谨慎行事且不受强迫的交易双方，以公平交易方式在价值时点自愿进行交易的金额。</w:t>
      </w:r>
    </w:p>
    <w:p>
      <w:pPr>
        <w:spacing w:line="520" w:lineRule="exact"/>
        <w:ind w:firstLine="480" w:firstLineChars="200"/>
        <w:rPr>
          <w:sz w:val="24"/>
          <w:szCs w:val="24"/>
        </w:rPr>
      </w:pPr>
      <w:r>
        <w:rPr>
          <w:sz w:val="24"/>
          <w:szCs w:val="24"/>
        </w:rPr>
        <w:t>1</w:t>
      </w:r>
      <w:r>
        <w:rPr>
          <w:rFonts w:hint="eastAsia"/>
          <w:sz w:val="24"/>
          <w:szCs w:val="24"/>
        </w:rPr>
        <w:t>、用途：法定用途；</w:t>
      </w:r>
    </w:p>
    <w:p>
      <w:pPr>
        <w:spacing w:line="520" w:lineRule="exact"/>
        <w:ind w:firstLine="480" w:firstLineChars="200"/>
        <w:rPr>
          <w:sz w:val="24"/>
          <w:szCs w:val="24"/>
        </w:rPr>
      </w:pPr>
      <w:r>
        <w:rPr>
          <w:sz w:val="24"/>
          <w:szCs w:val="24"/>
        </w:rPr>
        <w:t>2</w:t>
      </w:r>
      <w:r>
        <w:rPr>
          <w:rFonts w:hint="eastAsia"/>
          <w:sz w:val="24"/>
          <w:szCs w:val="24"/>
        </w:rPr>
        <w:t>、本次估价范围包括估价对象实物及权益</w:t>
      </w:r>
      <w:r>
        <w:rPr>
          <w:sz w:val="24"/>
          <w:szCs w:val="24"/>
        </w:rPr>
        <w:t>、与房屋不可分离附属设施设备</w:t>
      </w:r>
      <w:r>
        <w:rPr>
          <w:rFonts w:hint="eastAsia"/>
          <w:sz w:val="24"/>
          <w:szCs w:val="24"/>
        </w:rPr>
        <w:t>，但不含可移动财产；</w:t>
      </w:r>
    </w:p>
    <w:p>
      <w:pPr>
        <w:spacing w:line="520" w:lineRule="exact"/>
        <w:ind w:firstLine="480" w:firstLineChars="200"/>
        <w:rPr>
          <w:sz w:val="24"/>
          <w:szCs w:val="24"/>
        </w:rPr>
      </w:pPr>
      <w:r>
        <w:rPr>
          <w:sz w:val="24"/>
          <w:szCs w:val="24"/>
        </w:rPr>
        <w:t>3</w:t>
      </w:r>
      <w:r>
        <w:rPr>
          <w:rFonts w:hint="eastAsia"/>
          <w:sz w:val="24"/>
          <w:szCs w:val="24"/>
        </w:rPr>
        <w:t>、本报告确定的价格为交易双方按相关法规的规定负担各自应负担税费下的价格；</w:t>
      </w:r>
    </w:p>
    <w:p>
      <w:pPr>
        <w:spacing w:line="520" w:lineRule="exact"/>
        <w:ind w:firstLine="480" w:firstLineChars="200"/>
        <w:rPr>
          <w:sz w:val="24"/>
          <w:szCs w:val="24"/>
        </w:rPr>
      </w:pPr>
      <w:r>
        <w:rPr>
          <w:rFonts w:hint="eastAsia"/>
          <w:sz w:val="24"/>
          <w:szCs w:val="24"/>
        </w:rPr>
        <w:t>4、适当营销，即以适当的方式在市场上进行了展示，展示的时间长度可能随着市场状况而变化，但足以使估价对象引起一定数量的潜在买者的注意；</w:t>
      </w:r>
    </w:p>
    <w:p>
      <w:pPr>
        <w:spacing w:line="520" w:lineRule="exact"/>
        <w:ind w:firstLine="480" w:firstLineChars="200"/>
        <w:rPr>
          <w:sz w:val="24"/>
          <w:szCs w:val="24"/>
        </w:rPr>
      </w:pPr>
      <w:r>
        <w:rPr>
          <w:rFonts w:hint="eastAsia"/>
          <w:sz w:val="24"/>
          <w:szCs w:val="24"/>
        </w:rPr>
        <w:t>5、熟悉情况，即买方和卖方都了解估价对象并熟悉市场行情，买方不是盲目地购买，卖方不是盲目地出售；</w:t>
      </w:r>
    </w:p>
    <w:p>
      <w:pPr>
        <w:spacing w:line="520" w:lineRule="exact"/>
        <w:ind w:firstLine="480" w:firstLineChars="200"/>
        <w:rPr>
          <w:sz w:val="24"/>
          <w:szCs w:val="24"/>
        </w:rPr>
      </w:pPr>
      <w:r>
        <w:rPr>
          <w:rFonts w:hint="eastAsia"/>
          <w:sz w:val="24"/>
          <w:szCs w:val="24"/>
        </w:rPr>
        <w:t>6、谨慎行事。即买方和卖方都是冷静、理性、谨慎的，没有感情用事；</w:t>
      </w:r>
    </w:p>
    <w:p>
      <w:pPr>
        <w:spacing w:line="520" w:lineRule="exact"/>
        <w:ind w:firstLine="480" w:firstLineChars="200"/>
        <w:rPr>
          <w:sz w:val="24"/>
          <w:szCs w:val="24"/>
        </w:rPr>
      </w:pPr>
      <w:r>
        <w:rPr>
          <w:rFonts w:hint="eastAsia"/>
          <w:sz w:val="24"/>
          <w:szCs w:val="24"/>
        </w:rPr>
        <w:t>7、不受强迫，即买方和卖方都是出于自发需要进行交易的，买方不是急于购买，卖方不是急于出售，同时买方不是被迫地从特定的卖方那里购买，卖方不是被迫地卖给特定的买方；</w:t>
      </w:r>
    </w:p>
    <w:p>
      <w:pPr>
        <w:spacing w:line="520" w:lineRule="exact"/>
        <w:ind w:firstLine="480" w:firstLineChars="200"/>
        <w:rPr>
          <w:sz w:val="24"/>
          <w:szCs w:val="24"/>
        </w:rPr>
      </w:pPr>
      <w:r>
        <w:rPr>
          <w:rFonts w:hint="eastAsia"/>
          <w:sz w:val="24"/>
          <w:szCs w:val="24"/>
        </w:rPr>
        <w:t>8、公平交易，即买方和卖方都是出于自己利益的需要进行交易的，没有特殊或特别的关系，不是关联交易；</w:t>
      </w:r>
    </w:p>
    <w:p>
      <w:pPr>
        <w:spacing w:line="520" w:lineRule="exact"/>
        <w:ind w:firstLine="480" w:firstLineChars="200"/>
        <w:rPr>
          <w:sz w:val="24"/>
          <w:szCs w:val="24"/>
        </w:rPr>
      </w:pPr>
      <w:r>
        <w:rPr>
          <w:rFonts w:hint="eastAsia"/>
          <w:sz w:val="24"/>
          <w:szCs w:val="24"/>
        </w:rPr>
        <w:t>9、本报告估价结果未考虑未来市场变化风险、不可抗力及短期强制处分等因素对其价格的影响；</w:t>
      </w:r>
    </w:p>
    <w:p>
      <w:pPr>
        <w:spacing w:line="360" w:lineRule="auto"/>
        <w:ind w:firstLine="480" w:firstLineChars="200"/>
        <w:rPr>
          <w:rFonts w:ascii="Times New Roman" w:hAnsi="Times New Roman" w:eastAsia="宋体" w:cs="Times New Roman"/>
          <w:sz w:val="24"/>
          <w:szCs w:val="24"/>
        </w:rPr>
      </w:pPr>
      <w:r>
        <w:rPr>
          <w:rFonts w:hint="eastAsia"/>
          <w:sz w:val="24"/>
          <w:szCs w:val="24"/>
        </w:rPr>
        <w:t>10、币种为人民币。</w:t>
      </w:r>
    </w:p>
    <w:p>
      <w:pPr>
        <w:pStyle w:val="3"/>
        <w:rPr>
          <w:rFonts w:ascii="宋体" w:hAnsi="宋体" w:eastAsia="宋体" w:cs="宋体"/>
          <w:sz w:val="24"/>
          <w:szCs w:val="24"/>
          <w:shd w:val="clear" w:color="auto" w:fill="FFFFFF"/>
        </w:rPr>
      </w:pPr>
      <w:bookmarkStart w:id="80" w:name="_Toc10090"/>
      <w:bookmarkStart w:id="81" w:name="_Toc21562"/>
      <w:bookmarkStart w:id="82" w:name="_Toc26999"/>
      <w:bookmarkStart w:id="83" w:name="_Toc2599"/>
      <w:bookmarkStart w:id="84" w:name="_Toc479587801"/>
      <w:bookmarkStart w:id="85" w:name="_Toc8490014"/>
      <w:bookmarkStart w:id="86" w:name="_Toc30302"/>
      <w:bookmarkStart w:id="87" w:name="_Toc14573"/>
      <w:r>
        <w:rPr>
          <w:rFonts w:ascii="宋体" w:hAnsi="宋体" w:eastAsia="宋体" w:cs="宋体"/>
          <w:sz w:val="24"/>
          <w:szCs w:val="24"/>
          <w:shd w:val="clear" w:color="auto" w:fill="FFFFFF"/>
        </w:rPr>
        <w:t>（七）估价原则</w:t>
      </w:r>
      <w:bookmarkEnd w:id="80"/>
      <w:bookmarkEnd w:id="81"/>
      <w:bookmarkEnd w:id="82"/>
      <w:bookmarkEnd w:id="83"/>
      <w:bookmarkEnd w:id="84"/>
      <w:bookmarkEnd w:id="85"/>
      <w:bookmarkEnd w:id="86"/>
      <w:bookmarkEnd w:id="87"/>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本次估价以独立、客观、公正为工作原则，以合法原则、价值时点原则、最高最佳利用原则、替代原则、谨慎性原则为操作性原则。</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1、独立、客观、公正原则</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遵循独立、客观、公正原则</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评估价值应为</w:t>
      </w:r>
      <w:r>
        <w:rPr>
          <w:rFonts w:hint="eastAsia" w:ascii="Times New Roman" w:hAnsi="Times New Roman" w:eastAsia="宋体" w:cs="Times New Roman"/>
          <w:sz w:val="24"/>
          <w:szCs w:val="24"/>
        </w:rPr>
        <w:t>对各方估价利害关系人均是公平合理的价值或价格。</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所谓“独立”，就是要求注册房地产估价师和房地产估价机构与估价委托人及估价利害关系人没有利害关系，在估价中不受包括估价委托人在内的任何单位和个人的影响，应凭自己的专业知识、实践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2、合法原则</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遵循</w:t>
      </w:r>
      <w:r>
        <w:rPr>
          <w:rFonts w:hint="eastAsia" w:ascii="Times New Roman" w:hAnsi="Times New Roman" w:eastAsia="宋体" w:cs="Times New Roman"/>
          <w:sz w:val="24"/>
          <w:szCs w:val="24"/>
        </w:rPr>
        <w:t>合法原则，</w:t>
      </w:r>
      <w:r>
        <w:rPr>
          <w:rFonts w:ascii="Times New Roman" w:hAnsi="Times New Roman" w:eastAsia="宋体" w:cs="Times New Roman"/>
          <w:sz w:val="24"/>
          <w:szCs w:val="24"/>
        </w:rPr>
        <w:t>评估价值应为</w:t>
      </w:r>
      <w:r>
        <w:rPr>
          <w:rFonts w:hint="eastAsia" w:ascii="Times New Roman" w:hAnsi="Times New Roman" w:eastAsia="宋体" w:cs="Times New Roman"/>
          <w:sz w:val="24"/>
          <w:szCs w:val="24"/>
        </w:rPr>
        <w:t>在依法判定的估价对象状况下的价值或价格。</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权属证书、有关批文和合同等（如规划意见书、国有建设用地使用权出让招标文件、国有建设用地使用权出让合同、房地产转让合同、房屋租赁合同等）。遵循合法原则，并不意味着只有合法的房地产才能成为估价对象，而是指依法判定估价对象是哪种状况的房地产，就应将其作为那种状况的房地产来估价。</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本次估价以估价对象合法用途为前提，根据委托人提供的合法权属证明等资料进行评估。</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3、价值时点原则</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遵循价值时点原则</w:t>
      </w:r>
      <w:r>
        <w:rPr>
          <w:rFonts w:hint="eastAsia" w:ascii="Times New Roman" w:hAnsi="Times New Roman" w:eastAsia="宋体" w:cs="Times New Roman"/>
          <w:sz w:val="24"/>
          <w:szCs w:val="24"/>
        </w:rPr>
        <w:t>，评估价值应为在根据估价目的确定的某一特定时间的价值或价格。</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价值时点原则强调的是估价结论具有很强的时间相关性和时效性。估价结论具有很强的时间性和时效性，这主要是考虑到资金的时间价值，在不同的时间点发发生的现金流量对其价值影响是不同的。所以，在房地产估价统一规定：如果一些款项的发生时点与价值时点不一致，应当折算为价值时点的现值。估价结论同时具有很强的时效性，这主要是考虑到房地产市场价格的波动，同一估价对象在不同时点会具有不同的市场价格。</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本次估价以价值时点原则为前提，根据价值进点原则确定政府有关房地产的法律、法规、税收政策、估价标准等的发布、变更、实施日期等估价依据。估价结果是根据估价目的确定的价值时点对应的价值。</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4、替代原则</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遵循替代原则</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评估价值与估价对象的类似房地产在同等条件下的价值或价格偏差在合理范围内。</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经济学原理，在同一个市场上相同的商品有相同的价格。因为在同一个市场上如果有两个以上价格不同的相同商品同时存在时，则理性的买者会购买其中价格最低的；或者反过来，如果有两个以上价格相同的相似商品同时存在时，则理性的买者会购买其中效用最大的。卖者为了使其产品能够卖出，相互之间也会进行价格竞争。市场上买者、卖者的这些行为导致的结果，是在相同的商品之间形成相同的价格。</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房地产价格的形成一般也是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的不会接受比市场上相似的房地产正常价格过低的价格。这种相似的房地产之间价格想到牵制的结果，是他们的价格相互接近。</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5、最高最佳利用原则</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遵循最高最佳利用原则</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评估价值应为在估价对象最高最佳利用状况下的价值或价格。</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最高最佳利用必须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合法原则中对估价对象依法利用的要求，但并不意味着符合了合法原则中的其他要求。</w:t>
      </w:r>
    </w:p>
    <w:p>
      <w:pPr>
        <w:pStyle w:val="3"/>
        <w:rPr>
          <w:rFonts w:ascii="宋体" w:hAnsi="宋体" w:eastAsia="宋体" w:cs="宋体"/>
          <w:sz w:val="24"/>
          <w:szCs w:val="24"/>
          <w:shd w:val="clear" w:color="auto" w:fill="FFFFFF"/>
        </w:rPr>
      </w:pPr>
      <w:bookmarkStart w:id="88" w:name="_Toc479587802"/>
      <w:bookmarkStart w:id="89" w:name="_Toc8490015"/>
      <w:bookmarkStart w:id="90" w:name="_Toc301"/>
      <w:bookmarkStart w:id="91" w:name="_Toc24689"/>
      <w:bookmarkStart w:id="92" w:name="_Toc8221"/>
      <w:bookmarkStart w:id="93" w:name="_Toc30113"/>
      <w:bookmarkStart w:id="94" w:name="_Toc22095"/>
      <w:bookmarkStart w:id="95" w:name="_Toc4939"/>
      <w:r>
        <w:rPr>
          <w:rFonts w:ascii="宋体" w:hAnsi="宋体" w:eastAsia="宋体" w:cs="宋体"/>
          <w:sz w:val="24"/>
          <w:szCs w:val="24"/>
          <w:shd w:val="clear" w:color="auto" w:fill="FFFFFF"/>
        </w:rPr>
        <w:t>（八）估价依据</w:t>
      </w:r>
      <w:bookmarkEnd w:id="88"/>
      <w:bookmarkEnd w:id="89"/>
      <w:bookmarkEnd w:id="90"/>
      <w:bookmarkEnd w:id="91"/>
      <w:bookmarkEnd w:id="92"/>
      <w:bookmarkEnd w:id="93"/>
      <w:bookmarkEnd w:id="94"/>
      <w:bookmarkEnd w:id="95"/>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本次评估依据国家、四川省人民政府及其有关部门颁布的法律规定和政策性文件以及评估房地产的具体资料，主要有：</w:t>
      </w:r>
    </w:p>
    <w:p>
      <w:pPr>
        <w:adjustRightInd w:val="0"/>
        <w:snapToGrid w:val="0"/>
        <w:spacing w:line="520" w:lineRule="exact"/>
        <w:ind w:firstLine="480" w:firstLineChars="200"/>
        <w:rPr>
          <w:sz w:val="24"/>
          <w:szCs w:val="24"/>
        </w:rPr>
      </w:pPr>
      <w:r>
        <w:rPr>
          <w:sz w:val="24"/>
          <w:szCs w:val="24"/>
        </w:rPr>
        <w:t>1</w:t>
      </w:r>
      <w:r>
        <w:rPr>
          <w:rFonts w:hint="eastAsia"/>
          <w:sz w:val="24"/>
          <w:szCs w:val="24"/>
        </w:rPr>
        <w:t>、法律、法规、规章和政策文件</w:t>
      </w:r>
    </w:p>
    <w:p>
      <w:pPr>
        <w:adjustRightInd w:val="0"/>
        <w:snapToGrid w:val="0"/>
        <w:spacing w:line="520" w:lineRule="exact"/>
        <w:ind w:firstLine="480" w:firstLineChars="200"/>
        <w:rPr>
          <w:sz w:val="24"/>
          <w:szCs w:val="24"/>
        </w:rPr>
      </w:pPr>
      <w:r>
        <w:rPr>
          <w:sz w:val="24"/>
          <w:szCs w:val="24"/>
        </w:rPr>
        <w:t>（1）《中华人民共和国物权法》（主席令第62号2007年10月1日起实施）；</w:t>
      </w:r>
    </w:p>
    <w:p>
      <w:pPr>
        <w:adjustRightInd w:val="0"/>
        <w:snapToGrid w:val="0"/>
        <w:spacing w:line="520" w:lineRule="exact"/>
        <w:ind w:firstLine="480" w:firstLineChars="200"/>
        <w:rPr>
          <w:sz w:val="24"/>
          <w:szCs w:val="24"/>
        </w:rPr>
      </w:pPr>
      <w:r>
        <w:rPr>
          <w:sz w:val="24"/>
          <w:szCs w:val="24"/>
        </w:rPr>
        <w:t>（</w:t>
      </w:r>
      <w:r>
        <w:rPr>
          <w:rFonts w:hint="eastAsia"/>
          <w:sz w:val="24"/>
          <w:szCs w:val="24"/>
        </w:rPr>
        <w:t>2</w:t>
      </w:r>
      <w:r>
        <w:rPr>
          <w:sz w:val="24"/>
          <w:szCs w:val="24"/>
        </w:rPr>
        <w:t>）《中华人民共和国城市房地产管理法》（</w:t>
      </w:r>
      <w:r>
        <w:rPr>
          <w:rFonts w:hint="eastAsia"/>
          <w:sz w:val="24"/>
          <w:szCs w:val="24"/>
        </w:rPr>
        <w:t>2019</w:t>
      </w:r>
      <w:r>
        <w:rPr>
          <w:sz w:val="24"/>
          <w:szCs w:val="24"/>
        </w:rPr>
        <w:t>年8月</w:t>
      </w:r>
      <w:r>
        <w:rPr>
          <w:rFonts w:hint="eastAsia"/>
          <w:sz w:val="24"/>
          <w:szCs w:val="24"/>
        </w:rPr>
        <w:t>26</w:t>
      </w:r>
      <w:r>
        <w:rPr>
          <w:sz w:val="24"/>
          <w:szCs w:val="24"/>
        </w:rPr>
        <w:t>日修订）；</w:t>
      </w:r>
    </w:p>
    <w:p>
      <w:pPr>
        <w:adjustRightInd w:val="0"/>
        <w:snapToGrid w:val="0"/>
        <w:spacing w:line="520" w:lineRule="exact"/>
        <w:ind w:firstLine="480" w:firstLineChars="200"/>
        <w:rPr>
          <w:rFonts w:hint="eastAsia"/>
          <w:sz w:val="24"/>
          <w:szCs w:val="24"/>
          <w:lang w:eastAsia="zh-CN"/>
        </w:rPr>
      </w:pPr>
      <w:r>
        <w:rPr>
          <w:sz w:val="24"/>
          <w:szCs w:val="24"/>
        </w:rPr>
        <w:t>（</w:t>
      </w:r>
      <w:r>
        <w:rPr>
          <w:rFonts w:hint="eastAsia"/>
          <w:sz w:val="24"/>
          <w:szCs w:val="24"/>
        </w:rPr>
        <w:t>3</w:t>
      </w:r>
      <w:r>
        <w:rPr>
          <w:sz w:val="24"/>
          <w:szCs w:val="24"/>
        </w:rPr>
        <w:t>）《</w:t>
      </w:r>
      <w:r>
        <w:rPr>
          <w:rFonts w:hint="default"/>
          <w:sz w:val="24"/>
          <w:szCs w:val="24"/>
        </w:rPr>
        <w:fldChar w:fldCharType="begin"/>
      </w:r>
      <w:r>
        <w:rPr>
          <w:rFonts w:hint="default"/>
          <w:sz w:val="24"/>
          <w:szCs w:val="24"/>
        </w:rPr>
        <w:instrText xml:space="preserve"> HYPERLINK "https://www.so.com/link?m=aT00/wNjzMs7lvO4V/lE2YNWGZvJvVSyyCqAZSDWbPQNR1vc7MEY9PNBhE5qv7Ph/4aUYmEYelhbeMMhmrj+tr6uI+++kkLpwR92j0N6abthFzHIGGwwJ9t9GyYdM1PEGol12sWI2/CA8QqUVeWpQNgiEKK8hXrrueLa5r4NQ/SUNWwZhwFZ80qDqBso=" \t "https://www.so.com/_blank" </w:instrText>
      </w:r>
      <w:r>
        <w:rPr>
          <w:rFonts w:hint="default"/>
          <w:sz w:val="24"/>
          <w:szCs w:val="24"/>
        </w:rPr>
        <w:fldChar w:fldCharType="separate"/>
      </w:r>
      <w:r>
        <w:rPr>
          <w:rFonts w:hint="default"/>
          <w:sz w:val="24"/>
          <w:szCs w:val="24"/>
        </w:rPr>
        <w:t>中华人民共和国土地管理法》</w:t>
      </w:r>
      <w:r>
        <w:rPr>
          <w:rFonts w:hint="default"/>
          <w:sz w:val="24"/>
          <w:szCs w:val="24"/>
        </w:rPr>
        <w:fldChar w:fldCharType="end"/>
      </w:r>
      <w:r>
        <w:rPr>
          <w:sz w:val="24"/>
          <w:szCs w:val="24"/>
        </w:rPr>
        <w:t>（</w:t>
      </w:r>
      <w:r>
        <w:rPr>
          <w:rFonts w:hint="eastAsia"/>
          <w:sz w:val="24"/>
          <w:szCs w:val="24"/>
        </w:rPr>
        <w:t>2019</w:t>
      </w:r>
      <w:r>
        <w:rPr>
          <w:sz w:val="24"/>
          <w:szCs w:val="24"/>
        </w:rPr>
        <w:t>年8月</w:t>
      </w:r>
      <w:r>
        <w:rPr>
          <w:rFonts w:hint="eastAsia"/>
          <w:sz w:val="24"/>
          <w:szCs w:val="24"/>
        </w:rPr>
        <w:t>26</w:t>
      </w:r>
      <w:r>
        <w:rPr>
          <w:sz w:val="24"/>
          <w:szCs w:val="24"/>
        </w:rPr>
        <w:t>日修订）</w:t>
      </w:r>
      <w:r>
        <w:rPr>
          <w:rFonts w:hint="eastAsia"/>
          <w:sz w:val="24"/>
          <w:szCs w:val="24"/>
          <w:lang w:eastAsia="zh-CN"/>
        </w:rPr>
        <w:t>；</w:t>
      </w:r>
    </w:p>
    <w:p>
      <w:pPr>
        <w:adjustRightInd w:val="0"/>
        <w:snapToGrid w:val="0"/>
        <w:spacing w:line="520" w:lineRule="exact"/>
        <w:ind w:firstLine="480" w:firstLineChars="200"/>
        <w:rPr>
          <w:sz w:val="24"/>
          <w:szCs w:val="24"/>
        </w:rPr>
      </w:pPr>
      <w:r>
        <w:rPr>
          <w:rFonts w:hint="eastAsia"/>
          <w:sz w:val="24"/>
          <w:szCs w:val="24"/>
        </w:rPr>
        <w:t>（4）</w:t>
      </w:r>
      <w:r>
        <w:rPr>
          <w:sz w:val="24"/>
          <w:szCs w:val="24"/>
        </w:rPr>
        <w:t>《中华人民共和国</w:t>
      </w:r>
      <w:r>
        <w:rPr>
          <w:rFonts w:hint="eastAsia"/>
          <w:sz w:val="24"/>
          <w:szCs w:val="24"/>
        </w:rPr>
        <w:t>资产评估</w:t>
      </w:r>
      <w:r>
        <w:rPr>
          <w:sz w:val="24"/>
          <w:szCs w:val="24"/>
        </w:rPr>
        <w:t>法》（主席令12届第46号，自2016年12月1日起施行）</w:t>
      </w:r>
      <w:r>
        <w:rPr>
          <w:rFonts w:hint="eastAsia"/>
          <w:sz w:val="24"/>
          <w:szCs w:val="24"/>
        </w:rPr>
        <w:t>；</w:t>
      </w:r>
    </w:p>
    <w:p>
      <w:pPr>
        <w:adjustRightInd w:val="0"/>
        <w:snapToGrid w:val="0"/>
        <w:spacing w:line="520" w:lineRule="exact"/>
        <w:ind w:firstLine="480" w:firstLineChars="200"/>
        <w:rPr>
          <w:sz w:val="24"/>
          <w:szCs w:val="24"/>
        </w:rPr>
      </w:pPr>
      <w:r>
        <w:rPr>
          <w:rFonts w:hint="eastAsia"/>
          <w:sz w:val="24"/>
          <w:szCs w:val="24"/>
        </w:rPr>
        <w:t>（5）《城市房地产转让管理规定》；</w:t>
      </w:r>
    </w:p>
    <w:p>
      <w:pPr>
        <w:adjustRightInd w:val="0"/>
        <w:snapToGrid w:val="0"/>
        <w:spacing w:line="520" w:lineRule="exact"/>
        <w:ind w:firstLine="480" w:firstLineChars="200"/>
        <w:rPr>
          <w:sz w:val="24"/>
          <w:szCs w:val="24"/>
        </w:rPr>
      </w:pPr>
      <w:r>
        <w:rPr>
          <w:rFonts w:hint="eastAsia"/>
          <w:sz w:val="24"/>
          <w:szCs w:val="24"/>
        </w:rPr>
        <w:t>（6）《全国人民代表大会常务委员会关于司法鉴定管理问题的决定》；</w:t>
      </w:r>
    </w:p>
    <w:p>
      <w:pPr>
        <w:adjustRightInd w:val="0"/>
        <w:snapToGrid w:val="0"/>
        <w:spacing w:line="520" w:lineRule="exact"/>
        <w:ind w:firstLine="480" w:firstLineChars="200"/>
        <w:rPr>
          <w:sz w:val="24"/>
          <w:szCs w:val="24"/>
        </w:rPr>
      </w:pPr>
      <w:r>
        <w:rPr>
          <w:rFonts w:hint="eastAsia"/>
          <w:sz w:val="24"/>
          <w:szCs w:val="24"/>
        </w:rPr>
        <w:t>（7）最高人民法院《关于人民法院委托评估、拍卖和变卖工作的若干规定》（法释〔2009〕16号）；</w:t>
      </w:r>
    </w:p>
    <w:p>
      <w:pPr>
        <w:adjustRightInd w:val="0"/>
        <w:snapToGrid w:val="0"/>
        <w:spacing w:line="520" w:lineRule="exact"/>
        <w:ind w:firstLine="480" w:firstLineChars="200"/>
        <w:rPr>
          <w:sz w:val="24"/>
          <w:szCs w:val="24"/>
        </w:rPr>
      </w:pPr>
      <w:r>
        <w:rPr>
          <w:rFonts w:hint="eastAsia"/>
          <w:sz w:val="24"/>
          <w:szCs w:val="24"/>
        </w:rPr>
        <w:t>（8）《司法鉴定程序通则》；</w:t>
      </w:r>
    </w:p>
    <w:p>
      <w:pPr>
        <w:adjustRightInd w:val="0"/>
        <w:snapToGrid w:val="0"/>
        <w:spacing w:line="520" w:lineRule="exact"/>
        <w:ind w:firstLine="480" w:firstLineChars="200"/>
        <w:rPr>
          <w:sz w:val="24"/>
          <w:szCs w:val="24"/>
        </w:rPr>
      </w:pPr>
      <w:r>
        <w:rPr>
          <w:rFonts w:hint="eastAsia"/>
          <w:sz w:val="24"/>
          <w:szCs w:val="24"/>
        </w:rPr>
        <w:t>（9）关于印发《人民法院委托评估工作规范》的通知（法办〔2018〕273号）</w:t>
      </w:r>
    </w:p>
    <w:p>
      <w:pPr>
        <w:adjustRightInd w:val="0"/>
        <w:snapToGrid w:val="0"/>
        <w:spacing w:line="520" w:lineRule="exact"/>
        <w:ind w:firstLine="480" w:firstLineChars="200"/>
        <w:rPr>
          <w:sz w:val="24"/>
          <w:szCs w:val="24"/>
        </w:rPr>
      </w:pPr>
      <w:r>
        <w:rPr>
          <w:rFonts w:hint="eastAsia"/>
          <w:sz w:val="24"/>
          <w:szCs w:val="24"/>
        </w:rPr>
        <w:t>（10）最高人民法院《关于人民法院确定财产处置参考价若干问题的规定》（法释〔2018〕15号）</w:t>
      </w:r>
    </w:p>
    <w:p>
      <w:pPr>
        <w:adjustRightInd w:val="0"/>
        <w:snapToGrid w:val="0"/>
        <w:spacing w:line="520" w:lineRule="exact"/>
        <w:ind w:firstLine="480" w:firstLineChars="200"/>
        <w:rPr>
          <w:sz w:val="24"/>
          <w:szCs w:val="24"/>
        </w:rPr>
      </w:pPr>
      <w:r>
        <w:rPr>
          <w:rFonts w:hint="eastAsia"/>
          <w:sz w:val="24"/>
          <w:szCs w:val="24"/>
        </w:rPr>
        <w:t>（11）《四川省高级人民法院委托评估、拍卖、变卖管理办法》；</w:t>
      </w:r>
    </w:p>
    <w:p>
      <w:pPr>
        <w:adjustRightInd w:val="0"/>
        <w:snapToGrid w:val="0"/>
        <w:spacing w:line="520" w:lineRule="exact"/>
        <w:ind w:firstLine="480" w:firstLineChars="200"/>
        <w:rPr>
          <w:sz w:val="24"/>
          <w:szCs w:val="24"/>
        </w:rPr>
      </w:pPr>
      <w:r>
        <w:rPr>
          <w:rFonts w:hint="eastAsia"/>
          <w:sz w:val="24"/>
          <w:szCs w:val="24"/>
        </w:rPr>
        <w:t>（12）《四川省高级人民法院委托鉴定管理办法》；</w:t>
      </w:r>
    </w:p>
    <w:p>
      <w:pPr>
        <w:adjustRightInd w:val="0"/>
        <w:snapToGrid w:val="0"/>
        <w:spacing w:line="520" w:lineRule="exact"/>
        <w:ind w:firstLine="480" w:firstLineChars="200"/>
        <w:rPr>
          <w:rFonts w:ascii="Times New Roman" w:hAnsi="Times New Roman" w:eastAsia="宋体" w:cs="Times New Roman"/>
          <w:sz w:val="24"/>
          <w:szCs w:val="24"/>
        </w:rPr>
      </w:pPr>
      <w:r>
        <w:rPr>
          <w:rFonts w:hint="eastAsia"/>
          <w:sz w:val="24"/>
          <w:szCs w:val="24"/>
        </w:rPr>
        <w:t>（13）</w:t>
      </w:r>
      <w:r>
        <w:rPr>
          <w:sz w:val="24"/>
          <w:szCs w:val="24"/>
        </w:rPr>
        <w:t>四川省住房和城乡建设厅关于印发《房地产司法鉴定评估指导意见》（试行）的通知</w:t>
      </w:r>
      <w:r>
        <w:rPr>
          <w:rFonts w:hint="eastAsia"/>
          <w:sz w:val="24"/>
          <w:szCs w:val="24"/>
        </w:rPr>
        <w:t>（</w:t>
      </w:r>
      <w:r>
        <w:rPr>
          <w:sz w:val="24"/>
          <w:szCs w:val="24"/>
        </w:rPr>
        <w:t>川建房发〔2011〕89号</w:t>
      </w:r>
      <w:r>
        <w:rPr>
          <w:rFonts w:hint="eastAsia"/>
          <w:sz w:val="24"/>
          <w:szCs w:val="24"/>
        </w:rPr>
        <w:t>）</w:t>
      </w:r>
      <w:r>
        <w:rPr>
          <w:rFonts w:hint="eastAsia" w:ascii="Times New Roman" w:hAnsi="Times New Roman" w:eastAsia="宋体" w:cs="Times New Roman"/>
          <w:sz w:val="24"/>
          <w:szCs w:val="24"/>
        </w:rPr>
        <w:t>。</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2、技术规程</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（1）《房地产估价规范》（GB/T50291-2015）；</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（2）《房地产估价基本术语标准》（GB/T50899-2013）；</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3、估价委托人</w:t>
      </w:r>
      <w:r>
        <w:rPr>
          <w:rFonts w:hint="eastAsia" w:ascii="Times New Roman" w:hAnsi="Times New Roman" w:eastAsia="宋体" w:cs="Times New Roman"/>
          <w:sz w:val="24"/>
          <w:szCs w:val="24"/>
        </w:rPr>
        <w:t>及</w:t>
      </w:r>
      <w:r>
        <w:rPr>
          <w:rFonts w:hint="eastAsia" w:eastAsia="宋体"/>
          <w:sz w:val="24"/>
          <w:szCs w:val="24"/>
        </w:rPr>
        <w:t>估价委托人提供的</w:t>
      </w:r>
      <w:r>
        <w:rPr>
          <w:rFonts w:ascii="Times New Roman" w:hAnsi="Times New Roman" w:eastAsia="宋体" w:cs="Times New Roman"/>
          <w:sz w:val="24"/>
          <w:szCs w:val="24"/>
        </w:rPr>
        <w:t>资料</w:t>
      </w:r>
    </w:p>
    <w:p>
      <w:pPr>
        <w:adjustRightInd w:val="0"/>
        <w:snapToGrid w:val="0"/>
        <w:spacing w:line="520" w:lineRule="exact"/>
        <w:ind w:firstLine="480" w:firstLineChars="200"/>
        <w:rPr>
          <w:sz w:val="24"/>
          <w:szCs w:val="24"/>
        </w:rPr>
      </w:pPr>
      <w:r>
        <w:rPr>
          <w:rFonts w:hint="eastAsia"/>
          <w:sz w:val="24"/>
          <w:szCs w:val="24"/>
        </w:rPr>
        <w:t>（</w:t>
      </w:r>
      <w:r>
        <w:rPr>
          <w:sz w:val="24"/>
          <w:szCs w:val="24"/>
        </w:rPr>
        <w:t>1</w:t>
      </w:r>
      <w:r>
        <w:rPr>
          <w:rFonts w:hint="eastAsia"/>
          <w:sz w:val="24"/>
          <w:szCs w:val="24"/>
        </w:rPr>
        <w:t>）估价委托人提供的《成都市新都区人民法院司法评估委托书》复印件；</w:t>
      </w:r>
    </w:p>
    <w:p>
      <w:pPr>
        <w:adjustRightInd w:val="0"/>
        <w:snapToGrid w:val="0"/>
        <w:spacing w:line="520" w:lineRule="exact"/>
        <w:ind w:firstLine="480" w:firstLineChars="200"/>
        <w:rPr>
          <w:sz w:val="24"/>
          <w:szCs w:val="24"/>
        </w:rPr>
      </w:pPr>
      <w:r>
        <w:rPr>
          <w:rFonts w:hint="eastAsia"/>
          <w:sz w:val="24"/>
          <w:szCs w:val="24"/>
        </w:rPr>
        <w:t>（</w:t>
      </w:r>
      <w:r>
        <w:rPr>
          <w:sz w:val="24"/>
          <w:szCs w:val="24"/>
        </w:rPr>
        <w:t>2</w:t>
      </w:r>
      <w:r>
        <w:rPr>
          <w:rFonts w:hint="eastAsia"/>
          <w:sz w:val="24"/>
          <w:szCs w:val="24"/>
        </w:rPr>
        <w:t>）估价委托人提供的</w:t>
      </w:r>
      <w:r>
        <w:rPr>
          <w:rFonts w:hint="eastAsia"/>
          <w:sz w:val="24"/>
          <w:szCs w:val="24"/>
          <w:lang w:eastAsia="zh-CN"/>
        </w:rPr>
        <w:t>《成都市不动产登记中心房地产权结果信息一览表》</w:t>
      </w:r>
      <w:r>
        <w:rPr>
          <w:rFonts w:hint="eastAsia"/>
          <w:sz w:val="24"/>
          <w:szCs w:val="24"/>
        </w:rPr>
        <w:t>；</w:t>
      </w:r>
    </w:p>
    <w:p>
      <w:pPr>
        <w:adjustRightInd w:val="0"/>
        <w:snapToGrid w:val="0"/>
        <w:spacing w:line="520" w:lineRule="exact"/>
        <w:ind w:firstLine="480" w:firstLineChars="200"/>
        <w:rPr>
          <w:rFonts w:ascii="Times New Roman" w:hAnsi="Times New Roman" w:eastAsia="宋体" w:cs="Times New Roman"/>
          <w:sz w:val="24"/>
          <w:szCs w:val="24"/>
        </w:rPr>
      </w:pPr>
      <w:r>
        <w:rPr>
          <w:rFonts w:hint="eastAsia"/>
          <w:sz w:val="24"/>
          <w:szCs w:val="24"/>
        </w:rPr>
        <w:t>（3）其他委托人提供的资料</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4、其他资料</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（1）估价人员现场勘察调查获得的实况和资料；</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（2）当地近期房地产市场交易资料及技术参数；</w:t>
      </w:r>
    </w:p>
    <w:p>
      <w:pPr>
        <w:adjustRightInd w:val="0"/>
        <w:snapToGrid w:val="0"/>
        <w:spacing w:line="5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（3）估价机构及估价人员掌握的其他相关信息资料。</w:t>
      </w:r>
    </w:p>
    <w:p>
      <w:pPr>
        <w:pStyle w:val="3"/>
        <w:rPr>
          <w:rFonts w:ascii="宋体" w:hAnsi="宋体" w:eastAsia="宋体" w:cs="宋体"/>
          <w:sz w:val="24"/>
          <w:szCs w:val="24"/>
          <w:shd w:val="clear" w:color="auto" w:fill="FFFFFF"/>
        </w:rPr>
      </w:pPr>
      <w:bookmarkStart w:id="96" w:name="_Toc3893"/>
      <w:bookmarkStart w:id="97" w:name="_Toc479587803"/>
      <w:bookmarkStart w:id="98" w:name="_Toc8490016"/>
      <w:bookmarkStart w:id="99" w:name="_Toc32025"/>
      <w:bookmarkStart w:id="100" w:name="_Toc11834"/>
      <w:bookmarkStart w:id="101" w:name="_Toc8596"/>
      <w:bookmarkStart w:id="102" w:name="_Toc10002"/>
      <w:bookmarkStart w:id="103" w:name="_Toc29329"/>
      <w:r>
        <w:rPr>
          <w:rFonts w:ascii="宋体" w:hAnsi="宋体" w:eastAsia="宋体" w:cs="宋体"/>
          <w:sz w:val="24"/>
          <w:szCs w:val="24"/>
          <w:shd w:val="clear" w:color="auto" w:fill="FFFFFF"/>
        </w:rPr>
        <w:t>（九）估价方法</w:t>
      </w:r>
      <w:bookmarkEnd w:id="96"/>
      <w:bookmarkEnd w:id="97"/>
      <w:bookmarkEnd w:id="98"/>
      <w:bookmarkEnd w:id="99"/>
      <w:bookmarkEnd w:id="100"/>
      <w:bookmarkEnd w:id="101"/>
      <w:bookmarkEnd w:id="102"/>
      <w:bookmarkEnd w:id="103"/>
      <w:r>
        <w:rPr>
          <w:rFonts w:ascii="宋体" w:hAnsi="宋体" w:eastAsia="宋体" w:cs="宋体"/>
          <w:sz w:val="24"/>
          <w:szCs w:val="24"/>
          <w:shd w:val="clear" w:color="auto" w:fill="FFFFFF"/>
        </w:rPr>
        <w:t xml:space="preserve"> </w:t>
      </w:r>
    </w:p>
    <w:p>
      <w:pPr>
        <w:adjustRightInd w:val="0"/>
        <w:snapToGrid w:val="0"/>
        <w:spacing w:line="520" w:lineRule="exact"/>
        <w:ind w:firstLine="480" w:firstLineChars="200"/>
        <w:rPr>
          <w:sz w:val="24"/>
          <w:szCs w:val="24"/>
        </w:rPr>
      </w:pPr>
      <w:r>
        <w:rPr>
          <w:sz w:val="24"/>
          <w:szCs w:val="24"/>
        </w:rPr>
        <w:t>1</w:t>
      </w:r>
      <w:r>
        <w:rPr>
          <w:rFonts w:hint="eastAsia"/>
          <w:sz w:val="24"/>
          <w:szCs w:val="24"/>
        </w:rPr>
        <w:t>、</w:t>
      </w:r>
      <w:r>
        <w:rPr>
          <w:sz w:val="24"/>
          <w:szCs w:val="24"/>
        </w:rPr>
        <w:t>估价技术路线与估价方法的选用</w:t>
      </w:r>
    </w:p>
    <w:p>
      <w:pPr>
        <w:adjustRightInd w:val="0"/>
        <w:snapToGrid w:val="0"/>
        <w:spacing w:line="52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本次估价目的系</w:t>
      </w:r>
      <w:r>
        <w:rPr>
          <w:rFonts w:hint="eastAsia" w:ascii="Times New Roman" w:hAnsi="Times New Roman" w:eastAsia="宋体" w:cs="Times New Roman"/>
          <w:sz w:val="24"/>
          <w:szCs w:val="24"/>
        </w:rPr>
        <w:t>为司法拍卖（变卖）提供房地产市场价值参考依据</w:t>
      </w:r>
      <w:r>
        <w:rPr>
          <w:rFonts w:hint="eastAsia" w:ascii="Times New Roman" w:hAnsi="Times New Roman" w:cs="Times New Roman"/>
          <w:sz w:val="24"/>
          <w:szCs w:val="24"/>
        </w:rPr>
        <w:t>而评估房地产市场价值，其测算技术路径为：</w:t>
      </w:r>
      <w:r>
        <w:rPr>
          <w:rFonts w:hint="eastAsia"/>
          <w:sz w:val="24"/>
          <w:szCs w:val="24"/>
        </w:rPr>
        <w:t>选取三个与估价对象相同结构、相同用途、相似规模、相似档次的</w:t>
      </w:r>
      <w:r>
        <w:rPr>
          <w:color w:val="000000"/>
          <w:sz w:val="24"/>
          <w:szCs w:val="24"/>
        </w:rPr>
        <w:t>类似住宅</w:t>
      </w:r>
      <w:r>
        <w:rPr>
          <w:rFonts w:hint="eastAsia"/>
          <w:sz w:val="24"/>
          <w:szCs w:val="24"/>
        </w:rPr>
        <w:t>可比交易案例作为比较实例，通过对其交易情况、交易时间、区域因素及个别因素进行比较修正后求取估价对象比较价值</w:t>
      </w:r>
      <w:r>
        <w:rPr>
          <w:rFonts w:hint="eastAsia" w:ascii="Times New Roman" w:hAnsi="Times New Roman" w:cs="Times New Roman"/>
          <w:sz w:val="24"/>
          <w:szCs w:val="24"/>
        </w:rPr>
        <w:t>。</w:t>
      </w:r>
    </w:p>
    <w:p>
      <w:pPr>
        <w:adjustRightInd w:val="0"/>
        <w:snapToGrid w:val="0"/>
        <w:spacing w:line="520" w:lineRule="exact"/>
        <w:ind w:firstLine="480" w:firstLineChars="200"/>
        <w:rPr>
          <w:sz w:val="24"/>
          <w:szCs w:val="24"/>
        </w:rPr>
      </w:pPr>
      <w:r>
        <w:rPr>
          <w:rFonts w:hint="eastAsia"/>
          <w:sz w:val="24"/>
          <w:szCs w:val="24"/>
        </w:rPr>
        <w:t>其计算公式为：</w:t>
      </w:r>
    </w:p>
    <w:p>
      <w:pPr>
        <w:snapToGrid w:val="0"/>
        <w:spacing w:line="520" w:lineRule="exact"/>
        <w:ind w:firstLine="480" w:firstLineChars="200"/>
        <w:rPr>
          <w:sz w:val="24"/>
          <w:szCs w:val="24"/>
        </w:rPr>
      </w:pPr>
      <w:r>
        <w:rPr>
          <w:rFonts w:hint="eastAsia"/>
          <w:sz w:val="24"/>
          <w:szCs w:val="24"/>
        </w:rPr>
        <w:t>比较价值</w:t>
      </w:r>
      <w:r>
        <w:rPr>
          <w:sz w:val="24"/>
          <w:szCs w:val="24"/>
        </w:rPr>
        <w:t>=</w:t>
      </w:r>
      <w:r>
        <w:rPr>
          <w:rFonts w:hint="eastAsia"/>
          <w:sz w:val="24"/>
          <w:szCs w:val="24"/>
        </w:rPr>
        <w:t>可比实例房地产的交易价格×交易情况修正系数×市场状况调整系数×房地产状况调整系数</w:t>
      </w:r>
    </w:p>
    <w:p>
      <w:pPr>
        <w:snapToGrid w:val="0"/>
        <w:spacing w:line="520" w:lineRule="exact"/>
        <w:ind w:firstLine="480" w:firstLineChars="200"/>
        <w:rPr>
          <w:sz w:val="24"/>
          <w:szCs w:val="24"/>
        </w:rPr>
      </w:pPr>
      <w:r>
        <w:rPr>
          <w:rFonts w:hint="eastAsia"/>
          <w:sz w:val="24"/>
          <w:szCs w:val="24"/>
        </w:rPr>
        <w:t>估价对象评估价格</w:t>
      </w:r>
      <w:r>
        <w:rPr>
          <w:sz w:val="24"/>
          <w:szCs w:val="24"/>
        </w:rPr>
        <w:t>=</w:t>
      </w:r>
      <w:r>
        <w:rPr>
          <w:rFonts w:hint="eastAsia"/>
          <w:sz w:val="24"/>
          <w:szCs w:val="24"/>
        </w:rPr>
        <w:t>比较价值</w:t>
      </w:r>
      <w:r>
        <w:rPr>
          <w:sz w:val="24"/>
          <w:szCs w:val="24"/>
        </w:rPr>
        <w:t>×</w:t>
      </w:r>
      <w:r>
        <w:rPr>
          <w:rFonts w:hint="eastAsia"/>
          <w:sz w:val="24"/>
          <w:szCs w:val="24"/>
        </w:rPr>
        <w:t>建筑面积</w:t>
      </w:r>
    </w:p>
    <w:p>
      <w:pPr>
        <w:adjustRightInd w:val="0"/>
        <w:snapToGrid w:val="0"/>
        <w:spacing w:line="52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房地产估价的常用方法有比较法、收益法、假设开发法、成本法等。估价方法的选用应按照中华人民共和国国家标准《房地产估价规范》，根据当地该类资产市场发育状况，并结合该项目的具体特点及估价目的等，选择适当的估价方法。估价对象规划用途为其他用房，</w:t>
      </w:r>
      <w:r>
        <w:rPr>
          <w:rFonts w:hint="eastAsia"/>
          <w:sz w:val="24"/>
          <w:szCs w:val="24"/>
        </w:rPr>
        <w:t>经估价人员现场查勘估价对象</w:t>
      </w:r>
      <w:r>
        <w:rPr>
          <w:rFonts w:hint="eastAsia"/>
          <w:sz w:val="24"/>
          <w:szCs w:val="24"/>
          <w:lang w:eastAsia="zh-CN"/>
        </w:rPr>
        <w:t>位于青江馨苑住宅小区内，目前空置，为住宅格局及装修</w:t>
      </w:r>
      <w:r>
        <w:rPr>
          <w:rFonts w:hint="eastAsia" w:ascii="Times New Roman" w:hAnsi="Times New Roman" w:cs="Times New Roman"/>
          <w:sz w:val="24"/>
          <w:szCs w:val="24"/>
        </w:rPr>
        <w:t>。</w:t>
      </w:r>
      <w:r>
        <w:rPr>
          <w:rFonts w:hint="eastAsia"/>
          <w:sz w:val="24"/>
          <w:szCs w:val="24"/>
          <w:lang w:eastAsia="zh-CN"/>
        </w:rPr>
        <w:t>本次评估以其为住宅用途为前提进行估价</w:t>
      </w:r>
      <w:r>
        <w:rPr>
          <w:rFonts w:hint="eastAsia" w:ascii="Times New Roman" w:hAnsi="Times New Roman" w:cs="Times New Roman"/>
          <w:sz w:val="24"/>
          <w:szCs w:val="24"/>
        </w:rPr>
        <w:t>。</w:t>
      </w:r>
    </w:p>
    <w:p>
      <w:pPr>
        <w:adjustRightInd w:val="0"/>
        <w:snapToGrid w:val="0"/>
        <w:spacing w:line="52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）比较法是选取一定数量的可比案例，将他们与估价对象进行比较，根据其间的差异对可比实例成交价格进行处理后得到估价对象价值或价格的方法</w:t>
      </w:r>
      <w:r>
        <w:rPr>
          <w:rFonts w:ascii="Times New Roman" w:hAnsi="Times New Roman" w:cs="Times New Roman"/>
          <w:sz w:val="24"/>
          <w:szCs w:val="24"/>
        </w:rPr>
        <w:t>。</w:t>
      </w:r>
      <w:r>
        <w:rPr>
          <w:rFonts w:hint="eastAsia"/>
          <w:color w:val="000000"/>
          <w:sz w:val="24"/>
          <w:szCs w:val="24"/>
        </w:rPr>
        <w:t>估价对象所在</w:t>
      </w:r>
      <w:r>
        <w:rPr>
          <w:color w:val="000000"/>
          <w:sz w:val="24"/>
          <w:szCs w:val="24"/>
        </w:rPr>
        <w:t>区域内类似住宅物业市场交易</w:t>
      </w:r>
      <w:r>
        <w:rPr>
          <w:rFonts w:hint="eastAsia"/>
          <w:color w:val="000000"/>
          <w:sz w:val="24"/>
          <w:szCs w:val="24"/>
        </w:rPr>
        <w:t>较</w:t>
      </w:r>
      <w:r>
        <w:rPr>
          <w:color w:val="000000"/>
          <w:sz w:val="24"/>
          <w:szCs w:val="24"/>
        </w:rPr>
        <w:t>活跃，易于获取比较案例，故本次评估</w:t>
      </w:r>
      <w:r>
        <w:rPr>
          <w:rFonts w:hint="eastAsia"/>
          <w:color w:val="000000"/>
          <w:sz w:val="24"/>
          <w:szCs w:val="24"/>
        </w:rPr>
        <w:t>估价对象</w:t>
      </w:r>
      <w:r>
        <w:rPr>
          <w:color w:val="000000"/>
          <w:sz w:val="24"/>
          <w:szCs w:val="24"/>
        </w:rPr>
        <w:t>宜采用比较法</w:t>
      </w:r>
      <w:r>
        <w:rPr>
          <w:rFonts w:hint="eastAsia" w:ascii="Times New Roman" w:hAnsi="Times New Roman" w:cs="Times New Roman"/>
          <w:sz w:val="24"/>
          <w:szCs w:val="24"/>
        </w:rPr>
        <w:t>。</w:t>
      </w:r>
    </w:p>
    <w:p>
      <w:pPr>
        <w:adjustRightInd w:val="0"/>
        <w:snapToGrid w:val="0"/>
        <w:spacing w:line="520" w:lineRule="exact"/>
        <w:ind w:firstLine="480" w:firstLineChars="200"/>
        <w:rPr>
          <w:sz w:val="24"/>
          <w:szCs w:val="24"/>
        </w:rPr>
      </w:pPr>
      <w:r>
        <w:rPr>
          <w:rFonts w:hint="eastAsia" w:ascii="Times New Roman" w:hAnsi="Times New Roman" w:cs="Times New Roman"/>
          <w:sz w:val="24"/>
          <w:szCs w:val="24"/>
        </w:rPr>
        <w:t>（</w:t>
      </w:r>
      <w:r>
        <w:rPr>
          <w:sz w:val="24"/>
          <w:szCs w:val="24"/>
        </w:rPr>
        <w:t>2</w:t>
      </w:r>
      <w:r>
        <w:rPr>
          <w:rFonts w:hint="eastAsia"/>
          <w:sz w:val="24"/>
          <w:szCs w:val="24"/>
        </w:rPr>
        <w:t>）</w:t>
      </w:r>
      <w:r>
        <w:rPr>
          <w:sz w:val="24"/>
          <w:szCs w:val="24"/>
        </w:rPr>
        <w:t>收益法是指预测估价对象未来收益，利用报酬率或资本化率、收益乘数将未来收益转换为价值得到估价价值或价格的方法。</w:t>
      </w:r>
      <w:r>
        <w:rPr>
          <w:rFonts w:hint="eastAsia"/>
          <w:sz w:val="24"/>
          <w:szCs w:val="24"/>
        </w:rPr>
        <w:t>估价对象所在区域虽然有市场租赁案例，但住宅用房租金受套型、面积、是否包含家具家电等多因素影响，确定其客观租金的难度较大，且目前住宅用房租售比严重失衡，故此次评估估价对象不宜采用收益法。</w:t>
      </w:r>
    </w:p>
    <w:p>
      <w:pPr>
        <w:adjustRightInd w:val="0"/>
        <w:snapToGrid w:val="0"/>
        <w:spacing w:line="520" w:lineRule="exact"/>
        <w:ind w:firstLine="480" w:firstLineChars="200"/>
        <w:rPr>
          <w:sz w:val="24"/>
          <w:szCs w:val="24"/>
        </w:rPr>
      </w:pPr>
      <w:r>
        <w:rPr>
          <w:rFonts w:hint="eastAsia"/>
          <w:sz w:val="24"/>
          <w:szCs w:val="24"/>
        </w:rPr>
        <w:t>（</w:t>
      </w:r>
      <w:r>
        <w:rPr>
          <w:sz w:val="24"/>
          <w:szCs w:val="24"/>
        </w:rPr>
        <w:t>3</w:t>
      </w:r>
      <w:r>
        <w:rPr>
          <w:rFonts w:hint="eastAsia"/>
          <w:sz w:val="24"/>
          <w:szCs w:val="24"/>
        </w:rPr>
        <w:t>）</w:t>
      </w:r>
      <w:r>
        <w:rPr>
          <w:sz w:val="24"/>
          <w:szCs w:val="24"/>
        </w:rPr>
        <w:t>成本法适用于无市场依据或市场依据不充分而不宜采用比较法、收益法、假设开发法进行估价的情况下的房地产估价，是在求取估价对象在价值时点的重置价格或重建价格基础上，扣除折旧，以此估算估价对象的客观合理价格或价值的方法</w:t>
      </w:r>
      <w:r>
        <w:rPr>
          <w:rFonts w:hint="eastAsia"/>
          <w:sz w:val="24"/>
          <w:szCs w:val="24"/>
        </w:rPr>
        <w:t>。</w:t>
      </w:r>
      <w:r>
        <w:rPr>
          <w:sz w:val="24"/>
          <w:szCs w:val="24"/>
        </w:rPr>
        <w:t>估价对象</w:t>
      </w:r>
      <w:r>
        <w:rPr>
          <w:rFonts w:hint="eastAsia"/>
          <w:sz w:val="24"/>
          <w:szCs w:val="24"/>
        </w:rPr>
        <w:t>为住宅用房，</w:t>
      </w:r>
      <w:r>
        <w:rPr>
          <w:sz w:val="24"/>
          <w:szCs w:val="24"/>
        </w:rPr>
        <w:t>位于城市建成区，房地产市场发育良好，成本溢价较高，不宜采用成本法进行估价</w:t>
      </w:r>
      <w:r>
        <w:rPr>
          <w:rFonts w:hint="eastAsia"/>
          <w:sz w:val="24"/>
          <w:szCs w:val="24"/>
        </w:rPr>
        <w:t>。</w:t>
      </w:r>
    </w:p>
    <w:p>
      <w:pPr>
        <w:adjustRightInd w:val="0"/>
        <w:snapToGrid w:val="0"/>
        <w:spacing w:line="520" w:lineRule="exact"/>
        <w:ind w:firstLine="480" w:firstLineChars="200"/>
        <w:rPr>
          <w:sz w:val="24"/>
          <w:szCs w:val="24"/>
        </w:rPr>
      </w:pPr>
      <w:r>
        <w:rPr>
          <w:rFonts w:hint="eastAsia"/>
          <w:sz w:val="24"/>
          <w:szCs w:val="24"/>
        </w:rPr>
        <w:t>（</w:t>
      </w:r>
      <w:r>
        <w:rPr>
          <w:sz w:val="24"/>
          <w:szCs w:val="24"/>
        </w:rPr>
        <w:t>4</w:t>
      </w:r>
      <w:r>
        <w:rPr>
          <w:rFonts w:hint="eastAsia"/>
          <w:sz w:val="24"/>
          <w:szCs w:val="24"/>
        </w:rPr>
        <w:t>）</w:t>
      </w:r>
      <w:r>
        <w:rPr>
          <w:sz w:val="24"/>
          <w:szCs w:val="24"/>
        </w:rPr>
        <w:t>假设开发法适用于具有开发和再开发潜力的房地产，主要用于在建工程或待开发房地产的评估。而估价对象为已经建成投入使用房地产物业，其最高最佳利用方式为维持现状，不具备重新开发的条件，因此本次估价不宜采用假设开发法。</w:t>
      </w:r>
    </w:p>
    <w:p>
      <w:pPr>
        <w:adjustRightInd w:val="0"/>
        <w:snapToGrid w:val="0"/>
        <w:spacing w:line="520" w:lineRule="exact"/>
        <w:ind w:firstLine="480" w:firstLineChars="200"/>
        <w:rPr>
          <w:sz w:val="24"/>
          <w:szCs w:val="24"/>
        </w:rPr>
      </w:pPr>
      <w:r>
        <w:rPr>
          <w:sz w:val="24"/>
          <w:szCs w:val="24"/>
        </w:rPr>
        <w:t>综上所述，根据当地该类</w:t>
      </w:r>
      <w:r>
        <w:rPr>
          <w:rFonts w:hint="eastAsia"/>
          <w:sz w:val="24"/>
          <w:szCs w:val="24"/>
        </w:rPr>
        <w:t>房地产</w:t>
      </w:r>
      <w:r>
        <w:rPr>
          <w:sz w:val="24"/>
          <w:szCs w:val="24"/>
        </w:rPr>
        <w:t>市场发育状况，并结合该项目的具体特点及估价目的等，本次估价</w:t>
      </w:r>
      <w:r>
        <w:rPr>
          <w:rFonts w:hint="eastAsia"/>
          <w:sz w:val="24"/>
          <w:szCs w:val="24"/>
        </w:rPr>
        <w:t>对象选用比较法进行评估。</w:t>
      </w:r>
    </w:p>
    <w:p>
      <w:pPr>
        <w:pStyle w:val="19"/>
        <w:tabs>
          <w:tab w:val="left" w:pos="105"/>
        </w:tabs>
        <w:snapToGrid w:val="0"/>
        <w:spacing w:line="520" w:lineRule="exact"/>
        <w:ind w:firstLine="480" w:firstLineChars="200"/>
        <w:rPr>
          <w:rFonts w:ascii="Times New Roman" w:hAnsi="Times New Roman"/>
          <w:szCs w:val="24"/>
        </w:rPr>
      </w:pPr>
      <w:r>
        <w:rPr>
          <w:rFonts w:hint="eastAsia" w:ascii="Times New Roman" w:hAnsi="Times New Roman"/>
          <w:szCs w:val="24"/>
        </w:rPr>
        <w:t>2、</w:t>
      </w:r>
      <w:r>
        <w:rPr>
          <w:rFonts w:ascii="Times New Roman" w:hAnsi="Times New Roman"/>
          <w:szCs w:val="24"/>
        </w:rPr>
        <w:t>估价方法定义及公式</w:t>
      </w:r>
    </w:p>
    <w:p>
      <w:pPr>
        <w:adjustRightInd w:val="0"/>
        <w:snapToGrid w:val="0"/>
        <w:spacing w:line="520" w:lineRule="exact"/>
        <w:ind w:firstLine="480" w:firstLineChars="200"/>
        <w:rPr>
          <w:sz w:val="24"/>
          <w:szCs w:val="24"/>
        </w:rPr>
      </w:pPr>
      <w:bookmarkStart w:id="104" w:name="_Toc27528"/>
      <w:bookmarkStart w:id="105" w:name="_Toc479587804"/>
      <w:r>
        <w:rPr>
          <w:rFonts w:hint="eastAsia"/>
          <w:sz w:val="24"/>
          <w:szCs w:val="24"/>
        </w:rPr>
        <w:t>比较法的定义为：选取一定数量的可比案例，将他们与估价对象进行比较，根据其间的差异对可比实例成交价格进行处理后得到估价对象价值或价格的方法。</w:t>
      </w:r>
    </w:p>
    <w:p>
      <w:pPr>
        <w:adjustRightInd w:val="0"/>
        <w:snapToGrid w:val="0"/>
        <w:spacing w:line="520" w:lineRule="exact"/>
        <w:ind w:firstLine="480" w:firstLineChars="200"/>
        <w:rPr>
          <w:sz w:val="24"/>
          <w:szCs w:val="24"/>
        </w:rPr>
      </w:pPr>
      <w:r>
        <w:rPr>
          <w:rFonts w:hint="eastAsia"/>
          <w:sz w:val="24"/>
          <w:szCs w:val="24"/>
        </w:rPr>
        <w:t>步骤：①搜集交易实例；②选取可比实例；③建立比较基础；④进行交易情况修正；⑤进行市场状况调整；⑥进行房地产状况调整；⑦计算比较价值。</w:t>
      </w:r>
    </w:p>
    <w:p>
      <w:pPr>
        <w:adjustRightInd w:val="0"/>
        <w:snapToGrid w:val="0"/>
        <w:spacing w:line="520" w:lineRule="exact"/>
        <w:ind w:firstLine="480" w:firstLineChars="200"/>
        <w:rPr>
          <w:sz w:val="24"/>
          <w:szCs w:val="24"/>
        </w:rPr>
      </w:pPr>
      <w:r>
        <w:rPr>
          <w:rFonts w:hint="eastAsia"/>
          <w:sz w:val="24"/>
          <w:szCs w:val="24"/>
        </w:rPr>
        <w:t>公式：比较价值</w:t>
      </w:r>
      <w:r>
        <w:rPr>
          <w:sz w:val="24"/>
          <w:szCs w:val="24"/>
        </w:rPr>
        <w:t>=</w:t>
      </w:r>
      <w:r>
        <w:rPr>
          <w:rFonts w:hint="eastAsia"/>
          <w:sz w:val="24"/>
          <w:szCs w:val="24"/>
        </w:rPr>
        <w:t>可比实例房地产的交易价格×交易情况修正系数×市场状况调整系数×房地产状况调整系数</w:t>
      </w:r>
    </w:p>
    <w:p>
      <w:pPr>
        <w:pStyle w:val="3"/>
        <w:rPr>
          <w:rFonts w:ascii="宋体" w:hAnsi="宋体" w:eastAsia="宋体" w:cs="宋体"/>
          <w:sz w:val="24"/>
          <w:szCs w:val="24"/>
          <w:shd w:val="clear" w:color="auto" w:fill="FFFFFF"/>
        </w:rPr>
      </w:pPr>
      <w:bookmarkStart w:id="106" w:name="_Toc28147"/>
      <w:bookmarkStart w:id="107" w:name="_Toc941"/>
      <w:bookmarkStart w:id="108" w:name="_Toc27739"/>
      <w:bookmarkStart w:id="109" w:name="_Toc8490017"/>
      <w:bookmarkStart w:id="110" w:name="_Toc12411"/>
      <w:bookmarkStart w:id="111" w:name="_Toc21842"/>
      <w:r>
        <w:rPr>
          <w:rFonts w:ascii="宋体" w:hAnsi="宋体" w:eastAsia="宋体" w:cs="宋体"/>
          <w:sz w:val="24"/>
          <w:szCs w:val="24"/>
          <w:shd w:val="clear" w:color="auto" w:fill="FFFFFF"/>
        </w:rPr>
        <w:t>（十）估价结果</w:t>
      </w:r>
      <w:bookmarkEnd w:id="104"/>
      <w:bookmarkEnd w:id="105"/>
      <w:bookmarkEnd w:id="106"/>
      <w:bookmarkEnd w:id="107"/>
      <w:bookmarkEnd w:id="108"/>
      <w:bookmarkEnd w:id="109"/>
      <w:bookmarkEnd w:id="110"/>
      <w:bookmarkEnd w:id="111"/>
    </w:p>
    <w:p>
      <w:pPr>
        <w:spacing w:line="360" w:lineRule="auto"/>
        <w:ind w:firstLine="482" w:firstLineChars="200"/>
        <w:rPr>
          <w:rFonts w:ascii="Times New Roman" w:hAnsi="Times New Roman" w:eastAsia="宋体" w:cs="Times New Roman"/>
          <w:sz w:val="24"/>
          <w:szCs w:val="24"/>
        </w:rPr>
      </w:pPr>
      <w:bookmarkStart w:id="112" w:name="_Toc29131"/>
      <w:bookmarkStart w:id="113" w:name="_Toc479587805"/>
      <w:r>
        <w:rPr>
          <w:rFonts w:ascii="Times New Roman" w:hAnsi="Times New Roman" w:eastAsia="宋体" w:cs="Times New Roman"/>
          <w:b/>
          <w:sz w:val="24"/>
          <w:szCs w:val="24"/>
        </w:rPr>
        <w:t>估价结果</w:t>
      </w:r>
      <w:r>
        <w:rPr>
          <w:rFonts w:ascii="Times New Roman" w:hAnsi="Times New Roman" w:eastAsia="宋体" w:cs="Times New Roman"/>
          <w:sz w:val="24"/>
          <w:szCs w:val="24"/>
        </w:rPr>
        <w:t>：</w:t>
      </w:r>
      <w:r>
        <w:rPr>
          <w:rFonts w:hint="eastAsia" w:ascii="宋体" w:hAnsi="宋体" w:eastAsia="宋体" w:cs="宋体"/>
          <w:sz w:val="24"/>
          <w:szCs w:val="24"/>
        </w:rPr>
        <w:t>估价对象在价值时点并满足本报告所述价值定义的市场价值为</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币    种：人民币</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评估单价：</w:t>
      </w:r>
      <w:r>
        <w:rPr>
          <w:rFonts w:ascii="Times New Roman" w:hAnsi="Times New Roman" w:eastAsia="宋体" w:cs="Times New Roman"/>
          <w:sz w:val="24"/>
          <w:szCs w:val="24"/>
        </w:rPr>
        <w:t>人民币（小写</w:t>
      </w:r>
      <w:r>
        <w:rPr>
          <w:rFonts w:hint="eastAsia" w:ascii="Times New Roman" w:hAnsi="Times New Roman" w:eastAsia="宋体" w:cs="Times New Roman"/>
          <w:sz w:val="24"/>
          <w:szCs w:val="24"/>
        </w:rPr>
        <w:t>）5180元/平方米（拾位取整）</w:t>
      </w:r>
    </w:p>
    <w:p>
      <w:pPr>
        <w:spacing w:line="360" w:lineRule="auto"/>
        <w:ind w:firstLine="1680" w:firstLineChars="700"/>
        <w:rPr>
          <w:rFonts w:ascii="Times New Roman" w:hAnsi="Times New Roman" w:eastAsia="宋体" w:cs="Times New Roman"/>
          <w:sz w:val="24"/>
          <w:szCs w:val="24"/>
        </w:rPr>
      </w:pPr>
      <w:r>
        <w:rPr>
          <w:rFonts w:ascii="Times New Roman" w:hAnsi="Times New Roman" w:eastAsia="宋体" w:cs="Times New Roman"/>
          <w:sz w:val="24"/>
          <w:szCs w:val="24"/>
        </w:rPr>
        <w:t>人民币（大写）</w:t>
      </w:r>
      <w:r>
        <w:rPr>
          <w:rFonts w:hint="eastAsia" w:ascii="Times New Roman" w:hAnsi="Times New Roman" w:eastAsia="宋体" w:cs="Times New Roman"/>
          <w:b/>
          <w:sz w:val="24"/>
          <w:szCs w:val="24"/>
        </w:rPr>
        <w:t>伍仟壹佰捌拾元整</w:t>
      </w:r>
    </w:p>
    <w:p>
      <w:pPr>
        <w:spacing w:line="360" w:lineRule="auto"/>
        <w:ind w:firstLine="458" w:firstLineChars="191"/>
        <w:rPr>
          <w:rFonts w:ascii="Times New Roman" w:hAnsi="Times New Roman" w:eastAsia="宋体" w:cs="Times New Roman"/>
          <w:sz w:val="24"/>
          <w:szCs w:val="24"/>
        </w:rPr>
      </w:pPr>
      <w:r>
        <w:rPr>
          <w:rFonts w:ascii="Times New Roman" w:hAnsi="Times New Roman" w:eastAsia="宋体" w:cs="Times New Roman"/>
          <w:sz w:val="24"/>
          <w:szCs w:val="24"/>
        </w:rPr>
        <w:t>评估总价：人民币（小写</w:t>
      </w:r>
      <w:r>
        <w:rPr>
          <w:rFonts w:hint="eastAsia" w:ascii="Times New Roman" w:hAnsi="Times New Roman" w:eastAsia="宋体" w:cs="Times New Roman"/>
          <w:sz w:val="24"/>
          <w:szCs w:val="24"/>
        </w:rPr>
        <w:t>）57.09万元（佰位取整）</w:t>
      </w:r>
    </w:p>
    <w:p>
      <w:pPr>
        <w:spacing w:line="360" w:lineRule="auto"/>
        <w:ind w:firstLine="1680" w:firstLineChars="700"/>
        <w:jc w:val="left"/>
        <w:rPr>
          <w:rFonts w:ascii="Times New Roman" w:hAnsi="Times New Roman" w:eastAsia="宋体" w:cs="Times New Roman"/>
          <w:sz w:val="24"/>
          <w:szCs w:val="24"/>
        </w:rPr>
      </w:pPr>
      <w:r>
        <w:rPr>
          <w:rFonts w:ascii="Times New Roman" w:hAnsi="Times New Roman" w:eastAsia="宋体" w:cs="Times New Roman"/>
          <w:sz w:val="24"/>
          <w:szCs w:val="24"/>
        </w:rPr>
        <w:t>人民币（大写）</w:t>
      </w:r>
      <w:r>
        <w:rPr>
          <w:rFonts w:ascii="Times New Roman" w:hAnsi="Times New Roman" w:eastAsia="宋体" w:cs="Times New Roman"/>
          <w:b/>
          <w:bCs/>
          <w:sz w:val="24"/>
          <w:szCs w:val="24"/>
        </w:rPr>
        <w:t>伍拾柒万零玖佰元整</w:t>
      </w:r>
    </w:p>
    <w:p>
      <w:pPr>
        <w:spacing w:line="360" w:lineRule="auto"/>
        <w:jc w:val="center"/>
        <w:rPr>
          <w:rFonts w:ascii="宋体" w:hAnsi="宋体" w:eastAsia="宋体" w:cs="宋体"/>
          <w:b/>
          <w:bCs/>
          <w:sz w:val="24"/>
          <w:szCs w:val="24"/>
        </w:rPr>
      </w:pPr>
      <w:r>
        <w:rPr>
          <w:rFonts w:hint="eastAsia"/>
          <w:b/>
          <w:sz w:val="24"/>
          <w:szCs w:val="24"/>
        </w:rPr>
        <w:t>估价结果一览表</w:t>
      </w:r>
    </w:p>
    <w:tbl>
      <w:tblPr>
        <w:tblStyle w:val="38"/>
        <w:tblW w:w="9255" w:type="dxa"/>
        <w:jc w:val="center"/>
        <w:tblLayout w:type="fixed"/>
        <w:tblCellMar>
          <w:top w:w="0" w:type="dxa"/>
          <w:left w:w="28" w:type="dxa"/>
          <w:bottom w:w="0" w:type="dxa"/>
          <w:right w:w="28" w:type="dxa"/>
        </w:tblCellMar>
      </w:tblPr>
      <w:tblGrid>
        <w:gridCol w:w="1760"/>
        <w:gridCol w:w="807"/>
        <w:gridCol w:w="2412"/>
        <w:gridCol w:w="844"/>
        <w:gridCol w:w="845"/>
        <w:gridCol w:w="829"/>
        <w:gridCol w:w="798"/>
        <w:gridCol w:w="960"/>
      </w:tblGrid>
      <w:tr>
        <w:tblPrEx>
          <w:tblCellMar>
            <w:top w:w="0" w:type="dxa"/>
            <w:left w:w="28" w:type="dxa"/>
            <w:bottom w:w="0" w:type="dxa"/>
            <w:right w:w="28" w:type="dxa"/>
          </w:tblCellMar>
        </w:tblPrEx>
        <w:trPr>
          <w:trHeight w:val="20" w:hRule="atLeast"/>
          <w:jc w:val="center"/>
        </w:trPr>
        <w:tc>
          <w:tcPr>
            <w:tcW w:w="1760" w:type="dxa"/>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bookmarkStart w:id="114" w:name="_Toc8490018"/>
            <w:r>
              <w:rPr>
                <w:rFonts w:hint="eastAsia" w:ascii="宋体" w:hAnsi="宋体" w:eastAsia="宋体"/>
                <w:b/>
                <w:bCs/>
                <w:sz w:val="16"/>
                <w:szCs w:val="16"/>
              </w:rPr>
              <w:t>不动产权证书号</w:t>
            </w:r>
          </w:p>
        </w:tc>
        <w:tc>
          <w:tcPr>
            <w:tcW w:w="80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r>
              <w:rPr>
                <w:rFonts w:hint="eastAsia" w:ascii="宋体" w:hAnsi="宋体" w:eastAsia="宋体"/>
                <w:b/>
                <w:bCs/>
                <w:sz w:val="16"/>
                <w:szCs w:val="16"/>
              </w:rPr>
              <w:t>房屋</w:t>
            </w:r>
          </w:p>
          <w:p>
            <w:pPr>
              <w:spacing w:line="240" w:lineRule="exact"/>
              <w:jc w:val="center"/>
              <w:rPr>
                <w:rFonts w:ascii="宋体" w:hAnsi="宋体" w:eastAsia="宋体"/>
                <w:b/>
                <w:bCs/>
                <w:sz w:val="16"/>
                <w:szCs w:val="16"/>
              </w:rPr>
            </w:pPr>
            <w:r>
              <w:rPr>
                <w:rFonts w:hint="eastAsia" w:ascii="宋体" w:hAnsi="宋体" w:eastAsia="宋体"/>
                <w:b/>
                <w:bCs/>
                <w:sz w:val="16"/>
                <w:szCs w:val="16"/>
              </w:rPr>
              <w:t>所有权人</w:t>
            </w:r>
          </w:p>
        </w:tc>
        <w:tc>
          <w:tcPr>
            <w:tcW w:w="24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b/>
                <w:bCs/>
                <w:sz w:val="16"/>
                <w:szCs w:val="16"/>
              </w:rPr>
            </w:pPr>
            <w:r>
              <w:rPr>
                <w:rFonts w:hint="eastAsia" w:ascii="宋体" w:hAnsi="宋体" w:eastAsia="宋体"/>
                <w:b/>
                <w:bCs/>
                <w:sz w:val="16"/>
                <w:szCs w:val="16"/>
              </w:rPr>
              <w:t>坐落</w:t>
            </w:r>
          </w:p>
        </w:tc>
        <w:tc>
          <w:tcPr>
            <w:tcW w:w="8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r>
              <w:rPr>
                <w:rFonts w:hint="eastAsia" w:ascii="宋体" w:hAnsi="宋体" w:eastAsia="宋体"/>
                <w:b/>
                <w:bCs/>
                <w:sz w:val="16"/>
                <w:szCs w:val="16"/>
              </w:rPr>
              <w:t>规划用途</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r>
              <w:rPr>
                <w:rFonts w:hint="eastAsia" w:ascii="宋体" w:hAnsi="宋体" w:eastAsia="宋体"/>
                <w:b/>
                <w:bCs/>
                <w:sz w:val="16"/>
                <w:szCs w:val="16"/>
              </w:rPr>
              <w:t>实际用途</w:t>
            </w:r>
          </w:p>
        </w:tc>
        <w:tc>
          <w:tcPr>
            <w:tcW w:w="8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r>
              <w:rPr>
                <w:rFonts w:hint="eastAsia" w:ascii="宋体" w:hAnsi="宋体" w:eastAsia="宋体"/>
                <w:b/>
                <w:bCs/>
                <w:sz w:val="16"/>
                <w:szCs w:val="16"/>
              </w:rPr>
              <w:t>建筑面积（㎡）</w:t>
            </w:r>
          </w:p>
        </w:tc>
        <w:tc>
          <w:tcPr>
            <w:tcW w:w="79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r>
              <w:rPr>
                <w:rFonts w:hint="eastAsia" w:ascii="宋体" w:hAnsi="宋体" w:eastAsia="宋体"/>
                <w:b/>
                <w:bCs/>
                <w:sz w:val="16"/>
                <w:szCs w:val="16"/>
              </w:rPr>
              <w:t>评估单价（元/㎡）</w:t>
            </w:r>
          </w:p>
        </w:tc>
        <w:tc>
          <w:tcPr>
            <w:tcW w:w="9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bCs/>
                <w:sz w:val="16"/>
                <w:szCs w:val="16"/>
              </w:rPr>
            </w:pPr>
            <w:r>
              <w:rPr>
                <w:rFonts w:hint="eastAsia" w:ascii="宋体" w:hAnsi="宋体" w:eastAsia="宋体"/>
                <w:b/>
                <w:bCs/>
                <w:sz w:val="16"/>
                <w:szCs w:val="16"/>
              </w:rPr>
              <w:t>评估价值（万元）</w:t>
            </w:r>
          </w:p>
        </w:tc>
      </w:tr>
      <w:tr>
        <w:tblPrEx>
          <w:tblCellMar>
            <w:top w:w="0" w:type="dxa"/>
            <w:left w:w="28" w:type="dxa"/>
            <w:bottom w:w="0" w:type="dxa"/>
            <w:right w:w="28" w:type="dxa"/>
          </w:tblCellMar>
        </w:tblPrEx>
        <w:trPr>
          <w:trHeight w:val="20" w:hRule="atLeast"/>
          <w:jc w:val="center"/>
        </w:trPr>
        <w:tc>
          <w:tcPr>
            <w:tcW w:w="1760" w:type="dxa"/>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证监0360258，青国用（2006）第04011号</w:t>
            </w:r>
          </w:p>
        </w:tc>
        <w:tc>
          <w:tcPr>
            <w:tcW w:w="80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徐贵川</w:t>
            </w:r>
          </w:p>
        </w:tc>
        <w:tc>
          <w:tcPr>
            <w:tcW w:w="24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sz w:val="16"/>
                <w:szCs w:val="16"/>
              </w:rPr>
            </w:pPr>
            <w:r>
              <w:rPr>
                <w:rFonts w:hint="eastAsia" w:ascii="宋体" w:hAnsi="宋体" w:eastAsia="宋体"/>
                <w:sz w:val="16"/>
                <w:szCs w:val="16"/>
              </w:rPr>
              <w:t>青白江区红阳教育街230号2栋2单元5层7号</w:t>
            </w:r>
          </w:p>
        </w:tc>
        <w:tc>
          <w:tcPr>
            <w:tcW w:w="84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其他用房</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住宅</w:t>
            </w:r>
          </w:p>
        </w:tc>
        <w:tc>
          <w:tcPr>
            <w:tcW w:w="8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110.21</w:t>
            </w:r>
          </w:p>
        </w:tc>
        <w:tc>
          <w:tcPr>
            <w:tcW w:w="79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rPr>
              <w:t>5180</w:t>
            </w:r>
          </w:p>
        </w:tc>
        <w:tc>
          <w:tcPr>
            <w:tcW w:w="9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rPr>
            </w:pPr>
            <w:r>
              <w:rPr>
                <w:rFonts w:hint="eastAsia" w:ascii="宋体" w:hAnsi="宋体" w:eastAsia="宋体"/>
                <w:sz w:val="16"/>
                <w:szCs w:val="16"/>
                <w:lang w:bidi="ar"/>
              </w:rPr>
              <w:t>57.09</w:t>
            </w:r>
          </w:p>
        </w:tc>
      </w:tr>
      <w:tr>
        <w:tblPrEx>
          <w:tblCellMar>
            <w:top w:w="0" w:type="dxa"/>
            <w:left w:w="28" w:type="dxa"/>
            <w:bottom w:w="0" w:type="dxa"/>
            <w:right w:w="28" w:type="dxa"/>
          </w:tblCellMar>
        </w:tblPrEx>
        <w:trPr>
          <w:trHeight w:val="20" w:hRule="atLeast"/>
          <w:jc w:val="center"/>
        </w:trPr>
        <w:tc>
          <w:tcPr>
            <w:tcW w:w="6668" w:type="dxa"/>
            <w:gridSpan w:val="5"/>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sz w:val="16"/>
                <w:szCs w:val="16"/>
                <w:lang w:bidi="ar"/>
              </w:rPr>
            </w:pPr>
            <w:r>
              <w:rPr>
                <w:rFonts w:hint="eastAsia" w:ascii="宋体" w:hAnsi="宋体" w:eastAsia="宋体"/>
                <w:sz w:val="16"/>
                <w:szCs w:val="16"/>
                <w:lang w:bidi="ar"/>
              </w:rPr>
              <w:t>合计</w:t>
            </w:r>
          </w:p>
        </w:tc>
        <w:tc>
          <w:tcPr>
            <w:tcW w:w="8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eastAsia="宋体"/>
                <w:b/>
                <w:sz w:val="16"/>
                <w:szCs w:val="16"/>
                <w:lang w:bidi="ar"/>
              </w:rPr>
            </w:pPr>
            <w:r>
              <w:rPr>
                <w:rFonts w:hint="eastAsia" w:ascii="宋体" w:hAnsi="宋体" w:eastAsia="宋体"/>
                <w:b/>
                <w:sz w:val="16"/>
                <w:szCs w:val="16"/>
                <w:lang w:bidi="ar"/>
              </w:rPr>
              <w:t>110.21</w:t>
            </w:r>
          </w:p>
        </w:tc>
        <w:tc>
          <w:tcPr>
            <w:tcW w:w="798"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sz w:val="16"/>
                <w:szCs w:val="16"/>
                <w:lang w:bidi="ar"/>
              </w:rPr>
            </w:pPr>
            <w:r>
              <w:rPr>
                <w:rFonts w:hint="eastAsia" w:ascii="宋体" w:hAnsi="宋体" w:eastAsia="宋体"/>
                <w:b/>
                <w:sz w:val="16"/>
                <w:szCs w:val="16"/>
                <w:lang w:bidi="ar"/>
              </w:rPr>
              <w:t>-</w:t>
            </w:r>
          </w:p>
        </w:tc>
        <w:tc>
          <w:tcPr>
            <w:tcW w:w="9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b/>
                <w:sz w:val="16"/>
                <w:szCs w:val="16"/>
                <w:lang w:bidi="ar"/>
              </w:rPr>
            </w:pPr>
            <w:r>
              <w:rPr>
                <w:rFonts w:hint="eastAsia" w:ascii="宋体" w:hAnsi="宋体" w:eastAsia="宋体"/>
                <w:b/>
                <w:sz w:val="16"/>
                <w:szCs w:val="16"/>
              </w:rPr>
              <w:t>57.09</w:t>
            </w:r>
          </w:p>
        </w:tc>
      </w:tr>
    </w:tbl>
    <w:p>
      <w:pPr>
        <w:pStyle w:val="3"/>
        <w:rPr>
          <w:rFonts w:ascii="宋体" w:hAnsi="宋体" w:eastAsia="宋体" w:cs="宋体"/>
          <w:sz w:val="24"/>
          <w:szCs w:val="24"/>
          <w:shd w:val="clear" w:color="auto" w:fill="FFFFFF"/>
        </w:rPr>
      </w:pPr>
      <w:bookmarkStart w:id="115" w:name="_Toc14741"/>
      <w:bookmarkStart w:id="116" w:name="_Toc22051"/>
      <w:bookmarkStart w:id="117" w:name="_Toc550"/>
      <w:bookmarkStart w:id="118" w:name="_Toc30937"/>
      <w:bookmarkStart w:id="119" w:name="_Toc2118"/>
      <w:r>
        <w:rPr>
          <w:rFonts w:ascii="宋体" w:hAnsi="宋体" w:eastAsia="宋体" w:cs="宋体"/>
          <w:sz w:val="24"/>
          <w:szCs w:val="24"/>
          <w:shd w:val="clear" w:color="auto" w:fill="FFFFFF"/>
        </w:rPr>
        <w:t>（十一）</w:t>
      </w:r>
      <w:bookmarkEnd w:id="112"/>
      <w:r>
        <w:rPr>
          <w:rFonts w:ascii="宋体" w:hAnsi="宋体" w:eastAsia="宋体" w:cs="宋体"/>
          <w:sz w:val="24"/>
          <w:szCs w:val="24"/>
          <w:shd w:val="clear" w:color="auto" w:fill="FFFFFF"/>
        </w:rPr>
        <w:t>注册房地产估价师</w:t>
      </w:r>
      <w:bookmarkEnd w:id="113"/>
      <w:bookmarkEnd w:id="114"/>
      <w:bookmarkEnd w:id="115"/>
      <w:bookmarkEnd w:id="116"/>
      <w:bookmarkEnd w:id="117"/>
      <w:bookmarkEnd w:id="118"/>
      <w:bookmarkEnd w:id="119"/>
    </w:p>
    <w:p>
      <w:pPr>
        <w:jc w:val="center"/>
        <w:rPr>
          <w:rFonts w:ascii="Times New Roman" w:hAnsi="Times New Roman" w:eastAsia="宋体" w:cs="Times New Roman"/>
          <w:sz w:val="24"/>
          <w:szCs w:val="24"/>
        </w:rPr>
      </w:pPr>
      <w:r>
        <w:rPr>
          <w:rFonts w:ascii="Times New Roman" w:hAnsi="Times New Roman" w:eastAsia="宋体" w:cs="Times New Roman"/>
          <w:sz w:val="24"/>
          <w:szCs w:val="24"/>
        </w:rPr>
        <w:t>参加估价的注册房地产估价师</w:t>
      </w:r>
    </w:p>
    <w:tbl>
      <w:tblPr>
        <w:tblStyle w:val="38"/>
        <w:tblpPr w:leftFromText="180" w:rightFromText="180" w:vertAnchor="text" w:horzAnchor="margin" w:tblpY="336"/>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2468"/>
        <w:gridCol w:w="2490"/>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29" w:type="dxa"/>
            <w:vAlign w:val="center"/>
          </w:tcPr>
          <w:p>
            <w:pPr>
              <w:spacing w:line="440" w:lineRule="exact"/>
              <w:jc w:val="center"/>
              <w:rPr>
                <w:rFonts w:ascii="Times New Roman" w:hAnsi="Times New Roman" w:eastAsia="宋体" w:cs="Times New Roman"/>
                <w:b/>
                <w:bCs/>
                <w:sz w:val="24"/>
                <w:szCs w:val="24"/>
              </w:rPr>
            </w:pPr>
            <w:bookmarkStart w:id="120" w:name="_Toc479587806"/>
            <w:bookmarkStart w:id="121" w:name="_Toc13371"/>
            <w:r>
              <w:rPr>
                <w:rFonts w:ascii="Times New Roman" w:hAnsi="Times New Roman" w:eastAsia="宋体" w:cs="Times New Roman"/>
                <w:b/>
                <w:bCs/>
                <w:sz w:val="24"/>
                <w:szCs w:val="24"/>
              </w:rPr>
              <w:t>姓名</w:t>
            </w:r>
          </w:p>
        </w:tc>
        <w:tc>
          <w:tcPr>
            <w:tcW w:w="2468" w:type="dxa"/>
            <w:vAlign w:val="center"/>
          </w:tcPr>
          <w:p>
            <w:pPr>
              <w:spacing w:line="440" w:lineRule="exact"/>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注册号</w:t>
            </w:r>
          </w:p>
        </w:tc>
        <w:tc>
          <w:tcPr>
            <w:tcW w:w="2490" w:type="dxa"/>
            <w:vAlign w:val="center"/>
          </w:tcPr>
          <w:p>
            <w:pPr>
              <w:spacing w:line="440" w:lineRule="exact"/>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签名</w:t>
            </w:r>
          </w:p>
        </w:tc>
        <w:tc>
          <w:tcPr>
            <w:tcW w:w="2499" w:type="dxa"/>
            <w:vAlign w:val="center"/>
          </w:tcPr>
          <w:p>
            <w:pPr>
              <w:spacing w:line="440" w:lineRule="exact"/>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529" w:type="dxa"/>
            <w:vAlign w:val="center"/>
          </w:tcPr>
          <w:p>
            <w:pPr>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金小龙</w:t>
            </w:r>
          </w:p>
        </w:tc>
        <w:tc>
          <w:tcPr>
            <w:tcW w:w="2468" w:type="dxa"/>
            <w:vAlign w:val="center"/>
          </w:tcPr>
          <w:p>
            <w:pPr>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8"/>
                <w:szCs w:val="28"/>
              </w:rPr>
              <w:t>5120160058</w:t>
            </w:r>
          </w:p>
        </w:tc>
        <w:tc>
          <w:tcPr>
            <w:tcW w:w="2490" w:type="dxa"/>
            <w:vAlign w:val="center"/>
          </w:tcPr>
          <w:p>
            <w:pPr>
              <w:spacing w:line="440" w:lineRule="exact"/>
              <w:jc w:val="center"/>
              <w:rPr>
                <w:rFonts w:ascii="Times New Roman" w:hAnsi="Times New Roman" w:eastAsia="宋体" w:cs="Times New Roman"/>
                <w:sz w:val="24"/>
                <w:szCs w:val="24"/>
              </w:rPr>
            </w:pPr>
          </w:p>
        </w:tc>
        <w:tc>
          <w:tcPr>
            <w:tcW w:w="2499" w:type="dxa"/>
            <w:vAlign w:val="center"/>
          </w:tcPr>
          <w:p>
            <w:pPr>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u w:color="0000FF"/>
              </w:rPr>
              <w:t>2020年1月17日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529" w:type="dxa"/>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王</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樱</w:t>
            </w:r>
          </w:p>
        </w:tc>
        <w:tc>
          <w:tcPr>
            <w:tcW w:w="2468" w:type="dxa"/>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8"/>
                <w:szCs w:val="28"/>
              </w:rPr>
              <w:t>5120040271</w:t>
            </w:r>
          </w:p>
        </w:tc>
        <w:tc>
          <w:tcPr>
            <w:tcW w:w="2490" w:type="dxa"/>
            <w:vAlign w:val="center"/>
          </w:tcPr>
          <w:p>
            <w:pPr>
              <w:spacing w:line="440" w:lineRule="exact"/>
              <w:jc w:val="center"/>
              <w:rPr>
                <w:rFonts w:ascii="Times New Roman" w:hAnsi="Times New Roman" w:eastAsia="宋体" w:cs="Times New Roman"/>
                <w:sz w:val="24"/>
                <w:szCs w:val="24"/>
              </w:rPr>
            </w:pPr>
          </w:p>
        </w:tc>
        <w:tc>
          <w:tcPr>
            <w:tcW w:w="2499" w:type="dxa"/>
            <w:vAlign w:val="center"/>
          </w:tcPr>
          <w:p>
            <w:pPr>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u w:color="0000FF"/>
              </w:rPr>
              <w:t>2020年1月17日</w:t>
            </w:r>
          </w:p>
        </w:tc>
      </w:tr>
    </w:tbl>
    <w:p>
      <w:pPr>
        <w:pStyle w:val="3"/>
        <w:rPr>
          <w:rFonts w:ascii="宋体" w:hAnsi="宋体" w:eastAsia="宋体" w:cs="宋体"/>
          <w:sz w:val="24"/>
          <w:szCs w:val="24"/>
          <w:shd w:val="clear" w:color="auto" w:fill="FFFFFF"/>
        </w:rPr>
      </w:pPr>
      <w:bookmarkStart w:id="122" w:name="_Toc20401"/>
      <w:bookmarkStart w:id="123" w:name="_Toc218"/>
      <w:bookmarkStart w:id="124" w:name="_Toc15326"/>
      <w:bookmarkStart w:id="125" w:name="_Toc8490019"/>
      <w:bookmarkStart w:id="126" w:name="_Toc10977"/>
      <w:bookmarkStart w:id="127" w:name="_Toc1776"/>
      <w:r>
        <w:rPr>
          <w:rFonts w:ascii="宋体" w:hAnsi="宋体" w:eastAsia="宋体" w:cs="宋体"/>
          <w:sz w:val="24"/>
          <w:szCs w:val="24"/>
          <w:shd w:val="clear" w:color="auto" w:fill="FFFFFF"/>
        </w:rPr>
        <w:t>（十二）实地查勘期</w:t>
      </w:r>
      <w:bookmarkEnd w:id="120"/>
      <w:bookmarkEnd w:id="122"/>
      <w:bookmarkEnd w:id="123"/>
      <w:bookmarkEnd w:id="124"/>
      <w:bookmarkEnd w:id="125"/>
      <w:bookmarkEnd w:id="126"/>
      <w:bookmarkEnd w:id="127"/>
    </w:p>
    <w:p>
      <w:pPr>
        <w:adjustRightInd w:val="0"/>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于二〇二〇年一月九日进入现场，并于当日完成实地查勘。</w:t>
      </w:r>
    </w:p>
    <w:p>
      <w:pPr>
        <w:pStyle w:val="3"/>
        <w:rPr>
          <w:rFonts w:ascii="宋体" w:hAnsi="宋体" w:eastAsia="宋体" w:cs="宋体"/>
          <w:sz w:val="24"/>
          <w:szCs w:val="24"/>
          <w:shd w:val="clear" w:color="auto" w:fill="FFFFFF"/>
        </w:rPr>
      </w:pPr>
      <w:bookmarkStart w:id="128" w:name="_Toc8490020"/>
      <w:bookmarkStart w:id="129" w:name="_Toc479587807"/>
      <w:bookmarkStart w:id="130" w:name="_Toc24163"/>
      <w:bookmarkStart w:id="131" w:name="_Toc31703"/>
      <w:bookmarkStart w:id="132" w:name="_Toc23863"/>
      <w:bookmarkStart w:id="133" w:name="_Toc2190"/>
      <w:bookmarkStart w:id="134" w:name="_Toc2255"/>
      <w:r>
        <w:rPr>
          <w:rFonts w:ascii="宋体" w:hAnsi="宋体" w:eastAsia="宋体" w:cs="宋体"/>
          <w:sz w:val="24"/>
          <w:szCs w:val="24"/>
          <w:shd w:val="clear" w:color="auto" w:fill="FFFFFF"/>
        </w:rPr>
        <w:t>（十三）估价作业期</w:t>
      </w:r>
      <w:bookmarkEnd w:id="121"/>
      <w:bookmarkEnd w:id="128"/>
      <w:bookmarkEnd w:id="129"/>
      <w:bookmarkEnd w:id="130"/>
      <w:bookmarkEnd w:id="131"/>
      <w:bookmarkEnd w:id="132"/>
      <w:bookmarkEnd w:id="133"/>
      <w:bookmarkEnd w:id="134"/>
    </w:p>
    <w:p>
      <w:pPr>
        <w:adjustRightInd w:val="0"/>
        <w:snapToGrid w:val="0"/>
        <w:spacing w:line="5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二〇一九年十二月二十五日</w:t>
      </w:r>
      <w:r>
        <w:rPr>
          <w:rFonts w:hint="eastAsia"/>
          <w:sz w:val="24"/>
          <w:szCs w:val="24"/>
        </w:rPr>
        <w:t>（成都市新都区人民法院司法评估委托书出具之日）</w:t>
      </w:r>
      <w:r>
        <w:rPr>
          <w:rFonts w:ascii="Times New Roman" w:hAnsi="Times New Roman" w:eastAsia="宋体" w:cs="Times New Roman"/>
          <w:sz w:val="24"/>
          <w:szCs w:val="24"/>
        </w:rPr>
        <w:t>至</w:t>
      </w:r>
      <w:r>
        <w:rPr>
          <w:rFonts w:hint="eastAsia" w:ascii="Times New Roman" w:hAnsi="Times New Roman" w:eastAsia="宋体" w:cs="Times New Roman"/>
          <w:sz w:val="24"/>
          <w:szCs w:val="24"/>
        </w:rPr>
        <w:t>二〇二〇年一月十七日</w:t>
      </w:r>
      <w:r>
        <w:rPr>
          <w:rFonts w:ascii="Times New Roman" w:hAnsi="Times New Roman" w:eastAsia="宋体" w:cs="Times New Roman"/>
          <w:sz w:val="24"/>
          <w:szCs w:val="24"/>
        </w:rPr>
        <w:t>。</w:t>
      </w:r>
    </w:p>
    <w:p>
      <w:pPr>
        <w:widowControl/>
        <w:jc w:val="left"/>
        <w:rPr>
          <w:rFonts w:ascii="Times New Roman" w:hAnsi="Times New Roman" w:eastAsia="宋体" w:cs="Times New Roman"/>
          <w:b/>
          <w:kern w:val="44"/>
          <w:sz w:val="44"/>
          <w:szCs w:val="20"/>
        </w:rPr>
      </w:pPr>
      <w:r>
        <w:rPr>
          <w:rFonts w:ascii="Times New Roman" w:hAnsi="Times New Roman" w:eastAsia="宋体" w:cs="Times New Roman"/>
          <w:b/>
          <w:kern w:val="44"/>
          <w:sz w:val="44"/>
          <w:szCs w:val="20"/>
        </w:rPr>
        <w:br w:type="page"/>
      </w:r>
    </w:p>
    <w:p>
      <w:pPr>
        <w:spacing w:before="120" w:after="120" w:line="520" w:lineRule="atLeast"/>
        <w:jc w:val="center"/>
        <w:outlineLvl w:val="0"/>
        <w:rPr>
          <w:rFonts w:ascii="Times New Roman" w:hAnsi="Times New Roman" w:eastAsia="宋体" w:cs="Times New Roman"/>
          <w:b/>
          <w:kern w:val="44"/>
          <w:sz w:val="44"/>
          <w:szCs w:val="20"/>
        </w:rPr>
      </w:pPr>
      <w:bookmarkStart w:id="135" w:name="_Toc8490021"/>
      <w:bookmarkStart w:id="136" w:name="_Toc11053"/>
      <w:bookmarkStart w:id="137" w:name="_Toc10751"/>
      <w:bookmarkStart w:id="138" w:name="_Toc14652"/>
      <w:bookmarkStart w:id="139" w:name="_Toc5287"/>
      <w:bookmarkStart w:id="140" w:name="_Toc31820"/>
      <w:r>
        <w:rPr>
          <w:rFonts w:ascii="Times New Roman" w:hAnsi="Times New Roman" w:eastAsia="宋体" w:cs="Times New Roman"/>
          <w:b/>
          <w:kern w:val="44"/>
          <w:sz w:val="44"/>
          <w:szCs w:val="20"/>
        </w:rPr>
        <w:t>附  件</w:t>
      </w:r>
      <w:bookmarkEnd w:id="135"/>
      <w:bookmarkEnd w:id="136"/>
      <w:bookmarkEnd w:id="137"/>
      <w:bookmarkEnd w:id="138"/>
      <w:bookmarkEnd w:id="139"/>
      <w:bookmarkEnd w:id="140"/>
    </w:p>
    <w:p>
      <w:pPr>
        <w:keepNext/>
        <w:keepLines/>
        <w:spacing w:line="520" w:lineRule="exact"/>
        <w:ind w:firstLine="480" w:firstLineChars="200"/>
        <w:outlineLvl w:val="1"/>
        <w:rPr>
          <w:rFonts w:ascii="Times New Roman" w:hAnsi="Times New Roman" w:eastAsia="宋体" w:cs="Times New Roman"/>
          <w:sz w:val="24"/>
          <w:szCs w:val="24"/>
        </w:rPr>
      </w:pPr>
      <w:bookmarkStart w:id="141" w:name="_Toc8490022"/>
      <w:bookmarkStart w:id="142" w:name="_Toc22097"/>
      <w:bookmarkStart w:id="143" w:name="_Toc29931"/>
      <w:bookmarkStart w:id="144" w:name="_Toc32233"/>
      <w:bookmarkStart w:id="145" w:name="_Toc16301"/>
      <w:bookmarkStart w:id="146" w:name="_Toc7800"/>
      <w:r>
        <w:rPr>
          <w:rFonts w:hint="eastAsia" w:ascii="Times New Roman" w:hAnsi="Times New Roman" w:eastAsia="宋体" w:cs="Times New Roman"/>
          <w:sz w:val="24"/>
          <w:szCs w:val="24"/>
        </w:rPr>
        <w:t>（一）《成都市新都区人民法院司法评估委托书》</w:t>
      </w:r>
      <w:r>
        <w:rPr>
          <w:rFonts w:ascii="Times New Roman" w:hAnsi="Times New Roman" w:eastAsia="宋体" w:cs="Times New Roman"/>
          <w:sz w:val="24"/>
          <w:szCs w:val="24"/>
        </w:rPr>
        <w:t>；</w:t>
      </w:r>
      <w:bookmarkEnd w:id="141"/>
      <w:bookmarkEnd w:id="142"/>
      <w:bookmarkEnd w:id="143"/>
      <w:bookmarkEnd w:id="144"/>
      <w:bookmarkEnd w:id="145"/>
      <w:bookmarkEnd w:id="146"/>
    </w:p>
    <w:p>
      <w:pPr>
        <w:keepNext/>
        <w:keepLines/>
        <w:spacing w:line="520" w:lineRule="exact"/>
        <w:ind w:firstLine="480" w:firstLineChars="200"/>
        <w:outlineLvl w:val="1"/>
        <w:rPr>
          <w:rFonts w:ascii="Times New Roman" w:hAnsi="Times New Roman" w:eastAsia="宋体" w:cs="Times New Roman"/>
          <w:sz w:val="24"/>
          <w:szCs w:val="24"/>
        </w:rPr>
      </w:pPr>
      <w:bookmarkStart w:id="147" w:name="_Toc8490023"/>
      <w:bookmarkStart w:id="148" w:name="_Toc6992"/>
      <w:bookmarkStart w:id="149" w:name="_Toc3182"/>
      <w:bookmarkStart w:id="150" w:name="_Toc6881"/>
      <w:bookmarkStart w:id="151" w:name="_Toc21658"/>
      <w:bookmarkStart w:id="152" w:name="_Toc18999"/>
      <w:r>
        <w:rPr>
          <w:rFonts w:hint="eastAsia" w:ascii="宋体" w:hAnsi="宋体" w:eastAsia="宋体"/>
          <w:sz w:val="24"/>
          <w:szCs w:val="24"/>
        </w:rPr>
        <w:t>（二</w:t>
      </w:r>
      <w:r>
        <w:rPr>
          <w:rFonts w:hint="eastAsia" w:ascii="Times New Roman" w:hAnsi="Times New Roman" w:eastAsia="宋体" w:cs="Times New Roman"/>
          <w:sz w:val="24"/>
          <w:szCs w:val="24"/>
        </w:rPr>
        <w:t>）</w:t>
      </w:r>
      <w:bookmarkEnd w:id="147"/>
      <w:bookmarkEnd w:id="148"/>
      <w:bookmarkEnd w:id="149"/>
      <w:bookmarkEnd w:id="150"/>
      <w:bookmarkStart w:id="153" w:name="_Toc13251"/>
      <w:bookmarkStart w:id="154" w:name="_Toc25457"/>
      <w:r>
        <w:rPr>
          <w:rFonts w:hint="eastAsia" w:ascii="Times New Roman" w:hAnsi="Times New Roman" w:eastAsia="宋体" w:cs="Times New Roman"/>
          <w:sz w:val="24"/>
          <w:szCs w:val="24"/>
          <w:lang w:eastAsia="zh-CN"/>
        </w:rPr>
        <w:t>《成都市不动产登记中心房地产权结果信息一览表》</w:t>
      </w:r>
      <w:r>
        <w:rPr>
          <w:rFonts w:hint="eastAsia" w:ascii="Times New Roman" w:hAnsi="Times New Roman" w:eastAsia="宋体" w:cs="Times New Roman"/>
          <w:sz w:val="24"/>
          <w:szCs w:val="24"/>
        </w:rPr>
        <w:t>；</w:t>
      </w:r>
      <w:bookmarkEnd w:id="151"/>
      <w:bookmarkEnd w:id="152"/>
      <w:bookmarkEnd w:id="153"/>
      <w:bookmarkEnd w:id="154"/>
    </w:p>
    <w:p>
      <w:pPr>
        <w:keepNext/>
        <w:keepLines/>
        <w:spacing w:line="520" w:lineRule="exact"/>
        <w:ind w:firstLine="480" w:firstLineChars="200"/>
        <w:outlineLvl w:val="1"/>
        <w:rPr>
          <w:rFonts w:ascii="Times New Roman" w:hAnsi="Times New Roman" w:eastAsia="宋体" w:cs="Times New Roman"/>
          <w:sz w:val="24"/>
          <w:szCs w:val="24"/>
        </w:rPr>
      </w:pPr>
      <w:bookmarkStart w:id="155" w:name="_Toc8490025"/>
      <w:bookmarkStart w:id="156" w:name="_Toc8194"/>
      <w:bookmarkStart w:id="157" w:name="_Toc12313"/>
      <w:bookmarkStart w:id="158" w:name="_Toc18952"/>
      <w:bookmarkStart w:id="159" w:name="_Toc2052"/>
      <w:bookmarkStart w:id="160" w:name="_Toc14242"/>
      <w:r>
        <w:rPr>
          <w:rFonts w:hint="eastAsia" w:ascii="Times New Roman" w:hAnsi="Times New Roman" w:eastAsia="宋体" w:cs="Times New Roman"/>
          <w:sz w:val="24"/>
          <w:szCs w:val="24"/>
        </w:rPr>
        <w:t>（三）估价对象照片及位置示意图；</w:t>
      </w:r>
      <w:bookmarkEnd w:id="155"/>
      <w:bookmarkEnd w:id="156"/>
      <w:bookmarkEnd w:id="157"/>
      <w:bookmarkEnd w:id="158"/>
      <w:bookmarkEnd w:id="159"/>
      <w:bookmarkEnd w:id="160"/>
    </w:p>
    <w:p>
      <w:pPr>
        <w:keepNext/>
        <w:keepLines/>
        <w:spacing w:line="520" w:lineRule="exact"/>
        <w:ind w:firstLine="480" w:firstLineChars="200"/>
        <w:outlineLvl w:val="1"/>
        <w:rPr>
          <w:rFonts w:ascii="Times New Roman" w:hAnsi="Times New Roman" w:eastAsia="宋体" w:cs="Times New Roman"/>
          <w:sz w:val="24"/>
          <w:szCs w:val="24"/>
        </w:rPr>
      </w:pPr>
      <w:bookmarkStart w:id="161" w:name="_Toc8490026"/>
      <w:bookmarkStart w:id="162" w:name="_Toc17833"/>
      <w:bookmarkStart w:id="163" w:name="_Toc28743"/>
      <w:bookmarkStart w:id="164" w:name="_Toc14684"/>
      <w:bookmarkStart w:id="165" w:name="_Toc15008"/>
      <w:bookmarkStart w:id="166" w:name="_Toc26398"/>
      <w:r>
        <w:rPr>
          <w:rFonts w:hint="eastAsia" w:ascii="Times New Roman" w:hAnsi="Times New Roman" w:eastAsia="宋体" w:cs="Times New Roman"/>
          <w:sz w:val="24"/>
          <w:szCs w:val="24"/>
        </w:rPr>
        <w:t>（四）可比实例照片及位置示意图；</w:t>
      </w:r>
      <w:bookmarkEnd w:id="161"/>
      <w:bookmarkEnd w:id="162"/>
      <w:bookmarkEnd w:id="163"/>
      <w:bookmarkEnd w:id="164"/>
      <w:bookmarkEnd w:id="165"/>
      <w:bookmarkEnd w:id="166"/>
    </w:p>
    <w:p>
      <w:pPr>
        <w:keepNext/>
        <w:keepLines/>
        <w:spacing w:line="520" w:lineRule="exact"/>
        <w:ind w:firstLine="480" w:firstLineChars="200"/>
        <w:outlineLvl w:val="1"/>
        <w:rPr>
          <w:rFonts w:ascii="Times New Roman" w:hAnsi="Times New Roman" w:eastAsia="宋体" w:cs="Times New Roman"/>
          <w:sz w:val="24"/>
          <w:szCs w:val="24"/>
        </w:rPr>
      </w:pPr>
      <w:bookmarkStart w:id="167" w:name="_Toc8490027"/>
      <w:bookmarkStart w:id="168" w:name="_Toc13314"/>
      <w:bookmarkStart w:id="169" w:name="_Toc11164"/>
      <w:bookmarkStart w:id="170" w:name="_Toc5706"/>
      <w:bookmarkStart w:id="171" w:name="_Toc4593"/>
      <w:bookmarkStart w:id="172" w:name="_Toc21604"/>
      <w:r>
        <w:rPr>
          <w:rFonts w:hint="eastAsia" w:ascii="Times New Roman" w:hAnsi="Times New Roman" w:eastAsia="宋体" w:cs="Times New Roman"/>
          <w:sz w:val="24"/>
          <w:szCs w:val="24"/>
        </w:rPr>
        <w:t>（五）估价对象实地查勘情况说明；</w:t>
      </w:r>
      <w:bookmarkEnd w:id="167"/>
      <w:bookmarkEnd w:id="168"/>
      <w:bookmarkEnd w:id="169"/>
      <w:bookmarkEnd w:id="170"/>
      <w:bookmarkEnd w:id="171"/>
      <w:bookmarkEnd w:id="172"/>
    </w:p>
    <w:p>
      <w:pPr>
        <w:keepNext/>
        <w:keepLines/>
        <w:spacing w:line="520" w:lineRule="exact"/>
        <w:ind w:firstLine="480" w:firstLineChars="200"/>
        <w:outlineLvl w:val="1"/>
        <w:rPr>
          <w:rFonts w:ascii="Times New Roman" w:hAnsi="Times New Roman" w:eastAsia="宋体" w:cs="Times New Roman"/>
          <w:sz w:val="24"/>
          <w:szCs w:val="24"/>
        </w:rPr>
      </w:pPr>
      <w:bookmarkStart w:id="173" w:name="_Toc8490028"/>
      <w:bookmarkStart w:id="174" w:name="_Toc22846"/>
      <w:bookmarkStart w:id="175" w:name="_Toc29614"/>
      <w:bookmarkStart w:id="176" w:name="_Toc562"/>
      <w:bookmarkStart w:id="177" w:name="_Toc32131"/>
      <w:bookmarkStart w:id="178" w:name="_Toc12431"/>
      <w:r>
        <w:rPr>
          <w:rFonts w:hint="eastAsia" w:ascii="Times New Roman" w:hAnsi="Times New Roman" w:eastAsia="宋体" w:cs="Times New Roman"/>
          <w:sz w:val="24"/>
          <w:szCs w:val="24"/>
        </w:rPr>
        <w:t>（六）专业帮助情况和相关专业意见；</w:t>
      </w:r>
      <w:bookmarkEnd w:id="173"/>
      <w:bookmarkEnd w:id="174"/>
      <w:bookmarkEnd w:id="175"/>
      <w:bookmarkEnd w:id="176"/>
      <w:bookmarkEnd w:id="177"/>
      <w:bookmarkEnd w:id="178"/>
    </w:p>
    <w:p>
      <w:pPr>
        <w:keepNext/>
        <w:keepLines/>
        <w:spacing w:line="520" w:lineRule="exact"/>
        <w:ind w:firstLine="480" w:firstLineChars="200"/>
        <w:outlineLvl w:val="1"/>
        <w:rPr>
          <w:rFonts w:ascii="Times New Roman" w:hAnsi="Times New Roman" w:eastAsia="宋体" w:cs="Times New Roman"/>
          <w:sz w:val="24"/>
          <w:szCs w:val="24"/>
        </w:rPr>
      </w:pPr>
      <w:bookmarkStart w:id="179" w:name="_Toc8490029"/>
      <w:bookmarkStart w:id="180" w:name="_Toc11813"/>
      <w:bookmarkStart w:id="181" w:name="_Toc9269"/>
      <w:bookmarkStart w:id="182" w:name="_Toc27668"/>
      <w:bookmarkStart w:id="183" w:name="_Toc26985"/>
      <w:bookmarkStart w:id="184" w:name="_Toc10891"/>
      <w:r>
        <w:rPr>
          <w:rFonts w:hint="eastAsia" w:ascii="Times New Roman" w:hAnsi="Times New Roman" w:eastAsia="宋体" w:cs="Times New Roman"/>
          <w:sz w:val="24"/>
          <w:szCs w:val="24"/>
        </w:rPr>
        <w:t>（七）《房地产司法鉴定评估风险告知书》复印件；</w:t>
      </w:r>
      <w:bookmarkEnd w:id="179"/>
      <w:bookmarkEnd w:id="180"/>
      <w:bookmarkEnd w:id="181"/>
      <w:bookmarkEnd w:id="182"/>
      <w:bookmarkEnd w:id="183"/>
      <w:bookmarkEnd w:id="184"/>
    </w:p>
    <w:p>
      <w:pPr>
        <w:keepNext/>
        <w:keepLines/>
        <w:spacing w:line="520" w:lineRule="exact"/>
        <w:ind w:firstLine="480" w:firstLineChars="200"/>
        <w:outlineLvl w:val="1"/>
        <w:rPr>
          <w:rFonts w:ascii="Times New Roman" w:hAnsi="Times New Roman" w:eastAsia="宋体" w:cs="Times New Roman"/>
          <w:sz w:val="24"/>
          <w:szCs w:val="24"/>
        </w:rPr>
      </w:pPr>
      <w:bookmarkStart w:id="185" w:name="_Toc17549"/>
      <w:bookmarkStart w:id="186" w:name="_Toc20568"/>
      <w:bookmarkStart w:id="187" w:name="_Toc25041"/>
      <w:bookmarkStart w:id="188" w:name="_Toc8490030"/>
      <w:bookmarkStart w:id="189" w:name="_Toc24907"/>
      <w:bookmarkStart w:id="190" w:name="_Toc21401"/>
      <w:r>
        <w:rPr>
          <w:rFonts w:ascii="Times New Roman" w:hAnsi="Times New Roman" w:eastAsia="宋体" w:cs="Times New Roman"/>
          <w:bCs/>
          <w:sz w:val="24"/>
          <w:szCs w:val="24"/>
        </w:rPr>
        <w:t>（</w:t>
      </w:r>
      <w:r>
        <w:rPr>
          <w:rFonts w:hint="eastAsia" w:ascii="Times New Roman" w:hAnsi="Times New Roman" w:eastAsia="宋体" w:cs="Times New Roman"/>
          <w:sz w:val="24"/>
          <w:szCs w:val="24"/>
        </w:rPr>
        <w:t>八</w:t>
      </w:r>
      <w:r>
        <w:rPr>
          <w:rFonts w:ascii="Times New Roman" w:hAnsi="Times New Roman" w:eastAsia="宋体" w:cs="Times New Roman"/>
          <w:sz w:val="24"/>
          <w:szCs w:val="24"/>
        </w:rPr>
        <w:t>）</w:t>
      </w:r>
      <w:r>
        <w:rPr>
          <w:rFonts w:hint="eastAsia" w:ascii="Times New Roman" w:hAnsi="Times New Roman" w:eastAsia="宋体"/>
          <w:sz w:val="24"/>
          <w:szCs w:val="24"/>
        </w:rPr>
        <w:t>估价机构营业执照和房地产估价机构备案证书复印件</w:t>
      </w:r>
      <w:r>
        <w:rPr>
          <w:rFonts w:ascii="Times New Roman" w:hAnsi="Times New Roman" w:eastAsia="宋体" w:cs="Times New Roman"/>
          <w:sz w:val="24"/>
          <w:szCs w:val="24"/>
        </w:rPr>
        <w:t>；</w:t>
      </w:r>
      <w:bookmarkEnd w:id="185"/>
      <w:bookmarkEnd w:id="186"/>
      <w:bookmarkEnd w:id="187"/>
    </w:p>
    <w:p>
      <w:pPr>
        <w:keepNext/>
        <w:keepLines/>
        <w:spacing w:line="520" w:lineRule="exact"/>
        <w:ind w:firstLine="480" w:firstLineChars="200"/>
        <w:outlineLvl w:val="1"/>
        <w:rPr>
          <w:rFonts w:ascii="Times New Roman" w:hAnsi="Times New Roman" w:eastAsia="宋体" w:cs="Times New Roman"/>
          <w:sz w:val="24"/>
          <w:szCs w:val="24"/>
        </w:rPr>
      </w:pPr>
      <w:bookmarkStart w:id="191" w:name="_Toc23541"/>
      <w:bookmarkStart w:id="192" w:name="_Toc14428"/>
      <w:bookmarkStart w:id="193" w:name="_Toc6719"/>
      <w:r>
        <w:rPr>
          <w:rFonts w:ascii="Times New Roman" w:hAnsi="Times New Roman" w:eastAsia="宋体" w:cs="Times New Roman"/>
          <w:sz w:val="24"/>
          <w:szCs w:val="24"/>
        </w:rPr>
        <w:t>（</w:t>
      </w:r>
      <w:r>
        <w:rPr>
          <w:rFonts w:hint="eastAsia" w:ascii="Times New Roman" w:hAnsi="Times New Roman" w:eastAsia="宋体" w:cs="Times New Roman"/>
          <w:sz w:val="24"/>
          <w:szCs w:val="24"/>
        </w:rPr>
        <w:t>九</w:t>
      </w:r>
      <w:r>
        <w:rPr>
          <w:rFonts w:ascii="Times New Roman" w:hAnsi="Times New Roman" w:eastAsia="宋体" w:cs="Times New Roman"/>
          <w:sz w:val="24"/>
          <w:szCs w:val="24"/>
        </w:rPr>
        <w:t>）</w:t>
      </w:r>
      <w:r>
        <w:rPr>
          <w:rFonts w:hint="eastAsia" w:ascii="Times New Roman" w:hAnsi="Times New Roman" w:eastAsia="宋体"/>
          <w:sz w:val="24"/>
          <w:szCs w:val="24"/>
        </w:rPr>
        <w:t>注册房地产估价师估价资格证书复印件</w:t>
      </w:r>
      <w:r>
        <w:rPr>
          <w:rFonts w:ascii="Times New Roman" w:hAnsi="Times New Roman" w:eastAsia="宋体" w:cs="Times New Roman"/>
          <w:sz w:val="24"/>
          <w:szCs w:val="24"/>
        </w:rPr>
        <w:t>。</w:t>
      </w:r>
      <w:bookmarkEnd w:id="191"/>
      <w:bookmarkEnd w:id="192"/>
      <w:bookmarkEnd w:id="193"/>
    </w:p>
    <w:bookmarkEnd w:id="188"/>
    <w:bookmarkEnd w:id="189"/>
    <w:bookmarkEnd w:id="190"/>
    <w:p/>
    <w:sectPr>
      <w:headerReference r:id="rId6" w:type="default"/>
      <w:footerReference r:id="rId7" w:type="default"/>
      <w:pgSz w:w="11907" w:h="16839"/>
      <w:pgMar w:top="2325" w:right="1503" w:bottom="1202" w:left="1503" w:header="624" w:footer="1361" w:gutter="0"/>
      <w:pgNumType w:fmt="decimal" w:start="1"/>
      <w:cols w:space="720" w:num="1"/>
      <w:docGrid w:type="lines"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1830"/>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separate"/>
    </w:r>
    <w:r>
      <w:rPr>
        <w:rStyle w:val="42"/>
      </w:rPr>
      <w:t>1</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1830"/>
        <w:tab w:val="clear" w:pos="4153"/>
        <w:tab w:val="clear" w:pos="8306"/>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635" r="635" b="127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lfknQ&#10;AAAAAwEAAA8AAAAAAAAAAQAgAAAAIgAAAGRycy9kb3ducmV2LnhtbFBLAQIUABQAAAAIAIdO4kAI&#10;MjIR7wEAALYDAAAOAAAAAAAAAAEAIAAAAB8BAABkcnMvZTJvRG9jLnhtbFBLBQYAAAAABgAGAFkB&#10;AACABQAAAAA=&#10;">
              <v:fill on="f" focussize="0,0"/>
              <v:stroke on="f"/>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8"/>
      <w:tblW w:w="9003" w:type="dxa"/>
      <w:jc w:val="center"/>
      <w:tblLayout w:type="fixed"/>
      <w:tblCellMar>
        <w:top w:w="0" w:type="dxa"/>
        <w:left w:w="108" w:type="dxa"/>
        <w:bottom w:w="0" w:type="dxa"/>
        <w:right w:w="108" w:type="dxa"/>
      </w:tblCellMar>
    </w:tblPr>
    <w:tblGrid>
      <w:gridCol w:w="1050"/>
      <w:gridCol w:w="7953"/>
    </w:tblGrid>
    <w:tr>
      <w:tblPrEx>
        <w:tblCellMar>
          <w:top w:w="0" w:type="dxa"/>
          <w:left w:w="108" w:type="dxa"/>
          <w:bottom w:w="0" w:type="dxa"/>
          <w:right w:w="108" w:type="dxa"/>
        </w:tblCellMar>
      </w:tblPrEx>
      <w:trPr>
        <w:trHeight w:val="240" w:hRule="atLeast"/>
        <w:jc w:val="center"/>
      </w:trPr>
      <w:tc>
        <w:tcPr>
          <w:tcW w:w="1050" w:type="dxa"/>
        </w:tcPr>
        <w:p>
          <w:pPr>
            <w:pStyle w:val="25"/>
            <w:pBdr>
              <w:bottom w:val="none" w:color="auto" w:sz="0" w:space="0"/>
            </w:pBdr>
            <w:spacing w:before="120"/>
            <w:rPr>
              <w:sz w:val="44"/>
            </w:rPr>
          </w:pPr>
          <w:r>
            <w:rPr>
              <w:sz w:val="44"/>
            </w:rPr>
            <w:drawing>
              <wp:inline distT="0" distB="0" distL="0" distR="0">
                <wp:extent cx="572770" cy="596265"/>
                <wp:effectExtent l="0" t="0" r="0" b="0"/>
                <wp:docPr id="11" name="图片 1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未标题-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2770" cy="596265"/>
                        </a:xfrm>
                        <a:prstGeom prst="rect">
                          <a:avLst/>
                        </a:prstGeom>
                        <a:noFill/>
                        <a:ln>
                          <a:noFill/>
                        </a:ln>
                      </pic:spPr>
                    </pic:pic>
                  </a:graphicData>
                </a:graphic>
              </wp:inline>
            </w:drawing>
          </w:r>
        </w:p>
      </w:tc>
      <w:tc>
        <w:tcPr>
          <w:tcW w:w="7953" w:type="dxa"/>
        </w:tcPr>
        <w:p>
          <w:pPr>
            <w:pStyle w:val="25"/>
            <w:pBdr>
              <w:bottom w:val="none" w:color="auto" w:sz="0" w:space="0"/>
            </w:pBdr>
            <w:spacing w:before="120"/>
            <w:rPr>
              <w:sz w:val="30"/>
            </w:rPr>
          </w:pPr>
          <w:r>
            <w:rPr>
              <w:rFonts w:hint="eastAsia"/>
              <w:spacing w:val="40"/>
              <w:sz w:val="30"/>
            </w:rPr>
            <w:t>深圳市鹏信资产评估土地房地产估价有限公司</w:t>
          </w:r>
        </w:p>
        <w:p>
          <w:pPr>
            <w:pStyle w:val="25"/>
            <w:pBdr>
              <w:bottom w:val="none" w:color="auto" w:sz="0" w:space="0"/>
            </w:pBdr>
            <w:ind w:firstLine="360" w:firstLineChars="200"/>
          </w:pPr>
        </w:p>
        <w:p>
          <w:pPr>
            <w:pStyle w:val="25"/>
            <w:pBdr>
              <w:bottom w:val="none" w:color="auto" w:sz="0" w:space="0"/>
            </w:pBdr>
            <w:ind w:firstLine="360" w:firstLineChars="200"/>
            <w:rPr>
              <w:sz w:val="44"/>
            </w:rPr>
          </w:pPr>
          <w:r>
            <w:rPr>
              <w:rFonts w:hint="eastAsia"/>
            </w:rPr>
            <w:t>报告编号：鹏信房估字[2020]第CSC003号</w:t>
          </w:r>
        </w:p>
      </w:tc>
    </w:tr>
  </w:tbl>
  <w:p>
    <w:pPr>
      <w:pStyle w:val="2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633AC"/>
    <w:multiLevelType w:val="multilevel"/>
    <w:tmpl w:val="6E9633AC"/>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bordersDoNotSurroundHeader w:val="0"/>
  <w:bordersDoNotSurroundFooter w:val="0"/>
  <w:trackRevisions w:val="1"/>
  <w:documentProtection w:enforcement="0"/>
  <w:defaultTabStop w:val="420"/>
  <w:drawingGridHorizontalSpacing w:val="105"/>
  <w:drawingGridVerticalSpacing w:val="15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1A"/>
    <w:rsid w:val="00000F89"/>
    <w:rsid w:val="000025D7"/>
    <w:rsid w:val="00011456"/>
    <w:rsid w:val="000130DB"/>
    <w:rsid w:val="00020AAF"/>
    <w:rsid w:val="00020C6C"/>
    <w:rsid w:val="00024BBD"/>
    <w:rsid w:val="00035451"/>
    <w:rsid w:val="000363E5"/>
    <w:rsid w:val="0003658D"/>
    <w:rsid w:val="00036CC9"/>
    <w:rsid w:val="00041D37"/>
    <w:rsid w:val="0004469D"/>
    <w:rsid w:val="000474C0"/>
    <w:rsid w:val="00053AB6"/>
    <w:rsid w:val="00053FD4"/>
    <w:rsid w:val="000637D5"/>
    <w:rsid w:val="00063CCA"/>
    <w:rsid w:val="00070152"/>
    <w:rsid w:val="00076604"/>
    <w:rsid w:val="0009075F"/>
    <w:rsid w:val="00092499"/>
    <w:rsid w:val="000976A0"/>
    <w:rsid w:val="000A334B"/>
    <w:rsid w:val="000A33E6"/>
    <w:rsid w:val="000A5594"/>
    <w:rsid w:val="000A73CF"/>
    <w:rsid w:val="000B24C0"/>
    <w:rsid w:val="000C1116"/>
    <w:rsid w:val="000C1679"/>
    <w:rsid w:val="000C27EE"/>
    <w:rsid w:val="000C655B"/>
    <w:rsid w:val="000C7D46"/>
    <w:rsid w:val="000D1E3D"/>
    <w:rsid w:val="000D2360"/>
    <w:rsid w:val="000D6780"/>
    <w:rsid w:val="000E15F6"/>
    <w:rsid w:val="000E5CAB"/>
    <w:rsid w:val="000F0003"/>
    <w:rsid w:val="000F384F"/>
    <w:rsid w:val="000F598C"/>
    <w:rsid w:val="00106883"/>
    <w:rsid w:val="001121F0"/>
    <w:rsid w:val="0012149B"/>
    <w:rsid w:val="0012285D"/>
    <w:rsid w:val="00123550"/>
    <w:rsid w:val="00123906"/>
    <w:rsid w:val="001311C2"/>
    <w:rsid w:val="0013413A"/>
    <w:rsid w:val="0013474F"/>
    <w:rsid w:val="0013494B"/>
    <w:rsid w:val="00135C39"/>
    <w:rsid w:val="00136B85"/>
    <w:rsid w:val="0014042C"/>
    <w:rsid w:val="00141324"/>
    <w:rsid w:val="00146FC9"/>
    <w:rsid w:val="00161F9B"/>
    <w:rsid w:val="00162EA9"/>
    <w:rsid w:val="00172549"/>
    <w:rsid w:val="00172868"/>
    <w:rsid w:val="00174F85"/>
    <w:rsid w:val="0018378E"/>
    <w:rsid w:val="00183AB3"/>
    <w:rsid w:val="00184446"/>
    <w:rsid w:val="00187AC5"/>
    <w:rsid w:val="001944D6"/>
    <w:rsid w:val="00195534"/>
    <w:rsid w:val="001A1020"/>
    <w:rsid w:val="001A20B5"/>
    <w:rsid w:val="001B03F3"/>
    <w:rsid w:val="001C218A"/>
    <w:rsid w:val="001C2BA2"/>
    <w:rsid w:val="001D1736"/>
    <w:rsid w:val="001D2CD9"/>
    <w:rsid w:val="001E0EA6"/>
    <w:rsid w:val="001E15BF"/>
    <w:rsid w:val="001E1D30"/>
    <w:rsid w:val="001E7A20"/>
    <w:rsid w:val="001F1DBF"/>
    <w:rsid w:val="001F1EFB"/>
    <w:rsid w:val="001F3DB9"/>
    <w:rsid w:val="001F508C"/>
    <w:rsid w:val="0020228C"/>
    <w:rsid w:val="00202778"/>
    <w:rsid w:val="002057C2"/>
    <w:rsid w:val="002117B6"/>
    <w:rsid w:val="0021418C"/>
    <w:rsid w:val="00223B75"/>
    <w:rsid w:val="002267B4"/>
    <w:rsid w:val="00231885"/>
    <w:rsid w:val="0023197F"/>
    <w:rsid w:val="00231F53"/>
    <w:rsid w:val="00234104"/>
    <w:rsid w:val="002374D0"/>
    <w:rsid w:val="002375AB"/>
    <w:rsid w:val="0024553D"/>
    <w:rsid w:val="00246830"/>
    <w:rsid w:val="002659F0"/>
    <w:rsid w:val="00266BFF"/>
    <w:rsid w:val="00266F62"/>
    <w:rsid w:val="002672BE"/>
    <w:rsid w:val="00267754"/>
    <w:rsid w:val="0028030F"/>
    <w:rsid w:val="002809E2"/>
    <w:rsid w:val="002829DE"/>
    <w:rsid w:val="002854E3"/>
    <w:rsid w:val="002855B0"/>
    <w:rsid w:val="00296053"/>
    <w:rsid w:val="002962DC"/>
    <w:rsid w:val="002A54A3"/>
    <w:rsid w:val="002B6CAB"/>
    <w:rsid w:val="002B6D3E"/>
    <w:rsid w:val="002C4F15"/>
    <w:rsid w:val="002C7E83"/>
    <w:rsid w:val="002D3191"/>
    <w:rsid w:val="002D3A05"/>
    <w:rsid w:val="002F14CE"/>
    <w:rsid w:val="002F5A83"/>
    <w:rsid w:val="00301F71"/>
    <w:rsid w:val="00304F18"/>
    <w:rsid w:val="00311175"/>
    <w:rsid w:val="003118D9"/>
    <w:rsid w:val="00317882"/>
    <w:rsid w:val="00320D79"/>
    <w:rsid w:val="0032219A"/>
    <w:rsid w:val="003236EF"/>
    <w:rsid w:val="00327EA3"/>
    <w:rsid w:val="003325E4"/>
    <w:rsid w:val="003377E5"/>
    <w:rsid w:val="0035391A"/>
    <w:rsid w:val="00353E76"/>
    <w:rsid w:val="00354163"/>
    <w:rsid w:val="003547C6"/>
    <w:rsid w:val="00355182"/>
    <w:rsid w:val="003564D5"/>
    <w:rsid w:val="0035748A"/>
    <w:rsid w:val="003574AA"/>
    <w:rsid w:val="00376ECF"/>
    <w:rsid w:val="00384BB0"/>
    <w:rsid w:val="00394DDE"/>
    <w:rsid w:val="003962DC"/>
    <w:rsid w:val="003A037B"/>
    <w:rsid w:val="003A3DFB"/>
    <w:rsid w:val="003A575D"/>
    <w:rsid w:val="003A73FE"/>
    <w:rsid w:val="003B157A"/>
    <w:rsid w:val="003B52EB"/>
    <w:rsid w:val="003C191D"/>
    <w:rsid w:val="003C22B2"/>
    <w:rsid w:val="003C4234"/>
    <w:rsid w:val="003C68F4"/>
    <w:rsid w:val="003D2612"/>
    <w:rsid w:val="003D4078"/>
    <w:rsid w:val="003E15D0"/>
    <w:rsid w:val="003E562A"/>
    <w:rsid w:val="00403FD7"/>
    <w:rsid w:val="00411CEA"/>
    <w:rsid w:val="00414BF6"/>
    <w:rsid w:val="00417597"/>
    <w:rsid w:val="004200D8"/>
    <w:rsid w:val="00422371"/>
    <w:rsid w:val="00430BA8"/>
    <w:rsid w:val="00434697"/>
    <w:rsid w:val="00436611"/>
    <w:rsid w:val="00437D5D"/>
    <w:rsid w:val="004438BD"/>
    <w:rsid w:val="004462F0"/>
    <w:rsid w:val="0045098D"/>
    <w:rsid w:val="00450B6D"/>
    <w:rsid w:val="0045539B"/>
    <w:rsid w:val="00460BEB"/>
    <w:rsid w:val="00470479"/>
    <w:rsid w:val="004710F1"/>
    <w:rsid w:val="004715EC"/>
    <w:rsid w:val="00482462"/>
    <w:rsid w:val="004831E9"/>
    <w:rsid w:val="00491DF0"/>
    <w:rsid w:val="004940BA"/>
    <w:rsid w:val="004A27E2"/>
    <w:rsid w:val="004A4461"/>
    <w:rsid w:val="004A6320"/>
    <w:rsid w:val="004A774E"/>
    <w:rsid w:val="004A7F34"/>
    <w:rsid w:val="004B0ED2"/>
    <w:rsid w:val="004B1DAE"/>
    <w:rsid w:val="004B5EF6"/>
    <w:rsid w:val="004C0931"/>
    <w:rsid w:val="004C478E"/>
    <w:rsid w:val="004C66C9"/>
    <w:rsid w:val="004D1181"/>
    <w:rsid w:val="004D1402"/>
    <w:rsid w:val="004D5796"/>
    <w:rsid w:val="004D7430"/>
    <w:rsid w:val="004E3CEA"/>
    <w:rsid w:val="004E7FB8"/>
    <w:rsid w:val="004F3CA4"/>
    <w:rsid w:val="004F767F"/>
    <w:rsid w:val="00502146"/>
    <w:rsid w:val="005101AE"/>
    <w:rsid w:val="0051195D"/>
    <w:rsid w:val="00515437"/>
    <w:rsid w:val="0051716C"/>
    <w:rsid w:val="005206DB"/>
    <w:rsid w:val="00526838"/>
    <w:rsid w:val="00526E35"/>
    <w:rsid w:val="00527D48"/>
    <w:rsid w:val="005350C9"/>
    <w:rsid w:val="00540643"/>
    <w:rsid w:val="00543F19"/>
    <w:rsid w:val="0055038E"/>
    <w:rsid w:val="005557F5"/>
    <w:rsid w:val="005604F1"/>
    <w:rsid w:val="005622A8"/>
    <w:rsid w:val="005646C7"/>
    <w:rsid w:val="00577234"/>
    <w:rsid w:val="00577461"/>
    <w:rsid w:val="00577CF7"/>
    <w:rsid w:val="00581779"/>
    <w:rsid w:val="00581B40"/>
    <w:rsid w:val="005875BC"/>
    <w:rsid w:val="00591568"/>
    <w:rsid w:val="0059327E"/>
    <w:rsid w:val="00594C10"/>
    <w:rsid w:val="00594F66"/>
    <w:rsid w:val="00596CE5"/>
    <w:rsid w:val="0059794F"/>
    <w:rsid w:val="005A30EF"/>
    <w:rsid w:val="005A3137"/>
    <w:rsid w:val="005A745D"/>
    <w:rsid w:val="005B02C7"/>
    <w:rsid w:val="005B6A60"/>
    <w:rsid w:val="005B75AA"/>
    <w:rsid w:val="005C0CAF"/>
    <w:rsid w:val="005C3867"/>
    <w:rsid w:val="005C38E2"/>
    <w:rsid w:val="005D123F"/>
    <w:rsid w:val="005D75B5"/>
    <w:rsid w:val="005E18EF"/>
    <w:rsid w:val="005E2933"/>
    <w:rsid w:val="005E433D"/>
    <w:rsid w:val="005E7C73"/>
    <w:rsid w:val="005F3E0A"/>
    <w:rsid w:val="006013B1"/>
    <w:rsid w:val="00602C18"/>
    <w:rsid w:val="006044A1"/>
    <w:rsid w:val="00613529"/>
    <w:rsid w:val="00614DD4"/>
    <w:rsid w:val="00616325"/>
    <w:rsid w:val="00621F42"/>
    <w:rsid w:val="00624F7C"/>
    <w:rsid w:val="00637AC3"/>
    <w:rsid w:val="00642F68"/>
    <w:rsid w:val="00645ACB"/>
    <w:rsid w:val="00646981"/>
    <w:rsid w:val="006557B5"/>
    <w:rsid w:val="00655ECD"/>
    <w:rsid w:val="00657C5E"/>
    <w:rsid w:val="00662B6E"/>
    <w:rsid w:val="00665384"/>
    <w:rsid w:val="00681A88"/>
    <w:rsid w:val="00683193"/>
    <w:rsid w:val="00683620"/>
    <w:rsid w:val="00684912"/>
    <w:rsid w:val="00684F71"/>
    <w:rsid w:val="00694556"/>
    <w:rsid w:val="0069564D"/>
    <w:rsid w:val="00695861"/>
    <w:rsid w:val="00696C9E"/>
    <w:rsid w:val="00696D32"/>
    <w:rsid w:val="006974D3"/>
    <w:rsid w:val="006A6469"/>
    <w:rsid w:val="006A6917"/>
    <w:rsid w:val="006A69E4"/>
    <w:rsid w:val="006A7D02"/>
    <w:rsid w:val="006B5459"/>
    <w:rsid w:val="006C3393"/>
    <w:rsid w:val="006C3653"/>
    <w:rsid w:val="006D1036"/>
    <w:rsid w:val="006D4523"/>
    <w:rsid w:val="006E14FC"/>
    <w:rsid w:val="006E1DD5"/>
    <w:rsid w:val="006E4781"/>
    <w:rsid w:val="006E58B7"/>
    <w:rsid w:val="006F1B76"/>
    <w:rsid w:val="006F2710"/>
    <w:rsid w:val="006F2986"/>
    <w:rsid w:val="006F41BB"/>
    <w:rsid w:val="006F4C42"/>
    <w:rsid w:val="006F76E2"/>
    <w:rsid w:val="006F7B03"/>
    <w:rsid w:val="006F7DAF"/>
    <w:rsid w:val="00702A57"/>
    <w:rsid w:val="00716633"/>
    <w:rsid w:val="00732315"/>
    <w:rsid w:val="00733EC5"/>
    <w:rsid w:val="00736A30"/>
    <w:rsid w:val="00740505"/>
    <w:rsid w:val="0074508E"/>
    <w:rsid w:val="00775A06"/>
    <w:rsid w:val="00776498"/>
    <w:rsid w:val="00777C79"/>
    <w:rsid w:val="00782D2B"/>
    <w:rsid w:val="007A4458"/>
    <w:rsid w:val="007A46F6"/>
    <w:rsid w:val="007A5BA8"/>
    <w:rsid w:val="007A5DBF"/>
    <w:rsid w:val="007A6A81"/>
    <w:rsid w:val="007B2069"/>
    <w:rsid w:val="007B337E"/>
    <w:rsid w:val="007B53A8"/>
    <w:rsid w:val="007C2844"/>
    <w:rsid w:val="007C3537"/>
    <w:rsid w:val="007C6B0A"/>
    <w:rsid w:val="007D1AFE"/>
    <w:rsid w:val="007D2E89"/>
    <w:rsid w:val="007D3E95"/>
    <w:rsid w:val="007D7C8B"/>
    <w:rsid w:val="007E1952"/>
    <w:rsid w:val="007E3794"/>
    <w:rsid w:val="007F1B81"/>
    <w:rsid w:val="007F563B"/>
    <w:rsid w:val="007F5E1B"/>
    <w:rsid w:val="008076A3"/>
    <w:rsid w:val="00811581"/>
    <w:rsid w:val="0081287D"/>
    <w:rsid w:val="00812E03"/>
    <w:rsid w:val="008218BC"/>
    <w:rsid w:val="00822DF2"/>
    <w:rsid w:val="00824BAB"/>
    <w:rsid w:val="0083074A"/>
    <w:rsid w:val="00831670"/>
    <w:rsid w:val="008318B9"/>
    <w:rsid w:val="00836AB4"/>
    <w:rsid w:val="00843FE0"/>
    <w:rsid w:val="00850123"/>
    <w:rsid w:val="00851C66"/>
    <w:rsid w:val="00856531"/>
    <w:rsid w:val="00856C2B"/>
    <w:rsid w:val="00857B06"/>
    <w:rsid w:val="00862D54"/>
    <w:rsid w:val="00870C90"/>
    <w:rsid w:val="00872AB3"/>
    <w:rsid w:val="00873F8E"/>
    <w:rsid w:val="0087407F"/>
    <w:rsid w:val="00880691"/>
    <w:rsid w:val="008854F3"/>
    <w:rsid w:val="008864CF"/>
    <w:rsid w:val="008A0D2F"/>
    <w:rsid w:val="008A15F8"/>
    <w:rsid w:val="008A3119"/>
    <w:rsid w:val="008A7BF9"/>
    <w:rsid w:val="008B56E7"/>
    <w:rsid w:val="008B7975"/>
    <w:rsid w:val="008C28FC"/>
    <w:rsid w:val="008C63CE"/>
    <w:rsid w:val="008C65A3"/>
    <w:rsid w:val="008D0F40"/>
    <w:rsid w:val="008D2F21"/>
    <w:rsid w:val="008D34E4"/>
    <w:rsid w:val="008E2357"/>
    <w:rsid w:val="008F174D"/>
    <w:rsid w:val="008F4D27"/>
    <w:rsid w:val="00900FC5"/>
    <w:rsid w:val="00916E6D"/>
    <w:rsid w:val="00920C69"/>
    <w:rsid w:val="00922845"/>
    <w:rsid w:val="0092695F"/>
    <w:rsid w:val="00927A71"/>
    <w:rsid w:val="009377B3"/>
    <w:rsid w:val="00943890"/>
    <w:rsid w:val="00946E63"/>
    <w:rsid w:val="009512FA"/>
    <w:rsid w:val="00954FF7"/>
    <w:rsid w:val="00964BAB"/>
    <w:rsid w:val="0097116A"/>
    <w:rsid w:val="00973133"/>
    <w:rsid w:val="00983AB9"/>
    <w:rsid w:val="009845D0"/>
    <w:rsid w:val="00991A80"/>
    <w:rsid w:val="009A0CEC"/>
    <w:rsid w:val="009A37FA"/>
    <w:rsid w:val="009B4015"/>
    <w:rsid w:val="009C36F4"/>
    <w:rsid w:val="009C55B0"/>
    <w:rsid w:val="009C7110"/>
    <w:rsid w:val="009D60B4"/>
    <w:rsid w:val="009D7779"/>
    <w:rsid w:val="009E1334"/>
    <w:rsid w:val="009E4CE0"/>
    <w:rsid w:val="009E6F71"/>
    <w:rsid w:val="00A0067A"/>
    <w:rsid w:val="00A00803"/>
    <w:rsid w:val="00A008BF"/>
    <w:rsid w:val="00A1698B"/>
    <w:rsid w:val="00A35EA0"/>
    <w:rsid w:val="00A3761A"/>
    <w:rsid w:val="00A4096A"/>
    <w:rsid w:val="00A4267D"/>
    <w:rsid w:val="00A42FE8"/>
    <w:rsid w:val="00A43CD2"/>
    <w:rsid w:val="00A461BB"/>
    <w:rsid w:val="00A50229"/>
    <w:rsid w:val="00A51121"/>
    <w:rsid w:val="00A51954"/>
    <w:rsid w:val="00A55A5A"/>
    <w:rsid w:val="00A611A7"/>
    <w:rsid w:val="00A61B75"/>
    <w:rsid w:val="00A62B4D"/>
    <w:rsid w:val="00A62F26"/>
    <w:rsid w:val="00A6490F"/>
    <w:rsid w:val="00A66DEB"/>
    <w:rsid w:val="00A72CA6"/>
    <w:rsid w:val="00A7750C"/>
    <w:rsid w:val="00A804EA"/>
    <w:rsid w:val="00A81E9E"/>
    <w:rsid w:val="00A83C30"/>
    <w:rsid w:val="00A864E9"/>
    <w:rsid w:val="00A86AFC"/>
    <w:rsid w:val="00A92A54"/>
    <w:rsid w:val="00A95F08"/>
    <w:rsid w:val="00AA7EEF"/>
    <w:rsid w:val="00AB1FA7"/>
    <w:rsid w:val="00AB2CE8"/>
    <w:rsid w:val="00AB4BB4"/>
    <w:rsid w:val="00AB6977"/>
    <w:rsid w:val="00AC0804"/>
    <w:rsid w:val="00AC51EC"/>
    <w:rsid w:val="00AD3091"/>
    <w:rsid w:val="00AD4DAA"/>
    <w:rsid w:val="00AD6C7C"/>
    <w:rsid w:val="00AF307E"/>
    <w:rsid w:val="00AF5800"/>
    <w:rsid w:val="00B00C77"/>
    <w:rsid w:val="00B028B4"/>
    <w:rsid w:val="00B050E6"/>
    <w:rsid w:val="00B05256"/>
    <w:rsid w:val="00B063E2"/>
    <w:rsid w:val="00B109C8"/>
    <w:rsid w:val="00B123BD"/>
    <w:rsid w:val="00B12E4B"/>
    <w:rsid w:val="00B14D96"/>
    <w:rsid w:val="00B15AD2"/>
    <w:rsid w:val="00B15E5A"/>
    <w:rsid w:val="00B16955"/>
    <w:rsid w:val="00B17A00"/>
    <w:rsid w:val="00B17AF7"/>
    <w:rsid w:val="00B2116C"/>
    <w:rsid w:val="00B2165C"/>
    <w:rsid w:val="00B23608"/>
    <w:rsid w:val="00B26F96"/>
    <w:rsid w:val="00B3325E"/>
    <w:rsid w:val="00B35BA6"/>
    <w:rsid w:val="00B37900"/>
    <w:rsid w:val="00B441DF"/>
    <w:rsid w:val="00B45280"/>
    <w:rsid w:val="00B531AA"/>
    <w:rsid w:val="00B53642"/>
    <w:rsid w:val="00B558A2"/>
    <w:rsid w:val="00B5595D"/>
    <w:rsid w:val="00B559EB"/>
    <w:rsid w:val="00B5604F"/>
    <w:rsid w:val="00B62058"/>
    <w:rsid w:val="00B66D49"/>
    <w:rsid w:val="00B66DF2"/>
    <w:rsid w:val="00B71F17"/>
    <w:rsid w:val="00B7481D"/>
    <w:rsid w:val="00B777FA"/>
    <w:rsid w:val="00B825EA"/>
    <w:rsid w:val="00B8353C"/>
    <w:rsid w:val="00B860BF"/>
    <w:rsid w:val="00B87505"/>
    <w:rsid w:val="00B9070B"/>
    <w:rsid w:val="00B922D2"/>
    <w:rsid w:val="00B957EC"/>
    <w:rsid w:val="00BA2B0D"/>
    <w:rsid w:val="00BB2FB4"/>
    <w:rsid w:val="00BC0BBA"/>
    <w:rsid w:val="00BC5BB1"/>
    <w:rsid w:val="00BC6369"/>
    <w:rsid w:val="00BD2EEB"/>
    <w:rsid w:val="00BD5771"/>
    <w:rsid w:val="00BD747F"/>
    <w:rsid w:val="00BE1094"/>
    <w:rsid w:val="00BE5D34"/>
    <w:rsid w:val="00BE770D"/>
    <w:rsid w:val="00BF2A5D"/>
    <w:rsid w:val="00BF4C39"/>
    <w:rsid w:val="00BF4D02"/>
    <w:rsid w:val="00BF5719"/>
    <w:rsid w:val="00BF7622"/>
    <w:rsid w:val="00C0237A"/>
    <w:rsid w:val="00C03168"/>
    <w:rsid w:val="00C05461"/>
    <w:rsid w:val="00C11B00"/>
    <w:rsid w:val="00C203B3"/>
    <w:rsid w:val="00C22799"/>
    <w:rsid w:val="00C2386B"/>
    <w:rsid w:val="00C2486D"/>
    <w:rsid w:val="00C24D47"/>
    <w:rsid w:val="00C252EA"/>
    <w:rsid w:val="00C351DC"/>
    <w:rsid w:val="00C43449"/>
    <w:rsid w:val="00C43D9E"/>
    <w:rsid w:val="00C609D0"/>
    <w:rsid w:val="00C65D70"/>
    <w:rsid w:val="00C6611A"/>
    <w:rsid w:val="00C67ADA"/>
    <w:rsid w:val="00C708CA"/>
    <w:rsid w:val="00C708E6"/>
    <w:rsid w:val="00C7695B"/>
    <w:rsid w:val="00C76AD6"/>
    <w:rsid w:val="00C80990"/>
    <w:rsid w:val="00C83DE3"/>
    <w:rsid w:val="00C92425"/>
    <w:rsid w:val="00CA24D7"/>
    <w:rsid w:val="00CB0333"/>
    <w:rsid w:val="00CC2A6F"/>
    <w:rsid w:val="00CC4489"/>
    <w:rsid w:val="00CC48D5"/>
    <w:rsid w:val="00CD0005"/>
    <w:rsid w:val="00CD50D5"/>
    <w:rsid w:val="00CD6DF5"/>
    <w:rsid w:val="00CE0EE0"/>
    <w:rsid w:val="00CE1792"/>
    <w:rsid w:val="00CE6052"/>
    <w:rsid w:val="00CE6148"/>
    <w:rsid w:val="00CE736E"/>
    <w:rsid w:val="00CF429B"/>
    <w:rsid w:val="00CF6492"/>
    <w:rsid w:val="00CF67F9"/>
    <w:rsid w:val="00D00CCF"/>
    <w:rsid w:val="00D03846"/>
    <w:rsid w:val="00D04B86"/>
    <w:rsid w:val="00D04D18"/>
    <w:rsid w:val="00D07311"/>
    <w:rsid w:val="00D13E20"/>
    <w:rsid w:val="00D17ED0"/>
    <w:rsid w:val="00D25560"/>
    <w:rsid w:val="00D30C93"/>
    <w:rsid w:val="00D30CE7"/>
    <w:rsid w:val="00D3123F"/>
    <w:rsid w:val="00D3284A"/>
    <w:rsid w:val="00D3619A"/>
    <w:rsid w:val="00D43AA4"/>
    <w:rsid w:val="00D4623D"/>
    <w:rsid w:val="00D52D5C"/>
    <w:rsid w:val="00D53036"/>
    <w:rsid w:val="00D57CA1"/>
    <w:rsid w:val="00D622F0"/>
    <w:rsid w:val="00D6282E"/>
    <w:rsid w:val="00D736DA"/>
    <w:rsid w:val="00D83BB7"/>
    <w:rsid w:val="00D9359C"/>
    <w:rsid w:val="00D959FB"/>
    <w:rsid w:val="00D97217"/>
    <w:rsid w:val="00DA011D"/>
    <w:rsid w:val="00DA22B5"/>
    <w:rsid w:val="00DA2CAD"/>
    <w:rsid w:val="00DA36E7"/>
    <w:rsid w:val="00DA4120"/>
    <w:rsid w:val="00DA53B7"/>
    <w:rsid w:val="00DA61BC"/>
    <w:rsid w:val="00DA681B"/>
    <w:rsid w:val="00DB025C"/>
    <w:rsid w:val="00DB0764"/>
    <w:rsid w:val="00DB1B2A"/>
    <w:rsid w:val="00DB1E2A"/>
    <w:rsid w:val="00DD2B2B"/>
    <w:rsid w:val="00DE005B"/>
    <w:rsid w:val="00DE73BF"/>
    <w:rsid w:val="00DF1FCC"/>
    <w:rsid w:val="00E0636F"/>
    <w:rsid w:val="00E124B9"/>
    <w:rsid w:val="00E131FE"/>
    <w:rsid w:val="00E140A7"/>
    <w:rsid w:val="00E151BE"/>
    <w:rsid w:val="00E21126"/>
    <w:rsid w:val="00E211A1"/>
    <w:rsid w:val="00E32F08"/>
    <w:rsid w:val="00E33870"/>
    <w:rsid w:val="00E34B9E"/>
    <w:rsid w:val="00E50546"/>
    <w:rsid w:val="00E60227"/>
    <w:rsid w:val="00E63E5F"/>
    <w:rsid w:val="00E662C3"/>
    <w:rsid w:val="00E66359"/>
    <w:rsid w:val="00E66505"/>
    <w:rsid w:val="00E701AE"/>
    <w:rsid w:val="00E73550"/>
    <w:rsid w:val="00E74B66"/>
    <w:rsid w:val="00E74C4F"/>
    <w:rsid w:val="00E86301"/>
    <w:rsid w:val="00E972D9"/>
    <w:rsid w:val="00EA65EA"/>
    <w:rsid w:val="00EA7DEF"/>
    <w:rsid w:val="00EB1A12"/>
    <w:rsid w:val="00EB788F"/>
    <w:rsid w:val="00EC1C06"/>
    <w:rsid w:val="00EC24A0"/>
    <w:rsid w:val="00EC4EA6"/>
    <w:rsid w:val="00EC7095"/>
    <w:rsid w:val="00ED2E17"/>
    <w:rsid w:val="00ED5426"/>
    <w:rsid w:val="00EE200B"/>
    <w:rsid w:val="00EE3B3D"/>
    <w:rsid w:val="00EF0713"/>
    <w:rsid w:val="00EF0AF8"/>
    <w:rsid w:val="00EF247B"/>
    <w:rsid w:val="00F01E9E"/>
    <w:rsid w:val="00F0463B"/>
    <w:rsid w:val="00F14048"/>
    <w:rsid w:val="00F17871"/>
    <w:rsid w:val="00F36131"/>
    <w:rsid w:val="00F42FDD"/>
    <w:rsid w:val="00F46C26"/>
    <w:rsid w:val="00F5285F"/>
    <w:rsid w:val="00F57A2F"/>
    <w:rsid w:val="00F57BE7"/>
    <w:rsid w:val="00F60191"/>
    <w:rsid w:val="00F62B1F"/>
    <w:rsid w:val="00F7124C"/>
    <w:rsid w:val="00F765B5"/>
    <w:rsid w:val="00F82D8F"/>
    <w:rsid w:val="00F87315"/>
    <w:rsid w:val="00F876AC"/>
    <w:rsid w:val="00F90A0D"/>
    <w:rsid w:val="00F9109A"/>
    <w:rsid w:val="00F912D6"/>
    <w:rsid w:val="00F93A4C"/>
    <w:rsid w:val="00F94067"/>
    <w:rsid w:val="00F94380"/>
    <w:rsid w:val="00F955F0"/>
    <w:rsid w:val="00FA0D20"/>
    <w:rsid w:val="00FA0EAD"/>
    <w:rsid w:val="00FA3A55"/>
    <w:rsid w:val="00FA5B86"/>
    <w:rsid w:val="00FA7B93"/>
    <w:rsid w:val="00FB1EF8"/>
    <w:rsid w:val="00FB2277"/>
    <w:rsid w:val="00FB7982"/>
    <w:rsid w:val="00FD23A7"/>
    <w:rsid w:val="00FF0707"/>
    <w:rsid w:val="01AC53A5"/>
    <w:rsid w:val="01BF43CB"/>
    <w:rsid w:val="01D627A9"/>
    <w:rsid w:val="022353E2"/>
    <w:rsid w:val="0262689E"/>
    <w:rsid w:val="02B13DC3"/>
    <w:rsid w:val="036A2E62"/>
    <w:rsid w:val="043B5A2D"/>
    <w:rsid w:val="04E95A12"/>
    <w:rsid w:val="05A17388"/>
    <w:rsid w:val="061C56B9"/>
    <w:rsid w:val="07221101"/>
    <w:rsid w:val="08123416"/>
    <w:rsid w:val="08656B44"/>
    <w:rsid w:val="08F85B6D"/>
    <w:rsid w:val="09A46028"/>
    <w:rsid w:val="0A4E6387"/>
    <w:rsid w:val="0B037E3E"/>
    <w:rsid w:val="0BA6218F"/>
    <w:rsid w:val="0BC82B6C"/>
    <w:rsid w:val="0C960E5A"/>
    <w:rsid w:val="0CEE7CC1"/>
    <w:rsid w:val="0D6F63AB"/>
    <w:rsid w:val="0DE100CC"/>
    <w:rsid w:val="0DF3235C"/>
    <w:rsid w:val="0E59042E"/>
    <w:rsid w:val="0ECC5DC0"/>
    <w:rsid w:val="0F3C2C19"/>
    <w:rsid w:val="0F84408C"/>
    <w:rsid w:val="1023584B"/>
    <w:rsid w:val="10512641"/>
    <w:rsid w:val="106642B6"/>
    <w:rsid w:val="108C467A"/>
    <w:rsid w:val="11794BE9"/>
    <w:rsid w:val="12265E47"/>
    <w:rsid w:val="122A1D80"/>
    <w:rsid w:val="13DE3F09"/>
    <w:rsid w:val="13F86440"/>
    <w:rsid w:val="143365F6"/>
    <w:rsid w:val="148431CA"/>
    <w:rsid w:val="159961A1"/>
    <w:rsid w:val="163B6A25"/>
    <w:rsid w:val="16E25DFC"/>
    <w:rsid w:val="16EC50E6"/>
    <w:rsid w:val="16FC1C7F"/>
    <w:rsid w:val="17290AA4"/>
    <w:rsid w:val="1880131E"/>
    <w:rsid w:val="18C92E49"/>
    <w:rsid w:val="193A7BAD"/>
    <w:rsid w:val="19FA1151"/>
    <w:rsid w:val="1AE604F8"/>
    <w:rsid w:val="1B0B1CA6"/>
    <w:rsid w:val="1C280D91"/>
    <w:rsid w:val="1C411C08"/>
    <w:rsid w:val="1C480DF1"/>
    <w:rsid w:val="1CB26CAA"/>
    <w:rsid w:val="1CC50EDE"/>
    <w:rsid w:val="1DE40B6E"/>
    <w:rsid w:val="1E0A1E9D"/>
    <w:rsid w:val="1E6C4A54"/>
    <w:rsid w:val="1F525EA3"/>
    <w:rsid w:val="1F7B79CA"/>
    <w:rsid w:val="1FCF5727"/>
    <w:rsid w:val="21146F20"/>
    <w:rsid w:val="21481F86"/>
    <w:rsid w:val="21524750"/>
    <w:rsid w:val="21C77F48"/>
    <w:rsid w:val="220E0D83"/>
    <w:rsid w:val="222876C3"/>
    <w:rsid w:val="22744D3B"/>
    <w:rsid w:val="2279438F"/>
    <w:rsid w:val="23075B11"/>
    <w:rsid w:val="25137D44"/>
    <w:rsid w:val="25E97343"/>
    <w:rsid w:val="26266E65"/>
    <w:rsid w:val="26BE0DB9"/>
    <w:rsid w:val="26CF2AB5"/>
    <w:rsid w:val="26F177B4"/>
    <w:rsid w:val="27625B64"/>
    <w:rsid w:val="27832CBE"/>
    <w:rsid w:val="2788775A"/>
    <w:rsid w:val="27AF33E9"/>
    <w:rsid w:val="27DA5C94"/>
    <w:rsid w:val="284A6C51"/>
    <w:rsid w:val="286079DA"/>
    <w:rsid w:val="288A52DA"/>
    <w:rsid w:val="298E2258"/>
    <w:rsid w:val="2A53645B"/>
    <w:rsid w:val="2C4F0BEA"/>
    <w:rsid w:val="2C865FE6"/>
    <w:rsid w:val="2E4258AF"/>
    <w:rsid w:val="2E5D01ED"/>
    <w:rsid w:val="2E7A64D6"/>
    <w:rsid w:val="2EBB298C"/>
    <w:rsid w:val="2F593F52"/>
    <w:rsid w:val="2FBE3FEE"/>
    <w:rsid w:val="300370A2"/>
    <w:rsid w:val="30607ABD"/>
    <w:rsid w:val="308C70C7"/>
    <w:rsid w:val="30C254A8"/>
    <w:rsid w:val="30FF5E30"/>
    <w:rsid w:val="314D24A8"/>
    <w:rsid w:val="319A09BF"/>
    <w:rsid w:val="319F78E6"/>
    <w:rsid w:val="31D744B3"/>
    <w:rsid w:val="31F362FA"/>
    <w:rsid w:val="32815BA5"/>
    <w:rsid w:val="32FA0CEA"/>
    <w:rsid w:val="330A0A5C"/>
    <w:rsid w:val="33AB2B60"/>
    <w:rsid w:val="34321B78"/>
    <w:rsid w:val="351B45AB"/>
    <w:rsid w:val="35372020"/>
    <w:rsid w:val="35DF6D2F"/>
    <w:rsid w:val="36E67303"/>
    <w:rsid w:val="37281A31"/>
    <w:rsid w:val="372D377D"/>
    <w:rsid w:val="37421E4F"/>
    <w:rsid w:val="37BD6408"/>
    <w:rsid w:val="37D4133D"/>
    <w:rsid w:val="38FD3F2A"/>
    <w:rsid w:val="39516CB9"/>
    <w:rsid w:val="399A7AA9"/>
    <w:rsid w:val="39FA46DA"/>
    <w:rsid w:val="3AA76F96"/>
    <w:rsid w:val="3ADE3838"/>
    <w:rsid w:val="3AEA0D9B"/>
    <w:rsid w:val="3B1A3F5B"/>
    <w:rsid w:val="3BF96973"/>
    <w:rsid w:val="3C0E0326"/>
    <w:rsid w:val="3C5B23C4"/>
    <w:rsid w:val="3C956C75"/>
    <w:rsid w:val="3CA66CAB"/>
    <w:rsid w:val="3CF01094"/>
    <w:rsid w:val="3D790FE6"/>
    <w:rsid w:val="3DBA05BC"/>
    <w:rsid w:val="3E30562F"/>
    <w:rsid w:val="3E520AA5"/>
    <w:rsid w:val="3E984AF2"/>
    <w:rsid w:val="3FCB0FAC"/>
    <w:rsid w:val="3FFA2078"/>
    <w:rsid w:val="3FFA7B33"/>
    <w:rsid w:val="40035A7D"/>
    <w:rsid w:val="402B6623"/>
    <w:rsid w:val="40883614"/>
    <w:rsid w:val="40EE5CA8"/>
    <w:rsid w:val="40FC3AE7"/>
    <w:rsid w:val="41487BB7"/>
    <w:rsid w:val="41E21782"/>
    <w:rsid w:val="420F2DC8"/>
    <w:rsid w:val="42A3345B"/>
    <w:rsid w:val="42B02414"/>
    <w:rsid w:val="434B5E82"/>
    <w:rsid w:val="43884945"/>
    <w:rsid w:val="43FF5689"/>
    <w:rsid w:val="44D05062"/>
    <w:rsid w:val="456A57EE"/>
    <w:rsid w:val="46794EB7"/>
    <w:rsid w:val="48024770"/>
    <w:rsid w:val="480B6925"/>
    <w:rsid w:val="48524BFB"/>
    <w:rsid w:val="4A164A5C"/>
    <w:rsid w:val="4AFE3B22"/>
    <w:rsid w:val="4B1B6E15"/>
    <w:rsid w:val="4B2D586B"/>
    <w:rsid w:val="4B673BF9"/>
    <w:rsid w:val="4BB119A2"/>
    <w:rsid w:val="4BD917A0"/>
    <w:rsid w:val="4BD979E0"/>
    <w:rsid w:val="4C3978D0"/>
    <w:rsid w:val="4C88583C"/>
    <w:rsid w:val="4CBA1026"/>
    <w:rsid w:val="4CEE69C7"/>
    <w:rsid w:val="4D403335"/>
    <w:rsid w:val="4D642DB0"/>
    <w:rsid w:val="4EFE48A8"/>
    <w:rsid w:val="4F4E1AFD"/>
    <w:rsid w:val="4F925208"/>
    <w:rsid w:val="5008479B"/>
    <w:rsid w:val="513944BE"/>
    <w:rsid w:val="52D5407C"/>
    <w:rsid w:val="539B280D"/>
    <w:rsid w:val="539F4AEB"/>
    <w:rsid w:val="53EF5713"/>
    <w:rsid w:val="551148E5"/>
    <w:rsid w:val="56A9779A"/>
    <w:rsid w:val="575876C0"/>
    <w:rsid w:val="58FE4C1B"/>
    <w:rsid w:val="5905037F"/>
    <w:rsid w:val="59B91405"/>
    <w:rsid w:val="59CA720F"/>
    <w:rsid w:val="59D97A53"/>
    <w:rsid w:val="5A115CFF"/>
    <w:rsid w:val="5A283E06"/>
    <w:rsid w:val="5A39178A"/>
    <w:rsid w:val="5AD31AEF"/>
    <w:rsid w:val="5AEA4F84"/>
    <w:rsid w:val="5B62178D"/>
    <w:rsid w:val="5BBF3D15"/>
    <w:rsid w:val="5C422F21"/>
    <w:rsid w:val="5D610E0F"/>
    <w:rsid w:val="5D88575A"/>
    <w:rsid w:val="5E0F3520"/>
    <w:rsid w:val="5F5131BB"/>
    <w:rsid w:val="60875E65"/>
    <w:rsid w:val="60BE4A80"/>
    <w:rsid w:val="60D651A1"/>
    <w:rsid w:val="6216419D"/>
    <w:rsid w:val="63572101"/>
    <w:rsid w:val="63C514A6"/>
    <w:rsid w:val="64756596"/>
    <w:rsid w:val="64A66D02"/>
    <w:rsid w:val="65212DDC"/>
    <w:rsid w:val="652A1EB3"/>
    <w:rsid w:val="654E689E"/>
    <w:rsid w:val="65967305"/>
    <w:rsid w:val="65DF7409"/>
    <w:rsid w:val="65E86892"/>
    <w:rsid w:val="66DB4FF0"/>
    <w:rsid w:val="66F17530"/>
    <w:rsid w:val="673A6C37"/>
    <w:rsid w:val="679C08B9"/>
    <w:rsid w:val="686F7983"/>
    <w:rsid w:val="68B540A4"/>
    <w:rsid w:val="694357D2"/>
    <w:rsid w:val="6987715A"/>
    <w:rsid w:val="69F574F2"/>
    <w:rsid w:val="6AA41E9C"/>
    <w:rsid w:val="6B10110F"/>
    <w:rsid w:val="6B4B6D3D"/>
    <w:rsid w:val="6C232C86"/>
    <w:rsid w:val="6D194AA5"/>
    <w:rsid w:val="6D274768"/>
    <w:rsid w:val="6D957D18"/>
    <w:rsid w:val="6DDE1C6A"/>
    <w:rsid w:val="6E0A4BC9"/>
    <w:rsid w:val="6E79134A"/>
    <w:rsid w:val="6E8F518D"/>
    <w:rsid w:val="6EC864C6"/>
    <w:rsid w:val="6F6948CB"/>
    <w:rsid w:val="6F820BC2"/>
    <w:rsid w:val="6F8F0A30"/>
    <w:rsid w:val="6F91209E"/>
    <w:rsid w:val="6FA96CC1"/>
    <w:rsid w:val="6FBC2488"/>
    <w:rsid w:val="70A80B5B"/>
    <w:rsid w:val="70FF643D"/>
    <w:rsid w:val="710910A9"/>
    <w:rsid w:val="71361013"/>
    <w:rsid w:val="71764B60"/>
    <w:rsid w:val="71C8639C"/>
    <w:rsid w:val="71D42C8C"/>
    <w:rsid w:val="71E7401F"/>
    <w:rsid w:val="72507DF1"/>
    <w:rsid w:val="72D25EED"/>
    <w:rsid w:val="7307179A"/>
    <w:rsid w:val="73555630"/>
    <w:rsid w:val="74581B60"/>
    <w:rsid w:val="74AA73BC"/>
    <w:rsid w:val="74C47D5B"/>
    <w:rsid w:val="75870C9F"/>
    <w:rsid w:val="75D25103"/>
    <w:rsid w:val="75D37756"/>
    <w:rsid w:val="76260AF6"/>
    <w:rsid w:val="76904451"/>
    <w:rsid w:val="769C74E6"/>
    <w:rsid w:val="775D4DA6"/>
    <w:rsid w:val="77C17247"/>
    <w:rsid w:val="786C5C62"/>
    <w:rsid w:val="78FD03A5"/>
    <w:rsid w:val="792D3CE6"/>
    <w:rsid w:val="79F310AE"/>
    <w:rsid w:val="7AA42DA0"/>
    <w:rsid w:val="7AB31696"/>
    <w:rsid w:val="7B0C055A"/>
    <w:rsid w:val="7C250F25"/>
    <w:rsid w:val="7CD44B6A"/>
    <w:rsid w:val="7D0A1003"/>
    <w:rsid w:val="7D8B2AE1"/>
    <w:rsid w:val="7E0507A7"/>
    <w:rsid w:val="7E120889"/>
    <w:rsid w:val="7FF33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4"/>
    <w:qFormat/>
    <w:uiPriority w:val="99"/>
    <w:pPr>
      <w:spacing w:before="120" w:after="120" w:line="520" w:lineRule="atLeast"/>
      <w:outlineLvl w:val="0"/>
    </w:pPr>
    <w:rPr>
      <w:rFonts w:ascii="Times New Roman" w:hAnsi="Times New Roman" w:eastAsia="宋体" w:cs="Times New Roman"/>
      <w:b/>
      <w:kern w:val="44"/>
      <w:sz w:val="44"/>
      <w:szCs w:val="20"/>
    </w:rPr>
  </w:style>
  <w:style w:type="paragraph" w:styleId="3">
    <w:name w:val="heading 2"/>
    <w:basedOn w:val="1"/>
    <w:next w:val="1"/>
    <w:link w:val="77"/>
    <w:qFormat/>
    <w:uiPriority w:val="9"/>
    <w:pPr>
      <w:keepNext/>
      <w:keepLines/>
      <w:spacing w:before="260" w:after="260" w:line="416" w:lineRule="auto"/>
      <w:outlineLvl w:val="1"/>
    </w:pPr>
    <w:rPr>
      <w:rFonts w:ascii="Arial" w:hAnsi="Arial" w:eastAsia="黑体" w:cs="Times New Roman"/>
      <w:b/>
      <w:sz w:val="32"/>
      <w:szCs w:val="20"/>
    </w:rPr>
  </w:style>
  <w:style w:type="paragraph" w:styleId="4">
    <w:name w:val="heading 3"/>
    <w:basedOn w:val="1"/>
    <w:next w:val="1"/>
    <w:link w:val="49"/>
    <w:qFormat/>
    <w:uiPriority w:val="0"/>
    <w:pPr>
      <w:keepNext/>
      <w:keepLines/>
      <w:widowControl/>
      <w:overflowPunct w:val="0"/>
      <w:autoSpaceDE w:val="0"/>
      <w:autoSpaceDN w:val="0"/>
      <w:adjustRightInd w:val="0"/>
      <w:spacing w:before="120" w:after="120" w:line="416" w:lineRule="atLeast"/>
      <w:jc w:val="left"/>
      <w:textAlignment w:val="baseline"/>
      <w:outlineLvl w:val="2"/>
    </w:pPr>
    <w:rPr>
      <w:rFonts w:ascii="仿宋体" w:hAnsi="Times New Roman" w:eastAsia="仿宋体" w:cs="Times New Roman"/>
      <w:kern w:val="0"/>
      <w:sz w:val="30"/>
      <w:szCs w:val="20"/>
    </w:rPr>
  </w:style>
  <w:style w:type="paragraph" w:styleId="5">
    <w:name w:val="heading 4"/>
    <w:basedOn w:val="1"/>
    <w:next w:val="1"/>
    <w:link w:val="50"/>
    <w:qFormat/>
    <w:uiPriority w:val="0"/>
    <w:pPr>
      <w:keepNext/>
      <w:keepLines/>
      <w:widowControl/>
      <w:overflowPunct w:val="0"/>
      <w:autoSpaceDE w:val="0"/>
      <w:autoSpaceDN w:val="0"/>
      <w:adjustRightInd w:val="0"/>
      <w:spacing w:before="120" w:after="120" w:line="376" w:lineRule="atLeast"/>
      <w:jc w:val="left"/>
      <w:textAlignment w:val="baseline"/>
      <w:outlineLvl w:val="3"/>
    </w:pPr>
    <w:rPr>
      <w:rFonts w:ascii="仿宋_GB2312" w:hAnsi="Arial" w:eastAsia="仿宋_GB2312" w:cs="Times New Roman"/>
      <w:kern w:val="0"/>
      <w:sz w:val="28"/>
      <w:szCs w:val="20"/>
    </w:rPr>
  </w:style>
  <w:style w:type="paragraph" w:styleId="6">
    <w:name w:val="heading 5"/>
    <w:basedOn w:val="1"/>
    <w:next w:val="1"/>
    <w:link w:val="51"/>
    <w:qFormat/>
    <w:uiPriority w:val="0"/>
    <w:pPr>
      <w:keepNext/>
      <w:keepLines/>
      <w:widowControl/>
      <w:overflowPunct w:val="0"/>
      <w:autoSpaceDE w:val="0"/>
      <w:autoSpaceDN w:val="0"/>
      <w:adjustRightInd w:val="0"/>
      <w:spacing w:before="120" w:after="120" w:line="376" w:lineRule="atLeast"/>
      <w:jc w:val="left"/>
      <w:textAlignment w:val="baseline"/>
      <w:outlineLvl w:val="4"/>
    </w:pPr>
    <w:rPr>
      <w:rFonts w:ascii="仿宋_GB2312" w:hAnsi="Times New Roman" w:eastAsia="仿宋_GB2312" w:cs="Times New Roman"/>
      <w:b/>
      <w:kern w:val="0"/>
      <w:sz w:val="24"/>
      <w:szCs w:val="20"/>
    </w:rPr>
  </w:style>
  <w:style w:type="paragraph" w:styleId="7">
    <w:name w:val="heading 6"/>
    <w:basedOn w:val="1"/>
    <w:next w:val="1"/>
    <w:link w:val="52"/>
    <w:qFormat/>
    <w:uiPriority w:val="0"/>
    <w:pPr>
      <w:keepNext/>
      <w:keepLines/>
      <w:widowControl/>
      <w:overflowPunct w:val="0"/>
      <w:autoSpaceDE w:val="0"/>
      <w:autoSpaceDN w:val="0"/>
      <w:adjustRightInd w:val="0"/>
      <w:spacing w:before="240" w:after="64" w:line="320" w:lineRule="atLeast"/>
      <w:ind w:left="2550" w:hanging="425"/>
      <w:jc w:val="left"/>
      <w:textAlignment w:val="baseline"/>
      <w:outlineLvl w:val="5"/>
    </w:pPr>
    <w:rPr>
      <w:rFonts w:ascii="仿宋体" w:hAnsi="Arial" w:eastAsia="仿宋体" w:cs="Times New Roman"/>
      <w:b/>
      <w:kern w:val="0"/>
      <w:sz w:val="24"/>
      <w:szCs w:val="20"/>
    </w:rPr>
  </w:style>
  <w:style w:type="paragraph" w:styleId="8">
    <w:name w:val="heading 7"/>
    <w:basedOn w:val="1"/>
    <w:next w:val="1"/>
    <w:link w:val="53"/>
    <w:qFormat/>
    <w:uiPriority w:val="0"/>
    <w:pPr>
      <w:keepNext/>
      <w:keepLines/>
      <w:widowControl/>
      <w:overflowPunct w:val="0"/>
      <w:autoSpaceDE w:val="0"/>
      <w:autoSpaceDN w:val="0"/>
      <w:adjustRightInd w:val="0"/>
      <w:spacing w:before="240" w:after="64" w:line="317" w:lineRule="auto"/>
      <w:ind w:left="2975" w:hanging="425"/>
      <w:jc w:val="left"/>
      <w:textAlignment w:val="baseline"/>
      <w:outlineLvl w:val="6"/>
    </w:pPr>
    <w:rPr>
      <w:rFonts w:ascii="仿宋_GB2312" w:hAnsi="Times New Roman" w:eastAsia="仿宋_GB2312" w:cs="Times New Roman"/>
      <w:b/>
      <w:kern w:val="0"/>
      <w:sz w:val="24"/>
      <w:szCs w:val="20"/>
    </w:rPr>
  </w:style>
  <w:style w:type="paragraph" w:styleId="9">
    <w:name w:val="heading 8"/>
    <w:basedOn w:val="1"/>
    <w:next w:val="1"/>
    <w:link w:val="54"/>
    <w:qFormat/>
    <w:uiPriority w:val="0"/>
    <w:pPr>
      <w:keepNext/>
      <w:keepLines/>
      <w:widowControl/>
      <w:overflowPunct w:val="0"/>
      <w:autoSpaceDE w:val="0"/>
      <w:autoSpaceDN w:val="0"/>
      <w:adjustRightInd w:val="0"/>
      <w:spacing w:before="240" w:after="64" w:line="317" w:lineRule="auto"/>
      <w:ind w:left="3400" w:hanging="425"/>
      <w:jc w:val="left"/>
      <w:textAlignment w:val="baseline"/>
      <w:outlineLvl w:val="7"/>
    </w:pPr>
    <w:rPr>
      <w:rFonts w:ascii="Arial" w:hAnsi="Arial" w:eastAsia="黑体" w:cs="Times New Roman"/>
      <w:kern w:val="0"/>
      <w:sz w:val="24"/>
      <w:szCs w:val="20"/>
    </w:rPr>
  </w:style>
  <w:style w:type="paragraph" w:styleId="10">
    <w:name w:val="heading 9"/>
    <w:basedOn w:val="1"/>
    <w:next w:val="1"/>
    <w:link w:val="55"/>
    <w:qFormat/>
    <w:uiPriority w:val="0"/>
    <w:pPr>
      <w:keepNext/>
      <w:keepLines/>
      <w:widowControl/>
      <w:overflowPunct w:val="0"/>
      <w:autoSpaceDE w:val="0"/>
      <w:autoSpaceDN w:val="0"/>
      <w:adjustRightInd w:val="0"/>
      <w:spacing w:before="240" w:after="64" w:line="317" w:lineRule="auto"/>
      <w:ind w:left="3400" w:hanging="425"/>
      <w:jc w:val="left"/>
      <w:textAlignment w:val="baseline"/>
      <w:outlineLvl w:val="8"/>
    </w:pPr>
    <w:rPr>
      <w:rFonts w:ascii="Arial" w:hAnsi="Arial" w:eastAsia="黑体" w:cs="Times New Roman"/>
      <w:kern w:val="0"/>
      <w:szCs w:val="20"/>
    </w:rPr>
  </w:style>
  <w:style w:type="character" w:default="1" w:styleId="40">
    <w:name w:val="Default Paragraph Font"/>
    <w:semiHidden/>
    <w:unhideWhenUsed/>
    <w:qFormat/>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Times New Roman" w:hAnsi="Times New Roman" w:eastAsia="宋体" w:cs="Times New Roman"/>
      <w:szCs w:val="20"/>
    </w:rPr>
  </w:style>
  <w:style w:type="paragraph" w:styleId="12">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84"/>
    <w:semiHidden/>
    <w:qFormat/>
    <w:uiPriority w:val="99"/>
    <w:pPr>
      <w:shd w:val="clear" w:color="auto" w:fill="000080"/>
    </w:pPr>
    <w:rPr>
      <w:sz w:val="16"/>
      <w:szCs w:val="16"/>
    </w:rPr>
  </w:style>
  <w:style w:type="paragraph" w:styleId="14">
    <w:name w:val="annotation text"/>
    <w:basedOn w:val="1"/>
    <w:link w:val="123"/>
    <w:semiHidden/>
    <w:unhideWhenUsed/>
    <w:qFormat/>
    <w:uiPriority w:val="99"/>
    <w:pPr>
      <w:jc w:val="left"/>
    </w:pPr>
  </w:style>
  <w:style w:type="paragraph" w:styleId="15">
    <w:name w:val="Body Text"/>
    <w:basedOn w:val="1"/>
    <w:link w:val="88"/>
    <w:qFormat/>
    <w:uiPriority w:val="99"/>
    <w:pPr>
      <w:spacing w:line="500" w:lineRule="exact"/>
    </w:pPr>
    <w:rPr>
      <w:sz w:val="28"/>
    </w:rPr>
  </w:style>
  <w:style w:type="paragraph" w:styleId="16">
    <w:name w:val="Body Text Indent"/>
    <w:basedOn w:val="1"/>
    <w:link w:val="109"/>
    <w:qFormat/>
    <w:uiPriority w:val="99"/>
    <w:pPr>
      <w:ind w:firstLine="420"/>
    </w:pPr>
  </w:style>
  <w:style w:type="paragraph" w:styleId="17">
    <w:name w:val="toc 5"/>
    <w:basedOn w:val="1"/>
    <w:next w:val="1"/>
    <w:qFormat/>
    <w:uiPriority w:val="0"/>
    <w:pPr>
      <w:ind w:left="1680" w:leftChars="800"/>
    </w:pPr>
    <w:rPr>
      <w:rFonts w:ascii="Times New Roman" w:hAnsi="Times New Roman" w:eastAsia="宋体" w:cs="Times New Roman"/>
      <w:szCs w:val="20"/>
    </w:rPr>
  </w:style>
  <w:style w:type="paragraph" w:styleId="18">
    <w:name w:val="toc 3"/>
    <w:basedOn w:val="1"/>
    <w:next w:val="1"/>
    <w:qFormat/>
    <w:uiPriority w:val="0"/>
    <w:pPr>
      <w:ind w:left="840" w:leftChars="400"/>
    </w:pPr>
    <w:rPr>
      <w:rFonts w:ascii="Times New Roman" w:hAnsi="Times New Roman" w:eastAsia="宋体" w:cs="Times New Roman"/>
      <w:szCs w:val="20"/>
    </w:rPr>
  </w:style>
  <w:style w:type="paragraph" w:styleId="19">
    <w:name w:val="Plain Text"/>
    <w:basedOn w:val="1"/>
    <w:link w:val="60"/>
    <w:qFormat/>
    <w:uiPriority w:val="0"/>
    <w:rPr>
      <w:rFonts w:ascii="宋体" w:hAnsi="Courier New" w:cs="Times New Roman"/>
      <w:sz w:val="24"/>
    </w:rPr>
  </w:style>
  <w:style w:type="paragraph" w:styleId="20">
    <w:name w:val="toc 8"/>
    <w:basedOn w:val="1"/>
    <w:next w:val="1"/>
    <w:qFormat/>
    <w:uiPriority w:val="0"/>
    <w:pPr>
      <w:ind w:left="2940" w:leftChars="1400"/>
    </w:pPr>
    <w:rPr>
      <w:rFonts w:ascii="Times New Roman" w:hAnsi="Times New Roman" w:eastAsia="宋体" w:cs="Times New Roman"/>
      <w:szCs w:val="20"/>
    </w:rPr>
  </w:style>
  <w:style w:type="paragraph" w:styleId="21">
    <w:name w:val="Date"/>
    <w:basedOn w:val="1"/>
    <w:next w:val="1"/>
    <w:link w:val="112"/>
    <w:qFormat/>
    <w:uiPriority w:val="99"/>
  </w:style>
  <w:style w:type="paragraph" w:styleId="22">
    <w:name w:val="Body Text Indent 2"/>
    <w:basedOn w:val="1"/>
    <w:link w:val="83"/>
    <w:qFormat/>
    <w:uiPriority w:val="99"/>
    <w:pPr>
      <w:spacing w:line="400" w:lineRule="atLeast"/>
      <w:ind w:firstLine="460"/>
    </w:pPr>
  </w:style>
  <w:style w:type="paragraph" w:styleId="23">
    <w:name w:val="Balloon Text"/>
    <w:basedOn w:val="1"/>
    <w:link w:val="79"/>
    <w:qFormat/>
    <w:uiPriority w:val="99"/>
    <w:rPr>
      <w:sz w:val="16"/>
      <w:szCs w:val="16"/>
    </w:rPr>
  </w:style>
  <w:style w:type="paragraph" w:styleId="24">
    <w:name w:val="footer"/>
    <w:basedOn w:val="1"/>
    <w:link w:val="98"/>
    <w:qFormat/>
    <w:uiPriority w:val="99"/>
    <w:pPr>
      <w:tabs>
        <w:tab w:val="center" w:pos="4153"/>
        <w:tab w:val="right" w:pos="8306"/>
      </w:tabs>
      <w:snapToGrid w:val="0"/>
      <w:jc w:val="left"/>
    </w:pPr>
    <w:rPr>
      <w:sz w:val="18"/>
    </w:rPr>
  </w:style>
  <w:style w:type="paragraph" w:styleId="25">
    <w:name w:val="header"/>
    <w:basedOn w:val="1"/>
    <w:link w:val="114"/>
    <w:qFormat/>
    <w:uiPriority w:val="99"/>
    <w:pPr>
      <w:pBdr>
        <w:bottom w:val="single" w:color="auto" w:sz="6" w:space="1"/>
      </w:pBdr>
      <w:tabs>
        <w:tab w:val="center" w:pos="4153"/>
        <w:tab w:val="right" w:pos="8306"/>
      </w:tabs>
      <w:snapToGrid w:val="0"/>
      <w:jc w:val="center"/>
    </w:pPr>
    <w:rPr>
      <w:sz w:val="18"/>
    </w:rPr>
  </w:style>
  <w:style w:type="paragraph" w:styleId="26">
    <w:name w:val="toc 1"/>
    <w:basedOn w:val="1"/>
    <w:next w:val="1"/>
    <w:qFormat/>
    <w:uiPriority w:val="39"/>
    <w:pPr>
      <w:tabs>
        <w:tab w:val="right" w:leader="dot" w:pos="8891"/>
      </w:tabs>
      <w:spacing w:line="500" w:lineRule="exact"/>
    </w:pPr>
    <w:rPr>
      <w:rFonts w:ascii="楷体_GB2312" w:hAnsi="Times New Roman" w:eastAsia="宋体" w:cs="Times New Roman"/>
      <w:b/>
      <w:sz w:val="24"/>
      <w:szCs w:val="24"/>
    </w:rPr>
  </w:style>
  <w:style w:type="paragraph" w:styleId="27">
    <w:name w:val="toc 4"/>
    <w:basedOn w:val="1"/>
    <w:next w:val="1"/>
    <w:qFormat/>
    <w:uiPriority w:val="0"/>
    <w:pPr>
      <w:ind w:left="1260" w:leftChars="600"/>
    </w:pPr>
    <w:rPr>
      <w:rFonts w:ascii="Times New Roman" w:hAnsi="Times New Roman" w:eastAsia="宋体" w:cs="Times New Roman"/>
      <w:szCs w:val="20"/>
    </w:rPr>
  </w:style>
  <w:style w:type="paragraph" w:styleId="28">
    <w:name w:val="List"/>
    <w:basedOn w:val="1"/>
    <w:qFormat/>
    <w:uiPriority w:val="99"/>
    <w:pPr>
      <w:adjustRightInd w:val="0"/>
      <w:ind w:left="420" w:hanging="420"/>
      <w:jc w:val="left"/>
      <w:textAlignment w:val="baseline"/>
    </w:pPr>
    <w:rPr>
      <w:rFonts w:ascii="Times New Roman" w:hAnsi="Times New Roman" w:eastAsia="宋体" w:cs="Times New Roman"/>
      <w:sz w:val="24"/>
      <w:szCs w:val="20"/>
    </w:rPr>
  </w:style>
  <w:style w:type="paragraph" w:styleId="29">
    <w:name w:val="toc 6"/>
    <w:basedOn w:val="1"/>
    <w:next w:val="1"/>
    <w:qFormat/>
    <w:uiPriority w:val="0"/>
    <w:pPr>
      <w:ind w:left="2100" w:leftChars="1000"/>
    </w:pPr>
    <w:rPr>
      <w:rFonts w:ascii="Times New Roman" w:hAnsi="Times New Roman" w:eastAsia="宋体" w:cs="Times New Roman"/>
      <w:szCs w:val="20"/>
    </w:rPr>
  </w:style>
  <w:style w:type="paragraph" w:styleId="30">
    <w:name w:val="Body Text Indent 3"/>
    <w:basedOn w:val="1"/>
    <w:link w:val="72"/>
    <w:qFormat/>
    <w:uiPriority w:val="99"/>
    <w:pPr>
      <w:spacing w:line="288" w:lineRule="auto"/>
      <w:ind w:firstLine="540"/>
    </w:pPr>
    <w:rPr>
      <w:sz w:val="16"/>
      <w:szCs w:val="16"/>
    </w:rPr>
  </w:style>
  <w:style w:type="paragraph" w:styleId="31">
    <w:name w:val="toc 2"/>
    <w:basedOn w:val="1"/>
    <w:next w:val="1"/>
    <w:qFormat/>
    <w:uiPriority w:val="39"/>
    <w:pPr>
      <w:tabs>
        <w:tab w:val="right" w:leader="dot" w:pos="8891"/>
      </w:tabs>
      <w:spacing w:line="400" w:lineRule="exact"/>
      <w:ind w:left="420" w:leftChars="200"/>
    </w:pPr>
    <w:rPr>
      <w:rFonts w:ascii="Times New Roman" w:hAnsi="Times New Roman" w:eastAsia="宋体" w:cs="Times New Roman"/>
      <w:sz w:val="24"/>
      <w:szCs w:val="24"/>
    </w:rPr>
  </w:style>
  <w:style w:type="paragraph" w:styleId="32">
    <w:name w:val="toc 9"/>
    <w:basedOn w:val="1"/>
    <w:next w:val="1"/>
    <w:qFormat/>
    <w:uiPriority w:val="0"/>
    <w:pPr>
      <w:ind w:left="3360" w:leftChars="1600"/>
    </w:pPr>
    <w:rPr>
      <w:rFonts w:ascii="Times New Roman" w:hAnsi="Times New Roman" w:eastAsia="宋体" w:cs="Times New Roman"/>
      <w:szCs w:val="20"/>
    </w:rPr>
  </w:style>
  <w:style w:type="paragraph" w:styleId="33">
    <w:name w:val="Body Text 2"/>
    <w:basedOn w:val="1"/>
    <w:link w:val="69"/>
    <w:qFormat/>
    <w:uiPriority w:val="99"/>
    <w:pPr>
      <w:adjustRightInd w:val="0"/>
      <w:spacing w:after="120" w:line="480" w:lineRule="auto"/>
      <w:jc w:val="left"/>
      <w:textAlignment w:val="baseline"/>
    </w:pPr>
  </w:style>
  <w:style w:type="paragraph" w:styleId="34">
    <w:name w:val="HTML Preformatted"/>
    <w:basedOn w:val="1"/>
    <w:link w:val="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35">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36">
    <w:name w:val="Title"/>
    <w:basedOn w:val="1"/>
    <w:next w:val="1"/>
    <w:link w:val="57"/>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8"/>
    <w:semiHidden/>
    <w:qFormat/>
    <w:uiPriority w:val="99"/>
    <w:rPr>
      <w:b/>
      <w:bCs/>
    </w:rPr>
  </w:style>
  <w:style w:type="table" w:styleId="39">
    <w:name w:val="Table Grid"/>
    <w:basedOn w:val="38"/>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rPr>
  </w:style>
  <w:style w:type="character" w:styleId="42">
    <w:name w:val="page number"/>
    <w:qFormat/>
    <w:uiPriority w:val="0"/>
    <w:rPr>
      <w:rFonts w:cs="Times New Roman"/>
    </w:rPr>
  </w:style>
  <w:style w:type="character" w:styleId="43">
    <w:name w:val="FollowedHyperlink"/>
    <w:qFormat/>
    <w:uiPriority w:val="0"/>
    <w:rPr>
      <w:color w:val="800080"/>
      <w:u w:val="single"/>
    </w:rPr>
  </w:style>
  <w:style w:type="character" w:styleId="44">
    <w:name w:val="Emphasis"/>
    <w:qFormat/>
    <w:uiPriority w:val="20"/>
    <w:rPr>
      <w:i/>
      <w:iCs/>
    </w:rPr>
  </w:style>
  <w:style w:type="character" w:styleId="45">
    <w:name w:val="Hyperlink"/>
    <w:qFormat/>
    <w:uiPriority w:val="99"/>
    <w:rPr>
      <w:color w:val="0000FF"/>
      <w:u w:val="single"/>
    </w:rPr>
  </w:style>
  <w:style w:type="character" w:styleId="46">
    <w:name w:val="annotation reference"/>
    <w:semiHidden/>
    <w:qFormat/>
    <w:uiPriority w:val="0"/>
    <w:rPr>
      <w:sz w:val="21"/>
    </w:rPr>
  </w:style>
  <w:style w:type="character" w:customStyle="1" w:styleId="47">
    <w:name w:val="标题 1 Char"/>
    <w:basedOn w:val="40"/>
    <w:qFormat/>
    <w:uiPriority w:val="0"/>
    <w:rPr>
      <w:b/>
      <w:bCs/>
      <w:kern w:val="44"/>
      <w:sz w:val="44"/>
      <w:szCs w:val="44"/>
    </w:rPr>
  </w:style>
  <w:style w:type="character" w:customStyle="1" w:styleId="48">
    <w:name w:val="标题 2 Char"/>
    <w:basedOn w:val="40"/>
    <w:qFormat/>
    <w:uiPriority w:val="9"/>
    <w:rPr>
      <w:rFonts w:asciiTheme="majorHAnsi" w:hAnsiTheme="majorHAnsi" w:eastAsiaTheme="majorEastAsia" w:cstheme="majorBidi"/>
      <w:b/>
      <w:bCs/>
      <w:sz w:val="32"/>
      <w:szCs w:val="32"/>
    </w:rPr>
  </w:style>
  <w:style w:type="character" w:customStyle="1" w:styleId="49">
    <w:name w:val="标题 3 Char"/>
    <w:basedOn w:val="40"/>
    <w:link w:val="4"/>
    <w:qFormat/>
    <w:uiPriority w:val="0"/>
    <w:rPr>
      <w:rFonts w:ascii="仿宋体" w:hAnsi="Times New Roman" w:eastAsia="仿宋体" w:cs="Times New Roman"/>
      <w:kern w:val="0"/>
      <w:sz w:val="30"/>
      <w:szCs w:val="20"/>
    </w:rPr>
  </w:style>
  <w:style w:type="character" w:customStyle="1" w:styleId="50">
    <w:name w:val="标题 4 Char"/>
    <w:basedOn w:val="40"/>
    <w:link w:val="5"/>
    <w:qFormat/>
    <w:uiPriority w:val="0"/>
    <w:rPr>
      <w:rFonts w:ascii="仿宋_GB2312" w:hAnsi="Arial" w:eastAsia="仿宋_GB2312" w:cs="Times New Roman"/>
      <w:kern w:val="0"/>
      <w:sz w:val="28"/>
      <w:szCs w:val="20"/>
    </w:rPr>
  </w:style>
  <w:style w:type="character" w:customStyle="1" w:styleId="51">
    <w:name w:val="标题 5 Char"/>
    <w:basedOn w:val="40"/>
    <w:link w:val="6"/>
    <w:qFormat/>
    <w:uiPriority w:val="0"/>
    <w:rPr>
      <w:rFonts w:ascii="仿宋_GB2312" w:hAnsi="Times New Roman" w:eastAsia="仿宋_GB2312" w:cs="Times New Roman"/>
      <w:b/>
      <w:kern w:val="0"/>
      <w:sz w:val="24"/>
      <w:szCs w:val="20"/>
    </w:rPr>
  </w:style>
  <w:style w:type="character" w:customStyle="1" w:styleId="52">
    <w:name w:val="标题 6 Char"/>
    <w:basedOn w:val="40"/>
    <w:link w:val="7"/>
    <w:qFormat/>
    <w:uiPriority w:val="0"/>
    <w:rPr>
      <w:rFonts w:ascii="仿宋体" w:hAnsi="Arial" w:eastAsia="仿宋体" w:cs="Times New Roman"/>
      <w:b/>
      <w:kern w:val="0"/>
      <w:sz w:val="24"/>
      <w:szCs w:val="20"/>
    </w:rPr>
  </w:style>
  <w:style w:type="character" w:customStyle="1" w:styleId="53">
    <w:name w:val="标题 7 Char"/>
    <w:basedOn w:val="40"/>
    <w:link w:val="8"/>
    <w:qFormat/>
    <w:uiPriority w:val="0"/>
    <w:rPr>
      <w:rFonts w:ascii="仿宋_GB2312" w:hAnsi="Times New Roman" w:eastAsia="仿宋_GB2312" w:cs="Times New Roman"/>
      <w:b/>
      <w:kern w:val="0"/>
      <w:sz w:val="24"/>
      <w:szCs w:val="20"/>
    </w:rPr>
  </w:style>
  <w:style w:type="character" w:customStyle="1" w:styleId="54">
    <w:name w:val="标题 8 Char"/>
    <w:basedOn w:val="40"/>
    <w:link w:val="9"/>
    <w:qFormat/>
    <w:uiPriority w:val="0"/>
    <w:rPr>
      <w:rFonts w:ascii="Arial" w:hAnsi="Arial" w:eastAsia="黑体" w:cs="Times New Roman"/>
      <w:kern w:val="0"/>
      <w:sz w:val="24"/>
      <w:szCs w:val="20"/>
    </w:rPr>
  </w:style>
  <w:style w:type="character" w:customStyle="1" w:styleId="55">
    <w:name w:val="标题 9 Char"/>
    <w:basedOn w:val="40"/>
    <w:link w:val="10"/>
    <w:qFormat/>
    <w:uiPriority w:val="0"/>
    <w:rPr>
      <w:rFonts w:ascii="Arial" w:hAnsi="Arial" w:eastAsia="黑体" w:cs="Times New Roman"/>
      <w:kern w:val="0"/>
      <w:szCs w:val="20"/>
    </w:rPr>
  </w:style>
  <w:style w:type="character" w:customStyle="1" w:styleId="56">
    <w:name w:val="标题1"/>
    <w:basedOn w:val="40"/>
    <w:qFormat/>
    <w:uiPriority w:val="0"/>
  </w:style>
  <w:style w:type="character" w:customStyle="1" w:styleId="57">
    <w:name w:val="标题 Char"/>
    <w:link w:val="36"/>
    <w:qFormat/>
    <w:uiPriority w:val="0"/>
    <w:rPr>
      <w:rFonts w:ascii="Cambria" w:hAnsi="Cambria"/>
      <w:b/>
      <w:bCs/>
      <w:sz w:val="32"/>
      <w:szCs w:val="32"/>
    </w:rPr>
  </w:style>
  <w:style w:type="character" w:customStyle="1" w:styleId="58">
    <w:name w:val="批注主题 Char"/>
    <w:link w:val="37"/>
    <w:semiHidden/>
    <w:qFormat/>
    <w:uiPriority w:val="99"/>
    <w:rPr>
      <w:b/>
      <w:bCs/>
    </w:rPr>
  </w:style>
  <w:style w:type="character" w:customStyle="1" w:styleId="59">
    <w:name w:val="页脚 Char"/>
    <w:qFormat/>
    <w:uiPriority w:val="99"/>
    <w:rPr>
      <w:rFonts w:ascii="Times New Roman" w:hAnsi="Times New Roman" w:eastAsia="宋体" w:cs="Times New Roman"/>
      <w:sz w:val="18"/>
      <w:szCs w:val="20"/>
    </w:rPr>
  </w:style>
  <w:style w:type="character" w:customStyle="1" w:styleId="60">
    <w:name w:val="纯文本 Char2"/>
    <w:link w:val="19"/>
    <w:qFormat/>
    <w:locked/>
    <w:uiPriority w:val="99"/>
    <w:rPr>
      <w:rFonts w:ascii="宋体" w:hAnsi="Courier New" w:cs="Times New Roman"/>
      <w:sz w:val="24"/>
    </w:rPr>
  </w:style>
  <w:style w:type="character" w:customStyle="1" w:styleId="61">
    <w:name w:val="无间隔 Char"/>
    <w:link w:val="62"/>
    <w:qFormat/>
    <w:uiPriority w:val="1"/>
  </w:style>
  <w:style w:type="paragraph" w:styleId="62">
    <w:name w:val="No Spacing"/>
    <w:link w:val="6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63">
    <w:name w:val="font112"/>
    <w:qFormat/>
    <w:uiPriority w:val="0"/>
    <w:rPr>
      <w:rFonts w:ascii="Times New Roman" w:hAnsi="Times New Roman" w:cs="Times New Roman"/>
      <w:b/>
      <w:color w:val="000000"/>
      <w:sz w:val="20"/>
      <w:szCs w:val="20"/>
      <w:u w:val="none"/>
      <w:vertAlign w:val="superscript"/>
    </w:rPr>
  </w:style>
  <w:style w:type="character" w:customStyle="1" w:styleId="64">
    <w:name w:val="apple-converted-space"/>
    <w:basedOn w:val="40"/>
    <w:qFormat/>
    <w:uiPriority w:val="0"/>
  </w:style>
  <w:style w:type="character" w:customStyle="1" w:styleId="65">
    <w:name w:val="正文文本 Char1"/>
    <w:qFormat/>
    <w:uiPriority w:val="99"/>
    <w:rPr>
      <w:rFonts w:eastAsia="宋体"/>
      <w:kern w:val="2"/>
      <w:sz w:val="28"/>
      <w:lang w:val="en-US" w:eastAsia="zh-CN"/>
    </w:rPr>
  </w:style>
  <w:style w:type="character" w:customStyle="1" w:styleId="66">
    <w:name w:val="HTML 预设格式 Char"/>
    <w:link w:val="34"/>
    <w:qFormat/>
    <w:uiPriority w:val="0"/>
    <w:rPr>
      <w:rFonts w:ascii="Arial" w:hAnsi="Arial" w:cs="Arial"/>
      <w:sz w:val="24"/>
      <w:szCs w:val="24"/>
    </w:rPr>
  </w:style>
  <w:style w:type="character" w:customStyle="1" w:styleId="67">
    <w:name w:val="正文文本缩进 2 Char"/>
    <w:qFormat/>
    <w:uiPriority w:val="0"/>
    <w:rPr>
      <w:rFonts w:ascii="Times New Roman" w:hAnsi="Times New Roman" w:eastAsia="宋体" w:cs="Times New Roman"/>
      <w:sz w:val="28"/>
      <w:szCs w:val="20"/>
    </w:rPr>
  </w:style>
  <w:style w:type="character" w:customStyle="1" w:styleId="68">
    <w:name w:val="font41"/>
    <w:qFormat/>
    <w:uiPriority w:val="0"/>
    <w:rPr>
      <w:rFonts w:ascii="Times New Roman" w:hAnsi="Times New Roman" w:cs="Times New Roman"/>
      <w:color w:val="000000"/>
      <w:sz w:val="22"/>
      <w:szCs w:val="22"/>
      <w:u w:val="none"/>
    </w:rPr>
  </w:style>
  <w:style w:type="character" w:customStyle="1" w:styleId="69">
    <w:name w:val="正文文本 2 Char"/>
    <w:link w:val="33"/>
    <w:qFormat/>
    <w:uiPriority w:val="99"/>
  </w:style>
  <w:style w:type="character" w:customStyle="1" w:styleId="70">
    <w:name w:val="font151"/>
    <w:qFormat/>
    <w:uiPriority w:val="0"/>
    <w:rPr>
      <w:rFonts w:ascii="Times New Roman" w:hAnsi="Times New Roman" w:cs="Times New Roman"/>
      <w:color w:val="000000"/>
      <w:sz w:val="20"/>
      <w:szCs w:val="20"/>
      <w:u w:val="none"/>
    </w:rPr>
  </w:style>
  <w:style w:type="character" w:customStyle="1" w:styleId="71">
    <w:name w:val="正文文本 Char"/>
    <w:qFormat/>
    <w:uiPriority w:val="0"/>
    <w:rPr>
      <w:kern w:val="2"/>
      <w:sz w:val="28"/>
    </w:rPr>
  </w:style>
  <w:style w:type="character" w:customStyle="1" w:styleId="72">
    <w:name w:val="正文文本缩进 3 Char1"/>
    <w:link w:val="30"/>
    <w:qFormat/>
    <w:uiPriority w:val="99"/>
    <w:rPr>
      <w:sz w:val="16"/>
      <w:szCs w:val="16"/>
    </w:rPr>
  </w:style>
  <w:style w:type="character" w:customStyle="1" w:styleId="73">
    <w:name w:val="正文文本缩进 Char"/>
    <w:qFormat/>
    <w:uiPriority w:val="0"/>
    <w:rPr>
      <w:rFonts w:ascii="Times New Roman" w:hAnsi="Times New Roman" w:eastAsia="宋体" w:cs="Times New Roman"/>
      <w:sz w:val="28"/>
      <w:szCs w:val="20"/>
    </w:rPr>
  </w:style>
  <w:style w:type="character" w:customStyle="1" w:styleId="74">
    <w:name w:val="标题 1 Char1"/>
    <w:link w:val="2"/>
    <w:qFormat/>
    <w:locked/>
    <w:uiPriority w:val="99"/>
    <w:rPr>
      <w:rFonts w:ascii="Times New Roman" w:hAnsi="Times New Roman" w:eastAsia="宋体" w:cs="Times New Roman"/>
      <w:b/>
      <w:kern w:val="44"/>
      <w:sz w:val="44"/>
      <w:szCs w:val="20"/>
    </w:rPr>
  </w:style>
  <w:style w:type="character" w:customStyle="1" w:styleId="75">
    <w:name w:val="Footer Char1"/>
    <w:semiHidden/>
    <w:qFormat/>
    <w:uiPriority w:val="99"/>
    <w:rPr>
      <w:kern w:val="2"/>
      <w:sz w:val="18"/>
      <w:szCs w:val="18"/>
    </w:rPr>
  </w:style>
  <w:style w:type="character" w:customStyle="1" w:styleId="76">
    <w:name w:val="font71"/>
    <w:qFormat/>
    <w:uiPriority w:val="0"/>
    <w:rPr>
      <w:rFonts w:ascii="Times New Roman" w:hAnsi="Times New Roman" w:cs="Times New Roman"/>
      <w:color w:val="000000"/>
      <w:sz w:val="20"/>
      <w:szCs w:val="20"/>
      <w:u w:val="none"/>
    </w:rPr>
  </w:style>
  <w:style w:type="character" w:customStyle="1" w:styleId="77">
    <w:name w:val="标题 2 Char1"/>
    <w:link w:val="3"/>
    <w:qFormat/>
    <w:locked/>
    <w:uiPriority w:val="9"/>
    <w:rPr>
      <w:rFonts w:ascii="Arial" w:hAnsi="Arial" w:eastAsia="黑体" w:cs="Times New Roman"/>
      <w:b/>
      <w:sz w:val="32"/>
      <w:szCs w:val="20"/>
    </w:rPr>
  </w:style>
  <w:style w:type="character" w:customStyle="1" w:styleId="78">
    <w:name w:val="正文文本 Char2"/>
    <w:qFormat/>
    <w:locked/>
    <w:uiPriority w:val="99"/>
    <w:rPr>
      <w:kern w:val="2"/>
      <w:sz w:val="28"/>
    </w:rPr>
  </w:style>
  <w:style w:type="character" w:customStyle="1" w:styleId="79">
    <w:name w:val="批注框文本 Char1"/>
    <w:link w:val="23"/>
    <w:qFormat/>
    <w:uiPriority w:val="99"/>
    <w:rPr>
      <w:sz w:val="16"/>
      <w:szCs w:val="16"/>
    </w:rPr>
  </w:style>
  <w:style w:type="character" w:customStyle="1" w:styleId="80">
    <w:name w:val="font91"/>
    <w:qFormat/>
    <w:uiPriority w:val="0"/>
    <w:rPr>
      <w:rFonts w:ascii="宋体" w:hAnsi="宋体" w:eastAsia="宋体" w:cs="Times New Roman"/>
      <w:b/>
      <w:bCs/>
      <w:color w:val="000000"/>
      <w:sz w:val="20"/>
      <w:szCs w:val="20"/>
      <w:u w:val="none"/>
    </w:rPr>
  </w:style>
  <w:style w:type="character" w:customStyle="1" w:styleId="81">
    <w:name w:val="font101"/>
    <w:qFormat/>
    <w:uiPriority w:val="0"/>
    <w:rPr>
      <w:rFonts w:ascii="Times New Roman" w:hAnsi="Times New Roman" w:cs="Times New Roman"/>
      <w:color w:val="000000"/>
      <w:sz w:val="20"/>
      <w:szCs w:val="20"/>
      <w:u w:val="none"/>
      <w:vertAlign w:val="superscript"/>
    </w:rPr>
  </w:style>
  <w:style w:type="character" w:customStyle="1" w:styleId="82">
    <w:name w:val="日期 Char"/>
    <w:qFormat/>
    <w:uiPriority w:val="99"/>
    <w:rPr>
      <w:rFonts w:ascii="Times New Roman" w:hAnsi="Times New Roman" w:eastAsia="宋体" w:cs="Times New Roman"/>
      <w:sz w:val="28"/>
      <w:szCs w:val="20"/>
    </w:rPr>
  </w:style>
  <w:style w:type="character" w:customStyle="1" w:styleId="83">
    <w:name w:val="正文文本缩进 2 Char1"/>
    <w:link w:val="22"/>
    <w:qFormat/>
    <w:uiPriority w:val="99"/>
  </w:style>
  <w:style w:type="character" w:customStyle="1" w:styleId="84">
    <w:name w:val="文档结构图 Char"/>
    <w:link w:val="13"/>
    <w:semiHidden/>
    <w:qFormat/>
    <w:uiPriority w:val="99"/>
    <w:rPr>
      <w:sz w:val="16"/>
      <w:szCs w:val="16"/>
      <w:shd w:val="clear" w:color="auto" w:fill="000080"/>
    </w:rPr>
  </w:style>
  <w:style w:type="character" w:customStyle="1" w:styleId="85">
    <w:name w:val="批注文字 Char"/>
    <w:semiHidden/>
    <w:qFormat/>
    <w:uiPriority w:val="99"/>
    <w:rPr>
      <w:kern w:val="2"/>
      <w:sz w:val="21"/>
    </w:rPr>
  </w:style>
  <w:style w:type="character" w:customStyle="1" w:styleId="86">
    <w:name w:val="No Spacing Char"/>
    <w:link w:val="87"/>
    <w:qFormat/>
    <w:locked/>
    <w:uiPriority w:val="1"/>
    <w:rPr>
      <w:rFonts w:ascii="Calibri" w:hAnsi="Calibri"/>
      <w:sz w:val="22"/>
    </w:rPr>
  </w:style>
  <w:style w:type="paragraph" w:customStyle="1" w:styleId="87">
    <w:name w:val="无间隔1"/>
    <w:link w:val="86"/>
    <w:qFormat/>
    <w:uiPriority w:val="1"/>
    <w:rPr>
      <w:rFonts w:ascii="Calibri" w:hAnsi="Calibri" w:eastAsiaTheme="minorEastAsia" w:cstheme="minorBidi"/>
      <w:kern w:val="2"/>
      <w:sz w:val="22"/>
      <w:szCs w:val="22"/>
      <w:lang w:val="en-US" w:eastAsia="zh-CN" w:bidi="ar-SA"/>
    </w:rPr>
  </w:style>
  <w:style w:type="character" w:customStyle="1" w:styleId="88">
    <w:name w:val="正文文本 Char3"/>
    <w:link w:val="15"/>
    <w:qFormat/>
    <w:locked/>
    <w:uiPriority w:val="99"/>
    <w:rPr>
      <w:sz w:val="28"/>
    </w:rPr>
  </w:style>
  <w:style w:type="character" w:customStyle="1" w:styleId="89">
    <w:name w:val="bds_more3"/>
    <w:qFormat/>
    <w:uiPriority w:val="0"/>
  </w:style>
  <w:style w:type="character" w:customStyle="1" w:styleId="90">
    <w:name w:val="style11"/>
    <w:qFormat/>
    <w:uiPriority w:val="0"/>
    <w:rPr>
      <w:color w:val="000000"/>
    </w:rPr>
  </w:style>
  <w:style w:type="character" w:customStyle="1" w:styleId="91">
    <w:name w:val="style16"/>
    <w:qFormat/>
    <w:uiPriority w:val="99"/>
  </w:style>
  <w:style w:type="character" w:customStyle="1" w:styleId="92">
    <w:name w:val="font31"/>
    <w:qFormat/>
    <w:uiPriority w:val="0"/>
    <w:rPr>
      <w:rFonts w:ascii="宋体" w:hAnsi="宋体" w:eastAsia="宋体" w:cs="宋体"/>
      <w:color w:val="000000"/>
      <w:sz w:val="22"/>
      <w:szCs w:val="22"/>
      <w:u w:val="none"/>
    </w:rPr>
  </w:style>
  <w:style w:type="character" w:customStyle="1" w:styleId="93">
    <w:name w:val="font131"/>
    <w:qFormat/>
    <w:uiPriority w:val="0"/>
    <w:rPr>
      <w:rFonts w:ascii="Times New Roman" w:hAnsi="Times New Roman" w:cs="Times New Roman"/>
      <w:color w:val="000000"/>
      <w:sz w:val="20"/>
      <w:szCs w:val="20"/>
      <w:u w:val="none"/>
      <w:vertAlign w:val="superscript"/>
    </w:rPr>
  </w:style>
  <w:style w:type="character" w:customStyle="1" w:styleId="94">
    <w:name w:val="font81"/>
    <w:qFormat/>
    <w:uiPriority w:val="0"/>
    <w:rPr>
      <w:rFonts w:ascii="宋体" w:hAnsi="宋体" w:eastAsia="宋体" w:cs="宋体"/>
      <w:b/>
      <w:color w:val="000000"/>
      <w:sz w:val="20"/>
      <w:szCs w:val="20"/>
      <w:u w:val="none"/>
    </w:rPr>
  </w:style>
  <w:style w:type="character" w:customStyle="1" w:styleId="95">
    <w:name w:val="报告正文 Char Char Char Char"/>
    <w:link w:val="96"/>
    <w:qFormat/>
    <w:locked/>
    <w:uiPriority w:val="0"/>
    <w:rPr>
      <w:rFonts w:ascii="华文细黑" w:eastAsia="华文细黑"/>
      <w:sz w:val="22"/>
    </w:rPr>
  </w:style>
  <w:style w:type="paragraph" w:customStyle="1" w:styleId="96">
    <w:name w:val="报告正文 Char Char Char"/>
    <w:basedOn w:val="1"/>
    <w:link w:val="95"/>
    <w:qFormat/>
    <w:uiPriority w:val="0"/>
    <w:pPr>
      <w:adjustRightInd w:val="0"/>
      <w:snapToGrid w:val="0"/>
      <w:spacing w:line="336" w:lineRule="auto"/>
      <w:ind w:left="2603"/>
    </w:pPr>
    <w:rPr>
      <w:rFonts w:ascii="华文细黑" w:eastAsia="华文细黑"/>
      <w:sz w:val="22"/>
    </w:rPr>
  </w:style>
  <w:style w:type="character" w:customStyle="1" w:styleId="97">
    <w:name w:val="p171"/>
    <w:qFormat/>
    <w:uiPriority w:val="0"/>
    <w:rPr>
      <w:sz w:val="27"/>
      <w:szCs w:val="27"/>
    </w:rPr>
  </w:style>
  <w:style w:type="character" w:customStyle="1" w:styleId="98">
    <w:name w:val="页脚 Char1"/>
    <w:link w:val="24"/>
    <w:qFormat/>
    <w:locked/>
    <w:uiPriority w:val="99"/>
    <w:rPr>
      <w:sz w:val="18"/>
    </w:rPr>
  </w:style>
  <w:style w:type="character" w:customStyle="1" w:styleId="99">
    <w:name w:val="font121"/>
    <w:qFormat/>
    <w:uiPriority w:val="0"/>
    <w:rPr>
      <w:rFonts w:ascii="Times New Roman" w:hAnsi="Times New Roman" w:cs="Times New Roman"/>
      <w:b/>
      <w:bCs/>
      <w:color w:val="000000"/>
      <w:sz w:val="20"/>
      <w:szCs w:val="20"/>
      <w:u w:val="none"/>
      <w:vertAlign w:val="superscript"/>
    </w:rPr>
  </w:style>
  <w:style w:type="character" w:customStyle="1" w:styleId="100">
    <w:name w:val="要点1"/>
    <w:qFormat/>
    <w:uiPriority w:val="0"/>
    <w:rPr>
      <w:b/>
    </w:rPr>
  </w:style>
  <w:style w:type="character" w:customStyle="1" w:styleId="101">
    <w:name w:val="页眉 Char"/>
    <w:qFormat/>
    <w:uiPriority w:val="99"/>
    <w:rPr>
      <w:rFonts w:ascii="Times New Roman" w:hAnsi="Times New Roman" w:eastAsia="宋体" w:cs="Times New Roman"/>
      <w:sz w:val="18"/>
      <w:szCs w:val="18"/>
    </w:rPr>
  </w:style>
  <w:style w:type="character" w:customStyle="1" w:styleId="102">
    <w:name w:val="纯文本 Char1"/>
    <w:semiHidden/>
    <w:qFormat/>
    <w:locked/>
    <w:uiPriority w:val="99"/>
    <w:rPr>
      <w:rFonts w:ascii="宋体" w:hAnsi="Courier New"/>
      <w:kern w:val="2"/>
      <w:sz w:val="24"/>
    </w:rPr>
  </w:style>
  <w:style w:type="character" w:customStyle="1" w:styleId="103">
    <w:name w:val="Plain Text Char1"/>
    <w:semiHidden/>
    <w:qFormat/>
    <w:uiPriority w:val="99"/>
    <w:rPr>
      <w:rFonts w:ascii="宋体" w:hAnsi="Courier New" w:cs="Courier New"/>
      <w:kern w:val="2"/>
      <w:sz w:val="21"/>
      <w:szCs w:val="21"/>
    </w:rPr>
  </w:style>
  <w:style w:type="character" w:customStyle="1" w:styleId="104">
    <w:name w:val="font111"/>
    <w:qFormat/>
    <w:uiPriority w:val="0"/>
    <w:rPr>
      <w:rFonts w:ascii="宋体" w:hAnsi="宋体" w:eastAsia="宋体" w:cs="Times New Roman"/>
      <w:color w:val="000000"/>
      <w:sz w:val="20"/>
      <w:szCs w:val="20"/>
      <w:u w:val="none"/>
    </w:rPr>
  </w:style>
  <w:style w:type="character" w:customStyle="1" w:styleId="105">
    <w:name w:val="font61"/>
    <w:qFormat/>
    <w:uiPriority w:val="99"/>
    <w:rPr>
      <w:rFonts w:ascii="宋体" w:hAnsi="宋体" w:eastAsia="宋体" w:cs="宋体"/>
      <w:color w:val="000000"/>
      <w:sz w:val="22"/>
      <w:szCs w:val="22"/>
      <w:u w:val="none"/>
    </w:rPr>
  </w:style>
  <w:style w:type="character" w:customStyle="1" w:styleId="106">
    <w:name w:val="正文文本缩进 3 Char"/>
    <w:qFormat/>
    <w:uiPriority w:val="0"/>
    <w:rPr>
      <w:rFonts w:ascii="宋体" w:hAnsi="宋体" w:eastAsia="宋体" w:cs="Times New Roman"/>
      <w:sz w:val="28"/>
      <w:szCs w:val="20"/>
    </w:rPr>
  </w:style>
  <w:style w:type="character" w:customStyle="1" w:styleId="107">
    <w:name w:val="font21"/>
    <w:qFormat/>
    <w:uiPriority w:val="0"/>
    <w:rPr>
      <w:rFonts w:ascii="仿宋_GB2312" w:eastAsia="仿宋_GB2312" w:cs="仿宋_GB2312"/>
      <w:color w:val="000000"/>
      <w:sz w:val="20"/>
      <w:szCs w:val="20"/>
      <w:u w:val="none"/>
    </w:rPr>
  </w:style>
  <w:style w:type="character" w:customStyle="1" w:styleId="108">
    <w:name w:val="Body Text Char1"/>
    <w:semiHidden/>
    <w:qFormat/>
    <w:uiPriority w:val="99"/>
    <w:rPr>
      <w:kern w:val="2"/>
      <w:sz w:val="21"/>
    </w:rPr>
  </w:style>
  <w:style w:type="character" w:customStyle="1" w:styleId="109">
    <w:name w:val="正文文本缩进 Char1"/>
    <w:link w:val="16"/>
    <w:qFormat/>
    <w:uiPriority w:val="99"/>
  </w:style>
  <w:style w:type="character" w:customStyle="1" w:styleId="110">
    <w:name w:val="count"/>
    <w:basedOn w:val="40"/>
    <w:qFormat/>
    <w:uiPriority w:val="0"/>
  </w:style>
  <w:style w:type="character" w:customStyle="1" w:styleId="111">
    <w:name w:val="font51"/>
    <w:qFormat/>
    <w:uiPriority w:val="99"/>
    <w:rPr>
      <w:rFonts w:ascii="宋体" w:hAnsi="宋体" w:eastAsia="宋体" w:cs="宋体"/>
      <w:color w:val="000000"/>
      <w:sz w:val="22"/>
      <w:szCs w:val="22"/>
      <w:u w:val="none"/>
    </w:rPr>
  </w:style>
  <w:style w:type="character" w:customStyle="1" w:styleId="112">
    <w:name w:val="日期 Char1"/>
    <w:link w:val="21"/>
    <w:qFormat/>
    <w:uiPriority w:val="99"/>
  </w:style>
  <w:style w:type="character" w:customStyle="1" w:styleId="113">
    <w:name w:val="font01"/>
    <w:qFormat/>
    <w:uiPriority w:val="0"/>
    <w:rPr>
      <w:rFonts w:ascii="宋体" w:hAnsi="宋体" w:eastAsia="宋体" w:cs="宋体"/>
      <w:color w:val="000000"/>
      <w:sz w:val="22"/>
      <w:szCs w:val="22"/>
      <w:u w:val="none"/>
    </w:rPr>
  </w:style>
  <w:style w:type="character" w:customStyle="1" w:styleId="114">
    <w:name w:val="页眉 Char1"/>
    <w:link w:val="25"/>
    <w:qFormat/>
    <w:locked/>
    <w:uiPriority w:val="99"/>
    <w:rPr>
      <w:sz w:val="18"/>
    </w:rPr>
  </w:style>
  <w:style w:type="character" w:customStyle="1" w:styleId="115">
    <w:name w:val="纯文本 Char"/>
    <w:qFormat/>
    <w:uiPriority w:val="99"/>
    <w:rPr>
      <w:rFonts w:ascii="宋体" w:hAnsi="Courier New" w:eastAsia="宋体" w:cs="Times New Roman"/>
      <w:szCs w:val="20"/>
    </w:rPr>
  </w:style>
  <w:style w:type="character" w:customStyle="1" w:styleId="116">
    <w:name w:val="批注框文本 Char"/>
    <w:qFormat/>
    <w:uiPriority w:val="0"/>
    <w:rPr>
      <w:rFonts w:ascii="Times New Roman" w:hAnsi="Times New Roman" w:eastAsia="宋体" w:cs="Times New Roman"/>
      <w:sz w:val="18"/>
      <w:szCs w:val="18"/>
    </w:rPr>
  </w:style>
  <w:style w:type="character" w:customStyle="1" w:styleId="117">
    <w:name w:val="Header Char1"/>
    <w:semiHidden/>
    <w:qFormat/>
    <w:uiPriority w:val="99"/>
    <w:rPr>
      <w:kern w:val="2"/>
      <w:sz w:val="18"/>
      <w:szCs w:val="18"/>
    </w:rPr>
  </w:style>
  <w:style w:type="character" w:customStyle="1" w:styleId="118">
    <w:name w:val="页脚 Char2"/>
    <w:basedOn w:val="40"/>
    <w:semiHidden/>
    <w:qFormat/>
    <w:uiPriority w:val="99"/>
    <w:rPr>
      <w:sz w:val="18"/>
      <w:szCs w:val="18"/>
    </w:rPr>
  </w:style>
  <w:style w:type="character" w:customStyle="1" w:styleId="119">
    <w:name w:val="正文文本缩进 2 Char2"/>
    <w:basedOn w:val="40"/>
    <w:semiHidden/>
    <w:qFormat/>
    <w:uiPriority w:val="99"/>
  </w:style>
  <w:style w:type="paragraph" w:customStyle="1" w:styleId="120">
    <w:name w:val="font7"/>
    <w:basedOn w:val="1"/>
    <w:qFormat/>
    <w:uiPriority w:val="0"/>
    <w:pPr>
      <w:widowControl/>
      <w:spacing w:before="100" w:beforeAutospacing="1" w:after="100" w:afterAutospacing="1"/>
      <w:jc w:val="left"/>
    </w:pPr>
    <w:rPr>
      <w:rFonts w:ascii="宋体" w:hAnsi="宋体" w:eastAsia="宋体" w:cs="Times New Roman"/>
      <w:kern w:val="0"/>
      <w:szCs w:val="21"/>
    </w:rPr>
  </w:style>
  <w:style w:type="character" w:customStyle="1" w:styleId="121">
    <w:name w:val="正文文本缩进 Char2"/>
    <w:basedOn w:val="40"/>
    <w:semiHidden/>
    <w:qFormat/>
    <w:uiPriority w:val="99"/>
  </w:style>
  <w:style w:type="character" w:customStyle="1" w:styleId="122">
    <w:name w:val="批注框文本 Char2"/>
    <w:basedOn w:val="40"/>
    <w:semiHidden/>
    <w:qFormat/>
    <w:uiPriority w:val="99"/>
    <w:rPr>
      <w:sz w:val="18"/>
      <w:szCs w:val="18"/>
    </w:rPr>
  </w:style>
  <w:style w:type="character" w:customStyle="1" w:styleId="123">
    <w:name w:val="批注文字 Char1"/>
    <w:basedOn w:val="40"/>
    <w:link w:val="14"/>
    <w:semiHidden/>
    <w:qFormat/>
    <w:uiPriority w:val="99"/>
  </w:style>
  <w:style w:type="character" w:customStyle="1" w:styleId="124">
    <w:name w:val="批注主题 Char1"/>
    <w:basedOn w:val="123"/>
    <w:semiHidden/>
    <w:qFormat/>
    <w:uiPriority w:val="99"/>
    <w:rPr>
      <w:b/>
      <w:bCs/>
    </w:rPr>
  </w:style>
  <w:style w:type="character" w:customStyle="1" w:styleId="125">
    <w:name w:val="正文文本缩进 3 Char2"/>
    <w:basedOn w:val="40"/>
    <w:semiHidden/>
    <w:qFormat/>
    <w:uiPriority w:val="99"/>
    <w:rPr>
      <w:sz w:val="16"/>
      <w:szCs w:val="16"/>
    </w:rPr>
  </w:style>
  <w:style w:type="paragraph" w:customStyle="1" w:styleId="126">
    <w:name w:val="text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character" w:customStyle="1" w:styleId="127">
    <w:name w:val="正文文本 Char4"/>
    <w:basedOn w:val="40"/>
    <w:semiHidden/>
    <w:qFormat/>
    <w:uiPriority w:val="99"/>
  </w:style>
  <w:style w:type="character" w:customStyle="1" w:styleId="128">
    <w:name w:val="文档结构图 Char1"/>
    <w:basedOn w:val="40"/>
    <w:semiHidden/>
    <w:qFormat/>
    <w:uiPriority w:val="99"/>
    <w:rPr>
      <w:rFonts w:ascii="宋体" w:eastAsia="宋体"/>
      <w:sz w:val="18"/>
      <w:szCs w:val="18"/>
    </w:rPr>
  </w:style>
  <w:style w:type="character" w:customStyle="1" w:styleId="129">
    <w:name w:val="页眉 Char2"/>
    <w:basedOn w:val="40"/>
    <w:semiHidden/>
    <w:qFormat/>
    <w:uiPriority w:val="99"/>
    <w:rPr>
      <w:sz w:val="18"/>
      <w:szCs w:val="18"/>
    </w:rPr>
  </w:style>
  <w:style w:type="character" w:customStyle="1" w:styleId="130">
    <w:name w:val="日期 Char2"/>
    <w:basedOn w:val="40"/>
    <w:semiHidden/>
    <w:qFormat/>
    <w:uiPriority w:val="99"/>
  </w:style>
  <w:style w:type="character" w:customStyle="1" w:styleId="131">
    <w:name w:val="标题 Char1"/>
    <w:basedOn w:val="40"/>
    <w:qFormat/>
    <w:uiPriority w:val="10"/>
    <w:rPr>
      <w:rFonts w:eastAsia="宋体" w:asciiTheme="majorHAnsi" w:hAnsiTheme="majorHAnsi" w:cstheme="majorBidi"/>
      <w:b/>
      <w:bCs/>
      <w:sz w:val="32"/>
      <w:szCs w:val="32"/>
    </w:rPr>
  </w:style>
  <w:style w:type="character" w:customStyle="1" w:styleId="132">
    <w:name w:val="纯文本 Char3"/>
    <w:basedOn w:val="40"/>
    <w:semiHidden/>
    <w:qFormat/>
    <w:uiPriority w:val="99"/>
    <w:rPr>
      <w:rFonts w:ascii="宋体" w:hAnsi="Courier New" w:eastAsia="宋体" w:cs="Courier New"/>
      <w:szCs w:val="21"/>
    </w:rPr>
  </w:style>
  <w:style w:type="paragraph" w:customStyle="1" w:styleId="13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character" w:customStyle="1" w:styleId="134">
    <w:name w:val="HTML 预设格式 Char1"/>
    <w:basedOn w:val="40"/>
    <w:semiHidden/>
    <w:qFormat/>
    <w:uiPriority w:val="99"/>
    <w:rPr>
      <w:rFonts w:ascii="Courier New" w:hAnsi="Courier New" w:cs="Courier New"/>
      <w:sz w:val="20"/>
      <w:szCs w:val="20"/>
    </w:rPr>
  </w:style>
  <w:style w:type="character" w:customStyle="1" w:styleId="135">
    <w:name w:val="正文文本 2 Char1"/>
    <w:basedOn w:val="40"/>
    <w:semiHidden/>
    <w:qFormat/>
    <w:uiPriority w:val="99"/>
  </w:style>
  <w:style w:type="paragraph" w:customStyle="1" w:styleId="136">
    <w:name w:val="xl6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137">
    <w:name w:val="font13"/>
    <w:basedOn w:val="1"/>
    <w:qFormat/>
    <w:uiPriority w:val="0"/>
    <w:pPr>
      <w:widowControl/>
      <w:spacing w:before="100" w:beforeAutospacing="1" w:after="100" w:afterAutospacing="1"/>
      <w:jc w:val="left"/>
    </w:pPr>
    <w:rPr>
      <w:rFonts w:ascii="Times New Roman" w:hAnsi="Times New Roman" w:eastAsia="宋体" w:cs="Times New Roman"/>
      <w:kern w:val="0"/>
      <w:sz w:val="22"/>
    </w:rPr>
  </w:style>
  <w:style w:type="paragraph" w:customStyle="1" w:styleId="138">
    <w:name w:val="Char Char3 Char Char"/>
    <w:basedOn w:val="1"/>
    <w:qFormat/>
    <w:uiPriority w:val="0"/>
    <w:rPr>
      <w:rFonts w:ascii="Times New Roman" w:hAnsi="Times New Roman" w:eastAsia="宋体" w:cs="Times New Roman"/>
      <w:szCs w:val="20"/>
    </w:rPr>
  </w:style>
  <w:style w:type="paragraph" w:customStyle="1" w:styleId="139">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40">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141">
    <w:name w:val="font18"/>
    <w:basedOn w:val="1"/>
    <w:qFormat/>
    <w:uiPriority w:val="0"/>
    <w:pPr>
      <w:widowControl/>
      <w:spacing w:before="100" w:beforeAutospacing="1" w:after="100" w:afterAutospacing="1"/>
      <w:jc w:val="left"/>
    </w:pPr>
    <w:rPr>
      <w:rFonts w:ascii="宋体" w:hAnsi="宋体" w:eastAsia="宋体" w:cs="Times New Roman"/>
      <w:b/>
      <w:bCs/>
      <w:color w:val="000000"/>
      <w:kern w:val="0"/>
      <w:sz w:val="18"/>
      <w:szCs w:val="18"/>
    </w:rPr>
  </w:style>
  <w:style w:type="paragraph" w:customStyle="1" w:styleId="142">
    <w:name w:val="修订1"/>
    <w:unhideWhenUsed/>
    <w:qFormat/>
    <w:uiPriority w:val="99"/>
    <w:rPr>
      <w:rFonts w:ascii="Times New Roman" w:hAnsi="Times New Roman" w:eastAsia="宋体" w:cs="Times New Roman"/>
      <w:kern w:val="2"/>
      <w:sz w:val="21"/>
      <w:lang w:val="en-US" w:eastAsia="zh-CN" w:bidi="ar-SA"/>
    </w:rPr>
  </w:style>
  <w:style w:type="paragraph" w:customStyle="1" w:styleId="143">
    <w:name w:val="font0"/>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44">
    <w:name w:val="样式7"/>
    <w:basedOn w:val="1"/>
    <w:qFormat/>
    <w:uiPriority w:val="0"/>
    <w:pPr>
      <w:spacing w:line="360" w:lineRule="auto"/>
      <w:ind w:firstLine="567"/>
    </w:pPr>
    <w:rPr>
      <w:rFonts w:ascii="仿宋_GB2312" w:hAnsi="Times New Roman" w:eastAsia="仿宋_GB2312" w:cs="Times New Roman"/>
      <w:sz w:val="28"/>
      <w:szCs w:val="20"/>
    </w:rPr>
  </w:style>
  <w:style w:type="paragraph" w:customStyle="1" w:styleId="145">
    <w:name w:val="font9"/>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46">
    <w:name w:val="Char Char1"/>
    <w:basedOn w:val="1"/>
    <w:qFormat/>
    <w:uiPriority w:val="0"/>
    <w:rPr>
      <w:rFonts w:ascii="Times New Roman" w:hAnsi="Times New Roman" w:eastAsia="宋体" w:cs="Times New Roman"/>
      <w:szCs w:val="20"/>
    </w:rPr>
  </w:style>
  <w:style w:type="paragraph" w:customStyle="1" w:styleId="147">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eastAsia="宋体" w:cs="Times New Roman"/>
      <w:kern w:val="0"/>
      <w:szCs w:val="21"/>
    </w:rPr>
  </w:style>
  <w:style w:type="paragraph" w:customStyle="1" w:styleId="14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9">
    <w:name w:val="reader-word-layer reader-word-s2-0 reader-word-s2-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0">
    <w:name w:val="xl26"/>
    <w:basedOn w:val="1"/>
    <w:qFormat/>
    <w:uiPriority w:val="0"/>
    <w:pPr>
      <w:widowControl/>
      <w:pBdr>
        <w:bottom w:val="single" w:color="auto" w:sz="4" w:space="0"/>
        <w:right w:val="single" w:color="auto" w:sz="4" w:space="0"/>
      </w:pBdr>
      <w:spacing w:before="100" w:beforeAutospacing="1" w:after="100" w:afterAutospacing="1"/>
    </w:pPr>
    <w:rPr>
      <w:rFonts w:ascii="宋体" w:hAnsi="宋体" w:eastAsia="宋体" w:cs="Times New Roman"/>
      <w:kern w:val="0"/>
      <w:szCs w:val="21"/>
    </w:rPr>
  </w:style>
  <w:style w:type="paragraph" w:customStyle="1" w:styleId="151">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hAnsi="宋体" w:eastAsia="宋体" w:cs="Times New Roman"/>
      <w:kern w:val="0"/>
      <w:szCs w:val="21"/>
    </w:rPr>
  </w:style>
  <w:style w:type="paragraph" w:customStyle="1" w:styleId="152">
    <w:name w:val="Style42"/>
    <w:basedOn w:val="1"/>
    <w:qFormat/>
    <w:uiPriority w:val="0"/>
    <w:pPr>
      <w:adjustRightInd w:val="0"/>
      <w:jc w:val="left"/>
    </w:pPr>
    <w:rPr>
      <w:rFonts w:ascii="宋体" w:hAnsi="Times New Roman" w:eastAsia="宋体" w:cs="Times New Roman"/>
      <w:kern w:val="0"/>
      <w:sz w:val="24"/>
      <w:szCs w:val="24"/>
    </w:rPr>
  </w:style>
  <w:style w:type="paragraph" w:customStyle="1" w:styleId="153">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b/>
      <w:bCs/>
      <w:kern w:val="0"/>
      <w:sz w:val="24"/>
      <w:szCs w:val="24"/>
    </w:rPr>
  </w:style>
  <w:style w:type="paragraph" w:customStyle="1" w:styleId="154">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Times New Roman"/>
      <w:kern w:val="0"/>
      <w:szCs w:val="21"/>
    </w:rPr>
  </w:style>
  <w:style w:type="paragraph" w:customStyle="1" w:styleId="155">
    <w:name w:val="xl73"/>
    <w:basedOn w:val="1"/>
    <w:qFormat/>
    <w:uiPriority w:val="0"/>
    <w:pPr>
      <w:widowControl/>
      <w:pBdr>
        <w:top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56">
    <w:name w:val="reader-word-layer reader-word-s1-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7">
    <w:name w:val="xl5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Times New Roman"/>
      <w:kern w:val="0"/>
      <w:sz w:val="22"/>
    </w:rPr>
  </w:style>
  <w:style w:type="paragraph" w:customStyle="1" w:styleId="158">
    <w:name w:val="xl4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159">
    <w:name w:val="xl6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160">
    <w:name w:val="reader-word-layer reader-word-s1-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1">
    <w:name w:val="font14"/>
    <w:basedOn w:val="1"/>
    <w:qFormat/>
    <w:uiPriority w:val="0"/>
    <w:pPr>
      <w:widowControl/>
      <w:spacing w:before="100" w:beforeAutospacing="1" w:after="100" w:afterAutospacing="1"/>
      <w:jc w:val="left"/>
    </w:pPr>
    <w:rPr>
      <w:rFonts w:ascii="宋体" w:hAnsi="宋体" w:eastAsia="宋体" w:cs="Times New Roman"/>
      <w:b/>
      <w:bCs/>
      <w:kern w:val="0"/>
      <w:sz w:val="22"/>
    </w:rPr>
  </w:style>
  <w:style w:type="paragraph" w:customStyle="1" w:styleId="162">
    <w:name w:val="p0"/>
    <w:basedOn w:val="1"/>
    <w:qFormat/>
    <w:uiPriority w:val="0"/>
    <w:pPr>
      <w:widowControl/>
    </w:pPr>
    <w:rPr>
      <w:rFonts w:ascii="Times New Roman" w:hAnsi="Times New Roman" w:eastAsia="宋体" w:cs="宋体"/>
      <w:kern w:val="0"/>
      <w:szCs w:val="21"/>
      <w:lang w:bidi="bo-CN"/>
    </w:rPr>
  </w:style>
  <w:style w:type="paragraph" w:customStyle="1" w:styleId="163">
    <w:name w:val="Style18"/>
    <w:basedOn w:val="1"/>
    <w:qFormat/>
    <w:uiPriority w:val="0"/>
    <w:pPr>
      <w:adjustRightInd w:val="0"/>
      <w:jc w:val="left"/>
    </w:pPr>
    <w:rPr>
      <w:rFonts w:ascii="宋体" w:hAnsi="Times New Roman" w:eastAsia="宋体" w:cs="Times New Roman"/>
      <w:kern w:val="0"/>
      <w:sz w:val="24"/>
      <w:szCs w:val="24"/>
    </w:rPr>
  </w:style>
  <w:style w:type="paragraph" w:customStyle="1" w:styleId="164">
    <w:name w:val="font12"/>
    <w:basedOn w:val="1"/>
    <w:qFormat/>
    <w:uiPriority w:val="0"/>
    <w:pPr>
      <w:widowControl/>
      <w:spacing w:before="100" w:beforeAutospacing="1" w:after="100" w:afterAutospacing="1"/>
      <w:jc w:val="left"/>
    </w:pPr>
    <w:rPr>
      <w:rFonts w:ascii="宋体" w:hAnsi="宋体" w:eastAsia="宋体" w:cs="Times New Roman"/>
      <w:kern w:val="0"/>
      <w:sz w:val="22"/>
    </w:rPr>
  </w:style>
  <w:style w:type="paragraph" w:customStyle="1" w:styleId="165">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166">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hAnsi="宋体" w:eastAsia="宋体" w:cs="Times New Roman"/>
      <w:kern w:val="0"/>
      <w:szCs w:val="21"/>
    </w:rPr>
  </w:style>
  <w:style w:type="paragraph" w:customStyle="1" w:styleId="167">
    <w:name w:val="reader-word-layer reader-word-s2-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Times New Roman"/>
      <w:kern w:val="0"/>
      <w:szCs w:val="21"/>
    </w:rPr>
  </w:style>
  <w:style w:type="paragraph" w:customStyle="1" w:styleId="169">
    <w:name w:val="xl28"/>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170">
    <w:name w:val="font17"/>
    <w:basedOn w:val="1"/>
    <w:qFormat/>
    <w:uiPriority w:val="0"/>
    <w:pPr>
      <w:widowControl/>
      <w:spacing w:before="100" w:beforeAutospacing="1" w:after="100" w:afterAutospacing="1"/>
      <w:jc w:val="left"/>
    </w:pPr>
    <w:rPr>
      <w:rFonts w:ascii="宋体" w:hAnsi="宋体" w:eastAsia="宋体" w:cs="Times New Roman"/>
      <w:color w:val="000000"/>
      <w:kern w:val="0"/>
      <w:sz w:val="18"/>
      <w:szCs w:val="18"/>
    </w:rPr>
  </w:style>
  <w:style w:type="paragraph" w:customStyle="1" w:styleId="171">
    <w:name w:val="Char"/>
    <w:basedOn w:val="1"/>
    <w:qFormat/>
    <w:uiPriority w:val="0"/>
    <w:rPr>
      <w:rFonts w:ascii="Tahoma" w:hAnsi="Tahoma" w:eastAsia="宋体" w:cs="Times New Roman"/>
      <w:sz w:val="24"/>
      <w:szCs w:val="20"/>
    </w:rPr>
  </w:style>
  <w:style w:type="paragraph" w:customStyle="1" w:styleId="172">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7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Cs w:val="21"/>
    </w:rPr>
  </w:style>
  <w:style w:type="paragraph" w:customStyle="1" w:styleId="174">
    <w:name w:val="reader-word-layer reader-word-s1-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5">
    <w:name w:val="xl39"/>
    <w:basedOn w:val="1"/>
    <w:qFormat/>
    <w:uiPriority w:val="0"/>
    <w:pPr>
      <w:widowControl/>
      <w:pBdr>
        <w:top w:val="single" w:color="auto" w:sz="4" w:space="0"/>
        <w:left w:val="single" w:color="auto" w:sz="4" w:space="0"/>
      </w:pBdr>
      <w:spacing w:before="100" w:beforeAutospacing="1" w:after="100" w:afterAutospacing="1"/>
      <w:textAlignment w:val="center"/>
    </w:pPr>
    <w:rPr>
      <w:rFonts w:ascii="宋体" w:hAnsi="宋体" w:eastAsia="宋体" w:cs="Times New Roman"/>
      <w:kern w:val="0"/>
      <w:szCs w:val="21"/>
    </w:rPr>
  </w:style>
  <w:style w:type="paragraph" w:customStyle="1" w:styleId="176">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77">
    <w:name w:val="xl5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178">
    <w:name w:val="xl7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79">
    <w:name w:val="font5"/>
    <w:basedOn w:val="1"/>
    <w:qFormat/>
    <w:uiPriority w:val="0"/>
    <w:pPr>
      <w:widowControl/>
      <w:spacing w:before="100" w:beforeAutospacing="1" w:after="100" w:afterAutospacing="1"/>
      <w:jc w:val="left"/>
    </w:pPr>
    <w:rPr>
      <w:rFonts w:ascii="宋体" w:hAnsi="宋体" w:eastAsia="宋体" w:cs="Times New Roman"/>
      <w:kern w:val="0"/>
      <w:sz w:val="18"/>
      <w:szCs w:val="18"/>
    </w:rPr>
  </w:style>
  <w:style w:type="paragraph" w:customStyle="1" w:styleId="180">
    <w:name w:val="xl6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181">
    <w:name w:val="xl7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82">
    <w:name w:val="reader-word-layer reader-word-s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3">
    <w:name w:val="reader-word-layer reader-word-s2-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4">
    <w:name w:val="Style75"/>
    <w:basedOn w:val="1"/>
    <w:qFormat/>
    <w:uiPriority w:val="0"/>
    <w:pPr>
      <w:adjustRightInd w:val="0"/>
      <w:jc w:val="left"/>
    </w:pPr>
    <w:rPr>
      <w:rFonts w:ascii="宋体" w:hAnsi="Times New Roman" w:eastAsia="宋体" w:cs="Times New Roman"/>
      <w:kern w:val="0"/>
      <w:sz w:val="24"/>
      <w:szCs w:val="24"/>
    </w:rPr>
  </w:style>
  <w:style w:type="paragraph" w:customStyle="1" w:styleId="185">
    <w:name w:val="font11"/>
    <w:basedOn w:val="1"/>
    <w:qFormat/>
    <w:uiPriority w:val="0"/>
    <w:pPr>
      <w:widowControl/>
      <w:spacing w:before="100" w:beforeAutospacing="1" w:after="100" w:afterAutospacing="1"/>
      <w:jc w:val="left"/>
    </w:pPr>
    <w:rPr>
      <w:rFonts w:ascii="宋体" w:hAnsi="宋体" w:eastAsia="宋体" w:cs="Times New Roman"/>
      <w:kern w:val="0"/>
      <w:sz w:val="20"/>
      <w:szCs w:val="20"/>
    </w:rPr>
  </w:style>
  <w:style w:type="paragraph" w:customStyle="1" w:styleId="186">
    <w:name w:val="reader-word-layer reader-word-s1-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7">
    <w:name w:val="xl5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Cs w:val="21"/>
    </w:rPr>
  </w:style>
  <w:style w:type="paragraph" w:customStyle="1" w:styleId="188">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189">
    <w:name w:val="xl54"/>
    <w:basedOn w:val="1"/>
    <w:qFormat/>
    <w:uiPriority w:val="0"/>
    <w:pPr>
      <w:widowControl/>
      <w:pBdr>
        <w:bottom w:val="single" w:color="auto" w:sz="4" w:space="0"/>
      </w:pBdr>
      <w:spacing w:before="100" w:beforeAutospacing="1" w:after="100" w:afterAutospacing="1"/>
      <w:jc w:val="left"/>
      <w:textAlignment w:val="center"/>
    </w:pPr>
    <w:rPr>
      <w:rFonts w:ascii="宋体" w:hAnsi="宋体" w:eastAsia="宋体" w:cs="Times New Roman"/>
      <w:kern w:val="0"/>
      <w:sz w:val="22"/>
    </w:rPr>
  </w:style>
  <w:style w:type="paragraph" w:customStyle="1" w:styleId="190">
    <w:name w:val="xl25"/>
    <w:basedOn w:val="1"/>
    <w:qFormat/>
    <w:uiPriority w:val="0"/>
    <w:pPr>
      <w:widowControl/>
      <w:pBdr>
        <w:top w:val="single" w:color="auto" w:sz="4" w:space="0"/>
        <w:right w:val="single" w:color="auto" w:sz="4" w:space="0"/>
      </w:pBdr>
      <w:spacing w:before="100" w:beforeAutospacing="1" w:after="100" w:afterAutospacing="1"/>
    </w:pPr>
    <w:rPr>
      <w:rFonts w:ascii="宋体" w:hAnsi="宋体" w:eastAsia="宋体" w:cs="Times New Roman"/>
      <w:kern w:val="0"/>
      <w:szCs w:val="21"/>
    </w:rPr>
  </w:style>
  <w:style w:type="paragraph" w:customStyle="1" w:styleId="191">
    <w:name w:val="reader-word-layer reader-word-s2-4 reader-word-s2-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2">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94">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95">
    <w:name w:val="reader-word-layer reader-word-s1-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6">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197">
    <w:name w:val="font15"/>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98">
    <w:name w:val="font8"/>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99">
    <w:name w:val="xl60"/>
    <w:basedOn w:val="1"/>
    <w:qFormat/>
    <w:uiPriority w:val="0"/>
    <w:pPr>
      <w:widowControl/>
      <w:pBdr>
        <w:bottom w:val="single" w:color="auto" w:sz="4" w:space="0"/>
        <w:right w:val="single" w:color="auto" w:sz="4" w:space="0"/>
      </w:pBdr>
      <w:spacing w:before="100" w:beforeAutospacing="1" w:after="100" w:afterAutospacing="1"/>
      <w:textAlignment w:val="center"/>
    </w:pPr>
    <w:rPr>
      <w:rFonts w:ascii="宋体" w:hAnsi="宋体" w:eastAsia="宋体" w:cs="Times New Roman"/>
      <w:kern w:val="0"/>
      <w:szCs w:val="21"/>
    </w:rPr>
  </w:style>
  <w:style w:type="paragraph" w:customStyle="1" w:styleId="200">
    <w:name w:val="font10"/>
    <w:basedOn w:val="1"/>
    <w:qFormat/>
    <w:uiPriority w:val="0"/>
    <w:pPr>
      <w:widowControl/>
      <w:spacing w:before="100" w:beforeAutospacing="1" w:after="100" w:afterAutospacing="1"/>
      <w:jc w:val="left"/>
    </w:pPr>
    <w:rPr>
      <w:rFonts w:ascii="宋体" w:hAnsi="宋体" w:eastAsia="宋体" w:cs="Times New Roman"/>
      <w:kern w:val="0"/>
      <w:sz w:val="20"/>
      <w:szCs w:val="20"/>
    </w:rPr>
  </w:style>
  <w:style w:type="paragraph" w:customStyle="1" w:styleId="201">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202">
    <w:name w:val="List Paragraph1"/>
    <w:basedOn w:val="1"/>
    <w:qFormat/>
    <w:uiPriority w:val="34"/>
    <w:pPr>
      <w:ind w:firstLine="420" w:firstLineChars="200"/>
    </w:pPr>
    <w:rPr>
      <w:rFonts w:ascii="Times New Roman" w:hAnsi="Times New Roman" w:eastAsia="宋体" w:cs="Times New Roman"/>
      <w:szCs w:val="20"/>
    </w:rPr>
  </w:style>
  <w:style w:type="paragraph" w:customStyle="1" w:styleId="203">
    <w:name w:val="xl74"/>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204">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205">
    <w:name w:val="xl59"/>
    <w:basedOn w:val="1"/>
    <w:qFormat/>
    <w:uiPriority w:val="0"/>
    <w:pPr>
      <w:widowControl/>
      <w:pBdr>
        <w:left w:val="single" w:color="auto" w:sz="4" w:space="0"/>
        <w:bottom w:val="single" w:color="auto" w:sz="4" w:space="0"/>
      </w:pBdr>
      <w:spacing w:before="100" w:beforeAutospacing="1" w:after="100" w:afterAutospacing="1"/>
      <w:textAlignment w:val="center"/>
    </w:pPr>
    <w:rPr>
      <w:rFonts w:ascii="宋体" w:hAnsi="宋体" w:eastAsia="宋体" w:cs="Times New Roman"/>
      <w:kern w:val="0"/>
      <w:szCs w:val="21"/>
    </w:rPr>
  </w:style>
  <w:style w:type="paragraph" w:customStyle="1" w:styleId="206">
    <w:name w:val="Plain Text1"/>
    <w:basedOn w:val="1"/>
    <w:qFormat/>
    <w:uiPriority w:val="0"/>
    <w:pPr>
      <w:adjustRightInd w:val="0"/>
      <w:jc w:val="left"/>
      <w:textAlignment w:val="baseline"/>
    </w:pPr>
    <w:rPr>
      <w:rFonts w:ascii="宋体" w:hAnsi="Courier New" w:eastAsia="宋体" w:cs="Times New Roman"/>
      <w:sz w:val="24"/>
      <w:szCs w:val="20"/>
    </w:rPr>
  </w:style>
  <w:style w:type="paragraph" w:customStyle="1" w:styleId="207">
    <w:name w:val="[No paragraph style]"/>
    <w:qFormat/>
    <w:uiPriority w:val="0"/>
    <w:pPr>
      <w:widowControl w:val="0"/>
      <w:autoSpaceDE w:val="0"/>
      <w:autoSpaceDN w:val="0"/>
      <w:adjustRightInd w:val="0"/>
      <w:spacing w:line="288" w:lineRule="auto"/>
      <w:jc w:val="both"/>
      <w:textAlignment w:val="center"/>
    </w:pPr>
    <w:rPr>
      <w:rFonts w:ascii="宋体" w:hAnsi="Times New Roman" w:eastAsia="宋体" w:cs="Times New Roman"/>
      <w:color w:val="000000"/>
      <w:sz w:val="24"/>
      <w:szCs w:val="24"/>
      <w:lang w:val="zh-CN" w:eastAsia="zh-CN" w:bidi="ar-SA"/>
    </w:rPr>
  </w:style>
  <w:style w:type="paragraph" w:customStyle="1" w:styleId="208">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09">
    <w:name w:val="font6"/>
    <w:basedOn w:val="1"/>
    <w:qFormat/>
    <w:uiPriority w:val="0"/>
    <w:pPr>
      <w:widowControl/>
      <w:spacing w:before="100" w:beforeAutospacing="1" w:after="100" w:afterAutospacing="1"/>
      <w:jc w:val="left"/>
    </w:pPr>
    <w:rPr>
      <w:rFonts w:ascii="宋体" w:hAnsi="宋体" w:eastAsia="宋体" w:cs="Times New Roman"/>
      <w:kern w:val="0"/>
      <w:szCs w:val="21"/>
    </w:rPr>
  </w:style>
  <w:style w:type="paragraph" w:customStyle="1" w:styleId="210">
    <w:name w:val="font16"/>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211">
    <w:name w:val="xl6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212">
    <w:name w:val="xl78"/>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eastAsia="宋体" w:cs="Times New Roman"/>
      <w:kern w:val="0"/>
      <w:szCs w:val="21"/>
    </w:rPr>
  </w:style>
  <w:style w:type="paragraph" w:customStyle="1" w:styleId="213">
    <w:name w:val="reader-word-layer reader-word-s1-0 reader-word-s1-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
    <w:name w:val="reader-word-layer reader-word-s1-0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216">
    <w:name w:val="xl3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17">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218">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219">
    <w:name w:val="xl58"/>
    <w:basedOn w:val="1"/>
    <w:qFormat/>
    <w:uiPriority w:val="0"/>
    <w:pPr>
      <w:widowControl/>
      <w:pBdr>
        <w:top w:val="single" w:color="auto" w:sz="4" w:space="0"/>
        <w:right w:val="single" w:color="auto" w:sz="4" w:space="0"/>
      </w:pBdr>
      <w:spacing w:before="100" w:beforeAutospacing="1" w:after="100" w:afterAutospacing="1"/>
      <w:textAlignment w:val="center"/>
    </w:pPr>
    <w:rPr>
      <w:rFonts w:ascii="宋体" w:hAnsi="宋体" w:eastAsia="宋体" w:cs="Times New Roman"/>
      <w:kern w:val="0"/>
      <w:szCs w:val="21"/>
    </w:rPr>
  </w:style>
  <w:style w:type="paragraph" w:customStyle="1" w:styleId="220">
    <w:name w:val="默认段落字体 Para Char Char Char1 Char"/>
    <w:basedOn w:val="1"/>
    <w:next w:val="1"/>
    <w:qFormat/>
    <w:uiPriority w:val="0"/>
    <w:pPr>
      <w:spacing w:line="240" w:lineRule="atLeast"/>
      <w:ind w:left="420" w:firstLine="420"/>
      <w:jc w:val="left"/>
    </w:pPr>
    <w:rPr>
      <w:rFonts w:ascii="Times New Roman" w:hAnsi="Times New Roman" w:eastAsia="宋体" w:cs="Times New Roman"/>
      <w:kern w:val="0"/>
      <w:szCs w:val="21"/>
    </w:rPr>
  </w:style>
  <w:style w:type="paragraph" w:customStyle="1" w:styleId="221">
    <w:name w:val="reader-word-layer reader-word-s2-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223">
    <w:name w:val="reader-word-layer reader-word-s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225">
    <w:name w:val="字元"/>
    <w:basedOn w:val="1"/>
    <w:qFormat/>
    <w:uiPriority w:val="0"/>
    <w:pPr>
      <w:widowControl/>
      <w:tabs>
        <w:tab w:val="left" w:pos="4665"/>
        <w:tab w:val="left" w:pos="8970"/>
      </w:tabs>
      <w:ind w:firstLine="400"/>
    </w:pPr>
    <w:rPr>
      <w:rFonts w:ascii="Tahoma" w:hAnsi="Tahoma" w:eastAsia="宋体" w:cs="Times New Roman"/>
      <w:kern w:val="0"/>
      <w:sz w:val="24"/>
      <w:szCs w:val="20"/>
    </w:rPr>
  </w:style>
  <w:style w:type="paragraph" w:customStyle="1" w:styleId="22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227">
    <w:name w:val="Char Char4"/>
    <w:basedOn w:val="1"/>
    <w:qFormat/>
    <w:uiPriority w:val="0"/>
    <w:rPr>
      <w:rFonts w:ascii="宋体" w:hAnsi="宋体" w:eastAsia="宋体" w:cs="Courier New"/>
      <w:sz w:val="32"/>
      <w:szCs w:val="32"/>
    </w:rPr>
  </w:style>
  <w:style w:type="paragraph" w:customStyle="1" w:styleId="228">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229">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30">
    <w:name w:val="xl5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Times New Roman"/>
      <w:kern w:val="0"/>
      <w:szCs w:val="21"/>
    </w:rPr>
  </w:style>
  <w:style w:type="paragraph" w:customStyle="1" w:styleId="231">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
    <w:name w:val="reader-word-layer reader-word-s1-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
    <w:name w:val="reader-word-layer reader-word-s1-1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
    <w:name w:val="修订11"/>
    <w:unhideWhenUsed/>
    <w:qFormat/>
    <w:uiPriority w:val="99"/>
    <w:rPr>
      <w:rFonts w:ascii="Times New Roman" w:hAnsi="Times New Roman" w:eastAsia="宋体" w:cs="Times New Roman"/>
      <w:kern w:val="2"/>
      <w:sz w:val="21"/>
      <w:szCs w:val="24"/>
      <w:lang w:val="en-US" w:eastAsia="zh-CN" w:bidi="ar-SA"/>
    </w:rPr>
  </w:style>
  <w:style w:type="paragraph" w:customStyle="1" w:styleId="235">
    <w:name w:val="xl8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Times New Roman"/>
      <w:b/>
      <w:bCs/>
      <w:kern w:val="0"/>
      <w:sz w:val="24"/>
      <w:szCs w:val="24"/>
    </w:rPr>
  </w:style>
  <w:style w:type="paragraph" w:customStyle="1" w:styleId="236">
    <w:name w:val="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
    <w:name w:val="p15"/>
    <w:basedOn w:val="1"/>
    <w:qFormat/>
    <w:uiPriority w:val="0"/>
    <w:pPr>
      <w:widowControl/>
      <w:spacing w:line="500" w:lineRule="atLeast"/>
    </w:pPr>
    <w:rPr>
      <w:rFonts w:ascii="Times New Roman" w:hAnsi="Times New Roman" w:eastAsia="宋体" w:cs="宋体"/>
      <w:kern w:val="0"/>
      <w:sz w:val="28"/>
      <w:szCs w:val="28"/>
      <w:lang w:bidi="bo-CN"/>
    </w:rPr>
  </w:style>
  <w:style w:type="paragraph" w:customStyle="1" w:styleId="238">
    <w:name w:val="标准"/>
    <w:basedOn w:val="1"/>
    <w:qFormat/>
    <w:uiPriority w:val="0"/>
    <w:pPr>
      <w:widowControl/>
      <w:overflowPunct w:val="0"/>
      <w:autoSpaceDE w:val="0"/>
      <w:autoSpaceDN w:val="0"/>
      <w:adjustRightInd w:val="0"/>
      <w:spacing w:before="120" w:after="120"/>
      <w:ind w:firstLine="454"/>
      <w:jc w:val="left"/>
      <w:textAlignment w:val="baseline"/>
    </w:pPr>
    <w:rPr>
      <w:rFonts w:ascii="仿宋_GB2312" w:hAnsi="Times New Roman" w:eastAsia="仿宋_GB2312" w:cs="Times New Roman"/>
      <w:kern w:val="0"/>
      <w:sz w:val="24"/>
      <w:szCs w:val="20"/>
    </w:rPr>
  </w:style>
  <w:style w:type="paragraph" w:customStyle="1" w:styleId="239">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240">
    <w:name w:val="album-div"/>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
    <w:name w:val="默认段落字体 Para Char Char Char Char Char Char Char"/>
    <w:basedOn w:val="1"/>
    <w:qFormat/>
    <w:uiPriority w:val="0"/>
    <w:rPr>
      <w:rFonts w:ascii="Tahoma" w:hAnsi="Tahoma" w:eastAsia="宋体" w:cs="Times New Roman"/>
      <w:sz w:val="24"/>
      <w:szCs w:val="20"/>
    </w:rPr>
  </w:style>
  <w:style w:type="paragraph" w:customStyle="1" w:styleId="242">
    <w:name w:val="列出段落1"/>
    <w:basedOn w:val="1"/>
    <w:unhideWhenUsed/>
    <w:qFormat/>
    <w:uiPriority w:val="99"/>
    <w:pPr>
      <w:ind w:firstLine="420" w:firstLineChars="200"/>
    </w:pPr>
    <w:rPr>
      <w:rFonts w:ascii="Times New Roman" w:hAnsi="Times New Roman" w:eastAsia="宋体" w:cs="Times New Roman"/>
      <w:szCs w:val="24"/>
    </w:rPr>
  </w:style>
  <w:style w:type="paragraph" w:customStyle="1" w:styleId="243">
    <w:name w:val="Char1"/>
    <w:basedOn w:val="1"/>
    <w:qFormat/>
    <w:uiPriority w:val="0"/>
    <w:pPr>
      <w:spacing w:line="360" w:lineRule="auto"/>
      <w:ind w:firstLine="1653" w:firstLineChars="588"/>
    </w:pPr>
    <w:rPr>
      <w:rFonts w:ascii="Times New Roman" w:hAnsi="Times New Roman" w:eastAsia="宋体" w:cs="Times New Roman"/>
      <w:b/>
      <w:sz w:val="28"/>
      <w:szCs w:val="28"/>
    </w:rPr>
  </w:style>
  <w:style w:type="paragraph" w:customStyle="1" w:styleId="244">
    <w:name w:val="reader-word-layer reader-word-s5-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
    <w:name w:val="xl5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246">
    <w:name w:val="条款7月"/>
    <w:basedOn w:val="1"/>
    <w:qFormat/>
    <w:uiPriority w:val="0"/>
    <w:pPr>
      <w:adjustRightInd w:val="0"/>
      <w:spacing w:beforeLines="50" w:afterLines="50" w:line="360" w:lineRule="auto"/>
      <w:ind w:firstLine="480" w:firstLineChars="200"/>
      <w:jc w:val="left"/>
      <w:textAlignment w:val="baseline"/>
    </w:pPr>
    <w:rPr>
      <w:rFonts w:ascii="Times New Roman" w:hAnsi="Times New Roman" w:eastAsia="宋体" w:cs="Times New Roman"/>
      <w:sz w:val="24"/>
      <w:szCs w:val="24"/>
    </w:rPr>
  </w:style>
  <w:style w:type="paragraph" w:customStyle="1" w:styleId="247">
    <w:name w:val="xl35"/>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eastAsia="宋体" w:cs="Times New Roman"/>
      <w:kern w:val="0"/>
      <w:sz w:val="20"/>
      <w:szCs w:val="20"/>
    </w:rPr>
  </w:style>
  <w:style w:type="paragraph" w:customStyle="1" w:styleId="248">
    <w:name w:val="reader-word-layer reader-word-s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Cs w:val="21"/>
    </w:rPr>
  </w:style>
  <w:style w:type="paragraph" w:customStyle="1" w:styleId="250">
    <w:name w:val="xl4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251">
    <w:name w:val="xl22"/>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252">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
    <w:name w:val="reader-word-layer reader-word-s1-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
    <w:name w:val="Char2"/>
    <w:basedOn w:val="1"/>
    <w:qFormat/>
    <w:uiPriority w:val="0"/>
    <w:rPr>
      <w:rFonts w:ascii="Times New Roman" w:hAnsi="Times New Roman" w:eastAsia="宋体" w:cs="Times New Roman"/>
      <w:szCs w:val="20"/>
    </w:rPr>
  </w:style>
  <w:style w:type="paragraph" w:customStyle="1" w:styleId="255">
    <w:name w:val="reader-word-layer reader-word-s1-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
    <w:name w:val="reader-word-layer reader-word-s5-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
    <w:name w:val="Style72"/>
    <w:basedOn w:val="1"/>
    <w:qFormat/>
    <w:uiPriority w:val="0"/>
    <w:pPr>
      <w:adjustRightInd w:val="0"/>
      <w:jc w:val="left"/>
    </w:pPr>
    <w:rPr>
      <w:rFonts w:ascii="宋体" w:hAnsi="Times New Roman" w:eastAsia="宋体" w:cs="Times New Roman"/>
      <w:kern w:val="0"/>
      <w:sz w:val="24"/>
      <w:szCs w:val="24"/>
    </w:rPr>
  </w:style>
  <w:style w:type="paragraph" w:customStyle="1" w:styleId="258">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Times New Roman"/>
      <w:kern w:val="0"/>
      <w:szCs w:val="21"/>
    </w:rPr>
  </w:style>
  <w:style w:type="paragraph" w:customStyle="1" w:styleId="259">
    <w:name w:val="reader-word-layer reader-word-s1-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
    <w:name w:val="样式3"/>
    <w:basedOn w:val="1"/>
    <w:qFormat/>
    <w:uiPriority w:val="0"/>
    <w:pPr>
      <w:snapToGrid w:val="0"/>
      <w:jc w:val="center"/>
    </w:pPr>
    <w:rPr>
      <w:rFonts w:ascii="宋体" w:hAnsi="宋体" w:eastAsia="宋体" w:cs="Times New Roman"/>
      <w:spacing w:val="10"/>
      <w:szCs w:val="24"/>
    </w:rPr>
  </w:style>
  <w:style w:type="paragraph" w:customStyle="1" w:styleId="261">
    <w:name w:val="纯文本1"/>
    <w:basedOn w:val="1"/>
    <w:qFormat/>
    <w:uiPriority w:val="0"/>
    <w:pPr>
      <w:adjustRightInd w:val="0"/>
      <w:jc w:val="left"/>
      <w:textAlignment w:val="baseline"/>
    </w:pPr>
    <w:rPr>
      <w:rFonts w:ascii="宋体" w:hAnsi="Courier New" w:eastAsia="宋体" w:cs="Times New Roman"/>
      <w:sz w:val="24"/>
      <w:szCs w:val="20"/>
    </w:rPr>
  </w:style>
  <w:style w:type="paragraph" w:styleId="262">
    <w:name w:val="List Paragraph"/>
    <w:basedOn w:val="1"/>
    <w:qFormat/>
    <w:uiPriority w:val="34"/>
    <w:pPr>
      <w:ind w:firstLine="420" w:firstLineChars="200"/>
    </w:pPr>
  </w:style>
  <w:style w:type="character" w:customStyle="1" w:styleId="263">
    <w:name w:val="fn org"/>
    <w:basedOn w:val="4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ECDE33-F67D-4540-A8C4-A435D875799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2200</Words>
  <Characters>12540</Characters>
  <Lines>104</Lines>
  <Paragraphs>29</Paragraphs>
  <TotalTime>2</TotalTime>
  <ScaleCrop>false</ScaleCrop>
  <LinksUpToDate>false</LinksUpToDate>
  <CharactersWithSpaces>14711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2019-02-18T05:51:00Z</dcterms:created>
  <dc:creator>bb</dc:creator>
  <cp:lastModifiedBy>一生何求</cp:lastModifiedBy>
  <cp:lastPrinted>2019-05-13T01:53:00Z</cp:lastPrinted>
  <dcterms:modified xsi:type="dcterms:W3CDTF">2020-06-29T03:02:22Z</dcterms:modified>
  <cp:revision>802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