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45"/>
        </w:tabs>
        <w:spacing w:line="560" w:lineRule="exact"/>
        <w:ind w:left="-1" w:leftChars="-50" w:hanging="104" w:hangingChars="18"/>
        <w:jc w:val="center"/>
        <w:rPr>
          <w:rFonts w:ascii="宋体" w:hAnsi="宋体"/>
          <w:spacing w:val="30"/>
          <w:sz w:val="52"/>
          <w:szCs w:val="52"/>
        </w:rPr>
      </w:pPr>
      <w:bookmarkStart w:id="0" w:name="_Toc439061836"/>
      <w:bookmarkStart w:id="1" w:name="_Toc137475686"/>
      <w:bookmarkStart w:id="2" w:name="_Toc269216337"/>
      <w:bookmarkStart w:id="3" w:name="_Toc364091969"/>
      <w:bookmarkStart w:id="4" w:name="_Toc269216114"/>
      <w:bookmarkStart w:id="5" w:name="_Toc333846303"/>
      <w:bookmarkStart w:id="6" w:name="_Toc303022390"/>
      <w:bookmarkStart w:id="7" w:name="_Toc303022486"/>
    </w:p>
    <w:p>
      <w:pPr>
        <w:tabs>
          <w:tab w:val="left" w:pos="3045"/>
        </w:tabs>
        <w:spacing w:line="560" w:lineRule="exact"/>
        <w:ind w:left="-1" w:leftChars="-50" w:hanging="104" w:hangingChars="18"/>
        <w:jc w:val="center"/>
        <w:rPr>
          <w:rFonts w:ascii="宋体" w:hAnsi="宋体"/>
          <w:spacing w:val="30"/>
          <w:sz w:val="52"/>
          <w:szCs w:val="52"/>
        </w:rPr>
      </w:pPr>
    </w:p>
    <w:p>
      <w:pPr>
        <w:tabs>
          <w:tab w:val="left" w:pos="3045"/>
        </w:tabs>
        <w:spacing w:line="276" w:lineRule="auto"/>
        <w:ind w:left="-5" w:leftChars="-50" w:hanging="100" w:hangingChars="18"/>
        <w:jc w:val="center"/>
        <w:rPr>
          <w:rFonts w:ascii="黑体" w:eastAsia="黑体" w:cs="黑体"/>
          <w:spacing w:val="20"/>
          <w:sz w:val="52"/>
          <w:szCs w:val="52"/>
        </w:rPr>
      </w:pPr>
      <w:r>
        <w:rPr>
          <w:rFonts w:hint="eastAsia" w:ascii="黑体" w:eastAsia="黑体" w:cs="黑体"/>
          <w:spacing w:val="20"/>
          <w:sz w:val="52"/>
          <w:szCs w:val="52"/>
        </w:rPr>
        <w:t>房地产估价报告</w:t>
      </w:r>
    </w:p>
    <w:p>
      <w:pPr>
        <w:adjustRightInd w:val="0"/>
        <w:snapToGrid w:val="0"/>
        <w:spacing w:afterLines="200" w:line="360" w:lineRule="auto"/>
        <w:ind w:left="2549" w:hanging="2549" w:hangingChars="607"/>
        <w:rPr>
          <w:rFonts w:ascii="宋体" w:hAnsi="宋体"/>
          <w:spacing w:val="60"/>
          <w:kern w:val="0"/>
          <w:sz w:val="30"/>
          <w:szCs w:val="30"/>
        </w:rPr>
      </w:pPr>
    </w:p>
    <w:p>
      <w:pPr>
        <w:adjustRightInd w:val="0"/>
        <w:snapToGrid w:val="0"/>
        <w:spacing w:afterLines="200" w:line="360" w:lineRule="auto"/>
        <w:ind w:left="2549" w:hanging="2549" w:hangingChars="607"/>
        <w:rPr>
          <w:rFonts w:ascii="宋体" w:hAnsi="宋体"/>
          <w:spacing w:val="60"/>
          <w:kern w:val="0"/>
          <w:sz w:val="30"/>
          <w:szCs w:val="30"/>
        </w:rPr>
      </w:pPr>
    </w:p>
    <w:p>
      <w:pPr>
        <w:adjustRightInd w:val="0"/>
        <w:snapToGrid w:val="0"/>
        <w:spacing w:afterLines="200" w:line="360" w:lineRule="auto"/>
        <w:ind w:left="2549" w:hanging="2549" w:hangingChars="607"/>
        <w:rPr>
          <w:rFonts w:ascii="宋体" w:hAnsi="宋体"/>
          <w:spacing w:val="60"/>
          <w:kern w:val="0"/>
          <w:sz w:val="30"/>
          <w:szCs w:val="30"/>
        </w:rPr>
      </w:pPr>
    </w:p>
    <w:p>
      <w:pPr>
        <w:tabs>
          <w:tab w:val="left" w:pos="3045"/>
          <w:tab w:val="left" w:pos="3150"/>
        </w:tabs>
        <w:spacing w:line="600" w:lineRule="exact"/>
        <w:ind w:left="424" w:leftChars="202"/>
        <w:rPr>
          <w:rFonts w:ascii="宋体"/>
          <w:w w:val="90"/>
          <w:sz w:val="28"/>
          <w:szCs w:val="21"/>
        </w:rPr>
      </w:pPr>
      <w:r>
        <w:rPr>
          <w:rFonts w:hint="eastAsia" w:ascii="宋体"/>
          <w:w w:val="90"/>
          <w:sz w:val="28"/>
          <w:szCs w:val="21"/>
        </w:rPr>
        <w:t>估价报告编号：贵恒信川房评鉴字(</w:t>
      </w:r>
      <w:r>
        <w:rPr>
          <w:rFonts w:ascii="宋体"/>
          <w:w w:val="90"/>
          <w:sz w:val="28"/>
          <w:szCs w:val="21"/>
        </w:rPr>
        <w:t>20</w:t>
      </w:r>
      <w:r>
        <w:rPr>
          <w:rFonts w:hint="eastAsia" w:ascii="宋体"/>
          <w:w w:val="90"/>
          <w:sz w:val="28"/>
          <w:szCs w:val="21"/>
        </w:rPr>
        <w:t>20</w:t>
      </w:r>
      <w:r>
        <w:rPr>
          <w:rFonts w:ascii="宋体"/>
          <w:w w:val="90"/>
          <w:sz w:val="28"/>
          <w:szCs w:val="21"/>
        </w:rPr>
        <w:t>)</w:t>
      </w:r>
      <w:r>
        <w:rPr>
          <w:rFonts w:hint="eastAsia" w:ascii="宋体"/>
          <w:w w:val="90"/>
          <w:sz w:val="28"/>
          <w:szCs w:val="21"/>
        </w:rPr>
        <w:t>0401号</w:t>
      </w:r>
    </w:p>
    <w:p>
      <w:pPr>
        <w:tabs>
          <w:tab w:val="left" w:pos="3045"/>
          <w:tab w:val="left" w:pos="3150"/>
        </w:tabs>
        <w:spacing w:line="600" w:lineRule="exact"/>
        <w:ind w:left="2184" w:leftChars="200" w:hanging="1764" w:hangingChars="700"/>
        <w:rPr>
          <w:rFonts w:ascii="宋体"/>
          <w:w w:val="90"/>
          <w:sz w:val="28"/>
          <w:szCs w:val="21"/>
        </w:rPr>
      </w:pPr>
      <w:r>
        <w:rPr>
          <w:rFonts w:hint="eastAsia" w:ascii="宋体"/>
          <w:w w:val="90"/>
          <w:sz w:val="28"/>
          <w:szCs w:val="21"/>
        </w:rPr>
        <w:t>估价项目名称：付学芳、黄光兴共同共有的位于眉山市彭山区青龙镇望江路42号1-2层商业、住宅用房；青龙镇下马路11、13号1-4层商业、住宅用房；青龙镇下马路180号1层其它用房房地产处置司法评估报告</w:t>
      </w:r>
    </w:p>
    <w:p>
      <w:pPr>
        <w:tabs>
          <w:tab w:val="left" w:pos="3045"/>
          <w:tab w:val="left" w:pos="3150"/>
        </w:tabs>
        <w:spacing w:line="600" w:lineRule="exact"/>
        <w:ind w:left="424" w:leftChars="202"/>
        <w:rPr>
          <w:rFonts w:ascii="宋体"/>
          <w:w w:val="90"/>
          <w:sz w:val="28"/>
          <w:szCs w:val="21"/>
        </w:rPr>
      </w:pPr>
      <w:r>
        <w:rPr>
          <w:rFonts w:hint="eastAsia" w:ascii="宋体"/>
          <w:spacing w:val="44"/>
          <w:w w:val="90"/>
          <w:sz w:val="28"/>
        </w:rPr>
        <w:t>估价委托</w:t>
      </w:r>
      <w:r>
        <w:rPr>
          <w:rFonts w:hint="eastAsia" w:ascii="宋体"/>
          <w:w w:val="90"/>
          <w:sz w:val="28"/>
        </w:rPr>
        <w:t>人：</w:t>
      </w:r>
      <w:r>
        <w:rPr>
          <w:rFonts w:hint="eastAsia" w:ascii="宋体"/>
          <w:w w:val="90"/>
          <w:sz w:val="28"/>
          <w:szCs w:val="21"/>
        </w:rPr>
        <w:t>眉山市彭山区人民法院</w:t>
      </w:r>
    </w:p>
    <w:p>
      <w:pPr>
        <w:tabs>
          <w:tab w:val="left" w:pos="3045"/>
          <w:tab w:val="left" w:pos="3150"/>
        </w:tabs>
        <w:spacing w:line="600" w:lineRule="exact"/>
        <w:ind w:firstLine="378" w:firstLineChars="150"/>
        <w:rPr>
          <w:rFonts w:ascii="宋体"/>
          <w:w w:val="90"/>
          <w:sz w:val="28"/>
          <w:szCs w:val="21"/>
        </w:rPr>
      </w:pPr>
      <w:r>
        <w:rPr>
          <w:rFonts w:hint="eastAsia" w:ascii="宋体"/>
          <w:w w:val="90"/>
          <w:sz w:val="28"/>
        </w:rPr>
        <w:t>房地产估价机构：</w:t>
      </w:r>
      <w:r>
        <w:rPr>
          <w:rFonts w:hint="eastAsia" w:ascii="宋体"/>
          <w:w w:val="90"/>
          <w:sz w:val="28"/>
          <w:szCs w:val="21"/>
        </w:rPr>
        <w:t>山东贵恒信房地产土地评估经纪有限公司</w:t>
      </w:r>
    </w:p>
    <w:p>
      <w:pPr>
        <w:tabs>
          <w:tab w:val="left" w:pos="3045"/>
          <w:tab w:val="left" w:pos="3150"/>
        </w:tabs>
        <w:spacing w:line="600" w:lineRule="exact"/>
        <w:ind w:firstLine="425" w:firstLineChars="169"/>
        <w:rPr>
          <w:rFonts w:ascii="宋体"/>
          <w:w w:val="90"/>
          <w:sz w:val="28"/>
          <w:szCs w:val="21"/>
        </w:rPr>
      </w:pPr>
      <w:r>
        <w:rPr>
          <w:rFonts w:hint="eastAsia" w:ascii="宋体"/>
          <w:w w:val="90"/>
          <w:sz w:val="28"/>
          <w:szCs w:val="21"/>
        </w:rPr>
        <w:t>注册房地产估价师： 张  乐         注册号：5</w:t>
      </w:r>
      <w:r>
        <w:rPr>
          <w:rFonts w:ascii="宋体"/>
          <w:w w:val="90"/>
          <w:sz w:val="28"/>
          <w:szCs w:val="21"/>
        </w:rPr>
        <w:t>120070069</w:t>
      </w:r>
    </w:p>
    <w:p>
      <w:pPr>
        <w:tabs>
          <w:tab w:val="left" w:pos="3045"/>
          <w:tab w:val="left" w:pos="3150"/>
        </w:tabs>
        <w:spacing w:line="600" w:lineRule="exact"/>
        <w:ind w:firstLine="2772" w:firstLineChars="1100"/>
        <w:rPr>
          <w:sz w:val="28"/>
        </w:rPr>
      </w:pPr>
      <w:r>
        <w:rPr>
          <w:rFonts w:hint="eastAsia" w:ascii="宋体"/>
          <w:w w:val="90"/>
          <w:sz w:val="28"/>
          <w:szCs w:val="21"/>
        </w:rPr>
        <w:t>毛祺维         注册号： 5</w:t>
      </w:r>
      <w:r>
        <w:rPr>
          <w:rFonts w:ascii="宋体"/>
          <w:w w:val="90"/>
          <w:sz w:val="28"/>
          <w:szCs w:val="21"/>
        </w:rPr>
        <w:t>120100073</w:t>
      </w:r>
    </w:p>
    <w:p>
      <w:pPr>
        <w:tabs>
          <w:tab w:val="left" w:pos="3045"/>
          <w:tab w:val="left" w:pos="3150"/>
        </w:tabs>
        <w:spacing w:line="600" w:lineRule="exact"/>
        <w:ind w:firstLine="425" w:firstLineChars="169"/>
        <w:rPr>
          <w:rFonts w:ascii="宋体"/>
          <w:w w:val="90"/>
          <w:sz w:val="28"/>
          <w:szCs w:val="21"/>
        </w:rPr>
        <w:sectPr>
          <w:headerReference r:id="rId3" w:type="default"/>
          <w:footerReference r:id="rId4" w:type="default"/>
          <w:footerReference r:id="rId5" w:type="even"/>
          <w:pgSz w:w="11906" w:h="16838"/>
          <w:pgMar w:top="1985" w:right="1797" w:bottom="1814" w:left="1797" w:header="680" w:footer="851" w:gutter="0"/>
          <w:pgNumType w:start="1"/>
          <w:cols w:space="720" w:num="1"/>
          <w:docGrid w:linePitch="286" w:charSpace="0"/>
        </w:sectPr>
      </w:pPr>
      <w:r>
        <w:rPr>
          <w:rFonts w:hint="eastAsia" w:ascii="宋体"/>
          <w:w w:val="90"/>
          <w:sz w:val="28"/>
          <w:szCs w:val="21"/>
        </w:rPr>
        <w:t>估价报告出具日期：2020年4月2日</w:t>
      </w:r>
    </w:p>
    <w:p>
      <w:pPr>
        <w:spacing w:line="360" w:lineRule="auto"/>
        <w:jc w:val="center"/>
        <w:rPr>
          <w:rFonts w:ascii="宋体" w:hAnsi="宋体"/>
          <w:spacing w:val="30"/>
          <w:sz w:val="36"/>
          <w:szCs w:val="36"/>
        </w:rPr>
      </w:pPr>
      <w:r>
        <w:rPr>
          <w:rFonts w:hint="eastAsia" w:eastAsia="黑体" w:cs="黑体"/>
          <w:sz w:val="32"/>
          <w:szCs w:val="32"/>
        </w:rPr>
        <w:t>致估价委托人函</w:t>
      </w:r>
      <w:bookmarkEnd w:id="0"/>
    </w:p>
    <w:p>
      <w:pPr>
        <w:pStyle w:val="12"/>
        <w:adjustRightInd/>
        <w:spacing w:beforeLines="50" w:line="520" w:lineRule="exact"/>
        <w:ind w:firstLine="0"/>
        <w:textAlignment w:val="auto"/>
        <w:rPr>
          <w:rFonts w:cs="宋体" w:asciiTheme="minorEastAsia" w:hAnsiTheme="minorEastAsia" w:eastAsiaTheme="minorEastAsia"/>
          <w:spacing w:val="0"/>
          <w:kern w:val="2"/>
          <w:szCs w:val="28"/>
        </w:rPr>
      </w:pPr>
      <w:r>
        <w:rPr>
          <w:rFonts w:hint="eastAsia" w:cs="宋体" w:asciiTheme="minorEastAsia" w:hAnsiTheme="minorEastAsia" w:eastAsiaTheme="minorEastAsia"/>
          <w:spacing w:val="0"/>
          <w:kern w:val="2"/>
          <w:szCs w:val="28"/>
        </w:rPr>
        <w:t>眉山市彭山区人民法院：</w:t>
      </w:r>
    </w:p>
    <w:p>
      <w:pPr>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rPr>
        <w:t>承蒙委托，我公司依据我国现行有关法律、法规政策的规定，利用贵方提供的资料以及注册房地产估价师实地查勘和市场调查取得的资料，根据估价目的，遵循估价原则，按照估价程序，选取适宜的估价方法</w:t>
      </w:r>
      <w:r>
        <w:rPr>
          <w:rFonts w:hint="eastAsia" w:cs="宋体" w:asciiTheme="minorEastAsia" w:hAnsiTheme="minorEastAsia" w:eastAsiaTheme="minorEastAsia"/>
          <w:sz w:val="28"/>
          <w:szCs w:val="28"/>
          <w:lang w:val="zh-CN"/>
        </w:rPr>
        <w:t>，并在综合分析影响房地产价格因素的基础上，对估价对象于价值时点的市场价值进行分析、估算和判定，完成了估价工作。</w:t>
      </w:r>
    </w:p>
    <w:p>
      <w:pPr>
        <w:spacing w:line="520" w:lineRule="exact"/>
        <w:ind w:firstLine="560" w:firstLineChars="200"/>
        <w:rPr>
          <w:rFonts w:cs="宋体" w:asciiTheme="minorEastAsia" w:hAnsiTheme="minorEastAsia" w:eastAsiaTheme="minorEastAsia"/>
          <w:bCs/>
          <w:sz w:val="28"/>
          <w:szCs w:val="28"/>
        </w:rPr>
      </w:pPr>
      <w:r>
        <w:rPr>
          <w:rFonts w:hint="eastAsia" w:cs="宋体" w:asciiTheme="minorEastAsia" w:hAnsiTheme="minorEastAsia" w:eastAsiaTheme="minorEastAsia"/>
          <w:bCs/>
          <w:sz w:val="28"/>
          <w:szCs w:val="28"/>
        </w:rPr>
        <w:t>（一）估价对象：</w:t>
      </w:r>
    </w:p>
    <w:p>
      <w:pPr>
        <w:spacing w:line="520" w:lineRule="exact"/>
        <w:ind w:firstLine="562"/>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付学芳、黄光兴共同共有的位于：</w:t>
      </w:r>
    </w:p>
    <w:p>
      <w:pPr>
        <w:spacing w:line="520" w:lineRule="exact"/>
        <w:ind w:firstLine="56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val="zh-CN"/>
        </w:rPr>
        <w:t>（1）</w:t>
      </w:r>
      <w:r>
        <w:rPr>
          <w:rFonts w:hint="eastAsia" w:cs="宋体" w:asciiTheme="minorEastAsia" w:hAnsiTheme="minorEastAsia" w:eastAsiaTheme="minorEastAsia"/>
          <w:sz w:val="28"/>
          <w:szCs w:val="28"/>
        </w:rPr>
        <w:t>眉山市彭山区青龙镇望江路42号1-2层建筑面积191.02㎡的商业、住宅用房及其所占用的117.00㎡国有划拨商业、住宅用地使用权，</w:t>
      </w:r>
      <w:r>
        <w:rPr>
          <w:rFonts w:hint="eastAsia" w:cs="宋体" w:asciiTheme="minorEastAsia" w:hAnsiTheme="minorEastAsia" w:eastAsiaTheme="minorEastAsia"/>
          <w:sz w:val="28"/>
          <w:szCs w:val="28"/>
          <w:lang w:val="zh-CN"/>
        </w:rPr>
        <w:t>包括属于该房屋配套且不可移动和分割的设施设备、装修装饰价值。</w:t>
      </w:r>
    </w:p>
    <w:p>
      <w:pPr>
        <w:spacing w:line="520" w:lineRule="exact"/>
        <w:ind w:firstLine="56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青龙镇下马路11、13号1层建筑面积222.25㎡、2层建筑面积270.07㎡、3层建筑面积270.07㎡的商业用房，4层建筑面积77.19㎡的住宅用房，青龙镇下马路180号1层建筑面积332.13㎡的其他用房（现场查勘未见该建筑物）及上述房屋所占用的637.04㎡国有出让城镇混合住宅用地使用权，</w:t>
      </w:r>
      <w:r>
        <w:rPr>
          <w:rFonts w:hint="eastAsia" w:cs="宋体" w:asciiTheme="minorEastAsia" w:hAnsiTheme="minorEastAsia" w:eastAsiaTheme="minorEastAsia"/>
          <w:sz w:val="28"/>
          <w:szCs w:val="28"/>
          <w:lang w:val="zh-CN"/>
        </w:rPr>
        <w:t>包括属于该房屋配套且不可移动和分割的设施设备、装修装饰价值。</w:t>
      </w:r>
    </w:p>
    <w:p>
      <w:pPr>
        <w:spacing w:line="520" w:lineRule="exact"/>
        <w:ind w:firstLine="562"/>
        <w:rPr>
          <w:rFonts w:asciiTheme="minorEastAsia" w:hAnsiTheme="minorEastAsia" w:eastAsiaTheme="minorEastAsia"/>
          <w:sz w:val="28"/>
          <w:szCs w:val="28"/>
          <w:lang w:val="zh-CN"/>
        </w:rPr>
      </w:pPr>
      <w:r>
        <w:rPr>
          <w:rFonts w:hint="eastAsia" w:cs="宋体" w:asciiTheme="minorEastAsia" w:hAnsiTheme="minorEastAsia" w:eastAsiaTheme="minorEastAsia"/>
          <w:bCs/>
          <w:sz w:val="28"/>
          <w:szCs w:val="28"/>
        </w:rPr>
        <w:t>（二）估价目的：</w:t>
      </w:r>
      <w:r>
        <w:rPr>
          <w:rFonts w:hint="eastAsia" w:cs="宋体" w:asciiTheme="minorEastAsia" w:hAnsiTheme="minorEastAsia" w:eastAsiaTheme="minorEastAsia"/>
          <w:sz w:val="28"/>
          <w:szCs w:val="28"/>
          <w:lang w:val="zh-CN"/>
        </w:rPr>
        <w:t>为人民法院确定财产处置参考价提供参考依据。</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bCs/>
          <w:sz w:val="28"/>
          <w:szCs w:val="28"/>
        </w:rPr>
        <w:t>（三）价值时点：</w:t>
      </w:r>
      <w:r>
        <w:rPr>
          <w:rFonts w:hint="eastAsia" w:cs="宋体" w:asciiTheme="minorEastAsia" w:hAnsiTheme="minorEastAsia" w:eastAsiaTheme="minorEastAsia"/>
          <w:sz w:val="28"/>
          <w:szCs w:val="28"/>
          <w:lang w:val="zh-CN"/>
        </w:rPr>
        <w:t>2019年11月8日。</w:t>
      </w:r>
    </w:p>
    <w:p>
      <w:pPr>
        <w:adjustRightInd w:val="0"/>
        <w:snapToGrid w:val="0"/>
        <w:spacing w:line="52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bCs/>
          <w:sz w:val="28"/>
          <w:szCs w:val="28"/>
        </w:rPr>
        <w:t>（四）价值类型：</w:t>
      </w:r>
      <w:r>
        <w:rPr>
          <w:rFonts w:hint="eastAsia" w:cs="宋体" w:asciiTheme="minorEastAsia" w:hAnsiTheme="minorEastAsia" w:eastAsiaTheme="minorEastAsia"/>
          <w:sz w:val="28"/>
          <w:szCs w:val="28"/>
          <w:lang w:val="zh-CN"/>
        </w:rPr>
        <w:t>市场价值。</w:t>
      </w:r>
    </w:p>
    <w:p>
      <w:pPr>
        <w:adjustRightInd w:val="0"/>
        <w:snapToGrid w:val="0"/>
        <w:spacing w:line="520" w:lineRule="exact"/>
        <w:ind w:firstLine="560" w:firstLineChars="200"/>
        <w:rPr>
          <w:rFonts w:asciiTheme="minorEastAsia" w:hAnsiTheme="minorEastAsia" w:eastAsiaTheme="minorEastAsia"/>
          <w:snapToGrid w:val="0"/>
          <w:kern w:val="0"/>
          <w:sz w:val="28"/>
          <w:szCs w:val="28"/>
        </w:rPr>
      </w:pPr>
      <w:r>
        <w:rPr>
          <w:rFonts w:hint="eastAsia" w:cs="宋体" w:asciiTheme="minorEastAsia" w:hAnsiTheme="minorEastAsia" w:eastAsiaTheme="minorEastAsia"/>
          <w:bCs/>
          <w:sz w:val="28"/>
          <w:szCs w:val="28"/>
        </w:rPr>
        <w:t>（五）估价方法：</w:t>
      </w:r>
      <w:r>
        <w:rPr>
          <w:rFonts w:hint="eastAsia" w:cs="宋体" w:asciiTheme="minorEastAsia" w:hAnsiTheme="minorEastAsia" w:eastAsiaTheme="minorEastAsia"/>
          <w:sz w:val="28"/>
          <w:szCs w:val="28"/>
        </w:rPr>
        <w:t>比较法、</w:t>
      </w:r>
      <w:r>
        <w:rPr>
          <w:rFonts w:hint="eastAsia" w:ascii="宋体" w:hAnsi="宋体" w:eastAsiaTheme="minorEastAsia"/>
          <w:snapToGrid w:val="0"/>
          <w:kern w:val="0"/>
          <w:sz w:val="28"/>
          <w:szCs w:val="28"/>
        </w:rPr>
        <w:t>收益法</w:t>
      </w:r>
      <w:r>
        <w:rPr>
          <w:rFonts w:hint="eastAsia" w:cs="宋体" w:asciiTheme="minorEastAsia" w:hAnsiTheme="minorEastAsia" w:eastAsiaTheme="minorEastAsia"/>
          <w:sz w:val="28"/>
          <w:szCs w:val="28"/>
          <w:lang w:val="zh-CN"/>
        </w:rPr>
        <w:t>。</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bCs/>
          <w:sz w:val="28"/>
          <w:szCs w:val="28"/>
        </w:rPr>
        <w:t>（六）估价结果：</w:t>
      </w:r>
      <w:r>
        <w:rPr>
          <w:rFonts w:hint="eastAsia" w:cs="宋体" w:asciiTheme="minorEastAsia" w:hAnsiTheme="minorEastAsia" w:eastAsiaTheme="minorEastAsia"/>
          <w:sz w:val="28"/>
          <w:szCs w:val="28"/>
          <w:lang w:val="zh-CN"/>
        </w:rPr>
        <w:t>估价对象在价值时点并满足本报告所述价值定义及</w:t>
      </w:r>
      <w:r>
        <w:rPr>
          <w:rFonts w:cs="宋体" w:asciiTheme="minorEastAsia" w:hAnsiTheme="minorEastAsia" w:eastAsiaTheme="minorEastAsia"/>
          <w:sz w:val="28"/>
          <w:szCs w:val="28"/>
          <w:lang w:val="zh-CN"/>
        </w:rPr>
        <w:t>“</w:t>
      </w:r>
      <w:r>
        <w:rPr>
          <w:rFonts w:hint="eastAsia" w:cs="宋体" w:asciiTheme="minorEastAsia" w:hAnsiTheme="minorEastAsia" w:eastAsiaTheme="minorEastAsia"/>
          <w:sz w:val="28"/>
          <w:szCs w:val="28"/>
          <w:lang w:val="zh-CN"/>
        </w:rPr>
        <w:t>估价假设和限制条件</w:t>
      </w:r>
      <w:r>
        <w:rPr>
          <w:rFonts w:cs="宋体" w:asciiTheme="minorEastAsia" w:hAnsiTheme="minorEastAsia" w:eastAsiaTheme="minorEastAsia"/>
          <w:sz w:val="28"/>
          <w:szCs w:val="28"/>
          <w:lang w:val="zh-CN"/>
        </w:rPr>
        <w:t>”</w:t>
      </w:r>
      <w:r>
        <w:rPr>
          <w:rFonts w:hint="eastAsia" w:cs="宋体" w:asciiTheme="minorEastAsia" w:hAnsiTheme="minorEastAsia" w:eastAsiaTheme="minorEastAsia"/>
          <w:sz w:val="28"/>
          <w:szCs w:val="28"/>
          <w:lang w:val="zh-CN"/>
        </w:rPr>
        <w:t xml:space="preserve">的市场价值为： </w:t>
      </w:r>
    </w:p>
    <w:p>
      <w:pPr>
        <w:adjustRightInd w:val="0"/>
        <w:snapToGrid w:val="0"/>
        <w:spacing w:line="520" w:lineRule="exact"/>
        <w:ind w:firstLine="840" w:firstLineChars="3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评估总价：人民币（小写）329.23万元（佰元取整）</w:t>
      </w:r>
    </w:p>
    <w:p>
      <w:pPr>
        <w:adjustRightInd w:val="0"/>
        <w:snapToGrid w:val="0"/>
        <w:spacing w:line="520" w:lineRule="exact"/>
        <w:ind w:firstLine="2240" w:firstLineChars="8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人民币（大写）叁佰贰拾玖万贰仟叁佰元整。</w:t>
      </w:r>
    </w:p>
    <w:p>
      <w:pPr>
        <w:adjustRightInd w:val="0"/>
        <w:snapToGrid w:val="0"/>
        <w:spacing w:line="520" w:lineRule="exact"/>
        <w:jc w:val="center"/>
        <w:rPr>
          <w:rFonts w:asciiTheme="minorEastAsia" w:hAnsiTheme="minorEastAsia" w:eastAsiaTheme="minorEastAsia"/>
          <w:sz w:val="28"/>
          <w:szCs w:val="28"/>
        </w:rPr>
      </w:pPr>
      <w:r>
        <w:rPr>
          <w:rFonts w:hint="eastAsia" w:ascii="宋体" w:hAnsi="宋体"/>
          <w:snapToGrid w:val="0"/>
          <w:sz w:val="28"/>
          <w:szCs w:val="28"/>
        </w:rPr>
        <w:t>估价结果一览表</w:t>
      </w:r>
    </w:p>
    <w:tbl>
      <w:tblPr>
        <w:tblStyle w:val="38"/>
        <w:tblpPr w:leftFromText="180" w:rightFromText="180" w:vertAnchor="text" w:horzAnchor="page" w:tblpXSpec="center" w:tblpY="465"/>
        <w:tblOverlap w:val="never"/>
        <w:tblW w:w="8510" w:type="dxa"/>
        <w:tblInd w:w="0" w:type="dxa"/>
        <w:tblLayout w:type="fixed"/>
        <w:tblCellMar>
          <w:top w:w="0" w:type="dxa"/>
          <w:left w:w="0" w:type="dxa"/>
          <w:bottom w:w="0" w:type="dxa"/>
          <w:right w:w="0" w:type="dxa"/>
        </w:tblCellMar>
      </w:tblPr>
      <w:tblGrid>
        <w:gridCol w:w="416"/>
        <w:gridCol w:w="1756"/>
        <w:gridCol w:w="774"/>
        <w:gridCol w:w="1153"/>
        <w:gridCol w:w="368"/>
        <w:gridCol w:w="437"/>
        <w:gridCol w:w="902"/>
        <w:gridCol w:w="1222"/>
        <w:gridCol w:w="1482"/>
      </w:tblGrid>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估价对象</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《房屋所有权证》证号</w:t>
            </w:r>
          </w:p>
        </w:tc>
        <w:tc>
          <w:tcPr>
            <w:tcW w:w="7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房屋所有权人</w:t>
            </w: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坐落</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所在层</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规划用途</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建筑面积(㎡)</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评估单价(元/㎡，取整至拾元)</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评估总价(万元，取整至佰元)</w:t>
            </w:r>
          </w:p>
        </w:tc>
      </w:tr>
      <w:tr>
        <w:tblPrEx>
          <w:tblLayout w:type="fixed"/>
          <w:tblCellMar>
            <w:top w:w="0" w:type="dxa"/>
            <w:left w:w="0" w:type="dxa"/>
            <w:bottom w:w="0" w:type="dxa"/>
            <w:right w:w="0" w:type="dxa"/>
          </w:tblCellMar>
        </w:tblPrEx>
        <w:trPr>
          <w:trHeight w:val="57" w:hRule="atLeast"/>
        </w:trPr>
        <w:tc>
          <w:tcPr>
            <w:tcW w:w="416" w:type="dxa"/>
            <w:vMerge w:val="restart"/>
            <w:tcBorders>
              <w:top w:val="single" w:color="000000" w:sz="4" w:space="0"/>
              <w:left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175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彭山房权证字第0039252、0039253号</w:t>
            </w:r>
          </w:p>
        </w:tc>
        <w:tc>
          <w:tcPr>
            <w:tcW w:w="774"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付学芳、黄光兴</w:t>
            </w:r>
          </w:p>
        </w:tc>
        <w:tc>
          <w:tcPr>
            <w:tcW w:w="115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青龙镇望江路42号1-2层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25.20</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5230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13.18</w:t>
            </w:r>
          </w:p>
        </w:tc>
      </w:tr>
      <w:tr>
        <w:tblPrEx>
          <w:tblLayout w:type="fixed"/>
          <w:tblCellMar>
            <w:top w:w="0" w:type="dxa"/>
            <w:left w:w="0" w:type="dxa"/>
            <w:bottom w:w="0" w:type="dxa"/>
            <w:right w:w="0" w:type="dxa"/>
          </w:tblCellMar>
        </w:tblPrEx>
        <w:trPr>
          <w:trHeight w:val="57" w:hRule="atLeast"/>
        </w:trPr>
        <w:tc>
          <w:tcPr>
            <w:tcW w:w="416" w:type="dxa"/>
            <w:vMerge w:val="continue"/>
            <w:tcBorders>
              <w:left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48.70</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2210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10.76</w:t>
            </w:r>
          </w:p>
        </w:tc>
      </w:tr>
      <w:tr>
        <w:tblPrEx>
          <w:tblLayout w:type="fixed"/>
          <w:tblCellMar>
            <w:top w:w="0" w:type="dxa"/>
            <w:left w:w="0" w:type="dxa"/>
            <w:bottom w:w="0" w:type="dxa"/>
            <w:right w:w="0" w:type="dxa"/>
          </w:tblCellMar>
        </w:tblPrEx>
        <w:trPr>
          <w:trHeight w:val="57" w:hRule="atLeast"/>
        </w:trPr>
        <w:tc>
          <w:tcPr>
            <w:tcW w:w="416" w:type="dxa"/>
            <w:vMerge w:val="continue"/>
            <w:tcBorders>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p>
        </w:tc>
        <w:tc>
          <w:tcPr>
            <w:tcW w:w="175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117.12</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2210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25.88</w:t>
            </w:r>
          </w:p>
        </w:tc>
      </w:tr>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0077972、0077973</w:t>
            </w: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11、13号1层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222.25</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5600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124.46</w:t>
            </w:r>
          </w:p>
        </w:tc>
      </w:tr>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0077970、0077971</w:t>
            </w: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11、13号2层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270.07</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2800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75.62</w:t>
            </w:r>
          </w:p>
        </w:tc>
      </w:tr>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0077968、0077969</w:t>
            </w: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11、13号3层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270.07</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2300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62.12</w:t>
            </w:r>
          </w:p>
        </w:tc>
      </w:tr>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5</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0077966、0077967</w:t>
            </w:r>
          </w:p>
        </w:tc>
        <w:tc>
          <w:tcPr>
            <w:tcW w:w="774"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11、13号4层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77.19</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2230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17.21</w:t>
            </w:r>
          </w:p>
        </w:tc>
      </w:tr>
      <w:tr>
        <w:tblPrEx>
          <w:tblLayout w:type="fixed"/>
          <w:tblCellMar>
            <w:top w:w="0" w:type="dxa"/>
            <w:left w:w="0" w:type="dxa"/>
            <w:bottom w:w="0" w:type="dxa"/>
            <w:right w:w="0" w:type="dxa"/>
          </w:tblCellMar>
        </w:tblPrEx>
        <w:trPr>
          <w:trHeight w:val="57" w:hRule="atLeast"/>
        </w:trPr>
        <w:tc>
          <w:tcPr>
            <w:tcW w:w="416"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6</w:t>
            </w:r>
          </w:p>
        </w:tc>
        <w:tc>
          <w:tcPr>
            <w:tcW w:w="175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0039250、0039251</w:t>
            </w:r>
          </w:p>
        </w:tc>
        <w:tc>
          <w:tcPr>
            <w:tcW w:w="774"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1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180号1层</w:t>
            </w:r>
          </w:p>
        </w:tc>
        <w:tc>
          <w:tcPr>
            <w:tcW w:w="36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43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其他</w:t>
            </w:r>
          </w:p>
        </w:tc>
        <w:tc>
          <w:tcPr>
            <w:tcW w:w="90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332.13</w:t>
            </w:r>
          </w:p>
        </w:tc>
        <w:tc>
          <w:tcPr>
            <w:tcW w:w="122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0</w:t>
            </w:r>
          </w:p>
        </w:tc>
        <w:tc>
          <w:tcPr>
            <w:tcW w:w="148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0</w:t>
            </w:r>
          </w:p>
        </w:tc>
      </w:tr>
      <w:tr>
        <w:tblPrEx>
          <w:tblLayout w:type="fixed"/>
          <w:tblCellMar>
            <w:top w:w="0" w:type="dxa"/>
            <w:left w:w="0" w:type="dxa"/>
            <w:bottom w:w="0" w:type="dxa"/>
            <w:right w:w="0" w:type="dxa"/>
          </w:tblCellMar>
        </w:tblPrEx>
        <w:trPr>
          <w:trHeight w:val="57" w:hRule="atLeast"/>
        </w:trPr>
        <w:tc>
          <w:tcPr>
            <w:tcW w:w="4904"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合计</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1362.73</w:t>
            </w:r>
          </w:p>
        </w:tc>
        <w:tc>
          <w:tcPr>
            <w:tcW w:w="12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w:t>
            </w:r>
          </w:p>
        </w:tc>
        <w:tc>
          <w:tcPr>
            <w:tcW w:w="14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fldChar w:fldCharType="begin"/>
            </w:r>
            <w:r>
              <w:rPr>
                <w:rFonts w:ascii="宋体" w:hAnsi="宋体" w:cs="宋体"/>
                <w:sz w:val="20"/>
                <w:szCs w:val="21"/>
              </w:rPr>
              <w:instrText xml:space="preserve"> </w:instrText>
            </w:r>
            <w:r>
              <w:rPr>
                <w:rFonts w:hint="eastAsia" w:ascii="宋体" w:hAnsi="宋体" w:cs="宋体"/>
                <w:sz w:val="20"/>
                <w:szCs w:val="21"/>
              </w:rPr>
              <w:instrText xml:space="preserve">=SUM(ABOVE)</w:instrText>
            </w:r>
            <w:r>
              <w:rPr>
                <w:rFonts w:ascii="宋体" w:hAnsi="宋体" w:cs="宋体"/>
                <w:sz w:val="20"/>
                <w:szCs w:val="21"/>
              </w:rPr>
              <w:instrText xml:space="preserve"> </w:instrText>
            </w:r>
            <w:r>
              <w:rPr>
                <w:rFonts w:ascii="宋体" w:hAnsi="宋体" w:cs="宋体"/>
                <w:sz w:val="20"/>
                <w:szCs w:val="21"/>
              </w:rPr>
              <w:fldChar w:fldCharType="separate"/>
            </w:r>
            <w:r>
              <w:rPr>
                <w:rFonts w:ascii="宋体" w:hAnsi="宋体" w:cs="宋体"/>
                <w:sz w:val="20"/>
                <w:szCs w:val="21"/>
              </w:rPr>
              <w:t>329.23</w:t>
            </w:r>
            <w:r>
              <w:rPr>
                <w:rFonts w:ascii="宋体" w:hAnsi="宋体" w:cs="宋体"/>
                <w:sz w:val="20"/>
                <w:szCs w:val="21"/>
              </w:rPr>
              <w:fldChar w:fldCharType="end"/>
            </w:r>
          </w:p>
        </w:tc>
      </w:tr>
      <w:tr>
        <w:tblPrEx>
          <w:tblLayout w:type="fixed"/>
          <w:tblCellMar>
            <w:top w:w="0" w:type="dxa"/>
            <w:left w:w="0" w:type="dxa"/>
            <w:bottom w:w="0" w:type="dxa"/>
            <w:right w:w="0" w:type="dxa"/>
          </w:tblCellMar>
        </w:tblPrEx>
        <w:trPr>
          <w:trHeight w:val="57" w:hRule="atLeast"/>
        </w:trPr>
        <w:tc>
          <w:tcPr>
            <w:tcW w:w="8510"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atLeast"/>
              <w:jc w:val="left"/>
              <w:textAlignment w:val="center"/>
              <w:rPr>
                <w:rFonts w:ascii="宋体" w:hAnsi="宋体" w:cs="宋体"/>
                <w:b/>
                <w:sz w:val="20"/>
                <w:szCs w:val="21"/>
              </w:rPr>
            </w:pPr>
            <w:r>
              <w:rPr>
                <w:rFonts w:hint="eastAsia" w:ascii="宋体" w:hAnsi="宋体" w:cs="宋体"/>
                <w:b/>
                <w:sz w:val="20"/>
                <w:szCs w:val="21"/>
              </w:rPr>
              <w:t>备注：</w:t>
            </w:r>
          </w:p>
          <w:p>
            <w:pPr>
              <w:spacing w:line="240" w:lineRule="atLeast"/>
              <w:ind w:firstLine="402" w:firstLineChars="200"/>
              <w:jc w:val="left"/>
              <w:textAlignment w:val="center"/>
              <w:rPr>
                <w:rFonts w:ascii="宋体" w:hAnsi="宋体" w:cs="宋体"/>
                <w:b/>
                <w:sz w:val="20"/>
                <w:szCs w:val="21"/>
              </w:rPr>
            </w:pPr>
            <w:r>
              <w:rPr>
                <w:rFonts w:hint="eastAsia" w:ascii="宋体" w:hAnsi="宋体" w:cs="宋体"/>
                <w:b/>
                <w:sz w:val="20"/>
                <w:szCs w:val="21"/>
              </w:rPr>
              <w:t>1、据《眉山市彭山区房地产服务中心房屋信息摘要》复印件记载，估价对象6为1层砖木结构的其它用房。经估价委托人代表、申请人代表及被申请人向估价人员现场查勘指认，</w:t>
            </w:r>
            <w:r>
              <w:rPr>
                <w:rFonts w:ascii="宋体" w:hAnsi="宋体" w:cs="宋体"/>
                <w:b/>
                <w:sz w:val="20"/>
                <w:szCs w:val="21"/>
              </w:rPr>
              <w:t>未见该</w:t>
            </w:r>
            <w:r>
              <w:rPr>
                <w:rFonts w:hint="eastAsia" w:ascii="宋体" w:hAnsi="宋体" w:cs="宋体"/>
                <w:b/>
                <w:sz w:val="20"/>
                <w:szCs w:val="21"/>
              </w:rPr>
              <w:t>砖木结构</w:t>
            </w:r>
            <w:r>
              <w:rPr>
                <w:rFonts w:ascii="宋体" w:hAnsi="宋体" w:cs="宋体"/>
                <w:b/>
                <w:sz w:val="20"/>
                <w:szCs w:val="21"/>
              </w:rPr>
              <w:t>建筑物</w:t>
            </w:r>
            <w:r>
              <w:rPr>
                <w:rFonts w:hint="eastAsia" w:ascii="宋体" w:hAnsi="宋体" w:cs="宋体"/>
                <w:b/>
                <w:sz w:val="20"/>
                <w:szCs w:val="21"/>
              </w:rPr>
              <w:t>。该建筑物所占用土地使用权原址上现有</w:t>
            </w:r>
            <w:r>
              <w:rPr>
                <w:rFonts w:ascii="宋体" w:hAnsi="宋体" w:cs="宋体"/>
                <w:b/>
                <w:sz w:val="20"/>
                <w:szCs w:val="21"/>
              </w:rPr>
              <w:t>与</w:t>
            </w:r>
            <w:r>
              <w:rPr>
                <w:rFonts w:hint="eastAsia" w:ascii="宋体" w:hAnsi="宋体" w:cs="宋体"/>
                <w:b/>
                <w:sz w:val="20"/>
                <w:szCs w:val="21"/>
              </w:rPr>
              <w:t>估价对象2-5同为一栋且相连接的三层框架结构建筑物。因估价对象6原建筑物已不存在，</w:t>
            </w:r>
            <w:r>
              <w:rPr>
                <w:rFonts w:ascii="宋体" w:hAnsi="宋体" w:cs="宋体"/>
                <w:b/>
                <w:sz w:val="20"/>
                <w:szCs w:val="21"/>
              </w:rPr>
              <w:t>故本次</w:t>
            </w:r>
            <w:r>
              <w:rPr>
                <w:rFonts w:hint="eastAsia" w:ascii="宋体" w:hAnsi="宋体" w:cs="宋体"/>
                <w:b/>
                <w:sz w:val="20"/>
                <w:szCs w:val="21"/>
              </w:rPr>
              <w:t>评估该估价对象价值为“零”。</w:t>
            </w:r>
          </w:p>
          <w:p>
            <w:pPr>
              <w:spacing w:line="240" w:lineRule="atLeast"/>
              <w:ind w:firstLine="402" w:firstLineChars="200"/>
              <w:jc w:val="left"/>
              <w:textAlignment w:val="center"/>
              <w:rPr>
                <w:rFonts w:ascii="宋体" w:hAnsi="宋体" w:cs="宋体"/>
                <w:b/>
                <w:sz w:val="20"/>
                <w:szCs w:val="21"/>
              </w:rPr>
            </w:pPr>
            <w:r>
              <w:rPr>
                <w:rFonts w:hint="eastAsia" w:ascii="宋体" w:hAnsi="宋体" w:cs="宋体"/>
                <w:b/>
                <w:sz w:val="20"/>
                <w:szCs w:val="21"/>
              </w:rPr>
              <w:t>2、估价对象6所占用土地使用权原址上的现有三层框架结构房地产，假设其在权益、用途、所在楼层与估价对象2-4相同的前提下，其单价与估价对象2-4相同。</w:t>
            </w:r>
          </w:p>
        </w:tc>
      </w:tr>
    </w:tbl>
    <w:p>
      <w:pPr>
        <w:widowControl/>
        <w:spacing w:beforeLines="50" w:line="520" w:lineRule="exact"/>
        <w:ind w:firstLine="420" w:firstLineChars="150"/>
        <w:rPr>
          <w:rFonts w:asciiTheme="minorEastAsia" w:hAnsiTheme="minorEastAsia" w:eastAsiaTheme="minorEastAsia"/>
          <w:bCs/>
          <w:sz w:val="28"/>
          <w:szCs w:val="28"/>
        </w:rPr>
      </w:pPr>
      <w:r>
        <w:rPr>
          <w:rFonts w:hint="eastAsia" w:cs="宋体" w:asciiTheme="minorEastAsia" w:hAnsiTheme="minorEastAsia" w:eastAsiaTheme="minorEastAsia"/>
          <w:bCs/>
          <w:sz w:val="28"/>
          <w:szCs w:val="28"/>
        </w:rPr>
        <w:t>（七）特别事项提醒：</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1、</w:t>
      </w:r>
      <w:r>
        <w:rPr>
          <w:rFonts w:cs="宋体" w:asciiTheme="minorEastAsia" w:hAnsiTheme="minorEastAsia" w:eastAsiaTheme="minorEastAsia"/>
          <w:sz w:val="28"/>
          <w:szCs w:val="28"/>
          <w:lang w:val="zh-CN"/>
        </w:rPr>
        <w:t>本报告的使用有效期为自估价报告出具之日起壹年，即</w:t>
      </w:r>
      <w:r>
        <w:rPr>
          <w:rFonts w:hint="eastAsia" w:cs="宋体" w:asciiTheme="minorEastAsia" w:hAnsiTheme="minorEastAsia" w:eastAsiaTheme="minorEastAsia"/>
          <w:sz w:val="28"/>
          <w:szCs w:val="28"/>
          <w:lang w:val="zh-CN"/>
        </w:rPr>
        <w:t>2020年4月2日</w:t>
      </w:r>
      <w:r>
        <w:rPr>
          <w:rFonts w:cs="宋体" w:asciiTheme="minorEastAsia" w:hAnsiTheme="minorEastAsia" w:eastAsiaTheme="minorEastAsia"/>
          <w:sz w:val="28"/>
          <w:szCs w:val="28"/>
          <w:lang w:val="zh-CN"/>
        </w:rPr>
        <w:t>起至</w:t>
      </w:r>
      <w:r>
        <w:rPr>
          <w:rFonts w:hint="eastAsia" w:cs="宋体" w:asciiTheme="minorEastAsia" w:hAnsiTheme="minorEastAsia" w:eastAsiaTheme="minorEastAsia"/>
          <w:sz w:val="28"/>
          <w:szCs w:val="28"/>
          <w:lang w:val="zh-CN"/>
        </w:rPr>
        <w:t>2021年4月</w:t>
      </w:r>
      <w:r>
        <w:rPr>
          <w:rFonts w:hint="eastAsia" w:cs="宋体" w:asciiTheme="minorEastAsia" w:hAnsiTheme="minorEastAsia" w:eastAsiaTheme="minorEastAsia"/>
          <w:sz w:val="28"/>
          <w:szCs w:val="28"/>
        </w:rPr>
        <w:t>1</w:t>
      </w:r>
      <w:r>
        <w:rPr>
          <w:rFonts w:hint="eastAsia" w:cs="宋体" w:asciiTheme="minorEastAsia" w:hAnsiTheme="minorEastAsia" w:eastAsiaTheme="minorEastAsia"/>
          <w:sz w:val="28"/>
          <w:szCs w:val="28"/>
          <w:lang w:val="zh-CN"/>
        </w:rPr>
        <w:t>日</w:t>
      </w:r>
      <w:r>
        <w:rPr>
          <w:rFonts w:cs="宋体" w:asciiTheme="minorEastAsia" w:hAnsiTheme="minorEastAsia" w:eastAsiaTheme="minorEastAsia"/>
          <w:sz w:val="28"/>
          <w:szCs w:val="28"/>
          <w:lang w:val="zh-CN"/>
        </w:rPr>
        <w:t>止。</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2、本报告估价结果不包含家具、家电等可移动产价值。</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3、根据估价委托人提供的《眉山市彭山区房地产服务中心房屋信息摘要》记载，截止价值时点，估价对象现房已抵押、已查封。因本次评估为司法鉴定评估，根据《房地产估价规范》，司法鉴定评估中“评估价值的影响因素包括房地产的瑕疵，但不应包括拍卖房地产被查封及拍卖房地产上的原有担保物权和其他优先受偿权”，即不考虑抵押、查封等因素的影响，本次评估未考虑上述因素对价值的影响，在此提醒报告使用者注意。</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4、本估价结果未扣除</w:t>
      </w:r>
      <w:r>
        <w:rPr>
          <w:rFonts w:cs="宋体" w:asciiTheme="minorEastAsia" w:hAnsiTheme="minorEastAsia" w:eastAsiaTheme="minorEastAsia"/>
          <w:sz w:val="28"/>
          <w:szCs w:val="28"/>
          <w:lang w:val="zh-CN"/>
        </w:rPr>
        <w:t>估价对象处置</w:t>
      </w:r>
      <w:r>
        <w:rPr>
          <w:rFonts w:hint="eastAsia" w:cs="宋体" w:asciiTheme="minorEastAsia" w:hAnsiTheme="minorEastAsia" w:eastAsiaTheme="minorEastAsia"/>
          <w:sz w:val="28"/>
          <w:szCs w:val="28"/>
          <w:lang w:val="zh-CN"/>
        </w:rPr>
        <w:t>时可能</w:t>
      </w:r>
      <w:r>
        <w:rPr>
          <w:rFonts w:cs="宋体" w:asciiTheme="minorEastAsia" w:hAnsiTheme="minorEastAsia" w:eastAsiaTheme="minorEastAsia"/>
          <w:sz w:val="28"/>
          <w:szCs w:val="28"/>
          <w:lang w:val="zh-CN"/>
        </w:rPr>
        <w:t>产生的</w:t>
      </w:r>
      <w:r>
        <w:rPr>
          <w:rFonts w:hint="eastAsia" w:cs="宋体" w:asciiTheme="minorEastAsia" w:hAnsiTheme="minorEastAsia" w:eastAsiaTheme="minorEastAsia"/>
          <w:sz w:val="28"/>
          <w:szCs w:val="28"/>
          <w:lang w:val="zh-CN"/>
        </w:rPr>
        <w:t>相关税金、</w:t>
      </w:r>
      <w:r>
        <w:rPr>
          <w:rFonts w:cs="宋体" w:asciiTheme="minorEastAsia" w:hAnsiTheme="minorEastAsia" w:eastAsiaTheme="minorEastAsia"/>
          <w:sz w:val="28"/>
          <w:szCs w:val="28"/>
          <w:lang w:val="zh-CN"/>
        </w:rPr>
        <w:t>费用</w:t>
      </w:r>
      <w:r>
        <w:rPr>
          <w:rFonts w:hint="eastAsia" w:cs="宋体" w:asciiTheme="minorEastAsia" w:hAnsiTheme="minorEastAsia" w:eastAsiaTheme="minorEastAsia"/>
          <w:sz w:val="28"/>
          <w:szCs w:val="28"/>
          <w:lang w:val="zh-CN"/>
        </w:rPr>
        <w:t>。</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5、注册房地产估价师调查了但未调查到估价对象是否存在欠缴的税费、物业费、水电气费等，本次评估结果为估价对象的市场价值，未考虑其可能存在欠缴的税费、物业费、水电气费等情况及金额。</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6、本次评估未考虑租赁限制对估价对象价值的影响。</w:t>
      </w:r>
    </w:p>
    <w:p>
      <w:pPr>
        <w:adjustRightInd w:val="0"/>
        <w:snapToGrid w:val="0"/>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rPr>
        <w:t>7、</w:t>
      </w:r>
      <w:r>
        <w:rPr>
          <w:rFonts w:hint="eastAsia" w:cs="宋体" w:asciiTheme="minorEastAsia" w:hAnsiTheme="minorEastAsia" w:eastAsiaTheme="minorEastAsia"/>
          <w:sz w:val="28"/>
          <w:szCs w:val="28"/>
          <w:lang w:val="zh-CN"/>
        </w:rPr>
        <w:t>本报告仅供估价委托人基于本次估价目的使用。</w:t>
      </w:r>
    </w:p>
    <w:p>
      <w:pPr>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8、估价对象2-6《眉山市彭山区房地产服务中心房屋信息摘要》复印件记载，其分别坐落于</w:t>
      </w:r>
      <w:r>
        <w:rPr>
          <w:rFonts w:cs="宋体" w:asciiTheme="minorEastAsia" w:hAnsiTheme="minorEastAsia" w:eastAsiaTheme="minorEastAsia"/>
          <w:sz w:val="28"/>
          <w:szCs w:val="28"/>
        </w:rPr>
        <w:t>眉山市彭山区</w:t>
      </w:r>
      <w:r>
        <w:rPr>
          <w:rFonts w:hint="eastAsia" w:cs="宋体" w:asciiTheme="minorEastAsia" w:hAnsiTheme="minorEastAsia" w:eastAsiaTheme="minorEastAsia"/>
          <w:sz w:val="28"/>
          <w:szCs w:val="28"/>
          <w:lang w:val="zh-CN"/>
        </w:rPr>
        <w:t>青龙镇下马路11、13号1、2、3、4层，以及下马路180号1层。经估价委托人代表、申请人代表及被申请人向估价人员现场查勘指认的实际查勘门牌号为</w:t>
      </w:r>
      <w:r>
        <w:rPr>
          <w:rFonts w:cs="宋体" w:asciiTheme="minorEastAsia" w:hAnsiTheme="minorEastAsia" w:eastAsiaTheme="minorEastAsia"/>
          <w:sz w:val="28"/>
          <w:szCs w:val="28"/>
        </w:rPr>
        <w:t>眉山市彭山区青龙镇</w:t>
      </w:r>
      <w:r>
        <w:rPr>
          <w:rFonts w:hint="eastAsia" w:cs="宋体" w:asciiTheme="minorEastAsia" w:hAnsiTheme="minorEastAsia" w:eastAsiaTheme="minorEastAsia"/>
          <w:sz w:val="28"/>
          <w:szCs w:val="28"/>
        </w:rPr>
        <w:t>青同路9、11、13号，青同路1、3、5、7号及</w:t>
      </w:r>
      <w:r>
        <w:rPr>
          <w:rFonts w:cs="宋体" w:asciiTheme="minorEastAsia" w:hAnsiTheme="minorEastAsia" w:eastAsiaTheme="minorEastAsia"/>
          <w:sz w:val="28"/>
          <w:szCs w:val="28"/>
        </w:rPr>
        <w:t>下马路</w:t>
      </w:r>
      <w:r>
        <w:rPr>
          <w:rFonts w:hint="eastAsia" w:cs="宋体" w:asciiTheme="minorEastAsia" w:hAnsiTheme="minorEastAsia" w:eastAsiaTheme="minorEastAsia"/>
          <w:sz w:val="28"/>
          <w:szCs w:val="28"/>
        </w:rPr>
        <w:t>130、132号</w:t>
      </w:r>
      <w:r>
        <w:rPr>
          <w:rFonts w:hint="eastAsia" w:cs="宋体" w:asciiTheme="minorEastAsia" w:hAnsiTheme="minorEastAsia" w:eastAsiaTheme="minorEastAsia"/>
          <w:sz w:val="28"/>
          <w:szCs w:val="28"/>
          <w:lang w:val="zh-CN"/>
        </w:rPr>
        <w:t>。本次估价以上述登记地址与实地查勘</w:t>
      </w:r>
      <w:r>
        <w:rPr>
          <w:rFonts w:hint="eastAsia" w:cs="宋体" w:asciiTheme="minorEastAsia" w:hAnsiTheme="minorEastAsia" w:eastAsiaTheme="minorEastAsia"/>
          <w:sz w:val="28"/>
          <w:szCs w:val="28"/>
        </w:rPr>
        <w:t>地址所对应的为同一房屋为假设前提。请报告使用者注意！</w:t>
      </w:r>
    </w:p>
    <w:p>
      <w:pPr>
        <w:spacing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9、据彭国用（1998）字第0287号《国用土地使用证》复印件，估价对象1所占用国有土地使用权未记载使用权终止日期，故按划拨用地进行评估。</w:t>
      </w:r>
    </w:p>
    <w:p>
      <w:pPr>
        <w:spacing w:line="520" w:lineRule="exact"/>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lang w:val="zh-CN"/>
        </w:rPr>
        <w:t>10、请报告使用人完整阅读并正确理解本报告所有内容，本报告必须完整使用方为有效。</w:t>
      </w:r>
      <w:r>
        <w:rPr>
          <w:rFonts w:hint="eastAsia" w:asciiTheme="minorEastAsia" w:hAnsiTheme="minorEastAsia" w:eastAsiaTheme="minorEastAsia"/>
          <w:sz w:val="28"/>
          <w:szCs w:val="28"/>
        </w:rPr>
        <w:t>对因未完整阅读、未正确理解或仅使用本报告中部分内容而导致的损失，本估价机构不承担责任。</w:t>
      </w:r>
    </w:p>
    <w:p>
      <w:pPr>
        <w:adjustRightInd w:val="0"/>
        <w:snapToGrid w:val="0"/>
        <w:spacing w:beforeLines="100" w:line="520" w:lineRule="exact"/>
        <w:ind w:firstLine="2800" w:firstLineChars="1000"/>
        <w:jc w:val="right"/>
        <w:rPr>
          <w:rFonts w:ascii="宋体" w:hAnsi="宋体"/>
          <w:sz w:val="28"/>
          <w:szCs w:val="28"/>
        </w:rPr>
      </w:pPr>
    </w:p>
    <w:p>
      <w:pPr>
        <w:adjustRightInd w:val="0"/>
        <w:snapToGrid w:val="0"/>
        <w:spacing w:beforeLines="100" w:line="520" w:lineRule="exact"/>
        <w:ind w:firstLine="2800" w:firstLineChars="1000"/>
        <w:jc w:val="right"/>
        <w:rPr>
          <w:rFonts w:ascii="宋体" w:hAnsi="宋体"/>
          <w:sz w:val="28"/>
          <w:szCs w:val="28"/>
        </w:rPr>
      </w:pPr>
      <w:r>
        <w:rPr>
          <w:rFonts w:hint="eastAsia" w:ascii="宋体" w:hAnsi="宋体"/>
          <w:sz w:val="28"/>
          <w:szCs w:val="28"/>
        </w:rPr>
        <w:t>山东贵恒信房地产土地评估经纪有限公司</w:t>
      </w:r>
    </w:p>
    <w:p>
      <w:pPr>
        <w:adjustRightInd w:val="0"/>
        <w:snapToGrid w:val="0"/>
        <w:spacing w:beforeLines="50" w:line="520" w:lineRule="exact"/>
        <w:ind w:right="240" w:firstLine="5320" w:firstLineChars="1900"/>
        <w:rPr>
          <w:rFonts w:ascii="宋体" w:hAnsi="宋体"/>
          <w:sz w:val="28"/>
          <w:szCs w:val="28"/>
        </w:rPr>
      </w:pPr>
      <w:r>
        <w:rPr>
          <w:rFonts w:hint="eastAsia" w:ascii="宋体" w:hAnsi="宋体"/>
          <w:sz w:val="28"/>
          <w:szCs w:val="28"/>
        </w:rPr>
        <w:t>法定代表人：</w:t>
      </w:r>
    </w:p>
    <w:p>
      <w:pPr>
        <w:adjustRightInd w:val="0"/>
        <w:snapToGrid w:val="0"/>
        <w:spacing w:beforeLines="50" w:line="520" w:lineRule="exact"/>
        <w:ind w:right="380" w:firstLine="5320" w:firstLineChars="1900"/>
        <w:jc w:val="right"/>
        <w:rPr>
          <w:rFonts w:ascii="宋体" w:hAnsi="宋体"/>
          <w:sz w:val="28"/>
          <w:szCs w:val="28"/>
        </w:rPr>
        <w:sectPr>
          <w:headerReference r:id="rId6" w:type="default"/>
          <w:footerReference r:id="rId7" w:type="default"/>
          <w:pgSz w:w="11906" w:h="16838"/>
          <w:pgMar w:top="1985" w:right="1797" w:bottom="1814" w:left="1797" w:header="1418" w:footer="737" w:gutter="0"/>
          <w:pgNumType w:start="1"/>
          <w:cols w:space="720" w:num="1"/>
          <w:docGrid w:linePitch="286" w:charSpace="0"/>
        </w:sectPr>
      </w:pPr>
      <w:r>
        <w:rPr>
          <w:rFonts w:hint="eastAsia" w:ascii="宋体" w:hAnsi="宋体"/>
          <w:sz w:val="28"/>
          <w:szCs w:val="28"/>
        </w:rPr>
        <w:t>二〇二〇年四月二日</w:t>
      </w:r>
    </w:p>
    <w:p>
      <w:pPr>
        <w:adjustRightInd w:val="0"/>
        <w:snapToGrid w:val="0"/>
        <w:spacing w:beforeLines="250" w:line="480" w:lineRule="auto"/>
        <w:jc w:val="center"/>
        <w:rPr>
          <w:rFonts w:ascii="宋体" w:hAnsi="宋体"/>
          <w:snapToGrid w:val="0"/>
          <w:spacing w:val="60"/>
          <w:kern w:val="0"/>
          <w:sz w:val="36"/>
          <w:szCs w:val="36"/>
        </w:rPr>
      </w:pPr>
      <w:r>
        <w:rPr>
          <w:rFonts w:hint="eastAsia" w:ascii="宋体" w:hAnsi="宋体"/>
          <w:snapToGrid w:val="0"/>
          <w:spacing w:val="60"/>
          <w:kern w:val="0"/>
          <w:sz w:val="36"/>
          <w:szCs w:val="36"/>
        </w:rPr>
        <w:t>目 录</w:t>
      </w:r>
      <w:bookmarkEnd w:id="1"/>
      <w:bookmarkEnd w:id="2"/>
      <w:bookmarkEnd w:id="3"/>
      <w:bookmarkEnd w:id="4"/>
      <w:bookmarkEnd w:id="5"/>
      <w:bookmarkEnd w:id="6"/>
      <w:bookmarkEnd w:id="7"/>
      <w:bookmarkStart w:id="8" w:name="_Toc364091970"/>
      <w:bookmarkStart w:id="9" w:name="_Toc269216115"/>
      <w:bookmarkStart w:id="10" w:name="_Toc303022487"/>
      <w:bookmarkStart w:id="11" w:name="_Toc256518812"/>
      <w:bookmarkStart w:id="12" w:name="_Toc191441875"/>
      <w:bookmarkStart w:id="13" w:name="_Toc333846304"/>
      <w:bookmarkStart w:id="14" w:name="_Toc269216338"/>
      <w:bookmarkStart w:id="15" w:name="_Toc267404875"/>
      <w:bookmarkStart w:id="16" w:name="_Toc137475687"/>
      <w:bookmarkStart w:id="17" w:name="_Toc24106"/>
      <w:bookmarkStart w:id="18" w:name="_Toc303022391"/>
    </w:p>
    <w:p>
      <w:pPr>
        <w:adjustRightInd w:val="0"/>
        <w:snapToGrid w:val="0"/>
        <w:spacing w:beforeLines="250"/>
        <w:jc w:val="center"/>
        <w:rPr>
          <w:rFonts w:asciiTheme="minorEastAsia" w:hAnsiTheme="minorEastAsia" w:eastAsiaTheme="minorEastAsia" w:cstheme="minorBidi"/>
          <w:bCs/>
          <w:caps/>
          <w:sz w:val="28"/>
          <w:szCs w:val="28"/>
        </w:rPr>
      </w:pPr>
      <w:r>
        <w:fldChar w:fldCharType="begin"/>
      </w:r>
      <w:r>
        <w:instrText xml:space="preserve"> HYPERLINK \l "_Toc524430657" </w:instrText>
      </w:r>
      <w:r>
        <w:fldChar w:fldCharType="separate"/>
      </w:r>
      <w:r>
        <w:rPr>
          <w:rStyle w:val="48"/>
          <w:rFonts w:hint="eastAsia" w:cs="黑体" w:asciiTheme="minorEastAsia" w:hAnsiTheme="minorEastAsia" w:eastAsiaTheme="minorEastAsia"/>
          <w:color w:val="auto"/>
          <w:sz w:val="28"/>
          <w:szCs w:val="28"/>
          <w:u w:val="none"/>
        </w:rPr>
        <w:t>一、估价师声明…………………………………………………………</w:t>
      </w:r>
      <w:r>
        <w:rPr>
          <w:rFonts w:hint="eastAsia" w:asciiTheme="minorEastAsia" w:hAnsiTheme="minorEastAsia" w:eastAsiaTheme="minorEastAsia"/>
          <w:sz w:val="28"/>
          <w:szCs w:val="28"/>
        </w:rPr>
        <w:t>1</w:t>
      </w:r>
      <w:r>
        <w:rPr>
          <w:rFonts w:hint="eastAsia" w:asciiTheme="minorEastAsia" w:hAnsiTheme="minorEastAsia" w:eastAsiaTheme="minorEastAsia"/>
          <w:sz w:val="28"/>
          <w:szCs w:val="28"/>
        </w:rPr>
        <w:fldChar w:fldCharType="end"/>
      </w:r>
    </w:p>
    <w:p>
      <w:pPr>
        <w:pStyle w:val="24"/>
        <w:rPr>
          <w:rFonts w:asciiTheme="minorEastAsia" w:hAnsiTheme="minorEastAsia" w:eastAsiaTheme="minorEastAsia"/>
          <w:b w:val="0"/>
          <w:sz w:val="28"/>
          <w:szCs w:val="28"/>
        </w:rPr>
      </w:pPr>
      <w:r>
        <w:fldChar w:fldCharType="begin"/>
      </w:r>
      <w:r>
        <w:instrText xml:space="preserve"> HYPERLINK \l "_Toc524430658" </w:instrText>
      </w:r>
      <w:r>
        <w:fldChar w:fldCharType="separate"/>
      </w:r>
      <w:r>
        <w:rPr>
          <w:rStyle w:val="48"/>
          <w:rFonts w:hint="eastAsia" w:cs="黑体" w:asciiTheme="minorEastAsia" w:hAnsiTheme="minorEastAsia" w:eastAsiaTheme="minorEastAsia"/>
          <w:b w:val="0"/>
          <w:bCs w:val="0"/>
          <w:caps w:val="0"/>
          <w:color w:val="auto"/>
          <w:sz w:val="28"/>
          <w:szCs w:val="28"/>
          <w:u w:val="none"/>
        </w:rPr>
        <w:t>二、估价假设和限制条件</w:t>
      </w:r>
      <w:r>
        <w:rPr>
          <w:rFonts w:hint="eastAsia" w:asciiTheme="minorEastAsia" w:hAnsiTheme="minorEastAsia" w:eastAsiaTheme="minorEastAsia"/>
          <w:b w:val="0"/>
          <w:sz w:val="28"/>
          <w:szCs w:val="28"/>
        </w:rPr>
        <w:t>……………………</w:t>
      </w:r>
      <w:r>
        <w:rPr>
          <w:rFonts w:hint="eastAsia"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rPr>
        <w:t>……………………………2</w:t>
      </w:r>
    </w:p>
    <w:p>
      <w:pPr>
        <w:pStyle w:val="24"/>
        <w:rPr>
          <w:rFonts w:asciiTheme="minorEastAsia" w:hAnsiTheme="minorEastAsia" w:eastAsiaTheme="minorEastAsia"/>
          <w:b w:val="0"/>
        </w:rPr>
      </w:pPr>
      <w:r>
        <w:fldChar w:fldCharType="begin"/>
      </w:r>
      <w:r>
        <w:instrText xml:space="preserve"> HYPERLINK \l "_Toc524430659" </w:instrText>
      </w:r>
      <w:r>
        <w:fldChar w:fldCharType="separate"/>
      </w:r>
      <w:r>
        <w:rPr>
          <w:rStyle w:val="48"/>
          <w:rFonts w:hint="eastAsia" w:cs="黑体" w:asciiTheme="minorEastAsia" w:hAnsiTheme="minorEastAsia" w:eastAsiaTheme="minorEastAsia"/>
          <w:b w:val="0"/>
          <w:bCs w:val="0"/>
          <w:caps w:val="0"/>
          <w:color w:val="auto"/>
          <w:sz w:val="28"/>
          <w:szCs w:val="28"/>
          <w:u w:val="none"/>
        </w:rPr>
        <w:t>三、估价结果报告</w:t>
      </w:r>
      <w:r>
        <w:rPr>
          <w:rFonts w:hint="eastAsia" w:asciiTheme="minorEastAsia" w:hAnsiTheme="minorEastAsia" w:eastAsiaTheme="minorEastAsia"/>
          <w:b w:val="0"/>
          <w:sz w:val="28"/>
          <w:szCs w:val="28"/>
        </w:rPr>
        <w:t>……</w:t>
      </w:r>
      <w:r>
        <w:rPr>
          <w:rFonts w:hint="eastAsia" w:asciiTheme="minorEastAsia" w:hAnsiTheme="minorEastAsia" w:eastAsiaTheme="minorEastAsia"/>
          <w:b w:val="0"/>
          <w:sz w:val="28"/>
          <w:szCs w:val="28"/>
        </w:rPr>
        <w:fldChar w:fldCharType="end"/>
      </w:r>
      <w:r>
        <w:rPr>
          <w:rFonts w:hint="eastAsia" w:asciiTheme="minorEastAsia" w:hAnsiTheme="minorEastAsia" w:eastAsiaTheme="minorEastAsia"/>
          <w:b w:val="0"/>
          <w:sz w:val="28"/>
          <w:szCs w:val="28"/>
        </w:rPr>
        <w:t>……………………………………………………8</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"_Toc524430660" </w:instrText>
      </w:r>
      <w:r>
        <w:fldChar w:fldCharType="separate"/>
      </w:r>
      <w:r>
        <w:rPr>
          <w:rStyle w:val="48"/>
          <w:rFonts w:hint="eastAsia" w:cs="黑体" w:asciiTheme="minorEastAsia" w:hAnsiTheme="minorEastAsia" w:eastAsiaTheme="minorEastAsia"/>
          <w:color w:val="auto"/>
          <w:sz w:val="28"/>
          <w:szCs w:val="28"/>
          <w:u w:val="none"/>
        </w:rPr>
        <w:t>（一）</w:t>
      </w:r>
      <w:r>
        <w:rPr>
          <w:rStyle w:val="48"/>
          <w:rFonts w:hint="eastAsia" w:cs="黑体" w:asciiTheme="minorEastAsia" w:hAnsiTheme="minorEastAsia" w:eastAsiaTheme="minorEastAsia"/>
          <w:color w:val="auto"/>
          <w:sz w:val="28"/>
          <w:szCs w:val="28"/>
          <w:u w:val="none"/>
        </w:rPr>
        <w:fldChar w:fldCharType="end"/>
      </w:r>
      <w:r>
        <w:rPr>
          <w:rStyle w:val="48"/>
          <w:rFonts w:hint="eastAsia" w:cs="黑体" w:asciiTheme="minorEastAsia" w:hAnsiTheme="minorEastAsia" w:eastAsiaTheme="minorEastAsia"/>
          <w:smallCaps w:val="0"/>
          <w:color w:val="auto"/>
          <w:sz w:val="28"/>
          <w:szCs w:val="28"/>
          <w:u w:val="none"/>
        </w:rPr>
        <w:t>估价委托人</w:t>
      </w:r>
      <w:r>
        <w:rPr>
          <w:rFonts w:hint="eastAsia" w:asciiTheme="minorEastAsia" w:hAnsiTheme="minorEastAsia" w:eastAsiaTheme="minorEastAsia"/>
          <w:sz w:val="28"/>
          <w:szCs w:val="28"/>
        </w:rPr>
        <w:t>……………………………………………………</w:t>
      </w:r>
      <w:r>
        <w:rPr>
          <w:rFonts w:hint="eastAsia" w:asciiTheme="minorEastAsia" w:hAnsiTheme="minorEastAsia" w:eastAsiaTheme="minorEastAsia"/>
          <w:bCs/>
          <w:caps/>
          <w:smallCaps w:val="0"/>
          <w:sz w:val="28"/>
          <w:szCs w:val="28"/>
        </w:rPr>
        <w:t>8</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"_Toc524430661" </w:instrText>
      </w:r>
      <w:r>
        <w:fldChar w:fldCharType="separate"/>
      </w:r>
      <w:r>
        <w:rPr>
          <w:rStyle w:val="48"/>
          <w:rFonts w:hint="eastAsia" w:cs="黑体" w:asciiTheme="minorEastAsia" w:hAnsiTheme="minorEastAsia" w:eastAsiaTheme="minorEastAsia"/>
          <w:color w:val="auto"/>
          <w:sz w:val="28"/>
          <w:szCs w:val="28"/>
          <w:u w:val="none"/>
        </w:rPr>
        <w:t>（二）房地产估价机构</w:t>
      </w:r>
      <w:r>
        <w:rPr>
          <w:rFonts w:hint="eastAsia" w:asciiTheme="minorEastAsia" w:hAnsiTheme="minorEastAsia" w:eastAsiaTheme="minorEastAsia"/>
          <w:bCs/>
          <w:caps/>
          <w:smallCaps w:val="0"/>
          <w:sz w:val="28"/>
          <w:szCs w:val="28"/>
        </w:rPr>
        <w:t>………………………………………………8</w:t>
      </w:r>
      <w:r>
        <w:rPr>
          <w:rFonts w:hint="eastAsia" w:asciiTheme="minorEastAsia" w:hAnsiTheme="minorEastAsia" w:eastAsiaTheme="minorEastAsia"/>
          <w:bCs/>
          <w:caps/>
          <w:smallCaps w:val="0"/>
          <w:sz w:val="28"/>
          <w:szCs w:val="28"/>
        </w:rPr>
        <w:fldChar w:fldCharType="end"/>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"_Toc524430662" </w:instrText>
      </w:r>
      <w:r>
        <w:fldChar w:fldCharType="separate"/>
      </w:r>
      <w:r>
        <w:rPr>
          <w:rStyle w:val="48"/>
          <w:rFonts w:hint="eastAsia" w:cs="黑体" w:asciiTheme="minorEastAsia" w:hAnsiTheme="minorEastAsia" w:eastAsiaTheme="minorEastAsia"/>
          <w:color w:val="auto"/>
          <w:sz w:val="28"/>
          <w:szCs w:val="28"/>
          <w:u w:val="none"/>
        </w:rPr>
        <w:t>（三）估价目的</w:t>
      </w:r>
      <w:r>
        <w:rPr>
          <w:rFonts w:hint="eastAsia" w:asciiTheme="minorEastAsia" w:hAnsiTheme="minorEastAsia" w:eastAsiaTheme="minorEastAsia"/>
          <w:bCs/>
          <w:caps/>
          <w:smallCaps w:val="0"/>
          <w:sz w:val="28"/>
          <w:szCs w:val="28"/>
        </w:rPr>
        <w:t>………………………………………………………8</w:t>
      </w:r>
      <w:r>
        <w:rPr>
          <w:rFonts w:hint="eastAsia" w:asciiTheme="minorEastAsia" w:hAnsiTheme="minorEastAsia" w:eastAsiaTheme="minorEastAsia"/>
          <w:bCs/>
          <w:caps/>
          <w:smallCaps w:val="0"/>
          <w:sz w:val="28"/>
          <w:szCs w:val="28"/>
        </w:rPr>
        <w:fldChar w:fldCharType="end"/>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"_Toc524430663" </w:instrText>
      </w:r>
      <w:r>
        <w:fldChar w:fldCharType="separate"/>
      </w:r>
      <w:r>
        <w:rPr>
          <w:rStyle w:val="48"/>
          <w:rFonts w:hint="eastAsia" w:cs="黑体" w:asciiTheme="minorEastAsia" w:hAnsiTheme="minorEastAsia" w:eastAsiaTheme="minorEastAsia"/>
          <w:color w:val="auto"/>
          <w:sz w:val="28"/>
          <w:szCs w:val="28"/>
          <w:u w:val="none"/>
        </w:rPr>
        <w:t>（四）估价对象</w:t>
      </w:r>
      <w:r>
        <w:rPr>
          <w:rFonts w:hint="eastAsia" w:asciiTheme="minorEastAsia" w:hAnsiTheme="minorEastAsia" w:eastAsiaTheme="minorEastAsia"/>
          <w:bCs/>
          <w:caps/>
          <w:smallCaps w:val="0"/>
          <w:sz w:val="28"/>
          <w:szCs w:val="28"/>
        </w:rPr>
        <w:t>………………………………………………………8</w:t>
      </w:r>
      <w:r>
        <w:rPr>
          <w:rFonts w:hint="eastAsia" w:asciiTheme="minorEastAsia" w:hAnsiTheme="minorEastAsia" w:eastAsiaTheme="minorEastAsia"/>
          <w:bCs/>
          <w:caps/>
          <w:smallCaps w:val="0"/>
          <w:sz w:val="28"/>
          <w:szCs w:val="28"/>
        </w:rPr>
        <w:fldChar w:fldCharType="end"/>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"_Toc524430664" </w:instrText>
      </w:r>
      <w:r>
        <w:fldChar w:fldCharType="separate"/>
      </w:r>
      <w:r>
        <w:rPr>
          <w:rStyle w:val="48"/>
          <w:rFonts w:hint="eastAsia" w:cs="黑体" w:asciiTheme="minorEastAsia" w:hAnsiTheme="minorEastAsia" w:eastAsiaTheme="minorEastAsia"/>
          <w:color w:val="auto"/>
          <w:sz w:val="28"/>
          <w:szCs w:val="28"/>
          <w:u w:val="none"/>
        </w:rPr>
        <w:t>（五）价值时点</w:t>
      </w:r>
      <w:r>
        <w:rPr>
          <w:rFonts w:hint="eastAsia" w:asciiTheme="minorEastAsia" w:hAnsiTheme="minorEastAsia" w:eastAsiaTheme="minorEastAsia"/>
          <w:bCs/>
          <w:caps/>
          <w:smallCaps w:val="0"/>
          <w:sz w:val="28"/>
          <w:szCs w:val="28"/>
        </w:rPr>
        <w:t>………………………………………………………15</w:t>
      </w:r>
      <w:r>
        <w:rPr>
          <w:rFonts w:hint="eastAsia" w:asciiTheme="minorEastAsia" w:hAnsiTheme="minorEastAsia" w:eastAsiaTheme="minorEastAsia"/>
          <w:bCs/>
          <w:caps/>
          <w:smallCaps w:val="0"/>
          <w:sz w:val="28"/>
          <w:szCs w:val="28"/>
        </w:rPr>
        <w:fldChar w:fldCharType="end"/>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"_Toc524430665" </w:instrText>
      </w:r>
      <w:r>
        <w:fldChar w:fldCharType="separate"/>
      </w:r>
      <w:r>
        <w:rPr>
          <w:rStyle w:val="48"/>
          <w:rFonts w:hint="eastAsia" w:cs="黑体" w:asciiTheme="minorEastAsia" w:hAnsiTheme="minorEastAsia" w:eastAsiaTheme="minorEastAsia"/>
          <w:color w:val="auto"/>
          <w:sz w:val="28"/>
          <w:szCs w:val="28"/>
          <w:u w:val="none"/>
        </w:rPr>
        <w:t>（六）价值类型</w:t>
      </w:r>
      <w:r>
        <w:rPr>
          <w:rFonts w:hint="eastAsia" w:asciiTheme="minorEastAsia" w:hAnsiTheme="minorEastAsia" w:eastAsiaTheme="minorEastAsia"/>
          <w:sz w:val="28"/>
          <w:szCs w:val="28"/>
        </w:rPr>
        <w:t>………………………………………………………15</w:t>
      </w:r>
      <w:r>
        <w:rPr>
          <w:rFonts w:hint="eastAsia" w:asciiTheme="minorEastAsia" w:hAnsiTheme="minorEastAsia" w:eastAsiaTheme="minorEastAsia"/>
          <w:sz w:val="28"/>
          <w:szCs w:val="28"/>
        </w:rPr>
        <w:fldChar w:fldCharType="end"/>
      </w:r>
    </w:p>
    <w:p>
      <w:pPr>
        <w:pStyle w:val="33"/>
        <w:tabs>
          <w:tab w:val="right" w:leader="dot" w:pos="9191"/>
        </w:tabs>
        <w:ind w:left="0" w:firstLine="400" w:firstLineChars="200"/>
        <w:rPr>
          <w:rFonts w:asciiTheme="minorEastAsia" w:hAnsiTheme="minorEastAsia" w:eastAsiaTheme="minorEastAsia"/>
          <w:bCs/>
          <w:caps/>
          <w:smallCaps w:val="0"/>
          <w:sz w:val="28"/>
          <w:szCs w:val="28"/>
        </w:rPr>
      </w:pPr>
      <w:r>
        <w:fldChar w:fldCharType="begin"/>
      </w:r>
      <w:r>
        <w:instrText xml:space="preserve"> HYPERLINK \l "_Toc524430666" </w:instrText>
      </w:r>
      <w:r>
        <w:fldChar w:fldCharType="separate"/>
      </w:r>
      <w:r>
        <w:rPr>
          <w:rStyle w:val="48"/>
          <w:rFonts w:hint="eastAsia" w:cs="黑体" w:asciiTheme="minorEastAsia" w:hAnsiTheme="minorEastAsia" w:eastAsiaTheme="minorEastAsia"/>
          <w:color w:val="auto"/>
          <w:sz w:val="28"/>
          <w:szCs w:val="28"/>
          <w:u w:val="none"/>
        </w:rPr>
        <w:t>（七）估价原则</w:t>
      </w:r>
      <w:r>
        <w:rPr>
          <w:rStyle w:val="48"/>
          <w:rFonts w:hint="eastAsia" w:cs="黑体" w:asciiTheme="minorEastAsia" w:hAnsiTheme="minorEastAsia" w:eastAsiaTheme="minorEastAsia"/>
          <w:color w:val="auto"/>
          <w:sz w:val="28"/>
          <w:szCs w:val="28"/>
          <w:u w:val="none"/>
        </w:rPr>
        <w:fldChar w:fldCharType="end"/>
      </w:r>
      <w:r>
        <w:rPr>
          <w:rFonts w:hint="eastAsia" w:asciiTheme="minorEastAsia" w:hAnsiTheme="minorEastAsia" w:eastAsiaTheme="minorEastAsia"/>
          <w:bCs/>
          <w:caps/>
          <w:smallCaps w:val="0"/>
          <w:sz w:val="28"/>
          <w:szCs w:val="28"/>
        </w:rPr>
        <w:t>………………………………………………………15</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"_Toc524430667" </w:instrText>
      </w:r>
      <w:r>
        <w:fldChar w:fldCharType="separate"/>
      </w:r>
      <w:r>
        <w:rPr>
          <w:rStyle w:val="48"/>
          <w:rFonts w:hint="eastAsia" w:cs="黑体" w:asciiTheme="minorEastAsia" w:hAnsiTheme="minorEastAsia" w:eastAsiaTheme="minorEastAsia"/>
          <w:color w:val="auto"/>
          <w:sz w:val="28"/>
          <w:szCs w:val="28"/>
          <w:u w:val="none"/>
        </w:rPr>
        <w:t>（八）估价依据………………………………………………………1</w:t>
      </w:r>
      <w:r>
        <w:rPr>
          <w:rStyle w:val="48"/>
          <w:rFonts w:hint="eastAsia" w:cs="黑体" w:asciiTheme="minorEastAsia" w:hAnsiTheme="minorEastAsia" w:eastAsiaTheme="minorEastAsia"/>
          <w:color w:val="auto"/>
          <w:sz w:val="28"/>
          <w:szCs w:val="28"/>
          <w:u w:val="none"/>
        </w:rPr>
        <w:fldChar w:fldCharType="end"/>
      </w:r>
      <w:r>
        <w:rPr>
          <w:rFonts w:hint="eastAsia" w:asciiTheme="minorEastAsia" w:hAnsiTheme="minorEastAsia" w:eastAsiaTheme="minorEastAsia"/>
          <w:bCs/>
          <w:caps/>
          <w:smallCaps w:val="0"/>
          <w:sz w:val="28"/>
          <w:szCs w:val="28"/>
        </w:rPr>
        <w:t>6</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"_Toc524430668" </w:instrText>
      </w:r>
      <w:r>
        <w:fldChar w:fldCharType="separate"/>
      </w:r>
      <w:r>
        <w:rPr>
          <w:rStyle w:val="48"/>
          <w:rFonts w:hint="eastAsia" w:cs="黑体" w:asciiTheme="minorEastAsia" w:hAnsiTheme="minorEastAsia" w:eastAsiaTheme="minorEastAsia"/>
          <w:color w:val="auto"/>
          <w:sz w:val="28"/>
          <w:szCs w:val="28"/>
          <w:u w:val="none"/>
        </w:rPr>
        <w:t>（九）估价方法………………………………………………………1</w:t>
      </w:r>
      <w:r>
        <w:rPr>
          <w:rStyle w:val="48"/>
          <w:rFonts w:hint="eastAsia" w:cs="黑体" w:asciiTheme="minorEastAsia" w:hAnsiTheme="minorEastAsia" w:eastAsiaTheme="minorEastAsia"/>
          <w:color w:val="auto"/>
          <w:sz w:val="28"/>
          <w:szCs w:val="28"/>
          <w:u w:val="none"/>
        </w:rPr>
        <w:fldChar w:fldCharType="end"/>
      </w:r>
      <w:r>
        <w:rPr>
          <w:rFonts w:hint="eastAsia" w:asciiTheme="minorEastAsia" w:hAnsiTheme="minorEastAsia" w:eastAsiaTheme="minorEastAsia"/>
          <w:bCs/>
          <w:caps/>
          <w:smallCaps w:val="0"/>
          <w:sz w:val="28"/>
          <w:szCs w:val="28"/>
        </w:rPr>
        <w:t>8</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"_Toc524430669" </w:instrText>
      </w:r>
      <w:r>
        <w:fldChar w:fldCharType="separate"/>
      </w:r>
      <w:r>
        <w:rPr>
          <w:rStyle w:val="48"/>
          <w:rFonts w:hint="eastAsia" w:cs="黑体" w:asciiTheme="minorEastAsia" w:hAnsiTheme="minorEastAsia" w:eastAsiaTheme="minorEastAsia"/>
          <w:color w:val="auto"/>
          <w:sz w:val="28"/>
          <w:szCs w:val="28"/>
          <w:u w:val="none"/>
        </w:rPr>
        <w:t>（十）估价结果………………………………………………………</w:t>
      </w:r>
      <w:r>
        <w:rPr>
          <w:rStyle w:val="48"/>
          <w:rFonts w:hint="eastAsia" w:cs="黑体" w:asciiTheme="minorEastAsia" w:hAnsiTheme="minorEastAsia" w:eastAsiaTheme="minorEastAsia"/>
          <w:color w:val="auto"/>
          <w:sz w:val="28"/>
          <w:szCs w:val="28"/>
          <w:u w:val="none"/>
        </w:rPr>
        <w:fldChar w:fldCharType="end"/>
      </w:r>
      <w:r>
        <w:rPr>
          <w:rFonts w:hint="eastAsia" w:asciiTheme="minorEastAsia" w:hAnsiTheme="minorEastAsia" w:eastAsiaTheme="minorEastAsia" w:cstheme="minorBidi"/>
          <w:smallCaps w:val="0"/>
          <w:sz w:val="28"/>
          <w:szCs w:val="28"/>
        </w:rPr>
        <w:t>19</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"_Toc524430670" </w:instrText>
      </w:r>
      <w:r>
        <w:fldChar w:fldCharType="separate"/>
      </w:r>
      <w:r>
        <w:rPr>
          <w:rStyle w:val="48"/>
          <w:rFonts w:hint="eastAsia" w:cs="黑体" w:asciiTheme="minorEastAsia" w:hAnsiTheme="minorEastAsia" w:eastAsiaTheme="minorEastAsia"/>
          <w:color w:val="auto"/>
          <w:sz w:val="28"/>
          <w:szCs w:val="28"/>
          <w:u w:val="none"/>
        </w:rPr>
        <w:t>（十一）注册房地产估价师</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fldChar w:fldCharType="end"/>
      </w:r>
      <w:r>
        <w:rPr>
          <w:rFonts w:hint="eastAsia" w:asciiTheme="minorEastAsia" w:hAnsiTheme="minorEastAsia" w:eastAsiaTheme="minorEastAsia" w:cstheme="minorBidi"/>
          <w:smallCaps w:val="0"/>
          <w:sz w:val="28"/>
          <w:szCs w:val="28"/>
        </w:rPr>
        <w:t>20</w:t>
      </w:r>
    </w:p>
    <w:p>
      <w:pPr>
        <w:pStyle w:val="33"/>
        <w:tabs>
          <w:tab w:val="right" w:leader="dot" w:pos="9191"/>
        </w:tabs>
        <w:ind w:left="0" w:firstLine="400" w:firstLineChars="200"/>
        <w:rPr>
          <w:rFonts w:asciiTheme="minorEastAsia" w:hAnsiTheme="minorEastAsia" w:eastAsiaTheme="minorEastAsia"/>
          <w:sz w:val="28"/>
          <w:szCs w:val="28"/>
        </w:rPr>
      </w:pPr>
      <w:r>
        <w:fldChar w:fldCharType="begin"/>
      </w:r>
      <w:r>
        <w:instrText xml:space="preserve"> HYPERLINK \l "_Toc524430671" </w:instrText>
      </w:r>
      <w:r>
        <w:fldChar w:fldCharType="separate"/>
      </w:r>
      <w:r>
        <w:rPr>
          <w:rStyle w:val="48"/>
          <w:rFonts w:hint="eastAsia" w:cs="黑体" w:asciiTheme="minorEastAsia" w:hAnsiTheme="minorEastAsia" w:eastAsiaTheme="minorEastAsia"/>
          <w:color w:val="auto"/>
          <w:sz w:val="28"/>
          <w:szCs w:val="28"/>
          <w:u w:val="none"/>
        </w:rPr>
        <w:t>（十二）实地查勘期</w:t>
      </w:r>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fldChar w:fldCharType="end"/>
      </w:r>
      <w:r>
        <w:rPr>
          <w:rStyle w:val="48"/>
          <w:rFonts w:hint="eastAsia" w:cs="黑体" w:asciiTheme="minorEastAsia" w:hAnsiTheme="minorEastAsia" w:eastAsiaTheme="minorEastAsia"/>
          <w:color w:val="auto"/>
          <w:sz w:val="28"/>
          <w:szCs w:val="28"/>
          <w:u w:val="none"/>
        </w:rPr>
        <w:t>20</w:t>
      </w:r>
    </w:p>
    <w:p>
      <w:pPr>
        <w:pStyle w:val="33"/>
        <w:tabs>
          <w:tab w:val="right" w:leader="dot" w:pos="9191"/>
        </w:tabs>
        <w:ind w:left="0" w:firstLine="400" w:firstLineChars="200"/>
        <w:rPr>
          <w:rFonts w:asciiTheme="minorEastAsia" w:hAnsiTheme="minorEastAsia" w:eastAsiaTheme="minorEastAsia" w:cstheme="minorBidi"/>
          <w:smallCaps w:val="0"/>
          <w:sz w:val="28"/>
          <w:szCs w:val="28"/>
        </w:rPr>
      </w:pPr>
      <w:r>
        <w:fldChar w:fldCharType="begin"/>
      </w:r>
      <w:r>
        <w:instrText xml:space="preserve"> HYPERLINK \l "_Toc524430672" </w:instrText>
      </w:r>
      <w:r>
        <w:fldChar w:fldCharType="separate"/>
      </w:r>
      <w:r>
        <w:rPr>
          <w:rStyle w:val="48"/>
          <w:rFonts w:hint="eastAsia" w:cs="黑体" w:asciiTheme="minorEastAsia" w:hAnsiTheme="minorEastAsia" w:eastAsiaTheme="minorEastAsia"/>
          <w:color w:val="auto"/>
          <w:sz w:val="28"/>
          <w:szCs w:val="28"/>
          <w:u w:val="none"/>
        </w:rPr>
        <w:t>（十三）估价作业期</w:t>
      </w:r>
      <w:r>
        <w:rPr>
          <w:rStyle w:val="48"/>
          <w:rFonts w:hint="eastAsia" w:cs="黑体" w:asciiTheme="minorEastAsia" w:hAnsiTheme="minorEastAsia" w:eastAsiaTheme="minorEastAsia"/>
          <w:color w:val="auto"/>
          <w:sz w:val="28"/>
          <w:szCs w:val="28"/>
          <w:u w:val="none"/>
        </w:rPr>
        <w:fldChar w:fldCharType="end"/>
      </w:r>
      <w:r>
        <w:rPr>
          <w:rFonts w:hint="eastAsia" w:asciiTheme="minorEastAsia" w:hAnsiTheme="minorEastAsia" w:eastAsiaTheme="minorEastAsia"/>
          <w:sz w:val="28"/>
          <w:szCs w:val="28"/>
        </w:rPr>
        <w:t>…………………………………………………20</w:t>
      </w:r>
    </w:p>
    <w:p>
      <w:pPr>
        <w:pStyle w:val="24"/>
        <w:rPr>
          <w:rFonts w:asciiTheme="minorEastAsia" w:hAnsiTheme="minorEastAsia" w:eastAsiaTheme="minorEastAsia" w:cstheme="minorBidi"/>
          <w:b w:val="0"/>
          <w:bCs w:val="0"/>
          <w:caps w:val="0"/>
          <w:sz w:val="28"/>
          <w:szCs w:val="28"/>
        </w:rPr>
      </w:pPr>
      <w:r>
        <w:rPr>
          <w:rFonts w:hint="eastAsia" w:asciiTheme="minorEastAsia" w:hAnsiTheme="minorEastAsia" w:eastAsiaTheme="minorEastAsia"/>
          <w:b w:val="0"/>
          <w:sz w:val="28"/>
          <w:szCs w:val="28"/>
        </w:rPr>
        <w:t>四、附件…………………………………………………………………21</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1、《眉山市彭山区人民法院司法评估委托书》（2019）彭山法技委字第81号）复印件</w:t>
      </w:r>
      <w:r>
        <w:rPr>
          <w:rFonts w:asciiTheme="minorEastAsia" w:hAnsiTheme="minorEastAsia" w:eastAsiaTheme="minorEastAsia"/>
          <w:sz w:val="18"/>
          <w:szCs w:val="18"/>
        </w:rPr>
        <w:t>………………</w:t>
      </w:r>
      <w:r>
        <w:rPr>
          <w:rFonts w:hint="eastAsia" w:asciiTheme="minorEastAsia" w:hAnsiTheme="minorEastAsia" w:eastAsiaTheme="minorEastAsia"/>
          <w:sz w:val="18"/>
          <w:szCs w:val="18"/>
        </w:rPr>
        <w:t>22</w:t>
      </w:r>
    </w:p>
    <w:p>
      <w:pPr>
        <w:adjustRightInd w:val="0"/>
        <w:snapToGrid w:val="0"/>
        <w:spacing w:line="360" w:lineRule="auto"/>
        <w:ind w:firstLine="420" w:firstLineChars="200"/>
        <w:jc w:val="left"/>
        <w:rPr>
          <w:rStyle w:val="48"/>
          <w:rFonts w:asciiTheme="minorEastAsia" w:hAnsiTheme="minorEastAsia" w:eastAsiaTheme="minorEastAsia"/>
          <w:color w:val="auto"/>
          <w:sz w:val="18"/>
          <w:szCs w:val="18"/>
          <w:u w:val="none"/>
        </w:rPr>
      </w:pPr>
      <w:r>
        <w:fldChar w:fldCharType="begin"/>
      </w:r>
      <w:r>
        <w:instrText xml:space="preserve"> HYPERLINK \l "_Toc524430675" </w:instrText>
      </w:r>
      <w:r>
        <w:fldChar w:fldCharType="separate"/>
      </w:r>
      <w:r>
        <w:rPr>
          <w:rFonts w:hint="eastAsia" w:asciiTheme="minorEastAsia" w:hAnsiTheme="minorEastAsia" w:eastAsiaTheme="minorEastAsia"/>
          <w:sz w:val="18"/>
          <w:szCs w:val="18"/>
        </w:rPr>
        <w:t>2、《眉山市彭山区房地产服务中心房屋信息摘要》复印件</w:t>
      </w:r>
      <w:r>
        <w:rPr>
          <w:rFonts w:asciiTheme="minorEastAsia" w:hAnsiTheme="minorEastAsia" w:eastAsiaTheme="minorEastAsia"/>
          <w:sz w:val="18"/>
          <w:szCs w:val="18"/>
        </w:rPr>
        <w:t>……</w:t>
      </w:r>
      <w:r>
        <w:rPr>
          <w:rFonts w:asciiTheme="minorEastAsia" w:hAnsiTheme="minorEastAsia" w:eastAsiaTheme="minorEastAsia"/>
          <w:sz w:val="18"/>
          <w:szCs w:val="18"/>
        </w:rPr>
        <w:fldChar w:fldCharType="end"/>
      </w:r>
      <w:r>
        <w:rPr>
          <w:rFonts w:asciiTheme="minorEastAsia" w:hAnsiTheme="minorEastAsia" w:eastAsiaTheme="minorEastAsia"/>
          <w:sz w:val="18"/>
          <w:szCs w:val="18"/>
        </w:rPr>
        <w:t>……………………………………………</w:t>
      </w:r>
      <w:r>
        <w:rPr>
          <w:rFonts w:hint="eastAsia" w:asciiTheme="minorEastAsia" w:hAnsiTheme="minorEastAsia" w:eastAsiaTheme="minorEastAsia"/>
          <w:sz w:val="18"/>
          <w:szCs w:val="18"/>
        </w:rPr>
        <w:t>23</w:t>
      </w:r>
      <w:r>
        <w:rPr>
          <w:rFonts w:hint="eastAsia" w:asciiTheme="minorEastAsia" w:hAnsiTheme="minorEastAsia" w:eastAsiaTheme="minorEastAsia"/>
          <w:sz w:val="18"/>
          <w:szCs w:val="18"/>
        </w:rPr>
        <w:fldChar w:fldCharType="begin"/>
      </w:r>
      <w:r>
        <w:rPr>
          <w:rFonts w:hint="eastAsia" w:asciiTheme="minorEastAsia" w:hAnsiTheme="minorEastAsia" w:eastAsiaTheme="minorEastAsia"/>
          <w:sz w:val="18"/>
          <w:szCs w:val="18"/>
        </w:rPr>
        <w:instrText xml:space="preserve"> HYPERLINK \l "_Toc524430677" </w:instrText>
      </w:r>
      <w:r>
        <w:rPr>
          <w:rFonts w:hint="eastAsia" w:asciiTheme="minorEastAsia" w:hAnsiTheme="minorEastAsia" w:eastAsiaTheme="minorEastAsia"/>
          <w:sz w:val="18"/>
          <w:szCs w:val="18"/>
        </w:rPr>
        <w:fldChar w:fldCharType="separate"/>
      </w:r>
    </w:p>
    <w:p>
      <w:pPr>
        <w:adjustRightInd w:val="0"/>
        <w:snapToGrid w:val="0"/>
        <w:spacing w:line="360" w:lineRule="auto"/>
        <w:ind w:firstLine="360" w:firstLineChars="200"/>
        <w:jc w:val="left"/>
        <w:rPr>
          <w:rFonts w:asciiTheme="minorEastAsia" w:hAnsiTheme="minorEastAsia" w:eastAsiaTheme="minorEastAsia"/>
          <w:sz w:val="18"/>
          <w:szCs w:val="18"/>
        </w:rPr>
      </w:pPr>
      <w:r>
        <w:rPr>
          <w:rStyle w:val="48"/>
          <w:rFonts w:hint="eastAsia" w:asciiTheme="minorEastAsia" w:hAnsiTheme="minorEastAsia" w:eastAsiaTheme="minorEastAsia"/>
          <w:color w:val="auto"/>
          <w:sz w:val="18"/>
          <w:szCs w:val="18"/>
          <w:u w:val="none"/>
        </w:rPr>
        <w:t>3、《房屋所有权证》（彭山房权证字第0039252、0039253号）复印件</w:t>
      </w:r>
      <w:r>
        <w:rPr>
          <w:rStyle w:val="48"/>
          <w:rFonts w:asciiTheme="minorEastAsia" w:hAnsiTheme="minorEastAsia" w:eastAsiaTheme="minorEastAsia"/>
          <w:color w:val="auto"/>
          <w:sz w:val="18"/>
          <w:szCs w:val="18"/>
          <w:u w:val="none"/>
        </w:rPr>
        <w:t>…</w:t>
      </w:r>
      <w:r>
        <w:rPr>
          <w:rFonts w:hint="eastAsia" w:asciiTheme="minorEastAsia" w:hAnsiTheme="minorEastAsia" w:eastAsiaTheme="minorEastAsia"/>
          <w:sz w:val="18"/>
          <w:szCs w:val="18"/>
        </w:rPr>
        <w:fldChar w:fldCharType="end"/>
      </w:r>
      <w:r>
        <w:rPr>
          <w:rFonts w:asciiTheme="minorEastAsia" w:hAnsiTheme="minorEastAsia" w:eastAsiaTheme="minorEastAsia"/>
          <w:sz w:val="18"/>
          <w:szCs w:val="18"/>
        </w:rPr>
        <w:t>……………………………………</w:t>
      </w:r>
      <w:r>
        <w:rPr>
          <w:rFonts w:hint="eastAsia" w:asciiTheme="minorEastAsia" w:hAnsiTheme="minorEastAsia" w:eastAsiaTheme="minorEastAsia"/>
          <w:sz w:val="18"/>
          <w:szCs w:val="18"/>
        </w:rPr>
        <w:t>29</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4</w:t>
      </w:r>
      <w:r>
        <w:fldChar w:fldCharType="begin"/>
      </w:r>
      <w:r>
        <w:instrText xml:space="preserve"> HYPERLINK \l "_Toc524430678" </w:instrText>
      </w:r>
      <w:r>
        <w:fldChar w:fldCharType="separate"/>
      </w:r>
      <w:r>
        <w:rPr>
          <w:rStyle w:val="48"/>
          <w:rFonts w:hint="eastAsia" w:asciiTheme="minorEastAsia" w:hAnsiTheme="minorEastAsia" w:eastAsiaTheme="minorEastAsia"/>
          <w:color w:val="auto"/>
          <w:sz w:val="18"/>
          <w:szCs w:val="18"/>
          <w:u w:val="none"/>
        </w:rPr>
        <w:t>、《国有土地使用证》（彭国用（1998）字第0287号、彭国用（2005）第02936号）复印</w:t>
      </w:r>
      <w:r>
        <w:rPr>
          <w:rFonts w:asciiTheme="minorEastAsia" w:hAnsiTheme="minorEastAsia" w:eastAsiaTheme="minorEastAsia"/>
          <w:sz w:val="18"/>
          <w:szCs w:val="18"/>
        </w:rPr>
        <w:t>件………</w:t>
      </w:r>
      <w:r>
        <w:rPr>
          <w:rFonts w:hint="eastAsia" w:asciiTheme="minorEastAsia" w:hAnsiTheme="minorEastAsia" w:eastAsiaTheme="minorEastAsia"/>
          <w:sz w:val="18"/>
          <w:szCs w:val="18"/>
        </w:rPr>
        <w:t xml:space="preserve"> 31</w:t>
      </w:r>
      <w:r>
        <w:rPr>
          <w:rFonts w:hint="eastAsia" w:asciiTheme="minorEastAsia" w:hAnsiTheme="minorEastAsia" w:eastAsiaTheme="minorEastAsia"/>
          <w:sz w:val="18"/>
          <w:szCs w:val="18"/>
        </w:rPr>
        <w:fldChar w:fldCharType="end"/>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5、估价对象所在区域位置示意图及相关照片</w:t>
      </w:r>
      <w:r>
        <w:rPr>
          <w:rFonts w:asciiTheme="minorEastAsia" w:hAnsiTheme="minorEastAsia" w:eastAsiaTheme="minorEastAsia"/>
          <w:sz w:val="18"/>
          <w:szCs w:val="18"/>
        </w:rPr>
        <w:t>………………………………………………………………</w:t>
      </w:r>
      <w:r>
        <w:rPr>
          <w:rFonts w:hint="eastAsia" w:asciiTheme="minorEastAsia" w:hAnsiTheme="minorEastAsia" w:eastAsiaTheme="minorEastAsia"/>
          <w:sz w:val="18"/>
          <w:szCs w:val="18"/>
        </w:rPr>
        <w:t>35</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6、没有专业帮助且未依据相关专业意见的说明</w:t>
      </w:r>
      <w:r>
        <w:rPr>
          <w:rFonts w:asciiTheme="minorEastAsia" w:hAnsiTheme="minorEastAsia" w:eastAsiaTheme="minorEastAsia"/>
          <w:sz w:val="18"/>
          <w:szCs w:val="18"/>
        </w:rPr>
        <w:t>……………………………………………………………</w:t>
      </w:r>
      <w:r>
        <w:rPr>
          <w:rFonts w:hint="eastAsia" w:asciiTheme="minorEastAsia" w:hAnsiTheme="minorEastAsia" w:eastAsiaTheme="minorEastAsia"/>
          <w:sz w:val="18"/>
          <w:szCs w:val="18"/>
        </w:rPr>
        <w:t>38</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7、可比案例位置图及照片</w:t>
      </w:r>
      <w:r>
        <w:rPr>
          <w:rFonts w:asciiTheme="minorEastAsia" w:hAnsiTheme="minorEastAsia" w:eastAsiaTheme="minorEastAsia"/>
          <w:sz w:val="18"/>
          <w:szCs w:val="18"/>
        </w:rPr>
        <w:t>……………………………………………………………………………………</w:t>
      </w:r>
      <w:r>
        <w:rPr>
          <w:rFonts w:hint="eastAsia" w:asciiTheme="minorEastAsia" w:hAnsiTheme="minorEastAsia" w:eastAsiaTheme="minorEastAsia"/>
          <w:sz w:val="18"/>
          <w:szCs w:val="18"/>
        </w:rPr>
        <w:t>39</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8、房地产估价师注册证书复印件</w:t>
      </w:r>
      <w:r>
        <w:rPr>
          <w:rFonts w:asciiTheme="minorEastAsia" w:hAnsiTheme="minorEastAsia" w:eastAsiaTheme="minorEastAsia"/>
          <w:sz w:val="18"/>
          <w:szCs w:val="18"/>
        </w:rPr>
        <w:t>……………………………………………………………………………</w:t>
      </w:r>
      <w:r>
        <w:rPr>
          <w:rFonts w:hint="eastAsia" w:asciiTheme="minorEastAsia" w:hAnsiTheme="minorEastAsia" w:eastAsiaTheme="minorEastAsia"/>
          <w:sz w:val="18"/>
          <w:szCs w:val="18"/>
        </w:rPr>
        <w:t>40</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9、房地产估价机构备案证书复印件</w:t>
      </w:r>
      <w:r>
        <w:rPr>
          <w:rFonts w:asciiTheme="minorEastAsia" w:hAnsiTheme="minorEastAsia" w:eastAsiaTheme="minorEastAsia"/>
          <w:sz w:val="18"/>
          <w:szCs w:val="18"/>
        </w:rPr>
        <w:t>…………………………………………………………………………</w:t>
      </w:r>
      <w:r>
        <w:rPr>
          <w:rFonts w:hint="eastAsia" w:asciiTheme="minorEastAsia" w:hAnsiTheme="minorEastAsia" w:eastAsiaTheme="minorEastAsia"/>
          <w:sz w:val="18"/>
          <w:szCs w:val="18"/>
        </w:rPr>
        <w:t>41</w:t>
      </w:r>
    </w:p>
    <w:p>
      <w:pPr>
        <w:adjustRightInd w:val="0"/>
        <w:snapToGrid w:val="0"/>
        <w:spacing w:line="360" w:lineRule="auto"/>
        <w:ind w:firstLine="360" w:firstLineChars="200"/>
        <w:jc w:val="left"/>
        <w:rPr>
          <w:rFonts w:asciiTheme="minorEastAsia" w:hAnsiTheme="minorEastAsia" w:eastAsiaTheme="minorEastAsia"/>
          <w:sz w:val="18"/>
          <w:szCs w:val="18"/>
        </w:rPr>
      </w:pPr>
      <w:r>
        <w:rPr>
          <w:rFonts w:hint="eastAsia" w:asciiTheme="minorEastAsia" w:hAnsiTheme="minorEastAsia" w:eastAsiaTheme="minorEastAsia"/>
          <w:sz w:val="18"/>
          <w:szCs w:val="18"/>
        </w:rPr>
        <w:t>10、房地产估价机构营业执照复印件</w:t>
      </w:r>
      <w:r>
        <w:rPr>
          <w:rFonts w:asciiTheme="minorEastAsia" w:hAnsiTheme="minorEastAsia" w:eastAsiaTheme="minorEastAsia"/>
          <w:sz w:val="18"/>
          <w:szCs w:val="18"/>
        </w:rPr>
        <w:t>…………………………………………………………………………</w:t>
      </w:r>
      <w:r>
        <w:rPr>
          <w:rFonts w:hint="eastAsia" w:asciiTheme="minorEastAsia" w:hAnsiTheme="minorEastAsia" w:eastAsiaTheme="minorEastAsia"/>
          <w:sz w:val="18"/>
          <w:szCs w:val="18"/>
        </w:rPr>
        <w:t>43</w:t>
      </w:r>
    </w:p>
    <w:p>
      <w:pPr>
        <w:widowControl/>
        <w:jc w:val="left"/>
        <w:rPr>
          <w:rFonts w:asciiTheme="minorEastAsia" w:hAnsiTheme="minorEastAsia" w:eastAsiaTheme="minorEastAsia"/>
          <w:sz w:val="18"/>
          <w:szCs w:val="18"/>
        </w:rPr>
      </w:pPr>
      <w:r>
        <w:rPr>
          <w:rFonts w:asciiTheme="minorEastAsia" w:hAnsiTheme="minorEastAsia" w:eastAsiaTheme="minorEastAsia"/>
          <w:sz w:val="18"/>
          <w:szCs w:val="18"/>
        </w:rPr>
        <w:br w:type="page"/>
      </w:r>
    </w:p>
    <w:p>
      <w:pPr>
        <w:adjustRightInd w:val="0"/>
        <w:snapToGrid w:val="0"/>
        <w:spacing w:line="360" w:lineRule="auto"/>
        <w:ind w:firstLine="360" w:firstLineChars="200"/>
        <w:jc w:val="left"/>
        <w:rPr>
          <w:rFonts w:asciiTheme="minorEastAsia" w:hAnsiTheme="minorEastAsia" w:eastAsiaTheme="minorEastAsia"/>
          <w:sz w:val="18"/>
          <w:szCs w:val="18"/>
        </w:rPr>
        <w:sectPr>
          <w:footerReference r:id="rId8" w:type="default"/>
          <w:pgSz w:w="11906" w:h="16838"/>
          <w:pgMar w:top="1797" w:right="1700" w:bottom="1797" w:left="1797" w:header="680" w:footer="851" w:gutter="0"/>
          <w:pgNumType w:start="1"/>
          <w:cols w:space="720" w:num="1"/>
          <w:docGrid w:linePitch="285" w:charSpace="0"/>
        </w:sectPr>
      </w:pPr>
    </w:p>
    <w:p/>
    <w:bookmarkEnd w:id="8"/>
    <w:bookmarkEnd w:id="9"/>
    <w:bookmarkEnd w:id="10"/>
    <w:bookmarkEnd w:id="11"/>
    <w:bookmarkEnd w:id="12"/>
    <w:bookmarkEnd w:id="13"/>
    <w:bookmarkEnd w:id="14"/>
    <w:bookmarkEnd w:id="15"/>
    <w:bookmarkEnd w:id="16"/>
    <w:bookmarkEnd w:id="17"/>
    <w:bookmarkEnd w:id="18"/>
    <w:p>
      <w:pPr>
        <w:pStyle w:val="15"/>
        <w:tabs>
          <w:tab w:val="right" w:leader="dot" w:pos="9191"/>
        </w:tabs>
        <w:spacing w:line="520" w:lineRule="exact"/>
        <w:ind w:left="0"/>
        <w:jc w:val="center"/>
        <w:outlineLvl w:val="0"/>
        <w:rPr>
          <w:rFonts w:ascii="黑体" w:hAnsi="黑体" w:eastAsia="黑体"/>
          <w:bCs/>
          <w:i w:val="0"/>
          <w:caps/>
          <w:sz w:val="28"/>
          <w:szCs w:val="28"/>
        </w:rPr>
      </w:pPr>
      <w:bookmarkStart w:id="19" w:name="_Toc524430657"/>
      <w:bookmarkStart w:id="20" w:name="_Toc364091971"/>
      <w:bookmarkStart w:id="21" w:name="_Toc137475688"/>
      <w:bookmarkStart w:id="22" w:name="_Toc333846305"/>
      <w:r>
        <w:rPr>
          <w:rFonts w:hint="eastAsia" w:eastAsia="黑体" w:cs="黑体"/>
          <w:i w:val="0"/>
          <w:sz w:val="32"/>
          <w:szCs w:val="32"/>
        </w:rPr>
        <w:t>一、估价师声明</w:t>
      </w:r>
      <w:bookmarkEnd w:id="19"/>
    </w:p>
    <w:p>
      <w:pPr>
        <w:spacing w:beforeLines="50" w:line="520" w:lineRule="exact"/>
        <w:ind w:firstLine="573"/>
        <w:rPr>
          <w:sz w:val="28"/>
          <w:szCs w:val="21"/>
        </w:rPr>
      </w:pPr>
      <w:r>
        <w:rPr>
          <w:rFonts w:hint="eastAsia"/>
          <w:sz w:val="28"/>
          <w:szCs w:val="21"/>
        </w:rPr>
        <w:t>我们郑重声明：</w:t>
      </w:r>
    </w:p>
    <w:p>
      <w:pPr>
        <w:spacing w:line="520" w:lineRule="exact"/>
        <w:ind w:firstLine="570"/>
        <w:rPr>
          <w:sz w:val="28"/>
          <w:szCs w:val="21"/>
        </w:rPr>
      </w:pPr>
      <w:r>
        <w:rPr>
          <w:rFonts w:hint="eastAsia"/>
          <w:sz w:val="28"/>
          <w:szCs w:val="21"/>
        </w:rPr>
        <w:t>1、我们在本报告中陈述的事实是真实和准确的，没有虚假记载、误导性陈述和重大遗漏；</w:t>
      </w:r>
    </w:p>
    <w:p>
      <w:pPr>
        <w:spacing w:line="520" w:lineRule="exact"/>
        <w:ind w:firstLine="570"/>
        <w:rPr>
          <w:sz w:val="28"/>
          <w:szCs w:val="21"/>
        </w:rPr>
      </w:pPr>
      <w:r>
        <w:rPr>
          <w:rFonts w:hint="eastAsia"/>
          <w:sz w:val="28"/>
          <w:szCs w:val="21"/>
        </w:rPr>
        <w:t>2、本估价报告中的分析、意见和结论是注册房地产估价师独立、客观、公正的专业分析、意见和结论，但受到本估价报告中已说明的估价假设和限制条件的限制。</w:t>
      </w:r>
    </w:p>
    <w:p>
      <w:pPr>
        <w:spacing w:line="520" w:lineRule="exact"/>
        <w:ind w:firstLine="570"/>
        <w:rPr>
          <w:sz w:val="28"/>
          <w:szCs w:val="21"/>
        </w:rPr>
      </w:pPr>
      <w:r>
        <w:rPr>
          <w:rFonts w:hint="eastAsia"/>
          <w:sz w:val="28"/>
          <w:szCs w:val="21"/>
        </w:rPr>
        <w:t>3、注册房地产估价师与本估价报告中的估价对象没有现实或潜在的利益，与估价委托人及估价利害关系人没有利害关系，也对估价对象、估价委托人及估价利害关系人没有偏见。</w:t>
      </w:r>
    </w:p>
    <w:p>
      <w:pPr>
        <w:spacing w:line="520" w:lineRule="exact"/>
        <w:ind w:firstLine="570"/>
        <w:rPr>
          <w:rFonts w:ascii="宋体" w:hAnsi="宋体"/>
          <w:snapToGrid w:val="0"/>
          <w:kern w:val="0"/>
          <w:sz w:val="24"/>
          <w:szCs w:val="24"/>
        </w:rPr>
        <w:sectPr>
          <w:pgSz w:w="11906" w:h="16838"/>
          <w:pgMar w:top="1797" w:right="1700" w:bottom="1797" w:left="1797" w:header="680" w:footer="851" w:gutter="0"/>
          <w:pgNumType w:start="1"/>
          <w:cols w:space="720" w:num="1"/>
          <w:docGrid w:linePitch="285" w:charSpace="0"/>
        </w:sectPr>
      </w:pPr>
      <w:r>
        <w:rPr>
          <w:rFonts w:hint="eastAsia"/>
          <w:sz w:val="28"/>
          <w:szCs w:val="21"/>
        </w:rPr>
        <w:t>4、注册房地产估价师具备相关专业知识和相应的房地产市场分析能力，并按照</w:t>
      </w:r>
      <w:r>
        <w:rPr>
          <w:sz w:val="28"/>
          <w:szCs w:val="21"/>
        </w:rPr>
        <w:t>《中华人民共和国资产评估法》</w:t>
      </w:r>
      <w:r>
        <w:rPr>
          <w:rFonts w:hint="eastAsia"/>
          <w:sz w:val="28"/>
          <w:szCs w:val="21"/>
        </w:rPr>
        <w:t>、【GB/T 50291-2015】《房地产估价规范》、【GB/T 50899-2013】《房地产估价基本术语标准》、</w:t>
      </w:r>
      <w:r>
        <w:rPr>
          <w:sz w:val="28"/>
          <w:szCs w:val="21"/>
        </w:rPr>
        <w:t>(川建房发[2011]89号)</w:t>
      </w:r>
      <w:r>
        <w:rPr>
          <w:rFonts w:hint="eastAsia"/>
          <w:sz w:val="28"/>
          <w:szCs w:val="21"/>
        </w:rPr>
        <w:t>《房地产司法鉴定评估指导意见</w:t>
      </w:r>
      <w:r>
        <w:rPr>
          <w:sz w:val="28"/>
          <w:szCs w:val="21"/>
        </w:rPr>
        <w:t>(试行)</w:t>
      </w:r>
      <w:r>
        <w:rPr>
          <w:rFonts w:hint="eastAsia"/>
          <w:sz w:val="28"/>
          <w:szCs w:val="21"/>
        </w:rPr>
        <w:t>》的规定进行估价工作，形成意见和结论，撰写本估价报告。</w:t>
      </w:r>
    </w:p>
    <w:bookmarkEnd w:id="20"/>
    <w:bookmarkEnd w:id="21"/>
    <w:bookmarkEnd w:id="22"/>
    <w:p>
      <w:pPr>
        <w:pStyle w:val="113"/>
        <w:numPr>
          <w:ilvl w:val="0"/>
          <w:numId w:val="1"/>
        </w:numPr>
        <w:spacing w:line="660" w:lineRule="exact"/>
        <w:ind w:firstLineChars="0"/>
        <w:jc w:val="center"/>
        <w:outlineLvl w:val="0"/>
        <w:rPr>
          <w:rFonts w:eastAsia="黑体"/>
          <w:sz w:val="32"/>
          <w:szCs w:val="32"/>
        </w:rPr>
      </w:pPr>
      <w:bookmarkStart w:id="23" w:name="_Toc435111907"/>
      <w:bookmarkStart w:id="24" w:name="_Toc524430658"/>
      <w:bookmarkStart w:id="25" w:name="_Toc191441877"/>
      <w:bookmarkStart w:id="26" w:name="_Toc256518814"/>
      <w:bookmarkStart w:id="27" w:name="_Toc333846306"/>
      <w:bookmarkStart w:id="28" w:name="_Toc364091972"/>
      <w:r>
        <w:rPr>
          <w:rFonts w:hint="eastAsia" w:eastAsia="黑体" w:cs="黑体"/>
          <w:sz w:val="32"/>
          <w:szCs w:val="32"/>
        </w:rPr>
        <w:t>估价假设和限制条件</w:t>
      </w:r>
      <w:bookmarkEnd w:id="23"/>
      <w:bookmarkEnd w:id="24"/>
    </w:p>
    <w:p>
      <w:pPr>
        <w:pStyle w:val="113"/>
        <w:numPr>
          <w:ilvl w:val="0"/>
          <w:numId w:val="2"/>
        </w:numPr>
        <w:spacing w:beforeLines="50" w:line="520" w:lineRule="exact"/>
        <w:ind w:left="1367" w:firstLineChars="0"/>
        <w:outlineLvl w:val="0"/>
        <w:rPr>
          <w:rFonts w:eastAsia="黑体"/>
          <w:sz w:val="32"/>
          <w:szCs w:val="32"/>
        </w:rPr>
      </w:pPr>
      <w:r>
        <w:rPr>
          <w:rFonts w:hint="eastAsia" w:ascii="长城黑体" w:eastAsia="黑体" w:cs="黑体"/>
          <w:sz w:val="28"/>
          <w:szCs w:val="28"/>
        </w:rPr>
        <w:t>本报告假设条件</w:t>
      </w:r>
    </w:p>
    <w:p>
      <w:pPr>
        <w:autoSpaceDE w:val="0"/>
        <w:autoSpaceDN w:val="0"/>
        <w:adjustRightInd w:val="0"/>
        <w:spacing w:line="520" w:lineRule="exact"/>
        <w:ind w:firstLine="560" w:firstLineChars="200"/>
        <w:rPr>
          <w:sz w:val="28"/>
          <w:szCs w:val="28"/>
        </w:rPr>
      </w:pPr>
      <w:r>
        <w:rPr>
          <w:rFonts w:hint="eastAsia"/>
          <w:sz w:val="28"/>
          <w:szCs w:val="28"/>
        </w:rPr>
        <w:t>1、一般假设</w:t>
      </w:r>
    </w:p>
    <w:p>
      <w:pPr>
        <w:pStyle w:val="113"/>
        <w:adjustRightInd w:val="0"/>
        <w:snapToGrid w:val="0"/>
        <w:spacing w:line="520" w:lineRule="exact"/>
        <w:ind w:firstLineChars="15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（1）估价对象法定用途为商业、住宅用房，</w:t>
      </w:r>
      <w:r>
        <w:rPr>
          <w:rFonts w:cs="Arial" w:asciiTheme="minorEastAsia" w:hAnsiTheme="minorEastAsia" w:eastAsiaTheme="minorEastAsia"/>
          <w:sz w:val="28"/>
          <w:szCs w:val="28"/>
        </w:rPr>
        <w:t>按</w:t>
      </w:r>
      <w:r>
        <w:rPr>
          <w:rFonts w:hint="eastAsia" w:cs="Arial" w:asciiTheme="minorEastAsia" w:hAnsiTheme="minorEastAsia" w:eastAsiaTheme="minorEastAsia"/>
          <w:sz w:val="28"/>
          <w:szCs w:val="28"/>
        </w:rPr>
        <w:t>商业、住宅用房用途</w:t>
      </w:r>
      <w:r>
        <w:rPr>
          <w:rFonts w:cs="Arial" w:asciiTheme="minorEastAsia" w:hAnsiTheme="minorEastAsia" w:eastAsiaTheme="minorEastAsia"/>
          <w:sz w:val="28"/>
          <w:szCs w:val="28"/>
        </w:rPr>
        <w:t>使用是估价结论成立的首要前提。</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asciiTheme="minorEastAsia" w:hAnsiTheme="minorEastAsia" w:eastAsiaTheme="minorEastAsia"/>
          <w:snapToGrid w:val="0"/>
          <w:kern w:val="0"/>
          <w:sz w:val="28"/>
          <w:szCs w:val="28"/>
        </w:rPr>
        <w:t>（2）估价委托人提供的估价对象权属资料为复印件，未提供原件，</w:t>
      </w:r>
      <w:r>
        <w:rPr>
          <w:rFonts w:cs="Arial" w:asciiTheme="minorEastAsia" w:hAnsiTheme="minorEastAsia" w:eastAsiaTheme="minorEastAsia"/>
          <w:sz w:val="28"/>
          <w:szCs w:val="28"/>
        </w:rPr>
        <w:t>注册房地产估价师</w:t>
      </w:r>
      <w:r>
        <w:rPr>
          <w:rFonts w:hint="eastAsia" w:cs="Arial" w:asciiTheme="minorEastAsia" w:hAnsiTheme="minorEastAsia" w:eastAsiaTheme="minorEastAsia"/>
          <w:sz w:val="28"/>
          <w:szCs w:val="28"/>
        </w:rPr>
        <w:t>在职权和能力范围内</w:t>
      </w:r>
      <w:r>
        <w:rPr>
          <w:rFonts w:cs="Arial" w:asciiTheme="minorEastAsia" w:hAnsiTheme="minorEastAsia" w:eastAsiaTheme="minorEastAsia"/>
          <w:sz w:val="28"/>
          <w:szCs w:val="28"/>
        </w:rPr>
        <w:t>对</w:t>
      </w:r>
      <w:r>
        <w:rPr>
          <w:rFonts w:hint="eastAsia" w:cs="Arial" w:asciiTheme="minorEastAsia" w:hAnsiTheme="minorEastAsia" w:eastAsiaTheme="minorEastAsia"/>
          <w:sz w:val="28"/>
          <w:szCs w:val="28"/>
        </w:rPr>
        <w:t>委托方提供的估价对象的</w:t>
      </w:r>
      <w:r>
        <w:rPr>
          <w:rFonts w:cs="Arial" w:asciiTheme="minorEastAsia" w:hAnsiTheme="minorEastAsia" w:eastAsiaTheme="minorEastAsia"/>
          <w:sz w:val="28"/>
          <w:szCs w:val="28"/>
        </w:rPr>
        <w:t>权属、用途等资料进行了</w:t>
      </w:r>
      <w:r>
        <w:rPr>
          <w:rFonts w:hint="eastAsia" w:cs="Arial" w:asciiTheme="minorEastAsia" w:hAnsiTheme="minorEastAsia" w:eastAsiaTheme="minorEastAsia"/>
          <w:sz w:val="28"/>
          <w:szCs w:val="28"/>
        </w:rPr>
        <w:t>尽职调查</w:t>
      </w:r>
      <w:r>
        <w:rPr>
          <w:rFonts w:cs="Arial" w:asciiTheme="minorEastAsia" w:hAnsiTheme="minorEastAsia" w:eastAsiaTheme="minorEastAsia"/>
          <w:sz w:val="28"/>
          <w:szCs w:val="28"/>
        </w:rPr>
        <w:t>，</w:t>
      </w:r>
      <w:r>
        <w:rPr>
          <w:rFonts w:hint="eastAsia" w:cs="Arial" w:asciiTheme="minorEastAsia" w:hAnsiTheme="minorEastAsia" w:eastAsiaTheme="minorEastAsia"/>
          <w:sz w:val="28"/>
          <w:szCs w:val="28"/>
        </w:rPr>
        <w:t>在无理由怀疑其合法性、真实性、准确性和完整性的情况下，本次估价以委托人提供的资料为依据，并</w:t>
      </w:r>
      <w:r>
        <w:rPr>
          <w:rFonts w:hint="eastAsia" w:asciiTheme="minorEastAsia" w:hAnsiTheme="minorEastAsia" w:eastAsiaTheme="minorEastAsia"/>
          <w:sz w:val="28"/>
          <w:szCs w:val="28"/>
        </w:rPr>
        <w:t>假定其提供的与估价对象有关的权属证明、其它相关资料均</w:t>
      </w:r>
      <w:r>
        <w:rPr>
          <w:rFonts w:cs="Arial" w:asciiTheme="minorEastAsia" w:hAnsiTheme="minorEastAsia" w:eastAsiaTheme="minorEastAsia"/>
          <w:sz w:val="28"/>
          <w:szCs w:val="28"/>
        </w:rPr>
        <w:t>合法、真实、准确和完整</w:t>
      </w:r>
      <w:r>
        <w:rPr>
          <w:rFonts w:hint="eastAsia" w:cs="Arial" w:asciiTheme="minorEastAsia" w:hAnsiTheme="minorEastAsia" w:eastAsiaTheme="minorEastAsia"/>
          <w:sz w:val="28"/>
          <w:szCs w:val="28"/>
        </w:rPr>
        <w:t>为前提，</w:t>
      </w:r>
      <w:r>
        <w:rPr>
          <w:rFonts w:hint="eastAsia" w:asciiTheme="minorEastAsia" w:hAnsiTheme="minorEastAsia" w:eastAsiaTheme="minorEastAsia"/>
          <w:sz w:val="28"/>
          <w:szCs w:val="28"/>
        </w:rPr>
        <w:t>如因估价委托人提供资料有误而造成评估值失实，估价机构和注册房地产估价师不承担相应责任。</w:t>
      </w:r>
    </w:p>
    <w:p>
      <w:pPr>
        <w:spacing w:line="520" w:lineRule="exact"/>
        <w:ind w:firstLine="560" w:firstLineChars="200"/>
        <w:rPr>
          <w:rFonts w:asciiTheme="minorEastAsia" w:hAnsiTheme="minorEastAsia" w:eastAsiaTheme="minorEastAsia"/>
          <w:sz w:val="28"/>
          <w:szCs w:val="28"/>
        </w:rPr>
      </w:pPr>
      <w:r>
        <w:rPr>
          <w:rFonts w:hint="eastAsia" w:cs="Arial" w:asciiTheme="minorEastAsia" w:hAnsiTheme="minorEastAsia" w:eastAsiaTheme="minorEastAsia"/>
          <w:sz w:val="28"/>
          <w:szCs w:val="28"/>
        </w:rPr>
        <w:t>（3）</w:t>
      </w:r>
      <w:r>
        <w:rPr>
          <w:rFonts w:cs="Arial" w:asciiTheme="minorEastAsia" w:hAnsiTheme="minorEastAsia" w:eastAsiaTheme="minorEastAsia"/>
          <w:sz w:val="28"/>
          <w:szCs w:val="28"/>
        </w:rPr>
        <w:t>注册房地产估价师</w:t>
      </w:r>
      <w:r>
        <w:rPr>
          <w:rFonts w:hint="eastAsia" w:cs="Arial" w:asciiTheme="minorEastAsia" w:hAnsiTheme="minorEastAsia" w:eastAsiaTheme="minorEastAsia"/>
          <w:sz w:val="28"/>
          <w:szCs w:val="28"/>
        </w:rPr>
        <w:t>并无国家认定的测绘资格，因此</w:t>
      </w:r>
      <w:r>
        <w:rPr>
          <w:rFonts w:cs="Arial" w:asciiTheme="minorEastAsia" w:hAnsiTheme="minorEastAsia" w:eastAsiaTheme="minorEastAsia"/>
          <w:sz w:val="28"/>
          <w:szCs w:val="28"/>
        </w:rPr>
        <w:t>未对房屋建筑面积进行专业测量</w:t>
      </w:r>
      <w:r>
        <w:rPr>
          <w:rFonts w:hint="eastAsia" w:cs="Arial" w:asciiTheme="minorEastAsia" w:hAnsiTheme="minorEastAsia" w:eastAsiaTheme="minorEastAsia"/>
          <w:sz w:val="28"/>
          <w:szCs w:val="28"/>
        </w:rPr>
        <w:t>。在没有理由怀疑估价对象</w:t>
      </w:r>
      <w:r>
        <w:rPr>
          <w:rFonts w:cs="Arial" w:asciiTheme="minorEastAsia" w:hAnsiTheme="minorEastAsia" w:eastAsiaTheme="minorEastAsia"/>
          <w:sz w:val="28"/>
          <w:szCs w:val="28"/>
        </w:rPr>
        <w:t>房屋建筑面积</w:t>
      </w:r>
      <w:r>
        <w:rPr>
          <w:rFonts w:hint="eastAsia" w:cs="Arial" w:asciiTheme="minorEastAsia" w:hAnsiTheme="minorEastAsia" w:eastAsiaTheme="minorEastAsia"/>
          <w:sz w:val="28"/>
          <w:szCs w:val="28"/>
        </w:rPr>
        <w:t>与《房屋所有权证》所记载面积明显不符的前提下，</w:t>
      </w:r>
      <w:r>
        <w:rPr>
          <w:rFonts w:hint="eastAsia" w:asciiTheme="minorEastAsia" w:hAnsiTheme="minorEastAsia" w:eastAsiaTheme="minorEastAsia"/>
          <w:snapToGrid w:val="0"/>
          <w:kern w:val="0"/>
          <w:sz w:val="28"/>
          <w:szCs w:val="28"/>
        </w:rPr>
        <w:t>本次评估所取估价对象的面积根据估价委托人提供的《房屋所有权证》复印件为依据。</w:t>
      </w:r>
    </w:p>
    <w:p>
      <w:pPr>
        <w:spacing w:line="520" w:lineRule="exact"/>
        <w:ind w:firstLine="560" w:firstLineChars="200"/>
        <w:rPr>
          <w:rFonts w:asciiTheme="minorEastAsia" w:hAnsiTheme="minorEastAsia" w:eastAsiaTheme="minorEastAsia"/>
          <w:snapToGrid w:val="0"/>
          <w:kern w:val="0"/>
          <w:sz w:val="28"/>
          <w:szCs w:val="28"/>
        </w:rPr>
      </w:pPr>
      <w:r>
        <w:rPr>
          <w:rFonts w:hint="eastAsia" w:cs="Arial" w:asciiTheme="minorEastAsia" w:hAnsiTheme="minorEastAsia" w:eastAsiaTheme="minorEastAsia"/>
          <w:sz w:val="28"/>
          <w:szCs w:val="28"/>
        </w:rPr>
        <w:t>（4）</w:t>
      </w:r>
      <w:r>
        <w:rPr>
          <w:rFonts w:cs="Arial" w:asciiTheme="minorEastAsia" w:hAnsiTheme="minorEastAsia" w:eastAsiaTheme="minorEastAsia"/>
          <w:sz w:val="28"/>
          <w:szCs w:val="28"/>
        </w:rPr>
        <w:t>注册房地产估价师</w:t>
      </w:r>
      <w:r>
        <w:rPr>
          <w:rFonts w:hint="eastAsia" w:cs="Arial" w:asciiTheme="minorEastAsia" w:hAnsiTheme="minorEastAsia" w:eastAsiaTheme="minorEastAsia"/>
          <w:sz w:val="28"/>
          <w:szCs w:val="28"/>
        </w:rPr>
        <w:t>于2019年11月8日</w:t>
      </w:r>
      <w:r>
        <w:rPr>
          <w:rFonts w:cs="Arial" w:asciiTheme="minorEastAsia" w:hAnsiTheme="minorEastAsia" w:eastAsiaTheme="minorEastAsia"/>
          <w:sz w:val="28"/>
          <w:szCs w:val="28"/>
        </w:rPr>
        <w:t>对估价对象</w:t>
      </w:r>
      <w:r>
        <w:rPr>
          <w:rFonts w:hint="eastAsia" w:cs="Arial" w:asciiTheme="minorEastAsia" w:hAnsiTheme="minorEastAsia" w:eastAsiaTheme="minorEastAsia"/>
          <w:sz w:val="28"/>
          <w:szCs w:val="28"/>
        </w:rPr>
        <w:t>进行了实地查勘，</w:t>
      </w:r>
      <w:r>
        <w:rPr>
          <w:rFonts w:hint="eastAsia" w:asciiTheme="minorEastAsia" w:hAnsiTheme="minorEastAsia" w:eastAsiaTheme="minorEastAsia"/>
          <w:snapToGrid w:val="0"/>
          <w:kern w:val="0"/>
          <w:sz w:val="28"/>
          <w:szCs w:val="28"/>
        </w:rPr>
        <w:t>但注册房地产估价师对估价对象的实地查勘</w:t>
      </w:r>
      <w:r>
        <w:rPr>
          <w:rFonts w:cs="Arial" w:asciiTheme="minorEastAsia" w:hAnsiTheme="minorEastAsia" w:eastAsiaTheme="minorEastAsia"/>
          <w:sz w:val="28"/>
          <w:szCs w:val="28"/>
        </w:rPr>
        <w:t>仅限</w:t>
      </w:r>
      <w:r>
        <w:rPr>
          <w:rFonts w:hint="eastAsia" w:cs="Arial" w:asciiTheme="minorEastAsia" w:hAnsiTheme="minorEastAsia" w:eastAsiaTheme="minorEastAsia"/>
          <w:sz w:val="28"/>
          <w:szCs w:val="28"/>
        </w:rPr>
        <w:t>于</w:t>
      </w:r>
      <w:r>
        <w:rPr>
          <w:rFonts w:cs="Arial" w:asciiTheme="minorEastAsia" w:hAnsiTheme="minorEastAsia" w:eastAsiaTheme="minorEastAsia"/>
          <w:sz w:val="28"/>
          <w:szCs w:val="28"/>
        </w:rPr>
        <w:t>在</w:t>
      </w:r>
      <w:r>
        <w:rPr>
          <w:rFonts w:hint="eastAsia" w:cs="Arial" w:asciiTheme="minorEastAsia" w:hAnsiTheme="minorEastAsia" w:eastAsiaTheme="minorEastAsia"/>
          <w:sz w:val="28"/>
          <w:szCs w:val="28"/>
        </w:rPr>
        <w:t>实地查勘时</w:t>
      </w:r>
      <w:r>
        <w:rPr>
          <w:rFonts w:cs="Arial" w:asciiTheme="minorEastAsia" w:hAnsiTheme="minorEastAsia" w:eastAsiaTheme="minorEastAsia"/>
          <w:sz w:val="28"/>
          <w:szCs w:val="28"/>
        </w:rPr>
        <w:t>可观察到的估价对象</w:t>
      </w:r>
      <w:r>
        <w:rPr>
          <w:rFonts w:hint="eastAsia" w:asciiTheme="minorEastAsia" w:hAnsiTheme="minorEastAsia" w:eastAsiaTheme="minorEastAsia"/>
          <w:snapToGrid w:val="0"/>
          <w:kern w:val="0"/>
          <w:sz w:val="28"/>
          <w:szCs w:val="28"/>
        </w:rPr>
        <w:t>外观和使用状况、内部布局、装修及设备情况，</w:t>
      </w:r>
      <w:r>
        <w:rPr>
          <w:rFonts w:cs="Arial" w:asciiTheme="minorEastAsia" w:hAnsiTheme="minorEastAsia" w:eastAsiaTheme="minorEastAsia"/>
          <w:sz w:val="28"/>
          <w:szCs w:val="28"/>
        </w:rPr>
        <w:t>对于被遮盖和不能直接观察的部分，受专业能力范围限制，未做建筑物基础、结构及建筑质量等方面的专业检测</w:t>
      </w:r>
      <w:r>
        <w:rPr>
          <w:rFonts w:hint="eastAsia" w:cs="Arial" w:asciiTheme="minorEastAsia" w:hAnsiTheme="minorEastAsia" w:eastAsiaTheme="minorEastAsia"/>
          <w:sz w:val="28"/>
          <w:szCs w:val="28"/>
        </w:rPr>
        <w:t>和实验</w:t>
      </w:r>
      <w:r>
        <w:rPr>
          <w:rFonts w:cs="Arial" w:asciiTheme="minorEastAsia" w:hAnsiTheme="minorEastAsia" w:eastAsiaTheme="minorEastAsia"/>
          <w:sz w:val="28"/>
          <w:szCs w:val="28"/>
        </w:rPr>
        <w:t>，</w:t>
      </w:r>
      <w:r>
        <w:rPr>
          <w:rFonts w:hint="eastAsia" w:asciiTheme="minorEastAsia" w:hAnsiTheme="minorEastAsia" w:eastAsiaTheme="minorEastAsia"/>
          <w:snapToGrid w:val="0"/>
          <w:kern w:val="0"/>
          <w:sz w:val="28"/>
          <w:szCs w:val="28"/>
        </w:rPr>
        <w:t>因此无法确认其内部有无缺损、是否存在结构性损坏。</w:t>
      </w:r>
      <w:r>
        <w:rPr>
          <w:rFonts w:cs="Arial" w:asciiTheme="minorEastAsia" w:hAnsiTheme="minorEastAsia" w:eastAsiaTheme="minorEastAsia"/>
          <w:sz w:val="28"/>
          <w:szCs w:val="28"/>
        </w:rPr>
        <w:t>在无理由怀疑估价对象存在安全隐患的情况下</w:t>
      </w:r>
      <w:r>
        <w:rPr>
          <w:rFonts w:hint="eastAsia" w:cs="Arial" w:asciiTheme="minorEastAsia" w:hAnsiTheme="minorEastAsia" w:eastAsiaTheme="minorEastAsia"/>
          <w:sz w:val="28"/>
          <w:szCs w:val="28"/>
        </w:rPr>
        <w:t>，</w:t>
      </w:r>
      <w:r>
        <w:rPr>
          <w:rFonts w:hint="eastAsia" w:asciiTheme="minorEastAsia" w:hAnsiTheme="minorEastAsia" w:eastAsiaTheme="minorEastAsia"/>
          <w:snapToGrid w:val="0"/>
          <w:kern w:val="0"/>
          <w:sz w:val="28"/>
          <w:szCs w:val="28"/>
        </w:rPr>
        <w:t>对被遮盖、未暴露及难以接触到的建筑物基础、房屋结构及其内部设施、设备，本报告假设其无重大质量问题，符合国家有关技术、质量、验收规范，且符合国家有关安全使用标准。</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（5）</w:t>
      </w:r>
      <w:r>
        <w:rPr>
          <w:rFonts w:cs="Arial" w:asciiTheme="minorEastAsia" w:hAnsiTheme="minorEastAsia" w:eastAsiaTheme="minorEastAsia"/>
          <w:sz w:val="28"/>
          <w:szCs w:val="28"/>
        </w:rPr>
        <w:t>注册房地产估价师对影响估价对象价值的估价对象所在地块的水文地质及土壤状况、是否存在有害物质或环境污染等给予了关注，受专业能力范围限制，未进行相关的专业鉴定、检测，在无理由怀疑其存在重大问题和瑕疵的情况下，假定不存在对房地产</w:t>
      </w:r>
      <w:r>
        <w:rPr>
          <w:rFonts w:hint="eastAsia" w:cs="Arial" w:asciiTheme="minorEastAsia" w:hAnsiTheme="minorEastAsia" w:eastAsiaTheme="minorEastAsia"/>
          <w:sz w:val="28"/>
          <w:szCs w:val="28"/>
        </w:rPr>
        <w:t>价值</w:t>
      </w:r>
      <w:r>
        <w:rPr>
          <w:rFonts w:cs="Arial" w:asciiTheme="minorEastAsia" w:hAnsiTheme="minorEastAsia" w:eastAsiaTheme="minorEastAsia"/>
          <w:sz w:val="28"/>
          <w:szCs w:val="28"/>
        </w:rPr>
        <w:t>有重大不利影响的水文地质及土壤状况、有害物质或环境污染。</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（6）假定</w:t>
      </w:r>
      <w:r>
        <w:rPr>
          <w:rFonts w:cs="Arial" w:asciiTheme="minorEastAsia" w:hAnsiTheme="minorEastAsia" w:eastAsiaTheme="minorEastAsia"/>
          <w:sz w:val="28"/>
          <w:szCs w:val="28"/>
        </w:rPr>
        <w:t>估价对象在价值时点的房地产市场为公开、平等、</w:t>
      </w:r>
      <w:r>
        <w:rPr>
          <w:rFonts w:hint="eastAsia" w:cs="Arial" w:asciiTheme="minorEastAsia" w:hAnsiTheme="minorEastAsia" w:eastAsiaTheme="minorEastAsia"/>
          <w:sz w:val="28"/>
          <w:szCs w:val="28"/>
        </w:rPr>
        <w:t>自愿、</w:t>
      </w:r>
      <w:r>
        <w:rPr>
          <w:rFonts w:cs="Arial" w:asciiTheme="minorEastAsia" w:hAnsiTheme="minorEastAsia" w:eastAsiaTheme="minorEastAsia"/>
          <w:sz w:val="28"/>
          <w:szCs w:val="28"/>
        </w:rPr>
        <w:t>发达与完善的竞争性交易市场，主要房地产法规和政策稳定、宏观调控基本稳健且具有连续性、市场供应关系和市场结构保持稳定，不发生重大变化或实质性改变，即能满足以下条件：</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1）</w:t>
      </w:r>
      <w:r>
        <w:rPr>
          <w:rFonts w:cs="Arial" w:asciiTheme="minorEastAsia" w:hAnsiTheme="minorEastAsia" w:eastAsiaTheme="minorEastAsia"/>
          <w:sz w:val="28"/>
          <w:szCs w:val="28"/>
        </w:rPr>
        <w:t>交易双方自愿的、理智的、非强制性或不受限制的在市场中进行交易；</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2</w:t>
      </w:r>
      <w:r>
        <w:rPr>
          <w:rFonts w:cs="Arial" w:asciiTheme="minorEastAsia" w:hAnsiTheme="minorEastAsia" w:eastAsiaTheme="minorEastAsia"/>
          <w:sz w:val="28"/>
          <w:szCs w:val="28"/>
        </w:rPr>
        <w:t>)交易双方地位平等，按利己动机进行交易；</w:t>
      </w:r>
    </w:p>
    <w:p>
      <w:pPr>
        <w:adjustRightInd w:val="0"/>
        <w:snapToGrid w:val="0"/>
        <w:spacing w:line="520" w:lineRule="exact"/>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3)交易双方精明、谨慎行事，都能获取足够市场信息，充分了解交易对象、知晓市场行情；</w:t>
      </w:r>
    </w:p>
    <w:p>
      <w:pPr>
        <w:adjustRightInd w:val="0"/>
        <w:snapToGrid w:val="0"/>
        <w:spacing w:line="520" w:lineRule="exact"/>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4)交易双方有较充裕的时间进行交易；</w:t>
      </w:r>
    </w:p>
    <w:p>
      <w:pPr>
        <w:adjustRightInd w:val="0"/>
        <w:snapToGrid w:val="0"/>
        <w:spacing w:line="520" w:lineRule="exact"/>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5)不存在买者因特殊兴趣而给予附加出价。</w:t>
      </w:r>
    </w:p>
    <w:p>
      <w:pPr>
        <w:adjustRightInd w:val="0"/>
        <w:snapToGrid w:val="0"/>
        <w:spacing w:line="520" w:lineRule="exact"/>
        <w:ind w:firstLine="420" w:firstLineChars="15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（7）</w:t>
      </w:r>
      <w:r>
        <w:rPr>
          <w:rFonts w:cs="Arial" w:asciiTheme="minorEastAsia" w:hAnsiTheme="minorEastAsia" w:eastAsiaTheme="minorEastAsia"/>
          <w:sz w:val="28"/>
          <w:szCs w:val="28"/>
        </w:rPr>
        <w:t>本估价结果是以估价对象可享有相应的公共配套设施、水、电、通讯及道路交通等使用的权益为前提。</w:t>
      </w:r>
    </w:p>
    <w:p>
      <w:pPr>
        <w:autoSpaceDE w:val="0"/>
        <w:autoSpaceDN w:val="0"/>
        <w:adjustRightInd w:val="0"/>
        <w:spacing w:line="520" w:lineRule="exact"/>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（8）</w:t>
      </w:r>
      <w:r>
        <w:rPr>
          <w:rFonts w:cs="Arial" w:asciiTheme="minorEastAsia" w:hAnsiTheme="minorEastAsia" w:eastAsiaTheme="minorEastAsia"/>
          <w:sz w:val="28"/>
          <w:szCs w:val="28"/>
        </w:rPr>
        <w:t>本次估价中，注册房地产估价师未考虑国家宏观经济政策发生变化以及遇有自然力和其他不可抗力对估价结果的影响。</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（9）估价结果以估价对象产权明晰，手续齐全，可在公开市场上自由转让为前提。</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（10）任何有关估价对象的运作方式、程序均符合国家、地方的有关法律、法规。</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napToGrid w:val="0"/>
          <w:kern w:val="0"/>
          <w:sz w:val="28"/>
          <w:szCs w:val="28"/>
        </w:rPr>
        <w:t>（11）本报告以估价对象在价值时点时的状</w:t>
      </w:r>
      <w:r>
        <w:rPr>
          <w:rFonts w:hint="eastAsia" w:asciiTheme="minorEastAsia" w:hAnsiTheme="minorEastAsia" w:eastAsiaTheme="minorEastAsia"/>
          <w:sz w:val="28"/>
          <w:szCs w:val="28"/>
        </w:rPr>
        <w:t>况为依据进行的，且以该状况在估价报告使用期限内无重大变化为前提。</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（12）本次估价未考虑可能与估价对象产权人有关的债权及债务情况对估价结果的影响。估价对象应缴纳的各种税费已按国家、省、市法律、法规、规章缴纳完毕，并取得相应的产权依据和其它法律保护依据。</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z w:val="28"/>
          <w:szCs w:val="28"/>
        </w:rPr>
        <w:t>（13）本报告估价结果没有考虑快速变现、交易税费负担方式、权利转移所可能产生的相关费用、税金以及评估费、拍卖费、诉讼费、律师费等处置费用对估价对象房地产价值的影响，</w:t>
      </w:r>
      <w:r>
        <w:rPr>
          <w:rFonts w:hint="eastAsia" w:asciiTheme="minorEastAsia" w:hAnsiTheme="minorEastAsia" w:eastAsiaTheme="minorEastAsia"/>
          <w:snapToGrid w:val="0"/>
          <w:kern w:val="0"/>
          <w:sz w:val="28"/>
          <w:szCs w:val="28"/>
        </w:rPr>
        <w:t>特提请报告使用人注意。</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z w:val="28"/>
          <w:szCs w:val="28"/>
        </w:rPr>
        <w:t>2、未定事项假设</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无未定事项假设。</w:t>
      </w:r>
    </w:p>
    <w:p>
      <w:pPr>
        <w:spacing w:line="520" w:lineRule="exact"/>
        <w:ind w:firstLine="560" w:firstLineChars="20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3、</w:t>
      </w:r>
      <w:r>
        <w:rPr>
          <w:rFonts w:hint="eastAsia" w:asciiTheme="minorEastAsia" w:hAnsiTheme="minorEastAsia" w:eastAsiaTheme="minorEastAsia"/>
          <w:sz w:val="28"/>
          <w:szCs w:val="28"/>
        </w:rPr>
        <w:t>背离事实假设</w:t>
      </w:r>
    </w:p>
    <w:p>
      <w:pPr>
        <w:pStyle w:val="113"/>
        <w:spacing w:line="520" w:lineRule="exact"/>
        <w:ind w:left="140" w:firstLineChars="15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1）据估价委托人提供的资料及相关当事人介绍，截止价值时点，估价对象已设定抵押、已查封。鉴于本次估价目的，本次评估未考虑估价对象已设定抵押及已查封对估价对象价值的影响。特提请报告使用人注意。</w:t>
      </w:r>
    </w:p>
    <w:p>
      <w:pPr>
        <w:pStyle w:val="113"/>
        <w:spacing w:line="520" w:lineRule="exact"/>
        <w:ind w:left="140" w:firstLineChars="150"/>
        <w:rPr>
          <w:rFonts w:asciiTheme="minorEastAsia" w:hAnsiTheme="minorEastAsia" w:eastAsiaTheme="minorEastAsia"/>
          <w:sz w:val="28"/>
          <w:szCs w:val="28"/>
        </w:rPr>
      </w:pPr>
      <w:r>
        <w:rPr>
          <w:rFonts w:hint="eastAsia" w:asciiTheme="minorEastAsia" w:hAnsiTheme="minorEastAsia" w:eastAsiaTheme="minorEastAsia"/>
          <w:sz w:val="28"/>
          <w:szCs w:val="28"/>
        </w:rPr>
        <w:t>4、不相一致假设</w:t>
      </w:r>
    </w:p>
    <w:p>
      <w:pPr>
        <w:pStyle w:val="113"/>
        <w:spacing w:line="520" w:lineRule="exact"/>
        <w:ind w:left="140" w:firstLineChars="15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val="zh-CN"/>
        </w:rPr>
        <w:t>（1）估价对象2-6《眉山市彭山区房地产服务中心房屋信息摘要》复印件记载，其分别坐落</w:t>
      </w:r>
      <w:r>
        <w:rPr>
          <w:rFonts w:cs="宋体" w:asciiTheme="minorEastAsia" w:hAnsiTheme="minorEastAsia" w:eastAsiaTheme="minorEastAsia"/>
          <w:sz w:val="28"/>
          <w:szCs w:val="28"/>
        </w:rPr>
        <w:t>眉山市彭山区</w:t>
      </w:r>
      <w:r>
        <w:rPr>
          <w:rFonts w:hint="eastAsia" w:cs="宋体" w:asciiTheme="minorEastAsia" w:hAnsiTheme="minorEastAsia" w:eastAsiaTheme="minorEastAsia"/>
          <w:sz w:val="28"/>
          <w:szCs w:val="28"/>
          <w:lang w:val="zh-CN"/>
        </w:rPr>
        <w:t>青龙镇下马路11、13号1、2、3、4层，以及下马路180号1层。经估价委托人代表、申请人代表及被申请人向估价人员现场查勘指认的实际查勘门牌号为</w:t>
      </w:r>
      <w:r>
        <w:rPr>
          <w:rFonts w:cs="宋体" w:asciiTheme="minorEastAsia" w:hAnsiTheme="minorEastAsia" w:eastAsiaTheme="minorEastAsia"/>
          <w:sz w:val="28"/>
          <w:szCs w:val="28"/>
        </w:rPr>
        <w:t>眉山市彭山区青龙镇</w:t>
      </w:r>
      <w:r>
        <w:rPr>
          <w:rFonts w:hint="eastAsia" w:cs="宋体" w:asciiTheme="minorEastAsia" w:hAnsiTheme="minorEastAsia" w:eastAsiaTheme="minorEastAsia"/>
          <w:sz w:val="28"/>
          <w:szCs w:val="28"/>
        </w:rPr>
        <w:t>青同路9、11、13号，青同路1、3、5、7号及</w:t>
      </w:r>
      <w:r>
        <w:rPr>
          <w:rFonts w:cs="宋体" w:asciiTheme="minorEastAsia" w:hAnsiTheme="minorEastAsia" w:eastAsiaTheme="minorEastAsia"/>
          <w:sz w:val="28"/>
          <w:szCs w:val="28"/>
        </w:rPr>
        <w:t>下马路</w:t>
      </w:r>
      <w:r>
        <w:rPr>
          <w:rFonts w:hint="eastAsia" w:cs="宋体" w:asciiTheme="minorEastAsia" w:hAnsiTheme="minorEastAsia" w:eastAsiaTheme="minorEastAsia"/>
          <w:sz w:val="28"/>
          <w:szCs w:val="28"/>
        </w:rPr>
        <w:t>130、132号</w:t>
      </w:r>
      <w:r>
        <w:rPr>
          <w:rFonts w:hint="eastAsia" w:cs="宋体" w:asciiTheme="minorEastAsia" w:hAnsiTheme="minorEastAsia" w:eastAsiaTheme="minorEastAsia"/>
          <w:sz w:val="28"/>
          <w:szCs w:val="28"/>
          <w:lang w:val="zh-CN"/>
        </w:rPr>
        <w:t>。本次估价以上述登记地址与实地查勘</w:t>
      </w:r>
      <w:r>
        <w:rPr>
          <w:rFonts w:hint="eastAsia" w:cs="宋体" w:asciiTheme="minorEastAsia" w:hAnsiTheme="minorEastAsia" w:eastAsiaTheme="minorEastAsia"/>
          <w:sz w:val="28"/>
          <w:szCs w:val="28"/>
        </w:rPr>
        <w:t>地址所对应的为同一房屋为假设前提。</w:t>
      </w:r>
    </w:p>
    <w:p>
      <w:pPr>
        <w:pStyle w:val="113"/>
        <w:spacing w:line="520" w:lineRule="exact"/>
        <w:ind w:left="140" w:firstLineChars="150"/>
        <w:jc w:val="left"/>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rPr>
        <w:t>（2）</w:t>
      </w:r>
      <w:r>
        <w:rPr>
          <w:rFonts w:hint="eastAsia" w:cs="宋体" w:asciiTheme="minorEastAsia" w:hAnsiTheme="minorEastAsia" w:eastAsiaTheme="minorEastAsia"/>
          <w:sz w:val="28"/>
          <w:szCs w:val="28"/>
          <w:lang w:val="zh-CN"/>
        </w:rPr>
        <w:t>据《眉山市彭山区房地产服务中心房屋信息摘要》复印件记载，估价对象1坐落</w:t>
      </w:r>
      <w:r>
        <w:rPr>
          <w:rFonts w:cs="宋体" w:asciiTheme="minorEastAsia" w:hAnsiTheme="minorEastAsia" w:eastAsiaTheme="minorEastAsia"/>
          <w:sz w:val="28"/>
          <w:szCs w:val="28"/>
        </w:rPr>
        <w:t>眉山市彭山区</w:t>
      </w:r>
      <w:r>
        <w:rPr>
          <w:rFonts w:hint="eastAsia" w:cs="宋体" w:asciiTheme="minorEastAsia" w:hAnsiTheme="minorEastAsia" w:eastAsiaTheme="minorEastAsia"/>
          <w:sz w:val="28"/>
          <w:szCs w:val="28"/>
          <w:lang w:val="zh-CN"/>
        </w:rPr>
        <w:t>青龙镇望江路42号，彭国用（1998）字第0287号《国有土地使用证》登记土地使用权座落彭山县青龙镇；估价对象2-6坐落下马路11、13号，以及下马路180号，彭国用（2005）第02936号《国有土地使用证》登记土地使用权座落彭山县青龙镇下马路。上述房屋坐落与其占用的土地座落登记不一致，本次估价以估价对象房屋坐落与其占用的土地座落一致为假设前提。</w:t>
      </w:r>
    </w:p>
    <w:p>
      <w:pPr>
        <w:pStyle w:val="113"/>
        <w:spacing w:line="520" w:lineRule="exact"/>
        <w:ind w:left="140" w:firstLineChars="15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val="zh-CN"/>
        </w:rPr>
        <w:t>（3）</w:t>
      </w:r>
      <w:r>
        <w:rPr>
          <w:rFonts w:hint="eastAsia" w:cs="宋体" w:asciiTheme="minorEastAsia" w:hAnsiTheme="minorEastAsia" w:eastAsiaTheme="minorEastAsia"/>
          <w:b/>
          <w:sz w:val="28"/>
          <w:szCs w:val="28"/>
          <w:lang w:val="zh-CN"/>
        </w:rPr>
        <w:t>据《眉山市彭山区房地产服务中心房屋信息摘要》复印件记载，估价对象6为1层砖木结构的其它用房。经估价委托人代表、申请人代表及被申请人向估价人员现场查勘指认，</w:t>
      </w:r>
      <w:r>
        <w:rPr>
          <w:rFonts w:cs="宋体" w:asciiTheme="minorEastAsia" w:hAnsiTheme="minorEastAsia" w:eastAsiaTheme="minorEastAsia"/>
          <w:b/>
          <w:sz w:val="28"/>
          <w:szCs w:val="28"/>
        </w:rPr>
        <w:t>未见该</w:t>
      </w:r>
      <w:r>
        <w:rPr>
          <w:rFonts w:hint="eastAsia" w:cs="宋体" w:asciiTheme="minorEastAsia" w:hAnsiTheme="minorEastAsia" w:eastAsiaTheme="minorEastAsia"/>
          <w:b/>
          <w:sz w:val="28"/>
          <w:szCs w:val="28"/>
        </w:rPr>
        <w:t>砖木结构</w:t>
      </w:r>
      <w:r>
        <w:rPr>
          <w:rFonts w:cs="宋体" w:asciiTheme="minorEastAsia" w:hAnsiTheme="minorEastAsia" w:eastAsiaTheme="minorEastAsia"/>
          <w:b/>
          <w:sz w:val="28"/>
          <w:szCs w:val="28"/>
        </w:rPr>
        <w:t>建筑物</w:t>
      </w:r>
      <w:r>
        <w:rPr>
          <w:rFonts w:hint="eastAsia" w:cs="宋体" w:asciiTheme="minorEastAsia" w:hAnsiTheme="minorEastAsia" w:eastAsiaTheme="minorEastAsia"/>
          <w:b/>
          <w:sz w:val="28"/>
          <w:szCs w:val="28"/>
        </w:rPr>
        <w:t>。该建筑物所占用土地使用权原址上现有</w:t>
      </w:r>
      <w:r>
        <w:rPr>
          <w:rFonts w:cs="宋体" w:asciiTheme="minorEastAsia" w:hAnsiTheme="minorEastAsia" w:eastAsiaTheme="minorEastAsia"/>
          <w:b/>
          <w:sz w:val="28"/>
          <w:szCs w:val="28"/>
        </w:rPr>
        <w:t>与</w:t>
      </w:r>
      <w:r>
        <w:rPr>
          <w:rFonts w:hint="eastAsia" w:cs="宋体" w:asciiTheme="minorEastAsia" w:hAnsiTheme="minorEastAsia" w:eastAsiaTheme="minorEastAsia"/>
          <w:b/>
          <w:sz w:val="28"/>
          <w:szCs w:val="28"/>
        </w:rPr>
        <w:t>估价对象2-5同为一栋且相连接的三层框架结构建筑物。因估价对象6登记的房屋自然状况与实物状况不一致，本次评估假设该原建筑物已不存在。</w:t>
      </w:r>
    </w:p>
    <w:p>
      <w:pPr>
        <w:pStyle w:val="113"/>
        <w:spacing w:line="520" w:lineRule="exact"/>
        <w:ind w:left="140" w:firstLineChars="150"/>
        <w:jc w:val="left"/>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5、依据不足假设</w:t>
      </w:r>
    </w:p>
    <w:p>
      <w:pPr>
        <w:pStyle w:val="113"/>
        <w:spacing w:line="520" w:lineRule="exact"/>
        <w:ind w:left="140" w:firstLineChars="15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1）注册房地产估价师进行了调查但未调查到估价对象是否存在欠缴的税费、物业费、水电气费等，基于本次估价目的和委托人要求，本次评估结果为估价对象的市场价值，假设估价对象不存在欠缴的税费、物业费、水电气费等，未考虑其可能存在欠缴的税费、物业费、水电气费等情况及金额对估价结果的影响。</w:t>
      </w:r>
    </w:p>
    <w:p>
      <w:pPr>
        <w:pStyle w:val="113"/>
        <w:spacing w:line="520" w:lineRule="exact"/>
        <w:ind w:left="140" w:firstLineChars="15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 xml:space="preserve">（2）注册房地产估价师进行了调查但未调查到估价对象是否存在用益物权，基于本次估价目的和委托人要求，本次估价假设估价对象不存在用益物权，未考虑可能存在的用益物权对估价结果的影响。       </w:t>
      </w:r>
    </w:p>
    <w:p>
      <w:pPr>
        <w:pStyle w:val="113"/>
        <w:spacing w:line="520" w:lineRule="exact"/>
        <w:ind w:left="140" w:firstLineChars="15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3）估价委托人未能提供估价对象《房屋所有权证》及相关权属资料原件，估价师进行了相关的尽职调查，限于估价师职能权限、专业能力范围，仍未能获取相关材料，本次评估以估价委托人提供的估价对象权属资料复印件作为产权资料，且以估价对象不存在权属争议为假设前提。</w:t>
      </w:r>
    </w:p>
    <w:p>
      <w:pPr>
        <w:pStyle w:val="113"/>
        <w:spacing w:line="520" w:lineRule="exact"/>
        <w:ind w:left="140" w:firstLineChars="150"/>
        <w:rPr>
          <w:rFonts w:asciiTheme="minorEastAsia" w:hAnsiTheme="minorEastAsia" w:eastAsiaTheme="minorEastAsia"/>
          <w:snapToGrid w:val="0"/>
          <w:kern w:val="0"/>
          <w:sz w:val="28"/>
          <w:szCs w:val="28"/>
        </w:rPr>
      </w:pPr>
      <w:r>
        <w:rPr>
          <w:rFonts w:hint="eastAsia" w:asciiTheme="minorEastAsia" w:hAnsiTheme="minorEastAsia" w:eastAsiaTheme="minorEastAsia"/>
          <w:snapToGrid w:val="0"/>
          <w:kern w:val="0"/>
          <w:sz w:val="28"/>
          <w:szCs w:val="28"/>
        </w:rPr>
        <w:t>（4）估价对象6所占用土地使用权原址上的现有三层框架结构房地产，假设其在权益、用途、所在楼层与估价对象2-4相同的前提下，其单价与估价对象2-4相同。</w:t>
      </w:r>
    </w:p>
    <w:p>
      <w:pPr>
        <w:adjustRightInd w:val="0"/>
        <w:snapToGrid w:val="0"/>
        <w:spacing w:line="520" w:lineRule="exact"/>
        <w:ind w:firstLine="560" w:firstLineChars="200"/>
        <w:rPr>
          <w:rFonts w:cs="Arial" w:asciiTheme="minorEastAsia" w:hAnsiTheme="minorEastAsia" w:eastAsiaTheme="minorEastAsia"/>
          <w:sz w:val="28"/>
          <w:szCs w:val="28"/>
        </w:rPr>
      </w:pPr>
      <w:r>
        <w:rPr>
          <w:rFonts w:hint="eastAsia" w:ascii="黑体" w:eastAsia="黑体" w:cs="黑体"/>
          <w:sz w:val="28"/>
          <w:szCs w:val="28"/>
        </w:rPr>
        <w:t>（二）估价报告使用限制</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cs="宋体" w:asciiTheme="minorEastAsia" w:hAnsiTheme="minorEastAsia" w:eastAsiaTheme="minorEastAsia"/>
          <w:sz w:val="28"/>
          <w:szCs w:val="28"/>
          <w:lang w:val="zh-CN"/>
        </w:rPr>
        <w:t>本报告仅供估价委托人基于本报告估价目的使用</w:t>
      </w:r>
      <w:r>
        <w:rPr>
          <w:rFonts w:hint="eastAsia" w:asciiTheme="minorEastAsia" w:hAnsiTheme="minorEastAsia" w:eastAsiaTheme="minorEastAsia"/>
          <w:bCs/>
          <w:sz w:val="28"/>
          <w:szCs w:val="28"/>
        </w:rPr>
        <w:t>，不作其他估价目的之用。若超出上述范围使用本估价报告，我公司不承担任何责任。</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本估价报告仅供委托人、评估委托合同中约定的其他估价报告使用人和法律、行政法规明确规定的估价报告使用人使用；除此之外，其他任何机构和个人不能成为本估价报告的使用人。</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本报告必须完整使用方为有效，对仅使用本报告中部分内容而导致可能的损失，本估价机构不承担责任。</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委托人或者估价报告使用人应当按照法律、行政法规规定和本估价报告报告载明的使用范围使用本估价报告；委托人或者估价估报告使用人违反前述规定使用本估价报告的，本估价机构、估价师及其他相关人员不承担责任。</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asciiTheme="minorEastAsia" w:hAnsiTheme="minorEastAsia" w:eastAsiaTheme="minorEastAsia"/>
          <w:bCs/>
          <w:sz w:val="28"/>
          <w:szCs w:val="28"/>
        </w:rPr>
        <w:t>本估价报告分为“估价结果报告”和“估价技术报告”两部分。“估价结果报告”提供给估价委托人，“估价技术报告”根据有关规定在需要时提供给房地产估价相关主管部门</w:t>
      </w:r>
      <w:r>
        <w:rPr>
          <w:rFonts w:hint="eastAsia" w:asciiTheme="minorEastAsia" w:hAnsiTheme="minorEastAsia" w:eastAsiaTheme="minorEastAsia"/>
          <w:bCs/>
          <w:sz w:val="28"/>
          <w:szCs w:val="28"/>
        </w:rPr>
        <w:t>，且仅供其审核</w:t>
      </w:r>
      <w:r>
        <w:rPr>
          <w:rFonts w:asciiTheme="minorEastAsia" w:hAnsiTheme="minorEastAsia" w:eastAsiaTheme="minorEastAsia"/>
          <w:bCs/>
          <w:sz w:val="28"/>
          <w:szCs w:val="28"/>
        </w:rPr>
        <w:t>使用</w:t>
      </w:r>
      <w:r>
        <w:rPr>
          <w:rFonts w:hint="eastAsia" w:asciiTheme="minorEastAsia" w:hAnsiTheme="minorEastAsia" w:eastAsiaTheme="minorEastAsia"/>
          <w:bCs/>
          <w:sz w:val="28"/>
          <w:szCs w:val="28"/>
        </w:rPr>
        <w:t>。</w:t>
      </w:r>
    </w:p>
    <w:p>
      <w:pPr>
        <w:numPr>
          <w:ilvl w:val="0"/>
          <w:numId w:val="3"/>
        </w:numPr>
        <w:spacing w:line="520" w:lineRule="exact"/>
        <w:ind w:left="0" w:firstLine="848" w:firstLineChars="303"/>
        <w:rPr>
          <w:rFonts w:asciiTheme="minorEastAsia" w:hAnsiTheme="minorEastAsia" w:eastAsiaTheme="minorEastAsia"/>
          <w:sz w:val="28"/>
          <w:szCs w:val="28"/>
        </w:rPr>
      </w:pPr>
      <w:r>
        <w:rPr>
          <w:rFonts w:asciiTheme="minorEastAsia" w:hAnsiTheme="minorEastAsia" w:eastAsiaTheme="minorEastAsia"/>
          <w:bCs/>
          <w:sz w:val="28"/>
          <w:szCs w:val="28"/>
        </w:rPr>
        <w:t>本报告的使用有效期为自估价报告出具之日起壹年</w:t>
      </w:r>
      <w:r>
        <w:rPr>
          <w:rFonts w:hint="eastAsia" w:asciiTheme="minorEastAsia" w:hAnsiTheme="minorEastAsia" w:eastAsiaTheme="minorEastAsia"/>
          <w:bCs/>
          <w:sz w:val="28"/>
          <w:szCs w:val="28"/>
        </w:rPr>
        <w:t>，</w:t>
      </w:r>
      <w:r>
        <w:rPr>
          <w:rFonts w:asciiTheme="minorEastAsia" w:hAnsiTheme="minorEastAsia" w:eastAsiaTheme="minorEastAsia"/>
          <w:bCs/>
          <w:sz w:val="28"/>
          <w:szCs w:val="28"/>
        </w:rPr>
        <w:t>即</w:t>
      </w:r>
      <w:r>
        <w:rPr>
          <w:rFonts w:hint="eastAsia" w:asciiTheme="minorEastAsia" w:hAnsiTheme="minorEastAsia" w:eastAsiaTheme="minorEastAsia"/>
          <w:bCs/>
          <w:sz w:val="28"/>
          <w:szCs w:val="28"/>
        </w:rPr>
        <w:t>2020年4月2日</w:t>
      </w:r>
      <w:r>
        <w:rPr>
          <w:rFonts w:asciiTheme="minorEastAsia" w:hAnsiTheme="minorEastAsia" w:eastAsiaTheme="minorEastAsia"/>
          <w:bCs/>
          <w:sz w:val="28"/>
          <w:szCs w:val="28"/>
        </w:rPr>
        <w:t>起至</w:t>
      </w:r>
      <w:r>
        <w:rPr>
          <w:rFonts w:hint="eastAsia" w:asciiTheme="minorEastAsia" w:hAnsiTheme="minorEastAsia" w:eastAsiaTheme="minorEastAsia"/>
          <w:bCs/>
          <w:sz w:val="28"/>
          <w:szCs w:val="28"/>
        </w:rPr>
        <w:t>2021年4月1日</w:t>
      </w:r>
      <w:r>
        <w:rPr>
          <w:rFonts w:asciiTheme="minorEastAsia" w:hAnsiTheme="minorEastAsia" w:eastAsiaTheme="minorEastAsia"/>
          <w:bCs/>
          <w:sz w:val="28"/>
          <w:szCs w:val="28"/>
        </w:rPr>
        <w:t>止。</w:t>
      </w:r>
      <w:r>
        <w:rPr>
          <w:rFonts w:hint="eastAsia" w:asciiTheme="minorEastAsia" w:hAnsiTheme="minorEastAsia" w:eastAsiaTheme="minorEastAsia"/>
          <w:bCs/>
          <w:sz w:val="28"/>
          <w:szCs w:val="28"/>
        </w:rPr>
        <w:t>超过报告使</w:t>
      </w:r>
      <w:r>
        <w:rPr>
          <w:rFonts w:hint="eastAsia" w:asciiTheme="minorEastAsia" w:hAnsiTheme="minorEastAsia" w:eastAsiaTheme="minorEastAsia"/>
          <w:sz w:val="28"/>
          <w:szCs w:val="28"/>
        </w:rPr>
        <w:t>用期限使用本报告的，相关责任由报告使用者承担。若报告使用期限内，房地产市场、建筑市场或估价对象自身状况发生重大变化，应重新委托估价机构另行评估。</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未经本估价机构书面同意，本报告的全部或任何一部分均不得向估价委托人、报告使用者、报告审查部门之外的单位和个人提供，也不得以任何形式公开发表，</w:t>
      </w:r>
      <w:r>
        <w:rPr>
          <w:rFonts w:asciiTheme="minorEastAsia" w:hAnsiTheme="minorEastAsia" w:eastAsiaTheme="minorEastAsia"/>
          <w:bCs/>
          <w:sz w:val="28"/>
          <w:szCs w:val="28"/>
        </w:rPr>
        <w:t>任何单位和个人不得擅自修改、肢解本报告，对委托估价人或权利人等不当引用估价结果于其他经济行为而造成的后果，估价机构及签字注册房地产估价师不承担任何法律责任。</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本估价报告需经本公司盖章及至少两名注册房地产估价师签名后有效。</w:t>
      </w:r>
    </w:p>
    <w:p>
      <w:pPr>
        <w:numPr>
          <w:ilvl w:val="0"/>
          <w:numId w:val="3"/>
        </w:numPr>
        <w:spacing w:line="520" w:lineRule="exact"/>
        <w:ind w:left="0" w:firstLine="848" w:firstLineChars="303"/>
        <w:rPr>
          <w:rFonts w:cs="Arial" w:asciiTheme="minorEastAsia" w:hAnsiTheme="minorEastAsia" w:eastAsiaTheme="minorEastAsia"/>
          <w:sz w:val="28"/>
          <w:szCs w:val="28"/>
        </w:rPr>
      </w:pPr>
      <w:r>
        <w:rPr>
          <w:rFonts w:asciiTheme="minorEastAsia" w:hAnsiTheme="minorEastAsia" w:eastAsiaTheme="minorEastAsia"/>
          <w:bCs/>
          <w:sz w:val="28"/>
          <w:szCs w:val="28"/>
        </w:rPr>
        <w:t>估价委托人（或权利人）对所提供资料的合法性、真实性、准确性、完整性负责，并承</w:t>
      </w:r>
      <w:r>
        <w:rPr>
          <w:rFonts w:cs="Arial" w:asciiTheme="minorEastAsia" w:hAnsiTheme="minorEastAsia" w:eastAsiaTheme="minorEastAsia"/>
          <w:sz w:val="28"/>
          <w:szCs w:val="28"/>
        </w:rPr>
        <w:t>担相应的法律责任；本估价机构仅对上述材料进行估价专业范围内的核查验证，具体鉴定由有关部门负责，本报告不能作为权属和面积的依据。若估价权利人提供虚假资料、证明文件以及隐瞒事实，我们将不承担由此导致的法律责任。</w:t>
      </w:r>
    </w:p>
    <w:p>
      <w:pPr>
        <w:numPr>
          <w:ilvl w:val="0"/>
          <w:numId w:val="3"/>
        </w:numPr>
        <w:spacing w:line="520" w:lineRule="exact"/>
        <w:ind w:left="0" w:firstLine="848" w:firstLineChars="303"/>
        <w:rPr>
          <w:rFonts w:asciiTheme="minorEastAsia" w:hAnsiTheme="minorEastAsia" w:eastAsiaTheme="minorEastAsia"/>
          <w:bCs/>
          <w:sz w:val="28"/>
          <w:szCs w:val="28"/>
        </w:rPr>
      </w:pPr>
      <w:r>
        <w:rPr>
          <w:rFonts w:hint="eastAsia" w:asciiTheme="minorEastAsia" w:hAnsiTheme="minorEastAsia" w:eastAsiaTheme="minorEastAsia"/>
          <w:bCs/>
          <w:sz w:val="28"/>
          <w:szCs w:val="28"/>
        </w:rPr>
        <w:t>本次评估中市场价值受价值时点限制，仅为估价对象在价值时点的房地产市场价值，本估价结果不应被认为是对估价对象可实现价格的保证。</w:t>
      </w:r>
    </w:p>
    <w:p>
      <w:pPr>
        <w:numPr>
          <w:ilvl w:val="0"/>
          <w:numId w:val="3"/>
        </w:numPr>
        <w:spacing w:line="520" w:lineRule="exact"/>
        <w:ind w:left="0" w:firstLine="848" w:firstLineChars="303"/>
        <w:rPr>
          <w:rFonts w:cs="Arial" w:asciiTheme="minorEastAsia" w:hAnsiTheme="minorEastAsia" w:eastAsiaTheme="minorEastAsia"/>
          <w:sz w:val="28"/>
          <w:szCs w:val="28"/>
        </w:rPr>
      </w:pPr>
      <w:r>
        <w:rPr>
          <w:rFonts w:asciiTheme="minorEastAsia" w:hAnsiTheme="minorEastAsia" w:eastAsiaTheme="minorEastAsia"/>
          <w:bCs/>
          <w:sz w:val="28"/>
          <w:szCs w:val="28"/>
        </w:rPr>
        <w:t>估价结果在上述全部假设条件和限制条件成立的情况下有效，这些假设、限制条件由注册房地产估价师根据估价原则、国家标准和规定、估价目的和估价对象实际情况提出的。注册房地产估价师对市场变化的情况不承担发表意见的责任，没有义务为了反映报告日后的事项而进行任何修改。若未来事实与估价假设条件或限制条</w:t>
      </w:r>
      <w:r>
        <w:rPr>
          <w:rFonts w:cs="Arial" w:asciiTheme="minorEastAsia" w:hAnsiTheme="minorEastAsia" w:eastAsiaTheme="minorEastAsia"/>
          <w:sz w:val="28"/>
          <w:szCs w:val="28"/>
        </w:rPr>
        <w:t>件不符导致的估价结果与实际价值不符，我们将不承担由此导致的法律责任。</w:t>
      </w:r>
    </w:p>
    <w:p>
      <w:pPr>
        <w:pStyle w:val="148"/>
        <w:snapToGrid w:val="0"/>
        <w:spacing w:line="500" w:lineRule="atLeast"/>
        <w:rPr>
          <w:rFonts w:ascii="Arial" w:hAnsi="Arial" w:cs="Arial"/>
          <w:szCs w:val="28"/>
        </w:rPr>
        <w:sectPr>
          <w:footerReference r:id="rId9" w:type="default"/>
          <w:pgSz w:w="11906" w:h="16838"/>
          <w:pgMar w:top="1985" w:right="1797" w:bottom="1814" w:left="1797" w:header="680" w:footer="851" w:gutter="0"/>
          <w:cols w:space="720" w:num="1"/>
          <w:docGrid w:linePitch="285" w:charSpace="0"/>
        </w:sectPr>
      </w:pPr>
    </w:p>
    <w:bookmarkEnd w:id="25"/>
    <w:bookmarkEnd w:id="26"/>
    <w:bookmarkEnd w:id="27"/>
    <w:bookmarkEnd w:id="28"/>
    <w:p>
      <w:pPr>
        <w:pStyle w:val="2"/>
        <w:adjustRightInd w:val="0"/>
        <w:snapToGrid w:val="0"/>
        <w:spacing w:before="120" w:afterLines="100" w:line="360" w:lineRule="auto"/>
        <w:jc w:val="center"/>
        <w:rPr>
          <w:rFonts w:ascii="宋体" w:hAnsi="宋体"/>
          <w:b w:val="0"/>
          <w:szCs w:val="36"/>
        </w:rPr>
      </w:pPr>
      <w:bookmarkStart w:id="29" w:name="_Toc7496"/>
      <w:bookmarkStart w:id="30" w:name="_Toc333846307"/>
      <w:bookmarkStart w:id="31" w:name="_Toc364091973"/>
      <w:bookmarkStart w:id="32" w:name="_Toc137475692"/>
      <w:r>
        <w:rPr>
          <w:rFonts w:hint="eastAsia" w:ascii="宋体" w:hAnsi="宋体"/>
          <w:b w:val="0"/>
          <w:szCs w:val="36"/>
        </w:rPr>
        <w:t>三、估价结果报告</w:t>
      </w:r>
      <w:bookmarkEnd w:id="29"/>
      <w:bookmarkEnd w:id="30"/>
      <w:bookmarkEnd w:id="31"/>
      <w:bookmarkEnd w:id="32"/>
    </w:p>
    <w:p>
      <w:pPr>
        <w:spacing w:line="520" w:lineRule="exact"/>
        <w:ind w:firstLine="420" w:firstLineChars="150"/>
        <w:outlineLvl w:val="1"/>
        <w:rPr>
          <w:rFonts w:ascii="黑体" w:hAnsi="宋体" w:eastAsia="黑体" w:cs="黑体"/>
          <w:sz w:val="28"/>
          <w:szCs w:val="28"/>
        </w:rPr>
      </w:pPr>
      <w:r>
        <w:rPr>
          <w:rFonts w:hint="eastAsia" w:ascii="黑体" w:hAnsi="宋体" w:eastAsia="黑体" w:cs="黑体"/>
          <w:sz w:val="28"/>
          <w:szCs w:val="28"/>
        </w:rPr>
        <w:t>（一）估价委托人</w:t>
      </w:r>
    </w:p>
    <w:p>
      <w:pPr>
        <w:spacing w:line="520" w:lineRule="exact"/>
        <w:ind w:firstLine="560" w:firstLineChars="200"/>
        <w:jc w:val="left"/>
        <w:rPr>
          <w:rFonts w:cs="宋体" w:asciiTheme="minorEastAsia" w:hAnsiTheme="minorEastAsia" w:eastAsiaTheme="minorEastAsia"/>
          <w:sz w:val="28"/>
          <w:szCs w:val="28"/>
        </w:rPr>
      </w:pPr>
      <w:bookmarkStart w:id="33" w:name="_Toc13080"/>
      <w:bookmarkStart w:id="34" w:name="_Toc439060643"/>
      <w:bookmarkStart w:id="35" w:name="_Toc367635495"/>
      <w:r>
        <w:rPr>
          <w:rFonts w:hint="eastAsia" w:cs="宋体" w:asciiTheme="minorEastAsia" w:hAnsiTheme="minorEastAsia" w:eastAsiaTheme="minorEastAsia"/>
          <w:sz w:val="28"/>
          <w:szCs w:val="28"/>
        </w:rPr>
        <w:t>名称：眉山市彭山区人民法院</w:t>
      </w:r>
    </w:p>
    <w:p>
      <w:pPr>
        <w:spacing w:line="520" w:lineRule="exact"/>
        <w:ind w:firstLine="420" w:firstLineChars="150"/>
        <w:outlineLvl w:val="1"/>
        <w:rPr>
          <w:rFonts w:ascii="黑体" w:hAnsi="宋体" w:eastAsia="黑体" w:cs="黑体"/>
          <w:sz w:val="28"/>
          <w:szCs w:val="28"/>
        </w:rPr>
      </w:pPr>
      <w:r>
        <w:rPr>
          <w:rFonts w:hint="eastAsia" w:ascii="黑体" w:hAnsi="宋体" w:eastAsia="黑体" w:cs="黑体"/>
          <w:sz w:val="28"/>
          <w:szCs w:val="28"/>
        </w:rPr>
        <w:t>（二）房地产估价机构</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机构名称：山东贵恒信房地产土地评估经纪有限公司</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法定代表人：董月华</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住所：济南市历下区山大路242-2号A座616号</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营业执照注册号：91370102740991399Q</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资格等级：壹级</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证书编号：建房估证字[2013]025号</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有效期限：</w:t>
      </w:r>
      <w:r>
        <w:rPr>
          <w:rFonts w:cs="宋体" w:asciiTheme="minorEastAsia" w:hAnsiTheme="minorEastAsia" w:eastAsiaTheme="minorEastAsia"/>
          <w:sz w:val="28"/>
          <w:szCs w:val="28"/>
        </w:rPr>
        <w:t>2</w:t>
      </w:r>
      <w:r>
        <w:rPr>
          <w:rFonts w:hint="eastAsia" w:cs="宋体" w:asciiTheme="minorEastAsia" w:hAnsiTheme="minorEastAsia" w:eastAsiaTheme="minorEastAsia"/>
          <w:sz w:val="28"/>
          <w:szCs w:val="28"/>
        </w:rPr>
        <w:t>019年5月17日至</w:t>
      </w:r>
      <w:r>
        <w:rPr>
          <w:rFonts w:cs="宋体" w:asciiTheme="minorEastAsia" w:hAnsiTheme="minorEastAsia" w:eastAsiaTheme="minorEastAsia"/>
          <w:sz w:val="28"/>
          <w:szCs w:val="28"/>
        </w:rPr>
        <w:t>20</w:t>
      </w:r>
      <w:r>
        <w:rPr>
          <w:rFonts w:hint="eastAsia" w:cs="宋体" w:asciiTheme="minorEastAsia" w:hAnsiTheme="minorEastAsia" w:eastAsiaTheme="minorEastAsia"/>
          <w:sz w:val="28"/>
          <w:szCs w:val="28"/>
        </w:rPr>
        <w:t>22年5月16日</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土地评估执业范围：全国范围内从事土地评估业务</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备案编号：2019370044</w:t>
      </w:r>
    </w:p>
    <w:bookmarkEnd w:id="33"/>
    <w:bookmarkEnd w:id="34"/>
    <w:bookmarkEnd w:id="35"/>
    <w:p>
      <w:pPr>
        <w:spacing w:line="520" w:lineRule="exact"/>
        <w:ind w:firstLine="420" w:firstLineChars="150"/>
        <w:outlineLvl w:val="1"/>
        <w:rPr>
          <w:rFonts w:ascii="黑体" w:hAnsi="宋体" w:eastAsia="黑体" w:cs="黑体"/>
          <w:sz w:val="28"/>
          <w:szCs w:val="28"/>
        </w:rPr>
      </w:pPr>
      <w:bookmarkStart w:id="36" w:name="_Toc435111910"/>
      <w:bookmarkStart w:id="37" w:name="_Toc524430662"/>
      <w:bookmarkStart w:id="38" w:name="_Toc364091976"/>
      <w:bookmarkStart w:id="39" w:name="_Toc333846310"/>
      <w:bookmarkStart w:id="40" w:name="_Toc137475695"/>
      <w:r>
        <w:rPr>
          <w:rFonts w:hint="eastAsia" w:ascii="黑体" w:hAnsi="宋体" w:eastAsia="黑体" w:cs="黑体"/>
          <w:sz w:val="28"/>
          <w:szCs w:val="28"/>
        </w:rPr>
        <w:t>（三）估价</w:t>
      </w:r>
      <w:bookmarkEnd w:id="36"/>
      <w:r>
        <w:rPr>
          <w:rFonts w:hint="eastAsia" w:ascii="黑体" w:hAnsi="宋体" w:eastAsia="黑体" w:cs="黑体"/>
          <w:sz w:val="28"/>
          <w:szCs w:val="28"/>
        </w:rPr>
        <w:t>目的</w:t>
      </w:r>
      <w:bookmarkEnd w:id="37"/>
    </w:p>
    <w:p>
      <w:pPr>
        <w:spacing w:line="520" w:lineRule="exact"/>
        <w:ind w:firstLine="560" w:firstLineChars="200"/>
        <w:jc w:val="left"/>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为人民法院确定财产处置参考价提供参考依据。</w:t>
      </w:r>
    </w:p>
    <w:bookmarkEnd w:id="38"/>
    <w:bookmarkEnd w:id="39"/>
    <w:bookmarkEnd w:id="40"/>
    <w:p>
      <w:pPr>
        <w:spacing w:line="520" w:lineRule="exact"/>
        <w:ind w:firstLine="420" w:firstLineChars="150"/>
        <w:outlineLvl w:val="1"/>
        <w:rPr>
          <w:rFonts w:ascii="黑体" w:hAnsi="宋体" w:eastAsia="黑体" w:cs="黑体"/>
          <w:sz w:val="28"/>
          <w:szCs w:val="28"/>
        </w:rPr>
      </w:pPr>
      <w:bookmarkStart w:id="41" w:name="_Toc524430663"/>
      <w:bookmarkStart w:id="42" w:name="_Toc382493620"/>
      <w:bookmarkStart w:id="43" w:name="_Toc384813581"/>
      <w:bookmarkStart w:id="44" w:name="_Toc383068139"/>
      <w:bookmarkStart w:id="45" w:name="_Toc387827692"/>
      <w:r>
        <w:rPr>
          <w:rFonts w:hint="eastAsia" w:ascii="黑体" w:hAnsi="宋体" w:eastAsia="黑体" w:cs="黑体"/>
          <w:sz w:val="28"/>
          <w:szCs w:val="28"/>
        </w:rPr>
        <w:t>（四）估价对象</w:t>
      </w:r>
      <w:bookmarkEnd w:id="41"/>
    </w:p>
    <w:p>
      <w:pPr>
        <w:spacing w:line="520" w:lineRule="exact"/>
        <w:ind w:firstLine="700" w:firstLineChars="250"/>
        <w:outlineLvl w:val="1"/>
        <w:rPr>
          <w:rFonts w:ascii="黑体" w:hAnsi="宋体" w:eastAsia="黑体" w:cs="黑体"/>
          <w:sz w:val="28"/>
          <w:szCs w:val="28"/>
        </w:rPr>
      </w:pPr>
      <w:r>
        <w:rPr>
          <w:rFonts w:hint="eastAsia" w:cs="宋体" w:asciiTheme="minorEastAsia" w:hAnsiTheme="minorEastAsia" w:eastAsiaTheme="minorEastAsia"/>
          <w:sz w:val="28"/>
          <w:szCs w:val="28"/>
        </w:rPr>
        <w:t>1、估价对象基本情况</w:t>
      </w:r>
    </w:p>
    <w:p>
      <w:pPr>
        <w:spacing w:line="520" w:lineRule="exact"/>
        <w:ind w:firstLine="562"/>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付学芳、黄光兴共同共有的位于：</w:t>
      </w:r>
    </w:p>
    <w:p>
      <w:pPr>
        <w:spacing w:line="520" w:lineRule="exact"/>
        <w:ind w:firstLine="56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lang w:val="zh-CN"/>
        </w:rPr>
        <w:t>（1）</w:t>
      </w:r>
      <w:r>
        <w:rPr>
          <w:rFonts w:hint="eastAsia" w:cs="宋体" w:asciiTheme="minorEastAsia" w:hAnsiTheme="minorEastAsia" w:eastAsiaTheme="minorEastAsia"/>
          <w:sz w:val="28"/>
          <w:szCs w:val="28"/>
        </w:rPr>
        <w:t>眉山市彭山区青龙镇望江路42号1-2层建筑面积191.02㎡的商业、住宅用房及其所占用的117.00㎡国有划拨商业、住宅用地使用权，</w:t>
      </w:r>
      <w:r>
        <w:rPr>
          <w:rFonts w:hint="eastAsia" w:cs="宋体" w:asciiTheme="minorEastAsia" w:hAnsiTheme="minorEastAsia" w:eastAsiaTheme="minorEastAsia"/>
          <w:sz w:val="28"/>
          <w:szCs w:val="28"/>
          <w:lang w:val="zh-CN"/>
        </w:rPr>
        <w:t>包括属于该房屋配套且不可移动和分割的设施设备、装修装饰价值。</w:t>
      </w:r>
    </w:p>
    <w:p>
      <w:pPr>
        <w:spacing w:line="520" w:lineRule="exact"/>
        <w:ind w:firstLine="56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青龙镇下马路11、13号1层建筑面积222.25㎡、2层建筑面积270.07㎡、3层建筑面积270.07㎡的商业用房，4层建筑面积77.19㎡的住宅用房，青龙镇下马路180号1层建筑面积332.13㎡的其他用房（现场查勘未见该建筑物）及上述房屋所占用的637.04㎡国有出让城镇混合住宅用地使用权，</w:t>
      </w:r>
      <w:r>
        <w:rPr>
          <w:rFonts w:hint="eastAsia" w:cs="宋体" w:asciiTheme="minorEastAsia" w:hAnsiTheme="minorEastAsia" w:eastAsiaTheme="minorEastAsia"/>
          <w:sz w:val="28"/>
          <w:szCs w:val="28"/>
          <w:lang w:val="zh-CN"/>
        </w:rPr>
        <w:t>包括属于该房屋配套且不可移动和分割的设施设备、装修装饰价值。</w:t>
      </w:r>
    </w:p>
    <w:p>
      <w:pPr>
        <w:spacing w:line="520" w:lineRule="exact"/>
        <w:ind w:firstLine="560" w:firstLineChars="200"/>
        <w:jc w:val="left"/>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2、估价对象实物状况</w:t>
      </w:r>
    </w:p>
    <w:p>
      <w:pPr>
        <w:spacing w:line="520" w:lineRule="exact"/>
        <w:ind w:firstLine="560" w:firstLineChars="200"/>
        <w:rPr>
          <w:rFonts w:ascii="宋体" w:hAnsi="宋体" w:cs="宋体"/>
          <w:sz w:val="28"/>
          <w:szCs w:val="28"/>
        </w:rPr>
      </w:pPr>
      <w:r>
        <w:rPr>
          <w:rFonts w:hint="eastAsia" w:ascii="宋体" w:hAnsi="宋体"/>
          <w:sz w:val="28"/>
          <w:szCs w:val="28"/>
        </w:rPr>
        <w:t>（1）土地实物状况</w:t>
      </w:r>
    </w:p>
    <w:tbl>
      <w:tblPr>
        <w:tblStyle w:val="38"/>
        <w:tblW w:w="987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483"/>
        <w:gridCol w:w="4394"/>
        <w:gridCol w:w="4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估价对象</w:t>
            </w:r>
          </w:p>
        </w:tc>
        <w:tc>
          <w:tcPr>
            <w:tcW w:w="4394" w:type="dxa"/>
            <w:vAlign w:val="center"/>
          </w:tcPr>
          <w:p>
            <w:pPr>
              <w:spacing w:line="240" w:lineRule="atLeast"/>
              <w:jc w:val="center"/>
              <w:rPr>
                <w:rFonts w:asciiTheme="minorEastAsia" w:hAnsiTheme="minorEastAsia" w:eastAsiaTheme="minorEastAsia"/>
              </w:rPr>
            </w:pPr>
            <w:r>
              <w:rPr>
                <w:rFonts w:hint="eastAsia" w:cs="宋体" w:asciiTheme="minorEastAsia" w:hAnsiTheme="minorEastAsia" w:eastAsiaTheme="minorEastAsia"/>
                <w:sz w:val="18"/>
                <w:szCs w:val="18"/>
              </w:rPr>
              <w:t>1</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座落</w:t>
            </w:r>
          </w:p>
        </w:tc>
        <w:tc>
          <w:tcPr>
            <w:tcW w:w="4394" w:type="dxa"/>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彭山县青龙镇（国有土地使用证登记地址）</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彭山县青龙镇下马路（国有土地使用证登记地址）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四至</w:t>
            </w:r>
          </w:p>
        </w:tc>
        <w:tc>
          <w:tcPr>
            <w:tcW w:w="4394"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根据《国有土地使用证》所附</w:t>
            </w:r>
            <w:r>
              <w:rPr>
                <w:rFonts w:asciiTheme="minorEastAsia" w:hAnsiTheme="minorEastAsia" w:eastAsiaTheme="minorEastAsia"/>
                <w:sz w:val="18"/>
                <w:szCs w:val="18"/>
              </w:rPr>
              <w:t>宗地图</w:t>
            </w:r>
            <w:r>
              <w:rPr>
                <w:rFonts w:hint="eastAsia" w:asciiTheme="minorEastAsia" w:hAnsiTheme="minorEastAsia" w:eastAsiaTheme="minorEastAsia"/>
                <w:sz w:val="18"/>
                <w:szCs w:val="18"/>
              </w:rPr>
              <w:t>资料，东至帅国祥，西至干成坤，北至企办，南至街道。</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根据《国有土地使用证》所附</w:t>
            </w:r>
            <w:r>
              <w:rPr>
                <w:rFonts w:asciiTheme="minorEastAsia" w:hAnsiTheme="minorEastAsia" w:eastAsiaTheme="minorEastAsia"/>
                <w:sz w:val="18"/>
                <w:szCs w:val="18"/>
              </w:rPr>
              <w:t>宗地图</w:t>
            </w:r>
            <w:r>
              <w:rPr>
                <w:rFonts w:hint="eastAsia" w:asciiTheme="minorEastAsia" w:hAnsiTheme="minorEastAsia" w:eastAsiaTheme="minorEastAsia"/>
                <w:sz w:val="18"/>
                <w:szCs w:val="18"/>
              </w:rPr>
              <w:t>资料，东至成乐公路，西至毛金华，北至公共道路，南至张荣伟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土地使用权面积（㎡）</w:t>
            </w:r>
          </w:p>
        </w:tc>
        <w:tc>
          <w:tcPr>
            <w:tcW w:w="4394" w:type="dxa"/>
            <w:vAlign w:val="center"/>
          </w:tcPr>
          <w:p>
            <w:pPr>
              <w:spacing w:line="240" w:lineRule="atLeast"/>
              <w:jc w:val="center"/>
              <w:rPr>
                <w:rFonts w:cs="宋体" w:asciiTheme="minorEastAsia" w:hAnsiTheme="minorEastAsia" w:eastAsiaTheme="minorEastAsia"/>
              </w:rPr>
            </w:pPr>
            <w:r>
              <w:rPr>
                <w:rFonts w:hint="eastAsia" w:cs="宋体" w:asciiTheme="minorEastAsia" w:hAnsiTheme="minorEastAsia" w:eastAsiaTheme="minorEastAsia"/>
                <w:sz w:val="18"/>
                <w:szCs w:val="18"/>
              </w:rPr>
              <w:t>117.00</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637.04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形状</w:t>
            </w:r>
          </w:p>
        </w:tc>
        <w:tc>
          <w:tcPr>
            <w:tcW w:w="4394" w:type="dxa"/>
            <w:vAlign w:val="center"/>
          </w:tcPr>
          <w:p>
            <w:pPr>
              <w:spacing w:line="240" w:lineRule="atLeast"/>
              <w:jc w:val="center"/>
              <w:rPr>
                <w:rFonts w:asciiTheme="minorEastAsia" w:hAnsiTheme="minorEastAsia" w:eastAsiaTheme="minorEastAsia"/>
                <w:sz w:val="18"/>
              </w:rPr>
            </w:pPr>
            <w:r>
              <w:rPr>
                <w:rFonts w:hint="eastAsia" w:asciiTheme="minorEastAsia" w:hAnsiTheme="minorEastAsia" w:eastAsiaTheme="minorEastAsia"/>
                <w:sz w:val="18"/>
                <w:szCs w:val="18"/>
              </w:rPr>
              <w:t>矩形</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不规则多边形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地形、地势</w:t>
            </w:r>
            <w:r>
              <w:rPr>
                <w:rFonts w:hint="eastAsia" w:asciiTheme="minorEastAsia" w:hAnsiTheme="minorEastAsia" w:eastAsiaTheme="minorEastAsia"/>
                <w:sz w:val="18"/>
                <w:szCs w:val="18"/>
              </w:rPr>
              <w:t>、土壤</w:t>
            </w:r>
            <w:r>
              <w:rPr>
                <w:rFonts w:asciiTheme="minorEastAsia" w:hAnsiTheme="minorEastAsia" w:eastAsiaTheme="minorEastAsia"/>
                <w:sz w:val="18"/>
                <w:szCs w:val="18"/>
              </w:rPr>
              <w:t>及工程地质</w:t>
            </w:r>
          </w:p>
        </w:tc>
        <w:tc>
          <w:tcPr>
            <w:tcW w:w="4394"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宗地地势平坦，无影响建筑修建的不良地势、地质和水文状况，土壤未受污染。</w:t>
            </w:r>
          </w:p>
        </w:tc>
        <w:tc>
          <w:tcPr>
            <w:tcW w:w="4001" w:type="dxa"/>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宗地地势平坦，无影响建筑修建的不良地势、地质和水文状况，土壤未受污染。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cantSplit/>
          <w:trHeight w:val="57" w:hRule="atLeast"/>
          <w:jc w:val="center"/>
        </w:trPr>
        <w:tc>
          <w:tcPr>
            <w:tcW w:w="1483" w:type="dxa"/>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开发程度</w:t>
            </w:r>
          </w:p>
        </w:tc>
        <w:tc>
          <w:tcPr>
            <w:tcW w:w="4394" w:type="dxa"/>
            <w:vAlign w:val="center"/>
          </w:tcPr>
          <w:p>
            <w:pPr>
              <w:spacing w:line="24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宗地外开发程度达到“六通”（通上水、通下水、通电、通路、通讯、通气），宗地内开发程度达“六通一平”（通上水、通下水、通电、通路、通讯、通气及场地平整）。</w:t>
            </w:r>
          </w:p>
        </w:tc>
        <w:tc>
          <w:tcPr>
            <w:tcW w:w="4001" w:type="dxa"/>
            <w:vAlign w:val="center"/>
          </w:tcPr>
          <w:p>
            <w:pPr>
              <w:spacing w:line="240" w:lineRule="atLeast"/>
              <w:rPr>
                <w:rFonts w:asciiTheme="minorEastAsia" w:hAnsiTheme="minorEastAsia" w:eastAsiaTheme="minorEastAsia"/>
                <w:sz w:val="18"/>
                <w:szCs w:val="18"/>
              </w:rPr>
            </w:pPr>
            <w:r>
              <w:rPr>
                <w:rFonts w:hint="eastAsia" w:asciiTheme="minorEastAsia" w:hAnsiTheme="minorEastAsia" w:eastAsiaTheme="minorEastAsia"/>
                <w:sz w:val="18"/>
                <w:szCs w:val="18"/>
              </w:rPr>
              <w:t>宗地外开发程度达到“六通”（通上水、通下水、通电、通路、通讯、通气），宗地内开发程度达“六通一平”（通上水、通下水、通电、通路、通讯、通气及场地平整）。</w:t>
            </w:r>
          </w:p>
        </w:tc>
      </w:tr>
    </w:tbl>
    <w:p>
      <w:pPr>
        <w:numPr>
          <w:ilvl w:val="0"/>
          <w:numId w:val="4"/>
        </w:numPr>
        <w:spacing w:beforeLines="50" w:line="520" w:lineRule="exact"/>
        <w:ind w:firstLine="560" w:firstLineChars="200"/>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建筑物实物状况</w:t>
      </w:r>
    </w:p>
    <w:tbl>
      <w:tblPr>
        <w:tblStyle w:val="38"/>
        <w:tblW w:w="9802"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769"/>
        <w:gridCol w:w="2321"/>
        <w:gridCol w:w="1247"/>
        <w:gridCol w:w="1247"/>
        <w:gridCol w:w="1247"/>
        <w:gridCol w:w="1176"/>
        <w:gridCol w:w="17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估价对象</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1</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5</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实地查勘坐落</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眉山市彭山区青龙镇望江路</w:t>
            </w:r>
            <w:r>
              <w:rPr>
                <w:rFonts w:hint="eastAsia" w:cs="宋体" w:asciiTheme="minorEastAsia" w:hAnsiTheme="minorEastAsia" w:eastAsiaTheme="minorEastAsia"/>
                <w:sz w:val="18"/>
                <w:szCs w:val="18"/>
              </w:rPr>
              <w:t>42号1-2层</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眉山市彭山区青龙镇</w:t>
            </w:r>
            <w:r>
              <w:rPr>
                <w:rFonts w:hint="eastAsia" w:cs="宋体" w:asciiTheme="minorEastAsia" w:hAnsiTheme="minorEastAsia" w:eastAsiaTheme="minorEastAsia"/>
                <w:sz w:val="18"/>
                <w:szCs w:val="18"/>
              </w:rPr>
              <w:t>青同路9、11、13号1层</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眉山市彭山区青龙镇</w:t>
            </w:r>
            <w:r>
              <w:rPr>
                <w:rFonts w:hint="eastAsia" w:cs="宋体" w:asciiTheme="minorEastAsia" w:hAnsiTheme="minorEastAsia" w:eastAsiaTheme="minorEastAsia"/>
                <w:sz w:val="18"/>
                <w:szCs w:val="18"/>
              </w:rPr>
              <w:t>青同路9、11、13号2层</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眉山市彭山区青龙镇</w:t>
            </w:r>
            <w:r>
              <w:rPr>
                <w:rFonts w:hint="eastAsia" w:cs="宋体" w:asciiTheme="minorEastAsia" w:hAnsiTheme="minorEastAsia" w:eastAsiaTheme="minorEastAsia"/>
                <w:sz w:val="18"/>
                <w:szCs w:val="18"/>
              </w:rPr>
              <w:t>青同路9、11、13号3层</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眉山市彭山区青龙镇</w:t>
            </w:r>
            <w:r>
              <w:rPr>
                <w:rFonts w:hint="eastAsia" w:cs="宋体" w:asciiTheme="minorEastAsia" w:hAnsiTheme="minorEastAsia" w:eastAsiaTheme="minorEastAsia"/>
                <w:sz w:val="18"/>
                <w:szCs w:val="18"/>
              </w:rPr>
              <w:t>青同路9、11、13号4层</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现场查勘未见该建筑物，原址现有与估价对象1-5同一栋且相连接的三层框架结构房屋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建筑面积（㎡）</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191.02</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222.25</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270.07</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270.07</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77.19</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490" w:hRule="atLeast"/>
          <w:jc w:val="center"/>
        </w:trPr>
        <w:tc>
          <w:tcPr>
            <w:tcW w:w="769" w:type="dxa"/>
            <w:tcBorders>
              <w:top w:val="single" w:color="auto" w:sz="4" w:space="0"/>
              <w:left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结构</w:t>
            </w:r>
          </w:p>
        </w:tc>
        <w:tc>
          <w:tcPr>
            <w:tcW w:w="2321" w:type="dxa"/>
            <w:tcBorders>
              <w:top w:val="single" w:color="auto" w:sz="4" w:space="0"/>
              <w:left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混合结构</w:t>
            </w:r>
          </w:p>
        </w:tc>
        <w:tc>
          <w:tcPr>
            <w:tcW w:w="1247" w:type="dxa"/>
            <w:tcBorders>
              <w:top w:val="single" w:color="auto" w:sz="4" w:space="0"/>
              <w:left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框架</w:t>
            </w:r>
          </w:p>
        </w:tc>
        <w:tc>
          <w:tcPr>
            <w:tcW w:w="1247" w:type="dxa"/>
            <w:tcBorders>
              <w:top w:val="single" w:color="auto" w:sz="4" w:space="0"/>
              <w:left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框架</w:t>
            </w:r>
          </w:p>
        </w:tc>
        <w:tc>
          <w:tcPr>
            <w:tcW w:w="1247" w:type="dxa"/>
            <w:tcBorders>
              <w:top w:val="single" w:color="auto" w:sz="4" w:space="0"/>
              <w:left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框架</w:t>
            </w:r>
          </w:p>
        </w:tc>
        <w:tc>
          <w:tcPr>
            <w:tcW w:w="1176" w:type="dxa"/>
            <w:tcBorders>
              <w:top w:val="single" w:color="auto" w:sz="4" w:space="0"/>
              <w:left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混合</w:t>
            </w:r>
          </w:p>
        </w:tc>
        <w:tc>
          <w:tcPr>
            <w:tcW w:w="1795" w:type="dxa"/>
            <w:tcBorders>
              <w:top w:val="single" w:color="auto" w:sz="4" w:space="0"/>
              <w:left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所在楼层/总楼层</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1-2/2</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1/4</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2/4</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3/4</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4/4</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设施设备</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cs="宋体" w:asciiTheme="minorEastAsia" w:hAnsiTheme="minorEastAsia" w:eastAsiaTheme="minorEastAsia"/>
                <w:sz w:val="18"/>
                <w:szCs w:val="18"/>
              </w:rPr>
              <w:t>通上水、通下水、通电、通讯、通气</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通上水、通下水、通电、通讯、通气</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通上水、通下水、通电、通讯、通气</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通上水、通下水、通电、通讯、通气</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通上水、通下水、通电、通讯、通气</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层高</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1层约3.5米；2层约3米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4.3米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3.9米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3.9米</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3米</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规划用途</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商业、住宅</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商业</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商业</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商业</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住宅</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平面布局</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一层商业为一间矩形商铺，开间约3.6米，进深约7米；住宅三室二厅三卫一厨，房间呈矩形，中间有天井。</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大开间矩形</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大开间矩形</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大开间矩形</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矩形两室</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工程质量</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合格</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合格</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合格</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合格</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合格</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建成时间</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1998年</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2009年</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2009年</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2009年</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2009年</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新旧程度</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七成</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八</w:t>
            </w:r>
            <w:r>
              <w:rPr>
                <w:rFonts w:cs="宋体" w:asciiTheme="minorEastAsia" w:hAnsiTheme="minorEastAsia" w:eastAsiaTheme="minorEastAsia"/>
                <w:sz w:val="18"/>
                <w:szCs w:val="18"/>
              </w:rPr>
              <w:t>成</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八</w:t>
            </w:r>
            <w:r>
              <w:rPr>
                <w:rFonts w:cs="宋体" w:asciiTheme="minorEastAsia" w:hAnsiTheme="minorEastAsia" w:eastAsiaTheme="minorEastAsia"/>
                <w:sz w:val="18"/>
                <w:szCs w:val="18"/>
              </w:rPr>
              <w:t>成</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八</w:t>
            </w:r>
            <w:r>
              <w:rPr>
                <w:rFonts w:cs="宋体" w:asciiTheme="minorEastAsia" w:hAnsiTheme="minorEastAsia" w:eastAsiaTheme="minorEastAsia"/>
                <w:sz w:val="18"/>
                <w:szCs w:val="18"/>
              </w:rPr>
              <w:t>成</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八</w:t>
            </w:r>
            <w:r>
              <w:rPr>
                <w:rFonts w:cs="宋体" w:asciiTheme="minorEastAsia" w:hAnsiTheme="minorEastAsia" w:eastAsiaTheme="minorEastAsia"/>
                <w:sz w:val="18"/>
                <w:szCs w:val="18"/>
              </w:rPr>
              <w:t>成</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完好程度</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基本完好房</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完好房</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完好房</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完好房</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cs="宋体" w:asciiTheme="minorEastAsia" w:hAnsiTheme="minorEastAsia" w:eastAsiaTheme="minorEastAsia"/>
                <w:sz w:val="18"/>
                <w:szCs w:val="18"/>
              </w:rPr>
              <w:t>完好房</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asciiTheme="minorEastAsia" w:hAnsiTheme="minorEastAsia" w:eastAsiaTheme="minorEastAsia"/>
                <w:sz w:val="18"/>
                <w:szCs w:val="18"/>
              </w:rPr>
              <w:t>维护、保养情况</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维护保养较好</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维护保养较好</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维护保养较好</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维护保养较好</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维护保养较好</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室外</w:t>
            </w:r>
            <w:r>
              <w:rPr>
                <w:rFonts w:asciiTheme="minorEastAsia" w:hAnsiTheme="minorEastAsia" w:eastAsiaTheme="minorEastAsia"/>
                <w:sz w:val="18"/>
                <w:szCs w:val="18"/>
              </w:rPr>
              <w:t>装修情况</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外墙：墙砖、水泥砂浆抹平。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外墙：墙砖、水泥砂浆抹平。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外墙：墙砖、水泥砂浆抹平。</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外墙：墙砖、水泥砂浆抹平。</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水泥砂浆抹平</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cantSplit/>
          <w:trHeight w:val="57" w:hRule="atLeast"/>
          <w:jc w:val="center"/>
        </w:trPr>
        <w:tc>
          <w:tcPr>
            <w:tcW w:w="769"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室内装修</w:t>
            </w:r>
          </w:p>
        </w:tc>
        <w:tc>
          <w:tcPr>
            <w:tcW w:w="2321"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1层地面：地砖；内墙乳胶漆；天棚吊顶及刷乳胶漆；安装卷帘门。</w:t>
            </w:r>
          </w:p>
          <w:p>
            <w:pPr>
              <w:spacing w:line="240" w:lineRule="atLeas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2层地面：地砖，内墙面和天棚刷乳胶漆，安装木质门和铝合金窗户。</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清水；安装卷帘门。</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清水</w:t>
            </w:r>
          </w:p>
        </w:tc>
        <w:tc>
          <w:tcPr>
            <w:tcW w:w="1247"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清水</w:t>
            </w:r>
          </w:p>
        </w:tc>
        <w:tc>
          <w:tcPr>
            <w:tcW w:w="1176"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清水</w:t>
            </w:r>
          </w:p>
        </w:tc>
        <w:tc>
          <w:tcPr>
            <w:tcW w:w="1795" w:type="dxa"/>
            <w:tcBorders>
              <w:top w:val="single" w:color="auto" w:sz="4" w:space="0"/>
              <w:left w:val="single" w:color="auto" w:sz="4" w:space="0"/>
              <w:bottom w:val="single" w:color="auto" w:sz="4" w:space="0"/>
              <w:right w:val="single" w:color="auto" w:sz="4" w:space="0"/>
            </w:tcBorders>
            <w:vAlign w:val="center"/>
          </w:tcPr>
          <w:p>
            <w:pPr>
              <w:spacing w:line="240" w:lineRule="atLeast"/>
              <w:jc w:val="center"/>
              <w:rPr>
                <w:rFonts w:cs="宋体" w:asciiTheme="minorEastAsia" w:hAnsiTheme="minorEastAsia" w:eastAsiaTheme="minorEastAsia"/>
                <w:sz w:val="18"/>
                <w:szCs w:val="18"/>
              </w:rPr>
            </w:pPr>
            <w:r>
              <w:rPr>
                <w:rFonts w:hint="eastAsia" w:cs="宋体" w:asciiTheme="minorEastAsia" w:hAnsiTheme="minorEastAsia" w:eastAsiaTheme="minorEastAsia"/>
                <w:sz w:val="18"/>
                <w:szCs w:val="18"/>
              </w:rPr>
              <w:t>-</w:t>
            </w:r>
          </w:p>
        </w:tc>
      </w:tr>
    </w:tbl>
    <w:p>
      <w:pPr>
        <w:spacing w:line="520" w:lineRule="exact"/>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3</w:t>
      </w:r>
      <w:r>
        <w:rPr>
          <w:rFonts w:hint="eastAsia" w:asciiTheme="minorEastAsia" w:hAnsiTheme="minorEastAsia" w:eastAsiaTheme="minorEastAsia"/>
          <w:sz w:val="28"/>
          <w:szCs w:val="28"/>
        </w:rPr>
        <w:t>、估价对象权益状况</w:t>
      </w:r>
    </w:p>
    <w:p>
      <w:pPr>
        <w:spacing w:line="520" w:lineRule="exact"/>
        <w:ind w:firstLine="560" w:firstLineChars="200"/>
        <w:rPr>
          <w:rFonts w:ascii="宋体" w:hAnsi="宋体" w:cs="宋体"/>
          <w:sz w:val="28"/>
          <w:szCs w:val="28"/>
        </w:rPr>
      </w:pPr>
      <w:r>
        <w:rPr>
          <w:rFonts w:hint="eastAsia" w:ascii="宋体" w:hAnsi="宋体" w:cs="宋体"/>
          <w:sz w:val="28"/>
          <w:szCs w:val="28"/>
        </w:rPr>
        <w:t>（1）土地权益状况</w:t>
      </w:r>
    </w:p>
    <w:p>
      <w:pPr>
        <w:spacing w:line="520" w:lineRule="exact"/>
        <w:ind w:firstLine="560" w:firstLineChars="200"/>
        <w:rPr>
          <w:rFonts w:ascii="宋体" w:hAnsi="宋体" w:cs="Arial"/>
          <w:sz w:val="28"/>
          <w:szCs w:val="28"/>
        </w:rPr>
      </w:pPr>
      <w:r>
        <w:rPr>
          <w:rFonts w:ascii="宋体" w:hAnsi="宋体" w:cs="Arial"/>
          <w:sz w:val="28"/>
          <w:szCs w:val="28"/>
        </w:rPr>
        <w:t>1)</w:t>
      </w:r>
      <w:r>
        <w:rPr>
          <w:rFonts w:hint="eastAsia" w:ascii="宋体" w:hAnsi="宋体" w:cs="Arial"/>
          <w:sz w:val="28"/>
          <w:szCs w:val="28"/>
        </w:rPr>
        <w:t>土地所有权状况</w:t>
      </w:r>
    </w:p>
    <w:p>
      <w:pPr>
        <w:spacing w:line="520" w:lineRule="exact"/>
        <w:ind w:firstLine="560" w:firstLineChars="200"/>
        <w:rPr>
          <w:rFonts w:ascii="宋体" w:hAnsi="宋体" w:cs="Arial"/>
          <w:sz w:val="28"/>
          <w:szCs w:val="28"/>
        </w:rPr>
      </w:pPr>
      <w:r>
        <w:rPr>
          <w:rFonts w:ascii="宋体" w:hAnsi="宋体" w:cs="Arial"/>
          <w:sz w:val="28"/>
          <w:szCs w:val="28"/>
        </w:rPr>
        <w:t>估价对象对应的土地所有权属于国家。</w:t>
      </w:r>
    </w:p>
    <w:p>
      <w:pPr>
        <w:spacing w:line="520" w:lineRule="exact"/>
        <w:ind w:firstLine="560" w:firstLineChars="200"/>
        <w:rPr>
          <w:rFonts w:ascii="宋体" w:hAnsi="宋体" w:cs="Arial"/>
          <w:sz w:val="28"/>
          <w:szCs w:val="28"/>
        </w:rPr>
      </w:pPr>
      <w:r>
        <w:rPr>
          <w:rFonts w:hint="eastAsia" w:ascii="宋体" w:hAnsi="宋体" w:cs="Arial"/>
          <w:sz w:val="28"/>
          <w:szCs w:val="28"/>
        </w:rPr>
        <w:t>2</w:t>
      </w:r>
      <w:r>
        <w:rPr>
          <w:rFonts w:ascii="宋体" w:hAnsi="宋体" w:cs="Arial"/>
          <w:sz w:val="28"/>
          <w:szCs w:val="28"/>
        </w:rPr>
        <w:t>)</w:t>
      </w:r>
      <w:r>
        <w:rPr>
          <w:rFonts w:hint="eastAsia" w:ascii="宋体" w:hAnsi="宋体" w:cs="Arial"/>
          <w:sz w:val="28"/>
          <w:szCs w:val="28"/>
        </w:rPr>
        <w:t>土地使用权状况</w:t>
      </w:r>
    </w:p>
    <w:p>
      <w:pPr>
        <w:spacing w:beforeLines="50" w:line="520" w:lineRule="exact"/>
        <w:ind w:firstLine="560" w:firstLineChars="200"/>
        <w:rPr>
          <w:rFonts w:ascii="宋体" w:hAnsi="宋体"/>
          <w:sz w:val="28"/>
          <w:szCs w:val="28"/>
        </w:rPr>
      </w:pPr>
      <w:r>
        <w:rPr>
          <w:rFonts w:hint="eastAsia" w:ascii="宋体" w:hAnsi="宋体"/>
          <w:sz w:val="28"/>
          <w:szCs w:val="28"/>
        </w:rPr>
        <w:t>根据估价委托人提供的估价对象《国有土地使用证》复印件，估价对象的土地使用权状况如下：</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3"/>
        <w:gridCol w:w="865"/>
        <w:gridCol w:w="1255"/>
        <w:gridCol w:w="689"/>
        <w:gridCol w:w="726"/>
        <w:gridCol w:w="928"/>
        <w:gridCol w:w="631"/>
        <w:gridCol w:w="884"/>
        <w:gridCol w:w="1311"/>
        <w:gridCol w:w="1049"/>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tblHeader/>
          <w:jc w:val="center"/>
        </w:trPr>
        <w:tc>
          <w:tcPr>
            <w:tcW w:w="633"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估价对象</w:t>
            </w:r>
          </w:p>
        </w:tc>
        <w:tc>
          <w:tcPr>
            <w:tcW w:w="86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座落</w:t>
            </w:r>
          </w:p>
        </w:tc>
        <w:tc>
          <w:tcPr>
            <w:tcW w:w="125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《国有土地使用证》证号</w:t>
            </w:r>
          </w:p>
        </w:tc>
        <w:tc>
          <w:tcPr>
            <w:tcW w:w="68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土地使用权人</w:t>
            </w:r>
          </w:p>
        </w:tc>
        <w:tc>
          <w:tcPr>
            <w:tcW w:w="726"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地号</w:t>
            </w:r>
          </w:p>
        </w:tc>
        <w:tc>
          <w:tcPr>
            <w:tcW w:w="928"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地类（用途）</w:t>
            </w:r>
          </w:p>
        </w:tc>
        <w:tc>
          <w:tcPr>
            <w:tcW w:w="63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使用权类型</w:t>
            </w:r>
          </w:p>
        </w:tc>
        <w:tc>
          <w:tcPr>
            <w:tcW w:w="884"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终止日期</w:t>
            </w:r>
          </w:p>
        </w:tc>
        <w:tc>
          <w:tcPr>
            <w:tcW w:w="1311" w:type="dxa"/>
            <w:vAlign w:val="center"/>
          </w:tcPr>
          <w:p>
            <w:pPr>
              <w:spacing w:line="240" w:lineRule="atLeast"/>
              <w:jc w:val="center"/>
              <w:rPr>
                <w:rFonts w:ascii="宋体" w:hAnsi="宋体" w:cs="宋体"/>
                <w:sz w:val="18"/>
                <w:szCs w:val="18"/>
              </w:rPr>
            </w:pPr>
            <w:r>
              <w:rPr>
                <w:rFonts w:hint="eastAsia" w:ascii="宋体" w:hAnsi="宋体" w:cs="宋体"/>
                <w:sz w:val="18"/>
                <w:szCs w:val="18"/>
              </w:rPr>
              <w:t>剩余土地使用年限</w:t>
            </w:r>
          </w:p>
        </w:tc>
        <w:tc>
          <w:tcPr>
            <w:tcW w:w="104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使用权面积（㎡）</w:t>
            </w:r>
          </w:p>
        </w:tc>
        <w:tc>
          <w:tcPr>
            <w:tcW w:w="99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独用面积（㎡）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633"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1</w:t>
            </w:r>
          </w:p>
        </w:tc>
        <w:tc>
          <w:tcPr>
            <w:tcW w:w="86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ascii="宋体" w:hAnsi="宋体" w:cs="宋体"/>
                <w:sz w:val="18"/>
                <w:szCs w:val="18"/>
              </w:rPr>
              <w:t>彭山县青龙镇</w:t>
            </w:r>
          </w:p>
        </w:tc>
        <w:tc>
          <w:tcPr>
            <w:tcW w:w="125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彭国用(1998)字第0287号</w:t>
            </w:r>
          </w:p>
        </w:tc>
        <w:tc>
          <w:tcPr>
            <w:tcW w:w="68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726" w:type="dxa"/>
            <w:tcMar>
              <w:top w:w="0" w:type="dxa"/>
              <w:left w:w="108" w:type="dxa"/>
              <w:bottom w:w="0" w:type="dxa"/>
              <w:right w:w="108" w:type="dxa"/>
            </w:tcMar>
            <w:vAlign w:val="center"/>
          </w:tcPr>
          <w:p>
            <w:pPr>
              <w:spacing w:line="240" w:lineRule="atLeast"/>
              <w:ind w:left="-105" w:leftChars="-50" w:right="-105" w:rightChars="-50"/>
              <w:jc w:val="center"/>
              <w:rPr>
                <w:rFonts w:ascii="宋体" w:hAnsi="宋体" w:cs="宋体"/>
                <w:sz w:val="18"/>
                <w:szCs w:val="18"/>
              </w:rPr>
            </w:pPr>
            <w:r>
              <w:rPr>
                <w:rFonts w:hint="eastAsia" w:ascii="宋体" w:hAnsi="宋体" w:cs="宋体"/>
                <w:sz w:val="18"/>
                <w:szCs w:val="18"/>
              </w:rPr>
              <w:t>07-1-575</w:t>
            </w:r>
          </w:p>
        </w:tc>
        <w:tc>
          <w:tcPr>
            <w:tcW w:w="928"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商业、住宅</w:t>
            </w:r>
          </w:p>
        </w:tc>
        <w:tc>
          <w:tcPr>
            <w:tcW w:w="631" w:type="dxa"/>
            <w:tcMar>
              <w:top w:w="0" w:type="dxa"/>
              <w:left w:w="108" w:type="dxa"/>
              <w:bottom w:w="0" w:type="dxa"/>
              <w:right w:w="108" w:type="dxa"/>
            </w:tcMar>
            <w:vAlign w:val="center"/>
          </w:tcPr>
          <w:p>
            <w:pPr>
              <w:spacing w:line="240" w:lineRule="atLeast"/>
              <w:ind w:left="-105" w:leftChars="-50" w:right="-105" w:rightChars="-50"/>
              <w:jc w:val="center"/>
              <w:rPr>
                <w:rFonts w:ascii="宋体" w:hAnsi="宋体" w:cs="宋体"/>
                <w:sz w:val="18"/>
                <w:szCs w:val="18"/>
              </w:rPr>
            </w:pPr>
            <w:r>
              <w:rPr>
                <w:rFonts w:hint="eastAsia" w:ascii="宋体" w:hAnsi="宋体" w:cs="宋体"/>
                <w:sz w:val="18"/>
                <w:szCs w:val="18"/>
              </w:rPr>
              <w:t>空白</w:t>
            </w:r>
          </w:p>
        </w:tc>
        <w:tc>
          <w:tcPr>
            <w:tcW w:w="884"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空白</w:t>
            </w:r>
          </w:p>
        </w:tc>
        <w:tc>
          <w:tcPr>
            <w:tcW w:w="1311" w:type="dxa"/>
            <w:vAlign w:val="center"/>
          </w:tcPr>
          <w:p>
            <w:pPr>
              <w:spacing w:line="240" w:lineRule="atLeast"/>
              <w:jc w:val="center"/>
              <w:rPr>
                <w:rFonts w:ascii="宋体" w:hAnsi="宋体" w:cs="宋体"/>
                <w:sz w:val="18"/>
                <w:szCs w:val="18"/>
              </w:rPr>
            </w:pPr>
            <w:r>
              <w:rPr>
                <w:rFonts w:hint="eastAsia" w:ascii="宋体" w:hAnsi="宋体" w:cs="宋体"/>
                <w:sz w:val="18"/>
                <w:szCs w:val="18"/>
              </w:rPr>
              <w:t>无限制</w:t>
            </w:r>
          </w:p>
        </w:tc>
        <w:tc>
          <w:tcPr>
            <w:tcW w:w="104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117.00</w:t>
            </w:r>
          </w:p>
        </w:tc>
        <w:tc>
          <w:tcPr>
            <w:tcW w:w="99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117.00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633"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2-6</w:t>
            </w:r>
          </w:p>
        </w:tc>
        <w:tc>
          <w:tcPr>
            <w:tcW w:w="86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ascii="宋体" w:hAnsi="宋体" w:cs="宋体"/>
                <w:sz w:val="18"/>
                <w:szCs w:val="18"/>
              </w:rPr>
              <w:t>彭山县青龙镇下马路</w:t>
            </w:r>
          </w:p>
        </w:tc>
        <w:tc>
          <w:tcPr>
            <w:tcW w:w="1255"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彭国用(2005)第02936号</w:t>
            </w:r>
          </w:p>
        </w:tc>
        <w:tc>
          <w:tcPr>
            <w:tcW w:w="68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726" w:type="dxa"/>
            <w:tcMar>
              <w:top w:w="0" w:type="dxa"/>
              <w:left w:w="108" w:type="dxa"/>
              <w:bottom w:w="0" w:type="dxa"/>
              <w:right w:w="108" w:type="dxa"/>
            </w:tcMar>
            <w:vAlign w:val="center"/>
          </w:tcPr>
          <w:p>
            <w:pPr>
              <w:spacing w:line="240" w:lineRule="atLeast"/>
              <w:ind w:left="-105" w:leftChars="-50" w:right="-105" w:rightChars="-50"/>
              <w:jc w:val="center"/>
              <w:rPr>
                <w:rFonts w:ascii="宋体" w:hAnsi="宋体" w:cs="宋体"/>
                <w:sz w:val="18"/>
                <w:szCs w:val="18"/>
              </w:rPr>
            </w:pPr>
            <w:r>
              <w:rPr>
                <w:rFonts w:hint="eastAsia" w:ascii="宋体" w:hAnsi="宋体" w:cs="宋体"/>
                <w:sz w:val="18"/>
                <w:szCs w:val="18"/>
              </w:rPr>
              <w:t>7-1-12-1</w:t>
            </w:r>
          </w:p>
        </w:tc>
        <w:tc>
          <w:tcPr>
            <w:tcW w:w="928"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城镇混合住宅用地</w:t>
            </w:r>
          </w:p>
        </w:tc>
        <w:tc>
          <w:tcPr>
            <w:tcW w:w="631" w:type="dxa"/>
            <w:tcMar>
              <w:top w:w="0" w:type="dxa"/>
              <w:left w:w="108" w:type="dxa"/>
              <w:bottom w:w="0" w:type="dxa"/>
              <w:right w:w="108" w:type="dxa"/>
            </w:tcMar>
            <w:vAlign w:val="center"/>
          </w:tcPr>
          <w:p>
            <w:pPr>
              <w:spacing w:line="240" w:lineRule="atLeast"/>
              <w:ind w:left="-105" w:leftChars="-50" w:right="-105" w:rightChars="-50"/>
              <w:jc w:val="center"/>
              <w:rPr>
                <w:rFonts w:ascii="宋体" w:hAnsi="宋体" w:cs="宋体"/>
                <w:sz w:val="18"/>
                <w:szCs w:val="18"/>
              </w:rPr>
            </w:pPr>
            <w:r>
              <w:rPr>
                <w:rFonts w:hint="eastAsia" w:ascii="宋体" w:hAnsi="宋体" w:cs="宋体"/>
                <w:sz w:val="18"/>
                <w:szCs w:val="18"/>
              </w:rPr>
              <w:t>出让</w:t>
            </w:r>
          </w:p>
        </w:tc>
        <w:tc>
          <w:tcPr>
            <w:tcW w:w="884"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2075年8月1日</w:t>
            </w:r>
          </w:p>
        </w:tc>
        <w:tc>
          <w:tcPr>
            <w:tcW w:w="1311" w:type="dxa"/>
            <w:vAlign w:val="center"/>
          </w:tcPr>
          <w:p>
            <w:pPr>
              <w:spacing w:line="240" w:lineRule="atLeast"/>
              <w:jc w:val="center"/>
              <w:rPr>
                <w:rFonts w:ascii="宋体" w:hAnsi="宋体" w:cs="宋体"/>
                <w:sz w:val="18"/>
                <w:szCs w:val="18"/>
              </w:rPr>
            </w:pPr>
            <w:r>
              <w:rPr>
                <w:rFonts w:hint="eastAsia" w:ascii="宋体" w:hAnsi="宋体" w:cs="宋体"/>
                <w:sz w:val="18"/>
                <w:szCs w:val="18"/>
              </w:rPr>
              <w:t>住宅用地25.77年，商业用地55.77年</w:t>
            </w:r>
          </w:p>
        </w:tc>
        <w:tc>
          <w:tcPr>
            <w:tcW w:w="1049"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637.04</w:t>
            </w:r>
          </w:p>
        </w:tc>
        <w:tc>
          <w:tcPr>
            <w:tcW w:w="99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637.04</w:t>
            </w:r>
          </w:p>
        </w:tc>
      </w:tr>
    </w:tbl>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（2）建筑物权益状况</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根据估价委托人提供的《房屋所有权证》、《眉山市彭山区房地产服务中心房屋信息摘要》复印件，估价对象建筑物权益状况：</w:t>
      </w:r>
    </w:p>
    <w:p>
      <w:pPr>
        <w:spacing w:line="52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估价对象1：</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0"/>
        <w:gridCol w:w="122"/>
        <w:gridCol w:w="849"/>
        <w:gridCol w:w="143"/>
        <w:gridCol w:w="375"/>
        <w:gridCol w:w="616"/>
        <w:gridCol w:w="157"/>
        <w:gridCol w:w="835"/>
        <w:gridCol w:w="709"/>
        <w:gridCol w:w="426"/>
        <w:gridCol w:w="1134"/>
        <w:gridCol w:w="143"/>
        <w:gridCol w:w="917"/>
        <w:gridCol w:w="76"/>
        <w:gridCol w:w="1229"/>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0039252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监证0039253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登记义务人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5176" w:type="dxa"/>
            <w:gridSpan w:val="7"/>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换证（无抵押资料）</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5176" w:type="dxa"/>
            <w:gridSpan w:val="7"/>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0"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5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望江路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42号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1-2</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其他（房屋所有权证登记设计用途为商住）</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混合</w:t>
            </w:r>
          </w:p>
        </w:tc>
        <w:tc>
          <w:tcPr>
            <w:tcW w:w="1060"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52802</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权0018494</w:t>
            </w:r>
          </w:p>
        </w:tc>
        <w:tc>
          <w:tcPr>
            <w:tcW w:w="1251" w:type="dxa"/>
            <w:vAlign w:val="center"/>
          </w:tcPr>
          <w:p>
            <w:pPr>
              <w:spacing w:line="240" w:lineRule="atLeast"/>
              <w:jc w:val="center"/>
              <w:rPr>
                <w:rFonts w:ascii="宋体" w:hAnsi="宋体" w:cs="宋体"/>
                <w:sz w:val="18"/>
                <w:szCs w:val="18"/>
              </w:rPr>
            </w:pPr>
            <w:r>
              <w:rPr>
                <w:rFonts w:hint="eastAsia" w:ascii="宋体" w:hAnsi="宋体" w:cs="宋体"/>
                <w:sz w:val="18"/>
                <w:szCs w:val="18"/>
              </w:rPr>
              <w:t>191.02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29"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5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tcPr>
          <w:p>
            <w:r>
              <w:rPr>
                <w:rFonts w:hint="eastAsia" w:ascii="宋体" w:hAnsi="宋体" w:cs="宋体"/>
                <w:sz w:val="18"/>
                <w:szCs w:val="18"/>
              </w:rPr>
              <w:t>权0018494</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换证（无抵押资料）</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2011/6/14</w:t>
            </w:r>
          </w:p>
        </w:tc>
        <w:tc>
          <w:tcPr>
            <w:tcW w:w="1229" w:type="dxa"/>
            <w:vMerge w:val="continue"/>
            <w:vAlign w:val="center"/>
          </w:tcPr>
          <w:p>
            <w:pPr>
              <w:spacing w:line="240" w:lineRule="atLeast"/>
              <w:jc w:val="center"/>
              <w:rPr>
                <w:rFonts w:ascii="宋体" w:hAnsi="宋体" w:cs="宋体"/>
                <w:sz w:val="18"/>
                <w:szCs w:val="18"/>
              </w:rPr>
            </w:pPr>
          </w:p>
        </w:tc>
        <w:tc>
          <w:tcPr>
            <w:tcW w:w="125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tcPr>
          <w:p>
            <w:r>
              <w:rPr>
                <w:rFonts w:hint="eastAsia" w:ascii="宋体" w:hAnsi="宋体" w:cs="宋体"/>
                <w:sz w:val="18"/>
                <w:szCs w:val="18"/>
              </w:rPr>
              <w:t>权0018494</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初始</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2007/12/26</w:t>
            </w:r>
          </w:p>
        </w:tc>
        <w:tc>
          <w:tcPr>
            <w:tcW w:w="1229" w:type="dxa"/>
            <w:vMerge w:val="continue"/>
            <w:vAlign w:val="center"/>
          </w:tcPr>
          <w:p>
            <w:pPr>
              <w:spacing w:line="240" w:lineRule="atLeast"/>
              <w:jc w:val="center"/>
              <w:rPr>
                <w:rFonts w:ascii="宋体" w:hAnsi="宋体" w:cs="宋体"/>
                <w:sz w:val="18"/>
                <w:szCs w:val="18"/>
              </w:rPr>
            </w:pPr>
          </w:p>
        </w:tc>
        <w:tc>
          <w:tcPr>
            <w:tcW w:w="125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1"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6"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80"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1"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741</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6"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（2017）川1403民初327号</w:t>
            </w:r>
          </w:p>
        </w:tc>
        <w:tc>
          <w:tcPr>
            <w:tcW w:w="2480"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0"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0"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2"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5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0"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0"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2"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5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估价对象2：</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1"/>
        <w:gridCol w:w="126"/>
        <w:gridCol w:w="849"/>
        <w:gridCol w:w="139"/>
        <w:gridCol w:w="379"/>
        <w:gridCol w:w="616"/>
        <w:gridCol w:w="153"/>
        <w:gridCol w:w="839"/>
        <w:gridCol w:w="709"/>
        <w:gridCol w:w="426"/>
        <w:gridCol w:w="1134"/>
        <w:gridCol w:w="143"/>
        <w:gridCol w:w="922"/>
        <w:gridCol w:w="70"/>
        <w:gridCol w:w="123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0077972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监证0077973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新建</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下马路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11、13号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商业</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框架</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99000</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权0049989</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222.25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35"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4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tcPr>
          <w:p>
            <w:r>
              <w:rPr>
                <w:rFonts w:hint="eastAsia" w:ascii="宋体" w:hAnsi="宋体" w:cs="宋体"/>
                <w:sz w:val="18"/>
                <w:szCs w:val="18"/>
              </w:rPr>
              <w:t>权0049989</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2015/4/13</w:t>
            </w:r>
          </w:p>
        </w:tc>
        <w:tc>
          <w:tcPr>
            <w:tcW w:w="1235" w:type="dxa"/>
            <w:vMerge w:val="continue"/>
            <w:vAlign w:val="center"/>
          </w:tcPr>
          <w:p>
            <w:pPr>
              <w:spacing w:line="240" w:lineRule="atLeast"/>
              <w:jc w:val="center"/>
              <w:rPr>
                <w:rFonts w:ascii="宋体" w:hAnsi="宋体" w:cs="宋体"/>
                <w:sz w:val="18"/>
                <w:szCs w:val="18"/>
              </w:rPr>
            </w:pPr>
          </w:p>
        </w:tc>
        <w:tc>
          <w:tcPr>
            <w:tcW w:w="124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742</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（2017）川1403民初328号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估价对象3：</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1"/>
        <w:gridCol w:w="126"/>
        <w:gridCol w:w="849"/>
        <w:gridCol w:w="139"/>
        <w:gridCol w:w="379"/>
        <w:gridCol w:w="616"/>
        <w:gridCol w:w="153"/>
        <w:gridCol w:w="839"/>
        <w:gridCol w:w="709"/>
        <w:gridCol w:w="426"/>
        <w:gridCol w:w="1134"/>
        <w:gridCol w:w="143"/>
        <w:gridCol w:w="922"/>
        <w:gridCol w:w="70"/>
        <w:gridCol w:w="123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0077970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监证0077971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新建</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下马路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11、13号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2</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商业</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框架</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99001</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权0049988</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270.07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35"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4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tcPr>
          <w:p>
            <w:r>
              <w:rPr>
                <w:rFonts w:hint="eastAsia" w:ascii="宋体" w:hAnsi="宋体" w:cs="宋体"/>
                <w:sz w:val="18"/>
                <w:szCs w:val="18"/>
              </w:rPr>
              <w:t>权0049988</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2015/4/13</w:t>
            </w:r>
          </w:p>
        </w:tc>
        <w:tc>
          <w:tcPr>
            <w:tcW w:w="1235" w:type="dxa"/>
            <w:vMerge w:val="continue"/>
            <w:vAlign w:val="center"/>
          </w:tcPr>
          <w:p>
            <w:pPr>
              <w:spacing w:line="240" w:lineRule="atLeast"/>
              <w:jc w:val="center"/>
              <w:rPr>
                <w:rFonts w:ascii="宋体" w:hAnsi="宋体" w:cs="宋体"/>
                <w:sz w:val="18"/>
                <w:szCs w:val="18"/>
              </w:rPr>
            </w:pPr>
          </w:p>
        </w:tc>
        <w:tc>
          <w:tcPr>
            <w:tcW w:w="124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742</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（2017）川1403民初328号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估价对象4：</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1"/>
        <w:gridCol w:w="126"/>
        <w:gridCol w:w="849"/>
        <w:gridCol w:w="139"/>
        <w:gridCol w:w="379"/>
        <w:gridCol w:w="616"/>
        <w:gridCol w:w="153"/>
        <w:gridCol w:w="839"/>
        <w:gridCol w:w="709"/>
        <w:gridCol w:w="426"/>
        <w:gridCol w:w="1134"/>
        <w:gridCol w:w="143"/>
        <w:gridCol w:w="922"/>
        <w:gridCol w:w="70"/>
        <w:gridCol w:w="123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0077968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监证0077969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登记义务人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新建</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下马路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11、13号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商业</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框架</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99002</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权0049987</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270.07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35"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4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tcPr>
          <w:p>
            <w:r>
              <w:rPr>
                <w:rFonts w:hint="eastAsia" w:ascii="宋体" w:hAnsi="宋体" w:cs="宋体"/>
                <w:sz w:val="18"/>
                <w:szCs w:val="18"/>
              </w:rPr>
              <w:t>权0049987</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2015/4/13</w:t>
            </w:r>
          </w:p>
        </w:tc>
        <w:tc>
          <w:tcPr>
            <w:tcW w:w="1235" w:type="dxa"/>
            <w:vMerge w:val="continue"/>
            <w:vAlign w:val="center"/>
          </w:tcPr>
          <w:p>
            <w:pPr>
              <w:spacing w:line="240" w:lineRule="atLeast"/>
              <w:jc w:val="center"/>
              <w:rPr>
                <w:rFonts w:ascii="宋体" w:hAnsi="宋体" w:cs="宋体"/>
                <w:sz w:val="18"/>
                <w:szCs w:val="18"/>
              </w:rPr>
            </w:pPr>
          </w:p>
        </w:tc>
        <w:tc>
          <w:tcPr>
            <w:tcW w:w="124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742</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（2017）川1403民初328号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估价对象5：</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1"/>
        <w:gridCol w:w="126"/>
        <w:gridCol w:w="849"/>
        <w:gridCol w:w="139"/>
        <w:gridCol w:w="379"/>
        <w:gridCol w:w="616"/>
        <w:gridCol w:w="153"/>
        <w:gridCol w:w="839"/>
        <w:gridCol w:w="709"/>
        <w:gridCol w:w="426"/>
        <w:gridCol w:w="1134"/>
        <w:gridCol w:w="143"/>
        <w:gridCol w:w="922"/>
        <w:gridCol w:w="70"/>
        <w:gridCol w:w="1235"/>
        <w:gridCol w:w="1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0077966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4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监证0077967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74"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新建</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2625"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c>
          <w:tcPr>
            <w:tcW w:w="2546"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下马路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11、13号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4</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住宅</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混合</w:t>
            </w:r>
          </w:p>
        </w:tc>
        <w:tc>
          <w:tcPr>
            <w:tcW w:w="1065"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99003</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权0049986</w:t>
            </w:r>
          </w:p>
        </w:tc>
        <w:tc>
          <w:tcPr>
            <w:tcW w:w="1241" w:type="dxa"/>
            <w:vAlign w:val="center"/>
          </w:tcPr>
          <w:p>
            <w:pPr>
              <w:spacing w:line="240" w:lineRule="atLeast"/>
              <w:jc w:val="center"/>
              <w:rPr>
                <w:rFonts w:ascii="宋体" w:hAnsi="宋体" w:cs="宋体"/>
                <w:sz w:val="18"/>
                <w:szCs w:val="18"/>
              </w:rPr>
            </w:pPr>
            <w:r>
              <w:rPr>
                <w:rFonts w:hint="eastAsia" w:ascii="宋体" w:hAnsi="宋体" w:cs="宋体"/>
                <w:sz w:val="18"/>
                <w:szCs w:val="18"/>
              </w:rPr>
              <w:t>77.19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35"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4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7" w:type="dxa"/>
            <w:gridSpan w:val="2"/>
            <w:tcMar>
              <w:top w:w="0" w:type="dxa"/>
              <w:left w:w="108" w:type="dxa"/>
              <w:bottom w:w="0" w:type="dxa"/>
              <w:right w:w="108" w:type="dxa"/>
            </w:tcMar>
          </w:tcPr>
          <w:p>
            <w:r>
              <w:rPr>
                <w:rFonts w:hint="eastAsia" w:ascii="宋体" w:hAnsi="宋体" w:cs="宋体"/>
                <w:sz w:val="18"/>
                <w:szCs w:val="18"/>
              </w:rPr>
              <w:t>权0049986</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新建</w:t>
            </w:r>
          </w:p>
        </w:tc>
        <w:tc>
          <w:tcPr>
            <w:tcW w:w="2269"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2015/4/13</w:t>
            </w:r>
          </w:p>
        </w:tc>
        <w:tc>
          <w:tcPr>
            <w:tcW w:w="1235" w:type="dxa"/>
            <w:vMerge w:val="continue"/>
            <w:vAlign w:val="center"/>
          </w:tcPr>
          <w:p>
            <w:pPr>
              <w:spacing w:line="240" w:lineRule="atLeast"/>
              <w:jc w:val="center"/>
              <w:rPr>
                <w:rFonts w:ascii="宋体" w:hAnsi="宋体" w:cs="宋体"/>
                <w:sz w:val="18"/>
                <w:szCs w:val="18"/>
              </w:rPr>
            </w:pPr>
          </w:p>
        </w:tc>
        <w:tc>
          <w:tcPr>
            <w:tcW w:w="124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6"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742</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5"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（2017）川1403民初328号</w:t>
            </w:r>
          </w:p>
        </w:tc>
        <w:tc>
          <w:tcPr>
            <w:tcW w:w="2476"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1"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7"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4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估价对象6：</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80"/>
        <w:gridCol w:w="122"/>
        <w:gridCol w:w="849"/>
        <w:gridCol w:w="143"/>
        <w:gridCol w:w="375"/>
        <w:gridCol w:w="616"/>
        <w:gridCol w:w="157"/>
        <w:gridCol w:w="835"/>
        <w:gridCol w:w="709"/>
        <w:gridCol w:w="426"/>
        <w:gridCol w:w="1134"/>
        <w:gridCol w:w="143"/>
        <w:gridCol w:w="917"/>
        <w:gridCol w:w="76"/>
        <w:gridCol w:w="1229"/>
        <w:gridCol w:w="1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登记权利人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监证</w:t>
            </w:r>
            <w:r>
              <w:rPr>
                <w:rFonts w:hint="eastAsia" w:ascii="宋体" w:hAnsi="宋体" w:cs="宋体"/>
                <w:kern w:val="0"/>
                <w:sz w:val="20"/>
                <w:szCs w:val="21"/>
              </w:rPr>
              <w:t>0039250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黄光兴</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511128195001201118</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kern w:val="0"/>
                <w:sz w:val="20"/>
                <w:szCs w:val="21"/>
              </w:rPr>
              <w:t>监证0039251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登记义务人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姓名</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证件类型</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证件号码</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档案状态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18"/>
                <w:szCs w:val="18"/>
              </w:rPr>
              <w:t>付学芳</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身份证</w:t>
            </w:r>
          </w:p>
        </w:tc>
        <w:tc>
          <w:tcPr>
            <w:tcW w:w="262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511128195204051121</w:t>
            </w:r>
          </w:p>
        </w:tc>
        <w:tc>
          <w:tcPr>
            <w:tcW w:w="2556" w:type="dxa"/>
            <w:gridSpan w:val="3"/>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登记原因</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产别</w:t>
            </w:r>
          </w:p>
        </w:tc>
        <w:tc>
          <w:tcPr>
            <w:tcW w:w="5176" w:type="dxa"/>
            <w:gridSpan w:val="7"/>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共有性质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2469" w:type="dxa"/>
            <w:gridSpan w:val="5"/>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换证（无抵押资料）</w:t>
            </w:r>
          </w:p>
        </w:tc>
        <w:tc>
          <w:tcPr>
            <w:tcW w:w="2317"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私产</w:t>
            </w:r>
          </w:p>
        </w:tc>
        <w:tc>
          <w:tcPr>
            <w:tcW w:w="5176" w:type="dxa"/>
            <w:gridSpan w:val="7"/>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共同共有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房屋自然状况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所在区</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街道</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门牌</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楼层</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规划用途</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结构</w:t>
            </w:r>
          </w:p>
        </w:tc>
        <w:tc>
          <w:tcPr>
            <w:tcW w:w="1060"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房屋唯一号</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业务宗号</w:t>
            </w:r>
          </w:p>
        </w:tc>
        <w:tc>
          <w:tcPr>
            <w:tcW w:w="1251" w:type="dxa"/>
            <w:vAlign w:val="center"/>
          </w:tcPr>
          <w:p>
            <w:pPr>
              <w:spacing w:line="240" w:lineRule="atLeast"/>
              <w:jc w:val="center"/>
              <w:rPr>
                <w:rFonts w:ascii="宋体" w:hAnsi="宋体" w:cs="宋体"/>
                <w:sz w:val="18"/>
                <w:szCs w:val="18"/>
              </w:rPr>
            </w:pPr>
            <w:r>
              <w:rPr>
                <w:rFonts w:hint="eastAsia" w:ascii="宋体" w:hAnsi="宋体" w:cs="宋体"/>
                <w:sz w:val="18"/>
                <w:szCs w:val="18"/>
              </w:rPr>
              <w:t>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青龙镇</w:t>
            </w:r>
          </w:p>
        </w:tc>
        <w:tc>
          <w:tcPr>
            <w:tcW w:w="849"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下马路</w:t>
            </w:r>
          </w:p>
        </w:tc>
        <w:tc>
          <w:tcPr>
            <w:tcW w:w="113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180号</w:t>
            </w:r>
          </w:p>
        </w:tc>
        <w:tc>
          <w:tcPr>
            <w:tcW w:w="99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w:t>
            </w:r>
          </w:p>
        </w:tc>
        <w:tc>
          <w:tcPr>
            <w:tcW w:w="113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其他</w:t>
            </w:r>
          </w:p>
        </w:tc>
        <w:tc>
          <w:tcPr>
            <w:tcW w:w="1134" w:type="dxa"/>
            <w:vAlign w:val="center"/>
          </w:tcPr>
          <w:p>
            <w:pPr>
              <w:spacing w:line="240" w:lineRule="atLeast"/>
              <w:jc w:val="center"/>
              <w:rPr>
                <w:rFonts w:ascii="宋体" w:hAnsi="宋体" w:cs="宋体"/>
                <w:sz w:val="18"/>
                <w:szCs w:val="18"/>
              </w:rPr>
            </w:pPr>
            <w:r>
              <w:rPr>
                <w:rFonts w:hint="eastAsia" w:ascii="宋体" w:hAnsi="宋体" w:cs="宋体"/>
                <w:sz w:val="18"/>
                <w:szCs w:val="18"/>
              </w:rPr>
              <w:t>砖木</w:t>
            </w:r>
          </w:p>
        </w:tc>
        <w:tc>
          <w:tcPr>
            <w:tcW w:w="1060" w:type="dxa"/>
            <w:gridSpan w:val="2"/>
            <w:vAlign w:val="center"/>
          </w:tcPr>
          <w:p>
            <w:pPr>
              <w:spacing w:line="240" w:lineRule="atLeast"/>
              <w:jc w:val="center"/>
              <w:rPr>
                <w:rFonts w:ascii="宋体" w:hAnsi="宋体" w:cs="宋体"/>
                <w:sz w:val="18"/>
                <w:szCs w:val="18"/>
              </w:rPr>
            </w:pPr>
            <w:r>
              <w:rPr>
                <w:rFonts w:hint="eastAsia" w:ascii="宋体" w:hAnsi="宋体" w:cs="宋体"/>
                <w:sz w:val="18"/>
                <w:szCs w:val="18"/>
              </w:rPr>
              <w:t>52801</w:t>
            </w:r>
          </w:p>
        </w:tc>
        <w:tc>
          <w:tcPr>
            <w:tcW w:w="1305"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权0016645</w:t>
            </w:r>
          </w:p>
        </w:tc>
        <w:tc>
          <w:tcPr>
            <w:tcW w:w="1251" w:type="dxa"/>
            <w:vAlign w:val="center"/>
          </w:tcPr>
          <w:p>
            <w:pPr>
              <w:spacing w:line="240" w:lineRule="atLeast"/>
              <w:jc w:val="center"/>
              <w:rPr>
                <w:rFonts w:ascii="宋体" w:hAnsi="宋体" w:cs="宋体"/>
                <w:sz w:val="18"/>
                <w:szCs w:val="18"/>
              </w:rPr>
            </w:pPr>
            <w:r>
              <w:rPr>
                <w:rFonts w:hint="eastAsia" w:ascii="宋体" w:hAnsi="宋体" w:cs="宋体"/>
                <w:sz w:val="18"/>
                <w:szCs w:val="18"/>
              </w:rPr>
              <w:t>332.13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变动记录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业务宗号</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登记权利人</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登记事项</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登记时间</w:t>
            </w:r>
          </w:p>
        </w:tc>
        <w:tc>
          <w:tcPr>
            <w:tcW w:w="1229"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是否载入登记簿</w:t>
            </w:r>
          </w:p>
        </w:tc>
        <w:tc>
          <w:tcPr>
            <w:tcW w:w="1251" w:type="dxa"/>
            <w:vMerge w:val="restart"/>
            <w:vAlign w:val="center"/>
          </w:tcPr>
          <w:p>
            <w:pPr>
              <w:spacing w:line="240" w:lineRule="atLeast"/>
              <w:jc w:val="center"/>
              <w:rPr>
                <w:rFonts w:ascii="宋体" w:hAnsi="宋体" w:cs="宋体"/>
                <w:sz w:val="18"/>
                <w:szCs w:val="18"/>
              </w:rPr>
            </w:pPr>
            <w:r>
              <w:rPr>
                <w:rFonts w:hint="eastAsia" w:ascii="宋体" w:hAnsi="宋体" w:cs="宋体"/>
                <w:sz w:val="18"/>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tcPr>
          <w:p>
            <w:r>
              <w:rPr>
                <w:rFonts w:hint="eastAsia" w:ascii="宋体" w:hAnsi="宋体" w:cs="宋体"/>
                <w:sz w:val="18"/>
                <w:szCs w:val="18"/>
              </w:rPr>
              <w:t>权0016645</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付学芳、黄光兴</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换证（无抵押资料）</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2011/6/14</w:t>
            </w:r>
          </w:p>
        </w:tc>
        <w:tc>
          <w:tcPr>
            <w:tcW w:w="1229" w:type="dxa"/>
            <w:vMerge w:val="continue"/>
            <w:vAlign w:val="center"/>
          </w:tcPr>
          <w:p>
            <w:pPr>
              <w:spacing w:line="240" w:lineRule="atLeast"/>
              <w:jc w:val="center"/>
              <w:rPr>
                <w:rFonts w:ascii="宋体" w:hAnsi="宋体" w:cs="宋体"/>
                <w:sz w:val="18"/>
                <w:szCs w:val="18"/>
              </w:rPr>
            </w:pPr>
          </w:p>
        </w:tc>
        <w:tc>
          <w:tcPr>
            <w:tcW w:w="125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102" w:type="dxa"/>
            <w:gridSpan w:val="2"/>
            <w:tcMar>
              <w:top w:w="0" w:type="dxa"/>
              <w:left w:w="108" w:type="dxa"/>
              <w:bottom w:w="0" w:type="dxa"/>
              <w:right w:w="108" w:type="dxa"/>
            </w:tcMar>
          </w:tcPr>
          <w:p>
            <w:r>
              <w:rPr>
                <w:rFonts w:hint="eastAsia" w:ascii="宋体" w:hAnsi="宋体" w:cs="宋体"/>
                <w:sz w:val="18"/>
                <w:szCs w:val="18"/>
              </w:rPr>
              <w:t>权0016645</w:t>
            </w:r>
          </w:p>
        </w:tc>
        <w:tc>
          <w:tcPr>
            <w:tcW w:w="1983"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127"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初始</w:t>
            </w:r>
          </w:p>
        </w:tc>
        <w:tc>
          <w:tcPr>
            <w:tcW w:w="2270" w:type="dxa"/>
            <w:gridSpan w:val="4"/>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2007/5/24</w:t>
            </w:r>
          </w:p>
        </w:tc>
        <w:tc>
          <w:tcPr>
            <w:tcW w:w="1229" w:type="dxa"/>
            <w:vMerge w:val="continue"/>
            <w:vAlign w:val="center"/>
          </w:tcPr>
          <w:p>
            <w:pPr>
              <w:spacing w:line="240" w:lineRule="atLeast"/>
              <w:jc w:val="center"/>
              <w:rPr>
                <w:rFonts w:ascii="宋体" w:hAnsi="宋体" w:cs="宋体"/>
                <w:sz w:val="18"/>
                <w:szCs w:val="18"/>
              </w:rPr>
            </w:pPr>
          </w:p>
        </w:tc>
        <w:tc>
          <w:tcPr>
            <w:tcW w:w="1251" w:type="dxa"/>
            <w:vMerge w:val="continue"/>
            <w:vAlign w:val="center"/>
          </w:tcPr>
          <w:p>
            <w:pPr>
              <w:spacing w:line="240" w:lineRule="atLeast"/>
              <w:jc w:val="center"/>
              <w:rPr>
                <w:rFonts w:ascii="宋体" w:hAnsi="宋体" w:cs="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1"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查封号</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查封单位</w:t>
            </w:r>
          </w:p>
        </w:tc>
        <w:tc>
          <w:tcPr>
            <w:tcW w:w="2696"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查封文号</w:t>
            </w:r>
          </w:p>
        </w:tc>
        <w:tc>
          <w:tcPr>
            <w:tcW w:w="2480"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查封时间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1951"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741</w:t>
            </w:r>
          </w:p>
        </w:tc>
        <w:tc>
          <w:tcPr>
            <w:tcW w:w="2835" w:type="dxa"/>
            <w:gridSpan w:val="6"/>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眉山市彭山区人民法院</w:t>
            </w:r>
          </w:p>
        </w:tc>
        <w:tc>
          <w:tcPr>
            <w:tcW w:w="2696" w:type="dxa"/>
            <w:gridSpan w:val="5"/>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（2017）川1403民初327号</w:t>
            </w:r>
          </w:p>
        </w:tc>
        <w:tc>
          <w:tcPr>
            <w:tcW w:w="2480"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2017/2/17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962" w:type="dxa"/>
            <w:gridSpan w:val="16"/>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抵押信息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0"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他权号</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抵押面积</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权利价值</w:t>
            </w:r>
          </w:p>
        </w:tc>
        <w:tc>
          <w:tcPr>
            <w:tcW w:w="1970"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抵押权人</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债务人</w:t>
            </w:r>
          </w:p>
        </w:tc>
        <w:tc>
          <w:tcPr>
            <w:tcW w:w="2222"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约定期限</w:t>
            </w:r>
          </w:p>
        </w:tc>
        <w:tc>
          <w:tcPr>
            <w:tcW w:w="125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7" w:hRule="atLeast"/>
          <w:jc w:val="center"/>
        </w:trPr>
        <w:tc>
          <w:tcPr>
            <w:tcW w:w="980" w:type="dxa"/>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他权2016147</w:t>
            </w:r>
          </w:p>
        </w:tc>
        <w:tc>
          <w:tcPr>
            <w:tcW w:w="1114"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1362.73</w:t>
            </w:r>
          </w:p>
        </w:tc>
        <w:tc>
          <w:tcPr>
            <w:tcW w:w="1148"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hint="eastAsia" w:ascii="宋体" w:hAnsi="宋体" w:cs="宋体"/>
                <w:sz w:val="20"/>
                <w:szCs w:val="21"/>
              </w:rPr>
              <w:t>3700000</w:t>
            </w:r>
          </w:p>
        </w:tc>
        <w:tc>
          <w:tcPr>
            <w:tcW w:w="1970" w:type="dxa"/>
            <w:gridSpan w:val="3"/>
            <w:tcMar>
              <w:top w:w="0" w:type="dxa"/>
              <w:left w:w="108" w:type="dxa"/>
              <w:bottom w:w="0" w:type="dxa"/>
              <w:right w:w="108" w:type="dxa"/>
            </w:tcMar>
            <w:vAlign w:val="center"/>
          </w:tcPr>
          <w:p>
            <w:pPr>
              <w:spacing w:line="240" w:lineRule="atLeast"/>
              <w:jc w:val="center"/>
              <w:rPr>
                <w:rFonts w:ascii="宋体" w:hAnsi="宋体" w:cs="宋体"/>
                <w:sz w:val="20"/>
                <w:szCs w:val="21"/>
              </w:rPr>
            </w:pPr>
            <w:r>
              <w:rPr>
                <w:rFonts w:ascii="宋体" w:hAnsi="宋体" w:cs="宋体"/>
                <w:sz w:val="20"/>
                <w:szCs w:val="21"/>
              </w:rPr>
              <w:t>彭山珠江村镇银行股份有限公司</w:t>
            </w:r>
          </w:p>
        </w:tc>
        <w:tc>
          <w:tcPr>
            <w:tcW w:w="1277" w:type="dxa"/>
            <w:gridSpan w:val="2"/>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付学芳</w:t>
            </w:r>
          </w:p>
        </w:tc>
        <w:tc>
          <w:tcPr>
            <w:tcW w:w="2222" w:type="dxa"/>
            <w:gridSpan w:val="3"/>
            <w:vAlign w:val="center"/>
          </w:tcPr>
          <w:p>
            <w:pPr>
              <w:spacing w:line="240" w:lineRule="atLeast"/>
              <w:jc w:val="center"/>
              <w:rPr>
                <w:rFonts w:ascii="宋体" w:hAnsi="宋体" w:cs="宋体"/>
                <w:sz w:val="18"/>
                <w:szCs w:val="18"/>
              </w:rPr>
            </w:pPr>
            <w:r>
              <w:rPr>
                <w:rFonts w:hint="eastAsia" w:ascii="宋体" w:hAnsi="宋体" w:cs="宋体"/>
                <w:sz w:val="18"/>
                <w:szCs w:val="18"/>
              </w:rPr>
              <w:t>2016-02-01至2019-02-01</w:t>
            </w:r>
          </w:p>
        </w:tc>
        <w:tc>
          <w:tcPr>
            <w:tcW w:w="1251" w:type="dxa"/>
            <w:tcMar>
              <w:top w:w="0" w:type="dxa"/>
              <w:left w:w="108" w:type="dxa"/>
              <w:bottom w:w="0" w:type="dxa"/>
              <w:right w:w="108" w:type="dxa"/>
            </w:tcMar>
            <w:vAlign w:val="center"/>
          </w:tcPr>
          <w:p>
            <w:pPr>
              <w:spacing w:line="240" w:lineRule="atLeast"/>
              <w:jc w:val="center"/>
              <w:rPr>
                <w:rFonts w:ascii="宋体" w:hAnsi="宋体" w:cs="宋体"/>
                <w:sz w:val="18"/>
                <w:szCs w:val="18"/>
              </w:rPr>
            </w:pPr>
            <w:r>
              <w:rPr>
                <w:rFonts w:hint="eastAsia" w:ascii="宋体" w:hAnsi="宋体" w:cs="宋体"/>
                <w:sz w:val="18"/>
                <w:szCs w:val="18"/>
              </w:rPr>
              <w:t>有效</w:t>
            </w:r>
          </w:p>
        </w:tc>
      </w:tr>
    </w:tbl>
    <w:p>
      <w:pPr>
        <w:spacing w:beforeLines="50"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（3）估价对象其他权利状况</w:t>
      </w:r>
    </w:p>
    <w:p>
      <w:pPr>
        <w:pStyle w:val="113"/>
        <w:numPr>
          <w:ilvl w:val="0"/>
          <w:numId w:val="5"/>
        </w:numPr>
        <w:spacing w:line="360" w:lineRule="auto"/>
        <w:ind w:firstLineChars="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土地</w:t>
      </w:r>
      <w:r>
        <w:rPr>
          <w:rFonts w:cs="Arial" w:asciiTheme="minorEastAsia" w:hAnsiTheme="minorEastAsia" w:eastAsiaTheme="minorEastAsia"/>
          <w:sz w:val="28"/>
          <w:szCs w:val="28"/>
        </w:rPr>
        <w:t>用益物权设立情况</w:t>
      </w:r>
    </w:p>
    <w:p>
      <w:pPr>
        <w:spacing w:line="360" w:lineRule="auto"/>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根据估价委托人提供的资料，截止价值时点，估价对象</w:t>
      </w:r>
      <w:r>
        <w:rPr>
          <w:rFonts w:hint="eastAsia" w:cs="Arial" w:asciiTheme="minorEastAsia" w:hAnsiTheme="minorEastAsia" w:eastAsiaTheme="minorEastAsia"/>
          <w:sz w:val="28"/>
          <w:szCs w:val="28"/>
        </w:rPr>
        <w:t>分摊</w:t>
      </w:r>
      <w:r>
        <w:rPr>
          <w:rFonts w:cs="Arial" w:asciiTheme="minorEastAsia" w:hAnsiTheme="minorEastAsia" w:eastAsiaTheme="minorEastAsia"/>
          <w:sz w:val="28"/>
          <w:szCs w:val="28"/>
        </w:rPr>
        <w:t>的土地</w:t>
      </w:r>
      <w:r>
        <w:rPr>
          <w:rFonts w:hint="eastAsia" w:cs="Arial" w:asciiTheme="minorEastAsia" w:hAnsiTheme="minorEastAsia" w:eastAsiaTheme="minorEastAsia"/>
          <w:sz w:val="28"/>
          <w:szCs w:val="28"/>
        </w:rPr>
        <w:t>使用权未设立地役权等其他用益物权</w:t>
      </w:r>
      <w:r>
        <w:rPr>
          <w:rFonts w:cs="Arial" w:asciiTheme="minorEastAsia" w:hAnsiTheme="minorEastAsia" w:eastAsiaTheme="minorEastAsia"/>
          <w:sz w:val="28"/>
          <w:szCs w:val="28"/>
        </w:rPr>
        <w:t>。</w:t>
      </w:r>
    </w:p>
    <w:p>
      <w:pPr>
        <w:spacing w:line="360" w:lineRule="auto"/>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2）</w:t>
      </w:r>
      <w:r>
        <w:rPr>
          <w:rFonts w:cs="Arial" w:asciiTheme="minorEastAsia" w:hAnsiTheme="minorEastAsia" w:eastAsiaTheme="minorEastAsia"/>
          <w:sz w:val="28"/>
          <w:szCs w:val="28"/>
        </w:rPr>
        <w:t>抵押、担保物权设立情况</w:t>
      </w:r>
    </w:p>
    <w:p>
      <w:pPr>
        <w:spacing w:line="360" w:lineRule="auto"/>
        <w:ind w:firstLine="560" w:firstLineChars="200"/>
        <w:rPr>
          <w:rFonts w:ascii="宋体" w:hAnsi="宋体"/>
          <w:snapToGrid w:val="0"/>
          <w:kern w:val="0"/>
          <w:sz w:val="28"/>
          <w:szCs w:val="28"/>
        </w:rPr>
      </w:pPr>
      <w:r>
        <w:rPr>
          <w:rFonts w:hint="eastAsia" w:cs="Arial" w:asciiTheme="minorEastAsia" w:hAnsiTheme="minorEastAsia" w:eastAsiaTheme="minorEastAsia"/>
          <w:sz w:val="28"/>
          <w:szCs w:val="28"/>
        </w:rPr>
        <w:t>根据估价委托人提供的</w:t>
      </w:r>
      <w:r>
        <w:rPr>
          <w:rFonts w:hint="eastAsia" w:asciiTheme="minorEastAsia" w:hAnsiTheme="minorEastAsia" w:eastAsiaTheme="minorEastAsia"/>
          <w:sz w:val="28"/>
          <w:szCs w:val="28"/>
        </w:rPr>
        <w:t>《眉山市彭山区房地产服务中心房屋信息摘要》</w:t>
      </w:r>
      <w:r>
        <w:rPr>
          <w:rFonts w:hint="eastAsia" w:ascii="宋体" w:hAnsi="宋体"/>
          <w:snapToGrid w:val="0"/>
          <w:kern w:val="0"/>
          <w:sz w:val="28"/>
          <w:szCs w:val="28"/>
        </w:rPr>
        <w:t>复印件，估价对象抵押、担保物权设立情况见上述</w:t>
      </w:r>
      <w:r>
        <w:rPr>
          <w:rFonts w:hint="eastAsia" w:asciiTheme="minorEastAsia" w:hAnsiTheme="minorEastAsia" w:eastAsiaTheme="minorEastAsia"/>
          <w:sz w:val="28"/>
          <w:szCs w:val="28"/>
        </w:rPr>
        <w:t>建筑物权益状况表。</w:t>
      </w:r>
    </w:p>
    <w:p>
      <w:pPr>
        <w:spacing w:line="360" w:lineRule="auto"/>
        <w:ind w:firstLine="560" w:firstLineChars="200"/>
        <w:jc w:val="left"/>
        <w:rPr>
          <w:rFonts w:cs="Arial" w:asciiTheme="minorEastAsia" w:hAnsiTheme="minorEastAsia" w:eastAsiaTheme="minorEastAsia"/>
          <w:sz w:val="28"/>
          <w:szCs w:val="28"/>
        </w:rPr>
      </w:pPr>
      <w:r>
        <w:rPr>
          <w:rFonts w:cs="Arial" w:asciiTheme="minorEastAsia" w:hAnsiTheme="minorEastAsia" w:eastAsiaTheme="minorEastAsia"/>
          <w:sz w:val="28"/>
          <w:szCs w:val="28"/>
        </w:rPr>
        <w:t>3)租赁或占用情况</w:t>
      </w:r>
    </w:p>
    <w:p>
      <w:pPr>
        <w:spacing w:line="360" w:lineRule="auto"/>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估价对象1在价值时点有人居住，一楼商业空置；估价对象2-5空置。我们已进行必要的调查但未能调查到其租赁情况。</w:t>
      </w:r>
    </w:p>
    <w:p>
      <w:pPr>
        <w:spacing w:line="360" w:lineRule="auto"/>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4)拖欠税</w:t>
      </w:r>
      <w:r>
        <w:rPr>
          <w:rFonts w:hint="eastAsia" w:cs="Arial" w:asciiTheme="minorEastAsia" w:hAnsiTheme="minorEastAsia" w:eastAsiaTheme="minorEastAsia"/>
          <w:sz w:val="28"/>
          <w:szCs w:val="28"/>
        </w:rPr>
        <w:t>、</w:t>
      </w:r>
      <w:r>
        <w:rPr>
          <w:rFonts w:cs="Arial" w:asciiTheme="minorEastAsia" w:hAnsiTheme="minorEastAsia" w:eastAsiaTheme="minorEastAsia"/>
          <w:sz w:val="28"/>
          <w:szCs w:val="28"/>
        </w:rPr>
        <w:t>费情况</w:t>
      </w:r>
    </w:p>
    <w:p>
      <w:pPr>
        <w:spacing w:line="360" w:lineRule="auto"/>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至价值时点，未向我们提供估价对象所拖欠税、费情况。我们已进行必要的调查但未能调查到其拖欠税、费情况。</w:t>
      </w:r>
    </w:p>
    <w:p>
      <w:pPr>
        <w:spacing w:line="360" w:lineRule="auto"/>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5</w:t>
      </w:r>
      <w:r>
        <w:rPr>
          <w:rFonts w:cs="Arial" w:asciiTheme="minorEastAsia" w:hAnsiTheme="minorEastAsia" w:eastAsiaTheme="minorEastAsia"/>
          <w:sz w:val="28"/>
          <w:szCs w:val="28"/>
        </w:rPr>
        <w:t>)土地使用管制</w:t>
      </w:r>
    </w:p>
    <w:p>
      <w:pPr>
        <w:tabs>
          <w:tab w:val="left" w:pos="3095"/>
        </w:tabs>
        <w:autoSpaceDE w:val="0"/>
        <w:autoSpaceDN w:val="0"/>
        <w:adjustRightInd w:val="0"/>
        <w:snapToGrid w:val="0"/>
        <w:spacing w:line="360" w:lineRule="auto"/>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估价对象</w:t>
      </w:r>
      <w:r>
        <w:rPr>
          <w:rFonts w:hint="eastAsia" w:cs="Arial" w:asciiTheme="minorEastAsia" w:hAnsiTheme="minorEastAsia" w:eastAsiaTheme="minorEastAsia"/>
          <w:sz w:val="28"/>
          <w:szCs w:val="28"/>
        </w:rPr>
        <w:t>房地产</w:t>
      </w:r>
      <w:r>
        <w:rPr>
          <w:rFonts w:cs="Arial" w:asciiTheme="minorEastAsia" w:hAnsiTheme="minorEastAsia" w:eastAsiaTheme="minorEastAsia"/>
          <w:sz w:val="28"/>
          <w:szCs w:val="28"/>
        </w:rPr>
        <w:t>已取得产权证，</w:t>
      </w:r>
      <w:r>
        <w:rPr>
          <w:rFonts w:hint="eastAsia" w:cs="Arial" w:asciiTheme="minorEastAsia" w:hAnsiTheme="minorEastAsia" w:eastAsiaTheme="minorEastAsia"/>
          <w:sz w:val="28"/>
          <w:szCs w:val="28"/>
        </w:rPr>
        <w:t>土地使用合法，</w:t>
      </w:r>
      <w:r>
        <w:rPr>
          <w:rFonts w:cs="Arial" w:asciiTheme="minorEastAsia" w:hAnsiTheme="minorEastAsia" w:eastAsiaTheme="minorEastAsia"/>
          <w:sz w:val="28"/>
          <w:szCs w:val="28"/>
        </w:rPr>
        <w:t>符合土地使用管制。</w:t>
      </w:r>
    </w:p>
    <w:p>
      <w:pPr>
        <w:spacing w:line="360" w:lineRule="auto"/>
        <w:ind w:firstLine="560" w:firstLineChars="200"/>
        <w:rPr>
          <w:rFonts w:cs="Arial" w:asciiTheme="minorEastAsia" w:hAnsiTheme="minorEastAsia" w:eastAsiaTheme="minorEastAsia"/>
          <w:sz w:val="28"/>
          <w:szCs w:val="28"/>
        </w:rPr>
      </w:pPr>
      <w:r>
        <w:rPr>
          <w:rFonts w:hint="eastAsia" w:cs="Arial" w:asciiTheme="minorEastAsia" w:hAnsiTheme="minorEastAsia" w:eastAsiaTheme="minorEastAsia"/>
          <w:sz w:val="28"/>
          <w:szCs w:val="28"/>
        </w:rPr>
        <w:t>6</w:t>
      </w:r>
      <w:r>
        <w:rPr>
          <w:rFonts w:cs="Arial" w:asciiTheme="minorEastAsia" w:hAnsiTheme="minorEastAsia" w:eastAsiaTheme="minorEastAsia"/>
          <w:sz w:val="28"/>
          <w:szCs w:val="28"/>
        </w:rPr>
        <w:t>)其他特殊情况</w:t>
      </w:r>
    </w:p>
    <w:p>
      <w:pPr>
        <w:spacing w:line="360" w:lineRule="auto"/>
        <w:ind w:firstLine="560" w:firstLineChars="200"/>
        <w:rPr>
          <w:rFonts w:cs="Arial" w:asciiTheme="minorEastAsia" w:hAnsiTheme="minorEastAsia" w:eastAsiaTheme="minorEastAsia"/>
          <w:sz w:val="28"/>
          <w:szCs w:val="28"/>
        </w:rPr>
      </w:pPr>
      <w:r>
        <w:rPr>
          <w:rFonts w:cs="Arial" w:asciiTheme="minorEastAsia" w:hAnsiTheme="minorEastAsia" w:eastAsiaTheme="minorEastAsia"/>
          <w:sz w:val="28"/>
          <w:szCs w:val="28"/>
        </w:rPr>
        <w:t>截止价值时点，估价对象</w:t>
      </w:r>
      <w:r>
        <w:rPr>
          <w:rFonts w:hint="eastAsia" w:cs="Arial" w:asciiTheme="minorEastAsia" w:hAnsiTheme="minorEastAsia" w:eastAsiaTheme="minorEastAsia"/>
          <w:sz w:val="28"/>
          <w:szCs w:val="28"/>
        </w:rPr>
        <w:t>1土地使用权无使用权终止日期，划拨用地使用权及地上房屋的转让等应符合相关法律法规规定。估价对象6实物状况与不动产登记的房屋自然状况不一致；其余估价对象</w:t>
      </w:r>
      <w:r>
        <w:rPr>
          <w:rFonts w:cs="Arial" w:asciiTheme="minorEastAsia" w:hAnsiTheme="minorEastAsia" w:eastAsiaTheme="minorEastAsia"/>
          <w:sz w:val="28"/>
          <w:szCs w:val="28"/>
        </w:rPr>
        <w:t>无其他特殊权利限制状况。</w:t>
      </w:r>
    </w:p>
    <w:bookmarkEnd w:id="42"/>
    <w:bookmarkEnd w:id="43"/>
    <w:bookmarkEnd w:id="44"/>
    <w:bookmarkEnd w:id="45"/>
    <w:p>
      <w:pPr>
        <w:spacing w:beforeLines="50"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3.估价对象区位状况</w:t>
      </w:r>
    </w:p>
    <w:tbl>
      <w:tblPr>
        <w:tblStyle w:val="38"/>
        <w:tblW w:w="99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631"/>
        <w:gridCol w:w="2950"/>
        <w:gridCol w:w="890"/>
        <w:gridCol w:w="890"/>
        <w:gridCol w:w="890"/>
        <w:gridCol w:w="890"/>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2285" w:type="dxa"/>
            <w:gridSpan w:val="2"/>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估价对象</w:t>
            </w:r>
          </w:p>
        </w:tc>
        <w:tc>
          <w:tcPr>
            <w:tcW w:w="295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1</w:t>
            </w:r>
          </w:p>
        </w:tc>
        <w:tc>
          <w:tcPr>
            <w:tcW w:w="4727" w:type="dxa"/>
            <w:gridSpan w:val="5"/>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restart"/>
            <w:shd w:val="clear" w:color="auto" w:fill="auto"/>
            <w:vAlign w:val="center"/>
          </w:tcPr>
          <w:p>
            <w:pPr>
              <w:spacing w:line="240" w:lineRule="atLeast"/>
              <w:jc w:val="center"/>
              <w:rPr>
                <w:rFonts w:ascii="Arial" w:hAnsi="Arial" w:cs="Arial"/>
                <w:sz w:val="18"/>
                <w:szCs w:val="18"/>
              </w:rPr>
            </w:pPr>
            <w:bookmarkStart w:id="46" w:name="_Toc333846312"/>
            <w:bookmarkStart w:id="47" w:name="_Toc364091978"/>
            <w:bookmarkStart w:id="48" w:name="_Toc137475697"/>
            <w:bookmarkStart w:id="49" w:name="_Toc21405"/>
            <w:r>
              <w:rPr>
                <w:rFonts w:ascii="Arial" w:hAnsi="Arial" w:cs="Arial"/>
                <w:sz w:val="18"/>
                <w:szCs w:val="18"/>
              </w:rPr>
              <w:t>位置状况</w:t>
            </w: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坐落</w:t>
            </w:r>
          </w:p>
        </w:tc>
        <w:tc>
          <w:tcPr>
            <w:tcW w:w="2950"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眉山市彭山区青龙镇望江路</w:t>
            </w:r>
            <w:r>
              <w:rPr>
                <w:rFonts w:hint="eastAsia" w:ascii="Arial" w:hAnsi="Arial" w:cs="Arial"/>
                <w:sz w:val="18"/>
                <w:szCs w:val="18"/>
              </w:rPr>
              <w:t>42号1-2层。</w:t>
            </w:r>
          </w:p>
        </w:tc>
        <w:tc>
          <w:tcPr>
            <w:tcW w:w="4727" w:type="dxa"/>
            <w:gridSpan w:val="5"/>
            <w:shd w:val="clear" w:color="auto" w:fill="auto"/>
            <w:vAlign w:val="center"/>
          </w:tcPr>
          <w:p>
            <w:pPr>
              <w:spacing w:line="240" w:lineRule="atLeast"/>
              <w:jc w:val="left"/>
              <w:rPr>
                <w:rFonts w:ascii="Arial" w:hAnsi="Arial" w:cs="Arial"/>
                <w:sz w:val="18"/>
                <w:szCs w:val="18"/>
              </w:rPr>
            </w:pPr>
            <w:r>
              <w:rPr>
                <w:rFonts w:ascii="Arial" w:hAnsi="Arial" w:cs="Arial"/>
                <w:sz w:val="18"/>
                <w:szCs w:val="18"/>
              </w:rPr>
              <w:t>眉山市彭山区青龙镇下马路</w:t>
            </w:r>
            <w:r>
              <w:rPr>
                <w:rFonts w:hint="eastAsia" w:ascii="Arial" w:hAnsi="Arial" w:cs="Arial"/>
                <w:sz w:val="18"/>
                <w:szCs w:val="18"/>
              </w:rPr>
              <w:t>11、13号，180号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方位</w:t>
            </w:r>
          </w:p>
        </w:tc>
        <w:tc>
          <w:tcPr>
            <w:tcW w:w="2950" w:type="dxa"/>
            <w:shd w:val="clear" w:color="auto" w:fill="auto"/>
            <w:vAlign w:val="center"/>
          </w:tcPr>
          <w:p>
            <w:pPr>
              <w:spacing w:line="240" w:lineRule="atLeast"/>
              <w:rPr>
                <w:rFonts w:ascii="Arial" w:hAnsi="Arial" w:cs="Arial"/>
                <w:sz w:val="18"/>
                <w:szCs w:val="18"/>
              </w:rPr>
            </w:pPr>
            <w:r>
              <w:rPr>
                <w:rFonts w:hint="eastAsia" w:ascii="Arial" w:hAnsi="Arial" w:cs="Arial"/>
                <w:sz w:val="18"/>
                <w:szCs w:val="18"/>
              </w:rPr>
              <w:t>位于</w:t>
            </w:r>
            <w:r>
              <w:rPr>
                <w:rFonts w:ascii="Arial" w:hAnsi="Arial" w:cs="Arial"/>
                <w:sz w:val="18"/>
                <w:szCs w:val="18"/>
              </w:rPr>
              <w:t>眉山市彭山区青龙镇老场镇</w:t>
            </w:r>
            <w:r>
              <w:rPr>
                <w:rFonts w:hint="eastAsia" w:ascii="Arial" w:hAnsi="Arial" w:cs="Arial"/>
                <w:sz w:val="18"/>
                <w:szCs w:val="18"/>
              </w:rPr>
              <w:t>。</w:t>
            </w:r>
          </w:p>
        </w:tc>
        <w:tc>
          <w:tcPr>
            <w:tcW w:w="4727" w:type="dxa"/>
            <w:gridSpan w:val="5"/>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位于</w:t>
            </w:r>
            <w:r>
              <w:rPr>
                <w:rFonts w:ascii="Arial" w:hAnsi="Arial" w:cs="Arial"/>
                <w:sz w:val="18"/>
                <w:szCs w:val="18"/>
              </w:rPr>
              <w:t>眉山市彭山区青龙镇老场镇</w:t>
            </w:r>
            <w:r>
              <w:rPr>
                <w:rFonts w:hint="eastAsia" w:ascii="Arial" w:hAnsi="Arial" w:cs="Arial"/>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sz w:val="18"/>
                <w:szCs w:val="18"/>
              </w:rPr>
              <w:t>与相关场所的距离（商服繁华度、居住氛围）</w:t>
            </w:r>
          </w:p>
        </w:tc>
        <w:tc>
          <w:tcPr>
            <w:tcW w:w="2950" w:type="dxa"/>
            <w:shd w:val="clear" w:color="auto" w:fill="auto"/>
            <w:vAlign w:val="center"/>
          </w:tcPr>
          <w:p>
            <w:pPr>
              <w:spacing w:line="240" w:lineRule="atLeast"/>
              <w:rPr>
                <w:rFonts w:ascii="Arial" w:hAnsi="Arial" w:cs="Arial"/>
                <w:sz w:val="18"/>
                <w:szCs w:val="18"/>
              </w:rPr>
            </w:pPr>
            <w:r>
              <w:rPr>
                <w:rFonts w:hint="eastAsia" w:ascii="Arial" w:hAnsi="Arial" w:cs="Arial"/>
                <w:sz w:val="18"/>
                <w:szCs w:val="18"/>
              </w:rPr>
              <w:t>距离青龙客运站约100米，位于</w:t>
            </w:r>
            <w:r>
              <w:rPr>
                <w:rFonts w:ascii="Arial" w:hAnsi="Arial" w:cs="Arial"/>
                <w:sz w:val="18"/>
                <w:szCs w:val="18"/>
              </w:rPr>
              <w:t>眉山市彭山区青龙镇老场镇</w:t>
            </w:r>
            <w:r>
              <w:rPr>
                <w:rFonts w:hint="eastAsia" w:ascii="Arial" w:hAnsi="Arial" w:cs="Arial"/>
                <w:sz w:val="18"/>
                <w:szCs w:val="18"/>
              </w:rPr>
              <w:t>，属小型场镇，商服繁华度较差，居住氛围较差。</w:t>
            </w:r>
          </w:p>
        </w:tc>
        <w:tc>
          <w:tcPr>
            <w:tcW w:w="4727" w:type="dxa"/>
            <w:gridSpan w:val="5"/>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距离青龙客运站约100米，位于</w:t>
            </w:r>
            <w:r>
              <w:rPr>
                <w:rFonts w:ascii="Arial" w:hAnsi="Arial" w:cs="Arial"/>
                <w:sz w:val="18"/>
                <w:szCs w:val="18"/>
              </w:rPr>
              <w:t>眉山市彭山区青龙镇老场镇</w:t>
            </w:r>
            <w:r>
              <w:rPr>
                <w:rFonts w:hint="eastAsia" w:ascii="Arial" w:hAnsi="Arial" w:cs="Arial"/>
                <w:sz w:val="18"/>
                <w:szCs w:val="18"/>
              </w:rPr>
              <w:t>，属小型场镇，商服繁华度较差，居住氛围较差。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sz w:val="18"/>
                <w:szCs w:val="18"/>
              </w:rPr>
              <w:t>临街（路）状况</w:t>
            </w:r>
          </w:p>
        </w:tc>
        <w:tc>
          <w:tcPr>
            <w:tcW w:w="2950" w:type="dxa"/>
            <w:shd w:val="clear" w:color="auto" w:fill="auto"/>
            <w:vAlign w:val="center"/>
          </w:tcPr>
          <w:p>
            <w:pPr>
              <w:spacing w:line="240" w:lineRule="atLeast"/>
              <w:rPr>
                <w:rFonts w:ascii="Arial" w:hAnsi="Arial" w:cs="Arial"/>
                <w:sz w:val="18"/>
                <w:szCs w:val="18"/>
              </w:rPr>
            </w:pPr>
            <w:r>
              <w:rPr>
                <w:rFonts w:hint="eastAsia" w:ascii="Arial" w:hAnsi="Arial" w:cs="Arial"/>
                <w:sz w:val="18"/>
                <w:szCs w:val="18"/>
              </w:rPr>
              <w:t>临望江路，属场镇支路。</w:t>
            </w:r>
          </w:p>
        </w:tc>
        <w:tc>
          <w:tcPr>
            <w:tcW w:w="4727" w:type="dxa"/>
            <w:gridSpan w:val="5"/>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估价对象6临下马路（交通型道路）、估价对象2-5临青同路（场镇支路）。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朝向</w:t>
            </w:r>
          </w:p>
        </w:tc>
        <w:tc>
          <w:tcPr>
            <w:tcW w:w="2950" w:type="dxa"/>
            <w:shd w:val="clear" w:color="auto" w:fill="auto"/>
            <w:vAlign w:val="center"/>
          </w:tcPr>
          <w:p>
            <w:pPr>
              <w:spacing w:line="240" w:lineRule="atLeast"/>
              <w:rPr>
                <w:rFonts w:ascii="Arial" w:hAnsi="Arial" w:cs="Arial"/>
                <w:sz w:val="18"/>
                <w:szCs w:val="18"/>
              </w:rPr>
            </w:pPr>
            <w:r>
              <w:rPr>
                <w:rFonts w:hint="eastAsia" w:ascii="Arial" w:hAnsi="Arial" w:cs="Arial"/>
                <w:sz w:val="18"/>
                <w:szCs w:val="18"/>
              </w:rPr>
              <w:t>南北朝向。</w:t>
            </w:r>
          </w:p>
        </w:tc>
        <w:tc>
          <w:tcPr>
            <w:tcW w:w="4727" w:type="dxa"/>
            <w:gridSpan w:val="5"/>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南北朝向。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vMerge w:val="restart"/>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楼层</w:t>
            </w:r>
          </w:p>
        </w:tc>
        <w:tc>
          <w:tcPr>
            <w:tcW w:w="2950" w:type="dxa"/>
            <w:vMerge w:val="restart"/>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共2层，估价对象位于第1-2层。</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估价对象2</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估价对象3</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估价对象4</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估价对象5</w:t>
            </w:r>
          </w:p>
        </w:tc>
        <w:tc>
          <w:tcPr>
            <w:tcW w:w="1167"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估价对象6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vMerge w:val="continue"/>
            <w:shd w:val="clear" w:color="auto" w:fill="auto"/>
            <w:vAlign w:val="center"/>
          </w:tcPr>
          <w:p>
            <w:pPr>
              <w:spacing w:line="240" w:lineRule="atLeast"/>
              <w:jc w:val="center"/>
              <w:rPr>
                <w:rFonts w:ascii="Arial" w:hAnsi="Arial" w:cs="Arial"/>
                <w:sz w:val="18"/>
                <w:szCs w:val="18"/>
              </w:rPr>
            </w:pPr>
          </w:p>
        </w:tc>
        <w:tc>
          <w:tcPr>
            <w:tcW w:w="2950" w:type="dxa"/>
            <w:vMerge w:val="continue"/>
            <w:shd w:val="clear" w:color="auto" w:fill="auto"/>
            <w:vAlign w:val="center"/>
          </w:tcPr>
          <w:p>
            <w:pPr>
              <w:spacing w:line="240" w:lineRule="atLeast"/>
              <w:jc w:val="center"/>
              <w:rPr>
                <w:rFonts w:ascii="Arial" w:hAnsi="Arial" w:cs="Arial"/>
                <w:sz w:val="18"/>
                <w:szCs w:val="18"/>
              </w:rPr>
            </w:pP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共4层，位于1层</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共4层，位于2层</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共4层，位于3层</w:t>
            </w:r>
          </w:p>
        </w:tc>
        <w:tc>
          <w:tcPr>
            <w:tcW w:w="890"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共4层，位于4层</w:t>
            </w:r>
          </w:p>
        </w:tc>
        <w:tc>
          <w:tcPr>
            <w:tcW w:w="1167"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现场查勘未见权属证明所记载建筑物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restart"/>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交通状况</w:t>
            </w: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道路状况</w:t>
            </w:r>
          </w:p>
        </w:tc>
        <w:tc>
          <w:tcPr>
            <w:tcW w:w="7677" w:type="dxa"/>
            <w:gridSpan w:val="6"/>
            <w:shd w:val="clear" w:color="auto" w:fill="auto"/>
            <w:vAlign w:val="center"/>
          </w:tcPr>
          <w:p>
            <w:pPr>
              <w:spacing w:line="240" w:lineRule="atLeast"/>
              <w:rPr>
                <w:rFonts w:ascii="Arial" w:hAnsi="Arial" w:cs="Arial"/>
                <w:sz w:val="18"/>
                <w:szCs w:val="18"/>
              </w:rPr>
            </w:pPr>
            <w:r>
              <w:rPr>
                <w:rFonts w:hint="eastAsia" w:ascii="Arial" w:hAnsi="Arial" w:cs="Arial"/>
                <w:sz w:val="18"/>
                <w:szCs w:val="18"/>
              </w:rPr>
              <w:t>区域内有望江路、岷江路、下马路、青同路、兴隆街、商业街、交通街、莲池路等场镇道路，道路等级一般，路网密度较高，道路通达度较好。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jc w:val="center"/>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出入可利用交通工具</w:t>
            </w:r>
          </w:p>
        </w:tc>
        <w:tc>
          <w:tcPr>
            <w:tcW w:w="7677" w:type="dxa"/>
            <w:gridSpan w:val="6"/>
            <w:shd w:val="clear" w:color="auto" w:fill="auto"/>
            <w:vAlign w:val="center"/>
          </w:tcPr>
          <w:p>
            <w:pPr>
              <w:spacing w:line="240" w:lineRule="atLeast"/>
              <w:rPr>
                <w:rFonts w:ascii="Arial" w:hAnsi="Arial" w:cs="Arial"/>
                <w:sz w:val="18"/>
                <w:szCs w:val="18"/>
              </w:rPr>
            </w:pPr>
            <w:r>
              <w:rPr>
                <w:rFonts w:hint="eastAsia" w:ascii="Arial" w:hAnsi="Arial" w:cs="Arial"/>
                <w:sz w:val="18"/>
                <w:szCs w:val="18"/>
              </w:rPr>
              <w:t>区域内有彭山xk4路公交车通过，居民出行较为不便。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jc w:val="center"/>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交通管制情况</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jc w:val="center"/>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停车方便程度</w:t>
            </w:r>
          </w:p>
        </w:tc>
        <w:tc>
          <w:tcPr>
            <w:tcW w:w="7677" w:type="dxa"/>
            <w:gridSpan w:val="6"/>
            <w:shd w:val="clear" w:color="auto" w:fill="auto"/>
            <w:vAlign w:val="center"/>
          </w:tcPr>
          <w:p>
            <w:pPr>
              <w:spacing w:line="240" w:lineRule="atLeast"/>
              <w:rPr>
                <w:rFonts w:ascii="Arial" w:hAnsi="Arial" w:cs="Arial"/>
                <w:sz w:val="18"/>
                <w:szCs w:val="18"/>
              </w:rPr>
            </w:pPr>
            <w:r>
              <w:rPr>
                <w:rFonts w:hint="eastAsia" w:ascii="Arial" w:hAnsi="Arial" w:cs="Arial"/>
                <w:sz w:val="18"/>
                <w:szCs w:val="18"/>
              </w:rPr>
              <w:t>场镇道路两旁均可停车，停车方便程度一般。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jc w:val="center"/>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交通收费情况</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restart"/>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环境状况</w:t>
            </w: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自然环境</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无明显空气、噪声、水、辐射、固体废物等污染，环境卫生一般。周边无高压输电线路、垃圾站、公共厕所、无线电发射塔等。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人文环境</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居民文化素质较低，收入较低，治安较好，人口呈老龄化趋势，相邻多为乡镇自建住房、临街商铺。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ascii="Arial" w:hAnsi="Arial" w:cs="Arial"/>
                <w:sz w:val="18"/>
                <w:szCs w:val="18"/>
              </w:rPr>
              <w:t>景观</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restart"/>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外部配套设施</w:t>
            </w: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基础设施</w:t>
            </w:r>
          </w:p>
        </w:tc>
        <w:tc>
          <w:tcPr>
            <w:tcW w:w="7677" w:type="dxa"/>
            <w:gridSpan w:val="6"/>
            <w:shd w:val="clear" w:color="auto" w:fill="auto"/>
            <w:vAlign w:val="center"/>
          </w:tcPr>
          <w:p>
            <w:pPr>
              <w:spacing w:line="240" w:lineRule="atLeast"/>
              <w:jc w:val="left"/>
              <w:rPr>
                <w:rFonts w:ascii="Arial" w:hAnsi="Arial" w:cs="Arial"/>
                <w:sz w:val="18"/>
                <w:szCs w:val="18"/>
              </w:rPr>
            </w:pPr>
            <w:r>
              <w:rPr>
                <w:rFonts w:hint="eastAsia" w:ascii="Arial" w:hAnsi="Arial" w:cs="Arial"/>
                <w:sz w:val="18"/>
                <w:szCs w:val="18"/>
              </w:rPr>
              <w:t>区域路、水、电、讯、气等配套较完备，保障度较高。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jc w:val="center"/>
        </w:trPr>
        <w:tc>
          <w:tcPr>
            <w:tcW w:w="654" w:type="dxa"/>
            <w:vMerge w:val="continue"/>
            <w:shd w:val="clear" w:color="auto" w:fill="auto"/>
            <w:vAlign w:val="center"/>
          </w:tcPr>
          <w:p>
            <w:pPr>
              <w:spacing w:line="240" w:lineRule="atLeast"/>
              <w:rPr>
                <w:rFonts w:ascii="Arial" w:hAnsi="Arial" w:cs="Arial"/>
                <w:sz w:val="18"/>
                <w:szCs w:val="18"/>
              </w:rPr>
            </w:pPr>
          </w:p>
        </w:tc>
        <w:tc>
          <w:tcPr>
            <w:tcW w:w="1631" w:type="dxa"/>
            <w:shd w:val="clear" w:color="auto" w:fill="auto"/>
            <w:vAlign w:val="center"/>
          </w:tcPr>
          <w:p>
            <w:pPr>
              <w:spacing w:line="240" w:lineRule="atLeast"/>
              <w:jc w:val="center"/>
              <w:rPr>
                <w:rFonts w:ascii="Arial" w:hAnsi="Arial" w:cs="Arial"/>
                <w:sz w:val="18"/>
                <w:szCs w:val="18"/>
              </w:rPr>
            </w:pPr>
            <w:r>
              <w:rPr>
                <w:rFonts w:hint="eastAsia" w:ascii="Arial" w:hAnsi="Arial" w:cs="Arial"/>
                <w:sz w:val="18"/>
                <w:szCs w:val="18"/>
              </w:rPr>
              <w:t>公共服务设施</w:t>
            </w:r>
          </w:p>
        </w:tc>
        <w:tc>
          <w:tcPr>
            <w:tcW w:w="7677" w:type="dxa"/>
            <w:gridSpan w:val="6"/>
            <w:shd w:val="clear" w:color="auto" w:fill="auto"/>
            <w:vAlign w:val="center"/>
          </w:tcPr>
          <w:p>
            <w:pPr>
              <w:spacing w:line="240" w:lineRule="atLeast"/>
              <w:rPr>
                <w:rFonts w:ascii="Arial" w:hAnsi="Arial" w:cs="Arial"/>
                <w:sz w:val="18"/>
                <w:szCs w:val="18"/>
              </w:rPr>
            </w:pPr>
            <w:r>
              <w:rPr>
                <w:rFonts w:hint="eastAsia" w:ascii="Arial" w:hAnsi="Arial" w:cs="Arial"/>
                <w:sz w:val="18"/>
                <w:szCs w:val="18"/>
              </w:rPr>
              <w:t>商业服务：区域内有农贸市场、小型商超、临街商铺，商业繁华度差；</w:t>
            </w:r>
          </w:p>
          <w:p>
            <w:pPr>
              <w:spacing w:line="240" w:lineRule="atLeast"/>
              <w:rPr>
                <w:rFonts w:ascii="Arial" w:hAnsi="Arial" w:cs="Arial"/>
                <w:sz w:val="18"/>
                <w:szCs w:val="18"/>
              </w:rPr>
            </w:pPr>
            <w:r>
              <w:rPr>
                <w:rFonts w:hint="eastAsia" w:ascii="Arial" w:hAnsi="Arial" w:cs="Arial"/>
                <w:sz w:val="18"/>
                <w:szCs w:val="18"/>
              </w:rPr>
              <w:t>金融邮电：区域内有中国农业银行、眉山农商银行、中国邮政储蓄银行；</w:t>
            </w:r>
          </w:p>
          <w:p>
            <w:pPr>
              <w:spacing w:line="240" w:lineRule="atLeast"/>
              <w:rPr>
                <w:rFonts w:ascii="Arial" w:hAnsi="Arial" w:cs="Arial"/>
                <w:sz w:val="18"/>
                <w:szCs w:val="18"/>
              </w:rPr>
            </w:pPr>
            <w:r>
              <w:rPr>
                <w:rFonts w:hint="eastAsia" w:ascii="Arial" w:hAnsi="Arial" w:cs="Arial"/>
                <w:sz w:val="18"/>
                <w:szCs w:val="18"/>
              </w:rPr>
              <w:t>教育：区域内有金太阳实验幼儿园、彭山区青龙镇初级中学。</w:t>
            </w:r>
          </w:p>
          <w:p>
            <w:pPr>
              <w:spacing w:line="240" w:lineRule="atLeast"/>
              <w:rPr>
                <w:rFonts w:ascii="Arial" w:hAnsi="Arial" w:cs="Arial"/>
                <w:sz w:val="18"/>
                <w:szCs w:val="18"/>
              </w:rPr>
            </w:pPr>
            <w:r>
              <w:rPr>
                <w:rFonts w:hint="eastAsia" w:ascii="Arial" w:hAnsi="Arial" w:cs="Arial"/>
                <w:sz w:val="18"/>
                <w:szCs w:val="18"/>
              </w:rPr>
              <w:t>医疗卫生：区域内有彭山区第二人民医院及其它小型诊所。</w:t>
            </w:r>
          </w:p>
          <w:p>
            <w:pPr>
              <w:spacing w:line="240" w:lineRule="atLeast"/>
              <w:jc w:val="left"/>
              <w:rPr>
                <w:rFonts w:ascii="Arial" w:hAnsi="Arial" w:cs="Arial"/>
                <w:sz w:val="18"/>
                <w:szCs w:val="18"/>
              </w:rPr>
            </w:pPr>
            <w:r>
              <w:rPr>
                <w:rFonts w:hint="eastAsia" w:ascii="Arial" w:hAnsi="Arial" w:cs="Arial"/>
                <w:sz w:val="18"/>
                <w:szCs w:val="18"/>
              </w:rPr>
              <w:t>其他：区域内文化、体育、社区服务、市政公用和行政管理设施基本完备。</w:t>
            </w:r>
          </w:p>
        </w:tc>
      </w:tr>
    </w:tbl>
    <w:p>
      <w:pPr>
        <w:pStyle w:val="3"/>
        <w:spacing w:beforeLines="50" w:afterLines="50" w:line="520" w:lineRule="exact"/>
        <w:ind w:firstLine="280" w:firstLineChars="100"/>
        <w:rPr>
          <w:rFonts w:ascii="黑体" w:hAnsi="黑体"/>
          <w:b w:val="0"/>
          <w:snapToGrid w:val="0"/>
          <w:kern w:val="0"/>
          <w:sz w:val="28"/>
          <w:szCs w:val="28"/>
        </w:rPr>
      </w:pPr>
      <w:r>
        <w:rPr>
          <w:rFonts w:hint="eastAsia" w:ascii="黑体" w:hAnsi="黑体"/>
          <w:b w:val="0"/>
          <w:snapToGrid w:val="0"/>
          <w:kern w:val="0"/>
          <w:sz w:val="28"/>
          <w:szCs w:val="28"/>
        </w:rPr>
        <w:t>（五）价值时点</w:t>
      </w:r>
      <w:bookmarkEnd w:id="46"/>
      <w:bookmarkEnd w:id="47"/>
      <w:bookmarkEnd w:id="48"/>
      <w:bookmarkEnd w:id="49"/>
    </w:p>
    <w:p>
      <w:pPr>
        <w:pStyle w:val="3"/>
        <w:spacing w:beforeLines="50" w:afterLines="50" w:line="520" w:lineRule="exact"/>
        <w:ind w:firstLine="560" w:firstLineChars="200"/>
        <w:rPr>
          <w:rFonts w:asciiTheme="minorEastAsia" w:hAnsiTheme="minorEastAsia" w:eastAsiaTheme="minorEastAsia"/>
          <w:b w:val="0"/>
          <w:snapToGrid w:val="0"/>
          <w:sz w:val="28"/>
          <w:szCs w:val="28"/>
        </w:rPr>
      </w:pPr>
      <w:r>
        <w:rPr>
          <w:rFonts w:cs="Arial" w:asciiTheme="minorEastAsia" w:hAnsiTheme="minorEastAsia" w:eastAsiaTheme="minorEastAsia"/>
          <w:b w:val="0"/>
          <w:sz w:val="28"/>
          <w:szCs w:val="28"/>
        </w:rPr>
        <w:t>本报告价值时点为</w:t>
      </w:r>
      <w:r>
        <w:rPr>
          <w:rFonts w:hint="eastAsia" w:asciiTheme="minorEastAsia" w:hAnsiTheme="minorEastAsia" w:eastAsiaTheme="minorEastAsia"/>
          <w:b w:val="0"/>
          <w:sz w:val="28"/>
          <w:szCs w:val="28"/>
        </w:rPr>
        <w:t>2019年11月8日。</w:t>
      </w:r>
      <w:r>
        <w:rPr>
          <w:rFonts w:hint="eastAsia" w:asciiTheme="minorEastAsia" w:hAnsiTheme="minorEastAsia" w:eastAsiaTheme="minorEastAsia"/>
          <w:b w:val="0"/>
          <w:snapToGrid w:val="0"/>
          <w:kern w:val="0"/>
          <w:sz w:val="28"/>
          <w:szCs w:val="28"/>
        </w:rPr>
        <w:t>依据估价委托人的委托目的及要求，本报告价值时点为注册房地产估价师实地查勘日</w:t>
      </w:r>
      <w:r>
        <w:rPr>
          <w:rFonts w:hint="eastAsia" w:asciiTheme="minorEastAsia" w:hAnsiTheme="minorEastAsia" w:eastAsiaTheme="minorEastAsia"/>
          <w:b w:val="0"/>
          <w:snapToGrid w:val="0"/>
          <w:sz w:val="28"/>
          <w:szCs w:val="28"/>
        </w:rPr>
        <w:t>。</w:t>
      </w:r>
      <w:bookmarkStart w:id="50" w:name="_Toc137475698"/>
      <w:bookmarkStart w:id="51" w:name="_Toc333846313"/>
      <w:bookmarkStart w:id="52" w:name="_Toc364091979"/>
      <w:bookmarkStart w:id="53" w:name="_Toc13874"/>
    </w:p>
    <w:p>
      <w:pPr>
        <w:pStyle w:val="3"/>
        <w:spacing w:beforeLines="50" w:afterLines="50" w:line="520" w:lineRule="exact"/>
        <w:ind w:firstLine="560" w:firstLineChars="200"/>
        <w:rPr>
          <w:rFonts w:ascii="黑体" w:hAnsi="黑体"/>
          <w:b w:val="0"/>
          <w:snapToGrid w:val="0"/>
          <w:kern w:val="0"/>
          <w:sz w:val="28"/>
          <w:szCs w:val="28"/>
        </w:rPr>
      </w:pPr>
      <w:r>
        <w:rPr>
          <w:rFonts w:hint="eastAsia" w:ascii="黑体" w:hAnsi="黑体"/>
          <w:b w:val="0"/>
          <w:snapToGrid w:val="0"/>
          <w:kern w:val="0"/>
          <w:sz w:val="28"/>
          <w:szCs w:val="28"/>
        </w:rPr>
        <w:t>（六）价值</w:t>
      </w:r>
      <w:bookmarkEnd w:id="50"/>
      <w:bookmarkEnd w:id="51"/>
      <w:bookmarkEnd w:id="52"/>
      <w:r>
        <w:rPr>
          <w:rFonts w:hint="eastAsia" w:ascii="黑体" w:hAnsi="黑体"/>
          <w:b w:val="0"/>
          <w:snapToGrid w:val="0"/>
          <w:kern w:val="0"/>
          <w:sz w:val="28"/>
          <w:szCs w:val="28"/>
        </w:rPr>
        <w:t>类型</w:t>
      </w:r>
      <w:bookmarkEnd w:id="53"/>
    </w:p>
    <w:p>
      <w:pPr>
        <w:spacing w:line="520" w:lineRule="exact"/>
        <w:ind w:firstLine="560" w:firstLineChars="200"/>
        <w:rPr>
          <w:rFonts w:ascii="Arial" w:hAnsi="Arial" w:cs="Arial"/>
          <w:sz w:val="28"/>
          <w:szCs w:val="28"/>
        </w:rPr>
      </w:pPr>
      <w:r>
        <w:rPr>
          <w:rFonts w:ascii="Arial" w:hAnsi="Arial" w:cs="Arial"/>
          <w:sz w:val="28"/>
          <w:szCs w:val="28"/>
        </w:rPr>
        <w:t>本次</w:t>
      </w:r>
      <w:r>
        <w:rPr>
          <w:rFonts w:hint="eastAsia" w:ascii="Arial" w:hAnsi="Arial" w:cs="Arial"/>
          <w:sz w:val="28"/>
          <w:szCs w:val="28"/>
        </w:rPr>
        <w:t>为</w:t>
      </w:r>
      <w:r>
        <w:rPr>
          <w:rFonts w:ascii="Arial" w:hAnsi="Arial" w:cs="Arial"/>
          <w:sz w:val="28"/>
          <w:szCs w:val="28"/>
        </w:rPr>
        <w:t>司法</w:t>
      </w:r>
      <w:r>
        <w:rPr>
          <w:rFonts w:hint="eastAsia" w:ascii="Arial" w:hAnsi="Arial" w:cs="Arial"/>
          <w:sz w:val="28"/>
          <w:szCs w:val="28"/>
        </w:rPr>
        <w:t>处置估价</w:t>
      </w:r>
      <w:r>
        <w:rPr>
          <w:rFonts w:ascii="Arial" w:hAnsi="Arial" w:cs="Arial"/>
          <w:sz w:val="28"/>
          <w:szCs w:val="28"/>
        </w:rPr>
        <w:t>，选用市场价值作为</w:t>
      </w:r>
      <w:r>
        <w:rPr>
          <w:rFonts w:hint="eastAsia" w:ascii="Arial" w:hAnsi="Arial" w:cs="Arial"/>
          <w:sz w:val="28"/>
          <w:szCs w:val="28"/>
        </w:rPr>
        <w:t>本次估价的</w:t>
      </w:r>
      <w:r>
        <w:rPr>
          <w:rFonts w:ascii="Arial" w:hAnsi="Arial" w:cs="Arial"/>
          <w:sz w:val="28"/>
          <w:szCs w:val="28"/>
        </w:rPr>
        <w:t>价值类型。</w:t>
      </w:r>
    </w:p>
    <w:p>
      <w:pPr>
        <w:spacing w:line="520" w:lineRule="exact"/>
        <w:ind w:firstLine="560" w:firstLineChars="200"/>
        <w:rPr>
          <w:rFonts w:ascii="Arial" w:hAnsi="Arial" w:cs="Arial"/>
          <w:sz w:val="28"/>
          <w:szCs w:val="28"/>
        </w:rPr>
      </w:pPr>
      <w:r>
        <w:rPr>
          <w:rFonts w:hint="eastAsia" w:ascii="Arial" w:hAnsi="Arial" w:cs="Arial"/>
          <w:sz w:val="28"/>
          <w:szCs w:val="28"/>
        </w:rPr>
        <w:t>市场价值</w:t>
      </w:r>
      <w:r>
        <w:rPr>
          <w:rFonts w:ascii="Arial" w:hAnsi="Arial" w:cs="Arial"/>
          <w:sz w:val="28"/>
          <w:szCs w:val="28"/>
        </w:rPr>
        <w:t>是指估价对象经适当营销后，由熟悉情况、谨慎行事且不受强迫的交易双方，以公平交易方式在价值时点自愿进行交易的金额</w:t>
      </w:r>
      <w:r>
        <w:rPr>
          <w:rFonts w:hint="eastAsia" w:ascii="Arial" w:hAnsi="Arial" w:cs="Arial"/>
          <w:sz w:val="28"/>
          <w:szCs w:val="28"/>
        </w:rPr>
        <w:t>。</w:t>
      </w:r>
    </w:p>
    <w:p>
      <w:pPr>
        <w:spacing w:line="520" w:lineRule="exact"/>
        <w:ind w:firstLine="560" w:firstLineChars="200"/>
        <w:rPr>
          <w:rFonts w:ascii="Arial" w:hAnsi="Arial" w:cs="Arial"/>
          <w:sz w:val="28"/>
          <w:szCs w:val="28"/>
        </w:rPr>
      </w:pPr>
      <w:r>
        <w:rPr>
          <w:rFonts w:hint="eastAsia" w:ascii="Arial" w:hAnsi="Arial" w:cs="Arial"/>
          <w:sz w:val="28"/>
          <w:szCs w:val="28"/>
        </w:rPr>
        <w:t>本次估价的价值内涵包括报告中所述相关估价假设和估价结果的特别提示事项。</w:t>
      </w:r>
      <w:bookmarkStart w:id="54" w:name="_Toc4340"/>
    </w:p>
    <w:p>
      <w:pPr>
        <w:pStyle w:val="3"/>
        <w:spacing w:beforeLines="50" w:afterLines="50" w:line="520" w:lineRule="exact"/>
        <w:ind w:firstLine="560" w:firstLineChars="200"/>
        <w:rPr>
          <w:rFonts w:ascii="黑体" w:hAnsi="黑体"/>
          <w:b w:val="0"/>
          <w:snapToGrid w:val="0"/>
          <w:kern w:val="0"/>
          <w:sz w:val="28"/>
          <w:szCs w:val="28"/>
        </w:rPr>
      </w:pPr>
      <w:r>
        <w:rPr>
          <w:rFonts w:hint="eastAsia" w:ascii="黑体" w:hAnsi="黑体"/>
          <w:b w:val="0"/>
          <w:snapToGrid w:val="0"/>
          <w:kern w:val="0"/>
          <w:sz w:val="28"/>
          <w:szCs w:val="28"/>
        </w:rPr>
        <w:t>（七）估价原则</w:t>
      </w:r>
      <w:bookmarkEnd w:id="54"/>
    </w:p>
    <w:p>
      <w:pPr>
        <w:snapToGrid w:val="0"/>
        <w:spacing w:line="520" w:lineRule="exact"/>
        <w:ind w:firstLine="560" w:firstLineChars="200"/>
        <w:rPr>
          <w:rFonts w:ascii="宋体" w:hAnsi="宋体"/>
          <w:sz w:val="28"/>
          <w:szCs w:val="28"/>
        </w:rPr>
      </w:pPr>
      <w:r>
        <w:rPr>
          <w:rFonts w:hint="eastAsia" w:ascii="宋体" w:hAnsi="宋体"/>
          <w:sz w:val="28"/>
          <w:szCs w:val="28"/>
        </w:rPr>
        <w:t>我们在本次估价时遵循了以下原则：</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1、独立、客观、公正原则</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要求站在中立的立场上，实事求是、公平正直地评估出对各方估价利害关系人均是公平合理的价值或价格的原则。</w:t>
      </w:r>
    </w:p>
    <w:p>
      <w:pPr>
        <w:adjustRightInd w:val="0"/>
        <w:snapToGrid w:val="0"/>
        <w:spacing w:line="520" w:lineRule="exact"/>
        <w:ind w:firstLine="560" w:firstLineChars="200"/>
        <w:rPr>
          <w:rFonts w:ascii="宋体" w:hAnsi="宋体"/>
          <w:sz w:val="28"/>
          <w:szCs w:val="28"/>
        </w:rPr>
      </w:pPr>
      <w:r>
        <w:rPr>
          <w:rFonts w:hint="eastAsia" w:ascii="宋体" w:hAnsi="宋体"/>
          <w:sz w:val="28"/>
          <w:szCs w:val="28"/>
        </w:rPr>
        <w:t>2、合法原则</w:t>
      </w:r>
    </w:p>
    <w:p>
      <w:pPr>
        <w:spacing w:line="520" w:lineRule="exact"/>
        <w:ind w:firstLine="560" w:firstLineChars="200"/>
        <w:rPr>
          <w:rFonts w:ascii="宋体" w:hAnsi="宋体"/>
          <w:sz w:val="28"/>
          <w:szCs w:val="28"/>
        </w:rPr>
      </w:pPr>
      <w:r>
        <w:rPr>
          <w:rFonts w:hint="eastAsia" w:ascii="宋体" w:hAnsi="宋体"/>
          <w:sz w:val="28"/>
          <w:szCs w:val="28"/>
        </w:rPr>
        <w:t>合法原则要求估价结果是在依法判定的估价对象状况下的价值或价格的原则。</w:t>
      </w:r>
    </w:p>
    <w:p>
      <w:pPr>
        <w:snapToGrid w:val="0"/>
        <w:spacing w:line="520" w:lineRule="exact"/>
        <w:ind w:firstLine="560" w:firstLineChars="200"/>
        <w:rPr>
          <w:rFonts w:ascii="宋体" w:hAnsi="宋体"/>
          <w:sz w:val="28"/>
          <w:szCs w:val="28"/>
        </w:rPr>
      </w:pPr>
      <w:r>
        <w:rPr>
          <w:rFonts w:hint="eastAsia" w:ascii="宋体" w:hAnsi="宋体"/>
          <w:sz w:val="28"/>
          <w:szCs w:val="28"/>
        </w:rPr>
        <w:t>3、价值时点原则</w:t>
      </w:r>
    </w:p>
    <w:p>
      <w:pPr>
        <w:snapToGrid w:val="0"/>
        <w:spacing w:line="520" w:lineRule="exact"/>
        <w:ind w:firstLine="560" w:firstLineChars="200"/>
        <w:rPr>
          <w:rFonts w:ascii="宋体" w:hAnsi="宋体"/>
          <w:sz w:val="28"/>
          <w:szCs w:val="28"/>
        </w:rPr>
      </w:pPr>
      <w:r>
        <w:rPr>
          <w:rFonts w:hint="eastAsia" w:ascii="宋体" w:hAnsi="宋体"/>
          <w:sz w:val="28"/>
          <w:szCs w:val="28"/>
        </w:rPr>
        <w:t>要求估价结果是在根据估价目的确定的某一特定时间的价值或价格的原则。</w:t>
      </w:r>
    </w:p>
    <w:p>
      <w:pPr>
        <w:spacing w:line="520" w:lineRule="exact"/>
        <w:ind w:firstLine="560" w:firstLineChars="200"/>
        <w:rPr>
          <w:rFonts w:ascii="宋体" w:hAnsi="宋体"/>
          <w:sz w:val="28"/>
          <w:szCs w:val="28"/>
        </w:rPr>
      </w:pPr>
      <w:r>
        <w:rPr>
          <w:rFonts w:hint="eastAsia" w:ascii="宋体" w:hAnsi="宋体"/>
          <w:sz w:val="28"/>
          <w:szCs w:val="28"/>
        </w:rPr>
        <w:t>估价通常仅是求取估价对象在某个特定时间上的价格，而且这个特定时间不是注册房地产估价师可以随意假定的，必须依据估价目的来确定，这个特定时间就是价值时点。</w:t>
      </w:r>
    </w:p>
    <w:p>
      <w:pPr>
        <w:snapToGrid w:val="0"/>
        <w:spacing w:line="520" w:lineRule="exact"/>
        <w:ind w:firstLine="560" w:firstLineChars="200"/>
        <w:rPr>
          <w:rFonts w:ascii="宋体" w:hAnsi="宋体"/>
          <w:sz w:val="28"/>
          <w:szCs w:val="28"/>
        </w:rPr>
      </w:pPr>
      <w:r>
        <w:rPr>
          <w:rFonts w:hint="eastAsia" w:ascii="宋体" w:hAnsi="宋体"/>
          <w:sz w:val="28"/>
          <w:szCs w:val="28"/>
        </w:rPr>
        <w:t>4、替代原则</w:t>
      </w:r>
    </w:p>
    <w:p>
      <w:pPr>
        <w:snapToGrid w:val="0"/>
        <w:spacing w:line="520" w:lineRule="exact"/>
        <w:ind w:firstLine="560" w:firstLineChars="200"/>
        <w:rPr>
          <w:rFonts w:ascii="宋体" w:hAnsi="宋体"/>
          <w:sz w:val="28"/>
          <w:szCs w:val="28"/>
        </w:rPr>
      </w:pPr>
      <w:r>
        <w:rPr>
          <w:rFonts w:hint="eastAsia" w:ascii="宋体" w:hAnsi="宋体"/>
          <w:sz w:val="28"/>
          <w:szCs w:val="28"/>
        </w:rPr>
        <w:t>替代原则要求评估价值与估价对象的类似房地产在同等条件下的价值或价格偏差在合理范围内。</w:t>
      </w:r>
    </w:p>
    <w:p>
      <w:pPr>
        <w:snapToGrid w:val="0"/>
        <w:spacing w:line="520" w:lineRule="exact"/>
        <w:ind w:firstLine="560" w:firstLineChars="200"/>
        <w:rPr>
          <w:rFonts w:ascii="宋体" w:hAnsi="宋体"/>
          <w:sz w:val="28"/>
          <w:szCs w:val="28"/>
        </w:rPr>
      </w:pPr>
      <w:r>
        <w:rPr>
          <w:rFonts w:hint="eastAsia" w:ascii="宋体" w:hAnsi="宋体"/>
          <w:sz w:val="28"/>
          <w:szCs w:val="28"/>
        </w:rPr>
        <w:t>5、最高最佳利用原则</w:t>
      </w:r>
    </w:p>
    <w:p>
      <w:pPr>
        <w:spacing w:line="520" w:lineRule="exact"/>
        <w:ind w:firstLine="560" w:firstLineChars="200"/>
        <w:rPr>
          <w:rFonts w:ascii="Arial" w:hAnsi="Arial" w:cs="Arial"/>
          <w:sz w:val="28"/>
          <w:szCs w:val="28"/>
        </w:rPr>
      </w:pPr>
      <w:r>
        <w:rPr>
          <w:rFonts w:hint="eastAsia" w:ascii="宋体" w:hAnsi="宋体"/>
          <w:sz w:val="28"/>
          <w:szCs w:val="28"/>
        </w:rPr>
        <w:t>最高最佳利用原则</w:t>
      </w:r>
      <w:r>
        <w:rPr>
          <w:rFonts w:ascii="Arial" w:hAnsi="Arial" w:cs="Arial"/>
          <w:sz w:val="28"/>
          <w:szCs w:val="28"/>
        </w:rPr>
        <w:t>要求</w:t>
      </w:r>
      <w:r>
        <w:rPr>
          <w:rFonts w:hint="eastAsia" w:ascii="Arial" w:hAnsi="Arial" w:cs="Arial"/>
          <w:sz w:val="28"/>
          <w:szCs w:val="28"/>
        </w:rPr>
        <w:t>评估价值</w:t>
      </w:r>
      <w:r>
        <w:rPr>
          <w:rFonts w:ascii="Arial" w:hAnsi="Arial" w:cs="Arial"/>
          <w:sz w:val="28"/>
          <w:szCs w:val="28"/>
        </w:rPr>
        <w:t>是在估价对象最高最佳利用状况下的价值或价格的原则。最高最佳利用是指房地产在法律上允许、技术上可能、财务上可行并使价值最大的合理、可能的利用，包括最佳的用途、规模、档次等。</w:t>
      </w:r>
    </w:p>
    <w:p>
      <w:pPr>
        <w:spacing w:line="520" w:lineRule="exact"/>
        <w:ind w:firstLine="280" w:firstLineChars="100"/>
        <w:outlineLvl w:val="1"/>
        <w:rPr>
          <w:rFonts w:ascii="黑体" w:hAnsi="宋体" w:eastAsia="黑体" w:cs="黑体"/>
          <w:sz w:val="28"/>
          <w:szCs w:val="28"/>
        </w:rPr>
      </w:pPr>
      <w:r>
        <w:rPr>
          <w:rFonts w:hint="eastAsia" w:ascii="黑体" w:hAnsi="宋体" w:eastAsia="黑体" w:cs="黑体"/>
          <w:sz w:val="28"/>
          <w:szCs w:val="28"/>
        </w:rPr>
        <w:t>（八）估价依据</w:t>
      </w:r>
    </w:p>
    <w:p>
      <w:pPr>
        <w:spacing w:line="520" w:lineRule="exact"/>
        <w:ind w:firstLine="560" w:firstLineChars="200"/>
        <w:rPr>
          <w:rFonts w:ascii="宋体" w:hAnsi="宋体"/>
          <w:sz w:val="28"/>
          <w:szCs w:val="28"/>
        </w:rPr>
      </w:pPr>
      <w:r>
        <w:rPr>
          <w:rFonts w:hint="eastAsia" w:ascii="宋体" w:hAnsi="宋体"/>
          <w:snapToGrid w:val="0"/>
          <w:kern w:val="0"/>
          <w:sz w:val="28"/>
          <w:szCs w:val="28"/>
        </w:rPr>
        <w:t>1、</w:t>
      </w:r>
      <w:r>
        <w:rPr>
          <w:rFonts w:hint="eastAsia" w:ascii="宋体" w:hAnsi="宋体"/>
          <w:sz w:val="28"/>
          <w:szCs w:val="28"/>
        </w:rPr>
        <w:t xml:space="preserve"> 国家及地方相关法律、法规、文件</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w:t>
      </w:r>
      <w:r>
        <w:rPr>
          <w:rFonts w:ascii="宋体" w:hAnsi="宋体"/>
          <w:snapToGrid w:val="0"/>
          <w:kern w:val="0"/>
          <w:sz w:val="28"/>
          <w:szCs w:val="28"/>
        </w:rPr>
        <w:t>《中华人民共和国物权法》(主席令第62号</w:t>
      </w:r>
      <w:r>
        <w:rPr>
          <w:rFonts w:hint="eastAsia" w:ascii="宋体" w:hAnsi="宋体"/>
          <w:snapToGrid w:val="0"/>
          <w:kern w:val="0"/>
          <w:sz w:val="28"/>
          <w:szCs w:val="28"/>
        </w:rPr>
        <w:t>，自2007年10月1日起施行</w:t>
      </w:r>
      <w:r>
        <w:rPr>
          <w:rFonts w:ascii="宋体" w:hAnsi="宋体"/>
          <w:snapToGrid w:val="0"/>
          <w:kern w:val="0"/>
          <w:sz w:val="28"/>
          <w:szCs w:val="28"/>
        </w:rPr>
        <w:t>)；</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（2）</w:t>
      </w:r>
      <w:r>
        <w:rPr>
          <w:rFonts w:ascii="宋体" w:hAnsi="宋体"/>
          <w:snapToGrid w:val="0"/>
          <w:kern w:val="0"/>
          <w:sz w:val="28"/>
          <w:szCs w:val="28"/>
        </w:rPr>
        <w:t>《中华人民共和国城市房地产管理法》(主席令第72号</w:t>
      </w:r>
      <w:r>
        <w:rPr>
          <w:rFonts w:hint="eastAsia" w:ascii="宋体" w:hAnsi="宋体"/>
          <w:snapToGrid w:val="0"/>
          <w:kern w:val="0"/>
          <w:sz w:val="28"/>
          <w:szCs w:val="28"/>
        </w:rPr>
        <w:t>，2009年8月27日第二次修正</w:t>
      </w:r>
      <w:r>
        <w:rPr>
          <w:rFonts w:ascii="宋体" w:hAnsi="宋体"/>
          <w:snapToGrid w:val="0"/>
          <w:kern w:val="0"/>
          <w:sz w:val="28"/>
          <w:szCs w:val="28"/>
        </w:rPr>
        <w:t>)；</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（3）</w:t>
      </w:r>
      <w:r>
        <w:rPr>
          <w:rFonts w:ascii="宋体" w:hAnsi="宋体"/>
          <w:snapToGrid w:val="0"/>
          <w:kern w:val="0"/>
          <w:sz w:val="28"/>
          <w:szCs w:val="28"/>
        </w:rPr>
        <w:t>《中华人民共和国土地管理法》(主席令第28号</w:t>
      </w:r>
      <w:r>
        <w:rPr>
          <w:rFonts w:hint="eastAsia" w:ascii="宋体" w:hAnsi="宋体"/>
          <w:snapToGrid w:val="0"/>
          <w:kern w:val="0"/>
          <w:sz w:val="28"/>
          <w:szCs w:val="28"/>
        </w:rPr>
        <w:t>，2004年8月28日第二次修正</w:t>
      </w:r>
      <w:r>
        <w:rPr>
          <w:rFonts w:ascii="宋体" w:hAnsi="宋体"/>
          <w:snapToGrid w:val="0"/>
          <w:kern w:val="0"/>
          <w:sz w:val="28"/>
          <w:szCs w:val="28"/>
        </w:rPr>
        <w:t>)；</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（4）</w:t>
      </w:r>
      <w:r>
        <w:rPr>
          <w:rFonts w:ascii="宋体" w:hAnsi="宋体"/>
          <w:snapToGrid w:val="0"/>
          <w:kern w:val="0"/>
          <w:sz w:val="28"/>
          <w:szCs w:val="28"/>
        </w:rPr>
        <w:t>《中华人民共和国资产评估法》（主席令第46号，自2016年12月1日起施行）；</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（5）</w:t>
      </w:r>
      <w:r>
        <w:rPr>
          <w:rFonts w:ascii="宋体" w:hAnsi="宋体"/>
          <w:snapToGrid w:val="0"/>
          <w:kern w:val="0"/>
          <w:sz w:val="28"/>
          <w:szCs w:val="28"/>
        </w:rPr>
        <w:t>《中华人民共和国民事诉讼法》(</w:t>
      </w:r>
      <w:r>
        <w:rPr>
          <w:rFonts w:hint="eastAsia" w:ascii="宋体" w:hAnsi="宋体"/>
          <w:snapToGrid w:val="0"/>
          <w:kern w:val="0"/>
          <w:sz w:val="28"/>
          <w:szCs w:val="28"/>
        </w:rPr>
        <w:t>主席令第</w:t>
      </w:r>
      <w:r>
        <w:rPr>
          <w:rFonts w:ascii="宋体" w:hAnsi="宋体"/>
          <w:snapToGrid w:val="0"/>
          <w:kern w:val="0"/>
          <w:sz w:val="28"/>
          <w:szCs w:val="28"/>
        </w:rPr>
        <w:t>75号)；</w:t>
      </w:r>
    </w:p>
    <w:p>
      <w:pPr>
        <w:adjustRightInd w:val="0"/>
        <w:snapToGrid w:val="0"/>
        <w:spacing w:line="520" w:lineRule="exact"/>
        <w:ind w:firstLine="280" w:firstLineChars="100"/>
        <w:jc w:val="left"/>
        <w:rPr>
          <w:rFonts w:ascii="宋体" w:hAnsi="宋体" w:cs="宋体"/>
          <w:kern w:val="0"/>
          <w:sz w:val="28"/>
          <w:szCs w:val="28"/>
        </w:rPr>
      </w:pPr>
      <w:r>
        <w:rPr>
          <w:rFonts w:hint="eastAsia" w:ascii="宋体" w:hAnsi="宋体"/>
          <w:snapToGrid w:val="0"/>
          <w:kern w:val="0"/>
          <w:sz w:val="28"/>
          <w:szCs w:val="28"/>
        </w:rPr>
        <w:t>（6）</w:t>
      </w:r>
      <w:r>
        <w:rPr>
          <w:rFonts w:ascii="宋体" w:hAnsi="宋体"/>
          <w:snapToGrid w:val="0"/>
          <w:kern w:val="0"/>
          <w:sz w:val="28"/>
          <w:szCs w:val="28"/>
        </w:rPr>
        <w:t>《最高人民法院关于审理建筑物区分所有权纠纷案件具体应用法律若干问题的解释</w:t>
      </w:r>
      <w:r>
        <w:rPr>
          <w:rFonts w:hint="eastAsia" w:ascii="宋体" w:hAnsi="宋体"/>
          <w:snapToGrid w:val="0"/>
          <w:kern w:val="0"/>
          <w:sz w:val="28"/>
          <w:szCs w:val="28"/>
        </w:rPr>
        <w:t>》</w:t>
      </w:r>
      <w:r>
        <w:rPr>
          <w:rFonts w:ascii="宋体" w:hAnsi="宋体" w:cs="宋体"/>
          <w:kern w:val="0"/>
          <w:sz w:val="28"/>
          <w:szCs w:val="28"/>
        </w:rPr>
        <w:t>(法释[2009]7号)；</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（7）</w:t>
      </w:r>
      <w:r>
        <w:rPr>
          <w:rFonts w:ascii="宋体" w:hAnsi="宋体"/>
          <w:snapToGrid w:val="0"/>
          <w:kern w:val="0"/>
          <w:sz w:val="28"/>
          <w:szCs w:val="28"/>
        </w:rPr>
        <w:t>《中华人民共和国城镇国有土地使用权出让和转让暂行条例》(国务院令第55号)；</w:t>
      </w:r>
    </w:p>
    <w:p>
      <w:pPr>
        <w:widowControl/>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（8）《不动产登记暂行条例》（国务院令第</w:t>
      </w:r>
      <w:r>
        <w:rPr>
          <w:rFonts w:ascii="宋体" w:hAnsi="宋体"/>
          <w:snapToGrid w:val="0"/>
          <w:kern w:val="0"/>
          <w:sz w:val="28"/>
          <w:szCs w:val="28"/>
        </w:rPr>
        <w:t>656号，2015年3月1日起实施）；</w:t>
      </w:r>
    </w:p>
    <w:p>
      <w:pPr>
        <w:widowControl/>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（9）</w:t>
      </w:r>
      <w:r>
        <w:rPr>
          <w:rFonts w:ascii="宋体" w:hAnsi="宋体"/>
          <w:snapToGrid w:val="0"/>
          <w:kern w:val="0"/>
          <w:sz w:val="28"/>
          <w:szCs w:val="28"/>
        </w:rPr>
        <w:t xml:space="preserve"> 《不动产登记暂行条例实施细则》（国土资源部令63号，2016年1月1日起实施）</w:t>
      </w:r>
      <w:r>
        <w:rPr>
          <w:rFonts w:hint="eastAsia" w:ascii="宋体" w:hAnsi="宋体"/>
          <w:snapToGrid w:val="0"/>
          <w:kern w:val="0"/>
          <w:sz w:val="28"/>
          <w:szCs w:val="28"/>
        </w:rPr>
        <w:t>；</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（10）</w:t>
      </w:r>
      <w:r>
        <w:rPr>
          <w:rFonts w:ascii="宋体" w:hAnsi="宋体"/>
          <w:snapToGrid w:val="0"/>
          <w:kern w:val="0"/>
          <w:sz w:val="28"/>
          <w:szCs w:val="28"/>
        </w:rPr>
        <w:t>《最高人民法院关于民事诉讼证据的若干规定》(2013年4月1日施行)；</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（11）</w:t>
      </w:r>
      <w:r>
        <w:rPr>
          <w:rFonts w:ascii="宋体" w:hAnsi="宋体"/>
          <w:snapToGrid w:val="0"/>
          <w:kern w:val="0"/>
          <w:sz w:val="28"/>
          <w:szCs w:val="28"/>
        </w:rPr>
        <w:t>《全国人大常委会关于司法鉴定管理问题的决定》(2005年10月1日施行)；</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（12）</w:t>
      </w:r>
      <w:r>
        <w:rPr>
          <w:rFonts w:ascii="宋体" w:hAnsi="宋体"/>
          <w:snapToGrid w:val="0"/>
          <w:kern w:val="0"/>
          <w:sz w:val="28"/>
          <w:szCs w:val="28"/>
        </w:rPr>
        <w:t>《司法鉴定程序通则</w:t>
      </w:r>
      <w:r>
        <w:rPr>
          <w:rFonts w:hint="eastAsia" w:ascii="宋体" w:hAnsi="宋体"/>
          <w:snapToGrid w:val="0"/>
          <w:kern w:val="0"/>
          <w:sz w:val="28"/>
          <w:szCs w:val="28"/>
        </w:rPr>
        <w:t>》</w:t>
      </w:r>
      <w:r>
        <w:rPr>
          <w:rFonts w:ascii="宋体" w:hAnsi="宋体"/>
          <w:snapToGrid w:val="0"/>
          <w:kern w:val="0"/>
          <w:sz w:val="28"/>
          <w:szCs w:val="28"/>
        </w:rPr>
        <w:t>(司法部1</w:t>
      </w:r>
      <w:r>
        <w:rPr>
          <w:rFonts w:hint="eastAsia" w:ascii="宋体" w:hAnsi="宋体"/>
          <w:snapToGrid w:val="0"/>
          <w:kern w:val="0"/>
          <w:sz w:val="28"/>
          <w:szCs w:val="28"/>
        </w:rPr>
        <w:t>32</w:t>
      </w:r>
      <w:r>
        <w:rPr>
          <w:rFonts w:ascii="宋体" w:hAnsi="宋体"/>
          <w:snapToGrid w:val="0"/>
          <w:kern w:val="0"/>
          <w:sz w:val="28"/>
          <w:szCs w:val="28"/>
        </w:rPr>
        <w:t>号令</w:t>
      </w:r>
      <w:r>
        <w:rPr>
          <w:rFonts w:hint="eastAsia" w:ascii="宋体" w:hAnsi="宋体"/>
          <w:snapToGrid w:val="0"/>
          <w:kern w:val="0"/>
          <w:sz w:val="28"/>
          <w:szCs w:val="28"/>
        </w:rPr>
        <w:t>、</w:t>
      </w:r>
      <w:r>
        <w:rPr>
          <w:rFonts w:ascii="宋体" w:hAnsi="宋体"/>
          <w:snapToGrid w:val="0"/>
          <w:kern w:val="0"/>
          <w:sz w:val="28"/>
          <w:szCs w:val="28"/>
        </w:rPr>
        <w:t>20</w:t>
      </w:r>
      <w:r>
        <w:rPr>
          <w:rFonts w:hint="eastAsia" w:ascii="宋体" w:hAnsi="宋体"/>
          <w:snapToGrid w:val="0"/>
          <w:kern w:val="0"/>
          <w:sz w:val="28"/>
          <w:szCs w:val="28"/>
        </w:rPr>
        <w:t>16</w:t>
      </w:r>
      <w:r>
        <w:rPr>
          <w:rFonts w:ascii="宋体" w:hAnsi="宋体"/>
          <w:snapToGrid w:val="0"/>
          <w:kern w:val="0"/>
          <w:sz w:val="28"/>
          <w:szCs w:val="28"/>
        </w:rPr>
        <w:t>年</w:t>
      </w:r>
      <w:r>
        <w:rPr>
          <w:rFonts w:hint="eastAsia" w:ascii="宋体" w:hAnsi="宋体"/>
          <w:snapToGrid w:val="0"/>
          <w:kern w:val="0"/>
          <w:sz w:val="28"/>
          <w:szCs w:val="28"/>
        </w:rPr>
        <w:t>5</w:t>
      </w:r>
      <w:r>
        <w:rPr>
          <w:rFonts w:ascii="宋体" w:hAnsi="宋体"/>
          <w:snapToGrid w:val="0"/>
          <w:kern w:val="0"/>
          <w:sz w:val="28"/>
          <w:szCs w:val="28"/>
        </w:rPr>
        <w:t>月1日起施行)；</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（13）</w:t>
      </w:r>
      <w:r>
        <w:rPr>
          <w:rFonts w:ascii="宋体" w:hAnsi="宋体"/>
          <w:snapToGrid w:val="0"/>
          <w:kern w:val="0"/>
          <w:sz w:val="28"/>
          <w:szCs w:val="28"/>
        </w:rPr>
        <w:t>《最高人民法院关于人民法院委托评估、拍卖和变卖工作的若干规定</w:t>
      </w:r>
      <w:r>
        <w:rPr>
          <w:rFonts w:hint="eastAsia" w:ascii="宋体" w:hAnsi="宋体"/>
          <w:snapToGrid w:val="0"/>
          <w:kern w:val="0"/>
          <w:sz w:val="28"/>
          <w:szCs w:val="28"/>
        </w:rPr>
        <w:t>》</w:t>
      </w:r>
      <w:r>
        <w:rPr>
          <w:rFonts w:ascii="宋体" w:hAnsi="宋体"/>
          <w:snapToGrid w:val="0"/>
          <w:kern w:val="0"/>
          <w:sz w:val="28"/>
          <w:szCs w:val="28"/>
        </w:rPr>
        <w:t>(法释〔2009〕16号)；</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（14）</w:t>
      </w:r>
      <w:r>
        <w:rPr>
          <w:rFonts w:ascii="宋体" w:hAnsi="宋体"/>
          <w:snapToGrid w:val="0"/>
          <w:kern w:val="0"/>
          <w:sz w:val="28"/>
          <w:szCs w:val="28"/>
        </w:rPr>
        <w:t>《最高人民法院关于人民法院民事执行中拍卖、变卖财产的规定》(法释[2004]16号)；</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（15）</w:t>
      </w:r>
      <w:r>
        <w:rPr>
          <w:rFonts w:ascii="宋体" w:hAnsi="宋体"/>
          <w:snapToGrid w:val="0"/>
          <w:kern w:val="0"/>
          <w:sz w:val="28"/>
          <w:szCs w:val="28"/>
        </w:rPr>
        <w:t>《最高人民法院对外委托鉴定、评估、拍卖等工作管理规定》(法办发[2007]5号)；</w:t>
      </w:r>
    </w:p>
    <w:p>
      <w:pPr>
        <w:adjustRightInd w:val="0"/>
        <w:snapToGrid w:val="0"/>
        <w:spacing w:line="520" w:lineRule="exact"/>
        <w:ind w:firstLine="280" w:firstLineChars="100"/>
        <w:jc w:val="left"/>
        <w:rPr>
          <w:rFonts w:ascii="宋体" w:hAnsi="宋体"/>
          <w:snapToGrid w:val="0"/>
          <w:kern w:val="0"/>
          <w:sz w:val="28"/>
          <w:szCs w:val="28"/>
        </w:rPr>
      </w:pPr>
      <w:r>
        <w:rPr>
          <w:rFonts w:hint="eastAsia" w:ascii="宋体" w:hAnsi="宋体"/>
          <w:snapToGrid w:val="0"/>
          <w:kern w:val="0"/>
          <w:sz w:val="28"/>
          <w:szCs w:val="28"/>
        </w:rPr>
        <w:t>（16）</w:t>
      </w:r>
      <w:r>
        <w:rPr>
          <w:rFonts w:ascii="宋体" w:hAnsi="宋体"/>
          <w:snapToGrid w:val="0"/>
          <w:kern w:val="0"/>
          <w:sz w:val="28"/>
          <w:szCs w:val="28"/>
        </w:rPr>
        <w:t>《四川省高级人民法院、四川省住房和城乡建设厅关于规范房地产司法鉴定评估工作的通知》(川高法[2011]99号)；</w:t>
      </w:r>
    </w:p>
    <w:p>
      <w:pPr>
        <w:adjustRightInd w:val="0"/>
        <w:snapToGrid w:val="0"/>
        <w:spacing w:line="520" w:lineRule="exact"/>
        <w:ind w:firstLine="280" w:firstLineChars="100"/>
        <w:rPr>
          <w:rFonts w:ascii="宋体" w:hAnsi="宋体"/>
          <w:snapToGrid w:val="0"/>
          <w:kern w:val="0"/>
          <w:sz w:val="28"/>
          <w:szCs w:val="28"/>
        </w:rPr>
      </w:pPr>
      <w:r>
        <w:rPr>
          <w:rFonts w:hint="eastAsia" w:ascii="宋体" w:hAnsi="宋体"/>
          <w:snapToGrid w:val="0"/>
          <w:kern w:val="0"/>
          <w:sz w:val="28"/>
          <w:szCs w:val="28"/>
        </w:rPr>
        <w:t>（17）</w:t>
      </w:r>
      <w:r>
        <w:rPr>
          <w:rFonts w:ascii="宋体" w:hAnsi="宋体"/>
          <w:snapToGrid w:val="0"/>
          <w:kern w:val="0"/>
          <w:sz w:val="28"/>
          <w:szCs w:val="28"/>
        </w:rPr>
        <w:t>其他相关法律、法规、规章、规范性文件及司法解释</w:t>
      </w:r>
      <w:r>
        <w:rPr>
          <w:rFonts w:hint="eastAsia" w:ascii="宋体" w:hAnsi="宋体"/>
          <w:snapToGrid w:val="0"/>
          <w:kern w:val="0"/>
          <w:sz w:val="28"/>
          <w:szCs w:val="28"/>
        </w:rPr>
        <w:t>；</w:t>
      </w:r>
    </w:p>
    <w:p>
      <w:pPr>
        <w:adjustRightInd w:val="0"/>
        <w:snapToGrid w:val="0"/>
        <w:spacing w:line="520" w:lineRule="exact"/>
        <w:ind w:firstLine="280" w:firstLineChars="100"/>
        <w:rPr>
          <w:rFonts w:ascii="宋体" w:hAnsi="宋体"/>
          <w:snapToGrid w:val="0"/>
          <w:kern w:val="0"/>
          <w:sz w:val="28"/>
          <w:szCs w:val="28"/>
        </w:rPr>
      </w:pPr>
      <w:r>
        <w:rPr>
          <w:rFonts w:hint="eastAsia" w:ascii="宋体" w:hAnsi="宋体"/>
          <w:snapToGrid w:val="0"/>
          <w:kern w:val="0"/>
          <w:sz w:val="28"/>
          <w:szCs w:val="28"/>
        </w:rPr>
        <w:t>（18）</w:t>
      </w:r>
      <w:r>
        <w:rPr>
          <w:rFonts w:hint="eastAsia" w:ascii="宋体" w:hAnsi="宋体"/>
          <w:sz w:val="28"/>
          <w:szCs w:val="28"/>
        </w:rPr>
        <w:t>关于补交出让金标准的彭府办函[2013]16号文件。</w:t>
      </w:r>
    </w:p>
    <w:p>
      <w:pPr>
        <w:spacing w:line="520" w:lineRule="exact"/>
        <w:ind w:firstLine="560" w:firstLineChars="200"/>
        <w:rPr>
          <w:rFonts w:ascii="宋体" w:hAnsi="宋体"/>
          <w:sz w:val="28"/>
          <w:szCs w:val="28"/>
        </w:rPr>
      </w:pPr>
      <w:r>
        <w:rPr>
          <w:rFonts w:hint="eastAsia" w:ascii="宋体" w:hAnsi="宋体"/>
          <w:sz w:val="28"/>
          <w:szCs w:val="28"/>
        </w:rPr>
        <w:t>2、 房地产估价相关技术规范、标准</w:t>
      </w:r>
    </w:p>
    <w:p>
      <w:pPr>
        <w:numPr>
          <w:ilvl w:val="0"/>
          <w:numId w:val="6"/>
        </w:numPr>
        <w:adjustRightInd w:val="0"/>
        <w:snapToGrid w:val="0"/>
        <w:spacing w:line="520" w:lineRule="exact"/>
        <w:ind w:left="0" w:firstLine="495" w:firstLineChars="177"/>
        <w:rPr>
          <w:rFonts w:ascii="宋体" w:hAnsi="宋体"/>
          <w:snapToGrid w:val="0"/>
          <w:kern w:val="0"/>
          <w:sz w:val="28"/>
          <w:szCs w:val="28"/>
        </w:rPr>
      </w:pPr>
      <w:r>
        <w:rPr>
          <w:rFonts w:ascii="宋体" w:hAnsi="宋体"/>
          <w:snapToGrid w:val="0"/>
          <w:kern w:val="0"/>
          <w:sz w:val="28"/>
          <w:szCs w:val="28"/>
        </w:rPr>
        <w:t>《房地产估价规范》(GB/T50291-2015)；</w:t>
      </w:r>
    </w:p>
    <w:p>
      <w:pPr>
        <w:numPr>
          <w:ilvl w:val="0"/>
          <w:numId w:val="6"/>
        </w:numPr>
        <w:adjustRightInd w:val="0"/>
        <w:snapToGrid w:val="0"/>
        <w:spacing w:line="520" w:lineRule="exact"/>
        <w:ind w:left="0" w:firstLine="560" w:firstLineChars="200"/>
        <w:rPr>
          <w:rFonts w:ascii="宋体" w:hAnsi="宋体"/>
          <w:snapToGrid w:val="0"/>
          <w:kern w:val="0"/>
          <w:sz w:val="28"/>
          <w:szCs w:val="28"/>
        </w:rPr>
      </w:pPr>
      <w:r>
        <w:rPr>
          <w:rFonts w:ascii="宋体" w:hAnsi="宋体"/>
          <w:snapToGrid w:val="0"/>
          <w:kern w:val="0"/>
          <w:sz w:val="28"/>
          <w:szCs w:val="28"/>
        </w:rPr>
        <w:t>《房地产估价基本术语标准》(GB/T50899-2013)</w:t>
      </w:r>
      <w:r>
        <w:rPr>
          <w:rFonts w:hint="eastAsia" w:ascii="宋体" w:hAnsi="宋体"/>
          <w:snapToGrid w:val="0"/>
          <w:kern w:val="0"/>
          <w:sz w:val="28"/>
          <w:szCs w:val="28"/>
        </w:rPr>
        <w:t>；</w:t>
      </w:r>
    </w:p>
    <w:p>
      <w:pPr>
        <w:numPr>
          <w:ilvl w:val="0"/>
          <w:numId w:val="6"/>
        </w:numPr>
        <w:adjustRightInd w:val="0"/>
        <w:snapToGrid w:val="0"/>
        <w:spacing w:line="520" w:lineRule="exact"/>
        <w:ind w:left="0" w:firstLine="560" w:firstLineChars="200"/>
        <w:rPr>
          <w:rFonts w:ascii="宋体" w:hAnsi="宋体"/>
          <w:snapToGrid w:val="0"/>
          <w:kern w:val="0"/>
          <w:sz w:val="28"/>
          <w:szCs w:val="28"/>
        </w:rPr>
      </w:pPr>
      <w:r>
        <w:rPr>
          <w:rFonts w:hint="eastAsia" w:ascii="宋体" w:hAnsi="宋体"/>
          <w:snapToGrid w:val="0"/>
          <w:kern w:val="0"/>
          <w:sz w:val="28"/>
          <w:szCs w:val="28"/>
        </w:rPr>
        <w:t>《房地产司法鉴定评估指导意见》</w:t>
      </w:r>
      <w:r>
        <w:rPr>
          <w:rFonts w:ascii="宋体" w:hAnsi="宋体"/>
          <w:snapToGrid w:val="0"/>
          <w:kern w:val="0"/>
          <w:sz w:val="28"/>
          <w:szCs w:val="28"/>
        </w:rPr>
        <w:t>(试行)(川建房发[2011]89号)；</w:t>
      </w:r>
    </w:p>
    <w:p>
      <w:pPr>
        <w:spacing w:line="520" w:lineRule="exact"/>
        <w:ind w:firstLine="560" w:firstLineChars="200"/>
        <w:rPr>
          <w:rFonts w:ascii="宋体" w:hAnsi="宋体"/>
          <w:sz w:val="28"/>
          <w:szCs w:val="28"/>
        </w:rPr>
      </w:pPr>
      <w:r>
        <w:rPr>
          <w:rFonts w:hint="eastAsia" w:ascii="宋体" w:hAnsi="宋体"/>
          <w:sz w:val="28"/>
          <w:szCs w:val="28"/>
        </w:rPr>
        <w:t>3、 估价委托人提供的有关资料</w:t>
      </w:r>
    </w:p>
    <w:p>
      <w:pPr>
        <w:numPr>
          <w:ilvl w:val="0"/>
          <w:numId w:val="7"/>
        </w:numPr>
        <w:adjustRightInd w:val="0"/>
        <w:snapToGrid w:val="0"/>
        <w:spacing w:line="520" w:lineRule="exact"/>
        <w:ind w:left="0" w:firstLine="560" w:firstLineChars="200"/>
        <w:rPr>
          <w:rFonts w:ascii="宋体" w:hAnsi="宋体"/>
          <w:sz w:val="28"/>
          <w:szCs w:val="28"/>
        </w:rPr>
      </w:pPr>
      <w:r>
        <w:rPr>
          <w:rFonts w:hint="eastAsia" w:ascii="宋体" w:hAnsi="宋体"/>
          <w:sz w:val="28"/>
          <w:szCs w:val="28"/>
        </w:rPr>
        <w:t>《眉山市彭山区人民法院司法评估委托书》（2019）彭山法技委字第81号）复印件；</w:t>
      </w:r>
    </w:p>
    <w:p>
      <w:pPr>
        <w:numPr>
          <w:ilvl w:val="0"/>
          <w:numId w:val="7"/>
        </w:numPr>
        <w:adjustRightInd w:val="0"/>
        <w:snapToGrid w:val="0"/>
        <w:spacing w:line="520" w:lineRule="exact"/>
        <w:ind w:left="0" w:firstLine="560" w:firstLineChars="200"/>
        <w:rPr>
          <w:rFonts w:ascii="宋体" w:hAnsi="宋体"/>
          <w:sz w:val="28"/>
          <w:szCs w:val="28"/>
        </w:rPr>
      </w:pPr>
      <w:r>
        <w:rPr>
          <w:rFonts w:hint="eastAsia" w:ascii="宋体" w:hAnsi="宋体"/>
          <w:sz w:val="28"/>
          <w:szCs w:val="28"/>
        </w:rPr>
        <w:t>《眉山市彭山区房地产服务中心房屋信息摘要》复印件；</w:t>
      </w:r>
    </w:p>
    <w:p>
      <w:pPr>
        <w:numPr>
          <w:ilvl w:val="0"/>
          <w:numId w:val="7"/>
        </w:numPr>
        <w:adjustRightInd w:val="0"/>
        <w:snapToGrid w:val="0"/>
        <w:spacing w:line="520" w:lineRule="exact"/>
        <w:ind w:left="0" w:firstLine="560" w:firstLineChars="200"/>
        <w:rPr>
          <w:rFonts w:ascii="宋体" w:hAnsi="宋体"/>
          <w:sz w:val="28"/>
          <w:szCs w:val="28"/>
        </w:rPr>
      </w:pPr>
      <w:r>
        <w:rPr>
          <w:rFonts w:hint="eastAsia" w:ascii="宋体" w:hAnsi="宋体"/>
          <w:snapToGrid w:val="0"/>
          <w:kern w:val="0"/>
          <w:sz w:val="28"/>
          <w:szCs w:val="28"/>
        </w:rPr>
        <w:t>《房屋所有权证》（彭山房权证字第0039252、0039253号）复印件；</w:t>
      </w:r>
    </w:p>
    <w:p>
      <w:pPr>
        <w:numPr>
          <w:ilvl w:val="0"/>
          <w:numId w:val="7"/>
        </w:numPr>
        <w:adjustRightInd w:val="0"/>
        <w:snapToGrid w:val="0"/>
        <w:spacing w:line="520" w:lineRule="exact"/>
        <w:ind w:left="0" w:firstLine="560" w:firstLineChars="200"/>
        <w:rPr>
          <w:rFonts w:ascii="宋体" w:hAnsi="宋体"/>
          <w:sz w:val="28"/>
          <w:szCs w:val="28"/>
        </w:rPr>
      </w:pPr>
      <w:r>
        <w:rPr>
          <w:rFonts w:hint="eastAsia" w:ascii="宋体" w:hAnsi="宋体"/>
          <w:snapToGrid w:val="0"/>
          <w:kern w:val="0"/>
          <w:sz w:val="28"/>
          <w:szCs w:val="28"/>
        </w:rPr>
        <w:t>《国有土地使用证》（彭国用（1998）字第0287号、彭国用（2005）第02936号）复印件；</w:t>
      </w:r>
    </w:p>
    <w:p>
      <w:pPr>
        <w:adjustRightInd w:val="0"/>
        <w:snapToGrid w:val="0"/>
        <w:spacing w:line="520" w:lineRule="exact"/>
        <w:ind w:firstLine="560" w:firstLineChars="200"/>
        <w:rPr>
          <w:rFonts w:ascii="宋体" w:hAnsi="宋体"/>
          <w:snapToGrid w:val="0"/>
          <w:kern w:val="0"/>
          <w:sz w:val="28"/>
          <w:szCs w:val="28"/>
        </w:rPr>
      </w:pPr>
      <w:r>
        <w:rPr>
          <w:rFonts w:hint="eastAsia" w:ascii="宋体" w:hAnsi="宋体"/>
          <w:snapToGrid w:val="0"/>
          <w:kern w:val="0"/>
          <w:sz w:val="28"/>
          <w:szCs w:val="28"/>
        </w:rPr>
        <w:t>4、估价机构收集的资料</w:t>
      </w:r>
    </w:p>
    <w:p>
      <w:pPr>
        <w:numPr>
          <w:ilvl w:val="0"/>
          <w:numId w:val="8"/>
        </w:numPr>
        <w:adjustRightInd w:val="0"/>
        <w:snapToGrid w:val="0"/>
        <w:spacing w:line="520" w:lineRule="exact"/>
        <w:ind w:left="0" w:firstLine="560" w:firstLineChars="200"/>
        <w:rPr>
          <w:rFonts w:ascii="宋体" w:hAnsi="宋体"/>
          <w:snapToGrid w:val="0"/>
          <w:kern w:val="0"/>
          <w:sz w:val="28"/>
          <w:szCs w:val="28"/>
        </w:rPr>
      </w:pPr>
      <w:r>
        <w:rPr>
          <w:rFonts w:hint="eastAsia" w:ascii="宋体" w:hAnsi="宋体"/>
          <w:snapToGrid w:val="0"/>
          <w:kern w:val="0"/>
          <w:sz w:val="28"/>
          <w:szCs w:val="28"/>
        </w:rPr>
        <w:t>实地查勘、摄影和记录；</w:t>
      </w:r>
    </w:p>
    <w:p>
      <w:pPr>
        <w:numPr>
          <w:ilvl w:val="0"/>
          <w:numId w:val="8"/>
        </w:numPr>
        <w:adjustRightInd w:val="0"/>
        <w:snapToGrid w:val="0"/>
        <w:spacing w:line="520" w:lineRule="exact"/>
        <w:ind w:left="0" w:firstLine="560" w:firstLineChars="200"/>
        <w:rPr>
          <w:rFonts w:ascii="宋体" w:hAnsi="宋体"/>
          <w:snapToGrid w:val="0"/>
          <w:kern w:val="0"/>
          <w:sz w:val="28"/>
          <w:szCs w:val="28"/>
        </w:rPr>
      </w:pPr>
      <w:r>
        <w:rPr>
          <w:rFonts w:hint="eastAsia" w:ascii="宋体" w:hAnsi="宋体"/>
          <w:snapToGrid w:val="0"/>
          <w:kern w:val="0"/>
          <w:sz w:val="28"/>
          <w:szCs w:val="28"/>
        </w:rPr>
        <w:t>可比实例市场交易资料；</w:t>
      </w:r>
    </w:p>
    <w:p>
      <w:pPr>
        <w:numPr>
          <w:ilvl w:val="0"/>
          <w:numId w:val="8"/>
        </w:numPr>
        <w:adjustRightInd w:val="0"/>
        <w:snapToGrid w:val="0"/>
        <w:spacing w:line="520" w:lineRule="exact"/>
        <w:ind w:left="0" w:firstLine="560" w:firstLineChars="200"/>
        <w:rPr>
          <w:rFonts w:ascii="宋体" w:hAnsi="宋体"/>
          <w:snapToGrid w:val="0"/>
          <w:kern w:val="0"/>
          <w:sz w:val="28"/>
          <w:szCs w:val="28"/>
        </w:rPr>
      </w:pPr>
      <w:r>
        <w:rPr>
          <w:rFonts w:hint="eastAsia" w:ascii="宋体" w:hAnsi="宋体"/>
          <w:snapToGrid w:val="0"/>
          <w:kern w:val="0"/>
          <w:sz w:val="28"/>
          <w:szCs w:val="28"/>
        </w:rPr>
        <w:t>当地房地产市场信息；</w:t>
      </w:r>
    </w:p>
    <w:p>
      <w:pPr>
        <w:numPr>
          <w:ilvl w:val="0"/>
          <w:numId w:val="8"/>
        </w:numPr>
        <w:adjustRightInd w:val="0"/>
        <w:snapToGrid w:val="0"/>
        <w:spacing w:line="520" w:lineRule="exact"/>
        <w:ind w:left="0" w:firstLine="560" w:firstLineChars="200"/>
        <w:rPr>
          <w:rFonts w:ascii="宋体" w:hAnsi="宋体"/>
          <w:snapToGrid w:val="0"/>
          <w:kern w:val="0"/>
          <w:sz w:val="28"/>
          <w:szCs w:val="28"/>
        </w:rPr>
      </w:pPr>
      <w:r>
        <w:rPr>
          <w:rFonts w:hint="eastAsia" w:ascii="宋体" w:hAnsi="宋体"/>
          <w:snapToGrid w:val="0"/>
          <w:kern w:val="0"/>
          <w:sz w:val="28"/>
          <w:szCs w:val="28"/>
        </w:rPr>
        <w:t>其它有关估价对象现场资料和市场资料。</w:t>
      </w:r>
    </w:p>
    <w:p>
      <w:pPr>
        <w:pStyle w:val="30"/>
        <w:snapToGrid w:val="0"/>
        <w:spacing w:line="520" w:lineRule="exact"/>
        <w:ind w:firstLine="640" w:firstLineChars="200"/>
        <w:rPr>
          <w:rFonts w:ascii="黑体" w:hAnsi="宋体" w:eastAsia="黑体" w:cs="黑体"/>
          <w:szCs w:val="28"/>
        </w:rPr>
      </w:pPr>
      <w:r>
        <w:rPr>
          <w:rFonts w:hint="eastAsia" w:ascii="黑体" w:hAnsi="宋体" w:eastAsia="黑体" w:cs="黑体"/>
          <w:szCs w:val="28"/>
        </w:rPr>
        <w:t>（九）估价方法</w:t>
      </w:r>
    </w:p>
    <w:p>
      <w:pPr>
        <w:pStyle w:val="30"/>
        <w:snapToGrid w:val="0"/>
        <w:spacing w:line="520" w:lineRule="exact"/>
        <w:ind w:firstLine="640" w:firstLineChars="200"/>
        <w:rPr>
          <w:rFonts w:hAnsi="宋体"/>
          <w:spacing w:val="0"/>
          <w:kern w:val="2"/>
          <w:szCs w:val="28"/>
        </w:rPr>
      </w:pPr>
      <w:r>
        <w:rPr>
          <w:rFonts w:hint="eastAsia"/>
          <w:szCs w:val="28"/>
        </w:rPr>
        <w:t>房地产评估的常用方法有</w:t>
      </w:r>
      <w:r>
        <w:rPr>
          <w:rFonts w:hint="eastAsia" w:hAnsi="宋体"/>
          <w:spacing w:val="0"/>
          <w:kern w:val="2"/>
          <w:szCs w:val="28"/>
        </w:rPr>
        <w:t>收益法、成本法、假设开发法等。估价方法的选用应按照《房地产估价规范》(GB/T 50291-2015)要求，根据当地房地产市场发育情况，结合估价对象的具体特点及估价目的等，选择适当的估价方法。</w:t>
      </w:r>
    </w:p>
    <w:p>
      <w:pPr>
        <w:spacing w:line="520" w:lineRule="exact"/>
        <w:ind w:firstLine="560" w:firstLineChars="200"/>
        <w:rPr>
          <w:rFonts w:ascii="宋体" w:hAnsi="宋体"/>
          <w:sz w:val="28"/>
          <w:szCs w:val="28"/>
        </w:rPr>
      </w:pPr>
      <w:r>
        <w:rPr>
          <w:rFonts w:ascii="宋体" w:hAnsi="宋体"/>
          <w:sz w:val="28"/>
          <w:szCs w:val="28"/>
        </w:rPr>
        <w:t>1</w:t>
      </w:r>
      <w:r>
        <w:rPr>
          <w:rFonts w:hint="eastAsia" w:ascii="宋体" w:hAnsi="宋体"/>
          <w:sz w:val="28"/>
          <w:szCs w:val="28"/>
        </w:rPr>
        <w:t>、估价方法的选用</w:t>
      </w:r>
    </w:p>
    <w:p>
      <w:pPr>
        <w:spacing w:line="520" w:lineRule="exact"/>
        <w:ind w:firstLine="560" w:firstLineChars="200"/>
        <w:rPr>
          <w:rFonts w:ascii="宋体" w:hAnsi="宋体"/>
          <w:sz w:val="28"/>
          <w:szCs w:val="28"/>
        </w:rPr>
      </w:pPr>
      <w:r>
        <w:rPr>
          <w:rFonts w:hint="eastAsia" w:ascii="宋体" w:hAnsi="宋体"/>
          <w:sz w:val="28"/>
          <w:szCs w:val="28"/>
        </w:rPr>
        <w:t>根据本公司掌握的有关资料，对各估价方法进行分析比较，同时结合估价对象的具体情况，本次评估采用比较法对住宅用房、收益法对商业用房进行估价。</w:t>
      </w:r>
    </w:p>
    <w:p>
      <w:pPr>
        <w:spacing w:line="520" w:lineRule="exact"/>
        <w:ind w:firstLine="560" w:firstLineChars="200"/>
        <w:rPr>
          <w:rFonts w:ascii="宋体" w:hAnsi="宋体"/>
          <w:sz w:val="28"/>
          <w:szCs w:val="28"/>
        </w:rPr>
      </w:pPr>
      <w:bookmarkStart w:id="55" w:name="_Toc364091983"/>
      <w:bookmarkStart w:id="56" w:name="_Toc21471"/>
      <w:bookmarkStart w:id="57" w:name="_Toc333846317"/>
      <w:bookmarkStart w:id="58" w:name="_Toc137475702"/>
      <w:r>
        <w:rPr>
          <w:rFonts w:ascii="宋体" w:hAnsi="宋体"/>
          <w:sz w:val="28"/>
          <w:szCs w:val="28"/>
        </w:rPr>
        <w:t>2</w:t>
      </w:r>
      <w:r>
        <w:rPr>
          <w:rFonts w:hint="eastAsia" w:ascii="宋体" w:hAnsi="宋体"/>
          <w:sz w:val="28"/>
          <w:szCs w:val="28"/>
        </w:rPr>
        <w:t>、估价方法的定义</w:t>
      </w:r>
    </w:p>
    <w:p>
      <w:pPr>
        <w:spacing w:line="520" w:lineRule="exact"/>
        <w:ind w:firstLine="560" w:firstLineChars="200"/>
        <w:jc w:val="left"/>
        <w:rPr>
          <w:rFonts w:ascii="宋体" w:hAnsi="宋体"/>
          <w:sz w:val="28"/>
          <w:szCs w:val="28"/>
        </w:rPr>
      </w:pPr>
      <w:r>
        <w:rPr>
          <w:rFonts w:hint="eastAsia"/>
          <w:sz w:val="28"/>
          <w:szCs w:val="28"/>
        </w:rPr>
        <w:t>（1）</w:t>
      </w:r>
      <w:r>
        <w:rPr>
          <w:rFonts w:hint="eastAsia" w:ascii="宋体" w:hAnsi="宋体"/>
          <w:sz w:val="28"/>
          <w:szCs w:val="28"/>
        </w:rPr>
        <w:t>收益法的定义为：预计估价对象未来的正常净收益，选用适当的报酬率将其折现到价值时点后累加，以此估算估价对象的客观合理价格或价值的方法。适用于有收益或有潜在收益的房地产的估价。</w:t>
      </w:r>
    </w:p>
    <w:p>
      <w:pPr>
        <w:spacing w:line="520" w:lineRule="exact"/>
        <w:ind w:firstLine="560" w:firstLineChars="200"/>
        <w:rPr>
          <w:rFonts w:ascii="宋体" w:hAnsi="宋体"/>
          <w:sz w:val="28"/>
          <w:szCs w:val="28"/>
        </w:rPr>
      </w:pPr>
      <w:r>
        <w:rPr>
          <w:rFonts w:hint="eastAsia" w:ascii="宋体" w:hAnsi="宋体"/>
          <w:sz w:val="28"/>
          <w:szCs w:val="28"/>
        </w:rPr>
        <w:t>步骤：①搜集有关收入和费用的资料；②估算潜在毛收入；③估算有效毛收入；④估算运营费用；⑤估算净收益；⑥选用适当的报酬率；⑦选用适宜的计算公式求出收益价值。</w:t>
      </w:r>
    </w:p>
    <w:p>
      <w:pPr>
        <w:tabs>
          <w:tab w:val="left" w:pos="540"/>
        </w:tabs>
        <w:adjustRightInd w:val="0"/>
        <w:snapToGrid w:val="0"/>
        <w:spacing w:line="360" w:lineRule="auto"/>
        <w:ind w:firstLine="560" w:firstLineChars="200"/>
        <w:rPr>
          <w:rFonts w:ascii="宋体" w:hAnsi="宋体"/>
          <w:color w:val="000000"/>
          <w:sz w:val="24"/>
        </w:rPr>
      </w:pPr>
      <w:r>
        <w:rPr>
          <w:rFonts w:hint="eastAsia" w:cs="宋体"/>
          <w:sz w:val="28"/>
          <w:szCs w:val="28"/>
        </w:rPr>
        <w:t>基本公式：</w:t>
      </w:r>
      <w:r>
        <w:rPr>
          <w:rFonts w:hint="eastAsia" w:ascii="宋体" w:hAnsi="宋体"/>
          <w:color w:val="000000"/>
          <w:sz w:val="24"/>
        </w:rPr>
        <w:object>
          <v:shape id="_x0000_i1025" o:spt="75" type="#_x0000_t75" style="height:39pt;width:121.5pt;" o:ole="t" filled="f" o:preferrelative="t" stroked="f" coordsize="21600,21600">
            <v:path/>
            <v:fill on="f" focussize="0,0"/>
            <v:stroke on="f" joinstyle="miter"/>
            <v:imagedata r:id="rId13" o:title=""/>
            <o:lock v:ext="edit" aspectratio="t"/>
            <w10:wrap type="none"/>
            <w10:anchorlock/>
          </v:shape>
          <o:OLEObject Type="Embed" ProgID="Equation.3" ShapeID="_x0000_i1025" DrawAspect="Content" ObjectID="_1468075725" r:id="rId12">
            <o:LockedField>false</o:LockedField>
          </o:OLEObject>
        </w:object>
      </w:r>
    </w:p>
    <w:p>
      <w:pPr>
        <w:spacing w:line="560" w:lineRule="exact"/>
        <w:ind w:firstLine="560" w:firstLineChars="200"/>
        <w:rPr>
          <w:rFonts w:ascii="宋体" w:hAnsi="宋体"/>
          <w:sz w:val="28"/>
          <w:szCs w:val="28"/>
        </w:rPr>
      </w:pPr>
      <w:r>
        <w:rPr>
          <w:rFonts w:hint="eastAsia" w:ascii="宋体" w:hAnsi="宋体"/>
          <w:sz w:val="28"/>
          <w:szCs w:val="28"/>
        </w:rPr>
        <w:t>其中：V一 收益价值</w:t>
      </w:r>
    </w:p>
    <w:p>
      <w:pPr>
        <w:spacing w:line="560" w:lineRule="exact"/>
        <w:ind w:firstLine="560" w:firstLineChars="200"/>
        <w:rPr>
          <w:rFonts w:ascii="宋体" w:hAnsi="宋体"/>
          <w:sz w:val="28"/>
          <w:szCs w:val="28"/>
        </w:rPr>
      </w:pPr>
      <w:r>
        <w:rPr>
          <w:rFonts w:hint="eastAsia" w:ascii="宋体" w:hAnsi="宋体"/>
          <w:sz w:val="28"/>
          <w:szCs w:val="28"/>
        </w:rPr>
        <w:t>A一 房地产未来第一年净收益</w:t>
      </w:r>
    </w:p>
    <w:p>
      <w:pPr>
        <w:spacing w:line="560" w:lineRule="exact"/>
        <w:ind w:firstLine="560" w:firstLineChars="200"/>
        <w:rPr>
          <w:rFonts w:ascii="宋体" w:hAnsi="宋体"/>
          <w:sz w:val="28"/>
          <w:szCs w:val="28"/>
        </w:rPr>
      </w:pPr>
      <w:r>
        <w:rPr>
          <w:rFonts w:hint="eastAsia" w:ascii="宋体" w:hAnsi="宋体"/>
          <w:sz w:val="28"/>
          <w:szCs w:val="28"/>
        </w:rPr>
        <w:t>Y一 报酬率</w:t>
      </w:r>
    </w:p>
    <w:p>
      <w:pPr>
        <w:spacing w:line="560" w:lineRule="exact"/>
        <w:ind w:firstLine="560" w:firstLineChars="200"/>
        <w:rPr>
          <w:rFonts w:ascii="宋体" w:hAnsi="宋体"/>
          <w:sz w:val="28"/>
          <w:szCs w:val="28"/>
        </w:rPr>
      </w:pPr>
      <w:r>
        <w:rPr>
          <w:rFonts w:hint="eastAsia" w:ascii="宋体" w:hAnsi="宋体"/>
          <w:sz w:val="28"/>
          <w:szCs w:val="28"/>
        </w:rPr>
        <w:t>g一 净收益每年递增率</w:t>
      </w:r>
    </w:p>
    <w:p>
      <w:pPr>
        <w:spacing w:line="560" w:lineRule="exact"/>
        <w:ind w:firstLine="560" w:firstLineChars="200"/>
        <w:rPr>
          <w:rFonts w:ascii="宋体" w:hAnsi="宋体"/>
          <w:sz w:val="28"/>
          <w:szCs w:val="28"/>
        </w:rPr>
      </w:pPr>
      <w:r>
        <w:rPr>
          <w:rFonts w:hint="eastAsia" w:ascii="宋体" w:hAnsi="宋体"/>
          <w:sz w:val="28"/>
          <w:szCs w:val="28"/>
        </w:rPr>
        <w:t>n一 获取收益的持续年限</w:t>
      </w:r>
    </w:p>
    <w:p>
      <w:pPr>
        <w:spacing w:line="560" w:lineRule="exact"/>
        <w:ind w:left="420" w:leftChars="200"/>
        <w:rPr>
          <w:rFonts w:ascii="宋体" w:hAnsi="宋体"/>
          <w:sz w:val="28"/>
          <w:szCs w:val="28"/>
        </w:rPr>
      </w:pPr>
      <w:r>
        <w:rPr>
          <w:rFonts w:hint="eastAsia" w:ascii="宋体" w:hAnsi="宋体"/>
          <w:sz w:val="28"/>
          <w:szCs w:val="28"/>
        </w:rPr>
        <w:t>（2）比较法的定义</w:t>
      </w:r>
    </w:p>
    <w:p>
      <w:pPr>
        <w:spacing w:line="560" w:lineRule="exact"/>
        <w:ind w:firstLine="560" w:firstLineChars="200"/>
        <w:rPr>
          <w:rFonts w:ascii="宋体" w:hAnsi="宋体"/>
          <w:sz w:val="28"/>
          <w:szCs w:val="28"/>
        </w:rPr>
      </w:pPr>
      <w:r>
        <w:rPr>
          <w:rFonts w:hint="eastAsia" w:ascii="宋体" w:hAnsi="宋体"/>
          <w:sz w:val="28"/>
          <w:szCs w:val="28"/>
        </w:rPr>
        <w:t>估价方法的定义</w:t>
      </w:r>
    </w:p>
    <w:p>
      <w:pPr>
        <w:spacing w:line="560" w:lineRule="exact"/>
        <w:rPr>
          <w:rFonts w:ascii="宋体" w:hAnsi="宋体"/>
          <w:sz w:val="28"/>
        </w:rPr>
      </w:pPr>
      <w:r>
        <w:rPr>
          <w:rFonts w:hint="eastAsia" w:ascii="宋体" w:hAnsi="宋体"/>
          <w:sz w:val="28"/>
        </w:rPr>
        <w:t xml:space="preserve">    比较法的定义为：将估价对象与在价值时点近期有过交易的类似房地产进行比较，对这些类似房地产的已知价格作适当的修正，以此估算估价对象的客观合理价格或价值的方法。在房地产市场比较发达的情况下，是一种说服力强、适用范围广的估价方法。</w:t>
      </w:r>
    </w:p>
    <w:p>
      <w:pPr>
        <w:tabs>
          <w:tab w:val="left" w:pos="1005"/>
        </w:tabs>
        <w:spacing w:line="560" w:lineRule="exact"/>
        <w:ind w:firstLine="560" w:firstLineChars="200"/>
        <w:rPr>
          <w:rFonts w:ascii="宋体" w:hAnsi="宋体"/>
          <w:sz w:val="28"/>
          <w:szCs w:val="28"/>
        </w:rPr>
      </w:pPr>
      <w:r>
        <w:rPr>
          <w:rFonts w:hint="eastAsia" w:ascii="宋体" w:hAnsi="宋体"/>
          <w:sz w:val="28"/>
        </w:rPr>
        <w:t>步骤：①搜集交易实例；②选取可比实例；③建立价格比较基础；④进行交</w:t>
      </w:r>
      <w:r>
        <w:rPr>
          <w:rFonts w:hint="eastAsia" w:ascii="宋体" w:hAnsi="宋体"/>
          <w:sz w:val="28"/>
          <w:szCs w:val="28"/>
        </w:rPr>
        <w:t>易情况修正；⑤进行市场状况调整；⑥进行房地产状况调整；⑦求出比较价值。</w:t>
      </w:r>
    </w:p>
    <w:p>
      <w:pPr>
        <w:spacing w:line="560" w:lineRule="exact"/>
        <w:ind w:left="420" w:leftChars="200"/>
        <w:rPr>
          <w:rFonts w:ascii="宋体" w:hAnsi="宋体"/>
          <w:sz w:val="28"/>
          <w:szCs w:val="28"/>
        </w:rPr>
      </w:pPr>
      <w:r>
        <w:rPr>
          <w:rFonts w:hint="eastAsia" w:ascii="宋体" w:hAnsi="宋体"/>
          <w:sz w:val="28"/>
          <w:szCs w:val="28"/>
        </w:rPr>
        <w:t>基本公式：比较价值</w:t>
      </w:r>
      <w:r>
        <w:rPr>
          <w:rFonts w:ascii="宋体" w:hAnsi="宋体"/>
          <w:sz w:val="28"/>
          <w:szCs w:val="28"/>
        </w:rPr>
        <w:t>=</w:t>
      </w:r>
      <w:r>
        <w:rPr>
          <w:rFonts w:hint="eastAsia" w:ascii="宋体" w:hAnsi="宋体"/>
          <w:sz w:val="28"/>
          <w:szCs w:val="28"/>
        </w:rPr>
        <w:t>可比实例成交价格</w:t>
      </w:r>
      <w:r>
        <w:rPr>
          <w:rFonts w:ascii="宋体" w:hAnsi="宋体"/>
          <w:sz w:val="28"/>
          <w:szCs w:val="28"/>
        </w:rPr>
        <w:t>×</w:t>
      </w:r>
      <w:r>
        <w:rPr>
          <w:rFonts w:hint="eastAsia" w:ascii="宋体" w:hAnsi="宋体"/>
          <w:sz w:val="28"/>
          <w:szCs w:val="28"/>
        </w:rPr>
        <w:t>交易情况修正系数</w:t>
      </w:r>
      <w:r>
        <w:rPr>
          <w:rFonts w:ascii="宋体" w:hAnsi="宋体"/>
          <w:sz w:val="28"/>
          <w:szCs w:val="28"/>
        </w:rPr>
        <w:t>×</w:t>
      </w:r>
      <w:r>
        <w:rPr>
          <w:rFonts w:hint="eastAsia" w:ascii="宋体" w:hAnsi="宋体"/>
          <w:sz w:val="28"/>
          <w:szCs w:val="28"/>
        </w:rPr>
        <w:t>市场状况调整系数</w:t>
      </w:r>
      <w:r>
        <w:rPr>
          <w:rFonts w:ascii="宋体" w:hAnsi="宋体"/>
          <w:sz w:val="28"/>
          <w:szCs w:val="28"/>
        </w:rPr>
        <w:t>×</w:t>
      </w:r>
      <w:r>
        <w:rPr>
          <w:rFonts w:hint="eastAsia" w:ascii="宋体" w:hAnsi="宋体"/>
          <w:sz w:val="28"/>
          <w:szCs w:val="28"/>
        </w:rPr>
        <w:t>房地产状况调整系数</w:t>
      </w:r>
    </w:p>
    <w:p>
      <w:pPr>
        <w:spacing w:line="560" w:lineRule="exact"/>
        <w:ind w:firstLine="560" w:firstLineChars="200"/>
        <w:rPr>
          <w:rFonts w:ascii="Arial" w:hAnsi="Arial" w:cs="Arial"/>
          <w:sz w:val="28"/>
          <w:szCs w:val="28"/>
        </w:rPr>
      </w:pPr>
      <w:r>
        <w:rPr>
          <w:rFonts w:hint="eastAsia" w:ascii="Arial" w:hAnsi="Arial" w:cs="Arial"/>
          <w:sz w:val="28"/>
          <w:szCs w:val="28"/>
        </w:rPr>
        <w:t>3、估价测算的简要内容</w:t>
      </w:r>
    </w:p>
    <w:p>
      <w:pPr>
        <w:spacing w:line="560" w:lineRule="exact"/>
        <w:ind w:firstLine="560" w:firstLineChars="200"/>
        <w:rPr>
          <w:rFonts w:ascii="Arial" w:hAnsi="Arial" w:cs="Arial"/>
          <w:sz w:val="28"/>
          <w:szCs w:val="28"/>
        </w:rPr>
      </w:pPr>
      <w:r>
        <w:rPr>
          <w:rFonts w:hint="eastAsia" w:ascii="Arial" w:hAnsi="Arial" w:cs="Arial"/>
          <w:sz w:val="28"/>
          <w:szCs w:val="28"/>
        </w:rPr>
        <w:t>本报告采用和比较法对住宅用房、收益法对商业用房进行估价，在确认测算结果无差错后将其作为综合测算结果。因不存在未能在综合测算结果中反映的价值影响因素，故将综合测算结果确定为最终评估价值。</w:t>
      </w:r>
      <w:bookmarkEnd w:id="55"/>
      <w:bookmarkEnd w:id="56"/>
      <w:bookmarkEnd w:id="57"/>
      <w:bookmarkEnd w:id="58"/>
      <w:bookmarkStart w:id="59" w:name="_Toc524430669"/>
      <w:bookmarkStart w:id="60" w:name="_Toc137475703"/>
    </w:p>
    <w:p>
      <w:pPr>
        <w:spacing w:line="560" w:lineRule="exact"/>
        <w:ind w:firstLine="560" w:firstLineChars="200"/>
        <w:rPr>
          <w:rFonts w:ascii="黑体" w:hAnsi="宋体" w:eastAsia="黑体" w:cs="黑体"/>
          <w:sz w:val="28"/>
          <w:szCs w:val="28"/>
        </w:rPr>
      </w:pPr>
      <w:r>
        <w:rPr>
          <w:rFonts w:hint="eastAsia" w:ascii="黑体" w:hAnsi="宋体" w:eastAsia="黑体" w:cs="黑体"/>
          <w:sz w:val="28"/>
          <w:szCs w:val="28"/>
        </w:rPr>
        <w:t>（十）估价结果</w:t>
      </w:r>
      <w:bookmarkEnd w:id="59"/>
    </w:p>
    <w:bookmarkEnd w:id="60"/>
    <w:p>
      <w:pPr>
        <w:spacing w:line="56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历经上述评估程序和评估方法后，最后确定估价对象在价值时点</w:t>
      </w:r>
      <w:r>
        <w:rPr>
          <w:rFonts w:hint="eastAsia" w:asciiTheme="minorEastAsia" w:hAnsiTheme="minorEastAsia" w:eastAsiaTheme="minorEastAsia"/>
          <w:sz w:val="28"/>
          <w:szCs w:val="28"/>
        </w:rPr>
        <w:t>2019年11月8日</w:t>
      </w:r>
      <w:r>
        <w:rPr>
          <w:rFonts w:hint="eastAsia" w:cs="宋体" w:asciiTheme="minorEastAsia" w:hAnsiTheme="minorEastAsia" w:eastAsiaTheme="minorEastAsia"/>
          <w:sz w:val="28"/>
          <w:szCs w:val="28"/>
        </w:rPr>
        <w:t>并满足本报告所述价值定义及</w:t>
      </w:r>
      <w:r>
        <w:rPr>
          <w:rFonts w:asciiTheme="minorEastAsia" w:hAnsiTheme="minorEastAsia" w:eastAsiaTheme="minorEastAsia"/>
          <w:sz w:val="28"/>
          <w:szCs w:val="28"/>
        </w:rPr>
        <w:t>“</w:t>
      </w:r>
      <w:r>
        <w:rPr>
          <w:rFonts w:hint="eastAsia" w:cs="宋体" w:asciiTheme="minorEastAsia" w:hAnsiTheme="minorEastAsia" w:eastAsiaTheme="minorEastAsia"/>
          <w:sz w:val="28"/>
          <w:szCs w:val="28"/>
        </w:rPr>
        <w:t>估价假设和限制条件</w:t>
      </w:r>
      <w:r>
        <w:rPr>
          <w:rFonts w:asciiTheme="minorEastAsia" w:hAnsiTheme="minorEastAsia" w:eastAsiaTheme="minorEastAsia"/>
          <w:sz w:val="28"/>
          <w:szCs w:val="28"/>
        </w:rPr>
        <w:t>”</w:t>
      </w:r>
      <w:r>
        <w:rPr>
          <w:rFonts w:hint="eastAsia" w:cs="宋体" w:asciiTheme="minorEastAsia" w:hAnsiTheme="minorEastAsia" w:eastAsiaTheme="minorEastAsia"/>
          <w:sz w:val="28"/>
          <w:szCs w:val="28"/>
        </w:rPr>
        <w:t>的市场价值为：</w:t>
      </w:r>
    </w:p>
    <w:p>
      <w:pPr>
        <w:adjustRightInd w:val="0"/>
        <w:snapToGrid w:val="0"/>
        <w:spacing w:line="520" w:lineRule="exact"/>
        <w:ind w:firstLine="840" w:firstLineChars="3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评估总价：人民币（小写）329.23万元（佰元取整）</w:t>
      </w:r>
    </w:p>
    <w:p>
      <w:pPr>
        <w:adjustRightInd w:val="0"/>
        <w:snapToGrid w:val="0"/>
        <w:spacing w:line="520" w:lineRule="exact"/>
        <w:ind w:firstLine="2240" w:firstLineChars="8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人民币（大写）叁佰贰拾玖万贰仟叁佰元整。</w:t>
      </w:r>
    </w:p>
    <w:p>
      <w:pPr>
        <w:adjustRightInd w:val="0"/>
        <w:snapToGrid w:val="0"/>
        <w:spacing w:line="520" w:lineRule="exact"/>
        <w:jc w:val="center"/>
        <w:rPr>
          <w:rFonts w:asciiTheme="minorEastAsia" w:hAnsiTheme="minorEastAsia" w:eastAsiaTheme="minorEastAsia"/>
          <w:sz w:val="28"/>
          <w:szCs w:val="28"/>
        </w:rPr>
      </w:pPr>
      <w:r>
        <w:rPr>
          <w:rFonts w:hint="eastAsia" w:ascii="宋体" w:hAnsi="宋体"/>
          <w:snapToGrid w:val="0"/>
          <w:sz w:val="28"/>
          <w:szCs w:val="28"/>
        </w:rPr>
        <w:t>估价结果一览表</w:t>
      </w:r>
    </w:p>
    <w:tbl>
      <w:tblPr>
        <w:tblStyle w:val="38"/>
        <w:tblpPr w:leftFromText="180" w:rightFromText="180" w:vertAnchor="text" w:horzAnchor="page" w:tblpXSpec="center" w:tblpY="465"/>
        <w:tblOverlap w:val="never"/>
        <w:tblW w:w="9766" w:type="dxa"/>
        <w:tblInd w:w="0" w:type="dxa"/>
        <w:tblLayout w:type="fixed"/>
        <w:tblCellMar>
          <w:top w:w="0" w:type="dxa"/>
          <w:left w:w="0" w:type="dxa"/>
          <w:bottom w:w="0" w:type="dxa"/>
          <w:right w:w="0" w:type="dxa"/>
        </w:tblCellMar>
      </w:tblPr>
      <w:tblGrid>
        <w:gridCol w:w="338"/>
        <w:gridCol w:w="2162"/>
        <w:gridCol w:w="830"/>
        <w:gridCol w:w="1953"/>
        <w:gridCol w:w="666"/>
        <w:gridCol w:w="924"/>
        <w:gridCol w:w="930"/>
        <w:gridCol w:w="938"/>
        <w:gridCol w:w="1025"/>
      </w:tblGrid>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估价对象</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《房屋所有权证》证号</w:t>
            </w:r>
          </w:p>
        </w:tc>
        <w:tc>
          <w:tcPr>
            <w:tcW w:w="8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房屋所有权人</w:t>
            </w: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坐落</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所在层</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规划用途</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建筑面积(㎡)</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评估单价(元/㎡，取整至拾元)</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评估总价(万元，取整至佰元)</w:t>
            </w:r>
          </w:p>
        </w:tc>
      </w:tr>
      <w:tr>
        <w:tblPrEx>
          <w:tblLayout w:type="fixed"/>
          <w:tblCellMar>
            <w:top w:w="0" w:type="dxa"/>
            <w:left w:w="0" w:type="dxa"/>
            <w:bottom w:w="0" w:type="dxa"/>
            <w:right w:w="0" w:type="dxa"/>
          </w:tblCellMar>
        </w:tblPrEx>
        <w:trPr>
          <w:trHeight w:val="57" w:hRule="atLeast"/>
        </w:trPr>
        <w:tc>
          <w:tcPr>
            <w:tcW w:w="338" w:type="dxa"/>
            <w:vMerge w:val="restart"/>
            <w:tcBorders>
              <w:top w:val="single" w:color="000000" w:sz="4" w:space="0"/>
              <w:left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2162"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彭山房权证字第0039252、0039253号</w:t>
            </w:r>
          </w:p>
        </w:tc>
        <w:tc>
          <w:tcPr>
            <w:tcW w:w="830" w:type="dxa"/>
            <w:vMerge w:val="restart"/>
            <w:tcBorders>
              <w:top w:val="single" w:color="000000" w:sz="4" w:space="0"/>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付学芳、黄光兴</w:t>
            </w:r>
          </w:p>
        </w:tc>
        <w:tc>
          <w:tcPr>
            <w:tcW w:w="1953"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青龙镇望江路42号1-2层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25.20</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5230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13.18</w:t>
            </w:r>
          </w:p>
        </w:tc>
      </w:tr>
      <w:tr>
        <w:tblPrEx>
          <w:tblLayout w:type="fixed"/>
          <w:tblCellMar>
            <w:top w:w="0" w:type="dxa"/>
            <w:left w:w="0" w:type="dxa"/>
            <w:bottom w:w="0" w:type="dxa"/>
            <w:right w:w="0" w:type="dxa"/>
          </w:tblCellMar>
        </w:tblPrEx>
        <w:trPr>
          <w:trHeight w:val="57" w:hRule="atLeast"/>
        </w:trPr>
        <w:tc>
          <w:tcPr>
            <w:tcW w:w="338" w:type="dxa"/>
            <w:vMerge w:val="continue"/>
            <w:tcBorders>
              <w:left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p>
        </w:tc>
        <w:tc>
          <w:tcPr>
            <w:tcW w:w="2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48.70</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10.76</w:t>
            </w:r>
          </w:p>
        </w:tc>
      </w:tr>
      <w:tr>
        <w:tblPrEx>
          <w:tblLayout w:type="fixed"/>
          <w:tblCellMar>
            <w:top w:w="0" w:type="dxa"/>
            <w:left w:w="0" w:type="dxa"/>
            <w:bottom w:w="0" w:type="dxa"/>
            <w:right w:w="0" w:type="dxa"/>
          </w:tblCellMar>
        </w:tblPrEx>
        <w:trPr>
          <w:trHeight w:val="57" w:hRule="atLeast"/>
        </w:trPr>
        <w:tc>
          <w:tcPr>
            <w:tcW w:w="338" w:type="dxa"/>
            <w:vMerge w:val="continue"/>
            <w:tcBorders>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p>
        </w:tc>
        <w:tc>
          <w:tcPr>
            <w:tcW w:w="2162"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117.12</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2210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25.88</w:t>
            </w:r>
          </w:p>
        </w:tc>
      </w:tr>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0077972、0077973</w:t>
            </w: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11、13号1层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222.25</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5600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124.46</w:t>
            </w:r>
          </w:p>
        </w:tc>
      </w:tr>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0077970、0077971</w:t>
            </w: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11、13号2层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270.07</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2800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75.62</w:t>
            </w:r>
          </w:p>
        </w:tc>
      </w:tr>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0077968、0077969</w:t>
            </w: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11、13号3层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商业</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270.07</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2300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62.12</w:t>
            </w:r>
          </w:p>
        </w:tc>
      </w:tr>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5</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0077966、0077967</w:t>
            </w:r>
          </w:p>
        </w:tc>
        <w:tc>
          <w:tcPr>
            <w:tcW w:w="830" w:type="dxa"/>
            <w:vMerge w:val="continue"/>
            <w:tcBorders>
              <w:left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11、13号4层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4</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住宅</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77.19</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2230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17.21</w:t>
            </w:r>
          </w:p>
        </w:tc>
      </w:tr>
      <w:tr>
        <w:tblPrEx>
          <w:tblLayout w:type="fixed"/>
          <w:tblCellMar>
            <w:top w:w="0" w:type="dxa"/>
            <w:left w:w="0" w:type="dxa"/>
            <w:bottom w:w="0" w:type="dxa"/>
            <w:right w:w="0" w:type="dxa"/>
          </w:tblCellMar>
        </w:tblPrEx>
        <w:trPr>
          <w:trHeight w:val="57" w:hRule="atLeast"/>
        </w:trPr>
        <w:tc>
          <w:tcPr>
            <w:tcW w:w="338"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6</w:t>
            </w:r>
          </w:p>
        </w:tc>
        <w:tc>
          <w:tcPr>
            <w:tcW w:w="21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监证</w:t>
            </w:r>
            <w:r>
              <w:rPr>
                <w:rFonts w:hint="eastAsia" w:ascii="宋体" w:hAnsi="宋体" w:cs="宋体"/>
                <w:sz w:val="20"/>
                <w:szCs w:val="21"/>
              </w:rPr>
              <w:t>0039250、0039251</w:t>
            </w:r>
          </w:p>
        </w:tc>
        <w:tc>
          <w:tcPr>
            <w:tcW w:w="830" w:type="dxa"/>
            <w:vMerge w:val="continue"/>
            <w:tcBorders>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p>
        </w:tc>
        <w:tc>
          <w:tcPr>
            <w:tcW w:w="195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t>青龙镇下马路</w:t>
            </w:r>
            <w:r>
              <w:rPr>
                <w:rFonts w:hint="eastAsia" w:ascii="宋体" w:hAnsi="宋体" w:cs="宋体"/>
                <w:sz w:val="20"/>
                <w:szCs w:val="21"/>
              </w:rPr>
              <w:t>180号1层</w:t>
            </w:r>
          </w:p>
        </w:tc>
        <w:tc>
          <w:tcPr>
            <w:tcW w:w="666"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w:t>
            </w:r>
          </w:p>
        </w:tc>
        <w:tc>
          <w:tcPr>
            <w:tcW w:w="92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其他</w:t>
            </w: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332.13</w:t>
            </w:r>
          </w:p>
        </w:tc>
        <w:tc>
          <w:tcPr>
            <w:tcW w:w="93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0</w:t>
            </w:r>
          </w:p>
        </w:tc>
        <w:tc>
          <w:tcPr>
            <w:tcW w:w="102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ascii="宋体" w:hAnsi="宋体" w:cs="宋体"/>
                <w:sz w:val="20"/>
                <w:szCs w:val="21"/>
              </w:rPr>
            </w:pPr>
            <w:r>
              <w:rPr>
                <w:rFonts w:hint="eastAsia" w:ascii="宋体" w:hAnsi="宋体" w:cs="宋体"/>
                <w:sz w:val="20"/>
                <w:szCs w:val="21"/>
              </w:rPr>
              <w:t>0</w:t>
            </w:r>
          </w:p>
        </w:tc>
      </w:tr>
      <w:tr>
        <w:tblPrEx>
          <w:tblLayout w:type="fixed"/>
          <w:tblCellMar>
            <w:top w:w="0" w:type="dxa"/>
            <w:left w:w="0" w:type="dxa"/>
            <w:bottom w:w="0" w:type="dxa"/>
            <w:right w:w="0" w:type="dxa"/>
          </w:tblCellMar>
        </w:tblPrEx>
        <w:trPr>
          <w:trHeight w:val="57" w:hRule="atLeast"/>
        </w:trPr>
        <w:tc>
          <w:tcPr>
            <w:tcW w:w="6873" w:type="dxa"/>
            <w:gridSpan w:val="6"/>
            <w:tcBorders>
              <w:top w:val="single" w:color="000000" w:sz="4" w:space="0"/>
              <w:left w:val="single" w:color="000000" w:sz="4" w:space="0"/>
              <w:bottom w:val="single" w:color="000000" w:sz="4" w:space="0"/>
              <w:right w:val="single" w:color="000000" w:sz="4" w:space="0"/>
            </w:tcBorders>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合计</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1362.73</w:t>
            </w:r>
          </w:p>
        </w:tc>
        <w:tc>
          <w:tcPr>
            <w:tcW w:w="93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hint="eastAsia" w:ascii="宋体" w:hAnsi="宋体" w:cs="宋体"/>
                <w:sz w:val="20"/>
                <w:szCs w:val="21"/>
              </w:rPr>
              <w:t>--</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40" w:lineRule="atLeast"/>
              <w:jc w:val="center"/>
              <w:textAlignment w:val="center"/>
              <w:rPr>
                <w:rFonts w:ascii="宋体" w:hAnsi="宋体" w:cs="宋体"/>
                <w:sz w:val="20"/>
                <w:szCs w:val="21"/>
              </w:rPr>
            </w:pPr>
            <w:r>
              <w:rPr>
                <w:rFonts w:ascii="宋体" w:hAnsi="宋体" w:cs="宋体"/>
                <w:sz w:val="20"/>
                <w:szCs w:val="21"/>
              </w:rPr>
              <w:fldChar w:fldCharType="begin"/>
            </w:r>
            <w:r>
              <w:rPr>
                <w:rFonts w:ascii="宋体" w:hAnsi="宋体" w:cs="宋体"/>
                <w:sz w:val="20"/>
                <w:szCs w:val="21"/>
              </w:rPr>
              <w:instrText xml:space="preserve"> </w:instrText>
            </w:r>
            <w:r>
              <w:rPr>
                <w:rFonts w:hint="eastAsia" w:ascii="宋体" w:hAnsi="宋体" w:cs="宋体"/>
                <w:sz w:val="20"/>
                <w:szCs w:val="21"/>
              </w:rPr>
              <w:instrText xml:space="preserve">=SUM(ABOVE)</w:instrText>
            </w:r>
            <w:r>
              <w:rPr>
                <w:rFonts w:ascii="宋体" w:hAnsi="宋体" w:cs="宋体"/>
                <w:sz w:val="20"/>
                <w:szCs w:val="21"/>
              </w:rPr>
              <w:instrText xml:space="preserve"> </w:instrText>
            </w:r>
            <w:r>
              <w:rPr>
                <w:rFonts w:ascii="宋体" w:hAnsi="宋体" w:cs="宋体"/>
                <w:sz w:val="20"/>
                <w:szCs w:val="21"/>
              </w:rPr>
              <w:fldChar w:fldCharType="separate"/>
            </w:r>
            <w:r>
              <w:rPr>
                <w:rFonts w:ascii="宋体" w:hAnsi="宋体" w:cs="宋体"/>
                <w:sz w:val="20"/>
                <w:szCs w:val="21"/>
              </w:rPr>
              <w:t>329.23</w:t>
            </w:r>
            <w:r>
              <w:rPr>
                <w:rFonts w:ascii="宋体" w:hAnsi="宋体" w:cs="宋体"/>
                <w:sz w:val="20"/>
                <w:szCs w:val="21"/>
              </w:rPr>
              <w:fldChar w:fldCharType="end"/>
            </w:r>
          </w:p>
        </w:tc>
      </w:tr>
      <w:tr>
        <w:tblPrEx>
          <w:tblLayout w:type="fixed"/>
          <w:tblCellMar>
            <w:top w:w="0" w:type="dxa"/>
            <w:left w:w="0" w:type="dxa"/>
            <w:bottom w:w="0" w:type="dxa"/>
            <w:right w:w="0" w:type="dxa"/>
          </w:tblCellMar>
        </w:tblPrEx>
        <w:trPr>
          <w:trHeight w:val="57" w:hRule="atLeast"/>
        </w:trPr>
        <w:tc>
          <w:tcPr>
            <w:tcW w:w="9766" w:type="dxa"/>
            <w:gridSpan w:val="9"/>
            <w:tcBorders>
              <w:top w:val="single" w:color="000000" w:sz="4" w:space="0"/>
              <w:left w:val="single" w:color="000000" w:sz="4" w:space="0"/>
              <w:bottom w:val="single" w:color="000000" w:sz="4" w:space="0"/>
              <w:right w:val="single" w:color="000000" w:sz="4" w:space="0"/>
            </w:tcBorders>
            <w:vAlign w:val="center"/>
          </w:tcPr>
          <w:p>
            <w:pPr>
              <w:spacing w:line="240" w:lineRule="atLeast"/>
              <w:jc w:val="left"/>
              <w:textAlignment w:val="center"/>
              <w:rPr>
                <w:rFonts w:ascii="宋体" w:hAnsi="宋体" w:cs="宋体"/>
                <w:b/>
                <w:sz w:val="20"/>
                <w:szCs w:val="21"/>
              </w:rPr>
            </w:pPr>
            <w:r>
              <w:rPr>
                <w:rFonts w:hint="eastAsia" w:ascii="宋体" w:hAnsi="宋体" w:cs="宋体"/>
                <w:b/>
                <w:sz w:val="20"/>
                <w:szCs w:val="21"/>
              </w:rPr>
              <w:t>备注：</w:t>
            </w:r>
          </w:p>
          <w:p>
            <w:pPr>
              <w:spacing w:line="240" w:lineRule="atLeast"/>
              <w:ind w:firstLine="402" w:firstLineChars="200"/>
              <w:jc w:val="left"/>
              <w:textAlignment w:val="center"/>
              <w:rPr>
                <w:rFonts w:ascii="宋体" w:hAnsi="宋体" w:cs="宋体"/>
                <w:b/>
                <w:sz w:val="20"/>
                <w:szCs w:val="21"/>
              </w:rPr>
            </w:pPr>
            <w:r>
              <w:rPr>
                <w:rFonts w:hint="eastAsia" w:ascii="宋体" w:hAnsi="宋体" w:cs="宋体"/>
                <w:b/>
                <w:sz w:val="20"/>
                <w:szCs w:val="21"/>
              </w:rPr>
              <w:t>1、据《眉山市彭山区房地产服务中心房屋信息摘要》复印件记载，估价对象6为1层砖木结构的其它用房。经估价委托人代表、申请人代表及被申请人向估价人员现场查勘指认，</w:t>
            </w:r>
            <w:r>
              <w:rPr>
                <w:rFonts w:ascii="宋体" w:hAnsi="宋体" w:cs="宋体"/>
                <w:b/>
                <w:sz w:val="20"/>
                <w:szCs w:val="21"/>
              </w:rPr>
              <w:t>未见该</w:t>
            </w:r>
            <w:r>
              <w:rPr>
                <w:rFonts w:hint="eastAsia" w:ascii="宋体" w:hAnsi="宋体" w:cs="宋体"/>
                <w:b/>
                <w:sz w:val="20"/>
                <w:szCs w:val="21"/>
              </w:rPr>
              <w:t>砖木结构</w:t>
            </w:r>
            <w:r>
              <w:rPr>
                <w:rFonts w:ascii="宋体" w:hAnsi="宋体" w:cs="宋体"/>
                <w:b/>
                <w:sz w:val="20"/>
                <w:szCs w:val="21"/>
              </w:rPr>
              <w:t>建筑物</w:t>
            </w:r>
            <w:r>
              <w:rPr>
                <w:rFonts w:hint="eastAsia" w:ascii="宋体" w:hAnsi="宋体" w:cs="宋体"/>
                <w:b/>
                <w:sz w:val="20"/>
                <w:szCs w:val="21"/>
              </w:rPr>
              <w:t>。该建筑物所占用土地使用权原址上现有</w:t>
            </w:r>
            <w:r>
              <w:rPr>
                <w:rFonts w:ascii="宋体" w:hAnsi="宋体" w:cs="宋体"/>
                <w:b/>
                <w:sz w:val="20"/>
                <w:szCs w:val="21"/>
              </w:rPr>
              <w:t>与</w:t>
            </w:r>
            <w:r>
              <w:rPr>
                <w:rFonts w:hint="eastAsia" w:ascii="宋体" w:hAnsi="宋体" w:cs="宋体"/>
                <w:b/>
                <w:sz w:val="20"/>
                <w:szCs w:val="21"/>
              </w:rPr>
              <w:t>估价对象2-5同为一栋且相连接的三层框架结构建筑物。因估价对象6原建筑物已不存在，</w:t>
            </w:r>
            <w:r>
              <w:rPr>
                <w:rFonts w:ascii="宋体" w:hAnsi="宋体" w:cs="宋体"/>
                <w:b/>
                <w:sz w:val="20"/>
                <w:szCs w:val="21"/>
              </w:rPr>
              <w:t>故本次</w:t>
            </w:r>
            <w:r>
              <w:rPr>
                <w:rFonts w:hint="eastAsia" w:ascii="宋体" w:hAnsi="宋体" w:cs="宋体"/>
                <w:b/>
                <w:sz w:val="20"/>
                <w:szCs w:val="21"/>
              </w:rPr>
              <w:t>评估该估价对象价值为“零”。</w:t>
            </w:r>
          </w:p>
          <w:p>
            <w:pPr>
              <w:spacing w:line="240" w:lineRule="atLeast"/>
              <w:ind w:firstLine="402" w:firstLineChars="200"/>
              <w:jc w:val="left"/>
              <w:textAlignment w:val="center"/>
              <w:rPr>
                <w:rFonts w:ascii="宋体" w:hAnsi="宋体" w:cs="宋体"/>
                <w:b/>
                <w:sz w:val="20"/>
                <w:szCs w:val="21"/>
              </w:rPr>
            </w:pPr>
            <w:r>
              <w:rPr>
                <w:rFonts w:hint="eastAsia" w:ascii="宋体" w:hAnsi="宋体" w:cs="宋体"/>
                <w:b/>
                <w:sz w:val="20"/>
                <w:szCs w:val="21"/>
              </w:rPr>
              <w:t>2、估价对象6所占用土地使用权原址上的现有三层框架结构房地产，假设其在权益、用途、所在楼层与估价对象2-4相同的前提下，其单价与估价对象2-4相同。</w:t>
            </w:r>
          </w:p>
        </w:tc>
      </w:tr>
    </w:tbl>
    <w:p>
      <w:pPr>
        <w:spacing w:line="620" w:lineRule="exact"/>
        <w:jc w:val="left"/>
        <w:outlineLvl w:val="1"/>
        <w:rPr>
          <w:rFonts w:ascii="黑体" w:hAnsi="宋体" w:eastAsia="黑体" w:cs="黑体"/>
          <w:sz w:val="28"/>
          <w:szCs w:val="28"/>
        </w:rPr>
      </w:pPr>
      <w:r>
        <w:rPr>
          <w:rFonts w:hint="eastAsia" w:ascii="黑体" w:hAnsi="宋体" w:eastAsia="黑体" w:cs="黑体"/>
          <w:sz w:val="28"/>
          <w:szCs w:val="28"/>
        </w:rPr>
        <w:t>（十一）注册房地产估价师</w:t>
      </w:r>
    </w:p>
    <w:tbl>
      <w:tblPr>
        <w:tblStyle w:val="38"/>
        <w:tblW w:w="9556"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1885"/>
        <w:gridCol w:w="2400"/>
        <w:gridCol w:w="2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rPr>
        <w:tc>
          <w:tcPr>
            <w:tcW w:w="2357" w:type="dxa"/>
            <w:vAlign w:val="center"/>
          </w:tcPr>
          <w:p>
            <w:pPr>
              <w:spacing w:line="500" w:lineRule="exact"/>
              <w:jc w:val="center"/>
              <w:rPr>
                <w:bCs/>
                <w:sz w:val="24"/>
                <w:szCs w:val="24"/>
              </w:rPr>
            </w:pPr>
            <w:r>
              <w:rPr>
                <w:rFonts w:hint="eastAsia" w:cs="宋体"/>
                <w:bCs/>
                <w:sz w:val="24"/>
                <w:szCs w:val="24"/>
              </w:rPr>
              <w:t>姓名</w:t>
            </w:r>
          </w:p>
        </w:tc>
        <w:tc>
          <w:tcPr>
            <w:tcW w:w="1885" w:type="dxa"/>
            <w:vAlign w:val="center"/>
          </w:tcPr>
          <w:p>
            <w:pPr>
              <w:spacing w:line="500" w:lineRule="exact"/>
              <w:jc w:val="center"/>
              <w:rPr>
                <w:bCs/>
                <w:sz w:val="24"/>
                <w:szCs w:val="24"/>
              </w:rPr>
            </w:pPr>
            <w:r>
              <w:rPr>
                <w:rFonts w:hint="eastAsia" w:cs="宋体"/>
                <w:bCs/>
                <w:sz w:val="24"/>
                <w:szCs w:val="24"/>
              </w:rPr>
              <w:t>注册号</w:t>
            </w:r>
          </w:p>
        </w:tc>
        <w:tc>
          <w:tcPr>
            <w:tcW w:w="2400" w:type="dxa"/>
            <w:vAlign w:val="center"/>
          </w:tcPr>
          <w:p>
            <w:pPr>
              <w:spacing w:line="500" w:lineRule="exact"/>
              <w:jc w:val="center"/>
              <w:rPr>
                <w:bCs/>
                <w:sz w:val="24"/>
                <w:szCs w:val="24"/>
              </w:rPr>
            </w:pPr>
            <w:r>
              <w:rPr>
                <w:rFonts w:hint="eastAsia" w:cs="宋体"/>
                <w:bCs/>
                <w:sz w:val="24"/>
                <w:szCs w:val="24"/>
              </w:rPr>
              <w:t>签名</w:t>
            </w:r>
          </w:p>
        </w:tc>
        <w:tc>
          <w:tcPr>
            <w:tcW w:w="2914" w:type="dxa"/>
            <w:vAlign w:val="center"/>
          </w:tcPr>
          <w:p>
            <w:pPr>
              <w:spacing w:line="500" w:lineRule="exact"/>
              <w:jc w:val="center"/>
              <w:rPr>
                <w:bCs/>
                <w:sz w:val="24"/>
                <w:szCs w:val="24"/>
              </w:rPr>
            </w:pPr>
            <w:r>
              <w:rPr>
                <w:rFonts w:hint="eastAsia" w:cs="宋体"/>
                <w:bCs/>
                <w:sz w:val="24"/>
                <w:szCs w:val="24"/>
              </w:rPr>
              <w:t>签名日期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2" w:hRule="atLeast"/>
        </w:trPr>
        <w:tc>
          <w:tcPr>
            <w:tcW w:w="2357" w:type="dxa"/>
            <w:vAlign w:val="center"/>
          </w:tcPr>
          <w:p>
            <w:pPr>
              <w:spacing w:line="500" w:lineRule="exact"/>
              <w:jc w:val="center"/>
              <w:rPr>
                <w:rFonts w:cs="宋体"/>
                <w:sz w:val="24"/>
                <w:szCs w:val="24"/>
              </w:rPr>
            </w:pPr>
            <w:r>
              <w:rPr>
                <w:rFonts w:hint="eastAsia" w:cs="宋体"/>
                <w:sz w:val="24"/>
                <w:szCs w:val="24"/>
              </w:rPr>
              <w:t>张  乐</w:t>
            </w:r>
          </w:p>
        </w:tc>
        <w:tc>
          <w:tcPr>
            <w:tcW w:w="1885" w:type="dxa"/>
            <w:vAlign w:val="center"/>
          </w:tcPr>
          <w:p>
            <w:pPr>
              <w:spacing w:line="500" w:lineRule="exact"/>
              <w:jc w:val="center"/>
              <w:rPr>
                <w:rFonts w:cs="宋体"/>
                <w:sz w:val="24"/>
                <w:szCs w:val="24"/>
              </w:rPr>
            </w:pPr>
            <w:r>
              <w:rPr>
                <w:rFonts w:hint="eastAsia" w:cs="宋体"/>
                <w:sz w:val="24"/>
                <w:szCs w:val="24"/>
              </w:rPr>
              <w:t>5</w:t>
            </w:r>
            <w:r>
              <w:rPr>
                <w:rFonts w:cs="宋体"/>
                <w:sz w:val="24"/>
                <w:szCs w:val="24"/>
              </w:rPr>
              <w:t>120070069</w:t>
            </w:r>
          </w:p>
        </w:tc>
        <w:tc>
          <w:tcPr>
            <w:tcW w:w="2400" w:type="dxa"/>
            <w:vAlign w:val="center"/>
          </w:tcPr>
          <w:p>
            <w:pPr>
              <w:spacing w:line="500" w:lineRule="exact"/>
              <w:jc w:val="center"/>
              <w:rPr>
                <w:sz w:val="24"/>
                <w:szCs w:val="24"/>
              </w:rPr>
            </w:pPr>
          </w:p>
        </w:tc>
        <w:tc>
          <w:tcPr>
            <w:tcW w:w="2914" w:type="dxa"/>
            <w:vAlign w:val="center"/>
          </w:tcPr>
          <w:p>
            <w:pPr>
              <w:spacing w:line="500" w:lineRule="exact"/>
              <w:jc w:val="center"/>
              <w:rPr>
                <w:sz w:val="24"/>
                <w:szCs w:val="24"/>
              </w:rPr>
            </w:pPr>
            <w:r>
              <w:rPr>
                <w:rFonts w:hint="eastAsia"/>
                <w:sz w:val="24"/>
                <w:szCs w:val="24"/>
              </w:rPr>
              <w:t>2020年4月2日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0" w:hRule="atLeast"/>
        </w:trPr>
        <w:tc>
          <w:tcPr>
            <w:tcW w:w="2357" w:type="dxa"/>
            <w:vAlign w:val="center"/>
          </w:tcPr>
          <w:p>
            <w:pPr>
              <w:spacing w:line="500" w:lineRule="exact"/>
              <w:jc w:val="center"/>
              <w:rPr>
                <w:rFonts w:cs="宋体"/>
                <w:sz w:val="24"/>
                <w:szCs w:val="24"/>
              </w:rPr>
            </w:pPr>
            <w:r>
              <w:rPr>
                <w:rFonts w:hint="eastAsia" w:cs="宋体"/>
                <w:sz w:val="24"/>
                <w:szCs w:val="24"/>
              </w:rPr>
              <w:t>毛祺维</w:t>
            </w:r>
          </w:p>
        </w:tc>
        <w:tc>
          <w:tcPr>
            <w:tcW w:w="1885" w:type="dxa"/>
            <w:vAlign w:val="center"/>
          </w:tcPr>
          <w:p>
            <w:pPr>
              <w:spacing w:line="500" w:lineRule="exact"/>
              <w:jc w:val="center"/>
              <w:rPr>
                <w:rFonts w:cs="宋体"/>
                <w:sz w:val="24"/>
                <w:szCs w:val="24"/>
              </w:rPr>
            </w:pPr>
            <w:r>
              <w:rPr>
                <w:rFonts w:hint="eastAsia" w:cs="宋体"/>
                <w:sz w:val="24"/>
                <w:szCs w:val="24"/>
              </w:rPr>
              <w:t>5</w:t>
            </w:r>
            <w:r>
              <w:rPr>
                <w:rFonts w:cs="宋体"/>
                <w:sz w:val="24"/>
                <w:szCs w:val="24"/>
              </w:rPr>
              <w:t>120100073</w:t>
            </w:r>
          </w:p>
        </w:tc>
        <w:tc>
          <w:tcPr>
            <w:tcW w:w="2400" w:type="dxa"/>
            <w:vAlign w:val="center"/>
          </w:tcPr>
          <w:p>
            <w:pPr>
              <w:spacing w:line="500" w:lineRule="exact"/>
              <w:jc w:val="center"/>
              <w:rPr>
                <w:sz w:val="24"/>
                <w:szCs w:val="24"/>
              </w:rPr>
            </w:pPr>
          </w:p>
        </w:tc>
        <w:tc>
          <w:tcPr>
            <w:tcW w:w="2914" w:type="dxa"/>
            <w:vAlign w:val="center"/>
          </w:tcPr>
          <w:p>
            <w:pPr>
              <w:spacing w:line="500" w:lineRule="exact"/>
              <w:jc w:val="center"/>
              <w:rPr>
                <w:sz w:val="24"/>
                <w:szCs w:val="24"/>
              </w:rPr>
            </w:pPr>
            <w:r>
              <w:rPr>
                <w:rFonts w:hint="eastAsia"/>
                <w:sz w:val="24"/>
                <w:szCs w:val="24"/>
              </w:rPr>
              <w:t>2020年4月2日</w:t>
            </w:r>
          </w:p>
        </w:tc>
      </w:tr>
    </w:tbl>
    <w:p>
      <w:pPr>
        <w:spacing w:line="360" w:lineRule="auto"/>
        <w:ind w:firstLine="420" w:firstLineChars="150"/>
        <w:outlineLvl w:val="1"/>
        <w:rPr>
          <w:rFonts w:ascii="黑体" w:hAnsi="宋体" w:eastAsia="黑体" w:cs="黑体"/>
          <w:sz w:val="28"/>
          <w:szCs w:val="28"/>
        </w:rPr>
      </w:pPr>
      <w:bookmarkStart w:id="61" w:name="_Toc333846320"/>
      <w:bookmarkStart w:id="62" w:name="_Toc15185"/>
      <w:bookmarkStart w:id="63" w:name="_Toc364091986"/>
      <w:bookmarkStart w:id="64" w:name="_Toc137475705"/>
    </w:p>
    <w:p>
      <w:pPr>
        <w:spacing w:line="360" w:lineRule="auto"/>
        <w:ind w:firstLine="420" w:firstLineChars="150"/>
        <w:outlineLvl w:val="1"/>
        <w:rPr>
          <w:rFonts w:ascii="黑体" w:hAnsi="宋体" w:eastAsia="黑体" w:cs="黑体"/>
          <w:sz w:val="28"/>
          <w:szCs w:val="28"/>
        </w:rPr>
      </w:pPr>
      <w:r>
        <w:rPr>
          <w:rFonts w:hint="eastAsia" w:ascii="黑体" w:hAnsi="宋体" w:eastAsia="黑体" w:cs="黑体"/>
          <w:sz w:val="28"/>
          <w:szCs w:val="28"/>
        </w:rPr>
        <w:t>（十二）实地查勘期</w:t>
      </w:r>
    </w:p>
    <w:p>
      <w:pPr>
        <w:spacing w:line="360" w:lineRule="auto"/>
        <w:ind w:firstLine="560" w:firstLineChars="200"/>
        <w:rPr>
          <w:rFonts w:cs="宋体"/>
          <w:sz w:val="28"/>
          <w:szCs w:val="28"/>
        </w:rPr>
      </w:pPr>
      <w:r>
        <w:rPr>
          <w:rFonts w:hint="eastAsia" w:cs="宋体"/>
          <w:sz w:val="28"/>
          <w:szCs w:val="28"/>
        </w:rPr>
        <w:t>于2019年11月8日进入现场，并于当日完成实地查勘。</w:t>
      </w:r>
    </w:p>
    <w:bookmarkEnd w:id="61"/>
    <w:bookmarkEnd w:id="62"/>
    <w:bookmarkEnd w:id="63"/>
    <w:bookmarkEnd w:id="64"/>
    <w:p>
      <w:pPr>
        <w:spacing w:line="360" w:lineRule="auto"/>
        <w:ind w:firstLine="420" w:firstLineChars="150"/>
        <w:outlineLvl w:val="1"/>
        <w:rPr>
          <w:rFonts w:ascii="黑体" w:hAnsi="宋体" w:eastAsia="黑体" w:cs="黑体"/>
          <w:sz w:val="28"/>
          <w:szCs w:val="28"/>
        </w:rPr>
      </w:pPr>
      <w:bookmarkStart w:id="65" w:name="_Toc524430672"/>
      <w:bookmarkStart w:id="66" w:name="_Toc31140"/>
      <w:r>
        <w:rPr>
          <w:rFonts w:hint="eastAsia" w:ascii="黑体" w:hAnsi="宋体" w:eastAsia="黑体" w:cs="黑体"/>
          <w:sz w:val="28"/>
          <w:szCs w:val="28"/>
        </w:rPr>
        <w:t>（十三）估价作业期</w:t>
      </w:r>
      <w:bookmarkEnd w:id="65"/>
    </w:p>
    <w:p>
      <w:pPr>
        <w:spacing w:line="360" w:lineRule="auto"/>
        <w:ind w:firstLine="560" w:firstLineChars="200"/>
        <w:rPr>
          <w:rFonts w:eastAsia="黑体" w:cs="黑体"/>
          <w:sz w:val="32"/>
          <w:szCs w:val="32"/>
        </w:rPr>
      </w:pPr>
      <w:r>
        <w:rPr>
          <w:rFonts w:hint="eastAsia" w:cs="宋体"/>
          <w:sz w:val="28"/>
          <w:szCs w:val="28"/>
        </w:rPr>
        <w:t>2019年11月8日至</w:t>
      </w:r>
      <w:bookmarkEnd w:id="66"/>
      <w:r>
        <w:rPr>
          <w:rFonts w:hint="eastAsia" w:cs="宋体"/>
          <w:sz w:val="28"/>
          <w:szCs w:val="28"/>
        </w:rPr>
        <w:t>2020年4月2日。</w:t>
      </w:r>
      <w:r>
        <w:rPr>
          <w:rFonts w:eastAsia="黑体" w:cs="黑体"/>
          <w:sz w:val="32"/>
          <w:szCs w:val="32"/>
        </w:rPr>
        <w:br w:type="page"/>
      </w:r>
    </w:p>
    <w:p>
      <w:pPr>
        <w:spacing w:line="360" w:lineRule="auto"/>
        <w:ind w:firstLine="640" w:firstLineChars="200"/>
        <w:jc w:val="center"/>
        <w:rPr>
          <w:rFonts w:ascii="黑体" w:hAnsi="宋体" w:eastAsia="黑体" w:cs="黑体"/>
          <w:sz w:val="32"/>
          <w:szCs w:val="32"/>
        </w:rPr>
      </w:pPr>
      <w:r>
        <w:rPr>
          <w:rFonts w:hint="eastAsia" w:eastAsia="黑体" w:cs="黑体"/>
          <w:sz w:val="32"/>
          <w:szCs w:val="32"/>
        </w:rPr>
        <w:t>四、</w:t>
      </w:r>
      <w:r>
        <w:rPr>
          <w:rFonts w:hint="eastAsia" w:ascii="黑体" w:hAnsi="宋体" w:eastAsia="黑体" w:cs="黑体"/>
          <w:sz w:val="32"/>
          <w:szCs w:val="32"/>
        </w:rPr>
        <w:t>附件</w:t>
      </w:r>
    </w:p>
    <w:p>
      <w:pPr>
        <w:adjustRightInd w:val="0"/>
        <w:snapToGrid w:val="0"/>
        <w:spacing w:line="520" w:lineRule="exact"/>
        <w:ind w:left="420" w:leftChars="200"/>
        <w:rPr>
          <w:rFonts w:ascii="宋体" w:hAnsi="宋体"/>
          <w:sz w:val="28"/>
          <w:szCs w:val="28"/>
        </w:rPr>
      </w:pPr>
      <w:r>
        <w:rPr>
          <w:rFonts w:hint="eastAsia" w:ascii="宋体" w:hAnsi="宋体"/>
          <w:sz w:val="28"/>
          <w:szCs w:val="28"/>
        </w:rPr>
        <w:t>1、《眉山市彭山区人民法院司法评估委托书》（2019）彭山法技委字第81号）复印件；</w:t>
      </w:r>
    </w:p>
    <w:p>
      <w:pPr>
        <w:adjustRightInd w:val="0"/>
        <w:snapToGrid w:val="0"/>
        <w:spacing w:line="520" w:lineRule="exact"/>
        <w:ind w:left="420" w:leftChars="200"/>
        <w:rPr>
          <w:rFonts w:eastAsia="黑体"/>
          <w:sz w:val="32"/>
          <w:szCs w:val="32"/>
        </w:rPr>
      </w:pPr>
      <w:r>
        <w:rPr>
          <w:rFonts w:hint="eastAsia" w:ascii="宋体" w:hAnsi="宋体"/>
          <w:sz w:val="28"/>
          <w:szCs w:val="28"/>
        </w:rPr>
        <w:t>2、《眉山市彭山区房地产服务中心房屋信息摘要》复印件；</w:t>
      </w:r>
    </w:p>
    <w:p>
      <w:pPr>
        <w:pStyle w:val="113"/>
        <w:adjustRightInd w:val="0"/>
        <w:snapToGrid w:val="0"/>
        <w:spacing w:line="520" w:lineRule="exact"/>
        <w:ind w:left="426" w:firstLine="0" w:firstLineChars="0"/>
        <w:rPr>
          <w:rFonts w:ascii="宋体" w:hAnsi="宋体"/>
          <w:snapToGrid w:val="0"/>
          <w:sz w:val="28"/>
          <w:szCs w:val="28"/>
        </w:rPr>
      </w:pPr>
      <w:r>
        <w:rPr>
          <w:rFonts w:hint="eastAsia" w:ascii="宋体" w:hAnsi="宋体"/>
          <w:snapToGrid w:val="0"/>
          <w:kern w:val="0"/>
          <w:sz w:val="28"/>
          <w:szCs w:val="28"/>
        </w:rPr>
        <w:t>3、《房屋所有权证》（彭山房权证字第0039252、0039253号）复印件</w:t>
      </w:r>
      <w:r>
        <w:rPr>
          <w:rFonts w:hint="eastAsia" w:ascii="宋体" w:hAnsi="宋体"/>
          <w:snapToGrid w:val="0"/>
          <w:sz w:val="28"/>
          <w:szCs w:val="28"/>
        </w:rPr>
        <w:t>；</w:t>
      </w:r>
    </w:p>
    <w:p>
      <w:pPr>
        <w:pStyle w:val="113"/>
        <w:adjustRightInd w:val="0"/>
        <w:snapToGrid w:val="0"/>
        <w:spacing w:line="520" w:lineRule="exact"/>
        <w:ind w:left="426" w:firstLine="0" w:firstLineChars="0"/>
        <w:rPr>
          <w:rFonts w:ascii="宋体" w:hAnsi="宋体"/>
          <w:snapToGrid w:val="0"/>
          <w:sz w:val="28"/>
          <w:szCs w:val="28"/>
        </w:rPr>
      </w:pPr>
      <w:r>
        <w:rPr>
          <w:rFonts w:hint="eastAsia" w:ascii="宋体" w:hAnsi="宋体"/>
          <w:snapToGrid w:val="0"/>
          <w:kern w:val="0"/>
          <w:sz w:val="28"/>
          <w:szCs w:val="28"/>
        </w:rPr>
        <w:t>4、《国有土地使用证》（彭国用（1998）字第0287号、彭国用（2005）第02936号）复印件；</w:t>
      </w:r>
    </w:p>
    <w:p>
      <w:pPr>
        <w:pStyle w:val="113"/>
        <w:adjustRightInd w:val="0"/>
        <w:snapToGrid w:val="0"/>
        <w:spacing w:line="520" w:lineRule="exact"/>
        <w:ind w:left="426" w:firstLine="0" w:firstLineChars="0"/>
        <w:jc w:val="left"/>
        <w:rPr>
          <w:rFonts w:ascii="宋体" w:hAnsi="宋体"/>
          <w:snapToGrid w:val="0"/>
          <w:sz w:val="28"/>
          <w:szCs w:val="28"/>
        </w:rPr>
      </w:pPr>
      <w:r>
        <w:rPr>
          <w:rFonts w:hint="eastAsia" w:ascii="宋体" w:hAnsi="宋体"/>
          <w:snapToGrid w:val="0"/>
          <w:sz w:val="28"/>
          <w:szCs w:val="28"/>
        </w:rPr>
        <w:t>5、估价对象位置示意图及相关照片；</w:t>
      </w:r>
    </w:p>
    <w:p>
      <w:pPr>
        <w:pStyle w:val="113"/>
        <w:adjustRightInd w:val="0"/>
        <w:snapToGrid w:val="0"/>
        <w:spacing w:line="520" w:lineRule="exact"/>
        <w:ind w:left="426" w:firstLine="0" w:firstLineChars="0"/>
        <w:jc w:val="left"/>
        <w:rPr>
          <w:rFonts w:ascii="宋体" w:hAnsi="宋体"/>
          <w:snapToGrid w:val="0"/>
          <w:sz w:val="28"/>
          <w:szCs w:val="28"/>
        </w:rPr>
      </w:pPr>
      <w:r>
        <w:rPr>
          <w:rFonts w:hint="eastAsia" w:ascii="宋体" w:hAnsi="宋体"/>
          <w:snapToGrid w:val="0"/>
          <w:sz w:val="28"/>
          <w:szCs w:val="28"/>
        </w:rPr>
        <w:t>6、没有专业帮助且未依据相关专业意见的说明；</w:t>
      </w:r>
    </w:p>
    <w:p>
      <w:pPr>
        <w:pStyle w:val="113"/>
        <w:adjustRightInd w:val="0"/>
        <w:snapToGrid w:val="0"/>
        <w:spacing w:line="520" w:lineRule="exact"/>
        <w:ind w:left="426" w:firstLine="0" w:firstLineChars="0"/>
        <w:rPr>
          <w:rFonts w:ascii="宋体" w:hAnsi="宋体"/>
          <w:snapToGrid w:val="0"/>
          <w:sz w:val="28"/>
          <w:szCs w:val="28"/>
        </w:rPr>
      </w:pPr>
      <w:r>
        <w:rPr>
          <w:rFonts w:hint="eastAsia" w:ascii="宋体" w:hAnsi="宋体"/>
          <w:snapToGrid w:val="0"/>
          <w:sz w:val="28"/>
          <w:szCs w:val="28"/>
        </w:rPr>
        <w:t>7、</w:t>
      </w:r>
      <w:r>
        <w:rPr>
          <w:rFonts w:hint="eastAsia" w:cs="宋体"/>
          <w:sz w:val="28"/>
          <w:szCs w:val="28"/>
        </w:rPr>
        <w:t>可比案例位置图及照片</w:t>
      </w:r>
      <w:r>
        <w:rPr>
          <w:rFonts w:hint="eastAsia" w:ascii="宋体" w:hAnsi="宋体"/>
          <w:snapToGrid w:val="0"/>
          <w:sz w:val="28"/>
          <w:szCs w:val="28"/>
        </w:rPr>
        <w:t>；</w:t>
      </w:r>
    </w:p>
    <w:p>
      <w:pPr>
        <w:pStyle w:val="113"/>
        <w:adjustRightInd w:val="0"/>
        <w:snapToGrid w:val="0"/>
        <w:spacing w:line="520" w:lineRule="exact"/>
        <w:ind w:left="426" w:firstLine="0" w:firstLineChars="0"/>
        <w:rPr>
          <w:rFonts w:ascii="宋体" w:hAnsi="宋体"/>
          <w:snapToGrid w:val="0"/>
          <w:sz w:val="28"/>
          <w:szCs w:val="28"/>
        </w:rPr>
      </w:pPr>
      <w:r>
        <w:rPr>
          <w:rFonts w:hint="eastAsia" w:ascii="宋体" w:hAnsi="宋体"/>
          <w:snapToGrid w:val="0"/>
          <w:sz w:val="28"/>
          <w:szCs w:val="28"/>
        </w:rPr>
        <w:t>8、注册房地产估价师注册证书复印件；</w:t>
      </w:r>
    </w:p>
    <w:p>
      <w:pPr>
        <w:pStyle w:val="113"/>
        <w:adjustRightInd w:val="0"/>
        <w:snapToGrid w:val="0"/>
        <w:spacing w:line="520" w:lineRule="exact"/>
        <w:ind w:left="426" w:firstLine="0" w:firstLineChars="0"/>
        <w:rPr>
          <w:rFonts w:ascii="宋体" w:hAnsi="宋体"/>
          <w:snapToGrid w:val="0"/>
          <w:sz w:val="28"/>
          <w:szCs w:val="28"/>
        </w:rPr>
      </w:pPr>
      <w:r>
        <w:rPr>
          <w:rFonts w:hint="eastAsia" w:cs="宋体"/>
          <w:sz w:val="28"/>
          <w:szCs w:val="28"/>
        </w:rPr>
        <w:t>9、</w:t>
      </w:r>
      <w:r>
        <w:rPr>
          <w:rFonts w:hint="eastAsia" w:ascii="宋体" w:hAnsi="宋体"/>
          <w:snapToGrid w:val="0"/>
          <w:sz w:val="28"/>
          <w:szCs w:val="28"/>
        </w:rPr>
        <w:t>房地产估价机构备案证书复印件；</w:t>
      </w:r>
    </w:p>
    <w:p>
      <w:pPr>
        <w:pStyle w:val="113"/>
        <w:adjustRightInd w:val="0"/>
        <w:snapToGrid w:val="0"/>
        <w:spacing w:line="520" w:lineRule="exact"/>
        <w:ind w:left="426" w:firstLine="0" w:firstLineChars="0"/>
        <w:rPr>
          <w:rFonts w:ascii="宋体" w:hAnsi="宋体"/>
          <w:snapToGrid w:val="0"/>
          <w:sz w:val="28"/>
          <w:szCs w:val="28"/>
        </w:rPr>
      </w:pPr>
      <w:r>
        <w:rPr>
          <w:rFonts w:hint="eastAsia" w:cs="宋体"/>
          <w:sz w:val="28"/>
          <w:szCs w:val="28"/>
        </w:rPr>
        <w:t>10、房地产估价机构营业执照复印件</w:t>
      </w:r>
      <w:r>
        <w:rPr>
          <w:rFonts w:hint="eastAsia" w:ascii="宋体" w:hAnsi="宋体"/>
          <w:snapToGrid w:val="0"/>
          <w:sz w:val="28"/>
          <w:szCs w:val="28"/>
        </w:rPr>
        <w:t>。</w:t>
      </w:r>
    </w:p>
    <w:p>
      <w:pPr>
        <w:widowControl/>
        <w:jc w:val="left"/>
        <w:rPr>
          <w:rFonts w:ascii="宋体" w:hAnsi="宋体"/>
          <w:sz w:val="24"/>
          <w:szCs w:val="24"/>
        </w:rPr>
      </w:pPr>
      <w:r>
        <w:rPr>
          <w:rFonts w:ascii="宋体" w:hAnsi="宋体"/>
          <w:sz w:val="24"/>
          <w:szCs w:val="24"/>
        </w:rPr>
        <w:br w:type="page"/>
      </w:r>
    </w:p>
    <w:p>
      <w:pPr>
        <w:adjustRightInd w:val="0"/>
        <w:snapToGrid w:val="0"/>
        <w:spacing w:line="520" w:lineRule="exact"/>
        <w:ind w:left="420" w:leftChars="200"/>
        <w:rPr>
          <w:rFonts w:cs="宋体"/>
          <w:sz w:val="28"/>
          <w:szCs w:val="28"/>
        </w:rPr>
      </w:pPr>
      <w:bookmarkStart w:id="67" w:name="_Toc438724667"/>
      <w:bookmarkStart w:id="68" w:name="_Toc534628177"/>
      <w:bookmarkStart w:id="69" w:name="_Toc534301685"/>
      <w:bookmarkStart w:id="70" w:name="_Toc438724827"/>
      <w:bookmarkStart w:id="71" w:name="_Toc534301468"/>
      <w:bookmarkStart w:id="72" w:name="_Toc438724828"/>
      <w:bookmarkStart w:id="73" w:name="_Toc438659096"/>
      <w:bookmarkStart w:id="74" w:name="_Toc438659097"/>
      <w:bookmarkStart w:id="75" w:name="_Toc534301532"/>
      <w:bookmarkStart w:id="76" w:name="_Toc479945766"/>
      <w:bookmarkStart w:id="77" w:name="_Toc534628176"/>
      <w:r>
        <w:rPr>
          <w:rFonts w:hint="eastAsia" w:cs="宋体"/>
          <w:sz w:val="28"/>
          <w:szCs w:val="28"/>
        </w:rPr>
        <w:t>1、</w:t>
      </w:r>
      <w:bookmarkEnd w:id="67"/>
      <w:bookmarkEnd w:id="68"/>
      <w:bookmarkEnd w:id="69"/>
      <w:bookmarkEnd w:id="70"/>
      <w:bookmarkEnd w:id="71"/>
      <w:bookmarkEnd w:id="72"/>
      <w:bookmarkEnd w:id="73"/>
      <w:bookmarkEnd w:id="74"/>
      <w:bookmarkEnd w:id="75"/>
      <w:bookmarkEnd w:id="76"/>
      <w:bookmarkEnd w:id="77"/>
      <w:r>
        <w:rPr>
          <w:rFonts w:hint="eastAsia" w:ascii="宋体" w:hAnsi="宋体"/>
          <w:sz w:val="28"/>
          <w:szCs w:val="28"/>
        </w:rPr>
        <w:t>《眉山市彭山区人民法院司法评估委托书》（2019）彭山法技委字第81号）复印件</w:t>
      </w:r>
    </w:p>
    <w:p>
      <w:pPr>
        <w:jc w:val="center"/>
      </w:pPr>
      <w:r>
        <w:drawing>
          <wp:inline distT="0" distB="0" distL="0" distR="0">
            <wp:extent cx="5339080" cy="7343775"/>
            <wp:effectExtent l="19050" t="0" r="0" b="0"/>
            <wp:docPr id="4" name="图片 3"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01.jpg"/>
                    <pic:cNvPicPr>
                      <a:picLocks noChangeAspect="1"/>
                    </pic:cNvPicPr>
                  </pic:nvPicPr>
                  <pic:blipFill>
                    <a:blip r:embed="rId14" cstate="print"/>
                    <a:stretch>
                      <a:fillRect/>
                    </a:stretch>
                  </pic:blipFill>
                  <pic:spPr>
                    <a:xfrm>
                      <a:off x="0" y="0"/>
                      <a:ext cx="5339632" cy="7343775"/>
                    </a:xfrm>
                    <a:prstGeom prst="rect">
                      <a:avLst/>
                    </a:prstGeom>
                  </pic:spPr>
                </pic:pic>
              </a:graphicData>
            </a:graphic>
          </wp:inline>
        </w:drawing>
      </w:r>
    </w:p>
    <w:p>
      <w:pPr>
        <w:jc w:val="left"/>
      </w:pPr>
    </w:p>
    <w:p>
      <w:pPr>
        <w:jc w:val="left"/>
      </w:pPr>
    </w:p>
    <w:p>
      <w:pPr>
        <w:widowControl/>
        <w:jc w:val="left"/>
        <w:rPr>
          <w:rFonts w:ascii="宋体" w:hAnsi="宋体"/>
          <w:sz w:val="28"/>
          <w:szCs w:val="28"/>
        </w:rPr>
      </w:pPr>
      <w:r>
        <w:rPr>
          <w:rFonts w:ascii="宋体" w:hAnsi="宋体"/>
          <w:sz w:val="28"/>
          <w:szCs w:val="28"/>
        </w:rPr>
        <w:br w:type="page"/>
      </w:r>
    </w:p>
    <w:p>
      <w:pPr>
        <w:adjustRightInd w:val="0"/>
        <w:snapToGrid w:val="0"/>
        <w:spacing w:line="520" w:lineRule="exact"/>
        <w:ind w:left="420" w:leftChars="200"/>
        <w:rPr>
          <w:rFonts w:eastAsia="黑体"/>
          <w:sz w:val="32"/>
          <w:szCs w:val="32"/>
        </w:rPr>
      </w:pPr>
      <w:r>
        <w:rPr>
          <w:rFonts w:hint="eastAsia" w:ascii="宋体" w:hAnsi="宋体"/>
          <w:sz w:val="28"/>
          <w:szCs w:val="28"/>
        </w:rPr>
        <w:t>2、《眉山市彭山区房地产服务中心房屋信息摘要》复印件</w:t>
      </w:r>
    </w:p>
    <w:p>
      <w:pPr>
        <w:jc w:val="center"/>
      </w:pPr>
      <w:r>
        <w:drawing>
          <wp:inline distT="0" distB="0" distL="0" distR="0">
            <wp:extent cx="5226685" cy="7458075"/>
            <wp:effectExtent l="19050" t="0" r="0" b="0"/>
            <wp:docPr id="6" name="图片 5" descr="CCI2019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CCI20191212.jpg"/>
                    <pic:cNvPicPr>
                      <a:picLocks noChangeAspect="1"/>
                    </pic:cNvPicPr>
                  </pic:nvPicPr>
                  <pic:blipFill>
                    <a:blip r:embed="rId15" cstate="print"/>
                    <a:stretch>
                      <a:fillRect/>
                    </a:stretch>
                  </pic:blipFill>
                  <pic:spPr>
                    <a:xfrm>
                      <a:off x="0" y="0"/>
                      <a:ext cx="5227357" cy="7458611"/>
                    </a:xfrm>
                    <a:prstGeom prst="rect">
                      <a:avLst/>
                    </a:prstGeom>
                  </pic:spPr>
                </pic:pic>
              </a:graphicData>
            </a:graphic>
          </wp:inline>
        </w:drawing>
      </w:r>
    </w:p>
    <w:p>
      <w:pPr>
        <w:jc w:val="left"/>
      </w:pPr>
    </w:p>
    <w:p>
      <w:pPr>
        <w:jc w:val="center"/>
        <w:rPr>
          <w:rFonts w:ascii="宋体" w:hAnsi="宋体"/>
          <w:snapToGrid w:val="0"/>
          <w:kern w:val="0"/>
          <w:sz w:val="28"/>
          <w:szCs w:val="28"/>
        </w:rPr>
      </w:pPr>
      <w:r>
        <w:rPr>
          <w:rFonts w:hint="eastAsia" w:ascii="宋体" w:hAnsi="宋体"/>
          <w:kern w:val="0"/>
          <w:sz w:val="28"/>
          <w:szCs w:val="28"/>
        </w:rPr>
        <w:drawing>
          <wp:inline distT="0" distB="0" distL="0" distR="0">
            <wp:extent cx="5747385" cy="8201025"/>
            <wp:effectExtent l="19050" t="0" r="5423" b="0"/>
            <wp:docPr id="10" name="图片 9" descr="CCI2019121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CCI20191212_0002.jpg"/>
                    <pic:cNvPicPr>
                      <a:picLocks noChangeAspect="1"/>
                    </pic:cNvPicPr>
                  </pic:nvPicPr>
                  <pic:blipFill>
                    <a:blip r:embed="rId16" cstate="print"/>
                    <a:stretch>
                      <a:fillRect/>
                    </a:stretch>
                  </pic:blipFill>
                  <pic:spPr>
                    <a:xfrm>
                      <a:off x="0" y="0"/>
                      <a:ext cx="5748090" cy="8201615"/>
                    </a:xfrm>
                    <a:prstGeom prst="rect">
                      <a:avLst/>
                    </a:prstGeom>
                  </pic:spPr>
                </pic:pic>
              </a:graphicData>
            </a:graphic>
          </wp:inline>
        </w:drawing>
      </w:r>
    </w:p>
    <w:p>
      <w:pPr>
        <w:widowControl/>
        <w:jc w:val="left"/>
        <w:rPr>
          <w:rFonts w:ascii="宋体" w:hAnsi="宋体"/>
          <w:snapToGrid w:val="0"/>
          <w:kern w:val="0"/>
          <w:sz w:val="28"/>
          <w:szCs w:val="28"/>
        </w:rPr>
      </w:pPr>
      <w:r>
        <w:rPr>
          <w:rFonts w:ascii="宋体" w:hAnsi="宋体"/>
          <w:snapToGrid w:val="0"/>
          <w:kern w:val="0"/>
          <w:sz w:val="28"/>
          <w:szCs w:val="28"/>
        </w:rPr>
        <w:br w:type="page"/>
      </w:r>
    </w:p>
    <w:p>
      <w:pPr>
        <w:jc w:val="center"/>
        <w:rPr>
          <w:rFonts w:ascii="宋体" w:hAnsi="宋体"/>
          <w:snapToGrid w:val="0"/>
          <w:kern w:val="0"/>
          <w:sz w:val="28"/>
          <w:szCs w:val="28"/>
        </w:rPr>
      </w:pPr>
      <w:r>
        <w:rPr>
          <w:rFonts w:hint="eastAsia" w:ascii="宋体" w:hAnsi="宋体"/>
          <w:kern w:val="0"/>
          <w:sz w:val="28"/>
          <w:szCs w:val="28"/>
        </w:rPr>
        <w:drawing>
          <wp:inline distT="0" distB="0" distL="0" distR="0">
            <wp:extent cx="5827395" cy="8315325"/>
            <wp:effectExtent l="19050" t="0" r="1516" b="0"/>
            <wp:docPr id="13" name="图片 12" descr="CCI2019121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CCI20191212_0003.jpg"/>
                    <pic:cNvPicPr>
                      <a:picLocks noChangeAspect="1"/>
                    </pic:cNvPicPr>
                  </pic:nvPicPr>
                  <pic:blipFill>
                    <a:blip r:embed="rId17" cstate="print"/>
                    <a:stretch>
                      <a:fillRect/>
                    </a:stretch>
                  </pic:blipFill>
                  <pic:spPr>
                    <a:xfrm>
                      <a:off x="0" y="0"/>
                      <a:ext cx="5828203" cy="8315923"/>
                    </a:xfrm>
                    <a:prstGeom prst="rect">
                      <a:avLst/>
                    </a:prstGeom>
                  </pic:spPr>
                </pic:pic>
              </a:graphicData>
            </a:graphic>
          </wp:inline>
        </w:drawing>
      </w:r>
    </w:p>
    <w:p>
      <w:pPr>
        <w:widowControl/>
        <w:jc w:val="left"/>
        <w:rPr>
          <w:rFonts w:ascii="宋体" w:hAnsi="宋体"/>
          <w:snapToGrid w:val="0"/>
          <w:kern w:val="0"/>
          <w:sz w:val="28"/>
          <w:szCs w:val="28"/>
        </w:rPr>
      </w:pPr>
      <w:r>
        <w:rPr>
          <w:rFonts w:ascii="宋体" w:hAnsi="宋体"/>
          <w:snapToGrid w:val="0"/>
          <w:kern w:val="0"/>
          <w:sz w:val="28"/>
          <w:szCs w:val="28"/>
        </w:rPr>
        <w:br w:type="page"/>
      </w:r>
      <w:r>
        <w:rPr>
          <w:rFonts w:ascii="宋体" w:hAnsi="宋体"/>
          <w:kern w:val="0"/>
          <w:sz w:val="28"/>
          <w:szCs w:val="28"/>
        </w:rPr>
        <w:drawing>
          <wp:inline distT="0" distB="0" distL="0" distR="0">
            <wp:extent cx="5987415" cy="8543925"/>
            <wp:effectExtent l="19050" t="0" r="0" b="0"/>
            <wp:docPr id="16" name="图片 15" descr="CCI2019121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CI20191212_0004.jpg"/>
                    <pic:cNvPicPr>
                      <a:picLocks noChangeAspect="1"/>
                    </pic:cNvPicPr>
                  </pic:nvPicPr>
                  <pic:blipFill>
                    <a:blip r:embed="rId18" cstate="print"/>
                    <a:stretch>
                      <a:fillRect/>
                    </a:stretch>
                  </pic:blipFill>
                  <pic:spPr>
                    <a:xfrm>
                      <a:off x="0" y="0"/>
                      <a:ext cx="5988429" cy="8544539"/>
                    </a:xfrm>
                    <a:prstGeom prst="rect">
                      <a:avLst/>
                    </a:prstGeom>
                  </pic:spPr>
                </pic:pic>
              </a:graphicData>
            </a:graphic>
          </wp:inline>
        </w:drawing>
      </w:r>
    </w:p>
    <w:p>
      <w:pPr>
        <w:widowControl/>
        <w:jc w:val="left"/>
        <w:rPr>
          <w:rFonts w:ascii="宋体" w:hAnsi="宋体"/>
          <w:snapToGrid w:val="0"/>
          <w:kern w:val="0"/>
          <w:sz w:val="28"/>
          <w:szCs w:val="28"/>
        </w:rPr>
      </w:pPr>
      <w:r>
        <w:rPr>
          <w:rFonts w:ascii="宋体" w:hAnsi="宋体"/>
          <w:snapToGrid w:val="0"/>
          <w:kern w:val="0"/>
          <w:sz w:val="28"/>
          <w:szCs w:val="28"/>
        </w:rPr>
        <w:br w:type="page"/>
      </w:r>
      <w:r>
        <w:rPr>
          <w:rFonts w:ascii="宋体" w:hAnsi="宋体"/>
          <w:kern w:val="0"/>
          <w:sz w:val="28"/>
          <w:szCs w:val="28"/>
        </w:rPr>
        <w:drawing>
          <wp:inline distT="0" distB="0" distL="0" distR="0">
            <wp:extent cx="5861050" cy="8362950"/>
            <wp:effectExtent l="19050" t="0" r="6239" b="0"/>
            <wp:docPr id="17" name="图片 16" descr="CCI2019121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CI20191212_0005.jpg"/>
                    <pic:cNvPicPr>
                      <a:picLocks noChangeAspect="1"/>
                    </pic:cNvPicPr>
                  </pic:nvPicPr>
                  <pic:blipFill>
                    <a:blip r:embed="rId19" cstate="print"/>
                    <a:stretch>
                      <a:fillRect/>
                    </a:stretch>
                  </pic:blipFill>
                  <pic:spPr>
                    <a:xfrm>
                      <a:off x="0" y="0"/>
                      <a:ext cx="5861583" cy="8363551"/>
                    </a:xfrm>
                    <a:prstGeom prst="rect">
                      <a:avLst/>
                    </a:prstGeom>
                  </pic:spPr>
                </pic:pic>
              </a:graphicData>
            </a:graphic>
          </wp:inline>
        </w:drawing>
      </w:r>
    </w:p>
    <w:p>
      <w:pPr>
        <w:widowControl/>
        <w:jc w:val="left"/>
        <w:rPr>
          <w:rFonts w:ascii="宋体" w:hAnsi="宋体"/>
          <w:snapToGrid w:val="0"/>
          <w:kern w:val="0"/>
          <w:sz w:val="28"/>
          <w:szCs w:val="28"/>
        </w:rPr>
      </w:pPr>
      <w:r>
        <w:rPr>
          <w:rFonts w:ascii="宋体" w:hAnsi="宋体"/>
          <w:snapToGrid w:val="0"/>
          <w:kern w:val="0"/>
          <w:sz w:val="28"/>
          <w:szCs w:val="28"/>
        </w:rPr>
        <w:br w:type="page"/>
      </w:r>
      <w:r>
        <w:rPr>
          <w:rFonts w:ascii="宋体" w:hAnsi="宋体"/>
          <w:kern w:val="0"/>
          <w:sz w:val="28"/>
          <w:szCs w:val="28"/>
        </w:rPr>
        <w:drawing>
          <wp:inline distT="0" distB="0" distL="0" distR="0">
            <wp:extent cx="5914390" cy="8439150"/>
            <wp:effectExtent l="19050" t="0" r="0" b="0"/>
            <wp:docPr id="26" name="图片 25" descr="CCI2019121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CCI20191212_0001.jpg"/>
                    <pic:cNvPicPr>
                      <a:picLocks noChangeAspect="1"/>
                    </pic:cNvPicPr>
                  </pic:nvPicPr>
                  <pic:blipFill>
                    <a:blip r:embed="rId20" cstate="print"/>
                    <a:stretch>
                      <a:fillRect/>
                    </a:stretch>
                  </pic:blipFill>
                  <pic:spPr>
                    <a:xfrm>
                      <a:off x="0" y="0"/>
                      <a:ext cx="5914991" cy="8439757"/>
                    </a:xfrm>
                    <a:prstGeom prst="rect">
                      <a:avLst/>
                    </a:prstGeom>
                  </pic:spPr>
                </pic:pic>
              </a:graphicData>
            </a:graphic>
          </wp:inline>
        </w:drawing>
      </w:r>
    </w:p>
    <w:p>
      <w:pPr>
        <w:widowControl/>
        <w:jc w:val="left"/>
        <w:rPr>
          <w:rFonts w:ascii="宋体" w:hAnsi="宋体"/>
          <w:snapToGrid w:val="0"/>
          <w:kern w:val="0"/>
          <w:sz w:val="28"/>
          <w:szCs w:val="28"/>
        </w:rPr>
      </w:pPr>
      <w:r>
        <w:rPr>
          <w:rFonts w:ascii="宋体" w:hAnsi="宋体"/>
          <w:snapToGrid w:val="0"/>
          <w:kern w:val="0"/>
          <w:sz w:val="28"/>
          <w:szCs w:val="28"/>
        </w:rPr>
        <w:br w:type="page"/>
      </w:r>
    </w:p>
    <w:p>
      <w:pPr>
        <w:jc w:val="center"/>
        <w:rPr>
          <w:rFonts w:ascii="宋体" w:hAnsi="宋体"/>
          <w:sz w:val="28"/>
          <w:szCs w:val="28"/>
        </w:rPr>
      </w:pPr>
      <w:r>
        <w:rPr>
          <w:rFonts w:hint="eastAsia" w:ascii="宋体" w:hAnsi="宋体"/>
          <w:snapToGrid w:val="0"/>
          <w:kern w:val="0"/>
          <w:sz w:val="28"/>
          <w:szCs w:val="28"/>
        </w:rPr>
        <w:t>3、《房屋所有权证》（彭山房权证字第0039252、0039253号）复印件</w:t>
      </w:r>
      <w:r>
        <w:rPr>
          <w:rFonts w:hint="eastAsia" w:ascii="宋体" w:hAnsi="宋体"/>
          <w:snapToGrid w:val="0"/>
          <w:sz w:val="28"/>
          <w:szCs w:val="28"/>
        </w:rPr>
        <w:t>；</w:t>
      </w:r>
    </w:p>
    <w:p>
      <w:pPr>
        <w:jc w:val="center"/>
      </w:pPr>
      <w:r>
        <w:drawing>
          <wp:anchor distT="0" distB="0" distL="114300" distR="114300" simplePos="0" relativeHeight="251672576" behindDoc="0" locked="0" layoutInCell="1" allowOverlap="1">
            <wp:simplePos x="0" y="0"/>
            <wp:positionH relativeFrom="column">
              <wp:posOffset>628650</wp:posOffset>
            </wp:positionH>
            <wp:positionV relativeFrom="paragraph">
              <wp:posOffset>3731895</wp:posOffset>
            </wp:positionV>
            <wp:extent cx="4943475" cy="3524250"/>
            <wp:effectExtent l="19050" t="0" r="9525" b="0"/>
            <wp:wrapTopAndBottom/>
            <wp:docPr id="30" name="图片 29" descr="望江路42号房权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望江路42号房权证3.jpg"/>
                    <pic:cNvPicPr>
                      <a:picLocks noChangeAspect="1"/>
                    </pic:cNvPicPr>
                  </pic:nvPicPr>
                  <pic:blipFill>
                    <a:blip r:embed="rId21" cstate="print"/>
                    <a:stretch>
                      <a:fillRect/>
                    </a:stretch>
                  </pic:blipFill>
                  <pic:spPr>
                    <a:xfrm>
                      <a:off x="0" y="0"/>
                      <a:ext cx="4943475" cy="3524250"/>
                    </a:xfrm>
                    <a:prstGeom prst="rect">
                      <a:avLst/>
                    </a:prstGeom>
                  </pic:spPr>
                </pic:pic>
              </a:graphicData>
            </a:graphic>
          </wp:anchor>
        </w:drawing>
      </w:r>
      <w:r>
        <w:drawing>
          <wp:anchor distT="0" distB="0" distL="114300" distR="114300" simplePos="0" relativeHeight="251671552" behindDoc="0" locked="0" layoutInCell="1" allowOverlap="1">
            <wp:simplePos x="0" y="0"/>
            <wp:positionH relativeFrom="column">
              <wp:posOffset>628650</wp:posOffset>
            </wp:positionH>
            <wp:positionV relativeFrom="paragraph">
              <wp:posOffset>26670</wp:posOffset>
            </wp:positionV>
            <wp:extent cx="4943475" cy="3705225"/>
            <wp:effectExtent l="19050" t="0" r="9525" b="0"/>
            <wp:wrapTopAndBottom/>
            <wp:docPr id="29" name="图片 28" descr="望江路42号房权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望江路42号房权证2.jpg"/>
                    <pic:cNvPicPr>
                      <a:picLocks noChangeAspect="1"/>
                    </pic:cNvPicPr>
                  </pic:nvPicPr>
                  <pic:blipFill>
                    <a:blip r:embed="rId22" cstate="print"/>
                    <a:stretch>
                      <a:fillRect/>
                    </a:stretch>
                  </pic:blipFill>
                  <pic:spPr>
                    <a:xfrm>
                      <a:off x="0" y="0"/>
                      <a:ext cx="4943475" cy="3705225"/>
                    </a:xfrm>
                    <a:prstGeom prst="rect">
                      <a:avLst/>
                    </a:prstGeom>
                  </pic:spPr>
                </pic:pic>
              </a:graphicData>
            </a:graphic>
          </wp:anchor>
        </w:drawing>
      </w:r>
    </w:p>
    <w:p>
      <w:pPr>
        <w:widowControl/>
        <w:jc w:val="center"/>
        <w:rPr>
          <w:rFonts w:ascii="宋体" w:hAnsi="宋体"/>
          <w:snapToGrid w:val="0"/>
          <w:kern w:val="0"/>
          <w:sz w:val="28"/>
          <w:szCs w:val="28"/>
        </w:rPr>
      </w:pPr>
      <w:r>
        <w:rPr>
          <w:rFonts w:ascii="宋体" w:hAnsi="宋体"/>
          <w:kern w:val="0"/>
          <w:sz w:val="28"/>
          <w:szCs w:val="28"/>
        </w:rPr>
        <w:drawing>
          <wp:inline distT="0" distB="0" distL="0" distR="0">
            <wp:extent cx="6181725" cy="8239125"/>
            <wp:effectExtent l="19050" t="0" r="9525" b="0"/>
            <wp:docPr id="3" name="图片 2" descr="F:\工作\贵恒信评估\19年\新建文件夹\眉山青龙镇商、住\产权\部分自查档\望江路房产证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F:\工作\贵恒信评估\19年\新建文件夹\眉山青龙镇商、住\产权\部分自查档\望江路房产证平面图.jpg"/>
                    <pic:cNvPicPr>
                      <a:picLocks noChangeAspect="1" noChangeArrowheads="1"/>
                    </pic:cNvPicPr>
                  </pic:nvPicPr>
                  <pic:blipFill>
                    <a:blip r:embed="rId23" cstate="print"/>
                    <a:srcRect/>
                    <a:stretch>
                      <a:fillRect/>
                    </a:stretch>
                  </pic:blipFill>
                  <pic:spPr>
                    <a:xfrm>
                      <a:off x="0" y="0"/>
                      <a:ext cx="6181725" cy="8239125"/>
                    </a:xfrm>
                    <a:prstGeom prst="rect">
                      <a:avLst/>
                    </a:prstGeom>
                    <a:noFill/>
                    <a:ln w="9525">
                      <a:noFill/>
                      <a:miter lim="800000"/>
                      <a:headEnd/>
                      <a:tailEnd/>
                    </a:ln>
                  </pic:spPr>
                </pic:pic>
              </a:graphicData>
            </a:graphic>
          </wp:inline>
        </w:drawing>
      </w:r>
      <w:r>
        <w:rPr>
          <w:rFonts w:ascii="宋体" w:hAnsi="宋体"/>
          <w:snapToGrid w:val="0"/>
          <w:kern w:val="0"/>
          <w:sz w:val="28"/>
          <w:szCs w:val="28"/>
        </w:rPr>
        <w:br w:type="page"/>
      </w:r>
    </w:p>
    <w:p>
      <w:pPr>
        <w:pStyle w:val="113"/>
        <w:adjustRightInd w:val="0"/>
        <w:snapToGrid w:val="0"/>
        <w:spacing w:line="520" w:lineRule="exact"/>
        <w:ind w:left="426" w:firstLine="0" w:firstLineChars="0"/>
        <w:rPr>
          <w:rFonts w:ascii="宋体" w:hAnsi="宋体"/>
          <w:snapToGrid w:val="0"/>
          <w:kern w:val="0"/>
          <w:sz w:val="28"/>
          <w:szCs w:val="28"/>
        </w:rPr>
      </w:pPr>
      <w:r>
        <w:rPr>
          <w:rFonts w:hint="eastAsia" w:ascii="宋体" w:hAnsi="宋体"/>
          <w:kern w:val="0"/>
          <w:sz w:val="28"/>
          <w:szCs w:val="28"/>
        </w:rPr>
        <w:drawing>
          <wp:anchor distT="0" distB="0" distL="114300" distR="114300" simplePos="0" relativeHeight="251673600" behindDoc="0" locked="0" layoutInCell="1" allowOverlap="1">
            <wp:simplePos x="0" y="0"/>
            <wp:positionH relativeFrom="column">
              <wp:posOffset>285750</wp:posOffset>
            </wp:positionH>
            <wp:positionV relativeFrom="paragraph">
              <wp:posOffset>733425</wp:posOffset>
            </wp:positionV>
            <wp:extent cx="4552950" cy="3848100"/>
            <wp:effectExtent l="19050" t="0" r="0" b="0"/>
            <wp:wrapTopAndBottom/>
            <wp:docPr id="31" name="图片 30" descr="望江路土地证（划拨，已换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望江路土地证（划拨，已换证？）  (1).jpg"/>
                    <pic:cNvPicPr>
                      <a:picLocks noChangeAspect="1"/>
                    </pic:cNvPicPr>
                  </pic:nvPicPr>
                  <pic:blipFill>
                    <a:blip r:embed="rId24" cstate="print"/>
                    <a:stretch>
                      <a:fillRect/>
                    </a:stretch>
                  </pic:blipFill>
                  <pic:spPr>
                    <a:xfrm>
                      <a:off x="0" y="0"/>
                      <a:ext cx="4552950" cy="3848100"/>
                    </a:xfrm>
                    <a:prstGeom prst="rect">
                      <a:avLst/>
                    </a:prstGeom>
                  </pic:spPr>
                </pic:pic>
              </a:graphicData>
            </a:graphic>
          </wp:anchor>
        </w:drawing>
      </w:r>
      <w:r>
        <w:rPr>
          <w:rFonts w:hint="eastAsia" w:ascii="宋体" w:hAnsi="宋体"/>
          <w:snapToGrid w:val="0"/>
          <w:kern w:val="0"/>
          <w:sz w:val="28"/>
          <w:szCs w:val="28"/>
        </w:rPr>
        <w:t>4、《国有土地使用证》（彭国用（1998）字第0287号、彭国用（2005）第02936号）复印件；</w:t>
      </w:r>
    </w:p>
    <w:p>
      <w:pPr>
        <w:ind w:firstLine="420" w:firstLineChars="200"/>
        <w:jc w:val="left"/>
      </w:pPr>
      <w:r>
        <w:drawing>
          <wp:inline distT="0" distB="0" distL="0" distR="0">
            <wp:extent cx="4552950" cy="4200525"/>
            <wp:effectExtent l="19050" t="0" r="0" b="0"/>
            <wp:docPr id="32" name="图片 31" descr="望江路土地证（划拨，已换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望江路土地证（划拨，已换证？）  (2).jpg"/>
                    <pic:cNvPicPr>
                      <a:picLocks noChangeAspect="1"/>
                    </pic:cNvPicPr>
                  </pic:nvPicPr>
                  <pic:blipFill>
                    <a:blip r:embed="rId25" cstate="print"/>
                    <a:stretch>
                      <a:fillRect/>
                    </a:stretch>
                  </pic:blipFill>
                  <pic:spPr>
                    <a:xfrm>
                      <a:off x="0" y="0"/>
                      <a:ext cx="4559177" cy="4206270"/>
                    </a:xfrm>
                    <a:prstGeom prst="rect">
                      <a:avLst/>
                    </a:prstGeom>
                  </pic:spPr>
                </pic:pic>
              </a:graphicData>
            </a:graphic>
          </wp:inline>
        </w:drawing>
      </w:r>
      <w:r>
        <w:drawing>
          <wp:inline distT="0" distB="0" distL="0" distR="0">
            <wp:extent cx="6181725" cy="8239125"/>
            <wp:effectExtent l="19050" t="0" r="9525" b="0"/>
            <wp:docPr id="15" name="图片 3" descr="F:\工作\贵恒信评估\19年\新建文件夹\眉山青龙镇商、住\产权\部分自查档\望江路土地证（划拨，已换证？）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F:\工作\贵恒信评估\19年\新建文件夹\眉山青龙镇商、住\产权\部分自查档\望江路土地证（划拨，已换证？）  (3).jpg"/>
                    <pic:cNvPicPr>
                      <a:picLocks noChangeAspect="1" noChangeArrowheads="1"/>
                    </pic:cNvPicPr>
                  </pic:nvPicPr>
                  <pic:blipFill>
                    <a:blip r:embed="rId26" cstate="print"/>
                    <a:srcRect/>
                    <a:stretch>
                      <a:fillRect/>
                    </a:stretch>
                  </pic:blipFill>
                  <pic:spPr>
                    <a:xfrm>
                      <a:off x="0" y="0"/>
                      <a:ext cx="6181725" cy="8239125"/>
                    </a:xfrm>
                    <a:prstGeom prst="rect">
                      <a:avLst/>
                    </a:prstGeom>
                    <a:noFill/>
                    <a:ln w="9525">
                      <a:noFill/>
                      <a:miter lim="800000"/>
                      <a:headEnd/>
                      <a:tailEnd/>
                    </a:ln>
                  </pic:spPr>
                </pic:pic>
              </a:graphicData>
            </a:graphic>
          </wp:inline>
        </w:drawing>
      </w:r>
    </w:p>
    <w:p>
      <w:pPr>
        <w:widowControl/>
        <w:jc w:val="center"/>
        <w:rPr>
          <w:rFonts w:ascii="宋体" w:hAnsi="宋体"/>
          <w:snapToGrid w:val="0"/>
          <w:kern w:val="0"/>
          <w:sz w:val="28"/>
          <w:szCs w:val="28"/>
        </w:rPr>
      </w:pPr>
      <w:r>
        <w:rPr>
          <w:rFonts w:ascii="宋体" w:hAnsi="宋体"/>
          <w:snapToGrid w:val="0"/>
          <w:kern w:val="0"/>
          <w:sz w:val="28"/>
          <w:szCs w:val="28"/>
        </w:rPr>
        <w:br w:type="page"/>
      </w:r>
      <w:r>
        <w:rPr>
          <w:rFonts w:ascii="宋体" w:hAnsi="宋体"/>
          <w:kern w:val="0"/>
          <w:sz w:val="28"/>
          <w:szCs w:val="28"/>
        </w:rPr>
        <w:drawing>
          <wp:inline distT="0" distB="0" distL="0" distR="0">
            <wp:extent cx="5293360" cy="7058025"/>
            <wp:effectExtent l="19050" t="0" r="2515" b="0"/>
            <wp:docPr id="74" name="图片 73" descr="下马路土地证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3" descr="下马路土地证 (1).jpg"/>
                    <pic:cNvPicPr>
                      <a:picLocks noChangeAspect="1"/>
                    </pic:cNvPicPr>
                  </pic:nvPicPr>
                  <pic:blipFill>
                    <a:blip r:embed="rId27" cstate="print"/>
                    <a:stretch>
                      <a:fillRect/>
                    </a:stretch>
                  </pic:blipFill>
                  <pic:spPr>
                    <a:xfrm>
                      <a:off x="0" y="0"/>
                      <a:ext cx="5300321" cy="7067274"/>
                    </a:xfrm>
                    <a:prstGeom prst="rect">
                      <a:avLst/>
                    </a:prstGeom>
                  </pic:spPr>
                </pic:pic>
              </a:graphicData>
            </a:graphic>
          </wp:inline>
        </w:drawing>
      </w:r>
      <w:r>
        <w:rPr>
          <w:rFonts w:ascii="宋体" w:hAnsi="宋体"/>
          <w:kern w:val="0"/>
          <w:sz w:val="28"/>
          <w:szCs w:val="28"/>
        </w:rPr>
        <w:drawing>
          <wp:inline distT="0" distB="0" distL="0" distR="0">
            <wp:extent cx="6188710" cy="8251190"/>
            <wp:effectExtent l="19050" t="0" r="2540" b="0"/>
            <wp:docPr id="18" name="图片 4" descr="F:\工作\贵恒信评估\19年\新建文件夹\眉山青龙镇商、住\产权\部分自查档\下马路土地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F:\工作\贵恒信评估\19年\新建文件夹\眉山青龙镇商、住\产权\部分自查档\下马路土地证 (2).jpg"/>
                    <pic:cNvPicPr>
                      <a:picLocks noChangeAspect="1" noChangeArrowheads="1"/>
                    </pic:cNvPicPr>
                  </pic:nvPicPr>
                  <pic:blipFill>
                    <a:blip r:embed="rId28" cstate="print"/>
                    <a:srcRect/>
                    <a:stretch>
                      <a:fillRect/>
                    </a:stretch>
                  </pic:blipFill>
                  <pic:spPr>
                    <a:xfrm>
                      <a:off x="0" y="0"/>
                      <a:ext cx="6188710" cy="8251613"/>
                    </a:xfrm>
                    <a:prstGeom prst="rect">
                      <a:avLst/>
                    </a:prstGeom>
                    <a:noFill/>
                    <a:ln w="9525">
                      <a:noFill/>
                      <a:miter lim="800000"/>
                      <a:headEnd/>
                      <a:tailEnd/>
                    </a:ln>
                  </pic:spPr>
                </pic:pic>
              </a:graphicData>
            </a:graphic>
          </wp:inline>
        </w:drawing>
      </w:r>
    </w:p>
    <w:p>
      <w:pPr>
        <w:widowControl/>
        <w:jc w:val="left"/>
        <w:rPr>
          <w:rFonts w:ascii="宋体" w:hAnsi="宋体"/>
          <w:snapToGrid w:val="0"/>
          <w:kern w:val="0"/>
          <w:sz w:val="28"/>
          <w:szCs w:val="28"/>
        </w:rPr>
      </w:pPr>
    </w:p>
    <w:p>
      <w:pPr>
        <w:widowControl/>
        <w:jc w:val="left"/>
        <w:rPr>
          <w:rFonts w:ascii="宋体" w:hAnsi="宋体"/>
          <w:snapToGrid w:val="0"/>
          <w:kern w:val="0"/>
          <w:sz w:val="28"/>
          <w:szCs w:val="28"/>
        </w:rPr>
      </w:pPr>
      <w:r>
        <w:rPr>
          <w:rFonts w:ascii="宋体" w:hAnsi="宋体"/>
          <w:snapToGrid w:val="0"/>
          <w:kern w:val="0"/>
          <w:sz w:val="28"/>
          <w:szCs w:val="28"/>
        </w:rPr>
        <w:br w:type="page"/>
      </w:r>
    </w:p>
    <w:p>
      <w:pPr>
        <w:widowControl/>
        <w:jc w:val="left"/>
        <w:rPr>
          <w:rFonts w:ascii="宋体" w:hAnsi="宋体"/>
          <w:snapToGrid w:val="0"/>
          <w:sz w:val="28"/>
          <w:szCs w:val="28"/>
        </w:rPr>
      </w:pPr>
      <w:r>
        <w:rPr>
          <w:rFonts w:hint="eastAsia" w:ascii="宋体" w:hAnsi="宋体"/>
          <w:snapToGrid w:val="0"/>
          <w:kern w:val="0"/>
          <w:sz w:val="28"/>
          <w:szCs w:val="28"/>
        </w:rPr>
        <w:t>5、</w:t>
      </w:r>
      <w:r>
        <w:rPr>
          <w:rFonts w:hint="eastAsia" w:ascii="宋体" w:hAnsi="宋体"/>
          <w:snapToGrid w:val="0"/>
          <w:sz w:val="28"/>
          <w:szCs w:val="28"/>
        </w:rPr>
        <w:t>估价对象所在区域位置示意图及相关照片；</w:t>
      </w:r>
    </w:p>
    <w:p>
      <w:pPr>
        <w:rPr>
          <w:rFonts w:ascii="宋体" w:hAnsi="宋体" w:cs="宋体"/>
          <w:kern w:val="0"/>
          <w:sz w:val="24"/>
        </w:rPr>
      </w:pPr>
      <w:r>
        <w:rPr>
          <w:rFonts w:ascii="宋体" w:hAnsi="宋体" w:cs="宋体"/>
          <w:kern w:val="0"/>
          <w:sz w:val="24"/>
        </w:rPr>
        <w:drawing>
          <wp:inline distT="0" distB="0" distL="0" distR="0">
            <wp:extent cx="6188710" cy="4089400"/>
            <wp:effectExtent l="19050" t="0" r="2540" b="0"/>
            <wp:docPr id="19" name="图片 5" descr="C:\Users\Administrator\AppData\Local\Temp\1586419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Administrator\AppData\Local\Temp\1586419430(1).png"/>
                    <pic:cNvPicPr>
                      <a:picLocks noChangeAspect="1" noChangeArrowheads="1"/>
                    </pic:cNvPicPr>
                  </pic:nvPicPr>
                  <pic:blipFill>
                    <a:blip r:embed="rId29" cstate="print"/>
                    <a:srcRect/>
                    <a:stretch>
                      <a:fillRect/>
                    </a:stretch>
                  </pic:blipFill>
                  <pic:spPr>
                    <a:xfrm>
                      <a:off x="0" y="0"/>
                      <a:ext cx="6188710" cy="4089930"/>
                    </a:xfrm>
                    <a:prstGeom prst="rect">
                      <a:avLst/>
                    </a:prstGeom>
                    <a:noFill/>
                    <a:ln w="9525">
                      <a:noFill/>
                      <a:miter lim="800000"/>
                      <a:headEnd/>
                      <a:tailEnd/>
                    </a:ln>
                  </pic:spPr>
                </pic:pic>
              </a:graphicData>
            </a:graphic>
          </wp:inline>
        </w:drawing>
      </w:r>
    </w:p>
    <w:p>
      <w:pPr>
        <w:rPr>
          <w:rFonts w:ascii="宋体" w:hAnsi="宋体" w:cs="宋体"/>
          <w:kern w:val="0"/>
          <w:sz w:val="24"/>
        </w:rPr>
      </w:pPr>
      <w:r>
        <w:rPr>
          <w:rFonts w:ascii="宋体" w:hAnsi="宋体" w:cs="宋体"/>
          <w:kern w:val="0"/>
          <w:sz w:val="24"/>
        </w:rPr>
        <w:pict>
          <v:shape id="_x0000_s1035" o:spid="_x0000_s1035" o:spt="61" type="#_x0000_t61" style="position:absolute;left:0pt;margin-left:4.05pt;margin-top:2.7pt;height:307.45pt;width:482pt;z-index:251675648;mso-width-relative:page;mso-height-relative:page;" fillcolor="#000000" filled="t" stroked="t" coordsize="21600,21600" adj="11990,-16004">
            <v:path/>
            <v:fill type="gradient" on="t" color2="fill darken(118)" opacity="0f" o:opacity2="0f" focus="100%" focussize="0,0" method="linear sigma"/>
            <v:stroke weight="1.25pt" color="#FF0000" joinstyle="miter"/>
            <v:imagedata o:title=""/>
            <o:lock v:ext="edit"/>
            <v:textbox>
              <w:txbxContent>
                <w:p>
                  <w:r>
                    <w:drawing>
                      <wp:inline distT="0" distB="0" distL="0" distR="0">
                        <wp:extent cx="5981700" cy="3798570"/>
                        <wp:effectExtent l="19050" t="0" r="0" b="0"/>
                        <wp:docPr id="20" name="图片 6" descr="C:\Users\Administrator\AppData\Local\Temp\15864194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C:\Users\Administrator\AppData\Local\Temp\1586419479(1).png"/>
                                <pic:cNvPicPr>
                                  <a:picLocks noChangeAspect="1" noChangeArrowheads="1"/>
                                </pic:cNvPicPr>
                              </pic:nvPicPr>
                              <pic:blipFill>
                                <a:blip r:embed="rId30"/>
                                <a:srcRect/>
                                <a:stretch>
                                  <a:fillRect/>
                                </a:stretch>
                              </pic:blipFill>
                              <pic:spPr>
                                <a:xfrm>
                                  <a:off x="0" y="0"/>
                                  <a:ext cx="5981689" cy="3798738"/>
                                </a:xfrm>
                                <a:prstGeom prst="rect">
                                  <a:avLst/>
                                </a:prstGeom>
                                <a:noFill/>
                                <a:ln w="9525">
                                  <a:noFill/>
                                  <a:miter lim="800000"/>
                                  <a:headEnd/>
                                  <a:tailEnd/>
                                </a:ln>
                              </pic:spPr>
                            </pic:pic>
                          </a:graphicData>
                        </a:graphic>
                      </wp:inline>
                    </w:drawing>
                  </w:r>
                </w:p>
              </w:txbxContent>
            </v:textbox>
          </v:shape>
        </w:pict>
      </w:r>
    </w:p>
    <w:p>
      <w:pPr>
        <w:rPr>
          <w:rFonts w:ascii="宋体" w:hAnsi="宋体" w:cs="宋体"/>
          <w:kern w:val="0"/>
          <w:sz w:val="24"/>
        </w:rPr>
      </w:pPr>
    </w:p>
    <w:p>
      <w:pPr>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
      <w:pPr>
        <w:ind w:firstLine="2891" w:firstLineChars="800"/>
        <w:jc w:val="left"/>
        <w:rPr>
          <w:rFonts w:asciiTheme="majorEastAsia" w:hAnsiTheme="majorEastAsia" w:eastAsiaTheme="majorEastAsia" w:cstheme="majorEastAsia"/>
          <w:b/>
          <w:bCs/>
          <w:kern w:val="0"/>
          <w:sz w:val="36"/>
          <w:szCs w:val="36"/>
        </w:rPr>
      </w:pPr>
    </w:p>
    <w:p>
      <w:pPr>
        <w:ind w:firstLine="2891" w:firstLineChars="800"/>
        <w:jc w:val="left"/>
        <w:rPr>
          <w:rFonts w:asciiTheme="majorEastAsia" w:hAnsiTheme="majorEastAsia" w:eastAsiaTheme="majorEastAsia" w:cstheme="majorEastAsia"/>
          <w:b/>
          <w:bCs/>
          <w:kern w:val="0"/>
          <w:sz w:val="36"/>
          <w:szCs w:val="36"/>
        </w:rPr>
      </w:pPr>
    </w:p>
    <w:p>
      <w:pPr>
        <w:ind w:firstLine="2891" w:firstLineChars="800"/>
        <w:jc w:val="left"/>
        <w:rPr>
          <w:rFonts w:asciiTheme="majorEastAsia" w:hAnsiTheme="majorEastAsia" w:eastAsiaTheme="majorEastAsia" w:cstheme="majorEastAsia"/>
          <w:b/>
          <w:bCs/>
          <w:kern w:val="0"/>
          <w:sz w:val="36"/>
          <w:szCs w:val="36"/>
        </w:rPr>
      </w:pPr>
    </w:p>
    <w:p>
      <w:pPr>
        <w:jc w:val="left"/>
        <w:rPr>
          <w:rFonts w:asciiTheme="majorEastAsia" w:hAnsiTheme="majorEastAsia" w:eastAsiaTheme="majorEastAsia" w:cstheme="majorEastAsia"/>
          <w:b/>
          <w:bCs/>
          <w:kern w:val="0"/>
          <w:sz w:val="36"/>
          <w:szCs w:val="36"/>
        </w:rPr>
      </w:pPr>
    </w:p>
    <w:p>
      <w:pPr>
        <w:spacing w:line="540" w:lineRule="exact"/>
        <w:ind w:right="480"/>
        <w:rPr>
          <w:sz w:val="24"/>
        </w:rPr>
      </w:pPr>
    </w:p>
    <w:p>
      <w:pPr>
        <w:spacing w:line="400" w:lineRule="exact"/>
        <w:ind w:right="420"/>
        <w:jc w:val="left"/>
      </w:pPr>
    </w:p>
    <w:p>
      <w:pPr>
        <w:spacing w:line="400" w:lineRule="exact"/>
        <w:ind w:right="420"/>
        <w:jc w:val="left"/>
        <w:rPr>
          <w:sz w:val="24"/>
        </w:rPr>
      </w:pPr>
    </w:p>
    <w:p>
      <w:pPr>
        <w:jc w:val="right"/>
        <w:rPr>
          <w:sz w:val="28"/>
        </w:rPr>
      </w:pPr>
    </w:p>
    <w:p>
      <w:pPr>
        <w:widowControl/>
        <w:jc w:val="left"/>
        <w:rPr>
          <w:rFonts w:ascii="仿宋_GB2312" w:hAnsi="仿宋_GB2312" w:eastAsia="仿宋_GB2312" w:cs="仿宋_GB2312"/>
          <w:sz w:val="24"/>
          <w:szCs w:val="24"/>
        </w:rPr>
      </w:pPr>
      <w:r>
        <w:rPr>
          <w:rFonts w:ascii="仿宋_GB2312" w:hAnsi="仿宋_GB2312" w:eastAsia="仿宋_GB2312" w:cs="仿宋_GB2312"/>
          <w:sz w:val="24"/>
          <w:szCs w:val="24"/>
        </w:rPr>
        <w:br w:type="page"/>
      </w:r>
    </w:p>
    <w:p>
      <w:pPr>
        <w:ind w:firstLine="2400" w:firstLineChars="1000"/>
        <w:jc w:val="left"/>
        <w:rPr>
          <w:rFonts w:ascii="仿宋_GB2312" w:hAnsi="仿宋_GB2312" w:eastAsia="仿宋_GB2312" w:cs="仿宋_GB2312"/>
          <w:sz w:val="28"/>
          <w:szCs w:val="28"/>
        </w:rPr>
      </w:pPr>
      <w:r>
        <w:rPr>
          <w:rFonts w:hint="eastAsia" w:ascii="仿宋_GB2312" w:hAnsi="仿宋_GB2312" w:eastAsia="仿宋_GB2312" w:cs="仿宋_GB2312"/>
          <w:sz w:val="24"/>
          <w:szCs w:val="24"/>
        </w:rPr>
        <w:t>估价对象相关照片（第一页，共二页）</w:t>
      </w:r>
    </w:p>
    <w:tbl>
      <w:tblPr>
        <w:tblStyle w:val="38"/>
        <w:tblW w:w="9075" w:type="dxa"/>
        <w:jc w:val="center"/>
        <w:tblInd w:w="0" w:type="dxa"/>
        <w:tblLayout w:type="fixed"/>
        <w:tblCellMar>
          <w:top w:w="0" w:type="dxa"/>
          <w:left w:w="108" w:type="dxa"/>
          <w:bottom w:w="0" w:type="dxa"/>
          <w:right w:w="108" w:type="dxa"/>
        </w:tblCellMar>
      </w:tblPr>
      <w:tblGrid>
        <w:gridCol w:w="4178"/>
        <w:gridCol w:w="643"/>
        <w:gridCol w:w="4254"/>
      </w:tblGrid>
      <w:tr>
        <w:tblPrEx>
          <w:tblLayout w:type="fixed"/>
          <w:tblCellMar>
            <w:top w:w="0" w:type="dxa"/>
            <w:left w:w="108" w:type="dxa"/>
            <w:bottom w:w="0" w:type="dxa"/>
            <w:right w:w="108" w:type="dxa"/>
          </w:tblCellMar>
        </w:tblPrEx>
        <w:trPr>
          <w:trHeight w:val="2901" w:hRule="atLeast"/>
          <w:jc w:val="center"/>
        </w:trPr>
        <w:tc>
          <w:tcPr>
            <w:tcW w:w="4178" w:type="dxa"/>
            <w:noWrap/>
          </w:tcPr>
          <w:p>
            <w:pPr>
              <w:jc w:val="left"/>
              <w:rPr>
                <w:rFonts w:ascii="仿宋_GB2312" w:hAnsi="仿宋_GB2312" w:eastAsia="仿宋_GB2312" w:cs="仿宋_GB2312"/>
              </w:rPr>
            </w:pPr>
            <w:r>
              <w:rPr>
                <w:rFonts w:ascii="仿宋_GB2312" w:hAnsi="仿宋_GB2312" w:eastAsia="仿宋_GB2312" w:cs="仿宋_GB2312"/>
              </w:rPr>
              <w:drawing>
                <wp:inline distT="0" distB="0" distL="0" distR="0">
                  <wp:extent cx="2498090" cy="1873885"/>
                  <wp:effectExtent l="19050" t="0" r="0" b="0"/>
                  <wp:docPr id="49" name="图片 48" descr="所临望江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descr="所临望江路 (1).JPG"/>
                          <pic:cNvPicPr>
                            <a:picLocks noChangeAspect="1"/>
                          </pic:cNvPicPr>
                        </pic:nvPicPr>
                        <pic:blipFill>
                          <a:blip r:embed="rId31" cstate="print"/>
                          <a:stretch>
                            <a:fillRect/>
                          </a:stretch>
                        </pic:blipFill>
                        <pic:spPr>
                          <a:xfrm>
                            <a:off x="0" y="0"/>
                            <a:ext cx="2498090" cy="1873885"/>
                          </a:xfrm>
                          <a:prstGeom prst="rect">
                            <a:avLst/>
                          </a:prstGeom>
                        </pic:spPr>
                      </pic:pic>
                    </a:graphicData>
                  </a:graphic>
                </wp:inline>
              </w:drawing>
            </w:r>
          </w:p>
        </w:tc>
        <w:tc>
          <w:tcPr>
            <w:tcW w:w="643" w:type="dxa"/>
            <w:noWrap/>
          </w:tcPr>
          <w:p>
            <w:pPr>
              <w:jc w:val="center"/>
              <w:rPr>
                <w:rFonts w:ascii="仿宋_GB2312" w:hAnsi="仿宋_GB2312" w:eastAsia="仿宋_GB2312" w:cs="仿宋_GB2312"/>
              </w:rPr>
            </w:pPr>
          </w:p>
        </w:tc>
        <w:tc>
          <w:tcPr>
            <w:tcW w:w="4254" w:type="dxa"/>
            <w:noWrap/>
          </w:tcPr>
          <w:p>
            <w:pPr>
              <w:jc w:val="center"/>
              <w:rPr>
                <w:rFonts w:ascii="仿宋_GB2312" w:hAnsi="仿宋_GB2312" w:eastAsia="仿宋_GB2312" w:cs="仿宋_GB2312"/>
              </w:rPr>
            </w:pPr>
            <w:r>
              <w:drawing>
                <wp:inline distT="0" distB="0" distL="0" distR="0">
                  <wp:extent cx="2533650" cy="1875790"/>
                  <wp:effectExtent l="19050" t="0" r="0" b="0"/>
                  <wp:docPr id="5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8"/>
                          <pic:cNvPicPr>
                            <a:picLocks noChangeAspect="1" noChangeArrowheads="1"/>
                          </pic:cNvPicPr>
                        </pic:nvPicPr>
                        <pic:blipFill>
                          <a:blip r:embed="rId32" cstate="print"/>
                          <a:srcRect/>
                          <a:stretch>
                            <a:fillRect/>
                          </a:stretch>
                        </pic:blipFill>
                        <pic:spPr>
                          <a:xfrm>
                            <a:off x="0" y="0"/>
                            <a:ext cx="2528034" cy="1872000"/>
                          </a:xfrm>
                          <a:prstGeom prst="rect">
                            <a:avLst/>
                          </a:prstGeom>
                          <a:noFill/>
                          <a:ln w="9525">
                            <a:noFill/>
                            <a:miter lim="800000"/>
                            <a:headEnd/>
                            <a:tailEnd/>
                          </a:ln>
                        </pic:spPr>
                      </pic:pic>
                    </a:graphicData>
                  </a:graphic>
                </wp:inline>
              </w:drawing>
            </w:r>
          </w:p>
        </w:tc>
      </w:tr>
      <w:tr>
        <w:tblPrEx>
          <w:tblLayout w:type="fixed"/>
          <w:tblCellMar>
            <w:top w:w="0" w:type="dxa"/>
            <w:left w:w="108" w:type="dxa"/>
            <w:bottom w:w="0" w:type="dxa"/>
            <w:right w:w="108" w:type="dxa"/>
          </w:tblCellMar>
        </w:tblPrEx>
        <w:trPr>
          <w:trHeight w:val="59" w:hRule="atLeast"/>
          <w:jc w:val="center"/>
        </w:trPr>
        <w:tc>
          <w:tcPr>
            <w:tcW w:w="4178"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估价对象1所临街道</w:t>
            </w:r>
          </w:p>
        </w:tc>
        <w:tc>
          <w:tcPr>
            <w:tcW w:w="643" w:type="dxa"/>
            <w:noWrap/>
          </w:tcPr>
          <w:p>
            <w:pPr>
              <w:jc w:val="center"/>
              <w:rPr>
                <w:rFonts w:ascii="仿宋_GB2312" w:hAnsi="仿宋_GB2312" w:eastAsia="仿宋_GB2312" w:cs="仿宋_GB2312"/>
                <w:bCs/>
                <w:szCs w:val="21"/>
              </w:rPr>
            </w:pPr>
          </w:p>
        </w:tc>
        <w:tc>
          <w:tcPr>
            <w:tcW w:w="4254"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估价对象1街道号</w:t>
            </w:r>
          </w:p>
        </w:tc>
      </w:tr>
      <w:tr>
        <w:tblPrEx>
          <w:tblLayout w:type="fixed"/>
          <w:tblCellMar>
            <w:top w:w="0" w:type="dxa"/>
            <w:left w:w="108" w:type="dxa"/>
            <w:bottom w:w="0" w:type="dxa"/>
            <w:right w:w="108" w:type="dxa"/>
          </w:tblCellMar>
        </w:tblPrEx>
        <w:trPr>
          <w:trHeight w:val="2844" w:hRule="atLeast"/>
          <w:jc w:val="center"/>
        </w:trPr>
        <w:tc>
          <w:tcPr>
            <w:tcW w:w="4178" w:type="dxa"/>
            <w:noWrap/>
          </w:tcPr>
          <w:p>
            <w:pPr>
              <w:jc w:val="left"/>
              <w:rPr>
                <w:rFonts w:ascii="仿宋_GB2312" w:hAnsi="仿宋_GB2312" w:eastAsia="仿宋_GB2312" w:cs="仿宋_GB2312"/>
                <w:bCs/>
              </w:rPr>
            </w:pPr>
            <w:r>
              <w:rPr>
                <w:rFonts w:ascii="仿宋_GB2312" w:hAnsi="仿宋_GB2312" w:eastAsia="仿宋_GB2312" w:cs="仿宋_GB2312"/>
                <w:bCs/>
              </w:rPr>
              <w:drawing>
                <wp:inline distT="0" distB="0" distL="0" distR="0">
                  <wp:extent cx="2498090" cy="1873885"/>
                  <wp:effectExtent l="19050" t="0" r="0" b="0"/>
                  <wp:docPr id="52" name="图片 51" descr="1楼商业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descr="1楼商业 (3).JPG"/>
                          <pic:cNvPicPr>
                            <a:picLocks noChangeAspect="1"/>
                          </pic:cNvPicPr>
                        </pic:nvPicPr>
                        <pic:blipFill>
                          <a:blip r:embed="rId33" cstate="print"/>
                          <a:stretch>
                            <a:fillRect/>
                          </a:stretch>
                        </pic:blipFill>
                        <pic:spPr>
                          <a:xfrm>
                            <a:off x="0" y="0"/>
                            <a:ext cx="2498090" cy="1873885"/>
                          </a:xfrm>
                          <a:prstGeom prst="rect">
                            <a:avLst/>
                          </a:prstGeom>
                        </pic:spPr>
                      </pic:pic>
                    </a:graphicData>
                  </a:graphic>
                </wp:inline>
              </w:drawing>
            </w:r>
          </w:p>
        </w:tc>
        <w:tc>
          <w:tcPr>
            <w:tcW w:w="643" w:type="dxa"/>
            <w:noWrap/>
          </w:tcPr>
          <w:p>
            <w:pPr>
              <w:jc w:val="center"/>
              <w:rPr>
                <w:rFonts w:ascii="仿宋_GB2312" w:hAnsi="仿宋_GB2312" w:eastAsia="仿宋_GB2312" w:cs="仿宋_GB2312"/>
                <w:bCs/>
              </w:rPr>
            </w:pPr>
          </w:p>
        </w:tc>
        <w:tc>
          <w:tcPr>
            <w:tcW w:w="4254" w:type="dxa"/>
            <w:noWrap/>
          </w:tcPr>
          <w:p>
            <w:pPr>
              <w:jc w:val="left"/>
              <w:rPr>
                <w:rFonts w:ascii="仿宋_GB2312" w:hAnsi="仿宋_GB2312" w:eastAsia="仿宋_GB2312" w:cs="仿宋_GB2312"/>
                <w:bCs/>
              </w:rPr>
            </w:pPr>
            <w:r>
              <w:rPr>
                <w:rFonts w:ascii="仿宋_GB2312" w:hAnsi="仿宋_GB2312" w:eastAsia="仿宋_GB2312" w:cs="仿宋_GB2312"/>
                <w:bCs/>
              </w:rPr>
              <w:drawing>
                <wp:inline distT="0" distB="0" distL="0" distR="0">
                  <wp:extent cx="2546350" cy="1910080"/>
                  <wp:effectExtent l="19050" t="0" r="6350" b="0"/>
                  <wp:docPr id="53" name="图片 52" descr="1、2楼住宅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2" descr="1、2楼住宅 (9).JPG"/>
                          <pic:cNvPicPr>
                            <a:picLocks noChangeAspect="1"/>
                          </pic:cNvPicPr>
                        </pic:nvPicPr>
                        <pic:blipFill>
                          <a:blip r:embed="rId34"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59" w:hRule="atLeast"/>
          <w:jc w:val="center"/>
        </w:trPr>
        <w:tc>
          <w:tcPr>
            <w:tcW w:w="4178"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估价对象1室内1层商业</w:t>
            </w:r>
          </w:p>
        </w:tc>
        <w:tc>
          <w:tcPr>
            <w:tcW w:w="643" w:type="dxa"/>
            <w:noWrap/>
          </w:tcPr>
          <w:p>
            <w:pPr>
              <w:jc w:val="center"/>
              <w:rPr>
                <w:rFonts w:ascii="仿宋_GB2312" w:hAnsi="仿宋_GB2312" w:eastAsia="仿宋_GB2312" w:cs="仿宋_GB2312"/>
                <w:bCs/>
                <w:szCs w:val="21"/>
              </w:rPr>
            </w:pPr>
          </w:p>
        </w:tc>
        <w:tc>
          <w:tcPr>
            <w:tcW w:w="4254"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估价对象1室内状况</w:t>
            </w:r>
          </w:p>
        </w:tc>
      </w:tr>
      <w:tr>
        <w:tblPrEx>
          <w:tblLayout w:type="fixed"/>
          <w:tblCellMar>
            <w:top w:w="0" w:type="dxa"/>
            <w:left w:w="108" w:type="dxa"/>
            <w:bottom w:w="0" w:type="dxa"/>
            <w:right w:w="108" w:type="dxa"/>
          </w:tblCellMar>
        </w:tblPrEx>
        <w:trPr>
          <w:trHeight w:val="2762" w:hRule="atLeast"/>
          <w:jc w:val="center"/>
        </w:trPr>
        <w:tc>
          <w:tcPr>
            <w:tcW w:w="4178" w:type="dxa"/>
            <w:noWrap/>
          </w:tcPr>
          <w:p>
            <w:pPr>
              <w:rPr>
                <w:rFonts w:ascii="仿宋_GB2312" w:hAnsi="仿宋_GB2312" w:eastAsia="仿宋_GB2312" w:cs="仿宋_GB2312"/>
                <w:bCs/>
              </w:rPr>
            </w:pPr>
            <w:r>
              <w:rPr>
                <w:rFonts w:ascii="仿宋_GB2312" w:hAnsi="仿宋_GB2312" w:eastAsia="仿宋_GB2312" w:cs="仿宋_GB2312"/>
                <w:bCs/>
              </w:rPr>
              <w:drawing>
                <wp:inline distT="0" distB="0" distL="0" distR="0">
                  <wp:extent cx="2498090" cy="1873885"/>
                  <wp:effectExtent l="19050" t="0" r="0" b="0"/>
                  <wp:docPr id="57" name="图片 56" descr="1、2楼住宅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1、2楼住宅 (4).JPG"/>
                          <pic:cNvPicPr>
                            <a:picLocks noChangeAspect="1"/>
                          </pic:cNvPicPr>
                        </pic:nvPicPr>
                        <pic:blipFill>
                          <a:blip r:embed="rId35" cstate="print"/>
                          <a:stretch>
                            <a:fillRect/>
                          </a:stretch>
                        </pic:blipFill>
                        <pic:spPr>
                          <a:xfrm>
                            <a:off x="0" y="0"/>
                            <a:ext cx="2498090" cy="1873885"/>
                          </a:xfrm>
                          <a:prstGeom prst="rect">
                            <a:avLst/>
                          </a:prstGeom>
                        </pic:spPr>
                      </pic:pic>
                    </a:graphicData>
                  </a:graphic>
                </wp:inline>
              </w:drawing>
            </w:r>
          </w:p>
        </w:tc>
        <w:tc>
          <w:tcPr>
            <w:tcW w:w="643" w:type="dxa"/>
            <w:noWrap/>
          </w:tcPr>
          <w:p>
            <w:pPr>
              <w:rPr>
                <w:rFonts w:ascii="仿宋_GB2312" w:hAnsi="仿宋_GB2312" w:eastAsia="仿宋_GB2312" w:cs="仿宋_GB2312"/>
                <w:bCs/>
              </w:rPr>
            </w:pPr>
          </w:p>
        </w:tc>
        <w:tc>
          <w:tcPr>
            <w:tcW w:w="4254" w:type="dxa"/>
            <w:noWrap/>
          </w:tcPr>
          <w:p>
            <w:pPr>
              <w:rPr>
                <w:rFonts w:ascii="仿宋_GB2312" w:hAnsi="仿宋_GB2312" w:eastAsia="仿宋_GB2312" w:cs="仿宋_GB2312"/>
                <w:bCs/>
              </w:rPr>
            </w:pPr>
            <w:r>
              <w:rPr>
                <w:rFonts w:ascii="仿宋_GB2312" w:hAnsi="仿宋_GB2312" w:eastAsia="仿宋_GB2312" w:cs="仿宋_GB2312"/>
                <w:bCs/>
              </w:rPr>
              <w:drawing>
                <wp:inline distT="0" distB="0" distL="0" distR="0">
                  <wp:extent cx="2546350" cy="1910080"/>
                  <wp:effectExtent l="19050" t="0" r="6350" b="0"/>
                  <wp:docPr id="58" name="图片 57" descr="1、2楼住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1、2楼住宅 (2).JPG"/>
                          <pic:cNvPicPr>
                            <a:picLocks noChangeAspect="1"/>
                          </pic:cNvPicPr>
                        </pic:nvPicPr>
                        <pic:blipFill>
                          <a:blip r:embed="rId36"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59" w:hRule="atLeast"/>
          <w:jc w:val="center"/>
        </w:trPr>
        <w:tc>
          <w:tcPr>
            <w:tcW w:w="4178"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估价对象1室内状况</w:t>
            </w:r>
          </w:p>
        </w:tc>
        <w:tc>
          <w:tcPr>
            <w:tcW w:w="643" w:type="dxa"/>
            <w:noWrap/>
          </w:tcPr>
          <w:p>
            <w:pPr>
              <w:jc w:val="center"/>
              <w:rPr>
                <w:rFonts w:ascii="仿宋_GB2312" w:hAnsi="仿宋_GB2312" w:eastAsia="仿宋_GB2312" w:cs="仿宋_GB2312"/>
                <w:bCs/>
                <w:szCs w:val="21"/>
              </w:rPr>
            </w:pPr>
          </w:p>
        </w:tc>
        <w:tc>
          <w:tcPr>
            <w:tcW w:w="4254" w:type="dxa"/>
            <w:noWrap/>
          </w:tcPr>
          <w:p>
            <w:pPr>
              <w:ind w:firstLine="840" w:firstLineChars="400"/>
              <w:jc w:val="left"/>
              <w:rPr>
                <w:rFonts w:ascii="仿宋_GB2312" w:hAnsi="仿宋_GB2312" w:eastAsia="仿宋_GB2312" w:cs="仿宋_GB2312"/>
                <w:bCs/>
                <w:szCs w:val="21"/>
              </w:rPr>
            </w:pPr>
            <w:r>
              <w:rPr>
                <w:rFonts w:hint="eastAsia" w:ascii="仿宋_GB2312" w:hAnsi="仿宋_GB2312" w:eastAsia="仿宋_GB2312" w:cs="仿宋_GB2312"/>
                <w:bCs/>
                <w:szCs w:val="21"/>
              </w:rPr>
              <w:t>估价对象1室内状况</w:t>
            </w:r>
          </w:p>
        </w:tc>
      </w:tr>
      <w:tr>
        <w:tblPrEx>
          <w:tblLayout w:type="fixed"/>
          <w:tblCellMar>
            <w:top w:w="0" w:type="dxa"/>
            <w:left w:w="108" w:type="dxa"/>
            <w:bottom w:w="0" w:type="dxa"/>
            <w:right w:w="108" w:type="dxa"/>
          </w:tblCellMar>
        </w:tblPrEx>
        <w:trPr>
          <w:trHeight w:val="2722" w:hRule="exact"/>
          <w:jc w:val="center"/>
        </w:trPr>
        <w:tc>
          <w:tcPr>
            <w:tcW w:w="4178" w:type="dxa"/>
            <w:noWrap/>
          </w:tcPr>
          <w:p>
            <w:pPr>
              <w:jc w:val="left"/>
              <w:rPr>
                <w:rFonts w:ascii="仿宋_GB2312" w:hAnsi="仿宋_GB2312" w:eastAsia="仿宋_GB2312" w:cs="仿宋_GB2312"/>
                <w:bCs/>
                <w:szCs w:val="21"/>
              </w:rPr>
            </w:pPr>
            <w:r>
              <w:rPr>
                <w:rFonts w:ascii="仿宋_GB2312" w:hAnsi="仿宋_GB2312" w:eastAsia="仿宋_GB2312" w:cs="仿宋_GB2312"/>
                <w:bCs/>
                <w:szCs w:val="21"/>
              </w:rPr>
              <w:drawing>
                <wp:inline distT="0" distB="0" distL="0" distR="0">
                  <wp:extent cx="2498090" cy="1873885"/>
                  <wp:effectExtent l="19050" t="0" r="0" b="0"/>
                  <wp:docPr id="59" name="图片 58" descr="院坝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descr="院坝 (1).JPG"/>
                          <pic:cNvPicPr>
                            <a:picLocks noChangeAspect="1"/>
                          </pic:cNvPicPr>
                        </pic:nvPicPr>
                        <pic:blipFill>
                          <a:blip r:embed="rId37" cstate="print"/>
                          <a:stretch>
                            <a:fillRect/>
                          </a:stretch>
                        </pic:blipFill>
                        <pic:spPr>
                          <a:xfrm>
                            <a:off x="0" y="0"/>
                            <a:ext cx="2498090" cy="1873885"/>
                          </a:xfrm>
                          <a:prstGeom prst="rect">
                            <a:avLst/>
                          </a:prstGeom>
                        </pic:spPr>
                      </pic:pic>
                    </a:graphicData>
                  </a:graphic>
                </wp:inline>
              </w:drawing>
            </w:r>
          </w:p>
        </w:tc>
        <w:tc>
          <w:tcPr>
            <w:tcW w:w="643" w:type="dxa"/>
            <w:noWrap/>
          </w:tcPr>
          <w:p>
            <w:pPr>
              <w:jc w:val="center"/>
              <w:rPr>
                <w:rFonts w:ascii="仿宋_GB2312" w:hAnsi="仿宋_GB2312" w:eastAsia="仿宋_GB2312" w:cs="仿宋_GB2312"/>
                <w:bCs/>
                <w:szCs w:val="21"/>
              </w:rPr>
            </w:pPr>
          </w:p>
        </w:tc>
        <w:tc>
          <w:tcPr>
            <w:tcW w:w="4254" w:type="dxa"/>
            <w:noWrap/>
          </w:tcPr>
          <w:p>
            <w:pPr>
              <w:jc w:val="left"/>
              <w:rPr>
                <w:rFonts w:ascii="仿宋_GB2312" w:hAnsi="仿宋_GB2312" w:eastAsia="仿宋_GB2312" w:cs="仿宋_GB2312"/>
                <w:bCs/>
                <w:szCs w:val="21"/>
              </w:rPr>
            </w:pPr>
            <w:r>
              <w:rPr>
                <w:rFonts w:ascii="仿宋_GB2312" w:hAnsi="仿宋_GB2312" w:eastAsia="仿宋_GB2312" w:cs="仿宋_GB2312"/>
                <w:bCs/>
                <w:szCs w:val="21"/>
              </w:rPr>
              <w:drawing>
                <wp:inline distT="0" distB="0" distL="0" distR="0">
                  <wp:extent cx="2546350" cy="1910080"/>
                  <wp:effectExtent l="19050" t="0" r="6350" b="0"/>
                  <wp:docPr id="60" name="图片 59" descr="临成乐路 （下马路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临成乐路 （下马路 (1).JPG"/>
                          <pic:cNvPicPr>
                            <a:picLocks noChangeAspect="1"/>
                          </pic:cNvPicPr>
                        </pic:nvPicPr>
                        <pic:blipFill>
                          <a:blip r:embed="rId38"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22" w:hRule="atLeast"/>
          <w:jc w:val="center"/>
        </w:trPr>
        <w:tc>
          <w:tcPr>
            <w:tcW w:w="4178"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估价对象1状况</w:t>
            </w:r>
          </w:p>
        </w:tc>
        <w:tc>
          <w:tcPr>
            <w:tcW w:w="643" w:type="dxa"/>
            <w:noWrap/>
          </w:tcPr>
          <w:p>
            <w:pPr>
              <w:jc w:val="center"/>
              <w:rPr>
                <w:rFonts w:ascii="仿宋_GB2312" w:hAnsi="仿宋_GB2312" w:eastAsia="仿宋_GB2312" w:cs="仿宋_GB2312"/>
                <w:bCs/>
                <w:szCs w:val="21"/>
              </w:rPr>
            </w:pPr>
          </w:p>
        </w:tc>
        <w:tc>
          <w:tcPr>
            <w:tcW w:w="4254"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估价对象2-6所临下马路</w:t>
            </w:r>
          </w:p>
        </w:tc>
      </w:tr>
    </w:tbl>
    <w:p>
      <w:pPr>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拍摄日期:2019年11月8日</w:t>
      </w:r>
    </w:p>
    <w:p>
      <w:pPr>
        <w:ind w:firstLine="2400" w:firstLineChars="1000"/>
        <w:jc w:val="left"/>
        <w:rPr>
          <w:rFonts w:ascii="仿宋_GB2312" w:hAnsi="仿宋_GB2312" w:eastAsia="仿宋_GB2312" w:cs="仿宋_GB2312"/>
          <w:sz w:val="28"/>
          <w:szCs w:val="28"/>
        </w:rPr>
      </w:pPr>
      <w:r>
        <w:rPr>
          <w:rFonts w:hint="eastAsia" w:ascii="仿宋_GB2312" w:hAnsi="仿宋_GB2312" w:eastAsia="仿宋_GB2312" w:cs="仿宋_GB2312"/>
          <w:sz w:val="24"/>
          <w:szCs w:val="24"/>
        </w:rPr>
        <w:t>估价对象相关照片（第二页，共二页）</w:t>
      </w:r>
    </w:p>
    <w:tbl>
      <w:tblPr>
        <w:tblStyle w:val="38"/>
        <w:tblW w:w="9015" w:type="dxa"/>
        <w:jc w:val="center"/>
        <w:tblInd w:w="0" w:type="dxa"/>
        <w:tblLayout w:type="fixed"/>
        <w:tblCellMar>
          <w:top w:w="0" w:type="dxa"/>
          <w:left w:w="108" w:type="dxa"/>
          <w:bottom w:w="0" w:type="dxa"/>
          <w:right w:w="108" w:type="dxa"/>
        </w:tblCellMar>
      </w:tblPr>
      <w:tblGrid>
        <w:gridCol w:w="4150"/>
        <w:gridCol w:w="639"/>
        <w:gridCol w:w="4226"/>
      </w:tblGrid>
      <w:tr>
        <w:tblPrEx>
          <w:tblLayout w:type="fixed"/>
          <w:tblCellMar>
            <w:top w:w="0" w:type="dxa"/>
            <w:left w:w="108" w:type="dxa"/>
            <w:bottom w:w="0" w:type="dxa"/>
            <w:right w:w="108" w:type="dxa"/>
          </w:tblCellMar>
        </w:tblPrEx>
        <w:trPr>
          <w:trHeight w:val="2927" w:hRule="atLeast"/>
          <w:jc w:val="center"/>
        </w:trPr>
        <w:tc>
          <w:tcPr>
            <w:tcW w:w="4150" w:type="dxa"/>
            <w:noWrap/>
          </w:tcPr>
          <w:p>
            <w:pPr>
              <w:jc w:val="left"/>
              <w:rPr>
                <w:rFonts w:ascii="仿宋_GB2312" w:hAnsi="仿宋_GB2312" w:eastAsia="仿宋_GB2312" w:cs="仿宋_GB2312"/>
              </w:rPr>
            </w:pPr>
            <w:r>
              <w:rPr>
                <w:rFonts w:ascii="仿宋_GB2312" w:hAnsi="仿宋_GB2312" w:eastAsia="仿宋_GB2312" w:cs="仿宋_GB2312"/>
              </w:rPr>
              <w:drawing>
                <wp:inline distT="0" distB="0" distL="0" distR="0">
                  <wp:extent cx="2498090" cy="1873885"/>
                  <wp:effectExtent l="19050" t="0" r="0" b="0"/>
                  <wp:docPr id="62" name="图片 61" descr="一层现门牌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1" descr="一层现门牌 (3).JPG"/>
                          <pic:cNvPicPr>
                            <a:picLocks noChangeAspect="1"/>
                          </pic:cNvPicPr>
                        </pic:nvPicPr>
                        <pic:blipFill>
                          <a:blip r:embed="rId39" cstate="print"/>
                          <a:stretch>
                            <a:fillRect/>
                          </a:stretch>
                        </pic:blipFill>
                        <pic:spPr>
                          <a:xfrm>
                            <a:off x="0" y="0"/>
                            <a:ext cx="2498090" cy="1873885"/>
                          </a:xfrm>
                          <a:prstGeom prst="rect">
                            <a:avLst/>
                          </a:prstGeom>
                        </pic:spPr>
                      </pic:pic>
                    </a:graphicData>
                  </a:graphic>
                </wp:inline>
              </w:drawing>
            </w:r>
          </w:p>
        </w:tc>
        <w:tc>
          <w:tcPr>
            <w:tcW w:w="639" w:type="dxa"/>
            <w:noWrap/>
          </w:tcPr>
          <w:p>
            <w:pPr>
              <w:jc w:val="center"/>
              <w:rPr>
                <w:rFonts w:ascii="仿宋_GB2312" w:hAnsi="仿宋_GB2312" w:eastAsia="仿宋_GB2312" w:cs="仿宋_GB2312"/>
              </w:rPr>
            </w:pPr>
          </w:p>
        </w:tc>
        <w:tc>
          <w:tcPr>
            <w:tcW w:w="4226" w:type="dxa"/>
            <w:noWrap/>
          </w:tcPr>
          <w:p>
            <w:pPr>
              <w:jc w:val="left"/>
              <w:rPr>
                <w:rFonts w:ascii="仿宋_GB2312" w:hAnsi="仿宋_GB2312" w:eastAsia="仿宋_GB2312" w:cs="仿宋_GB2312"/>
              </w:rPr>
            </w:pPr>
            <w:r>
              <w:rPr>
                <w:rFonts w:ascii="仿宋_GB2312" w:hAnsi="仿宋_GB2312" w:eastAsia="仿宋_GB2312" w:cs="仿宋_GB2312"/>
              </w:rPr>
              <w:drawing>
                <wp:inline distT="0" distB="0" distL="0" distR="0">
                  <wp:extent cx="2546350" cy="1910080"/>
                  <wp:effectExtent l="19050" t="0" r="6350" b="0"/>
                  <wp:docPr id="63" name="图片 62" descr="一层现门牌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一层现门牌 (4).JPG"/>
                          <pic:cNvPicPr>
                            <a:picLocks noChangeAspect="1"/>
                          </pic:cNvPicPr>
                        </pic:nvPicPr>
                        <pic:blipFill>
                          <a:blip r:embed="rId40"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60" w:hRule="atLeast"/>
          <w:jc w:val="center"/>
        </w:trPr>
        <w:tc>
          <w:tcPr>
            <w:tcW w:w="4150"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估价对象2-5部分街道号</w:t>
            </w:r>
          </w:p>
        </w:tc>
        <w:tc>
          <w:tcPr>
            <w:tcW w:w="639" w:type="dxa"/>
            <w:noWrap/>
          </w:tcPr>
          <w:p>
            <w:pPr>
              <w:jc w:val="center"/>
              <w:rPr>
                <w:rFonts w:ascii="仿宋_GB2312" w:hAnsi="仿宋_GB2312" w:eastAsia="仿宋_GB2312" w:cs="仿宋_GB2312"/>
                <w:bCs/>
                <w:szCs w:val="21"/>
              </w:rPr>
            </w:pPr>
          </w:p>
        </w:tc>
        <w:tc>
          <w:tcPr>
            <w:tcW w:w="4226"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估价对象2-5部分街道号</w:t>
            </w:r>
          </w:p>
        </w:tc>
      </w:tr>
      <w:tr>
        <w:tblPrEx>
          <w:tblLayout w:type="fixed"/>
          <w:tblCellMar>
            <w:top w:w="0" w:type="dxa"/>
            <w:left w:w="108" w:type="dxa"/>
            <w:bottom w:w="0" w:type="dxa"/>
            <w:right w:w="108" w:type="dxa"/>
          </w:tblCellMar>
        </w:tblPrEx>
        <w:trPr>
          <w:trHeight w:val="2870" w:hRule="atLeast"/>
          <w:jc w:val="center"/>
        </w:trPr>
        <w:tc>
          <w:tcPr>
            <w:tcW w:w="4150" w:type="dxa"/>
            <w:noWrap/>
          </w:tcPr>
          <w:p>
            <w:pPr>
              <w:jc w:val="left"/>
              <w:rPr>
                <w:rFonts w:ascii="仿宋_GB2312" w:hAnsi="仿宋_GB2312" w:eastAsia="仿宋_GB2312" w:cs="仿宋_GB2312"/>
                <w:bCs/>
              </w:rPr>
            </w:pPr>
            <w:r>
              <w:rPr>
                <w:rFonts w:ascii="仿宋_GB2312" w:hAnsi="仿宋_GB2312" w:eastAsia="仿宋_GB2312" w:cs="仿宋_GB2312"/>
                <w:bCs/>
              </w:rPr>
              <w:drawing>
                <wp:inline distT="0" distB="0" distL="0" distR="0">
                  <wp:extent cx="2498090" cy="1873885"/>
                  <wp:effectExtent l="19050" t="0" r="0" b="0"/>
                  <wp:docPr id="64" name="图片 63" descr="原砖木结构房已拆重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原砖木结构房已拆重建 (1).JPG"/>
                          <pic:cNvPicPr>
                            <a:picLocks noChangeAspect="1"/>
                          </pic:cNvPicPr>
                        </pic:nvPicPr>
                        <pic:blipFill>
                          <a:blip r:embed="rId41" cstate="print"/>
                          <a:stretch>
                            <a:fillRect/>
                          </a:stretch>
                        </pic:blipFill>
                        <pic:spPr>
                          <a:xfrm>
                            <a:off x="0" y="0"/>
                            <a:ext cx="2498090" cy="1873885"/>
                          </a:xfrm>
                          <a:prstGeom prst="rect">
                            <a:avLst/>
                          </a:prstGeom>
                        </pic:spPr>
                      </pic:pic>
                    </a:graphicData>
                  </a:graphic>
                </wp:inline>
              </w:drawing>
            </w:r>
          </w:p>
        </w:tc>
        <w:tc>
          <w:tcPr>
            <w:tcW w:w="639" w:type="dxa"/>
            <w:noWrap/>
          </w:tcPr>
          <w:p>
            <w:pPr>
              <w:jc w:val="center"/>
              <w:rPr>
                <w:rFonts w:ascii="仿宋_GB2312" w:hAnsi="仿宋_GB2312" w:eastAsia="仿宋_GB2312" w:cs="仿宋_GB2312"/>
                <w:bCs/>
              </w:rPr>
            </w:pPr>
          </w:p>
        </w:tc>
        <w:tc>
          <w:tcPr>
            <w:tcW w:w="4226" w:type="dxa"/>
            <w:noWrap/>
          </w:tcPr>
          <w:p>
            <w:pPr>
              <w:jc w:val="left"/>
              <w:rPr>
                <w:rFonts w:ascii="仿宋_GB2312" w:hAnsi="仿宋_GB2312" w:eastAsia="仿宋_GB2312" w:cs="仿宋_GB2312"/>
                <w:bCs/>
              </w:rPr>
            </w:pPr>
            <w:r>
              <w:rPr>
                <w:rFonts w:ascii="仿宋_GB2312" w:hAnsi="仿宋_GB2312" w:eastAsia="仿宋_GB2312" w:cs="仿宋_GB2312"/>
                <w:bCs/>
              </w:rPr>
              <w:drawing>
                <wp:inline distT="0" distB="0" distL="0" distR="0">
                  <wp:extent cx="2546350" cy="1910080"/>
                  <wp:effectExtent l="19050" t="0" r="6350" b="0"/>
                  <wp:docPr id="65" name="图片 64" descr="原砖木结构房已拆重建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descr="原砖木结构房已拆重建 (5).JPG"/>
                          <pic:cNvPicPr>
                            <a:picLocks noChangeAspect="1"/>
                          </pic:cNvPicPr>
                        </pic:nvPicPr>
                        <pic:blipFill>
                          <a:blip r:embed="rId42"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60" w:hRule="atLeast"/>
          <w:jc w:val="center"/>
        </w:trPr>
        <w:tc>
          <w:tcPr>
            <w:tcW w:w="4150"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估价对象6部分街道号</w:t>
            </w:r>
          </w:p>
        </w:tc>
        <w:tc>
          <w:tcPr>
            <w:tcW w:w="639" w:type="dxa"/>
            <w:noWrap/>
          </w:tcPr>
          <w:p>
            <w:pPr>
              <w:jc w:val="center"/>
              <w:rPr>
                <w:rFonts w:ascii="仿宋_GB2312" w:hAnsi="仿宋_GB2312" w:eastAsia="仿宋_GB2312" w:cs="仿宋_GB2312"/>
                <w:bCs/>
                <w:szCs w:val="21"/>
              </w:rPr>
            </w:pPr>
          </w:p>
        </w:tc>
        <w:tc>
          <w:tcPr>
            <w:tcW w:w="4226"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估价对象6原址现有房屋外观</w:t>
            </w:r>
          </w:p>
        </w:tc>
      </w:tr>
      <w:tr>
        <w:tblPrEx>
          <w:tblLayout w:type="fixed"/>
          <w:tblCellMar>
            <w:top w:w="0" w:type="dxa"/>
            <w:left w:w="108" w:type="dxa"/>
            <w:bottom w:w="0" w:type="dxa"/>
            <w:right w:w="108" w:type="dxa"/>
          </w:tblCellMar>
        </w:tblPrEx>
        <w:trPr>
          <w:trHeight w:val="2787" w:hRule="atLeast"/>
          <w:jc w:val="center"/>
        </w:trPr>
        <w:tc>
          <w:tcPr>
            <w:tcW w:w="4150" w:type="dxa"/>
            <w:noWrap/>
          </w:tcPr>
          <w:p>
            <w:pPr>
              <w:rPr>
                <w:rFonts w:ascii="仿宋_GB2312" w:hAnsi="仿宋_GB2312" w:eastAsia="仿宋_GB2312" w:cs="仿宋_GB2312"/>
                <w:bCs/>
              </w:rPr>
            </w:pPr>
            <w:r>
              <w:rPr>
                <w:rFonts w:ascii="仿宋_GB2312" w:hAnsi="仿宋_GB2312" w:eastAsia="仿宋_GB2312" w:cs="仿宋_GB2312"/>
                <w:bCs/>
              </w:rPr>
              <w:drawing>
                <wp:inline distT="0" distB="0" distL="0" distR="0">
                  <wp:extent cx="2498090" cy="1873885"/>
                  <wp:effectExtent l="19050" t="0" r="0" b="0"/>
                  <wp:docPr id="66" name="图片 65" descr="一层内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5" descr="一层内部.JPG"/>
                          <pic:cNvPicPr>
                            <a:picLocks noChangeAspect="1"/>
                          </pic:cNvPicPr>
                        </pic:nvPicPr>
                        <pic:blipFill>
                          <a:blip r:embed="rId43" cstate="print"/>
                          <a:stretch>
                            <a:fillRect/>
                          </a:stretch>
                        </pic:blipFill>
                        <pic:spPr>
                          <a:xfrm>
                            <a:off x="0" y="0"/>
                            <a:ext cx="2498090" cy="1873885"/>
                          </a:xfrm>
                          <a:prstGeom prst="rect">
                            <a:avLst/>
                          </a:prstGeom>
                        </pic:spPr>
                      </pic:pic>
                    </a:graphicData>
                  </a:graphic>
                </wp:inline>
              </w:drawing>
            </w:r>
          </w:p>
        </w:tc>
        <w:tc>
          <w:tcPr>
            <w:tcW w:w="639" w:type="dxa"/>
            <w:noWrap/>
          </w:tcPr>
          <w:p>
            <w:pPr>
              <w:rPr>
                <w:rFonts w:ascii="仿宋_GB2312" w:hAnsi="仿宋_GB2312" w:eastAsia="仿宋_GB2312" w:cs="仿宋_GB2312"/>
                <w:bCs/>
              </w:rPr>
            </w:pPr>
          </w:p>
        </w:tc>
        <w:tc>
          <w:tcPr>
            <w:tcW w:w="4226" w:type="dxa"/>
            <w:noWrap/>
          </w:tcPr>
          <w:p>
            <w:pPr>
              <w:rPr>
                <w:rFonts w:ascii="仿宋_GB2312" w:hAnsi="仿宋_GB2312" w:eastAsia="仿宋_GB2312" w:cs="仿宋_GB2312"/>
                <w:bCs/>
              </w:rPr>
            </w:pPr>
            <w:r>
              <w:rPr>
                <w:rFonts w:ascii="仿宋_GB2312" w:hAnsi="仿宋_GB2312" w:eastAsia="仿宋_GB2312" w:cs="仿宋_GB2312"/>
                <w:bCs/>
              </w:rPr>
              <w:drawing>
                <wp:inline distT="0" distB="0" distL="0" distR="0">
                  <wp:extent cx="2546350" cy="1910080"/>
                  <wp:effectExtent l="19050" t="0" r="6350" b="0"/>
                  <wp:docPr id="69" name="图片 68" descr="3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3楼.JPG"/>
                          <pic:cNvPicPr>
                            <a:picLocks noChangeAspect="1"/>
                          </pic:cNvPicPr>
                        </pic:nvPicPr>
                        <pic:blipFill>
                          <a:blip r:embed="rId44" cstate="print"/>
                          <a:stretch>
                            <a:fillRect/>
                          </a:stretch>
                        </pic:blipFill>
                        <pic:spPr>
                          <a:xfrm>
                            <a:off x="0" y="0"/>
                            <a:ext cx="2546350" cy="191008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60" w:hRule="atLeast"/>
          <w:jc w:val="center"/>
        </w:trPr>
        <w:tc>
          <w:tcPr>
            <w:tcW w:w="4150"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估价对象2室内状况</w:t>
            </w:r>
          </w:p>
        </w:tc>
        <w:tc>
          <w:tcPr>
            <w:tcW w:w="639" w:type="dxa"/>
            <w:noWrap/>
          </w:tcPr>
          <w:p>
            <w:pPr>
              <w:jc w:val="center"/>
              <w:rPr>
                <w:rFonts w:ascii="仿宋_GB2312" w:hAnsi="仿宋_GB2312" w:eastAsia="仿宋_GB2312" w:cs="仿宋_GB2312"/>
                <w:bCs/>
                <w:szCs w:val="21"/>
              </w:rPr>
            </w:pPr>
          </w:p>
        </w:tc>
        <w:tc>
          <w:tcPr>
            <w:tcW w:w="4226" w:type="dxa"/>
            <w:noWrap/>
          </w:tcPr>
          <w:p>
            <w:pPr>
              <w:ind w:firstLine="840" w:firstLineChars="400"/>
              <w:jc w:val="left"/>
              <w:rPr>
                <w:rFonts w:ascii="仿宋_GB2312" w:hAnsi="仿宋_GB2312" w:eastAsia="仿宋_GB2312" w:cs="仿宋_GB2312"/>
                <w:bCs/>
                <w:szCs w:val="21"/>
              </w:rPr>
            </w:pPr>
            <w:r>
              <w:rPr>
                <w:rFonts w:hint="eastAsia" w:ascii="仿宋_GB2312" w:hAnsi="仿宋_GB2312" w:eastAsia="仿宋_GB2312" w:cs="仿宋_GB2312"/>
                <w:bCs/>
                <w:szCs w:val="21"/>
              </w:rPr>
              <w:t>估价对象3室内状况</w:t>
            </w:r>
          </w:p>
        </w:tc>
      </w:tr>
      <w:tr>
        <w:tblPrEx>
          <w:tblLayout w:type="fixed"/>
          <w:tblCellMar>
            <w:top w:w="0" w:type="dxa"/>
            <w:left w:w="108" w:type="dxa"/>
            <w:bottom w:w="0" w:type="dxa"/>
            <w:right w:w="108" w:type="dxa"/>
          </w:tblCellMar>
        </w:tblPrEx>
        <w:trPr>
          <w:trHeight w:val="2665" w:hRule="exact"/>
          <w:jc w:val="center"/>
        </w:trPr>
        <w:tc>
          <w:tcPr>
            <w:tcW w:w="4150" w:type="dxa"/>
            <w:noWrap/>
          </w:tcPr>
          <w:p>
            <w:pPr>
              <w:jc w:val="left"/>
              <w:rPr>
                <w:rFonts w:ascii="仿宋_GB2312" w:hAnsi="仿宋_GB2312" w:eastAsia="仿宋_GB2312" w:cs="仿宋_GB2312"/>
                <w:bCs/>
                <w:szCs w:val="21"/>
              </w:rPr>
            </w:pPr>
            <w:r>
              <w:rPr>
                <w:rFonts w:ascii="仿宋_GB2312" w:hAnsi="仿宋_GB2312" w:eastAsia="仿宋_GB2312" w:cs="仿宋_GB2312"/>
                <w:bCs/>
                <w:szCs w:val="21"/>
              </w:rPr>
              <w:drawing>
                <wp:inline distT="0" distB="0" distL="0" distR="0">
                  <wp:extent cx="2546350" cy="1910080"/>
                  <wp:effectExtent l="19050" t="0" r="6350" b="0"/>
                  <wp:docPr id="22" name="图片 72" descr="照片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2" descr="照片 053.JPG"/>
                          <pic:cNvPicPr>
                            <a:picLocks noChangeAspect="1"/>
                          </pic:cNvPicPr>
                        </pic:nvPicPr>
                        <pic:blipFill>
                          <a:blip r:embed="rId45" cstate="print"/>
                          <a:stretch>
                            <a:fillRect/>
                          </a:stretch>
                        </pic:blipFill>
                        <pic:spPr>
                          <a:xfrm>
                            <a:off x="0" y="0"/>
                            <a:ext cx="2546350" cy="1910080"/>
                          </a:xfrm>
                          <a:prstGeom prst="rect">
                            <a:avLst/>
                          </a:prstGeom>
                        </pic:spPr>
                      </pic:pic>
                    </a:graphicData>
                  </a:graphic>
                </wp:inline>
              </w:drawing>
            </w:r>
          </w:p>
        </w:tc>
        <w:tc>
          <w:tcPr>
            <w:tcW w:w="639" w:type="dxa"/>
            <w:noWrap/>
          </w:tcPr>
          <w:p>
            <w:pPr>
              <w:jc w:val="center"/>
              <w:rPr>
                <w:rFonts w:ascii="仿宋_GB2312" w:hAnsi="仿宋_GB2312" w:eastAsia="仿宋_GB2312" w:cs="仿宋_GB2312"/>
                <w:bCs/>
                <w:szCs w:val="21"/>
              </w:rPr>
            </w:pPr>
          </w:p>
        </w:tc>
        <w:tc>
          <w:tcPr>
            <w:tcW w:w="4226" w:type="dxa"/>
            <w:noWrap/>
          </w:tcPr>
          <w:p>
            <w:pPr>
              <w:jc w:val="left"/>
              <w:rPr>
                <w:rFonts w:ascii="仿宋_GB2312" w:hAnsi="仿宋_GB2312" w:eastAsia="仿宋_GB2312" w:cs="仿宋_GB2312"/>
                <w:bCs/>
                <w:szCs w:val="21"/>
              </w:rPr>
            </w:pPr>
            <w:r>
              <w:rPr>
                <w:rFonts w:ascii="仿宋_GB2312" w:hAnsi="仿宋_GB2312" w:eastAsia="仿宋_GB2312" w:cs="仿宋_GB2312"/>
                <w:bCs/>
                <w:szCs w:val="21"/>
              </w:rPr>
              <w:drawing>
                <wp:inline distT="0" distB="0" distL="0" distR="0">
                  <wp:extent cx="2498090" cy="1873885"/>
                  <wp:effectExtent l="19050" t="0" r="0" b="0"/>
                  <wp:docPr id="21" name="图片 71" descr="4楼住宅及楼顶平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1" descr="4楼住宅及楼顶平台 (5).JPG"/>
                          <pic:cNvPicPr>
                            <a:picLocks noChangeAspect="1"/>
                          </pic:cNvPicPr>
                        </pic:nvPicPr>
                        <pic:blipFill>
                          <a:blip r:embed="rId46" cstate="print"/>
                          <a:stretch>
                            <a:fillRect/>
                          </a:stretch>
                        </pic:blipFill>
                        <pic:spPr>
                          <a:xfrm>
                            <a:off x="0" y="0"/>
                            <a:ext cx="2498090" cy="187388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224" w:hRule="atLeast"/>
          <w:jc w:val="center"/>
        </w:trPr>
        <w:tc>
          <w:tcPr>
            <w:tcW w:w="4150"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估价对象4室内状况</w:t>
            </w:r>
          </w:p>
        </w:tc>
        <w:tc>
          <w:tcPr>
            <w:tcW w:w="639" w:type="dxa"/>
            <w:noWrap/>
          </w:tcPr>
          <w:p>
            <w:pPr>
              <w:jc w:val="center"/>
              <w:rPr>
                <w:rFonts w:ascii="仿宋_GB2312" w:hAnsi="仿宋_GB2312" w:eastAsia="仿宋_GB2312" w:cs="仿宋_GB2312"/>
                <w:bCs/>
                <w:szCs w:val="21"/>
              </w:rPr>
            </w:pPr>
          </w:p>
        </w:tc>
        <w:tc>
          <w:tcPr>
            <w:tcW w:w="4226" w:type="dxa"/>
            <w:noWrap/>
          </w:tcPr>
          <w:p>
            <w:pPr>
              <w:jc w:val="center"/>
              <w:rPr>
                <w:rFonts w:ascii="仿宋_GB2312" w:hAnsi="仿宋_GB2312" w:eastAsia="仿宋_GB2312" w:cs="仿宋_GB2312"/>
                <w:bCs/>
                <w:szCs w:val="21"/>
              </w:rPr>
            </w:pPr>
            <w:r>
              <w:rPr>
                <w:rFonts w:hint="eastAsia" w:ascii="仿宋_GB2312" w:hAnsi="仿宋_GB2312" w:eastAsia="仿宋_GB2312" w:cs="仿宋_GB2312"/>
                <w:bCs/>
                <w:szCs w:val="21"/>
              </w:rPr>
              <w:t>估价对象5室内状况</w:t>
            </w:r>
          </w:p>
        </w:tc>
      </w:tr>
    </w:tbl>
    <w:p>
      <w:pPr>
        <w:ind w:firstLine="480" w:firstLineChars="200"/>
        <w:jc w:val="right"/>
        <w:rPr>
          <w:rFonts w:ascii="仿宋_GB2312" w:hAnsi="仿宋_GB2312" w:eastAsia="仿宋_GB2312" w:cs="仿宋_GB2312"/>
          <w:sz w:val="24"/>
          <w:szCs w:val="24"/>
        </w:rPr>
      </w:pPr>
      <w:r>
        <w:rPr>
          <w:rFonts w:hint="eastAsia" w:ascii="仿宋_GB2312" w:hAnsi="仿宋_GB2312" w:eastAsia="仿宋_GB2312" w:cs="仿宋_GB2312"/>
          <w:sz w:val="24"/>
          <w:szCs w:val="24"/>
        </w:rPr>
        <w:t>拍摄日期:2019年11月8日</w:t>
      </w:r>
    </w:p>
    <w:p>
      <w:pPr>
        <w:pStyle w:val="4"/>
        <w:jc w:val="left"/>
        <w:rPr>
          <w:rFonts w:cs="宋体"/>
          <w:b w:val="0"/>
          <w:sz w:val="28"/>
          <w:szCs w:val="28"/>
        </w:rPr>
      </w:pPr>
      <w:r>
        <w:rPr>
          <w:rFonts w:hint="eastAsia" w:cs="宋体"/>
          <w:b w:val="0"/>
          <w:sz w:val="28"/>
          <w:szCs w:val="28"/>
        </w:rPr>
        <w:t>6、没有专业帮助且未依据相关专业意见的说明</w:t>
      </w:r>
    </w:p>
    <w:p>
      <w:pPr>
        <w:spacing w:beforeLines="100" w:afterLines="100"/>
        <w:jc w:val="center"/>
        <w:rPr>
          <w:rFonts w:ascii="宋体" w:hAnsi="宋体"/>
          <w:snapToGrid w:val="0"/>
          <w:sz w:val="36"/>
          <w:szCs w:val="36"/>
        </w:rPr>
      </w:pPr>
      <w:r>
        <w:rPr>
          <w:rFonts w:hint="eastAsia" w:ascii="宋体" w:hAnsi="宋体"/>
          <w:snapToGrid w:val="0"/>
          <w:sz w:val="36"/>
          <w:szCs w:val="36"/>
        </w:rPr>
        <w:t>没有专业帮助且未依据相关专业意见的说明</w:t>
      </w:r>
    </w:p>
    <w:p>
      <w:pPr>
        <w:spacing w:afterLines="50" w:line="360" w:lineRule="auto"/>
        <w:ind w:firstLine="578"/>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受眉山市彭山区人民法院的估价委托，本公司根据房地产估价的有关规定，遵循“</w:t>
      </w:r>
      <w:r>
        <w:rPr>
          <w:rFonts w:cs="宋体" w:asciiTheme="minorEastAsia" w:hAnsiTheme="minorEastAsia" w:eastAsiaTheme="minorEastAsia"/>
          <w:sz w:val="28"/>
          <w:szCs w:val="28"/>
          <w:lang w:val="zh-CN"/>
        </w:rPr>
        <w:t>独立、客观、公正</w:t>
      </w:r>
      <w:r>
        <w:rPr>
          <w:rFonts w:hint="eastAsia" w:cs="宋体" w:asciiTheme="minorEastAsia" w:hAnsiTheme="minorEastAsia" w:eastAsiaTheme="minorEastAsia"/>
          <w:sz w:val="28"/>
          <w:szCs w:val="28"/>
          <w:lang w:val="zh-CN"/>
        </w:rPr>
        <w:t>”</w:t>
      </w:r>
      <w:r>
        <w:rPr>
          <w:rFonts w:cs="宋体" w:asciiTheme="minorEastAsia" w:hAnsiTheme="minorEastAsia" w:eastAsiaTheme="minorEastAsia"/>
          <w:sz w:val="28"/>
          <w:szCs w:val="28"/>
          <w:lang w:val="zh-CN"/>
        </w:rPr>
        <w:t>的</w:t>
      </w:r>
      <w:r>
        <w:rPr>
          <w:rFonts w:hint="eastAsia" w:cs="宋体" w:asciiTheme="minorEastAsia" w:hAnsiTheme="minorEastAsia" w:eastAsiaTheme="minorEastAsia"/>
          <w:sz w:val="28"/>
          <w:szCs w:val="28"/>
          <w:lang w:val="zh-CN"/>
        </w:rPr>
        <w:t>房地产估价</w:t>
      </w:r>
      <w:r>
        <w:rPr>
          <w:rFonts w:cs="宋体" w:asciiTheme="minorEastAsia" w:hAnsiTheme="minorEastAsia" w:eastAsiaTheme="minorEastAsia"/>
          <w:sz w:val="28"/>
          <w:szCs w:val="28"/>
          <w:lang w:val="zh-CN"/>
        </w:rPr>
        <w:t>原则</w:t>
      </w:r>
      <w:r>
        <w:rPr>
          <w:rFonts w:hint="eastAsia" w:cs="宋体" w:asciiTheme="minorEastAsia" w:hAnsiTheme="minorEastAsia" w:eastAsiaTheme="minorEastAsia"/>
          <w:sz w:val="28"/>
          <w:szCs w:val="28"/>
          <w:lang w:val="zh-CN"/>
        </w:rPr>
        <w:t>，以“为人民法院确定财产处置参考价提供参考依据”为估价目的，对付学芳、黄光兴共同共有的位于：</w:t>
      </w:r>
    </w:p>
    <w:p>
      <w:pPr>
        <w:spacing w:afterLines="50" w:line="360" w:lineRule="auto"/>
        <w:ind w:firstLine="578"/>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（1）眉山市彭山区青龙镇望江路42号1-2层建筑面积191.02㎡的商业、住宅用房及其所占用的117.00㎡国有划拨商业、住宅用地使用权，包括属于该房屋配套且不可移动和分割的设施设备、装修装饰价值。</w:t>
      </w:r>
    </w:p>
    <w:p>
      <w:pPr>
        <w:spacing w:afterLines="50" w:line="360" w:lineRule="auto"/>
        <w:ind w:firstLine="578"/>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2）青龙镇下马路11、13号1层建筑面积222.25㎡、2层建筑面积270.07㎡、3层建筑面积270.07㎡的商业用房，4层建筑面积77.19㎡的住宅用房，青龙镇下马路180号1层建筑面积332.13㎡的其他用房（现场查勘未见该建筑物）及上述房屋所占用的637.04㎡国有出让城镇混合住宅用地使用权，包括属于该房屋配套且不可移动和分割的设施设备、装修装饰价值。</w:t>
      </w:r>
    </w:p>
    <w:p>
      <w:pPr>
        <w:spacing w:afterLines="50" w:line="360" w:lineRule="auto"/>
        <w:ind w:firstLine="578"/>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进行了估价，并形成估价报告，经公司审核通过，出具房地产估价报告。</w:t>
      </w:r>
    </w:p>
    <w:p>
      <w:pPr>
        <w:spacing w:afterLines="50" w:line="360" w:lineRule="auto"/>
        <w:ind w:firstLine="578"/>
        <w:rPr>
          <w:rFonts w:cs="宋体" w:asciiTheme="minorEastAsia" w:hAnsiTheme="minorEastAsia" w:eastAsiaTheme="minorEastAsia"/>
          <w:sz w:val="28"/>
          <w:szCs w:val="28"/>
          <w:lang w:val="zh-CN"/>
        </w:rPr>
      </w:pPr>
      <w:r>
        <w:rPr>
          <w:rFonts w:hint="eastAsia" w:cs="宋体" w:asciiTheme="minorEastAsia" w:hAnsiTheme="minorEastAsia" w:eastAsiaTheme="minorEastAsia"/>
          <w:sz w:val="28"/>
          <w:szCs w:val="28"/>
          <w:lang w:val="zh-CN"/>
        </w:rPr>
        <w:t>从本次估价工作的全局看，评估过程各环节均由我公司专业人员完成，没有从外部获得专业帮助的情况，亦未从任何专业机构或专家处获得相关专业意见。</w:t>
      </w:r>
    </w:p>
    <w:p>
      <w:pPr>
        <w:spacing w:afterLines="50" w:line="360" w:lineRule="auto"/>
        <w:ind w:firstLine="578"/>
        <w:rPr>
          <w:rFonts w:cs="宋体" w:asciiTheme="minorEastAsia" w:hAnsiTheme="minorEastAsia" w:eastAsiaTheme="minorEastAsia"/>
          <w:sz w:val="28"/>
          <w:szCs w:val="28"/>
          <w:lang w:val="zh-CN"/>
        </w:rPr>
      </w:pPr>
    </w:p>
    <w:p>
      <w:pPr>
        <w:spacing w:afterLines="50" w:line="360" w:lineRule="auto"/>
        <w:ind w:firstLine="578"/>
        <w:jc w:val="right"/>
        <w:rPr>
          <w:rFonts w:cs="宋体"/>
          <w:sz w:val="28"/>
          <w:szCs w:val="28"/>
        </w:rPr>
      </w:pPr>
      <w:r>
        <w:rPr>
          <w:rFonts w:hint="eastAsia" w:cs="宋体"/>
          <w:sz w:val="28"/>
          <w:szCs w:val="28"/>
        </w:rPr>
        <w:t>山东贵恒信房地产土地评估经纪有限公司</w:t>
      </w:r>
    </w:p>
    <w:p>
      <w:pPr>
        <w:spacing w:afterLines="50" w:line="360" w:lineRule="auto"/>
        <w:ind w:firstLine="578"/>
        <w:jc w:val="right"/>
        <w:rPr>
          <w:rFonts w:cs="宋体"/>
          <w:sz w:val="28"/>
          <w:szCs w:val="28"/>
        </w:rPr>
      </w:pPr>
      <w:r>
        <w:rPr>
          <w:rFonts w:hint="eastAsia" w:cs="宋体"/>
          <w:sz w:val="28"/>
          <w:szCs w:val="28"/>
        </w:rPr>
        <w:t>2020年4月2日</w:t>
      </w:r>
    </w:p>
    <w:p>
      <w:pPr>
        <w:widowControl/>
        <w:jc w:val="left"/>
        <w:rPr>
          <w:rFonts w:ascii="宋体" w:hAnsi="宋体"/>
          <w:sz w:val="24"/>
          <w:szCs w:val="24"/>
        </w:rPr>
      </w:pPr>
      <w:r>
        <w:rPr>
          <w:rFonts w:ascii="宋体" w:hAnsi="宋体"/>
          <w:sz w:val="24"/>
          <w:szCs w:val="24"/>
        </w:rPr>
        <w:br w:type="page"/>
      </w:r>
    </w:p>
    <w:p>
      <w:pPr>
        <w:pStyle w:val="4"/>
        <w:rPr>
          <w:rFonts w:cs="宋体"/>
          <w:b w:val="0"/>
          <w:sz w:val="28"/>
          <w:szCs w:val="28"/>
        </w:rPr>
      </w:pPr>
      <w:bookmarkStart w:id="78" w:name="_Toc514672867"/>
      <w:r>
        <w:rPr>
          <w:rFonts w:hint="eastAsia" w:cs="宋体"/>
          <w:b w:val="0"/>
          <w:sz w:val="28"/>
          <w:szCs w:val="28"/>
        </w:rPr>
        <w:t>7、可比案例位置图及外观照片</w:t>
      </w:r>
    </w:p>
    <w:p>
      <w:pPr>
        <w:jc w:val="left"/>
        <w:outlineLvl w:val="2"/>
        <w:rPr>
          <w:rFonts w:ascii="宋体" w:hAnsi="宋体"/>
          <w:sz w:val="28"/>
        </w:rPr>
      </w:pPr>
      <w:bookmarkStart w:id="79" w:name="_GoBack"/>
      <w:r>
        <w:rPr>
          <w:rFonts w:ascii="宋体" w:hAnsi="宋体"/>
          <w:sz w:val="28"/>
        </w:rPr>
        <w:drawing>
          <wp:inline distT="0" distB="0" distL="0" distR="0">
            <wp:extent cx="5848350" cy="2609850"/>
            <wp:effectExtent l="19050" t="0" r="0"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47" cstate="print"/>
                    <a:srcRect/>
                    <a:stretch>
                      <a:fillRect/>
                    </a:stretch>
                  </pic:blipFill>
                  <pic:spPr>
                    <a:xfrm>
                      <a:off x="0" y="0"/>
                      <a:ext cx="5858188" cy="2614240"/>
                    </a:xfrm>
                    <a:prstGeom prst="rect">
                      <a:avLst/>
                    </a:prstGeom>
                    <a:noFill/>
                    <a:ln w="9525">
                      <a:noFill/>
                      <a:miter lim="800000"/>
                      <a:headEnd/>
                      <a:tailEnd/>
                    </a:ln>
                  </pic:spPr>
                </pic:pic>
              </a:graphicData>
            </a:graphic>
          </wp:inline>
        </w:drawing>
      </w:r>
      <w:bookmarkEnd w:id="79"/>
    </w:p>
    <w:p>
      <w:pPr>
        <w:jc w:val="left"/>
        <w:outlineLvl w:val="2"/>
        <w:rPr>
          <w:rFonts w:ascii="宋体" w:hAnsi="宋体"/>
          <w:sz w:val="28"/>
        </w:rPr>
      </w:pPr>
    </w:p>
    <w:tbl>
      <w:tblPr>
        <w:tblStyle w:val="38"/>
        <w:tblW w:w="9214" w:type="dxa"/>
        <w:tblInd w:w="108" w:type="dxa"/>
        <w:tblLayout w:type="fixed"/>
        <w:tblCellMar>
          <w:top w:w="0" w:type="dxa"/>
          <w:left w:w="108" w:type="dxa"/>
          <w:bottom w:w="0" w:type="dxa"/>
          <w:right w:w="108" w:type="dxa"/>
        </w:tblCellMar>
      </w:tblPr>
      <w:tblGrid>
        <w:gridCol w:w="2999"/>
        <w:gridCol w:w="3107"/>
        <w:gridCol w:w="3108"/>
      </w:tblGrid>
      <w:tr>
        <w:tblPrEx>
          <w:tblLayout w:type="fixed"/>
          <w:tblCellMar>
            <w:top w:w="0" w:type="dxa"/>
            <w:left w:w="108" w:type="dxa"/>
            <w:bottom w:w="0" w:type="dxa"/>
            <w:right w:w="108" w:type="dxa"/>
          </w:tblCellMar>
        </w:tblPrEx>
        <w:trPr>
          <w:trHeight w:val="2158" w:hRule="atLeast"/>
        </w:trPr>
        <w:tc>
          <w:tcPr>
            <w:tcW w:w="2999" w:type="dxa"/>
          </w:tcPr>
          <w:p>
            <w:pPr>
              <w:outlineLvl w:val="2"/>
              <w:rPr>
                <w:rFonts w:cs="宋体"/>
                <w:sz w:val="28"/>
                <w:szCs w:val="28"/>
              </w:rPr>
            </w:pPr>
            <w:r>
              <w:rPr>
                <w:rFonts w:cs="宋体"/>
                <w:sz w:val="28"/>
                <w:szCs w:val="28"/>
              </w:rPr>
              <w:drawing>
                <wp:inline distT="0" distB="0" distL="0" distR="0">
                  <wp:extent cx="1767205" cy="1325245"/>
                  <wp:effectExtent l="19050" t="0" r="4445" b="0"/>
                  <wp:docPr id="2" name="图片 1" descr="IMG_20191210_10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0191210_102030.jpg"/>
                          <pic:cNvPicPr>
                            <a:picLocks noChangeAspect="1"/>
                          </pic:cNvPicPr>
                        </pic:nvPicPr>
                        <pic:blipFill>
                          <a:blip r:embed="rId48" cstate="print"/>
                          <a:stretch>
                            <a:fillRect/>
                          </a:stretch>
                        </pic:blipFill>
                        <pic:spPr>
                          <a:xfrm>
                            <a:off x="0" y="0"/>
                            <a:ext cx="1767205" cy="1325245"/>
                          </a:xfrm>
                          <a:prstGeom prst="rect">
                            <a:avLst/>
                          </a:prstGeom>
                        </pic:spPr>
                      </pic:pic>
                    </a:graphicData>
                  </a:graphic>
                </wp:inline>
              </w:drawing>
            </w:r>
          </w:p>
        </w:tc>
        <w:tc>
          <w:tcPr>
            <w:tcW w:w="3107" w:type="dxa"/>
          </w:tcPr>
          <w:p>
            <w:pPr>
              <w:outlineLvl w:val="2"/>
              <w:rPr>
                <w:rFonts w:cs="宋体"/>
                <w:sz w:val="28"/>
                <w:szCs w:val="28"/>
              </w:rPr>
            </w:pPr>
            <w:r>
              <w:rPr>
                <w:rFonts w:cs="宋体"/>
                <w:sz w:val="28"/>
                <w:szCs w:val="28"/>
              </w:rPr>
              <w:drawing>
                <wp:inline distT="0" distB="0" distL="0" distR="0">
                  <wp:extent cx="1835785" cy="1376680"/>
                  <wp:effectExtent l="19050" t="0" r="0" b="0"/>
                  <wp:docPr id="5" name="图片 4" descr="IMG_20191210_10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0191210_104707.jpg"/>
                          <pic:cNvPicPr>
                            <a:picLocks noChangeAspect="1"/>
                          </pic:cNvPicPr>
                        </pic:nvPicPr>
                        <pic:blipFill>
                          <a:blip r:embed="rId49" cstate="print"/>
                          <a:stretch>
                            <a:fillRect/>
                          </a:stretch>
                        </pic:blipFill>
                        <pic:spPr>
                          <a:xfrm>
                            <a:off x="0" y="0"/>
                            <a:ext cx="1835785" cy="1376680"/>
                          </a:xfrm>
                          <a:prstGeom prst="rect">
                            <a:avLst/>
                          </a:prstGeom>
                        </pic:spPr>
                      </pic:pic>
                    </a:graphicData>
                  </a:graphic>
                </wp:inline>
              </w:drawing>
            </w:r>
          </w:p>
        </w:tc>
        <w:tc>
          <w:tcPr>
            <w:tcW w:w="3108" w:type="dxa"/>
          </w:tcPr>
          <w:p>
            <w:pPr>
              <w:jc w:val="left"/>
              <w:outlineLvl w:val="2"/>
              <w:rPr>
                <w:rFonts w:cs="宋体"/>
                <w:sz w:val="28"/>
                <w:szCs w:val="28"/>
              </w:rPr>
            </w:pPr>
            <w:r>
              <w:rPr>
                <w:rFonts w:cs="宋体"/>
                <w:sz w:val="28"/>
                <w:szCs w:val="28"/>
              </w:rPr>
              <w:drawing>
                <wp:inline distT="0" distB="0" distL="0" distR="0">
                  <wp:extent cx="1836420" cy="1377315"/>
                  <wp:effectExtent l="19050" t="0" r="0" b="0"/>
                  <wp:docPr id="7" name="图片 6" descr="IMG_20191210_105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0191210_105502.jpg"/>
                          <pic:cNvPicPr>
                            <a:picLocks noChangeAspect="1"/>
                          </pic:cNvPicPr>
                        </pic:nvPicPr>
                        <pic:blipFill>
                          <a:blip r:embed="rId50" cstate="print"/>
                          <a:stretch>
                            <a:fillRect/>
                          </a:stretch>
                        </pic:blipFill>
                        <pic:spPr>
                          <a:xfrm>
                            <a:off x="0" y="0"/>
                            <a:ext cx="1836420" cy="1377315"/>
                          </a:xfrm>
                          <a:prstGeom prst="rect">
                            <a:avLst/>
                          </a:prstGeom>
                        </pic:spPr>
                      </pic:pic>
                    </a:graphicData>
                  </a:graphic>
                </wp:inline>
              </w:drawing>
            </w:r>
          </w:p>
        </w:tc>
      </w:tr>
      <w:tr>
        <w:tblPrEx>
          <w:tblLayout w:type="fixed"/>
          <w:tblCellMar>
            <w:top w:w="0" w:type="dxa"/>
            <w:left w:w="108" w:type="dxa"/>
            <w:bottom w:w="0" w:type="dxa"/>
            <w:right w:w="108" w:type="dxa"/>
          </w:tblCellMar>
        </w:tblPrEx>
        <w:tc>
          <w:tcPr>
            <w:tcW w:w="2999" w:type="dxa"/>
          </w:tcPr>
          <w:p>
            <w:pPr>
              <w:jc w:val="center"/>
              <w:rPr>
                <w:rFonts w:cs="宋体"/>
              </w:rPr>
            </w:pPr>
            <w:r>
              <w:rPr>
                <w:rFonts w:hint="eastAsia" w:cs="宋体"/>
              </w:rPr>
              <w:t>部分商业用房租金案例</w:t>
            </w:r>
          </w:p>
        </w:tc>
        <w:tc>
          <w:tcPr>
            <w:tcW w:w="3107" w:type="dxa"/>
          </w:tcPr>
          <w:p>
            <w:pPr>
              <w:jc w:val="center"/>
              <w:rPr>
                <w:rFonts w:cs="宋体"/>
              </w:rPr>
            </w:pPr>
            <w:r>
              <w:rPr>
                <w:rFonts w:hint="eastAsia" w:cs="宋体"/>
              </w:rPr>
              <w:t>部分商业用房租金案例</w:t>
            </w:r>
          </w:p>
        </w:tc>
        <w:tc>
          <w:tcPr>
            <w:tcW w:w="3108" w:type="dxa"/>
          </w:tcPr>
          <w:p>
            <w:pPr>
              <w:ind w:firstLine="630" w:firstLineChars="300"/>
              <w:rPr>
                <w:rFonts w:cs="宋体"/>
              </w:rPr>
            </w:pPr>
            <w:r>
              <w:rPr>
                <w:rFonts w:hint="eastAsia" w:cs="宋体"/>
              </w:rPr>
              <w:t>部分商业用房租金案例</w:t>
            </w:r>
          </w:p>
        </w:tc>
      </w:tr>
      <w:tr>
        <w:tblPrEx>
          <w:tblLayout w:type="fixed"/>
          <w:tblCellMar>
            <w:top w:w="0" w:type="dxa"/>
            <w:left w:w="108" w:type="dxa"/>
            <w:bottom w:w="0" w:type="dxa"/>
            <w:right w:w="108" w:type="dxa"/>
          </w:tblCellMar>
        </w:tblPrEx>
        <w:tc>
          <w:tcPr>
            <w:tcW w:w="2999" w:type="dxa"/>
          </w:tcPr>
          <w:p>
            <w:pPr>
              <w:jc w:val="center"/>
              <w:rPr>
                <w:rFonts w:cs="宋体"/>
              </w:rPr>
            </w:pPr>
          </w:p>
        </w:tc>
        <w:tc>
          <w:tcPr>
            <w:tcW w:w="3107" w:type="dxa"/>
          </w:tcPr>
          <w:p>
            <w:pPr>
              <w:jc w:val="center"/>
              <w:rPr>
                <w:rFonts w:cs="宋体"/>
              </w:rPr>
            </w:pPr>
          </w:p>
        </w:tc>
        <w:tc>
          <w:tcPr>
            <w:tcW w:w="3108" w:type="dxa"/>
          </w:tcPr>
          <w:p>
            <w:pPr>
              <w:jc w:val="center"/>
              <w:rPr>
                <w:rFonts w:cs="宋体"/>
              </w:rPr>
            </w:pPr>
          </w:p>
        </w:tc>
      </w:tr>
      <w:tr>
        <w:tblPrEx>
          <w:tblLayout w:type="fixed"/>
          <w:tblCellMar>
            <w:top w:w="0" w:type="dxa"/>
            <w:left w:w="108" w:type="dxa"/>
            <w:bottom w:w="0" w:type="dxa"/>
            <w:right w:w="108" w:type="dxa"/>
          </w:tblCellMar>
        </w:tblPrEx>
        <w:tc>
          <w:tcPr>
            <w:tcW w:w="2999" w:type="dxa"/>
          </w:tcPr>
          <w:p>
            <w:pPr>
              <w:jc w:val="center"/>
              <w:rPr>
                <w:rFonts w:cs="宋体"/>
              </w:rPr>
            </w:pPr>
            <w:r>
              <w:rPr>
                <w:rFonts w:cs="宋体"/>
              </w:rPr>
              <w:drawing>
                <wp:inline distT="0" distB="0" distL="0" distR="0">
                  <wp:extent cx="1767205" cy="1325245"/>
                  <wp:effectExtent l="19050" t="0" r="4445" b="0"/>
                  <wp:docPr id="8" name="图片 7" descr="IMG_20191210_1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0191210_101006.jpg"/>
                          <pic:cNvPicPr>
                            <a:picLocks noChangeAspect="1"/>
                          </pic:cNvPicPr>
                        </pic:nvPicPr>
                        <pic:blipFill>
                          <a:blip r:embed="rId51" cstate="print"/>
                          <a:stretch>
                            <a:fillRect/>
                          </a:stretch>
                        </pic:blipFill>
                        <pic:spPr>
                          <a:xfrm>
                            <a:off x="0" y="0"/>
                            <a:ext cx="1767205" cy="1325245"/>
                          </a:xfrm>
                          <a:prstGeom prst="rect">
                            <a:avLst/>
                          </a:prstGeom>
                        </pic:spPr>
                      </pic:pic>
                    </a:graphicData>
                  </a:graphic>
                </wp:inline>
              </w:drawing>
            </w:r>
          </w:p>
        </w:tc>
        <w:tc>
          <w:tcPr>
            <w:tcW w:w="3107" w:type="dxa"/>
          </w:tcPr>
          <w:p>
            <w:pPr>
              <w:jc w:val="center"/>
              <w:rPr>
                <w:rFonts w:cs="宋体"/>
              </w:rPr>
            </w:pPr>
            <w:r>
              <w:rPr>
                <w:rFonts w:cs="宋体"/>
              </w:rPr>
              <w:drawing>
                <wp:inline distT="0" distB="0" distL="0" distR="0">
                  <wp:extent cx="1835785" cy="1376680"/>
                  <wp:effectExtent l="19050" t="0" r="0" b="0"/>
                  <wp:docPr id="9" name="图片 8" descr="IMG_20191210_1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0191210_101004.jpg"/>
                          <pic:cNvPicPr>
                            <a:picLocks noChangeAspect="1"/>
                          </pic:cNvPicPr>
                        </pic:nvPicPr>
                        <pic:blipFill>
                          <a:blip r:embed="rId52" cstate="print"/>
                          <a:stretch>
                            <a:fillRect/>
                          </a:stretch>
                        </pic:blipFill>
                        <pic:spPr>
                          <a:xfrm>
                            <a:off x="0" y="0"/>
                            <a:ext cx="1835785" cy="1376680"/>
                          </a:xfrm>
                          <a:prstGeom prst="rect">
                            <a:avLst/>
                          </a:prstGeom>
                        </pic:spPr>
                      </pic:pic>
                    </a:graphicData>
                  </a:graphic>
                </wp:inline>
              </w:drawing>
            </w:r>
          </w:p>
        </w:tc>
        <w:tc>
          <w:tcPr>
            <w:tcW w:w="3108" w:type="dxa"/>
          </w:tcPr>
          <w:p>
            <w:pPr>
              <w:jc w:val="center"/>
              <w:rPr>
                <w:rFonts w:cs="宋体"/>
              </w:rPr>
            </w:pPr>
            <w:r>
              <w:rPr>
                <w:rFonts w:cs="宋体"/>
              </w:rPr>
              <w:drawing>
                <wp:inline distT="0" distB="0" distL="0" distR="0">
                  <wp:extent cx="1836420" cy="1377315"/>
                  <wp:effectExtent l="19050" t="0" r="0" b="0"/>
                  <wp:docPr id="11" name="图片 10" descr="IMG_20191210_10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IMG_20191210_104718.jpg"/>
                          <pic:cNvPicPr>
                            <a:picLocks noChangeAspect="1"/>
                          </pic:cNvPicPr>
                        </pic:nvPicPr>
                        <pic:blipFill>
                          <a:blip r:embed="rId53" cstate="print"/>
                          <a:stretch>
                            <a:fillRect/>
                          </a:stretch>
                        </pic:blipFill>
                        <pic:spPr>
                          <a:xfrm>
                            <a:off x="0" y="0"/>
                            <a:ext cx="1836420" cy="1377315"/>
                          </a:xfrm>
                          <a:prstGeom prst="rect">
                            <a:avLst/>
                          </a:prstGeom>
                        </pic:spPr>
                      </pic:pic>
                    </a:graphicData>
                  </a:graphic>
                </wp:inline>
              </w:drawing>
            </w:r>
          </w:p>
        </w:tc>
      </w:tr>
      <w:tr>
        <w:tblPrEx>
          <w:tblLayout w:type="fixed"/>
          <w:tblCellMar>
            <w:top w:w="0" w:type="dxa"/>
            <w:left w:w="108" w:type="dxa"/>
            <w:bottom w:w="0" w:type="dxa"/>
            <w:right w:w="108" w:type="dxa"/>
          </w:tblCellMar>
        </w:tblPrEx>
        <w:tc>
          <w:tcPr>
            <w:tcW w:w="2999" w:type="dxa"/>
          </w:tcPr>
          <w:p>
            <w:pPr>
              <w:jc w:val="center"/>
              <w:rPr>
                <w:rFonts w:cs="宋体"/>
              </w:rPr>
            </w:pPr>
            <w:r>
              <w:rPr>
                <w:rFonts w:hint="eastAsia" w:cs="宋体"/>
              </w:rPr>
              <w:t>部分住宅用房可比实例</w:t>
            </w:r>
          </w:p>
        </w:tc>
        <w:tc>
          <w:tcPr>
            <w:tcW w:w="3107" w:type="dxa"/>
          </w:tcPr>
          <w:p>
            <w:pPr>
              <w:jc w:val="center"/>
              <w:rPr>
                <w:rFonts w:cs="宋体"/>
              </w:rPr>
            </w:pPr>
            <w:r>
              <w:rPr>
                <w:rFonts w:hint="eastAsia" w:cs="宋体"/>
              </w:rPr>
              <w:t>部分住宅用房可比实例</w:t>
            </w:r>
          </w:p>
        </w:tc>
        <w:tc>
          <w:tcPr>
            <w:tcW w:w="3108" w:type="dxa"/>
          </w:tcPr>
          <w:p>
            <w:pPr>
              <w:jc w:val="center"/>
              <w:rPr>
                <w:rFonts w:cs="宋体"/>
              </w:rPr>
            </w:pPr>
            <w:r>
              <w:rPr>
                <w:rFonts w:hint="eastAsia" w:cs="宋体"/>
              </w:rPr>
              <w:t>部分住宅用房可比实例</w:t>
            </w:r>
          </w:p>
        </w:tc>
      </w:tr>
      <w:tr>
        <w:tblPrEx>
          <w:tblLayout w:type="fixed"/>
          <w:tblCellMar>
            <w:top w:w="0" w:type="dxa"/>
            <w:left w:w="108" w:type="dxa"/>
            <w:bottom w:w="0" w:type="dxa"/>
            <w:right w:w="108" w:type="dxa"/>
          </w:tblCellMar>
        </w:tblPrEx>
        <w:tc>
          <w:tcPr>
            <w:tcW w:w="2999" w:type="dxa"/>
          </w:tcPr>
          <w:p>
            <w:pPr>
              <w:jc w:val="center"/>
              <w:rPr>
                <w:rFonts w:cs="宋体"/>
              </w:rPr>
            </w:pPr>
          </w:p>
        </w:tc>
        <w:tc>
          <w:tcPr>
            <w:tcW w:w="3107" w:type="dxa"/>
          </w:tcPr>
          <w:p>
            <w:pPr>
              <w:jc w:val="center"/>
              <w:rPr>
                <w:rFonts w:cs="宋体"/>
              </w:rPr>
            </w:pPr>
          </w:p>
        </w:tc>
        <w:tc>
          <w:tcPr>
            <w:tcW w:w="3108" w:type="dxa"/>
          </w:tcPr>
          <w:p>
            <w:pPr>
              <w:jc w:val="center"/>
              <w:rPr>
                <w:rFonts w:cs="宋体"/>
              </w:rPr>
            </w:pPr>
          </w:p>
        </w:tc>
      </w:tr>
    </w:tbl>
    <w:p>
      <w:pPr>
        <w:ind w:firstLine="2800" w:firstLineChars="1000"/>
        <w:outlineLvl w:val="2"/>
        <w:rPr>
          <w:rFonts w:ascii="宋体" w:hAnsi="宋体"/>
          <w:sz w:val="28"/>
        </w:rPr>
      </w:pPr>
    </w:p>
    <w:p>
      <w:pPr>
        <w:ind w:firstLine="2800" w:firstLineChars="1000"/>
        <w:outlineLvl w:val="2"/>
        <w:rPr>
          <w:rFonts w:ascii="宋体" w:hAnsi="宋体"/>
          <w:sz w:val="28"/>
        </w:rPr>
      </w:pPr>
    </w:p>
    <w:bookmarkEnd w:id="78"/>
    <w:p/>
    <w:p>
      <w:pPr>
        <w:widowControl/>
        <w:jc w:val="left"/>
        <w:rPr>
          <w:rFonts w:ascii="宋体" w:hAnsi="宋体"/>
          <w:sz w:val="24"/>
          <w:szCs w:val="24"/>
        </w:rPr>
      </w:pPr>
    </w:p>
    <w:sectPr>
      <w:footerReference r:id="rId10" w:type="default"/>
      <w:pgSz w:w="11906" w:h="16838"/>
      <w:pgMar w:top="1440" w:right="1080" w:bottom="1440" w:left="1080" w:header="680" w:footer="851"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华文细黑">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长城黑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Style w:val="45"/>
      </w:rPr>
    </w:pPr>
    <w:r>
      <w:fldChar w:fldCharType="begin"/>
    </w:r>
    <w:r>
      <w:rPr>
        <w:rStyle w:val="45"/>
      </w:rPr>
      <w:instrText xml:space="preserve">PAGE  </w:instrText>
    </w:r>
    <w:r>
      <w:fldChar w:fldCharType="end"/>
    </w:r>
  </w:p>
  <w:p>
    <w:pPr>
      <w:pStyle w:val="2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92200"/>
    </w:sdtPr>
    <w:sdtContent>
      <w:p>
        <w:pPr>
          <w:pStyle w:val="23"/>
          <w:pBdr>
            <w:bottom w:val="none" w:color="auto" w:sz="0" w:space="0"/>
          </w:pBdr>
        </w:pPr>
        <w:r>
          <w:fldChar w:fldCharType="begin"/>
        </w:r>
        <w:r>
          <w:instrText xml:space="preserve"> PAGE   \* MERGEFORMAT </w:instrText>
        </w:r>
        <w:r>
          <w:fldChar w:fldCharType="separate"/>
        </w:r>
        <w:r>
          <w:t>4</w:t>
        </w:r>
        <w:r>
          <w:fldChar w:fldCharType="end"/>
        </w:r>
      </w:p>
    </w:sdtContent>
  </w:sdt>
  <w:p>
    <w:pPr>
      <w:pStyle w:val="23"/>
      <w:pBdr>
        <w:bottom w:val="none" w:color="auto" w:sz="0" w:space="0"/>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92201"/>
    </w:sdtPr>
    <w:sdtContent>
      <w:p>
        <w:pPr>
          <w:pStyle w:val="23"/>
          <w:pBdr>
            <w:bottom w:val="none" w:color="auto" w:sz="0" w:space="0"/>
          </w:pBdr>
        </w:pPr>
        <w:r>
          <w:fldChar w:fldCharType="begin"/>
        </w:r>
        <w:r>
          <w:instrText xml:space="preserve"> PAGE   \* MERGEFORMAT </w:instrText>
        </w:r>
        <w:r>
          <w:fldChar w:fldCharType="separate"/>
        </w:r>
        <w:r>
          <w:rPr>
            <w:lang w:val="zh-CN"/>
          </w:rPr>
          <w:t>1</w:t>
        </w:r>
        <w:r>
          <w:rPr>
            <w:lang w:val="zh-CN"/>
          </w:rPr>
          <w:fldChar w:fldCharType="end"/>
        </w:r>
      </w:p>
    </w:sdtContent>
  </w:sdt>
  <w:p>
    <w:pPr>
      <w:pStyle w:val="23"/>
      <w:pBdr>
        <w:bottom w:val="none" w:color="auto" w:sz="0" w:space="0"/>
      </w:pBd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0492202"/>
    </w:sdtPr>
    <w:sdtContent>
      <w:p>
        <w:pPr>
          <w:pStyle w:val="23"/>
          <w:pBdr>
            <w:bottom w:val="none" w:color="auto" w:sz="0" w:space="0"/>
          </w:pBdr>
        </w:pPr>
        <w:r>
          <w:fldChar w:fldCharType="begin"/>
        </w:r>
        <w:r>
          <w:instrText xml:space="preserve"> PAGE   \* MERGEFORMAT </w:instrText>
        </w:r>
        <w:r>
          <w:fldChar w:fldCharType="separate"/>
        </w:r>
        <w:r>
          <w:rPr>
            <w:lang w:val="zh-CN"/>
          </w:rPr>
          <w:t>7</w:t>
        </w:r>
        <w:r>
          <w:rPr>
            <w:lang w:val="zh-CN"/>
          </w:rPr>
          <w:fldChar w:fldCharType="end"/>
        </w:r>
      </w:p>
    </w:sdtContent>
  </w:sdt>
  <w:p>
    <w:pPr>
      <w:pStyle w:val="23"/>
      <w:pBdr>
        <w:bottom w:val="none" w:color="auto" w:sz="0" w:space="0"/>
      </w:pBd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r>
      <w:fldChar w:fldCharType="begin"/>
    </w:r>
    <w:r>
      <w:instrText xml:space="preserve"> PAGE   \* MERGEFORMAT </w:instrText>
    </w:r>
    <w:r>
      <w:fldChar w:fldCharType="separate"/>
    </w:r>
    <w:r>
      <w:rPr>
        <w:lang w:val="zh-CN"/>
      </w:rPr>
      <w:t>44</w:t>
    </w:r>
    <w:r>
      <w:rPr>
        <w:lang w:val="zh-CN"/>
      </w:rPr>
      <w:fldChar w:fldCharType="end"/>
    </w:r>
  </w:p>
  <w:p>
    <w:pPr>
      <w:pStyle w:val="2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F6A3BF"/>
    <w:multiLevelType w:val="singleLevel"/>
    <w:tmpl w:val="90F6A3BF"/>
    <w:lvl w:ilvl="0" w:tentative="0">
      <w:start w:val="2"/>
      <w:numFmt w:val="decimal"/>
      <w:suff w:val="nothing"/>
      <w:lvlText w:val="（%1）"/>
      <w:lvlJc w:val="left"/>
    </w:lvl>
  </w:abstractNum>
  <w:abstractNum w:abstractNumId="1">
    <w:nsid w:val="1AA84DBA"/>
    <w:multiLevelType w:val="multilevel"/>
    <w:tmpl w:val="1AA84DBA"/>
    <w:lvl w:ilvl="0" w:tentative="0">
      <w:start w:val="1"/>
      <w:numFmt w:val="decimal"/>
      <w:lvlText w:val="%1、"/>
      <w:lvlJc w:val="right"/>
      <w:pPr>
        <w:ind w:left="987" w:hanging="420"/>
      </w:pPr>
      <w:rPr>
        <w:rFonts w:hint="default"/>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
    <w:nsid w:val="2779761F"/>
    <w:multiLevelType w:val="multilevel"/>
    <w:tmpl w:val="2779761F"/>
    <w:lvl w:ilvl="0" w:tentative="0">
      <w:start w:val="1"/>
      <w:numFmt w:val="decimal"/>
      <w:lvlText w:val="（%1）"/>
      <w:lvlJc w:val="left"/>
      <w:pPr>
        <w:ind w:left="900" w:hanging="420"/>
      </w:pPr>
      <w:rPr>
        <w:rFonts w:hint="eastAsia" w:eastAsia="宋体"/>
        <w:b w:val="0"/>
        <w:i w:val="0"/>
        <w:sz w:val="28"/>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304871D4"/>
    <w:multiLevelType w:val="multilevel"/>
    <w:tmpl w:val="304871D4"/>
    <w:lvl w:ilvl="0" w:tentative="0">
      <w:start w:val="1"/>
      <w:numFmt w:val="decimal"/>
      <w:lvlText w:val="（%1）"/>
      <w:lvlJc w:val="left"/>
      <w:pPr>
        <w:ind w:left="420" w:hanging="420"/>
      </w:pPr>
      <w:rPr>
        <w:rFonts w:hint="eastAsia" w:eastAsia="宋体"/>
        <w:b w:val="0"/>
        <w:i w:val="0"/>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AF93053"/>
    <w:multiLevelType w:val="multilevel"/>
    <w:tmpl w:val="3AF93053"/>
    <w:lvl w:ilvl="0" w:tentative="0">
      <w:start w:val="1"/>
      <w:numFmt w:val="japaneseCounting"/>
      <w:lvlText w:val="（%1）"/>
      <w:lvlJc w:val="left"/>
      <w:pPr>
        <w:ind w:left="1365" w:hanging="885"/>
      </w:pPr>
      <w:rPr>
        <w:rFonts w:hint="default" w:ascii="长城黑体" w:cs="黑体"/>
        <w:sz w:val="28"/>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45633575"/>
    <w:multiLevelType w:val="multilevel"/>
    <w:tmpl w:val="45633575"/>
    <w:lvl w:ilvl="0" w:tentative="0">
      <w:start w:val="1"/>
      <w:numFmt w:val="decimal"/>
      <w:lvlText w:val="（%1）"/>
      <w:lvlJc w:val="left"/>
      <w:pPr>
        <w:ind w:left="8217" w:hanging="420"/>
      </w:pPr>
      <w:rPr>
        <w:rFonts w:hint="eastAsia" w:eastAsia="宋体"/>
        <w:b w:val="0"/>
        <w:i w:val="0"/>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0605402"/>
    <w:multiLevelType w:val="multilevel"/>
    <w:tmpl w:val="70605402"/>
    <w:lvl w:ilvl="0" w:tentative="0">
      <w:start w:val="2"/>
      <w:numFmt w:val="japaneseCounting"/>
      <w:lvlText w:val="%1、"/>
      <w:lvlJc w:val="left"/>
      <w:pPr>
        <w:ind w:left="1200" w:hanging="720"/>
      </w:pPr>
      <w:rPr>
        <w:rFonts w:hint="default" w:cs="黑体"/>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F535B56"/>
    <w:multiLevelType w:val="multilevel"/>
    <w:tmpl w:val="7F535B56"/>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6"/>
  </w:num>
  <w:num w:numId="2">
    <w:abstractNumId w:val="4"/>
  </w:num>
  <w:num w:numId="3">
    <w:abstractNumId w:val="1"/>
  </w:num>
  <w:num w:numId="4">
    <w:abstractNumId w:val="0"/>
  </w:num>
  <w:num w:numId="5">
    <w:abstractNumId w:val="7"/>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5"/>
  <w:drawingGridHorizontalSpacing w:val="105"/>
  <w:drawingGridVerticalSpacing w:val="156"/>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2"/>
  </w:compat>
  <w:docVars>
    <w:docVar w:name="{65CBBCC5-196B-4EF7-82B7-94148A6475BB}" w:val="CF8gZbP/Dpq6J91dXizYBG=H2jNkweoWh+f40c5mEtKRA3xar7SyvLTsnuIlVMQOU"/>
    <w:docVar w:name="{7E15F5F7-BAAE-4B67-997D-3093AC326421}" w:val="sC47KOeGhf8M6UA+qxVDnXR3laPNbzTitjHErw9dB=5/oSvQm1JZ2cLF0kpIgWyuY"/>
    <w:docVar w:name="{9A99B779-5D29-488B-B619-7AE0B91EE9F7}" w:val="sC47KOeGhf8M6UA+qxVDnXR3laPNbzTitjHErw9dB=5/oSvQm1JZ2cLF0kpIgWyuY"/>
    <w:docVar w:name="{D6F7C0E9-E85B-4C32-A9D3-E1529135EDEC}" w:val="CF8gZbP/Dpq6J91dXizYBG=H2jNkweoWh+f40c5mEtKRA3xar7SyvLTsnuIlVMQOU"/>
    <w:docVar w:name="DocumentID" w:val="{3B450D15-A753-4E06-85A1-322FFDB7C594}_1"/>
  </w:docVars>
  <w:rsids>
    <w:rsidRoot w:val="00BD5955"/>
    <w:rsid w:val="00000E7B"/>
    <w:rsid w:val="000016AD"/>
    <w:rsid w:val="00001FA6"/>
    <w:rsid w:val="00003503"/>
    <w:rsid w:val="00003FF2"/>
    <w:rsid w:val="0000461E"/>
    <w:rsid w:val="000048B5"/>
    <w:rsid w:val="000052B3"/>
    <w:rsid w:val="0000548E"/>
    <w:rsid w:val="00005508"/>
    <w:rsid w:val="000061DF"/>
    <w:rsid w:val="00006664"/>
    <w:rsid w:val="00006964"/>
    <w:rsid w:val="00006DE6"/>
    <w:rsid w:val="00006EBF"/>
    <w:rsid w:val="0000743B"/>
    <w:rsid w:val="00007CE5"/>
    <w:rsid w:val="0001003A"/>
    <w:rsid w:val="000102B1"/>
    <w:rsid w:val="000103C4"/>
    <w:rsid w:val="00010467"/>
    <w:rsid w:val="000104B5"/>
    <w:rsid w:val="0001081A"/>
    <w:rsid w:val="00011635"/>
    <w:rsid w:val="00011A24"/>
    <w:rsid w:val="00011B7F"/>
    <w:rsid w:val="000121BA"/>
    <w:rsid w:val="0001227C"/>
    <w:rsid w:val="00013079"/>
    <w:rsid w:val="000139D9"/>
    <w:rsid w:val="00013AB4"/>
    <w:rsid w:val="00013E87"/>
    <w:rsid w:val="0001401F"/>
    <w:rsid w:val="00014160"/>
    <w:rsid w:val="000148C7"/>
    <w:rsid w:val="00014C87"/>
    <w:rsid w:val="00014DB8"/>
    <w:rsid w:val="00015FFE"/>
    <w:rsid w:val="00016552"/>
    <w:rsid w:val="00017501"/>
    <w:rsid w:val="00020207"/>
    <w:rsid w:val="000207DF"/>
    <w:rsid w:val="00021F3B"/>
    <w:rsid w:val="0002208C"/>
    <w:rsid w:val="00022482"/>
    <w:rsid w:val="00022F07"/>
    <w:rsid w:val="0002325A"/>
    <w:rsid w:val="00023CA7"/>
    <w:rsid w:val="000247A0"/>
    <w:rsid w:val="0002512E"/>
    <w:rsid w:val="00025A1F"/>
    <w:rsid w:val="00025D60"/>
    <w:rsid w:val="00026E15"/>
    <w:rsid w:val="000274FA"/>
    <w:rsid w:val="00027D74"/>
    <w:rsid w:val="00030021"/>
    <w:rsid w:val="00030EE7"/>
    <w:rsid w:val="0003102C"/>
    <w:rsid w:val="00031B33"/>
    <w:rsid w:val="00031E0E"/>
    <w:rsid w:val="00033084"/>
    <w:rsid w:val="00033ABC"/>
    <w:rsid w:val="00033D67"/>
    <w:rsid w:val="000343A5"/>
    <w:rsid w:val="00034B5F"/>
    <w:rsid w:val="00035E09"/>
    <w:rsid w:val="00035FCE"/>
    <w:rsid w:val="0003648B"/>
    <w:rsid w:val="000364AF"/>
    <w:rsid w:val="000364E3"/>
    <w:rsid w:val="00036A5A"/>
    <w:rsid w:val="00036F76"/>
    <w:rsid w:val="0003766F"/>
    <w:rsid w:val="00040C8D"/>
    <w:rsid w:val="000416E4"/>
    <w:rsid w:val="000425CF"/>
    <w:rsid w:val="00042AD2"/>
    <w:rsid w:val="00042EEC"/>
    <w:rsid w:val="00043478"/>
    <w:rsid w:val="000434F0"/>
    <w:rsid w:val="00043C21"/>
    <w:rsid w:val="00043E09"/>
    <w:rsid w:val="00044123"/>
    <w:rsid w:val="0004476D"/>
    <w:rsid w:val="000447DB"/>
    <w:rsid w:val="00044D0A"/>
    <w:rsid w:val="00045290"/>
    <w:rsid w:val="0004637C"/>
    <w:rsid w:val="00046405"/>
    <w:rsid w:val="000474A7"/>
    <w:rsid w:val="000474D9"/>
    <w:rsid w:val="00047CB8"/>
    <w:rsid w:val="00050331"/>
    <w:rsid w:val="00050701"/>
    <w:rsid w:val="00051BDA"/>
    <w:rsid w:val="000525AD"/>
    <w:rsid w:val="00052896"/>
    <w:rsid w:val="00052961"/>
    <w:rsid w:val="00052D14"/>
    <w:rsid w:val="00052DEB"/>
    <w:rsid w:val="00053126"/>
    <w:rsid w:val="000544D3"/>
    <w:rsid w:val="0005463E"/>
    <w:rsid w:val="00054BC2"/>
    <w:rsid w:val="000551BA"/>
    <w:rsid w:val="00055FBD"/>
    <w:rsid w:val="000560F8"/>
    <w:rsid w:val="0005707C"/>
    <w:rsid w:val="00057B44"/>
    <w:rsid w:val="00057BD9"/>
    <w:rsid w:val="0006005F"/>
    <w:rsid w:val="000604EF"/>
    <w:rsid w:val="00060A16"/>
    <w:rsid w:val="00060D58"/>
    <w:rsid w:val="0006213A"/>
    <w:rsid w:val="000627B0"/>
    <w:rsid w:val="00063721"/>
    <w:rsid w:val="0006389B"/>
    <w:rsid w:val="00063964"/>
    <w:rsid w:val="000648A5"/>
    <w:rsid w:val="0006670F"/>
    <w:rsid w:val="00066CB3"/>
    <w:rsid w:val="000672A4"/>
    <w:rsid w:val="00067502"/>
    <w:rsid w:val="00067590"/>
    <w:rsid w:val="00067673"/>
    <w:rsid w:val="00067BA4"/>
    <w:rsid w:val="00067E16"/>
    <w:rsid w:val="000719B1"/>
    <w:rsid w:val="00071E8C"/>
    <w:rsid w:val="00071E9C"/>
    <w:rsid w:val="0007226C"/>
    <w:rsid w:val="00072362"/>
    <w:rsid w:val="00072570"/>
    <w:rsid w:val="000730D1"/>
    <w:rsid w:val="000734B8"/>
    <w:rsid w:val="00073518"/>
    <w:rsid w:val="000744C4"/>
    <w:rsid w:val="000746EF"/>
    <w:rsid w:val="00075874"/>
    <w:rsid w:val="0007605B"/>
    <w:rsid w:val="00076E38"/>
    <w:rsid w:val="00076ED7"/>
    <w:rsid w:val="00077258"/>
    <w:rsid w:val="00077829"/>
    <w:rsid w:val="000778B1"/>
    <w:rsid w:val="00077BB2"/>
    <w:rsid w:val="000800BE"/>
    <w:rsid w:val="000804A9"/>
    <w:rsid w:val="000809DF"/>
    <w:rsid w:val="00081337"/>
    <w:rsid w:val="00081558"/>
    <w:rsid w:val="0008237C"/>
    <w:rsid w:val="000825B3"/>
    <w:rsid w:val="0008309F"/>
    <w:rsid w:val="0008370B"/>
    <w:rsid w:val="0008448A"/>
    <w:rsid w:val="00084EB6"/>
    <w:rsid w:val="00085A16"/>
    <w:rsid w:val="00086100"/>
    <w:rsid w:val="0008647B"/>
    <w:rsid w:val="000868F4"/>
    <w:rsid w:val="00086B30"/>
    <w:rsid w:val="00087BE7"/>
    <w:rsid w:val="0009097E"/>
    <w:rsid w:val="00092F44"/>
    <w:rsid w:val="0009309B"/>
    <w:rsid w:val="000933E6"/>
    <w:rsid w:val="00094992"/>
    <w:rsid w:val="00094AA4"/>
    <w:rsid w:val="00094C92"/>
    <w:rsid w:val="000954FA"/>
    <w:rsid w:val="00095509"/>
    <w:rsid w:val="00095987"/>
    <w:rsid w:val="00095A73"/>
    <w:rsid w:val="00096518"/>
    <w:rsid w:val="00096724"/>
    <w:rsid w:val="00096854"/>
    <w:rsid w:val="00096BEA"/>
    <w:rsid w:val="0009710B"/>
    <w:rsid w:val="00097383"/>
    <w:rsid w:val="000973BD"/>
    <w:rsid w:val="000A085B"/>
    <w:rsid w:val="000A108F"/>
    <w:rsid w:val="000A111D"/>
    <w:rsid w:val="000A12F4"/>
    <w:rsid w:val="000A151B"/>
    <w:rsid w:val="000A1DD3"/>
    <w:rsid w:val="000A1F55"/>
    <w:rsid w:val="000A209C"/>
    <w:rsid w:val="000A2BF4"/>
    <w:rsid w:val="000A2C43"/>
    <w:rsid w:val="000A2EDD"/>
    <w:rsid w:val="000A2F6D"/>
    <w:rsid w:val="000A3089"/>
    <w:rsid w:val="000A32DF"/>
    <w:rsid w:val="000A3BEF"/>
    <w:rsid w:val="000A3D15"/>
    <w:rsid w:val="000A40D1"/>
    <w:rsid w:val="000A43EF"/>
    <w:rsid w:val="000A54DA"/>
    <w:rsid w:val="000A613D"/>
    <w:rsid w:val="000A6453"/>
    <w:rsid w:val="000A67D1"/>
    <w:rsid w:val="000A6D7C"/>
    <w:rsid w:val="000A7108"/>
    <w:rsid w:val="000A7B70"/>
    <w:rsid w:val="000A7FA3"/>
    <w:rsid w:val="000B03BF"/>
    <w:rsid w:val="000B07C8"/>
    <w:rsid w:val="000B0C70"/>
    <w:rsid w:val="000B0E37"/>
    <w:rsid w:val="000B10BB"/>
    <w:rsid w:val="000B13B3"/>
    <w:rsid w:val="000B22B9"/>
    <w:rsid w:val="000B244D"/>
    <w:rsid w:val="000B2945"/>
    <w:rsid w:val="000B40C3"/>
    <w:rsid w:val="000B4264"/>
    <w:rsid w:val="000B4448"/>
    <w:rsid w:val="000B4830"/>
    <w:rsid w:val="000B54BD"/>
    <w:rsid w:val="000B563B"/>
    <w:rsid w:val="000B6432"/>
    <w:rsid w:val="000B75A7"/>
    <w:rsid w:val="000B7948"/>
    <w:rsid w:val="000B7EEA"/>
    <w:rsid w:val="000C02C4"/>
    <w:rsid w:val="000C07C1"/>
    <w:rsid w:val="000C11D9"/>
    <w:rsid w:val="000C12DC"/>
    <w:rsid w:val="000C1728"/>
    <w:rsid w:val="000C1998"/>
    <w:rsid w:val="000C1C60"/>
    <w:rsid w:val="000C246D"/>
    <w:rsid w:val="000C293B"/>
    <w:rsid w:val="000C2AD0"/>
    <w:rsid w:val="000C2C1D"/>
    <w:rsid w:val="000C2ED5"/>
    <w:rsid w:val="000C2F63"/>
    <w:rsid w:val="000C4133"/>
    <w:rsid w:val="000C4B76"/>
    <w:rsid w:val="000C58F1"/>
    <w:rsid w:val="000C6074"/>
    <w:rsid w:val="000C675E"/>
    <w:rsid w:val="000C70B5"/>
    <w:rsid w:val="000C79B4"/>
    <w:rsid w:val="000C7C34"/>
    <w:rsid w:val="000D2C41"/>
    <w:rsid w:val="000D377C"/>
    <w:rsid w:val="000D42F6"/>
    <w:rsid w:val="000D434D"/>
    <w:rsid w:val="000D43DB"/>
    <w:rsid w:val="000D46CC"/>
    <w:rsid w:val="000D6C67"/>
    <w:rsid w:val="000D6E32"/>
    <w:rsid w:val="000D7048"/>
    <w:rsid w:val="000E049D"/>
    <w:rsid w:val="000E0697"/>
    <w:rsid w:val="000E086B"/>
    <w:rsid w:val="000E093D"/>
    <w:rsid w:val="000E184C"/>
    <w:rsid w:val="000E1920"/>
    <w:rsid w:val="000E25CD"/>
    <w:rsid w:val="000E289C"/>
    <w:rsid w:val="000E3284"/>
    <w:rsid w:val="000E34A3"/>
    <w:rsid w:val="000E3A46"/>
    <w:rsid w:val="000E3E02"/>
    <w:rsid w:val="000E544E"/>
    <w:rsid w:val="000E618A"/>
    <w:rsid w:val="000E647F"/>
    <w:rsid w:val="000E6959"/>
    <w:rsid w:val="000E6D10"/>
    <w:rsid w:val="000E6FD7"/>
    <w:rsid w:val="000E7229"/>
    <w:rsid w:val="000E7719"/>
    <w:rsid w:val="000E79B6"/>
    <w:rsid w:val="000F11D2"/>
    <w:rsid w:val="000F177C"/>
    <w:rsid w:val="000F1B6D"/>
    <w:rsid w:val="000F27E4"/>
    <w:rsid w:val="000F2BDD"/>
    <w:rsid w:val="000F38C6"/>
    <w:rsid w:val="000F3A9B"/>
    <w:rsid w:val="000F3F1C"/>
    <w:rsid w:val="000F3FF4"/>
    <w:rsid w:val="000F3FFC"/>
    <w:rsid w:val="000F4332"/>
    <w:rsid w:val="000F4DD6"/>
    <w:rsid w:val="000F5E2C"/>
    <w:rsid w:val="000F5E81"/>
    <w:rsid w:val="000F5FCE"/>
    <w:rsid w:val="000F6141"/>
    <w:rsid w:val="000F65C7"/>
    <w:rsid w:val="000F6B88"/>
    <w:rsid w:val="000F70FB"/>
    <w:rsid w:val="000F7132"/>
    <w:rsid w:val="000F76D6"/>
    <w:rsid w:val="000F77C0"/>
    <w:rsid w:val="0010198B"/>
    <w:rsid w:val="00101E78"/>
    <w:rsid w:val="00102E74"/>
    <w:rsid w:val="00102F12"/>
    <w:rsid w:val="0010317E"/>
    <w:rsid w:val="0010328C"/>
    <w:rsid w:val="0010489C"/>
    <w:rsid w:val="001049C7"/>
    <w:rsid w:val="001068E8"/>
    <w:rsid w:val="00106AF7"/>
    <w:rsid w:val="00106FC4"/>
    <w:rsid w:val="00107214"/>
    <w:rsid w:val="00107DE7"/>
    <w:rsid w:val="00107F88"/>
    <w:rsid w:val="00110604"/>
    <w:rsid w:val="00110675"/>
    <w:rsid w:val="0011145A"/>
    <w:rsid w:val="001115C5"/>
    <w:rsid w:val="001119C3"/>
    <w:rsid w:val="0011234F"/>
    <w:rsid w:val="00112FBF"/>
    <w:rsid w:val="00113258"/>
    <w:rsid w:val="001139AB"/>
    <w:rsid w:val="0011401C"/>
    <w:rsid w:val="001149BE"/>
    <w:rsid w:val="00114D9A"/>
    <w:rsid w:val="00115BD8"/>
    <w:rsid w:val="00115D43"/>
    <w:rsid w:val="00116E97"/>
    <w:rsid w:val="00117A35"/>
    <w:rsid w:val="00117C98"/>
    <w:rsid w:val="00120C0E"/>
    <w:rsid w:val="00121295"/>
    <w:rsid w:val="00121A46"/>
    <w:rsid w:val="0012202F"/>
    <w:rsid w:val="00122658"/>
    <w:rsid w:val="001234C0"/>
    <w:rsid w:val="0012358D"/>
    <w:rsid w:val="00123948"/>
    <w:rsid w:val="001239E4"/>
    <w:rsid w:val="00123ED5"/>
    <w:rsid w:val="001240C9"/>
    <w:rsid w:val="0012423F"/>
    <w:rsid w:val="00124718"/>
    <w:rsid w:val="001247A2"/>
    <w:rsid w:val="001248DA"/>
    <w:rsid w:val="00124A30"/>
    <w:rsid w:val="00124C91"/>
    <w:rsid w:val="001258AA"/>
    <w:rsid w:val="00125FC8"/>
    <w:rsid w:val="00126144"/>
    <w:rsid w:val="00127A83"/>
    <w:rsid w:val="00127C5C"/>
    <w:rsid w:val="00130C26"/>
    <w:rsid w:val="0013115E"/>
    <w:rsid w:val="00131AFF"/>
    <w:rsid w:val="0013255E"/>
    <w:rsid w:val="001328A3"/>
    <w:rsid w:val="00133015"/>
    <w:rsid w:val="00133725"/>
    <w:rsid w:val="001340F9"/>
    <w:rsid w:val="001344BB"/>
    <w:rsid w:val="00134A3A"/>
    <w:rsid w:val="00134A66"/>
    <w:rsid w:val="00135D91"/>
    <w:rsid w:val="00136219"/>
    <w:rsid w:val="001367BD"/>
    <w:rsid w:val="00136A03"/>
    <w:rsid w:val="00136F7F"/>
    <w:rsid w:val="0013776F"/>
    <w:rsid w:val="00137EB4"/>
    <w:rsid w:val="001402D3"/>
    <w:rsid w:val="00140372"/>
    <w:rsid w:val="001409AD"/>
    <w:rsid w:val="001410D7"/>
    <w:rsid w:val="00141209"/>
    <w:rsid w:val="00141562"/>
    <w:rsid w:val="00141682"/>
    <w:rsid w:val="00142587"/>
    <w:rsid w:val="00142657"/>
    <w:rsid w:val="00142691"/>
    <w:rsid w:val="00142807"/>
    <w:rsid w:val="00142DBE"/>
    <w:rsid w:val="001432FA"/>
    <w:rsid w:val="00143571"/>
    <w:rsid w:val="00143850"/>
    <w:rsid w:val="00143B49"/>
    <w:rsid w:val="001444B4"/>
    <w:rsid w:val="00144CF1"/>
    <w:rsid w:val="001469C2"/>
    <w:rsid w:val="00146BE9"/>
    <w:rsid w:val="00146FB5"/>
    <w:rsid w:val="00147305"/>
    <w:rsid w:val="0014747F"/>
    <w:rsid w:val="0014759F"/>
    <w:rsid w:val="001477FF"/>
    <w:rsid w:val="001505ED"/>
    <w:rsid w:val="00150758"/>
    <w:rsid w:val="0015190F"/>
    <w:rsid w:val="00151EB4"/>
    <w:rsid w:val="0015213D"/>
    <w:rsid w:val="00153801"/>
    <w:rsid w:val="00153F8E"/>
    <w:rsid w:val="001549BD"/>
    <w:rsid w:val="00154DD6"/>
    <w:rsid w:val="00155487"/>
    <w:rsid w:val="00155964"/>
    <w:rsid w:val="00156E13"/>
    <w:rsid w:val="0015775D"/>
    <w:rsid w:val="00157CAD"/>
    <w:rsid w:val="001613E1"/>
    <w:rsid w:val="001621F2"/>
    <w:rsid w:val="00162504"/>
    <w:rsid w:val="00162BFC"/>
    <w:rsid w:val="00162D37"/>
    <w:rsid w:val="00163943"/>
    <w:rsid w:val="00164126"/>
    <w:rsid w:val="001659A7"/>
    <w:rsid w:val="00165E83"/>
    <w:rsid w:val="0016619B"/>
    <w:rsid w:val="00166443"/>
    <w:rsid w:val="00166D77"/>
    <w:rsid w:val="00170AE2"/>
    <w:rsid w:val="00170F57"/>
    <w:rsid w:val="001710E5"/>
    <w:rsid w:val="0017114B"/>
    <w:rsid w:val="00172ED2"/>
    <w:rsid w:val="001733E5"/>
    <w:rsid w:val="00173AAE"/>
    <w:rsid w:val="00173FCB"/>
    <w:rsid w:val="0017419F"/>
    <w:rsid w:val="00174734"/>
    <w:rsid w:val="0017489C"/>
    <w:rsid w:val="001749D9"/>
    <w:rsid w:val="00174D5A"/>
    <w:rsid w:val="00175FD6"/>
    <w:rsid w:val="001763B4"/>
    <w:rsid w:val="0017650D"/>
    <w:rsid w:val="0017694E"/>
    <w:rsid w:val="001770FE"/>
    <w:rsid w:val="001778B7"/>
    <w:rsid w:val="00180475"/>
    <w:rsid w:val="00180D98"/>
    <w:rsid w:val="0018133D"/>
    <w:rsid w:val="001814C7"/>
    <w:rsid w:val="00181E51"/>
    <w:rsid w:val="001833E1"/>
    <w:rsid w:val="00183DF1"/>
    <w:rsid w:val="00184375"/>
    <w:rsid w:val="00184D54"/>
    <w:rsid w:val="0018648D"/>
    <w:rsid w:val="001868E4"/>
    <w:rsid w:val="00186ECC"/>
    <w:rsid w:val="00187200"/>
    <w:rsid w:val="001873A1"/>
    <w:rsid w:val="00187855"/>
    <w:rsid w:val="001878BA"/>
    <w:rsid w:val="00187B17"/>
    <w:rsid w:val="00190487"/>
    <w:rsid w:val="0019085A"/>
    <w:rsid w:val="00190D4D"/>
    <w:rsid w:val="00190D5B"/>
    <w:rsid w:val="0019268C"/>
    <w:rsid w:val="00192875"/>
    <w:rsid w:val="00192BBF"/>
    <w:rsid w:val="00193458"/>
    <w:rsid w:val="001936AE"/>
    <w:rsid w:val="00193BFD"/>
    <w:rsid w:val="001940F5"/>
    <w:rsid w:val="001942EC"/>
    <w:rsid w:val="001945F5"/>
    <w:rsid w:val="001951E3"/>
    <w:rsid w:val="00195693"/>
    <w:rsid w:val="00196ECA"/>
    <w:rsid w:val="00197792"/>
    <w:rsid w:val="00197A14"/>
    <w:rsid w:val="00197E39"/>
    <w:rsid w:val="001A09F3"/>
    <w:rsid w:val="001A0BA6"/>
    <w:rsid w:val="001A0EEF"/>
    <w:rsid w:val="001A1D14"/>
    <w:rsid w:val="001A1D79"/>
    <w:rsid w:val="001A269C"/>
    <w:rsid w:val="001A3336"/>
    <w:rsid w:val="001A413D"/>
    <w:rsid w:val="001A5691"/>
    <w:rsid w:val="001A62E3"/>
    <w:rsid w:val="001A6587"/>
    <w:rsid w:val="001A6665"/>
    <w:rsid w:val="001A688A"/>
    <w:rsid w:val="001A7157"/>
    <w:rsid w:val="001A71CF"/>
    <w:rsid w:val="001A7614"/>
    <w:rsid w:val="001A77A7"/>
    <w:rsid w:val="001A7815"/>
    <w:rsid w:val="001A7B3A"/>
    <w:rsid w:val="001B0B0B"/>
    <w:rsid w:val="001B0F5E"/>
    <w:rsid w:val="001B142F"/>
    <w:rsid w:val="001B17E9"/>
    <w:rsid w:val="001B209B"/>
    <w:rsid w:val="001B23E6"/>
    <w:rsid w:val="001B263C"/>
    <w:rsid w:val="001B29C0"/>
    <w:rsid w:val="001B2FF0"/>
    <w:rsid w:val="001B2FFC"/>
    <w:rsid w:val="001B34A6"/>
    <w:rsid w:val="001B3764"/>
    <w:rsid w:val="001B3914"/>
    <w:rsid w:val="001B48E8"/>
    <w:rsid w:val="001B50BE"/>
    <w:rsid w:val="001B56A8"/>
    <w:rsid w:val="001B6C57"/>
    <w:rsid w:val="001B6D6A"/>
    <w:rsid w:val="001B750A"/>
    <w:rsid w:val="001C0059"/>
    <w:rsid w:val="001C1440"/>
    <w:rsid w:val="001C26AA"/>
    <w:rsid w:val="001C26B6"/>
    <w:rsid w:val="001C283A"/>
    <w:rsid w:val="001C303F"/>
    <w:rsid w:val="001C30C8"/>
    <w:rsid w:val="001C38D9"/>
    <w:rsid w:val="001C3BB6"/>
    <w:rsid w:val="001C3BF8"/>
    <w:rsid w:val="001C3D7F"/>
    <w:rsid w:val="001C3F1E"/>
    <w:rsid w:val="001C4456"/>
    <w:rsid w:val="001C4AA4"/>
    <w:rsid w:val="001C4B04"/>
    <w:rsid w:val="001C5C46"/>
    <w:rsid w:val="001C6227"/>
    <w:rsid w:val="001C62BD"/>
    <w:rsid w:val="001C6366"/>
    <w:rsid w:val="001C6646"/>
    <w:rsid w:val="001C7558"/>
    <w:rsid w:val="001C7658"/>
    <w:rsid w:val="001C7EFE"/>
    <w:rsid w:val="001D1027"/>
    <w:rsid w:val="001D12DD"/>
    <w:rsid w:val="001D1DDF"/>
    <w:rsid w:val="001D1E41"/>
    <w:rsid w:val="001D3532"/>
    <w:rsid w:val="001D3708"/>
    <w:rsid w:val="001D3C11"/>
    <w:rsid w:val="001D41C6"/>
    <w:rsid w:val="001D4255"/>
    <w:rsid w:val="001D46A1"/>
    <w:rsid w:val="001D4711"/>
    <w:rsid w:val="001D4C3F"/>
    <w:rsid w:val="001D4D57"/>
    <w:rsid w:val="001D4E73"/>
    <w:rsid w:val="001D54FF"/>
    <w:rsid w:val="001D5785"/>
    <w:rsid w:val="001D5891"/>
    <w:rsid w:val="001D656E"/>
    <w:rsid w:val="001D6B58"/>
    <w:rsid w:val="001D7348"/>
    <w:rsid w:val="001D7A10"/>
    <w:rsid w:val="001D7AB8"/>
    <w:rsid w:val="001E0465"/>
    <w:rsid w:val="001E08EB"/>
    <w:rsid w:val="001E0F9D"/>
    <w:rsid w:val="001E1DD7"/>
    <w:rsid w:val="001E24BD"/>
    <w:rsid w:val="001E2ED1"/>
    <w:rsid w:val="001E30CB"/>
    <w:rsid w:val="001E3887"/>
    <w:rsid w:val="001E4133"/>
    <w:rsid w:val="001E45BA"/>
    <w:rsid w:val="001E46BF"/>
    <w:rsid w:val="001E5090"/>
    <w:rsid w:val="001E637C"/>
    <w:rsid w:val="001E69EE"/>
    <w:rsid w:val="001E6A66"/>
    <w:rsid w:val="001E6DF8"/>
    <w:rsid w:val="001E74B5"/>
    <w:rsid w:val="001F023E"/>
    <w:rsid w:val="001F1A88"/>
    <w:rsid w:val="001F1E98"/>
    <w:rsid w:val="001F26AE"/>
    <w:rsid w:val="001F33D7"/>
    <w:rsid w:val="001F3454"/>
    <w:rsid w:val="001F35A2"/>
    <w:rsid w:val="001F4576"/>
    <w:rsid w:val="001F4B6E"/>
    <w:rsid w:val="001F4E9A"/>
    <w:rsid w:val="001F6416"/>
    <w:rsid w:val="001F6649"/>
    <w:rsid w:val="001F68FB"/>
    <w:rsid w:val="001F7852"/>
    <w:rsid w:val="001F7C71"/>
    <w:rsid w:val="0020018C"/>
    <w:rsid w:val="00200266"/>
    <w:rsid w:val="002006D5"/>
    <w:rsid w:val="00200C8E"/>
    <w:rsid w:val="002026D4"/>
    <w:rsid w:val="00202FFD"/>
    <w:rsid w:val="00203E3B"/>
    <w:rsid w:val="002041DD"/>
    <w:rsid w:val="00204923"/>
    <w:rsid w:val="00204A7B"/>
    <w:rsid w:val="002055B6"/>
    <w:rsid w:val="002058C4"/>
    <w:rsid w:val="00205A8A"/>
    <w:rsid w:val="00205B00"/>
    <w:rsid w:val="002071EA"/>
    <w:rsid w:val="00207E09"/>
    <w:rsid w:val="002100AE"/>
    <w:rsid w:val="002101C2"/>
    <w:rsid w:val="002105FC"/>
    <w:rsid w:val="00210AB4"/>
    <w:rsid w:val="00210D9F"/>
    <w:rsid w:val="002128CA"/>
    <w:rsid w:val="00213EAD"/>
    <w:rsid w:val="0021493A"/>
    <w:rsid w:val="00214AEB"/>
    <w:rsid w:val="00215173"/>
    <w:rsid w:val="00215B53"/>
    <w:rsid w:val="00215DBD"/>
    <w:rsid w:val="0021610D"/>
    <w:rsid w:val="00216F7F"/>
    <w:rsid w:val="0021749D"/>
    <w:rsid w:val="00217846"/>
    <w:rsid w:val="00217DDB"/>
    <w:rsid w:val="00217F58"/>
    <w:rsid w:val="00220038"/>
    <w:rsid w:val="00220B9A"/>
    <w:rsid w:val="00221720"/>
    <w:rsid w:val="002220E4"/>
    <w:rsid w:val="002226B7"/>
    <w:rsid w:val="002227F7"/>
    <w:rsid w:val="00222EF3"/>
    <w:rsid w:val="00222FDB"/>
    <w:rsid w:val="002232D6"/>
    <w:rsid w:val="0022366D"/>
    <w:rsid w:val="002239C9"/>
    <w:rsid w:val="00223A5A"/>
    <w:rsid w:val="00223AB8"/>
    <w:rsid w:val="0022405A"/>
    <w:rsid w:val="0022426B"/>
    <w:rsid w:val="00224CE0"/>
    <w:rsid w:val="00224EB1"/>
    <w:rsid w:val="0022537B"/>
    <w:rsid w:val="002258EF"/>
    <w:rsid w:val="00225B69"/>
    <w:rsid w:val="002266CC"/>
    <w:rsid w:val="00226798"/>
    <w:rsid w:val="00226960"/>
    <w:rsid w:val="00226A40"/>
    <w:rsid w:val="00226D94"/>
    <w:rsid w:val="0022706E"/>
    <w:rsid w:val="00227B31"/>
    <w:rsid w:val="00230257"/>
    <w:rsid w:val="002303DD"/>
    <w:rsid w:val="0023254A"/>
    <w:rsid w:val="00232970"/>
    <w:rsid w:val="002332B2"/>
    <w:rsid w:val="00233D47"/>
    <w:rsid w:val="002342DE"/>
    <w:rsid w:val="002346A4"/>
    <w:rsid w:val="002355F2"/>
    <w:rsid w:val="00235AB5"/>
    <w:rsid w:val="00236310"/>
    <w:rsid w:val="00236BDF"/>
    <w:rsid w:val="00237181"/>
    <w:rsid w:val="002373C0"/>
    <w:rsid w:val="00237765"/>
    <w:rsid w:val="00237CB9"/>
    <w:rsid w:val="00237DC8"/>
    <w:rsid w:val="00237FAF"/>
    <w:rsid w:val="00237FC9"/>
    <w:rsid w:val="002404AF"/>
    <w:rsid w:val="00240525"/>
    <w:rsid w:val="002406CD"/>
    <w:rsid w:val="00241517"/>
    <w:rsid w:val="00241A1B"/>
    <w:rsid w:val="00242D42"/>
    <w:rsid w:val="00242FBC"/>
    <w:rsid w:val="002431F3"/>
    <w:rsid w:val="002432E8"/>
    <w:rsid w:val="002438F9"/>
    <w:rsid w:val="0024393F"/>
    <w:rsid w:val="002442DD"/>
    <w:rsid w:val="00244847"/>
    <w:rsid w:val="00246631"/>
    <w:rsid w:val="002472EA"/>
    <w:rsid w:val="00247358"/>
    <w:rsid w:val="0024748B"/>
    <w:rsid w:val="002478BC"/>
    <w:rsid w:val="00247EF9"/>
    <w:rsid w:val="0025060D"/>
    <w:rsid w:val="00251791"/>
    <w:rsid w:val="00251E85"/>
    <w:rsid w:val="00252202"/>
    <w:rsid w:val="00252621"/>
    <w:rsid w:val="00252A93"/>
    <w:rsid w:val="00253773"/>
    <w:rsid w:val="00253AC0"/>
    <w:rsid w:val="00253E0C"/>
    <w:rsid w:val="00253E24"/>
    <w:rsid w:val="002552F6"/>
    <w:rsid w:val="00256064"/>
    <w:rsid w:val="0025616D"/>
    <w:rsid w:val="00256908"/>
    <w:rsid w:val="00256FFA"/>
    <w:rsid w:val="002575D0"/>
    <w:rsid w:val="00257D36"/>
    <w:rsid w:val="0026125B"/>
    <w:rsid w:val="00261B3C"/>
    <w:rsid w:val="002623AF"/>
    <w:rsid w:val="00262493"/>
    <w:rsid w:val="00262922"/>
    <w:rsid w:val="00262C7E"/>
    <w:rsid w:val="002636D2"/>
    <w:rsid w:val="00263765"/>
    <w:rsid w:val="0026386B"/>
    <w:rsid w:val="0026453E"/>
    <w:rsid w:val="002657A0"/>
    <w:rsid w:val="00265D68"/>
    <w:rsid w:val="00266711"/>
    <w:rsid w:val="00267090"/>
    <w:rsid w:val="00267B27"/>
    <w:rsid w:val="002703E0"/>
    <w:rsid w:val="002704C6"/>
    <w:rsid w:val="002706A8"/>
    <w:rsid w:val="00270BEA"/>
    <w:rsid w:val="00271254"/>
    <w:rsid w:val="002713AE"/>
    <w:rsid w:val="00271C10"/>
    <w:rsid w:val="00271CB4"/>
    <w:rsid w:val="002721E2"/>
    <w:rsid w:val="0027367D"/>
    <w:rsid w:val="00273877"/>
    <w:rsid w:val="0027405B"/>
    <w:rsid w:val="00274469"/>
    <w:rsid w:val="00274E9C"/>
    <w:rsid w:val="002760FD"/>
    <w:rsid w:val="002761D3"/>
    <w:rsid w:val="00276CB7"/>
    <w:rsid w:val="00277045"/>
    <w:rsid w:val="00277787"/>
    <w:rsid w:val="00280B41"/>
    <w:rsid w:val="00280ECC"/>
    <w:rsid w:val="0028168D"/>
    <w:rsid w:val="002820B3"/>
    <w:rsid w:val="00282B23"/>
    <w:rsid w:val="00282F16"/>
    <w:rsid w:val="00283C13"/>
    <w:rsid w:val="00285006"/>
    <w:rsid w:val="00285715"/>
    <w:rsid w:val="00285DF9"/>
    <w:rsid w:val="00286E1F"/>
    <w:rsid w:val="00287F26"/>
    <w:rsid w:val="00291423"/>
    <w:rsid w:val="00291786"/>
    <w:rsid w:val="00292248"/>
    <w:rsid w:val="0029226C"/>
    <w:rsid w:val="00292E4B"/>
    <w:rsid w:val="0029307C"/>
    <w:rsid w:val="002932D7"/>
    <w:rsid w:val="00293373"/>
    <w:rsid w:val="0029399D"/>
    <w:rsid w:val="00293D22"/>
    <w:rsid w:val="00296246"/>
    <w:rsid w:val="002969C4"/>
    <w:rsid w:val="00296B37"/>
    <w:rsid w:val="00296E98"/>
    <w:rsid w:val="0029723B"/>
    <w:rsid w:val="002979F8"/>
    <w:rsid w:val="002A0EC0"/>
    <w:rsid w:val="002A1696"/>
    <w:rsid w:val="002A1954"/>
    <w:rsid w:val="002A2194"/>
    <w:rsid w:val="002A232E"/>
    <w:rsid w:val="002A27B6"/>
    <w:rsid w:val="002A2934"/>
    <w:rsid w:val="002A2A09"/>
    <w:rsid w:val="002A2D99"/>
    <w:rsid w:val="002A2FDC"/>
    <w:rsid w:val="002A3670"/>
    <w:rsid w:val="002A41BE"/>
    <w:rsid w:val="002A4457"/>
    <w:rsid w:val="002A49FE"/>
    <w:rsid w:val="002A5A7B"/>
    <w:rsid w:val="002A6714"/>
    <w:rsid w:val="002A6EB4"/>
    <w:rsid w:val="002A6EBD"/>
    <w:rsid w:val="002A6FEF"/>
    <w:rsid w:val="002A7566"/>
    <w:rsid w:val="002B042F"/>
    <w:rsid w:val="002B0494"/>
    <w:rsid w:val="002B1452"/>
    <w:rsid w:val="002B14AB"/>
    <w:rsid w:val="002B1F59"/>
    <w:rsid w:val="002B2073"/>
    <w:rsid w:val="002B31D4"/>
    <w:rsid w:val="002B343A"/>
    <w:rsid w:val="002B363A"/>
    <w:rsid w:val="002B38B5"/>
    <w:rsid w:val="002B38BC"/>
    <w:rsid w:val="002B40FA"/>
    <w:rsid w:val="002B4199"/>
    <w:rsid w:val="002B4316"/>
    <w:rsid w:val="002B4AB6"/>
    <w:rsid w:val="002B5455"/>
    <w:rsid w:val="002B5674"/>
    <w:rsid w:val="002B5C92"/>
    <w:rsid w:val="002B71D5"/>
    <w:rsid w:val="002B7871"/>
    <w:rsid w:val="002C02AA"/>
    <w:rsid w:val="002C09F9"/>
    <w:rsid w:val="002C0C59"/>
    <w:rsid w:val="002C1563"/>
    <w:rsid w:val="002C2147"/>
    <w:rsid w:val="002C2634"/>
    <w:rsid w:val="002C2D36"/>
    <w:rsid w:val="002C4324"/>
    <w:rsid w:val="002C4CAC"/>
    <w:rsid w:val="002C510B"/>
    <w:rsid w:val="002C5168"/>
    <w:rsid w:val="002C5984"/>
    <w:rsid w:val="002C5EBA"/>
    <w:rsid w:val="002C6484"/>
    <w:rsid w:val="002C6B97"/>
    <w:rsid w:val="002C6CAD"/>
    <w:rsid w:val="002D0005"/>
    <w:rsid w:val="002D0A1C"/>
    <w:rsid w:val="002D16FF"/>
    <w:rsid w:val="002D1D54"/>
    <w:rsid w:val="002D2619"/>
    <w:rsid w:val="002D2621"/>
    <w:rsid w:val="002D28F3"/>
    <w:rsid w:val="002D310D"/>
    <w:rsid w:val="002D3268"/>
    <w:rsid w:val="002D34E5"/>
    <w:rsid w:val="002D3A75"/>
    <w:rsid w:val="002D3C99"/>
    <w:rsid w:val="002D3EE1"/>
    <w:rsid w:val="002D3FE2"/>
    <w:rsid w:val="002D52A2"/>
    <w:rsid w:val="002D56A3"/>
    <w:rsid w:val="002D5ADE"/>
    <w:rsid w:val="002D64A9"/>
    <w:rsid w:val="002D6BC2"/>
    <w:rsid w:val="002D7207"/>
    <w:rsid w:val="002D7BCC"/>
    <w:rsid w:val="002E03D3"/>
    <w:rsid w:val="002E05C0"/>
    <w:rsid w:val="002E0E4F"/>
    <w:rsid w:val="002E1672"/>
    <w:rsid w:val="002E1E87"/>
    <w:rsid w:val="002E2E57"/>
    <w:rsid w:val="002E30C4"/>
    <w:rsid w:val="002E36F3"/>
    <w:rsid w:val="002E3976"/>
    <w:rsid w:val="002E3A65"/>
    <w:rsid w:val="002E46C9"/>
    <w:rsid w:val="002E4D94"/>
    <w:rsid w:val="002E61BF"/>
    <w:rsid w:val="002E6B25"/>
    <w:rsid w:val="002E6B8F"/>
    <w:rsid w:val="002F0210"/>
    <w:rsid w:val="002F106D"/>
    <w:rsid w:val="002F1532"/>
    <w:rsid w:val="002F1FB6"/>
    <w:rsid w:val="002F1FFE"/>
    <w:rsid w:val="002F249F"/>
    <w:rsid w:val="002F2BFA"/>
    <w:rsid w:val="002F3B60"/>
    <w:rsid w:val="002F3B6A"/>
    <w:rsid w:val="002F4956"/>
    <w:rsid w:val="002F5B5E"/>
    <w:rsid w:val="002F644B"/>
    <w:rsid w:val="002F6BD9"/>
    <w:rsid w:val="002F6E0D"/>
    <w:rsid w:val="002F742B"/>
    <w:rsid w:val="00300312"/>
    <w:rsid w:val="00300B03"/>
    <w:rsid w:val="00301172"/>
    <w:rsid w:val="003015A2"/>
    <w:rsid w:val="003016AF"/>
    <w:rsid w:val="0030199A"/>
    <w:rsid w:val="00301A73"/>
    <w:rsid w:val="00301B8B"/>
    <w:rsid w:val="00302245"/>
    <w:rsid w:val="00302F57"/>
    <w:rsid w:val="00302F65"/>
    <w:rsid w:val="00304124"/>
    <w:rsid w:val="00305D69"/>
    <w:rsid w:val="00306142"/>
    <w:rsid w:val="00306E6C"/>
    <w:rsid w:val="00306EF7"/>
    <w:rsid w:val="00307161"/>
    <w:rsid w:val="00307585"/>
    <w:rsid w:val="003076AB"/>
    <w:rsid w:val="0030770D"/>
    <w:rsid w:val="00310531"/>
    <w:rsid w:val="00310A92"/>
    <w:rsid w:val="00310EAA"/>
    <w:rsid w:val="00311098"/>
    <w:rsid w:val="00311386"/>
    <w:rsid w:val="00311919"/>
    <w:rsid w:val="00311BE5"/>
    <w:rsid w:val="0031232A"/>
    <w:rsid w:val="0031255E"/>
    <w:rsid w:val="0031274B"/>
    <w:rsid w:val="0031277F"/>
    <w:rsid w:val="00312B14"/>
    <w:rsid w:val="0031341F"/>
    <w:rsid w:val="003139FC"/>
    <w:rsid w:val="00313AA1"/>
    <w:rsid w:val="00313C77"/>
    <w:rsid w:val="00314234"/>
    <w:rsid w:val="003142A6"/>
    <w:rsid w:val="003144E4"/>
    <w:rsid w:val="003149A2"/>
    <w:rsid w:val="00314B69"/>
    <w:rsid w:val="00316D05"/>
    <w:rsid w:val="003173CE"/>
    <w:rsid w:val="003179A6"/>
    <w:rsid w:val="0032007D"/>
    <w:rsid w:val="003200E4"/>
    <w:rsid w:val="00320403"/>
    <w:rsid w:val="00320981"/>
    <w:rsid w:val="003211C7"/>
    <w:rsid w:val="00321444"/>
    <w:rsid w:val="003221B3"/>
    <w:rsid w:val="003223F8"/>
    <w:rsid w:val="00322D58"/>
    <w:rsid w:val="003238A5"/>
    <w:rsid w:val="003239F1"/>
    <w:rsid w:val="00323F48"/>
    <w:rsid w:val="00325242"/>
    <w:rsid w:val="00325973"/>
    <w:rsid w:val="00326359"/>
    <w:rsid w:val="0032672A"/>
    <w:rsid w:val="00326B67"/>
    <w:rsid w:val="003271AA"/>
    <w:rsid w:val="003274B4"/>
    <w:rsid w:val="00327A6A"/>
    <w:rsid w:val="00330A09"/>
    <w:rsid w:val="00331459"/>
    <w:rsid w:val="00331FEA"/>
    <w:rsid w:val="0033331D"/>
    <w:rsid w:val="003338B6"/>
    <w:rsid w:val="00333B76"/>
    <w:rsid w:val="003350F8"/>
    <w:rsid w:val="00335194"/>
    <w:rsid w:val="00335BC3"/>
    <w:rsid w:val="00336CB9"/>
    <w:rsid w:val="00337E28"/>
    <w:rsid w:val="003410A7"/>
    <w:rsid w:val="003410E5"/>
    <w:rsid w:val="0034138E"/>
    <w:rsid w:val="00341BD7"/>
    <w:rsid w:val="00342411"/>
    <w:rsid w:val="003428B5"/>
    <w:rsid w:val="00342C01"/>
    <w:rsid w:val="00343482"/>
    <w:rsid w:val="00343960"/>
    <w:rsid w:val="00343BA1"/>
    <w:rsid w:val="00343D95"/>
    <w:rsid w:val="00343E0A"/>
    <w:rsid w:val="00344083"/>
    <w:rsid w:val="00344693"/>
    <w:rsid w:val="00344B58"/>
    <w:rsid w:val="003455FF"/>
    <w:rsid w:val="00345A7F"/>
    <w:rsid w:val="00346311"/>
    <w:rsid w:val="00346611"/>
    <w:rsid w:val="00346BC0"/>
    <w:rsid w:val="00346E37"/>
    <w:rsid w:val="003472A4"/>
    <w:rsid w:val="00347D40"/>
    <w:rsid w:val="00347E97"/>
    <w:rsid w:val="00350649"/>
    <w:rsid w:val="00351911"/>
    <w:rsid w:val="00351AA2"/>
    <w:rsid w:val="00351EB8"/>
    <w:rsid w:val="00351F21"/>
    <w:rsid w:val="003521B1"/>
    <w:rsid w:val="003525E8"/>
    <w:rsid w:val="0035269F"/>
    <w:rsid w:val="00352D30"/>
    <w:rsid w:val="00353571"/>
    <w:rsid w:val="00353D3E"/>
    <w:rsid w:val="00355815"/>
    <w:rsid w:val="003558EC"/>
    <w:rsid w:val="003576D4"/>
    <w:rsid w:val="003610DF"/>
    <w:rsid w:val="0036113D"/>
    <w:rsid w:val="00361C32"/>
    <w:rsid w:val="00361F83"/>
    <w:rsid w:val="003621E5"/>
    <w:rsid w:val="003622F1"/>
    <w:rsid w:val="003629B4"/>
    <w:rsid w:val="00362B19"/>
    <w:rsid w:val="00363344"/>
    <w:rsid w:val="00363DE4"/>
    <w:rsid w:val="003649A2"/>
    <w:rsid w:val="00364E8C"/>
    <w:rsid w:val="00365799"/>
    <w:rsid w:val="00365DD2"/>
    <w:rsid w:val="003664EC"/>
    <w:rsid w:val="00366769"/>
    <w:rsid w:val="00370545"/>
    <w:rsid w:val="00370842"/>
    <w:rsid w:val="00370A8A"/>
    <w:rsid w:val="00372D76"/>
    <w:rsid w:val="0037343D"/>
    <w:rsid w:val="003734F9"/>
    <w:rsid w:val="003736DD"/>
    <w:rsid w:val="003743C8"/>
    <w:rsid w:val="00374838"/>
    <w:rsid w:val="00374A2E"/>
    <w:rsid w:val="00374CD9"/>
    <w:rsid w:val="003753CC"/>
    <w:rsid w:val="00375B38"/>
    <w:rsid w:val="00375C35"/>
    <w:rsid w:val="00375E52"/>
    <w:rsid w:val="00376816"/>
    <w:rsid w:val="00376BC7"/>
    <w:rsid w:val="003776F0"/>
    <w:rsid w:val="003807E1"/>
    <w:rsid w:val="003809AC"/>
    <w:rsid w:val="00380E74"/>
    <w:rsid w:val="0038241A"/>
    <w:rsid w:val="00382CAA"/>
    <w:rsid w:val="0038303C"/>
    <w:rsid w:val="003830F2"/>
    <w:rsid w:val="0038371C"/>
    <w:rsid w:val="00383820"/>
    <w:rsid w:val="00383A19"/>
    <w:rsid w:val="00383B5C"/>
    <w:rsid w:val="0038466F"/>
    <w:rsid w:val="00384A03"/>
    <w:rsid w:val="00384E8D"/>
    <w:rsid w:val="003854A6"/>
    <w:rsid w:val="003859C9"/>
    <w:rsid w:val="00385B5F"/>
    <w:rsid w:val="0038600C"/>
    <w:rsid w:val="00386E55"/>
    <w:rsid w:val="00386F05"/>
    <w:rsid w:val="00386FE7"/>
    <w:rsid w:val="003870E8"/>
    <w:rsid w:val="0039066E"/>
    <w:rsid w:val="003910AD"/>
    <w:rsid w:val="00391800"/>
    <w:rsid w:val="00391850"/>
    <w:rsid w:val="00391C16"/>
    <w:rsid w:val="003926AB"/>
    <w:rsid w:val="003926C5"/>
    <w:rsid w:val="0039284E"/>
    <w:rsid w:val="00392A9D"/>
    <w:rsid w:val="0039315E"/>
    <w:rsid w:val="00393A07"/>
    <w:rsid w:val="00393AF6"/>
    <w:rsid w:val="00393C3C"/>
    <w:rsid w:val="0039468D"/>
    <w:rsid w:val="003946AD"/>
    <w:rsid w:val="00394899"/>
    <w:rsid w:val="00394C7E"/>
    <w:rsid w:val="00395D74"/>
    <w:rsid w:val="00396067"/>
    <w:rsid w:val="00396585"/>
    <w:rsid w:val="00396622"/>
    <w:rsid w:val="00396891"/>
    <w:rsid w:val="003976B3"/>
    <w:rsid w:val="00397BA7"/>
    <w:rsid w:val="00397EF4"/>
    <w:rsid w:val="003A0329"/>
    <w:rsid w:val="003A05BD"/>
    <w:rsid w:val="003A08F3"/>
    <w:rsid w:val="003A113B"/>
    <w:rsid w:val="003A19BE"/>
    <w:rsid w:val="003A1BB1"/>
    <w:rsid w:val="003A1D24"/>
    <w:rsid w:val="003A1D55"/>
    <w:rsid w:val="003A2269"/>
    <w:rsid w:val="003A2409"/>
    <w:rsid w:val="003A2482"/>
    <w:rsid w:val="003A3EEF"/>
    <w:rsid w:val="003A467F"/>
    <w:rsid w:val="003A48FB"/>
    <w:rsid w:val="003A4A39"/>
    <w:rsid w:val="003A5642"/>
    <w:rsid w:val="003A5D88"/>
    <w:rsid w:val="003A5DCC"/>
    <w:rsid w:val="003A5FAC"/>
    <w:rsid w:val="003A6C92"/>
    <w:rsid w:val="003A7482"/>
    <w:rsid w:val="003A7558"/>
    <w:rsid w:val="003B011C"/>
    <w:rsid w:val="003B050C"/>
    <w:rsid w:val="003B0749"/>
    <w:rsid w:val="003B09FA"/>
    <w:rsid w:val="003B13C1"/>
    <w:rsid w:val="003B14DF"/>
    <w:rsid w:val="003B17A3"/>
    <w:rsid w:val="003B1851"/>
    <w:rsid w:val="003B288E"/>
    <w:rsid w:val="003B2D0F"/>
    <w:rsid w:val="003B3135"/>
    <w:rsid w:val="003B38FD"/>
    <w:rsid w:val="003B3FDF"/>
    <w:rsid w:val="003B4289"/>
    <w:rsid w:val="003B4BE9"/>
    <w:rsid w:val="003B4D44"/>
    <w:rsid w:val="003B4FB8"/>
    <w:rsid w:val="003B539D"/>
    <w:rsid w:val="003B6600"/>
    <w:rsid w:val="003B6FEF"/>
    <w:rsid w:val="003B7323"/>
    <w:rsid w:val="003C01DE"/>
    <w:rsid w:val="003C01E4"/>
    <w:rsid w:val="003C0204"/>
    <w:rsid w:val="003C0A8C"/>
    <w:rsid w:val="003C10B4"/>
    <w:rsid w:val="003C1130"/>
    <w:rsid w:val="003C13C3"/>
    <w:rsid w:val="003C1890"/>
    <w:rsid w:val="003C1F11"/>
    <w:rsid w:val="003C2AC5"/>
    <w:rsid w:val="003C31FF"/>
    <w:rsid w:val="003C4367"/>
    <w:rsid w:val="003C487B"/>
    <w:rsid w:val="003C6415"/>
    <w:rsid w:val="003C6D84"/>
    <w:rsid w:val="003C700E"/>
    <w:rsid w:val="003C78E8"/>
    <w:rsid w:val="003C7DEF"/>
    <w:rsid w:val="003C7ED6"/>
    <w:rsid w:val="003D06F1"/>
    <w:rsid w:val="003D08E8"/>
    <w:rsid w:val="003D0EA6"/>
    <w:rsid w:val="003D1EA5"/>
    <w:rsid w:val="003D21D3"/>
    <w:rsid w:val="003D243D"/>
    <w:rsid w:val="003D2517"/>
    <w:rsid w:val="003D2A5D"/>
    <w:rsid w:val="003D2BF5"/>
    <w:rsid w:val="003D2D8D"/>
    <w:rsid w:val="003D2F6C"/>
    <w:rsid w:val="003D3033"/>
    <w:rsid w:val="003D32F7"/>
    <w:rsid w:val="003D4855"/>
    <w:rsid w:val="003D4A3D"/>
    <w:rsid w:val="003D50C3"/>
    <w:rsid w:val="003D5DCD"/>
    <w:rsid w:val="003D74C9"/>
    <w:rsid w:val="003E027F"/>
    <w:rsid w:val="003E09C8"/>
    <w:rsid w:val="003E0B9E"/>
    <w:rsid w:val="003E1327"/>
    <w:rsid w:val="003E1E85"/>
    <w:rsid w:val="003E22CD"/>
    <w:rsid w:val="003E28AC"/>
    <w:rsid w:val="003E2AEA"/>
    <w:rsid w:val="003E2B1B"/>
    <w:rsid w:val="003E2C99"/>
    <w:rsid w:val="003E459D"/>
    <w:rsid w:val="003E4736"/>
    <w:rsid w:val="003E4F5D"/>
    <w:rsid w:val="003E5068"/>
    <w:rsid w:val="003E567A"/>
    <w:rsid w:val="003E58B6"/>
    <w:rsid w:val="003E6C72"/>
    <w:rsid w:val="003E7D8A"/>
    <w:rsid w:val="003F0389"/>
    <w:rsid w:val="003F03C2"/>
    <w:rsid w:val="003F16C0"/>
    <w:rsid w:val="003F17BE"/>
    <w:rsid w:val="003F1EA7"/>
    <w:rsid w:val="003F284E"/>
    <w:rsid w:val="003F2A3C"/>
    <w:rsid w:val="003F2FD5"/>
    <w:rsid w:val="003F30A7"/>
    <w:rsid w:val="003F36AE"/>
    <w:rsid w:val="003F3AA8"/>
    <w:rsid w:val="003F4047"/>
    <w:rsid w:val="003F4064"/>
    <w:rsid w:val="003F4421"/>
    <w:rsid w:val="003F45BB"/>
    <w:rsid w:val="003F46A5"/>
    <w:rsid w:val="003F482C"/>
    <w:rsid w:val="003F4BD9"/>
    <w:rsid w:val="003F4DE8"/>
    <w:rsid w:val="003F5D0D"/>
    <w:rsid w:val="003F5D8E"/>
    <w:rsid w:val="003F65B2"/>
    <w:rsid w:val="003F667E"/>
    <w:rsid w:val="003F6939"/>
    <w:rsid w:val="003F6FD2"/>
    <w:rsid w:val="003F77A2"/>
    <w:rsid w:val="003F78FB"/>
    <w:rsid w:val="003F7C4B"/>
    <w:rsid w:val="00400D28"/>
    <w:rsid w:val="00401781"/>
    <w:rsid w:val="00401AF2"/>
    <w:rsid w:val="00403460"/>
    <w:rsid w:val="004035DF"/>
    <w:rsid w:val="00403717"/>
    <w:rsid w:val="004038DF"/>
    <w:rsid w:val="00405219"/>
    <w:rsid w:val="004055C8"/>
    <w:rsid w:val="00405B74"/>
    <w:rsid w:val="00405BC8"/>
    <w:rsid w:val="00406FB7"/>
    <w:rsid w:val="00407006"/>
    <w:rsid w:val="00410754"/>
    <w:rsid w:val="00410F48"/>
    <w:rsid w:val="00411140"/>
    <w:rsid w:val="00411504"/>
    <w:rsid w:val="00411671"/>
    <w:rsid w:val="00411DF0"/>
    <w:rsid w:val="00412228"/>
    <w:rsid w:val="00412AE7"/>
    <w:rsid w:val="00413CCD"/>
    <w:rsid w:val="00414E71"/>
    <w:rsid w:val="004150C9"/>
    <w:rsid w:val="004151F3"/>
    <w:rsid w:val="00415612"/>
    <w:rsid w:val="00415613"/>
    <w:rsid w:val="00415647"/>
    <w:rsid w:val="00415D54"/>
    <w:rsid w:val="00416A5F"/>
    <w:rsid w:val="00416BDB"/>
    <w:rsid w:val="00417178"/>
    <w:rsid w:val="00417A34"/>
    <w:rsid w:val="0042041B"/>
    <w:rsid w:val="00420C8F"/>
    <w:rsid w:val="004216DE"/>
    <w:rsid w:val="00421737"/>
    <w:rsid w:val="00421BC3"/>
    <w:rsid w:val="004226B6"/>
    <w:rsid w:val="004226C9"/>
    <w:rsid w:val="00423C21"/>
    <w:rsid w:val="004250B6"/>
    <w:rsid w:val="00426FCB"/>
    <w:rsid w:val="0042789B"/>
    <w:rsid w:val="004301B8"/>
    <w:rsid w:val="00431965"/>
    <w:rsid w:val="00431B88"/>
    <w:rsid w:val="00431F42"/>
    <w:rsid w:val="00432664"/>
    <w:rsid w:val="00432C42"/>
    <w:rsid w:val="00433258"/>
    <w:rsid w:val="004337A6"/>
    <w:rsid w:val="00433FA2"/>
    <w:rsid w:val="004350F3"/>
    <w:rsid w:val="00435498"/>
    <w:rsid w:val="00436508"/>
    <w:rsid w:val="00436AED"/>
    <w:rsid w:val="00436E64"/>
    <w:rsid w:val="004376FC"/>
    <w:rsid w:val="004378D1"/>
    <w:rsid w:val="00437D2E"/>
    <w:rsid w:val="0044020D"/>
    <w:rsid w:val="00440483"/>
    <w:rsid w:val="00440F3D"/>
    <w:rsid w:val="004411B5"/>
    <w:rsid w:val="0044236E"/>
    <w:rsid w:val="00442DA2"/>
    <w:rsid w:val="00443011"/>
    <w:rsid w:val="0044429E"/>
    <w:rsid w:val="0044448B"/>
    <w:rsid w:val="0044472A"/>
    <w:rsid w:val="00444916"/>
    <w:rsid w:val="00445651"/>
    <w:rsid w:val="004458F3"/>
    <w:rsid w:val="00445AB3"/>
    <w:rsid w:val="00445D5A"/>
    <w:rsid w:val="0044617E"/>
    <w:rsid w:val="0044623A"/>
    <w:rsid w:val="004463A2"/>
    <w:rsid w:val="00446766"/>
    <w:rsid w:val="00446D2E"/>
    <w:rsid w:val="00446E0C"/>
    <w:rsid w:val="00447165"/>
    <w:rsid w:val="00447624"/>
    <w:rsid w:val="00447C43"/>
    <w:rsid w:val="00447CB7"/>
    <w:rsid w:val="00450037"/>
    <w:rsid w:val="004505F3"/>
    <w:rsid w:val="0045098A"/>
    <w:rsid w:val="00450D1E"/>
    <w:rsid w:val="00452023"/>
    <w:rsid w:val="00452296"/>
    <w:rsid w:val="0045261F"/>
    <w:rsid w:val="00452BD2"/>
    <w:rsid w:val="00452F57"/>
    <w:rsid w:val="00453650"/>
    <w:rsid w:val="004538EC"/>
    <w:rsid w:val="00453DF0"/>
    <w:rsid w:val="0045426D"/>
    <w:rsid w:val="004545B5"/>
    <w:rsid w:val="00454932"/>
    <w:rsid w:val="00454FFB"/>
    <w:rsid w:val="004557E8"/>
    <w:rsid w:val="00455A5F"/>
    <w:rsid w:val="00455AE1"/>
    <w:rsid w:val="00456B5E"/>
    <w:rsid w:val="00456BFF"/>
    <w:rsid w:val="00456EE9"/>
    <w:rsid w:val="0045799F"/>
    <w:rsid w:val="00457DB6"/>
    <w:rsid w:val="00460A41"/>
    <w:rsid w:val="00460BF7"/>
    <w:rsid w:val="00460C8B"/>
    <w:rsid w:val="00460DB5"/>
    <w:rsid w:val="00462B5D"/>
    <w:rsid w:val="00463910"/>
    <w:rsid w:val="00464FD1"/>
    <w:rsid w:val="00465041"/>
    <w:rsid w:val="00465240"/>
    <w:rsid w:val="00465631"/>
    <w:rsid w:val="00465BED"/>
    <w:rsid w:val="00466364"/>
    <w:rsid w:val="004669D0"/>
    <w:rsid w:val="004678B5"/>
    <w:rsid w:val="00467AD7"/>
    <w:rsid w:val="00467D3B"/>
    <w:rsid w:val="00470388"/>
    <w:rsid w:val="0047124F"/>
    <w:rsid w:val="0047132A"/>
    <w:rsid w:val="00472B7A"/>
    <w:rsid w:val="00472DA3"/>
    <w:rsid w:val="0047313D"/>
    <w:rsid w:val="00473EC0"/>
    <w:rsid w:val="004744CE"/>
    <w:rsid w:val="00474D52"/>
    <w:rsid w:val="00474F3C"/>
    <w:rsid w:val="004756F6"/>
    <w:rsid w:val="0047571E"/>
    <w:rsid w:val="0047632A"/>
    <w:rsid w:val="00476993"/>
    <w:rsid w:val="0047718B"/>
    <w:rsid w:val="0047749E"/>
    <w:rsid w:val="00477860"/>
    <w:rsid w:val="00477A76"/>
    <w:rsid w:val="00477A7A"/>
    <w:rsid w:val="00477F7C"/>
    <w:rsid w:val="00480026"/>
    <w:rsid w:val="004800F3"/>
    <w:rsid w:val="0048224C"/>
    <w:rsid w:val="00482CF1"/>
    <w:rsid w:val="004834CF"/>
    <w:rsid w:val="00484415"/>
    <w:rsid w:val="00484B92"/>
    <w:rsid w:val="00484C58"/>
    <w:rsid w:val="00486CB5"/>
    <w:rsid w:val="00486EBD"/>
    <w:rsid w:val="00491699"/>
    <w:rsid w:val="00491745"/>
    <w:rsid w:val="004918A3"/>
    <w:rsid w:val="00491B8D"/>
    <w:rsid w:val="00492017"/>
    <w:rsid w:val="004922D7"/>
    <w:rsid w:val="00492691"/>
    <w:rsid w:val="00492F5B"/>
    <w:rsid w:val="00494233"/>
    <w:rsid w:val="00494627"/>
    <w:rsid w:val="0049468F"/>
    <w:rsid w:val="0049482A"/>
    <w:rsid w:val="004955C2"/>
    <w:rsid w:val="004958E4"/>
    <w:rsid w:val="00495B54"/>
    <w:rsid w:val="00496452"/>
    <w:rsid w:val="00496934"/>
    <w:rsid w:val="00496BB7"/>
    <w:rsid w:val="00496C14"/>
    <w:rsid w:val="00497255"/>
    <w:rsid w:val="00497883"/>
    <w:rsid w:val="00497A0B"/>
    <w:rsid w:val="00497A42"/>
    <w:rsid w:val="004A0017"/>
    <w:rsid w:val="004A0607"/>
    <w:rsid w:val="004A176F"/>
    <w:rsid w:val="004A17BE"/>
    <w:rsid w:val="004A2380"/>
    <w:rsid w:val="004A23DC"/>
    <w:rsid w:val="004A29B1"/>
    <w:rsid w:val="004A29CA"/>
    <w:rsid w:val="004A2BC7"/>
    <w:rsid w:val="004A2E0F"/>
    <w:rsid w:val="004A2E6F"/>
    <w:rsid w:val="004A3064"/>
    <w:rsid w:val="004A33CE"/>
    <w:rsid w:val="004A371F"/>
    <w:rsid w:val="004A379B"/>
    <w:rsid w:val="004A482D"/>
    <w:rsid w:val="004A4C49"/>
    <w:rsid w:val="004A5D0A"/>
    <w:rsid w:val="004A6238"/>
    <w:rsid w:val="004A646C"/>
    <w:rsid w:val="004A652D"/>
    <w:rsid w:val="004A6645"/>
    <w:rsid w:val="004A6B4A"/>
    <w:rsid w:val="004A7061"/>
    <w:rsid w:val="004A7C9E"/>
    <w:rsid w:val="004A7D48"/>
    <w:rsid w:val="004A7E1A"/>
    <w:rsid w:val="004B0565"/>
    <w:rsid w:val="004B120F"/>
    <w:rsid w:val="004B1282"/>
    <w:rsid w:val="004B18EB"/>
    <w:rsid w:val="004B248E"/>
    <w:rsid w:val="004B269C"/>
    <w:rsid w:val="004B2784"/>
    <w:rsid w:val="004B30A7"/>
    <w:rsid w:val="004B37F8"/>
    <w:rsid w:val="004B3AD4"/>
    <w:rsid w:val="004B4264"/>
    <w:rsid w:val="004B43CE"/>
    <w:rsid w:val="004B46A5"/>
    <w:rsid w:val="004B4A66"/>
    <w:rsid w:val="004B4AA5"/>
    <w:rsid w:val="004B51B7"/>
    <w:rsid w:val="004B54D0"/>
    <w:rsid w:val="004B5E5B"/>
    <w:rsid w:val="004B6169"/>
    <w:rsid w:val="004B673D"/>
    <w:rsid w:val="004B6A0C"/>
    <w:rsid w:val="004B7566"/>
    <w:rsid w:val="004C02C9"/>
    <w:rsid w:val="004C0D95"/>
    <w:rsid w:val="004C15EA"/>
    <w:rsid w:val="004C1813"/>
    <w:rsid w:val="004C1A03"/>
    <w:rsid w:val="004C1DE9"/>
    <w:rsid w:val="004C209F"/>
    <w:rsid w:val="004C2724"/>
    <w:rsid w:val="004C27E8"/>
    <w:rsid w:val="004C2B78"/>
    <w:rsid w:val="004C2E12"/>
    <w:rsid w:val="004C3520"/>
    <w:rsid w:val="004C379E"/>
    <w:rsid w:val="004C3A6D"/>
    <w:rsid w:val="004C4B1B"/>
    <w:rsid w:val="004C4E33"/>
    <w:rsid w:val="004C5AC4"/>
    <w:rsid w:val="004C69D2"/>
    <w:rsid w:val="004C6E01"/>
    <w:rsid w:val="004C71E8"/>
    <w:rsid w:val="004C78B6"/>
    <w:rsid w:val="004C7D1D"/>
    <w:rsid w:val="004C7D27"/>
    <w:rsid w:val="004C7E18"/>
    <w:rsid w:val="004D01A8"/>
    <w:rsid w:val="004D09B9"/>
    <w:rsid w:val="004D0CDD"/>
    <w:rsid w:val="004D11E5"/>
    <w:rsid w:val="004D12C7"/>
    <w:rsid w:val="004D1FEA"/>
    <w:rsid w:val="004D2103"/>
    <w:rsid w:val="004D2520"/>
    <w:rsid w:val="004D3AF2"/>
    <w:rsid w:val="004D3EA2"/>
    <w:rsid w:val="004D40F3"/>
    <w:rsid w:val="004D4413"/>
    <w:rsid w:val="004D5BAB"/>
    <w:rsid w:val="004D5FB5"/>
    <w:rsid w:val="004D69FE"/>
    <w:rsid w:val="004D6AAC"/>
    <w:rsid w:val="004D6E5D"/>
    <w:rsid w:val="004D7134"/>
    <w:rsid w:val="004D7447"/>
    <w:rsid w:val="004D74F1"/>
    <w:rsid w:val="004D791F"/>
    <w:rsid w:val="004D7EF6"/>
    <w:rsid w:val="004E00A2"/>
    <w:rsid w:val="004E0742"/>
    <w:rsid w:val="004E2C02"/>
    <w:rsid w:val="004E2FB1"/>
    <w:rsid w:val="004E35BF"/>
    <w:rsid w:val="004E366B"/>
    <w:rsid w:val="004E550D"/>
    <w:rsid w:val="004E5564"/>
    <w:rsid w:val="004E5854"/>
    <w:rsid w:val="004E5FEB"/>
    <w:rsid w:val="004E629E"/>
    <w:rsid w:val="004E629F"/>
    <w:rsid w:val="004E6F28"/>
    <w:rsid w:val="004E70F3"/>
    <w:rsid w:val="004F0C36"/>
    <w:rsid w:val="004F1D72"/>
    <w:rsid w:val="004F29EE"/>
    <w:rsid w:val="004F2C19"/>
    <w:rsid w:val="004F3BC9"/>
    <w:rsid w:val="004F419C"/>
    <w:rsid w:val="004F4812"/>
    <w:rsid w:val="004F4BE3"/>
    <w:rsid w:val="004F53EE"/>
    <w:rsid w:val="004F59E3"/>
    <w:rsid w:val="004F5E11"/>
    <w:rsid w:val="004F6F6E"/>
    <w:rsid w:val="004F7305"/>
    <w:rsid w:val="004F7515"/>
    <w:rsid w:val="004F779A"/>
    <w:rsid w:val="004F7EFA"/>
    <w:rsid w:val="00500324"/>
    <w:rsid w:val="005004A4"/>
    <w:rsid w:val="005004EB"/>
    <w:rsid w:val="00500B2B"/>
    <w:rsid w:val="00500F10"/>
    <w:rsid w:val="00501178"/>
    <w:rsid w:val="005018F2"/>
    <w:rsid w:val="00501A9B"/>
    <w:rsid w:val="005022DE"/>
    <w:rsid w:val="00502DC5"/>
    <w:rsid w:val="00502E10"/>
    <w:rsid w:val="005031E8"/>
    <w:rsid w:val="005035E0"/>
    <w:rsid w:val="0050377A"/>
    <w:rsid w:val="00503D58"/>
    <w:rsid w:val="00503DC9"/>
    <w:rsid w:val="005046CB"/>
    <w:rsid w:val="00504B02"/>
    <w:rsid w:val="0050631B"/>
    <w:rsid w:val="005072F6"/>
    <w:rsid w:val="005118C4"/>
    <w:rsid w:val="00511E47"/>
    <w:rsid w:val="0051212A"/>
    <w:rsid w:val="00512717"/>
    <w:rsid w:val="00512FA8"/>
    <w:rsid w:val="00513A48"/>
    <w:rsid w:val="00513CB1"/>
    <w:rsid w:val="00514B62"/>
    <w:rsid w:val="00514E06"/>
    <w:rsid w:val="00515657"/>
    <w:rsid w:val="00516191"/>
    <w:rsid w:val="005167A1"/>
    <w:rsid w:val="00516D23"/>
    <w:rsid w:val="00516E4C"/>
    <w:rsid w:val="00516E6B"/>
    <w:rsid w:val="0051756F"/>
    <w:rsid w:val="00517815"/>
    <w:rsid w:val="00517816"/>
    <w:rsid w:val="00520435"/>
    <w:rsid w:val="0052083C"/>
    <w:rsid w:val="00520AEC"/>
    <w:rsid w:val="00521EA0"/>
    <w:rsid w:val="0052323F"/>
    <w:rsid w:val="00523542"/>
    <w:rsid w:val="00523D1D"/>
    <w:rsid w:val="00524655"/>
    <w:rsid w:val="00524685"/>
    <w:rsid w:val="005248B8"/>
    <w:rsid w:val="00525601"/>
    <w:rsid w:val="005271AB"/>
    <w:rsid w:val="00527D15"/>
    <w:rsid w:val="00527F68"/>
    <w:rsid w:val="00530051"/>
    <w:rsid w:val="005301E4"/>
    <w:rsid w:val="0053070A"/>
    <w:rsid w:val="005309A0"/>
    <w:rsid w:val="00530BC5"/>
    <w:rsid w:val="00531126"/>
    <w:rsid w:val="00532328"/>
    <w:rsid w:val="00532395"/>
    <w:rsid w:val="005324BE"/>
    <w:rsid w:val="0053284D"/>
    <w:rsid w:val="005328FF"/>
    <w:rsid w:val="00532A69"/>
    <w:rsid w:val="00532F3A"/>
    <w:rsid w:val="00533179"/>
    <w:rsid w:val="005335AF"/>
    <w:rsid w:val="00533C1B"/>
    <w:rsid w:val="00533C63"/>
    <w:rsid w:val="00534A5E"/>
    <w:rsid w:val="00535165"/>
    <w:rsid w:val="00535455"/>
    <w:rsid w:val="005367EA"/>
    <w:rsid w:val="00536A5C"/>
    <w:rsid w:val="00536F99"/>
    <w:rsid w:val="0053738B"/>
    <w:rsid w:val="00537757"/>
    <w:rsid w:val="0053787E"/>
    <w:rsid w:val="0054101C"/>
    <w:rsid w:val="0054164C"/>
    <w:rsid w:val="00542A8F"/>
    <w:rsid w:val="00542E8B"/>
    <w:rsid w:val="00543DB4"/>
    <w:rsid w:val="00543EAB"/>
    <w:rsid w:val="00544C86"/>
    <w:rsid w:val="0054596A"/>
    <w:rsid w:val="00545D2C"/>
    <w:rsid w:val="005468DC"/>
    <w:rsid w:val="00546B51"/>
    <w:rsid w:val="00547086"/>
    <w:rsid w:val="00547C94"/>
    <w:rsid w:val="00547D5D"/>
    <w:rsid w:val="005511D3"/>
    <w:rsid w:val="00552B5A"/>
    <w:rsid w:val="00553D38"/>
    <w:rsid w:val="005548E8"/>
    <w:rsid w:val="00554A3A"/>
    <w:rsid w:val="005553B9"/>
    <w:rsid w:val="0055549B"/>
    <w:rsid w:val="00555D78"/>
    <w:rsid w:val="0055695D"/>
    <w:rsid w:val="00556A95"/>
    <w:rsid w:val="0055744E"/>
    <w:rsid w:val="00557907"/>
    <w:rsid w:val="005603E2"/>
    <w:rsid w:val="00560505"/>
    <w:rsid w:val="005608C9"/>
    <w:rsid w:val="00560CCF"/>
    <w:rsid w:val="0056104E"/>
    <w:rsid w:val="0056110E"/>
    <w:rsid w:val="00561EED"/>
    <w:rsid w:val="00561F38"/>
    <w:rsid w:val="00561FBF"/>
    <w:rsid w:val="00562651"/>
    <w:rsid w:val="005633BC"/>
    <w:rsid w:val="0056348A"/>
    <w:rsid w:val="00563857"/>
    <w:rsid w:val="005645DE"/>
    <w:rsid w:val="0056513C"/>
    <w:rsid w:val="00565169"/>
    <w:rsid w:val="00565289"/>
    <w:rsid w:val="0056538D"/>
    <w:rsid w:val="005654B7"/>
    <w:rsid w:val="005655E9"/>
    <w:rsid w:val="00565628"/>
    <w:rsid w:val="0056566E"/>
    <w:rsid w:val="00565704"/>
    <w:rsid w:val="0056615C"/>
    <w:rsid w:val="00566838"/>
    <w:rsid w:val="005669D1"/>
    <w:rsid w:val="00567469"/>
    <w:rsid w:val="00567731"/>
    <w:rsid w:val="005677E5"/>
    <w:rsid w:val="00567BF6"/>
    <w:rsid w:val="00567CD9"/>
    <w:rsid w:val="00570186"/>
    <w:rsid w:val="00571377"/>
    <w:rsid w:val="005717D8"/>
    <w:rsid w:val="0057199B"/>
    <w:rsid w:val="005729EA"/>
    <w:rsid w:val="00572F63"/>
    <w:rsid w:val="005730DF"/>
    <w:rsid w:val="005731F2"/>
    <w:rsid w:val="00573224"/>
    <w:rsid w:val="0057337B"/>
    <w:rsid w:val="00573630"/>
    <w:rsid w:val="00573710"/>
    <w:rsid w:val="00573EFF"/>
    <w:rsid w:val="0057404D"/>
    <w:rsid w:val="00574AA6"/>
    <w:rsid w:val="00574D33"/>
    <w:rsid w:val="00575201"/>
    <w:rsid w:val="0057524F"/>
    <w:rsid w:val="005754BF"/>
    <w:rsid w:val="00575B5B"/>
    <w:rsid w:val="0057610B"/>
    <w:rsid w:val="005766F4"/>
    <w:rsid w:val="00577F16"/>
    <w:rsid w:val="00580BC4"/>
    <w:rsid w:val="005814D6"/>
    <w:rsid w:val="00582124"/>
    <w:rsid w:val="00583A3C"/>
    <w:rsid w:val="00583F83"/>
    <w:rsid w:val="005845FA"/>
    <w:rsid w:val="00584723"/>
    <w:rsid w:val="00585053"/>
    <w:rsid w:val="00585738"/>
    <w:rsid w:val="00586AB7"/>
    <w:rsid w:val="00586AE1"/>
    <w:rsid w:val="005871B4"/>
    <w:rsid w:val="00587D93"/>
    <w:rsid w:val="0059035E"/>
    <w:rsid w:val="00590418"/>
    <w:rsid w:val="0059047F"/>
    <w:rsid w:val="005904E8"/>
    <w:rsid w:val="00590E2A"/>
    <w:rsid w:val="00591636"/>
    <w:rsid w:val="00591A50"/>
    <w:rsid w:val="005921C2"/>
    <w:rsid w:val="005922E6"/>
    <w:rsid w:val="0059366C"/>
    <w:rsid w:val="00593D91"/>
    <w:rsid w:val="005946EB"/>
    <w:rsid w:val="005956FC"/>
    <w:rsid w:val="005961ED"/>
    <w:rsid w:val="005965B0"/>
    <w:rsid w:val="00596692"/>
    <w:rsid w:val="00596ADD"/>
    <w:rsid w:val="00596F07"/>
    <w:rsid w:val="00597F9C"/>
    <w:rsid w:val="005A039C"/>
    <w:rsid w:val="005A05D3"/>
    <w:rsid w:val="005A06DC"/>
    <w:rsid w:val="005A14D9"/>
    <w:rsid w:val="005A1596"/>
    <w:rsid w:val="005A2084"/>
    <w:rsid w:val="005A2338"/>
    <w:rsid w:val="005A291B"/>
    <w:rsid w:val="005A2BB0"/>
    <w:rsid w:val="005A3169"/>
    <w:rsid w:val="005A4645"/>
    <w:rsid w:val="005A5254"/>
    <w:rsid w:val="005A57CE"/>
    <w:rsid w:val="005A6B99"/>
    <w:rsid w:val="005A6E03"/>
    <w:rsid w:val="005A79A3"/>
    <w:rsid w:val="005B0700"/>
    <w:rsid w:val="005B09E5"/>
    <w:rsid w:val="005B0AB1"/>
    <w:rsid w:val="005B141B"/>
    <w:rsid w:val="005B1685"/>
    <w:rsid w:val="005B16BE"/>
    <w:rsid w:val="005B220D"/>
    <w:rsid w:val="005B23FF"/>
    <w:rsid w:val="005B262B"/>
    <w:rsid w:val="005B26AA"/>
    <w:rsid w:val="005B273D"/>
    <w:rsid w:val="005B2974"/>
    <w:rsid w:val="005B29FC"/>
    <w:rsid w:val="005B2C27"/>
    <w:rsid w:val="005B36B8"/>
    <w:rsid w:val="005B3FEA"/>
    <w:rsid w:val="005B5001"/>
    <w:rsid w:val="005B53BA"/>
    <w:rsid w:val="005B57FC"/>
    <w:rsid w:val="005B5F35"/>
    <w:rsid w:val="005B6188"/>
    <w:rsid w:val="005B6CA7"/>
    <w:rsid w:val="005B792F"/>
    <w:rsid w:val="005B7A57"/>
    <w:rsid w:val="005B7BB5"/>
    <w:rsid w:val="005B7CDB"/>
    <w:rsid w:val="005B7DBC"/>
    <w:rsid w:val="005C05BD"/>
    <w:rsid w:val="005C07FE"/>
    <w:rsid w:val="005C099B"/>
    <w:rsid w:val="005C1845"/>
    <w:rsid w:val="005C1DC1"/>
    <w:rsid w:val="005C2191"/>
    <w:rsid w:val="005C2666"/>
    <w:rsid w:val="005C34C5"/>
    <w:rsid w:val="005C3529"/>
    <w:rsid w:val="005C3959"/>
    <w:rsid w:val="005C3C12"/>
    <w:rsid w:val="005C3C1B"/>
    <w:rsid w:val="005C3DE5"/>
    <w:rsid w:val="005C4C2A"/>
    <w:rsid w:val="005C4C80"/>
    <w:rsid w:val="005C4E2D"/>
    <w:rsid w:val="005C6541"/>
    <w:rsid w:val="005C693A"/>
    <w:rsid w:val="005C6DF0"/>
    <w:rsid w:val="005C7050"/>
    <w:rsid w:val="005C768F"/>
    <w:rsid w:val="005C7706"/>
    <w:rsid w:val="005C7E5E"/>
    <w:rsid w:val="005C7ED2"/>
    <w:rsid w:val="005D02CD"/>
    <w:rsid w:val="005D05A9"/>
    <w:rsid w:val="005D08D1"/>
    <w:rsid w:val="005D0A2C"/>
    <w:rsid w:val="005D0EB7"/>
    <w:rsid w:val="005D14C4"/>
    <w:rsid w:val="005D15E8"/>
    <w:rsid w:val="005D1E6D"/>
    <w:rsid w:val="005D209C"/>
    <w:rsid w:val="005D2221"/>
    <w:rsid w:val="005D2244"/>
    <w:rsid w:val="005D2382"/>
    <w:rsid w:val="005D27F5"/>
    <w:rsid w:val="005D2D61"/>
    <w:rsid w:val="005D32F9"/>
    <w:rsid w:val="005D377D"/>
    <w:rsid w:val="005D468C"/>
    <w:rsid w:val="005D4AB7"/>
    <w:rsid w:val="005D53FA"/>
    <w:rsid w:val="005D5850"/>
    <w:rsid w:val="005D5AB7"/>
    <w:rsid w:val="005D5B85"/>
    <w:rsid w:val="005D65BE"/>
    <w:rsid w:val="005D6FD9"/>
    <w:rsid w:val="005D7833"/>
    <w:rsid w:val="005D7DCF"/>
    <w:rsid w:val="005E03CC"/>
    <w:rsid w:val="005E0506"/>
    <w:rsid w:val="005E076D"/>
    <w:rsid w:val="005E122D"/>
    <w:rsid w:val="005E1DAB"/>
    <w:rsid w:val="005E1DB6"/>
    <w:rsid w:val="005E1E9D"/>
    <w:rsid w:val="005E2001"/>
    <w:rsid w:val="005E20A8"/>
    <w:rsid w:val="005E23F6"/>
    <w:rsid w:val="005E25B8"/>
    <w:rsid w:val="005E25DC"/>
    <w:rsid w:val="005E279A"/>
    <w:rsid w:val="005E29D6"/>
    <w:rsid w:val="005E2D25"/>
    <w:rsid w:val="005E2E7B"/>
    <w:rsid w:val="005E2FA0"/>
    <w:rsid w:val="005E3172"/>
    <w:rsid w:val="005E3AFB"/>
    <w:rsid w:val="005E3C22"/>
    <w:rsid w:val="005E3F73"/>
    <w:rsid w:val="005E418E"/>
    <w:rsid w:val="005E4511"/>
    <w:rsid w:val="005E49C3"/>
    <w:rsid w:val="005E4A89"/>
    <w:rsid w:val="005E50CA"/>
    <w:rsid w:val="005E539B"/>
    <w:rsid w:val="005E6BC1"/>
    <w:rsid w:val="005E6E4F"/>
    <w:rsid w:val="005E7F64"/>
    <w:rsid w:val="005F0294"/>
    <w:rsid w:val="005F02D4"/>
    <w:rsid w:val="005F0D40"/>
    <w:rsid w:val="005F1509"/>
    <w:rsid w:val="005F1C0A"/>
    <w:rsid w:val="005F2791"/>
    <w:rsid w:val="005F2FF9"/>
    <w:rsid w:val="005F3055"/>
    <w:rsid w:val="005F318C"/>
    <w:rsid w:val="005F3E94"/>
    <w:rsid w:val="005F4AED"/>
    <w:rsid w:val="005F55B1"/>
    <w:rsid w:val="005F569D"/>
    <w:rsid w:val="005F6433"/>
    <w:rsid w:val="005F6739"/>
    <w:rsid w:val="005F6802"/>
    <w:rsid w:val="005F699C"/>
    <w:rsid w:val="005F75BD"/>
    <w:rsid w:val="005F7E8D"/>
    <w:rsid w:val="006004A4"/>
    <w:rsid w:val="00600931"/>
    <w:rsid w:val="00600C31"/>
    <w:rsid w:val="0060115C"/>
    <w:rsid w:val="006011CD"/>
    <w:rsid w:val="006021DE"/>
    <w:rsid w:val="006029BC"/>
    <w:rsid w:val="00602D45"/>
    <w:rsid w:val="00602E69"/>
    <w:rsid w:val="00602FC5"/>
    <w:rsid w:val="00603133"/>
    <w:rsid w:val="00603441"/>
    <w:rsid w:val="006037C2"/>
    <w:rsid w:val="006042FF"/>
    <w:rsid w:val="00604A61"/>
    <w:rsid w:val="00604DC8"/>
    <w:rsid w:val="00604DD0"/>
    <w:rsid w:val="00605023"/>
    <w:rsid w:val="006050D5"/>
    <w:rsid w:val="00605272"/>
    <w:rsid w:val="00605A81"/>
    <w:rsid w:val="00605B40"/>
    <w:rsid w:val="00605CE8"/>
    <w:rsid w:val="00605DF7"/>
    <w:rsid w:val="006060FB"/>
    <w:rsid w:val="006066FC"/>
    <w:rsid w:val="00606A00"/>
    <w:rsid w:val="006074E5"/>
    <w:rsid w:val="00610AAD"/>
    <w:rsid w:val="0061106B"/>
    <w:rsid w:val="00611148"/>
    <w:rsid w:val="006112C4"/>
    <w:rsid w:val="006123E7"/>
    <w:rsid w:val="006126F4"/>
    <w:rsid w:val="00612E30"/>
    <w:rsid w:val="00613030"/>
    <w:rsid w:val="00613429"/>
    <w:rsid w:val="00613657"/>
    <w:rsid w:val="00613E15"/>
    <w:rsid w:val="00614B32"/>
    <w:rsid w:val="00614BA5"/>
    <w:rsid w:val="00615429"/>
    <w:rsid w:val="00615763"/>
    <w:rsid w:val="0061699A"/>
    <w:rsid w:val="00616BD2"/>
    <w:rsid w:val="00616C54"/>
    <w:rsid w:val="00616D29"/>
    <w:rsid w:val="00616E83"/>
    <w:rsid w:val="0061727C"/>
    <w:rsid w:val="006173F5"/>
    <w:rsid w:val="00620CB0"/>
    <w:rsid w:val="0062164A"/>
    <w:rsid w:val="0062196A"/>
    <w:rsid w:val="00622D99"/>
    <w:rsid w:val="00623B1B"/>
    <w:rsid w:val="00623C53"/>
    <w:rsid w:val="00623F88"/>
    <w:rsid w:val="00624A3B"/>
    <w:rsid w:val="006250EE"/>
    <w:rsid w:val="00625571"/>
    <w:rsid w:val="00625AA2"/>
    <w:rsid w:val="006268ED"/>
    <w:rsid w:val="006269AD"/>
    <w:rsid w:val="006271C2"/>
    <w:rsid w:val="00627473"/>
    <w:rsid w:val="00627C84"/>
    <w:rsid w:val="00627D5D"/>
    <w:rsid w:val="0063006F"/>
    <w:rsid w:val="00630AF1"/>
    <w:rsid w:val="00630CD5"/>
    <w:rsid w:val="00631013"/>
    <w:rsid w:val="00631783"/>
    <w:rsid w:val="00631C11"/>
    <w:rsid w:val="00632065"/>
    <w:rsid w:val="00632132"/>
    <w:rsid w:val="00633670"/>
    <w:rsid w:val="006339A4"/>
    <w:rsid w:val="00633A14"/>
    <w:rsid w:val="0063409E"/>
    <w:rsid w:val="00634A62"/>
    <w:rsid w:val="00634D5A"/>
    <w:rsid w:val="00635C3D"/>
    <w:rsid w:val="00637AC4"/>
    <w:rsid w:val="0064030A"/>
    <w:rsid w:val="00640636"/>
    <w:rsid w:val="00640981"/>
    <w:rsid w:val="006409CA"/>
    <w:rsid w:val="00641F4B"/>
    <w:rsid w:val="00642061"/>
    <w:rsid w:val="00643592"/>
    <w:rsid w:val="006436CD"/>
    <w:rsid w:val="00643AF5"/>
    <w:rsid w:val="0064433D"/>
    <w:rsid w:val="0064512A"/>
    <w:rsid w:val="00645E7A"/>
    <w:rsid w:val="0064616E"/>
    <w:rsid w:val="006462F6"/>
    <w:rsid w:val="006471DE"/>
    <w:rsid w:val="0064728F"/>
    <w:rsid w:val="00647CFD"/>
    <w:rsid w:val="00650073"/>
    <w:rsid w:val="00650250"/>
    <w:rsid w:val="0065090F"/>
    <w:rsid w:val="00650A6D"/>
    <w:rsid w:val="00650D43"/>
    <w:rsid w:val="006510D6"/>
    <w:rsid w:val="006512D8"/>
    <w:rsid w:val="00651DE3"/>
    <w:rsid w:val="00652554"/>
    <w:rsid w:val="006537EE"/>
    <w:rsid w:val="00654032"/>
    <w:rsid w:val="0065470A"/>
    <w:rsid w:val="00654C6B"/>
    <w:rsid w:val="00654DE5"/>
    <w:rsid w:val="006551BB"/>
    <w:rsid w:val="006551BD"/>
    <w:rsid w:val="006552B2"/>
    <w:rsid w:val="00655B3D"/>
    <w:rsid w:val="00656C17"/>
    <w:rsid w:val="00657843"/>
    <w:rsid w:val="00657CB5"/>
    <w:rsid w:val="00657E9F"/>
    <w:rsid w:val="006604B2"/>
    <w:rsid w:val="00660DAD"/>
    <w:rsid w:val="0066134A"/>
    <w:rsid w:val="0066181C"/>
    <w:rsid w:val="0066255A"/>
    <w:rsid w:val="00662F2C"/>
    <w:rsid w:val="006631B8"/>
    <w:rsid w:val="00663A1E"/>
    <w:rsid w:val="00664529"/>
    <w:rsid w:val="006645E2"/>
    <w:rsid w:val="00664716"/>
    <w:rsid w:val="00664721"/>
    <w:rsid w:val="0066485A"/>
    <w:rsid w:val="00665AC8"/>
    <w:rsid w:val="0066633C"/>
    <w:rsid w:val="006672BD"/>
    <w:rsid w:val="006679FD"/>
    <w:rsid w:val="0067030E"/>
    <w:rsid w:val="0067043C"/>
    <w:rsid w:val="006707D3"/>
    <w:rsid w:val="00670979"/>
    <w:rsid w:val="00671613"/>
    <w:rsid w:val="0067197D"/>
    <w:rsid w:val="00671A82"/>
    <w:rsid w:val="00671A8D"/>
    <w:rsid w:val="00671B6A"/>
    <w:rsid w:val="00673272"/>
    <w:rsid w:val="006739EE"/>
    <w:rsid w:val="00674A56"/>
    <w:rsid w:val="00674CAA"/>
    <w:rsid w:val="00674DFE"/>
    <w:rsid w:val="00674F7D"/>
    <w:rsid w:val="00674FD9"/>
    <w:rsid w:val="0067504B"/>
    <w:rsid w:val="0067574B"/>
    <w:rsid w:val="00675F93"/>
    <w:rsid w:val="00676612"/>
    <w:rsid w:val="006777EA"/>
    <w:rsid w:val="00677805"/>
    <w:rsid w:val="00677E33"/>
    <w:rsid w:val="00680A90"/>
    <w:rsid w:val="00680D1F"/>
    <w:rsid w:val="00682B97"/>
    <w:rsid w:val="00682C76"/>
    <w:rsid w:val="0068472E"/>
    <w:rsid w:val="00684C35"/>
    <w:rsid w:val="00685212"/>
    <w:rsid w:val="00685F7E"/>
    <w:rsid w:val="00686DE0"/>
    <w:rsid w:val="006870F3"/>
    <w:rsid w:val="006876BC"/>
    <w:rsid w:val="006876EF"/>
    <w:rsid w:val="006877CB"/>
    <w:rsid w:val="00687BC8"/>
    <w:rsid w:val="00687CE1"/>
    <w:rsid w:val="0069002C"/>
    <w:rsid w:val="006905F6"/>
    <w:rsid w:val="006907EE"/>
    <w:rsid w:val="00690C67"/>
    <w:rsid w:val="00691F3C"/>
    <w:rsid w:val="0069238A"/>
    <w:rsid w:val="006930AD"/>
    <w:rsid w:val="00693699"/>
    <w:rsid w:val="00693E3E"/>
    <w:rsid w:val="00693EB9"/>
    <w:rsid w:val="006945E3"/>
    <w:rsid w:val="0069469F"/>
    <w:rsid w:val="00694EFF"/>
    <w:rsid w:val="006956F1"/>
    <w:rsid w:val="006958B5"/>
    <w:rsid w:val="006958DD"/>
    <w:rsid w:val="00695A7D"/>
    <w:rsid w:val="00696090"/>
    <w:rsid w:val="0069791F"/>
    <w:rsid w:val="006A09EF"/>
    <w:rsid w:val="006A21F8"/>
    <w:rsid w:val="006A26C0"/>
    <w:rsid w:val="006A2AA2"/>
    <w:rsid w:val="006A300D"/>
    <w:rsid w:val="006A3631"/>
    <w:rsid w:val="006A397D"/>
    <w:rsid w:val="006A446E"/>
    <w:rsid w:val="006A449A"/>
    <w:rsid w:val="006A4FEA"/>
    <w:rsid w:val="006A55F5"/>
    <w:rsid w:val="006A5863"/>
    <w:rsid w:val="006A5C30"/>
    <w:rsid w:val="006A6617"/>
    <w:rsid w:val="006A6CDF"/>
    <w:rsid w:val="006A71BA"/>
    <w:rsid w:val="006A76C4"/>
    <w:rsid w:val="006A76E6"/>
    <w:rsid w:val="006A7C93"/>
    <w:rsid w:val="006A7EEF"/>
    <w:rsid w:val="006B0B67"/>
    <w:rsid w:val="006B1B0B"/>
    <w:rsid w:val="006B1D3F"/>
    <w:rsid w:val="006B1DF6"/>
    <w:rsid w:val="006B200C"/>
    <w:rsid w:val="006B2E8E"/>
    <w:rsid w:val="006B3CE8"/>
    <w:rsid w:val="006B3F82"/>
    <w:rsid w:val="006B3FB7"/>
    <w:rsid w:val="006B41BA"/>
    <w:rsid w:val="006B538A"/>
    <w:rsid w:val="006B56C2"/>
    <w:rsid w:val="006B6143"/>
    <w:rsid w:val="006B6209"/>
    <w:rsid w:val="006B6ABA"/>
    <w:rsid w:val="006B79BF"/>
    <w:rsid w:val="006C140F"/>
    <w:rsid w:val="006C1453"/>
    <w:rsid w:val="006C1947"/>
    <w:rsid w:val="006C1ABF"/>
    <w:rsid w:val="006C3F05"/>
    <w:rsid w:val="006C43CB"/>
    <w:rsid w:val="006C4762"/>
    <w:rsid w:val="006C4C43"/>
    <w:rsid w:val="006C550B"/>
    <w:rsid w:val="006C5DE4"/>
    <w:rsid w:val="006C5F79"/>
    <w:rsid w:val="006C622C"/>
    <w:rsid w:val="006C67C6"/>
    <w:rsid w:val="006C7790"/>
    <w:rsid w:val="006C78B2"/>
    <w:rsid w:val="006C7A07"/>
    <w:rsid w:val="006C7B39"/>
    <w:rsid w:val="006D0381"/>
    <w:rsid w:val="006D05F2"/>
    <w:rsid w:val="006D0674"/>
    <w:rsid w:val="006D0BD5"/>
    <w:rsid w:val="006D0C57"/>
    <w:rsid w:val="006D1434"/>
    <w:rsid w:val="006D1606"/>
    <w:rsid w:val="006D225C"/>
    <w:rsid w:val="006D279F"/>
    <w:rsid w:val="006D3512"/>
    <w:rsid w:val="006D3956"/>
    <w:rsid w:val="006D43D8"/>
    <w:rsid w:val="006D4E20"/>
    <w:rsid w:val="006D5070"/>
    <w:rsid w:val="006D50B5"/>
    <w:rsid w:val="006D5858"/>
    <w:rsid w:val="006D6E2F"/>
    <w:rsid w:val="006D7393"/>
    <w:rsid w:val="006D7AC9"/>
    <w:rsid w:val="006E017C"/>
    <w:rsid w:val="006E077B"/>
    <w:rsid w:val="006E0B58"/>
    <w:rsid w:val="006E0E4A"/>
    <w:rsid w:val="006E1341"/>
    <w:rsid w:val="006E145D"/>
    <w:rsid w:val="006E2057"/>
    <w:rsid w:val="006E25EC"/>
    <w:rsid w:val="006E29FA"/>
    <w:rsid w:val="006E30BD"/>
    <w:rsid w:val="006E38BF"/>
    <w:rsid w:val="006E3BB7"/>
    <w:rsid w:val="006E3CEC"/>
    <w:rsid w:val="006E3CF6"/>
    <w:rsid w:val="006E44CD"/>
    <w:rsid w:val="006E5917"/>
    <w:rsid w:val="006E6634"/>
    <w:rsid w:val="006E74C3"/>
    <w:rsid w:val="006E7640"/>
    <w:rsid w:val="006E7B30"/>
    <w:rsid w:val="006E7C57"/>
    <w:rsid w:val="006E7F56"/>
    <w:rsid w:val="006F07C9"/>
    <w:rsid w:val="006F0D0B"/>
    <w:rsid w:val="006F172D"/>
    <w:rsid w:val="006F17F1"/>
    <w:rsid w:val="006F1DCC"/>
    <w:rsid w:val="006F1E36"/>
    <w:rsid w:val="006F2973"/>
    <w:rsid w:val="006F3065"/>
    <w:rsid w:val="006F3888"/>
    <w:rsid w:val="006F3ED5"/>
    <w:rsid w:val="006F465F"/>
    <w:rsid w:val="006F554A"/>
    <w:rsid w:val="006F623D"/>
    <w:rsid w:val="006F6E9E"/>
    <w:rsid w:val="006F6FC8"/>
    <w:rsid w:val="006F790D"/>
    <w:rsid w:val="0070034D"/>
    <w:rsid w:val="007003B4"/>
    <w:rsid w:val="007007C1"/>
    <w:rsid w:val="007009D9"/>
    <w:rsid w:val="00700B8C"/>
    <w:rsid w:val="00700D46"/>
    <w:rsid w:val="0070135A"/>
    <w:rsid w:val="00701C1D"/>
    <w:rsid w:val="00701FBD"/>
    <w:rsid w:val="00702B48"/>
    <w:rsid w:val="007030A8"/>
    <w:rsid w:val="00704010"/>
    <w:rsid w:val="00704014"/>
    <w:rsid w:val="00704081"/>
    <w:rsid w:val="00704607"/>
    <w:rsid w:val="007047A6"/>
    <w:rsid w:val="0070578A"/>
    <w:rsid w:val="007058F8"/>
    <w:rsid w:val="007069BF"/>
    <w:rsid w:val="007124FD"/>
    <w:rsid w:val="007129DE"/>
    <w:rsid w:val="0071303E"/>
    <w:rsid w:val="0071335B"/>
    <w:rsid w:val="00713B66"/>
    <w:rsid w:val="00714089"/>
    <w:rsid w:val="007144BC"/>
    <w:rsid w:val="0071575A"/>
    <w:rsid w:val="00715B43"/>
    <w:rsid w:val="00715FD8"/>
    <w:rsid w:val="0071662E"/>
    <w:rsid w:val="00717279"/>
    <w:rsid w:val="00717C2C"/>
    <w:rsid w:val="00717C88"/>
    <w:rsid w:val="00720373"/>
    <w:rsid w:val="00720472"/>
    <w:rsid w:val="007204A6"/>
    <w:rsid w:val="00720E2B"/>
    <w:rsid w:val="007215A6"/>
    <w:rsid w:val="00721CE5"/>
    <w:rsid w:val="00721E21"/>
    <w:rsid w:val="00722859"/>
    <w:rsid w:val="007229BE"/>
    <w:rsid w:val="007239A6"/>
    <w:rsid w:val="007245D6"/>
    <w:rsid w:val="0072497D"/>
    <w:rsid w:val="00724D09"/>
    <w:rsid w:val="00724E32"/>
    <w:rsid w:val="00725011"/>
    <w:rsid w:val="0072520E"/>
    <w:rsid w:val="007252D9"/>
    <w:rsid w:val="00725D69"/>
    <w:rsid w:val="00726691"/>
    <w:rsid w:val="00726AF6"/>
    <w:rsid w:val="00727755"/>
    <w:rsid w:val="007310B8"/>
    <w:rsid w:val="0073209A"/>
    <w:rsid w:val="00732C26"/>
    <w:rsid w:val="00732CAE"/>
    <w:rsid w:val="00733C11"/>
    <w:rsid w:val="00733EBA"/>
    <w:rsid w:val="007343F4"/>
    <w:rsid w:val="0073457C"/>
    <w:rsid w:val="00734C3F"/>
    <w:rsid w:val="00734C5C"/>
    <w:rsid w:val="0073515B"/>
    <w:rsid w:val="00735813"/>
    <w:rsid w:val="00736379"/>
    <w:rsid w:val="007364A6"/>
    <w:rsid w:val="0073657F"/>
    <w:rsid w:val="007369A8"/>
    <w:rsid w:val="007372CB"/>
    <w:rsid w:val="00737440"/>
    <w:rsid w:val="00740350"/>
    <w:rsid w:val="00740672"/>
    <w:rsid w:val="007406CA"/>
    <w:rsid w:val="00740A32"/>
    <w:rsid w:val="00740A81"/>
    <w:rsid w:val="00740B83"/>
    <w:rsid w:val="00740F63"/>
    <w:rsid w:val="00741D9D"/>
    <w:rsid w:val="00742066"/>
    <w:rsid w:val="00742341"/>
    <w:rsid w:val="00742D63"/>
    <w:rsid w:val="00743604"/>
    <w:rsid w:val="0074375A"/>
    <w:rsid w:val="00743946"/>
    <w:rsid w:val="00743A60"/>
    <w:rsid w:val="00743C7D"/>
    <w:rsid w:val="00744A60"/>
    <w:rsid w:val="00744EEC"/>
    <w:rsid w:val="00744EEF"/>
    <w:rsid w:val="00745968"/>
    <w:rsid w:val="00745B7D"/>
    <w:rsid w:val="00745BBB"/>
    <w:rsid w:val="00745CAE"/>
    <w:rsid w:val="00746B34"/>
    <w:rsid w:val="00746C2D"/>
    <w:rsid w:val="007475D8"/>
    <w:rsid w:val="00747A45"/>
    <w:rsid w:val="00750477"/>
    <w:rsid w:val="00750665"/>
    <w:rsid w:val="00751172"/>
    <w:rsid w:val="0075121F"/>
    <w:rsid w:val="007519F4"/>
    <w:rsid w:val="00751C98"/>
    <w:rsid w:val="00751E45"/>
    <w:rsid w:val="00752A6E"/>
    <w:rsid w:val="007533C2"/>
    <w:rsid w:val="00753829"/>
    <w:rsid w:val="00753C40"/>
    <w:rsid w:val="00753E0D"/>
    <w:rsid w:val="00754183"/>
    <w:rsid w:val="00756A07"/>
    <w:rsid w:val="00756B8D"/>
    <w:rsid w:val="00756CCD"/>
    <w:rsid w:val="00756CFC"/>
    <w:rsid w:val="00757202"/>
    <w:rsid w:val="00757297"/>
    <w:rsid w:val="00757A29"/>
    <w:rsid w:val="00760783"/>
    <w:rsid w:val="007608FE"/>
    <w:rsid w:val="00760C38"/>
    <w:rsid w:val="00760CF7"/>
    <w:rsid w:val="007612A9"/>
    <w:rsid w:val="007613D9"/>
    <w:rsid w:val="00761D1B"/>
    <w:rsid w:val="00761E38"/>
    <w:rsid w:val="00762322"/>
    <w:rsid w:val="00762BF2"/>
    <w:rsid w:val="00763386"/>
    <w:rsid w:val="007633FE"/>
    <w:rsid w:val="00763839"/>
    <w:rsid w:val="00763B93"/>
    <w:rsid w:val="00763CC0"/>
    <w:rsid w:val="00763F6E"/>
    <w:rsid w:val="0076408F"/>
    <w:rsid w:val="007645FD"/>
    <w:rsid w:val="007651B2"/>
    <w:rsid w:val="00765418"/>
    <w:rsid w:val="00765568"/>
    <w:rsid w:val="007660BD"/>
    <w:rsid w:val="00767548"/>
    <w:rsid w:val="0077090E"/>
    <w:rsid w:val="00770990"/>
    <w:rsid w:val="00770D34"/>
    <w:rsid w:val="00772432"/>
    <w:rsid w:val="00772A3F"/>
    <w:rsid w:val="00772AB8"/>
    <w:rsid w:val="00772BAA"/>
    <w:rsid w:val="0077326A"/>
    <w:rsid w:val="007732F0"/>
    <w:rsid w:val="0077544E"/>
    <w:rsid w:val="007757A0"/>
    <w:rsid w:val="00776A3D"/>
    <w:rsid w:val="00776CD8"/>
    <w:rsid w:val="007800AC"/>
    <w:rsid w:val="0078069B"/>
    <w:rsid w:val="007807AB"/>
    <w:rsid w:val="00780806"/>
    <w:rsid w:val="00780ECF"/>
    <w:rsid w:val="007810D3"/>
    <w:rsid w:val="0078178F"/>
    <w:rsid w:val="00781973"/>
    <w:rsid w:val="0078204A"/>
    <w:rsid w:val="00782204"/>
    <w:rsid w:val="00782608"/>
    <w:rsid w:val="0078262E"/>
    <w:rsid w:val="00782BA8"/>
    <w:rsid w:val="00783042"/>
    <w:rsid w:val="00784D8E"/>
    <w:rsid w:val="00784EDF"/>
    <w:rsid w:val="0078508A"/>
    <w:rsid w:val="00785125"/>
    <w:rsid w:val="0078548F"/>
    <w:rsid w:val="00786040"/>
    <w:rsid w:val="007870DD"/>
    <w:rsid w:val="007875CE"/>
    <w:rsid w:val="0078764A"/>
    <w:rsid w:val="0078779E"/>
    <w:rsid w:val="007878D8"/>
    <w:rsid w:val="0079015E"/>
    <w:rsid w:val="00790C39"/>
    <w:rsid w:val="00791947"/>
    <w:rsid w:val="00791E8A"/>
    <w:rsid w:val="00792849"/>
    <w:rsid w:val="00793937"/>
    <w:rsid w:val="00793C9C"/>
    <w:rsid w:val="00795018"/>
    <w:rsid w:val="0079543E"/>
    <w:rsid w:val="007955F0"/>
    <w:rsid w:val="00795603"/>
    <w:rsid w:val="00796391"/>
    <w:rsid w:val="00796419"/>
    <w:rsid w:val="00796CFB"/>
    <w:rsid w:val="00796E33"/>
    <w:rsid w:val="00797035"/>
    <w:rsid w:val="007A0413"/>
    <w:rsid w:val="007A04C5"/>
    <w:rsid w:val="007A055D"/>
    <w:rsid w:val="007A0ACA"/>
    <w:rsid w:val="007A0BD1"/>
    <w:rsid w:val="007A0EC4"/>
    <w:rsid w:val="007A10D9"/>
    <w:rsid w:val="007A1B58"/>
    <w:rsid w:val="007A1B5D"/>
    <w:rsid w:val="007A1B6F"/>
    <w:rsid w:val="007A1F10"/>
    <w:rsid w:val="007A1F5D"/>
    <w:rsid w:val="007A212F"/>
    <w:rsid w:val="007A2CC3"/>
    <w:rsid w:val="007A36AF"/>
    <w:rsid w:val="007A3A07"/>
    <w:rsid w:val="007A3C09"/>
    <w:rsid w:val="007A3C49"/>
    <w:rsid w:val="007A59DA"/>
    <w:rsid w:val="007A6E3E"/>
    <w:rsid w:val="007A7189"/>
    <w:rsid w:val="007A75D5"/>
    <w:rsid w:val="007A7938"/>
    <w:rsid w:val="007A7B25"/>
    <w:rsid w:val="007B0068"/>
    <w:rsid w:val="007B00BB"/>
    <w:rsid w:val="007B0EE7"/>
    <w:rsid w:val="007B2089"/>
    <w:rsid w:val="007B2743"/>
    <w:rsid w:val="007B3643"/>
    <w:rsid w:val="007B39A3"/>
    <w:rsid w:val="007B3E8A"/>
    <w:rsid w:val="007B5313"/>
    <w:rsid w:val="007B5401"/>
    <w:rsid w:val="007B544A"/>
    <w:rsid w:val="007B61D3"/>
    <w:rsid w:val="007B65A7"/>
    <w:rsid w:val="007B72E7"/>
    <w:rsid w:val="007B75B9"/>
    <w:rsid w:val="007B7753"/>
    <w:rsid w:val="007B77AA"/>
    <w:rsid w:val="007B7F62"/>
    <w:rsid w:val="007C04C5"/>
    <w:rsid w:val="007C0880"/>
    <w:rsid w:val="007C11A9"/>
    <w:rsid w:val="007C1550"/>
    <w:rsid w:val="007C1720"/>
    <w:rsid w:val="007C1DD1"/>
    <w:rsid w:val="007C1E8B"/>
    <w:rsid w:val="007C2765"/>
    <w:rsid w:val="007C2E06"/>
    <w:rsid w:val="007C4820"/>
    <w:rsid w:val="007C4A85"/>
    <w:rsid w:val="007C6011"/>
    <w:rsid w:val="007C7A88"/>
    <w:rsid w:val="007D08B8"/>
    <w:rsid w:val="007D0D7D"/>
    <w:rsid w:val="007D0E2C"/>
    <w:rsid w:val="007D0FC9"/>
    <w:rsid w:val="007D1FC6"/>
    <w:rsid w:val="007D35FE"/>
    <w:rsid w:val="007D3856"/>
    <w:rsid w:val="007D4523"/>
    <w:rsid w:val="007D4754"/>
    <w:rsid w:val="007D4D57"/>
    <w:rsid w:val="007D4EFD"/>
    <w:rsid w:val="007D512F"/>
    <w:rsid w:val="007D5227"/>
    <w:rsid w:val="007D52FC"/>
    <w:rsid w:val="007D58DF"/>
    <w:rsid w:val="007D5ECB"/>
    <w:rsid w:val="007D6213"/>
    <w:rsid w:val="007D7DB6"/>
    <w:rsid w:val="007E0B6F"/>
    <w:rsid w:val="007E0BB2"/>
    <w:rsid w:val="007E1066"/>
    <w:rsid w:val="007E19A0"/>
    <w:rsid w:val="007E1FFE"/>
    <w:rsid w:val="007E3C69"/>
    <w:rsid w:val="007E46CD"/>
    <w:rsid w:val="007E599A"/>
    <w:rsid w:val="007F0048"/>
    <w:rsid w:val="007F021E"/>
    <w:rsid w:val="007F1291"/>
    <w:rsid w:val="007F151C"/>
    <w:rsid w:val="007F15E9"/>
    <w:rsid w:val="007F17AC"/>
    <w:rsid w:val="007F1E4E"/>
    <w:rsid w:val="007F23F1"/>
    <w:rsid w:val="007F2AB3"/>
    <w:rsid w:val="007F3291"/>
    <w:rsid w:val="007F3525"/>
    <w:rsid w:val="007F3779"/>
    <w:rsid w:val="007F3E54"/>
    <w:rsid w:val="007F58C9"/>
    <w:rsid w:val="007F5AAF"/>
    <w:rsid w:val="007F7CDD"/>
    <w:rsid w:val="00800413"/>
    <w:rsid w:val="00800462"/>
    <w:rsid w:val="00800D01"/>
    <w:rsid w:val="008011A4"/>
    <w:rsid w:val="0080162A"/>
    <w:rsid w:val="00801B4D"/>
    <w:rsid w:val="00801B59"/>
    <w:rsid w:val="00802159"/>
    <w:rsid w:val="0080224B"/>
    <w:rsid w:val="00803093"/>
    <w:rsid w:val="008034BF"/>
    <w:rsid w:val="0080396E"/>
    <w:rsid w:val="00804038"/>
    <w:rsid w:val="008040D8"/>
    <w:rsid w:val="00804296"/>
    <w:rsid w:val="00804E80"/>
    <w:rsid w:val="008053E1"/>
    <w:rsid w:val="00806068"/>
    <w:rsid w:val="00806D82"/>
    <w:rsid w:val="008070BC"/>
    <w:rsid w:val="008073FE"/>
    <w:rsid w:val="008074C1"/>
    <w:rsid w:val="008076A6"/>
    <w:rsid w:val="00807DCC"/>
    <w:rsid w:val="008101F0"/>
    <w:rsid w:val="00810554"/>
    <w:rsid w:val="00810A70"/>
    <w:rsid w:val="00810D92"/>
    <w:rsid w:val="0081107A"/>
    <w:rsid w:val="00811ECB"/>
    <w:rsid w:val="008125B3"/>
    <w:rsid w:val="0081261C"/>
    <w:rsid w:val="00812FCE"/>
    <w:rsid w:val="00813854"/>
    <w:rsid w:val="00813968"/>
    <w:rsid w:val="0081427B"/>
    <w:rsid w:val="00814A54"/>
    <w:rsid w:val="00815BA3"/>
    <w:rsid w:val="00815C0E"/>
    <w:rsid w:val="0081639E"/>
    <w:rsid w:val="008165AF"/>
    <w:rsid w:val="008172AD"/>
    <w:rsid w:val="00817318"/>
    <w:rsid w:val="00817397"/>
    <w:rsid w:val="00817EFC"/>
    <w:rsid w:val="00821899"/>
    <w:rsid w:val="0082198C"/>
    <w:rsid w:val="00821B95"/>
    <w:rsid w:val="00821EFF"/>
    <w:rsid w:val="00822818"/>
    <w:rsid w:val="00822DB0"/>
    <w:rsid w:val="0082425D"/>
    <w:rsid w:val="008242D5"/>
    <w:rsid w:val="00824BAF"/>
    <w:rsid w:val="00824D00"/>
    <w:rsid w:val="00824F4D"/>
    <w:rsid w:val="0082587C"/>
    <w:rsid w:val="00827402"/>
    <w:rsid w:val="008276C8"/>
    <w:rsid w:val="00827F9A"/>
    <w:rsid w:val="00830CBF"/>
    <w:rsid w:val="00830D1D"/>
    <w:rsid w:val="00830F8C"/>
    <w:rsid w:val="00831580"/>
    <w:rsid w:val="008319E8"/>
    <w:rsid w:val="00831D66"/>
    <w:rsid w:val="008321CF"/>
    <w:rsid w:val="0083232E"/>
    <w:rsid w:val="008324D2"/>
    <w:rsid w:val="008327B3"/>
    <w:rsid w:val="00832BBD"/>
    <w:rsid w:val="00832FF4"/>
    <w:rsid w:val="008332C2"/>
    <w:rsid w:val="00833905"/>
    <w:rsid w:val="00833F45"/>
    <w:rsid w:val="008344EA"/>
    <w:rsid w:val="008351AB"/>
    <w:rsid w:val="00835398"/>
    <w:rsid w:val="00835A70"/>
    <w:rsid w:val="00835E23"/>
    <w:rsid w:val="00835E5B"/>
    <w:rsid w:val="00835FA0"/>
    <w:rsid w:val="00836249"/>
    <w:rsid w:val="008368CD"/>
    <w:rsid w:val="00836DE8"/>
    <w:rsid w:val="00836F59"/>
    <w:rsid w:val="00836FCD"/>
    <w:rsid w:val="0083706F"/>
    <w:rsid w:val="00837F8F"/>
    <w:rsid w:val="0084082F"/>
    <w:rsid w:val="008409C5"/>
    <w:rsid w:val="00840B74"/>
    <w:rsid w:val="00840E4B"/>
    <w:rsid w:val="00841CFE"/>
    <w:rsid w:val="00841DAD"/>
    <w:rsid w:val="00841F13"/>
    <w:rsid w:val="008427CB"/>
    <w:rsid w:val="00842938"/>
    <w:rsid w:val="008441A1"/>
    <w:rsid w:val="0084476C"/>
    <w:rsid w:val="00844A58"/>
    <w:rsid w:val="0084552A"/>
    <w:rsid w:val="008462C0"/>
    <w:rsid w:val="00846887"/>
    <w:rsid w:val="00846B3D"/>
    <w:rsid w:val="008473D0"/>
    <w:rsid w:val="008475C1"/>
    <w:rsid w:val="00847EBC"/>
    <w:rsid w:val="00850DF6"/>
    <w:rsid w:val="00851219"/>
    <w:rsid w:val="008526EF"/>
    <w:rsid w:val="00852E4D"/>
    <w:rsid w:val="008538F2"/>
    <w:rsid w:val="00853AF2"/>
    <w:rsid w:val="00854265"/>
    <w:rsid w:val="00854F16"/>
    <w:rsid w:val="00854F29"/>
    <w:rsid w:val="008559CD"/>
    <w:rsid w:val="00855EBD"/>
    <w:rsid w:val="00856982"/>
    <w:rsid w:val="0085700E"/>
    <w:rsid w:val="0085736B"/>
    <w:rsid w:val="00857703"/>
    <w:rsid w:val="008577B8"/>
    <w:rsid w:val="00857911"/>
    <w:rsid w:val="00857B35"/>
    <w:rsid w:val="00857BDE"/>
    <w:rsid w:val="008603BC"/>
    <w:rsid w:val="00860705"/>
    <w:rsid w:val="00860948"/>
    <w:rsid w:val="00861187"/>
    <w:rsid w:val="00862081"/>
    <w:rsid w:val="00862ABE"/>
    <w:rsid w:val="00863099"/>
    <w:rsid w:val="0086342F"/>
    <w:rsid w:val="008642E4"/>
    <w:rsid w:val="00864617"/>
    <w:rsid w:val="00864A92"/>
    <w:rsid w:val="00864E14"/>
    <w:rsid w:val="00865D86"/>
    <w:rsid w:val="00865DC8"/>
    <w:rsid w:val="00865EB9"/>
    <w:rsid w:val="00866BA5"/>
    <w:rsid w:val="00866FAD"/>
    <w:rsid w:val="00870513"/>
    <w:rsid w:val="00871827"/>
    <w:rsid w:val="0087182D"/>
    <w:rsid w:val="0087333D"/>
    <w:rsid w:val="00873341"/>
    <w:rsid w:val="008736D2"/>
    <w:rsid w:val="008741D4"/>
    <w:rsid w:val="00874697"/>
    <w:rsid w:val="00874A94"/>
    <w:rsid w:val="00874E83"/>
    <w:rsid w:val="008755B5"/>
    <w:rsid w:val="00880617"/>
    <w:rsid w:val="008816AA"/>
    <w:rsid w:val="00881F1F"/>
    <w:rsid w:val="00881F3F"/>
    <w:rsid w:val="00882F75"/>
    <w:rsid w:val="0088316A"/>
    <w:rsid w:val="0088359E"/>
    <w:rsid w:val="008838A1"/>
    <w:rsid w:val="00883B4E"/>
    <w:rsid w:val="00884270"/>
    <w:rsid w:val="00884507"/>
    <w:rsid w:val="00884BCD"/>
    <w:rsid w:val="00885806"/>
    <w:rsid w:val="0088590F"/>
    <w:rsid w:val="00886417"/>
    <w:rsid w:val="0088695D"/>
    <w:rsid w:val="00886E6D"/>
    <w:rsid w:val="00887D2D"/>
    <w:rsid w:val="008909DC"/>
    <w:rsid w:val="008911D9"/>
    <w:rsid w:val="00891552"/>
    <w:rsid w:val="0089168D"/>
    <w:rsid w:val="00891E45"/>
    <w:rsid w:val="008920F9"/>
    <w:rsid w:val="008926D1"/>
    <w:rsid w:val="00892A4C"/>
    <w:rsid w:val="00892D1B"/>
    <w:rsid w:val="00892DDD"/>
    <w:rsid w:val="00893716"/>
    <w:rsid w:val="00893896"/>
    <w:rsid w:val="00893915"/>
    <w:rsid w:val="00894757"/>
    <w:rsid w:val="0089497A"/>
    <w:rsid w:val="00894C43"/>
    <w:rsid w:val="00894D7F"/>
    <w:rsid w:val="00895B92"/>
    <w:rsid w:val="00896000"/>
    <w:rsid w:val="0089683D"/>
    <w:rsid w:val="00896E49"/>
    <w:rsid w:val="00896F45"/>
    <w:rsid w:val="008971E7"/>
    <w:rsid w:val="00897224"/>
    <w:rsid w:val="008974C5"/>
    <w:rsid w:val="008A000C"/>
    <w:rsid w:val="008A0478"/>
    <w:rsid w:val="008A1468"/>
    <w:rsid w:val="008A1528"/>
    <w:rsid w:val="008A20D4"/>
    <w:rsid w:val="008A251A"/>
    <w:rsid w:val="008A3398"/>
    <w:rsid w:val="008A3500"/>
    <w:rsid w:val="008A3BAC"/>
    <w:rsid w:val="008A3C1C"/>
    <w:rsid w:val="008A415A"/>
    <w:rsid w:val="008A471A"/>
    <w:rsid w:val="008A4786"/>
    <w:rsid w:val="008A515C"/>
    <w:rsid w:val="008A5A5D"/>
    <w:rsid w:val="008A6209"/>
    <w:rsid w:val="008A64E3"/>
    <w:rsid w:val="008A76A6"/>
    <w:rsid w:val="008A7A97"/>
    <w:rsid w:val="008B0176"/>
    <w:rsid w:val="008B0D22"/>
    <w:rsid w:val="008B1375"/>
    <w:rsid w:val="008B14C7"/>
    <w:rsid w:val="008B1F70"/>
    <w:rsid w:val="008B2305"/>
    <w:rsid w:val="008B23CB"/>
    <w:rsid w:val="008B2A93"/>
    <w:rsid w:val="008B3F23"/>
    <w:rsid w:val="008B43CA"/>
    <w:rsid w:val="008B6094"/>
    <w:rsid w:val="008B6251"/>
    <w:rsid w:val="008B7600"/>
    <w:rsid w:val="008B77B4"/>
    <w:rsid w:val="008B78AE"/>
    <w:rsid w:val="008B7956"/>
    <w:rsid w:val="008B7F3C"/>
    <w:rsid w:val="008B7F74"/>
    <w:rsid w:val="008C0310"/>
    <w:rsid w:val="008C0368"/>
    <w:rsid w:val="008C0C50"/>
    <w:rsid w:val="008C0F94"/>
    <w:rsid w:val="008C1A64"/>
    <w:rsid w:val="008C1D63"/>
    <w:rsid w:val="008C218C"/>
    <w:rsid w:val="008C2583"/>
    <w:rsid w:val="008C2D5F"/>
    <w:rsid w:val="008C382B"/>
    <w:rsid w:val="008C3DE2"/>
    <w:rsid w:val="008C4977"/>
    <w:rsid w:val="008C5430"/>
    <w:rsid w:val="008C548F"/>
    <w:rsid w:val="008C57B8"/>
    <w:rsid w:val="008C57CC"/>
    <w:rsid w:val="008C5DE2"/>
    <w:rsid w:val="008C67CE"/>
    <w:rsid w:val="008C720A"/>
    <w:rsid w:val="008C737C"/>
    <w:rsid w:val="008C7AEB"/>
    <w:rsid w:val="008C7E28"/>
    <w:rsid w:val="008D0427"/>
    <w:rsid w:val="008D05DF"/>
    <w:rsid w:val="008D0DE9"/>
    <w:rsid w:val="008D0F54"/>
    <w:rsid w:val="008D11E5"/>
    <w:rsid w:val="008D1360"/>
    <w:rsid w:val="008D1A8C"/>
    <w:rsid w:val="008D209B"/>
    <w:rsid w:val="008D2C1E"/>
    <w:rsid w:val="008D4B05"/>
    <w:rsid w:val="008D579D"/>
    <w:rsid w:val="008D57C1"/>
    <w:rsid w:val="008D677F"/>
    <w:rsid w:val="008D76DB"/>
    <w:rsid w:val="008D7C10"/>
    <w:rsid w:val="008E005C"/>
    <w:rsid w:val="008E0068"/>
    <w:rsid w:val="008E04BA"/>
    <w:rsid w:val="008E1FBF"/>
    <w:rsid w:val="008E21BF"/>
    <w:rsid w:val="008E3F4A"/>
    <w:rsid w:val="008E464B"/>
    <w:rsid w:val="008E5C68"/>
    <w:rsid w:val="008E6032"/>
    <w:rsid w:val="008E6294"/>
    <w:rsid w:val="008E6351"/>
    <w:rsid w:val="008E65E2"/>
    <w:rsid w:val="008F0CA4"/>
    <w:rsid w:val="008F0EBE"/>
    <w:rsid w:val="008F1AC6"/>
    <w:rsid w:val="008F1B8A"/>
    <w:rsid w:val="008F2229"/>
    <w:rsid w:val="008F271B"/>
    <w:rsid w:val="008F2777"/>
    <w:rsid w:val="008F2EDD"/>
    <w:rsid w:val="008F327F"/>
    <w:rsid w:val="008F4164"/>
    <w:rsid w:val="008F497C"/>
    <w:rsid w:val="008F5B76"/>
    <w:rsid w:val="008F5B9D"/>
    <w:rsid w:val="008F6337"/>
    <w:rsid w:val="008F67DF"/>
    <w:rsid w:val="008F6965"/>
    <w:rsid w:val="008F75CB"/>
    <w:rsid w:val="008F7741"/>
    <w:rsid w:val="008F77E6"/>
    <w:rsid w:val="008F7BBC"/>
    <w:rsid w:val="00900B6F"/>
    <w:rsid w:val="00900FB2"/>
    <w:rsid w:val="0090121A"/>
    <w:rsid w:val="00901808"/>
    <w:rsid w:val="009019B8"/>
    <w:rsid w:val="00901FE6"/>
    <w:rsid w:val="0090212F"/>
    <w:rsid w:val="00902305"/>
    <w:rsid w:val="009023F3"/>
    <w:rsid w:val="009024FD"/>
    <w:rsid w:val="009025FA"/>
    <w:rsid w:val="00902DCE"/>
    <w:rsid w:val="0090314E"/>
    <w:rsid w:val="0090337D"/>
    <w:rsid w:val="00903B0E"/>
    <w:rsid w:val="00904241"/>
    <w:rsid w:val="00904875"/>
    <w:rsid w:val="00904955"/>
    <w:rsid w:val="00904BF7"/>
    <w:rsid w:val="00905B19"/>
    <w:rsid w:val="00905D05"/>
    <w:rsid w:val="00905D25"/>
    <w:rsid w:val="00907411"/>
    <w:rsid w:val="00907591"/>
    <w:rsid w:val="009079E6"/>
    <w:rsid w:val="00907E34"/>
    <w:rsid w:val="00907FEF"/>
    <w:rsid w:val="00910474"/>
    <w:rsid w:val="00910623"/>
    <w:rsid w:val="009106D3"/>
    <w:rsid w:val="00910AA2"/>
    <w:rsid w:val="0091152C"/>
    <w:rsid w:val="00911E3D"/>
    <w:rsid w:val="009127B3"/>
    <w:rsid w:val="00912F88"/>
    <w:rsid w:val="00913C34"/>
    <w:rsid w:val="00913C59"/>
    <w:rsid w:val="00913F33"/>
    <w:rsid w:val="00914601"/>
    <w:rsid w:val="009147D9"/>
    <w:rsid w:val="009153C5"/>
    <w:rsid w:val="009158AF"/>
    <w:rsid w:val="00915B93"/>
    <w:rsid w:val="00915DA1"/>
    <w:rsid w:val="009168DF"/>
    <w:rsid w:val="009168FA"/>
    <w:rsid w:val="00917C7E"/>
    <w:rsid w:val="00920414"/>
    <w:rsid w:val="00920480"/>
    <w:rsid w:val="009210DA"/>
    <w:rsid w:val="00922417"/>
    <w:rsid w:val="00922857"/>
    <w:rsid w:val="00922DC4"/>
    <w:rsid w:val="009230E5"/>
    <w:rsid w:val="00923130"/>
    <w:rsid w:val="00923A86"/>
    <w:rsid w:val="00924B34"/>
    <w:rsid w:val="00925947"/>
    <w:rsid w:val="00925F0A"/>
    <w:rsid w:val="009277AE"/>
    <w:rsid w:val="00927D71"/>
    <w:rsid w:val="0093002A"/>
    <w:rsid w:val="009305F0"/>
    <w:rsid w:val="009306F0"/>
    <w:rsid w:val="00931638"/>
    <w:rsid w:val="00931C2D"/>
    <w:rsid w:val="009321EE"/>
    <w:rsid w:val="00932C7E"/>
    <w:rsid w:val="0093314D"/>
    <w:rsid w:val="009337E3"/>
    <w:rsid w:val="00933C06"/>
    <w:rsid w:val="00933C65"/>
    <w:rsid w:val="00934877"/>
    <w:rsid w:val="0093549E"/>
    <w:rsid w:val="00935541"/>
    <w:rsid w:val="0093591B"/>
    <w:rsid w:val="00935B62"/>
    <w:rsid w:val="00936289"/>
    <w:rsid w:val="009368DF"/>
    <w:rsid w:val="00936E0B"/>
    <w:rsid w:val="00937047"/>
    <w:rsid w:val="00937725"/>
    <w:rsid w:val="009402BE"/>
    <w:rsid w:val="00941150"/>
    <w:rsid w:val="009415E2"/>
    <w:rsid w:val="009424BE"/>
    <w:rsid w:val="009429B0"/>
    <w:rsid w:val="00942B4A"/>
    <w:rsid w:val="00942F38"/>
    <w:rsid w:val="00943568"/>
    <w:rsid w:val="00943661"/>
    <w:rsid w:val="0094422E"/>
    <w:rsid w:val="0094474D"/>
    <w:rsid w:val="00944C55"/>
    <w:rsid w:val="00944F47"/>
    <w:rsid w:val="00945F12"/>
    <w:rsid w:val="009462B0"/>
    <w:rsid w:val="00946782"/>
    <w:rsid w:val="00947559"/>
    <w:rsid w:val="009476EE"/>
    <w:rsid w:val="00947859"/>
    <w:rsid w:val="0095022E"/>
    <w:rsid w:val="00950589"/>
    <w:rsid w:val="009505FA"/>
    <w:rsid w:val="00950BEC"/>
    <w:rsid w:val="00950C74"/>
    <w:rsid w:val="009513B3"/>
    <w:rsid w:val="00951846"/>
    <w:rsid w:val="009521AF"/>
    <w:rsid w:val="00952387"/>
    <w:rsid w:val="00952DF4"/>
    <w:rsid w:val="00953C36"/>
    <w:rsid w:val="00953D22"/>
    <w:rsid w:val="00953D69"/>
    <w:rsid w:val="00953D99"/>
    <w:rsid w:val="009544ED"/>
    <w:rsid w:val="009554BF"/>
    <w:rsid w:val="00955714"/>
    <w:rsid w:val="00955B3E"/>
    <w:rsid w:val="0095604F"/>
    <w:rsid w:val="0095631D"/>
    <w:rsid w:val="0095635A"/>
    <w:rsid w:val="009565FC"/>
    <w:rsid w:val="00956889"/>
    <w:rsid w:val="00960288"/>
    <w:rsid w:val="009605BF"/>
    <w:rsid w:val="009605D7"/>
    <w:rsid w:val="00960DB1"/>
    <w:rsid w:val="00961C3C"/>
    <w:rsid w:val="009634DA"/>
    <w:rsid w:val="00963675"/>
    <w:rsid w:val="00963A7A"/>
    <w:rsid w:val="00963B11"/>
    <w:rsid w:val="00964801"/>
    <w:rsid w:val="00964AA5"/>
    <w:rsid w:val="00965452"/>
    <w:rsid w:val="00965A2E"/>
    <w:rsid w:val="00965FF0"/>
    <w:rsid w:val="009669B8"/>
    <w:rsid w:val="00966F8F"/>
    <w:rsid w:val="00970107"/>
    <w:rsid w:val="009704D6"/>
    <w:rsid w:val="00970C3D"/>
    <w:rsid w:val="009712F3"/>
    <w:rsid w:val="00971B61"/>
    <w:rsid w:val="00973B2F"/>
    <w:rsid w:val="00974602"/>
    <w:rsid w:val="00975E7C"/>
    <w:rsid w:val="00976DB3"/>
    <w:rsid w:val="009771D9"/>
    <w:rsid w:val="009772B6"/>
    <w:rsid w:val="009779F7"/>
    <w:rsid w:val="009800D0"/>
    <w:rsid w:val="0098026C"/>
    <w:rsid w:val="009814BF"/>
    <w:rsid w:val="0098177F"/>
    <w:rsid w:val="009819C9"/>
    <w:rsid w:val="00981A38"/>
    <w:rsid w:val="00981B73"/>
    <w:rsid w:val="00981F6C"/>
    <w:rsid w:val="00982290"/>
    <w:rsid w:val="00982316"/>
    <w:rsid w:val="00983089"/>
    <w:rsid w:val="0098419D"/>
    <w:rsid w:val="0098428A"/>
    <w:rsid w:val="00984E8F"/>
    <w:rsid w:val="009852FF"/>
    <w:rsid w:val="00985A38"/>
    <w:rsid w:val="00985A3D"/>
    <w:rsid w:val="00985B81"/>
    <w:rsid w:val="00986055"/>
    <w:rsid w:val="00986509"/>
    <w:rsid w:val="0099054D"/>
    <w:rsid w:val="0099093C"/>
    <w:rsid w:val="00990C65"/>
    <w:rsid w:val="00991AF8"/>
    <w:rsid w:val="00991C0D"/>
    <w:rsid w:val="00991E61"/>
    <w:rsid w:val="00991E94"/>
    <w:rsid w:val="0099247C"/>
    <w:rsid w:val="00992503"/>
    <w:rsid w:val="00992C95"/>
    <w:rsid w:val="00992EC1"/>
    <w:rsid w:val="00993CF0"/>
    <w:rsid w:val="00994481"/>
    <w:rsid w:val="00994CB0"/>
    <w:rsid w:val="00995ACD"/>
    <w:rsid w:val="00995D38"/>
    <w:rsid w:val="00995FBA"/>
    <w:rsid w:val="009963E0"/>
    <w:rsid w:val="00996557"/>
    <w:rsid w:val="0099692E"/>
    <w:rsid w:val="009A1050"/>
    <w:rsid w:val="009A181A"/>
    <w:rsid w:val="009A1DD7"/>
    <w:rsid w:val="009A1FDD"/>
    <w:rsid w:val="009A2B1D"/>
    <w:rsid w:val="009A2B8F"/>
    <w:rsid w:val="009A34A5"/>
    <w:rsid w:val="009A3521"/>
    <w:rsid w:val="009A373E"/>
    <w:rsid w:val="009A3C29"/>
    <w:rsid w:val="009A3D63"/>
    <w:rsid w:val="009A46A9"/>
    <w:rsid w:val="009A48D9"/>
    <w:rsid w:val="009A4A8A"/>
    <w:rsid w:val="009A4C43"/>
    <w:rsid w:val="009A4F2A"/>
    <w:rsid w:val="009A5117"/>
    <w:rsid w:val="009A557A"/>
    <w:rsid w:val="009A5DB2"/>
    <w:rsid w:val="009A60D2"/>
    <w:rsid w:val="009A6907"/>
    <w:rsid w:val="009A7A21"/>
    <w:rsid w:val="009A7AF0"/>
    <w:rsid w:val="009B0B02"/>
    <w:rsid w:val="009B27C4"/>
    <w:rsid w:val="009B2FCF"/>
    <w:rsid w:val="009B334F"/>
    <w:rsid w:val="009B33BA"/>
    <w:rsid w:val="009B34F4"/>
    <w:rsid w:val="009B387D"/>
    <w:rsid w:val="009B39C9"/>
    <w:rsid w:val="009B39FB"/>
    <w:rsid w:val="009B3AB5"/>
    <w:rsid w:val="009B3D18"/>
    <w:rsid w:val="009B40AC"/>
    <w:rsid w:val="009B4704"/>
    <w:rsid w:val="009B4949"/>
    <w:rsid w:val="009B5562"/>
    <w:rsid w:val="009B5850"/>
    <w:rsid w:val="009B5DC6"/>
    <w:rsid w:val="009B660E"/>
    <w:rsid w:val="009B6849"/>
    <w:rsid w:val="009B6918"/>
    <w:rsid w:val="009B6B60"/>
    <w:rsid w:val="009B7A74"/>
    <w:rsid w:val="009B7BFB"/>
    <w:rsid w:val="009C0052"/>
    <w:rsid w:val="009C0623"/>
    <w:rsid w:val="009C1663"/>
    <w:rsid w:val="009C1B7A"/>
    <w:rsid w:val="009C1E59"/>
    <w:rsid w:val="009C2692"/>
    <w:rsid w:val="009C36F9"/>
    <w:rsid w:val="009C3E5B"/>
    <w:rsid w:val="009C74E2"/>
    <w:rsid w:val="009C77A4"/>
    <w:rsid w:val="009D1255"/>
    <w:rsid w:val="009D1441"/>
    <w:rsid w:val="009D1E6C"/>
    <w:rsid w:val="009D205F"/>
    <w:rsid w:val="009D25C8"/>
    <w:rsid w:val="009D2A61"/>
    <w:rsid w:val="009D2F91"/>
    <w:rsid w:val="009D3845"/>
    <w:rsid w:val="009D3C12"/>
    <w:rsid w:val="009D473E"/>
    <w:rsid w:val="009D4C22"/>
    <w:rsid w:val="009D4E11"/>
    <w:rsid w:val="009D5472"/>
    <w:rsid w:val="009D5E39"/>
    <w:rsid w:val="009D6069"/>
    <w:rsid w:val="009D6131"/>
    <w:rsid w:val="009D6178"/>
    <w:rsid w:val="009D62E8"/>
    <w:rsid w:val="009D6757"/>
    <w:rsid w:val="009D69CB"/>
    <w:rsid w:val="009D7830"/>
    <w:rsid w:val="009D7EF1"/>
    <w:rsid w:val="009E016C"/>
    <w:rsid w:val="009E01D4"/>
    <w:rsid w:val="009E04AF"/>
    <w:rsid w:val="009E05A5"/>
    <w:rsid w:val="009E0600"/>
    <w:rsid w:val="009E0703"/>
    <w:rsid w:val="009E07D8"/>
    <w:rsid w:val="009E12F5"/>
    <w:rsid w:val="009E1855"/>
    <w:rsid w:val="009E2479"/>
    <w:rsid w:val="009E25B9"/>
    <w:rsid w:val="009E2835"/>
    <w:rsid w:val="009E2AAB"/>
    <w:rsid w:val="009E312F"/>
    <w:rsid w:val="009E49D9"/>
    <w:rsid w:val="009E4D83"/>
    <w:rsid w:val="009E4FF7"/>
    <w:rsid w:val="009E5C31"/>
    <w:rsid w:val="009E5FE4"/>
    <w:rsid w:val="009E650A"/>
    <w:rsid w:val="009E67DD"/>
    <w:rsid w:val="009E6B24"/>
    <w:rsid w:val="009E7BDC"/>
    <w:rsid w:val="009F016F"/>
    <w:rsid w:val="009F0632"/>
    <w:rsid w:val="009F0A00"/>
    <w:rsid w:val="009F0CC8"/>
    <w:rsid w:val="009F1698"/>
    <w:rsid w:val="009F20F2"/>
    <w:rsid w:val="009F2A22"/>
    <w:rsid w:val="009F2CD2"/>
    <w:rsid w:val="009F4308"/>
    <w:rsid w:val="009F4318"/>
    <w:rsid w:val="009F4428"/>
    <w:rsid w:val="009F49C5"/>
    <w:rsid w:val="009F4D3F"/>
    <w:rsid w:val="009F5043"/>
    <w:rsid w:val="009F64C5"/>
    <w:rsid w:val="009F6786"/>
    <w:rsid w:val="009F6BF9"/>
    <w:rsid w:val="009F6EC6"/>
    <w:rsid w:val="009F739D"/>
    <w:rsid w:val="009F75DA"/>
    <w:rsid w:val="009F768E"/>
    <w:rsid w:val="00A00D0B"/>
    <w:rsid w:val="00A01212"/>
    <w:rsid w:val="00A0188A"/>
    <w:rsid w:val="00A01A62"/>
    <w:rsid w:val="00A02108"/>
    <w:rsid w:val="00A023BE"/>
    <w:rsid w:val="00A02565"/>
    <w:rsid w:val="00A0264E"/>
    <w:rsid w:val="00A03E99"/>
    <w:rsid w:val="00A040D4"/>
    <w:rsid w:val="00A04123"/>
    <w:rsid w:val="00A0455D"/>
    <w:rsid w:val="00A04BD3"/>
    <w:rsid w:val="00A0564F"/>
    <w:rsid w:val="00A05AE1"/>
    <w:rsid w:val="00A05B65"/>
    <w:rsid w:val="00A05EF3"/>
    <w:rsid w:val="00A0607F"/>
    <w:rsid w:val="00A0629E"/>
    <w:rsid w:val="00A06706"/>
    <w:rsid w:val="00A06720"/>
    <w:rsid w:val="00A069DF"/>
    <w:rsid w:val="00A06AA2"/>
    <w:rsid w:val="00A06B88"/>
    <w:rsid w:val="00A06FEB"/>
    <w:rsid w:val="00A0702B"/>
    <w:rsid w:val="00A10040"/>
    <w:rsid w:val="00A107E9"/>
    <w:rsid w:val="00A10DDC"/>
    <w:rsid w:val="00A113FF"/>
    <w:rsid w:val="00A11480"/>
    <w:rsid w:val="00A11E37"/>
    <w:rsid w:val="00A122F0"/>
    <w:rsid w:val="00A124E9"/>
    <w:rsid w:val="00A1255D"/>
    <w:rsid w:val="00A1256F"/>
    <w:rsid w:val="00A12941"/>
    <w:rsid w:val="00A1310F"/>
    <w:rsid w:val="00A133F6"/>
    <w:rsid w:val="00A1345D"/>
    <w:rsid w:val="00A134A4"/>
    <w:rsid w:val="00A13A89"/>
    <w:rsid w:val="00A13FD5"/>
    <w:rsid w:val="00A15106"/>
    <w:rsid w:val="00A1538F"/>
    <w:rsid w:val="00A1576A"/>
    <w:rsid w:val="00A15807"/>
    <w:rsid w:val="00A16D10"/>
    <w:rsid w:val="00A17535"/>
    <w:rsid w:val="00A17563"/>
    <w:rsid w:val="00A177C7"/>
    <w:rsid w:val="00A17EEF"/>
    <w:rsid w:val="00A20DBD"/>
    <w:rsid w:val="00A20F89"/>
    <w:rsid w:val="00A2201E"/>
    <w:rsid w:val="00A2266E"/>
    <w:rsid w:val="00A23C34"/>
    <w:rsid w:val="00A24148"/>
    <w:rsid w:val="00A242BF"/>
    <w:rsid w:val="00A249AA"/>
    <w:rsid w:val="00A24C9D"/>
    <w:rsid w:val="00A25824"/>
    <w:rsid w:val="00A26C04"/>
    <w:rsid w:val="00A26CCB"/>
    <w:rsid w:val="00A304B4"/>
    <w:rsid w:val="00A30F6B"/>
    <w:rsid w:val="00A31024"/>
    <w:rsid w:val="00A311C0"/>
    <w:rsid w:val="00A319EB"/>
    <w:rsid w:val="00A31C96"/>
    <w:rsid w:val="00A31C9D"/>
    <w:rsid w:val="00A321A1"/>
    <w:rsid w:val="00A321BE"/>
    <w:rsid w:val="00A32327"/>
    <w:rsid w:val="00A32E59"/>
    <w:rsid w:val="00A34647"/>
    <w:rsid w:val="00A34A02"/>
    <w:rsid w:val="00A34FCF"/>
    <w:rsid w:val="00A358A5"/>
    <w:rsid w:val="00A36BAA"/>
    <w:rsid w:val="00A36EDD"/>
    <w:rsid w:val="00A40734"/>
    <w:rsid w:val="00A40E7C"/>
    <w:rsid w:val="00A417B5"/>
    <w:rsid w:val="00A41C2C"/>
    <w:rsid w:val="00A42974"/>
    <w:rsid w:val="00A429A4"/>
    <w:rsid w:val="00A43010"/>
    <w:rsid w:val="00A455CE"/>
    <w:rsid w:val="00A45DFC"/>
    <w:rsid w:val="00A460B9"/>
    <w:rsid w:val="00A470D3"/>
    <w:rsid w:val="00A47CF6"/>
    <w:rsid w:val="00A50C8B"/>
    <w:rsid w:val="00A51231"/>
    <w:rsid w:val="00A51683"/>
    <w:rsid w:val="00A52897"/>
    <w:rsid w:val="00A529B0"/>
    <w:rsid w:val="00A53745"/>
    <w:rsid w:val="00A538FF"/>
    <w:rsid w:val="00A53980"/>
    <w:rsid w:val="00A55651"/>
    <w:rsid w:val="00A559B5"/>
    <w:rsid w:val="00A55BB3"/>
    <w:rsid w:val="00A55E5A"/>
    <w:rsid w:val="00A567C4"/>
    <w:rsid w:val="00A56DB8"/>
    <w:rsid w:val="00A573F3"/>
    <w:rsid w:val="00A57543"/>
    <w:rsid w:val="00A60924"/>
    <w:rsid w:val="00A60CC6"/>
    <w:rsid w:val="00A60F52"/>
    <w:rsid w:val="00A61246"/>
    <w:rsid w:val="00A614E0"/>
    <w:rsid w:val="00A61D21"/>
    <w:rsid w:val="00A6246D"/>
    <w:rsid w:val="00A63732"/>
    <w:rsid w:val="00A63762"/>
    <w:rsid w:val="00A63AD5"/>
    <w:rsid w:val="00A63B14"/>
    <w:rsid w:val="00A63E54"/>
    <w:rsid w:val="00A645AC"/>
    <w:rsid w:val="00A648B0"/>
    <w:rsid w:val="00A64BEA"/>
    <w:rsid w:val="00A652E5"/>
    <w:rsid w:val="00A6554E"/>
    <w:rsid w:val="00A65579"/>
    <w:rsid w:val="00A661CE"/>
    <w:rsid w:val="00A6677A"/>
    <w:rsid w:val="00A66805"/>
    <w:rsid w:val="00A679A9"/>
    <w:rsid w:val="00A700C0"/>
    <w:rsid w:val="00A70C3A"/>
    <w:rsid w:val="00A71141"/>
    <w:rsid w:val="00A71233"/>
    <w:rsid w:val="00A7136C"/>
    <w:rsid w:val="00A71B82"/>
    <w:rsid w:val="00A72944"/>
    <w:rsid w:val="00A732E3"/>
    <w:rsid w:val="00A73A43"/>
    <w:rsid w:val="00A73AF0"/>
    <w:rsid w:val="00A73D0B"/>
    <w:rsid w:val="00A74472"/>
    <w:rsid w:val="00A7531C"/>
    <w:rsid w:val="00A75662"/>
    <w:rsid w:val="00A75B2F"/>
    <w:rsid w:val="00A75EC0"/>
    <w:rsid w:val="00A765CC"/>
    <w:rsid w:val="00A76C23"/>
    <w:rsid w:val="00A76CF0"/>
    <w:rsid w:val="00A778F4"/>
    <w:rsid w:val="00A7795B"/>
    <w:rsid w:val="00A77A83"/>
    <w:rsid w:val="00A80BC5"/>
    <w:rsid w:val="00A81899"/>
    <w:rsid w:val="00A8235D"/>
    <w:rsid w:val="00A8361B"/>
    <w:rsid w:val="00A839D7"/>
    <w:rsid w:val="00A84362"/>
    <w:rsid w:val="00A84A15"/>
    <w:rsid w:val="00A857C7"/>
    <w:rsid w:val="00A85BB2"/>
    <w:rsid w:val="00A85D6B"/>
    <w:rsid w:val="00A86A05"/>
    <w:rsid w:val="00A87547"/>
    <w:rsid w:val="00A90530"/>
    <w:rsid w:val="00A91359"/>
    <w:rsid w:val="00A932F0"/>
    <w:rsid w:val="00A9364A"/>
    <w:rsid w:val="00A939C7"/>
    <w:rsid w:val="00A93B36"/>
    <w:rsid w:val="00A954F2"/>
    <w:rsid w:val="00A95DF4"/>
    <w:rsid w:val="00A96185"/>
    <w:rsid w:val="00A9679B"/>
    <w:rsid w:val="00A968D6"/>
    <w:rsid w:val="00A96AB2"/>
    <w:rsid w:val="00A97153"/>
    <w:rsid w:val="00A972AB"/>
    <w:rsid w:val="00A97C7F"/>
    <w:rsid w:val="00A97EDB"/>
    <w:rsid w:val="00AA0B64"/>
    <w:rsid w:val="00AA0D0C"/>
    <w:rsid w:val="00AA0D92"/>
    <w:rsid w:val="00AA129F"/>
    <w:rsid w:val="00AA2061"/>
    <w:rsid w:val="00AA2403"/>
    <w:rsid w:val="00AA2F44"/>
    <w:rsid w:val="00AA30A8"/>
    <w:rsid w:val="00AA4255"/>
    <w:rsid w:val="00AA48DA"/>
    <w:rsid w:val="00AA4AD9"/>
    <w:rsid w:val="00AA4F6D"/>
    <w:rsid w:val="00AA6C9E"/>
    <w:rsid w:val="00AA6CF1"/>
    <w:rsid w:val="00AA71AB"/>
    <w:rsid w:val="00AA7FAC"/>
    <w:rsid w:val="00AB0639"/>
    <w:rsid w:val="00AB0808"/>
    <w:rsid w:val="00AB10EB"/>
    <w:rsid w:val="00AB14E7"/>
    <w:rsid w:val="00AB1748"/>
    <w:rsid w:val="00AB17D6"/>
    <w:rsid w:val="00AB1885"/>
    <w:rsid w:val="00AB215F"/>
    <w:rsid w:val="00AB29F3"/>
    <w:rsid w:val="00AB2B43"/>
    <w:rsid w:val="00AB2B64"/>
    <w:rsid w:val="00AB475A"/>
    <w:rsid w:val="00AB4BA2"/>
    <w:rsid w:val="00AB4DF6"/>
    <w:rsid w:val="00AB4E6D"/>
    <w:rsid w:val="00AB581B"/>
    <w:rsid w:val="00AB5981"/>
    <w:rsid w:val="00AB6708"/>
    <w:rsid w:val="00AB6C14"/>
    <w:rsid w:val="00AB6FC7"/>
    <w:rsid w:val="00AC061F"/>
    <w:rsid w:val="00AC0661"/>
    <w:rsid w:val="00AC072D"/>
    <w:rsid w:val="00AC14DA"/>
    <w:rsid w:val="00AC1A7F"/>
    <w:rsid w:val="00AC27C9"/>
    <w:rsid w:val="00AC38D5"/>
    <w:rsid w:val="00AC3C8C"/>
    <w:rsid w:val="00AC3FF3"/>
    <w:rsid w:val="00AC415E"/>
    <w:rsid w:val="00AC41D0"/>
    <w:rsid w:val="00AC4737"/>
    <w:rsid w:val="00AC4F59"/>
    <w:rsid w:val="00AC71FD"/>
    <w:rsid w:val="00AD07E1"/>
    <w:rsid w:val="00AD0B26"/>
    <w:rsid w:val="00AD0B2E"/>
    <w:rsid w:val="00AD1258"/>
    <w:rsid w:val="00AD1EE9"/>
    <w:rsid w:val="00AD4009"/>
    <w:rsid w:val="00AD48B5"/>
    <w:rsid w:val="00AD4C14"/>
    <w:rsid w:val="00AD4FD0"/>
    <w:rsid w:val="00AD52E3"/>
    <w:rsid w:val="00AD549C"/>
    <w:rsid w:val="00AD5856"/>
    <w:rsid w:val="00AD5912"/>
    <w:rsid w:val="00AD5951"/>
    <w:rsid w:val="00AD60BA"/>
    <w:rsid w:val="00AD6125"/>
    <w:rsid w:val="00AD6188"/>
    <w:rsid w:val="00AD674B"/>
    <w:rsid w:val="00AD6886"/>
    <w:rsid w:val="00AD6917"/>
    <w:rsid w:val="00AD6F31"/>
    <w:rsid w:val="00AD716A"/>
    <w:rsid w:val="00AD7ABA"/>
    <w:rsid w:val="00AE0134"/>
    <w:rsid w:val="00AE04B6"/>
    <w:rsid w:val="00AE0659"/>
    <w:rsid w:val="00AE1E66"/>
    <w:rsid w:val="00AE2044"/>
    <w:rsid w:val="00AE2547"/>
    <w:rsid w:val="00AE357C"/>
    <w:rsid w:val="00AE37EB"/>
    <w:rsid w:val="00AE38BF"/>
    <w:rsid w:val="00AE40B8"/>
    <w:rsid w:val="00AE4481"/>
    <w:rsid w:val="00AE575D"/>
    <w:rsid w:val="00AE6C31"/>
    <w:rsid w:val="00AE7387"/>
    <w:rsid w:val="00AE76A6"/>
    <w:rsid w:val="00AE79E4"/>
    <w:rsid w:val="00AF0F28"/>
    <w:rsid w:val="00AF144F"/>
    <w:rsid w:val="00AF173C"/>
    <w:rsid w:val="00AF2ABA"/>
    <w:rsid w:val="00AF2FF5"/>
    <w:rsid w:val="00AF3354"/>
    <w:rsid w:val="00AF432F"/>
    <w:rsid w:val="00AF47B7"/>
    <w:rsid w:val="00AF5189"/>
    <w:rsid w:val="00AF551D"/>
    <w:rsid w:val="00AF59AE"/>
    <w:rsid w:val="00AF5B9F"/>
    <w:rsid w:val="00AF5C77"/>
    <w:rsid w:val="00AF6739"/>
    <w:rsid w:val="00AF7259"/>
    <w:rsid w:val="00B00ADF"/>
    <w:rsid w:val="00B01F70"/>
    <w:rsid w:val="00B02288"/>
    <w:rsid w:val="00B023DA"/>
    <w:rsid w:val="00B02467"/>
    <w:rsid w:val="00B026F2"/>
    <w:rsid w:val="00B02FBD"/>
    <w:rsid w:val="00B0300E"/>
    <w:rsid w:val="00B0365C"/>
    <w:rsid w:val="00B03958"/>
    <w:rsid w:val="00B03B82"/>
    <w:rsid w:val="00B03BAE"/>
    <w:rsid w:val="00B03F33"/>
    <w:rsid w:val="00B04318"/>
    <w:rsid w:val="00B0496B"/>
    <w:rsid w:val="00B05433"/>
    <w:rsid w:val="00B0584A"/>
    <w:rsid w:val="00B05F49"/>
    <w:rsid w:val="00B061A0"/>
    <w:rsid w:val="00B06BCA"/>
    <w:rsid w:val="00B070C3"/>
    <w:rsid w:val="00B0717E"/>
    <w:rsid w:val="00B071A4"/>
    <w:rsid w:val="00B07431"/>
    <w:rsid w:val="00B07C57"/>
    <w:rsid w:val="00B101BD"/>
    <w:rsid w:val="00B10D2C"/>
    <w:rsid w:val="00B110A7"/>
    <w:rsid w:val="00B11A88"/>
    <w:rsid w:val="00B11BBC"/>
    <w:rsid w:val="00B121F3"/>
    <w:rsid w:val="00B125FE"/>
    <w:rsid w:val="00B12A3B"/>
    <w:rsid w:val="00B12AEC"/>
    <w:rsid w:val="00B12BC0"/>
    <w:rsid w:val="00B12BE8"/>
    <w:rsid w:val="00B13766"/>
    <w:rsid w:val="00B1414D"/>
    <w:rsid w:val="00B143AD"/>
    <w:rsid w:val="00B1463A"/>
    <w:rsid w:val="00B14C05"/>
    <w:rsid w:val="00B14D87"/>
    <w:rsid w:val="00B15617"/>
    <w:rsid w:val="00B15CDE"/>
    <w:rsid w:val="00B169E5"/>
    <w:rsid w:val="00B16B87"/>
    <w:rsid w:val="00B16D2C"/>
    <w:rsid w:val="00B1716A"/>
    <w:rsid w:val="00B1792F"/>
    <w:rsid w:val="00B20161"/>
    <w:rsid w:val="00B202F1"/>
    <w:rsid w:val="00B215B9"/>
    <w:rsid w:val="00B219BB"/>
    <w:rsid w:val="00B220F5"/>
    <w:rsid w:val="00B22EE7"/>
    <w:rsid w:val="00B23005"/>
    <w:rsid w:val="00B23983"/>
    <w:rsid w:val="00B23E14"/>
    <w:rsid w:val="00B24205"/>
    <w:rsid w:val="00B246E7"/>
    <w:rsid w:val="00B24B7F"/>
    <w:rsid w:val="00B25363"/>
    <w:rsid w:val="00B25659"/>
    <w:rsid w:val="00B2708D"/>
    <w:rsid w:val="00B2783C"/>
    <w:rsid w:val="00B27940"/>
    <w:rsid w:val="00B27E23"/>
    <w:rsid w:val="00B31020"/>
    <w:rsid w:val="00B311B9"/>
    <w:rsid w:val="00B31358"/>
    <w:rsid w:val="00B31B3D"/>
    <w:rsid w:val="00B320B4"/>
    <w:rsid w:val="00B321CA"/>
    <w:rsid w:val="00B3221C"/>
    <w:rsid w:val="00B32436"/>
    <w:rsid w:val="00B324E8"/>
    <w:rsid w:val="00B334E8"/>
    <w:rsid w:val="00B339BB"/>
    <w:rsid w:val="00B33DC1"/>
    <w:rsid w:val="00B33F32"/>
    <w:rsid w:val="00B3438F"/>
    <w:rsid w:val="00B345CF"/>
    <w:rsid w:val="00B34F5E"/>
    <w:rsid w:val="00B35452"/>
    <w:rsid w:val="00B358AA"/>
    <w:rsid w:val="00B36380"/>
    <w:rsid w:val="00B36437"/>
    <w:rsid w:val="00B36B27"/>
    <w:rsid w:val="00B371E7"/>
    <w:rsid w:val="00B37DE9"/>
    <w:rsid w:val="00B40978"/>
    <w:rsid w:val="00B41466"/>
    <w:rsid w:val="00B417D8"/>
    <w:rsid w:val="00B421C1"/>
    <w:rsid w:val="00B4275B"/>
    <w:rsid w:val="00B42AC7"/>
    <w:rsid w:val="00B42C7B"/>
    <w:rsid w:val="00B43CD1"/>
    <w:rsid w:val="00B45448"/>
    <w:rsid w:val="00B455FF"/>
    <w:rsid w:val="00B45621"/>
    <w:rsid w:val="00B45A29"/>
    <w:rsid w:val="00B4643F"/>
    <w:rsid w:val="00B46F9A"/>
    <w:rsid w:val="00B478B4"/>
    <w:rsid w:val="00B47C5A"/>
    <w:rsid w:val="00B47EE0"/>
    <w:rsid w:val="00B50692"/>
    <w:rsid w:val="00B5091D"/>
    <w:rsid w:val="00B5153A"/>
    <w:rsid w:val="00B5212F"/>
    <w:rsid w:val="00B52428"/>
    <w:rsid w:val="00B52739"/>
    <w:rsid w:val="00B53037"/>
    <w:rsid w:val="00B5368B"/>
    <w:rsid w:val="00B53C1A"/>
    <w:rsid w:val="00B547C4"/>
    <w:rsid w:val="00B54E07"/>
    <w:rsid w:val="00B54EA4"/>
    <w:rsid w:val="00B56128"/>
    <w:rsid w:val="00B569C0"/>
    <w:rsid w:val="00B569C7"/>
    <w:rsid w:val="00B56E89"/>
    <w:rsid w:val="00B573F7"/>
    <w:rsid w:val="00B57B98"/>
    <w:rsid w:val="00B6022A"/>
    <w:rsid w:val="00B60381"/>
    <w:rsid w:val="00B61F8D"/>
    <w:rsid w:val="00B62E23"/>
    <w:rsid w:val="00B6300A"/>
    <w:rsid w:val="00B63C89"/>
    <w:rsid w:val="00B63F59"/>
    <w:rsid w:val="00B652C1"/>
    <w:rsid w:val="00B6610D"/>
    <w:rsid w:val="00B663F9"/>
    <w:rsid w:val="00B66D7B"/>
    <w:rsid w:val="00B705FC"/>
    <w:rsid w:val="00B70EEE"/>
    <w:rsid w:val="00B7129E"/>
    <w:rsid w:val="00B713E2"/>
    <w:rsid w:val="00B72848"/>
    <w:rsid w:val="00B72A09"/>
    <w:rsid w:val="00B72FD2"/>
    <w:rsid w:val="00B73217"/>
    <w:rsid w:val="00B73E72"/>
    <w:rsid w:val="00B74B59"/>
    <w:rsid w:val="00B75275"/>
    <w:rsid w:val="00B755C3"/>
    <w:rsid w:val="00B759CB"/>
    <w:rsid w:val="00B75DED"/>
    <w:rsid w:val="00B75F72"/>
    <w:rsid w:val="00B7659A"/>
    <w:rsid w:val="00B7780A"/>
    <w:rsid w:val="00B77BDA"/>
    <w:rsid w:val="00B81D43"/>
    <w:rsid w:val="00B82235"/>
    <w:rsid w:val="00B822F2"/>
    <w:rsid w:val="00B8253B"/>
    <w:rsid w:val="00B82615"/>
    <w:rsid w:val="00B829F0"/>
    <w:rsid w:val="00B82DB9"/>
    <w:rsid w:val="00B84934"/>
    <w:rsid w:val="00B850A9"/>
    <w:rsid w:val="00B8622C"/>
    <w:rsid w:val="00B864E5"/>
    <w:rsid w:val="00B8670B"/>
    <w:rsid w:val="00B87553"/>
    <w:rsid w:val="00B877F5"/>
    <w:rsid w:val="00B87B53"/>
    <w:rsid w:val="00B90660"/>
    <w:rsid w:val="00B91916"/>
    <w:rsid w:val="00B91CDF"/>
    <w:rsid w:val="00B93AFA"/>
    <w:rsid w:val="00B94508"/>
    <w:rsid w:val="00B9491D"/>
    <w:rsid w:val="00B953EE"/>
    <w:rsid w:val="00B955C2"/>
    <w:rsid w:val="00B95675"/>
    <w:rsid w:val="00B956CA"/>
    <w:rsid w:val="00B962F1"/>
    <w:rsid w:val="00B96387"/>
    <w:rsid w:val="00B96595"/>
    <w:rsid w:val="00B968A1"/>
    <w:rsid w:val="00B96969"/>
    <w:rsid w:val="00B96B70"/>
    <w:rsid w:val="00B96B93"/>
    <w:rsid w:val="00B96CF5"/>
    <w:rsid w:val="00BA06CD"/>
    <w:rsid w:val="00BA0B0A"/>
    <w:rsid w:val="00BA1B57"/>
    <w:rsid w:val="00BA2952"/>
    <w:rsid w:val="00BA3E6B"/>
    <w:rsid w:val="00BA4402"/>
    <w:rsid w:val="00BA46D3"/>
    <w:rsid w:val="00BA5385"/>
    <w:rsid w:val="00BA5A3B"/>
    <w:rsid w:val="00BA61BD"/>
    <w:rsid w:val="00BA6721"/>
    <w:rsid w:val="00BA6ACF"/>
    <w:rsid w:val="00BA6CC2"/>
    <w:rsid w:val="00BB002A"/>
    <w:rsid w:val="00BB0149"/>
    <w:rsid w:val="00BB0729"/>
    <w:rsid w:val="00BB1047"/>
    <w:rsid w:val="00BB1794"/>
    <w:rsid w:val="00BB1A7A"/>
    <w:rsid w:val="00BB20DE"/>
    <w:rsid w:val="00BB2A77"/>
    <w:rsid w:val="00BB2D90"/>
    <w:rsid w:val="00BB3032"/>
    <w:rsid w:val="00BB3428"/>
    <w:rsid w:val="00BB3B77"/>
    <w:rsid w:val="00BB415F"/>
    <w:rsid w:val="00BB4414"/>
    <w:rsid w:val="00BB54D7"/>
    <w:rsid w:val="00BB57DE"/>
    <w:rsid w:val="00BB5A4F"/>
    <w:rsid w:val="00BB60CB"/>
    <w:rsid w:val="00BB6415"/>
    <w:rsid w:val="00BB6C11"/>
    <w:rsid w:val="00BB6EB1"/>
    <w:rsid w:val="00BB75C5"/>
    <w:rsid w:val="00BB7623"/>
    <w:rsid w:val="00BB7849"/>
    <w:rsid w:val="00BC0EA3"/>
    <w:rsid w:val="00BC0FE4"/>
    <w:rsid w:val="00BC13FE"/>
    <w:rsid w:val="00BC19C1"/>
    <w:rsid w:val="00BC1BBA"/>
    <w:rsid w:val="00BC1E43"/>
    <w:rsid w:val="00BC24D0"/>
    <w:rsid w:val="00BC3351"/>
    <w:rsid w:val="00BC3924"/>
    <w:rsid w:val="00BC39C6"/>
    <w:rsid w:val="00BC3FA8"/>
    <w:rsid w:val="00BC47FE"/>
    <w:rsid w:val="00BC4AD8"/>
    <w:rsid w:val="00BC4E68"/>
    <w:rsid w:val="00BC5063"/>
    <w:rsid w:val="00BC5A65"/>
    <w:rsid w:val="00BC706E"/>
    <w:rsid w:val="00BC76F2"/>
    <w:rsid w:val="00BC7C4C"/>
    <w:rsid w:val="00BD05CF"/>
    <w:rsid w:val="00BD0C83"/>
    <w:rsid w:val="00BD0D12"/>
    <w:rsid w:val="00BD38E1"/>
    <w:rsid w:val="00BD3E44"/>
    <w:rsid w:val="00BD4257"/>
    <w:rsid w:val="00BD4BD5"/>
    <w:rsid w:val="00BD510B"/>
    <w:rsid w:val="00BD5955"/>
    <w:rsid w:val="00BD5B46"/>
    <w:rsid w:val="00BD5C02"/>
    <w:rsid w:val="00BD5DEA"/>
    <w:rsid w:val="00BD7A9C"/>
    <w:rsid w:val="00BE0B12"/>
    <w:rsid w:val="00BE0BB9"/>
    <w:rsid w:val="00BE0FC8"/>
    <w:rsid w:val="00BE2348"/>
    <w:rsid w:val="00BE23B7"/>
    <w:rsid w:val="00BE311D"/>
    <w:rsid w:val="00BE3939"/>
    <w:rsid w:val="00BE49A6"/>
    <w:rsid w:val="00BE4AC3"/>
    <w:rsid w:val="00BE4C40"/>
    <w:rsid w:val="00BE54D2"/>
    <w:rsid w:val="00BE5BBE"/>
    <w:rsid w:val="00BE6030"/>
    <w:rsid w:val="00BE60A0"/>
    <w:rsid w:val="00BE6831"/>
    <w:rsid w:val="00BE6C1E"/>
    <w:rsid w:val="00BE77D2"/>
    <w:rsid w:val="00BE7DB8"/>
    <w:rsid w:val="00BF05C1"/>
    <w:rsid w:val="00BF0B4F"/>
    <w:rsid w:val="00BF0E7B"/>
    <w:rsid w:val="00BF107D"/>
    <w:rsid w:val="00BF12B6"/>
    <w:rsid w:val="00BF1AB6"/>
    <w:rsid w:val="00BF252B"/>
    <w:rsid w:val="00BF2626"/>
    <w:rsid w:val="00BF5657"/>
    <w:rsid w:val="00BF5DBC"/>
    <w:rsid w:val="00BF64F2"/>
    <w:rsid w:val="00BF6C40"/>
    <w:rsid w:val="00BF70AF"/>
    <w:rsid w:val="00BF73F1"/>
    <w:rsid w:val="00BF7489"/>
    <w:rsid w:val="00BF7B40"/>
    <w:rsid w:val="00C009E3"/>
    <w:rsid w:val="00C0205A"/>
    <w:rsid w:val="00C02525"/>
    <w:rsid w:val="00C02740"/>
    <w:rsid w:val="00C029EF"/>
    <w:rsid w:val="00C02E4E"/>
    <w:rsid w:val="00C03459"/>
    <w:rsid w:val="00C04009"/>
    <w:rsid w:val="00C04EA9"/>
    <w:rsid w:val="00C055B8"/>
    <w:rsid w:val="00C05612"/>
    <w:rsid w:val="00C05867"/>
    <w:rsid w:val="00C05C23"/>
    <w:rsid w:val="00C05D81"/>
    <w:rsid w:val="00C062CE"/>
    <w:rsid w:val="00C064A7"/>
    <w:rsid w:val="00C064D3"/>
    <w:rsid w:val="00C075CC"/>
    <w:rsid w:val="00C07B8C"/>
    <w:rsid w:val="00C101E4"/>
    <w:rsid w:val="00C102D9"/>
    <w:rsid w:val="00C1092C"/>
    <w:rsid w:val="00C10A61"/>
    <w:rsid w:val="00C10A83"/>
    <w:rsid w:val="00C10F82"/>
    <w:rsid w:val="00C12997"/>
    <w:rsid w:val="00C139B7"/>
    <w:rsid w:val="00C13F11"/>
    <w:rsid w:val="00C14104"/>
    <w:rsid w:val="00C146CC"/>
    <w:rsid w:val="00C14F13"/>
    <w:rsid w:val="00C15B77"/>
    <w:rsid w:val="00C15CBA"/>
    <w:rsid w:val="00C16B46"/>
    <w:rsid w:val="00C1706F"/>
    <w:rsid w:val="00C1793E"/>
    <w:rsid w:val="00C17A7B"/>
    <w:rsid w:val="00C203E3"/>
    <w:rsid w:val="00C20852"/>
    <w:rsid w:val="00C20D03"/>
    <w:rsid w:val="00C20FA5"/>
    <w:rsid w:val="00C212A8"/>
    <w:rsid w:val="00C22066"/>
    <w:rsid w:val="00C2211B"/>
    <w:rsid w:val="00C22AFC"/>
    <w:rsid w:val="00C2324F"/>
    <w:rsid w:val="00C2331E"/>
    <w:rsid w:val="00C233EC"/>
    <w:rsid w:val="00C23BE9"/>
    <w:rsid w:val="00C2407A"/>
    <w:rsid w:val="00C2430E"/>
    <w:rsid w:val="00C24AAF"/>
    <w:rsid w:val="00C24D84"/>
    <w:rsid w:val="00C25272"/>
    <w:rsid w:val="00C25D43"/>
    <w:rsid w:val="00C2634D"/>
    <w:rsid w:val="00C26436"/>
    <w:rsid w:val="00C26596"/>
    <w:rsid w:val="00C2724C"/>
    <w:rsid w:val="00C27D79"/>
    <w:rsid w:val="00C303A0"/>
    <w:rsid w:val="00C30444"/>
    <w:rsid w:val="00C30592"/>
    <w:rsid w:val="00C3076C"/>
    <w:rsid w:val="00C3087F"/>
    <w:rsid w:val="00C3121D"/>
    <w:rsid w:val="00C3167B"/>
    <w:rsid w:val="00C31C83"/>
    <w:rsid w:val="00C31E0E"/>
    <w:rsid w:val="00C32F48"/>
    <w:rsid w:val="00C33018"/>
    <w:rsid w:val="00C331DE"/>
    <w:rsid w:val="00C33332"/>
    <w:rsid w:val="00C337C9"/>
    <w:rsid w:val="00C34001"/>
    <w:rsid w:val="00C349F5"/>
    <w:rsid w:val="00C350D4"/>
    <w:rsid w:val="00C35211"/>
    <w:rsid w:val="00C35F39"/>
    <w:rsid w:val="00C36644"/>
    <w:rsid w:val="00C36757"/>
    <w:rsid w:val="00C368D3"/>
    <w:rsid w:val="00C36C27"/>
    <w:rsid w:val="00C37A88"/>
    <w:rsid w:val="00C40263"/>
    <w:rsid w:val="00C4030E"/>
    <w:rsid w:val="00C40C72"/>
    <w:rsid w:val="00C41D85"/>
    <w:rsid w:val="00C427CA"/>
    <w:rsid w:val="00C42E14"/>
    <w:rsid w:val="00C43000"/>
    <w:rsid w:val="00C434F2"/>
    <w:rsid w:val="00C44987"/>
    <w:rsid w:val="00C44C50"/>
    <w:rsid w:val="00C4510C"/>
    <w:rsid w:val="00C4523F"/>
    <w:rsid w:val="00C453E4"/>
    <w:rsid w:val="00C45A1D"/>
    <w:rsid w:val="00C45D81"/>
    <w:rsid w:val="00C45EE1"/>
    <w:rsid w:val="00C46D51"/>
    <w:rsid w:val="00C470E3"/>
    <w:rsid w:val="00C501B7"/>
    <w:rsid w:val="00C507BD"/>
    <w:rsid w:val="00C50EE1"/>
    <w:rsid w:val="00C514F7"/>
    <w:rsid w:val="00C52624"/>
    <w:rsid w:val="00C52C96"/>
    <w:rsid w:val="00C52CEF"/>
    <w:rsid w:val="00C53D55"/>
    <w:rsid w:val="00C5494F"/>
    <w:rsid w:val="00C54E29"/>
    <w:rsid w:val="00C55025"/>
    <w:rsid w:val="00C55483"/>
    <w:rsid w:val="00C55FDF"/>
    <w:rsid w:val="00C564A9"/>
    <w:rsid w:val="00C57B03"/>
    <w:rsid w:val="00C6017B"/>
    <w:rsid w:val="00C60C2B"/>
    <w:rsid w:val="00C61ADE"/>
    <w:rsid w:val="00C61FBA"/>
    <w:rsid w:val="00C6278F"/>
    <w:rsid w:val="00C62865"/>
    <w:rsid w:val="00C63AC7"/>
    <w:rsid w:val="00C63BD7"/>
    <w:rsid w:val="00C63D91"/>
    <w:rsid w:val="00C63F5A"/>
    <w:rsid w:val="00C64F3F"/>
    <w:rsid w:val="00C65367"/>
    <w:rsid w:val="00C655C8"/>
    <w:rsid w:val="00C66CA0"/>
    <w:rsid w:val="00C70842"/>
    <w:rsid w:val="00C7181D"/>
    <w:rsid w:val="00C71890"/>
    <w:rsid w:val="00C72CCC"/>
    <w:rsid w:val="00C73017"/>
    <w:rsid w:val="00C7467B"/>
    <w:rsid w:val="00C74FE6"/>
    <w:rsid w:val="00C7553C"/>
    <w:rsid w:val="00C75D11"/>
    <w:rsid w:val="00C75EFE"/>
    <w:rsid w:val="00C762CE"/>
    <w:rsid w:val="00C7634F"/>
    <w:rsid w:val="00C76388"/>
    <w:rsid w:val="00C76431"/>
    <w:rsid w:val="00C77021"/>
    <w:rsid w:val="00C77666"/>
    <w:rsid w:val="00C77834"/>
    <w:rsid w:val="00C77B4C"/>
    <w:rsid w:val="00C80402"/>
    <w:rsid w:val="00C80634"/>
    <w:rsid w:val="00C80EF2"/>
    <w:rsid w:val="00C80F23"/>
    <w:rsid w:val="00C82738"/>
    <w:rsid w:val="00C82BE6"/>
    <w:rsid w:val="00C8316F"/>
    <w:rsid w:val="00C831D2"/>
    <w:rsid w:val="00C834E1"/>
    <w:rsid w:val="00C84028"/>
    <w:rsid w:val="00C84087"/>
    <w:rsid w:val="00C84363"/>
    <w:rsid w:val="00C84846"/>
    <w:rsid w:val="00C85A14"/>
    <w:rsid w:val="00C86CAA"/>
    <w:rsid w:val="00C86D6F"/>
    <w:rsid w:val="00C8710D"/>
    <w:rsid w:val="00C872C5"/>
    <w:rsid w:val="00C87501"/>
    <w:rsid w:val="00C87695"/>
    <w:rsid w:val="00C8773C"/>
    <w:rsid w:val="00C90DC0"/>
    <w:rsid w:val="00C911F6"/>
    <w:rsid w:val="00C91AC0"/>
    <w:rsid w:val="00C91BF6"/>
    <w:rsid w:val="00C92A65"/>
    <w:rsid w:val="00C92D3A"/>
    <w:rsid w:val="00C9320D"/>
    <w:rsid w:val="00C93BE3"/>
    <w:rsid w:val="00C9436D"/>
    <w:rsid w:val="00C94E33"/>
    <w:rsid w:val="00C954F2"/>
    <w:rsid w:val="00C958BE"/>
    <w:rsid w:val="00C95945"/>
    <w:rsid w:val="00C95A71"/>
    <w:rsid w:val="00C9656B"/>
    <w:rsid w:val="00C97585"/>
    <w:rsid w:val="00CA0668"/>
    <w:rsid w:val="00CA0706"/>
    <w:rsid w:val="00CA0D9B"/>
    <w:rsid w:val="00CA0F5D"/>
    <w:rsid w:val="00CA1152"/>
    <w:rsid w:val="00CA1369"/>
    <w:rsid w:val="00CA1528"/>
    <w:rsid w:val="00CA1F33"/>
    <w:rsid w:val="00CA21F3"/>
    <w:rsid w:val="00CA305F"/>
    <w:rsid w:val="00CA3A35"/>
    <w:rsid w:val="00CA3D8F"/>
    <w:rsid w:val="00CA41AF"/>
    <w:rsid w:val="00CA4AA8"/>
    <w:rsid w:val="00CA52DC"/>
    <w:rsid w:val="00CA53BB"/>
    <w:rsid w:val="00CA5690"/>
    <w:rsid w:val="00CA6A29"/>
    <w:rsid w:val="00CA6FF0"/>
    <w:rsid w:val="00CA7066"/>
    <w:rsid w:val="00CA7AB7"/>
    <w:rsid w:val="00CA7AC8"/>
    <w:rsid w:val="00CB01D5"/>
    <w:rsid w:val="00CB1127"/>
    <w:rsid w:val="00CB12B4"/>
    <w:rsid w:val="00CB1BFF"/>
    <w:rsid w:val="00CB1F3C"/>
    <w:rsid w:val="00CB26D0"/>
    <w:rsid w:val="00CB3B23"/>
    <w:rsid w:val="00CB44B7"/>
    <w:rsid w:val="00CB4D7A"/>
    <w:rsid w:val="00CB4EF0"/>
    <w:rsid w:val="00CB6404"/>
    <w:rsid w:val="00CB6796"/>
    <w:rsid w:val="00CB67B7"/>
    <w:rsid w:val="00CC006D"/>
    <w:rsid w:val="00CC16B4"/>
    <w:rsid w:val="00CC1A28"/>
    <w:rsid w:val="00CC1E93"/>
    <w:rsid w:val="00CC314F"/>
    <w:rsid w:val="00CC36AC"/>
    <w:rsid w:val="00CC390C"/>
    <w:rsid w:val="00CC440D"/>
    <w:rsid w:val="00CC44C3"/>
    <w:rsid w:val="00CC46CC"/>
    <w:rsid w:val="00CC5AEC"/>
    <w:rsid w:val="00CC5D62"/>
    <w:rsid w:val="00CC668C"/>
    <w:rsid w:val="00CC67ED"/>
    <w:rsid w:val="00CC69A4"/>
    <w:rsid w:val="00CC6A27"/>
    <w:rsid w:val="00CC7873"/>
    <w:rsid w:val="00CC78C0"/>
    <w:rsid w:val="00CC7AD7"/>
    <w:rsid w:val="00CD0393"/>
    <w:rsid w:val="00CD065A"/>
    <w:rsid w:val="00CD1BCF"/>
    <w:rsid w:val="00CD2A8F"/>
    <w:rsid w:val="00CD31F3"/>
    <w:rsid w:val="00CD41AA"/>
    <w:rsid w:val="00CD43D5"/>
    <w:rsid w:val="00CD4A6A"/>
    <w:rsid w:val="00CD5166"/>
    <w:rsid w:val="00CD53D1"/>
    <w:rsid w:val="00CD55BD"/>
    <w:rsid w:val="00CD588A"/>
    <w:rsid w:val="00CD5E0A"/>
    <w:rsid w:val="00CD5E58"/>
    <w:rsid w:val="00CD67C6"/>
    <w:rsid w:val="00CD6900"/>
    <w:rsid w:val="00CD6AB2"/>
    <w:rsid w:val="00CD6E86"/>
    <w:rsid w:val="00CD74C0"/>
    <w:rsid w:val="00CD7819"/>
    <w:rsid w:val="00CD7879"/>
    <w:rsid w:val="00CE05D0"/>
    <w:rsid w:val="00CE0699"/>
    <w:rsid w:val="00CE0A8C"/>
    <w:rsid w:val="00CE0B26"/>
    <w:rsid w:val="00CE16E7"/>
    <w:rsid w:val="00CE257F"/>
    <w:rsid w:val="00CE29DD"/>
    <w:rsid w:val="00CE3120"/>
    <w:rsid w:val="00CE3621"/>
    <w:rsid w:val="00CE3758"/>
    <w:rsid w:val="00CE375B"/>
    <w:rsid w:val="00CE39D5"/>
    <w:rsid w:val="00CE3FF4"/>
    <w:rsid w:val="00CE43E7"/>
    <w:rsid w:val="00CE45C1"/>
    <w:rsid w:val="00CE49B6"/>
    <w:rsid w:val="00CE51C9"/>
    <w:rsid w:val="00CE53BD"/>
    <w:rsid w:val="00CE57B5"/>
    <w:rsid w:val="00CE61A4"/>
    <w:rsid w:val="00CE62DE"/>
    <w:rsid w:val="00CE639A"/>
    <w:rsid w:val="00CE6AE0"/>
    <w:rsid w:val="00CE6BF3"/>
    <w:rsid w:val="00CE76EB"/>
    <w:rsid w:val="00CE76F0"/>
    <w:rsid w:val="00CF0A59"/>
    <w:rsid w:val="00CF10C6"/>
    <w:rsid w:val="00CF1496"/>
    <w:rsid w:val="00CF1B18"/>
    <w:rsid w:val="00CF1C71"/>
    <w:rsid w:val="00CF2597"/>
    <w:rsid w:val="00CF2D9E"/>
    <w:rsid w:val="00CF369E"/>
    <w:rsid w:val="00CF398D"/>
    <w:rsid w:val="00CF3C98"/>
    <w:rsid w:val="00CF4056"/>
    <w:rsid w:val="00CF434B"/>
    <w:rsid w:val="00CF43EA"/>
    <w:rsid w:val="00CF4F48"/>
    <w:rsid w:val="00CF535E"/>
    <w:rsid w:val="00CF5442"/>
    <w:rsid w:val="00CF5EC0"/>
    <w:rsid w:val="00CF61D7"/>
    <w:rsid w:val="00CF71B1"/>
    <w:rsid w:val="00CF7A01"/>
    <w:rsid w:val="00D00B5E"/>
    <w:rsid w:val="00D00BC1"/>
    <w:rsid w:val="00D01144"/>
    <w:rsid w:val="00D0134E"/>
    <w:rsid w:val="00D01A46"/>
    <w:rsid w:val="00D01B15"/>
    <w:rsid w:val="00D0210B"/>
    <w:rsid w:val="00D02A1E"/>
    <w:rsid w:val="00D02A50"/>
    <w:rsid w:val="00D02D72"/>
    <w:rsid w:val="00D0305C"/>
    <w:rsid w:val="00D0313C"/>
    <w:rsid w:val="00D03AF9"/>
    <w:rsid w:val="00D03DDA"/>
    <w:rsid w:val="00D04851"/>
    <w:rsid w:val="00D05607"/>
    <w:rsid w:val="00D060A2"/>
    <w:rsid w:val="00D074B7"/>
    <w:rsid w:val="00D10A3E"/>
    <w:rsid w:val="00D11314"/>
    <w:rsid w:val="00D12298"/>
    <w:rsid w:val="00D1257C"/>
    <w:rsid w:val="00D12941"/>
    <w:rsid w:val="00D129D5"/>
    <w:rsid w:val="00D13953"/>
    <w:rsid w:val="00D13A1C"/>
    <w:rsid w:val="00D13F4A"/>
    <w:rsid w:val="00D14020"/>
    <w:rsid w:val="00D1404D"/>
    <w:rsid w:val="00D1404E"/>
    <w:rsid w:val="00D14CAD"/>
    <w:rsid w:val="00D159AA"/>
    <w:rsid w:val="00D15C22"/>
    <w:rsid w:val="00D169F0"/>
    <w:rsid w:val="00D16F57"/>
    <w:rsid w:val="00D16FFD"/>
    <w:rsid w:val="00D17A6D"/>
    <w:rsid w:val="00D17F0D"/>
    <w:rsid w:val="00D17F75"/>
    <w:rsid w:val="00D21285"/>
    <w:rsid w:val="00D21929"/>
    <w:rsid w:val="00D21BC6"/>
    <w:rsid w:val="00D223AF"/>
    <w:rsid w:val="00D223C9"/>
    <w:rsid w:val="00D22EFA"/>
    <w:rsid w:val="00D2329B"/>
    <w:rsid w:val="00D23BE5"/>
    <w:rsid w:val="00D24AC5"/>
    <w:rsid w:val="00D25453"/>
    <w:rsid w:val="00D265F4"/>
    <w:rsid w:val="00D26F80"/>
    <w:rsid w:val="00D27870"/>
    <w:rsid w:val="00D307BA"/>
    <w:rsid w:val="00D30AC7"/>
    <w:rsid w:val="00D30FFA"/>
    <w:rsid w:val="00D3131D"/>
    <w:rsid w:val="00D316C0"/>
    <w:rsid w:val="00D31876"/>
    <w:rsid w:val="00D31887"/>
    <w:rsid w:val="00D31BC1"/>
    <w:rsid w:val="00D3219E"/>
    <w:rsid w:val="00D3296A"/>
    <w:rsid w:val="00D32C5B"/>
    <w:rsid w:val="00D33DF5"/>
    <w:rsid w:val="00D33EA9"/>
    <w:rsid w:val="00D33EF8"/>
    <w:rsid w:val="00D35588"/>
    <w:rsid w:val="00D355E9"/>
    <w:rsid w:val="00D358D7"/>
    <w:rsid w:val="00D35B87"/>
    <w:rsid w:val="00D35BD4"/>
    <w:rsid w:val="00D4037B"/>
    <w:rsid w:val="00D40AA0"/>
    <w:rsid w:val="00D40D50"/>
    <w:rsid w:val="00D40DD7"/>
    <w:rsid w:val="00D417CF"/>
    <w:rsid w:val="00D42C4A"/>
    <w:rsid w:val="00D431EC"/>
    <w:rsid w:val="00D4369B"/>
    <w:rsid w:val="00D43896"/>
    <w:rsid w:val="00D440FC"/>
    <w:rsid w:val="00D4414B"/>
    <w:rsid w:val="00D44365"/>
    <w:rsid w:val="00D4466D"/>
    <w:rsid w:val="00D44AC9"/>
    <w:rsid w:val="00D4504C"/>
    <w:rsid w:val="00D4565C"/>
    <w:rsid w:val="00D45AD3"/>
    <w:rsid w:val="00D469B0"/>
    <w:rsid w:val="00D47326"/>
    <w:rsid w:val="00D47EC7"/>
    <w:rsid w:val="00D47F1B"/>
    <w:rsid w:val="00D50521"/>
    <w:rsid w:val="00D50891"/>
    <w:rsid w:val="00D50D0A"/>
    <w:rsid w:val="00D517C5"/>
    <w:rsid w:val="00D51BAD"/>
    <w:rsid w:val="00D51FD1"/>
    <w:rsid w:val="00D528B2"/>
    <w:rsid w:val="00D5293D"/>
    <w:rsid w:val="00D52D3A"/>
    <w:rsid w:val="00D536DE"/>
    <w:rsid w:val="00D538A2"/>
    <w:rsid w:val="00D53CE1"/>
    <w:rsid w:val="00D53D81"/>
    <w:rsid w:val="00D545E3"/>
    <w:rsid w:val="00D55CF5"/>
    <w:rsid w:val="00D5633E"/>
    <w:rsid w:val="00D566A6"/>
    <w:rsid w:val="00D5691B"/>
    <w:rsid w:val="00D56A55"/>
    <w:rsid w:val="00D56C37"/>
    <w:rsid w:val="00D6051E"/>
    <w:rsid w:val="00D6151C"/>
    <w:rsid w:val="00D6173E"/>
    <w:rsid w:val="00D61758"/>
    <w:rsid w:val="00D623D9"/>
    <w:rsid w:val="00D6250C"/>
    <w:rsid w:val="00D6272E"/>
    <w:rsid w:val="00D63515"/>
    <w:rsid w:val="00D63B0F"/>
    <w:rsid w:val="00D649F1"/>
    <w:rsid w:val="00D657A1"/>
    <w:rsid w:val="00D65BD2"/>
    <w:rsid w:val="00D66810"/>
    <w:rsid w:val="00D673E5"/>
    <w:rsid w:val="00D67787"/>
    <w:rsid w:val="00D678D1"/>
    <w:rsid w:val="00D703AF"/>
    <w:rsid w:val="00D7085A"/>
    <w:rsid w:val="00D709B9"/>
    <w:rsid w:val="00D70AF2"/>
    <w:rsid w:val="00D71558"/>
    <w:rsid w:val="00D7176C"/>
    <w:rsid w:val="00D72616"/>
    <w:rsid w:val="00D73ED6"/>
    <w:rsid w:val="00D73F5E"/>
    <w:rsid w:val="00D74097"/>
    <w:rsid w:val="00D7459C"/>
    <w:rsid w:val="00D76307"/>
    <w:rsid w:val="00D76590"/>
    <w:rsid w:val="00D769FD"/>
    <w:rsid w:val="00D76A2B"/>
    <w:rsid w:val="00D76F48"/>
    <w:rsid w:val="00D77224"/>
    <w:rsid w:val="00D773D3"/>
    <w:rsid w:val="00D80797"/>
    <w:rsid w:val="00D80A06"/>
    <w:rsid w:val="00D81153"/>
    <w:rsid w:val="00D81681"/>
    <w:rsid w:val="00D817D3"/>
    <w:rsid w:val="00D81B99"/>
    <w:rsid w:val="00D81F05"/>
    <w:rsid w:val="00D82754"/>
    <w:rsid w:val="00D83A8E"/>
    <w:rsid w:val="00D83D6D"/>
    <w:rsid w:val="00D83EA0"/>
    <w:rsid w:val="00D840DC"/>
    <w:rsid w:val="00D841E6"/>
    <w:rsid w:val="00D85A05"/>
    <w:rsid w:val="00D85DBA"/>
    <w:rsid w:val="00D86659"/>
    <w:rsid w:val="00D8686C"/>
    <w:rsid w:val="00D86B58"/>
    <w:rsid w:val="00D870CA"/>
    <w:rsid w:val="00D870F3"/>
    <w:rsid w:val="00D871D3"/>
    <w:rsid w:val="00D87451"/>
    <w:rsid w:val="00D878B1"/>
    <w:rsid w:val="00D9005D"/>
    <w:rsid w:val="00D90474"/>
    <w:rsid w:val="00D90877"/>
    <w:rsid w:val="00D9112C"/>
    <w:rsid w:val="00D91829"/>
    <w:rsid w:val="00D91FFF"/>
    <w:rsid w:val="00D92459"/>
    <w:rsid w:val="00D924EC"/>
    <w:rsid w:val="00D92D9A"/>
    <w:rsid w:val="00D93C00"/>
    <w:rsid w:val="00D9430C"/>
    <w:rsid w:val="00D94463"/>
    <w:rsid w:val="00D944B8"/>
    <w:rsid w:val="00D94927"/>
    <w:rsid w:val="00D9569B"/>
    <w:rsid w:val="00D95D94"/>
    <w:rsid w:val="00D96387"/>
    <w:rsid w:val="00D96C5E"/>
    <w:rsid w:val="00D96D25"/>
    <w:rsid w:val="00D973C0"/>
    <w:rsid w:val="00D975D8"/>
    <w:rsid w:val="00D97AED"/>
    <w:rsid w:val="00DA084A"/>
    <w:rsid w:val="00DA0CBC"/>
    <w:rsid w:val="00DA108C"/>
    <w:rsid w:val="00DA1162"/>
    <w:rsid w:val="00DA11C2"/>
    <w:rsid w:val="00DA1463"/>
    <w:rsid w:val="00DA1D11"/>
    <w:rsid w:val="00DA1D4A"/>
    <w:rsid w:val="00DA233C"/>
    <w:rsid w:val="00DA2AEF"/>
    <w:rsid w:val="00DA3117"/>
    <w:rsid w:val="00DA3885"/>
    <w:rsid w:val="00DA42CB"/>
    <w:rsid w:val="00DA4A0D"/>
    <w:rsid w:val="00DA5385"/>
    <w:rsid w:val="00DA5686"/>
    <w:rsid w:val="00DA604B"/>
    <w:rsid w:val="00DA7831"/>
    <w:rsid w:val="00DA7D2E"/>
    <w:rsid w:val="00DB02E3"/>
    <w:rsid w:val="00DB0A6F"/>
    <w:rsid w:val="00DB1158"/>
    <w:rsid w:val="00DB2534"/>
    <w:rsid w:val="00DB2F40"/>
    <w:rsid w:val="00DB3010"/>
    <w:rsid w:val="00DB3855"/>
    <w:rsid w:val="00DB3866"/>
    <w:rsid w:val="00DB38FE"/>
    <w:rsid w:val="00DB409E"/>
    <w:rsid w:val="00DB4921"/>
    <w:rsid w:val="00DB50A6"/>
    <w:rsid w:val="00DB5AE8"/>
    <w:rsid w:val="00DB5B00"/>
    <w:rsid w:val="00DB67BC"/>
    <w:rsid w:val="00DB7233"/>
    <w:rsid w:val="00DB7BD7"/>
    <w:rsid w:val="00DC165C"/>
    <w:rsid w:val="00DC1BC0"/>
    <w:rsid w:val="00DC1C76"/>
    <w:rsid w:val="00DC2D4B"/>
    <w:rsid w:val="00DC4C24"/>
    <w:rsid w:val="00DC4E77"/>
    <w:rsid w:val="00DC51EC"/>
    <w:rsid w:val="00DC589C"/>
    <w:rsid w:val="00DC5AA1"/>
    <w:rsid w:val="00DC5C36"/>
    <w:rsid w:val="00DC5E9F"/>
    <w:rsid w:val="00DC5FDF"/>
    <w:rsid w:val="00DC6069"/>
    <w:rsid w:val="00DC63EE"/>
    <w:rsid w:val="00DC65DD"/>
    <w:rsid w:val="00DC6B19"/>
    <w:rsid w:val="00DC6F25"/>
    <w:rsid w:val="00DC7EC3"/>
    <w:rsid w:val="00DD03CE"/>
    <w:rsid w:val="00DD17C4"/>
    <w:rsid w:val="00DD39AC"/>
    <w:rsid w:val="00DD3A16"/>
    <w:rsid w:val="00DD4AB2"/>
    <w:rsid w:val="00DD4DE9"/>
    <w:rsid w:val="00DD4F51"/>
    <w:rsid w:val="00DD5273"/>
    <w:rsid w:val="00DD557F"/>
    <w:rsid w:val="00DD6941"/>
    <w:rsid w:val="00DD6B40"/>
    <w:rsid w:val="00DD7267"/>
    <w:rsid w:val="00DE0088"/>
    <w:rsid w:val="00DE0791"/>
    <w:rsid w:val="00DE205D"/>
    <w:rsid w:val="00DE3176"/>
    <w:rsid w:val="00DE322A"/>
    <w:rsid w:val="00DE340C"/>
    <w:rsid w:val="00DE34AE"/>
    <w:rsid w:val="00DE3614"/>
    <w:rsid w:val="00DE43FB"/>
    <w:rsid w:val="00DE4571"/>
    <w:rsid w:val="00DE4E61"/>
    <w:rsid w:val="00DE55F1"/>
    <w:rsid w:val="00DE5D45"/>
    <w:rsid w:val="00DE5D6E"/>
    <w:rsid w:val="00DE6B52"/>
    <w:rsid w:val="00DE718D"/>
    <w:rsid w:val="00DE758D"/>
    <w:rsid w:val="00DE776F"/>
    <w:rsid w:val="00DF0516"/>
    <w:rsid w:val="00DF0B50"/>
    <w:rsid w:val="00DF0F4C"/>
    <w:rsid w:val="00DF15DC"/>
    <w:rsid w:val="00DF2154"/>
    <w:rsid w:val="00DF250F"/>
    <w:rsid w:val="00DF2AAE"/>
    <w:rsid w:val="00DF36C3"/>
    <w:rsid w:val="00DF38B9"/>
    <w:rsid w:val="00DF4305"/>
    <w:rsid w:val="00DF4670"/>
    <w:rsid w:val="00DF566A"/>
    <w:rsid w:val="00DF5EFE"/>
    <w:rsid w:val="00DF649D"/>
    <w:rsid w:val="00DF6E87"/>
    <w:rsid w:val="00DF705B"/>
    <w:rsid w:val="00DF7C1F"/>
    <w:rsid w:val="00DF7DCC"/>
    <w:rsid w:val="00DF7E9F"/>
    <w:rsid w:val="00E004C1"/>
    <w:rsid w:val="00E00C5B"/>
    <w:rsid w:val="00E013FB"/>
    <w:rsid w:val="00E015C0"/>
    <w:rsid w:val="00E01DD0"/>
    <w:rsid w:val="00E022FD"/>
    <w:rsid w:val="00E0253A"/>
    <w:rsid w:val="00E0256B"/>
    <w:rsid w:val="00E02DCA"/>
    <w:rsid w:val="00E04189"/>
    <w:rsid w:val="00E053B2"/>
    <w:rsid w:val="00E054B7"/>
    <w:rsid w:val="00E05835"/>
    <w:rsid w:val="00E0622E"/>
    <w:rsid w:val="00E062E1"/>
    <w:rsid w:val="00E063E6"/>
    <w:rsid w:val="00E0693C"/>
    <w:rsid w:val="00E06A73"/>
    <w:rsid w:val="00E07D3F"/>
    <w:rsid w:val="00E1003C"/>
    <w:rsid w:val="00E10653"/>
    <w:rsid w:val="00E1068E"/>
    <w:rsid w:val="00E10FCA"/>
    <w:rsid w:val="00E111B5"/>
    <w:rsid w:val="00E117C2"/>
    <w:rsid w:val="00E12637"/>
    <w:rsid w:val="00E13391"/>
    <w:rsid w:val="00E13D4B"/>
    <w:rsid w:val="00E1556D"/>
    <w:rsid w:val="00E16A6C"/>
    <w:rsid w:val="00E16D14"/>
    <w:rsid w:val="00E17069"/>
    <w:rsid w:val="00E17B01"/>
    <w:rsid w:val="00E2004E"/>
    <w:rsid w:val="00E203FF"/>
    <w:rsid w:val="00E20646"/>
    <w:rsid w:val="00E209F7"/>
    <w:rsid w:val="00E23101"/>
    <w:rsid w:val="00E231C3"/>
    <w:rsid w:val="00E231DF"/>
    <w:rsid w:val="00E23C41"/>
    <w:rsid w:val="00E25278"/>
    <w:rsid w:val="00E25768"/>
    <w:rsid w:val="00E26305"/>
    <w:rsid w:val="00E26387"/>
    <w:rsid w:val="00E26766"/>
    <w:rsid w:val="00E269F8"/>
    <w:rsid w:val="00E26FFD"/>
    <w:rsid w:val="00E27A44"/>
    <w:rsid w:val="00E27DCF"/>
    <w:rsid w:val="00E27E35"/>
    <w:rsid w:val="00E27F44"/>
    <w:rsid w:val="00E27FA5"/>
    <w:rsid w:val="00E30069"/>
    <w:rsid w:val="00E31D12"/>
    <w:rsid w:val="00E31D6C"/>
    <w:rsid w:val="00E31E6B"/>
    <w:rsid w:val="00E31F1E"/>
    <w:rsid w:val="00E32208"/>
    <w:rsid w:val="00E32225"/>
    <w:rsid w:val="00E3247F"/>
    <w:rsid w:val="00E325FA"/>
    <w:rsid w:val="00E32731"/>
    <w:rsid w:val="00E32785"/>
    <w:rsid w:val="00E33A33"/>
    <w:rsid w:val="00E34C5E"/>
    <w:rsid w:val="00E34E6D"/>
    <w:rsid w:val="00E3508E"/>
    <w:rsid w:val="00E3537F"/>
    <w:rsid w:val="00E35404"/>
    <w:rsid w:val="00E35531"/>
    <w:rsid w:val="00E35BA8"/>
    <w:rsid w:val="00E35C8B"/>
    <w:rsid w:val="00E36A73"/>
    <w:rsid w:val="00E377EA"/>
    <w:rsid w:val="00E37E76"/>
    <w:rsid w:val="00E37EEC"/>
    <w:rsid w:val="00E4019A"/>
    <w:rsid w:val="00E40445"/>
    <w:rsid w:val="00E40AA0"/>
    <w:rsid w:val="00E41027"/>
    <w:rsid w:val="00E414CC"/>
    <w:rsid w:val="00E41728"/>
    <w:rsid w:val="00E41EDD"/>
    <w:rsid w:val="00E4207F"/>
    <w:rsid w:val="00E42164"/>
    <w:rsid w:val="00E42BAD"/>
    <w:rsid w:val="00E44AC8"/>
    <w:rsid w:val="00E44FF8"/>
    <w:rsid w:val="00E45FB9"/>
    <w:rsid w:val="00E4733C"/>
    <w:rsid w:val="00E47508"/>
    <w:rsid w:val="00E477A0"/>
    <w:rsid w:val="00E47AA2"/>
    <w:rsid w:val="00E47B56"/>
    <w:rsid w:val="00E502A8"/>
    <w:rsid w:val="00E506B0"/>
    <w:rsid w:val="00E50DC2"/>
    <w:rsid w:val="00E50F40"/>
    <w:rsid w:val="00E511E4"/>
    <w:rsid w:val="00E51A8B"/>
    <w:rsid w:val="00E52098"/>
    <w:rsid w:val="00E520C2"/>
    <w:rsid w:val="00E520FD"/>
    <w:rsid w:val="00E5247B"/>
    <w:rsid w:val="00E5254C"/>
    <w:rsid w:val="00E53B13"/>
    <w:rsid w:val="00E54449"/>
    <w:rsid w:val="00E54482"/>
    <w:rsid w:val="00E5509B"/>
    <w:rsid w:val="00E5591F"/>
    <w:rsid w:val="00E55E7F"/>
    <w:rsid w:val="00E5603E"/>
    <w:rsid w:val="00E562F8"/>
    <w:rsid w:val="00E5657A"/>
    <w:rsid w:val="00E56846"/>
    <w:rsid w:val="00E5691F"/>
    <w:rsid w:val="00E56CA5"/>
    <w:rsid w:val="00E600AB"/>
    <w:rsid w:val="00E6032A"/>
    <w:rsid w:val="00E60625"/>
    <w:rsid w:val="00E61F9B"/>
    <w:rsid w:val="00E625E1"/>
    <w:rsid w:val="00E62DBD"/>
    <w:rsid w:val="00E62F45"/>
    <w:rsid w:val="00E632FE"/>
    <w:rsid w:val="00E638B9"/>
    <w:rsid w:val="00E63C9E"/>
    <w:rsid w:val="00E6407A"/>
    <w:rsid w:val="00E642EA"/>
    <w:rsid w:val="00E65CAE"/>
    <w:rsid w:val="00E65D98"/>
    <w:rsid w:val="00E667AE"/>
    <w:rsid w:val="00E6716B"/>
    <w:rsid w:val="00E67424"/>
    <w:rsid w:val="00E67847"/>
    <w:rsid w:val="00E67C37"/>
    <w:rsid w:val="00E70153"/>
    <w:rsid w:val="00E71798"/>
    <w:rsid w:val="00E72324"/>
    <w:rsid w:val="00E725A9"/>
    <w:rsid w:val="00E72C6B"/>
    <w:rsid w:val="00E73049"/>
    <w:rsid w:val="00E7349B"/>
    <w:rsid w:val="00E73657"/>
    <w:rsid w:val="00E73E86"/>
    <w:rsid w:val="00E73E8A"/>
    <w:rsid w:val="00E74B0D"/>
    <w:rsid w:val="00E74D55"/>
    <w:rsid w:val="00E7512F"/>
    <w:rsid w:val="00E751C7"/>
    <w:rsid w:val="00E76E69"/>
    <w:rsid w:val="00E776E9"/>
    <w:rsid w:val="00E778BB"/>
    <w:rsid w:val="00E77FDE"/>
    <w:rsid w:val="00E80299"/>
    <w:rsid w:val="00E80A12"/>
    <w:rsid w:val="00E81DCF"/>
    <w:rsid w:val="00E827A9"/>
    <w:rsid w:val="00E83572"/>
    <w:rsid w:val="00E837D5"/>
    <w:rsid w:val="00E83E19"/>
    <w:rsid w:val="00E83E27"/>
    <w:rsid w:val="00E84365"/>
    <w:rsid w:val="00E84B0E"/>
    <w:rsid w:val="00E85B18"/>
    <w:rsid w:val="00E85BC7"/>
    <w:rsid w:val="00E8605D"/>
    <w:rsid w:val="00E8694D"/>
    <w:rsid w:val="00E86AA3"/>
    <w:rsid w:val="00E86E38"/>
    <w:rsid w:val="00E86E62"/>
    <w:rsid w:val="00E870CE"/>
    <w:rsid w:val="00E87141"/>
    <w:rsid w:val="00E87722"/>
    <w:rsid w:val="00E879E1"/>
    <w:rsid w:val="00E87B79"/>
    <w:rsid w:val="00E9013A"/>
    <w:rsid w:val="00E90377"/>
    <w:rsid w:val="00E90D9C"/>
    <w:rsid w:val="00E90DCE"/>
    <w:rsid w:val="00E911EB"/>
    <w:rsid w:val="00E91251"/>
    <w:rsid w:val="00E91479"/>
    <w:rsid w:val="00E92DED"/>
    <w:rsid w:val="00E92EFD"/>
    <w:rsid w:val="00E935DB"/>
    <w:rsid w:val="00E936CA"/>
    <w:rsid w:val="00E93A7D"/>
    <w:rsid w:val="00E943B6"/>
    <w:rsid w:val="00E95162"/>
    <w:rsid w:val="00E95500"/>
    <w:rsid w:val="00E956E4"/>
    <w:rsid w:val="00E9586B"/>
    <w:rsid w:val="00E95F48"/>
    <w:rsid w:val="00E960F1"/>
    <w:rsid w:val="00E96157"/>
    <w:rsid w:val="00E96988"/>
    <w:rsid w:val="00E969EE"/>
    <w:rsid w:val="00E9711B"/>
    <w:rsid w:val="00E97C8A"/>
    <w:rsid w:val="00EA0093"/>
    <w:rsid w:val="00EA0AC1"/>
    <w:rsid w:val="00EA0B7C"/>
    <w:rsid w:val="00EA0DB3"/>
    <w:rsid w:val="00EA0FBF"/>
    <w:rsid w:val="00EA194B"/>
    <w:rsid w:val="00EA250D"/>
    <w:rsid w:val="00EA2E0F"/>
    <w:rsid w:val="00EA2E8B"/>
    <w:rsid w:val="00EA34EF"/>
    <w:rsid w:val="00EA37F5"/>
    <w:rsid w:val="00EA3B5F"/>
    <w:rsid w:val="00EA43A6"/>
    <w:rsid w:val="00EA4B89"/>
    <w:rsid w:val="00EA5454"/>
    <w:rsid w:val="00EA606A"/>
    <w:rsid w:val="00EA67A3"/>
    <w:rsid w:val="00EA6A55"/>
    <w:rsid w:val="00EA6B98"/>
    <w:rsid w:val="00EA79CA"/>
    <w:rsid w:val="00EA7A9C"/>
    <w:rsid w:val="00EB021F"/>
    <w:rsid w:val="00EB022F"/>
    <w:rsid w:val="00EB04A6"/>
    <w:rsid w:val="00EB11A1"/>
    <w:rsid w:val="00EB15C8"/>
    <w:rsid w:val="00EB168D"/>
    <w:rsid w:val="00EB1699"/>
    <w:rsid w:val="00EB2096"/>
    <w:rsid w:val="00EB2AD9"/>
    <w:rsid w:val="00EB2E32"/>
    <w:rsid w:val="00EB3621"/>
    <w:rsid w:val="00EB3AAF"/>
    <w:rsid w:val="00EB47D5"/>
    <w:rsid w:val="00EB5478"/>
    <w:rsid w:val="00EB651D"/>
    <w:rsid w:val="00EB65CA"/>
    <w:rsid w:val="00EB6C78"/>
    <w:rsid w:val="00EB769A"/>
    <w:rsid w:val="00EC028B"/>
    <w:rsid w:val="00EC074A"/>
    <w:rsid w:val="00EC07AA"/>
    <w:rsid w:val="00EC1908"/>
    <w:rsid w:val="00EC1AB8"/>
    <w:rsid w:val="00EC1B2B"/>
    <w:rsid w:val="00EC39D6"/>
    <w:rsid w:val="00EC3ADE"/>
    <w:rsid w:val="00EC3FD7"/>
    <w:rsid w:val="00EC4278"/>
    <w:rsid w:val="00EC478A"/>
    <w:rsid w:val="00EC5480"/>
    <w:rsid w:val="00EC5C6B"/>
    <w:rsid w:val="00EC60F1"/>
    <w:rsid w:val="00EC624F"/>
    <w:rsid w:val="00EC650B"/>
    <w:rsid w:val="00EC6955"/>
    <w:rsid w:val="00EC6C3A"/>
    <w:rsid w:val="00EC7A3B"/>
    <w:rsid w:val="00ED0A7D"/>
    <w:rsid w:val="00ED1052"/>
    <w:rsid w:val="00ED1585"/>
    <w:rsid w:val="00ED308D"/>
    <w:rsid w:val="00ED3712"/>
    <w:rsid w:val="00ED374E"/>
    <w:rsid w:val="00ED3983"/>
    <w:rsid w:val="00ED455F"/>
    <w:rsid w:val="00ED4A9E"/>
    <w:rsid w:val="00ED59DD"/>
    <w:rsid w:val="00ED797C"/>
    <w:rsid w:val="00ED7B87"/>
    <w:rsid w:val="00ED7D16"/>
    <w:rsid w:val="00EE06A3"/>
    <w:rsid w:val="00EE07D5"/>
    <w:rsid w:val="00EE1B88"/>
    <w:rsid w:val="00EE1FAD"/>
    <w:rsid w:val="00EE2207"/>
    <w:rsid w:val="00EE2B7F"/>
    <w:rsid w:val="00EE2D25"/>
    <w:rsid w:val="00EE3095"/>
    <w:rsid w:val="00EE321D"/>
    <w:rsid w:val="00EE3862"/>
    <w:rsid w:val="00EE3AC4"/>
    <w:rsid w:val="00EE3BD0"/>
    <w:rsid w:val="00EE4247"/>
    <w:rsid w:val="00EE4365"/>
    <w:rsid w:val="00EE4C04"/>
    <w:rsid w:val="00EE516C"/>
    <w:rsid w:val="00EE51F0"/>
    <w:rsid w:val="00EE5597"/>
    <w:rsid w:val="00EE58B5"/>
    <w:rsid w:val="00EE5E22"/>
    <w:rsid w:val="00EE65FE"/>
    <w:rsid w:val="00EE6A84"/>
    <w:rsid w:val="00EE6B91"/>
    <w:rsid w:val="00EE6F81"/>
    <w:rsid w:val="00EE7BE6"/>
    <w:rsid w:val="00EE7E74"/>
    <w:rsid w:val="00EE7F49"/>
    <w:rsid w:val="00EF0DA2"/>
    <w:rsid w:val="00EF1A92"/>
    <w:rsid w:val="00EF1DDD"/>
    <w:rsid w:val="00EF2370"/>
    <w:rsid w:val="00EF285F"/>
    <w:rsid w:val="00EF2F0A"/>
    <w:rsid w:val="00EF2F20"/>
    <w:rsid w:val="00EF45FF"/>
    <w:rsid w:val="00EF4E81"/>
    <w:rsid w:val="00EF58F7"/>
    <w:rsid w:val="00EF5CE8"/>
    <w:rsid w:val="00EF61D7"/>
    <w:rsid w:val="00EF6971"/>
    <w:rsid w:val="00EF6E72"/>
    <w:rsid w:val="00EF6FE6"/>
    <w:rsid w:val="00EF6FE7"/>
    <w:rsid w:val="00EF7C5A"/>
    <w:rsid w:val="00F00344"/>
    <w:rsid w:val="00F00EBA"/>
    <w:rsid w:val="00F01079"/>
    <w:rsid w:val="00F0142C"/>
    <w:rsid w:val="00F0223B"/>
    <w:rsid w:val="00F022D3"/>
    <w:rsid w:val="00F0394F"/>
    <w:rsid w:val="00F03E97"/>
    <w:rsid w:val="00F03F05"/>
    <w:rsid w:val="00F041F0"/>
    <w:rsid w:val="00F042D1"/>
    <w:rsid w:val="00F044BF"/>
    <w:rsid w:val="00F05756"/>
    <w:rsid w:val="00F0652B"/>
    <w:rsid w:val="00F0697E"/>
    <w:rsid w:val="00F06C36"/>
    <w:rsid w:val="00F06FE3"/>
    <w:rsid w:val="00F07737"/>
    <w:rsid w:val="00F07851"/>
    <w:rsid w:val="00F0790B"/>
    <w:rsid w:val="00F07C54"/>
    <w:rsid w:val="00F07C65"/>
    <w:rsid w:val="00F07D35"/>
    <w:rsid w:val="00F10269"/>
    <w:rsid w:val="00F10D59"/>
    <w:rsid w:val="00F1100E"/>
    <w:rsid w:val="00F1142F"/>
    <w:rsid w:val="00F11514"/>
    <w:rsid w:val="00F116FA"/>
    <w:rsid w:val="00F12ECD"/>
    <w:rsid w:val="00F1328D"/>
    <w:rsid w:val="00F13EC0"/>
    <w:rsid w:val="00F14CEA"/>
    <w:rsid w:val="00F1538A"/>
    <w:rsid w:val="00F15D12"/>
    <w:rsid w:val="00F16282"/>
    <w:rsid w:val="00F167E9"/>
    <w:rsid w:val="00F16E0C"/>
    <w:rsid w:val="00F20138"/>
    <w:rsid w:val="00F224B4"/>
    <w:rsid w:val="00F22919"/>
    <w:rsid w:val="00F23233"/>
    <w:rsid w:val="00F23551"/>
    <w:rsid w:val="00F23872"/>
    <w:rsid w:val="00F23906"/>
    <w:rsid w:val="00F23DED"/>
    <w:rsid w:val="00F240E4"/>
    <w:rsid w:val="00F24D13"/>
    <w:rsid w:val="00F25561"/>
    <w:rsid w:val="00F2582F"/>
    <w:rsid w:val="00F258D2"/>
    <w:rsid w:val="00F25AC1"/>
    <w:rsid w:val="00F25FB5"/>
    <w:rsid w:val="00F2606C"/>
    <w:rsid w:val="00F26B7B"/>
    <w:rsid w:val="00F27841"/>
    <w:rsid w:val="00F31538"/>
    <w:rsid w:val="00F31589"/>
    <w:rsid w:val="00F31C2E"/>
    <w:rsid w:val="00F31CC2"/>
    <w:rsid w:val="00F3293D"/>
    <w:rsid w:val="00F33272"/>
    <w:rsid w:val="00F33572"/>
    <w:rsid w:val="00F3378F"/>
    <w:rsid w:val="00F34714"/>
    <w:rsid w:val="00F347F2"/>
    <w:rsid w:val="00F34E41"/>
    <w:rsid w:val="00F358E7"/>
    <w:rsid w:val="00F36428"/>
    <w:rsid w:val="00F36E01"/>
    <w:rsid w:val="00F36EF9"/>
    <w:rsid w:val="00F373DF"/>
    <w:rsid w:val="00F3765F"/>
    <w:rsid w:val="00F37B8B"/>
    <w:rsid w:val="00F404C2"/>
    <w:rsid w:val="00F41457"/>
    <w:rsid w:val="00F42052"/>
    <w:rsid w:val="00F4238A"/>
    <w:rsid w:val="00F426B9"/>
    <w:rsid w:val="00F426FC"/>
    <w:rsid w:val="00F43110"/>
    <w:rsid w:val="00F436E9"/>
    <w:rsid w:val="00F43728"/>
    <w:rsid w:val="00F4477F"/>
    <w:rsid w:val="00F44DE6"/>
    <w:rsid w:val="00F4560F"/>
    <w:rsid w:val="00F4607E"/>
    <w:rsid w:val="00F461EF"/>
    <w:rsid w:val="00F46484"/>
    <w:rsid w:val="00F46644"/>
    <w:rsid w:val="00F46A53"/>
    <w:rsid w:val="00F4750D"/>
    <w:rsid w:val="00F47D60"/>
    <w:rsid w:val="00F5010B"/>
    <w:rsid w:val="00F50798"/>
    <w:rsid w:val="00F50A76"/>
    <w:rsid w:val="00F50CD0"/>
    <w:rsid w:val="00F5132C"/>
    <w:rsid w:val="00F51704"/>
    <w:rsid w:val="00F51B6D"/>
    <w:rsid w:val="00F51D30"/>
    <w:rsid w:val="00F52A2C"/>
    <w:rsid w:val="00F52E18"/>
    <w:rsid w:val="00F52F68"/>
    <w:rsid w:val="00F53A65"/>
    <w:rsid w:val="00F54477"/>
    <w:rsid w:val="00F56354"/>
    <w:rsid w:val="00F5653F"/>
    <w:rsid w:val="00F56AC4"/>
    <w:rsid w:val="00F56E7A"/>
    <w:rsid w:val="00F5788B"/>
    <w:rsid w:val="00F60027"/>
    <w:rsid w:val="00F60372"/>
    <w:rsid w:val="00F6115E"/>
    <w:rsid w:val="00F613BE"/>
    <w:rsid w:val="00F61487"/>
    <w:rsid w:val="00F61646"/>
    <w:rsid w:val="00F61775"/>
    <w:rsid w:val="00F61B35"/>
    <w:rsid w:val="00F62A89"/>
    <w:rsid w:val="00F62D4E"/>
    <w:rsid w:val="00F62D53"/>
    <w:rsid w:val="00F62F24"/>
    <w:rsid w:val="00F64A56"/>
    <w:rsid w:val="00F64A82"/>
    <w:rsid w:val="00F65520"/>
    <w:rsid w:val="00F666F5"/>
    <w:rsid w:val="00F669D7"/>
    <w:rsid w:val="00F66BDC"/>
    <w:rsid w:val="00F66FBA"/>
    <w:rsid w:val="00F6750A"/>
    <w:rsid w:val="00F67733"/>
    <w:rsid w:val="00F70210"/>
    <w:rsid w:val="00F70319"/>
    <w:rsid w:val="00F70A33"/>
    <w:rsid w:val="00F70EF4"/>
    <w:rsid w:val="00F71699"/>
    <w:rsid w:val="00F71E3F"/>
    <w:rsid w:val="00F726F0"/>
    <w:rsid w:val="00F72913"/>
    <w:rsid w:val="00F73373"/>
    <w:rsid w:val="00F7360F"/>
    <w:rsid w:val="00F737E1"/>
    <w:rsid w:val="00F7383E"/>
    <w:rsid w:val="00F73B0A"/>
    <w:rsid w:val="00F73B55"/>
    <w:rsid w:val="00F74ACA"/>
    <w:rsid w:val="00F74BB4"/>
    <w:rsid w:val="00F75108"/>
    <w:rsid w:val="00F75D42"/>
    <w:rsid w:val="00F75FD4"/>
    <w:rsid w:val="00F763B8"/>
    <w:rsid w:val="00F76FEC"/>
    <w:rsid w:val="00F771B7"/>
    <w:rsid w:val="00F77A8D"/>
    <w:rsid w:val="00F77FCC"/>
    <w:rsid w:val="00F80408"/>
    <w:rsid w:val="00F80462"/>
    <w:rsid w:val="00F81001"/>
    <w:rsid w:val="00F816B8"/>
    <w:rsid w:val="00F81C14"/>
    <w:rsid w:val="00F820C5"/>
    <w:rsid w:val="00F82542"/>
    <w:rsid w:val="00F82CB6"/>
    <w:rsid w:val="00F82D51"/>
    <w:rsid w:val="00F837E4"/>
    <w:rsid w:val="00F83B61"/>
    <w:rsid w:val="00F83EBD"/>
    <w:rsid w:val="00F84CA3"/>
    <w:rsid w:val="00F84D59"/>
    <w:rsid w:val="00F84EFB"/>
    <w:rsid w:val="00F851E3"/>
    <w:rsid w:val="00F85E6B"/>
    <w:rsid w:val="00F8638E"/>
    <w:rsid w:val="00F86605"/>
    <w:rsid w:val="00F90CF6"/>
    <w:rsid w:val="00F920DD"/>
    <w:rsid w:val="00F923CE"/>
    <w:rsid w:val="00F92523"/>
    <w:rsid w:val="00F927E9"/>
    <w:rsid w:val="00F92F9B"/>
    <w:rsid w:val="00F93997"/>
    <w:rsid w:val="00F946FF"/>
    <w:rsid w:val="00F94C45"/>
    <w:rsid w:val="00F95296"/>
    <w:rsid w:val="00F965E4"/>
    <w:rsid w:val="00F967FC"/>
    <w:rsid w:val="00F96894"/>
    <w:rsid w:val="00F96E34"/>
    <w:rsid w:val="00FA0A3C"/>
    <w:rsid w:val="00FA1449"/>
    <w:rsid w:val="00FA18CB"/>
    <w:rsid w:val="00FA1A71"/>
    <w:rsid w:val="00FA204C"/>
    <w:rsid w:val="00FA2171"/>
    <w:rsid w:val="00FA257C"/>
    <w:rsid w:val="00FA2F64"/>
    <w:rsid w:val="00FA3A79"/>
    <w:rsid w:val="00FA3D59"/>
    <w:rsid w:val="00FA464B"/>
    <w:rsid w:val="00FA46A8"/>
    <w:rsid w:val="00FA485D"/>
    <w:rsid w:val="00FA4DAB"/>
    <w:rsid w:val="00FA5391"/>
    <w:rsid w:val="00FA63AB"/>
    <w:rsid w:val="00FB04DC"/>
    <w:rsid w:val="00FB0DE6"/>
    <w:rsid w:val="00FB1483"/>
    <w:rsid w:val="00FB1AC2"/>
    <w:rsid w:val="00FB249D"/>
    <w:rsid w:val="00FB2BDB"/>
    <w:rsid w:val="00FB31FF"/>
    <w:rsid w:val="00FB3433"/>
    <w:rsid w:val="00FB3874"/>
    <w:rsid w:val="00FB3EDB"/>
    <w:rsid w:val="00FB46AA"/>
    <w:rsid w:val="00FB55D5"/>
    <w:rsid w:val="00FB5E4F"/>
    <w:rsid w:val="00FB62F7"/>
    <w:rsid w:val="00FB657D"/>
    <w:rsid w:val="00FB70F2"/>
    <w:rsid w:val="00FB7264"/>
    <w:rsid w:val="00FB7709"/>
    <w:rsid w:val="00FC06BB"/>
    <w:rsid w:val="00FC1298"/>
    <w:rsid w:val="00FC1460"/>
    <w:rsid w:val="00FC1AD8"/>
    <w:rsid w:val="00FC217F"/>
    <w:rsid w:val="00FC2C0D"/>
    <w:rsid w:val="00FC2EC7"/>
    <w:rsid w:val="00FC346D"/>
    <w:rsid w:val="00FC3540"/>
    <w:rsid w:val="00FC3912"/>
    <w:rsid w:val="00FC44EB"/>
    <w:rsid w:val="00FC5EB0"/>
    <w:rsid w:val="00FC6213"/>
    <w:rsid w:val="00FC643A"/>
    <w:rsid w:val="00FC71B3"/>
    <w:rsid w:val="00FD015E"/>
    <w:rsid w:val="00FD0992"/>
    <w:rsid w:val="00FD0BDE"/>
    <w:rsid w:val="00FD0FE3"/>
    <w:rsid w:val="00FD13BE"/>
    <w:rsid w:val="00FD1AA7"/>
    <w:rsid w:val="00FD23C1"/>
    <w:rsid w:val="00FD283C"/>
    <w:rsid w:val="00FD299C"/>
    <w:rsid w:val="00FD2B92"/>
    <w:rsid w:val="00FD2CF5"/>
    <w:rsid w:val="00FD35EC"/>
    <w:rsid w:val="00FD4527"/>
    <w:rsid w:val="00FD4722"/>
    <w:rsid w:val="00FD4908"/>
    <w:rsid w:val="00FD50CE"/>
    <w:rsid w:val="00FD516A"/>
    <w:rsid w:val="00FD5681"/>
    <w:rsid w:val="00FD5753"/>
    <w:rsid w:val="00FD5775"/>
    <w:rsid w:val="00FD57DA"/>
    <w:rsid w:val="00FD5B01"/>
    <w:rsid w:val="00FD5C51"/>
    <w:rsid w:val="00FD5F1D"/>
    <w:rsid w:val="00FD62C5"/>
    <w:rsid w:val="00FD6439"/>
    <w:rsid w:val="00FD68AD"/>
    <w:rsid w:val="00FD725F"/>
    <w:rsid w:val="00FD7ACE"/>
    <w:rsid w:val="00FE018D"/>
    <w:rsid w:val="00FE0705"/>
    <w:rsid w:val="00FE0DEA"/>
    <w:rsid w:val="00FE0F77"/>
    <w:rsid w:val="00FE1148"/>
    <w:rsid w:val="00FE15A7"/>
    <w:rsid w:val="00FE1BBA"/>
    <w:rsid w:val="00FE2183"/>
    <w:rsid w:val="00FE24FF"/>
    <w:rsid w:val="00FE4423"/>
    <w:rsid w:val="00FE49E9"/>
    <w:rsid w:val="00FE4E81"/>
    <w:rsid w:val="00FE58A3"/>
    <w:rsid w:val="00FE5F7C"/>
    <w:rsid w:val="00FE62D7"/>
    <w:rsid w:val="00FE6515"/>
    <w:rsid w:val="00FE6719"/>
    <w:rsid w:val="00FE7132"/>
    <w:rsid w:val="00FE77C7"/>
    <w:rsid w:val="00FE789A"/>
    <w:rsid w:val="00FE7CEB"/>
    <w:rsid w:val="00FE7F6A"/>
    <w:rsid w:val="00FF0097"/>
    <w:rsid w:val="00FF0957"/>
    <w:rsid w:val="00FF0A02"/>
    <w:rsid w:val="00FF0F29"/>
    <w:rsid w:val="00FF175D"/>
    <w:rsid w:val="00FF188B"/>
    <w:rsid w:val="00FF20D1"/>
    <w:rsid w:val="00FF2572"/>
    <w:rsid w:val="00FF2959"/>
    <w:rsid w:val="00FF35C7"/>
    <w:rsid w:val="00FF3919"/>
    <w:rsid w:val="00FF4795"/>
    <w:rsid w:val="00FF47AD"/>
    <w:rsid w:val="00FF47F1"/>
    <w:rsid w:val="00FF5323"/>
    <w:rsid w:val="00FF53FD"/>
    <w:rsid w:val="00FF552D"/>
    <w:rsid w:val="00FF5DB8"/>
    <w:rsid w:val="00FF7E90"/>
    <w:rsid w:val="0C26362A"/>
    <w:rsid w:val="0CC95453"/>
    <w:rsid w:val="0D0608A0"/>
    <w:rsid w:val="0FE108FB"/>
    <w:rsid w:val="14ED5C33"/>
    <w:rsid w:val="156D1DCE"/>
    <w:rsid w:val="17A371CA"/>
    <w:rsid w:val="1D4D17DD"/>
    <w:rsid w:val="1E7005F2"/>
    <w:rsid w:val="236B46F4"/>
    <w:rsid w:val="244741EA"/>
    <w:rsid w:val="24FA3833"/>
    <w:rsid w:val="25B84F98"/>
    <w:rsid w:val="26395A4B"/>
    <w:rsid w:val="2A29366F"/>
    <w:rsid w:val="2B0F309F"/>
    <w:rsid w:val="2D0C0BB8"/>
    <w:rsid w:val="2DBC7109"/>
    <w:rsid w:val="2F4A3C9E"/>
    <w:rsid w:val="316652E7"/>
    <w:rsid w:val="34354894"/>
    <w:rsid w:val="37596EE9"/>
    <w:rsid w:val="3A694C72"/>
    <w:rsid w:val="41314F4A"/>
    <w:rsid w:val="44AC4415"/>
    <w:rsid w:val="46184DC0"/>
    <w:rsid w:val="4A11049E"/>
    <w:rsid w:val="4C297684"/>
    <w:rsid w:val="50287546"/>
    <w:rsid w:val="55123512"/>
    <w:rsid w:val="5B1A375E"/>
    <w:rsid w:val="5D1B642E"/>
    <w:rsid w:val="621E1FC5"/>
    <w:rsid w:val="6317409A"/>
    <w:rsid w:val="6E731E51"/>
    <w:rsid w:val="74CD3549"/>
    <w:rsid w:val="765E21AA"/>
    <w:rsid w:val="77273048"/>
    <w:rsid w:val="79E85C4C"/>
    <w:rsid w:val="7A2028DE"/>
    <w:rsid w:val="7B844457"/>
    <w:rsid w:val="7DD1520D"/>
    <w:rsid w:val="7F1303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0" w:name="Normal Indent"/>
    <w:lsdException w:qFormat="1" w:unhideWhenUsed="0" w:uiPriority="99"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nhideWhenUsed="0" w:uiPriority="0" w:semiHidden="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99"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qFormat="1" w:unhideWhenUsed="0" w:uiPriority="0" w:semiHidden="0" w:name="Table Colorful 3"/>
    <w:lsdException w:uiPriority="0" w:name="Table Columns 1"/>
    <w:lsdException w:uiPriority="0" w:name="Table Columns 2"/>
    <w:lsdException w:uiPriority="0" w:name="Table Columns 3"/>
    <w:lsdException w:uiPriority="0" w:name="Table Columns 4"/>
    <w:lsdException w:uiPriority="0" w:name="Table Columns 5"/>
    <w:lsdException w:qFormat="1" w:unhideWhenUsed="0" w:uiPriority="0" w:semiHidden="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75"/>
    <w:qFormat/>
    <w:uiPriority w:val="0"/>
    <w:pPr>
      <w:keepNext/>
      <w:keepLines/>
      <w:spacing w:beforeLines="50" w:afterLines="50" w:line="578" w:lineRule="auto"/>
      <w:outlineLvl w:val="0"/>
    </w:pPr>
    <w:rPr>
      <w:b/>
      <w:bCs/>
      <w:kern w:val="44"/>
      <w:sz w:val="36"/>
      <w:szCs w:val="44"/>
    </w:rPr>
  </w:style>
  <w:style w:type="paragraph" w:styleId="3">
    <w:name w:val="heading 2"/>
    <w:basedOn w:val="1"/>
    <w:next w:val="1"/>
    <w:link w:val="53"/>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81"/>
    <w:qFormat/>
    <w:uiPriority w:val="0"/>
    <w:pPr>
      <w:keepNext/>
      <w:keepLines/>
      <w:spacing w:before="260" w:after="260" w:line="416" w:lineRule="auto"/>
      <w:outlineLvl w:val="2"/>
    </w:pPr>
    <w:rPr>
      <w:b/>
      <w:bCs/>
      <w:sz w:val="32"/>
      <w:szCs w:val="32"/>
    </w:rPr>
  </w:style>
  <w:style w:type="character" w:default="1" w:styleId="43">
    <w:name w:val="Default Paragraph Font"/>
    <w:semiHidden/>
    <w:unhideWhenUsed/>
    <w:uiPriority w:val="1"/>
  </w:style>
  <w:style w:type="table" w:default="1" w:styleId="38">
    <w:name w:val="Normal Table"/>
    <w:semiHidden/>
    <w:unhideWhenUsed/>
    <w:qFormat/>
    <w:uiPriority w:val="99"/>
    <w:tblPr>
      <w:tblLayout w:type="fixed"/>
      <w:tblCellMar>
        <w:top w:w="0" w:type="dxa"/>
        <w:left w:w="108" w:type="dxa"/>
        <w:bottom w:w="0" w:type="dxa"/>
        <w:right w:w="108" w:type="dxa"/>
      </w:tblCellMar>
    </w:tblPr>
  </w:style>
  <w:style w:type="paragraph" w:styleId="5">
    <w:name w:val="toc 7"/>
    <w:basedOn w:val="1"/>
    <w:next w:val="1"/>
    <w:qFormat/>
    <w:uiPriority w:val="0"/>
    <w:pPr>
      <w:ind w:left="1260"/>
      <w:jc w:val="left"/>
    </w:pPr>
    <w:rPr>
      <w:sz w:val="18"/>
      <w:szCs w:val="18"/>
    </w:rPr>
  </w:style>
  <w:style w:type="paragraph" w:styleId="6">
    <w:name w:val="table of authorities"/>
    <w:basedOn w:val="1"/>
    <w:next w:val="1"/>
    <w:qFormat/>
    <w:uiPriority w:val="0"/>
    <w:pPr>
      <w:ind w:left="420" w:leftChars="200"/>
    </w:pPr>
    <w:rPr>
      <w:szCs w:val="24"/>
    </w:rPr>
  </w:style>
  <w:style w:type="paragraph" w:styleId="7">
    <w:name w:val="index 8"/>
    <w:basedOn w:val="1"/>
    <w:next w:val="1"/>
    <w:qFormat/>
    <w:uiPriority w:val="0"/>
    <w:pPr>
      <w:ind w:left="1400" w:leftChars="1400"/>
    </w:pPr>
  </w:style>
  <w:style w:type="paragraph" w:styleId="8">
    <w:name w:val="index 5"/>
    <w:basedOn w:val="1"/>
    <w:next w:val="1"/>
    <w:qFormat/>
    <w:uiPriority w:val="0"/>
    <w:pPr>
      <w:ind w:left="800" w:leftChars="800"/>
    </w:pPr>
  </w:style>
  <w:style w:type="paragraph" w:styleId="9">
    <w:name w:val="Document Map"/>
    <w:basedOn w:val="1"/>
    <w:link w:val="70"/>
    <w:unhideWhenUsed/>
    <w:qFormat/>
    <w:uiPriority w:val="99"/>
    <w:rPr>
      <w:rFonts w:ascii="宋体"/>
      <w:kern w:val="0"/>
      <w:sz w:val="18"/>
      <w:szCs w:val="18"/>
    </w:rPr>
  </w:style>
  <w:style w:type="paragraph" w:styleId="10">
    <w:name w:val="annotation text"/>
    <w:basedOn w:val="1"/>
    <w:link w:val="57"/>
    <w:qFormat/>
    <w:uiPriority w:val="0"/>
    <w:pPr>
      <w:jc w:val="left"/>
    </w:pPr>
  </w:style>
  <w:style w:type="paragraph" w:styleId="11">
    <w:name w:val="index 6"/>
    <w:basedOn w:val="1"/>
    <w:next w:val="1"/>
    <w:qFormat/>
    <w:uiPriority w:val="0"/>
    <w:pPr>
      <w:ind w:left="1000" w:leftChars="1000"/>
    </w:pPr>
  </w:style>
  <w:style w:type="paragraph" w:styleId="12">
    <w:name w:val="Body Text Indent"/>
    <w:basedOn w:val="1"/>
    <w:link w:val="63"/>
    <w:qFormat/>
    <w:uiPriority w:val="99"/>
    <w:pPr>
      <w:adjustRightInd w:val="0"/>
      <w:spacing w:line="360" w:lineRule="auto"/>
      <w:ind w:firstLine="660"/>
      <w:textAlignment w:val="baseline"/>
    </w:pPr>
    <w:rPr>
      <w:rFonts w:ascii="宋体"/>
      <w:spacing w:val="20"/>
      <w:kern w:val="0"/>
      <w:sz w:val="28"/>
    </w:rPr>
  </w:style>
  <w:style w:type="paragraph" w:styleId="13">
    <w:name w:val="index 4"/>
    <w:basedOn w:val="1"/>
    <w:next w:val="1"/>
    <w:qFormat/>
    <w:uiPriority w:val="0"/>
    <w:pPr>
      <w:ind w:left="600" w:leftChars="600"/>
    </w:pPr>
  </w:style>
  <w:style w:type="paragraph" w:styleId="14">
    <w:name w:val="toc 5"/>
    <w:basedOn w:val="1"/>
    <w:next w:val="1"/>
    <w:qFormat/>
    <w:uiPriority w:val="0"/>
    <w:pPr>
      <w:ind w:left="840"/>
      <w:jc w:val="left"/>
    </w:pPr>
    <w:rPr>
      <w:sz w:val="18"/>
      <w:szCs w:val="18"/>
    </w:rPr>
  </w:style>
  <w:style w:type="paragraph" w:styleId="15">
    <w:name w:val="toc 3"/>
    <w:basedOn w:val="1"/>
    <w:next w:val="1"/>
    <w:qFormat/>
    <w:uiPriority w:val="39"/>
    <w:pPr>
      <w:ind w:left="420"/>
      <w:jc w:val="left"/>
    </w:pPr>
    <w:rPr>
      <w:i/>
      <w:iCs/>
      <w:sz w:val="20"/>
    </w:rPr>
  </w:style>
  <w:style w:type="paragraph" w:styleId="16">
    <w:name w:val="Plain Text"/>
    <w:basedOn w:val="1"/>
    <w:link w:val="79"/>
    <w:qFormat/>
    <w:uiPriority w:val="0"/>
    <w:pPr>
      <w:spacing w:line="500" w:lineRule="exact"/>
    </w:pPr>
    <w:rPr>
      <w:rFonts w:ascii="宋体" w:hAnsi="Courier New"/>
    </w:rPr>
  </w:style>
  <w:style w:type="paragraph" w:styleId="17">
    <w:name w:val="toc 8"/>
    <w:basedOn w:val="1"/>
    <w:next w:val="1"/>
    <w:qFormat/>
    <w:uiPriority w:val="0"/>
    <w:pPr>
      <w:ind w:left="1470"/>
      <w:jc w:val="left"/>
    </w:pPr>
    <w:rPr>
      <w:sz w:val="18"/>
      <w:szCs w:val="18"/>
    </w:rPr>
  </w:style>
  <w:style w:type="paragraph" w:styleId="18">
    <w:name w:val="index 3"/>
    <w:basedOn w:val="1"/>
    <w:next w:val="1"/>
    <w:qFormat/>
    <w:uiPriority w:val="0"/>
    <w:pPr>
      <w:ind w:left="400" w:leftChars="400"/>
    </w:pPr>
  </w:style>
  <w:style w:type="paragraph" w:styleId="19">
    <w:name w:val="Date"/>
    <w:basedOn w:val="1"/>
    <w:next w:val="1"/>
    <w:link w:val="68"/>
    <w:qFormat/>
    <w:uiPriority w:val="0"/>
    <w:pPr>
      <w:adjustRightInd w:val="0"/>
      <w:spacing w:line="312" w:lineRule="atLeast"/>
      <w:jc w:val="right"/>
      <w:textAlignment w:val="baseline"/>
    </w:pPr>
    <w:rPr>
      <w:rFonts w:ascii="宋体"/>
      <w:spacing w:val="20"/>
      <w:kern w:val="0"/>
      <w:sz w:val="28"/>
    </w:rPr>
  </w:style>
  <w:style w:type="paragraph" w:styleId="20">
    <w:name w:val="Body Text Indent 2"/>
    <w:basedOn w:val="1"/>
    <w:link w:val="86"/>
    <w:qFormat/>
    <w:uiPriority w:val="0"/>
    <w:pPr>
      <w:spacing w:line="360" w:lineRule="auto"/>
      <w:ind w:firstLine="624"/>
    </w:pPr>
    <w:rPr>
      <w:spacing w:val="20"/>
      <w:sz w:val="28"/>
    </w:rPr>
  </w:style>
  <w:style w:type="paragraph" w:styleId="21">
    <w:name w:val="Balloon Text"/>
    <w:basedOn w:val="1"/>
    <w:link w:val="83"/>
    <w:semiHidden/>
    <w:qFormat/>
    <w:uiPriority w:val="0"/>
    <w:rPr>
      <w:sz w:val="18"/>
      <w:szCs w:val="18"/>
    </w:rPr>
  </w:style>
  <w:style w:type="paragraph" w:styleId="22">
    <w:name w:val="footer"/>
    <w:basedOn w:val="1"/>
    <w:link w:val="54"/>
    <w:qFormat/>
    <w:uiPriority w:val="99"/>
    <w:pPr>
      <w:pBdr>
        <w:top w:val="single" w:color="auto" w:sz="4" w:space="1"/>
      </w:pBdr>
      <w:tabs>
        <w:tab w:val="left" w:pos="2460"/>
        <w:tab w:val="center" w:pos="4153"/>
        <w:tab w:val="right" w:pos="8312"/>
      </w:tabs>
      <w:adjustRightInd w:val="0"/>
      <w:spacing w:line="240" w:lineRule="atLeast"/>
      <w:jc w:val="left"/>
      <w:textAlignment w:val="baseline"/>
    </w:pPr>
    <w:rPr>
      <w:kern w:val="0"/>
      <w:sz w:val="18"/>
    </w:rPr>
  </w:style>
  <w:style w:type="paragraph" w:styleId="23">
    <w:name w:val="header"/>
    <w:basedOn w:val="1"/>
    <w:link w:val="74"/>
    <w:qFormat/>
    <w:uiPriority w:val="0"/>
    <w:pPr>
      <w:pBdr>
        <w:bottom w:val="single" w:color="auto" w:sz="6" w:space="1"/>
      </w:pBdr>
      <w:tabs>
        <w:tab w:val="center" w:pos="4153"/>
        <w:tab w:val="right" w:pos="8306"/>
      </w:tabs>
      <w:snapToGrid w:val="0"/>
      <w:jc w:val="center"/>
    </w:pPr>
    <w:rPr>
      <w:sz w:val="18"/>
      <w:szCs w:val="18"/>
    </w:rPr>
  </w:style>
  <w:style w:type="paragraph" w:styleId="24">
    <w:name w:val="toc 1"/>
    <w:basedOn w:val="1"/>
    <w:next w:val="1"/>
    <w:qFormat/>
    <w:uiPriority w:val="39"/>
    <w:pPr>
      <w:spacing w:before="120" w:after="120"/>
      <w:jc w:val="left"/>
    </w:pPr>
    <w:rPr>
      <w:b/>
      <w:bCs/>
      <w:caps/>
      <w:sz w:val="20"/>
    </w:rPr>
  </w:style>
  <w:style w:type="paragraph" w:styleId="25">
    <w:name w:val="toc 4"/>
    <w:basedOn w:val="1"/>
    <w:next w:val="1"/>
    <w:qFormat/>
    <w:uiPriority w:val="0"/>
    <w:pPr>
      <w:ind w:left="630"/>
      <w:jc w:val="left"/>
    </w:pPr>
    <w:rPr>
      <w:sz w:val="18"/>
      <w:szCs w:val="18"/>
    </w:rPr>
  </w:style>
  <w:style w:type="paragraph" w:styleId="26">
    <w:name w:val="index heading"/>
    <w:basedOn w:val="1"/>
    <w:next w:val="27"/>
    <w:qFormat/>
    <w:uiPriority w:val="0"/>
  </w:style>
  <w:style w:type="paragraph" w:styleId="27">
    <w:name w:val="index 1"/>
    <w:basedOn w:val="1"/>
    <w:next w:val="1"/>
    <w:qFormat/>
    <w:uiPriority w:val="0"/>
  </w:style>
  <w:style w:type="paragraph" w:styleId="28">
    <w:name w:val="footnote text"/>
    <w:basedOn w:val="1"/>
    <w:link w:val="82"/>
    <w:qFormat/>
    <w:uiPriority w:val="99"/>
    <w:pPr>
      <w:snapToGrid w:val="0"/>
      <w:jc w:val="left"/>
    </w:pPr>
    <w:rPr>
      <w:sz w:val="18"/>
      <w:szCs w:val="18"/>
    </w:rPr>
  </w:style>
  <w:style w:type="paragraph" w:styleId="29">
    <w:name w:val="toc 6"/>
    <w:basedOn w:val="1"/>
    <w:next w:val="1"/>
    <w:qFormat/>
    <w:uiPriority w:val="0"/>
    <w:pPr>
      <w:ind w:left="1050"/>
      <w:jc w:val="left"/>
    </w:pPr>
    <w:rPr>
      <w:sz w:val="18"/>
      <w:szCs w:val="18"/>
    </w:rPr>
  </w:style>
  <w:style w:type="paragraph" w:styleId="30">
    <w:name w:val="Body Text Indent 3"/>
    <w:basedOn w:val="1"/>
    <w:link w:val="61"/>
    <w:qFormat/>
    <w:uiPriority w:val="99"/>
    <w:pPr>
      <w:adjustRightInd w:val="0"/>
      <w:spacing w:line="360" w:lineRule="auto"/>
      <w:ind w:firstLine="660"/>
      <w:jc w:val="left"/>
      <w:textAlignment w:val="baseline"/>
    </w:pPr>
    <w:rPr>
      <w:rFonts w:ascii="宋体"/>
      <w:spacing w:val="20"/>
      <w:kern w:val="0"/>
      <w:sz w:val="28"/>
    </w:rPr>
  </w:style>
  <w:style w:type="paragraph" w:styleId="31">
    <w:name w:val="index 7"/>
    <w:basedOn w:val="1"/>
    <w:next w:val="1"/>
    <w:qFormat/>
    <w:uiPriority w:val="0"/>
    <w:pPr>
      <w:ind w:left="1200" w:leftChars="1200"/>
    </w:pPr>
  </w:style>
  <w:style w:type="paragraph" w:styleId="32">
    <w:name w:val="index 9"/>
    <w:basedOn w:val="1"/>
    <w:next w:val="1"/>
    <w:qFormat/>
    <w:uiPriority w:val="0"/>
    <w:pPr>
      <w:ind w:left="1600" w:leftChars="1600"/>
    </w:pPr>
  </w:style>
  <w:style w:type="paragraph" w:styleId="33">
    <w:name w:val="toc 2"/>
    <w:basedOn w:val="1"/>
    <w:next w:val="1"/>
    <w:qFormat/>
    <w:uiPriority w:val="39"/>
    <w:pPr>
      <w:ind w:left="210"/>
      <w:jc w:val="left"/>
    </w:pPr>
    <w:rPr>
      <w:smallCaps/>
      <w:sz w:val="20"/>
    </w:rPr>
  </w:style>
  <w:style w:type="paragraph" w:styleId="34">
    <w:name w:val="toc 9"/>
    <w:basedOn w:val="1"/>
    <w:next w:val="1"/>
    <w:qFormat/>
    <w:uiPriority w:val="0"/>
    <w:pPr>
      <w:ind w:left="1680"/>
      <w:jc w:val="left"/>
    </w:pPr>
    <w:rPr>
      <w:sz w:val="18"/>
      <w:szCs w:val="18"/>
    </w:rPr>
  </w:style>
  <w:style w:type="paragraph" w:styleId="3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36">
    <w:name w:val="index 2"/>
    <w:basedOn w:val="1"/>
    <w:next w:val="1"/>
    <w:qFormat/>
    <w:uiPriority w:val="0"/>
    <w:pPr>
      <w:ind w:left="200" w:leftChars="200"/>
    </w:pPr>
  </w:style>
  <w:style w:type="paragraph" w:styleId="37">
    <w:name w:val="annotation subject"/>
    <w:basedOn w:val="10"/>
    <w:next w:val="10"/>
    <w:link w:val="55"/>
    <w:qFormat/>
    <w:uiPriority w:val="0"/>
    <w:rPr>
      <w:b/>
      <w:bCs/>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0">
    <w:name w:val="Table Colorful 3"/>
    <w:basedOn w:val="38"/>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Layout w:type="fixed"/>
      <w:tblCellMar>
        <w:top w:w="0" w:type="dxa"/>
        <w:left w:w="108" w:type="dxa"/>
        <w:bottom w:w="0" w:type="dxa"/>
        <w:right w:w="108" w:type="dxa"/>
      </w:tblCellMar>
    </w:tblPr>
    <w:tcPr>
      <w:shd w:val="pct25" w:color="008080" w:fill="FFFFFF"/>
    </w:tcPr>
    <w:tblStylePr w:type="firstRow">
      <w:tblPr>
        <w:tblLayout w:type="fixed"/>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blLayout w:type="fixed"/>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blLayout w:type="fixed"/>
      </w:tblPr>
      <w:tcPr>
        <w:tcBorders>
          <w:top w:val="nil"/>
          <w:left w:val="nil"/>
          <w:bottom w:val="nil"/>
          <w:right w:val="nil"/>
          <w:insideH w:val="nil"/>
          <w:insideV w:val="nil"/>
          <w:tl2br w:val="nil"/>
          <w:tr2bl w:val="nil"/>
        </w:tcBorders>
        <w:shd w:val="solid" w:color="000000" w:fill="FFFFFF"/>
      </w:tcPr>
    </w:tblStylePr>
  </w:style>
  <w:style w:type="table" w:styleId="41">
    <w:name w:val="Table Elegant"/>
    <w:basedOn w:val="38"/>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table" w:styleId="42">
    <w:name w:val="Table Grid 1"/>
    <w:basedOn w:val="38"/>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lastRow">
      <w:rPr>
        <w:i/>
        <w:iCs/>
      </w:rPr>
      <w:tblPr>
        <w:tblLayout w:type="fixed"/>
      </w:tblPr>
      <w:tcPr>
        <w:tcBorders>
          <w:top w:val="nil"/>
          <w:left w:val="nil"/>
          <w:bottom w:val="nil"/>
          <w:right w:val="nil"/>
          <w:insideH w:val="nil"/>
          <w:insideV w:val="nil"/>
          <w:tl2br w:val="nil"/>
          <w:tr2bl w:val="nil"/>
        </w:tcBorders>
      </w:tcPr>
    </w:tblStylePr>
    <w:tblStylePr w:type="lastCol">
      <w:rPr>
        <w:i/>
        <w:iCs/>
      </w:rPr>
      <w:tblPr>
        <w:tblLayout w:type="fixed"/>
      </w:tblPr>
      <w:tcPr>
        <w:tcBorders>
          <w:top w:val="nil"/>
          <w:left w:val="nil"/>
          <w:bottom w:val="nil"/>
          <w:right w:val="nil"/>
          <w:insideH w:val="nil"/>
          <w:insideV w:val="nil"/>
          <w:tl2br w:val="nil"/>
          <w:tr2bl w:val="nil"/>
        </w:tcBorders>
      </w:tcPr>
    </w:tblStylePr>
    <w:tblStylePr w:type="nwCell">
      <w:tblPr>
        <w:tblLayout w:type="fixed"/>
      </w:tblPr>
      <w:tcPr>
        <w:tcBorders>
          <w:top w:val="nil"/>
          <w:left w:val="nil"/>
          <w:bottom w:val="nil"/>
          <w:right w:val="nil"/>
          <w:insideH w:val="nil"/>
          <w:insideV w:val="nil"/>
          <w:tl2br w:val="single" w:color="000000" w:sz="6" w:space="0"/>
          <w:tr2bl w:val="nil"/>
        </w:tcBorders>
      </w:tcPr>
    </w:tblStyle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800080"/>
      <w:u w:val="single"/>
    </w:rPr>
  </w:style>
  <w:style w:type="character" w:styleId="47">
    <w:name w:val="Emphasis"/>
    <w:qFormat/>
    <w:uiPriority w:val="20"/>
    <w:rPr>
      <w:i/>
      <w:iCs/>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character" w:styleId="50">
    <w:name w:val="footnote reference"/>
    <w:qFormat/>
    <w:uiPriority w:val="0"/>
    <w:rPr>
      <w:vertAlign w:val="superscript"/>
    </w:rPr>
  </w:style>
  <w:style w:type="character" w:customStyle="1" w:styleId="51">
    <w:name w:val="op-map-singlepoint-info-right1"/>
    <w:qFormat/>
    <w:uiPriority w:val="0"/>
  </w:style>
  <w:style w:type="character" w:customStyle="1" w:styleId="52">
    <w:name w:val="正文文本缩进 2 Char1"/>
    <w:semiHidden/>
    <w:qFormat/>
    <w:uiPriority w:val="99"/>
    <w:rPr>
      <w:rFonts w:ascii="Times New Roman" w:hAnsi="Times New Roman" w:eastAsia="宋体" w:cs="Times New Roman"/>
      <w:szCs w:val="20"/>
    </w:rPr>
  </w:style>
  <w:style w:type="character" w:customStyle="1" w:styleId="53">
    <w:name w:val="标题 2 Char"/>
    <w:link w:val="3"/>
    <w:qFormat/>
    <w:uiPriority w:val="0"/>
    <w:rPr>
      <w:rFonts w:ascii="Arial" w:hAnsi="Arial" w:eastAsia="黑体"/>
      <w:b/>
      <w:bCs/>
      <w:kern w:val="2"/>
      <w:sz w:val="32"/>
      <w:szCs w:val="32"/>
    </w:rPr>
  </w:style>
  <w:style w:type="character" w:customStyle="1" w:styleId="54">
    <w:name w:val="页脚 Char"/>
    <w:link w:val="22"/>
    <w:qFormat/>
    <w:uiPriority w:val="99"/>
    <w:rPr>
      <w:sz w:val="18"/>
    </w:rPr>
  </w:style>
  <w:style w:type="character" w:customStyle="1" w:styleId="55">
    <w:name w:val="批注主题 Char"/>
    <w:link w:val="37"/>
    <w:qFormat/>
    <w:uiPriority w:val="0"/>
    <w:rPr>
      <w:b/>
      <w:bCs/>
      <w:kern w:val="2"/>
      <w:sz w:val="21"/>
    </w:rPr>
  </w:style>
  <w:style w:type="character" w:customStyle="1" w:styleId="56">
    <w:name w:val="日期 Char1"/>
    <w:semiHidden/>
    <w:qFormat/>
    <w:uiPriority w:val="99"/>
    <w:rPr>
      <w:rFonts w:ascii="Times New Roman" w:hAnsi="Times New Roman" w:eastAsia="宋体" w:cs="Times New Roman"/>
      <w:szCs w:val="20"/>
    </w:rPr>
  </w:style>
  <w:style w:type="character" w:customStyle="1" w:styleId="57">
    <w:name w:val="批注文字 Char"/>
    <w:link w:val="10"/>
    <w:qFormat/>
    <w:uiPriority w:val="0"/>
    <w:rPr>
      <w:kern w:val="2"/>
      <w:sz w:val="21"/>
    </w:rPr>
  </w:style>
  <w:style w:type="character" w:customStyle="1" w:styleId="58">
    <w:name w:val="脚注文本 Char2"/>
    <w:semiHidden/>
    <w:qFormat/>
    <w:uiPriority w:val="99"/>
    <w:rPr>
      <w:rFonts w:ascii="Times New Roman" w:hAnsi="Times New Roman" w:eastAsia="宋体" w:cs="Times New Roman"/>
      <w:sz w:val="18"/>
      <w:szCs w:val="18"/>
    </w:rPr>
  </w:style>
  <w:style w:type="character" w:customStyle="1" w:styleId="59">
    <w:name w:val="纯文本 Char1"/>
    <w:qFormat/>
    <w:uiPriority w:val="0"/>
    <w:rPr>
      <w:rFonts w:ascii="宋体" w:hAnsi="Courier New" w:cs="Courier New"/>
      <w:kern w:val="2"/>
      <w:sz w:val="21"/>
      <w:szCs w:val="21"/>
    </w:rPr>
  </w:style>
  <w:style w:type="character" w:customStyle="1" w:styleId="60">
    <w:name w:val="正文文本缩进 Char1"/>
    <w:semiHidden/>
    <w:qFormat/>
    <w:uiPriority w:val="99"/>
    <w:rPr>
      <w:rFonts w:ascii="Times New Roman" w:hAnsi="Times New Roman" w:eastAsia="宋体" w:cs="Times New Roman"/>
      <w:szCs w:val="20"/>
    </w:rPr>
  </w:style>
  <w:style w:type="character" w:customStyle="1" w:styleId="61">
    <w:name w:val="正文文本缩进 3 Char"/>
    <w:link w:val="30"/>
    <w:qFormat/>
    <w:uiPriority w:val="99"/>
    <w:rPr>
      <w:rFonts w:ascii="宋体"/>
      <w:spacing w:val="20"/>
      <w:sz w:val="28"/>
    </w:rPr>
  </w:style>
  <w:style w:type="character" w:customStyle="1" w:styleId="62">
    <w:name w:val="clampword3"/>
    <w:qFormat/>
    <w:uiPriority w:val="0"/>
  </w:style>
  <w:style w:type="character" w:customStyle="1" w:styleId="63">
    <w:name w:val="正文文本缩进 Char"/>
    <w:link w:val="12"/>
    <w:qFormat/>
    <w:uiPriority w:val="0"/>
    <w:rPr>
      <w:rFonts w:ascii="宋体"/>
      <w:spacing w:val="20"/>
      <w:sz w:val="28"/>
    </w:rPr>
  </w:style>
  <w:style w:type="character" w:customStyle="1" w:styleId="64">
    <w:name w:val="表格内文字 Char"/>
    <w:link w:val="65"/>
    <w:qFormat/>
    <w:uiPriority w:val="0"/>
    <w:rPr>
      <w:rFonts w:ascii="华文细黑" w:eastAsia="华文细黑"/>
      <w:snapToGrid w:val="0"/>
      <w:kern w:val="2"/>
      <w:szCs w:val="18"/>
    </w:rPr>
  </w:style>
  <w:style w:type="paragraph" w:customStyle="1" w:styleId="65">
    <w:name w:val="表格内文字"/>
    <w:basedOn w:val="1"/>
    <w:link w:val="64"/>
    <w:qFormat/>
    <w:uiPriority w:val="0"/>
    <w:pPr>
      <w:adjustRightInd w:val="0"/>
      <w:snapToGrid w:val="0"/>
      <w:textAlignment w:val="bottom"/>
    </w:pPr>
    <w:rPr>
      <w:rFonts w:ascii="华文细黑" w:eastAsia="华文细黑"/>
      <w:snapToGrid w:val="0"/>
      <w:sz w:val="20"/>
      <w:szCs w:val="18"/>
    </w:rPr>
  </w:style>
  <w:style w:type="character" w:customStyle="1" w:styleId="66">
    <w:name w:val="普通文字 Char Char"/>
    <w:qFormat/>
    <w:uiPriority w:val="0"/>
    <w:rPr>
      <w:rFonts w:ascii="宋体" w:hAnsi="Courier New" w:eastAsia="宋体"/>
      <w:kern w:val="2"/>
      <w:sz w:val="21"/>
      <w:lang w:val="en-US" w:eastAsia="zh-CN" w:bidi="ar-SA"/>
    </w:rPr>
  </w:style>
  <w:style w:type="character" w:customStyle="1" w:styleId="67">
    <w:name w:val="正文文本缩进 2 Char2"/>
    <w:semiHidden/>
    <w:qFormat/>
    <w:uiPriority w:val="99"/>
    <w:rPr>
      <w:rFonts w:ascii="Times New Roman" w:hAnsi="Times New Roman" w:eastAsia="宋体" w:cs="Times New Roman"/>
      <w:szCs w:val="20"/>
    </w:rPr>
  </w:style>
  <w:style w:type="character" w:customStyle="1" w:styleId="68">
    <w:name w:val="日期 Char"/>
    <w:link w:val="19"/>
    <w:qFormat/>
    <w:uiPriority w:val="0"/>
    <w:rPr>
      <w:rFonts w:ascii="宋体"/>
      <w:spacing w:val="20"/>
      <w:sz w:val="28"/>
    </w:rPr>
  </w:style>
  <w:style w:type="character" w:customStyle="1" w:styleId="69">
    <w:name w:val="font01"/>
    <w:qFormat/>
    <w:uiPriority w:val="0"/>
    <w:rPr>
      <w:rFonts w:hint="eastAsia" w:ascii="宋体" w:hAnsi="宋体" w:eastAsia="宋体" w:cs="宋体"/>
      <w:color w:val="000000"/>
      <w:sz w:val="18"/>
      <w:szCs w:val="18"/>
      <w:u w:val="none"/>
    </w:rPr>
  </w:style>
  <w:style w:type="character" w:customStyle="1" w:styleId="70">
    <w:name w:val="文档结构图 Char"/>
    <w:link w:val="9"/>
    <w:qFormat/>
    <w:uiPriority w:val="99"/>
    <w:rPr>
      <w:rFonts w:ascii="宋体"/>
      <w:sz w:val="18"/>
      <w:szCs w:val="18"/>
    </w:rPr>
  </w:style>
  <w:style w:type="character" w:customStyle="1" w:styleId="71">
    <w:name w:val="纯文本 Char2"/>
    <w:semiHidden/>
    <w:qFormat/>
    <w:uiPriority w:val="99"/>
    <w:rPr>
      <w:rFonts w:ascii="宋体" w:hAnsi="Courier New" w:eastAsia="宋体" w:cs="Courier New"/>
      <w:szCs w:val="21"/>
    </w:rPr>
  </w:style>
  <w:style w:type="character" w:customStyle="1" w:styleId="72">
    <w:name w:val="unnamed41"/>
    <w:qFormat/>
    <w:uiPriority w:val="0"/>
    <w:rPr>
      <w:b/>
      <w:bCs/>
      <w:color w:val="990000"/>
      <w:sz w:val="21"/>
      <w:szCs w:val="21"/>
    </w:rPr>
  </w:style>
  <w:style w:type="character" w:customStyle="1" w:styleId="73">
    <w:name w:val="正文文本缩进 3 Char1"/>
    <w:semiHidden/>
    <w:qFormat/>
    <w:uiPriority w:val="99"/>
    <w:rPr>
      <w:rFonts w:ascii="Times New Roman" w:hAnsi="Times New Roman" w:eastAsia="宋体" w:cs="Times New Roman"/>
      <w:sz w:val="16"/>
      <w:szCs w:val="16"/>
    </w:rPr>
  </w:style>
  <w:style w:type="character" w:customStyle="1" w:styleId="74">
    <w:name w:val="页眉 Char"/>
    <w:link w:val="23"/>
    <w:qFormat/>
    <w:uiPriority w:val="0"/>
    <w:rPr>
      <w:kern w:val="2"/>
      <w:sz w:val="18"/>
      <w:szCs w:val="18"/>
    </w:rPr>
  </w:style>
  <w:style w:type="character" w:customStyle="1" w:styleId="75">
    <w:name w:val="标题 1 Char"/>
    <w:link w:val="2"/>
    <w:qFormat/>
    <w:uiPriority w:val="0"/>
    <w:rPr>
      <w:b/>
      <w:bCs/>
      <w:kern w:val="44"/>
      <w:sz w:val="36"/>
      <w:szCs w:val="44"/>
    </w:rPr>
  </w:style>
  <w:style w:type="character" w:customStyle="1" w:styleId="76">
    <w:name w:val="文档结构图 Char1"/>
    <w:qFormat/>
    <w:uiPriority w:val="99"/>
    <w:rPr>
      <w:rFonts w:ascii="宋体"/>
      <w:kern w:val="2"/>
      <w:sz w:val="18"/>
      <w:szCs w:val="18"/>
    </w:rPr>
  </w:style>
  <w:style w:type="character" w:customStyle="1" w:styleId="77">
    <w:name w:val="批注文字 Char1"/>
    <w:qFormat/>
    <w:uiPriority w:val="99"/>
    <w:rPr>
      <w:kern w:val="2"/>
      <w:sz w:val="21"/>
    </w:rPr>
  </w:style>
  <w:style w:type="character" w:customStyle="1" w:styleId="78">
    <w:name w:val="批注主题 Char1"/>
    <w:semiHidden/>
    <w:qFormat/>
    <w:uiPriority w:val="99"/>
    <w:rPr>
      <w:rFonts w:ascii="Times New Roman" w:hAnsi="Times New Roman" w:eastAsia="宋体" w:cs="Times New Roman"/>
      <w:b/>
      <w:bCs/>
      <w:szCs w:val="20"/>
    </w:rPr>
  </w:style>
  <w:style w:type="character" w:customStyle="1" w:styleId="79">
    <w:name w:val="纯文本 Char"/>
    <w:link w:val="16"/>
    <w:qFormat/>
    <w:uiPriority w:val="0"/>
    <w:rPr>
      <w:rFonts w:ascii="宋体" w:hAnsi="Courier New" w:eastAsia="宋体"/>
      <w:kern w:val="2"/>
      <w:sz w:val="21"/>
      <w:lang w:val="en-US" w:eastAsia="zh-CN" w:bidi="ar-SA"/>
    </w:rPr>
  </w:style>
  <w:style w:type="character" w:customStyle="1" w:styleId="80">
    <w:name w:val="font21"/>
    <w:qFormat/>
    <w:uiPriority w:val="0"/>
    <w:rPr>
      <w:rFonts w:hint="default" w:ascii="Times New Roman" w:hAnsi="Times New Roman" w:cs="Times New Roman"/>
      <w:color w:val="000000"/>
      <w:sz w:val="18"/>
      <w:szCs w:val="18"/>
      <w:u w:val="none"/>
    </w:rPr>
  </w:style>
  <w:style w:type="character" w:customStyle="1" w:styleId="81">
    <w:name w:val="标题 3 Char"/>
    <w:link w:val="4"/>
    <w:qFormat/>
    <w:uiPriority w:val="0"/>
    <w:rPr>
      <w:b/>
      <w:bCs/>
      <w:kern w:val="2"/>
      <w:sz w:val="32"/>
      <w:szCs w:val="32"/>
    </w:rPr>
  </w:style>
  <w:style w:type="character" w:customStyle="1" w:styleId="82">
    <w:name w:val="脚注文本 Char"/>
    <w:link w:val="28"/>
    <w:qFormat/>
    <w:uiPriority w:val="99"/>
    <w:rPr>
      <w:kern w:val="2"/>
      <w:sz w:val="18"/>
      <w:szCs w:val="18"/>
    </w:rPr>
  </w:style>
  <w:style w:type="character" w:customStyle="1" w:styleId="83">
    <w:name w:val="批注框文本 Char"/>
    <w:link w:val="21"/>
    <w:semiHidden/>
    <w:qFormat/>
    <w:uiPriority w:val="0"/>
    <w:rPr>
      <w:kern w:val="2"/>
      <w:sz w:val="18"/>
      <w:szCs w:val="18"/>
    </w:rPr>
  </w:style>
  <w:style w:type="character" w:customStyle="1" w:styleId="84">
    <w:name w:val="脚注文本 Char1"/>
    <w:semiHidden/>
    <w:qFormat/>
    <w:uiPriority w:val="99"/>
    <w:rPr>
      <w:rFonts w:ascii="Times New Roman" w:hAnsi="Times New Roman" w:eastAsia="宋体" w:cs="Times New Roman"/>
      <w:sz w:val="18"/>
      <w:szCs w:val="18"/>
    </w:rPr>
  </w:style>
  <w:style w:type="character" w:customStyle="1" w:styleId="85">
    <w:name w:val="批注框文本 Char1"/>
    <w:semiHidden/>
    <w:qFormat/>
    <w:uiPriority w:val="99"/>
    <w:rPr>
      <w:rFonts w:ascii="Times New Roman" w:hAnsi="Times New Roman" w:eastAsia="宋体" w:cs="Times New Roman"/>
      <w:sz w:val="18"/>
      <w:szCs w:val="18"/>
    </w:rPr>
  </w:style>
  <w:style w:type="character" w:customStyle="1" w:styleId="86">
    <w:name w:val="正文文本缩进 2 Char"/>
    <w:link w:val="20"/>
    <w:qFormat/>
    <w:uiPriority w:val="0"/>
    <w:rPr>
      <w:spacing w:val="20"/>
      <w:kern w:val="2"/>
      <w:sz w:val="28"/>
    </w:rPr>
  </w:style>
  <w:style w:type="paragraph" w:customStyle="1" w:styleId="87">
    <w:name w:val="xl29"/>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88">
    <w:name w:val="Char Char Char Char"/>
    <w:basedOn w:val="1"/>
    <w:qFormat/>
    <w:uiPriority w:val="0"/>
    <w:pPr>
      <w:tabs>
        <w:tab w:val="left" w:pos="4665"/>
        <w:tab w:val="left" w:pos="8970"/>
      </w:tabs>
      <w:ind w:firstLine="400"/>
    </w:pPr>
    <w:rPr>
      <w:rFonts w:ascii="Tahoma" w:hAnsi="Tahoma"/>
      <w:sz w:val="24"/>
    </w:rPr>
  </w:style>
  <w:style w:type="paragraph" w:customStyle="1" w:styleId="89">
    <w:name w:val="xl37"/>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0">
    <w:name w:val="估价项目名称"/>
    <w:basedOn w:val="1"/>
    <w:qFormat/>
    <w:uiPriority w:val="0"/>
    <w:pPr>
      <w:spacing w:line="560" w:lineRule="exact"/>
      <w:ind w:firstLine="560" w:firstLineChars="200"/>
    </w:pPr>
    <w:rPr>
      <w:rFonts w:eastAsia="仿宋_GB2312"/>
      <w:kern w:val="0"/>
      <w:sz w:val="28"/>
    </w:rPr>
  </w:style>
  <w:style w:type="paragraph" w:customStyle="1" w:styleId="91">
    <w:name w:val="纯文本2"/>
    <w:basedOn w:val="1"/>
    <w:qFormat/>
    <w:uiPriority w:val="0"/>
    <w:pPr>
      <w:adjustRightInd w:val="0"/>
      <w:textAlignment w:val="baseline"/>
    </w:pPr>
    <w:rPr>
      <w:rFonts w:ascii="宋体" w:hAnsi="Courier New"/>
    </w:rPr>
  </w:style>
  <w:style w:type="paragraph" w:customStyle="1" w:styleId="92">
    <w:name w:val="font6"/>
    <w:basedOn w:val="1"/>
    <w:qFormat/>
    <w:uiPriority w:val="0"/>
    <w:pPr>
      <w:widowControl/>
      <w:spacing w:before="100" w:beforeAutospacing="1" w:after="100" w:afterAutospacing="1"/>
      <w:jc w:val="left"/>
    </w:pPr>
    <w:rPr>
      <w:rFonts w:eastAsia="Arial Unicode MS"/>
      <w:kern w:val="0"/>
      <w:sz w:val="18"/>
      <w:szCs w:val="18"/>
    </w:rPr>
  </w:style>
  <w:style w:type="paragraph" w:customStyle="1" w:styleId="93">
    <w:name w:val="Char Char Char Char Char Char1 Char Char Char1 Char Char Char1"/>
    <w:basedOn w:val="1"/>
    <w:qFormat/>
    <w:uiPriority w:val="0"/>
    <w:pPr>
      <w:tabs>
        <w:tab w:val="left" w:pos="432"/>
      </w:tabs>
      <w:ind w:left="432" w:hanging="432"/>
    </w:pPr>
    <w:rPr>
      <w:sz w:val="24"/>
      <w:szCs w:val="24"/>
    </w:rPr>
  </w:style>
  <w:style w:type="paragraph" w:customStyle="1" w:styleId="94">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95">
    <w:name w:val="Char Char Char Char Char Char Char Char Char Char"/>
    <w:basedOn w:val="1"/>
    <w:qFormat/>
    <w:uiPriority w:val="0"/>
    <w:pPr>
      <w:spacing w:before="300" w:after="300" w:line="560" w:lineRule="exact"/>
    </w:pPr>
    <w:rPr>
      <w:rFonts w:eastAsia="黑体"/>
      <w:sz w:val="36"/>
      <w:szCs w:val="36"/>
    </w:rPr>
  </w:style>
  <w:style w:type="paragraph" w:customStyle="1" w:styleId="96">
    <w:name w:val="纯文本11"/>
    <w:basedOn w:val="1"/>
    <w:qFormat/>
    <w:uiPriority w:val="0"/>
    <w:pPr>
      <w:adjustRightInd w:val="0"/>
      <w:textAlignment w:val="baseline"/>
    </w:pPr>
    <w:rPr>
      <w:rFonts w:ascii="宋体" w:hAnsi="Courier New"/>
    </w:rPr>
  </w:style>
  <w:style w:type="paragraph" w:customStyle="1" w:styleId="97">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98">
    <w:name w:val="Char Char Char Char1"/>
    <w:basedOn w:val="1"/>
    <w:qFormat/>
    <w:uiPriority w:val="0"/>
    <w:pPr>
      <w:tabs>
        <w:tab w:val="left" w:pos="4665"/>
        <w:tab w:val="left" w:pos="8970"/>
      </w:tabs>
      <w:ind w:firstLine="400"/>
    </w:pPr>
    <w:rPr>
      <w:rFonts w:ascii="Tahoma" w:hAnsi="Tahoma"/>
      <w:sz w:val="24"/>
    </w:rPr>
  </w:style>
  <w:style w:type="paragraph" w:customStyle="1" w:styleId="99">
    <w:name w:val="Char Char Char Char Char Char Char Char Char Char1"/>
    <w:basedOn w:val="1"/>
    <w:qFormat/>
    <w:uiPriority w:val="0"/>
    <w:pPr>
      <w:spacing w:before="300" w:after="300" w:line="560" w:lineRule="exact"/>
    </w:pPr>
    <w:rPr>
      <w:rFonts w:eastAsia="黑体"/>
      <w:sz w:val="36"/>
      <w:szCs w:val="36"/>
    </w:rPr>
  </w:style>
  <w:style w:type="paragraph" w:customStyle="1" w:styleId="100">
    <w:name w:val="修订1"/>
    <w:semiHidden/>
    <w:qFormat/>
    <w:uiPriority w:val="99"/>
    <w:rPr>
      <w:rFonts w:ascii="Times New Roman" w:hAnsi="Times New Roman" w:eastAsia="宋体" w:cs="Times New Roman"/>
      <w:kern w:val="2"/>
      <w:sz w:val="21"/>
      <w:lang w:val="en-US" w:eastAsia="zh-CN" w:bidi="ar-SA"/>
    </w:rPr>
  </w:style>
  <w:style w:type="paragraph" w:customStyle="1" w:styleId="101">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02">
    <w:name w:val="Char4 Char Char Char1"/>
    <w:basedOn w:val="1"/>
    <w:qFormat/>
    <w:uiPriority w:val="0"/>
    <w:pPr>
      <w:tabs>
        <w:tab w:val="left" w:pos="4665"/>
        <w:tab w:val="left" w:pos="8970"/>
      </w:tabs>
      <w:ind w:firstLine="400"/>
    </w:pPr>
    <w:rPr>
      <w:rFonts w:ascii="Tahoma" w:hAnsi="Tahoma"/>
      <w:sz w:val="24"/>
    </w:rPr>
  </w:style>
  <w:style w:type="paragraph" w:customStyle="1" w:styleId="103">
    <w:name w:val="纯文本1"/>
    <w:basedOn w:val="1"/>
    <w:qFormat/>
    <w:uiPriority w:val="0"/>
    <w:pPr>
      <w:adjustRightInd w:val="0"/>
      <w:textAlignment w:val="baseline"/>
    </w:pPr>
    <w:rPr>
      <w:rFonts w:ascii="宋体" w:hAnsi="Courier New"/>
    </w:rPr>
  </w:style>
  <w:style w:type="paragraph" w:customStyle="1" w:styleId="104">
    <w:name w:val="Char4 Char Char Char"/>
    <w:basedOn w:val="1"/>
    <w:qFormat/>
    <w:uiPriority w:val="0"/>
    <w:pPr>
      <w:tabs>
        <w:tab w:val="left" w:pos="4665"/>
        <w:tab w:val="left" w:pos="8970"/>
      </w:tabs>
      <w:ind w:firstLine="400"/>
    </w:pPr>
    <w:rPr>
      <w:rFonts w:ascii="Tahoma" w:hAnsi="Tahoma"/>
      <w:sz w:val="24"/>
    </w:rPr>
  </w:style>
  <w:style w:type="paragraph" w:customStyle="1" w:styleId="105">
    <w:name w:val="charcharchar"/>
    <w:basedOn w:val="1"/>
    <w:qFormat/>
    <w:uiPriority w:val="0"/>
    <w:pPr>
      <w:widowControl/>
      <w:spacing w:line="336" w:lineRule="auto"/>
      <w:ind w:left="2603"/>
    </w:pPr>
    <w:rPr>
      <w:rFonts w:ascii="华文细黑" w:hAnsi="华文细黑" w:eastAsia="华文细黑" w:cs="宋体"/>
      <w:kern w:val="0"/>
      <w:sz w:val="22"/>
      <w:szCs w:val="22"/>
    </w:rPr>
  </w:style>
  <w:style w:type="paragraph" w:customStyle="1" w:styleId="106">
    <w:name w:val="Char1 Char Char Char"/>
    <w:basedOn w:val="1"/>
    <w:qFormat/>
    <w:uiPriority w:val="0"/>
    <w:pPr>
      <w:widowControl/>
      <w:spacing w:after="160" w:line="240" w:lineRule="exact"/>
      <w:jc w:val="left"/>
    </w:pPr>
    <w:rPr>
      <w:rFonts w:ascii="Tahoma" w:hAnsi="Tahoma"/>
      <w:kern w:val="0"/>
      <w:sz w:val="24"/>
      <w:szCs w:val="24"/>
      <w:lang w:eastAsia="en-US"/>
    </w:rPr>
  </w:style>
  <w:style w:type="paragraph" w:customStyle="1" w:styleId="107">
    <w:name w:val="样式1"/>
    <w:basedOn w:val="1"/>
    <w:qFormat/>
    <w:uiPriority w:val="0"/>
    <w:pPr>
      <w:spacing w:line="360" w:lineRule="auto"/>
      <w:ind w:firstLine="480" w:firstLineChars="200"/>
    </w:pPr>
    <w:rPr>
      <w:rFonts w:ascii="宋体" w:hAnsi="宋体"/>
      <w:sz w:val="24"/>
      <w:szCs w:val="24"/>
    </w:rPr>
  </w:style>
  <w:style w:type="paragraph" w:customStyle="1" w:styleId="108">
    <w:name w:val="xl86"/>
    <w:basedOn w:val="1"/>
    <w:qFormat/>
    <w:uiPriority w:val="0"/>
    <w:pPr>
      <w:widowControl/>
      <w:pBdr>
        <w:top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09">
    <w:name w:val="纯文本12"/>
    <w:basedOn w:val="1"/>
    <w:qFormat/>
    <w:uiPriority w:val="0"/>
    <w:pPr>
      <w:adjustRightInd w:val="0"/>
      <w:textAlignment w:val="baseline"/>
    </w:pPr>
    <w:rPr>
      <w:rFonts w:ascii="宋体" w:hAnsi="Courier New"/>
    </w:rPr>
  </w:style>
  <w:style w:type="paragraph" w:customStyle="1" w:styleId="110">
    <w:name w:val="xl3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11">
    <w:name w:val="xl2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12">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styleId="113">
    <w:name w:val="List Paragraph"/>
    <w:basedOn w:val="1"/>
    <w:qFormat/>
    <w:uiPriority w:val="34"/>
    <w:pPr>
      <w:ind w:firstLine="420" w:firstLineChars="200"/>
    </w:pPr>
    <w:rPr>
      <w:szCs w:val="24"/>
    </w:rPr>
  </w:style>
  <w:style w:type="paragraph" w:customStyle="1" w:styleId="114">
    <w:name w:val="font9"/>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115">
    <w:name w:val="default paragraph font Char"/>
    <w:basedOn w:val="1"/>
    <w:qFormat/>
    <w:uiPriority w:val="0"/>
    <w:pPr>
      <w:spacing w:line="240" w:lineRule="atLeast"/>
      <w:ind w:left="420" w:firstLine="420"/>
    </w:pPr>
    <w:rPr>
      <w:kern w:val="0"/>
      <w:szCs w:val="21"/>
    </w:rPr>
  </w:style>
  <w:style w:type="paragraph" w:customStyle="1" w:styleId="116">
    <w:name w:val="font7"/>
    <w:basedOn w:val="1"/>
    <w:qFormat/>
    <w:uiPriority w:val="0"/>
    <w:pPr>
      <w:widowControl/>
      <w:spacing w:before="100" w:beforeAutospacing="1" w:after="100" w:afterAutospacing="1"/>
      <w:jc w:val="left"/>
    </w:pPr>
    <w:rPr>
      <w:rFonts w:hint="eastAsia" w:ascii="宋体" w:hAnsi="宋体" w:cs="Arial Unicode MS"/>
      <w:color w:val="000000"/>
      <w:kern w:val="0"/>
      <w:sz w:val="18"/>
      <w:szCs w:val="18"/>
    </w:rPr>
  </w:style>
  <w:style w:type="paragraph" w:customStyle="1" w:styleId="117">
    <w:name w:val="p0"/>
    <w:basedOn w:val="1"/>
    <w:qFormat/>
    <w:uiPriority w:val="99"/>
    <w:pPr>
      <w:widowControl/>
    </w:pPr>
    <w:rPr>
      <w:rFonts w:ascii="Calibri" w:hAnsi="Calibri" w:cs="宋体"/>
      <w:kern w:val="0"/>
      <w:szCs w:val="21"/>
    </w:rPr>
  </w:style>
  <w:style w:type="paragraph" w:customStyle="1" w:styleId="118">
    <w:name w:val="Char Char Char Char Char Char Char Char Char Char2"/>
    <w:basedOn w:val="1"/>
    <w:qFormat/>
    <w:uiPriority w:val="0"/>
    <w:pPr>
      <w:spacing w:before="300" w:after="300" w:line="560" w:lineRule="exact"/>
    </w:pPr>
    <w:rPr>
      <w:rFonts w:eastAsia="黑体"/>
      <w:sz w:val="36"/>
      <w:szCs w:val="36"/>
    </w:rPr>
  </w:style>
  <w:style w:type="paragraph" w:customStyle="1" w:styleId="119">
    <w:name w:val="Char Char Char Char2"/>
    <w:basedOn w:val="1"/>
    <w:qFormat/>
    <w:uiPriority w:val="0"/>
    <w:pPr>
      <w:tabs>
        <w:tab w:val="left" w:pos="4665"/>
        <w:tab w:val="left" w:pos="8970"/>
      </w:tabs>
      <w:ind w:firstLine="400"/>
    </w:pPr>
    <w:rPr>
      <w:rFonts w:ascii="Tahoma" w:hAnsi="Tahoma"/>
      <w:sz w:val="24"/>
    </w:rPr>
  </w:style>
  <w:style w:type="paragraph" w:customStyle="1" w:styleId="120">
    <w:name w:val="xl2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21">
    <w:name w:val="报告正文"/>
    <w:basedOn w:val="1"/>
    <w:qFormat/>
    <w:uiPriority w:val="0"/>
    <w:pPr>
      <w:spacing w:line="500" w:lineRule="atLeast"/>
      <w:ind w:firstLine="567"/>
    </w:pPr>
    <w:rPr>
      <w:rFonts w:hint="eastAsia" w:ascii="仿宋_GB2312" w:hAnsi="Courier New" w:eastAsia="仿宋_GB2312"/>
      <w:sz w:val="28"/>
    </w:rPr>
  </w:style>
  <w:style w:type="paragraph" w:customStyle="1" w:styleId="122">
    <w:name w:val="xl3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23">
    <w:name w:val="font8"/>
    <w:basedOn w:val="1"/>
    <w:qFormat/>
    <w:uiPriority w:val="0"/>
    <w:pPr>
      <w:widowControl/>
      <w:spacing w:before="100" w:beforeAutospacing="1" w:after="100" w:afterAutospacing="1"/>
      <w:jc w:val="left"/>
    </w:pPr>
    <w:rPr>
      <w:rFonts w:hint="eastAsia" w:ascii="宋体" w:hAnsi="宋体" w:cs="Arial Unicode MS"/>
      <w:kern w:val="0"/>
      <w:sz w:val="16"/>
      <w:szCs w:val="16"/>
    </w:rPr>
  </w:style>
  <w:style w:type="paragraph" w:customStyle="1" w:styleId="124">
    <w:name w:val="xl3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25">
    <w:name w:val="font11"/>
    <w:basedOn w:val="1"/>
    <w:qFormat/>
    <w:uiPriority w:val="0"/>
    <w:pPr>
      <w:widowControl/>
      <w:spacing w:before="100" w:beforeAutospacing="1" w:after="100" w:afterAutospacing="1"/>
      <w:jc w:val="left"/>
    </w:pPr>
    <w:rPr>
      <w:rFonts w:eastAsia="Arial Unicode MS"/>
      <w:kern w:val="0"/>
      <w:sz w:val="16"/>
      <w:szCs w:val="16"/>
    </w:rPr>
  </w:style>
  <w:style w:type="paragraph" w:customStyle="1" w:styleId="126">
    <w:name w:val="font1"/>
    <w:basedOn w:val="1"/>
    <w:qFormat/>
    <w:uiPriority w:val="0"/>
    <w:pPr>
      <w:widowControl/>
      <w:spacing w:before="100" w:beforeAutospacing="1" w:after="100" w:afterAutospacing="1"/>
      <w:jc w:val="left"/>
    </w:pPr>
    <w:rPr>
      <w:rFonts w:hint="eastAsia" w:ascii="宋体" w:hAnsi="宋体" w:cs="Arial Unicode MS"/>
      <w:b/>
      <w:bCs/>
      <w:kern w:val="0"/>
      <w:sz w:val="24"/>
      <w:szCs w:val="24"/>
    </w:rPr>
  </w:style>
  <w:style w:type="paragraph" w:customStyle="1" w:styleId="127">
    <w:name w:val="Char Char Char Char Char Char1 Char Char Char1 Char Char Char"/>
    <w:basedOn w:val="1"/>
    <w:qFormat/>
    <w:uiPriority w:val="0"/>
    <w:pPr>
      <w:tabs>
        <w:tab w:val="left" w:pos="432"/>
      </w:tabs>
      <w:ind w:left="432" w:hanging="432"/>
    </w:pPr>
    <w:rPr>
      <w:sz w:val="24"/>
      <w:szCs w:val="24"/>
    </w:rPr>
  </w:style>
  <w:style w:type="paragraph" w:customStyle="1" w:styleId="128">
    <w:name w:val="Char1 Char Char Char2"/>
    <w:basedOn w:val="1"/>
    <w:qFormat/>
    <w:uiPriority w:val="0"/>
    <w:pPr>
      <w:widowControl/>
      <w:spacing w:after="160" w:line="240" w:lineRule="exact"/>
      <w:jc w:val="left"/>
    </w:pPr>
    <w:rPr>
      <w:rFonts w:ascii="Tahoma" w:hAnsi="Tahoma"/>
      <w:kern w:val="0"/>
      <w:sz w:val="24"/>
      <w:szCs w:val="24"/>
      <w:lang w:eastAsia="en-US"/>
    </w:rPr>
  </w:style>
  <w:style w:type="paragraph" w:customStyle="1" w:styleId="129">
    <w:name w:val="xl2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0">
    <w:name w:val="xl36"/>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32">
    <w:name w:val="TOC 标题1"/>
    <w:basedOn w:val="2"/>
    <w:next w:val="1"/>
    <w:qFormat/>
    <w:uiPriority w:val="39"/>
    <w:pPr>
      <w:widowControl/>
      <w:spacing w:before="480" w:line="276" w:lineRule="auto"/>
      <w:jc w:val="left"/>
      <w:outlineLvl w:val="9"/>
    </w:pPr>
    <w:rPr>
      <w:rFonts w:ascii="Cambria" w:hAnsi="Cambria"/>
      <w:color w:val="365F91"/>
      <w:kern w:val="0"/>
      <w:sz w:val="28"/>
      <w:szCs w:val="28"/>
    </w:rPr>
  </w:style>
  <w:style w:type="paragraph" w:customStyle="1" w:styleId="133">
    <w:name w:val="xl31"/>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4">
    <w:name w:val="xl85"/>
    <w:basedOn w:val="1"/>
    <w:qFormat/>
    <w:uiPriority w:val="0"/>
    <w:pPr>
      <w:widowControl/>
      <w:pBdr>
        <w:top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35">
    <w:name w:val="1"/>
    <w:next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36">
    <w:name w:val="xl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37">
    <w:name w:val="font10"/>
    <w:basedOn w:val="1"/>
    <w:qFormat/>
    <w:uiPriority w:val="0"/>
    <w:pPr>
      <w:widowControl/>
      <w:spacing w:before="100" w:beforeAutospacing="1" w:after="100" w:afterAutospacing="1"/>
      <w:jc w:val="left"/>
    </w:pPr>
    <w:rPr>
      <w:rFonts w:eastAsia="Arial Unicode MS"/>
      <w:color w:val="000000"/>
      <w:kern w:val="0"/>
      <w:sz w:val="18"/>
      <w:szCs w:val="18"/>
    </w:rPr>
  </w:style>
  <w:style w:type="paragraph" w:customStyle="1" w:styleId="138">
    <w:name w:val="xl84"/>
    <w:basedOn w:val="1"/>
    <w:qFormat/>
    <w:uiPriority w:val="0"/>
    <w:pPr>
      <w:widowControl/>
      <w:pBdr>
        <w:top w:val="single" w:color="auto" w:sz="4" w:space="0"/>
        <w:left w:val="single" w:color="auto" w:sz="4" w:space="0"/>
        <w:bottom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39">
    <w:name w:val="Char Char Char Char Char Char1 Char Char Char1 Char Char Char2"/>
    <w:basedOn w:val="1"/>
    <w:qFormat/>
    <w:uiPriority w:val="0"/>
    <w:pPr>
      <w:tabs>
        <w:tab w:val="left" w:pos="432"/>
      </w:tabs>
      <w:ind w:left="432" w:hanging="432"/>
    </w:pPr>
    <w:rPr>
      <w:sz w:val="24"/>
      <w:szCs w:val="24"/>
    </w:rPr>
  </w:style>
  <w:style w:type="paragraph" w:customStyle="1" w:styleId="140">
    <w:name w:val="_Style 67"/>
    <w:next w:val="1"/>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141">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42">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43">
    <w:name w:val="Char4 Char Char Char2"/>
    <w:basedOn w:val="1"/>
    <w:qFormat/>
    <w:uiPriority w:val="0"/>
    <w:pPr>
      <w:tabs>
        <w:tab w:val="left" w:pos="4665"/>
        <w:tab w:val="left" w:pos="8970"/>
      </w:tabs>
      <w:ind w:firstLine="400"/>
    </w:pPr>
    <w:rPr>
      <w:rFonts w:ascii="Tahoma" w:hAnsi="Tahoma"/>
      <w:sz w:val="24"/>
    </w:rPr>
  </w:style>
  <w:style w:type="paragraph" w:customStyle="1" w:styleId="144">
    <w:name w:val="xl35"/>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textAlignment w:val="center"/>
    </w:pPr>
    <w:rPr>
      <w:rFonts w:ascii="Arial Unicode MS" w:hAnsi="Arial Unicode MS" w:eastAsia="Arial Unicode MS" w:cs="Arial Unicode MS"/>
      <w:kern w:val="0"/>
      <w:sz w:val="16"/>
      <w:szCs w:val="16"/>
    </w:rPr>
  </w:style>
  <w:style w:type="paragraph" w:customStyle="1" w:styleId="145">
    <w:name w:val="Char1 Char Char Char1"/>
    <w:basedOn w:val="1"/>
    <w:qFormat/>
    <w:uiPriority w:val="0"/>
    <w:pPr>
      <w:widowControl/>
      <w:spacing w:after="160" w:line="240" w:lineRule="exact"/>
      <w:jc w:val="left"/>
    </w:pPr>
    <w:rPr>
      <w:rFonts w:ascii="Tahoma" w:hAnsi="Tahoma"/>
      <w:kern w:val="0"/>
      <w:sz w:val="24"/>
      <w:szCs w:val="24"/>
      <w:lang w:eastAsia="en-US"/>
    </w:rPr>
  </w:style>
  <w:style w:type="table" w:customStyle="1" w:styleId="146">
    <w:name w:val="网格型1"/>
    <w:basedOn w:val="3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147">
    <w:name w:val="样式2"/>
    <w:basedOn w:val="41"/>
    <w:qFormat/>
    <w:uiPriority w:val="99"/>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paragraph" w:customStyle="1" w:styleId="148">
    <w:name w:val="缺省文本"/>
    <w:basedOn w:val="1"/>
    <w:qFormat/>
    <w:uiPriority w:val="0"/>
    <w:pPr>
      <w:autoSpaceDE w:val="0"/>
      <w:autoSpaceDN w:val="0"/>
      <w:adjustRightInd w:val="0"/>
      <w:jc w:val="left"/>
    </w:pPr>
    <w:rPr>
      <w:kern w:val="0"/>
      <w:sz w:val="24"/>
      <w:szCs w:val="24"/>
    </w:rPr>
  </w:style>
  <w:style w:type="paragraph" w:customStyle="1" w:styleId="149">
    <w:name w:val="Char Char Char Char Char Char Char Char Char Char Char Char Char Char1 Char Char Char Char"/>
    <w:basedOn w:val="1"/>
    <w:qFormat/>
    <w:uiPriority w:val="0"/>
    <w:rPr>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1.jpeg"/><Relationship Id="rId52" Type="http://schemas.openxmlformats.org/officeDocument/2006/relationships/image" Target="media/image40.jpeg"/><Relationship Id="rId51" Type="http://schemas.openxmlformats.org/officeDocument/2006/relationships/image" Target="media/image39.jpeg"/><Relationship Id="rId50" Type="http://schemas.openxmlformats.org/officeDocument/2006/relationships/image" Target="media/image38.jpeg"/><Relationship Id="rId5" Type="http://schemas.openxmlformats.org/officeDocument/2006/relationships/footer" Target="footer2.xml"/><Relationship Id="rId49" Type="http://schemas.openxmlformats.org/officeDocument/2006/relationships/image" Target="media/image37.jpeg"/><Relationship Id="rId48" Type="http://schemas.openxmlformats.org/officeDocument/2006/relationships/image" Target="media/image36.jpeg"/><Relationship Id="rId47" Type="http://schemas.openxmlformats.org/officeDocument/2006/relationships/image" Target="media/image35.png"/><Relationship Id="rId46" Type="http://schemas.openxmlformats.org/officeDocument/2006/relationships/image" Target="media/image34.jpeg"/><Relationship Id="rId45" Type="http://schemas.openxmlformats.org/officeDocument/2006/relationships/image" Target="media/image33.jpeg"/><Relationship Id="rId44" Type="http://schemas.openxmlformats.org/officeDocument/2006/relationships/image" Target="media/image32.jpeg"/><Relationship Id="rId43" Type="http://schemas.openxmlformats.org/officeDocument/2006/relationships/image" Target="media/image31.jpeg"/><Relationship Id="rId42" Type="http://schemas.openxmlformats.org/officeDocument/2006/relationships/image" Target="media/image30.jpeg"/><Relationship Id="rId41" Type="http://schemas.openxmlformats.org/officeDocument/2006/relationships/image" Target="media/image29.jpeg"/><Relationship Id="rId40" Type="http://schemas.openxmlformats.org/officeDocument/2006/relationships/image" Target="media/image28.jpeg"/><Relationship Id="rId4" Type="http://schemas.openxmlformats.org/officeDocument/2006/relationships/footer" Target="footer1.xml"/><Relationship Id="rId39" Type="http://schemas.openxmlformats.org/officeDocument/2006/relationships/image" Target="media/image27.jpeg"/><Relationship Id="rId38" Type="http://schemas.openxmlformats.org/officeDocument/2006/relationships/image" Target="media/image26.jpeg"/><Relationship Id="rId37" Type="http://schemas.openxmlformats.org/officeDocument/2006/relationships/image" Target="media/image25.jpeg"/><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png"/><Relationship Id="rId31" Type="http://schemas.openxmlformats.org/officeDocument/2006/relationships/image" Target="media/image19.jpe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w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DD80A0-659D-4A58-91A1-748EA77AE49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50</Pages>
  <Words>3023</Words>
  <Characters>17236</Characters>
  <Lines>143</Lines>
  <Paragraphs>40</Paragraphs>
  <TotalTime>622</TotalTime>
  <ScaleCrop>false</ScaleCrop>
  <LinksUpToDate>false</LinksUpToDate>
  <CharactersWithSpaces>20219</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2020-04-08T13:24:00Z</dcterms:created>
  <dc:creator>yu</dc:creator>
  <cp:lastModifiedBy>谌英</cp:lastModifiedBy>
  <cp:lastPrinted>2019-08-20T04:24:00Z</cp:lastPrinted>
  <dcterms:modified xsi:type="dcterms:W3CDTF">2020-06-29T03:30:47Z</dcterms:modified>
  <dc:title>致 委 托 方 函</dc:title>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