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firstLine="723" w:firstLineChars="100"/>
        <w:jc w:val="both"/>
        <w:rPr>
          <w:rFonts w:hint="eastAsia"/>
          <w:sz w:val="72"/>
          <w:szCs w:val="72"/>
        </w:rPr>
      </w:pPr>
      <w:bookmarkStart w:id="0" w:name="_Toc3953"/>
      <w:bookmarkStart w:id="1" w:name="_Toc3696"/>
      <w:bookmarkStart w:id="2" w:name="_Toc32406"/>
      <w:r>
        <w:rPr>
          <w:rFonts w:hint="eastAsia"/>
          <w:sz w:val="72"/>
          <w:szCs w:val="72"/>
        </w:rPr>
        <w:pict>
          <v:group id="Group 2" o:spid="_x0000_s1026" o:spt="203" style="position:absolute;left:0pt;margin-left:12.75pt;margin-top:98.85pt;height:31.2pt;width:425.25pt;z-index:251658240;mso-width-relative:page;mso-height-relative:page;" coordsize="8505,624">
            <o:lock v:ext="edit" grouping="f" rotation="f" text="f" aspectratio="f"/>
            <v:line id="Line 3" o:spid="_x0000_s1027" o:spt="20" style="position:absolute;left:0;top:0;height:0;width:8505;" filled="f" stroked="t" coordsize="21600,21600">
              <v:path arrowok="t"/>
              <v:fill on="f" focussize="0,0"/>
              <v:stroke weight="4.5pt" linestyle="thickThin"/>
              <v:imagedata o:title=""/>
              <o:lock v:ext="edit" grouping="f" rotation="f" text="f" aspectratio="f"/>
            </v:line>
            <v:shape id="AutoShape 4" o:spid="_x0000_s1028" o:spt="136" type="#_x0000_t136" style="position:absolute;left:900;top:312;height:312;width:6840;" fillcolor="#808080" filled="t" stroked="t" coordsize="21600,21600" adj="10800">
              <v:path/>
              <v:fill on="t" focussize="0,0"/>
              <v:stroke color="#808080"/>
              <v:imagedata o:title=""/>
              <o:lock v:ext="edit" grouping="f" rotation="f" text="f" aspectratio="f"/>
              <v:textpath on="t" fitshape="t" fitpath="t" trim="t" xscale="f" string="Real Estate Appraisal Report" style="font-family:Britannic Bold;font-size:36pt;v-text-align:center;"/>
            </v:shape>
          </v:group>
        </w:pict>
      </w:r>
      <w:r>
        <w:rPr>
          <w:rFonts w:hint="eastAsia"/>
          <w:sz w:val="72"/>
          <w:szCs w:val="72"/>
        </w:rPr>
        <w:t>房地产</w:t>
      </w:r>
      <w:bookmarkStart w:id="3" w:name="_Hlt91515658"/>
      <w:bookmarkEnd w:id="3"/>
      <w:r>
        <w:rPr>
          <w:rFonts w:hint="eastAsia"/>
          <w:sz w:val="72"/>
          <w:szCs w:val="72"/>
        </w:rPr>
        <w:t>处置司法评估报告</w:t>
      </w:r>
      <w:bookmarkEnd w:id="0"/>
      <w:bookmarkEnd w:id="1"/>
      <w:bookmarkEnd w:id="2"/>
    </w:p>
    <w:p>
      <w:pPr>
        <w:spacing w:line="480" w:lineRule="auto"/>
        <w:rPr>
          <w:rFonts w:hint="eastAsia" w:ascii="仿宋_GB2312" w:hAnsi="Arial Narrow" w:eastAsia="仿宋_GB2312"/>
          <w:b/>
          <w:sz w:val="28"/>
          <w:szCs w:val="28"/>
        </w:rPr>
      </w:pPr>
    </w:p>
    <w:p>
      <w:pPr>
        <w:rPr>
          <w:rFonts w:hint="eastAsia" w:ascii="仿宋_GB2312" w:hAnsi="宋体" w:eastAsia="仿宋_GB2312"/>
          <w:sz w:val="28"/>
          <w:szCs w:val="28"/>
          <w:lang w:val="en-US" w:eastAsia="zh-CN"/>
        </w:rPr>
      </w:pPr>
    </w:p>
    <w:p>
      <w:pPr>
        <w:ind w:firstLine="562" w:firstLineChars="200"/>
        <w:rPr>
          <w:rFonts w:hint="eastAsia" w:ascii="仿宋_GB2312" w:hAnsi="Arial Narrow" w:eastAsia="仿宋_GB2312"/>
          <w:color w:val="auto"/>
          <w:sz w:val="28"/>
          <w:szCs w:val="28"/>
          <w:lang w:val="en-US" w:eastAsia="zh-CN"/>
        </w:rPr>
      </w:pPr>
      <w:r>
        <w:rPr>
          <w:rFonts w:hint="eastAsia" w:ascii="仿宋_GB2312" w:hAnsi="宋体" w:eastAsia="仿宋_GB2312"/>
          <w:b/>
          <w:bCs/>
          <w:sz w:val="28"/>
          <w:szCs w:val="28"/>
        </w:rPr>
        <w:t>估价报告编号：</w:t>
      </w:r>
      <w:r>
        <w:rPr>
          <w:rFonts w:hint="eastAsia" w:ascii="仿宋" w:hAnsi="仿宋" w:eastAsia="仿宋" w:cs="仿宋"/>
          <w:sz w:val="28"/>
          <w:szCs w:val="28"/>
        </w:rPr>
        <w:t>四川信和房评〔20</w:t>
      </w:r>
      <w:r>
        <w:rPr>
          <w:rFonts w:hint="eastAsia" w:ascii="仿宋" w:hAnsi="仿宋" w:eastAsia="仿宋" w:cs="仿宋"/>
          <w:sz w:val="28"/>
          <w:szCs w:val="28"/>
          <w:lang w:val="en-US" w:eastAsia="zh-CN"/>
        </w:rPr>
        <w:t>20</w:t>
      </w:r>
      <w:r>
        <w:rPr>
          <w:rFonts w:hint="eastAsia" w:ascii="仿宋" w:hAnsi="仿宋" w:eastAsia="仿宋" w:cs="仿宋"/>
          <w:sz w:val="28"/>
          <w:szCs w:val="28"/>
        </w:rPr>
        <w:t>〕字第</w:t>
      </w:r>
      <w:r>
        <w:rPr>
          <w:rFonts w:hint="eastAsia" w:ascii="仿宋" w:hAnsi="仿宋" w:eastAsia="仿宋" w:cs="仿宋"/>
          <w:sz w:val="28"/>
          <w:szCs w:val="28"/>
          <w:lang w:val="en-US" w:eastAsia="zh-CN"/>
        </w:rPr>
        <w:t>068</w:t>
      </w:r>
      <w:r>
        <w:rPr>
          <w:rFonts w:hint="eastAsia" w:ascii="仿宋" w:hAnsi="仿宋" w:eastAsia="仿宋" w:cs="仿宋"/>
          <w:sz w:val="28"/>
          <w:szCs w:val="28"/>
        </w:rPr>
        <w:t>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2527" w:leftChars="266" w:right="0" w:rightChars="0" w:hanging="1968" w:hangingChars="700"/>
        <w:jc w:val="both"/>
        <w:textAlignment w:val="auto"/>
        <w:outlineLvl w:val="9"/>
        <w:rPr>
          <w:rFonts w:hint="eastAsia" w:ascii="仿宋_GB2312" w:hAnsi="宋体" w:eastAsia="仿宋_GB2312"/>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2527" w:leftChars="266" w:right="0" w:rightChars="0" w:hanging="1968" w:hangingChars="700"/>
        <w:jc w:val="both"/>
        <w:textAlignment w:val="auto"/>
        <w:outlineLvl w:val="9"/>
        <w:rPr>
          <w:rFonts w:hint="eastAsia" w:ascii="仿宋_GB2312" w:hAnsi="Arial Narrow" w:eastAsia="仿宋_GB2312"/>
          <w:color w:val="auto"/>
          <w:sz w:val="28"/>
          <w:szCs w:val="28"/>
        </w:rPr>
      </w:pPr>
      <w:r>
        <w:rPr>
          <w:rFonts w:hint="eastAsia" w:ascii="仿宋_GB2312" w:hAnsi="宋体" w:eastAsia="仿宋_GB2312"/>
          <w:b/>
          <w:bCs/>
          <w:sz w:val="28"/>
          <w:szCs w:val="28"/>
        </w:rPr>
        <w:t>估价项目名称</w:t>
      </w:r>
      <w:r>
        <w:rPr>
          <w:rFonts w:hint="eastAsia" w:ascii="仿宋_GB2312" w:hAnsi="宋体" w:eastAsia="仿宋_GB2312"/>
          <w:sz w:val="28"/>
          <w:szCs w:val="28"/>
        </w:rPr>
        <w:t>：</w:t>
      </w:r>
      <w:r>
        <w:rPr>
          <w:rFonts w:hint="eastAsia" w:ascii="仿宋" w:hAnsi="仿宋" w:eastAsia="仿宋" w:cs="仿宋"/>
          <w:sz w:val="28"/>
          <w:szCs w:val="28"/>
          <w:lang w:eastAsia="zh-CN"/>
        </w:rPr>
        <w:t>广汉市西湖路145号开发19幢23-27轴底层门市，西湖路147号开发19幢底层27-30轴、二层23-30轴门市，中山大道北三段35号中山小区8幢1-2层门市，东西大街西二段260号1幢商住楼，东西大街西二段商服用地土地使用权</w:t>
      </w:r>
      <w:r>
        <w:rPr>
          <w:rFonts w:hint="eastAsia" w:ascii="仿宋" w:hAnsi="仿宋" w:eastAsia="仿宋" w:cs="仿宋"/>
          <w:sz w:val="28"/>
          <w:szCs w:val="28"/>
          <w:lang w:val="en-US" w:eastAsia="zh-CN"/>
        </w:rPr>
        <w:t>共计五宗房地产市场价值评估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b/>
          <w:bCs/>
          <w:sz w:val="28"/>
          <w:szCs w:val="28"/>
          <w:lang w:val="en-US" w:eastAsia="zh-CN"/>
        </w:rPr>
      </w:pPr>
      <w:r>
        <w:rPr>
          <w:rFonts w:hint="eastAsia" w:ascii="仿宋_GB2312" w:hAnsi="宋体" w:eastAsia="仿宋_GB2312"/>
          <w:sz w:val="28"/>
          <w:szCs w:val="28"/>
          <w:lang w:val="en-US" w:eastAsia="zh-CN"/>
        </w:rPr>
        <w:t xml:space="preserve">  </w:t>
      </w:r>
      <w:r>
        <w:rPr>
          <w:rFonts w:hint="eastAsia" w:ascii="仿宋_GB2312" w:hAnsi="宋体" w:eastAsia="仿宋_GB2312"/>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eastAsia" w:ascii="仿宋_GB2312" w:hAnsi="宋体" w:eastAsia="仿宋_GB2312"/>
          <w:color w:val="FF0000"/>
          <w:sz w:val="28"/>
          <w:szCs w:val="28"/>
        </w:rPr>
      </w:pPr>
      <w:r>
        <w:rPr>
          <w:rFonts w:hint="eastAsia" w:ascii="仿宋_GB2312" w:hAnsi="宋体" w:eastAsia="仿宋_GB2312"/>
          <w:b/>
          <w:bCs/>
          <w:sz w:val="28"/>
          <w:szCs w:val="28"/>
          <w:lang w:eastAsia="zh-CN"/>
        </w:rPr>
        <w:t>估价委托人：</w:t>
      </w:r>
      <w:r>
        <w:rPr>
          <w:rFonts w:hint="eastAsia" w:ascii="仿宋_GB2312" w:hAnsi="Arial Narrow" w:eastAsia="仿宋_GB2312"/>
          <w:sz w:val="28"/>
          <w:szCs w:val="28"/>
          <w:lang w:eastAsia="zh-CN"/>
        </w:rPr>
        <w:t>广汉市人民法院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color w:val="FF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val="en-US" w:eastAsia="zh-CN"/>
        </w:rPr>
        <w:t xml:space="preserve">  </w:t>
      </w:r>
      <w:r>
        <w:rPr>
          <w:rFonts w:hint="eastAsia" w:ascii="仿宋_GB2312" w:hAnsi="宋体" w:eastAsia="仿宋_GB2312"/>
          <w:b/>
          <w:bCs/>
          <w:sz w:val="28"/>
          <w:szCs w:val="28"/>
          <w:lang w:val="en-US" w:eastAsia="zh-CN"/>
        </w:rPr>
        <w:t xml:space="preserve">  </w:t>
      </w:r>
      <w:r>
        <w:rPr>
          <w:rFonts w:hint="eastAsia" w:ascii="仿宋_GB2312" w:hAnsi="宋体" w:eastAsia="仿宋_GB2312"/>
          <w:b/>
          <w:bCs/>
          <w:sz w:val="28"/>
          <w:szCs w:val="28"/>
          <w:lang w:eastAsia="zh-CN"/>
        </w:rPr>
        <w:t>房地产估价机构：</w:t>
      </w:r>
      <w:r>
        <w:rPr>
          <w:rFonts w:hint="eastAsia" w:ascii="仿宋_GB2312" w:hAnsi="宋体" w:eastAsia="仿宋_GB2312"/>
          <w:sz w:val="28"/>
          <w:szCs w:val="28"/>
        </w:rPr>
        <w:t>四川省信和房地产评估咨询有限公司</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宋体"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eastAsia="仿宋_GB2312"/>
          <w:sz w:val="28"/>
          <w:szCs w:val="28"/>
          <w:lang w:eastAsia="zh-CN"/>
        </w:rPr>
      </w:pPr>
      <w:r>
        <w:rPr>
          <w:rFonts w:hint="eastAsia" w:ascii="仿宋_GB2312" w:hAnsi="宋体" w:eastAsia="仿宋_GB2312"/>
          <w:sz w:val="28"/>
          <w:szCs w:val="28"/>
          <w:lang w:val="en-US" w:eastAsia="zh-CN"/>
        </w:rPr>
        <w:t xml:space="preserve">   </w:t>
      </w:r>
      <w:r>
        <w:rPr>
          <w:rFonts w:hint="eastAsia" w:ascii="仿宋_GB2312" w:hAnsi="宋体" w:eastAsia="仿宋_GB2312"/>
          <w:b/>
          <w:bCs/>
          <w:sz w:val="28"/>
          <w:szCs w:val="28"/>
          <w:lang w:val="en-US" w:eastAsia="zh-CN"/>
        </w:rPr>
        <w:t xml:space="preserve"> </w:t>
      </w:r>
      <w:r>
        <w:rPr>
          <w:rFonts w:hint="eastAsia" w:ascii="仿宋_GB2312" w:hAnsi="宋体" w:eastAsia="仿宋_GB2312"/>
          <w:b/>
          <w:bCs/>
          <w:sz w:val="28"/>
          <w:szCs w:val="28"/>
          <w:lang w:eastAsia="zh-CN"/>
        </w:rPr>
        <w:t>注册房地产估价师：</w:t>
      </w:r>
      <w:r>
        <w:rPr>
          <w:rFonts w:hint="eastAsia" w:ascii="仿宋_GB2312" w:hAnsi="宋体" w:eastAsia="仿宋_GB2312"/>
          <w:sz w:val="28"/>
          <w:szCs w:val="28"/>
          <w:lang w:eastAsia="zh-CN"/>
        </w:rPr>
        <w:t>刘</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莉</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注册号：</w:t>
      </w:r>
      <w:r>
        <w:rPr>
          <w:rFonts w:hint="eastAsia" w:ascii="仿宋_GB2312" w:eastAsia="仿宋_GB2312"/>
          <w:sz w:val="28"/>
          <w:szCs w:val="28"/>
          <w:lang w:eastAsia="zh-CN"/>
        </w:rPr>
        <w:t>5120180003</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sz w:val="28"/>
          <w:szCs w:val="28"/>
        </w:rPr>
      </w:pPr>
      <w:r>
        <w:rPr>
          <w:rFonts w:hint="eastAsia" w:ascii="仿宋_GB2312" w:eastAsia="仿宋_GB2312"/>
          <w:sz w:val="28"/>
          <w:szCs w:val="28"/>
          <w:lang w:val="en-US" w:eastAsia="zh-CN"/>
        </w:rPr>
        <w:t xml:space="preserve">                     </w:t>
      </w:r>
      <w:r>
        <w:rPr>
          <w:rFonts w:hint="eastAsia" w:ascii="仿宋_GB2312" w:hAnsi="宋体" w:eastAsia="仿宋_GB2312"/>
          <w:sz w:val="28"/>
          <w:szCs w:val="28"/>
          <w:lang w:val="en-US" w:eastAsia="zh-CN"/>
        </w:rPr>
        <w:t xml:space="preserve"> 刘  健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注册号：</w:t>
      </w:r>
      <w:r>
        <w:rPr>
          <w:rFonts w:hint="eastAsia" w:ascii="仿宋_GB2312" w:hAnsi="宋体" w:eastAsia="仿宋_GB2312"/>
          <w:color w:val="auto"/>
          <w:sz w:val="28"/>
          <w:szCs w:val="28"/>
          <w:lang w:eastAsia="zh-CN"/>
        </w:rPr>
        <w:t>5120110034</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hAnsi="宋体" w:eastAsia="仿宋_GB2312"/>
          <w:color w:val="auto"/>
          <w:sz w:val="28"/>
          <w:szCs w:val="28"/>
        </w:rPr>
      </w:pPr>
      <w:r>
        <w:rPr>
          <w:rFonts w:hint="eastAsia" w:ascii="仿宋_GB2312" w:hAnsi="宋体" w:eastAsia="仿宋_GB2312"/>
          <w:sz w:val="28"/>
          <w:szCs w:val="28"/>
          <w:lang w:val="en-US" w:eastAsia="zh-CN"/>
        </w:rPr>
        <w:t xml:space="preserve">  </w:t>
      </w:r>
      <w:r>
        <w:rPr>
          <w:rFonts w:hint="eastAsia" w:ascii="仿宋_GB2312" w:hAnsi="宋体" w:eastAsia="仿宋_GB2312"/>
          <w:b/>
          <w:bCs/>
          <w:sz w:val="28"/>
          <w:szCs w:val="28"/>
          <w:lang w:val="en-US" w:eastAsia="zh-CN"/>
        </w:rPr>
        <w:t xml:space="preserve"> </w:t>
      </w:r>
      <w:r>
        <w:rPr>
          <w:rFonts w:hint="eastAsia" w:ascii="仿宋_GB2312" w:hAnsi="宋体" w:eastAsia="仿宋_GB2312"/>
          <w:b/>
          <w:bCs/>
          <w:sz w:val="28"/>
          <w:szCs w:val="28"/>
          <w:lang w:eastAsia="zh-CN"/>
        </w:rPr>
        <w:t>估价报告出具日期：</w:t>
      </w:r>
      <w:r>
        <w:rPr>
          <w:rFonts w:hint="eastAsia" w:ascii="仿宋" w:hAnsi="仿宋" w:eastAsia="仿宋" w:cs="仿宋"/>
          <w:sz w:val="28"/>
          <w:szCs w:val="28"/>
          <w:lang w:eastAsia="zh-CN"/>
        </w:rPr>
        <w:t>二〇二〇年五月十五日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Arial Narrow" w:eastAsia="仿宋_GB2312"/>
          <w:sz w:val="28"/>
          <w:szCs w:val="32"/>
          <w:lang w:eastAsia="zh-CN"/>
        </w:rPr>
      </w:pPr>
      <w:r>
        <w:rPr>
          <w:rFonts w:hint="eastAsia" w:ascii="仿宋_GB2312" w:hAnsi="宋体" w:eastAsia="仿宋_GB2312"/>
          <w:b/>
          <w:sz w:val="36"/>
          <w:szCs w:val="36"/>
        </w:rPr>
        <w:t>致</w:t>
      </w:r>
      <w:r>
        <w:rPr>
          <w:rFonts w:hint="eastAsia" w:ascii="仿宋_GB2312" w:hAnsi="宋体" w:eastAsia="仿宋_GB2312"/>
          <w:b/>
          <w:sz w:val="36"/>
          <w:szCs w:val="36"/>
          <w:lang w:eastAsia="zh-CN"/>
        </w:rPr>
        <w:t>估价</w:t>
      </w:r>
      <w:r>
        <w:rPr>
          <w:rFonts w:hint="eastAsia" w:ascii="仿宋_GB2312" w:hAnsi="宋体" w:eastAsia="仿宋_GB2312"/>
          <w:b/>
          <w:sz w:val="36"/>
          <w:szCs w:val="36"/>
        </w:rPr>
        <w:t>委托</w:t>
      </w:r>
      <w:r>
        <w:rPr>
          <w:rFonts w:hint="eastAsia" w:ascii="仿宋_GB2312" w:hAnsi="宋体" w:eastAsia="仿宋_GB2312"/>
          <w:b/>
          <w:sz w:val="36"/>
          <w:szCs w:val="36"/>
          <w:lang w:eastAsia="zh-CN"/>
        </w:rPr>
        <w:t>人</w:t>
      </w:r>
      <w:r>
        <w:rPr>
          <w:rFonts w:hint="eastAsia" w:ascii="仿宋_GB2312" w:hAnsi="宋体" w:eastAsia="仿宋_GB2312"/>
          <w:b/>
          <w:sz w:val="36"/>
          <w:szCs w:val="36"/>
        </w:rPr>
        <w:t>函</w:t>
      </w:r>
    </w:p>
    <w:p>
      <w:pPr>
        <w:keepNext w:val="0"/>
        <w:keepLines w:val="0"/>
        <w:pageBreakBefore w:val="0"/>
        <w:widowControl w:val="0"/>
        <w:kinsoku/>
        <w:wordWrap/>
        <w:overflowPunct/>
        <w:topLinePunct w:val="0"/>
        <w:autoSpaceDE/>
        <w:autoSpaceDN/>
        <w:bidi w:val="0"/>
        <w:adjustRightInd/>
        <w:snapToGrid/>
        <w:spacing w:line="620" w:lineRule="exact"/>
        <w:ind w:right="0" w:rightChars="0"/>
        <w:jc w:val="both"/>
        <w:textAlignment w:val="auto"/>
        <w:outlineLvl w:val="9"/>
        <w:rPr>
          <w:rFonts w:hint="eastAsia" w:ascii="仿宋_GB2312" w:hAnsi="仿宋_GB2312" w:eastAsia="仿宋_GB2312" w:cs="仿宋_GB2312"/>
          <w:sz w:val="28"/>
          <w:szCs w:val="32"/>
          <w:lang w:val="en-US" w:eastAsia="zh-CN"/>
        </w:rPr>
      </w:pPr>
      <w:r>
        <w:rPr>
          <w:rFonts w:hint="eastAsia" w:ascii="仿宋_GB2312" w:hAnsi="Arial Narrow" w:eastAsia="仿宋_GB2312"/>
          <w:sz w:val="28"/>
          <w:szCs w:val="32"/>
          <w:lang w:val="en-US" w:eastAsia="zh-CN"/>
        </w:rPr>
        <w:t>广汉市人民法院：</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受贵单位委托，我公司于2020年04月22日指派估价人员对</w:t>
      </w:r>
      <w:r>
        <w:rPr>
          <w:rFonts w:hint="eastAsia" w:ascii="仿宋" w:hAnsi="仿宋" w:eastAsia="仿宋" w:cs="仿宋"/>
          <w:sz w:val="28"/>
          <w:szCs w:val="28"/>
          <w:lang w:eastAsia="zh-CN"/>
        </w:rPr>
        <w:t>广汉市西湖路145号开发19幢23-27轴底层门市，西湖路147号开发19幢底层27-30轴、二层23-30轴门市，中山大道北三段35号中山小区8幢1-2层门市，东西大街西二段260号1幢商住楼，东西大街西二段商服用地土地使用权</w:t>
      </w:r>
      <w:r>
        <w:rPr>
          <w:rFonts w:hint="eastAsia" w:ascii="仿宋" w:hAnsi="仿宋" w:eastAsia="仿宋" w:cs="仿宋"/>
          <w:sz w:val="28"/>
          <w:szCs w:val="28"/>
          <w:lang w:val="en-US" w:eastAsia="zh-CN"/>
        </w:rPr>
        <w:t>共计五宗</w:t>
      </w:r>
      <w:r>
        <w:rPr>
          <w:rFonts w:hint="eastAsia" w:ascii="仿宋" w:hAnsi="仿宋" w:eastAsia="仿宋" w:cs="仿宋"/>
          <w:color w:val="auto"/>
          <w:sz w:val="28"/>
          <w:szCs w:val="28"/>
          <w:lang w:val="en-US" w:eastAsia="zh-CN"/>
        </w:rPr>
        <w:t>房地产</w:t>
      </w:r>
      <w:r>
        <w:rPr>
          <w:rFonts w:hint="eastAsia" w:ascii="仿宋" w:hAnsi="仿宋" w:eastAsia="仿宋" w:cs="仿宋"/>
          <w:sz w:val="28"/>
          <w:szCs w:val="28"/>
          <w:lang w:val="en-US" w:eastAsia="zh-CN"/>
        </w:rPr>
        <w:t>进行了查看,并收集了评估所需资料,在结合估价材料并综合分析影响房地产价格因素的基础上，采用合理的估价方法对估价对象于价值时点的市场价值进行分析、估算和判定，完成估价工作，现将估价结论函告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rPr>
        <w:t>估价目的</w:t>
      </w:r>
      <w:r>
        <w:rPr>
          <w:rFonts w:hint="eastAsia" w:ascii="仿宋" w:hAnsi="仿宋" w:eastAsia="仿宋" w:cs="仿宋"/>
          <w:sz w:val="28"/>
          <w:szCs w:val="28"/>
          <w:lang w:eastAsia="zh-CN"/>
        </w:rPr>
        <w:t>：</w:t>
      </w:r>
      <w:r>
        <w:rPr>
          <w:rFonts w:hint="eastAsia" w:ascii="仿宋_GB2312" w:hAnsi="Arial Narrow" w:eastAsia="仿宋_GB2312"/>
          <w:sz w:val="28"/>
          <w:szCs w:val="32"/>
          <w:lang w:val="en-US" w:eastAsia="zh-CN"/>
        </w:rPr>
        <w:t>为人民法院确定财产处置参考价提供参考依据。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lang w:eastAsia="zh-CN"/>
        </w:rPr>
        <w:t>估价对象</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估价对象1：广汉市西湖路145号开发19幢23-27轴底层门市。委托人提供了《房屋所有权证》证号：房权证广权字第9575-2号。房屋所有权人：卢开玉。房屋坐落：西湖路145号开发19幢23-27轴底层门市；房屋总层数：6层，所在层数：1层；建筑面积：52.10平方米；房屋结构：框架；设计用途：营业。《国有土地使用权证》证号：广国用（2007）第14258号；土地使用权人：卢开玉；坐落：广汉市西湖路145号开发19幢23-27轴底层营业房；地类（用途）：城镇混合住宅用地（商业）；使用权类型：出让；终止日期：2051-3-2；使用权面积：10.68平方米；登记时间：2007年1月15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估价对象2：广汉市西湖路147号开发19幢底层27-30轴、二层23-30轴门市。委托人提供了《房屋所有权证》证号：房权证广权字第8020-3号。房屋所有权人：卢开玉。房屋坐落：西湖路147号开发19幢底层27-30轴、二层23-30轴门市；房屋总层数：6层，所在层数：1-2层；建筑面积：117.53平方米（其中第一层26.07平方米，第二层91.46平方米）；房屋结构：第一层框架，第二层混合；设计用途：营业。《国有土地使用权证》证号：广国用（2007）第14257号；土地使用权人：卢开玉；坐落：广汉市西湖路147号开发19幢底层27-30轴、二层23-30轴营业房；地类（用途）：城镇混合住宅用地（商业）；使用权类型：出让；终止日期：2051-3-2；使用权面积：24.08平方米；登记时间：2007年1月15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估价对象3：广汉市中山大道北三段35号中山小区8幢1-2层门市。委托人提供了《房屋所有权证》证号：房权证广权字第2958-2号。房屋所有权人：张义生。房屋坐落：中山大道北三段35号中山小区8幢1-2层门市；房屋总层数：6层，所在层数：1-2层；建筑面积：231.53平方米；房屋结构：框架；设计用途：营业。《国有土地使用权证》证号：广国用（2006）第12191号；土地使用权人：张义生；坐落：广汉市中山大道北三段35号中山小区8幢1-2层营业房；地类（用途）：城镇混合住宅用地（商业）；使用权类型：出让；终止日期：2041年9月15日；使用权面积：33.34平方米；登记时间：2006年7月4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估价对象4：广汉市东西大街西二段260号1幢商住楼。委托人提供了《房屋所有权证》证号：广房权证广汉市字第51609-1号。房屋所有权人：张义生，共有情况：单独所有。房屋坐落：东西大街西二段260号1幢；登记时间：2009年09月25日，规划用途：商住。建筑面积：2111.08平方米，房屋总层数：6层，所在楼层：1-6层（分别为商业、住宅）。《国有土地使用权证》证号：广国用（2009）第26820号；土地使用权人：张义生；坐落：广汉市东西大街西二段260号；地号：2-（6）-11；地类（用途）：城镇混合住宅用地；使用权类型：出让；终止日期：住宅2079-09-02，商业：2049-09-02；使用权面积：1050.80平方米；登记时间：2009-09-30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估价对象5：广汉市东西大街西二段商服用地土地使用权。委托人提供了《国有土地使用权证》证号：广国用（2011）第37691号。土地使用权人：张义生；宗地坐落：广汉市东西大街西二段；地号：5106810020060166000；地类用途：其他商服用地；使用权类型：出让；使用权面积：1258.30平方米；终止日期：2051年04月28日，截止价</w:t>
      </w:r>
      <w:bookmarkStart w:id="202" w:name="_GoBack"/>
      <w:bookmarkEnd w:id="202"/>
      <w:r>
        <w:rPr>
          <w:rFonts w:hint="eastAsia" w:ascii="仿宋" w:hAnsi="仿宋" w:eastAsia="仿宋" w:cs="仿宋"/>
          <w:sz w:val="28"/>
          <w:szCs w:val="28"/>
          <w:lang w:val="en-US" w:eastAsia="zh-CN"/>
        </w:rPr>
        <w:t>值时点，剩余土地使用权年期为31年，本次评估设定土地使用年期为31年。</w:t>
      </w:r>
      <w:r>
        <w:rPr>
          <w:rFonts w:hint="eastAsia" w:ascii="仿宋_GB2312" w:hAnsi="宋体" w:eastAsia="仿宋_GB2312"/>
          <w:sz w:val="28"/>
          <w:szCs w:val="28"/>
        </w:rPr>
        <w:t>在估价期日实际开发程度为宗地外“六通”（通上水、通下水、通电、通气、通讯、通路），宗地内“</w:t>
      </w:r>
      <w:r>
        <w:rPr>
          <w:rFonts w:hint="eastAsia" w:ascii="仿宋_GB2312" w:hAnsi="宋体" w:eastAsia="仿宋_GB2312"/>
          <w:sz w:val="28"/>
          <w:szCs w:val="28"/>
          <w:lang w:eastAsia="zh-CN"/>
        </w:rPr>
        <w:t>场平</w:t>
      </w:r>
      <w:r>
        <w:rPr>
          <w:rFonts w:hint="eastAsia" w:ascii="仿宋_GB2312" w:hAnsi="宋体" w:eastAsia="仿宋_GB2312"/>
          <w:sz w:val="28"/>
          <w:szCs w:val="28"/>
        </w:rPr>
        <w:t>”（场地平整），此次评估我们设定土地开发程度为宗地外“六通”，宗地内“</w:t>
      </w:r>
      <w:r>
        <w:rPr>
          <w:rFonts w:hint="eastAsia" w:ascii="仿宋_GB2312" w:hAnsi="宋体" w:eastAsia="仿宋_GB2312"/>
          <w:sz w:val="28"/>
          <w:szCs w:val="28"/>
          <w:lang w:eastAsia="zh-CN"/>
        </w:rPr>
        <w:t>场平</w:t>
      </w:r>
      <w:r>
        <w:rPr>
          <w:rFonts w:hint="eastAsia" w:ascii="仿宋_GB2312" w:hAnsi="宋体" w:eastAsia="仿宋_GB2312"/>
          <w:sz w:val="28"/>
          <w:szCs w:val="28"/>
        </w:rPr>
        <w:t>”（场地平整）</w:t>
      </w:r>
      <w:r>
        <w:rPr>
          <w:rFonts w:hint="eastAsia" w:ascii="仿宋_GB2312" w:hAnsi="宋体" w:eastAsia="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color w:val="auto"/>
          <w:sz w:val="28"/>
          <w:szCs w:val="28"/>
          <w:lang w:val="en-US" w:eastAsia="zh-CN"/>
        </w:rPr>
        <w:t>估价对象一览表详见如下：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28"/>
          <w:szCs w:val="28"/>
          <w:lang w:val="en-US" w:eastAsia="zh-CN"/>
        </w:rPr>
        <w:sectPr>
          <w:headerReference r:id="rId4" w:type="first"/>
          <w:footerReference r:id="rId6" w:type="first"/>
          <w:headerReference r:id="rId3" w:type="default"/>
          <w:footerReference r:id="rId5" w:type="default"/>
          <w:pgSz w:w="11906" w:h="16838"/>
          <w:pgMar w:top="1417" w:right="1417" w:bottom="1417" w:left="1701" w:header="851" w:footer="646" w:gutter="0"/>
          <w:pgNumType w:fmt="decimal"/>
          <w:cols w:space="720" w:num="1"/>
          <w:titlePg/>
          <w:rtlGutter w:val="0"/>
          <w:docGrid w:linePitch="312" w:charSpace="0"/>
        </w:sectPr>
      </w:pPr>
    </w:p>
    <w:tbl>
      <w:tblPr>
        <w:tblStyle w:val="9"/>
        <w:tblW w:w="5000" w:type="pct"/>
        <w:tblInd w:w="0" w:type="dxa"/>
        <w:shd w:val="clear" w:color="auto" w:fill="auto"/>
        <w:tblLayout w:type="autofit"/>
        <w:tblCellMar>
          <w:top w:w="0" w:type="dxa"/>
          <w:left w:w="0" w:type="dxa"/>
          <w:bottom w:w="0" w:type="dxa"/>
          <w:right w:w="0" w:type="dxa"/>
        </w:tblCellMar>
      </w:tblPr>
      <w:tblGrid>
        <w:gridCol w:w="510"/>
        <w:gridCol w:w="510"/>
        <w:gridCol w:w="2001"/>
        <w:gridCol w:w="1016"/>
        <w:gridCol w:w="350"/>
        <w:gridCol w:w="350"/>
        <w:gridCol w:w="350"/>
        <w:gridCol w:w="390"/>
        <w:gridCol w:w="365"/>
        <w:gridCol w:w="734"/>
        <w:gridCol w:w="670"/>
        <w:gridCol w:w="1017"/>
        <w:gridCol w:w="797"/>
        <w:gridCol w:w="1770"/>
        <w:gridCol w:w="823"/>
        <w:gridCol w:w="485"/>
        <w:gridCol w:w="1100"/>
        <w:gridCol w:w="722"/>
        <w:gridCol w:w="350"/>
      </w:tblGrid>
      <w:tr>
        <w:tblPrEx>
          <w:shd w:val="clear" w:color="auto" w:fill="auto"/>
          <w:tblCellMar>
            <w:top w:w="0" w:type="dxa"/>
            <w:left w:w="0" w:type="dxa"/>
            <w:bottom w:w="0" w:type="dxa"/>
            <w:right w:w="0" w:type="dxa"/>
          </w:tblCellMar>
        </w:tblPrEx>
        <w:trPr>
          <w:trHeight w:val="1080" w:hRule="atLeast"/>
        </w:trPr>
        <w:tc>
          <w:tcPr>
            <w:tcW w:w="5000" w:type="pct"/>
            <w:gridSpan w:val="1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房地产估价对象一览表</w:t>
            </w:r>
          </w:p>
        </w:tc>
      </w:tr>
      <w:tr>
        <w:tblPrEx>
          <w:shd w:val="clear" w:color="auto" w:fill="auto"/>
          <w:tblCellMar>
            <w:top w:w="0" w:type="dxa"/>
            <w:left w:w="0" w:type="dxa"/>
            <w:bottom w:w="0" w:type="dxa"/>
            <w:right w:w="0" w:type="dxa"/>
          </w:tblCellMar>
        </w:tblPrEx>
        <w:trPr>
          <w:trHeight w:val="70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产权人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坐落</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房屋所有权证号</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幢号</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房号</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结构</w:t>
            </w:r>
          </w:p>
        </w:tc>
        <w:tc>
          <w:tcPr>
            <w:tcW w:w="1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房屋总层数</w:t>
            </w:r>
          </w:p>
        </w:tc>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所在层数</w:t>
            </w:r>
          </w:p>
        </w:tc>
        <w:tc>
          <w:tcPr>
            <w:tcW w:w="2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建筑面积（</w:t>
            </w:r>
            <w:r>
              <w:rPr>
                <w:rFonts w:ascii="宋体" w:hAnsi="宋体" w:eastAsia="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设计用途</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土地证号</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土地使用权人</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坐落</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地类用途</w:t>
            </w:r>
          </w:p>
        </w:tc>
        <w:tc>
          <w:tcPr>
            <w:tcW w:w="1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使用权类型</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终止日期</w:t>
            </w: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使用权面积（</w:t>
            </w:r>
            <w:r>
              <w:rPr>
                <w:rFonts w:ascii="宋体" w:hAnsi="宋体" w:eastAsia="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w:t>
            </w:r>
          </w:p>
        </w:tc>
        <w:tc>
          <w:tcPr>
            <w:tcW w:w="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备注</w:t>
            </w:r>
          </w:p>
        </w:tc>
      </w:tr>
      <w:tr>
        <w:tblPrEx>
          <w:shd w:val="clear" w:color="auto" w:fill="auto"/>
          <w:tblCellMar>
            <w:top w:w="0" w:type="dxa"/>
            <w:left w:w="0" w:type="dxa"/>
            <w:bottom w:w="0" w:type="dxa"/>
            <w:right w:w="0" w:type="dxa"/>
          </w:tblCellMar>
        </w:tblPrEx>
        <w:trPr>
          <w:trHeight w:val="70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卢开玉</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西湖路145号开发19幢23-27轴底层门市</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房权证广权字第9575-2号</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52.1</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营业</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广国用（2007）第14258号</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卢开玉</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广汉市西湖路145号开发19幢23-27轴底层营业房</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城镇混合住宅用地（商业）</w:t>
            </w:r>
          </w:p>
        </w:tc>
        <w:tc>
          <w:tcPr>
            <w:tcW w:w="1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2051/3/2</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10.68</w:t>
            </w:r>
          </w:p>
        </w:tc>
        <w:tc>
          <w:tcPr>
            <w:tcW w:w="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700" w:hRule="atLeast"/>
        </w:trPr>
        <w:tc>
          <w:tcPr>
            <w:tcW w:w="16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6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卢开玉</w:t>
            </w:r>
          </w:p>
        </w:tc>
        <w:tc>
          <w:tcPr>
            <w:tcW w:w="70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西湖路147号开发19幢底层27-30轴、二层23-30轴门市</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房权证广权字第8020-3号</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26.07</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营业</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广国用（2007）第14257号</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卢开玉</w:t>
            </w: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广汉市西湖路147号开发19幢底层27-30轴、二层23-30轴营业用房</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城镇混合住宅用地（商业）</w:t>
            </w:r>
          </w:p>
        </w:tc>
        <w:tc>
          <w:tcPr>
            <w:tcW w:w="17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2051/3/2</w:t>
            </w:r>
          </w:p>
        </w:tc>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24.08</w:t>
            </w:r>
          </w:p>
        </w:tc>
        <w:tc>
          <w:tcPr>
            <w:tcW w:w="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700" w:hRule="atLeast"/>
        </w:trPr>
        <w:tc>
          <w:tcPr>
            <w:tcW w:w="16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91.46</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营业</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7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70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中山大道北三段35号中山小区8幢1-2层门市</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房权证广权字第2958-2号</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231.53</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营业</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广国用（2006）第12191号</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广汉市中山大道北三段35号中山小区8幢1-2层营业用房</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城镇混合住宅用地（商业）</w:t>
            </w:r>
          </w:p>
        </w:tc>
        <w:tc>
          <w:tcPr>
            <w:tcW w:w="1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2041/9/15</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33.34</w:t>
            </w:r>
          </w:p>
        </w:tc>
        <w:tc>
          <w:tcPr>
            <w:tcW w:w="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70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东西大街西二段260号1幢</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广房权证广汉市字第51609-1号</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2111.08</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商住</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广国用（2007）第26820号</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广汉市东西大街西二段260号</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城镇混合住宅用地</w:t>
            </w:r>
          </w:p>
        </w:tc>
        <w:tc>
          <w:tcPr>
            <w:tcW w:w="1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住宅：2079-9-2商业：2049-9-2</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1050.80</w:t>
            </w:r>
          </w:p>
        </w:tc>
        <w:tc>
          <w:tcPr>
            <w:tcW w:w="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70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广国用（2011）第37691号</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广汉市东西大街西二段</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其他商服用地</w:t>
            </w:r>
          </w:p>
        </w:tc>
        <w:tc>
          <w:tcPr>
            <w:tcW w:w="1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2051/4/28</w:t>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1258.30</w:t>
            </w:r>
          </w:p>
        </w:tc>
        <w:tc>
          <w:tcPr>
            <w:tcW w:w="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70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2512.24</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sectPr>
          <w:pgSz w:w="16838" w:h="11906" w:orient="landscape"/>
          <w:pgMar w:top="1701" w:right="1341" w:bottom="737" w:left="1217" w:header="851" w:footer="646" w:gutter="0"/>
          <w:pgNumType w:fmt="decimal"/>
          <w:cols w:space="720" w:num="1"/>
          <w:titlePg/>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2" w:firstLineChars="200"/>
        <w:jc w:val="both"/>
        <w:textAlignment w:val="auto"/>
        <w:outlineLvl w:val="9"/>
        <w:rPr>
          <w:rFonts w:hint="eastAsia" w:ascii="仿宋" w:hAnsi="仿宋" w:eastAsia="仿宋" w:cs="仿宋"/>
          <w:color w:val="auto"/>
          <w:sz w:val="28"/>
          <w:szCs w:val="28"/>
          <w:lang w:eastAsia="zh-CN"/>
        </w:rPr>
      </w:pPr>
      <w:r>
        <w:rPr>
          <w:rFonts w:hint="eastAsia" w:ascii="仿宋" w:hAnsi="仿宋" w:eastAsia="仿宋" w:cs="仿宋"/>
          <w:b/>
          <w:bCs/>
          <w:sz w:val="28"/>
          <w:szCs w:val="28"/>
          <w:lang w:eastAsia="zh-CN"/>
        </w:rPr>
        <w:t>价值时点</w:t>
      </w:r>
      <w:r>
        <w:rPr>
          <w:rFonts w:hint="eastAsia" w:ascii="仿宋" w:hAnsi="仿宋" w:eastAsia="仿宋" w:cs="仿宋"/>
          <w:sz w:val="28"/>
          <w:szCs w:val="28"/>
          <w:lang w:eastAsia="zh-CN"/>
        </w:rPr>
        <w:t>：</w:t>
      </w:r>
      <w:r>
        <w:rPr>
          <w:rFonts w:hint="eastAsia" w:ascii="仿宋" w:hAnsi="仿宋" w:eastAsia="仿宋" w:cs="仿宋"/>
          <w:color w:val="auto"/>
          <w:sz w:val="28"/>
          <w:szCs w:val="28"/>
          <w:lang w:eastAsia="zh-CN"/>
        </w:rPr>
        <w:t>2020年04月22日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lang w:eastAsia="zh-CN"/>
        </w:rPr>
        <w:t>价值类型</w:t>
      </w:r>
      <w:r>
        <w:rPr>
          <w:rFonts w:hint="eastAsia" w:ascii="仿宋" w:hAnsi="仿宋" w:eastAsia="仿宋" w:cs="仿宋"/>
          <w:sz w:val="28"/>
          <w:szCs w:val="28"/>
          <w:lang w:eastAsia="zh-CN"/>
        </w:rPr>
        <w:t>：本次评估的价值类型为房地产市场价值，房地产市场价值是指对估价对象在现状用途、状态不变，在</w:t>
      </w:r>
      <w:r>
        <w:rPr>
          <w:rFonts w:hint="eastAsia" w:ascii="仿宋" w:hAnsi="仿宋" w:eastAsia="仿宋" w:cs="仿宋"/>
          <w:color w:val="auto"/>
          <w:sz w:val="28"/>
          <w:szCs w:val="28"/>
          <w:lang w:eastAsia="zh-CN"/>
        </w:rPr>
        <w:t>2020年04月22日</w:t>
      </w:r>
      <w:r>
        <w:rPr>
          <w:rFonts w:hint="eastAsia" w:ascii="仿宋" w:hAnsi="仿宋" w:eastAsia="仿宋" w:cs="仿宋"/>
          <w:sz w:val="28"/>
          <w:szCs w:val="28"/>
          <w:lang w:eastAsia="zh-CN"/>
        </w:rPr>
        <w:t>房屋及其占用范围内的土地使用权在正常交易情况下市场价值，即由熟悉情况的交易双方以公平交易方式在评估时点自愿进行交易的金额。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本报告确定的价格为交易双方按相关法规的规定负担各自应负担税费下的价格。本报告估价结果未考虑未来市场变化风险、短期强制处分等因素对其价格的影响。根据估价目的需要，本次估价考虑了满足估价对象使用功能且无法从建筑物主体剥离的附属设施对估价结论的影响，但不包含估价对象室内动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both"/>
        <w:textAlignment w:val="auto"/>
        <w:outlineLvl w:val="9"/>
        <w:rPr>
          <w:rFonts w:hint="default" w:ascii="仿宋" w:hAnsi="仿宋" w:eastAsia="仿宋" w:cs="仿宋"/>
          <w:b/>
          <w:bCs/>
          <w:color w:val="auto"/>
          <w:sz w:val="28"/>
          <w:szCs w:val="28"/>
          <w:lang w:val="en-US" w:eastAsia="zh-CN"/>
        </w:rPr>
      </w:pPr>
      <w:r>
        <w:rPr>
          <w:rFonts w:hint="eastAsia" w:ascii="仿宋" w:hAnsi="仿宋" w:eastAsia="仿宋" w:cs="仿宋"/>
          <w:b/>
          <w:bCs/>
          <w:sz w:val="28"/>
          <w:szCs w:val="28"/>
          <w:lang w:eastAsia="zh-CN"/>
        </w:rPr>
        <w:t>估价方法：</w:t>
      </w:r>
      <w:r>
        <w:rPr>
          <w:rFonts w:hint="eastAsia" w:ascii="仿宋" w:hAnsi="仿宋" w:eastAsia="仿宋" w:cs="仿宋"/>
          <w:sz w:val="28"/>
          <w:szCs w:val="28"/>
          <w:lang w:val="en-US" w:eastAsia="zh-CN"/>
        </w:rPr>
        <w:t>收益法、比较法等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2"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28"/>
          <w:szCs w:val="28"/>
          <w:lang w:eastAsia="zh-CN"/>
        </w:rPr>
        <w:t>估价结果</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本估价机构根据估价目的，遵循估价原则，按照估价程序，采用收益法、比较法等进行估价，在认真分析现有资料及影响房地产市场价值因素的基础上，经过测算，确定</w:t>
      </w:r>
      <w:r>
        <w:rPr>
          <w:rFonts w:hint="eastAsia" w:ascii="仿宋" w:hAnsi="仿宋" w:eastAsia="仿宋" w:cs="仿宋"/>
          <w:sz w:val="28"/>
          <w:szCs w:val="28"/>
        </w:rPr>
        <w:t>估价对象</w:t>
      </w:r>
      <w:r>
        <w:rPr>
          <w:rFonts w:hint="eastAsia" w:ascii="仿宋" w:hAnsi="仿宋" w:eastAsia="仿宋" w:cs="仿宋"/>
          <w:sz w:val="28"/>
          <w:szCs w:val="28"/>
          <w:lang w:val="en-US" w:eastAsia="zh-CN"/>
        </w:rPr>
        <w:t>在</w:t>
      </w:r>
      <w:r>
        <w:rPr>
          <w:rFonts w:hint="eastAsia" w:ascii="仿宋" w:hAnsi="仿宋" w:eastAsia="仿宋" w:cs="仿宋"/>
          <w:sz w:val="28"/>
          <w:szCs w:val="28"/>
          <w:lang w:eastAsia="zh-CN"/>
        </w:rPr>
        <w:t>满足本</w:t>
      </w:r>
      <w:r>
        <w:rPr>
          <w:rFonts w:hint="eastAsia" w:ascii="仿宋" w:hAnsi="仿宋" w:eastAsia="仿宋" w:cs="仿宋"/>
          <w:sz w:val="28"/>
          <w:szCs w:val="28"/>
          <w:lang w:val="en-US" w:eastAsia="zh-CN"/>
        </w:rPr>
        <w:t>估价</w:t>
      </w:r>
      <w:r>
        <w:rPr>
          <w:rFonts w:hint="eastAsia" w:ascii="仿宋" w:hAnsi="仿宋" w:eastAsia="仿宋" w:cs="仿宋"/>
          <w:sz w:val="28"/>
          <w:szCs w:val="28"/>
          <w:lang w:eastAsia="zh-CN"/>
        </w:rPr>
        <w:t>报告所述价值定义及“估价假设和限制条件”</w:t>
      </w:r>
      <w:r>
        <w:rPr>
          <w:rFonts w:hint="eastAsia" w:ascii="仿宋" w:hAnsi="仿宋" w:eastAsia="仿宋" w:cs="仿宋"/>
          <w:sz w:val="28"/>
          <w:szCs w:val="28"/>
          <w:lang w:val="en-US" w:eastAsia="zh-CN"/>
        </w:rPr>
        <w:t>下，在价值时点的房地产市场状况及现有用途继续使用前提下的</w:t>
      </w:r>
      <w:r>
        <w:rPr>
          <w:rFonts w:hint="eastAsia" w:ascii="仿宋" w:hAnsi="仿宋" w:eastAsia="仿宋" w:cs="仿宋"/>
          <w:sz w:val="28"/>
          <w:szCs w:val="28"/>
          <w:lang w:eastAsia="zh-CN"/>
        </w:rPr>
        <w:t>市场价值</w:t>
      </w:r>
      <w:r>
        <w:rPr>
          <w:rFonts w:hint="eastAsia" w:ascii="仿宋" w:hAnsi="仿宋" w:eastAsia="仿宋" w:cs="仿宋"/>
          <w:sz w:val="28"/>
          <w:szCs w:val="28"/>
          <w:lang w:val="en-US" w:eastAsia="zh-CN"/>
        </w:rPr>
        <w:t>为</w:t>
      </w:r>
      <w:r>
        <w:rPr>
          <w:rFonts w:hint="eastAsia" w:ascii="仿宋" w:hAnsi="仿宋" w:eastAsia="仿宋" w:cs="仿宋"/>
          <w:sz w:val="28"/>
          <w:szCs w:val="28"/>
          <w:lang w:eastAsia="zh-CN"/>
        </w:rPr>
        <w:t>人民币大写：</w:t>
      </w:r>
      <w:r>
        <w:rPr>
          <w:rFonts w:hint="eastAsia" w:ascii="仿宋" w:hAnsi="仿宋" w:eastAsia="仿宋" w:cs="仿宋"/>
          <w:b/>
          <w:bCs/>
          <w:strike w:val="0"/>
          <w:dstrike w:val="0"/>
          <w:color w:val="auto"/>
          <w:sz w:val="28"/>
          <w:szCs w:val="28"/>
          <w:lang w:val="en-US" w:eastAsia="zh-CN"/>
        </w:rPr>
        <w:t>贰仟贰佰伍拾贰万肆仟贰佰元整（小写：￥2252.42万元）</w:t>
      </w:r>
      <w:r>
        <w:rPr>
          <w:rFonts w:hint="eastAsia" w:ascii="仿宋" w:hAnsi="仿宋" w:eastAsia="仿宋" w:cs="仿宋"/>
          <w:sz w:val="28"/>
          <w:szCs w:val="28"/>
          <w:lang w:val="en-US" w:eastAsia="zh-CN"/>
        </w:rPr>
        <w:t>。估</w:t>
      </w:r>
      <w:r>
        <w:rPr>
          <w:rFonts w:hint="eastAsia" w:ascii="仿宋" w:hAnsi="仿宋" w:eastAsia="仿宋" w:cs="仿宋"/>
          <w:color w:val="000000"/>
          <w:sz w:val="28"/>
          <w:szCs w:val="28"/>
          <w:lang w:val="en-US" w:eastAsia="zh-CN"/>
        </w:rPr>
        <w:t>价结果保留小数点后两位，估价结果一览表详见如下：</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both"/>
        <w:textAlignment w:val="auto"/>
        <w:outlineLvl w:val="9"/>
        <w:rPr>
          <w:rFonts w:hint="eastAsia" w:ascii="仿宋" w:hAnsi="仿宋" w:eastAsia="仿宋" w:cs="仿宋"/>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both"/>
        <w:textAlignment w:val="auto"/>
        <w:outlineLvl w:val="9"/>
        <w:rPr>
          <w:rFonts w:hint="eastAsia" w:ascii="仿宋" w:hAnsi="仿宋" w:eastAsia="仿宋" w:cs="仿宋"/>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both"/>
        <w:textAlignment w:val="auto"/>
        <w:outlineLvl w:val="9"/>
        <w:rPr>
          <w:rFonts w:hint="eastAsia" w:ascii="仿宋" w:hAnsi="仿宋" w:eastAsia="仿宋" w:cs="仿宋"/>
          <w:b/>
          <w:bCs/>
          <w:sz w:val="28"/>
          <w:szCs w:val="28"/>
          <w:lang w:eastAsia="zh-CN"/>
        </w:rPr>
        <w:sectPr>
          <w:pgSz w:w="11906" w:h="16838"/>
          <w:pgMar w:top="1417" w:right="1417" w:bottom="1417" w:left="1701" w:header="851" w:footer="646" w:gutter="0"/>
          <w:pgNumType w:fmt="decimal"/>
          <w:cols w:space="720" w:num="1"/>
          <w:titlePg/>
          <w:rtlGutter w:val="0"/>
          <w:docGrid w:linePitch="312" w:charSpace="0"/>
        </w:sectPr>
      </w:pPr>
    </w:p>
    <w:tbl>
      <w:tblPr>
        <w:tblStyle w:val="9"/>
        <w:tblW w:w="5000" w:type="pct"/>
        <w:tblInd w:w="0" w:type="dxa"/>
        <w:shd w:val="clear" w:color="auto" w:fill="auto"/>
        <w:tblLayout w:type="autofit"/>
        <w:tblCellMar>
          <w:top w:w="0" w:type="dxa"/>
          <w:left w:w="0" w:type="dxa"/>
          <w:bottom w:w="0" w:type="dxa"/>
          <w:right w:w="0" w:type="dxa"/>
        </w:tblCellMar>
      </w:tblPr>
      <w:tblGrid>
        <w:gridCol w:w="510"/>
        <w:gridCol w:w="510"/>
        <w:gridCol w:w="1950"/>
        <w:gridCol w:w="798"/>
        <w:gridCol w:w="350"/>
        <w:gridCol w:w="350"/>
        <w:gridCol w:w="350"/>
        <w:gridCol w:w="332"/>
        <w:gridCol w:w="321"/>
        <w:gridCol w:w="590"/>
        <w:gridCol w:w="670"/>
        <w:gridCol w:w="844"/>
        <w:gridCol w:w="532"/>
        <w:gridCol w:w="1671"/>
        <w:gridCol w:w="616"/>
        <w:gridCol w:w="414"/>
        <w:gridCol w:w="821"/>
        <w:gridCol w:w="633"/>
        <w:gridCol w:w="768"/>
        <w:gridCol w:w="653"/>
        <w:gridCol w:w="351"/>
      </w:tblGrid>
      <w:tr>
        <w:tblPrEx>
          <w:tblCellMar>
            <w:top w:w="0" w:type="dxa"/>
            <w:left w:w="0" w:type="dxa"/>
            <w:bottom w:w="0" w:type="dxa"/>
            <w:right w:w="0" w:type="dxa"/>
          </w:tblCellMar>
        </w:tblPrEx>
        <w:trPr>
          <w:trHeight w:val="1440" w:hRule="atLeast"/>
        </w:trPr>
        <w:tc>
          <w:tcPr>
            <w:tcW w:w="5000" w:type="pct"/>
            <w:gridSpan w:val="2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房地产估价结果一览表</w:t>
            </w:r>
          </w:p>
        </w:tc>
      </w:tr>
      <w:tr>
        <w:tblPrEx>
          <w:shd w:val="clear" w:color="auto" w:fill="auto"/>
          <w:tblCellMar>
            <w:top w:w="0" w:type="dxa"/>
            <w:left w:w="0" w:type="dxa"/>
            <w:bottom w:w="0" w:type="dxa"/>
            <w:right w:w="0" w:type="dxa"/>
          </w:tblCellMar>
        </w:tblPrEx>
        <w:trPr>
          <w:trHeight w:val="92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产权人</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坐落</w:t>
            </w:r>
          </w:p>
        </w:tc>
        <w:tc>
          <w:tcPr>
            <w:tcW w:w="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房屋所有权证号</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幢号</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房号</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结构</w:t>
            </w:r>
          </w:p>
        </w:tc>
        <w:tc>
          <w:tcPr>
            <w:tcW w:w="1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房屋总层数</w:t>
            </w:r>
          </w:p>
        </w:tc>
        <w:tc>
          <w:tcPr>
            <w:tcW w:w="1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所在层数</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建筑面积（</w:t>
            </w:r>
            <w:r>
              <w:rPr>
                <w:rFonts w:ascii="宋体" w:hAnsi="宋体" w:eastAsia="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设计用途</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土地证号</w:t>
            </w: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土地使用权人</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坐落</w:t>
            </w:r>
          </w:p>
        </w:tc>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地类用途</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使用权类型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终止日期</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使用权面积（</w:t>
            </w:r>
            <w:r>
              <w:rPr>
                <w:rFonts w:ascii="宋体" w:hAnsi="宋体" w:eastAsia="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评估单价（元/</w:t>
            </w:r>
            <w:r>
              <w:rPr>
                <w:rFonts w:ascii="宋体" w:hAnsi="宋体" w:eastAsia="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评估总价（万元）</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备注</w:t>
            </w:r>
          </w:p>
        </w:tc>
      </w:tr>
      <w:tr>
        <w:tblPrEx>
          <w:shd w:val="clear" w:color="auto" w:fill="auto"/>
          <w:tblCellMar>
            <w:top w:w="0" w:type="dxa"/>
            <w:left w:w="0" w:type="dxa"/>
            <w:bottom w:w="0" w:type="dxa"/>
            <w:right w:w="0" w:type="dxa"/>
          </w:tblCellMar>
        </w:tblPrEx>
        <w:trPr>
          <w:trHeight w:val="60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卢开玉</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西湖路145号开发19幢23-27轴底层门市</w:t>
            </w:r>
          </w:p>
        </w:tc>
        <w:tc>
          <w:tcPr>
            <w:tcW w:w="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房权证广权字第9575-2号</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52.1</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营业</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广国用（2007）第14258号</w:t>
            </w: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卢开玉</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广汉市西湖路145号开发19幢23-27轴底层营业房</w:t>
            </w:r>
          </w:p>
        </w:tc>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城镇混合住宅用地（商业）</w:t>
            </w:r>
          </w:p>
        </w:tc>
        <w:tc>
          <w:tcPr>
            <w:tcW w:w="1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2051/3/2</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10.68</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18820.00</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98.05</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00" w:hRule="atLeast"/>
        </w:trPr>
        <w:tc>
          <w:tcPr>
            <w:tcW w:w="15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5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卢开玉</w:t>
            </w:r>
          </w:p>
        </w:tc>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西湖路147号开发19幢底层27-30轴、二层23-30轴门市</w:t>
            </w:r>
          </w:p>
        </w:tc>
        <w:tc>
          <w:tcPr>
            <w:tcW w:w="30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房权证广权字第8020-3号</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26.07</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营业</w:t>
            </w:r>
          </w:p>
        </w:tc>
        <w:tc>
          <w:tcPr>
            <w:tcW w:w="32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广国用（2007）第14257号</w:t>
            </w:r>
          </w:p>
        </w:tc>
        <w:tc>
          <w:tcPr>
            <w:tcW w:w="2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卢开玉</w:t>
            </w:r>
          </w:p>
        </w:tc>
        <w:tc>
          <w:tcPr>
            <w:tcW w:w="61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广汉市西湖路147号开发19幢底层27-30轴、二层23-30轴营业用房</w:t>
            </w:r>
          </w:p>
        </w:tc>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城镇混合住宅用地（商业）</w:t>
            </w:r>
          </w:p>
        </w:tc>
        <w:tc>
          <w:tcPr>
            <w:tcW w:w="16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2051/3/2</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24.08</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18820.00</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49.06</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00" w:hRule="atLeast"/>
        </w:trPr>
        <w:tc>
          <w:tcPr>
            <w:tcW w:w="15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91.46</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营业</w:t>
            </w:r>
          </w:p>
        </w:tc>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6500.00</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59.45</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0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中山大道北三段35号中山小区8幢1-2层门市</w:t>
            </w:r>
          </w:p>
        </w:tc>
        <w:tc>
          <w:tcPr>
            <w:tcW w:w="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房权证广权字第2958-2号</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231.53</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营业</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广国用（2006）第12191号</w:t>
            </w: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广汉市中山大道北三段35号中山小区8幢1-2层营业用房</w:t>
            </w:r>
          </w:p>
        </w:tc>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城镇混合住宅用地（商业）</w:t>
            </w:r>
          </w:p>
        </w:tc>
        <w:tc>
          <w:tcPr>
            <w:tcW w:w="1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2041/9/15</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33.34</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11540.00</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267.19</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0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东西大街西二段260号1幢</w:t>
            </w:r>
          </w:p>
        </w:tc>
        <w:tc>
          <w:tcPr>
            <w:tcW w:w="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广房权证广汉市字第51609-1号</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2111.08</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商住</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广国用（2007）第26820号</w:t>
            </w: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广汉市东西大街西二段260号</w:t>
            </w:r>
          </w:p>
        </w:tc>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城镇混合住宅用地</w:t>
            </w:r>
          </w:p>
        </w:tc>
        <w:tc>
          <w:tcPr>
            <w:tcW w:w="1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住宅：2079-9-2商业：2049-9-2</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1050.80</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6800.00</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1435.53</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0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广国用（2011）第37691号</w:t>
            </w:r>
          </w:p>
        </w:tc>
        <w:tc>
          <w:tcPr>
            <w:tcW w:w="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广汉市东西大街西二段</w:t>
            </w:r>
          </w:p>
        </w:tc>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其他商服用地</w:t>
            </w:r>
          </w:p>
        </w:tc>
        <w:tc>
          <w:tcPr>
            <w:tcW w:w="1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2051/4/28</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1258.30</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2727.00</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343.14</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0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2512.24</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2252.42</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b/>
          <w:bCs/>
          <w:sz w:val="28"/>
          <w:szCs w:val="28"/>
          <w:lang w:eastAsia="zh-CN"/>
        </w:rPr>
        <w:sectPr>
          <w:pgSz w:w="16838" w:h="11906" w:orient="landscape"/>
          <w:pgMar w:top="1701" w:right="1417" w:bottom="1417" w:left="1417" w:header="851" w:footer="646" w:gutter="0"/>
          <w:pgNumType w:fmt="decimal"/>
          <w:cols w:space="720" w:num="1"/>
          <w:titlePg/>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both"/>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特别提示：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jc w:val="both"/>
        <w:textAlignment w:val="auto"/>
        <w:outlineLvl w:val="9"/>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lang w:eastAsia="zh-CN"/>
        </w:rPr>
        <w:t>本估价报告仅供估价委托人用于</w:t>
      </w:r>
      <w:r>
        <w:rPr>
          <w:rFonts w:hint="eastAsia" w:ascii="仿宋_GB2312" w:hAnsi="Arial Narrow" w:eastAsia="仿宋_GB2312"/>
          <w:sz w:val="28"/>
          <w:szCs w:val="32"/>
          <w:lang w:val="en-US" w:eastAsia="zh-CN"/>
        </w:rPr>
        <w:t>确定财产处置参考价</w:t>
      </w:r>
      <w:r>
        <w:rPr>
          <w:rFonts w:hint="eastAsia" w:ascii="仿宋" w:hAnsi="仿宋" w:eastAsia="仿宋" w:cs="仿宋"/>
          <w:b w:val="0"/>
          <w:bCs w:val="0"/>
          <w:sz w:val="28"/>
          <w:szCs w:val="28"/>
          <w:lang w:eastAsia="zh-CN"/>
        </w:rPr>
        <w:t>使用，使用期限有效期为壹年，自</w:t>
      </w:r>
      <w:r>
        <w:rPr>
          <w:rFonts w:hint="eastAsia" w:ascii="仿宋" w:hAnsi="仿宋" w:eastAsia="仿宋" w:cs="仿宋"/>
          <w:b w:val="0"/>
          <w:bCs w:val="0"/>
          <w:sz w:val="28"/>
          <w:szCs w:val="28"/>
          <w:lang w:val="en-US" w:eastAsia="zh-CN"/>
        </w:rPr>
        <w:t>2020年05月15日</w:t>
      </w:r>
      <w:r>
        <w:rPr>
          <w:rFonts w:hint="eastAsia" w:ascii="仿宋" w:hAnsi="仿宋" w:eastAsia="仿宋" w:cs="仿宋"/>
          <w:b w:val="0"/>
          <w:bCs w:val="0"/>
          <w:sz w:val="28"/>
          <w:szCs w:val="28"/>
          <w:lang w:eastAsia="zh-CN"/>
        </w:rPr>
        <w:t>起至</w:t>
      </w:r>
      <w:r>
        <w:rPr>
          <w:rFonts w:hint="eastAsia" w:ascii="仿宋" w:hAnsi="仿宋" w:eastAsia="仿宋" w:cs="仿宋"/>
          <w:b w:val="0"/>
          <w:bCs w:val="0"/>
          <w:sz w:val="28"/>
          <w:szCs w:val="28"/>
          <w:lang w:val="en-US" w:eastAsia="zh-CN"/>
        </w:rPr>
        <w:t>2021年05月14日</w:t>
      </w:r>
      <w:r>
        <w:rPr>
          <w:rFonts w:hint="eastAsia" w:ascii="仿宋" w:hAnsi="仿宋" w:eastAsia="仿宋" w:cs="仿宋"/>
          <w:b w:val="0"/>
          <w:bCs w:val="0"/>
          <w:sz w:val="28"/>
          <w:szCs w:val="28"/>
          <w:lang w:eastAsia="zh-CN"/>
        </w:rPr>
        <w:t>止，期满自动失效。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2"/>
        <w:jc w:val="both"/>
        <w:textAlignment w:val="auto"/>
        <w:outlineLvl w:val="9"/>
        <w:rPr>
          <w:rFonts w:hint="eastAsia" w:ascii="仿宋" w:hAnsi="仿宋" w:eastAsia="仿宋" w:cs="仿宋"/>
          <w:sz w:val="28"/>
          <w:szCs w:val="28"/>
          <w:lang w:eastAsia="zh-CN"/>
        </w:rPr>
      </w:pPr>
      <w:r>
        <w:rPr>
          <w:rFonts w:hint="eastAsia" w:ascii="仿宋" w:hAnsi="仿宋" w:eastAsia="仿宋" w:cs="仿宋"/>
          <w:b w:val="0"/>
          <w:bCs w:val="0"/>
          <w:sz w:val="28"/>
          <w:szCs w:val="28"/>
          <w:lang w:eastAsia="zh-CN"/>
        </w:rPr>
        <w:t>估价结果在满足“估价假设和限制条件”下成立，在有效期内如遇市场行情、法律权属及实体状况发生变化足以影响估价对象价值情况时，应重新评估。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2"/>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zh-CN"/>
        </w:rPr>
        <w:t>本估价报告若出现文字或数字因打印、校对及其他原因发生误差时，请估价委托人及时通知本估价机构更正，否则，误差部分无效。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2"/>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估价结果包括房屋及其房屋占用范围内的土地使用权价值及附属设施的价值。</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2"/>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估价对象应当符合国有土地上房屋</w:t>
      </w:r>
      <w:r>
        <w:rPr>
          <w:rFonts w:hint="eastAsia" w:ascii="仿宋" w:hAnsi="仿宋" w:eastAsia="仿宋" w:cs="仿宋"/>
          <w:sz w:val="28"/>
          <w:szCs w:val="28"/>
          <w:lang w:eastAsia="zh-CN"/>
        </w:rPr>
        <w:t>使用</w:t>
      </w:r>
      <w:r>
        <w:rPr>
          <w:rFonts w:hint="eastAsia" w:ascii="仿宋" w:hAnsi="仿宋" w:eastAsia="仿宋" w:cs="仿宋"/>
          <w:sz w:val="28"/>
          <w:szCs w:val="28"/>
        </w:rPr>
        <w:t>方面的相关规定；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2"/>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估价报告有效期内相关法规及政策，估价对象质量及价格标准或有关房地产方面的法规等发生变化，并对房地产评估结果产生明显影响时，委托方应及时聘请评估机构重新确定评估价或调整估价报告结果。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2"/>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本次估价结果未考虑国家宏观经济政策发生重大变化以及遇有自然力和其他不可抗力对估价结论的影响。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2"/>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本报告书由“致估价委托人函”、“注册房地产估价师声明”、“估价假设和限制条件”、“估价结果报告”和“附件”构成完整的估价报告。报告使用人应严格按照本估价报告全部完整地应用时有效。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2"/>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委托方对以上估价结果有异议，请在五日内向四川省信和房地产评估咨询有限公司书面提出。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62" w:leftChars="0" w:right="0" w:right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3150" w:leftChars="1500" w:right="0" w:rightChars="0" w:firstLine="1120" w:firstLineChars="4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四川省信和房地产评估咨询有限公司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040" w:firstLineChars="1800"/>
        <w:textAlignment w:val="auto"/>
        <w:outlineLvl w:val="9"/>
        <w:rPr>
          <w:rFonts w:hint="eastAsia" w:ascii="仿宋" w:hAnsi="仿宋" w:eastAsia="仿宋" w:cs="仿宋"/>
          <w:b/>
          <w:sz w:val="28"/>
          <w:szCs w:val="28"/>
        </w:rPr>
      </w:pPr>
      <w:r>
        <w:rPr>
          <w:rFonts w:hint="eastAsia" w:ascii="仿宋" w:hAnsi="仿宋" w:eastAsia="仿宋" w:cs="仿宋"/>
          <w:sz w:val="28"/>
          <w:szCs w:val="28"/>
          <w:lang w:eastAsia="zh-CN"/>
        </w:rPr>
        <w:t>二〇二〇年五月十五日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Arial" w:hAnsi="Arial" w:eastAsia="仿宋_GB2312" w:cs="Arial"/>
          <w:color w:val="FF0000"/>
          <w:sz w:val="28"/>
          <w:szCs w:val="28"/>
          <w:lang w:val="en-US" w:eastAsia="zh-CN"/>
        </w:rPr>
        <w:sectPr>
          <w:pgSz w:w="11906" w:h="16838"/>
          <w:pgMar w:top="1417" w:right="1417" w:bottom="1417" w:left="1701" w:header="851" w:footer="646" w:gutter="0"/>
          <w:pgNumType w:fmt="decimal"/>
          <w:cols w:space="720" w:num="1"/>
          <w:titlePg/>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黑体" w:hAnsi="Arial Narrow" w:eastAsia="黑体" w:cs="宋体"/>
          <w:b/>
          <w:bCs/>
          <w:caps/>
          <w:spacing w:val="2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exact"/>
        <w:ind w:right="0" w:rightChars="0" w:firstLine="3532" w:firstLineChars="1100"/>
        <w:textAlignment w:val="auto"/>
        <w:outlineLvl w:val="9"/>
        <w:rPr>
          <w:rFonts w:hint="eastAsia" w:ascii="黑体" w:hAnsi="Arial Narrow" w:eastAsia="黑体" w:cs="宋体"/>
          <w:b/>
          <w:bCs/>
          <w:caps/>
          <w:spacing w:val="20"/>
          <w:kern w:val="2"/>
          <w:sz w:val="28"/>
          <w:szCs w:val="28"/>
          <w:lang w:val="en-US" w:eastAsia="zh-CN" w:bidi="ar-SA"/>
        </w:rPr>
      </w:pPr>
      <w:r>
        <w:rPr>
          <w:rFonts w:hint="eastAsia" w:ascii="黑体" w:hAnsi="Arial Narrow" w:eastAsia="黑体" w:cs="宋体"/>
          <w:b/>
          <w:bCs/>
          <w:caps/>
          <w:spacing w:val="20"/>
          <w:kern w:val="2"/>
          <w:sz w:val="28"/>
          <w:szCs w:val="28"/>
          <w:lang w:val="en-US" w:eastAsia="zh-CN" w:bidi="ar-SA"/>
        </w:rPr>
        <w:t>目    录</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3596" w:firstLineChars="995"/>
        <w:textAlignment w:val="auto"/>
        <w:outlineLvl w:val="9"/>
        <w:rPr>
          <w:rFonts w:hint="eastAsia" w:ascii="仿宋_GB2312" w:hAnsi="宋体" w:eastAsia="仿宋_GB2312"/>
          <w:b/>
          <w:sz w:val="36"/>
          <w:szCs w:val="36"/>
        </w:rPr>
      </w:pPr>
    </w:p>
    <w:sdt>
      <w:sdtPr>
        <w:rPr>
          <w:rFonts w:ascii="宋体" w:hAnsi="宋体" w:eastAsia="宋体" w:cs="Times New Roman"/>
          <w:kern w:val="2"/>
          <w:sz w:val="21"/>
          <w:szCs w:val="24"/>
          <w:lang w:val="en-US" w:eastAsia="zh-CN" w:bidi="ar-SA"/>
        </w:rPr>
        <w:id w:val="147477767"/>
        <w15:color w:val="DBDBDB"/>
        <w:docPartObj>
          <w:docPartGallery w:val="Table of Contents"/>
          <w:docPartUnique/>
        </w:docPartObj>
      </w:sdtPr>
      <w:sdtEndPr>
        <w:rPr>
          <w:rFonts w:ascii="宋体" w:hAnsi="宋体"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r>
            <w:fldChar w:fldCharType="begin"/>
          </w:r>
          <w:r>
            <w:instrText xml:space="preserve">TOC \o "1-2" \h \u </w:instrText>
          </w:r>
          <w:r>
            <w:fldChar w:fldCharType="separate"/>
          </w:r>
        </w:p>
        <w:p>
          <w:pPr>
            <w:pStyle w:val="7"/>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eastAsia="宋体"/>
              <w:sz w:val="28"/>
              <w:szCs w:val="28"/>
              <w:lang w:val="en-US" w:eastAsia="zh-CN"/>
            </w:rPr>
          </w:pPr>
          <w:r>
            <w:rPr>
              <w:sz w:val="28"/>
              <w:szCs w:val="28"/>
            </w:rPr>
            <w:fldChar w:fldCharType="begin"/>
          </w:r>
          <w:r>
            <w:rPr>
              <w:sz w:val="28"/>
              <w:szCs w:val="28"/>
            </w:rPr>
            <w:instrText xml:space="preserve"> HYPERLINK \l _Toc31161 </w:instrText>
          </w:r>
          <w:r>
            <w:rPr>
              <w:sz w:val="28"/>
              <w:szCs w:val="28"/>
            </w:rPr>
            <w:fldChar w:fldCharType="separate"/>
          </w:r>
          <w:r>
            <w:rPr>
              <w:rFonts w:hint="eastAsia" w:ascii="黑体" w:hAnsi="Arial Narrow" w:eastAsia="黑体" w:cs="宋体"/>
              <w:spacing w:val="20"/>
              <w:sz w:val="28"/>
              <w:szCs w:val="28"/>
              <w:lang w:val="en-US" w:eastAsia="zh-CN"/>
            </w:rPr>
            <w:t>一、</w:t>
          </w:r>
          <w:r>
            <w:rPr>
              <w:rFonts w:hint="eastAsia" w:ascii="黑体" w:hAnsi="Arial Narrow" w:eastAsia="黑体" w:cs="宋体"/>
              <w:spacing w:val="20"/>
              <w:sz w:val="28"/>
              <w:szCs w:val="28"/>
            </w:rPr>
            <w:t>估价师声明</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0</w:t>
          </w:r>
        </w:p>
        <w:p>
          <w:pPr>
            <w:pStyle w:val="7"/>
            <w:keepNext w:val="0"/>
            <w:keepLines w:val="0"/>
            <w:pageBreakBefore w:val="0"/>
            <w:widowControl w:val="0"/>
            <w:tabs>
              <w:tab w:val="right" w:leader="dot" w:pos="8788"/>
            </w:tabs>
            <w:kinsoku/>
            <w:wordWrap/>
            <w:overflowPunct/>
            <w:topLinePunct w:val="0"/>
            <w:autoSpaceDE/>
            <w:autoSpaceDN/>
            <w:bidi w:val="0"/>
            <w:adjustRightInd/>
            <w:snapToGrid/>
            <w:spacing w:line="480" w:lineRule="auto"/>
            <w:textAlignment w:val="auto"/>
            <w:rPr>
              <w:rFonts w:hint="eastAsia" w:eastAsia="宋体"/>
              <w:sz w:val="28"/>
              <w:szCs w:val="28"/>
              <w:lang w:val="en-US" w:eastAsia="zh-CN"/>
            </w:rPr>
          </w:pPr>
          <w:r>
            <w:rPr>
              <w:sz w:val="28"/>
              <w:szCs w:val="28"/>
            </w:rPr>
            <w:fldChar w:fldCharType="begin"/>
          </w:r>
          <w:r>
            <w:rPr>
              <w:sz w:val="28"/>
              <w:szCs w:val="28"/>
            </w:rPr>
            <w:instrText xml:space="preserve"> HYPERLINK \l _Toc1903 </w:instrText>
          </w:r>
          <w:r>
            <w:rPr>
              <w:sz w:val="28"/>
              <w:szCs w:val="28"/>
            </w:rPr>
            <w:fldChar w:fldCharType="separate"/>
          </w:r>
          <w:r>
            <w:rPr>
              <w:rFonts w:hint="eastAsia" w:ascii="黑体" w:hAnsi="Arial Narrow" w:eastAsia="黑体" w:cs="宋体"/>
              <w:spacing w:val="20"/>
              <w:sz w:val="28"/>
              <w:szCs w:val="28"/>
              <w:lang w:val="en-US" w:eastAsia="zh-CN"/>
            </w:rPr>
            <w:t>二、</w:t>
          </w:r>
          <w:r>
            <w:rPr>
              <w:rFonts w:hint="eastAsia" w:ascii="黑体" w:hAnsi="Arial Narrow" w:eastAsia="黑体" w:cs="宋体"/>
              <w:spacing w:val="20"/>
              <w:sz w:val="28"/>
              <w:szCs w:val="28"/>
            </w:rPr>
            <w:t>估价的假设和限制条件</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1</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0" w:firstLineChars="0"/>
            <w:textAlignment w:val="auto"/>
            <w:rPr>
              <w:rFonts w:hint="default" w:ascii="Times New Roman" w:hAnsi="Times New Roman" w:eastAsia="宋体" w:cs="Times New Roman"/>
              <w:b/>
              <w:bCs/>
              <w:caps/>
              <w:kern w:val="2"/>
              <w:sz w:val="28"/>
              <w:szCs w:val="28"/>
              <w:lang w:val="en-US" w:eastAsia="zh-CN" w:bidi="ar-SA"/>
            </w:rPr>
          </w:pPr>
          <w:r>
            <w:rPr>
              <w:rFonts w:ascii="Times New Roman" w:hAnsi="Times New Roman" w:eastAsia="宋体" w:cs="Times New Roman"/>
              <w:b/>
              <w:bCs/>
              <w:caps/>
              <w:kern w:val="2"/>
              <w:sz w:val="28"/>
              <w:szCs w:val="28"/>
              <w:lang w:val="en-US" w:eastAsia="zh-CN" w:bidi="ar-SA"/>
            </w:rPr>
            <w:fldChar w:fldCharType="begin"/>
          </w:r>
          <w:r>
            <w:rPr>
              <w:rFonts w:ascii="Times New Roman" w:hAnsi="Times New Roman" w:eastAsia="宋体" w:cs="Times New Roman"/>
              <w:b/>
              <w:bCs/>
              <w:caps/>
              <w:kern w:val="2"/>
              <w:sz w:val="28"/>
              <w:szCs w:val="28"/>
              <w:lang w:val="en-US" w:eastAsia="zh-CN" w:bidi="ar-SA"/>
            </w:rPr>
            <w:instrText xml:space="preserve"> HYPERLINK \l _Toc29471 </w:instrText>
          </w:r>
          <w:r>
            <w:rPr>
              <w:rFonts w:ascii="Times New Roman" w:hAnsi="Times New Roman" w:eastAsia="宋体" w:cs="Times New Roman"/>
              <w:b/>
              <w:bCs/>
              <w:caps/>
              <w:kern w:val="2"/>
              <w:sz w:val="28"/>
              <w:szCs w:val="28"/>
              <w:lang w:val="en-US" w:eastAsia="zh-CN" w:bidi="ar-SA"/>
            </w:rPr>
            <w:fldChar w:fldCharType="separate"/>
          </w:r>
          <w:r>
            <w:rPr>
              <w:rFonts w:hint="eastAsia" w:ascii="Times New Roman" w:hAnsi="Times New Roman" w:eastAsia="宋体" w:cs="Times New Roman"/>
              <w:b/>
              <w:bCs/>
              <w:caps/>
              <w:kern w:val="2"/>
              <w:sz w:val="28"/>
              <w:szCs w:val="28"/>
              <w:lang w:val="en-US" w:eastAsia="zh-CN" w:bidi="ar-SA"/>
            </w:rPr>
            <w:t>三、</w:t>
          </w:r>
          <w:r>
            <w:rPr>
              <w:rFonts w:hint="eastAsia" w:ascii="黑体" w:hAnsi="黑体" w:eastAsia="黑体" w:cs="黑体"/>
              <w:b/>
              <w:bCs/>
              <w:caps/>
              <w:kern w:val="2"/>
              <w:sz w:val="28"/>
              <w:szCs w:val="28"/>
              <w:lang w:val="en-US" w:eastAsia="zh-CN" w:bidi="ar-SA"/>
            </w:rPr>
            <w:t>估价结果报告</w:t>
          </w:r>
          <w:r>
            <w:rPr>
              <w:rFonts w:ascii="Times New Roman" w:hAnsi="Times New Roman" w:eastAsia="宋体" w:cs="Times New Roman"/>
              <w:b/>
              <w:bCs/>
              <w:caps/>
              <w:kern w:val="2"/>
              <w:sz w:val="28"/>
              <w:szCs w:val="28"/>
              <w:lang w:val="en-US" w:eastAsia="zh-CN" w:bidi="ar-SA"/>
            </w:rPr>
            <w:tab/>
          </w:r>
          <w:r>
            <w:rPr>
              <w:rFonts w:hint="eastAsia" w:cs="Times New Roman"/>
              <w:b/>
              <w:bCs/>
              <w:caps/>
              <w:kern w:val="2"/>
              <w:sz w:val="28"/>
              <w:szCs w:val="28"/>
              <w:lang w:val="en-US" w:eastAsia="zh-CN" w:bidi="ar-SA"/>
            </w:rPr>
            <w:t>1</w:t>
          </w:r>
          <w:r>
            <w:rPr>
              <w:rFonts w:ascii="Times New Roman" w:hAnsi="Times New Roman" w:eastAsia="宋体" w:cs="Times New Roman"/>
              <w:b/>
              <w:bCs/>
              <w:caps/>
              <w:kern w:val="2"/>
              <w:sz w:val="28"/>
              <w:szCs w:val="28"/>
              <w:lang w:val="en-US" w:eastAsia="zh-CN" w:bidi="ar-SA"/>
            </w:rPr>
            <w:fldChar w:fldCharType="end"/>
          </w:r>
          <w:r>
            <w:rPr>
              <w:rFonts w:hint="eastAsia" w:cs="Times New Roman"/>
              <w:b/>
              <w:bCs/>
              <w:caps/>
              <w:kern w:val="2"/>
              <w:sz w:val="28"/>
              <w:szCs w:val="28"/>
              <w:lang w:val="en-US" w:eastAsia="zh-CN" w:bidi="ar-SA"/>
            </w:rPr>
            <w:t>5</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default"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_Toc31492 </w:instrText>
          </w:r>
          <w:r>
            <w:rPr>
              <w:rFonts w:hint="eastAsia" w:ascii="宋体" w:hAnsi="宋体" w:eastAsia="宋体" w:cs="宋体"/>
              <w:szCs w:val="28"/>
              <w:lang w:val="en-US" w:eastAsia="zh-CN"/>
            </w:rPr>
            <w:fldChar w:fldCharType="separate"/>
          </w:r>
          <w:r>
            <w:rPr>
              <w:rFonts w:hint="eastAsia" w:ascii="宋体" w:hAnsi="宋体" w:cs="宋体"/>
              <w:b/>
              <w:bCs/>
              <w:szCs w:val="28"/>
              <w:lang w:val="en-US" w:eastAsia="zh-CN"/>
            </w:rPr>
            <w:t>（</w:t>
          </w:r>
          <w:r>
            <w:rPr>
              <w:rFonts w:hint="eastAsia" w:ascii="宋体" w:hAnsi="宋体" w:eastAsia="宋体" w:cs="宋体"/>
              <w:b/>
              <w:bCs/>
              <w:szCs w:val="28"/>
              <w:lang w:val="en-US" w:eastAsia="zh-CN"/>
            </w:rPr>
            <w:t>一)、估价委托人</w:t>
          </w:r>
          <w:r>
            <w:rPr>
              <w:rFonts w:hint="eastAsia" w:ascii="宋体" w:hAnsi="宋体" w:eastAsia="宋体" w:cs="宋体"/>
              <w:szCs w:val="28"/>
              <w:lang w:val="en-US" w:eastAsia="zh-CN"/>
            </w:rPr>
            <w:tab/>
          </w:r>
          <w:r>
            <w:rPr>
              <w:rFonts w:hint="eastAsia" w:ascii="宋体" w:hAnsi="宋体" w:cs="宋体"/>
              <w:szCs w:val="28"/>
              <w:lang w:val="en-US" w:eastAsia="zh-CN"/>
            </w:rPr>
            <w:t>1</w:t>
          </w:r>
          <w:r>
            <w:rPr>
              <w:rFonts w:hint="eastAsia" w:ascii="宋体" w:hAnsi="宋体" w:eastAsia="宋体" w:cs="宋体"/>
              <w:szCs w:val="28"/>
              <w:lang w:val="en-US" w:eastAsia="zh-CN"/>
            </w:rPr>
            <w:fldChar w:fldCharType="end"/>
          </w:r>
          <w:r>
            <w:rPr>
              <w:rFonts w:hint="eastAsia" w:ascii="宋体" w:hAnsi="宋体" w:cs="宋体"/>
              <w:szCs w:val="28"/>
              <w:lang w:val="en-US" w:eastAsia="zh-CN"/>
            </w:rPr>
            <w:t>5</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default"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_Toc9765 </w:instrText>
          </w:r>
          <w:r>
            <w:rPr>
              <w:rFonts w:hint="eastAsia" w:ascii="宋体" w:hAnsi="宋体" w:eastAsia="宋体" w:cs="宋体"/>
              <w:szCs w:val="28"/>
              <w:lang w:val="en-US" w:eastAsia="zh-CN"/>
            </w:rPr>
            <w:fldChar w:fldCharType="separate"/>
          </w:r>
          <w:r>
            <w:rPr>
              <w:rFonts w:hint="eastAsia" w:ascii="宋体" w:hAnsi="宋体" w:cs="宋体"/>
              <w:b/>
              <w:bCs/>
              <w:szCs w:val="28"/>
              <w:lang w:val="en-US" w:eastAsia="zh-CN"/>
            </w:rPr>
            <w:t>（</w:t>
          </w:r>
          <w:r>
            <w:rPr>
              <w:rFonts w:hint="eastAsia" w:ascii="宋体" w:hAnsi="宋体" w:eastAsia="宋体" w:cs="宋体"/>
              <w:b/>
              <w:bCs/>
              <w:szCs w:val="28"/>
              <w:lang w:val="en-US" w:eastAsia="zh-CN"/>
            </w:rPr>
            <w:t>二)、估价机构</w:t>
          </w:r>
          <w:r>
            <w:rPr>
              <w:rFonts w:hint="eastAsia" w:ascii="宋体" w:hAnsi="宋体" w:eastAsia="宋体" w:cs="宋体"/>
              <w:szCs w:val="28"/>
              <w:lang w:val="en-US" w:eastAsia="zh-CN"/>
            </w:rPr>
            <w:tab/>
          </w:r>
          <w:r>
            <w:rPr>
              <w:rFonts w:hint="eastAsia" w:ascii="宋体" w:hAnsi="宋体" w:cs="宋体"/>
              <w:szCs w:val="28"/>
              <w:lang w:val="en-US" w:eastAsia="zh-CN"/>
            </w:rPr>
            <w:t>1</w:t>
          </w:r>
          <w:r>
            <w:rPr>
              <w:rFonts w:hint="eastAsia" w:ascii="宋体" w:hAnsi="宋体" w:eastAsia="宋体" w:cs="宋体"/>
              <w:szCs w:val="28"/>
              <w:lang w:val="en-US" w:eastAsia="zh-CN"/>
            </w:rPr>
            <w:fldChar w:fldCharType="end"/>
          </w:r>
          <w:r>
            <w:rPr>
              <w:rFonts w:hint="eastAsia" w:ascii="宋体" w:hAnsi="宋体" w:cs="宋体"/>
              <w:szCs w:val="28"/>
              <w:lang w:val="en-US" w:eastAsia="zh-CN"/>
            </w:rPr>
            <w:t>5</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default"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_Toc12609 </w:instrText>
          </w:r>
          <w:r>
            <w:rPr>
              <w:rFonts w:hint="eastAsia" w:ascii="宋体" w:hAnsi="宋体" w:eastAsia="宋体" w:cs="宋体"/>
              <w:szCs w:val="28"/>
              <w:lang w:val="en-US" w:eastAsia="zh-CN"/>
            </w:rPr>
            <w:fldChar w:fldCharType="separate"/>
          </w:r>
          <w:r>
            <w:rPr>
              <w:rFonts w:hint="eastAsia" w:ascii="宋体" w:hAnsi="宋体" w:cs="宋体"/>
              <w:b/>
              <w:bCs/>
              <w:szCs w:val="28"/>
              <w:lang w:val="en-US" w:eastAsia="zh-CN"/>
            </w:rPr>
            <w:t>（</w:t>
          </w:r>
          <w:r>
            <w:rPr>
              <w:rFonts w:hint="eastAsia" w:ascii="宋体" w:hAnsi="宋体" w:eastAsia="宋体" w:cs="宋体"/>
              <w:b/>
              <w:bCs/>
              <w:szCs w:val="28"/>
              <w:lang w:val="en-US" w:eastAsia="zh-CN"/>
            </w:rPr>
            <w:t>三）、估价目的</w:t>
          </w:r>
          <w:r>
            <w:rPr>
              <w:rFonts w:hint="eastAsia" w:ascii="宋体" w:hAnsi="宋体" w:eastAsia="宋体" w:cs="宋体"/>
              <w:szCs w:val="28"/>
              <w:lang w:val="en-US" w:eastAsia="zh-CN"/>
            </w:rPr>
            <w:tab/>
          </w:r>
          <w:r>
            <w:rPr>
              <w:rFonts w:hint="eastAsia" w:ascii="宋体" w:hAnsi="宋体" w:cs="宋体"/>
              <w:szCs w:val="28"/>
              <w:lang w:val="en-US" w:eastAsia="zh-CN"/>
            </w:rPr>
            <w:t>1</w:t>
          </w:r>
          <w:r>
            <w:rPr>
              <w:rFonts w:hint="eastAsia" w:ascii="宋体" w:hAnsi="宋体" w:eastAsia="宋体" w:cs="宋体"/>
              <w:szCs w:val="28"/>
              <w:lang w:val="en-US" w:eastAsia="zh-CN"/>
            </w:rPr>
            <w:fldChar w:fldCharType="end"/>
          </w:r>
          <w:r>
            <w:rPr>
              <w:rFonts w:hint="eastAsia" w:ascii="宋体" w:hAnsi="宋体" w:cs="宋体"/>
              <w:szCs w:val="28"/>
              <w:lang w:val="en-US" w:eastAsia="zh-CN"/>
            </w:rPr>
            <w:t>5</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default"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_Toc11171 </w:instrText>
          </w:r>
          <w:r>
            <w:rPr>
              <w:rFonts w:hint="eastAsia" w:ascii="宋体" w:hAnsi="宋体" w:eastAsia="宋体" w:cs="宋体"/>
              <w:szCs w:val="28"/>
              <w:lang w:val="en-US" w:eastAsia="zh-CN"/>
            </w:rPr>
            <w:fldChar w:fldCharType="separate"/>
          </w:r>
          <w:r>
            <w:rPr>
              <w:rFonts w:hint="eastAsia" w:ascii="宋体" w:hAnsi="宋体" w:eastAsia="宋体" w:cs="宋体"/>
              <w:b/>
              <w:bCs/>
              <w:szCs w:val="28"/>
              <w:lang w:val="en-US" w:eastAsia="zh-CN"/>
            </w:rPr>
            <w:t>（四）、估价对象</w:t>
          </w:r>
          <w:r>
            <w:rPr>
              <w:rFonts w:hint="eastAsia" w:ascii="宋体" w:hAnsi="宋体" w:eastAsia="宋体" w:cs="宋体"/>
              <w:szCs w:val="28"/>
              <w:lang w:val="en-US" w:eastAsia="zh-CN"/>
            </w:rPr>
            <w:tab/>
          </w:r>
          <w:r>
            <w:rPr>
              <w:rFonts w:hint="eastAsia" w:ascii="宋体" w:hAnsi="宋体" w:cs="宋体"/>
              <w:szCs w:val="28"/>
              <w:lang w:val="en-US" w:eastAsia="zh-CN"/>
            </w:rPr>
            <w:t>1</w:t>
          </w:r>
          <w:r>
            <w:rPr>
              <w:rFonts w:hint="eastAsia" w:ascii="宋体" w:hAnsi="宋体" w:eastAsia="宋体" w:cs="宋体"/>
              <w:szCs w:val="28"/>
              <w:lang w:val="en-US" w:eastAsia="zh-CN"/>
            </w:rPr>
            <w:fldChar w:fldCharType="end"/>
          </w:r>
          <w:r>
            <w:rPr>
              <w:rFonts w:hint="eastAsia" w:ascii="宋体" w:hAnsi="宋体" w:cs="宋体"/>
              <w:szCs w:val="28"/>
              <w:lang w:val="en-US" w:eastAsia="zh-CN"/>
            </w:rPr>
            <w:t>6</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default"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_Toc26063 </w:instrText>
          </w:r>
          <w:r>
            <w:rPr>
              <w:rFonts w:hint="eastAsia" w:ascii="宋体" w:hAnsi="宋体" w:eastAsia="宋体" w:cs="宋体"/>
              <w:szCs w:val="28"/>
              <w:lang w:val="en-US" w:eastAsia="zh-CN"/>
            </w:rPr>
            <w:fldChar w:fldCharType="separate"/>
          </w:r>
          <w:r>
            <w:rPr>
              <w:rFonts w:hint="eastAsia" w:ascii="宋体" w:hAnsi="宋体" w:eastAsia="宋体" w:cs="宋体"/>
              <w:b/>
              <w:bCs/>
              <w:szCs w:val="28"/>
              <w:lang w:val="en-US" w:eastAsia="zh-CN"/>
            </w:rPr>
            <w:t>（五）、</w:t>
          </w:r>
          <w:r>
            <w:rPr>
              <w:rFonts w:hint="eastAsia" w:ascii="宋体" w:hAnsi="宋体" w:cs="宋体"/>
              <w:b/>
              <w:bCs/>
              <w:szCs w:val="28"/>
              <w:lang w:val="en-US" w:eastAsia="zh-CN"/>
            </w:rPr>
            <w:t>价值时点</w:t>
          </w:r>
          <w:r>
            <w:rPr>
              <w:rFonts w:hint="eastAsia" w:ascii="宋体" w:hAnsi="宋体" w:eastAsia="宋体" w:cs="宋体"/>
              <w:szCs w:val="28"/>
              <w:lang w:val="en-US" w:eastAsia="zh-CN"/>
            </w:rPr>
            <w:tab/>
          </w:r>
          <w:r>
            <w:rPr>
              <w:rFonts w:hint="eastAsia" w:ascii="宋体" w:hAnsi="宋体" w:cs="宋体"/>
              <w:szCs w:val="28"/>
              <w:lang w:val="en-US" w:eastAsia="zh-CN"/>
            </w:rPr>
            <w:t>2</w:t>
          </w:r>
          <w:r>
            <w:rPr>
              <w:rFonts w:hint="eastAsia" w:ascii="宋体" w:hAnsi="宋体" w:eastAsia="宋体" w:cs="宋体"/>
              <w:szCs w:val="28"/>
              <w:lang w:val="en-US" w:eastAsia="zh-CN"/>
            </w:rPr>
            <w:fldChar w:fldCharType="end"/>
          </w:r>
          <w:r>
            <w:rPr>
              <w:rFonts w:hint="eastAsia" w:ascii="宋体" w:hAnsi="宋体" w:cs="宋体"/>
              <w:szCs w:val="28"/>
              <w:lang w:val="en-US" w:eastAsia="zh-CN"/>
            </w:rPr>
            <w:t>4</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default"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_Toc1540 </w:instrText>
          </w:r>
          <w:r>
            <w:rPr>
              <w:rFonts w:hint="eastAsia" w:ascii="宋体" w:hAnsi="宋体" w:eastAsia="宋体" w:cs="宋体"/>
              <w:szCs w:val="28"/>
              <w:lang w:val="en-US" w:eastAsia="zh-CN"/>
            </w:rPr>
            <w:fldChar w:fldCharType="separate"/>
          </w:r>
          <w:r>
            <w:rPr>
              <w:rFonts w:hint="eastAsia" w:ascii="宋体" w:hAnsi="宋体" w:eastAsia="宋体" w:cs="宋体"/>
              <w:b/>
              <w:bCs/>
              <w:szCs w:val="28"/>
              <w:lang w:val="en-US" w:eastAsia="zh-CN"/>
            </w:rPr>
            <w:t>（六）、价值类型</w:t>
          </w:r>
          <w:r>
            <w:rPr>
              <w:rFonts w:hint="eastAsia" w:ascii="宋体" w:hAnsi="宋体" w:eastAsia="宋体" w:cs="宋体"/>
              <w:szCs w:val="28"/>
              <w:lang w:val="en-US" w:eastAsia="zh-CN"/>
            </w:rPr>
            <w:tab/>
          </w:r>
          <w:r>
            <w:rPr>
              <w:rFonts w:hint="eastAsia" w:ascii="宋体" w:hAnsi="宋体" w:cs="宋体"/>
              <w:szCs w:val="28"/>
              <w:lang w:val="en-US" w:eastAsia="zh-CN"/>
            </w:rPr>
            <w:t>2</w:t>
          </w:r>
          <w:r>
            <w:rPr>
              <w:rFonts w:hint="eastAsia" w:ascii="宋体" w:hAnsi="宋体" w:eastAsia="宋体" w:cs="宋体"/>
              <w:szCs w:val="28"/>
              <w:lang w:val="en-US" w:eastAsia="zh-CN"/>
            </w:rPr>
            <w:fldChar w:fldCharType="end"/>
          </w:r>
          <w:r>
            <w:rPr>
              <w:rFonts w:hint="eastAsia" w:ascii="宋体" w:hAnsi="宋体" w:cs="宋体"/>
              <w:szCs w:val="28"/>
              <w:lang w:val="en-US" w:eastAsia="zh-CN"/>
            </w:rPr>
            <w:t>4</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default"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_Toc6447 </w:instrText>
          </w:r>
          <w:r>
            <w:rPr>
              <w:rFonts w:hint="eastAsia" w:ascii="宋体" w:hAnsi="宋体" w:eastAsia="宋体" w:cs="宋体"/>
              <w:szCs w:val="28"/>
              <w:lang w:val="en-US" w:eastAsia="zh-CN"/>
            </w:rPr>
            <w:fldChar w:fldCharType="separate"/>
          </w:r>
          <w:r>
            <w:rPr>
              <w:rFonts w:hint="eastAsia" w:ascii="宋体" w:hAnsi="宋体" w:eastAsia="宋体" w:cs="宋体"/>
              <w:b/>
              <w:bCs/>
              <w:szCs w:val="28"/>
              <w:lang w:val="en-US" w:eastAsia="zh-CN"/>
            </w:rPr>
            <w:t>（七）、估价原则</w:t>
          </w:r>
          <w:r>
            <w:rPr>
              <w:rFonts w:hint="eastAsia" w:ascii="宋体" w:hAnsi="宋体" w:eastAsia="宋体" w:cs="宋体"/>
              <w:szCs w:val="28"/>
              <w:lang w:val="en-US" w:eastAsia="zh-CN"/>
            </w:rPr>
            <w:tab/>
          </w:r>
          <w:r>
            <w:rPr>
              <w:rFonts w:hint="eastAsia" w:ascii="宋体" w:hAnsi="宋体" w:cs="宋体"/>
              <w:szCs w:val="28"/>
              <w:lang w:val="en-US" w:eastAsia="zh-CN"/>
            </w:rPr>
            <w:t>2</w:t>
          </w:r>
          <w:r>
            <w:rPr>
              <w:rFonts w:hint="eastAsia" w:ascii="宋体" w:hAnsi="宋体" w:eastAsia="宋体" w:cs="宋体"/>
              <w:szCs w:val="28"/>
              <w:lang w:val="en-US" w:eastAsia="zh-CN"/>
            </w:rPr>
            <w:fldChar w:fldCharType="end"/>
          </w:r>
          <w:r>
            <w:rPr>
              <w:rFonts w:hint="eastAsia" w:ascii="宋体" w:hAnsi="宋体" w:cs="宋体"/>
              <w:szCs w:val="28"/>
              <w:lang w:val="en-US" w:eastAsia="zh-CN"/>
            </w:rPr>
            <w:t>5</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default"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_Toc9342 </w:instrText>
          </w:r>
          <w:r>
            <w:rPr>
              <w:rFonts w:hint="eastAsia" w:ascii="宋体" w:hAnsi="宋体" w:eastAsia="宋体" w:cs="宋体"/>
              <w:szCs w:val="28"/>
              <w:lang w:val="en-US" w:eastAsia="zh-CN"/>
            </w:rPr>
            <w:fldChar w:fldCharType="separate"/>
          </w:r>
          <w:r>
            <w:rPr>
              <w:rFonts w:hint="eastAsia" w:ascii="宋体" w:hAnsi="宋体" w:cs="宋体"/>
              <w:b/>
              <w:bCs/>
              <w:szCs w:val="28"/>
              <w:lang w:val="en-US" w:eastAsia="zh-CN"/>
            </w:rPr>
            <w:t>（</w:t>
          </w:r>
          <w:r>
            <w:rPr>
              <w:rFonts w:hint="eastAsia" w:ascii="宋体" w:hAnsi="宋体" w:eastAsia="宋体" w:cs="宋体"/>
              <w:b/>
              <w:bCs/>
              <w:szCs w:val="28"/>
              <w:lang w:val="en-US" w:eastAsia="zh-CN"/>
            </w:rPr>
            <w:t>八)、估价依据</w:t>
          </w:r>
          <w:r>
            <w:rPr>
              <w:rFonts w:hint="eastAsia" w:ascii="宋体" w:hAnsi="宋体" w:eastAsia="宋体" w:cs="宋体"/>
              <w:szCs w:val="28"/>
              <w:lang w:val="en-US" w:eastAsia="zh-CN"/>
            </w:rPr>
            <w:tab/>
          </w:r>
          <w:r>
            <w:rPr>
              <w:rFonts w:hint="eastAsia" w:ascii="宋体" w:hAnsi="宋体" w:cs="宋体"/>
              <w:szCs w:val="28"/>
              <w:lang w:val="en-US" w:eastAsia="zh-CN"/>
            </w:rPr>
            <w:t>2</w:t>
          </w:r>
          <w:r>
            <w:rPr>
              <w:rFonts w:hint="eastAsia" w:ascii="宋体" w:hAnsi="宋体" w:eastAsia="宋体" w:cs="宋体"/>
              <w:szCs w:val="28"/>
              <w:lang w:val="en-US" w:eastAsia="zh-CN"/>
            </w:rPr>
            <w:fldChar w:fldCharType="end"/>
          </w:r>
          <w:r>
            <w:rPr>
              <w:rFonts w:hint="eastAsia" w:ascii="宋体" w:hAnsi="宋体" w:cs="宋体"/>
              <w:szCs w:val="28"/>
              <w:lang w:val="en-US" w:eastAsia="zh-CN"/>
            </w:rPr>
            <w:t>6</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eastAsia"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_Toc5006 </w:instrText>
          </w:r>
          <w:r>
            <w:rPr>
              <w:rFonts w:hint="eastAsia" w:ascii="宋体" w:hAnsi="宋体" w:eastAsia="宋体" w:cs="宋体"/>
              <w:szCs w:val="28"/>
              <w:lang w:val="en-US" w:eastAsia="zh-CN"/>
            </w:rPr>
            <w:fldChar w:fldCharType="separate"/>
          </w:r>
          <w:r>
            <w:rPr>
              <w:rFonts w:hint="eastAsia" w:ascii="宋体" w:hAnsi="宋体" w:eastAsia="宋体" w:cs="宋体"/>
              <w:b/>
              <w:bCs/>
              <w:szCs w:val="28"/>
              <w:lang w:val="en-US" w:eastAsia="zh-CN"/>
            </w:rPr>
            <w:t>（九）、估价方法</w:t>
          </w:r>
          <w:r>
            <w:rPr>
              <w:rFonts w:hint="eastAsia" w:ascii="宋体" w:hAnsi="宋体" w:eastAsia="宋体" w:cs="宋体"/>
              <w:szCs w:val="28"/>
              <w:lang w:val="en-US" w:eastAsia="zh-CN"/>
            </w:rPr>
            <w:tab/>
          </w:r>
          <w:r>
            <w:rPr>
              <w:rFonts w:hint="eastAsia" w:ascii="宋体" w:hAnsi="宋体" w:cs="宋体"/>
              <w:szCs w:val="28"/>
              <w:lang w:val="en-US" w:eastAsia="zh-CN"/>
            </w:rPr>
            <w:t>2</w:t>
          </w:r>
          <w:r>
            <w:rPr>
              <w:rFonts w:hint="eastAsia" w:ascii="宋体" w:hAnsi="宋体" w:eastAsia="宋体" w:cs="宋体"/>
              <w:szCs w:val="28"/>
              <w:lang w:val="en-US" w:eastAsia="zh-CN"/>
            </w:rPr>
            <w:fldChar w:fldCharType="end"/>
          </w:r>
          <w:r>
            <w:rPr>
              <w:rFonts w:hint="eastAsia" w:ascii="宋体" w:hAnsi="宋体" w:cs="宋体"/>
              <w:szCs w:val="28"/>
              <w:lang w:val="en-US" w:eastAsia="zh-CN"/>
            </w:rPr>
            <w:t>7</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eastAsia"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_Toc13592 </w:instrText>
          </w:r>
          <w:r>
            <w:rPr>
              <w:rFonts w:hint="eastAsia" w:ascii="宋体" w:hAnsi="宋体" w:eastAsia="宋体" w:cs="宋体"/>
              <w:szCs w:val="28"/>
              <w:lang w:val="en-US" w:eastAsia="zh-CN"/>
            </w:rPr>
            <w:fldChar w:fldCharType="separate"/>
          </w:r>
          <w:r>
            <w:rPr>
              <w:rFonts w:hint="eastAsia" w:ascii="宋体" w:hAnsi="宋体" w:eastAsia="宋体" w:cs="宋体"/>
              <w:b/>
              <w:bCs/>
              <w:szCs w:val="28"/>
              <w:lang w:val="en-US" w:eastAsia="zh-CN"/>
            </w:rPr>
            <w:t>（十）、估价结果</w:t>
          </w:r>
          <w:r>
            <w:rPr>
              <w:rFonts w:hint="eastAsia" w:ascii="宋体" w:hAnsi="宋体" w:eastAsia="宋体" w:cs="宋体"/>
              <w:szCs w:val="28"/>
              <w:lang w:val="en-US" w:eastAsia="zh-CN"/>
            </w:rPr>
            <w:tab/>
          </w:r>
          <w:r>
            <w:rPr>
              <w:rFonts w:hint="eastAsia" w:ascii="宋体" w:hAnsi="宋体" w:cs="宋体"/>
              <w:szCs w:val="28"/>
              <w:lang w:val="en-US" w:eastAsia="zh-CN"/>
            </w:rPr>
            <w:t>3</w:t>
          </w:r>
          <w:r>
            <w:rPr>
              <w:rFonts w:hint="eastAsia" w:ascii="宋体" w:hAnsi="宋体" w:eastAsia="宋体" w:cs="宋体"/>
              <w:szCs w:val="28"/>
              <w:lang w:val="en-US" w:eastAsia="zh-CN"/>
            </w:rPr>
            <w:fldChar w:fldCharType="end"/>
          </w:r>
          <w:r>
            <w:rPr>
              <w:rFonts w:hint="eastAsia" w:ascii="宋体" w:hAnsi="宋体" w:cs="宋体"/>
              <w:szCs w:val="28"/>
              <w:lang w:val="en-US" w:eastAsia="zh-CN"/>
            </w:rPr>
            <w:t>1</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eastAsia"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_Toc24380 </w:instrText>
          </w:r>
          <w:r>
            <w:rPr>
              <w:rFonts w:hint="eastAsia" w:ascii="宋体" w:hAnsi="宋体" w:eastAsia="宋体" w:cs="宋体"/>
              <w:szCs w:val="28"/>
              <w:lang w:val="en-US" w:eastAsia="zh-CN"/>
            </w:rPr>
            <w:fldChar w:fldCharType="separate"/>
          </w:r>
          <w:r>
            <w:rPr>
              <w:rFonts w:hint="eastAsia" w:ascii="宋体" w:hAnsi="宋体" w:cs="宋体"/>
              <w:b/>
              <w:bCs/>
              <w:szCs w:val="28"/>
              <w:lang w:val="en-US" w:eastAsia="zh-CN"/>
            </w:rPr>
            <w:t>（</w:t>
          </w:r>
          <w:r>
            <w:rPr>
              <w:rFonts w:hint="eastAsia" w:ascii="宋体" w:hAnsi="宋体" w:eastAsia="宋体" w:cs="宋体"/>
              <w:b/>
              <w:bCs/>
              <w:szCs w:val="28"/>
              <w:lang w:val="en-US" w:eastAsia="zh-CN"/>
            </w:rPr>
            <w:t>十一)、注册房地产估价师</w:t>
          </w:r>
          <w:r>
            <w:rPr>
              <w:rFonts w:hint="eastAsia" w:ascii="宋体" w:hAnsi="宋体" w:eastAsia="宋体" w:cs="宋体"/>
              <w:szCs w:val="28"/>
              <w:lang w:val="en-US" w:eastAsia="zh-CN"/>
            </w:rPr>
            <w:tab/>
          </w:r>
          <w:r>
            <w:rPr>
              <w:rFonts w:hint="eastAsia" w:ascii="宋体" w:hAnsi="宋体" w:cs="宋体"/>
              <w:szCs w:val="28"/>
              <w:lang w:val="en-US" w:eastAsia="zh-CN"/>
            </w:rPr>
            <w:t>3</w:t>
          </w:r>
          <w:r>
            <w:rPr>
              <w:rFonts w:hint="eastAsia" w:ascii="宋体" w:hAnsi="宋体" w:eastAsia="宋体" w:cs="宋体"/>
              <w:szCs w:val="28"/>
              <w:lang w:val="en-US" w:eastAsia="zh-CN"/>
            </w:rPr>
            <w:fldChar w:fldCharType="end"/>
          </w:r>
          <w:r>
            <w:rPr>
              <w:rFonts w:hint="eastAsia" w:ascii="宋体" w:hAnsi="宋体" w:cs="宋体"/>
              <w:szCs w:val="28"/>
              <w:lang w:val="en-US" w:eastAsia="zh-CN"/>
            </w:rPr>
            <w:t>3</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rFonts w:hint="eastAsia" w:ascii="宋体" w:hAnsi="宋体" w:eastAsia="宋体" w:cs="宋体"/>
              <w:szCs w:val="28"/>
              <w:lang w:val="en-US" w:eastAsia="zh-CN"/>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_Toc25528 </w:instrText>
          </w:r>
          <w:r>
            <w:rPr>
              <w:rFonts w:hint="eastAsia" w:ascii="宋体" w:hAnsi="宋体" w:eastAsia="宋体" w:cs="宋体"/>
              <w:szCs w:val="28"/>
              <w:lang w:val="en-US" w:eastAsia="zh-CN"/>
            </w:rPr>
            <w:fldChar w:fldCharType="separate"/>
          </w:r>
          <w:r>
            <w:rPr>
              <w:rFonts w:hint="eastAsia" w:ascii="宋体" w:hAnsi="宋体" w:cs="宋体"/>
              <w:b/>
              <w:bCs/>
              <w:szCs w:val="28"/>
              <w:lang w:val="en-US" w:eastAsia="zh-CN"/>
            </w:rPr>
            <w:t>（</w:t>
          </w:r>
          <w:r>
            <w:rPr>
              <w:rFonts w:hint="eastAsia" w:ascii="宋体" w:hAnsi="宋体" w:eastAsia="宋体" w:cs="宋体"/>
              <w:b/>
              <w:bCs/>
              <w:szCs w:val="28"/>
              <w:lang w:val="en-US" w:eastAsia="zh-CN"/>
            </w:rPr>
            <w:t>十二)、实地查勘期</w:t>
          </w:r>
          <w:r>
            <w:rPr>
              <w:rFonts w:hint="eastAsia" w:ascii="宋体" w:hAnsi="宋体" w:eastAsia="宋体" w:cs="宋体"/>
              <w:szCs w:val="28"/>
              <w:lang w:val="en-US" w:eastAsia="zh-CN"/>
            </w:rPr>
            <w:tab/>
          </w:r>
          <w:r>
            <w:rPr>
              <w:rFonts w:hint="eastAsia" w:ascii="宋体" w:hAnsi="宋体" w:cs="宋体"/>
              <w:szCs w:val="28"/>
              <w:lang w:val="en-US" w:eastAsia="zh-CN"/>
            </w:rPr>
            <w:t>3</w:t>
          </w:r>
          <w:r>
            <w:rPr>
              <w:rFonts w:hint="eastAsia" w:ascii="宋体" w:hAnsi="宋体" w:eastAsia="宋体" w:cs="宋体"/>
              <w:szCs w:val="28"/>
              <w:lang w:val="en-US" w:eastAsia="zh-CN"/>
            </w:rPr>
            <w:fldChar w:fldCharType="end"/>
          </w:r>
          <w:r>
            <w:rPr>
              <w:rFonts w:hint="eastAsia" w:ascii="宋体" w:hAnsi="宋体" w:cs="宋体"/>
              <w:szCs w:val="28"/>
              <w:lang w:val="en-US" w:eastAsia="zh-CN"/>
            </w:rPr>
            <w:t>3</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735" w:firstLineChars="350"/>
            <w:jc w:val="left"/>
            <w:textAlignment w:val="auto"/>
            <w:rPr>
              <w:lang w:val="en-US"/>
            </w:rPr>
          </w:pPr>
          <w:r>
            <w:rPr>
              <w:rFonts w:hint="eastAsia" w:ascii="宋体" w:hAnsi="宋体" w:eastAsia="宋体" w:cs="宋体"/>
              <w:szCs w:val="28"/>
              <w:lang w:val="en-US" w:eastAsia="zh-CN"/>
            </w:rPr>
            <w:fldChar w:fldCharType="begin"/>
          </w:r>
          <w:r>
            <w:rPr>
              <w:rFonts w:hint="eastAsia" w:ascii="宋体" w:hAnsi="宋体" w:eastAsia="宋体" w:cs="宋体"/>
              <w:szCs w:val="28"/>
              <w:lang w:val="en-US" w:eastAsia="zh-CN"/>
            </w:rPr>
            <w:instrText xml:space="preserve"> HYPERLINK \l _Toc32759 </w:instrText>
          </w:r>
          <w:r>
            <w:rPr>
              <w:rFonts w:hint="eastAsia" w:ascii="宋体" w:hAnsi="宋体" w:eastAsia="宋体" w:cs="宋体"/>
              <w:szCs w:val="28"/>
              <w:lang w:val="en-US" w:eastAsia="zh-CN"/>
            </w:rPr>
            <w:fldChar w:fldCharType="separate"/>
          </w:r>
          <w:r>
            <w:rPr>
              <w:rFonts w:hint="eastAsia" w:ascii="宋体" w:hAnsi="宋体" w:cs="宋体"/>
              <w:b/>
              <w:bCs/>
              <w:szCs w:val="28"/>
              <w:lang w:val="en-US" w:eastAsia="zh-CN"/>
            </w:rPr>
            <w:t>（</w:t>
          </w:r>
          <w:r>
            <w:rPr>
              <w:rFonts w:hint="eastAsia" w:ascii="宋体" w:hAnsi="宋体" w:eastAsia="宋体" w:cs="宋体"/>
              <w:b/>
              <w:bCs/>
              <w:szCs w:val="28"/>
              <w:lang w:val="en-US" w:eastAsia="zh-CN"/>
            </w:rPr>
            <w:t>十三)、估价作业期</w:t>
          </w:r>
          <w:r>
            <w:rPr>
              <w:rFonts w:hint="eastAsia" w:ascii="宋体" w:hAnsi="宋体" w:eastAsia="宋体" w:cs="宋体"/>
              <w:szCs w:val="28"/>
              <w:lang w:val="en-US" w:eastAsia="zh-CN"/>
            </w:rPr>
            <w:tab/>
          </w:r>
          <w:r>
            <w:rPr>
              <w:rFonts w:hint="eastAsia" w:ascii="宋体" w:hAnsi="宋体" w:cs="宋体"/>
              <w:szCs w:val="28"/>
              <w:lang w:val="en-US" w:eastAsia="zh-CN"/>
            </w:rPr>
            <w:t>3</w:t>
          </w:r>
          <w:r>
            <w:rPr>
              <w:rFonts w:hint="eastAsia" w:ascii="宋体" w:hAnsi="宋体" w:eastAsia="宋体" w:cs="宋体"/>
              <w:szCs w:val="28"/>
              <w:lang w:val="en-US" w:eastAsia="zh-CN"/>
            </w:rPr>
            <w:fldChar w:fldCharType="end"/>
          </w:r>
          <w:r>
            <w:rPr>
              <w:rFonts w:hint="eastAsia" w:ascii="宋体" w:hAnsi="宋体" w:cs="宋体"/>
              <w:szCs w:val="28"/>
              <w:lang w:val="en-US" w:eastAsia="zh-CN"/>
            </w:rPr>
            <w:t>3</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480" w:lineRule="auto"/>
            <w:ind w:left="0" w:leftChars="0" w:firstLine="0" w:firstLineChars="0"/>
            <w:textAlignment w:val="auto"/>
            <w:rPr>
              <w:rFonts w:hint="eastAsia" w:ascii="黑体" w:hAnsi="Arial Narrow" w:eastAsia="黑体" w:cs="宋体"/>
              <w:b/>
              <w:bCs/>
              <w:caps/>
              <w:spacing w:val="20"/>
              <w:kern w:val="2"/>
              <w:sz w:val="28"/>
              <w:szCs w:val="28"/>
              <w:lang w:val="en-US" w:eastAsia="zh-CN" w:bidi="ar-SA"/>
            </w:rPr>
          </w:pPr>
          <w:r>
            <w:rPr>
              <w:rFonts w:hint="eastAsia" w:ascii="黑体" w:hAnsi="Arial Narrow" w:eastAsia="黑体" w:cs="宋体"/>
              <w:b/>
              <w:bCs/>
              <w:caps/>
              <w:spacing w:val="20"/>
              <w:kern w:val="2"/>
              <w:sz w:val="28"/>
              <w:szCs w:val="28"/>
              <w:lang w:val="en-US" w:eastAsia="zh-CN" w:bidi="ar-SA"/>
            </w:rPr>
            <w:fldChar w:fldCharType="begin"/>
          </w:r>
          <w:r>
            <w:rPr>
              <w:rFonts w:hint="eastAsia" w:ascii="黑体" w:hAnsi="Arial Narrow" w:eastAsia="黑体" w:cs="宋体"/>
              <w:b/>
              <w:bCs/>
              <w:caps/>
              <w:spacing w:val="20"/>
              <w:kern w:val="2"/>
              <w:sz w:val="28"/>
              <w:szCs w:val="28"/>
              <w:lang w:val="en-US" w:eastAsia="zh-CN" w:bidi="ar-SA"/>
            </w:rPr>
            <w:instrText xml:space="preserve"> HYPERLINK \l _Toc22229 </w:instrText>
          </w:r>
          <w:r>
            <w:rPr>
              <w:rFonts w:hint="eastAsia" w:ascii="黑体" w:hAnsi="Arial Narrow" w:eastAsia="黑体" w:cs="宋体"/>
              <w:b/>
              <w:bCs/>
              <w:caps/>
              <w:spacing w:val="20"/>
              <w:kern w:val="2"/>
              <w:sz w:val="28"/>
              <w:szCs w:val="28"/>
              <w:lang w:val="en-US" w:eastAsia="zh-CN" w:bidi="ar-SA"/>
            </w:rPr>
            <w:fldChar w:fldCharType="separate"/>
          </w:r>
          <w:r>
            <w:rPr>
              <w:rFonts w:hint="eastAsia" w:ascii="黑体" w:hAnsi="Arial Narrow" w:eastAsia="黑体" w:cs="宋体"/>
              <w:b/>
              <w:bCs/>
              <w:caps/>
              <w:spacing w:val="20"/>
              <w:kern w:val="2"/>
              <w:sz w:val="28"/>
              <w:szCs w:val="28"/>
              <w:lang w:val="en-US" w:eastAsia="zh-CN" w:bidi="ar-SA"/>
            </w:rPr>
            <w:t>四、附件</w:t>
          </w:r>
          <w:r>
            <w:rPr>
              <w:rFonts w:hint="eastAsia" w:ascii="黑体" w:hAnsi="Arial Narrow" w:eastAsia="黑体" w:cs="宋体"/>
              <w:b/>
              <w:bCs/>
              <w:caps/>
              <w:spacing w:val="20"/>
              <w:kern w:val="2"/>
              <w:sz w:val="28"/>
              <w:szCs w:val="28"/>
              <w:lang w:val="en-US" w:eastAsia="zh-CN" w:bidi="ar-SA"/>
            </w:rPr>
            <w:tab/>
          </w:r>
          <w:r>
            <w:rPr>
              <w:rFonts w:hint="eastAsia" w:ascii="黑体" w:hAnsi="Arial Narrow" w:eastAsia="黑体" w:cs="宋体"/>
              <w:b/>
              <w:bCs/>
              <w:caps/>
              <w:spacing w:val="20"/>
              <w:kern w:val="2"/>
              <w:sz w:val="28"/>
              <w:szCs w:val="28"/>
              <w:lang w:val="en-US" w:eastAsia="zh-CN" w:bidi="ar-SA"/>
            </w:rPr>
            <w:t>3</w:t>
          </w:r>
          <w:r>
            <w:rPr>
              <w:rFonts w:hint="eastAsia" w:ascii="黑体" w:hAnsi="Arial Narrow" w:eastAsia="黑体" w:cs="宋体"/>
              <w:b/>
              <w:bCs/>
              <w:caps/>
              <w:spacing w:val="20"/>
              <w:kern w:val="2"/>
              <w:sz w:val="28"/>
              <w:szCs w:val="28"/>
              <w:lang w:val="en-US" w:eastAsia="zh-CN" w:bidi="ar-SA"/>
            </w:rPr>
            <w:fldChar w:fldCharType="end"/>
          </w:r>
          <w:r>
            <w:rPr>
              <w:rFonts w:hint="eastAsia" w:ascii="黑体" w:hAnsi="Arial Narrow" w:eastAsia="黑体" w:cs="宋体"/>
              <w:b/>
              <w:bCs/>
              <w:caps/>
              <w:spacing w:val="20"/>
              <w:kern w:val="2"/>
              <w:sz w:val="28"/>
              <w:szCs w:val="28"/>
              <w:lang w:val="en-US" w:eastAsia="zh-CN" w:bidi="ar-SA"/>
            </w:rPr>
            <w:t>4</w:t>
          </w:r>
        </w:p>
        <w:p>
          <w:pPr>
            <w:pStyle w:val="7"/>
            <w:tabs>
              <w:tab w:val="right" w:leader="dot" w:pos="8788"/>
            </w:tabs>
            <w:rPr>
              <w:rFonts w:hint="eastAsia" w:ascii="黑体" w:hAnsi="Arial Narrow" w:eastAsia="黑体" w:cs="宋体"/>
              <w:b/>
              <w:bCs/>
              <w:caps/>
              <w:spacing w:val="20"/>
              <w:kern w:val="2"/>
              <w:sz w:val="24"/>
              <w:szCs w:val="24"/>
              <w:lang w:val="en-US" w:eastAsia="zh-CN" w:bidi="ar-SA"/>
            </w:rPr>
          </w:pPr>
        </w:p>
        <w:p>
          <w:r>
            <w:fldChar w:fldCharType="end"/>
          </w:r>
        </w:p>
        <w:p>
          <w:pPr>
            <w:pStyle w:val="19"/>
            <w:tabs>
              <w:tab w:val="right" w:leader="dot" w:pos="8788"/>
            </w:tabs>
            <w:ind w:left="0" w:leftChars="0"/>
            <w:rPr>
              <w:rFonts w:ascii="宋体" w:hAnsi="宋体" w:eastAsia="宋体" w:cs="Times New Roman"/>
              <w:kern w:val="2"/>
              <w:sz w:val="20"/>
              <w:szCs w:val="20"/>
              <w:lang w:val="en-US" w:eastAsia="zh-CN" w:bidi="ar-SA"/>
            </w:rPr>
          </w:pPr>
        </w:p>
      </w:sdtContent>
    </w:sdt>
    <w:p>
      <w:pPr>
        <w:pStyle w:val="19"/>
        <w:tabs>
          <w:tab w:val="right" w:leader="dot" w:pos="8788"/>
        </w:tabs>
        <w:ind w:left="0" w:leftChars="0"/>
        <w:rPr>
          <w:rFonts w:ascii="宋体" w:hAnsi="宋体" w:eastAsia="宋体" w:cs="Times New Roman"/>
          <w:kern w:val="2"/>
          <w:sz w:val="20"/>
          <w:szCs w:val="20"/>
          <w:lang w:val="en-US" w:eastAsia="zh-CN" w:bidi="ar-SA"/>
        </w:rPr>
      </w:pPr>
    </w:p>
    <w:p>
      <w:pPr>
        <w:pStyle w:val="19"/>
        <w:tabs>
          <w:tab w:val="right" w:leader="dot" w:pos="8788"/>
        </w:tabs>
        <w:ind w:left="0" w:leftChars="0"/>
        <w:rPr>
          <w:rFonts w:ascii="宋体" w:hAnsi="宋体" w:eastAsia="宋体" w:cs="Times New Roman"/>
          <w:kern w:val="2"/>
          <w:sz w:val="20"/>
          <w:szCs w:val="20"/>
          <w:lang w:val="en-US" w:eastAsia="zh-CN" w:bidi="ar-SA"/>
        </w:rPr>
      </w:pPr>
    </w:p>
    <w:p>
      <w:pPr>
        <w:pStyle w:val="19"/>
        <w:tabs>
          <w:tab w:val="right" w:leader="dot" w:pos="8788"/>
        </w:tabs>
        <w:ind w:left="0" w:leftChars="0"/>
        <w:rPr>
          <w:rFonts w:ascii="宋体" w:hAnsi="宋体" w:eastAsia="宋体" w:cs="Times New Roman"/>
          <w:kern w:val="2"/>
          <w:sz w:val="20"/>
          <w:szCs w:val="20"/>
          <w:lang w:val="en-US" w:eastAsia="zh-CN" w:bidi="ar-SA"/>
        </w:rPr>
      </w:pPr>
      <w:r>
        <w:rPr>
          <w:rFonts w:hint="eastAsia" w:ascii="宋体" w:hAnsi="宋体" w:cs="Times New Roman"/>
          <w:kern w:val="2"/>
          <w:sz w:val="20"/>
          <w:szCs w:val="20"/>
          <w:lang w:val="en-US" w:eastAsia="zh-CN" w:bidi="ar-SA"/>
        </w:rPr>
        <w:t xml:space="preserve">  </w:t>
      </w:r>
    </w:p>
    <w:p>
      <w:pPr>
        <w:pStyle w:val="19"/>
        <w:tabs>
          <w:tab w:val="right" w:leader="dot" w:pos="8788"/>
        </w:tabs>
        <w:ind w:left="0" w:leftChars="0"/>
        <w:rPr>
          <w:rFonts w:hint="eastAsia" w:ascii="仿宋_GB2312" w:hAnsi="宋体" w:eastAsia="仿宋_GB2312"/>
          <w:sz w:val="28"/>
          <w:szCs w:val="28"/>
        </w:rPr>
      </w:pPr>
      <w:r>
        <w:rPr>
          <w:rFonts w:hint="eastAsia" w:ascii="黑体" w:hAnsi="Arial Narrow" w:eastAsia="黑体" w:cs="宋体"/>
          <w:b/>
          <w:spacing w:val="20"/>
          <w:sz w:val="44"/>
          <w:szCs w:val="44"/>
          <w:lang w:val="en-US" w:eastAsia="zh-CN"/>
        </w:rPr>
        <w:t xml:space="preserve"> </w:t>
      </w:r>
      <w:bookmarkStart w:id="4" w:name="_Toc16553"/>
      <w:bookmarkStart w:id="5" w:name="_Toc18544_WPSOffice_Level1"/>
      <w:bookmarkStart w:id="6" w:name="_Toc23306"/>
      <w:bookmarkStart w:id="7" w:name="_Toc10157"/>
      <w:bookmarkStart w:id="8" w:name="_Toc4647_WPSOffice_Level1"/>
      <w:bookmarkStart w:id="9" w:name="_Toc26296"/>
      <w:bookmarkStart w:id="10" w:name="_Toc31161"/>
      <w:r>
        <w:rPr>
          <w:rFonts w:hint="eastAsia" w:ascii="黑体" w:hAnsi="Arial Narrow" w:eastAsia="黑体" w:cs="宋体"/>
          <w:b/>
          <w:spacing w:val="20"/>
          <w:sz w:val="44"/>
          <w:szCs w:val="44"/>
          <w:lang w:val="en-US" w:eastAsia="zh-CN"/>
        </w:rPr>
        <w:t xml:space="preserve">      一、</w:t>
      </w:r>
      <w:r>
        <w:rPr>
          <w:rFonts w:hint="eastAsia" w:ascii="黑体" w:hAnsi="Arial Narrow" w:eastAsia="黑体" w:cs="宋体"/>
          <w:b/>
          <w:spacing w:val="20"/>
          <w:sz w:val="44"/>
          <w:szCs w:val="44"/>
        </w:rPr>
        <w:t>估 价 师 声 明</w:t>
      </w:r>
      <w:bookmarkEnd w:id="4"/>
      <w:bookmarkEnd w:id="5"/>
      <w:bookmarkEnd w:id="6"/>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rPr>
        <w:t>我们郑重声明:</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eastAsia="zh-CN"/>
        </w:rPr>
        <w:t>（一）</w:t>
      </w:r>
      <w:r>
        <w:rPr>
          <w:rFonts w:hint="eastAsia" w:ascii="仿宋_GB2312" w:hAnsi="宋体" w:eastAsia="仿宋_GB2312"/>
          <w:sz w:val="28"/>
          <w:szCs w:val="28"/>
        </w:rPr>
        <w:t>我们在</w:t>
      </w:r>
      <w:r>
        <w:rPr>
          <w:rFonts w:hint="eastAsia" w:ascii="仿宋_GB2312" w:hAnsi="宋体" w:eastAsia="仿宋_GB2312"/>
          <w:sz w:val="28"/>
          <w:szCs w:val="28"/>
          <w:lang w:eastAsia="zh-CN"/>
        </w:rPr>
        <w:t>本</w:t>
      </w:r>
      <w:r>
        <w:rPr>
          <w:rFonts w:hint="eastAsia" w:ascii="仿宋_GB2312" w:hAnsi="宋体" w:eastAsia="仿宋_GB2312"/>
          <w:sz w:val="28"/>
          <w:szCs w:val="28"/>
        </w:rPr>
        <w:t>估价报告中陈述的事实是真实的和准确的。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eastAsia="zh-CN"/>
        </w:rPr>
        <w:t>（二）</w:t>
      </w:r>
      <w:r>
        <w:rPr>
          <w:rFonts w:hint="eastAsia" w:ascii="仿宋_GB2312" w:hAnsi="宋体" w:eastAsia="仿宋_GB2312"/>
          <w:sz w:val="28"/>
          <w:szCs w:val="28"/>
        </w:rPr>
        <w:t>本估价报告中分析、意见和结论是我们自己公正专业的分析、意见和结论，但受到本估价报告中已说明的假设和限制条件</w:t>
      </w:r>
      <w:r>
        <w:rPr>
          <w:rFonts w:hint="eastAsia" w:ascii="仿宋_GB2312" w:hAnsi="宋体" w:eastAsia="仿宋_GB2312"/>
          <w:sz w:val="28"/>
          <w:szCs w:val="28"/>
          <w:lang w:eastAsia="zh-CN"/>
        </w:rPr>
        <w:t>以及使用报告说明</w:t>
      </w:r>
      <w:r>
        <w:rPr>
          <w:rFonts w:hint="eastAsia" w:ascii="仿宋_GB2312" w:hAnsi="宋体" w:eastAsia="仿宋_GB2312"/>
          <w:sz w:val="28"/>
          <w:szCs w:val="28"/>
        </w:rPr>
        <w:t>的限制。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eastAsia="zh-CN"/>
        </w:rPr>
        <w:t>（三）</w:t>
      </w:r>
      <w:r>
        <w:rPr>
          <w:rFonts w:hint="eastAsia" w:ascii="仿宋_GB2312" w:hAnsi="宋体" w:eastAsia="仿宋_GB2312"/>
          <w:sz w:val="28"/>
          <w:szCs w:val="28"/>
        </w:rPr>
        <w:t>我们与本估价报告中的估价对象没有利害关系,也与有关当事人没有个人利害关系或偏见。</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rPr>
        <w:t>四</w:t>
      </w:r>
      <w:r>
        <w:rPr>
          <w:rFonts w:hint="eastAsia" w:ascii="仿宋_GB2312" w:hAnsi="宋体" w:eastAsia="仿宋_GB2312"/>
          <w:sz w:val="28"/>
          <w:szCs w:val="28"/>
          <w:lang w:eastAsia="zh-CN"/>
        </w:rPr>
        <w:t>）</w:t>
      </w:r>
      <w:r>
        <w:rPr>
          <w:rFonts w:hint="eastAsia" w:ascii="仿宋_GB2312" w:hAnsi="宋体" w:eastAsia="仿宋_GB2312"/>
          <w:sz w:val="28"/>
          <w:szCs w:val="28"/>
        </w:rPr>
        <w:t>我们依照中华人民共和国国家标准《房地产估价规范》进行分析，形成意见和结论，撰写本估价报告。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rPr>
        <w:t>五</w:t>
      </w:r>
      <w:r>
        <w:rPr>
          <w:rFonts w:hint="eastAsia" w:ascii="仿宋_GB2312" w:hAnsi="宋体" w:eastAsia="仿宋_GB2312"/>
          <w:sz w:val="28"/>
          <w:szCs w:val="28"/>
          <w:lang w:eastAsia="zh-CN"/>
        </w:rPr>
        <w:t>）</w:t>
      </w:r>
      <w:r>
        <w:rPr>
          <w:rFonts w:hint="eastAsia" w:ascii="仿宋_GB2312" w:hAnsi="宋体" w:eastAsia="仿宋_GB2312"/>
          <w:sz w:val="28"/>
          <w:szCs w:val="28"/>
        </w:rPr>
        <w:t>我们已</w:t>
      </w:r>
      <w:r>
        <w:rPr>
          <w:rFonts w:hint="eastAsia" w:ascii="仿宋_GB2312" w:hAnsi="宋体" w:eastAsia="仿宋_GB2312"/>
          <w:sz w:val="28"/>
          <w:szCs w:val="28"/>
          <w:lang w:eastAsia="zh-CN"/>
        </w:rPr>
        <w:t>于</w:t>
      </w:r>
      <w:r>
        <w:rPr>
          <w:rFonts w:hint="eastAsia" w:ascii="仿宋_GB2312" w:hAnsi="宋体" w:eastAsia="仿宋_GB2312"/>
          <w:sz w:val="28"/>
          <w:szCs w:val="28"/>
          <w:lang w:val="en-US" w:eastAsia="zh-CN"/>
        </w:rPr>
        <w:t>2020年04月22日</w:t>
      </w:r>
      <w:r>
        <w:rPr>
          <w:rFonts w:hint="eastAsia" w:ascii="仿宋_GB2312" w:hAnsi="宋体" w:eastAsia="仿宋_GB2312"/>
          <w:sz w:val="28"/>
          <w:szCs w:val="28"/>
        </w:rPr>
        <w:t>对估价对象进行了实地查勘</w:t>
      </w:r>
      <w:r>
        <w:rPr>
          <w:rFonts w:hint="eastAsia" w:ascii="仿宋_GB2312" w:hAnsi="宋体" w:eastAsia="仿宋_GB2312"/>
          <w:sz w:val="28"/>
          <w:szCs w:val="28"/>
          <w:lang w:eastAsia="zh-CN"/>
        </w:rPr>
        <w:t>，</w:t>
      </w:r>
      <w:r>
        <w:rPr>
          <w:rFonts w:hint="eastAsia" w:ascii="仿宋_GB2312" w:hAnsi="宋体" w:eastAsia="仿宋_GB2312"/>
          <w:sz w:val="28"/>
          <w:szCs w:val="28"/>
        </w:rPr>
        <w:t>本次查勘仅限于对估价对象的外观和使用状况，对被遮盖、未暴露的部分，依据委托人提供的资料及行业标准或相关规范进行评估。</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rPr>
        <w:t>六</w:t>
      </w:r>
      <w:r>
        <w:rPr>
          <w:rFonts w:hint="eastAsia" w:ascii="仿宋_GB2312" w:hAnsi="宋体" w:eastAsia="仿宋_GB2312"/>
          <w:sz w:val="28"/>
          <w:szCs w:val="28"/>
          <w:lang w:eastAsia="zh-CN"/>
        </w:rPr>
        <w:t>）</w:t>
      </w:r>
      <w:r>
        <w:rPr>
          <w:rFonts w:hint="eastAsia" w:ascii="仿宋_GB2312" w:hAnsi="宋体" w:eastAsia="仿宋_GB2312"/>
          <w:sz w:val="28"/>
          <w:szCs w:val="28"/>
        </w:rPr>
        <w:t>没有人对本估价报告提供了重要专业帮助。</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60" w:firstLineChars="200"/>
        <w:jc w:val="both"/>
        <w:textAlignment w:val="auto"/>
        <w:outlineLvl w:val="9"/>
        <w:rPr>
          <w:rFonts w:hint="eastAsia" w:ascii="仿宋_GB2312" w:hAnsi="宋体" w:eastAsia="仿宋_GB2312"/>
          <w:sz w:val="28"/>
          <w:szCs w:val="28"/>
          <w:lang w:eastAsia="zh-CN"/>
        </w:rPr>
      </w:pPr>
      <w:r>
        <w:rPr>
          <w:rFonts w:hint="eastAsia" w:ascii="仿宋_GB2312" w:hAnsi="宋体" w:eastAsia="仿宋_GB2312"/>
          <w:sz w:val="28"/>
          <w:szCs w:val="28"/>
          <w:lang w:eastAsia="zh-CN"/>
        </w:rPr>
        <w:t>（七）参与本房地产估价的专职注册房地产估价师具备相关金融专业知识和相应的房地产市场分析能力。</w:t>
      </w:r>
    </w:p>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bookmarkStart w:id="11" w:name="_Toc12014_WPSOffice_Level2"/>
      <w:bookmarkStart w:id="12" w:name="_Toc25606_WPSOffice_Level2"/>
      <w:r>
        <w:rPr>
          <w:rFonts w:hint="eastAsia" w:ascii="仿宋_GB2312" w:hAnsi="宋体" w:eastAsia="仿宋_GB2312"/>
          <w:b/>
          <w:bCs/>
          <w:kern w:val="2"/>
          <w:sz w:val="24"/>
          <w:szCs w:val="24"/>
          <w:lang w:val="en-US" w:eastAsia="zh-CN"/>
        </w:rPr>
        <w:t>参加估价的注册房地产估价师</w:t>
      </w:r>
      <w:bookmarkEnd w:id="11"/>
      <w:bookmarkEnd w:id="12"/>
    </w:p>
    <w:tbl>
      <w:tblPr>
        <w:tblStyle w:val="10"/>
        <w:tblW w:w="8820"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2026"/>
        <w:gridCol w:w="2126"/>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799"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r>
              <w:rPr>
                <w:rFonts w:hint="eastAsia" w:ascii="仿宋_GB2312" w:hAnsi="宋体" w:eastAsia="仿宋_GB2312"/>
                <w:b/>
                <w:bCs/>
                <w:kern w:val="2"/>
                <w:sz w:val="24"/>
                <w:szCs w:val="24"/>
                <w:vertAlign w:val="baseline"/>
                <w:lang w:val="en-US" w:eastAsia="zh-CN"/>
              </w:rPr>
              <w:t>姓   名</w:t>
            </w:r>
          </w:p>
        </w:tc>
        <w:tc>
          <w:tcPr>
            <w:tcW w:w="2026"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r>
              <w:rPr>
                <w:rFonts w:hint="eastAsia" w:ascii="仿宋_GB2312" w:hAnsi="宋体" w:eastAsia="仿宋_GB2312"/>
                <w:b/>
                <w:bCs/>
                <w:kern w:val="2"/>
                <w:sz w:val="24"/>
                <w:szCs w:val="24"/>
                <w:vertAlign w:val="baseline"/>
                <w:lang w:val="en-US" w:eastAsia="zh-CN"/>
              </w:rPr>
              <w:t>注册号</w:t>
            </w:r>
          </w:p>
        </w:tc>
        <w:tc>
          <w:tcPr>
            <w:tcW w:w="2126"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r>
              <w:rPr>
                <w:rFonts w:hint="eastAsia" w:ascii="仿宋_GB2312" w:hAnsi="宋体" w:eastAsia="仿宋_GB2312"/>
                <w:b/>
                <w:bCs/>
                <w:kern w:val="2"/>
                <w:sz w:val="24"/>
                <w:szCs w:val="24"/>
                <w:vertAlign w:val="baseline"/>
                <w:lang w:val="en-US" w:eastAsia="zh-CN"/>
              </w:rPr>
              <w:t>签   名</w:t>
            </w:r>
          </w:p>
        </w:tc>
        <w:tc>
          <w:tcPr>
            <w:tcW w:w="2869"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r>
              <w:rPr>
                <w:rFonts w:hint="eastAsia" w:ascii="仿宋_GB2312" w:hAnsi="宋体" w:eastAsia="仿宋_GB2312"/>
                <w:b/>
                <w:bCs/>
                <w:kern w:val="2"/>
                <w:sz w:val="24"/>
                <w:szCs w:val="24"/>
                <w:vertAlign w:val="baseline"/>
                <w:lang w:val="en-US" w:eastAsia="zh-CN"/>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799"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r>
              <w:rPr>
                <w:rFonts w:hint="eastAsia" w:ascii="仿宋_GB2312" w:hAnsi="宋体" w:eastAsia="仿宋_GB2312"/>
                <w:b w:val="0"/>
                <w:bCs w:val="0"/>
                <w:kern w:val="2"/>
                <w:sz w:val="24"/>
                <w:szCs w:val="24"/>
                <w:lang w:eastAsia="zh-CN"/>
              </w:rPr>
              <w:t>刘</w:t>
            </w:r>
            <w:r>
              <w:rPr>
                <w:rFonts w:hint="eastAsia" w:ascii="仿宋_GB2312" w:hAnsi="宋体" w:eastAsia="仿宋_GB2312"/>
                <w:b w:val="0"/>
                <w:bCs w:val="0"/>
                <w:kern w:val="2"/>
                <w:sz w:val="24"/>
                <w:szCs w:val="24"/>
                <w:lang w:val="en-US" w:eastAsia="zh-CN"/>
              </w:rPr>
              <w:t xml:space="preserve">  </w:t>
            </w:r>
            <w:r>
              <w:rPr>
                <w:rFonts w:hint="eastAsia" w:ascii="仿宋_GB2312" w:hAnsi="宋体" w:eastAsia="仿宋_GB2312"/>
                <w:b w:val="0"/>
                <w:bCs w:val="0"/>
                <w:kern w:val="2"/>
                <w:sz w:val="24"/>
                <w:szCs w:val="24"/>
                <w:lang w:eastAsia="zh-CN"/>
              </w:rPr>
              <w:t>莉</w:t>
            </w:r>
          </w:p>
        </w:tc>
        <w:tc>
          <w:tcPr>
            <w:tcW w:w="2026"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r>
              <w:rPr>
                <w:rFonts w:hint="eastAsia" w:ascii="仿宋_GB2312" w:hAnsi="宋体" w:eastAsia="仿宋_GB2312"/>
                <w:b w:val="0"/>
                <w:bCs w:val="0"/>
                <w:kern w:val="2"/>
                <w:sz w:val="24"/>
                <w:szCs w:val="24"/>
                <w:lang w:eastAsia="zh-CN"/>
              </w:rPr>
              <w:t>5120180003</w:t>
            </w:r>
            <w:r>
              <w:rPr>
                <w:rFonts w:hint="eastAsia" w:ascii="仿宋_GB2312" w:hAnsi="宋体" w:eastAsia="仿宋_GB2312"/>
                <w:b w:val="0"/>
                <w:bCs w:val="0"/>
                <w:kern w:val="2"/>
                <w:sz w:val="24"/>
                <w:szCs w:val="24"/>
                <w:lang w:val="en-US" w:eastAsia="zh-CN"/>
              </w:rPr>
              <w:t xml:space="preserve"> </w:t>
            </w:r>
          </w:p>
        </w:tc>
        <w:tc>
          <w:tcPr>
            <w:tcW w:w="2126"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p>
        </w:tc>
        <w:tc>
          <w:tcPr>
            <w:tcW w:w="2869"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r>
              <w:rPr>
                <w:rFonts w:hint="eastAsia" w:ascii="仿宋_GB2312" w:hAnsi="宋体" w:eastAsia="仿宋_GB2312"/>
                <w:b w:val="0"/>
                <w:bCs w:val="0"/>
                <w:kern w:val="2"/>
                <w:sz w:val="24"/>
                <w:szCs w:val="24"/>
                <w:vertAlign w:val="baseline"/>
                <w:lang w:val="en-US" w:eastAsia="zh-CN"/>
              </w:rPr>
              <w:t xml:space="preserve">二〇二〇年五月十五日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799"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sz w:val="24"/>
                <w:szCs w:val="24"/>
                <w:lang w:val="en-US" w:eastAsia="zh-CN"/>
              </w:rPr>
            </w:pPr>
            <w:r>
              <w:rPr>
                <w:rFonts w:hint="eastAsia" w:ascii="仿宋_GB2312" w:hAnsi="宋体" w:eastAsia="仿宋_GB2312"/>
                <w:b w:val="0"/>
                <w:bCs w:val="0"/>
                <w:sz w:val="24"/>
                <w:szCs w:val="24"/>
                <w:lang w:val="en-US" w:eastAsia="zh-CN"/>
              </w:rPr>
              <w:t>刘  健</w:t>
            </w:r>
          </w:p>
        </w:tc>
        <w:tc>
          <w:tcPr>
            <w:tcW w:w="2026"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sz w:val="24"/>
                <w:szCs w:val="24"/>
              </w:rPr>
            </w:pPr>
            <w:r>
              <w:rPr>
                <w:rFonts w:hint="eastAsia" w:ascii="仿宋_GB2312" w:hAnsi="宋体" w:eastAsia="仿宋_GB2312"/>
                <w:b w:val="0"/>
                <w:bCs w:val="0"/>
                <w:kern w:val="2"/>
                <w:sz w:val="24"/>
                <w:szCs w:val="24"/>
                <w:lang w:eastAsia="zh-CN"/>
              </w:rPr>
              <w:t>5120110034</w:t>
            </w:r>
          </w:p>
        </w:tc>
        <w:tc>
          <w:tcPr>
            <w:tcW w:w="2126"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p>
        </w:tc>
        <w:tc>
          <w:tcPr>
            <w:tcW w:w="2869"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r>
              <w:rPr>
                <w:rFonts w:hint="eastAsia" w:ascii="仿宋_GB2312" w:hAnsi="宋体" w:eastAsia="仿宋_GB2312"/>
                <w:b w:val="0"/>
                <w:bCs w:val="0"/>
                <w:kern w:val="2"/>
                <w:sz w:val="24"/>
                <w:szCs w:val="24"/>
                <w:vertAlign w:val="baseline"/>
                <w:lang w:val="en-US" w:eastAsia="zh-CN"/>
              </w:rPr>
              <w:t xml:space="preserve">二〇二〇年五月十五日  </w:t>
            </w:r>
          </w:p>
        </w:tc>
      </w:tr>
    </w:tbl>
    <w:p>
      <w:pPr>
        <w:keepNext w:val="0"/>
        <w:keepLines w:val="0"/>
        <w:pageBreakBefore w:val="0"/>
        <w:widowControl w:val="0"/>
        <w:kinsoku/>
        <w:wordWrap/>
        <w:overflowPunct/>
        <w:topLinePunct w:val="0"/>
        <w:autoSpaceDE/>
        <w:autoSpaceDN/>
        <w:bidi w:val="0"/>
        <w:adjustRightInd/>
        <w:snapToGrid/>
        <w:spacing w:line="500" w:lineRule="exact"/>
        <w:ind w:right="0" w:rightChars="0" w:firstLine="2007" w:firstLineChars="500"/>
        <w:jc w:val="both"/>
        <w:textAlignment w:val="auto"/>
        <w:outlineLvl w:val="9"/>
        <w:rPr>
          <w:rFonts w:hint="eastAsia" w:ascii="仿宋_GB2312" w:hAnsi="Arial Narrow" w:eastAsia="仿宋_GB2312"/>
          <w:b/>
          <w:sz w:val="30"/>
          <w:szCs w:val="30"/>
        </w:rPr>
      </w:pPr>
      <w:bookmarkStart w:id="13" w:name="_Toc25606_WPSOffice_Level1"/>
      <w:bookmarkStart w:id="14" w:name="_Toc12014_WPSOffice_Level1"/>
      <w:bookmarkStart w:id="15" w:name="_Toc192836214"/>
      <w:bookmarkStart w:id="16" w:name="_Toc192836322"/>
      <w:bookmarkStart w:id="17" w:name="_Toc40186487"/>
      <w:bookmarkStart w:id="18" w:name="_Toc181991501"/>
      <w:bookmarkStart w:id="19" w:name="_Toc181991928"/>
      <w:bookmarkStart w:id="20" w:name="_Toc165264277"/>
      <w:bookmarkStart w:id="21" w:name="_Toc23899"/>
      <w:bookmarkStart w:id="22" w:name="_Toc181992700"/>
      <w:bookmarkStart w:id="23" w:name="_Toc25661"/>
      <w:bookmarkStart w:id="24" w:name="_Toc1903"/>
      <w:bookmarkStart w:id="25" w:name="_Toc5252"/>
      <w:bookmarkStart w:id="26" w:name="_Toc21830"/>
      <w:bookmarkStart w:id="27" w:name="_Toc181378690"/>
      <w:r>
        <w:rPr>
          <w:rFonts w:hint="eastAsia" w:ascii="黑体" w:hAnsi="Arial Narrow" w:eastAsia="黑体" w:cs="宋体"/>
          <w:b/>
          <w:spacing w:val="20"/>
          <w:sz w:val="36"/>
          <w:szCs w:val="36"/>
          <w:lang w:val="en-US" w:eastAsia="zh-CN"/>
        </w:rPr>
        <w:t>二、</w:t>
      </w:r>
      <w:r>
        <w:rPr>
          <w:rFonts w:hint="eastAsia" w:ascii="黑体" w:hAnsi="Arial Narrow" w:eastAsia="黑体" w:cs="宋体"/>
          <w:b/>
          <w:spacing w:val="20"/>
          <w:sz w:val="36"/>
          <w:szCs w:val="36"/>
        </w:rPr>
        <w:t>估价的假设和限制条件</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Start w:id="28" w:name="_Toc181992701"/>
      <w:bookmarkStart w:id="29" w:name="_Toc192836215"/>
      <w:bookmarkStart w:id="30" w:name="_Toc192836323"/>
      <w:bookmarkStart w:id="31" w:name="_Toc165264278"/>
      <w:bookmarkStart w:id="32" w:name="_Toc40186488"/>
      <w:bookmarkStart w:id="33" w:name="_Toc181991502"/>
      <w:bookmarkStart w:id="34" w:name="_Toc181991929"/>
      <w:bookmarkStart w:id="35" w:name="_Toc181378691"/>
      <w:bookmarkStart w:id="36" w:name="_Toc466876823"/>
      <w:bookmarkStart w:id="37" w:name="_Toc455994950"/>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bookmarkStart w:id="38" w:name="_Toc29313_WPSOffice_Level2"/>
      <w:bookmarkStart w:id="39" w:name="_Toc13694_WPSOffice_Level2"/>
      <w:r>
        <w:rPr>
          <w:rFonts w:hint="eastAsia" w:ascii="仿宋_GB2312" w:hAnsi="Arial Narrow" w:eastAsia="仿宋_GB2312" w:cs="宋体"/>
          <w:sz w:val="28"/>
          <w:szCs w:val="28"/>
          <w:lang w:val="en-US" w:eastAsia="zh-CN"/>
        </w:rPr>
        <w:t>(一)</w:t>
      </w:r>
      <w:r>
        <w:rPr>
          <w:rFonts w:hint="eastAsia" w:ascii="仿宋_GB2312" w:hAnsi="Arial Narrow" w:eastAsia="仿宋_GB2312" w:cs="宋体"/>
          <w:sz w:val="28"/>
          <w:szCs w:val="28"/>
          <w:lang w:eastAsia="zh-CN"/>
        </w:rPr>
        <w:t>一般</w:t>
      </w:r>
      <w:r>
        <w:rPr>
          <w:rFonts w:hint="eastAsia" w:ascii="仿宋_GB2312" w:hAnsi="Arial Narrow" w:eastAsia="仿宋_GB2312" w:cs="宋体"/>
          <w:sz w:val="28"/>
          <w:szCs w:val="28"/>
        </w:rPr>
        <w:t>假设</w:t>
      </w:r>
      <w:bookmarkEnd w:id="38"/>
      <w:bookmarkEnd w:id="39"/>
      <w:r>
        <w:rPr>
          <w:rFonts w:hint="eastAsia" w:ascii="仿宋_GB2312" w:hAnsi="Arial Narrow" w:eastAsia="仿宋_GB2312" w:cs="宋体"/>
          <w:sz w:val="28"/>
          <w:szCs w:val="28"/>
          <w:lang w:val="en-US" w:eastAsia="zh-CN"/>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估价委托人提供了估价对象的《房屋所有权证》、《国有土地使用权证》复印件，我们未向政府有关部门进行核实，在无理由怀疑其合法性、真实性、准确性和完整性的情况下，假定估价委托人提供的资料合法、真实、准确、完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2、本公司估价人员已对房屋安全、环境污染等影响估价对象价值的重大因素给予了关注，在无理由怀疑估价对象存在安全隐患且无相应的专业机构进行鉴定、检测的情况下，假定估价对象能正常安全使用。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3、注册房地产估价师未对房屋建筑面积进行专业测量，其面积应以证载面积为准。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4、估价对象在价值时点的房地产市场为公开、平等、自愿的交易市场，即能满足以下条件：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bookmarkStart w:id="40" w:name="_Toc12014_WPSOffice_Level3"/>
      <w:r>
        <w:rPr>
          <w:rFonts w:hint="eastAsia" w:ascii="仿宋" w:hAnsi="仿宋" w:eastAsia="仿宋" w:cs="仿宋"/>
          <w:sz w:val="28"/>
          <w:szCs w:val="28"/>
          <w:lang w:val="en-US" w:eastAsia="zh-CN"/>
        </w:rPr>
        <w:t>（1）交易双方自愿地进行交易；</w:t>
      </w:r>
      <w:bookmarkEnd w:id="4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bookmarkStart w:id="41" w:name="_Toc13694_WPSOffice_Level3"/>
      <w:r>
        <w:rPr>
          <w:rFonts w:hint="eastAsia" w:ascii="仿宋" w:hAnsi="仿宋" w:eastAsia="仿宋" w:cs="仿宋"/>
          <w:sz w:val="28"/>
          <w:szCs w:val="28"/>
          <w:lang w:val="en-US" w:eastAsia="zh-CN"/>
        </w:rPr>
        <w:t>（2）交易双方处于利己动机进行交易；</w:t>
      </w:r>
      <w:bookmarkEnd w:id="4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bookmarkStart w:id="42" w:name="_Toc9640_WPSOffice_Level3"/>
      <w:r>
        <w:rPr>
          <w:rFonts w:hint="eastAsia" w:ascii="仿宋" w:hAnsi="仿宋" w:eastAsia="仿宋" w:cs="仿宋"/>
          <w:sz w:val="28"/>
          <w:szCs w:val="28"/>
          <w:lang w:val="en-US" w:eastAsia="zh-CN"/>
        </w:rPr>
        <w:t>（3）交易双方精明、谨慎行事，并了解交易对象、知晓市场行情；</w:t>
      </w:r>
      <w:bookmarkEnd w:id="4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bookmarkStart w:id="43" w:name="_Toc15373_WPSOffice_Level3"/>
      <w:r>
        <w:rPr>
          <w:rFonts w:hint="eastAsia" w:ascii="仿宋" w:hAnsi="仿宋" w:eastAsia="仿宋" w:cs="仿宋"/>
          <w:sz w:val="28"/>
          <w:szCs w:val="28"/>
          <w:lang w:val="en-US" w:eastAsia="zh-CN"/>
        </w:rPr>
        <w:t>（4）交易双方有较充裕的时间进行交易；</w:t>
      </w:r>
      <w:bookmarkEnd w:id="4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bookmarkStart w:id="44" w:name="_Toc11493_WPSOffice_Level3"/>
      <w:r>
        <w:rPr>
          <w:rFonts w:hint="eastAsia" w:ascii="仿宋" w:hAnsi="仿宋" w:eastAsia="仿宋" w:cs="仿宋"/>
          <w:sz w:val="28"/>
          <w:szCs w:val="28"/>
          <w:lang w:val="en-US" w:eastAsia="zh-CN"/>
        </w:rPr>
        <w:t>（5）不存在买者因特殊兴趣而给予附加出价；</w:t>
      </w:r>
      <w:bookmarkEnd w:id="44"/>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5.估价对象为整体房地产中的一部分，估价对象应享有公共部位的通行权及水电等公用设施的使用权。</w:t>
      </w:r>
    </w:p>
    <w:p>
      <w:pPr>
        <w:pStyle w:val="3"/>
        <w:spacing w:line="520" w:lineRule="exact"/>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6、根据估价目的，本次估价未考虑他项权利的存在对估价对象价值的影响。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bookmarkStart w:id="45" w:name="_Toc477_WPSOffice_Level2"/>
      <w:bookmarkStart w:id="46" w:name="_Toc9640_WPSOffice_Level2"/>
      <w:r>
        <w:rPr>
          <w:rFonts w:hint="eastAsia" w:ascii="仿宋" w:hAnsi="仿宋" w:eastAsia="仿宋" w:cs="仿宋"/>
          <w:sz w:val="28"/>
          <w:szCs w:val="28"/>
          <w:lang w:eastAsia="zh-CN"/>
        </w:rPr>
        <w:t>（二)未定事项假设</w:t>
      </w:r>
      <w:bookmarkEnd w:id="45"/>
      <w:bookmarkEnd w:id="46"/>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w:t>
      </w:r>
      <w:r>
        <w:rPr>
          <w:rFonts w:hint="eastAsia" w:ascii="仿宋" w:hAnsi="仿宋" w:eastAsia="仿宋" w:cs="仿宋"/>
          <w:sz w:val="28"/>
          <w:szCs w:val="28"/>
        </w:rPr>
        <w:t>次评估</w:t>
      </w:r>
      <w:r>
        <w:rPr>
          <w:rFonts w:hint="eastAsia" w:ascii="仿宋" w:hAnsi="仿宋" w:eastAsia="仿宋" w:cs="仿宋"/>
          <w:sz w:val="28"/>
          <w:szCs w:val="28"/>
          <w:lang w:eastAsia="zh-CN"/>
        </w:rPr>
        <w:t>根据</w:t>
      </w:r>
      <w:r>
        <w:rPr>
          <w:rFonts w:hint="eastAsia" w:ascii="仿宋" w:hAnsi="仿宋" w:eastAsia="仿宋" w:cs="仿宋"/>
          <w:sz w:val="28"/>
          <w:szCs w:val="28"/>
        </w:rPr>
        <w:t>委托</w:t>
      </w:r>
      <w:r>
        <w:rPr>
          <w:rFonts w:hint="eastAsia" w:ascii="仿宋" w:hAnsi="仿宋" w:eastAsia="仿宋" w:cs="仿宋"/>
          <w:sz w:val="28"/>
          <w:szCs w:val="28"/>
          <w:lang w:eastAsia="zh-CN"/>
        </w:rPr>
        <w:t>人</w:t>
      </w:r>
      <w:r>
        <w:rPr>
          <w:rFonts w:hint="eastAsia" w:ascii="仿宋" w:hAnsi="仿宋" w:eastAsia="仿宋" w:cs="仿宋"/>
          <w:sz w:val="28"/>
          <w:szCs w:val="28"/>
        </w:rPr>
        <w:t>提供</w:t>
      </w:r>
      <w:r>
        <w:rPr>
          <w:rFonts w:hint="eastAsia" w:ascii="仿宋" w:hAnsi="仿宋" w:eastAsia="仿宋" w:cs="仿宋"/>
          <w:sz w:val="28"/>
          <w:szCs w:val="28"/>
          <w:lang w:val="en-US" w:eastAsia="zh-CN"/>
        </w:rPr>
        <w:t>《房屋所有权证》、《国有土地使用权证》复印件等</w:t>
      </w:r>
      <w:r>
        <w:rPr>
          <w:rFonts w:hint="eastAsia" w:ascii="仿宋" w:hAnsi="仿宋" w:eastAsia="仿宋" w:cs="仿宋"/>
          <w:sz w:val="28"/>
          <w:szCs w:val="28"/>
        </w:rPr>
        <w:t>资料，本次估价</w:t>
      </w:r>
      <w:r>
        <w:rPr>
          <w:rFonts w:hint="eastAsia" w:ascii="仿宋" w:hAnsi="仿宋" w:eastAsia="仿宋" w:cs="仿宋"/>
          <w:sz w:val="28"/>
          <w:szCs w:val="28"/>
          <w:lang w:val="en-US" w:eastAsia="zh-CN"/>
        </w:rPr>
        <w:t>对象证载内容与现状</w:t>
      </w:r>
      <w:r>
        <w:rPr>
          <w:rFonts w:hint="eastAsia" w:ascii="仿宋" w:hAnsi="仿宋" w:eastAsia="仿宋" w:cs="仿宋"/>
          <w:sz w:val="28"/>
          <w:szCs w:val="28"/>
        </w:rPr>
        <w:t>保持一</w:t>
      </w:r>
      <w:r>
        <w:rPr>
          <w:rFonts w:hint="eastAsia" w:ascii="仿宋" w:hAnsi="仿宋" w:eastAsia="仿宋" w:cs="仿宋"/>
          <w:sz w:val="28"/>
          <w:szCs w:val="28"/>
          <w:lang w:eastAsia="zh-CN"/>
        </w:rPr>
        <w:t>致</w:t>
      </w:r>
      <w:r>
        <w:rPr>
          <w:rFonts w:hint="eastAsia" w:ascii="仿宋" w:hAnsi="仿宋" w:eastAsia="仿宋" w:cs="仿宋"/>
          <w:sz w:val="28"/>
          <w:szCs w:val="28"/>
        </w:rPr>
        <w:t>，房屋用途按照委托方提供的资料所描述的用途进行评估</w:t>
      </w:r>
      <w:r>
        <w:rPr>
          <w:rFonts w:hint="eastAsia" w:ascii="仿宋" w:hAnsi="仿宋" w:eastAsia="仿宋" w:cs="仿宋"/>
          <w:sz w:val="28"/>
          <w:szCs w:val="28"/>
          <w:lang w:eastAsia="zh-CN"/>
        </w:rPr>
        <w:t>，故无未定事项假设</w:t>
      </w:r>
      <w:r>
        <w:rPr>
          <w:rFonts w:hint="eastAsia" w:ascii="仿宋" w:hAnsi="仿宋" w:eastAsia="仿宋" w:cs="仿宋"/>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560"/>
        <w:jc w:val="both"/>
        <w:textAlignment w:val="auto"/>
        <w:outlineLvl w:val="9"/>
        <w:rPr>
          <w:rFonts w:hint="eastAsia" w:ascii="仿宋" w:hAnsi="仿宋" w:eastAsia="仿宋" w:cs="仿宋"/>
          <w:sz w:val="28"/>
          <w:szCs w:val="28"/>
          <w:lang w:val="en-US" w:eastAsia="zh-CN"/>
        </w:rPr>
      </w:pPr>
      <w:bookmarkStart w:id="47" w:name="_Toc15373_WPSOffice_Level2"/>
      <w:bookmarkStart w:id="48" w:name="_Toc30036_WPSOffice_Level2"/>
      <w:r>
        <w:rPr>
          <w:rFonts w:hint="eastAsia" w:ascii="仿宋" w:hAnsi="仿宋" w:eastAsia="仿宋" w:cs="仿宋"/>
          <w:sz w:val="28"/>
          <w:szCs w:val="28"/>
          <w:lang w:val="en-US" w:eastAsia="zh-CN"/>
        </w:rPr>
        <w:t>背离事实假设</w:t>
      </w:r>
      <w:bookmarkEnd w:id="47"/>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color w:val="FF0000"/>
          <w:sz w:val="28"/>
          <w:szCs w:val="28"/>
          <w:lang w:val="en-US" w:eastAsia="zh-CN"/>
        </w:rPr>
      </w:pPr>
      <w:r>
        <w:rPr>
          <w:rFonts w:hint="eastAsia" w:ascii="仿宋" w:hAnsi="仿宋" w:eastAsia="仿宋" w:cs="仿宋"/>
          <w:color w:val="FF0000"/>
          <w:kern w:val="0"/>
          <w:sz w:val="28"/>
          <w:szCs w:val="28"/>
          <w:lang w:val="en-US" w:eastAsia="zh-CN"/>
        </w:rPr>
        <w:t xml:space="preserve">  </w:t>
      </w:r>
      <w:r>
        <w:rPr>
          <w:rFonts w:hint="eastAsia" w:ascii="仿宋" w:hAnsi="仿宋" w:eastAsia="仿宋" w:cs="仿宋"/>
          <w:sz w:val="28"/>
          <w:szCs w:val="28"/>
          <w:lang w:val="en-US" w:eastAsia="zh-CN"/>
        </w:rPr>
        <w:t xml:space="preserve">   本次评估无背离事实假设。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560" w:leftChars="0" w:right="0" w:rightChars="0"/>
        <w:jc w:val="both"/>
        <w:textAlignment w:val="auto"/>
        <w:outlineLvl w:val="9"/>
        <w:rPr>
          <w:rFonts w:hint="eastAsia" w:ascii="仿宋" w:hAnsi="仿宋" w:eastAsia="仿宋" w:cs="仿宋"/>
          <w:sz w:val="28"/>
          <w:szCs w:val="28"/>
          <w:lang w:val="en-US" w:eastAsia="zh-CN"/>
        </w:rPr>
      </w:pPr>
      <w:bookmarkStart w:id="49" w:name="_Toc120_WPSOffice_Level2"/>
      <w:bookmarkStart w:id="50" w:name="_Toc11493_WPSOffice_Level2"/>
      <w:r>
        <w:rPr>
          <w:rFonts w:hint="eastAsia" w:ascii="仿宋" w:hAnsi="仿宋" w:eastAsia="仿宋" w:cs="仿宋"/>
          <w:sz w:val="28"/>
          <w:szCs w:val="28"/>
          <w:lang w:val="en-US" w:eastAsia="zh-CN"/>
        </w:rPr>
        <w:t>（四）不相一致假设</w:t>
      </w:r>
      <w:bookmarkEnd w:id="49"/>
      <w:bookmarkEnd w:id="50"/>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本次估价对象依据《</w:t>
      </w:r>
      <w:r>
        <w:rPr>
          <w:rFonts w:hint="eastAsia" w:ascii="仿宋" w:hAnsi="仿宋" w:eastAsia="仿宋" w:cs="仿宋"/>
          <w:color w:val="auto"/>
          <w:sz w:val="28"/>
          <w:szCs w:val="28"/>
          <w:lang w:val="en-US" w:eastAsia="zh-CN"/>
        </w:rPr>
        <w:t>房屋所有权证</w:t>
      </w:r>
      <w:r>
        <w:rPr>
          <w:rFonts w:hint="eastAsia" w:ascii="仿宋" w:hAnsi="仿宋" w:eastAsia="仿宋" w:cs="仿宋"/>
          <w:sz w:val="28"/>
          <w:szCs w:val="28"/>
          <w:lang w:val="en-US" w:eastAsia="zh-CN"/>
        </w:rPr>
        <w:t>》、《国有土地使用权证》登记内容为准，估价人员现场勘查，估价对象的实际用途、登记用途、规划用途等用途一致，产权证登记内容与实际现场查勘一致，无不相一致假设</w:t>
      </w:r>
      <w:r>
        <w:rPr>
          <w:rFonts w:hint="eastAsia" w:ascii="仿宋" w:hAnsi="仿宋" w:eastAsia="仿宋" w:cs="仿宋"/>
          <w:sz w:val="28"/>
          <w:szCs w:val="28"/>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Chars="0" w:right="0" w:rightChars="0" w:firstLine="560"/>
        <w:jc w:val="both"/>
        <w:textAlignment w:val="auto"/>
        <w:outlineLvl w:val="9"/>
        <w:rPr>
          <w:rFonts w:hint="eastAsia" w:ascii="仿宋" w:hAnsi="仿宋" w:eastAsia="仿宋" w:cs="仿宋"/>
          <w:color w:val="FF0000"/>
          <w:sz w:val="28"/>
          <w:szCs w:val="28"/>
          <w:lang w:val="en-US" w:eastAsia="zh-CN"/>
        </w:rPr>
      </w:pPr>
      <w:bookmarkStart w:id="51" w:name="_Toc17459_WPSOffice_Level2"/>
      <w:bookmarkStart w:id="52" w:name="_Toc4064_WPSOffice_Level2"/>
      <w:r>
        <w:rPr>
          <w:rFonts w:hint="eastAsia" w:ascii="仿宋" w:hAnsi="仿宋" w:eastAsia="仿宋" w:cs="仿宋"/>
          <w:sz w:val="28"/>
          <w:szCs w:val="28"/>
          <w:highlight w:val="none"/>
          <w:lang w:val="en-US" w:eastAsia="zh-CN"/>
        </w:rPr>
        <w:t>依据不足假设</w:t>
      </w:r>
      <w:bookmarkEnd w:id="51"/>
      <w:bookmarkEnd w:id="52"/>
      <w:r>
        <w:rPr>
          <w:rFonts w:ascii="宋体" w:hAnsi="宋体" w:eastAsia="宋体" w:cs="宋体"/>
          <w:sz w:val="24"/>
          <w:szCs w:val="24"/>
        </w:rPr>
        <w:br w:type="textWrapping"/>
      </w:r>
      <w:r>
        <w:rPr>
          <w:rFonts w:hint="eastAsia" w:ascii="宋体" w:hAnsi="宋体" w:cs="宋体"/>
          <w:sz w:val="24"/>
          <w:szCs w:val="24"/>
          <w:lang w:val="en-US" w:eastAsia="zh-CN"/>
        </w:rPr>
        <w:t xml:space="preserve">      </w:t>
      </w:r>
      <w:r>
        <w:rPr>
          <w:rFonts w:hint="eastAsia" w:ascii="仿宋" w:hAnsi="仿宋" w:eastAsia="仿宋" w:cs="仿宋"/>
          <w:sz w:val="28"/>
          <w:szCs w:val="28"/>
          <w:lang w:val="en-US" w:eastAsia="zh-CN"/>
        </w:rPr>
        <w:t>本次估价截止</w:t>
      </w:r>
      <w:r>
        <w:rPr>
          <w:rFonts w:hint="eastAsia" w:ascii="仿宋" w:hAnsi="仿宋" w:eastAsia="仿宋" w:cs="仿宋"/>
          <w:sz w:val="28"/>
          <w:szCs w:val="28"/>
        </w:rPr>
        <w:t>价值时点止，</w:t>
      </w:r>
      <w:r>
        <w:rPr>
          <w:rFonts w:hint="eastAsia" w:ascii="仿宋" w:hAnsi="仿宋" w:eastAsia="仿宋" w:cs="仿宋"/>
          <w:sz w:val="28"/>
          <w:szCs w:val="28"/>
          <w:lang w:eastAsia="zh-CN"/>
        </w:rPr>
        <w:t>委托方提供了原产权人的《房屋所有权证》及《国有土地使用权证》</w:t>
      </w:r>
      <w:r>
        <w:rPr>
          <w:rFonts w:hint="eastAsia" w:ascii="仿宋" w:hAnsi="仿宋" w:eastAsia="仿宋" w:cs="仿宋"/>
          <w:sz w:val="28"/>
          <w:szCs w:val="28"/>
          <w:lang w:val="en-US" w:eastAsia="zh-CN"/>
        </w:rPr>
        <w:t>复印件</w:t>
      </w:r>
      <w:r>
        <w:rPr>
          <w:rFonts w:hint="eastAsia" w:ascii="仿宋" w:hAnsi="仿宋" w:eastAsia="仿宋" w:cs="仿宋"/>
          <w:sz w:val="28"/>
          <w:szCs w:val="28"/>
          <w:lang w:eastAsia="zh-CN"/>
        </w:rPr>
        <w:t>等资料，无依据不足假设。</w:t>
      </w:r>
      <w:r>
        <w:rPr>
          <w:rFonts w:hint="eastAsia" w:ascii="仿宋" w:hAnsi="仿宋" w:eastAsia="仿宋" w:cs="仿宋"/>
          <w:sz w:val="28"/>
          <w:szCs w:val="28"/>
        </w:rPr>
        <w:t>原产权人尚有任何有关估价对象的欠缴税费、拖欠物业费、水电气费等情况，应按照规定缴纳或从评估价值中相应扣减。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bookmarkStart w:id="53" w:name="_Toc28408_WPSOffice_Level2"/>
      <w:bookmarkStart w:id="54" w:name="_Toc27360_WPSOffice_Level2"/>
      <w:r>
        <w:rPr>
          <w:rFonts w:hint="eastAsia" w:ascii="仿宋" w:hAnsi="仿宋" w:eastAsia="仿宋" w:cs="仿宋"/>
          <w:sz w:val="28"/>
          <w:szCs w:val="28"/>
          <w:lang w:val="en-US" w:eastAsia="zh-CN"/>
        </w:rPr>
        <w:t>（六）估价报告使用限制</w:t>
      </w:r>
      <w:bookmarkEnd w:id="53"/>
      <w:bookmarkEnd w:id="54"/>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1、本报告</w:t>
      </w:r>
      <w:r>
        <w:rPr>
          <w:rFonts w:hint="eastAsia" w:ascii="仿宋" w:hAnsi="仿宋" w:eastAsia="仿宋" w:cs="仿宋"/>
          <w:sz w:val="28"/>
          <w:szCs w:val="28"/>
        </w:rPr>
        <w:t>为</w:t>
      </w:r>
      <w:r>
        <w:rPr>
          <w:rFonts w:hint="eastAsia" w:ascii="仿宋_GB2312" w:hAnsi="Arial Narrow" w:eastAsia="仿宋_GB2312"/>
          <w:sz w:val="28"/>
          <w:szCs w:val="32"/>
          <w:lang w:val="en-US" w:eastAsia="zh-CN"/>
        </w:rPr>
        <w:t>人民法院确定财产处置参考价提供参考依据</w:t>
      </w:r>
      <w:r>
        <w:rPr>
          <w:rFonts w:hint="eastAsia" w:ascii="仿宋" w:hAnsi="仿宋" w:eastAsia="仿宋" w:cs="仿宋"/>
          <w:sz w:val="28"/>
          <w:szCs w:val="28"/>
          <w:lang w:eastAsia="zh-CN"/>
        </w:rPr>
        <w:t>，不得用于其他目的。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本报告有效期为壹年</w:t>
      </w:r>
      <w:r>
        <w:rPr>
          <w:rFonts w:hint="eastAsia" w:ascii="仿宋_GB2312" w:hAnsi="Arial Narrow" w:eastAsia="仿宋_GB2312"/>
          <w:sz w:val="28"/>
          <w:szCs w:val="32"/>
          <w:lang w:val="en-US" w:eastAsia="zh-CN"/>
        </w:rPr>
        <w:t>(2020年05月15日起至2021年05月14日)</w:t>
      </w:r>
      <w:r>
        <w:rPr>
          <w:rFonts w:hint="eastAsia" w:ascii="仿宋" w:hAnsi="仿宋" w:eastAsia="仿宋" w:cs="仿宋"/>
          <w:sz w:val="28"/>
          <w:szCs w:val="28"/>
          <w:lang w:eastAsia="zh-CN"/>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548" w:firstLineChars="196"/>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3、</w:t>
      </w:r>
      <w:r>
        <w:rPr>
          <w:rFonts w:hint="eastAsia" w:ascii="仿宋" w:hAnsi="仿宋" w:eastAsia="仿宋" w:cs="仿宋"/>
          <w:kern w:val="2"/>
          <w:sz w:val="28"/>
          <w:szCs w:val="28"/>
          <w:lang w:val="en-US" w:eastAsia="zh-CN" w:bidi="ar-SA"/>
        </w:rPr>
        <w:t>本报告估价结果根据本次估价目的，对估价对象在保持现有状态下作出的，仅供委托人依法办理案件确定估价对象的市场价值提供参考依据。若改变估价结论的应用范围或使用条件，须向本估价机构咨询后作必要修正乃至重新评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估价对象的房屋建筑面积是根据委托人提供的资料为依据，我们无法确保本报告估价对象的建筑面积和房地产权属状况与房地产权属登记部门房屋产权登记中所记载的上述内容有无差异，故本报告不能作为确定估价对象权属和面积的依据；本报告估价结果包括房屋建筑物及分摊的土地使用权价格，以估价对象分摊土地使用权为出让性质为假设前提，故估价结果包含土地出让金。本次估价考虑了满足估价对象使用功能且无法从建筑物主体剥离的附属设施对估价结论的影响，估价结果不包含室内动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委托人提供的资料和陈述的情况直接影响我们的估价分析和结论，因此委托人应对提供资料和陈述情况的合法性、真实性、完整性及其引起的后果负责；因其失实造成评估结果有误的，评估机构和评估人员不承担相应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、如发现本报告内的文字或数字因打印或其它原因出现误差时，请通知本公司进行更正。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、未经评估机构同意，本报告书的全部或部分内容不得向委托方和评估报告审查部门之外的单位和个人提供，也不得发表于任何公开媒体。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、本报告书应与估价对象的合法权证一并使用方才有效，评估机构仅对正确使用本报告者负责。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本报告书由“致估价委托人函”、“注册房地产估价师声明”、“估价假设和限制条件”、“估价结果报告”和“附件”构成完整的估价报告。报告使用人应严格按照本估价报告全部完整地应用，否则由此引起的后果与本公司和估价人员无关。本报告经法定代表人签章，注册房地产估价师签字，评估机构盖章并作为一个整体时有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估价报告有效期内相关法规及政策，估价对象质量及价格标准或有关房地产方面的法规等发生变化，并对房地产评估结果产生明显影响时，委托方应及时聘请评估机构重新确定评估价或调整估价报告结果。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_GB2312" w:hAnsi="Arial Narrow" w:eastAsia="仿宋_GB2312"/>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本次估价结果未考虑国家宏观经济政策发生重大变化以及遇有自然力和其他不可抗力对估价结论的影响。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Arial Narrow" w:eastAsia="仿宋_GB2312"/>
          <w:sz w:val="28"/>
          <w:szCs w:val="28"/>
          <w:lang w:val="en-US" w:eastAsia="zh-CN"/>
        </w:rPr>
      </w:pPr>
      <w:r>
        <w:rPr>
          <w:rFonts w:hint="eastAsia" w:ascii="仿宋_GB2312" w:hAnsi="Arial Narrow"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Arial Narrow"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Arial Narrow" w:eastAsia="仿宋_GB2312"/>
          <w:sz w:val="28"/>
          <w:szCs w:val="28"/>
          <w:lang w:val="en-US" w:eastAsia="zh-CN"/>
        </w:rPr>
      </w:pPr>
      <w:r>
        <w:rPr>
          <w:rFonts w:hint="eastAsia" w:ascii="仿宋_GB2312" w:hAnsi="Arial Narrow" w:eastAsia="仿宋_GB2312"/>
          <w:sz w:val="28"/>
          <w:szCs w:val="28"/>
          <w:lang w:val="en-US" w:eastAsia="zh-CN"/>
        </w:rPr>
        <w:t xml:space="preserve">         </w:t>
      </w:r>
      <w:bookmarkStart w:id="55" w:name="_Toc11052_WPSOffice_Level2"/>
      <w:bookmarkStart w:id="56" w:name="_Toc21004_WPSOffice_Level2"/>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Arial Narrow" w:eastAsia="仿宋_GB2312"/>
          <w:sz w:val="28"/>
          <w:szCs w:val="28"/>
        </w:rPr>
      </w:pPr>
      <w:r>
        <w:rPr>
          <w:rFonts w:hint="eastAsia" w:ascii="仿宋_GB2312" w:hAnsi="Arial Narrow" w:eastAsia="仿宋_GB2312"/>
          <w:sz w:val="28"/>
          <w:szCs w:val="28"/>
          <w:lang w:val="en-US" w:eastAsia="zh-CN"/>
        </w:rPr>
        <w:t xml:space="preserve">　　　　　　　            </w:t>
      </w:r>
      <w:r>
        <w:rPr>
          <w:rFonts w:hint="eastAsia" w:ascii="仿宋_GB2312" w:hAnsi="Arial Narrow" w:eastAsia="仿宋_GB2312"/>
          <w:sz w:val="28"/>
          <w:szCs w:val="28"/>
        </w:rPr>
        <w:t>四川省信和房地产评估咨询有限公司</w:t>
      </w:r>
      <w:bookmarkEnd w:id="55"/>
      <w:bookmarkEnd w:id="56"/>
    </w:p>
    <w:p>
      <w:pPr>
        <w:keepNext w:val="0"/>
        <w:keepLines w:val="0"/>
        <w:pageBreakBefore w:val="0"/>
        <w:widowControl w:val="0"/>
        <w:kinsoku/>
        <w:wordWrap/>
        <w:overflowPunct/>
        <w:topLinePunct w:val="0"/>
        <w:autoSpaceDE/>
        <w:autoSpaceDN/>
        <w:bidi w:val="0"/>
        <w:adjustRightInd/>
        <w:snapToGrid/>
        <w:spacing w:line="600" w:lineRule="exact"/>
        <w:ind w:right="560"/>
        <w:jc w:val="center"/>
        <w:textAlignment w:val="auto"/>
        <w:outlineLvl w:val="9"/>
        <w:rPr>
          <w:rFonts w:hint="eastAsia" w:ascii="仿宋_GB2312" w:hAnsi="Arial Narrow" w:eastAsia="仿宋_GB2312"/>
          <w:sz w:val="28"/>
          <w:szCs w:val="28"/>
          <w:lang w:eastAsia="zh-CN"/>
        </w:rPr>
      </w:pPr>
      <w:r>
        <w:rPr>
          <w:rFonts w:hint="eastAsia" w:ascii="仿宋_GB2312" w:hAnsi="Arial Narrow" w:eastAsia="仿宋_GB2312"/>
          <w:sz w:val="28"/>
          <w:szCs w:val="28"/>
        </w:rPr>
        <w:t xml:space="preserve">                  </w:t>
      </w:r>
      <w:r>
        <w:rPr>
          <w:rFonts w:hint="eastAsia" w:ascii="仿宋_GB2312" w:hAnsi="Arial Narrow" w:eastAsia="仿宋_GB2312"/>
          <w:sz w:val="28"/>
          <w:szCs w:val="28"/>
          <w:lang w:val="en-US" w:eastAsia="zh-CN"/>
        </w:rPr>
        <w:t xml:space="preserve">                </w:t>
      </w:r>
      <w:r>
        <w:rPr>
          <w:rFonts w:hint="eastAsia" w:ascii="仿宋_GB2312" w:hAnsi="Arial Narrow" w:eastAsia="仿宋_GB2312"/>
          <w:sz w:val="28"/>
          <w:szCs w:val="28"/>
          <w:lang w:eastAsia="zh-CN"/>
        </w:rPr>
        <w:t xml:space="preserve">二〇二〇年五月十五日   </w:t>
      </w:r>
      <w:bookmarkStart w:id="57" w:name="_Toc25884"/>
      <w:bookmarkStart w:id="58" w:name="_Toc19687"/>
      <w:bookmarkStart w:id="59" w:name="_Toc19960"/>
      <w:bookmarkStart w:id="60" w:name="_Toc29313_WPSOffice_Level1"/>
      <w:bookmarkStart w:id="61" w:name="_Toc29471"/>
      <w:bookmarkStart w:id="62" w:name="_Toc13694_WPSOffice_Level1"/>
      <w:bookmarkStart w:id="63" w:name="_Toc10507"/>
    </w:p>
    <w:p>
      <w:pPr>
        <w:keepNext w:val="0"/>
        <w:keepLines w:val="0"/>
        <w:pageBreakBefore w:val="0"/>
        <w:widowControl w:val="0"/>
        <w:kinsoku/>
        <w:wordWrap/>
        <w:overflowPunct/>
        <w:topLinePunct w:val="0"/>
        <w:autoSpaceDE/>
        <w:autoSpaceDN/>
        <w:bidi w:val="0"/>
        <w:adjustRightInd/>
        <w:snapToGrid/>
        <w:spacing w:line="600" w:lineRule="exact"/>
        <w:ind w:right="560"/>
        <w:jc w:val="center"/>
        <w:textAlignment w:val="auto"/>
        <w:outlineLvl w:val="9"/>
        <w:rPr>
          <w:rFonts w:hint="eastAsia" w:ascii="仿宋_GB2312" w:hAnsi="Arial Narrow"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560"/>
        <w:jc w:val="center"/>
        <w:textAlignment w:val="auto"/>
        <w:outlineLvl w:val="9"/>
        <w:rPr>
          <w:rFonts w:hint="eastAsia" w:ascii="仿宋_GB2312" w:hAnsi="Arial Narrow"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560"/>
        <w:jc w:val="center"/>
        <w:textAlignment w:val="auto"/>
        <w:outlineLvl w:val="9"/>
        <w:rPr>
          <w:rFonts w:hint="eastAsia" w:ascii="仿宋_GB2312" w:hAnsi="Arial Narrow"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560"/>
        <w:jc w:val="center"/>
        <w:textAlignment w:val="auto"/>
        <w:outlineLvl w:val="9"/>
        <w:rPr>
          <w:rFonts w:hint="eastAsia" w:ascii="仿宋_GB2312" w:hAnsi="Arial Narrow"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560"/>
        <w:jc w:val="center"/>
        <w:textAlignment w:val="auto"/>
        <w:outlineLvl w:val="9"/>
        <w:rPr>
          <w:rFonts w:hint="eastAsia" w:ascii="仿宋_GB2312" w:hAnsi="Arial Narrow"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560"/>
        <w:jc w:val="center"/>
        <w:textAlignment w:val="auto"/>
        <w:outlineLvl w:val="9"/>
        <w:rPr>
          <w:rFonts w:hint="eastAsia" w:ascii="仿宋_GB2312" w:hAnsi="Arial Narrow"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560"/>
        <w:jc w:val="center"/>
        <w:textAlignment w:val="auto"/>
        <w:outlineLvl w:val="9"/>
        <w:rPr>
          <w:rFonts w:hint="eastAsia" w:ascii="仿宋_GB2312" w:hAnsi="Arial Narrow"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560"/>
        <w:jc w:val="center"/>
        <w:textAlignment w:val="auto"/>
        <w:outlineLvl w:val="9"/>
        <w:rPr>
          <w:rFonts w:hint="eastAsia" w:ascii="仿宋_GB2312" w:hAnsi="Arial Narrow"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560"/>
        <w:jc w:val="center"/>
        <w:textAlignment w:val="auto"/>
        <w:outlineLvl w:val="9"/>
        <w:rPr>
          <w:rFonts w:hint="eastAsia" w:ascii="仿宋_GB2312" w:hAnsi="Arial Narrow"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560"/>
        <w:jc w:val="center"/>
        <w:textAlignment w:val="auto"/>
        <w:outlineLvl w:val="9"/>
        <w:rPr>
          <w:rFonts w:hint="eastAsia" w:ascii="仿宋_GB2312" w:hAnsi="Arial Narrow"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560"/>
        <w:jc w:val="center"/>
        <w:textAlignment w:val="auto"/>
        <w:outlineLvl w:val="9"/>
        <w:rPr>
          <w:rFonts w:hint="eastAsia" w:ascii="仿宋_GB2312" w:hAnsi="Arial Narrow"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560"/>
        <w:jc w:val="center"/>
        <w:textAlignment w:val="auto"/>
        <w:outlineLvl w:val="9"/>
        <w:rPr>
          <w:rFonts w:hint="eastAsia" w:ascii="仿宋_GB2312" w:hAnsi="Arial Narrow"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560"/>
        <w:jc w:val="both"/>
        <w:textAlignment w:val="auto"/>
        <w:outlineLvl w:val="9"/>
        <w:rPr>
          <w:rFonts w:hint="eastAsia" w:ascii="仿宋_GB2312" w:hAnsi="Arial Narrow"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560"/>
        <w:jc w:val="center"/>
        <w:textAlignment w:val="auto"/>
        <w:outlineLvl w:val="9"/>
        <w:rPr>
          <w:rFonts w:hint="eastAsia" w:ascii="黑体" w:hAnsi="Arial Narrow" w:eastAsia="黑体" w:cs="宋体"/>
          <w:b/>
          <w:spacing w:val="20"/>
          <w:sz w:val="36"/>
          <w:szCs w:val="36"/>
        </w:rPr>
      </w:pPr>
      <w:r>
        <w:rPr>
          <w:rFonts w:hint="eastAsia" w:ascii="黑体" w:hAnsi="Arial Narrow" w:eastAsia="黑体" w:cs="宋体"/>
          <w:b/>
          <w:spacing w:val="20"/>
          <w:sz w:val="36"/>
          <w:szCs w:val="36"/>
          <w:lang w:val="en-US" w:eastAsia="zh-CN"/>
        </w:rPr>
        <w:t>三、</w:t>
      </w:r>
      <w:r>
        <w:rPr>
          <w:rFonts w:hint="eastAsia" w:ascii="黑体" w:hAnsi="Arial Narrow" w:eastAsia="黑体" w:cs="宋体"/>
          <w:b/>
          <w:spacing w:val="20"/>
          <w:sz w:val="36"/>
          <w:szCs w:val="36"/>
        </w:rPr>
        <w:t>房地产估价结果报告</w:t>
      </w:r>
      <w:bookmarkEnd w:id="28"/>
      <w:bookmarkEnd w:id="29"/>
      <w:bookmarkEnd w:id="30"/>
      <w:bookmarkEnd w:id="31"/>
      <w:bookmarkEnd w:id="32"/>
      <w:bookmarkEnd w:id="33"/>
      <w:bookmarkEnd w:id="34"/>
      <w:bookmarkEnd w:id="35"/>
      <w:bookmarkEnd w:id="57"/>
      <w:bookmarkEnd w:id="58"/>
      <w:bookmarkEnd w:id="59"/>
      <w:bookmarkEnd w:id="60"/>
      <w:bookmarkEnd w:id="61"/>
      <w:bookmarkEnd w:id="62"/>
      <w:bookmarkEnd w:id="63"/>
    </w:p>
    <w:bookmarkEnd w:id="36"/>
    <w:bookmarkEnd w:id="37"/>
    <w:p>
      <w:pPr>
        <w:keepNext/>
        <w:keepLines/>
        <w:kinsoku/>
        <w:wordWrap/>
        <w:overflowPunct/>
        <w:topLinePunct w:val="0"/>
        <w:autoSpaceDE/>
        <w:autoSpaceDN/>
        <w:bidi w:val="0"/>
        <w:adjustRightInd/>
        <w:snapToGrid/>
        <w:spacing w:before="312" w:beforeLines="100" w:line="600" w:lineRule="exact"/>
        <w:ind w:right="0" w:rightChars="0"/>
        <w:textAlignment w:val="auto"/>
        <w:outlineLvl w:val="1"/>
        <w:rPr>
          <w:rFonts w:hint="eastAsia" w:ascii="仿宋_GB2312" w:hAnsi="Arial Narrow" w:eastAsia="仿宋_GB2312"/>
          <w:sz w:val="28"/>
          <w:szCs w:val="28"/>
          <w:lang w:val="en-US" w:eastAsia="zh-CN"/>
        </w:rPr>
      </w:pPr>
      <w:bookmarkStart w:id="64" w:name="_Hlt91515901"/>
      <w:bookmarkEnd w:id="64"/>
      <w:r>
        <w:rPr>
          <w:rFonts w:hint="eastAsia" w:ascii="仿宋_GB2312" w:hAnsi="Arial Narrow" w:eastAsia="仿宋_GB2312"/>
          <w:b/>
          <w:sz w:val="28"/>
          <w:szCs w:val="28"/>
        </w:rPr>
        <w:t xml:space="preserve">   </w:t>
      </w:r>
      <w:bookmarkStart w:id="65" w:name="_Toc24147"/>
      <w:bookmarkStart w:id="66" w:name="_Toc11454"/>
      <w:r>
        <w:rPr>
          <w:rFonts w:hint="eastAsia" w:ascii="仿宋_GB2312" w:hAnsi="Arial Narrow" w:eastAsia="仿宋_GB2312"/>
          <w:b w:val="0"/>
          <w:bCs/>
          <w:sz w:val="28"/>
          <w:szCs w:val="28"/>
          <w:lang w:val="en-US" w:eastAsia="zh-CN"/>
        </w:rPr>
        <w:t xml:space="preserve"> </w:t>
      </w:r>
      <w:bookmarkStart w:id="67" w:name="_Toc11208"/>
      <w:bookmarkStart w:id="68" w:name="_Toc31492"/>
      <w:bookmarkStart w:id="69" w:name="_Toc27903"/>
      <w:r>
        <w:rPr>
          <w:rFonts w:hint="eastAsia" w:ascii="仿宋_GB2312" w:hAnsi="Arial Narrow" w:eastAsia="仿宋_GB2312"/>
          <w:b/>
          <w:bCs w:val="0"/>
          <w:sz w:val="28"/>
          <w:szCs w:val="28"/>
          <w:lang w:val="en-US" w:eastAsia="zh-CN"/>
        </w:rPr>
        <w:t>(</w:t>
      </w:r>
      <w:r>
        <w:rPr>
          <w:rFonts w:hint="eastAsia" w:ascii="仿宋_GB2312" w:hAnsi="Arial Narrow" w:eastAsia="仿宋_GB2312"/>
          <w:b/>
          <w:bCs w:val="0"/>
          <w:sz w:val="28"/>
          <w:szCs w:val="28"/>
        </w:rPr>
        <w:t>一</w:t>
      </w:r>
      <w:r>
        <w:rPr>
          <w:rFonts w:hint="eastAsia" w:ascii="仿宋_GB2312" w:hAnsi="Arial Narrow" w:eastAsia="仿宋_GB2312"/>
          <w:b/>
          <w:bCs w:val="0"/>
          <w:sz w:val="28"/>
          <w:szCs w:val="28"/>
          <w:lang w:val="en-US" w:eastAsia="zh-CN"/>
        </w:rPr>
        <w:t>)</w:t>
      </w:r>
      <w:r>
        <w:rPr>
          <w:rFonts w:hint="eastAsia" w:ascii="仿宋_GB2312" w:hAnsi="宋体" w:eastAsia="仿宋_GB2312"/>
          <w:b/>
          <w:bCs w:val="0"/>
          <w:sz w:val="28"/>
          <w:szCs w:val="28"/>
          <w:lang w:val="en-US" w:eastAsia="zh-CN"/>
        </w:rPr>
        <w:t>估价</w:t>
      </w:r>
      <w:r>
        <w:rPr>
          <w:rFonts w:hint="eastAsia" w:ascii="仿宋_GB2312" w:hAnsi="Arial Narrow" w:eastAsia="仿宋_GB2312"/>
          <w:b/>
          <w:bCs w:val="0"/>
          <w:sz w:val="28"/>
          <w:szCs w:val="28"/>
        </w:rPr>
        <w:t>委托</w:t>
      </w:r>
      <w:r>
        <w:rPr>
          <w:rFonts w:hint="eastAsia" w:ascii="仿宋_GB2312" w:hAnsi="Arial Narrow" w:eastAsia="仿宋_GB2312"/>
          <w:b/>
          <w:bCs w:val="0"/>
          <w:sz w:val="28"/>
          <w:szCs w:val="28"/>
          <w:lang w:eastAsia="zh-CN"/>
        </w:rPr>
        <w:t>人</w:t>
      </w:r>
      <w:r>
        <w:rPr>
          <w:rFonts w:hint="eastAsia" w:ascii="仿宋_GB2312" w:hAnsi="Arial Narrow" w:eastAsia="仿宋_GB2312"/>
          <w:sz w:val="28"/>
          <w:szCs w:val="28"/>
        </w:rPr>
        <w:t>：</w:t>
      </w:r>
      <w:bookmarkEnd w:id="65"/>
      <w:bookmarkEnd w:id="66"/>
      <w:bookmarkEnd w:id="67"/>
      <w:bookmarkEnd w:id="68"/>
      <w:bookmarkEnd w:id="69"/>
      <w:bookmarkStart w:id="70" w:name="_Toc14993"/>
      <w:bookmarkStart w:id="71" w:name="_Toc181991931"/>
      <w:bookmarkStart w:id="72" w:name="_Toc467923303"/>
      <w:bookmarkStart w:id="73" w:name="_Toc181991504"/>
      <w:bookmarkStart w:id="74" w:name="_Toc192836325"/>
      <w:bookmarkStart w:id="75" w:name="_Toc12407"/>
      <w:bookmarkStart w:id="76" w:name="_Toc40186490"/>
      <w:bookmarkStart w:id="77" w:name="_Toc512132720"/>
      <w:bookmarkStart w:id="78" w:name="_Toc494703318"/>
      <w:bookmarkStart w:id="79" w:name="_Toc165264280"/>
      <w:bookmarkStart w:id="80" w:name="_Toc181378693"/>
      <w:bookmarkStart w:id="81" w:name="_Toc181992703"/>
      <w:bookmarkStart w:id="82" w:name="_Toc192836217"/>
      <w:bookmarkStart w:id="83" w:name="_Toc40186491"/>
      <w:bookmarkStart w:id="84" w:name="_Toc494703320"/>
      <w:r>
        <w:rPr>
          <w:rFonts w:hint="eastAsia" w:ascii="仿宋_GB2312" w:hAnsi="Arial Narrow" w:eastAsia="仿宋_GB2312"/>
          <w:sz w:val="28"/>
          <w:szCs w:val="28"/>
          <w:lang w:eastAsia="zh-CN"/>
        </w:rPr>
        <w:t>广汉市人民法院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31" w:right="0" w:rightChars="0" w:firstLine="281" w:firstLineChars="100"/>
        <w:jc w:val="both"/>
        <w:textAlignment w:val="auto"/>
        <w:outlineLvl w:val="9"/>
        <w:rPr>
          <w:rFonts w:hint="eastAsia" w:ascii="仿宋" w:hAnsi="仿宋" w:eastAsia="仿宋" w:cs="仿宋"/>
          <w:color w:val="auto"/>
          <w:sz w:val="28"/>
          <w:szCs w:val="28"/>
        </w:rPr>
      </w:pPr>
      <w:bookmarkStart w:id="85" w:name="_Toc9353"/>
      <w:bookmarkStart w:id="86" w:name="_Toc9765"/>
      <w:bookmarkStart w:id="87" w:name="_Toc24540"/>
      <w:r>
        <w:rPr>
          <w:rFonts w:hint="eastAsia" w:ascii="仿宋_GB2312" w:hAnsi="Arial Narrow" w:eastAsia="仿宋_GB2312"/>
          <w:b/>
          <w:bCs/>
          <w:sz w:val="28"/>
          <w:szCs w:val="28"/>
          <w:lang w:val="en-US" w:eastAsia="zh-CN"/>
        </w:rPr>
        <w:t>(</w:t>
      </w:r>
      <w:r>
        <w:rPr>
          <w:rFonts w:hint="eastAsia" w:ascii="仿宋_GB2312" w:hAnsi="Arial Narrow" w:eastAsia="仿宋_GB2312"/>
          <w:b/>
          <w:bCs/>
          <w:sz w:val="28"/>
          <w:szCs w:val="28"/>
        </w:rPr>
        <w:t>二</w:t>
      </w:r>
      <w:r>
        <w:rPr>
          <w:rFonts w:hint="eastAsia" w:ascii="仿宋_GB2312" w:hAnsi="Arial Narrow" w:eastAsia="仿宋_GB2312"/>
          <w:b/>
          <w:bCs/>
          <w:sz w:val="28"/>
          <w:szCs w:val="28"/>
          <w:lang w:val="en-US" w:eastAsia="zh-CN"/>
        </w:rPr>
        <w:t>)</w:t>
      </w:r>
      <w:bookmarkEnd w:id="70"/>
      <w:bookmarkEnd w:id="71"/>
      <w:bookmarkEnd w:id="72"/>
      <w:bookmarkEnd w:id="73"/>
      <w:bookmarkEnd w:id="74"/>
      <w:bookmarkEnd w:id="75"/>
      <w:bookmarkEnd w:id="76"/>
      <w:bookmarkEnd w:id="77"/>
      <w:bookmarkEnd w:id="78"/>
      <w:bookmarkEnd w:id="79"/>
      <w:bookmarkEnd w:id="80"/>
      <w:bookmarkEnd w:id="81"/>
      <w:bookmarkEnd w:id="82"/>
      <w:bookmarkEnd w:id="85"/>
      <w:bookmarkEnd w:id="86"/>
      <w:bookmarkEnd w:id="87"/>
      <w:bookmarkStart w:id="88" w:name="_Toc181991505"/>
      <w:bookmarkStart w:id="89" w:name="_Toc181991932"/>
      <w:bookmarkStart w:id="90" w:name="_Toc192836326"/>
      <w:bookmarkStart w:id="91" w:name="_Toc192836218"/>
      <w:bookmarkStart w:id="92" w:name="_Toc165264281"/>
      <w:bookmarkStart w:id="93" w:name="_Toc181378694"/>
      <w:bookmarkStart w:id="94" w:name="_Toc181992704"/>
      <w:r>
        <w:rPr>
          <w:rFonts w:hint="eastAsia" w:ascii="仿宋" w:hAnsi="仿宋" w:eastAsia="仿宋" w:cs="仿宋"/>
          <w:b/>
          <w:bCs/>
          <w:sz w:val="28"/>
          <w:szCs w:val="28"/>
          <w:lang w:eastAsia="zh-CN"/>
        </w:rPr>
        <w:t>估价结构</w:t>
      </w:r>
      <w:r>
        <w:rPr>
          <w:rFonts w:hint="eastAsia" w:ascii="仿宋" w:hAnsi="仿宋" w:eastAsia="仿宋" w:cs="仿宋"/>
          <w:sz w:val="28"/>
          <w:szCs w:val="28"/>
        </w:rPr>
        <w:t>：四川省信和房地产评估咨询有限公司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366" w:firstLineChars="131"/>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t xml:space="preserve">    公司类型：</w:t>
      </w:r>
      <w:r>
        <w:rPr>
          <w:rFonts w:hint="eastAsia" w:ascii="仿宋" w:hAnsi="仿宋" w:eastAsia="仿宋" w:cs="仿宋"/>
          <w:b w:val="0"/>
          <w:i w:val="0"/>
          <w:caps w:val="0"/>
          <w:color w:val="454545"/>
          <w:spacing w:val="0"/>
          <w:sz w:val="28"/>
          <w:szCs w:val="28"/>
          <w:shd w:val="clear" w:color="auto" w:fill="FFFFFF"/>
        </w:rPr>
        <w:t>有限责任公司(自然人投资或控股)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921" w:firstLineChars="329"/>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住所：</w:t>
      </w:r>
      <w:r>
        <w:rPr>
          <w:rFonts w:hint="eastAsia" w:ascii="仿宋" w:hAnsi="仿宋" w:eastAsia="仿宋" w:cs="仿宋"/>
          <w:color w:val="auto"/>
          <w:sz w:val="28"/>
          <w:szCs w:val="28"/>
          <w:lang w:eastAsia="zh-CN"/>
        </w:rPr>
        <w:t>四川省巴中市巴州区江北大道中段</w:t>
      </w:r>
      <w:r>
        <w:rPr>
          <w:rFonts w:hint="eastAsia" w:ascii="仿宋" w:hAnsi="仿宋" w:eastAsia="仿宋" w:cs="仿宋"/>
          <w:color w:val="auto"/>
          <w:sz w:val="28"/>
          <w:szCs w:val="28"/>
          <w:lang w:val="en-US" w:eastAsia="zh-CN"/>
        </w:rPr>
        <w:t>160号1101号</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366" w:firstLineChars="131"/>
        <w:jc w:val="left"/>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法定代表人：</w:t>
      </w:r>
      <w:r>
        <w:rPr>
          <w:rFonts w:hint="eastAsia" w:ascii="仿宋" w:hAnsi="仿宋" w:eastAsia="仿宋" w:cs="仿宋"/>
          <w:color w:val="auto"/>
          <w:sz w:val="28"/>
          <w:szCs w:val="28"/>
          <w:lang w:val="en-US" w:eastAsia="zh-CN"/>
        </w:rPr>
        <w:t>谯仕进</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921" w:firstLineChars="329"/>
        <w:jc w:val="left"/>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注册资本：叁佰万元整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921" w:firstLineChars="329"/>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成立日期：</w:t>
      </w:r>
      <w:r>
        <w:rPr>
          <w:rFonts w:hint="eastAsia" w:ascii="仿宋" w:hAnsi="仿宋" w:eastAsia="仿宋" w:cs="仿宋"/>
          <w:color w:val="auto"/>
          <w:sz w:val="28"/>
          <w:szCs w:val="28"/>
          <w:lang w:val="en-US" w:eastAsia="zh-CN"/>
        </w:rPr>
        <w:t>2001年04月25日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921" w:firstLineChars="329"/>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b w:val="0"/>
          <w:i w:val="0"/>
          <w:caps w:val="0"/>
          <w:color w:val="454545"/>
          <w:spacing w:val="0"/>
          <w:sz w:val="28"/>
          <w:szCs w:val="28"/>
          <w:shd w:val="clear" w:color="auto" w:fill="FFFFFF"/>
          <w:lang w:eastAsia="zh-CN"/>
        </w:rPr>
        <w:t>营业期限：</w:t>
      </w:r>
      <w:r>
        <w:rPr>
          <w:rFonts w:hint="eastAsia" w:ascii="仿宋" w:hAnsi="仿宋" w:eastAsia="仿宋" w:cs="仿宋"/>
          <w:b w:val="0"/>
          <w:i w:val="0"/>
          <w:caps w:val="0"/>
          <w:color w:val="454545"/>
          <w:spacing w:val="0"/>
          <w:sz w:val="28"/>
          <w:szCs w:val="28"/>
          <w:shd w:val="clear" w:color="auto" w:fill="FFFFFF"/>
          <w:lang w:val="en-US" w:eastAsia="zh-CN"/>
        </w:rPr>
        <w:t>2001年04月25日至长期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921" w:firstLineChars="329"/>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房地产评估资质等级：</w:t>
      </w:r>
      <w:r>
        <w:rPr>
          <w:rFonts w:hint="eastAsia" w:ascii="仿宋" w:hAnsi="仿宋" w:eastAsia="仿宋" w:cs="仿宋"/>
          <w:color w:val="auto"/>
          <w:sz w:val="28"/>
          <w:szCs w:val="28"/>
          <w:lang w:eastAsia="zh-CN"/>
        </w:rPr>
        <w:t>贰</w:t>
      </w:r>
      <w:r>
        <w:rPr>
          <w:rFonts w:hint="eastAsia" w:ascii="仿宋" w:hAnsi="仿宋" w:eastAsia="仿宋" w:cs="仿宋"/>
          <w:color w:val="auto"/>
          <w:sz w:val="28"/>
          <w:szCs w:val="28"/>
        </w:rPr>
        <w:t>级</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921" w:firstLineChars="329"/>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统一社会信用代码：</w:t>
      </w:r>
      <w:r>
        <w:rPr>
          <w:rFonts w:hint="eastAsia" w:ascii="仿宋" w:hAnsi="仿宋" w:eastAsia="仿宋" w:cs="仿宋"/>
          <w:color w:val="auto"/>
          <w:sz w:val="28"/>
          <w:szCs w:val="28"/>
          <w:lang w:val="en-US" w:eastAsia="zh-CN"/>
        </w:rPr>
        <w:t>915119007315964344</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366" w:firstLineChars="131"/>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资质证书编号：</w:t>
      </w:r>
      <w:r>
        <w:rPr>
          <w:rFonts w:hint="eastAsia" w:ascii="仿宋" w:hAnsi="仿宋" w:eastAsia="仿宋" w:cs="仿宋"/>
          <w:color w:val="auto"/>
          <w:sz w:val="28"/>
          <w:szCs w:val="28"/>
          <w:lang w:eastAsia="zh-CN"/>
        </w:rPr>
        <w:t>川建房估备字</w:t>
      </w:r>
      <w:r>
        <w:rPr>
          <w:rFonts w:hint="eastAsia" w:ascii="仿宋" w:hAnsi="仿宋" w:eastAsia="仿宋" w:cs="仿宋"/>
          <w:color w:val="auto"/>
          <w:sz w:val="28"/>
          <w:szCs w:val="28"/>
          <w:lang w:val="en-US" w:eastAsia="zh-CN"/>
        </w:rPr>
        <w:t>[2018]0108号</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921" w:firstLineChars="329"/>
        <w:jc w:val="left"/>
        <w:textAlignment w:val="auto"/>
        <w:outlineLvl w:val="9"/>
        <w:rPr>
          <w:rFonts w:hint="eastAsia" w:ascii="仿宋_GB2312" w:hAnsi="宋体" w:eastAsia="仿宋_GB2312"/>
          <w:sz w:val="28"/>
          <w:szCs w:val="28"/>
          <w:lang w:val="en-US" w:eastAsia="zh-CN"/>
        </w:rPr>
      </w:pPr>
      <w:r>
        <w:rPr>
          <w:rFonts w:hint="eastAsia" w:ascii="仿宋" w:hAnsi="仿宋" w:eastAsia="仿宋" w:cs="仿宋"/>
          <w:color w:val="auto"/>
          <w:sz w:val="28"/>
          <w:szCs w:val="28"/>
          <w:lang w:val="en-US" w:eastAsia="zh-CN"/>
        </w:rPr>
        <w:t>资质有效期：2018年04月17日至2021年04月17日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281" w:firstLineChars="100"/>
        <w:textAlignment w:val="auto"/>
        <w:outlineLvl w:val="1"/>
        <w:rPr>
          <w:rFonts w:hint="eastAsia" w:ascii="仿宋_GB2312" w:hAnsi="Arial Narrow" w:eastAsia="仿宋_GB2312"/>
          <w:sz w:val="28"/>
          <w:szCs w:val="32"/>
          <w:lang w:val="en-US" w:eastAsia="zh-CN"/>
        </w:rPr>
      </w:pPr>
      <w:bookmarkStart w:id="95" w:name="_Toc18437"/>
      <w:bookmarkStart w:id="96" w:name="_Toc16605"/>
      <w:bookmarkStart w:id="97" w:name="_Toc2544"/>
      <w:bookmarkStart w:id="98" w:name="_Toc32274"/>
      <w:r>
        <w:rPr>
          <w:rFonts w:hint="eastAsia" w:ascii="仿宋_GB2312" w:hAnsi="宋体" w:eastAsia="仿宋_GB2312"/>
          <w:b/>
          <w:bCs/>
          <w:sz w:val="28"/>
          <w:szCs w:val="28"/>
          <w:lang w:eastAsia="zh-CN"/>
        </w:rPr>
        <w:t>　</w:t>
      </w:r>
      <w:bookmarkStart w:id="99" w:name="_Toc12609"/>
      <w:r>
        <w:rPr>
          <w:rFonts w:hint="eastAsia" w:ascii="仿宋_GB2312" w:hAnsi="宋体" w:eastAsia="仿宋_GB2312"/>
          <w:b/>
          <w:bCs/>
          <w:sz w:val="28"/>
          <w:szCs w:val="28"/>
          <w:lang w:eastAsia="zh-CN"/>
        </w:rPr>
        <w:t>（三）</w:t>
      </w:r>
      <w:r>
        <w:rPr>
          <w:rFonts w:hint="eastAsia" w:ascii="仿宋_GB2312" w:hAnsi="宋体" w:eastAsia="仿宋_GB2312"/>
          <w:b/>
          <w:bCs/>
          <w:sz w:val="28"/>
          <w:szCs w:val="28"/>
        </w:rPr>
        <w:t>估价目的</w:t>
      </w:r>
      <w:r>
        <w:rPr>
          <w:rFonts w:hint="eastAsia" w:ascii="仿宋_GB2312" w:hAnsi="Arial Narrow" w:eastAsia="仿宋_GB2312"/>
          <w:sz w:val="28"/>
          <w:szCs w:val="32"/>
          <w:lang w:val="en-US" w:eastAsia="zh-CN"/>
        </w:rPr>
        <w:t>：</w:t>
      </w:r>
      <w:bookmarkEnd w:id="95"/>
      <w:bookmarkEnd w:id="96"/>
      <w:r>
        <w:rPr>
          <w:rFonts w:hint="eastAsia" w:ascii="仿宋" w:hAnsi="仿宋" w:eastAsia="仿宋" w:cs="仿宋"/>
          <w:sz w:val="28"/>
          <w:szCs w:val="28"/>
        </w:rPr>
        <w:t>为</w:t>
      </w:r>
      <w:r>
        <w:rPr>
          <w:rFonts w:hint="eastAsia" w:ascii="仿宋" w:hAnsi="仿宋" w:eastAsia="仿宋" w:cs="仿宋"/>
          <w:sz w:val="28"/>
          <w:szCs w:val="28"/>
          <w:lang w:eastAsia="zh-CN"/>
        </w:rPr>
        <w:t>估价委托人在执行</w:t>
      </w:r>
      <w:r>
        <w:rPr>
          <w:rFonts w:hint="eastAsia" w:ascii="仿宋" w:hAnsi="仿宋" w:eastAsia="仿宋" w:cs="仿宋"/>
          <w:sz w:val="28"/>
          <w:szCs w:val="28"/>
          <w:lang w:val="en-US" w:eastAsia="zh-CN"/>
        </w:rPr>
        <w:t>四川广汉农村商业银行股份有限公司与四川万泰宏建设工程有限公司，张义生，卢开玉，李诚，张俊杰</w:t>
      </w:r>
      <w:r>
        <w:rPr>
          <w:rFonts w:hint="eastAsia" w:ascii="仿宋" w:hAnsi="仿宋" w:eastAsia="仿宋" w:cs="仿宋"/>
          <w:sz w:val="28"/>
          <w:szCs w:val="28"/>
          <w:lang w:eastAsia="zh-CN"/>
        </w:rPr>
        <w:t>借款合同纠纷一案，因案件执行需要进行司法鉴定评估。</w:t>
      </w:r>
      <w:r>
        <w:rPr>
          <w:rFonts w:hint="eastAsia" w:ascii="仿宋_GB2312" w:hAnsi="Arial Narrow" w:eastAsia="仿宋_GB2312"/>
          <w:sz w:val="28"/>
          <w:szCs w:val="32"/>
          <w:lang w:val="en-US" w:eastAsia="zh-CN"/>
        </w:rPr>
        <w:t>根据</w:t>
      </w:r>
      <w:r>
        <w:rPr>
          <w:rFonts w:hint="eastAsia" w:ascii="仿宋_GB2312" w:hAnsi="Arial Narrow" w:eastAsia="仿宋_GB2312"/>
          <w:sz w:val="28"/>
          <w:szCs w:val="32"/>
          <w:lang w:eastAsia="zh-CN"/>
        </w:rPr>
        <w:t>《最高人民法院关于人民法院确定财产处置参考价若干问题的规定》</w:t>
      </w:r>
      <w:r>
        <w:rPr>
          <w:rFonts w:hint="eastAsia" w:ascii="仿宋_GB2312" w:hAnsi="Arial Narrow" w:eastAsia="仿宋_GB2312"/>
          <w:sz w:val="28"/>
          <w:szCs w:val="32"/>
          <w:lang w:val="en-US" w:eastAsia="zh-CN"/>
        </w:rPr>
        <w:t>的有关规定，决定委托我公司对广汉市</w:t>
      </w:r>
      <w:r>
        <w:rPr>
          <w:rFonts w:hint="eastAsia" w:ascii="仿宋" w:hAnsi="仿宋" w:eastAsia="仿宋" w:cs="仿宋"/>
          <w:sz w:val="28"/>
          <w:szCs w:val="28"/>
          <w:lang w:val="en-US" w:eastAsia="zh-CN"/>
        </w:rPr>
        <w:t>西湖路145号开发19幢23-27轴底层门市，西湖路147号开发19幢底层27-30轴、二层23-30轴门市，中山大道北三段35号中山小区8幢1-2层门市，东西大街西二段260号1幢商住楼，东西大街西二段商服用地土地使用权共计五宗</w:t>
      </w:r>
      <w:r>
        <w:rPr>
          <w:rFonts w:hint="eastAsia" w:ascii="仿宋" w:hAnsi="仿宋" w:eastAsia="仿宋" w:cs="仿宋"/>
          <w:color w:val="auto"/>
          <w:sz w:val="28"/>
          <w:szCs w:val="28"/>
          <w:lang w:val="en-US" w:eastAsia="zh-CN"/>
        </w:rPr>
        <w:t>房地产</w:t>
      </w:r>
      <w:r>
        <w:rPr>
          <w:rFonts w:hint="eastAsia" w:ascii="仿宋_GB2312" w:hAnsi="Arial Narrow" w:eastAsia="仿宋_GB2312"/>
          <w:sz w:val="28"/>
          <w:szCs w:val="32"/>
          <w:lang w:val="en-US" w:eastAsia="zh-CN"/>
        </w:rPr>
        <w:t>进行司法鉴定评估。</w:t>
      </w:r>
      <w:bookmarkEnd w:id="9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3"/>
        <w:rPr>
          <w:rFonts w:hint="eastAsia" w:ascii="仿宋_GB2312" w:hAnsi="Arial Narrow" w:eastAsia="仿宋_GB2312"/>
          <w:sz w:val="28"/>
          <w:szCs w:val="28"/>
          <w:lang w:eastAsia="zh-CN"/>
        </w:rPr>
      </w:pPr>
      <w:r>
        <w:rPr>
          <w:rFonts w:hint="eastAsia" w:ascii="仿宋_GB2312" w:hAnsi="Arial Narrow" w:eastAsia="仿宋_GB2312"/>
          <w:sz w:val="28"/>
          <w:szCs w:val="32"/>
          <w:lang w:val="en-US" w:eastAsia="zh-CN"/>
        </w:rPr>
        <w:t>本次估价目的</w:t>
      </w:r>
      <w:r>
        <w:rPr>
          <w:rFonts w:hint="eastAsia" w:ascii="仿宋_GB2312" w:hAnsi="Arial Narrow" w:eastAsia="仿宋_GB2312"/>
          <w:color w:val="auto"/>
          <w:sz w:val="28"/>
          <w:szCs w:val="28"/>
          <w:lang w:val="en-US" w:eastAsia="zh-CN"/>
        </w:rPr>
        <w:t>是为人民法院确定财产处置参考价提供参考依据</w:t>
      </w:r>
      <w:r>
        <w:rPr>
          <w:rFonts w:hint="eastAsia" w:ascii="仿宋_GB2312" w:hAnsi="Arial Narrow" w:eastAsia="仿宋_GB2312"/>
          <w:sz w:val="28"/>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301" w:firstLineChars="100"/>
        <w:jc w:val="both"/>
        <w:textAlignment w:val="auto"/>
        <w:outlineLvl w:val="1"/>
        <w:rPr>
          <w:rFonts w:hint="eastAsia" w:ascii="仿宋_GB2312" w:hAnsi="Arial Narrow" w:eastAsia="仿宋_GB2312"/>
          <w:b/>
          <w:bCs/>
          <w:sz w:val="30"/>
          <w:szCs w:val="30"/>
        </w:rPr>
      </w:pPr>
      <w:bookmarkStart w:id="100" w:name="_Toc16265"/>
      <w:bookmarkStart w:id="101" w:name="_Toc19049"/>
      <w:bookmarkStart w:id="102" w:name="_Toc11171"/>
      <w:r>
        <w:rPr>
          <w:rFonts w:hint="eastAsia" w:ascii="仿宋_GB2312" w:hAnsi="Arial Narrow" w:eastAsia="仿宋_GB2312"/>
          <w:b/>
          <w:bCs/>
          <w:sz w:val="30"/>
          <w:szCs w:val="30"/>
          <w:lang w:eastAsia="zh-CN"/>
        </w:rPr>
        <w:t>（四）</w:t>
      </w:r>
      <w:r>
        <w:rPr>
          <w:rFonts w:hint="eastAsia" w:ascii="仿宋_GB2312" w:hAnsi="Arial Narrow" w:eastAsia="仿宋_GB2312"/>
          <w:b/>
          <w:bCs/>
          <w:sz w:val="30"/>
          <w:szCs w:val="30"/>
        </w:rPr>
        <w:t>估价对象</w:t>
      </w:r>
      <w:bookmarkEnd w:id="83"/>
      <w:bookmarkEnd w:id="88"/>
      <w:bookmarkEnd w:id="89"/>
      <w:bookmarkEnd w:id="90"/>
      <w:bookmarkEnd w:id="91"/>
      <w:bookmarkEnd w:id="92"/>
      <w:bookmarkEnd w:id="93"/>
      <w:bookmarkEnd w:id="94"/>
      <w:bookmarkEnd w:id="97"/>
      <w:bookmarkEnd w:id="98"/>
      <w:bookmarkEnd w:id="100"/>
      <w:bookmarkEnd w:id="101"/>
      <w:bookmarkEnd w:id="10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31" w:right="0" w:rightChars="0" w:firstLine="280" w:firstLineChars="100"/>
        <w:jc w:val="both"/>
        <w:textAlignment w:val="auto"/>
        <w:outlineLvl w:val="9"/>
        <w:rPr>
          <w:rFonts w:hint="default" w:ascii="仿宋" w:hAnsi="仿宋" w:eastAsia="仿宋" w:cs="仿宋"/>
          <w:b w:val="0"/>
          <w:bCs w:val="0"/>
          <w:sz w:val="28"/>
          <w:szCs w:val="28"/>
          <w:lang w:val="en-US" w:eastAsia="zh-CN"/>
        </w:rPr>
      </w:pPr>
      <w:bookmarkStart w:id="103" w:name="_Toc26357_WPSOffice_Level2"/>
      <w:bookmarkStart w:id="104" w:name="_Toc14820_WPSOffice_Level2"/>
      <w:r>
        <w:rPr>
          <w:rFonts w:hint="eastAsia" w:ascii="仿宋" w:hAnsi="仿宋" w:eastAsia="仿宋" w:cs="仿宋"/>
          <w:b w:val="0"/>
          <w:bCs w:val="0"/>
          <w:sz w:val="28"/>
          <w:szCs w:val="28"/>
          <w:lang w:val="en-US" w:eastAsia="zh-CN"/>
        </w:rPr>
        <w:t>1、估价对象</w:t>
      </w:r>
      <w:bookmarkEnd w:id="103"/>
      <w:bookmarkEnd w:id="104"/>
      <w:r>
        <w:rPr>
          <w:rFonts w:hint="eastAsia" w:ascii="仿宋" w:hAnsi="仿宋" w:eastAsia="仿宋" w:cs="仿宋"/>
          <w:b w:val="0"/>
          <w:bCs w:val="0"/>
          <w:sz w:val="28"/>
          <w:szCs w:val="28"/>
          <w:lang w:val="en-US" w:eastAsia="zh-CN"/>
        </w:rPr>
        <w:t>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bookmarkStart w:id="105" w:name="_Toc817_WPSOffice_Level2"/>
      <w:bookmarkStart w:id="106" w:name="_Toc30149_WPSOffice_Level2"/>
      <w:r>
        <w:rPr>
          <w:rFonts w:hint="eastAsia" w:ascii="仿宋" w:hAnsi="仿宋" w:eastAsia="仿宋" w:cs="仿宋"/>
          <w:sz w:val="28"/>
          <w:szCs w:val="28"/>
          <w:lang w:val="en-US" w:eastAsia="zh-CN"/>
        </w:rPr>
        <w:t>估价对象1：广汉市西湖路145号开发19幢23-27轴底层门市。委托人提供了《房屋所有权证》证号：房权证广权字第9575-2号。房屋所有权人：卢开玉。房屋坐落：西湖路145号开发19幢23-27轴底层门市；房屋总层数：6层，所在层数：1层；建筑面积：52.10平方米；房屋结构：框架；设计用途：营业。《国有土地使用权证》证号：广国用（2007）第14258号；土地使用权人：卢开玉；坐落：广汉市西湖路145号开发19幢23-27轴底层营业房；地类（用途）：城镇混合住宅用地（商业）；使用权类型：出让；终止日期：2051-3-2；使用权面积：10.68平方米；登记时间：2007年1月15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估价对象2：广汉市西湖路147号开发19幢底层27-30轴、二层23-30轴门市。委托人提供了《房屋所有权证》证号：房权证广权字第8020-3号。房屋所有权人：卢开玉。房屋坐落：西湖路147号开发19幢底层27-30轴、二层23-30轴门市；房屋总层数：6层，所在层数：1-2层；建筑面积：117.53平方米（其中第一层26.07平方米，第二层91.46平方米）；房屋结构：第一层框架，第二层混合；设计用途：营业。《国有土地使用权证》证号：广国用（2007）第14257号；土地使用权人：卢开玉；坐落：广汉市西湖路147号开发19幢底层27-30轴、二层23-30轴营业房；地类（用途）：城镇混合住宅用地（商业）；使用权类型：出让；终止日期：2051-3-2；使用权面积：24.08平方米；登记时间：2007年1月15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估价对象3：广汉市中山大道北三段35号中山小区8幢1-2层门市。委托人提供了《房屋所有权证》证号：房权证广权字第2958-2号。房屋所有权人：张义生。房屋坐落：中山大道北三段35号中山小区8幢1-2层门市；房屋总层数：6层，所在层数：1-2层；建筑面积：231.53平方米；房屋结构：框架；设计用途：营业。《国有土地使用权证》证号：广国用（2006）第12191号；土地使用权人：张义生；坐落：广汉市中山大道北三段35号中山小区8幢1-2层营业房；地类（用途）：城镇混合住宅用地（商业）；使用权类型：出让；终止日期：2041年9月15日；使用权面积：33.34平方米；登记时间：2006年7月4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估价对象4：广汉市东西大街西二段260号1幢商住楼。委托人提供了《房屋所有权证》证号：广房权证广汉市字第51609-1号。房屋所有权人：张义生，共有情况：单独所有。房屋坐落：东西大街西二段260号1幢；登记时间：2009年09月25日，规划用途：商住。建筑面积：2111.08平方米，房屋总层数：6层，所在楼层：1-6层（分别为商业、住宅）。《国有土地使用权证》证号：广国用（2009）第26820号；土地使用权人：张义生；坐落：广汉市东西大街西二段260号；地号：2-（6）-11；地类（用途）：城镇混合住宅用地；使用权类型：出让；终止日期：住宅2079-09-02，商业：2049-09-02；使用权面积：1050.80平方米；登记时间：2009-09-30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估价对象5：广汉市东西大街西二段商服用地土地使用权。委托人提供了《国有土地使用权证》证号：广国用（2011）第37691号。土地使用权人：张义生；宗地坐落：广汉市东西大街西二段；地号：5106810020060166000；地类用途：其他商服用地；使用权类型：出让；使用权面积：1258.30平方米；终止日期：2051年04月28日，截止估价时点，剩余土地使用权年期为31年，本次评估设定土地使用年期为31年。</w:t>
      </w:r>
      <w:r>
        <w:rPr>
          <w:rFonts w:hint="eastAsia" w:ascii="仿宋_GB2312" w:hAnsi="宋体" w:eastAsia="仿宋_GB2312"/>
          <w:sz w:val="28"/>
          <w:szCs w:val="28"/>
        </w:rPr>
        <w:t>在估价期日实际开发程度为宗地外“六通”（通上水、通下水、通电、通气、通讯、通路），宗地内“</w:t>
      </w:r>
      <w:r>
        <w:rPr>
          <w:rFonts w:hint="eastAsia" w:ascii="仿宋_GB2312" w:hAnsi="宋体" w:eastAsia="仿宋_GB2312"/>
          <w:sz w:val="28"/>
          <w:szCs w:val="28"/>
          <w:lang w:eastAsia="zh-CN"/>
        </w:rPr>
        <w:t>场平</w:t>
      </w:r>
      <w:r>
        <w:rPr>
          <w:rFonts w:hint="eastAsia" w:ascii="仿宋_GB2312" w:hAnsi="宋体" w:eastAsia="仿宋_GB2312"/>
          <w:sz w:val="28"/>
          <w:szCs w:val="28"/>
        </w:rPr>
        <w:t>”（场地平整），此次评估我们设定土地开发程度为宗地外“六通”，宗地内“</w:t>
      </w:r>
      <w:r>
        <w:rPr>
          <w:rFonts w:hint="eastAsia" w:ascii="仿宋_GB2312" w:hAnsi="宋体" w:eastAsia="仿宋_GB2312"/>
          <w:sz w:val="28"/>
          <w:szCs w:val="28"/>
          <w:lang w:eastAsia="zh-CN"/>
        </w:rPr>
        <w:t>场平</w:t>
      </w:r>
      <w:r>
        <w:rPr>
          <w:rFonts w:hint="eastAsia" w:ascii="仿宋_GB2312" w:hAnsi="宋体" w:eastAsia="仿宋_GB2312"/>
          <w:sz w:val="28"/>
          <w:szCs w:val="28"/>
        </w:rPr>
        <w:t>”（场地平整）</w:t>
      </w:r>
      <w:r>
        <w:rPr>
          <w:rFonts w:hint="eastAsia" w:ascii="仿宋_GB2312" w:hAnsi="宋体" w:eastAsia="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2、估价对象权属状况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8679" w:leftChars="266" w:right="0" w:rightChars="0" w:hanging="8120" w:hangingChars="2900"/>
        <w:jc w:val="both"/>
        <w:textAlignment w:val="auto"/>
        <w:outlineLvl w:val="9"/>
        <w:rPr>
          <w:rFonts w:hint="eastAsia" w:ascii="仿宋" w:hAnsi="仿宋" w:eastAsia="仿宋" w:cs="仿宋"/>
          <w:sz w:val="28"/>
          <w:szCs w:val="28"/>
          <w:lang w:val="en-US" w:eastAsia="zh-CN"/>
        </w:rPr>
        <w:sectPr>
          <w:headerReference r:id="rId8" w:type="first"/>
          <w:footerReference r:id="rId10" w:type="first"/>
          <w:headerReference r:id="rId7" w:type="default"/>
          <w:footerReference r:id="rId9" w:type="default"/>
          <w:pgSz w:w="11906" w:h="16838"/>
          <w:pgMar w:top="1417" w:right="1417" w:bottom="1417" w:left="1701" w:header="851" w:footer="646" w:gutter="0"/>
          <w:pgNumType w:fmt="decimal"/>
          <w:cols w:space="720" w:num="1"/>
          <w:titlePg/>
          <w:rtlGutter w:val="0"/>
          <w:docGrid w:linePitch="312" w:charSpace="0"/>
        </w:sectPr>
      </w:pPr>
      <w:r>
        <w:rPr>
          <w:rFonts w:hint="eastAsia" w:ascii="仿宋" w:hAnsi="仿宋" w:eastAsia="仿宋" w:cs="仿宋"/>
          <w:sz w:val="28"/>
          <w:szCs w:val="28"/>
          <w:lang w:val="en-US" w:eastAsia="zh-CN"/>
        </w:rPr>
        <w:t xml:space="preserve">房地产估价对象一览表详见如下：                                                                                                                                                                                                                                                                                                                                                                                                                        </w:t>
      </w:r>
    </w:p>
    <w:bookmarkEnd w:id="84"/>
    <w:bookmarkEnd w:id="105"/>
    <w:bookmarkEnd w:id="106"/>
    <w:tbl>
      <w:tblPr>
        <w:tblStyle w:val="9"/>
        <w:tblW w:w="5000" w:type="pct"/>
        <w:tblInd w:w="0" w:type="dxa"/>
        <w:shd w:val="clear" w:color="auto" w:fill="auto"/>
        <w:tblLayout w:type="autofit"/>
        <w:tblCellMar>
          <w:top w:w="0" w:type="dxa"/>
          <w:left w:w="0" w:type="dxa"/>
          <w:bottom w:w="0" w:type="dxa"/>
          <w:right w:w="0" w:type="dxa"/>
        </w:tblCellMar>
      </w:tblPr>
      <w:tblGrid>
        <w:gridCol w:w="510"/>
        <w:gridCol w:w="510"/>
        <w:gridCol w:w="1957"/>
        <w:gridCol w:w="991"/>
        <w:gridCol w:w="350"/>
        <w:gridCol w:w="350"/>
        <w:gridCol w:w="350"/>
        <w:gridCol w:w="378"/>
        <w:gridCol w:w="352"/>
        <w:gridCol w:w="712"/>
        <w:gridCol w:w="671"/>
        <w:gridCol w:w="992"/>
        <w:gridCol w:w="776"/>
        <w:gridCol w:w="1730"/>
        <w:gridCol w:w="801"/>
        <w:gridCol w:w="473"/>
        <w:gridCol w:w="1074"/>
        <w:gridCol w:w="706"/>
        <w:gridCol w:w="351"/>
      </w:tblGrid>
      <w:tr>
        <w:tblPrEx>
          <w:shd w:val="clear" w:color="auto" w:fill="auto"/>
          <w:tblCellMar>
            <w:top w:w="0" w:type="dxa"/>
            <w:left w:w="0" w:type="dxa"/>
            <w:bottom w:w="0" w:type="dxa"/>
            <w:right w:w="0" w:type="dxa"/>
          </w:tblCellMar>
        </w:tblPrEx>
        <w:trPr>
          <w:trHeight w:val="1080" w:hRule="atLeast"/>
        </w:trPr>
        <w:tc>
          <w:tcPr>
            <w:tcW w:w="5000" w:type="pct"/>
            <w:gridSpan w:val="1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bookmarkStart w:id="107" w:name="_Toc15293_WPSOffice_Level2"/>
            <w:bookmarkStart w:id="108" w:name="_Toc25164_WPSOffice_Level2"/>
            <w:r>
              <w:rPr>
                <w:rFonts w:hint="eastAsia" w:ascii="宋体" w:hAnsi="宋体" w:eastAsia="宋体" w:cs="宋体"/>
                <w:b/>
                <w:i w:val="0"/>
                <w:color w:val="000000"/>
                <w:kern w:val="0"/>
                <w:sz w:val="32"/>
                <w:szCs w:val="32"/>
                <w:u w:val="none"/>
                <w:lang w:val="en-US" w:eastAsia="zh-CN" w:bidi="ar"/>
              </w:rPr>
              <w:t>房地产估价对象一览表</w:t>
            </w:r>
          </w:p>
        </w:tc>
      </w:tr>
      <w:tr>
        <w:tblPrEx>
          <w:shd w:val="clear" w:color="auto" w:fill="auto"/>
          <w:tblCellMar>
            <w:top w:w="0" w:type="dxa"/>
            <w:left w:w="0" w:type="dxa"/>
            <w:bottom w:w="0" w:type="dxa"/>
            <w:right w:w="0" w:type="dxa"/>
          </w:tblCellMar>
        </w:tblPrEx>
        <w:trPr>
          <w:trHeight w:val="70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产权人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坐落</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房屋所有权证号</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幢号</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房号</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结构</w:t>
            </w:r>
          </w:p>
        </w:tc>
        <w:tc>
          <w:tcPr>
            <w:tcW w:w="1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房屋总层数</w:t>
            </w:r>
          </w:p>
        </w:tc>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所在层数</w:t>
            </w:r>
          </w:p>
        </w:tc>
        <w:tc>
          <w:tcPr>
            <w:tcW w:w="2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建筑面积（</w:t>
            </w:r>
            <w:r>
              <w:rPr>
                <w:rFonts w:ascii="宋体" w:hAnsi="宋体" w:eastAsia="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设计用途</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土地证号</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土地使用权人</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坐落</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地类用途</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使用权类型</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终止日期</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使用权面积（</w:t>
            </w:r>
            <w:r>
              <w:rPr>
                <w:rFonts w:ascii="宋体" w:hAnsi="宋体" w:eastAsia="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w:t>
            </w:r>
          </w:p>
        </w:tc>
        <w:tc>
          <w:tcPr>
            <w:tcW w:w="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备注</w:t>
            </w:r>
          </w:p>
        </w:tc>
      </w:tr>
      <w:tr>
        <w:tblPrEx>
          <w:shd w:val="clear" w:color="auto" w:fill="auto"/>
          <w:tblCellMar>
            <w:top w:w="0" w:type="dxa"/>
            <w:left w:w="0" w:type="dxa"/>
            <w:bottom w:w="0" w:type="dxa"/>
            <w:right w:w="0" w:type="dxa"/>
          </w:tblCellMar>
        </w:tblPrEx>
        <w:trPr>
          <w:trHeight w:val="70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卢开玉</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西湖路145号开发19幢23-27轴底层门市</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房权证广权字第9575-2号</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52.1</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营业</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广国用（2007）第14258号</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卢开玉</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广汉市西湖路145号开发19幢23-27轴底层营业房</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城镇混合住宅用地（商业）</w:t>
            </w:r>
          </w:p>
        </w:tc>
        <w:tc>
          <w:tcPr>
            <w:tcW w:w="1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2051/3/2</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10.68</w:t>
            </w:r>
          </w:p>
        </w:tc>
        <w:tc>
          <w:tcPr>
            <w:tcW w:w="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700" w:hRule="atLeast"/>
        </w:trPr>
        <w:tc>
          <w:tcPr>
            <w:tcW w:w="16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6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卢开玉</w:t>
            </w:r>
          </w:p>
        </w:tc>
        <w:tc>
          <w:tcPr>
            <w:tcW w:w="70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西湖路147号开发19幢底层27-30轴、二层23-30轴门市</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房权证广权字第8020-3号</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26.07</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营业</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广国用（2007）第14257号</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卢开玉</w:t>
            </w: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广汉市西湖路147号开发19幢底层27-30轴、二层23-30轴营业用房</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城镇混合住宅用地（商业）</w:t>
            </w:r>
          </w:p>
        </w:tc>
        <w:tc>
          <w:tcPr>
            <w:tcW w:w="1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2051/3/2</w:t>
            </w:r>
          </w:p>
        </w:tc>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24.08</w:t>
            </w:r>
          </w:p>
        </w:tc>
        <w:tc>
          <w:tcPr>
            <w:tcW w:w="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700" w:hRule="atLeast"/>
        </w:trPr>
        <w:tc>
          <w:tcPr>
            <w:tcW w:w="16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91.46</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营业</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70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中山大道北三段35号中山小区8幢1-2层门市</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房权证广权字第2958-2号</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231.53</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营业</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广国用（2006）第12191号</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广汉市中山大道北三段35号中山小区8幢1-2层营业用房</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城镇混合住宅用地（商业）</w:t>
            </w:r>
          </w:p>
        </w:tc>
        <w:tc>
          <w:tcPr>
            <w:tcW w:w="1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2041/9/15</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33.34</w:t>
            </w:r>
          </w:p>
        </w:tc>
        <w:tc>
          <w:tcPr>
            <w:tcW w:w="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70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东西大街西二段260号1幢</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广房权证广汉市字第51609-1号</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2111.08</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商住</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广国用（2007）第26820号</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广汉市东西大街西二段260号</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城镇混合住宅用地</w:t>
            </w:r>
          </w:p>
        </w:tc>
        <w:tc>
          <w:tcPr>
            <w:tcW w:w="1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住宅：2079-9-2商业：2049-9-2</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1050.80</w:t>
            </w:r>
          </w:p>
        </w:tc>
        <w:tc>
          <w:tcPr>
            <w:tcW w:w="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70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广国用（2011）第37691号</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广汉市东西大街西二段</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其他商服用地</w:t>
            </w:r>
          </w:p>
        </w:tc>
        <w:tc>
          <w:tcPr>
            <w:tcW w:w="1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2051/4/28</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1258.30</w:t>
            </w:r>
          </w:p>
        </w:tc>
        <w:tc>
          <w:tcPr>
            <w:tcW w:w="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700" w:hRule="atLeast"/>
        </w:trPr>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2512.24</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1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bl>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firstLine="562" w:firstLineChars="200"/>
        <w:textAlignment w:val="auto"/>
        <w:rPr>
          <w:rFonts w:hint="eastAsia" w:ascii="仿宋" w:hAnsi="仿宋" w:eastAsia="仿宋" w:cs="仿宋"/>
          <w:b/>
          <w:bCs/>
          <w:snapToGrid w:val="0"/>
          <w:kern w:val="0"/>
          <w:sz w:val="28"/>
          <w:szCs w:val="28"/>
        </w:rPr>
        <w:sectPr>
          <w:headerReference r:id="rId12" w:type="first"/>
          <w:footerReference r:id="rId13" w:type="first"/>
          <w:headerReference r:id="rId11" w:type="default"/>
          <w:pgSz w:w="16838" w:h="11906" w:orient="landscape"/>
          <w:pgMar w:top="1701" w:right="1417" w:bottom="1067" w:left="1417" w:header="851" w:footer="646" w:gutter="0"/>
          <w:pgNumType w:fmt="decimal"/>
          <w:cols w:space="720" w:num="1"/>
          <w:titlePg/>
          <w:rtlGutter w:val="0"/>
          <w:docGrid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2" w:firstLineChars="200"/>
        <w:jc w:val="both"/>
        <w:textAlignment w:val="auto"/>
        <w:outlineLvl w:val="9"/>
        <w:rPr>
          <w:rFonts w:hint="eastAsia" w:ascii="仿宋" w:hAnsi="仿宋" w:eastAsia="仿宋" w:cs="仿宋"/>
          <w:b/>
          <w:bCs/>
          <w:snapToGrid w:val="0"/>
          <w:kern w:val="0"/>
          <w:sz w:val="28"/>
          <w:szCs w:val="28"/>
        </w:rPr>
      </w:pPr>
      <w:r>
        <w:rPr>
          <w:rFonts w:hint="eastAsia" w:ascii="仿宋" w:hAnsi="仿宋" w:eastAsia="仿宋" w:cs="仿宋"/>
          <w:b/>
          <w:bCs/>
          <w:snapToGrid w:val="0"/>
          <w:kern w:val="0"/>
          <w:sz w:val="28"/>
          <w:szCs w:val="28"/>
        </w:rPr>
        <w:t>3、土地利用状况</w:t>
      </w:r>
      <w:bookmarkEnd w:id="107"/>
      <w:bookmarkEnd w:id="108"/>
    </w:p>
    <w:p>
      <w:pPr>
        <w:keepNext w:val="0"/>
        <w:keepLines w:val="0"/>
        <w:pageBreakBefore w:val="0"/>
        <w:widowControl w:val="0"/>
        <w:tabs>
          <w:tab w:val="left" w:pos="7088"/>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lang w:val="en-US" w:eastAsia="zh-CN"/>
        </w:rPr>
        <w:t xml:space="preserve">   估价对象1 ：</w:t>
      </w:r>
      <w:r>
        <w:rPr>
          <w:rFonts w:hint="eastAsia" w:ascii="仿宋" w:hAnsi="仿宋" w:eastAsia="仿宋" w:cs="仿宋"/>
          <w:snapToGrid w:val="0"/>
          <w:kern w:val="0"/>
          <w:sz w:val="28"/>
          <w:szCs w:val="28"/>
        </w:rPr>
        <w:t>根据</w:t>
      </w:r>
      <w:r>
        <w:rPr>
          <w:rFonts w:hint="eastAsia" w:ascii="仿宋" w:hAnsi="仿宋" w:eastAsia="仿宋" w:cs="仿宋"/>
          <w:snapToGrid w:val="0"/>
          <w:kern w:val="0"/>
          <w:sz w:val="28"/>
          <w:szCs w:val="28"/>
          <w:lang w:val="en-US" w:eastAsia="zh-CN"/>
        </w:rPr>
        <w:t>当事人</w:t>
      </w:r>
      <w:r>
        <w:rPr>
          <w:rFonts w:hint="eastAsia" w:ascii="仿宋" w:hAnsi="仿宋" w:eastAsia="仿宋" w:cs="仿宋"/>
          <w:snapToGrid w:val="0"/>
          <w:kern w:val="0"/>
          <w:sz w:val="28"/>
          <w:szCs w:val="28"/>
        </w:rPr>
        <w:t>陪同估价人员现场查看及指界，估价对象</w:t>
      </w:r>
      <w:r>
        <w:rPr>
          <w:rFonts w:hint="eastAsia" w:ascii="仿宋" w:hAnsi="仿宋" w:eastAsia="仿宋" w:cs="仿宋"/>
          <w:snapToGrid w:val="0"/>
          <w:kern w:val="0"/>
          <w:sz w:val="28"/>
          <w:szCs w:val="28"/>
          <w:lang w:val="en-US" w:eastAsia="zh-CN"/>
        </w:rPr>
        <w:t>广汉市西湖路145号开发19幢23-27轴底层门市</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eastAsia="zh-CN"/>
        </w:rPr>
        <w:t>地类用途为</w:t>
      </w:r>
      <w:r>
        <w:rPr>
          <w:rFonts w:hint="eastAsia" w:ascii="仿宋" w:hAnsi="仿宋" w:eastAsia="仿宋" w:cs="仿宋"/>
          <w:snapToGrid w:val="0"/>
          <w:kern w:val="0"/>
          <w:sz w:val="28"/>
          <w:szCs w:val="28"/>
          <w:lang w:val="en-US" w:eastAsia="zh-CN"/>
        </w:rPr>
        <w:t>城镇混合住宅用地（商业）</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地理位置</w:t>
      </w:r>
      <w:r>
        <w:rPr>
          <w:rFonts w:hint="eastAsia" w:ascii="仿宋" w:hAnsi="仿宋" w:eastAsia="仿宋" w:cs="仿宋"/>
          <w:snapToGrid w:val="0"/>
          <w:kern w:val="0"/>
          <w:sz w:val="28"/>
          <w:szCs w:val="28"/>
          <w:lang w:val="en-US" w:eastAsia="zh-CN"/>
        </w:rPr>
        <w:t>较好</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估价对象宗地四至：北临桂花小区、南临西湖路东段、东临居民楼、西临桂花小区居民楼。</w:t>
      </w:r>
      <w:r>
        <w:rPr>
          <w:rFonts w:hint="eastAsia" w:ascii="仿宋" w:hAnsi="仿宋" w:eastAsia="仿宋" w:cs="仿宋"/>
          <w:snapToGrid w:val="0"/>
          <w:kern w:val="0"/>
          <w:sz w:val="28"/>
          <w:szCs w:val="28"/>
        </w:rPr>
        <w:t>估价对象所处宗地形状</w:t>
      </w:r>
      <w:r>
        <w:rPr>
          <w:rFonts w:hint="eastAsia" w:ascii="仿宋" w:hAnsi="仿宋" w:eastAsia="仿宋" w:cs="仿宋"/>
          <w:snapToGrid w:val="0"/>
          <w:kern w:val="0"/>
          <w:sz w:val="28"/>
          <w:szCs w:val="28"/>
          <w:lang w:eastAsia="zh-CN"/>
        </w:rPr>
        <w:t>较规则</w:t>
      </w:r>
      <w:r>
        <w:rPr>
          <w:rFonts w:hint="eastAsia" w:ascii="仿宋" w:hAnsi="仿宋" w:eastAsia="仿宋" w:cs="仿宋"/>
          <w:snapToGrid w:val="0"/>
          <w:kern w:val="0"/>
          <w:sz w:val="28"/>
          <w:szCs w:val="28"/>
        </w:rPr>
        <w:t>，地势平稳，无明显坡度，地基地质条件良好，适于建筑。估价对象土地使用权规划用途与实际用途一致。至价值时点，估价对象宗地内外已达到“六通一平”（通上水、通下水、通电、通气、通讯、通路，场地平整）。</w:t>
      </w:r>
      <w:r>
        <w:rPr>
          <w:rFonts w:hint="eastAsia" w:ascii="仿宋" w:hAnsi="仿宋" w:eastAsia="仿宋" w:cs="仿宋"/>
          <w:snapToGrid w:val="0"/>
          <w:kern w:val="0"/>
          <w:sz w:val="28"/>
          <w:szCs w:val="28"/>
          <w:lang w:val="en-US" w:eastAsia="zh-CN"/>
        </w:rPr>
        <w:t>根据委托人提供的资料记载，</w:t>
      </w:r>
      <w:r>
        <w:rPr>
          <w:rFonts w:hint="eastAsia" w:ascii="仿宋" w:hAnsi="仿宋" w:eastAsia="仿宋" w:cs="仿宋"/>
          <w:snapToGrid w:val="0"/>
          <w:kern w:val="0"/>
          <w:sz w:val="28"/>
          <w:szCs w:val="28"/>
        </w:rPr>
        <w:t>估价对象</w:t>
      </w:r>
      <w:r>
        <w:rPr>
          <w:rFonts w:hint="eastAsia" w:ascii="仿宋" w:hAnsi="仿宋" w:eastAsia="仿宋" w:cs="仿宋"/>
          <w:snapToGrid w:val="0"/>
          <w:kern w:val="0"/>
          <w:sz w:val="28"/>
          <w:szCs w:val="28"/>
          <w:lang w:val="en-US" w:eastAsia="zh-CN"/>
        </w:rPr>
        <w:t>分摊</w:t>
      </w:r>
      <w:r>
        <w:rPr>
          <w:rFonts w:hint="eastAsia" w:ascii="仿宋" w:hAnsi="仿宋" w:eastAsia="仿宋" w:cs="仿宋"/>
          <w:snapToGrid w:val="0"/>
          <w:kern w:val="0"/>
          <w:sz w:val="28"/>
          <w:szCs w:val="28"/>
        </w:rPr>
        <w:t>国有出让土地使用权面积为</w:t>
      </w:r>
      <w:r>
        <w:rPr>
          <w:rFonts w:hint="eastAsia" w:ascii="仿宋" w:hAnsi="仿宋" w:eastAsia="仿宋" w:cs="仿宋"/>
          <w:snapToGrid w:val="0"/>
          <w:kern w:val="0"/>
          <w:sz w:val="28"/>
          <w:szCs w:val="28"/>
          <w:lang w:val="en-US" w:eastAsia="zh-CN"/>
        </w:rPr>
        <w:t>10.68</w:t>
      </w:r>
      <w:r>
        <w:rPr>
          <w:rFonts w:hint="eastAsia" w:ascii="仿宋" w:hAnsi="仿宋" w:eastAsia="仿宋" w:cs="仿宋"/>
          <w:snapToGrid w:val="0"/>
          <w:kern w:val="0"/>
          <w:sz w:val="28"/>
          <w:szCs w:val="28"/>
        </w:rPr>
        <w:t>平方米，国有出让土地使用权终止日期为</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lang w:val="en-US" w:eastAsia="zh-CN"/>
        </w:rPr>
        <w:t>2051年3月2日</w:t>
      </w:r>
      <w:r>
        <w:rPr>
          <w:rFonts w:hint="eastAsia" w:ascii="仿宋" w:hAnsi="仿宋" w:eastAsia="仿宋" w:cs="仿宋"/>
          <w:snapToGrid w:val="0"/>
          <w:kern w:val="0"/>
          <w:sz w:val="28"/>
          <w:szCs w:val="28"/>
          <w:lang w:eastAsia="zh-CN"/>
        </w:rPr>
        <w:t>。截止价值时点，估价对象</w:t>
      </w:r>
      <w:r>
        <w:rPr>
          <w:rFonts w:hint="eastAsia" w:ascii="仿宋" w:hAnsi="仿宋" w:eastAsia="仿宋" w:cs="仿宋"/>
          <w:snapToGrid w:val="0"/>
          <w:kern w:val="0"/>
          <w:sz w:val="28"/>
          <w:szCs w:val="28"/>
        </w:rPr>
        <w:t>剩余</w:t>
      </w:r>
      <w:r>
        <w:rPr>
          <w:rFonts w:hint="eastAsia" w:ascii="仿宋" w:hAnsi="仿宋" w:eastAsia="仿宋" w:cs="仿宋"/>
          <w:snapToGrid w:val="0"/>
          <w:kern w:val="0"/>
          <w:sz w:val="28"/>
          <w:szCs w:val="28"/>
          <w:lang w:eastAsia="zh-CN"/>
        </w:rPr>
        <w:t>土地</w:t>
      </w:r>
      <w:r>
        <w:rPr>
          <w:rFonts w:hint="eastAsia" w:ascii="仿宋" w:hAnsi="仿宋" w:eastAsia="仿宋" w:cs="仿宋"/>
          <w:snapToGrid w:val="0"/>
          <w:kern w:val="0"/>
          <w:sz w:val="28"/>
          <w:szCs w:val="28"/>
        </w:rPr>
        <w:t>使用年限为</w:t>
      </w:r>
      <w:r>
        <w:rPr>
          <w:rFonts w:hint="eastAsia" w:ascii="仿宋" w:hAnsi="仿宋" w:eastAsia="仿宋" w:cs="仿宋"/>
          <w:snapToGrid w:val="0"/>
          <w:kern w:val="0"/>
          <w:sz w:val="28"/>
          <w:szCs w:val="28"/>
          <w:lang w:val="en-US" w:eastAsia="zh-CN"/>
        </w:rPr>
        <w:t>30.99</w:t>
      </w:r>
      <w:r>
        <w:rPr>
          <w:rFonts w:hint="eastAsia" w:ascii="仿宋" w:hAnsi="仿宋" w:eastAsia="仿宋" w:cs="仿宋"/>
          <w:snapToGrid w:val="0"/>
          <w:kern w:val="0"/>
          <w:sz w:val="28"/>
          <w:szCs w:val="28"/>
        </w:rPr>
        <w:t>年。</w:t>
      </w:r>
    </w:p>
    <w:p>
      <w:pPr>
        <w:keepNext w:val="0"/>
        <w:keepLines w:val="0"/>
        <w:pageBreakBefore w:val="0"/>
        <w:widowControl w:val="0"/>
        <w:tabs>
          <w:tab w:val="left" w:pos="7088"/>
        </w:tabs>
        <w:kinsoku/>
        <w:wordWrap/>
        <w:overflowPunct/>
        <w:topLinePunct w:val="0"/>
        <w:autoSpaceDE/>
        <w:autoSpaceDN/>
        <w:bidi w:val="0"/>
        <w:adjustRightInd w:val="0"/>
        <w:snapToGrid w:val="0"/>
        <w:spacing w:line="560" w:lineRule="exact"/>
        <w:ind w:right="0" w:rightChars="0" w:firstLine="560" w:firstLineChars="200"/>
        <w:jc w:val="both"/>
        <w:textAlignment w:val="auto"/>
        <w:outlineLvl w:val="9"/>
        <w:rPr>
          <w:rFonts w:hint="eastAsia"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lang w:val="en-US" w:eastAsia="zh-CN"/>
        </w:rPr>
        <w:t>估价对象2：</w:t>
      </w:r>
      <w:r>
        <w:rPr>
          <w:rFonts w:hint="eastAsia" w:ascii="仿宋" w:hAnsi="仿宋" w:eastAsia="仿宋" w:cs="仿宋"/>
          <w:snapToGrid w:val="0"/>
          <w:kern w:val="0"/>
          <w:sz w:val="28"/>
          <w:szCs w:val="28"/>
        </w:rPr>
        <w:t>根据</w:t>
      </w:r>
      <w:r>
        <w:rPr>
          <w:rFonts w:hint="eastAsia" w:ascii="仿宋" w:hAnsi="仿宋" w:eastAsia="仿宋" w:cs="仿宋"/>
          <w:snapToGrid w:val="0"/>
          <w:kern w:val="0"/>
          <w:sz w:val="28"/>
          <w:szCs w:val="28"/>
          <w:lang w:val="en-US" w:eastAsia="zh-CN"/>
        </w:rPr>
        <w:t>当事人</w:t>
      </w:r>
      <w:r>
        <w:rPr>
          <w:rFonts w:hint="eastAsia" w:ascii="仿宋" w:hAnsi="仿宋" w:eastAsia="仿宋" w:cs="仿宋"/>
          <w:snapToGrid w:val="0"/>
          <w:kern w:val="0"/>
          <w:sz w:val="28"/>
          <w:szCs w:val="28"/>
        </w:rPr>
        <w:t>陪同估价人员现场查看及指</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lang w:val="en-US" w:eastAsia="zh-CN"/>
        </w:rPr>
        <w:t>广汉市西湖路147号开发19幢底层27-30轴、二层23-30轴门市</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eastAsia="zh-CN"/>
        </w:rPr>
        <w:t>地类用途为</w:t>
      </w:r>
      <w:r>
        <w:rPr>
          <w:rFonts w:hint="eastAsia" w:ascii="仿宋" w:hAnsi="仿宋" w:eastAsia="仿宋" w:cs="仿宋"/>
          <w:snapToGrid w:val="0"/>
          <w:kern w:val="0"/>
          <w:sz w:val="28"/>
          <w:szCs w:val="28"/>
          <w:lang w:val="en-US" w:eastAsia="zh-CN"/>
        </w:rPr>
        <w:t>城镇混合住宅用地（商业）</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地理位置</w:t>
      </w:r>
      <w:r>
        <w:rPr>
          <w:rFonts w:hint="eastAsia" w:ascii="仿宋" w:hAnsi="仿宋" w:eastAsia="仿宋" w:cs="仿宋"/>
          <w:snapToGrid w:val="0"/>
          <w:kern w:val="0"/>
          <w:sz w:val="28"/>
          <w:szCs w:val="28"/>
          <w:lang w:val="en-US" w:eastAsia="zh-CN"/>
        </w:rPr>
        <w:t>较好</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估价对象宗地四至：北临桂花小区、南临西湖路东段、东临居民楼、西临桂花小区居民楼。</w:t>
      </w:r>
      <w:r>
        <w:rPr>
          <w:rFonts w:hint="eastAsia" w:ascii="仿宋" w:hAnsi="仿宋" w:eastAsia="仿宋" w:cs="仿宋"/>
          <w:snapToGrid w:val="0"/>
          <w:kern w:val="0"/>
          <w:sz w:val="28"/>
          <w:szCs w:val="28"/>
        </w:rPr>
        <w:t>估价对象所处宗地形状</w:t>
      </w:r>
      <w:r>
        <w:rPr>
          <w:rFonts w:hint="eastAsia" w:ascii="仿宋" w:hAnsi="仿宋" w:eastAsia="仿宋" w:cs="仿宋"/>
          <w:snapToGrid w:val="0"/>
          <w:kern w:val="0"/>
          <w:sz w:val="28"/>
          <w:szCs w:val="28"/>
          <w:lang w:eastAsia="zh-CN"/>
        </w:rPr>
        <w:t>较规则</w:t>
      </w:r>
      <w:r>
        <w:rPr>
          <w:rFonts w:hint="eastAsia" w:ascii="仿宋" w:hAnsi="仿宋" w:eastAsia="仿宋" w:cs="仿宋"/>
          <w:snapToGrid w:val="0"/>
          <w:kern w:val="0"/>
          <w:sz w:val="28"/>
          <w:szCs w:val="28"/>
        </w:rPr>
        <w:t>，地势平稳，无明显坡度，地基地质条件良好，适于建筑。估价对象土地使用权规划用途与实际用途一致。至价值时点，估价对象宗地内外已达到“六通一平”（通上水、通下水、通电、通气、通讯、通路，场地平整）。</w:t>
      </w:r>
      <w:r>
        <w:rPr>
          <w:rFonts w:hint="eastAsia" w:ascii="仿宋" w:hAnsi="仿宋" w:eastAsia="仿宋" w:cs="仿宋"/>
          <w:snapToGrid w:val="0"/>
          <w:kern w:val="0"/>
          <w:sz w:val="28"/>
          <w:szCs w:val="28"/>
          <w:lang w:val="en-US" w:eastAsia="zh-CN"/>
        </w:rPr>
        <w:t>根据委托人提供的资料记载，</w:t>
      </w:r>
      <w:r>
        <w:rPr>
          <w:rFonts w:hint="eastAsia" w:ascii="仿宋" w:hAnsi="仿宋" w:eastAsia="仿宋" w:cs="仿宋"/>
          <w:snapToGrid w:val="0"/>
          <w:kern w:val="0"/>
          <w:sz w:val="28"/>
          <w:szCs w:val="28"/>
        </w:rPr>
        <w:t>估价对象</w:t>
      </w:r>
      <w:r>
        <w:rPr>
          <w:rFonts w:hint="eastAsia" w:ascii="仿宋" w:hAnsi="仿宋" w:eastAsia="仿宋" w:cs="仿宋"/>
          <w:snapToGrid w:val="0"/>
          <w:kern w:val="0"/>
          <w:sz w:val="28"/>
          <w:szCs w:val="28"/>
          <w:lang w:val="en-US" w:eastAsia="zh-CN"/>
        </w:rPr>
        <w:t>分摊</w:t>
      </w:r>
      <w:r>
        <w:rPr>
          <w:rFonts w:hint="eastAsia" w:ascii="仿宋" w:hAnsi="仿宋" w:eastAsia="仿宋" w:cs="仿宋"/>
          <w:snapToGrid w:val="0"/>
          <w:kern w:val="0"/>
          <w:sz w:val="28"/>
          <w:szCs w:val="28"/>
        </w:rPr>
        <w:t>国有出让土地使用权面积为</w:t>
      </w:r>
      <w:r>
        <w:rPr>
          <w:rFonts w:hint="eastAsia" w:ascii="仿宋" w:hAnsi="仿宋" w:eastAsia="仿宋" w:cs="仿宋"/>
          <w:snapToGrid w:val="0"/>
          <w:kern w:val="0"/>
          <w:sz w:val="28"/>
          <w:szCs w:val="28"/>
          <w:lang w:val="en-US" w:eastAsia="zh-CN"/>
        </w:rPr>
        <w:t>24.08</w:t>
      </w:r>
      <w:r>
        <w:rPr>
          <w:rFonts w:hint="eastAsia" w:ascii="仿宋" w:hAnsi="仿宋" w:eastAsia="仿宋" w:cs="仿宋"/>
          <w:snapToGrid w:val="0"/>
          <w:kern w:val="0"/>
          <w:sz w:val="28"/>
          <w:szCs w:val="28"/>
        </w:rPr>
        <w:t>平方米，国有出让土地使用权终止日期为</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lang w:val="en-US" w:eastAsia="zh-CN"/>
        </w:rPr>
        <w:t>2051年3月2日</w:t>
      </w:r>
      <w:r>
        <w:rPr>
          <w:rFonts w:hint="eastAsia" w:ascii="仿宋" w:hAnsi="仿宋" w:eastAsia="仿宋" w:cs="仿宋"/>
          <w:snapToGrid w:val="0"/>
          <w:kern w:val="0"/>
          <w:sz w:val="28"/>
          <w:szCs w:val="28"/>
          <w:lang w:eastAsia="zh-CN"/>
        </w:rPr>
        <w:t>。截止价值时点，估价对象</w:t>
      </w:r>
      <w:r>
        <w:rPr>
          <w:rFonts w:hint="eastAsia" w:ascii="仿宋" w:hAnsi="仿宋" w:eastAsia="仿宋" w:cs="仿宋"/>
          <w:snapToGrid w:val="0"/>
          <w:kern w:val="0"/>
          <w:sz w:val="28"/>
          <w:szCs w:val="28"/>
        </w:rPr>
        <w:t>剩余</w:t>
      </w:r>
      <w:r>
        <w:rPr>
          <w:rFonts w:hint="eastAsia" w:ascii="仿宋" w:hAnsi="仿宋" w:eastAsia="仿宋" w:cs="仿宋"/>
          <w:snapToGrid w:val="0"/>
          <w:kern w:val="0"/>
          <w:sz w:val="28"/>
          <w:szCs w:val="28"/>
          <w:lang w:eastAsia="zh-CN"/>
        </w:rPr>
        <w:t>土地</w:t>
      </w:r>
      <w:r>
        <w:rPr>
          <w:rFonts w:hint="eastAsia" w:ascii="仿宋" w:hAnsi="仿宋" w:eastAsia="仿宋" w:cs="仿宋"/>
          <w:snapToGrid w:val="0"/>
          <w:kern w:val="0"/>
          <w:sz w:val="28"/>
          <w:szCs w:val="28"/>
        </w:rPr>
        <w:t>使用年限为</w:t>
      </w:r>
      <w:r>
        <w:rPr>
          <w:rFonts w:hint="eastAsia" w:ascii="仿宋" w:hAnsi="仿宋" w:eastAsia="仿宋" w:cs="仿宋"/>
          <w:snapToGrid w:val="0"/>
          <w:kern w:val="0"/>
          <w:sz w:val="28"/>
          <w:szCs w:val="28"/>
          <w:lang w:val="en-US" w:eastAsia="zh-CN"/>
        </w:rPr>
        <w:t>30.99</w:t>
      </w:r>
      <w:r>
        <w:rPr>
          <w:rFonts w:hint="eastAsia" w:ascii="仿宋" w:hAnsi="仿宋" w:eastAsia="仿宋" w:cs="仿宋"/>
          <w:snapToGrid w:val="0"/>
          <w:kern w:val="0"/>
          <w:sz w:val="28"/>
          <w:szCs w:val="28"/>
        </w:rPr>
        <w:t>年。</w:t>
      </w:r>
    </w:p>
    <w:p>
      <w:pPr>
        <w:keepNext w:val="0"/>
        <w:keepLines w:val="0"/>
        <w:pageBreakBefore w:val="0"/>
        <w:widowControl w:val="0"/>
        <w:tabs>
          <w:tab w:val="left" w:pos="7088"/>
        </w:tabs>
        <w:kinsoku/>
        <w:wordWrap/>
        <w:overflowPunct/>
        <w:topLinePunct w:val="0"/>
        <w:autoSpaceDE/>
        <w:autoSpaceDN/>
        <w:bidi w:val="0"/>
        <w:adjustRightInd w:val="0"/>
        <w:snapToGrid w:val="0"/>
        <w:spacing w:line="560" w:lineRule="exact"/>
        <w:ind w:right="0" w:rightChars="0" w:firstLine="560" w:firstLineChars="200"/>
        <w:jc w:val="both"/>
        <w:textAlignment w:val="auto"/>
        <w:outlineLvl w:val="9"/>
        <w:rPr>
          <w:rFonts w:hint="eastAsia"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lang w:val="en-US" w:eastAsia="zh-CN"/>
        </w:rPr>
        <w:t>估价对象3：</w:t>
      </w:r>
      <w:r>
        <w:rPr>
          <w:rFonts w:hint="eastAsia" w:ascii="仿宋" w:hAnsi="仿宋" w:eastAsia="仿宋" w:cs="仿宋"/>
          <w:snapToGrid w:val="0"/>
          <w:kern w:val="0"/>
          <w:sz w:val="28"/>
          <w:szCs w:val="28"/>
        </w:rPr>
        <w:t>根据</w:t>
      </w:r>
      <w:r>
        <w:rPr>
          <w:rFonts w:hint="eastAsia" w:ascii="仿宋" w:hAnsi="仿宋" w:eastAsia="仿宋" w:cs="仿宋"/>
          <w:snapToGrid w:val="0"/>
          <w:kern w:val="0"/>
          <w:sz w:val="28"/>
          <w:szCs w:val="28"/>
          <w:lang w:val="en-US" w:eastAsia="zh-CN"/>
        </w:rPr>
        <w:t>当事人</w:t>
      </w:r>
      <w:r>
        <w:rPr>
          <w:rFonts w:hint="eastAsia" w:ascii="仿宋" w:hAnsi="仿宋" w:eastAsia="仿宋" w:cs="仿宋"/>
          <w:snapToGrid w:val="0"/>
          <w:kern w:val="0"/>
          <w:sz w:val="28"/>
          <w:szCs w:val="28"/>
        </w:rPr>
        <w:t>陪同估价人员现场查看及指界，估价对象</w:t>
      </w:r>
      <w:r>
        <w:rPr>
          <w:rFonts w:hint="eastAsia" w:ascii="仿宋" w:hAnsi="仿宋" w:eastAsia="仿宋" w:cs="仿宋"/>
          <w:snapToGrid w:val="0"/>
          <w:kern w:val="0"/>
          <w:sz w:val="28"/>
          <w:szCs w:val="28"/>
          <w:lang w:val="en-US" w:eastAsia="zh-CN"/>
        </w:rPr>
        <w:t>广汉市中山大道北三段35号中山小区8幢1-2层门市</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eastAsia="zh-CN"/>
        </w:rPr>
        <w:t>地类用途为</w:t>
      </w:r>
      <w:r>
        <w:rPr>
          <w:rFonts w:hint="eastAsia" w:ascii="仿宋" w:hAnsi="仿宋" w:eastAsia="仿宋" w:cs="仿宋"/>
          <w:snapToGrid w:val="0"/>
          <w:kern w:val="0"/>
          <w:sz w:val="28"/>
          <w:szCs w:val="28"/>
          <w:lang w:val="en-US" w:eastAsia="zh-CN"/>
        </w:rPr>
        <w:t>城镇混合住宅用地（商业）</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地理位置</w:t>
      </w:r>
      <w:r>
        <w:rPr>
          <w:rFonts w:hint="eastAsia" w:ascii="仿宋" w:hAnsi="仿宋" w:eastAsia="仿宋" w:cs="仿宋"/>
          <w:snapToGrid w:val="0"/>
          <w:kern w:val="0"/>
          <w:sz w:val="28"/>
          <w:szCs w:val="28"/>
          <w:lang w:val="en-US" w:eastAsia="zh-CN"/>
        </w:rPr>
        <w:t>较好</w:t>
      </w:r>
      <w:r>
        <w:rPr>
          <w:rFonts w:hint="eastAsia" w:ascii="仿宋" w:hAnsi="仿宋" w:eastAsia="仿宋" w:cs="仿宋"/>
          <w:snapToGrid w:val="0"/>
          <w:kern w:val="0"/>
          <w:sz w:val="28"/>
          <w:szCs w:val="28"/>
        </w:rPr>
        <w:t>。估价对象所处宗地形状</w:t>
      </w:r>
      <w:r>
        <w:rPr>
          <w:rFonts w:hint="eastAsia" w:ascii="仿宋" w:hAnsi="仿宋" w:eastAsia="仿宋" w:cs="仿宋"/>
          <w:snapToGrid w:val="0"/>
          <w:kern w:val="0"/>
          <w:sz w:val="28"/>
          <w:szCs w:val="28"/>
          <w:lang w:eastAsia="zh-CN"/>
        </w:rPr>
        <w:t>较规则</w:t>
      </w:r>
      <w:r>
        <w:rPr>
          <w:rFonts w:hint="eastAsia" w:ascii="仿宋" w:hAnsi="仿宋" w:eastAsia="仿宋" w:cs="仿宋"/>
          <w:snapToGrid w:val="0"/>
          <w:kern w:val="0"/>
          <w:sz w:val="28"/>
          <w:szCs w:val="28"/>
        </w:rPr>
        <w:t>，地势平稳，无明显坡度，地基地质条件良好，适于建筑。估价对象土地使用权规划用途与实际用途一致。至价值时点，估价对象宗地内外已达到“六通一平”（通上水、通下水、通电、通气、通讯、通路，场地平整）。估价对象</w:t>
      </w:r>
      <w:r>
        <w:rPr>
          <w:rFonts w:hint="eastAsia" w:ascii="仿宋" w:hAnsi="仿宋" w:eastAsia="仿宋" w:cs="仿宋"/>
          <w:snapToGrid w:val="0"/>
          <w:kern w:val="0"/>
          <w:sz w:val="28"/>
          <w:szCs w:val="28"/>
          <w:lang w:val="en-US" w:eastAsia="zh-CN"/>
        </w:rPr>
        <w:t>分摊</w:t>
      </w:r>
      <w:r>
        <w:rPr>
          <w:rFonts w:hint="eastAsia" w:ascii="仿宋" w:hAnsi="仿宋" w:eastAsia="仿宋" w:cs="仿宋"/>
          <w:snapToGrid w:val="0"/>
          <w:kern w:val="0"/>
          <w:sz w:val="28"/>
          <w:szCs w:val="28"/>
        </w:rPr>
        <w:t>国有出让土地使用权面积为</w:t>
      </w:r>
      <w:r>
        <w:rPr>
          <w:rFonts w:hint="eastAsia" w:ascii="仿宋" w:hAnsi="仿宋" w:eastAsia="仿宋" w:cs="仿宋"/>
          <w:snapToGrid w:val="0"/>
          <w:kern w:val="0"/>
          <w:sz w:val="28"/>
          <w:szCs w:val="28"/>
          <w:lang w:val="en-US" w:eastAsia="zh-CN"/>
        </w:rPr>
        <w:t>33.34</w:t>
      </w:r>
      <w:r>
        <w:rPr>
          <w:rFonts w:hint="eastAsia" w:ascii="仿宋" w:hAnsi="仿宋" w:eastAsia="仿宋" w:cs="仿宋"/>
          <w:snapToGrid w:val="0"/>
          <w:kern w:val="0"/>
          <w:sz w:val="28"/>
          <w:szCs w:val="28"/>
        </w:rPr>
        <w:t>平方米，国有出让土地使用权终止日期为</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lang w:val="en-US" w:eastAsia="zh-CN"/>
        </w:rPr>
        <w:t>2041年9月15日</w:t>
      </w:r>
      <w:r>
        <w:rPr>
          <w:rFonts w:hint="eastAsia" w:ascii="仿宋" w:hAnsi="仿宋" w:eastAsia="仿宋" w:cs="仿宋"/>
          <w:snapToGrid w:val="0"/>
          <w:kern w:val="0"/>
          <w:sz w:val="28"/>
          <w:szCs w:val="28"/>
          <w:lang w:eastAsia="zh-CN"/>
        </w:rPr>
        <w:t>。截止估价时点，估价对象</w:t>
      </w:r>
      <w:r>
        <w:rPr>
          <w:rFonts w:hint="eastAsia" w:ascii="仿宋" w:hAnsi="仿宋" w:eastAsia="仿宋" w:cs="仿宋"/>
          <w:snapToGrid w:val="0"/>
          <w:kern w:val="0"/>
          <w:sz w:val="28"/>
          <w:szCs w:val="28"/>
        </w:rPr>
        <w:t>剩余</w:t>
      </w:r>
      <w:r>
        <w:rPr>
          <w:rFonts w:hint="eastAsia" w:ascii="仿宋" w:hAnsi="仿宋" w:eastAsia="仿宋" w:cs="仿宋"/>
          <w:snapToGrid w:val="0"/>
          <w:kern w:val="0"/>
          <w:sz w:val="28"/>
          <w:szCs w:val="28"/>
          <w:lang w:eastAsia="zh-CN"/>
        </w:rPr>
        <w:t>土地</w:t>
      </w:r>
      <w:r>
        <w:rPr>
          <w:rFonts w:hint="eastAsia" w:ascii="仿宋" w:hAnsi="仿宋" w:eastAsia="仿宋" w:cs="仿宋"/>
          <w:snapToGrid w:val="0"/>
          <w:kern w:val="0"/>
          <w:sz w:val="28"/>
          <w:szCs w:val="28"/>
        </w:rPr>
        <w:t>使用年限为</w:t>
      </w:r>
      <w:r>
        <w:rPr>
          <w:rFonts w:hint="eastAsia" w:ascii="仿宋" w:hAnsi="仿宋" w:eastAsia="仿宋" w:cs="仿宋"/>
          <w:snapToGrid w:val="0"/>
          <w:kern w:val="0"/>
          <w:sz w:val="28"/>
          <w:szCs w:val="28"/>
          <w:lang w:val="en-US" w:eastAsia="zh-CN"/>
        </w:rPr>
        <w:t>21.05</w:t>
      </w:r>
      <w:r>
        <w:rPr>
          <w:rFonts w:hint="eastAsia" w:ascii="仿宋" w:hAnsi="仿宋" w:eastAsia="仿宋" w:cs="仿宋"/>
          <w:snapToGrid w:val="0"/>
          <w:kern w:val="0"/>
          <w:sz w:val="28"/>
          <w:szCs w:val="28"/>
        </w:rPr>
        <w:t>年。</w:t>
      </w:r>
    </w:p>
    <w:p>
      <w:pPr>
        <w:keepNext w:val="0"/>
        <w:keepLines w:val="0"/>
        <w:pageBreakBefore w:val="0"/>
        <w:widowControl w:val="0"/>
        <w:tabs>
          <w:tab w:val="left" w:pos="7088"/>
        </w:tabs>
        <w:kinsoku/>
        <w:wordWrap/>
        <w:overflowPunct/>
        <w:topLinePunct w:val="0"/>
        <w:autoSpaceDE/>
        <w:autoSpaceDN/>
        <w:bidi w:val="0"/>
        <w:adjustRightInd w:val="0"/>
        <w:snapToGrid w:val="0"/>
        <w:spacing w:line="560" w:lineRule="exact"/>
        <w:ind w:right="0" w:rightChars="0" w:firstLine="560" w:firstLineChars="200"/>
        <w:jc w:val="both"/>
        <w:textAlignment w:val="auto"/>
        <w:outlineLvl w:val="9"/>
        <w:rPr>
          <w:rFonts w:hint="eastAsia"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lang w:val="en-US" w:eastAsia="zh-CN"/>
        </w:rPr>
        <w:t>估价对象4：</w:t>
      </w:r>
      <w:r>
        <w:rPr>
          <w:rFonts w:hint="eastAsia" w:ascii="仿宋" w:hAnsi="仿宋" w:eastAsia="仿宋" w:cs="仿宋"/>
          <w:snapToGrid w:val="0"/>
          <w:kern w:val="0"/>
          <w:sz w:val="28"/>
          <w:szCs w:val="28"/>
        </w:rPr>
        <w:t>根据</w:t>
      </w:r>
      <w:r>
        <w:rPr>
          <w:rFonts w:hint="eastAsia" w:ascii="仿宋" w:hAnsi="仿宋" w:eastAsia="仿宋" w:cs="仿宋"/>
          <w:snapToGrid w:val="0"/>
          <w:kern w:val="0"/>
          <w:sz w:val="28"/>
          <w:szCs w:val="28"/>
          <w:lang w:val="en-US" w:eastAsia="zh-CN"/>
        </w:rPr>
        <w:t>当事人</w:t>
      </w:r>
      <w:r>
        <w:rPr>
          <w:rFonts w:hint="eastAsia" w:ascii="仿宋" w:hAnsi="仿宋" w:eastAsia="仿宋" w:cs="仿宋"/>
          <w:snapToGrid w:val="0"/>
          <w:kern w:val="0"/>
          <w:sz w:val="28"/>
          <w:szCs w:val="28"/>
        </w:rPr>
        <w:t>陪同估价人员现场查看及指界，估价对象</w:t>
      </w:r>
      <w:r>
        <w:rPr>
          <w:rFonts w:hint="eastAsia" w:ascii="仿宋" w:hAnsi="仿宋" w:eastAsia="仿宋" w:cs="仿宋"/>
          <w:snapToGrid w:val="0"/>
          <w:kern w:val="0"/>
          <w:sz w:val="28"/>
          <w:szCs w:val="28"/>
          <w:lang w:val="en-US" w:eastAsia="zh-CN"/>
        </w:rPr>
        <w:t>广汉市东西大街西二段260号1幢商住用房</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eastAsia="zh-CN"/>
        </w:rPr>
        <w:t>地类用途为</w:t>
      </w:r>
      <w:r>
        <w:rPr>
          <w:rFonts w:hint="eastAsia" w:ascii="仿宋" w:hAnsi="仿宋" w:eastAsia="仿宋" w:cs="仿宋"/>
          <w:snapToGrid w:val="0"/>
          <w:kern w:val="0"/>
          <w:sz w:val="28"/>
          <w:szCs w:val="28"/>
          <w:lang w:val="en-US" w:eastAsia="zh-CN"/>
        </w:rPr>
        <w:t>城镇混合住宅用地</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lang w:val="en-US" w:eastAsia="zh-CN"/>
        </w:rPr>
        <w:t>估价对象宗地四至：南临东西大街西二段，北临空地，东临广汉市救助站，西临广汉宏兴苑，</w:t>
      </w:r>
      <w:r>
        <w:rPr>
          <w:rFonts w:hint="eastAsia" w:ascii="仿宋" w:hAnsi="仿宋" w:eastAsia="仿宋" w:cs="仿宋"/>
          <w:snapToGrid w:val="0"/>
          <w:kern w:val="0"/>
          <w:sz w:val="28"/>
          <w:szCs w:val="28"/>
        </w:rPr>
        <w:t>地理位置</w:t>
      </w:r>
      <w:r>
        <w:rPr>
          <w:rFonts w:hint="eastAsia" w:ascii="仿宋" w:hAnsi="仿宋" w:eastAsia="仿宋" w:cs="仿宋"/>
          <w:snapToGrid w:val="0"/>
          <w:kern w:val="0"/>
          <w:sz w:val="28"/>
          <w:szCs w:val="28"/>
          <w:lang w:val="en-US" w:eastAsia="zh-CN"/>
        </w:rPr>
        <w:t>较好</w:t>
      </w:r>
      <w:r>
        <w:rPr>
          <w:rFonts w:hint="eastAsia" w:ascii="仿宋" w:hAnsi="仿宋" w:eastAsia="仿宋" w:cs="仿宋"/>
          <w:snapToGrid w:val="0"/>
          <w:kern w:val="0"/>
          <w:sz w:val="28"/>
          <w:szCs w:val="28"/>
        </w:rPr>
        <w:t>。估价对象所处宗地形状</w:t>
      </w:r>
      <w:r>
        <w:rPr>
          <w:rFonts w:hint="eastAsia" w:ascii="仿宋" w:hAnsi="仿宋" w:eastAsia="仿宋" w:cs="仿宋"/>
          <w:snapToGrid w:val="0"/>
          <w:kern w:val="0"/>
          <w:sz w:val="28"/>
          <w:szCs w:val="28"/>
          <w:lang w:eastAsia="zh-CN"/>
        </w:rPr>
        <w:t>较规则</w:t>
      </w:r>
      <w:r>
        <w:rPr>
          <w:rFonts w:hint="eastAsia" w:ascii="仿宋" w:hAnsi="仿宋" w:eastAsia="仿宋" w:cs="仿宋"/>
          <w:snapToGrid w:val="0"/>
          <w:kern w:val="0"/>
          <w:sz w:val="28"/>
          <w:szCs w:val="28"/>
        </w:rPr>
        <w:t>，地势平稳，无明显坡度，地基地质条件良好，适于建筑。估价对象土地使用权规划用途与实际用途一致。至价值时点，估价对象宗地内外已达到“六通一平”（通上水、通下水、通电、通气、通讯、通路，场地平整）。</w:t>
      </w:r>
      <w:r>
        <w:rPr>
          <w:rFonts w:hint="eastAsia" w:ascii="仿宋" w:hAnsi="仿宋" w:eastAsia="仿宋" w:cs="仿宋"/>
          <w:snapToGrid w:val="0"/>
          <w:kern w:val="0"/>
          <w:sz w:val="28"/>
          <w:szCs w:val="28"/>
          <w:lang w:val="en-US" w:eastAsia="zh-CN"/>
        </w:rPr>
        <w:t>依据委托方提供的资料记载，</w:t>
      </w:r>
      <w:r>
        <w:rPr>
          <w:rFonts w:hint="eastAsia" w:ascii="仿宋" w:hAnsi="仿宋" w:eastAsia="仿宋" w:cs="仿宋"/>
          <w:snapToGrid w:val="0"/>
          <w:kern w:val="0"/>
          <w:sz w:val="28"/>
          <w:szCs w:val="28"/>
        </w:rPr>
        <w:t>估价对象国有出让土地使用权面积为</w:t>
      </w:r>
      <w:r>
        <w:rPr>
          <w:rFonts w:hint="eastAsia" w:ascii="仿宋" w:hAnsi="仿宋" w:eastAsia="仿宋" w:cs="仿宋"/>
          <w:snapToGrid w:val="0"/>
          <w:kern w:val="0"/>
          <w:sz w:val="28"/>
          <w:szCs w:val="28"/>
          <w:lang w:val="en-US" w:eastAsia="zh-CN"/>
        </w:rPr>
        <w:t>1050.80</w:t>
      </w:r>
      <w:r>
        <w:rPr>
          <w:rFonts w:hint="eastAsia" w:ascii="仿宋" w:hAnsi="仿宋" w:eastAsia="仿宋" w:cs="仿宋"/>
          <w:snapToGrid w:val="0"/>
          <w:kern w:val="0"/>
          <w:sz w:val="28"/>
          <w:szCs w:val="28"/>
        </w:rPr>
        <w:t>平方米，国有出让土地使用权终止日期为</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lang w:val="en-US" w:eastAsia="zh-CN"/>
        </w:rPr>
        <w:t>住宅：2079-09-02，商业：2049-09-02</w:t>
      </w:r>
      <w:r>
        <w:rPr>
          <w:rFonts w:hint="eastAsia" w:ascii="仿宋" w:hAnsi="仿宋" w:eastAsia="仿宋" w:cs="仿宋"/>
          <w:snapToGrid w:val="0"/>
          <w:kern w:val="0"/>
          <w:sz w:val="28"/>
          <w:szCs w:val="28"/>
          <w:lang w:eastAsia="zh-CN"/>
        </w:rPr>
        <w:t>。截止价值时点，估价对象</w:t>
      </w:r>
      <w:r>
        <w:rPr>
          <w:rFonts w:hint="eastAsia" w:ascii="仿宋" w:hAnsi="仿宋" w:eastAsia="仿宋" w:cs="仿宋"/>
          <w:snapToGrid w:val="0"/>
          <w:kern w:val="0"/>
          <w:sz w:val="28"/>
          <w:szCs w:val="28"/>
          <w:lang w:val="en-US" w:eastAsia="zh-CN"/>
        </w:rPr>
        <w:t>住宅</w:t>
      </w:r>
      <w:r>
        <w:rPr>
          <w:rFonts w:hint="eastAsia" w:ascii="仿宋" w:hAnsi="仿宋" w:eastAsia="仿宋" w:cs="仿宋"/>
          <w:snapToGrid w:val="0"/>
          <w:kern w:val="0"/>
          <w:sz w:val="28"/>
          <w:szCs w:val="28"/>
        </w:rPr>
        <w:t>剩余</w:t>
      </w:r>
      <w:r>
        <w:rPr>
          <w:rFonts w:hint="eastAsia" w:ascii="仿宋" w:hAnsi="仿宋" w:eastAsia="仿宋" w:cs="仿宋"/>
          <w:snapToGrid w:val="0"/>
          <w:kern w:val="0"/>
          <w:sz w:val="28"/>
          <w:szCs w:val="28"/>
          <w:lang w:eastAsia="zh-CN"/>
        </w:rPr>
        <w:t>土地</w:t>
      </w:r>
      <w:r>
        <w:rPr>
          <w:rFonts w:hint="eastAsia" w:ascii="仿宋" w:hAnsi="仿宋" w:eastAsia="仿宋" w:cs="仿宋"/>
          <w:snapToGrid w:val="0"/>
          <w:kern w:val="0"/>
          <w:sz w:val="28"/>
          <w:szCs w:val="28"/>
        </w:rPr>
        <w:t>使用年限为</w:t>
      </w:r>
      <w:r>
        <w:rPr>
          <w:rFonts w:hint="eastAsia" w:ascii="仿宋" w:hAnsi="仿宋" w:eastAsia="仿宋" w:cs="仿宋"/>
          <w:snapToGrid w:val="0"/>
          <w:kern w:val="0"/>
          <w:sz w:val="28"/>
          <w:szCs w:val="28"/>
          <w:lang w:val="en-US" w:eastAsia="zh-CN"/>
        </w:rPr>
        <w:t>59.05年，商业剩余土地使用权年限为29.05</w:t>
      </w:r>
      <w:r>
        <w:rPr>
          <w:rFonts w:hint="eastAsia" w:ascii="仿宋" w:hAnsi="仿宋" w:eastAsia="仿宋" w:cs="仿宋"/>
          <w:snapToGrid w:val="0"/>
          <w:kern w:val="0"/>
          <w:sz w:val="28"/>
          <w:szCs w:val="28"/>
        </w:rPr>
        <w:t>年。</w:t>
      </w:r>
    </w:p>
    <w:p>
      <w:pPr>
        <w:keepNext w:val="0"/>
        <w:keepLines w:val="0"/>
        <w:pageBreakBefore w:val="0"/>
        <w:widowControl w:val="0"/>
        <w:tabs>
          <w:tab w:val="left" w:pos="7088"/>
        </w:tabs>
        <w:kinsoku/>
        <w:wordWrap/>
        <w:overflowPunct/>
        <w:topLinePunct w:val="0"/>
        <w:autoSpaceDE/>
        <w:autoSpaceDN/>
        <w:bidi w:val="0"/>
        <w:adjustRightInd w:val="0"/>
        <w:snapToGrid w:val="0"/>
        <w:spacing w:line="560" w:lineRule="exact"/>
        <w:ind w:right="0" w:rightChars="0" w:firstLine="560" w:firstLineChars="200"/>
        <w:jc w:val="both"/>
        <w:textAlignment w:val="auto"/>
        <w:outlineLvl w:val="9"/>
        <w:rPr>
          <w:rFonts w:hint="default"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lang w:val="en-US" w:eastAsia="zh-CN"/>
        </w:rPr>
        <w:t>估价对象5：</w:t>
      </w:r>
      <w:r>
        <w:rPr>
          <w:rFonts w:hint="eastAsia" w:ascii="仿宋" w:hAnsi="仿宋" w:eastAsia="仿宋" w:cs="仿宋"/>
          <w:snapToGrid w:val="0"/>
          <w:kern w:val="0"/>
          <w:sz w:val="28"/>
          <w:szCs w:val="28"/>
        </w:rPr>
        <w:t>根据</w:t>
      </w:r>
      <w:r>
        <w:rPr>
          <w:rFonts w:hint="eastAsia" w:ascii="仿宋" w:hAnsi="仿宋" w:eastAsia="仿宋" w:cs="仿宋"/>
          <w:snapToGrid w:val="0"/>
          <w:kern w:val="0"/>
          <w:sz w:val="28"/>
          <w:szCs w:val="28"/>
          <w:lang w:val="en-US" w:eastAsia="zh-CN"/>
        </w:rPr>
        <w:t>当事人</w:t>
      </w:r>
      <w:r>
        <w:rPr>
          <w:rFonts w:hint="eastAsia" w:ascii="仿宋" w:hAnsi="仿宋" w:eastAsia="仿宋" w:cs="仿宋"/>
          <w:snapToGrid w:val="0"/>
          <w:kern w:val="0"/>
          <w:sz w:val="28"/>
          <w:szCs w:val="28"/>
        </w:rPr>
        <w:t>陪同估价人员现场查看及指界，估价对象</w:t>
      </w:r>
      <w:r>
        <w:rPr>
          <w:rFonts w:hint="eastAsia" w:ascii="仿宋" w:hAnsi="仿宋" w:eastAsia="仿宋" w:cs="仿宋"/>
          <w:snapToGrid w:val="0"/>
          <w:kern w:val="0"/>
          <w:sz w:val="28"/>
          <w:szCs w:val="28"/>
          <w:lang w:val="en-US" w:eastAsia="zh-CN"/>
        </w:rPr>
        <w:t>广汉市东西大街西二段商服用地土地使用权</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eastAsia="zh-CN"/>
        </w:rPr>
        <w:t>地类用途为</w:t>
      </w:r>
      <w:r>
        <w:rPr>
          <w:rFonts w:hint="eastAsia" w:ascii="仿宋" w:hAnsi="仿宋" w:eastAsia="仿宋" w:cs="仿宋"/>
          <w:snapToGrid w:val="0"/>
          <w:kern w:val="0"/>
          <w:sz w:val="28"/>
          <w:szCs w:val="28"/>
          <w:lang w:val="en-US" w:eastAsia="zh-CN"/>
        </w:rPr>
        <w:t>其他商服用地</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地理位置</w:t>
      </w:r>
      <w:r>
        <w:rPr>
          <w:rFonts w:hint="eastAsia" w:ascii="仿宋" w:hAnsi="仿宋" w:eastAsia="仿宋" w:cs="仿宋"/>
          <w:snapToGrid w:val="0"/>
          <w:kern w:val="0"/>
          <w:sz w:val="28"/>
          <w:szCs w:val="28"/>
          <w:lang w:val="en-US" w:eastAsia="zh-CN"/>
        </w:rPr>
        <w:t>较好</w:t>
      </w:r>
      <w:r>
        <w:rPr>
          <w:rFonts w:hint="eastAsia" w:ascii="仿宋" w:hAnsi="仿宋" w:eastAsia="仿宋" w:cs="仿宋"/>
          <w:snapToGrid w:val="0"/>
          <w:kern w:val="0"/>
          <w:sz w:val="28"/>
          <w:szCs w:val="28"/>
        </w:rPr>
        <w:t>。估价对象所处宗地形状</w:t>
      </w:r>
      <w:r>
        <w:rPr>
          <w:rFonts w:hint="eastAsia" w:ascii="仿宋" w:hAnsi="仿宋" w:eastAsia="仿宋" w:cs="仿宋"/>
          <w:snapToGrid w:val="0"/>
          <w:kern w:val="0"/>
          <w:sz w:val="28"/>
          <w:szCs w:val="28"/>
          <w:lang w:eastAsia="zh-CN"/>
        </w:rPr>
        <w:t>较规则</w:t>
      </w:r>
      <w:r>
        <w:rPr>
          <w:rFonts w:hint="eastAsia" w:ascii="仿宋" w:hAnsi="仿宋" w:eastAsia="仿宋" w:cs="仿宋"/>
          <w:snapToGrid w:val="0"/>
          <w:kern w:val="0"/>
          <w:sz w:val="28"/>
          <w:szCs w:val="28"/>
        </w:rPr>
        <w:t>，地势平稳，无明显坡度，地基地质</w:t>
      </w:r>
      <w:r>
        <w:rPr>
          <w:rFonts w:hint="eastAsia" w:ascii="仿宋" w:hAnsi="仿宋" w:eastAsia="仿宋" w:cs="仿宋"/>
          <w:snapToGrid w:val="0"/>
          <w:kern w:val="0"/>
          <w:sz w:val="28"/>
          <w:szCs w:val="28"/>
          <w:lang w:val="en-US" w:eastAsia="zh-CN"/>
        </w:rPr>
        <w:t>承载力强，地质</w:t>
      </w:r>
      <w:r>
        <w:rPr>
          <w:rFonts w:hint="eastAsia" w:ascii="仿宋" w:hAnsi="仿宋" w:eastAsia="仿宋" w:cs="仿宋"/>
          <w:snapToGrid w:val="0"/>
          <w:kern w:val="0"/>
          <w:sz w:val="28"/>
          <w:szCs w:val="28"/>
        </w:rPr>
        <w:t>条件</w:t>
      </w:r>
      <w:r>
        <w:rPr>
          <w:rFonts w:hint="eastAsia" w:ascii="仿宋" w:hAnsi="仿宋" w:eastAsia="仿宋" w:cs="仿宋"/>
          <w:snapToGrid w:val="0"/>
          <w:kern w:val="0"/>
          <w:sz w:val="28"/>
          <w:szCs w:val="28"/>
          <w:lang w:val="en-US" w:eastAsia="zh-CN"/>
        </w:rPr>
        <w:t>较优</w:t>
      </w:r>
      <w:r>
        <w:rPr>
          <w:rFonts w:hint="eastAsia" w:ascii="仿宋" w:hAnsi="仿宋" w:eastAsia="仿宋" w:cs="仿宋"/>
          <w:snapToGrid w:val="0"/>
          <w:kern w:val="0"/>
          <w:sz w:val="28"/>
          <w:szCs w:val="28"/>
        </w:rPr>
        <w:t>，适于建筑。估价对象土地使用权规划用途与实际用途一致。至价值时点，估价对象宗地内外已达到“六通一平”（通上水、通下水、通电、通气、通讯、通路，场地平整）。</w:t>
      </w:r>
      <w:r>
        <w:rPr>
          <w:rFonts w:hint="eastAsia" w:ascii="仿宋_GB2312" w:hAnsi="宋体" w:eastAsia="仿宋_GB2312"/>
          <w:sz w:val="28"/>
          <w:szCs w:val="28"/>
          <w:lang w:eastAsia="zh-CN"/>
        </w:rPr>
        <w:t>据委托方提供的资料及估价人员现场查看，估价对象宗地</w:t>
      </w:r>
      <w:r>
        <w:rPr>
          <w:rFonts w:hint="eastAsia" w:ascii="仿宋_GB2312" w:hAnsi="宋体" w:eastAsia="仿宋_GB2312"/>
          <w:sz w:val="28"/>
          <w:szCs w:val="28"/>
          <w:lang w:val="en-US" w:eastAsia="zh-CN"/>
        </w:rPr>
        <w:t>毗邻</w:t>
      </w:r>
      <w:r>
        <w:rPr>
          <w:rFonts w:hint="eastAsia" w:ascii="仿宋_GB2312" w:hAnsi="宋体" w:eastAsia="仿宋_GB2312"/>
          <w:sz w:val="28"/>
          <w:szCs w:val="28"/>
          <w:lang w:eastAsia="zh-CN"/>
        </w:rPr>
        <w:t>主干道，</w:t>
      </w:r>
      <w:r>
        <w:rPr>
          <w:rFonts w:hint="eastAsia" w:ascii="仿宋_GB2312" w:hAnsi="宋体" w:eastAsia="仿宋_GB2312"/>
          <w:sz w:val="28"/>
          <w:szCs w:val="28"/>
          <w:lang w:val="en-US" w:eastAsia="zh-CN"/>
        </w:rPr>
        <w:t>临街深度约25米</w:t>
      </w:r>
      <w:r>
        <w:rPr>
          <w:rFonts w:hint="eastAsia" w:ascii="仿宋_GB2312" w:hAnsi="宋体" w:eastAsia="仿宋_GB2312"/>
          <w:sz w:val="28"/>
          <w:szCs w:val="28"/>
          <w:lang w:eastAsia="zh-CN"/>
        </w:rPr>
        <w:t>，作为商业用地，临街状况条件一般</w:t>
      </w:r>
      <w:r>
        <w:rPr>
          <w:rFonts w:hint="eastAsia" w:ascii="仿宋_GB2312" w:hAnsi="宋体" w:eastAsia="仿宋_GB2312"/>
          <w:sz w:val="28"/>
          <w:szCs w:val="28"/>
        </w:rPr>
        <w:t>。</w:t>
      </w:r>
      <w:r>
        <w:rPr>
          <w:rFonts w:hint="eastAsia" w:ascii="仿宋_GB2312" w:hAnsi="宋体" w:eastAsia="仿宋_GB2312"/>
          <w:sz w:val="28"/>
          <w:szCs w:val="28"/>
          <w:lang w:eastAsia="zh-CN"/>
        </w:rPr>
        <w:t>估计对象宗地所临道路宽度约</w:t>
      </w:r>
      <w:r>
        <w:rPr>
          <w:rFonts w:hint="eastAsia" w:ascii="仿宋_GB2312" w:hAnsi="宋体" w:eastAsia="仿宋_GB2312"/>
          <w:sz w:val="28"/>
          <w:szCs w:val="28"/>
          <w:lang w:val="en-US" w:eastAsia="zh-CN"/>
        </w:rPr>
        <w:t>60米，临街宽度条件较优。</w:t>
      </w:r>
      <w:r>
        <w:rPr>
          <w:rFonts w:hint="eastAsia" w:ascii="仿宋" w:hAnsi="仿宋" w:eastAsia="仿宋" w:cs="仿宋"/>
          <w:snapToGrid w:val="0"/>
          <w:kern w:val="0"/>
          <w:sz w:val="28"/>
          <w:szCs w:val="28"/>
        </w:rPr>
        <w:t>估价对象国有出让土地使用权面积为</w:t>
      </w:r>
      <w:r>
        <w:rPr>
          <w:rFonts w:hint="eastAsia" w:ascii="仿宋" w:hAnsi="仿宋" w:eastAsia="仿宋" w:cs="仿宋"/>
          <w:snapToGrid w:val="0"/>
          <w:kern w:val="0"/>
          <w:sz w:val="28"/>
          <w:szCs w:val="28"/>
          <w:lang w:val="en-US" w:eastAsia="zh-CN"/>
        </w:rPr>
        <w:t>1050.80</w:t>
      </w:r>
      <w:r>
        <w:rPr>
          <w:rFonts w:hint="eastAsia" w:ascii="仿宋" w:hAnsi="仿宋" w:eastAsia="仿宋" w:cs="仿宋"/>
          <w:snapToGrid w:val="0"/>
          <w:kern w:val="0"/>
          <w:sz w:val="28"/>
          <w:szCs w:val="28"/>
        </w:rPr>
        <w:t>平方米，国有出让土地使用权终止日期为</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lang w:val="en-US" w:eastAsia="zh-CN"/>
        </w:rPr>
        <w:t>2051年04月28日</w:t>
      </w:r>
      <w:r>
        <w:rPr>
          <w:rFonts w:hint="eastAsia" w:ascii="仿宋" w:hAnsi="仿宋" w:eastAsia="仿宋" w:cs="仿宋"/>
          <w:snapToGrid w:val="0"/>
          <w:kern w:val="0"/>
          <w:sz w:val="28"/>
          <w:szCs w:val="28"/>
          <w:lang w:eastAsia="zh-CN"/>
        </w:rPr>
        <w:t>。截止估价时点，估价对象</w:t>
      </w:r>
      <w:r>
        <w:rPr>
          <w:rFonts w:hint="eastAsia" w:ascii="仿宋" w:hAnsi="仿宋" w:eastAsia="仿宋" w:cs="仿宋"/>
          <w:snapToGrid w:val="0"/>
          <w:kern w:val="0"/>
          <w:sz w:val="28"/>
          <w:szCs w:val="28"/>
        </w:rPr>
        <w:t>剩余</w:t>
      </w:r>
      <w:r>
        <w:rPr>
          <w:rFonts w:hint="eastAsia" w:ascii="仿宋" w:hAnsi="仿宋" w:eastAsia="仿宋" w:cs="仿宋"/>
          <w:snapToGrid w:val="0"/>
          <w:kern w:val="0"/>
          <w:sz w:val="28"/>
          <w:szCs w:val="28"/>
          <w:lang w:eastAsia="zh-CN"/>
        </w:rPr>
        <w:t>土地</w:t>
      </w:r>
      <w:r>
        <w:rPr>
          <w:rFonts w:hint="eastAsia" w:ascii="仿宋" w:hAnsi="仿宋" w:eastAsia="仿宋" w:cs="仿宋"/>
          <w:snapToGrid w:val="0"/>
          <w:kern w:val="0"/>
          <w:sz w:val="28"/>
          <w:szCs w:val="28"/>
        </w:rPr>
        <w:t>使用年限为</w:t>
      </w:r>
      <w:r>
        <w:rPr>
          <w:rFonts w:hint="eastAsia" w:ascii="仿宋" w:hAnsi="仿宋" w:eastAsia="仿宋" w:cs="仿宋"/>
          <w:snapToGrid w:val="0"/>
          <w:kern w:val="0"/>
          <w:sz w:val="28"/>
          <w:szCs w:val="28"/>
          <w:lang w:val="en-US" w:eastAsia="zh-CN"/>
        </w:rPr>
        <w:t>31年，</w:t>
      </w:r>
      <w:r>
        <w:rPr>
          <w:rFonts w:hint="eastAsia" w:ascii="仿宋" w:hAnsi="仿宋" w:eastAsia="仿宋" w:cs="仿宋"/>
          <w:sz w:val="28"/>
          <w:szCs w:val="28"/>
          <w:lang w:val="en-US" w:eastAsia="zh-CN"/>
        </w:rPr>
        <w:t>本次评估设定土地使用年期为31年</w:t>
      </w:r>
      <w:r>
        <w:rPr>
          <w:rFonts w:hint="eastAsia" w:ascii="仿宋" w:hAnsi="仿宋" w:eastAsia="仿宋" w:cs="仿宋"/>
          <w:snapToGrid w:val="0"/>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left="561" w:right="0" w:rightChars="0"/>
        <w:jc w:val="both"/>
        <w:textAlignment w:val="auto"/>
        <w:outlineLvl w:val="9"/>
        <w:rPr>
          <w:rFonts w:hint="eastAsia" w:ascii="仿宋" w:hAnsi="仿宋" w:eastAsia="仿宋" w:cs="仿宋"/>
          <w:b/>
          <w:bCs/>
          <w:snapToGrid w:val="0"/>
          <w:kern w:val="0"/>
          <w:sz w:val="28"/>
          <w:szCs w:val="28"/>
        </w:rPr>
      </w:pPr>
      <w:bookmarkStart w:id="109" w:name="_Toc23412_WPSOffice_Level2"/>
      <w:bookmarkStart w:id="110" w:name="_Toc10750_WPSOffice_Level2"/>
      <w:r>
        <w:rPr>
          <w:rFonts w:hint="eastAsia" w:ascii="仿宋" w:hAnsi="仿宋" w:eastAsia="仿宋" w:cs="仿宋"/>
          <w:b/>
          <w:bCs/>
          <w:snapToGrid w:val="0"/>
          <w:kern w:val="0"/>
          <w:sz w:val="28"/>
          <w:szCs w:val="28"/>
        </w:rPr>
        <w:t>4、建筑物状况</w:t>
      </w:r>
      <w:bookmarkEnd w:id="109"/>
      <w:bookmarkEnd w:id="110"/>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29"/>
        <w:jc w:val="both"/>
        <w:textAlignment w:val="auto"/>
        <w:outlineLvl w:val="9"/>
        <w:rPr>
          <w:rFonts w:hint="eastAsia" w:ascii="仿宋" w:hAnsi="仿宋" w:eastAsia="仿宋" w:cs="仿宋"/>
          <w:bCs/>
          <w:snapToGrid w:val="0"/>
          <w:kern w:val="0"/>
          <w:sz w:val="28"/>
          <w:szCs w:val="28"/>
        </w:rPr>
      </w:pPr>
      <w:r>
        <w:rPr>
          <w:rFonts w:hint="eastAsia" w:ascii="仿宋" w:hAnsi="仿宋" w:eastAsia="仿宋" w:cs="仿宋"/>
          <w:bCs/>
          <w:snapToGrid w:val="0"/>
          <w:kern w:val="0"/>
          <w:sz w:val="28"/>
          <w:szCs w:val="28"/>
          <w:lang w:val="en-US" w:eastAsia="zh-CN"/>
        </w:rPr>
        <w:t>估价对象1：</w:t>
      </w:r>
      <w:r>
        <w:rPr>
          <w:rFonts w:hint="eastAsia" w:ascii="仿宋" w:hAnsi="仿宋" w:eastAsia="仿宋" w:cs="仿宋"/>
          <w:bCs/>
          <w:snapToGrid w:val="0"/>
          <w:kern w:val="0"/>
          <w:sz w:val="28"/>
          <w:szCs w:val="28"/>
        </w:rPr>
        <w:t>根据</w:t>
      </w:r>
      <w:r>
        <w:rPr>
          <w:rFonts w:hint="eastAsia" w:ascii="仿宋" w:hAnsi="仿宋" w:eastAsia="仿宋" w:cs="仿宋"/>
          <w:bCs/>
          <w:snapToGrid w:val="0"/>
          <w:kern w:val="0"/>
          <w:sz w:val="28"/>
          <w:szCs w:val="28"/>
          <w:lang w:val="en-US" w:eastAsia="zh-CN"/>
        </w:rPr>
        <w:t>委托当事人</w:t>
      </w:r>
      <w:r>
        <w:rPr>
          <w:rFonts w:hint="eastAsia" w:ascii="仿宋" w:hAnsi="仿宋" w:eastAsia="仿宋" w:cs="仿宋"/>
          <w:bCs/>
          <w:snapToGrid w:val="0"/>
          <w:kern w:val="0"/>
          <w:sz w:val="28"/>
          <w:szCs w:val="28"/>
        </w:rPr>
        <w:t>的介绍及陪同估价人员实地查勘，</w:t>
      </w:r>
      <w:r>
        <w:rPr>
          <w:rFonts w:hint="eastAsia" w:ascii="仿宋" w:hAnsi="仿宋" w:eastAsia="仿宋" w:cs="仿宋"/>
          <w:bCs/>
          <w:snapToGrid w:val="0"/>
          <w:kern w:val="0"/>
          <w:sz w:val="28"/>
          <w:szCs w:val="28"/>
          <w:lang w:eastAsia="zh-CN"/>
        </w:rPr>
        <w:t>估价对象</w:t>
      </w:r>
      <w:r>
        <w:rPr>
          <w:rFonts w:hint="eastAsia" w:ascii="仿宋" w:hAnsi="仿宋" w:eastAsia="仿宋" w:cs="仿宋"/>
          <w:bCs/>
          <w:snapToGrid w:val="0"/>
          <w:kern w:val="0"/>
          <w:sz w:val="28"/>
          <w:szCs w:val="28"/>
          <w:lang w:val="en-US" w:eastAsia="zh-CN"/>
        </w:rPr>
        <w:t>建筑为框架结构建筑物</w:t>
      </w:r>
      <w:r>
        <w:rPr>
          <w:rFonts w:hint="eastAsia" w:ascii="仿宋" w:hAnsi="仿宋" w:eastAsia="仿宋" w:cs="仿宋"/>
          <w:bCs/>
          <w:snapToGrid w:val="0"/>
          <w:kern w:val="0"/>
          <w:sz w:val="28"/>
          <w:szCs w:val="28"/>
        </w:rPr>
        <w:t>。</w:t>
      </w:r>
      <w:r>
        <w:rPr>
          <w:rFonts w:hint="eastAsia" w:ascii="仿宋" w:hAnsi="仿宋" w:eastAsia="仿宋" w:cs="仿宋"/>
          <w:bCs/>
          <w:snapToGrid w:val="0"/>
          <w:kern w:val="0"/>
          <w:sz w:val="28"/>
          <w:szCs w:val="28"/>
          <w:lang w:eastAsia="zh-CN"/>
        </w:rPr>
        <w:t>房屋</w:t>
      </w:r>
      <w:r>
        <w:rPr>
          <w:rFonts w:hint="eastAsia" w:ascii="仿宋" w:hAnsi="仿宋" w:eastAsia="仿宋" w:cs="仿宋"/>
          <w:bCs/>
          <w:snapToGrid w:val="0"/>
          <w:kern w:val="0"/>
          <w:sz w:val="28"/>
          <w:szCs w:val="28"/>
          <w:lang w:val="en-US" w:eastAsia="zh-CN"/>
        </w:rPr>
        <w:t>设计</w:t>
      </w:r>
      <w:r>
        <w:rPr>
          <w:rFonts w:hint="eastAsia" w:ascii="仿宋" w:hAnsi="仿宋" w:eastAsia="仿宋" w:cs="仿宋"/>
          <w:bCs/>
          <w:snapToGrid w:val="0"/>
          <w:kern w:val="0"/>
          <w:sz w:val="28"/>
          <w:szCs w:val="28"/>
          <w:lang w:eastAsia="zh-CN"/>
        </w:rPr>
        <w:t>用途为</w:t>
      </w:r>
      <w:r>
        <w:rPr>
          <w:rFonts w:hint="eastAsia" w:ascii="仿宋" w:hAnsi="仿宋" w:eastAsia="仿宋" w:cs="仿宋"/>
          <w:bCs/>
          <w:snapToGrid w:val="0"/>
          <w:kern w:val="0"/>
          <w:sz w:val="28"/>
          <w:szCs w:val="28"/>
          <w:lang w:val="en-US" w:eastAsia="zh-CN"/>
        </w:rPr>
        <w:t>营业</w:t>
      </w:r>
      <w:r>
        <w:rPr>
          <w:rFonts w:hint="eastAsia" w:ascii="仿宋" w:hAnsi="仿宋" w:eastAsia="仿宋" w:cs="仿宋"/>
          <w:bCs/>
          <w:snapToGrid w:val="0"/>
          <w:kern w:val="0"/>
          <w:sz w:val="28"/>
          <w:szCs w:val="28"/>
          <w:lang w:eastAsia="zh-CN"/>
        </w:rPr>
        <w:t>，</w:t>
      </w:r>
      <w:r>
        <w:rPr>
          <w:rFonts w:hint="eastAsia" w:ascii="仿宋" w:hAnsi="仿宋" w:eastAsia="仿宋" w:cs="仿宋"/>
          <w:bCs/>
          <w:snapToGrid w:val="0"/>
          <w:kern w:val="0"/>
          <w:sz w:val="28"/>
          <w:szCs w:val="28"/>
          <w:lang w:val="en-US" w:eastAsia="zh-CN"/>
        </w:rPr>
        <w:t>截止价值时点，估价人员现场查勘，估价对象利用现状为营业用房，现已出租给“凉卤汇”小吃店使用</w:t>
      </w:r>
      <w:r>
        <w:rPr>
          <w:rFonts w:hint="eastAsia" w:ascii="仿宋" w:hAnsi="仿宋" w:eastAsia="仿宋" w:cs="仿宋"/>
          <w:bCs/>
          <w:snapToGrid w:val="0"/>
          <w:kern w:val="0"/>
          <w:sz w:val="28"/>
          <w:szCs w:val="28"/>
          <w:lang w:eastAsia="zh-CN"/>
        </w:rPr>
        <w:t>。</w:t>
      </w:r>
      <w:r>
        <w:rPr>
          <w:rFonts w:hint="eastAsia" w:ascii="仿宋" w:hAnsi="仿宋" w:eastAsia="仿宋" w:cs="仿宋"/>
          <w:snapToGrid w:val="0"/>
          <w:kern w:val="0"/>
          <w:sz w:val="28"/>
          <w:szCs w:val="28"/>
        </w:rPr>
        <w:t>至价值时点，估价对象</w:t>
      </w:r>
      <w:r>
        <w:rPr>
          <w:rFonts w:hint="eastAsia" w:ascii="仿宋" w:hAnsi="仿宋" w:eastAsia="仿宋" w:cs="仿宋"/>
          <w:snapToGrid w:val="0"/>
          <w:kern w:val="0"/>
          <w:sz w:val="28"/>
          <w:szCs w:val="28"/>
          <w:lang w:eastAsia="zh-CN"/>
        </w:rPr>
        <w:t>已达到“六通一平”</w:t>
      </w:r>
      <w:r>
        <w:rPr>
          <w:rFonts w:hint="eastAsia" w:ascii="仿宋" w:hAnsi="仿宋" w:eastAsia="仿宋" w:cs="仿宋"/>
          <w:snapToGrid w:val="0"/>
          <w:kern w:val="0"/>
          <w:sz w:val="28"/>
          <w:szCs w:val="28"/>
        </w:rPr>
        <w:t>等</w:t>
      </w:r>
      <w:r>
        <w:rPr>
          <w:rFonts w:hint="eastAsia" w:ascii="仿宋" w:hAnsi="仿宋" w:eastAsia="仿宋" w:cs="仿宋"/>
          <w:snapToGrid w:val="0"/>
          <w:kern w:val="0"/>
          <w:sz w:val="28"/>
          <w:szCs w:val="28"/>
          <w:lang w:eastAsia="zh-CN"/>
        </w:rPr>
        <w:t>。估价对象竣工时间为</w:t>
      </w:r>
      <w:r>
        <w:rPr>
          <w:rFonts w:hint="eastAsia" w:ascii="仿宋" w:hAnsi="仿宋" w:eastAsia="仿宋" w:cs="仿宋"/>
          <w:snapToGrid w:val="0"/>
          <w:kern w:val="0"/>
          <w:sz w:val="28"/>
          <w:szCs w:val="28"/>
          <w:lang w:val="en-US" w:eastAsia="zh-CN"/>
        </w:rPr>
        <w:t>1998年。</w:t>
      </w:r>
      <w:r>
        <w:rPr>
          <w:rFonts w:hint="eastAsia" w:ascii="仿宋" w:hAnsi="仿宋" w:eastAsia="仿宋" w:cs="仿宋"/>
          <w:snapToGrid w:val="0"/>
          <w:kern w:val="0"/>
          <w:sz w:val="28"/>
          <w:szCs w:val="28"/>
          <w:lang w:eastAsia="zh-CN"/>
        </w:rPr>
        <w:t>估价对象外立面贴瓷砖，背面</w:t>
      </w:r>
      <w:r>
        <w:rPr>
          <w:rFonts w:hint="eastAsia" w:ascii="仿宋" w:hAnsi="仿宋" w:eastAsia="仿宋" w:cs="仿宋"/>
          <w:snapToGrid w:val="0"/>
          <w:kern w:val="0"/>
          <w:sz w:val="28"/>
          <w:szCs w:val="28"/>
          <w:lang w:val="en-US" w:eastAsia="zh-CN"/>
        </w:rPr>
        <w:t>刷涂料</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lang w:val="en-US" w:eastAsia="zh-CN"/>
        </w:rPr>
        <w:t>入户为卷帘门、玻璃推拉门，临街宽度6.6米，进深7.32米，</w:t>
      </w:r>
      <w:r>
        <w:rPr>
          <w:rFonts w:hint="eastAsia" w:ascii="仿宋" w:hAnsi="仿宋" w:eastAsia="仿宋" w:cs="仿宋"/>
          <w:snapToGrid w:val="0"/>
          <w:kern w:val="0"/>
          <w:sz w:val="28"/>
          <w:szCs w:val="28"/>
          <w:lang w:eastAsia="zh-CN"/>
        </w:rPr>
        <w:t>室内层高约</w:t>
      </w:r>
      <w:r>
        <w:rPr>
          <w:rFonts w:hint="eastAsia" w:ascii="仿宋" w:hAnsi="仿宋" w:eastAsia="仿宋" w:cs="仿宋"/>
          <w:snapToGrid w:val="0"/>
          <w:kern w:val="0"/>
          <w:sz w:val="28"/>
          <w:szCs w:val="28"/>
          <w:lang w:val="en-US" w:eastAsia="zh-CN"/>
        </w:rPr>
        <w:t>4.5米，精装修，</w:t>
      </w:r>
      <w:r>
        <w:rPr>
          <w:rFonts w:hint="eastAsia" w:ascii="仿宋" w:hAnsi="仿宋" w:eastAsia="仿宋" w:cs="仿宋"/>
          <w:snapToGrid w:val="0"/>
          <w:kern w:val="0"/>
          <w:sz w:val="28"/>
          <w:szCs w:val="28"/>
          <w:lang w:eastAsia="zh-CN"/>
        </w:rPr>
        <w:t>室内地面贴地板砖，墙面</w:t>
      </w:r>
      <w:r>
        <w:rPr>
          <w:rFonts w:hint="eastAsia" w:ascii="仿宋" w:hAnsi="仿宋" w:eastAsia="仿宋" w:cs="仿宋"/>
          <w:snapToGrid w:val="0"/>
          <w:kern w:val="0"/>
          <w:sz w:val="28"/>
          <w:szCs w:val="28"/>
          <w:lang w:val="en-US" w:eastAsia="zh-CN"/>
        </w:rPr>
        <w:t>贴墙纸</w:t>
      </w:r>
      <w:r>
        <w:rPr>
          <w:rFonts w:hint="eastAsia" w:ascii="仿宋" w:hAnsi="仿宋" w:eastAsia="仿宋" w:cs="仿宋"/>
          <w:snapToGrid w:val="0"/>
          <w:kern w:val="0"/>
          <w:sz w:val="28"/>
          <w:szCs w:val="28"/>
          <w:lang w:eastAsia="zh-CN"/>
        </w:rPr>
        <w:t>，坐北朝南，</w:t>
      </w:r>
      <w:r>
        <w:rPr>
          <w:rFonts w:hint="eastAsia" w:ascii="仿宋" w:hAnsi="仿宋" w:eastAsia="仿宋" w:cs="仿宋"/>
          <w:snapToGrid w:val="0"/>
          <w:kern w:val="0"/>
          <w:sz w:val="28"/>
          <w:szCs w:val="28"/>
        </w:rPr>
        <w:t>采光和通风条件</w:t>
      </w:r>
      <w:r>
        <w:rPr>
          <w:rFonts w:hint="eastAsia" w:ascii="仿宋" w:hAnsi="仿宋" w:eastAsia="仿宋" w:cs="仿宋"/>
          <w:snapToGrid w:val="0"/>
          <w:kern w:val="0"/>
          <w:sz w:val="28"/>
          <w:szCs w:val="28"/>
          <w:lang w:val="en-US" w:eastAsia="zh-CN"/>
        </w:rPr>
        <w:t>较好，其整体</w:t>
      </w:r>
      <w:r>
        <w:rPr>
          <w:rFonts w:hint="eastAsia" w:ascii="仿宋" w:hAnsi="仿宋" w:eastAsia="仿宋" w:cs="仿宋"/>
          <w:bCs/>
          <w:snapToGrid w:val="0"/>
          <w:kern w:val="0"/>
          <w:sz w:val="28"/>
          <w:szCs w:val="28"/>
        </w:rPr>
        <w:t>维护保养情况</w:t>
      </w:r>
      <w:r>
        <w:rPr>
          <w:rFonts w:hint="eastAsia" w:ascii="仿宋" w:hAnsi="仿宋" w:eastAsia="仿宋" w:cs="仿宋"/>
          <w:bCs/>
          <w:snapToGrid w:val="0"/>
          <w:kern w:val="0"/>
          <w:sz w:val="28"/>
          <w:szCs w:val="28"/>
          <w:lang w:val="en-US" w:eastAsia="zh-CN"/>
        </w:rPr>
        <w:t>较好，</w:t>
      </w:r>
      <w:r>
        <w:rPr>
          <w:rFonts w:hint="eastAsia" w:ascii="仿宋" w:hAnsi="仿宋" w:eastAsia="仿宋" w:cs="仿宋"/>
          <w:bCs/>
          <w:snapToGrid w:val="0"/>
          <w:kern w:val="0"/>
          <w:sz w:val="28"/>
          <w:szCs w:val="28"/>
        </w:rPr>
        <w:t>成新度</w:t>
      </w:r>
      <w:r>
        <w:rPr>
          <w:rFonts w:hint="eastAsia" w:ascii="仿宋" w:hAnsi="仿宋" w:eastAsia="仿宋" w:cs="仿宋"/>
          <w:bCs/>
          <w:snapToGrid w:val="0"/>
          <w:kern w:val="0"/>
          <w:sz w:val="28"/>
          <w:szCs w:val="28"/>
          <w:lang w:val="en-US" w:eastAsia="zh-CN"/>
        </w:rPr>
        <w:t>较好</w:t>
      </w:r>
      <w:r>
        <w:rPr>
          <w:rFonts w:hint="eastAsia" w:ascii="仿宋" w:hAnsi="仿宋" w:eastAsia="仿宋" w:cs="仿宋"/>
          <w:bCs/>
          <w:snapToGrid w:val="0"/>
          <w:kern w:val="0"/>
          <w:sz w:val="28"/>
          <w:szCs w:val="28"/>
        </w:rPr>
        <w:t>，处于正常使用状态。</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29"/>
        <w:jc w:val="both"/>
        <w:textAlignment w:val="auto"/>
        <w:outlineLvl w:val="9"/>
        <w:rPr>
          <w:rFonts w:hint="eastAsia" w:ascii="仿宋" w:hAnsi="仿宋" w:eastAsia="仿宋" w:cs="仿宋"/>
          <w:bCs/>
          <w:snapToGrid w:val="0"/>
          <w:kern w:val="0"/>
          <w:sz w:val="28"/>
          <w:szCs w:val="28"/>
        </w:rPr>
      </w:pPr>
      <w:r>
        <w:rPr>
          <w:rFonts w:hint="eastAsia" w:ascii="仿宋" w:hAnsi="仿宋" w:eastAsia="仿宋" w:cs="仿宋"/>
          <w:bCs/>
          <w:snapToGrid w:val="0"/>
          <w:kern w:val="0"/>
          <w:sz w:val="28"/>
          <w:szCs w:val="28"/>
          <w:lang w:val="en-US" w:eastAsia="zh-CN"/>
        </w:rPr>
        <w:t>估价对象2：</w:t>
      </w:r>
      <w:r>
        <w:rPr>
          <w:rFonts w:hint="eastAsia" w:ascii="仿宋" w:hAnsi="仿宋" w:eastAsia="仿宋" w:cs="仿宋"/>
          <w:bCs/>
          <w:snapToGrid w:val="0"/>
          <w:kern w:val="0"/>
          <w:sz w:val="28"/>
          <w:szCs w:val="28"/>
        </w:rPr>
        <w:t>根据</w:t>
      </w:r>
      <w:r>
        <w:rPr>
          <w:rFonts w:hint="eastAsia" w:ascii="仿宋" w:hAnsi="仿宋" w:eastAsia="仿宋" w:cs="仿宋"/>
          <w:bCs/>
          <w:snapToGrid w:val="0"/>
          <w:kern w:val="0"/>
          <w:sz w:val="28"/>
          <w:szCs w:val="28"/>
          <w:lang w:val="en-US" w:eastAsia="zh-CN"/>
        </w:rPr>
        <w:t>委托当事人</w:t>
      </w:r>
      <w:r>
        <w:rPr>
          <w:rFonts w:hint="eastAsia" w:ascii="仿宋" w:hAnsi="仿宋" w:eastAsia="仿宋" w:cs="仿宋"/>
          <w:bCs/>
          <w:snapToGrid w:val="0"/>
          <w:kern w:val="0"/>
          <w:sz w:val="28"/>
          <w:szCs w:val="28"/>
        </w:rPr>
        <w:t>的介绍及陪同估价人员实地查勘，</w:t>
      </w:r>
      <w:r>
        <w:rPr>
          <w:rFonts w:hint="eastAsia" w:ascii="仿宋" w:hAnsi="仿宋" w:eastAsia="仿宋" w:cs="仿宋"/>
          <w:bCs/>
          <w:snapToGrid w:val="0"/>
          <w:kern w:val="0"/>
          <w:sz w:val="28"/>
          <w:szCs w:val="28"/>
          <w:lang w:eastAsia="zh-CN"/>
        </w:rPr>
        <w:t>估价对象</w:t>
      </w:r>
      <w:r>
        <w:rPr>
          <w:rFonts w:hint="eastAsia" w:ascii="仿宋" w:hAnsi="仿宋" w:eastAsia="仿宋" w:cs="仿宋"/>
          <w:bCs/>
          <w:snapToGrid w:val="0"/>
          <w:kern w:val="0"/>
          <w:sz w:val="28"/>
          <w:szCs w:val="28"/>
          <w:lang w:val="en-US" w:eastAsia="zh-CN"/>
        </w:rPr>
        <w:t>建筑为框架结构建筑物</w:t>
      </w:r>
      <w:r>
        <w:rPr>
          <w:rFonts w:hint="eastAsia" w:ascii="仿宋" w:hAnsi="仿宋" w:eastAsia="仿宋" w:cs="仿宋"/>
          <w:bCs/>
          <w:snapToGrid w:val="0"/>
          <w:kern w:val="0"/>
          <w:sz w:val="28"/>
          <w:szCs w:val="28"/>
        </w:rPr>
        <w:t>。</w:t>
      </w:r>
      <w:r>
        <w:rPr>
          <w:rFonts w:hint="eastAsia" w:ascii="仿宋" w:hAnsi="仿宋" w:eastAsia="仿宋" w:cs="仿宋"/>
          <w:bCs/>
          <w:snapToGrid w:val="0"/>
          <w:kern w:val="0"/>
          <w:sz w:val="28"/>
          <w:szCs w:val="28"/>
          <w:lang w:eastAsia="zh-CN"/>
        </w:rPr>
        <w:t>房屋</w:t>
      </w:r>
      <w:r>
        <w:rPr>
          <w:rFonts w:hint="eastAsia" w:ascii="仿宋" w:hAnsi="仿宋" w:eastAsia="仿宋" w:cs="仿宋"/>
          <w:bCs/>
          <w:snapToGrid w:val="0"/>
          <w:kern w:val="0"/>
          <w:sz w:val="28"/>
          <w:szCs w:val="28"/>
          <w:lang w:val="en-US" w:eastAsia="zh-CN"/>
        </w:rPr>
        <w:t>设计</w:t>
      </w:r>
      <w:r>
        <w:rPr>
          <w:rFonts w:hint="eastAsia" w:ascii="仿宋" w:hAnsi="仿宋" w:eastAsia="仿宋" w:cs="仿宋"/>
          <w:bCs/>
          <w:snapToGrid w:val="0"/>
          <w:kern w:val="0"/>
          <w:sz w:val="28"/>
          <w:szCs w:val="28"/>
          <w:lang w:eastAsia="zh-CN"/>
        </w:rPr>
        <w:t>用途为</w:t>
      </w:r>
      <w:r>
        <w:rPr>
          <w:rFonts w:hint="eastAsia" w:ascii="仿宋" w:hAnsi="仿宋" w:eastAsia="仿宋" w:cs="仿宋"/>
          <w:bCs/>
          <w:snapToGrid w:val="0"/>
          <w:kern w:val="0"/>
          <w:sz w:val="28"/>
          <w:szCs w:val="28"/>
          <w:lang w:val="en-US" w:eastAsia="zh-CN"/>
        </w:rPr>
        <w:t>营业</w:t>
      </w:r>
      <w:r>
        <w:rPr>
          <w:rFonts w:hint="eastAsia" w:ascii="仿宋" w:hAnsi="仿宋" w:eastAsia="仿宋" w:cs="仿宋"/>
          <w:bCs/>
          <w:snapToGrid w:val="0"/>
          <w:kern w:val="0"/>
          <w:sz w:val="28"/>
          <w:szCs w:val="28"/>
          <w:lang w:eastAsia="zh-CN"/>
        </w:rPr>
        <w:t>，</w:t>
      </w:r>
      <w:r>
        <w:rPr>
          <w:rFonts w:hint="eastAsia" w:ascii="仿宋" w:hAnsi="仿宋" w:eastAsia="仿宋" w:cs="仿宋"/>
          <w:bCs/>
          <w:snapToGrid w:val="0"/>
          <w:kern w:val="0"/>
          <w:sz w:val="28"/>
          <w:szCs w:val="28"/>
          <w:lang w:val="en-US" w:eastAsia="zh-CN"/>
        </w:rPr>
        <w:t>截止估价时点，估价人员现场查勘，估价对象利用现状为营业用房，现已出租给“L发型社”使用</w:t>
      </w:r>
      <w:r>
        <w:rPr>
          <w:rFonts w:hint="eastAsia" w:ascii="仿宋" w:hAnsi="仿宋" w:eastAsia="仿宋" w:cs="仿宋"/>
          <w:bCs/>
          <w:snapToGrid w:val="0"/>
          <w:kern w:val="0"/>
          <w:sz w:val="28"/>
          <w:szCs w:val="28"/>
          <w:lang w:eastAsia="zh-CN"/>
        </w:rPr>
        <w:t>。</w:t>
      </w:r>
      <w:r>
        <w:rPr>
          <w:rFonts w:hint="eastAsia" w:ascii="仿宋" w:hAnsi="仿宋" w:eastAsia="仿宋" w:cs="仿宋"/>
          <w:snapToGrid w:val="0"/>
          <w:kern w:val="0"/>
          <w:sz w:val="28"/>
          <w:szCs w:val="28"/>
        </w:rPr>
        <w:t>至价值时点，估价对象</w:t>
      </w:r>
      <w:r>
        <w:rPr>
          <w:rFonts w:hint="eastAsia" w:ascii="仿宋" w:hAnsi="仿宋" w:eastAsia="仿宋" w:cs="仿宋"/>
          <w:snapToGrid w:val="0"/>
          <w:kern w:val="0"/>
          <w:sz w:val="28"/>
          <w:szCs w:val="28"/>
          <w:lang w:eastAsia="zh-CN"/>
        </w:rPr>
        <w:t>已达到“六通一平”</w:t>
      </w:r>
      <w:r>
        <w:rPr>
          <w:rFonts w:hint="eastAsia" w:ascii="仿宋" w:hAnsi="仿宋" w:eastAsia="仿宋" w:cs="仿宋"/>
          <w:snapToGrid w:val="0"/>
          <w:kern w:val="0"/>
          <w:sz w:val="28"/>
          <w:szCs w:val="28"/>
        </w:rPr>
        <w:t>等</w:t>
      </w:r>
      <w:r>
        <w:rPr>
          <w:rFonts w:hint="eastAsia" w:ascii="仿宋" w:hAnsi="仿宋" w:eastAsia="仿宋" w:cs="仿宋"/>
          <w:snapToGrid w:val="0"/>
          <w:kern w:val="0"/>
          <w:sz w:val="28"/>
          <w:szCs w:val="28"/>
          <w:lang w:eastAsia="zh-CN"/>
        </w:rPr>
        <w:t>。估价对象竣工时间为</w:t>
      </w:r>
      <w:r>
        <w:rPr>
          <w:rFonts w:hint="eastAsia" w:ascii="仿宋" w:hAnsi="仿宋" w:eastAsia="仿宋" w:cs="仿宋"/>
          <w:snapToGrid w:val="0"/>
          <w:kern w:val="0"/>
          <w:sz w:val="28"/>
          <w:szCs w:val="28"/>
          <w:lang w:val="en-US" w:eastAsia="zh-CN"/>
        </w:rPr>
        <w:t>2000年。</w:t>
      </w:r>
      <w:r>
        <w:rPr>
          <w:rFonts w:hint="eastAsia" w:ascii="仿宋" w:hAnsi="仿宋" w:eastAsia="仿宋" w:cs="仿宋"/>
          <w:snapToGrid w:val="0"/>
          <w:kern w:val="0"/>
          <w:sz w:val="28"/>
          <w:szCs w:val="28"/>
          <w:lang w:eastAsia="zh-CN"/>
        </w:rPr>
        <w:t>估价对象外立面贴瓷砖，背面</w:t>
      </w:r>
      <w:r>
        <w:rPr>
          <w:rFonts w:hint="eastAsia" w:ascii="仿宋" w:hAnsi="仿宋" w:eastAsia="仿宋" w:cs="仿宋"/>
          <w:snapToGrid w:val="0"/>
          <w:kern w:val="0"/>
          <w:sz w:val="28"/>
          <w:szCs w:val="28"/>
          <w:lang w:val="en-US" w:eastAsia="zh-CN"/>
        </w:rPr>
        <w:t>刷涂料</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lang w:val="en-US" w:eastAsia="zh-CN"/>
        </w:rPr>
        <w:t>入户为玻璃门，第一层营业用房临街宽度3.3米，</w:t>
      </w:r>
      <w:r>
        <w:rPr>
          <w:rFonts w:hint="eastAsia" w:ascii="仿宋" w:hAnsi="仿宋" w:eastAsia="仿宋" w:cs="仿宋"/>
          <w:snapToGrid w:val="0"/>
          <w:kern w:val="0"/>
          <w:sz w:val="28"/>
          <w:szCs w:val="28"/>
          <w:lang w:eastAsia="zh-CN"/>
        </w:rPr>
        <w:t>室内层高约</w:t>
      </w:r>
      <w:r>
        <w:rPr>
          <w:rFonts w:hint="eastAsia" w:ascii="仿宋" w:hAnsi="仿宋" w:eastAsia="仿宋" w:cs="仿宋"/>
          <w:snapToGrid w:val="0"/>
          <w:kern w:val="0"/>
          <w:sz w:val="28"/>
          <w:szCs w:val="28"/>
          <w:lang w:val="en-US" w:eastAsia="zh-CN"/>
        </w:rPr>
        <w:t>4.5米，现作为第二层楼梯通道使用，精装修，</w:t>
      </w:r>
      <w:r>
        <w:rPr>
          <w:rFonts w:hint="eastAsia" w:ascii="仿宋" w:hAnsi="仿宋" w:eastAsia="仿宋" w:cs="仿宋"/>
          <w:snapToGrid w:val="0"/>
          <w:kern w:val="0"/>
          <w:sz w:val="28"/>
          <w:szCs w:val="28"/>
          <w:lang w:eastAsia="zh-CN"/>
        </w:rPr>
        <w:t>室内地面贴地板砖，墙面</w:t>
      </w:r>
      <w:r>
        <w:rPr>
          <w:rFonts w:hint="eastAsia" w:ascii="仿宋" w:hAnsi="仿宋" w:eastAsia="仿宋" w:cs="仿宋"/>
          <w:snapToGrid w:val="0"/>
          <w:kern w:val="0"/>
          <w:sz w:val="28"/>
          <w:szCs w:val="28"/>
          <w:lang w:val="en-US" w:eastAsia="zh-CN"/>
        </w:rPr>
        <w:t>刷乳胶漆。第二层室内地面贴地板砖，墙面刷乳胶漆，屋顶刷涂料，</w:t>
      </w:r>
      <w:r>
        <w:rPr>
          <w:rFonts w:hint="eastAsia" w:ascii="仿宋" w:hAnsi="仿宋" w:eastAsia="仿宋" w:cs="仿宋"/>
          <w:snapToGrid w:val="0"/>
          <w:kern w:val="0"/>
          <w:sz w:val="28"/>
          <w:szCs w:val="28"/>
          <w:lang w:eastAsia="zh-CN"/>
        </w:rPr>
        <w:t>坐北朝南，</w:t>
      </w:r>
      <w:r>
        <w:rPr>
          <w:rFonts w:hint="eastAsia" w:ascii="仿宋" w:hAnsi="仿宋" w:eastAsia="仿宋" w:cs="仿宋"/>
          <w:snapToGrid w:val="0"/>
          <w:kern w:val="0"/>
          <w:sz w:val="28"/>
          <w:szCs w:val="28"/>
        </w:rPr>
        <w:t>采光和通风条件</w:t>
      </w:r>
      <w:r>
        <w:rPr>
          <w:rFonts w:hint="eastAsia" w:ascii="仿宋" w:hAnsi="仿宋" w:eastAsia="仿宋" w:cs="仿宋"/>
          <w:snapToGrid w:val="0"/>
          <w:kern w:val="0"/>
          <w:sz w:val="28"/>
          <w:szCs w:val="28"/>
          <w:lang w:val="en-US" w:eastAsia="zh-CN"/>
        </w:rPr>
        <w:t>较好，其整体</w:t>
      </w:r>
      <w:r>
        <w:rPr>
          <w:rFonts w:hint="eastAsia" w:ascii="仿宋" w:hAnsi="仿宋" w:eastAsia="仿宋" w:cs="仿宋"/>
          <w:bCs/>
          <w:snapToGrid w:val="0"/>
          <w:kern w:val="0"/>
          <w:sz w:val="28"/>
          <w:szCs w:val="28"/>
        </w:rPr>
        <w:t>维护保养情况</w:t>
      </w:r>
      <w:r>
        <w:rPr>
          <w:rFonts w:hint="eastAsia" w:ascii="仿宋" w:hAnsi="仿宋" w:eastAsia="仿宋" w:cs="仿宋"/>
          <w:bCs/>
          <w:snapToGrid w:val="0"/>
          <w:kern w:val="0"/>
          <w:sz w:val="28"/>
          <w:szCs w:val="28"/>
          <w:lang w:val="en-US" w:eastAsia="zh-CN"/>
        </w:rPr>
        <w:t>较好，</w:t>
      </w:r>
      <w:r>
        <w:rPr>
          <w:rFonts w:hint="eastAsia" w:ascii="仿宋" w:hAnsi="仿宋" w:eastAsia="仿宋" w:cs="仿宋"/>
          <w:bCs/>
          <w:snapToGrid w:val="0"/>
          <w:kern w:val="0"/>
          <w:sz w:val="28"/>
          <w:szCs w:val="28"/>
        </w:rPr>
        <w:t>成新度</w:t>
      </w:r>
      <w:r>
        <w:rPr>
          <w:rFonts w:hint="eastAsia" w:ascii="仿宋" w:hAnsi="仿宋" w:eastAsia="仿宋" w:cs="仿宋"/>
          <w:bCs/>
          <w:snapToGrid w:val="0"/>
          <w:kern w:val="0"/>
          <w:sz w:val="28"/>
          <w:szCs w:val="28"/>
          <w:lang w:val="en-US" w:eastAsia="zh-CN"/>
        </w:rPr>
        <w:t>较好</w:t>
      </w:r>
      <w:r>
        <w:rPr>
          <w:rFonts w:hint="eastAsia" w:ascii="仿宋" w:hAnsi="仿宋" w:eastAsia="仿宋" w:cs="仿宋"/>
          <w:bCs/>
          <w:snapToGrid w:val="0"/>
          <w:kern w:val="0"/>
          <w:sz w:val="28"/>
          <w:szCs w:val="28"/>
        </w:rPr>
        <w:t>，处于正常使用状态。</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29"/>
        <w:jc w:val="both"/>
        <w:textAlignment w:val="auto"/>
        <w:outlineLvl w:val="9"/>
        <w:rPr>
          <w:rFonts w:hint="eastAsia" w:ascii="仿宋" w:hAnsi="仿宋" w:eastAsia="仿宋" w:cs="仿宋"/>
          <w:bCs/>
          <w:snapToGrid w:val="0"/>
          <w:kern w:val="0"/>
          <w:sz w:val="28"/>
          <w:szCs w:val="28"/>
        </w:rPr>
      </w:pPr>
      <w:r>
        <w:rPr>
          <w:rFonts w:hint="eastAsia" w:ascii="仿宋" w:hAnsi="仿宋" w:eastAsia="仿宋" w:cs="仿宋"/>
          <w:bCs/>
          <w:snapToGrid w:val="0"/>
          <w:kern w:val="0"/>
          <w:sz w:val="28"/>
          <w:szCs w:val="28"/>
          <w:lang w:val="en-US" w:eastAsia="zh-CN"/>
        </w:rPr>
        <w:t>估价对象3：</w:t>
      </w:r>
      <w:r>
        <w:rPr>
          <w:rFonts w:hint="eastAsia" w:ascii="仿宋" w:hAnsi="仿宋" w:eastAsia="仿宋" w:cs="仿宋"/>
          <w:bCs/>
          <w:snapToGrid w:val="0"/>
          <w:kern w:val="0"/>
          <w:sz w:val="28"/>
          <w:szCs w:val="28"/>
        </w:rPr>
        <w:t>根据</w:t>
      </w:r>
      <w:r>
        <w:rPr>
          <w:rFonts w:hint="eastAsia" w:ascii="仿宋" w:hAnsi="仿宋" w:eastAsia="仿宋" w:cs="仿宋"/>
          <w:bCs/>
          <w:snapToGrid w:val="0"/>
          <w:kern w:val="0"/>
          <w:sz w:val="28"/>
          <w:szCs w:val="28"/>
          <w:lang w:val="en-US" w:eastAsia="zh-CN"/>
        </w:rPr>
        <w:t>委托当事人</w:t>
      </w:r>
      <w:r>
        <w:rPr>
          <w:rFonts w:hint="eastAsia" w:ascii="仿宋" w:hAnsi="仿宋" w:eastAsia="仿宋" w:cs="仿宋"/>
          <w:bCs/>
          <w:snapToGrid w:val="0"/>
          <w:kern w:val="0"/>
          <w:sz w:val="28"/>
          <w:szCs w:val="28"/>
        </w:rPr>
        <w:t>的介绍及陪同估价人员实地查勘，</w:t>
      </w:r>
      <w:r>
        <w:rPr>
          <w:rFonts w:hint="eastAsia" w:ascii="仿宋" w:hAnsi="仿宋" w:eastAsia="仿宋" w:cs="仿宋"/>
          <w:bCs/>
          <w:snapToGrid w:val="0"/>
          <w:kern w:val="0"/>
          <w:sz w:val="28"/>
          <w:szCs w:val="28"/>
          <w:lang w:eastAsia="zh-CN"/>
        </w:rPr>
        <w:t>估价对象</w:t>
      </w:r>
      <w:r>
        <w:rPr>
          <w:rFonts w:hint="eastAsia" w:ascii="仿宋" w:hAnsi="仿宋" w:eastAsia="仿宋" w:cs="仿宋"/>
          <w:bCs/>
          <w:snapToGrid w:val="0"/>
          <w:kern w:val="0"/>
          <w:sz w:val="28"/>
          <w:szCs w:val="28"/>
          <w:lang w:val="en-US" w:eastAsia="zh-CN"/>
        </w:rPr>
        <w:t>建筑为框架结构建筑物</w:t>
      </w:r>
      <w:r>
        <w:rPr>
          <w:rFonts w:hint="eastAsia" w:ascii="仿宋" w:hAnsi="仿宋" w:eastAsia="仿宋" w:cs="仿宋"/>
          <w:bCs/>
          <w:snapToGrid w:val="0"/>
          <w:kern w:val="0"/>
          <w:sz w:val="28"/>
          <w:szCs w:val="28"/>
        </w:rPr>
        <w:t>。</w:t>
      </w:r>
      <w:r>
        <w:rPr>
          <w:rFonts w:hint="eastAsia" w:ascii="仿宋" w:hAnsi="仿宋" w:eastAsia="仿宋" w:cs="仿宋"/>
          <w:bCs/>
          <w:snapToGrid w:val="0"/>
          <w:kern w:val="0"/>
          <w:sz w:val="28"/>
          <w:szCs w:val="28"/>
          <w:lang w:eastAsia="zh-CN"/>
        </w:rPr>
        <w:t>房屋</w:t>
      </w:r>
      <w:r>
        <w:rPr>
          <w:rFonts w:hint="eastAsia" w:ascii="仿宋" w:hAnsi="仿宋" w:eastAsia="仿宋" w:cs="仿宋"/>
          <w:bCs/>
          <w:snapToGrid w:val="0"/>
          <w:kern w:val="0"/>
          <w:sz w:val="28"/>
          <w:szCs w:val="28"/>
          <w:lang w:val="en-US" w:eastAsia="zh-CN"/>
        </w:rPr>
        <w:t>设计</w:t>
      </w:r>
      <w:r>
        <w:rPr>
          <w:rFonts w:hint="eastAsia" w:ascii="仿宋" w:hAnsi="仿宋" w:eastAsia="仿宋" w:cs="仿宋"/>
          <w:bCs/>
          <w:snapToGrid w:val="0"/>
          <w:kern w:val="0"/>
          <w:sz w:val="28"/>
          <w:szCs w:val="28"/>
          <w:lang w:eastAsia="zh-CN"/>
        </w:rPr>
        <w:t>用途为</w:t>
      </w:r>
      <w:r>
        <w:rPr>
          <w:rFonts w:hint="eastAsia" w:ascii="仿宋" w:hAnsi="仿宋" w:eastAsia="仿宋" w:cs="仿宋"/>
          <w:bCs/>
          <w:snapToGrid w:val="0"/>
          <w:kern w:val="0"/>
          <w:sz w:val="28"/>
          <w:szCs w:val="28"/>
          <w:lang w:val="en-US" w:eastAsia="zh-CN"/>
        </w:rPr>
        <w:t>营业</w:t>
      </w:r>
      <w:r>
        <w:rPr>
          <w:rFonts w:hint="eastAsia" w:ascii="仿宋" w:hAnsi="仿宋" w:eastAsia="仿宋" w:cs="仿宋"/>
          <w:bCs/>
          <w:snapToGrid w:val="0"/>
          <w:kern w:val="0"/>
          <w:sz w:val="28"/>
          <w:szCs w:val="28"/>
          <w:lang w:eastAsia="zh-CN"/>
        </w:rPr>
        <w:t>，</w:t>
      </w:r>
      <w:r>
        <w:rPr>
          <w:rFonts w:hint="eastAsia" w:ascii="仿宋" w:hAnsi="仿宋" w:eastAsia="仿宋" w:cs="仿宋"/>
          <w:bCs/>
          <w:snapToGrid w:val="0"/>
          <w:kern w:val="0"/>
          <w:sz w:val="28"/>
          <w:szCs w:val="28"/>
          <w:lang w:val="en-US" w:eastAsia="zh-CN"/>
        </w:rPr>
        <w:t>截止估价时点，估价人员现场查勘，估价对象利用现状为营业用房，原出租给“汉州茶业”使用</w:t>
      </w:r>
      <w:r>
        <w:rPr>
          <w:rFonts w:hint="eastAsia" w:ascii="仿宋" w:hAnsi="仿宋" w:eastAsia="仿宋" w:cs="仿宋"/>
          <w:bCs/>
          <w:snapToGrid w:val="0"/>
          <w:kern w:val="0"/>
          <w:sz w:val="28"/>
          <w:szCs w:val="28"/>
          <w:lang w:eastAsia="zh-CN"/>
        </w:rPr>
        <w:t>。</w:t>
      </w:r>
      <w:r>
        <w:rPr>
          <w:rFonts w:hint="eastAsia" w:ascii="仿宋" w:hAnsi="仿宋" w:eastAsia="仿宋" w:cs="仿宋"/>
          <w:snapToGrid w:val="0"/>
          <w:kern w:val="0"/>
          <w:sz w:val="28"/>
          <w:szCs w:val="28"/>
        </w:rPr>
        <w:t>至价值时点，估价对象</w:t>
      </w:r>
      <w:r>
        <w:rPr>
          <w:rFonts w:hint="eastAsia" w:ascii="仿宋" w:hAnsi="仿宋" w:eastAsia="仿宋" w:cs="仿宋"/>
          <w:snapToGrid w:val="0"/>
          <w:kern w:val="0"/>
          <w:sz w:val="28"/>
          <w:szCs w:val="28"/>
          <w:lang w:eastAsia="zh-CN"/>
        </w:rPr>
        <w:t>已达到“六通一平”</w:t>
      </w:r>
      <w:r>
        <w:rPr>
          <w:rFonts w:hint="eastAsia" w:ascii="仿宋" w:hAnsi="仿宋" w:eastAsia="仿宋" w:cs="仿宋"/>
          <w:snapToGrid w:val="0"/>
          <w:kern w:val="0"/>
          <w:sz w:val="28"/>
          <w:szCs w:val="28"/>
        </w:rPr>
        <w:t>等</w:t>
      </w:r>
      <w:r>
        <w:rPr>
          <w:rFonts w:hint="eastAsia" w:ascii="仿宋" w:hAnsi="仿宋" w:eastAsia="仿宋" w:cs="仿宋"/>
          <w:snapToGrid w:val="0"/>
          <w:kern w:val="0"/>
          <w:sz w:val="28"/>
          <w:szCs w:val="28"/>
          <w:lang w:eastAsia="zh-CN"/>
        </w:rPr>
        <w:t>。估价对象竣工时间为</w:t>
      </w:r>
      <w:r>
        <w:rPr>
          <w:rFonts w:hint="eastAsia" w:ascii="仿宋" w:hAnsi="仿宋" w:eastAsia="仿宋" w:cs="仿宋"/>
          <w:snapToGrid w:val="0"/>
          <w:kern w:val="0"/>
          <w:sz w:val="28"/>
          <w:szCs w:val="28"/>
          <w:lang w:val="en-US" w:eastAsia="zh-CN"/>
        </w:rPr>
        <w:t>2000年。</w:t>
      </w:r>
      <w:r>
        <w:rPr>
          <w:rFonts w:hint="eastAsia" w:ascii="仿宋" w:hAnsi="仿宋" w:eastAsia="仿宋" w:cs="仿宋"/>
          <w:snapToGrid w:val="0"/>
          <w:kern w:val="0"/>
          <w:sz w:val="28"/>
          <w:szCs w:val="28"/>
          <w:lang w:eastAsia="zh-CN"/>
        </w:rPr>
        <w:t>估价对象外立面贴瓷砖，背面</w:t>
      </w:r>
      <w:r>
        <w:rPr>
          <w:rFonts w:hint="eastAsia" w:ascii="仿宋" w:hAnsi="仿宋" w:eastAsia="仿宋" w:cs="仿宋"/>
          <w:snapToGrid w:val="0"/>
          <w:kern w:val="0"/>
          <w:sz w:val="28"/>
          <w:szCs w:val="28"/>
          <w:lang w:val="en-US" w:eastAsia="zh-CN"/>
        </w:rPr>
        <w:t>刷涂料</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lang w:val="en-US" w:eastAsia="zh-CN"/>
        </w:rPr>
        <w:t>入户为玻璃门，第一层营业用房临街宽度10.50米，</w:t>
      </w:r>
      <w:r>
        <w:rPr>
          <w:rFonts w:hint="eastAsia" w:ascii="仿宋" w:hAnsi="仿宋" w:eastAsia="仿宋" w:cs="仿宋"/>
          <w:snapToGrid w:val="0"/>
          <w:kern w:val="0"/>
          <w:sz w:val="28"/>
          <w:szCs w:val="28"/>
          <w:lang w:eastAsia="zh-CN"/>
        </w:rPr>
        <w:t>室内层高约</w:t>
      </w:r>
      <w:r>
        <w:rPr>
          <w:rFonts w:hint="eastAsia" w:ascii="仿宋" w:hAnsi="仿宋" w:eastAsia="仿宋" w:cs="仿宋"/>
          <w:snapToGrid w:val="0"/>
          <w:kern w:val="0"/>
          <w:sz w:val="28"/>
          <w:szCs w:val="28"/>
          <w:lang w:val="en-US" w:eastAsia="zh-CN"/>
        </w:rPr>
        <w:t>4.5米，精装修，</w:t>
      </w:r>
      <w:r>
        <w:rPr>
          <w:rFonts w:hint="eastAsia" w:ascii="仿宋" w:hAnsi="仿宋" w:eastAsia="仿宋" w:cs="仿宋"/>
          <w:snapToGrid w:val="0"/>
          <w:kern w:val="0"/>
          <w:sz w:val="28"/>
          <w:szCs w:val="28"/>
          <w:lang w:eastAsia="zh-CN"/>
        </w:rPr>
        <w:t>室内地面贴地板砖，墙面</w:t>
      </w:r>
      <w:r>
        <w:rPr>
          <w:rFonts w:hint="eastAsia" w:ascii="仿宋" w:hAnsi="仿宋" w:eastAsia="仿宋" w:cs="仿宋"/>
          <w:snapToGrid w:val="0"/>
          <w:kern w:val="0"/>
          <w:sz w:val="28"/>
          <w:szCs w:val="28"/>
          <w:lang w:val="en-US" w:eastAsia="zh-CN"/>
        </w:rPr>
        <w:t>贴墙纸。第二层室内地面贴地板砖，墙面刷乳胶漆，屋顶石膏吊顶，</w:t>
      </w:r>
      <w:r>
        <w:rPr>
          <w:rFonts w:hint="eastAsia" w:ascii="仿宋" w:hAnsi="仿宋" w:eastAsia="仿宋" w:cs="仿宋"/>
          <w:snapToGrid w:val="0"/>
          <w:kern w:val="0"/>
          <w:sz w:val="28"/>
          <w:szCs w:val="28"/>
          <w:lang w:eastAsia="zh-CN"/>
        </w:rPr>
        <w:t>坐</w:t>
      </w:r>
      <w:r>
        <w:rPr>
          <w:rFonts w:hint="eastAsia" w:ascii="仿宋" w:hAnsi="仿宋" w:eastAsia="仿宋" w:cs="仿宋"/>
          <w:snapToGrid w:val="0"/>
          <w:kern w:val="0"/>
          <w:sz w:val="28"/>
          <w:szCs w:val="28"/>
          <w:lang w:val="en-US" w:eastAsia="zh-CN"/>
        </w:rPr>
        <w:t>南</w:t>
      </w:r>
      <w:r>
        <w:rPr>
          <w:rFonts w:hint="eastAsia" w:ascii="仿宋" w:hAnsi="仿宋" w:eastAsia="仿宋" w:cs="仿宋"/>
          <w:snapToGrid w:val="0"/>
          <w:kern w:val="0"/>
          <w:sz w:val="28"/>
          <w:szCs w:val="28"/>
          <w:lang w:eastAsia="zh-CN"/>
        </w:rPr>
        <w:t>朝</w:t>
      </w:r>
      <w:r>
        <w:rPr>
          <w:rFonts w:hint="eastAsia" w:ascii="仿宋" w:hAnsi="仿宋" w:eastAsia="仿宋" w:cs="仿宋"/>
          <w:snapToGrid w:val="0"/>
          <w:kern w:val="0"/>
          <w:sz w:val="28"/>
          <w:szCs w:val="28"/>
          <w:lang w:val="en-US" w:eastAsia="zh-CN"/>
        </w:rPr>
        <w:t>北</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采光和通风条件</w:t>
      </w:r>
      <w:r>
        <w:rPr>
          <w:rFonts w:hint="eastAsia" w:ascii="仿宋" w:hAnsi="仿宋" w:eastAsia="仿宋" w:cs="仿宋"/>
          <w:snapToGrid w:val="0"/>
          <w:kern w:val="0"/>
          <w:sz w:val="28"/>
          <w:szCs w:val="28"/>
          <w:lang w:val="en-US" w:eastAsia="zh-CN"/>
        </w:rPr>
        <w:t>较好，其整体</w:t>
      </w:r>
      <w:r>
        <w:rPr>
          <w:rFonts w:hint="eastAsia" w:ascii="仿宋" w:hAnsi="仿宋" w:eastAsia="仿宋" w:cs="仿宋"/>
          <w:bCs/>
          <w:snapToGrid w:val="0"/>
          <w:kern w:val="0"/>
          <w:sz w:val="28"/>
          <w:szCs w:val="28"/>
        </w:rPr>
        <w:t>维护保养情况</w:t>
      </w:r>
      <w:r>
        <w:rPr>
          <w:rFonts w:hint="eastAsia" w:ascii="仿宋" w:hAnsi="仿宋" w:eastAsia="仿宋" w:cs="仿宋"/>
          <w:bCs/>
          <w:snapToGrid w:val="0"/>
          <w:kern w:val="0"/>
          <w:sz w:val="28"/>
          <w:szCs w:val="28"/>
          <w:lang w:val="en-US" w:eastAsia="zh-CN"/>
        </w:rPr>
        <w:t>较好，</w:t>
      </w:r>
      <w:r>
        <w:rPr>
          <w:rFonts w:hint="eastAsia" w:ascii="仿宋" w:hAnsi="仿宋" w:eastAsia="仿宋" w:cs="仿宋"/>
          <w:bCs/>
          <w:snapToGrid w:val="0"/>
          <w:kern w:val="0"/>
          <w:sz w:val="28"/>
          <w:szCs w:val="28"/>
        </w:rPr>
        <w:t>成新度</w:t>
      </w:r>
      <w:r>
        <w:rPr>
          <w:rFonts w:hint="eastAsia" w:ascii="仿宋" w:hAnsi="仿宋" w:eastAsia="仿宋" w:cs="仿宋"/>
          <w:bCs/>
          <w:snapToGrid w:val="0"/>
          <w:kern w:val="0"/>
          <w:sz w:val="28"/>
          <w:szCs w:val="28"/>
          <w:lang w:val="en-US" w:eastAsia="zh-CN"/>
        </w:rPr>
        <w:t>较好</w:t>
      </w:r>
      <w:r>
        <w:rPr>
          <w:rFonts w:hint="eastAsia" w:ascii="仿宋" w:hAnsi="仿宋" w:eastAsia="仿宋" w:cs="仿宋"/>
          <w:bCs/>
          <w:snapToGrid w:val="0"/>
          <w:kern w:val="0"/>
          <w:sz w:val="28"/>
          <w:szCs w:val="28"/>
        </w:rPr>
        <w:t>，处于正常使用状态。</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29"/>
        <w:jc w:val="both"/>
        <w:textAlignment w:val="auto"/>
        <w:outlineLvl w:val="9"/>
        <w:rPr>
          <w:rFonts w:hint="eastAsia" w:ascii="仿宋" w:hAnsi="仿宋" w:eastAsia="仿宋" w:cs="仿宋"/>
          <w:bCs/>
          <w:snapToGrid w:val="0"/>
          <w:kern w:val="0"/>
          <w:sz w:val="28"/>
          <w:szCs w:val="28"/>
        </w:rPr>
      </w:pPr>
      <w:r>
        <w:rPr>
          <w:rFonts w:hint="eastAsia" w:ascii="仿宋" w:hAnsi="仿宋" w:eastAsia="仿宋" w:cs="仿宋"/>
          <w:bCs/>
          <w:snapToGrid w:val="0"/>
          <w:kern w:val="0"/>
          <w:sz w:val="28"/>
          <w:szCs w:val="28"/>
          <w:lang w:val="en-US" w:eastAsia="zh-CN"/>
        </w:rPr>
        <w:t>估价对象4：</w:t>
      </w:r>
      <w:r>
        <w:rPr>
          <w:rFonts w:hint="eastAsia" w:ascii="仿宋" w:hAnsi="仿宋" w:eastAsia="仿宋" w:cs="仿宋"/>
          <w:bCs/>
          <w:snapToGrid w:val="0"/>
          <w:kern w:val="0"/>
          <w:sz w:val="28"/>
          <w:szCs w:val="28"/>
        </w:rPr>
        <w:t>根据</w:t>
      </w:r>
      <w:r>
        <w:rPr>
          <w:rFonts w:hint="eastAsia" w:ascii="仿宋" w:hAnsi="仿宋" w:eastAsia="仿宋" w:cs="仿宋"/>
          <w:bCs/>
          <w:snapToGrid w:val="0"/>
          <w:kern w:val="0"/>
          <w:sz w:val="28"/>
          <w:szCs w:val="28"/>
          <w:lang w:val="en-US" w:eastAsia="zh-CN"/>
        </w:rPr>
        <w:t>委托当事人</w:t>
      </w:r>
      <w:r>
        <w:rPr>
          <w:rFonts w:hint="eastAsia" w:ascii="仿宋" w:hAnsi="仿宋" w:eastAsia="仿宋" w:cs="仿宋"/>
          <w:bCs/>
          <w:snapToGrid w:val="0"/>
          <w:kern w:val="0"/>
          <w:sz w:val="28"/>
          <w:szCs w:val="28"/>
        </w:rPr>
        <w:t>的介绍及陪同估价人员实地查勘，</w:t>
      </w:r>
      <w:r>
        <w:rPr>
          <w:rFonts w:hint="eastAsia" w:ascii="仿宋" w:hAnsi="仿宋" w:eastAsia="仿宋" w:cs="仿宋"/>
          <w:bCs/>
          <w:snapToGrid w:val="0"/>
          <w:kern w:val="0"/>
          <w:sz w:val="28"/>
          <w:szCs w:val="28"/>
          <w:lang w:eastAsia="zh-CN"/>
        </w:rPr>
        <w:t>估价对象</w:t>
      </w:r>
      <w:r>
        <w:rPr>
          <w:rFonts w:hint="eastAsia" w:ascii="仿宋" w:hAnsi="仿宋" w:eastAsia="仿宋" w:cs="仿宋"/>
          <w:bCs/>
          <w:snapToGrid w:val="0"/>
          <w:kern w:val="0"/>
          <w:sz w:val="28"/>
          <w:szCs w:val="28"/>
          <w:lang w:val="en-US" w:eastAsia="zh-CN"/>
        </w:rPr>
        <w:t>建筑结构为混合结构</w:t>
      </w:r>
      <w:r>
        <w:rPr>
          <w:rFonts w:hint="eastAsia" w:ascii="仿宋" w:hAnsi="仿宋" w:eastAsia="仿宋" w:cs="仿宋"/>
          <w:bCs/>
          <w:snapToGrid w:val="0"/>
          <w:kern w:val="0"/>
          <w:sz w:val="28"/>
          <w:szCs w:val="28"/>
        </w:rPr>
        <w:t>。</w:t>
      </w:r>
      <w:r>
        <w:rPr>
          <w:rFonts w:hint="eastAsia" w:ascii="仿宋" w:hAnsi="仿宋" w:eastAsia="仿宋" w:cs="仿宋"/>
          <w:bCs/>
          <w:snapToGrid w:val="0"/>
          <w:kern w:val="0"/>
          <w:sz w:val="28"/>
          <w:szCs w:val="28"/>
          <w:lang w:eastAsia="zh-CN"/>
        </w:rPr>
        <w:t>房屋规划用途为商住。</w:t>
      </w:r>
      <w:r>
        <w:rPr>
          <w:rFonts w:hint="eastAsia" w:ascii="仿宋" w:hAnsi="仿宋" w:eastAsia="仿宋" w:cs="仿宋"/>
          <w:bCs/>
          <w:snapToGrid w:val="0"/>
          <w:kern w:val="0"/>
          <w:sz w:val="28"/>
          <w:szCs w:val="28"/>
          <w:lang w:val="en-US" w:eastAsia="zh-CN"/>
        </w:rPr>
        <w:t>截止价值时点，估价人员现场查勘，估价对象原利用现状为第一层为临街商业，“茗仁会所”及“中国体育彩票”租用，目前空置；第二层利用现状</w:t>
      </w:r>
      <w:r>
        <w:rPr>
          <w:rFonts w:hint="eastAsia" w:ascii="仿宋" w:hAnsi="仿宋" w:eastAsia="仿宋" w:cs="仿宋"/>
          <w:bCs/>
          <w:snapToGrid w:val="0"/>
          <w:kern w:val="0"/>
          <w:sz w:val="28"/>
          <w:szCs w:val="28"/>
          <w:lang w:eastAsia="zh-CN"/>
        </w:rPr>
        <w:t>为</w:t>
      </w:r>
      <w:r>
        <w:rPr>
          <w:rFonts w:hint="eastAsia" w:ascii="仿宋" w:hAnsi="仿宋" w:eastAsia="仿宋" w:cs="仿宋"/>
          <w:bCs/>
          <w:snapToGrid w:val="0"/>
          <w:kern w:val="0"/>
          <w:sz w:val="28"/>
          <w:szCs w:val="28"/>
          <w:lang w:val="en-US" w:eastAsia="zh-CN"/>
        </w:rPr>
        <w:t>办公，“四川万泰宏建设工程有限公司”办公室；第三层至第六层为住宅</w:t>
      </w:r>
      <w:r>
        <w:rPr>
          <w:rFonts w:hint="eastAsia" w:ascii="仿宋" w:hAnsi="仿宋" w:eastAsia="仿宋" w:cs="仿宋"/>
          <w:bCs/>
          <w:snapToGrid w:val="0"/>
          <w:kern w:val="0"/>
          <w:sz w:val="28"/>
          <w:szCs w:val="28"/>
          <w:lang w:eastAsia="zh-CN"/>
        </w:rPr>
        <w:t>。</w:t>
      </w:r>
      <w:r>
        <w:rPr>
          <w:rFonts w:hint="eastAsia" w:ascii="仿宋" w:hAnsi="仿宋" w:eastAsia="仿宋" w:cs="仿宋"/>
          <w:snapToGrid w:val="0"/>
          <w:kern w:val="0"/>
          <w:sz w:val="28"/>
          <w:szCs w:val="28"/>
        </w:rPr>
        <w:t>至价值时点，估价对象</w:t>
      </w:r>
      <w:r>
        <w:rPr>
          <w:rFonts w:hint="eastAsia" w:ascii="仿宋" w:hAnsi="仿宋" w:eastAsia="仿宋" w:cs="仿宋"/>
          <w:snapToGrid w:val="0"/>
          <w:kern w:val="0"/>
          <w:sz w:val="28"/>
          <w:szCs w:val="28"/>
          <w:lang w:eastAsia="zh-CN"/>
        </w:rPr>
        <w:t>已达到“六通一平”</w:t>
      </w:r>
      <w:r>
        <w:rPr>
          <w:rFonts w:hint="eastAsia" w:ascii="仿宋" w:hAnsi="仿宋" w:eastAsia="仿宋" w:cs="仿宋"/>
          <w:snapToGrid w:val="0"/>
          <w:kern w:val="0"/>
          <w:sz w:val="28"/>
          <w:szCs w:val="28"/>
        </w:rPr>
        <w:t>等</w:t>
      </w:r>
      <w:r>
        <w:rPr>
          <w:rFonts w:hint="eastAsia" w:ascii="仿宋" w:hAnsi="仿宋" w:eastAsia="仿宋" w:cs="仿宋"/>
          <w:snapToGrid w:val="0"/>
          <w:kern w:val="0"/>
          <w:sz w:val="28"/>
          <w:szCs w:val="28"/>
          <w:lang w:eastAsia="zh-CN"/>
        </w:rPr>
        <w:t>。估价对象竣工时间为</w:t>
      </w:r>
      <w:r>
        <w:rPr>
          <w:rFonts w:hint="eastAsia" w:ascii="仿宋" w:hAnsi="仿宋" w:eastAsia="仿宋" w:cs="仿宋"/>
          <w:snapToGrid w:val="0"/>
          <w:kern w:val="0"/>
          <w:sz w:val="28"/>
          <w:szCs w:val="28"/>
          <w:lang w:val="en-US" w:eastAsia="zh-CN"/>
        </w:rPr>
        <w:t>1990年。</w:t>
      </w:r>
      <w:r>
        <w:rPr>
          <w:rFonts w:hint="eastAsia" w:ascii="仿宋" w:hAnsi="仿宋" w:eastAsia="仿宋" w:cs="仿宋"/>
          <w:snapToGrid w:val="0"/>
          <w:kern w:val="0"/>
          <w:sz w:val="28"/>
          <w:szCs w:val="28"/>
          <w:lang w:eastAsia="zh-CN"/>
        </w:rPr>
        <w:t>估价对象外立面贴瓷砖，背面</w:t>
      </w:r>
      <w:r>
        <w:rPr>
          <w:rFonts w:hint="eastAsia" w:ascii="仿宋" w:hAnsi="仿宋" w:eastAsia="仿宋" w:cs="仿宋"/>
          <w:snapToGrid w:val="0"/>
          <w:kern w:val="0"/>
          <w:sz w:val="28"/>
          <w:szCs w:val="28"/>
          <w:lang w:val="en-US" w:eastAsia="zh-CN"/>
        </w:rPr>
        <w:t>刷白色涂料</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lang w:val="en-US" w:eastAsia="zh-CN"/>
        </w:rPr>
        <w:t>估价对象入户门为防盗门，</w:t>
      </w:r>
      <w:r>
        <w:rPr>
          <w:rFonts w:hint="eastAsia" w:ascii="仿宋" w:hAnsi="仿宋" w:eastAsia="仿宋" w:cs="仿宋"/>
          <w:snapToGrid w:val="0"/>
          <w:kern w:val="0"/>
          <w:sz w:val="28"/>
          <w:szCs w:val="28"/>
          <w:lang w:eastAsia="zh-CN"/>
        </w:rPr>
        <w:t>室内层高约</w:t>
      </w:r>
      <w:r>
        <w:rPr>
          <w:rFonts w:hint="eastAsia" w:ascii="仿宋" w:hAnsi="仿宋" w:eastAsia="仿宋" w:cs="仿宋"/>
          <w:snapToGrid w:val="0"/>
          <w:kern w:val="0"/>
          <w:sz w:val="28"/>
          <w:szCs w:val="28"/>
          <w:lang w:val="en-US" w:eastAsia="zh-CN"/>
        </w:rPr>
        <w:t>3米，</w:t>
      </w:r>
      <w:r>
        <w:rPr>
          <w:rFonts w:hint="eastAsia" w:ascii="仿宋" w:hAnsi="仿宋" w:eastAsia="仿宋" w:cs="仿宋"/>
          <w:snapToGrid w:val="0"/>
          <w:kern w:val="0"/>
          <w:sz w:val="28"/>
          <w:szCs w:val="28"/>
          <w:lang w:eastAsia="zh-CN"/>
        </w:rPr>
        <w:t>室内地面贴地板砖，墙面</w:t>
      </w:r>
      <w:r>
        <w:rPr>
          <w:rFonts w:hint="eastAsia" w:ascii="仿宋" w:hAnsi="仿宋" w:eastAsia="仿宋" w:cs="仿宋"/>
          <w:snapToGrid w:val="0"/>
          <w:kern w:val="0"/>
          <w:sz w:val="28"/>
          <w:szCs w:val="28"/>
          <w:lang w:val="en-US" w:eastAsia="zh-CN"/>
        </w:rPr>
        <w:t>及屋顶</w:t>
      </w:r>
      <w:r>
        <w:rPr>
          <w:rFonts w:hint="eastAsia" w:ascii="仿宋" w:hAnsi="仿宋" w:eastAsia="仿宋" w:cs="仿宋"/>
          <w:snapToGrid w:val="0"/>
          <w:kern w:val="0"/>
          <w:sz w:val="28"/>
          <w:szCs w:val="28"/>
          <w:lang w:eastAsia="zh-CN"/>
        </w:rPr>
        <w:t>刷乳胶漆，</w:t>
      </w:r>
      <w:r>
        <w:rPr>
          <w:rFonts w:hint="eastAsia" w:ascii="仿宋" w:hAnsi="仿宋" w:eastAsia="仿宋" w:cs="仿宋"/>
          <w:snapToGrid w:val="0"/>
          <w:kern w:val="0"/>
          <w:sz w:val="28"/>
          <w:szCs w:val="28"/>
          <w:lang w:val="en-US" w:eastAsia="zh-CN"/>
        </w:rPr>
        <w:t>住宅户型为三室两厅一卫，一梯两户，</w:t>
      </w:r>
      <w:r>
        <w:rPr>
          <w:rFonts w:hint="eastAsia" w:ascii="仿宋" w:hAnsi="仿宋" w:eastAsia="仿宋" w:cs="仿宋"/>
          <w:snapToGrid w:val="0"/>
          <w:kern w:val="0"/>
          <w:sz w:val="28"/>
          <w:szCs w:val="28"/>
          <w:lang w:eastAsia="zh-CN"/>
        </w:rPr>
        <w:t>坐北朝南，</w:t>
      </w:r>
      <w:r>
        <w:rPr>
          <w:rFonts w:hint="eastAsia" w:ascii="仿宋" w:hAnsi="仿宋" w:eastAsia="仿宋" w:cs="仿宋"/>
          <w:snapToGrid w:val="0"/>
          <w:kern w:val="0"/>
          <w:sz w:val="28"/>
          <w:szCs w:val="28"/>
        </w:rPr>
        <w:t>采光和通风条件</w:t>
      </w:r>
      <w:r>
        <w:rPr>
          <w:rFonts w:hint="eastAsia" w:ascii="仿宋" w:hAnsi="仿宋" w:eastAsia="仿宋" w:cs="仿宋"/>
          <w:snapToGrid w:val="0"/>
          <w:kern w:val="0"/>
          <w:sz w:val="28"/>
          <w:szCs w:val="28"/>
          <w:lang w:val="en-US" w:eastAsia="zh-CN"/>
        </w:rPr>
        <w:t>较好，其整体</w:t>
      </w:r>
      <w:r>
        <w:rPr>
          <w:rFonts w:hint="eastAsia" w:ascii="仿宋" w:hAnsi="仿宋" w:eastAsia="仿宋" w:cs="仿宋"/>
          <w:bCs/>
          <w:snapToGrid w:val="0"/>
          <w:kern w:val="0"/>
          <w:sz w:val="28"/>
          <w:szCs w:val="28"/>
        </w:rPr>
        <w:t>维护保养情况</w:t>
      </w:r>
      <w:r>
        <w:rPr>
          <w:rFonts w:hint="eastAsia" w:ascii="仿宋" w:hAnsi="仿宋" w:eastAsia="仿宋" w:cs="仿宋"/>
          <w:bCs/>
          <w:snapToGrid w:val="0"/>
          <w:kern w:val="0"/>
          <w:sz w:val="28"/>
          <w:szCs w:val="28"/>
          <w:lang w:val="en-US" w:eastAsia="zh-CN"/>
        </w:rPr>
        <w:t>一般，</w:t>
      </w:r>
      <w:r>
        <w:rPr>
          <w:rFonts w:hint="eastAsia" w:ascii="仿宋" w:hAnsi="仿宋" w:eastAsia="仿宋" w:cs="仿宋"/>
          <w:bCs/>
          <w:snapToGrid w:val="0"/>
          <w:kern w:val="0"/>
          <w:sz w:val="28"/>
          <w:szCs w:val="28"/>
        </w:rPr>
        <w:t>成新度</w:t>
      </w:r>
      <w:r>
        <w:rPr>
          <w:rFonts w:hint="eastAsia" w:ascii="仿宋" w:hAnsi="仿宋" w:eastAsia="仿宋" w:cs="仿宋"/>
          <w:bCs/>
          <w:snapToGrid w:val="0"/>
          <w:kern w:val="0"/>
          <w:sz w:val="28"/>
          <w:szCs w:val="28"/>
          <w:lang w:eastAsia="zh-CN"/>
        </w:rPr>
        <w:t>一般</w:t>
      </w:r>
      <w:r>
        <w:rPr>
          <w:rFonts w:hint="eastAsia" w:ascii="仿宋" w:hAnsi="仿宋" w:eastAsia="仿宋" w:cs="仿宋"/>
          <w:bCs/>
          <w:snapToGrid w:val="0"/>
          <w:kern w:val="0"/>
          <w:sz w:val="28"/>
          <w:szCs w:val="28"/>
        </w:rPr>
        <w:t>，处于正常使用状态。</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jc w:val="both"/>
        <w:textAlignment w:val="auto"/>
        <w:outlineLvl w:val="9"/>
        <w:rPr>
          <w:rFonts w:hint="default" w:ascii="仿宋" w:hAnsi="仿宋" w:eastAsia="仿宋" w:cs="仿宋"/>
          <w:bCs/>
          <w:snapToGrid w:val="0"/>
          <w:kern w:val="0"/>
          <w:sz w:val="28"/>
          <w:szCs w:val="28"/>
          <w:lang w:val="en-US" w:eastAsia="zh-CN"/>
        </w:rPr>
      </w:pPr>
      <w:r>
        <w:rPr>
          <w:rFonts w:hint="eastAsia" w:ascii="仿宋" w:hAnsi="仿宋" w:eastAsia="仿宋" w:cs="仿宋"/>
          <w:bCs/>
          <w:snapToGrid w:val="0"/>
          <w:kern w:val="0"/>
          <w:sz w:val="28"/>
          <w:szCs w:val="28"/>
          <w:lang w:val="en-US" w:eastAsia="zh-CN"/>
        </w:rPr>
        <w:t>估价对象5：</w:t>
      </w:r>
      <w:r>
        <w:rPr>
          <w:rFonts w:hint="eastAsia" w:ascii="仿宋" w:hAnsi="仿宋" w:eastAsia="仿宋" w:cs="仿宋"/>
          <w:bCs/>
          <w:snapToGrid w:val="0"/>
          <w:kern w:val="0"/>
          <w:sz w:val="28"/>
          <w:szCs w:val="28"/>
        </w:rPr>
        <w:t>根据</w:t>
      </w:r>
      <w:r>
        <w:rPr>
          <w:rFonts w:hint="eastAsia" w:ascii="仿宋" w:hAnsi="仿宋" w:eastAsia="仿宋" w:cs="仿宋"/>
          <w:bCs/>
          <w:snapToGrid w:val="0"/>
          <w:kern w:val="0"/>
          <w:sz w:val="28"/>
          <w:szCs w:val="28"/>
          <w:lang w:val="en-US" w:eastAsia="zh-CN"/>
        </w:rPr>
        <w:t>委托当事人</w:t>
      </w:r>
      <w:r>
        <w:rPr>
          <w:rFonts w:hint="eastAsia" w:ascii="仿宋" w:hAnsi="仿宋" w:eastAsia="仿宋" w:cs="仿宋"/>
          <w:bCs/>
          <w:snapToGrid w:val="0"/>
          <w:kern w:val="0"/>
          <w:sz w:val="28"/>
          <w:szCs w:val="28"/>
        </w:rPr>
        <w:t>的介绍及陪同估价人员实地查勘，</w:t>
      </w:r>
      <w:bookmarkStart w:id="111" w:name="_Toc25219_WPSOffice_Level2"/>
      <w:bookmarkStart w:id="112" w:name="_Toc19504_WPSOffice_Level2"/>
      <w:r>
        <w:rPr>
          <w:rFonts w:hint="eastAsia" w:ascii="仿宋" w:hAnsi="仿宋" w:eastAsia="仿宋" w:cs="仿宋"/>
          <w:bCs/>
          <w:snapToGrid w:val="0"/>
          <w:kern w:val="0"/>
          <w:sz w:val="28"/>
          <w:szCs w:val="28"/>
          <w:lang w:val="en-US" w:eastAsia="zh-CN"/>
        </w:rPr>
        <w:t>截止价值时点，估价对象为空地，已达到三通一平，地面已水泥硬化，四周砖砌围墙。</w:t>
      </w:r>
      <w:r>
        <w:rPr>
          <w:rFonts w:hint="eastAsia" w:ascii="仿宋" w:hAnsi="仿宋" w:eastAsia="仿宋" w:cs="仿宋"/>
          <w:i w:val="0"/>
          <w:caps w:val="0"/>
          <w:color w:val="333333"/>
          <w:spacing w:val="0"/>
          <w:sz w:val="28"/>
          <w:szCs w:val="28"/>
          <w:u w:val="none"/>
          <w:shd w:val="clear" w:fill="FFFFFF"/>
          <w:lang w:val="en-US" w:eastAsia="zh-CN"/>
        </w:rPr>
        <w:t>宗地四至界限：前临东西大街西二段，后临“四川亿华林”小区项目，左临广汉市密封制品厂，右临广汉市“宏兴苑”小区。</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29"/>
        <w:jc w:val="both"/>
        <w:textAlignment w:val="auto"/>
        <w:outlineLvl w:val="9"/>
        <w:rPr>
          <w:rFonts w:hint="eastAsia" w:ascii="仿宋" w:hAnsi="仿宋" w:eastAsia="仿宋" w:cs="仿宋"/>
          <w:b/>
          <w:bCs/>
          <w:snapToGrid w:val="0"/>
          <w:kern w:val="0"/>
          <w:sz w:val="28"/>
          <w:szCs w:val="28"/>
        </w:rPr>
      </w:pPr>
      <w:r>
        <w:rPr>
          <w:rFonts w:hint="eastAsia" w:ascii="仿宋" w:hAnsi="仿宋" w:eastAsia="仿宋" w:cs="仿宋"/>
          <w:b/>
          <w:bCs/>
          <w:snapToGrid w:val="0"/>
          <w:kern w:val="0"/>
          <w:sz w:val="28"/>
          <w:szCs w:val="28"/>
        </w:rPr>
        <w:t>5、区位状况</w:t>
      </w:r>
      <w:bookmarkEnd w:id="111"/>
      <w:bookmarkEnd w:id="112"/>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560" w:firstLineChars="200"/>
        <w:jc w:val="left"/>
        <w:textAlignment w:val="auto"/>
        <w:rPr>
          <w:rFonts w:hint="default"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rPr>
        <w:t>（1）坐落：</w:t>
      </w:r>
      <w:r>
        <w:rPr>
          <w:rFonts w:hint="eastAsia" w:ascii="仿宋" w:hAnsi="仿宋" w:eastAsia="仿宋" w:cs="仿宋"/>
          <w:bCs/>
          <w:snapToGrid w:val="0"/>
          <w:kern w:val="0"/>
          <w:sz w:val="28"/>
          <w:szCs w:val="28"/>
        </w:rPr>
        <w:t>估价对象</w:t>
      </w:r>
      <w:r>
        <w:rPr>
          <w:rFonts w:hint="eastAsia" w:ascii="仿宋" w:hAnsi="仿宋" w:eastAsia="仿宋" w:cs="仿宋"/>
          <w:bCs/>
          <w:snapToGrid w:val="0"/>
          <w:kern w:val="0"/>
          <w:sz w:val="28"/>
          <w:szCs w:val="28"/>
          <w:lang w:val="en-US" w:eastAsia="zh-CN"/>
        </w:rPr>
        <w:t>为广汉市西湖路145号开发19幢23-27轴底层门市，西湖路147号开发19幢底层27-30轴、二层23-30轴门市，中山大道北三段35号中山小区8幢1-2层门市，东西大街西二段260号1幢商住楼，东西大街西二段商服用地土地使用权共计五宗房地产</w:t>
      </w:r>
      <w:r>
        <w:rPr>
          <w:rFonts w:hint="eastAsia" w:ascii="仿宋" w:hAnsi="仿宋" w:eastAsia="仿宋" w:cs="仿宋"/>
          <w:snapToGrid w:val="0"/>
          <w:kern w:val="0"/>
          <w:sz w:val="28"/>
          <w:szCs w:val="28"/>
          <w:lang w:val="en-US" w:eastAsia="zh-CN"/>
        </w:rPr>
        <w:t>。估价对象均位于广汉市城区范围内，地理位置较优。</w:t>
      </w:r>
      <w:r>
        <w:rPr>
          <w:rFonts w:hint="eastAsia" w:ascii="仿宋" w:hAnsi="仿宋" w:eastAsia="仿宋" w:cs="仿宋"/>
          <w:b w:val="0"/>
          <w:bCs w:val="0"/>
          <w:i w:val="0"/>
          <w:caps w:val="0"/>
          <w:color w:val="333333"/>
          <w:spacing w:val="0"/>
          <w:sz w:val="28"/>
          <w:szCs w:val="28"/>
          <w:u w:val="none"/>
          <w:shd w:val="clear" w:fill="FFFFFF"/>
          <w:lang w:val="en-US" w:eastAsia="zh-CN"/>
        </w:rPr>
        <w:t>广汉市</w:t>
      </w:r>
      <w:r>
        <w:rPr>
          <w:rFonts w:hint="eastAsia" w:ascii="仿宋" w:hAnsi="仿宋" w:eastAsia="仿宋" w:cs="仿宋"/>
          <w:i w:val="0"/>
          <w:caps w:val="0"/>
          <w:color w:val="333333"/>
          <w:spacing w:val="0"/>
          <w:sz w:val="28"/>
          <w:szCs w:val="28"/>
          <w:u w:val="none"/>
          <w:shd w:val="clear" w:fill="FFFFFF"/>
        </w:rPr>
        <w:t>北距德阳市区19公里，南临成都市区20公里</w:t>
      </w:r>
      <w:r>
        <w:rPr>
          <w:rFonts w:hint="eastAsia" w:ascii="仿宋" w:hAnsi="仿宋" w:eastAsia="仿宋" w:cs="仿宋"/>
          <w:i w:val="0"/>
          <w:caps w:val="0"/>
          <w:color w:val="333333"/>
          <w:spacing w:val="0"/>
          <w:sz w:val="28"/>
          <w:szCs w:val="28"/>
          <w:u w:val="none"/>
          <w:shd w:val="clear" w:fill="FFFFFF"/>
          <w:lang w:eastAsia="zh-CN"/>
        </w:rPr>
        <w:t>，</w:t>
      </w:r>
      <w:r>
        <w:rPr>
          <w:rFonts w:hint="eastAsia" w:ascii="仿宋" w:hAnsi="仿宋" w:eastAsia="仿宋" w:cs="仿宋"/>
          <w:i w:val="0"/>
          <w:caps w:val="0"/>
          <w:color w:val="333333"/>
          <w:spacing w:val="0"/>
          <w:sz w:val="28"/>
          <w:szCs w:val="28"/>
          <w:u w:val="none"/>
          <w:shd w:val="clear" w:fill="FFFFFF"/>
          <w:lang w:val="en-US" w:eastAsia="zh-CN"/>
        </w:rPr>
        <w:t>东距彭州市30公里，西临金堂县18公里，地理位置优越。</w:t>
      </w:r>
    </w:p>
    <w:p>
      <w:pPr>
        <w:suppressAutoHyphens/>
        <w:spacing w:line="520" w:lineRule="exact"/>
        <w:ind w:firstLine="555"/>
        <w:rPr>
          <w:rFonts w:hint="default" w:ascii="仿宋" w:hAnsi="仿宋" w:eastAsia="仿宋" w:cs="仿宋"/>
          <w:bCs/>
          <w:snapToGrid w:val="0"/>
          <w:kern w:val="0"/>
          <w:sz w:val="28"/>
          <w:szCs w:val="28"/>
          <w:lang w:val="en-US"/>
        </w:rPr>
      </w:pPr>
      <w:r>
        <w:rPr>
          <w:rFonts w:hint="eastAsia" w:ascii="仿宋" w:hAnsi="仿宋" w:eastAsia="仿宋" w:cs="仿宋"/>
          <w:bCs/>
          <w:snapToGrid w:val="0"/>
          <w:kern w:val="0"/>
          <w:sz w:val="28"/>
          <w:szCs w:val="28"/>
        </w:rPr>
        <w:t>（2）交通：</w:t>
      </w:r>
      <w:r>
        <w:rPr>
          <w:rFonts w:hint="eastAsia" w:ascii="仿宋" w:hAnsi="仿宋" w:eastAsia="仿宋" w:cs="仿宋"/>
          <w:i w:val="0"/>
          <w:caps w:val="0"/>
          <w:color w:val="333333"/>
          <w:spacing w:val="0"/>
          <w:sz w:val="28"/>
          <w:szCs w:val="28"/>
          <w:u w:val="none"/>
          <w:shd w:val="clear" w:fill="FFFFFF"/>
          <w:lang w:val="en-US" w:eastAsia="zh-CN"/>
        </w:rPr>
        <w:t>国道G5、G93</w:t>
      </w:r>
      <w:r>
        <w:rPr>
          <w:rFonts w:hint="eastAsia" w:ascii="仿宋" w:hAnsi="仿宋" w:eastAsia="仿宋" w:cs="仿宋"/>
          <w:b/>
          <w:bCs/>
          <w:i w:val="0"/>
          <w:caps w:val="0"/>
          <w:color w:val="333333"/>
          <w:spacing w:val="0"/>
          <w:sz w:val="28"/>
          <w:szCs w:val="28"/>
          <w:u w:val="none"/>
          <w:shd w:val="clear" w:fill="FFFFFF"/>
          <w:lang w:val="en-US" w:eastAsia="zh-CN"/>
        </w:rPr>
        <w:t>、</w:t>
      </w:r>
      <w:r>
        <w:rPr>
          <w:rFonts w:hint="eastAsia" w:ascii="仿宋" w:hAnsi="仿宋" w:eastAsia="仿宋" w:cs="仿宋"/>
          <w:b w:val="0"/>
          <w:bCs w:val="0"/>
          <w:i w:val="0"/>
          <w:caps w:val="0"/>
          <w:color w:val="333333"/>
          <w:spacing w:val="0"/>
          <w:sz w:val="28"/>
          <w:szCs w:val="28"/>
          <w:u w:val="none"/>
          <w:shd w:val="clear" w:fill="FFFFFF"/>
          <w:lang w:val="en-US" w:eastAsia="zh-CN"/>
        </w:rPr>
        <w:t>G108、SA2穿境而过，</w:t>
      </w:r>
      <w:r>
        <w:rPr>
          <w:rFonts w:hint="eastAsia" w:ascii="仿宋" w:hAnsi="仿宋" w:eastAsia="仿宋" w:cs="仿宋"/>
          <w:b w:val="0"/>
          <w:bCs w:val="0"/>
          <w:i w:val="0"/>
          <w:caps w:val="0"/>
          <w:color w:val="auto"/>
          <w:spacing w:val="0"/>
          <w:sz w:val="28"/>
          <w:szCs w:val="28"/>
          <w:u w:val="none"/>
          <w:shd w:val="clear" w:fill="FFFFFF"/>
          <w:lang w:val="en-US" w:eastAsia="zh-CN"/>
        </w:rPr>
        <w:t xml:space="preserve"> </w:t>
      </w:r>
      <w:r>
        <w:rPr>
          <w:rFonts w:hint="eastAsia" w:ascii="仿宋" w:hAnsi="仿宋" w:eastAsia="仿宋" w:cs="仿宋"/>
          <w:i w:val="0"/>
          <w:caps w:val="0"/>
          <w:color w:val="auto"/>
          <w:spacing w:val="0"/>
          <w:sz w:val="28"/>
          <w:szCs w:val="28"/>
          <w:u w:val="none"/>
        </w:rPr>
        <w:fldChar w:fldCharType="begin"/>
      </w:r>
      <w:r>
        <w:rPr>
          <w:rFonts w:hint="eastAsia" w:ascii="仿宋" w:hAnsi="仿宋" w:eastAsia="仿宋" w:cs="仿宋"/>
          <w:i w:val="0"/>
          <w:caps w:val="0"/>
          <w:color w:val="auto"/>
          <w:spacing w:val="0"/>
          <w:sz w:val="28"/>
          <w:szCs w:val="28"/>
          <w:u w:val="none"/>
        </w:rPr>
        <w:instrText xml:space="preserve"> HYPERLINK "https://baike.baidu.com/item/108%E5%9B%BD%E9%81%93" \t "https://baike.baidu.com/item/%E5%B9%BF%E6%B1%89/_blank" </w:instrText>
      </w:r>
      <w:r>
        <w:rPr>
          <w:rFonts w:hint="eastAsia" w:ascii="仿宋" w:hAnsi="仿宋" w:eastAsia="仿宋" w:cs="仿宋"/>
          <w:i w:val="0"/>
          <w:caps w:val="0"/>
          <w:color w:val="auto"/>
          <w:spacing w:val="0"/>
          <w:sz w:val="28"/>
          <w:szCs w:val="28"/>
          <w:u w:val="none"/>
        </w:rPr>
        <w:fldChar w:fldCharType="separate"/>
      </w:r>
      <w:r>
        <w:rPr>
          <w:rStyle w:val="13"/>
          <w:rFonts w:hint="eastAsia" w:ascii="仿宋" w:hAnsi="仿宋" w:eastAsia="仿宋" w:cs="仿宋"/>
          <w:i w:val="0"/>
          <w:caps w:val="0"/>
          <w:color w:val="auto"/>
          <w:spacing w:val="0"/>
          <w:sz w:val="28"/>
          <w:szCs w:val="28"/>
          <w:u w:val="none"/>
        </w:rPr>
        <w:t>108国道</w:t>
      </w:r>
      <w:r>
        <w:rPr>
          <w:rFonts w:hint="eastAsia" w:ascii="仿宋" w:hAnsi="仿宋" w:eastAsia="仿宋" w:cs="仿宋"/>
          <w:i w:val="0"/>
          <w:caps w:val="0"/>
          <w:color w:val="auto"/>
          <w:spacing w:val="0"/>
          <w:sz w:val="28"/>
          <w:szCs w:val="28"/>
          <w:u w:val="none"/>
        </w:rPr>
        <w:fldChar w:fldCharType="end"/>
      </w:r>
      <w:r>
        <w:rPr>
          <w:rFonts w:hint="eastAsia" w:ascii="仿宋" w:hAnsi="仿宋" w:eastAsia="仿宋" w:cs="仿宋"/>
          <w:i w:val="0"/>
          <w:caps w:val="0"/>
          <w:color w:val="auto"/>
          <w:spacing w:val="0"/>
          <w:sz w:val="28"/>
          <w:szCs w:val="28"/>
          <w:u w:val="none"/>
          <w:shd w:val="clear" w:fill="FFFFFF"/>
        </w:rPr>
        <w:t>、</w:t>
      </w:r>
      <w:r>
        <w:rPr>
          <w:rFonts w:hint="eastAsia" w:ascii="仿宋" w:hAnsi="仿宋" w:eastAsia="仿宋" w:cs="仿宋"/>
          <w:i w:val="0"/>
          <w:caps w:val="0"/>
          <w:color w:val="auto"/>
          <w:spacing w:val="0"/>
          <w:sz w:val="28"/>
          <w:szCs w:val="28"/>
          <w:u w:val="none"/>
        </w:rPr>
        <w:fldChar w:fldCharType="begin"/>
      </w:r>
      <w:r>
        <w:rPr>
          <w:rFonts w:hint="eastAsia" w:ascii="仿宋" w:hAnsi="仿宋" w:eastAsia="仿宋" w:cs="仿宋"/>
          <w:i w:val="0"/>
          <w:caps w:val="0"/>
          <w:color w:val="auto"/>
          <w:spacing w:val="0"/>
          <w:sz w:val="28"/>
          <w:szCs w:val="28"/>
          <w:u w:val="none"/>
        </w:rPr>
        <w:instrText xml:space="preserve"> HYPERLINK "https://baike.baidu.com/item/%E4%BA%AC%E6%98%86%E9%AB%98%E9%80%9F%E5%85%AC%E8%B7%AF" \t "https://baike.baidu.com/item/%E5%B9%BF%E6%B1%89/_blank" </w:instrText>
      </w:r>
      <w:r>
        <w:rPr>
          <w:rFonts w:hint="eastAsia" w:ascii="仿宋" w:hAnsi="仿宋" w:eastAsia="仿宋" w:cs="仿宋"/>
          <w:i w:val="0"/>
          <w:caps w:val="0"/>
          <w:color w:val="auto"/>
          <w:spacing w:val="0"/>
          <w:sz w:val="28"/>
          <w:szCs w:val="28"/>
          <w:u w:val="none"/>
        </w:rPr>
        <w:fldChar w:fldCharType="separate"/>
      </w:r>
      <w:r>
        <w:rPr>
          <w:rStyle w:val="13"/>
          <w:rFonts w:hint="eastAsia" w:ascii="仿宋" w:hAnsi="仿宋" w:eastAsia="仿宋" w:cs="仿宋"/>
          <w:i w:val="0"/>
          <w:caps w:val="0"/>
          <w:color w:val="auto"/>
          <w:spacing w:val="0"/>
          <w:sz w:val="28"/>
          <w:szCs w:val="28"/>
          <w:u w:val="none"/>
        </w:rPr>
        <w:t>京昆高速公路</w:t>
      </w:r>
      <w:r>
        <w:rPr>
          <w:rFonts w:hint="eastAsia" w:ascii="仿宋" w:hAnsi="仿宋" w:eastAsia="仿宋" w:cs="仿宋"/>
          <w:i w:val="0"/>
          <w:caps w:val="0"/>
          <w:color w:val="auto"/>
          <w:spacing w:val="0"/>
          <w:sz w:val="28"/>
          <w:szCs w:val="28"/>
          <w:u w:val="none"/>
        </w:rPr>
        <w:fldChar w:fldCharType="end"/>
      </w:r>
      <w:r>
        <w:rPr>
          <w:rFonts w:hint="eastAsia" w:ascii="仿宋" w:hAnsi="仿宋" w:eastAsia="仿宋" w:cs="仿宋"/>
          <w:i w:val="0"/>
          <w:caps w:val="0"/>
          <w:color w:val="auto"/>
          <w:spacing w:val="0"/>
          <w:sz w:val="28"/>
          <w:szCs w:val="28"/>
          <w:u w:val="none"/>
          <w:shd w:val="clear" w:fill="FFFFFF"/>
        </w:rPr>
        <w:t>、</w:t>
      </w:r>
      <w:r>
        <w:rPr>
          <w:rFonts w:hint="eastAsia" w:ascii="仿宋" w:hAnsi="仿宋" w:eastAsia="仿宋" w:cs="仿宋"/>
          <w:i w:val="0"/>
          <w:caps w:val="0"/>
          <w:color w:val="auto"/>
          <w:spacing w:val="0"/>
          <w:sz w:val="28"/>
          <w:szCs w:val="28"/>
          <w:u w:val="none"/>
        </w:rPr>
        <w:fldChar w:fldCharType="begin"/>
      </w:r>
      <w:r>
        <w:rPr>
          <w:rFonts w:hint="eastAsia" w:ascii="仿宋" w:hAnsi="仿宋" w:eastAsia="仿宋" w:cs="仿宋"/>
          <w:i w:val="0"/>
          <w:caps w:val="0"/>
          <w:color w:val="auto"/>
          <w:spacing w:val="0"/>
          <w:sz w:val="28"/>
          <w:szCs w:val="28"/>
          <w:u w:val="none"/>
        </w:rPr>
        <w:instrText xml:space="preserve"> HYPERLINK "https://baike.baidu.com/item/%E6%88%90%E9%83%BD%E5%85%AD%E7%8E%AF%E8%B7%AF" \t "https://baike.baidu.com/item/%E5%B9%BF%E6%B1%89/_blank" </w:instrText>
      </w:r>
      <w:r>
        <w:rPr>
          <w:rFonts w:hint="eastAsia" w:ascii="仿宋" w:hAnsi="仿宋" w:eastAsia="仿宋" w:cs="仿宋"/>
          <w:i w:val="0"/>
          <w:caps w:val="0"/>
          <w:color w:val="auto"/>
          <w:spacing w:val="0"/>
          <w:sz w:val="28"/>
          <w:szCs w:val="28"/>
          <w:u w:val="none"/>
        </w:rPr>
        <w:fldChar w:fldCharType="separate"/>
      </w:r>
      <w:r>
        <w:rPr>
          <w:rStyle w:val="13"/>
          <w:rFonts w:hint="eastAsia" w:ascii="仿宋" w:hAnsi="仿宋" w:eastAsia="仿宋" w:cs="仿宋"/>
          <w:i w:val="0"/>
          <w:caps w:val="0"/>
          <w:color w:val="auto"/>
          <w:spacing w:val="0"/>
          <w:sz w:val="28"/>
          <w:szCs w:val="28"/>
          <w:u w:val="none"/>
        </w:rPr>
        <w:t>成都六环路</w:t>
      </w:r>
      <w:r>
        <w:rPr>
          <w:rFonts w:hint="eastAsia" w:ascii="仿宋" w:hAnsi="仿宋" w:eastAsia="仿宋" w:cs="仿宋"/>
          <w:i w:val="0"/>
          <w:caps w:val="0"/>
          <w:color w:val="auto"/>
          <w:spacing w:val="0"/>
          <w:sz w:val="28"/>
          <w:szCs w:val="28"/>
          <w:u w:val="none"/>
        </w:rPr>
        <w:fldChar w:fldCharType="end"/>
      </w:r>
      <w:r>
        <w:rPr>
          <w:rFonts w:hint="eastAsia" w:ascii="仿宋" w:hAnsi="仿宋" w:eastAsia="仿宋" w:cs="仿宋"/>
          <w:i w:val="0"/>
          <w:caps w:val="0"/>
          <w:color w:val="auto"/>
          <w:spacing w:val="0"/>
          <w:sz w:val="28"/>
          <w:szCs w:val="28"/>
          <w:u w:val="none"/>
          <w:shd w:val="clear" w:fill="FFFFFF"/>
        </w:rPr>
        <w:t>（</w:t>
      </w:r>
      <w:r>
        <w:rPr>
          <w:rFonts w:hint="eastAsia" w:ascii="仿宋" w:hAnsi="仿宋" w:eastAsia="仿宋" w:cs="仿宋"/>
          <w:i w:val="0"/>
          <w:caps w:val="0"/>
          <w:color w:val="auto"/>
          <w:spacing w:val="0"/>
          <w:sz w:val="28"/>
          <w:szCs w:val="28"/>
          <w:u w:val="none"/>
        </w:rPr>
        <w:fldChar w:fldCharType="begin"/>
      </w:r>
      <w:r>
        <w:rPr>
          <w:rFonts w:hint="eastAsia" w:ascii="仿宋" w:hAnsi="仿宋" w:eastAsia="仿宋" w:cs="仿宋"/>
          <w:i w:val="0"/>
          <w:caps w:val="0"/>
          <w:color w:val="auto"/>
          <w:spacing w:val="0"/>
          <w:sz w:val="28"/>
          <w:szCs w:val="28"/>
          <w:u w:val="none"/>
        </w:rPr>
        <w:instrText xml:space="preserve"> HYPERLINK "https://baike.baidu.com/item/%E6%88%90%E9%83%BD%E7%AC%AC%E4%BA%8C%E7%BB%95%E5%9F%8E%E9%AB%98%E9%80%9F" \t "https://baike.baidu.com/item/%E5%B9%BF%E6%B1%89/_blank" </w:instrText>
      </w:r>
      <w:r>
        <w:rPr>
          <w:rFonts w:hint="eastAsia" w:ascii="仿宋" w:hAnsi="仿宋" w:eastAsia="仿宋" w:cs="仿宋"/>
          <w:i w:val="0"/>
          <w:caps w:val="0"/>
          <w:color w:val="auto"/>
          <w:spacing w:val="0"/>
          <w:sz w:val="28"/>
          <w:szCs w:val="28"/>
          <w:u w:val="none"/>
        </w:rPr>
        <w:fldChar w:fldCharType="separate"/>
      </w:r>
      <w:r>
        <w:rPr>
          <w:rStyle w:val="13"/>
          <w:rFonts w:hint="eastAsia" w:ascii="仿宋" w:hAnsi="仿宋" w:eastAsia="仿宋" w:cs="仿宋"/>
          <w:i w:val="0"/>
          <w:caps w:val="0"/>
          <w:color w:val="auto"/>
          <w:spacing w:val="0"/>
          <w:sz w:val="28"/>
          <w:szCs w:val="28"/>
          <w:u w:val="none"/>
        </w:rPr>
        <w:t>成都第二绕城高速</w:t>
      </w:r>
      <w:r>
        <w:rPr>
          <w:rFonts w:hint="eastAsia" w:ascii="仿宋" w:hAnsi="仿宋" w:eastAsia="仿宋" w:cs="仿宋"/>
          <w:i w:val="0"/>
          <w:caps w:val="0"/>
          <w:color w:val="auto"/>
          <w:spacing w:val="0"/>
          <w:sz w:val="28"/>
          <w:szCs w:val="28"/>
          <w:u w:val="none"/>
        </w:rPr>
        <w:fldChar w:fldCharType="end"/>
      </w:r>
      <w:r>
        <w:rPr>
          <w:rFonts w:hint="eastAsia" w:ascii="仿宋" w:hAnsi="仿宋" w:eastAsia="仿宋" w:cs="仿宋"/>
          <w:i w:val="0"/>
          <w:caps w:val="0"/>
          <w:color w:val="auto"/>
          <w:spacing w:val="0"/>
          <w:sz w:val="28"/>
          <w:szCs w:val="28"/>
          <w:u w:val="none"/>
          <w:shd w:val="clear" w:fill="FFFFFF"/>
        </w:rPr>
        <w:t>）、</w:t>
      </w:r>
      <w:r>
        <w:rPr>
          <w:rFonts w:hint="eastAsia" w:ascii="仿宋" w:hAnsi="仿宋" w:eastAsia="仿宋" w:cs="仿宋"/>
          <w:i w:val="0"/>
          <w:caps w:val="0"/>
          <w:color w:val="auto"/>
          <w:spacing w:val="0"/>
          <w:sz w:val="28"/>
          <w:szCs w:val="28"/>
          <w:u w:val="none"/>
        </w:rPr>
        <w:fldChar w:fldCharType="begin"/>
      </w:r>
      <w:r>
        <w:rPr>
          <w:rFonts w:hint="eastAsia" w:ascii="仿宋" w:hAnsi="仿宋" w:eastAsia="仿宋" w:cs="仿宋"/>
          <w:i w:val="0"/>
          <w:caps w:val="0"/>
          <w:color w:val="auto"/>
          <w:spacing w:val="0"/>
          <w:sz w:val="28"/>
          <w:szCs w:val="28"/>
          <w:u w:val="none"/>
        </w:rPr>
        <w:instrText xml:space="preserve"> HYPERLINK "https://baike.baidu.com/item/%E6%88%90%E5%BE%B7%E5%A4%A7%E9%81%93" \t "https://baike.baidu.com/item/%E5%B9%BF%E6%B1%89/_blank" </w:instrText>
      </w:r>
      <w:r>
        <w:rPr>
          <w:rFonts w:hint="eastAsia" w:ascii="仿宋" w:hAnsi="仿宋" w:eastAsia="仿宋" w:cs="仿宋"/>
          <w:i w:val="0"/>
          <w:caps w:val="0"/>
          <w:color w:val="auto"/>
          <w:spacing w:val="0"/>
          <w:sz w:val="28"/>
          <w:szCs w:val="28"/>
          <w:u w:val="none"/>
        </w:rPr>
        <w:fldChar w:fldCharType="separate"/>
      </w:r>
      <w:r>
        <w:rPr>
          <w:rStyle w:val="13"/>
          <w:rFonts w:hint="eastAsia" w:ascii="仿宋" w:hAnsi="仿宋" w:eastAsia="仿宋" w:cs="仿宋"/>
          <w:i w:val="0"/>
          <w:caps w:val="0"/>
          <w:color w:val="auto"/>
          <w:spacing w:val="0"/>
          <w:sz w:val="28"/>
          <w:szCs w:val="28"/>
          <w:u w:val="none"/>
        </w:rPr>
        <w:t>成德大道</w:t>
      </w:r>
      <w:r>
        <w:rPr>
          <w:rFonts w:hint="eastAsia" w:ascii="仿宋" w:hAnsi="仿宋" w:eastAsia="仿宋" w:cs="仿宋"/>
          <w:i w:val="0"/>
          <w:caps w:val="0"/>
          <w:color w:val="auto"/>
          <w:spacing w:val="0"/>
          <w:sz w:val="28"/>
          <w:szCs w:val="28"/>
          <w:u w:val="none"/>
        </w:rPr>
        <w:fldChar w:fldCharType="end"/>
      </w:r>
      <w:r>
        <w:rPr>
          <w:rFonts w:hint="eastAsia" w:ascii="仿宋" w:hAnsi="仿宋" w:eastAsia="仿宋" w:cs="仿宋"/>
          <w:i w:val="0"/>
          <w:caps w:val="0"/>
          <w:color w:val="auto"/>
          <w:spacing w:val="0"/>
          <w:sz w:val="28"/>
          <w:szCs w:val="28"/>
          <w:u w:val="none"/>
          <w:shd w:val="clear" w:fill="FFFFFF"/>
        </w:rPr>
        <w:t>、</w:t>
      </w:r>
      <w:r>
        <w:rPr>
          <w:rFonts w:hint="eastAsia" w:ascii="仿宋" w:hAnsi="仿宋" w:eastAsia="仿宋" w:cs="仿宋"/>
          <w:i w:val="0"/>
          <w:caps w:val="0"/>
          <w:color w:val="auto"/>
          <w:spacing w:val="0"/>
          <w:sz w:val="28"/>
          <w:szCs w:val="28"/>
          <w:u w:val="none"/>
        </w:rPr>
        <w:fldChar w:fldCharType="begin"/>
      </w:r>
      <w:r>
        <w:rPr>
          <w:rFonts w:hint="eastAsia" w:ascii="仿宋" w:hAnsi="仿宋" w:eastAsia="仿宋" w:cs="仿宋"/>
          <w:i w:val="0"/>
          <w:caps w:val="0"/>
          <w:color w:val="auto"/>
          <w:spacing w:val="0"/>
          <w:sz w:val="28"/>
          <w:szCs w:val="28"/>
          <w:u w:val="none"/>
        </w:rPr>
        <w:instrText xml:space="preserve"> HYPERLINK "https://baike.baidu.com/item/%E6%97%8C%E6%B1%9F%E5%BF%AB%E9%80%9F%E5%B9%B2%E7%BA%BF" \t "https://baike.baidu.com/item/%E5%B9%BF%E6%B1%89/_blank" </w:instrText>
      </w:r>
      <w:r>
        <w:rPr>
          <w:rFonts w:hint="eastAsia" w:ascii="仿宋" w:hAnsi="仿宋" w:eastAsia="仿宋" w:cs="仿宋"/>
          <w:i w:val="0"/>
          <w:caps w:val="0"/>
          <w:color w:val="auto"/>
          <w:spacing w:val="0"/>
          <w:sz w:val="28"/>
          <w:szCs w:val="28"/>
          <w:u w:val="none"/>
        </w:rPr>
        <w:fldChar w:fldCharType="separate"/>
      </w:r>
      <w:r>
        <w:rPr>
          <w:rStyle w:val="13"/>
          <w:rFonts w:hint="eastAsia" w:ascii="仿宋" w:hAnsi="仿宋" w:eastAsia="仿宋" w:cs="仿宋"/>
          <w:i w:val="0"/>
          <w:caps w:val="0"/>
          <w:color w:val="auto"/>
          <w:spacing w:val="0"/>
          <w:sz w:val="28"/>
          <w:szCs w:val="28"/>
          <w:u w:val="none"/>
        </w:rPr>
        <w:t>旌江快速干线</w:t>
      </w:r>
      <w:r>
        <w:rPr>
          <w:rFonts w:hint="eastAsia" w:ascii="仿宋" w:hAnsi="仿宋" w:eastAsia="仿宋" w:cs="仿宋"/>
          <w:i w:val="0"/>
          <w:caps w:val="0"/>
          <w:color w:val="auto"/>
          <w:spacing w:val="0"/>
          <w:sz w:val="28"/>
          <w:szCs w:val="28"/>
          <w:u w:val="none"/>
        </w:rPr>
        <w:fldChar w:fldCharType="end"/>
      </w:r>
      <w:r>
        <w:rPr>
          <w:rFonts w:hint="eastAsia" w:ascii="仿宋" w:hAnsi="仿宋" w:eastAsia="仿宋" w:cs="仿宋"/>
          <w:i w:val="0"/>
          <w:caps w:val="0"/>
          <w:color w:val="auto"/>
          <w:spacing w:val="0"/>
          <w:sz w:val="28"/>
          <w:szCs w:val="28"/>
          <w:u w:val="none"/>
          <w:lang w:val="en-US" w:eastAsia="zh-CN"/>
        </w:rPr>
        <w:t>已经开通。</w:t>
      </w:r>
      <w:r>
        <w:rPr>
          <w:rFonts w:hint="eastAsia" w:ascii="仿宋" w:hAnsi="仿宋" w:eastAsia="仿宋" w:cs="仿宋"/>
          <w:i w:val="0"/>
          <w:caps w:val="0"/>
          <w:color w:val="auto"/>
          <w:spacing w:val="0"/>
          <w:sz w:val="28"/>
          <w:szCs w:val="28"/>
          <w:u w:val="none"/>
          <w:shd w:val="clear" w:fill="FFFFFF"/>
        </w:rPr>
        <w:t>铁路：</w:t>
      </w:r>
      <w:r>
        <w:rPr>
          <w:rFonts w:hint="eastAsia" w:ascii="仿宋" w:hAnsi="仿宋" w:eastAsia="仿宋" w:cs="仿宋"/>
          <w:i w:val="0"/>
          <w:caps w:val="0"/>
          <w:color w:val="auto"/>
          <w:spacing w:val="0"/>
          <w:sz w:val="28"/>
          <w:szCs w:val="28"/>
          <w:u w:val="none"/>
        </w:rPr>
        <w:fldChar w:fldCharType="begin"/>
      </w:r>
      <w:r>
        <w:rPr>
          <w:rFonts w:hint="eastAsia" w:ascii="仿宋" w:hAnsi="仿宋" w:eastAsia="仿宋" w:cs="仿宋"/>
          <w:i w:val="0"/>
          <w:caps w:val="0"/>
          <w:color w:val="auto"/>
          <w:spacing w:val="0"/>
          <w:sz w:val="28"/>
          <w:szCs w:val="28"/>
          <w:u w:val="none"/>
        </w:rPr>
        <w:instrText xml:space="preserve"> HYPERLINK "https://baike.baidu.com/item/%E5%AE%9D%E6%88%90%E9%93%81%E8%B7%AF" \t "https://baike.baidu.com/item/%E5%B9%BF%E6%B1%89/_blank" </w:instrText>
      </w:r>
      <w:r>
        <w:rPr>
          <w:rFonts w:hint="eastAsia" w:ascii="仿宋" w:hAnsi="仿宋" w:eastAsia="仿宋" w:cs="仿宋"/>
          <w:i w:val="0"/>
          <w:caps w:val="0"/>
          <w:color w:val="auto"/>
          <w:spacing w:val="0"/>
          <w:sz w:val="28"/>
          <w:szCs w:val="28"/>
          <w:u w:val="none"/>
        </w:rPr>
        <w:fldChar w:fldCharType="separate"/>
      </w:r>
      <w:r>
        <w:rPr>
          <w:rStyle w:val="13"/>
          <w:rFonts w:hint="eastAsia" w:ascii="仿宋" w:hAnsi="仿宋" w:eastAsia="仿宋" w:cs="仿宋"/>
          <w:i w:val="0"/>
          <w:caps w:val="0"/>
          <w:color w:val="auto"/>
          <w:spacing w:val="0"/>
          <w:sz w:val="28"/>
          <w:szCs w:val="28"/>
          <w:u w:val="none"/>
        </w:rPr>
        <w:t>宝成铁路</w:t>
      </w:r>
      <w:r>
        <w:rPr>
          <w:rFonts w:hint="eastAsia" w:ascii="仿宋" w:hAnsi="仿宋" w:eastAsia="仿宋" w:cs="仿宋"/>
          <w:i w:val="0"/>
          <w:caps w:val="0"/>
          <w:color w:val="auto"/>
          <w:spacing w:val="0"/>
          <w:sz w:val="28"/>
          <w:szCs w:val="28"/>
          <w:u w:val="none"/>
        </w:rPr>
        <w:fldChar w:fldCharType="end"/>
      </w:r>
      <w:r>
        <w:rPr>
          <w:rFonts w:hint="eastAsia" w:ascii="仿宋" w:hAnsi="仿宋" w:eastAsia="仿宋" w:cs="仿宋"/>
          <w:i w:val="0"/>
          <w:caps w:val="0"/>
          <w:color w:val="auto"/>
          <w:spacing w:val="0"/>
          <w:sz w:val="28"/>
          <w:szCs w:val="28"/>
          <w:u w:val="none"/>
          <w:shd w:val="clear" w:fill="FFFFFF"/>
        </w:rPr>
        <w:t>、</w:t>
      </w:r>
      <w:r>
        <w:rPr>
          <w:rFonts w:hint="eastAsia" w:ascii="仿宋" w:hAnsi="仿宋" w:eastAsia="仿宋" w:cs="仿宋"/>
          <w:i w:val="0"/>
          <w:caps w:val="0"/>
          <w:color w:val="auto"/>
          <w:spacing w:val="0"/>
          <w:sz w:val="28"/>
          <w:szCs w:val="28"/>
          <w:u w:val="none"/>
        </w:rPr>
        <w:fldChar w:fldCharType="begin"/>
      </w:r>
      <w:r>
        <w:rPr>
          <w:rFonts w:hint="eastAsia" w:ascii="仿宋" w:hAnsi="仿宋" w:eastAsia="仿宋" w:cs="仿宋"/>
          <w:i w:val="0"/>
          <w:caps w:val="0"/>
          <w:color w:val="auto"/>
          <w:spacing w:val="0"/>
          <w:sz w:val="28"/>
          <w:szCs w:val="28"/>
          <w:u w:val="none"/>
        </w:rPr>
        <w:instrText xml:space="preserve"> HYPERLINK "https://baike.baidu.com/item/%E6%88%90%E5%85%B0%E9%93%81%E8%B7%AF" \t "https://baike.baidu.com/item/%E5%B9%BF%E6%B1%89/_blank" </w:instrText>
      </w:r>
      <w:r>
        <w:rPr>
          <w:rFonts w:hint="eastAsia" w:ascii="仿宋" w:hAnsi="仿宋" w:eastAsia="仿宋" w:cs="仿宋"/>
          <w:i w:val="0"/>
          <w:caps w:val="0"/>
          <w:color w:val="auto"/>
          <w:spacing w:val="0"/>
          <w:sz w:val="28"/>
          <w:szCs w:val="28"/>
          <w:u w:val="none"/>
        </w:rPr>
        <w:fldChar w:fldCharType="separate"/>
      </w:r>
      <w:r>
        <w:rPr>
          <w:rStyle w:val="13"/>
          <w:rFonts w:hint="eastAsia" w:ascii="仿宋" w:hAnsi="仿宋" w:eastAsia="仿宋" w:cs="仿宋"/>
          <w:i w:val="0"/>
          <w:caps w:val="0"/>
          <w:color w:val="auto"/>
          <w:spacing w:val="0"/>
          <w:sz w:val="28"/>
          <w:szCs w:val="28"/>
          <w:u w:val="none"/>
        </w:rPr>
        <w:t>成兰铁路</w:t>
      </w:r>
      <w:r>
        <w:rPr>
          <w:rFonts w:hint="eastAsia" w:ascii="仿宋" w:hAnsi="仿宋" w:eastAsia="仿宋" w:cs="仿宋"/>
          <w:i w:val="0"/>
          <w:caps w:val="0"/>
          <w:color w:val="auto"/>
          <w:spacing w:val="0"/>
          <w:sz w:val="28"/>
          <w:szCs w:val="28"/>
          <w:u w:val="none"/>
        </w:rPr>
        <w:fldChar w:fldCharType="end"/>
      </w:r>
      <w:r>
        <w:rPr>
          <w:rFonts w:hint="eastAsia" w:ascii="仿宋" w:hAnsi="仿宋" w:eastAsia="仿宋" w:cs="仿宋"/>
          <w:i w:val="0"/>
          <w:caps w:val="0"/>
          <w:color w:val="auto"/>
          <w:spacing w:val="0"/>
          <w:sz w:val="28"/>
          <w:szCs w:val="28"/>
          <w:u w:val="none"/>
          <w:shd w:val="clear" w:fill="FFFFFF"/>
        </w:rPr>
        <w:t>、</w:t>
      </w:r>
      <w:r>
        <w:rPr>
          <w:rFonts w:hint="eastAsia" w:ascii="仿宋" w:hAnsi="仿宋" w:eastAsia="仿宋" w:cs="仿宋"/>
          <w:i w:val="0"/>
          <w:caps w:val="0"/>
          <w:color w:val="auto"/>
          <w:spacing w:val="0"/>
          <w:sz w:val="28"/>
          <w:szCs w:val="28"/>
          <w:u w:val="none"/>
        </w:rPr>
        <w:fldChar w:fldCharType="begin"/>
      </w:r>
      <w:r>
        <w:rPr>
          <w:rFonts w:hint="eastAsia" w:ascii="仿宋" w:hAnsi="仿宋" w:eastAsia="仿宋" w:cs="仿宋"/>
          <w:i w:val="0"/>
          <w:caps w:val="0"/>
          <w:color w:val="auto"/>
          <w:spacing w:val="0"/>
          <w:sz w:val="28"/>
          <w:szCs w:val="28"/>
          <w:u w:val="none"/>
        </w:rPr>
        <w:instrText xml:space="preserve"> HYPERLINK "https://baike.baidu.com/item/%E8%A5%BF%E6%88%90%E9%AB%98%E9%93%81" \t "https://baike.baidu.com/item/%E5%B9%BF%E6%B1%89/_blank" </w:instrText>
      </w:r>
      <w:r>
        <w:rPr>
          <w:rFonts w:hint="eastAsia" w:ascii="仿宋" w:hAnsi="仿宋" w:eastAsia="仿宋" w:cs="仿宋"/>
          <w:i w:val="0"/>
          <w:caps w:val="0"/>
          <w:color w:val="auto"/>
          <w:spacing w:val="0"/>
          <w:sz w:val="28"/>
          <w:szCs w:val="28"/>
          <w:u w:val="none"/>
        </w:rPr>
        <w:fldChar w:fldCharType="separate"/>
      </w:r>
      <w:r>
        <w:rPr>
          <w:rStyle w:val="13"/>
          <w:rFonts w:hint="eastAsia" w:ascii="仿宋" w:hAnsi="仿宋" w:eastAsia="仿宋" w:cs="仿宋"/>
          <w:i w:val="0"/>
          <w:caps w:val="0"/>
          <w:color w:val="auto"/>
          <w:spacing w:val="0"/>
          <w:sz w:val="28"/>
          <w:szCs w:val="28"/>
          <w:u w:val="none"/>
        </w:rPr>
        <w:t>西成高铁</w:t>
      </w:r>
      <w:r>
        <w:rPr>
          <w:rFonts w:hint="eastAsia" w:ascii="仿宋" w:hAnsi="仿宋" w:eastAsia="仿宋" w:cs="仿宋"/>
          <w:i w:val="0"/>
          <w:caps w:val="0"/>
          <w:color w:val="auto"/>
          <w:spacing w:val="0"/>
          <w:sz w:val="28"/>
          <w:szCs w:val="28"/>
          <w:u w:val="none"/>
        </w:rPr>
        <w:fldChar w:fldCharType="end"/>
      </w:r>
      <w:r>
        <w:rPr>
          <w:rFonts w:hint="eastAsia" w:ascii="仿宋" w:hAnsi="仿宋" w:eastAsia="仿宋" w:cs="仿宋"/>
          <w:i w:val="0"/>
          <w:caps w:val="0"/>
          <w:color w:val="auto"/>
          <w:spacing w:val="0"/>
          <w:sz w:val="28"/>
          <w:szCs w:val="28"/>
          <w:u w:val="none"/>
          <w:shd w:val="clear" w:fill="FFFFFF"/>
        </w:rPr>
        <w:t>、</w:t>
      </w:r>
      <w:r>
        <w:rPr>
          <w:rFonts w:hint="eastAsia" w:ascii="仿宋" w:hAnsi="仿宋" w:eastAsia="仿宋" w:cs="仿宋"/>
          <w:i w:val="0"/>
          <w:caps w:val="0"/>
          <w:color w:val="auto"/>
          <w:spacing w:val="0"/>
          <w:sz w:val="28"/>
          <w:szCs w:val="28"/>
          <w:u w:val="none"/>
        </w:rPr>
        <w:fldChar w:fldCharType="begin"/>
      </w:r>
      <w:r>
        <w:rPr>
          <w:rFonts w:hint="eastAsia" w:ascii="仿宋" w:hAnsi="仿宋" w:eastAsia="仿宋" w:cs="仿宋"/>
          <w:i w:val="0"/>
          <w:caps w:val="0"/>
          <w:color w:val="auto"/>
          <w:spacing w:val="0"/>
          <w:sz w:val="28"/>
          <w:szCs w:val="28"/>
          <w:u w:val="none"/>
        </w:rPr>
        <w:instrText xml:space="preserve"> HYPERLINK "https://baike.baidu.com/item/%E5%B9%BF%E5%B2%B3%E7%BA%BF" \t "https://baike.baidu.com/item/%E5%B9%BF%E6%B1%89/_blank" </w:instrText>
      </w:r>
      <w:r>
        <w:rPr>
          <w:rFonts w:hint="eastAsia" w:ascii="仿宋" w:hAnsi="仿宋" w:eastAsia="仿宋" w:cs="仿宋"/>
          <w:i w:val="0"/>
          <w:caps w:val="0"/>
          <w:color w:val="auto"/>
          <w:spacing w:val="0"/>
          <w:sz w:val="28"/>
          <w:szCs w:val="28"/>
          <w:u w:val="none"/>
        </w:rPr>
        <w:fldChar w:fldCharType="separate"/>
      </w:r>
      <w:r>
        <w:rPr>
          <w:rStyle w:val="13"/>
          <w:rFonts w:hint="eastAsia" w:ascii="仿宋" w:hAnsi="仿宋" w:eastAsia="仿宋" w:cs="仿宋"/>
          <w:i w:val="0"/>
          <w:caps w:val="0"/>
          <w:color w:val="auto"/>
          <w:spacing w:val="0"/>
          <w:sz w:val="28"/>
          <w:szCs w:val="28"/>
          <w:u w:val="none"/>
        </w:rPr>
        <w:t>广岳线</w:t>
      </w:r>
      <w:r>
        <w:rPr>
          <w:rFonts w:hint="eastAsia" w:ascii="仿宋" w:hAnsi="仿宋" w:eastAsia="仿宋" w:cs="仿宋"/>
          <w:i w:val="0"/>
          <w:caps w:val="0"/>
          <w:color w:val="auto"/>
          <w:spacing w:val="0"/>
          <w:sz w:val="28"/>
          <w:szCs w:val="28"/>
          <w:u w:val="none"/>
        </w:rPr>
        <w:fldChar w:fldCharType="end"/>
      </w:r>
      <w:r>
        <w:rPr>
          <w:rFonts w:hint="eastAsia" w:ascii="仿宋" w:hAnsi="仿宋" w:eastAsia="仿宋" w:cs="仿宋"/>
          <w:i w:val="0"/>
          <w:caps w:val="0"/>
          <w:color w:val="auto"/>
          <w:spacing w:val="0"/>
          <w:sz w:val="28"/>
          <w:szCs w:val="28"/>
          <w:u w:val="none"/>
          <w:shd w:val="clear" w:fill="FFFFFF"/>
        </w:rPr>
        <w:t>纵横全境</w:t>
      </w:r>
      <w:r>
        <w:rPr>
          <w:rFonts w:hint="eastAsia" w:ascii="仿宋" w:hAnsi="仿宋" w:eastAsia="仿宋" w:cs="仿宋"/>
          <w:i w:val="0"/>
          <w:caps w:val="0"/>
          <w:color w:val="auto"/>
          <w:spacing w:val="0"/>
          <w:sz w:val="28"/>
          <w:szCs w:val="28"/>
          <w:u w:val="none"/>
          <w:shd w:val="clear" w:fill="FFFFFF"/>
          <w:lang w:eastAsia="zh-CN"/>
        </w:rPr>
        <w:t>，</w:t>
      </w:r>
      <w:r>
        <w:rPr>
          <w:rFonts w:hint="eastAsia" w:ascii="仿宋" w:hAnsi="仿宋" w:eastAsia="仿宋" w:cs="仿宋"/>
          <w:i w:val="0"/>
          <w:caps w:val="0"/>
          <w:color w:val="auto"/>
          <w:spacing w:val="0"/>
          <w:sz w:val="28"/>
          <w:szCs w:val="28"/>
          <w:u w:val="none"/>
          <w:shd w:val="clear" w:fill="FFFFFF"/>
          <w:lang w:val="en-US" w:eastAsia="zh-CN"/>
        </w:rPr>
        <w:t>境内有</w:t>
      </w:r>
      <w:r>
        <w:rPr>
          <w:rFonts w:hint="eastAsia" w:ascii="仿宋" w:hAnsi="仿宋" w:eastAsia="仿宋" w:cs="仿宋"/>
          <w:i w:val="0"/>
          <w:caps w:val="0"/>
          <w:color w:val="auto"/>
          <w:spacing w:val="0"/>
          <w:sz w:val="28"/>
          <w:szCs w:val="28"/>
          <w:u w:val="none"/>
        </w:rPr>
        <w:fldChar w:fldCharType="begin"/>
      </w:r>
      <w:r>
        <w:rPr>
          <w:rFonts w:hint="eastAsia" w:ascii="仿宋" w:hAnsi="仿宋" w:eastAsia="仿宋" w:cs="仿宋"/>
          <w:i w:val="0"/>
          <w:caps w:val="0"/>
          <w:color w:val="auto"/>
          <w:spacing w:val="0"/>
          <w:sz w:val="28"/>
          <w:szCs w:val="28"/>
          <w:u w:val="none"/>
        </w:rPr>
        <w:instrText xml:space="preserve"> HYPERLINK "https://baike.baidu.com/item/%E5%B9%BF%E6%B1%89%E7%AB%99" \t "https://baike.baidu.com/item/%E5%B9%BF%E6%B1%89/_blank" </w:instrText>
      </w:r>
      <w:r>
        <w:rPr>
          <w:rFonts w:hint="eastAsia" w:ascii="仿宋" w:hAnsi="仿宋" w:eastAsia="仿宋" w:cs="仿宋"/>
          <w:i w:val="0"/>
          <w:caps w:val="0"/>
          <w:color w:val="auto"/>
          <w:spacing w:val="0"/>
          <w:sz w:val="28"/>
          <w:szCs w:val="28"/>
          <w:u w:val="none"/>
        </w:rPr>
        <w:fldChar w:fldCharType="separate"/>
      </w:r>
      <w:r>
        <w:rPr>
          <w:rStyle w:val="13"/>
          <w:rFonts w:hint="eastAsia" w:ascii="仿宋" w:hAnsi="仿宋" w:eastAsia="仿宋" w:cs="仿宋"/>
          <w:i w:val="0"/>
          <w:caps w:val="0"/>
          <w:color w:val="auto"/>
          <w:spacing w:val="0"/>
          <w:sz w:val="28"/>
          <w:szCs w:val="28"/>
          <w:u w:val="none"/>
        </w:rPr>
        <w:t>广汉站</w:t>
      </w:r>
      <w:r>
        <w:rPr>
          <w:rFonts w:hint="eastAsia" w:ascii="仿宋" w:hAnsi="仿宋" w:eastAsia="仿宋" w:cs="仿宋"/>
          <w:i w:val="0"/>
          <w:caps w:val="0"/>
          <w:color w:val="auto"/>
          <w:spacing w:val="0"/>
          <w:sz w:val="28"/>
          <w:szCs w:val="28"/>
          <w:u w:val="none"/>
        </w:rPr>
        <w:fldChar w:fldCharType="end"/>
      </w:r>
      <w:r>
        <w:rPr>
          <w:rFonts w:hint="eastAsia" w:ascii="仿宋" w:hAnsi="仿宋" w:eastAsia="仿宋" w:cs="仿宋"/>
          <w:i w:val="0"/>
          <w:caps w:val="0"/>
          <w:color w:val="auto"/>
          <w:spacing w:val="0"/>
          <w:sz w:val="28"/>
          <w:szCs w:val="28"/>
          <w:u w:val="none"/>
        </w:rPr>
        <w:t>、</w:t>
      </w:r>
      <w:r>
        <w:rPr>
          <w:rFonts w:hint="eastAsia" w:ascii="仿宋" w:hAnsi="仿宋" w:eastAsia="仿宋" w:cs="仿宋"/>
          <w:i w:val="0"/>
          <w:caps w:val="0"/>
          <w:color w:val="auto"/>
          <w:spacing w:val="0"/>
          <w:sz w:val="28"/>
          <w:szCs w:val="28"/>
          <w:u w:val="none"/>
        </w:rPr>
        <w:fldChar w:fldCharType="begin"/>
      </w:r>
      <w:r>
        <w:rPr>
          <w:rFonts w:hint="eastAsia" w:ascii="仿宋" w:hAnsi="仿宋" w:eastAsia="仿宋" w:cs="仿宋"/>
          <w:i w:val="0"/>
          <w:caps w:val="0"/>
          <w:color w:val="auto"/>
          <w:spacing w:val="0"/>
          <w:sz w:val="28"/>
          <w:szCs w:val="28"/>
          <w:u w:val="none"/>
        </w:rPr>
        <w:instrText xml:space="preserve"> HYPERLINK "https://baike.baidu.com/item/%E4%B8%89%E6%98%9F%E5%A0%86%E7%AB%99" \t "https://baike.baidu.com/item/%E5%B9%BF%E6%B1%89/_blank" </w:instrText>
      </w:r>
      <w:r>
        <w:rPr>
          <w:rFonts w:hint="eastAsia" w:ascii="仿宋" w:hAnsi="仿宋" w:eastAsia="仿宋" w:cs="仿宋"/>
          <w:i w:val="0"/>
          <w:caps w:val="0"/>
          <w:color w:val="auto"/>
          <w:spacing w:val="0"/>
          <w:sz w:val="28"/>
          <w:szCs w:val="28"/>
          <w:u w:val="none"/>
        </w:rPr>
        <w:fldChar w:fldCharType="separate"/>
      </w:r>
      <w:r>
        <w:rPr>
          <w:rStyle w:val="13"/>
          <w:rFonts w:hint="eastAsia" w:ascii="仿宋" w:hAnsi="仿宋" w:eastAsia="仿宋" w:cs="仿宋"/>
          <w:i w:val="0"/>
          <w:caps w:val="0"/>
          <w:color w:val="auto"/>
          <w:spacing w:val="0"/>
          <w:sz w:val="28"/>
          <w:szCs w:val="28"/>
          <w:u w:val="none"/>
        </w:rPr>
        <w:t>三星堆站</w:t>
      </w:r>
      <w:r>
        <w:rPr>
          <w:rFonts w:hint="eastAsia" w:ascii="仿宋" w:hAnsi="仿宋" w:eastAsia="仿宋" w:cs="仿宋"/>
          <w:i w:val="0"/>
          <w:caps w:val="0"/>
          <w:color w:val="auto"/>
          <w:spacing w:val="0"/>
          <w:sz w:val="28"/>
          <w:szCs w:val="28"/>
          <w:u w:val="none"/>
        </w:rPr>
        <w:fldChar w:fldCharType="end"/>
      </w:r>
      <w:r>
        <w:rPr>
          <w:rFonts w:hint="eastAsia" w:ascii="仿宋" w:hAnsi="仿宋" w:eastAsia="仿宋" w:cs="仿宋"/>
          <w:i w:val="0"/>
          <w:caps w:val="0"/>
          <w:color w:val="auto"/>
          <w:spacing w:val="0"/>
          <w:sz w:val="28"/>
          <w:szCs w:val="28"/>
          <w:u w:val="none"/>
        </w:rPr>
        <w:t>、</w:t>
      </w:r>
      <w:r>
        <w:rPr>
          <w:rFonts w:hint="eastAsia" w:ascii="仿宋" w:hAnsi="仿宋" w:eastAsia="仿宋" w:cs="仿宋"/>
          <w:i w:val="0"/>
          <w:caps w:val="0"/>
          <w:color w:val="auto"/>
          <w:spacing w:val="0"/>
          <w:sz w:val="28"/>
          <w:szCs w:val="28"/>
          <w:u w:val="none"/>
        </w:rPr>
        <w:fldChar w:fldCharType="begin"/>
      </w:r>
      <w:r>
        <w:rPr>
          <w:rFonts w:hint="eastAsia" w:ascii="仿宋" w:hAnsi="仿宋" w:eastAsia="仿宋" w:cs="仿宋"/>
          <w:i w:val="0"/>
          <w:caps w:val="0"/>
          <w:color w:val="auto"/>
          <w:spacing w:val="0"/>
          <w:sz w:val="28"/>
          <w:szCs w:val="28"/>
          <w:u w:val="none"/>
        </w:rPr>
        <w:instrText xml:space="preserve"> HYPERLINK "https://baike.baidu.com/item/%E5%B9%BF%E6%B1%89%E5%8C%97%E7%AB%99" \t "https://baike.baidu.com/item/%E5%B9%BF%E6%B1%89/_blank" </w:instrText>
      </w:r>
      <w:r>
        <w:rPr>
          <w:rFonts w:hint="eastAsia" w:ascii="仿宋" w:hAnsi="仿宋" w:eastAsia="仿宋" w:cs="仿宋"/>
          <w:i w:val="0"/>
          <w:caps w:val="0"/>
          <w:color w:val="auto"/>
          <w:spacing w:val="0"/>
          <w:sz w:val="28"/>
          <w:szCs w:val="28"/>
          <w:u w:val="none"/>
        </w:rPr>
        <w:fldChar w:fldCharType="separate"/>
      </w:r>
      <w:r>
        <w:rPr>
          <w:rStyle w:val="13"/>
          <w:rFonts w:hint="eastAsia" w:ascii="仿宋" w:hAnsi="仿宋" w:eastAsia="仿宋" w:cs="仿宋"/>
          <w:i w:val="0"/>
          <w:caps w:val="0"/>
          <w:color w:val="auto"/>
          <w:spacing w:val="0"/>
          <w:sz w:val="28"/>
          <w:szCs w:val="28"/>
          <w:u w:val="none"/>
        </w:rPr>
        <w:t>广汉北站</w:t>
      </w:r>
      <w:r>
        <w:rPr>
          <w:rFonts w:hint="eastAsia" w:ascii="仿宋" w:hAnsi="仿宋" w:eastAsia="仿宋" w:cs="仿宋"/>
          <w:i w:val="0"/>
          <w:caps w:val="0"/>
          <w:color w:val="auto"/>
          <w:spacing w:val="0"/>
          <w:sz w:val="28"/>
          <w:szCs w:val="28"/>
          <w:u w:val="none"/>
        </w:rPr>
        <w:fldChar w:fldCharType="end"/>
      </w:r>
      <w:r>
        <w:rPr>
          <w:rFonts w:hint="eastAsia" w:ascii="仿宋" w:hAnsi="仿宋" w:eastAsia="仿宋" w:cs="仿宋"/>
          <w:i w:val="0"/>
          <w:caps w:val="0"/>
          <w:color w:val="auto"/>
          <w:spacing w:val="0"/>
          <w:sz w:val="28"/>
          <w:szCs w:val="28"/>
          <w:u w:val="none"/>
          <w:lang w:eastAsia="zh-CN"/>
        </w:rPr>
        <w:t>。</w:t>
      </w:r>
      <w:r>
        <w:rPr>
          <w:rFonts w:hint="eastAsia" w:ascii="仿宋" w:hAnsi="仿宋" w:eastAsia="仿宋" w:cs="仿宋"/>
          <w:i w:val="0"/>
          <w:caps w:val="0"/>
          <w:color w:val="auto"/>
          <w:spacing w:val="0"/>
          <w:sz w:val="28"/>
          <w:szCs w:val="28"/>
          <w:u w:val="none"/>
          <w:shd w:val="clear" w:fill="FFFFFF"/>
        </w:rPr>
        <w:t>境内每百平方公里拥有等级公路78公里</w:t>
      </w:r>
      <w:r>
        <w:rPr>
          <w:rFonts w:hint="eastAsia" w:ascii="仿宋" w:hAnsi="仿宋" w:eastAsia="仿宋" w:cs="仿宋"/>
          <w:i w:val="0"/>
          <w:caps w:val="0"/>
          <w:color w:val="auto"/>
          <w:spacing w:val="0"/>
          <w:sz w:val="28"/>
          <w:szCs w:val="28"/>
          <w:u w:val="none"/>
          <w:shd w:val="clear" w:fill="FFFFFF"/>
          <w:lang w:eastAsia="zh-CN"/>
        </w:rPr>
        <w:t>。</w:t>
      </w:r>
      <w:r>
        <w:rPr>
          <w:rFonts w:hint="eastAsia" w:ascii="仿宋" w:hAnsi="仿宋" w:eastAsia="仿宋" w:cs="仿宋"/>
          <w:i w:val="0"/>
          <w:caps w:val="0"/>
          <w:color w:val="auto"/>
          <w:spacing w:val="0"/>
          <w:sz w:val="28"/>
          <w:szCs w:val="28"/>
          <w:u w:val="none"/>
          <w:shd w:val="clear" w:fill="FFFFFF"/>
          <w:lang w:val="en-US" w:eastAsia="zh-CN"/>
        </w:rPr>
        <w:t>广汉机场位于广汉市中国民航飞行学院西区，距离广汉市城区6公里，对外交通便捷度较好。城区内有多路公交车线路及出租车，公共交通便捷度较好。</w:t>
      </w:r>
    </w:p>
    <w:p>
      <w:pPr>
        <w:keepNext w:val="0"/>
        <w:keepLines w:val="0"/>
        <w:pageBreakBefore w:val="0"/>
        <w:widowControl w:val="0"/>
        <w:kinsoku/>
        <w:wordWrap/>
        <w:overflowPunct/>
        <w:topLinePunct w:val="0"/>
        <w:autoSpaceDE/>
        <w:autoSpaceDN/>
        <w:bidi w:val="0"/>
        <w:snapToGrid w:val="0"/>
        <w:spacing w:line="560" w:lineRule="exact"/>
        <w:ind w:right="0" w:rightChars="0" w:firstLine="573"/>
        <w:jc w:val="both"/>
        <w:textAlignment w:val="auto"/>
        <w:outlineLvl w:val="9"/>
        <w:rPr>
          <w:rFonts w:hint="eastAsia" w:ascii="仿宋" w:hAnsi="仿宋" w:eastAsia="仿宋" w:cs="仿宋"/>
          <w:bCs/>
          <w:snapToGrid w:val="0"/>
          <w:kern w:val="0"/>
          <w:sz w:val="28"/>
          <w:szCs w:val="28"/>
        </w:rPr>
      </w:pPr>
      <w:r>
        <w:rPr>
          <w:rFonts w:hint="eastAsia" w:ascii="仿宋" w:hAnsi="仿宋" w:eastAsia="仿宋" w:cs="仿宋"/>
          <w:bCs/>
          <w:snapToGrid w:val="0"/>
          <w:kern w:val="0"/>
          <w:sz w:val="28"/>
          <w:szCs w:val="28"/>
        </w:rPr>
        <w:t>（3）环境：估价对象所在区域内无固定污染源，无明显粉尘和噪音污染，周边环境较好，绿化及空气质量较好，区域治安状况较好，区域整体环境质量较好。</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bCs/>
          <w:snapToGrid w:val="0"/>
          <w:kern w:val="0"/>
          <w:sz w:val="28"/>
          <w:szCs w:val="28"/>
          <w:lang w:eastAsia="zh-CN"/>
        </w:rPr>
        <w:t>　　</w:t>
      </w:r>
      <w:r>
        <w:rPr>
          <w:rFonts w:hint="eastAsia" w:ascii="仿宋" w:hAnsi="仿宋" w:eastAsia="仿宋" w:cs="仿宋"/>
          <w:bCs/>
          <w:snapToGrid w:val="0"/>
          <w:kern w:val="0"/>
          <w:sz w:val="28"/>
          <w:szCs w:val="28"/>
        </w:rPr>
        <w:t>（4）配套设施：估价对象所在区域内路网密集，供水、供电、供气、排水、通讯、光纤电视等基础设施管网齐全，市政基础设施完善。</w:t>
      </w:r>
      <w:bookmarkStart w:id="113" w:name="_Toc181378702"/>
      <w:bookmarkStart w:id="114" w:name="_Toc40186500"/>
      <w:bookmarkStart w:id="115" w:name="_Toc192836226"/>
      <w:bookmarkStart w:id="116" w:name="_Toc181991940"/>
      <w:bookmarkStart w:id="117" w:name="_Toc192836334"/>
      <w:bookmarkStart w:id="118" w:name="_Toc165264290"/>
      <w:bookmarkStart w:id="119" w:name="_Toc181991513"/>
      <w:bookmarkStart w:id="120" w:name="_Toc181992712"/>
      <w:bookmarkStart w:id="121" w:name="_Toc102185283"/>
      <w:r>
        <w:rPr>
          <w:rFonts w:hint="eastAsia" w:ascii="仿宋" w:hAnsi="仿宋" w:eastAsia="仿宋" w:cs="仿宋"/>
          <w:bCs/>
          <w:snapToGrid w:val="0"/>
          <w:kern w:val="0"/>
          <w:sz w:val="28"/>
          <w:szCs w:val="28"/>
          <w:lang w:val="en-US" w:eastAsia="zh-CN"/>
        </w:rPr>
        <w:t>区域内有宏大艺术学校、光华双语学校、广汉中学、四川省粮食学校等教育结构；有广汉市中医医院、广汉刘汉书医院、广汉橙铭医院等大型医疗机构；有广汉市百货大楼、梅西百货、华地财富广场、房湖公园、马牧河公园等休闲购物中心；有20世纪人类最伟大的考古发现之一三星堆遗址，有3000多年历史的高坪铺古镇，历史人文条件较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1"/>
        <w:rPr>
          <w:rFonts w:hint="eastAsia" w:ascii="仿宋" w:hAnsi="仿宋" w:eastAsia="仿宋" w:cs="仿宋"/>
          <w:sz w:val="28"/>
          <w:szCs w:val="28"/>
        </w:rPr>
      </w:pPr>
      <w:bookmarkStart w:id="122" w:name="_Toc26063"/>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w:t>
      </w:r>
      <w:r>
        <w:rPr>
          <w:rFonts w:hint="eastAsia" w:ascii="仿宋" w:hAnsi="仿宋" w:eastAsia="仿宋" w:cs="仿宋"/>
          <w:b/>
          <w:bCs/>
          <w:sz w:val="28"/>
          <w:szCs w:val="28"/>
          <w:lang w:eastAsia="zh-CN"/>
        </w:rPr>
        <w:t>价值时点</w:t>
      </w:r>
      <w:r>
        <w:rPr>
          <w:rFonts w:hint="eastAsia" w:ascii="仿宋" w:hAnsi="仿宋" w:eastAsia="仿宋" w:cs="仿宋"/>
          <w:sz w:val="28"/>
          <w:szCs w:val="28"/>
        </w:rPr>
        <w:t>：</w:t>
      </w:r>
      <w:r>
        <w:rPr>
          <w:rFonts w:hint="eastAsia" w:ascii="仿宋" w:hAnsi="仿宋" w:eastAsia="仿宋" w:cs="仿宋"/>
          <w:sz w:val="28"/>
          <w:szCs w:val="28"/>
          <w:lang w:eastAsia="zh-CN"/>
        </w:rPr>
        <w:t>2020年04月22日</w:t>
      </w:r>
      <w:r>
        <w:rPr>
          <w:rFonts w:hint="eastAsia" w:ascii="仿宋" w:hAnsi="仿宋" w:eastAsia="仿宋" w:cs="仿宋"/>
          <w:sz w:val="28"/>
          <w:szCs w:val="28"/>
        </w:rPr>
        <w:t>。</w:t>
      </w:r>
      <w:bookmarkEnd w:id="122"/>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1"/>
        <w:rPr>
          <w:rFonts w:hint="eastAsia" w:ascii="仿宋" w:hAnsi="仿宋" w:eastAsia="仿宋" w:cs="仿宋"/>
          <w:sz w:val="28"/>
          <w:szCs w:val="28"/>
        </w:rPr>
      </w:pPr>
      <w:r>
        <w:rPr>
          <w:rFonts w:hint="eastAsia" w:ascii="仿宋" w:hAnsi="仿宋" w:eastAsia="仿宋" w:cs="仿宋"/>
          <w:b/>
          <w:bCs/>
          <w:sz w:val="28"/>
          <w:szCs w:val="28"/>
          <w:lang w:eastAsia="zh-CN"/>
        </w:rPr>
        <w:t>　　</w:t>
      </w:r>
      <w:bookmarkStart w:id="123" w:name="_Toc1540"/>
      <w:r>
        <w:rPr>
          <w:rFonts w:hint="eastAsia" w:ascii="仿宋" w:hAnsi="仿宋" w:eastAsia="仿宋" w:cs="仿宋"/>
          <w:b/>
          <w:bCs/>
          <w:sz w:val="28"/>
          <w:szCs w:val="28"/>
          <w:lang w:eastAsia="zh-CN"/>
        </w:rPr>
        <w:t>（六）</w:t>
      </w:r>
      <w:r>
        <w:rPr>
          <w:rFonts w:hint="eastAsia" w:ascii="仿宋" w:hAnsi="仿宋" w:eastAsia="仿宋" w:cs="仿宋"/>
          <w:b/>
          <w:bCs/>
          <w:sz w:val="28"/>
          <w:szCs w:val="28"/>
        </w:rPr>
        <w:t>、价值</w:t>
      </w:r>
      <w:r>
        <w:rPr>
          <w:rFonts w:hint="eastAsia" w:ascii="仿宋" w:hAnsi="仿宋" w:eastAsia="仿宋" w:cs="仿宋"/>
          <w:b/>
          <w:bCs/>
          <w:sz w:val="28"/>
          <w:szCs w:val="28"/>
          <w:lang w:eastAsia="zh-CN"/>
        </w:rPr>
        <w:t>类型</w:t>
      </w:r>
      <w:r>
        <w:rPr>
          <w:rFonts w:hint="eastAsia" w:ascii="仿宋" w:hAnsi="仿宋" w:eastAsia="仿宋" w:cs="仿宋"/>
          <w:sz w:val="28"/>
          <w:szCs w:val="28"/>
        </w:rPr>
        <w:t>：</w:t>
      </w:r>
      <w:bookmarkEnd w:id="123"/>
    </w:p>
    <w:p>
      <w:pPr>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560" w:firstLineChars="200"/>
        <w:jc w:val="both"/>
        <w:textAlignment w:val="auto"/>
        <w:rPr>
          <w:rFonts w:hint="eastAsia" w:ascii="仿宋" w:hAnsi="仿宋" w:eastAsia="仿宋" w:cs="仿宋"/>
          <w:sz w:val="28"/>
          <w:szCs w:val="28"/>
        </w:rPr>
      </w:pPr>
      <w:bookmarkStart w:id="124" w:name="_Toc494703324"/>
      <w:r>
        <w:rPr>
          <w:rFonts w:hint="eastAsia" w:ascii="仿宋" w:hAnsi="仿宋" w:eastAsia="仿宋" w:cs="仿宋"/>
          <w:sz w:val="28"/>
          <w:szCs w:val="28"/>
        </w:rPr>
        <w:t>本次评估房屋价值</w:t>
      </w:r>
      <w:r>
        <w:rPr>
          <w:rFonts w:hint="eastAsia" w:ascii="仿宋" w:hAnsi="仿宋" w:eastAsia="仿宋" w:cs="仿宋"/>
          <w:sz w:val="28"/>
          <w:szCs w:val="28"/>
          <w:lang w:val="en-US" w:eastAsia="zh-CN"/>
        </w:rPr>
        <w:t>及土地使用权价值</w:t>
      </w:r>
      <w:r>
        <w:rPr>
          <w:rFonts w:hint="eastAsia" w:ascii="仿宋" w:hAnsi="仿宋" w:eastAsia="仿宋" w:cs="仿宋"/>
          <w:sz w:val="28"/>
          <w:szCs w:val="28"/>
        </w:rPr>
        <w:t>是指对估价对象在现状用途、状态不变，在</w:t>
      </w:r>
      <w:r>
        <w:rPr>
          <w:rFonts w:hint="eastAsia" w:ascii="仿宋" w:hAnsi="仿宋" w:eastAsia="仿宋" w:cs="仿宋"/>
          <w:sz w:val="28"/>
          <w:szCs w:val="28"/>
          <w:lang w:eastAsia="zh-CN"/>
        </w:rPr>
        <w:t>2020年04月22日</w:t>
      </w:r>
      <w:r>
        <w:rPr>
          <w:rFonts w:hint="eastAsia" w:ascii="仿宋" w:hAnsi="仿宋" w:eastAsia="仿宋" w:cs="仿宋"/>
          <w:sz w:val="28"/>
          <w:szCs w:val="28"/>
          <w:lang w:val="en-US" w:eastAsia="zh-CN"/>
        </w:rPr>
        <w:t>房屋及土地使用权</w:t>
      </w:r>
      <w:r>
        <w:rPr>
          <w:rFonts w:hint="eastAsia" w:ascii="仿宋" w:hAnsi="仿宋" w:eastAsia="仿宋" w:cs="仿宋"/>
          <w:sz w:val="28"/>
          <w:szCs w:val="28"/>
        </w:rPr>
        <w:t>正常交易情况下市场价值，即由熟悉情况的交易双方以公平交易方式在评估时点自愿进行交易的金额。</w:t>
      </w:r>
      <w:bookmarkEnd w:id="124"/>
      <w:bookmarkStart w:id="125" w:name="_Toc181991510"/>
      <w:bookmarkStart w:id="126" w:name="_Toc192836331"/>
      <w:bookmarkStart w:id="127" w:name="_Toc192836223"/>
      <w:bookmarkStart w:id="128" w:name="_Toc181992709"/>
      <w:bookmarkStart w:id="129" w:name="_Toc181378699"/>
      <w:bookmarkStart w:id="130" w:name="_Toc102185280"/>
      <w:bookmarkStart w:id="131" w:name="_Toc40186497"/>
      <w:bookmarkStart w:id="132" w:name="_Toc181991937"/>
      <w:bookmarkStart w:id="133" w:name="_Toc165264287"/>
    </w:p>
    <w:p>
      <w:pPr>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本报告确定的价格为交易双方按相关法规的规定负担各自应负担税费下的价格。本报告估价结果未考虑未来市场变化风险、短期强制处分等因素对其价格的影响。根据估价目的需要，本次估价考虑了满足估价对象使用功能且无法从建筑物主体剥离的附属设施对估价结论的影响，但不包含估价对象室内动产。</w:t>
      </w:r>
      <w:r>
        <w:rPr>
          <w:rFonts w:hint="eastAsia" w:ascii="仿宋" w:hAnsi="仿宋" w:eastAsia="仿宋" w:cs="仿宋"/>
          <w:sz w:val="28"/>
          <w:szCs w:val="28"/>
          <w:lang w:val="en-US" w:eastAsia="zh-CN"/>
        </w:rPr>
        <w:t xml:space="preserve">                                                                                                                                                                                                                                                                                                                                                                                                                                                                                                                                                                                                                                                                                                                                                                                                                                                                                                                                                                                                                                                                                                                                                                                                                                                                                                                                                                                                                                                                                                                                                                                                                                                                                                                                                                                                                                                                                                                                                                                                                                                                                                                                                                                                                                                                                                                                                                                                                                                                                                                                                                                                                                                                                                                        </w:t>
      </w:r>
    </w:p>
    <w:p>
      <w:pPr>
        <w:pageBreakBefore w:val="0"/>
        <w:widowControl w:val="0"/>
        <w:kinsoku/>
        <w:wordWrap/>
        <w:overflowPunct/>
        <w:topLinePunct w:val="0"/>
        <w:autoSpaceDE/>
        <w:autoSpaceDN/>
        <w:bidi w:val="0"/>
        <w:adjustRightInd/>
        <w:snapToGrid/>
        <w:spacing w:line="560" w:lineRule="exact"/>
        <w:ind w:right="0" w:rightChars="0" w:firstLine="562" w:firstLineChars="200"/>
        <w:textAlignment w:val="auto"/>
        <w:outlineLvl w:val="1"/>
        <w:rPr>
          <w:rFonts w:hint="eastAsia" w:ascii="仿宋" w:hAnsi="仿宋" w:eastAsia="仿宋" w:cs="仿宋"/>
          <w:b/>
          <w:bCs/>
          <w:sz w:val="28"/>
          <w:szCs w:val="28"/>
        </w:rPr>
      </w:pPr>
      <w:bookmarkStart w:id="134" w:name="_Toc12095"/>
      <w:bookmarkStart w:id="135" w:name="_Toc12340"/>
      <w:bookmarkStart w:id="136" w:name="_Toc6447"/>
      <w:r>
        <w:rPr>
          <w:rFonts w:hint="eastAsia" w:ascii="仿宋" w:hAnsi="仿宋" w:eastAsia="仿宋" w:cs="仿宋"/>
          <w:b/>
          <w:bCs/>
          <w:sz w:val="28"/>
          <w:szCs w:val="28"/>
          <w:lang w:eastAsia="zh-CN"/>
        </w:rPr>
        <w:t>（七）、</w:t>
      </w:r>
      <w:r>
        <w:rPr>
          <w:rFonts w:hint="eastAsia" w:ascii="仿宋" w:hAnsi="仿宋" w:eastAsia="仿宋" w:cs="仿宋"/>
          <w:b/>
          <w:bCs/>
          <w:sz w:val="28"/>
          <w:szCs w:val="28"/>
        </w:rPr>
        <w:t>估价原则</w:t>
      </w:r>
      <w:bookmarkEnd w:id="125"/>
      <w:bookmarkEnd w:id="126"/>
      <w:bookmarkEnd w:id="127"/>
      <w:bookmarkEnd w:id="128"/>
      <w:bookmarkEnd w:id="129"/>
      <w:bookmarkEnd w:id="130"/>
      <w:bookmarkEnd w:id="131"/>
      <w:bookmarkEnd w:id="132"/>
      <w:bookmarkEnd w:id="133"/>
      <w:bookmarkEnd w:id="134"/>
      <w:bookmarkEnd w:id="135"/>
      <w:bookmarkEnd w:id="136"/>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我们按照《房地产估价规范》</w:t>
      </w:r>
      <w:r>
        <w:rPr>
          <w:rFonts w:hint="eastAsia" w:ascii="仿宋" w:hAnsi="仿宋" w:eastAsia="仿宋" w:cs="仿宋"/>
          <w:sz w:val="28"/>
          <w:szCs w:val="28"/>
          <w:lang w:eastAsia="zh-CN"/>
        </w:rPr>
        <w:t>GB/T50291-2015</w:t>
      </w:r>
      <w:r>
        <w:rPr>
          <w:rFonts w:hint="eastAsia" w:ascii="仿宋" w:hAnsi="仿宋" w:eastAsia="仿宋" w:cs="仿宋"/>
          <w:sz w:val="28"/>
          <w:szCs w:val="28"/>
        </w:rPr>
        <w:t>的规定，</w:t>
      </w:r>
      <w:r>
        <w:rPr>
          <w:rFonts w:hint="eastAsia" w:ascii="仿宋" w:hAnsi="仿宋" w:eastAsia="仿宋" w:cs="仿宋"/>
          <w:sz w:val="28"/>
          <w:szCs w:val="28"/>
          <w:lang w:val="en-US" w:eastAsia="zh-CN"/>
        </w:rPr>
        <w:t>本次估价</w:t>
      </w:r>
      <w:r>
        <w:rPr>
          <w:rFonts w:hint="eastAsia" w:ascii="仿宋" w:hAnsi="仿宋" w:eastAsia="仿宋" w:cs="仿宋"/>
          <w:sz w:val="28"/>
          <w:szCs w:val="28"/>
        </w:rPr>
        <w:t>遵循独立、客观、</w:t>
      </w:r>
      <w:r>
        <w:rPr>
          <w:rFonts w:hint="eastAsia" w:ascii="仿宋" w:hAnsi="仿宋" w:eastAsia="仿宋" w:cs="仿宋"/>
          <w:sz w:val="28"/>
          <w:szCs w:val="28"/>
          <w:lang w:eastAsia="zh-CN"/>
        </w:rPr>
        <w:t>公正</w:t>
      </w:r>
      <w:r>
        <w:rPr>
          <w:rFonts w:hint="eastAsia" w:ascii="仿宋" w:hAnsi="仿宋" w:eastAsia="仿宋" w:cs="仿宋"/>
          <w:sz w:val="28"/>
          <w:szCs w:val="28"/>
        </w:rPr>
        <w:t>的</w:t>
      </w:r>
      <w:r>
        <w:rPr>
          <w:rFonts w:hint="eastAsia" w:ascii="仿宋" w:hAnsi="仿宋" w:eastAsia="仿宋" w:cs="仿宋"/>
          <w:sz w:val="28"/>
          <w:szCs w:val="28"/>
          <w:lang w:val="en-US" w:eastAsia="zh-CN"/>
        </w:rPr>
        <w:t>执业原则，公平、公正、公开地开展评估工作，本次估价遵循的房地产估价原则有：独立、客观、公正原则，合法原则，最佳最佳使用原则，替代原则，价值时点原则。</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独立、客观、公正原则：要求房地产估价师站在中立的立场上，评估出对各方当事人均是公平合理的价值。具体地说，独立是要求估价机构和估价师在估价中不应受包括估价委托人在内的任何单位和个人的干扰，应当凭借自己的专业知识、经验和应有的职业道德进行估价。客观是要求房地产估价师在估价中不应带有自己的好恶、情感、偏见，应当按照事物的本来面目、实事求是的进行评估。</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合法原则：估价对象在本次估价时其应当符合国家的法律、法规和有权机关的有关规定，用途、交易及处分方式，必须以房地产合法使用为前提；本次评估以委托方提供的相关权属资料载明事项体现合法原则。</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价值</w:t>
      </w:r>
      <w:r>
        <w:rPr>
          <w:rFonts w:hint="eastAsia" w:ascii="仿宋" w:hAnsi="仿宋" w:eastAsia="仿宋" w:cs="仿宋"/>
          <w:sz w:val="28"/>
          <w:szCs w:val="28"/>
        </w:rPr>
        <w:t>时点原则：由于房地产市场是不断变化的，在不同的</w:t>
      </w:r>
      <w:r>
        <w:rPr>
          <w:rFonts w:hint="eastAsia" w:ascii="仿宋" w:hAnsi="仿宋" w:eastAsia="仿宋" w:cs="仿宋"/>
          <w:sz w:val="28"/>
          <w:szCs w:val="28"/>
          <w:lang w:eastAsia="zh-CN"/>
        </w:rPr>
        <w:t>价值</w:t>
      </w:r>
      <w:r>
        <w:rPr>
          <w:rFonts w:hint="eastAsia" w:ascii="仿宋" w:hAnsi="仿宋" w:eastAsia="仿宋" w:cs="仿宋"/>
          <w:sz w:val="28"/>
          <w:szCs w:val="28"/>
        </w:rPr>
        <w:t>时点，同一宗房地产往往具有不同的价格水平，本估价报告对估价对象的房地产市场情况及自身情况的界定，我们的估价结果是估价对象在</w:t>
      </w:r>
      <w:r>
        <w:rPr>
          <w:rFonts w:hint="eastAsia" w:ascii="仿宋" w:hAnsi="仿宋" w:eastAsia="仿宋" w:cs="仿宋"/>
          <w:sz w:val="28"/>
          <w:szCs w:val="28"/>
          <w:lang w:eastAsia="zh-CN"/>
        </w:rPr>
        <w:t>价值时点</w:t>
      </w:r>
      <w:r>
        <w:rPr>
          <w:rFonts w:hint="eastAsia" w:ascii="仿宋" w:hAnsi="仿宋" w:eastAsia="仿宋" w:cs="仿宋"/>
          <w:sz w:val="28"/>
          <w:szCs w:val="28"/>
        </w:rPr>
        <w:t>的客观合理价格或价值。</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替代原则：房地产价格遵循替代规律，有相同的使用价格或相同效用、有替代可能的房地产会相互影响和竞争，使其价格相互牵制而趋于一致。</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最高最佳使用原则：能给估价对象带来最高收益的使用，这种使用是法律上允许、技术上可能、财务上可行，本次估价中以其按</w:t>
      </w:r>
      <w:r>
        <w:rPr>
          <w:rFonts w:hint="eastAsia" w:ascii="仿宋" w:hAnsi="仿宋" w:eastAsia="仿宋" w:cs="仿宋"/>
          <w:sz w:val="28"/>
          <w:szCs w:val="28"/>
          <w:lang w:eastAsia="zh-CN"/>
        </w:rPr>
        <w:t>合法持续</w:t>
      </w:r>
      <w:r>
        <w:rPr>
          <w:rFonts w:hint="eastAsia" w:ascii="仿宋" w:hAnsi="仿宋" w:eastAsia="仿宋" w:cs="仿宋"/>
          <w:sz w:val="28"/>
          <w:szCs w:val="28"/>
        </w:rPr>
        <w:t>使用为最高最佳使用。</w:t>
      </w:r>
    </w:p>
    <w:p>
      <w:pPr>
        <w:pageBreakBefore w:val="0"/>
        <w:widowControl w:val="0"/>
        <w:kinsoku/>
        <w:wordWrap/>
        <w:overflowPunct/>
        <w:topLinePunct w:val="0"/>
        <w:autoSpaceDE/>
        <w:autoSpaceDN/>
        <w:bidi w:val="0"/>
        <w:adjustRightInd/>
        <w:snapToGrid/>
        <w:spacing w:line="560" w:lineRule="exact"/>
        <w:ind w:right="0" w:rightChars="0" w:firstLine="562" w:firstLineChars="200"/>
        <w:textAlignment w:val="auto"/>
        <w:rPr>
          <w:rFonts w:hint="eastAsia" w:ascii="仿宋" w:hAnsi="仿宋" w:eastAsia="仿宋" w:cs="仿宋"/>
          <w:b/>
          <w:bCs/>
          <w:sz w:val="28"/>
          <w:szCs w:val="28"/>
        </w:rPr>
      </w:pPr>
      <w:bookmarkStart w:id="137" w:name="_Toc2444"/>
      <w:bookmarkStart w:id="138" w:name="_Toc1642"/>
      <w:bookmarkStart w:id="139" w:name="_Toc9342"/>
      <w:bookmarkStart w:id="140" w:name="_Toc25807"/>
      <w:bookmarkStart w:id="141" w:name="_Toc6528"/>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估价依据</w:t>
      </w:r>
      <w:bookmarkEnd w:id="137"/>
      <w:bookmarkEnd w:id="138"/>
      <w:bookmarkEnd w:id="139"/>
      <w:bookmarkEnd w:id="140"/>
      <w:bookmarkEnd w:id="141"/>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本次估价的主要依据有：</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1、法律法规依据</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中华人民共和国物权法</w:t>
      </w:r>
      <w:r>
        <w:rPr>
          <w:rFonts w:hint="eastAsia" w:ascii="仿宋" w:hAnsi="仿宋" w:eastAsia="仿宋" w:cs="仿宋"/>
          <w:sz w:val="28"/>
          <w:szCs w:val="28"/>
          <w:lang w:eastAsia="zh-CN"/>
        </w:rPr>
        <w:t>》；</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《中华人民共和国城市房地产管理法》；</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）《中华人民共和国土地管理法》；</w:t>
      </w:r>
      <w:bookmarkStart w:id="142" w:name="_Toc160050463"/>
      <w:bookmarkStart w:id="143" w:name="_Toc162681924"/>
      <w:bookmarkStart w:id="144" w:name="_Toc151099471"/>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w:t>
      </w:r>
      <w:bookmarkEnd w:id="142"/>
      <w:bookmarkEnd w:id="143"/>
      <w:bookmarkEnd w:id="144"/>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中华人民共和国担保法</w:t>
      </w:r>
      <w:r>
        <w:rPr>
          <w:rFonts w:hint="eastAsia" w:ascii="仿宋" w:hAnsi="仿宋" w:eastAsia="仿宋" w:cs="仿宋"/>
          <w:sz w:val="28"/>
          <w:szCs w:val="28"/>
          <w:lang w:eastAsia="zh-CN"/>
        </w:rPr>
        <w:t>》；</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中华人民共和国资产评估法</w:t>
      </w:r>
      <w:r>
        <w:rPr>
          <w:rFonts w:hint="eastAsia" w:ascii="仿宋" w:hAnsi="仿宋" w:eastAsia="仿宋" w:cs="仿宋"/>
          <w:sz w:val="28"/>
          <w:szCs w:val="28"/>
          <w:lang w:eastAsia="zh-CN"/>
        </w:rPr>
        <w:t>》；</w:t>
      </w:r>
    </w:p>
    <w:p>
      <w:pPr>
        <w:pageBreakBefore w:val="0"/>
        <w:widowControl w:val="0"/>
        <w:kinsoku/>
        <w:wordWrap/>
        <w:overflowPunct/>
        <w:topLinePunct w:val="0"/>
        <w:autoSpaceDE/>
        <w:autoSpaceDN/>
        <w:bidi w:val="0"/>
        <w:adjustRightInd/>
        <w:snapToGrid/>
        <w:spacing w:line="560" w:lineRule="exact"/>
        <w:ind w:left="559" w:leftChars="266" w:right="0" w:rightChars="0" w:firstLine="0" w:firstLineChars="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《中华人民共和国城镇国有土地使用权出让和转让暂行条例》；（7）</w:t>
      </w:r>
      <w:r>
        <w:rPr>
          <w:rFonts w:hint="eastAsia" w:ascii="仿宋" w:hAnsi="仿宋" w:eastAsia="仿宋" w:cs="仿宋"/>
          <w:sz w:val="28"/>
          <w:szCs w:val="28"/>
        </w:rPr>
        <w:t>国家及地方有关房地产估价及房地产其它法律法规资料</w:t>
      </w:r>
      <w:r>
        <w:rPr>
          <w:rFonts w:hint="eastAsia" w:ascii="仿宋" w:hAnsi="仿宋" w:eastAsia="仿宋" w:cs="仿宋"/>
          <w:sz w:val="28"/>
          <w:szCs w:val="28"/>
          <w:lang w:eastAsia="zh-CN"/>
        </w:rPr>
        <w:t>；</w:t>
      </w:r>
    </w:p>
    <w:p>
      <w:pPr>
        <w:pageBreakBefore w:val="0"/>
        <w:widowControl w:val="0"/>
        <w:kinsoku/>
        <w:wordWrap/>
        <w:overflowPunct/>
        <w:topLinePunct w:val="0"/>
        <w:autoSpaceDE/>
        <w:autoSpaceDN/>
        <w:bidi w:val="0"/>
        <w:adjustRightInd/>
        <w:snapToGrid/>
        <w:spacing w:line="560" w:lineRule="exact"/>
        <w:ind w:left="559" w:leftChars="266" w:right="0" w:rightChars="0" w:firstLine="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2、房地产估价相关技术规程</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（1）中华人民共和国国家标准GB/T50291-2015《房地产产估价规范》；</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（2）中华人民共和国国家标准GB/T50899-2013《房地产估价基本术语标准》；</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（3）关于印发《房地产司法鉴定评估指导意见》（试行）的通知（川建房发[2011]89号）</w:t>
      </w:r>
    </w:p>
    <w:p>
      <w:pPr>
        <w:keepNext w:val="0"/>
        <w:keepLines w:val="0"/>
        <w:pageBreakBefore w:val="0"/>
        <w:kinsoku/>
        <w:overflowPunct/>
        <w:topLinePunct w:val="0"/>
        <w:autoSpaceDE/>
        <w:autoSpaceDN/>
        <w:bidi w:val="0"/>
        <w:spacing w:line="560" w:lineRule="exact"/>
        <w:ind w:firstLine="538"/>
        <w:textAlignment w:val="auto"/>
        <w:rPr>
          <w:rFonts w:hint="eastAsia"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4</w:t>
      </w:r>
      <w:r>
        <w:rPr>
          <w:rFonts w:hint="eastAsia" w:ascii="仿宋_GB2312" w:hAnsi="宋体" w:eastAsia="仿宋_GB2312"/>
          <w:sz w:val="28"/>
          <w:szCs w:val="28"/>
          <w:lang w:eastAsia="zh-CN"/>
        </w:rPr>
        <w:t>）</w:t>
      </w:r>
      <w:r>
        <w:rPr>
          <w:rFonts w:hint="eastAsia" w:ascii="仿宋_GB2312" w:hAnsi="宋体" w:eastAsia="仿宋_GB2312"/>
          <w:sz w:val="28"/>
          <w:szCs w:val="28"/>
        </w:rPr>
        <w:t>GB/T18508-2014《城镇土地估价规程》；</w:t>
      </w:r>
    </w:p>
    <w:p>
      <w:pPr>
        <w:keepNext w:val="0"/>
        <w:keepLines w:val="0"/>
        <w:pageBreakBefore w:val="0"/>
        <w:kinsoku/>
        <w:overflowPunct/>
        <w:topLinePunct w:val="0"/>
        <w:autoSpaceDE/>
        <w:autoSpaceDN/>
        <w:bidi w:val="0"/>
        <w:spacing w:line="560" w:lineRule="exact"/>
        <w:ind w:firstLine="538"/>
        <w:textAlignment w:val="auto"/>
        <w:rPr>
          <w:rFonts w:hint="eastAsia"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5</w:t>
      </w:r>
      <w:r>
        <w:rPr>
          <w:rFonts w:hint="eastAsia" w:ascii="仿宋_GB2312" w:hAnsi="宋体" w:eastAsia="仿宋_GB2312"/>
          <w:sz w:val="28"/>
          <w:szCs w:val="28"/>
          <w:lang w:eastAsia="zh-CN"/>
        </w:rPr>
        <w:t>）</w:t>
      </w:r>
      <w:r>
        <w:rPr>
          <w:rFonts w:hint="eastAsia" w:ascii="仿宋_GB2312" w:hAnsi="宋体" w:eastAsia="仿宋_GB2312"/>
          <w:sz w:val="28"/>
          <w:szCs w:val="28"/>
        </w:rPr>
        <w:t>GB/T21010-2007《土地利用现状分类》；</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default" w:ascii="仿宋" w:hAnsi="仿宋" w:eastAsia="仿宋" w:cs="仿宋"/>
          <w:sz w:val="28"/>
          <w:szCs w:val="28"/>
          <w:lang w:val="en-US"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6</w:t>
      </w:r>
      <w:r>
        <w:rPr>
          <w:rFonts w:hint="eastAsia" w:ascii="仿宋_GB2312" w:hAnsi="宋体" w:eastAsia="仿宋_GB2312"/>
          <w:sz w:val="28"/>
          <w:szCs w:val="28"/>
          <w:lang w:eastAsia="zh-CN"/>
        </w:rPr>
        <w:t>）</w:t>
      </w:r>
      <w:r>
        <w:rPr>
          <w:rFonts w:hint="eastAsia" w:ascii="仿宋_GB2312" w:hAnsi="宋体" w:eastAsia="仿宋_GB2312"/>
          <w:sz w:val="28"/>
          <w:szCs w:val="28"/>
        </w:rPr>
        <w:t>《</w:t>
      </w:r>
      <w:r>
        <w:rPr>
          <w:rFonts w:hint="eastAsia" w:ascii="仿宋_GB2312" w:hAnsi="宋体" w:eastAsia="仿宋_GB2312"/>
          <w:sz w:val="28"/>
          <w:szCs w:val="28"/>
          <w:lang w:val="en-US" w:eastAsia="zh-CN"/>
        </w:rPr>
        <w:t>德阳市广汉市城区</w:t>
      </w:r>
      <w:r>
        <w:rPr>
          <w:rFonts w:hint="eastAsia" w:ascii="仿宋_GB2312" w:hAnsi="宋体" w:eastAsia="仿宋_GB2312"/>
          <w:sz w:val="28"/>
          <w:szCs w:val="28"/>
        </w:rPr>
        <w:t>土地</w:t>
      </w:r>
      <w:r>
        <w:rPr>
          <w:rFonts w:hint="eastAsia" w:ascii="仿宋_GB2312" w:hAnsi="宋体" w:eastAsia="仿宋_GB2312"/>
          <w:sz w:val="28"/>
          <w:szCs w:val="28"/>
          <w:lang w:val="en-US" w:eastAsia="zh-CN"/>
        </w:rPr>
        <w:t>定级及</w:t>
      </w:r>
      <w:r>
        <w:rPr>
          <w:rFonts w:hint="eastAsia" w:ascii="仿宋_GB2312" w:hAnsi="宋体" w:eastAsia="仿宋_GB2312"/>
          <w:sz w:val="28"/>
          <w:szCs w:val="28"/>
        </w:rPr>
        <w:t>基准地价</w:t>
      </w:r>
      <w:r>
        <w:rPr>
          <w:rFonts w:hint="eastAsia" w:ascii="仿宋_GB2312" w:hAnsi="宋体" w:eastAsia="仿宋_GB2312"/>
          <w:sz w:val="28"/>
          <w:szCs w:val="28"/>
          <w:lang w:val="en-US" w:eastAsia="zh-CN"/>
        </w:rPr>
        <w:t>更新成果</w:t>
      </w:r>
      <w:r>
        <w:rPr>
          <w:rFonts w:hint="eastAsia" w:ascii="仿宋_GB2312" w:hAnsi="宋体" w:eastAsia="仿宋_GB2312"/>
          <w:sz w:val="28"/>
          <w:szCs w:val="28"/>
        </w:rPr>
        <w:t>》</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3</w:t>
      </w:r>
      <w:r>
        <w:rPr>
          <w:rFonts w:hint="eastAsia" w:ascii="仿宋" w:hAnsi="仿宋" w:eastAsia="仿宋" w:cs="仿宋"/>
          <w:sz w:val="28"/>
          <w:szCs w:val="28"/>
        </w:rPr>
        <w:t>、委托方提供的有关资料</w:t>
      </w:r>
      <w:r>
        <w:rPr>
          <w:rFonts w:hint="eastAsia" w:ascii="仿宋" w:hAnsi="仿宋" w:eastAsia="仿宋" w:cs="仿宋"/>
          <w:sz w:val="28"/>
          <w:szCs w:val="28"/>
          <w:lang w:eastAsia="zh-CN"/>
        </w:rPr>
        <w:t>：委托书、《房屋所有权证》、《</w:t>
      </w:r>
      <w:r>
        <w:rPr>
          <w:rFonts w:hint="eastAsia" w:ascii="仿宋" w:hAnsi="仿宋" w:eastAsia="仿宋" w:cs="仿宋"/>
          <w:sz w:val="28"/>
          <w:szCs w:val="28"/>
          <w:lang w:val="en-US" w:eastAsia="zh-CN"/>
        </w:rPr>
        <w:t>国有</w:t>
      </w:r>
      <w:r>
        <w:rPr>
          <w:rFonts w:hint="eastAsia" w:ascii="仿宋" w:hAnsi="仿宋" w:eastAsia="仿宋" w:cs="仿宋"/>
          <w:sz w:val="28"/>
          <w:szCs w:val="28"/>
          <w:lang w:eastAsia="zh-CN"/>
        </w:rPr>
        <w:t>土地使用权证》复印件。</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4</w:t>
      </w:r>
      <w:r>
        <w:rPr>
          <w:rFonts w:hint="eastAsia" w:ascii="仿宋" w:hAnsi="仿宋" w:eastAsia="仿宋" w:cs="仿宋"/>
          <w:sz w:val="28"/>
          <w:szCs w:val="28"/>
        </w:rPr>
        <w:t>、估价机构和估价人员掌握和搜集的有关资料</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（1）本公司评估人员所调查得到的市场交易、案例等相关基础资料；</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（2）委托方提供的其它辅助资料和本公司估价人员现场查勘，调查所得的资料；</w:t>
      </w:r>
    </w:p>
    <w:p>
      <w:pPr>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（3）本公司收集的其它询价资料、参数资料和国家有关部门发布的统计资料和技术标准资料。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62" w:firstLineChars="200"/>
        <w:jc w:val="both"/>
        <w:textAlignment w:val="auto"/>
        <w:outlineLvl w:val="1"/>
        <w:rPr>
          <w:rFonts w:hint="eastAsia" w:ascii="仿宋" w:hAnsi="仿宋" w:eastAsia="仿宋" w:cs="仿宋"/>
          <w:sz w:val="28"/>
          <w:szCs w:val="28"/>
        </w:rPr>
      </w:pPr>
      <w:bookmarkStart w:id="145" w:name="_Toc5006"/>
      <w:r>
        <w:rPr>
          <w:rFonts w:hint="eastAsia" w:ascii="仿宋" w:hAnsi="仿宋" w:eastAsia="仿宋" w:cs="仿宋"/>
          <w:b/>
          <w:bCs/>
          <w:sz w:val="28"/>
          <w:szCs w:val="28"/>
          <w:lang w:eastAsia="zh-CN"/>
        </w:rPr>
        <w:t>（九）</w:t>
      </w:r>
      <w:r>
        <w:rPr>
          <w:rFonts w:hint="eastAsia" w:ascii="仿宋" w:hAnsi="仿宋" w:eastAsia="仿宋" w:cs="仿宋"/>
          <w:b/>
          <w:bCs/>
          <w:sz w:val="28"/>
          <w:szCs w:val="28"/>
        </w:rPr>
        <w:t>、估价方法</w:t>
      </w:r>
      <w:r>
        <w:rPr>
          <w:rFonts w:hint="eastAsia" w:ascii="仿宋" w:hAnsi="仿宋" w:eastAsia="仿宋" w:cs="仿宋"/>
          <w:sz w:val="28"/>
          <w:szCs w:val="28"/>
        </w:rPr>
        <w:t>：</w:t>
      </w:r>
      <w:bookmarkEnd w:id="145"/>
    </w:p>
    <w:p>
      <w:pPr>
        <w:pageBreakBefore w:val="0"/>
        <w:widowControl w:val="0"/>
        <w:kinsoku/>
        <w:wordWrap/>
        <w:overflowPunct/>
        <w:topLinePunct w:val="0"/>
        <w:autoSpaceDE/>
        <w:autoSpaceDN/>
        <w:bidi w:val="0"/>
        <w:adjustRightInd/>
        <w:snapToGrid/>
        <w:spacing w:line="560" w:lineRule="exact"/>
        <w:ind w:right="0" w:rightChars="0" w:firstLine="562" w:firstLineChars="200"/>
        <w:textAlignment w:val="auto"/>
        <w:rPr>
          <w:rFonts w:hint="eastAsia" w:ascii="仿宋" w:hAnsi="仿宋" w:eastAsia="仿宋" w:cs="仿宋"/>
          <w:b/>
          <w:bCs/>
          <w:sz w:val="28"/>
          <w:szCs w:val="28"/>
        </w:rPr>
      </w:pPr>
      <w:bookmarkStart w:id="146" w:name="_Toc13592"/>
      <w:r>
        <w:rPr>
          <w:rFonts w:hint="eastAsia" w:ascii="仿宋" w:hAnsi="仿宋" w:eastAsia="仿宋" w:cs="仿宋"/>
          <w:b/>
          <w:bCs/>
          <w:sz w:val="28"/>
          <w:szCs w:val="28"/>
          <w:lang w:val="en-US" w:eastAsia="zh-CN"/>
        </w:rPr>
        <w:t>1、</w:t>
      </w:r>
      <w:r>
        <w:rPr>
          <w:rFonts w:hint="eastAsia" w:ascii="仿宋" w:hAnsi="仿宋" w:eastAsia="仿宋" w:cs="仿宋"/>
          <w:b/>
          <w:bCs/>
          <w:sz w:val="28"/>
          <w:szCs w:val="28"/>
        </w:rPr>
        <w:t>估价方法适用性分析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房地产估价的常用方法有市场比较法、收益法、成本法、假设开发法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基准地价修正法和剩余法</w:t>
      </w:r>
      <w:r>
        <w:rPr>
          <w:rFonts w:hint="eastAsia" w:ascii="仿宋" w:hAnsi="仿宋" w:eastAsia="仿宋" w:cs="仿宋"/>
          <w:sz w:val="28"/>
          <w:szCs w:val="28"/>
        </w:rPr>
        <w:t>等</w:t>
      </w:r>
      <w:r>
        <w:rPr>
          <w:rFonts w:hint="eastAsia" w:ascii="仿宋" w:hAnsi="仿宋" w:eastAsia="仿宋" w:cs="仿宋"/>
          <w:sz w:val="28"/>
          <w:szCs w:val="28"/>
          <w:lang w:eastAsia="zh-CN"/>
        </w:rPr>
        <w:t>以及其他估价方法。</w:t>
      </w:r>
      <w:r>
        <w:rPr>
          <w:rFonts w:hint="eastAsia" w:ascii="仿宋" w:hAnsi="仿宋" w:eastAsia="仿宋" w:cs="仿宋"/>
          <w:sz w:val="28"/>
          <w:szCs w:val="28"/>
          <w:lang w:val="en-US" w:eastAsia="zh-CN"/>
        </w:rPr>
        <w:t>估价方法的选用应按</w:t>
      </w:r>
      <w:r>
        <w:rPr>
          <w:rFonts w:hint="eastAsia" w:ascii="仿宋" w:hAnsi="仿宋" w:eastAsia="仿宋" w:cs="仿宋"/>
          <w:sz w:val="28"/>
          <w:szCs w:val="28"/>
        </w:rPr>
        <w:t>《房地产估价规范》(GB/T50291-</w:t>
      </w:r>
      <w:r>
        <w:rPr>
          <w:rFonts w:hint="eastAsia" w:ascii="仿宋" w:hAnsi="仿宋" w:eastAsia="仿宋" w:cs="仿宋"/>
          <w:sz w:val="28"/>
          <w:szCs w:val="28"/>
          <w:lang w:val="en-US" w:eastAsia="zh-CN"/>
        </w:rPr>
        <w:t>2015</w:t>
      </w:r>
      <w:r>
        <w:rPr>
          <w:rFonts w:hint="eastAsia" w:ascii="仿宋" w:hAnsi="仿宋" w:eastAsia="仿宋" w:cs="仿宋"/>
          <w:sz w:val="28"/>
          <w:szCs w:val="28"/>
        </w:rPr>
        <w:t>)</w:t>
      </w:r>
      <w:r>
        <w:rPr>
          <w:rFonts w:hint="eastAsia" w:ascii="仿宋" w:hAnsi="仿宋" w:eastAsia="仿宋" w:cs="仿宋"/>
          <w:sz w:val="28"/>
          <w:szCs w:val="28"/>
          <w:lang w:eastAsia="zh-CN"/>
        </w:rPr>
        <w:t>、《房地产估价基本术语标准》、《</w:t>
      </w:r>
      <w:r>
        <w:rPr>
          <w:rFonts w:hint="eastAsia" w:ascii="仿宋" w:hAnsi="仿宋" w:eastAsia="仿宋" w:cs="仿宋"/>
          <w:sz w:val="28"/>
          <w:szCs w:val="28"/>
          <w:lang w:val="en-US" w:eastAsia="zh-CN"/>
        </w:rPr>
        <w:t>城镇土地估价规程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的要求</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根据当地房地产市场发育情况，结合估价对象的具体特点以及估价目的等，选择适宜的估价方法</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比较法是选取一定数量的可比实例，将它们与估价对象进行比较，根据其间的差异对可比实例成交价进行处理后得到估价对象的价值或价格的方法。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收益法是预测估价对象的未来收益，利用报酬率或资本化率、收益乘数将未来收益转化为价值得到估价对象的价值或价格的方法。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成本法是测算估价对象在价值时点的重置成本或重建成本和折旧，将重置成本或重建成本减去折旧得到估价对象价值或价格的方法。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后的必要支出及应得利润得到估价对象的价值或价格的方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基准地价修正法是政府或其他有关部门已公布基准地价的地区，利用有关调整系数对估价对象宗地所在位置的基准地价进行调整后得到估价对象宗地价值或价格的方法。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估价</w:t>
      </w:r>
      <w:r>
        <w:rPr>
          <w:rFonts w:hint="eastAsia" w:ascii="仿宋" w:hAnsi="仿宋" w:eastAsia="仿宋" w:cs="仿宋"/>
          <w:b/>
          <w:bCs/>
          <w:sz w:val="28"/>
          <w:szCs w:val="28"/>
          <w:lang w:eastAsia="zh-CN"/>
        </w:rPr>
        <w:t>方法的选用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具有收益或有潜在收益的房地产估价，应选用收益法作为其中的一种估价方法。估价对象</w:t>
      </w:r>
      <w:r>
        <w:rPr>
          <w:rFonts w:hint="eastAsia" w:ascii="仿宋" w:hAnsi="仿宋" w:eastAsia="仿宋" w:cs="仿宋"/>
          <w:sz w:val="28"/>
          <w:szCs w:val="28"/>
        </w:rPr>
        <w:t>区域内与估价对象类似的房地产在正常的情况下具有相对稳定的出租经营收益，</w:t>
      </w:r>
      <w:r>
        <w:rPr>
          <w:rFonts w:hint="eastAsia" w:ascii="仿宋" w:hAnsi="仿宋" w:eastAsia="仿宋" w:cs="仿宋"/>
          <w:sz w:val="28"/>
          <w:szCs w:val="28"/>
          <w:lang w:val="en-US" w:eastAsia="zh-CN"/>
        </w:rPr>
        <w:t>市场客观租金</w:t>
      </w:r>
      <w:r>
        <w:rPr>
          <w:rFonts w:hint="eastAsia" w:ascii="仿宋" w:hAnsi="仿宋" w:eastAsia="仿宋" w:cs="仿宋"/>
          <w:sz w:val="28"/>
          <w:szCs w:val="28"/>
        </w:rPr>
        <w:t>较</w:t>
      </w:r>
      <w:r>
        <w:rPr>
          <w:rFonts w:hint="eastAsia" w:ascii="仿宋" w:hAnsi="仿宋" w:eastAsia="仿宋" w:cs="仿宋"/>
          <w:sz w:val="28"/>
          <w:szCs w:val="28"/>
          <w:lang w:eastAsia="zh-CN"/>
        </w:rPr>
        <w:t>易</w:t>
      </w:r>
      <w:r>
        <w:rPr>
          <w:rFonts w:hint="eastAsia" w:ascii="仿宋" w:hAnsi="仿宋" w:eastAsia="仿宋" w:cs="仿宋"/>
          <w:sz w:val="28"/>
          <w:szCs w:val="28"/>
        </w:rPr>
        <w:t>收集，故采用收益法对其进行评估。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在无市场依据或市场依据不充分的情况下，可采用成本法作为主要的估价方法。估价对象为</w:t>
      </w:r>
      <w:r>
        <w:rPr>
          <w:rFonts w:hint="eastAsia" w:ascii="仿宋" w:hAnsi="仿宋" w:eastAsia="仿宋" w:cs="仿宋"/>
          <w:sz w:val="28"/>
          <w:szCs w:val="28"/>
          <w:lang w:val="en-US" w:eastAsia="zh-CN"/>
        </w:rPr>
        <w:t>营业及住房</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采用成本累加方法的测算结果不能明确体现其市场价值，</w:t>
      </w:r>
      <w:r>
        <w:rPr>
          <w:rFonts w:hint="eastAsia" w:ascii="仿宋" w:hAnsi="仿宋" w:eastAsia="仿宋" w:cs="仿宋"/>
          <w:sz w:val="28"/>
          <w:szCs w:val="28"/>
          <w:lang w:eastAsia="zh-CN"/>
        </w:rPr>
        <w:t>因此本次估价不宜采用成本法。</w:t>
      </w:r>
    </w:p>
    <w:p>
      <w:pPr>
        <w:keepNext w:val="0"/>
        <w:keepLines w:val="0"/>
        <w:pageBreakBefore w:val="0"/>
        <w:widowControl w:val="0"/>
        <w:numPr>
          <w:ilvl w:val="0"/>
          <w:numId w:val="0"/>
        </w:numPr>
        <w:kinsoku/>
        <w:wordWrap/>
        <w:overflowPunct/>
        <w:topLinePunct w:val="0"/>
        <w:autoSpaceDE/>
        <w:autoSpaceDN/>
        <w:bidi w:val="0"/>
        <w:spacing w:line="600" w:lineRule="exact"/>
        <w:ind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具有投资开发或再开发潜力的房地产的估价，应选用假设开发法作为其中一种估价方法。估价对象为已完工工程，因此本次估价不采用假设开发法。</w:t>
      </w:r>
    </w:p>
    <w:p>
      <w:pPr>
        <w:keepNext w:val="0"/>
        <w:keepLines w:val="0"/>
        <w:pageBreakBefore w:val="0"/>
        <w:widowControl w:val="0"/>
        <w:kinsoku/>
        <w:wordWrap/>
        <w:overflowPunct/>
        <w:topLinePunct w:val="0"/>
        <w:autoSpaceDE/>
        <w:autoSpaceDN/>
        <w:bidi w:val="0"/>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在同一个房地产市场上相似的房地产的估价</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应选用比较法作为其中一种估价方法。估价对象周边类似房地产交易量较大，交易案例较多，</w:t>
      </w:r>
      <w:r>
        <w:rPr>
          <w:rFonts w:hint="eastAsia" w:ascii="仿宋_GB2312" w:hAnsi="仿宋_GB2312" w:eastAsia="仿宋_GB2312" w:cs="仿宋_GB2312"/>
          <w:sz w:val="28"/>
          <w:szCs w:val="28"/>
        </w:rPr>
        <w:t>因此本次估价采用</w:t>
      </w:r>
      <w:r>
        <w:rPr>
          <w:rFonts w:hint="eastAsia" w:ascii="仿宋_GB2312" w:hAnsi="仿宋_GB2312" w:eastAsia="仿宋_GB2312" w:cs="仿宋_GB2312"/>
          <w:sz w:val="28"/>
          <w:szCs w:val="28"/>
          <w:lang w:eastAsia="zh-CN"/>
        </w:rPr>
        <w:t>比较法</w:t>
      </w:r>
      <w:r>
        <w:rPr>
          <w:rFonts w:hint="eastAsia" w:ascii="仿宋_GB2312" w:hAnsi="仿宋_GB2312" w:eastAsia="仿宋_GB2312" w:cs="仿宋_GB2312"/>
          <w:sz w:val="28"/>
          <w:szCs w:val="28"/>
        </w:rPr>
        <w:t>。</w:t>
      </w:r>
    </w:p>
    <w:p>
      <w:pPr>
        <w:keepNext w:val="0"/>
        <w:keepLines w:val="0"/>
        <w:pageBreakBefore w:val="0"/>
        <w:numPr>
          <w:ilvl w:val="0"/>
          <w:numId w:val="0"/>
        </w:numPr>
        <w:kinsoku/>
        <w:overflowPunct/>
        <w:topLinePunct w:val="0"/>
        <w:autoSpaceDE/>
        <w:autoSpaceDN/>
        <w:bidi w:val="0"/>
        <w:spacing w:line="5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lang w:eastAsia="zh-CN"/>
        </w:rPr>
        <w:t>估价对象</w:t>
      </w:r>
      <w:r>
        <w:rPr>
          <w:rFonts w:hint="eastAsia" w:ascii="仿宋_GB2312" w:hAnsi="宋体" w:eastAsia="仿宋_GB2312"/>
          <w:sz w:val="28"/>
          <w:szCs w:val="28"/>
          <w:lang w:val="en-US" w:eastAsia="zh-CN"/>
        </w:rPr>
        <w:t>商服用地土地使用权</w:t>
      </w:r>
      <w:r>
        <w:rPr>
          <w:rFonts w:hint="eastAsia" w:ascii="仿宋_GB2312" w:hAnsi="宋体" w:eastAsia="仿宋_GB2312"/>
          <w:sz w:val="28"/>
          <w:szCs w:val="28"/>
          <w:lang w:eastAsia="zh-CN"/>
        </w:rPr>
        <w:t>规划意图明确，开发价值确定，故本次采用剩余法（假设开发法）进行评估。</w:t>
      </w:r>
    </w:p>
    <w:p>
      <w:pPr>
        <w:keepNext w:val="0"/>
        <w:keepLines w:val="0"/>
        <w:pageBreakBefore w:val="0"/>
        <w:widowControl w:val="0"/>
        <w:kinsoku/>
        <w:wordWrap/>
        <w:overflowPunct/>
        <w:topLinePunct w:val="0"/>
        <w:autoSpaceDE/>
        <w:autoSpaceDN/>
        <w:bidi w:val="0"/>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宋体" w:eastAsia="仿宋_GB2312"/>
          <w:sz w:val="28"/>
          <w:szCs w:val="28"/>
          <w:lang w:eastAsia="zh-CN"/>
        </w:rPr>
        <w:t>估价对象</w:t>
      </w:r>
      <w:r>
        <w:rPr>
          <w:rFonts w:hint="eastAsia" w:ascii="仿宋_GB2312" w:hAnsi="宋体" w:eastAsia="仿宋_GB2312"/>
          <w:sz w:val="28"/>
          <w:szCs w:val="28"/>
          <w:lang w:val="en-US" w:eastAsia="zh-CN"/>
        </w:rPr>
        <w:t>商服用地土地使用权</w:t>
      </w:r>
      <w:r>
        <w:rPr>
          <w:rFonts w:hint="eastAsia" w:ascii="仿宋_GB2312" w:hAnsi="宋体" w:eastAsia="仿宋_GB2312"/>
          <w:sz w:val="28"/>
          <w:szCs w:val="28"/>
          <w:lang w:eastAsia="zh-CN"/>
        </w:rPr>
        <w:t>所在区域基准地价体系已建立，估价对象位于基准地价定级范围内，故可采用基准地价系数修正法进行评估。</w:t>
      </w:r>
    </w:p>
    <w:p>
      <w:pPr>
        <w:keepNext w:val="0"/>
        <w:keepLines w:val="0"/>
        <w:pageBreakBefore w:val="0"/>
        <w:widowControl w:val="0"/>
        <w:numPr>
          <w:ilvl w:val="0"/>
          <w:numId w:val="0"/>
        </w:numPr>
        <w:kinsoku/>
        <w:wordWrap/>
        <w:overflowPunct/>
        <w:topLinePunct w:val="0"/>
        <w:autoSpaceDE/>
        <w:autoSpaceDN/>
        <w:bidi w:val="0"/>
        <w:spacing w:line="6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根据《房地产估价规范》(GB／T50291—</w:t>
      </w:r>
      <w:r>
        <w:rPr>
          <w:rFonts w:hint="eastAsia" w:ascii="仿宋" w:hAnsi="仿宋" w:eastAsia="仿宋" w:cs="仿宋"/>
          <w:sz w:val="28"/>
          <w:szCs w:val="28"/>
          <w:lang w:val="en-US" w:eastAsia="zh-CN"/>
        </w:rPr>
        <w:t>2015</w:t>
      </w:r>
      <w:r>
        <w:rPr>
          <w:rFonts w:hint="eastAsia" w:ascii="仿宋" w:hAnsi="仿宋" w:eastAsia="仿宋" w:cs="仿宋"/>
          <w:sz w:val="28"/>
          <w:szCs w:val="28"/>
        </w:rPr>
        <w:t>)的有关要求，房地产估价宜选用两种及以上的估价方法。</w:t>
      </w:r>
      <w:r>
        <w:rPr>
          <w:rFonts w:hint="eastAsia" w:ascii="仿宋" w:hAnsi="仿宋" w:eastAsia="仿宋" w:cs="仿宋"/>
          <w:sz w:val="28"/>
          <w:szCs w:val="28"/>
          <w:lang w:val="en-US" w:eastAsia="zh-CN"/>
        </w:rPr>
        <w:t>因上述分析采用其他方法</w:t>
      </w:r>
      <w:r>
        <w:rPr>
          <w:rFonts w:hint="eastAsia" w:ascii="仿宋" w:hAnsi="仿宋" w:eastAsia="仿宋" w:cs="仿宋"/>
          <w:sz w:val="28"/>
          <w:szCs w:val="28"/>
        </w:rPr>
        <w:t>不可避免地需要大量的主观估算和判定，得出的估价结果精度差、采信度低。根据《房地产估价规范》(GB／T50291—</w:t>
      </w:r>
      <w:r>
        <w:rPr>
          <w:rFonts w:hint="eastAsia" w:ascii="仿宋" w:hAnsi="仿宋" w:eastAsia="仿宋" w:cs="仿宋"/>
          <w:sz w:val="28"/>
          <w:szCs w:val="28"/>
          <w:lang w:val="en-US" w:eastAsia="zh-CN"/>
        </w:rPr>
        <w:t>2015</w:t>
      </w:r>
      <w:r>
        <w:rPr>
          <w:rFonts w:hint="eastAsia" w:ascii="仿宋" w:hAnsi="仿宋" w:eastAsia="仿宋" w:cs="仿宋"/>
          <w:sz w:val="28"/>
          <w:szCs w:val="28"/>
        </w:rPr>
        <w:t>)条文解释</w:t>
      </w:r>
      <w:r>
        <w:rPr>
          <w:rFonts w:hint="eastAsia" w:ascii="仿宋" w:hAnsi="仿宋" w:eastAsia="仿宋" w:cs="仿宋"/>
          <w:sz w:val="28"/>
          <w:szCs w:val="28"/>
          <w:lang w:val="en-US" w:eastAsia="zh-CN"/>
        </w:rPr>
        <w:t>4</w:t>
      </w:r>
      <w:r>
        <w:rPr>
          <w:rFonts w:hint="eastAsia" w:ascii="仿宋" w:hAnsi="仿宋" w:eastAsia="仿宋" w:cs="仿宋"/>
          <w:sz w:val="28"/>
          <w:szCs w:val="28"/>
        </w:rPr>
        <w:t>.1.2和</w:t>
      </w:r>
      <w:r>
        <w:rPr>
          <w:rFonts w:hint="eastAsia" w:ascii="仿宋" w:hAnsi="仿宋" w:eastAsia="仿宋" w:cs="仿宋"/>
          <w:sz w:val="28"/>
          <w:szCs w:val="28"/>
          <w:lang w:val="en-US" w:eastAsia="zh-CN"/>
        </w:rPr>
        <w:t>4</w:t>
      </w:r>
      <w:r>
        <w:rPr>
          <w:rFonts w:hint="eastAsia" w:ascii="仿宋" w:hAnsi="仿宋" w:eastAsia="仿宋" w:cs="仿宋"/>
          <w:sz w:val="28"/>
          <w:szCs w:val="28"/>
        </w:rPr>
        <w:t>.1.</w:t>
      </w:r>
      <w:r>
        <w:rPr>
          <w:rFonts w:hint="eastAsia" w:ascii="仿宋" w:hAnsi="仿宋" w:eastAsia="仿宋" w:cs="仿宋"/>
          <w:sz w:val="28"/>
          <w:szCs w:val="28"/>
          <w:lang w:val="en-US" w:eastAsia="zh-CN"/>
        </w:rPr>
        <w:t>3</w:t>
      </w:r>
      <w:r>
        <w:rPr>
          <w:rFonts w:hint="eastAsia" w:ascii="仿宋" w:hAnsi="仿宋" w:eastAsia="仿宋" w:cs="仿宋"/>
          <w:sz w:val="28"/>
          <w:szCs w:val="28"/>
        </w:rPr>
        <w:t>的精神，本次估价采用</w:t>
      </w:r>
      <w:r>
        <w:rPr>
          <w:rFonts w:hint="eastAsia" w:ascii="仿宋" w:hAnsi="仿宋" w:eastAsia="仿宋" w:cs="仿宋"/>
          <w:sz w:val="28"/>
          <w:szCs w:val="28"/>
          <w:lang w:val="en-US" w:eastAsia="zh-CN"/>
        </w:rPr>
        <w:t>收益法、</w:t>
      </w:r>
      <w:r>
        <w:rPr>
          <w:rFonts w:hint="eastAsia" w:ascii="仿宋" w:hAnsi="仿宋" w:eastAsia="仿宋" w:cs="仿宋"/>
          <w:sz w:val="28"/>
          <w:szCs w:val="28"/>
          <w:lang w:eastAsia="zh-CN"/>
        </w:rPr>
        <w:t>比较法、</w:t>
      </w:r>
      <w:r>
        <w:rPr>
          <w:rFonts w:hint="eastAsia" w:ascii="仿宋" w:hAnsi="仿宋" w:eastAsia="仿宋" w:cs="仿宋"/>
          <w:sz w:val="28"/>
          <w:szCs w:val="28"/>
          <w:lang w:val="en-US" w:eastAsia="zh-CN"/>
        </w:rPr>
        <w:t>基准地价修正法和剩余法</w:t>
      </w:r>
      <w:r>
        <w:rPr>
          <w:rFonts w:hint="eastAsia" w:ascii="仿宋" w:hAnsi="仿宋" w:eastAsia="仿宋" w:cs="仿宋"/>
          <w:sz w:val="28"/>
          <w:szCs w:val="28"/>
        </w:rPr>
        <w:t>数据资料充分，适用性强，能够准确评估得到估价对象的客观合理价格，故就未再采用不合适的其它方法评估。</w:t>
      </w:r>
    </w:p>
    <w:p>
      <w:pPr>
        <w:keepNext w:val="0"/>
        <w:keepLines w:val="0"/>
        <w:pageBreakBefore w:val="0"/>
        <w:widowControl w:val="0"/>
        <w:numPr>
          <w:ilvl w:val="0"/>
          <w:numId w:val="0"/>
        </w:numPr>
        <w:kinsoku/>
        <w:wordWrap/>
        <w:overflowPunct/>
        <w:topLinePunct w:val="0"/>
        <w:autoSpaceDE/>
        <w:autoSpaceDN/>
        <w:bidi w:val="0"/>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eastAsia="zh-CN"/>
        </w:rPr>
        <w:t>综上所述，本次评估</w:t>
      </w:r>
      <w:r>
        <w:rPr>
          <w:rFonts w:hint="eastAsia" w:ascii="仿宋" w:hAnsi="仿宋" w:eastAsia="仿宋" w:cs="仿宋"/>
          <w:sz w:val="28"/>
          <w:szCs w:val="28"/>
          <w:lang w:val="en-US" w:eastAsia="zh-CN"/>
        </w:rPr>
        <w:t>采用收益法、比较法、基准地价修正法和剩余法。</w:t>
      </w:r>
    </w:p>
    <w:p>
      <w:pPr>
        <w:keepNext w:val="0"/>
        <w:keepLines w:val="0"/>
        <w:pageBreakBefore w:val="0"/>
        <w:widowControl w:val="0"/>
        <w:numPr>
          <w:ilvl w:val="0"/>
          <w:numId w:val="0"/>
        </w:numPr>
        <w:kinsoku/>
        <w:wordWrap/>
        <w:overflowPunct/>
        <w:topLinePunct w:val="0"/>
        <w:autoSpaceDE/>
        <w:autoSpaceDN/>
        <w:bidi w:val="0"/>
        <w:spacing w:line="600" w:lineRule="exact"/>
        <w:ind w:leftChars="200" w:right="0" w:rightChars="0" w:firstLine="281" w:firstLineChars="1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3、估价思路及公式</w:t>
      </w:r>
    </w:p>
    <w:p>
      <w:pPr>
        <w:keepNext w:val="0"/>
        <w:keepLines w:val="0"/>
        <w:pageBreakBefore w:val="0"/>
        <w:widowControl w:val="0"/>
        <w:numPr>
          <w:ilvl w:val="0"/>
          <w:numId w:val="0"/>
        </w:numPr>
        <w:kinsoku/>
        <w:wordWrap/>
        <w:overflowPunct/>
        <w:topLinePunct w:val="0"/>
        <w:autoSpaceDE/>
        <w:autoSpaceDN/>
        <w:bidi w:val="0"/>
        <w:spacing w:line="6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（1）比较法的定义为：</w:t>
      </w:r>
      <w:r>
        <w:rPr>
          <w:rFonts w:hint="eastAsia" w:ascii="仿宋" w:hAnsi="仿宋" w:eastAsia="仿宋" w:cs="仿宋"/>
          <w:sz w:val="28"/>
          <w:szCs w:val="28"/>
        </w:rPr>
        <w:t>选取一定数量的可比实例，将它们与估价对象进行比较，根据其间的差异对可比实例成交价格进行处理后得到估价对象价值或价格</w:t>
      </w:r>
      <w:r>
        <w:rPr>
          <w:rFonts w:hint="eastAsia" w:ascii="仿宋" w:hAnsi="仿宋" w:eastAsia="仿宋" w:cs="仿宋"/>
          <w:sz w:val="28"/>
          <w:szCs w:val="28"/>
          <w:lang w:val="en-US" w:eastAsia="zh-CN"/>
        </w:rPr>
        <w:t>的方法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在本次估价中，根据估价对象的具体情况和受托估价机构收集调查的资料，估价人员的估价思路是：</w:t>
      </w:r>
    </w:p>
    <w:p>
      <w:pPr>
        <w:keepNext w:val="0"/>
        <w:keepLines w:val="0"/>
        <w:pageBreakBefore w:val="0"/>
        <w:widowControl w:val="0"/>
        <w:kinsoku/>
        <w:wordWrap/>
        <w:overflowPunct/>
        <w:topLinePunct w:val="0"/>
        <w:autoSpaceDE/>
        <w:autoSpaceDN/>
        <w:bidi w:val="0"/>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步骤：</w:t>
      </w:r>
      <w:r>
        <w:rPr>
          <w:rFonts w:hint="eastAsia" w:ascii="仿宋_GB2312" w:hAnsi="仿宋_GB2312" w:eastAsia="仿宋_GB2312" w:cs="仿宋_GB2312"/>
          <w:sz w:val="28"/>
          <w:szCs w:val="28"/>
        </w:rPr>
        <w:t>⑴</w:t>
      </w:r>
      <w:r>
        <w:rPr>
          <w:rFonts w:hint="eastAsia" w:ascii="仿宋_GB2312" w:hAnsi="仿宋_GB2312" w:eastAsia="仿宋_GB2312" w:cs="仿宋_GB2312"/>
          <w:sz w:val="28"/>
          <w:szCs w:val="28"/>
          <w:lang w:eastAsia="zh-CN"/>
        </w:rPr>
        <w:t>搜集交易实例；</w:t>
      </w:r>
      <w:r>
        <w:rPr>
          <w:rFonts w:hint="eastAsia" w:ascii="仿宋_GB2312" w:hAnsi="仿宋_GB2312" w:eastAsia="仿宋_GB2312" w:cs="仿宋_GB2312"/>
          <w:sz w:val="28"/>
          <w:szCs w:val="28"/>
        </w:rPr>
        <w:t>⑵</w:t>
      </w:r>
      <w:r>
        <w:rPr>
          <w:rFonts w:hint="eastAsia" w:ascii="仿宋_GB2312" w:hAnsi="仿宋_GB2312" w:eastAsia="仿宋_GB2312" w:cs="仿宋_GB2312"/>
          <w:sz w:val="28"/>
          <w:szCs w:val="28"/>
          <w:lang w:eastAsia="zh-CN"/>
        </w:rPr>
        <w:t>选取可比实例；⑶建立价格可比基础；⑷进行交易情况修正；⑸进行交易日期修正；⑹进行区域因素修正；⑺进行个别因素修正；⑻求出比准价格。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公式：比准价格</w:t>
      </w:r>
      <w:r>
        <w:rPr>
          <w:rFonts w:hint="eastAsia" w:ascii="仿宋_GB2312" w:hAnsi="仿宋_GB2312" w:eastAsia="仿宋_GB2312" w:cs="仿宋_GB2312"/>
          <w:sz w:val="28"/>
          <w:szCs w:val="28"/>
        </w:rPr>
        <w:t>=比较实例房地产</w:t>
      </w:r>
      <w:r>
        <w:rPr>
          <w:rFonts w:hint="eastAsia" w:ascii="仿宋_GB2312" w:hAnsi="仿宋_GB2312" w:eastAsia="仿宋_GB2312" w:cs="仿宋_GB2312"/>
          <w:sz w:val="28"/>
          <w:szCs w:val="28"/>
          <w:lang w:eastAsia="zh-CN"/>
        </w:rPr>
        <w:t>交易</w:t>
      </w:r>
      <w:r>
        <w:rPr>
          <w:rFonts w:hint="eastAsia" w:ascii="仿宋_GB2312" w:hAnsi="仿宋_GB2312" w:eastAsia="仿宋_GB2312" w:cs="仿宋_GB2312"/>
          <w:sz w:val="28"/>
          <w:szCs w:val="28"/>
        </w:rPr>
        <w:t>价格×交易情况修正系数×交易期日修正系数×区域因素修正系数×个别因素修正系数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0"/>
        <w:jc w:val="both"/>
        <w:textAlignment w:val="auto"/>
        <w:outlineLvl w:val="9"/>
        <w:rPr>
          <w:rFonts w:hint="eastAsia" w:ascii="仿宋" w:hAnsi="仿宋" w:eastAsia="仿宋" w:cs="仿宋"/>
          <w:color w:val="auto"/>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收益法的定义：</w:t>
      </w:r>
      <w:r>
        <w:rPr>
          <w:rFonts w:hint="eastAsia" w:ascii="仿宋" w:hAnsi="仿宋" w:eastAsia="仿宋" w:cs="仿宋"/>
          <w:color w:val="auto"/>
          <w:sz w:val="28"/>
          <w:szCs w:val="28"/>
        </w:rPr>
        <w:t>预</w:t>
      </w:r>
      <w:r>
        <w:rPr>
          <w:rFonts w:hint="eastAsia" w:ascii="仿宋" w:hAnsi="仿宋" w:eastAsia="仿宋" w:cs="仿宋"/>
          <w:sz w:val="28"/>
          <w:szCs w:val="28"/>
        </w:rPr>
        <w:t>测</w:t>
      </w:r>
      <w:r>
        <w:rPr>
          <w:rFonts w:hint="eastAsia" w:ascii="仿宋" w:hAnsi="仿宋" w:eastAsia="仿宋" w:cs="仿宋"/>
          <w:color w:val="auto"/>
          <w:sz w:val="28"/>
          <w:szCs w:val="28"/>
        </w:rPr>
        <w:t>估价对象未来的正常净收益，选用适当的报酬率将其折现到价值时点后累加，以此估算估价对象的客观合理价格或价值的方法。适用于有收益或有潜在收益的房地产的估价。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步骤：(1)收集并求取待估房地产的市场客观租金</w:t>
      </w:r>
    </w:p>
    <w:p>
      <w:pPr>
        <w:keepNext w:val="0"/>
        <w:keepLines w:val="0"/>
        <w:pageBreakBefore w:val="0"/>
        <w:widowControl w:val="0"/>
        <w:kinsoku/>
        <w:wordWrap/>
        <w:overflowPunct/>
        <w:topLinePunct w:val="0"/>
        <w:autoSpaceDE/>
        <w:autoSpaceDN/>
        <w:bidi w:val="0"/>
        <w:adjustRightInd/>
        <w:snapToGrid/>
        <w:spacing w:line="500" w:lineRule="exact"/>
        <w:ind w:firstLine="1400" w:firstLineChars="5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(2)年有效毛收入的确定</w:t>
      </w:r>
    </w:p>
    <w:p>
      <w:pPr>
        <w:keepNext w:val="0"/>
        <w:keepLines w:val="0"/>
        <w:pageBreakBefore w:val="0"/>
        <w:widowControl w:val="0"/>
        <w:kinsoku/>
        <w:wordWrap/>
        <w:overflowPunct/>
        <w:topLinePunct w:val="0"/>
        <w:autoSpaceDE/>
        <w:autoSpaceDN/>
        <w:bidi w:val="0"/>
        <w:adjustRightInd/>
        <w:snapToGrid/>
        <w:spacing w:line="500" w:lineRule="exact"/>
        <w:ind w:firstLine="1400" w:firstLineChars="5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(3)年运营费用的确定</w:t>
      </w:r>
    </w:p>
    <w:p>
      <w:pPr>
        <w:keepNext w:val="0"/>
        <w:keepLines w:val="0"/>
        <w:pageBreakBefore w:val="0"/>
        <w:widowControl w:val="0"/>
        <w:kinsoku/>
        <w:wordWrap/>
        <w:overflowPunct/>
        <w:topLinePunct w:val="0"/>
        <w:autoSpaceDE/>
        <w:autoSpaceDN/>
        <w:bidi w:val="0"/>
        <w:adjustRightInd/>
        <w:snapToGrid/>
        <w:spacing w:line="500" w:lineRule="exact"/>
        <w:ind w:firstLine="1400" w:firstLineChars="5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(4)年净收益的确定</w:t>
      </w:r>
    </w:p>
    <w:p>
      <w:pPr>
        <w:keepNext w:val="0"/>
        <w:keepLines w:val="0"/>
        <w:pageBreakBefore w:val="0"/>
        <w:widowControl w:val="0"/>
        <w:kinsoku/>
        <w:wordWrap/>
        <w:overflowPunct/>
        <w:topLinePunct w:val="0"/>
        <w:autoSpaceDE/>
        <w:autoSpaceDN/>
        <w:bidi w:val="0"/>
        <w:adjustRightInd/>
        <w:snapToGrid/>
        <w:spacing w:line="500" w:lineRule="exact"/>
        <w:ind w:firstLine="1400" w:firstLineChars="5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(5)收益年期的确定</w:t>
      </w:r>
    </w:p>
    <w:p>
      <w:pPr>
        <w:keepNext w:val="0"/>
        <w:keepLines w:val="0"/>
        <w:pageBreakBefore w:val="0"/>
        <w:widowControl w:val="0"/>
        <w:kinsoku/>
        <w:wordWrap/>
        <w:overflowPunct/>
        <w:topLinePunct w:val="0"/>
        <w:autoSpaceDE/>
        <w:autoSpaceDN/>
        <w:bidi w:val="0"/>
        <w:adjustRightInd/>
        <w:snapToGrid/>
        <w:spacing w:line="500" w:lineRule="exact"/>
        <w:ind w:firstLine="1400" w:firstLineChars="5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(6)资本化率的确定</w:t>
      </w:r>
    </w:p>
    <w:p>
      <w:pPr>
        <w:keepNext w:val="0"/>
        <w:keepLines w:val="0"/>
        <w:pageBreakBefore w:val="0"/>
        <w:widowControl w:val="0"/>
        <w:kinsoku/>
        <w:wordWrap/>
        <w:overflowPunct/>
        <w:topLinePunct w:val="0"/>
        <w:autoSpaceDE/>
        <w:autoSpaceDN/>
        <w:bidi w:val="0"/>
        <w:adjustRightInd/>
        <w:snapToGrid/>
        <w:spacing w:line="500" w:lineRule="exact"/>
        <w:ind w:firstLine="1400" w:firstLineChars="5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(7)年净收益递增比率的确定</w:t>
      </w:r>
    </w:p>
    <w:p>
      <w:pPr>
        <w:keepNext w:val="0"/>
        <w:keepLines w:val="0"/>
        <w:pageBreakBefore w:val="0"/>
        <w:widowControl w:val="0"/>
        <w:kinsoku/>
        <w:wordWrap/>
        <w:overflowPunct/>
        <w:topLinePunct w:val="0"/>
        <w:autoSpaceDE/>
        <w:autoSpaceDN/>
        <w:bidi w:val="0"/>
        <w:adjustRightInd/>
        <w:snapToGrid/>
        <w:spacing w:line="500" w:lineRule="exact"/>
        <w:ind w:firstLine="1400" w:firstLineChars="5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(8)收益现值的确定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kern w:val="0"/>
          <w:sz w:val="28"/>
          <w:szCs w:val="28"/>
        </w:rPr>
        <w:drawing>
          <wp:anchor distT="0" distB="0" distL="114300" distR="114300" simplePos="0" relativeHeight="251659264" behindDoc="1" locked="0" layoutInCell="1" allowOverlap="1">
            <wp:simplePos x="0" y="0"/>
            <wp:positionH relativeFrom="page">
              <wp:posOffset>2120265</wp:posOffset>
            </wp:positionH>
            <wp:positionV relativeFrom="page">
              <wp:posOffset>3104515</wp:posOffset>
            </wp:positionV>
            <wp:extent cx="2472055" cy="713105"/>
            <wp:effectExtent l="0" t="0" r="4445" b="10795"/>
            <wp:wrapNone/>
            <wp:docPr id="7" name="Picture 6" descr="QQ截图2012032815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QQ截图20120328151214"/>
                    <pic:cNvPicPr>
                      <a:picLocks noChangeAspect="1"/>
                    </pic:cNvPicPr>
                  </pic:nvPicPr>
                  <pic:blipFill>
                    <a:blip r:embed="rId17"/>
                    <a:stretch>
                      <a:fillRect/>
                    </a:stretch>
                  </pic:blipFill>
                  <pic:spPr>
                    <a:xfrm>
                      <a:off x="0" y="0"/>
                      <a:ext cx="2472055" cy="713105"/>
                    </a:xfrm>
                    <a:prstGeom prst="rect">
                      <a:avLst/>
                    </a:prstGeom>
                    <a:noFill/>
                    <a:ln>
                      <a:noFill/>
                    </a:ln>
                  </pic:spPr>
                </pic:pic>
              </a:graphicData>
            </a:graphic>
          </wp:anchor>
        </w:drawing>
      </w:r>
      <w:r>
        <w:rPr>
          <w:rFonts w:hint="eastAsia" w:ascii="仿宋" w:hAnsi="仿宋" w:eastAsia="仿宋" w:cs="仿宋"/>
          <w:color w:val="auto"/>
          <w:sz w:val="28"/>
          <w:szCs w:val="28"/>
          <w:lang w:val="en-US" w:eastAsia="zh-CN"/>
        </w:rPr>
        <w:t>其计算公式为：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上式中：  V = 收益价格；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A = 未来第1年的净收益；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y =资本化率；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n = 未来可获收益的年限；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g=净收益逐年递增的比率。</w:t>
      </w:r>
    </w:p>
    <w:p>
      <w:pPr>
        <w:keepNext w:val="0"/>
        <w:keepLines w:val="0"/>
        <w:pageBreakBefore w:val="0"/>
        <w:kinsoku/>
        <w:wordWrap/>
        <w:overflowPunct/>
        <w:topLinePunct w:val="0"/>
        <w:autoSpaceDE/>
        <w:autoSpaceDN/>
        <w:bidi w:val="0"/>
        <w:spacing w:line="500" w:lineRule="exact"/>
        <w:ind w:firstLine="565" w:firstLineChars="202"/>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公式说明：结合考虑估价对象所在区域市场状况、规划条件等因素，同时考虑本次估价目的，遵循谨慎性，我们确定估价对象收益在未来收益年限内保持递增。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基准地价修正法定义：</w:t>
      </w:r>
      <w:r>
        <w:rPr>
          <w:rFonts w:hint="eastAsia" w:ascii="仿宋" w:hAnsi="仿宋" w:eastAsia="仿宋" w:cs="仿宋"/>
          <w:sz w:val="28"/>
          <w:szCs w:val="28"/>
          <w:lang w:val="en-US" w:eastAsia="zh-CN"/>
        </w:rPr>
        <w:t>基准地价修正法是政府或其他有关部门已公布基准地价的地区，利用有关调整系数对估价对象宗地所在位置的基准地价进行调整后得到估价对象宗地价值或价格的方法。</w:t>
      </w:r>
    </w:p>
    <w:p>
      <w:pPr>
        <w:keepNext w:val="0"/>
        <w:keepLines w:val="0"/>
        <w:pageBreakBefore w:val="0"/>
        <w:tabs>
          <w:tab w:val="left" w:pos="540"/>
        </w:tabs>
        <w:kinsoku/>
        <w:overflowPunct/>
        <w:topLinePunct w:val="0"/>
        <w:autoSpaceDE/>
        <w:autoSpaceDN/>
        <w:bidi w:val="0"/>
        <w:spacing w:line="560" w:lineRule="exact"/>
        <w:ind w:firstLine="560" w:firstLineChars="200"/>
        <w:textAlignment w:val="auto"/>
        <w:rPr>
          <w:rFonts w:hint="eastAsia" w:ascii="仿宋_GB2312" w:hAnsi="宋体" w:eastAsia="仿宋_GB2312"/>
          <w:sz w:val="28"/>
          <w:szCs w:val="28"/>
          <w:lang w:eastAsia="zh-CN"/>
        </w:rPr>
      </w:pPr>
      <w:r>
        <w:rPr>
          <w:rFonts w:hint="eastAsia" w:ascii="仿宋" w:hAnsi="仿宋" w:eastAsia="仿宋" w:cs="仿宋"/>
          <w:color w:val="auto"/>
          <w:sz w:val="28"/>
          <w:szCs w:val="28"/>
          <w:lang w:val="en-US" w:eastAsia="zh-CN"/>
        </w:rPr>
        <w:t>公式：</w:t>
      </w:r>
      <w:r>
        <w:rPr>
          <w:rFonts w:hint="eastAsia" w:ascii="仿宋_GB2312" w:hAnsi="宋体" w:eastAsia="仿宋_GB2312"/>
          <w:sz w:val="28"/>
          <w:szCs w:val="28"/>
          <w:lang w:eastAsia="zh-CN"/>
        </w:rPr>
        <w:t>基准地价系数修正法的计算公式：</w:t>
      </w:r>
    </w:p>
    <w:p>
      <w:pPr>
        <w:keepNext w:val="0"/>
        <w:keepLines w:val="0"/>
        <w:pageBreakBefore w:val="0"/>
        <w:widowControl w:val="0"/>
        <w:kinsoku/>
        <w:wordWrap/>
        <w:overflowPunct/>
        <w:topLinePunct w:val="0"/>
        <w:autoSpaceDE/>
        <w:autoSpaceDN/>
        <w:bidi w:val="0"/>
        <w:spacing w:after="156" w:afterLines="50" w:line="560" w:lineRule="exact"/>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PI=P×(1±K)×Y×T×D×H+L</w:t>
      </w:r>
    </w:p>
    <w:p>
      <w:pPr>
        <w:keepNext w:val="0"/>
        <w:keepLines w:val="0"/>
        <w:pageBreakBefore w:val="0"/>
        <w:widowControl w:val="0"/>
        <w:kinsoku/>
        <w:wordWrap/>
        <w:overflowPunct/>
        <w:topLinePunct w:val="0"/>
        <w:autoSpaceDE/>
        <w:autoSpaceDN/>
        <w:bidi w:val="0"/>
        <w:spacing w:after="156" w:afterLines="50" w:line="560" w:lineRule="exact"/>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式中：PI ----估价对象修正后地价；</w:t>
      </w:r>
    </w:p>
    <w:p>
      <w:pPr>
        <w:keepNext w:val="0"/>
        <w:keepLines w:val="0"/>
        <w:pageBreakBefore w:val="0"/>
        <w:widowControl w:val="0"/>
        <w:kinsoku/>
        <w:wordWrap/>
        <w:overflowPunct/>
        <w:topLinePunct w:val="0"/>
        <w:autoSpaceDE/>
        <w:autoSpaceDN/>
        <w:bidi w:val="0"/>
        <w:spacing w:after="156" w:afterLines="50" w:line="560" w:lineRule="exact"/>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P ----估价对象所在区域基准地价;</w:t>
      </w:r>
    </w:p>
    <w:p>
      <w:pPr>
        <w:keepNext w:val="0"/>
        <w:keepLines w:val="0"/>
        <w:pageBreakBefore w:val="0"/>
        <w:widowControl w:val="0"/>
        <w:kinsoku/>
        <w:wordWrap/>
        <w:overflowPunct/>
        <w:topLinePunct w:val="0"/>
        <w:autoSpaceDE/>
        <w:autoSpaceDN/>
        <w:bidi w:val="0"/>
        <w:spacing w:after="156" w:afterLines="50" w:line="560" w:lineRule="exact"/>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K ----估价对象区域和个别因素的总修正系数;</w:t>
      </w:r>
    </w:p>
    <w:p>
      <w:pPr>
        <w:keepNext w:val="0"/>
        <w:keepLines w:val="0"/>
        <w:pageBreakBefore w:val="0"/>
        <w:widowControl w:val="0"/>
        <w:kinsoku/>
        <w:wordWrap/>
        <w:overflowPunct/>
        <w:topLinePunct w:val="0"/>
        <w:autoSpaceDE/>
        <w:autoSpaceDN/>
        <w:bidi w:val="0"/>
        <w:spacing w:after="156" w:afterLines="50" w:line="560" w:lineRule="exact"/>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Y ----土地使用年期修正系数;</w:t>
      </w:r>
    </w:p>
    <w:p>
      <w:pPr>
        <w:keepNext w:val="0"/>
        <w:keepLines w:val="0"/>
        <w:pageBreakBefore w:val="0"/>
        <w:widowControl w:val="0"/>
        <w:kinsoku/>
        <w:wordWrap/>
        <w:overflowPunct/>
        <w:topLinePunct w:val="0"/>
        <w:autoSpaceDE/>
        <w:autoSpaceDN/>
        <w:bidi w:val="0"/>
        <w:spacing w:after="156" w:afterLines="50" w:line="560" w:lineRule="exact"/>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T ----期日修正系数;</w:t>
      </w:r>
    </w:p>
    <w:p>
      <w:pPr>
        <w:keepNext w:val="0"/>
        <w:keepLines w:val="0"/>
        <w:pageBreakBefore w:val="0"/>
        <w:widowControl w:val="0"/>
        <w:kinsoku/>
        <w:wordWrap/>
        <w:overflowPunct/>
        <w:topLinePunct w:val="0"/>
        <w:autoSpaceDE/>
        <w:autoSpaceDN/>
        <w:bidi w:val="0"/>
        <w:spacing w:after="156" w:afterLines="50" w:line="560" w:lineRule="exact"/>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D ----容积率修正系数;</w:t>
      </w:r>
    </w:p>
    <w:p>
      <w:pPr>
        <w:keepNext w:val="0"/>
        <w:keepLines w:val="0"/>
        <w:pageBreakBefore w:val="0"/>
        <w:widowControl w:val="0"/>
        <w:kinsoku/>
        <w:wordWrap/>
        <w:overflowPunct/>
        <w:topLinePunct w:val="0"/>
        <w:autoSpaceDE/>
        <w:autoSpaceDN/>
        <w:bidi w:val="0"/>
        <w:spacing w:after="156" w:afterLines="50" w:line="560" w:lineRule="exact"/>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H ----他项权利修正系数；</w:t>
      </w:r>
    </w:p>
    <w:p>
      <w:pPr>
        <w:keepNext w:val="0"/>
        <w:keepLines w:val="0"/>
        <w:pageBreakBefore w:val="0"/>
        <w:widowControl w:val="0"/>
        <w:kinsoku/>
        <w:wordWrap/>
        <w:overflowPunct/>
        <w:topLinePunct w:val="0"/>
        <w:autoSpaceDE/>
        <w:autoSpaceDN/>
        <w:bidi w:val="0"/>
        <w:spacing w:after="156" w:afterLines="50" w:line="560" w:lineRule="exact"/>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L ----土地开发程度修正值。</w:t>
      </w:r>
    </w:p>
    <w:p>
      <w:pPr>
        <w:keepNext w:val="0"/>
        <w:keepLines w:val="0"/>
        <w:pageBreakBefore w:val="0"/>
        <w:kinsoku/>
        <w:overflowPunct/>
        <w:topLinePunct w:val="0"/>
        <w:autoSpaceDE/>
        <w:autoSpaceDN/>
        <w:bidi w:val="0"/>
        <w:spacing w:line="560" w:lineRule="exact"/>
        <w:ind w:firstLine="560" w:firstLineChars="200"/>
        <w:textAlignment w:val="auto"/>
        <w:rPr>
          <w:rFonts w:hint="eastAsia" w:ascii="仿宋_GB2312" w:eastAsia="仿宋_GB2312"/>
          <w:sz w:val="28"/>
        </w:rPr>
      </w:pPr>
      <w:r>
        <w:rPr>
          <w:rFonts w:hint="eastAsia" w:ascii="仿宋" w:hAnsi="仿宋" w:eastAsia="仿宋" w:cs="仿宋"/>
          <w:color w:val="auto"/>
          <w:sz w:val="28"/>
          <w:szCs w:val="28"/>
          <w:lang w:val="en-US" w:eastAsia="zh-CN"/>
        </w:rPr>
        <w:t>（4）</w:t>
      </w:r>
      <w:r>
        <w:rPr>
          <w:rFonts w:hint="eastAsia" w:ascii="仿宋_GB2312" w:hAnsi="宋体" w:eastAsia="仿宋_GB2312"/>
          <w:sz w:val="28"/>
          <w:szCs w:val="28"/>
          <w:lang w:eastAsia="zh-CN"/>
        </w:rPr>
        <w:t>剩余法（假设开发法）</w:t>
      </w:r>
      <w:r>
        <w:rPr>
          <w:rFonts w:hint="eastAsia" w:ascii="仿宋_GB2312" w:hAnsi="宋体" w:eastAsia="仿宋_GB2312"/>
          <w:sz w:val="28"/>
          <w:szCs w:val="28"/>
          <w:lang w:val="en-US" w:eastAsia="zh-CN"/>
        </w:rPr>
        <w:t>定义：</w:t>
      </w:r>
      <w:r>
        <w:rPr>
          <w:rFonts w:hint="eastAsia" w:ascii="仿宋_GB2312" w:eastAsia="仿宋_GB2312"/>
          <w:sz w:val="28"/>
        </w:rPr>
        <w:t>剩余法（假设开发法）是根据预测土地连同未来将建造完成的建筑物可实现的开发价值，扣除其正常的开发费用、销售费用、税金及开发利润，来确定待估土地价格的一种方法。其公式为：</w:t>
      </w:r>
    </w:p>
    <w:p>
      <w:pPr>
        <w:keepNext w:val="0"/>
        <w:keepLines w:val="0"/>
        <w:pageBreakBefore w:val="0"/>
        <w:kinsoku/>
        <w:overflowPunct/>
        <w:topLinePunct w:val="0"/>
        <w:autoSpaceDE/>
        <w:autoSpaceDN/>
        <w:bidi w:val="0"/>
        <w:spacing w:line="560" w:lineRule="exact"/>
        <w:ind w:firstLine="570"/>
        <w:textAlignment w:val="auto"/>
        <w:rPr>
          <w:rFonts w:hint="default" w:ascii="仿宋" w:hAnsi="仿宋" w:eastAsia="仿宋" w:cs="仿宋"/>
          <w:color w:val="auto"/>
          <w:sz w:val="28"/>
          <w:szCs w:val="28"/>
          <w:lang w:val="en-US" w:eastAsia="zh-CN"/>
        </w:rPr>
      </w:pPr>
      <w:r>
        <w:rPr>
          <w:rFonts w:hint="eastAsia" w:ascii="仿宋_GB2312" w:eastAsia="仿宋_GB2312"/>
          <w:sz w:val="28"/>
        </w:rPr>
        <w:t>估价对象地价=开发价值-前期配套费-建安费用-专业费-管理费用-不可预见费-利息-开发商利润-销售费用及税金</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2" w:firstLineChars="200"/>
        <w:jc w:val="both"/>
        <w:textAlignment w:val="auto"/>
        <w:outlineLvl w:val="1"/>
        <w:rPr>
          <w:rFonts w:hint="eastAsia" w:ascii="仿宋" w:hAnsi="仿宋" w:eastAsia="仿宋" w:cs="仿宋"/>
          <w:sz w:val="28"/>
          <w:szCs w:val="28"/>
        </w:rPr>
      </w:pPr>
      <w:r>
        <w:rPr>
          <w:rFonts w:hint="eastAsia" w:ascii="仿宋" w:hAnsi="仿宋" w:eastAsia="仿宋" w:cs="仿宋"/>
          <w:b/>
          <w:bCs/>
          <w:sz w:val="28"/>
          <w:szCs w:val="28"/>
          <w:lang w:eastAsia="zh-CN"/>
        </w:rPr>
        <w:t>（十）</w:t>
      </w:r>
      <w:r>
        <w:rPr>
          <w:rFonts w:hint="eastAsia" w:ascii="仿宋" w:hAnsi="仿宋" w:eastAsia="仿宋" w:cs="仿宋"/>
          <w:b/>
          <w:bCs/>
          <w:sz w:val="28"/>
          <w:szCs w:val="28"/>
        </w:rPr>
        <w:t>、估价结果</w:t>
      </w:r>
      <w:r>
        <w:rPr>
          <w:rFonts w:hint="eastAsia" w:ascii="仿宋" w:hAnsi="仿宋" w:eastAsia="仿宋" w:cs="仿宋"/>
          <w:sz w:val="28"/>
          <w:szCs w:val="28"/>
        </w:rPr>
        <w:t>:</w:t>
      </w:r>
      <w:bookmarkEnd w:id="146"/>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28"/>
          <w:szCs w:val="28"/>
          <w:lang w:val="en-US" w:eastAsia="zh-CN"/>
        </w:rPr>
        <w:t>本估价机构根据估价目的，遵循估价原则，按照估价程序，采用收益法、比较法、基准地价修正法和剩余法进行估价，在认真分析现有资料及影响房地产市场价值因素的基础上，经过测算，确定</w:t>
      </w:r>
      <w:r>
        <w:rPr>
          <w:rFonts w:hint="eastAsia" w:ascii="仿宋" w:hAnsi="仿宋" w:eastAsia="仿宋" w:cs="仿宋"/>
          <w:sz w:val="28"/>
          <w:szCs w:val="28"/>
        </w:rPr>
        <w:t>估价对象</w:t>
      </w:r>
      <w:r>
        <w:rPr>
          <w:rFonts w:hint="eastAsia" w:ascii="仿宋" w:hAnsi="仿宋" w:eastAsia="仿宋" w:cs="仿宋"/>
          <w:sz w:val="28"/>
          <w:szCs w:val="28"/>
          <w:lang w:val="en-US" w:eastAsia="zh-CN"/>
        </w:rPr>
        <w:t>在</w:t>
      </w:r>
      <w:r>
        <w:rPr>
          <w:rFonts w:hint="eastAsia" w:ascii="仿宋" w:hAnsi="仿宋" w:eastAsia="仿宋" w:cs="仿宋"/>
          <w:sz w:val="28"/>
          <w:szCs w:val="28"/>
          <w:lang w:eastAsia="zh-CN"/>
        </w:rPr>
        <w:t>满足本</w:t>
      </w:r>
      <w:r>
        <w:rPr>
          <w:rFonts w:hint="eastAsia" w:ascii="仿宋" w:hAnsi="仿宋" w:eastAsia="仿宋" w:cs="仿宋"/>
          <w:sz w:val="28"/>
          <w:szCs w:val="28"/>
          <w:lang w:val="en-US" w:eastAsia="zh-CN"/>
        </w:rPr>
        <w:t>估价</w:t>
      </w:r>
      <w:r>
        <w:rPr>
          <w:rFonts w:hint="eastAsia" w:ascii="仿宋" w:hAnsi="仿宋" w:eastAsia="仿宋" w:cs="仿宋"/>
          <w:sz w:val="28"/>
          <w:szCs w:val="28"/>
          <w:lang w:eastAsia="zh-CN"/>
        </w:rPr>
        <w:t>报告所述价值定义及“估价假设和限制条件”</w:t>
      </w:r>
      <w:r>
        <w:rPr>
          <w:rFonts w:hint="eastAsia" w:ascii="仿宋" w:hAnsi="仿宋" w:eastAsia="仿宋" w:cs="仿宋"/>
          <w:sz w:val="28"/>
          <w:szCs w:val="28"/>
          <w:lang w:val="en-US" w:eastAsia="zh-CN"/>
        </w:rPr>
        <w:t>下，在价值时点的房地产市场状况及现有用途继续使用前提下的</w:t>
      </w:r>
      <w:r>
        <w:rPr>
          <w:rFonts w:hint="eastAsia" w:ascii="仿宋" w:hAnsi="仿宋" w:eastAsia="仿宋" w:cs="仿宋"/>
          <w:sz w:val="28"/>
          <w:szCs w:val="28"/>
          <w:lang w:eastAsia="zh-CN"/>
        </w:rPr>
        <w:t>市场价值</w:t>
      </w:r>
      <w:r>
        <w:rPr>
          <w:rFonts w:hint="eastAsia" w:ascii="仿宋" w:hAnsi="仿宋" w:eastAsia="仿宋" w:cs="仿宋"/>
          <w:sz w:val="28"/>
          <w:szCs w:val="28"/>
          <w:lang w:val="en-US" w:eastAsia="zh-CN"/>
        </w:rPr>
        <w:t>为</w:t>
      </w:r>
      <w:r>
        <w:rPr>
          <w:rFonts w:hint="eastAsia" w:ascii="仿宋" w:hAnsi="仿宋" w:eastAsia="仿宋" w:cs="仿宋"/>
          <w:sz w:val="28"/>
          <w:szCs w:val="28"/>
          <w:lang w:eastAsia="zh-CN"/>
        </w:rPr>
        <w:t>人民币大写：</w:t>
      </w:r>
      <w:r>
        <w:rPr>
          <w:rFonts w:hint="eastAsia" w:ascii="仿宋" w:hAnsi="仿宋" w:eastAsia="仿宋" w:cs="仿宋"/>
          <w:b/>
          <w:bCs/>
          <w:strike w:val="0"/>
          <w:dstrike w:val="0"/>
          <w:color w:val="auto"/>
          <w:sz w:val="28"/>
          <w:szCs w:val="28"/>
          <w:lang w:val="en-US" w:eastAsia="zh-CN"/>
        </w:rPr>
        <w:t>贰仟贰佰伍拾贰万肆仟贰佰元整（小写：￥2252.42万元）</w:t>
      </w:r>
      <w:r>
        <w:rPr>
          <w:rFonts w:hint="eastAsia" w:ascii="仿宋" w:hAnsi="仿宋" w:eastAsia="仿宋" w:cs="仿宋"/>
          <w:sz w:val="28"/>
          <w:szCs w:val="28"/>
          <w:lang w:val="en-US" w:eastAsia="zh-CN"/>
        </w:rPr>
        <w:t>。估</w:t>
      </w:r>
      <w:r>
        <w:rPr>
          <w:rFonts w:hint="eastAsia" w:ascii="仿宋" w:hAnsi="仿宋" w:eastAsia="仿宋" w:cs="仿宋"/>
          <w:color w:val="000000"/>
          <w:sz w:val="28"/>
          <w:szCs w:val="28"/>
          <w:lang w:val="en-US" w:eastAsia="zh-CN"/>
        </w:rPr>
        <w:t>价结果保留小数点后两位，详见下表：</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 w:hAnsi="仿宋" w:eastAsia="仿宋" w:cs="仿宋"/>
          <w:sz w:val="32"/>
          <w:szCs w:val="32"/>
          <w:lang w:val="en-US" w:eastAsia="zh-CN"/>
        </w:rPr>
        <w:sectPr>
          <w:pgSz w:w="11906" w:h="16838"/>
          <w:pgMar w:top="1417" w:right="1417" w:bottom="1417" w:left="1701" w:header="851" w:footer="646" w:gutter="0"/>
          <w:pgNumType w:fmt="decimal"/>
          <w:cols w:space="720" w:num="1"/>
          <w:titlePg/>
          <w:rtlGutter w:val="0"/>
          <w:docGrid w:linePitch="312" w:charSpace="0"/>
        </w:sectPr>
      </w:pPr>
    </w:p>
    <w:tbl>
      <w:tblPr>
        <w:tblStyle w:val="9"/>
        <w:tblW w:w="5000" w:type="pct"/>
        <w:tblInd w:w="0" w:type="dxa"/>
        <w:shd w:val="clear" w:color="auto" w:fill="auto"/>
        <w:tblLayout w:type="autofit"/>
        <w:tblCellMar>
          <w:top w:w="0" w:type="dxa"/>
          <w:left w:w="0" w:type="dxa"/>
          <w:bottom w:w="0" w:type="dxa"/>
          <w:right w:w="0" w:type="dxa"/>
        </w:tblCellMar>
      </w:tblPr>
      <w:tblGrid>
        <w:gridCol w:w="510"/>
        <w:gridCol w:w="510"/>
        <w:gridCol w:w="1950"/>
        <w:gridCol w:w="798"/>
        <w:gridCol w:w="350"/>
        <w:gridCol w:w="350"/>
        <w:gridCol w:w="350"/>
        <w:gridCol w:w="332"/>
        <w:gridCol w:w="321"/>
        <w:gridCol w:w="590"/>
        <w:gridCol w:w="670"/>
        <w:gridCol w:w="844"/>
        <w:gridCol w:w="532"/>
        <w:gridCol w:w="1671"/>
        <w:gridCol w:w="616"/>
        <w:gridCol w:w="414"/>
        <w:gridCol w:w="821"/>
        <w:gridCol w:w="633"/>
        <w:gridCol w:w="768"/>
        <w:gridCol w:w="653"/>
        <w:gridCol w:w="351"/>
      </w:tblGrid>
      <w:tr>
        <w:tblPrEx>
          <w:shd w:val="clear" w:color="auto" w:fill="auto"/>
          <w:tblCellMar>
            <w:top w:w="0" w:type="dxa"/>
            <w:left w:w="0" w:type="dxa"/>
            <w:bottom w:w="0" w:type="dxa"/>
            <w:right w:w="0" w:type="dxa"/>
          </w:tblCellMar>
        </w:tblPrEx>
        <w:trPr>
          <w:trHeight w:val="1440" w:hRule="atLeast"/>
        </w:trPr>
        <w:tc>
          <w:tcPr>
            <w:tcW w:w="5000" w:type="pct"/>
            <w:gridSpan w:val="2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房地产估价结果一览表</w:t>
            </w:r>
          </w:p>
        </w:tc>
      </w:tr>
      <w:tr>
        <w:tblPrEx>
          <w:shd w:val="clear" w:color="auto" w:fill="auto"/>
          <w:tblCellMar>
            <w:top w:w="0" w:type="dxa"/>
            <w:left w:w="0" w:type="dxa"/>
            <w:bottom w:w="0" w:type="dxa"/>
            <w:right w:w="0" w:type="dxa"/>
          </w:tblCellMar>
        </w:tblPrEx>
        <w:trPr>
          <w:trHeight w:val="92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产权人</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坐落</w:t>
            </w:r>
          </w:p>
        </w:tc>
        <w:tc>
          <w:tcPr>
            <w:tcW w:w="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房屋所有权证号</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幢号</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房号</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结构</w:t>
            </w:r>
          </w:p>
        </w:tc>
        <w:tc>
          <w:tcPr>
            <w:tcW w:w="1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房屋总层数</w:t>
            </w:r>
          </w:p>
        </w:tc>
        <w:tc>
          <w:tcPr>
            <w:tcW w:w="1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所在层数</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建筑面积（</w:t>
            </w:r>
            <w:r>
              <w:rPr>
                <w:rFonts w:ascii="宋体" w:hAnsi="宋体" w:eastAsia="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设计用途</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土地证号</w:t>
            </w: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土地使用权人</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坐落</w:t>
            </w:r>
          </w:p>
        </w:tc>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地类用途</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使用权类型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终止日期</w:t>
            </w:r>
          </w:p>
        </w:tc>
        <w:tc>
          <w:tcPr>
            <w:tcW w:w="2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使用权面积（</w:t>
            </w:r>
            <w:r>
              <w:rPr>
                <w:rFonts w:ascii="宋体" w:hAnsi="宋体" w:eastAsia="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w:t>
            </w:r>
          </w:p>
        </w:tc>
        <w:tc>
          <w:tcPr>
            <w:tcW w:w="2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评估单价（元/</w:t>
            </w:r>
            <w:r>
              <w:rPr>
                <w:rFonts w:ascii="宋体" w:hAnsi="宋体" w:eastAsia="宋体"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w:t>
            </w:r>
          </w:p>
        </w:tc>
        <w:tc>
          <w:tcPr>
            <w:tcW w:w="2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评估总价（万元）</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备注</w:t>
            </w:r>
          </w:p>
        </w:tc>
      </w:tr>
      <w:tr>
        <w:tblPrEx>
          <w:shd w:val="clear" w:color="auto" w:fill="auto"/>
          <w:tblCellMar>
            <w:top w:w="0" w:type="dxa"/>
            <w:left w:w="0" w:type="dxa"/>
            <w:bottom w:w="0" w:type="dxa"/>
            <w:right w:w="0" w:type="dxa"/>
          </w:tblCellMar>
        </w:tblPrEx>
        <w:trPr>
          <w:trHeight w:val="60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卢开玉</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西湖路145号开发19幢23-27轴底层门市</w:t>
            </w:r>
          </w:p>
        </w:tc>
        <w:tc>
          <w:tcPr>
            <w:tcW w:w="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房权证广权字第9575-2号</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52.1</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营业</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广国用（2007）第14258号</w:t>
            </w: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卢开玉</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广汉市西湖路145号开发19幢23-27轴底层营业房</w:t>
            </w:r>
          </w:p>
        </w:tc>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城镇混合住宅用地（商业）</w:t>
            </w:r>
          </w:p>
        </w:tc>
        <w:tc>
          <w:tcPr>
            <w:tcW w:w="1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2051/3/2</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10.68</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18820.00</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98.05</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00" w:hRule="atLeast"/>
        </w:trPr>
        <w:tc>
          <w:tcPr>
            <w:tcW w:w="15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5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卢开玉</w:t>
            </w:r>
          </w:p>
        </w:tc>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西湖路147号开发19幢底层27-30轴、二层23-30轴门市</w:t>
            </w:r>
          </w:p>
        </w:tc>
        <w:tc>
          <w:tcPr>
            <w:tcW w:w="30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房权证广权字第8020-3号</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26.07</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营业</w:t>
            </w:r>
          </w:p>
        </w:tc>
        <w:tc>
          <w:tcPr>
            <w:tcW w:w="32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广国用（2007）第14257号</w:t>
            </w:r>
          </w:p>
        </w:tc>
        <w:tc>
          <w:tcPr>
            <w:tcW w:w="2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卢开玉</w:t>
            </w:r>
          </w:p>
        </w:tc>
        <w:tc>
          <w:tcPr>
            <w:tcW w:w="61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广汉市西湖路147号开发19幢底层27-30轴、二层23-30轴营业用房</w:t>
            </w:r>
          </w:p>
        </w:tc>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城镇混合住宅用地（商业）</w:t>
            </w:r>
          </w:p>
        </w:tc>
        <w:tc>
          <w:tcPr>
            <w:tcW w:w="16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2051/3/2</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24.08</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18820.00</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49.06</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00" w:hRule="atLeast"/>
        </w:trPr>
        <w:tc>
          <w:tcPr>
            <w:tcW w:w="15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91.46</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营业</w:t>
            </w:r>
          </w:p>
        </w:tc>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6500.00</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59.45</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0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中山大道北三段35号中山小区8幢1-2层门市</w:t>
            </w:r>
          </w:p>
        </w:tc>
        <w:tc>
          <w:tcPr>
            <w:tcW w:w="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房权证广权字第2958-2号</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231.53</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营业</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广国用（2006）第12191号</w:t>
            </w: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广汉市中山大道北三段35号中山小区8幢1-2层营业用房</w:t>
            </w:r>
          </w:p>
        </w:tc>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城镇混合住宅用地（商业）</w:t>
            </w:r>
          </w:p>
        </w:tc>
        <w:tc>
          <w:tcPr>
            <w:tcW w:w="1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2041/9/15</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33.34</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11540.00</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267.19</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0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东西大街西二段260号1幢</w:t>
            </w:r>
          </w:p>
        </w:tc>
        <w:tc>
          <w:tcPr>
            <w:tcW w:w="3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广房权证广汉市字第51609-1号</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框架</w:t>
            </w: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2111.08</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商住</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广国用（2007）第26820号</w:t>
            </w:r>
          </w:p>
        </w:tc>
        <w:tc>
          <w:tcPr>
            <w:tcW w:w="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广汉市东西大街西二段260号</w:t>
            </w:r>
          </w:p>
        </w:tc>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城镇混合住宅用地</w:t>
            </w:r>
          </w:p>
        </w:tc>
        <w:tc>
          <w:tcPr>
            <w:tcW w:w="1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住宅：2079-9-2商业：2049-9-2</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1050.80</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6800.00</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1435.53</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0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广国用（2011）第37691号</w:t>
            </w:r>
          </w:p>
        </w:tc>
        <w:tc>
          <w:tcPr>
            <w:tcW w:w="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张义生</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广汉市东西大街西二段</w:t>
            </w:r>
          </w:p>
        </w:tc>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其他商服用地</w:t>
            </w:r>
          </w:p>
        </w:tc>
        <w:tc>
          <w:tcPr>
            <w:tcW w:w="1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出让</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2051/4/28</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1258.30</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2727.00</w:t>
            </w: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343.14</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00" w:hRule="atLeast"/>
        </w:trPr>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2512.24</w:t>
            </w: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2252.42</w:t>
            </w:r>
          </w:p>
        </w:tc>
        <w:tc>
          <w:tcPr>
            <w:tcW w:w="1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 w:hAnsi="仿宋" w:eastAsia="仿宋" w:cs="仿宋"/>
          <w:sz w:val="32"/>
          <w:szCs w:val="32"/>
          <w:lang w:val="en-US" w:eastAsia="zh-CN"/>
        </w:rPr>
        <w:sectPr>
          <w:pgSz w:w="16838" w:h="11906" w:orient="landscape"/>
          <w:pgMar w:top="1701" w:right="1417" w:bottom="1417" w:left="1417" w:header="851" w:footer="646" w:gutter="0"/>
          <w:pgNumType w:fmt="decimal"/>
          <w:cols w:space="720" w:num="1"/>
          <w:titlePg/>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both"/>
        <w:textAlignment w:val="auto"/>
        <w:outlineLvl w:val="1"/>
        <w:rPr>
          <w:rFonts w:hint="eastAsia" w:ascii="仿宋_GB2312" w:hAnsi="宋体" w:eastAsia="仿宋_GB2312"/>
          <w:b/>
          <w:bCs/>
          <w:kern w:val="2"/>
          <w:sz w:val="24"/>
          <w:szCs w:val="24"/>
          <w:lang w:val="en-US" w:eastAsia="zh-CN"/>
        </w:rPr>
      </w:pPr>
      <w:bookmarkStart w:id="147" w:name="_Toc21020"/>
      <w:bookmarkStart w:id="148" w:name="_Toc31653"/>
      <w:bookmarkStart w:id="149" w:name="_Toc24380"/>
      <w:bookmarkStart w:id="150" w:name="_Toc8820"/>
      <w:bookmarkStart w:id="151" w:name="_Toc30143"/>
      <w:r>
        <w:rPr>
          <w:rFonts w:hint="eastAsia" w:ascii="仿宋_GB2312" w:eastAsia="仿宋_GB2312"/>
          <w:b/>
          <w:bCs/>
          <w:sz w:val="28"/>
          <w:szCs w:val="28"/>
          <w:lang w:val="en-US" w:eastAsia="zh-CN"/>
        </w:rPr>
        <w:t>(</w:t>
      </w:r>
      <w:r>
        <w:rPr>
          <w:rFonts w:hint="eastAsia" w:ascii="仿宋_GB2312" w:eastAsia="仿宋_GB2312"/>
          <w:b/>
          <w:bCs/>
          <w:sz w:val="28"/>
          <w:szCs w:val="28"/>
        </w:rPr>
        <w:t>十一</w:t>
      </w:r>
      <w:r>
        <w:rPr>
          <w:rFonts w:hint="eastAsia" w:ascii="仿宋_GB2312" w:eastAsia="仿宋_GB2312"/>
          <w:b/>
          <w:bCs/>
          <w:sz w:val="28"/>
          <w:szCs w:val="28"/>
          <w:lang w:val="en-US" w:eastAsia="zh-CN"/>
        </w:rPr>
        <w:t>)</w:t>
      </w:r>
      <w:r>
        <w:rPr>
          <w:rFonts w:hint="eastAsia" w:ascii="仿宋_GB2312" w:hAnsi="宋体" w:eastAsia="仿宋_GB2312"/>
          <w:b/>
          <w:bCs/>
          <w:sz w:val="28"/>
          <w:szCs w:val="28"/>
          <w:lang w:eastAsia="zh-CN"/>
        </w:rPr>
        <w:t>注册房地产估价师</w:t>
      </w:r>
      <w:r>
        <w:rPr>
          <w:rFonts w:hint="eastAsia" w:ascii="仿宋_GB2312" w:hAnsi="宋体" w:eastAsia="仿宋_GB2312"/>
          <w:b/>
          <w:bCs/>
          <w:sz w:val="28"/>
          <w:szCs w:val="28"/>
        </w:rPr>
        <w:t>:</w:t>
      </w:r>
      <w:bookmarkEnd w:id="147"/>
      <w:bookmarkEnd w:id="148"/>
      <w:bookmarkEnd w:id="149"/>
      <w:bookmarkEnd w:id="150"/>
      <w:bookmarkEnd w:id="151"/>
    </w:p>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bookmarkStart w:id="152" w:name="_Toc9172_WPSOffice_Level2"/>
      <w:bookmarkStart w:id="153" w:name="_Toc18056_WPSOffice_Level2"/>
      <w:r>
        <w:rPr>
          <w:rFonts w:hint="eastAsia" w:ascii="仿宋_GB2312" w:hAnsi="宋体" w:eastAsia="仿宋_GB2312"/>
          <w:b/>
          <w:bCs/>
          <w:kern w:val="2"/>
          <w:sz w:val="24"/>
          <w:szCs w:val="24"/>
          <w:lang w:val="en-US" w:eastAsia="zh-CN"/>
        </w:rPr>
        <w:t>参加估价的注册房地产估价师</w:t>
      </w:r>
      <w:bookmarkEnd w:id="152"/>
      <w:bookmarkEnd w:id="153"/>
    </w:p>
    <w:tbl>
      <w:tblPr>
        <w:tblStyle w:val="10"/>
        <w:tblW w:w="8780"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1841"/>
        <w:gridCol w:w="2239"/>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1837"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r>
              <w:rPr>
                <w:rFonts w:hint="eastAsia" w:ascii="仿宋_GB2312" w:hAnsi="宋体" w:eastAsia="仿宋_GB2312"/>
                <w:b/>
                <w:bCs/>
                <w:kern w:val="2"/>
                <w:sz w:val="24"/>
                <w:szCs w:val="24"/>
                <w:vertAlign w:val="baseline"/>
                <w:lang w:val="en-US" w:eastAsia="zh-CN"/>
              </w:rPr>
              <w:t>姓   名</w:t>
            </w:r>
          </w:p>
        </w:tc>
        <w:tc>
          <w:tcPr>
            <w:tcW w:w="1841"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r>
              <w:rPr>
                <w:rFonts w:hint="eastAsia" w:ascii="仿宋_GB2312" w:hAnsi="宋体" w:eastAsia="仿宋_GB2312"/>
                <w:b/>
                <w:bCs/>
                <w:kern w:val="2"/>
                <w:sz w:val="24"/>
                <w:szCs w:val="24"/>
                <w:vertAlign w:val="baseline"/>
                <w:lang w:val="en-US" w:eastAsia="zh-CN"/>
              </w:rPr>
              <w:t>注册号</w:t>
            </w:r>
          </w:p>
        </w:tc>
        <w:tc>
          <w:tcPr>
            <w:tcW w:w="2239"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r>
              <w:rPr>
                <w:rFonts w:hint="eastAsia" w:ascii="仿宋_GB2312" w:hAnsi="宋体" w:eastAsia="仿宋_GB2312"/>
                <w:b/>
                <w:bCs/>
                <w:kern w:val="2"/>
                <w:sz w:val="24"/>
                <w:szCs w:val="24"/>
                <w:vertAlign w:val="baseline"/>
                <w:lang w:val="en-US" w:eastAsia="zh-CN"/>
              </w:rPr>
              <w:t>签   名</w:t>
            </w:r>
          </w:p>
        </w:tc>
        <w:tc>
          <w:tcPr>
            <w:tcW w:w="2863"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bCs/>
                <w:kern w:val="2"/>
                <w:sz w:val="24"/>
                <w:szCs w:val="24"/>
                <w:vertAlign w:val="baseline"/>
                <w:lang w:val="en-US" w:eastAsia="zh-CN"/>
              </w:rPr>
            </w:pPr>
            <w:r>
              <w:rPr>
                <w:rFonts w:hint="eastAsia" w:ascii="仿宋_GB2312" w:hAnsi="宋体" w:eastAsia="仿宋_GB2312"/>
                <w:b/>
                <w:bCs/>
                <w:kern w:val="2"/>
                <w:sz w:val="24"/>
                <w:szCs w:val="24"/>
                <w:vertAlign w:val="baseline"/>
                <w:lang w:val="en-US" w:eastAsia="zh-CN"/>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837"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r>
              <w:rPr>
                <w:rFonts w:hint="eastAsia" w:ascii="仿宋_GB2312" w:hAnsi="宋体" w:eastAsia="仿宋_GB2312"/>
                <w:b w:val="0"/>
                <w:bCs w:val="0"/>
                <w:kern w:val="2"/>
                <w:sz w:val="24"/>
                <w:szCs w:val="24"/>
                <w:lang w:eastAsia="zh-CN"/>
              </w:rPr>
              <w:t>刘　莉</w:t>
            </w:r>
          </w:p>
        </w:tc>
        <w:tc>
          <w:tcPr>
            <w:tcW w:w="1841"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r>
              <w:rPr>
                <w:rFonts w:hint="eastAsia" w:ascii="仿宋_GB2312" w:hAnsi="宋体" w:eastAsia="仿宋_GB2312"/>
                <w:b w:val="0"/>
                <w:bCs w:val="0"/>
                <w:kern w:val="2"/>
                <w:sz w:val="24"/>
                <w:szCs w:val="24"/>
                <w:lang w:eastAsia="zh-CN"/>
              </w:rPr>
              <w:t>5120180003</w:t>
            </w:r>
            <w:r>
              <w:rPr>
                <w:rFonts w:hint="eastAsia" w:ascii="仿宋_GB2312" w:hAnsi="宋体" w:eastAsia="仿宋_GB2312"/>
                <w:b w:val="0"/>
                <w:bCs w:val="0"/>
                <w:kern w:val="2"/>
                <w:sz w:val="24"/>
                <w:szCs w:val="24"/>
                <w:lang w:val="en-US" w:eastAsia="zh-CN"/>
              </w:rPr>
              <w:t xml:space="preserve"> </w:t>
            </w:r>
          </w:p>
        </w:tc>
        <w:tc>
          <w:tcPr>
            <w:tcW w:w="2239"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p>
        </w:tc>
        <w:tc>
          <w:tcPr>
            <w:tcW w:w="2863"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r>
              <w:rPr>
                <w:rFonts w:hint="eastAsia" w:ascii="仿宋_GB2312" w:hAnsi="宋体" w:eastAsia="仿宋_GB2312"/>
                <w:b w:val="0"/>
                <w:bCs w:val="0"/>
                <w:kern w:val="2"/>
                <w:sz w:val="24"/>
                <w:szCs w:val="24"/>
                <w:vertAlign w:val="baseline"/>
                <w:lang w:val="en-US" w:eastAsia="zh-CN"/>
              </w:rPr>
              <w:t xml:space="preserve">二〇二〇年五月十五日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1837"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sz w:val="24"/>
                <w:szCs w:val="24"/>
                <w:lang w:val="en-US" w:eastAsia="zh-CN"/>
              </w:rPr>
            </w:pPr>
            <w:r>
              <w:rPr>
                <w:rFonts w:hint="eastAsia" w:ascii="仿宋_GB2312" w:hAnsi="宋体" w:eastAsia="仿宋_GB2312"/>
                <w:b w:val="0"/>
                <w:bCs w:val="0"/>
                <w:sz w:val="24"/>
                <w:szCs w:val="24"/>
                <w:lang w:val="en-US" w:eastAsia="zh-CN"/>
              </w:rPr>
              <w:t>刘  健</w:t>
            </w:r>
          </w:p>
        </w:tc>
        <w:tc>
          <w:tcPr>
            <w:tcW w:w="1841"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sz w:val="24"/>
                <w:szCs w:val="24"/>
              </w:rPr>
            </w:pPr>
            <w:r>
              <w:rPr>
                <w:rFonts w:hint="eastAsia" w:ascii="仿宋_GB2312" w:hAnsi="宋体" w:eastAsia="仿宋_GB2312"/>
                <w:b w:val="0"/>
                <w:bCs w:val="0"/>
                <w:kern w:val="2"/>
                <w:sz w:val="24"/>
                <w:szCs w:val="24"/>
                <w:lang w:eastAsia="zh-CN"/>
              </w:rPr>
              <w:t>5120110034</w:t>
            </w:r>
          </w:p>
        </w:tc>
        <w:tc>
          <w:tcPr>
            <w:tcW w:w="2239"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p>
        </w:tc>
        <w:tc>
          <w:tcPr>
            <w:tcW w:w="2863" w:type="dxa"/>
            <w:vAlign w:val="top"/>
          </w:tcPr>
          <w:p>
            <w:pPr>
              <w:pStyle w:val="14"/>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宋体" w:eastAsia="仿宋_GB2312"/>
                <w:b w:val="0"/>
                <w:bCs w:val="0"/>
                <w:kern w:val="2"/>
                <w:sz w:val="24"/>
                <w:szCs w:val="24"/>
                <w:vertAlign w:val="baseline"/>
                <w:lang w:val="en-US" w:eastAsia="zh-CN"/>
              </w:rPr>
            </w:pPr>
            <w:r>
              <w:rPr>
                <w:rFonts w:hint="eastAsia" w:ascii="仿宋_GB2312" w:hAnsi="宋体" w:eastAsia="仿宋_GB2312"/>
                <w:b w:val="0"/>
                <w:bCs w:val="0"/>
                <w:kern w:val="2"/>
                <w:sz w:val="24"/>
                <w:szCs w:val="24"/>
                <w:vertAlign w:val="baseline"/>
                <w:lang w:val="en-US" w:eastAsia="zh-CN"/>
              </w:rPr>
              <w:t xml:space="preserve">二〇二〇年五月十五日  </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firstLine="562" w:firstLineChars="200"/>
        <w:jc w:val="both"/>
        <w:textAlignment w:val="auto"/>
        <w:outlineLvl w:val="1"/>
        <w:rPr>
          <w:rFonts w:hint="eastAsia" w:ascii="仿宋_GB2312" w:hAnsi="宋体" w:eastAsia="仿宋_GB2312"/>
          <w:sz w:val="28"/>
          <w:szCs w:val="28"/>
        </w:rPr>
      </w:pPr>
      <w:bookmarkStart w:id="154" w:name="_Toc25528"/>
      <w:bookmarkStart w:id="155" w:name="_Toc32599"/>
      <w:bookmarkStart w:id="156" w:name="_Toc4108"/>
      <w:bookmarkStart w:id="157" w:name="_Toc21836"/>
      <w:bookmarkStart w:id="158" w:name="_Toc19463"/>
      <w:r>
        <w:rPr>
          <w:rFonts w:hint="eastAsia" w:ascii="仿宋_GB2312" w:hAnsi="宋体" w:eastAsia="仿宋_GB2312"/>
          <w:b/>
          <w:bCs/>
          <w:sz w:val="28"/>
          <w:szCs w:val="28"/>
          <w:lang w:val="en-US" w:eastAsia="zh-CN"/>
        </w:rPr>
        <w:t>(</w:t>
      </w:r>
      <w:r>
        <w:rPr>
          <w:rFonts w:hint="eastAsia" w:ascii="仿宋_GB2312" w:hAnsi="宋体" w:eastAsia="仿宋_GB2312"/>
          <w:b/>
          <w:bCs/>
          <w:sz w:val="28"/>
          <w:szCs w:val="28"/>
        </w:rPr>
        <w:t>十二</w:t>
      </w:r>
      <w:r>
        <w:rPr>
          <w:rFonts w:hint="eastAsia" w:ascii="仿宋_GB2312" w:hAnsi="宋体" w:eastAsia="仿宋_GB2312"/>
          <w:b/>
          <w:bCs/>
          <w:sz w:val="28"/>
          <w:szCs w:val="28"/>
          <w:lang w:val="en-US" w:eastAsia="zh-CN"/>
        </w:rPr>
        <w:t>)实地查勘期</w:t>
      </w:r>
      <w:r>
        <w:rPr>
          <w:rFonts w:hint="eastAsia" w:ascii="仿宋_GB2312" w:hAnsi="宋体" w:eastAsia="仿宋_GB2312"/>
          <w:sz w:val="28"/>
          <w:szCs w:val="28"/>
          <w:lang w:val="en-US" w:eastAsia="zh-CN"/>
        </w:rPr>
        <w:t>：</w:t>
      </w:r>
      <w:r>
        <w:rPr>
          <w:rFonts w:hint="eastAsia" w:ascii="仿宋_GB2312" w:hAnsi="宋体" w:eastAsia="仿宋_GB2312"/>
          <w:sz w:val="28"/>
          <w:szCs w:val="28"/>
          <w:lang w:eastAsia="zh-CN"/>
        </w:rPr>
        <w:t>2020年04月22日</w:t>
      </w:r>
      <w:r>
        <w:rPr>
          <w:rFonts w:hint="eastAsia" w:ascii="仿宋_GB2312" w:hAnsi="宋体" w:eastAsia="仿宋_GB2312"/>
          <w:sz w:val="28"/>
          <w:szCs w:val="28"/>
        </w:rPr>
        <w:t>。</w:t>
      </w:r>
      <w:bookmarkEnd w:id="154"/>
      <w:bookmarkEnd w:id="155"/>
      <w:bookmarkEnd w:id="156"/>
      <w:bookmarkEnd w:id="157"/>
      <w:bookmarkEnd w:id="158"/>
    </w:p>
    <w:p>
      <w:pPr>
        <w:keepNext w:val="0"/>
        <w:keepLines w:val="0"/>
        <w:pageBreakBefore w:val="0"/>
        <w:widowControl w:val="0"/>
        <w:kinsoku/>
        <w:wordWrap/>
        <w:overflowPunct/>
        <w:topLinePunct w:val="0"/>
        <w:autoSpaceDE/>
        <w:autoSpaceDN/>
        <w:bidi w:val="0"/>
        <w:adjustRightInd/>
        <w:snapToGrid/>
        <w:spacing w:line="600" w:lineRule="exact"/>
        <w:ind w:right="0" w:rightChars="0" w:firstLine="562" w:firstLineChars="200"/>
        <w:jc w:val="both"/>
        <w:textAlignment w:val="auto"/>
        <w:outlineLvl w:val="1"/>
        <w:rPr>
          <w:rFonts w:hint="eastAsia" w:ascii="仿宋_GB2312" w:hAnsi="宋体" w:eastAsia="仿宋_GB2312"/>
          <w:b/>
          <w:bCs/>
          <w:sz w:val="28"/>
          <w:szCs w:val="28"/>
        </w:rPr>
      </w:pPr>
      <w:bookmarkStart w:id="159" w:name="_Toc12093"/>
      <w:bookmarkStart w:id="160" w:name="_Toc32759"/>
      <w:bookmarkStart w:id="161" w:name="_Toc24884"/>
      <w:bookmarkStart w:id="162" w:name="_Toc31004"/>
      <w:bookmarkStart w:id="163" w:name="_Toc2484"/>
      <w:r>
        <w:rPr>
          <w:rFonts w:hint="eastAsia" w:ascii="仿宋_GB2312" w:hAnsi="宋体" w:eastAsia="仿宋_GB2312"/>
          <w:b/>
          <w:bCs/>
          <w:sz w:val="28"/>
          <w:szCs w:val="28"/>
          <w:lang w:val="en-US" w:eastAsia="zh-CN"/>
        </w:rPr>
        <w:t>(</w:t>
      </w:r>
      <w:r>
        <w:rPr>
          <w:rFonts w:hint="eastAsia" w:ascii="仿宋_GB2312" w:hAnsi="宋体" w:eastAsia="仿宋_GB2312"/>
          <w:b/>
          <w:bCs/>
          <w:sz w:val="28"/>
          <w:szCs w:val="28"/>
        </w:rPr>
        <w:t>十三</w:t>
      </w:r>
      <w:r>
        <w:rPr>
          <w:rFonts w:hint="eastAsia" w:ascii="仿宋_GB2312" w:hAnsi="宋体" w:eastAsia="仿宋_GB2312"/>
          <w:b/>
          <w:bCs/>
          <w:sz w:val="28"/>
          <w:szCs w:val="28"/>
          <w:lang w:val="en-US" w:eastAsia="zh-CN"/>
        </w:rPr>
        <w:t>)</w:t>
      </w:r>
      <w:r>
        <w:rPr>
          <w:rFonts w:hint="eastAsia" w:ascii="仿宋_GB2312" w:hAnsi="宋体" w:eastAsia="仿宋_GB2312"/>
          <w:b/>
          <w:bCs/>
          <w:sz w:val="28"/>
          <w:szCs w:val="28"/>
        </w:rPr>
        <w:t>估价作业期:</w:t>
      </w:r>
      <w:bookmarkEnd w:id="159"/>
      <w:bookmarkEnd w:id="160"/>
      <w:bookmarkEnd w:id="161"/>
      <w:bookmarkEnd w:id="162"/>
      <w:bookmarkEnd w:id="163"/>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rPr>
          <w:rFonts w:hint="eastAsia" w:ascii="仿宋_GB2312" w:eastAsia="仿宋_GB2312"/>
          <w:sz w:val="28"/>
          <w:szCs w:val="28"/>
        </w:rPr>
      </w:pPr>
      <w:r>
        <w:rPr>
          <w:rFonts w:hint="eastAsia" w:ascii="仿宋_GB2312" w:hAnsi="宋体" w:eastAsia="仿宋_GB2312"/>
          <w:sz w:val="28"/>
          <w:szCs w:val="28"/>
          <w:lang w:eastAsia="zh-CN"/>
        </w:rPr>
        <w:t>2020年04月22日</w:t>
      </w:r>
      <w:r>
        <w:rPr>
          <w:rFonts w:hint="eastAsia" w:ascii="仿宋_GB2312" w:hAnsi="宋体" w:eastAsia="仿宋_GB2312"/>
          <w:sz w:val="28"/>
          <w:szCs w:val="28"/>
        </w:rPr>
        <w:t>至</w:t>
      </w:r>
      <w:r>
        <w:rPr>
          <w:rFonts w:hint="eastAsia" w:ascii="仿宋_GB2312" w:hAnsi="宋体" w:eastAsia="仿宋_GB2312"/>
          <w:sz w:val="28"/>
          <w:szCs w:val="28"/>
          <w:lang w:eastAsia="zh-CN"/>
        </w:rPr>
        <w:t xml:space="preserve"> 2020年05月15日</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3150" w:leftChars="1500" w:right="0" w:rightChars="0" w:firstLine="560" w:firstLineChars="200"/>
        <w:jc w:val="both"/>
        <w:textAlignment w:val="auto"/>
        <w:rPr>
          <w:rFonts w:hint="eastAsia" w:ascii="仿宋_GB2312" w:eastAsia="仿宋_GB2312"/>
          <w:sz w:val="28"/>
          <w:szCs w:val="28"/>
        </w:rPr>
      </w:pPr>
      <w:r>
        <w:rPr>
          <w:rFonts w:hint="eastAsia" w:ascii="仿宋_GB2312" w:eastAsia="仿宋_GB2312"/>
          <w:sz w:val="28"/>
          <w:szCs w:val="28"/>
        </w:rPr>
        <w:t>四川省信和房地产评估咨询有限公司</w:t>
      </w:r>
    </w:p>
    <w:p>
      <w:pPr>
        <w:keepNext w:val="0"/>
        <w:keepLines w:val="0"/>
        <w:pageBreakBefore w:val="0"/>
        <w:widowControl w:val="0"/>
        <w:kinsoku/>
        <w:wordWrap/>
        <w:overflowPunct/>
        <w:topLinePunct w:val="0"/>
        <w:autoSpaceDE/>
        <w:autoSpaceDN/>
        <w:bidi w:val="0"/>
        <w:adjustRightInd/>
        <w:snapToGrid/>
        <w:spacing w:line="600" w:lineRule="exact"/>
        <w:ind w:left="3150" w:leftChars="1500" w:right="0" w:rightChars="0" w:firstLine="560" w:firstLineChars="200"/>
        <w:jc w:val="both"/>
        <w:textAlignment w:val="auto"/>
        <w:rPr>
          <w:rFonts w:hint="eastAsia" w:ascii="仿宋_GB2312" w:eastAsia="仿宋_GB2312"/>
          <w:sz w:val="28"/>
          <w:szCs w:val="28"/>
          <w:lang w:eastAsia="zh-CN"/>
        </w:rPr>
      </w:pPr>
      <w:r>
        <w:rPr>
          <w:rFonts w:hint="eastAsia" w:ascii="仿宋_GB2312" w:eastAsia="仿宋_GB2312"/>
          <w:sz w:val="28"/>
          <w:szCs w:val="28"/>
        </w:rPr>
        <w:t xml:space="preserve">     </w:t>
      </w:r>
      <w:r>
        <w:rPr>
          <w:rFonts w:hint="eastAsia" w:ascii="仿宋_GB2312" w:eastAsia="仿宋_GB2312"/>
          <w:sz w:val="28"/>
          <w:szCs w:val="28"/>
          <w:lang w:eastAsia="zh-CN"/>
        </w:rPr>
        <w:t xml:space="preserve">二〇二〇年五月十五日   </w:t>
      </w:r>
    </w:p>
    <w:p>
      <w:pPr>
        <w:keepNext w:val="0"/>
        <w:keepLines w:val="0"/>
        <w:pageBreakBefore w:val="0"/>
        <w:widowControl w:val="0"/>
        <w:kinsoku/>
        <w:wordWrap/>
        <w:overflowPunct/>
        <w:topLinePunct w:val="0"/>
        <w:autoSpaceDE/>
        <w:autoSpaceDN/>
        <w:bidi w:val="0"/>
        <w:adjustRightInd/>
        <w:snapToGrid/>
        <w:spacing w:line="600" w:lineRule="exact"/>
        <w:ind w:left="3150" w:leftChars="1500" w:right="0" w:rightChars="0" w:firstLine="560" w:firstLineChars="200"/>
        <w:jc w:val="both"/>
        <w:textAlignment w:val="auto"/>
        <w:rPr>
          <w:rFonts w:hint="eastAsia" w:ascii="仿宋_GB2312"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Arial" w:hAnsi="Arial" w:eastAsia="仿宋_GB2312" w:cs="Arial"/>
          <w:color w:val="FF0000"/>
          <w:sz w:val="28"/>
          <w:szCs w:val="28"/>
          <w:lang w:val="en-US" w:eastAsia="zh-CN"/>
        </w:rPr>
        <w:sectPr>
          <w:pgSz w:w="11906" w:h="16838"/>
          <w:pgMar w:top="1417" w:right="1417" w:bottom="1417" w:left="1701" w:header="851" w:footer="646" w:gutter="0"/>
          <w:pgNumType w:fmt="decimal"/>
          <w:cols w:space="720" w:num="1"/>
          <w:titlePg/>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620" w:lineRule="exact"/>
        <w:ind w:right="0" w:rightChars="0"/>
        <w:jc w:val="both"/>
        <w:textAlignment w:val="auto"/>
        <w:outlineLvl w:val="9"/>
        <w:rPr>
          <w:rFonts w:hint="eastAsia" w:ascii="Arial" w:hAnsi="Arial" w:eastAsia="仿宋_GB2312" w:cs="Arial"/>
          <w:color w:val="FF0000"/>
          <w:sz w:val="28"/>
          <w:szCs w:val="28"/>
          <w:lang w:val="en-US" w:eastAsia="zh-CN"/>
        </w:rPr>
      </w:pPr>
    </w:p>
    <w:bookmarkEnd w:id="113"/>
    <w:bookmarkEnd w:id="114"/>
    <w:bookmarkEnd w:id="115"/>
    <w:bookmarkEnd w:id="116"/>
    <w:bookmarkEnd w:id="117"/>
    <w:bookmarkEnd w:id="118"/>
    <w:bookmarkEnd w:id="119"/>
    <w:bookmarkEnd w:id="120"/>
    <w:bookmarkEnd w:id="121"/>
    <w:p>
      <w:pPr>
        <w:numPr>
          <w:ilvl w:val="0"/>
          <w:numId w:val="0"/>
        </w:numPr>
        <w:spacing w:line="500" w:lineRule="exact"/>
        <w:ind w:right="0" w:rightChars="0" w:firstLine="3855" w:firstLineChars="1200"/>
        <w:jc w:val="both"/>
        <w:outlineLvl w:val="1"/>
        <w:rPr>
          <w:rFonts w:hint="eastAsia" w:ascii="宋体" w:hAnsi="宋体"/>
          <w:b/>
          <w:sz w:val="32"/>
        </w:rPr>
      </w:pPr>
      <w:bookmarkStart w:id="164" w:name="_Toc477_WPSOffice_Level1"/>
      <w:bookmarkStart w:id="165" w:name="_Toc9640_WPSOffice_Level1"/>
      <w:bookmarkStart w:id="166" w:name="_Toc21441"/>
      <w:bookmarkStart w:id="167" w:name="_Toc3941"/>
      <w:bookmarkStart w:id="168" w:name="_Toc21333"/>
      <w:bookmarkStart w:id="169" w:name="_Toc25116"/>
      <w:bookmarkStart w:id="170" w:name="_Toc22229"/>
      <w:r>
        <w:rPr>
          <w:rFonts w:hint="eastAsia" w:ascii="宋体" w:hAnsi="宋体"/>
          <w:b/>
          <w:sz w:val="32"/>
          <w:lang w:eastAsia="zh-CN"/>
        </w:rPr>
        <w:t>四、</w:t>
      </w:r>
      <w:r>
        <w:rPr>
          <w:rFonts w:hint="eastAsia" w:ascii="宋体" w:hAnsi="宋体"/>
          <w:b/>
          <w:sz w:val="32"/>
        </w:rPr>
        <w:t>附</w:t>
      </w:r>
      <w:r>
        <w:rPr>
          <w:rFonts w:hint="eastAsia" w:ascii="宋体" w:hAnsi="宋体"/>
          <w:b/>
          <w:sz w:val="32"/>
          <w:lang w:val="en-US" w:eastAsia="zh-CN"/>
        </w:rPr>
        <w:t xml:space="preserve"> </w:t>
      </w:r>
      <w:r>
        <w:rPr>
          <w:rFonts w:hint="eastAsia" w:ascii="宋体" w:hAnsi="宋体"/>
          <w:b/>
          <w:sz w:val="32"/>
        </w:rPr>
        <w:t>件</w:t>
      </w:r>
      <w:bookmarkEnd w:id="164"/>
      <w:bookmarkEnd w:id="165"/>
      <w:bookmarkEnd w:id="166"/>
      <w:bookmarkEnd w:id="167"/>
      <w:bookmarkEnd w:id="168"/>
      <w:bookmarkEnd w:id="169"/>
      <w:bookmarkEnd w:id="170"/>
    </w:p>
    <w:p>
      <w:pPr>
        <w:numPr>
          <w:ilvl w:val="0"/>
          <w:numId w:val="0"/>
        </w:numPr>
        <w:spacing w:line="500" w:lineRule="exact"/>
        <w:ind w:leftChars="0" w:right="0" w:rightChars="0"/>
        <w:jc w:val="center"/>
        <w:outlineLvl w:val="0"/>
        <w:rPr>
          <w:rFonts w:hint="eastAsia" w:ascii="宋体" w:hAnsi="宋体" w:eastAsia="宋体"/>
          <w:b/>
          <w:sz w:val="28"/>
          <w:lang w:val="en-US" w:eastAsia="zh-CN"/>
        </w:rPr>
      </w:pPr>
      <w:r>
        <w:rPr>
          <w:rFonts w:hint="eastAsia" w:ascii="宋体" w:hAnsi="宋体"/>
          <w:b/>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0"/>
        <w:rPr>
          <w:rFonts w:hint="eastAsia" w:ascii="仿宋_GB2312" w:hAnsi="宋体" w:eastAsia="仿宋_GB2312"/>
          <w:sz w:val="28"/>
          <w:szCs w:val="28"/>
          <w:lang w:val="en-US" w:eastAsia="zh-CN"/>
        </w:rPr>
      </w:pPr>
      <w:bookmarkStart w:id="171" w:name="_Toc5472"/>
      <w:bookmarkStart w:id="172" w:name="_Toc7041"/>
      <w:bookmarkStart w:id="173" w:name="_Toc4656_WPSOffice_Level2"/>
      <w:bookmarkStart w:id="174" w:name="_Toc32076_WPSOffice_Level2"/>
      <w:bookmarkStart w:id="175" w:name="_Toc278"/>
      <w:r>
        <w:rPr>
          <w:rFonts w:hint="eastAsia" w:ascii="仿宋_GB2312" w:hAnsi="宋体" w:eastAsia="仿宋_GB2312"/>
          <w:sz w:val="28"/>
          <w:szCs w:val="28"/>
          <w:lang w:val="en-US" w:eastAsia="zh-CN"/>
        </w:rPr>
        <w:t>1、房地产估价委托书复印件</w:t>
      </w:r>
      <w:bookmarkEnd w:id="171"/>
      <w:bookmarkEnd w:id="172"/>
      <w:bookmarkEnd w:id="173"/>
      <w:bookmarkEnd w:id="174"/>
      <w:bookmarkEnd w:id="175"/>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0"/>
        <w:rPr>
          <w:rFonts w:hint="eastAsia" w:ascii="仿宋_GB2312" w:hAnsi="宋体" w:eastAsia="仿宋_GB2312"/>
          <w:sz w:val="28"/>
          <w:szCs w:val="28"/>
          <w:lang w:val="en-US" w:eastAsia="zh-CN"/>
        </w:rPr>
      </w:pPr>
      <w:bookmarkStart w:id="176" w:name="_Toc21412"/>
      <w:bookmarkStart w:id="177" w:name="_Toc1356_WPSOffice_Level2"/>
      <w:bookmarkStart w:id="178" w:name="_Toc32380"/>
      <w:bookmarkStart w:id="179" w:name="_Toc5980_WPSOffice_Level2"/>
      <w:bookmarkStart w:id="180" w:name="_Toc3220"/>
      <w:r>
        <w:rPr>
          <w:rFonts w:hint="eastAsia" w:ascii="仿宋_GB2312" w:hAnsi="宋体" w:eastAsia="仿宋_GB2312"/>
          <w:sz w:val="28"/>
          <w:szCs w:val="28"/>
          <w:lang w:val="en-US" w:eastAsia="zh-CN"/>
        </w:rPr>
        <w:t>2、估价对象现状照片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3、估价对象位置示意图</w:t>
      </w:r>
      <w:bookmarkEnd w:id="176"/>
      <w:bookmarkEnd w:id="177"/>
      <w:bookmarkEnd w:id="178"/>
      <w:bookmarkEnd w:id="179"/>
      <w:bookmarkEnd w:id="180"/>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0"/>
        <w:rPr>
          <w:rFonts w:hint="eastAsia" w:ascii="仿宋_GB2312" w:hAnsi="宋体" w:eastAsia="仿宋_GB2312"/>
          <w:sz w:val="28"/>
          <w:szCs w:val="28"/>
          <w:lang w:val="en-US" w:eastAsia="zh-CN"/>
        </w:rPr>
      </w:pPr>
      <w:bookmarkStart w:id="181" w:name="_Toc221"/>
      <w:bookmarkStart w:id="182" w:name="_Toc392778072"/>
      <w:bookmarkStart w:id="183" w:name="_Toc19913"/>
      <w:bookmarkStart w:id="184" w:name="_Toc20309_WPSOffice_Level2"/>
      <w:bookmarkStart w:id="185" w:name="_Toc12100"/>
      <w:bookmarkStart w:id="186" w:name="_Toc8585_WPSOffice_Level2"/>
      <w:bookmarkStart w:id="187" w:name="_Toc19036"/>
      <w:r>
        <w:rPr>
          <w:rFonts w:hint="eastAsia" w:ascii="仿宋_GB2312" w:hAnsi="宋体" w:eastAsia="仿宋_GB2312"/>
          <w:sz w:val="28"/>
          <w:szCs w:val="28"/>
          <w:lang w:val="en-US" w:eastAsia="zh-CN"/>
        </w:rPr>
        <w:t>4、</w:t>
      </w:r>
      <w:bookmarkEnd w:id="181"/>
      <w:bookmarkEnd w:id="182"/>
      <w:r>
        <w:rPr>
          <w:rFonts w:hint="eastAsia" w:ascii="仿宋_GB2312" w:hAnsi="宋体" w:eastAsia="仿宋_GB2312"/>
          <w:sz w:val="28"/>
          <w:szCs w:val="28"/>
          <w:lang w:val="en-US" w:eastAsia="zh-CN"/>
        </w:rPr>
        <w:t>估价对象的</w:t>
      </w:r>
      <w:r>
        <w:rPr>
          <w:rFonts w:hint="eastAsia" w:ascii="仿宋" w:hAnsi="仿宋" w:eastAsia="仿宋" w:cs="仿宋"/>
          <w:sz w:val="28"/>
          <w:szCs w:val="28"/>
          <w:lang w:val="en-US" w:eastAsia="zh-CN"/>
        </w:rPr>
        <w:t>《房屋所有权证</w:t>
      </w:r>
      <w:r>
        <w:rPr>
          <w:rFonts w:hint="eastAsia" w:ascii="仿宋_GB2312" w:hAnsi="宋体" w:eastAsia="仿宋_GB2312"/>
          <w:sz w:val="28"/>
          <w:szCs w:val="28"/>
          <w:lang w:val="en-US" w:eastAsia="zh-CN"/>
        </w:rPr>
        <w:t>》《国有土地使用权证》等复印件</w:t>
      </w:r>
      <w:bookmarkEnd w:id="183"/>
      <w:bookmarkEnd w:id="184"/>
      <w:bookmarkEnd w:id="185"/>
      <w:bookmarkEnd w:id="186"/>
      <w:bookmarkEnd w:id="187"/>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0"/>
        <w:rPr>
          <w:rFonts w:hint="eastAsia" w:ascii="仿宋_GB2312" w:hAnsi="宋体" w:eastAsia="仿宋_GB2312"/>
          <w:sz w:val="28"/>
          <w:szCs w:val="28"/>
          <w:lang w:val="en-US" w:eastAsia="zh-CN"/>
        </w:rPr>
      </w:pPr>
      <w:bookmarkStart w:id="188" w:name="_Toc392778073"/>
      <w:bookmarkStart w:id="189" w:name="_Toc3147"/>
      <w:bookmarkStart w:id="190" w:name="_Toc1018"/>
      <w:bookmarkStart w:id="191" w:name="_Toc22178_WPSOffice_Level2"/>
      <w:bookmarkStart w:id="192" w:name="_Toc14665"/>
      <w:bookmarkStart w:id="193" w:name="_Toc22094_WPSOffice_Level2"/>
      <w:bookmarkStart w:id="194" w:name="_Toc12496"/>
      <w:r>
        <w:rPr>
          <w:rFonts w:hint="eastAsia" w:ascii="仿宋_GB2312" w:hAnsi="宋体" w:eastAsia="仿宋_GB2312"/>
          <w:sz w:val="28"/>
          <w:szCs w:val="28"/>
          <w:lang w:val="en-US" w:eastAsia="zh-CN"/>
        </w:rPr>
        <w:t>5、</w:t>
      </w:r>
      <w:bookmarkEnd w:id="188"/>
      <w:bookmarkEnd w:id="189"/>
      <w:bookmarkStart w:id="195" w:name="_Toc17300"/>
      <w:bookmarkStart w:id="196" w:name="_Toc392778076"/>
      <w:r>
        <w:rPr>
          <w:rFonts w:hint="eastAsia" w:ascii="仿宋_GB2312" w:hAnsi="宋体" w:eastAsia="仿宋_GB2312"/>
          <w:sz w:val="28"/>
          <w:szCs w:val="28"/>
          <w:lang w:val="en-US" w:eastAsia="zh-CN"/>
        </w:rPr>
        <w:t>房地产估价机构营业执照、资质证书复印件</w:t>
      </w:r>
      <w:bookmarkEnd w:id="190"/>
      <w:bookmarkEnd w:id="191"/>
      <w:bookmarkEnd w:id="192"/>
      <w:bookmarkEnd w:id="193"/>
      <w:bookmarkEnd w:id="194"/>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0"/>
        <w:rPr>
          <w:rFonts w:hint="eastAsia" w:ascii="仿宋_GB2312" w:hAnsi="宋体" w:eastAsia="仿宋_GB2312"/>
          <w:sz w:val="28"/>
          <w:szCs w:val="28"/>
          <w:lang w:val="en-US" w:eastAsia="zh-CN"/>
        </w:rPr>
      </w:pPr>
      <w:bookmarkStart w:id="197" w:name="_Toc13322"/>
      <w:bookmarkStart w:id="198" w:name="_Toc12436_WPSOffice_Level2"/>
      <w:bookmarkStart w:id="199" w:name="_Toc16427"/>
      <w:bookmarkStart w:id="200" w:name="_Toc6762_WPSOffice_Level2"/>
      <w:bookmarkStart w:id="201" w:name="_Toc6880"/>
      <w:r>
        <w:rPr>
          <w:rFonts w:hint="eastAsia" w:ascii="仿宋_GB2312" w:hAnsi="宋体" w:eastAsia="仿宋_GB2312"/>
          <w:sz w:val="28"/>
          <w:szCs w:val="28"/>
          <w:lang w:val="en-US" w:eastAsia="zh-CN"/>
        </w:rPr>
        <w:t>6、</w:t>
      </w:r>
      <w:bookmarkEnd w:id="195"/>
      <w:bookmarkEnd w:id="196"/>
      <w:r>
        <w:rPr>
          <w:rFonts w:hint="eastAsia" w:ascii="仿宋_GB2312" w:hAnsi="宋体" w:eastAsia="仿宋_GB2312"/>
          <w:sz w:val="28"/>
          <w:szCs w:val="28"/>
          <w:lang w:val="en-US" w:eastAsia="zh-CN"/>
        </w:rPr>
        <w:t>注册房地产估价师注册证书复印件</w:t>
      </w:r>
      <w:bookmarkEnd w:id="197"/>
      <w:bookmarkEnd w:id="198"/>
      <w:bookmarkEnd w:id="199"/>
      <w:bookmarkEnd w:id="200"/>
      <w:bookmarkEnd w:id="201"/>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0"/>
        <w:rPr>
          <w:rFonts w:hint="eastAsia" w:ascii="仿宋_GB2312" w:hAnsi="宋体" w:eastAsia="仿宋_GB2312"/>
          <w:sz w:val="28"/>
          <w:szCs w:val="28"/>
          <w:lang w:val="en-US" w:eastAsia="zh-CN"/>
        </w:rPr>
      </w:pPr>
    </w:p>
    <w:p/>
    <w:sectPr>
      <w:headerReference r:id="rId14" w:type="first"/>
      <w:footerReference r:id="rId15" w:type="first"/>
      <w:pgSz w:w="11906" w:h="16838"/>
      <w:pgMar w:top="1417" w:right="1417" w:bottom="1417" w:left="1701" w:header="851" w:footer="646" w:gutter="0"/>
      <w:pgNumType w:fmt="decimal"/>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i/>
        <w:iCs/>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i/>
        <w:iCs/>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i/>
        <w:iCs/>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hint="eastAsia" w:eastAsia="宋体"/>
        <w:i/>
        <w:iCs/>
        <w:lang w:eastAsia="zh-CN"/>
      </w:rPr>
    </w:pPr>
    <w:r>
      <w:rPr>
        <w:rFonts w:hint="eastAsia"/>
        <w:i/>
        <w:iCs/>
        <w:u w:val="single"/>
        <w:lang w:val="en-US" w:eastAsia="zh-CN"/>
      </w:rPr>
      <w:t xml:space="preserve">                                    　　                                   房地产处置司法评估报告</w:t>
    </w:r>
  </w:p>
  <w:p>
    <w:pPr>
      <w:pStyle w:val="6"/>
      <w:pBdr>
        <w:bottom w:val="none" w:color="auto" w:sz="0" w:space="1"/>
      </w:pBdr>
    </w:pPr>
  </w:p>
  <w:p>
    <w:pPr>
      <w:pStyle w:val="6"/>
      <w:pBdr>
        <w:bottom w:val="none" w:color="auto" w:sz="0" w:space="1"/>
      </w:pBdr>
      <w:jc w:val="both"/>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r>
      <w:rPr>
        <w:rFonts w:hint="eastAsia"/>
        <w:i/>
        <w:iCs/>
        <w:u w:val="single"/>
        <w:lang w:val="en-US" w:eastAsia="zh-CN"/>
      </w:rPr>
      <w:t xml:space="preserve">                                              　　                         房地产处置司法评估报告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r>
      <w:rPr>
        <w:rFonts w:hint="eastAsia"/>
        <w:i/>
        <w:iCs/>
        <w:u w:val="single"/>
        <w:lang w:val="en-US" w:eastAsia="zh-CN"/>
      </w:rPr>
      <w:t xml:space="preserve">                                              　　                         房地产处置司法评估报告</w:t>
    </w:r>
  </w:p>
  <w:p>
    <w:pPr>
      <w:pStyle w:val="6"/>
      <w:pBdr>
        <w:bottom w:val="none" w:color="auto" w:sz="0" w:space="1"/>
      </w:pBdr>
      <w:jc w:val="both"/>
      <w:rPr>
        <w:rFonts w:hint="eastAsia" w:eastAsia="宋体"/>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r>
      <w:rPr>
        <w:rFonts w:hint="eastAsia"/>
        <w:i/>
        <w:iCs/>
        <w:u w:val="single"/>
        <w:lang w:val="en-US" w:eastAsia="zh-CN"/>
      </w:rPr>
      <w:t xml:space="preserve">                                              　　                         房地产处置司法评估报告</w:t>
    </w:r>
  </w:p>
  <w:p>
    <w:pPr>
      <w:pStyle w:val="6"/>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r>
      <w:rPr>
        <w:rFonts w:hint="eastAsia"/>
        <w:i/>
        <w:iCs/>
        <w:u w:val="single"/>
        <w:lang w:val="en-US" w:eastAsia="zh-CN"/>
      </w:rPr>
      <w:t xml:space="preserve">                                              　　                         房地产处置司法评估报告</w:t>
    </w:r>
  </w:p>
  <w:p>
    <w:pPr>
      <w:pStyle w:val="6"/>
      <w:pBdr>
        <w:bottom w:val="none" w:color="auto" w:sz="0" w:space="1"/>
      </w:pBdr>
      <w:jc w:val="both"/>
      <w:rPr>
        <w:rFonts w:hint="eastAsia" w:eastAsia="宋体"/>
        <w:i/>
        <w:iCs/>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r>
      <w:rPr>
        <w:rFonts w:hint="eastAsia"/>
        <w:i/>
        <w:iCs/>
        <w:u w:val="single"/>
        <w:lang w:val="en-US" w:eastAsia="zh-CN"/>
      </w:rPr>
      <w:t xml:space="preserve">                                              　　                         房地产处置司法评估报告</w:t>
    </w:r>
  </w:p>
  <w:p>
    <w:pPr>
      <w:pStyle w:val="6"/>
      <w:pBdr>
        <w:bottom w:val="none" w:color="auto" w:sz="0" w:space="1"/>
      </w:pBdr>
      <w:jc w:val="both"/>
      <w:rPr>
        <w:rFonts w:hint="eastAsia" w:eastAsia="宋体"/>
        <w:i/>
        <w:iCs/>
        <w:lang w:eastAsia="zh-CN"/>
      </w:rPr>
    </w:pPr>
  </w:p>
  <w:p>
    <w:pPr>
      <w:pStyle w:val="6"/>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hint="eastAsia" w:eastAsia="宋体"/>
        <w:i/>
        <w:iCs/>
        <w:lang w:eastAsia="zh-CN"/>
      </w:rPr>
    </w:pPr>
    <w:r>
      <w:rPr>
        <w:rFonts w:hint="eastAsia"/>
        <w:i/>
        <w:iCs/>
        <w:u w:val="single"/>
        <w:lang w:val="en-US" w:eastAsia="zh-CN"/>
      </w:rPr>
      <w:t xml:space="preserve">              　　　                                                       房地产处置司法评估报告</w:t>
    </w:r>
  </w:p>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C5D3B1"/>
    <w:multiLevelType w:val="singleLevel"/>
    <w:tmpl w:val="CBC5D3B1"/>
    <w:lvl w:ilvl="0" w:tentative="0">
      <w:start w:val="2"/>
      <w:numFmt w:val="decimal"/>
      <w:suff w:val="nothing"/>
      <w:lvlText w:val="%1、"/>
      <w:lvlJc w:val="left"/>
    </w:lvl>
  </w:abstractNum>
  <w:abstractNum w:abstractNumId="1">
    <w:nsid w:val="57EA3C4B"/>
    <w:multiLevelType w:val="singleLevel"/>
    <w:tmpl w:val="57EA3C4B"/>
    <w:lvl w:ilvl="0" w:tentative="0">
      <w:start w:val="2"/>
      <w:numFmt w:val="decimal"/>
      <w:suff w:val="nothing"/>
      <w:lvlText w:val="%1、"/>
      <w:lvlJc w:val="left"/>
    </w:lvl>
  </w:abstractNum>
  <w:abstractNum w:abstractNumId="2">
    <w:nsid w:val="57EA5E81"/>
    <w:multiLevelType w:val="singleLevel"/>
    <w:tmpl w:val="57EA5E81"/>
    <w:lvl w:ilvl="0" w:tentative="0">
      <w:start w:val="3"/>
      <w:numFmt w:val="chineseCounting"/>
      <w:suff w:val="nothing"/>
      <w:lvlText w:val="（%1）"/>
      <w:lvlJc w:val="left"/>
    </w:lvl>
  </w:abstractNum>
  <w:abstractNum w:abstractNumId="3">
    <w:nsid w:val="57EA6C5F"/>
    <w:multiLevelType w:val="singleLevel"/>
    <w:tmpl w:val="57EA6C5F"/>
    <w:lvl w:ilvl="0" w:tentative="0">
      <w:start w:val="5"/>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0212B"/>
    <w:rsid w:val="003E739F"/>
    <w:rsid w:val="01C46CAE"/>
    <w:rsid w:val="03033E76"/>
    <w:rsid w:val="03A27BD1"/>
    <w:rsid w:val="057D4B78"/>
    <w:rsid w:val="05E12CF5"/>
    <w:rsid w:val="05E276B4"/>
    <w:rsid w:val="06134CEC"/>
    <w:rsid w:val="06C05E6E"/>
    <w:rsid w:val="08301F42"/>
    <w:rsid w:val="08CB434E"/>
    <w:rsid w:val="09534781"/>
    <w:rsid w:val="0A2505BE"/>
    <w:rsid w:val="0C52086B"/>
    <w:rsid w:val="0CED43EE"/>
    <w:rsid w:val="0DC13842"/>
    <w:rsid w:val="0DCC21DD"/>
    <w:rsid w:val="0E9E75A6"/>
    <w:rsid w:val="0F0F7E98"/>
    <w:rsid w:val="0F2B2745"/>
    <w:rsid w:val="0F61731A"/>
    <w:rsid w:val="10242213"/>
    <w:rsid w:val="104C5EBC"/>
    <w:rsid w:val="10853B37"/>
    <w:rsid w:val="10901106"/>
    <w:rsid w:val="11320DDA"/>
    <w:rsid w:val="11CD1B53"/>
    <w:rsid w:val="12406732"/>
    <w:rsid w:val="12F31FBE"/>
    <w:rsid w:val="131E5E19"/>
    <w:rsid w:val="13364AA6"/>
    <w:rsid w:val="13822850"/>
    <w:rsid w:val="164229CD"/>
    <w:rsid w:val="1800461C"/>
    <w:rsid w:val="18993E3D"/>
    <w:rsid w:val="199463F6"/>
    <w:rsid w:val="19D05D5B"/>
    <w:rsid w:val="1B7A244C"/>
    <w:rsid w:val="1B966932"/>
    <w:rsid w:val="1C262A02"/>
    <w:rsid w:val="1CB07E38"/>
    <w:rsid w:val="1D6A6B20"/>
    <w:rsid w:val="1D9F2108"/>
    <w:rsid w:val="1DD622EA"/>
    <w:rsid w:val="1DFC6539"/>
    <w:rsid w:val="1E216E37"/>
    <w:rsid w:val="1EBC1B0A"/>
    <w:rsid w:val="1EE9728D"/>
    <w:rsid w:val="1F700A8C"/>
    <w:rsid w:val="20762148"/>
    <w:rsid w:val="20E76BDB"/>
    <w:rsid w:val="21320B34"/>
    <w:rsid w:val="22C32DC7"/>
    <w:rsid w:val="23A76EC3"/>
    <w:rsid w:val="241C1B41"/>
    <w:rsid w:val="25DA7BDC"/>
    <w:rsid w:val="273E1556"/>
    <w:rsid w:val="278C1A27"/>
    <w:rsid w:val="28EF533B"/>
    <w:rsid w:val="2B8A76F5"/>
    <w:rsid w:val="2C2A3BF1"/>
    <w:rsid w:val="2D365512"/>
    <w:rsid w:val="2D474A71"/>
    <w:rsid w:val="2E0679B7"/>
    <w:rsid w:val="2F8B27C3"/>
    <w:rsid w:val="342E3820"/>
    <w:rsid w:val="343A25E2"/>
    <w:rsid w:val="350236BF"/>
    <w:rsid w:val="35CA016D"/>
    <w:rsid w:val="3699531D"/>
    <w:rsid w:val="371523EE"/>
    <w:rsid w:val="373516B8"/>
    <w:rsid w:val="37BB240F"/>
    <w:rsid w:val="3A3E71E6"/>
    <w:rsid w:val="3BB1202F"/>
    <w:rsid w:val="3E8F4044"/>
    <w:rsid w:val="3F69146E"/>
    <w:rsid w:val="3FC0212B"/>
    <w:rsid w:val="40187373"/>
    <w:rsid w:val="40267BD0"/>
    <w:rsid w:val="407A2764"/>
    <w:rsid w:val="40A13085"/>
    <w:rsid w:val="40AD3918"/>
    <w:rsid w:val="41477D5E"/>
    <w:rsid w:val="415C3E9D"/>
    <w:rsid w:val="42896513"/>
    <w:rsid w:val="44940FE9"/>
    <w:rsid w:val="452D1E26"/>
    <w:rsid w:val="453D206D"/>
    <w:rsid w:val="47623B6E"/>
    <w:rsid w:val="47F6034D"/>
    <w:rsid w:val="485C7BA0"/>
    <w:rsid w:val="495B76FA"/>
    <w:rsid w:val="4AC77908"/>
    <w:rsid w:val="4BD10235"/>
    <w:rsid w:val="4CEB27B5"/>
    <w:rsid w:val="4D0B09C6"/>
    <w:rsid w:val="4E492D1A"/>
    <w:rsid w:val="4E680CB1"/>
    <w:rsid w:val="4F5C1DCC"/>
    <w:rsid w:val="507E541B"/>
    <w:rsid w:val="51505878"/>
    <w:rsid w:val="52C118E1"/>
    <w:rsid w:val="53261123"/>
    <w:rsid w:val="53B90FEF"/>
    <w:rsid w:val="53C31F6C"/>
    <w:rsid w:val="5504050F"/>
    <w:rsid w:val="56C3201C"/>
    <w:rsid w:val="57221169"/>
    <w:rsid w:val="58601BC5"/>
    <w:rsid w:val="58AD0F8E"/>
    <w:rsid w:val="591E2104"/>
    <w:rsid w:val="5B83321F"/>
    <w:rsid w:val="5B8B25BE"/>
    <w:rsid w:val="5CDC2EB3"/>
    <w:rsid w:val="5D3B3A24"/>
    <w:rsid w:val="5E1E145A"/>
    <w:rsid w:val="5E5721EF"/>
    <w:rsid w:val="5E847514"/>
    <w:rsid w:val="5F362B56"/>
    <w:rsid w:val="5FF74409"/>
    <w:rsid w:val="60FE717E"/>
    <w:rsid w:val="61140A19"/>
    <w:rsid w:val="61800C1A"/>
    <w:rsid w:val="621549A3"/>
    <w:rsid w:val="62862236"/>
    <w:rsid w:val="62947010"/>
    <w:rsid w:val="62DE0EBE"/>
    <w:rsid w:val="62E303C4"/>
    <w:rsid w:val="62EE3FC4"/>
    <w:rsid w:val="645E7686"/>
    <w:rsid w:val="652C57A6"/>
    <w:rsid w:val="65664562"/>
    <w:rsid w:val="66832BF4"/>
    <w:rsid w:val="67CA48CF"/>
    <w:rsid w:val="67EC1B38"/>
    <w:rsid w:val="68200843"/>
    <w:rsid w:val="68C4219E"/>
    <w:rsid w:val="69DD67B3"/>
    <w:rsid w:val="6B111210"/>
    <w:rsid w:val="6DF7033D"/>
    <w:rsid w:val="6E3201BE"/>
    <w:rsid w:val="6F226AAE"/>
    <w:rsid w:val="6FEA2BBB"/>
    <w:rsid w:val="70986BAD"/>
    <w:rsid w:val="72805BED"/>
    <w:rsid w:val="73413D22"/>
    <w:rsid w:val="740951E1"/>
    <w:rsid w:val="74FE02CD"/>
    <w:rsid w:val="75655FC9"/>
    <w:rsid w:val="77F52965"/>
    <w:rsid w:val="78716875"/>
    <w:rsid w:val="7B701DB0"/>
    <w:rsid w:val="7C1B2E43"/>
    <w:rsid w:val="7C214A1A"/>
    <w:rsid w:val="7C7829B1"/>
    <w:rsid w:val="7C806B77"/>
    <w:rsid w:val="7CA9061C"/>
    <w:rsid w:val="7F226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425"/>
    </w:pPr>
  </w:style>
  <w:style w:type="paragraph" w:styleId="4">
    <w:name w:val="Body Text Indent 2"/>
    <w:basedOn w:val="1"/>
    <w:qFormat/>
    <w:uiPriority w:val="0"/>
    <w:pPr>
      <w:autoSpaceDE w:val="0"/>
      <w:autoSpaceDN w:val="0"/>
      <w:adjustRightInd w:val="0"/>
      <w:spacing w:line="400" w:lineRule="exact"/>
      <w:ind w:firstLine="570"/>
      <w:textAlignment w:val="baseline"/>
    </w:pPr>
    <w:rPr>
      <w:sz w:val="28"/>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beforeLines="0" w:after="120" w:afterLines="0"/>
      <w:jc w:val="left"/>
    </w:pPr>
    <w:rPr>
      <w:b/>
      <w:bCs/>
      <w:caps/>
      <w:sz w:val="20"/>
      <w:szCs w:val="20"/>
    </w:rPr>
  </w:style>
  <w:style w:type="paragraph" w:styleId="8">
    <w:name w:val="toc 2"/>
    <w:basedOn w:val="1"/>
    <w:next w:val="1"/>
    <w:qFormat/>
    <w:uiPriority w:val="0"/>
    <w:pPr>
      <w:ind w:left="420" w:leftChars="200"/>
    </w:p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uiPriority w:val="0"/>
    <w:rPr>
      <w:color w:val="0000FF"/>
      <w:u w:val="single"/>
    </w:rPr>
  </w:style>
  <w:style w:type="paragraph" w:customStyle="1" w:styleId="14">
    <w:name w:val="p0"/>
    <w:basedOn w:val="1"/>
    <w:qFormat/>
    <w:uiPriority w:val="0"/>
    <w:pPr>
      <w:widowControl/>
    </w:pPr>
    <w:rPr>
      <w:kern w:val="0"/>
      <w:szCs w:val="21"/>
    </w:rPr>
  </w:style>
  <w:style w:type="character" w:customStyle="1" w:styleId="15">
    <w:name w:val="font21"/>
    <w:basedOn w:val="11"/>
    <w:qFormat/>
    <w:uiPriority w:val="0"/>
    <w:rPr>
      <w:rFonts w:ascii="宋体" w:hAnsi="宋体" w:eastAsia="宋体" w:cs="宋体"/>
      <w:b/>
      <w:color w:val="000000"/>
      <w:sz w:val="22"/>
      <w:szCs w:val="22"/>
      <w:u w:val="none"/>
    </w:rPr>
  </w:style>
  <w:style w:type="character" w:customStyle="1" w:styleId="16">
    <w:name w:val="font41"/>
    <w:basedOn w:val="11"/>
    <w:qFormat/>
    <w:uiPriority w:val="0"/>
    <w:rPr>
      <w:rFonts w:hint="eastAsia" w:ascii="宋体" w:hAnsi="宋体" w:eastAsia="宋体" w:cs="宋体"/>
      <w:b/>
      <w:color w:val="000000"/>
      <w:sz w:val="22"/>
      <w:szCs w:val="22"/>
      <w:u w:val="none"/>
    </w:rPr>
  </w:style>
  <w:style w:type="character" w:customStyle="1" w:styleId="17">
    <w:name w:val="font11"/>
    <w:basedOn w:val="11"/>
    <w:qFormat/>
    <w:uiPriority w:val="0"/>
    <w:rPr>
      <w:rFonts w:hint="eastAsia" w:ascii="宋体" w:hAnsi="宋体" w:eastAsia="宋体" w:cs="宋体"/>
      <w:b/>
      <w:color w:val="000000"/>
      <w:sz w:val="21"/>
      <w:szCs w:val="21"/>
      <w:u w:val="none"/>
    </w:rPr>
  </w:style>
  <w:style w:type="character" w:customStyle="1" w:styleId="18">
    <w:name w:val="font01"/>
    <w:basedOn w:val="11"/>
    <w:qFormat/>
    <w:uiPriority w:val="0"/>
    <w:rPr>
      <w:rFonts w:hint="eastAsia" w:ascii="宋体" w:hAnsi="宋体" w:eastAsia="宋体" w:cs="宋体"/>
      <w:color w:val="000000"/>
      <w:sz w:val="22"/>
      <w:szCs w:val="22"/>
      <w:u w:val="none"/>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customStyle="1" w:styleId="21">
    <w:name w:val="WPSOffice手动目录 3"/>
    <w:qFormat/>
    <w:uiPriority w:val="0"/>
    <w:pPr>
      <w:ind w:leftChars="400"/>
    </w:pPr>
    <w:rPr>
      <w:rFonts w:ascii="Times New Roman" w:hAnsi="Times New Roman" w:eastAsia="宋体" w:cs="Times New Roman"/>
      <w:sz w:val="20"/>
      <w:szCs w:val="20"/>
    </w:rPr>
  </w:style>
  <w:style w:type="character" w:customStyle="1" w:styleId="22">
    <w:name w:val="font31"/>
    <w:basedOn w:val="1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2019-06-10T07:23:00Z</dcterms:created>
  <dc:creator>+~小.二懒</dc:creator>
  <cp:lastModifiedBy>Aurora</cp:lastModifiedBy>
  <cp:lastPrinted>2020-03-05T09:12:00Z</cp:lastPrinted>
  <dcterms:modified xsi:type="dcterms:W3CDTF">2020-05-25T08:43:07Z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