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ind w:right="34" w:rightChars="16"/>
        <w:jc w:val="center"/>
        <w:rPr>
          <w:rFonts w:ascii="楷体_GB2312" w:hAnsi="楷体_GB2312" w:eastAsia="楷体_GB2312" w:cs="楷体_GB2312"/>
          <w:b/>
          <w:snapToGrid w:val="0"/>
          <w:kern w:val="0"/>
          <w:sz w:val="48"/>
          <w:szCs w:val="48"/>
        </w:rPr>
      </w:pPr>
      <w:bookmarkStart w:id="0" w:name="_Toc326590661"/>
    </w:p>
    <w:p>
      <w:pPr>
        <w:ind w:right="34" w:rightChars="16"/>
        <w:jc w:val="center"/>
        <w:rPr>
          <w:rFonts w:ascii="楷体_GB2312" w:hAnsi="楷体_GB2312" w:eastAsia="楷体_GB2312" w:cs="楷体_GB2312"/>
          <w:b/>
          <w:snapToGrid w:val="0"/>
          <w:kern w:val="0"/>
          <w:sz w:val="48"/>
          <w:szCs w:val="48"/>
        </w:rPr>
      </w:pPr>
    </w:p>
    <w:p>
      <w:pPr>
        <w:ind w:right="34" w:rightChars="16"/>
        <w:jc w:val="center"/>
        <w:rPr>
          <w:rFonts w:ascii="楷体_GB2312" w:hAnsi="楷体_GB2312" w:eastAsia="楷体_GB2312" w:cs="楷体_GB2312"/>
          <w:b/>
          <w:snapToGrid w:val="0"/>
          <w:kern w:val="0"/>
          <w:sz w:val="48"/>
          <w:szCs w:val="48"/>
        </w:rPr>
      </w:pPr>
    </w:p>
    <w:p>
      <w:pPr>
        <w:ind w:right="34" w:rightChars="16"/>
        <w:jc w:val="center"/>
        <w:rPr>
          <w:rFonts w:ascii="楷体_GB2312" w:hAnsi="楷体_GB2312" w:eastAsia="楷体_GB2312" w:cs="楷体_GB2312"/>
          <w:b/>
          <w:snapToGrid w:val="0"/>
          <w:kern w:val="0"/>
          <w:sz w:val="48"/>
          <w:szCs w:val="48"/>
        </w:rPr>
      </w:pPr>
      <w:r>
        <w:rPr>
          <w:rFonts w:hint="eastAsia" w:ascii="楷体_GB2312" w:hAnsi="楷体_GB2312" w:eastAsia="楷体_GB2312" w:cs="楷体_GB2312"/>
          <w:b/>
          <w:snapToGrid w:val="0"/>
          <w:kern w:val="0"/>
          <w:sz w:val="48"/>
          <w:szCs w:val="48"/>
        </w:rPr>
        <w:t>房地产估价报告</w:t>
      </w:r>
    </w:p>
    <w:p>
      <w:pPr>
        <w:ind w:right="34" w:rightChars="16"/>
        <w:jc w:val="center"/>
        <w:rPr>
          <w:rFonts w:ascii="楷体_GB2312" w:hAnsi="楷体_GB2312" w:eastAsia="楷体_GB2312" w:cs="楷体_GB2312"/>
          <w:b/>
          <w:snapToGrid w:val="0"/>
          <w:kern w:val="0"/>
          <w:sz w:val="48"/>
          <w:szCs w:val="48"/>
        </w:rPr>
      </w:pPr>
    </w:p>
    <w:p>
      <w:pPr>
        <w:ind w:right="34" w:rightChars="16"/>
        <w:jc w:val="center"/>
        <w:rPr>
          <w:rFonts w:ascii="楷体_GB2312" w:hAnsi="楷体_GB2312" w:eastAsia="楷体_GB2312" w:cs="楷体_GB2312"/>
          <w:b/>
          <w:snapToGrid w:val="0"/>
          <w:kern w:val="0"/>
          <w:sz w:val="48"/>
          <w:szCs w:val="48"/>
        </w:rPr>
      </w:pPr>
    </w:p>
    <w:p>
      <w:pPr>
        <w:adjustRightInd w:val="0"/>
        <w:spacing w:beforeLines="50" w:line="360" w:lineRule="auto"/>
        <w:ind w:left="3037" w:leftChars="429" w:hanging="2136" w:hangingChars="665"/>
        <w:rPr>
          <w:rFonts w:ascii="楷体_GB2312" w:hAnsi="楷体_GB2312" w:eastAsia="楷体_GB2312" w:cs="楷体_GB2312"/>
          <w:snapToGrid w:val="0"/>
          <w:kern w:val="0"/>
          <w:sz w:val="32"/>
          <w:szCs w:val="32"/>
        </w:rPr>
      </w:pPr>
      <w:r>
        <w:rPr>
          <w:rFonts w:hint="eastAsia" w:ascii="楷体_GB2312" w:hAnsi="楷体_GB2312" w:eastAsia="楷体_GB2312" w:cs="楷体_GB2312"/>
          <w:b/>
          <w:snapToGrid w:val="0"/>
          <w:kern w:val="0"/>
          <w:sz w:val="32"/>
          <w:szCs w:val="32"/>
        </w:rPr>
        <w:t>估价项目名称：</w:t>
      </w:r>
      <w:bookmarkStart w:id="1" w:name="OLE_LINK8"/>
      <w:bookmarkStart w:id="2" w:name="OLE_LINK3"/>
      <w:r>
        <w:rPr>
          <w:rFonts w:hint="eastAsia" w:ascii="楷体_GB2312" w:hAnsi="楷体_GB2312" w:eastAsia="楷体_GB2312" w:cs="楷体_GB2312"/>
          <w:snapToGrid w:val="0"/>
          <w:kern w:val="0"/>
          <w:sz w:val="32"/>
          <w:szCs w:val="32"/>
        </w:rPr>
        <w:t>南昌市东湖区人民法院司法技术室委托的申请执行人民生银行南昌分行与被执行人李中华金融借款合同纠纷一案中涉及的位于南昌市西湖区洛阳东路现代庄园152号房住宅房地产</w:t>
      </w:r>
      <w:r>
        <w:rPr>
          <w:rFonts w:hint="eastAsia" w:ascii="楷体_GB2312" w:hAnsi="楷体_GB2312" w:eastAsia="楷体_GB2312" w:cs="楷体_GB2312"/>
          <w:snapToGrid w:val="0"/>
          <w:spacing w:val="-6"/>
          <w:kern w:val="0"/>
          <w:sz w:val="32"/>
          <w:szCs w:val="32"/>
        </w:rPr>
        <w:t>市场价值评估</w:t>
      </w:r>
    </w:p>
    <w:bookmarkEnd w:id="1"/>
    <w:bookmarkEnd w:id="2"/>
    <w:p>
      <w:pPr>
        <w:tabs>
          <w:tab w:val="left" w:pos="2520"/>
        </w:tabs>
        <w:spacing w:beforeLines="50" w:line="480" w:lineRule="auto"/>
        <w:ind w:left="3050" w:leftChars="405" w:hanging="2200" w:hangingChars="609"/>
        <w:rPr>
          <w:rFonts w:ascii="楷体_GB2312" w:hAnsi="楷体_GB2312" w:eastAsia="楷体_GB2312" w:cs="楷体_GB2312"/>
          <w:snapToGrid w:val="0"/>
          <w:kern w:val="0"/>
          <w:sz w:val="32"/>
          <w:szCs w:val="32"/>
        </w:rPr>
      </w:pPr>
      <w:r>
        <w:rPr>
          <w:rFonts w:hint="eastAsia" w:ascii="楷体_GB2312" w:hAnsi="楷体_GB2312" w:eastAsia="楷体_GB2312" w:cs="楷体_GB2312"/>
          <w:b/>
          <w:snapToGrid w:val="0"/>
          <w:spacing w:val="20"/>
          <w:kern w:val="0"/>
          <w:sz w:val="32"/>
          <w:szCs w:val="32"/>
        </w:rPr>
        <w:t>估价委托方：</w:t>
      </w:r>
      <w:r>
        <w:rPr>
          <w:rFonts w:hint="eastAsia" w:ascii="楷体_GB2312" w:hAnsi="楷体_GB2312" w:eastAsia="楷体_GB2312" w:cs="楷体_GB2312"/>
          <w:snapToGrid w:val="0"/>
          <w:kern w:val="0"/>
          <w:sz w:val="32"/>
          <w:szCs w:val="32"/>
        </w:rPr>
        <w:t>南昌市东湖区人民法院司法技术室</w:t>
      </w:r>
    </w:p>
    <w:p>
      <w:pPr>
        <w:tabs>
          <w:tab w:val="left" w:pos="2520"/>
        </w:tabs>
        <w:spacing w:beforeLines="50" w:line="480" w:lineRule="auto"/>
        <w:ind w:left="2904" w:leftChars="405" w:hanging="2054" w:hangingChars="609"/>
        <w:rPr>
          <w:rFonts w:ascii="楷体_GB2312" w:hAnsi="楷体_GB2312" w:eastAsia="楷体_GB2312" w:cs="楷体_GB2312"/>
          <w:snapToGrid w:val="0"/>
          <w:kern w:val="0"/>
          <w:sz w:val="32"/>
          <w:szCs w:val="32"/>
        </w:rPr>
      </w:pPr>
      <w:r>
        <w:rPr>
          <w:rFonts w:hint="eastAsia" w:ascii="楷体_GB2312" w:hAnsi="楷体_GB2312" w:eastAsia="楷体_GB2312" w:cs="楷体_GB2312"/>
          <w:b/>
          <w:snapToGrid w:val="0"/>
          <w:spacing w:val="8"/>
          <w:kern w:val="0"/>
          <w:sz w:val="32"/>
          <w:szCs w:val="32"/>
        </w:rPr>
        <w:t>估 价 机 构：</w:t>
      </w:r>
      <w:r>
        <w:rPr>
          <w:rFonts w:hint="eastAsia" w:ascii="楷体_GB2312" w:hAnsi="楷体_GB2312" w:eastAsia="楷体_GB2312" w:cs="楷体_GB2312"/>
          <w:snapToGrid w:val="0"/>
          <w:kern w:val="0"/>
          <w:sz w:val="32"/>
          <w:szCs w:val="32"/>
        </w:rPr>
        <w:t>江西永佳房地产资产评估有限公司</w:t>
      </w:r>
    </w:p>
    <w:p>
      <w:pPr>
        <w:spacing w:beforeLines="50" w:line="480" w:lineRule="auto"/>
        <w:ind w:left="3089" w:leftChars="400" w:hanging="2249" w:hangingChars="700"/>
        <w:rPr>
          <w:rFonts w:ascii="楷体_GB2312" w:hAnsi="楷体_GB2312" w:eastAsia="楷体_GB2312" w:cs="楷体_GB2312"/>
          <w:snapToGrid w:val="0"/>
          <w:kern w:val="0"/>
          <w:sz w:val="32"/>
          <w:szCs w:val="32"/>
        </w:rPr>
      </w:pPr>
      <w:r>
        <w:rPr>
          <w:rFonts w:hint="eastAsia" w:ascii="楷体_GB2312" w:hAnsi="楷体_GB2312" w:eastAsia="楷体_GB2312" w:cs="楷体_GB2312"/>
          <w:b/>
          <w:snapToGrid w:val="0"/>
          <w:kern w:val="0"/>
          <w:sz w:val="32"/>
          <w:szCs w:val="32"/>
        </w:rPr>
        <w:t xml:space="preserve">注册房地产估价师： </w:t>
      </w:r>
      <w:r>
        <w:rPr>
          <w:rFonts w:hint="eastAsia" w:ascii="楷体_GB2312" w:hAnsi="楷体_GB2312" w:eastAsia="楷体_GB2312" w:cs="楷体_GB2312"/>
          <w:snapToGrid w:val="0"/>
          <w:kern w:val="0"/>
          <w:sz w:val="32"/>
          <w:szCs w:val="32"/>
        </w:rPr>
        <w:t>高  莹（注册号：3620160033）</w:t>
      </w:r>
    </w:p>
    <w:p>
      <w:pPr>
        <w:spacing w:beforeLines="50" w:line="480" w:lineRule="auto"/>
        <w:ind w:left="2310" w:leftChars="1100" w:firstLine="1609" w:firstLineChars="503"/>
        <w:rPr>
          <w:rFonts w:ascii="楷体_GB2312" w:hAnsi="楷体_GB2312" w:eastAsia="楷体_GB2312" w:cs="楷体_GB2312"/>
          <w:snapToGrid w:val="0"/>
          <w:kern w:val="0"/>
          <w:sz w:val="32"/>
          <w:szCs w:val="32"/>
        </w:rPr>
      </w:pPr>
      <w:r>
        <w:rPr>
          <w:rFonts w:hint="eastAsia" w:ascii="楷体_GB2312" w:hAnsi="楷体_GB2312" w:eastAsia="楷体_GB2312" w:cs="楷体_GB2312"/>
          <w:snapToGrid w:val="0"/>
          <w:kern w:val="0"/>
          <w:sz w:val="32"/>
          <w:szCs w:val="32"/>
        </w:rPr>
        <w:t>邬雅琴（注册号：3620190026</w:t>
      </w:r>
      <w:r>
        <w:rPr>
          <w:rFonts w:hint="eastAsia" w:ascii="楷体_GB2312" w:hAnsi="楷体_GB2312" w:eastAsia="楷体_GB2312" w:cs="楷体_GB2312"/>
          <w:sz w:val="28"/>
          <w:szCs w:val="24"/>
        </w:rPr>
        <w:t>）</w:t>
      </w:r>
    </w:p>
    <w:p>
      <w:pPr>
        <w:spacing w:beforeLines="50" w:line="480" w:lineRule="auto"/>
        <w:ind w:left="3089" w:leftChars="400" w:hanging="2249" w:hangingChars="700"/>
        <w:rPr>
          <w:rFonts w:ascii="楷体_GB2312" w:hAnsi="楷体_GB2312" w:eastAsia="楷体_GB2312" w:cs="楷体_GB2312"/>
          <w:snapToGrid w:val="0"/>
          <w:kern w:val="0"/>
          <w:sz w:val="32"/>
          <w:szCs w:val="32"/>
        </w:rPr>
      </w:pPr>
      <w:r>
        <w:rPr>
          <w:rFonts w:hint="eastAsia" w:ascii="楷体_GB2312" w:hAnsi="楷体_GB2312" w:eastAsia="楷体_GB2312" w:cs="楷体_GB2312"/>
          <w:b/>
          <w:snapToGrid w:val="0"/>
          <w:kern w:val="0"/>
          <w:sz w:val="32"/>
          <w:szCs w:val="32"/>
        </w:rPr>
        <w:t>估价报告出具日期：</w:t>
      </w:r>
      <w:r>
        <w:rPr>
          <w:rFonts w:hint="eastAsia" w:ascii="楷体_GB2312" w:hAnsi="楷体_GB2312" w:eastAsia="楷体_GB2312" w:cs="楷体_GB2312"/>
          <w:snapToGrid w:val="0"/>
          <w:kern w:val="0"/>
          <w:sz w:val="32"/>
          <w:szCs w:val="32"/>
        </w:rPr>
        <w:t>2020年5月29日</w:t>
      </w:r>
    </w:p>
    <w:p>
      <w:pPr>
        <w:spacing w:beforeLines="50" w:line="480" w:lineRule="auto"/>
        <w:ind w:left="3089" w:leftChars="400" w:hanging="2249" w:hangingChars="700"/>
        <w:rPr>
          <w:rFonts w:ascii="楷体_GB2312" w:hAnsi="楷体_GB2312" w:eastAsia="楷体_GB2312" w:cs="楷体_GB2312"/>
          <w:snapToGrid w:val="0"/>
          <w:kern w:val="0"/>
          <w:sz w:val="32"/>
          <w:szCs w:val="32"/>
        </w:rPr>
      </w:pPr>
      <w:r>
        <w:rPr>
          <w:rFonts w:hint="eastAsia" w:ascii="楷体_GB2312" w:hAnsi="楷体_GB2312" w:eastAsia="楷体_GB2312" w:cs="楷体_GB2312"/>
          <w:b/>
          <w:snapToGrid w:val="0"/>
          <w:kern w:val="0"/>
          <w:sz w:val="32"/>
          <w:szCs w:val="32"/>
        </w:rPr>
        <w:t>估价报告编号：</w:t>
      </w:r>
      <w:r>
        <w:rPr>
          <w:rFonts w:hint="eastAsia" w:ascii="楷体_GB2312" w:hAnsi="楷体_GB2312" w:eastAsia="楷体_GB2312" w:cs="楷体_GB2312"/>
          <w:snapToGrid w:val="0"/>
          <w:kern w:val="0"/>
          <w:sz w:val="32"/>
          <w:szCs w:val="32"/>
        </w:rPr>
        <w:t>赣永佳房（估）字[2020]第021号</w:t>
      </w:r>
    </w:p>
    <w:p>
      <w:pPr>
        <w:widowControl/>
        <w:spacing w:line="480" w:lineRule="auto"/>
        <w:jc w:val="left"/>
        <w:rPr>
          <w:rFonts w:ascii="楷体_GB2312" w:hAnsi="楷体_GB2312" w:eastAsia="楷体_GB2312" w:cs="楷体_GB2312"/>
          <w:snapToGrid w:val="0"/>
          <w:kern w:val="0"/>
          <w:sz w:val="36"/>
        </w:rPr>
        <w:sectPr>
          <w:pgSz w:w="11907" w:h="16840"/>
          <w:pgMar w:top="1418" w:right="1418" w:bottom="1418" w:left="1418" w:header="680" w:footer="851" w:gutter="0"/>
          <w:pgNumType w:start="1"/>
          <w:cols w:space="720" w:num="1"/>
        </w:sectPr>
      </w:pPr>
    </w:p>
    <w:p>
      <w:pPr>
        <w:pStyle w:val="2"/>
        <w:tabs>
          <w:tab w:val="left" w:pos="1275"/>
          <w:tab w:val="center" w:pos="4672"/>
        </w:tabs>
        <w:adjustRightInd w:val="0"/>
        <w:snapToGrid w:val="0"/>
        <w:spacing w:beforeLines="50" w:afterLines="50" w:line="480" w:lineRule="exact"/>
        <w:jc w:val="center"/>
        <w:rPr>
          <w:rFonts w:ascii="楷体_GB2312" w:hAnsi="楷体_GB2312" w:eastAsia="楷体_GB2312" w:cs="楷体_GB2312"/>
          <w:snapToGrid w:val="0"/>
          <w:kern w:val="0"/>
          <w:sz w:val="36"/>
          <w:szCs w:val="36"/>
        </w:rPr>
      </w:pPr>
      <w:bookmarkStart w:id="3" w:name="_Toc24635186"/>
      <w:bookmarkStart w:id="4" w:name="_Toc17397"/>
      <w:r>
        <w:rPr>
          <w:rFonts w:hint="eastAsia" w:ascii="楷体_GB2312" w:hAnsi="楷体_GB2312" w:eastAsia="楷体_GB2312" w:cs="楷体_GB2312"/>
          <w:snapToGrid w:val="0"/>
          <w:kern w:val="0"/>
          <w:sz w:val="36"/>
          <w:szCs w:val="36"/>
        </w:rPr>
        <w:t>致估价委托方函</w:t>
      </w:r>
      <w:bookmarkEnd w:id="3"/>
      <w:bookmarkEnd w:id="4"/>
    </w:p>
    <w:p>
      <w:pPr>
        <w:snapToGrid w:val="0"/>
        <w:spacing w:line="490" w:lineRule="exact"/>
        <w:ind w:right="34" w:rightChars="16" w:firstLine="2"/>
        <w:jc w:val="left"/>
        <w:rPr>
          <w:rFonts w:ascii="楷体_GB2312" w:hAnsi="楷体_GB2312" w:eastAsia="楷体_GB2312" w:cs="楷体_GB2312"/>
          <w:b/>
          <w:snapToGrid w:val="0"/>
          <w:kern w:val="0"/>
          <w:sz w:val="28"/>
          <w:szCs w:val="28"/>
        </w:rPr>
      </w:pPr>
      <w:r>
        <w:rPr>
          <w:rFonts w:hint="eastAsia" w:ascii="楷体_GB2312" w:hAnsi="楷体_GB2312" w:eastAsia="楷体_GB2312" w:cs="楷体_GB2312"/>
          <w:snapToGrid w:val="0"/>
          <w:kern w:val="0"/>
          <w:sz w:val="32"/>
          <w:szCs w:val="32"/>
        </w:rPr>
        <w:t>南昌市东湖区人民法院司法技术室</w:t>
      </w:r>
      <w:r>
        <w:rPr>
          <w:rFonts w:hint="eastAsia" w:ascii="楷体_GB2312" w:hAnsi="楷体_GB2312" w:eastAsia="楷体_GB2312" w:cs="楷体_GB2312"/>
          <w:snapToGrid w:val="0"/>
          <w:kern w:val="0"/>
          <w:sz w:val="28"/>
          <w:szCs w:val="28"/>
        </w:rPr>
        <w:t>：</w:t>
      </w:r>
    </w:p>
    <w:p>
      <w:pPr>
        <w:pStyle w:val="9"/>
        <w:tabs>
          <w:tab w:val="left" w:pos="1440"/>
        </w:tabs>
        <w:spacing w:after="0" w:line="480" w:lineRule="exact"/>
        <w:ind w:left="0" w:leftChars="0"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承蒙委托，我公司对贵单位委托的申请执行人民生银行南昌分行与被执行人李中华金融借款合同纠纷一案中涉及的位于南昌市西湖区洛阳东路现代庄园152号房住宅房地产市场价值进行评估，依据《南昌市不动产登记信息查询结果》及估价师现场查勘，估价对象权利人李中华，建筑面积为360.39㎡，建筑用途为住宅，估价对象详细状况见估价结果一览表。</w:t>
      </w:r>
    </w:p>
    <w:p>
      <w:pPr>
        <w:pStyle w:val="9"/>
        <w:tabs>
          <w:tab w:val="left" w:pos="1440"/>
        </w:tabs>
        <w:spacing w:after="0" w:line="48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根据《中华人民共和国资产评估法》、《房地产估价规范》，本次评估价值时点设定为估价委托之日</w:t>
      </w:r>
      <w:r>
        <w:rPr>
          <w:rFonts w:hint="eastAsia" w:ascii="楷体_GB2312" w:hAnsi="楷体_GB2312" w:eastAsia="楷体_GB2312" w:cs="楷体_GB2312"/>
          <w:sz w:val="28"/>
          <w:szCs w:val="24"/>
          <w:highlight w:val="none"/>
          <w:lang w:eastAsia="zh-CN"/>
        </w:rPr>
        <w:t>2020年5月27日</w:t>
      </w:r>
      <w:r>
        <w:rPr>
          <w:rFonts w:hint="eastAsia" w:ascii="楷体_GB2312" w:hAnsi="楷体_GB2312" w:eastAsia="楷体_GB2312" w:cs="楷体_GB2312"/>
          <w:sz w:val="28"/>
          <w:szCs w:val="24"/>
          <w:highlight w:val="none"/>
        </w:rPr>
        <w:t>；</w:t>
      </w:r>
      <w:r>
        <w:rPr>
          <w:rFonts w:hint="eastAsia" w:ascii="楷体_GB2312" w:hAnsi="楷体_GB2312" w:eastAsia="楷体_GB2312" w:cs="楷体_GB2312"/>
          <w:sz w:val="28"/>
          <w:szCs w:val="24"/>
        </w:rPr>
        <w:t>估价目的是为委托方执行处置委估房地产提供参考而评估房地产市场价值。房地产市场价值是指在价值时点时公开市场上的交易价格；本估价报告在市场情况无较大波动及房地产状况未有较大改变时有效期为一年（</w:t>
      </w:r>
      <w:r>
        <w:rPr>
          <w:rFonts w:hint="eastAsia" w:ascii="楷体_GB2312" w:hAnsi="楷体_GB2312" w:eastAsia="楷体_GB2312" w:cs="楷体_GB2312"/>
          <w:b/>
          <w:sz w:val="28"/>
          <w:szCs w:val="24"/>
        </w:rPr>
        <w:t>自2020年5月29日起至2021年5月28日止</w:t>
      </w:r>
      <w:r>
        <w:rPr>
          <w:rFonts w:hint="eastAsia" w:ascii="楷体_GB2312" w:hAnsi="楷体_GB2312" w:eastAsia="楷体_GB2312" w:cs="楷体_GB2312"/>
          <w:sz w:val="28"/>
          <w:szCs w:val="24"/>
        </w:rPr>
        <w:t>），若房地产市场有较大波动或超过一年或房地产状况发生变化，需重新进行估价。</w:t>
      </w:r>
    </w:p>
    <w:p>
      <w:pPr>
        <w:pStyle w:val="9"/>
        <w:tabs>
          <w:tab w:val="left" w:pos="1080"/>
        </w:tabs>
        <w:adjustRightInd w:val="0"/>
        <w:snapToGrid w:val="0"/>
        <w:spacing w:after="0" w:line="470" w:lineRule="exact"/>
        <w:ind w:left="0" w:leftChars="0" w:firstLine="560" w:firstLineChars="200"/>
        <w:rPr>
          <w:rFonts w:ascii="楷体_GB2312" w:hAnsi="楷体_GB2312" w:eastAsia="楷体_GB2312" w:cs="楷体_GB2312"/>
          <w:color w:val="000000" w:themeColor="text1"/>
          <w:sz w:val="28"/>
          <w:szCs w:val="24"/>
        </w:rPr>
      </w:pPr>
      <w:r>
        <w:rPr>
          <w:rFonts w:hint="eastAsia" w:ascii="楷体_GB2312" w:hAnsi="楷体_GB2312" w:eastAsia="楷体_GB2312" w:cs="楷体_GB2312"/>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hint="eastAsia" w:ascii="楷体_GB2312" w:hAnsi="楷体_GB2312" w:eastAsia="楷体_GB2312" w:cs="楷体_GB2312"/>
          <w:color w:val="000000" w:themeColor="text1"/>
          <w:sz w:val="28"/>
          <w:szCs w:val="24"/>
        </w:rPr>
        <w:t>采用</w:t>
      </w:r>
      <w:r>
        <w:rPr>
          <w:rFonts w:hint="eastAsia" w:ascii="楷体_GB2312" w:hAnsi="楷体_GB2312" w:eastAsia="楷体_GB2312" w:cs="楷体_GB2312"/>
          <w:b/>
          <w:color w:val="000000" w:themeColor="text1"/>
          <w:sz w:val="28"/>
          <w:szCs w:val="24"/>
        </w:rPr>
        <w:t>比较法</w:t>
      </w:r>
      <w:r>
        <w:rPr>
          <w:rFonts w:hint="eastAsia" w:ascii="楷体_GB2312" w:hAnsi="楷体_GB2312" w:eastAsia="楷体_GB2312" w:cs="楷体_GB2312"/>
          <w:color w:val="000000" w:themeColor="text1"/>
          <w:sz w:val="28"/>
          <w:szCs w:val="24"/>
        </w:rPr>
        <w:t>对估价对象进行估价测算，确定估价对象于价值时点的市场价值总价为</w:t>
      </w:r>
      <w:r>
        <w:rPr>
          <w:rFonts w:hint="eastAsia" w:ascii="楷体_GB2312" w:hAnsi="楷体_GB2312" w:eastAsia="楷体_GB2312" w:cs="楷体_GB2312"/>
          <w:b/>
          <w:color w:val="000000" w:themeColor="text1"/>
          <w:sz w:val="28"/>
          <w:szCs w:val="24"/>
        </w:rPr>
        <w:t>人民币357.40万元</w:t>
      </w:r>
      <w:r>
        <w:rPr>
          <w:rFonts w:hint="eastAsia" w:ascii="楷体_GB2312" w:hAnsi="楷体_GB2312" w:eastAsia="楷体_GB2312" w:cs="楷体_GB2312"/>
          <w:color w:val="000000" w:themeColor="text1"/>
          <w:sz w:val="28"/>
          <w:szCs w:val="24"/>
        </w:rPr>
        <w:t>，大写人民币</w:t>
      </w:r>
      <w:r>
        <w:rPr>
          <w:rFonts w:hint="eastAsia" w:ascii="楷体_GB2312" w:hAnsi="楷体_GB2312" w:eastAsia="楷体_GB2312" w:cs="楷体_GB2312"/>
          <w:b/>
          <w:bCs/>
          <w:color w:val="000000" w:themeColor="text1"/>
          <w:sz w:val="28"/>
          <w:szCs w:val="24"/>
        </w:rPr>
        <w:t>叁佰伍拾柒万肆仟</w:t>
      </w:r>
      <w:r>
        <w:rPr>
          <w:rFonts w:hint="eastAsia" w:ascii="楷体_GB2312" w:hAnsi="楷体_GB2312" w:eastAsia="楷体_GB2312" w:cs="楷体_GB2312"/>
          <w:b/>
          <w:color w:val="000000" w:themeColor="text1"/>
          <w:sz w:val="28"/>
          <w:szCs w:val="24"/>
        </w:rPr>
        <w:t>元</w:t>
      </w:r>
      <w:r>
        <w:rPr>
          <w:rFonts w:hint="eastAsia" w:ascii="楷体_GB2312" w:hAnsi="楷体_GB2312" w:eastAsia="楷体_GB2312" w:cs="楷体_GB2312"/>
          <w:color w:val="000000" w:themeColor="text1"/>
          <w:sz w:val="28"/>
          <w:szCs w:val="24"/>
        </w:rPr>
        <w:t>整，房地产单价为</w:t>
      </w:r>
      <w:r>
        <w:rPr>
          <w:rFonts w:hint="eastAsia" w:ascii="楷体_GB2312" w:hAnsi="楷体_GB2312" w:eastAsia="楷体_GB2312" w:cs="楷体_GB2312"/>
          <w:b/>
          <w:color w:val="000000" w:themeColor="text1"/>
          <w:sz w:val="28"/>
          <w:szCs w:val="24"/>
        </w:rPr>
        <w:t>9917</w:t>
      </w:r>
      <w:r>
        <w:rPr>
          <w:rFonts w:hint="eastAsia" w:ascii="楷体_GB2312" w:hAnsi="楷体_GB2312" w:eastAsia="楷体_GB2312" w:cs="楷体_GB2312"/>
          <w:color w:val="000000" w:themeColor="text1"/>
          <w:sz w:val="28"/>
          <w:szCs w:val="24"/>
        </w:rPr>
        <w:t>元/</w:t>
      </w:r>
      <w:r>
        <w:rPr>
          <w:rFonts w:hint="eastAsia" w:ascii="楷体_GB2312" w:hAnsi="楷体_GB2312" w:eastAsia="楷体_GB2312" w:cs="楷体_GB2312"/>
          <w:color w:val="000000" w:themeColor="text1"/>
          <w:sz w:val="32"/>
          <w:szCs w:val="28"/>
        </w:rPr>
        <w:t>㎡</w:t>
      </w:r>
      <w:r>
        <w:rPr>
          <w:rFonts w:hint="eastAsia" w:ascii="楷体_GB2312" w:hAnsi="楷体_GB2312" w:eastAsia="楷体_GB2312" w:cs="楷体_GB2312"/>
          <w:color w:val="000000" w:themeColor="text1"/>
          <w:sz w:val="28"/>
          <w:szCs w:val="24"/>
        </w:rPr>
        <w:t>，详见估价结果一览表。</w:t>
      </w:r>
    </w:p>
    <w:p>
      <w:pPr>
        <w:pStyle w:val="9"/>
        <w:tabs>
          <w:tab w:val="left" w:pos="1080"/>
        </w:tabs>
        <w:adjustRightInd w:val="0"/>
        <w:snapToGrid w:val="0"/>
        <w:spacing w:after="0" w:line="47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中国注册房地产估价师：</w:t>
      </w:r>
    </w:p>
    <w:tbl>
      <w:tblPr>
        <w:tblStyle w:val="23"/>
        <w:tblW w:w="5000" w:type="pct"/>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2137"/>
        <w:gridCol w:w="2168"/>
        <w:gridCol w:w="2491"/>
        <w:gridCol w:w="249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tcBorders>
              <w:top w:val="single" w:color="auto" w:sz="12" w:space="0"/>
              <w:left w:val="single" w:color="auto" w:sz="12" w:space="0"/>
              <w:bottom w:val="single" w:color="auto" w:sz="6" w:space="0"/>
              <w:right w:val="single" w:color="auto" w:sz="6"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姓  名</w:t>
            </w:r>
          </w:p>
        </w:tc>
        <w:tc>
          <w:tcPr>
            <w:tcW w:w="1167"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注册号</w:t>
            </w:r>
          </w:p>
        </w:tc>
        <w:tc>
          <w:tcPr>
            <w:tcW w:w="1341" w:type="pct"/>
            <w:tcBorders>
              <w:top w:val="single" w:color="auto" w:sz="12" w:space="0"/>
              <w:left w:val="single" w:color="auto" w:sz="6" w:space="0"/>
              <w:bottom w:val="single" w:color="auto" w:sz="6" w:space="0"/>
              <w:right w:val="single" w:color="auto" w:sz="6"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签名</w:t>
            </w:r>
          </w:p>
        </w:tc>
        <w:tc>
          <w:tcPr>
            <w:tcW w:w="1341" w:type="pct"/>
            <w:tcBorders>
              <w:top w:val="single" w:color="auto" w:sz="12" w:space="0"/>
              <w:left w:val="single" w:color="auto" w:sz="6" w:space="0"/>
              <w:bottom w:val="single" w:color="auto" w:sz="6" w:space="0"/>
              <w:right w:val="single" w:color="auto" w:sz="12"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tcBorders>
              <w:top w:val="single" w:color="auto" w:sz="6" w:space="0"/>
              <w:left w:val="single" w:color="auto" w:sz="12" w:space="0"/>
              <w:bottom w:val="single" w:color="auto" w:sz="6" w:space="0"/>
              <w:right w:val="single" w:color="auto" w:sz="6"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高  莹</w:t>
            </w:r>
          </w:p>
        </w:tc>
        <w:tc>
          <w:tcPr>
            <w:tcW w:w="1167"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3620160033</w:t>
            </w:r>
          </w:p>
        </w:tc>
        <w:tc>
          <w:tcPr>
            <w:tcW w:w="1341" w:type="pct"/>
            <w:tcBorders>
              <w:top w:val="single" w:color="auto" w:sz="6" w:space="0"/>
              <w:left w:val="single" w:color="auto" w:sz="6" w:space="0"/>
              <w:bottom w:val="single" w:color="auto" w:sz="6" w:space="0"/>
              <w:right w:val="single" w:color="auto" w:sz="6" w:space="0"/>
            </w:tcBorders>
            <w:vAlign w:val="center"/>
          </w:tcPr>
          <w:p>
            <w:pPr>
              <w:spacing w:line="500" w:lineRule="exact"/>
              <w:jc w:val="center"/>
              <w:rPr>
                <w:rFonts w:ascii="楷体_GB2312" w:hAnsi="楷体_GB2312" w:eastAsia="楷体_GB2312" w:cs="楷体_GB2312"/>
                <w:sz w:val="28"/>
                <w:szCs w:val="24"/>
              </w:rPr>
            </w:pPr>
          </w:p>
        </w:tc>
        <w:tc>
          <w:tcPr>
            <w:tcW w:w="1341" w:type="pct"/>
            <w:tcBorders>
              <w:top w:val="single" w:color="auto" w:sz="6" w:space="0"/>
              <w:left w:val="single" w:color="auto" w:sz="6" w:space="0"/>
              <w:bottom w:val="single" w:color="auto" w:sz="6" w:space="0"/>
              <w:right w:val="single" w:color="auto" w:sz="12"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2020年5月29日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1151" w:type="pct"/>
            <w:tcBorders>
              <w:top w:val="single" w:color="auto" w:sz="6" w:space="0"/>
              <w:left w:val="single" w:color="auto" w:sz="12" w:space="0"/>
              <w:bottom w:val="single" w:color="auto" w:sz="12" w:space="0"/>
              <w:right w:val="single" w:color="auto" w:sz="6"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邬雅琴</w:t>
            </w:r>
          </w:p>
        </w:tc>
        <w:tc>
          <w:tcPr>
            <w:tcW w:w="1167"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3620190026</w:t>
            </w:r>
          </w:p>
        </w:tc>
        <w:tc>
          <w:tcPr>
            <w:tcW w:w="1341" w:type="pct"/>
            <w:tcBorders>
              <w:top w:val="single" w:color="auto" w:sz="6" w:space="0"/>
              <w:left w:val="single" w:color="auto" w:sz="6" w:space="0"/>
              <w:bottom w:val="single" w:color="auto" w:sz="12" w:space="0"/>
              <w:right w:val="single" w:color="auto" w:sz="6" w:space="0"/>
            </w:tcBorders>
            <w:vAlign w:val="center"/>
          </w:tcPr>
          <w:p>
            <w:pPr>
              <w:spacing w:line="500" w:lineRule="exact"/>
              <w:jc w:val="center"/>
              <w:rPr>
                <w:rFonts w:ascii="楷体_GB2312" w:hAnsi="楷体_GB2312" w:eastAsia="楷体_GB2312" w:cs="楷体_GB2312"/>
                <w:sz w:val="28"/>
                <w:szCs w:val="24"/>
              </w:rPr>
            </w:pPr>
          </w:p>
        </w:tc>
        <w:tc>
          <w:tcPr>
            <w:tcW w:w="1341" w:type="pct"/>
            <w:tcBorders>
              <w:top w:val="single" w:color="auto" w:sz="6" w:space="0"/>
              <w:left w:val="single" w:color="auto" w:sz="6" w:space="0"/>
              <w:bottom w:val="single" w:color="auto" w:sz="12" w:space="0"/>
              <w:right w:val="single" w:color="auto" w:sz="12" w:space="0"/>
            </w:tcBorders>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2020年5月29日</w:t>
            </w:r>
          </w:p>
        </w:tc>
      </w:tr>
    </w:tbl>
    <w:p>
      <w:pPr>
        <w:pStyle w:val="9"/>
        <w:tabs>
          <w:tab w:val="left" w:pos="1440"/>
        </w:tabs>
        <w:spacing w:after="0" w:line="480" w:lineRule="exact"/>
        <w:ind w:left="0" w:leftChars="0" w:firstLine="560" w:firstLineChars="200"/>
        <w:rPr>
          <w:rFonts w:ascii="楷体_GB2312" w:hAnsi="楷体_GB2312" w:eastAsia="楷体_GB2312" w:cs="楷体_GB2312"/>
          <w:sz w:val="28"/>
          <w:szCs w:val="24"/>
        </w:rPr>
        <w:sectPr>
          <w:headerReference r:id="rId3" w:type="default"/>
          <w:footerReference r:id="rId4" w:type="default"/>
          <w:pgSz w:w="11907" w:h="16840"/>
          <w:pgMar w:top="1418" w:right="1418" w:bottom="1418" w:left="1418" w:header="851" w:footer="992" w:gutter="0"/>
          <w:pgNumType w:start="1"/>
          <w:cols w:space="720" w:num="1"/>
          <w:docGrid w:linePitch="479" w:charSpace="11986"/>
        </w:sectPr>
      </w:pPr>
    </w:p>
    <w:p>
      <w:pPr>
        <w:pStyle w:val="9"/>
        <w:tabs>
          <w:tab w:val="left" w:pos="1080"/>
        </w:tabs>
        <w:adjustRightInd w:val="0"/>
        <w:snapToGrid w:val="0"/>
        <w:spacing w:after="0" w:line="470" w:lineRule="exact"/>
        <w:ind w:left="0" w:leftChars="0"/>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估价结果一览表</w:t>
      </w:r>
    </w:p>
    <w:tbl>
      <w:tblPr>
        <w:tblStyle w:val="23"/>
        <w:tblW w:w="5692" w:type="pct"/>
        <w:tblInd w:w="-478" w:type="dxa"/>
        <w:tblLayout w:type="autofit"/>
        <w:tblCellMar>
          <w:top w:w="0" w:type="dxa"/>
          <w:left w:w="0" w:type="dxa"/>
          <w:bottom w:w="0" w:type="dxa"/>
          <w:right w:w="0" w:type="dxa"/>
        </w:tblCellMar>
      </w:tblPr>
      <w:tblGrid>
        <w:gridCol w:w="502"/>
        <w:gridCol w:w="908"/>
        <w:gridCol w:w="1064"/>
        <w:gridCol w:w="886"/>
        <w:gridCol w:w="628"/>
        <w:gridCol w:w="1247"/>
        <w:gridCol w:w="871"/>
        <w:gridCol w:w="510"/>
        <w:gridCol w:w="614"/>
        <w:gridCol w:w="840"/>
        <w:gridCol w:w="749"/>
        <w:gridCol w:w="780"/>
        <w:gridCol w:w="762"/>
      </w:tblGrid>
      <w:tr>
        <w:tblPrEx>
          <w:tblCellMar>
            <w:top w:w="0" w:type="dxa"/>
            <w:left w:w="0" w:type="dxa"/>
            <w:bottom w:w="0" w:type="dxa"/>
            <w:right w:w="0" w:type="dxa"/>
          </w:tblCellMar>
        </w:tblPrEx>
        <w:trPr>
          <w:trHeight w:val="366"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序号</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不动产权利人</w:t>
            </w: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土地使用权证号</w:t>
            </w:r>
          </w:p>
        </w:tc>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房屋所有权证号</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共有情况</w:t>
            </w:r>
          </w:p>
        </w:tc>
        <w:tc>
          <w:tcPr>
            <w:tcW w:w="6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位置</w:t>
            </w:r>
          </w:p>
        </w:tc>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权利性质</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结构</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建筑</w:t>
            </w:r>
          </w:p>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用途</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评估层/总楼层</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建筑面积（㎡）</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评估市场单价（元/㎡）</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评估市场总价（万元）</w:t>
            </w:r>
          </w:p>
        </w:tc>
      </w:tr>
      <w:tr>
        <w:tblPrEx>
          <w:tblCellMar>
            <w:top w:w="0" w:type="dxa"/>
            <w:left w:w="0" w:type="dxa"/>
            <w:bottom w:w="0" w:type="dxa"/>
            <w:right w:w="0" w:type="dxa"/>
          </w:tblCellMar>
        </w:tblPrEx>
        <w:trPr>
          <w:trHeight w:val="439"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6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r>
      <w:tr>
        <w:tblPrEx>
          <w:tblCellMar>
            <w:top w:w="0" w:type="dxa"/>
            <w:left w:w="0" w:type="dxa"/>
            <w:bottom w:w="0" w:type="dxa"/>
            <w:right w:w="0" w:type="dxa"/>
          </w:tblCellMar>
        </w:tblPrEx>
        <w:trPr>
          <w:trHeight w:val="1335"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李中华</w:t>
            </w:r>
          </w:p>
        </w:tc>
        <w:tc>
          <w:tcPr>
            <w:tcW w:w="5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西（南）国用（2003）字第2019号</w:t>
            </w:r>
          </w:p>
        </w:tc>
        <w:tc>
          <w:tcPr>
            <w:tcW w:w="4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西字第422029</w:t>
            </w:r>
          </w:p>
        </w:tc>
        <w:tc>
          <w:tcPr>
            <w:tcW w:w="3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单独所有</w:t>
            </w:r>
          </w:p>
        </w:tc>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南昌市西湖区洛阳东路现代庄园152号房</w:t>
            </w:r>
          </w:p>
        </w:tc>
        <w:tc>
          <w:tcPr>
            <w:tcW w:w="4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出让/市场化商品房</w:t>
            </w:r>
          </w:p>
        </w:tc>
        <w:tc>
          <w:tcPr>
            <w:tcW w:w="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混合</w:t>
            </w:r>
          </w:p>
        </w:tc>
        <w:tc>
          <w:tcPr>
            <w:tcW w:w="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住宅</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1-3/3</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360.39</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9917</w:t>
            </w:r>
          </w:p>
        </w:tc>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357.40</w:t>
            </w:r>
          </w:p>
        </w:tc>
      </w:tr>
    </w:tbl>
    <w:p>
      <w:pPr>
        <w:pStyle w:val="9"/>
        <w:tabs>
          <w:tab w:val="left" w:pos="1440"/>
        </w:tabs>
        <w:spacing w:after="0" w:line="500" w:lineRule="exact"/>
        <w:ind w:left="0" w:leftChars="0"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特别提示：</w:t>
      </w:r>
    </w:p>
    <w:p>
      <w:pPr>
        <w:pStyle w:val="9"/>
        <w:numPr>
          <w:ilvl w:val="0"/>
          <w:numId w:val="1"/>
        </w:numPr>
        <w:tabs>
          <w:tab w:val="left" w:pos="0"/>
        </w:tabs>
        <w:spacing w:after="0" w:line="500" w:lineRule="exact"/>
        <w:ind w:left="0" w:leftChars="0" w:firstLine="426"/>
        <w:rPr>
          <w:rFonts w:ascii="楷体_GB2312" w:hAnsi="楷体_GB2312" w:eastAsia="楷体_GB2312" w:cs="楷体_GB2312"/>
          <w:sz w:val="24"/>
          <w:szCs w:val="24"/>
        </w:rPr>
      </w:pPr>
      <w:r>
        <w:rPr>
          <w:rFonts w:hint="eastAsia" w:ascii="楷体_GB2312" w:hAnsi="楷体_GB2312" w:eastAsia="楷体_GB2312" w:cs="楷体_GB2312"/>
          <w:sz w:val="24"/>
          <w:szCs w:val="24"/>
        </w:rPr>
        <w:t>上述估价结果是指在价值时点的房地产市场状况下、估价对象在现状利用条件下的房地产市场价值，包括国有出让土地使用权价值和与房屋有关的土建、安装及装饰装修的价值，不包括可移动的家具、电器等物品价值，也不包含处置时的司法诉讼费用、过户税费及其他应付费用等。</w:t>
      </w:r>
    </w:p>
    <w:p>
      <w:pPr>
        <w:pStyle w:val="9"/>
        <w:tabs>
          <w:tab w:val="left" w:pos="1440"/>
        </w:tabs>
        <w:spacing w:after="0" w:line="500" w:lineRule="exact"/>
        <w:ind w:left="0" w:leftChars="0" w:firstLine="480" w:firstLineChars="200"/>
        <w:rPr>
          <w:rFonts w:ascii="楷体_GB2312" w:hAnsi="楷体_GB2312" w:eastAsia="楷体_GB2312" w:cs="楷体_GB2312"/>
          <w:color w:val="000000" w:themeColor="text1"/>
          <w:sz w:val="24"/>
          <w:szCs w:val="24"/>
        </w:rPr>
      </w:pPr>
      <w:r>
        <w:rPr>
          <w:rFonts w:hint="eastAsia" w:ascii="楷体_GB2312" w:hAnsi="楷体_GB2312" w:eastAsia="楷体_GB2312" w:cs="楷体_GB2312"/>
          <w:sz w:val="24"/>
          <w:szCs w:val="24"/>
        </w:rPr>
        <w:t>2、本次评估估价对象权利人、建筑面积等相关情况以委托方提供的《南昌市不动产登记信息查询结果》为依据，确定权利人为李中华，共有情况为单独所有，建筑面积为360.39㎡，用途为住宅；若上述情况与实际登记不同，需对估价报告进行调整或重新出</w:t>
      </w:r>
      <w:r>
        <w:rPr>
          <w:rFonts w:hint="eastAsia" w:ascii="楷体_GB2312" w:hAnsi="楷体_GB2312" w:eastAsia="楷体_GB2312" w:cs="楷体_GB2312"/>
          <w:color w:val="000000" w:themeColor="text1"/>
          <w:sz w:val="24"/>
          <w:szCs w:val="24"/>
        </w:rPr>
        <w:t>具估价报告。</w:t>
      </w:r>
    </w:p>
    <w:p>
      <w:pPr>
        <w:pStyle w:val="9"/>
        <w:tabs>
          <w:tab w:val="left" w:pos="1440"/>
        </w:tabs>
        <w:spacing w:after="0" w:line="500" w:lineRule="exact"/>
        <w:ind w:left="0" w:leftChars="0" w:firstLine="480" w:firstLineChars="200"/>
        <w:rPr>
          <w:rFonts w:ascii="楷体_GB2312" w:hAnsi="楷体_GB2312" w:eastAsia="楷体_GB2312" w:cs="楷体_GB2312"/>
          <w:color w:val="000000" w:themeColor="text1"/>
          <w:sz w:val="24"/>
          <w:szCs w:val="24"/>
        </w:rPr>
      </w:pPr>
      <w:r>
        <w:rPr>
          <w:rFonts w:hint="eastAsia" w:ascii="楷体_GB2312" w:hAnsi="楷体_GB2312" w:eastAsia="楷体_GB2312" w:cs="楷体_GB2312"/>
          <w:color w:val="000000" w:themeColor="text1"/>
          <w:sz w:val="24"/>
          <w:szCs w:val="24"/>
        </w:rPr>
        <w:t>3、至价值时点，估价对象存在抵押权，不存在租赁权，估价对象目前已被法院依法查封。</w:t>
      </w:r>
    </w:p>
    <w:p>
      <w:pPr>
        <w:pStyle w:val="9"/>
        <w:tabs>
          <w:tab w:val="left" w:pos="1440"/>
        </w:tabs>
        <w:spacing w:after="0" w:line="500" w:lineRule="exact"/>
        <w:ind w:left="0" w:leftChars="0"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4、因产权人不配合，房门未开，估价人员未能进入室内查勘及拍照取证，从估价对象1层窗外观察到估价对象1层室内为简单装修，本次估价设定估价对象室内装修状况为简单装修。</w:t>
      </w:r>
    </w:p>
    <w:p>
      <w:pPr>
        <w:pStyle w:val="9"/>
        <w:tabs>
          <w:tab w:val="left" w:pos="1440"/>
        </w:tabs>
        <w:spacing w:after="0" w:line="500" w:lineRule="exact"/>
        <w:ind w:left="0" w:leftChars="0" w:firstLine="480" w:firstLineChars="200"/>
        <w:rPr>
          <w:rFonts w:ascii="楷体_GB2312" w:hAnsi="楷体_GB2312" w:eastAsia="楷体_GB2312" w:cs="楷体_GB2312"/>
          <w:sz w:val="24"/>
          <w:szCs w:val="24"/>
        </w:rPr>
      </w:pPr>
      <w:r>
        <w:rPr>
          <w:rFonts w:hint="eastAsia" w:ascii="楷体_GB2312" w:hAnsi="楷体_GB2312" w:eastAsia="楷体_GB2312" w:cs="楷体_GB2312"/>
          <w:sz w:val="24"/>
          <w:szCs w:val="24"/>
        </w:rPr>
        <w:t>5、欲了解估价对象的权益状况、实物状况、区位状况等全面情况，请认真阅读估价报告书全文。本估价报告自出具报告之日起一年内有效。</w:t>
      </w:r>
    </w:p>
    <w:p>
      <w:pPr>
        <w:pStyle w:val="9"/>
        <w:tabs>
          <w:tab w:val="left" w:pos="1440"/>
        </w:tabs>
        <w:spacing w:after="0" w:line="480" w:lineRule="exact"/>
        <w:ind w:right="819" w:rightChars="390" w:firstLine="3640" w:firstLineChars="1300"/>
        <w:rPr>
          <w:rFonts w:ascii="楷体_GB2312" w:hAnsi="楷体_GB2312" w:eastAsia="楷体_GB2312" w:cs="楷体_GB2312"/>
          <w:snapToGrid w:val="0"/>
          <w:kern w:val="0"/>
          <w:sz w:val="28"/>
          <w:szCs w:val="28"/>
        </w:rPr>
      </w:pPr>
    </w:p>
    <w:p>
      <w:pPr>
        <w:pStyle w:val="9"/>
        <w:tabs>
          <w:tab w:val="left" w:pos="1440"/>
        </w:tabs>
        <w:spacing w:after="0" w:line="480" w:lineRule="exact"/>
        <w:ind w:left="3990" w:leftChars="1900" w:right="819" w:rightChars="39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法定代表人：</w:t>
      </w:r>
    </w:p>
    <w:p>
      <w:pPr>
        <w:adjustRightInd w:val="0"/>
        <w:snapToGrid w:val="0"/>
        <w:spacing w:beforeLines="50" w:line="480" w:lineRule="exact"/>
        <w:ind w:left="3990" w:leftChars="1900" w:right="819" w:rightChars="390"/>
        <w:rPr>
          <w:rFonts w:ascii="楷体_GB2312" w:hAnsi="楷体_GB2312" w:eastAsia="楷体_GB2312" w:cs="楷体_GB2312"/>
          <w:sz w:val="28"/>
          <w:szCs w:val="28"/>
        </w:rPr>
      </w:pPr>
      <w:r>
        <w:rPr>
          <w:rFonts w:hint="eastAsia" w:ascii="楷体_GB2312" w:hAnsi="楷体_GB2312" w:eastAsia="楷体_GB2312" w:cs="楷体_GB2312"/>
          <w:sz w:val="28"/>
          <w:szCs w:val="28"/>
        </w:rPr>
        <w:t>江西永佳房地产资产评估有限公司</w:t>
      </w:r>
    </w:p>
    <w:p>
      <w:pPr>
        <w:adjustRightInd w:val="0"/>
        <w:snapToGrid w:val="0"/>
        <w:spacing w:beforeLines="50" w:line="480" w:lineRule="exact"/>
        <w:ind w:left="840" w:leftChars="400" w:right="819" w:rightChars="390"/>
        <w:jc w:val="center"/>
        <w:rPr>
          <w:rFonts w:ascii="楷体_GB2312" w:hAnsi="楷体_GB2312" w:eastAsia="楷体_GB2312" w:cs="楷体_GB2312"/>
          <w:snapToGrid w:val="0"/>
          <w:color w:val="000000" w:themeColor="text1"/>
          <w:kern w:val="0"/>
          <w:sz w:val="28"/>
          <w:szCs w:val="28"/>
        </w:rPr>
        <w:sectPr>
          <w:pgSz w:w="11907" w:h="16840"/>
          <w:pgMar w:top="1418" w:right="1418" w:bottom="1418" w:left="1418" w:header="851" w:footer="794" w:gutter="0"/>
          <w:cols w:space="720" w:num="1"/>
          <w:docGrid w:linePitch="479" w:charSpace="11986"/>
        </w:sectPr>
      </w:pPr>
      <w:r>
        <w:rPr>
          <w:rFonts w:hint="eastAsia" w:ascii="楷体_GB2312" w:hAnsi="楷体_GB2312" w:eastAsia="楷体_GB2312" w:cs="楷体_GB2312"/>
          <w:snapToGrid w:val="0"/>
          <w:color w:val="000000" w:themeColor="text1"/>
          <w:kern w:val="0"/>
          <w:sz w:val="28"/>
          <w:szCs w:val="28"/>
        </w:rPr>
        <w:t xml:space="preserve">                        2020年5月29日 </w:t>
      </w:r>
    </w:p>
    <w:p>
      <w:pPr>
        <w:spacing w:beforeLines="50" w:afterLines="50" w:line="480" w:lineRule="exact"/>
        <w:jc w:val="center"/>
        <w:rPr>
          <w:rFonts w:ascii="楷体_GB2312" w:hAnsi="楷体_GB2312" w:eastAsia="楷体_GB2312" w:cs="楷体_GB2312"/>
          <w:b/>
          <w:snapToGrid w:val="0"/>
          <w:kern w:val="0"/>
          <w:sz w:val="36"/>
        </w:rPr>
      </w:pPr>
      <w:r>
        <w:rPr>
          <w:rFonts w:hint="eastAsia" w:ascii="楷体_GB2312" w:hAnsi="楷体_GB2312" w:eastAsia="楷体_GB2312" w:cs="楷体_GB2312"/>
          <w:b/>
          <w:snapToGrid w:val="0"/>
          <w:kern w:val="0"/>
          <w:sz w:val="36"/>
        </w:rPr>
        <w:t>目    录</w:t>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kern w:val="2"/>
          <w:sz w:val="24"/>
          <w:szCs w:val="24"/>
        </w:rPr>
        <w:fldChar w:fldCharType="begin"/>
      </w:r>
      <w:r>
        <w:rPr>
          <w:rFonts w:hint="eastAsia" w:ascii="楷体_GB2312" w:hAnsi="楷体_GB2312" w:eastAsia="楷体_GB2312" w:cs="楷体_GB2312"/>
          <w:kern w:val="2"/>
          <w:sz w:val="24"/>
          <w:szCs w:val="24"/>
        </w:rPr>
        <w:instrText xml:space="preserve"> TOC \o "1-2" \h \z \u </w:instrText>
      </w:r>
      <w:r>
        <w:rPr>
          <w:rFonts w:hint="eastAsia" w:ascii="楷体_GB2312" w:hAnsi="楷体_GB2312" w:eastAsia="楷体_GB2312" w:cs="楷体_GB2312"/>
          <w:kern w:val="2"/>
          <w:sz w:val="24"/>
          <w:szCs w:val="24"/>
        </w:rPr>
        <w:fldChar w:fldCharType="separate"/>
      </w:r>
      <w:r>
        <w:rPr>
          <w:rFonts w:hint="eastAsia" w:ascii="楷体_GB2312" w:hAnsi="楷体_GB2312" w:eastAsia="楷体_GB2312" w:cs="楷体_GB2312"/>
          <w:kern w:val="2"/>
          <w:sz w:val="24"/>
          <w:szCs w:val="24"/>
        </w:rPr>
        <w:fldChar w:fldCharType="begin"/>
      </w:r>
      <w:r>
        <w:rPr>
          <w:rFonts w:hint="eastAsia" w:ascii="楷体_GB2312" w:hAnsi="楷体_GB2312" w:eastAsia="楷体_GB2312" w:cs="楷体_GB2312"/>
          <w:kern w:val="2"/>
          <w:sz w:val="24"/>
          <w:szCs w:val="24"/>
        </w:rPr>
        <w:instrText xml:space="preserve"> HYPERLINK \l _Toc17397 </w:instrText>
      </w:r>
      <w:r>
        <w:rPr>
          <w:rFonts w:hint="eastAsia" w:ascii="楷体_GB2312" w:hAnsi="楷体_GB2312" w:eastAsia="楷体_GB2312" w:cs="楷体_GB2312"/>
          <w:kern w:val="2"/>
          <w:sz w:val="24"/>
          <w:szCs w:val="24"/>
        </w:rPr>
        <w:fldChar w:fldCharType="separate"/>
      </w:r>
      <w:r>
        <w:rPr>
          <w:rFonts w:hint="eastAsia" w:ascii="楷体_GB2312" w:hAnsi="楷体_GB2312" w:eastAsia="楷体_GB2312" w:cs="楷体_GB2312"/>
          <w:snapToGrid w:val="0"/>
          <w:kern w:val="0"/>
          <w:sz w:val="24"/>
          <w:szCs w:val="24"/>
        </w:rPr>
        <w:t>致估价委托方函</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_Toc17397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_Toc5159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估价师声明</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_Toc5159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_Toc11699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估价假设和限制条件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_Toc11699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_Toc16412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房地产估价结果报告</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_Toc16412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_Toc13157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（一）估价委托方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_Toc13157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_Toc17130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w:t>
      </w:r>
      <w:r>
        <w:rPr>
          <w:rFonts w:hint="eastAsia" w:ascii="楷体_GB2312" w:hAnsi="楷体_GB2312" w:eastAsia="楷体_GB2312" w:cs="楷体_GB2312"/>
          <w:bCs w:val="0"/>
          <w:sz w:val="24"/>
          <w:szCs w:val="24"/>
        </w:rPr>
        <w:t>二）估价方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_Toc17130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_Toc23917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（三）估价目的</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_Toc23917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_Toc25377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（四）估价对象</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_Toc25377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9</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_Toc255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（五）价值时点</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_Toc20064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highlight w:val="none"/>
        </w:rPr>
        <w:t>（</w:t>
      </w:r>
      <w:r>
        <w:rPr>
          <w:rFonts w:hint="eastAsia" w:ascii="楷体_GB2312" w:hAnsi="楷体_GB2312" w:eastAsia="楷体_GB2312" w:cs="楷体_GB2312"/>
          <w:bCs w:val="0"/>
          <w:sz w:val="24"/>
          <w:szCs w:val="24"/>
          <w:highlight w:val="none"/>
        </w:rPr>
        <w:t>六）价值类型</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_Toc20064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_Toc5499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（七）估价原则</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_Toc5499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11</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_Toc1505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（八）估价依据</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_Toc1505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13</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_Toc10559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（九）估价方法</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_Toc10559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14</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_Toc20583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（十）估价结果</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_Toc20583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15</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_Toc6743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bCs w:val="0"/>
          <w:snapToGrid w:val="0"/>
          <w:kern w:val="0"/>
          <w:sz w:val="24"/>
          <w:szCs w:val="24"/>
        </w:rPr>
        <w:t>（十一）注册房地产估价师</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_Toc6743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_Toc25794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（十二）实地查勘期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_Toc25794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_Toc6526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（十三）估价作业期</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_Toc6526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16</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17"/>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_Toc22847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附     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_Toc22847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_Toc29256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（一）南昌市东湖区人民法院司法技术室委托鉴定（评估）书</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_Toc29256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_Toc1980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（二）估价对象的地理位置示意图</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_Toc1980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_Toc10601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（三）估价对象</w:t>
      </w:r>
      <w:r>
        <w:rPr>
          <w:rFonts w:hint="eastAsia" w:ascii="楷体_GB2312" w:hAnsi="楷体_GB2312" w:eastAsia="楷体_GB2312" w:cs="楷体_GB2312"/>
          <w:snapToGrid w:val="0"/>
          <w:kern w:val="0"/>
          <w:sz w:val="24"/>
          <w:szCs w:val="24"/>
          <w:lang w:eastAsia="zh-CN"/>
        </w:rPr>
        <w:t>内、</w:t>
      </w:r>
      <w:r>
        <w:rPr>
          <w:rFonts w:hint="eastAsia" w:ascii="楷体_GB2312" w:hAnsi="楷体_GB2312" w:eastAsia="楷体_GB2312" w:cs="楷体_GB2312"/>
          <w:snapToGrid w:val="0"/>
          <w:kern w:val="0"/>
          <w:sz w:val="24"/>
          <w:szCs w:val="24"/>
        </w:rPr>
        <w:t>外部状况照片</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_Toc10601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_Toc21303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（四）估价对象权属证明复印件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_Toc21303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_Toc19067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（五）房地产估价机构营业执照复印件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_Toc19067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_Toc25368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（六）房地产估价机构资质证书复印件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_Toc25368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tabs>
          <w:tab w:val="right" w:leader="dot" w:pos="9071"/>
          <w:tab w:val="clear" w:pos="9119"/>
        </w:tabs>
        <w:kinsoku/>
        <w:wordWrap/>
        <w:overflowPunct/>
        <w:topLinePunct w:val="0"/>
        <w:autoSpaceDE/>
        <w:autoSpaceDN/>
        <w:bidi w:val="0"/>
        <w:adjustRightInd w:val="0"/>
        <w:snapToGrid w:val="0"/>
        <w:spacing w:line="500" w:lineRule="exact"/>
        <w:textAlignment w:val="auto"/>
        <w:rPr>
          <w:rFonts w:hint="eastAsia" w:ascii="楷体_GB2312" w:hAnsi="楷体_GB2312" w:eastAsia="楷体_GB2312" w:cs="楷体_GB2312"/>
          <w:sz w:val="24"/>
          <w:szCs w:val="24"/>
        </w:rPr>
      </w:pPr>
      <w:r>
        <w:rPr>
          <w:rFonts w:hint="eastAsia" w:ascii="楷体_GB2312" w:hAnsi="楷体_GB2312" w:eastAsia="楷体_GB2312" w:cs="楷体_GB2312"/>
          <w:snapToGrid w:val="0"/>
          <w:kern w:val="2"/>
          <w:sz w:val="24"/>
          <w:szCs w:val="24"/>
        </w:rPr>
        <w:fldChar w:fldCharType="begin"/>
      </w:r>
      <w:r>
        <w:rPr>
          <w:rFonts w:hint="eastAsia" w:ascii="楷体_GB2312" w:hAnsi="楷体_GB2312" w:eastAsia="楷体_GB2312" w:cs="楷体_GB2312"/>
          <w:snapToGrid w:val="0"/>
          <w:kern w:val="2"/>
          <w:sz w:val="24"/>
          <w:szCs w:val="24"/>
        </w:rPr>
        <w:instrText xml:space="preserve"> HYPERLINK \l _Toc18610 </w:instrText>
      </w:r>
      <w:r>
        <w:rPr>
          <w:rFonts w:hint="eastAsia" w:ascii="楷体_GB2312" w:hAnsi="楷体_GB2312" w:eastAsia="楷体_GB2312" w:cs="楷体_GB2312"/>
          <w:snapToGrid w:val="0"/>
          <w:kern w:val="2"/>
          <w:sz w:val="24"/>
          <w:szCs w:val="24"/>
        </w:rPr>
        <w:fldChar w:fldCharType="separate"/>
      </w:r>
      <w:r>
        <w:rPr>
          <w:rFonts w:hint="eastAsia" w:ascii="楷体_GB2312" w:hAnsi="楷体_GB2312" w:eastAsia="楷体_GB2312" w:cs="楷体_GB2312"/>
          <w:snapToGrid w:val="0"/>
          <w:kern w:val="0"/>
          <w:sz w:val="24"/>
          <w:szCs w:val="24"/>
        </w:rPr>
        <w:t>（七）房地产估价师注册证书复印件</w:t>
      </w:r>
      <w:r>
        <w:rPr>
          <w:rFonts w:hint="eastAsia" w:ascii="楷体_GB2312" w:hAnsi="楷体_GB2312" w:eastAsia="楷体_GB2312" w:cs="楷体_GB2312"/>
          <w:sz w:val="24"/>
          <w:szCs w:val="24"/>
        </w:rPr>
        <w:tab/>
      </w:r>
      <w:r>
        <w:rPr>
          <w:rFonts w:hint="eastAsia" w:ascii="楷体_GB2312" w:hAnsi="楷体_GB2312" w:eastAsia="楷体_GB2312" w:cs="楷体_GB2312"/>
          <w:sz w:val="24"/>
          <w:szCs w:val="24"/>
        </w:rPr>
        <w:fldChar w:fldCharType="begin"/>
      </w:r>
      <w:r>
        <w:rPr>
          <w:rFonts w:hint="eastAsia" w:ascii="楷体_GB2312" w:hAnsi="楷体_GB2312" w:eastAsia="楷体_GB2312" w:cs="楷体_GB2312"/>
          <w:sz w:val="24"/>
          <w:szCs w:val="24"/>
        </w:rPr>
        <w:instrText xml:space="preserve"> PAGEREF _Toc18610 </w:instrText>
      </w:r>
      <w:r>
        <w:rPr>
          <w:rFonts w:hint="eastAsia" w:ascii="楷体_GB2312" w:hAnsi="楷体_GB2312" w:eastAsia="楷体_GB2312" w:cs="楷体_GB2312"/>
          <w:sz w:val="24"/>
          <w:szCs w:val="24"/>
        </w:rPr>
        <w:fldChar w:fldCharType="separate"/>
      </w:r>
      <w:r>
        <w:rPr>
          <w:rFonts w:hint="eastAsia" w:ascii="楷体_GB2312" w:hAnsi="楷体_GB2312" w:eastAsia="楷体_GB2312" w:cs="楷体_GB2312"/>
          <w:sz w:val="24"/>
          <w:szCs w:val="24"/>
        </w:rPr>
        <w:t>17</w:t>
      </w:r>
      <w:r>
        <w:rPr>
          <w:rFonts w:hint="eastAsia" w:ascii="楷体_GB2312" w:hAnsi="楷体_GB2312" w:eastAsia="楷体_GB2312" w:cs="楷体_GB2312"/>
          <w:sz w:val="24"/>
          <w:szCs w:val="24"/>
        </w:rPr>
        <w:fldChar w:fldCharType="end"/>
      </w:r>
      <w:r>
        <w:rPr>
          <w:rFonts w:hint="eastAsia" w:ascii="楷体_GB2312" w:hAnsi="楷体_GB2312" w:eastAsia="楷体_GB2312" w:cs="楷体_GB2312"/>
          <w:snapToGrid w:val="0"/>
          <w:kern w:val="2"/>
          <w:sz w:val="24"/>
          <w:szCs w:val="24"/>
        </w:rPr>
        <w:fldChar w:fldCharType="end"/>
      </w:r>
    </w:p>
    <w:p>
      <w:pPr>
        <w:pStyle w:val="20"/>
        <w:keepNext w:val="0"/>
        <w:keepLines w:val="0"/>
        <w:pageBreakBefore w:val="0"/>
        <w:widowControl w:val="0"/>
        <w:kinsoku/>
        <w:wordWrap/>
        <w:overflowPunct/>
        <w:topLinePunct w:val="0"/>
        <w:autoSpaceDE/>
        <w:autoSpaceDN/>
        <w:bidi w:val="0"/>
        <w:adjustRightInd w:val="0"/>
        <w:snapToGrid w:val="0"/>
        <w:spacing w:line="500" w:lineRule="exact"/>
        <w:textAlignment w:val="auto"/>
        <w:rPr>
          <w:rFonts w:ascii="楷体_GB2312" w:hAnsi="楷体_GB2312" w:eastAsia="楷体_GB2312" w:cs="楷体_GB2312"/>
          <w:snapToGrid w:val="0"/>
          <w:sz w:val="24"/>
          <w:szCs w:val="24"/>
        </w:rPr>
        <w:sectPr>
          <w:pgSz w:w="11907" w:h="16840"/>
          <w:pgMar w:top="1418" w:right="1418" w:bottom="1418" w:left="1418" w:header="851" w:footer="794" w:gutter="0"/>
          <w:cols w:space="720" w:num="1"/>
          <w:docGrid w:linePitch="479" w:charSpace="11986"/>
        </w:sectPr>
      </w:pPr>
      <w:r>
        <w:rPr>
          <w:rFonts w:hint="eastAsia" w:ascii="楷体_GB2312" w:hAnsi="楷体_GB2312" w:eastAsia="楷体_GB2312" w:cs="楷体_GB2312"/>
          <w:snapToGrid w:val="0"/>
          <w:kern w:val="2"/>
          <w:sz w:val="24"/>
          <w:szCs w:val="24"/>
        </w:rPr>
        <w:fldChar w:fldCharType="end"/>
      </w:r>
      <w:bookmarkStart w:id="51" w:name="_GoBack"/>
      <w:bookmarkEnd w:id="51"/>
    </w:p>
    <w:p>
      <w:pPr>
        <w:pStyle w:val="2"/>
        <w:tabs>
          <w:tab w:val="left" w:pos="1275"/>
          <w:tab w:val="center" w:pos="4672"/>
        </w:tabs>
        <w:adjustRightInd w:val="0"/>
        <w:snapToGrid w:val="0"/>
        <w:spacing w:beforeLines="50" w:afterLines="50" w:line="500" w:lineRule="exact"/>
        <w:jc w:val="center"/>
        <w:rPr>
          <w:rFonts w:ascii="楷体_GB2312" w:hAnsi="楷体_GB2312" w:eastAsia="楷体_GB2312" w:cs="楷体_GB2312"/>
          <w:snapToGrid w:val="0"/>
          <w:kern w:val="0"/>
          <w:sz w:val="36"/>
          <w:szCs w:val="36"/>
        </w:rPr>
      </w:pPr>
      <w:bookmarkStart w:id="5" w:name="_Toc326590639"/>
      <w:bookmarkStart w:id="6" w:name="_Toc5159"/>
      <w:r>
        <w:rPr>
          <w:rFonts w:hint="eastAsia" w:ascii="楷体_GB2312" w:hAnsi="楷体_GB2312" w:eastAsia="楷体_GB2312" w:cs="楷体_GB2312"/>
          <w:snapToGrid w:val="0"/>
          <w:kern w:val="0"/>
          <w:sz w:val="36"/>
          <w:szCs w:val="36"/>
        </w:rPr>
        <w:t>估价师声明</w:t>
      </w:r>
      <w:bookmarkEnd w:id="5"/>
      <w:bookmarkEnd w:id="6"/>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我们郑重声明：</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 xml:space="preserve">1、我们在本估价报告中陈述的事实是真实的和准确的。 </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2、本估价报告中的分析、意见和结论是我们自己独立、客观、公正的专业分析、意见和结论，但受到本估价报告中已说明的假设和限制条件的限制。</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3、我们与本估价报告中的估价对象没有利害关系，也与有关当事人没有个人利害关系或偏见。</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4、我们依照中华人民共和国国家标准《房地产估价规范》【GB/T 50291-2015】、《房地产估价基本术语标准》【GB/T50899-2013】进行分析，形成意见和结论，撰写本估价报告。</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5、注册房地产估价师已于</w:t>
      </w:r>
      <w:r>
        <w:rPr>
          <w:rFonts w:hint="eastAsia" w:ascii="楷体_GB2312" w:hAnsi="楷体_GB2312" w:eastAsia="楷体_GB2312" w:cs="楷体_GB2312"/>
          <w:color w:val="000000" w:themeColor="text1"/>
          <w:sz w:val="28"/>
          <w:szCs w:val="24"/>
        </w:rPr>
        <w:t>2020年5月28日</w:t>
      </w:r>
      <w:r>
        <w:rPr>
          <w:rFonts w:hint="eastAsia" w:ascii="楷体_GB2312" w:hAnsi="楷体_GB2312" w:eastAsia="楷体_GB2312" w:cs="楷体_GB2312"/>
          <w:sz w:val="28"/>
          <w:szCs w:val="24"/>
        </w:rPr>
        <w:t>对估价对象进行了必要的实地勘察，并对该勘察过程的客观性、真实性、公正性负责。因受专业限制，我们无法承担对估价对象的隐蔽工程、建筑结构以及附于建筑的各种设备设施的内在质量进行检测调查的责任。</w:t>
      </w:r>
      <w:r>
        <w:rPr>
          <w:rFonts w:hint="eastAsia" w:ascii="楷体_GB2312" w:hAnsi="楷体_GB2312" w:eastAsia="楷体_GB2312" w:cs="楷体_GB2312"/>
          <w:color w:val="000000" w:themeColor="text1"/>
          <w:sz w:val="28"/>
          <w:szCs w:val="24"/>
        </w:rPr>
        <w:t>另外，由于产权方不配合，房门未开，估价人员未能进入估价对象室内现场查勘及拍照取证，因</w:t>
      </w:r>
      <w:r>
        <w:rPr>
          <w:rFonts w:hint="eastAsia" w:ascii="楷体_GB2312" w:hAnsi="楷体_GB2312" w:eastAsia="楷体_GB2312" w:cs="楷体_GB2312"/>
          <w:sz w:val="28"/>
          <w:szCs w:val="24"/>
        </w:rPr>
        <w:t>此我们对估价对象的实地勘察仅限所处楼栋外观、院落及公共区域的一般性查看。</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6、本估价结果是建立在公开市场价值标准的基础上，很大程度上依赖于价值时点的政策法规以及房地产市场状况等因素，若上述因素或其它重要的估价条件发生重大变化，且对估价结果产生明显影响时，应对估价结果进行相应调整或重新估价。</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7、本报告中，除使用政府部门、行业公布的价格资料和公开市场的价格信息外，主要依据估价委托方提供的相关材料，包括但不限于其提供的权属证件等复印件，我们未得到授权也无法定资格核查审验估价委托方提供的资料之真伪，估价委托方应对其提供的全部资料的真实性、合法性、完整性及其可能引起的后果负责。</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8、没有其他行业专业人员对本估价报告提供了重要专业帮助。</w:t>
      </w:r>
    </w:p>
    <w:p>
      <w:pPr>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中国注册房地产估价师：</w:t>
      </w:r>
    </w:p>
    <w:tbl>
      <w:tblPr>
        <w:tblStyle w:val="23"/>
        <w:tblW w:w="919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16"/>
        <w:gridCol w:w="2146"/>
        <w:gridCol w:w="2465"/>
        <w:gridCol w:w="246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11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姓  名</w:t>
            </w:r>
          </w:p>
        </w:tc>
        <w:tc>
          <w:tcPr>
            <w:tcW w:w="214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注册号</w:t>
            </w:r>
          </w:p>
        </w:tc>
        <w:tc>
          <w:tcPr>
            <w:tcW w:w="2465"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签名</w:t>
            </w:r>
          </w:p>
        </w:tc>
        <w:tc>
          <w:tcPr>
            <w:tcW w:w="2465"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11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高  莹</w:t>
            </w:r>
          </w:p>
        </w:tc>
        <w:tc>
          <w:tcPr>
            <w:tcW w:w="214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3620160033</w:t>
            </w:r>
          </w:p>
        </w:tc>
        <w:tc>
          <w:tcPr>
            <w:tcW w:w="2465" w:type="dxa"/>
            <w:vAlign w:val="center"/>
          </w:tcPr>
          <w:p>
            <w:pPr>
              <w:spacing w:line="500" w:lineRule="exact"/>
              <w:jc w:val="center"/>
              <w:rPr>
                <w:rFonts w:ascii="楷体_GB2312" w:hAnsi="楷体_GB2312" w:eastAsia="楷体_GB2312" w:cs="楷体_GB2312"/>
                <w:sz w:val="28"/>
                <w:szCs w:val="24"/>
              </w:rPr>
            </w:pPr>
          </w:p>
        </w:tc>
        <w:tc>
          <w:tcPr>
            <w:tcW w:w="2465"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2020年5月29日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07" w:hRule="atLeast"/>
          <w:jc w:val="center"/>
        </w:trPr>
        <w:tc>
          <w:tcPr>
            <w:tcW w:w="211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邬雅琴</w:t>
            </w:r>
          </w:p>
        </w:tc>
        <w:tc>
          <w:tcPr>
            <w:tcW w:w="214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3620190026</w:t>
            </w:r>
          </w:p>
        </w:tc>
        <w:tc>
          <w:tcPr>
            <w:tcW w:w="2465" w:type="dxa"/>
            <w:vAlign w:val="center"/>
          </w:tcPr>
          <w:p>
            <w:pPr>
              <w:spacing w:line="500" w:lineRule="exact"/>
              <w:jc w:val="center"/>
              <w:rPr>
                <w:rFonts w:ascii="楷体_GB2312" w:hAnsi="楷体_GB2312" w:eastAsia="楷体_GB2312" w:cs="楷体_GB2312"/>
                <w:sz w:val="28"/>
                <w:szCs w:val="24"/>
              </w:rPr>
            </w:pPr>
          </w:p>
        </w:tc>
        <w:tc>
          <w:tcPr>
            <w:tcW w:w="2465"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2020年5月29日</w:t>
            </w:r>
          </w:p>
        </w:tc>
      </w:tr>
    </w:tbl>
    <w:p>
      <w:pPr>
        <w:pStyle w:val="2"/>
        <w:tabs>
          <w:tab w:val="left" w:pos="1275"/>
          <w:tab w:val="center" w:pos="4672"/>
        </w:tabs>
        <w:adjustRightInd w:val="0"/>
        <w:snapToGrid w:val="0"/>
        <w:spacing w:beforeLines="50" w:afterLines="50" w:line="500" w:lineRule="exact"/>
        <w:jc w:val="center"/>
        <w:rPr>
          <w:rFonts w:ascii="楷体_GB2312" w:hAnsi="楷体_GB2312" w:eastAsia="楷体_GB2312" w:cs="楷体_GB2312"/>
          <w:snapToGrid w:val="0"/>
          <w:kern w:val="0"/>
          <w:sz w:val="36"/>
          <w:szCs w:val="36"/>
        </w:rPr>
      </w:pPr>
      <w:bookmarkStart w:id="7" w:name="_Toc326590640"/>
      <w:r>
        <w:rPr>
          <w:rFonts w:hint="eastAsia" w:ascii="楷体_GB2312" w:hAnsi="楷体_GB2312" w:eastAsia="楷体_GB2312" w:cs="楷体_GB2312"/>
          <w:snapToGrid w:val="0"/>
          <w:kern w:val="0"/>
          <w:sz w:val="36"/>
          <w:szCs w:val="36"/>
        </w:rPr>
        <w:br w:type="page"/>
      </w:r>
      <w:bookmarkStart w:id="8" w:name="_Toc11699"/>
      <w:r>
        <w:rPr>
          <w:rFonts w:hint="eastAsia" w:ascii="楷体_GB2312" w:hAnsi="楷体_GB2312" w:eastAsia="楷体_GB2312" w:cs="楷体_GB2312"/>
          <w:snapToGrid w:val="0"/>
          <w:kern w:val="0"/>
          <w:sz w:val="36"/>
          <w:szCs w:val="36"/>
        </w:rPr>
        <w:t>估价假设和限制条件</w:t>
      </w:r>
      <w:bookmarkEnd w:id="7"/>
      <w:bookmarkEnd w:id="8"/>
    </w:p>
    <w:p>
      <w:pPr>
        <w:spacing w:line="4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1.一般假设</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（1）在价值时点的房地产市场为公开、平等、自愿的交易市场。</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（2）估价对象产权明晰，手续齐全，可在公开市场上自由转让。</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（3）任何有关估价对象的运作方式、程序均符合国家、地方的有关法律、法规。</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（4）本次估价结果未考虑国家宏观经济政策发生重大变化以及遇有自然力和其他不可抗力对估价结论的影响。</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（5）本报告以估价对象在价值时点时的状况为依据进行的，且以该状况在估价报告使用期限内无重大变化为前提。</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（6）本次估价未考虑可能与估价对象产权人有关的债权及债务情况对估价结果的影响。</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（7）本报告估价结果没有考虑快速变现、税费转嫁等特殊的交易方式，以及可能发生的办理抵押登记、权利转移相关费用对估价对象房地产价值的影响，如上述条件发生变化，估价结果需做相应调整。</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（8）本次估价价值时点为接受委托之日</w:t>
      </w:r>
      <w:r>
        <w:rPr>
          <w:rFonts w:hint="eastAsia" w:ascii="楷体_GB2312" w:hAnsi="楷体_GB2312" w:eastAsia="楷体_GB2312" w:cs="楷体_GB2312"/>
          <w:sz w:val="28"/>
          <w:szCs w:val="28"/>
          <w:highlight w:val="none"/>
          <w:lang w:eastAsia="zh-CN"/>
        </w:rPr>
        <w:t>2020年5月27日</w:t>
      </w:r>
      <w:r>
        <w:rPr>
          <w:rFonts w:hint="eastAsia" w:ascii="楷体_GB2312" w:hAnsi="楷体_GB2312" w:eastAsia="楷体_GB2312" w:cs="楷体_GB2312"/>
          <w:sz w:val="28"/>
          <w:szCs w:val="28"/>
          <w:highlight w:val="none"/>
        </w:rPr>
        <w:t>，实</w:t>
      </w:r>
      <w:r>
        <w:rPr>
          <w:rFonts w:hint="eastAsia" w:ascii="楷体_GB2312" w:hAnsi="楷体_GB2312" w:eastAsia="楷体_GB2312" w:cs="楷体_GB2312"/>
          <w:sz w:val="28"/>
          <w:szCs w:val="28"/>
        </w:rPr>
        <w:t>地查勘日期为</w:t>
      </w:r>
      <w:r>
        <w:rPr>
          <w:rFonts w:hint="eastAsia" w:ascii="楷体_GB2312" w:hAnsi="楷体_GB2312" w:eastAsia="楷体_GB2312" w:cs="楷体_GB2312"/>
          <w:color w:val="000000" w:themeColor="text1"/>
          <w:sz w:val="28"/>
          <w:szCs w:val="28"/>
        </w:rPr>
        <w:t>2020年5月28日，</w:t>
      </w:r>
      <w:r>
        <w:rPr>
          <w:rFonts w:hint="eastAsia" w:ascii="楷体_GB2312" w:hAnsi="楷体_GB2312" w:eastAsia="楷体_GB2312" w:cs="楷体_GB2312"/>
          <w:sz w:val="28"/>
          <w:szCs w:val="28"/>
        </w:rPr>
        <w:t>价值时点与实地查勘日期不一致，本次估价假定估价对象价值时点的状况与完成实地查勘之日的状况一致。</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szCs w:val="28"/>
        </w:rPr>
        <w:t>（9）本次估价对象的房地产权属情况以委托方提供的</w:t>
      </w:r>
      <w:r>
        <w:rPr>
          <w:rFonts w:hint="eastAsia" w:ascii="楷体_GB2312" w:hAnsi="楷体_GB2312" w:eastAsia="楷体_GB2312" w:cs="楷体_GB2312"/>
          <w:sz w:val="28"/>
        </w:rPr>
        <w:t>《南昌市不动产登记信息查询结果》</w:t>
      </w:r>
      <w:r>
        <w:rPr>
          <w:rFonts w:hint="eastAsia" w:ascii="楷体_GB2312" w:hAnsi="楷体_GB2312" w:eastAsia="楷体_GB2312" w:cs="楷体_GB2312"/>
          <w:sz w:val="28"/>
          <w:szCs w:val="28"/>
        </w:rPr>
        <w:t>为依据，如上述情况发生变化，估价结果需做相应调整。</w:t>
      </w:r>
    </w:p>
    <w:p>
      <w:pPr>
        <w:spacing w:line="500" w:lineRule="exact"/>
        <w:ind w:firstLine="560" w:firstLineChars="200"/>
        <w:rPr>
          <w:rFonts w:ascii="楷体_GB2312" w:hAnsi="楷体_GB2312" w:eastAsia="楷体_GB2312" w:cs="楷体_GB2312"/>
          <w:color w:val="000000" w:themeColor="text1"/>
          <w:sz w:val="28"/>
          <w:szCs w:val="28"/>
        </w:rPr>
      </w:pPr>
      <w:r>
        <w:rPr>
          <w:rFonts w:hint="eastAsia" w:ascii="楷体_GB2312" w:hAnsi="楷体_GB2312" w:eastAsia="楷体_GB2312" w:cs="楷体_GB2312"/>
          <w:sz w:val="28"/>
          <w:szCs w:val="28"/>
        </w:rPr>
        <w:t>（10）</w:t>
      </w:r>
      <w:r>
        <w:rPr>
          <w:rFonts w:hint="eastAsia" w:ascii="楷体_GB2312" w:hAnsi="楷体_GB2312" w:eastAsia="楷体_GB2312" w:cs="楷体_GB2312"/>
          <w:color w:val="000000" w:themeColor="text1"/>
          <w:sz w:val="28"/>
          <w:szCs w:val="28"/>
        </w:rPr>
        <w:t>注册房地产估价师于2020年5月28日对估价对象进行了实地查勘，</w:t>
      </w:r>
      <w:r>
        <w:rPr>
          <w:rFonts w:hint="eastAsia" w:ascii="楷体_GB2312" w:hAnsi="楷体_GB2312" w:eastAsia="楷体_GB2312" w:cs="楷体_GB2312"/>
          <w:color w:val="000000" w:themeColor="text1"/>
          <w:sz w:val="28"/>
          <w:szCs w:val="24"/>
        </w:rPr>
        <w:t>由于产权方不配合，房门未开，估价人员未能进入估价对象室内现场查勘及拍照取证，</w:t>
      </w:r>
      <w:r>
        <w:rPr>
          <w:rFonts w:hint="eastAsia" w:ascii="楷体_GB2312" w:hAnsi="楷体_GB2312" w:eastAsia="楷体_GB2312" w:cs="楷体_GB2312"/>
          <w:color w:val="000000" w:themeColor="text1"/>
          <w:sz w:val="28"/>
          <w:szCs w:val="28"/>
        </w:rPr>
        <w:t>本次估价人员进行的实地查勘仅限于估价对象的所处楼栋外观、院落及公共区域的一般性查勘，未进行专业面积测量和质量鉴定，不承担对估价对象建筑结构质量进行调查的责任，也不承担对其他被遮盖未暴露及难于接触到的部分进行勘查的责任，故无理由怀疑建筑物存在安全隐患，假定估价对象建筑结构是安全的，无结构性损坏。</w:t>
      </w:r>
    </w:p>
    <w:p>
      <w:pPr>
        <w:spacing w:line="46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2.未定事项假设</w:t>
      </w:r>
    </w:p>
    <w:p>
      <w:pPr>
        <w:tabs>
          <w:tab w:val="left" w:pos="5505"/>
        </w:tabs>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无未定事项假设。</w:t>
      </w:r>
      <w:r>
        <w:rPr>
          <w:rFonts w:hint="eastAsia" w:ascii="楷体_GB2312" w:hAnsi="楷体_GB2312" w:eastAsia="楷体_GB2312" w:cs="楷体_GB2312"/>
          <w:sz w:val="28"/>
          <w:szCs w:val="28"/>
        </w:rPr>
        <w:tab/>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3.背离事实假设</w:t>
      </w:r>
    </w:p>
    <w:p>
      <w:pPr>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无背离事项假设。</w:t>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4.不相一致假设</w:t>
      </w:r>
    </w:p>
    <w:p>
      <w:pPr>
        <w:spacing w:line="48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rPr>
        <w:t>无不相一致假设。</w:t>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5. 依据不足假设</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因产权人不配合，房门未开，估价人员未能进入室内查勘及拍照取证，从估价对象1层窗外观察到估价对象1层室内为简单装修，本次估价设定估价对象室内装修状况为简单装修，若上述情况与实际不符，需对估价结果进行调整或重新出具估价报告。</w:t>
      </w:r>
    </w:p>
    <w:p>
      <w:pPr>
        <w:spacing w:line="480" w:lineRule="exact"/>
        <w:ind w:firstLine="562" w:firstLineChars="200"/>
        <w:rPr>
          <w:rFonts w:ascii="楷体_GB2312" w:hAnsi="楷体_GB2312" w:eastAsia="楷体_GB2312" w:cs="楷体_GB2312"/>
          <w:b/>
          <w:bCs/>
          <w:sz w:val="28"/>
          <w:szCs w:val="28"/>
        </w:rPr>
      </w:pPr>
      <w:r>
        <w:rPr>
          <w:rFonts w:hint="eastAsia" w:ascii="楷体_GB2312" w:hAnsi="楷体_GB2312" w:eastAsia="楷体_GB2312" w:cs="楷体_GB2312"/>
          <w:b/>
          <w:bCs/>
          <w:sz w:val="28"/>
          <w:szCs w:val="28"/>
        </w:rPr>
        <w:t>6. 估价报告使用限制</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（1）本估价报告书仅为司法鉴定提供房地产市场价值参考，不作其他估价目的之用。如果估价条件或目的发生变化，估价报告需做相应调整。</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（2）未经本估价机构书面同意，本报告的全部或任何一部分均不得向估价委托人、报告使用者、报告审查部门之外的单位和个人提供，也不得以任何形式公开发表。</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（3）本报告必须完整使用方为有效，对仅使用本报告中部分内容而导致可能的损失，本估价机构不承担责任。</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4）本次估价结果受价值时点的限制，且本估价报告使用期限自估价报告出具之日2020年5月29日起为壹年。若报告使用期限内，房地产市场、建筑市场或估价对象自身状况发生重大变化，估价结果也需做相应调整或委托估价机构重新估价。</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（5）</w:t>
      </w:r>
      <w:bookmarkStart w:id="9" w:name="_Toc326590644"/>
      <w:r>
        <w:rPr>
          <w:rFonts w:hint="eastAsia" w:ascii="楷体_GB2312" w:hAnsi="楷体_GB2312" w:eastAsia="楷体_GB2312" w:cs="楷体_GB2312"/>
          <w:sz w:val="28"/>
          <w:szCs w:val="28"/>
        </w:rPr>
        <w:t>本次估价结果是指在价值时点的房地产市场状况下、估价对象在现状利用条件下的房地产市场价值，包括国有出让土地使用权价值和与房屋有关的土建、安装、设备及装饰装修的价值，不包括可移动的家具、电器等物品价值，也不包含处置时的司法诉讼费用、过户税费及其他应付费用等。</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6）本次评估估价对象权利人、建筑面积等相关情况以委托方提供的《南昌市不动产登记信息查询结果》为依据，确定权利人为李中华，共有情况为单独所有，建筑面积为360.39㎡，用途为住宅；若上述情况与实际登记不同，需对估价报告进行调整或重新出具估价报告。</w:t>
      </w:r>
    </w:p>
    <w:p>
      <w:pPr>
        <w:spacing w:line="500" w:lineRule="exact"/>
        <w:ind w:firstLine="560" w:firstLineChars="200"/>
        <w:rPr>
          <w:rFonts w:ascii="楷体_GB2312" w:hAnsi="楷体_GB2312" w:eastAsia="楷体_GB2312" w:cs="楷体_GB2312"/>
          <w:color w:val="000000" w:themeColor="text1"/>
          <w:sz w:val="28"/>
          <w:szCs w:val="28"/>
        </w:rPr>
      </w:pPr>
      <w:r>
        <w:rPr>
          <w:rFonts w:hint="eastAsia" w:ascii="楷体_GB2312" w:hAnsi="楷体_GB2312" w:eastAsia="楷体_GB2312" w:cs="楷体_GB2312"/>
          <w:color w:val="000000" w:themeColor="text1"/>
          <w:sz w:val="28"/>
          <w:szCs w:val="28"/>
        </w:rPr>
        <w:t>（7）至价值时点，估价对象存在抵押权，不存在租赁权，估价对象目前已被法院依法查封。</w:t>
      </w:r>
    </w:p>
    <w:p>
      <w:pPr>
        <w:pStyle w:val="9"/>
        <w:tabs>
          <w:tab w:val="left" w:pos="1440"/>
        </w:tabs>
        <w:spacing w:after="0" w:line="500" w:lineRule="exact"/>
        <w:ind w:left="0" w:leftChars="0" w:firstLine="560" w:firstLineChars="200"/>
        <w:rPr>
          <w:rFonts w:ascii="楷体_GB2312" w:hAnsi="楷体_GB2312" w:eastAsia="楷体_GB2312" w:cs="楷体_GB2312"/>
          <w:color w:val="000000" w:themeColor="text1"/>
          <w:sz w:val="28"/>
          <w:szCs w:val="28"/>
        </w:rPr>
        <w:sectPr>
          <w:footerReference r:id="rId5" w:type="default"/>
          <w:pgSz w:w="11907" w:h="16840"/>
          <w:pgMar w:top="1418" w:right="1418" w:bottom="1418" w:left="1418" w:header="680" w:footer="851" w:gutter="0"/>
          <w:cols w:space="720" w:num="1"/>
          <w:docGrid w:linePitch="479" w:charSpace="11986"/>
        </w:sectPr>
      </w:pPr>
      <w:r>
        <w:rPr>
          <w:rFonts w:hint="eastAsia" w:ascii="楷体_GB2312" w:hAnsi="楷体_GB2312" w:eastAsia="楷体_GB2312" w:cs="楷体_GB2312"/>
          <w:color w:val="000000" w:themeColor="text1"/>
          <w:sz w:val="28"/>
          <w:szCs w:val="28"/>
        </w:rPr>
        <w:t>（8）因产权人不配合，房门未开，估价人员未能进入室内查勘及拍照取证，从估价对象1层窗外观察到估价对象1层室内为简单装修，本次估价设定估价对象室内装修状况为简单装修。若实际状况与假设不符，需对估价结果做出调整或重新出具估价报告，且我司不承担因此产生的法律及经济责任。</w:t>
      </w:r>
    </w:p>
    <w:p>
      <w:pPr>
        <w:pStyle w:val="2"/>
        <w:tabs>
          <w:tab w:val="left" w:pos="1275"/>
          <w:tab w:val="center" w:pos="4672"/>
        </w:tabs>
        <w:adjustRightInd w:val="0"/>
        <w:snapToGrid w:val="0"/>
        <w:spacing w:beforeLines="50" w:afterLines="50" w:line="500" w:lineRule="exact"/>
        <w:jc w:val="center"/>
        <w:rPr>
          <w:rFonts w:ascii="楷体_GB2312" w:hAnsi="楷体_GB2312" w:eastAsia="楷体_GB2312" w:cs="楷体_GB2312"/>
          <w:snapToGrid w:val="0"/>
          <w:kern w:val="0"/>
          <w:sz w:val="36"/>
          <w:szCs w:val="36"/>
        </w:rPr>
      </w:pPr>
      <w:bookmarkStart w:id="10" w:name="_Toc16412"/>
      <w:r>
        <w:rPr>
          <w:rFonts w:hint="eastAsia" w:ascii="楷体_GB2312" w:hAnsi="楷体_GB2312" w:eastAsia="楷体_GB2312" w:cs="楷体_GB2312"/>
          <w:snapToGrid w:val="0"/>
          <w:kern w:val="0"/>
          <w:sz w:val="36"/>
          <w:szCs w:val="36"/>
        </w:rPr>
        <w:t>房地产估价结果报告</w:t>
      </w:r>
      <w:bookmarkEnd w:id="9"/>
      <w:bookmarkEnd w:id="10"/>
    </w:p>
    <w:p>
      <w:pPr>
        <w:pStyle w:val="3"/>
        <w:snapToGrid w:val="0"/>
        <w:spacing w:beforeLines="50" w:afterLines="50" w:line="500" w:lineRule="exact"/>
        <w:ind w:left="840" w:leftChars="400"/>
        <w:rPr>
          <w:rFonts w:ascii="楷体_GB2312" w:hAnsi="楷体_GB2312" w:eastAsia="楷体_GB2312" w:cs="楷体_GB2312"/>
          <w:b w:val="0"/>
          <w:snapToGrid w:val="0"/>
          <w:kern w:val="0"/>
          <w:sz w:val="28"/>
          <w:szCs w:val="28"/>
        </w:rPr>
      </w:pPr>
      <w:bookmarkStart w:id="11" w:name="_Toc326590645"/>
      <w:bookmarkStart w:id="12" w:name="_Toc13157"/>
      <w:r>
        <w:rPr>
          <w:rFonts w:hint="eastAsia" w:ascii="楷体_GB2312" w:hAnsi="楷体_GB2312" w:eastAsia="楷体_GB2312" w:cs="楷体_GB2312"/>
          <w:b w:val="0"/>
          <w:snapToGrid w:val="0"/>
          <w:kern w:val="0"/>
          <w:sz w:val="28"/>
          <w:szCs w:val="28"/>
        </w:rPr>
        <w:t>（一）估价委托方</w:t>
      </w:r>
      <w:bookmarkEnd w:id="11"/>
      <w:bookmarkEnd w:id="12"/>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公司名称：南昌市东湖区人民法院司法技术室</w:t>
      </w:r>
    </w:p>
    <w:p>
      <w:pPr>
        <w:pStyle w:val="3"/>
        <w:snapToGrid w:val="0"/>
        <w:spacing w:beforeLines="50" w:afterLines="50" w:line="500" w:lineRule="exact"/>
        <w:ind w:left="840" w:leftChars="400"/>
        <w:rPr>
          <w:rFonts w:ascii="楷体_GB2312" w:hAnsi="楷体_GB2312" w:eastAsia="楷体_GB2312" w:cs="楷体_GB2312"/>
          <w:b w:val="0"/>
          <w:bCs w:val="0"/>
          <w:sz w:val="28"/>
          <w:szCs w:val="22"/>
        </w:rPr>
      </w:pPr>
      <w:bookmarkStart w:id="13" w:name="_Toc326590646"/>
      <w:bookmarkStart w:id="14" w:name="_Toc17130"/>
      <w:r>
        <w:rPr>
          <w:rFonts w:hint="eastAsia" w:ascii="楷体_GB2312" w:hAnsi="楷体_GB2312" w:eastAsia="楷体_GB2312" w:cs="楷体_GB2312"/>
          <w:b w:val="0"/>
          <w:snapToGrid w:val="0"/>
          <w:kern w:val="0"/>
          <w:sz w:val="28"/>
          <w:szCs w:val="28"/>
        </w:rPr>
        <w:t>（</w:t>
      </w:r>
      <w:r>
        <w:rPr>
          <w:rFonts w:hint="eastAsia" w:ascii="楷体_GB2312" w:hAnsi="楷体_GB2312" w:eastAsia="楷体_GB2312" w:cs="楷体_GB2312"/>
          <w:b w:val="0"/>
          <w:bCs w:val="0"/>
          <w:sz w:val="28"/>
          <w:szCs w:val="22"/>
        </w:rPr>
        <w:t>二）估价方</w:t>
      </w:r>
      <w:bookmarkEnd w:id="13"/>
      <w:bookmarkEnd w:id="14"/>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bookmarkStart w:id="15" w:name="OLE_LINK1"/>
      <w:r>
        <w:rPr>
          <w:rFonts w:hint="eastAsia" w:ascii="楷体_GB2312" w:hAnsi="楷体_GB2312" w:eastAsia="楷体_GB2312" w:cs="楷体_GB2312"/>
          <w:snapToGrid w:val="0"/>
          <w:kern w:val="0"/>
          <w:sz w:val="28"/>
          <w:szCs w:val="28"/>
        </w:rPr>
        <w:t>公司名称：江西永佳房地产资产评估有限公司</w:t>
      </w:r>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单位地址：</w:t>
      </w:r>
      <w:r>
        <w:rPr>
          <w:rFonts w:hint="eastAsia" w:ascii="楷体_GB2312" w:hAnsi="楷体_GB2312" w:eastAsia="楷体_GB2312" w:cs="楷体_GB2312"/>
          <w:sz w:val="28"/>
        </w:rPr>
        <w:t>江西省南昌市东湖区洪都北大道636号西格玛商务中心1501室（第十五层）</w:t>
      </w:r>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机构资质：国家贰级</w:t>
      </w:r>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证书编号：</w:t>
      </w:r>
      <w:r>
        <w:rPr>
          <w:rFonts w:hint="eastAsia" w:ascii="楷体_GB2312" w:hAnsi="楷体_GB2312" w:eastAsia="楷体_GB2312" w:cs="楷体_GB2312"/>
          <w:sz w:val="28"/>
        </w:rPr>
        <w:t>赣建房评字108号</w:t>
      </w:r>
      <w:r>
        <w:rPr>
          <w:rFonts w:hint="eastAsia" w:ascii="楷体_GB2312" w:hAnsi="楷体_GB2312" w:eastAsia="楷体_GB2312" w:cs="楷体_GB2312"/>
          <w:snapToGrid w:val="0"/>
          <w:kern w:val="0"/>
          <w:sz w:val="28"/>
          <w:szCs w:val="28"/>
        </w:rPr>
        <w:t>（有效期至2022年7月23日）</w:t>
      </w:r>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法人代表：高  莹</w:t>
      </w:r>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r>
        <w:rPr>
          <w:rFonts w:hint="eastAsia" w:ascii="楷体_GB2312" w:hAnsi="楷体_GB2312" w:eastAsia="楷体_GB2312" w:cs="楷体_GB2312"/>
          <w:snapToGrid w:val="0"/>
          <w:kern w:val="0"/>
          <w:sz w:val="28"/>
          <w:szCs w:val="28"/>
        </w:rPr>
        <w:t>联系电话：（0791）86863726</w:t>
      </w:r>
    </w:p>
    <w:p>
      <w:pPr>
        <w:pStyle w:val="3"/>
        <w:snapToGrid w:val="0"/>
        <w:spacing w:beforeLines="50" w:afterLines="50" w:line="500" w:lineRule="exact"/>
        <w:ind w:left="840" w:leftChars="400"/>
        <w:rPr>
          <w:rFonts w:ascii="楷体_GB2312" w:hAnsi="楷体_GB2312" w:eastAsia="楷体_GB2312" w:cs="楷体_GB2312"/>
          <w:b w:val="0"/>
          <w:snapToGrid w:val="0"/>
          <w:kern w:val="0"/>
          <w:sz w:val="28"/>
          <w:szCs w:val="28"/>
        </w:rPr>
      </w:pPr>
      <w:bookmarkStart w:id="16" w:name="_Toc23917"/>
      <w:r>
        <w:rPr>
          <w:rFonts w:hint="eastAsia" w:ascii="楷体_GB2312" w:hAnsi="楷体_GB2312" w:eastAsia="楷体_GB2312" w:cs="楷体_GB2312"/>
          <w:b w:val="0"/>
          <w:snapToGrid w:val="0"/>
          <w:kern w:val="0"/>
          <w:sz w:val="28"/>
          <w:szCs w:val="28"/>
        </w:rPr>
        <w:t>（三）估价目的</w:t>
      </w:r>
      <w:bookmarkEnd w:id="16"/>
    </w:p>
    <w:p>
      <w:pPr>
        <w:pStyle w:val="11"/>
        <w:adjustRightInd w:val="0"/>
        <w:snapToGrid w:val="0"/>
        <w:spacing w:beforeLines="30" w:line="500" w:lineRule="exact"/>
        <w:ind w:left="840" w:leftChars="400"/>
        <w:rPr>
          <w:rFonts w:ascii="楷体_GB2312" w:hAnsi="楷体_GB2312" w:eastAsia="楷体_GB2312" w:cs="楷体_GB2312"/>
          <w:snapToGrid w:val="0"/>
          <w:kern w:val="0"/>
          <w:sz w:val="28"/>
          <w:szCs w:val="28"/>
        </w:rPr>
      </w:pPr>
      <w:r>
        <w:rPr>
          <w:rFonts w:hint="eastAsia" w:ascii="楷体_GB2312" w:hAnsi="楷体_GB2312" w:eastAsia="楷体_GB2312" w:cs="楷体_GB2312"/>
          <w:sz w:val="28"/>
          <w:szCs w:val="24"/>
        </w:rPr>
        <w:t>为委托方执行处置委估房地产提供参考而评估房地产市场价值。</w:t>
      </w:r>
    </w:p>
    <w:bookmarkEnd w:id="15"/>
    <w:p>
      <w:pPr>
        <w:pStyle w:val="3"/>
        <w:snapToGrid w:val="0"/>
        <w:spacing w:beforeLines="50" w:afterLines="50" w:line="500" w:lineRule="exact"/>
        <w:ind w:left="840" w:leftChars="400"/>
        <w:rPr>
          <w:rFonts w:ascii="楷体_GB2312" w:hAnsi="楷体_GB2312" w:eastAsia="楷体_GB2312" w:cs="楷体_GB2312"/>
          <w:b w:val="0"/>
          <w:snapToGrid w:val="0"/>
          <w:kern w:val="0"/>
          <w:sz w:val="28"/>
          <w:szCs w:val="28"/>
        </w:rPr>
      </w:pPr>
      <w:bookmarkStart w:id="17" w:name="_Toc326590647"/>
      <w:bookmarkStart w:id="18" w:name="_Toc25377"/>
      <w:r>
        <w:rPr>
          <w:rFonts w:hint="eastAsia" w:ascii="楷体_GB2312" w:hAnsi="楷体_GB2312" w:eastAsia="楷体_GB2312" w:cs="楷体_GB2312"/>
          <w:b w:val="0"/>
          <w:snapToGrid w:val="0"/>
          <w:kern w:val="0"/>
          <w:sz w:val="28"/>
          <w:szCs w:val="28"/>
        </w:rPr>
        <w:t>（四）估价对象</w:t>
      </w:r>
      <w:bookmarkEnd w:id="17"/>
      <w:bookmarkEnd w:id="18"/>
    </w:p>
    <w:p>
      <w:pPr>
        <w:spacing w:line="500" w:lineRule="exact"/>
        <w:ind w:firstLine="560" w:firstLineChars="200"/>
        <w:rPr>
          <w:rFonts w:ascii="楷体_GB2312" w:hAnsi="楷体_GB2312" w:eastAsia="楷体_GB2312" w:cs="楷体_GB2312"/>
          <w:sz w:val="28"/>
          <w:szCs w:val="24"/>
        </w:rPr>
      </w:pPr>
      <w:bookmarkStart w:id="19" w:name="_Toc326590651"/>
      <w:r>
        <w:rPr>
          <w:rFonts w:hint="eastAsia" w:ascii="楷体_GB2312" w:hAnsi="楷体_GB2312" w:eastAsia="楷体_GB2312" w:cs="楷体_GB2312"/>
          <w:sz w:val="28"/>
          <w:szCs w:val="24"/>
        </w:rPr>
        <w:t>估价对象为李中华拥有的位于南昌市西湖区洛阳东路现代庄园152号</w:t>
      </w:r>
      <w:r>
        <w:rPr>
          <w:rFonts w:hint="eastAsia" w:ascii="楷体_GB2312" w:hAnsi="楷体_GB2312" w:eastAsia="楷体_GB2312" w:cs="楷体_GB2312"/>
          <w:sz w:val="28"/>
          <w:szCs w:val="24"/>
          <w:lang w:eastAsia="zh-CN"/>
        </w:rPr>
        <w:t>房的</w:t>
      </w:r>
      <w:r>
        <w:rPr>
          <w:rFonts w:hint="eastAsia" w:ascii="楷体_GB2312" w:hAnsi="楷体_GB2312" w:eastAsia="楷体_GB2312" w:cs="楷体_GB2312"/>
          <w:sz w:val="28"/>
          <w:szCs w:val="24"/>
        </w:rPr>
        <w:t>住宅房地产，估价对象建筑面积为360.39</w:t>
      </w:r>
      <w:r>
        <w:rPr>
          <w:rFonts w:hint="eastAsia" w:ascii="楷体_GB2312" w:hAnsi="楷体_GB2312" w:eastAsia="楷体_GB2312" w:cs="楷体_GB2312"/>
          <w:sz w:val="30"/>
          <w:szCs w:val="30"/>
        </w:rPr>
        <w:t>㎡</w:t>
      </w:r>
      <w:r>
        <w:rPr>
          <w:rFonts w:hint="eastAsia" w:ascii="楷体_GB2312" w:hAnsi="楷体_GB2312" w:eastAsia="楷体_GB2312" w:cs="楷体_GB2312"/>
          <w:sz w:val="28"/>
          <w:szCs w:val="24"/>
        </w:rPr>
        <w:t>，估价对象实物范围未包含其可移动的家具家电及相关债权债务等。</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1、土地状况</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（1）土地权属及登记状况</w:t>
      </w:r>
    </w:p>
    <w:p>
      <w:pPr>
        <w:tabs>
          <w:tab w:val="left" w:pos="2260"/>
        </w:tabs>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估价对象所在的土地属国家所有，依据</w:t>
      </w:r>
      <w:r>
        <w:rPr>
          <w:rFonts w:hint="eastAsia" w:ascii="楷体_GB2312" w:hAnsi="楷体_GB2312" w:eastAsia="楷体_GB2312" w:cs="楷体_GB2312"/>
          <w:sz w:val="28"/>
          <w:szCs w:val="28"/>
        </w:rPr>
        <w:t>委托方提供的</w:t>
      </w:r>
      <w:r>
        <w:rPr>
          <w:rFonts w:hint="eastAsia" w:ascii="楷体_GB2312" w:hAnsi="楷体_GB2312" w:eastAsia="楷体_GB2312" w:cs="楷体_GB2312"/>
          <w:sz w:val="28"/>
        </w:rPr>
        <w:t>《南昌市不动产登记信息查询结果》及估价师现场查勘情况，估价对象不动产权利人为</w:t>
      </w:r>
      <w:r>
        <w:rPr>
          <w:rFonts w:hint="eastAsia" w:ascii="楷体_GB2312" w:hAnsi="楷体_GB2312" w:eastAsia="楷体_GB2312" w:cs="楷体_GB2312"/>
          <w:sz w:val="28"/>
          <w:szCs w:val="24"/>
        </w:rPr>
        <w:t>李中华</w:t>
      </w:r>
      <w:r>
        <w:rPr>
          <w:rFonts w:hint="eastAsia" w:ascii="楷体_GB2312" w:hAnsi="楷体_GB2312" w:eastAsia="楷体_GB2312" w:cs="楷体_GB2312"/>
          <w:sz w:val="28"/>
        </w:rPr>
        <w:t>，土地使用权性质为出让，用途为住宅，共有情况为单独所有；登记地址为</w:t>
      </w:r>
      <w:r>
        <w:rPr>
          <w:rFonts w:hint="eastAsia" w:ascii="楷体_GB2312" w:hAnsi="楷体_GB2312" w:eastAsia="楷体_GB2312" w:cs="楷体_GB2312"/>
          <w:sz w:val="28"/>
          <w:szCs w:val="24"/>
        </w:rPr>
        <w:t>南昌市西湖区洛阳东路现代庄园152号房，小区北侧临顺外路，南临天香园度假村，东侧临江西现代高级技工学校，西侧青山湖南大道；因委托方提供的</w:t>
      </w:r>
      <w:r>
        <w:rPr>
          <w:rFonts w:hint="eastAsia" w:ascii="楷体_GB2312" w:hAnsi="楷体_GB2312" w:eastAsia="楷体_GB2312" w:cs="楷体_GB2312"/>
          <w:sz w:val="28"/>
        </w:rPr>
        <w:t>《南昌市不动产登记信息查询结果》中未载明估价对象土地使用权面积</w:t>
      </w:r>
      <w:r>
        <w:rPr>
          <w:rFonts w:hint="eastAsia" w:ascii="楷体_GB2312" w:hAnsi="楷体_GB2312" w:eastAsia="楷体_GB2312" w:cs="楷体_GB2312"/>
          <w:sz w:val="28"/>
          <w:szCs w:val="24"/>
        </w:rPr>
        <w:t>，估价对象土地使用权面积不明。</w:t>
      </w:r>
    </w:p>
    <w:p>
      <w:pPr>
        <w:tabs>
          <w:tab w:val="left" w:pos="2260"/>
        </w:tabs>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至价值时点，估价对象存在抵押权，</w:t>
      </w:r>
      <w:r>
        <w:rPr>
          <w:rFonts w:hint="eastAsia" w:ascii="楷体_GB2312" w:hAnsi="楷体_GB2312" w:eastAsia="楷体_GB2312" w:cs="楷体_GB2312"/>
          <w:color w:val="000000" w:themeColor="text1"/>
          <w:sz w:val="28"/>
        </w:rPr>
        <w:t>不存在租赁权，</w:t>
      </w:r>
      <w:r>
        <w:rPr>
          <w:rFonts w:hint="eastAsia" w:ascii="楷体_GB2312" w:hAnsi="楷体_GB2312" w:eastAsia="楷体_GB2312" w:cs="楷体_GB2312"/>
          <w:sz w:val="28"/>
        </w:rPr>
        <w:t>估价对象目前已被法院依法查封。</w:t>
      </w:r>
    </w:p>
    <w:p>
      <w:pPr>
        <w:tabs>
          <w:tab w:val="left" w:pos="2260"/>
        </w:tabs>
        <w:spacing w:line="500" w:lineRule="exact"/>
        <w:ind w:left="559" w:leftChars="266"/>
        <w:rPr>
          <w:rFonts w:ascii="楷体_GB2312" w:hAnsi="楷体_GB2312" w:eastAsia="楷体_GB2312" w:cs="楷体_GB2312"/>
          <w:sz w:val="28"/>
        </w:rPr>
      </w:pPr>
      <w:r>
        <w:rPr>
          <w:rFonts w:hint="eastAsia" w:ascii="楷体_GB2312" w:hAnsi="楷体_GB2312" w:eastAsia="楷体_GB2312" w:cs="楷体_GB2312"/>
          <w:sz w:val="28"/>
        </w:rPr>
        <w:t>（2）土地利用状况</w:t>
      </w:r>
    </w:p>
    <w:p>
      <w:pPr>
        <w:spacing w:line="500" w:lineRule="exact"/>
        <w:ind w:firstLine="560" w:firstLineChars="200"/>
        <w:rPr>
          <w:rFonts w:ascii="楷体_GB2312" w:hAnsi="楷体_GB2312" w:eastAsia="楷体_GB2312" w:cs="楷体_GB2312"/>
          <w:sz w:val="28"/>
          <w:szCs w:val="28"/>
          <w:shd w:val="clear" w:color="auto" w:fill="FFFFFF"/>
        </w:rPr>
      </w:pPr>
      <w:r>
        <w:rPr>
          <w:rFonts w:hint="eastAsia" w:ascii="楷体_GB2312" w:hAnsi="楷体_GB2312" w:eastAsia="楷体_GB2312" w:cs="楷体_GB2312"/>
          <w:sz w:val="28"/>
        </w:rPr>
        <w:t>估价对象所在区域地势较平坦，估价对象所处宗地上已建成独栋、联排别墅为主的住宅区，</w:t>
      </w:r>
      <w:r>
        <w:rPr>
          <w:rFonts w:hint="eastAsia" w:ascii="楷体_GB2312" w:hAnsi="楷体_GB2312" w:eastAsia="楷体_GB2312" w:cs="楷体_GB2312"/>
          <w:sz w:val="28"/>
          <w:szCs w:val="28"/>
          <w:shd w:val="clear" w:color="auto" w:fill="FFFFFF"/>
        </w:rPr>
        <w:t>土地基础设施开发程度达红线内外六通（通电、通上水、通下水、通路、通讯、通燃气）及红线内场地平整。</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2、建筑物状况</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（1）建筑物权属及登记</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根据委托方提供的《南昌市不动产登记信息查询结果》及估价人员实地查勘，估价对象房屋所有权人为</w:t>
      </w:r>
      <w:r>
        <w:rPr>
          <w:rFonts w:hint="eastAsia" w:ascii="楷体_GB2312" w:hAnsi="楷体_GB2312" w:eastAsia="楷体_GB2312" w:cs="楷体_GB2312"/>
          <w:sz w:val="28"/>
          <w:szCs w:val="24"/>
        </w:rPr>
        <w:t>李中华</w:t>
      </w:r>
      <w:r>
        <w:rPr>
          <w:rFonts w:hint="eastAsia" w:ascii="楷体_GB2312" w:hAnsi="楷体_GB2312" w:eastAsia="楷体_GB2312" w:cs="楷体_GB2312"/>
          <w:sz w:val="28"/>
        </w:rPr>
        <w:t>，共有情况为单独所有，小区建成年份约为</w:t>
      </w:r>
      <w:r>
        <w:rPr>
          <w:rFonts w:hint="eastAsia" w:ascii="楷体_GB2312" w:hAnsi="楷体_GB2312" w:eastAsia="楷体_GB2312" w:cs="楷体_GB2312"/>
          <w:color w:val="000000" w:themeColor="text1"/>
          <w:sz w:val="28"/>
        </w:rPr>
        <w:t>1995年</w:t>
      </w:r>
      <w:r>
        <w:rPr>
          <w:rFonts w:hint="eastAsia" w:ascii="楷体_GB2312" w:hAnsi="楷体_GB2312" w:eastAsia="楷体_GB2312" w:cs="楷体_GB2312"/>
          <w:sz w:val="28"/>
        </w:rPr>
        <w:t>，估价对象房屋详细权属状况见下表。</w:t>
      </w:r>
    </w:p>
    <w:p>
      <w:pPr>
        <w:spacing w:line="500" w:lineRule="exact"/>
        <w:jc w:val="center"/>
        <w:rPr>
          <w:rFonts w:ascii="楷体_GB2312" w:hAnsi="楷体_GB2312" w:eastAsia="楷体_GB2312" w:cs="楷体_GB2312"/>
          <w:sz w:val="28"/>
        </w:rPr>
      </w:pPr>
      <w:r>
        <w:rPr>
          <w:rFonts w:hint="eastAsia" w:ascii="楷体_GB2312" w:hAnsi="楷体_GB2312" w:eastAsia="楷体_GB2312" w:cs="楷体_GB2312"/>
          <w:sz w:val="28"/>
        </w:rPr>
        <w:t>房屋权属状况一览表</w:t>
      </w:r>
    </w:p>
    <w:tbl>
      <w:tblPr>
        <w:tblStyle w:val="23"/>
        <w:tblW w:w="5324" w:type="pct"/>
        <w:jc w:val="center"/>
        <w:tblLayout w:type="autofit"/>
        <w:tblCellMar>
          <w:top w:w="0" w:type="dxa"/>
          <w:left w:w="108" w:type="dxa"/>
          <w:bottom w:w="0" w:type="dxa"/>
          <w:right w:w="108" w:type="dxa"/>
        </w:tblCellMar>
      </w:tblPr>
      <w:tblGrid>
        <w:gridCol w:w="426"/>
        <w:gridCol w:w="970"/>
        <w:gridCol w:w="1734"/>
        <w:gridCol w:w="1930"/>
        <w:gridCol w:w="976"/>
        <w:gridCol w:w="440"/>
        <w:gridCol w:w="659"/>
        <w:gridCol w:w="691"/>
        <w:gridCol w:w="982"/>
        <w:gridCol w:w="1081"/>
      </w:tblGrid>
      <w:tr>
        <w:tblPrEx>
          <w:tblCellMar>
            <w:top w:w="0" w:type="dxa"/>
            <w:left w:w="108" w:type="dxa"/>
            <w:bottom w:w="0" w:type="dxa"/>
            <w:right w:w="108" w:type="dxa"/>
          </w:tblCellMar>
        </w:tblPrEx>
        <w:trPr>
          <w:trHeight w:val="366" w:hRule="atLeast"/>
          <w:jc w:val="center"/>
        </w:trPr>
        <w:tc>
          <w:tcPr>
            <w:tcW w:w="21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序号</w:t>
            </w:r>
          </w:p>
        </w:tc>
        <w:tc>
          <w:tcPr>
            <w:tcW w:w="49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不动产权利人</w:t>
            </w:r>
          </w:p>
        </w:tc>
        <w:tc>
          <w:tcPr>
            <w:tcW w:w="876"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hint="eastAsia" w:ascii="楷体_GB2312" w:hAnsi="楷体_GB2312" w:eastAsia="楷体_GB2312" w:cs="楷体_GB2312"/>
                <w:color w:val="000000"/>
                <w:kern w:val="0"/>
                <w:szCs w:val="21"/>
                <w:lang w:eastAsia="zh-CN"/>
              </w:rPr>
            </w:pPr>
            <w:r>
              <w:rPr>
                <w:rFonts w:hint="eastAsia" w:ascii="楷体_GB2312" w:hAnsi="楷体_GB2312" w:eastAsia="楷体_GB2312" w:cs="楷体_GB2312"/>
                <w:color w:val="000000"/>
                <w:kern w:val="0"/>
                <w:szCs w:val="21"/>
                <w:lang w:eastAsia="zh-CN"/>
              </w:rPr>
              <w:t>房屋所有权证号</w:t>
            </w:r>
          </w:p>
        </w:tc>
        <w:tc>
          <w:tcPr>
            <w:tcW w:w="975"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位置</w:t>
            </w:r>
          </w:p>
        </w:tc>
        <w:tc>
          <w:tcPr>
            <w:tcW w:w="493" w:type="pct"/>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权利性质</w:t>
            </w:r>
          </w:p>
        </w:tc>
        <w:tc>
          <w:tcPr>
            <w:tcW w:w="22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结构</w:t>
            </w:r>
          </w:p>
        </w:tc>
        <w:tc>
          <w:tcPr>
            <w:tcW w:w="333"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建成年份</w:t>
            </w:r>
          </w:p>
        </w:tc>
        <w:tc>
          <w:tcPr>
            <w:tcW w:w="349"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建筑用途</w:t>
            </w:r>
          </w:p>
        </w:tc>
        <w:tc>
          <w:tcPr>
            <w:tcW w:w="49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评估层/总楼层</w:t>
            </w:r>
          </w:p>
        </w:tc>
        <w:tc>
          <w:tcPr>
            <w:tcW w:w="54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建筑面积（㎡）</w:t>
            </w:r>
          </w:p>
        </w:tc>
      </w:tr>
      <w:tr>
        <w:tblPrEx>
          <w:tblCellMar>
            <w:top w:w="0" w:type="dxa"/>
            <w:left w:w="108" w:type="dxa"/>
            <w:bottom w:w="0" w:type="dxa"/>
            <w:right w:w="108" w:type="dxa"/>
          </w:tblCellMar>
        </w:tblPrEx>
        <w:trPr>
          <w:trHeight w:val="439" w:hRule="atLeast"/>
          <w:jc w:val="center"/>
        </w:trPr>
        <w:tc>
          <w:tcPr>
            <w:tcW w:w="21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490"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876"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975"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493" w:type="pct"/>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222"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333"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349"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49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c>
          <w:tcPr>
            <w:tcW w:w="546" w:type="pct"/>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楷体_GB2312" w:eastAsia="楷体_GB2312" w:cs="楷体_GB2312"/>
                <w:color w:val="000000"/>
                <w:kern w:val="0"/>
                <w:szCs w:val="21"/>
              </w:rPr>
            </w:pPr>
          </w:p>
        </w:tc>
      </w:tr>
      <w:tr>
        <w:tblPrEx>
          <w:tblCellMar>
            <w:top w:w="0" w:type="dxa"/>
            <w:left w:w="108" w:type="dxa"/>
            <w:bottom w:w="0" w:type="dxa"/>
            <w:right w:w="108" w:type="dxa"/>
          </w:tblCellMar>
        </w:tblPrEx>
        <w:trPr>
          <w:trHeight w:val="960" w:hRule="atLeast"/>
          <w:jc w:val="center"/>
        </w:trPr>
        <w:tc>
          <w:tcPr>
            <w:tcW w:w="215" w:type="pc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1</w:t>
            </w:r>
          </w:p>
        </w:tc>
        <w:tc>
          <w:tcPr>
            <w:tcW w:w="490"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李中华</w:t>
            </w:r>
          </w:p>
        </w:tc>
        <w:tc>
          <w:tcPr>
            <w:tcW w:w="876"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西字第422029</w:t>
            </w:r>
          </w:p>
        </w:tc>
        <w:tc>
          <w:tcPr>
            <w:tcW w:w="975"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南昌市西湖区洛阳东路现代庄园152号房</w:t>
            </w:r>
          </w:p>
        </w:tc>
        <w:tc>
          <w:tcPr>
            <w:tcW w:w="493"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出让/市场化商品房</w:t>
            </w:r>
          </w:p>
        </w:tc>
        <w:tc>
          <w:tcPr>
            <w:tcW w:w="222"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混合</w:t>
            </w:r>
          </w:p>
        </w:tc>
        <w:tc>
          <w:tcPr>
            <w:tcW w:w="333"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1995</w:t>
            </w:r>
          </w:p>
        </w:tc>
        <w:tc>
          <w:tcPr>
            <w:tcW w:w="349"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住宅</w:t>
            </w:r>
          </w:p>
        </w:tc>
        <w:tc>
          <w:tcPr>
            <w:tcW w:w="496"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kern w:val="0"/>
                <w:szCs w:val="21"/>
              </w:rPr>
            </w:pPr>
            <w:r>
              <w:rPr>
                <w:rFonts w:hint="eastAsia" w:ascii="楷体_GB2312" w:hAnsi="楷体_GB2312" w:eastAsia="楷体_GB2312" w:cs="楷体_GB2312"/>
                <w:kern w:val="0"/>
                <w:szCs w:val="21"/>
              </w:rPr>
              <w:t>1-3/3</w:t>
            </w:r>
          </w:p>
        </w:tc>
        <w:tc>
          <w:tcPr>
            <w:tcW w:w="546" w:type="pct"/>
            <w:tcBorders>
              <w:top w:val="nil"/>
              <w:left w:val="nil"/>
              <w:bottom w:val="single" w:color="auto" w:sz="4" w:space="0"/>
              <w:right w:val="single" w:color="auto" w:sz="4" w:space="0"/>
            </w:tcBorders>
            <w:shd w:val="clear" w:color="auto" w:fill="auto"/>
            <w:vAlign w:val="center"/>
          </w:tcPr>
          <w:p>
            <w:pPr>
              <w:widowControl/>
              <w:jc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360.39</w:t>
            </w:r>
          </w:p>
        </w:tc>
      </w:tr>
    </w:tbl>
    <w:p>
      <w:pPr>
        <w:tabs>
          <w:tab w:val="left" w:pos="2260"/>
        </w:tabs>
        <w:spacing w:line="500" w:lineRule="exact"/>
        <w:ind w:firstLine="425" w:firstLineChars="152"/>
        <w:rPr>
          <w:rFonts w:ascii="楷体_GB2312" w:hAnsi="楷体_GB2312" w:eastAsia="楷体_GB2312" w:cs="楷体_GB2312"/>
          <w:color w:val="FF0000"/>
          <w:sz w:val="28"/>
        </w:rPr>
      </w:pPr>
      <w:r>
        <w:rPr>
          <w:rFonts w:hint="eastAsia" w:ascii="楷体_GB2312" w:hAnsi="楷体_GB2312" w:eastAsia="楷体_GB2312" w:cs="楷体_GB2312"/>
          <w:sz w:val="28"/>
        </w:rPr>
        <w:t>至价值时点，估价对象存在抵押权，</w:t>
      </w:r>
      <w:r>
        <w:rPr>
          <w:rFonts w:hint="eastAsia" w:ascii="楷体_GB2312" w:hAnsi="楷体_GB2312" w:eastAsia="楷体_GB2312" w:cs="楷体_GB2312"/>
          <w:color w:val="000000" w:themeColor="text1"/>
          <w:sz w:val="28"/>
        </w:rPr>
        <w:t>不存在租赁权，</w:t>
      </w:r>
      <w:r>
        <w:rPr>
          <w:rFonts w:hint="eastAsia" w:ascii="楷体_GB2312" w:hAnsi="楷体_GB2312" w:eastAsia="楷体_GB2312" w:cs="楷体_GB2312"/>
          <w:sz w:val="28"/>
        </w:rPr>
        <w:t>估价对象目前已被法院依法查封。</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（2）建筑物设备、装修及现状使用状况</w:t>
      </w:r>
    </w:p>
    <w:tbl>
      <w:tblPr>
        <w:tblStyle w:val="23"/>
        <w:tblW w:w="10600" w:type="dxa"/>
        <w:jc w:val="center"/>
        <w:tblLayout w:type="fixed"/>
        <w:tblCellMar>
          <w:top w:w="15" w:type="dxa"/>
          <w:left w:w="15" w:type="dxa"/>
          <w:bottom w:w="15" w:type="dxa"/>
          <w:right w:w="15" w:type="dxa"/>
        </w:tblCellMar>
      </w:tblPr>
      <w:tblGrid>
        <w:gridCol w:w="535"/>
        <w:gridCol w:w="1560"/>
        <w:gridCol w:w="709"/>
        <w:gridCol w:w="992"/>
        <w:gridCol w:w="938"/>
        <w:gridCol w:w="4992"/>
        <w:gridCol w:w="874"/>
      </w:tblGrid>
      <w:tr>
        <w:tblPrEx>
          <w:tblCellMar>
            <w:top w:w="15" w:type="dxa"/>
            <w:left w:w="15" w:type="dxa"/>
            <w:bottom w:w="15" w:type="dxa"/>
            <w:right w:w="15" w:type="dxa"/>
          </w:tblCellMar>
        </w:tblPrEx>
        <w:trPr>
          <w:trHeight w:val="765"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序号</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位置</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结构</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评估层/总楼层</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建筑面积（㎡）</w:t>
            </w:r>
          </w:p>
        </w:tc>
        <w:tc>
          <w:tcPr>
            <w:tcW w:w="4992" w:type="dxa"/>
            <w:tcBorders>
              <w:top w:val="single" w:color="000000" w:sz="4" w:space="0"/>
              <w:left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设备及装修状况</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现状使用状况</w:t>
            </w:r>
          </w:p>
        </w:tc>
      </w:tr>
      <w:tr>
        <w:tblPrEx>
          <w:tblCellMar>
            <w:top w:w="15" w:type="dxa"/>
            <w:left w:w="15" w:type="dxa"/>
            <w:bottom w:w="15" w:type="dxa"/>
            <w:right w:w="15" w:type="dxa"/>
          </w:tblCellMar>
        </w:tblPrEx>
        <w:trPr>
          <w:trHeight w:val="704" w:hRule="atLeast"/>
          <w:jc w:val="center"/>
        </w:trPr>
        <w:tc>
          <w:tcPr>
            <w:tcW w:w="5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1</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color w:val="000000"/>
                <w:kern w:val="0"/>
                <w:szCs w:val="21"/>
              </w:rPr>
            </w:pPr>
            <w:r>
              <w:rPr>
                <w:rFonts w:hint="eastAsia" w:ascii="楷体_GB2312" w:hAnsi="楷体_GB2312" w:eastAsia="楷体_GB2312" w:cs="楷体_GB2312"/>
                <w:szCs w:val="21"/>
              </w:rPr>
              <w:t>南昌市西湖区洛阳东路现代庄园152号房</w:t>
            </w:r>
          </w:p>
        </w:tc>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混合</w:t>
            </w:r>
          </w:p>
        </w:tc>
        <w:tc>
          <w:tcPr>
            <w:tcW w:w="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1-3/3</w:t>
            </w:r>
          </w:p>
        </w:tc>
        <w:tc>
          <w:tcPr>
            <w:tcW w:w="93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楷体_GB2312" w:hAnsi="楷体_GB2312" w:eastAsia="楷体_GB2312" w:cs="楷体_GB2312"/>
                <w:szCs w:val="21"/>
              </w:rPr>
            </w:pPr>
            <w:r>
              <w:rPr>
                <w:rFonts w:hint="eastAsia" w:ascii="楷体_GB2312" w:hAnsi="楷体_GB2312" w:eastAsia="楷体_GB2312" w:cs="楷体_GB2312"/>
                <w:szCs w:val="21"/>
              </w:rPr>
              <w:t>360.39</w:t>
            </w:r>
          </w:p>
        </w:tc>
        <w:tc>
          <w:tcPr>
            <w:tcW w:w="49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楷体_GB2312" w:hAnsi="楷体_GB2312" w:eastAsia="楷体_GB2312" w:cs="楷体_GB2312"/>
                <w:szCs w:val="21"/>
              </w:rPr>
            </w:pPr>
            <w:r>
              <w:rPr>
                <w:rFonts w:hint="eastAsia" w:ascii="楷体_GB2312" w:hAnsi="楷体_GB2312" w:eastAsia="楷体_GB2312" w:cs="楷体_GB2312"/>
                <w:szCs w:val="21"/>
              </w:rPr>
              <w:t>估价对象所处楼栋为联排别墅，院门为双扇铁艺门，砖结构、铁栅栏的院落围墙，院内地面局部水泥地坪、局部碎砖拼接，院内设洗手池，外墙贴条形面砖，入户门为单扇铁栅栏门，室内铝合金窗，1至2层窗户带护栏。因产权人不配合，房门未开，估价人员未能进入室内查勘及拍照取证，从估价对象1层窗外观察到1层室内为简单装修，墙面刷乳胶漆、蓝色墙裙，无吊顶，本次估价设定其室内为简单装修。</w:t>
            </w:r>
          </w:p>
        </w:tc>
        <w:tc>
          <w:tcPr>
            <w:tcW w:w="87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hint="eastAsia" w:ascii="楷体_GB2312" w:hAnsi="楷体_GB2312" w:eastAsia="楷体_GB2312" w:cs="楷体_GB2312"/>
                <w:szCs w:val="21"/>
                <w:lang w:eastAsia="zh-CN"/>
              </w:rPr>
            </w:pPr>
            <w:r>
              <w:rPr>
                <w:rFonts w:hint="eastAsia" w:ascii="楷体_GB2312" w:hAnsi="楷体_GB2312" w:eastAsia="楷体_GB2312" w:cs="楷体_GB2312"/>
                <w:szCs w:val="21"/>
              </w:rPr>
              <w:t>住宅/空置</w:t>
            </w:r>
          </w:p>
        </w:tc>
      </w:tr>
    </w:tbl>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（3）使用及保养</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估价对象结构部分：基础稳定，无明显不均匀沉降，承重墙完好，非承重墙基本完好</w:t>
      </w:r>
      <w:r>
        <w:rPr>
          <w:rFonts w:hint="eastAsia" w:ascii="楷体_GB2312" w:hAnsi="楷体_GB2312" w:eastAsia="楷体_GB2312" w:cs="楷体_GB2312"/>
          <w:sz w:val="28"/>
        </w:rPr>
        <w:t>，</w:t>
      </w:r>
      <w:r>
        <w:rPr>
          <w:rFonts w:hint="eastAsia" w:ascii="楷体_GB2312" w:hAnsi="楷体_GB2312" w:eastAsia="楷体_GB2312" w:cs="楷体_GB2312"/>
          <w:sz w:val="28"/>
          <w:szCs w:val="28"/>
        </w:rPr>
        <w:t>屋面基本完好；楼栋外墙无明显的裂隙，因房门未开，估价人员未进入室内查勘及拍照取证，仅通过1层窗户观察到1层室内为简单装修，本次评估设定估价对象装修状况为简单装修</w:t>
      </w:r>
      <w:r>
        <w:rPr>
          <w:rFonts w:hint="eastAsia" w:ascii="楷体_GB2312" w:hAnsi="楷体_GB2312" w:eastAsia="楷体_GB2312" w:cs="楷体_GB2312"/>
          <w:sz w:val="28"/>
          <w:szCs w:val="28"/>
          <w:shd w:val="clear" w:color="auto" w:fill="FFFFFF"/>
        </w:rPr>
        <w:t>。</w:t>
      </w:r>
    </w:p>
    <w:p>
      <w:pPr>
        <w:spacing w:line="500" w:lineRule="exact"/>
        <w:ind w:firstLine="560" w:firstLineChars="200"/>
        <w:rPr>
          <w:rFonts w:ascii="楷体_GB2312" w:hAnsi="楷体_GB2312" w:eastAsia="楷体_GB2312" w:cs="楷体_GB2312"/>
          <w:sz w:val="28"/>
          <w:szCs w:val="28"/>
        </w:rPr>
      </w:pPr>
      <w:r>
        <w:rPr>
          <w:rFonts w:hint="eastAsia" w:ascii="楷体_GB2312" w:hAnsi="楷体_GB2312" w:eastAsia="楷体_GB2312" w:cs="楷体_GB2312"/>
          <w:sz w:val="28"/>
          <w:szCs w:val="28"/>
        </w:rPr>
        <w:t>3、估价对象区位状况描述与分析</w:t>
      </w:r>
    </w:p>
    <w:p>
      <w:pPr>
        <w:tabs>
          <w:tab w:val="left" w:pos="2260"/>
        </w:tabs>
        <w:spacing w:line="500" w:lineRule="exact"/>
        <w:ind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8"/>
          <w:shd w:val="clear" w:color="auto" w:fill="FFFFFF"/>
        </w:rPr>
        <w:t>估价对象所处小区位于南昌市西湖区顺外路南侧，</w:t>
      </w:r>
      <w:r>
        <w:rPr>
          <w:rFonts w:hint="eastAsia" w:ascii="楷体_GB2312" w:hAnsi="楷体_GB2312" w:eastAsia="楷体_GB2312" w:cs="楷体_GB2312"/>
          <w:sz w:val="28"/>
          <w:szCs w:val="24"/>
        </w:rPr>
        <w:t>南临天香园度假村，东侧临江西现代高级技工学校，西侧青山湖南大道，周边有香江建材市场、香江国际家具广场、京东花鸟综合批发大市场、大润发、上海路尚街购物中心等购物场所，距青山湖万达约2.5千米；有肖坊小学、致远双语学校、南昌市京东学校、江西现代高级技工学校、江西新华电脑技工学校等教育场所，距江西省肿瘤医院约2千米；小区南侧与天香园毗邻，小区建造年代较早，各栋别墅楼间距不大，小区内绿化条件一般，作为住宅用途，能够满足正常的生活需要。</w:t>
      </w:r>
    </w:p>
    <w:p>
      <w:pPr>
        <w:pStyle w:val="3"/>
        <w:snapToGrid w:val="0"/>
        <w:spacing w:beforeLines="50" w:afterLines="50" w:line="500" w:lineRule="exact"/>
        <w:ind w:left="840" w:leftChars="400"/>
        <w:rPr>
          <w:rFonts w:ascii="楷体_GB2312" w:hAnsi="楷体_GB2312" w:eastAsia="楷体_GB2312" w:cs="楷体_GB2312"/>
          <w:b w:val="0"/>
          <w:bCs w:val="0"/>
          <w:snapToGrid w:val="0"/>
          <w:kern w:val="0"/>
          <w:sz w:val="28"/>
          <w:szCs w:val="28"/>
        </w:rPr>
      </w:pPr>
      <w:bookmarkStart w:id="20" w:name="_Toc255"/>
      <w:r>
        <w:rPr>
          <w:rFonts w:hint="eastAsia" w:ascii="楷体_GB2312" w:hAnsi="楷体_GB2312" w:eastAsia="楷体_GB2312" w:cs="楷体_GB2312"/>
          <w:b w:val="0"/>
          <w:bCs w:val="0"/>
          <w:snapToGrid w:val="0"/>
          <w:kern w:val="0"/>
          <w:sz w:val="28"/>
          <w:szCs w:val="28"/>
        </w:rPr>
        <w:t>（五）价值时点</w:t>
      </w:r>
      <w:bookmarkEnd w:id="19"/>
      <w:bookmarkEnd w:id="20"/>
    </w:p>
    <w:p>
      <w:pPr>
        <w:spacing w:line="500" w:lineRule="exact"/>
        <w:ind w:firstLine="560" w:firstLineChars="200"/>
        <w:rPr>
          <w:rFonts w:ascii="楷体_GB2312" w:hAnsi="楷体_GB2312" w:eastAsia="楷体_GB2312" w:cs="楷体_GB2312"/>
          <w:sz w:val="28"/>
          <w:highlight w:val="none"/>
        </w:rPr>
      </w:pPr>
      <w:r>
        <w:rPr>
          <w:rFonts w:hint="eastAsia" w:ascii="楷体_GB2312" w:hAnsi="楷体_GB2312" w:eastAsia="楷体_GB2312" w:cs="楷体_GB2312"/>
          <w:sz w:val="28"/>
        </w:rPr>
        <w:t>依据中华人民共和国国家标准《房地产估价规范》（GB/T50291-2015）、及《司法评估委托书》，在实际估价中，通常是评估现在的价值，一般将委托方委托的价值时点或估价作业期内特别是实地查看估价对象期间的某个日期（原则上为完成估价对象实地查看之日）确定为价值时点。估价人员实地查勘完成时间为</w:t>
      </w:r>
      <w:r>
        <w:rPr>
          <w:rFonts w:hint="eastAsia" w:ascii="楷体_GB2312" w:hAnsi="楷体_GB2312" w:eastAsia="楷体_GB2312" w:cs="楷体_GB2312"/>
          <w:color w:val="000000" w:themeColor="text1"/>
          <w:sz w:val="28"/>
        </w:rPr>
        <w:t>2020年5月28日</w:t>
      </w:r>
      <w:r>
        <w:rPr>
          <w:rFonts w:hint="eastAsia" w:ascii="楷体_GB2312" w:hAnsi="楷体_GB2312" w:eastAsia="楷体_GB2312" w:cs="楷体_GB2312"/>
          <w:sz w:val="28"/>
        </w:rPr>
        <w:t>，委托方委托的价值时</w:t>
      </w:r>
      <w:r>
        <w:rPr>
          <w:rFonts w:hint="eastAsia" w:ascii="楷体_GB2312" w:hAnsi="楷体_GB2312" w:eastAsia="楷体_GB2312" w:cs="楷体_GB2312"/>
          <w:sz w:val="28"/>
          <w:highlight w:val="none"/>
        </w:rPr>
        <w:t>点为</w:t>
      </w:r>
      <w:r>
        <w:rPr>
          <w:rFonts w:hint="eastAsia" w:ascii="楷体_GB2312" w:hAnsi="楷体_GB2312" w:eastAsia="楷体_GB2312" w:cs="楷体_GB2312"/>
          <w:sz w:val="28"/>
          <w:highlight w:val="none"/>
          <w:lang w:eastAsia="zh-CN"/>
        </w:rPr>
        <w:t>2020年5月27日</w:t>
      </w:r>
      <w:r>
        <w:rPr>
          <w:rFonts w:hint="eastAsia" w:ascii="楷体_GB2312" w:hAnsi="楷体_GB2312" w:eastAsia="楷体_GB2312" w:cs="楷体_GB2312"/>
          <w:sz w:val="28"/>
          <w:highlight w:val="none"/>
        </w:rPr>
        <w:t>，与估价人员实地查勘完成时间不一致，本次评估价值时点确定为委托的价值时点</w:t>
      </w:r>
      <w:r>
        <w:rPr>
          <w:rFonts w:hint="eastAsia" w:ascii="楷体_GB2312" w:hAnsi="楷体_GB2312" w:eastAsia="楷体_GB2312" w:cs="楷体_GB2312"/>
          <w:sz w:val="28"/>
          <w:highlight w:val="none"/>
          <w:lang w:eastAsia="zh-CN"/>
        </w:rPr>
        <w:t>2020年5月27日</w:t>
      </w:r>
      <w:r>
        <w:rPr>
          <w:rFonts w:hint="eastAsia" w:ascii="楷体_GB2312" w:hAnsi="楷体_GB2312" w:eastAsia="楷体_GB2312" w:cs="楷体_GB2312"/>
          <w:sz w:val="28"/>
          <w:highlight w:val="none"/>
        </w:rPr>
        <w:t>。</w:t>
      </w:r>
      <w:bookmarkStart w:id="21" w:name="_Toc326590652"/>
    </w:p>
    <w:p>
      <w:pPr>
        <w:pStyle w:val="3"/>
        <w:snapToGrid w:val="0"/>
        <w:spacing w:beforeLines="50" w:afterLines="50" w:line="500" w:lineRule="exact"/>
        <w:ind w:left="840" w:leftChars="400"/>
        <w:rPr>
          <w:rFonts w:ascii="楷体_GB2312" w:hAnsi="楷体_GB2312" w:eastAsia="楷体_GB2312" w:cs="楷体_GB2312"/>
          <w:b w:val="0"/>
          <w:bCs w:val="0"/>
          <w:sz w:val="28"/>
          <w:szCs w:val="20"/>
          <w:highlight w:val="none"/>
        </w:rPr>
      </w:pPr>
      <w:bookmarkStart w:id="22" w:name="_Toc20064"/>
      <w:r>
        <w:rPr>
          <w:rFonts w:hint="eastAsia" w:ascii="楷体_GB2312" w:hAnsi="楷体_GB2312" w:eastAsia="楷体_GB2312" w:cs="楷体_GB2312"/>
          <w:b w:val="0"/>
          <w:snapToGrid w:val="0"/>
          <w:kern w:val="0"/>
          <w:sz w:val="28"/>
          <w:szCs w:val="28"/>
          <w:highlight w:val="none"/>
        </w:rPr>
        <w:t>（</w:t>
      </w:r>
      <w:r>
        <w:rPr>
          <w:rFonts w:hint="eastAsia" w:ascii="楷体_GB2312" w:hAnsi="楷体_GB2312" w:eastAsia="楷体_GB2312" w:cs="楷体_GB2312"/>
          <w:b w:val="0"/>
          <w:bCs w:val="0"/>
          <w:sz w:val="28"/>
          <w:szCs w:val="20"/>
          <w:highlight w:val="none"/>
        </w:rPr>
        <w:t>六）价值类型</w:t>
      </w:r>
      <w:bookmarkEnd w:id="22"/>
    </w:p>
    <w:bookmarkEnd w:id="21"/>
    <w:p>
      <w:pPr>
        <w:spacing w:line="500" w:lineRule="exact"/>
        <w:ind w:firstLine="560" w:firstLineChars="200"/>
        <w:rPr>
          <w:rFonts w:ascii="楷体_GB2312" w:hAnsi="楷体_GB2312" w:eastAsia="楷体_GB2312" w:cs="楷体_GB2312"/>
          <w:sz w:val="28"/>
          <w:highlight w:val="none"/>
        </w:rPr>
      </w:pPr>
      <w:bookmarkStart w:id="23" w:name="_Toc326590653"/>
      <w:r>
        <w:rPr>
          <w:rFonts w:hint="eastAsia" w:ascii="楷体_GB2312" w:hAnsi="楷体_GB2312" w:eastAsia="楷体_GB2312" w:cs="楷体_GB2312"/>
          <w:sz w:val="28"/>
          <w:highlight w:val="none"/>
        </w:rPr>
        <w:t>本报告的估价结果是指估价对象在维持现状用途并正常使用的条件下，于价值时点</w:t>
      </w:r>
      <w:r>
        <w:rPr>
          <w:rFonts w:hint="eastAsia" w:ascii="楷体_GB2312" w:hAnsi="楷体_GB2312" w:eastAsia="楷体_GB2312" w:cs="楷体_GB2312"/>
          <w:sz w:val="28"/>
          <w:highlight w:val="none"/>
          <w:lang w:eastAsia="zh-CN"/>
        </w:rPr>
        <w:t>2020年5月27日</w:t>
      </w:r>
      <w:r>
        <w:rPr>
          <w:rFonts w:hint="eastAsia" w:ascii="楷体_GB2312" w:hAnsi="楷体_GB2312" w:eastAsia="楷体_GB2312" w:cs="楷体_GB2312"/>
          <w:sz w:val="28"/>
          <w:highlight w:val="none"/>
        </w:rPr>
        <w:t>房地产市场价值。</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本报告价格货币单位均为人民币。</w:t>
      </w:r>
    </w:p>
    <w:p>
      <w:pPr>
        <w:pStyle w:val="3"/>
        <w:snapToGrid w:val="0"/>
        <w:spacing w:beforeLines="50" w:afterLines="50" w:line="500" w:lineRule="exact"/>
        <w:ind w:left="840" w:leftChars="400"/>
        <w:rPr>
          <w:rFonts w:ascii="楷体_GB2312" w:hAnsi="楷体_GB2312" w:eastAsia="楷体_GB2312" w:cs="楷体_GB2312"/>
          <w:b w:val="0"/>
          <w:bCs w:val="0"/>
          <w:snapToGrid w:val="0"/>
          <w:kern w:val="0"/>
          <w:sz w:val="28"/>
          <w:szCs w:val="28"/>
        </w:rPr>
      </w:pPr>
      <w:bookmarkStart w:id="24" w:name="_Toc326590654"/>
      <w:bookmarkStart w:id="25" w:name="_Toc5499"/>
      <w:r>
        <w:rPr>
          <w:rFonts w:hint="eastAsia" w:ascii="楷体_GB2312" w:hAnsi="楷体_GB2312" w:eastAsia="楷体_GB2312" w:cs="楷体_GB2312"/>
          <w:b w:val="0"/>
          <w:bCs w:val="0"/>
          <w:snapToGrid w:val="0"/>
          <w:kern w:val="0"/>
          <w:sz w:val="28"/>
          <w:szCs w:val="28"/>
        </w:rPr>
        <w:t>（七）估价原则</w:t>
      </w:r>
      <w:bookmarkEnd w:id="24"/>
      <w:bookmarkEnd w:id="25"/>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1、独立、客观、公正原则</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独立”是指估价机构和估价师在估价中不应受包括委托方在内的任何单位和个人的干扰，应当凭借估价专业知识、经验和应有的职业道德进行估价。“客观”是指估价机构和估价师在估价中不应带着自己的情感、好恶和偏见，应当按照事物的本来面目、实事求是地进行估价。“公正”是指估价机构和估价师在估价中不应偏袒相关当事人中的任何一方，应当坚持原则、公平正直的进行估价。</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2、合法原则</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rPr>
        <w:t>即必须以估价对象的合法使用、合法交易或合法处分为前提进行。所谓合法，是指符合国家的法律、法规和当地政府的有关规定。一是要求在估价时必须确认估价对象具有合法产权。二是要求在估价时所涉及的估价对象用途必须是合法的。三是要求在估价中如果涉及估价对象的交易或处分方式时，该交易或处分方式必须是合法的。</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3、最高最佳使用原则</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rPr>
      </w:pPr>
      <w:r>
        <w:rPr>
          <w:rFonts w:hint="eastAsia" w:ascii="楷体_GB2312" w:hAnsi="楷体_GB2312" w:eastAsia="楷体_GB2312" w:cs="楷体_GB2312"/>
          <w:sz w:val="28"/>
        </w:rPr>
        <w:t>由于房地产具有用途的多样性，不同的利用方式能为权利人带来不同收益量，且房地产权利人都期望从其所占有房地产上获得更多的收益，并以能满足这一目的为确定房地产利用方式的依据，所以房地产价格是该房地产的效用作最有效发挥为前提的。经对估价对象的现场查勘，估价对象所处楼栋为联排别墅住宅，登记用途为住宅，周边相同户型均为住宅，故本次估价按照其法定用途住宅设定，估价对象现状状况符合最高最佳使用原则。</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4、替代原则</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rPr>
      </w:pPr>
      <w:r>
        <w:rPr>
          <w:rFonts w:hint="eastAsia" w:ascii="楷体_GB2312" w:hAnsi="楷体_GB2312" w:eastAsia="楷体_GB2312" w:cs="楷体_GB2312"/>
          <w:sz w:val="28"/>
        </w:rPr>
        <w:t>市场竞争规律表明,多种效用相同或相似的商品在同一市场中竞争,通常是价格低者取胜。这是因为，在比较的基础上选择物美价廉的商品是每一个理智消费者的必然行为。这种市场选择的结果，必然促使效用相同或相近的商品在价格上趋同（含租赁价格），这就是市场替代原则的具体体现。</w:t>
      </w:r>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5、价值时点原则</w:t>
      </w:r>
    </w:p>
    <w:p>
      <w:pPr>
        <w:spacing w:line="50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具有不同的市场价格。</w:t>
      </w:r>
    </w:p>
    <w:p>
      <w:pPr>
        <w:pStyle w:val="3"/>
        <w:snapToGrid w:val="0"/>
        <w:spacing w:beforeLines="50" w:afterLines="50" w:line="490" w:lineRule="exact"/>
        <w:ind w:left="840" w:leftChars="400"/>
        <w:rPr>
          <w:rFonts w:ascii="楷体_GB2312" w:hAnsi="楷体_GB2312" w:eastAsia="楷体_GB2312" w:cs="楷体_GB2312"/>
          <w:b w:val="0"/>
          <w:bCs w:val="0"/>
          <w:snapToGrid w:val="0"/>
          <w:kern w:val="0"/>
          <w:sz w:val="28"/>
          <w:szCs w:val="28"/>
        </w:rPr>
      </w:pPr>
      <w:bookmarkStart w:id="26" w:name="_Toc1505"/>
      <w:r>
        <w:rPr>
          <w:rFonts w:hint="eastAsia" w:ascii="楷体_GB2312" w:hAnsi="楷体_GB2312" w:eastAsia="楷体_GB2312" w:cs="楷体_GB2312"/>
          <w:b w:val="0"/>
          <w:bCs w:val="0"/>
          <w:snapToGrid w:val="0"/>
          <w:kern w:val="0"/>
          <w:sz w:val="28"/>
          <w:szCs w:val="28"/>
        </w:rPr>
        <w:t>（八）估价依据</w:t>
      </w:r>
      <w:bookmarkEnd w:id="23"/>
      <w:bookmarkEnd w:id="26"/>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本次估价所依据的有关法律、法规和政策文件：</w:t>
      </w:r>
    </w:p>
    <w:p>
      <w:pPr>
        <w:spacing w:line="49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1</w:t>
      </w:r>
      <w:r>
        <w:rPr>
          <w:rFonts w:hint="eastAsia" w:ascii="楷体_GB2312" w:eastAsia="楷体_GB2312"/>
          <w:sz w:val="28"/>
        </w:rPr>
        <w:t>）《中华人民共和国民事诉讼法》；</w:t>
      </w:r>
    </w:p>
    <w:p>
      <w:pPr>
        <w:spacing w:line="49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2</w:t>
      </w:r>
      <w:r>
        <w:rPr>
          <w:rFonts w:hint="eastAsia" w:ascii="楷体_GB2312" w:eastAsia="楷体_GB2312"/>
          <w:sz w:val="28"/>
        </w:rPr>
        <w:t>）《中华人民共和国物权法》（中华人民共和国主席令第</w:t>
      </w:r>
      <w:r>
        <w:rPr>
          <w:rFonts w:ascii="楷体_GB2312" w:eastAsia="楷体_GB2312"/>
          <w:sz w:val="28"/>
        </w:rPr>
        <w:t>62</w:t>
      </w:r>
      <w:r>
        <w:rPr>
          <w:rFonts w:hint="eastAsia" w:ascii="楷体_GB2312" w:eastAsia="楷体_GB2312"/>
          <w:sz w:val="28"/>
        </w:rPr>
        <w:t>号、</w:t>
      </w:r>
      <w:r>
        <w:rPr>
          <w:rFonts w:ascii="楷体_GB2312" w:eastAsia="楷体_GB2312"/>
          <w:sz w:val="28"/>
        </w:rPr>
        <w:t>2007</w:t>
      </w:r>
      <w:r>
        <w:rPr>
          <w:rFonts w:hint="eastAsia" w:ascii="楷体_GB2312" w:eastAsia="楷体_GB2312"/>
          <w:sz w:val="28"/>
        </w:rPr>
        <w:t>年</w:t>
      </w:r>
      <w:r>
        <w:rPr>
          <w:rFonts w:ascii="楷体_GB2312" w:eastAsia="楷体_GB2312"/>
          <w:sz w:val="28"/>
        </w:rPr>
        <w:t>10</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49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3</w:t>
      </w:r>
      <w:r>
        <w:rPr>
          <w:rFonts w:hint="eastAsia" w:ascii="楷体_GB2312" w:eastAsia="楷体_GB2312"/>
          <w:sz w:val="28"/>
        </w:rPr>
        <w:t>）《中华人民共和国土地管理法》（</w:t>
      </w:r>
      <w:r>
        <w:rPr>
          <w:rFonts w:ascii="楷体_GB2312" w:eastAsia="楷体_GB2312"/>
          <w:sz w:val="28"/>
        </w:rPr>
        <w:t>2004</w:t>
      </w:r>
      <w:r>
        <w:rPr>
          <w:rFonts w:hint="eastAsia" w:ascii="楷体_GB2312" w:eastAsia="楷体_GB2312"/>
          <w:sz w:val="28"/>
        </w:rPr>
        <w:t>年</w:t>
      </w:r>
      <w:r>
        <w:rPr>
          <w:rFonts w:ascii="楷体_GB2312" w:eastAsia="楷体_GB2312"/>
          <w:sz w:val="28"/>
        </w:rPr>
        <w:t>8</w:t>
      </w:r>
      <w:r>
        <w:rPr>
          <w:rFonts w:hint="eastAsia" w:ascii="楷体_GB2312" w:eastAsia="楷体_GB2312"/>
          <w:sz w:val="28"/>
        </w:rPr>
        <w:t>月</w:t>
      </w:r>
      <w:r>
        <w:rPr>
          <w:rFonts w:ascii="楷体_GB2312" w:eastAsia="楷体_GB2312"/>
          <w:sz w:val="28"/>
        </w:rPr>
        <w:t>28</w:t>
      </w:r>
      <w:r>
        <w:rPr>
          <w:rFonts w:hint="eastAsia" w:ascii="楷体_GB2312" w:eastAsia="楷体_GB2312"/>
          <w:sz w:val="28"/>
        </w:rPr>
        <w:t>日中华人民共和国主席令第</w:t>
      </w:r>
      <w:r>
        <w:rPr>
          <w:rFonts w:ascii="楷体_GB2312" w:eastAsia="楷体_GB2312"/>
          <w:sz w:val="28"/>
        </w:rPr>
        <w:t>28</w:t>
      </w:r>
      <w:r>
        <w:rPr>
          <w:rFonts w:hint="eastAsia" w:ascii="楷体_GB2312" w:eastAsia="楷体_GB2312"/>
          <w:sz w:val="28"/>
        </w:rPr>
        <w:t>号（第二次修正）、</w:t>
      </w:r>
      <w:r>
        <w:rPr>
          <w:rFonts w:ascii="楷体_GB2312" w:eastAsia="楷体_GB2312"/>
          <w:sz w:val="28"/>
        </w:rPr>
        <w:t>1999</w:t>
      </w:r>
      <w:r>
        <w:rPr>
          <w:rFonts w:hint="eastAsia" w:ascii="楷体_GB2312" w:eastAsia="楷体_GB2312"/>
          <w:sz w:val="28"/>
        </w:rPr>
        <w:t>年</w:t>
      </w:r>
      <w:r>
        <w:rPr>
          <w:rFonts w:ascii="楷体_GB2312" w:eastAsia="楷体_GB2312"/>
          <w:sz w:val="28"/>
        </w:rPr>
        <w:t>1</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49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4</w:t>
      </w:r>
      <w:r>
        <w:rPr>
          <w:rFonts w:hint="eastAsia" w:ascii="楷体_GB2312" w:eastAsia="楷体_GB2312"/>
          <w:sz w:val="28"/>
        </w:rPr>
        <w:t>）《中华人民共和国城市房地产管理法》（</w:t>
      </w:r>
      <w:r>
        <w:rPr>
          <w:rFonts w:ascii="楷体_GB2312" w:eastAsia="楷体_GB2312"/>
          <w:sz w:val="28"/>
        </w:rPr>
        <w:t>1994</w:t>
      </w:r>
      <w:r>
        <w:rPr>
          <w:rFonts w:hint="eastAsia" w:ascii="楷体_GB2312" w:eastAsia="楷体_GB2312"/>
          <w:sz w:val="28"/>
        </w:rPr>
        <w:t>年</w:t>
      </w:r>
      <w:r>
        <w:rPr>
          <w:rFonts w:ascii="楷体_GB2312" w:eastAsia="楷体_GB2312"/>
          <w:sz w:val="28"/>
        </w:rPr>
        <w:t>7</w:t>
      </w:r>
      <w:r>
        <w:rPr>
          <w:rFonts w:hint="eastAsia" w:ascii="楷体_GB2312" w:eastAsia="楷体_GB2312"/>
          <w:sz w:val="28"/>
        </w:rPr>
        <w:t>月</w:t>
      </w:r>
      <w:r>
        <w:rPr>
          <w:rFonts w:ascii="楷体_GB2312" w:eastAsia="楷体_GB2312"/>
          <w:sz w:val="28"/>
        </w:rPr>
        <w:t>5</w:t>
      </w:r>
      <w:r>
        <w:rPr>
          <w:rFonts w:hint="eastAsia" w:ascii="楷体_GB2312" w:eastAsia="楷体_GB2312"/>
          <w:sz w:val="28"/>
        </w:rPr>
        <w:t>日中华人民共和国主席令第</w:t>
      </w:r>
      <w:r>
        <w:rPr>
          <w:rFonts w:ascii="楷体_GB2312" w:eastAsia="楷体_GB2312"/>
          <w:sz w:val="28"/>
        </w:rPr>
        <w:t>29</w:t>
      </w:r>
      <w:r>
        <w:rPr>
          <w:rFonts w:hint="eastAsia" w:ascii="楷体_GB2312" w:eastAsia="楷体_GB2312"/>
          <w:sz w:val="28"/>
        </w:rPr>
        <w:t>号、</w:t>
      </w:r>
      <w:r>
        <w:rPr>
          <w:rFonts w:ascii="楷体_GB2312" w:eastAsia="楷体_GB2312"/>
          <w:sz w:val="28"/>
        </w:rPr>
        <w:t>1995</w:t>
      </w:r>
      <w:r>
        <w:rPr>
          <w:rFonts w:hint="eastAsia" w:ascii="楷体_GB2312" w:eastAsia="楷体_GB2312"/>
          <w:sz w:val="28"/>
        </w:rPr>
        <w:t>年</w:t>
      </w:r>
      <w:r>
        <w:rPr>
          <w:rFonts w:ascii="楷体_GB2312" w:eastAsia="楷体_GB2312"/>
          <w:sz w:val="28"/>
        </w:rPr>
        <w:t>1</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490" w:lineRule="exact"/>
        <w:ind w:firstLine="560" w:firstLineChars="200"/>
        <w:rPr>
          <w:rFonts w:ascii="楷体_GB2312" w:eastAsia="楷体_GB2312"/>
          <w:sz w:val="28"/>
        </w:rPr>
      </w:pPr>
      <w:r>
        <w:rPr>
          <w:rFonts w:hint="eastAsia" w:ascii="楷体_GB2312" w:eastAsia="楷体_GB2312"/>
          <w:sz w:val="28"/>
        </w:rPr>
        <w:t>（5）《中华人民共和国资产评估法》（中华人民共和国主席令第46号，自2016年12月1日起实施）</w:t>
      </w:r>
    </w:p>
    <w:p>
      <w:pPr>
        <w:spacing w:line="490" w:lineRule="exact"/>
        <w:ind w:firstLine="560" w:firstLineChars="200"/>
        <w:rPr>
          <w:rFonts w:ascii="楷体_GB2312" w:eastAsia="楷体_GB2312"/>
          <w:sz w:val="28"/>
        </w:rPr>
      </w:pPr>
      <w:r>
        <w:rPr>
          <w:rFonts w:hint="eastAsia" w:ascii="楷体_GB2312" w:eastAsia="楷体_GB2312"/>
          <w:sz w:val="28"/>
        </w:rPr>
        <w:t>（6）《中华人民共和国担保法》（</w:t>
      </w:r>
      <w:r>
        <w:rPr>
          <w:rFonts w:ascii="楷体_GB2312" w:eastAsia="楷体_GB2312"/>
          <w:sz w:val="28"/>
        </w:rPr>
        <w:t>1995</w:t>
      </w:r>
      <w:r>
        <w:rPr>
          <w:rFonts w:hint="eastAsia" w:ascii="楷体_GB2312" w:eastAsia="楷体_GB2312"/>
          <w:sz w:val="28"/>
        </w:rPr>
        <w:t>年</w:t>
      </w:r>
      <w:r>
        <w:rPr>
          <w:rFonts w:ascii="楷体_GB2312" w:eastAsia="楷体_GB2312"/>
          <w:sz w:val="28"/>
        </w:rPr>
        <w:t>6</w:t>
      </w:r>
      <w:r>
        <w:rPr>
          <w:rFonts w:hint="eastAsia" w:ascii="楷体_GB2312" w:eastAsia="楷体_GB2312"/>
          <w:sz w:val="28"/>
        </w:rPr>
        <w:t>月</w:t>
      </w:r>
      <w:r>
        <w:rPr>
          <w:rFonts w:ascii="楷体_GB2312" w:eastAsia="楷体_GB2312"/>
          <w:sz w:val="28"/>
        </w:rPr>
        <w:t>30</w:t>
      </w:r>
      <w:r>
        <w:rPr>
          <w:rFonts w:hint="eastAsia" w:ascii="楷体_GB2312" w:eastAsia="楷体_GB2312"/>
          <w:sz w:val="28"/>
        </w:rPr>
        <w:t>日中华人民共和国主席令第</w:t>
      </w:r>
      <w:r>
        <w:rPr>
          <w:rFonts w:ascii="楷体_GB2312" w:eastAsia="楷体_GB2312"/>
          <w:sz w:val="28"/>
        </w:rPr>
        <w:t>50</w:t>
      </w:r>
      <w:r>
        <w:rPr>
          <w:rFonts w:hint="eastAsia" w:ascii="楷体_GB2312" w:eastAsia="楷体_GB2312"/>
          <w:sz w:val="28"/>
        </w:rPr>
        <w:t>号、</w:t>
      </w:r>
      <w:r>
        <w:rPr>
          <w:rFonts w:ascii="楷体_GB2312" w:eastAsia="楷体_GB2312"/>
          <w:sz w:val="28"/>
        </w:rPr>
        <w:t>1995</w:t>
      </w:r>
      <w:r>
        <w:rPr>
          <w:rFonts w:hint="eastAsia" w:ascii="楷体_GB2312" w:eastAsia="楷体_GB2312"/>
          <w:sz w:val="28"/>
        </w:rPr>
        <w:t>年</w:t>
      </w:r>
      <w:r>
        <w:rPr>
          <w:rFonts w:ascii="楷体_GB2312" w:eastAsia="楷体_GB2312"/>
          <w:sz w:val="28"/>
        </w:rPr>
        <w:t>10</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日起施行）；</w:t>
      </w:r>
    </w:p>
    <w:p>
      <w:pPr>
        <w:spacing w:line="490" w:lineRule="exact"/>
        <w:ind w:firstLine="560" w:firstLineChars="200"/>
        <w:rPr>
          <w:rFonts w:ascii="楷体_GB2312" w:eastAsia="楷体_GB2312"/>
          <w:sz w:val="28"/>
        </w:rPr>
      </w:pPr>
      <w:r>
        <w:rPr>
          <w:rFonts w:hint="eastAsia" w:ascii="楷体_GB2312" w:eastAsia="楷体_GB2312"/>
          <w:sz w:val="28"/>
        </w:rPr>
        <w:t>（7）《中华人民共和国土地管理法实施条例》；</w:t>
      </w:r>
    </w:p>
    <w:p>
      <w:pPr>
        <w:spacing w:line="490" w:lineRule="exact"/>
        <w:ind w:firstLine="560" w:firstLineChars="200"/>
        <w:rPr>
          <w:rFonts w:ascii="楷体_GB2312" w:eastAsia="楷体_GB2312"/>
          <w:sz w:val="28"/>
        </w:rPr>
      </w:pPr>
      <w:r>
        <w:rPr>
          <w:rFonts w:hint="eastAsia" w:ascii="楷体_GB2312" w:eastAsia="楷体_GB2312"/>
          <w:sz w:val="28"/>
        </w:rPr>
        <w:t>（8）《中华人民共和国城镇国有土地使用权出让和转让暂行条例》（国务院</w:t>
      </w:r>
      <w:r>
        <w:rPr>
          <w:rFonts w:ascii="楷体_GB2312" w:eastAsia="楷体_GB2312"/>
          <w:sz w:val="28"/>
        </w:rPr>
        <w:t>[90]55</w:t>
      </w:r>
      <w:r>
        <w:rPr>
          <w:rFonts w:hint="eastAsia" w:ascii="楷体_GB2312" w:eastAsia="楷体_GB2312"/>
          <w:sz w:val="28"/>
        </w:rPr>
        <w:t>号令、</w:t>
      </w:r>
      <w:r>
        <w:rPr>
          <w:rFonts w:ascii="楷体_GB2312" w:eastAsia="楷体_GB2312"/>
          <w:sz w:val="28"/>
        </w:rPr>
        <w:t>1990</w:t>
      </w:r>
      <w:r>
        <w:rPr>
          <w:rFonts w:hint="eastAsia" w:ascii="楷体_GB2312" w:eastAsia="楷体_GB2312"/>
          <w:sz w:val="28"/>
        </w:rPr>
        <w:t>年</w:t>
      </w:r>
      <w:r>
        <w:rPr>
          <w:rFonts w:ascii="楷体_GB2312" w:eastAsia="楷体_GB2312"/>
          <w:sz w:val="28"/>
        </w:rPr>
        <w:t>5</w:t>
      </w:r>
      <w:r>
        <w:rPr>
          <w:rFonts w:hint="eastAsia" w:ascii="楷体_GB2312" w:eastAsia="楷体_GB2312"/>
          <w:sz w:val="28"/>
        </w:rPr>
        <w:t>月</w:t>
      </w:r>
      <w:r>
        <w:rPr>
          <w:rFonts w:ascii="楷体_GB2312" w:eastAsia="楷体_GB2312"/>
          <w:sz w:val="28"/>
        </w:rPr>
        <w:t>19</w:t>
      </w:r>
      <w:r>
        <w:rPr>
          <w:rFonts w:hint="eastAsia" w:ascii="楷体_GB2312" w:eastAsia="楷体_GB2312"/>
          <w:sz w:val="28"/>
        </w:rPr>
        <w:t>日起施行）；</w:t>
      </w:r>
    </w:p>
    <w:p>
      <w:pPr>
        <w:spacing w:line="490" w:lineRule="exact"/>
        <w:ind w:firstLine="560" w:firstLineChars="200"/>
        <w:rPr>
          <w:rFonts w:ascii="楷体_GB2312" w:eastAsia="楷体_GB2312"/>
          <w:sz w:val="28"/>
        </w:rPr>
      </w:pPr>
      <w:r>
        <w:rPr>
          <w:rFonts w:hint="eastAsia" w:ascii="楷体_GB2312" w:eastAsia="楷体_GB2312"/>
          <w:sz w:val="28"/>
        </w:rPr>
        <w:t>（9）《城市房地产转让管理规定》；</w:t>
      </w:r>
    </w:p>
    <w:p>
      <w:pPr>
        <w:spacing w:line="490" w:lineRule="exact"/>
        <w:ind w:firstLine="560" w:firstLineChars="200"/>
        <w:rPr>
          <w:rFonts w:ascii="楷体_GB2312" w:eastAsia="楷体_GB2312"/>
          <w:sz w:val="28"/>
        </w:rPr>
      </w:pPr>
      <w:r>
        <w:rPr>
          <w:rFonts w:hint="eastAsia" w:ascii="楷体_GB2312" w:eastAsia="楷体_GB2312"/>
          <w:sz w:val="28"/>
        </w:rPr>
        <w:t>（10）《最高人民法院关于人民法院民事执行中拍卖、变卖财产的规定》</w:t>
      </w:r>
      <w:r>
        <w:rPr>
          <w:rFonts w:ascii="楷体_GB2312" w:eastAsia="楷体_GB2312"/>
          <w:sz w:val="28"/>
        </w:rPr>
        <w:t>(</w:t>
      </w:r>
      <w:r>
        <w:rPr>
          <w:rFonts w:hint="eastAsia" w:ascii="楷体_GB2312" w:eastAsia="楷体_GB2312"/>
          <w:sz w:val="28"/>
        </w:rPr>
        <w:t>法释</w:t>
      </w:r>
      <w:r>
        <w:rPr>
          <w:rFonts w:ascii="楷体_GB2312" w:eastAsia="楷体_GB2312"/>
          <w:sz w:val="28"/>
        </w:rPr>
        <w:t>[2004]16</w:t>
      </w:r>
      <w:r>
        <w:rPr>
          <w:rFonts w:hint="eastAsia" w:ascii="楷体_GB2312" w:eastAsia="楷体_GB2312"/>
          <w:sz w:val="28"/>
        </w:rPr>
        <w:t>号</w:t>
      </w:r>
      <w:r>
        <w:rPr>
          <w:rFonts w:ascii="楷体_GB2312" w:eastAsia="楷体_GB2312"/>
          <w:sz w:val="28"/>
        </w:rPr>
        <w:t>) [2005</w:t>
      </w:r>
      <w:r>
        <w:rPr>
          <w:rFonts w:hint="eastAsia" w:ascii="楷体_GB2312" w:eastAsia="楷体_GB2312"/>
          <w:sz w:val="28"/>
        </w:rPr>
        <w:t>年</w:t>
      </w:r>
      <w:r>
        <w:rPr>
          <w:rFonts w:ascii="楷体_GB2312" w:eastAsia="楷体_GB2312"/>
          <w:sz w:val="28"/>
        </w:rPr>
        <w:t>1</w:t>
      </w:r>
      <w:r>
        <w:rPr>
          <w:rFonts w:hint="eastAsia" w:ascii="楷体_GB2312" w:eastAsia="楷体_GB2312"/>
          <w:sz w:val="28"/>
        </w:rPr>
        <w:t>月</w:t>
      </w:r>
      <w:r>
        <w:rPr>
          <w:rFonts w:ascii="楷体_GB2312" w:eastAsia="楷体_GB2312"/>
          <w:sz w:val="28"/>
        </w:rPr>
        <w:t>1</w:t>
      </w:r>
      <w:r>
        <w:rPr>
          <w:rFonts w:hint="eastAsia" w:ascii="楷体_GB2312" w:eastAsia="楷体_GB2312"/>
          <w:sz w:val="28"/>
        </w:rPr>
        <w:t>日起实施</w:t>
      </w:r>
      <w:r>
        <w:rPr>
          <w:rFonts w:ascii="楷体_GB2312" w:eastAsia="楷体_GB2312"/>
          <w:sz w:val="28"/>
        </w:rPr>
        <w:t>]</w:t>
      </w:r>
      <w:r>
        <w:rPr>
          <w:rFonts w:hint="eastAsia" w:ascii="楷体_GB2312" w:eastAsia="楷体_GB2312"/>
          <w:sz w:val="28"/>
        </w:rPr>
        <w:t>；</w:t>
      </w:r>
    </w:p>
    <w:p>
      <w:pPr>
        <w:spacing w:line="490" w:lineRule="exact"/>
        <w:ind w:firstLine="560" w:firstLineChars="200"/>
        <w:rPr>
          <w:rFonts w:ascii="楷体_GB2312" w:eastAsia="楷体_GB2312"/>
          <w:sz w:val="28"/>
        </w:rPr>
      </w:pPr>
      <w:r>
        <w:rPr>
          <w:rFonts w:hint="eastAsia" w:ascii="楷体_GB2312" w:eastAsia="楷体_GB2312"/>
          <w:sz w:val="28"/>
        </w:rPr>
        <w:t>（</w:t>
      </w:r>
      <w:r>
        <w:rPr>
          <w:rFonts w:ascii="楷体_GB2312" w:eastAsia="楷体_GB2312"/>
          <w:sz w:val="28"/>
        </w:rPr>
        <w:t>1</w:t>
      </w:r>
      <w:r>
        <w:rPr>
          <w:rFonts w:hint="eastAsia" w:ascii="楷体_GB2312" w:eastAsia="楷体_GB2312"/>
          <w:sz w:val="28"/>
        </w:rPr>
        <w:t>1）《司法鉴定程序通则》（2016年5月1日司法部第139号令）[2016年5月1日起施行]。</w:t>
      </w:r>
    </w:p>
    <w:p>
      <w:pPr>
        <w:spacing w:line="490" w:lineRule="exact"/>
        <w:ind w:firstLine="560" w:firstLineChars="200"/>
        <w:rPr>
          <w:rFonts w:ascii="楷体_GB2312" w:eastAsia="楷体_GB2312"/>
          <w:sz w:val="28"/>
        </w:rPr>
      </w:pPr>
      <w:r>
        <w:rPr>
          <w:rFonts w:hint="eastAsia" w:ascii="楷体_GB2312" w:eastAsia="楷体_GB2312"/>
          <w:sz w:val="28"/>
        </w:rPr>
        <w:t>（12）《江西省高级人民法院关于全省法院网络司法拍卖的实施细则（试行）》。</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2.技术标准、规程、规范</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（1）《房地产估价规范》（GB/T 50291-2015）</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（2）《城镇土地估价规程》</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（3）《房地产估价基本术语标准》（GB/T50899-2013、中华人民共和国住房和城乡建设部、国家质量监督检验检疫总局联合发布、2013年6月26日发布、2014年2月1日实施）</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（4）《房地产估价报告评审标准（试行）》</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（5）《江西省建筑工程综合概算定额》</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3.估价委托人提供的有关资料</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（1）南昌市东湖区人民法院司法技术室委托鉴定（评估）书（2020）东法技委鉴字第152号</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（2）《南昌市不动产登记信息查询结果》受理编号：ZC202004220297（复印件）</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4.房地产估价机构掌握的有关资料以及注册房地产估价师实地查勘所获取的资料</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（1）南昌市房地产市场信息及估价对象所在区域的房地产市场状况、同类房地产市场交易等数据资料</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（2）南昌市城市概况、规划、经济发展及自然、人文环境资料；</w:t>
      </w:r>
    </w:p>
    <w:p>
      <w:pPr>
        <w:pStyle w:val="3"/>
        <w:snapToGrid w:val="0"/>
        <w:spacing w:beforeLines="50" w:afterLines="50" w:line="490" w:lineRule="exact"/>
        <w:ind w:left="840" w:leftChars="400"/>
        <w:rPr>
          <w:rFonts w:ascii="楷体_GB2312" w:hAnsi="楷体_GB2312" w:eastAsia="楷体_GB2312" w:cs="楷体_GB2312"/>
          <w:b w:val="0"/>
          <w:snapToGrid w:val="0"/>
          <w:kern w:val="0"/>
          <w:sz w:val="28"/>
          <w:szCs w:val="28"/>
        </w:rPr>
      </w:pPr>
      <w:bookmarkStart w:id="27" w:name="_Toc326590655"/>
      <w:bookmarkStart w:id="28" w:name="_Toc10559"/>
      <w:r>
        <w:rPr>
          <w:rFonts w:hint="eastAsia" w:ascii="楷体_GB2312" w:hAnsi="楷体_GB2312" w:eastAsia="楷体_GB2312" w:cs="楷体_GB2312"/>
          <w:b w:val="0"/>
          <w:snapToGrid w:val="0"/>
          <w:kern w:val="0"/>
          <w:sz w:val="28"/>
          <w:szCs w:val="28"/>
        </w:rPr>
        <w:t>（九）估价方法</w:t>
      </w:r>
      <w:bookmarkEnd w:id="27"/>
      <w:bookmarkEnd w:id="28"/>
    </w:p>
    <w:p>
      <w:pPr>
        <w:tabs>
          <w:tab w:val="left" w:pos="2260"/>
        </w:tabs>
        <w:spacing w:line="500" w:lineRule="exact"/>
        <w:ind w:firstLine="560" w:firstLineChars="200"/>
        <w:rPr>
          <w:rFonts w:ascii="楷体_GB2312" w:hAnsi="楷体_GB2312" w:eastAsia="楷体_GB2312" w:cs="楷体_GB2312"/>
          <w:color w:val="000000" w:themeColor="text1"/>
          <w:sz w:val="28"/>
        </w:rPr>
      </w:pPr>
      <w:bookmarkStart w:id="29" w:name="_Toc326590656"/>
      <w:r>
        <w:rPr>
          <w:rFonts w:hint="eastAsia" w:ascii="楷体_GB2312" w:hAnsi="楷体_GB2312" w:eastAsia="楷体_GB2312" w:cs="楷体_GB2312"/>
          <w:color w:val="000000" w:themeColor="text1"/>
          <w:sz w:val="28"/>
        </w:rPr>
        <w:t>常见的房地产估价方法有比较法、收益还原法、成本法、假设开发法和长期趋势法五种方法。根据估价对象的特点和估价目的、估价人员对邻近地区市场状况的调查和对估价对象的实地勘查，以及遵循房地产市场价值评估方法的确定原则，如《房地产估价规范》中规定：有条件选用比较法进行估价的，应以比较法为主要的估价方法。在确定估价方法时，我们有以下考虑：</w:t>
      </w:r>
    </w:p>
    <w:p>
      <w:pPr>
        <w:tabs>
          <w:tab w:val="left" w:pos="2260"/>
        </w:tabs>
        <w:spacing w:line="500" w:lineRule="exact"/>
        <w:ind w:firstLine="560" w:firstLineChars="200"/>
        <w:rPr>
          <w:rFonts w:ascii="楷体_GB2312" w:hAnsi="楷体_GB2312" w:eastAsia="楷体_GB2312" w:cs="楷体_GB2312"/>
          <w:color w:val="000000" w:themeColor="text1"/>
          <w:sz w:val="28"/>
        </w:rPr>
      </w:pPr>
      <w:r>
        <w:rPr>
          <w:rFonts w:hint="eastAsia" w:ascii="楷体_GB2312" w:hAnsi="楷体_GB2312" w:eastAsia="楷体_GB2312" w:cs="楷体_GB2312"/>
          <w:color w:val="000000" w:themeColor="text1"/>
          <w:sz w:val="28"/>
        </w:rPr>
        <w:t>1、估价对象位于南昌市西湖区现代庄园别墅区内，该别墅区规模较大，与估价对象位于同一小区内的别墅房地产市场交易较活跃，可以收集到相关类似的成交案例，故可采用比较法。</w:t>
      </w:r>
    </w:p>
    <w:p>
      <w:pPr>
        <w:tabs>
          <w:tab w:val="left" w:pos="2260"/>
        </w:tabs>
        <w:spacing w:line="500" w:lineRule="exact"/>
        <w:ind w:firstLine="560" w:firstLineChars="200"/>
        <w:rPr>
          <w:rFonts w:ascii="楷体_GB2312" w:hAnsi="楷体_GB2312" w:eastAsia="楷体_GB2312" w:cs="楷体_GB2312"/>
          <w:color w:val="000000" w:themeColor="text1"/>
          <w:sz w:val="28"/>
        </w:rPr>
      </w:pPr>
      <w:r>
        <w:rPr>
          <w:rFonts w:hint="eastAsia" w:ascii="楷体_GB2312" w:hAnsi="楷体_GB2312" w:eastAsia="楷体_GB2312" w:cs="楷体_GB2312"/>
          <w:color w:val="000000" w:themeColor="text1"/>
          <w:sz w:val="28"/>
        </w:rPr>
        <w:t>2、估价对象为已建成使用的房地产，符合土地利用规划及城市规划；且目前使用状况正常，再开发可能性较小，不具有开发或再开发潜力，故不宜采用假设开发法。</w:t>
      </w:r>
    </w:p>
    <w:p>
      <w:pPr>
        <w:tabs>
          <w:tab w:val="left" w:pos="2260"/>
        </w:tabs>
        <w:spacing w:line="500" w:lineRule="exact"/>
        <w:ind w:firstLine="560" w:firstLineChars="200"/>
        <w:rPr>
          <w:rFonts w:ascii="楷体_GB2312" w:hAnsi="楷体_GB2312" w:eastAsia="楷体_GB2312" w:cs="楷体_GB2312"/>
          <w:snapToGrid w:val="0"/>
          <w:color w:val="000000" w:themeColor="text1"/>
          <w:kern w:val="0"/>
          <w:sz w:val="28"/>
          <w:szCs w:val="28"/>
        </w:rPr>
      </w:pPr>
      <w:r>
        <w:rPr>
          <w:rFonts w:hint="eastAsia" w:ascii="楷体_GB2312" w:hAnsi="楷体_GB2312" w:eastAsia="楷体_GB2312" w:cs="楷体_GB2312"/>
          <w:color w:val="000000" w:themeColor="text1"/>
          <w:sz w:val="28"/>
        </w:rPr>
        <w:t>3、</w:t>
      </w:r>
      <w:r>
        <w:rPr>
          <w:rFonts w:hint="eastAsia" w:ascii="楷体_GB2312" w:hAnsi="楷体_GB2312" w:eastAsia="楷体_GB2312" w:cs="楷体_GB2312"/>
          <w:color w:val="000000" w:themeColor="text1"/>
          <w:sz w:val="28"/>
          <w:szCs w:val="28"/>
        </w:rPr>
        <w:t>估价对象为具有收益或潜在收益物业，因估价对象为面积较大的别墅住宅，且所处小区建设年代较早，小区内环境、绿化一般，</w:t>
      </w:r>
      <w:r>
        <w:rPr>
          <w:rFonts w:hint="eastAsia" w:ascii="楷体_GB2312" w:hAnsi="楷体_GB2312" w:eastAsia="楷体_GB2312" w:cs="楷体_GB2312"/>
          <w:snapToGrid w:val="0"/>
          <w:color w:val="000000" w:themeColor="text1"/>
          <w:kern w:val="0"/>
          <w:sz w:val="28"/>
          <w:szCs w:val="28"/>
        </w:rPr>
        <w:t>市场接受能力有限，租赁活动不活跃，难以获得稳定的租赁收益，因此，不宜采用收益法。</w:t>
      </w:r>
    </w:p>
    <w:p>
      <w:pPr>
        <w:tabs>
          <w:tab w:val="left" w:pos="2260"/>
        </w:tabs>
        <w:spacing w:line="500" w:lineRule="exact"/>
        <w:ind w:firstLine="560" w:firstLineChars="200"/>
        <w:rPr>
          <w:rFonts w:ascii="楷体_GB2312" w:hAnsi="楷体_GB2312" w:eastAsia="楷体_GB2312" w:cs="楷体_GB2312"/>
          <w:color w:val="000000" w:themeColor="text1"/>
          <w:sz w:val="28"/>
        </w:rPr>
      </w:pPr>
      <w:r>
        <w:rPr>
          <w:rFonts w:hint="eastAsia" w:ascii="楷体_GB2312" w:hAnsi="楷体_GB2312" w:eastAsia="楷体_GB2312" w:cs="楷体_GB2312"/>
          <w:color w:val="000000" w:themeColor="text1"/>
          <w:sz w:val="28"/>
        </w:rPr>
        <w:t>4、近几年，随着房地产市场的快速发展，住宅房地产市场超额垄断利润的存在使得价格水平已经远远偏离了成本，采用成本法难以反映目前住宅房地产的正常的价格水平。</w:t>
      </w:r>
    </w:p>
    <w:p>
      <w:pPr>
        <w:tabs>
          <w:tab w:val="left" w:pos="2260"/>
        </w:tabs>
        <w:spacing w:line="500" w:lineRule="exact"/>
        <w:ind w:firstLine="560" w:firstLineChars="200"/>
        <w:rPr>
          <w:rFonts w:ascii="楷体_GB2312" w:hAnsi="楷体_GB2312" w:eastAsia="楷体_GB2312" w:cs="楷体_GB2312"/>
          <w:color w:val="000000" w:themeColor="text1"/>
          <w:sz w:val="28"/>
        </w:rPr>
      </w:pPr>
      <w:r>
        <w:rPr>
          <w:rFonts w:hint="eastAsia" w:ascii="楷体_GB2312" w:hAnsi="楷体_GB2312" w:eastAsia="楷体_GB2312" w:cs="楷体_GB2312"/>
          <w:color w:val="000000" w:themeColor="text1"/>
          <w:sz w:val="28"/>
        </w:rPr>
        <w:t>5、目前房地产市场为快速发展后的调整期，不宜采用长期趋势法。</w:t>
      </w:r>
    </w:p>
    <w:p>
      <w:pPr>
        <w:tabs>
          <w:tab w:val="left" w:pos="2260"/>
        </w:tabs>
        <w:spacing w:line="500" w:lineRule="exact"/>
        <w:ind w:firstLine="565" w:firstLineChars="202"/>
        <w:rPr>
          <w:rFonts w:ascii="楷体_GB2312" w:hAnsi="楷体_GB2312" w:eastAsia="楷体_GB2312" w:cs="楷体_GB2312"/>
          <w:color w:val="000000" w:themeColor="text1"/>
          <w:sz w:val="28"/>
        </w:rPr>
      </w:pPr>
      <w:r>
        <w:rPr>
          <w:rFonts w:hint="eastAsia" w:ascii="楷体_GB2312" w:hAnsi="楷体_GB2312" w:eastAsia="楷体_GB2312" w:cs="楷体_GB2312"/>
          <w:color w:val="000000" w:themeColor="text1"/>
          <w:sz w:val="28"/>
        </w:rPr>
        <w:t>6、估价思路：鉴于上述选取估价方法之缘由，我公司在本次估价过程中，采用比较法对估价对象的市场价值进行估价。</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比较法是根据替代原则，将估价对象房地产与在近期已经发生了交易的类似房地产加以比较对照，并根据后者的成交价格，以及两者在交易情况、市场状况、房地产状况等方面存在的差异大小，进行价格修正，以最终得到估价对象在价值时点的正常市场价格的一种估价方法。</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房地产价格 = 比较实例房地产价格×K</w:t>
      </w:r>
      <w:r>
        <w:rPr>
          <w:rFonts w:hint="eastAsia" w:ascii="楷体_GB2312" w:hAnsi="楷体_GB2312" w:eastAsia="楷体_GB2312" w:cs="楷体_GB2312"/>
          <w:sz w:val="28"/>
          <w:vertAlign w:val="subscript"/>
        </w:rPr>
        <w:t>1</w:t>
      </w:r>
      <w:r>
        <w:rPr>
          <w:rFonts w:hint="eastAsia" w:ascii="楷体_GB2312" w:hAnsi="楷体_GB2312" w:eastAsia="楷体_GB2312" w:cs="楷体_GB2312"/>
          <w:sz w:val="28"/>
        </w:rPr>
        <w:t>×K</w:t>
      </w:r>
      <w:r>
        <w:rPr>
          <w:rFonts w:hint="eastAsia" w:ascii="楷体_GB2312" w:hAnsi="楷体_GB2312" w:eastAsia="楷体_GB2312" w:cs="楷体_GB2312"/>
          <w:sz w:val="28"/>
          <w:vertAlign w:val="subscript"/>
        </w:rPr>
        <w:t>2</w:t>
      </w:r>
      <w:r>
        <w:rPr>
          <w:rFonts w:hint="eastAsia" w:ascii="楷体_GB2312" w:hAnsi="楷体_GB2312" w:eastAsia="楷体_GB2312" w:cs="楷体_GB2312"/>
          <w:sz w:val="28"/>
        </w:rPr>
        <w:t>×K</w:t>
      </w:r>
      <w:r>
        <w:rPr>
          <w:rFonts w:hint="eastAsia" w:ascii="楷体_GB2312" w:hAnsi="楷体_GB2312" w:eastAsia="楷体_GB2312" w:cs="楷体_GB2312"/>
          <w:sz w:val="28"/>
          <w:vertAlign w:val="subscript"/>
        </w:rPr>
        <w:t>3</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式中：K1：交易情况修正</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 xml:space="preserve">      K2：市场状况调整</w:t>
      </w:r>
    </w:p>
    <w:p>
      <w:pPr>
        <w:spacing w:line="490" w:lineRule="exact"/>
        <w:ind w:firstLine="560" w:firstLineChars="200"/>
        <w:rPr>
          <w:rFonts w:ascii="楷体_GB2312" w:hAnsi="楷体_GB2312" w:eastAsia="楷体_GB2312" w:cs="楷体_GB2312"/>
          <w:sz w:val="28"/>
        </w:rPr>
      </w:pPr>
      <w:r>
        <w:rPr>
          <w:rFonts w:hint="eastAsia" w:ascii="楷体_GB2312" w:hAnsi="楷体_GB2312" w:eastAsia="楷体_GB2312" w:cs="楷体_GB2312"/>
          <w:sz w:val="28"/>
        </w:rPr>
        <w:t xml:space="preserve">      K3：房地产状况调整</w:t>
      </w:r>
    </w:p>
    <w:p>
      <w:pPr>
        <w:pStyle w:val="3"/>
        <w:snapToGrid w:val="0"/>
        <w:spacing w:beforeLines="50" w:afterLines="50" w:line="490" w:lineRule="exact"/>
        <w:ind w:left="840" w:leftChars="400"/>
        <w:rPr>
          <w:rFonts w:ascii="楷体_GB2312" w:hAnsi="楷体_GB2312" w:eastAsia="楷体_GB2312" w:cs="楷体_GB2312"/>
          <w:b w:val="0"/>
          <w:bCs w:val="0"/>
          <w:snapToGrid w:val="0"/>
          <w:kern w:val="0"/>
          <w:sz w:val="28"/>
          <w:szCs w:val="28"/>
        </w:rPr>
      </w:pPr>
      <w:bookmarkStart w:id="30" w:name="_Toc20583"/>
      <w:r>
        <w:rPr>
          <w:rFonts w:hint="eastAsia" w:ascii="楷体_GB2312" w:hAnsi="楷体_GB2312" w:eastAsia="楷体_GB2312" w:cs="楷体_GB2312"/>
          <w:b w:val="0"/>
          <w:bCs w:val="0"/>
          <w:snapToGrid w:val="0"/>
          <w:kern w:val="0"/>
          <w:sz w:val="28"/>
          <w:szCs w:val="28"/>
        </w:rPr>
        <w:t>（十）估价结果</w:t>
      </w:r>
      <w:bookmarkEnd w:id="29"/>
      <w:bookmarkEnd w:id="30"/>
    </w:p>
    <w:p>
      <w:pPr>
        <w:pStyle w:val="9"/>
        <w:tabs>
          <w:tab w:val="left" w:pos="1080"/>
        </w:tabs>
        <w:adjustRightInd w:val="0"/>
        <w:snapToGrid w:val="0"/>
        <w:spacing w:after="0" w:line="470" w:lineRule="exact"/>
        <w:ind w:left="0" w:leftChars="0" w:firstLine="560" w:firstLineChars="200"/>
        <w:rPr>
          <w:rFonts w:ascii="楷体_GB2312" w:hAnsi="楷体_GB2312" w:eastAsia="楷体_GB2312" w:cs="楷体_GB2312"/>
          <w:color w:val="000000" w:themeColor="text1"/>
          <w:sz w:val="28"/>
          <w:szCs w:val="24"/>
        </w:rPr>
      </w:pPr>
      <w:bookmarkStart w:id="31" w:name="_Toc326590657"/>
      <w:bookmarkStart w:id="32" w:name="_Toc240363343"/>
      <w:r>
        <w:rPr>
          <w:rFonts w:hint="eastAsia" w:ascii="楷体_GB2312" w:hAnsi="楷体_GB2312" w:eastAsia="楷体_GB2312" w:cs="楷体_GB2312"/>
          <w:sz w:val="28"/>
          <w:szCs w:val="24"/>
        </w:rPr>
        <w:t>本着独立、客观、公正、合法的原则，估价人员在进行实地查勘、广泛收集有关市场信息和估价对象信息的基础上，全面分析了影响估价对象的市场价值的各项有利和不利因素，根据国家有关房地产估价的法律法规和估价目的，按照科学的估价程序，</w:t>
      </w:r>
      <w:r>
        <w:rPr>
          <w:rFonts w:hint="eastAsia" w:ascii="楷体_GB2312" w:hAnsi="楷体_GB2312" w:eastAsia="楷体_GB2312" w:cs="楷体_GB2312"/>
          <w:color w:val="000000" w:themeColor="text1"/>
          <w:sz w:val="28"/>
          <w:szCs w:val="24"/>
        </w:rPr>
        <w:t>采用</w:t>
      </w:r>
      <w:r>
        <w:rPr>
          <w:rFonts w:hint="eastAsia" w:ascii="楷体_GB2312" w:hAnsi="楷体_GB2312" w:eastAsia="楷体_GB2312" w:cs="楷体_GB2312"/>
          <w:b/>
          <w:color w:val="000000" w:themeColor="text1"/>
          <w:sz w:val="28"/>
          <w:szCs w:val="24"/>
        </w:rPr>
        <w:t>比较法</w:t>
      </w:r>
      <w:r>
        <w:rPr>
          <w:rFonts w:hint="eastAsia" w:ascii="楷体_GB2312" w:hAnsi="楷体_GB2312" w:eastAsia="楷体_GB2312" w:cs="楷体_GB2312"/>
          <w:color w:val="000000" w:themeColor="text1"/>
          <w:sz w:val="28"/>
          <w:szCs w:val="24"/>
        </w:rPr>
        <w:t>对估价对象进行估价测算，确定估价对象于价值时点的市场价值总价为</w:t>
      </w:r>
      <w:r>
        <w:rPr>
          <w:rFonts w:hint="eastAsia" w:ascii="楷体_GB2312" w:hAnsi="楷体_GB2312" w:eastAsia="楷体_GB2312" w:cs="楷体_GB2312"/>
          <w:b/>
          <w:color w:val="000000" w:themeColor="text1"/>
          <w:sz w:val="28"/>
          <w:szCs w:val="24"/>
        </w:rPr>
        <w:t>人民币357.40万元</w:t>
      </w:r>
      <w:r>
        <w:rPr>
          <w:rFonts w:hint="eastAsia" w:ascii="楷体_GB2312" w:hAnsi="楷体_GB2312" w:eastAsia="楷体_GB2312" w:cs="楷体_GB2312"/>
          <w:color w:val="000000" w:themeColor="text1"/>
          <w:sz w:val="28"/>
          <w:szCs w:val="24"/>
        </w:rPr>
        <w:t>，大写人民币</w:t>
      </w:r>
      <w:r>
        <w:rPr>
          <w:rFonts w:hint="eastAsia" w:ascii="楷体_GB2312" w:hAnsi="楷体_GB2312" w:eastAsia="楷体_GB2312" w:cs="楷体_GB2312"/>
          <w:b/>
          <w:bCs/>
          <w:color w:val="000000" w:themeColor="text1"/>
          <w:sz w:val="28"/>
          <w:szCs w:val="24"/>
        </w:rPr>
        <w:t>叁佰伍拾柒万肆仟</w:t>
      </w:r>
      <w:r>
        <w:rPr>
          <w:rFonts w:hint="eastAsia" w:ascii="楷体_GB2312" w:hAnsi="楷体_GB2312" w:eastAsia="楷体_GB2312" w:cs="楷体_GB2312"/>
          <w:b/>
          <w:color w:val="000000" w:themeColor="text1"/>
          <w:sz w:val="28"/>
          <w:szCs w:val="24"/>
        </w:rPr>
        <w:t>元</w:t>
      </w:r>
      <w:r>
        <w:rPr>
          <w:rFonts w:hint="eastAsia" w:ascii="楷体_GB2312" w:hAnsi="楷体_GB2312" w:eastAsia="楷体_GB2312" w:cs="楷体_GB2312"/>
          <w:color w:val="000000" w:themeColor="text1"/>
          <w:sz w:val="28"/>
          <w:szCs w:val="24"/>
        </w:rPr>
        <w:t>整，房地产单价为</w:t>
      </w:r>
      <w:r>
        <w:rPr>
          <w:rFonts w:hint="eastAsia" w:ascii="楷体_GB2312" w:hAnsi="楷体_GB2312" w:eastAsia="楷体_GB2312" w:cs="楷体_GB2312"/>
          <w:b/>
          <w:color w:val="000000" w:themeColor="text1"/>
          <w:sz w:val="28"/>
          <w:szCs w:val="24"/>
        </w:rPr>
        <w:t>9917</w:t>
      </w:r>
      <w:r>
        <w:rPr>
          <w:rFonts w:hint="eastAsia" w:ascii="楷体_GB2312" w:hAnsi="楷体_GB2312" w:eastAsia="楷体_GB2312" w:cs="楷体_GB2312"/>
          <w:color w:val="000000" w:themeColor="text1"/>
          <w:sz w:val="28"/>
          <w:szCs w:val="24"/>
        </w:rPr>
        <w:t>元/</w:t>
      </w:r>
      <w:r>
        <w:rPr>
          <w:rFonts w:hint="eastAsia" w:ascii="楷体_GB2312" w:hAnsi="楷体_GB2312" w:eastAsia="楷体_GB2312" w:cs="楷体_GB2312"/>
          <w:color w:val="000000" w:themeColor="text1"/>
          <w:sz w:val="32"/>
          <w:szCs w:val="28"/>
        </w:rPr>
        <w:t>㎡</w:t>
      </w:r>
      <w:r>
        <w:rPr>
          <w:rFonts w:hint="eastAsia" w:ascii="楷体_GB2312" w:hAnsi="楷体_GB2312" w:eastAsia="楷体_GB2312" w:cs="楷体_GB2312"/>
          <w:color w:val="000000" w:themeColor="text1"/>
          <w:sz w:val="28"/>
          <w:szCs w:val="24"/>
        </w:rPr>
        <w:t>，详见估价结果一览表。</w:t>
      </w:r>
    </w:p>
    <w:p>
      <w:pPr>
        <w:pStyle w:val="9"/>
        <w:tabs>
          <w:tab w:val="left" w:pos="1080"/>
        </w:tabs>
        <w:adjustRightInd w:val="0"/>
        <w:snapToGrid w:val="0"/>
        <w:spacing w:after="0" w:line="470" w:lineRule="exact"/>
        <w:ind w:left="0" w:leftChars="0"/>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估价结果一览表</w:t>
      </w:r>
    </w:p>
    <w:tbl>
      <w:tblPr>
        <w:tblStyle w:val="23"/>
        <w:tblW w:w="5692" w:type="pct"/>
        <w:tblInd w:w="-478" w:type="dxa"/>
        <w:tblLayout w:type="autofit"/>
        <w:tblCellMar>
          <w:top w:w="0" w:type="dxa"/>
          <w:left w:w="0" w:type="dxa"/>
          <w:bottom w:w="0" w:type="dxa"/>
          <w:right w:w="0" w:type="dxa"/>
        </w:tblCellMar>
      </w:tblPr>
      <w:tblGrid>
        <w:gridCol w:w="502"/>
        <w:gridCol w:w="908"/>
        <w:gridCol w:w="1064"/>
        <w:gridCol w:w="886"/>
        <w:gridCol w:w="628"/>
        <w:gridCol w:w="1247"/>
        <w:gridCol w:w="871"/>
        <w:gridCol w:w="510"/>
        <w:gridCol w:w="614"/>
        <w:gridCol w:w="840"/>
        <w:gridCol w:w="749"/>
        <w:gridCol w:w="780"/>
        <w:gridCol w:w="762"/>
      </w:tblGrid>
      <w:tr>
        <w:tblPrEx>
          <w:tblCellMar>
            <w:top w:w="0" w:type="dxa"/>
            <w:left w:w="0" w:type="dxa"/>
            <w:bottom w:w="0" w:type="dxa"/>
            <w:right w:w="0" w:type="dxa"/>
          </w:tblCellMar>
        </w:tblPrEx>
        <w:trPr>
          <w:trHeight w:val="366" w:hRule="atLeast"/>
        </w:trPr>
        <w:tc>
          <w:tcPr>
            <w:tcW w:w="242"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序号</w:t>
            </w:r>
          </w:p>
        </w:tc>
        <w:tc>
          <w:tcPr>
            <w:tcW w:w="438"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不动产权利人</w:t>
            </w:r>
          </w:p>
        </w:tc>
        <w:tc>
          <w:tcPr>
            <w:tcW w:w="51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土地使用权证号</w:t>
            </w:r>
          </w:p>
        </w:tc>
        <w:tc>
          <w:tcPr>
            <w:tcW w:w="42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房屋所有权证号</w:t>
            </w:r>
          </w:p>
        </w:tc>
        <w:tc>
          <w:tcPr>
            <w:tcW w:w="303"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共有情况</w:t>
            </w:r>
          </w:p>
        </w:tc>
        <w:tc>
          <w:tcPr>
            <w:tcW w:w="60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位置</w:t>
            </w:r>
          </w:p>
        </w:tc>
        <w:tc>
          <w:tcPr>
            <w:tcW w:w="420"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权利性质</w:t>
            </w:r>
          </w:p>
        </w:tc>
        <w:tc>
          <w:tcPr>
            <w:tcW w:w="24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结构</w:t>
            </w:r>
          </w:p>
        </w:tc>
        <w:tc>
          <w:tcPr>
            <w:tcW w:w="29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kern w:val="0"/>
                <w:szCs w:val="21"/>
              </w:rPr>
            </w:pPr>
            <w:r>
              <w:rPr>
                <w:rFonts w:hint="eastAsia" w:ascii="楷体_GB2312" w:hAnsi="楷体_GB2312" w:eastAsia="楷体_GB2312" w:cs="楷体_GB2312"/>
                <w:color w:val="000000"/>
                <w:kern w:val="0"/>
                <w:szCs w:val="21"/>
              </w:rPr>
              <w:t>建筑</w:t>
            </w:r>
          </w:p>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用途</w:t>
            </w:r>
          </w:p>
        </w:tc>
        <w:tc>
          <w:tcPr>
            <w:tcW w:w="405"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评估层/总楼层</w:t>
            </w:r>
          </w:p>
        </w:tc>
        <w:tc>
          <w:tcPr>
            <w:tcW w:w="361"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建筑面积（㎡）</w:t>
            </w:r>
          </w:p>
        </w:tc>
        <w:tc>
          <w:tcPr>
            <w:tcW w:w="376"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评估市场单价（元/㎡）</w:t>
            </w:r>
          </w:p>
        </w:tc>
        <w:tc>
          <w:tcPr>
            <w:tcW w:w="367" w:type="pct"/>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评估市场总价（万元）</w:t>
            </w:r>
          </w:p>
        </w:tc>
      </w:tr>
      <w:tr>
        <w:tblPrEx>
          <w:tblCellMar>
            <w:top w:w="0" w:type="dxa"/>
            <w:left w:w="0" w:type="dxa"/>
            <w:bottom w:w="0" w:type="dxa"/>
            <w:right w:w="0" w:type="dxa"/>
          </w:tblCellMar>
        </w:tblPrEx>
        <w:trPr>
          <w:trHeight w:val="439" w:hRule="atLeast"/>
        </w:trPr>
        <w:tc>
          <w:tcPr>
            <w:tcW w:w="242"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38"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51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2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03"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60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20"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24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29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405"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61"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76"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c>
          <w:tcPr>
            <w:tcW w:w="367" w:type="pct"/>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ascii="楷体_GB2312" w:hAnsi="楷体_GB2312" w:eastAsia="楷体_GB2312" w:cs="楷体_GB2312"/>
                <w:color w:val="000000"/>
                <w:szCs w:val="21"/>
              </w:rPr>
            </w:pPr>
          </w:p>
        </w:tc>
      </w:tr>
      <w:tr>
        <w:tblPrEx>
          <w:tblCellMar>
            <w:top w:w="0" w:type="dxa"/>
            <w:left w:w="0" w:type="dxa"/>
            <w:bottom w:w="0" w:type="dxa"/>
            <w:right w:w="0" w:type="dxa"/>
          </w:tblCellMar>
        </w:tblPrEx>
        <w:trPr>
          <w:trHeight w:val="1335" w:hRule="atLeast"/>
        </w:trPr>
        <w:tc>
          <w:tcPr>
            <w:tcW w:w="242"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1</w:t>
            </w:r>
          </w:p>
        </w:tc>
        <w:tc>
          <w:tcPr>
            <w:tcW w:w="438"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李中华</w:t>
            </w:r>
          </w:p>
        </w:tc>
        <w:tc>
          <w:tcPr>
            <w:tcW w:w="51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西（南）国用（2003）字第2019号</w:t>
            </w:r>
          </w:p>
        </w:tc>
        <w:tc>
          <w:tcPr>
            <w:tcW w:w="42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西字第422029</w:t>
            </w:r>
          </w:p>
        </w:tc>
        <w:tc>
          <w:tcPr>
            <w:tcW w:w="303"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单独所有</w:t>
            </w:r>
          </w:p>
        </w:tc>
        <w:tc>
          <w:tcPr>
            <w:tcW w:w="60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南昌市西湖区洛阳东路现代庄园152号房</w:t>
            </w:r>
          </w:p>
        </w:tc>
        <w:tc>
          <w:tcPr>
            <w:tcW w:w="420"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出让/市场化商品房</w:t>
            </w:r>
          </w:p>
        </w:tc>
        <w:tc>
          <w:tcPr>
            <w:tcW w:w="24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混合</w:t>
            </w:r>
          </w:p>
        </w:tc>
        <w:tc>
          <w:tcPr>
            <w:tcW w:w="29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住宅</w:t>
            </w:r>
          </w:p>
        </w:tc>
        <w:tc>
          <w:tcPr>
            <w:tcW w:w="405"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1-3/3</w:t>
            </w:r>
          </w:p>
        </w:tc>
        <w:tc>
          <w:tcPr>
            <w:tcW w:w="361"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360.39</w:t>
            </w:r>
          </w:p>
        </w:tc>
        <w:tc>
          <w:tcPr>
            <w:tcW w:w="376"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9917</w:t>
            </w:r>
          </w:p>
        </w:tc>
        <w:tc>
          <w:tcPr>
            <w:tcW w:w="367" w:type="pc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center"/>
              <w:rPr>
                <w:rFonts w:ascii="楷体_GB2312" w:hAnsi="楷体_GB2312" w:eastAsia="楷体_GB2312" w:cs="楷体_GB2312"/>
                <w:color w:val="000000"/>
                <w:szCs w:val="21"/>
              </w:rPr>
            </w:pPr>
            <w:r>
              <w:rPr>
                <w:rFonts w:hint="eastAsia" w:ascii="楷体_GB2312" w:hAnsi="楷体_GB2312" w:eastAsia="楷体_GB2312" w:cs="楷体_GB2312"/>
                <w:color w:val="000000"/>
                <w:kern w:val="0"/>
                <w:szCs w:val="21"/>
              </w:rPr>
              <w:t>357.40</w:t>
            </w:r>
          </w:p>
        </w:tc>
      </w:tr>
    </w:tbl>
    <w:p>
      <w:pPr>
        <w:pStyle w:val="3"/>
        <w:snapToGrid w:val="0"/>
        <w:spacing w:beforeLines="50" w:afterLines="50" w:line="490" w:lineRule="exact"/>
        <w:ind w:left="840" w:leftChars="400"/>
        <w:rPr>
          <w:rFonts w:ascii="楷体_GB2312" w:hAnsi="楷体_GB2312" w:eastAsia="楷体_GB2312" w:cs="楷体_GB2312"/>
          <w:b w:val="0"/>
          <w:bCs w:val="0"/>
          <w:snapToGrid w:val="0"/>
          <w:kern w:val="0"/>
          <w:sz w:val="28"/>
          <w:szCs w:val="28"/>
        </w:rPr>
      </w:pPr>
      <w:bookmarkStart w:id="33" w:name="_Toc6743"/>
      <w:r>
        <w:rPr>
          <w:rFonts w:hint="eastAsia" w:ascii="楷体_GB2312" w:hAnsi="楷体_GB2312" w:eastAsia="楷体_GB2312" w:cs="楷体_GB2312"/>
          <w:b w:val="0"/>
          <w:bCs w:val="0"/>
          <w:snapToGrid w:val="0"/>
          <w:kern w:val="0"/>
          <w:sz w:val="28"/>
          <w:szCs w:val="28"/>
        </w:rPr>
        <w:t>（十一）</w:t>
      </w:r>
      <w:bookmarkEnd w:id="31"/>
      <w:r>
        <w:rPr>
          <w:rFonts w:hint="eastAsia" w:ascii="楷体_GB2312" w:hAnsi="楷体_GB2312" w:eastAsia="楷体_GB2312" w:cs="楷体_GB2312"/>
          <w:b w:val="0"/>
          <w:bCs w:val="0"/>
          <w:snapToGrid w:val="0"/>
          <w:kern w:val="0"/>
          <w:sz w:val="28"/>
          <w:szCs w:val="28"/>
        </w:rPr>
        <w:t>注册房地产估价师</w:t>
      </w:r>
      <w:bookmarkEnd w:id="33"/>
    </w:p>
    <w:tbl>
      <w:tblPr>
        <w:tblStyle w:val="23"/>
        <w:tblW w:w="9402"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164"/>
        <w:gridCol w:w="2196"/>
        <w:gridCol w:w="2521"/>
        <w:gridCol w:w="25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164" w:type="dxa"/>
            <w:vAlign w:val="center"/>
          </w:tcPr>
          <w:p>
            <w:pPr>
              <w:spacing w:line="500" w:lineRule="exact"/>
              <w:jc w:val="center"/>
              <w:rPr>
                <w:rFonts w:ascii="楷体_GB2312" w:hAnsi="楷体_GB2312" w:eastAsia="楷体_GB2312" w:cs="楷体_GB2312"/>
                <w:sz w:val="28"/>
                <w:szCs w:val="24"/>
              </w:rPr>
            </w:pPr>
            <w:bookmarkStart w:id="34" w:name="_Toc326590658"/>
            <w:r>
              <w:rPr>
                <w:rFonts w:hint="eastAsia" w:ascii="楷体_GB2312" w:hAnsi="楷体_GB2312" w:eastAsia="楷体_GB2312" w:cs="楷体_GB2312"/>
                <w:sz w:val="28"/>
                <w:szCs w:val="24"/>
              </w:rPr>
              <w:t>姓  名</w:t>
            </w:r>
          </w:p>
        </w:tc>
        <w:tc>
          <w:tcPr>
            <w:tcW w:w="219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注册号</w:t>
            </w:r>
          </w:p>
        </w:tc>
        <w:tc>
          <w:tcPr>
            <w:tcW w:w="2521"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签名</w:t>
            </w:r>
          </w:p>
        </w:tc>
        <w:tc>
          <w:tcPr>
            <w:tcW w:w="2521"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签名日期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164"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高  莹</w:t>
            </w:r>
          </w:p>
        </w:tc>
        <w:tc>
          <w:tcPr>
            <w:tcW w:w="219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3620160033</w:t>
            </w:r>
          </w:p>
        </w:tc>
        <w:tc>
          <w:tcPr>
            <w:tcW w:w="2521" w:type="dxa"/>
            <w:vAlign w:val="center"/>
          </w:tcPr>
          <w:p>
            <w:pPr>
              <w:spacing w:line="500" w:lineRule="exact"/>
              <w:jc w:val="center"/>
              <w:rPr>
                <w:rFonts w:ascii="楷体_GB2312" w:hAnsi="楷体_GB2312" w:eastAsia="楷体_GB2312" w:cs="楷体_GB2312"/>
                <w:sz w:val="28"/>
                <w:szCs w:val="24"/>
              </w:rPr>
            </w:pPr>
          </w:p>
        </w:tc>
        <w:tc>
          <w:tcPr>
            <w:tcW w:w="2521"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2020年5月29日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50" w:hRule="atLeast"/>
          <w:jc w:val="center"/>
        </w:trPr>
        <w:tc>
          <w:tcPr>
            <w:tcW w:w="2164"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邬雅琴</w:t>
            </w:r>
          </w:p>
        </w:tc>
        <w:tc>
          <w:tcPr>
            <w:tcW w:w="2196"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3620190026</w:t>
            </w:r>
          </w:p>
        </w:tc>
        <w:tc>
          <w:tcPr>
            <w:tcW w:w="2521" w:type="dxa"/>
            <w:vAlign w:val="center"/>
          </w:tcPr>
          <w:p>
            <w:pPr>
              <w:spacing w:line="500" w:lineRule="exact"/>
              <w:jc w:val="center"/>
              <w:rPr>
                <w:rFonts w:ascii="楷体_GB2312" w:hAnsi="楷体_GB2312" w:eastAsia="楷体_GB2312" w:cs="楷体_GB2312"/>
                <w:sz w:val="28"/>
                <w:szCs w:val="24"/>
              </w:rPr>
            </w:pPr>
          </w:p>
        </w:tc>
        <w:tc>
          <w:tcPr>
            <w:tcW w:w="2521" w:type="dxa"/>
            <w:vAlign w:val="center"/>
          </w:tcPr>
          <w:p>
            <w:pPr>
              <w:spacing w:line="500" w:lineRule="exact"/>
              <w:jc w:val="center"/>
              <w:rPr>
                <w:rFonts w:ascii="楷体_GB2312" w:hAnsi="楷体_GB2312" w:eastAsia="楷体_GB2312" w:cs="楷体_GB2312"/>
                <w:sz w:val="28"/>
                <w:szCs w:val="24"/>
              </w:rPr>
            </w:pPr>
            <w:r>
              <w:rPr>
                <w:rFonts w:hint="eastAsia" w:ascii="楷体_GB2312" w:hAnsi="楷体_GB2312" w:eastAsia="楷体_GB2312" w:cs="楷体_GB2312"/>
                <w:sz w:val="28"/>
                <w:szCs w:val="24"/>
              </w:rPr>
              <w:t>2020年5月29日</w:t>
            </w:r>
          </w:p>
        </w:tc>
      </w:tr>
    </w:tbl>
    <w:p>
      <w:pPr>
        <w:pStyle w:val="3"/>
        <w:snapToGrid w:val="0"/>
        <w:spacing w:beforeLines="50" w:afterLines="50" w:line="500" w:lineRule="exact"/>
        <w:ind w:left="840" w:leftChars="400"/>
        <w:rPr>
          <w:rFonts w:ascii="楷体_GB2312" w:hAnsi="楷体_GB2312" w:eastAsia="楷体_GB2312" w:cs="楷体_GB2312"/>
          <w:b w:val="0"/>
          <w:snapToGrid w:val="0"/>
          <w:kern w:val="0"/>
          <w:sz w:val="28"/>
          <w:szCs w:val="28"/>
        </w:rPr>
      </w:pPr>
      <w:bookmarkStart w:id="35" w:name="_Toc25794"/>
      <w:r>
        <w:rPr>
          <w:rFonts w:hint="eastAsia" w:ascii="楷体_GB2312" w:hAnsi="楷体_GB2312" w:eastAsia="楷体_GB2312" w:cs="楷体_GB2312"/>
          <w:b w:val="0"/>
          <w:snapToGrid w:val="0"/>
          <w:kern w:val="0"/>
          <w:sz w:val="28"/>
          <w:szCs w:val="28"/>
        </w:rPr>
        <w:t>（十二）实地查勘期</w:t>
      </w:r>
      <w:bookmarkEnd w:id="35"/>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rPr>
        <w:t>2020年5月28日</w:t>
      </w:r>
    </w:p>
    <w:p>
      <w:pPr>
        <w:pStyle w:val="3"/>
        <w:snapToGrid w:val="0"/>
        <w:spacing w:beforeLines="50" w:afterLines="50" w:line="500" w:lineRule="exact"/>
        <w:ind w:left="840" w:leftChars="400"/>
        <w:rPr>
          <w:rFonts w:ascii="楷体_GB2312" w:hAnsi="楷体_GB2312" w:eastAsia="楷体_GB2312" w:cs="楷体_GB2312"/>
          <w:b w:val="0"/>
          <w:snapToGrid w:val="0"/>
          <w:kern w:val="0"/>
          <w:sz w:val="28"/>
          <w:szCs w:val="28"/>
        </w:rPr>
      </w:pPr>
      <w:bookmarkStart w:id="36" w:name="_Toc6526"/>
      <w:r>
        <w:rPr>
          <w:rFonts w:hint="eastAsia" w:ascii="楷体_GB2312" w:hAnsi="楷体_GB2312" w:eastAsia="楷体_GB2312" w:cs="楷体_GB2312"/>
          <w:b w:val="0"/>
          <w:snapToGrid w:val="0"/>
          <w:kern w:val="0"/>
          <w:sz w:val="28"/>
          <w:szCs w:val="28"/>
        </w:rPr>
        <w:t>（十三）估价作业期</w:t>
      </w:r>
      <w:bookmarkEnd w:id="34"/>
      <w:bookmarkEnd w:id="36"/>
    </w:p>
    <w:p>
      <w:pPr>
        <w:pStyle w:val="9"/>
        <w:tabs>
          <w:tab w:val="left" w:pos="1080"/>
        </w:tabs>
        <w:adjustRightInd w:val="0"/>
        <w:snapToGrid w:val="0"/>
        <w:spacing w:after="0" w:line="500" w:lineRule="exact"/>
        <w:ind w:left="0" w:leftChars="0" w:firstLine="560" w:firstLineChars="200"/>
        <w:rPr>
          <w:rFonts w:ascii="楷体_GB2312" w:hAnsi="楷体_GB2312" w:eastAsia="楷体_GB2312" w:cs="楷体_GB2312"/>
          <w:sz w:val="28"/>
          <w:szCs w:val="24"/>
        </w:rPr>
      </w:pPr>
      <w:r>
        <w:rPr>
          <w:rFonts w:hint="eastAsia" w:ascii="楷体_GB2312" w:hAnsi="楷体_GB2312" w:eastAsia="楷体_GB2312" w:cs="楷体_GB2312"/>
          <w:sz w:val="28"/>
          <w:szCs w:val="24"/>
          <w:lang w:eastAsia="zh-CN"/>
        </w:rPr>
        <w:t>2020年5月27日</w:t>
      </w:r>
      <w:r>
        <w:rPr>
          <w:rFonts w:hint="eastAsia" w:ascii="楷体_GB2312" w:hAnsi="楷体_GB2312" w:eastAsia="楷体_GB2312" w:cs="楷体_GB2312"/>
          <w:sz w:val="28"/>
          <w:szCs w:val="24"/>
        </w:rPr>
        <w:t xml:space="preserve">至2020年5月29日 </w:t>
      </w:r>
    </w:p>
    <w:bookmarkEnd w:id="0"/>
    <w:bookmarkEnd w:id="32"/>
    <w:p>
      <w:pPr>
        <w:pStyle w:val="2"/>
        <w:tabs>
          <w:tab w:val="left" w:pos="1275"/>
          <w:tab w:val="center" w:pos="4672"/>
        </w:tabs>
        <w:adjustRightInd w:val="0"/>
        <w:snapToGrid w:val="0"/>
        <w:spacing w:beforeLines="50" w:afterLines="50" w:line="500" w:lineRule="exact"/>
        <w:jc w:val="center"/>
        <w:rPr>
          <w:rFonts w:ascii="楷体_GB2312" w:hAnsi="楷体_GB2312" w:eastAsia="楷体_GB2312" w:cs="楷体_GB2312"/>
          <w:snapToGrid w:val="0"/>
          <w:kern w:val="0"/>
          <w:sz w:val="36"/>
          <w:szCs w:val="36"/>
        </w:rPr>
        <w:sectPr>
          <w:footerReference r:id="rId6" w:type="default"/>
          <w:pgSz w:w="11907" w:h="16840"/>
          <w:pgMar w:top="1418" w:right="1418" w:bottom="1418" w:left="1418" w:header="680" w:footer="851" w:gutter="0"/>
          <w:cols w:space="720" w:num="1"/>
          <w:docGrid w:linePitch="479" w:charSpace="11986"/>
        </w:sectPr>
      </w:pPr>
      <w:bookmarkStart w:id="37" w:name="_Toc454976159"/>
      <w:bookmarkStart w:id="38" w:name="_Toc326590667"/>
      <w:bookmarkStart w:id="39" w:name="_Toc9007"/>
      <w:bookmarkStart w:id="40" w:name="_Toc394749897"/>
      <w:bookmarkStart w:id="41" w:name="_Toc261009127"/>
      <w:bookmarkStart w:id="42" w:name="_Toc326590671"/>
    </w:p>
    <w:bookmarkEnd w:id="37"/>
    <w:bookmarkEnd w:id="38"/>
    <w:bookmarkEnd w:id="39"/>
    <w:bookmarkEnd w:id="40"/>
    <w:bookmarkEnd w:id="41"/>
    <w:bookmarkEnd w:id="42"/>
    <w:p>
      <w:pPr>
        <w:pStyle w:val="2"/>
        <w:tabs>
          <w:tab w:val="left" w:pos="1275"/>
          <w:tab w:val="center" w:pos="4672"/>
        </w:tabs>
        <w:adjustRightInd w:val="0"/>
        <w:snapToGrid w:val="0"/>
        <w:spacing w:beforeLines="150" w:afterLines="50" w:line="500" w:lineRule="exact"/>
        <w:jc w:val="center"/>
        <w:rPr>
          <w:rFonts w:ascii="楷体_GB2312" w:hAnsi="楷体_GB2312" w:eastAsia="楷体_GB2312" w:cs="楷体_GB2312"/>
          <w:snapToGrid w:val="0"/>
          <w:kern w:val="0"/>
          <w:sz w:val="36"/>
          <w:szCs w:val="36"/>
        </w:rPr>
      </w:pPr>
      <w:bookmarkStart w:id="43" w:name="_Toc22847"/>
      <w:r>
        <w:rPr>
          <w:rFonts w:hint="eastAsia" w:ascii="楷体_GB2312" w:hAnsi="楷体_GB2312" w:eastAsia="楷体_GB2312" w:cs="楷体_GB2312"/>
          <w:snapToGrid w:val="0"/>
          <w:kern w:val="0"/>
          <w:sz w:val="36"/>
          <w:szCs w:val="36"/>
        </w:rPr>
        <w:t>附     件</w:t>
      </w:r>
      <w:bookmarkEnd w:id="43"/>
    </w:p>
    <w:p>
      <w:pPr>
        <w:pStyle w:val="3"/>
        <w:snapToGrid w:val="0"/>
        <w:spacing w:beforeLines="50" w:afterLines="50" w:line="500" w:lineRule="exact"/>
        <w:ind w:left="706" w:leftChars="203" w:hanging="280" w:hangingChars="100"/>
        <w:rPr>
          <w:rFonts w:ascii="楷体_GB2312" w:hAnsi="楷体_GB2312" w:eastAsia="楷体_GB2312" w:cs="楷体_GB2312"/>
          <w:b w:val="0"/>
          <w:snapToGrid w:val="0"/>
          <w:kern w:val="0"/>
          <w:sz w:val="28"/>
          <w:szCs w:val="28"/>
        </w:rPr>
      </w:pPr>
      <w:bookmarkStart w:id="44" w:name="_Toc29256"/>
      <w:r>
        <w:rPr>
          <w:rFonts w:hint="eastAsia" w:ascii="楷体_GB2312" w:hAnsi="楷体_GB2312" w:eastAsia="楷体_GB2312" w:cs="楷体_GB2312"/>
          <w:b w:val="0"/>
          <w:snapToGrid w:val="0"/>
          <w:kern w:val="0"/>
          <w:sz w:val="28"/>
          <w:szCs w:val="28"/>
        </w:rPr>
        <w:t>（一）南昌市东湖区人民法院司法技术室委托鉴定（评估）书</w:t>
      </w:r>
      <w:bookmarkEnd w:id="44"/>
    </w:p>
    <w:p>
      <w:pPr>
        <w:pStyle w:val="3"/>
        <w:snapToGrid w:val="0"/>
        <w:spacing w:beforeLines="50" w:afterLines="50" w:line="500" w:lineRule="exact"/>
        <w:ind w:left="706" w:leftChars="203" w:hanging="280" w:hangingChars="100"/>
        <w:rPr>
          <w:rFonts w:ascii="楷体_GB2312" w:hAnsi="楷体_GB2312" w:eastAsia="楷体_GB2312" w:cs="楷体_GB2312"/>
          <w:b w:val="0"/>
          <w:snapToGrid w:val="0"/>
          <w:kern w:val="0"/>
          <w:sz w:val="28"/>
          <w:szCs w:val="28"/>
        </w:rPr>
      </w:pPr>
      <w:bookmarkStart w:id="45" w:name="_Toc1980"/>
      <w:r>
        <w:rPr>
          <w:rFonts w:hint="eastAsia" w:ascii="楷体_GB2312" w:hAnsi="楷体_GB2312" w:eastAsia="楷体_GB2312" w:cs="楷体_GB2312"/>
          <w:b w:val="0"/>
          <w:snapToGrid w:val="0"/>
          <w:kern w:val="0"/>
          <w:sz w:val="28"/>
          <w:szCs w:val="28"/>
        </w:rPr>
        <w:t>（二）估价对象的地理位置示意图</w:t>
      </w:r>
      <w:bookmarkEnd w:id="45"/>
    </w:p>
    <w:p>
      <w:pPr>
        <w:pStyle w:val="3"/>
        <w:snapToGrid w:val="0"/>
        <w:spacing w:beforeLines="50" w:afterLines="50" w:line="500" w:lineRule="exact"/>
        <w:ind w:left="706" w:leftChars="203" w:hanging="280" w:hangingChars="100"/>
        <w:rPr>
          <w:rFonts w:ascii="楷体_GB2312" w:hAnsi="楷体_GB2312" w:eastAsia="楷体_GB2312" w:cs="楷体_GB2312"/>
          <w:b w:val="0"/>
          <w:snapToGrid w:val="0"/>
          <w:kern w:val="0"/>
          <w:sz w:val="28"/>
          <w:szCs w:val="28"/>
        </w:rPr>
      </w:pPr>
      <w:bookmarkStart w:id="46" w:name="_Toc10601"/>
      <w:r>
        <w:rPr>
          <w:rFonts w:hint="eastAsia" w:ascii="楷体_GB2312" w:hAnsi="楷体_GB2312" w:eastAsia="楷体_GB2312" w:cs="楷体_GB2312"/>
          <w:b w:val="0"/>
          <w:snapToGrid w:val="0"/>
          <w:kern w:val="0"/>
          <w:sz w:val="28"/>
          <w:szCs w:val="28"/>
        </w:rPr>
        <w:t>（三）估价对象</w:t>
      </w:r>
      <w:r>
        <w:rPr>
          <w:rFonts w:hint="eastAsia" w:ascii="楷体_GB2312" w:hAnsi="楷体_GB2312" w:eastAsia="楷体_GB2312" w:cs="楷体_GB2312"/>
          <w:b w:val="0"/>
          <w:snapToGrid w:val="0"/>
          <w:kern w:val="0"/>
          <w:sz w:val="28"/>
          <w:szCs w:val="28"/>
          <w:lang w:eastAsia="zh-CN"/>
        </w:rPr>
        <w:t>内、</w:t>
      </w:r>
      <w:r>
        <w:rPr>
          <w:rFonts w:hint="eastAsia" w:ascii="楷体_GB2312" w:hAnsi="楷体_GB2312" w:eastAsia="楷体_GB2312" w:cs="楷体_GB2312"/>
          <w:b w:val="0"/>
          <w:snapToGrid w:val="0"/>
          <w:kern w:val="0"/>
          <w:sz w:val="28"/>
          <w:szCs w:val="28"/>
        </w:rPr>
        <w:t>外部状况照片</w:t>
      </w:r>
      <w:bookmarkEnd w:id="46"/>
    </w:p>
    <w:p>
      <w:pPr>
        <w:pStyle w:val="3"/>
        <w:snapToGrid w:val="0"/>
        <w:spacing w:beforeLines="50" w:afterLines="50" w:line="500" w:lineRule="exact"/>
        <w:ind w:left="706" w:leftChars="203" w:hanging="280" w:hangingChars="100"/>
        <w:rPr>
          <w:rFonts w:ascii="楷体_GB2312" w:hAnsi="楷体_GB2312" w:eastAsia="楷体_GB2312" w:cs="楷体_GB2312"/>
          <w:b w:val="0"/>
          <w:snapToGrid w:val="0"/>
          <w:kern w:val="0"/>
          <w:sz w:val="28"/>
          <w:szCs w:val="28"/>
        </w:rPr>
      </w:pPr>
      <w:bookmarkStart w:id="47" w:name="_Toc21303"/>
      <w:r>
        <w:rPr>
          <w:rFonts w:hint="eastAsia" w:ascii="楷体_GB2312" w:hAnsi="楷体_GB2312" w:eastAsia="楷体_GB2312" w:cs="楷体_GB2312"/>
          <w:b w:val="0"/>
          <w:snapToGrid w:val="0"/>
          <w:kern w:val="0"/>
          <w:sz w:val="28"/>
          <w:szCs w:val="28"/>
        </w:rPr>
        <w:t>（四）估价对象权属证明复印件</w:t>
      </w:r>
      <w:bookmarkEnd w:id="47"/>
    </w:p>
    <w:p>
      <w:pPr>
        <w:pStyle w:val="3"/>
        <w:snapToGrid w:val="0"/>
        <w:spacing w:beforeLines="50" w:afterLines="50" w:line="500" w:lineRule="exact"/>
        <w:ind w:left="706" w:leftChars="203" w:hanging="280" w:hangingChars="100"/>
        <w:rPr>
          <w:rFonts w:ascii="楷体_GB2312" w:hAnsi="楷体_GB2312" w:eastAsia="楷体_GB2312" w:cs="楷体_GB2312"/>
          <w:b w:val="0"/>
          <w:snapToGrid w:val="0"/>
          <w:kern w:val="0"/>
          <w:sz w:val="28"/>
          <w:szCs w:val="28"/>
        </w:rPr>
      </w:pPr>
      <w:bookmarkStart w:id="48" w:name="_Toc19067"/>
      <w:r>
        <w:rPr>
          <w:rFonts w:hint="eastAsia" w:ascii="楷体_GB2312" w:hAnsi="楷体_GB2312" w:eastAsia="楷体_GB2312" w:cs="楷体_GB2312"/>
          <w:b w:val="0"/>
          <w:snapToGrid w:val="0"/>
          <w:kern w:val="0"/>
          <w:sz w:val="28"/>
          <w:szCs w:val="28"/>
        </w:rPr>
        <w:t>（五）房地产估价机构营业执照复印件</w:t>
      </w:r>
      <w:bookmarkEnd w:id="48"/>
    </w:p>
    <w:p>
      <w:pPr>
        <w:pStyle w:val="3"/>
        <w:snapToGrid w:val="0"/>
        <w:spacing w:beforeLines="50" w:afterLines="50" w:line="500" w:lineRule="exact"/>
        <w:ind w:left="706" w:leftChars="203" w:hanging="280" w:hangingChars="100"/>
        <w:rPr>
          <w:rFonts w:ascii="楷体_GB2312" w:hAnsi="楷体_GB2312" w:eastAsia="楷体_GB2312" w:cs="楷体_GB2312"/>
          <w:b w:val="0"/>
          <w:snapToGrid w:val="0"/>
          <w:kern w:val="0"/>
          <w:sz w:val="28"/>
          <w:szCs w:val="28"/>
        </w:rPr>
      </w:pPr>
      <w:bookmarkStart w:id="49" w:name="_Toc25368"/>
      <w:r>
        <w:rPr>
          <w:rFonts w:hint="eastAsia" w:ascii="楷体_GB2312" w:hAnsi="楷体_GB2312" w:eastAsia="楷体_GB2312" w:cs="楷体_GB2312"/>
          <w:b w:val="0"/>
          <w:snapToGrid w:val="0"/>
          <w:kern w:val="0"/>
          <w:sz w:val="28"/>
          <w:szCs w:val="28"/>
        </w:rPr>
        <w:t>（六）房地产估价机构资质证书复印件</w:t>
      </w:r>
      <w:bookmarkEnd w:id="49"/>
    </w:p>
    <w:p>
      <w:pPr>
        <w:pStyle w:val="3"/>
        <w:snapToGrid w:val="0"/>
        <w:spacing w:beforeLines="50" w:afterLines="50" w:line="500" w:lineRule="exact"/>
        <w:ind w:left="706" w:leftChars="203" w:hanging="280" w:hangingChars="100"/>
        <w:rPr>
          <w:rFonts w:ascii="楷体_GB2312" w:hAnsi="楷体_GB2312" w:eastAsia="楷体_GB2312" w:cs="楷体_GB2312"/>
          <w:b w:val="0"/>
          <w:snapToGrid w:val="0"/>
          <w:kern w:val="0"/>
          <w:sz w:val="28"/>
          <w:szCs w:val="28"/>
        </w:rPr>
      </w:pPr>
      <w:bookmarkStart w:id="50" w:name="_Toc18610"/>
      <w:r>
        <w:rPr>
          <w:rFonts w:hint="eastAsia" w:ascii="楷体_GB2312" w:hAnsi="楷体_GB2312" w:eastAsia="楷体_GB2312" w:cs="楷体_GB2312"/>
          <w:b w:val="0"/>
          <w:snapToGrid w:val="0"/>
          <w:kern w:val="0"/>
          <w:sz w:val="28"/>
          <w:szCs w:val="28"/>
        </w:rPr>
        <w:t>（七）房地产估价师注册证书复印件</w:t>
      </w:r>
      <w:bookmarkEnd w:id="50"/>
    </w:p>
    <w:p>
      <w:pPr>
        <w:rPr>
          <w:rFonts w:ascii="楷体_GB2312" w:hAnsi="楷体_GB2312" w:eastAsia="楷体_GB2312" w:cs="楷体_GB2312"/>
          <w:sz w:val="28"/>
          <w:szCs w:val="28"/>
        </w:rPr>
      </w:pPr>
    </w:p>
    <w:sectPr>
      <w:pgSz w:w="11907" w:h="16840"/>
      <w:pgMar w:top="1418" w:right="1418" w:bottom="1418" w:left="1418" w:header="680" w:footer="851" w:gutter="0"/>
      <w:cols w:space="720" w:num="1"/>
      <w:docGrid w:linePitch="479" w:charSpace="119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文鼎CS仿宋体">
    <w:altName w:val="黑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4</w:t>
    </w:r>
    <w:r>
      <w:rPr>
        <w:rStyle w:val="27"/>
        <w:rFonts w:ascii="楷体_GB2312" w:hAnsi="宋体" w:eastAsia="楷体_GB2312"/>
        <w:sz w:val="21"/>
        <w:szCs w:val="21"/>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9</w:t>
    </w:r>
    <w:r>
      <w:rPr>
        <w:rStyle w:val="27"/>
        <w:rFonts w:ascii="楷体_GB2312" w:hAnsi="宋体" w:eastAsia="楷体_GB2312"/>
        <w:sz w:val="21"/>
        <w:szCs w:val="21"/>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top w:val="single" w:color="auto" w:sz="4" w:space="1"/>
        <w:left w:val="none" w:color="auto" w:sz="0" w:space="4"/>
        <w:bottom w:val="none" w:color="auto" w:sz="0" w:space="1"/>
        <w:right w:val="none" w:color="auto" w:sz="0" w:space="4"/>
      </w:pBdr>
      <w:jc w:val="both"/>
      <w:rPr>
        <w:rFonts w:ascii="宋体" w:hAnsi="宋体"/>
        <w:sz w:val="21"/>
        <w:szCs w:val="21"/>
      </w:rPr>
    </w:pPr>
    <w:r>
      <w:rPr>
        <w:rStyle w:val="27"/>
        <w:rFonts w:hint="eastAsia" w:ascii="楷体_GB2312" w:hAnsi="宋体" w:eastAsia="楷体_GB2312"/>
        <w:sz w:val="21"/>
        <w:szCs w:val="21"/>
      </w:rPr>
      <w:t xml:space="preserve">江西永佳房地产资产评估有限公司               电话：0791-86863726                  </w:t>
    </w:r>
    <w:r>
      <w:rPr>
        <w:rStyle w:val="27"/>
        <w:rFonts w:ascii="楷体_GB2312" w:hAnsi="宋体" w:eastAsia="楷体_GB2312"/>
        <w:sz w:val="21"/>
        <w:szCs w:val="21"/>
      </w:rPr>
      <w:fldChar w:fldCharType="begin"/>
    </w:r>
    <w:r>
      <w:rPr>
        <w:rStyle w:val="27"/>
        <w:rFonts w:ascii="楷体_GB2312" w:hAnsi="宋体" w:eastAsia="楷体_GB2312"/>
        <w:sz w:val="21"/>
        <w:szCs w:val="21"/>
      </w:rPr>
      <w:instrText xml:space="preserve"> PAGE   \* MERGEFORMAT </w:instrText>
    </w:r>
    <w:r>
      <w:rPr>
        <w:rStyle w:val="27"/>
        <w:rFonts w:ascii="楷体_GB2312" w:hAnsi="宋体" w:eastAsia="楷体_GB2312"/>
        <w:sz w:val="21"/>
        <w:szCs w:val="21"/>
      </w:rPr>
      <w:fldChar w:fldCharType="separate"/>
    </w:r>
    <w:r>
      <w:rPr>
        <w:rStyle w:val="27"/>
        <w:rFonts w:ascii="楷体_GB2312" w:hAnsi="宋体" w:eastAsia="楷体_GB2312"/>
        <w:sz w:val="21"/>
        <w:szCs w:val="21"/>
        <w:lang w:val="zh-CN"/>
      </w:rPr>
      <w:t>38</w:t>
    </w:r>
    <w:r>
      <w:rPr>
        <w:rStyle w:val="27"/>
        <w:rFonts w:ascii="楷体_GB2312" w:hAnsi="宋体" w:eastAsia="楷体_GB2312"/>
        <w:sz w:val="21"/>
        <w:szCs w:val="21"/>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distribute"/>
      <w:rPr>
        <w:spacing w:val="-113"/>
        <w:sz w:val="20"/>
      </w:rPr>
    </w:pPr>
    <w:r>
      <w:rPr>
        <w:rFonts w:hint="eastAsia" w:ascii="楷体_GB2312" w:hAnsi="宋体" w:eastAsia="楷体_GB2312" w:cs="楷体_GB2312"/>
        <w:spacing w:val="-113"/>
        <w:w w:val="87"/>
        <w:kern w:val="0"/>
        <w:sz w:val="20"/>
      </w:rPr>
      <w:t>南昌市东湖区人民法院委托的南昌市西湖区洛阳东路现代庄园152号</w:t>
    </w:r>
    <w:r>
      <w:rPr>
        <w:rFonts w:hint="eastAsia" w:ascii="楷体_GB2312" w:hAnsi="宋体" w:eastAsia="楷体_GB2312" w:cs="楷体_GB2312"/>
        <w:spacing w:val="-113"/>
        <w:w w:val="87"/>
        <w:kern w:val="0"/>
        <w:sz w:val="20"/>
        <w:lang w:eastAsia="zh-CN"/>
      </w:rPr>
      <w:t>房</w:t>
    </w:r>
    <w:r>
      <w:rPr>
        <w:rFonts w:hint="eastAsia" w:ascii="楷体_GB2312" w:hAnsi="宋体" w:eastAsia="楷体_GB2312" w:cs="楷体_GB2312"/>
        <w:spacing w:val="-113"/>
        <w:w w:val="87"/>
        <w:kern w:val="0"/>
        <w:sz w:val="20"/>
      </w:rPr>
      <w:t>住宅</w:t>
    </w:r>
    <w:r>
      <w:rPr>
        <w:rFonts w:hint="eastAsia" w:ascii="楷体_GB2312" w:hAnsi="宋体" w:eastAsia="楷体_GB2312"/>
        <w:snapToGrid w:val="0"/>
        <w:spacing w:val="-113"/>
        <w:w w:val="87"/>
        <w:kern w:val="0"/>
        <w:sz w:val="20"/>
      </w:rPr>
      <w:t>房地产市场价值评估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9824AE"/>
    <w:multiLevelType w:val="multilevel"/>
    <w:tmpl w:val="5B9824AE"/>
    <w:lvl w:ilvl="0" w:tentative="0">
      <w:start w:val="1"/>
      <w:numFmt w:val="decimal"/>
      <w:lvlText w:val="%1、"/>
      <w:lvlJc w:val="left"/>
      <w:pPr>
        <w:ind w:left="1393" w:hanging="825"/>
      </w:pPr>
      <w:rPr>
        <w:rFonts w:hint="default"/>
      </w:rPr>
    </w:lvl>
    <w:lvl w:ilvl="1" w:tentative="0">
      <w:start w:val="1"/>
      <w:numFmt w:val="lowerLetter"/>
      <w:lvlText w:val="%2)"/>
      <w:lvlJc w:val="left"/>
      <w:pPr>
        <w:ind w:left="1408" w:hanging="420"/>
      </w:pPr>
    </w:lvl>
    <w:lvl w:ilvl="2" w:tentative="0">
      <w:start w:val="1"/>
      <w:numFmt w:val="lowerRoman"/>
      <w:lvlText w:val="%3."/>
      <w:lvlJc w:val="right"/>
      <w:pPr>
        <w:ind w:left="1828" w:hanging="420"/>
      </w:pPr>
    </w:lvl>
    <w:lvl w:ilvl="3" w:tentative="0">
      <w:start w:val="1"/>
      <w:numFmt w:val="decimal"/>
      <w:lvlText w:val="%4."/>
      <w:lvlJc w:val="left"/>
      <w:pPr>
        <w:ind w:left="2248" w:hanging="420"/>
      </w:pPr>
    </w:lvl>
    <w:lvl w:ilvl="4" w:tentative="0">
      <w:start w:val="1"/>
      <w:numFmt w:val="lowerLetter"/>
      <w:lvlText w:val="%5)"/>
      <w:lvlJc w:val="left"/>
      <w:pPr>
        <w:ind w:left="2668" w:hanging="420"/>
      </w:pPr>
    </w:lvl>
    <w:lvl w:ilvl="5" w:tentative="0">
      <w:start w:val="1"/>
      <w:numFmt w:val="lowerRoman"/>
      <w:lvlText w:val="%6."/>
      <w:lvlJc w:val="right"/>
      <w:pPr>
        <w:ind w:left="3088" w:hanging="420"/>
      </w:pPr>
    </w:lvl>
    <w:lvl w:ilvl="6" w:tentative="0">
      <w:start w:val="1"/>
      <w:numFmt w:val="decimal"/>
      <w:lvlText w:val="%7."/>
      <w:lvlJc w:val="left"/>
      <w:pPr>
        <w:ind w:left="3508" w:hanging="420"/>
      </w:pPr>
    </w:lvl>
    <w:lvl w:ilvl="7" w:tentative="0">
      <w:start w:val="1"/>
      <w:numFmt w:val="lowerLetter"/>
      <w:lvlText w:val="%8)"/>
      <w:lvlJc w:val="left"/>
      <w:pPr>
        <w:ind w:left="3928" w:hanging="420"/>
      </w:pPr>
    </w:lvl>
    <w:lvl w:ilvl="8" w:tentative="0">
      <w:start w:val="1"/>
      <w:numFmt w:val="lowerRoman"/>
      <w:lvlText w:val="%9."/>
      <w:lvlJc w:val="right"/>
      <w:pPr>
        <w:ind w:left="4348"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val="1"/>
  <w:attachedTemplate r:id="rId1"/>
  <w:documentProtection w:enforcement="0"/>
  <w:defaultTabStop w:val="425"/>
  <w:drawingGridHorizontalSpacing w:val="269"/>
  <w:drawingGridVerticalSpacing w:val="156"/>
  <w:noPunctuationKerning w:val="1"/>
  <w:characterSpacingControl w:val="compressPunctuation"/>
  <w:compat>
    <w:spaceForUL/>
    <w:balanceSingleByteDoubleByteWidth/>
    <w:doNotLeaveBackslashAlone/>
    <w:doNotExpandShiftReturn/>
    <w:doNotWrapTextWithPunct/>
    <w:doNotUseEastAsianBreakRules/>
    <w:useFELayout/>
    <w:doNotUseIndentAsNumberingTabStop/>
    <w:useAltKinsokuLineBreakRules/>
    <w:compatSetting w:name="compatibilityMode" w:uri="http://schemas.microsoft.com/office/word" w:val="12"/>
  </w:compat>
  <w:rsids>
    <w:rsidRoot w:val="00885410"/>
    <w:rsid w:val="00000899"/>
    <w:rsid w:val="00000C13"/>
    <w:rsid w:val="00000D11"/>
    <w:rsid w:val="00001045"/>
    <w:rsid w:val="00001B3B"/>
    <w:rsid w:val="00002231"/>
    <w:rsid w:val="000023DD"/>
    <w:rsid w:val="00002905"/>
    <w:rsid w:val="00003151"/>
    <w:rsid w:val="000034FF"/>
    <w:rsid w:val="000049C3"/>
    <w:rsid w:val="00004C0D"/>
    <w:rsid w:val="00004D2E"/>
    <w:rsid w:val="0000515C"/>
    <w:rsid w:val="0000539E"/>
    <w:rsid w:val="000054C9"/>
    <w:rsid w:val="0000556F"/>
    <w:rsid w:val="0000564A"/>
    <w:rsid w:val="00005A4C"/>
    <w:rsid w:val="00005E7D"/>
    <w:rsid w:val="00006D01"/>
    <w:rsid w:val="00006F79"/>
    <w:rsid w:val="000072D5"/>
    <w:rsid w:val="000073CB"/>
    <w:rsid w:val="0000797E"/>
    <w:rsid w:val="00007982"/>
    <w:rsid w:val="00007B34"/>
    <w:rsid w:val="00007C83"/>
    <w:rsid w:val="00007CB5"/>
    <w:rsid w:val="0001063D"/>
    <w:rsid w:val="00010CC3"/>
    <w:rsid w:val="00010EC7"/>
    <w:rsid w:val="00011031"/>
    <w:rsid w:val="00011333"/>
    <w:rsid w:val="0001160A"/>
    <w:rsid w:val="00011724"/>
    <w:rsid w:val="00011D55"/>
    <w:rsid w:val="00012232"/>
    <w:rsid w:val="00012627"/>
    <w:rsid w:val="00012708"/>
    <w:rsid w:val="00012784"/>
    <w:rsid w:val="00012921"/>
    <w:rsid w:val="0001342C"/>
    <w:rsid w:val="00013796"/>
    <w:rsid w:val="00013D8E"/>
    <w:rsid w:val="00014130"/>
    <w:rsid w:val="00014585"/>
    <w:rsid w:val="00014F66"/>
    <w:rsid w:val="00015253"/>
    <w:rsid w:val="000152C8"/>
    <w:rsid w:val="00015640"/>
    <w:rsid w:val="00015A3B"/>
    <w:rsid w:val="00015BAF"/>
    <w:rsid w:val="00016B6B"/>
    <w:rsid w:val="000171CB"/>
    <w:rsid w:val="000173E8"/>
    <w:rsid w:val="000175DE"/>
    <w:rsid w:val="0001776E"/>
    <w:rsid w:val="00017D0E"/>
    <w:rsid w:val="00020B55"/>
    <w:rsid w:val="00020CFD"/>
    <w:rsid w:val="00021298"/>
    <w:rsid w:val="0002141B"/>
    <w:rsid w:val="000215A5"/>
    <w:rsid w:val="00021753"/>
    <w:rsid w:val="000219BC"/>
    <w:rsid w:val="00021FA2"/>
    <w:rsid w:val="00022130"/>
    <w:rsid w:val="00022592"/>
    <w:rsid w:val="00022A43"/>
    <w:rsid w:val="00022AA4"/>
    <w:rsid w:val="00022BED"/>
    <w:rsid w:val="00022DEA"/>
    <w:rsid w:val="00023A94"/>
    <w:rsid w:val="00023B91"/>
    <w:rsid w:val="000244A0"/>
    <w:rsid w:val="00024515"/>
    <w:rsid w:val="00024583"/>
    <w:rsid w:val="0002494F"/>
    <w:rsid w:val="000249E9"/>
    <w:rsid w:val="00024B5B"/>
    <w:rsid w:val="00024C96"/>
    <w:rsid w:val="00024DA2"/>
    <w:rsid w:val="000254C5"/>
    <w:rsid w:val="000255C9"/>
    <w:rsid w:val="00025787"/>
    <w:rsid w:val="00025B29"/>
    <w:rsid w:val="00025C68"/>
    <w:rsid w:val="00025C84"/>
    <w:rsid w:val="000261EF"/>
    <w:rsid w:val="00026485"/>
    <w:rsid w:val="00026A1C"/>
    <w:rsid w:val="00026C34"/>
    <w:rsid w:val="00026CB6"/>
    <w:rsid w:val="00026E48"/>
    <w:rsid w:val="000271B1"/>
    <w:rsid w:val="00027460"/>
    <w:rsid w:val="000274B8"/>
    <w:rsid w:val="000274D5"/>
    <w:rsid w:val="00027872"/>
    <w:rsid w:val="00027D56"/>
    <w:rsid w:val="000301E1"/>
    <w:rsid w:val="0003080E"/>
    <w:rsid w:val="0003083E"/>
    <w:rsid w:val="00030A30"/>
    <w:rsid w:val="00030A7B"/>
    <w:rsid w:val="00030ABB"/>
    <w:rsid w:val="00030B18"/>
    <w:rsid w:val="00030BDF"/>
    <w:rsid w:val="00030EE3"/>
    <w:rsid w:val="00030F91"/>
    <w:rsid w:val="00030FF5"/>
    <w:rsid w:val="0003119C"/>
    <w:rsid w:val="00031396"/>
    <w:rsid w:val="0003202B"/>
    <w:rsid w:val="00032827"/>
    <w:rsid w:val="00032AD9"/>
    <w:rsid w:val="00032FA7"/>
    <w:rsid w:val="000331DE"/>
    <w:rsid w:val="00033528"/>
    <w:rsid w:val="000336C2"/>
    <w:rsid w:val="0003402B"/>
    <w:rsid w:val="00034A19"/>
    <w:rsid w:val="0003524A"/>
    <w:rsid w:val="000355FE"/>
    <w:rsid w:val="00035941"/>
    <w:rsid w:val="00035A53"/>
    <w:rsid w:val="00035C09"/>
    <w:rsid w:val="00035D1E"/>
    <w:rsid w:val="000362D8"/>
    <w:rsid w:val="000367B5"/>
    <w:rsid w:val="000369ED"/>
    <w:rsid w:val="00036F55"/>
    <w:rsid w:val="0003752B"/>
    <w:rsid w:val="00037A82"/>
    <w:rsid w:val="000400A3"/>
    <w:rsid w:val="000402B1"/>
    <w:rsid w:val="00040372"/>
    <w:rsid w:val="000403DE"/>
    <w:rsid w:val="0004040D"/>
    <w:rsid w:val="00040480"/>
    <w:rsid w:val="00040575"/>
    <w:rsid w:val="00040756"/>
    <w:rsid w:val="00040D68"/>
    <w:rsid w:val="00040DB2"/>
    <w:rsid w:val="0004176A"/>
    <w:rsid w:val="000418D7"/>
    <w:rsid w:val="00041AC8"/>
    <w:rsid w:val="00041B37"/>
    <w:rsid w:val="00041C17"/>
    <w:rsid w:val="00041D54"/>
    <w:rsid w:val="0004223F"/>
    <w:rsid w:val="000422C5"/>
    <w:rsid w:val="000423C9"/>
    <w:rsid w:val="000424EB"/>
    <w:rsid w:val="00042729"/>
    <w:rsid w:val="000427AC"/>
    <w:rsid w:val="000437C1"/>
    <w:rsid w:val="00043DDC"/>
    <w:rsid w:val="0004493C"/>
    <w:rsid w:val="00044AD7"/>
    <w:rsid w:val="00044B0D"/>
    <w:rsid w:val="00045359"/>
    <w:rsid w:val="000457D9"/>
    <w:rsid w:val="00045B24"/>
    <w:rsid w:val="00045CA5"/>
    <w:rsid w:val="00045F9C"/>
    <w:rsid w:val="0004671B"/>
    <w:rsid w:val="000467C4"/>
    <w:rsid w:val="000468DD"/>
    <w:rsid w:val="00046C65"/>
    <w:rsid w:val="00046CE3"/>
    <w:rsid w:val="00046E9B"/>
    <w:rsid w:val="00046F87"/>
    <w:rsid w:val="00047672"/>
    <w:rsid w:val="00047BD8"/>
    <w:rsid w:val="00047E04"/>
    <w:rsid w:val="00047EB7"/>
    <w:rsid w:val="000503E2"/>
    <w:rsid w:val="00050B5D"/>
    <w:rsid w:val="000514E0"/>
    <w:rsid w:val="00051650"/>
    <w:rsid w:val="000517E2"/>
    <w:rsid w:val="00051E13"/>
    <w:rsid w:val="00051F3A"/>
    <w:rsid w:val="0005237D"/>
    <w:rsid w:val="0005266A"/>
    <w:rsid w:val="000528C3"/>
    <w:rsid w:val="000528FB"/>
    <w:rsid w:val="0005293D"/>
    <w:rsid w:val="000533D8"/>
    <w:rsid w:val="00053450"/>
    <w:rsid w:val="0005384C"/>
    <w:rsid w:val="0005397C"/>
    <w:rsid w:val="00053BD6"/>
    <w:rsid w:val="00053DCA"/>
    <w:rsid w:val="00054AB7"/>
    <w:rsid w:val="00054CDD"/>
    <w:rsid w:val="00054D38"/>
    <w:rsid w:val="00054F7A"/>
    <w:rsid w:val="00055341"/>
    <w:rsid w:val="00055397"/>
    <w:rsid w:val="000553AA"/>
    <w:rsid w:val="0005598D"/>
    <w:rsid w:val="00055BED"/>
    <w:rsid w:val="00055F73"/>
    <w:rsid w:val="00056309"/>
    <w:rsid w:val="00056864"/>
    <w:rsid w:val="00056BAC"/>
    <w:rsid w:val="0005797F"/>
    <w:rsid w:val="00057AD6"/>
    <w:rsid w:val="0006027A"/>
    <w:rsid w:val="000603B4"/>
    <w:rsid w:val="00060555"/>
    <w:rsid w:val="00060850"/>
    <w:rsid w:val="00060A5D"/>
    <w:rsid w:val="000610DF"/>
    <w:rsid w:val="000611D8"/>
    <w:rsid w:val="000612C4"/>
    <w:rsid w:val="00061B5F"/>
    <w:rsid w:val="00061CE6"/>
    <w:rsid w:val="00061DBF"/>
    <w:rsid w:val="0006211F"/>
    <w:rsid w:val="00062483"/>
    <w:rsid w:val="000625B3"/>
    <w:rsid w:val="00062892"/>
    <w:rsid w:val="00062910"/>
    <w:rsid w:val="00062A55"/>
    <w:rsid w:val="00062FCB"/>
    <w:rsid w:val="0006361D"/>
    <w:rsid w:val="0006364E"/>
    <w:rsid w:val="0006398F"/>
    <w:rsid w:val="00063A9B"/>
    <w:rsid w:val="00063B83"/>
    <w:rsid w:val="000640C8"/>
    <w:rsid w:val="00064471"/>
    <w:rsid w:val="00064C28"/>
    <w:rsid w:val="00065F87"/>
    <w:rsid w:val="00065FAD"/>
    <w:rsid w:val="0006608E"/>
    <w:rsid w:val="000662AB"/>
    <w:rsid w:val="00066CDF"/>
    <w:rsid w:val="00066E46"/>
    <w:rsid w:val="00067987"/>
    <w:rsid w:val="00067ED9"/>
    <w:rsid w:val="0007035D"/>
    <w:rsid w:val="00070722"/>
    <w:rsid w:val="0007074C"/>
    <w:rsid w:val="00070798"/>
    <w:rsid w:val="00070824"/>
    <w:rsid w:val="00070A35"/>
    <w:rsid w:val="00070BF0"/>
    <w:rsid w:val="00070C71"/>
    <w:rsid w:val="00071070"/>
    <w:rsid w:val="0007177A"/>
    <w:rsid w:val="000719BC"/>
    <w:rsid w:val="00072098"/>
    <w:rsid w:val="00072577"/>
    <w:rsid w:val="00072917"/>
    <w:rsid w:val="00072C70"/>
    <w:rsid w:val="0007306C"/>
    <w:rsid w:val="000738E4"/>
    <w:rsid w:val="000738F6"/>
    <w:rsid w:val="000752C0"/>
    <w:rsid w:val="0007532A"/>
    <w:rsid w:val="00075582"/>
    <w:rsid w:val="00075651"/>
    <w:rsid w:val="000757F4"/>
    <w:rsid w:val="00075A95"/>
    <w:rsid w:val="00075E06"/>
    <w:rsid w:val="0007661C"/>
    <w:rsid w:val="00076C06"/>
    <w:rsid w:val="00076DBF"/>
    <w:rsid w:val="00076F6E"/>
    <w:rsid w:val="000776CC"/>
    <w:rsid w:val="000776D4"/>
    <w:rsid w:val="00077C45"/>
    <w:rsid w:val="00077CDB"/>
    <w:rsid w:val="000803A7"/>
    <w:rsid w:val="000809C1"/>
    <w:rsid w:val="00080A00"/>
    <w:rsid w:val="00080A36"/>
    <w:rsid w:val="000814A7"/>
    <w:rsid w:val="00081671"/>
    <w:rsid w:val="00081C4E"/>
    <w:rsid w:val="000825F3"/>
    <w:rsid w:val="00082B6A"/>
    <w:rsid w:val="00083057"/>
    <w:rsid w:val="00083AF0"/>
    <w:rsid w:val="00083BFE"/>
    <w:rsid w:val="00083C79"/>
    <w:rsid w:val="00083D54"/>
    <w:rsid w:val="00083F2A"/>
    <w:rsid w:val="00083FF4"/>
    <w:rsid w:val="00084101"/>
    <w:rsid w:val="000845F9"/>
    <w:rsid w:val="00084906"/>
    <w:rsid w:val="00084BAE"/>
    <w:rsid w:val="00085173"/>
    <w:rsid w:val="0008521C"/>
    <w:rsid w:val="00085271"/>
    <w:rsid w:val="000852C8"/>
    <w:rsid w:val="00085535"/>
    <w:rsid w:val="00085A74"/>
    <w:rsid w:val="00086196"/>
    <w:rsid w:val="00086372"/>
    <w:rsid w:val="00086F9E"/>
    <w:rsid w:val="00087044"/>
    <w:rsid w:val="0008705F"/>
    <w:rsid w:val="00087287"/>
    <w:rsid w:val="000872F2"/>
    <w:rsid w:val="000877F8"/>
    <w:rsid w:val="0008786B"/>
    <w:rsid w:val="00087A74"/>
    <w:rsid w:val="00087AA7"/>
    <w:rsid w:val="00087C92"/>
    <w:rsid w:val="0009016A"/>
    <w:rsid w:val="00090A1E"/>
    <w:rsid w:val="00090C6C"/>
    <w:rsid w:val="0009117A"/>
    <w:rsid w:val="000913B2"/>
    <w:rsid w:val="000915A8"/>
    <w:rsid w:val="000917F2"/>
    <w:rsid w:val="00091871"/>
    <w:rsid w:val="00091974"/>
    <w:rsid w:val="00091D47"/>
    <w:rsid w:val="00091FAF"/>
    <w:rsid w:val="00092966"/>
    <w:rsid w:val="00092969"/>
    <w:rsid w:val="00092A06"/>
    <w:rsid w:val="00092B28"/>
    <w:rsid w:val="00092F6E"/>
    <w:rsid w:val="00092FDF"/>
    <w:rsid w:val="00092FEF"/>
    <w:rsid w:val="0009329C"/>
    <w:rsid w:val="000935C6"/>
    <w:rsid w:val="00093906"/>
    <w:rsid w:val="000939F2"/>
    <w:rsid w:val="00094061"/>
    <w:rsid w:val="0009458D"/>
    <w:rsid w:val="000945C1"/>
    <w:rsid w:val="0009475F"/>
    <w:rsid w:val="00094B8F"/>
    <w:rsid w:val="00094D1A"/>
    <w:rsid w:val="00094E95"/>
    <w:rsid w:val="0009517E"/>
    <w:rsid w:val="0009566C"/>
    <w:rsid w:val="00095887"/>
    <w:rsid w:val="00095990"/>
    <w:rsid w:val="000960AC"/>
    <w:rsid w:val="000964A0"/>
    <w:rsid w:val="000964E0"/>
    <w:rsid w:val="00096A14"/>
    <w:rsid w:val="00096C19"/>
    <w:rsid w:val="00096D27"/>
    <w:rsid w:val="00096F80"/>
    <w:rsid w:val="00096FB0"/>
    <w:rsid w:val="00097248"/>
    <w:rsid w:val="0009738C"/>
    <w:rsid w:val="000977EA"/>
    <w:rsid w:val="00097BA9"/>
    <w:rsid w:val="00097D9E"/>
    <w:rsid w:val="000A00DF"/>
    <w:rsid w:val="000A013B"/>
    <w:rsid w:val="000A05EB"/>
    <w:rsid w:val="000A09BA"/>
    <w:rsid w:val="000A14AD"/>
    <w:rsid w:val="000A1BCE"/>
    <w:rsid w:val="000A1D98"/>
    <w:rsid w:val="000A2480"/>
    <w:rsid w:val="000A24FA"/>
    <w:rsid w:val="000A2F08"/>
    <w:rsid w:val="000A3302"/>
    <w:rsid w:val="000A36FF"/>
    <w:rsid w:val="000A3ADB"/>
    <w:rsid w:val="000A3E1F"/>
    <w:rsid w:val="000A3EB2"/>
    <w:rsid w:val="000A40BA"/>
    <w:rsid w:val="000A4387"/>
    <w:rsid w:val="000A46AF"/>
    <w:rsid w:val="000A482A"/>
    <w:rsid w:val="000A4916"/>
    <w:rsid w:val="000A4CC4"/>
    <w:rsid w:val="000A4DE8"/>
    <w:rsid w:val="000A4F9D"/>
    <w:rsid w:val="000A526B"/>
    <w:rsid w:val="000A55D7"/>
    <w:rsid w:val="000A5620"/>
    <w:rsid w:val="000A572C"/>
    <w:rsid w:val="000A5F8D"/>
    <w:rsid w:val="000A6262"/>
    <w:rsid w:val="000A6264"/>
    <w:rsid w:val="000A6650"/>
    <w:rsid w:val="000A6DAC"/>
    <w:rsid w:val="000A6EC6"/>
    <w:rsid w:val="000A6F61"/>
    <w:rsid w:val="000A7F7A"/>
    <w:rsid w:val="000B0009"/>
    <w:rsid w:val="000B004E"/>
    <w:rsid w:val="000B03C8"/>
    <w:rsid w:val="000B050C"/>
    <w:rsid w:val="000B0B21"/>
    <w:rsid w:val="000B1142"/>
    <w:rsid w:val="000B127A"/>
    <w:rsid w:val="000B1361"/>
    <w:rsid w:val="000B1CF5"/>
    <w:rsid w:val="000B1D17"/>
    <w:rsid w:val="000B2233"/>
    <w:rsid w:val="000B2834"/>
    <w:rsid w:val="000B2FBE"/>
    <w:rsid w:val="000B321D"/>
    <w:rsid w:val="000B3477"/>
    <w:rsid w:val="000B34A8"/>
    <w:rsid w:val="000B3E0B"/>
    <w:rsid w:val="000B4C4B"/>
    <w:rsid w:val="000B52C4"/>
    <w:rsid w:val="000B54A8"/>
    <w:rsid w:val="000B5599"/>
    <w:rsid w:val="000B5778"/>
    <w:rsid w:val="000B64C7"/>
    <w:rsid w:val="000B65ED"/>
    <w:rsid w:val="000B6B0E"/>
    <w:rsid w:val="000B75C6"/>
    <w:rsid w:val="000B78C7"/>
    <w:rsid w:val="000B7948"/>
    <w:rsid w:val="000B7A58"/>
    <w:rsid w:val="000B7E45"/>
    <w:rsid w:val="000C01B5"/>
    <w:rsid w:val="000C0751"/>
    <w:rsid w:val="000C08F2"/>
    <w:rsid w:val="000C0A50"/>
    <w:rsid w:val="000C0A74"/>
    <w:rsid w:val="000C0B09"/>
    <w:rsid w:val="000C0E3D"/>
    <w:rsid w:val="000C13EB"/>
    <w:rsid w:val="000C1537"/>
    <w:rsid w:val="000C18F1"/>
    <w:rsid w:val="000C1E37"/>
    <w:rsid w:val="000C26C1"/>
    <w:rsid w:val="000C2861"/>
    <w:rsid w:val="000C292E"/>
    <w:rsid w:val="000C2E3F"/>
    <w:rsid w:val="000C2F2F"/>
    <w:rsid w:val="000C3198"/>
    <w:rsid w:val="000C3906"/>
    <w:rsid w:val="000C3943"/>
    <w:rsid w:val="000C3B4B"/>
    <w:rsid w:val="000C3EBA"/>
    <w:rsid w:val="000C414B"/>
    <w:rsid w:val="000C422D"/>
    <w:rsid w:val="000C482F"/>
    <w:rsid w:val="000C5028"/>
    <w:rsid w:val="000C51B9"/>
    <w:rsid w:val="000C559F"/>
    <w:rsid w:val="000C593A"/>
    <w:rsid w:val="000C595D"/>
    <w:rsid w:val="000C5ECC"/>
    <w:rsid w:val="000C5EE7"/>
    <w:rsid w:val="000C60DC"/>
    <w:rsid w:val="000C612A"/>
    <w:rsid w:val="000C6266"/>
    <w:rsid w:val="000C62AD"/>
    <w:rsid w:val="000C659E"/>
    <w:rsid w:val="000C65EE"/>
    <w:rsid w:val="000C6A63"/>
    <w:rsid w:val="000C6E9B"/>
    <w:rsid w:val="000C6EC1"/>
    <w:rsid w:val="000C7161"/>
    <w:rsid w:val="000C7642"/>
    <w:rsid w:val="000D044C"/>
    <w:rsid w:val="000D0544"/>
    <w:rsid w:val="000D0A89"/>
    <w:rsid w:val="000D0C00"/>
    <w:rsid w:val="000D0DEE"/>
    <w:rsid w:val="000D0FF4"/>
    <w:rsid w:val="000D1274"/>
    <w:rsid w:val="000D15A3"/>
    <w:rsid w:val="000D23CC"/>
    <w:rsid w:val="000D2BB1"/>
    <w:rsid w:val="000D2DF8"/>
    <w:rsid w:val="000D2F39"/>
    <w:rsid w:val="000D3B59"/>
    <w:rsid w:val="000D461A"/>
    <w:rsid w:val="000D4B45"/>
    <w:rsid w:val="000D5239"/>
    <w:rsid w:val="000D5397"/>
    <w:rsid w:val="000D5646"/>
    <w:rsid w:val="000D56AC"/>
    <w:rsid w:val="000D5CED"/>
    <w:rsid w:val="000D5D4F"/>
    <w:rsid w:val="000D64A1"/>
    <w:rsid w:val="000D68A4"/>
    <w:rsid w:val="000D6B2F"/>
    <w:rsid w:val="000D6D88"/>
    <w:rsid w:val="000D7008"/>
    <w:rsid w:val="000D73F2"/>
    <w:rsid w:val="000D7A61"/>
    <w:rsid w:val="000D7E08"/>
    <w:rsid w:val="000D7F79"/>
    <w:rsid w:val="000E01F0"/>
    <w:rsid w:val="000E036D"/>
    <w:rsid w:val="000E04AF"/>
    <w:rsid w:val="000E0992"/>
    <w:rsid w:val="000E1202"/>
    <w:rsid w:val="000E1206"/>
    <w:rsid w:val="000E128D"/>
    <w:rsid w:val="000E12FC"/>
    <w:rsid w:val="000E1709"/>
    <w:rsid w:val="000E1835"/>
    <w:rsid w:val="000E1A2A"/>
    <w:rsid w:val="000E1B9C"/>
    <w:rsid w:val="000E1DB2"/>
    <w:rsid w:val="000E252B"/>
    <w:rsid w:val="000E2838"/>
    <w:rsid w:val="000E28B2"/>
    <w:rsid w:val="000E2EFA"/>
    <w:rsid w:val="000E314F"/>
    <w:rsid w:val="000E3644"/>
    <w:rsid w:val="000E3A69"/>
    <w:rsid w:val="000E3C8F"/>
    <w:rsid w:val="000E4AEF"/>
    <w:rsid w:val="000E4B7A"/>
    <w:rsid w:val="000E4D56"/>
    <w:rsid w:val="000E4F5E"/>
    <w:rsid w:val="000E502C"/>
    <w:rsid w:val="000E513C"/>
    <w:rsid w:val="000E583E"/>
    <w:rsid w:val="000E59C4"/>
    <w:rsid w:val="000E5AA9"/>
    <w:rsid w:val="000E5B24"/>
    <w:rsid w:val="000E5C43"/>
    <w:rsid w:val="000E6483"/>
    <w:rsid w:val="000E6E16"/>
    <w:rsid w:val="000E7880"/>
    <w:rsid w:val="000E7F16"/>
    <w:rsid w:val="000F0B79"/>
    <w:rsid w:val="000F123A"/>
    <w:rsid w:val="000F1F23"/>
    <w:rsid w:val="000F2073"/>
    <w:rsid w:val="000F2256"/>
    <w:rsid w:val="000F295B"/>
    <w:rsid w:val="000F2BD8"/>
    <w:rsid w:val="000F2C95"/>
    <w:rsid w:val="000F2E47"/>
    <w:rsid w:val="000F3142"/>
    <w:rsid w:val="000F32A5"/>
    <w:rsid w:val="000F3308"/>
    <w:rsid w:val="000F36A4"/>
    <w:rsid w:val="000F383E"/>
    <w:rsid w:val="000F3851"/>
    <w:rsid w:val="000F3DFD"/>
    <w:rsid w:val="000F4056"/>
    <w:rsid w:val="000F4202"/>
    <w:rsid w:val="000F44AE"/>
    <w:rsid w:val="000F48AB"/>
    <w:rsid w:val="000F48D4"/>
    <w:rsid w:val="000F4A29"/>
    <w:rsid w:val="000F4E93"/>
    <w:rsid w:val="000F5465"/>
    <w:rsid w:val="000F5527"/>
    <w:rsid w:val="000F58DC"/>
    <w:rsid w:val="000F649A"/>
    <w:rsid w:val="000F6D5D"/>
    <w:rsid w:val="000F7180"/>
    <w:rsid w:val="000F76F0"/>
    <w:rsid w:val="000F794C"/>
    <w:rsid w:val="000F79C0"/>
    <w:rsid w:val="000F7CD2"/>
    <w:rsid w:val="000F7E64"/>
    <w:rsid w:val="000F7FB1"/>
    <w:rsid w:val="001002EC"/>
    <w:rsid w:val="0010040D"/>
    <w:rsid w:val="00100A56"/>
    <w:rsid w:val="00100ED6"/>
    <w:rsid w:val="0010164C"/>
    <w:rsid w:val="00101718"/>
    <w:rsid w:val="0010174D"/>
    <w:rsid w:val="001019E9"/>
    <w:rsid w:val="00101A34"/>
    <w:rsid w:val="00102427"/>
    <w:rsid w:val="001026CA"/>
    <w:rsid w:val="00102B8F"/>
    <w:rsid w:val="00102CEA"/>
    <w:rsid w:val="00103624"/>
    <w:rsid w:val="00103B08"/>
    <w:rsid w:val="00103E21"/>
    <w:rsid w:val="001040AB"/>
    <w:rsid w:val="001040B3"/>
    <w:rsid w:val="00104415"/>
    <w:rsid w:val="001044BF"/>
    <w:rsid w:val="00104508"/>
    <w:rsid w:val="001049D4"/>
    <w:rsid w:val="00104C48"/>
    <w:rsid w:val="00104E9B"/>
    <w:rsid w:val="00105031"/>
    <w:rsid w:val="00105811"/>
    <w:rsid w:val="001058E5"/>
    <w:rsid w:val="00105B5A"/>
    <w:rsid w:val="00105FF2"/>
    <w:rsid w:val="0010638D"/>
    <w:rsid w:val="0010674C"/>
    <w:rsid w:val="001069A4"/>
    <w:rsid w:val="00107102"/>
    <w:rsid w:val="0010711E"/>
    <w:rsid w:val="001079F9"/>
    <w:rsid w:val="0011034E"/>
    <w:rsid w:val="00110512"/>
    <w:rsid w:val="001108E0"/>
    <w:rsid w:val="00110A29"/>
    <w:rsid w:val="00110A67"/>
    <w:rsid w:val="00110AE6"/>
    <w:rsid w:val="00110C02"/>
    <w:rsid w:val="00110D94"/>
    <w:rsid w:val="00110E6C"/>
    <w:rsid w:val="001111EC"/>
    <w:rsid w:val="001114C3"/>
    <w:rsid w:val="001116B1"/>
    <w:rsid w:val="00111A6C"/>
    <w:rsid w:val="00111D6E"/>
    <w:rsid w:val="00112037"/>
    <w:rsid w:val="001120B7"/>
    <w:rsid w:val="001121FA"/>
    <w:rsid w:val="0011237D"/>
    <w:rsid w:val="00112DE9"/>
    <w:rsid w:val="00112F04"/>
    <w:rsid w:val="00113472"/>
    <w:rsid w:val="0011375C"/>
    <w:rsid w:val="00113EF0"/>
    <w:rsid w:val="001146B2"/>
    <w:rsid w:val="00114CA3"/>
    <w:rsid w:val="00114CDE"/>
    <w:rsid w:val="00114E54"/>
    <w:rsid w:val="00115252"/>
    <w:rsid w:val="001154D2"/>
    <w:rsid w:val="0011590C"/>
    <w:rsid w:val="00115C82"/>
    <w:rsid w:val="00116281"/>
    <w:rsid w:val="001165D8"/>
    <w:rsid w:val="00116691"/>
    <w:rsid w:val="001172F7"/>
    <w:rsid w:val="001173C7"/>
    <w:rsid w:val="00117642"/>
    <w:rsid w:val="00117712"/>
    <w:rsid w:val="001178B5"/>
    <w:rsid w:val="00117B2C"/>
    <w:rsid w:val="00117B67"/>
    <w:rsid w:val="00120187"/>
    <w:rsid w:val="0012018F"/>
    <w:rsid w:val="001206D5"/>
    <w:rsid w:val="0012079C"/>
    <w:rsid w:val="0012098C"/>
    <w:rsid w:val="00120C10"/>
    <w:rsid w:val="00120EB9"/>
    <w:rsid w:val="001215FE"/>
    <w:rsid w:val="001219C5"/>
    <w:rsid w:val="00121E64"/>
    <w:rsid w:val="00122B0D"/>
    <w:rsid w:val="00123322"/>
    <w:rsid w:val="00123455"/>
    <w:rsid w:val="001237B7"/>
    <w:rsid w:val="00123855"/>
    <w:rsid w:val="001239D1"/>
    <w:rsid w:val="00123A7F"/>
    <w:rsid w:val="00123C2B"/>
    <w:rsid w:val="00123C45"/>
    <w:rsid w:val="00123D24"/>
    <w:rsid w:val="00123DA8"/>
    <w:rsid w:val="00124B87"/>
    <w:rsid w:val="00124BF3"/>
    <w:rsid w:val="00124CA0"/>
    <w:rsid w:val="001251AD"/>
    <w:rsid w:val="001251B0"/>
    <w:rsid w:val="001251DC"/>
    <w:rsid w:val="0012543C"/>
    <w:rsid w:val="00125500"/>
    <w:rsid w:val="00125A6F"/>
    <w:rsid w:val="00125B20"/>
    <w:rsid w:val="00125CA1"/>
    <w:rsid w:val="001260C4"/>
    <w:rsid w:val="0012626F"/>
    <w:rsid w:val="001269B5"/>
    <w:rsid w:val="001272D7"/>
    <w:rsid w:val="001274C0"/>
    <w:rsid w:val="00127738"/>
    <w:rsid w:val="001278E8"/>
    <w:rsid w:val="00127C79"/>
    <w:rsid w:val="00130665"/>
    <w:rsid w:val="00130872"/>
    <w:rsid w:val="00130B94"/>
    <w:rsid w:val="00130C08"/>
    <w:rsid w:val="00131550"/>
    <w:rsid w:val="00131652"/>
    <w:rsid w:val="001318D1"/>
    <w:rsid w:val="001319A9"/>
    <w:rsid w:val="00131D20"/>
    <w:rsid w:val="00132BAC"/>
    <w:rsid w:val="00132D38"/>
    <w:rsid w:val="00132ECF"/>
    <w:rsid w:val="001333C3"/>
    <w:rsid w:val="00133A21"/>
    <w:rsid w:val="00133AF2"/>
    <w:rsid w:val="00133C68"/>
    <w:rsid w:val="001341BB"/>
    <w:rsid w:val="001344D7"/>
    <w:rsid w:val="0013452C"/>
    <w:rsid w:val="00134717"/>
    <w:rsid w:val="00135131"/>
    <w:rsid w:val="0013539B"/>
    <w:rsid w:val="001353F1"/>
    <w:rsid w:val="0013560A"/>
    <w:rsid w:val="001356A3"/>
    <w:rsid w:val="00135BEE"/>
    <w:rsid w:val="00135CDF"/>
    <w:rsid w:val="00135CE3"/>
    <w:rsid w:val="00135D57"/>
    <w:rsid w:val="00135FED"/>
    <w:rsid w:val="00136219"/>
    <w:rsid w:val="0013649D"/>
    <w:rsid w:val="001366A1"/>
    <w:rsid w:val="00136FF6"/>
    <w:rsid w:val="00137290"/>
    <w:rsid w:val="001379A9"/>
    <w:rsid w:val="00137AE0"/>
    <w:rsid w:val="00137B98"/>
    <w:rsid w:val="00140A2A"/>
    <w:rsid w:val="00140A89"/>
    <w:rsid w:val="00141057"/>
    <w:rsid w:val="001414AC"/>
    <w:rsid w:val="00141822"/>
    <w:rsid w:val="0014196C"/>
    <w:rsid w:val="001419A8"/>
    <w:rsid w:val="00141AB4"/>
    <w:rsid w:val="00141B64"/>
    <w:rsid w:val="00141C4B"/>
    <w:rsid w:val="00141D6D"/>
    <w:rsid w:val="00141DAF"/>
    <w:rsid w:val="00142236"/>
    <w:rsid w:val="001422D8"/>
    <w:rsid w:val="0014293B"/>
    <w:rsid w:val="00143021"/>
    <w:rsid w:val="00143025"/>
    <w:rsid w:val="00143099"/>
    <w:rsid w:val="0014349F"/>
    <w:rsid w:val="001435FB"/>
    <w:rsid w:val="00143BB3"/>
    <w:rsid w:val="00143CBB"/>
    <w:rsid w:val="00144031"/>
    <w:rsid w:val="00144190"/>
    <w:rsid w:val="0014427F"/>
    <w:rsid w:val="001442E8"/>
    <w:rsid w:val="001443DC"/>
    <w:rsid w:val="0014441D"/>
    <w:rsid w:val="00144501"/>
    <w:rsid w:val="00144C6A"/>
    <w:rsid w:val="00144D9E"/>
    <w:rsid w:val="001452FC"/>
    <w:rsid w:val="00145303"/>
    <w:rsid w:val="001454EE"/>
    <w:rsid w:val="0014561C"/>
    <w:rsid w:val="001457CD"/>
    <w:rsid w:val="00145884"/>
    <w:rsid w:val="001460A4"/>
    <w:rsid w:val="00146257"/>
    <w:rsid w:val="001467D9"/>
    <w:rsid w:val="00146B2C"/>
    <w:rsid w:val="00146C97"/>
    <w:rsid w:val="00147856"/>
    <w:rsid w:val="001479B6"/>
    <w:rsid w:val="001501DC"/>
    <w:rsid w:val="00150216"/>
    <w:rsid w:val="001503EE"/>
    <w:rsid w:val="0015084E"/>
    <w:rsid w:val="0015109A"/>
    <w:rsid w:val="00151534"/>
    <w:rsid w:val="00151972"/>
    <w:rsid w:val="001527EE"/>
    <w:rsid w:val="00152849"/>
    <w:rsid w:val="00152989"/>
    <w:rsid w:val="001538C5"/>
    <w:rsid w:val="00154826"/>
    <w:rsid w:val="00154A61"/>
    <w:rsid w:val="00155AD5"/>
    <w:rsid w:val="00155AF6"/>
    <w:rsid w:val="00155CAB"/>
    <w:rsid w:val="00155D5D"/>
    <w:rsid w:val="00155E5B"/>
    <w:rsid w:val="00155F35"/>
    <w:rsid w:val="001565B0"/>
    <w:rsid w:val="00156735"/>
    <w:rsid w:val="001568CA"/>
    <w:rsid w:val="001568DF"/>
    <w:rsid w:val="001568F0"/>
    <w:rsid w:val="0015717B"/>
    <w:rsid w:val="001574DB"/>
    <w:rsid w:val="00157C00"/>
    <w:rsid w:val="00157EA8"/>
    <w:rsid w:val="00157EC2"/>
    <w:rsid w:val="001609CB"/>
    <w:rsid w:val="00160F28"/>
    <w:rsid w:val="00160FC5"/>
    <w:rsid w:val="001619EC"/>
    <w:rsid w:val="00161DA5"/>
    <w:rsid w:val="001621C8"/>
    <w:rsid w:val="00162488"/>
    <w:rsid w:val="00162995"/>
    <w:rsid w:val="00163247"/>
    <w:rsid w:val="00163BE9"/>
    <w:rsid w:val="00163F13"/>
    <w:rsid w:val="0016429A"/>
    <w:rsid w:val="0016438C"/>
    <w:rsid w:val="00164BDD"/>
    <w:rsid w:val="00164F01"/>
    <w:rsid w:val="00164F31"/>
    <w:rsid w:val="001654B6"/>
    <w:rsid w:val="0016580D"/>
    <w:rsid w:val="001659D2"/>
    <w:rsid w:val="00166322"/>
    <w:rsid w:val="00166B27"/>
    <w:rsid w:val="00166D62"/>
    <w:rsid w:val="00166F51"/>
    <w:rsid w:val="001671BF"/>
    <w:rsid w:val="001671FC"/>
    <w:rsid w:val="001675A6"/>
    <w:rsid w:val="00167725"/>
    <w:rsid w:val="00167B22"/>
    <w:rsid w:val="00167BF4"/>
    <w:rsid w:val="00167FD2"/>
    <w:rsid w:val="0017083D"/>
    <w:rsid w:val="00170AFD"/>
    <w:rsid w:val="00170E40"/>
    <w:rsid w:val="00170EF6"/>
    <w:rsid w:val="001719D8"/>
    <w:rsid w:val="00171A7A"/>
    <w:rsid w:val="00171AA7"/>
    <w:rsid w:val="00171AD0"/>
    <w:rsid w:val="00172A0B"/>
    <w:rsid w:val="00172A54"/>
    <w:rsid w:val="00172FC1"/>
    <w:rsid w:val="001736D0"/>
    <w:rsid w:val="0017377F"/>
    <w:rsid w:val="00173AA3"/>
    <w:rsid w:val="00174082"/>
    <w:rsid w:val="00174328"/>
    <w:rsid w:val="00174483"/>
    <w:rsid w:val="00174830"/>
    <w:rsid w:val="00174A3E"/>
    <w:rsid w:val="00174A9A"/>
    <w:rsid w:val="00175320"/>
    <w:rsid w:val="001755F0"/>
    <w:rsid w:val="00175CCD"/>
    <w:rsid w:val="00175D8F"/>
    <w:rsid w:val="0017656B"/>
    <w:rsid w:val="0017669F"/>
    <w:rsid w:val="0017675F"/>
    <w:rsid w:val="00176A64"/>
    <w:rsid w:val="00176CBE"/>
    <w:rsid w:val="00176DB7"/>
    <w:rsid w:val="001774BF"/>
    <w:rsid w:val="00177AA6"/>
    <w:rsid w:val="00177FF9"/>
    <w:rsid w:val="001801D8"/>
    <w:rsid w:val="00180256"/>
    <w:rsid w:val="001804A2"/>
    <w:rsid w:val="00180904"/>
    <w:rsid w:val="00180E72"/>
    <w:rsid w:val="001815C1"/>
    <w:rsid w:val="00181CE0"/>
    <w:rsid w:val="00181D47"/>
    <w:rsid w:val="00181FA8"/>
    <w:rsid w:val="00182482"/>
    <w:rsid w:val="001824E2"/>
    <w:rsid w:val="00182629"/>
    <w:rsid w:val="0018262F"/>
    <w:rsid w:val="00182838"/>
    <w:rsid w:val="00182B88"/>
    <w:rsid w:val="00182F6D"/>
    <w:rsid w:val="0018300A"/>
    <w:rsid w:val="00183052"/>
    <w:rsid w:val="001831A5"/>
    <w:rsid w:val="001833BE"/>
    <w:rsid w:val="001837B5"/>
    <w:rsid w:val="00183AEB"/>
    <w:rsid w:val="00183B3A"/>
    <w:rsid w:val="00183B5C"/>
    <w:rsid w:val="00183D1F"/>
    <w:rsid w:val="0018404D"/>
    <w:rsid w:val="001840BC"/>
    <w:rsid w:val="00184266"/>
    <w:rsid w:val="00184416"/>
    <w:rsid w:val="001849AD"/>
    <w:rsid w:val="00184B9D"/>
    <w:rsid w:val="00184D98"/>
    <w:rsid w:val="00184F7A"/>
    <w:rsid w:val="00184F98"/>
    <w:rsid w:val="00185210"/>
    <w:rsid w:val="001852BA"/>
    <w:rsid w:val="00185475"/>
    <w:rsid w:val="00185E56"/>
    <w:rsid w:val="001860A9"/>
    <w:rsid w:val="00186FD4"/>
    <w:rsid w:val="00187167"/>
    <w:rsid w:val="0018738C"/>
    <w:rsid w:val="001876DD"/>
    <w:rsid w:val="00187914"/>
    <w:rsid w:val="00187C7A"/>
    <w:rsid w:val="00187D7F"/>
    <w:rsid w:val="00187EEA"/>
    <w:rsid w:val="001902FB"/>
    <w:rsid w:val="001903A3"/>
    <w:rsid w:val="001906C5"/>
    <w:rsid w:val="001916D1"/>
    <w:rsid w:val="00192092"/>
    <w:rsid w:val="00192274"/>
    <w:rsid w:val="001922F0"/>
    <w:rsid w:val="0019247B"/>
    <w:rsid w:val="00192999"/>
    <w:rsid w:val="00192E1F"/>
    <w:rsid w:val="00192F18"/>
    <w:rsid w:val="00192F77"/>
    <w:rsid w:val="00193130"/>
    <w:rsid w:val="001932E7"/>
    <w:rsid w:val="001933B2"/>
    <w:rsid w:val="00193B21"/>
    <w:rsid w:val="00194083"/>
    <w:rsid w:val="00194229"/>
    <w:rsid w:val="0019490B"/>
    <w:rsid w:val="00194AF3"/>
    <w:rsid w:val="00194BCA"/>
    <w:rsid w:val="00194FFE"/>
    <w:rsid w:val="00195CD8"/>
    <w:rsid w:val="00195D28"/>
    <w:rsid w:val="00195F1C"/>
    <w:rsid w:val="00196318"/>
    <w:rsid w:val="00196431"/>
    <w:rsid w:val="00196653"/>
    <w:rsid w:val="0019680A"/>
    <w:rsid w:val="00196A3F"/>
    <w:rsid w:val="00196F5B"/>
    <w:rsid w:val="00197B17"/>
    <w:rsid w:val="001A0172"/>
    <w:rsid w:val="001A0524"/>
    <w:rsid w:val="001A058E"/>
    <w:rsid w:val="001A0F4C"/>
    <w:rsid w:val="001A1035"/>
    <w:rsid w:val="001A10F9"/>
    <w:rsid w:val="001A1119"/>
    <w:rsid w:val="001A16D6"/>
    <w:rsid w:val="001A18AC"/>
    <w:rsid w:val="001A1C01"/>
    <w:rsid w:val="001A20D2"/>
    <w:rsid w:val="001A26F3"/>
    <w:rsid w:val="001A32BE"/>
    <w:rsid w:val="001A3769"/>
    <w:rsid w:val="001A3B8C"/>
    <w:rsid w:val="001A3C44"/>
    <w:rsid w:val="001A3E17"/>
    <w:rsid w:val="001A4122"/>
    <w:rsid w:val="001A4598"/>
    <w:rsid w:val="001A47ED"/>
    <w:rsid w:val="001A4892"/>
    <w:rsid w:val="001A48BD"/>
    <w:rsid w:val="001A4AAD"/>
    <w:rsid w:val="001A4BD0"/>
    <w:rsid w:val="001A4E65"/>
    <w:rsid w:val="001A5A15"/>
    <w:rsid w:val="001A6351"/>
    <w:rsid w:val="001A6C0E"/>
    <w:rsid w:val="001A714F"/>
    <w:rsid w:val="001A7976"/>
    <w:rsid w:val="001A7C96"/>
    <w:rsid w:val="001A7E56"/>
    <w:rsid w:val="001B0181"/>
    <w:rsid w:val="001B0295"/>
    <w:rsid w:val="001B051E"/>
    <w:rsid w:val="001B05E6"/>
    <w:rsid w:val="001B083B"/>
    <w:rsid w:val="001B098B"/>
    <w:rsid w:val="001B0A33"/>
    <w:rsid w:val="001B0CCA"/>
    <w:rsid w:val="001B0D5B"/>
    <w:rsid w:val="001B13F2"/>
    <w:rsid w:val="001B175F"/>
    <w:rsid w:val="001B1D4F"/>
    <w:rsid w:val="001B1F40"/>
    <w:rsid w:val="001B2173"/>
    <w:rsid w:val="001B2328"/>
    <w:rsid w:val="001B2A95"/>
    <w:rsid w:val="001B2AF3"/>
    <w:rsid w:val="001B30CA"/>
    <w:rsid w:val="001B34C3"/>
    <w:rsid w:val="001B3537"/>
    <w:rsid w:val="001B358B"/>
    <w:rsid w:val="001B44F0"/>
    <w:rsid w:val="001B4536"/>
    <w:rsid w:val="001B49A3"/>
    <w:rsid w:val="001B4B73"/>
    <w:rsid w:val="001B505D"/>
    <w:rsid w:val="001B7162"/>
    <w:rsid w:val="001B79EE"/>
    <w:rsid w:val="001B7A76"/>
    <w:rsid w:val="001C018E"/>
    <w:rsid w:val="001C055F"/>
    <w:rsid w:val="001C0821"/>
    <w:rsid w:val="001C0ADE"/>
    <w:rsid w:val="001C0AEA"/>
    <w:rsid w:val="001C1647"/>
    <w:rsid w:val="001C190B"/>
    <w:rsid w:val="001C1930"/>
    <w:rsid w:val="001C1A48"/>
    <w:rsid w:val="001C1AD6"/>
    <w:rsid w:val="001C1B6F"/>
    <w:rsid w:val="001C2B41"/>
    <w:rsid w:val="001C2DC0"/>
    <w:rsid w:val="001C2DC4"/>
    <w:rsid w:val="001C2FC3"/>
    <w:rsid w:val="001C2FCC"/>
    <w:rsid w:val="001C31C8"/>
    <w:rsid w:val="001C326D"/>
    <w:rsid w:val="001C357D"/>
    <w:rsid w:val="001C35DF"/>
    <w:rsid w:val="001C3A9F"/>
    <w:rsid w:val="001C3E27"/>
    <w:rsid w:val="001C41EC"/>
    <w:rsid w:val="001C4485"/>
    <w:rsid w:val="001C46FF"/>
    <w:rsid w:val="001C4DA9"/>
    <w:rsid w:val="001C59DB"/>
    <w:rsid w:val="001C5D77"/>
    <w:rsid w:val="001C67E6"/>
    <w:rsid w:val="001C6EA6"/>
    <w:rsid w:val="001C7042"/>
    <w:rsid w:val="001C76A9"/>
    <w:rsid w:val="001C791A"/>
    <w:rsid w:val="001C7AD2"/>
    <w:rsid w:val="001C7AE7"/>
    <w:rsid w:val="001C7B37"/>
    <w:rsid w:val="001C7B8B"/>
    <w:rsid w:val="001C7D21"/>
    <w:rsid w:val="001C7EF8"/>
    <w:rsid w:val="001D0076"/>
    <w:rsid w:val="001D01F9"/>
    <w:rsid w:val="001D02BA"/>
    <w:rsid w:val="001D036F"/>
    <w:rsid w:val="001D06D8"/>
    <w:rsid w:val="001D07A4"/>
    <w:rsid w:val="001D0B2B"/>
    <w:rsid w:val="001D0CD3"/>
    <w:rsid w:val="001D0EBD"/>
    <w:rsid w:val="001D1344"/>
    <w:rsid w:val="001D15CC"/>
    <w:rsid w:val="001D18FD"/>
    <w:rsid w:val="001D2516"/>
    <w:rsid w:val="001D262E"/>
    <w:rsid w:val="001D287C"/>
    <w:rsid w:val="001D2999"/>
    <w:rsid w:val="001D2F52"/>
    <w:rsid w:val="001D31B5"/>
    <w:rsid w:val="001D326F"/>
    <w:rsid w:val="001D3879"/>
    <w:rsid w:val="001D3A6A"/>
    <w:rsid w:val="001D3BD6"/>
    <w:rsid w:val="001D3F20"/>
    <w:rsid w:val="001D46F0"/>
    <w:rsid w:val="001D48FA"/>
    <w:rsid w:val="001D4E92"/>
    <w:rsid w:val="001D5112"/>
    <w:rsid w:val="001D52E2"/>
    <w:rsid w:val="001D5301"/>
    <w:rsid w:val="001D588D"/>
    <w:rsid w:val="001D590D"/>
    <w:rsid w:val="001D5919"/>
    <w:rsid w:val="001D5CC1"/>
    <w:rsid w:val="001D5CEE"/>
    <w:rsid w:val="001D5EBC"/>
    <w:rsid w:val="001D689D"/>
    <w:rsid w:val="001D6BA7"/>
    <w:rsid w:val="001D6C30"/>
    <w:rsid w:val="001D6FB7"/>
    <w:rsid w:val="001D6FFB"/>
    <w:rsid w:val="001D71C3"/>
    <w:rsid w:val="001D7449"/>
    <w:rsid w:val="001D79A5"/>
    <w:rsid w:val="001D7FC7"/>
    <w:rsid w:val="001E0446"/>
    <w:rsid w:val="001E0814"/>
    <w:rsid w:val="001E0F23"/>
    <w:rsid w:val="001E10D3"/>
    <w:rsid w:val="001E11AF"/>
    <w:rsid w:val="001E134A"/>
    <w:rsid w:val="001E137C"/>
    <w:rsid w:val="001E166D"/>
    <w:rsid w:val="001E1B53"/>
    <w:rsid w:val="001E1C86"/>
    <w:rsid w:val="001E1E04"/>
    <w:rsid w:val="001E2080"/>
    <w:rsid w:val="001E2219"/>
    <w:rsid w:val="001E2D0E"/>
    <w:rsid w:val="001E38B5"/>
    <w:rsid w:val="001E3ACF"/>
    <w:rsid w:val="001E3B33"/>
    <w:rsid w:val="001E3F6B"/>
    <w:rsid w:val="001E436B"/>
    <w:rsid w:val="001E4EDA"/>
    <w:rsid w:val="001E544F"/>
    <w:rsid w:val="001E5E6C"/>
    <w:rsid w:val="001E5E98"/>
    <w:rsid w:val="001E5F25"/>
    <w:rsid w:val="001E621B"/>
    <w:rsid w:val="001E623F"/>
    <w:rsid w:val="001E6551"/>
    <w:rsid w:val="001E6D1B"/>
    <w:rsid w:val="001E7076"/>
    <w:rsid w:val="001E7866"/>
    <w:rsid w:val="001E7BA6"/>
    <w:rsid w:val="001E7BBC"/>
    <w:rsid w:val="001E7C27"/>
    <w:rsid w:val="001E7ECB"/>
    <w:rsid w:val="001F0120"/>
    <w:rsid w:val="001F06AF"/>
    <w:rsid w:val="001F07E1"/>
    <w:rsid w:val="001F104D"/>
    <w:rsid w:val="001F11F4"/>
    <w:rsid w:val="001F16EB"/>
    <w:rsid w:val="001F1C81"/>
    <w:rsid w:val="001F2327"/>
    <w:rsid w:val="001F25FD"/>
    <w:rsid w:val="001F2B8D"/>
    <w:rsid w:val="001F2BA7"/>
    <w:rsid w:val="001F2E5B"/>
    <w:rsid w:val="001F3081"/>
    <w:rsid w:val="001F350C"/>
    <w:rsid w:val="001F3D29"/>
    <w:rsid w:val="001F3D4C"/>
    <w:rsid w:val="001F3D94"/>
    <w:rsid w:val="001F3E92"/>
    <w:rsid w:val="001F417E"/>
    <w:rsid w:val="001F4268"/>
    <w:rsid w:val="001F444F"/>
    <w:rsid w:val="001F46FD"/>
    <w:rsid w:val="001F4B3B"/>
    <w:rsid w:val="001F4BA5"/>
    <w:rsid w:val="001F565B"/>
    <w:rsid w:val="001F5A54"/>
    <w:rsid w:val="001F5C8D"/>
    <w:rsid w:val="001F5EA8"/>
    <w:rsid w:val="001F5EAD"/>
    <w:rsid w:val="001F5F7C"/>
    <w:rsid w:val="001F601E"/>
    <w:rsid w:val="001F6279"/>
    <w:rsid w:val="001F6886"/>
    <w:rsid w:val="001F6A94"/>
    <w:rsid w:val="001F6FD1"/>
    <w:rsid w:val="001F7153"/>
    <w:rsid w:val="001F726B"/>
    <w:rsid w:val="001F72D3"/>
    <w:rsid w:val="001F7D77"/>
    <w:rsid w:val="001F7DF9"/>
    <w:rsid w:val="002001EC"/>
    <w:rsid w:val="002006CA"/>
    <w:rsid w:val="0020073A"/>
    <w:rsid w:val="002010AA"/>
    <w:rsid w:val="00201398"/>
    <w:rsid w:val="00201548"/>
    <w:rsid w:val="00201E08"/>
    <w:rsid w:val="00201F57"/>
    <w:rsid w:val="00202553"/>
    <w:rsid w:val="00202911"/>
    <w:rsid w:val="00202D22"/>
    <w:rsid w:val="002032B2"/>
    <w:rsid w:val="0020374E"/>
    <w:rsid w:val="00203C08"/>
    <w:rsid w:val="00203CFA"/>
    <w:rsid w:val="00203F61"/>
    <w:rsid w:val="0020410E"/>
    <w:rsid w:val="00204483"/>
    <w:rsid w:val="00204649"/>
    <w:rsid w:val="002048B9"/>
    <w:rsid w:val="002049AE"/>
    <w:rsid w:val="00205654"/>
    <w:rsid w:val="002058AB"/>
    <w:rsid w:val="00205BCE"/>
    <w:rsid w:val="00206008"/>
    <w:rsid w:val="002061E8"/>
    <w:rsid w:val="0020675B"/>
    <w:rsid w:val="00206B47"/>
    <w:rsid w:val="0020704C"/>
    <w:rsid w:val="00207079"/>
    <w:rsid w:val="002074F1"/>
    <w:rsid w:val="0020769F"/>
    <w:rsid w:val="002077FA"/>
    <w:rsid w:val="00207A96"/>
    <w:rsid w:val="002101D1"/>
    <w:rsid w:val="00210A10"/>
    <w:rsid w:val="00210AB8"/>
    <w:rsid w:val="0021121E"/>
    <w:rsid w:val="00211523"/>
    <w:rsid w:val="00211B8F"/>
    <w:rsid w:val="00211DD7"/>
    <w:rsid w:val="0021277A"/>
    <w:rsid w:val="002128A8"/>
    <w:rsid w:val="002129C8"/>
    <w:rsid w:val="00212BFD"/>
    <w:rsid w:val="00212D93"/>
    <w:rsid w:val="002133E8"/>
    <w:rsid w:val="00213489"/>
    <w:rsid w:val="0021367C"/>
    <w:rsid w:val="00213A47"/>
    <w:rsid w:val="00214105"/>
    <w:rsid w:val="002144DC"/>
    <w:rsid w:val="002147B0"/>
    <w:rsid w:val="002148BD"/>
    <w:rsid w:val="00214E68"/>
    <w:rsid w:val="002154D5"/>
    <w:rsid w:val="002158DB"/>
    <w:rsid w:val="00215BCF"/>
    <w:rsid w:val="0021655F"/>
    <w:rsid w:val="00216E29"/>
    <w:rsid w:val="00216F8A"/>
    <w:rsid w:val="002173CF"/>
    <w:rsid w:val="00217544"/>
    <w:rsid w:val="00217843"/>
    <w:rsid w:val="0021798C"/>
    <w:rsid w:val="00217BFB"/>
    <w:rsid w:val="00217D85"/>
    <w:rsid w:val="0022025D"/>
    <w:rsid w:val="00220718"/>
    <w:rsid w:val="00220A8F"/>
    <w:rsid w:val="00220B49"/>
    <w:rsid w:val="00220EBF"/>
    <w:rsid w:val="002212D1"/>
    <w:rsid w:val="00221614"/>
    <w:rsid w:val="00221D20"/>
    <w:rsid w:val="0022210A"/>
    <w:rsid w:val="002224F1"/>
    <w:rsid w:val="0022251E"/>
    <w:rsid w:val="002226A3"/>
    <w:rsid w:val="002227A4"/>
    <w:rsid w:val="00222A65"/>
    <w:rsid w:val="00222E78"/>
    <w:rsid w:val="002230F2"/>
    <w:rsid w:val="002231A8"/>
    <w:rsid w:val="0022326C"/>
    <w:rsid w:val="002234DC"/>
    <w:rsid w:val="00223B02"/>
    <w:rsid w:val="00223E8C"/>
    <w:rsid w:val="00224140"/>
    <w:rsid w:val="002252B6"/>
    <w:rsid w:val="0022540E"/>
    <w:rsid w:val="00225614"/>
    <w:rsid w:val="00225AF7"/>
    <w:rsid w:val="00225BB5"/>
    <w:rsid w:val="00226005"/>
    <w:rsid w:val="0022601B"/>
    <w:rsid w:val="002269EF"/>
    <w:rsid w:val="00226AAF"/>
    <w:rsid w:val="00226CE2"/>
    <w:rsid w:val="00226FB4"/>
    <w:rsid w:val="00227120"/>
    <w:rsid w:val="00227553"/>
    <w:rsid w:val="002276AD"/>
    <w:rsid w:val="002300FE"/>
    <w:rsid w:val="00230133"/>
    <w:rsid w:val="00230499"/>
    <w:rsid w:val="00230A3E"/>
    <w:rsid w:val="00230C3A"/>
    <w:rsid w:val="002311EC"/>
    <w:rsid w:val="00231522"/>
    <w:rsid w:val="0023200B"/>
    <w:rsid w:val="00232B53"/>
    <w:rsid w:val="00232BED"/>
    <w:rsid w:val="00232D6E"/>
    <w:rsid w:val="002332E0"/>
    <w:rsid w:val="00233830"/>
    <w:rsid w:val="00233AAA"/>
    <w:rsid w:val="00233C5F"/>
    <w:rsid w:val="00233E77"/>
    <w:rsid w:val="0023403F"/>
    <w:rsid w:val="00234701"/>
    <w:rsid w:val="00234D35"/>
    <w:rsid w:val="00234EBE"/>
    <w:rsid w:val="00234EEA"/>
    <w:rsid w:val="00235024"/>
    <w:rsid w:val="002358A6"/>
    <w:rsid w:val="00235AD6"/>
    <w:rsid w:val="00236428"/>
    <w:rsid w:val="00236C0C"/>
    <w:rsid w:val="0023705C"/>
    <w:rsid w:val="002374A8"/>
    <w:rsid w:val="00237937"/>
    <w:rsid w:val="002379D4"/>
    <w:rsid w:val="00237C4E"/>
    <w:rsid w:val="00237CCC"/>
    <w:rsid w:val="00237F80"/>
    <w:rsid w:val="00240199"/>
    <w:rsid w:val="002403F9"/>
    <w:rsid w:val="00240410"/>
    <w:rsid w:val="002404FA"/>
    <w:rsid w:val="00240572"/>
    <w:rsid w:val="00240754"/>
    <w:rsid w:val="00240E5B"/>
    <w:rsid w:val="002411F8"/>
    <w:rsid w:val="002412C1"/>
    <w:rsid w:val="00241589"/>
    <w:rsid w:val="002416A5"/>
    <w:rsid w:val="002418B1"/>
    <w:rsid w:val="00241989"/>
    <w:rsid w:val="00241B6C"/>
    <w:rsid w:val="00241E1C"/>
    <w:rsid w:val="00242705"/>
    <w:rsid w:val="00242A4F"/>
    <w:rsid w:val="00242EDE"/>
    <w:rsid w:val="00243767"/>
    <w:rsid w:val="00244758"/>
    <w:rsid w:val="00244C40"/>
    <w:rsid w:val="00244E45"/>
    <w:rsid w:val="0024519A"/>
    <w:rsid w:val="0024521C"/>
    <w:rsid w:val="0024535D"/>
    <w:rsid w:val="002456FD"/>
    <w:rsid w:val="00246743"/>
    <w:rsid w:val="00246754"/>
    <w:rsid w:val="00246848"/>
    <w:rsid w:val="0024745E"/>
    <w:rsid w:val="00247E50"/>
    <w:rsid w:val="00250138"/>
    <w:rsid w:val="002505C5"/>
    <w:rsid w:val="0025078F"/>
    <w:rsid w:val="00250944"/>
    <w:rsid w:val="00250B6D"/>
    <w:rsid w:val="00250D2C"/>
    <w:rsid w:val="00251522"/>
    <w:rsid w:val="00251A03"/>
    <w:rsid w:val="00251BA1"/>
    <w:rsid w:val="00251D35"/>
    <w:rsid w:val="00252712"/>
    <w:rsid w:val="002527F5"/>
    <w:rsid w:val="0025295B"/>
    <w:rsid w:val="00253027"/>
    <w:rsid w:val="0025337C"/>
    <w:rsid w:val="002538AB"/>
    <w:rsid w:val="00253975"/>
    <w:rsid w:val="00254030"/>
    <w:rsid w:val="00254179"/>
    <w:rsid w:val="0025437D"/>
    <w:rsid w:val="00254461"/>
    <w:rsid w:val="00254A79"/>
    <w:rsid w:val="00254CFD"/>
    <w:rsid w:val="0025556B"/>
    <w:rsid w:val="00255966"/>
    <w:rsid w:val="002567FD"/>
    <w:rsid w:val="002568E0"/>
    <w:rsid w:val="00256C44"/>
    <w:rsid w:val="00256EE0"/>
    <w:rsid w:val="00256FA6"/>
    <w:rsid w:val="0025762B"/>
    <w:rsid w:val="00257C23"/>
    <w:rsid w:val="00257EEE"/>
    <w:rsid w:val="002602C9"/>
    <w:rsid w:val="002603C1"/>
    <w:rsid w:val="00260707"/>
    <w:rsid w:val="0026082C"/>
    <w:rsid w:val="00260872"/>
    <w:rsid w:val="00260A16"/>
    <w:rsid w:val="0026137F"/>
    <w:rsid w:val="00261501"/>
    <w:rsid w:val="002615A3"/>
    <w:rsid w:val="00261CBB"/>
    <w:rsid w:val="00261F76"/>
    <w:rsid w:val="002620FB"/>
    <w:rsid w:val="00262279"/>
    <w:rsid w:val="00262345"/>
    <w:rsid w:val="00262367"/>
    <w:rsid w:val="00262B27"/>
    <w:rsid w:val="00262B2D"/>
    <w:rsid w:val="00262D84"/>
    <w:rsid w:val="002631F9"/>
    <w:rsid w:val="0026328C"/>
    <w:rsid w:val="002635E3"/>
    <w:rsid w:val="002636DD"/>
    <w:rsid w:val="00263953"/>
    <w:rsid w:val="00263DCA"/>
    <w:rsid w:val="00263E0A"/>
    <w:rsid w:val="002642B7"/>
    <w:rsid w:val="002643EA"/>
    <w:rsid w:val="002649A0"/>
    <w:rsid w:val="002649C7"/>
    <w:rsid w:val="00264B48"/>
    <w:rsid w:val="00264C4D"/>
    <w:rsid w:val="00264DD3"/>
    <w:rsid w:val="002653CC"/>
    <w:rsid w:val="002654AC"/>
    <w:rsid w:val="002655C3"/>
    <w:rsid w:val="00265690"/>
    <w:rsid w:val="00265BCB"/>
    <w:rsid w:val="00265DB8"/>
    <w:rsid w:val="002663CA"/>
    <w:rsid w:val="002668F2"/>
    <w:rsid w:val="00266FBC"/>
    <w:rsid w:val="002676E9"/>
    <w:rsid w:val="00267BF3"/>
    <w:rsid w:val="002702DD"/>
    <w:rsid w:val="00270329"/>
    <w:rsid w:val="0027042A"/>
    <w:rsid w:val="002705B5"/>
    <w:rsid w:val="00270A07"/>
    <w:rsid w:val="00270B4B"/>
    <w:rsid w:val="00270C7A"/>
    <w:rsid w:val="00270F1A"/>
    <w:rsid w:val="00271AA1"/>
    <w:rsid w:val="00271DF9"/>
    <w:rsid w:val="002721A4"/>
    <w:rsid w:val="00272268"/>
    <w:rsid w:val="00272379"/>
    <w:rsid w:val="0027280E"/>
    <w:rsid w:val="00272C7B"/>
    <w:rsid w:val="00272DD6"/>
    <w:rsid w:val="00272F46"/>
    <w:rsid w:val="00272F55"/>
    <w:rsid w:val="0027301F"/>
    <w:rsid w:val="002730EE"/>
    <w:rsid w:val="00273286"/>
    <w:rsid w:val="002733AA"/>
    <w:rsid w:val="00273C78"/>
    <w:rsid w:val="00273E9D"/>
    <w:rsid w:val="002742BD"/>
    <w:rsid w:val="0027461D"/>
    <w:rsid w:val="00274907"/>
    <w:rsid w:val="00274A1E"/>
    <w:rsid w:val="00274EA9"/>
    <w:rsid w:val="00274EB2"/>
    <w:rsid w:val="00274F77"/>
    <w:rsid w:val="00275006"/>
    <w:rsid w:val="002753E4"/>
    <w:rsid w:val="00275C63"/>
    <w:rsid w:val="002760D1"/>
    <w:rsid w:val="00276146"/>
    <w:rsid w:val="00276836"/>
    <w:rsid w:val="002769A7"/>
    <w:rsid w:val="00276A35"/>
    <w:rsid w:val="00277141"/>
    <w:rsid w:val="002771AA"/>
    <w:rsid w:val="002771AB"/>
    <w:rsid w:val="002775D2"/>
    <w:rsid w:val="00277964"/>
    <w:rsid w:val="00277A7C"/>
    <w:rsid w:val="00277F3A"/>
    <w:rsid w:val="002801C3"/>
    <w:rsid w:val="00280414"/>
    <w:rsid w:val="0028077B"/>
    <w:rsid w:val="00280D07"/>
    <w:rsid w:val="00280E63"/>
    <w:rsid w:val="0028117C"/>
    <w:rsid w:val="002821D2"/>
    <w:rsid w:val="00282D7F"/>
    <w:rsid w:val="00283FF5"/>
    <w:rsid w:val="002841F5"/>
    <w:rsid w:val="002842C5"/>
    <w:rsid w:val="00284493"/>
    <w:rsid w:val="002844AF"/>
    <w:rsid w:val="00284676"/>
    <w:rsid w:val="002850F5"/>
    <w:rsid w:val="00285263"/>
    <w:rsid w:val="0028558A"/>
    <w:rsid w:val="00285A3C"/>
    <w:rsid w:val="00285D41"/>
    <w:rsid w:val="0028699F"/>
    <w:rsid w:val="00286E2B"/>
    <w:rsid w:val="00286F3A"/>
    <w:rsid w:val="002870ED"/>
    <w:rsid w:val="002871E3"/>
    <w:rsid w:val="00287345"/>
    <w:rsid w:val="002874E3"/>
    <w:rsid w:val="002876BB"/>
    <w:rsid w:val="00287892"/>
    <w:rsid w:val="002878D7"/>
    <w:rsid w:val="002879BD"/>
    <w:rsid w:val="00287FCE"/>
    <w:rsid w:val="0029053A"/>
    <w:rsid w:val="00290E28"/>
    <w:rsid w:val="002910EB"/>
    <w:rsid w:val="00291256"/>
    <w:rsid w:val="00291D82"/>
    <w:rsid w:val="00291EBA"/>
    <w:rsid w:val="00292053"/>
    <w:rsid w:val="00292D1E"/>
    <w:rsid w:val="00293539"/>
    <w:rsid w:val="002935AA"/>
    <w:rsid w:val="002939B6"/>
    <w:rsid w:val="0029441C"/>
    <w:rsid w:val="002944F4"/>
    <w:rsid w:val="0029450B"/>
    <w:rsid w:val="002945A3"/>
    <w:rsid w:val="00294ACE"/>
    <w:rsid w:val="00294B59"/>
    <w:rsid w:val="00294D45"/>
    <w:rsid w:val="00295064"/>
    <w:rsid w:val="002952FA"/>
    <w:rsid w:val="00295ADB"/>
    <w:rsid w:val="00295CAF"/>
    <w:rsid w:val="00295DB1"/>
    <w:rsid w:val="00295E9E"/>
    <w:rsid w:val="00295F68"/>
    <w:rsid w:val="00296202"/>
    <w:rsid w:val="00296239"/>
    <w:rsid w:val="00296377"/>
    <w:rsid w:val="0029642F"/>
    <w:rsid w:val="002966DD"/>
    <w:rsid w:val="00296A2F"/>
    <w:rsid w:val="0029702E"/>
    <w:rsid w:val="002971BC"/>
    <w:rsid w:val="002973EC"/>
    <w:rsid w:val="00297576"/>
    <w:rsid w:val="00297B23"/>
    <w:rsid w:val="002A001C"/>
    <w:rsid w:val="002A00FB"/>
    <w:rsid w:val="002A020D"/>
    <w:rsid w:val="002A13A6"/>
    <w:rsid w:val="002A178A"/>
    <w:rsid w:val="002A1F8E"/>
    <w:rsid w:val="002A2132"/>
    <w:rsid w:val="002A2299"/>
    <w:rsid w:val="002A26BF"/>
    <w:rsid w:val="002A2B60"/>
    <w:rsid w:val="002A2BA0"/>
    <w:rsid w:val="002A2F11"/>
    <w:rsid w:val="002A31D1"/>
    <w:rsid w:val="002A3E5E"/>
    <w:rsid w:val="002A406A"/>
    <w:rsid w:val="002A4379"/>
    <w:rsid w:val="002A4BBB"/>
    <w:rsid w:val="002A4E97"/>
    <w:rsid w:val="002A525A"/>
    <w:rsid w:val="002A54BC"/>
    <w:rsid w:val="002A5CB0"/>
    <w:rsid w:val="002A5FA0"/>
    <w:rsid w:val="002A612B"/>
    <w:rsid w:val="002A6969"/>
    <w:rsid w:val="002A6B4C"/>
    <w:rsid w:val="002A7177"/>
    <w:rsid w:val="002A74C0"/>
    <w:rsid w:val="002A752A"/>
    <w:rsid w:val="002A7AA4"/>
    <w:rsid w:val="002A7DEF"/>
    <w:rsid w:val="002B04E2"/>
    <w:rsid w:val="002B05F9"/>
    <w:rsid w:val="002B0757"/>
    <w:rsid w:val="002B0815"/>
    <w:rsid w:val="002B0DC4"/>
    <w:rsid w:val="002B121C"/>
    <w:rsid w:val="002B14A7"/>
    <w:rsid w:val="002B1671"/>
    <w:rsid w:val="002B1A83"/>
    <w:rsid w:val="002B1B6D"/>
    <w:rsid w:val="002B2035"/>
    <w:rsid w:val="002B262D"/>
    <w:rsid w:val="002B2761"/>
    <w:rsid w:val="002B3532"/>
    <w:rsid w:val="002B3E31"/>
    <w:rsid w:val="002B3F0F"/>
    <w:rsid w:val="002B40D6"/>
    <w:rsid w:val="002B41B9"/>
    <w:rsid w:val="002B438F"/>
    <w:rsid w:val="002B4634"/>
    <w:rsid w:val="002B491E"/>
    <w:rsid w:val="002B5086"/>
    <w:rsid w:val="002B5260"/>
    <w:rsid w:val="002B5287"/>
    <w:rsid w:val="002B56E5"/>
    <w:rsid w:val="002B5842"/>
    <w:rsid w:val="002B599B"/>
    <w:rsid w:val="002B5C56"/>
    <w:rsid w:val="002B5E25"/>
    <w:rsid w:val="002B5F44"/>
    <w:rsid w:val="002B632E"/>
    <w:rsid w:val="002B65F0"/>
    <w:rsid w:val="002B679A"/>
    <w:rsid w:val="002B704F"/>
    <w:rsid w:val="002B7078"/>
    <w:rsid w:val="002B7699"/>
    <w:rsid w:val="002B77D0"/>
    <w:rsid w:val="002B7862"/>
    <w:rsid w:val="002B7BA5"/>
    <w:rsid w:val="002B7FDF"/>
    <w:rsid w:val="002C0261"/>
    <w:rsid w:val="002C0C91"/>
    <w:rsid w:val="002C11FB"/>
    <w:rsid w:val="002C1509"/>
    <w:rsid w:val="002C18B4"/>
    <w:rsid w:val="002C23D5"/>
    <w:rsid w:val="002C2957"/>
    <w:rsid w:val="002C2A1D"/>
    <w:rsid w:val="002C2A71"/>
    <w:rsid w:val="002C361C"/>
    <w:rsid w:val="002C3DCA"/>
    <w:rsid w:val="002C4601"/>
    <w:rsid w:val="002C4C57"/>
    <w:rsid w:val="002C53E1"/>
    <w:rsid w:val="002C54CF"/>
    <w:rsid w:val="002C56D8"/>
    <w:rsid w:val="002C6712"/>
    <w:rsid w:val="002C6A0F"/>
    <w:rsid w:val="002C7491"/>
    <w:rsid w:val="002C7B7F"/>
    <w:rsid w:val="002D0470"/>
    <w:rsid w:val="002D04A4"/>
    <w:rsid w:val="002D0911"/>
    <w:rsid w:val="002D0D12"/>
    <w:rsid w:val="002D0EAB"/>
    <w:rsid w:val="002D1518"/>
    <w:rsid w:val="002D152E"/>
    <w:rsid w:val="002D19D3"/>
    <w:rsid w:val="002D1AE3"/>
    <w:rsid w:val="002D315C"/>
    <w:rsid w:val="002D336C"/>
    <w:rsid w:val="002D3B29"/>
    <w:rsid w:val="002D40F3"/>
    <w:rsid w:val="002D4223"/>
    <w:rsid w:val="002D4320"/>
    <w:rsid w:val="002D4847"/>
    <w:rsid w:val="002D49CA"/>
    <w:rsid w:val="002D566D"/>
    <w:rsid w:val="002D5A49"/>
    <w:rsid w:val="002D6D9A"/>
    <w:rsid w:val="002D7091"/>
    <w:rsid w:val="002D72B4"/>
    <w:rsid w:val="002D74E1"/>
    <w:rsid w:val="002D7FC5"/>
    <w:rsid w:val="002E03AA"/>
    <w:rsid w:val="002E1155"/>
    <w:rsid w:val="002E1649"/>
    <w:rsid w:val="002E16A8"/>
    <w:rsid w:val="002E227E"/>
    <w:rsid w:val="002E2955"/>
    <w:rsid w:val="002E31CE"/>
    <w:rsid w:val="002E36C0"/>
    <w:rsid w:val="002E40DE"/>
    <w:rsid w:val="002E415D"/>
    <w:rsid w:val="002E45FA"/>
    <w:rsid w:val="002E4643"/>
    <w:rsid w:val="002E4A8B"/>
    <w:rsid w:val="002E4CE1"/>
    <w:rsid w:val="002E4FD8"/>
    <w:rsid w:val="002E50C7"/>
    <w:rsid w:val="002E51CE"/>
    <w:rsid w:val="002E641B"/>
    <w:rsid w:val="002E6A7F"/>
    <w:rsid w:val="002E6C17"/>
    <w:rsid w:val="002E6F59"/>
    <w:rsid w:val="002E79F9"/>
    <w:rsid w:val="002F0789"/>
    <w:rsid w:val="002F07CE"/>
    <w:rsid w:val="002F0B63"/>
    <w:rsid w:val="002F0E96"/>
    <w:rsid w:val="002F0F71"/>
    <w:rsid w:val="002F172F"/>
    <w:rsid w:val="002F2418"/>
    <w:rsid w:val="002F2C3E"/>
    <w:rsid w:val="002F3A3E"/>
    <w:rsid w:val="002F3C10"/>
    <w:rsid w:val="002F3E90"/>
    <w:rsid w:val="002F4181"/>
    <w:rsid w:val="002F42A0"/>
    <w:rsid w:val="002F484B"/>
    <w:rsid w:val="002F48BE"/>
    <w:rsid w:val="002F5441"/>
    <w:rsid w:val="002F6158"/>
    <w:rsid w:val="002F6187"/>
    <w:rsid w:val="002F62F2"/>
    <w:rsid w:val="002F68E9"/>
    <w:rsid w:val="002F6A5A"/>
    <w:rsid w:val="002F70D9"/>
    <w:rsid w:val="002F748A"/>
    <w:rsid w:val="002F75E9"/>
    <w:rsid w:val="002F766F"/>
    <w:rsid w:val="002F7683"/>
    <w:rsid w:val="002F7798"/>
    <w:rsid w:val="003004A0"/>
    <w:rsid w:val="00300733"/>
    <w:rsid w:val="00300CB5"/>
    <w:rsid w:val="00300DBE"/>
    <w:rsid w:val="00301281"/>
    <w:rsid w:val="00301686"/>
    <w:rsid w:val="00301CB4"/>
    <w:rsid w:val="0030220F"/>
    <w:rsid w:val="0030233E"/>
    <w:rsid w:val="00302DA6"/>
    <w:rsid w:val="0030376E"/>
    <w:rsid w:val="00303AC7"/>
    <w:rsid w:val="00303D34"/>
    <w:rsid w:val="00304050"/>
    <w:rsid w:val="00304075"/>
    <w:rsid w:val="00304503"/>
    <w:rsid w:val="00304545"/>
    <w:rsid w:val="003045DA"/>
    <w:rsid w:val="00304D7C"/>
    <w:rsid w:val="00305968"/>
    <w:rsid w:val="00305B8F"/>
    <w:rsid w:val="00305BB7"/>
    <w:rsid w:val="00305C51"/>
    <w:rsid w:val="00305DA6"/>
    <w:rsid w:val="00305F01"/>
    <w:rsid w:val="0030602E"/>
    <w:rsid w:val="00306384"/>
    <w:rsid w:val="0030667E"/>
    <w:rsid w:val="00306760"/>
    <w:rsid w:val="00306AA3"/>
    <w:rsid w:val="00306FDC"/>
    <w:rsid w:val="00307409"/>
    <w:rsid w:val="00307839"/>
    <w:rsid w:val="00307993"/>
    <w:rsid w:val="00307CCE"/>
    <w:rsid w:val="00307FD1"/>
    <w:rsid w:val="003101B5"/>
    <w:rsid w:val="003103C7"/>
    <w:rsid w:val="00310743"/>
    <w:rsid w:val="00310BEE"/>
    <w:rsid w:val="00311306"/>
    <w:rsid w:val="003114DD"/>
    <w:rsid w:val="00311939"/>
    <w:rsid w:val="00311C98"/>
    <w:rsid w:val="003125A5"/>
    <w:rsid w:val="00312610"/>
    <w:rsid w:val="0031278E"/>
    <w:rsid w:val="00312C7B"/>
    <w:rsid w:val="00312D3B"/>
    <w:rsid w:val="00312DCB"/>
    <w:rsid w:val="0031314E"/>
    <w:rsid w:val="003132A4"/>
    <w:rsid w:val="00313520"/>
    <w:rsid w:val="00313729"/>
    <w:rsid w:val="003137E3"/>
    <w:rsid w:val="00313B9C"/>
    <w:rsid w:val="00313F3D"/>
    <w:rsid w:val="0031400F"/>
    <w:rsid w:val="00314571"/>
    <w:rsid w:val="00314E1E"/>
    <w:rsid w:val="0031588C"/>
    <w:rsid w:val="00315906"/>
    <w:rsid w:val="00315B0C"/>
    <w:rsid w:val="0031623C"/>
    <w:rsid w:val="00316876"/>
    <w:rsid w:val="0031688F"/>
    <w:rsid w:val="003168A9"/>
    <w:rsid w:val="003175FC"/>
    <w:rsid w:val="0031771F"/>
    <w:rsid w:val="00317CA6"/>
    <w:rsid w:val="00317F04"/>
    <w:rsid w:val="00317FC7"/>
    <w:rsid w:val="00320190"/>
    <w:rsid w:val="00321254"/>
    <w:rsid w:val="00321701"/>
    <w:rsid w:val="00321AAD"/>
    <w:rsid w:val="00321EE7"/>
    <w:rsid w:val="0032254A"/>
    <w:rsid w:val="00322960"/>
    <w:rsid w:val="00322BDB"/>
    <w:rsid w:val="00322BF8"/>
    <w:rsid w:val="00323326"/>
    <w:rsid w:val="00323B25"/>
    <w:rsid w:val="00323D6D"/>
    <w:rsid w:val="003242DD"/>
    <w:rsid w:val="00324D60"/>
    <w:rsid w:val="00324F54"/>
    <w:rsid w:val="00325269"/>
    <w:rsid w:val="0032528E"/>
    <w:rsid w:val="00325505"/>
    <w:rsid w:val="0032557D"/>
    <w:rsid w:val="003255DC"/>
    <w:rsid w:val="0032580D"/>
    <w:rsid w:val="00325B96"/>
    <w:rsid w:val="00325C9D"/>
    <w:rsid w:val="00325D83"/>
    <w:rsid w:val="00325EEC"/>
    <w:rsid w:val="0032631F"/>
    <w:rsid w:val="003268A8"/>
    <w:rsid w:val="00327254"/>
    <w:rsid w:val="00327319"/>
    <w:rsid w:val="0032731D"/>
    <w:rsid w:val="00327573"/>
    <w:rsid w:val="00327B5F"/>
    <w:rsid w:val="0033001D"/>
    <w:rsid w:val="00330189"/>
    <w:rsid w:val="00330B46"/>
    <w:rsid w:val="00330B4B"/>
    <w:rsid w:val="00330B79"/>
    <w:rsid w:val="003311A9"/>
    <w:rsid w:val="0033192D"/>
    <w:rsid w:val="00331B13"/>
    <w:rsid w:val="00331FD5"/>
    <w:rsid w:val="00331FF8"/>
    <w:rsid w:val="00332478"/>
    <w:rsid w:val="0033259F"/>
    <w:rsid w:val="003328D5"/>
    <w:rsid w:val="00332B5F"/>
    <w:rsid w:val="00332B9C"/>
    <w:rsid w:val="00332DE7"/>
    <w:rsid w:val="003331F8"/>
    <w:rsid w:val="00333571"/>
    <w:rsid w:val="0033388D"/>
    <w:rsid w:val="00333B07"/>
    <w:rsid w:val="00334473"/>
    <w:rsid w:val="00334A80"/>
    <w:rsid w:val="00334FC9"/>
    <w:rsid w:val="003353F1"/>
    <w:rsid w:val="00335401"/>
    <w:rsid w:val="003357B6"/>
    <w:rsid w:val="00335ABA"/>
    <w:rsid w:val="00335AC1"/>
    <w:rsid w:val="00336294"/>
    <w:rsid w:val="003366D6"/>
    <w:rsid w:val="003366DB"/>
    <w:rsid w:val="003368F4"/>
    <w:rsid w:val="00336B70"/>
    <w:rsid w:val="003371A8"/>
    <w:rsid w:val="0033742A"/>
    <w:rsid w:val="00337767"/>
    <w:rsid w:val="00337BD7"/>
    <w:rsid w:val="00337E4F"/>
    <w:rsid w:val="003400BD"/>
    <w:rsid w:val="003402B5"/>
    <w:rsid w:val="00340ACF"/>
    <w:rsid w:val="003417E1"/>
    <w:rsid w:val="00341C3F"/>
    <w:rsid w:val="00341CE4"/>
    <w:rsid w:val="00342157"/>
    <w:rsid w:val="0034215B"/>
    <w:rsid w:val="003421F2"/>
    <w:rsid w:val="00342539"/>
    <w:rsid w:val="00342BA3"/>
    <w:rsid w:val="00342BB9"/>
    <w:rsid w:val="003431D8"/>
    <w:rsid w:val="0034341E"/>
    <w:rsid w:val="0034362B"/>
    <w:rsid w:val="003444B0"/>
    <w:rsid w:val="00344A3B"/>
    <w:rsid w:val="00344BD7"/>
    <w:rsid w:val="00345289"/>
    <w:rsid w:val="003452CF"/>
    <w:rsid w:val="00345358"/>
    <w:rsid w:val="0034539D"/>
    <w:rsid w:val="00345717"/>
    <w:rsid w:val="003461B8"/>
    <w:rsid w:val="00346653"/>
    <w:rsid w:val="003467FB"/>
    <w:rsid w:val="003469F3"/>
    <w:rsid w:val="00347022"/>
    <w:rsid w:val="00347162"/>
    <w:rsid w:val="0034794F"/>
    <w:rsid w:val="00347ECA"/>
    <w:rsid w:val="00350167"/>
    <w:rsid w:val="00350206"/>
    <w:rsid w:val="003504F9"/>
    <w:rsid w:val="00350521"/>
    <w:rsid w:val="0035087E"/>
    <w:rsid w:val="003509F6"/>
    <w:rsid w:val="00350B3D"/>
    <w:rsid w:val="00350C4F"/>
    <w:rsid w:val="003512AE"/>
    <w:rsid w:val="0035142A"/>
    <w:rsid w:val="00351E34"/>
    <w:rsid w:val="00352317"/>
    <w:rsid w:val="003525A8"/>
    <w:rsid w:val="00352876"/>
    <w:rsid w:val="00352989"/>
    <w:rsid w:val="00352F39"/>
    <w:rsid w:val="003535BA"/>
    <w:rsid w:val="0035374F"/>
    <w:rsid w:val="0035375A"/>
    <w:rsid w:val="00354014"/>
    <w:rsid w:val="003540EE"/>
    <w:rsid w:val="003545EE"/>
    <w:rsid w:val="00354656"/>
    <w:rsid w:val="00354979"/>
    <w:rsid w:val="00354AAD"/>
    <w:rsid w:val="003551BA"/>
    <w:rsid w:val="00355618"/>
    <w:rsid w:val="0035580E"/>
    <w:rsid w:val="003559C0"/>
    <w:rsid w:val="00355BE4"/>
    <w:rsid w:val="00356150"/>
    <w:rsid w:val="003561BA"/>
    <w:rsid w:val="0035624D"/>
    <w:rsid w:val="00356340"/>
    <w:rsid w:val="00356B97"/>
    <w:rsid w:val="00356D7C"/>
    <w:rsid w:val="003573AE"/>
    <w:rsid w:val="00357777"/>
    <w:rsid w:val="00357AD3"/>
    <w:rsid w:val="00360A8F"/>
    <w:rsid w:val="00360DA3"/>
    <w:rsid w:val="00360DB6"/>
    <w:rsid w:val="00360EC1"/>
    <w:rsid w:val="00361099"/>
    <w:rsid w:val="00361355"/>
    <w:rsid w:val="003613E7"/>
    <w:rsid w:val="00361870"/>
    <w:rsid w:val="00361A01"/>
    <w:rsid w:val="00361C69"/>
    <w:rsid w:val="003620E6"/>
    <w:rsid w:val="003625BE"/>
    <w:rsid w:val="003629AC"/>
    <w:rsid w:val="00362A9A"/>
    <w:rsid w:val="00362ACF"/>
    <w:rsid w:val="00362AF9"/>
    <w:rsid w:val="00362FAE"/>
    <w:rsid w:val="00363CFC"/>
    <w:rsid w:val="00363D7C"/>
    <w:rsid w:val="00364411"/>
    <w:rsid w:val="00364773"/>
    <w:rsid w:val="00364EB2"/>
    <w:rsid w:val="0036519F"/>
    <w:rsid w:val="003655DD"/>
    <w:rsid w:val="00365623"/>
    <w:rsid w:val="00365790"/>
    <w:rsid w:val="003661AB"/>
    <w:rsid w:val="003665F7"/>
    <w:rsid w:val="0036664C"/>
    <w:rsid w:val="00366CA3"/>
    <w:rsid w:val="00366D03"/>
    <w:rsid w:val="00366EDD"/>
    <w:rsid w:val="00366FA1"/>
    <w:rsid w:val="0036778D"/>
    <w:rsid w:val="00367AA4"/>
    <w:rsid w:val="00370034"/>
    <w:rsid w:val="003702B9"/>
    <w:rsid w:val="00370361"/>
    <w:rsid w:val="00370829"/>
    <w:rsid w:val="00370ACF"/>
    <w:rsid w:val="00370DE1"/>
    <w:rsid w:val="00370E97"/>
    <w:rsid w:val="00370F1E"/>
    <w:rsid w:val="0037129F"/>
    <w:rsid w:val="0037171E"/>
    <w:rsid w:val="00371C25"/>
    <w:rsid w:val="00371DFB"/>
    <w:rsid w:val="00372015"/>
    <w:rsid w:val="0037227B"/>
    <w:rsid w:val="003725C4"/>
    <w:rsid w:val="003726D9"/>
    <w:rsid w:val="00372DE2"/>
    <w:rsid w:val="003732D4"/>
    <w:rsid w:val="003736C0"/>
    <w:rsid w:val="003737FF"/>
    <w:rsid w:val="003738B7"/>
    <w:rsid w:val="00374380"/>
    <w:rsid w:val="003746AE"/>
    <w:rsid w:val="00374DA5"/>
    <w:rsid w:val="0037542C"/>
    <w:rsid w:val="00375546"/>
    <w:rsid w:val="00375A71"/>
    <w:rsid w:val="00375DE0"/>
    <w:rsid w:val="00375DE7"/>
    <w:rsid w:val="003761D3"/>
    <w:rsid w:val="003764A5"/>
    <w:rsid w:val="00376B68"/>
    <w:rsid w:val="00376D15"/>
    <w:rsid w:val="00377375"/>
    <w:rsid w:val="003801EE"/>
    <w:rsid w:val="0038066A"/>
    <w:rsid w:val="00380A2F"/>
    <w:rsid w:val="00380CE9"/>
    <w:rsid w:val="00380FB2"/>
    <w:rsid w:val="003810E3"/>
    <w:rsid w:val="0038155B"/>
    <w:rsid w:val="0038193F"/>
    <w:rsid w:val="00381CBE"/>
    <w:rsid w:val="00382A71"/>
    <w:rsid w:val="00382B79"/>
    <w:rsid w:val="00382BCD"/>
    <w:rsid w:val="003836EB"/>
    <w:rsid w:val="00383D3D"/>
    <w:rsid w:val="00383EA3"/>
    <w:rsid w:val="00384749"/>
    <w:rsid w:val="003847AC"/>
    <w:rsid w:val="00384AE3"/>
    <w:rsid w:val="003853F7"/>
    <w:rsid w:val="0038592C"/>
    <w:rsid w:val="00386407"/>
    <w:rsid w:val="003867F4"/>
    <w:rsid w:val="00386A46"/>
    <w:rsid w:val="00386DAD"/>
    <w:rsid w:val="00387251"/>
    <w:rsid w:val="00387310"/>
    <w:rsid w:val="0038768E"/>
    <w:rsid w:val="00387A85"/>
    <w:rsid w:val="00390D3E"/>
    <w:rsid w:val="00390F96"/>
    <w:rsid w:val="0039118A"/>
    <w:rsid w:val="0039122B"/>
    <w:rsid w:val="00391337"/>
    <w:rsid w:val="0039181D"/>
    <w:rsid w:val="00391B92"/>
    <w:rsid w:val="00391E0A"/>
    <w:rsid w:val="00391EF4"/>
    <w:rsid w:val="00391FF9"/>
    <w:rsid w:val="003922D5"/>
    <w:rsid w:val="00392B47"/>
    <w:rsid w:val="00392D69"/>
    <w:rsid w:val="00392F56"/>
    <w:rsid w:val="00392FF7"/>
    <w:rsid w:val="003934BC"/>
    <w:rsid w:val="00393526"/>
    <w:rsid w:val="00393714"/>
    <w:rsid w:val="00393863"/>
    <w:rsid w:val="00393903"/>
    <w:rsid w:val="003943DD"/>
    <w:rsid w:val="00394749"/>
    <w:rsid w:val="003947D3"/>
    <w:rsid w:val="00394985"/>
    <w:rsid w:val="00394CAD"/>
    <w:rsid w:val="003955E9"/>
    <w:rsid w:val="00395998"/>
    <w:rsid w:val="00395CF4"/>
    <w:rsid w:val="00395EEF"/>
    <w:rsid w:val="00395F03"/>
    <w:rsid w:val="0039620A"/>
    <w:rsid w:val="003967BB"/>
    <w:rsid w:val="0039688B"/>
    <w:rsid w:val="00396A1F"/>
    <w:rsid w:val="00396D52"/>
    <w:rsid w:val="00396EA6"/>
    <w:rsid w:val="00397626"/>
    <w:rsid w:val="00397949"/>
    <w:rsid w:val="00397AC9"/>
    <w:rsid w:val="00397BFF"/>
    <w:rsid w:val="003A05EF"/>
    <w:rsid w:val="003A0607"/>
    <w:rsid w:val="003A07C4"/>
    <w:rsid w:val="003A15E7"/>
    <w:rsid w:val="003A198D"/>
    <w:rsid w:val="003A19F9"/>
    <w:rsid w:val="003A1BF4"/>
    <w:rsid w:val="003A1EE7"/>
    <w:rsid w:val="003A2A4E"/>
    <w:rsid w:val="003A3DB7"/>
    <w:rsid w:val="003A3DD3"/>
    <w:rsid w:val="003A4008"/>
    <w:rsid w:val="003A4B5A"/>
    <w:rsid w:val="003A4CB0"/>
    <w:rsid w:val="003A4E54"/>
    <w:rsid w:val="003A5A69"/>
    <w:rsid w:val="003A5DD4"/>
    <w:rsid w:val="003A5E9A"/>
    <w:rsid w:val="003A60B8"/>
    <w:rsid w:val="003A65F6"/>
    <w:rsid w:val="003A68A2"/>
    <w:rsid w:val="003A68B8"/>
    <w:rsid w:val="003A6C81"/>
    <w:rsid w:val="003A78F6"/>
    <w:rsid w:val="003A7C04"/>
    <w:rsid w:val="003A7F6D"/>
    <w:rsid w:val="003B037A"/>
    <w:rsid w:val="003B05D3"/>
    <w:rsid w:val="003B06F3"/>
    <w:rsid w:val="003B0B4A"/>
    <w:rsid w:val="003B0D01"/>
    <w:rsid w:val="003B105C"/>
    <w:rsid w:val="003B1178"/>
    <w:rsid w:val="003B157E"/>
    <w:rsid w:val="003B1624"/>
    <w:rsid w:val="003B1801"/>
    <w:rsid w:val="003B1B1A"/>
    <w:rsid w:val="003B1C4D"/>
    <w:rsid w:val="003B222D"/>
    <w:rsid w:val="003B25D7"/>
    <w:rsid w:val="003B2634"/>
    <w:rsid w:val="003B26F1"/>
    <w:rsid w:val="003B2E84"/>
    <w:rsid w:val="003B329A"/>
    <w:rsid w:val="003B3934"/>
    <w:rsid w:val="003B3CA9"/>
    <w:rsid w:val="003B3D35"/>
    <w:rsid w:val="003B3DA9"/>
    <w:rsid w:val="003B4697"/>
    <w:rsid w:val="003B479C"/>
    <w:rsid w:val="003B486B"/>
    <w:rsid w:val="003B4A61"/>
    <w:rsid w:val="003B4A67"/>
    <w:rsid w:val="003B4E03"/>
    <w:rsid w:val="003B4EB6"/>
    <w:rsid w:val="003B4F26"/>
    <w:rsid w:val="003B55E8"/>
    <w:rsid w:val="003B5C40"/>
    <w:rsid w:val="003B5FED"/>
    <w:rsid w:val="003B6222"/>
    <w:rsid w:val="003B62E5"/>
    <w:rsid w:val="003B66B8"/>
    <w:rsid w:val="003B6CD0"/>
    <w:rsid w:val="003B701C"/>
    <w:rsid w:val="003B7103"/>
    <w:rsid w:val="003B72B4"/>
    <w:rsid w:val="003B7439"/>
    <w:rsid w:val="003B757E"/>
    <w:rsid w:val="003B7C35"/>
    <w:rsid w:val="003B7EB6"/>
    <w:rsid w:val="003C009F"/>
    <w:rsid w:val="003C03D8"/>
    <w:rsid w:val="003C044C"/>
    <w:rsid w:val="003C048C"/>
    <w:rsid w:val="003C0769"/>
    <w:rsid w:val="003C0BBC"/>
    <w:rsid w:val="003C1522"/>
    <w:rsid w:val="003C1702"/>
    <w:rsid w:val="003C1DA0"/>
    <w:rsid w:val="003C1E05"/>
    <w:rsid w:val="003C21FB"/>
    <w:rsid w:val="003C2BC5"/>
    <w:rsid w:val="003C2C8D"/>
    <w:rsid w:val="003C2D05"/>
    <w:rsid w:val="003C2ED0"/>
    <w:rsid w:val="003C3500"/>
    <w:rsid w:val="003C357A"/>
    <w:rsid w:val="003C48C2"/>
    <w:rsid w:val="003C48E4"/>
    <w:rsid w:val="003C4BA1"/>
    <w:rsid w:val="003C4C20"/>
    <w:rsid w:val="003C4C76"/>
    <w:rsid w:val="003C4D0E"/>
    <w:rsid w:val="003C4FA9"/>
    <w:rsid w:val="003C4FE9"/>
    <w:rsid w:val="003C54E2"/>
    <w:rsid w:val="003C54FA"/>
    <w:rsid w:val="003C5BF9"/>
    <w:rsid w:val="003C5F75"/>
    <w:rsid w:val="003C653F"/>
    <w:rsid w:val="003C66DE"/>
    <w:rsid w:val="003C68EF"/>
    <w:rsid w:val="003C770D"/>
    <w:rsid w:val="003C7A39"/>
    <w:rsid w:val="003C7B7F"/>
    <w:rsid w:val="003D0141"/>
    <w:rsid w:val="003D0246"/>
    <w:rsid w:val="003D06E4"/>
    <w:rsid w:val="003D0B84"/>
    <w:rsid w:val="003D15C6"/>
    <w:rsid w:val="003D21C9"/>
    <w:rsid w:val="003D24F8"/>
    <w:rsid w:val="003D26F8"/>
    <w:rsid w:val="003D3912"/>
    <w:rsid w:val="003D3AE9"/>
    <w:rsid w:val="003D3BF3"/>
    <w:rsid w:val="003D3C25"/>
    <w:rsid w:val="003D3DD5"/>
    <w:rsid w:val="003D4274"/>
    <w:rsid w:val="003D44DB"/>
    <w:rsid w:val="003D456C"/>
    <w:rsid w:val="003D473C"/>
    <w:rsid w:val="003D497B"/>
    <w:rsid w:val="003D49E2"/>
    <w:rsid w:val="003D4B4D"/>
    <w:rsid w:val="003D4CFE"/>
    <w:rsid w:val="003D4DEE"/>
    <w:rsid w:val="003D4EBC"/>
    <w:rsid w:val="003D4FEE"/>
    <w:rsid w:val="003D50EF"/>
    <w:rsid w:val="003D511E"/>
    <w:rsid w:val="003D51BA"/>
    <w:rsid w:val="003D5426"/>
    <w:rsid w:val="003D5873"/>
    <w:rsid w:val="003D58BA"/>
    <w:rsid w:val="003D62B5"/>
    <w:rsid w:val="003D6485"/>
    <w:rsid w:val="003D6603"/>
    <w:rsid w:val="003D6681"/>
    <w:rsid w:val="003D6D4C"/>
    <w:rsid w:val="003D749C"/>
    <w:rsid w:val="003D789C"/>
    <w:rsid w:val="003D7B4F"/>
    <w:rsid w:val="003E0012"/>
    <w:rsid w:val="003E05F5"/>
    <w:rsid w:val="003E080F"/>
    <w:rsid w:val="003E0ACB"/>
    <w:rsid w:val="003E0BDD"/>
    <w:rsid w:val="003E0FFA"/>
    <w:rsid w:val="003E1142"/>
    <w:rsid w:val="003E1183"/>
    <w:rsid w:val="003E11F4"/>
    <w:rsid w:val="003E12BA"/>
    <w:rsid w:val="003E13A3"/>
    <w:rsid w:val="003E13AD"/>
    <w:rsid w:val="003E1812"/>
    <w:rsid w:val="003E1A3B"/>
    <w:rsid w:val="003E1AAA"/>
    <w:rsid w:val="003E1DCF"/>
    <w:rsid w:val="003E221E"/>
    <w:rsid w:val="003E2A66"/>
    <w:rsid w:val="003E2A8F"/>
    <w:rsid w:val="003E2B01"/>
    <w:rsid w:val="003E2D48"/>
    <w:rsid w:val="003E370C"/>
    <w:rsid w:val="003E3758"/>
    <w:rsid w:val="003E4292"/>
    <w:rsid w:val="003E579E"/>
    <w:rsid w:val="003E58D1"/>
    <w:rsid w:val="003E5B11"/>
    <w:rsid w:val="003E60A7"/>
    <w:rsid w:val="003E65DE"/>
    <w:rsid w:val="003E68DE"/>
    <w:rsid w:val="003E6970"/>
    <w:rsid w:val="003E70DE"/>
    <w:rsid w:val="003E7374"/>
    <w:rsid w:val="003E7673"/>
    <w:rsid w:val="003E7BEC"/>
    <w:rsid w:val="003E7E3A"/>
    <w:rsid w:val="003F0078"/>
    <w:rsid w:val="003F0142"/>
    <w:rsid w:val="003F01CB"/>
    <w:rsid w:val="003F0429"/>
    <w:rsid w:val="003F0A39"/>
    <w:rsid w:val="003F0C35"/>
    <w:rsid w:val="003F0E4C"/>
    <w:rsid w:val="003F10DB"/>
    <w:rsid w:val="003F123D"/>
    <w:rsid w:val="003F12DD"/>
    <w:rsid w:val="003F1570"/>
    <w:rsid w:val="003F1E10"/>
    <w:rsid w:val="003F1F49"/>
    <w:rsid w:val="003F20B0"/>
    <w:rsid w:val="003F2193"/>
    <w:rsid w:val="003F23F1"/>
    <w:rsid w:val="003F30C9"/>
    <w:rsid w:val="003F31D1"/>
    <w:rsid w:val="003F4313"/>
    <w:rsid w:val="003F45BA"/>
    <w:rsid w:val="003F47F8"/>
    <w:rsid w:val="003F48A9"/>
    <w:rsid w:val="003F4FDF"/>
    <w:rsid w:val="003F56D7"/>
    <w:rsid w:val="003F58FD"/>
    <w:rsid w:val="003F5900"/>
    <w:rsid w:val="003F6AF5"/>
    <w:rsid w:val="003F7099"/>
    <w:rsid w:val="003F72BE"/>
    <w:rsid w:val="003F7945"/>
    <w:rsid w:val="003F7BBA"/>
    <w:rsid w:val="004006AF"/>
    <w:rsid w:val="00400742"/>
    <w:rsid w:val="004009AD"/>
    <w:rsid w:val="004009E2"/>
    <w:rsid w:val="00400DB2"/>
    <w:rsid w:val="00400E82"/>
    <w:rsid w:val="00401057"/>
    <w:rsid w:val="004014AD"/>
    <w:rsid w:val="004014CB"/>
    <w:rsid w:val="0040164E"/>
    <w:rsid w:val="004017E1"/>
    <w:rsid w:val="004022EE"/>
    <w:rsid w:val="00402356"/>
    <w:rsid w:val="004023F3"/>
    <w:rsid w:val="00402C01"/>
    <w:rsid w:val="00402D3D"/>
    <w:rsid w:val="00402D9A"/>
    <w:rsid w:val="00403780"/>
    <w:rsid w:val="004038AA"/>
    <w:rsid w:val="00403A6C"/>
    <w:rsid w:val="004044A3"/>
    <w:rsid w:val="00404611"/>
    <w:rsid w:val="00404AFB"/>
    <w:rsid w:val="00404F9C"/>
    <w:rsid w:val="00405986"/>
    <w:rsid w:val="004060BD"/>
    <w:rsid w:val="0040610F"/>
    <w:rsid w:val="0040618A"/>
    <w:rsid w:val="00406B23"/>
    <w:rsid w:val="00406D77"/>
    <w:rsid w:val="00406FF1"/>
    <w:rsid w:val="0040743F"/>
    <w:rsid w:val="00407B95"/>
    <w:rsid w:val="00407BAB"/>
    <w:rsid w:val="00407D35"/>
    <w:rsid w:val="00407D75"/>
    <w:rsid w:val="00410257"/>
    <w:rsid w:val="0041048B"/>
    <w:rsid w:val="00410675"/>
    <w:rsid w:val="00411383"/>
    <w:rsid w:val="00411CC7"/>
    <w:rsid w:val="00411D66"/>
    <w:rsid w:val="00411DA9"/>
    <w:rsid w:val="004121F6"/>
    <w:rsid w:val="004128AE"/>
    <w:rsid w:val="00412918"/>
    <w:rsid w:val="0041291B"/>
    <w:rsid w:val="004129CF"/>
    <w:rsid w:val="00412A29"/>
    <w:rsid w:val="00412BC2"/>
    <w:rsid w:val="004130D6"/>
    <w:rsid w:val="004131AC"/>
    <w:rsid w:val="00413217"/>
    <w:rsid w:val="00413268"/>
    <w:rsid w:val="004136BA"/>
    <w:rsid w:val="00413856"/>
    <w:rsid w:val="004140A2"/>
    <w:rsid w:val="0041439F"/>
    <w:rsid w:val="00414A74"/>
    <w:rsid w:val="00414D1D"/>
    <w:rsid w:val="004150CB"/>
    <w:rsid w:val="004151D2"/>
    <w:rsid w:val="00415469"/>
    <w:rsid w:val="004159B5"/>
    <w:rsid w:val="00415EE5"/>
    <w:rsid w:val="00416A13"/>
    <w:rsid w:val="00416DA3"/>
    <w:rsid w:val="00416E04"/>
    <w:rsid w:val="0041716A"/>
    <w:rsid w:val="0041772A"/>
    <w:rsid w:val="00417B98"/>
    <w:rsid w:val="00417FAC"/>
    <w:rsid w:val="004203F5"/>
    <w:rsid w:val="00420595"/>
    <w:rsid w:val="004207F2"/>
    <w:rsid w:val="00420B20"/>
    <w:rsid w:val="00420C36"/>
    <w:rsid w:val="00420D16"/>
    <w:rsid w:val="0042106D"/>
    <w:rsid w:val="004215C1"/>
    <w:rsid w:val="004216FC"/>
    <w:rsid w:val="004225A8"/>
    <w:rsid w:val="004226FC"/>
    <w:rsid w:val="00422D0E"/>
    <w:rsid w:val="00422F1A"/>
    <w:rsid w:val="00423036"/>
    <w:rsid w:val="004233E9"/>
    <w:rsid w:val="0042382F"/>
    <w:rsid w:val="00423C79"/>
    <w:rsid w:val="004243AC"/>
    <w:rsid w:val="00424648"/>
    <w:rsid w:val="00424B6A"/>
    <w:rsid w:val="0042565D"/>
    <w:rsid w:val="00425A14"/>
    <w:rsid w:val="00425AC8"/>
    <w:rsid w:val="00425B0E"/>
    <w:rsid w:val="00425DE2"/>
    <w:rsid w:val="00425E57"/>
    <w:rsid w:val="00425E68"/>
    <w:rsid w:val="00425EA3"/>
    <w:rsid w:val="0042607E"/>
    <w:rsid w:val="00426405"/>
    <w:rsid w:val="004266B9"/>
    <w:rsid w:val="004267CB"/>
    <w:rsid w:val="00426ADF"/>
    <w:rsid w:val="00426B8B"/>
    <w:rsid w:val="00427311"/>
    <w:rsid w:val="004273BB"/>
    <w:rsid w:val="004277BF"/>
    <w:rsid w:val="004278EE"/>
    <w:rsid w:val="00427E25"/>
    <w:rsid w:val="00427ED1"/>
    <w:rsid w:val="00430916"/>
    <w:rsid w:val="00430D19"/>
    <w:rsid w:val="00430E1E"/>
    <w:rsid w:val="00430F0A"/>
    <w:rsid w:val="004312F6"/>
    <w:rsid w:val="004318C1"/>
    <w:rsid w:val="004325E4"/>
    <w:rsid w:val="00432847"/>
    <w:rsid w:val="00432A4B"/>
    <w:rsid w:val="00432B6C"/>
    <w:rsid w:val="00433225"/>
    <w:rsid w:val="0043337A"/>
    <w:rsid w:val="004333A6"/>
    <w:rsid w:val="00433829"/>
    <w:rsid w:val="00433AFD"/>
    <w:rsid w:val="00433EC2"/>
    <w:rsid w:val="00433FEA"/>
    <w:rsid w:val="00434172"/>
    <w:rsid w:val="00434843"/>
    <w:rsid w:val="00434C1F"/>
    <w:rsid w:val="00434FE9"/>
    <w:rsid w:val="0043504B"/>
    <w:rsid w:val="00435610"/>
    <w:rsid w:val="0043563E"/>
    <w:rsid w:val="00435A58"/>
    <w:rsid w:val="00435EE6"/>
    <w:rsid w:val="0043600A"/>
    <w:rsid w:val="004364AF"/>
    <w:rsid w:val="004368CF"/>
    <w:rsid w:val="00436A3A"/>
    <w:rsid w:val="004370A3"/>
    <w:rsid w:val="004370D1"/>
    <w:rsid w:val="00437116"/>
    <w:rsid w:val="00437146"/>
    <w:rsid w:val="00437149"/>
    <w:rsid w:val="00437554"/>
    <w:rsid w:val="004376F1"/>
    <w:rsid w:val="00437770"/>
    <w:rsid w:val="004379C3"/>
    <w:rsid w:val="00437F36"/>
    <w:rsid w:val="00440508"/>
    <w:rsid w:val="0044062D"/>
    <w:rsid w:val="00440F39"/>
    <w:rsid w:val="0044124F"/>
    <w:rsid w:val="004416D1"/>
    <w:rsid w:val="00442101"/>
    <w:rsid w:val="00442602"/>
    <w:rsid w:val="00442888"/>
    <w:rsid w:val="0044297C"/>
    <w:rsid w:val="00442CC4"/>
    <w:rsid w:val="00442CCC"/>
    <w:rsid w:val="00442D46"/>
    <w:rsid w:val="00442FFF"/>
    <w:rsid w:val="0044315C"/>
    <w:rsid w:val="004434F0"/>
    <w:rsid w:val="00443D01"/>
    <w:rsid w:val="00443EA5"/>
    <w:rsid w:val="0044460D"/>
    <w:rsid w:val="00444994"/>
    <w:rsid w:val="00444BB4"/>
    <w:rsid w:val="00444EE7"/>
    <w:rsid w:val="00445270"/>
    <w:rsid w:val="004458B0"/>
    <w:rsid w:val="0044593C"/>
    <w:rsid w:val="00445DD0"/>
    <w:rsid w:val="0044607F"/>
    <w:rsid w:val="004460CA"/>
    <w:rsid w:val="0044689E"/>
    <w:rsid w:val="0044697C"/>
    <w:rsid w:val="00446AC3"/>
    <w:rsid w:val="00446B6B"/>
    <w:rsid w:val="00446C07"/>
    <w:rsid w:val="00446C89"/>
    <w:rsid w:val="00447325"/>
    <w:rsid w:val="00447AAD"/>
    <w:rsid w:val="00447D63"/>
    <w:rsid w:val="00447EEB"/>
    <w:rsid w:val="00450496"/>
    <w:rsid w:val="0045188C"/>
    <w:rsid w:val="00451B34"/>
    <w:rsid w:val="004522C2"/>
    <w:rsid w:val="00452681"/>
    <w:rsid w:val="00452C43"/>
    <w:rsid w:val="00452E8A"/>
    <w:rsid w:val="00452F75"/>
    <w:rsid w:val="00453234"/>
    <w:rsid w:val="004532A2"/>
    <w:rsid w:val="004532A4"/>
    <w:rsid w:val="00453CF2"/>
    <w:rsid w:val="00454366"/>
    <w:rsid w:val="00454646"/>
    <w:rsid w:val="00454BE5"/>
    <w:rsid w:val="00454FED"/>
    <w:rsid w:val="00455154"/>
    <w:rsid w:val="004551B2"/>
    <w:rsid w:val="004557B1"/>
    <w:rsid w:val="004561A6"/>
    <w:rsid w:val="004561B6"/>
    <w:rsid w:val="00456424"/>
    <w:rsid w:val="00457C30"/>
    <w:rsid w:val="0046036C"/>
    <w:rsid w:val="0046062B"/>
    <w:rsid w:val="00460A01"/>
    <w:rsid w:val="00460A1F"/>
    <w:rsid w:val="00460DCC"/>
    <w:rsid w:val="0046229D"/>
    <w:rsid w:val="00462DD8"/>
    <w:rsid w:val="00462F13"/>
    <w:rsid w:val="004630E0"/>
    <w:rsid w:val="0046318B"/>
    <w:rsid w:val="004636B4"/>
    <w:rsid w:val="00463A82"/>
    <w:rsid w:val="00463B0E"/>
    <w:rsid w:val="00463DEA"/>
    <w:rsid w:val="00463FD5"/>
    <w:rsid w:val="004640E5"/>
    <w:rsid w:val="00464262"/>
    <w:rsid w:val="00464328"/>
    <w:rsid w:val="004643B5"/>
    <w:rsid w:val="00464E17"/>
    <w:rsid w:val="004654A1"/>
    <w:rsid w:val="00465833"/>
    <w:rsid w:val="00465A53"/>
    <w:rsid w:val="00467896"/>
    <w:rsid w:val="00467C92"/>
    <w:rsid w:val="00467FBD"/>
    <w:rsid w:val="00470B5D"/>
    <w:rsid w:val="004710D2"/>
    <w:rsid w:val="00471180"/>
    <w:rsid w:val="004712FE"/>
    <w:rsid w:val="0047140A"/>
    <w:rsid w:val="00471469"/>
    <w:rsid w:val="0047158C"/>
    <w:rsid w:val="004715E2"/>
    <w:rsid w:val="004716A0"/>
    <w:rsid w:val="00471719"/>
    <w:rsid w:val="004717B8"/>
    <w:rsid w:val="004718B9"/>
    <w:rsid w:val="00471AE4"/>
    <w:rsid w:val="00471FB0"/>
    <w:rsid w:val="00472935"/>
    <w:rsid w:val="00472D54"/>
    <w:rsid w:val="00472FBD"/>
    <w:rsid w:val="00473256"/>
    <w:rsid w:val="00473272"/>
    <w:rsid w:val="004735B9"/>
    <w:rsid w:val="00473656"/>
    <w:rsid w:val="004736E2"/>
    <w:rsid w:val="00473840"/>
    <w:rsid w:val="00473AFF"/>
    <w:rsid w:val="00473B00"/>
    <w:rsid w:val="00474A6F"/>
    <w:rsid w:val="00474D4C"/>
    <w:rsid w:val="00474E2A"/>
    <w:rsid w:val="004750D0"/>
    <w:rsid w:val="0047529D"/>
    <w:rsid w:val="00475300"/>
    <w:rsid w:val="004753C4"/>
    <w:rsid w:val="004758CD"/>
    <w:rsid w:val="00475A3C"/>
    <w:rsid w:val="00475BA0"/>
    <w:rsid w:val="00475D97"/>
    <w:rsid w:val="00475EA1"/>
    <w:rsid w:val="00475FC7"/>
    <w:rsid w:val="004760A0"/>
    <w:rsid w:val="004762E4"/>
    <w:rsid w:val="00476CC0"/>
    <w:rsid w:val="00477009"/>
    <w:rsid w:val="004775FC"/>
    <w:rsid w:val="0047766A"/>
    <w:rsid w:val="00477697"/>
    <w:rsid w:val="0047770C"/>
    <w:rsid w:val="00477C8C"/>
    <w:rsid w:val="00477D08"/>
    <w:rsid w:val="00480148"/>
    <w:rsid w:val="004803A0"/>
    <w:rsid w:val="00480689"/>
    <w:rsid w:val="00480A1B"/>
    <w:rsid w:val="00481099"/>
    <w:rsid w:val="004810CD"/>
    <w:rsid w:val="004814F8"/>
    <w:rsid w:val="004818EA"/>
    <w:rsid w:val="00481CD2"/>
    <w:rsid w:val="00482503"/>
    <w:rsid w:val="00482525"/>
    <w:rsid w:val="0048258A"/>
    <w:rsid w:val="004828E7"/>
    <w:rsid w:val="004829A0"/>
    <w:rsid w:val="004829C5"/>
    <w:rsid w:val="00482B5F"/>
    <w:rsid w:val="0048319D"/>
    <w:rsid w:val="00483E0D"/>
    <w:rsid w:val="00483FE3"/>
    <w:rsid w:val="00484210"/>
    <w:rsid w:val="00484429"/>
    <w:rsid w:val="004845AE"/>
    <w:rsid w:val="004846FA"/>
    <w:rsid w:val="0048478E"/>
    <w:rsid w:val="00484E6C"/>
    <w:rsid w:val="00485098"/>
    <w:rsid w:val="00485195"/>
    <w:rsid w:val="004851CD"/>
    <w:rsid w:val="00485551"/>
    <w:rsid w:val="0048583D"/>
    <w:rsid w:val="00485C91"/>
    <w:rsid w:val="00486111"/>
    <w:rsid w:val="004862D9"/>
    <w:rsid w:val="004867D8"/>
    <w:rsid w:val="00486B08"/>
    <w:rsid w:val="00487350"/>
    <w:rsid w:val="004875CD"/>
    <w:rsid w:val="00487801"/>
    <w:rsid w:val="00487B0A"/>
    <w:rsid w:val="00487FF8"/>
    <w:rsid w:val="004902B4"/>
    <w:rsid w:val="004907DF"/>
    <w:rsid w:val="00490BAA"/>
    <w:rsid w:val="00490F15"/>
    <w:rsid w:val="00491518"/>
    <w:rsid w:val="0049158F"/>
    <w:rsid w:val="00491DDF"/>
    <w:rsid w:val="00491F37"/>
    <w:rsid w:val="0049256E"/>
    <w:rsid w:val="004927DA"/>
    <w:rsid w:val="00492945"/>
    <w:rsid w:val="004930A7"/>
    <w:rsid w:val="004933F0"/>
    <w:rsid w:val="00493545"/>
    <w:rsid w:val="004936B4"/>
    <w:rsid w:val="00493845"/>
    <w:rsid w:val="00493E79"/>
    <w:rsid w:val="004947EF"/>
    <w:rsid w:val="00494AB0"/>
    <w:rsid w:val="00494B8B"/>
    <w:rsid w:val="004952EF"/>
    <w:rsid w:val="00495AE8"/>
    <w:rsid w:val="00496001"/>
    <w:rsid w:val="004969B8"/>
    <w:rsid w:val="00496B51"/>
    <w:rsid w:val="00496FFA"/>
    <w:rsid w:val="00497027"/>
    <w:rsid w:val="004971EC"/>
    <w:rsid w:val="0049722B"/>
    <w:rsid w:val="004975DF"/>
    <w:rsid w:val="004977EB"/>
    <w:rsid w:val="004A0544"/>
    <w:rsid w:val="004A06B7"/>
    <w:rsid w:val="004A0C16"/>
    <w:rsid w:val="004A0C7D"/>
    <w:rsid w:val="004A0F1F"/>
    <w:rsid w:val="004A1164"/>
    <w:rsid w:val="004A162C"/>
    <w:rsid w:val="004A19A2"/>
    <w:rsid w:val="004A23A3"/>
    <w:rsid w:val="004A273E"/>
    <w:rsid w:val="004A28C8"/>
    <w:rsid w:val="004A2B15"/>
    <w:rsid w:val="004A31F3"/>
    <w:rsid w:val="004A3815"/>
    <w:rsid w:val="004A3F36"/>
    <w:rsid w:val="004A48A1"/>
    <w:rsid w:val="004A4D90"/>
    <w:rsid w:val="004A504E"/>
    <w:rsid w:val="004A50B7"/>
    <w:rsid w:val="004A50CC"/>
    <w:rsid w:val="004A5859"/>
    <w:rsid w:val="004A5B19"/>
    <w:rsid w:val="004A6080"/>
    <w:rsid w:val="004A623F"/>
    <w:rsid w:val="004A6707"/>
    <w:rsid w:val="004A684B"/>
    <w:rsid w:val="004A6A77"/>
    <w:rsid w:val="004A6A8C"/>
    <w:rsid w:val="004A6F28"/>
    <w:rsid w:val="004A7199"/>
    <w:rsid w:val="004A735F"/>
    <w:rsid w:val="004A76E7"/>
    <w:rsid w:val="004A7719"/>
    <w:rsid w:val="004A7733"/>
    <w:rsid w:val="004A7D3D"/>
    <w:rsid w:val="004A7F43"/>
    <w:rsid w:val="004B0AAB"/>
    <w:rsid w:val="004B0AFE"/>
    <w:rsid w:val="004B0E14"/>
    <w:rsid w:val="004B0EEC"/>
    <w:rsid w:val="004B0F19"/>
    <w:rsid w:val="004B1126"/>
    <w:rsid w:val="004B14F3"/>
    <w:rsid w:val="004B18ED"/>
    <w:rsid w:val="004B1B30"/>
    <w:rsid w:val="004B1E36"/>
    <w:rsid w:val="004B2087"/>
    <w:rsid w:val="004B2102"/>
    <w:rsid w:val="004B240D"/>
    <w:rsid w:val="004B3108"/>
    <w:rsid w:val="004B3719"/>
    <w:rsid w:val="004B3821"/>
    <w:rsid w:val="004B4E48"/>
    <w:rsid w:val="004B5202"/>
    <w:rsid w:val="004B54AE"/>
    <w:rsid w:val="004B58C6"/>
    <w:rsid w:val="004B5CA6"/>
    <w:rsid w:val="004B5FC6"/>
    <w:rsid w:val="004B6016"/>
    <w:rsid w:val="004B62C5"/>
    <w:rsid w:val="004B62CE"/>
    <w:rsid w:val="004B66FA"/>
    <w:rsid w:val="004B680F"/>
    <w:rsid w:val="004B6D3F"/>
    <w:rsid w:val="004B6FEA"/>
    <w:rsid w:val="004B729E"/>
    <w:rsid w:val="004B7CB9"/>
    <w:rsid w:val="004B7E56"/>
    <w:rsid w:val="004C0164"/>
    <w:rsid w:val="004C017C"/>
    <w:rsid w:val="004C079F"/>
    <w:rsid w:val="004C08CD"/>
    <w:rsid w:val="004C0AF4"/>
    <w:rsid w:val="004C0B91"/>
    <w:rsid w:val="004C0DF5"/>
    <w:rsid w:val="004C1B8A"/>
    <w:rsid w:val="004C1DA1"/>
    <w:rsid w:val="004C2243"/>
    <w:rsid w:val="004C241C"/>
    <w:rsid w:val="004C2538"/>
    <w:rsid w:val="004C25CE"/>
    <w:rsid w:val="004C27E0"/>
    <w:rsid w:val="004C28AC"/>
    <w:rsid w:val="004C2D6B"/>
    <w:rsid w:val="004C3640"/>
    <w:rsid w:val="004C3717"/>
    <w:rsid w:val="004C37F5"/>
    <w:rsid w:val="004C3ADF"/>
    <w:rsid w:val="004C4C0E"/>
    <w:rsid w:val="004C50CE"/>
    <w:rsid w:val="004C6391"/>
    <w:rsid w:val="004C6625"/>
    <w:rsid w:val="004C67C6"/>
    <w:rsid w:val="004C6C27"/>
    <w:rsid w:val="004C6F64"/>
    <w:rsid w:val="004C7891"/>
    <w:rsid w:val="004D006D"/>
    <w:rsid w:val="004D055D"/>
    <w:rsid w:val="004D0740"/>
    <w:rsid w:val="004D0981"/>
    <w:rsid w:val="004D1306"/>
    <w:rsid w:val="004D1370"/>
    <w:rsid w:val="004D1635"/>
    <w:rsid w:val="004D1660"/>
    <w:rsid w:val="004D1A6C"/>
    <w:rsid w:val="004D1CBB"/>
    <w:rsid w:val="004D224F"/>
    <w:rsid w:val="004D2347"/>
    <w:rsid w:val="004D2A97"/>
    <w:rsid w:val="004D2AB2"/>
    <w:rsid w:val="004D2D8E"/>
    <w:rsid w:val="004D2ECF"/>
    <w:rsid w:val="004D3502"/>
    <w:rsid w:val="004D3589"/>
    <w:rsid w:val="004D388A"/>
    <w:rsid w:val="004D3901"/>
    <w:rsid w:val="004D4140"/>
    <w:rsid w:val="004D493C"/>
    <w:rsid w:val="004D4E9B"/>
    <w:rsid w:val="004D4F8C"/>
    <w:rsid w:val="004D52AB"/>
    <w:rsid w:val="004D5365"/>
    <w:rsid w:val="004D58C1"/>
    <w:rsid w:val="004D5B03"/>
    <w:rsid w:val="004D5CB3"/>
    <w:rsid w:val="004D5E55"/>
    <w:rsid w:val="004D6188"/>
    <w:rsid w:val="004D66FC"/>
    <w:rsid w:val="004D67F1"/>
    <w:rsid w:val="004D686E"/>
    <w:rsid w:val="004D692A"/>
    <w:rsid w:val="004D6EE2"/>
    <w:rsid w:val="004D72B2"/>
    <w:rsid w:val="004D7AE5"/>
    <w:rsid w:val="004D7BD2"/>
    <w:rsid w:val="004D7BEC"/>
    <w:rsid w:val="004D7CBC"/>
    <w:rsid w:val="004E0513"/>
    <w:rsid w:val="004E05E8"/>
    <w:rsid w:val="004E07B0"/>
    <w:rsid w:val="004E07E3"/>
    <w:rsid w:val="004E0BB0"/>
    <w:rsid w:val="004E0C84"/>
    <w:rsid w:val="004E1312"/>
    <w:rsid w:val="004E197F"/>
    <w:rsid w:val="004E19DB"/>
    <w:rsid w:val="004E1C76"/>
    <w:rsid w:val="004E224D"/>
    <w:rsid w:val="004E2400"/>
    <w:rsid w:val="004E2A51"/>
    <w:rsid w:val="004E2E88"/>
    <w:rsid w:val="004E30B5"/>
    <w:rsid w:val="004E32E7"/>
    <w:rsid w:val="004E4324"/>
    <w:rsid w:val="004E4360"/>
    <w:rsid w:val="004E49B7"/>
    <w:rsid w:val="004E4A87"/>
    <w:rsid w:val="004E4B08"/>
    <w:rsid w:val="004E513E"/>
    <w:rsid w:val="004E5361"/>
    <w:rsid w:val="004E5463"/>
    <w:rsid w:val="004E5731"/>
    <w:rsid w:val="004E57D8"/>
    <w:rsid w:val="004E580D"/>
    <w:rsid w:val="004E61F3"/>
    <w:rsid w:val="004E6391"/>
    <w:rsid w:val="004E657C"/>
    <w:rsid w:val="004E6642"/>
    <w:rsid w:val="004E6B98"/>
    <w:rsid w:val="004E6DAC"/>
    <w:rsid w:val="004E76F5"/>
    <w:rsid w:val="004F003D"/>
    <w:rsid w:val="004F0230"/>
    <w:rsid w:val="004F0510"/>
    <w:rsid w:val="004F0838"/>
    <w:rsid w:val="004F0E1B"/>
    <w:rsid w:val="004F10D3"/>
    <w:rsid w:val="004F12F9"/>
    <w:rsid w:val="004F1442"/>
    <w:rsid w:val="004F14A3"/>
    <w:rsid w:val="004F1B61"/>
    <w:rsid w:val="004F236B"/>
    <w:rsid w:val="004F281C"/>
    <w:rsid w:val="004F2952"/>
    <w:rsid w:val="004F2C4D"/>
    <w:rsid w:val="004F2D6D"/>
    <w:rsid w:val="004F2FB3"/>
    <w:rsid w:val="004F31F6"/>
    <w:rsid w:val="004F327F"/>
    <w:rsid w:val="004F353C"/>
    <w:rsid w:val="004F3799"/>
    <w:rsid w:val="004F39DB"/>
    <w:rsid w:val="004F3DDC"/>
    <w:rsid w:val="004F424B"/>
    <w:rsid w:val="004F4509"/>
    <w:rsid w:val="004F4546"/>
    <w:rsid w:val="004F4A16"/>
    <w:rsid w:val="004F506E"/>
    <w:rsid w:val="004F50C3"/>
    <w:rsid w:val="004F5408"/>
    <w:rsid w:val="004F59B3"/>
    <w:rsid w:val="004F5A3F"/>
    <w:rsid w:val="004F695C"/>
    <w:rsid w:val="004F6C03"/>
    <w:rsid w:val="004F6D91"/>
    <w:rsid w:val="004F6F3D"/>
    <w:rsid w:val="004F6F66"/>
    <w:rsid w:val="004F701C"/>
    <w:rsid w:val="004F7453"/>
    <w:rsid w:val="004F7536"/>
    <w:rsid w:val="004F7819"/>
    <w:rsid w:val="004F7B9F"/>
    <w:rsid w:val="00500053"/>
    <w:rsid w:val="005006CC"/>
    <w:rsid w:val="00500C17"/>
    <w:rsid w:val="00500C7C"/>
    <w:rsid w:val="00501090"/>
    <w:rsid w:val="0050175F"/>
    <w:rsid w:val="00501768"/>
    <w:rsid w:val="00501819"/>
    <w:rsid w:val="00501854"/>
    <w:rsid w:val="00501860"/>
    <w:rsid w:val="00501AAF"/>
    <w:rsid w:val="00501D1B"/>
    <w:rsid w:val="00501D85"/>
    <w:rsid w:val="0050208E"/>
    <w:rsid w:val="0050218A"/>
    <w:rsid w:val="005021CE"/>
    <w:rsid w:val="00502BE8"/>
    <w:rsid w:val="0050323A"/>
    <w:rsid w:val="00503570"/>
    <w:rsid w:val="00503997"/>
    <w:rsid w:val="00503EDD"/>
    <w:rsid w:val="005043ED"/>
    <w:rsid w:val="00504405"/>
    <w:rsid w:val="0050459A"/>
    <w:rsid w:val="00504A94"/>
    <w:rsid w:val="00504E80"/>
    <w:rsid w:val="00504E95"/>
    <w:rsid w:val="0050539E"/>
    <w:rsid w:val="0050551F"/>
    <w:rsid w:val="0050559E"/>
    <w:rsid w:val="00505999"/>
    <w:rsid w:val="00505E09"/>
    <w:rsid w:val="00506187"/>
    <w:rsid w:val="00506481"/>
    <w:rsid w:val="005065F9"/>
    <w:rsid w:val="00506604"/>
    <w:rsid w:val="0050682B"/>
    <w:rsid w:val="00506AE6"/>
    <w:rsid w:val="005072E0"/>
    <w:rsid w:val="00507941"/>
    <w:rsid w:val="0051010F"/>
    <w:rsid w:val="00510136"/>
    <w:rsid w:val="00510168"/>
    <w:rsid w:val="00510173"/>
    <w:rsid w:val="0051030F"/>
    <w:rsid w:val="00510E99"/>
    <w:rsid w:val="00510ED3"/>
    <w:rsid w:val="0051118C"/>
    <w:rsid w:val="00511AF6"/>
    <w:rsid w:val="0051219F"/>
    <w:rsid w:val="00512229"/>
    <w:rsid w:val="00512258"/>
    <w:rsid w:val="0051238A"/>
    <w:rsid w:val="00512434"/>
    <w:rsid w:val="0051248B"/>
    <w:rsid w:val="0051251D"/>
    <w:rsid w:val="0051255D"/>
    <w:rsid w:val="005131EA"/>
    <w:rsid w:val="00513BDF"/>
    <w:rsid w:val="00513F4D"/>
    <w:rsid w:val="005141CF"/>
    <w:rsid w:val="005145B9"/>
    <w:rsid w:val="00515063"/>
    <w:rsid w:val="0051564C"/>
    <w:rsid w:val="00515756"/>
    <w:rsid w:val="005159F6"/>
    <w:rsid w:val="00515A9C"/>
    <w:rsid w:val="00515B18"/>
    <w:rsid w:val="00515FCD"/>
    <w:rsid w:val="00516296"/>
    <w:rsid w:val="0051634E"/>
    <w:rsid w:val="005163E1"/>
    <w:rsid w:val="00516B4D"/>
    <w:rsid w:val="00516DF4"/>
    <w:rsid w:val="00517BD9"/>
    <w:rsid w:val="005202E1"/>
    <w:rsid w:val="00520551"/>
    <w:rsid w:val="005205E6"/>
    <w:rsid w:val="00520BE9"/>
    <w:rsid w:val="005214FB"/>
    <w:rsid w:val="00521A92"/>
    <w:rsid w:val="005226BC"/>
    <w:rsid w:val="00522D3A"/>
    <w:rsid w:val="00523291"/>
    <w:rsid w:val="005233BC"/>
    <w:rsid w:val="005233D4"/>
    <w:rsid w:val="00524061"/>
    <w:rsid w:val="0052406E"/>
    <w:rsid w:val="00524398"/>
    <w:rsid w:val="00524D69"/>
    <w:rsid w:val="00524D93"/>
    <w:rsid w:val="0052517B"/>
    <w:rsid w:val="00525237"/>
    <w:rsid w:val="00525901"/>
    <w:rsid w:val="00525960"/>
    <w:rsid w:val="00525C19"/>
    <w:rsid w:val="00525CE4"/>
    <w:rsid w:val="00525DC9"/>
    <w:rsid w:val="00525E46"/>
    <w:rsid w:val="00526230"/>
    <w:rsid w:val="005268E8"/>
    <w:rsid w:val="00526ACC"/>
    <w:rsid w:val="00526C4E"/>
    <w:rsid w:val="0052710D"/>
    <w:rsid w:val="0052757C"/>
    <w:rsid w:val="00527792"/>
    <w:rsid w:val="00527A84"/>
    <w:rsid w:val="00527FBF"/>
    <w:rsid w:val="005301F9"/>
    <w:rsid w:val="00530342"/>
    <w:rsid w:val="005303D3"/>
    <w:rsid w:val="00531B29"/>
    <w:rsid w:val="005324F1"/>
    <w:rsid w:val="00532D97"/>
    <w:rsid w:val="00532DF3"/>
    <w:rsid w:val="00532FE7"/>
    <w:rsid w:val="00533313"/>
    <w:rsid w:val="00533540"/>
    <w:rsid w:val="005336DF"/>
    <w:rsid w:val="0053382C"/>
    <w:rsid w:val="00533CE4"/>
    <w:rsid w:val="00533DB2"/>
    <w:rsid w:val="005343DE"/>
    <w:rsid w:val="00534520"/>
    <w:rsid w:val="00534B32"/>
    <w:rsid w:val="00535D08"/>
    <w:rsid w:val="00535DD5"/>
    <w:rsid w:val="00535EFA"/>
    <w:rsid w:val="0053616A"/>
    <w:rsid w:val="005368C4"/>
    <w:rsid w:val="0053694E"/>
    <w:rsid w:val="00536BAD"/>
    <w:rsid w:val="00536D8D"/>
    <w:rsid w:val="0053773A"/>
    <w:rsid w:val="005377D5"/>
    <w:rsid w:val="00537EAB"/>
    <w:rsid w:val="005401ED"/>
    <w:rsid w:val="00540676"/>
    <w:rsid w:val="00540C7F"/>
    <w:rsid w:val="00540D18"/>
    <w:rsid w:val="005411F3"/>
    <w:rsid w:val="005416BE"/>
    <w:rsid w:val="00541973"/>
    <w:rsid w:val="00541E49"/>
    <w:rsid w:val="00542343"/>
    <w:rsid w:val="0054287A"/>
    <w:rsid w:val="0054292F"/>
    <w:rsid w:val="00542AFA"/>
    <w:rsid w:val="00542C64"/>
    <w:rsid w:val="00543D9B"/>
    <w:rsid w:val="0054426B"/>
    <w:rsid w:val="0054589B"/>
    <w:rsid w:val="00545A83"/>
    <w:rsid w:val="00545E2C"/>
    <w:rsid w:val="00546555"/>
    <w:rsid w:val="005467FB"/>
    <w:rsid w:val="00546A65"/>
    <w:rsid w:val="00546CCF"/>
    <w:rsid w:val="00546EBA"/>
    <w:rsid w:val="00547209"/>
    <w:rsid w:val="005475E2"/>
    <w:rsid w:val="0054795E"/>
    <w:rsid w:val="00547A89"/>
    <w:rsid w:val="00547D6D"/>
    <w:rsid w:val="00550205"/>
    <w:rsid w:val="0055058B"/>
    <w:rsid w:val="005505E5"/>
    <w:rsid w:val="005507A1"/>
    <w:rsid w:val="00550C52"/>
    <w:rsid w:val="00550E87"/>
    <w:rsid w:val="005513F0"/>
    <w:rsid w:val="005513F4"/>
    <w:rsid w:val="005516D1"/>
    <w:rsid w:val="00551745"/>
    <w:rsid w:val="005519B8"/>
    <w:rsid w:val="00551C6A"/>
    <w:rsid w:val="005521C8"/>
    <w:rsid w:val="00552405"/>
    <w:rsid w:val="00552908"/>
    <w:rsid w:val="00553323"/>
    <w:rsid w:val="005537EA"/>
    <w:rsid w:val="00553AC2"/>
    <w:rsid w:val="00553C3F"/>
    <w:rsid w:val="00553E57"/>
    <w:rsid w:val="00554404"/>
    <w:rsid w:val="005545C0"/>
    <w:rsid w:val="0055466A"/>
    <w:rsid w:val="00555245"/>
    <w:rsid w:val="0055547E"/>
    <w:rsid w:val="00555A31"/>
    <w:rsid w:val="00555CE0"/>
    <w:rsid w:val="00555E02"/>
    <w:rsid w:val="00556A06"/>
    <w:rsid w:val="00556B28"/>
    <w:rsid w:val="00556E88"/>
    <w:rsid w:val="00556F8B"/>
    <w:rsid w:val="005572FB"/>
    <w:rsid w:val="00557446"/>
    <w:rsid w:val="005576D9"/>
    <w:rsid w:val="005577AE"/>
    <w:rsid w:val="0055799E"/>
    <w:rsid w:val="00557CCA"/>
    <w:rsid w:val="00557D99"/>
    <w:rsid w:val="00557F62"/>
    <w:rsid w:val="00560D6E"/>
    <w:rsid w:val="005612A3"/>
    <w:rsid w:val="005614C1"/>
    <w:rsid w:val="00561D0A"/>
    <w:rsid w:val="00561D46"/>
    <w:rsid w:val="00561ED9"/>
    <w:rsid w:val="00561F66"/>
    <w:rsid w:val="00562417"/>
    <w:rsid w:val="005624CF"/>
    <w:rsid w:val="00562915"/>
    <w:rsid w:val="00562AD6"/>
    <w:rsid w:val="00562CC3"/>
    <w:rsid w:val="00562CF9"/>
    <w:rsid w:val="005632DE"/>
    <w:rsid w:val="005632EA"/>
    <w:rsid w:val="0056346A"/>
    <w:rsid w:val="0056346E"/>
    <w:rsid w:val="005636E7"/>
    <w:rsid w:val="005639C6"/>
    <w:rsid w:val="00563D62"/>
    <w:rsid w:val="00564063"/>
    <w:rsid w:val="00564658"/>
    <w:rsid w:val="00564B15"/>
    <w:rsid w:val="00564BC5"/>
    <w:rsid w:val="00564D97"/>
    <w:rsid w:val="00564F6A"/>
    <w:rsid w:val="00565017"/>
    <w:rsid w:val="005650E4"/>
    <w:rsid w:val="00565157"/>
    <w:rsid w:val="005654D6"/>
    <w:rsid w:val="005657D1"/>
    <w:rsid w:val="0056599E"/>
    <w:rsid w:val="00565D6A"/>
    <w:rsid w:val="00565F49"/>
    <w:rsid w:val="00565FCB"/>
    <w:rsid w:val="0056663C"/>
    <w:rsid w:val="00566935"/>
    <w:rsid w:val="00566D40"/>
    <w:rsid w:val="00566ED3"/>
    <w:rsid w:val="005670EE"/>
    <w:rsid w:val="005672BA"/>
    <w:rsid w:val="005674EF"/>
    <w:rsid w:val="00567F7B"/>
    <w:rsid w:val="005709A4"/>
    <w:rsid w:val="00570AFF"/>
    <w:rsid w:val="00571866"/>
    <w:rsid w:val="00571896"/>
    <w:rsid w:val="00571BB4"/>
    <w:rsid w:val="00572080"/>
    <w:rsid w:val="005723FA"/>
    <w:rsid w:val="00572431"/>
    <w:rsid w:val="005729EE"/>
    <w:rsid w:val="00572A70"/>
    <w:rsid w:val="0057335D"/>
    <w:rsid w:val="00573D54"/>
    <w:rsid w:val="005740EB"/>
    <w:rsid w:val="005748BB"/>
    <w:rsid w:val="00574BE3"/>
    <w:rsid w:val="00574C59"/>
    <w:rsid w:val="00574CAF"/>
    <w:rsid w:val="00574D24"/>
    <w:rsid w:val="00574E74"/>
    <w:rsid w:val="00575724"/>
    <w:rsid w:val="00575900"/>
    <w:rsid w:val="00575FA9"/>
    <w:rsid w:val="00576862"/>
    <w:rsid w:val="00576944"/>
    <w:rsid w:val="00577C4D"/>
    <w:rsid w:val="00577E2B"/>
    <w:rsid w:val="00577EF6"/>
    <w:rsid w:val="005803CF"/>
    <w:rsid w:val="005804D6"/>
    <w:rsid w:val="00580892"/>
    <w:rsid w:val="00580972"/>
    <w:rsid w:val="00580A4E"/>
    <w:rsid w:val="0058114C"/>
    <w:rsid w:val="00581BB8"/>
    <w:rsid w:val="00581C49"/>
    <w:rsid w:val="00581CB6"/>
    <w:rsid w:val="00582095"/>
    <w:rsid w:val="00582423"/>
    <w:rsid w:val="00582533"/>
    <w:rsid w:val="00582D28"/>
    <w:rsid w:val="00582E6C"/>
    <w:rsid w:val="00582FE2"/>
    <w:rsid w:val="005830FF"/>
    <w:rsid w:val="00583389"/>
    <w:rsid w:val="005833B5"/>
    <w:rsid w:val="00583D0D"/>
    <w:rsid w:val="00583F25"/>
    <w:rsid w:val="00584316"/>
    <w:rsid w:val="00584514"/>
    <w:rsid w:val="0058452C"/>
    <w:rsid w:val="00584B23"/>
    <w:rsid w:val="005854E2"/>
    <w:rsid w:val="005856F8"/>
    <w:rsid w:val="00585AE0"/>
    <w:rsid w:val="00585CD0"/>
    <w:rsid w:val="00586423"/>
    <w:rsid w:val="00586586"/>
    <w:rsid w:val="00586913"/>
    <w:rsid w:val="00586C45"/>
    <w:rsid w:val="00586D2E"/>
    <w:rsid w:val="00587388"/>
    <w:rsid w:val="00587641"/>
    <w:rsid w:val="0058772A"/>
    <w:rsid w:val="0058781D"/>
    <w:rsid w:val="00587B88"/>
    <w:rsid w:val="00587C4D"/>
    <w:rsid w:val="00587C84"/>
    <w:rsid w:val="005902B1"/>
    <w:rsid w:val="00590431"/>
    <w:rsid w:val="00590552"/>
    <w:rsid w:val="00590B2B"/>
    <w:rsid w:val="00590B44"/>
    <w:rsid w:val="00590B49"/>
    <w:rsid w:val="00590F0E"/>
    <w:rsid w:val="00591201"/>
    <w:rsid w:val="00591361"/>
    <w:rsid w:val="00591BE7"/>
    <w:rsid w:val="00592243"/>
    <w:rsid w:val="00592394"/>
    <w:rsid w:val="0059266D"/>
    <w:rsid w:val="00592A91"/>
    <w:rsid w:val="00592D34"/>
    <w:rsid w:val="00593C49"/>
    <w:rsid w:val="00593DE6"/>
    <w:rsid w:val="00593E4A"/>
    <w:rsid w:val="00593ED5"/>
    <w:rsid w:val="0059401E"/>
    <w:rsid w:val="005942B6"/>
    <w:rsid w:val="005945E4"/>
    <w:rsid w:val="00594637"/>
    <w:rsid w:val="00594648"/>
    <w:rsid w:val="00594F37"/>
    <w:rsid w:val="0059526A"/>
    <w:rsid w:val="005954A3"/>
    <w:rsid w:val="00595618"/>
    <w:rsid w:val="00595A0D"/>
    <w:rsid w:val="005966BC"/>
    <w:rsid w:val="00596779"/>
    <w:rsid w:val="00596BB4"/>
    <w:rsid w:val="00596C64"/>
    <w:rsid w:val="00596CF1"/>
    <w:rsid w:val="005976D6"/>
    <w:rsid w:val="00597E15"/>
    <w:rsid w:val="00597F97"/>
    <w:rsid w:val="005A000F"/>
    <w:rsid w:val="005A007E"/>
    <w:rsid w:val="005A01AE"/>
    <w:rsid w:val="005A05E2"/>
    <w:rsid w:val="005A0686"/>
    <w:rsid w:val="005A0FFB"/>
    <w:rsid w:val="005A1654"/>
    <w:rsid w:val="005A166D"/>
    <w:rsid w:val="005A1A89"/>
    <w:rsid w:val="005A1C5B"/>
    <w:rsid w:val="005A1DBC"/>
    <w:rsid w:val="005A20C9"/>
    <w:rsid w:val="005A2320"/>
    <w:rsid w:val="005A2A7B"/>
    <w:rsid w:val="005A2C48"/>
    <w:rsid w:val="005A3222"/>
    <w:rsid w:val="005A3857"/>
    <w:rsid w:val="005A446D"/>
    <w:rsid w:val="005A44C6"/>
    <w:rsid w:val="005A4603"/>
    <w:rsid w:val="005A4C2D"/>
    <w:rsid w:val="005A5071"/>
    <w:rsid w:val="005A5414"/>
    <w:rsid w:val="005A550B"/>
    <w:rsid w:val="005A6290"/>
    <w:rsid w:val="005A6BD7"/>
    <w:rsid w:val="005A6C36"/>
    <w:rsid w:val="005A6C4D"/>
    <w:rsid w:val="005A6CBE"/>
    <w:rsid w:val="005A6ED6"/>
    <w:rsid w:val="005A709C"/>
    <w:rsid w:val="005A71A9"/>
    <w:rsid w:val="005A72E6"/>
    <w:rsid w:val="005A7C2B"/>
    <w:rsid w:val="005B01D6"/>
    <w:rsid w:val="005B0317"/>
    <w:rsid w:val="005B040C"/>
    <w:rsid w:val="005B05C8"/>
    <w:rsid w:val="005B0719"/>
    <w:rsid w:val="005B0AED"/>
    <w:rsid w:val="005B0F1D"/>
    <w:rsid w:val="005B10DD"/>
    <w:rsid w:val="005B10F4"/>
    <w:rsid w:val="005B1FD1"/>
    <w:rsid w:val="005B215A"/>
    <w:rsid w:val="005B21C7"/>
    <w:rsid w:val="005B2418"/>
    <w:rsid w:val="005B2D42"/>
    <w:rsid w:val="005B347C"/>
    <w:rsid w:val="005B38A7"/>
    <w:rsid w:val="005B3CEB"/>
    <w:rsid w:val="005B3D5E"/>
    <w:rsid w:val="005B3EE4"/>
    <w:rsid w:val="005B422E"/>
    <w:rsid w:val="005B446D"/>
    <w:rsid w:val="005B4591"/>
    <w:rsid w:val="005B4B4D"/>
    <w:rsid w:val="005B4B60"/>
    <w:rsid w:val="005B4C11"/>
    <w:rsid w:val="005B4DDB"/>
    <w:rsid w:val="005B4F9B"/>
    <w:rsid w:val="005B4FCA"/>
    <w:rsid w:val="005B50F2"/>
    <w:rsid w:val="005B510C"/>
    <w:rsid w:val="005B5114"/>
    <w:rsid w:val="005B5E68"/>
    <w:rsid w:val="005B5E74"/>
    <w:rsid w:val="005B62F7"/>
    <w:rsid w:val="005B67A5"/>
    <w:rsid w:val="005B69D7"/>
    <w:rsid w:val="005B6AF3"/>
    <w:rsid w:val="005B6BAB"/>
    <w:rsid w:val="005B73B2"/>
    <w:rsid w:val="005B76C7"/>
    <w:rsid w:val="005B78E7"/>
    <w:rsid w:val="005B7FCB"/>
    <w:rsid w:val="005C0055"/>
    <w:rsid w:val="005C0075"/>
    <w:rsid w:val="005C0342"/>
    <w:rsid w:val="005C05AD"/>
    <w:rsid w:val="005C06E9"/>
    <w:rsid w:val="005C09CA"/>
    <w:rsid w:val="005C13EE"/>
    <w:rsid w:val="005C1779"/>
    <w:rsid w:val="005C19B0"/>
    <w:rsid w:val="005C1AFB"/>
    <w:rsid w:val="005C1D68"/>
    <w:rsid w:val="005C1F4C"/>
    <w:rsid w:val="005C216C"/>
    <w:rsid w:val="005C2CD5"/>
    <w:rsid w:val="005C30E2"/>
    <w:rsid w:val="005C342A"/>
    <w:rsid w:val="005C3978"/>
    <w:rsid w:val="005C3BE7"/>
    <w:rsid w:val="005C3C72"/>
    <w:rsid w:val="005C3DAE"/>
    <w:rsid w:val="005C43C4"/>
    <w:rsid w:val="005C4626"/>
    <w:rsid w:val="005C4745"/>
    <w:rsid w:val="005C4DFD"/>
    <w:rsid w:val="005C572F"/>
    <w:rsid w:val="005C5B36"/>
    <w:rsid w:val="005C5D0D"/>
    <w:rsid w:val="005C602B"/>
    <w:rsid w:val="005C749B"/>
    <w:rsid w:val="005C760C"/>
    <w:rsid w:val="005C7975"/>
    <w:rsid w:val="005C7BFE"/>
    <w:rsid w:val="005C7D01"/>
    <w:rsid w:val="005D0307"/>
    <w:rsid w:val="005D034E"/>
    <w:rsid w:val="005D0415"/>
    <w:rsid w:val="005D0653"/>
    <w:rsid w:val="005D0AA3"/>
    <w:rsid w:val="005D0EC0"/>
    <w:rsid w:val="005D12BF"/>
    <w:rsid w:val="005D1451"/>
    <w:rsid w:val="005D16E9"/>
    <w:rsid w:val="005D1808"/>
    <w:rsid w:val="005D1810"/>
    <w:rsid w:val="005D1D33"/>
    <w:rsid w:val="005D1D6B"/>
    <w:rsid w:val="005D2498"/>
    <w:rsid w:val="005D2D26"/>
    <w:rsid w:val="005D2D3B"/>
    <w:rsid w:val="005D3147"/>
    <w:rsid w:val="005D3811"/>
    <w:rsid w:val="005D3A68"/>
    <w:rsid w:val="005D3F01"/>
    <w:rsid w:val="005D3F42"/>
    <w:rsid w:val="005D430E"/>
    <w:rsid w:val="005D4625"/>
    <w:rsid w:val="005D4770"/>
    <w:rsid w:val="005D4D4D"/>
    <w:rsid w:val="005D53B3"/>
    <w:rsid w:val="005D5505"/>
    <w:rsid w:val="005D5847"/>
    <w:rsid w:val="005D5DAE"/>
    <w:rsid w:val="005D5F37"/>
    <w:rsid w:val="005D632A"/>
    <w:rsid w:val="005D64F9"/>
    <w:rsid w:val="005D6662"/>
    <w:rsid w:val="005D6C9E"/>
    <w:rsid w:val="005D6D00"/>
    <w:rsid w:val="005D720E"/>
    <w:rsid w:val="005D72F5"/>
    <w:rsid w:val="005D73D1"/>
    <w:rsid w:val="005D73D3"/>
    <w:rsid w:val="005D7615"/>
    <w:rsid w:val="005D7817"/>
    <w:rsid w:val="005D78FD"/>
    <w:rsid w:val="005D7C02"/>
    <w:rsid w:val="005D7F13"/>
    <w:rsid w:val="005E03C3"/>
    <w:rsid w:val="005E07FA"/>
    <w:rsid w:val="005E0CB6"/>
    <w:rsid w:val="005E1021"/>
    <w:rsid w:val="005E10D1"/>
    <w:rsid w:val="005E12D3"/>
    <w:rsid w:val="005E1615"/>
    <w:rsid w:val="005E1B21"/>
    <w:rsid w:val="005E1BBF"/>
    <w:rsid w:val="005E2260"/>
    <w:rsid w:val="005E2350"/>
    <w:rsid w:val="005E267A"/>
    <w:rsid w:val="005E274D"/>
    <w:rsid w:val="005E3017"/>
    <w:rsid w:val="005E344B"/>
    <w:rsid w:val="005E35BF"/>
    <w:rsid w:val="005E35EF"/>
    <w:rsid w:val="005E397B"/>
    <w:rsid w:val="005E3D63"/>
    <w:rsid w:val="005E447E"/>
    <w:rsid w:val="005E44B2"/>
    <w:rsid w:val="005E44B9"/>
    <w:rsid w:val="005E471C"/>
    <w:rsid w:val="005E4A4F"/>
    <w:rsid w:val="005E50BA"/>
    <w:rsid w:val="005E536D"/>
    <w:rsid w:val="005E5672"/>
    <w:rsid w:val="005E5F74"/>
    <w:rsid w:val="005E61BC"/>
    <w:rsid w:val="005E62EA"/>
    <w:rsid w:val="005E66A4"/>
    <w:rsid w:val="005E6CC3"/>
    <w:rsid w:val="005E6D35"/>
    <w:rsid w:val="005E7089"/>
    <w:rsid w:val="005E7208"/>
    <w:rsid w:val="005E74A8"/>
    <w:rsid w:val="005E76EC"/>
    <w:rsid w:val="005F0CD4"/>
    <w:rsid w:val="005F147C"/>
    <w:rsid w:val="005F1B5E"/>
    <w:rsid w:val="005F1BC4"/>
    <w:rsid w:val="005F1F23"/>
    <w:rsid w:val="005F205B"/>
    <w:rsid w:val="005F20F7"/>
    <w:rsid w:val="005F235E"/>
    <w:rsid w:val="005F253D"/>
    <w:rsid w:val="005F261A"/>
    <w:rsid w:val="005F2A60"/>
    <w:rsid w:val="005F2D37"/>
    <w:rsid w:val="005F3055"/>
    <w:rsid w:val="005F31A2"/>
    <w:rsid w:val="005F35B9"/>
    <w:rsid w:val="005F366E"/>
    <w:rsid w:val="005F36DA"/>
    <w:rsid w:val="005F375A"/>
    <w:rsid w:val="005F37C3"/>
    <w:rsid w:val="005F38F8"/>
    <w:rsid w:val="005F39D3"/>
    <w:rsid w:val="005F3DB1"/>
    <w:rsid w:val="005F40C9"/>
    <w:rsid w:val="005F4A64"/>
    <w:rsid w:val="005F4E5B"/>
    <w:rsid w:val="005F4F17"/>
    <w:rsid w:val="005F5011"/>
    <w:rsid w:val="005F51DC"/>
    <w:rsid w:val="005F52FE"/>
    <w:rsid w:val="005F579F"/>
    <w:rsid w:val="005F5877"/>
    <w:rsid w:val="005F5999"/>
    <w:rsid w:val="005F5A30"/>
    <w:rsid w:val="005F6228"/>
    <w:rsid w:val="005F7C06"/>
    <w:rsid w:val="005F7DFB"/>
    <w:rsid w:val="00600105"/>
    <w:rsid w:val="0060043B"/>
    <w:rsid w:val="00600772"/>
    <w:rsid w:val="0060097E"/>
    <w:rsid w:val="00600C49"/>
    <w:rsid w:val="00601182"/>
    <w:rsid w:val="00601C27"/>
    <w:rsid w:val="00601CF5"/>
    <w:rsid w:val="0060277D"/>
    <w:rsid w:val="0060297A"/>
    <w:rsid w:val="00602E00"/>
    <w:rsid w:val="00602EBD"/>
    <w:rsid w:val="00602FAD"/>
    <w:rsid w:val="00602FE3"/>
    <w:rsid w:val="00602FF3"/>
    <w:rsid w:val="00603025"/>
    <w:rsid w:val="006031FC"/>
    <w:rsid w:val="00603445"/>
    <w:rsid w:val="0060357D"/>
    <w:rsid w:val="00603E41"/>
    <w:rsid w:val="00604090"/>
    <w:rsid w:val="00604424"/>
    <w:rsid w:val="0060465E"/>
    <w:rsid w:val="00604B51"/>
    <w:rsid w:val="00604BC4"/>
    <w:rsid w:val="006051E0"/>
    <w:rsid w:val="00605770"/>
    <w:rsid w:val="00605BDA"/>
    <w:rsid w:val="00605EB7"/>
    <w:rsid w:val="0060650E"/>
    <w:rsid w:val="00606A10"/>
    <w:rsid w:val="00606DCA"/>
    <w:rsid w:val="00606F02"/>
    <w:rsid w:val="006074E9"/>
    <w:rsid w:val="0060790D"/>
    <w:rsid w:val="0060796D"/>
    <w:rsid w:val="0061000D"/>
    <w:rsid w:val="00610074"/>
    <w:rsid w:val="006100DE"/>
    <w:rsid w:val="00610128"/>
    <w:rsid w:val="00610244"/>
    <w:rsid w:val="00610713"/>
    <w:rsid w:val="006107B4"/>
    <w:rsid w:val="00610AB7"/>
    <w:rsid w:val="00610D0D"/>
    <w:rsid w:val="0061129C"/>
    <w:rsid w:val="0061129F"/>
    <w:rsid w:val="006117F3"/>
    <w:rsid w:val="006118EB"/>
    <w:rsid w:val="00611CE3"/>
    <w:rsid w:val="0061204B"/>
    <w:rsid w:val="0061223B"/>
    <w:rsid w:val="006123C1"/>
    <w:rsid w:val="0061256A"/>
    <w:rsid w:val="00612ACD"/>
    <w:rsid w:val="00613120"/>
    <w:rsid w:val="00613188"/>
    <w:rsid w:val="00613289"/>
    <w:rsid w:val="006137FF"/>
    <w:rsid w:val="0061389E"/>
    <w:rsid w:val="0061394D"/>
    <w:rsid w:val="00613C54"/>
    <w:rsid w:val="0061421D"/>
    <w:rsid w:val="00614C79"/>
    <w:rsid w:val="00614E09"/>
    <w:rsid w:val="00614F3C"/>
    <w:rsid w:val="0061508A"/>
    <w:rsid w:val="00615550"/>
    <w:rsid w:val="00615700"/>
    <w:rsid w:val="00615929"/>
    <w:rsid w:val="00615A7B"/>
    <w:rsid w:val="0061634C"/>
    <w:rsid w:val="00616A95"/>
    <w:rsid w:val="00616EF1"/>
    <w:rsid w:val="00617426"/>
    <w:rsid w:val="006174A1"/>
    <w:rsid w:val="006175B8"/>
    <w:rsid w:val="00617C91"/>
    <w:rsid w:val="00617E30"/>
    <w:rsid w:val="00617E65"/>
    <w:rsid w:val="00617E96"/>
    <w:rsid w:val="00620121"/>
    <w:rsid w:val="00620587"/>
    <w:rsid w:val="006207C3"/>
    <w:rsid w:val="006208C1"/>
    <w:rsid w:val="00620B1B"/>
    <w:rsid w:val="0062114F"/>
    <w:rsid w:val="006219C6"/>
    <w:rsid w:val="00621E75"/>
    <w:rsid w:val="00621ECC"/>
    <w:rsid w:val="00621EE3"/>
    <w:rsid w:val="00621F0F"/>
    <w:rsid w:val="00622115"/>
    <w:rsid w:val="0062225E"/>
    <w:rsid w:val="0062244E"/>
    <w:rsid w:val="0062380E"/>
    <w:rsid w:val="00623830"/>
    <w:rsid w:val="00623C3F"/>
    <w:rsid w:val="00623D31"/>
    <w:rsid w:val="006244E9"/>
    <w:rsid w:val="006245D4"/>
    <w:rsid w:val="00624602"/>
    <w:rsid w:val="00624646"/>
    <w:rsid w:val="00624E82"/>
    <w:rsid w:val="006255D5"/>
    <w:rsid w:val="00625BF3"/>
    <w:rsid w:val="00625E9E"/>
    <w:rsid w:val="00626617"/>
    <w:rsid w:val="006268E9"/>
    <w:rsid w:val="00626A38"/>
    <w:rsid w:val="00626A93"/>
    <w:rsid w:val="0062737F"/>
    <w:rsid w:val="006274A3"/>
    <w:rsid w:val="00627755"/>
    <w:rsid w:val="006277AF"/>
    <w:rsid w:val="00627A3F"/>
    <w:rsid w:val="00630039"/>
    <w:rsid w:val="006301E0"/>
    <w:rsid w:val="006302F2"/>
    <w:rsid w:val="0063058B"/>
    <w:rsid w:val="00630639"/>
    <w:rsid w:val="00630A25"/>
    <w:rsid w:val="00630A6C"/>
    <w:rsid w:val="006317F3"/>
    <w:rsid w:val="0063187B"/>
    <w:rsid w:val="006318B7"/>
    <w:rsid w:val="00631B56"/>
    <w:rsid w:val="00631C2A"/>
    <w:rsid w:val="00631D77"/>
    <w:rsid w:val="0063249C"/>
    <w:rsid w:val="0063256C"/>
    <w:rsid w:val="006326E2"/>
    <w:rsid w:val="00632C6D"/>
    <w:rsid w:val="00632FA7"/>
    <w:rsid w:val="006337F2"/>
    <w:rsid w:val="00633F0C"/>
    <w:rsid w:val="0063405D"/>
    <w:rsid w:val="0063408F"/>
    <w:rsid w:val="006340D1"/>
    <w:rsid w:val="006345EB"/>
    <w:rsid w:val="0063462B"/>
    <w:rsid w:val="00634955"/>
    <w:rsid w:val="00634B75"/>
    <w:rsid w:val="00634EDF"/>
    <w:rsid w:val="0063502B"/>
    <w:rsid w:val="006350A3"/>
    <w:rsid w:val="006351A5"/>
    <w:rsid w:val="00635329"/>
    <w:rsid w:val="006356DD"/>
    <w:rsid w:val="00635A89"/>
    <w:rsid w:val="0063602E"/>
    <w:rsid w:val="00636225"/>
    <w:rsid w:val="00636783"/>
    <w:rsid w:val="00636A3C"/>
    <w:rsid w:val="00636AD5"/>
    <w:rsid w:val="00636CFE"/>
    <w:rsid w:val="00637087"/>
    <w:rsid w:val="00637486"/>
    <w:rsid w:val="00637586"/>
    <w:rsid w:val="006377E6"/>
    <w:rsid w:val="0063780F"/>
    <w:rsid w:val="00637847"/>
    <w:rsid w:val="006378C8"/>
    <w:rsid w:val="00637AE6"/>
    <w:rsid w:val="00637D7D"/>
    <w:rsid w:val="006403D9"/>
    <w:rsid w:val="0064068A"/>
    <w:rsid w:val="006406D7"/>
    <w:rsid w:val="00640860"/>
    <w:rsid w:val="00640906"/>
    <w:rsid w:val="00640B1C"/>
    <w:rsid w:val="00640D92"/>
    <w:rsid w:val="00640DDA"/>
    <w:rsid w:val="006412E7"/>
    <w:rsid w:val="006415D1"/>
    <w:rsid w:val="006417B4"/>
    <w:rsid w:val="0064193F"/>
    <w:rsid w:val="0064195A"/>
    <w:rsid w:val="00641EC1"/>
    <w:rsid w:val="00641FAE"/>
    <w:rsid w:val="0064221F"/>
    <w:rsid w:val="006424B9"/>
    <w:rsid w:val="00642770"/>
    <w:rsid w:val="00642B5F"/>
    <w:rsid w:val="00642E87"/>
    <w:rsid w:val="00642F38"/>
    <w:rsid w:val="006431B1"/>
    <w:rsid w:val="00643263"/>
    <w:rsid w:val="006432F6"/>
    <w:rsid w:val="00643506"/>
    <w:rsid w:val="006435B7"/>
    <w:rsid w:val="00643680"/>
    <w:rsid w:val="00643770"/>
    <w:rsid w:val="00643A5D"/>
    <w:rsid w:val="00643B29"/>
    <w:rsid w:val="00643D5E"/>
    <w:rsid w:val="00643EAD"/>
    <w:rsid w:val="00644C4D"/>
    <w:rsid w:val="00644F10"/>
    <w:rsid w:val="006453D6"/>
    <w:rsid w:val="006453FA"/>
    <w:rsid w:val="006454A1"/>
    <w:rsid w:val="0064587B"/>
    <w:rsid w:val="006459B3"/>
    <w:rsid w:val="0064632E"/>
    <w:rsid w:val="00646363"/>
    <w:rsid w:val="006469F2"/>
    <w:rsid w:val="00646E60"/>
    <w:rsid w:val="00646F0E"/>
    <w:rsid w:val="00647254"/>
    <w:rsid w:val="00647664"/>
    <w:rsid w:val="006476D5"/>
    <w:rsid w:val="00647837"/>
    <w:rsid w:val="00647A5B"/>
    <w:rsid w:val="00647AA3"/>
    <w:rsid w:val="00647B0F"/>
    <w:rsid w:val="00647FFA"/>
    <w:rsid w:val="00650080"/>
    <w:rsid w:val="006500EB"/>
    <w:rsid w:val="006504C0"/>
    <w:rsid w:val="00650B44"/>
    <w:rsid w:val="00650BE9"/>
    <w:rsid w:val="00650CC4"/>
    <w:rsid w:val="00650EB0"/>
    <w:rsid w:val="00650EE1"/>
    <w:rsid w:val="00650F1A"/>
    <w:rsid w:val="006513EB"/>
    <w:rsid w:val="00651C00"/>
    <w:rsid w:val="00652929"/>
    <w:rsid w:val="006529A7"/>
    <w:rsid w:val="006529D3"/>
    <w:rsid w:val="00652BD3"/>
    <w:rsid w:val="00652DEA"/>
    <w:rsid w:val="00652E07"/>
    <w:rsid w:val="006534B6"/>
    <w:rsid w:val="00653E78"/>
    <w:rsid w:val="00653FC2"/>
    <w:rsid w:val="0065462D"/>
    <w:rsid w:val="00654893"/>
    <w:rsid w:val="006549B0"/>
    <w:rsid w:val="00654AF0"/>
    <w:rsid w:val="00654AFB"/>
    <w:rsid w:val="00654CFB"/>
    <w:rsid w:val="0065507C"/>
    <w:rsid w:val="00655180"/>
    <w:rsid w:val="006551A5"/>
    <w:rsid w:val="006554D8"/>
    <w:rsid w:val="00656528"/>
    <w:rsid w:val="006568D6"/>
    <w:rsid w:val="00657020"/>
    <w:rsid w:val="006573D0"/>
    <w:rsid w:val="00657456"/>
    <w:rsid w:val="006579F4"/>
    <w:rsid w:val="00657A72"/>
    <w:rsid w:val="006604BF"/>
    <w:rsid w:val="006605CC"/>
    <w:rsid w:val="0066070A"/>
    <w:rsid w:val="00660A32"/>
    <w:rsid w:val="00660CF3"/>
    <w:rsid w:val="006614A0"/>
    <w:rsid w:val="00661919"/>
    <w:rsid w:val="00661950"/>
    <w:rsid w:val="00661A2B"/>
    <w:rsid w:val="006621A7"/>
    <w:rsid w:val="006625F6"/>
    <w:rsid w:val="006627E2"/>
    <w:rsid w:val="00662AE6"/>
    <w:rsid w:val="00662CAA"/>
    <w:rsid w:val="00662D93"/>
    <w:rsid w:val="0066339B"/>
    <w:rsid w:val="0066373B"/>
    <w:rsid w:val="00663A08"/>
    <w:rsid w:val="00663DFE"/>
    <w:rsid w:val="006644C4"/>
    <w:rsid w:val="0066465A"/>
    <w:rsid w:val="00664765"/>
    <w:rsid w:val="006648E7"/>
    <w:rsid w:val="00664ECE"/>
    <w:rsid w:val="00665300"/>
    <w:rsid w:val="006654F7"/>
    <w:rsid w:val="00665A62"/>
    <w:rsid w:val="00665E15"/>
    <w:rsid w:val="00666069"/>
    <w:rsid w:val="006665ED"/>
    <w:rsid w:val="006667FE"/>
    <w:rsid w:val="00666995"/>
    <w:rsid w:val="00666C79"/>
    <w:rsid w:val="00666D13"/>
    <w:rsid w:val="00667296"/>
    <w:rsid w:val="0066746F"/>
    <w:rsid w:val="00667799"/>
    <w:rsid w:val="006679C9"/>
    <w:rsid w:val="00667C61"/>
    <w:rsid w:val="00667CAA"/>
    <w:rsid w:val="00667FFB"/>
    <w:rsid w:val="0067070E"/>
    <w:rsid w:val="00670978"/>
    <w:rsid w:val="00670E2E"/>
    <w:rsid w:val="0067116E"/>
    <w:rsid w:val="006714FA"/>
    <w:rsid w:val="0067153D"/>
    <w:rsid w:val="00671803"/>
    <w:rsid w:val="00671857"/>
    <w:rsid w:val="0067195B"/>
    <w:rsid w:val="0067217F"/>
    <w:rsid w:val="0067267E"/>
    <w:rsid w:val="00672C85"/>
    <w:rsid w:val="0067353B"/>
    <w:rsid w:val="00673646"/>
    <w:rsid w:val="006736A0"/>
    <w:rsid w:val="006739DA"/>
    <w:rsid w:val="00673B32"/>
    <w:rsid w:val="00673C12"/>
    <w:rsid w:val="00673C9C"/>
    <w:rsid w:val="00674347"/>
    <w:rsid w:val="0067468A"/>
    <w:rsid w:val="00674700"/>
    <w:rsid w:val="0067493C"/>
    <w:rsid w:val="00674DC0"/>
    <w:rsid w:val="00674EFE"/>
    <w:rsid w:val="0067503E"/>
    <w:rsid w:val="0067571F"/>
    <w:rsid w:val="00675D4D"/>
    <w:rsid w:val="00675F58"/>
    <w:rsid w:val="00675FF3"/>
    <w:rsid w:val="006761A6"/>
    <w:rsid w:val="00676228"/>
    <w:rsid w:val="0067647D"/>
    <w:rsid w:val="0067657C"/>
    <w:rsid w:val="00676F72"/>
    <w:rsid w:val="006774A0"/>
    <w:rsid w:val="00677615"/>
    <w:rsid w:val="006777F6"/>
    <w:rsid w:val="006779DF"/>
    <w:rsid w:val="006803F5"/>
    <w:rsid w:val="0068046D"/>
    <w:rsid w:val="006804EC"/>
    <w:rsid w:val="006806DC"/>
    <w:rsid w:val="00680D49"/>
    <w:rsid w:val="0068138C"/>
    <w:rsid w:val="00681B4F"/>
    <w:rsid w:val="00682018"/>
    <w:rsid w:val="0068286F"/>
    <w:rsid w:val="00682AF6"/>
    <w:rsid w:val="006830CA"/>
    <w:rsid w:val="006835F3"/>
    <w:rsid w:val="00683867"/>
    <w:rsid w:val="006839D1"/>
    <w:rsid w:val="00683B55"/>
    <w:rsid w:val="00683F05"/>
    <w:rsid w:val="00684147"/>
    <w:rsid w:val="00684388"/>
    <w:rsid w:val="00684699"/>
    <w:rsid w:val="0068471C"/>
    <w:rsid w:val="00684899"/>
    <w:rsid w:val="00684C2C"/>
    <w:rsid w:val="00684E9B"/>
    <w:rsid w:val="00684F00"/>
    <w:rsid w:val="0068516F"/>
    <w:rsid w:val="00685185"/>
    <w:rsid w:val="006851FD"/>
    <w:rsid w:val="006853B5"/>
    <w:rsid w:val="006856EC"/>
    <w:rsid w:val="00685A05"/>
    <w:rsid w:val="00685C99"/>
    <w:rsid w:val="00685D37"/>
    <w:rsid w:val="00685DC8"/>
    <w:rsid w:val="00686088"/>
    <w:rsid w:val="00686440"/>
    <w:rsid w:val="006865A2"/>
    <w:rsid w:val="00686AA7"/>
    <w:rsid w:val="00686BAD"/>
    <w:rsid w:val="00686BBA"/>
    <w:rsid w:val="0068735C"/>
    <w:rsid w:val="00687833"/>
    <w:rsid w:val="00687F25"/>
    <w:rsid w:val="006901FF"/>
    <w:rsid w:val="00690428"/>
    <w:rsid w:val="006904F8"/>
    <w:rsid w:val="00690BC5"/>
    <w:rsid w:val="006913E0"/>
    <w:rsid w:val="006916AD"/>
    <w:rsid w:val="00691AA1"/>
    <w:rsid w:val="00691AA3"/>
    <w:rsid w:val="00691C8E"/>
    <w:rsid w:val="0069231A"/>
    <w:rsid w:val="006924A3"/>
    <w:rsid w:val="006924EE"/>
    <w:rsid w:val="006926E9"/>
    <w:rsid w:val="006926FA"/>
    <w:rsid w:val="006931EE"/>
    <w:rsid w:val="00693CDB"/>
    <w:rsid w:val="00694216"/>
    <w:rsid w:val="006942A9"/>
    <w:rsid w:val="00694C9A"/>
    <w:rsid w:val="0069502F"/>
    <w:rsid w:val="00695FCC"/>
    <w:rsid w:val="00695FF8"/>
    <w:rsid w:val="0069601C"/>
    <w:rsid w:val="0069620A"/>
    <w:rsid w:val="006964C1"/>
    <w:rsid w:val="00696A1B"/>
    <w:rsid w:val="00696AD9"/>
    <w:rsid w:val="0069714D"/>
    <w:rsid w:val="006972D7"/>
    <w:rsid w:val="006977F1"/>
    <w:rsid w:val="00697BA6"/>
    <w:rsid w:val="00697E2B"/>
    <w:rsid w:val="006A0259"/>
    <w:rsid w:val="006A03B0"/>
    <w:rsid w:val="006A0743"/>
    <w:rsid w:val="006A0C2D"/>
    <w:rsid w:val="006A0D12"/>
    <w:rsid w:val="006A1165"/>
    <w:rsid w:val="006A1319"/>
    <w:rsid w:val="006A1338"/>
    <w:rsid w:val="006A1930"/>
    <w:rsid w:val="006A21BF"/>
    <w:rsid w:val="006A21E3"/>
    <w:rsid w:val="006A26CC"/>
    <w:rsid w:val="006A27AE"/>
    <w:rsid w:val="006A2A18"/>
    <w:rsid w:val="006A3341"/>
    <w:rsid w:val="006A34A2"/>
    <w:rsid w:val="006A4017"/>
    <w:rsid w:val="006A4168"/>
    <w:rsid w:val="006A421C"/>
    <w:rsid w:val="006A432E"/>
    <w:rsid w:val="006A44A2"/>
    <w:rsid w:val="006A45C9"/>
    <w:rsid w:val="006A47FA"/>
    <w:rsid w:val="006A4847"/>
    <w:rsid w:val="006A49F7"/>
    <w:rsid w:val="006A4B45"/>
    <w:rsid w:val="006A4C52"/>
    <w:rsid w:val="006A50F0"/>
    <w:rsid w:val="006A5188"/>
    <w:rsid w:val="006A53C2"/>
    <w:rsid w:val="006A546D"/>
    <w:rsid w:val="006A578E"/>
    <w:rsid w:val="006A5B9A"/>
    <w:rsid w:val="006A5DF0"/>
    <w:rsid w:val="006A5E2E"/>
    <w:rsid w:val="006A5FBE"/>
    <w:rsid w:val="006A5FDB"/>
    <w:rsid w:val="006A60AB"/>
    <w:rsid w:val="006A618E"/>
    <w:rsid w:val="006A635D"/>
    <w:rsid w:val="006A6779"/>
    <w:rsid w:val="006A6919"/>
    <w:rsid w:val="006A6936"/>
    <w:rsid w:val="006A695E"/>
    <w:rsid w:val="006A6D41"/>
    <w:rsid w:val="006A6F79"/>
    <w:rsid w:val="006A705D"/>
    <w:rsid w:val="006A71C5"/>
    <w:rsid w:val="006A7298"/>
    <w:rsid w:val="006A7358"/>
    <w:rsid w:val="006A737A"/>
    <w:rsid w:val="006A761F"/>
    <w:rsid w:val="006A77C6"/>
    <w:rsid w:val="006A7822"/>
    <w:rsid w:val="006A7C87"/>
    <w:rsid w:val="006B021F"/>
    <w:rsid w:val="006B0276"/>
    <w:rsid w:val="006B033E"/>
    <w:rsid w:val="006B0481"/>
    <w:rsid w:val="006B04AF"/>
    <w:rsid w:val="006B0C24"/>
    <w:rsid w:val="006B0CB8"/>
    <w:rsid w:val="006B1536"/>
    <w:rsid w:val="006B170C"/>
    <w:rsid w:val="006B1FCB"/>
    <w:rsid w:val="006B24B1"/>
    <w:rsid w:val="006B2982"/>
    <w:rsid w:val="006B2A9B"/>
    <w:rsid w:val="006B358F"/>
    <w:rsid w:val="006B374F"/>
    <w:rsid w:val="006B499C"/>
    <w:rsid w:val="006B49FD"/>
    <w:rsid w:val="006B4E5F"/>
    <w:rsid w:val="006B4F34"/>
    <w:rsid w:val="006B51A1"/>
    <w:rsid w:val="006B5584"/>
    <w:rsid w:val="006B5772"/>
    <w:rsid w:val="006B6329"/>
    <w:rsid w:val="006B6352"/>
    <w:rsid w:val="006B6713"/>
    <w:rsid w:val="006B6B26"/>
    <w:rsid w:val="006B6CD3"/>
    <w:rsid w:val="006B7038"/>
    <w:rsid w:val="006B70D5"/>
    <w:rsid w:val="006B748F"/>
    <w:rsid w:val="006B7919"/>
    <w:rsid w:val="006B7B39"/>
    <w:rsid w:val="006B7C4E"/>
    <w:rsid w:val="006B7D57"/>
    <w:rsid w:val="006B7F5F"/>
    <w:rsid w:val="006C051D"/>
    <w:rsid w:val="006C08A1"/>
    <w:rsid w:val="006C0C50"/>
    <w:rsid w:val="006C0E97"/>
    <w:rsid w:val="006C0F28"/>
    <w:rsid w:val="006C15DC"/>
    <w:rsid w:val="006C1722"/>
    <w:rsid w:val="006C19C1"/>
    <w:rsid w:val="006C235E"/>
    <w:rsid w:val="006C25A3"/>
    <w:rsid w:val="006C2D37"/>
    <w:rsid w:val="006C2DE3"/>
    <w:rsid w:val="006C2E9E"/>
    <w:rsid w:val="006C3289"/>
    <w:rsid w:val="006C338B"/>
    <w:rsid w:val="006C3560"/>
    <w:rsid w:val="006C399E"/>
    <w:rsid w:val="006C3B07"/>
    <w:rsid w:val="006C3B96"/>
    <w:rsid w:val="006C3D19"/>
    <w:rsid w:val="006C3DB6"/>
    <w:rsid w:val="006C3F1B"/>
    <w:rsid w:val="006C44BF"/>
    <w:rsid w:val="006C44F9"/>
    <w:rsid w:val="006C4CA0"/>
    <w:rsid w:val="006C4CE8"/>
    <w:rsid w:val="006C4E49"/>
    <w:rsid w:val="006C58E3"/>
    <w:rsid w:val="006C5D6B"/>
    <w:rsid w:val="006C5DC9"/>
    <w:rsid w:val="006C6074"/>
    <w:rsid w:val="006C7597"/>
    <w:rsid w:val="006C7B17"/>
    <w:rsid w:val="006C7C8E"/>
    <w:rsid w:val="006C7D53"/>
    <w:rsid w:val="006D04B4"/>
    <w:rsid w:val="006D0714"/>
    <w:rsid w:val="006D090E"/>
    <w:rsid w:val="006D0B4F"/>
    <w:rsid w:val="006D0C87"/>
    <w:rsid w:val="006D0CD6"/>
    <w:rsid w:val="006D0E0C"/>
    <w:rsid w:val="006D13E1"/>
    <w:rsid w:val="006D1832"/>
    <w:rsid w:val="006D19DF"/>
    <w:rsid w:val="006D1BCB"/>
    <w:rsid w:val="006D1E94"/>
    <w:rsid w:val="006D21DF"/>
    <w:rsid w:val="006D22AE"/>
    <w:rsid w:val="006D23AE"/>
    <w:rsid w:val="006D320C"/>
    <w:rsid w:val="006D3228"/>
    <w:rsid w:val="006D3962"/>
    <w:rsid w:val="006D39FF"/>
    <w:rsid w:val="006D3AA6"/>
    <w:rsid w:val="006D3FBA"/>
    <w:rsid w:val="006D4179"/>
    <w:rsid w:val="006D498F"/>
    <w:rsid w:val="006D4AED"/>
    <w:rsid w:val="006D4DE2"/>
    <w:rsid w:val="006D535C"/>
    <w:rsid w:val="006D5CAD"/>
    <w:rsid w:val="006D6018"/>
    <w:rsid w:val="006D63B1"/>
    <w:rsid w:val="006D6F3A"/>
    <w:rsid w:val="006D6FD9"/>
    <w:rsid w:val="006D70BB"/>
    <w:rsid w:val="006D74DA"/>
    <w:rsid w:val="006D7873"/>
    <w:rsid w:val="006D7A6F"/>
    <w:rsid w:val="006D7B51"/>
    <w:rsid w:val="006D7C1D"/>
    <w:rsid w:val="006D7FB9"/>
    <w:rsid w:val="006E0365"/>
    <w:rsid w:val="006E03A6"/>
    <w:rsid w:val="006E0A03"/>
    <w:rsid w:val="006E0C69"/>
    <w:rsid w:val="006E0D29"/>
    <w:rsid w:val="006E1233"/>
    <w:rsid w:val="006E1454"/>
    <w:rsid w:val="006E1484"/>
    <w:rsid w:val="006E188C"/>
    <w:rsid w:val="006E21C5"/>
    <w:rsid w:val="006E21CD"/>
    <w:rsid w:val="006E2276"/>
    <w:rsid w:val="006E2D49"/>
    <w:rsid w:val="006E2F2E"/>
    <w:rsid w:val="006E30A9"/>
    <w:rsid w:val="006E30B7"/>
    <w:rsid w:val="006E42CE"/>
    <w:rsid w:val="006E45C3"/>
    <w:rsid w:val="006E45F1"/>
    <w:rsid w:val="006E47D1"/>
    <w:rsid w:val="006E4C1A"/>
    <w:rsid w:val="006E4DB3"/>
    <w:rsid w:val="006E5003"/>
    <w:rsid w:val="006E5034"/>
    <w:rsid w:val="006E5624"/>
    <w:rsid w:val="006E56D4"/>
    <w:rsid w:val="006E5FCB"/>
    <w:rsid w:val="006E6A22"/>
    <w:rsid w:val="006E6D0D"/>
    <w:rsid w:val="006E6FB4"/>
    <w:rsid w:val="006E75F7"/>
    <w:rsid w:val="006E76DC"/>
    <w:rsid w:val="006E778E"/>
    <w:rsid w:val="006E7A4B"/>
    <w:rsid w:val="006E7F38"/>
    <w:rsid w:val="006F0FB5"/>
    <w:rsid w:val="006F134A"/>
    <w:rsid w:val="006F17BE"/>
    <w:rsid w:val="006F1A5D"/>
    <w:rsid w:val="006F1B49"/>
    <w:rsid w:val="006F1F95"/>
    <w:rsid w:val="006F222C"/>
    <w:rsid w:val="006F28AD"/>
    <w:rsid w:val="006F30E7"/>
    <w:rsid w:val="006F3260"/>
    <w:rsid w:val="006F3302"/>
    <w:rsid w:val="006F3469"/>
    <w:rsid w:val="006F350B"/>
    <w:rsid w:val="006F3526"/>
    <w:rsid w:val="006F36FB"/>
    <w:rsid w:val="006F37B8"/>
    <w:rsid w:val="006F3F6F"/>
    <w:rsid w:val="006F3F86"/>
    <w:rsid w:val="006F4072"/>
    <w:rsid w:val="006F446E"/>
    <w:rsid w:val="006F4B38"/>
    <w:rsid w:val="006F4D41"/>
    <w:rsid w:val="006F50A5"/>
    <w:rsid w:val="006F51A6"/>
    <w:rsid w:val="006F5555"/>
    <w:rsid w:val="006F560C"/>
    <w:rsid w:val="006F563B"/>
    <w:rsid w:val="006F5A16"/>
    <w:rsid w:val="006F5BDF"/>
    <w:rsid w:val="006F5DE6"/>
    <w:rsid w:val="006F6099"/>
    <w:rsid w:val="006F6CE8"/>
    <w:rsid w:val="006F729A"/>
    <w:rsid w:val="006F7376"/>
    <w:rsid w:val="006F7558"/>
    <w:rsid w:val="006F76DD"/>
    <w:rsid w:val="006F79C3"/>
    <w:rsid w:val="006F7D64"/>
    <w:rsid w:val="006F7FFA"/>
    <w:rsid w:val="007005C1"/>
    <w:rsid w:val="007005F0"/>
    <w:rsid w:val="0070080E"/>
    <w:rsid w:val="0070105C"/>
    <w:rsid w:val="00701085"/>
    <w:rsid w:val="00701287"/>
    <w:rsid w:val="00701866"/>
    <w:rsid w:val="007019CF"/>
    <w:rsid w:val="00701EDC"/>
    <w:rsid w:val="00701FF9"/>
    <w:rsid w:val="0070268F"/>
    <w:rsid w:val="00702694"/>
    <w:rsid w:val="007026E0"/>
    <w:rsid w:val="00702882"/>
    <w:rsid w:val="007028A0"/>
    <w:rsid w:val="00702C8D"/>
    <w:rsid w:val="00702CBD"/>
    <w:rsid w:val="00702F6A"/>
    <w:rsid w:val="0070361C"/>
    <w:rsid w:val="00703626"/>
    <w:rsid w:val="007038B2"/>
    <w:rsid w:val="00703E6B"/>
    <w:rsid w:val="007040C0"/>
    <w:rsid w:val="00704234"/>
    <w:rsid w:val="0070432F"/>
    <w:rsid w:val="0070494F"/>
    <w:rsid w:val="00704CC5"/>
    <w:rsid w:val="00705436"/>
    <w:rsid w:val="007059B7"/>
    <w:rsid w:val="00705C94"/>
    <w:rsid w:val="00705CB5"/>
    <w:rsid w:val="00705DEE"/>
    <w:rsid w:val="00705FE8"/>
    <w:rsid w:val="007067DD"/>
    <w:rsid w:val="00706B34"/>
    <w:rsid w:val="00706CF7"/>
    <w:rsid w:val="00706DDE"/>
    <w:rsid w:val="007072B6"/>
    <w:rsid w:val="0070759B"/>
    <w:rsid w:val="00707AAB"/>
    <w:rsid w:val="00707C81"/>
    <w:rsid w:val="007101C6"/>
    <w:rsid w:val="007103D9"/>
    <w:rsid w:val="00710495"/>
    <w:rsid w:val="00710969"/>
    <w:rsid w:val="00710B9D"/>
    <w:rsid w:val="00710C1D"/>
    <w:rsid w:val="00710E6F"/>
    <w:rsid w:val="00710EC6"/>
    <w:rsid w:val="0071107B"/>
    <w:rsid w:val="00711600"/>
    <w:rsid w:val="007116CB"/>
    <w:rsid w:val="0071175C"/>
    <w:rsid w:val="00711A94"/>
    <w:rsid w:val="00711C46"/>
    <w:rsid w:val="00711D26"/>
    <w:rsid w:val="00712B64"/>
    <w:rsid w:val="007133DE"/>
    <w:rsid w:val="007137A2"/>
    <w:rsid w:val="00713E4B"/>
    <w:rsid w:val="007141B5"/>
    <w:rsid w:val="007146AD"/>
    <w:rsid w:val="007146B4"/>
    <w:rsid w:val="00714A58"/>
    <w:rsid w:val="00714EAD"/>
    <w:rsid w:val="00714F33"/>
    <w:rsid w:val="007151B3"/>
    <w:rsid w:val="007157E6"/>
    <w:rsid w:val="00715DC7"/>
    <w:rsid w:val="00715DFE"/>
    <w:rsid w:val="0071624A"/>
    <w:rsid w:val="0071635B"/>
    <w:rsid w:val="00716996"/>
    <w:rsid w:val="00716B89"/>
    <w:rsid w:val="00716C6C"/>
    <w:rsid w:val="00716EF4"/>
    <w:rsid w:val="007171E1"/>
    <w:rsid w:val="00717BDB"/>
    <w:rsid w:val="00720234"/>
    <w:rsid w:val="007205F2"/>
    <w:rsid w:val="00720744"/>
    <w:rsid w:val="00720824"/>
    <w:rsid w:val="007209B5"/>
    <w:rsid w:val="00720AA1"/>
    <w:rsid w:val="00720CA4"/>
    <w:rsid w:val="00720EE2"/>
    <w:rsid w:val="00720FC4"/>
    <w:rsid w:val="00720FFE"/>
    <w:rsid w:val="0072167E"/>
    <w:rsid w:val="007219E9"/>
    <w:rsid w:val="00721ADA"/>
    <w:rsid w:val="00721B57"/>
    <w:rsid w:val="0072284C"/>
    <w:rsid w:val="00722891"/>
    <w:rsid w:val="00722C57"/>
    <w:rsid w:val="00722D98"/>
    <w:rsid w:val="00722ECE"/>
    <w:rsid w:val="00723679"/>
    <w:rsid w:val="00723CD3"/>
    <w:rsid w:val="00723D5C"/>
    <w:rsid w:val="007240EF"/>
    <w:rsid w:val="00724788"/>
    <w:rsid w:val="00724847"/>
    <w:rsid w:val="00724B00"/>
    <w:rsid w:val="00724BC8"/>
    <w:rsid w:val="00724E70"/>
    <w:rsid w:val="00724F9D"/>
    <w:rsid w:val="007250FC"/>
    <w:rsid w:val="00725262"/>
    <w:rsid w:val="00725BC8"/>
    <w:rsid w:val="007263D0"/>
    <w:rsid w:val="00726B33"/>
    <w:rsid w:val="00726B92"/>
    <w:rsid w:val="00726C86"/>
    <w:rsid w:val="00727024"/>
    <w:rsid w:val="007273C8"/>
    <w:rsid w:val="00727604"/>
    <w:rsid w:val="00727E7F"/>
    <w:rsid w:val="0073068D"/>
    <w:rsid w:val="00730ABB"/>
    <w:rsid w:val="00730FEA"/>
    <w:rsid w:val="0073125A"/>
    <w:rsid w:val="007314D8"/>
    <w:rsid w:val="00731C02"/>
    <w:rsid w:val="00731F5B"/>
    <w:rsid w:val="0073224A"/>
    <w:rsid w:val="00732C4B"/>
    <w:rsid w:val="00732CF8"/>
    <w:rsid w:val="00733183"/>
    <w:rsid w:val="00733188"/>
    <w:rsid w:val="00733769"/>
    <w:rsid w:val="00733982"/>
    <w:rsid w:val="00733BE9"/>
    <w:rsid w:val="00734057"/>
    <w:rsid w:val="0073428A"/>
    <w:rsid w:val="00734E0F"/>
    <w:rsid w:val="00734E7D"/>
    <w:rsid w:val="00735CE1"/>
    <w:rsid w:val="00735F22"/>
    <w:rsid w:val="00735F61"/>
    <w:rsid w:val="00736103"/>
    <w:rsid w:val="007364F4"/>
    <w:rsid w:val="007369BB"/>
    <w:rsid w:val="00736E86"/>
    <w:rsid w:val="00736F01"/>
    <w:rsid w:val="00736F6B"/>
    <w:rsid w:val="00736FF4"/>
    <w:rsid w:val="0073768C"/>
    <w:rsid w:val="007376C2"/>
    <w:rsid w:val="007379CB"/>
    <w:rsid w:val="00737C80"/>
    <w:rsid w:val="0074016B"/>
    <w:rsid w:val="00740680"/>
    <w:rsid w:val="00740C65"/>
    <w:rsid w:val="00740EE3"/>
    <w:rsid w:val="007412CC"/>
    <w:rsid w:val="00741336"/>
    <w:rsid w:val="00741878"/>
    <w:rsid w:val="00741983"/>
    <w:rsid w:val="00741A6E"/>
    <w:rsid w:val="00741D1E"/>
    <w:rsid w:val="0074208B"/>
    <w:rsid w:val="00742091"/>
    <w:rsid w:val="007429D6"/>
    <w:rsid w:val="00742A29"/>
    <w:rsid w:val="00742BB5"/>
    <w:rsid w:val="00742C31"/>
    <w:rsid w:val="00742C3A"/>
    <w:rsid w:val="00742E8C"/>
    <w:rsid w:val="00743251"/>
    <w:rsid w:val="007438C5"/>
    <w:rsid w:val="00743F01"/>
    <w:rsid w:val="00745294"/>
    <w:rsid w:val="00745366"/>
    <w:rsid w:val="0074548E"/>
    <w:rsid w:val="007454A1"/>
    <w:rsid w:val="00745527"/>
    <w:rsid w:val="00745840"/>
    <w:rsid w:val="00745AC2"/>
    <w:rsid w:val="00745DBA"/>
    <w:rsid w:val="007460A7"/>
    <w:rsid w:val="007467FC"/>
    <w:rsid w:val="00746874"/>
    <w:rsid w:val="00746B57"/>
    <w:rsid w:val="00746C16"/>
    <w:rsid w:val="00746E24"/>
    <w:rsid w:val="00747689"/>
    <w:rsid w:val="0074779C"/>
    <w:rsid w:val="0074784D"/>
    <w:rsid w:val="00747A51"/>
    <w:rsid w:val="00750702"/>
    <w:rsid w:val="0075076C"/>
    <w:rsid w:val="007509C3"/>
    <w:rsid w:val="00750B0A"/>
    <w:rsid w:val="00750BFE"/>
    <w:rsid w:val="00750DE7"/>
    <w:rsid w:val="00750EAD"/>
    <w:rsid w:val="0075133B"/>
    <w:rsid w:val="0075180D"/>
    <w:rsid w:val="00751DC7"/>
    <w:rsid w:val="00751F74"/>
    <w:rsid w:val="00752258"/>
    <w:rsid w:val="0075237E"/>
    <w:rsid w:val="007523D1"/>
    <w:rsid w:val="00752522"/>
    <w:rsid w:val="007525ED"/>
    <w:rsid w:val="00752AA1"/>
    <w:rsid w:val="00752F07"/>
    <w:rsid w:val="0075318F"/>
    <w:rsid w:val="00753357"/>
    <w:rsid w:val="0075342A"/>
    <w:rsid w:val="007534F8"/>
    <w:rsid w:val="007537EE"/>
    <w:rsid w:val="0075420F"/>
    <w:rsid w:val="0075431A"/>
    <w:rsid w:val="00754779"/>
    <w:rsid w:val="007547C3"/>
    <w:rsid w:val="00754BF8"/>
    <w:rsid w:val="00754F2A"/>
    <w:rsid w:val="0075508B"/>
    <w:rsid w:val="00755AF9"/>
    <w:rsid w:val="00755F7F"/>
    <w:rsid w:val="0075619F"/>
    <w:rsid w:val="00756407"/>
    <w:rsid w:val="00756493"/>
    <w:rsid w:val="0075651A"/>
    <w:rsid w:val="00756B89"/>
    <w:rsid w:val="00756C23"/>
    <w:rsid w:val="00756F29"/>
    <w:rsid w:val="007578D6"/>
    <w:rsid w:val="00760595"/>
    <w:rsid w:val="00760AAE"/>
    <w:rsid w:val="00760F66"/>
    <w:rsid w:val="00761249"/>
    <w:rsid w:val="00761C10"/>
    <w:rsid w:val="00761D41"/>
    <w:rsid w:val="00762238"/>
    <w:rsid w:val="0076247E"/>
    <w:rsid w:val="0076263E"/>
    <w:rsid w:val="00763090"/>
    <w:rsid w:val="0076337C"/>
    <w:rsid w:val="00763C25"/>
    <w:rsid w:val="00764723"/>
    <w:rsid w:val="00764F1E"/>
    <w:rsid w:val="00765027"/>
    <w:rsid w:val="00765141"/>
    <w:rsid w:val="0076524C"/>
    <w:rsid w:val="007655BA"/>
    <w:rsid w:val="00765761"/>
    <w:rsid w:val="007657BB"/>
    <w:rsid w:val="00765A01"/>
    <w:rsid w:val="00765D35"/>
    <w:rsid w:val="00765D7F"/>
    <w:rsid w:val="00766223"/>
    <w:rsid w:val="00766433"/>
    <w:rsid w:val="00766684"/>
    <w:rsid w:val="007666C2"/>
    <w:rsid w:val="00766D55"/>
    <w:rsid w:val="00766FD3"/>
    <w:rsid w:val="00767874"/>
    <w:rsid w:val="00767CAD"/>
    <w:rsid w:val="00767FE5"/>
    <w:rsid w:val="00770DE1"/>
    <w:rsid w:val="00770E9B"/>
    <w:rsid w:val="007711C1"/>
    <w:rsid w:val="00771742"/>
    <w:rsid w:val="007718B5"/>
    <w:rsid w:val="00772ABC"/>
    <w:rsid w:val="00772CA3"/>
    <w:rsid w:val="00773262"/>
    <w:rsid w:val="0077347C"/>
    <w:rsid w:val="007735CF"/>
    <w:rsid w:val="0077394B"/>
    <w:rsid w:val="00773AEB"/>
    <w:rsid w:val="00773C12"/>
    <w:rsid w:val="007745BE"/>
    <w:rsid w:val="007748C5"/>
    <w:rsid w:val="007749B9"/>
    <w:rsid w:val="00774B28"/>
    <w:rsid w:val="007753BE"/>
    <w:rsid w:val="00775843"/>
    <w:rsid w:val="00775888"/>
    <w:rsid w:val="00775930"/>
    <w:rsid w:val="00775B85"/>
    <w:rsid w:val="00775FCB"/>
    <w:rsid w:val="00776262"/>
    <w:rsid w:val="0077743C"/>
    <w:rsid w:val="007778C7"/>
    <w:rsid w:val="00777D6C"/>
    <w:rsid w:val="0078009E"/>
    <w:rsid w:val="00780122"/>
    <w:rsid w:val="00780151"/>
    <w:rsid w:val="0078057A"/>
    <w:rsid w:val="007806CF"/>
    <w:rsid w:val="0078095D"/>
    <w:rsid w:val="00780C8F"/>
    <w:rsid w:val="00780E18"/>
    <w:rsid w:val="007814B9"/>
    <w:rsid w:val="007814F7"/>
    <w:rsid w:val="0078178C"/>
    <w:rsid w:val="007827E8"/>
    <w:rsid w:val="00783455"/>
    <w:rsid w:val="0078438F"/>
    <w:rsid w:val="007846DD"/>
    <w:rsid w:val="00784B82"/>
    <w:rsid w:val="007852BF"/>
    <w:rsid w:val="00785628"/>
    <w:rsid w:val="0078593E"/>
    <w:rsid w:val="0078603A"/>
    <w:rsid w:val="0078630E"/>
    <w:rsid w:val="0078631C"/>
    <w:rsid w:val="0078673D"/>
    <w:rsid w:val="0078694D"/>
    <w:rsid w:val="00786F8C"/>
    <w:rsid w:val="00787257"/>
    <w:rsid w:val="00787326"/>
    <w:rsid w:val="0078738A"/>
    <w:rsid w:val="007873C0"/>
    <w:rsid w:val="00787424"/>
    <w:rsid w:val="00787B67"/>
    <w:rsid w:val="007903C8"/>
    <w:rsid w:val="007905FB"/>
    <w:rsid w:val="00790619"/>
    <w:rsid w:val="00790AC9"/>
    <w:rsid w:val="00791345"/>
    <w:rsid w:val="0079186D"/>
    <w:rsid w:val="0079194D"/>
    <w:rsid w:val="00791E78"/>
    <w:rsid w:val="00792056"/>
    <w:rsid w:val="0079281B"/>
    <w:rsid w:val="007928D2"/>
    <w:rsid w:val="00792B79"/>
    <w:rsid w:val="00792E6D"/>
    <w:rsid w:val="00792EF3"/>
    <w:rsid w:val="0079325F"/>
    <w:rsid w:val="00793463"/>
    <w:rsid w:val="007935C2"/>
    <w:rsid w:val="00793A11"/>
    <w:rsid w:val="00793EE7"/>
    <w:rsid w:val="007949F4"/>
    <w:rsid w:val="00794A2B"/>
    <w:rsid w:val="00794C73"/>
    <w:rsid w:val="00794C7B"/>
    <w:rsid w:val="00794D6F"/>
    <w:rsid w:val="00794ED7"/>
    <w:rsid w:val="00794F01"/>
    <w:rsid w:val="00795477"/>
    <w:rsid w:val="00795DA4"/>
    <w:rsid w:val="007960BC"/>
    <w:rsid w:val="00796212"/>
    <w:rsid w:val="00796A35"/>
    <w:rsid w:val="00796B5F"/>
    <w:rsid w:val="00797D69"/>
    <w:rsid w:val="007A020E"/>
    <w:rsid w:val="007A0274"/>
    <w:rsid w:val="007A074A"/>
    <w:rsid w:val="007A0777"/>
    <w:rsid w:val="007A1965"/>
    <w:rsid w:val="007A1BCE"/>
    <w:rsid w:val="007A2CB1"/>
    <w:rsid w:val="007A34DD"/>
    <w:rsid w:val="007A4CFC"/>
    <w:rsid w:val="007A5244"/>
    <w:rsid w:val="007A6289"/>
    <w:rsid w:val="007A62F0"/>
    <w:rsid w:val="007A667E"/>
    <w:rsid w:val="007A6842"/>
    <w:rsid w:val="007A690C"/>
    <w:rsid w:val="007A6B35"/>
    <w:rsid w:val="007A6BC5"/>
    <w:rsid w:val="007A6DE4"/>
    <w:rsid w:val="007A6E1B"/>
    <w:rsid w:val="007A7370"/>
    <w:rsid w:val="007A7861"/>
    <w:rsid w:val="007A7AB4"/>
    <w:rsid w:val="007A7AEB"/>
    <w:rsid w:val="007B01DF"/>
    <w:rsid w:val="007B03F3"/>
    <w:rsid w:val="007B04CB"/>
    <w:rsid w:val="007B04FF"/>
    <w:rsid w:val="007B06BF"/>
    <w:rsid w:val="007B19CE"/>
    <w:rsid w:val="007B1A89"/>
    <w:rsid w:val="007B2308"/>
    <w:rsid w:val="007B2E11"/>
    <w:rsid w:val="007B2E9A"/>
    <w:rsid w:val="007B300A"/>
    <w:rsid w:val="007B31B7"/>
    <w:rsid w:val="007B327E"/>
    <w:rsid w:val="007B3842"/>
    <w:rsid w:val="007B3A01"/>
    <w:rsid w:val="007B3C9D"/>
    <w:rsid w:val="007B3D5B"/>
    <w:rsid w:val="007B3ED9"/>
    <w:rsid w:val="007B40CB"/>
    <w:rsid w:val="007B42EA"/>
    <w:rsid w:val="007B446D"/>
    <w:rsid w:val="007B45C9"/>
    <w:rsid w:val="007B4648"/>
    <w:rsid w:val="007B47CF"/>
    <w:rsid w:val="007B4A5E"/>
    <w:rsid w:val="007B4A80"/>
    <w:rsid w:val="007B4D17"/>
    <w:rsid w:val="007B5275"/>
    <w:rsid w:val="007B56DF"/>
    <w:rsid w:val="007B5741"/>
    <w:rsid w:val="007B5769"/>
    <w:rsid w:val="007B649F"/>
    <w:rsid w:val="007B6F44"/>
    <w:rsid w:val="007B72F7"/>
    <w:rsid w:val="007B7480"/>
    <w:rsid w:val="007B7505"/>
    <w:rsid w:val="007B7AE6"/>
    <w:rsid w:val="007B7FF0"/>
    <w:rsid w:val="007C018A"/>
    <w:rsid w:val="007C020F"/>
    <w:rsid w:val="007C0455"/>
    <w:rsid w:val="007C07DF"/>
    <w:rsid w:val="007C086E"/>
    <w:rsid w:val="007C0E7E"/>
    <w:rsid w:val="007C1632"/>
    <w:rsid w:val="007C1B7F"/>
    <w:rsid w:val="007C21C0"/>
    <w:rsid w:val="007C254C"/>
    <w:rsid w:val="007C2864"/>
    <w:rsid w:val="007C35C1"/>
    <w:rsid w:val="007C3A62"/>
    <w:rsid w:val="007C3FCF"/>
    <w:rsid w:val="007C46E5"/>
    <w:rsid w:val="007C4B5B"/>
    <w:rsid w:val="007C5422"/>
    <w:rsid w:val="007C5BAD"/>
    <w:rsid w:val="007C5C07"/>
    <w:rsid w:val="007C5E7B"/>
    <w:rsid w:val="007C653E"/>
    <w:rsid w:val="007C6568"/>
    <w:rsid w:val="007C6A6A"/>
    <w:rsid w:val="007C753D"/>
    <w:rsid w:val="007C7555"/>
    <w:rsid w:val="007C7914"/>
    <w:rsid w:val="007C7FF8"/>
    <w:rsid w:val="007D00CE"/>
    <w:rsid w:val="007D0433"/>
    <w:rsid w:val="007D06FA"/>
    <w:rsid w:val="007D1125"/>
    <w:rsid w:val="007D159A"/>
    <w:rsid w:val="007D1C1A"/>
    <w:rsid w:val="007D260E"/>
    <w:rsid w:val="007D269C"/>
    <w:rsid w:val="007D28C1"/>
    <w:rsid w:val="007D2C70"/>
    <w:rsid w:val="007D2E90"/>
    <w:rsid w:val="007D2E9A"/>
    <w:rsid w:val="007D2EB9"/>
    <w:rsid w:val="007D311C"/>
    <w:rsid w:val="007D313C"/>
    <w:rsid w:val="007D3538"/>
    <w:rsid w:val="007D36E4"/>
    <w:rsid w:val="007D3859"/>
    <w:rsid w:val="007D46CE"/>
    <w:rsid w:val="007D4B9D"/>
    <w:rsid w:val="007D4C04"/>
    <w:rsid w:val="007D4F00"/>
    <w:rsid w:val="007D57C4"/>
    <w:rsid w:val="007D587C"/>
    <w:rsid w:val="007D5C35"/>
    <w:rsid w:val="007D630E"/>
    <w:rsid w:val="007D64C0"/>
    <w:rsid w:val="007D6A0A"/>
    <w:rsid w:val="007D6D24"/>
    <w:rsid w:val="007D75B5"/>
    <w:rsid w:val="007D776F"/>
    <w:rsid w:val="007E002E"/>
    <w:rsid w:val="007E0E35"/>
    <w:rsid w:val="007E12B7"/>
    <w:rsid w:val="007E1677"/>
    <w:rsid w:val="007E17F4"/>
    <w:rsid w:val="007E19B3"/>
    <w:rsid w:val="007E1A25"/>
    <w:rsid w:val="007E1B1A"/>
    <w:rsid w:val="007E22E0"/>
    <w:rsid w:val="007E2404"/>
    <w:rsid w:val="007E2789"/>
    <w:rsid w:val="007E27FE"/>
    <w:rsid w:val="007E3D84"/>
    <w:rsid w:val="007E3E6A"/>
    <w:rsid w:val="007E3E72"/>
    <w:rsid w:val="007E3E91"/>
    <w:rsid w:val="007E4423"/>
    <w:rsid w:val="007E4539"/>
    <w:rsid w:val="007E4816"/>
    <w:rsid w:val="007E4985"/>
    <w:rsid w:val="007E4C7F"/>
    <w:rsid w:val="007E524C"/>
    <w:rsid w:val="007E5631"/>
    <w:rsid w:val="007E5CDB"/>
    <w:rsid w:val="007E6167"/>
    <w:rsid w:val="007E64F3"/>
    <w:rsid w:val="007E6622"/>
    <w:rsid w:val="007E69E1"/>
    <w:rsid w:val="007E7D1E"/>
    <w:rsid w:val="007F0140"/>
    <w:rsid w:val="007F05CF"/>
    <w:rsid w:val="007F08DE"/>
    <w:rsid w:val="007F11D2"/>
    <w:rsid w:val="007F147C"/>
    <w:rsid w:val="007F16A4"/>
    <w:rsid w:val="007F16BF"/>
    <w:rsid w:val="007F1775"/>
    <w:rsid w:val="007F1782"/>
    <w:rsid w:val="007F17CD"/>
    <w:rsid w:val="007F1938"/>
    <w:rsid w:val="007F1973"/>
    <w:rsid w:val="007F1D4C"/>
    <w:rsid w:val="007F2134"/>
    <w:rsid w:val="007F2720"/>
    <w:rsid w:val="007F27B9"/>
    <w:rsid w:val="007F27C4"/>
    <w:rsid w:val="007F30AB"/>
    <w:rsid w:val="007F3B16"/>
    <w:rsid w:val="007F4124"/>
    <w:rsid w:val="007F416B"/>
    <w:rsid w:val="007F4ECF"/>
    <w:rsid w:val="007F4F65"/>
    <w:rsid w:val="007F5C65"/>
    <w:rsid w:val="007F604B"/>
    <w:rsid w:val="007F64DA"/>
    <w:rsid w:val="007F6632"/>
    <w:rsid w:val="007F6918"/>
    <w:rsid w:val="007F7438"/>
    <w:rsid w:val="007F74F3"/>
    <w:rsid w:val="007F7FF7"/>
    <w:rsid w:val="00800098"/>
    <w:rsid w:val="0080025F"/>
    <w:rsid w:val="0080056E"/>
    <w:rsid w:val="00800A49"/>
    <w:rsid w:val="00801398"/>
    <w:rsid w:val="00801711"/>
    <w:rsid w:val="00801EA9"/>
    <w:rsid w:val="0080218A"/>
    <w:rsid w:val="008023CF"/>
    <w:rsid w:val="00802706"/>
    <w:rsid w:val="00802B9A"/>
    <w:rsid w:val="00802E94"/>
    <w:rsid w:val="00803628"/>
    <w:rsid w:val="008036EA"/>
    <w:rsid w:val="00803FD4"/>
    <w:rsid w:val="008040A2"/>
    <w:rsid w:val="0080495F"/>
    <w:rsid w:val="00804CFA"/>
    <w:rsid w:val="00804D23"/>
    <w:rsid w:val="00805325"/>
    <w:rsid w:val="008056BE"/>
    <w:rsid w:val="008057E7"/>
    <w:rsid w:val="008062F2"/>
    <w:rsid w:val="008066C8"/>
    <w:rsid w:val="0080689C"/>
    <w:rsid w:val="00806AD3"/>
    <w:rsid w:val="00806AF2"/>
    <w:rsid w:val="00807045"/>
    <w:rsid w:val="00807093"/>
    <w:rsid w:val="00807284"/>
    <w:rsid w:val="0080796F"/>
    <w:rsid w:val="00807BCB"/>
    <w:rsid w:val="00807E60"/>
    <w:rsid w:val="0081009D"/>
    <w:rsid w:val="0081014B"/>
    <w:rsid w:val="0081031F"/>
    <w:rsid w:val="008106CE"/>
    <w:rsid w:val="00810C3E"/>
    <w:rsid w:val="00811624"/>
    <w:rsid w:val="008118A3"/>
    <w:rsid w:val="008120F5"/>
    <w:rsid w:val="008121E4"/>
    <w:rsid w:val="0081227C"/>
    <w:rsid w:val="00812C75"/>
    <w:rsid w:val="00812CB3"/>
    <w:rsid w:val="00812DF1"/>
    <w:rsid w:val="00812FA0"/>
    <w:rsid w:val="0081334F"/>
    <w:rsid w:val="0081344C"/>
    <w:rsid w:val="008134E3"/>
    <w:rsid w:val="008135AF"/>
    <w:rsid w:val="008139EB"/>
    <w:rsid w:val="00813D3E"/>
    <w:rsid w:val="0081468A"/>
    <w:rsid w:val="00814973"/>
    <w:rsid w:val="00814B81"/>
    <w:rsid w:val="00814D43"/>
    <w:rsid w:val="00814E1F"/>
    <w:rsid w:val="0081512B"/>
    <w:rsid w:val="00815273"/>
    <w:rsid w:val="00815473"/>
    <w:rsid w:val="008156DE"/>
    <w:rsid w:val="008158E7"/>
    <w:rsid w:val="00815A2C"/>
    <w:rsid w:val="00815F67"/>
    <w:rsid w:val="0081612E"/>
    <w:rsid w:val="008162CD"/>
    <w:rsid w:val="008163B2"/>
    <w:rsid w:val="00816927"/>
    <w:rsid w:val="00816B40"/>
    <w:rsid w:val="00816C2F"/>
    <w:rsid w:val="00817951"/>
    <w:rsid w:val="00817FA7"/>
    <w:rsid w:val="0082003C"/>
    <w:rsid w:val="00820261"/>
    <w:rsid w:val="008202EE"/>
    <w:rsid w:val="00820625"/>
    <w:rsid w:val="00820C11"/>
    <w:rsid w:val="00820D38"/>
    <w:rsid w:val="00820F55"/>
    <w:rsid w:val="00820F85"/>
    <w:rsid w:val="0082133C"/>
    <w:rsid w:val="0082146F"/>
    <w:rsid w:val="00821D33"/>
    <w:rsid w:val="0082280C"/>
    <w:rsid w:val="00822A4C"/>
    <w:rsid w:val="00822C29"/>
    <w:rsid w:val="00822D2A"/>
    <w:rsid w:val="00822E7A"/>
    <w:rsid w:val="00822FC0"/>
    <w:rsid w:val="008233FA"/>
    <w:rsid w:val="008236C7"/>
    <w:rsid w:val="00823B95"/>
    <w:rsid w:val="00823C23"/>
    <w:rsid w:val="00823E10"/>
    <w:rsid w:val="00824E67"/>
    <w:rsid w:val="008250EE"/>
    <w:rsid w:val="00825410"/>
    <w:rsid w:val="008254F2"/>
    <w:rsid w:val="00825D94"/>
    <w:rsid w:val="00825FBB"/>
    <w:rsid w:val="008262FD"/>
    <w:rsid w:val="008265F5"/>
    <w:rsid w:val="008265FE"/>
    <w:rsid w:val="00826B1C"/>
    <w:rsid w:val="00826B75"/>
    <w:rsid w:val="00826D97"/>
    <w:rsid w:val="0082705A"/>
    <w:rsid w:val="00827300"/>
    <w:rsid w:val="008278F2"/>
    <w:rsid w:val="008279EA"/>
    <w:rsid w:val="00827D39"/>
    <w:rsid w:val="00827F68"/>
    <w:rsid w:val="008304DC"/>
    <w:rsid w:val="008310AC"/>
    <w:rsid w:val="008313B7"/>
    <w:rsid w:val="008316D0"/>
    <w:rsid w:val="0083193A"/>
    <w:rsid w:val="00831AB8"/>
    <w:rsid w:val="00831CF8"/>
    <w:rsid w:val="00831DBC"/>
    <w:rsid w:val="00831DED"/>
    <w:rsid w:val="00832297"/>
    <w:rsid w:val="00832BDF"/>
    <w:rsid w:val="008333DA"/>
    <w:rsid w:val="00833B75"/>
    <w:rsid w:val="00833BAE"/>
    <w:rsid w:val="00834254"/>
    <w:rsid w:val="00834290"/>
    <w:rsid w:val="008342FC"/>
    <w:rsid w:val="008343C5"/>
    <w:rsid w:val="00834A8A"/>
    <w:rsid w:val="0083540B"/>
    <w:rsid w:val="008354F3"/>
    <w:rsid w:val="00835628"/>
    <w:rsid w:val="00835924"/>
    <w:rsid w:val="008360C4"/>
    <w:rsid w:val="0083625B"/>
    <w:rsid w:val="0083625D"/>
    <w:rsid w:val="008363FC"/>
    <w:rsid w:val="00836418"/>
    <w:rsid w:val="00836B23"/>
    <w:rsid w:val="00836B60"/>
    <w:rsid w:val="00836BCE"/>
    <w:rsid w:val="008370D4"/>
    <w:rsid w:val="0083711A"/>
    <w:rsid w:val="00837125"/>
    <w:rsid w:val="008371F7"/>
    <w:rsid w:val="008372BD"/>
    <w:rsid w:val="008373DB"/>
    <w:rsid w:val="00837F4F"/>
    <w:rsid w:val="00837FB6"/>
    <w:rsid w:val="00837FE0"/>
    <w:rsid w:val="00840264"/>
    <w:rsid w:val="00840A98"/>
    <w:rsid w:val="00840BF1"/>
    <w:rsid w:val="00840CB0"/>
    <w:rsid w:val="00840F2B"/>
    <w:rsid w:val="008410A6"/>
    <w:rsid w:val="00841296"/>
    <w:rsid w:val="0084172F"/>
    <w:rsid w:val="00841EFD"/>
    <w:rsid w:val="00842948"/>
    <w:rsid w:val="00842B96"/>
    <w:rsid w:val="0084386B"/>
    <w:rsid w:val="00843BA6"/>
    <w:rsid w:val="00843DEC"/>
    <w:rsid w:val="008440F4"/>
    <w:rsid w:val="00844388"/>
    <w:rsid w:val="008449A6"/>
    <w:rsid w:val="00844D2A"/>
    <w:rsid w:val="00845236"/>
    <w:rsid w:val="0084531C"/>
    <w:rsid w:val="00845DBD"/>
    <w:rsid w:val="0084653A"/>
    <w:rsid w:val="0084696E"/>
    <w:rsid w:val="00847278"/>
    <w:rsid w:val="00847C08"/>
    <w:rsid w:val="00847C64"/>
    <w:rsid w:val="00847D59"/>
    <w:rsid w:val="008500BD"/>
    <w:rsid w:val="00850442"/>
    <w:rsid w:val="00850637"/>
    <w:rsid w:val="008506C5"/>
    <w:rsid w:val="008506E2"/>
    <w:rsid w:val="0085094E"/>
    <w:rsid w:val="00850C47"/>
    <w:rsid w:val="00850EFB"/>
    <w:rsid w:val="00852373"/>
    <w:rsid w:val="008523FD"/>
    <w:rsid w:val="00852613"/>
    <w:rsid w:val="00852E40"/>
    <w:rsid w:val="00852FB7"/>
    <w:rsid w:val="00853552"/>
    <w:rsid w:val="008537E2"/>
    <w:rsid w:val="00854076"/>
    <w:rsid w:val="00854247"/>
    <w:rsid w:val="00854455"/>
    <w:rsid w:val="008545DA"/>
    <w:rsid w:val="008546E6"/>
    <w:rsid w:val="00854A82"/>
    <w:rsid w:val="00854C55"/>
    <w:rsid w:val="00854D73"/>
    <w:rsid w:val="00854DC9"/>
    <w:rsid w:val="008551F0"/>
    <w:rsid w:val="00855293"/>
    <w:rsid w:val="008557BE"/>
    <w:rsid w:val="00855D4C"/>
    <w:rsid w:val="00855E59"/>
    <w:rsid w:val="00855FA6"/>
    <w:rsid w:val="00856367"/>
    <w:rsid w:val="00856901"/>
    <w:rsid w:val="00856999"/>
    <w:rsid w:val="008573B7"/>
    <w:rsid w:val="00857851"/>
    <w:rsid w:val="008602DD"/>
    <w:rsid w:val="008607DF"/>
    <w:rsid w:val="008609AB"/>
    <w:rsid w:val="00860B46"/>
    <w:rsid w:val="00860F79"/>
    <w:rsid w:val="008611CD"/>
    <w:rsid w:val="0086125F"/>
    <w:rsid w:val="0086190E"/>
    <w:rsid w:val="00861CD3"/>
    <w:rsid w:val="00861F36"/>
    <w:rsid w:val="008621F4"/>
    <w:rsid w:val="008628A4"/>
    <w:rsid w:val="00862A12"/>
    <w:rsid w:val="00862A32"/>
    <w:rsid w:val="00862B4D"/>
    <w:rsid w:val="00862C57"/>
    <w:rsid w:val="00862C8D"/>
    <w:rsid w:val="00863325"/>
    <w:rsid w:val="0086349E"/>
    <w:rsid w:val="00863CE5"/>
    <w:rsid w:val="00864AA1"/>
    <w:rsid w:val="008650C9"/>
    <w:rsid w:val="00865355"/>
    <w:rsid w:val="008666A2"/>
    <w:rsid w:val="00866A82"/>
    <w:rsid w:val="00866B92"/>
    <w:rsid w:val="0086746D"/>
    <w:rsid w:val="008677CA"/>
    <w:rsid w:val="00867840"/>
    <w:rsid w:val="00867F19"/>
    <w:rsid w:val="00867FF3"/>
    <w:rsid w:val="00870BB2"/>
    <w:rsid w:val="00870D7C"/>
    <w:rsid w:val="00870DBD"/>
    <w:rsid w:val="00870E06"/>
    <w:rsid w:val="00871199"/>
    <w:rsid w:val="00871392"/>
    <w:rsid w:val="0087139C"/>
    <w:rsid w:val="008715C9"/>
    <w:rsid w:val="0087160B"/>
    <w:rsid w:val="00871F38"/>
    <w:rsid w:val="008720F9"/>
    <w:rsid w:val="00872827"/>
    <w:rsid w:val="008728E2"/>
    <w:rsid w:val="00872DEB"/>
    <w:rsid w:val="00873206"/>
    <w:rsid w:val="00873A13"/>
    <w:rsid w:val="00873BFF"/>
    <w:rsid w:val="0087412E"/>
    <w:rsid w:val="0087448E"/>
    <w:rsid w:val="008745BE"/>
    <w:rsid w:val="008745CC"/>
    <w:rsid w:val="008746D2"/>
    <w:rsid w:val="008748A9"/>
    <w:rsid w:val="00874C08"/>
    <w:rsid w:val="00874CD1"/>
    <w:rsid w:val="00874EBE"/>
    <w:rsid w:val="00874EDC"/>
    <w:rsid w:val="00875475"/>
    <w:rsid w:val="0087556D"/>
    <w:rsid w:val="008756F9"/>
    <w:rsid w:val="008757E5"/>
    <w:rsid w:val="00876473"/>
    <w:rsid w:val="00876522"/>
    <w:rsid w:val="008765E3"/>
    <w:rsid w:val="00876664"/>
    <w:rsid w:val="008767B8"/>
    <w:rsid w:val="00876D75"/>
    <w:rsid w:val="00876FB8"/>
    <w:rsid w:val="008770C4"/>
    <w:rsid w:val="0087780C"/>
    <w:rsid w:val="0087782E"/>
    <w:rsid w:val="008778EB"/>
    <w:rsid w:val="00880215"/>
    <w:rsid w:val="008803FC"/>
    <w:rsid w:val="0088048F"/>
    <w:rsid w:val="00880890"/>
    <w:rsid w:val="00880A18"/>
    <w:rsid w:val="00880AAF"/>
    <w:rsid w:val="0088121C"/>
    <w:rsid w:val="008812FB"/>
    <w:rsid w:val="00881844"/>
    <w:rsid w:val="008818FB"/>
    <w:rsid w:val="00881A6C"/>
    <w:rsid w:val="00882CAF"/>
    <w:rsid w:val="00883C70"/>
    <w:rsid w:val="00883D15"/>
    <w:rsid w:val="008840DD"/>
    <w:rsid w:val="00884728"/>
    <w:rsid w:val="00884AD4"/>
    <w:rsid w:val="00884B6E"/>
    <w:rsid w:val="00884B9F"/>
    <w:rsid w:val="00884BC2"/>
    <w:rsid w:val="00884BCE"/>
    <w:rsid w:val="00884E97"/>
    <w:rsid w:val="008852F4"/>
    <w:rsid w:val="00885410"/>
    <w:rsid w:val="00885416"/>
    <w:rsid w:val="00885A26"/>
    <w:rsid w:val="00886473"/>
    <w:rsid w:val="008864E3"/>
    <w:rsid w:val="00886661"/>
    <w:rsid w:val="00886BB4"/>
    <w:rsid w:val="00887575"/>
    <w:rsid w:val="00887764"/>
    <w:rsid w:val="0088790C"/>
    <w:rsid w:val="00887A6F"/>
    <w:rsid w:val="00887E06"/>
    <w:rsid w:val="00890713"/>
    <w:rsid w:val="0089090A"/>
    <w:rsid w:val="00890B64"/>
    <w:rsid w:val="008911E1"/>
    <w:rsid w:val="00891582"/>
    <w:rsid w:val="00891593"/>
    <w:rsid w:val="008918A5"/>
    <w:rsid w:val="00891B50"/>
    <w:rsid w:val="00891C57"/>
    <w:rsid w:val="008923B2"/>
    <w:rsid w:val="0089270B"/>
    <w:rsid w:val="00892C20"/>
    <w:rsid w:val="00892E84"/>
    <w:rsid w:val="00893AF8"/>
    <w:rsid w:val="00893B95"/>
    <w:rsid w:val="00893CB3"/>
    <w:rsid w:val="00893FDE"/>
    <w:rsid w:val="00894223"/>
    <w:rsid w:val="0089422B"/>
    <w:rsid w:val="00894341"/>
    <w:rsid w:val="00894939"/>
    <w:rsid w:val="008953B7"/>
    <w:rsid w:val="0089543C"/>
    <w:rsid w:val="00895648"/>
    <w:rsid w:val="008957A7"/>
    <w:rsid w:val="00895A4F"/>
    <w:rsid w:val="00895C0F"/>
    <w:rsid w:val="00895FF2"/>
    <w:rsid w:val="00896466"/>
    <w:rsid w:val="008968D4"/>
    <w:rsid w:val="0089745F"/>
    <w:rsid w:val="008975C3"/>
    <w:rsid w:val="008979F2"/>
    <w:rsid w:val="00897A5C"/>
    <w:rsid w:val="00897C28"/>
    <w:rsid w:val="008A0274"/>
    <w:rsid w:val="008A0622"/>
    <w:rsid w:val="008A06CE"/>
    <w:rsid w:val="008A0B78"/>
    <w:rsid w:val="008A0E0E"/>
    <w:rsid w:val="008A103B"/>
    <w:rsid w:val="008A12B2"/>
    <w:rsid w:val="008A1355"/>
    <w:rsid w:val="008A18FB"/>
    <w:rsid w:val="008A1B8C"/>
    <w:rsid w:val="008A1CA3"/>
    <w:rsid w:val="008A1DEC"/>
    <w:rsid w:val="008A2025"/>
    <w:rsid w:val="008A211D"/>
    <w:rsid w:val="008A23FC"/>
    <w:rsid w:val="008A2C3C"/>
    <w:rsid w:val="008A2FDF"/>
    <w:rsid w:val="008A3041"/>
    <w:rsid w:val="008A3065"/>
    <w:rsid w:val="008A3FB5"/>
    <w:rsid w:val="008A411E"/>
    <w:rsid w:val="008A44C1"/>
    <w:rsid w:val="008A4581"/>
    <w:rsid w:val="008A4A98"/>
    <w:rsid w:val="008A4D8B"/>
    <w:rsid w:val="008A4FB4"/>
    <w:rsid w:val="008A52EE"/>
    <w:rsid w:val="008A5365"/>
    <w:rsid w:val="008A540A"/>
    <w:rsid w:val="008A5567"/>
    <w:rsid w:val="008A6717"/>
    <w:rsid w:val="008A6CCA"/>
    <w:rsid w:val="008A746A"/>
    <w:rsid w:val="008A778D"/>
    <w:rsid w:val="008B00D7"/>
    <w:rsid w:val="008B0743"/>
    <w:rsid w:val="008B0970"/>
    <w:rsid w:val="008B09E4"/>
    <w:rsid w:val="008B0B14"/>
    <w:rsid w:val="008B0CC1"/>
    <w:rsid w:val="008B0D98"/>
    <w:rsid w:val="008B0E8A"/>
    <w:rsid w:val="008B14F8"/>
    <w:rsid w:val="008B21E3"/>
    <w:rsid w:val="008B222B"/>
    <w:rsid w:val="008B28C1"/>
    <w:rsid w:val="008B2A83"/>
    <w:rsid w:val="008B2DBD"/>
    <w:rsid w:val="008B3260"/>
    <w:rsid w:val="008B34C7"/>
    <w:rsid w:val="008B39DC"/>
    <w:rsid w:val="008B3A9D"/>
    <w:rsid w:val="008B3D5C"/>
    <w:rsid w:val="008B3DF6"/>
    <w:rsid w:val="008B4513"/>
    <w:rsid w:val="008B482B"/>
    <w:rsid w:val="008B4BBE"/>
    <w:rsid w:val="008B5040"/>
    <w:rsid w:val="008B5075"/>
    <w:rsid w:val="008B522F"/>
    <w:rsid w:val="008B52B7"/>
    <w:rsid w:val="008B5AC1"/>
    <w:rsid w:val="008B5B3F"/>
    <w:rsid w:val="008B5ED0"/>
    <w:rsid w:val="008B5EDC"/>
    <w:rsid w:val="008B60F6"/>
    <w:rsid w:val="008B62F7"/>
    <w:rsid w:val="008B6750"/>
    <w:rsid w:val="008B697E"/>
    <w:rsid w:val="008B6F5A"/>
    <w:rsid w:val="008B73AD"/>
    <w:rsid w:val="008B76B7"/>
    <w:rsid w:val="008B7705"/>
    <w:rsid w:val="008B7FD4"/>
    <w:rsid w:val="008C016F"/>
    <w:rsid w:val="008C05E1"/>
    <w:rsid w:val="008C05E5"/>
    <w:rsid w:val="008C094B"/>
    <w:rsid w:val="008C0C72"/>
    <w:rsid w:val="008C0E57"/>
    <w:rsid w:val="008C1131"/>
    <w:rsid w:val="008C1864"/>
    <w:rsid w:val="008C1C3C"/>
    <w:rsid w:val="008C1E7A"/>
    <w:rsid w:val="008C21CF"/>
    <w:rsid w:val="008C21D3"/>
    <w:rsid w:val="008C261D"/>
    <w:rsid w:val="008C266A"/>
    <w:rsid w:val="008C3565"/>
    <w:rsid w:val="008C36BC"/>
    <w:rsid w:val="008C3981"/>
    <w:rsid w:val="008C3AF3"/>
    <w:rsid w:val="008C3F3B"/>
    <w:rsid w:val="008C3F60"/>
    <w:rsid w:val="008C4219"/>
    <w:rsid w:val="008C45AF"/>
    <w:rsid w:val="008C48DB"/>
    <w:rsid w:val="008C4B0F"/>
    <w:rsid w:val="008C4B51"/>
    <w:rsid w:val="008C505F"/>
    <w:rsid w:val="008C5399"/>
    <w:rsid w:val="008C5676"/>
    <w:rsid w:val="008C5742"/>
    <w:rsid w:val="008C5A37"/>
    <w:rsid w:val="008C63A8"/>
    <w:rsid w:val="008C66AD"/>
    <w:rsid w:val="008C6F17"/>
    <w:rsid w:val="008C7AB2"/>
    <w:rsid w:val="008C7AF6"/>
    <w:rsid w:val="008C7ED5"/>
    <w:rsid w:val="008C7F8B"/>
    <w:rsid w:val="008D00E5"/>
    <w:rsid w:val="008D00EB"/>
    <w:rsid w:val="008D0408"/>
    <w:rsid w:val="008D089C"/>
    <w:rsid w:val="008D10AF"/>
    <w:rsid w:val="008D11C7"/>
    <w:rsid w:val="008D11FD"/>
    <w:rsid w:val="008D1364"/>
    <w:rsid w:val="008D1544"/>
    <w:rsid w:val="008D1958"/>
    <w:rsid w:val="008D1B7C"/>
    <w:rsid w:val="008D1BC1"/>
    <w:rsid w:val="008D1E18"/>
    <w:rsid w:val="008D2A4C"/>
    <w:rsid w:val="008D2CC1"/>
    <w:rsid w:val="008D2F20"/>
    <w:rsid w:val="008D39B1"/>
    <w:rsid w:val="008D3E39"/>
    <w:rsid w:val="008D4A4A"/>
    <w:rsid w:val="008D4B20"/>
    <w:rsid w:val="008D4E4A"/>
    <w:rsid w:val="008D4FA3"/>
    <w:rsid w:val="008D5112"/>
    <w:rsid w:val="008D5313"/>
    <w:rsid w:val="008D58B0"/>
    <w:rsid w:val="008D5AB5"/>
    <w:rsid w:val="008D6384"/>
    <w:rsid w:val="008D6CB4"/>
    <w:rsid w:val="008D71D9"/>
    <w:rsid w:val="008D7B63"/>
    <w:rsid w:val="008D7D2B"/>
    <w:rsid w:val="008D7E2F"/>
    <w:rsid w:val="008E046D"/>
    <w:rsid w:val="008E06F5"/>
    <w:rsid w:val="008E1636"/>
    <w:rsid w:val="008E17E2"/>
    <w:rsid w:val="008E188D"/>
    <w:rsid w:val="008E19B5"/>
    <w:rsid w:val="008E1F0F"/>
    <w:rsid w:val="008E1F70"/>
    <w:rsid w:val="008E2998"/>
    <w:rsid w:val="008E3570"/>
    <w:rsid w:val="008E3604"/>
    <w:rsid w:val="008E389F"/>
    <w:rsid w:val="008E3ABA"/>
    <w:rsid w:val="008E3BC4"/>
    <w:rsid w:val="008E3D41"/>
    <w:rsid w:val="008E3F57"/>
    <w:rsid w:val="008E4062"/>
    <w:rsid w:val="008E4095"/>
    <w:rsid w:val="008E4366"/>
    <w:rsid w:val="008E4935"/>
    <w:rsid w:val="008E49DD"/>
    <w:rsid w:val="008E49EE"/>
    <w:rsid w:val="008E4B49"/>
    <w:rsid w:val="008E4CF1"/>
    <w:rsid w:val="008E4E9C"/>
    <w:rsid w:val="008E5095"/>
    <w:rsid w:val="008E5373"/>
    <w:rsid w:val="008E5529"/>
    <w:rsid w:val="008E5C45"/>
    <w:rsid w:val="008E5DDA"/>
    <w:rsid w:val="008E6366"/>
    <w:rsid w:val="008E657B"/>
    <w:rsid w:val="008E66E9"/>
    <w:rsid w:val="008E6A91"/>
    <w:rsid w:val="008E6BA3"/>
    <w:rsid w:val="008E6BBE"/>
    <w:rsid w:val="008E7148"/>
    <w:rsid w:val="008E7234"/>
    <w:rsid w:val="008E74F5"/>
    <w:rsid w:val="008E77BC"/>
    <w:rsid w:val="008E7AEE"/>
    <w:rsid w:val="008E7BF5"/>
    <w:rsid w:val="008E7BFA"/>
    <w:rsid w:val="008E7EE2"/>
    <w:rsid w:val="008F0F17"/>
    <w:rsid w:val="008F0FC5"/>
    <w:rsid w:val="008F1805"/>
    <w:rsid w:val="008F1F52"/>
    <w:rsid w:val="008F1F9D"/>
    <w:rsid w:val="008F2194"/>
    <w:rsid w:val="008F26AE"/>
    <w:rsid w:val="008F2854"/>
    <w:rsid w:val="008F2A97"/>
    <w:rsid w:val="008F32D8"/>
    <w:rsid w:val="008F3351"/>
    <w:rsid w:val="008F3986"/>
    <w:rsid w:val="008F40C9"/>
    <w:rsid w:val="008F4262"/>
    <w:rsid w:val="008F5011"/>
    <w:rsid w:val="008F5827"/>
    <w:rsid w:val="008F5981"/>
    <w:rsid w:val="008F5A6A"/>
    <w:rsid w:val="008F5D6A"/>
    <w:rsid w:val="008F6092"/>
    <w:rsid w:val="008F61BA"/>
    <w:rsid w:val="008F6319"/>
    <w:rsid w:val="008F6EC4"/>
    <w:rsid w:val="008F71F3"/>
    <w:rsid w:val="008F725C"/>
    <w:rsid w:val="008F75CD"/>
    <w:rsid w:val="008F7886"/>
    <w:rsid w:val="008F795A"/>
    <w:rsid w:val="008F7ED3"/>
    <w:rsid w:val="0090008C"/>
    <w:rsid w:val="009008B6"/>
    <w:rsid w:val="00900AF0"/>
    <w:rsid w:val="00900EDB"/>
    <w:rsid w:val="0090117D"/>
    <w:rsid w:val="00901456"/>
    <w:rsid w:val="0090161F"/>
    <w:rsid w:val="00901A3A"/>
    <w:rsid w:val="00901D9D"/>
    <w:rsid w:val="00901E6D"/>
    <w:rsid w:val="009020FB"/>
    <w:rsid w:val="0090210F"/>
    <w:rsid w:val="00902348"/>
    <w:rsid w:val="0090236F"/>
    <w:rsid w:val="00902A85"/>
    <w:rsid w:val="00902C97"/>
    <w:rsid w:val="00902E79"/>
    <w:rsid w:val="00903C2D"/>
    <w:rsid w:val="00904332"/>
    <w:rsid w:val="00904886"/>
    <w:rsid w:val="00905165"/>
    <w:rsid w:val="0090538B"/>
    <w:rsid w:val="00905765"/>
    <w:rsid w:val="009057BE"/>
    <w:rsid w:val="0090584B"/>
    <w:rsid w:val="00905862"/>
    <w:rsid w:val="009059A1"/>
    <w:rsid w:val="00905AE0"/>
    <w:rsid w:val="00905BB4"/>
    <w:rsid w:val="00905BC0"/>
    <w:rsid w:val="00905E7C"/>
    <w:rsid w:val="0090629E"/>
    <w:rsid w:val="009062A6"/>
    <w:rsid w:val="009064C4"/>
    <w:rsid w:val="009068FE"/>
    <w:rsid w:val="00906C55"/>
    <w:rsid w:val="00906D32"/>
    <w:rsid w:val="00906E7D"/>
    <w:rsid w:val="00907436"/>
    <w:rsid w:val="009078F2"/>
    <w:rsid w:val="009107A3"/>
    <w:rsid w:val="00910B38"/>
    <w:rsid w:val="00911C93"/>
    <w:rsid w:val="00912A6A"/>
    <w:rsid w:val="00912F0D"/>
    <w:rsid w:val="0091334A"/>
    <w:rsid w:val="009136AC"/>
    <w:rsid w:val="00913AB2"/>
    <w:rsid w:val="009147DD"/>
    <w:rsid w:val="009148F2"/>
    <w:rsid w:val="00914A01"/>
    <w:rsid w:val="00914A4C"/>
    <w:rsid w:val="00914ACD"/>
    <w:rsid w:val="00914D86"/>
    <w:rsid w:val="00914F20"/>
    <w:rsid w:val="0091561F"/>
    <w:rsid w:val="009163C5"/>
    <w:rsid w:val="00916720"/>
    <w:rsid w:val="00916AB5"/>
    <w:rsid w:val="00916CBB"/>
    <w:rsid w:val="00916D0A"/>
    <w:rsid w:val="00916F79"/>
    <w:rsid w:val="00916F98"/>
    <w:rsid w:val="009171B6"/>
    <w:rsid w:val="00917740"/>
    <w:rsid w:val="0092003E"/>
    <w:rsid w:val="009204D3"/>
    <w:rsid w:val="00920506"/>
    <w:rsid w:val="00920607"/>
    <w:rsid w:val="00920629"/>
    <w:rsid w:val="009206AD"/>
    <w:rsid w:val="00920A30"/>
    <w:rsid w:val="00920B62"/>
    <w:rsid w:val="00920DF7"/>
    <w:rsid w:val="009212B7"/>
    <w:rsid w:val="00921592"/>
    <w:rsid w:val="00921671"/>
    <w:rsid w:val="00921943"/>
    <w:rsid w:val="00921C51"/>
    <w:rsid w:val="00921C8B"/>
    <w:rsid w:val="00922090"/>
    <w:rsid w:val="009223B9"/>
    <w:rsid w:val="009227CC"/>
    <w:rsid w:val="00922DBC"/>
    <w:rsid w:val="00922F69"/>
    <w:rsid w:val="009230B1"/>
    <w:rsid w:val="009235B9"/>
    <w:rsid w:val="0092361A"/>
    <w:rsid w:val="00923E64"/>
    <w:rsid w:val="009244A7"/>
    <w:rsid w:val="009246ED"/>
    <w:rsid w:val="00924859"/>
    <w:rsid w:val="009249A6"/>
    <w:rsid w:val="009258A6"/>
    <w:rsid w:val="00925D70"/>
    <w:rsid w:val="009264DE"/>
    <w:rsid w:val="0092680C"/>
    <w:rsid w:val="009269D4"/>
    <w:rsid w:val="00926BCC"/>
    <w:rsid w:val="00930578"/>
    <w:rsid w:val="00930762"/>
    <w:rsid w:val="0093088F"/>
    <w:rsid w:val="00930BBA"/>
    <w:rsid w:val="009313BD"/>
    <w:rsid w:val="0093175A"/>
    <w:rsid w:val="00931908"/>
    <w:rsid w:val="00932080"/>
    <w:rsid w:val="009321C6"/>
    <w:rsid w:val="00932916"/>
    <w:rsid w:val="00932AB2"/>
    <w:rsid w:val="00932F60"/>
    <w:rsid w:val="009335C1"/>
    <w:rsid w:val="009339D5"/>
    <w:rsid w:val="00933A26"/>
    <w:rsid w:val="00933CA6"/>
    <w:rsid w:val="00934236"/>
    <w:rsid w:val="00934AA3"/>
    <w:rsid w:val="00935444"/>
    <w:rsid w:val="0093555E"/>
    <w:rsid w:val="00935769"/>
    <w:rsid w:val="009357C1"/>
    <w:rsid w:val="00935C09"/>
    <w:rsid w:val="00935C35"/>
    <w:rsid w:val="00935D9B"/>
    <w:rsid w:val="00935E6D"/>
    <w:rsid w:val="00936C6F"/>
    <w:rsid w:val="00936EB3"/>
    <w:rsid w:val="00937084"/>
    <w:rsid w:val="00937705"/>
    <w:rsid w:val="009378AC"/>
    <w:rsid w:val="00937B87"/>
    <w:rsid w:val="00940066"/>
    <w:rsid w:val="00940524"/>
    <w:rsid w:val="00940667"/>
    <w:rsid w:val="00940BD1"/>
    <w:rsid w:val="00941AA2"/>
    <w:rsid w:val="00941C10"/>
    <w:rsid w:val="0094202A"/>
    <w:rsid w:val="009420E8"/>
    <w:rsid w:val="0094223B"/>
    <w:rsid w:val="0094234F"/>
    <w:rsid w:val="00942A13"/>
    <w:rsid w:val="00942A8F"/>
    <w:rsid w:val="00942E44"/>
    <w:rsid w:val="00942F8F"/>
    <w:rsid w:val="00943177"/>
    <w:rsid w:val="009433B8"/>
    <w:rsid w:val="00943421"/>
    <w:rsid w:val="00943B1D"/>
    <w:rsid w:val="00943C6E"/>
    <w:rsid w:val="00944003"/>
    <w:rsid w:val="009441B8"/>
    <w:rsid w:val="00944733"/>
    <w:rsid w:val="009449D8"/>
    <w:rsid w:val="00944A74"/>
    <w:rsid w:val="00944BF0"/>
    <w:rsid w:val="00944E1A"/>
    <w:rsid w:val="00945349"/>
    <w:rsid w:val="00945748"/>
    <w:rsid w:val="009457B4"/>
    <w:rsid w:val="009457B5"/>
    <w:rsid w:val="009458F7"/>
    <w:rsid w:val="00945C8C"/>
    <w:rsid w:val="00945EE9"/>
    <w:rsid w:val="0094602E"/>
    <w:rsid w:val="00946050"/>
    <w:rsid w:val="00946266"/>
    <w:rsid w:val="009462A8"/>
    <w:rsid w:val="009463A3"/>
    <w:rsid w:val="0094682B"/>
    <w:rsid w:val="009468ED"/>
    <w:rsid w:val="00946E22"/>
    <w:rsid w:val="00947833"/>
    <w:rsid w:val="00947D8E"/>
    <w:rsid w:val="00950561"/>
    <w:rsid w:val="00950B89"/>
    <w:rsid w:val="00950C7D"/>
    <w:rsid w:val="00951315"/>
    <w:rsid w:val="00951409"/>
    <w:rsid w:val="00951AC3"/>
    <w:rsid w:val="00951E2B"/>
    <w:rsid w:val="0095213A"/>
    <w:rsid w:val="0095217D"/>
    <w:rsid w:val="009521B9"/>
    <w:rsid w:val="0095262B"/>
    <w:rsid w:val="009527A2"/>
    <w:rsid w:val="00953262"/>
    <w:rsid w:val="009535F7"/>
    <w:rsid w:val="00953942"/>
    <w:rsid w:val="00953B58"/>
    <w:rsid w:val="00953E62"/>
    <w:rsid w:val="00954786"/>
    <w:rsid w:val="00954871"/>
    <w:rsid w:val="0095529B"/>
    <w:rsid w:val="009555D5"/>
    <w:rsid w:val="00955776"/>
    <w:rsid w:val="009558B9"/>
    <w:rsid w:val="0095605C"/>
    <w:rsid w:val="0095636C"/>
    <w:rsid w:val="009563B3"/>
    <w:rsid w:val="00956618"/>
    <w:rsid w:val="009568E0"/>
    <w:rsid w:val="00956A1D"/>
    <w:rsid w:val="00956ADA"/>
    <w:rsid w:val="00956D08"/>
    <w:rsid w:val="00956EDA"/>
    <w:rsid w:val="00956F92"/>
    <w:rsid w:val="0095707E"/>
    <w:rsid w:val="00957873"/>
    <w:rsid w:val="00957AFE"/>
    <w:rsid w:val="00957E5A"/>
    <w:rsid w:val="00960189"/>
    <w:rsid w:val="0096024B"/>
    <w:rsid w:val="00960530"/>
    <w:rsid w:val="00960A42"/>
    <w:rsid w:val="00960C53"/>
    <w:rsid w:val="00960C6E"/>
    <w:rsid w:val="00960D1F"/>
    <w:rsid w:val="00960EDF"/>
    <w:rsid w:val="00960F19"/>
    <w:rsid w:val="0096144B"/>
    <w:rsid w:val="009616EC"/>
    <w:rsid w:val="00961952"/>
    <w:rsid w:val="00962610"/>
    <w:rsid w:val="009626C7"/>
    <w:rsid w:val="00962811"/>
    <w:rsid w:val="00962AE6"/>
    <w:rsid w:val="009630B8"/>
    <w:rsid w:val="00963163"/>
    <w:rsid w:val="0096333C"/>
    <w:rsid w:val="00963867"/>
    <w:rsid w:val="00963CB3"/>
    <w:rsid w:val="00963ECE"/>
    <w:rsid w:val="00964091"/>
    <w:rsid w:val="009644B4"/>
    <w:rsid w:val="00964567"/>
    <w:rsid w:val="009649D2"/>
    <w:rsid w:val="00964D26"/>
    <w:rsid w:val="00965CFD"/>
    <w:rsid w:val="00965E8E"/>
    <w:rsid w:val="0096608D"/>
    <w:rsid w:val="0096617D"/>
    <w:rsid w:val="00966602"/>
    <w:rsid w:val="009667F4"/>
    <w:rsid w:val="0096749D"/>
    <w:rsid w:val="009676E2"/>
    <w:rsid w:val="00970535"/>
    <w:rsid w:val="009708DD"/>
    <w:rsid w:val="00970929"/>
    <w:rsid w:val="009709CF"/>
    <w:rsid w:val="00970B40"/>
    <w:rsid w:val="00970D0F"/>
    <w:rsid w:val="00970D35"/>
    <w:rsid w:val="00970ECE"/>
    <w:rsid w:val="009710CC"/>
    <w:rsid w:val="009711B5"/>
    <w:rsid w:val="0097172D"/>
    <w:rsid w:val="00971E08"/>
    <w:rsid w:val="00971FAF"/>
    <w:rsid w:val="00972349"/>
    <w:rsid w:val="00972548"/>
    <w:rsid w:val="00972760"/>
    <w:rsid w:val="009728D7"/>
    <w:rsid w:val="0097345C"/>
    <w:rsid w:val="0097361A"/>
    <w:rsid w:val="00973752"/>
    <w:rsid w:val="00973A7B"/>
    <w:rsid w:val="00973B45"/>
    <w:rsid w:val="00973E59"/>
    <w:rsid w:val="009744F9"/>
    <w:rsid w:val="00974649"/>
    <w:rsid w:val="009746DF"/>
    <w:rsid w:val="0097479B"/>
    <w:rsid w:val="00975641"/>
    <w:rsid w:val="00975B4B"/>
    <w:rsid w:val="00975BB5"/>
    <w:rsid w:val="00975BE8"/>
    <w:rsid w:val="009768F5"/>
    <w:rsid w:val="00976B27"/>
    <w:rsid w:val="00976CBB"/>
    <w:rsid w:val="00976DB6"/>
    <w:rsid w:val="00977600"/>
    <w:rsid w:val="00977A26"/>
    <w:rsid w:val="00977D02"/>
    <w:rsid w:val="0098017F"/>
    <w:rsid w:val="009803A2"/>
    <w:rsid w:val="0098043E"/>
    <w:rsid w:val="0098089F"/>
    <w:rsid w:val="00980987"/>
    <w:rsid w:val="00980D1E"/>
    <w:rsid w:val="00981914"/>
    <w:rsid w:val="00981CC5"/>
    <w:rsid w:val="009821C0"/>
    <w:rsid w:val="00982477"/>
    <w:rsid w:val="0098259A"/>
    <w:rsid w:val="009826A1"/>
    <w:rsid w:val="00982CEF"/>
    <w:rsid w:val="0098352E"/>
    <w:rsid w:val="00983BAB"/>
    <w:rsid w:val="00983BCA"/>
    <w:rsid w:val="00983DF5"/>
    <w:rsid w:val="00984655"/>
    <w:rsid w:val="0098494B"/>
    <w:rsid w:val="00984956"/>
    <w:rsid w:val="00984A0A"/>
    <w:rsid w:val="00984B9A"/>
    <w:rsid w:val="0098525D"/>
    <w:rsid w:val="00985361"/>
    <w:rsid w:val="00985635"/>
    <w:rsid w:val="00985945"/>
    <w:rsid w:val="0098596F"/>
    <w:rsid w:val="00985B64"/>
    <w:rsid w:val="00986366"/>
    <w:rsid w:val="00986533"/>
    <w:rsid w:val="009869CA"/>
    <w:rsid w:val="00987066"/>
    <w:rsid w:val="0098716D"/>
    <w:rsid w:val="009872AE"/>
    <w:rsid w:val="0098758E"/>
    <w:rsid w:val="0098785E"/>
    <w:rsid w:val="00987C4B"/>
    <w:rsid w:val="00987C99"/>
    <w:rsid w:val="00987DC8"/>
    <w:rsid w:val="009905D4"/>
    <w:rsid w:val="00990B1D"/>
    <w:rsid w:val="00990DEE"/>
    <w:rsid w:val="00991008"/>
    <w:rsid w:val="00991282"/>
    <w:rsid w:val="0099162B"/>
    <w:rsid w:val="00991A11"/>
    <w:rsid w:val="00991C3B"/>
    <w:rsid w:val="0099215F"/>
    <w:rsid w:val="0099246E"/>
    <w:rsid w:val="00992480"/>
    <w:rsid w:val="009924A0"/>
    <w:rsid w:val="00992B5B"/>
    <w:rsid w:val="0099377B"/>
    <w:rsid w:val="009937BA"/>
    <w:rsid w:val="009942FD"/>
    <w:rsid w:val="009947F6"/>
    <w:rsid w:val="00995170"/>
    <w:rsid w:val="0099523A"/>
    <w:rsid w:val="00995625"/>
    <w:rsid w:val="00995672"/>
    <w:rsid w:val="00995822"/>
    <w:rsid w:val="0099592E"/>
    <w:rsid w:val="00995B48"/>
    <w:rsid w:val="00995F3E"/>
    <w:rsid w:val="00996279"/>
    <w:rsid w:val="009963D2"/>
    <w:rsid w:val="009967F4"/>
    <w:rsid w:val="0099680B"/>
    <w:rsid w:val="009968E0"/>
    <w:rsid w:val="00996B06"/>
    <w:rsid w:val="00996C4A"/>
    <w:rsid w:val="00997067"/>
    <w:rsid w:val="009971E4"/>
    <w:rsid w:val="009974F0"/>
    <w:rsid w:val="00997725"/>
    <w:rsid w:val="0099777A"/>
    <w:rsid w:val="009977D6"/>
    <w:rsid w:val="009A0042"/>
    <w:rsid w:val="009A01B1"/>
    <w:rsid w:val="009A0236"/>
    <w:rsid w:val="009A0479"/>
    <w:rsid w:val="009A0698"/>
    <w:rsid w:val="009A0C43"/>
    <w:rsid w:val="009A0D17"/>
    <w:rsid w:val="009A12C3"/>
    <w:rsid w:val="009A1AA8"/>
    <w:rsid w:val="009A1C3F"/>
    <w:rsid w:val="009A213A"/>
    <w:rsid w:val="009A29C5"/>
    <w:rsid w:val="009A2B71"/>
    <w:rsid w:val="009A2C9E"/>
    <w:rsid w:val="009A2ECD"/>
    <w:rsid w:val="009A3312"/>
    <w:rsid w:val="009A33C5"/>
    <w:rsid w:val="009A3948"/>
    <w:rsid w:val="009A40B2"/>
    <w:rsid w:val="009A4B5F"/>
    <w:rsid w:val="009A4D34"/>
    <w:rsid w:val="009A4DCE"/>
    <w:rsid w:val="009A5033"/>
    <w:rsid w:val="009A52A1"/>
    <w:rsid w:val="009A57B4"/>
    <w:rsid w:val="009A5904"/>
    <w:rsid w:val="009A5CDA"/>
    <w:rsid w:val="009A5D1E"/>
    <w:rsid w:val="009A5E71"/>
    <w:rsid w:val="009A657B"/>
    <w:rsid w:val="009A68C2"/>
    <w:rsid w:val="009A6A52"/>
    <w:rsid w:val="009A6D19"/>
    <w:rsid w:val="009A6D26"/>
    <w:rsid w:val="009A6FEE"/>
    <w:rsid w:val="009A777A"/>
    <w:rsid w:val="009A7907"/>
    <w:rsid w:val="009A7E9A"/>
    <w:rsid w:val="009B030A"/>
    <w:rsid w:val="009B0395"/>
    <w:rsid w:val="009B0601"/>
    <w:rsid w:val="009B1162"/>
    <w:rsid w:val="009B1241"/>
    <w:rsid w:val="009B1483"/>
    <w:rsid w:val="009B1E08"/>
    <w:rsid w:val="009B1E48"/>
    <w:rsid w:val="009B2934"/>
    <w:rsid w:val="009B3095"/>
    <w:rsid w:val="009B319D"/>
    <w:rsid w:val="009B3436"/>
    <w:rsid w:val="009B3861"/>
    <w:rsid w:val="009B3A6E"/>
    <w:rsid w:val="009B3E4D"/>
    <w:rsid w:val="009B4B61"/>
    <w:rsid w:val="009B4DA3"/>
    <w:rsid w:val="009B4EFD"/>
    <w:rsid w:val="009B564B"/>
    <w:rsid w:val="009B56F5"/>
    <w:rsid w:val="009B5AB5"/>
    <w:rsid w:val="009B63C6"/>
    <w:rsid w:val="009B63CE"/>
    <w:rsid w:val="009B6801"/>
    <w:rsid w:val="009B6820"/>
    <w:rsid w:val="009B6A65"/>
    <w:rsid w:val="009B6C0F"/>
    <w:rsid w:val="009B6D6F"/>
    <w:rsid w:val="009B6F56"/>
    <w:rsid w:val="009B703B"/>
    <w:rsid w:val="009B77CA"/>
    <w:rsid w:val="009B78E3"/>
    <w:rsid w:val="009C04CD"/>
    <w:rsid w:val="009C05F5"/>
    <w:rsid w:val="009C07B1"/>
    <w:rsid w:val="009C09C1"/>
    <w:rsid w:val="009C0A4B"/>
    <w:rsid w:val="009C0DCA"/>
    <w:rsid w:val="009C125B"/>
    <w:rsid w:val="009C12CC"/>
    <w:rsid w:val="009C15E8"/>
    <w:rsid w:val="009C1819"/>
    <w:rsid w:val="009C1A83"/>
    <w:rsid w:val="009C1DA3"/>
    <w:rsid w:val="009C1E94"/>
    <w:rsid w:val="009C1FA8"/>
    <w:rsid w:val="009C2663"/>
    <w:rsid w:val="009C2AB9"/>
    <w:rsid w:val="009C2BAB"/>
    <w:rsid w:val="009C316D"/>
    <w:rsid w:val="009C32F4"/>
    <w:rsid w:val="009C3331"/>
    <w:rsid w:val="009C335E"/>
    <w:rsid w:val="009C37B4"/>
    <w:rsid w:val="009C3BC2"/>
    <w:rsid w:val="009C3C9C"/>
    <w:rsid w:val="009C3D34"/>
    <w:rsid w:val="009C3DC2"/>
    <w:rsid w:val="009C497E"/>
    <w:rsid w:val="009C4A49"/>
    <w:rsid w:val="009C4C0E"/>
    <w:rsid w:val="009C4EE7"/>
    <w:rsid w:val="009C518B"/>
    <w:rsid w:val="009C5299"/>
    <w:rsid w:val="009C52AA"/>
    <w:rsid w:val="009C566E"/>
    <w:rsid w:val="009C5725"/>
    <w:rsid w:val="009C5806"/>
    <w:rsid w:val="009C5868"/>
    <w:rsid w:val="009C5FFA"/>
    <w:rsid w:val="009C60C2"/>
    <w:rsid w:val="009C631E"/>
    <w:rsid w:val="009C65EA"/>
    <w:rsid w:val="009C6627"/>
    <w:rsid w:val="009C66AD"/>
    <w:rsid w:val="009C682E"/>
    <w:rsid w:val="009C6C5A"/>
    <w:rsid w:val="009C6DDE"/>
    <w:rsid w:val="009C6EAF"/>
    <w:rsid w:val="009C6FBF"/>
    <w:rsid w:val="009C7440"/>
    <w:rsid w:val="009C7576"/>
    <w:rsid w:val="009C792B"/>
    <w:rsid w:val="009C798E"/>
    <w:rsid w:val="009C7C28"/>
    <w:rsid w:val="009C7C3D"/>
    <w:rsid w:val="009C7F7E"/>
    <w:rsid w:val="009D01D4"/>
    <w:rsid w:val="009D04D7"/>
    <w:rsid w:val="009D06FF"/>
    <w:rsid w:val="009D0A20"/>
    <w:rsid w:val="009D0D8B"/>
    <w:rsid w:val="009D0F34"/>
    <w:rsid w:val="009D12FC"/>
    <w:rsid w:val="009D1395"/>
    <w:rsid w:val="009D1461"/>
    <w:rsid w:val="009D1D3E"/>
    <w:rsid w:val="009D25B9"/>
    <w:rsid w:val="009D266A"/>
    <w:rsid w:val="009D284F"/>
    <w:rsid w:val="009D304C"/>
    <w:rsid w:val="009D320C"/>
    <w:rsid w:val="009D39C2"/>
    <w:rsid w:val="009D3B46"/>
    <w:rsid w:val="009D3E8A"/>
    <w:rsid w:val="009D41DF"/>
    <w:rsid w:val="009D4541"/>
    <w:rsid w:val="009D477D"/>
    <w:rsid w:val="009D4B0E"/>
    <w:rsid w:val="009D4C57"/>
    <w:rsid w:val="009D510E"/>
    <w:rsid w:val="009D683E"/>
    <w:rsid w:val="009D6D6B"/>
    <w:rsid w:val="009D6E6C"/>
    <w:rsid w:val="009D72C5"/>
    <w:rsid w:val="009D7315"/>
    <w:rsid w:val="009D7F16"/>
    <w:rsid w:val="009E00B7"/>
    <w:rsid w:val="009E05C8"/>
    <w:rsid w:val="009E071B"/>
    <w:rsid w:val="009E0DAD"/>
    <w:rsid w:val="009E0E61"/>
    <w:rsid w:val="009E0E7B"/>
    <w:rsid w:val="009E1270"/>
    <w:rsid w:val="009E15EC"/>
    <w:rsid w:val="009E1D45"/>
    <w:rsid w:val="009E1D76"/>
    <w:rsid w:val="009E1E5D"/>
    <w:rsid w:val="009E1F31"/>
    <w:rsid w:val="009E1F7F"/>
    <w:rsid w:val="009E1FAF"/>
    <w:rsid w:val="009E20CF"/>
    <w:rsid w:val="009E23FA"/>
    <w:rsid w:val="009E2932"/>
    <w:rsid w:val="009E29AA"/>
    <w:rsid w:val="009E2A84"/>
    <w:rsid w:val="009E2A86"/>
    <w:rsid w:val="009E2AC7"/>
    <w:rsid w:val="009E2F94"/>
    <w:rsid w:val="009E3206"/>
    <w:rsid w:val="009E3285"/>
    <w:rsid w:val="009E33B6"/>
    <w:rsid w:val="009E3C16"/>
    <w:rsid w:val="009E3FBB"/>
    <w:rsid w:val="009E428F"/>
    <w:rsid w:val="009E48DA"/>
    <w:rsid w:val="009E4C9C"/>
    <w:rsid w:val="009E4D40"/>
    <w:rsid w:val="009E4D41"/>
    <w:rsid w:val="009E5604"/>
    <w:rsid w:val="009E5962"/>
    <w:rsid w:val="009E5BBB"/>
    <w:rsid w:val="009E5E56"/>
    <w:rsid w:val="009E6388"/>
    <w:rsid w:val="009E63AB"/>
    <w:rsid w:val="009E64A6"/>
    <w:rsid w:val="009E678A"/>
    <w:rsid w:val="009E6A41"/>
    <w:rsid w:val="009E6B6B"/>
    <w:rsid w:val="009E75B0"/>
    <w:rsid w:val="009E7646"/>
    <w:rsid w:val="009E796D"/>
    <w:rsid w:val="009E7B1E"/>
    <w:rsid w:val="009E7BC7"/>
    <w:rsid w:val="009E7C6F"/>
    <w:rsid w:val="009E7C9D"/>
    <w:rsid w:val="009E7D8A"/>
    <w:rsid w:val="009F041C"/>
    <w:rsid w:val="009F0442"/>
    <w:rsid w:val="009F076F"/>
    <w:rsid w:val="009F09A4"/>
    <w:rsid w:val="009F0FB2"/>
    <w:rsid w:val="009F1AB2"/>
    <w:rsid w:val="009F1C52"/>
    <w:rsid w:val="009F1C84"/>
    <w:rsid w:val="009F1E0F"/>
    <w:rsid w:val="009F1F81"/>
    <w:rsid w:val="009F282F"/>
    <w:rsid w:val="009F2941"/>
    <w:rsid w:val="009F2EE1"/>
    <w:rsid w:val="009F31AD"/>
    <w:rsid w:val="009F328D"/>
    <w:rsid w:val="009F3353"/>
    <w:rsid w:val="009F3846"/>
    <w:rsid w:val="009F3AAB"/>
    <w:rsid w:val="009F4135"/>
    <w:rsid w:val="009F44D9"/>
    <w:rsid w:val="009F46BE"/>
    <w:rsid w:val="009F4933"/>
    <w:rsid w:val="009F4E02"/>
    <w:rsid w:val="009F4F90"/>
    <w:rsid w:val="009F5110"/>
    <w:rsid w:val="009F5318"/>
    <w:rsid w:val="009F54EE"/>
    <w:rsid w:val="009F5550"/>
    <w:rsid w:val="009F5772"/>
    <w:rsid w:val="009F5D84"/>
    <w:rsid w:val="009F5EC4"/>
    <w:rsid w:val="009F60EE"/>
    <w:rsid w:val="009F6335"/>
    <w:rsid w:val="009F63B8"/>
    <w:rsid w:val="009F65F7"/>
    <w:rsid w:val="009F6C62"/>
    <w:rsid w:val="009F6E3A"/>
    <w:rsid w:val="009F70BC"/>
    <w:rsid w:val="009F7428"/>
    <w:rsid w:val="009F7888"/>
    <w:rsid w:val="009F7B18"/>
    <w:rsid w:val="009F7DF7"/>
    <w:rsid w:val="009F7E6C"/>
    <w:rsid w:val="00A005A0"/>
    <w:rsid w:val="00A0114B"/>
    <w:rsid w:val="00A013B4"/>
    <w:rsid w:val="00A01614"/>
    <w:rsid w:val="00A018FF"/>
    <w:rsid w:val="00A01C8D"/>
    <w:rsid w:val="00A01D21"/>
    <w:rsid w:val="00A01D8B"/>
    <w:rsid w:val="00A021A3"/>
    <w:rsid w:val="00A02616"/>
    <w:rsid w:val="00A02DE0"/>
    <w:rsid w:val="00A02EF3"/>
    <w:rsid w:val="00A02FBB"/>
    <w:rsid w:val="00A035BA"/>
    <w:rsid w:val="00A0390F"/>
    <w:rsid w:val="00A040B5"/>
    <w:rsid w:val="00A0423F"/>
    <w:rsid w:val="00A049F3"/>
    <w:rsid w:val="00A04A71"/>
    <w:rsid w:val="00A04B9D"/>
    <w:rsid w:val="00A04EA9"/>
    <w:rsid w:val="00A05386"/>
    <w:rsid w:val="00A05A21"/>
    <w:rsid w:val="00A05F8A"/>
    <w:rsid w:val="00A067BA"/>
    <w:rsid w:val="00A06FEF"/>
    <w:rsid w:val="00A0710A"/>
    <w:rsid w:val="00A07216"/>
    <w:rsid w:val="00A07489"/>
    <w:rsid w:val="00A079D8"/>
    <w:rsid w:val="00A07DFB"/>
    <w:rsid w:val="00A07FC1"/>
    <w:rsid w:val="00A100EA"/>
    <w:rsid w:val="00A10468"/>
    <w:rsid w:val="00A106E3"/>
    <w:rsid w:val="00A1083D"/>
    <w:rsid w:val="00A10D41"/>
    <w:rsid w:val="00A10DD2"/>
    <w:rsid w:val="00A1170F"/>
    <w:rsid w:val="00A11741"/>
    <w:rsid w:val="00A11C54"/>
    <w:rsid w:val="00A12E92"/>
    <w:rsid w:val="00A13360"/>
    <w:rsid w:val="00A13484"/>
    <w:rsid w:val="00A1399B"/>
    <w:rsid w:val="00A13CC8"/>
    <w:rsid w:val="00A145B1"/>
    <w:rsid w:val="00A1469A"/>
    <w:rsid w:val="00A14A11"/>
    <w:rsid w:val="00A14A1D"/>
    <w:rsid w:val="00A14C5E"/>
    <w:rsid w:val="00A14D51"/>
    <w:rsid w:val="00A14E81"/>
    <w:rsid w:val="00A150CA"/>
    <w:rsid w:val="00A15465"/>
    <w:rsid w:val="00A158B3"/>
    <w:rsid w:val="00A15DF9"/>
    <w:rsid w:val="00A15E8B"/>
    <w:rsid w:val="00A1620F"/>
    <w:rsid w:val="00A16C33"/>
    <w:rsid w:val="00A16F72"/>
    <w:rsid w:val="00A170A2"/>
    <w:rsid w:val="00A17122"/>
    <w:rsid w:val="00A176BA"/>
    <w:rsid w:val="00A20524"/>
    <w:rsid w:val="00A20608"/>
    <w:rsid w:val="00A20882"/>
    <w:rsid w:val="00A20A58"/>
    <w:rsid w:val="00A21857"/>
    <w:rsid w:val="00A2189B"/>
    <w:rsid w:val="00A21CD9"/>
    <w:rsid w:val="00A225A5"/>
    <w:rsid w:val="00A22705"/>
    <w:rsid w:val="00A22AEE"/>
    <w:rsid w:val="00A23001"/>
    <w:rsid w:val="00A23564"/>
    <w:rsid w:val="00A23DB2"/>
    <w:rsid w:val="00A23DF6"/>
    <w:rsid w:val="00A2433E"/>
    <w:rsid w:val="00A246C5"/>
    <w:rsid w:val="00A24AC6"/>
    <w:rsid w:val="00A24C1B"/>
    <w:rsid w:val="00A24CFC"/>
    <w:rsid w:val="00A24D95"/>
    <w:rsid w:val="00A25014"/>
    <w:rsid w:val="00A25188"/>
    <w:rsid w:val="00A256C5"/>
    <w:rsid w:val="00A25944"/>
    <w:rsid w:val="00A261E7"/>
    <w:rsid w:val="00A2678F"/>
    <w:rsid w:val="00A2690F"/>
    <w:rsid w:val="00A26CD0"/>
    <w:rsid w:val="00A270C6"/>
    <w:rsid w:val="00A272C3"/>
    <w:rsid w:val="00A272FE"/>
    <w:rsid w:val="00A27313"/>
    <w:rsid w:val="00A273C4"/>
    <w:rsid w:val="00A27BBC"/>
    <w:rsid w:val="00A30350"/>
    <w:rsid w:val="00A30547"/>
    <w:rsid w:val="00A30669"/>
    <w:rsid w:val="00A30721"/>
    <w:rsid w:val="00A30C37"/>
    <w:rsid w:val="00A30F2E"/>
    <w:rsid w:val="00A30F3B"/>
    <w:rsid w:val="00A311C1"/>
    <w:rsid w:val="00A313A9"/>
    <w:rsid w:val="00A31428"/>
    <w:rsid w:val="00A3151F"/>
    <w:rsid w:val="00A317C4"/>
    <w:rsid w:val="00A319A6"/>
    <w:rsid w:val="00A31AB3"/>
    <w:rsid w:val="00A31D8E"/>
    <w:rsid w:val="00A31E4A"/>
    <w:rsid w:val="00A32BDF"/>
    <w:rsid w:val="00A333FC"/>
    <w:rsid w:val="00A339CE"/>
    <w:rsid w:val="00A339DC"/>
    <w:rsid w:val="00A33EFE"/>
    <w:rsid w:val="00A340B9"/>
    <w:rsid w:val="00A3414C"/>
    <w:rsid w:val="00A34356"/>
    <w:rsid w:val="00A343B4"/>
    <w:rsid w:val="00A34406"/>
    <w:rsid w:val="00A348FF"/>
    <w:rsid w:val="00A34CEB"/>
    <w:rsid w:val="00A34FB8"/>
    <w:rsid w:val="00A35021"/>
    <w:rsid w:val="00A35BE2"/>
    <w:rsid w:val="00A35F75"/>
    <w:rsid w:val="00A36052"/>
    <w:rsid w:val="00A3611A"/>
    <w:rsid w:val="00A362B0"/>
    <w:rsid w:val="00A363C0"/>
    <w:rsid w:val="00A3647E"/>
    <w:rsid w:val="00A366E2"/>
    <w:rsid w:val="00A366EE"/>
    <w:rsid w:val="00A371A8"/>
    <w:rsid w:val="00A37200"/>
    <w:rsid w:val="00A37502"/>
    <w:rsid w:val="00A37700"/>
    <w:rsid w:val="00A40092"/>
    <w:rsid w:val="00A4072F"/>
    <w:rsid w:val="00A40932"/>
    <w:rsid w:val="00A40D6D"/>
    <w:rsid w:val="00A41739"/>
    <w:rsid w:val="00A4179B"/>
    <w:rsid w:val="00A417FE"/>
    <w:rsid w:val="00A41C6B"/>
    <w:rsid w:val="00A41D5C"/>
    <w:rsid w:val="00A41FC6"/>
    <w:rsid w:val="00A42497"/>
    <w:rsid w:val="00A42968"/>
    <w:rsid w:val="00A42C9D"/>
    <w:rsid w:val="00A42E5C"/>
    <w:rsid w:val="00A42EFA"/>
    <w:rsid w:val="00A432DB"/>
    <w:rsid w:val="00A43741"/>
    <w:rsid w:val="00A438D7"/>
    <w:rsid w:val="00A43A8A"/>
    <w:rsid w:val="00A43D79"/>
    <w:rsid w:val="00A440AB"/>
    <w:rsid w:val="00A44DD4"/>
    <w:rsid w:val="00A44DED"/>
    <w:rsid w:val="00A455B8"/>
    <w:rsid w:val="00A45675"/>
    <w:rsid w:val="00A45A5E"/>
    <w:rsid w:val="00A4632C"/>
    <w:rsid w:val="00A463CF"/>
    <w:rsid w:val="00A463DE"/>
    <w:rsid w:val="00A46539"/>
    <w:rsid w:val="00A467FF"/>
    <w:rsid w:val="00A46A01"/>
    <w:rsid w:val="00A46F5A"/>
    <w:rsid w:val="00A47696"/>
    <w:rsid w:val="00A50051"/>
    <w:rsid w:val="00A502A7"/>
    <w:rsid w:val="00A5042F"/>
    <w:rsid w:val="00A505F4"/>
    <w:rsid w:val="00A50952"/>
    <w:rsid w:val="00A50DAD"/>
    <w:rsid w:val="00A50EC4"/>
    <w:rsid w:val="00A511F6"/>
    <w:rsid w:val="00A515F4"/>
    <w:rsid w:val="00A516EE"/>
    <w:rsid w:val="00A518FF"/>
    <w:rsid w:val="00A51F5D"/>
    <w:rsid w:val="00A52402"/>
    <w:rsid w:val="00A524CB"/>
    <w:rsid w:val="00A52532"/>
    <w:rsid w:val="00A529AA"/>
    <w:rsid w:val="00A53218"/>
    <w:rsid w:val="00A53801"/>
    <w:rsid w:val="00A53EE4"/>
    <w:rsid w:val="00A54612"/>
    <w:rsid w:val="00A54625"/>
    <w:rsid w:val="00A547AA"/>
    <w:rsid w:val="00A548F6"/>
    <w:rsid w:val="00A549ED"/>
    <w:rsid w:val="00A54C8C"/>
    <w:rsid w:val="00A55204"/>
    <w:rsid w:val="00A55449"/>
    <w:rsid w:val="00A555E5"/>
    <w:rsid w:val="00A55837"/>
    <w:rsid w:val="00A55BE7"/>
    <w:rsid w:val="00A55EF3"/>
    <w:rsid w:val="00A55F85"/>
    <w:rsid w:val="00A5607E"/>
    <w:rsid w:val="00A561DA"/>
    <w:rsid w:val="00A562E3"/>
    <w:rsid w:val="00A56334"/>
    <w:rsid w:val="00A56370"/>
    <w:rsid w:val="00A565BC"/>
    <w:rsid w:val="00A56C9C"/>
    <w:rsid w:val="00A57189"/>
    <w:rsid w:val="00A571D0"/>
    <w:rsid w:val="00A572D8"/>
    <w:rsid w:val="00A575E7"/>
    <w:rsid w:val="00A5792A"/>
    <w:rsid w:val="00A57B44"/>
    <w:rsid w:val="00A60949"/>
    <w:rsid w:val="00A60DAD"/>
    <w:rsid w:val="00A611D4"/>
    <w:rsid w:val="00A61277"/>
    <w:rsid w:val="00A6158A"/>
    <w:rsid w:val="00A617D9"/>
    <w:rsid w:val="00A61A52"/>
    <w:rsid w:val="00A61AB2"/>
    <w:rsid w:val="00A61B43"/>
    <w:rsid w:val="00A61D5B"/>
    <w:rsid w:val="00A62151"/>
    <w:rsid w:val="00A6270A"/>
    <w:rsid w:val="00A62D0A"/>
    <w:rsid w:val="00A62DBA"/>
    <w:rsid w:val="00A62F60"/>
    <w:rsid w:val="00A632C4"/>
    <w:rsid w:val="00A632F7"/>
    <w:rsid w:val="00A63315"/>
    <w:rsid w:val="00A63852"/>
    <w:rsid w:val="00A63857"/>
    <w:rsid w:val="00A63FE9"/>
    <w:rsid w:val="00A6403E"/>
    <w:rsid w:val="00A6442D"/>
    <w:rsid w:val="00A64B01"/>
    <w:rsid w:val="00A64C1C"/>
    <w:rsid w:val="00A65284"/>
    <w:rsid w:val="00A6576D"/>
    <w:rsid w:val="00A657FE"/>
    <w:rsid w:val="00A66322"/>
    <w:rsid w:val="00A666F6"/>
    <w:rsid w:val="00A668E9"/>
    <w:rsid w:val="00A66F50"/>
    <w:rsid w:val="00A67007"/>
    <w:rsid w:val="00A670F4"/>
    <w:rsid w:val="00A67884"/>
    <w:rsid w:val="00A678FA"/>
    <w:rsid w:val="00A7044E"/>
    <w:rsid w:val="00A70542"/>
    <w:rsid w:val="00A70A01"/>
    <w:rsid w:val="00A70BB8"/>
    <w:rsid w:val="00A70F8A"/>
    <w:rsid w:val="00A7130F"/>
    <w:rsid w:val="00A713B7"/>
    <w:rsid w:val="00A71B6B"/>
    <w:rsid w:val="00A721A1"/>
    <w:rsid w:val="00A722FF"/>
    <w:rsid w:val="00A72C0F"/>
    <w:rsid w:val="00A72D0F"/>
    <w:rsid w:val="00A72E2A"/>
    <w:rsid w:val="00A72F87"/>
    <w:rsid w:val="00A733AC"/>
    <w:rsid w:val="00A73E8E"/>
    <w:rsid w:val="00A74137"/>
    <w:rsid w:val="00A74C50"/>
    <w:rsid w:val="00A74D60"/>
    <w:rsid w:val="00A75142"/>
    <w:rsid w:val="00A75284"/>
    <w:rsid w:val="00A758F1"/>
    <w:rsid w:val="00A759DF"/>
    <w:rsid w:val="00A76001"/>
    <w:rsid w:val="00A76D9B"/>
    <w:rsid w:val="00A76F49"/>
    <w:rsid w:val="00A77708"/>
    <w:rsid w:val="00A778DF"/>
    <w:rsid w:val="00A779FC"/>
    <w:rsid w:val="00A800C6"/>
    <w:rsid w:val="00A804E3"/>
    <w:rsid w:val="00A809DA"/>
    <w:rsid w:val="00A80C11"/>
    <w:rsid w:val="00A80C9D"/>
    <w:rsid w:val="00A80EC4"/>
    <w:rsid w:val="00A81168"/>
    <w:rsid w:val="00A81364"/>
    <w:rsid w:val="00A8151E"/>
    <w:rsid w:val="00A81527"/>
    <w:rsid w:val="00A8166F"/>
    <w:rsid w:val="00A8183A"/>
    <w:rsid w:val="00A81DCC"/>
    <w:rsid w:val="00A8230B"/>
    <w:rsid w:val="00A82A9E"/>
    <w:rsid w:val="00A82EE3"/>
    <w:rsid w:val="00A8312D"/>
    <w:rsid w:val="00A83179"/>
    <w:rsid w:val="00A83383"/>
    <w:rsid w:val="00A8347D"/>
    <w:rsid w:val="00A83483"/>
    <w:rsid w:val="00A836A0"/>
    <w:rsid w:val="00A8495D"/>
    <w:rsid w:val="00A85577"/>
    <w:rsid w:val="00A85833"/>
    <w:rsid w:val="00A859CF"/>
    <w:rsid w:val="00A85AA0"/>
    <w:rsid w:val="00A862FF"/>
    <w:rsid w:val="00A86856"/>
    <w:rsid w:val="00A86DBE"/>
    <w:rsid w:val="00A86F6E"/>
    <w:rsid w:val="00A875D2"/>
    <w:rsid w:val="00A87714"/>
    <w:rsid w:val="00A87BA3"/>
    <w:rsid w:val="00A87D48"/>
    <w:rsid w:val="00A902F7"/>
    <w:rsid w:val="00A905C3"/>
    <w:rsid w:val="00A907E9"/>
    <w:rsid w:val="00A90B7B"/>
    <w:rsid w:val="00A90D70"/>
    <w:rsid w:val="00A90E29"/>
    <w:rsid w:val="00A910D9"/>
    <w:rsid w:val="00A91610"/>
    <w:rsid w:val="00A916C8"/>
    <w:rsid w:val="00A91894"/>
    <w:rsid w:val="00A91940"/>
    <w:rsid w:val="00A91BCF"/>
    <w:rsid w:val="00A91F09"/>
    <w:rsid w:val="00A92141"/>
    <w:rsid w:val="00A9218D"/>
    <w:rsid w:val="00A92D29"/>
    <w:rsid w:val="00A92EBD"/>
    <w:rsid w:val="00A93226"/>
    <w:rsid w:val="00A933D0"/>
    <w:rsid w:val="00A93495"/>
    <w:rsid w:val="00A9377F"/>
    <w:rsid w:val="00A939AF"/>
    <w:rsid w:val="00A93A79"/>
    <w:rsid w:val="00A93B34"/>
    <w:rsid w:val="00A93F35"/>
    <w:rsid w:val="00A93F69"/>
    <w:rsid w:val="00A946BD"/>
    <w:rsid w:val="00A949B0"/>
    <w:rsid w:val="00A94BA3"/>
    <w:rsid w:val="00A94C03"/>
    <w:rsid w:val="00A94D90"/>
    <w:rsid w:val="00A9515E"/>
    <w:rsid w:val="00A95188"/>
    <w:rsid w:val="00A95C4B"/>
    <w:rsid w:val="00A96043"/>
    <w:rsid w:val="00A9604E"/>
    <w:rsid w:val="00A964B5"/>
    <w:rsid w:val="00A96667"/>
    <w:rsid w:val="00A96A65"/>
    <w:rsid w:val="00A96A9F"/>
    <w:rsid w:val="00A96D71"/>
    <w:rsid w:val="00A96F15"/>
    <w:rsid w:val="00A97336"/>
    <w:rsid w:val="00A979A1"/>
    <w:rsid w:val="00A97AD1"/>
    <w:rsid w:val="00A97CC7"/>
    <w:rsid w:val="00A97D03"/>
    <w:rsid w:val="00AA0A87"/>
    <w:rsid w:val="00AA0C77"/>
    <w:rsid w:val="00AA11AD"/>
    <w:rsid w:val="00AA134A"/>
    <w:rsid w:val="00AA14DD"/>
    <w:rsid w:val="00AA1782"/>
    <w:rsid w:val="00AA1CA7"/>
    <w:rsid w:val="00AA23D0"/>
    <w:rsid w:val="00AA2550"/>
    <w:rsid w:val="00AA2766"/>
    <w:rsid w:val="00AA2949"/>
    <w:rsid w:val="00AA29D9"/>
    <w:rsid w:val="00AA2F10"/>
    <w:rsid w:val="00AA3902"/>
    <w:rsid w:val="00AA3C1F"/>
    <w:rsid w:val="00AA3E37"/>
    <w:rsid w:val="00AA3F06"/>
    <w:rsid w:val="00AA48B7"/>
    <w:rsid w:val="00AA49D5"/>
    <w:rsid w:val="00AA4D49"/>
    <w:rsid w:val="00AA4EFE"/>
    <w:rsid w:val="00AA4F85"/>
    <w:rsid w:val="00AA5176"/>
    <w:rsid w:val="00AA521C"/>
    <w:rsid w:val="00AA5300"/>
    <w:rsid w:val="00AA5757"/>
    <w:rsid w:val="00AA597B"/>
    <w:rsid w:val="00AA5A82"/>
    <w:rsid w:val="00AA5E07"/>
    <w:rsid w:val="00AA5F79"/>
    <w:rsid w:val="00AA6601"/>
    <w:rsid w:val="00AA6705"/>
    <w:rsid w:val="00AA6E61"/>
    <w:rsid w:val="00AA730D"/>
    <w:rsid w:val="00AA7CA1"/>
    <w:rsid w:val="00AB00CD"/>
    <w:rsid w:val="00AB049F"/>
    <w:rsid w:val="00AB067A"/>
    <w:rsid w:val="00AB0989"/>
    <w:rsid w:val="00AB09FC"/>
    <w:rsid w:val="00AB0B83"/>
    <w:rsid w:val="00AB0D63"/>
    <w:rsid w:val="00AB1134"/>
    <w:rsid w:val="00AB13A6"/>
    <w:rsid w:val="00AB16CB"/>
    <w:rsid w:val="00AB1BD4"/>
    <w:rsid w:val="00AB1C9B"/>
    <w:rsid w:val="00AB1E91"/>
    <w:rsid w:val="00AB2046"/>
    <w:rsid w:val="00AB22D7"/>
    <w:rsid w:val="00AB2638"/>
    <w:rsid w:val="00AB295B"/>
    <w:rsid w:val="00AB2C9B"/>
    <w:rsid w:val="00AB33DD"/>
    <w:rsid w:val="00AB33E8"/>
    <w:rsid w:val="00AB3649"/>
    <w:rsid w:val="00AB3C88"/>
    <w:rsid w:val="00AB3D6D"/>
    <w:rsid w:val="00AB45A7"/>
    <w:rsid w:val="00AB4B17"/>
    <w:rsid w:val="00AB4CE1"/>
    <w:rsid w:val="00AB4D46"/>
    <w:rsid w:val="00AB50E7"/>
    <w:rsid w:val="00AB56A5"/>
    <w:rsid w:val="00AB56D4"/>
    <w:rsid w:val="00AB5851"/>
    <w:rsid w:val="00AB6108"/>
    <w:rsid w:val="00AB64AF"/>
    <w:rsid w:val="00AB6618"/>
    <w:rsid w:val="00AB6782"/>
    <w:rsid w:val="00AB67D9"/>
    <w:rsid w:val="00AB684D"/>
    <w:rsid w:val="00AB6EFA"/>
    <w:rsid w:val="00AB7155"/>
    <w:rsid w:val="00AB73C7"/>
    <w:rsid w:val="00AB768D"/>
    <w:rsid w:val="00AB7AB9"/>
    <w:rsid w:val="00AC0035"/>
    <w:rsid w:val="00AC011A"/>
    <w:rsid w:val="00AC03D8"/>
    <w:rsid w:val="00AC0522"/>
    <w:rsid w:val="00AC0824"/>
    <w:rsid w:val="00AC0C27"/>
    <w:rsid w:val="00AC0F58"/>
    <w:rsid w:val="00AC11D8"/>
    <w:rsid w:val="00AC11F5"/>
    <w:rsid w:val="00AC1676"/>
    <w:rsid w:val="00AC230E"/>
    <w:rsid w:val="00AC2CA9"/>
    <w:rsid w:val="00AC2DE8"/>
    <w:rsid w:val="00AC2E46"/>
    <w:rsid w:val="00AC2EC6"/>
    <w:rsid w:val="00AC33DF"/>
    <w:rsid w:val="00AC41FF"/>
    <w:rsid w:val="00AC44EA"/>
    <w:rsid w:val="00AC53F1"/>
    <w:rsid w:val="00AC549F"/>
    <w:rsid w:val="00AC5651"/>
    <w:rsid w:val="00AC5E71"/>
    <w:rsid w:val="00AC6553"/>
    <w:rsid w:val="00AC65DF"/>
    <w:rsid w:val="00AC6B59"/>
    <w:rsid w:val="00AC74B9"/>
    <w:rsid w:val="00AC7526"/>
    <w:rsid w:val="00AC7560"/>
    <w:rsid w:val="00AC7633"/>
    <w:rsid w:val="00AC7765"/>
    <w:rsid w:val="00AC7BD8"/>
    <w:rsid w:val="00AC7C5F"/>
    <w:rsid w:val="00AC7E25"/>
    <w:rsid w:val="00AD00A4"/>
    <w:rsid w:val="00AD0B47"/>
    <w:rsid w:val="00AD0DC3"/>
    <w:rsid w:val="00AD0F4A"/>
    <w:rsid w:val="00AD0F92"/>
    <w:rsid w:val="00AD0FF8"/>
    <w:rsid w:val="00AD1073"/>
    <w:rsid w:val="00AD1A10"/>
    <w:rsid w:val="00AD1A29"/>
    <w:rsid w:val="00AD1AD7"/>
    <w:rsid w:val="00AD1FC7"/>
    <w:rsid w:val="00AD293A"/>
    <w:rsid w:val="00AD2BEB"/>
    <w:rsid w:val="00AD3261"/>
    <w:rsid w:val="00AD3F27"/>
    <w:rsid w:val="00AD4603"/>
    <w:rsid w:val="00AD4765"/>
    <w:rsid w:val="00AD4CBC"/>
    <w:rsid w:val="00AD550C"/>
    <w:rsid w:val="00AD5931"/>
    <w:rsid w:val="00AD616D"/>
    <w:rsid w:val="00AD682A"/>
    <w:rsid w:val="00AD7000"/>
    <w:rsid w:val="00AD73B6"/>
    <w:rsid w:val="00AD7B1F"/>
    <w:rsid w:val="00AD7F56"/>
    <w:rsid w:val="00AE0019"/>
    <w:rsid w:val="00AE083E"/>
    <w:rsid w:val="00AE0870"/>
    <w:rsid w:val="00AE0C54"/>
    <w:rsid w:val="00AE10F8"/>
    <w:rsid w:val="00AE185C"/>
    <w:rsid w:val="00AE24EB"/>
    <w:rsid w:val="00AE27E8"/>
    <w:rsid w:val="00AE29B0"/>
    <w:rsid w:val="00AE2AA9"/>
    <w:rsid w:val="00AE2B88"/>
    <w:rsid w:val="00AE2BB3"/>
    <w:rsid w:val="00AE2C98"/>
    <w:rsid w:val="00AE2D7D"/>
    <w:rsid w:val="00AE2E5F"/>
    <w:rsid w:val="00AE2E87"/>
    <w:rsid w:val="00AE2E90"/>
    <w:rsid w:val="00AE3156"/>
    <w:rsid w:val="00AE3B20"/>
    <w:rsid w:val="00AE3CF5"/>
    <w:rsid w:val="00AE3DBF"/>
    <w:rsid w:val="00AE3EEF"/>
    <w:rsid w:val="00AE4346"/>
    <w:rsid w:val="00AE444C"/>
    <w:rsid w:val="00AE4466"/>
    <w:rsid w:val="00AE448E"/>
    <w:rsid w:val="00AE498E"/>
    <w:rsid w:val="00AE4AC8"/>
    <w:rsid w:val="00AE4AF3"/>
    <w:rsid w:val="00AE4D00"/>
    <w:rsid w:val="00AE4D46"/>
    <w:rsid w:val="00AE4EC5"/>
    <w:rsid w:val="00AE4FF2"/>
    <w:rsid w:val="00AE50DE"/>
    <w:rsid w:val="00AE545F"/>
    <w:rsid w:val="00AE5474"/>
    <w:rsid w:val="00AE55D8"/>
    <w:rsid w:val="00AE55E0"/>
    <w:rsid w:val="00AE5605"/>
    <w:rsid w:val="00AE5666"/>
    <w:rsid w:val="00AE5755"/>
    <w:rsid w:val="00AE592A"/>
    <w:rsid w:val="00AE5A0C"/>
    <w:rsid w:val="00AE61A9"/>
    <w:rsid w:val="00AE66A2"/>
    <w:rsid w:val="00AE67DF"/>
    <w:rsid w:val="00AE68F7"/>
    <w:rsid w:val="00AE6984"/>
    <w:rsid w:val="00AE6FCF"/>
    <w:rsid w:val="00AE6FD9"/>
    <w:rsid w:val="00AE7668"/>
    <w:rsid w:val="00AE7823"/>
    <w:rsid w:val="00AE7893"/>
    <w:rsid w:val="00AE7A36"/>
    <w:rsid w:val="00AF0140"/>
    <w:rsid w:val="00AF0233"/>
    <w:rsid w:val="00AF0291"/>
    <w:rsid w:val="00AF03A9"/>
    <w:rsid w:val="00AF042E"/>
    <w:rsid w:val="00AF05D7"/>
    <w:rsid w:val="00AF0C1F"/>
    <w:rsid w:val="00AF0F17"/>
    <w:rsid w:val="00AF112E"/>
    <w:rsid w:val="00AF1186"/>
    <w:rsid w:val="00AF13C7"/>
    <w:rsid w:val="00AF13E8"/>
    <w:rsid w:val="00AF1952"/>
    <w:rsid w:val="00AF1DA2"/>
    <w:rsid w:val="00AF2209"/>
    <w:rsid w:val="00AF2381"/>
    <w:rsid w:val="00AF27D3"/>
    <w:rsid w:val="00AF30B2"/>
    <w:rsid w:val="00AF3180"/>
    <w:rsid w:val="00AF32CC"/>
    <w:rsid w:val="00AF335E"/>
    <w:rsid w:val="00AF343B"/>
    <w:rsid w:val="00AF4257"/>
    <w:rsid w:val="00AF44A2"/>
    <w:rsid w:val="00AF4552"/>
    <w:rsid w:val="00AF4644"/>
    <w:rsid w:val="00AF474D"/>
    <w:rsid w:val="00AF4C1F"/>
    <w:rsid w:val="00AF4FB0"/>
    <w:rsid w:val="00AF5203"/>
    <w:rsid w:val="00AF59BA"/>
    <w:rsid w:val="00AF5A0D"/>
    <w:rsid w:val="00AF5C1B"/>
    <w:rsid w:val="00AF5D40"/>
    <w:rsid w:val="00AF5D63"/>
    <w:rsid w:val="00AF5F1F"/>
    <w:rsid w:val="00AF6C03"/>
    <w:rsid w:val="00AF6D63"/>
    <w:rsid w:val="00AF700C"/>
    <w:rsid w:val="00AF70E6"/>
    <w:rsid w:val="00AF7A48"/>
    <w:rsid w:val="00AF7AE3"/>
    <w:rsid w:val="00AF7C8A"/>
    <w:rsid w:val="00AF7F55"/>
    <w:rsid w:val="00B00757"/>
    <w:rsid w:val="00B00BA6"/>
    <w:rsid w:val="00B0114C"/>
    <w:rsid w:val="00B013CC"/>
    <w:rsid w:val="00B01877"/>
    <w:rsid w:val="00B01915"/>
    <w:rsid w:val="00B01C44"/>
    <w:rsid w:val="00B01D51"/>
    <w:rsid w:val="00B02130"/>
    <w:rsid w:val="00B021E9"/>
    <w:rsid w:val="00B02601"/>
    <w:rsid w:val="00B02824"/>
    <w:rsid w:val="00B02D46"/>
    <w:rsid w:val="00B02D58"/>
    <w:rsid w:val="00B0304A"/>
    <w:rsid w:val="00B032F8"/>
    <w:rsid w:val="00B033FA"/>
    <w:rsid w:val="00B03A48"/>
    <w:rsid w:val="00B0430A"/>
    <w:rsid w:val="00B045C5"/>
    <w:rsid w:val="00B04672"/>
    <w:rsid w:val="00B046E7"/>
    <w:rsid w:val="00B04A6B"/>
    <w:rsid w:val="00B04B55"/>
    <w:rsid w:val="00B05117"/>
    <w:rsid w:val="00B0577F"/>
    <w:rsid w:val="00B05C2E"/>
    <w:rsid w:val="00B05F4E"/>
    <w:rsid w:val="00B060D8"/>
    <w:rsid w:val="00B0626F"/>
    <w:rsid w:val="00B0662F"/>
    <w:rsid w:val="00B068F7"/>
    <w:rsid w:val="00B069A3"/>
    <w:rsid w:val="00B07675"/>
    <w:rsid w:val="00B079FD"/>
    <w:rsid w:val="00B07A49"/>
    <w:rsid w:val="00B07B9D"/>
    <w:rsid w:val="00B07BD8"/>
    <w:rsid w:val="00B100D6"/>
    <w:rsid w:val="00B10135"/>
    <w:rsid w:val="00B10795"/>
    <w:rsid w:val="00B109FC"/>
    <w:rsid w:val="00B10DB9"/>
    <w:rsid w:val="00B10EEC"/>
    <w:rsid w:val="00B11727"/>
    <w:rsid w:val="00B11BBE"/>
    <w:rsid w:val="00B12985"/>
    <w:rsid w:val="00B12E09"/>
    <w:rsid w:val="00B1368B"/>
    <w:rsid w:val="00B1378C"/>
    <w:rsid w:val="00B138AC"/>
    <w:rsid w:val="00B13F0C"/>
    <w:rsid w:val="00B13F6D"/>
    <w:rsid w:val="00B143D5"/>
    <w:rsid w:val="00B1440F"/>
    <w:rsid w:val="00B14B91"/>
    <w:rsid w:val="00B14C52"/>
    <w:rsid w:val="00B14EDA"/>
    <w:rsid w:val="00B15196"/>
    <w:rsid w:val="00B15309"/>
    <w:rsid w:val="00B1538F"/>
    <w:rsid w:val="00B154CA"/>
    <w:rsid w:val="00B1560F"/>
    <w:rsid w:val="00B15623"/>
    <w:rsid w:val="00B1574C"/>
    <w:rsid w:val="00B15BAE"/>
    <w:rsid w:val="00B15CDF"/>
    <w:rsid w:val="00B1698B"/>
    <w:rsid w:val="00B16CD0"/>
    <w:rsid w:val="00B16F95"/>
    <w:rsid w:val="00B1727B"/>
    <w:rsid w:val="00B17288"/>
    <w:rsid w:val="00B172E5"/>
    <w:rsid w:val="00B202BE"/>
    <w:rsid w:val="00B202ED"/>
    <w:rsid w:val="00B2045A"/>
    <w:rsid w:val="00B2047C"/>
    <w:rsid w:val="00B2083E"/>
    <w:rsid w:val="00B20B28"/>
    <w:rsid w:val="00B214DC"/>
    <w:rsid w:val="00B215F8"/>
    <w:rsid w:val="00B21B29"/>
    <w:rsid w:val="00B21C41"/>
    <w:rsid w:val="00B21CE4"/>
    <w:rsid w:val="00B21E04"/>
    <w:rsid w:val="00B2236A"/>
    <w:rsid w:val="00B228DB"/>
    <w:rsid w:val="00B22A7E"/>
    <w:rsid w:val="00B22FDD"/>
    <w:rsid w:val="00B2332C"/>
    <w:rsid w:val="00B23D08"/>
    <w:rsid w:val="00B23F80"/>
    <w:rsid w:val="00B24064"/>
    <w:rsid w:val="00B24381"/>
    <w:rsid w:val="00B2464E"/>
    <w:rsid w:val="00B2488B"/>
    <w:rsid w:val="00B24A77"/>
    <w:rsid w:val="00B24B4D"/>
    <w:rsid w:val="00B24F51"/>
    <w:rsid w:val="00B25666"/>
    <w:rsid w:val="00B25896"/>
    <w:rsid w:val="00B258B4"/>
    <w:rsid w:val="00B262DE"/>
    <w:rsid w:val="00B264CC"/>
    <w:rsid w:val="00B2677A"/>
    <w:rsid w:val="00B269CF"/>
    <w:rsid w:val="00B2781D"/>
    <w:rsid w:val="00B27853"/>
    <w:rsid w:val="00B27F4B"/>
    <w:rsid w:val="00B303EE"/>
    <w:rsid w:val="00B30943"/>
    <w:rsid w:val="00B31231"/>
    <w:rsid w:val="00B314D1"/>
    <w:rsid w:val="00B31522"/>
    <w:rsid w:val="00B31CF7"/>
    <w:rsid w:val="00B31D74"/>
    <w:rsid w:val="00B32177"/>
    <w:rsid w:val="00B32565"/>
    <w:rsid w:val="00B32821"/>
    <w:rsid w:val="00B32842"/>
    <w:rsid w:val="00B32994"/>
    <w:rsid w:val="00B32FC4"/>
    <w:rsid w:val="00B33032"/>
    <w:rsid w:val="00B332A0"/>
    <w:rsid w:val="00B335DD"/>
    <w:rsid w:val="00B33A5A"/>
    <w:rsid w:val="00B33B22"/>
    <w:rsid w:val="00B34009"/>
    <w:rsid w:val="00B34263"/>
    <w:rsid w:val="00B34445"/>
    <w:rsid w:val="00B346C4"/>
    <w:rsid w:val="00B34781"/>
    <w:rsid w:val="00B34985"/>
    <w:rsid w:val="00B349D7"/>
    <w:rsid w:val="00B34B63"/>
    <w:rsid w:val="00B34D2F"/>
    <w:rsid w:val="00B3585E"/>
    <w:rsid w:val="00B35AF0"/>
    <w:rsid w:val="00B35E80"/>
    <w:rsid w:val="00B3601F"/>
    <w:rsid w:val="00B364BC"/>
    <w:rsid w:val="00B36E36"/>
    <w:rsid w:val="00B36FEC"/>
    <w:rsid w:val="00B370DB"/>
    <w:rsid w:val="00B400FC"/>
    <w:rsid w:val="00B401B9"/>
    <w:rsid w:val="00B40356"/>
    <w:rsid w:val="00B40C95"/>
    <w:rsid w:val="00B40D08"/>
    <w:rsid w:val="00B4103C"/>
    <w:rsid w:val="00B41202"/>
    <w:rsid w:val="00B413A3"/>
    <w:rsid w:val="00B41544"/>
    <w:rsid w:val="00B41689"/>
    <w:rsid w:val="00B41837"/>
    <w:rsid w:val="00B41DC1"/>
    <w:rsid w:val="00B430A0"/>
    <w:rsid w:val="00B43234"/>
    <w:rsid w:val="00B433D5"/>
    <w:rsid w:val="00B4377C"/>
    <w:rsid w:val="00B43ACB"/>
    <w:rsid w:val="00B44195"/>
    <w:rsid w:val="00B4436C"/>
    <w:rsid w:val="00B444EA"/>
    <w:rsid w:val="00B44DA7"/>
    <w:rsid w:val="00B44E5E"/>
    <w:rsid w:val="00B45A19"/>
    <w:rsid w:val="00B45D0A"/>
    <w:rsid w:val="00B45F00"/>
    <w:rsid w:val="00B4613A"/>
    <w:rsid w:val="00B4614A"/>
    <w:rsid w:val="00B46B9F"/>
    <w:rsid w:val="00B4772D"/>
    <w:rsid w:val="00B47EFC"/>
    <w:rsid w:val="00B5038A"/>
    <w:rsid w:val="00B5052B"/>
    <w:rsid w:val="00B5085A"/>
    <w:rsid w:val="00B508DE"/>
    <w:rsid w:val="00B50933"/>
    <w:rsid w:val="00B50FD6"/>
    <w:rsid w:val="00B5154A"/>
    <w:rsid w:val="00B51595"/>
    <w:rsid w:val="00B51D4B"/>
    <w:rsid w:val="00B51E66"/>
    <w:rsid w:val="00B521A0"/>
    <w:rsid w:val="00B5257E"/>
    <w:rsid w:val="00B5271C"/>
    <w:rsid w:val="00B52859"/>
    <w:rsid w:val="00B52B94"/>
    <w:rsid w:val="00B52C95"/>
    <w:rsid w:val="00B531A7"/>
    <w:rsid w:val="00B53390"/>
    <w:rsid w:val="00B5378C"/>
    <w:rsid w:val="00B53BF1"/>
    <w:rsid w:val="00B53C33"/>
    <w:rsid w:val="00B53E0D"/>
    <w:rsid w:val="00B54014"/>
    <w:rsid w:val="00B542E0"/>
    <w:rsid w:val="00B54591"/>
    <w:rsid w:val="00B54742"/>
    <w:rsid w:val="00B54B6A"/>
    <w:rsid w:val="00B54E3A"/>
    <w:rsid w:val="00B54FD7"/>
    <w:rsid w:val="00B5508A"/>
    <w:rsid w:val="00B5525E"/>
    <w:rsid w:val="00B5566A"/>
    <w:rsid w:val="00B557F1"/>
    <w:rsid w:val="00B558B5"/>
    <w:rsid w:val="00B55DC1"/>
    <w:rsid w:val="00B56D18"/>
    <w:rsid w:val="00B57984"/>
    <w:rsid w:val="00B57AC3"/>
    <w:rsid w:val="00B57C8E"/>
    <w:rsid w:val="00B57EEC"/>
    <w:rsid w:val="00B60094"/>
    <w:rsid w:val="00B60770"/>
    <w:rsid w:val="00B607B1"/>
    <w:rsid w:val="00B60A43"/>
    <w:rsid w:val="00B60B7A"/>
    <w:rsid w:val="00B60F9F"/>
    <w:rsid w:val="00B61204"/>
    <w:rsid w:val="00B61D33"/>
    <w:rsid w:val="00B6244B"/>
    <w:rsid w:val="00B6246E"/>
    <w:rsid w:val="00B62E84"/>
    <w:rsid w:val="00B62EEE"/>
    <w:rsid w:val="00B63063"/>
    <w:rsid w:val="00B6313A"/>
    <w:rsid w:val="00B631F9"/>
    <w:rsid w:val="00B63361"/>
    <w:rsid w:val="00B6375D"/>
    <w:rsid w:val="00B63C3A"/>
    <w:rsid w:val="00B63EBC"/>
    <w:rsid w:val="00B64054"/>
    <w:rsid w:val="00B64170"/>
    <w:rsid w:val="00B64537"/>
    <w:rsid w:val="00B6513A"/>
    <w:rsid w:val="00B651BC"/>
    <w:rsid w:val="00B65345"/>
    <w:rsid w:val="00B6561C"/>
    <w:rsid w:val="00B65AC3"/>
    <w:rsid w:val="00B662B8"/>
    <w:rsid w:val="00B66672"/>
    <w:rsid w:val="00B66BAC"/>
    <w:rsid w:val="00B66CC4"/>
    <w:rsid w:val="00B66DA0"/>
    <w:rsid w:val="00B67885"/>
    <w:rsid w:val="00B67B42"/>
    <w:rsid w:val="00B67C05"/>
    <w:rsid w:val="00B67F8D"/>
    <w:rsid w:val="00B67F9E"/>
    <w:rsid w:val="00B7026C"/>
    <w:rsid w:val="00B705F2"/>
    <w:rsid w:val="00B70A46"/>
    <w:rsid w:val="00B7104C"/>
    <w:rsid w:val="00B71CDF"/>
    <w:rsid w:val="00B71D48"/>
    <w:rsid w:val="00B727D5"/>
    <w:rsid w:val="00B727DD"/>
    <w:rsid w:val="00B729AD"/>
    <w:rsid w:val="00B72A87"/>
    <w:rsid w:val="00B72B66"/>
    <w:rsid w:val="00B72CBD"/>
    <w:rsid w:val="00B72CBF"/>
    <w:rsid w:val="00B73087"/>
    <w:rsid w:val="00B73B8E"/>
    <w:rsid w:val="00B7431A"/>
    <w:rsid w:val="00B7437E"/>
    <w:rsid w:val="00B7464B"/>
    <w:rsid w:val="00B7481D"/>
    <w:rsid w:val="00B74C3F"/>
    <w:rsid w:val="00B74E7C"/>
    <w:rsid w:val="00B74FA2"/>
    <w:rsid w:val="00B7529F"/>
    <w:rsid w:val="00B752FA"/>
    <w:rsid w:val="00B75471"/>
    <w:rsid w:val="00B76149"/>
    <w:rsid w:val="00B7619F"/>
    <w:rsid w:val="00B76647"/>
    <w:rsid w:val="00B76727"/>
    <w:rsid w:val="00B767BC"/>
    <w:rsid w:val="00B7686C"/>
    <w:rsid w:val="00B76D7E"/>
    <w:rsid w:val="00B77886"/>
    <w:rsid w:val="00B80DCD"/>
    <w:rsid w:val="00B80EB0"/>
    <w:rsid w:val="00B81066"/>
    <w:rsid w:val="00B8106E"/>
    <w:rsid w:val="00B8113F"/>
    <w:rsid w:val="00B81387"/>
    <w:rsid w:val="00B8140D"/>
    <w:rsid w:val="00B818DF"/>
    <w:rsid w:val="00B8195A"/>
    <w:rsid w:val="00B82074"/>
    <w:rsid w:val="00B8231A"/>
    <w:rsid w:val="00B825F7"/>
    <w:rsid w:val="00B827C8"/>
    <w:rsid w:val="00B829D5"/>
    <w:rsid w:val="00B82AF1"/>
    <w:rsid w:val="00B83F4E"/>
    <w:rsid w:val="00B84199"/>
    <w:rsid w:val="00B84BBC"/>
    <w:rsid w:val="00B855C2"/>
    <w:rsid w:val="00B85CC3"/>
    <w:rsid w:val="00B85E25"/>
    <w:rsid w:val="00B86605"/>
    <w:rsid w:val="00B86703"/>
    <w:rsid w:val="00B867EB"/>
    <w:rsid w:val="00B86AA5"/>
    <w:rsid w:val="00B86CD2"/>
    <w:rsid w:val="00B87594"/>
    <w:rsid w:val="00B879E5"/>
    <w:rsid w:val="00B87E81"/>
    <w:rsid w:val="00B90151"/>
    <w:rsid w:val="00B90425"/>
    <w:rsid w:val="00B904E5"/>
    <w:rsid w:val="00B90521"/>
    <w:rsid w:val="00B90C60"/>
    <w:rsid w:val="00B910FA"/>
    <w:rsid w:val="00B91482"/>
    <w:rsid w:val="00B917F7"/>
    <w:rsid w:val="00B91948"/>
    <w:rsid w:val="00B921F8"/>
    <w:rsid w:val="00B9246B"/>
    <w:rsid w:val="00B92494"/>
    <w:rsid w:val="00B927E8"/>
    <w:rsid w:val="00B92835"/>
    <w:rsid w:val="00B92E4E"/>
    <w:rsid w:val="00B9322E"/>
    <w:rsid w:val="00B9334A"/>
    <w:rsid w:val="00B9343C"/>
    <w:rsid w:val="00B93568"/>
    <w:rsid w:val="00B9383F"/>
    <w:rsid w:val="00B93AD5"/>
    <w:rsid w:val="00B93F8F"/>
    <w:rsid w:val="00B9429E"/>
    <w:rsid w:val="00B94476"/>
    <w:rsid w:val="00B9548C"/>
    <w:rsid w:val="00B95D70"/>
    <w:rsid w:val="00B95F27"/>
    <w:rsid w:val="00B96465"/>
    <w:rsid w:val="00B96730"/>
    <w:rsid w:val="00B968FF"/>
    <w:rsid w:val="00B96A19"/>
    <w:rsid w:val="00B96E71"/>
    <w:rsid w:val="00B9700A"/>
    <w:rsid w:val="00B9722C"/>
    <w:rsid w:val="00B9795E"/>
    <w:rsid w:val="00B97961"/>
    <w:rsid w:val="00B97B48"/>
    <w:rsid w:val="00B97E93"/>
    <w:rsid w:val="00BA022B"/>
    <w:rsid w:val="00BA0BF7"/>
    <w:rsid w:val="00BA0F0E"/>
    <w:rsid w:val="00BA1439"/>
    <w:rsid w:val="00BA1792"/>
    <w:rsid w:val="00BA1D82"/>
    <w:rsid w:val="00BA230F"/>
    <w:rsid w:val="00BA2339"/>
    <w:rsid w:val="00BA2797"/>
    <w:rsid w:val="00BA2868"/>
    <w:rsid w:val="00BA2BDD"/>
    <w:rsid w:val="00BA3A58"/>
    <w:rsid w:val="00BA3D49"/>
    <w:rsid w:val="00BA3D5F"/>
    <w:rsid w:val="00BA4660"/>
    <w:rsid w:val="00BA46E8"/>
    <w:rsid w:val="00BA4BAF"/>
    <w:rsid w:val="00BA4C50"/>
    <w:rsid w:val="00BA52E1"/>
    <w:rsid w:val="00BA59E9"/>
    <w:rsid w:val="00BA5DD4"/>
    <w:rsid w:val="00BA6194"/>
    <w:rsid w:val="00BA6449"/>
    <w:rsid w:val="00BA6C7B"/>
    <w:rsid w:val="00BA6D84"/>
    <w:rsid w:val="00BA71A3"/>
    <w:rsid w:val="00BA722B"/>
    <w:rsid w:val="00BA7A58"/>
    <w:rsid w:val="00BB0A16"/>
    <w:rsid w:val="00BB1B41"/>
    <w:rsid w:val="00BB1CBB"/>
    <w:rsid w:val="00BB1D40"/>
    <w:rsid w:val="00BB1E83"/>
    <w:rsid w:val="00BB215D"/>
    <w:rsid w:val="00BB2285"/>
    <w:rsid w:val="00BB24E8"/>
    <w:rsid w:val="00BB2850"/>
    <w:rsid w:val="00BB28D8"/>
    <w:rsid w:val="00BB3A1B"/>
    <w:rsid w:val="00BB3B78"/>
    <w:rsid w:val="00BB3C23"/>
    <w:rsid w:val="00BB3F12"/>
    <w:rsid w:val="00BB4444"/>
    <w:rsid w:val="00BB4DF4"/>
    <w:rsid w:val="00BB586A"/>
    <w:rsid w:val="00BB5AE7"/>
    <w:rsid w:val="00BB5B69"/>
    <w:rsid w:val="00BB5BCB"/>
    <w:rsid w:val="00BB5CAA"/>
    <w:rsid w:val="00BB6790"/>
    <w:rsid w:val="00BB69A0"/>
    <w:rsid w:val="00BB6C83"/>
    <w:rsid w:val="00BB6D5D"/>
    <w:rsid w:val="00BB73DF"/>
    <w:rsid w:val="00BB749E"/>
    <w:rsid w:val="00BB7857"/>
    <w:rsid w:val="00BB7A24"/>
    <w:rsid w:val="00BC0657"/>
    <w:rsid w:val="00BC0C8E"/>
    <w:rsid w:val="00BC0E54"/>
    <w:rsid w:val="00BC155E"/>
    <w:rsid w:val="00BC1856"/>
    <w:rsid w:val="00BC18B4"/>
    <w:rsid w:val="00BC2429"/>
    <w:rsid w:val="00BC245E"/>
    <w:rsid w:val="00BC25E0"/>
    <w:rsid w:val="00BC28D6"/>
    <w:rsid w:val="00BC2974"/>
    <w:rsid w:val="00BC2EAA"/>
    <w:rsid w:val="00BC446B"/>
    <w:rsid w:val="00BC4693"/>
    <w:rsid w:val="00BC4AAD"/>
    <w:rsid w:val="00BC4BF8"/>
    <w:rsid w:val="00BC5304"/>
    <w:rsid w:val="00BC53DA"/>
    <w:rsid w:val="00BC55F0"/>
    <w:rsid w:val="00BC55F1"/>
    <w:rsid w:val="00BC56FD"/>
    <w:rsid w:val="00BC5924"/>
    <w:rsid w:val="00BC5A3D"/>
    <w:rsid w:val="00BC5EB1"/>
    <w:rsid w:val="00BC5F34"/>
    <w:rsid w:val="00BC6092"/>
    <w:rsid w:val="00BC6311"/>
    <w:rsid w:val="00BC6317"/>
    <w:rsid w:val="00BC648D"/>
    <w:rsid w:val="00BC6A12"/>
    <w:rsid w:val="00BC7431"/>
    <w:rsid w:val="00BC769E"/>
    <w:rsid w:val="00BC76AF"/>
    <w:rsid w:val="00BC7883"/>
    <w:rsid w:val="00BC7A58"/>
    <w:rsid w:val="00BC7ABA"/>
    <w:rsid w:val="00BC7B29"/>
    <w:rsid w:val="00BC7E41"/>
    <w:rsid w:val="00BD025F"/>
    <w:rsid w:val="00BD0EC1"/>
    <w:rsid w:val="00BD102D"/>
    <w:rsid w:val="00BD1062"/>
    <w:rsid w:val="00BD12AF"/>
    <w:rsid w:val="00BD13B8"/>
    <w:rsid w:val="00BD13DA"/>
    <w:rsid w:val="00BD1A44"/>
    <w:rsid w:val="00BD1AA6"/>
    <w:rsid w:val="00BD1AFA"/>
    <w:rsid w:val="00BD1E17"/>
    <w:rsid w:val="00BD201F"/>
    <w:rsid w:val="00BD22FB"/>
    <w:rsid w:val="00BD2842"/>
    <w:rsid w:val="00BD2880"/>
    <w:rsid w:val="00BD28E3"/>
    <w:rsid w:val="00BD3596"/>
    <w:rsid w:val="00BD3AD6"/>
    <w:rsid w:val="00BD3D5A"/>
    <w:rsid w:val="00BD4131"/>
    <w:rsid w:val="00BD4671"/>
    <w:rsid w:val="00BD4DD9"/>
    <w:rsid w:val="00BD50AF"/>
    <w:rsid w:val="00BD5123"/>
    <w:rsid w:val="00BD519C"/>
    <w:rsid w:val="00BD57ED"/>
    <w:rsid w:val="00BD580D"/>
    <w:rsid w:val="00BD59C3"/>
    <w:rsid w:val="00BD6549"/>
    <w:rsid w:val="00BD6719"/>
    <w:rsid w:val="00BD680E"/>
    <w:rsid w:val="00BD70D9"/>
    <w:rsid w:val="00BD723D"/>
    <w:rsid w:val="00BD7457"/>
    <w:rsid w:val="00BD7499"/>
    <w:rsid w:val="00BD7CD5"/>
    <w:rsid w:val="00BD7D66"/>
    <w:rsid w:val="00BD7DF5"/>
    <w:rsid w:val="00BE02D7"/>
    <w:rsid w:val="00BE03A4"/>
    <w:rsid w:val="00BE051F"/>
    <w:rsid w:val="00BE0520"/>
    <w:rsid w:val="00BE065B"/>
    <w:rsid w:val="00BE06A2"/>
    <w:rsid w:val="00BE089D"/>
    <w:rsid w:val="00BE1044"/>
    <w:rsid w:val="00BE13B8"/>
    <w:rsid w:val="00BE1461"/>
    <w:rsid w:val="00BE146E"/>
    <w:rsid w:val="00BE148F"/>
    <w:rsid w:val="00BE1528"/>
    <w:rsid w:val="00BE1619"/>
    <w:rsid w:val="00BE16BF"/>
    <w:rsid w:val="00BE186D"/>
    <w:rsid w:val="00BE18EB"/>
    <w:rsid w:val="00BE1D65"/>
    <w:rsid w:val="00BE1DF2"/>
    <w:rsid w:val="00BE2074"/>
    <w:rsid w:val="00BE2571"/>
    <w:rsid w:val="00BE298C"/>
    <w:rsid w:val="00BE2BFA"/>
    <w:rsid w:val="00BE2DEA"/>
    <w:rsid w:val="00BE2F3B"/>
    <w:rsid w:val="00BE3332"/>
    <w:rsid w:val="00BE33F4"/>
    <w:rsid w:val="00BE3803"/>
    <w:rsid w:val="00BE383D"/>
    <w:rsid w:val="00BE398B"/>
    <w:rsid w:val="00BE3B1D"/>
    <w:rsid w:val="00BE3C30"/>
    <w:rsid w:val="00BE3C52"/>
    <w:rsid w:val="00BE3EC5"/>
    <w:rsid w:val="00BE4025"/>
    <w:rsid w:val="00BE4557"/>
    <w:rsid w:val="00BE47EB"/>
    <w:rsid w:val="00BE498D"/>
    <w:rsid w:val="00BE4AE7"/>
    <w:rsid w:val="00BE4D26"/>
    <w:rsid w:val="00BE5108"/>
    <w:rsid w:val="00BE5191"/>
    <w:rsid w:val="00BE5557"/>
    <w:rsid w:val="00BE56F3"/>
    <w:rsid w:val="00BE583D"/>
    <w:rsid w:val="00BE5882"/>
    <w:rsid w:val="00BE5BAC"/>
    <w:rsid w:val="00BE5BB2"/>
    <w:rsid w:val="00BE5CC0"/>
    <w:rsid w:val="00BE5FCD"/>
    <w:rsid w:val="00BE647C"/>
    <w:rsid w:val="00BE6B50"/>
    <w:rsid w:val="00BE7000"/>
    <w:rsid w:val="00BE7042"/>
    <w:rsid w:val="00BE70DA"/>
    <w:rsid w:val="00BE7677"/>
    <w:rsid w:val="00BE7735"/>
    <w:rsid w:val="00BE7C31"/>
    <w:rsid w:val="00BE7D9D"/>
    <w:rsid w:val="00BE7E7C"/>
    <w:rsid w:val="00BF027F"/>
    <w:rsid w:val="00BF04F9"/>
    <w:rsid w:val="00BF075F"/>
    <w:rsid w:val="00BF084B"/>
    <w:rsid w:val="00BF0910"/>
    <w:rsid w:val="00BF0C95"/>
    <w:rsid w:val="00BF15CE"/>
    <w:rsid w:val="00BF1947"/>
    <w:rsid w:val="00BF2201"/>
    <w:rsid w:val="00BF221B"/>
    <w:rsid w:val="00BF266D"/>
    <w:rsid w:val="00BF2671"/>
    <w:rsid w:val="00BF2703"/>
    <w:rsid w:val="00BF2FE5"/>
    <w:rsid w:val="00BF3023"/>
    <w:rsid w:val="00BF334D"/>
    <w:rsid w:val="00BF33C0"/>
    <w:rsid w:val="00BF34C5"/>
    <w:rsid w:val="00BF38A0"/>
    <w:rsid w:val="00BF3CA4"/>
    <w:rsid w:val="00BF4042"/>
    <w:rsid w:val="00BF460C"/>
    <w:rsid w:val="00BF46DC"/>
    <w:rsid w:val="00BF4736"/>
    <w:rsid w:val="00BF5171"/>
    <w:rsid w:val="00BF55FD"/>
    <w:rsid w:val="00BF5F11"/>
    <w:rsid w:val="00BF61AF"/>
    <w:rsid w:val="00BF61F0"/>
    <w:rsid w:val="00BF640F"/>
    <w:rsid w:val="00BF649A"/>
    <w:rsid w:val="00BF6B16"/>
    <w:rsid w:val="00BF6CF3"/>
    <w:rsid w:val="00BF6E5F"/>
    <w:rsid w:val="00BF6EF0"/>
    <w:rsid w:val="00BF772A"/>
    <w:rsid w:val="00BF7A20"/>
    <w:rsid w:val="00BF7A71"/>
    <w:rsid w:val="00BF7F85"/>
    <w:rsid w:val="00C00103"/>
    <w:rsid w:val="00C008A5"/>
    <w:rsid w:val="00C00F35"/>
    <w:rsid w:val="00C01023"/>
    <w:rsid w:val="00C01120"/>
    <w:rsid w:val="00C01275"/>
    <w:rsid w:val="00C014CC"/>
    <w:rsid w:val="00C01881"/>
    <w:rsid w:val="00C01C0B"/>
    <w:rsid w:val="00C020A8"/>
    <w:rsid w:val="00C020E4"/>
    <w:rsid w:val="00C02830"/>
    <w:rsid w:val="00C02CD7"/>
    <w:rsid w:val="00C039F4"/>
    <w:rsid w:val="00C03A30"/>
    <w:rsid w:val="00C04AA5"/>
    <w:rsid w:val="00C04B26"/>
    <w:rsid w:val="00C04CD2"/>
    <w:rsid w:val="00C0504C"/>
    <w:rsid w:val="00C05181"/>
    <w:rsid w:val="00C05403"/>
    <w:rsid w:val="00C056F5"/>
    <w:rsid w:val="00C058A6"/>
    <w:rsid w:val="00C059A3"/>
    <w:rsid w:val="00C05B69"/>
    <w:rsid w:val="00C05C08"/>
    <w:rsid w:val="00C05C55"/>
    <w:rsid w:val="00C063C8"/>
    <w:rsid w:val="00C063E2"/>
    <w:rsid w:val="00C066BC"/>
    <w:rsid w:val="00C06716"/>
    <w:rsid w:val="00C067BB"/>
    <w:rsid w:val="00C07069"/>
    <w:rsid w:val="00C0722B"/>
    <w:rsid w:val="00C07629"/>
    <w:rsid w:val="00C07920"/>
    <w:rsid w:val="00C07E2C"/>
    <w:rsid w:val="00C1041D"/>
    <w:rsid w:val="00C10626"/>
    <w:rsid w:val="00C1070C"/>
    <w:rsid w:val="00C11115"/>
    <w:rsid w:val="00C111DC"/>
    <w:rsid w:val="00C1136B"/>
    <w:rsid w:val="00C11489"/>
    <w:rsid w:val="00C11BBD"/>
    <w:rsid w:val="00C11BE4"/>
    <w:rsid w:val="00C11EA1"/>
    <w:rsid w:val="00C1228D"/>
    <w:rsid w:val="00C1247D"/>
    <w:rsid w:val="00C12516"/>
    <w:rsid w:val="00C128A8"/>
    <w:rsid w:val="00C130A9"/>
    <w:rsid w:val="00C13632"/>
    <w:rsid w:val="00C13CC8"/>
    <w:rsid w:val="00C13E1A"/>
    <w:rsid w:val="00C14454"/>
    <w:rsid w:val="00C14587"/>
    <w:rsid w:val="00C148F1"/>
    <w:rsid w:val="00C14E3F"/>
    <w:rsid w:val="00C15017"/>
    <w:rsid w:val="00C151E4"/>
    <w:rsid w:val="00C153AB"/>
    <w:rsid w:val="00C15B4A"/>
    <w:rsid w:val="00C15E4D"/>
    <w:rsid w:val="00C16152"/>
    <w:rsid w:val="00C161A1"/>
    <w:rsid w:val="00C162BF"/>
    <w:rsid w:val="00C16999"/>
    <w:rsid w:val="00C16CD4"/>
    <w:rsid w:val="00C170A8"/>
    <w:rsid w:val="00C17762"/>
    <w:rsid w:val="00C1784B"/>
    <w:rsid w:val="00C17D7E"/>
    <w:rsid w:val="00C202DB"/>
    <w:rsid w:val="00C207EE"/>
    <w:rsid w:val="00C20991"/>
    <w:rsid w:val="00C209C7"/>
    <w:rsid w:val="00C20A6B"/>
    <w:rsid w:val="00C20CDA"/>
    <w:rsid w:val="00C215B0"/>
    <w:rsid w:val="00C219BE"/>
    <w:rsid w:val="00C21B25"/>
    <w:rsid w:val="00C21D9A"/>
    <w:rsid w:val="00C21DAE"/>
    <w:rsid w:val="00C21EF2"/>
    <w:rsid w:val="00C22255"/>
    <w:rsid w:val="00C223CB"/>
    <w:rsid w:val="00C22709"/>
    <w:rsid w:val="00C228AA"/>
    <w:rsid w:val="00C22EE7"/>
    <w:rsid w:val="00C2300B"/>
    <w:rsid w:val="00C2305F"/>
    <w:rsid w:val="00C230C1"/>
    <w:rsid w:val="00C23905"/>
    <w:rsid w:val="00C23A11"/>
    <w:rsid w:val="00C23B6F"/>
    <w:rsid w:val="00C23D40"/>
    <w:rsid w:val="00C23E39"/>
    <w:rsid w:val="00C23F78"/>
    <w:rsid w:val="00C2404C"/>
    <w:rsid w:val="00C241EA"/>
    <w:rsid w:val="00C2422C"/>
    <w:rsid w:val="00C2489A"/>
    <w:rsid w:val="00C2493E"/>
    <w:rsid w:val="00C24949"/>
    <w:rsid w:val="00C254A3"/>
    <w:rsid w:val="00C255D8"/>
    <w:rsid w:val="00C25BF0"/>
    <w:rsid w:val="00C26462"/>
    <w:rsid w:val="00C266D6"/>
    <w:rsid w:val="00C269A0"/>
    <w:rsid w:val="00C269C4"/>
    <w:rsid w:val="00C26D6B"/>
    <w:rsid w:val="00C2710C"/>
    <w:rsid w:val="00C2785F"/>
    <w:rsid w:val="00C300F6"/>
    <w:rsid w:val="00C30F47"/>
    <w:rsid w:val="00C30F9E"/>
    <w:rsid w:val="00C311F2"/>
    <w:rsid w:val="00C31B32"/>
    <w:rsid w:val="00C31D0A"/>
    <w:rsid w:val="00C32A76"/>
    <w:rsid w:val="00C32FB5"/>
    <w:rsid w:val="00C331E0"/>
    <w:rsid w:val="00C33306"/>
    <w:rsid w:val="00C33835"/>
    <w:rsid w:val="00C33FCB"/>
    <w:rsid w:val="00C344BF"/>
    <w:rsid w:val="00C344F0"/>
    <w:rsid w:val="00C34F89"/>
    <w:rsid w:val="00C3515E"/>
    <w:rsid w:val="00C35240"/>
    <w:rsid w:val="00C358E9"/>
    <w:rsid w:val="00C35CC6"/>
    <w:rsid w:val="00C365A7"/>
    <w:rsid w:val="00C365F9"/>
    <w:rsid w:val="00C36AB8"/>
    <w:rsid w:val="00C3733F"/>
    <w:rsid w:val="00C37423"/>
    <w:rsid w:val="00C37430"/>
    <w:rsid w:val="00C3746B"/>
    <w:rsid w:val="00C37942"/>
    <w:rsid w:val="00C37DBD"/>
    <w:rsid w:val="00C4001C"/>
    <w:rsid w:val="00C40241"/>
    <w:rsid w:val="00C403EC"/>
    <w:rsid w:val="00C40481"/>
    <w:rsid w:val="00C4078E"/>
    <w:rsid w:val="00C412BA"/>
    <w:rsid w:val="00C416B6"/>
    <w:rsid w:val="00C41F2D"/>
    <w:rsid w:val="00C42257"/>
    <w:rsid w:val="00C422D2"/>
    <w:rsid w:val="00C42F54"/>
    <w:rsid w:val="00C43860"/>
    <w:rsid w:val="00C4402B"/>
    <w:rsid w:val="00C443E9"/>
    <w:rsid w:val="00C44421"/>
    <w:rsid w:val="00C44BC7"/>
    <w:rsid w:val="00C44D0E"/>
    <w:rsid w:val="00C44D32"/>
    <w:rsid w:val="00C44D9D"/>
    <w:rsid w:val="00C4544E"/>
    <w:rsid w:val="00C454B9"/>
    <w:rsid w:val="00C4554C"/>
    <w:rsid w:val="00C46393"/>
    <w:rsid w:val="00C4684B"/>
    <w:rsid w:val="00C4715A"/>
    <w:rsid w:val="00C47195"/>
    <w:rsid w:val="00C471B8"/>
    <w:rsid w:val="00C47280"/>
    <w:rsid w:val="00C47481"/>
    <w:rsid w:val="00C503D0"/>
    <w:rsid w:val="00C50734"/>
    <w:rsid w:val="00C50FBC"/>
    <w:rsid w:val="00C51019"/>
    <w:rsid w:val="00C5196B"/>
    <w:rsid w:val="00C519E6"/>
    <w:rsid w:val="00C51C77"/>
    <w:rsid w:val="00C51E84"/>
    <w:rsid w:val="00C5219A"/>
    <w:rsid w:val="00C52761"/>
    <w:rsid w:val="00C52836"/>
    <w:rsid w:val="00C52ADD"/>
    <w:rsid w:val="00C52E46"/>
    <w:rsid w:val="00C5422B"/>
    <w:rsid w:val="00C542F3"/>
    <w:rsid w:val="00C5448D"/>
    <w:rsid w:val="00C54491"/>
    <w:rsid w:val="00C54502"/>
    <w:rsid w:val="00C54840"/>
    <w:rsid w:val="00C548CB"/>
    <w:rsid w:val="00C54A56"/>
    <w:rsid w:val="00C54D35"/>
    <w:rsid w:val="00C55BC2"/>
    <w:rsid w:val="00C55C4A"/>
    <w:rsid w:val="00C5603B"/>
    <w:rsid w:val="00C564F1"/>
    <w:rsid w:val="00C5679D"/>
    <w:rsid w:val="00C56C17"/>
    <w:rsid w:val="00C5719F"/>
    <w:rsid w:val="00C57376"/>
    <w:rsid w:val="00C574BA"/>
    <w:rsid w:val="00C5761B"/>
    <w:rsid w:val="00C5776C"/>
    <w:rsid w:val="00C57B1A"/>
    <w:rsid w:val="00C607A1"/>
    <w:rsid w:val="00C60B98"/>
    <w:rsid w:val="00C610E5"/>
    <w:rsid w:val="00C611AF"/>
    <w:rsid w:val="00C61348"/>
    <w:rsid w:val="00C61351"/>
    <w:rsid w:val="00C615D4"/>
    <w:rsid w:val="00C61E3F"/>
    <w:rsid w:val="00C61FCB"/>
    <w:rsid w:val="00C62668"/>
    <w:rsid w:val="00C62E83"/>
    <w:rsid w:val="00C63015"/>
    <w:rsid w:val="00C634C1"/>
    <w:rsid w:val="00C6355D"/>
    <w:rsid w:val="00C636C3"/>
    <w:rsid w:val="00C63793"/>
    <w:rsid w:val="00C63BDD"/>
    <w:rsid w:val="00C63FB1"/>
    <w:rsid w:val="00C64038"/>
    <w:rsid w:val="00C642A1"/>
    <w:rsid w:val="00C642BF"/>
    <w:rsid w:val="00C6444B"/>
    <w:rsid w:val="00C6475B"/>
    <w:rsid w:val="00C64DE6"/>
    <w:rsid w:val="00C652A5"/>
    <w:rsid w:val="00C65637"/>
    <w:rsid w:val="00C6575F"/>
    <w:rsid w:val="00C657F7"/>
    <w:rsid w:val="00C65991"/>
    <w:rsid w:val="00C659D2"/>
    <w:rsid w:val="00C65FB2"/>
    <w:rsid w:val="00C66231"/>
    <w:rsid w:val="00C669D9"/>
    <w:rsid w:val="00C66C19"/>
    <w:rsid w:val="00C67323"/>
    <w:rsid w:val="00C67DB9"/>
    <w:rsid w:val="00C67E05"/>
    <w:rsid w:val="00C67ECF"/>
    <w:rsid w:val="00C70290"/>
    <w:rsid w:val="00C70593"/>
    <w:rsid w:val="00C70820"/>
    <w:rsid w:val="00C708A9"/>
    <w:rsid w:val="00C718CF"/>
    <w:rsid w:val="00C71AF4"/>
    <w:rsid w:val="00C71C91"/>
    <w:rsid w:val="00C71F3D"/>
    <w:rsid w:val="00C72543"/>
    <w:rsid w:val="00C726E3"/>
    <w:rsid w:val="00C72973"/>
    <w:rsid w:val="00C72E5B"/>
    <w:rsid w:val="00C733BF"/>
    <w:rsid w:val="00C73608"/>
    <w:rsid w:val="00C73F45"/>
    <w:rsid w:val="00C7425C"/>
    <w:rsid w:val="00C7433D"/>
    <w:rsid w:val="00C74529"/>
    <w:rsid w:val="00C74E14"/>
    <w:rsid w:val="00C74E8C"/>
    <w:rsid w:val="00C75337"/>
    <w:rsid w:val="00C753F9"/>
    <w:rsid w:val="00C755FA"/>
    <w:rsid w:val="00C7566B"/>
    <w:rsid w:val="00C75EAF"/>
    <w:rsid w:val="00C761FB"/>
    <w:rsid w:val="00C764E7"/>
    <w:rsid w:val="00C76AB5"/>
    <w:rsid w:val="00C7711A"/>
    <w:rsid w:val="00C771E7"/>
    <w:rsid w:val="00C7744F"/>
    <w:rsid w:val="00C77489"/>
    <w:rsid w:val="00C77B59"/>
    <w:rsid w:val="00C77D4A"/>
    <w:rsid w:val="00C77F8F"/>
    <w:rsid w:val="00C77FD1"/>
    <w:rsid w:val="00C809EA"/>
    <w:rsid w:val="00C80C18"/>
    <w:rsid w:val="00C80D8A"/>
    <w:rsid w:val="00C80F73"/>
    <w:rsid w:val="00C811EF"/>
    <w:rsid w:val="00C81325"/>
    <w:rsid w:val="00C817F5"/>
    <w:rsid w:val="00C81909"/>
    <w:rsid w:val="00C8197C"/>
    <w:rsid w:val="00C81AC5"/>
    <w:rsid w:val="00C81CCA"/>
    <w:rsid w:val="00C821A3"/>
    <w:rsid w:val="00C82279"/>
    <w:rsid w:val="00C82A49"/>
    <w:rsid w:val="00C82E5C"/>
    <w:rsid w:val="00C82F55"/>
    <w:rsid w:val="00C832EF"/>
    <w:rsid w:val="00C834D7"/>
    <w:rsid w:val="00C83CF0"/>
    <w:rsid w:val="00C84646"/>
    <w:rsid w:val="00C84740"/>
    <w:rsid w:val="00C84F42"/>
    <w:rsid w:val="00C851E5"/>
    <w:rsid w:val="00C85C05"/>
    <w:rsid w:val="00C86E1F"/>
    <w:rsid w:val="00C86F97"/>
    <w:rsid w:val="00C871CA"/>
    <w:rsid w:val="00C87401"/>
    <w:rsid w:val="00C876B4"/>
    <w:rsid w:val="00C8789B"/>
    <w:rsid w:val="00C879C4"/>
    <w:rsid w:val="00C87CCC"/>
    <w:rsid w:val="00C87D7C"/>
    <w:rsid w:val="00C87DF3"/>
    <w:rsid w:val="00C87E3A"/>
    <w:rsid w:val="00C87E88"/>
    <w:rsid w:val="00C90357"/>
    <w:rsid w:val="00C904E6"/>
    <w:rsid w:val="00C90DAB"/>
    <w:rsid w:val="00C9164E"/>
    <w:rsid w:val="00C9172D"/>
    <w:rsid w:val="00C91800"/>
    <w:rsid w:val="00C91A2E"/>
    <w:rsid w:val="00C91FD9"/>
    <w:rsid w:val="00C92AFE"/>
    <w:rsid w:val="00C930EE"/>
    <w:rsid w:val="00C93207"/>
    <w:rsid w:val="00C932CE"/>
    <w:rsid w:val="00C93673"/>
    <w:rsid w:val="00C93750"/>
    <w:rsid w:val="00C93791"/>
    <w:rsid w:val="00C93F3A"/>
    <w:rsid w:val="00C94040"/>
    <w:rsid w:val="00C940B8"/>
    <w:rsid w:val="00C94275"/>
    <w:rsid w:val="00C943CD"/>
    <w:rsid w:val="00C94E3A"/>
    <w:rsid w:val="00C94F27"/>
    <w:rsid w:val="00C951B7"/>
    <w:rsid w:val="00C95221"/>
    <w:rsid w:val="00C9529A"/>
    <w:rsid w:val="00C9586D"/>
    <w:rsid w:val="00C95DE0"/>
    <w:rsid w:val="00C95E7B"/>
    <w:rsid w:val="00C961FD"/>
    <w:rsid w:val="00C96205"/>
    <w:rsid w:val="00C963EA"/>
    <w:rsid w:val="00C9642A"/>
    <w:rsid w:val="00C96541"/>
    <w:rsid w:val="00C965ED"/>
    <w:rsid w:val="00C96671"/>
    <w:rsid w:val="00C966FA"/>
    <w:rsid w:val="00C9682A"/>
    <w:rsid w:val="00C971E0"/>
    <w:rsid w:val="00C97568"/>
    <w:rsid w:val="00C9784D"/>
    <w:rsid w:val="00CA0881"/>
    <w:rsid w:val="00CA0E03"/>
    <w:rsid w:val="00CA0F08"/>
    <w:rsid w:val="00CA1E4E"/>
    <w:rsid w:val="00CA2308"/>
    <w:rsid w:val="00CA2442"/>
    <w:rsid w:val="00CA255D"/>
    <w:rsid w:val="00CA2C2B"/>
    <w:rsid w:val="00CA316A"/>
    <w:rsid w:val="00CA3388"/>
    <w:rsid w:val="00CA362C"/>
    <w:rsid w:val="00CA36ED"/>
    <w:rsid w:val="00CA38CC"/>
    <w:rsid w:val="00CA3FB3"/>
    <w:rsid w:val="00CA4164"/>
    <w:rsid w:val="00CA4622"/>
    <w:rsid w:val="00CA485A"/>
    <w:rsid w:val="00CA48C2"/>
    <w:rsid w:val="00CA502C"/>
    <w:rsid w:val="00CA5045"/>
    <w:rsid w:val="00CA506A"/>
    <w:rsid w:val="00CA590A"/>
    <w:rsid w:val="00CA5FFD"/>
    <w:rsid w:val="00CA6227"/>
    <w:rsid w:val="00CA6773"/>
    <w:rsid w:val="00CA6F60"/>
    <w:rsid w:val="00CA75FB"/>
    <w:rsid w:val="00CA7B9E"/>
    <w:rsid w:val="00CA7F98"/>
    <w:rsid w:val="00CB0191"/>
    <w:rsid w:val="00CB041F"/>
    <w:rsid w:val="00CB06B2"/>
    <w:rsid w:val="00CB06CF"/>
    <w:rsid w:val="00CB0A26"/>
    <w:rsid w:val="00CB0B34"/>
    <w:rsid w:val="00CB0C9C"/>
    <w:rsid w:val="00CB0E98"/>
    <w:rsid w:val="00CB1379"/>
    <w:rsid w:val="00CB146D"/>
    <w:rsid w:val="00CB183E"/>
    <w:rsid w:val="00CB1D3D"/>
    <w:rsid w:val="00CB28BF"/>
    <w:rsid w:val="00CB2935"/>
    <w:rsid w:val="00CB2B7C"/>
    <w:rsid w:val="00CB2B93"/>
    <w:rsid w:val="00CB2CED"/>
    <w:rsid w:val="00CB2F69"/>
    <w:rsid w:val="00CB2F76"/>
    <w:rsid w:val="00CB371E"/>
    <w:rsid w:val="00CB422A"/>
    <w:rsid w:val="00CB453D"/>
    <w:rsid w:val="00CB4B02"/>
    <w:rsid w:val="00CB4E67"/>
    <w:rsid w:val="00CB52AF"/>
    <w:rsid w:val="00CB541C"/>
    <w:rsid w:val="00CB590A"/>
    <w:rsid w:val="00CB5B82"/>
    <w:rsid w:val="00CB69BD"/>
    <w:rsid w:val="00CB6EB7"/>
    <w:rsid w:val="00CB7252"/>
    <w:rsid w:val="00CB72C2"/>
    <w:rsid w:val="00CB7892"/>
    <w:rsid w:val="00CB7B8C"/>
    <w:rsid w:val="00CB7F67"/>
    <w:rsid w:val="00CC02A5"/>
    <w:rsid w:val="00CC0377"/>
    <w:rsid w:val="00CC08F4"/>
    <w:rsid w:val="00CC116B"/>
    <w:rsid w:val="00CC1274"/>
    <w:rsid w:val="00CC1790"/>
    <w:rsid w:val="00CC196D"/>
    <w:rsid w:val="00CC1CE0"/>
    <w:rsid w:val="00CC1DD6"/>
    <w:rsid w:val="00CC1ECC"/>
    <w:rsid w:val="00CC225C"/>
    <w:rsid w:val="00CC2771"/>
    <w:rsid w:val="00CC2F68"/>
    <w:rsid w:val="00CC3150"/>
    <w:rsid w:val="00CC3438"/>
    <w:rsid w:val="00CC3623"/>
    <w:rsid w:val="00CC3ABD"/>
    <w:rsid w:val="00CC410C"/>
    <w:rsid w:val="00CC477E"/>
    <w:rsid w:val="00CC4A43"/>
    <w:rsid w:val="00CC4F9D"/>
    <w:rsid w:val="00CC4FCC"/>
    <w:rsid w:val="00CC5206"/>
    <w:rsid w:val="00CC5512"/>
    <w:rsid w:val="00CC55A5"/>
    <w:rsid w:val="00CC5C13"/>
    <w:rsid w:val="00CC5CDE"/>
    <w:rsid w:val="00CC6482"/>
    <w:rsid w:val="00CC64E2"/>
    <w:rsid w:val="00CC6D4B"/>
    <w:rsid w:val="00CC76A1"/>
    <w:rsid w:val="00CC7BF1"/>
    <w:rsid w:val="00CC7C8F"/>
    <w:rsid w:val="00CC7DEE"/>
    <w:rsid w:val="00CD0480"/>
    <w:rsid w:val="00CD052F"/>
    <w:rsid w:val="00CD070D"/>
    <w:rsid w:val="00CD0AAF"/>
    <w:rsid w:val="00CD13C4"/>
    <w:rsid w:val="00CD1668"/>
    <w:rsid w:val="00CD17B3"/>
    <w:rsid w:val="00CD1C26"/>
    <w:rsid w:val="00CD2174"/>
    <w:rsid w:val="00CD270B"/>
    <w:rsid w:val="00CD295C"/>
    <w:rsid w:val="00CD3076"/>
    <w:rsid w:val="00CD3737"/>
    <w:rsid w:val="00CD38AB"/>
    <w:rsid w:val="00CD3C2D"/>
    <w:rsid w:val="00CD3C70"/>
    <w:rsid w:val="00CD4297"/>
    <w:rsid w:val="00CD44CF"/>
    <w:rsid w:val="00CD465D"/>
    <w:rsid w:val="00CD482D"/>
    <w:rsid w:val="00CD4AA6"/>
    <w:rsid w:val="00CD4BC6"/>
    <w:rsid w:val="00CD682B"/>
    <w:rsid w:val="00CD6C52"/>
    <w:rsid w:val="00CD6EEB"/>
    <w:rsid w:val="00CD6F7E"/>
    <w:rsid w:val="00CD708F"/>
    <w:rsid w:val="00CD7647"/>
    <w:rsid w:val="00CD7CB4"/>
    <w:rsid w:val="00CD7D81"/>
    <w:rsid w:val="00CD7DC7"/>
    <w:rsid w:val="00CE0839"/>
    <w:rsid w:val="00CE097B"/>
    <w:rsid w:val="00CE0998"/>
    <w:rsid w:val="00CE0BE4"/>
    <w:rsid w:val="00CE1239"/>
    <w:rsid w:val="00CE14F4"/>
    <w:rsid w:val="00CE1559"/>
    <w:rsid w:val="00CE15C0"/>
    <w:rsid w:val="00CE1A67"/>
    <w:rsid w:val="00CE1E53"/>
    <w:rsid w:val="00CE1EBE"/>
    <w:rsid w:val="00CE2373"/>
    <w:rsid w:val="00CE294D"/>
    <w:rsid w:val="00CE2B1E"/>
    <w:rsid w:val="00CE2EF0"/>
    <w:rsid w:val="00CE30F4"/>
    <w:rsid w:val="00CE3182"/>
    <w:rsid w:val="00CE39B7"/>
    <w:rsid w:val="00CE3F24"/>
    <w:rsid w:val="00CE463A"/>
    <w:rsid w:val="00CE4FD7"/>
    <w:rsid w:val="00CE51A2"/>
    <w:rsid w:val="00CE56AE"/>
    <w:rsid w:val="00CE5784"/>
    <w:rsid w:val="00CE5CCA"/>
    <w:rsid w:val="00CE5CDE"/>
    <w:rsid w:val="00CE6249"/>
    <w:rsid w:val="00CE65B6"/>
    <w:rsid w:val="00CE7392"/>
    <w:rsid w:val="00CE73F5"/>
    <w:rsid w:val="00CE7DE6"/>
    <w:rsid w:val="00CE7FEF"/>
    <w:rsid w:val="00CF051B"/>
    <w:rsid w:val="00CF0716"/>
    <w:rsid w:val="00CF0A2B"/>
    <w:rsid w:val="00CF0E38"/>
    <w:rsid w:val="00CF0FAC"/>
    <w:rsid w:val="00CF10CC"/>
    <w:rsid w:val="00CF1282"/>
    <w:rsid w:val="00CF15D2"/>
    <w:rsid w:val="00CF1891"/>
    <w:rsid w:val="00CF189C"/>
    <w:rsid w:val="00CF1A4D"/>
    <w:rsid w:val="00CF1AB0"/>
    <w:rsid w:val="00CF1BBB"/>
    <w:rsid w:val="00CF1C40"/>
    <w:rsid w:val="00CF1CD1"/>
    <w:rsid w:val="00CF20AA"/>
    <w:rsid w:val="00CF2102"/>
    <w:rsid w:val="00CF278B"/>
    <w:rsid w:val="00CF27E5"/>
    <w:rsid w:val="00CF291A"/>
    <w:rsid w:val="00CF2C81"/>
    <w:rsid w:val="00CF346F"/>
    <w:rsid w:val="00CF34CC"/>
    <w:rsid w:val="00CF37DB"/>
    <w:rsid w:val="00CF39F1"/>
    <w:rsid w:val="00CF4448"/>
    <w:rsid w:val="00CF4559"/>
    <w:rsid w:val="00CF460A"/>
    <w:rsid w:val="00CF496C"/>
    <w:rsid w:val="00CF5430"/>
    <w:rsid w:val="00CF5806"/>
    <w:rsid w:val="00CF59E8"/>
    <w:rsid w:val="00CF5A07"/>
    <w:rsid w:val="00CF5C0A"/>
    <w:rsid w:val="00CF5EAE"/>
    <w:rsid w:val="00CF6181"/>
    <w:rsid w:val="00CF653C"/>
    <w:rsid w:val="00CF675A"/>
    <w:rsid w:val="00CF6CE2"/>
    <w:rsid w:val="00CF6F21"/>
    <w:rsid w:val="00CF73FE"/>
    <w:rsid w:val="00CF774E"/>
    <w:rsid w:val="00CF7D49"/>
    <w:rsid w:val="00CF7E66"/>
    <w:rsid w:val="00D00141"/>
    <w:rsid w:val="00D001BB"/>
    <w:rsid w:val="00D001FD"/>
    <w:rsid w:val="00D00A01"/>
    <w:rsid w:val="00D00A2E"/>
    <w:rsid w:val="00D00B49"/>
    <w:rsid w:val="00D00B70"/>
    <w:rsid w:val="00D00F48"/>
    <w:rsid w:val="00D0128C"/>
    <w:rsid w:val="00D01CDF"/>
    <w:rsid w:val="00D02125"/>
    <w:rsid w:val="00D02607"/>
    <w:rsid w:val="00D027EC"/>
    <w:rsid w:val="00D02869"/>
    <w:rsid w:val="00D02D64"/>
    <w:rsid w:val="00D030AE"/>
    <w:rsid w:val="00D037BC"/>
    <w:rsid w:val="00D037CA"/>
    <w:rsid w:val="00D0396F"/>
    <w:rsid w:val="00D039B8"/>
    <w:rsid w:val="00D04151"/>
    <w:rsid w:val="00D0416F"/>
    <w:rsid w:val="00D046EB"/>
    <w:rsid w:val="00D04E1C"/>
    <w:rsid w:val="00D05AD4"/>
    <w:rsid w:val="00D060DF"/>
    <w:rsid w:val="00D066BA"/>
    <w:rsid w:val="00D066D7"/>
    <w:rsid w:val="00D06E4A"/>
    <w:rsid w:val="00D06F71"/>
    <w:rsid w:val="00D07A18"/>
    <w:rsid w:val="00D1026D"/>
    <w:rsid w:val="00D103BB"/>
    <w:rsid w:val="00D10857"/>
    <w:rsid w:val="00D10BBC"/>
    <w:rsid w:val="00D10C32"/>
    <w:rsid w:val="00D11162"/>
    <w:rsid w:val="00D11264"/>
    <w:rsid w:val="00D11328"/>
    <w:rsid w:val="00D11483"/>
    <w:rsid w:val="00D11958"/>
    <w:rsid w:val="00D11A7B"/>
    <w:rsid w:val="00D11BCB"/>
    <w:rsid w:val="00D11C81"/>
    <w:rsid w:val="00D11CB4"/>
    <w:rsid w:val="00D11EFF"/>
    <w:rsid w:val="00D123C0"/>
    <w:rsid w:val="00D128CE"/>
    <w:rsid w:val="00D128D4"/>
    <w:rsid w:val="00D131F4"/>
    <w:rsid w:val="00D136EB"/>
    <w:rsid w:val="00D13A21"/>
    <w:rsid w:val="00D142D6"/>
    <w:rsid w:val="00D14A69"/>
    <w:rsid w:val="00D14C1E"/>
    <w:rsid w:val="00D14D9F"/>
    <w:rsid w:val="00D14F0C"/>
    <w:rsid w:val="00D14FB7"/>
    <w:rsid w:val="00D14FDE"/>
    <w:rsid w:val="00D15407"/>
    <w:rsid w:val="00D154DA"/>
    <w:rsid w:val="00D1566D"/>
    <w:rsid w:val="00D157ED"/>
    <w:rsid w:val="00D15B42"/>
    <w:rsid w:val="00D161C6"/>
    <w:rsid w:val="00D1622B"/>
    <w:rsid w:val="00D16B9C"/>
    <w:rsid w:val="00D16DE8"/>
    <w:rsid w:val="00D16EE3"/>
    <w:rsid w:val="00D17172"/>
    <w:rsid w:val="00D173C2"/>
    <w:rsid w:val="00D1749B"/>
    <w:rsid w:val="00D1756D"/>
    <w:rsid w:val="00D177CF"/>
    <w:rsid w:val="00D178DB"/>
    <w:rsid w:val="00D17AD1"/>
    <w:rsid w:val="00D17D92"/>
    <w:rsid w:val="00D17F7C"/>
    <w:rsid w:val="00D2029F"/>
    <w:rsid w:val="00D2041D"/>
    <w:rsid w:val="00D20844"/>
    <w:rsid w:val="00D20910"/>
    <w:rsid w:val="00D20BE0"/>
    <w:rsid w:val="00D20F9B"/>
    <w:rsid w:val="00D22765"/>
    <w:rsid w:val="00D227D4"/>
    <w:rsid w:val="00D22B03"/>
    <w:rsid w:val="00D22BB4"/>
    <w:rsid w:val="00D22D2E"/>
    <w:rsid w:val="00D22DCC"/>
    <w:rsid w:val="00D22E4E"/>
    <w:rsid w:val="00D22EDC"/>
    <w:rsid w:val="00D22FAC"/>
    <w:rsid w:val="00D23562"/>
    <w:rsid w:val="00D23715"/>
    <w:rsid w:val="00D23787"/>
    <w:rsid w:val="00D2378A"/>
    <w:rsid w:val="00D23B1B"/>
    <w:rsid w:val="00D23CDA"/>
    <w:rsid w:val="00D23E9D"/>
    <w:rsid w:val="00D2415C"/>
    <w:rsid w:val="00D24628"/>
    <w:rsid w:val="00D246EF"/>
    <w:rsid w:val="00D24AE2"/>
    <w:rsid w:val="00D2508C"/>
    <w:rsid w:val="00D258CB"/>
    <w:rsid w:val="00D25910"/>
    <w:rsid w:val="00D25981"/>
    <w:rsid w:val="00D25D9F"/>
    <w:rsid w:val="00D25FBA"/>
    <w:rsid w:val="00D26085"/>
    <w:rsid w:val="00D26322"/>
    <w:rsid w:val="00D2650C"/>
    <w:rsid w:val="00D265E6"/>
    <w:rsid w:val="00D265FB"/>
    <w:rsid w:val="00D26718"/>
    <w:rsid w:val="00D26873"/>
    <w:rsid w:val="00D26AD1"/>
    <w:rsid w:val="00D26B6C"/>
    <w:rsid w:val="00D26BB4"/>
    <w:rsid w:val="00D26CE6"/>
    <w:rsid w:val="00D26D21"/>
    <w:rsid w:val="00D271C5"/>
    <w:rsid w:val="00D2722A"/>
    <w:rsid w:val="00D272EB"/>
    <w:rsid w:val="00D2736F"/>
    <w:rsid w:val="00D274E8"/>
    <w:rsid w:val="00D27F1D"/>
    <w:rsid w:val="00D301BB"/>
    <w:rsid w:val="00D30349"/>
    <w:rsid w:val="00D30573"/>
    <w:rsid w:val="00D3061F"/>
    <w:rsid w:val="00D30B63"/>
    <w:rsid w:val="00D31974"/>
    <w:rsid w:val="00D31D67"/>
    <w:rsid w:val="00D31F24"/>
    <w:rsid w:val="00D3212F"/>
    <w:rsid w:val="00D3225F"/>
    <w:rsid w:val="00D322E2"/>
    <w:rsid w:val="00D3267B"/>
    <w:rsid w:val="00D32706"/>
    <w:rsid w:val="00D32A2A"/>
    <w:rsid w:val="00D32E24"/>
    <w:rsid w:val="00D331E6"/>
    <w:rsid w:val="00D334E7"/>
    <w:rsid w:val="00D33695"/>
    <w:rsid w:val="00D33DCD"/>
    <w:rsid w:val="00D33E02"/>
    <w:rsid w:val="00D33EBA"/>
    <w:rsid w:val="00D340D0"/>
    <w:rsid w:val="00D3479C"/>
    <w:rsid w:val="00D349E1"/>
    <w:rsid w:val="00D35314"/>
    <w:rsid w:val="00D3539F"/>
    <w:rsid w:val="00D357B9"/>
    <w:rsid w:val="00D35853"/>
    <w:rsid w:val="00D3609D"/>
    <w:rsid w:val="00D36490"/>
    <w:rsid w:val="00D368E6"/>
    <w:rsid w:val="00D36CB2"/>
    <w:rsid w:val="00D36CDC"/>
    <w:rsid w:val="00D36D26"/>
    <w:rsid w:val="00D36DED"/>
    <w:rsid w:val="00D36E70"/>
    <w:rsid w:val="00D37162"/>
    <w:rsid w:val="00D372BD"/>
    <w:rsid w:val="00D37422"/>
    <w:rsid w:val="00D400F4"/>
    <w:rsid w:val="00D4024B"/>
    <w:rsid w:val="00D40390"/>
    <w:rsid w:val="00D40636"/>
    <w:rsid w:val="00D4066C"/>
    <w:rsid w:val="00D4085A"/>
    <w:rsid w:val="00D40CE0"/>
    <w:rsid w:val="00D40FF2"/>
    <w:rsid w:val="00D40FF8"/>
    <w:rsid w:val="00D40FFF"/>
    <w:rsid w:val="00D413FA"/>
    <w:rsid w:val="00D416BA"/>
    <w:rsid w:val="00D41C73"/>
    <w:rsid w:val="00D42403"/>
    <w:rsid w:val="00D426DE"/>
    <w:rsid w:val="00D42A4C"/>
    <w:rsid w:val="00D42AF3"/>
    <w:rsid w:val="00D42BEA"/>
    <w:rsid w:val="00D42DE4"/>
    <w:rsid w:val="00D43028"/>
    <w:rsid w:val="00D43109"/>
    <w:rsid w:val="00D43151"/>
    <w:rsid w:val="00D43354"/>
    <w:rsid w:val="00D434A0"/>
    <w:rsid w:val="00D435D1"/>
    <w:rsid w:val="00D4386B"/>
    <w:rsid w:val="00D43B5D"/>
    <w:rsid w:val="00D43B67"/>
    <w:rsid w:val="00D450CA"/>
    <w:rsid w:val="00D45837"/>
    <w:rsid w:val="00D45931"/>
    <w:rsid w:val="00D45DE3"/>
    <w:rsid w:val="00D4677D"/>
    <w:rsid w:val="00D46940"/>
    <w:rsid w:val="00D4695D"/>
    <w:rsid w:val="00D469DE"/>
    <w:rsid w:val="00D46E7E"/>
    <w:rsid w:val="00D46ED4"/>
    <w:rsid w:val="00D47192"/>
    <w:rsid w:val="00D4767E"/>
    <w:rsid w:val="00D478C4"/>
    <w:rsid w:val="00D47990"/>
    <w:rsid w:val="00D47BA7"/>
    <w:rsid w:val="00D47EEB"/>
    <w:rsid w:val="00D47F23"/>
    <w:rsid w:val="00D500E0"/>
    <w:rsid w:val="00D506F0"/>
    <w:rsid w:val="00D509B3"/>
    <w:rsid w:val="00D50AF0"/>
    <w:rsid w:val="00D519A6"/>
    <w:rsid w:val="00D51BFB"/>
    <w:rsid w:val="00D52137"/>
    <w:rsid w:val="00D521EE"/>
    <w:rsid w:val="00D523CC"/>
    <w:rsid w:val="00D52781"/>
    <w:rsid w:val="00D52FAC"/>
    <w:rsid w:val="00D53289"/>
    <w:rsid w:val="00D53580"/>
    <w:rsid w:val="00D53D12"/>
    <w:rsid w:val="00D5409A"/>
    <w:rsid w:val="00D541F8"/>
    <w:rsid w:val="00D5462B"/>
    <w:rsid w:val="00D54691"/>
    <w:rsid w:val="00D55409"/>
    <w:rsid w:val="00D555CA"/>
    <w:rsid w:val="00D55CF9"/>
    <w:rsid w:val="00D563A4"/>
    <w:rsid w:val="00D563BD"/>
    <w:rsid w:val="00D56478"/>
    <w:rsid w:val="00D5647E"/>
    <w:rsid w:val="00D569C5"/>
    <w:rsid w:val="00D5744A"/>
    <w:rsid w:val="00D57AF2"/>
    <w:rsid w:val="00D600B6"/>
    <w:rsid w:val="00D6039D"/>
    <w:rsid w:val="00D605DA"/>
    <w:rsid w:val="00D6070F"/>
    <w:rsid w:val="00D607EE"/>
    <w:rsid w:val="00D60822"/>
    <w:rsid w:val="00D60992"/>
    <w:rsid w:val="00D60D6F"/>
    <w:rsid w:val="00D60F48"/>
    <w:rsid w:val="00D60F67"/>
    <w:rsid w:val="00D60F7C"/>
    <w:rsid w:val="00D60FE1"/>
    <w:rsid w:val="00D61115"/>
    <w:rsid w:val="00D616AA"/>
    <w:rsid w:val="00D617B0"/>
    <w:rsid w:val="00D61ACE"/>
    <w:rsid w:val="00D61C4F"/>
    <w:rsid w:val="00D61F7B"/>
    <w:rsid w:val="00D62080"/>
    <w:rsid w:val="00D620E4"/>
    <w:rsid w:val="00D624A7"/>
    <w:rsid w:val="00D624BB"/>
    <w:rsid w:val="00D624C8"/>
    <w:rsid w:val="00D628B2"/>
    <w:rsid w:val="00D62B3A"/>
    <w:rsid w:val="00D630E2"/>
    <w:rsid w:val="00D6314D"/>
    <w:rsid w:val="00D6318B"/>
    <w:rsid w:val="00D63325"/>
    <w:rsid w:val="00D633A6"/>
    <w:rsid w:val="00D633F8"/>
    <w:rsid w:val="00D635B5"/>
    <w:rsid w:val="00D6389D"/>
    <w:rsid w:val="00D63B9B"/>
    <w:rsid w:val="00D63DBF"/>
    <w:rsid w:val="00D647BB"/>
    <w:rsid w:val="00D649E1"/>
    <w:rsid w:val="00D64AE0"/>
    <w:rsid w:val="00D65124"/>
    <w:rsid w:val="00D653E7"/>
    <w:rsid w:val="00D6596D"/>
    <w:rsid w:val="00D6646F"/>
    <w:rsid w:val="00D67198"/>
    <w:rsid w:val="00D672F3"/>
    <w:rsid w:val="00D67414"/>
    <w:rsid w:val="00D67637"/>
    <w:rsid w:val="00D67D93"/>
    <w:rsid w:val="00D70310"/>
    <w:rsid w:val="00D70584"/>
    <w:rsid w:val="00D70C69"/>
    <w:rsid w:val="00D70D5A"/>
    <w:rsid w:val="00D70F19"/>
    <w:rsid w:val="00D71B91"/>
    <w:rsid w:val="00D71F6D"/>
    <w:rsid w:val="00D729EB"/>
    <w:rsid w:val="00D729FF"/>
    <w:rsid w:val="00D72D2C"/>
    <w:rsid w:val="00D736CC"/>
    <w:rsid w:val="00D73D75"/>
    <w:rsid w:val="00D74655"/>
    <w:rsid w:val="00D74705"/>
    <w:rsid w:val="00D74F8B"/>
    <w:rsid w:val="00D74FF5"/>
    <w:rsid w:val="00D752FB"/>
    <w:rsid w:val="00D7551C"/>
    <w:rsid w:val="00D755D2"/>
    <w:rsid w:val="00D75827"/>
    <w:rsid w:val="00D75942"/>
    <w:rsid w:val="00D75B96"/>
    <w:rsid w:val="00D76008"/>
    <w:rsid w:val="00D761AC"/>
    <w:rsid w:val="00D7638E"/>
    <w:rsid w:val="00D766EA"/>
    <w:rsid w:val="00D76A51"/>
    <w:rsid w:val="00D76DC3"/>
    <w:rsid w:val="00D77746"/>
    <w:rsid w:val="00D80400"/>
    <w:rsid w:val="00D80695"/>
    <w:rsid w:val="00D80813"/>
    <w:rsid w:val="00D80CC5"/>
    <w:rsid w:val="00D80DDC"/>
    <w:rsid w:val="00D80E8B"/>
    <w:rsid w:val="00D81379"/>
    <w:rsid w:val="00D8153A"/>
    <w:rsid w:val="00D81637"/>
    <w:rsid w:val="00D818E9"/>
    <w:rsid w:val="00D81CE2"/>
    <w:rsid w:val="00D81F29"/>
    <w:rsid w:val="00D82ADC"/>
    <w:rsid w:val="00D837EB"/>
    <w:rsid w:val="00D839C3"/>
    <w:rsid w:val="00D83C62"/>
    <w:rsid w:val="00D83F13"/>
    <w:rsid w:val="00D84128"/>
    <w:rsid w:val="00D845A2"/>
    <w:rsid w:val="00D84B61"/>
    <w:rsid w:val="00D84D01"/>
    <w:rsid w:val="00D84DA3"/>
    <w:rsid w:val="00D854B4"/>
    <w:rsid w:val="00D8574C"/>
    <w:rsid w:val="00D85C0A"/>
    <w:rsid w:val="00D85CFB"/>
    <w:rsid w:val="00D86517"/>
    <w:rsid w:val="00D868CA"/>
    <w:rsid w:val="00D86B93"/>
    <w:rsid w:val="00D86CB9"/>
    <w:rsid w:val="00D870C1"/>
    <w:rsid w:val="00D871C0"/>
    <w:rsid w:val="00D8777A"/>
    <w:rsid w:val="00D87804"/>
    <w:rsid w:val="00D87AA9"/>
    <w:rsid w:val="00D87FD5"/>
    <w:rsid w:val="00D907AD"/>
    <w:rsid w:val="00D90CCA"/>
    <w:rsid w:val="00D90DFC"/>
    <w:rsid w:val="00D915EF"/>
    <w:rsid w:val="00D918D8"/>
    <w:rsid w:val="00D91A8E"/>
    <w:rsid w:val="00D91C49"/>
    <w:rsid w:val="00D91EC4"/>
    <w:rsid w:val="00D92167"/>
    <w:rsid w:val="00D92523"/>
    <w:rsid w:val="00D925D2"/>
    <w:rsid w:val="00D93265"/>
    <w:rsid w:val="00D9331A"/>
    <w:rsid w:val="00D93A5D"/>
    <w:rsid w:val="00D93B05"/>
    <w:rsid w:val="00D94571"/>
    <w:rsid w:val="00D94A0C"/>
    <w:rsid w:val="00D94A55"/>
    <w:rsid w:val="00D94A94"/>
    <w:rsid w:val="00D94B70"/>
    <w:rsid w:val="00D94FD6"/>
    <w:rsid w:val="00D95455"/>
    <w:rsid w:val="00D958CF"/>
    <w:rsid w:val="00D95C00"/>
    <w:rsid w:val="00D95D93"/>
    <w:rsid w:val="00D960DA"/>
    <w:rsid w:val="00D96221"/>
    <w:rsid w:val="00D96899"/>
    <w:rsid w:val="00D96EEE"/>
    <w:rsid w:val="00D9737D"/>
    <w:rsid w:val="00D975DA"/>
    <w:rsid w:val="00D97BB3"/>
    <w:rsid w:val="00DA026F"/>
    <w:rsid w:val="00DA051C"/>
    <w:rsid w:val="00DA0CA8"/>
    <w:rsid w:val="00DA0F96"/>
    <w:rsid w:val="00DA1186"/>
    <w:rsid w:val="00DA1315"/>
    <w:rsid w:val="00DA1560"/>
    <w:rsid w:val="00DA1569"/>
    <w:rsid w:val="00DA15B4"/>
    <w:rsid w:val="00DA15FD"/>
    <w:rsid w:val="00DA1C91"/>
    <w:rsid w:val="00DA1F29"/>
    <w:rsid w:val="00DA1F2F"/>
    <w:rsid w:val="00DA2240"/>
    <w:rsid w:val="00DA26EB"/>
    <w:rsid w:val="00DA2832"/>
    <w:rsid w:val="00DA2863"/>
    <w:rsid w:val="00DA2B32"/>
    <w:rsid w:val="00DA2CB8"/>
    <w:rsid w:val="00DA2DD5"/>
    <w:rsid w:val="00DA2F33"/>
    <w:rsid w:val="00DA3382"/>
    <w:rsid w:val="00DA35D8"/>
    <w:rsid w:val="00DA3640"/>
    <w:rsid w:val="00DA3777"/>
    <w:rsid w:val="00DA3833"/>
    <w:rsid w:val="00DA4626"/>
    <w:rsid w:val="00DA49CD"/>
    <w:rsid w:val="00DA4A21"/>
    <w:rsid w:val="00DA4B03"/>
    <w:rsid w:val="00DA4E8B"/>
    <w:rsid w:val="00DA5886"/>
    <w:rsid w:val="00DA6069"/>
    <w:rsid w:val="00DA60DA"/>
    <w:rsid w:val="00DA6158"/>
    <w:rsid w:val="00DA61AE"/>
    <w:rsid w:val="00DA6297"/>
    <w:rsid w:val="00DA6898"/>
    <w:rsid w:val="00DA68AF"/>
    <w:rsid w:val="00DA708E"/>
    <w:rsid w:val="00DA72B2"/>
    <w:rsid w:val="00DA7D86"/>
    <w:rsid w:val="00DB0047"/>
    <w:rsid w:val="00DB00D9"/>
    <w:rsid w:val="00DB0595"/>
    <w:rsid w:val="00DB08DF"/>
    <w:rsid w:val="00DB1374"/>
    <w:rsid w:val="00DB15F3"/>
    <w:rsid w:val="00DB1AE4"/>
    <w:rsid w:val="00DB201F"/>
    <w:rsid w:val="00DB2295"/>
    <w:rsid w:val="00DB2374"/>
    <w:rsid w:val="00DB27E6"/>
    <w:rsid w:val="00DB34FB"/>
    <w:rsid w:val="00DB36F6"/>
    <w:rsid w:val="00DB3E5D"/>
    <w:rsid w:val="00DB4571"/>
    <w:rsid w:val="00DB4A7C"/>
    <w:rsid w:val="00DB54B1"/>
    <w:rsid w:val="00DB556D"/>
    <w:rsid w:val="00DB596C"/>
    <w:rsid w:val="00DB59B6"/>
    <w:rsid w:val="00DB5A62"/>
    <w:rsid w:val="00DB5CBC"/>
    <w:rsid w:val="00DB62C2"/>
    <w:rsid w:val="00DB6467"/>
    <w:rsid w:val="00DB6B01"/>
    <w:rsid w:val="00DB71AA"/>
    <w:rsid w:val="00DB7C6D"/>
    <w:rsid w:val="00DB7DF7"/>
    <w:rsid w:val="00DC0040"/>
    <w:rsid w:val="00DC02FA"/>
    <w:rsid w:val="00DC04AC"/>
    <w:rsid w:val="00DC08B4"/>
    <w:rsid w:val="00DC0E8D"/>
    <w:rsid w:val="00DC10E8"/>
    <w:rsid w:val="00DC1199"/>
    <w:rsid w:val="00DC1432"/>
    <w:rsid w:val="00DC152C"/>
    <w:rsid w:val="00DC15D8"/>
    <w:rsid w:val="00DC2202"/>
    <w:rsid w:val="00DC2273"/>
    <w:rsid w:val="00DC260A"/>
    <w:rsid w:val="00DC35A5"/>
    <w:rsid w:val="00DC3625"/>
    <w:rsid w:val="00DC364F"/>
    <w:rsid w:val="00DC39A7"/>
    <w:rsid w:val="00DC39BE"/>
    <w:rsid w:val="00DC3F14"/>
    <w:rsid w:val="00DC4270"/>
    <w:rsid w:val="00DC5858"/>
    <w:rsid w:val="00DC5D79"/>
    <w:rsid w:val="00DC6BFD"/>
    <w:rsid w:val="00DC6CCE"/>
    <w:rsid w:val="00DC6CD4"/>
    <w:rsid w:val="00DC7233"/>
    <w:rsid w:val="00DC77B2"/>
    <w:rsid w:val="00DC7EC7"/>
    <w:rsid w:val="00DD035A"/>
    <w:rsid w:val="00DD04C4"/>
    <w:rsid w:val="00DD05F5"/>
    <w:rsid w:val="00DD090E"/>
    <w:rsid w:val="00DD0D05"/>
    <w:rsid w:val="00DD0EA6"/>
    <w:rsid w:val="00DD10E6"/>
    <w:rsid w:val="00DD14F1"/>
    <w:rsid w:val="00DD1B65"/>
    <w:rsid w:val="00DD37C5"/>
    <w:rsid w:val="00DD399F"/>
    <w:rsid w:val="00DD3B48"/>
    <w:rsid w:val="00DD3DA9"/>
    <w:rsid w:val="00DD41A4"/>
    <w:rsid w:val="00DD4BC7"/>
    <w:rsid w:val="00DD4FD5"/>
    <w:rsid w:val="00DD50D3"/>
    <w:rsid w:val="00DD50E2"/>
    <w:rsid w:val="00DD5499"/>
    <w:rsid w:val="00DD5793"/>
    <w:rsid w:val="00DD58A3"/>
    <w:rsid w:val="00DD5BE9"/>
    <w:rsid w:val="00DD5C3B"/>
    <w:rsid w:val="00DD6218"/>
    <w:rsid w:val="00DD6303"/>
    <w:rsid w:val="00DD72A7"/>
    <w:rsid w:val="00DD7B79"/>
    <w:rsid w:val="00DD7E0F"/>
    <w:rsid w:val="00DE02BC"/>
    <w:rsid w:val="00DE099A"/>
    <w:rsid w:val="00DE0CF3"/>
    <w:rsid w:val="00DE0E40"/>
    <w:rsid w:val="00DE0FDA"/>
    <w:rsid w:val="00DE110C"/>
    <w:rsid w:val="00DE17AE"/>
    <w:rsid w:val="00DE17B2"/>
    <w:rsid w:val="00DE1867"/>
    <w:rsid w:val="00DE19A0"/>
    <w:rsid w:val="00DE1C8B"/>
    <w:rsid w:val="00DE1D93"/>
    <w:rsid w:val="00DE23DE"/>
    <w:rsid w:val="00DE2CCC"/>
    <w:rsid w:val="00DE2E9B"/>
    <w:rsid w:val="00DE31E1"/>
    <w:rsid w:val="00DE33DF"/>
    <w:rsid w:val="00DE3B34"/>
    <w:rsid w:val="00DE3D87"/>
    <w:rsid w:val="00DE439F"/>
    <w:rsid w:val="00DE43D6"/>
    <w:rsid w:val="00DE4C90"/>
    <w:rsid w:val="00DE4FB1"/>
    <w:rsid w:val="00DE5142"/>
    <w:rsid w:val="00DE5230"/>
    <w:rsid w:val="00DE5271"/>
    <w:rsid w:val="00DE5290"/>
    <w:rsid w:val="00DE53E0"/>
    <w:rsid w:val="00DE59A8"/>
    <w:rsid w:val="00DE61D9"/>
    <w:rsid w:val="00DE645D"/>
    <w:rsid w:val="00DE696A"/>
    <w:rsid w:val="00DE6B47"/>
    <w:rsid w:val="00DE6C2C"/>
    <w:rsid w:val="00DE6D1B"/>
    <w:rsid w:val="00DE6D26"/>
    <w:rsid w:val="00DE7252"/>
    <w:rsid w:val="00DE7301"/>
    <w:rsid w:val="00DE7512"/>
    <w:rsid w:val="00DE7A59"/>
    <w:rsid w:val="00DF0520"/>
    <w:rsid w:val="00DF05AF"/>
    <w:rsid w:val="00DF0BEE"/>
    <w:rsid w:val="00DF123B"/>
    <w:rsid w:val="00DF1755"/>
    <w:rsid w:val="00DF193D"/>
    <w:rsid w:val="00DF1B17"/>
    <w:rsid w:val="00DF1EFA"/>
    <w:rsid w:val="00DF2380"/>
    <w:rsid w:val="00DF2535"/>
    <w:rsid w:val="00DF290F"/>
    <w:rsid w:val="00DF2AFC"/>
    <w:rsid w:val="00DF36F6"/>
    <w:rsid w:val="00DF378B"/>
    <w:rsid w:val="00DF3DB9"/>
    <w:rsid w:val="00DF3E6F"/>
    <w:rsid w:val="00DF4736"/>
    <w:rsid w:val="00DF4FCF"/>
    <w:rsid w:val="00DF52BB"/>
    <w:rsid w:val="00DF53AE"/>
    <w:rsid w:val="00DF6F38"/>
    <w:rsid w:val="00DF7048"/>
    <w:rsid w:val="00DF7E47"/>
    <w:rsid w:val="00DF7E7A"/>
    <w:rsid w:val="00DF7F78"/>
    <w:rsid w:val="00E0000C"/>
    <w:rsid w:val="00E003CA"/>
    <w:rsid w:val="00E01005"/>
    <w:rsid w:val="00E01492"/>
    <w:rsid w:val="00E01EE0"/>
    <w:rsid w:val="00E02530"/>
    <w:rsid w:val="00E0255D"/>
    <w:rsid w:val="00E0269A"/>
    <w:rsid w:val="00E029A2"/>
    <w:rsid w:val="00E02A3E"/>
    <w:rsid w:val="00E0343E"/>
    <w:rsid w:val="00E035E8"/>
    <w:rsid w:val="00E03784"/>
    <w:rsid w:val="00E037B5"/>
    <w:rsid w:val="00E0387F"/>
    <w:rsid w:val="00E03E73"/>
    <w:rsid w:val="00E040CA"/>
    <w:rsid w:val="00E040F9"/>
    <w:rsid w:val="00E050B1"/>
    <w:rsid w:val="00E05130"/>
    <w:rsid w:val="00E0612F"/>
    <w:rsid w:val="00E067E0"/>
    <w:rsid w:val="00E06D7F"/>
    <w:rsid w:val="00E06F98"/>
    <w:rsid w:val="00E07482"/>
    <w:rsid w:val="00E07786"/>
    <w:rsid w:val="00E078AD"/>
    <w:rsid w:val="00E07C1D"/>
    <w:rsid w:val="00E07C32"/>
    <w:rsid w:val="00E106F9"/>
    <w:rsid w:val="00E1091E"/>
    <w:rsid w:val="00E10D13"/>
    <w:rsid w:val="00E10D96"/>
    <w:rsid w:val="00E11903"/>
    <w:rsid w:val="00E124D5"/>
    <w:rsid w:val="00E127D8"/>
    <w:rsid w:val="00E13253"/>
    <w:rsid w:val="00E133BB"/>
    <w:rsid w:val="00E1341A"/>
    <w:rsid w:val="00E13927"/>
    <w:rsid w:val="00E13FBB"/>
    <w:rsid w:val="00E14369"/>
    <w:rsid w:val="00E14451"/>
    <w:rsid w:val="00E145F3"/>
    <w:rsid w:val="00E15014"/>
    <w:rsid w:val="00E15581"/>
    <w:rsid w:val="00E15AAB"/>
    <w:rsid w:val="00E15D19"/>
    <w:rsid w:val="00E15E3B"/>
    <w:rsid w:val="00E16385"/>
    <w:rsid w:val="00E16711"/>
    <w:rsid w:val="00E167D7"/>
    <w:rsid w:val="00E168DD"/>
    <w:rsid w:val="00E16D44"/>
    <w:rsid w:val="00E17256"/>
    <w:rsid w:val="00E17482"/>
    <w:rsid w:val="00E177B1"/>
    <w:rsid w:val="00E20014"/>
    <w:rsid w:val="00E20146"/>
    <w:rsid w:val="00E20635"/>
    <w:rsid w:val="00E20679"/>
    <w:rsid w:val="00E20703"/>
    <w:rsid w:val="00E20E1C"/>
    <w:rsid w:val="00E20FF3"/>
    <w:rsid w:val="00E210E1"/>
    <w:rsid w:val="00E21166"/>
    <w:rsid w:val="00E21282"/>
    <w:rsid w:val="00E2140A"/>
    <w:rsid w:val="00E21895"/>
    <w:rsid w:val="00E21990"/>
    <w:rsid w:val="00E21E5D"/>
    <w:rsid w:val="00E222FF"/>
    <w:rsid w:val="00E22601"/>
    <w:rsid w:val="00E228A6"/>
    <w:rsid w:val="00E22A65"/>
    <w:rsid w:val="00E22AAC"/>
    <w:rsid w:val="00E2306F"/>
    <w:rsid w:val="00E230BB"/>
    <w:rsid w:val="00E23270"/>
    <w:rsid w:val="00E2366E"/>
    <w:rsid w:val="00E23730"/>
    <w:rsid w:val="00E241F6"/>
    <w:rsid w:val="00E24442"/>
    <w:rsid w:val="00E24482"/>
    <w:rsid w:val="00E2475B"/>
    <w:rsid w:val="00E24F00"/>
    <w:rsid w:val="00E251EF"/>
    <w:rsid w:val="00E25238"/>
    <w:rsid w:val="00E258BB"/>
    <w:rsid w:val="00E25E4B"/>
    <w:rsid w:val="00E263FF"/>
    <w:rsid w:val="00E265F3"/>
    <w:rsid w:val="00E2708B"/>
    <w:rsid w:val="00E30128"/>
    <w:rsid w:val="00E306FD"/>
    <w:rsid w:val="00E30EB0"/>
    <w:rsid w:val="00E31529"/>
    <w:rsid w:val="00E318CB"/>
    <w:rsid w:val="00E31A53"/>
    <w:rsid w:val="00E31AA1"/>
    <w:rsid w:val="00E31BF4"/>
    <w:rsid w:val="00E31C99"/>
    <w:rsid w:val="00E31CE8"/>
    <w:rsid w:val="00E31F54"/>
    <w:rsid w:val="00E3229C"/>
    <w:rsid w:val="00E322DF"/>
    <w:rsid w:val="00E32496"/>
    <w:rsid w:val="00E32F46"/>
    <w:rsid w:val="00E331BE"/>
    <w:rsid w:val="00E33BDC"/>
    <w:rsid w:val="00E33E56"/>
    <w:rsid w:val="00E33EC1"/>
    <w:rsid w:val="00E34021"/>
    <w:rsid w:val="00E341E1"/>
    <w:rsid w:val="00E34BC7"/>
    <w:rsid w:val="00E35155"/>
    <w:rsid w:val="00E35469"/>
    <w:rsid w:val="00E358EE"/>
    <w:rsid w:val="00E358FD"/>
    <w:rsid w:val="00E35E8F"/>
    <w:rsid w:val="00E35F27"/>
    <w:rsid w:val="00E36456"/>
    <w:rsid w:val="00E366ED"/>
    <w:rsid w:val="00E36AA1"/>
    <w:rsid w:val="00E36D61"/>
    <w:rsid w:val="00E371D5"/>
    <w:rsid w:val="00E372DD"/>
    <w:rsid w:val="00E374AF"/>
    <w:rsid w:val="00E374BC"/>
    <w:rsid w:val="00E37513"/>
    <w:rsid w:val="00E3758F"/>
    <w:rsid w:val="00E37A3B"/>
    <w:rsid w:val="00E37A83"/>
    <w:rsid w:val="00E37B10"/>
    <w:rsid w:val="00E37B1E"/>
    <w:rsid w:val="00E37CAA"/>
    <w:rsid w:val="00E37CC4"/>
    <w:rsid w:val="00E37F19"/>
    <w:rsid w:val="00E40105"/>
    <w:rsid w:val="00E4016B"/>
    <w:rsid w:val="00E40513"/>
    <w:rsid w:val="00E408B1"/>
    <w:rsid w:val="00E413D9"/>
    <w:rsid w:val="00E416B7"/>
    <w:rsid w:val="00E41927"/>
    <w:rsid w:val="00E41BC1"/>
    <w:rsid w:val="00E41DA0"/>
    <w:rsid w:val="00E41F61"/>
    <w:rsid w:val="00E420DC"/>
    <w:rsid w:val="00E4222F"/>
    <w:rsid w:val="00E42332"/>
    <w:rsid w:val="00E42478"/>
    <w:rsid w:val="00E424B8"/>
    <w:rsid w:val="00E42A43"/>
    <w:rsid w:val="00E4338D"/>
    <w:rsid w:val="00E4398D"/>
    <w:rsid w:val="00E43B1A"/>
    <w:rsid w:val="00E43D43"/>
    <w:rsid w:val="00E443BD"/>
    <w:rsid w:val="00E44891"/>
    <w:rsid w:val="00E44F35"/>
    <w:rsid w:val="00E45297"/>
    <w:rsid w:val="00E45392"/>
    <w:rsid w:val="00E457AA"/>
    <w:rsid w:val="00E468EC"/>
    <w:rsid w:val="00E46DAC"/>
    <w:rsid w:val="00E47065"/>
    <w:rsid w:val="00E47316"/>
    <w:rsid w:val="00E47783"/>
    <w:rsid w:val="00E47CA5"/>
    <w:rsid w:val="00E5032A"/>
    <w:rsid w:val="00E505B3"/>
    <w:rsid w:val="00E5073B"/>
    <w:rsid w:val="00E507C1"/>
    <w:rsid w:val="00E51016"/>
    <w:rsid w:val="00E512C3"/>
    <w:rsid w:val="00E51454"/>
    <w:rsid w:val="00E515EF"/>
    <w:rsid w:val="00E517DF"/>
    <w:rsid w:val="00E51F52"/>
    <w:rsid w:val="00E52079"/>
    <w:rsid w:val="00E5276F"/>
    <w:rsid w:val="00E527D0"/>
    <w:rsid w:val="00E528B7"/>
    <w:rsid w:val="00E52F55"/>
    <w:rsid w:val="00E533A9"/>
    <w:rsid w:val="00E534E6"/>
    <w:rsid w:val="00E539EA"/>
    <w:rsid w:val="00E53A26"/>
    <w:rsid w:val="00E53BD8"/>
    <w:rsid w:val="00E54035"/>
    <w:rsid w:val="00E541F2"/>
    <w:rsid w:val="00E547AA"/>
    <w:rsid w:val="00E54952"/>
    <w:rsid w:val="00E54C75"/>
    <w:rsid w:val="00E54D8F"/>
    <w:rsid w:val="00E54E6E"/>
    <w:rsid w:val="00E551C5"/>
    <w:rsid w:val="00E5541A"/>
    <w:rsid w:val="00E5575C"/>
    <w:rsid w:val="00E55C02"/>
    <w:rsid w:val="00E564C0"/>
    <w:rsid w:val="00E56656"/>
    <w:rsid w:val="00E56856"/>
    <w:rsid w:val="00E56904"/>
    <w:rsid w:val="00E56B01"/>
    <w:rsid w:val="00E56E33"/>
    <w:rsid w:val="00E56F80"/>
    <w:rsid w:val="00E57056"/>
    <w:rsid w:val="00E60344"/>
    <w:rsid w:val="00E61DC2"/>
    <w:rsid w:val="00E624A6"/>
    <w:rsid w:val="00E629E9"/>
    <w:rsid w:val="00E62D5F"/>
    <w:rsid w:val="00E641A1"/>
    <w:rsid w:val="00E6426D"/>
    <w:rsid w:val="00E6454F"/>
    <w:rsid w:val="00E646AB"/>
    <w:rsid w:val="00E65C0C"/>
    <w:rsid w:val="00E665A0"/>
    <w:rsid w:val="00E66C4E"/>
    <w:rsid w:val="00E6748A"/>
    <w:rsid w:val="00E67740"/>
    <w:rsid w:val="00E6794C"/>
    <w:rsid w:val="00E67D9B"/>
    <w:rsid w:val="00E70154"/>
    <w:rsid w:val="00E70605"/>
    <w:rsid w:val="00E7064D"/>
    <w:rsid w:val="00E7086B"/>
    <w:rsid w:val="00E708FB"/>
    <w:rsid w:val="00E70C09"/>
    <w:rsid w:val="00E70C0C"/>
    <w:rsid w:val="00E70D28"/>
    <w:rsid w:val="00E71059"/>
    <w:rsid w:val="00E710EB"/>
    <w:rsid w:val="00E714EA"/>
    <w:rsid w:val="00E71785"/>
    <w:rsid w:val="00E71B1A"/>
    <w:rsid w:val="00E71D5F"/>
    <w:rsid w:val="00E720A1"/>
    <w:rsid w:val="00E72122"/>
    <w:rsid w:val="00E7219C"/>
    <w:rsid w:val="00E72B9C"/>
    <w:rsid w:val="00E73676"/>
    <w:rsid w:val="00E73809"/>
    <w:rsid w:val="00E73ED0"/>
    <w:rsid w:val="00E745D1"/>
    <w:rsid w:val="00E74FF3"/>
    <w:rsid w:val="00E750A2"/>
    <w:rsid w:val="00E7517D"/>
    <w:rsid w:val="00E753A5"/>
    <w:rsid w:val="00E757E3"/>
    <w:rsid w:val="00E75C73"/>
    <w:rsid w:val="00E75D4A"/>
    <w:rsid w:val="00E75E43"/>
    <w:rsid w:val="00E76829"/>
    <w:rsid w:val="00E76E4E"/>
    <w:rsid w:val="00E7703A"/>
    <w:rsid w:val="00E774D7"/>
    <w:rsid w:val="00E7789C"/>
    <w:rsid w:val="00E77AF8"/>
    <w:rsid w:val="00E77E9D"/>
    <w:rsid w:val="00E8024C"/>
    <w:rsid w:val="00E807D3"/>
    <w:rsid w:val="00E80D24"/>
    <w:rsid w:val="00E80D9C"/>
    <w:rsid w:val="00E80EEF"/>
    <w:rsid w:val="00E80F36"/>
    <w:rsid w:val="00E811E1"/>
    <w:rsid w:val="00E81584"/>
    <w:rsid w:val="00E81E03"/>
    <w:rsid w:val="00E829E4"/>
    <w:rsid w:val="00E831C2"/>
    <w:rsid w:val="00E83309"/>
    <w:rsid w:val="00E83397"/>
    <w:rsid w:val="00E833D9"/>
    <w:rsid w:val="00E8383A"/>
    <w:rsid w:val="00E83BB5"/>
    <w:rsid w:val="00E8400D"/>
    <w:rsid w:val="00E840CF"/>
    <w:rsid w:val="00E84647"/>
    <w:rsid w:val="00E84B88"/>
    <w:rsid w:val="00E84BDC"/>
    <w:rsid w:val="00E85A7C"/>
    <w:rsid w:val="00E85E8F"/>
    <w:rsid w:val="00E85FE9"/>
    <w:rsid w:val="00E86005"/>
    <w:rsid w:val="00E860BB"/>
    <w:rsid w:val="00E860F9"/>
    <w:rsid w:val="00E86733"/>
    <w:rsid w:val="00E86AD1"/>
    <w:rsid w:val="00E86E1D"/>
    <w:rsid w:val="00E87ECA"/>
    <w:rsid w:val="00E90D6C"/>
    <w:rsid w:val="00E90DD8"/>
    <w:rsid w:val="00E90F48"/>
    <w:rsid w:val="00E90F8A"/>
    <w:rsid w:val="00E910B7"/>
    <w:rsid w:val="00E91513"/>
    <w:rsid w:val="00E91C6E"/>
    <w:rsid w:val="00E91C7F"/>
    <w:rsid w:val="00E91D9B"/>
    <w:rsid w:val="00E9243E"/>
    <w:rsid w:val="00E924DB"/>
    <w:rsid w:val="00E925A2"/>
    <w:rsid w:val="00E92B3D"/>
    <w:rsid w:val="00E92CA1"/>
    <w:rsid w:val="00E92E8F"/>
    <w:rsid w:val="00E92FB5"/>
    <w:rsid w:val="00E93144"/>
    <w:rsid w:val="00E93424"/>
    <w:rsid w:val="00E934A3"/>
    <w:rsid w:val="00E93915"/>
    <w:rsid w:val="00E93A74"/>
    <w:rsid w:val="00E93C3A"/>
    <w:rsid w:val="00E947EC"/>
    <w:rsid w:val="00E94986"/>
    <w:rsid w:val="00E951BA"/>
    <w:rsid w:val="00E95355"/>
    <w:rsid w:val="00E95489"/>
    <w:rsid w:val="00E95682"/>
    <w:rsid w:val="00E95802"/>
    <w:rsid w:val="00E958F3"/>
    <w:rsid w:val="00E95922"/>
    <w:rsid w:val="00E95D4D"/>
    <w:rsid w:val="00E95F75"/>
    <w:rsid w:val="00E95F8C"/>
    <w:rsid w:val="00E96D68"/>
    <w:rsid w:val="00E97403"/>
    <w:rsid w:val="00E975A6"/>
    <w:rsid w:val="00E9779E"/>
    <w:rsid w:val="00E977EB"/>
    <w:rsid w:val="00E979DA"/>
    <w:rsid w:val="00E97A9E"/>
    <w:rsid w:val="00EA0BA5"/>
    <w:rsid w:val="00EA0DA0"/>
    <w:rsid w:val="00EA159C"/>
    <w:rsid w:val="00EA1610"/>
    <w:rsid w:val="00EA1841"/>
    <w:rsid w:val="00EA1E7B"/>
    <w:rsid w:val="00EA2367"/>
    <w:rsid w:val="00EA2532"/>
    <w:rsid w:val="00EA25D0"/>
    <w:rsid w:val="00EA2F13"/>
    <w:rsid w:val="00EA380E"/>
    <w:rsid w:val="00EA39AA"/>
    <w:rsid w:val="00EA3FB1"/>
    <w:rsid w:val="00EA42C0"/>
    <w:rsid w:val="00EA4369"/>
    <w:rsid w:val="00EA4450"/>
    <w:rsid w:val="00EA4638"/>
    <w:rsid w:val="00EA46D9"/>
    <w:rsid w:val="00EA4705"/>
    <w:rsid w:val="00EA49F9"/>
    <w:rsid w:val="00EA4AAA"/>
    <w:rsid w:val="00EA513B"/>
    <w:rsid w:val="00EA5390"/>
    <w:rsid w:val="00EA53A2"/>
    <w:rsid w:val="00EA5ADB"/>
    <w:rsid w:val="00EA5B5B"/>
    <w:rsid w:val="00EA5C1C"/>
    <w:rsid w:val="00EA5E51"/>
    <w:rsid w:val="00EA64E0"/>
    <w:rsid w:val="00EA6788"/>
    <w:rsid w:val="00EA69D6"/>
    <w:rsid w:val="00EA6B53"/>
    <w:rsid w:val="00EA6EC5"/>
    <w:rsid w:val="00EA757A"/>
    <w:rsid w:val="00EA78D5"/>
    <w:rsid w:val="00EA7C2D"/>
    <w:rsid w:val="00EA7C46"/>
    <w:rsid w:val="00EA7DE1"/>
    <w:rsid w:val="00EA7E71"/>
    <w:rsid w:val="00EB0539"/>
    <w:rsid w:val="00EB07F6"/>
    <w:rsid w:val="00EB09D2"/>
    <w:rsid w:val="00EB0D1F"/>
    <w:rsid w:val="00EB0EF5"/>
    <w:rsid w:val="00EB13BB"/>
    <w:rsid w:val="00EB1479"/>
    <w:rsid w:val="00EB1760"/>
    <w:rsid w:val="00EB19EF"/>
    <w:rsid w:val="00EB1E44"/>
    <w:rsid w:val="00EB1EAB"/>
    <w:rsid w:val="00EB2162"/>
    <w:rsid w:val="00EB229C"/>
    <w:rsid w:val="00EB2337"/>
    <w:rsid w:val="00EB2352"/>
    <w:rsid w:val="00EB2389"/>
    <w:rsid w:val="00EB2574"/>
    <w:rsid w:val="00EB293E"/>
    <w:rsid w:val="00EB2E90"/>
    <w:rsid w:val="00EB3048"/>
    <w:rsid w:val="00EB34F6"/>
    <w:rsid w:val="00EB3692"/>
    <w:rsid w:val="00EB36F4"/>
    <w:rsid w:val="00EB3741"/>
    <w:rsid w:val="00EB37F4"/>
    <w:rsid w:val="00EB3F5D"/>
    <w:rsid w:val="00EB47C7"/>
    <w:rsid w:val="00EB4BD3"/>
    <w:rsid w:val="00EB4C07"/>
    <w:rsid w:val="00EB4E5D"/>
    <w:rsid w:val="00EB51EE"/>
    <w:rsid w:val="00EB5859"/>
    <w:rsid w:val="00EB5BE2"/>
    <w:rsid w:val="00EB5C38"/>
    <w:rsid w:val="00EB5C8D"/>
    <w:rsid w:val="00EB616B"/>
    <w:rsid w:val="00EB6397"/>
    <w:rsid w:val="00EB666D"/>
    <w:rsid w:val="00EB6673"/>
    <w:rsid w:val="00EB6697"/>
    <w:rsid w:val="00EB694F"/>
    <w:rsid w:val="00EB6C15"/>
    <w:rsid w:val="00EB741E"/>
    <w:rsid w:val="00EB7BB9"/>
    <w:rsid w:val="00EB7C71"/>
    <w:rsid w:val="00EB7DC7"/>
    <w:rsid w:val="00EB7E69"/>
    <w:rsid w:val="00EC014C"/>
    <w:rsid w:val="00EC0A15"/>
    <w:rsid w:val="00EC0EEB"/>
    <w:rsid w:val="00EC0F25"/>
    <w:rsid w:val="00EC0F64"/>
    <w:rsid w:val="00EC1573"/>
    <w:rsid w:val="00EC1D23"/>
    <w:rsid w:val="00EC1EE4"/>
    <w:rsid w:val="00EC21CC"/>
    <w:rsid w:val="00EC2476"/>
    <w:rsid w:val="00EC29AD"/>
    <w:rsid w:val="00EC319D"/>
    <w:rsid w:val="00EC31CC"/>
    <w:rsid w:val="00EC36FF"/>
    <w:rsid w:val="00EC38FB"/>
    <w:rsid w:val="00EC3A34"/>
    <w:rsid w:val="00EC451B"/>
    <w:rsid w:val="00EC4627"/>
    <w:rsid w:val="00EC4A15"/>
    <w:rsid w:val="00EC4CE5"/>
    <w:rsid w:val="00EC4DD4"/>
    <w:rsid w:val="00EC4EE8"/>
    <w:rsid w:val="00EC50D3"/>
    <w:rsid w:val="00EC5281"/>
    <w:rsid w:val="00EC5C8F"/>
    <w:rsid w:val="00EC60E1"/>
    <w:rsid w:val="00EC62DC"/>
    <w:rsid w:val="00EC637D"/>
    <w:rsid w:val="00EC6B81"/>
    <w:rsid w:val="00EC6BDD"/>
    <w:rsid w:val="00EC737A"/>
    <w:rsid w:val="00EC7424"/>
    <w:rsid w:val="00EC7453"/>
    <w:rsid w:val="00EC7C39"/>
    <w:rsid w:val="00ED0360"/>
    <w:rsid w:val="00ED03E1"/>
    <w:rsid w:val="00ED0624"/>
    <w:rsid w:val="00ED17BA"/>
    <w:rsid w:val="00ED17E9"/>
    <w:rsid w:val="00ED1DCA"/>
    <w:rsid w:val="00ED1E21"/>
    <w:rsid w:val="00ED25C8"/>
    <w:rsid w:val="00ED2758"/>
    <w:rsid w:val="00ED276A"/>
    <w:rsid w:val="00ED29C5"/>
    <w:rsid w:val="00ED2D4B"/>
    <w:rsid w:val="00ED307F"/>
    <w:rsid w:val="00ED321B"/>
    <w:rsid w:val="00ED37A2"/>
    <w:rsid w:val="00ED3899"/>
    <w:rsid w:val="00ED39E2"/>
    <w:rsid w:val="00ED3DD5"/>
    <w:rsid w:val="00ED40BB"/>
    <w:rsid w:val="00ED4428"/>
    <w:rsid w:val="00ED45E7"/>
    <w:rsid w:val="00ED4617"/>
    <w:rsid w:val="00ED5057"/>
    <w:rsid w:val="00ED5292"/>
    <w:rsid w:val="00ED55C0"/>
    <w:rsid w:val="00ED55D4"/>
    <w:rsid w:val="00ED5638"/>
    <w:rsid w:val="00ED5D01"/>
    <w:rsid w:val="00ED5F20"/>
    <w:rsid w:val="00ED5FDF"/>
    <w:rsid w:val="00ED636F"/>
    <w:rsid w:val="00ED6493"/>
    <w:rsid w:val="00ED64C2"/>
    <w:rsid w:val="00ED6918"/>
    <w:rsid w:val="00ED69AF"/>
    <w:rsid w:val="00ED7184"/>
    <w:rsid w:val="00ED7A6A"/>
    <w:rsid w:val="00ED7DCD"/>
    <w:rsid w:val="00ED7FDF"/>
    <w:rsid w:val="00EE03A7"/>
    <w:rsid w:val="00EE0462"/>
    <w:rsid w:val="00EE10A6"/>
    <w:rsid w:val="00EE10A8"/>
    <w:rsid w:val="00EE1299"/>
    <w:rsid w:val="00EE163E"/>
    <w:rsid w:val="00EE1857"/>
    <w:rsid w:val="00EE1C0E"/>
    <w:rsid w:val="00EE1C21"/>
    <w:rsid w:val="00EE1E20"/>
    <w:rsid w:val="00EE1E80"/>
    <w:rsid w:val="00EE1F1C"/>
    <w:rsid w:val="00EE1FA8"/>
    <w:rsid w:val="00EE1FD9"/>
    <w:rsid w:val="00EE2261"/>
    <w:rsid w:val="00EE2284"/>
    <w:rsid w:val="00EE2B84"/>
    <w:rsid w:val="00EE2C48"/>
    <w:rsid w:val="00EE2C53"/>
    <w:rsid w:val="00EE3125"/>
    <w:rsid w:val="00EE322D"/>
    <w:rsid w:val="00EE345F"/>
    <w:rsid w:val="00EE35D0"/>
    <w:rsid w:val="00EE36C1"/>
    <w:rsid w:val="00EE3717"/>
    <w:rsid w:val="00EE3908"/>
    <w:rsid w:val="00EE3AF8"/>
    <w:rsid w:val="00EE40C7"/>
    <w:rsid w:val="00EE4238"/>
    <w:rsid w:val="00EE4256"/>
    <w:rsid w:val="00EE441E"/>
    <w:rsid w:val="00EE467B"/>
    <w:rsid w:val="00EE46A3"/>
    <w:rsid w:val="00EE4B05"/>
    <w:rsid w:val="00EE4B95"/>
    <w:rsid w:val="00EE4BBE"/>
    <w:rsid w:val="00EE5121"/>
    <w:rsid w:val="00EE5191"/>
    <w:rsid w:val="00EE55A5"/>
    <w:rsid w:val="00EE5768"/>
    <w:rsid w:val="00EE5839"/>
    <w:rsid w:val="00EE5932"/>
    <w:rsid w:val="00EE6571"/>
    <w:rsid w:val="00EE6A00"/>
    <w:rsid w:val="00EE6AC6"/>
    <w:rsid w:val="00EE6B7D"/>
    <w:rsid w:val="00EE72AE"/>
    <w:rsid w:val="00EE788D"/>
    <w:rsid w:val="00EE7A9A"/>
    <w:rsid w:val="00EE7B2C"/>
    <w:rsid w:val="00EF02EF"/>
    <w:rsid w:val="00EF03BA"/>
    <w:rsid w:val="00EF0861"/>
    <w:rsid w:val="00EF0F3C"/>
    <w:rsid w:val="00EF125E"/>
    <w:rsid w:val="00EF14B6"/>
    <w:rsid w:val="00EF1AC3"/>
    <w:rsid w:val="00EF1F3F"/>
    <w:rsid w:val="00EF22D9"/>
    <w:rsid w:val="00EF2DE5"/>
    <w:rsid w:val="00EF31EF"/>
    <w:rsid w:val="00EF398E"/>
    <w:rsid w:val="00EF39E3"/>
    <w:rsid w:val="00EF3C69"/>
    <w:rsid w:val="00EF3EE0"/>
    <w:rsid w:val="00EF3EFB"/>
    <w:rsid w:val="00EF3F49"/>
    <w:rsid w:val="00EF3F50"/>
    <w:rsid w:val="00EF3F6B"/>
    <w:rsid w:val="00EF43B9"/>
    <w:rsid w:val="00EF43CB"/>
    <w:rsid w:val="00EF47A0"/>
    <w:rsid w:val="00EF4995"/>
    <w:rsid w:val="00EF4B9B"/>
    <w:rsid w:val="00EF4D0D"/>
    <w:rsid w:val="00EF4D36"/>
    <w:rsid w:val="00EF4DC0"/>
    <w:rsid w:val="00EF4F77"/>
    <w:rsid w:val="00EF5216"/>
    <w:rsid w:val="00EF5286"/>
    <w:rsid w:val="00EF5363"/>
    <w:rsid w:val="00EF551E"/>
    <w:rsid w:val="00EF5930"/>
    <w:rsid w:val="00EF5B2A"/>
    <w:rsid w:val="00EF5C93"/>
    <w:rsid w:val="00EF612A"/>
    <w:rsid w:val="00EF6FA0"/>
    <w:rsid w:val="00EF748B"/>
    <w:rsid w:val="00EF7671"/>
    <w:rsid w:val="00EF7AD1"/>
    <w:rsid w:val="00EF7AEA"/>
    <w:rsid w:val="00EF7D73"/>
    <w:rsid w:val="00EF7F61"/>
    <w:rsid w:val="00F002A3"/>
    <w:rsid w:val="00F006DC"/>
    <w:rsid w:val="00F007AF"/>
    <w:rsid w:val="00F00BF7"/>
    <w:rsid w:val="00F00F6B"/>
    <w:rsid w:val="00F01722"/>
    <w:rsid w:val="00F0174D"/>
    <w:rsid w:val="00F01DF3"/>
    <w:rsid w:val="00F01FD7"/>
    <w:rsid w:val="00F0235C"/>
    <w:rsid w:val="00F025FE"/>
    <w:rsid w:val="00F02A78"/>
    <w:rsid w:val="00F02B57"/>
    <w:rsid w:val="00F02E35"/>
    <w:rsid w:val="00F02F22"/>
    <w:rsid w:val="00F02F4D"/>
    <w:rsid w:val="00F02FFD"/>
    <w:rsid w:val="00F035E4"/>
    <w:rsid w:val="00F0367B"/>
    <w:rsid w:val="00F03783"/>
    <w:rsid w:val="00F03A6A"/>
    <w:rsid w:val="00F04424"/>
    <w:rsid w:val="00F04AC8"/>
    <w:rsid w:val="00F04E08"/>
    <w:rsid w:val="00F04ED7"/>
    <w:rsid w:val="00F051A9"/>
    <w:rsid w:val="00F058C0"/>
    <w:rsid w:val="00F05D7E"/>
    <w:rsid w:val="00F06D95"/>
    <w:rsid w:val="00F0783F"/>
    <w:rsid w:val="00F0797F"/>
    <w:rsid w:val="00F104F8"/>
    <w:rsid w:val="00F10533"/>
    <w:rsid w:val="00F1075A"/>
    <w:rsid w:val="00F1092C"/>
    <w:rsid w:val="00F10DCA"/>
    <w:rsid w:val="00F1113C"/>
    <w:rsid w:val="00F111FF"/>
    <w:rsid w:val="00F1139B"/>
    <w:rsid w:val="00F11575"/>
    <w:rsid w:val="00F11964"/>
    <w:rsid w:val="00F11D0A"/>
    <w:rsid w:val="00F122C8"/>
    <w:rsid w:val="00F127C2"/>
    <w:rsid w:val="00F12AF8"/>
    <w:rsid w:val="00F13378"/>
    <w:rsid w:val="00F135F0"/>
    <w:rsid w:val="00F13719"/>
    <w:rsid w:val="00F13A36"/>
    <w:rsid w:val="00F13A84"/>
    <w:rsid w:val="00F13C18"/>
    <w:rsid w:val="00F13EA7"/>
    <w:rsid w:val="00F14620"/>
    <w:rsid w:val="00F146AB"/>
    <w:rsid w:val="00F1490F"/>
    <w:rsid w:val="00F14B2B"/>
    <w:rsid w:val="00F14D07"/>
    <w:rsid w:val="00F14E4D"/>
    <w:rsid w:val="00F15169"/>
    <w:rsid w:val="00F16108"/>
    <w:rsid w:val="00F167CF"/>
    <w:rsid w:val="00F16B35"/>
    <w:rsid w:val="00F16BEE"/>
    <w:rsid w:val="00F16E50"/>
    <w:rsid w:val="00F1728D"/>
    <w:rsid w:val="00F17947"/>
    <w:rsid w:val="00F17BE3"/>
    <w:rsid w:val="00F17D53"/>
    <w:rsid w:val="00F17D93"/>
    <w:rsid w:val="00F17E36"/>
    <w:rsid w:val="00F17FFE"/>
    <w:rsid w:val="00F2002A"/>
    <w:rsid w:val="00F20157"/>
    <w:rsid w:val="00F20372"/>
    <w:rsid w:val="00F2079E"/>
    <w:rsid w:val="00F20890"/>
    <w:rsid w:val="00F20B61"/>
    <w:rsid w:val="00F2132D"/>
    <w:rsid w:val="00F21B1C"/>
    <w:rsid w:val="00F21B25"/>
    <w:rsid w:val="00F21B8E"/>
    <w:rsid w:val="00F22081"/>
    <w:rsid w:val="00F22204"/>
    <w:rsid w:val="00F22931"/>
    <w:rsid w:val="00F229DA"/>
    <w:rsid w:val="00F22D02"/>
    <w:rsid w:val="00F23B77"/>
    <w:rsid w:val="00F242C3"/>
    <w:rsid w:val="00F2454E"/>
    <w:rsid w:val="00F2455C"/>
    <w:rsid w:val="00F245D3"/>
    <w:rsid w:val="00F24CDC"/>
    <w:rsid w:val="00F24D10"/>
    <w:rsid w:val="00F24FE5"/>
    <w:rsid w:val="00F25034"/>
    <w:rsid w:val="00F25140"/>
    <w:rsid w:val="00F25DA9"/>
    <w:rsid w:val="00F26063"/>
    <w:rsid w:val="00F26300"/>
    <w:rsid w:val="00F26652"/>
    <w:rsid w:val="00F2691B"/>
    <w:rsid w:val="00F26BA6"/>
    <w:rsid w:val="00F2708A"/>
    <w:rsid w:val="00F2786B"/>
    <w:rsid w:val="00F27EEC"/>
    <w:rsid w:val="00F3052B"/>
    <w:rsid w:val="00F30C1A"/>
    <w:rsid w:val="00F30E3E"/>
    <w:rsid w:val="00F313B3"/>
    <w:rsid w:val="00F316CA"/>
    <w:rsid w:val="00F31B25"/>
    <w:rsid w:val="00F31C84"/>
    <w:rsid w:val="00F3309D"/>
    <w:rsid w:val="00F3341E"/>
    <w:rsid w:val="00F338D4"/>
    <w:rsid w:val="00F33B6E"/>
    <w:rsid w:val="00F3422D"/>
    <w:rsid w:val="00F34AEE"/>
    <w:rsid w:val="00F34CAA"/>
    <w:rsid w:val="00F34CDF"/>
    <w:rsid w:val="00F3505D"/>
    <w:rsid w:val="00F35258"/>
    <w:rsid w:val="00F3553D"/>
    <w:rsid w:val="00F35586"/>
    <w:rsid w:val="00F3572F"/>
    <w:rsid w:val="00F35887"/>
    <w:rsid w:val="00F35925"/>
    <w:rsid w:val="00F35B44"/>
    <w:rsid w:val="00F36397"/>
    <w:rsid w:val="00F370CB"/>
    <w:rsid w:val="00F370D5"/>
    <w:rsid w:val="00F3745F"/>
    <w:rsid w:val="00F37BD8"/>
    <w:rsid w:val="00F4026B"/>
    <w:rsid w:val="00F411CD"/>
    <w:rsid w:val="00F412C3"/>
    <w:rsid w:val="00F412D6"/>
    <w:rsid w:val="00F416B4"/>
    <w:rsid w:val="00F4188E"/>
    <w:rsid w:val="00F41EDA"/>
    <w:rsid w:val="00F42669"/>
    <w:rsid w:val="00F426F5"/>
    <w:rsid w:val="00F4279F"/>
    <w:rsid w:val="00F42F99"/>
    <w:rsid w:val="00F43130"/>
    <w:rsid w:val="00F431E3"/>
    <w:rsid w:val="00F432FB"/>
    <w:rsid w:val="00F43842"/>
    <w:rsid w:val="00F4385B"/>
    <w:rsid w:val="00F43C5E"/>
    <w:rsid w:val="00F442DE"/>
    <w:rsid w:val="00F4436E"/>
    <w:rsid w:val="00F44FDC"/>
    <w:rsid w:val="00F45629"/>
    <w:rsid w:val="00F45A7A"/>
    <w:rsid w:val="00F464B2"/>
    <w:rsid w:val="00F469B0"/>
    <w:rsid w:val="00F4708B"/>
    <w:rsid w:val="00F471CC"/>
    <w:rsid w:val="00F472F8"/>
    <w:rsid w:val="00F500B3"/>
    <w:rsid w:val="00F500E1"/>
    <w:rsid w:val="00F506C2"/>
    <w:rsid w:val="00F50BC2"/>
    <w:rsid w:val="00F50D69"/>
    <w:rsid w:val="00F512A1"/>
    <w:rsid w:val="00F51686"/>
    <w:rsid w:val="00F51D56"/>
    <w:rsid w:val="00F5239C"/>
    <w:rsid w:val="00F52CF7"/>
    <w:rsid w:val="00F530FE"/>
    <w:rsid w:val="00F5337B"/>
    <w:rsid w:val="00F5347B"/>
    <w:rsid w:val="00F53636"/>
    <w:rsid w:val="00F5382B"/>
    <w:rsid w:val="00F53CF2"/>
    <w:rsid w:val="00F53DAB"/>
    <w:rsid w:val="00F53DB5"/>
    <w:rsid w:val="00F54C93"/>
    <w:rsid w:val="00F55536"/>
    <w:rsid w:val="00F557F4"/>
    <w:rsid w:val="00F55901"/>
    <w:rsid w:val="00F55DD4"/>
    <w:rsid w:val="00F56B8D"/>
    <w:rsid w:val="00F56ED1"/>
    <w:rsid w:val="00F57118"/>
    <w:rsid w:val="00F5745F"/>
    <w:rsid w:val="00F60249"/>
    <w:rsid w:val="00F6028D"/>
    <w:rsid w:val="00F603BD"/>
    <w:rsid w:val="00F6061E"/>
    <w:rsid w:val="00F6103A"/>
    <w:rsid w:val="00F612DF"/>
    <w:rsid w:val="00F61669"/>
    <w:rsid w:val="00F61AD1"/>
    <w:rsid w:val="00F61BEC"/>
    <w:rsid w:val="00F622BC"/>
    <w:rsid w:val="00F624A6"/>
    <w:rsid w:val="00F62AEE"/>
    <w:rsid w:val="00F62B53"/>
    <w:rsid w:val="00F62F62"/>
    <w:rsid w:val="00F63765"/>
    <w:rsid w:val="00F63830"/>
    <w:rsid w:val="00F639B0"/>
    <w:rsid w:val="00F63ABF"/>
    <w:rsid w:val="00F63C1F"/>
    <w:rsid w:val="00F64601"/>
    <w:rsid w:val="00F647C9"/>
    <w:rsid w:val="00F64C1E"/>
    <w:rsid w:val="00F64E43"/>
    <w:rsid w:val="00F65759"/>
    <w:rsid w:val="00F65BF4"/>
    <w:rsid w:val="00F65C12"/>
    <w:rsid w:val="00F65ECB"/>
    <w:rsid w:val="00F661C8"/>
    <w:rsid w:val="00F66B7B"/>
    <w:rsid w:val="00F66DA8"/>
    <w:rsid w:val="00F66F64"/>
    <w:rsid w:val="00F67ADA"/>
    <w:rsid w:val="00F703D2"/>
    <w:rsid w:val="00F70456"/>
    <w:rsid w:val="00F70A78"/>
    <w:rsid w:val="00F70ACD"/>
    <w:rsid w:val="00F70AFA"/>
    <w:rsid w:val="00F70B96"/>
    <w:rsid w:val="00F7127E"/>
    <w:rsid w:val="00F713B6"/>
    <w:rsid w:val="00F7142D"/>
    <w:rsid w:val="00F71489"/>
    <w:rsid w:val="00F715E5"/>
    <w:rsid w:val="00F71BF5"/>
    <w:rsid w:val="00F71E02"/>
    <w:rsid w:val="00F72766"/>
    <w:rsid w:val="00F7276B"/>
    <w:rsid w:val="00F72928"/>
    <w:rsid w:val="00F72A25"/>
    <w:rsid w:val="00F72B01"/>
    <w:rsid w:val="00F73685"/>
    <w:rsid w:val="00F7374C"/>
    <w:rsid w:val="00F73BD0"/>
    <w:rsid w:val="00F741CF"/>
    <w:rsid w:val="00F74396"/>
    <w:rsid w:val="00F745AA"/>
    <w:rsid w:val="00F752E8"/>
    <w:rsid w:val="00F75490"/>
    <w:rsid w:val="00F75805"/>
    <w:rsid w:val="00F76122"/>
    <w:rsid w:val="00F7636D"/>
    <w:rsid w:val="00F764A3"/>
    <w:rsid w:val="00F76687"/>
    <w:rsid w:val="00F768E4"/>
    <w:rsid w:val="00F76AC0"/>
    <w:rsid w:val="00F77217"/>
    <w:rsid w:val="00F774FC"/>
    <w:rsid w:val="00F77CF4"/>
    <w:rsid w:val="00F77D70"/>
    <w:rsid w:val="00F800E7"/>
    <w:rsid w:val="00F8035C"/>
    <w:rsid w:val="00F8049D"/>
    <w:rsid w:val="00F804CE"/>
    <w:rsid w:val="00F80528"/>
    <w:rsid w:val="00F80598"/>
    <w:rsid w:val="00F80648"/>
    <w:rsid w:val="00F806B2"/>
    <w:rsid w:val="00F809E2"/>
    <w:rsid w:val="00F80A71"/>
    <w:rsid w:val="00F80E3E"/>
    <w:rsid w:val="00F80E8F"/>
    <w:rsid w:val="00F80F6F"/>
    <w:rsid w:val="00F8169B"/>
    <w:rsid w:val="00F817AD"/>
    <w:rsid w:val="00F817CD"/>
    <w:rsid w:val="00F81970"/>
    <w:rsid w:val="00F81CAE"/>
    <w:rsid w:val="00F823D2"/>
    <w:rsid w:val="00F82965"/>
    <w:rsid w:val="00F82D14"/>
    <w:rsid w:val="00F82EEB"/>
    <w:rsid w:val="00F8313D"/>
    <w:rsid w:val="00F83B5E"/>
    <w:rsid w:val="00F83B61"/>
    <w:rsid w:val="00F83E74"/>
    <w:rsid w:val="00F84982"/>
    <w:rsid w:val="00F85038"/>
    <w:rsid w:val="00F853D7"/>
    <w:rsid w:val="00F854A1"/>
    <w:rsid w:val="00F85B7D"/>
    <w:rsid w:val="00F85C5E"/>
    <w:rsid w:val="00F85F71"/>
    <w:rsid w:val="00F86015"/>
    <w:rsid w:val="00F863F3"/>
    <w:rsid w:val="00F86A0A"/>
    <w:rsid w:val="00F86B0D"/>
    <w:rsid w:val="00F86E23"/>
    <w:rsid w:val="00F876AE"/>
    <w:rsid w:val="00F8777B"/>
    <w:rsid w:val="00F87796"/>
    <w:rsid w:val="00F90016"/>
    <w:rsid w:val="00F900B6"/>
    <w:rsid w:val="00F90204"/>
    <w:rsid w:val="00F90225"/>
    <w:rsid w:val="00F90282"/>
    <w:rsid w:val="00F90398"/>
    <w:rsid w:val="00F905AC"/>
    <w:rsid w:val="00F9068F"/>
    <w:rsid w:val="00F90FD6"/>
    <w:rsid w:val="00F91521"/>
    <w:rsid w:val="00F9154D"/>
    <w:rsid w:val="00F916B5"/>
    <w:rsid w:val="00F9172E"/>
    <w:rsid w:val="00F91DA6"/>
    <w:rsid w:val="00F92042"/>
    <w:rsid w:val="00F92A93"/>
    <w:rsid w:val="00F92BE4"/>
    <w:rsid w:val="00F93137"/>
    <w:rsid w:val="00F93555"/>
    <w:rsid w:val="00F93860"/>
    <w:rsid w:val="00F93CF8"/>
    <w:rsid w:val="00F94656"/>
    <w:rsid w:val="00F946D8"/>
    <w:rsid w:val="00F9512B"/>
    <w:rsid w:val="00F9536D"/>
    <w:rsid w:val="00F953FD"/>
    <w:rsid w:val="00F96468"/>
    <w:rsid w:val="00F96DC6"/>
    <w:rsid w:val="00F9759F"/>
    <w:rsid w:val="00F97B73"/>
    <w:rsid w:val="00FA0248"/>
    <w:rsid w:val="00FA0354"/>
    <w:rsid w:val="00FA04B5"/>
    <w:rsid w:val="00FA056B"/>
    <w:rsid w:val="00FA071B"/>
    <w:rsid w:val="00FA076C"/>
    <w:rsid w:val="00FA0AB3"/>
    <w:rsid w:val="00FA0B70"/>
    <w:rsid w:val="00FA20D5"/>
    <w:rsid w:val="00FA296A"/>
    <w:rsid w:val="00FA2E53"/>
    <w:rsid w:val="00FA311F"/>
    <w:rsid w:val="00FA33D1"/>
    <w:rsid w:val="00FA35A1"/>
    <w:rsid w:val="00FA3CBF"/>
    <w:rsid w:val="00FA3DB9"/>
    <w:rsid w:val="00FA3F56"/>
    <w:rsid w:val="00FA4061"/>
    <w:rsid w:val="00FA4290"/>
    <w:rsid w:val="00FA43FC"/>
    <w:rsid w:val="00FA4408"/>
    <w:rsid w:val="00FA46C0"/>
    <w:rsid w:val="00FA5A51"/>
    <w:rsid w:val="00FA5BCE"/>
    <w:rsid w:val="00FA669C"/>
    <w:rsid w:val="00FA699E"/>
    <w:rsid w:val="00FA6F0F"/>
    <w:rsid w:val="00FA7384"/>
    <w:rsid w:val="00FA75A4"/>
    <w:rsid w:val="00FA7675"/>
    <w:rsid w:val="00FA7ABD"/>
    <w:rsid w:val="00FA7CEE"/>
    <w:rsid w:val="00FB000A"/>
    <w:rsid w:val="00FB0024"/>
    <w:rsid w:val="00FB03F0"/>
    <w:rsid w:val="00FB0648"/>
    <w:rsid w:val="00FB0A2A"/>
    <w:rsid w:val="00FB0B36"/>
    <w:rsid w:val="00FB14DC"/>
    <w:rsid w:val="00FB15E1"/>
    <w:rsid w:val="00FB1914"/>
    <w:rsid w:val="00FB25C7"/>
    <w:rsid w:val="00FB2670"/>
    <w:rsid w:val="00FB2741"/>
    <w:rsid w:val="00FB275F"/>
    <w:rsid w:val="00FB2BEA"/>
    <w:rsid w:val="00FB3533"/>
    <w:rsid w:val="00FB39FF"/>
    <w:rsid w:val="00FB3E26"/>
    <w:rsid w:val="00FB3E9A"/>
    <w:rsid w:val="00FB433B"/>
    <w:rsid w:val="00FB437B"/>
    <w:rsid w:val="00FB4749"/>
    <w:rsid w:val="00FB4882"/>
    <w:rsid w:val="00FB4DA5"/>
    <w:rsid w:val="00FB4FDC"/>
    <w:rsid w:val="00FB5403"/>
    <w:rsid w:val="00FB577D"/>
    <w:rsid w:val="00FB5792"/>
    <w:rsid w:val="00FB5EEC"/>
    <w:rsid w:val="00FB5FC4"/>
    <w:rsid w:val="00FB60D2"/>
    <w:rsid w:val="00FB63CA"/>
    <w:rsid w:val="00FB65EC"/>
    <w:rsid w:val="00FB65EE"/>
    <w:rsid w:val="00FB6685"/>
    <w:rsid w:val="00FB6A1F"/>
    <w:rsid w:val="00FB6A3F"/>
    <w:rsid w:val="00FB6DBD"/>
    <w:rsid w:val="00FB7554"/>
    <w:rsid w:val="00FB769B"/>
    <w:rsid w:val="00FB7DFC"/>
    <w:rsid w:val="00FB7F45"/>
    <w:rsid w:val="00FC0433"/>
    <w:rsid w:val="00FC0507"/>
    <w:rsid w:val="00FC0781"/>
    <w:rsid w:val="00FC0F60"/>
    <w:rsid w:val="00FC0F61"/>
    <w:rsid w:val="00FC1352"/>
    <w:rsid w:val="00FC16DE"/>
    <w:rsid w:val="00FC18E5"/>
    <w:rsid w:val="00FC241A"/>
    <w:rsid w:val="00FC25BA"/>
    <w:rsid w:val="00FC31FD"/>
    <w:rsid w:val="00FC33D0"/>
    <w:rsid w:val="00FC3A37"/>
    <w:rsid w:val="00FC3D0C"/>
    <w:rsid w:val="00FC3D8F"/>
    <w:rsid w:val="00FC3E23"/>
    <w:rsid w:val="00FC3EB8"/>
    <w:rsid w:val="00FC41C8"/>
    <w:rsid w:val="00FC470C"/>
    <w:rsid w:val="00FC474D"/>
    <w:rsid w:val="00FC4923"/>
    <w:rsid w:val="00FC4AC3"/>
    <w:rsid w:val="00FC4C2E"/>
    <w:rsid w:val="00FC50C9"/>
    <w:rsid w:val="00FC5646"/>
    <w:rsid w:val="00FC588C"/>
    <w:rsid w:val="00FC598C"/>
    <w:rsid w:val="00FC5B84"/>
    <w:rsid w:val="00FC5BDB"/>
    <w:rsid w:val="00FC5C85"/>
    <w:rsid w:val="00FC60FE"/>
    <w:rsid w:val="00FC610E"/>
    <w:rsid w:val="00FC624F"/>
    <w:rsid w:val="00FC665C"/>
    <w:rsid w:val="00FC6EBE"/>
    <w:rsid w:val="00FC70F2"/>
    <w:rsid w:val="00FC7946"/>
    <w:rsid w:val="00FD0066"/>
    <w:rsid w:val="00FD01BA"/>
    <w:rsid w:val="00FD0BF8"/>
    <w:rsid w:val="00FD0C20"/>
    <w:rsid w:val="00FD1097"/>
    <w:rsid w:val="00FD1769"/>
    <w:rsid w:val="00FD1A7D"/>
    <w:rsid w:val="00FD1A8F"/>
    <w:rsid w:val="00FD20D4"/>
    <w:rsid w:val="00FD27CF"/>
    <w:rsid w:val="00FD2CEC"/>
    <w:rsid w:val="00FD2FB3"/>
    <w:rsid w:val="00FD37EC"/>
    <w:rsid w:val="00FD3891"/>
    <w:rsid w:val="00FD38C1"/>
    <w:rsid w:val="00FD3A3E"/>
    <w:rsid w:val="00FD3E3F"/>
    <w:rsid w:val="00FD406D"/>
    <w:rsid w:val="00FD451B"/>
    <w:rsid w:val="00FD4675"/>
    <w:rsid w:val="00FD4693"/>
    <w:rsid w:val="00FD4725"/>
    <w:rsid w:val="00FD479B"/>
    <w:rsid w:val="00FD493C"/>
    <w:rsid w:val="00FD4CE4"/>
    <w:rsid w:val="00FD4F08"/>
    <w:rsid w:val="00FD5937"/>
    <w:rsid w:val="00FD59EC"/>
    <w:rsid w:val="00FD5F6C"/>
    <w:rsid w:val="00FD6372"/>
    <w:rsid w:val="00FD6F49"/>
    <w:rsid w:val="00FD742A"/>
    <w:rsid w:val="00FD7714"/>
    <w:rsid w:val="00FD785A"/>
    <w:rsid w:val="00FD7D61"/>
    <w:rsid w:val="00FD7E2D"/>
    <w:rsid w:val="00FE03E9"/>
    <w:rsid w:val="00FE0CE8"/>
    <w:rsid w:val="00FE0F71"/>
    <w:rsid w:val="00FE0F95"/>
    <w:rsid w:val="00FE0FB4"/>
    <w:rsid w:val="00FE1065"/>
    <w:rsid w:val="00FE19AD"/>
    <w:rsid w:val="00FE215C"/>
    <w:rsid w:val="00FE23BB"/>
    <w:rsid w:val="00FE2505"/>
    <w:rsid w:val="00FE29DA"/>
    <w:rsid w:val="00FE2AFF"/>
    <w:rsid w:val="00FE2CFF"/>
    <w:rsid w:val="00FE3890"/>
    <w:rsid w:val="00FE3C63"/>
    <w:rsid w:val="00FE3E24"/>
    <w:rsid w:val="00FE3F18"/>
    <w:rsid w:val="00FE3FEA"/>
    <w:rsid w:val="00FE4373"/>
    <w:rsid w:val="00FE49DC"/>
    <w:rsid w:val="00FE515C"/>
    <w:rsid w:val="00FE557D"/>
    <w:rsid w:val="00FE574B"/>
    <w:rsid w:val="00FE5A1A"/>
    <w:rsid w:val="00FE658D"/>
    <w:rsid w:val="00FE65BA"/>
    <w:rsid w:val="00FE6622"/>
    <w:rsid w:val="00FE687A"/>
    <w:rsid w:val="00FE6FDC"/>
    <w:rsid w:val="00FE718A"/>
    <w:rsid w:val="00FE74BF"/>
    <w:rsid w:val="00FE7643"/>
    <w:rsid w:val="00FE768E"/>
    <w:rsid w:val="00FE7A74"/>
    <w:rsid w:val="00FE7D3E"/>
    <w:rsid w:val="00FE7F75"/>
    <w:rsid w:val="00FF0063"/>
    <w:rsid w:val="00FF05A3"/>
    <w:rsid w:val="00FF06B7"/>
    <w:rsid w:val="00FF0C7B"/>
    <w:rsid w:val="00FF0E47"/>
    <w:rsid w:val="00FF0EEA"/>
    <w:rsid w:val="00FF0FBC"/>
    <w:rsid w:val="00FF1169"/>
    <w:rsid w:val="00FF162B"/>
    <w:rsid w:val="00FF166A"/>
    <w:rsid w:val="00FF2084"/>
    <w:rsid w:val="00FF2164"/>
    <w:rsid w:val="00FF2286"/>
    <w:rsid w:val="00FF2627"/>
    <w:rsid w:val="00FF2E8E"/>
    <w:rsid w:val="00FF3036"/>
    <w:rsid w:val="00FF3B00"/>
    <w:rsid w:val="00FF3B4E"/>
    <w:rsid w:val="00FF3F2D"/>
    <w:rsid w:val="00FF42F6"/>
    <w:rsid w:val="00FF4A20"/>
    <w:rsid w:val="00FF4B4A"/>
    <w:rsid w:val="00FF502F"/>
    <w:rsid w:val="00FF5580"/>
    <w:rsid w:val="00FF5711"/>
    <w:rsid w:val="00FF596B"/>
    <w:rsid w:val="00FF59FE"/>
    <w:rsid w:val="00FF6209"/>
    <w:rsid w:val="00FF6222"/>
    <w:rsid w:val="00FF62D9"/>
    <w:rsid w:val="00FF6956"/>
    <w:rsid w:val="00FF6B34"/>
    <w:rsid w:val="00FF6FC4"/>
    <w:rsid w:val="00FF7820"/>
    <w:rsid w:val="00FF788B"/>
    <w:rsid w:val="010F48AF"/>
    <w:rsid w:val="014B7605"/>
    <w:rsid w:val="014E0463"/>
    <w:rsid w:val="01564FCA"/>
    <w:rsid w:val="015F7250"/>
    <w:rsid w:val="018010A7"/>
    <w:rsid w:val="01855591"/>
    <w:rsid w:val="019D566A"/>
    <w:rsid w:val="01A30DC9"/>
    <w:rsid w:val="01B31CAD"/>
    <w:rsid w:val="01C03D67"/>
    <w:rsid w:val="01D37B8D"/>
    <w:rsid w:val="023B4C37"/>
    <w:rsid w:val="024218BE"/>
    <w:rsid w:val="0256174D"/>
    <w:rsid w:val="02875103"/>
    <w:rsid w:val="02BC7E58"/>
    <w:rsid w:val="02F03329"/>
    <w:rsid w:val="03083E7A"/>
    <w:rsid w:val="03153D01"/>
    <w:rsid w:val="03344F65"/>
    <w:rsid w:val="033E3396"/>
    <w:rsid w:val="034638B2"/>
    <w:rsid w:val="039A3BBB"/>
    <w:rsid w:val="039E2414"/>
    <w:rsid w:val="03A438F0"/>
    <w:rsid w:val="03B74786"/>
    <w:rsid w:val="03BD6612"/>
    <w:rsid w:val="03BF5A04"/>
    <w:rsid w:val="03C714FA"/>
    <w:rsid w:val="03CC061D"/>
    <w:rsid w:val="03F000E3"/>
    <w:rsid w:val="043026F0"/>
    <w:rsid w:val="045762F0"/>
    <w:rsid w:val="046B75F1"/>
    <w:rsid w:val="047E0C61"/>
    <w:rsid w:val="04892CD1"/>
    <w:rsid w:val="04AB7E25"/>
    <w:rsid w:val="04AD152A"/>
    <w:rsid w:val="04AD6A9A"/>
    <w:rsid w:val="04AF4375"/>
    <w:rsid w:val="04CA65F5"/>
    <w:rsid w:val="04D0781D"/>
    <w:rsid w:val="04F25D77"/>
    <w:rsid w:val="04F26B88"/>
    <w:rsid w:val="05223EC0"/>
    <w:rsid w:val="052D0230"/>
    <w:rsid w:val="052F166A"/>
    <w:rsid w:val="05353736"/>
    <w:rsid w:val="05524420"/>
    <w:rsid w:val="05550340"/>
    <w:rsid w:val="055516E8"/>
    <w:rsid w:val="0556787D"/>
    <w:rsid w:val="055B1A42"/>
    <w:rsid w:val="057C7038"/>
    <w:rsid w:val="05A04E1D"/>
    <w:rsid w:val="05AA47D6"/>
    <w:rsid w:val="05B81088"/>
    <w:rsid w:val="05CC48A0"/>
    <w:rsid w:val="05E01B63"/>
    <w:rsid w:val="05FF1A4F"/>
    <w:rsid w:val="05FF7447"/>
    <w:rsid w:val="061573C9"/>
    <w:rsid w:val="061606ED"/>
    <w:rsid w:val="062309EB"/>
    <w:rsid w:val="06271F1F"/>
    <w:rsid w:val="06347742"/>
    <w:rsid w:val="063657F7"/>
    <w:rsid w:val="06496FD7"/>
    <w:rsid w:val="06634548"/>
    <w:rsid w:val="06691CC3"/>
    <w:rsid w:val="066F4F2E"/>
    <w:rsid w:val="06750FB9"/>
    <w:rsid w:val="06765B76"/>
    <w:rsid w:val="067D6CA7"/>
    <w:rsid w:val="068C6351"/>
    <w:rsid w:val="06A62B9D"/>
    <w:rsid w:val="06C90E5D"/>
    <w:rsid w:val="06FC1FDA"/>
    <w:rsid w:val="07046843"/>
    <w:rsid w:val="071009B7"/>
    <w:rsid w:val="07203C7C"/>
    <w:rsid w:val="07485C68"/>
    <w:rsid w:val="074A499F"/>
    <w:rsid w:val="075654BF"/>
    <w:rsid w:val="077809D1"/>
    <w:rsid w:val="077C55E2"/>
    <w:rsid w:val="07BF2073"/>
    <w:rsid w:val="07C61295"/>
    <w:rsid w:val="07FA59B0"/>
    <w:rsid w:val="081327E4"/>
    <w:rsid w:val="08157AEC"/>
    <w:rsid w:val="0828214A"/>
    <w:rsid w:val="0847273F"/>
    <w:rsid w:val="086354C0"/>
    <w:rsid w:val="08753F3B"/>
    <w:rsid w:val="087D118F"/>
    <w:rsid w:val="08C17CB0"/>
    <w:rsid w:val="08D52707"/>
    <w:rsid w:val="08DB2692"/>
    <w:rsid w:val="08E90795"/>
    <w:rsid w:val="08F4310C"/>
    <w:rsid w:val="08F67731"/>
    <w:rsid w:val="08FD6A36"/>
    <w:rsid w:val="09071A19"/>
    <w:rsid w:val="09162140"/>
    <w:rsid w:val="091D1359"/>
    <w:rsid w:val="0928336C"/>
    <w:rsid w:val="095B12C8"/>
    <w:rsid w:val="0970616C"/>
    <w:rsid w:val="09767763"/>
    <w:rsid w:val="09E02CC1"/>
    <w:rsid w:val="09EC4639"/>
    <w:rsid w:val="0A296B33"/>
    <w:rsid w:val="0A307922"/>
    <w:rsid w:val="0A32702B"/>
    <w:rsid w:val="0A405648"/>
    <w:rsid w:val="0A485F32"/>
    <w:rsid w:val="0A5F5448"/>
    <w:rsid w:val="0A703500"/>
    <w:rsid w:val="0A7D313F"/>
    <w:rsid w:val="0A852957"/>
    <w:rsid w:val="0AB20664"/>
    <w:rsid w:val="0AD30797"/>
    <w:rsid w:val="0AD40997"/>
    <w:rsid w:val="0AEA5424"/>
    <w:rsid w:val="0AEF001B"/>
    <w:rsid w:val="0AFA1F74"/>
    <w:rsid w:val="0B0834C8"/>
    <w:rsid w:val="0B0D7240"/>
    <w:rsid w:val="0B125239"/>
    <w:rsid w:val="0B1702BD"/>
    <w:rsid w:val="0B1C0360"/>
    <w:rsid w:val="0B1C56D7"/>
    <w:rsid w:val="0B4E53B3"/>
    <w:rsid w:val="0BAA0734"/>
    <w:rsid w:val="0BBC1433"/>
    <w:rsid w:val="0BC42611"/>
    <w:rsid w:val="0BC46A12"/>
    <w:rsid w:val="0BDE1EFA"/>
    <w:rsid w:val="0BE33CC1"/>
    <w:rsid w:val="0BFD2D36"/>
    <w:rsid w:val="0C121E60"/>
    <w:rsid w:val="0C1C3374"/>
    <w:rsid w:val="0C500B5A"/>
    <w:rsid w:val="0C6530BB"/>
    <w:rsid w:val="0C694D9E"/>
    <w:rsid w:val="0C6C51C4"/>
    <w:rsid w:val="0C8405FC"/>
    <w:rsid w:val="0C9012B4"/>
    <w:rsid w:val="0CAF22AD"/>
    <w:rsid w:val="0CBA02B1"/>
    <w:rsid w:val="0CC371D3"/>
    <w:rsid w:val="0D117AB4"/>
    <w:rsid w:val="0D1F3998"/>
    <w:rsid w:val="0D322457"/>
    <w:rsid w:val="0D325928"/>
    <w:rsid w:val="0D403070"/>
    <w:rsid w:val="0D6A177C"/>
    <w:rsid w:val="0D7D26A5"/>
    <w:rsid w:val="0D9F3487"/>
    <w:rsid w:val="0DA57E91"/>
    <w:rsid w:val="0DB97507"/>
    <w:rsid w:val="0DC17041"/>
    <w:rsid w:val="0DD50F05"/>
    <w:rsid w:val="0DD86CB2"/>
    <w:rsid w:val="0DE474FD"/>
    <w:rsid w:val="0DF25EA1"/>
    <w:rsid w:val="0E0F2ED4"/>
    <w:rsid w:val="0E1D04EA"/>
    <w:rsid w:val="0E304D0A"/>
    <w:rsid w:val="0E41104F"/>
    <w:rsid w:val="0E436519"/>
    <w:rsid w:val="0E9D1E56"/>
    <w:rsid w:val="0EAB1026"/>
    <w:rsid w:val="0EAB2ED8"/>
    <w:rsid w:val="0EBC59E4"/>
    <w:rsid w:val="0EE74188"/>
    <w:rsid w:val="0EF903C7"/>
    <w:rsid w:val="0EFA1CC6"/>
    <w:rsid w:val="0F157D68"/>
    <w:rsid w:val="0F1A7646"/>
    <w:rsid w:val="0F39543E"/>
    <w:rsid w:val="0F3B785F"/>
    <w:rsid w:val="0F936FE9"/>
    <w:rsid w:val="0F9B5B9C"/>
    <w:rsid w:val="0FAE7895"/>
    <w:rsid w:val="0FBE2CF1"/>
    <w:rsid w:val="10035191"/>
    <w:rsid w:val="100513DF"/>
    <w:rsid w:val="1037549B"/>
    <w:rsid w:val="103C23C1"/>
    <w:rsid w:val="10460B03"/>
    <w:rsid w:val="105B5942"/>
    <w:rsid w:val="107234C6"/>
    <w:rsid w:val="1078033E"/>
    <w:rsid w:val="10AB053B"/>
    <w:rsid w:val="10C64302"/>
    <w:rsid w:val="10CA46BD"/>
    <w:rsid w:val="10E04C12"/>
    <w:rsid w:val="10E256E1"/>
    <w:rsid w:val="10F4762E"/>
    <w:rsid w:val="10F85FD5"/>
    <w:rsid w:val="111C0235"/>
    <w:rsid w:val="113643E0"/>
    <w:rsid w:val="11475A7F"/>
    <w:rsid w:val="1188158A"/>
    <w:rsid w:val="1193535F"/>
    <w:rsid w:val="11946AD6"/>
    <w:rsid w:val="11A646B1"/>
    <w:rsid w:val="11B521FB"/>
    <w:rsid w:val="11BC5755"/>
    <w:rsid w:val="11BD32EF"/>
    <w:rsid w:val="11D43734"/>
    <w:rsid w:val="11DB0DE4"/>
    <w:rsid w:val="120735F4"/>
    <w:rsid w:val="121B4DCF"/>
    <w:rsid w:val="121D584B"/>
    <w:rsid w:val="12604ABE"/>
    <w:rsid w:val="1272497F"/>
    <w:rsid w:val="1280314C"/>
    <w:rsid w:val="12816F86"/>
    <w:rsid w:val="1288561C"/>
    <w:rsid w:val="128F40E4"/>
    <w:rsid w:val="1298421D"/>
    <w:rsid w:val="12A807F9"/>
    <w:rsid w:val="12D04CC6"/>
    <w:rsid w:val="12D62C91"/>
    <w:rsid w:val="12DA613B"/>
    <w:rsid w:val="12E1382D"/>
    <w:rsid w:val="13025096"/>
    <w:rsid w:val="131B3FF2"/>
    <w:rsid w:val="13346E3B"/>
    <w:rsid w:val="134C6FE6"/>
    <w:rsid w:val="137E1C1A"/>
    <w:rsid w:val="138D0DF7"/>
    <w:rsid w:val="1398369B"/>
    <w:rsid w:val="13DD6320"/>
    <w:rsid w:val="13E04DA4"/>
    <w:rsid w:val="13E81106"/>
    <w:rsid w:val="14463DFF"/>
    <w:rsid w:val="14637098"/>
    <w:rsid w:val="146A019E"/>
    <w:rsid w:val="14777277"/>
    <w:rsid w:val="148368A0"/>
    <w:rsid w:val="14C20439"/>
    <w:rsid w:val="14CB07BA"/>
    <w:rsid w:val="14D0116C"/>
    <w:rsid w:val="14D267E0"/>
    <w:rsid w:val="14D772E7"/>
    <w:rsid w:val="14E8479C"/>
    <w:rsid w:val="14F075B5"/>
    <w:rsid w:val="14F331F6"/>
    <w:rsid w:val="15075772"/>
    <w:rsid w:val="150B0609"/>
    <w:rsid w:val="15292243"/>
    <w:rsid w:val="15340827"/>
    <w:rsid w:val="153E4F01"/>
    <w:rsid w:val="15542FB4"/>
    <w:rsid w:val="155C404A"/>
    <w:rsid w:val="156C6DC9"/>
    <w:rsid w:val="15751C9D"/>
    <w:rsid w:val="158C1D11"/>
    <w:rsid w:val="159352A6"/>
    <w:rsid w:val="159C0BBE"/>
    <w:rsid w:val="15A62E8F"/>
    <w:rsid w:val="15B61E96"/>
    <w:rsid w:val="15BD2E04"/>
    <w:rsid w:val="15D809E4"/>
    <w:rsid w:val="15DD0152"/>
    <w:rsid w:val="15EC65CB"/>
    <w:rsid w:val="15F31EF1"/>
    <w:rsid w:val="15FD25A1"/>
    <w:rsid w:val="1602593D"/>
    <w:rsid w:val="16132362"/>
    <w:rsid w:val="16387521"/>
    <w:rsid w:val="16581F44"/>
    <w:rsid w:val="16626BA1"/>
    <w:rsid w:val="166A6F32"/>
    <w:rsid w:val="167A5763"/>
    <w:rsid w:val="16A95A66"/>
    <w:rsid w:val="16AA745C"/>
    <w:rsid w:val="16C43487"/>
    <w:rsid w:val="16D27E7B"/>
    <w:rsid w:val="16F00162"/>
    <w:rsid w:val="16F34F1A"/>
    <w:rsid w:val="16F42DB9"/>
    <w:rsid w:val="17065283"/>
    <w:rsid w:val="172C10FA"/>
    <w:rsid w:val="173E68C1"/>
    <w:rsid w:val="17612BE7"/>
    <w:rsid w:val="1768476E"/>
    <w:rsid w:val="17747723"/>
    <w:rsid w:val="177A5864"/>
    <w:rsid w:val="178469D5"/>
    <w:rsid w:val="17995547"/>
    <w:rsid w:val="179F20EF"/>
    <w:rsid w:val="17A304A8"/>
    <w:rsid w:val="17DB2242"/>
    <w:rsid w:val="17EF6E1D"/>
    <w:rsid w:val="18072EEC"/>
    <w:rsid w:val="183E045E"/>
    <w:rsid w:val="187D44F8"/>
    <w:rsid w:val="189B7715"/>
    <w:rsid w:val="189D3D71"/>
    <w:rsid w:val="18C663F6"/>
    <w:rsid w:val="18CC410C"/>
    <w:rsid w:val="18D16A4A"/>
    <w:rsid w:val="18E4127D"/>
    <w:rsid w:val="18EC058A"/>
    <w:rsid w:val="18FC50FA"/>
    <w:rsid w:val="190A120D"/>
    <w:rsid w:val="19161EDD"/>
    <w:rsid w:val="192636BE"/>
    <w:rsid w:val="19291DEE"/>
    <w:rsid w:val="194A7758"/>
    <w:rsid w:val="194E5770"/>
    <w:rsid w:val="195F08C9"/>
    <w:rsid w:val="197F0B2E"/>
    <w:rsid w:val="19804DEF"/>
    <w:rsid w:val="199932AC"/>
    <w:rsid w:val="19AD75F2"/>
    <w:rsid w:val="19BF6C04"/>
    <w:rsid w:val="19D25750"/>
    <w:rsid w:val="19DA13A3"/>
    <w:rsid w:val="19E051EB"/>
    <w:rsid w:val="19FE1434"/>
    <w:rsid w:val="1A0E6D7E"/>
    <w:rsid w:val="1A201708"/>
    <w:rsid w:val="1A214369"/>
    <w:rsid w:val="1A3411F3"/>
    <w:rsid w:val="1A3434E1"/>
    <w:rsid w:val="1A381D59"/>
    <w:rsid w:val="1A4D7231"/>
    <w:rsid w:val="1A566AA6"/>
    <w:rsid w:val="1A762DE1"/>
    <w:rsid w:val="1A7F3F22"/>
    <w:rsid w:val="1A805AC1"/>
    <w:rsid w:val="1AD50C30"/>
    <w:rsid w:val="1AE25A79"/>
    <w:rsid w:val="1AF33E96"/>
    <w:rsid w:val="1AF52B09"/>
    <w:rsid w:val="1AFB1C44"/>
    <w:rsid w:val="1B0721C9"/>
    <w:rsid w:val="1B217C51"/>
    <w:rsid w:val="1B223B94"/>
    <w:rsid w:val="1B291BF4"/>
    <w:rsid w:val="1B2E2C01"/>
    <w:rsid w:val="1B304E7C"/>
    <w:rsid w:val="1B4D1E73"/>
    <w:rsid w:val="1B716B13"/>
    <w:rsid w:val="1B7F6414"/>
    <w:rsid w:val="1B8F322A"/>
    <w:rsid w:val="1BA65B67"/>
    <w:rsid w:val="1BAB5134"/>
    <w:rsid w:val="1BB81101"/>
    <w:rsid w:val="1BC3105A"/>
    <w:rsid w:val="1BD55CAD"/>
    <w:rsid w:val="1BD6403B"/>
    <w:rsid w:val="1BDB7CC9"/>
    <w:rsid w:val="1C0F125B"/>
    <w:rsid w:val="1C1579C9"/>
    <w:rsid w:val="1C3F5D42"/>
    <w:rsid w:val="1C442FE3"/>
    <w:rsid w:val="1C84624C"/>
    <w:rsid w:val="1C944C4D"/>
    <w:rsid w:val="1CA23035"/>
    <w:rsid w:val="1CA24418"/>
    <w:rsid w:val="1CA41E87"/>
    <w:rsid w:val="1CA66F8F"/>
    <w:rsid w:val="1CB27898"/>
    <w:rsid w:val="1CB82A60"/>
    <w:rsid w:val="1CB9169C"/>
    <w:rsid w:val="1CC42B07"/>
    <w:rsid w:val="1CC45E22"/>
    <w:rsid w:val="1CCA62A2"/>
    <w:rsid w:val="1CD132C5"/>
    <w:rsid w:val="1CDF6E72"/>
    <w:rsid w:val="1CE82BC3"/>
    <w:rsid w:val="1CF91F54"/>
    <w:rsid w:val="1D097083"/>
    <w:rsid w:val="1D0F4E8B"/>
    <w:rsid w:val="1D254083"/>
    <w:rsid w:val="1D501EAE"/>
    <w:rsid w:val="1D567E5B"/>
    <w:rsid w:val="1D602E22"/>
    <w:rsid w:val="1D686972"/>
    <w:rsid w:val="1D7F1D50"/>
    <w:rsid w:val="1D9B5E8F"/>
    <w:rsid w:val="1DA55DBB"/>
    <w:rsid w:val="1DB53A7F"/>
    <w:rsid w:val="1DBC7539"/>
    <w:rsid w:val="1DC038B0"/>
    <w:rsid w:val="1DD81344"/>
    <w:rsid w:val="1DEE0D2A"/>
    <w:rsid w:val="1E003494"/>
    <w:rsid w:val="1E256CC2"/>
    <w:rsid w:val="1E3C6BCF"/>
    <w:rsid w:val="1E4E0322"/>
    <w:rsid w:val="1E5F665E"/>
    <w:rsid w:val="1E8A3B88"/>
    <w:rsid w:val="1E9C0173"/>
    <w:rsid w:val="1E9C33D9"/>
    <w:rsid w:val="1E9D7BC1"/>
    <w:rsid w:val="1EA228EF"/>
    <w:rsid w:val="1EA64425"/>
    <w:rsid w:val="1EC2685B"/>
    <w:rsid w:val="1ED453F4"/>
    <w:rsid w:val="1ED9306B"/>
    <w:rsid w:val="1EDD32CC"/>
    <w:rsid w:val="1EFE6A9F"/>
    <w:rsid w:val="1F1B67DE"/>
    <w:rsid w:val="1F282DD8"/>
    <w:rsid w:val="1F2C4219"/>
    <w:rsid w:val="1F37243F"/>
    <w:rsid w:val="1F577B74"/>
    <w:rsid w:val="1F5948B3"/>
    <w:rsid w:val="1F6266CD"/>
    <w:rsid w:val="1F772163"/>
    <w:rsid w:val="1F776255"/>
    <w:rsid w:val="1F936D37"/>
    <w:rsid w:val="1FA52619"/>
    <w:rsid w:val="1FC16CA5"/>
    <w:rsid w:val="1FE36308"/>
    <w:rsid w:val="1FE633B5"/>
    <w:rsid w:val="1FEB4DE8"/>
    <w:rsid w:val="20292DE0"/>
    <w:rsid w:val="203A677A"/>
    <w:rsid w:val="20433C17"/>
    <w:rsid w:val="205E4D43"/>
    <w:rsid w:val="20682B8E"/>
    <w:rsid w:val="20920A2B"/>
    <w:rsid w:val="20EC36F6"/>
    <w:rsid w:val="20EC5535"/>
    <w:rsid w:val="20F22B13"/>
    <w:rsid w:val="20F44981"/>
    <w:rsid w:val="2138518B"/>
    <w:rsid w:val="2139587A"/>
    <w:rsid w:val="214F669F"/>
    <w:rsid w:val="21685D55"/>
    <w:rsid w:val="217138FE"/>
    <w:rsid w:val="21740A1B"/>
    <w:rsid w:val="218C19D4"/>
    <w:rsid w:val="21911A71"/>
    <w:rsid w:val="219C299C"/>
    <w:rsid w:val="21B45629"/>
    <w:rsid w:val="21DE7307"/>
    <w:rsid w:val="21E23F17"/>
    <w:rsid w:val="21E4675B"/>
    <w:rsid w:val="22090F6F"/>
    <w:rsid w:val="22215757"/>
    <w:rsid w:val="22487249"/>
    <w:rsid w:val="225A4B67"/>
    <w:rsid w:val="225E6B87"/>
    <w:rsid w:val="22626D64"/>
    <w:rsid w:val="226A60B9"/>
    <w:rsid w:val="226D37C1"/>
    <w:rsid w:val="22826F6D"/>
    <w:rsid w:val="228F3573"/>
    <w:rsid w:val="22B75D9F"/>
    <w:rsid w:val="22C6411F"/>
    <w:rsid w:val="22CE11F9"/>
    <w:rsid w:val="22CE2E24"/>
    <w:rsid w:val="22E31B60"/>
    <w:rsid w:val="22E56D07"/>
    <w:rsid w:val="22F66688"/>
    <w:rsid w:val="23127963"/>
    <w:rsid w:val="232D263C"/>
    <w:rsid w:val="235539EE"/>
    <w:rsid w:val="2371366B"/>
    <w:rsid w:val="23736D85"/>
    <w:rsid w:val="23956D08"/>
    <w:rsid w:val="23A733CA"/>
    <w:rsid w:val="23B90359"/>
    <w:rsid w:val="23D35CAD"/>
    <w:rsid w:val="23DA19C8"/>
    <w:rsid w:val="23DB0A41"/>
    <w:rsid w:val="23DB6056"/>
    <w:rsid w:val="23EC25FC"/>
    <w:rsid w:val="23F436B7"/>
    <w:rsid w:val="240F13D4"/>
    <w:rsid w:val="243D5D58"/>
    <w:rsid w:val="248572CB"/>
    <w:rsid w:val="248644D9"/>
    <w:rsid w:val="24984735"/>
    <w:rsid w:val="24AE003E"/>
    <w:rsid w:val="24CD2C1B"/>
    <w:rsid w:val="24CD6AB5"/>
    <w:rsid w:val="24D07E0D"/>
    <w:rsid w:val="24F0219D"/>
    <w:rsid w:val="25085BC3"/>
    <w:rsid w:val="250952C8"/>
    <w:rsid w:val="251F0167"/>
    <w:rsid w:val="253F3C3D"/>
    <w:rsid w:val="257D2D5D"/>
    <w:rsid w:val="25815643"/>
    <w:rsid w:val="25B35B4A"/>
    <w:rsid w:val="25B71A4A"/>
    <w:rsid w:val="25C73434"/>
    <w:rsid w:val="25CC0028"/>
    <w:rsid w:val="25F360A6"/>
    <w:rsid w:val="260537AC"/>
    <w:rsid w:val="260C2502"/>
    <w:rsid w:val="26197225"/>
    <w:rsid w:val="263B6EF4"/>
    <w:rsid w:val="265157C1"/>
    <w:rsid w:val="265B5073"/>
    <w:rsid w:val="266A77FE"/>
    <w:rsid w:val="268D5AA7"/>
    <w:rsid w:val="268F0978"/>
    <w:rsid w:val="26A548EE"/>
    <w:rsid w:val="26B15966"/>
    <w:rsid w:val="26DC57D1"/>
    <w:rsid w:val="26E85898"/>
    <w:rsid w:val="26EE5764"/>
    <w:rsid w:val="27005D53"/>
    <w:rsid w:val="27227D08"/>
    <w:rsid w:val="27587089"/>
    <w:rsid w:val="27701D91"/>
    <w:rsid w:val="277D50EE"/>
    <w:rsid w:val="27817F70"/>
    <w:rsid w:val="27853257"/>
    <w:rsid w:val="279309C7"/>
    <w:rsid w:val="27A63E61"/>
    <w:rsid w:val="27C01E51"/>
    <w:rsid w:val="27EB3397"/>
    <w:rsid w:val="283D4045"/>
    <w:rsid w:val="2842699F"/>
    <w:rsid w:val="28441A86"/>
    <w:rsid w:val="28522D8F"/>
    <w:rsid w:val="28645B7B"/>
    <w:rsid w:val="286C58A6"/>
    <w:rsid w:val="28826DB5"/>
    <w:rsid w:val="289121DB"/>
    <w:rsid w:val="289E1EAD"/>
    <w:rsid w:val="28CD7AAA"/>
    <w:rsid w:val="28D917C1"/>
    <w:rsid w:val="28EC0790"/>
    <w:rsid w:val="290868E1"/>
    <w:rsid w:val="293436C6"/>
    <w:rsid w:val="293A63AA"/>
    <w:rsid w:val="29455FD9"/>
    <w:rsid w:val="29554180"/>
    <w:rsid w:val="295C2363"/>
    <w:rsid w:val="29690F3A"/>
    <w:rsid w:val="29787786"/>
    <w:rsid w:val="297B4733"/>
    <w:rsid w:val="29833C8B"/>
    <w:rsid w:val="2992107D"/>
    <w:rsid w:val="29925231"/>
    <w:rsid w:val="29A700E5"/>
    <w:rsid w:val="29B84D18"/>
    <w:rsid w:val="29B84DDE"/>
    <w:rsid w:val="29C90F8D"/>
    <w:rsid w:val="29DA7C94"/>
    <w:rsid w:val="29DA7D4D"/>
    <w:rsid w:val="29DD460B"/>
    <w:rsid w:val="29E06472"/>
    <w:rsid w:val="29E779B5"/>
    <w:rsid w:val="29EC58A3"/>
    <w:rsid w:val="2A307B92"/>
    <w:rsid w:val="2A7651D8"/>
    <w:rsid w:val="2A7B2FD6"/>
    <w:rsid w:val="2A8F3434"/>
    <w:rsid w:val="2AA470F9"/>
    <w:rsid w:val="2AEC4D41"/>
    <w:rsid w:val="2B3945C9"/>
    <w:rsid w:val="2B441BFA"/>
    <w:rsid w:val="2B522B5D"/>
    <w:rsid w:val="2B562B10"/>
    <w:rsid w:val="2B5B7383"/>
    <w:rsid w:val="2B9F51D3"/>
    <w:rsid w:val="2BAB60F2"/>
    <w:rsid w:val="2BAE38FB"/>
    <w:rsid w:val="2BDD0E5E"/>
    <w:rsid w:val="2BF442E7"/>
    <w:rsid w:val="2C1632BB"/>
    <w:rsid w:val="2C1B480C"/>
    <w:rsid w:val="2C1C33B2"/>
    <w:rsid w:val="2C3C3AAE"/>
    <w:rsid w:val="2C4905AB"/>
    <w:rsid w:val="2C506CB1"/>
    <w:rsid w:val="2C566C9F"/>
    <w:rsid w:val="2C583A7A"/>
    <w:rsid w:val="2C5B790D"/>
    <w:rsid w:val="2C5E3CF0"/>
    <w:rsid w:val="2C920EA5"/>
    <w:rsid w:val="2CA43496"/>
    <w:rsid w:val="2CA50F70"/>
    <w:rsid w:val="2CE35C5F"/>
    <w:rsid w:val="2CE9610C"/>
    <w:rsid w:val="2D2C22A4"/>
    <w:rsid w:val="2D430329"/>
    <w:rsid w:val="2D4C5678"/>
    <w:rsid w:val="2D643729"/>
    <w:rsid w:val="2D800182"/>
    <w:rsid w:val="2D800AC5"/>
    <w:rsid w:val="2D88674C"/>
    <w:rsid w:val="2D9D27CD"/>
    <w:rsid w:val="2D9E650C"/>
    <w:rsid w:val="2DBA0363"/>
    <w:rsid w:val="2DBB35D4"/>
    <w:rsid w:val="2DCA55C1"/>
    <w:rsid w:val="2DD641ED"/>
    <w:rsid w:val="2DE55065"/>
    <w:rsid w:val="2E21385A"/>
    <w:rsid w:val="2E460DC0"/>
    <w:rsid w:val="2E6F2908"/>
    <w:rsid w:val="2E9C0805"/>
    <w:rsid w:val="2EAF4CAB"/>
    <w:rsid w:val="2EAF7652"/>
    <w:rsid w:val="2EB76CF2"/>
    <w:rsid w:val="2EBA2D68"/>
    <w:rsid w:val="2ECD15D2"/>
    <w:rsid w:val="2ECD17FC"/>
    <w:rsid w:val="2EE97186"/>
    <w:rsid w:val="2F13139C"/>
    <w:rsid w:val="2F172297"/>
    <w:rsid w:val="2F1D5B9A"/>
    <w:rsid w:val="2F224072"/>
    <w:rsid w:val="2F2342C1"/>
    <w:rsid w:val="2F3D1470"/>
    <w:rsid w:val="2F45626E"/>
    <w:rsid w:val="2F5A00B2"/>
    <w:rsid w:val="2F5C0EB9"/>
    <w:rsid w:val="2F5C102C"/>
    <w:rsid w:val="2F683920"/>
    <w:rsid w:val="2F853769"/>
    <w:rsid w:val="2FBE7467"/>
    <w:rsid w:val="2FDF49BE"/>
    <w:rsid w:val="2FE40A61"/>
    <w:rsid w:val="2FE8168C"/>
    <w:rsid w:val="3041140C"/>
    <w:rsid w:val="304719AC"/>
    <w:rsid w:val="30565DFB"/>
    <w:rsid w:val="30592EBB"/>
    <w:rsid w:val="305A015B"/>
    <w:rsid w:val="30660C49"/>
    <w:rsid w:val="306B67DF"/>
    <w:rsid w:val="309853A6"/>
    <w:rsid w:val="30E55579"/>
    <w:rsid w:val="30E820E4"/>
    <w:rsid w:val="31046949"/>
    <w:rsid w:val="31083330"/>
    <w:rsid w:val="31147612"/>
    <w:rsid w:val="3121235E"/>
    <w:rsid w:val="312944D8"/>
    <w:rsid w:val="313F018A"/>
    <w:rsid w:val="31550D95"/>
    <w:rsid w:val="315723A2"/>
    <w:rsid w:val="31853D39"/>
    <w:rsid w:val="319014D0"/>
    <w:rsid w:val="319D7DBC"/>
    <w:rsid w:val="31DA1765"/>
    <w:rsid w:val="31E53A66"/>
    <w:rsid w:val="32082272"/>
    <w:rsid w:val="320F0CA8"/>
    <w:rsid w:val="32131A70"/>
    <w:rsid w:val="32327F02"/>
    <w:rsid w:val="32381E2A"/>
    <w:rsid w:val="32447256"/>
    <w:rsid w:val="326F10CC"/>
    <w:rsid w:val="326F5E11"/>
    <w:rsid w:val="3277520D"/>
    <w:rsid w:val="327E15E1"/>
    <w:rsid w:val="328C023A"/>
    <w:rsid w:val="328E0CE2"/>
    <w:rsid w:val="32AB2988"/>
    <w:rsid w:val="32CE65BC"/>
    <w:rsid w:val="32D57F8F"/>
    <w:rsid w:val="32E21AEC"/>
    <w:rsid w:val="32E70FC1"/>
    <w:rsid w:val="32F16396"/>
    <w:rsid w:val="32F90E9B"/>
    <w:rsid w:val="330610AE"/>
    <w:rsid w:val="330C78F3"/>
    <w:rsid w:val="33141FA2"/>
    <w:rsid w:val="33155E3F"/>
    <w:rsid w:val="3326085A"/>
    <w:rsid w:val="33386B30"/>
    <w:rsid w:val="335D00BE"/>
    <w:rsid w:val="33980EB3"/>
    <w:rsid w:val="33A4661A"/>
    <w:rsid w:val="33AA0364"/>
    <w:rsid w:val="33AB6EA4"/>
    <w:rsid w:val="33AE64C5"/>
    <w:rsid w:val="33EE2CEF"/>
    <w:rsid w:val="33EF5F49"/>
    <w:rsid w:val="33F46B21"/>
    <w:rsid w:val="3403531D"/>
    <w:rsid w:val="3418658E"/>
    <w:rsid w:val="341F2B9F"/>
    <w:rsid w:val="342E025F"/>
    <w:rsid w:val="3431089A"/>
    <w:rsid w:val="34423BB2"/>
    <w:rsid w:val="344E0618"/>
    <w:rsid w:val="34574F84"/>
    <w:rsid w:val="34692B55"/>
    <w:rsid w:val="34731E47"/>
    <w:rsid w:val="34766F15"/>
    <w:rsid w:val="348D5186"/>
    <w:rsid w:val="34937732"/>
    <w:rsid w:val="349B0A30"/>
    <w:rsid w:val="349E4DA7"/>
    <w:rsid w:val="34A53C01"/>
    <w:rsid w:val="34B2326B"/>
    <w:rsid w:val="34E1266F"/>
    <w:rsid w:val="350E12D0"/>
    <w:rsid w:val="350F0FBD"/>
    <w:rsid w:val="35190BAE"/>
    <w:rsid w:val="35224AA8"/>
    <w:rsid w:val="35287D63"/>
    <w:rsid w:val="352A2C12"/>
    <w:rsid w:val="35520910"/>
    <w:rsid w:val="35734BB2"/>
    <w:rsid w:val="35795234"/>
    <w:rsid w:val="35865B6B"/>
    <w:rsid w:val="358A4C8B"/>
    <w:rsid w:val="35902EA3"/>
    <w:rsid w:val="35B66F12"/>
    <w:rsid w:val="35BE3BAA"/>
    <w:rsid w:val="35C40678"/>
    <w:rsid w:val="35CE4BEA"/>
    <w:rsid w:val="35DC4C12"/>
    <w:rsid w:val="35E817A5"/>
    <w:rsid w:val="35EC648F"/>
    <w:rsid w:val="35FF29BD"/>
    <w:rsid w:val="36173742"/>
    <w:rsid w:val="362927FE"/>
    <w:rsid w:val="363F3AB2"/>
    <w:rsid w:val="364D3FB9"/>
    <w:rsid w:val="365D60AC"/>
    <w:rsid w:val="3679297F"/>
    <w:rsid w:val="368F4109"/>
    <w:rsid w:val="36CE6D61"/>
    <w:rsid w:val="36D0774E"/>
    <w:rsid w:val="36D71CB0"/>
    <w:rsid w:val="36F84C72"/>
    <w:rsid w:val="371B2716"/>
    <w:rsid w:val="3730024B"/>
    <w:rsid w:val="37336612"/>
    <w:rsid w:val="3735743B"/>
    <w:rsid w:val="37381EB0"/>
    <w:rsid w:val="374B4AFA"/>
    <w:rsid w:val="37546F2D"/>
    <w:rsid w:val="37565516"/>
    <w:rsid w:val="375821CA"/>
    <w:rsid w:val="37632178"/>
    <w:rsid w:val="376D533E"/>
    <w:rsid w:val="3770774D"/>
    <w:rsid w:val="377E216D"/>
    <w:rsid w:val="37884872"/>
    <w:rsid w:val="37AC10D4"/>
    <w:rsid w:val="37AC7F2E"/>
    <w:rsid w:val="37B56B32"/>
    <w:rsid w:val="37BB6AA9"/>
    <w:rsid w:val="37CB1848"/>
    <w:rsid w:val="37D85ECE"/>
    <w:rsid w:val="38611EE5"/>
    <w:rsid w:val="38644CA9"/>
    <w:rsid w:val="3895720E"/>
    <w:rsid w:val="38991C08"/>
    <w:rsid w:val="38B9045C"/>
    <w:rsid w:val="38B96B4C"/>
    <w:rsid w:val="38BC4639"/>
    <w:rsid w:val="38EA633B"/>
    <w:rsid w:val="38F02ADD"/>
    <w:rsid w:val="390D4945"/>
    <w:rsid w:val="39320A2B"/>
    <w:rsid w:val="39420F9C"/>
    <w:rsid w:val="397417C3"/>
    <w:rsid w:val="3992139A"/>
    <w:rsid w:val="39947C37"/>
    <w:rsid w:val="3998165F"/>
    <w:rsid w:val="39986DF7"/>
    <w:rsid w:val="39BA505B"/>
    <w:rsid w:val="39E443D6"/>
    <w:rsid w:val="39F13A42"/>
    <w:rsid w:val="3A1822B3"/>
    <w:rsid w:val="3A445B83"/>
    <w:rsid w:val="3A642432"/>
    <w:rsid w:val="3A6F7705"/>
    <w:rsid w:val="3A7862BD"/>
    <w:rsid w:val="3A7A28F8"/>
    <w:rsid w:val="3A900AD4"/>
    <w:rsid w:val="3A966575"/>
    <w:rsid w:val="3AD81108"/>
    <w:rsid w:val="3AD90F78"/>
    <w:rsid w:val="3AF73391"/>
    <w:rsid w:val="3B0C76B5"/>
    <w:rsid w:val="3B142C4D"/>
    <w:rsid w:val="3B2756C8"/>
    <w:rsid w:val="3B385964"/>
    <w:rsid w:val="3B3A3D2F"/>
    <w:rsid w:val="3B424D00"/>
    <w:rsid w:val="3B626AF5"/>
    <w:rsid w:val="3B6E1907"/>
    <w:rsid w:val="3B8C667C"/>
    <w:rsid w:val="3B925A35"/>
    <w:rsid w:val="3B943325"/>
    <w:rsid w:val="3B9C1BEB"/>
    <w:rsid w:val="3BA016AC"/>
    <w:rsid w:val="3BB54D2A"/>
    <w:rsid w:val="3BBB74C7"/>
    <w:rsid w:val="3BCF195E"/>
    <w:rsid w:val="3BD55AA6"/>
    <w:rsid w:val="3C104967"/>
    <w:rsid w:val="3C1D2BB6"/>
    <w:rsid w:val="3C3E6D3D"/>
    <w:rsid w:val="3C4D5671"/>
    <w:rsid w:val="3C50374F"/>
    <w:rsid w:val="3C6E0891"/>
    <w:rsid w:val="3C912280"/>
    <w:rsid w:val="3C981101"/>
    <w:rsid w:val="3CB95524"/>
    <w:rsid w:val="3CC16CE4"/>
    <w:rsid w:val="3CCA21CD"/>
    <w:rsid w:val="3CCA22E4"/>
    <w:rsid w:val="3CE913AA"/>
    <w:rsid w:val="3D0C0823"/>
    <w:rsid w:val="3D18368D"/>
    <w:rsid w:val="3D1F09C7"/>
    <w:rsid w:val="3D23783D"/>
    <w:rsid w:val="3D3F2206"/>
    <w:rsid w:val="3D61320F"/>
    <w:rsid w:val="3D6859DC"/>
    <w:rsid w:val="3D822AF3"/>
    <w:rsid w:val="3D85121F"/>
    <w:rsid w:val="3D925CC3"/>
    <w:rsid w:val="3DA41023"/>
    <w:rsid w:val="3DB65479"/>
    <w:rsid w:val="3DD402D3"/>
    <w:rsid w:val="3DF44472"/>
    <w:rsid w:val="3E264947"/>
    <w:rsid w:val="3E38505E"/>
    <w:rsid w:val="3E3D3D06"/>
    <w:rsid w:val="3E53377C"/>
    <w:rsid w:val="3E7335F6"/>
    <w:rsid w:val="3E787ACB"/>
    <w:rsid w:val="3E9A4A13"/>
    <w:rsid w:val="3EBF5E1C"/>
    <w:rsid w:val="3EDC257C"/>
    <w:rsid w:val="3EEA1B5B"/>
    <w:rsid w:val="3EEB71EA"/>
    <w:rsid w:val="3EF0751B"/>
    <w:rsid w:val="3EFE5624"/>
    <w:rsid w:val="3F205DC2"/>
    <w:rsid w:val="3F230532"/>
    <w:rsid w:val="3F2851AA"/>
    <w:rsid w:val="3F35331E"/>
    <w:rsid w:val="3F354D9D"/>
    <w:rsid w:val="3F582D01"/>
    <w:rsid w:val="3F5F1D37"/>
    <w:rsid w:val="3F8A28D7"/>
    <w:rsid w:val="3F9B79FC"/>
    <w:rsid w:val="3F9F44F6"/>
    <w:rsid w:val="3FB92963"/>
    <w:rsid w:val="3FD87631"/>
    <w:rsid w:val="3FE3563D"/>
    <w:rsid w:val="3FF26262"/>
    <w:rsid w:val="3FF33754"/>
    <w:rsid w:val="400D4A15"/>
    <w:rsid w:val="401A350A"/>
    <w:rsid w:val="403F2E5A"/>
    <w:rsid w:val="40777829"/>
    <w:rsid w:val="40853802"/>
    <w:rsid w:val="40957CA3"/>
    <w:rsid w:val="40A83F21"/>
    <w:rsid w:val="40C70A52"/>
    <w:rsid w:val="40E6352C"/>
    <w:rsid w:val="40EA743D"/>
    <w:rsid w:val="40EC53FE"/>
    <w:rsid w:val="4119069C"/>
    <w:rsid w:val="411F3B58"/>
    <w:rsid w:val="413D71D9"/>
    <w:rsid w:val="41431909"/>
    <w:rsid w:val="41475601"/>
    <w:rsid w:val="4152301A"/>
    <w:rsid w:val="41551AD6"/>
    <w:rsid w:val="41552247"/>
    <w:rsid w:val="416B4D79"/>
    <w:rsid w:val="418C18CA"/>
    <w:rsid w:val="419319BE"/>
    <w:rsid w:val="41BB26ED"/>
    <w:rsid w:val="41D712A4"/>
    <w:rsid w:val="41E9790E"/>
    <w:rsid w:val="41ED567C"/>
    <w:rsid w:val="41FA3FE1"/>
    <w:rsid w:val="420119FB"/>
    <w:rsid w:val="422F4A7C"/>
    <w:rsid w:val="423B71DB"/>
    <w:rsid w:val="4242074C"/>
    <w:rsid w:val="42560E11"/>
    <w:rsid w:val="4257132B"/>
    <w:rsid w:val="425B23F3"/>
    <w:rsid w:val="425B6691"/>
    <w:rsid w:val="425C6AE7"/>
    <w:rsid w:val="426200FA"/>
    <w:rsid w:val="427E2345"/>
    <w:rsid w:val="428651D3"/>
    <w:rsid w:val="4297240C"/>
    <w:rsid w:val="42A84C24"/>
    <w:rsid w:val="42B2144A"/>
    <w:rsid w:val="42C45FE2"/>
    <w:rsid w:val="42D1726B"/>
    <w:rsid w:val="42F850BB"/>
    <w:rsid w:val="430C614B"/>
    <w:rsid w:val="43370BA5"/>
    <w:rsid w:val="4343667C"/>
    <w:rsid w:val="438E260C"/>
    <w:rsid w:val="43BD538A"/>
    <w:rsid w:val="43C55844"/>
    <w:rsid w:val="43E24C4C"/>
    <w:rsid w:val="43F94B07"/>
    <w:rsid w:val="44074337"/>
    <w:rsid w:val="440C36CE"/>
    <w:rsid w:val="440E7C8B"/>
    <w:rsid w:val="441006B7"/>
    <w:rsid w:val="443D56F7"/>
    <w:rsid w:val="445B2738"/>
    <w:rsid w:val="4470509F"/>
    <w:rsid w:val="44841E57"/>
    <w:rsid w:val="44A52AE8"/>
    <w:rsid w:val="44A54620"/>
    <w:rsid w:val="44B043F7"/>
    <w:rsid w:val="44B6044D"/>
    <w:rsid w:val="44CB7928"/>
    <w:rsid w:val="44CC18DC"/>
    <w:rsid w:val="44DA756B"/>
    <w:rsid w:val="44DD0881"/>
    <w:rsid w:val="44E54F4E"/>
    <w:rsid w:val="450D59C8"/>
    <w:rsid w:val="451C650B"/>
    <w:rsid w:val="452501F0"/>
    <w:rsid w:val="453E5E57"/>
    <w:rsid w:val="454413D2"/>
    <w:rsid w:val="455B7012"/>
    <w:rsid w:val="455C135E"/>
    <w:rsid w:val="45873B9C"/>
    <w:rsid w:val="45904A76"/>
    <w:rsid w:val="459D2EF4"/>
    <w:rsid w:val="45D13E4C"/>
    <w:rsid w:val="45EF0296"/>
    <w:rsid w:val="46025375"/>
    <w:rsid w:val="461A26A4"/>
    <w:rsid w:val="464B2411"/>
    <w:rsid w:val="466778F9"/>
    <w:rsid w:val="467769A2"/>
    <w:rsid w:val="46837478"/>
    <w:rsid w:val="468B13F6"/>
    <w:rsid w:val="469E355C"/>
    <w:rsid w:val="46AE68AC"/>
    <w:rsid w:val="46D258FB"/>
    <w:rsid w:val="46F17611"/>
    <w:rsid w:val="46FD1CC7"/>
    <w:rsid w:val="472E443A"/>
    <w:rsid w:val="47314DEF"/>
    <w:rsid w:val="473637D4"/>
    <w:rsid w:val="474F37E3"/>
    <w:rsid w:val="4779352B"/>
    <w:rsid w:val="47917D7F"/>
    <w:rsid w:val="47A331A7"/>
    <w:rsid w:val="47BA14FF"/>
    <w:rsid w:val="47CB0098"/>
    <w:rsid w:val="47DE5D69"/>
    <w:rsid w:val="48214484"/>
    <w:rsid w:val="489E1180"/>
    <w:rsid w:val="48BA3DDE"/>
    <w:rsid w:val="48BB4D9F"/>
    <w:rsid w:val="48BF40D2"/>
    <w:rsid w:val="490D700C"/>
    <w:rsid w:val="491A3372"/>
    <w:rsid w:val="491B1893"/>
    <w:rsid w:val="492753BE"/>
    <w:rsid w:val="494951A6"/>
    <w:rsid w:val="49913093"/>
    <w:rsid w:val="49D8391E"/>
    <w:rsid w:val="49F86B68"/>
    <w:rsid w:val="4A0734BC"/>
    <w:rsid w:val="4A0758C5"/>
    <w:rsid w:val="4A134C6B"/>
    <w:rsid w:val="4A883958"/>
    <w:rsid w:val="4A8C4F17"/>
    <w:rsid w:val="4A9766A2"/>
    <w:rsid w:val="4AC86A17"/>
    <w:rsid w:val="4ACE4B42"/>
    <w:rsid w:val="4AD83184"/>
    <w:rsid w:val="4AE11045"/>
    <w:rsid w:val="4AE24BDD"/>
    <w:rsid w:val="4AF77FAF"/>
    <w:rsid w:val="4B90456A"/>
    <w:rsid w:val="4B956A6E"/>
    <w:rsid w:val="4B9E3515"/>
    <w:rsid w:val="4BB37BB1"/>
    <w:rsid w:val="4BEB4542"/>
    <w:rsid w:val="4BFE6874"/>
    <w:rsid w:val="4C2C65FF"/>
    <w:rsid w:val="4C445693"/>
    <w:rsid w:val="4C4C70A4"/>
    <w:rsid w:val="4C5511EF"/>
    <w:rsid w:val="4C6F6F3D"/>
    <w:rsid w:val="4C755391"/>
    <w:rsid w:val="4C8301BD"/>
    <w:rsid w:val="4CA60990"/>
    <w:rsid w:val="4CBA3537"/>
    <w:rsid w:val="4CBB66AB"/>
    <w:rsid w:val="4CBE2928"/>
    <w:rsid w:val="4CCB0CF3"/>
    <w:rsid w:val="4CD26776"/>
    <w:rsid w:val="4CD35736"/>
    <w:rsid w:val="4CE05C77"/>
    <w:rsid w:val="4D0D2BD5"/>
    <w:rsid w:val="4D1B5947"/>
    <w:rsid w:val="4D200C7F"/>
    <w:rsid w:val="4D2C441B"/>
    <w:rsid w:val="4D3E1AC3"/>
    <w:rsid w:val="4D430D79"/>
    <w:rsid w:val="4D4B3220"/>
    <w:rsid w:val="4D523D71"/>
    <w:rsid w:val="4D58230D"/>
    <w:rsid w:val="4D645CD9"/>
    <w:rsid w:val="4D737027"/>
    <w:rsid w:val="4D7B462B"/>
    <w:rsid w:val="4D7D494F"/>
    <w:rsid w:val="4D8A4978"/>
    <w:rsid w:val="4D8C372F"/>
    <w:rsid w:val="4DA753F5"/>
    <w:rsid w:val="4DB45743"/>
    <w:rsid w:val="4DC0367A"/>
    <w:rsid w:val="4E0702D4"/>
    <w:rsid w:val="4E327256"/>
    <w:rsid w:val="4E373813"/>
    <w:rsid w:val="4E3C2E01"/>
    <w:rsid w:val="4E607871"/>
    <w:rsid w:val="4E6E693C"/>
    <w:rsid w:val="4EAB2D2C"/>
    <w:rsid w:val="4EBA63B9"/>
    <w:rsid w:val="4EC126AE"/>
    <w:rsid w:val="4EC13D18"/>
    <w:rsid w:val="4EC976D5"/>
    <w:rsid w:val="4ED24B9F"/>
    <w:rsid w:val="4ED45B6B"/>
    <w:rsid w:val="4EEB5C17"/>
    <w:rsid w:val="4EFA331E"/>
    <w:rsid w:val="4F10384D"/>
    <w:rsid w:val="4F11579C"/>
    <w:rsid w:val="4F165251"/>
    <w:rsid w:val="4F3C4095"/>
    <w:rsid w:val="50034001"/>
    <w:rsid w:val="503177C7"/>
    <w:rsid w:val="503827EC"/>
    <w:rsid w:val="503C20AA"/>
    <w:rsid w:val="50454E73"/>
    <w:rsid w:val="5069668E"/>
    <w:rsid w:val="50720774"/>
    <w:rsid w:val="508375FC"/>
    <w:rsid w:val="50866422"/>
    <w:rsid w:val="5091419F"/>
    <w:rsid w:val="50A33D30"/>
    <w:rsid w:val="50CF623B"/>
    <w:rsid w:val="50D63674"/>
    <w:rsid w:val="50D67107"/>
    <w:rsid w:val="50F03A96"/>
    <w:rsid w:val="50FC4675"/>
    <w:rsid w:val="510246C5"/>
    <w:rsid w:val="51031C8A"/>
    <w:rsid w:val="51074E0F"/>
    <w:rsid w:val="510C7D46"/>
    <w:rsid w:val="51287FFE"/>
    <w:rsid w:val="512A5F27"/>
    <w:rsid w:val="513A3A2D"/>
    <w:rsid w:val="51446A8D"/>
    <w:rsid w:val="515F1E7E"/>
    <w:rsid w:val="51780A82"/>
    <w:rsid w:val="518E5D33"/>
    <w:rsid w:val="519F3038"/>
    <w:rsid w:val="51B84F03"/>
    <w:rsid w:val="51C84D8D"/>
    <w:rsid w:val="51C9129A"/>
    <w:rsid w:val="51D85D6B"/>
    <w:rsid w:val="51DC70C7"/>
    <w:rsid w:val="51E011AC"/>
    <w:rsid w:val="52011294"/>
    <w:rsid w:val="521F4A7A"/>
    <w:rsid w:val="523576E5"/>
    <w:rsid w:val="52621A6E"/>
    <w:rsid w:val="526C0160"/>
    <w:rsid w:val="52724B61"/>
    <w:rsid w:val="528B1755"/>
    <w:rsid w:val="52C8593D"/>
    <w:rsid w:val="530A5932"/>
    <w:rsid w:val="5313076D"/>
    <w:rsid w:val="531C16E4"/>
    <w:rsid w:val="533010E9"/>
    <w:rsid w:val="53320782"/>
    <w:rsid w:val="535F57C3"/>
    <w:rsid w:val="536A51FE"/>
    <w:rsid w:val="536B7D5E"/>
    <w:rsid w:val="53B10CE4"/>
    <w:rsid w:val="53CF3C98"/>
    <w:rsid w:val="53D6764F"/>
    <w:rsid w:val="5408076E"/>
    <w:rsid w:val="54254685"/>
    <w:rsid w:val="54312BDD"/>
    <w:rsid w:val="543360D9"/>
    <w:rsid w:val="54365E27"/>
    <w:rsid w:val="54460C77"/>
    <w:rsid w:val="544D2180"/>
    <w:rsid w:val="545355F5"/>
    <w:rsid w:val="546B68B7"/>
    <w:rsid w:val="54B65CF2"/>
    <w:rsid w:val="54B90BB6"/>
    <w:rsid w:val="54D03ADB"/>
    <w:rsid w:val="54E8670B"/>
    <w:rsid w:val="55116F85"/>
    <w:rsid w:val="551E0E34"/>
    <w:rsid w:val="55271EFA"/>
    <w:rsid w:val="55480C77"/>
    <w:rsid w:val="55515B77"/>
    <w:rsid w:val="5558154E"/>
    <w:rsid w:val="55665190"/>
    <w:rsid w:val="55766B10"/>
    <w:rsid w:val="55786A33"/>
    <w:rsid w:val="558B7357"/>
    <w:rsid w:val="558C2D21"/>
    <w:rsid w:val="55A2498E"/>
    <w:rsid w:val="55A36683"/>
    <w:rsid w:val="55C14AE0"/>
    <w:rsid w:val="55CE32FD"/>
    <w:rsid w:val="55E15DE3"/>
    <w:rsid w:val="5632748D"/>
    <w:rsid w:val="56577CA8"/>
    <w:rsid w:val="568A38D3"/>
    <w:rsid w:val="568D48A6"/>
    <w:rsid w:val="56917BA6"/>
    <w:rsid w:val="56945D8B"/>
    <w:rsid w:val="56966E9D"/>
    <w:rsid w:val="56C079A4"/>
    <w:rsid w:val="56C406AF"/>
    <w:rsid w:val="56CB2300"/>
    <w:rsid w:val="56D7705B"/>
    <w:rsid w:val="56ED4CA6"/>
    <w:rsid w:val="56F026D4"/>
    <w:rsid w:val="56F446EF"/>
    <w:rsid w:val="57031A9F"/>
    <w:rsid w:val="570709A5"/>
    <w:rsid w:val="570D6FAD"/>
    <w:rsid w:val="57124BB4"/>
    <w:rsid w:val="57141F87"/>
    <w:rsid w:val="57162B50"/>
    <w:rsid w:val="5719145F"/>
    <w:rsid w:val="573E674D"/>
    <w:rsid w:val="57506FE6"/>
    <w:rsid w:val="575629AC"/>
    <w:rsid w:val="575E3DDF"/>
    <w:rsid w:val="57A04D78"/>
    <w:rsid w:val="57A82E08"/>
    <w:rsid w:val="57BD17DA"/>
    <w:rsid w:val="57C15ED9"/>
    <w:rsid w:val="57CF0163"/>
    <w:rsid w:val="57D31AA4"/>
    <w:rsid w:val="58007A4E"/>
    <w:rsid w:val="581032F0"/>
    <w:rsid w:val="58177EA6"/>
    <w:rsid w:val="58245B52"/>
    <w:rsid w:val="5832201F"/>
    <w:rsid w:val="58486235"/>
    <w:rsid w:val="584E3044"/>
    <w:rsid w:val="5863014E"/>
    <w:rsid w:val="586F70E2"/>
    <w:rsid w:val="58766403"/>
    <w:rsid w:val="588B519A"/>
    <w:rsid w:val="589A3DA8"/>
    <w:rsid w:val="58BB44FE"/>
    <w:rsid w:val="58CC5810"/>
    <w:rsid w:val="59136B7C"/>
    <w:rsid w:val="59196E6B"/>
    <w:rsid w:val="593A3BC2"/>
    <w:rsid w:val="597C27A5"/>
    <w:rsid w:val="59844DBA"/>
    <w:rsid w:val="59911303"/>
    <w:rsid w:val="599971EB"/>
    <w:rsid w:val="599A6550"/>
    <w:rsid w:val="599D4E6E"/>
    <w:rsid w:val="59A7335A"/>
    <w:rsid w:val="59B45ABC"/>
    <w:rsid w:val="59C931A7"/>
    <w:rsid w:val="59DD7CFA"/>
    <w:rsid w:val="59E04611"/>
    <w:rsid w:val="5A0311DF"/>
    <w:rsid w:val="5A38501E"/>
    <w:rsid w:val="5A645616"/>
    <w:rsid w:val="5A766627"/>
    <w:rsid w:val="5A926B70"/>
    <w:rsid w:val="5A9B79C7"/>
    <w:rsid w:val="5AB94739"/>
    <w:rsid w:val="5AD320C2"/>
    <w:rsid w:val="5AD337B4"/>
    <w:rsid w:val="5AEB4274"/>
    <w:rsid w:val="5B001598"/>
    <w:rsid w:val="5B0C6960"/>
    <w:rsid w:val="5B1E1FBD"/>
    <w:rsid w:val="5B230B9C"/>
    <w:rsid w:val="5B2D3BDB"/>
    <w:rsid w:val="5B6167AE"/>
    <w:rsid w:val="5B654E03"/>
    <w:rsid w:val="5B683207"/>
    <w:rsid w:val="5B7355A8"/>
    <w:rsid w:val="5B8435AA"/>
    <w:rsid w:val="5B882DB3"/>
    <w:rsid w:val="5B9D7BB2"/>
    <w:rsid w:val="5B9F0B35"/>
    <w:rsid w:val="5BA05215"/>
    <w:rsid w:val="5BBC40B8"/>
    <w:rsid w:val="5BC974DF"/>
    <w:rsid w:val="5BEF1907"/>
    <w:rsid w:val="5BF774B8"/>
    <w:rsid w:val="5C0143A1"/>
    <w:rsid w:val="5C1775BB"/>
    <w:rsid w:val="5C1C3499"/>
    <w:rsid w:val="5C2474D4"/>
    <w:rsid w:val="5C44175A"/>
    <w:rsid w:val="5C4F432E"/>
    <w:rsid w:val="5C890FE6"/>
    <w:rsid w:val="5C943B0F"/>
    <w:rsid w:val="5CA34991"/>
    <w:rsid w:val="5CBD66C7"/>
    <w:rsid w:val="5CCE23AD"/>
    <w:rsid w:val="5CD00E72"/>
    <w:rsid w:val="5CD567A8"/>
    <w:rsid w:val="5D042D1E"/>
    <w:rsid w:val="5D226276"/>
    <w:rsid w:val="5D477062"/>
    <w:rsid w:val="5D49319A"/>
    <w:rsid w:val="5D6C482C"/>
    <w:rsid w:val="5D8373FE"/>
    <w:rsid w:val="5D8F3958"/>
    <w:rsid w:val="5D903B27"/>
    <w:rsid w:val="5DA96525"/>
    <w:rsid w:val="5DB67311"/>
    <w:rsid w:val="5DD45FE8"/>
    <w:rsid w:val="5E2A2251"/>
    <w:rsid w:val="5E392EB8"/>
    <w:rsid w:val="5E3E4BFD"/>
    <w:rsid w:val="5E437B76"/>
    <w:rsid w:val="5E567BF3"/>
    <w:rsid w:val="5E5D19C9"/>
    <w:rsid w:val="5E6D3066"/>
    <w:rsid w:val="5E7A6AAA"/>
    <w:rsid w:val="5E933F3F"/>
    <w:rsid w:val="5EC04BC2"/>
    <w:rsid w:val="5EFA7309"/>
    <w:rsid w:val="5F0337C3"/>
    <w:rsid w:val="5F0A7D9F"/>
    <w:rsid w:val="5F0E20FD"/>
    <w:rsid w:val="5F1844E8"/>
    <w:rsid w:val="5F3D319C"/>
    <w:rsid w:val="5F530DA9"/>
    <w:rsid w:val="5F8E2C30"/>
    <w:rsid w:val="5F9E3960"/>
    <w:rsid w:val="5FAA5382"/>
    <w:rsid w:val="5FC54B4C"/>
    <w:rsid w:val="5FC63B62"/>
    <w:rsid w:val="5FD07B43"/>
    <w:rsid w:val="600D0CA2"/>
    <w:rsid w:val="600D67BB"/>
    <w:rsid w:val="600E0B28"/>
    <w:rsid w:val="603059A7"/>
    <w:rsid w:val="603155EF"/>
    <w:rsid w:val="60593F6C"/>
    <w:rsid w:val="60655118"/>
    <w:rsid w:val="606F4DA9"/>
    <w:rsid w:val="60723D53"/>
    <w:rsid w:val="607B6CD0"/>
    <w:rsid w:val="609D3666"/>
    <w:rsid w:val="60AD7AC4"/>
    <w:rsid w:val="60BD5AB0"/>
    <w:rsid w:val="60C25E9C"/>
    <w:rsid w:val="60DA16DD"/>
    <w:rsid w:val="61030F68"/>
    <w:rsid w:val="612808E7"/>
    <w:rsid w:val="6167411F"/>
    <w:rsid w:val="6172408C"/>
    <w:rsid w:val="61761DCE"/>
    <w:rsid w:val="61782E57"/>
    <w:rsid w:val="617C31C6"/>
    <w:rsid w:val="618C43C6"/>
    <w:rsid w:val="61AB6FD9"/>
    <w:rsid w:val="61B6394F"/>
    <w:rsid w:val="61BB36B1"/>
    <w:rsid w:val="61C33B8C"/>
    <w:rsid w:val="61F01598"/>
    <w:rsid w:val="61F15BA1"/>
    <w:rsid w:val="622615BB"/>
    <w:rsid w:val="62263E76"/>
    <w:rsid w:val="622B1D7A"/>
    <w:rsid w:val="62371C9A"/>
    <w:rsid w:val="62386227"/>
    <w:rsid w:val="62467C80"/>
    <w:rsid w:val="62BC30A5"/>
    <w:rsid w:val="62C12EA5"/>
    <w:rsid w:val="62C86E5C"/>
    <w:rsid w:val="62D221EF"/>
    <w:rsid w:val="62E05734"/>
    <w:rsid w:val="62EA1B5F"/>
    <w:rsid w:val="62EB46DC"/>
    <w:rsid w:val="62FC6D4D"/>
    <w:rsid w:val="62FD4836"/>
    <w:rsid w:val="63066FF8"/>
    <w:rsid w:val="63346015"/>
    <w:rsid w:val="637622A3"/>
    <w:rsid w:val="639D71D4"/>
    <w:rsid w:val="639E280B"/>
    <w:rsid w:val="63B16FEE"/>
    <w:rsid w:val="63C81FCC"/>
    <w:rsid w:val="64393311"/>
    <w:rsid w:val="64407F53"/>
    <w:rsid w:val="646130E2"/>
    <w:rsid w:val="64883247"/>
    <w:rsid w:val="648F1C91"/>
    <w:rsid w:val="64A91250"/>
    <w:rsid w:val="64B30305"/>
    <w:rsid w:val="64F76EB9"/>
    <w:rsid w:val="65006C49"/>
    <w:rsid w:val="650768BA"/>
    <w:rsid w:val="651D20FE"/>
    <w:rsid w:val="65201ED3"/>
    <w:rsid w:val="65444751"/>
    <w:rsid w:val="654D57EF"/>
    <w:rsid w:val="659E47EB"/>
    <w:rsid w:val="65A139B5"/>
    <w:rsid w:val="65A22075"/>
    <w:rsid w:val="65B80727"/>
    <w:rsid w:val="65C80D71"/>
    <w:rsid w:val="65CD3A53"/>
    <w:rsid w:val="65E87A55"/>
    <w:rsid w:val="661E0276"/>
    <w:rsid w:val="662172CB"/>
    <w:rsid w:val="662466ED"/>
    <w:rsid w:val="663B0336"/>
    <w:rsid w:val="664F0376"/>
    <w:rsid w:val="66506352"/>
    <w:rsid w:val="666016C8"/>
    <w:rsid w:val="66782528"/>
    <w:rsid w:val="66920F54"/>
    <w:rsid w:val="669D54BD"/>
    <w:rsid w:val="66D50832"/>
    <w:rsid w:val="66F95B8B"/>
    <w:rsid w:val="67007ABB"/>
    <w:rsid w:val="671B6550"/>
    <w:rsid w:val="671E1837"/>
    <w:rsid w:val="67295A47"/>
    <w:rsid w:val="67317498"/>
    <w:rsid w:val="673F2315"/>
    <w:rsid w:val="674E6259"/>
    <w:rsid w:val="67532DE6"/>
    <w:rsid w:val="677B493E"/>
    <w:rsid w:val="679670E7"/>
    <w:rsid w:val="67A55408"/>
    <w:rsid w:val="67A61538"/>
    <w:rsid w:val="67D8144A"/>
    <w:rsid w:val="67EA0641"/>
    <w:rsid w:val="68000883"/>
    <w:rsid w:val="6842084C"/>
    <w:rsid w:val="684B4404"/>
    <w:rsid w:val="685B4E00"/>
    <w:rsid w:val="686117E2"/>
    <w:rsid w:val="686B23FA"/>
    <w:rsid w:val="686B2B05"/>
    <w:rsid w:val="68766ADB"/>
    <w:rsid w:val="68775738"/>
    <w:rsid w:val="687B4630"/>
    <w:rsid w:val="687C48EA"/>
    <w:rsid w:val="68806E3C"/>
    <w:rsid w:val="68877BF9"/>
    <w:rsid w:val="68A45C69"/>
    <w:rsid w:val="68A95330"/>
    <w:rsid w:val="68B549F7"/>
    <w:rsid w:val="68B726BC"/>
    <w:rsid w:val="68C7037C"/>
    <w:rsid w:val="68C75766"/>
    <w:rsid w:val="68DB2E2F"/>
    <w:rsid w:val="69003F75"/>
    <w:rsid w:val="69022EF1"/>
    <w:rsid w:val="690B3296"/>
    <w:rsid w:val="690B45C7"/>
    <w:rsid w:val="690D20BC"/>
    <w:rsid w:val="691B442C"/>
    <w:rsid w:val="692112D1"/>
    <w:rsid w:val="69224205"/>
    <w:rsid w:val="692D447D"/>
    <w:rsid w:val="69341BA5"/>
    <w:rsid w:val="69467BC4"/>
    <w:rsid w:val="69543FFC"/>
    <w:rsid w:val="697404F1"/>
    <w:rsid w:val="697A106B"/>
    <w:rsid w:val="69D05EA5"/>
    <w:rsid w:val="69D7427B"/>
    <w:rsid w:val="69D82EC8"/>
    <w:rsid w:val="69DD4002"/>
    <w:rsid w:val="69F308DA"/>
    <w:rsid w:val="69FD53B3"/>
    <w:rsid w:val="69FF2510"/>
    <w:rsid w:val="6A061458"/>
    <w:rsid w:val="6A1D0CBD"/>
    <w:rsid w:val="6A49037A"/>
    <w:rsid w:val="6A4D7C5B"/>
    <w:rsid w:val="6A6331EA"/>
    <w:rsid w:val="6A6552AF"/>
    <w:rsid w:val="6A7C47F8"/>
    <w:rsid w:val="6A922E75"/>
    <w:rsid w:val="6AAF543A"/>
    <w:rsid w:val="6AC56743"/>
    <w:rsid w:val="6AE6755D"/>
    <w:rsid w:val="6AF64154"/>
    <w:rsid w:val="6AFA0065"/>
    <w:rsid w:val="6B0D36E1"/>
    <w:rsid w:val="6B1B0014"/>
    <w:rsid w:val="6B2B3285"/>
    <w:rsid w:val="6B2B5284"/>
    <w:rsid w:val="6B357EAC"/>
    <w:rsid w:val="6B397E39"/>
    <w:rsid w:val="6B4022B2"/>
    <w:rsid w:val="6B580BFD"/>
    <w:rsid w:val="6B5B160C"/>
    <w:rsid w:val="6B6A4D86"/>
    <w:rsid w:val="6B6C0AFD"/>
    <w:rsid w:val="6B6F621F"/>
    <w:rsid w:val="6B7176C6"/>
    <w:rsid w:val="6B807BA2"/>
    <w:rsid w:val="6B906856"/>
    <w:rsid w:val="6BA16626"/>
    <w:rsid w:val="6BA23899"/>
    <w:rsid w:val="6BB016A4"/>
    <w:rsid w:val="6BB96B8D"/>
    <w:rsid w:val="6BD0531C"/>
    <w:rsid w:val="6BDF105D"/>
    <w:rsid w:val="6BF8651B"/>
    <w:rsid w:val="6C023402"/>
    <w:rsid w:val="6C222A2A"/>
    <w:rsid w:val="6C341CFC"/>
    <w:rsid w:val="6C4A2EDE"/>
    <w:rsid w:val="6C797489"/>
    <w:rsid w:val="6C9015D1"/>
    <w:rsid w:val="6CA817B0"/>
    <w:rsid w:val="6CC32D15"/>
    <w:rsid w:val="6CD705F6"/>
    <w:rsid w:val="6CE1605C"/>
    <w:rsid w:val="6CEF4D90"/>
    <w:rsid w:val="6D156463"/>
    <w:rsid w:val="6D3C2B5D"/>
    <w:rsid w:val="6D3E03E5"/>
    <w:rsid w:val="6D484343"/>
    <w:rsid w:val="6D5C4F65"/>
    <w:rsid w:val="6D85100D"/>
    <w:rsid w:val="6D8B58FD"/>
    <w:rsid w:val="6DC8430B"/>
    <w:rsid w:val="6DEE39B5"/>
    <w:rsid w:val="6E0F1239"/>
    <w:rsid w:val="6E2A6D65"/>
    <w:rsid w:val="6E3B7722"/>
    <w:rsid w:val="6E3C45E1"/>
    <w:rsid w:val="6E49767F"/>
    <w:rsid w:val="6E527353"/>
    <w:rsid w:val="6E592FAF"/>
    <w:rsid w:val="6E5B4C7A"/>
    <w:rsid w:val="6E650A27"/>
    <w:rsid w:val="6E653F3F"/>
    <w:rsid w:val="6E7877E4"/>
    <w:rsid w:val="6E7A5071"/>
    <w:rsid w:val="6E804965"/>
    <w:rsid w:val="6E8627D8"/>
    <w:rsid w:val="6E926A16"/>
    <w:rsid w:val="6E945F98"/>
    <w:rsid w:val="6EAB10F8"/>
    <w:rsid w:val="6EB148C6"/>
    <w:rsid w:val="6EEA0868"/>
    <w:rsid w:val="6F1648F1"/>
    <w:rsid w:val="6F284DB6"/>
    <w:rsid w:val="6F330D04"/>
    <w:rsid w:val="6F3368DB"/>
    <w:rsid w:val="6F3632F1"/>
    <w:rsid w:val="6F4050DB"/>
    <w:rsid w:val="6F4F5AC6"/>
    <w:rsid w:val="6F506E67"/>
    <w:rsid w:val="6F5E4FBB"/>
    <w:rsid w:val="6F65783B"/>
    <w:rsid w:val="6F7E73E8"/>
    <w:rsid w:val="6FA967CC"/>
    <w:rsid w:val="6FC3286D"/>
    <w:rsid w:val="6FF90CBC"/>
    <w:rsid w:val="702120B4"/>
    <w:rsid w:val="702120FE"/>
    <w:rsid w:val="703A4B91"/>
    <w:rsid w:val="70424327"/>
    <w:rsid w:val="70437730"/>
    <w:rsid w:val="704D2B05"/>
    <w:rsid w:val="704E24D3"/>
    <w:rsid w:val="70563AA7"/>
    <w:rsid w:val="70594ABF"/>
    <w:rsid w:val="706C403E"/>
    <w:rsid w:val="70AC6A02"/>
    <w:rsid w:val="70B33B9E"/>
    <w:rsid w:val="70CE3BB1"/>
    <w:rsid w:val="70D50FA4"/>
    <w:rsid w:val="70DC19AF"/>
    <w:rsid w:val="70E211D6"/>
    <w:rsid w:val="711C6D55"/>
    <w:rsid w:val="71290023"/>
    <w:rsid w:val="714630C8"/>
    <w:rsid w:val="71523E24"/>
    <w:rsid w:val="717E70EE"/>
    <w:rsid w:val="71972D6C"/>
    <w:rsid w:val="71DF7A75"/>
    <w:rsid w:val="71F61E83"/>
    <w:rsid w:val="720D7DAF"/>
    <w:rsid w:val="72101030"/>
    <w:rsid w:val="72155209"/>
    <w:rsid w:val="721A4139"/>
    <w:rsid w:val="724D20A1"/>
    <w:rsid w:val="72737F2A"/>
    <w:rsid w:val="727E5BF8"/>
    <w:rsid w:val="72800ED4"/>
    <w:rsid w:val="72A472DA"/>
    <w:rsid w:val="72B850E2"/>
    <w:rsid w:val="72B85AEA"/>
    <w:rsid w:val="72BF604C"/>
    <w:rsid w:val="72C9032F"/>
    <w:rsid w:val="72E908B2"/>
    <w:rsid w:val="72F82F22"/>
    <w:rsid w:val="72F930D1"/>
    <w:rsid w:val="72FA16CA"/>
    <w:rsid w:val="730A221B"/>
    <w:rsid w:val="73135BC8"/>
    <w:rsid w:val="73160465"/>
    <w:rsid w:val="731D37BC"/>
    <w:rsid w:val="731D4995"/>
    <w:rsid w:val="73281704"/>
    <w:rsid w:val="733C5AFC"/>
    <w:rsid w:val="73570F45"/>
    <w:rsid w:val="736405B7"/>
    <w:rsid w:val="737512FC"/>
    <w:rsid w:val="739708CC"/>
    <w:rsid w:val="73B6086D"/>
    <w:rsid w:val="73BD09F7"/>
    <w:rsid w:val="73DA27D4"/>
    <w:rsid w:val="73DE766C"/>
    <w:rsid w:val="73EC1E9B"/>
    <w:rsid w:val="73FD3933"/>
    <w:rsid w:val="740423C4"/>
    <w:rsid w:val="74146F95"/>
    <w:rsid w:val="74183F1C"/>
    <w:rsid w:val="7430322A"/>
    <w:rsid w:val="746876A1"/>
    <w:rsid w:val="74797B49"/>
    <w:rsid w:val="748931ED"/>
    <w:rsid w:val="74975B2F"/>
    <w:rsid w:val="74A04494"/>
    <w:rsid w:val="74AE1AC9"/>
    <w:rsid w:val="74B231EE"/>
    <w:rsid w:val="74D34EE9"/>
    <w:rsid w:val="74D720A2"/>
    <w:rsid w:val="74D90C64"/>
    <w:rsid w:val="75310361"/>
    <w:rsid w:val="75886683"/>
    <w:rsid w:val="758F19A5"/>
    <w:rsid w:val="75972A71"/>
    <w:rsid w:val="75A77EA0"/>
    <w:rsid w:val="75B81342"/>
    <w:rsid w:val="75B91745"/>
    <w:rsid w:val="75D612A9"/>
    <w:rsid w:val="75E56118"/>
    <w:rsid w:val="75E860C2"/>
    <w:rsid w:val="75E8661C"/>
    <w:rsid w:val="75E867AF"/>
    <w:rsid w:val="760059C1"/>
    <w:rsid w:val="76042190"/>
    <w:rsid w:val="76151E83"/>
    <w:rsid w:val="762A43C4"/>
    <w:rsid w:val="762C770A"/>
    <w:rsid w:val="765D5984"/>
    <w:rsid w:val="76667215"/>
    <w:rsid w:val="766D1B1B"/>
    <w:rsid w:val="767A724E"/>
    <w:rsid w:val="768D6065"/>
    <w:rsid w:val="768F4B52"/>
    <w:rsid w:val="76AB6415"/>
    <w:rsid w:val="76BB4E4E"/>
    <w:rsid w:val="76BF65C1"/>
    <w:rsid w:val="76E64E13"/>
    <w:rsid w:val="76F4425B"/>
    <w:rsid w:val="7713174E"/>
    <w:rsid w:val="77170B0F"/>
    <w:rsid w:val="772E4AC1"/>
    <w:rsid w:val="774E69D0"/>
    <w:rsid w:val="775939D7"/>
    <w:rsid w:val="775A60DB"/>
    <w:rsid w:val="77B03ADA"/>
    <w:rsid w:val="77B14084"/>
    <w:rsid w:val="77E025F8"/>
    <w:rsid w:val="780B2F7F"/>
    <w:rsid w:val="781610D3"/>
    <w:rsid w:val="785C6742"/>
    <w:rsid w:val="78907183"/>
    <w:rsid w:val="78B6065D"/>
    <w:rsid w:val="78CE799A"/>
    <w:rsid w:val="78D756BF"/>
    <w:rsid w:val="78EF540F"/>
    <w:rsid w:val="792F20A1"/>
    <w:rsid w:val="79300E06"/>
    <w:rsid w:val="793F3C61"/>
    <w:rsid w:val="79524A3B"/>
    <w:rsid w:val="795A3C17"/>
    <w:rsid w:val="7963467D"/>
    <w:rsid w:val="798A0485"/>
    <w:rsid w:val="79937587"/>
    <w:rsid w:val="799D7AA9"/>
    <w:rsid w:val="79B54015"/>
    <w:rsid w:val="79B56F30"/>
    <w:rsid w:val="79C7749F"/>
    <w:rsid w:val="79DF0EA7"/>
    <w:rsid w:val="79E26160"/>
    <w:rsid w:val="79E27B91"/>
    <w:rsid w:val="79EF281A"/>
    <w:rsid w:val="7A1F4A0A"/>
    <w:rsid w:val="7A2228AE"/>
    <w:rsid w:val="7A354BBE"/>
    <w:rsid w:val="7A421FD9"/>
    <w:rsid w:val="7A5F61ED"/>
    <w:rsid w:val="7A636392"/>
    <w:rsid w:val="7A6A4801"/>
    <w:rsid w:val="7A9A6658"/>
    <w:rsid w:val="7AB65187"/>
    <w:rsid w:val="7AC343AE"/>
    <w:rsid w:val="7ACB5A0F"/>
    <w:rsid w:val="7ADA2A06"/>
    <w:rsid w:val="7ADC1AEC"/>
    <w:rsid w:val="7AE51C32"/>
    <w:rsid w:val="7AFD112F"/>
    <w:rsid w:val="7B091A68"/>
    <w:rsid w:val="7B0B4FE2"/>
    <w:rsid w:val="7B165F25"/>
    <w:rsid w:val="7B220BC9"/>
    <w:rsid w:val="7B2A3DC5"/>
    <w:rsid w:val="7B380B9C"/>
    <w:rsid w:val="7B3E154B"/>
    <w:rsid w:val="7B552958"/>
    <w:rsid w:val="7B5D76D5"/>
    <w:rsid w:val="7B687D82"/>
    <w:rsid w:val="7B704629"/>
    <w:rsid w:val="7B9919D7"/>
    <w:rsid w:val="7BA11E17"/>
    <w:rsid w:val="7BAB0410"/>
    <w:rsid w:val="7BB4020A"/>
    <w:rsid w:val="7BD812E4"/>
    <w:rsid w:val="7BE21403"/>
    <w:rsid w:val="7BF03A6C"/>
    <w:rsid w:val="7BF61081"/>
    <w:rsid w:val="7C1D1814"/>
    <w:rsid w:val="7C28513A"/>
    <w:rsid w:val="7C636849"/>
    <w:rsid w:val="7C71727A"/>
    <w:rsid w:val="7C866B51"/>
    <w:rsid w:val="7CA60A44"/>
    <w:rsid w:val="7CD34A87"/>
    <w:rsid w:val="7CDC2E35"/>
    <w:rsid w:val="7CE33E4B"/>
    <w:rsid w:val="7CF85CF8"/>
    <w:rsid w:val="7D0668C6"/>
    <w:rsid w:val="7D0A3E06"/>
    <w:rsid w:val="7D343AAB"/>
    <w:rsid w:val="7D3B04C9"/>
    <w:rsid w:val="7D3D058C"/>
    <w:rsid w:val="7D464DF9"/>
    <w:rsid w:val="7D484752"/>
    <w:rsid w:val="7D586875"/>
    <w:rsid w:val="7D787F07"/>
    <w:rsid w:val="7D7A3645"/>
    <w:rsid w:val="7D831787"/>
    <w:rsid w:val="7D856E24"/>
    <w:rsid w:val="7D917190"/>
    <w:rsid w:val="7D9832ED"/>
    <w:rsid w:val="7DA8318B"/>
    <w:rsid w:val="7DDC265C"/>
    <w:rsid w:val="7DE10EE9"/>
    <w:rsid w:val="7DE13F9E"/>
    <w:rsid w:val="7DF46313"/>
    <w:rsid w:val="7E0079A7"/>
    <w:rsid w:val="7E0E1B12"/>
    <w:rsid w:val="7E2D40E5"/>
    <w:rsid w:val="7E2E2A76"/>
    <w:rsid w:val="7E310AC9"/>
    <w:rsid w:val="7E441DBC"/>
    <w:rsid w:val="7E84510F"/>
    <w:rsid w:val="7E990785"/>
    <w:rsid w:val="7E9A1D2A"/>
    <w:rsid w:val="7EAE5453"/>
    <w:rsid w:val="7EB71689"/>
    <w:rsid w:val="7EFF18DE"/>
    <w:rsid w:val="7F2A0DB3"/>
    <w:rsid w:val="7F374C29"/>
    <w:rsid w:val="7F3A5893"/>
    <w:rsid w:val="7F4E1E1E"/>
    <w:rsid w:val="7F5765AC"/>
    <w:rsid w:val="7F907457"/>
    <w:rsid w:val="7F951D92"/>
    <w:rsid w:val="7FB644EF"/>
    <w:rsid w:val="7FC86370"/>
    <w:rsid w:val="7FD819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name="footnote text"/>
    <w:lsdException w:qFormat="1" w:unhideWhenUsed="0" w:uiPriority="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99" w:semiHidden="0" w:name="Document Map"/>
    <w:lsdException w:qFormat="1" w:unhideWhenUsed="0"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0"/>
    <w:qFormat/>
    <w:uiPriority w:val="0"/>
    <w:pPr>
      <w:keepNext/>
      <w:keepLines/>
      <w:spacing w:before="260" w:after="260" w:line="416" w:lineRule="auto"/>
      <w:outlineLvl w:val="2"/>
    </w:pPr>
    <w:rPr>
      <w:b/>
      <w:bCs/>
      <w:sz w:val="32"/>
      <w:szCs w:val="32"/>
    </w:rPr>
  </w:style>
  <w:style w:type="character" w:default="1" w:styleId="25">
    <w:name w:val="Default Paragraph Font"/>
    <w:semiHidden/>
    <w:unhideWhenUsed/>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5">
    <w:name w:val="Normal Indent"/>
    <w:basedOn w:val="1"/>
    <w:link w:val="40"/>
    <w:qFormat/>
    <w:uiPriority w:val="0"/>
    <w:pPr>
      <w:snapToGrid w:val="0"/>
      <w:spacing w:line="360" w:lineRule="auto"/>
      <w:ind w:firstLine="567"/>
    </w:pPr>
    <w:rPr>
      <w:sz w:val="28"/>
    </w:rPr>
  </w:style>
  <w:style w:type="paragraph" w:styleId="6">
    <w:name w:val="Document Map"/>
    <w:basedOn w:val="1"/>
    <w:link w:val="54"/>
    <w:qFormat/>
    <w:uiPriority w:val="99"/>
    <w:rPr>
      <w:rFonts w:ascii="宋体"/>
      <w:sz w:val="18"/>
      <w:szCs w:val="18"/>
    </w:rPr>
  </w:style>
  <w:style w:type="paragraph" w:styleId="7">
    <w:name w:val="annotation text"/>
    <w:basedOn w:val="1"/>
    <w:semiHidden/>
    <w:qFormat/>
    <w:uiPriority w:val="0"/>
    <w:pPr>
      <w:jc w:val="left"/>
    </w:pPr>
  </w:style>
  <w:style w:type="paragraph" w:styleId="8">
    <w:name w:val="Body Text"/>
    <w:basedOn w:val="1"/>
    <w:link w:val="41"/>
    <w:qFormat/>
    <w:uiPriority w:val="0"/>
    <w:pPr>
      <w:spacing w:after="120"/>
    </w:pPr>
  </w:style>
  <w:style w:type="paragraph" w:styleId="9">
    <w:name w:val="Body Text Indent"/>
    <w:basedOn w:val="1"/>
    <w:link w:val="53"/>
    <w:qFormat/>
    <w:uiPriority w:val="0"/>
    <w:pPr>
      <w:spacing w:after="120"/>
      <w:ind w:left="420" w:leftChars="200"/>
    </w:pPr>
  </w:style>
  <w:style w:type="paragraph" w:styleId="10">
    <w:name w:val="Block Text"/>
    <w:basedOn w:val="1"/>
    <w:qFormat/>
    <w:uiPriority w:val="0"/>
    <w:pPr>
      <w:ind w:left="56" w:leftChars="20" w:right="285" w:hanging="2"/>
    </w:pPr>
    <w:rPr>
      <w:snapToGrid w:val="0"/>
      <w:kern w:val="0"/>
    </w:rPr>
  </w:style>
  <w:style w:type="paragraph" w:styleId="11">
    <w:name w:val="Plain Text"/>
    <w:basedOn w:val="1"/>
    <w:link w:val="34"/>
    <w:qFormat/>
    <w:uiPriority w:val="99"/>
    <w:rPr>
      <w:rFonts w:ascii="宋体" w:hAnsi="Courier New"/>
    </w:rPr>
  </w:style>
  <w:style w:type="paragraph" w:styleId="12">
    <w:name w:val="Date"/>
    <w:basedOn w:val="1"/>
    <w:next w:val="1"/>
    <w:qFormat/>
    <w:uiPriority w:val="0"/>
  </w:style>
  <w:style w:type="paragraph" w:styleId="13">
    <w:name w:val="Body Text Indent 2"/>
    <w:basedOn w:val="1"/>
    <w:qFormat/>
    <w:uiPriority w:val="0"/>
    <w:pPr>
      <w:ind w:firstLine="597" w:firstLineChars="200"/>
    </w:pPr>
    <w:rPr>
      <w:snapToGrid w:val="0"/>
      <w:color w:val="FF0000"/>
      <w:kern w:val="0"/>
      <w:sz w:val="24"/>
    </w:rPr>
  </w:style>
  <w:style w:type="paragraph" w:styleId="14">
    <w:name w:val="Balloon Text"/>
    <w:basedOn w:val="1"/>
    <w:semiHidden/>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bottom w:val="single" w:color="auto" w:sz="6" w:space="1"/>
      </w:pBdr>
      <w:tabs>
        <w:tab w:val="center" w:pos="4153"/>
        <w:tab w:val="right" w:pos="8306"/>
      </w:tabs>
      <w:snapToGrid w:val="0"/>
      <w:jc w:val="center"/>
    </w:pPr>
    <w:rPr>
      <w:sz w:val="18"/>
    </w:rPr>
  </w:style>
  <w:style w:type="paragraph" w:styleId="17">
    <w:name w:val="toc 1"/>
    <w:basedOn w:val="1"/>
    <w:next w:val="1"/>
    <w:qFormat/>
    <w:uiPriority w:val="39"/>
    <w:pPr>
      <w:tabs>
        <w:tab w:val="right" w:leader="dot" w:pos="9119"/>
      </w:tabs>
      <w:adjustRightInd w:val="0"/>
      <w:snapToGrid w:val="0"/>
      <w:spacing w:line="260" w:lineRule="atLeast"/>
      <w:ind w:left="355" w:leftChars="50" w:hanging="250" w:hangingChars="104"/>
    </w:pPr>
    <w:rPr>
      <w:rFonts w:ascii="楷体_GB2312" w:hAnsi="宋体" w:eastAsia="楷体_GB2312"/>
      <w:snapToGrid w:val="0"/>
      <w:kern w:val="0"/>
      <w:sz w:val="24"/>
      <w:szCs w:val="24"/>
    </w:rPr>
  </w:style>
  <w:style w:type="paragraph" w:styleId="18">
    <w:name w:val="footnote text"/>
    <w:basedOn w:val="1"/>
    <w:semiHidden/>
    <w:qFormat/>
    <w:uiPriority w:val="0"/>
    <w:pPr>
      <w:adjustRightInd w:val="0"/>
      <w:spacing w:line="312" w:lineRule="atLeast"/>
      <w:jc w:val="left"/>
      <w:textAlignment w:val="baseline"/>
    </w:pPr>
    <w:rPr>
      <w:kern w:val="0"/>
      <w:sz w:val="18"/>
    </w:rPr>
  </w:style>
  <w:style w:type="paragraph" w:styleId="19">
    <w:name w:val="Body Text Indent 3"/>
    <w:basedOn w:val="1"/>
    <w:qFormat/>
    <w:uiPriority w:val="0"/>
    <w:pPr>
      <w:spacing w:after="120"/>
      <w:ind w:left="420" w:leftChars="200"/>
    </w:pPr>
    <w:rPr>
      <w:sz w:val="16"/>
      <w:szCs w:val="16"/>
    </w:rPr>
  </w:style>
  <w:style w:type="paragraph" w:styleId="20">
    <w:name w:val="toc 2"/>
    <w:basedOn w:val="1"/>
    <w:next w:val="1"/>
    <w:qFormat/>
    <w:uiPriority w:val="39"/>
    <w:pPr>
      <w:tabs>
        <w:tab w:val="right" w:leader="dot" w:pos="9119"/>
      </w:tabs>
      <w:adjustRightInd w:val="0"/>
      <w:snapToGrid w:val="0"/>
      <w:spacing w:line="312" w:lineRule="auto"/>
      <w:ind w:left="105" w:leftChars="50"/>
    </w:pPr>
    <w:rPr>
      <w:kern w:val="0"/>
    </w:rPr>
  </w:style>
  <w:style w:type="paragraph" w:styleId="2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paragraph" w:styleId="22">
    <w:name w:val="annotation subject"/>
    <w:basedOn w:val="7"/>
    <w:next w:val="7"/>
    <w:semiHidden/>
    <w:qFormat/>
    <w:uiPriority w:val="0"/>
    <w:rPr>
      <w:b/>
      <w:bCs/>
    </w:rPr>
  </w:style>
  <w:style w:type="table" w:styleId="24">
    <w:name w:val="Table Grid"/>
    <w:basedOn w:val="2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basedOn w:val="25"/>
    <w:qFormat/>
    <w:uiPriority w:val="22"/>
    <w:rPr>
      <w:b/>
      <w:bCs/>
    </w:rPr>
  </w:style>
  <w:style w:type="character" w:styleId="27">
    <w:name w:val="page number"/>
    <w:basedOn w:val="25"/>
    <w:qFormat/>
    <w:uiPriority w:val="0"/>
  </w:style>
  <w:style w:type="character" w:styleId="28">
    <w:name w:val="Hyperlink"/>
    <w:basedOn w:val="25"/>
    <w:qFormat/>
    <w:uiPriority w:val="99"/>
    <w:rPr>
      <w:color w:val="0000FF"/>
      <w:u w:val="single"/>
    </w:rPr>
  </w:style>
  <w:style w:type="character" w:styleId="29">
    <w:name w:val="annotation reference"/>
    <w:basedOn w:val="25"/>
    <w:semiHidden/>
    <w:qFormat/>
    <w:uiPriority w:val="0"/>
    <w:rPr>
      <w:sz w:val="21"/>
    </w:rPr>
  </w:style>
  <w:style w:type="character" w:customStyle="1" w:styleId="30">
    <w:name w:val="标题 3 Char"/>
    <w:basedOn w:val="25"/>
    <w:link w:val="4"/>
    <w:semiHidden/>
    <w:qFormat/>
    <w:uiPriority w:val="0"/>
    <w:rPr>
      <w:b/>
      <w:bCs/>
      <w:kern w:val="2"/>
      <w:sz w:val="32"/>
      <w:szCs w:val="32"/>
    </w:rPr>
  </w:style>
  <w:style w:type="character" w:customStyle="1" w:styleId="31">
    <w:name w:val="font61"/>
    <w:basedOn w:val="25"/>
    <w:qFormat/>
    <w:uiPriority w:val="0"/>
    <w:rPr>
      <w:rFonts w:hint="default" w:ascii="Times New Roman" w:hAnsi="Times New Roman" w:cs="Times New Roman"/>
      <w:color w:val="000000"/>
      <w:sz w:val="20"/>
      <w:szCs w:val="20"/>
      <w:u w:val="none"/>
    </w:rPr>
  </w:style>
  <w:style w:type="character" w:customStyle="1" w:styleId="32">
    <w:name w:val="apple-converted-space"/>
    <w:basedOn w:val="25"/>
    <w:qFormat/>
    <w:uiPriority w:val="0"/>
  </w:style>
  <w:style w:type="character" w:customStyle="1" w:styleId="33">
    <w:name w:val="font21"/>
    <w:basedOn w:val="25"/>
    <w:qFormat/>
    <w:uiPriority w:val="0"/>
    <w:rPr>
      <w:rFonts w:hint="eastAsia" w:ascii="仿宋_GB2312" w:eastAsia="仿宋_GB2312" w:cs="仿宋_GB2312"/>
      <w:color w:val="000000"/>
      <w:sz w:val="20"/>
      <w:szCs w:val="20"/>
      <w:u w:val="none"/>
    </w:rPr>
  </w:style>
  <w:style w:type="character" w:customStyle="1" w:styleId="34">
    <w:name w:val="纯文本 Char"/>
    <w:basedOn w:val="25"/>
    <w:link w:val="11"/>
    <w:qFormat/>
    <w:uiPriority w:val="99"/>
    <w:rPr>
      <w:rFonts w:ascii="宋体" w:hAnsi="Courier New" w:eastAsia="宋体"/>
      <w:kern w:val="2"/>
      <w:sz w:val="21"/>
      <w:lang w:val="en-US" w:eastAsia="zh-CN" w:bidi="ar-SA"/>
    </w:rPr>
  </w:style>
  <w:style w:type="character" w:customStyle="1" w:styleId="35">
    <w:name w:val="headline-content"/>
    <w:basedOn w:val="25"/>
    <w:qFormat/>
    <w:uiPriority w:val="0"/>
  </w:style>
  <w:style w:type="character" w:customStyle="1" w:styleId="36">
    <w:name w:val="font51"/>
    <w:basedOn w:val="25"/>
    <w:qFormat/>
    <w:uiPriority w:val="0"/>
    <w:rPr>
      <w:rFonts w:hint="default" w:ascii="Times New Roman" w:hAnsi="Times New Roman" w:cs="Times New Roman"/>
      <w:color w:val="000000"/>
      <w:sz w:val="20"/>
      <w:szCs w:val="20"/>
      <w:u w:val="none"/>
    </w:rPr>
  </w:style>
  <w:style w:type="character" w:customStyle="1" w:styleId="37">
    <w:name w:val="font01"/>
    <w:basedOn w:val="25"/>
    <w:qFormat/>
    <w:uiPriority w:val="0"/>
    <w:rPr>
      <w:rFonts w:hint="eastAsia" w:ascii="仿宋_GB2312" w:eastAsia="仿宋_GB2312" w:cs="仿宋_GB2312"/>
      <w:color w:val="000000"/>
      <w:sz w:val="20"/>
      <w:szCs w:val="20"/>
      <w:u w:val="none"/>
    </w:rPr>
  </w:style>
  <w:style w:type="character" w:customStyle="1" w:styleId="38">
    <w:name w:val="font31"/>
    <w:basedOn w:val="25"/>
    <w:qFormat/>
    <w:uiPriority w:val="0"/>
    <w:rPr>
      <w:rFonts w:hint="default" w:ascii="Times New Roman" w:hAnsi="Times New Roman" w:cs="Times New Roman"/>
      <w:color w:val="000000"/>
      <w:sz w:val="20"/>
      <w:szCs w:val="20"/>
      <w:u w:val="none"/>
      <w:vertAlign w:val="superscript"/>
    </w:rPr>
  </w:style>
  <w:style w:type="character" w:customStyle="1" w:styleId="39">
    <w:name w:val="font11"/>
    <w:basedOn w:val="25"/>
    <w:qFormat/>
    <w:uiPriority w:val="0"/>
    <w:rPr>
      <w:rFonts w:hint="eastAsia" w:ascii="宋体" w:hAnsi="宋体" w:eastAsia="宋体" w:cs="宋体"/>
      <w:color w:val="000000"/>
      <w:sz w:val="20"/>
      <w:szCs w:val="20"/>
      <w:u w:val="none"/>
    </w:rPr>
  </w:style>
  <w:style w:type="character" w:customStyle="1" w:styleId="40">
    <w:name w:val="正文缩进 Char"/>
    <w:basedOn w:val="25"/>
    <w:link w:val="5"/>
    <w:qFormat/>
    <w:uiPriority w:val="0"/>
    <w:rPr>
      <w:rFonts w:eastAsia="宋体"/>
      <w:kern w:val="2"/>
      <w:sz w:val="28"/>
      <w:lang w:val="en-US" w:eastAsia="zh-CN" w:bidi="ar-SA"/>
    </w:rPr>
  </w:style>
  <w:style w:type="character" w:customStyle="1" w:styleId="41">
    <w:name w:val="正文文本 Char"/>
    <w:basedOn w:val="25"/>
    <w:link w:val="8"/>
    <w:qFormat/>
    <w:uiPriority w:val="0"/>
    <w:rPr>
      <w:kern w:val="2"/>
      <w:sz w:val="21"/>
    </w:rPr>
  </w:style>
  <w:style w:type="paragraph" w:customStyle="1" w:styleId="42">
    <w:name w:val="Char Char Char1 Char Char Char Char"/>
    <w:basedOn w:val="1"/>
    <w:qFormat/>
    <w:uiPriority w:val="0"/>
    <w:pPr>
      <w:widowControl/>
      <w:jc w:val="left"/>
    </w:pPr>
    <w:rPr>
      <w:rFonts w:ascii="宋体" w:hAnsi="宋体" w:cs="Courier New"/>
      <w:kern w:val="0"/>
      <w:sz w:val="32"/>
      <w:szCs w:val="32"/>
    </w:rPr>
  </w:style>
  <w:style w:type="paragraph" w:customStyle="1" w:styleId="43">
    <w:name w:val="Char Char Char Char"/>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4">
    <w:name w:val="Char Char Char1 Char Char Char Char1"/>
    <w:basedOn w:val="1"/>
    <w:qFormat/>
    <w:uiPriority w:val="0"/>
    <w:pPr>
      <w:widowControl/>
      <w:jc w:val="left"/>
    </w:pPr>
    <w:rPr>
      <w:rFonts w:ascii="宋体" w:hAnsi="宋体" w:cs="Courier New"/>
      <w:kern w:val="0"/>
      <w:sz w:val="32"/>
      <w:szCs w:val="32"/>
    </w:rPr>
  </w:style>
  <w:style w:type="paragraph" w:customStyle="1" w:styleId="45">
    <w:name w:val="Char Char Char Char Char Char Char"/>
    <w:basedOn w:val="1"/>
    <w:qFormat/>
    <w:uiPriority w:val="0"/>
    <w:pPr>
      <w:widowControl/>
      <w:spacing w:after="160" w:line="240" w:lineRule="exact"/>
      <w:jc w:val="left"/>
    </w:pPr>
    <w:rPr>
      <w:rFonts w:ascii="Verdana" w:hAnsi="Verdana" w:eastAsia="Times New Roman"/>
      <w:kern w:val="0"/>
      <w:sz w:val="20"/>
      <w:lang w:eastAsia="en-US"/>
    </w:rPr>
  </w:style>
  <w:style w:type="paragraph" w:customStyle="1" w:styleId="46">
    <w:name w:val="标准"/>
    <w:basedOn w:val="1"/>
    <w:qFormat/>
    <w:uiPriority w:val="0"/>
    <w:pPr>
      <w:adjustRightInd w:val="0"/>
      <w:spacing w:line="312" w:lineRule="atLeast"/>
      <w:jc w:val="center"/>
      <w:textAlignment w:val="baseline"/>
    </w:pPr>
    <w:rPr>
      <w:rFonts w:ascii="文鼎CS仿宋体" w:eastAsia="文鼎CS仿宋体"/>
      <w:kern w:val="0"/>
      <w:sz w:val="28"/>
    </w:rPr>
  </w:style>
  <w:style w:type="paragraph" w:customStyle="1" w:styleId="47">
    <w:name w:val="默认段落字体 Para Char Char Char Char Char Char Char"/>
    <w:basedOn w:val="1"/>
    <w:qFormat/>
    <w:uiPriority w:val="0"/>
    <w:rPr>
      <w:rFonts w:ascii="Tahoma" w:hAnsi="Tahoma"/>
      <w:sz w:val="24"/>
    </w:rPr>
  </w:style>
  <w:style w:type="paragraph" w:customStyle="1" w:styleId="48">
    <w:name w:val="Char1"/>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49">
    <w:name w:val="xl30"/>
    <w:basedOn w:val="1"/>
    <w:qFormat/>
    <w:uiPriority w:val="0"/>
    <w:pPr>
      <w:widowControl/>
      <w:pBdr>
        <w:bottom w:val="single" w:color="auto" w:sz="4" w:space="0"/>
        <w:right w:val="single" w:color="auto" w:sz="4" w:space="0"/>
      </w:pBdr>
      <w:spacing w:before="100" w:beforeAutospacing="1" w:after="100" w:afterAutospacing="1"/>
      <w:jc w:val="center"/>
    </w:pPr>
    <w:rPr>
      <w:kern w:val="0"/>
      <w:szCs w:val="21"/>
    </w:rPr>
  </w:style>
  <w:style w:type="paragraph" w:customStyle="1" w:styleId="50">
    <w:name w:val="z-窗体顶端1"/>
    <w:basedOn w:val="1"/>
    <w:next w:val="1"/>
    <w:qFormat/>
    <w:uiPriority w:val="0"/>
    <w:pPr>
      <w:widowControl/>
      <w:pBdr>
        <w:bottom w:val="single" w:color="auto" w:sz="6" w:space="1"/>
      </w:pBdr>
      <w:jc w:val="center"/>
    </w:pPr>
    <w:rPr>
      <w:rFonts w:ascii="Arial" w:hAnsi="Arial" w:cs="Arial"/>
      <w:vanish/>
      <w:kern w:val="0"/>
      <w:sz w:val="16"/>
      <w:szCs w:val="16"/>
    </w:rPr>
  </w:style>
  <w:style w:type="paragraph" w:customStyle="1" w:styleId="51">
    <w:name w:val="Char3"/>
    <w:basedOn w:val="1"/>
    <w:qFormat/>
    <w:uiPriority w:val="0"/>
    <w:pPr>
      <w:widowControl/>
      <w:spacing w:after="160" w:line="240" w:lineRule="exact"/>
      <w:jc w:val="left"/>
    </w:pPr>
    <w:rPr>
      <w:rFonts w:ascii="Verdana" w:hAnsi="Verdana" w:eastAsia="仿宋_GB2312"/>
      <w:kern w:val="0"/>
      <w:sz w:val="24"/>
      <w:lang w:eastAsia="en-US"/>
    </w:rPr>
  </w:style>
  <w:style w:type="paragraph" w:customStyle="1" w:styleId="52">
    <w:name w:val="列出段落1"/>
    <w:basedOn w:val="1"/>
    <w:qFormat/>
    <w:uiPriority w:val="99"/>
    <w:pPr>
      <w:ind w:firstLine="420" w:firstLineChars="200"/>
    </w:pPr>
    <w:rPr>
      <w:szCs w:val="21"/>
    </w:rPr>
  </w:style>
  <w:style w:type="character" w:customStyle="1" w:styleId="53">
    <w:name w:val="正文文本缩进 Char"/>
    <w:link w:val="9"/>
    <w:qFormat/>
    <w:uiPriority w:val="0"/>
    <w:rPr>
      <w:kern w:val="2"/>
      <w:sz w:val="21"/>
    </w:rPr>
  </w:style>
  <w:style w:type="character" w:customStyle="1" w:styleId="54">
    <w:name w:val="文档结构图 Char"/>
    <w:link w:val="6"/>
    <w:qFormat/>
    <w:uiPriority w:val="99"/>
    <w:rPr>
      <w:rFonts w:ascii="宋体"/>
      <w:kern w:val="2"/>
      <w:sz w:val="18"/>
      <w:szCs w:val="18"/>
    </w:rPr>
  </w:style>
  <w:style w:type="character" w:customStyle="1" w:styleId="55">
    <w:name w:val="文档结构图 Char1"/>
    <w:basedOn w:val="25"/>
    <w:qFormat/>
    <w:uiPriority w:val="0"/>
    <w:rPr>
      <w:rFonts w:ascii="宋体"/>
      <w:kern w:val="2"/>
      <w:sz w:val="18"/>
      <w:szCs w:val="18"/>
    </w:rPr>
  </w:style>
  <w:style w:type="paragraph" w:styleId="56">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38472;&#29141;\&#25253;&#21578;&#27169;&#26495;\&#20272;&#20215;&#25253;&#21578;&#27169;&#26495;-&#24066;&#22330;&#27604;&#36739;&#27861;7.2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94A584-B0B2-4E23-9A68-97FE192F58F2}">
  <ds:schemaRefs/>
</ds:datastoreItem>
</file>

<file path=docProps/app.xml><?xml version="1.0" encoding="utf-8"?>
<Properties xmlns="http://schemas.openxmlformats.org/officeDocument/2006/extended-properties" xmlns:vt="http://schemas.openxmlformats.org/officeDocument/2006/docPropsVTypes">
  <Template>估价报告模板-市场比较法7.28</Template>
  <Company>Microsoft</Company>
  <Pages>40</Pages>
  <Words>3954</Words>
  <Characters>22540</Characters>
  <Lines>187</Lines>
  <Paragraphs>52</Paragraphs>
  <TotalTime>1</TotalTime>
  <ScaleCrop>false</ScaleCrop>
  <LinksUpToDate>false</LinksUpToDate>
  <CharactersWithSpaces>26442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2020-04-17T00:32:00Z</dcterms:created>
  <dc:creator>Common</dc:creator>
  <cp:lastModifiedBy>雅</cp:lastModifiedBy>
  <cp:lastPrinted>2019-03-28T08:37:00Z</cp:lastPrinted>
  <dcterms:modified xsi:type="dcterms:W3CDTF">2020-05-29T07:17:01Z</dcterms:modified>
  <dc:title>房 地 产 估 价 报 告</dc:title>
  <cp:revision>904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